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E397E" w14:textId="3BCAA079" w:rsidR="005C1A53" w:rsidRPr="00C25B89" w:rsidRDefault="00EA2329" w:rsidP="005C1A53">
      <w:pPr>
        <w:pStyle w:val="Telobesedila"/>
        <w:tabs>
          <w:tab w:val="left" w:pos="3825"/>
        </w:tabs>
        <w:jc w:val="left"/>
        <w:rPr>
          <w:rFonts w:ascii="Arial" w:hAnsi="Arial" w:cs="Arial"/>
          <w:bCs/>
          <w:sz w:val="20"/>
          <w:szCs w:val="20"/>
        </w:rPr>
      </w:pPr>
      <w:r w:rsidRPr="00C25B89">
        <w:rPr>
          <w:rFonts w:ascii="Arial" w:hAnsi="Arial" w:cs="Arial"/>
          <w:bCs/>
          <w:noProof/>
          <w:sz w:val="20"/>
          <w:szCs w:val="20"/>
          <w:lang w:eastAsia="sl-SI"/>
        </w:rPr>
        <w:drawing>
          <wp:inline distT="0" distB="0" distL="0" distR="0" wp14:anchorId="5061E205" wp14:editId="5BF5406E">
            <wp:extent cx="5753100" cy="1514475"/>
            <wp:effectExtent l="0" t="0" r="0" b="9525"/>
            <wp:docPr id="12" name="Slika 12" descr="Osnovni podatki Ministrstva za javno upravo, Direktorata za javno naroča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descr="Osnovni podatki Ministrstva za javno upravo, Direktorata za javno naročanj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1514475"/>
                    </a:xfrm>
                    <a:prstGeom prst="rect">
                      <a:avLst/>
                    </a:prstGeom>
                    <a:noFill/>
                    <a:ln>
                      <a:noFill/>
                    </a:ln>
                  </pic:spPr>
                </pic:pic>
              </a:graphicData>
            </a:graphic>
          </wp:inline>
        </w:drawing>
      </w:r>
    </w:p>
    <w:p w14:paraId="08505AF6" w14:textId="77777777" w:rsidR="005C1A53" w:rsidRPr="00C25B89" w:rsidRDefault="005C1A53" w:rsidP="005C1A53">
      <w:pPr>
        <w:pStyle w:val="Telobesedila"/>
        <w:jc w:val="left"/>
        <w:rPr>
          <w:rFonts w:ascii="Arial" w:hAnsi="Arial" w:cs="Arial"/>
          <w:bCs/>
          <w:sz w:val="20"/>
          <w:szCs w:val="20"/>
        </w:rPr>
      </w:pPr>
    </w:p>
    <w:p w14:paraId="0DBE4E16" w14:textId="4807EA5E" w:rsidR="005C1A53" w:rsidRPr="00384AA3" w:rsidRDefault="00650A52" w:rsidP="005C1A53">
      <w:pPr>
        <w:pStyle w:val="Telobesedila"/>
        <w:jc w:val="left"/>
        <w:rPr>
          <w:rFonts w:ascii="Arial" w:hAnsi="Arial" w:cs="Arial"/>
          <w:bCs/>
          <w:sz w:val="20"/>
          <w:szCs w:val="20"/>
        </w:rPr>
      </w:pPr>
      <w:r w:rsidRPr="00384AA3">
        <w:rPr>
          <w:rFonts w:ascii="Arial" w:hAnsi="Arial" w:cs="Arial"/>
          <w:bCs/>
          <w:sz w:val="20"/>
          <w:szCs w:val="20"/>
        </w:rPr>
        <w:t>Številka:</w:t>
      </w:r>
      <w:r w:rsidR="007A3E35" w:rsidRPr="00384AA3">
        <w:rPr>
          <w:rFonts w:ascii="Arial" w:hAnsi="Arial" w:cs="Arial"/>
          <w:bCs/>
          <w:sz w:val="20"/>
          <w:szCs w:val="20"/>
        </w:rPr>
        <w:t xml:space="preserve"> </w:t>
      </w:r>
      <w:r w:rsidR="005041A8" w:rsidRPr="00384AA3">
        <w:rPr>
          <w:rFonts w:ascii="Arial" w:hAnsi="Arial" w:cs="Arial"/>
          <w:bCs/>
          <w:sz w:val="20"/>
          <w:szCs w:val="20"/>
        </w:rPr>
        <w:t>430-</w:t>
      </w:r>
      <w:r w:rsidR="00CD0DF0" w:rsidRPr="00384AA3">
        <w:rPr>
          <w:rFonts w:ascii="Arial" w:hAnsi="Arial" w:cs="Arial"/>
          <w:bCs/>
          <w:sz w:val="20"/>
          <w:szCs w:val="20"/>
        </w:rPr>
        <w:t>195</w:t>
      </w:r>
      <w:r w:rsidR="005041A8" w:rsidRPr="00384AA3">
        <w:rPr>
          <w:rFonts w:ascii="Arial" w:hAnsi="Arial" w:cs="Arial"/>
          <w:bCs/>
          <w:sz w:val="20"/>
          <w:szCs w:val="20"/>
        </w:rPr>
        <w:t>/202</w:t>
      </w:r>
      <w:r w:rsidR="0062342E" w:rsidRPr="00384AA3">
        <w:rPr>
          <w:rFonts w:ascii="Arial" w:hAnsi="Arial" w:cs="Arial"/>
          <w:bCs/>
          <w:sz w:val="20"/>
          <w:szCs w:val="20"/>
        </w:rPr>
        <w:t>3</w:t>
      </w:r>
      <w:r w:rsidR="001668D9" w:rsidRPr="00384AA3">
        <w:rPr>
          <w:rFonts w:ascii="Arial" w:hAnsi="Arial" w:cs="Arial"/>
          <w:bCs/>
          <w:sz w:val="20"/>
          <w:szCs w:val="20"/>
        </w:rPr>
        <w:t>/</w:t>
      </w:r>
      <w:r w:rsidR="00F9768D">
        <w:rPr>
          <w:rFonts w:ascii="Arial" w:hAnsi="Arial" w:cs="Arial"/>
          <w:bCs/>
          <w:sz w:val="20"/>
          <w:szCs w:val="20"/>
        </w:rPr>
        <w:t>8</w:t>
      </w:r>
    </w:p>
    <w:p w14:paraId="58C656BE" w14:textId="0C37AE78" w:rsidR="005C1A53" w:rsidRPr="00384AA3" w:rsidRDefault="00650A52" w:rsidP="005C1A53">
      <w:pPr>
        <w:pStyle w:val="Telobesedila"/>
        <w:jc w:val="left"/>
        <w:rPr>
          <w:rFonts w:ascii="Arial" w:hAnsi="Arial" w:cs="Arial"/>
          <w:bCs/>
          <w:sz w:val="20"/>
          <w:szCs w:val="20"/>
        </w:rPr>
      </w:pPr>
      <w:r w:rsidRPr="00384AA3">
        <w:rPr>
          <w:rFonts w:ascii="Arial" w:hAnsi="Arial" w:cs="Arial"/>
          <w:bCs/>
          <w:sz w:val="20"/>
          <w:szCs w:val="20"/>
        </w:rPr>
        <w:t>Datum:</w:t>
      </w:r>
      <w:r w:rsidR="005041A8" w:rsidRPr="00384AA3">
        <w:rPr>
          <w:rFonts w:ascii="Arial" w:hAnsi="Arial" w:cs="Arial"/>
          <w:bCs/>
          <w:sz w:val="20"/>
          <w:szCs w:val="20"/>
        </w:rPr>
        <w:t xml:space="preserve"> </w:t>
      </w:r>
      <w:r w:rsidR="000110D0">
        <w:rPr>
          <w:rFonts w:ascii="Arial" w:hAnsi="Arial" w:cs="Arial"/>
          <w:bCs/>
          <w:sz w:val="20"/>
          <w:szCs w:val="20"/>
        </w:rPr>
        <w:t>7</w:t>
      </w:r>
      <w:r w:rsidR="00E3562B" w:rsidRPr="00384AA3">
        <w:rPr>
          <w:rFonts w:ascii="Arial" w:hAnsi="Arial" w:cs="Arial"/>
          <w:bCs/>
          <w:sz w:val="20"/>
          <w:szCs w:val="20"/>
        </w:rPr>
        <w:t>.</w:t>
      </w:r>
      <w:r w:rsidR="00516080" w:rsidRPr="00384AA3">
        <w:rPr>
          <w:rFonts w:ascii="Arial" w:hAnsi="Arial" w:cs="Arial"/>
          <w:bCs/>
          <w:sz w:val="20"/>
          <w:szCs w:val="20"/>
        </w:rPr>
        <w:t xml:space="preserve"> </w:t>
      </w:r>
      <w:r w:rsidR="00E3562B" w:rsidRPr="00384AA3">
        <w:rPr>
          <w:rFonts w:ascii="Arial" w:hAnsi="Arial" w:cs="Arial"/>
          <w:bCs/>
          <w:sz w:val="20"/>
          <w:szCs w:val="20"/>
        </w:rPr>
        <w:t>9.</w:t>
      </w:r>
      <w:r w:rsidR="005041A8" w:rsidRPr="00384AA3">
        <w:rPr>
          <w:rFonts w:ascii="Arial" w:hAnsi="Arial" w:cs="Arial"/>
          <w:bCs/>
          <w:sz w:val="20"/>
          <w:szCs w:val="20"/>
        </w:rPr>
        <w:t xml:space="preserve"> 202</w:t>
      </w:r>
      <w:r w:rsidR="0062342E" w:rsidRPr="00384AA3">
        <w:rPr>
          <w:rFonts w:ascii="Arial" w:hAnsi="Arial" w:cs="Arial"/>
          <w:bCs/>
          <w:sz w:val="20"/>
          <w:szCs w:val="20"/>
        </w:rPr>
        <w:t>3</w:t>
      </w:r>
    </w:p>
    <w:p w14:paraId="29D9160C" w14:textId="77777777" w:rsidR="005C1A53" w:rsidRPr="00384AA3" w:rsidRDefault="005C1A53" w:rsidP="005C1A53">
      <w:pPr>
        <w:pStyle w:val="Telobesedila"/>
        <w:jc w:val="left"/>
        <w:rPr>
          <w:rFonts w:ascii="Arial" w:hAnsi="Arial" w:cs="Arial"/>
          <w:b/>
          <w:bCs/>
          <w:sz w:val="20"/>
          <w:szCs w:val="20"/>
        </w:rPr>
      </w:pPr>
    </w:p>
    <w:p w14:paraId="082F9718" w14:textId="77777777" w:rsidR="005C1A53" w:rsidRPr="00384AA3" w:rsidRDefault="005C1A53" w:rsidP="005C1A53">
      <w:pPr>
        <w:pStyle w:val="Telobesedila"/>
        <w:jc w:val="left"/>
        <w:rPr>
          <w:rFonts w:ascii="Arial" w:hAnsi="Arial" w:cs="Arial"/>
          <w:b/>
          <w:bCs/>
          <w:sz w:val="20"/>
          <w:szCs w:val="20"/>
        </w:rPr>
      </w:pPr>
    </w:p>
    <w:p w14:paraId="24C417D6" w14:textId="68F30AAD" w:rsidR="007E20A4" w:rsidRPr="00384AA3" w:rsidRDefault="007E20A4">
      <w:pPr>
        <w:rPr>
          <w:rFonts w:ascii="Arial" w:hAnsi="Arial" w:cs="Arial"/>
        </w:rPr>
      </w:pPr>
    </w:p>
    <w:p w14:paraId="3F02C860" w14:textId="3CE3EDE3" w:rsidR="007A3D98" w:rsidRPr="00384AA3" w:rsidRDefault="007A3D98">
      <w:pPr>
        <w:rPr>
          <w:rFonts w:ascii="Arial" w:hAnsi="Arial" w:cs="Arial"/>
        </w:rPr>
      </w:pPr>
    </w:p>
    <w:p w14:paraId="0F29F0A3" w14:textId="57016884" w:rsidR="0043386E" w:rsidRPr="00BF7302" w:rsidRDefault="0043386E">
      <w:pPr>
        <w:rPr>
          <w:rFonts w:ascii="Arial" w:hAnsi="Arial" w:cs="Arial"/>
          <w:highlight w:val="yellow"/>
        </w:rPr>
      </w:pPr>
    </w:p>
    <w:p w14:paraId="6C137ED8" w14:textId="5A003276" w:rsidR="0043386E" w:rsidRPr="00BF7302" w:rsidRDefault="0043386E">
      <w:pPr>
        <w:rPr>
          <w:rFonts w:ascii="Arial" w:hAnsi="Arial" w:cs="Arial"/>
          <w:highlight w:val="yellow"/>
        </w:rPr>
      </w:pPr>
    </w:p>
    <w:p w14:paraId="549CAF2F" w14:textId="19F98182" w:rsidR="0043386E" w:rsidRPr="00BF7302" w:rsidRDefault="0043386E">
      <w:pPr>
        <w:rPr>
          <w:rFonts w:ascii="Arial" w:hAnsi="Arial" w:cs="Arial"/>
          <w:highlight w:val="yellow"/>
        </w:rPr>
      </w:pPr>
    </w:p>
    <w:p w14:paraId="13EA0D21" w14:textId="1506679C" w:rsidR="0043386E" w:rsidRPr="00BF7302" w:rsidRDefault="0043386E">
      <w:pPr>
        <w:rPr>
          <w:rFonts w:ascii="Arial" w:hAnsi="Arial" w:cs="Arial"/>
          <w:highlight w:val="yellow"/>
        </w:rPr>
      </w:pPr>
    </w:p>
    <w:p w14:paraId="31C17D20" w14:textId="77777777" w:rsidR="0043386E" w:rsidRPr="00BF7302" w:rsidRDefault="0043386E">
      <w:pPr>
        <w:rPr>
          <w:rFonts w:ascii="Arial" w:hAnsi="Arial" w:cs="Arial"/>
          <w:highlight w:val="yellow"/>
        </w:rPr>
      </w:pPr>
    </w:p>
    <w:p w14:paraId="76ECB79C" w14:textId="724CCD69" w:rsidR="0043386E" w:rsidRPr="00BF7302" w:rsidRDefault="0043386E">
      <w:pPr>
        <w:rPr>
          <w:rFonts w:ascii="Arial" w:hAnsi="Arial" w:cs="Arial"/>
          <w:highlight w:val="yellow"/>
        </w:rPr>
      </w:pPr>
    </w:p>
    <w:p w14:paraId="07712B29" w14:textId="1B917AAB" w:rsidR="0043386E" w:rsidRPr="00BF7302" w:rsidRDefault="0043386E">
      <w:pPr>
        <w:rPr>
          <w:rFonts w:ascii="Arial" w:hAnsi="Arial" w:cs="Arial"/>
          <w:highlight w:val="yellow"/>
        </w:rPr>
      </w:pPr>
    </w:p>
    <w:p w14:paraId="5023007E" w14:textId="77777777" w:rsidR="0043386E" w:rsidRPr="00C25B89" w:rsidRDefault="0043386E" w:rsidP="0043386E">
      <w:pPr>
        <w:pStyle w:val="Telobesedila"/>
        <w:spacing w:line="360" w:lineRule="auto"/>
        <w:jc w:val="center"/>
        <w:rPr>
          <w:rFonts w:ascii="Arial" w:hAnsi="Arial" w:cs="Arial"/>
          <w:b/>
          <w:bCs/>
          <w:sz w:val="32"/>
          <w:szCs w:val="32"/>
        </w:rPr>
      </w:pPr>
      <w:r w:rsidRPr="00C25B89">
        <w:rPr>
          <w:rFonts w:ascii="Arial" w:hAnsi="Arial" w:cs="Arial"/>
          <w:b/>
          <w:bCs/>
          <w:sz w:val="32"/>
          <w:szCs w:val="32"/>
        </w:rPr>
        <w:t xml:space="preserve">Statistično poročilo </w:t>
      </w:r>
    </w:p>
    <w:p w14:paraId="69D6BBE9" w14:textId="1BB7CF02" w:rsidR="0043386E" w:rsidRPr="00C25B89" w:rsidRDefault="0043386E" w:rsidP="0043386E">
      <w:pPr>
        <w:pStyle w:val="Telobesedila"/>
        <w:spacing w:line="360" w:lineRule="auto"/>
        <w:jc w:val="center"/>
        <w:rPr>
          <w:rFonts w:ascii="Arial" w:hAnsi="Arial" w:cs="Arial"/>
          <w:b/>
          <w:bCs/>
          <w:sz w:val="32"/>
          <w:szCs w:val="32"/>
        </w:rPr>
      </w:pPr>
      <w:r w:rsidRPr="00C25B89">
        <w:rPr>
          <w:rFonts w:ascii="Arial" w:hAnsi="Arial" w:cs="Arial"/>
          <w:b/>
          <w:bCs/>
          <w:sz w:val="32"/>
          <w:szCs w:val="32"/>
        </w:rPr>
        <w:t>o javnih naročilih, oddanih v letu 202</w:t>
      </w:r>
      <w:r w:rsidR="00C25B89" w:rsidRPr="00C25B89">
        <w:rPr>
          <w:rFonts w:ascii="Arial" w:hAnsi="Arial" w:cs="Arial"/>
          <w:b/>
          <w:bCs/>
          <w:sz w:val="32"/>
          <w:szCs w:val="32"/>
        </w:rPr>
        <w:t>2</w:t>
      </w:r>
    </w:p>
    <w:p w14:paraId="371BC37E" w14:textId="77777777" w:rsidR="0043386E" w:rsidRPr="00BF7302" w:rsidRDefault="0043386E">
      <w:pPr>
        <w:rPr>
          <w:rFonts w:ascii="Arial" w:hAnsi="Arial" w:cs="Arial"/>
          <w:highlight w:val="yellow"/>
        </w:rPr>
      </w:pPr>
    </w:p>
    <w:p w14:paraId="11D3355A" w14:textId="0E3CB196" w:rsidR="002C5FF6" w:rsidRPr="00BF7302" w:rsidRDefault="002C5FF6">
      <w:pPr>
        <w:rPr>
          <w:rFonts w:ascii="Arial" w:hAnsi="Arial" w:cs="Arial"/>
          <w:highlight w:val="yellow"/>
        </w:rPr>
      </w:pPr>
    </w:p>
    <w:p w14:paraId="497588E8" w14:textId="3D11F5B6" w:rsidR="0043386E" w:rsidRPr="00BF7302" w:rsidRDefault="0043386E">
      <w:pPr>
        <w:rPr>
          <w:rFonts w:ascii="Arial" w:hAnsi="Arial" w:cs="Arial"/>
          <w:highlight w:val="yellow"/>
        </w:rPr>
      </w:pPr>
    </w:p>
    <w:p w14:paraId="750C2141" w14:textId="6D64A828" w:rsidR="0043386E" w:rsidRPr="00BF7302" w:rsidRDefault="0043386E">
      <w:pPr>
        <w:rPr>
          <w:rFonts w:ascii="Arial" w:hAnsi="Arial" w:cs="Arial"/>
          <w:highlight w:val="yellow"/>
        </w:rPr>
      </w:pPr>
    </w:p>
    <w:p w14:paraId="4993F5F3" w14:textId="4C4F4903" w:rsidR="0043386E" w:rsidRPr="00BF7302" w:rsidRDefault="0043386E">
      <w:pPr>
        <w:rPr>
          <w:rFonts w:ascii="Arial" w:hAnsi="Arial" w:cs="Arial"/>
          <w:highlight w:val="yellow"/>
        </w:rPr>
      </w:pPr>
    </w:p>
    <w:p w14:paraId="18B0DAD9" w14:textId="53C879BE" w:rsidR="0043386E" w:rsidRPr="00BF7302" w:rsidRDefault="0043386E">
      <w:pPr>
        <w:rPr>
          <w:rFonts w:ascii="Arial" w:hAnsi="Arial" w:cs="Arial"/>
          <w:highlight w:val="yellow"/>
        </w:rPr>
      </w:pPr>
    </w:p>
    <w:p w14:paraId="4CF34FBB" w14:textId="2D468D61" w:rsidR="0043386E" w:rsidRPr="00BF7302" w:rsidRDefault="0043386E">
      <w:pPr>
        <w:rPr>
          <w:rFonts w:ascii="Arial" w:hAnsi="Arial" w:cs="Arial"/>
          <w:highlight w:val="yellow"/>
        </w:rPr>
      </w:pPr>
    </w:p>
    <w:p w14:paraId="06AA90EB" w14:textId="58863035" w:rsidR="0043386E" w:rsidRPr="00BF7302" w:rsidRDefault="0043386E">
      <w:pPr>
        <w:rPr>
          <w:rFonts w:ascii="Arial" w:hAnsi="Arial" w:cs="Arial"/>
          <w:highlight w:val="yellow"/>
        </w:rPr>
      </w:pPr>
    </w:p>
    <w:p w14:paraId="2EF43ADF" w14:textId="6A8339C7" w:rsidR="0043386E" w:rsidRPr="00BF7302" w:rsidRDefault="0043386E">
      <w:pPr>
        <w:rPr>
          <w:rFonts w:ascii="Arial" w:hAnsi="Arial" w:cs="Arial"/>
          <w:highlight w:val="yellow"/>
        </w:rPr>
      </w:pPr>
    </w:p>
    <w:p w14:paraId="474C6D0C" w14:textId="77777777" w:rsidR="0043386E" w:rsidRPr="00BF7302" w:rsidRDefault="0043386E">
      <w:pPr>
        <w:rPr>
          <w:rFonts w:ascii="Arial" w:hAnsi="Arial" w:cs="Arial"/>
          <w:highlight w:val="yellow"/>
        </w:rPr>
      </w:pPr>
    </w:p>
    <w:p w14:paraId="6EB2718B" w14:textId="586C6508" w:rsidR="002C5FF6" w:rsidRDefault="002C5FF6">
      <w:pPr>
        <w:rPr>
          <w:rFonts w:ascii="Arial" w:hAnsi="Arial" w:cs="Arial"/>
          <w:highlight w:val="yellow"/>
        </w:rPr>
      </w:pPr>
    </w:p>
    <w:p w14:paraId="516CC503" w14:textId="77777777" w:rsidR="007D52A2" w:rsidRPr="00BF7302" w:rsidRDefault="007D52A2">
      <w:pPr>
        <w:rPr>
          <w:rFonts w:ascii="Arial" w:hAnsi="Arial" w:cs="Arial"/>
          <w:highlight w:val="yellow"/>
        </w:rPr>
      </w:pPr>
    </w:p>
    <w:sdt>
      <w:sdtPr>
        <w:rPr>
          <w:rFonts w:ascii="Arial" w:eastAsiaTheme="minorHAnsi" w:hAnsi="Arial" w:cs="Arial"/>
          <w:color w:val="auto"/>
          <w:sz w:val="20"/>
          <w:szCs w:val="20"/>
          <w:lang w:eastAsia="en-US"/>
        </w:rPr>
        <w:id w:val="462704509"/>
        <w:docPartObj>
          <w:docPartGallery w:val="Table of Contents"/>
          <w:docPartUnique/>
        </w:docPartObj>
      </w:sdtPr>
      <w:sdtEndPr>
        <w:rPr>
          <w:bCs/>
          <w:highlight w:val="yellow"/>
        </w:rPr>
      </w:sdtEndPr>
      <w:sdtContent>
        <w:p w14:paraId="36760682" w14:textId="66189F0C" w:rsidR="00206175" w:rsidRPr="00D048EA" w:rsidRDefault="00206175">
          <w:pPr>
            <w:pStyle w:val="NaslovTOC"/>
            <w:rPr>
              <w:rFonts w:ascii="Arial" w:hAnsi="Arial" w:cs="Arial"/>
              <w:sz w:val="22"/>
              <w:szCs w:val="22"/>
            </w:rPr>
          </w:pPr>
          <w:r w:rsidRPr="00D048EA">
            <w:rPr>
              <w:rFonts w:ascii="Arial" w:hAnsi="Arial" w:cs="Arial"/>
              <w:sz w:val="22"/>
              <w:szCs w:val="22"/>
            </w:rPr>
            <w:t>K</w:t>
          </w:r>
          <w:r w:rsidR="005C1A53" w:rsidRPr="00D048EA">
            <w:rPr>
              <w:rFonts w:ascii="Arial" w:hAnsi="Arial" w:cs="Arial"/>
              <w:sz w:val="22"/>
              <w:szCs w:val="22"/>
            </w:rPr>
            <w:t>AZALO</w:t>
          </w:r>
        </w:p>
        <w:p w14:paraId="1B598BE0" w14:textId="77777777" w:rsidR="00882470" w:rsidRPr="00D048EA" w:rsidRDefault="00882470" w:rsidP="00882470">
          <w:pPr>
            <w:rPr>
              <w:rFonts w:ascii="Arial" w:hAnsi="Arial" w:cs="Arial"/>
              <w:highlight w:val="yellow"/>
              <w:lang w:eastAsia="sl-SI"/>
            </w:rPr>
          </w:pPr>
        </w:p>
        <w:p w14:paraId="69EBEC21" w14:textId="3FF5C298" w:rsidR="00D048EA" w:rsidRPr="00D048EA" w:rsidRDefault="00AE378A">
          <w:pPr>
            <w:pStyle w:val="Kazalovsebine1"/>
            <w:rPr>
              <w:rFonts w:eastAsiaTheme="minorEastAsia"/>
              <w:b w:val="0"/>
              <w:bCs w:val="0"/>
              <w:sz w:val="20"/>
              <w:szCs w:val="20"/>
              <w:lang w:eastAsia="sl-SI"/>
            </w:rPr>
          </w:pPr>
          <w:r w:rsidRPr="00D048EA">
            <w:rPr>
              <w:b w:val="0"/>
              <w:bCs w:val="0"/>
              <w:highlight w:val="yellow"/>
            </w:rPr>
            <w:fldChar w:fldCharType="begin"/>
          </w:r>
          <w:r w:rsidRPr="00D048EA">
            <w:rPr>
              <w:b w:val="0"/>
              <w:bCs w:val="0"/>
              <w:highlight w:val="yellow"/>
            </w:rPr>
            <w:instrText xml:space="preserve"> TOC \o "1-4" \h \z \u </w:instrText>
          </w:r>
          <w:r w:rsidRPr="00D048EA">
            <w:rPr>
              <w:b w:val="0"/>
              <w:bCs w:val="0"/>
              <w:highlight w:val="yellow"/>
            </w:rPr>
            <w:fldChar w:fldCharType="separate"/>
          </w:r>
          <w:hyperlink w:anchor="_Toc141864043" w:history="1">
            <w:r w:rsidR="00D048EA" w:rsidRPr="00D048EA">
              <w:rPr>
                <w:rStyle w:val="Hiperpovezava"/>
                <w:b w:val="0"/>
                <w:bCs w:val="0"/>
                <w:sz w:val="20"/>
                <w:szCs w:val="20"/>
              </w:rPr>
              <w:t>Povzetek</w:t>
            </w:r>
            <w:r w:rsidR="00D048EA" w:rsidRPr="00D048EA">
              <w:rPr>
                <w:b w:val="0"/>
                <w:bCs w:val="0"/>
                <w:webHidden/>
                <w:sz w:val="20"/>
                <w:szCs w:val="20"/>
              </w:rPr>
              <w:tab/>
            </w:r>
            <w:r w:rsidR="00D048EA" w:rsidRPr="00D048EA">
              <w:rPr>
                <w:b w:val="0"/>
                <w:bCs w:val="0"/>
                <w:webHidden/>
                <w:sz w:val="20"/>
                <w:szCs w:val="20"/>
              </w:rPr>
              <w:fldChar w:fldCharType="begin"/>
            </w:r>
            <w:r w:rsidR="00D048EA" w:rsidRPr="00D048EA">
              <w:rPr>
                <w:b w:val="0"/>
                <w:bCs w:val="0"/>
                <w:webHidden/>
                <w:sz w:val="20"/>
                <w:szCs w:val="20"/>
              </w:rPr>
              <w:instrText xml:space="preserve"> PAGEREF _Toc141864043 \h </w:instrText>
            </w:r>
            <w:r w:rsidR="00D048EA" w:rsidRPr="00D048EA">
              <w:rPr>
                <w:b w:val="0"/>
                <w:bCs w:val="0"/>
                <w:webHidden/>
                <w:sz w:val="20"/>
                <w:szCs w:val="20"/>
              </w:rPr>
            </w:r>
            <w:r w:rsidR="00D048EA" w:rsidRPr="00D048EA">
              <w:rPr>
                <w:b w:val="0"/>
                <w:bCs w:val="0"/>
                <w:webHidden/>
                <w:sz w:val="20"/>
                <w:szCs w:val="20"/>
              </w:rPr>
              <w:fldChar w:fldCharType="separate"/>
            </w:r>
            <w:r w:rsidR="000110D0">
              <w:rPr>
                <w:b w:val="0"/>
                <w:bCs w:val="0"/>
                <w:webHidden/>
                <w:sz w:val="20"/>
                <w:szCs w:val="20"/>
              </w:rPr>
              <w:t>4</w:t>
            </w:r>
            <w:r w:rsidR="00D048EA" w:rsidRPr="00D048EA">
              <w:rPr>
                <w:b w:val="0"/>
                <w:bCs w:val="0"/>
                <w:webHidden/>
                <w:sz w:val="20"/>
                <w:szCs w:val="20"/>
              </w:rPr>
              <w:fldChar w:fldCharType="end"/>
            </w:r>
          </w:hyperlink>
        </w:p>
        <w:p w14:paraId="1ACE911F" w14:textId="23C8C625" w:rsidR="00D048EA" w:rsidRPr="00D048EA" w:rsidRDefault="002E2890">
          <w:pPr>
            <w:pStyle w:val="Kazalovsebine1"/>
            <w:rPr>
              <w:rFonts w:eastAsiaTheme="minorEastAsia"/>
              <w:b w:val="0"/>
              <w:bCs w:val="0"/>
              <w:sz w:val="20"/>
              <w:szCs w:val="20"/>
              <w:lang w:eastAsia="sl-SI"/>
            </w:rPr>
          </w:pPr>
          <w:hyperlink w:anchor="_Toc141864044" w:history="1">
            <w:r w:rsidR="00D048EA" w:rsidRPr="00D048EA">
              <w:rPr>
                <w:rStyle w:val="Hiperpovezava"/>
                <w:b w:val="0"/>
                <w:bCs w:val="0"/>
                <w:sz w:val="20"/>
                <w:szCs w:val="20"/>
              </w:rPr>
              <w:t>1. Splošne ugotovitve, trendi in predlogi ukrepov za izboljšanje praks oziroma ureditve</w:t>
            </w:r>
            <w:r w:rsidR="00D048EA" w:rsidRPr="00D048EA">
              <w:rPr>
                <w:b w:val="0"/>
                <w:bCs w:val="0"/>
                <w:webHidden/>
                <w:sz w:val="20"/>
                <w:szCs w:val="20"/>
              </w:rPr>
              <w:tab/>
            </w:r>
            <w:r w:rsidR="00D048EA" w:rsidRPr="00D048EA">
              <w:rPr>
                <w:b w:val="0"/>
                <w:bCs w:val="0"/>
                <w:webHidden/>
                <w:sz w:val="20"/>
                <w:szCs w:val="20"/>
              </w:rPr>
              <w:fldChar w:fldCharType="begin"/>
            </w:r>
            <w:r w:rsidR="00D048EA" w:rsidRPr="00D048EA">
              <w:rPr>
                <w:b w:val="0"/>
                <w:bCs w:val="0"/>
                <w:webHidden/>
                <w:sz w:val="20"/>
                <w:szCs w:val="20"/>
              </w:rPr>
              <w:instrText xml:space="preserve"> PAGEREF _Toc141864044 \h </w:instrText>
            </w:r>
            <w:r w:rsidR="00D048EA" w:rsidRPr="00D048EA">
              <w:rPr>
                <w:b w:val="0"/>
                <w:bCs w:val="0"/>
                <w:webHidden/>
                <w:sz w:val="20"/>
                <w:szCs w:val="20"/>
              </w:rPr>
            </w:r>
            <w:r w:rsidR="00D048EA" w:rsidRPr="00D048EA">
              <w:rPr>
                <w:b w:val="0"/>
                <w:bCs w:val="0"/>
                <w:webHidden/>
                <w:sz w:val="20"/>
                <w:szCs w:val="20"/>
              </w:rPr>
              <w:fldChar w:fldCharType="separate"/>
            </w:r>
            <w:r w:rsidR="000110D0">
              <w:rPr>
                <w:b w:val="0"/>
                <w:bCs w:val="0"/>
                <w:webHidden/>
                <w:sz w:val="20"/>
                <w:szCs w:val="20"/>
              </w:rPr>
              <w:t>6</w:t>
            </w:r>
            <w:r w:rsidR="00D048EA" w:rsidRPr="00D048EA">
              <w:rPr>
                <w:b w:val="0"/>
                <w:bCs w:val="0"/>
                <w:webHidden/>
                <w:sz w:val="20"/>
                <w:szCs w:val="20"/>
              </w:rPr>
              <w:fldChar w:fldCharType="end"/>
            </w:r>
          </w:hyperlink>
        </w:p>
        <w:p w14:paraId="01A211A8" w14:textId="361D5F48" w:rsidR="00D048EA" w:rsidRPr="00D048EA" w:rsidRDefault="002E2890">
          <w:pPr>
            <w:pStyle w:val="Kazalovsebine1"/>
            <w:rPr>
              <w:rFonts w:eastAsiaTheme="minorEastAsia"/>
              <w:b w:val="0"/>
              <w:bCs w:val="0"/>
              <w:sz w:val="20"/>
              <w:szCs w:val="20"/>
              <w:lang w:eastAsia="sl-SI"/>
            </w:rPr>
          </w:pPr>
          <w:hyperlink w:anchor="_Toc141864045" w:history="1">
            <w:r w:rsidR="00D048EA" w:rsidRPr="00D048EA">
              <w:rPr>
                <w:rStyle w:val="Hiperpovezava"/>
                <w:b w:val="0"/>
                <w:bCs w:val="0"/>
                <w:sz w:val="20"/>
                <w:szCs w:val="20"/>
              </w:rPr>
              <w:t>2. Statistična analiza</w:t>
            </w:r>
            <w:r w:rsidR="00D048EA" w:rsidRPr="00D048EA">
              <w:rPr>
                <w:b w:val="0"/>
                <w:bCs w:val="0"/>
                <w:webHidden/>
                <w:sz w:val="20"/>
                <w:szCs w:val="20"/>
              </w:rPr>
              <w:tab/>
            </w:r>
            <w:r w:rsidR="00D048EA" w:rsidRPr="00D048EA">
              <w:rPr>
                <w:b w:val="0"/>
                <w:bCs w:val="0"/>
                <w:webHidden/>
                <w:sz w:val="20"/>
                <w:szCs w:val="20"/>
              </w:rPr>
              <w:fldChar w:fldCharType="begin"/>
            </w:r>
            <w:r w:rsidR="00D048EA" w:rsidRPr="00D048EA">
              <w:rPr>
                <w:b w:val="0"/>
                <w:bCs w:val="0"/>
                <w:webHidden/>
                <w:sz w:val="20"/>
                <w:szCs w:val="20"/>
              </w:rPr>
              <w:instrText xml:space="preserve"> PAGEREF _Toc141864045 \h </w:instrText>
            </w:r>
            <w:r w:rsidR="00D048EA" w:rsidRPr="00D048EA">
              <w:rPr>
                <w:b w:val="0"/>
                <w:bCs w:val="0"/>
                <w:webHidden/>
                <w:sz w:val="20"/>
                <w:szCs w:val="20"/>
              </w:rPr>
            </w:r>
            <w:r w:rsidR="00D048EA" w:rsidRPr="00D048EA">
              <w:rPr>
                <w:b w:val="0"/>
                <w:bCs w:val="0"/>
                <w:webHidden/>
                <w:sz w:val="20"/>
                <w:szCs w:val="20"/>
              </w:rPr>
              <w:fldChar w:fldCharType="separate"/>
            </w:r>
            <w:r w:rsidR="000110D0">
              <w:rPr>
                <w:b w:val="0"/>
                <w:bCs w:val="0"/>
                <w:webHidden/>
                <w:sz w:val="20"/>
                <w:szCs w:val="20"/>
              </w:rPr>
              <w:t>8</w:t>
            </w:r>
            <w:r w:rsidR="00D048EA" w:rsidRPr="00D048EA">
              <w:rPr>
                <w:b w:val="0"/>
                <w:bCs w:val="0"/>
                <w:webHidden/>
                <w:sz w:val="20"/>
                <w:szCs w:val="20"/>
              </w:rPr>
              <w:fldChar w:fldCharType="end"/>
            </w:r>
          </w:hyperlink>
        </w:p>
        <w:p w14:paraId="418C00C5" w14:textId="00002F67" w:rsidR="00D048EA" w:rsidRPr="00D048EA" w:rsidRDefault="002E2890">
          <w:pPr>
            <w:pStyle w:val="Kazalovsebine2"/>
            <w:tabs>
              <w:tab w:val="right" w:leader="dot" w:pos="9174"/>
            </w:tabs>
            <w:rPr>
              <w:rFonts w:ascii="Arial" w:eastAsiaTheme="minorEastAsia" w:hAnsi="Arial" w:cs="Arial"/>
              <w:noProof/>
              <w:sz w:val="20"/>
              <w:szCs w:val="20"/>
              <w:lang w:eastAsia="sl-SI"/>
            </w:rPr>
          </w:pPr>
          <w:hyperlink w:anchor="_Toc141864046" w:history="1">
            <w:r w:rsidR="00D048EA" w:rsidRPr="00D048EA">
              <w:rPr>
                <w:rStyle w:val="Hiperpovezava"/>
                <w:rFonts w:ascii="Arial" w:hAnsi="Arial" w:cs="Arial"/>
                <w:noProof/>
                <w:sz w:val="20"/>
                <w:szCs w:val="20"/>
              </w:rPr>
              <w:t>2.1 Obseg javnega naročanja</w:t>
            </w:r>
            <w:r w:rsidR="00D048EA" w:rsidRPr="00D048EA">
              <w:rPr>
                <w:rFonts w:ascii="Arial" w:hAnsi="Arial" w:cs="Arial"/>
                <w:noProof/>
                <w:webHidden/>
                <w:sz w:val="20"/>
                <w:szCs w:val="20"/>
              </w:rPr>
              <w:tab/>
            </w:r>
            <w:r w:rsidR="00D048EA" w:rsidRPr="00D048EA">
              <w:rPr>
                <w:rFonts w:ascii="Arial" w:hAnsi="Arial" w:cs="Arial"/>
                <w:noProof/>
                <w:webHidden/>
                <w:sz w:val="20"/>
                <w:szCs w:val="20"/>
              </w:rPr>
              <w:fldChar w:fldCharType="begin"/>
            </w:r>
            <w:r w:rsidR="00D048EA" w:rsidRPr="00D048EA">
              <w:rPr>
                <w:rFonts w:ascii="Arial" w:hAnsi="Arial" w:cs="Arial"/>
                <w:noProof/>
                <w:webHidden/>
                <w:sz w:val="20"/>
                <w:szCs w:val="20"/>
              </w:rPr>
              <w:instrText xml:space="preserve"> PAGEREF _Toc141864046 \h </w:instrText>
            </w:r>
            <w:r w:rsidR="00D048EA" w:rsidRPr="00D048EA">
              <w:rPr>
                <w:rFonts w:ascii="Arial" w:hAnsi="Arial" w:cs="Arial"/>
                <w:noProof/>
                <w:webHidden/>
                <w:sz w:val="20"/>
                <w:szCs w:val="20"/>
              </w:rPr>
            </w:r>
            <w:r w:rsidR="00D048EA" w:rsidRPr="00D048EA">
              <w:rPr>
                <w:rFonts w:ascii="Arial" w:hAnsi="Arial" w:cs="Arial"/>
                <w:noProof/>
                <w:webHidden/>
                <w:sz w:val="20"/>
                <w:szCs w:val="20"/>
              </w:rPr>
              <w:fldChar w:fldCharType="separate"/>
            </w:r>
            <w:r w:rsidR="000110D0">
              <w:rPr>
                <w:rFonts w:ascii="Arial" w:hAnsi="Arial" w:cs="Arial"/>
                <w:noProof/>
                <w:webHidden/>
                <w:sz w:val="20"/>
                <w:szCs w:val="20"/>
              </w:rPr>
              <w:t>8</w:t>
            </w:r>
            <w:r w:rsidR="00D048EA" w:rsidRPr="00D048EA">
              <w:rPr>
                <w:rFonts w:ascii="Arial" w:hAnsi="Arial" w:cs="Arial"/>
                <w:noProof/>
                <w:webHidden/>
                <w:sz w:val="20"/>
                <w:szCs w:val="20"/>
              </w:rPr>
              <w:fldChar w:fldCharType="end"/>
            </w:r>
          </w:hyperlink>
        </w:p>
        <w:p w14:paraId="33065BE3" w14:textId="544E6F3F" w:rsidR="00D048EA" w:rsidRPr="00D048EA" w:rsidRDefault="002E2890">
          <w:pPr>
            <w:pStyle w:val="Kazalovsebine2"/>
            <w:tabs>
              <w:tab w:val="right" w:leader="dot" w:pos="9174"/>
            </w:tabs>
            <w:rPr>
              <w:rFonts w:ascii="Arial" w:eastAsiaTheme="minorEastAsia" w:hAnsi="Arial" w:cs="Arial"/>
              <w:noProof/>
              <w:sz w:val="20"/>
              <w:szCs w:val="20"/>
              <w:lang w:eastAsia="sl-SI"/>
            </w:rPr>
          </w:pPr>
          <w:hyperlink w:anchor="_Toc141864047" w:history="1">
            <w:r w:rsidR="00D048EA" w:rsidRPr="00D048EA">
              <w:rPr>
                <w:rStyle w:val="Hiperpovezava"/>
                <w:rFonts w:ascii="Arial" w:hAnsi="Arial" w:cs="Arial"/>
                <w:noProof/>
                <w:sz w:val="20"/>
                <w:szCs w:val="20"/>
              </w:rPr>
              <w:t>2.1.1 Delež javnega naročanja v BDP</w:t>
            </w:r>
            <w:r w:rsidR="00D048EA" w:rsidRPr="00D048EA">
              <w:rPr>
                <w:rFonts w:ascii="Arial" w:hAnsi="Arial" w:cs="Arial"/>
                <w:noProof/>
                <w:webHidden/>
                <w:sz w:val="20"/>
                <w:szCs w:val="20"/>
              </w:rPr>
              <w:tab/>
            </w:r>
            <w:r w:rsidR="00D048EA" w:rsidRPr="00D048EA">
              <w:rPr>
                <w:rFonts w:ascii="Arial" w:hAnsi="Arial" w:cs="Arial"/>
                <w:noProof/>
                <w:webHidden/>
                <w:sz w:val="20"/>
                <w:szCs w:val="20"/>
              </w:rPr>
              <w:fldChar w:fldCharType="begin"/>
            </w:r>
            <w:r w:rsidR="00D048EA" w:rsidRPr="00D048EA">
              <w:rPr>
                <w:rFonts w:ascii="Arial" w:hAnsi="Arial" w:cs="Arial"/>
                <w:noProof/>
                <w:webHidden/>
                <w:sz w:val="20"/>
                <w:szCs w:val="20"/>
              </w:rPr>
              <w:instrText xml:space="preserve"> PAGEREF _Toc141864047 \h </w:instrText>
            </w:r>
            <w:r w:rsidR="00D048EA" w:rsidRPr="00D048EA">
              <w:rPr>
                <w:rFonts w:ascii="Arial" w:hAnsi="Arial" w:cs="Arial"/>
                <w:noProof/>
                <w:webHidden/>
                <w:sz w:val="20"/>
                <w:szCs w:val="20"/>
              </w:rPr>
            </w:r>
            <w:r w:rsidR="00D048EA" w:rsidRPr="00D048EA">
              <w:rPr>
                <w:rFonts w:ascii="Arial" w:hAnsi="Arial" w:cs="Arial"/>
                <w:noProof/>
                <w:webHidden/>
                <w:sz w:val="20"/>
                <w:szCs w:val="20"/>
              </w:rPr>
              <w:fldChar w:fldCharType="separate"/>
            </w:r>
            <w:r w:rsidR="000110D0">
              <w:rPr>
                <w:rFonts w:ascii="Arial" w:hAnsi="Arial" w:cs="Arial"/>
                <w:noProof/>
                <w:webHidden/>
                <w:sz w:val="20"/>
                <w:szCs w:val="20"/>
              </w:rPr>
              <w:t>8</w:t>
            </w:r>
            <w:r w:rsidR="00D048EA" w:rsidRPr="00D048EA">
              <w:rPr>
                <w:rFonts w:ascii="Arial" w:hAnsi="Arial" w:cs="Arial"/>
                <w:noProof/>
                <w:webHidden/>
                <w:sz w:val="20"/>
                <w:szCs w:val="20"/>
              </w:rPr>
              <w:fldChar w:fldCharType="end"/>
            </w:r>
          </w:hyperlink>
        </w:p>
        <w:p w14:paraId="15FFDC00" w14:textId="2AA0876F" w:rsidR="00D048EA" w:rsidRPr="00D048EA" w:rsidRDefault="002E2890">
          <w:pPr>
            <w:pStyle w:val="Kazalovsebine2"/>
            <w:tabs>
              <w:tab w:val="right" w:leader="dot" w:pos="9174"/>
            </w:tabs>
            <w:rPr>
              <w:rFonts w:ascii="Arial" w:eastAsiaTheme="minorEastAsia" w:hAnsi="Arial" w:cs="Arial"/>
              <w:noProof/>
              <w:sz w:val="20"/>
              <w:szCs w:val="20"/>
              <w:lang w:eastAsia="sl-SI"/>
            </w:rPr>
          </w:pPr>
          <w:hyperlink w:anchor="_Toc141864048" w:history="1">
            <w:r w:rsidR="00D048EA" w:rsidRPr="00D048EA">
              <w:rPr>
                <w:rStyle w:val="Hiperpovezava"/>
                <w:rFonts w:ascii="Arial" w:hAnsi="Arial" w:cs="Arial"/>
                <w:noProof/>
                <w:sz w:val="20"/>
                <w:szCs w:val="20"/>
              </w:rPr>
              <w:t>2.1.2 Delež javnega naročanja v odhodkih proračuna</w:t>
            </w:r>
            <w:r w:rsidR="00D048EA" w:rsidRPr="00D048EA">
              <w:rPr>
                <w:rFonts w:ascii="Arial" w:hAnsi="Arial" w:cs="Arial"/>
                <w:noProof/>
                <w:webHidden/>
                <w:sz w:val="20"/>
                <w:szCs w:val="20"/>
              </w:rPr>
              <w:tab/>
            </w:r>
            <w:r w:rsidR="00D048EA" w:rsidRPr="00D048EA">
              <w:rPr>
                <w:rFonts w:ascii="Arial" w:hAnsi="Arial" w:cs="Arial"/>
                <w:noProof/>
                <w:webHidden/>
                <w:sz w:val="20"/>
                <w:szCs w:val="20"/>
              </w:rPr>
              <w:fldChar w:fldCharType="begin"/>
            </w:r>
            <w:r w:rsidR="00D048EA" w:rsidRPr="00D048EA">
              <w:rPr>
                <w:rFonts w:ascii="Arial" w:hAnsi="Arial" w:cs="Arial"/>
                <w:noProof/>
                <w:webHidden/>
                <w:sz w:val="20"/>
                <w:szCs w:val="20"/>
              </w:rPr>
              <w:instrText xml:space="preserve"> PAGEREF _Toc141864048 \h </w:instrText>
            </w:r>
            <w:r w:rsidR="00D048EA" w:rsidRPr="00D048EA">
              <w:rPr>
                <w:rFonts w:ascii="Arial" w:hAnsi="Arial" w:cs="Arial"/>
                <w:noProof/>
                <w:webHidden/>
                <w:sz w:val="20"/>
                <w:szCs w:val="20"/>
              </w:rPr>
            </w:r>
            <w:r w:rsidR="00D048EA" w:rsidRPr="00D048EA">
              <w:rPr>
                <w:rFonts w:ascii="Arial" w:hAnsi="Arial" w:cs="Arial"/>
                <w:noProof/>
                <w:webHidden/>
                <w:sz w:val="20"/>
                <w:szCs w:val="20"/>
              </w:rPr>
              <w:fldChar w:fldCharType="separate"/>
            </w:r>
            <w:r w:rsidR="000110D0">
              <w:rPr>
                <w:rFonts w:ascii="Arial" w:hAnsi="Arial" w:cs="Arial"/>
                <w:noProof/>
                <w:webHidden/>
                <w:sz w:val="20"/>
                <w:szCs w:val="20"/>
              </w:rPr>
              <w:t>9</w:t>
            </w:r>
            <w:r w:rsidR="00D048EA" w:rsidRPr="00D048EA">
              <w:rPr>
                <w:rFonts w:ascii="Arial" w:hAnsi="Arial" w:cs="Arial"/>
                <w:noProof/>
                <w:webHidden/>
                <w:sz w:val="20"/>
                <w:szCs w:val="20"/>
              </w:rPr>
              <w:fldChar w:fldCharType="end"/>
            </w:r>
          </w:hyperlink>
        </w:p>
        <w:p w14:paraId="13A798E3" w14:textId="0995AB8E" w:rsidR="00D048EA" w:rsidRPr="00D048EA" w:rsidRDefault="002E2890">
          <w:pPr>
            <w:pStyle w:val="Kazalovsebine3"/>
            <w:tabs>
              <w:tab w:val="right" w:leader="dot" w:pos="9174"/>
            </w:tabs>
            <w:rPr>
              <w:rFonts w:ascii="Arial" w:hAnsi="Arial" w:cs="Arial"/>
              <w:noProof/>
              <w:sz w:val="20"/>
              <w:szCs w:val="20"/>
            </w:rPr>
          </w:pPr>
          <w:hyperlink w:anchor="_Toc141864049" w:history="1">
            <w:r w:rsidR="00D048EA" w:rsidRPr="00D048EA">
              <w:rPr>
                <w:rStyle w:val="Hiperpovezava"/>
                <w:rFonts w:ascii="Arial" w:hAnsi="Arial" w:cs="Arial"/>
                <w:noProof/>
                <w:sz w:val="20"/>
                <w:szCs w:val="20"/>
              </w:rPr>
              <w:t>2.1.3 Število naročnikov z objavljenim obvestilom o oddaji javnega naročila in s sporočenimi podatki o evidenčnih naročilih</w:t>
            </w:r>
            <w:r w:rsidR="00D048EA" w:rsidRPr="00D048EA">
              <w:rPr>
                <w:rFonts w:ascii="Arial" w:hAnsi="Arial" w:cs="Arial"/>
                <w:noProof/>
                <w:webHidden/>
                <w:sz w:val="20"/>
                <w:szCs w:val="20"/>
              </w:rPr>
              <w:tab/>
            </w:r>
            <w:r w:rsidR="00D048EA" w:rsidRPr="00D048EA">
              <w:rPr>
                <w:rFonts w:ascii="Arial" w:hAnsi="Arial" w:cs="Arial"/>
                <w:noProof/>
                <w:webHidden/>
                <w:sz w:val="20"/>
                <w:szCs w:val="20"/>
              </w:rPr>
              <w:fldChar w:fldCharType="begin"/>
            </w:r>
            <w:r w:rsidR="00D048EA" w:rsidRPr="00D048EA">
              <w:rPr>
                <w:rFonts w:ascii="Arial" w:hAnsi="Arial" w:cs="Arial"/>
                <w:noProof/>
                <w:webHidden/>
                <w:sz w:val="20"/>
                <w:szCs w:val="20"/>
              </w:rPr>
              <w:instrText xml:space="preserve"> PAGEREF _Toc141864049 \h </w:instrText>
            </w:r>
            <w:r w:rsidR="00D048EA" w:rsidRPr="00D048EA">
              <w:rPr>
                <w:rFonts w:ascii="Arial" w:hAnsi="Arial" w:cs="Arial"/>
                <w:noProof/>
                <w:webHidden/>
                <w:sz w:val="20"/>
                <w:szCs w:val="20"/>
              </w:rPr>
            </w:r>
            <w:r w:rsidR="00D048EA" w:rsidRPr="00D048EA">
              <w:rPr>
                <w:rFonts w:ascii="Arial" w:hAnsi="Arial" w:cs="Arial"/>
                <w:noProof/>
                <w:webHidden/>
                <w:sz w:val="20"/>
                <w:szCs w:val="20"/>
              </w:rPr>
              <w:fldChar w:fldCharType="separate"/>
            </w:r>
            <w:r w:rsidR="000110D0">
              <w:rPr>
                <w:rFonts w:ascii="Arial" w:hAnsi="Arial" w:cs="Arial"/>
                <w:noProof/>
                <w:webHidden/>
                <w:sz w:val="20"/>
                <w:szCs w:val="20"/>
              </w:rPr>
              <w:t>10</w:t>
            </w:r>
            <w:r w:rsidR="00D048EA" w:rsidRPr="00D048EA">
              <w:rPr>
                <w:rFonts w:ascii="Arial" w:hAnsi="Arial" w:cs="Arial"/>
                <w:noProof/>
                <w:webHidden/>
                <w:sz w:val="20"/>
                <w:szCs w:val="20"/>
              </w:rPr>
              <w:fldChar w:fldCharType="end"/>
            </w:r>
          </w:hyperlink>
        </w:p>
        <w:p w14:paraId="1FA0E860" w14:textId="1C6BA97D" w:rsidR="00D048EA" w:rsidRPr="00D048EA" w:rsidRDefault="002E2890">
          <w:pPr>
            <w:pStyle w:val="Kazalovsebine2"/>
            <w:tabs>
              <w:tab w:val="right" w:leader="dot" w:pos="9174"/>
            </w:tabs>
            <w:rPr>
              <w:rFonts w:ascii="Arial" w:eastAsiaTheme="minorEastAsia" w:hAnsi="Arial" w:cs="Arial"/>
              <w:noProof/>
              <w:sz w:val="20"/>
              <w:szCs w:val="20"/>
              <w:lang w:eastAsia="sl-SI"/>
            </w:rPr>
          </w:pPr>
          <w:hyperlink w:anchor="_Toc141864050" w:history="1">
            <w:r w:rsidR="00D048EA" w:rsidRPr="00D048EA">
              <w:rPr>
                <w:rStyle w:val="Hiperpovezava"/>
                <w:rFonts w:ascii="Arial" w:hAnsi="Arial" w:cs="Arial"/>
                <w:noProof/>
                <w:sz w:val="20"/>
                <w:szCs w:val="20"/>
              </w:rPr>
              <w:t>2.2 Objavljena javna naročila</w:t>
            </w:r>
            <w:r w:rsidR="00D048EA" w:rsidRPr="00D048EA">
              <w:rPr>
                <w:rFonts w:ascii="Arial" w:hAnsi="Arial" w:cs="Arial"/>
                <w:noProof/>
                <w:webHidden/>
                <w:sz w:val="20"/>
                <w:szCs w:val="20"/>
              </w:rPr>
              <w:tab/>
            </w:r>
            <w:r w:rsidR="00D048EA" w:rsidRPr="00D048EA">
              <w:rPr>
                <w:rFonts w:ascii="Arial" w:hAnsi="Arial" w:cs="Arial"/>
                <w:noProof/>
                <w:webHidden/>
                <w:sz w:val="20"/>
                <w:szCs w:val="20"/>
              </w:rPr>
              <w:fldChar w:fldCharType="begin"/>
            </w:r>
            <w:r w:rsidR="00D048EA" w:rsidRPr="00D048EA">
              <w:rPr>
                <w:rFonts w:ascii="Arial" w:hAnsi="Arial" w:cs="Arial"/>
                <w:noProof/>
                <w:webHidden/>
                <w:sz w:val="20"/>
                <w:szCs w:val="20"/>
              </w:rPr>
              <w:instrText xml:space="preserve"> PAGEREF _Toc141864050 \h </w:instrText>
            </w:r>
            <w:r w:rsidR="00D048EA" w:rsidRPr="00D048EA">
              <w:rPr>
                <w:rFonts w:ascii="Arial" w:hAnsi="Arial" w:cs="Arial"/>
                <w:noProof/>
                <w:webHidden/>
                <w:sz w:val="20"/>
                <w:szCs w:val="20"/>
              </w:rPr>
            </w:r>
            <w:r w:rsidR="00D048EA" w:rsidRPr="00D048EA">
              <w:rPr>
                <w:rFonts w:ascii="Arial" w:hAnsi="Arial" w:cs="Arial"/>
                <w:noProof/>
                <w:webHidden/>
                <w:sz w:val="20"/>
                <w:szCs w:val="20"/>
              </w:rPr>
              <w:fldChar w:fldCharType="separate"/>
            </w:r>
            <w:r w:rsidR="000110D0">
              <w:rPr>
                <w:rFonts w:ascii="Arial" w:hAnsi="Arial" w:cs="Arial"/>
                <w:noProof/>
                <w:webHidden/>
                <w:sz w:val="20"/>
                <w:szCs w:val="20"/>
              </w:rPr>
              <w:t>10</w:t>
            </w:r>
            <w:r w:rsidR="00D048EA" w:rsidRPr="00D048EA">
              <w:rPr>
                <w:rFonts w:ascii="Arial" w:hAnsi="Arial" w:cs="Arial"/>
                <w:noProof/>
                <w:webHidden/>
                <w:sz w:val="20"/>
                <w:szCs w:val="20"/>
              </w:rPr>
              <w:fldChar w:fldCharType="end"/>
            </w:r>
          </w:hyperlink>
        </w:p>
        <w:p w14:paraId="7AFF6F48" w14:textId="03293DEB" w:rsidR="00D048EA" w:rsidRPr="00D048EA" w:rsidRDefault="002E2890">
          <w:pPr>
            <w:pStyle w:val="Kazalovsebine3"/>
            <w:tabs>
              <w:tab w:val="right" w:leader="dot" w:pos="9174"/>
            </w:tabs>
            <w:rPr>
              <w:rFonts w:ascii="Arial" w:hAnsi="Arial" w:cs="Arial"/>
              <w:noProof/>
              <w:sz w:val="20"/>
              <w:szCs w:val="20"/>
            </w:rPr>
          </w:pPr>
          <w:hyperlink w:anchor="_Toc141864051" w:history="1">
            <w:r w:rsidR="00D048EA" w:rsidRPr="00D048EA">
              <w:rPr>
                <w:rStyle w:val="Hiperpovezava"/>
                <w:rFonts w:ascii="Arial" w:hAnsi="Arial" w:cs="Arial"/>
                <w:noProof/>
                <w:sz w:val="20"/>
                <w:szCs w:val="20"/>
              </w:rPr>
              <w:t>2.2.1 Naročila, objavljena le na portalu javnih naročil</w:t>
            </w:r>
            <w:r w:rsidR="00D048EA" w:rsidRPr="00D048EA">
              <w:rPr>
                <w:rFonts w:ascii="Arial" w:hAnsi="Arial" w:cs="Arial"/>
                <w:noProof/>
                <w:webHidden/>
                <w:sz w:val="20"/>
                <w:szCs w:val="20"/>
              </w:rPr>
              <w:tab/>
            </w:r>
            <w:r w:rsidR="00D048EA" w:rsidRPr="00D048EA">
              <w:rPr>
                <w:rFonts w:ascii="Arial" w:hAnsi="Arial" w:cs="Arial"/>
                <w:noProof/>
                <w:webHidden/>
                <w:sz w:val="20"/>
                <w:szCs w:val="20"/>
              </w:rPr>
              <w:fldChar w:fldCharType="begin"/>
            </w:r>
            <w:r w:rsidR="00D048EA" w:rsidRPr="00D048EA">
              <w:rPr>
                <w:rFonts w:ascii="Arial" w:hAnsi="Arial" w:cs="Arial"/>
                <w:noProof/>
                <w:webHidden/>
                <w:sz w:val="20"/>
                <w:szCs w:val="20"/>
              </w:rPr>
              <w:instrText xml:space="preserve"> PAGEREF _Toc141864051 \h </w:instrText>
            </w:r>
            <w:r w:rsidR="00D048EA" w:rsidRPr="00D048EA">
              <w:rPr>
                <w:rFonts w:ascii="Arial" w:hAnsi="Arial" w:cs="Arial"/>
                <w:noProof/>
                <w:webHidden/>
                <w:sz w:val="20"/>
                <w:szCs w:val="20"/>
              </w:rPr>
            </w:r>
            <w:r w:rsidR="00D048EA" w:rsidRPr="00D048EA">
              <w:rPr>
                <w:rFonts w:ascii="Arial" w:hAnsi="Arial" w:cs="Arial"/>
                <w:noProof/>
                <w:webHidden/>
                <w:sz w:val="20"/>
                <w:szCs w:val="20"/>
              </w:rPr>
              <w:fldChar w:fldCharType="separate"/>
            </w:r>
            <w:r w:rsidR="000110D0">
              <w:rPr>
                <w:rFonts w:ascii="Arial" w:hAnsi="Arial" w:cs="Arial"/>
                <w:noProof/>
                <w:webHidden/>
                <w:sz w:val="20"/>
                <w:szCs w:val="20"/>
              </w:rPr>
              <w:t>11</w:t>
            </w:r>
            <w:r w:rsidR="00D048EA" w:rsidRPr="00D048EA">
              <w:rPr>
                <w:rFonts w:ascii="Arial" w:hAnsi="Arial" w:cs="Arial"/>
                <w:noProof/>
                <w:webHidden/>
                <w:sz w:val="20"/>
                <w:szCs w:val="20"/>
              </w:rPr>
              <w:fldChar w:fldCharType="end"/>
            </w:r>
          </w:hyperlink>
        </w:p>
        <w:p w14:paraId="345D1724" w14:textId="069ED5D3" w:rsidR="00D048EA" w:rsidRPr="00D048EA" w:rsidRDefault="002E2890">
          <w:pPr>
            <w:pStyle w:val="Kazalovsebine3"/>
            <w:tabs>
              <w:tab w:val="right" w:leader="dot" w:pos="9174"/>
            </w:tabs>
            <w:rPr>
              <w:rFonts w:ascii="Arial" w:hAnsi="Arial" w:cs="Arial"/>
              <w:noProof/>
              <w:sz w:val="20"/>
              <w:szCs w:val="20"/>
            </w:rPr>
          </w:pPr>
          <w:hyperlink w:anchor="_Toc141864052" w:history="1">
            <w:r w:rsidR="00D048EA" w:rsidRPr="00D048EA">
              <w:rPr>
                <w:rStyle w:val="Hiperpovezava"/>
                <w:rFonts w:ascii="Arial" w:hAnsi="Arial" w:cs="Arial"/>
                <w:noProof/>
                <w:sz w:val="20"/>
                <w:szCs w:val="20"/>
              </w:rPr>
              <w:t>2.2.2 Naročila, objavljena na portalu javnih naročil in v Uradnem listu Evropske unije</w:t>
            </w:r>
            <w:r w:rsidR="00D048EA" w:rsidRPr="00D048EA">
              <w:rPr>
                <w:rFonts w:ascii="Arial" w:hAnsi="Arial" w:cs="Arial"/>
                <w:noProof/>
                <w:webHidden/>
                <w:sz w:val="20"/>
                <w:szCs w:val="20"/>
              </w:rPr>
              <w:tab/>
            </w:r>
            <w:r w:rsidR="00D048EA" w:rsidRPr="00D048EA">
              <w:rPr>
                <w:rFonts w:ascii="Arial" w:hAnsi="Arial" w:cs="Arial"/>
                <w:noProof/>
                <w:webHidden/>
                <w:sz w:val="20"/>
                <w:szCs w:val="20"/>
              </w:rPr>
              <w:fldChar w:fldCharType="begin"/>
            </w:r>
            <w:r w:rsidR="00D048EA" w:rsidRPr="00D048EA">
              <w:rPr>
                <w:rFonts w:ascii="Arial" w:hAnsi="Arial" w:cs="Arial"/>
                <w:noProof/>
                <w:webHidden/>
                <w:sz w:val="20"/>
                <w:szCs w:val="20"/>
              </w:rPr>
              <w:instrText xml:space="preserve"> PAGEREF _Toc141864052 \h </w:instrText>
            </w:r>
            <w:r w:rsidR="00D048EA" w:rsidRPr="00D048EA">
              <w:rPr>
                <w:rFonts w:ascii="Arial" w:hAnsi="Arial" w:cs="Arial"/>
                <w:noProof/>
                <w:webHidden/>
                <w:sz w:val="20"/>
                <w:szCs w:val="20"/>
              </w:rPr>
            </w:r>
            <w:r w:rsidR="00D048EA" w:rsidRPr="00D048EA">
              <w:rPr>
                <w:rFonts w:ascii="Arial" w:hAnsi="Arial" w:cs="Arial"/>
                <w:noProof/>
                <w:webHidden/>
                <w:sz w:val="20"/>
                <w:szCs w:val="20"/>
              </w:rPr>
              <w:fldChar w:fldCharType="separate"/>
            </w:r>
            <w:r w:rsidR="000110D0">
              <w:rPr>
                <w:rFonts w:ascii="Arial" w:hAnsi="Arial" w:cs="Arial"/>
                <w:noProof/>
                <w:webHidden/>
                <w:sz w:val="20"/>
                <w:szCs w:val="20"/>
              </w:rPr>
              <w:t>12</w:t>
            </w:r>
            <w:r w:rsidR="00D048EA" w:rsidRPr="00D048EA">
              <w:rPr>
                <w:rFonts w:ascii="Arial" w:hAnsi="Arial" w:cs="Arial"/>
                <w:noProof/>
                <w:webHidden/>
                <w:sz w:val="20"/>
                <w:szCs w:val="20"/>
              </w:rPr>
              <w:fldChar w:fldCharType="end"/>
            </w:r>
          </w:hyperlink>
        </w:p>
        <w:p w14:paraId="724D8ED3" w14:textId="6E0EB903" w:rsidR="00D048EA" w:rsidRPr="00D048EA" w:rsidRDefault="002E2890">
          <w:pPr>
            <w:pStyle w:val="Kazalovsebine2"/>
            <w:tabs>
              <w:tab w:val="right" w:leader="dot" w:pos="9174"/>
            </w:tabs>
            <w:rPr>
              <w:rFonts w:ascii="Arial" w:eastAsiaTheme="minorEastAsia" w:hAnsi="Arial" w:cs="Arial"/>
              <w:noProof/>
              <w:sz w:val="20"/>
              <w:szCs w:val="20"/>
              <w:lang w:eastAsia="sl-SI"/>
            </w:rPr>
          </w:pPr>
          <w:hyperlink w:anchor="_Toc141864053" w:history="1">
            <w:r w:rsidR="00D048EA" w:rsidRPr="00D048EA">
              <w:rPr>
                <w:rStyle w:val="Hiperpovezava"/>
                <w:rFonts w:ascii="Arial" w:hAnsi="Arial" w:cs="Arial"/>
                <w:noProof/>
                <w:sz w:val="20"/>
                <w:szCs w:val="20"/>
              </w:rPr>
              <w:t>2.3 Postopki in načini oddaje javnih naročil</w:t>
            </w:r>
            <w:r w:rsidR="00D048EA" w:rsidRPr="00D048EA">
              <w:rPr>
                <w:rFonts w:ascii="Arial" w:hAnsi="Arial" w:cs="Arial"/>
                <w:noProof/>
                <w:webHidden/>
                <w:sz w:val="20"/>
                <w:szCs w:val="20"/>
              </w:rPr>
              <w:tab/>
            </w:r>
            <w:r w:rsidR="00D048EA" w:rsidRPr="00D048EA">
              <w:rPr>
                <w:rFonts w:ascii="Arial" w:hAnsi="Arial" w:cs="Arial"/>
                <w:noProof/>
                <w:webHidden/>
                <w:sz w:val="20"/>
                <w:szCs w:val="20"/>
              </w:rPr>
              <w:fldChar w:fldCharType="begin"/>
            </w:r>
            <w:r w:rsidR="00D048EA" w:rsidRPr="00D048EA">
              <w:rPr>
                <w:rFonts w:ascii="Arial" w:hAnsi="Arial" w:cs="Arial"/>
                <w:noProof/>
                <w:webHidden/>
                <w:sz w:val="20"/>
                <w:szCs w:val="20"/>
              </w:rPr>
              <w:instrText xml:space="preserve"> PAGEREF _Toc141864053 \h </w:instrText>
            </w:r>
            <w:r w:rsidR="00D048EA" w:rsidRPr="00D048EA">
              <w:rPr>
                <w:rFonts w:ascii="Arial" w:hAnsi="Arial" w:cs="Arial"/>
                <w:noProof/>
                <w:webHidden/>
                <w:sz w:val="20"/>
                <w:szCs w:val="20"/>
              </w:rPr>
            </w:r>
            <w:r w:rsidR="00D048EA" w:rsidRPr="00D048EA">
              <w:rPr>
                <w:rFonts w:ascii="Arial" w:hAnsi="Arial" w:cs="Arial"/>
                <w:noProof/>
                <w:webHidden/>
                <w:sz w:val="20"/>
                <w:szCs w:val="20"/>
              </w:rPr>
              <w:fldChar w:fldCharType="separate"/>
            </w:r>
            <w:r w:rsidR="000110D0">
              <w:rPr>
                <w:rFonts w:ascii="Arial" w:hAnsi="Arial" w:cs="Arial"/>
                <w:noProof/>
                <w:webHidden/>
                <w:sz w:val="20"/>
                <w:szCs w:val="20"/>
              </w:rPr>
              <w:t>12</w:t>
            </w:r>
            <w:r w:rsidR="00D048EA" w:rsidRPr="00D048EA">
              <w:rPr>
                <w:rFonts w:ascii="Arial" w:hAnsi="Arial" w:cs="Arial"/>
                <w:noProof/>
                <w:webHidden/>
                <w:sz w:val="20"/>
                <w:szCs w:val="20"/>
              </w:rPr>
              <w:fldChar w:fldCharType="end"/>
            </w:r>
          </w:hyperlink>
        </w:p>
        <w:p w14:paraId="246D312F" w14:textId="3CAFBCE3" w:rsidR="00D048EA" w:rsidRPr="00D048EA" w:rsidRDefault="002E2890">
          <w:pPr>
            <w:pStyle w:val="Kazalovsebine3"/>
            <w:tabs>
              <w:tab w:val="right" w:leader="dot" w:pos="9174"/>
            </w:tabs>
            <w:rPr>
              <w:rFonts w:ascii="Arial" w:hAnsi="Arial" w:cs="Arial"/>
              <w:noProof/>
              <w:sz w:val="20"/>
              <w:szCs w:val="20"/>
            </w:rPr>
          </w:pPr>
          <w:hyperlink w:anchor="_Toc141864054" w:history="1">
            <w:r w:rsidR="00D048EA" w:rsidRPr="00D048EA">
              <w:rPr>
                <w:rStyle w:val="Hiperpovezava"/>
                <w:rFonts w:ascii="Arial" w:hAnsi="Arial" w:cs="Arial"/>
                <w:noProof/>
                <w:sz w:val="20"/>
                <w:szCs w:val="20"/>
              </w:rPr>
              <w:t>2.3.1 Postopki javnega naročanja</w:t>
            </w:r>
            <w:r w:rsidR="00D048EA" w:rsidRPr="00D048EA">
              <w:rPr>
                <w:rFonts w:ascii="Arial" w:hAnsi="Arial" w:cs="Arial"/>
                <w:noProof/>
                <w:webHidden/>
                <w:sz w:val="20"/>
                <w:szCs w:val="20"/>
              </w:rPr>
              <w:tab/>
            </w:r>
            <w:r w:rsidR="00D048EA" w:rsidRPr="00D048EA">
              <w:rPr>
                <w:rFonts w:ascii="Arial" w:hAnsi="Arial" w:cs="Arial"/>
                <w:noProof/>
                <w:webHidden/>
                <w:sz w:val="20"/>
                <w:szCs w:val="20"/>
              </w:rPr>
              <w:fldChar w:fldCharType="begin"/>
            </w:r>
            <w:r w:rsidR="00D048EA" w:rsidRPr="00D048EA">
              <w:rPr>
                <w:rFonts w:ascii="Arial" w:hAnsi="Arial" w:cs="Arial"/>
                <w:noProof/>
                <w:webHidden/>
                <w:sz w:val="20"/>
                <w:szCs w:val="20"/>
              </w:rPr>
              <w:instrText xml:space="preserve"> PAGEREF _Toc141864054 \h </w:instrText>
            </w:r>
            <w:r w:rsidR="00D048EA" w:rsidRPr="00D048EA">
              <w:rPr>
                <w:rFonts w:ascii="Arial" w:hAnsi="Arial" w:cs="Arial"/>
                <w:noProof/>
                <w:webHidden/>
                <w:sz w:val="20"/>
                <w:szCs w:val="20"/>
              </w:rPr>
            </w:r>
            <w:r w:rsidR="00D048EA" w:rsidRPr="00D048EA">
              <w:rPr>
                <w:rFonts w:ascii="Arial" w:hAnsi="Arial" w:cs="Arial"/>
                <w:noProof/>
                <w:webHidden/>
                <w:sz w:val="20"/>
                <w:szCs w:val="20"/>
              </w:rPr>
              <w:fldChar w:fldCharType="separate"/>
            </w:r>
            <w:r w:rsidR="000110D0">
              <w:rPr>
                <w:rFonts w:ascii="Arial" w:hAnsi="Arial" w:cs="Arial"/>
                <w:noProof/>
                <w:webHidden/>
                <w:sz w:val="20"/>
                <w:szCs w:val="20"/>
              </w:rPr>
              <w:t>12</w:t>
            </w:r>
            <w:r w:rsidR="00D048EA" w:rsidRPr="00D048EA">
              <w:rPr>
                <w:rFonts w:ascii="Arial" w:hAnsi="Arial" w:cs="Arial"/>
                <w:noProof/>
                <w:webHidden/>
                <w:sz w:val="20"/>
                <w:szCs w:val="20"/>
              </w:rPr>
              <w:fldChar w:fldCharType="end"/>
            </w:r>
          </w:hyperlink>
        </w:p>
        <w:p w14:paraId="0C04ADB9" w14:textId="18EAD7B9" w:rsidR="00D048EA" w:rsidRPr="00D048EA" w:rsidRDefault="002E2890">
          <w:pPr>
            <w:pStyle w:val="Kazalovsebine3"/>
            <w:tabs>
              <w:tab w:val="right" w:leader="dot" w:pos="9174"/>
            </w:tabs>
            <w:rPr>
              <w:rFonts w:ascii="Arial" w:hAnsi="Arial" w:cs="Arial"/>
              <w:noProof/>
              <w:sz w:val="20"/>
              <w:szCs w:val="20"/>
            </w:rPr>
          </w:pPr>
          <w:hyperlink w:anchor="_Toc141864055" w:history="1">
            <w:r w:rsidR="00D048EA" w:rsidRPr="00D048EA">
              <w:rPr>
                <w:rStyle w:val="Hiperpovezava"/>
                <w:rFonts w:ascii="Arial" w:hAnsi="Arial" w:cs="Arial"/>
                <w:noProof/>
                <w:sz w:val="20"/>
                <w:szCs w:val="20"/>
              </w:rPr>
              <w:t>2.3.2 Postopki z objavo obvestila o javnem naročilu</w:t>
            </w:r>
            <w:r w:rsidR="00D048EA" w:rsidRPr="00D048EA">
              <w:rPr>
                <w:rFonts w:ascii="Arial" w:hAnsi="Arial" w:cs="Arial"/>
                <w:noProof/>
                <w:webHidden/>
                <w:sz w:val="20"/>
                <w:szCs w:val="20"/>
              </w:rPr>
              <w:tab/>
            </w:r>
            <w:r w:rsidR="00D048EA" w:rsidRPr="00D048EA">
              <w:rPr>
                <w:rFonts w:ascii="Arial" w:hAnsi="Arial" w:cs="Arial"/>
                <w:noProof/>
                <w:webHidden/>
                <w:sz w:val="20"/>
                <w:szCs w:val="20"/>
              </w:rPr>
              <w:fldChar w:fldCharType="begin"/>
            </w:r>
            <w:r w:rsidR="00D048EA" w:rsidRPr="00D048EA">
              <w:rPr>
                <w:rFonts w:ascii="Arial" w:hAnsi="Arial" w:cs="Arial"/>
                <w:noProof/>
                <w:webHidden/>
                <w:sz w:val="20"/>
                <w:szCs w:val="20"/>
              </w:rPr>
              <w:instrText xml:space="preserve"> PAGEREF _Toc141864055 \h </w:instrText>
            </w:r>
            <w:r w:rsidR="00D048EA" w:rsidRPr="00D048EA">
              <w:rPr>
                <w:rFonts w:ascii="Arial" w:hAnsi="Arial" w:cs="Arial"/>
                <w:noProof/>
                <w:webHidden/>
                <w:sz w:val="20"/>
                <w:szCs w:val="20"/>
              </w:rPr>
            </w:r>
            <w:r w:rsidR="00D048EA" w:rsidRPr="00D048EA">
              <w:rPr>
                <w:rFonts w:ascii="Arial" w:hAnsi="Arial" w:cs="Arial"/>
                <w:noProof/>
                <w:webHidden/>
                <w:sz w:val="20"/>
                <w:szCs w:val="20"/>
              </w:rPr>
              <w:fldChar w:fldCharType="separate"/>
            </w:r>
            <w:r w:rsidR="000110D0">
              <w:rPr>
                <w:rFonts w:ascii="Arial" w:hAnsi="Arial" w:cs="Arial"/>
                <w:noProof/>
                <w:webHidden/>
                <w:sz w:val="20"/>
                <w:szCs w:val="20"/>
              </w:rPr>
              <w:t>15</w:t>
            </w:r>
            <w:r w:rsidR="00D048EA" w:rsidRPr="00D048EA">
              <w:rPr>
                <w:rFonts w:ascii="Arial" w:hAnsi="Arial" w:cs="Arial"/>
                <w:noProof/>
                <w:webHidden/>
                <w:sz w:val="20"/>
                <w:szCs w:val="20"/>
              </w:rPr>
              <w:fldChar w:fldCharType="end"/>
            </w:r>
          </w:hyperlink>
        </w:p>
        <w:p w14:paraId="2A8936EC" w14:textId="577CC263" w:rsidR="00D048EA" w:rsidRPr="00D048EA" w:rsidRDefault="002E2890">
          <w:pPr>
            <w:pStyle w:val="Kazalovsebine3"/>
            <w:tabs>
              <w:tab w:val="right" w:leader="dot" w:pos="9174"/>
            </w:tabs>
            <w:rPr>
              <w:rFonts w:ascii="Arial" w:hAnsi="Arial" w:cs="Arial"/>
              <w:noProof/>
              <w:sz w:val="20"/>
              <w:szCs w:val="20"/>
            </w:rPr>
          </w:pPr>
          <w:hyperlink w:anchor="_Toc141864056" w:history="1">
            <w:r w:rsidR="00D048EA" w:rsidRPr="00D048EA">
              <w:rPr>
                <w:rStyle w:val="Hiperpovezava"/>
                <w:rFonts w:ascii="Arial" w:hAnsi="Arial" w:cs="Arial"/>
                <w:noProof/>
                <w:sz w:val="20"/>
                <w:szCs w:val="20"/>
              </w:rPr>
              <w:t>2.3.3 Postopki brez predhodne objave obvestila o javnem naročilu</w:t>
            </w:r>
            <w:r w:rsidR="00D048EA" w:rsidRPr="00D048EA">
              <w:rPr>
                <w:rFonts w:ascii="Arial" w:hAnsi="Arial" w:cs="Arial"/>
                <w:noProof/>
                <w:webHidden/>
                <w:sz w:val="20"/>
                <w:szCs w:val="20"/>
              </w:rPr>
              <w:tab/>
            </w:r>
            <w:r w:rsidR="00D048EA" w:rsidRPr="00D048EA">
              <w:rPr>
                <w:rFonts w:ascii="Arial" w:hAnsi="Arial" w:cs="Arial"/>
                <w:noProof/>
                <w:webHidden/>
                <w:sz w:val="20"/>
                <w:szCs w:val="20"/>
              </w:rPr>
              <w:fldChar w:fldCharType="begin"/>
            </w:r>
            <w:r w:rsidR="00D048EA" w:rsidRPr="00D048EA">
              <w:rPr>
                <w:rFonts w:ascii="Arial" w:hAnsi="Arial" w:cs="Arial"/>
                <w:noProof/>
                <w:webHidden/>
                <w:sz w:val="20"/>
                <w:szCs w:val="20"/>
              </w:rPr>
              <w:instrText xml:space="preserve"> PAGEREF _Toc141864056 \h </w:instrText>
            </w:r>
            <w:r w:rsidR="00D048EA" w:rsidRPr="00D048EA">
              <w:rPr>
                <w:rFonts w:ascii="Arial" w:hAnsi="Arial" w:cs="Arial"/>
                <w:noProof/>
                <w:webHidden/>
                <w:sz w:val="20"/>
                <w:szCs w:val="20"/>
              </w:rPr>
            </w:r>
            <w:r w:rsidR="00D048EA" w:rsidRPr="00D048EA">
              <w:rPr>
                <w:rFonts w:ascii="Arial" w:hAnsi="Arial" w:cs="Arial"/>
                <w:noProof/>
                <w:webHidden/>
                <w:sz w:val="20"/>
                <w:szCs w:val="20"/>
              </w:rPr>
              <w:fldChar w:fldCharType="separate"/>
            </w:r>
            <w:r w:rsidR="000110D0">
              <w:rPr>
                <w:rFonts w:ascii="Arial" w:hAnsi="Arial" w:cs="Arial"/>
                <w:noProof/>
                <w:webHidden/>
                <w:sz w:val="20"/>
                <w:szCs w:val="20"/>
              </w:rPr>
              <w:t>15</w:t>
            </w:r>
            <w:r w:rsidR="00D048EA" w:rsidRPr="00D048EA">
              <w:rPr>
                <w:rFonts w:ascii="Arial" w:hAnsi="Arial" w:cs="Arial"/>
                <w:noProof/>
                <w:webHidden/>
                <w:sz w:val="20"/>
                <w:szCs w:val="20"/>
              </w:rPr>
              <w:fldChar w:fldCharType="end"/>
            </w:r>
          </w:hyperlink>
        </w:p>
        <w:p w14:paraId="6D0CD5B9" w14:textId="19E13B55" w:rsidR="00D048EA" w:rsidRPr="00D048EA" w:rsidRDefault="002E2890">
          <w:pPr>
            <w:pStyle w:val="Kazalovsebine3"/>
            <w:tabs>
              <w:tab w:val="right" w:leader="dot" w:pos="9174"/>
            </w:tabs>
            <w:rPr>
              <w:rFonts w:ascii="Arial" w:hAnsi="Arial" w:cs="Arial"/>
              <w:noProof/>
              <w:sz w:val="20"/>
              <w:szCs w:val="20"/>
            </w:rPr>
          </w:pPr>
          <w:hyperlink w:anchor="_Toc141864057" w:history="1">
            <w:r w:rsidR="00D048EA" w:rsidRPr="00D048EA">
              <w:rPr>
                <w:rStyle w:val="Hiperpovezava"/>
                <w:rFonts w:ascii="Arial" w:hAnsi="Arial" w:cs="Arial"/>
                <w:noProof/>
                <w:sz w:val="20"/>
                <w:szCs w:val="20"/>
              </w:rPr>
              <w:t>2.3.4 Oddaja socialnih in drugih posebnih storitev</w:t>
            </w:r>
            <w:r w:rsidR="00D048EA" w:rsidRPr="00D048EA">
              <w:rPr>
                <w:rFonts w:ascii="Arial" w:hAnsi="Arial" w:cs="Arial"/>
                <w:noProof/>
                <w:webHidden/>
                <w:sz w:val="20"/>
                <w:szCs w:val="20"/>
              </w:rPr>
              <w:tab/>
            </w:r>
            <w:r w:rsidR="00D048EA" w:rsidRPr="00D048EA">
              <w:rPr>
                <w:rFonts w:ascii="Arial" w:hAnsi="Arial" w:cs="Arial"/>
                <w:noProof/>
                <w:webHidden/>
                <w:sz w:val="20"/>
                <w:szCs w:val="20"/>
              </w:rPr>
              <w:fldChar w:fldCharType="begin"/>
            </w:r>
            <w:r w:rsidR="00D048EA" w:rsidRPr="00D048EA">
              <w:rPr>
                <w:rFonts w:ascii="Arial" w:hAnsi="Arial" w:cs="Arial"/>
                <w:noProof/>
                <w:webHidden/>
                <w:sz w:val="20"/>
                <w:szCs w:val="20"/>
              </w:rPr>
              <w:instrText xml:space="preserve"> PAGEREF _Toc141864057 \h </w:instrText>
            </w:r>
            <w:r w:rsidR="00D048EA" w:rsidRPr="00D048EA">
              <w:rPr>
                <w:rFonts w:ascii="Arial" w:hAnsi="Arial" w:cs="Arial"/>
                <w:noProof/>
                <w:webHidden/>
                <w:sz w:val="20"/>
                <w:szCs w:val="20"/>
              </w:rPr>
            </w:r>
            <w:r w:rsidR="00D048EA" w:rsidRPr="00D048EA">
              <w:rPr>
                <w:rFonts w:ascii="Arial" w:hAnsi="Arial" w:cs="Arial"/>
                <w:noProof/>
                <w:webHidden/>
                <w:sz w:val="20"/>
                <w:szCs w:val="20"/>
              </w:rPr>
              <w:fldChar w:fldCharType="separate"/>
            </w:r>
            <w:r w:rsidR="000110D0">
              <w:rPr>
                <w:rFonts w:ascii="Arial" w:hAnsi="Arial" w:cs="Arial"/>
                <w:noProof/>
                <w:webHidden/>
                <w:sz w:val="20"/>
                <w:szCs w:val="20"/>
              </w:rPr>
              <w:t>17</w:t>
            </w:r>
            <w:r w:rsidR="00D048EA" w:rsidRPr="00D048EA">
              <w:rPr>
                <w:rFonts w:ascii="Arial" w:hAnsi="Arial" w:cs="Arial"/>
                <w:noProof/>
                <w:webHidden/>
                <w:sz w:val="20"/>
                <w:szCs w:val="20"/>
              </w:rPr>
              <w:fldChar w:fldCharType="end"/>
            </w:r>
          </w:hyperlink>
        </w:p>
        <w:p w14:paraId="206FF9D1" w14:textId="5858E37F" w:rsidR="00D048EA" w:rsidRPr="00D048EA" w:rsidRDefault="002E2890">
          <w:pPr>
            <w:pStyle w:val="Kazalovsebine3"/>
            <w:tabs>
              <w:tab w:val="right" w:leader="dot" w:pos="9174"/>
            </w:tabs>
            <w:rPr>
              <w:rFonts w:ascii="Arial" w:hAnsi="Arial" w:cs="Arial"/>
              <w:noProof/>
              <w:sz w:val="20"/>
              <w:szCs w:val="20"/>
            </w:rPr>
          </w:pPr>
          <w:hyperlink w:anchor="_Toc141864058" w:history="1">
            <w:r w:rsidR="00D048EA" w:rsidRPr="00D048EA">
              <w:rPr>
                <w:rStyle w:val="Hiperpovezava"/>
                <w:rFonts w:ascii="Arial" w:hAnsi="Arial" w:cs="Arial"/>
                <w:noProof/>
                <w:sz w:val="20"/>
                <w:szCs w:val="20"/>
              </w:rPr>
              <w:t>2.3.5 Okvirni sporazumi</w:t>
            </w:r>
            <w:r w:rsidR="00D048EA" w:rsidRPr="00D048EA">
              <w:rPr>
                <w:rFonts w:ascii="Arial" w:hAnsi="Arial" w:cs="Arial"/>
                <w:noProof/>
                <w:webHidden/>
                <w:sz w:val="20"/>
                <w:szCs w:val="20"/>
              </w:rPr>
              <w:tab/>
            </w:r>
            <w:r w:rsidR="00D048EA" w:rsidRPr="00D048EA">
              <w:rPr>
                <w:rFonts w:ascii="Arial" w:hAnsi="Arial" w:cs="Arial"/>
                <w:noProof/>
                <w:webHidden/>
                <w:sz w:val="20"/>
                <w:szCs w:val="20"/>
              </w:rPr>
              <w:fldChar w:fldCharType="begin"/>
            </w:r>
            <w:r w:rsidR="00D048EA" w:rsidRPr="00D048EA">
              <w:rPr>
                <w:rFonts w:ascii="Arial" w:hAnsi="Arial" w:cs="Arial"/>
                <w:noProof/>
                <w:webHidden/>
                <w:sz w:val="20"/>
                <w:szCs w:val="20"/>
              </w:rPr>
              <w:instrText xml:space="preserve"> PAGEREF _Toc141864058 \h </w:instrText>
            </w:r>
            <w:r w:rsidR="00D048EA" w:rsidRPr="00D048EA">
              <w:rPr>
                <w:rFonts w:ascii="Arial" w:hAnsi="Arial" w:cs="Arial"/>
                <w:noProof/>
                <w:webHidden/>
                <w:sz w:val="20"/>
                <w:szCs w:val="20"/>
              </w:rPr>
            </w:r>
            <w:r w:rsidR="00D048EA" w:rsidRPr="00D048EA">
              <w:rPr>
                <w:rFonts w:ascii="Arial" w:hAnsi="Arial" w:cs="Arial"/>
                <w:noProof/>
                <w:webHidden/>
                <w:sz w:val="20"/>
                <w:szCs w:val="20"/>
              </w:rPr>
              <w:fldChar w:fldCharType="separate"/>
            </w:r>
            <w:r w:rsidR="000110D0">
              <w:rPr>
                <w:rFonts w:ascii="Arial" w:hAnsi="Arial" w:cs="Arial"/>
                <w:noProof/>
                <w:webHidden/>
                <w:sz w:val="20"/>
                <w:szCs w:val="20"/>
              </w:rPr>
              <w:t>17</w:t>
            </w:r>
            <w:r w:rsidR="00D048EA" w:rsidRPr="00D048EA">
              <w:rPr>
                <w:rFonts w:ascii="Arial" w:hAnsi="Arial" w:cs="Arial"/>
                <w:noProof/>
                <w:webHidden/>
                <w:sz w:val="20"/>
                <w:szCs w:val="20"/>
              </w:rPr>
              <w:fldChar w:fldCharType="end"/>
            </w:r>
          </w:hyperlink>
        </w:p>
        <w:p w14:paraId="02CF9814" w14:textId="0FF50DCD" w:rsidR="00D048EA" w:rsidRPr="00D048EA" w:rsidRDefault="002E2890">
          <w:pPr>
            <w:pStyle w:val="Kazalovsebine4"/>
            <w:tabs>
              <w:tab w:val="right" w:leader="dot" w:pos="9174"/>
            </w:tabs>
            <w:rPr>
              <w:rFonts w:ascii="Arial" w:eastAsiaTheme="minorEastAsia" w:hAnsi="Arial" w:cs="Arial"/>
              <w:noProof/>
              <w:sz w:val="20"/>
              <w:szCs w:val="20"/>
              <w:lang w:eastAsia="sl-SI"/>
            </w:rPr>
          </w:pPr>
          <w:hyperlink w:anchor="_Toc141864059" w:history="1">
            <w:r w:rsidR="00D048EA" w:rsidRPr="00D048EA">
              <w:rPr>
                <w:rStyle w:val="Hiperpovezava"/>
                <w:rFonts w:ascii="Arial" w:hAnsi="Arial" w:cs="Arial"/>
                <w:noProof/>
                <w:sz w:val="20"/>
                <w:szCs w:val="20"/>
              </w:rPr>
              <w:t>2.3.5.1 Naročila v postopkih javnega naročanja za sklenitev okvirnega sporazuma</w:t>
            </w:r>
            <w:r w:rsidR="00D048EA" w:rsidRPr="00D048EA">
              <w:rPr>
                <w:rFonts w:ascii="Arial" w:hAnsi="Arial" w:cs="Arial"/>
                <w:noProof/>
                <w:webHidden/>
                <w:sz w:val="20"/>
                <w:szCs w:val="20"/>
              </w:rPr>
              <w:tab/>
            </w:r>
            <w:r w:rsidR="00D048EA" w:rsidRPr="00D048EA">
              <w:rPr>
                <w:rFonts w:ascii="Arial" w:hAnsi="Arial" w:cs="Arial"/>
                <w:noProof/>
                <w:webHidden/>
                <w:sz w:val="20"/>
                <w:szCs w:val="20"/>
              </w:rPr>
              <w:fldChar w:fldCharType="begin"/>
            </w:r>
            <w:r w:rsidR="00D048EA" w:rsidRPr="00D048EA">
              <w:rPr>
                <w:rFonts w:ascii="Arial" w:hAnsi="Arial" w:cs="Arial"/>
                <w:noProof/>
                <w:webHidden/>
                <w:sz w:val="20"/>
                <w:szCs w:val="20"/>
              </w:rPr>
              <w:instrText xml:space="preserve"> PAGEREF _Toc141864059 \h </w:instrText>
            </w:r>
            <w:r w:rsidR="00D048EA" w:rsidRPr="00D048EA">
              <w:rPr>
                <w:rFonts w:ascii="Arial" w:hAnsi="Arial" w:cs="Arial"/>
                <w:noProof/>
                <w:webHidden/>
                <w:sz w:val="20"/>
                <w:szCs w:val="20"/>
              </w:rPr>
            </w:r>
            <w:r w:rsidR="00D048EA" w:rsidRPr="00D048EA">
              <w:rPr>
                <w:rFonts w:ascii="Arial" w:hAnsi="Arial" w:cs="Arial"/>
                <w:noProof/>
                <w:webHidden/>
                <w:sz w:val="20"/>
                <w:szCs w:val="20"/>
              </w:rPr>
              <w:fldChar w:fldCharType="separate"/>
            </w:r>
            <w:r w:rsidR="000110D0">
              <w:rPr>
                <w:rFonts w:ascii="Arial" w:hAnsi="Arial" w:cs="Arial"/>
                <w:noProof/>
                <w:webHidden/>
                <w:sz w:val="20"/>
                <w:szCs w:val="20"/>
              </w:rPr>
              <w:t>18</w:t>
            </w:r>
            <w:r w:rsidR="00D048EA" w:rsidRPr="00D048EA">
              <w:rPr>
                <w:rFonts w:ascii="Arial" w:hAnsi="Arial" w:cs="Arial"/>
                <w:noProof/>
                <w:webHidden/>
                <w:sz w:val="20"/>
                <w:szCs w:val="20"/>
              </w:rPr>
              <w:fldChar w:fldCharType="end"/>
            </w:r>
          </w:hyperlink>
        </w:p>
        <w:p w14:paraId="7109DFE0" w14:textId="102717F8" w:rsidR="00D048EA" w:rsidRPr="00D048EA" w:rsidRDefault="002E2890">
          <w:pPr>
            <w:pStyle w:val="Kazalovsebine3"/>
            <w:tabs>
              <w:tab w:val="right" w:leader="dot" w:pos="9174"/>
            </w:tabs>
            <w:rPr>
              <w:rFonts w:ascii="Arial" w:hAnsi="Arial" w:cs="Arial"/>
              <w:noProof/>
              <w:sz w:val="20"/>
              <w:szCs w:val="20"/>
            </w:rPr>
          </w:pPr>
          <w:hyperlink w:anchor="_Toc141864060" w:history="1">
            <w:r w:rsidR="00D048EA" w:rsidRPr="00D048EA">
              <w:rPr>
                <w:rStyle w:val="Hiperpovezava"/>
                <w:rFonts w:ascii="Arial" w:hAnsi="Arial" w:cs="Arial"/>
                <w:noProof/>
                <w:sz w:val="20"/>
                <w:szCs w:val="20"/>
              </w:rPr>
              <w:t>2.3.6 Elektronska dražba</w:t>
            </w:r>
            <w:r w:rsidR="00D048EA" w:rsidRPr="00D048EA">
              <w:rPr>
                <w:rFonts w:ascii="Arial" w:hAnsi="Arial" w:cs="Arial"/>
                <w:noProof/>
                <w:webHidden/>
                <w:sz w:val="20"/>
                <w:szCs w:val="20"/>
              </w:rPr>
              <w:tab/>
            </w:r>
            <w:r w:rsidR="00D048EA" w:rsidRPr="00D048EA">
              <w:rPr>
                <w:rFonts w:ascii="Arial" w:hAnsi="Arial" w:cs="Arial"/>
                <w:noProof/>
                <w:webHidden/>
                <w:sz w:val="20"/>
                <w:szCs w:val="20"/>
              </w:rPr>
              <w:fldChar w:fldCharType="begin"/>
            </w:r>
            <w:r w:rsidR="00D048EA" w:rsidRPr="00D048EA">
              <w:rPr>
                <w:rFonts w:ascii="Arial" w:hAnsi="Arial" w:cs="Arial"/>
                <w:noProof/>
                <w:webHidden/>
                <w:sz w:val="20"/>
                <w:szCs w:val="20"/>
              </w:rPr>
              <w:instrText xml:space="preserve"> PAGEREF _Toc141864060 \h </w:instrText>
            </w:r>
            <w:r w:rsidR="00D048EA" w:rsidRPr="00D048EA">
              <w:rPr>
                <w:rFonts w:ascii="Arial" w:hAnsi="Arial" w:cs="Arial"/>
                <w:noProof/>
                <w:webHidden/>
                <w:sz w:val="20"/>
                <w:szCs w:val="20"/>
              </w:rPr>
            </w:r>
            <w:r w:rsidR="00D048EA" w:rsidRPr="00D048EA">
              <w:rPr>
                <w:rFonts w:ascii="Arial" w:hAnsi="Arial" w:cs="Arial"/>
                <w:noProof/>
                <w:webHidden/>
                <w:sz w:val="20"/>
                <w:szCs w:val="20"/>
              </w:rPr>
              <w:fldChar w:fldCharType="separate"/>
            </w:r>
            <w:r w:rsidR="000110D0">
              <w:rPr>
                <w:rFonts w:ascii="Arial" w:hAnsi="Arial" w:cs="Arial"/>
                <w:noProof/>
                <w:webHidden/>
                <w:sz w:val="20"/>
                <w:szCs w:val="20"/>
              </w:rPr>
              <w:t>18</w:t>
            </w:r>
            <w:r w:rsidR="00D048EA" w:rsidRPr="00D048EA">
              <w:rPr>
                <w:rFonts w:ascii="Arial" w:hAnsi="Arial" w:cs="Arial"/>
                <w:noProof/>
                <w:webHidden/>
                <w:sz w:val="20"/>
                <w:szCs w:val="20"/>
              </w:rPr>
              <w:fldChar w:fldCharType="end"/>
            </w:r>
          </w:hyperlink>
        </w:p>
        <w:p w14:paraId="22DE7F74" w14:textId="1A745FC7" w:rsidR="00D048EA" w:rsidRPr="00D048EA" w:rsidRDefault="002E2890">
          <w:pPr>
            <w:pStyle w:val="Kazalovsebine3"/>
            <w:tabs>
              <w:tab w:val="right" w:leader="dot" w:pos="9174"/>
            </w:tabs>
            <w:rPr>
              <w:rFonts w:ascii="Arial" w:hAnsi="Arial" w:cs="Arial"/>
              <w:noProof/>
              <w:sz w:val="20"/>
              <w:szCs w:val="20"/>
            </w:rPr>
          </w:pPr>
          <w:hyperlink w:anchor="_Toc141864061" w:history="1">
            <w:r w:rsidR="00D048EA" w:rsidRPr="00D048EA">
              <w:rPr>
                <w:rStyle w:val="Hiperpovezava"/>
                <w:rFonts w:ascii="Arial" w:hAnsi="Arial" w:cs="Arial"/>
                <w:noProof/>
                <w:sz w:val="20"/>
                <w:szCs w:val="20"/>
              </w:rPr>
              <w:t>2.3.7 Skupno javno naročanje</w:t>
            </w:r>
            <w:r w:rsidR="00D048EA" w:rsidRPr="00D048EA">
              <w:rPr>
                <w:rFonts w:ascii="Arial" w:hAnsi="Arial" w:cs="Arial"/>
                <w:noProof/>
                <w:webHidden/>
                <w:sz w:val="20"/>
                <w:szCs w:val="20"/>
              </w:rPr>
              <w:tab/>
            </w:r>
            <w:r w:rsidR="00D048EA" w:rsidRPr="00D048EA">
              <w:rPr>
                <w:rFonts w:ascii="Arial" w:hAnsi="Arial" w:cs="Arial"/>
                <w:noProof/>
                <w:webHidden/>
                <w:sz w:val="20"/>
                <w:szCs w:val="20"/>
              </w:rPr>
              <w:fldChar w:fldCharType="begin"/>
            </w:r>
            <w:r w:rsidR="00D048EA" w:rsidRPr="00D048EA">
              <w:rPr>
                <w:rFonts w:ascii="Arial" w:hAnsi="Arial" w:cs="Arial"/>
                <w:noProof/>
                <w:webHidden/>
                <w:sz w:val="20"/>
                <w:szCs w:val="20"/>
              </w:rPr>
              <w:instrText xml:space="preserve"> PAGEREF _Toc141864061 \h </w:instrText>
            </w:r>
            <w:r w:rsidR="00D048EA" w:rsidRPr="00D048EA">
              <w:rPr>
                <w:rFonts w:ascii="Arial" w:hAnsi="Arial" w:cs="Arial"/>
                <w:noProof/>
                <w:webHidden/>
                <w:sz w:val="20"/>
                <w:szCs w:val="20"/>
              </w:rPr>
            </w:r>
            <w:r w:rsidR="00D048EA" w:rsidRPr="00D048EA">
              <w:rPr>
                <w:rFonts w:ascii="Arial" w:hAnsi="Arial" w:cs="Arial"/>
                <w:noProof/>
                <w:webHidden/>
                <w:sz w:val="20"/>
                <w:szCs w:val="20"/>
              </w:rPr>
              <w:fldChar w:fldCharType="separate"/>
            </w:r>
            <w:r w:rsidR="000110D0">
              <w:rPr>
                <w:rFonts w:ascii="Arial" w:hAnsi="Arial" w:cs="Arial"/>
                <w:noProof/>
                <w:webHidden/>
                <w:sz w:val="20"/>
                <w:szCs w:val="20"/>
              </w:rPr>
              <w:t>19</w:t>
            </w:r>
            <w:r w:rsidR="00D048EA" w:rsidRPr="00D048EA">
              <w:rPr>
                <w:rFonts w:ascii="Arial" w:hAnsi="Arial" w:cs="Arial"/>
                <w:noProof/>
                <w:webHidden/>
                <w:sz w:val="20"/>
                <w:szCs w:val="20"/>
              </w:rPr>
              <w:fldChar w:fldCharType="end"/>
            </w:r>
          </w:hyperlink>
        </w:p>
        <w:p w14:paraId="4CCC3EE9" w14:textId="5BB969C5" w:rsidR="00D048EA" w:rsidRPr="00D048EA" w:rsidRDefault="002E2890">
          <w:pPr>
            <w:pStyle w:val="Kazalovsebine2"/>
            <w:tabs>
              <w:tab w:val="right" w:leader="dot" w:pos="9174"/>
            </w:tabs>
            <w:rPr>
              <w:rFonts w:ascii="Arial" w:eastAsiaTheme="minorEastAsia" w:hAnsi="Arial" w:cs="Arial"/>
              <w:noProof/>
              <w:sz w:val="20"/>
              <w:szCs w:val="20"/>
              <w:lang w:eastAsia="sl-SI"/>
            </w:rPr>
          </w:pPr>
          <w:hyperlink w:anchor="_Toc141864062" w:history="1">
            <w:r w:rsidR="00D048EA" w:rsidRPr="00D048EA">
              <w:rPr>
                <w:rStyle w:val="Hiperpovezava"/>
                <w:rFonts w:ascii="Arial" w:hAnsi="Arial" w:cs="Arial"/>
                <w:noProof/>
                <w:sz w:val="20"/>
                <w:szCs w:val="20"/>
              </w:rPr>
              <w:t xml:space="preserve">2.4 </w:t>
            </w:r>
            <w:r w:rsidR="00D048EA" w:rsidRPr="00E853C2">
              <w:rPr>
                <w:rStyle w:val="Hiperpovezava"/>
                <w:rFonts w:ascii="Arial" w:hAnsi="Arial" w:cs="Arial"/>
                <w:noProof/>
                <w:sz w:val="20"/>
                <w:szCs w:val="20"/>
              </w:rPr>
              <w:t>Kategorije</w:t>
            </w:r>
            <w:r w:rsidR="00D048EA" w:rsidRPr="00D048EA">
              <w:rPr>
                <w:rStyle w:val="Hiperpovezava"/>
                <w:rFonts w:ascii="Arial" w:hAnsi="Arial" w:cs="Arial"/>
                <w:noProof/>
                <w:sz w:val="20"/>
                <w:szCs w:val="20"/>
              </w:rPr>
              <w:t xml:space="preserve"> naročnikov ter področja in predmeti naročanja</w:t>
            </w:r>
            <w:r w:rsidR="00D048EA" w:rsidRPr="00D048EA">
              <w:rPr>
                <w:rFonts w:ascii="Arial" w:hAnsi="Arial" w:cs="Arial"/>
                <w:noProof/>
                <w:webHidden/>
                <w:sz w:val="20"/>
                <w:szCs w:val="20"/>
              </w:rPr>
              <w:tab/>
            </w:r>
            <w:r w:rsidR="00D048EA" w:rsidRPr="00D048EA">
              <w:rPr>
                <w:rFonts w:ascii="Arial" w:hAnsi="Arial" w:cs="Arial"/>
                <w:noProof/>
                <w:webHidden/>
                <w:sz w:val="20"/>
                <w:szCs w:val="20"/>
              </w:rPr>
              <w:fldChar w:fldCharType="begin"/>
            </w:r>
            <w:r w:rsidR="00D048EA" w:rsidRPr="00D048EA">
              <w:rPr>
                <w:rFonts w:ascii="Arial" w:hAnsi="Arial" w:cs="Arial"/>
                <w:noProof/>
                <w:webHidden/>
                <w:sz w:val="20"/>
                <w:szCs w:val="20"/>
              </w:rPr>
              <w:instrText xml:space="preserve"> PAGEREF _Toc141864062 \h </w:instrText>
            </w:r>
            <w:r w:rsidR="00D048EA" w:rsidRPr="00D048EA">
              <w:rPr>
                <w:rFonts w:ascii="Arial" w:hAnsi="Arial" w:cs="Arial"/>
                <w:noProof/>
                <w:webHidden/>
                <w:sz w:val="20"/>
                <w:szCs w:val="20"/>
              </w:rPr>
            </w:r>
            <w:r w:rsidR="00D048EA" w:rsidRPr="00D048EA">
              <w:rPr>
                <w:rFonts w:ascii="Arial" w:hAnsi="Arial" w:cs="Arial"/>
                <w:noProof/>
                <w:webHidden/>
                <w:sz w:val="20"/>
                <w:szCs w:val="20"/>
              </w:rPr>
              <w:fldChar w:fldCharType="separate"/>
            </w:r>
            <w:r w:rsidR="000110D0">
              <w:rPr>
                <w:rFonts w:ascii="Arial" w:hAnsi="Arial" w:cs="Arial"/>
                <w:noProof/>
                <w:webHidden/>
                <w:sz w:val="20"/>
                <w:szCs w:val="20"/>
              </w:rPr>
              <w:t>20</w:t>
            </w:r>
            <w:r w:rsidR="00D048EA" w:rsidRPr="00D048EA">
              <w:rPr>
                <w:rFonts w:ascii="Arial" w:hAnsi="Arial" w:cs="Arial"/>
                <w:noProof/>
                <w:webHidden/>
                <w:sz w:val="20"/>
                <w:szCs w:val="20"/>
              </w:rPr>
              <w:fldChar w:fldCharType="end"/>
            </w:r>
          </w:hyperlink>
        </w:p>
        <w:p w14:paraId="52964C35" w14:textId="0299511C" w:rsidR="00D048EA" w:rsidRPr="00D048EA" w:rsidRDefault="002E2890">
          <w:pPr>
            <w:pStyle w:val="Kazalovsebine3"/>
            <w:tabs>
              <w:tab w:val="right" w:leader="dot" w:pos="9174"/>
            </w:tabs>
            <w:rPr>
              <w:rFonts w:ascii="Arial" w:hAnsi="Arial" w:cs="Arial"/>
              <w:noProof/>
              <w:sz w:val="20"/>
              <w:szCs w:val="20"/>
            </w:rPr>
          </w:pPr>
          <w:hyperlink w:anchor="_Toc141864063" w:history="1">
            <w:r w:rsidR="00D048EA" w:rsidRPr="00D048EA">
              <w:rPr>
                <w:rStyle w:val="Hiperpovezava"/>
                <w:rFonts w:ascii="Arial" w:hAnsi="Arial" w:cs="Arial"/>
                <w:noProof/>
                <w:sz w:val="20"/>
                <w:szCs w:val="20"/>
              </w:rPr>
              <w:t>2.4.1 Področje javnega naročanja in dejavnosti naročnikov</w:t>
            </w:r>
            <w:r w:rsidR="00D048EA" w:rsidRPr="00D048EA">
              <w:rPr>
                <w:rFonts w:ascii="Arial" w:hAnsi="Arial" w:cs="Arial"/>
                <w:noProof/>
                <w:webHidden/>
                <w:sz w:val="20"/>
                <w:szCs w:val="20"/>
              </w:rPr>
              <w:tab/>
            </w:r>
            <w:r w:rsidR="00D048EA" w:rsidRPr="00D048EA">
              <w:rPr>
                <w:rFonts w:ascii="Arial" w:hAnsi="Arial" w:cs="Arial"/>
                <w:noProof/>
                <w:webHidden/>
                <w:sz w:val="20"/>
                <w:szCs w:val="20"/>
              </w:rPr>
              <w:fldChar w:fldCharType="begin"/>
            </w:r>
            <w:r w:rsidR="00D048EA" w:rsidRPr="00D048EA">
              <w:rPr>
                <w:rFonts w:ascii="Arial" w:hAnsi="Arial" w:cs="Arial"/>
                <w:noProof/>
                <w:webHidden/>
                <w:sz w:val="20"/>
                <w:szCs w:val="20"/>
              </w:rPr>
              <w:instrText xml:space="preserve"> PAGEREF _Toc141864063 \h </w:instrText>
            </w:r>
            <w:r w:rsidR="00D048EA" w:rsidRPr="00D048EA">
              <w:rPr>
                <w:rFonts w:ascii="Arial" w:hAnsi="Arial" w:cs="Arial"/>
                <w:noProof/>
                <w:webHidden/>
                <w:sz w:val="20"/>
                <w:szCs w:val="20"/>
              </w:rPr>
            </w:r>
            <w:r w:rsidR="00D048EA" w:rsidRPr="00D048EA">
              <w:rPr>
                <w:rFonts w:ascii="Arial" w:hAnsi="Arial" w:cs="Arial"/>
                <w:noProof/>
                <w:webHidden/>
                <w:sz w:val="20"/>
                <w:szCs w:val="20"/>
              </w:rPr>
              <w:fldChar w:fldCharType="separate"/>
            </w:r>
            <w:r w:rsidR="000110D0">
              <w:rPr>
                <w:rFonts w:ascii="Arial" w:hAnsi="Arial" w:cs="Arial"/>
                <w:noProof/>
                <w:webHidden/>
                <w:sz w:val="20"/>
                <w:szCs w:val="20"/>
              </w:rPr>
              <w:t>20</w:t>
            </w:r>
            <w:r w:rsidR="00D048EA" w:rsidRPr="00D048EA">
              <w:rPr>
                <w:rFonts w:ascii="Arial" w:hAnsi="Arial" w:cs="Arial"/>
                <w:noProof/>
                <w:webHidden/>
                <w:sz w:val="20"/>
                <w:szCs w:val="20"/>
              </w:rPr>
              <w:fldChar w:fldCharType="end"/>
            </w:r>
          </w:hyperlink>
        </w:p>
        <w:p w14:paraId="6AF665BE" w14:textId="1EBEE199" w:rsidR="00D048EA" w:rsidRPr="00D048EA" w:rsidRDefault="002E2890">
          <w:pPr>
            <w:pStyle w:val="Kazalovsebine3"/>
            <w:tabs>
              <w:tab w:val="right" w:leader="dot" w:pos="9174"/>
            </w:tabs>
            <w:rPr>
              <w:rFonts w:ascii="Arial" w:hAnsi="Arial" w:cs="Arial"/>
              <w:noProof/>
              <w:sz w:val="20"/>
              <w:szCs w:val="20"/>
            </w:rPr>
          </w:pPr>
          <w:hyperlink w:anchor="_Toc141864064" w:history="1">
            <w:r w:rsidR="00D048EA" w:rsidRPr="00D048EA">
              <w:rPr>
                <w:rStyle w:val="Hiperpovezava"/>
                <w:rFonts w:ascii="Arial" w:hAnsi="Arial" w:cs="Arial"/>
                <w:noProof/>
                <w:sz w:val="20"/>
                <w:szCs w:val="20"/>
              </w:rPr>
              <w:t xml:space="preserve">2.4.2 </w:t>
            </w:r>
            <w:r w:rsidR="00D048EA" w:rsidRPr="00E853C2">
              <w:rPr>
                <w:rStyle w:val="Hiperpovezava"/>
                <w:rFonts w:ascii="Arial" w:hAnsi="Arial" w:cs="Arial"/>
                <w:noProof/>
                <w:sz w:val="20"/>
                <w:szCs w:val="20"/>
              </w:rPr>
              <w:t>Kategorije</w:t>
            </w:r>
            <w:r w:rsidR="00D048EA" w:rsidRPr="00D048EA">
              <w:rPr>
                <w:rStyle w:val="Hiperpovezava"/>
                <w:rFonts w:ascii="Arial" w:hAnsi="Arial" w:cs="Arial"/>
                <w:noProof/>
                <w:sz w:val="20"/>
                <w:szCs w:val="20"/>
              </w:rPr>
              <w:t xml:space="preserve"> naročnikov</w:t>
            </w:r>
            <w:r w:rsidR="00D048EA" w:rsidRPr="00D048EA">
              <w:rPr>
                <w:rFonts w:ascii="Arial" w:hAnsi="Arial" w:cs="Arial"/>
                <w:noProof/>
                <w:webHidden/>
                <w:sz w:val="20"/>
                <w:szCs w:val="20"/>
              </w:rPr>
              <w:tab/>
            </w:r>
            <w:r w:rsidR="00D048EA" w:rsidRPr="00D048EA">
              <w:rPr>
                <w:rFonts w:ascii="Arial" w:hAnsi="Arial" w:cs="Arial"/>
                <w:noProof/>
                <w:webHidden/>
                <w:sz w:val="20"/>
                <w:szCs w:val="20"/>
              </w:rPr>
              <w:fldChar w:fldCharType="begin"/>
            </w:r>
            <w:r w:rsidR="00D048EA" w:rsidRPr="00D048EA">
              <w:rPr>
                <w:rFonts w:ascii="Arial" w:hAnsi="Arial" w:cs="Arial"/>
                <w:noProof/>
                <w:webHidden/>
                <w:sz w:val="20"/>
                <w:szCs w:val="20"/>
              </w:rPr>
              <w:instrText xml:space="preserve"> PAGEREF _Toc141864064 \h </w:instrText>
            </w:r>
            <w:r w:rsidR="00D048EA" w:rsidRPr="00D048EA">
              <w:rPr>
                <w:rFonts w:ascii="Arial" w:hAnsi="Arial" w:cs="Arial"/>
                <w:noProof/>
                <w:webHidden/>
                <w:sz w:val="20"/>
                <w:szCs w:val="20"/>
              </w:rPr>
            </w:r>
            <w:r w:rsidR="00D048EA" w:rsidRPr="00D048EA">
              <w:rPr>
                <w:rFonts w:ascii="Arial" w:hAnsi="Arial" w:cs="Arial"/>
                <w:noProof/>
                <w:webHidden/>
                <w:sz w:val="20"/>
                <w:szCs w:val="20"/>
              </w:rPr>
              <w:fldChar w:fldCharType="separate"/>
            </w:r>
            <w:r w:rsidR="000110D0">
              <w:rPr>
                <w:rFonts w:ascii="Arial" w:hAnsi="Arial" w:cs="Arial"/>
                <w:noProof/>
                <w:webHidden/>
                <w:sz w:val="20"/>
                <w:szCs w:val="20"/>
              </w:rPr>
              <w:t>21</w:t>
            </w:r>
            <w:r w:rsidR="00D048EA" w:rsidRPr="00D048EA">
              <w:rPr>
                <w:rFonts w:ascii="Arial" w:hAnsi="Arial" w:cs="Arial"/>
                <w:noProof/>
                <w:webHidden/>
                <w:sz w:val="20"/>
                <w:szCs w:val="20"/>
              </w:rPr>
              <w:fldChar w:fldCharType="end"/>
            </w:r>
          </w:hyperlink>
        </w:p>
        <w:p w14:paraId="09AA17B9" w14:textId="33C1EA81" w:rsidR="00D048EA" w:rsidRPr="00D048EA" w:rsidRDefault="002E2890">
          <w:pPr>
            <w:pStyle w:val="Kazalovsebine3"/>
            <w:tabs>
              <w:tab w:val="right" w:leader="dot" w:pos="9174"/>
            </w:tabs>
            <w:rPr>
              <w:rFonts w:ascii="Arial" w:hAnsi="Arial" w:cs="Arial"/>
              <w:noProof/>
              <w:sz w:val="20"/>
              <w:szCs w:val="20"/>
            </w:rPr>
          </w:pPr>
          <w:hyperlink w:anchor="_Toc141864065" w:history="1">
            <w:r w:rsidR="00D048EA" w:rsidRPr="00D048EA">
              <w:rPr>
                <w:rStyle w:val="Hiperpovezava"/>
                <w:rFonts w:ascii="Arial" w:hAnsi="Arial" w:cs="Arial"/>
                <w:noProof/>
                <w:sz w:val="20"/>
                <w:szCs w:val="20"/>
              </w:rPr>
              <w:t>2.4.3 Predmeti naročanja</w:t>
            </w:r>
            <w:r w:rsidR="00D048EA" w:rsidRPr="00D048EA">
              <w:rPr>
                <w:rFonts w:ascii="Arial" w:hAnsi="Arial" w:cs="Arial"/>
                <w:noProof/>
                <w:webHidden/>
                <w:sz w:val="20"/>
                <w:szCs w:val="20"/>
              </w:rPr>
              <w:tab/>
            </w:r>
            <w:r w:rsidR="00D048EA" w:rsidRPr="00D048EA">
              <w:rPr>
                <w:rFonts w:ascii="Arial" w:hAnsi="Arial" w:cs="Arial"/>
                <w:noProof/>
                <w:webHidden/>
                <w:sz w:val="20"/>
                <w:szCs w:val="20"/>
              </w:rPr>
              <w:fldChar w:fldCharType="begin"/>
            </w:r>
            <w:r w:rsidR="00D048EA" w:rsidRPr="00D048EA">
              <w:rPr>
                <w:rFonts w:ascii="Arial" w:hAnsi="Arial" w:cs="Arial"/>
                <w:noProof/>
                <w:webHidden/>
                <w:sz w:val="20"/>
                <w:szCs w:val="20"/>
              </w:rPr>
              <w:instrText xml:space="preserve"> PAGEREF _Toc141864065 \h </w:instrText>
            </w:r>
            <w:r w:rsidR="00D048EA" w:rsidRPr="00D048EA">
              <w:rPr>
                <w:rFonts w:ascii="Arial" w:hAnsi="Arial" w:cs="Arial"/>
                <w:noProof/>
                <w:webHidden/>
                <w:sz w:val="20"/>
                <w:szCs w:val="20"/>
              </w:rPr>
            </w:r>
            <w:r w:rsidR="00D048EA" w:rsidRPr="00D048EA">
              <w:rPr>
                <w:rFonts w:ascii="Arial" w:hAnsi="Arial" w:cs="Arial"/>
                <w:noProof/>
                <w:webHidden/>
                <w:sz w:val="20"/>
                <w:szCs w:val="20"/>
              </w:rPr>
              <w:fldChar w:fldCharType="separate"/>
            </w:r>
            <w:r w:rsidR="000110D0">
              <w:rPr>
                <w:rFonts w:ascii="Arial" w:hAnsi="Arial" w:cs="Arial"/>
                <w:noProof/>
                <w:webHidden/>
                <w:sz w:val="20"/>
                <w:szCs w:val="20"/>
              </w:rPr>
              <w:t>22</w:t>
            </w:r>
            <w:r w:rsidR="00D048EA" w:rsidRPr="00D048EA">
              <w:rPr>
                <w:rFonts w:ascii="Arial" w:hAnsi="Arial" w:cs="Arial"/>
                <w:noProof/>
                <w:webHidden/>
                <w:sz w:val="20"/>
                <w:szCs w:val="20"/>
              </w:rPr>
              <w:fldChar w:fldCharType="end"/>
            </w:r>
          </w:hyperlink>
        </w:p>
        <w:p w14:paraId="5D5CC4AF" w14:textId="1F44DFDA" w:rsidR="00D048EA" w:rsidRPr="00D048EA" w:rsidRDefault="002E2890">
          <w:pPr>
            <w:pStyle w:val="Kazalovsebine2"/>
            <w:tabs>
              <w:tab w:val="right" w:leader="dot" w:pos="9174"/>
            </w:tabs>
            <w:rPr>
              <w:rFonts w:ascii="Arial" w:eastAsiaTheme="minorEastAsia" w:hAnsi="Arial" w:cs="Arial"/>
              <w:noProof/>
              <w:sz w:val="20"/>
              <w:szCs w:val="20"/>
              <w:lang w:eastAsia="sl-SI"/>
            </w:rPr>
          </w:pPr>
          <w:hyperlink w:anchor="_Toc141864066" w:history="1">
            <w:r w:rsidR="00D048EA" w:rsidRPr="00D048EA">
              <w:rPr>
                <w:rStyle w:val="Hiperpovezava"/>
                <w:rFonts w:ascii="Arial" w:hAnsi="Arial" w:cs="Arial"/>
                <w:noProof/>
                <w:sz w:val="20"/>
                <w:szCs w:val="20"/>
              </w:rPr>
              <w:t>2.5 Merila za oddajo javnega naročila</w:t>
            </w:r>
            <w:r w:rsidR="00D048EA" w:rsidRPr="00D048EA">
              <w:rPr>
                <w:rFonts w:ascii="Arial" w:hAnsi="Arial" w:cs="Arial"/>
                <w:noProof/>
                <w:webHidden/>
                <w:sz w:val="20"/>
                <w:szCs w:val="20"/>
              </w:rPr>
              <w:tab/>
            </w:r>
            <w:r w:rsidR="00D048EA" w:rsidRPr="00D048EA">
              <w:rPr>
                <w:rFonts w:ascii="Arial" w:hAnsi="Arial" w:cs="Arial"/>
                <w:noProof/>
                <w:webHidden/>
                <w:sz w:val="20"/>
                <w:szCs w:val="20"/>
              </w:rPr>
              <w:fldChar w:fldCharType="begin"/>
            </w:r>
            <w:r w:rsidR="00D048EA" w:rsidRPr="00D048EA">
              <w:rPr>
                <w:rFonts w:ascii="Arial" w:hAnsi="Arial" w:cs="Arial"/>
                <w:noProof/>
                <w:webHidden/>
                <w:sz w:val="20"/>
                <w:szCs w:val="20"/>
              </w:rPr>
              <w:instrText xml:space="preserve"> PAGEREF _Toc141864066 \h </w:instrText>
            </w:r>
            <w:r w:rsidR="00D048EA" w:rsidRPr="00D048EA">
              <w:rPr>
                <w:rFonts w:ascii="Arial" w:hAnsi="Arial" w:cs="Arial"/>
                <w:noProof/>
                <w:webHidden/>
                <w:sz w:val="20"/>
                <w:szCs w:val="20"/>
              </w:rPr>
            </w:r>
            <w:r w:rsidR="00D048EA" w:rsidRPr="00D048EA">
              <w:rPr>
                <w:rFonts w:ascii="Arial" w:hAnsi="Arial" w:cs="Arial"/>
                <w:noProof/>
                <w:webHidden/>
                <w:sz w:val="20"/>
                <w:szCs w:val="20"/>
              </w:rPr>
              <w:fldChar w:fldCharType="separate"/>
            </w:r>
            <w:r w:rsidR="000110D0">
              <w:rPr>
                <w:rFonts w:ascii="Arial" w:hAnsi="Arial" w:cs="Arial"/>
                <w:noProof/>
                <w:webHidden/>
                <w:sz w:val="20"/>
                <w:szCs w:val="20"/>
              </w:rPr>
              <w:t>23</w:t>
            </w:r>
            <w:r w:rsidR="00D048EA" w:rsidRPr="00D048EA">
              <w:rPr>
                <w:rFonts w:ascii="Arial" w:hAnsi="Arial" w:cs="Arial"/>
                <w:noProof/>
                <w:webHidden/>
                <w:sz w:val="20"/>
                <w:szCs w:val="20"/>
              </w:rPr>
              <w:fldChar w:fldCharType="end"/>
            </w:r>
          </w:hyperlink>
        </w:p>
        <w:p w14:paraId="4AF25B6B" w14:textId="7D15379C" w:rsidR="00D048EA" w:rsidRPr="00D048EA" w:rsidRDefault="002E2890">
          <w:pPr>
            <w:pStyle w:val="Kazalovsebine2"/>
            <w:tabs>
              <w:tab w:val="right" w:leader="dot" w:pos="9174"/>
            </w:tabs>
            <w:rPr>
              <w:rFonts w:ascii="Arial" w:eastAsiaTheme="minorEastAsia" w:hAnsi="Arial" w:cs="Arial"/>
              <w:noProof/>
              <w:sz w:val="20"/>
              <w:szCs w:val="20"/>
              <w:lang w:eastAsia="sl-SI"/>
            </w:rPr>
          </w:pPr>
          <w:hyperlink w:anchor="_Toc141864067" w:history="1">
            <w:r w:rsidR="00D048EA" w:rsidRPr="00D048EA">
              <w:rPr>
                <w:rStyle w:val="Hiperpovezava"/>
                <w:rFonts w:ascii="Arial" w:hAnsi="Arial" w:cs="Arial"/>
                <w:noProof/>
                <w:sz w:val="20"/>
                <w:szCs w:val="20"/>
              </w:rPr>
              <w:t>2.6 Ponudniki in podizvajalci</w:t>
            </w:r>
            <w:r w:rsidR="00D048EA" w:rsidRPr="00D048EA">
              <w:rPr>
                <w:rFonts w:ascii="Arial" w:hAnsi="Arial" w:cs="Arial"/>
                <w:noProof/>
                <w:webHidden/>
                <w:sz w:val="20"/>
                <w:szCs w:val="20"/>
              </w:rPr>
              <w:tab/>
            </w:r>
            <w:r w:rsidR="00D048EA" w:rsidRPr="00D048EA">
              <w:rPr>
                <w:rFonts w:ascii="Arial" w:hAnsi="Arial" w:cs="Arial"/>
                <w:noProof/>
                <w:webHidden/>
                <w:sz w:val="20"/>
                <w:szCs w:val="20"/>
              </w:rPr>
              <w:fldChar w:fldCharType="begin"/>
            </w:r>
            <w:r w:rsidR="00D048EA" w:rsidRPr="00D048EA">
              <w:rPr>
                <w:rFonts w:ascii="Arial" w:hAnsi="Arial" w:cs="Arial"/>
                <w:noProof/>
                <w:webHidden/>
                <w:sz w:val="20"/>
                <w:szCs w:val="20"/>
              </w:rPr>
              <w:instrText xml:space="preserve"> PAGEREF _Toc141864067 \h </w:instrText>
            </w:r>
            <w:r w:rsidR="00D048EA" w:rsidRPr="00D048EA">
              <w:rPr>
                <w:rFonts w:ascii="Arial" w:hAnsi="Arial" w:cs="Arial"/>
                <w:noProof/>
                <w:webHidden/>
                <w:sz w:val="20"/>
                <w:szCs w:val="20"/>
              </w:rPr>
            </w:r>
            <w:r w:rsidR="00D048EA" w:rsidRPr="00D048EA">
              <w:rPr>
                <w:rFonts w:ascii="Arial" w:hAnsi="Arial" w:cs="Arial"/>
                <w:noProof/>
                <w:webHidden/>
                <w:sz w:val="20"/>
                <w:szCs w:val="20"/>
              </w:rPr>
              <w:fldChar w:fldCharType="separate"/>
            </w:r>
            <w:r w:rsidR="000110D0">
              <w:rPr>
                <w:rFonts w:ascii="Arial" w:hAnsi="Arial" w:cs="Arial"/>
                <w:noProof/>
                <w:webHidden/>
                <w:sz w:val="20"/>
                <w:szCs w:val="20"/>
              </w:rPr>
              <w:t>24</w:t>
            </w:r>
            <w:r w:rsidR="00D048EA" w:rsidRPr="00D048EA">
              <w:rPr>
                <w:rFonts w:ascii="Arial" w:hAnsi="Arial" w:cs="Arial"/>
                <w:noProof/>
                <w:webHidden/>
                <w:sz w:val="20"/>
                <w:szCs w:val="20"/>
              </w:rPr>
              <w:fldChar w:fldCharType="end"/>
            </w:r>
          </w:hyperlink>
        </w:p>
        <w:p w14:paraId="4EA9FCA6" w14:textId="46139042" w:rsidR="00D048EA" w:rsidRPr="00D048EA" w:rsidRDefault="002E2890">
          <w:pPr>
            <w:pStyle w:val="Kazalovsebine3"/>
            <w:tabs>
              <w:tab w:val="right" w:leader="dot" w:pos="9174"/>
            </w:tabs>
            <w:rPr>
              <w:rFonts w:ascii="Arial" w:hAnsi="Arial" w:cs="Arial"/>
              <w:noProof/>
              <w:sz w:val="20"/>
              <w:szCs w:val="20"/>
            </w:rPr>
          </w:pPr>
          <w:hyperlink w:anchor="_Toc141864068" w:history="1">
            <w:r w:rsidR="00D048EA" w:rsidRPr="00D048EA">
              <w:rPr>
                <w:rStyle w:val="Hiperpovezava"/>
                <w:rFonts w:ascii="Arial" w:hAnsi="Arial" w:cs="Arial"/>
                <w:noProof/>
                <w:sz w:val="20"/>
                <w:szCs w:val="20"/>
              </w:rPr>
              <w:t>2.6.1 Uresničevanje načela konkurenčnosti in združevanje naročil v postopku</w:t>
            </w:r>
            <w:r w:rsidR="00D048EA" w:rsidRPr="00D048EA">
              <w:rPr>
                <w:rFonts w:ascii="Arial" w:hAnsi="Arial" w:cs="Arial"/>
                <w:noProof/>
                <w:webHidden/>
                <w:sz w:val="20"/>
                <w:szCs w:val="20"/>
              </w:rPr>
              <w:tab/>
            </w:r>
            <w:r w:rsidR="00D048EA" w:rsidRPr="00D048EA">
              <w:rPr>
                <w:rFonts w:ascii="Arial" w:hAnsi="Arial" w:cs="Arial"/>
                <w:noProof/>
                <w:webHidden/>
                <w:sz w:val="20"/>
                <w:szCs w:val="20"/>
              </w:rPr>
              <w:fldChar w:fldCharType="begin"/>
            </w:r>
            <w:r w:rsidR="00D048EA" w:rsidRPr="00D048EA">
              <w:rPr>
                <w:rFonts w:ascii="Arial" w:hAnsi="Arial" w:cs="Arial"/>
                <w:noProof/>
                <w:webHidden/>
                <w:sz w:val="20"/>
                <w:szCs w:val="20"/>
              </w:rPr>
              <w:instrText xml:space="preserve"> PAGEREF _Toc141864068 \h </w:instrText>
            </w:r>
            <w:r w:rsidR="00D048EA" w:rsidRPr="00D048EA">
              <w:rPr>
                <w:rFonts w:ascii="Arial" w:hAnsi="Arial" w:cs="Arial"/>
                <w:noProof/>
                <w:webHidden/>
                <w:sz w:val="20"/>
                <w:szCs w:val="20"/>
              </w:rPr>
            </w:r>
            <w:r w:rsidR="00D048EA" w:rsidRPr="00D048EA">
              <w:rPr>
                <w:rFonts w:ascii="Arial" w:hAnsi="Arial" w:cs="Arial"/>
                <w:noProof/>
                <w:webHidden/>
                <w:sz w:val="20"/>
                <w:szCs w:val="20"/>
              </w:rPr>
              <w:fldChar w:fldCharType="separate"/>
            </w:r>
            <w:r w:rsidR="000110D0">
              <w:rPr>
                <w:rFonts w:ascii="Arial" w:hAnsi="Arial" w:cs="Arial"/>
                <w:noProof/>
                <w:webHidden/>
                <w:sz w:val="20"/>
                <w:szCs w:val="20"/>
              </w:rPr>
              <w:t>25</w:t>
            </w:r>
            <w:r w:rsidR="00D048EA" w:rsidRPr="00D048EA">
              <w:rPr>
                <w:rFonts w:ascii="Arial" w:hAnsi="Arial" w:cs="Arial"/>
                <w:noProof/>
                <w:webHidden/>
                <w:sz w:val="20"/>
                <w:szCs w:val="20"/>
              </w:rPr>
              <w:fldChar w:fldCharType="end"/>
            </w:r>
          </w:hyperlink>
        </w:p>
        <w:p w14:paraId="6A4E51E8" w14:textId="37AA8DCC" w:rsidR="00D048EA" w:rsidRPr="00D048EA" w:rsidRDefault="002E2890">
          <w:pPr>
            <w:pStyle w:val="Kazalovsebine3"/>
            <w:tabs>
              <w:tab w:val="right" w:leader="dot" w:pos="9174"/>
            </w:tabs>
            <w:rPr>
              <w:rFonts w:ascii="Arial" w:hAnsi="Arial" w:cs="Arial"/>
              <w:noProof/>
              <w:sz w:val="20"/>
              <w:szCs w:val="20"/>
            </w:rPr>
          </w:pPr>
          <w:hyperlink w:anchor="_Toc141864069" w:history="1">
            <w:r w:rsidR="00D048EA" w:rsidRPr="00D048EA">
              <w:rPr>
                <w:rStyle w:val="Hiperpovezava"/>
                <w:rFonts w:ascii="Arial" w:hAnsi="Arial" w:cs="Arial"/>
                <w:noProof/>
                <w:sz w:val="20"/>
                <w:szCs w:val="20"/>
              </w:rPr>
              <w:t>2.6.2 Sedež ponudnikov</w:t>
            </w:r>
            <w:r w:rsidR="00D048EA" w:rsidRPr="00D048EA">
              <w:rPr>
                <w:rFonts w:ascii="Arial" w:hAnsi="Arial" w:cs="Arial"/>
                <w:noProof/>
                <w:webHidden/>
                <w:sz w:val="20"/>
                <w:szCs w:val="20"/>
              </w:rPr>
              <w:tab/>
            </w:r>
            <w:r w:rsidR="00D048EA" w:rsidRPr="00D048EA">
              <w:rPr>
                <w:rFonts w:ascii="Arial" w:hAnsi="Arial" w:cs="Arial"/>
                <w:noProof/>
                <w:webHidden/>
                <w:sz w:val="20"/>
                <w:szCs w:val="20"/>
              </w:rPr>
              <w:fldChar w:fldCharType="begin"/>
            </w:r>
            <w:r w:rsidR="00D048EA" w:rsidRPr="00D048EA">
              <w:rPr>
                <w:rFonts w:ascii="Arial" w:hAnsi="Arial" w:cs="Arial"/>
                <w:noProof/>
                <w:webHidden/>
                <w:sz w:val="20"/>
                <w:szCs w:val="20"/>
              </w:rPr>
              <w:instrText xml:space="preserve"> PAGEREF _Toc141864069 \h </w:instrText>
            </w:r>
            <w:r w:rsidR="00D048EA" w:rsidRPr="00D048EA">
              <w:rPr>
                <w:rFonts w:ascii="Arial" w:hAnsi="Arial" w:cs="Arial"/>
                <w:noProof/>
                <w:webHidden/>
                <w:sz w:val="20"/>
                <w:szCs w:val="20"/>
              </w:rPr>
            </w:r>
            <w:r w:rsidR="00D048EA" w:rsidRPr="00D048EA">
              <w:rPr>
                <w:rFonts w:ascii="Arial" w:hAnsi="Arial" w:cs="Arial"/>
                <w:noProof/>
                <w:webHidden/>
                <w:sz w:val="20"/>
                <w:szCs w:val="20"/>
              </w:rPr>
              <w:fldChar w:fldCharType="separate"/>
            </w:r>
            <w:r w:rsidR="000110D0">
              <w:rPr>
                <w:rFonts w:ascii="Arial" w:hAnsi="Arial" w:cs="Arial"/>
                <w:noProof/>
                <w:webHidden/>
                <w:sz w:val="20"/>
                <w:szCs w:val="20"/>
              </w:rPr>
              <w:t>27</w:t>
            </w:r>
            <w:r w:rsidR="00D048EA" w:rsidRPr="00D048EA">
              <w:rPr>
                <w:rFonts w:ascii="Arial" w:hAnsi="Arial" w:cs="Arial"/>
                <w:noProof/>
                <w:webHidden/>
                <w:sz w:val="20"/>
                <w:szCs w:val="20"/>
              </w:rPr>
              <w:fldChar w:fldCharType="end"/>
            </w:r>
          </w:hyperlink>
        </w:p>
        <w:p w14:paraId="59A916CF" w14:textId="3F72FD96" w:rsidR="00D048EA" w:rsidRPr="00D048EA" w:rsidRDefault="002E2890">
          <w:pPr>
            <w:pStyle w:val="Kazalovsebine3"/>
            <w:tabs>
              <w:tab w:val="right" w:leader="dot" w:pos="9174"/>
            </w:tabs>
            <w:rPr>
              <w:rFonts w:ascii="Arial" w:hAnsi="Arial" w:cs="Arial"/>
              <w:noProof/>
              <w:sz w:val="20"/>
              <w:szCs w:val="20"/>
            </w:rPr>
          </w:pPr>
          <w:hyperlink w:anchor="_Toc141864070" w:history="1">
            <w:r w:rsidR="00D048EA" w:rsidRPr="00D048EA">
              <w:rPr>
                <w:rStyle w:val="Hiperpovezava"/>
                <w:rFonts w:ascii="Arial" w:hAnsi="Arial" w:cs="Arial"/>
                <w:noProof/>
                <w:sz w:val="20"/>
                <w:szCs w:val="20"/>
              </w:rPr>
              <w:t>2.6.3 Lokalno naročanje</w:t>
            </w:r>
            <w:r w:rsidR="00D048EA" w:rsidRPr="00D048EA">
              <w:rPr>
                <w:rFonts w:ascii="Arial" w:hAnsi="Arial" w:cs="Arial"/>
                <w:noProof/>
                <w:webHidden/>
                <w:sz w:val="20"/>
                <w:szCs w:val="20"/>
              </w:rPr>
              <w:tab/>
            </w:r>
            <w:r w:rsidR="00D048EA" w:rsidRPr="00D048EA">
              <w:rPr>
                <w:rFonts w:ascii="Arial" w:hAnsi="Arial" w:cs="Arial"/>
                <w:noProof/>
                <w:webHidden/>
                <w:sz w:val="20"/>
                <w:szCs w:val="20"/>
              </w:rPr>
              <w:fldChar w:fldCharType="begin"/>
            </w:r>
            <w:r w:rsidR="00D048EA" w:rsidRPr="00D048EA">
              <w:rPr>
                <w:rFonts w:ascii="Arial" w:hAnsi="Arial" w:cs="Arial"/>
                <w:noProof/>
                <w:webHidden/>
                <w:sz w:val="20"/>
                <w:szCs w:val="20"/>
              </w:rPr>
              <w:instrText xml:space="preserve"> PAGEREF _Toc141864070 \h </w:instrText>
            </w:r>
            <w:r w:rsidR="00D048EA" w:rsidRPr="00D048EA">
              <w:rPr>
                <w:rFonts w:ascii="Arial" w:hAnsi="Arial" w:cs="Arial"/>
                <w:noProof/>
                <w:webHidden/>
                <w:sz w:val="20"/>
                <w:szCs w:val="20"/>
              </w:rPr>
            </w:r>
            <w:r w:rsidR="00D048EA" w:rsidRPr="00D048EA">
              <w:rPr>
                <w:rFonts w:ascii="Arial" w:hAnsi="Arial" w:cs="Arial"/>
                <w:noProof/>
                <w:webHidden/>
                <w:sz w:val="20"/>
                <w:szCs w:val="20"/>
              </w:rPr>
              <w:fldChar w:fldCharType="separate"/>
            </w:r>
            <w:r w:rsidR="000110D0">
              <w:rPr>
                <w:rFonts w:ascii="Arial" w:hAnsi="Arial" w:cs="Arial"/>
                <w:noProof/>
                <w:webHidden/>
                <w:sz w:val="20"/>
                <w:szCs w:val="20"/>
              </w:rPr>
              <w:t>30</w:t>
            </w:r>
            <w:r w:rsidR="00D048EA" w:rsidRPr="00D048EA">
              <w:rPr>
                <w:rFonts w:ascii="Arial" w:hAnsi="Arial" w:cs="Arial"/>
                <w:noProof/>
                <w:webHidden/>
                <w:sz w:val="20"/>
                <w:szCs w:val="20"/>
              </w:rPr>
              <w:fldChar w:fldCharType="end"/>
            </w:r>
          </w:hyperlink>
        </w:p>
        <w:p w14:paraId="46DCE1C2" w14:textId="2CF1C924" w:rsidR="00D048EA" w:rsidRPr="00D048EA" w:rsidRDefault="002E2890">
          <w:pPr>
            <w:pStyle w:val="Kazalovsebine3"/>
            <w:tabs>
              <w:tab w:val="right" w:leader="dot" w:pos="9174"/>
            </w:tabs>
            <w:rPr>
              <w:rFonts w:ascii="Arial" w:hAnsi="Arial" w:cs="Arial"/>
              <w:noProof/>
              <w:sz w:val="20"/>
              <w:szCs w:val="20"/>
            </w:rPr>
          </w:pPr>
          <w:hyperlink w:anchor="_Toc141864071" w:history="1">
            <w:r w:rsidR="00D048EA" w:rsidRPr="00D048EA">
              <w:rPr>
                <w:rStyle w:val="Hiperpovezava"/>
                <w:rFonts w:ascii="Arial" w:hAnsi="Arial" w:cs="Arial"/>
                <w:noProof/>
                <w:sz w:val="20"/>
                <w:szCs w:val="20"/>
              </w:rPr>
              <w:t>2.6.4 Velikost ponudnikov</w:t>
            </w:r>
            <w:r w:rsidR="00D048EA" w:rsidRPr="00D048EA">
              <w:rPr>
                <w:rFonts w:ascii="Arial" w:hAnsi="Arial" w:cs="Arial"/>
                <w:noProof/>
                <w:webHidden/>
                <w:sz w:val="20"/>
                <w:szCs w:val="20"/>
              </w:rPr>
              <w:tab/>
            </w:r>
            <w:r w:rsidR="00D048EA" w:rsidRPr="00D048EA">
              <w:rPr>
                <w:rFonts w:ascii="Arial" w:hAnsi="Arial" w:cs="Arial"/>
                <w:noProof/>
                <w:webHidden/>
                <w:sz w:val="20"/>
                <w:szCs w:val="20"/>
              </w:rPr>
              <w:fldChar w:fldCharType="begin"/>
            </w:r>
            <w:r w:rsidR="00D048EA" w:rsidRPr="00D048EA">
              <w:rPr>
                <w:rFonts w:ascii="Arial" w:hAnsi="Arial" w:cs="Arial"/>
                <w:noProof/>
                <w:webHidden/>
                <w:sz w:val="20"/>
                <w:szCs w:val="20"/>
              </w:rPr>
              <w:instrText xml:space="preserve"> PAGEREF _Toc141864071 \h </w:instrText>
            </w:r>
            <w:r w:rsidR="00D048EA" w:rsidRPr="00D048EA">
              <w:rPr>
                <w:rFonts w:ascii="Arial" w:hAnsi="Arial" w:cs="Arial"/>
                <w:noProof/>
                <w:webHidden/>
                <w:sz w:val="20"/>
                <w:szCs w:val="20"/>
              </w:rPr>
            </w:r>
            <w:r w:rsidR="00D048EA" w:rsidRPr="00D048EA">
              <w:rPr>
                <w:rFonts w:ascii="Arial" w:hAnsi="Arial" w:cs="Arial"/>
                <w:noProof/>
                <w:webHidden/>
                <w:sz w:val="20"/>
                <w:szCs w:val="20"/>
              </w:rPr>
              <w:fldChar w:fldCharType="separate"/>
            </w:r>
            <w:r w:rsidR="000110D0">
              <w:rPr>
                <w:rFonts w:ascii="Arial" w:hAnsi="Arial" w:cs="Arial"/>
                <w:noProof/>
                <w:webHidden/>
                <w:sz w:val="20"/>
                <w:szCs w:val="20"/>
              </w:rPr>
              <w:t>31</w:t>
            </w:r>
            <w:r w:rsidR="00D048EA" w:rsidRPr="00D048EA">
              <w:rPr>
                <w:rFonts w:ascii="Arial" w:hAnsi="Arial" w:cs="Arial"/>
                <w:noProof/>
                <w:webHidden/>
                <w:sz w:val="20"/>
                <w:szCs w:val="20"/>
              </w:rPr>
              <w:fldChar w:fldCharType="end"/>
            </w:r>
          </w:hyperlink>
        </w:p>
        <w:p w14:paraId="22CDB229" w14:textId="65F03AAF" w:rsidR="00D048EA" w:rsidRPr="00D048EA" w:rsidRDefault="002E2890">
          <w:pPr>
            <w:pStyle w:val="Kazalovsebine3"/>
            <w:tabs>
              <w:tab w:val="right" w:leader="dot" w:pos="9174"/>
            </w:tabs>
            <w:rPr>
              <w:rFonts w:ascii="Arial" w:hAnsi="Arial" w:cs="Arial"/>
              <w:noProof/>
              <w:sz w:val="20"/>
              <w:szCs w:val="20"/>
            </w:rPr>
          </w:pPr>
          <w:hyperlink w:anchor="_Toc141864072" w:history="1">
            <w:r w:rsidR="00D048EA" w:rsidRPr="00D048EA">
              <w:rPr>
                <w:rStyle w:val="Hiperpovezava"/>
                <w:rFonts w:ascii="Arial" w:hAnsi="Arial" w:cs="Arial"/>
                <w:noProof/>
                <w:sz w:val="20"/>
                <w:szCs w:val="20"/>
              </w:rPr>
              <w:t>2.6.5 Izločanje ponudnikov</w:t>
            </w:r>
            <w:r w:rsidR="00D048EA" w:rsidRPr="00D048EA">
              <w:rPr>
                <w:rFonts w:ascii="Arial" w:hAnsi="Arial" w:cs="Arial"/>
                <w:noProof/>
                <w:webHidden/>
                <w:sz w:val="20"/>
                <w:szCs w:val="20"/>
              </w:rPr>
              <w:tab/>
            </w:r>
            <w:r w:rsidR="00D048EA" w:rsidRPr="00D048EA">
              <w:rPr>
                <w:rFonts w:ascii="Arial" w:hAnsi="Arial" w:cs="Arial"/>
                <w:noProof/>
                <w:webHidden/>
                <w:sz w:val="20"/>
                <w:szCs w:val="20"/>
              </w:rPr>
              <w:fldChar w:fldCharType="begin"/>
            </w:r>
            <w:r w:rsidR="00D048EA" w:rsidRPr="00D048EA">
              <w:rPr>
                <w:rFonts w:ascii="Arial" w:hAnsi="Arial" w:cs="Arial"/>
                <w:noProof/>
                <w:webHidden/>
                <w:sz w:val="20"/>
                <w:szCs w:val="20"/>
              </w:rPr>
              <w:instrText xml:space="preserve"> PAGEREF _Toc141864072 \h </w:instrText>
            </w:r>
            <w:r w:rsidR="00D048EA" w:rsidRPr="00D048EA">
              <w:rPr>
                <w:rFonts w:ascii="Arial" w:hAnsi="Arial" w:cs="Arial"/>
                <w:noProof/>
                <w:webHidden/>
                <w:sz w:val="20"/>
                <w:szCs w:val="20"/>
              </w:rPr>
            </w:r>
            <w:r w:rsidR="00D048EA" w:rsidRPr="00D048EA">
              <w:rPr>
                <w:rFonts w:ascii="Arial" w:hAnsi="Arial" w:cs="Arial"/>
                <w:noProof/>
                <w:webHidden/>
                <w:sz w:val="20"/>
                <w:szCs w:val="20"/>
              </w:rPr>
              <w:fldChar w:fldCharType="separate"/>
            </w:r>
            <w:r w:rsidR="000110D0">
              <w:rPr>
                <w:rFonts w:ascii="Arial" w:hAnsi="Arial" w:cs="Arial"/>
                <w:noProof/>
                <w:webHidden/>
                <w:sz w:val="20"/>
                <w:szCs w:val="20"/>
              </w:rPr>
              <w:t>32</w:t>
            </w:r>
            <w:r w:rsidR="00D048EA" w:rsidRPr="00D048EA">
              <w:rPr>
                <w:rFonts w:ascii="Arial" w:hAnsi="Arial" w:cs="Arial"/>
                <w:noProof/>
                <w:webHidden/>
                <w:sz w:val="20"/>
                <w:szCs w:val="20"/>
              </w:rPr>
              <w:fldChar w:fldCharType="end"/>
            </w:r>
          </w:hyperlink>
        </w:p>
        <w:p w14:paraId="48388AD6" w14:textId="703C9D6B" w:rsidR="00D048EA" w:rsidRPr="00D048EA" w:rsidRDefault="002E2890">
          <w:pPr>
            <w:pStyle w:val="Kazalovsebine2"/>
            <w:tabs>
              <w:tab w:val="right" w:leader="dot" w:pos="9174"/>
            </w:tabs>
            <w:rPr>
              <w:rFonts w:ascii="Arial" w:eastAsiaTheme="minorEastAsia" w:hAnsi="Arial" w:cs="Arial"/>
              <w:noProof/>
              <w:sz w:val="20"/>
              <w:szCs w:val="20"/>
              <w:lang w:eastAsia="sl-SI"/>
            </w:rPr>
          </w:pPr>
          <w:hyperlink w:anchor="_Toc141864073" w:history="1">
            <w:r w:rsidR="00D048EA" w:rsidRPr="00D048EA">
              <w:rPr>
                <w:rStyle w:val="Hiperpovezava"/>
                <w:rFonts w:ascii="Arial" w:hAnsi="Arial" w:cs="Arial"/>
                <w:noProof/>
                <w:sz w:val="20"/>
                <w:szCs w:val="20"/>
              </w:rPr>
              <w:t>2.7 Največji naročniki, najuspešnejši ponudniki in največja naročila</w:t>
            </w:r>
            <w:r w:rsidR="00D048EA" w:rsidRPr="00D048EA">
              <w:rPr>
                <w:rFonts w:ascii="Arial" w:hAnsi="Arial" w:cs="Arial"/>
                <w:noProof/>
                <w:webHidden/>
                <w:sz w:val="20"/>
                <w:szCs w:val="20"/>
              </w:rPr>
              <w:tab/>
            </w:r>
            <w:r w:rsidR="00D048EA" w:rsidRPr="00D048EA">
              <w:rPr>
                <w:rFonts w:ascii="Arial" w:hAnsi="Arial" w:cs="Arial"/>
                <w:noProof/>
                <w:webHidden/>
                <w:sz w:val="20"/>
                <w:szCs w:val="20"/>
              </w:rPr>
              <w:fldChar w:fldCharType="begin"/>
            </w:r>
            <w:r w:rsidR="00D048EA" w:rsidRPr="00D048EA">
              <w:rPr>
                <w:rFonts w:ascii="Arial" w:hAnsi="Arial" w:cs="Arial"/>
                <w:noProof/>
                <w:webHidden/>
                <w:sz w:val="20"/>
                <w:szCs w:val="20"/>
              </w:rPr>
              <w:instrText xml:space="preserve"> PAGEREF _Toc141864073 \h </w:instrText>
            </w:r>
            <w:r w:rsidR="00D048EA" w:rsidRPr="00D048EA">
              <w:rPr>
                <w:rFonts w:ascii="Arial" w:hAnsi="Arial" w:cs="Arial"/>
                <w:noProof/>
                <w:webHidden/>
                <w:sz w:val="20"/>
                <w:szCs w:val="20"/>
              </w:rPr>
            </w:r>
            <w:r w:rsidR="00D048EA" w:rsidRPr="00D048EA">
              <w:rPr>
                <w:rFonts w:ascii="Arial" w:hAnsi="Arial" w:cs="Arial"/>
                <w:noProof/>
                <w:webHidden/>
                <w:sz w:val="20"/>
                <w:szCs w:val="20"/>
              </w:rPr>
              <w:fldChar w:fldCharType="separate"/>
            </w:r>
            <w:r w:rsidR="000110D0">
              <w:rPr>
                <w:rFonts w:ascii="Arial" w:hAnsi="Arial" w:cs="Arial"/>
                <w:noProof/>
                <w:webHidden/>
                <w:sz w:val="20"/>
                <w:szCs w:val="20"/>
              </w:rPr>
              <w:t>33</w:t>
            </w:r>
            <w:r w:rsidR="00D048EA" w:rsidRPr="00D048EA">
              <w:rPr>
                <w:rFonts w:ascii="Arial" w:hAnsi="Arial" w:cs="Arial"/>
                <w:noProof/>
                <w:webHidden/>
                <w:sz w:val="20"/>
                <w:szCs w:val="20"/>
              </w:rPr>
              <w:fldChar w:fldCharType="end"/>
            </w:r>
          </w:hyperlink>
        </w:p>
        <w:p w14:paraId="3C331992" w14:textId="43D192E9" w:rsidR="00D048EA" w:rsidRPr="00D048EA" w:rsidRDefault="002E2890">
          <w:pPr>
            <w:pStyle w:val="Kazalovsebine3"/>
            <w:tabs>
              <w:tab w:val="right" w:leader="dot" w:pos="9174"/>
            </w:tabs>
            <w:rPr>
              <w:rFonts w:ascii="Arial" w:hAnsi="Arial" w:cs="Arial"/>
              <w:noProof/>
              <w:sz w:val="20"/>
              <w:szCs w:val="20"/>
            </w:rPr>
          </w:pPr>
          <w:hyperlink w:anchor="_Toc141864074" w:history="1">
            <w:r w:rsidR="00D048EA" w:rsidRPr="00D048EA">
              <w:rPr>
                <w:rStyle w:val="Hiperpovezava"/>
                <w:rFonts w:ascii="Arial" w:hAnsi="Arial" w:cs="Arial"/>
                <w:noProof/>
                <w:sz w:val="20"/>
                <w:szCs w:val="20"/>
              </w:rPr>
              <w:t>2.7.1 Naročniki z največjo vrednostjo oddanih naročil v letu 2022</w:t>
            </w:r>
            <w:r w:rsidR="00D048EA" w:rsidRPr="00D048EA">
              <w:rPr>
                <w:rFonts w:ascii="Arial" w:hAnsi="Arial" w:cs="Arial"/>
                <w:noProof/>
                <w:webHidden/>
                <w:sz w:val="20"/>
                <w:szCs w:val="20"/>
              </w:rPr>
              <w:tab/>
            </w:r>
            <w:r w:rsidR="00D048EA" w:rsidRPr="00D048EA">
              <w:rPr>
                <w:rFonts w:ascii="Arial" w:hAnsi="Arial" w:cs="Arial"/>
                <w:noProof/>
                <w:webHidden/>
                <w:sz w:val="20"/>
                <w:szCs w:val="20"/>
              </w:rPr>
              <w:fldChar w:fldCharType="begin"/>
            </w:r>
            <w:r w:rsidR="00D048EA" w:rsidRPr="00D048EA">
              <w:rPr>
                <w:rFonts w:ascii="Arial" w:hAnsi="Arial" w:cs="Arial"/>
                <w:noProof/>
                <w:webHidden/>
                <w:sz w:val="20"/>
                <w:szCs w:val="20"/>
              </w:rPr>
              <w:instrText xml:space="preserve"> PAGEREF _Toc141864074 \h </w:instrText>
            </w:r>
            <w:r w:rsidR="00D048EA" w:rsidRPr="00D048EA">
              <w:rPr>
                <w:rFonts w:ascii="Arial" w:hAnsi="Arial" w:cs="Arial"/>
                <w:noProof/>
                <w:webHidden/>
                <w:sz w:val="20"/>
                <w:szCs w:val="20"/>
              </w:rPr>
            </w:r>
            <w:r w:rsidR="00D048EA" w:rsidRPr="00D048EA">
              <w:rPr>
                <w:rFonts w:ascii="Arial" w:hAnsi="Arial" w:cs="Arial"/>
                <w:noProof/>
                <w:webHidden/>
                <w:sz w:val="20"/>
                <w:szCs w:val="20"/>
              </w:rPr>
              <w:fldChar w:fldCharType="separate"/>
            </w:r>
            <w:r w:rsidR="000110D0">
              <w:rPr>
                <w:rFonts w:ascii="Arial" w:hAnsi="Arial" w:cs="Arial"/>
                <w:noProof/>
                <w:webHidden/>
                <w:sz w:val="20"/>
                <w:szCs w:val="20"/>
              </w:rPr>
              <w:t>33</w:t>
            </w:r>
            <w:r w:rsidR="00D048EA" w:rsidRPr="00D048EA">
              <w:rPr>
                <w:rFonts w:ascii="Arial" w:hAnsi="Arial" w:cs="Arial"/>
                <w:noProof/>
                <w:webHidden/>
                <w:sz w:val="20"/>
                <w:szCs w:val="20"/>
              </w:rPr>
              <w:fldChar w:fldCharType="end"/>
            </w:r>
          </w:hyperlink>
        </w:p>
        <w:p w14:paraId="0F68CA1D" w14:textId="7AAA8869" w:rsidR="00D048EA" w:rsidRPr="00D048EA" w:rsidRDefault="002E2890">
          <w:pPr>
            <w:pStyle w:val="Kazalovsebine3"/>
            <w:tabs>
              <w:tab w:val="right" w:leader="dot" w:pos="9174"/>
            </w:tabs>
            <w:rPr>
              <w:rFonts w:ascii="Arial" w:hAnsi="Arial" w:cs="Arial"/>
              <w:noProof/>
              <w:sz w:val="20"/>
              <w:szCs w:val="20"/>
            </w:rPr>
          </w:pPr>
          <w:hyperlink w:anchor="_Toc141864075" w:history="1">
            <w:r w:rsidR="00D048EA" w:rsidRPr="00D048EA">
              <w:rPr>
                <w:rStyle w:val="Hiperpovezava"/>
                <w:rFonts w:ascii="Arial" w:hAnsi="Arial" w:cs="Arial"/>
                <w:noProof/>
                <w:sz w:val="20"/>
                <w:szCs w:val="20"/>
              </w:rPr>
              <w:t>2.7.2 Ponudniki z največjo vrednostjo oddanih naročil v letu 2022</w:t>
            </w:r>
            <w:r w:rsidR="00D048EA" w:rsidRPr="00D048EA">
              <w:rPr>
                <w:rFonts w:ascii="Arial" w:hAnsi="Arial" w:cs="Arial"/>
                <w:noProof/>
                <w:webHidden/>
                <w:sz w:val="20"/>
                <w:szCs w:val="20"/>
              </w:rPr>
              <w:tab/>
            </w:r>
            <w:r w:rsidR="00D048EA" w:rsidRPr="00D048EA">
              <w:rPr>
                <w:rFonts w:ascii="Arial" w:hAnsi="Arial" w:cs="Arial"/>
                <w:noProof/>
                <w:webHidden/>
                <w:sz w:val="20"/>
                <w:szCs w:val="20"/>
              </w:rPr>
              <w:fldChar w:fldCharType="begin"/>
            </w:r>
            <w:r w:rsidR="00D048EA" w:rsidRPr="00D048EA">
              <w:rPr>
                <w:rFonts w:ascii="Arial" w:hAnsi="Arial" w:cs="Arial"/>
                <w:noProof/>
                <w:webHidden/>
                <w:sz w:val="20"/>
                <w:szCs w:val="20"/>
              </w:rPr>
              <w:instrText xml:space="preserve"> PAGEREF _Toc141864075 \h </w:instrText>
            </w:r>
            <w:r w:rsidR="00D048EA" w:rsidRPr="00D048EA">
              <w:rPr>
                <w:rFonts w:ascii="Arial" w:hAnsi="Arial" w:cs="Arial"/>
                <w:noProof/>
                <w:webHidden/>
                <w:sz w:val="20"/>
                <w:szCs w:val="20"/>
              </w:rPr>
            </w:r>
            <w:r w:rsidR="00D048EA" w:rsidRPr="00D048EA">
              <w:rPr>
                <w:rFonts w:ascii="Arial" w:hAnsi="Arial" w:cs="Arial"/>
                <w:noProof/>
                <w:webHidden/>
                <w:sz w:val="20"/>
                <w:szCs w:val="20"/>
              </w:rPr>
              <w:fldChar w:fldCharType="separate"/>
            </w:r>
            <w:r w:rsidR="000110D0">
              <w:rPr>
                <w:rFonts w:ascii="Arial" w:hAnsi="Arial" w:cs="Arial"/>
                <w:noProof/>
                <w:webHidden/>
                <w:sz w:val="20"/>
                <w:szCs w:val="20"/>
              </w:rPr>
              <w:t>33</w:t>
            </w:r>
            <w:r w:rsidR="00D048EA" w:rsidRPr="00D048EA">
              <w:rPr>
                <w:rFonts w:ascii="Arial" w:hAnsi="Arial" w:cs="Arial"/>
                <w:noProof/>
                <w:webHidden/>
                <w:sz w:val="20"/>
                <w:szCs w:val="20"/>
              </w:rPr>
              <w:fldChar w:fldCharType="end"/>
            </w:r>
          </w:hyperlink>
        </w:p>
        <w:p w14:paraId="421E665E" w14:textId="67745401" w:rsidR="00D048EA" w:rsidRPr="00D048EA" w:rsidRDefault="002E2890">
          <w:pPr>
            <w:pStyle w:val="Kazalovsebine3"/>
            <w:tabs>
              <w:tab w:val="right" w:leader="dot" w:pos="9174"/>
            </w:tabs>
            <w:rPr>
              <w:rFonts w:ascii="Arial" w:hAnsi="Arial" w:cs="Arial"/>
              <w:noProof/>
              <w:sz w:val="20"/>
              <w:szCs w:val="20"/>
            </w:rPr>
          </w:pPr>
          <w:hyperlink w:anchor="_Toc141864076" w:history="1">
            <w:r w:rsidR="00D048EA" w:rsidRPr="00D048EA">
              <w:rPr>
                <w:rStyle w:val="Hiperpovezava"/>
                <w:rFonts w:ascii="Arial" w:hAnsi="Arial" w:cs="Arial"/>
                <w:noProof/>
                <w:sz w:val="20"/>
                <w:szCs w:val="20"/>
              </w:rPr>
              <w:t>2.7.3 Največja oddana naročila v letu 2022</w:t>
            </w:r>
            <w:r w:rsidR="00D048EA" w:rsidRPr="00D048EA">
              <w:rPr>
                <w:rFonts w:ascii="Arial" w:hAnsi="Arial" w:cs="Arial"/>
                <w:noProof/>
                <w:webHidden/>
                <w:sz w:val="20"/>
                <w:szCs w:val="20"/>
              </w:rPr>
              <w:tab/>
            </w:r>
            <w:r w:rsidR="00D048EA" w:rsidRPr="00D048EA">
              <w:rPr>
                <w:rFonts w:ascii="Arial" w:hAnsi="Arial" w:cs="Arial"/>
                <w:noProof/>
                <w:webHidden/>
                <w:sz w:val="20"/>
                <w:szCs w:val="20"/>
              </w:rPr>
              <w:fldChar w:fldCharType="begin"/>
            </w:r>
            <w:r w:rsidR="00D048EA" w:rsidRPr="00D048EA">
              <w:rPr>
                <w:rFonts w:ascii="Arial" w:hAnsi="Arial" w:cs="Arial"/>
                <w:noProof/>
                <w:webHidden/>
                <w:sz w:val="20"/>
                <w:szCs w:val="20"/>
              </w:rPr>
              <w:instrText xml:space="preserve"> PAGEREF _Toc141864076 \h </w:instrText>
            </w:r>
            <w:r w:rsidR="00D048EA" w:rsidRPr="00D048EA">
              <w:rPr>
                <w:rFonts w:ascii="Arial" w:hAnsi="Arial" w:cs="Arial"/>
                <w:noProof/>
                <w:webHidden/>
                <w:sz w:val="20"/>
                <w:szCs w:val="20"/>
              </w:rPr>
            </w:r>
            <w:r w:rsidR="00D048EA" w:rsidRPr="00D048EA">
              <w:rPr>
                <w:rFonts w:ascii="Arial" w:hAnsi="Arial" w:cs="Arial"/>
                <w:noProof/>
                <w:webHidden/>
                <w:sz w:val="20"/>
                <w:szCs w:val="20"/>
              </w:rPr>
              <w:fldChar w:fldCharType="separate"/>
            </w:r>
            <w:r w:rsidR="000110D0">
              <w:rPr>
                <w:rFonts w:ascii="Arial" w:hAnsi="Arial" w:cs="Arial"/>
                <w:noProof/>
                <w:webHidden/>
                <w:sz w:val="20"/>
                <w:szCs w:val="20"/>
              </w:rPr>
              <w:t>34</w:t>
            </w:r>
            <w:r w:rsidR="00D048EA" w:rsidRPr="00D048EA">
              <w:rPr>
                <w:rFonts w:ascii="Arial" w:hAnsi="Arial" w:cs="Arial"/>
                <w:noProof/>
                <w:webHidden/>
                <w:sz w:val="20"/>
                <w:szCs w:val="20"/>
              </w:rPr>
              <w:fldChar w:fldCharType="end"/>
            </w:r>
          </w:hyperlink>
        </w:p>
        <w:p w14:paraId="234A07F4" w14:textId="2885E9C4" w:rsidR="00D048EA" w:rsidRPr="00D048EA" w:rsidRDefault="002E2890">
          <w:pPr>
            <w:pStyle w:val="Kazalovsebine2"/>
            <w:tabs>
              <w:tab w:val="right" w:leader="dot" w:pos="9174"/>
            </w:tabs>
            <w:rPr>
              <w:rFonts w:ascii="Arial" w:eastAsiaTheme="minorEastAsia" w:hAnsi="Arial" w:cs="Arial"/>
              <w:noProof/>
              <w:sz w:val="20"/>
              <w:szCs w:val="20"/>
              <w:lang w:eastAsia="sl-SI"/>
            </w:rPr>
          </w:pPr>
          <w:hyperlink w:anchor="_Toc141864077" w:history="1">
            <w:r w:rsidR="00D048EA" w:rsidRPr="00D048EA">
              <w:rPr>
                <w:rStyle w:val="Hiperpovezava"/>
                <w:rFonts w:ascii="Arial" w:hAnsi="Arial" w:cs="Arial"/>
                <w:noProof/>
                <w:sz w:val="20"/>
                <w:szCs w:val="20"/>
              </w:rPr>
              <w:t>2.8 Naročila, (so)financirana s sredstvi Evropske unije</w:t>
            </w:r>
            <w:r w:rsidR="00D048EA" w:rsidRPr="00D048EA">
              <w:rPr>
                <w:rFonts w:ascii="Arial" w:hAnsi="Arial" w:cs="Arial"/>
                <w:noProof/>
                <w:webHidden/>
                <w:sz w:val="20"/>
                <w:szCs w:val="20"/>
              </w:rPr>
              <w:tab/>
            </w:r>
            <w:r w:rsidR="00D048EA" w:rsidRPr="00D048EA">
              <w:rPr>
                <w:rFonts w:ascii="Arial" w:hAnsi="Arial" w:cs="Arial"/>
                <w:noProof/>
                <w:webHidden/>
                <w:sz w:val="20"/>
                <w:szCs w:val="20"/>
              </w:rPr>
              <w:fldChar w:fldCharType="begin"/>
            </w:r>
            <w:r w:rsidR="00D048EA" w:rsidRPr="00D048EA">
              <w:rPr>
                <w:rFonts w:ascii="Arial" w:hAnsi="Arial" w:cs="Arial"/>
                <w:noProof/>
                <w:webHidden/>
                <w:sz w:val="20"/>
                <w:szCs w:val="20"/>
              </w:rPr>
              <w:instrText xml:space="preserve"> PAGEREF _Toc141864077 \h </w:instrText>
            </w:r>
            <w:r w:rsidR="00D048EA" w:rsidRPr="00D048EA">
              <w:rPr>
                <w:rFonts w:ascii="Arial" w:hAnsi="Arial" w:cs="Arial"/>
                <w:noProof/>
                <w:webHidden/>
                <w:sz w:val="20"/>
                <w:szCs w:val="20"/>
              </w:rPr>
            </w:r>
            <w:r w:rsidR="00D048EA" w:rsidRPr="00D048EA">
              <w:rPr>
                <w:rFonts w:ascii="Arial" w:hAnsi="Arial" w:cs="Arial"/>
                <w:noProof/>
                <w:webHidden/>
                <w:sz w:val="20"/>
                <w:szCs w:val="20"/>
              </w:rPr>
              <w:fldChar w:fldCharType="separate"/>
            </w:r>
            <w:r w:rsidR="000110D0">
              <w:rPr>
                <w:rFonts w:ascii="Arial" w:hAnsi="Arial" w:cs="Arial"/>
                <w:noProof/>
                <w:webHidden/>
                <w:sz w:val="20"/>
                <w:szCs w:val="20"/>
              </w:rPr>
              <w:t>35</w:t>
            </w:r>
            <w:r w:rsidR="00D048EA" w:rsidRPr="00D048EA">
              <w:rPr>
                <w:rFonts w:ascii="Arial" w:hAnsi="Arial" w:cs="Arial"/>
                <w:noProof/>
                <w:webHidden/>
                <w:sz w:val="20"/>
                <w:szCs w:val="20"/>
              </w:rPr>
              <w:fldChar w:fldCharType="end"/>
            </w:r>
          </w:hyperlink>
        </w:p>
        <w:p w14:paraId="6A1FF361" w14:textId="41AB2D30" w:rsidR="00D048EA" w:rsidRPr="00D048EA" w:rsidRDefault="002E2890">
          <w:pPr>
            <w:pStyle w:val="Kazalovsebine2"/>
            <w:tabs>
              <w:tab w:val="right" w:leader="dot" w:pos="9174"/>
            </w:tabs>
            <w:rPr>
              <w:rFonts w:ascii="Arial" w:eastAsiaTheme="minorEastAsia" w:hAnsi="Arial" w:cs="Arial"/>
              <w:noProof/>
              <w:sz w:val="20"/>
              <w:szCs w:val="20"/>
              <w:lang w:eastAsia="sl-SI"/>
            </w:rPr>
          </w:pPr>
          <w:hyperlink w:anchor="_Toc141864078" w:history="1">
            <w:r w:rsidR="00D048EA" w:rsidRPr="00D048EA">
              <w:rPr>
                <w:rStyle w:val="Hiperpovezava"/>
                <w:rFonts w:ascii="Arial" w:hAnsi="Arial" w:cs="Arial"/>
                <w:noProof/>
                <w:sz w:val="20"/>
                <w:szCs w:val="20"/>
              </w:rPr>
              <w:t>2.9 Zeleno in družbeno odgovorno javno naročanje</w:t>
            </w:r>
            <w:r w:rsidR="00D048EA" w:rsidRPr="00D048EA">
              <w:rPr>
                <w:rFonts w:ascii="Arial" w:hAnsi="Arial" w:cs="Arial"/>
                <w:noProof/>
                <w:webHidden/>
                <w:sz w:val="20"/>
                <w:szCs w:val="20"/>
              </w:rPr>
              <w:tab/>
            </w:r>
            <w:r w:rsidR="00D048EA" w:rsidRPr="00D048EA">
              <w:rPr>
                <w:rFonts w:ascii="Arial" w:hAnsi="Arial" w:cs="Arial"/>
                <w:noProof/>
                <w:webHidden/>
                <w:sz w:val="20"/>
                <w:szCs w:val="20"/>
              </w:rPr>
              <w:fldChar w:fldCharType="begin"/>
            </w:r>
            <w:r w:rsidR="00D048EA" w:rsidRPr="00D048EA">
              <w:rPr>
                <w:rFonts w:ascii="Arial" w:hAnsi="Arial" w:cs="Arial"/>
                <w:noProof/>
                <w:webHidden/>
                <w:sz w:val="20"/>
                <w:szCs w:val="20"/>
              </w:rPr>
              <w:instrText xml:space="preserve"> PAGEREF _Toc141864078 \h </w:instrText>
            </w:r>
            <w:r w:rsidR="00D048EA" w:rsidRPr="00D048EA">
              <w:rPr>
                <w:rFonts w:ascii="Arial" w:hAnsi="Arial" w:cs="Arial"/>
                <w:noProof/>
                <w:webHidden/>
                <w:sz w:val="20"/>
                <w:szCs w:val="20"/>
              </w:rPr>
            </w:r>
            <w:r w:rsidR="00D048EA" w:rsidRPr="00D048EA">
              <w:rPr>
                <w:rFonts w:ascii="Arial" w:hAnsi="Arial" w:cs="Arial"/>
                <w:noProof/>
                <w:webHidden/>
                <w:sz w:val="20"/>
                <w:szCs w:val="20"/>
              </w:rPr>
              <w:fldChar w:fldCharType="separate"/>
            </w:r>
            <w:r w:rsidR="000110D0">
              <w:rPr>
                <w:rFonts w:ascii="Arial" w:hAnsi="Arial" w:cs="Arial"/>
                <w:noProof/>
                <w:webHidden/>
                <w:sz w:val="20"/>
                <w:szCs w:val="20"/>
              </w:rPr>
              <w:t>36</w:t>
            </w:r>
            <w:r w:rsidR="00D048EA" w:rsidRPr="00D048EA">
              <w:rPr>
                <w:rFonts w:ascii="Arial" w:hAnsi="Arial" w:cs="Arial"/>
                <w:noProof/>
                <w:webHidden/>
                <w:sz w:val="20"/>
                <w:szCs w:val="20"/>
              </w:rPr>
              <w:fldChar w:fldCharType="end"/>
            </w:r>
          </w:hyperlink>
        </w:p>
        <w:p w14:paraId="66C8C4F9" w14:textId="6CEE917B" w:rsidR="00D048EA" w:rsidRPr="00D048EA" w:rsidRDefault="002E2890">
          <w:pPr>
            <w:pStyle w:val="Kazalovsebine2"/>
            <w:tabs>
              <w:tab w:val="right" w:leader="dot" w:pos="9174"/>
            </w:tabs>
            <w:rPr>
              <w:rFonts w:ascii="Arial" w:eastAsiaTheme="minorEastAsia" w:hAnsi="Arial" w:cs="Arial"/>
              <w:noProof/>
              <w:sz w:val="20"/>
              <w:szCs w:val="20"/>
              <w:lang w:eastAsia="sl-SI"/>
            </w:rPr>
          </w:pPr>
          <w:hyperlink w:anchor="_Toc141864079" w:history="1">
            <w:r w:rsidR="00D048EA" w:rsidRPr="00D048EA">
              <w:rPr>
                <w:rStyle w:val="Hiperpovezava"/>
                <w:rFonts w:ascii="Arial" w:hAnsi="Arial" w:cs="Arial"/>
                <w:noProof/>
                <w:sz w:val="20"/>
                <w:szCs w:val="20"/>
              </w:rPr>
              <w:t>2.9.1 Zeleno javno naročanje</w:t>
            </w:r>
            <w:r w:rsidR="00D048EA" w:rsidRPr="00D048EA">
              <w:rPr>
                <w:rFonts w:ascii="Arial" w:hAnsi="Arial" w:cs="Arial"/>
                <w:noProof/>
                <w:webHidden/>
                <w:sz w:val="20"/>
                <w:szCs w:val="20"/>
              </w:rPr>
              <w:tab/>
            </w:r>
            <w:r w:rsidR="00D048EA" w:rsidRPr="00D048EA">
              <w:rPr>
                <w:rFonts w:ascii="Arial" w:hAnsi="Arial" w:cs="Arial"/>
                <w:noProof/>
                <w:webHidden/>
                <w:sz w:val="20"/>
                <w:szCs w:val="20"/>
              </w:rPr>
              <w:fldChar w:fldCharType="begin"/>
            </w:r>
            <w:r w:rsidR="00D048EA" w:rsidRPr="00D048EA">
              <w:rPr>
                <w:rFonts w:ascii="Arial" w:hAnsi="Arial" w:cs="Arial"/>
                <w:noProof/>
                <w:webHidden/>
                <w:sz w:val="20"/>
                <w:szCs w:val="20"/>
              </w:rPr>
              <w:instrText xml:space="preserve"> PAGEREF _Toc141864079 \h </w:instrText>
            </w:r>
            <w:r w:rsidR="00D048EA" w:rsidRPr="00D048EA">
              <w:rPr>
                <w:rFonts w:ascii="Arial" w:hAnsi="Arial" w:cs="Arial"/>
                <w:noProof/>
                <w:webHidden/>
                <w:sz w:val="20"/>
                <w:szCs w:val="20"/>
              </w:rPr>
            </w:r>
            <w:r w:rsidR="00D048EA" w:rsidRPr="00D048EA">
              <w:rPr>
                <w:rFonts w:ascii="Arial" w:hAnsi="Arial" w:cs="Arial"/>
                <w:noProof/>
                <w:webHidden/>
                <w:sz w:val="20"/>
                <w:szCs w:val="20"/>
              </w:rPr>
              <w:fldChar w:fldCharType="separate"/>
            </w:r>
            <w:r w:rsidR="000110D0">
              <w:rPr>
                <w:rFonts w:ascii="Arial" w:hAnsi="Arial" w:cs="Arial"/>
                <w:noProof/>
                <w:webHidden/>
                <w:sz w:val="20"/>
                <w:szCs w:val="20"/>
              </w:rPr>
              <w:t>36</w:t>
            </w:r>
            <w:r w:rsidR="00D048EA" w:rsidRPr="00D048EA">
              <w:rPr>
                <w:rFonts w:ascii="Arial" w:hAnsi="Arial" w:cs="Arial"/>
                <w:noProof/>
                <w:webHidden/>
                <w:sz w:val="20"/>
                <w:szCs w:val="20"/>
              </w:rPr>
              <w:fldChar w:fldCharType="end"/>
            </w:r>
          </w:hyperlink>
        </w:p>
        <w:p w14:paraId="3F398483" w14:textId="75453C7D" w:rsidR="00D048EA" w:rsidRPr="00D048EA" w:rsidRDefault="002E2890">
          <w:pPr>
            <w:pStyle w:val="Kazalovsebine2"/>
            <w:tabs>
              <w:tab w:val="right" w:leader="dot" w:pos="9174"/>
            </w:tabs>
            <w:rPr>
              <w:rFonts w:ascii="Arial" w:eastAsiaTheme="minorEastAsia" w:hAnsi="Arial" w:cs="Arial"/>
              <w:noProof/>
              <w:sz w:val="20"/>
              <w:szCs w:val="20"/>
              <w:lang w:eastAsia="sl-SI"/>
            </w:rPr>
          </w:pPr>
          <w:hyperlink w:anchor="_Toc141864080" w:history="1">
            <w:r w:rsidR="00D048EA" w:rsidRPr="00D048EA">
              <w:rPr>
                <w:rStyle w:val="Hiperpovezava"/>
                <w:rFonts w:ascii="Arial" w:hAnsi="Arial" w:cs="Arial"/>
                <w:noProof/>
                <w:sz w:val="20"/>
                <w:szCs w:val="20"/>
              </w:rPr>
              <w:t>2.9.2 Družbeno odgovorno javno naročanje</w:t>
            </w:r>
            <w:r w:rsidR="00D048EA" w:rsidRPr="00D048EA">
              <w:rPr>
                <w:rFonts w:ascii="Arial" w:hAnsi="Arial" w:cs="Arial"/>
                <w:noProof/>
                <w:webHidden/>
                <w:sz w:val="20"/>
                <w:szCs w:val="20"/>
              </w:rPr>
              <w:tab/>
            </w:r>
            <w:r w:rsidR="00D048EA" w:rsidRPr="00D048EA">
              <w:rPr>
                <w:rFonts w:ascii="Arial" w:hAnsi="Arial" w:cs="Arial"/>
                <w:noProof/>
                <w:webHidden/>
                <w:sz w:val="20"/>
                <w:szCs w:val="20"/>
              </w:rPr>
              <w:fldChar w:fldCharType="begin"/>
            </w:r>
            <w:r w:rsidR="00D048EA" w:rsidRPr="00D048EA">
              <w:rPr>
                <w:rFonts w:ascii="Arial" w:hAnsi="Arial" w:cs="Arial"/>
                <w:noProof/>
                <w:webHidden/>
                <w:sz w:val="20"/>
                <w:szCs w:val="20"/>
              </w:rPr>
              <w:instrText xml:space="preserve"> PAGEREF _Toc141864080 \h </w:instrText>
            </w:r>
            <w:r w:rsidR="00D048EA" w:rsidRPr="00D048EA">
              <w:rPr>
                <w:rFonts w:ascii="Arial" w:hAnsi="Arial" w:cs="Arial"/>
                <w:noProof/>
                <w:webHidden/>
                <w:sz w:val="20"/>
                <w:szCs w:val="20"/>
              </w:rPr>
            </w:r>
            <w:r w:rsidR="00D048EA" w:rsidRPr="00D048EA">
              <w:rPr>
                <w:rFonts w:ascii="Arial" w:hAnsi="Arial" w:cs="Arial"/>
                <w:noProof/>
                <w:webHidden/>
                <w:sz w:val="20"/>
                <w:szCs w:val="20"/>
              </w:rPr>
              <w:fldChar w:fldCharType="separate"/>
            </w:r>
            <w:r w:rsidR="000110D0">
              <w:rPr>
                <w:rFonts w:ascii="Arial" w:hAnsi="Arial" w:cs="Arial"/>
                <w:noProof/>
                <w:webHidden/>
                <w:sz w:val="20"/>
                <w:szCs w:val="20"/>
              </w:rPr>
              <w:t>39</w:t>
            </w:r>
            <w:r w:rsidR="00D048EA" w:rsidRPr="00D048EA">
              <w:rPr>
                <w:rFonts w:ascii="Arial" w:hAnsi="Arial" w:cs="Arial"/>
                <w:noProof/>
                <w:webHidden/>
                <w:sz w:val="20"/>
                <w:szCs w:val="20"/>
              </w:rPr>
              <w:fldChar w:fldCharType="end"/>
            </w:r>
          </w:hyperlink>
        </w:p>
        <w:p w14:paraId="1C9D5954" w14:textId="1D3E2494" w:rsidR="00D048EA" w:rsidRPr="00D048EA" w:rsidRDefault="002E2890">
          <w:pPr>
            <w:pStyle w:val="Kazalovsebine2"/>
            <w:tabs>
              <w:tab w:val="right" w:leader="dot" w:pos="9174"/>
            </w:tabs>
            <w:rPr>
              <w:rFonts w:ascii="Arial" w:eastAsiaTheme="minorEastAsia" w:hAnsi="Arial" w:cs="Arial"/>
              <w:noProof/>
              <w:sz w:val="20"/>
              <w:szCs w:val="20"/>
              <w:lang w:eastAsia="sl-SI"/>
            </w:rPr>
          </w:pPr>
          <w:hyperlink w:anchor="_Toc141864081" w:history="1">
            <w:r w:rsidR="00D048EA" w:rsidRPr="00D048EA">
              <w:rPr>
                <w:rStyle w:val="Hiperpovezava"/>
                <w:rFonts w:ascii="Arial" w:hAnsi="Arial" w:cs="Arial"/>
                <w:noProof/>
                <w:sz w:val="20"/>
                <w:szCs w:val="20"/>
              </w:rPr>
              <w:t>2.10 Evidenčna naročila</w:t>
            </w:r>
            <w:r w:rsidR="00D048EA" w:rsidRPr="00D048EA">
              <w:rPr>
                <w:rFonts w:ascii="Arial" w:hAnsi="Arial" w:cs="Arial"/>
                <w:noProof/>
                <w:webHidden/>
                <w:sz w:val="20"/>
                <w:szCs w:val="20"/>
              </w:rPr>
              <w:tab/>
            </w:r>
            <w:r w:rsidR="00D048EA" w:rsidRPr="00D048EA">
              <w:rPr>
                <w:rFonts w:ascii="Arial" w:hAnsi="Arial" w:cs="Arial"/>
                <w:noProof/>
                <w:webHidden/>
                <w:sz w:val="20"/>
                <w:szCs w:val="20"/>
              </w:rPr>
              <w:fldChar w:fldCharType="begin"/>
            </w:r>
            <w:r w:rsidR="00D048EA" w:rsidRPr="00D048EA">
              <w:rPr>
                <w:rFonts w:ascii="Arial" w:hAnsi="Arial" w:cs="Arial"/>
                <w:noProof/>
                <w:webHidden/>
                <w:sz w:val="20"/>
                <w:szCs w:val="20"/>
              </w:rPr>
              <w:instrText xml:space="preserve"> PAGEREF _Toc141864081 \h </w:instrText>
            </w:r>
            <w:r w:rsidR="00D048EA" w:rsidRPr="00D048EA">
              <w:rPr>
                <w:rFonts w:ascii="Arial" w:hAnsi="Arial" w:cs="Arial"/>
                <w:noProof/>
                <w:webHidden/>
                <w:sz w:val="20"/>
                <w:szCs w:val="20"/>
              </w:rPr>
            </w:r>
            <w:r w:rsidR="00D048EA" w:rsidRPr="00D048EA">
              <w:rPr>
                <w:rFonts w:ascii="Arial" w:hAnsi="Arial" w:cs="Arial"/>
                <w:noProof/>
                <w:webHidden/>
                <w:sz w:val="20"/>
                <w:szCs w:val="20"/>
              </w:rPr>
              <w:fldChar w:fldCharType="separate"/>
            </w:r>
            <w:r w:rsidR="000110D0">
              <w:rPr>
                <w:rFonts w:ascii="Arial" w:hAnsi="Arial" w:cs="Arial"/>
                <w:noProof/>
                <w:webHidden/>
                <w:sz w:val="20"/>
                <w:szCs w:val="20"/>
              </w:rPr>
              <w:t>40</w:t>
            </w:r>
            <w:r w:rsidR="00D048EA" w:rsidRPr="00D048EA">
              <w:rPr>
                <w:rFonts w:ascii="Arial" w:hAnsi="Arial" w:cs="Arial"/>
                <w:noProof/>
                <w:webHidden/>
                <w:sz w:val="20"/>
                <w:szCs w:val="20"/>
              </w:rPr>
              <w:fldChar w:fldCharType="end"/>
            </w:r>
          </w:hyperlink>
        </w:p>
        <w:p w14:paraId="5B78A6C8" w14:textId="5993FA04" w:rsidR="00D048EA" w:rsidRPr="00D048EA" w:rsidRDefault="002E2890">
          <w:pPr>
            <w:pStyle w:val="Kazalovsebine2"/>
            <w:tabs>
              <w:tab w:val="right" w:leader="dot" w:pos="9174"/>
            </w:tabs>
            <w:rPr>
              <w:rFonts w:ascii="Arial" w:eastAsiaTheme="minorEastAsia" w:hAnsi="Arial" w:cs="Arial"/>
              <w:noProof/>
              <w:sz w:val="20"/>
              <w:szCs w:val="20"/>
              <w:lang w:eastAsia="sl-SI"/>
            </w:rPr>
          </w:pPr>
          <w:hyperlink w:anchor="_Toc141864082" w:history="1">
            <w:r w:rsidR="00D048EA" w:rsidRPr="00D048EA">
              <w:rPr>
                <w:rStyle w:val="Hiperpovezava"/>
                <w:rFonts w:ascii="Arial" w:hAnsi="Arial" w:cs="Arial"/>
                <w:noProof/>
                <w:sz w:val="20"/>
                <w:szCs w:val="20"/>
              </w:rPr>
              <w:t>2.11 Javni natečaji</w:t>
            </w:r>
            <w:r w:rsidR="00D048EA" w:rsidRPr="00D048EA">
              <w:rPr>
                <w:rFonts w:ascii="Arial" w:hAnsi="Arial" w:cs="Arial"/>
                <w:noProof/>
                <w:webHidden/>
                <w:sz w:val="20"/>
                <w:szCs w:val="20"/>
              </w:rPr>
              <w:tab/>
            </w:r>
            <w:r w:rsidR="00D048EA" w:rsidRPr="00D048EA">
              <w:rPr>
                <w:rFonts w:ascii="Arial" w:hAnsi="Arial" w:cs="Arial"/>
                <w:noProof/>
                <w:webHidden/>
                <w:sz w:val="20"/>
                <w:szCs w:val="20"/>
              </w:rPr>
              <w:fldChar w:fldCharType="begin"/>
            </w:r>
            <w:r w:rsidR="00D048EA" w:rsidRPr="00D048EA">
              <w:rPr>
                <w:rFonts w:ascii="Arial" w:hAnsi="Arial" w:cs="Arial"/>
                <w:noProof/>
                <w:webHidden/>
                <w:sz w:val="20"/>
                <w:szCs w:val="20"/>
              </w:rPr>
              <w:instrText xml:space="preserve"> PAGEREF _Toc141864082 \h </w:instrText>
            </w:r>
            <w:r w:rsidR="00D048EA" w:rsidRPr="00D048EA">
              <w:rPr>
                <w:rFonts w:ascii="Arial" w:hAnsi="Arial" w:cs="Arial"/>
                <w:noProof/>
                <w:webHidden/>
                <w:sz w:val="20"/>
                <w:szCs w:val="20"/>
              </w:rPr>
            </w:r>
            <w:r w:rsidR="00D048EA" w:rsidRPr="00D048EA">
              <w:rPr>
                <w:rFonts w:ascii="Arial" w:hAnsi="Arial" w:cs="Arial"/>
                <w:noProof/>
                <w:webHidden/>
                <w:sz w:val="20"/>
                <w:szCs w:val="20"/>
              </w:rPr>
              <w:fldChar w:fldCharType="separate"/>
            </w:r>
            <w:r w:rsidR="000110D0">
              <w:rPr>
                <w:rFonts w:ascii="Arial" w:hAnsi="Arial" w:cs="Arial"/>
                <w:noProof/>
                <w:webHidden/>
                <w:sz w:val="20"/>
                <w:szCs w:val="20"/>
              </w:rPr>
              <w:t>41</w:t>
            </w:r>
            <w:r w:rsidR="00D048EA" w:rsidRPr="00D048EA">
              <w:rPr>
                <w:rFonts w:ascii="Arial" w:hAnsi="Arial" w:cs="Arial"/>
                <w:noProof/>
                <w:webHidden/>
                <w:sz w:val="20"/>
                <w:szCs w:val="20"/>
              </w:rPr>
              <w:fldChar w:fldCharType="end"/>
            </w:r>
          </w:hyperlink>
        </w:p>
        <w:p w14:paraId="3EA33A7F" w14:textId="0D406CB5" w:rsidR="00D048EA" w:rsidRPr="00D048EA" w:rsidRDefault="002E2890">
          <w:pPr>
            <w:pStyle w:val="Kazalovsebine1"/>
            <w:rPr>
              <w:rFonts w:eastAsiaTheme="minorEastAsia"/>
              <w:b w:val="0"/>
              <w:bCs w:val="0"/>
              <w:sz w:val="20"/>
              <w:szCs w:val="20"/>
              <w:lang w:eastAsia="sl-SI"/>
            </w:rPr>
          </w:pPr>
          <w:hyperlink w:anchor="_Toc141864083" w:history="1">
            <w:r w:rsidR="00D048EA" w:rsidRPr="00D048EA">
              <w:rPr>
                <w:rStyle w:val="Hiperpovezava"/>
                <w:b w:val="0"/>
                <w:bCs w:val="0"/>
                <w:sz w:val="20"/>
                <w:szCs w:val="20"/>
              </w:rPr>
              <w:t>Izhodišča in pravne podlage</w:t>
            </w:r>
            <w:r w:rsidR="00D048EA" w:rsidRPr="00D048EA">
              <w:rPr>
                <w:b w:val="0"/>
                <w:bCs w:val="0"/>
                <w:webHidden/>
                <w:sz w:val="20"/>
                <w:szCs w:val="20"/>
              </w:rPr>
              <w:tab/>
            </w:r>
            <w:r w:rsidR="00D048EA" w:rsidRPr="00D048EA">
              <w:rPr>
                <w:b w:val="0"/>
                <w:bCs w:val="0"/>
                <w:webHidden/>
                <w:sz w:val="20"/>
                <w:szCs w:val="20"/>
              </w:rPr>
              <w:fldChar w:fldCharType="begin"/>
            </w:r>
            <w:r w:rsidR="00D048EA" w:rsidRPr="00D048EA">
              <w:rPr>
                <w:b w:val="0"/>
                <w:bCs w:val="0"/>
                <w:webHidden/>
                <w:sz w:val="20"/>
                <w:szCs w:val="20"/>
              </w:rPr>
              <w:instrText xml:space="preserve"> PAGEREF _Toc141864083 \h </w:instrText>
            </w:r>
            <w:r w:rsidR="00D048EA" w:rsidRPr="00D048EA">
              <w:rPr>
                <w:b w:val="0"/>
                <w:bCs w:val="0"/>
                <w:webHidden/>
                <w:sz w:val="20"/>
                <w:szCs w:val="20"/>
              </w:rPr>
            </w:r>
            <w:r w:rsidR="00D048EA" w:rsidRPr="00D048EA">
              <w:rPr>
                <w:b w:val="0"/>
                <w:bCs w:val="0"/>
                <w:webHidden/>
                <w:sz w:val="20"/>
                <w:szCs w:val="20"/>
              </w:rPr>
              <w:fldChar w:fldCharType="separate"/>
            </w:r>
            <w:r w:rsidR="000110D0">
              <w:rPr>
                <w:b w:val="0"/>
                <w:bCs w:val="0"/>
                <w:webHidden/>
                <w:sz w:val="20"/>
                <w:szCs w:val="20"/>
              </w:rPr>
              <w:t>42</w:t>
            </w:r>
            <w:r w:rsidR="00D048EA" w:rsidRPr="00D048EA">
              <w:rPr>
                <w:b w:val="0"/>
                <w:bCs w:val="0"/>
                <w:webHidden/>
                <w:sz w:val="20"/>
                <w:szCs w:val="20"/>
              </w:rPr>
              <w:fldChar w:fldCharType="end"/>
            </w:r>
          </w:hyperlink>
        </w:p>
        <w:p w14:paraId="1707ECEF" w14:textId="6FC53E5C" w:rsidR="00D048EA" w:rsidRPr="00D048EA" w:rsidRDefault="002E2890">
          <w:pPr>
            <w:pStyle w:val="Kazalovsebine1"/>
            <w:rPr>
              <w:rFonts w:eastAsiaTheme="minorEastAsia"/>
              <w:b w:val="0"/>
              <w:bCs w:val="0"/>
              <w:lang w:eastAsia="sl-SI"/>
            </w:rPr>
          </w:pPr>
          <w:hyperlink w:anchor="_Toc141864084" w:history="1">
            <w:r w:rsidR="00D048EA" w:rsidRPr="00D048EA">
              <w:rPr>
                <w:rStyle w:val="Hiperpovezava"/>
                <w:b w:val="0"/>
                <w:bCs w:val="0"/>
                <w:sz w:val="20"/>
                <w:szCs w:val="20"/>
              </w:rPr>
              <w:t>Priloge</w:t>
            </w:r>
            <w:r w:rsidR="00D048EA" w:rsidRPr="00D048EA">
              <w:rPr>
                <w:b w:val="0"/>
                <w:bCs w:val="0"/>
                <w:webHidden/>
                <w:sz w:val="20"/>
                <w:szCs w:val="20"/>
              </w:rPr>
              <w:tab/>
            </w:r>
            <w:r w:rsidR="00D048EA" w:rsidRPr="00D048EA">
              <w:rPr>
                <w:b w:val="0"/>
                <w:bCs w:val="0"/>
                <w:webHidden/>
                <w:sz w:val="20"/>
                <w:szCs w:val="20"/>
              </w:rPr>
              <w:fldChar w:fldCharType="begin"/>
            </w:r>
            <w:r w:rsidR="00D048EA" w:rsidRPr="00D048EA">
              <w:rPr>
                <w:b w:val="0"/>
                <w:bCs w:val="0"/>
                <w:webHidden/>
                <w:sz w:val="20"/>
                <w:szCs w:val="20"/>
              </w:rPr>
              <w:instrText xml:space="preserve"> PAGEREF _Toc141864084 \h </w:instrText>
            </w:r>
            <w:r w:rsidR="00D048EA" w:rsidRPr="00D048EA">
              <w:rPr>
                <w:b w:val="0"/>
                <w:bCs w:val="0"/>
                <w:webHidden/>
                <w:sz w:val="20"/>
                <w:szCs w:val="20"/>
              </w:rPr>
            </w:r>
            <w:r w:rsidR="00D048EA" w:rsidRPr="00D048EA">
              <w:rPr>
                <w:b w:val="0"/>
                <w:bCs w:val="0"/>
                <w:webHidden/>
                <w:sz w:val="20"/>
                <w:szCs w:val="20"/>
              </w:rPr>
              <w:fldChar w:fldCharType="separate"/>
            </w:r>
            <w:r w:rsidR="000110D0">
              <w:rPr>
                <w:b w:val="0"/>
                <w:bCs w:val="0"/>
                <w:webHidden/>
                <w:sz w:val="20"/>
                <w:szCs w:val="20"/>
              </w:rPr>
              <w:t>45</w:t>
            </w:r>
            <w:r w:rsidR="00D048EA" w:rsidRPr="00D048EA">
              <w:rPr>
                <w:b w:val="0"/>
                <w:bCs w:val="0"/>
                <w:webHidden/>
                <w:sz w:val="20"/>
                <w:szCs w:val="20"/>
              </w:rPr>
              <w:fldChar w:fldCharType="end"/>
            </w:r>
          </w:hyperlink>
        </w:p>
        <w:p w14:paraId="1165C7CD" w14:textId="26195BA7" w:rsidR="00206175" w:rsidRPr="00BF7302" w:rsidRDefault="00AE378A" w:rsidP="00324D7C">
          <w:pPr>
            <w:pStyle w:val="Kazalovsebine2"/>
            <w:tabs>
              <w:tab w:val="right" w:leader="dot" w:pos="9062"/>
            </w:tabs>
            <w:ind w:left="0"/>
            <w:rPr>
              <w:rFonts w:ascii="Arial" w:hAnsi="Arial" w:cs="Arial"/>
              <w:sz w:val="20"/>
              <w:szCs w:val="20"/>
              <w:highlight w:val="yellow"/>
            </w:rPr>
          </w:pPr>
          <w:r w:rsidRPr="00D048EA">
            <w:rPr>
              <w:rFonts w:ascii="Arial" w:hAnsi="Arial" w:cs="Arial"/>
              <w:highlight w:val="yellow"/>
            </w:rPr>
            <w:fldChar w:fldCharType="end"/>
          </w:r>
        </w:p>
      </w:sdtContent>
    </w:sdt>
    <w:p w14:paraId="08AEB7A0" w14:textId="77777777" w:rsidR="00DD7386" w:rsidRPr="00BF7302" w:rsidRDefault="00DD7386" w:rsidP="00DD7386">
      <w:pPr>
        <w:pStyle w:val="ZADEVA"/>
        <w:jc w:val="both"/>
        <w:rPr>
          <w:rFonts w:cs="Arial"/>
          <w:b w:val="0"/>
          <w:szCs w:val="20"/>
          <w:highlight w:val="yellow"/>
          <w:lang w:val="sl-SI"/>
        </w:rPr>
      </w:pPr>
    </w:p>
    <w:p w14:paraId="31C738C9" w14:textId="0360682C" w:rsidR="00DD7386" w:rsidRPr="00BF7302" w:rsidRDefault="00DD7386" w:rsidP="00DD7386">
      <w:pPr>
        <w:pStyle w:val="ZADEVA"/>
        <w:jc w:val="both"/>
        <w:rPr>
          <w:rFonts w:cs="Arial"/>
          <w:b w:val="0"/>
          <w:szCs w:val="20"/>
          <w:highlight w:val="yellow"/>
          <w:lang w:val="sl-SI"/>
        </w:rPr>
      </w:pPr>
    </w:p>
    <w:p w14:paraId="4C7C782C" w14:textId="77777777" w:rsidR="00DD7386" w:rsidRPr="00BF7302" w:rsidRDefault="00DD7386" w:rsidP="00DD7386">
      <w:pPr>
        <w:pStyle w:val="ZADEVA"/>
        <w:jc w:val="both"/>
        <w:rPr>
          <w:rFonts w:cs="Arial"/>
          <w:b w:val="0"/>
          <w:szCs w:val="20"/>
          <w:highlight w:val="yellow"/>
          <w:lang w:val="sl-SI"/>
        </w:rPr>
      </w:pPr>
    </w:p>
    <w:p w14:paraId="5E1B0267" w14:textId="77777777" w:rsidR="00DD7386" w:rsidRPr="00BF7302" w:rsidRDefault="00DD7386" w:rsidP="00DD7386">
      <w:pPr>
        <w:pStyle w:val="ZADEVA"/>
        <w:jc w:val="both"/>
        <w:rPr>
          <w:rFonts w:cs="Arial"/>
          <w:b w:val="0"/>
          <w:szCs w:val="20"/>
          <w:highlight w:val="yellow"/>
          <w:lang w:val="sl-SI"/>
        </w:rPr>
      </w:pPr>
    </w:p>
    <w:p w14:paraId="4D382221" w14:textId="77777777" w:rsidR="00DD7386" w:rsidRPr="00BF7302" w:rsidRDefault="00DD7386" w:rsidP="00DD7386">
      <w:pPr>
        <w:pStyle w:val="ZADEVA"/>
        <w:jc w:val="both"/>
        <w:rPr>
          <w:rFonts w:cs="Arial"/>
          <w:b w:val="0"/>
          <w:szCs w:val="20"/>
          <w:highlight w:val="yellow"/>
          <w:lang w:val="sl-SI"/>
        </w:rPr>
      </w:pPr>
    </w:p>
    <w:p w14:paraId="7D82175D" w14:textId="77777777" w:rsidR="00DD7386" w:rsidRPr="00BF7302" w:rsidRDefault="00DD7386" w:rsidP="00DD7386">
      <w:pPr>
        <w:pStyle w:val="ZADEVA"/>
        <w:jc w:val="both"/>
        <w:rPr>
          <w:rFonts w:cs="Arial"/>
          <w:b w:val="0"/>
          <w:szCs w:val="20"/>
          <w:highlight w:val="yellow"/>
          <w:lang w:val="sl-SI"/>
        </w:rPr>
      </w:pPr>
    </w:p>
    <w:p w14:paraId="02C740A7" w14:textId="77777777" w:rsidR="00DD7386" w:rsidRPr="00BF7302" w:rsidRDefault="00DD7386" w:rsidP="00DD7386">
      <w:pPr>
        <w:pStyle w:val="ZADEVA"/>
        <w:jc w:val="both"/>
        <w:rPr>
          <w:rFonts w:cs="Arial"/>
          <w:b w:val="0"/>
          <w:szCs w:val="20"/>
          <w:highlight w:val="yellow"/>
          <w:lang w:val="sl-SI"/>
        </w:rPr>
      </w:pPr>
    </w:p>
    <w:p w14:paraId="3107EF81" w14:textId="77777777" w:rsidR="00DD7386" w:rsidRPr="00BF7302" w:rsidRDefault="00DD7386" w:rsidP="00DD7386">
      <w:pPr>
        <w:pStyle w:val="ZADEVA"/>
        <w:jc w:val="both"/>
        <w:rPr>
          <w:rFonts w:cs="Arial"/>
          <w:b w:val="0"/>
          <w:szCs w:val="20"/>
          <w:highlight w:val="yellow"/>
          <w:lang w:val="sl-SI"/>
        </w:rPr>
      </w:pPr>
    </w:p>
    <w:p w14:paraId="187C017C" w14:textId="77777777" w:rsidR="00DD7386" w:rsidRPr="00BF7302" w:rsidRDefault="00DD7386" w:rsidP="00DD7386">
      <w:pPr>
        <w:pStyle w:val="ZADEVA"/>
        <w:jc w:val="both"/>
        <w:rPr>
          <w:rFonts w:cs="Arial"/>
          <w:b w:val="0"/>
          <w:szCs w:val="20"/>
          <w:highlight w:val="yellow"/>
          <w:lang w:val="sl-SI"/>
        </w:rPr>
      </w:pPr>
    </w:p>
    <w:p w14:paraId="68519F74" w14:textId="77777777" w:rsidR="00DD7386" w:rsidRPr="00BF7302" w:rsidRDefault="00DD7386" w:rsidP="00DD7386">
      <w:pPr>
        <w:pStyle w:val="ZADEVA"/>
        <w:jc w:val="both"/>
        <w:rPr>
          <w:rFonts w:cs="Arial"/>
          <w:b w:val="0"/>
          <w:szCs w:val="20"/>
          <w:highlight w:val="yellow"/>
          <w:lang w:val="sl-SI"/>
        </w:rPr>
      </w:pPr>
    </w:p>
    <w:p w14:paraId="1E5F01D4" w14:textId="77777777" w:rsidR="00DD7386" w:rsidRPr="00BF7302" w:rsidRDefault="00DD7386" w:rsidP="00DD7386">
      <w:pPr>
        <w:pStyle w:val="ZADEVA"/>
        <w:jc w:val="both"/>
        <w:rPr>
          <w:rFonts w:cs="Arial"/>
          <w:b w:val="0"/>
          <w:szCs w:val="20"/>
          <w:highlight w:val="yellow"/>
          <w:lang w:val="sl-SI"/>
        </w:rPr>
      </w:pPr>
    </w:p>
    <w:p w14:paraId="3DD5EFF1" w14:textId="77777777" w:rsidR="00DD7386" w:rsidRPr="00BF7302" w:rsidRDefault="00DD7386" w:rsidP="00DD7386">
      <w:pPr>
        <w:pStyle w:val="ZADEVA"/>
        <w:jc w:val="both"/>
        <w:rPr>
          <w:rFonts w:cs="Arial"/>
          <w:b w:val="0"/>
          <w:szCs w:val="20"/>
          <w:highlight w:val="yellow"/>
          <w:lang w:val="sl-SI"/>
        </w:rPr>
      </w:pPr>
    </w:p>
    <w:p w14:paraId="5362C6CB" w14:textId="77777777" w:rsidR="00DD7386" w:rsidRPr="00BF7302" w:rsidRDefault="00DD7386" w:rsidP="00DD7386">
      <w:pPr>
        <w:pStyle w:val="ZADEVA"/>
        <w:jc w:val="both"/>
        <w:rPr>
          <w:rFonts w:cs="Arial"/>
          <w:b w:val="0"/>
          <w:szCs w:val="20"/>
          <w:highlight w:val="yellow"/>
          <w:lang w:val="sl-SI"/>
        </w:rPr>
      </w:pPr>
    </w:p>
    <w:p w14:paraId="0F713636" w14:textId="77777777" w:rsidR="00DD7386" w:rsidRPr="00BF7302" w:rsidRDefault="00DD7386" w:rsidP="00DD7386">
      <w:pPr>
        <w:pStyle w:val="ZADEVA"/>
        <w:jc w:val="both"/>
        <w:rPr>
          <w:rFonts w:cs="Arial"/>
          <w:b w:val="0"/>
          <w:szCs w:val="20"/>
          <w:highlight w:val="yellow"/>
          <w:lang w:val="sl-SI"/>
        </w:rPr>
      </w:pPr>
    </w:p>
    <w:p w14:paraId="05396EA4" w14:textId="77777777" w:rsidR="00DD7386" w:rsidRPr="00BF7302" w:rsidRDefault="00DD7386" w:rsidP="00DD7386">
      <w:pPr>
        <w:pStyle w:val="ZADEVA"/>
        <w:jc w:val="both"/>
        <w:rPr>
          <w:rFonts w:cs="Arial"/>
          <w:b w:val="0"/>
          <w:szCs w:val="20"/>
          <w:highlight w:val="yellow"/>
          <w:lang w:val="sl-SI"/>
        </w:rPr>
      </w:pPr>
    </w:p>
    <w:p w14:paraId="075645D3" w14:textId="77777777" w:rsidR="00DD7386" w:rsidRPr="00BF7302" w:rsidRDefault="00DD7386" w:rsidP="00DD7386">
      <w:pPr>
        <w:pStyle w:val="ZADEVA"/>
        <w:jc w:val="both"/>
        <w:rPr>
          <w:rFonts w:cs="Arial"/>
          <w:b w:val="0"/>
          <w:szCs w:val="20"/>
          <w:highlight w:val="yellow"/>
          <w:lang w:val="sl-SI"/>
        </w:rPr>
      </w:pPr>
    </w:p>
    <w:p w14:paraId="13C164A1" w14:textId="77777777" w:rsidR="00DD7386" w:rsidRPr="00BF7302" w:rsidRDefault="00DD7386" w:rsidP="00DD7386">
      <w:pPr>
        <w:pStyle w:val="ZADEVA"/>
        <w:jc w:val="both"/>
        <w:rPr>
          <w:rFonts w:cs="Arial"/>
          <w:b w:val="0"/>
          <w:szCs w:val="20"/>
          <w:highlight w:val="yellow"/>
          <w:lang w:val="sl-SI"/>
        </w:rPr>
      </w:pPr>
    </w:p>
    <w:p w14:paraId="7D3E3812" w14:textId="77777777" w:rsidR="00DD7386" w:rsidRPr="00BF7302" w:rsidRDefault="00DD7386" w:rsidP="00DD7386">
      <w:pPr>
        <w:pStyle w:val="ZADEVA"/>
        <w:jc w:val="both"/>
        <w:rPr>
          <w:rFonts w:cs="Arial"/>
          <w:b w:val="0"/>
          <w:szCs w:val="20"/>
          <w:highlight w:val="yellow"/>
          <w:lang w:val="sl-SI"/>
        </w:rPr>
      </w:pPr>
    </w:p>
    <w:p w14:paraId="56FA0499" w14:textId="77777777" w:rsidR="00DD7386" w:rsidRPr="00BF7302" w:rsidRDefault="00DD7386" w:rsidP="00DD7386">
      <w:pPr>
        <w:pStyle w:val="ZADEVA"/>
        <w:jc w:val="both"/>
        <w:rPr>
          <w:rFonts w:cs="Arial"/>
          <w:b w:val="0"/>
          <w:szCs w:val="20"/>
          <w:highlight w:val="yellow"/>
          <w:lang w:val="sl-SI"/>
        </w:rPr>
      </w:pPr>
    </w:p>
    <w:p w14:paraId="508F3760" w14:textId="77777777" w:rsidR="00DD7386" w:rsidRPr="00BF7302" w:rsidRDefault="00DD7386" w:rsidP="00DD7386">
      <w:pPr>
        <w:pStyle w:val="ZADEVA"/>
        <w:jc w:val="both"/>
        <w:rPr>
          <w:rFonts w:cs="Arial"/>
          <w:b w:val="0"/>
          <w:szCs w:val="20"/>
          <w:highlight w:val="yellow"/>
          <w:lang w:val="sl-SI"/>
        </w:rPr>
      </w:pPr>
    </w:p>
    <w:p w14:paraId="214C36E4" w14:textId="77777777" w:rsidR="00DD7386" w:rsidRPr="00BF7302" w:rsidRDefault="00DD7386" w:rsidP="00DD7386">
      <w:pPr>
        <w:pStyle w:val="ZADEVA"/>
        <w:jc w:val="both"/>
        <w:rPr>
          <w:rFonts w:cs="Arial"/>
          <w:b w:val="0"/>
          <w:szCs w:val="20"/>
          <w:highlight w:val="yellow"/>
          <w:lang w:val="sl-SI"/>
        </w:rPr>
      </w:pPr>
    </w:p>
    <w:p w14:paraId="03E29A94" w14:textId="77777777" w:rsidR="00DD7386" w:rsidRPr="00BF7302" w:rsidRDefault="00DD7386" w:rsidP="00DD7386">
      <w:pPr>
        <w:pStyle w:val="ZADEVA"/>
        <w:jc w:val="both"/>
        <w:rPr>
          <w:rFonts w:cs="Arial"/>
          <w:b w:val="0"/>
          <w:szCs w:val="20"/>
          <w:highlight w:val="yellow"/>
          <w:lang w:val="sl-SI"/>
        </w:rPr>
      </w:pPr>
    </w:p>
    <w:p w14:paraId="2750D9C3" w14:textId="77777777" w:rsidR="00DD7386" w:rsidRPr="00BF7302" w:rsidRDefault="00DD7386" w:rsidP="00DD7386">
      <w:pPr>
        <w:pStyle w:val="ZADEVA"/>
        <w:jc w:val="both"/>
        <w:rPr>
          <w:rFonts w:cs="Arial"/>
          <w:b w:val="0"/>
          <w:szCs w:val="20"/>
          <w:highlight w:val="yellow"/>
          <w:lang w:val="sl-SI"/>
        </w:rPr>
      </w:pPr>
    </w:p>
    <w:p w14:paraId="63BED7F1" w14:textId="77777777" w:rsidR="00DD7386" w:rsidRPr="00BF7302" w:rsidRDefault="00DD7386" w:rsidP="00DD7386">
      <w:pPr>
        <w:pStyle w:val="ZADEVA"/>
        <w:jc w:val="both"/>
        <w:rPr>
          <w:rFonts w:cs="Arial"/>
          <w:b w:val="0"/>
          <w:szCs w:val="20"/>
          <w:highlight w:val="yellow"/>
          <w:lang w:val="sl-SI"/>
        </w:rPr>
      </w:pPr>
    </w:p>
    <w:p w14:paraId="2B6F2B0B" w14:textId="77777777" w:rsidR="00DD7386" w:rsidRPr="00BF7302" w:rsidRDefault="00DD7386" w:rsidP="00DD7386">
      <w:pPr>
        <w:pStyle w:val="ZADEVA"/>
        <w:jc w:val="both"/>
        <w:rPr>
          <w:rFonts w:cs="Arial"/>
          <w:b w:val="0"/>
          <w:szCs w:val="20"/>
          <w:highlight w:val="yellow"/>
          <w:lang w:val="sl-SI"/>
        </w:rPr>
      </w:pPr>
    </w:p>
    <w:p w14:paraId="62D30D73" w14:textId="77777777" w:rsidR="00854405" w:rsidRPr="00BF7302" w:rsidRDefault="00854405" w:rsidP="00854405">
      <w:pPr>
        <w:pStyle w:val="ZADEVA"/>
        <w:jc w:val="both"/>
        <w:rPr>
          <w:rFonts w:cs="Arial"/>
          <w:b w:val="0"/>
          <w:szCs w:val="20"/>
          <w:highlight w:val="yellow"/>
          <w:lang w:val="sl-SI"/>
        </w:rPr>
      </w:pPr>
    </w:p>
    <w:p w14:paraId="4AFB8182" w14:textId="77777777" w:rsidR="00500FDD" w:rsidRPr="00BF7302" w:rsidRDefault="00500FDD">
      <w:pPr>
        <w:rPr>
          <w:rFonts w:ascii="Arial" w:eastAsiaTheme="majorEastAsia" w:hAnsi="Arial" w:cs="Arial"/>
          <w:b/>
          <w:color w:val="2F5496" w:themeColor="accent1" w:themeShade="BF"/>
          <w:highlight w:val="yellow"/>
        </w:rPr>
      </w:pPr>
      <w:r w:rsidRPr="00BF7302">
        <w:rPr>
          <w:rFonts w:ascii="Arial" w:hAnsi="Arial" w:cs="Arial"/>
          <w:b/>
          <w:highlight w:val="yellow"/>
        </w:rPr>
        <w:br w:type="page"/>
      </w:r>
    </w:p>
    <w:p w14:paraId="34706749" w14:textId="273E940B" w:rsidR="004A48B3" w:rsidRPr="0069564E" w:rsidRDefault="004A48B3" w:rsidP="004A48B3">
      <w:pPr>
        <w:pStyle w:val="Naslov1"/>
        <w:rPr>
          <w:rFonts w:ascii="Arial" w:hAnsi="Arial" w:cs="Arial"/>
          <w:b/>
          <w:sz w:val="22"/>
          <w:szCs w:val="22"/>
        </w:rPr>
      </w:pPr>
      <w:bookmarkStart w:id="0" w:name="_Toc141864043"/>
      <w:bookmarkStart w:id="1" w:name="_Hlk113004312"/>
      <w:r w:rsidRPr="0069564E">
        <w:rPr>
          <w:rFonts w:ascii="Arial" w:hAnsi="Arial" w:cs="Arial"/>
          <w:b/>
          <w:sz w:val="22"/>
          <w:szCs w:val="22"/>
        </w:rPr>
        <w:lastRenderedPageBreak/>
        <w:t>Po</w:t>
      </w:r>
      <w:r w:rsidR="000441FC">
        <w:rPr>
          <w:rFonts w:ascii="Arial" w:hAnsi="Arial" w:cs="Arial"/>
          <w:b/>
          <w:sz w:val="22"/>
          <w:szCs w:val="22"/>
        </w:rPr>
        <w:t>vzetek</w:t>
      </w:r>
      <w:bookmarkEnd w:id="0"/>
    </w:p>
    <w:p w14:paraId="2481F880" w14:textId="464345B3" w:rsidR="00881870" w:rsidRPr="0069564E" w:rsidRDefault="00881870" w:rsidP="00540C77">
      <w:pPr>
        <w:jc w:val="center"/>
        <w:rPr>
          <w:rFonts w:ascii="Arial" w:hAnsi="Arial" w:cs="Arial"/>
          <w:sz w:val="20"/>
          <w:szCs w:val="20"/>
        </w:rPr>
      </w:pPr>
    </w:p>
    <w:p w14:paraId="0CDE560E" w14:textId="325567A1" w:rsidR="00540C77" w:rsidRPr="0069564E" w:rsidRDefault="00881870" w:rsidP="0062342E">
      <w:pPr>
        <w:spacing w:line="360" w:lineRule="auto"/>
        <w:jc w:val="both"/>
        <w:rPr>
          <w:rFonts w:ascii="Arial" w:hAnsi="Arial" w:cs="Arial"/>
          <w:b/>
          <w:bCs/>
          <w:sz w:val="20"/>
          <w:szCs w:val="20"/>
        </w:rPr>
      </w:pPr>
      <w:r w:rsidRPr="0069564E">
        <w:rPr>
          <w:rFonts w:ascii="Arial" w:hAnsi="Arial" w:cs="Arial"/>
          <w:sz w:val="20"/>
          <w:szCs w:val="20"/>
        </w:rPr>
        <w:t xml:space="preserve">V </w:t>
      </w:r>
      <w:r w:rsidRPr="0069564E">
        <w:rPr>
          <w:rFonts w:ascii="Arial" w:hAnsi="Arial" w:cs="Arial"/>
          <w:color w:val="000000" w:themeColor="text1"/>
          <w:sz w:val="20"/>
          <w:szCs w:val="20"/>
        </w:rPr>
        <w:t>letu 202</w:t>
      </w:r>
      <w:r w:rsidR="0069564E" w:rsidRPr="0069564E">
        <w:rPr>
          <w:rFonts w:ascii="Arial" w:hAnsi="Arial" w:cs="Arial"/>
          <w:color w:val="000000" w:themeColor="text1"/>
          <w:sz w:val="20"/>
          <w:szCs w:val="20"/>
        </w:rPr>
        <w:t>2</w:t>
      </w:r>
      <w:r w:rsidRPr="0069564E">
        <w:rPr>
          <w:rFonts w:ascii="Arial" w:hAnsi="Arial" w:cs="Arial"/>
          <w:color w:val="000000" w:themeColor="text1"/>
          <w:sz w:val="20"/>
          <w:szCs w:val="20"/>
        </w:rPr>
        <w:t xml:space="preserve"> je </w:t>
      </w:r>
      <w:r w:rsidRPr="009A34BA">
        <w:rPr>
          <w:rFonts w:ascii="Arial" w:hAnsi="Arial" w:cs="Arial"/>
          <w:b/>
          <w:bCs/>
          <w:color w:val="000000" w:themeColor="text1"/>
          <w:sz w:val="20"/>
          <w:szCs w:val="20"/>
        </w:rPr>
        <w:t>21</w:t>
      </w:r>
      <w:r w:rsidR="0069564E" w:rsidRPr="009A34BA">
        <w:rPr>
          <w:rFonts w:ascii="Arial" w:hAnsi="Arial" w:cs="Arial"/>
          <w:b/>
          <w:bCs/>
          <w:color w:val="000000" w:themeColor="text1"/>
          <w:sz w:val="20"/>
          <w:szCs w:val="20"/>
        </w:rPr>
        <w:t>69</w:t>
      </w:r>
      <w:r w:rsidRPr="009A34BA">
        <w:rPr>
          <w:rFonts w:ascii="Arial" w:hAnsi="Arial" w:cs="Arial"/>
          <w:color w:val="000000" w:themeColor="text1"/>
          <w:sz w:val="20"/>
          <w:szCs w:val="20"/>
        </w:rPr>
        <w:t xml:space="preserve"> naročnikov </w:t>
      </w:r>
      <w:r w:rsidRPr="0069564E">
        <w:rPr>
          <w:rFonts w:ascii="Arial" w:hAnsi="Arial" w:cs="Arial"/>
          <w:sz w:val="20"/>
          <w:szCs w:val="20"/>
        </w:rPr>
        <w:t xml:space="preserve">oddalo </w:t>
      </w:r>
      <w:r w:rsidR="00496556">
        <w:rPr>
          <w:rFonts w:ascii="Arial" w:hAnsi="Arial" w:cs="Arial"/>
          <w:sz w:val="20"/>
          <w:szCs w:val="20"/>
        </w:rPr>
        <w:t>glede na</w:t>
      </w:r>
      <w:r w:rsidRPr="0069564E">
        <w:rPr>
          <w:rFonts w:ascii="Arial" w:hAnsi="Arial" w:cs="Arial"/>
          <w:sz w:val="20"/>
          <w:szCs w:val="20"/>
        </w:rPr>
        <w:t xml:space="preserve"> vrednost največ javnih naročil do</w:t>
      </w:r>
      <w:r w:rsidR="00AC0027">
        <w:rPr>
          <w:rFonts w:ascii="Arial" w:hAnsi="Arial" w:cs="Arial"/>
          <w:sz w:val="20"/>
          <w:szCs w:val="20"/>
        </w:rPr>
        <w:t>slej</w:t>
      </w:r>
      <w:r w:rsidRPr="0069564E">
        <w:rPr>
          <w:rFonts w:ascii="Arial" w:hAnsi="Arial" w:cs="Arial"/>
          <w:sz w:val="20"/>
          <w:szCs w:val="20"/>
        </w:rPr>
        <w:t xml:space="preserve">. Skupaj z </w:t>
      </w:r>
      <w:r w:rsidRPr="00384AA3">
        <w:rPr>
          <w:rFonts w:ascii="Arial" w:hAnsi="Arial" w:cs="Arial"/>
          <w:sz w:val="20"/>
          <w:szCs w:val="20"/>
        </w:rPr>
        <w:t xml:space="preserve">evidenčnimi naročili je bilo oddanih za </w:t>
      </w:r>
      <w:r w:rsidR="0069564E" w:rsidRPr="00384AA3">
        <w:rPr>
          <w:rFonts w:ascii="Arial" w:hAnsi="Arial" w:cs="Arial"/>
          <w:b/>
          <w:bCs/>
          <w:sz w:val="20"/>
          <w:szCs w:val="20"/>
        </w:rPr>
        <w:t xml:space="preserve">8.047.078.139 </w:t>
      </w:r>
      <w:r w:rsidRPr="00384AA3">
        <w:rPr>
          <w:rFonts w:ascii="Arial" w:hAnsi="Arial" w:cs="Arial"/>
          <w:b/>
          <w:bCs/>
          <w:sz w:val="20"/>
          <w:szCs w:val="20"/>
        </w:rPr>
        <w:t>evrov</w:t>
      </w:r>
      <w:r w:rsidR="00496556" w:rsidRPr="00384AA3">
        <w:rPr>
          <w:rFonts w:ascii="Arial" w:hAnsi="Arial" w:cs="Arial"/>
          <w:sz w:val="20"/>
          <w:szCs w:val="20"/>
        </w:rPr>
        <w:t xml:space="preserve"> javnih naročil</w:t>
      </w:r>
      <w:r w:rsidRPr="00384AA3">
        <w:rPr>
          <w:rFonts w:ascii="Arial" w:hAnsi="Arial" w:cs="Arial"/>
          <w:b/>
          <w:bCs/>
          <w:sz w:val="20"/>
          <w:szCs w:val="20"/>
        </w:rPr>
        <w:t>.</w:t>
      </w:r>
      <w:r w:rsidRPr="0069564E">
        <w:rPr>
          <w:rFonts w:ascii="Arial" w:hAnsi="Arial" w:cs="Arial"/>
          <w:b/>
          <w:bCs/>
          <w:sz w:val="20"/>
          <w:szCs w:val="20"/>
        </w:rPr>
        <w:t xml:space="preserve"> </w:t>
      </w:r>
    </w:p>
    <w:tbl>
      <w:tblPr>
        <w:tblW w:w="7320" w:type="dxa"/>
        <w:jc w:val="center"/>
        <w:tblCellMar>
          <w:left w:w="70" w:type="dxa"/>
          <w:right w:w="70" w:type="dxa"/>
        </w:tblCellMar>
        <w:tblLook w:val="04A0" w:firstRow="1" w:lastRow="0" w:firstColumn="1" w:lastColumn="0" w:noHBand="0" w:noVBand="1"/>
      </w:tblPr>
      <w:tblGrid>
        <w:gridCol w:w="4060"/>
        <w:gridCol w:w="1600"/>
        <w:gridCol w:w="1660"/>
      </w:tblGrid>
      <w:tr w:rsidR="00540C77" w:rsidRPr="0069564E" w14:paraId="04D591F5" w14:textId="77777777" w:rsidTr="00540C77">
        <w:trPr>
          <w:trHeight w:val="480"/>
          <w:jc w:val="center"/>
        </w:trPr>
        <w:tc>
          <w:tcPr>
            <w:tcW w:w="40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D5FCFB8" w14:textId="36FAAC71" w:rsidR="00540C77" w:rsidRPr="0069564E" w:rsidRDefault="00540C77" w:rsidP="00540C77">
            <w:pPr>
              <w:spacing w:after="0" w:line="240" w:lineRule="auto"/>
              <w:jc w:val="center"/>
              <w:rPr>
                <w:rFonts w:ascii="Arial" w:eastAsia="Times New Roman" w:hAnsi="Arial" w:cs="Arial"/>
                <w:color w:val="000000"/>
                <w:sz w:val="18"/>
                <w:szCs w:val="18"/>
                <w:lang w:eastAsia="sl-SI"/>
              </w:rPr>
            </w:pPr>
            <w:r w:rsidRPr="0069564E">
              <w:rPr>
                <w:rFonts w:ascii="Arial" w:eastAsia="Times New Roman" w:hAnsi="Arial" w:cs="Arial"/>
                <w:b/>
                <w:bCs/>
                <w:color w:val="000000"/>
                <w:sz w:val="18"/>
                <w:szCs w:val="18"/>
                <w:lang w:eastAsia="sl-SI"/>
              </w:rPr>
              <w:t>Oddana javna naročila v letu 202</w:t>
            </w:r>
            <w:r w:rsidR="00913E0C">
              <w:rPr>
                <w:rFonts w:ascii="Arial" w:eastAsia="Times New Roman" w:hAnsi="Arial" w:cs="Arial"/>
                <w:b/>
                <w:bCs/>
                <w:color w:val="000000"/>
                <w:sz w:val="18"/>
                <w:szCs w:val="18"/>
                <w:lang w:eastAsia="sl-SI"/>
              </w:rPr>
              <w:t>2</w:t>
            </w:r>
          </w:p>
        </w:tc>
        <w:tc>
          <w:tcPr>
            <w:tcW w:w="1600" w:type="dxa"/>
            <w:tcBorders>
              <w:top w:val="single" w:sz="4" w:space="0" w:color="auto"/>
              <w:left w:val="nil"/>
              <w:bottom w:val="single" w:sz="4" w:space="0" w:color="auto"/>
              <w:right w:val="single" w:sz="4" w:space="0" w:color="auto"/>
            </w:tcBorders>
            <w:shd w:val="clear" w:color="000000" w:fill="F2F2F2"/>
            <w:vAlign w:val="center"/>
            <w:hideMark/>
          </w:tcPr>
          <w:p w14:paraId="5FB0BDE1" w14:textId="77777777" w:rsidR="00540C77" w:rsidRPr="0069564E" w:rsidRDefault="00540C77" w:rsidP="00540C77">
            <w:pPr>
              <w:spacing w:after="0" w:line="240" w:lineRule="auto"/>
              <w:jc w:val="center"/>
              <w:rPr>
                <w:rFonts w:ascii="Arial" w:eastAsia="Times New Roman" w:hAnsi="Arial" w:cs="Arial"/>
                <w:color w:val="000000"/>
                <w:sz w:val="18"/>
                <w:szCs w:val="18"/>
                <w:lang w:eastAsia="sl-SI"/>
              </w:rPr>
            </w:pPr>
            <w:r w:rsidRPr="0069564E">
              <w:rPr>
                <w:rFonts w:ascii="Arial" w:eastAsia="Times New Roman" w:hAnsi="Arial" w:cs="Arial"/>
                <w:color w:val="000000"/>
                <w:sz w:val="18"/>
                <w:szCs w:val="18"/>
                <w:lang w:eastAsia="sl-SI"/>
              </w:rPr>
              <w:t>Št. postopkov</w:t>
            </w:r>
          </w:p>
        </w:tc>
        <w:tc>
          <w:tcPr>
            <w:tcW w:w="1660" w:type="dxa"/>
            <w:tcBorders>
              <w:top w:val="single" w:sz="4" w:space="0" w:color="auto"/>
              <w:left w:val="nil"/>
              <w:bottom w:val="single" w:sz="4" w:space="0" w:color="auto"/>
              <w:right w:val="single" w:sz="4" w:space="0" w:color="auto"/>
            </w:tcBorders>
            <w:shd w:val="clear" w:color="000000" w:fill="F2F2F2"/>
            <w:vAlign w:val="center"/>
            <w:hideMark/>
          </w:tcPr>
          <w:p w14:paraId="1A713A48" w14:textId="77777777" w:rsidR="00540C77" w:rsidRPr="0069564E" w:rsidRDefault="00540C77" w:rsidP="00540C77">
            <w:pPr>
              <w:spacing w:after="0" w:line="240" w:lineRule="auto"/>
              <w:jc w:val="center"/>
              <w:rPr>
                <w:rFonts w:ascii="Arial" w:eastAsia="Times New Roman" w:hAnsi="Arial" w:cs="Arial"/>
                <w:color w:val="000000"/>
                <w:sz w:val="18"/>
                <w:szCs w:val="18"/>
                <w:lang w:eastAsia="sl-SI"/>
              </w:rPr>
            </w:pPr>
            <w:r w:rsidRPr="0069564E">
              <w:rPr>
                <w:rFonts w:ascii="Arial" w:eastAsia="Times New Roman" w:hAnsi="Arial" w:cs="Arial"/>
                <w:color w:val="000000"/>
                <w:sz w:val="18"/>
                <w:szCs w:val="18"/>
                <w:lang w:eastAsia="sl-SI"/>
              </w:rPr>
              <w:t>Pogodbena vrednost</w:t>
            </w:r>
          </w:p>
        </w:tc>
      </w:tr>
      <w:tr w:rsidR="0069564E" w:rsidRPr="0069564E" w14:paraId="4232D478" w14:textId="77777777" w:rsidTr="0069564E">
        <w:trPr>
          <w:trHeight w:val="300"/>
          <w:jc w:val="center"/>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104D2784" w14:textId="049B7D51" w:rsidR="0069564E" w:rsidRPr="0069564E" w:rsidRDefault="0069564E" w:rsidP="0069564E">
            <w:pPr>
              <w:spacing w:after="0" w:line="240" w:lineRule="auto"/>
              <w:rPr>
                <w:rFonts w:ascii="Arial" w:eastAsia="Times New Roman" w:hAnsi="Arial" w:cs="Arial"/>
                <w:color w:val="000000"/>
                <w:sz w:val="18"/>
                <w:szCs w:val="18"/>
                <w:lang w:eastAsia="sl-SI"/>
              </w:rPr>
            </w:pPr>
            <w:r w:rsidRPr="0069564E">
              <w:rPr>
                <w:rFonts w:ascii="Arial" w:eastAsia="Times New Roman" w:hAnsi="Arial" w:cs="Arial"/>
                <w:color w:val="000000"/>
                <w:sz w:val="18"/>
                <w:szCs w:val="18"/>
                <w:lang w:eastAsia="sl-SI"/>
              </w:rPr>
              <w:t xml:space="preserve">Objavljena naročila </w:t>
            </w:r>
            <w:r w:rsidRPr="0069564E">
              <w:rPr>
                <w:rFonts w:ascii="Arial" w:eastAsia="Times New Roman" w:hAnsi="Arial" w:cs="Arial"/>
                <w:sz w:val="18"/>
                <w:szCs w:val="18"/>
                <w:lang w:eastAsia="sl-SI"/>
              </w:rPr>
              <w:t>na portalu javnih naročil oziroma v Uradnem listu Evropske unije</w:t>
            </w:r>
          </w:p>
        </w:tc>
        <w:tc>
          <w:tcPr>
            <w:tcW w:w="1600" w:type="dxa"/>
            <w:tcBorders>
              <w:top w:val="nil"/>
              <w:left w:val="nil"/>
              <w:bottom w:val="single" w:sz="4" w:space="0" w:color="auto"/>
              <w:right w:val="single" w:sz="4" w:space="0" w:color="auto"/>
            </w:tcBorders>
            <w:shd w:val="clear" w:color="auto" w:fill="auto"/>
            <w:vAlign w:val="center"/>
            <w:hideMark/>
          </w:tcPr>
          <w:p w14:paraId="7AF1BFAD" w14:textId="6FC55F85" w:rsidR="0069564E" w:rsidRPr="0069564E" w:rsidRDefault="0069564E" w:rsidP="0069564E">
            <w:pPr>
              <w:spacing w:after="0" w:line="240" w:lineRule="auto"/>
              <w:jc w:val="right"/>
              <w:rPr>
                <w:rFonts w:ascii="Arial" w:eastAsia="Times New Roman" w:hAnsi="Arial" w:cs="Arial"/>
                <w:sz w:val="18"/>
                <w:szCs w:val="18"/>
                <w:lang w:eastAsia="sl-SI"/>
              </w:rPr>
            </w:pPr>
            <w:r w:rsidRPr="0069564E">
              <w:rPr>
                <w:rFonts w:ascii="Arial" w:eastAsia="Times New Roman" w:hAnsi="Arial" w:cs="Arial"/>
                <w:sz w:val="18"/>
                <w:szCs w:val="18"/>
                <w:lang w:eastAsia="sl-SI"/>
              </w:rPr>
              <w:t>6.721</w:t>
            </w:r>
          </w:p>
        </w:tc>
        <w:tc>
          <w:tcPr>
            <w:tcW w:w="1660" w:type="dxa"/>
            <w:tcBorders>
              <w:top w:val="nil"/>
              <w:left w:val="nil"/>
              <w:bottom w:val="single" w:sz="4" w:space="0" w:color="auto"/>
              <w:right w:val="single" w:sz="4" w:space="0" w:color="auto"/>
            </w:tcBorders>
            <w:shd w:val="clear" w:color="auto" w:fill="auto"/>
            <w:vAlign w:val="center"/>
            <w:hideMark/>
          </w:tcPr>
          <w:p w14:paraId="2753500D" w14:textId="2EC8C3A4" w:rsidR="0069564E" w:rsidRPr="0069564E" w:rsidRDefault="0069564E" w:rsidP="0069564E">
            <w:pPr>
              <w:spacing w:after="0" w:line="240" w:lineRule="auto"/>
              <w:jc w:val="right"/>
              <w:rPr>
                <w:rFonts w:ascii="Arial" w:eastAsia="Times New Roman" w:hAnsi="Arial" w:cs="Arial"/>
                <w:sz w:val="18"/>
                <w:szCs w:val="18"/>
                <w:lang w:eastAsia="sl-SI"/>
              </w:rPr>
            </w:pPr>
            <w:r w:rsidRPr="0069564E">
              <w:rPr>
                <w:rFonts w:ascii="Arial" w:eastAsia="Times New Roman" w:hAnsi="Arial" w:cs="Arial"/>
                <w:sz w:val="18"/>
                <w:szCs w:val="18"/>
                <w:lang w:eastAsia="sl-SI"/>
              </w:rPr>
              <w:t>5.417.105.902</w:t>
            </w:r>
          </w:p>
        </w:tc>
      </w:tr>
      <w:tr w:rsidR="0069564E" w:rsidRPr="0069564E" w14:paraId="30BD7469" w14:textId="77777777" w:rsidTr="0069564E">
        <w:trPr>
          <w:trHeight w:val="300"/>
          <w:jc w:val="center"/>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330DDFF4" w14:textId="77777777" w:rsidR="0069564E" w:rsidRPr="0069564E" w:rsidRDefault="0069564E" w:rsidP="0069564E">
            <w:pPr>
              <w:spacing w:after="0" w:line="240" w:lineRule="auto"/>
              <w:rPr>
                <w:rFonts w:ascii="Arial" w:eastAsia="Times New Roman" w:hAnsi="Arial" w:cs="Arial"/>
                <w:color w:val="000000"/>
                <w:sz w:val="18"/>
                <w:szCs w:val="18"/>
                <w:lang w:eastAsia="sl-SI"/>
              </w:rPr>
            </w:pPr>
            <w:r w:rsidRPr="0069564E">
              <w:rPr>
                <w:rFonts w:ascii="Arial" w:eastAsia="Times New Roman" w:hAnsi="Arial" w:cs="Arial"/>
                <w:color w:val="000000"/>
                <w:sz w:val="18"/>
                <w:szCs w:val="18"/>
                <w:lang w:eastAsia="sl-SI"/>
              </w:rPr>
              <w:t xml:space="preserve">Evidenčna naročila </w:t>
            </w:r>
          </w:p>
        </w:tc>
        <w:tc>
          <w:tcPr>
            <w:tcW w:w="1600" w:type="dxa"/>
            <w:tcBorders>
              <w:top w:val="nil"/>
              <w:left w:val="nil"/>
              <w:bottom w:val="single" w:sz="4" w:space="0" w:color="auto"/>
              <w:right w:val="single" w:sz="4" w:space="0" w:color="auto"/>
            </w:tcBorders>
            <w:shd w:val="clear" w:color="auto" w:fill="auto"/>
            <w:noWrap/>
            <w:vAlign w:val="center"/>
            <w:hideMark/>
          </w:tcPr>
          <w:p w14:paraId="36555DBF" w14:textId="739EA685" w:rsidR="0069564E" w:rsidRPr="0069564E" w:rsidRDefault="0069564E" w:rsidP="0069564E">
            <w:pPr>
              <w:spacing w:after="0" w:line="240" w:lineRule="auto"/>
              <w:jc w:val="right"/>
              <w:rPr>
                <w:rFonts w:ascii="Arial" w:eastAsia="Times New Roman" w:hAnsi="Arial" w:cs="Arial"/>
                <w:sz w:val="18"/>
                <w:szCs w:val="18"/>
                <w:lang w:eastAsia="sl-SI"/>
              </w:rPr>
            </w:pPr>
            <w:r w:rsidRPr="0069564E">
              <w:rPr>
                <w:rFonts w:ascii="Arial" w:eastAsia="Times New Roman" w:hAnsi="Arial" w:cs="Arial"/>
                <w:sz w:val="18"/>
                <w:szCs w:val="18"/>
                <w:lang w:eastAsia="sl-SI"/>
              </w:rPr>
              <w:t>1.082.656</w:t>
            </w:r>
          </w:p>
        </w:tc>
        <w:tc>
          <w:tcPr>
            <w:tcW w:w="1660" w:type="dxa"/>
            <w:tcBorders>
              <w:top w:val="nil"/>
              <w:left w:val="nil"/>
              <w:bottom w:val="single" w:sz="4" w:space="0" w:color="auto"/>
              <w:right w:val="single" w:sz="4" w:space="0" w:color="auto"/>
            </w:tcBorders>
            <w:shd w:val="clear" w:color="auto" w:fill="auto"/>
            <w:noWrap/>
            <w:vAlign w:val="center"/>
            <w:hideMark/>
          </w:tcPr>
          <w:p w14:paraId="03FA3485" w14:textId="1C5E427F" w:rsidR="0069564E" w:rsidRPr="0069564E" w:rsidRDefault="0069564E" w:rsidP="0069564E">
            <w:pPr>
              <w:spacing w:after="0" w:line="240" w:lineRule="auto"/>
              <w:jc w:val="right"/>
              <w:rPr>
                <w:rFonts w:ascii="Arial" w:eastAsia="Times New Roman" w:hAnsi="Arial" w:cs="Arial"/>
                <w:sz w:val="18"/>
                <w:szCs w:val="18"/>
                <w:lang w:eastAsia="sl-SI"/>
              </w:rPr>
            </w:pPr>
            <w:r w:rsidRPr="0069564E">
              <w:rPr>
                <w:rFonts w:ascii="Arial" w:eastAsia="Times New Roman" w:hAnsi="Arial" w:cs="Arial"/>
                <w:sz w:val="18"/>
                <w:szCs w:val="18"/>
                <w:lang w:eastAsia="sl-SI"/>
              </w:rPr>
              <w:t>1.436.796.005</w:t>
            </w:r>
          </w:p>
        </w:tc>
      </w:tr>
      <w:tr w:rsidR="0069564E" w:rsidRPr="0069564E" w14:paraId="5102E8B1" w14:textId="77777777" w:rsidTr="0069564E">
        <w:trPr>
          <w:trHeight w:val="300"/>
          <w:jc w:val="center"/>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6F27AC6B" w14:textId="77777777" w:rsidR="0069564E" w:rsidRPr="0069564E" w:rsidRDefault="0069564E" w:rsidP="0069564E">
            <w:pPr>
              <w:spacing w:after="0" w:line="240" w:lineRule="auto"/>
              <w:rPr>
                <w:rFonts w:ascii="Arial" w:eastAsia="Times New Roman" w:hAnsi="Arial" w:cs="Arial"/>
                <w:color w:val="000000"/>
                <w:sz w:val="18"/>
                <w:szCs w:val="18"/>
                <w:lang w:eastAsia="sl-SI"/>
              </w:rPr>
            </w:pPr>
            <w:r w:rsidRPr="009A34BA">
              <w:rPr>
                <w:rFonts w:ascii="Arial" w:eastAsia="Times New Roman" w:hAnsi="Arial" w:cs="Arial"/>
                <w:color w:val="000000" w:themeColor="text1"/>
                <w:sz w:val="18"/>
                <w:szCs w:val="18"/>
                <w:lang w:eastAsia="sl-SI"/>
              </w:rPr>
              <w:t>Neprednostne storitve</w:t>
            </w:r>
          </w:p>
        </w:tc>
        <w:tc>
          <w:tcPr>
            <w:tcW w:w="1600" w:type="dxa"/>
            <w:tcBorders>
              <w:top w:val="nil"/>
              <w:left w:val="nil"/>
              <w:bottom w:val="single" w:sz="4" w:space="0" w:color="auto"/>
              <w:right w:val="single" w:sz="4" w:space="0" w:color="auto"/>
            </w:tcBorders>
            <w:shd w:val="clear" w:color="auto" w:fill="auto"/>
            <w:vAlign w:val="center"/>
            <w:hideMark/>
          </w:tcPr>
          <w:p w14:paraId="600E81A0" w14:textId="476DEB18" w:rsidR="0069564E" w:rsidRPr="0069564E" w:rsidRDefault="0069564E" w:rsidP="0069564E">
            <w:pPr>
              <w:spacing w:after="0" w:line="240" w:lineRule="auto"/>
              <w:jc w:val="right"/>
              <w:rPr>
                <w:rFonts w:ascii="Arial" w:eastAsia="Times New Roman" w:hAnsi="Arial" w:cs="Arial"/>
                <w:sz w:val="18"/>
                <w:szCs w:val="18"/>
                <w:lang w:eastAsia="sl-SI"/>
              </w:rPr>
            </w:pPr>
            <w:r w:rsidRPr="0069564E">
              <w:rPr>
                <w:rFonts w:ascii="Arial" w:eastAsia="Times New Roman" w:hAnsi="Arial" w:cs="Arial"/>
                <w:sz w:val="18"/>
                <w:szCs w:val="18"/>
                <w:lang w:eastAsia="sl-SI"/>
              </w:rPr>
              <w:t>7</w:t>
            </w:r>
          </w:p>
        </w:tc>
        <w:tc>
          <w:tcPr>
            <w:tcW w:w="1660" w:type="dxa"/>
            <w:tcBorders>
              <w:top w:val="nil"/>
              <w:left w:val="nil"/>
              <w:bottom w:val="single" w:sz="4" w:space="0" w:color="auto"/>
              <w:right w:val="single" w:sz="4" w:space="0" w:color="auto"/>
            </w:tcBorders>
            <w:shd w:val="clear" w:color="auto" w:fill="auto"/>
            <w:vAlign w:val="center"/>
            <w:hideMark/>
          </w:tcPr>
          <w:p w14:paraId="278FC19A" w14:textId="70F6D694" w:rsidR="0069564E" w:rsidRPr="0069564E" w:rsidRDefault="0069564E" w:rsidP="0069564E">
            <w:pPr>
              <w:spacing w:after="0" w:line="240" w:lineRule="auto"/>
              <w:jc w:val="right"/>
              <w:rPr>
                <w:rFonts w:ascii="Arial" w:eastAsia="Times New Roman" w:hAnsi="Arial" w:cs="Arial"/>
                <w:sz w:val="18"/>
                <w:szCs w:val="18"/>
                <w:lang w:eastAsia="sl-SI"/>
              </w:rPr>
            </w:pPr>
            <w:r w:rsidRPr="0069564E">
              <w:rPr>
                <w:rFonts w:ascii="Arial" w:eastAsia="Times New Roman" w:hAnsi="Arial" w:cs="Arial"/>
                <w:sz w:val="18"/>
                <w:szCs w:val="18"/>
                <w:lang w:eastAsia="sl-SI"/>
              </w:rPr>
              <w:t>3.429.272</w:t>
            </w:r>
          </w:p>
        </w:tc>
      </w:tr>
      <w:tr w:rsidR="0069564E" w:rsidRPr="0069564E" w14:paraId="4AEDF2A5" w14:textId="77777777" w:rsidTr="0069564E">
        <w:trPr>
          <w:trHeight w:val="300"/>
          <w:jc w:val="center"/>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77A5AD88" w14:textId="77777777" w:rsidR="0069564E" w:rsidRPr="0069564E" w:rsidRDefault="0069564E" w:rsidP="0069564E">
            <w:pPr>
              <w:spacing w:after="0" w:line="240" w:lineRule="auto"/>
              <w:rPr>
                <w:rFonts w:ascii="Arial" w:eastAsia="Times New Roman" w:hAnsi="Arial" w:cs="Arial"/>
                <w:b/>
                <w:bCs/>
                <w:color w:val="000000"/>
                <w:sz w:val="18"/>
                <w:szCs w:val="18"/>
                <w:lang w:eastAsia="sl-SI"/>
              </w:rPr>
            </w:pPr>
            <w:r w:rsidRPr="0069564E">
              <w:rPr>
                <w:rFonts w:ascii="Arial" w:eastAsia="Times New Roman" w:hAnsi="Arial" w:cs="Arial"/>
                <w:b/>
                <w:bCs/>
                <w:color w:val="000000"/>
                <w:sz w:val="18"/>
                <w:szCs w:val="18"/>
                <w:lang w:eastAsia="sl-SI"/>
              </w:rPr>
              <w:t>Skupaj</w:t>
            </w:r>
          </w:p>
        </w:tc>
        <w:tc>
          <w:tcPr>
            <w:tcW w:w="1600" w:type="dxa"/>
            <w:tcBorders>
              <w:top w:val="nil"/>
              <w:left w:val="nil"/>
              <w:bottom w:val="single" w:sz="4" w:space="0" w:color="auto"/>
              <w:right w:val="single" w:sz="4" w:space="0" w:color="auto"/>
            </w:tcBorders>
            <w:shd w:val="clear" w:color="auto" w:fill="auto"/>
            <w:noWrap/>
            <w:vAlign w:val="center"/>
            <w:hideMark/>
          </w:tcPr>
          <w:p w14:paraId="29FF3571" w14:textId="4331EBC8" w:rsidR="0069564E" w:rsidRPr="0069564E" w:rsidRDefault="0069564E" w:rsidP="0069564E">
            <w:pPr>
              <w:spacing w:after="0" w:line="240" w:lineRule="auto"/>
              <w:jc w:val="right"/>
              <w:rPr>
                <w:rFonts w:ascii="Arial" w:eastAsia="Times New Roman" w:hAnsi="Arial" w:cs="Arial"/>
                <w:b/>
                <w:bCs/>
                <w:sz w:val="18"/>
                <w:szCs w:val="18"/>
                <w:lang w:eastAsia="sl-SI"/>
              </w:rPr>
            </w:pPr>
            <w:r w:rsidRPr="0069564E">
              <w:rPr>
                <w:rFonts w:ascii="Arial" w:eastAsia="Times New Roman" w:hAnsi="Arial" w:cs="Arial"/>
                <w:b/>
                <w:bCs/>
                <w:sz w:val="18"/>
                <w:szCs w:val="18"/>
                <w:lang w:eastAsia="sl-SI"/>
              </w:rPr>
              <w:t>1.089.384</w:t>
            </w:r>
          </w:p>
        </w:tc>
        <w:tc>
          <w:tcPr>
            <w:tcW w:w="1660" w:type="dxa"/>
            <w:tcBorders>
              <w:top w:val="nil"/>
              <w:left w:val="nil"/>
              <w:bottom w:val="single" w:sz="4" w:space="0" w:color="auto"/>
              <w:right w:val="single" w:sz="4" w:space="0" w:color="auto"/>
            </w:tcBorders>
            <w:shd w:val="clear" w:color="auto" w:fill="auto"/>
            <w:noWrap/>
            <w:vAlign w:val="center"/>
            <w:hideMark/>
          </w:tcPr>
          <w:p w14:paraId="3EB1ED6B" w14:textId="44D2DA98" w:rsidR="0069564E" w:rsidRPr="0069564E" w:rsidRDefault="0069564E" w:rsidP="0069564E">
            <w:pPr>
              <w:spacing w:after="0" w:line="240" w:lineRule="auto"/>
              <w:jc w:val="right"/>
              <w:rPr>
                <w:rFonts w:ascii="Arial" w:eastAsia="Times New Roman" w:hAnsi="Arial" w:cs="Arial"/>
                <w:b/>
                <w:bCs/>
                <w:sz w:val="18"/>
                <w:szCs w:val="18"/>
                <w:lang w:eastAsia="sl-SI"/>
              </w:rPr>
            </w:pPr>
            <w:bookmarkStart w:id="2" w:name="_Hlk137120573"/>
            <w:r w:rsidRPr="0069564E">
              <w:rPr>
                <w:rFonts w:ascii="Arial" w:eastAsia="Times New Roman" w:hAnsi="Arial" w:cs="Arial"/>
                <w:b/>
                <w:bCs/>
                <w:sz w:val="18"/>
                <w:szCs w:val="18"/>
                <w:lang w:eastAsia="sl-SI"/>
              </w:rPr>
              <w:t>6.857.331.179</w:t>
            </w:r>
            <w:bookmarkEnd w:id="2"/>
          </w:p>
        </w:tc>
      </w:tr>
      <w:tr w:rsidR="00540C77" w:rsidRPr="00BF7302" w14:paraId="4C9F3CA3" w14:textId="77777777" w:rsidTr="0069564E">
        <w:trPr>
          <w:trHeight w:val="300"/>
          <w:jc w:val="center"/>
        </w:trPr>
        <w:tc>
          <w:tcPr>
            <w:tcW w:w="4060" w:type="dxa"/>
            <w:tcBorders>
              <w:top w:val="nil"/>
              <w:left w:val="single" w:sz="4" w:space="0" w:color="auto"/>
              <w:bottom w:val="single" w:sz="4" w:space="0" w:color="auto"/>
              <w:right w:val="single" w:sz="4" w:space="0" w:color="auto"/>
            </w:tcBorders>
            <w:shd w:val="clear" w:color="000000" w:fill="F2F2F2"/>
            <w:vAlign w:val="center"/>
            <w:hideMark/>
          </w:tcPr>
          <w:p w14:paraId="25827670" w14:textId="77777777" w:rsidR="00540C77" w:rsidRPr="0069564E" w:rsidRDefault="00540C77" w:rsidP="00540C77">
            <w:pPr>
              <w:spacing w:after="0" w:line="240" w:lineRule="auto"/>
              <w:rPr>
                <w:rFonts w:ascii="Arial" w:eastAsia="Times New Roman" w:hAnsi="Arial" w:cs="Arial"/>
                <w:b/>
                <w:bCs/>
                <w:color w:val="000000"/>
                <w:sz w:val="18"/>
                <w:szCs w:val="18"/>
                <w:lang w:eastAsia="sl-SI"/>
              </w:rPr>
            </w:pPr>
            <w:r w:rsidRPr="0069564E">
              <w:rPr>
                <w:rFonts w:ascii="Arial" w:eastAsia="Times New Roman" w:hAnsi="Arial" w:cs="Arial"/>
                <w:b/>
                <w:bCs/>
                <w:color w:val="000000"/>
                <w:sz w:val="18"/>
                <w:szCs w:val="18"/>
                <w:lang w:eastAsia="sl-SI"/>
              </w:rPr>
              <w:t xml:space="preserve">Skupaj s tehtano povprečno stopnjo DDV </w:t>
            </w:r>
          </w:p>
        </w:tc>
        <w:tc>
          <w:tcPr>
            <w:tcW w:w="1600" w:type="dxa"/>
            <w:tcBorders>
              <w:top w:val="nil"/>
              <w:left w:val="nil"/>
              <w:bottom w:val="single" w:sz="4" w:space="0" w:color="auto"/>
              <w:right w:val="single" w:sz="4" w:space="0" w:color="auto"/>
            </w:tcBorders>
            <w:shd w:val="clear" w:color="000000" w:fill="F2F2F2"/>
            <w:vAlign w:val="center"/>
            <w:hideMark/>
          </w:tcPr>
          <w:p w14:paraId="19068001" w14:textId="77777777" w:rsidR="00540C77" w:rsidRPr="0069564E" w:rsidRDefault="00540C77" w:rsidP="0069564E">
            <w:pPr>
              <w:spacing w:after="0" w:line="240" w:lineRule="auto"/>
              <w:jc w:val="right"/>
              <w:rPr>
                <w:rFonts w:ascii="Arial" w:eastAsia="Times New Roman" w:hAnsi="Arial" w:cs="Arial"/>
                <w:sz w:val="18"/>
                <w:szCs w:val="18"/>
                <w:lang w:eastAsia="sl-SI"/>
              </w:rPr>
            </w:pPr>
            <w:r w:rsidRPr="0069564E">
              <w:rPr>
                <w:rFonts w:ascii="Arial" w:eastAsia="Times New Roman" w:hAnsi="Arial" w:cs="Arial"/>
                <w:sz w:val="18"/>
                <w:szCs w:val="18"/>
                <w:lang w:eastAsia="sl-SI"/>
              </w:rPr>
              <w:t> </w:t>
            </w:r>
          </w:p>
        </w:tc>
        <w:tc>
          <w:tcPr>
            <w:tcW w:w="1660" w:type="dxa"/>
            <w:tcBorders>
              <w:top w:val="nil"/>
              <w:left w:val="nil"/>
              <w:bottom w:val="single" w:sz="4" w:space="0" w:color="auto"/>
              <w:right w:val="single" w:sz="4" w:space="0" w:color="auto"/>
            </w:tcBorders>
            <w:shd w:val="clear" w:color="000000" w:fill="F2F2F2"/>
            <w:noWrap/>
            <w:vAlign w:val="center"/>
            <w:hideMark/>
          </w:tcPr>
          <w:p w14:paraId="29696D9F" w14:textId="7CA52A61" w:rsidR="00540C77" w:rsidRPr="00384AA3" w:rsidRDefault="0069564E" w:rsidP="0069564E">
            <w:pPr>
              <w:spacing w:after="0" w:line="240" w:lineRule="auto"/>
              <w:jc w:val="right"/>
              <w:rPr>
                <w:rFonts w:ascii="Arial" w:eastAsia="Times New Roman" w:hAnsi="Arial" w:cs="Arial"/>
                <w:b/>
                <w:bCs/>
                <w:sz w:val="18"/>
                <w:szCs w:val="18"/>
                <w:lang w:eastAsia="sl-SI"/>
              </w:rPr>
            </w:pPr>
            <w:bookmarkStart w:id="3" w:name="OLE_LINK1"/>
            <w:r w:rsidRPr="00384AA3">
              <w:rPr>
                <w:rFonts w:ascii="Arial" w:eastAsia="Times New Roman" w:hAnsi="Arial" w:cs="Arial"/>
                <w:b/>
                <w:bCs/>
                <w:sz w:val="18"/>
                <w:szCs w:val="18"/>
                <w:lang w:eastAsia="sl-SI"/>
              </w:rPr>
              <w:t>8.047.078.139</w:t>
            </w:r>
            <w:bookmarkEnd w:id="3"/>
          </w:p>
        </w:tc>
      </w:tr>
    </w:tbl>
    <w:p w14:paraId="04B1153D" w14:textId="77777777" w:rsidR="0069564E" w:rsidRPr="00BF7302" w:rsidRDefault="0069564E" w:rsidP="00881870">
      <w:pPr>
        <w:jc w:val="both"/>
        <w:rPr>
          <w:rFonts w:ascii="Arial" w:hAnsi="Arial" w:cs="Arial"/>
          <w:b/>
          <w:bCs/>
          <w:sz w:val="20"/>
          <w:szCs w:val="20"/>
          <w:highlight w:val="yellow"/>
        </w:rPr>
      </w:pPr>
    </w:p>
    <w:p w14:paraId="2926FABA" w14:textId="334006CD" w:rsidR="00881870" w:rsidRPr="001579B9" w:rsidRDefault="00881870" w:rsidP="0062342E">
      <w:pPr>
        <w:spacing w:line="360" w:lineRule="auto"/>
        <w:jc w:val="both"/>
        <w:rPr>
          <w:rFonts w:ascii="Arial" w:hAnsi="Arial" w:cs="Arial"/>
          <w:bCs/>
          <w:sz w:val="20"/>
          <w:szCs w:val="20"/>
        </w:rPr>
      </w:pPr>
      <w:r w:rsidRPr="00384AA3">
        <w:rPr>
          <w:rFonts w:ascii="Arial" w:hAnsi="Arial" w:cs="Arial"/>
          <w:sz w:val="20"/>
          <w:szCs w:val="20"/>
        </w:rPr>
        <w:t>Delež vseh oddanih javnih naročil znaša</w:t>
      </w:r>
      <w:r w:rsidRPr="00384AA3">
        <w:rPr>
          <w:rFonts w:ascii="Arial" w:hAnsi="Arial" w:cs="Arial"/>
          <w:b/>
          <w:bCs/>
          <w:sz w:val="20"/>
          <w:szCs w:val="20"/>
        </w:rPr>
        <w:t xml:space="preserve"> </w:t>
      </w:r>
      <w:r w:rsidR="00A4327B">
        <w:rPr>
          <w:rFonts w:ascii="Arial" w:hAnsi="Arial" w:cs="Arial"/>
          <w:b/>
          <w:bCs/>
          <w:sz w:val="20"/>
          <w:szCs w:val="20"/>
        </w:rPr>
        <w:t>14,11</w:t>
      </w:r>
      <w:r w:rsidRPr="00384AA3">
        <w:rPr>
          <w:rFonts w:ascii="Arial" w:hAnsi="Arial" w:cs="Arial"/>
          <w:b/>
          <w:bCs/>
          <w:sz w:val="20"/>
          <w:szCs w:val="20"/>
        </w:rPr>
        <w:t xml:space="preserve"> </w:t>
      </w:r>
      <w:r w:rsidR="00AC0027">
        <w:rPr>
          <w:rFonts w:ascii="Arial" w:hAnsi="Arial" w:cs="Arial"/>
          <w:b/>
          <w:bCs/>
          <w:sz w:val="20"/>
          <w:szCs w:val="20"/>
        </w:rPr>
        <w:t>odstotka</w:t>
      </w:r>
      <w:r w:rsidRPr="00384AA3">
        <w:rPr>
          <w:rFonts w:ascii="Arial" w:hAnsi="Arial" w:cs="Arial"/>
          <w:b/>
          <w:bCs/>
          <w:sz w:val="20"/>
          <w:szCs w:val="20"/>
        </w:rPr>
        <w:t xml:space="preserve"> </w:t>
      </w:r>
      <w:r w:rsidRPr="00384AA3">
        <w:rPr>
          <w:rFonts w:ascii="Arial" w:hAnsi="Arial" w:cs="Arial"/>
          <w:sz w:val="20"/>
          <w:szCs w:val="20"/>
        </w:rPr>
        <w:t xml:space="preserve">bruto domačega proizvoda, kar predstavlja </w:t>
      </w:r>
      <w:r w:rsidRPr="00384AA3">
        <w:rPr>
          <w:rFonts w:ascii="Arial" w:hAnsi="Arial" w:cs="Arial"/>
          <w:b/>
          <w:bCs/>
          <w:sz w:val="20"/>
          <w:szCs w:val="20"/>
        </w:rPr>
        <w:t>3</w:t>
      </w:r>
      <w:r w:rsidR="000A6106" w:rsidRPr="00384AA3">
        <w:rPr>
          <w:rFonts w:ascii="Arial" w:hAnsi="Arial" w:cs="Arial"/>
          <w:b/>
          <w:bCs/>
          <w:sz w:val="20"/>
          <w:szCs w:val="20"/>
        </w:rPr>
        <w:t>8</w:t>
      </w:r>
      <w:r w:rsidRPr="00384AA3">
        <w:rPr>
          <w:rFonts w:ascii="Arial" w:hAnsi="Arial" w:cs="Arial"/>
          <w:b/>
          <w:bCs/>
          <w:sz w:val="20"/>
          <w:szCs w:val="20"/>
        </w:rPr>
        <w:t>,9</w:t>
      </w:r>
      <w:r w:rsidR="000A6106" w:rsidRPr="00384AA3">
        <w:rPr>
          <w:rFonts w:ascii="Arial" w:hAnsi="Arial" w:cs="Arial"/>
          <w:b/>
          <w:bCs/>
          <w:sz w:val="20"/>
          <w:szCs w:val="20"/>
        </w:rPr>
        <w:t>8</w:t>
      </w:r>
      <w:r w:rsidRPr="00384AA3">
        <w:rPr>
          <w:rFonts w:ascii="Arial" w:hAnsi="Arial" w:cs="Arial"/>
          <w:b/>
          <w:bCs/>
          <w:sz w:val="20"/>
          <w:szCs w:val="20"/>
        </w:rPr>
        <w:t xml:space="preserve"> %</w:t>
      </w:r>
      <w:r w:rsidRPr="00384AA3">
        <w:rPr>
          <w:rFonts w:ascii="Arial" w:hAnsi="Arial" w:cs="Arial"/>
          <w:sz w:val="20"/>
          <w:szCs w:val="20"/>
        </w:rPr>
        <w:t xml:space="preserve"> </w:t>
      </w:r>
      <w:r w:rsidRPr="001579B9">
        <w:rPr>
          <w:rFonts w:ascii="Arial" w:hAnsi="Arial" w:cs="Arial"/>
          <w:sz w:val="20"/>
          <w:szCs w:val="20"/>
        </w:rPr>
        <w:t>odhodkov proračuna Republike Slovenije, proračuna samoupravnih lokalnih skupnosti</w:t>
      </w:r>
      <w:r w:rsidRPr="001579B9">
        <w:rPr>
          <w:rFonts w:ascii="Arial" w:hAnsi="Arial" w:cs="Arial"/>
          <w:bCs/>
          <w:sz w:val="20"/>
          <w:szCs w:val="20"/>
        </w:rPr>
        <w:t xml:space="preserve"> in odhodkov Zavoda za zdravstveno zavarovanje Slovenije. Delež oddanih javnih naročil v </w:t>
      </w:r>
      <w:r w:rsidRPr="001579B9">
        <w:rPr>
          <w:rFonts w:ascii="Arial" w:hAnsi="Arial" w:cs="Arial"/>
          <w:sz w:val="20"/>
          <w:szCs w:val="20"/>
        </w:rPr>
        <w:t>bruto domačem proizvodu</w:t>
      </w:r>
      <w:r w:rsidRPr="001579B9">
        <w:rPr>
          <w:rFonts w:ascii="Arial" w:hAnsi="Arial" w:cs="Arial"/>
          <w:bCs/>
          <w:sz w:val="20"/>
          <w:szCs w:val="20"/>
        </w:rPr>
        <w:t xml:space="preserve"> je</w:t>
      </w:r>
      <w:r w:rsidR="00891DB6">
        <w:rPr>
          <w:rFonts w:ascii="Arial" w:hAnsi="Arial" w:cs="Arial"/>
          <w:bCs/>
          <w:sz w:val="20"/>
          <w:szCs w:val="20"/>
        </w:rPr>
        <w:t xml:space="preserve"> </w:t>
      </w:r>
      <w:r w:rsidR="00891DB6" w:rsidRPr="001579B9">
        <w:rPr>
          <w:rFonts w:ascii="Arial" w:hAnsi="Arial" w:cs="Arial"/>
          <w:bCs/>
          <w:sz w:val="20"/>
          <w:szCs w:val="20"/>
        </w:rPr>
        <w:t>v zadnjih dvanajstih letih</w:t>
      </w:r>
      <w:r w:rsidR="00891DB6">
        <w:rPr>
          <w:rFonts w:ascii="Arial" w:hAnsi="Arial" w:cs="Arial"/>
          <w:bCs/>
          <w:sz w:val="20"/>
          <w:szCs w:val="20"/>
        </w:rPr>
        <w:t xml:space="preserve"> drugi največji, takoj za letom 2021</w:t>
      </w:r>
      <w:r w:rsidR="00DA5627">
        <w:rPr>
          <w:rFonts w:ascii="Arial" w:hAnsi="Arial" w:cs="Arial"/>
          <w:bCs/>
          <w:sz w:val="20"/>
          <w:szCs w:val="20"/>
        </w:rPr>
        <w:t>.</w:t>
      </w:r>
    </w:p>
    <w:p w14:paraId="576D7C33" w14:textId="12621B3B" w:rsidR="00881870" w:rsidRPr="006B7D80" w:rsidRDefault="0062342E" w:rsidP="00881870">
      <w:pPr>
        <w:spacing w:after="0" w:line="240" w:lineRule="auto"/>
        <w:jc w:val="center"/>
        <w:rPr>
          <w:rFonts w:ascii="Arial" w:hAnsi="Arial" w:cs="Arial"/>
          <w:sz w:val="20"/>
          <w:szCs w:val="20"/>
        </w:rPr>
      </w:pPr>
      <w:r w:rsidRPr="006B7D80">
        <w:rPr>
          <w:rFonts w:ascii="Arial" w:hAnsi="Arial" w:cs="Arial"/>
          <w:noProof/>
          <w:sz w:val="18"/>
          <w:szCs w:val="18"/>
          <w:lang w:eastAsia="sl-SI"/>
        </w:rPr>
        <w:drawing>
          <wp:inline distT="0" distB="0" distL="0" distR="0" wp14:anchorId="7678560F" wp14:editId="567A1176">
            <wp:extent cx="5262114" cy="1752600"/>
            <wp:effectExtent l="0" t="0" r="15240" b="0"/>
            <wp:docPr id="4" name="Grafikon 4" descr="Delež javnih naročil, oddanih v letih 2011–2021, v BDP."/>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8BB6D18" w14:textId="77777777" w:rsidR="0062342E" w:rsidRPr="00BF7302" w:rsidRDefault="0062342E" w:rsidP="00881870">
      <w:pPr>
        <w:spacing w:after="0" w:line="240" w:lineRule="auto"/>
        <w:jc w:val="center"/>
        <w:rPr>
          <w:rFonts w:ascii="Arial" w:hAnsi="Arial" w:cs="Arial"/>
          <w:sz w:val="20"/>
          <w:szCs w:val="20"/>
          <w:highlight w:val="yellow"/>
        </w:rPr>
      </w:pPr>
    </w:p>
    <w:p w14:paraId="1E428712" w14:textId="77777777" w:rsidR="00881870" w:rsidRPr="009A34BA" w:rsidRDefault="00881870" w:rsidP="00881870">
      <w:pPr>
        <w:spacing w:after="0" w:line="240" w:lineRule="auto"/>
        <w:jc w:val="both"/>
        <w:rPr>
          <w:rFonts w:ascii="Arial" w:hAnsi="Arial" w:cs="Arial"/>
          <w:sz w:val="20"/>
          <w:szCs w:val="20"/>
        </w:rPr>
      </w:pPr>
    </w:p>
    <w:p w14:paraId="79448F82" w14:textId="15319013" w:rsidR="00881870" w:rsidRPr="009A34BA" w:rsidRDefault="00881870" w:rsidP="0062342E">
      <w:pPr>
        <w:spacing w:line="360" w:lineRule="auto"/>
        <w:jc w:val="both"/>
        <w:rPr>
          <w:rFonts w:ascii="Arial" w:hAnsi="Arial" w:cs="Arial"/>
          <w:bCs/>
          <w:sz w:val="20"/>
          <w:szCs w:val="20"/>
        </w:rPr>
      </w:pPr>
      <w:r w:rsidRPr="009A34BA">
        <w:rPr>
          <w:rFonts w:ascii="Arial" w:hAnsi="Arial" w:cs="Arial"/>
          <w:sz w:val="20"/>
          <w:szCs w:val="20"/>
        </w:rPr>
        <w:t>V</w:t>
      </w:r>
      <w:r w:rsidRPr="009A34BA">
        <w:rPr>
          <w:rFonts w:ascii="Arial" w:hAnsi="Arial" w:cs="Arial"/>
          <w:b/>
          <w:bCs/>
          <w:sz w:val="20"/>
          <w:szCs w:val="20"/>
        </w:rPr>
        <w:t xml:space="preserve"> 6.</w:t>
      </w:r>
      <w:r w:rsidR="009A34BA" w:rsidRPr="009A34BA">
        <w:rPr>
          <w:rFonts w:ascii="Arial" w:hAnsi="Arial" w:cs="Arial"/>
          <w:b/>
          <w:bCs/>
          <w:sz w:val="20"/>
          <w:szCs w:val="20"/>
        </w:rPr>
        <w:t>721</w:t>
      </w:r>
      <w:r w:rsidRPr="009A34BA">
        <w:rPr>
          <w:rFonts w:ascii="Arial" w:hAnsi="Arial" w:cs="Arial"/>
          <w:sz w:val="20"/>
          <w:szCs w:val="20"/>
        </w:rPr>
        <w:t xml:space="preserve"> zaključenih postopkih je bilo oddanih </w:t>
      </w:r>
      <w:r w:rsidRPr="009A34BA">
        <w:rPr>
          <w:rFonts w:ascii="Arial" w:hAnsi="Arial" w:cs="Arial"/>
          <w:b/>
          <w:bCs/>
          <w:sz w:val="20"/>
          <w:szCs w:val="20"/>
        </w:rPr>
        <w:t>17.</w:t>
      </w:r>
      <w:r w:rsidR="009A34BA" w:rsidRPr="009A34BA">
        <w:rPr>
          <w:rFonts w:ascii="Arial" w:hAnsi="Arial" w:cs="Arial"/>
          <w:b/>
          <w:bCs/>
          <w:sz w:val="20"/>
          <w:szCs w:val="20"/>
        </w:rPr>
        <w:t>224</w:t>
      </w:r>
      <w:r w:rsidRPr="009A34BA">
        <w:rPr>
          <w:rFonts w:ascii="Arial" w:hAnsi="Arial" w:cs="Arial"/>
          <w:sz w:val="20"/>
          <w:szCs w:val="20"/>
        </w:rPr>
        <w:t xml:space="preserve"> naročil (sklopov). Pri več kot polovici (</w:t>
      </w:r>
      <w:r w:rsidRPr="009A34BA">
        <w:rPr>
          <w:rFonts w:ascii="Arial" w:hAnsi="Arial" w:cs="Arial"/>
          <w:b/>
          <w:bCs/>
          <w:sz w:val="20"/>
          <w:szCs w:val="20"/>
        </w:rPr>
        <w:t>5</w:t>
      </w:r>
      <w:r w:rsidR="009A34BA" w:rsidRPr="009A34BA">
        <w:rPr>
          <w:rFonts w:ascii="Arial" w:hAnsi="Arial" w:cs="Arial"/>
          <w:b/>
          <w:bCs/>
          <w:sz w:val="20"/>
          <w:szCs w:val="20"/>
        </w:rPr>
        <w:t>4,71</w:t>
      </w:r>
      <w:r w:rsidRPr="009A34BA">
        <w:rPr>
          <w:rFonts w:ascii="Arial" w:hAnsi="Arial" w:cs="Arial"/>
          <w:b/>
          <w:bCs/>
          <w:sz w:val="20"/>
          <w:szCs w:val="20"/>
        </w:rPr>
        <w:t xml:space="preserve"> %</w:t>
      </w:r>
      <w:r w:rsidRPr="009A34BA">
        <w:rPr>
          <w:rFonts w:ascii="Arial" w:hAnsi="Arial" w:cs="Arial"/>
          <w:sz w:val="20"/>
          <w:szCs w:val="20"/>
        </w:rPr>
        <w:t xml:space="preserve">) oddanih naročil je </w:t>
      </w:r>
      <w:r w:rsidRPr="009A34BA">
        <w:rPr>
          <w:rFonts w:ascii="Arial" w:hAnsi="Arial" w:cs="Arial"/>
          <w:bCs/>
          <w:color w:val="000000" w:themeColor="text1"/>
          <w:sz w:val="20"/>
          <w:szCs w:val="20"/>
        </w:rPr>
        <w:t xml:space="preserve">bil uporabljen postopek naročila male vrednosti, ki se uporablja pod mejnimi vrednostmi za objavo v </w:t>
      </w:r>
      <w:r w:rsidRPr="009A34BA">
        <w:rPr>
          <w:rFonts w:ascii="Arial" w:hAnsi="Arial" w:cs="Arial"/>
          <w:bCs/>
          <w:sz w:val="20"/>
          <w:szCs w:val="20"/>
        </w:rPr>
        <w:t>Uradnem listu Evropske unije in je nacionaln</w:t>
      </w:r>
      <w:r w:rsidR="00496556">
        <w:rPr>
          <w:rFonts w:ascii="Arial" w:hAnsi="Arial" w:cs="Arial"/>
          <w:bCs/>
          <w:sz w:val="20"/>
          <w:szCs w:val="20"/>
        </w:rPr>
        <w:t>i</w:t>
      </w:r>
      <w:r w:rsidRPr="009A34BA">
        <w:rPr>
          <w:rFonts w:ascii="Arial" w:hAnsi="Arial" w:cs="Arial"/>
          <w:bCs/>
          <w:sz w:val="20"/>
          <w:szCs w:val="20"/>
        </w:rPr>
        <w:t xml:space="preserve"> transparent</w:t>
      </w:r>
      <w:r w:rsidR="00496556">
        <w:rPr>
          <w:rFonts w:ascii="Arial" w:hAnsi="Arial" w:cs="Arial"/>
          <w:bCs/>
          <w:sz w:val="20"/>
          <w:szCs w:val="20"/>
        </w:rPr>
        <w:t>ni</w:t>
      </w:r>
      <w:r w:rsidRPr="009A34BA">
        <w:rPr>
          <w:rFonts w:ascii="Arial" w:hAnsi="Arial" w:cs="Arial"/>
          <w:bCs/>
          <w:sz w:val="20"/>
          <w:szCs w:val="20"/>
        </w:rPr>
        <w:t xml:space="preserve"> postopek, objavljen na portalu javnih naročil.</w:t>
      </w:r>
    </w:p>
    <w:p w14:paraId="4BEF9697" w14:textId="4AAD44E2" w:rsidR="00881870" w:rsidRDefault="00881870" w:rsidP="0062342E">
      <w:pPr>
        <w:spacing w:line="360" w:lineRule="auto"/>
        <w:jc w:val="both"/>
        <w:rPr>
          <w:rFonts w:ascii="Arial" w:hAnsi="Arial" w:cs="Arial"/>
          <w:sz w:val="20"/>
          <w:szCs w:val="20"/>
        </w:rPr>
      </w:pPr>
      <w:r w:rsidRPr="00864622">
        <w:rPr>
          <w:rFonts w:ascii="Arial" w:hAnsi="Arial" w:cs="Arial"/>
          <w:sz w:val="20"/>
          <w:szCs w:val="20"/>
        </w:rPr>
        <w:t>Oddana naročila na splošnem področju pomenijo največji delež vseh naročil po številu (88,</w:t>
      </w:r>
      <w:r w:rsidR="00864622" w:rsidRPr="00864622">
        <w:rPr>
          <w:rFonts w:ascii="Arial" w:hAnsi="Arial" w:cs="Arial"/>
          <w:sz w:val="20"/>
          <w:szCs w:val="20"/>
        </w:rPr>
        <w:t>96</w:t>
      </w:r>
      <w:r w:rsidRPr="00864622">
        <w:rPr>
          <w:rFonts w:ascii="Arial" w:hAnsi="Arial" w:cs="Arial"/>
          <w:sz w:val="20"/>
          <w:szCs w:val="20"/>
        </w:rPr>
        <w:t xml:space="preserve"> %). Največji del oddanih naročil po številu p</w:t>
      </w:r>
      <w:r w:rsidR="00DD26D5">
        <w:rPr>
          <w:rFonts w:ascii="Arial" w:hAnsi="Arial" w:cs="Arial"/>
          <w:sz w:val="20"/>
          <w:szCs w:val="20"/>
        </w:rPr>
        <w:t>omenijo</w:t>
      </w:r>
      <w:r w:rsidRPr="00864622">
        <w:rPr>
          <w:rFonts w:ascii="Arial" w:hAnsi="Arial" w:cs="Arial"/>
          <w:sz w:val="20"/>
          <w:szCs w:val="20"/>
        </w:rPr>
        <w:t xml:space="preserve"> naročila blaga (6</w:t>
      </w:r>
      <w:r w:rsidR="00864622" w:rsidRPr="00864622">
        <w:rPr>
          <w:rFonts w:ascii="Arial" w:hAnsi="Arial" w:cs="Arial"/>
          <w:sz w:val="20"/>
          <w:szCs w:val="20"/>
        </w:rPr>
        <w:t>6,52</w:t>
      </w:r>
      <w:r w:rsidRPr="00864622">
        <w:rPr>
          <w:rFonts w:ascii="Arial" w:hAnsi="Arial" w:cs="Arial"/>
          <w:sz w:val="20"/>
          <w:szCs w:val="20"/>
        </w:rPr>
        <w:t xml:space="preserve"> </w:t>
      </w:r>
      <w:r w:rsidR="00AC0027">
        <w:rPr>
          <w:rFonts w:ascii="Arial" w:hAnsi="Arial" w:cs="Arial"/>
          <w:sz w:val="20"/>
          <w:szCs w:val="20"/>
        </w:rPr>
        <w:t>odstotka</w:t>
      </w:r>
      <w:r w:rsidRPr="00864622">
        <w:rPr>
          <w:rFonts w:ascii="Arial" w:hAnsi="Arial" w:cs="Arial"/>
          <w:sz w:val="20"/>
          <w:szCs w:val="20"/>
        </w:rPr>
        <w:t>), po vrednosti pa naročila gradenj (</w:t>
      </w:r>
      <w:r w:rsidR="00864622" w:rsidRPr="00864622">
        <w:rPr>
          <w:rFonts w:ascii="Arial" w:hAnsi="Arial" w:cs="Arial"/>
          <w:sz w:val="20"/>
          <w:szCs w:val="20"/>
        </w:rPr>
        <w:t>34,36</w:t>
      </w:r>
      <w:r w:rsidRPr="00864622">
        <w:rPr>
          <w:rFonts w:ascii="Arial" w:hAnsi="Arial" w:cs="Arial"/>
          <w:sz w:val="20"/>
          <w:szCs w:val="20"/>
        </w:rPr>
        <w:t xml:space="preserve"> </w:t>
      </w:r>
      <w:r w:rsidR="00AC0027">
        <w:rPr>
          <w:rFonts w:ascii="Arial" w:hAnsi="Arial" w:cs="Arial"/>
          <w:sz w:val="20"/>
          <w:szCs w:val="20"/>
        </w:rPr>
        <w:t>odstotka</w:t>
      </w:r>
      <w:r w:rsidRPr="00864622">
        <w:rPr>
          <w:rFonts w:ascii="Arial" w:hAnsi="Arial" w:cs="Arial"/>
          <w:sz w:val="20"/>
          <w:szCs w:val="20"/>
        </w:rPr>
        <w:t xml:space="preserve">). </w:t>
      </w:r>
    </w:p>
    <w:p w14:paraId="5A2E94D0" w14:textId="2409BF6C" w:rsidR="00864622" w:rsidRPr="00864622" w:rsidRDefault="00864622" w:rsidP="00864622">
      <w:pPr>
        <w:spacing w:after="0" w:line="240" w:lineRule="auto"/>
        <w:jc w:val="center"/>
        <w:rPr>
          <w:rFonts w:ascii="Arial" w:hAnsi="Arial" w:cs="Arial"/>
          <w:sz w:val="20"/>
          <w:szCs w:val="20"/>
        </w:rPr>
      </w:pPr>
      <w:r>
        <w:rPr>
          <w:rFonts w:ascii="Arial" w:hAnsi="Arial" w:cs="Arial"/>
          <w:noProof/>
          <w:sz w:val="20"/>
          <w:szCs w:val="20"/>
          <w:lang w:eastAsia="sl-SI"/>
        </w:rPr>
        <w:drawing>
          <wp:inline distT="0" distB="0" distL="0" distR="0" wp14:anchorId="2501670E" wp14:editId="308B4F5C">
            <wp:extent cx="3573780" cy="1514475"/>
            <wp:effectExtent l="0" t="0" r="7620" b="9525"/>
            <wp:docPr id="2" name="Grafikon 2" descr="Grafikon prikazuje delež oddanih naročil v letu 2022 glede na področje (blago, storitve, gradnj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52A000A" w14:textId="76172AD4" w:rsidR="00881870" w:rsidRPr="00BF7302" w:rsidRDefault="00881870" w:rsidP="00881870">
      <w:pPr>
        <w:spacing w:after="0" w:line="240" w:lineRule="auto"/>
        <w:jc w:val="center"/>
        <w:rPr>
          <w:rFonts w:ascii="Arial" w:hAnsi="Arial" w:cs="Arial"/>
          <w:sz w:val="20"/>
          <w:szCs w:val="20"/>
          <w:highlight w:val="yellow"/>
        </w:rPr>
      </w:pPr>
    </w:p>
    <w:p w14:paraId="2FBFDD58" w14:textId="3642C82B" w:rsidR="00881870" w:rsidRPr="009A34BA" w:rsidRDefault="00881870" w:rsidP="0062342E">
      <w:pPr>
        <w:shd w:val="clear" w:color="auto" w:fill="FFFFFF" w:themeFill="background1"/>
        <w:spacing w:line="360" w:lineRule="auto"/>
        <w:jc w:val="both"/>
        <w:rPr>
          <w:rFonts w:ascii="Arial" w:hAnsi="Arial" w:cs="Arial"/>
          <w:sz w:val="20"/>
          <w:szCs w:val="20"/>
        </w:rPr>
      </w:pPr>
      <w:r w:rsidRPr="009A34BA">
        <w:rPr>
          <w:rFonts w:ascii="Arial" w:hAnsi="Arial" w:cs="Arial"/>
          <w:sz w:val="20"/>
          <w:szCs w:val="20"/>
        </w:rPr>
        <w:t>Povprečno število prejetih ponudb v posameznem naročilu v letu 202</w:t>
      </w:r>
      <w:r w:rsidR="009A34BA" w:rsidRPr="009A34BA">
        <w:rPr>
          <w:rFonts w:ascii="Arial" w:hAnsi="Arial" w:cs="Arial"/>
          <w:sz w:val="20"/>
          <w:szCs w:val="20"/>
        </w:rPr>
        <w:t>2</w:t>
      </w:r>
      <w:r w:rsidRPr="009A34BA">
        <w:rPr>
          <w:rFonts w:ascii="Arial" w:hAnsi="Arial" w:cs="Arial"/>
          <w:sz w:val="20"/>
          <w:szCs w:val="20"/>
        </w:rPr>
        <w:t xml:space="preserve"> je bilo 2,</w:t>
      </w:r>
      <w:r w:rsidR="009A34BA" w:rsidRPr="009A34BA">
        <w:rPr>
          <w:rFonts w:ascii="Arial" w:hAnsi="Arial" w:cs="Arial"/>
          <w:sz w:val="20"/>
          <w:szCs w:val="20"/>
        </w:rPr>
        <w:t>2</w:t>
      </w:r>
      <w:r w:rsidRPr="009A34BA">
        <w:rPr>
          <w:rFonts w:ascii="Arial" w:hAnsi="Arial" w:cs="Arial"/>
          <w:sz w:val="20"/>
          <w:szCs w:val="20"/>
        </w:rPr>
        <w:t xml:space="preserve"> ponudbe, kar je primerljivo s pre</w:t>
      </w:r>
      <w:r w:rsidR="00DD26D5">
        <w:rPr>
          <w:rFonts w:ascii="Arial" w:hAnsi="Arial" w:cs="Arial"/>
          <w:sz w:val="20"/>
          <w:szCs w:val="20"/>
        </w:rPr>
        <w:t>jšnjimi</w:t>
      </w:r>
      <w:r w:rsidRPr="009A34BA">
        <w:rPr>
          <w:rFonts w:ascii="Arial" w:hAnsi="Arial" w:cs="Arial"/>
          <w:sz w:val="20"/>
          <w:szCs w:val="20"/>
        </w:rPr>
        <w:t xml:space="preserve"> leti.</w:t>
      </w:r>
    </w:p>
    <w:p w14:paraId="5751A60B" w14:textId="2A860C17" w:rsidR="00881870" w:rsidRPr="008765C7" w:rsidRDefault="00881870" w:rsidP="0062342E">
      <w:pPr>
        <w:shd w:val="clear" w:color="auto" w:fill="FFFFFF" w:themeFill="background1"/>
        <w:spacing w:line="360" w:lineRule="auto"/>
        <w:jc w:val="both"/>
        <w:rPr>
          <w:rFonts w:ascii="Arial" w:hAnsi="Arial" w:cs="Arial"/>
          <w:sz w:val="20"/>
          <w:szCs w:val="20"/>
        </w:rPr>
      </w:pPr>
      <w:r w:rsidRPr="009A34BA">
        <w:rPr>
          <w:rFonts w:ascii="Arial" w:hAnsi="Arial" w:cs="Arial"/>
          <w:sz w:val="20"/>
          <w:szCs w:val="20"/>
        </w:rPr>
        <w:t xml:space="preserve">Zeleno javno naročanje predstavlja </w:t>
      </w:r>
      <w:r w:rsidR="009A34BA" w:rsidRPr="0062342E">
        <w:rPr>
          <w:rFonts w:ascii="Arial" w:hAnsi="Arial" w:cs="Arial"/>
          <w:sz w:val="20"/>
          <w:szCs w:val="20"/>
        </w:rPr>
        <w:t>29,97</w:t>
      </w:r>
      <w:r w:rsidRPr="0062342E">
        <w:rPr>
          <w:rFonts w:ascii="Arial" w:hAnsi="Arial" w:cs="Arial"/>
          <w:sz w:val="20"/>
          <w:szCs w:val="20"/>
        </w:rPr>
        <w:t xml:space="preserve"> </w:t>
      </w:r>
      <w:r w:rsidR="00AC0027">
        <w:rPr>
          <w:rFonts w:ascii="Arial" w:hAnsi="Arial" w:cs="Arial"/>
          <w:sz w:val="20"/>
          <w:szCs w:val="20"/>
        </w:rPr>
        <w:t>odstotka</w:t>
      </w:r>
      <w:r w:rsidRPr="009A34BA">
        <w:rPr>
          <w:rFonts w:ascii="Arial" w:hAnsi="Arial" w:cs="Arial"/>
          <w:sz w:val="20"/>
          <w:szCs w:val="20"/>
        </w:rPr>
        <w:t xml:space="preserve"> oddanih</w:t>
      </w:r>
      <w:r w:rsidR="00451A82">
        <w:rPr>
          <w:rFonts w:ascii="Arial" w:hAnsi="Arial" w:cs="Arial"/>
          <w:sz w:val="20"/>
          <w:szCs w:val="20"/>
        </w:rPr>
        <w:t xml:space="preserve"> </w:t>
      </w:r>
      <w:r w:rsidRPr="009A34BA">
        <w:rPr>
          <w:rFonts w:ascii="Arial" w:hAnsi="Arial" w:cs="Arial"/>
          <w:sz w:val="20"/>
          <w:szCs w:val="20"/>
        </w:rPr>
        <w:t xml:space="preserve">naročil, delež družbeno odgovornih (socialnih) naročil pa je </w:t>
      </w:r>
      <w:r w:rsidRPr="0062342E">
        <w:rPr>
          <w:rFonts w:ascii="Arial" w:hAnsi="Arial" w:cs="Arial"/>
          <w:sz w:val="20"/>
          <w:szCs w:val="20"/>
        </w:rPr>
        <w:t>1</w:t>
      </w:r>
      <w:r w:rsidR="009A34BA" w:rsidRPr="0062342E">
        <w:rPr>
          <w:rFonts w:ascii="Arial" w:hAnsi="Arial" w:cs="Arial"/>
          <w:sz w:val="20"/>
          <w:szCs w:val="20"/>
        </w:rPr>
        <w:t>2,49</w:t>
      </w:r>
      <w:r w:rsidRPr="0062342E">
        <w:rPr>
          <w:rFonts w:ascii="Arial" w:hAnsi="Arial" w:cs="Arial"/>
          <w:sz w:val="20"/>
          <w:szCs w:val="20"/>
        </w:rPr>
        <w:t xml:space="preserve"> </w:t>
      </w:r>
      <w:r w:rsidR="00AC0027">
        <w:rPr>
          <w:rFonts w:ascii="Arial" w:hAnsi="Arial" w:cs="Arial"/>
          <w:sz w:val="20"/>
          <w:szCs w:val="20"/>
        </w:rPr>
        <w:t>odstotka</w:t>
      </w:r>
      <w:r w:rsidRPr="009A34BA">
        <w:rPr>
          <w:rFonts w:ascii="Arial" w:hAnsi="Arial" w:cs="Arial"/>
          <w:sz w:val="20"/>
          <w:szCs w:val="20"/>
        </w:rPr>
        <w:t>. Javnih naročil, (so)financiranih s sredstvi Evropske unije</w:t>
      </w:r>
      <w:r w:rsidR="00DD26D5">
        <w:rPr>
          <w:rFonts w:ascii="Arial" w:hAnsi="Arial" w:cs="Arial"/>
          <w:sz w:val="20"/>
          <w:szCs w:val="20"/>
        </w:rPr>
        <w:t>,</w:t>
      </w:r>
      <w:r w:rsidRPr="009A34BA">
        <w:rPr>
          <w:rFonts w:ascii="Arial" w:hAnsi="Arial" w:cs="Arial"/>
          <w:sz w:val="20"/>
          <w:szCs w:val="20"/>
        </w:rPr>
        <w:t xml:space="preserve"> je bilo za </w:t>
      </w:r>
      <w:r w:rsidR="009A34BA" w:rsidRPr="0062342E">
        <w:rPr>
          <w:rFonts w:ascii="Arial" w:hAnsi="Arial" w:cs="Arial"/>
          <w:sz w:val="20"/>
          <w:szCs w:val="20"/>
        </w:rPr>
        <w:t xml:space="preserve">711.711.015 </w:t>
      </w:r>
      <w:r w:rsidRPr="0062342E">
        <w:rPr>
          <w:rFonts w:ascii="Arial" w:hAnsi="Arial" w:cs="Arial"/>
          <w:sz w:val="20"/>
          <w:szCs w:val="20"/>
        </w:rPr>
        <w:t>evrov</w:t>
      </w:r>
      <w:r w:rsidRPr="00100B98">
        <w:rPr>
          <w:rFonts w:ascii="Arial" w:hAnsi="Arial" w:cs="Arial"/>
          <w:sz w:val="20"/>
          <w:szCs w:val="20"/>
        </w:rPr>
        <w:t xml:space="preserve">, kar </w:t>
      </w:r>
      <w:r w:rsidR="00AC0027">
        <w:rPr>
          <w:rFonts w:ascii="Arial" w:hAnsi="Arial" w:cs="Arial"/>
          <w:sz w:val="20"/>
          <w:szCs w:val="20"/>
        </w:rPr>
        <w:t>je</w:t>
      </w:r>
      <w:r w:rsidRPr="00100B98">
        <w:rPr>
          <w:rFonts w:ascii="Arial" w:hAnsi="Arial" w:cs="Arial"/>
          <w:sz w:val="20"/>
          <w:szCs w:val="20"/>
        </w:rPr>
        <w:t xml:space="preserve"> </w:t>
      </w:r>
      <w:r w:rsidR="00B42BEC" w:rsidRPr="0062342E">
        <w:rPr>
          <w:rFonts w:ascii="Arial" w:hAnsi="Arial" w:cs="Arial"/>
          <w:sz w:val="20"/>
          <w:szCs w:val="20"/>
        </w:rPr>
        <w:t>10,38</w:t>
      </w:r>
      <w:r w:rsidRPr="0062342E">
        <w:rPr>
          <w:rFonts w:ascii="Arial" w:hAnsi="Arial" w:cs="Arial"/>
          <w:sz w:val="20"/>
          <w:szCs w:val="20"/>
        </w:rPr>
        <w:t xml:space="preserve"> </w:t>
      </w:r>
      <w:r w:rsidR="00AC0027">
        <w:rPr>
          <w:rFonts w:ascii="Arial" w:hAnsi="Arial" w:cs="Arial"/>
          <w:sz w:val="20"/>
          <w:szCs w:val="20"/>
        </w:rPr>
        <w:t>odstotka</w:t>
      </w:r>
      <w:r w:rsidRPr="0062342E">
        <w:rPr>
          <w:rFonts w:ascii="Arial" w:hAnsi="Arial" w:cs="Arial"/>
          <w:sz w:val="20"/>
          <w:szCs w:val="20"/>
        </w:rPr>
        <w:t xml:space="preserve"> </w:t>
      </w:r>
      <w:r w:rsidR="008765C7" w:rsidRPr="0062342E">
        <w:rPr>
          <w:rFonts w:ascii="Arial" w:hAnsi="Arial" w:cs="Arial"/>
          <w:sz w:val="20"/>
          <w:szCs w:val="20"/>
        </w:rPr>
        <w:t>vrednosti</w:t>
      </w:r>
      <w:r w:rsidR="00451A82" w:rsidRPr="0062342E">
        <w:rPr>
          <w:rFonts w:ascii="Arial" w:hAnsi="Arial" w:cs="Arial"/>
          <w:sz w:val="20"/>
          <w:szCs w:val="20"/>
        </w:rPr>
        <w:t xml:space="preserve"> </w:t>
      </w:r>
      <w:r w:rsidRPr="00100B98">
        <w:rPr>
          <w:rFonts w:ascii="Arial" w:hAnsi="Arial" w:cs="Arial"/>
          <w:sz w:val="20"/>
          <w:szCs w:val="20"/>
        </w:rPr>
        <w:t>oddanih</w:t>
      </w:r>
      <w:r w:rsidRPr="008765C7">
        <w:rPr>
          <w:rFonts w:ascii="Arial" w:hAnsi="Arial" w:cs="Arial"/>
          <w:sz w:val="20"/>
          <w:szCs w:val="20"/>
        </w:rPr>
        <w:t xml:space="preserve"> naročil.</w:t>
      </w:r>
    </w:p>
    <w:p w14:paraId="489DC946" w14:textId="430C8E85" w:rsidR="00881870" w:rsidRPr="009A34BA" w:rsidRDefault="00881870" w:rsidP="0062342E">
      <w:pPr>
        <w:shd w:val="clear" w:color="auto" w:fill="FFFFFF" w:themeFill="background1"/>
        <w:spacing w:line="360" w:lineRule="auto"/>
        <w:jc w:val="both"/>
        <w:rPr>
          <w:rFonts w:ascii="Arial" w:hAnsi="Arial" w:cs="Arial"/>
          <w:sz w:val="20"/>
          <w:szCs w:val="20"/>
        </w:rPr>
      </w:pPr>
      <w:r w:rsidRPr="009A34BA">
        <w:rPr>
          <w:rFonts w:ascii="Arial" w:hAnsi="Arial" w:cs="Arial"/>
          <w:sz w:val="20"/>
          <w:szCs w:val="20"/>
        </w:rPr>
        <w:t>Skupno javno naročanje, v katero se vključi več naročnikov</w:t>
      </w:r>
      <w:r w:rsidR="00496556">
        <w:rPr>
          <w:rFonts w:ascii="Arial" w:hAnsi="Arial" w:cs="Arial"/>
          <w:sz w:val="20"/>
          <w:szCs w:val="20"/>
        </w:rPr>
        <w:t>,</w:t>
      </w:r>
      <w:r w:rsidRPr="009A34BA">
        <w:rPr>
          <w:rFonts w:ascii="Arial" w:hAnsi="Arial" w:cs="Arial"/>
          <w:sz w:val="20"/>
          <w:szCs w:val="20"/>
        </w:rPr>
        <w:t xml:space="preserve"> v letu 202</w:t>
      </w:r>
      <w:r w:rsidR="009631B5">
        <w:rPr>
          <w:rFonts w:ascii="Arial" w:hAnsi="Arial" w:cs="Arial"/>
          <w:sz w:val="20"/>
          <w:szCs w:val="20"/>
        </w:rPr>
        <w:t>2</w:t>
      </w:r>
      <w:r w:rsidRPr="009A34BA">
        <w:rPr>
          <w:rFonts w:ascii="Arial" w:hAnsi="Arial" w:cs="Arial"/>
          <w:sz w:val="20"/>
          <w:szCs w:val="20"/>
        </w:rPr>
        <w:t xml:space="preserve"> predstavlja </w:t>
      </w:r>
      <w:r w:rsidR="00DD26D5">
        <w:rPr>
          <w:rFonts w:ascii="Arial" w:hAnsi="Arial" w:cs="Arial"/>
          <w:sz w:val="20"/>
          <w:szCs w:val="20"/>
        </w:rPr>
        <w:t>po</w:t>
      </w:r>
      <w:r w:rsidRPr="009A34BA">
        <w:rPr>
          <w:rFonts w:ascii="Arial" w:hAnsi="Arial" w:cs="Arial"/>
          <w:sz w:val="20"/>
          <w:szCs w:val="20"/>
        </w:rPr>
        <w:t xml:space="preserve"> številu </w:t>
      </w:r>
      <w:r w:rsidR="009A34BA" w:rsidRPr="0062342E">
        <w:rPr>
          <w:rFonts w:ascii="Arial" w:hAnsi="Arial" w:cs="Arial"/>
          <w:sz w:val="20"/>
          <w:szCs w:val="20"/>
        </w:rPr>
        <w:t>4,36</w:t>
      </w:r>
      <w:r w:rsidRPr="0062342E">
        <w:rPr>
          <w:rFonts w:ascii="Arial" w:hAnsi="Arial" w:cs="Arial"/>
          <w:sz w:val="20"/>
          <w:szCs w:val="20"/>
        </w:rPr>
        <w:t xml:space="preserve"> </w:t>
      </w:r>
      <w:r w:rsidR="00AC0027">
        <w:rPr>
          <w:rFonts w:ascii="Arial" w:hAnsi="Arial" w:cs="Arial"/>
          <w:sz w:val="20"/>
          <w:szCs w:val="20"/>
        </w:rPr>
        <w:t>odstotka</w:t>
      </w:r>
      <w:r w:rsidRPr="0062342E">
        <w:rPr>
          <w:rFonts w:ascii="Arial" w:hAnsi="Arial" w:cs="Arial"/>
          <w:sz w:val="20"/>
          <w:szCs w:val="20"/>
        </w:rPr>
        <w:t>,</w:t>
      </w:r>
      <w:r w:rsidRPr="009A34BA">
        <w:rPr>
          <w:rFonts w:ascii="Arial" w:hAnsi="Arial" w:cs="Arial"/>
          <w:sz w:val="20"/>
          <w:szCs w:val="20"/>
        </w:rPr>
        <w:t xml:space="preserve"> </w:t>
      </w:r>
      <w:r w:rsidR="00DD26D5">
        <w:rPr>
          <w:rFonts w:ascii="Arial" w:hAnsi="Arial" w:cs="Arial"/>
          <w:sz w:val="20"/>
          <w:szCs w:val="20"/>
        </w:rPr>
        <w:t>po</w:t>
      </w:r>
      <w:r w:rsidRPr="009A34BA">
        <w:rPr>
          <w:rFonts w:ascii="Arial" w:hAnsi="Arial" w:cs="Arial"/>
          <w:sz w:val="20"/>
          <w:szCs w:val="20"/>
        </w:rPr>
        <w:t xml:space="preserve"> vrednosti pa </w:t>
      </w:r>
      <w:r w:rsidR="009A34BA" w:rsidRPr="0062342E">
        <w:rPr>
          <w:rFonts w:ascii="Arial" w:hAnsi="Arial" w:cs="Arial"/>
          <w:sz w:val="20"/>
          <w:szCs w:val="20"/>
        </w:rPr>
        <w:t>8,93</w:t>
      </w:r>
      <w:r w:rsidRPr="0062342E">
        <w:rPr>
          <w:rFonts w:ascii="Arial" w:hAnsi="Arial" w:cs="Arial"/>
          <w:sz w:val="20"/>
          <w:szCs w:val="20"/>
        </w:rPr>
        <w:t xml:space="preserve"> </w:t>
      </w:r>
      <w:r w:rsidR="00AC0027">
        <w:rPr>
          <w:rFonts w:ascii="Arial" w:hAnsi="Arial" w:cs="Arial"/>
          <w:sz w:val="20"/>
          <w:szCs w:val="20"/>
        </w:rPr>
        <w:t>odstotka</w:t>
      </w:r>
      <w:r w:rsidRPr="009A34BA">
        <w:rPr>
          <w:rFonts w:ascii="Arial" w:hAnsi="Arial" w:cs="Arial"/>
          <w:sz w:val="20"/>
          <w:szCs w:val="20"/>
        </w:rPr>
        <w:t xml:space="preserve"> oddanih naročil. </w:t>
      </w:r>
    </w:p>
    <w:p w14:paraId="624D8E87" w14:textId="140380DA" w:rsidR="00881870" w:rsidRPr="00913E0C" w:rsidRDefault="00881870" w:rsidP="0062342E">
      <w:pPr>
        <w:shd w:val="clear" w:color="auto" w:fill="FFFFFF" w:themeFill="background1"/>
        <w:spacing w:line="360" w:lineRule="auto"/>
        <w:jc w:val="both"/>
        <w:rPr>
          <w:rFonts w:ascii="Arial" w:hAnsi="Arial" w:cs="Arial"/>
          <w:sz w:val="20"/>
          <w:szCs w:val="20"/>
        </w:rPr>
      </w:pPr>
      <w:r w:rsidRPr="00913E0C">
        <w:rPr>
          <w:rFonts w:ascii="Arial" w:hAnsi="Arial" w:cs="Arial"/>
          <w:sz w:val="20"/>
          <w:szCs w:val="20"/>
        </w:rPr>
        <w:t>Največjo vrednost naročil v letu 202</w:t>
      </w:r>
      <w:r w:rsidR="00913E0C" w:rsidRPr="00913E0C">
        <w:rPr>
          <w:rFonts w:ascii="Arial" w:hAnsi="Arial" w:cs="Arial"/>
          <w:sz w:val="20"/>
          <w:szCs w:val="20"/>
        </w:rPr>
        <w:t>2</w:t>
      </w:r>
      <w:r w:rsidRPr="00913E0C">
        <w:rPr>
          <w:rFonts w:ascii="Arial" w:hAnsi="Arial" w:cs="Arial"/>
          <w:sz w:val="20"/>
          <w:szCs w:val="20"/>
        </w:rPr>
        <w:t xml:space="preserve"> je oddala </w:t>
      </w:r>
      <w:r w:rsidR="00913E0C" w:rsidRPr="0062342E">
        <w:rPr>
          <w:rFonts w:ascii="Arial" w:hAnsi="Arial" w:cs="Arial"/>
          <w:sz w:val="20"/>
          <w:szCs w:val="20"/>
        </w:rPr>
        <w:t>Direkcija Republike Slovenije za infrastrukturo</w:t>
      </w:r>
      <w:r w:rsidR="00913E0C" w:rsidRPr="00913E0C">
        <w:rPr>
          <w:rFonts w:ascii="Arial" w:hAnsi="Arial" w:cs="Arial"/>
          <w:sz w:val="20"/>
          <w:szCs w:val="20"/>
        </w:rPr>
        <w:t xml:space="preserve"> </w:t>
      </w:r>
      <w:r w:rsidRPr="00913E0C">
        <w:rPr>
          <w:rFonts w:ascii="Arial" w:hAnsi="Arial" w:cs="Arial"/>
          <w:sz w:val="20"/>
          <w:szCs w:val="20"/>
        </w:rPr>
        <w:t>(</w:t>
      </w:r>
      <w:r w:rsidR="00913E0C" w:rsidRPr="00913E0C">
        <w:rPr>
          <w:rFonts w:ascii="Arial" w:hAnsi="Arial" w:cs="Arial"/>
          <w:sz w:val="20"/>
          <w:szCs w:val="20"/>
        </w:rPr>
        <w:t>1</w:t>
      </w:r>
      <w:r w:rsidR="009F54A6">
        <w:rPr>
          <w:rFonts w:ascii="Arial" w:hAnsi="Arial" w:cs="Arial"/>
          <w:sz w:val="20"/>
          <w:szCs w:val="20"/>
        </w:rPr>
        <w:t>.</w:t>
      </w:r>
      <w:r w:rsidR="00913E0C" w:rsidRPr="00913E0C">
        <w:rPr>
          <w:rFonts w:ascii="Arial" w:hAnsi="Arial" w:cs="Arial"/>
          <w:sz w:val="20"/>
          <w:szCs w:val="20"/>
        </w:rPr>
        <w:t>078</w:t>
      </w:r>
      <w:r w:rsidR="00913E0C">
        <w:rPr>
          <w:rFonts w:ascii="Arial" w:hAnsi="Arial" w:cs="Arial"/>
          <w:sz w:val="20"/>
          <w:szCs w:val="20"/>
        </w:rPr>
        <w:t xml:space="preserve"> </w:t>
      </w:r>
      <w:r w:rsidR="009F7B6D">
        <w:rPr>
          <w:rFonts w:ascii="Arial" w:hAnsi="Arial" w:cs="Arial"/>
          <w:sz w:val="20"/>
          <w:szCs w:val="20"/>
        </w:rPr>
        <w:t>milijonov</w:t>
      </w:r>
      <w:r w:rsidR="009F54A6">
        <w:rPr>
          <w:rFonts w:ascii="Arial" w:hAnsi="Arial" w:cs="Arial"/>
          <w:sz w:val="20"/>
          <w:szCs w:val="20"/>
        </w:rPr>
        <w:t xml:space="preserve"> </w:t>
      </w:r>
      <w:r w:rsidRPr="00913E0C">
        <w:rPr>
          <w:rFonts w:ascii="Arial" w:hAnsi="Arial" w:cs="Arial"/>
          <w:sz w:val="20"/>
          <w:szCs w:val="20"/>
        </w:rPr>
        <w:t>evrov)</w:t>
      </w:r>
      <w:r w:rsidRPr="0062342E">
        <w:rPr>
          <w:rFonts w:ascii="Arial" w:hAnsi="Arial" w:cs="Arial"/>
          <w:sz w:val="20"/>
          <w:szCs w:val="20"/>
        </w:rPr>
        <w:t xml:space="preserve">, </w:t>
      </w:r>
      <w:r w:rsidRPr="00913E0C">
        <w:rPr>
          <w:rFonts w:ascii="Arial" w:hAnsi="Arial" w:cs="Arial"/>
          <w:sz w:val="20"/>
          <w:szCs w:val="20"/>
        </w:rPr>
        <w:t xml:space="preserve">ponudnik z največjo vrednostjo oddanih naročil pa je </w:t>
      </w:r>
      <w:r w:rsidR="00913E0C" w:rsidRPr="0062342E">
        <w:rPr>
          <w:rFonts w:ascii="Arial" w:hAnsi="Arial" w:cs="Arial"/>
          <w:sz w:val="20"/>
          <w:szCs w:val="20"/>
        </w:rPr>
        <w:t xml:space="preserve">CGP, družba za gradbeništvo, inženiring, proizvodnjo in vzdrževanje cest, </w:t>
      </w:r>
      <w:proofErr w:type="spellStart"/>
      <w:r w:rsidR="00913E0C" w:rsidRPr="0062342E">
        <w:rPr>
          <w:rFonts w:ascii="Arial" w:hAnsi="Arial" w:cs="Arial"/>
          <w:sz w:val="20"/>
          <w:szCs w:val="20"/>
        </w:rPr>
        <w:t>d.d</w:t>
      </w:r>
      <w:proofErr w:type="spellEnd"/>
      <w:r w:rsidR="00E4071A">
        <w:rPr>
          <w:rFonts w:ascii="Arial" w:hAnsi="Arial" w:cs="Arial"/>
          <w:sz w:val="20"/>
          <w:szCs w:val="20"/>
        </w:rPr>
        <w:t>.</w:t>
      </w:r>
      <w:r w:rsidR="00913E0C" w:rsidRPr="00913E0C">
        <w:rPr>
          <w:rFonts w:ascii="Arial" w:hAnsi="Arial" w:cs="Arial"/>
          <w:sz w:val="20"/>
          <w:szCs w:val="20"/>
        </w:rPr>
        <w:t xml:space="preserve"> </w:t>
      </w:r>
      <w:r w:rsidR="00913E0C">
        <w:rPr>
          <w:rFonts w:ascii="Arial" w:hAnsi="Arial" w:cs="Arial"/>
          <w:sz w:val="20"/>
          <w:szCs w:val="20"/>
        </w:rPr>
        <w:t>(</w:t>
      </w:r>
      <w:r w:rsidR="00913E0C" w:rsidRPr="00913E0C">
        <w:rPr>
          <w:rFonts w:ascii="Arial" w:hAnsi="Arial" w:cs="Arial"/>
          <w:sz w:val="20"/>
          <w:szCs w:val="20"/>
        </w:rPr>
        <w:t>268</w:t>
      </w:r>
      <w:r w:rsidR="00913E0C">
        <w:rPr>
          <w:rFonts w:ascii="Arial" w:hAnsi="Arial" w:cs="Arial"/>
          <w:sz w:val="20"/>
          <w:szCs w:val="20"/>
        </w:rPr>
        <w:t xml:space="preserve"> </w:t>
      </w:r>
      <w:r w:rsidR="009F7B6D">
        <w:rPr>
          <w:rFonts w:ascii="Arial" w:hAnsi="Arial" w:cs="Arial"/>
          <w:sz w:val="20"/>
          <w:szCs w:val="20"/>
        </w:rPr>
        <w:t>milijonov</w:t>
      </w:r>
      <w:r w:rsidR="00913E0C" w:rsidRPr="00913E0C">
        <w:rPr>
          <w:rFonts w:ascii="Arial" w:hAnsi="Arial" w:cs="Arial"/>
          <w:sz w:val="20"/>
          <w:szCs w:val="20"/>
        </w:rPr>
        <w:t xml:space="preserve"> </w:t>
      </w:r>
      <w:r w:rsidRPr="00913E0C">
        <w:rPr>
          <w:rFonts w:ascii="Arial" w:hAnsi="Arial" w:cs="Arial"/>
          <w:sz w:val="20"/>
          <w:szCs w:val="20"/>
        </w:rPr>
        <w:t xml:space="preserve">evrov). </w:t>
      </w:r>
    </w:p>
    <w:bookmarkEnd w:id="1"/>
    <w:p w14:paraId="351E7600" w14:textId="3A727EA0" w:rsidR="00567CE2" w:rsidRPr="00BF7302" w:rsidRDefault="00567CE2">
      <w:pPr>
        <w:rPr>
          <w:rFonts w:ascii="Arial" w:hAnsi="Arial" w:cs="Arial"/>
          <w:b/>
          <w:highlight w:val="yellow"/>
        </w:rPr>
      </w:pPr>
    </w:p>
    <w:p w14:paraId="0432BC7B" w14:textId="77777777" w:rsidR="00F41D4A" w:rsidRPr="00BF7302" w:rsidRDefault="00F41D4A">
      <w:pPr>
        <w:rPr>
          <w:rFonts w:ascii="Arial" w:hAnsi="Arial" w:cs="Arial"/>
          <w:b/>
          <w:highlight w:val="yellow"/>
        </w:rPr>
      </w:pPr>
    </w:p>
    <w:p w14:paraId="491E884C" w14:textId="61209F81" w:rsidR="00567CE2" w:rsidRPr="00BF7302" w:rsidRDefault="00567CE2" w:rsidP="00567CE2">
      <w:pPr>
        <w:jc w:val="center"/>
        <w:rPr>
          <w:rFonts w:ascii="Arial" w:hAnsi="Arial" w:cs="Arial"/>
          <w:b/>
          <w:highlight w:val="yellow"/>
        </w:rPr>
      </w:pPr>
    </w:p>
    <w:p w14:paraId="5C734308" w14:textId="77777777" w:rsidR="00F41D4A" w:rsidRPr="00BF7302" w:rsidRDefault="00F41D4A" w:rsidP="00567CE2">
      <w:pPr>
        <w:jc w:val="center"/>
        <w:rPr>
          <w:rFonts w:ascii="Arial" w:hAnsi="Arial" w:cs="Arial"/>
          <w:b/>
          <w:highlight w:val="yellow"/>
        </w:rPr>
      </w:pPr>
    </w:p>
    <w:p w14:paraId="76276C49" w14:textId="3B9407A8" w:rsidR="00567CE2" w:rsidRPr="00BF7302" w:rsidRDefault="00567CE2">
      <w:pPr>
        <w:rPr>
          <w:rFonts w:ascii="Arial" w:hAnsi="Arial" w:cs="Arial"/>
          <w:b/>
          <w:highlight w:val="yellow"/>
        </w:rPr>
      </w:pPr>
    </w:p>
    <w:p w14:paraId="2C2906A9" w14:textId="77777777" w:rsidR="00567CE2" w:rsidRPr="00BF7302" w:rsidRDefault="00567CE2" w:rsidP="00543F2D">
      <w:pPr>
        <w:rPr>
          <w:rFonts w:ascii="Arial" w:hAnsi="Arial" w:cs="Arial"/>
          <w:sz w:val="20"/>
          <w:szCs w:val="20"/>
          <w:highlight w:val="yellow"/>
        </w:rPr>
      </w:pPr>
    </w:p>
    <w:p w14:paraId="537C1D32" w14:textId="77777777" w:rsidR="00F41D4A" w:rsidRPr="00BF7302" w:rsidRDefault="00F41D4A">
      <w:pPr>
        <w:rPr>
          <w:rFonts w:ascii="Arial" w:hAnsi="Arial" w:cs="Arial"/>
          <w:sz w:val="20"/>
          <w:szCs w:val="20"/>
          <w:highlight w:val="yellow"/>
        </w:rPr>
      </w:pPr>
      <w:r w:rsidRPr="00BF7302">
        <w:rPr>
          <w:rFonts w:ascii="Arial" w:hAnsi="Arial" w:cs="Arial"/>
          <w:sz w:val="20"/>
          <w:szCs w:val="20"/>
          <w:highlight w:val="yellow"/>
        </w:rPr>
        <w:br w:type="page"/>
      </w:r>
    </w:p>
    <w:p w14:paraId="55F8B38B" w14:textId="6CDEFE48" w:rsidR="00854405" w:rsidRPr="00AA6765" w:rsidRDefault="00854405" w:rsidP="00121807">
      <w:pPr>
        <w:pStyle w:val="Naslov1"/>
        <w:rPr>
          <w:rFonts w:ascii="Arial" w:hAnsi="Arial" w:cs="Arial"/>
          <w:b/>
          <w:sz w:val="22"/>
          <w:szCs w:val="22"/>
        </w:rPr>
      </w:pPr>
      <w:bookmarkStart w:id="4" w:name="_Toc141864044"/>
      <w:bookmarkStart w:id="5" w:name="_Hlk141792973"/>
      <w:r w:rsidRPr="00AA6765">
        <w:rPr>
          <w:rFonts w:ascii="Arial" w:hAnsi="Arial" w:cs="Arial"/>
          <w:b/>
          <w:sz w:val="22"/>
          <w:szCs w:val="22"/>
        </w:rPr>
        <w:lastRenderedPageBreak/>
        <w:t>1. Splošne ugotovitve</w:t>
      </w:r>
      <w:r w:rsidR="00D41EF5" w:rsidRPr="00AA6765">
        <w:rPr>
          <w:rFonts w:ascii="Arial" w:hAnsi="Arial" w:cs="Arial"/>
          <w:b/>
          <w:sz w:val="22"/>
          <w:szCs w:val="22"/>
        </w:rPr>
        <w:t>,</w:t>
      </w:r>
      <w:r w:rsidRPr="00AA6765">
        <w:rPr>
          <w:rFonts w:ascii="Arial" w:hAnsi="Arial" w:cs="Arial"/>
          <w:b/>
          <w:sz w:val="22"/>
          <w:szCs w:val="22"/>
        </w:rPr>
        <w:t xml:space="preserve"> trendi </w:t>
      </w:r>
      <w:r w:rsidR="00D41EF5" w:rsidRPr="00AA6765">
        <w:rPr>
          <w:rFonts w:ascii="Arial" w:hAnsi="Arial" w:cs="Arial"/>
          <w:b/>
          <w:sz w:val="22"/>
          <w:szCs w:val="22"/>
        </w:rPr>
        <w:t>in</w:t>
      </w:r>
      <w:r w:rsidRPr="00AA6765">
        <w:rPr>
          <w:rFonts w:ascii="Arial" w:hAnsi="Arial" w:cs="Arial"/>
          <w:b/>
          <w:sz w:val="22"/>
          <w:szCs w:val="22"/>
        </w:rPr>
        <w:t xml:space="preserve"> predlogi ukrepov za izboljšanje praks </w:t>
      </w:r>
      <w:r w:rsidR="009158AE" w:rsidRPr="00AA6765">
        <w:rPr>
          <w:rFonts w:ascii="Arial" w:hAnsi="Arial" w:cs="Arial"/>
          <w:b/>
          <w:sz w:val="22"/>
          <w:szCs w:val="22"/>
        </w:rPr>
        <w:t>oziroma</w:t>
      </w:r>
      <w:r w:rsidRPr="00AA6765">
        <w:rPr>
          <w:rFonts w:ascii="Arial" w:hAnsi="Arial" w:cs="Arial"/>
          <w:b/>
          <w:sz w:val="22"/>
          <w:szCs w:val="22"/>
        </w:rPr>
        <w:t xml:space="preserve"> ureditve</w:t>
      </w:r>
      <w:bookmarkEnd w:id="4"/>
    </w:p>
    <w:p w14:paraId="410CBAE1" w14:textId="25FCD9FE" w:rsidR="00854405" w:rsidRPr="00AA6765" w:rsidRDefault="00854405" w:rsidP="00854405">
      <w:pPr>
        <w:pStyle w:val="ZADEVA"/>
        <w:jc w:val="both"/>
        <w:rPr>
          <w:rFonts w:cs="Arial"/>
          <w:b w:val="0"/>
          <w:szCs w:val="20"/>
          <w:lang w:val="sl-SI"/>
        </w:rPr>
      </w:pPr>
    </w:p>
    <w:p w14:paraId="1C4E87BF" w14:textId="44B8A60D" w:rsidR="007D0B13" w:rsidRPr="00764F1D" w:rsidRDefault="007D0B13" w:rsidP="007D0B13">
      <w:pPr>
        <w:spacing w:line="360" w:lineRule="auto"/>
        <w:jc w:val="both"/>
        <w:rPr>
          <w:rFonts w:ascii="Arial" w:hAnsi="Arial" w:cs="Arial"/>
          <w:sz w:val="20"/>
          <w:szCs w:val="20"/>
        </w:rPr>
      </w:pPr>
      <w:r w:rsidRPr="00764F1D">
        <w:rPr>
          <w:rFonts w:ascii="Arial" w:hAnsi="Arial" w:cs="Arial"/>
          <w:sz w:val="20"/>
          <w:szCs w:val="20"/>
        </w:rPr>
        <w:t xml:space="preserve">Javna naročila v </w:t>
      </w:r>
      <w:r>
        <w:rPr>
          <w:rFonts w:ascii="Arial" w:hAnsi="Arial" w:cs="Arial"/>
          <w:sz w:val="20"/>
          <w:szCs w:val="20"/>
        </w:rPr>
        <w:t xml:space="preserve">Republiki </w:t>
      </w:r>
      <w:r w:rsidRPr="00764F1D">
        <w:rPr>
          <w:rFonts w:ascii="Arial" w:hAnsi="Arial" w:cs="Arial"/>
          <w:sz w:val="20"/>
          <w:szCs w:val="20"/>
        </w:rPr>
        <w:t xml:space="preserve">Sloveniji </w:t>
      </w:r>
      <w:r w:rsidR="00AC0027">
        <w:rPr>
          <w:rFonts w:ascii="Arial" w:hAnsi="Arial" w:cs="Arial"/>
          <w:sz w:val="20"/>
          <w:szCs w:val="20"/>
        </w:rPr>
        <w:t>so</w:t>
      </w:r>
      <w:r w:rsidRPr="00764F1D">
        <w:rPr>
          <w:rFonts w:ascii="Arial" w:hAnsi="Arial" w:cs="Arial"/>
          <w:sz w:val="20"/>
          <w:szCs w:val="20"/>
        </w:rPr>
        <w:t xml:space="preserve"> pomemben del gospodarske dejavnosti, saj je bilo leta 2022 oddanih več kot milijon naročil v </w:t>
      </w:r>
      <w:r w:rsidRPr="00384AA3">
        <w:rPr>
          <w:rFonts w:ascii="Arial" w:hAnsi="Arial" w:cs="Arial"/>
          <w:sz w:val="20"/>
          <w:szCs w:val="20"/>
        </w:rPr>
        <w:t xml:space="preserve">skupni vrednosti </w:t>
      </w:r>
      <w:r w:rsidR="00AC0027">
        <w:rPr>
          <w:rFonts w:ascii="Arial" w:hAnsi="Arial" w:cs="Arial"/>
          <w:sz w:val="20"/>
          <w:szCs w:val="20"/>
        </w:rPr>
        <w:t>več kakor</w:t>
      </w:r>
      <w:r w:rsidRPr="00384AA3">
        <w:rPr>
          <w:rFonts w:ascii="Arial" w:hAnsi="Arial" w:cs="Arial"/>
          <w:sz w:val="20"/>
          <w:szCs w:val="20"/>
        </w:rPr>
        <w:t xml:space="preserve"> osem milijard evrov. Delež javnega naročanja v bruto domačem proizvodu je znašal </w:t>
      </w:r>
      <w:r w:rsidR="00A4327B">
        <w:rPr>
          <w:rFonts w:ascii="Arial" w:hAnsi="Arial" w:cs="Arial"/>
          <w:sz w:val="20"/>
          <w:szCs w:val="20"/>
        </w:rPr>
        <w:t>14,11</w:t>
      </w:r>
      <w:r w:rsidRPr="00384AA3">
        <w:rPr>
          <w:rFonts w:ascii="Arial" w:hAnsi="Arial" w:cs="Arial"/>
          <w:sz w:val="20"/>
          <w:szCs w:val="20"/>
        </w:rPr>
        <w:t xml:space="preserve"> </w:t>
      </w:r>
      <w:r w:rsidR="00AC0027">
        <w:rPr>
          <w:rFonts w:ascii="Arial" w:hAnsi="Arial" w:cs="Arial"/>
          <w:sz w:val="20"/>
          <w:szCs w:val="20"/>
        </w:rPr>
        <w:t>odstotka</w:t>
      </w:r>
      <w:r w:rsidRPr="00384AA3">
        <w:rPr>
          <w:rFonts w:ascii="Arial" w:hAnsi="Arial" w:cs="Arial"/>
          <w:sz w:val="20"/>
          <w:szCs w:val="20"/>
        </w:rPr>
        <w:t xml:space="preserve">, kar </w:t>
      </w:r>
      <w:r w:rsidR="000A6106" w:rsidRPr="00384AA3">
        <w:rPr>
          <w:rFonts w:ascii="Arial" w:hAnsi="Arial" w:cs="Arial"/>
          <w:sz w:val="20"/>
          <w:szCs w:val="20"/>
        </w:rPr>
        <w:t xml:space="preserve">v letu 2022 </w:t>
      </w:r>
      <w:r w:rsidRPr="00384AA3">
        <w:rPr>
          <w:rFonts w:ascii="Arial" w:hAnsi="Arial" w:cs="Arial"/>
          <w:sz w:val="20"/>
          <w:szCs w:val="20"/>
        </w:rPr>
        <w:t>p</w:t>
      </w:r>
      <w:r w:rsidR="00AC0027">
        <w:rPr>
          <w:rFonts w:ascii="Arial" w:hAnsi="Arial" w:cs="Arial"/>
          <w:sz w:val="20"/>
          <w:szCs w:val="20"/>
        </w:rPr>
        <w:t>omeni</w:t>
      </w:r>
      <w:r w:rsidRPr="00384AA3">
        <w:rPr>
          <w:rFonts w:ascii="Arial" w:hAnsi="Arial" w:cs="Arial"/>
          <w:sz w:val="20"/>
          <w:szCs w:val="20"/>
        </w:rPr>
        <w:t xml:space="preserve"> </w:t>
      </w:r>
      <w:r w:rsidR="0003446F">
        <w:rPr>
          <w:rFonts w:ascii="Arial" w:hAnsi="Arial" w:cs="Arial"/>
          <w:sz w:val="20"/>
          <w:szCs w:val="20"/>
        </w:rPr>
        <w:t>zmanjšanje</w:t>
      </w:r>
      <w:r w:rsidR="0003446F" w:rsidRPr="00384AA3">
        <w:rPr>
          <w:rFonts w:ascii="Arial" w:hAnsi="Arial" w:cs="Arial"/>
          <w:sz w:val="20"/>
          <w:szCs w:val="20"/>
        </w:rPr>
        <w:t xml:space="preserve"> </w:t>
      </w:r>
      <w:r w:rsidRPr="00384AA3">
        <w:rPr>
          <w:rFonts w:ascii="Arial" w:hAnsi="Arial" w:cs="Arial"/>
          <w:sz w:val="20"/>
          <w:szCs w:val="20"/>
        </w:rPr>
        <w:t>v primerjavi z letom 2021.</w:t>
      </w:r>
      <w:r w:rsidRPr="006B7D80">
        <w:rPr>
          <w:rFonts w:ascii="Arial" w:hAnsi="Arial" w:cs="Arial"/>
          <w:color w:val="FF0000"/>
          <w:sz w:val="20"/>
          <w:szCs w:val="20"/>
        </w:rPr>
        <w:t xml:space="preserve"> </w:t>
      </w:r>
      <w:r w:rsidRPr="00891DB6">
        <w:rPr>
          <w:rFonts w:ascii="Arial" w:hAnsi="Arial" w:cs="Arial"/>
          <w:sz w:val="20"/>
          <w:szCs w:val="20"/>
        </w:rPr>
        <w:t>J</w:t>
      </w:r>
      <w:r w:rsidRPr="00384AA3">
        <w:rPr>
          <w:rFonts w:ascii="Arial" w:hAnsi="Arial" w:cs="Arial"/>
          <w:sz w:val="20"/>
          <w:szCs w:val="20"/>
        </w:rPr>
        <w:t xml:space="preserve">avno naročanje predstavlja pomemben delež odhodkov proračuna Republike Slovenije, saj je znašal 58,7 </w:t>
      </w:r>
      <w:r w:rsidR="00AC0027">
        <w:rPr>
          <w:rFonts w:ascii="Arial" w:hAnsi="Arial" w:cs="Arial"/>
          <w:sz w:val="20"/>
          <w:szCs w:val="20"/>
        </w:rPr>
        <w:t>odstotka</w:t>
      </w:r>
      <w:r w:rsidRPr="00384AA3">
        <w:rPr>
          <w:rFonts w:ascii="Arial" w:hAnsi="Arial" w:cs="Arial"/>
          <w:sz w:val="20"/>
          <w:szCs w:val="20"/>
        </w:rPr>
        <w:t xml:space="preserve"> odhodkov državnega proračuna</w:t>
      </w:r>
      <w:r w:rsidRPr="00764F1D">
        <w:rPr>
          <w:rFonts w:ascii="Arial" w:hAnsi="Arial" w:cs="Arial"/>
          <w:sz w:val="20"/>
          <w:szCs w:val="20"/>
        </w:rPr>
        <w:t xml:space="preserve">. </w:t>
      </w:r>
    </w:p>
    <w:p w14:paraId="0BBA5EB1" w14:textId="5C5D20FD" w:rsidR="007D0B13" w:rsidRDefault="007D0B13" w:rsidP="007D0B13">
      <w:pPr>
        <w:spacing w:line="360" w:lineRule="auto"/>
        <w:jc w:val="both"/>
        <w:rPr>
          <w:rFonts w:ascii="Arial" w:hAnsi="Arial" w:cs="Arial"/>
          <w:sz w:val="20"/>
          <w:szCs w:val="20"/>
        </w:rPr>
      </w:pPr>
      <w:r w:rsidRPr="00764F1D">
        <w:rPr>
          <w:rFonts w:ascii="Arial" w:hAnsi="Arial" w:cs="Arial"/>
          <w:sz w:val="20"/>
          <w:szCs w:val="20"/>
        </w:rPr>
        <w:t xml:space="preserve">Najpogosteje izvedeni postopek za oddajo naročil je postopek oddaje naročila male vrednosti (54,71 </w:t>
      </w:r>
      <w:r w:rsidR="00AC0027">
        <w:rPr>
          <w:rFonts w:ascii="Arial" w:hAnsi="Arial" w:cs="Arial"/>
          <w:sz w:val="20"/>
          <w:szCs w:val="20"/>
        </w:rPr>
        <w:t>odstotka</w:t>
      </w:r>
      <w:r w:rsidRPr="00764F1D">
        <w:rPr>
          <w:rFonts w:ascii="Arial" w:hAnsi="Arial" w:cs="Arial"/>
          <w:sz w:val="20"/>
          <w:szCs w:val="20"/>
        </w:rPr>
        <w:t>), kar kaže na pogosto uporabo manj zahtevnih in enostav</w:t>
      </w:r>
      <w:r>
        <w:rPr>
          <w:rFonts w:ascii="Arial" w:hAnsi="Arial" w:cs="Arial"/>
          <w:sz w:val="20"/>
          <w:szCs w:val="20"/>
        </w:rPr>
        <w:t>n</w:t>
      </w:r>
      <w:r w:rsidR="00AC0027">
        <w:rPr>
          <w:rFonts w:ascii="Arial" w:hAnsi="Arial" w:cs="Arial"/>
          <w:sz w:val="20"/>
          <w:szCs w:val="20"/>
        </w:rPr>
        <w:t>ejših</w:t>
      </w:r>
      <w:r w:rsidRPr="00764F1D">
        <w:rPr>
          <w:rFonts w:ascii="Arial" w:hAnsi="Arial" w:cs="Arial"/>
          <w:sz w:val="20"/>
          <w:szCs w:val="20"/>
        </w:rPr>
        <w:t xml:space="preserve"> postopkov. Zmanjšal se je delež odprtih postopkov, kar bi lahko vplivalo na manjši delež oddanih naročil tujim ponudnikom. Glede lokalnega naročanja so naročniki slovenskim ponudnikom oddali več kot 97 </w:t>
      </w:r>
      <w:r w:rsidR="00AC0027">
        <w:rPr>
          <w:rFonts w:ascii="Arial" w:hAnsi="Arial" w:cs="Arial"/>
          <w:sz w:val="20"/>
          <w:szCs w:val="20"/>
        </w:rPr>
        <w:t>odstotkov</w:t>
      </w:r>
      <w:r w:rsidRPr="00764F1D">
        <w:rPr>
          <w:rFonts w:ascii="Arial" w:hAnsi="Arial" w:cs="Arial"/>
          <w:sz w:val="20"/>
          <w:szCs w:val="20"/>
        </w:rPr>
        <w:t xml:space="preserve"> javnih naročil </w:t>
      </w:r>
      <w:r>
        <w:rPr>
          <w:rFonts w:ascii="Arial" w:hAnsi="Arial" w:cs="Arial"/>
          <w:sz w:val="20"/>
          <w:szCs w:val="20"/>
        </w:rPr>
        <w:t>po</w:t>
      </w:r>
      <w:r w:rsidRPr="00764F1D">
        <w:rPr>
          <w:rFonts w:ascii="Arial" w:hAnsi="Arial" w:cs="Arial"/>
          <w:sz w:val="20"/>
          <w:szCs w:val="20"/>
        </w:rPr>
        <w:t xml:space="preserve"> vrednosti. </w:t>
      </w:r>
      <w:r>
        <w:rPr>
          <w:rFonts w:ascii="Arial" w:hAnsi="Arial" w:cs="Arial"/>
          <w:sz w:val="20"/>
          <w:szCs w:val="20"/>
        </w:rPr>
        <w:t>Več kot polovic</w:t>
      </w:r>
      <w:r w:rsidR="00DD26D5">
        <w:rPr>
          <w:rFonts w:ascii="Arial" w:hAnsi="Arial" w:cs="Arial"/>
          <w:sz w:val="20"/>
          <w:szCs w:val="20"/>
        </w:rPr>
        <w:t>a</w:t>
      </w:r>
      <w:r>
        <w:rPr>
          <w:rFonts w:ascii="Arial" w:hAnsi="Arial" w:cs="Arial"/>
          <w:sz w:val="20"/>
          <w:szCs w:val="20"/>
        </w:rPr>
        <w:t xml:space="preserve"> </w:t>
      </w:r>
      <w:r w:rsidRPr="00764F1D">
        <w:rPr>
          <w:rFonts w:ascii="Arial" w:hAnsi="Arial" w:cs="Arial"/>
          <w:sz w:val="20"/>
          <w:szCs w:val="20"/>
        </w:rPr>
        <w:t>javnih naročil je bil</w:t>
      </w:r>
      <w:r w:rsidR="00DD26D5">
        <w:rPr>
          <w:rFonts w:ascii="Arial" w:hAnsi="Arial" w:cs="Arial"/>
          <w:sz w:val="20"/>
          <w:szCs w:val="20"/>
        </w:rPr>
        <w:t>a</w:t>
      </w:r>
      <w:r w:rsidRPr="00764F1D">
        <w:rPr>
          <w:rFonts w:ascii="Arial" w:hAnsi="Arial" w:cs="Arial"/>
          <w:sz w:val="20"/>
          <w:szCs w:val="20"/>
        </w:rPr>
        <w:t xml:space="preserve"> dodeljen</w:t>
      </w:r>
      <w:r w:rsidR="00DD26D5">
        <w:rPr>
          <w:rFonts w:ascii="Arial" w:hAnsi="Arial" w:cs="Arial"/>
          <w:sz w:val="20"/>
          <w:szCs w:val="20"/>
        </w:rPr>
        <w:t>a</w:t>
      </w:r>
      <w:r w:rsidRPr="00764F1D">
        <w:rPr>
          <w:rFonts w:ascii="Arial" w:hAnsi="Arial" w:cs="Arial"/>
          <w:sz w:val="20"/>
          <w:szCs w:val="20"/>
        </w:rPr>
        <w:t xml:space="preserve"> ponudnikom iz osrednjeslovenske regije.</w:t>
      </w:r>
    </w:p>
    <w:p w14:paraId="07CF578A" w14:textId="0A7A3592" w:rsidR="007D0B13" w:rsidRPr="00764F1D" w:rsidRDefault="007D0B13" w:rsidP="007D0B13">
      <w:pPr>
        <w:spacing w:line="360" w:lineRule="auto"/>
        <w:jc w:val="both"/>
        <w:rPr>
          <w:rFonts w:ascii="Arial" w:hAnsi="Arial" w:cs="Arial"/>
          <w:sz w:val="20"/>
          <w:szCs w:val="20"/>
        </w:rPr>
      </w:pPr>
      <w:r>
        <w:rPr>
          <w:rFonts w:ascii="Arial" w:hAnsi="Arial" w:cs="Arial"/>
          <w:sz w:val="20"/>
          <w:szCs w:val="20"/>
        </w:rPr>
        <w:t xml:space="preserve">Ponovno je </w:t>
      </w:r>
      <w:r w:rsidR="00DD26D5">
        <w:rPr>
          <w:rFonts w:ascii="Arial" w:hAnsi="Arial" w:cs="Arial"/>
          <w:sz w:val="20"/>
          <w:szCs w:val="20"/>
        </w:rPr>
        <w:t>opazno povečanje števila</w:t>
      </w:r>
      <w:r>
        <w:rPr>
          <w:rFonts w:ascii="Arial" w:hAnsi="Arial" w:cs="Arial"/>
          <w:sz w:val="20"/>
          <w:szCs w:val="20"/>
        </w:rPr>
        <w:t xml:space="preserve"> evidenčnih postopkov, kar</w:t>
      </w:r>
      <w:r w:rsidRPr="00764F1D">
        <w:rPr>
          <w:rFonts w:ascii="Arial" w:hAnsi="Arial" w:cs="Arial"/>
          <w:sz w:val="20"/>
          <w:szCs w:val="20"/>
        </w:rPr>
        <w:t xml:space="preserve"> kaže na </w:t>
      </w:r>
      <w:r>
        <w:rPr>
          <w:rFonts w:ascii="Arial" w:hAnsi="Arial" w:cs="Arial"/>
          <w:sz w:val="20"/>
          <w:szCs w:val="20"/>
        </w:rPr>
        <w:t xml:space="preserve">njihovo </w:t>
      </w:r>
      <w:r w:rsidRPr="00764F1D">
        <w:rPr>
          <w:rFonts w:ascii="Arial" w:hAnsi="Arial" w:cs="Arial"/>
          <w:sz w:val="20"/>
          <w:szCs w:val="20"/>
        </w:rPr>
        <w:t>pomembno</w:t>
      </w:r>
      <w:r>
        <w:rPr>
          <w:rFonts w:ascii="Arial" w:hAnsi="Arial" w:cs="Arial"/>
          <w:sz w:val="20"/>
          <w:szCs w:val="20"/>
        </w:rPr>
        <w:t xml:space="preserve"> vlogo v sistemu javnega naročanja. V letu 2022 so naročniki oddali največ evidenčnih naročil v zadnjih šestih letih, njihova vrednost pa se približuje 1,5 milijarde evrov.  </w:t>
      </w:r>
    </w:p>
    <w:p w14:paraId="385DF531" w14:textId="53E205F9" w:rsidR="007D0B13" w:rsidRDefault="007D0B13" w:rsidP="007D0B13">
      <w:pPr>
        <w:spacing w:line="360" w:lineRule="auto"/>
        <w:jc w:val="both"/>
        <w:rPr>
          <w:rFonts w:ascii="Arial" w:hAnsi="Arial" w:cs="Arial"/>
          <w:sz w:val="20"/>
          <w:szCs w:val="20"/>
        </w:rPr>
      </w:pPr>
      <w:r w:rsidRPr="00764F1D">
        <w:rPr>
          <w:rFonts w:ascii="Arial" w:hAnsi="Arial" w:cs="Arial"/>
          <w:sz w:val="20"/>
          <w:szCs w:val="20"/>
        </w:rPr>
        <w:t xml:space="preserve">Glede na predmet naročanja so naročniki najpogosteje naročali blago (66,52 </w:t>
      </w:r>
      <w:r w:rsidR="00AC0027">
        <w:rPr>
          <w:rFonts w:ascii="Arial" w:hAnsi="Arial" w:cs="Arial"/>
          <w:sz w:val="20"/>
          <w:szCs w:val="20"/>
        </w:rPr>
        <w:t>odstotka</w:t>
      </w:r>
      <w:r w:rsidRPr="00764F1D">
        <w:rPr>
          <w:rFonts w:ascii="Arial" w:hAnsi="Arial" w:cs="Arial"/>
          <w:sz w:val="20"/>
          <w:szCs w:val="20"/>
        </w:rPr>
        <w:t xml:space="preserve">), sledijo storitve (23,29 </w:t>
      </w:r>
      <w:r w:rsidR="00AC0027">
        <w:rPr>
          <w:rFonts w:ascii="Arial" w:hAnsi="Arial" w:cs="Arial"/>
          <w:sz w:val="20"/>
          <w:szCs w:val="20"/>
        </w:rPr>
        <w:t>odstotka</w:t>
      </w:r>
      <w:r w:rsidRPr="00764F1D">
        <w:rPr>
          <w:rFonts w:ascii="Arial" w:hAnsi="Arial" w:cs="Arial"/>
          <w:sz w:val="20"/>
          <w:szCs w:val="20"/>
        </w:rPr>
        <w:t xml:space="preserve">) in gradnje (10,19 </w:t>
      </w:r>
      <w:r w:rsidR="00AC0027">
        <w:rPr>
          <w:rFonts w:ascii="Arial" w:hAnsi="Arial" w:cs="Arial"/>
          <w:sz w:val="20"/>
          <w:szCs w:val="20"/>
        </w:rPr>
        <w:t>odstotka</w:t>
      </w:r>
      <w:r w:rsidRPr="00764F1D">
        <w:rPr>
          <w:rFonts w:ascii="Arial" w:hAnsi="Arial" w:cs="Arial"/>
          <w:sz w:val="20"/>
          <w:szCs w:val="20"/>
        </w:rPr>
        <w:t xml:space="preserve">). Po vrednosti so na prvem mestu gradnje (34,36 </w:t>
      </w:r>
      <w:r w:rsidR="00AC0027">
        <w:rPr>
          <w:rFonts w:ascii="Arial" w:hAnsi="Arial" w:cs="Arial"/>
          <w:sz w:val="20"/>
          <w:szCs w:val="20"/>
        </w:rPr>
        <w:t>odstotka</w:t>
      </w:r>
      <w:r w:rsidRPr="00764F1D">
        <w:rPr>
          <w:rFonts w:ascii="Arial" w:hAnsi="Arial" w:cs="Arial"/>
          <w:sz w:val="20"/>
          <w:szCs w:val="20"/>
        </w:rPr>
        <w:t xml:space="preserve">), sledijo naročila blaga (33,43 </w:t>
      </w:r>
      <w:r w:rsidR="00AC0027">
        <w:rPr>
          <w:rFonts w:ascii="Arial" w:hAnsi="Arial" w:cs="Arial"/>
          <w:sz w:val="20"/>
          <w:szCs w:val="20"/>
        </w:rPr>
        <w:t>odstotka</w:t>
      </w:r>
      <w:r w:rsidRPr="00764F1D">
        <w:rPr>
          <w:rFonts w:ascii="Arial" w:hAnsi="Arial" w:cs="Arial"/>
          <w:sz w:val="20"/>
          <w:szCs w:val="20"/>
        </w:rPr>
        <w:t xml:space="preserve">) in naročila storitev (32,21 </w:t>
      </w:r>
      <w:r w:rsidR="00AC0027">
        <w:rPr>
          <w:rFonts w:ascii="Arial" w:hAnsi="Arial" w:cs="Arial"/>
          <w:sz w:val="20"/>
          <w:szCs w:val="20"/>
        </w:rPr>
        <w:t>odstotka</w:t>
      </w:r>
      <w:r w:rsidRPr="00764F1D">
        <w:rPr>
          <w:rFonts w:ascii="Arial" w:hAnsi="Arial" w:cs="Arial"/>
          <w:sz w:val="20"/>
          <w:szCs w:val="20"/>
        </w:rPr>
        <w:t>).</w:t>
      </w:r>
    </w:p>
    <w:p w14:paraId="05C70397" w14:textId="568BC165" w:rsidR="00CD2179" w:rsidRDefault="00CD2179" w:rsidP="007D0B13">
      <w:pPr>
        <w:spacing w:line="360" w:lineRule="auto"/>
        <w:jc w:val="both"/>
        <w:rPr>
          <w:rFonts w:ascii="Arial" w:hAnsi="Arial" w:cs="Arial"/>
          <w:sz w:val="20"/>
          <w:szCs w:val="20"/>
        </w:rPr>
      </w:pPr>
      <w:r>
        <w:rPr>
          <w:rFonts w:ascii="Arial" w:hAnsi="Arial" w:cs="Arial"/>
          <w:bCs/>
          <w:color w:val="000000" w:themeColor="text1"/>
          <w:sz w:val="20"/>
          <w:szCs w:val="20"/>
        </w:rPr>
        <w:t xml:space="preserve">Postopek s pogajanji </w:t>
      </w:r>
      <w:r w:rsidRPr="00F43A06">
        <w:rPr>
          <w:rFonts w:ascii="Arial" w:hAnsi="Arial" w:cs="Arial"/>
          <w:bCs/>
          <w:color w:val="000000" w:themeColor="text1"/>
          <w:sz w:val="20"/>
          <w:szCs w:val="20"/>
        </w:rPr>
        <w:t xml:space="preserve">brez predhodne objave </w:t>
      </w:r>
      <w:r>
        <w:rPr>
          <w:rFonts w:ascii="Arial" w:hAnsi="Arial" w:cs="Arial"/>
          <w:bCs/>
          <w:color w:val="000000" w:themeColor="text1"/>
          <w:sz w:val="20"/>
          <w:szCs w:val="20"/>
        </w:rPr>
        <w:t xml:space="preserve">se </w:t>
      </w:r>
      <w:r w:rsidRPr="00F43A06">
        <w:rPr>
          <w:rFonts w:ascii="Arial" w:hAnsi="Arial" w:cs="Arial"/>
          <w:bCs/>
          <w:color w:val="000000" w:themeColor="text1"/>
          <w:sz w:val="20"/>
          <w:szCs w:val="20"/>
        </w:rPr>
        <w:t xml:space="preserve">je glede na leto 2021 zmanjšal za 1,18 odstotne </w:t>
      </w:r>
      <w:r w:rsidRPr="002C598F">
        <w:rPr>
          <w:rFonts w:ascii="Arial" w:hAnsi="Arial" w:cs="Arial"/>
          <w:bCs/>
          <w:color w:val="000000" w:themeColor="text1"/>
          <w:sz w:val="20"/>
          <w:szCs w:val="20"/>
        </w:rPr>
        <w:t>točke</w:t>
      </w:r>
      <w:r w:rsidR="00A511DB">
        <w:rPr>
          <w:rFonts w:ascii="Arial" w:hAnsi="Arial" w:cs="Arial"/>
          <w:bCs/>
          <w:color w:val="000000" w:themeColor="text1"/>
          <w:sz w:val="20"/>
          <w:szCs w:val="20"/>
        </w:rPr>
        <w:t xml:space="preserve"> in </w:t>
      </w:r>
      <w:r w:rsidR="00AC0027">
        <w:rPr>
          <w:rFonts w:ascii="Arial" w:hAnsi="Arial" w:cs="Arial"/>
          <w:bCs/>
          <w:color w:val="000000" w:themeColor="text1"/>
          <w:sz w:val="20"/>
          <w:szCs w:val="20"/>
        </w:rPr>
        <w:t>je</w:t>
      </w:r>
      <w:r w:rsidR="00A511DB">
        <w:rPr>
          <w:rFonts w:ascii="Arial" w:hAnsi="Arial" w:cs="Arial"/>
          <w:bCs/>
          <w:color w:val="000000" w:themeColor="text1"/>
          <w:sz w:val="20"/>
          <w:szCs w:val="20"/>
        </w:rPr>
        <w:t xml:space="preserve"> t</w:t>
      </w:r>
      <w:r w:rsidR="00A511DB" w:rsidRPr="00F43A06">
        <w:rPr>
          <w:rFonts w:ascii="Arial" w:hAnsi="Arial" w:cs="Arial"/>
          <w:bCs/>
          <w:color w:val="000000" w:themeColor="text1"/>
          <w:sz w:val="20"/>
          <w:szCs w:val="20"/>
        </w:rPr>
        <w:t>retji najpogosteje uporabljeni postopek z deležem 9,49 </w:t>
      </w:r>
      <w:r w:rsidR="00AC0027">
        <w:rPr>
          <w:rFonts w:ascii="Arial" w:hAnsi="Arial" w:cs="Arial"/>
          <w:bCs/>
          <w:color w:val="000000" w:themeColor="text1"/>
          <w:sz w:val="20"/>
          <w:szCs w:val="20"/>
        </w:rPr>
        <w:t>odstotka</w:t>
      </w:r>
      <w:r w:rsidR="00A511DB">
        <w:rPr>
          <w:rFonts w:ascii="Arial" w:hAnsi="Arial" w:cs="Arial"/>
          <w:bCs/>
          <w:color w:val="000000" w:themeColor="text1"/>
          <w:sz w:val="20"/>
          <w:szCs w:val="20"/>
        </w:rPr>
        <w:t xml:space="preserve"> v vseh postopkih in </w:t>
      </w:r>
      <w:r w:rsidR="00DD26D5">
        <w:rPr>
          <w:rFonts w:ascii="Arial" w:hAnsi="Arial" w:cs="Arial"/>
          <w:bCs/>
          <w:color w:val="000000" w:themeColor="text1"/>
          <w:sz w:val="20"/>
          <w:szCs w:val="20"/>
        </w:rPr>
        <w:t xml:space="preserve">se </w:t>
      </w:r>
      <w:r w:rsidR="00A511DB">
        <w:rPr>
          <w:rFonts w:ascii="Arial" w:hAnsi="Arial" w:cs="Arial"/>
          <w:bCs/>
          <w:color w:val="000000" w:themeColor="text1"/>
          <w:sz w:val="20"/>
          <w:szCs w:val="20"/>
        </w:rPr>
        <w:t xml:space="preserve">je tako po letu 2019 </w:t>
      </w:r>
      <w:r w:rsidR="00DD26D5">
        <w:rPr>
          <w:rFonts w:ascii="Arial" w:hAnsi="Arial" w:cs="Arial"/>
          <w:bCs/>
          <w:color w:val="000000" w:themeColor="text1"/>
          <w:sz w:val="20"/>
          <w:szCs w:val="20"/>
        </w:rPr>
        <w:t>zmanjšal</w:t>
      </w:r>
      <w:r w:rsidR="00A511DB">
        <w:rPr>
          <w:rFonts w:ascii="Arial" w:hAnsi="Arial" w:cs="Arial"/>
          <w:bCs/>
          <w:color w:val="000000" w:themeColor="text1"/>
          <w:sz w:val="20"/>
          <w:szCs w:val="20"/>
        </w:rPr>
        <w:t xml:space="preserve"> pod 10 </w:t>
      </w:r>
      <w:r w:rsidR="00AC0027">
        <w:rPr>
          <w:rFonts w:ascii="Arial" w:hAnsi="Arial" w:cs="Arial"/>
          <w:bCs/>
          <w:color w:val="000000" w:themeColor="text1"/>
          <w:sz w:val="20"/>
          <w:szCs w:val="20"/>
        </w:rPr>
        <w:t>odstotkov</w:t>
      </w:r>
      <w:r w:rsidR="00A511DB">
        <w:rPr>
          <w:rFonts w:ascii="Arial" w:hAnsi="Arial" w:cs="Arial"/>
          <w:bCs/>
          <w:color w:val="000000" w:themeColor="text1"/>
          <w:sz w:val="20"/>
          <w:szCs w:val="20"/>
        </w:rPr>
        <w:t xml:space="preserve">. </w:t>
      </w:r>
    </w:p>
    <w:p w14:paraId="07942B27" w14:textId="7005080D" w:rsidR="007D0B13" w:rsidRDefault="007D0B13" w:rsidP="007D0B13">
      <w:pPr>
        <w:spacing w:line="360" w:lineRule="auto"/>
        <w:jc w:val="both"/>
        <w:rPr>
          <w:rFonts w:ascii="Arial" w:hAnsi="Arial" w:cs="Arial"/>
          <w:sz w:val="20"/>
          <w:szCs w:val="20"/>
        </w:rPr>
      </w:pPr>
      <w:r w:rsidRPr="00764F1D">
        <w:rPr>
          <w:rFonts w:ascii="Arial" w:hAnsi="Arial" w:cs="Arial"/>
          <w:sz w:val="20"/>
          <w:szCs w:val="20"/>
        </w:rPr>
        <w:t>Največkrat uporabljeno merilo za izbiro najugodnejšega ponudnika je bila cena, uporabljeno pri 15.507 oddanih naročilih</w:t>
      </w:r>
      <w:r>
        <w:rPr>
          <w:rFonts w:ascii="Arial" w:hAnsi="Arial" w:cs="Arial"/>
          <w:sz w:val="20"/>
          <w:szCs w:val="20"/>
        </w:rPr>
        <w:t xml:space="preserve">, kar </w:t>
      </w:r>
      <w:r w:rsidR="00AC0027">
        <w:rPr>
          <w:rFonts w:ascii="Arial" w:hAnsi="Arial" w:cs="Arial"/>
          <w:sz w:val="20"/>
          <w:szCs w:val="20"/>
        </w:rPr>
        <w:t>je</w:t>
      </w:r>
      <w:r>
        <w:rPr>
          <w:rFonts w:ascii="Arial" w:hAnsi="Arial" w:cs="Arial"/>
          <w:sz w:val="20"/>
          <w:szCs w:val="20"/>
        </w:rPr>
        <w:t xml:space="preserve"> več kot 90 </w:t>
      </w:r>
      <w:r w:rsidR="00AC0027">
        <w:rPr>
          <w:rFonts w:ascii="Arial" w:hAnsi="Arial" w:cs="Arial"/>
          <w:sz w:val="20"/>
          <w:szCs w:val="20"/>
        </w:rPr>
        <w:t>odstotkov</w:t>
      </w:r>
      <w:r>
        <w:rPr>
          <w:rFonts w:ascii="Arial" w:hAnsi="Arial" w:cs="Arial"/>
          <w:sz w:val="20"/>
          <w:szCs w:val="20"/>
        </w:rPr>
        <w:t xml:space="preserve"> vseh oddanih naročil tako po številu kot tudi vrednosti.</w:t>
      </w:r>
      <w:r w:rsidRPr="00764F1D">
        <w:rPr>
          <w:rFonts w:ascii="Arial" w:hAnsi="Arial" w:cs="Arial"/>
          <w:sz w:val="20"/>
          <w:szCs w:val="20"/>
        </w:rPr>
        <w:t xml:space="preserve"> </w:t>
      </w:r>
    </w:p>
    <w:p w14:paraId="5A481C2E" w14:textId="1061AA4B" w:rsidR="007D0B13" w:rsidRPr="00764F1D" w:rsidRDefault="007D0B13" w:rsidP="007D0B13">
      <w:pPr>
        <w:spacing w:line="360" w:lineRule="auto"/>
        <w:jc w:val="both"/>
        <w:rPr>
          <w:rFonts w:ascii="Arial" w:hAnsi="Arial" w:cs="Arial"/>
          <w:sz w:val="20"/>
          <w:szCs w:val="20"/>
        </w:rPr>
      </w:pPr>
      <w:r w:rsidRPr="00764F1D">
        <w:rPr>
          <w:rFonts w:ascii="Arial" w:hAnsi="Arial" w:cs="Arial"/>
          <w:sz w:val="20"/>
          <w:szCs w:val="20"/>
        </w:rPr>
        <w:t xml:space="preserve">Velikost slovenskih ponudnikov, ki so jim bila dodeljena javna naročila, je razpršena, pri čemer imajo majhne enote največji delež po številu oddanih naročil (34,71 </w:t>
      </w:r>
      <w:r w:rsidR="00AC0027">
        <w:rPr>
          <w:rFonts w:ascii="Arial" w:hAnsi="Arial" w:cs="Arial"/>
          <w:sz w:val="20"/>
          <w:szCs w:val="20"/>
        </w:rPr>
        <w:t>odstotka</w:t>
      </w:r>
      <w:r w:rsidRPr="00764F1D">
        <w:rPr>
          <w:rFonts w:ascii="Arial" w:hAnsi="Arial" w:cs="Arial"/>
          <w:sz w:val="20"/>
          <w:szCs w:val="20"/>
        </w:rPr>
        <w:t>)</w:t>
      </w:r>
      <w:r>
        <w:rPr>
          <w:rFonts w:ascii="Arial" w:hAnsi="Arial" w:cs="Arial"/>
          <w:sz w:val="20"/>
          <w:szCs w:val="20"/>
        </w:rPr>
        <w:t xml:space="preserve">, </w:t>
      </w:r>
      <w:r w:rsidRPr="00764F1D">
        <w:rPr>
          <w:rFonts w:ascii="Arial" w:hAnsi="Arial" w:cs="Arial"/>
          <w:sz w:val="20"/>
          <w:szCs w:val="20"/>
        </w:rPr>
        <w:t xml:space="preserve">velike enote </w:t>
      </w:r>
      <w:r>
        <w:rPr>
          <w:rFonts w:ascii="Arial" w:hAnsi="Arial" w:cs="Arial"/>
          <w:sz w:val="20"/>
          <w:szCs w:val="20"/>
        </w:rPr>
        <w:t xml:space="preserve">pa </w:t>
      </w:r>
      <w:r w:rsidRPr="00764F1D">
        <w:rPr>
          <w:rFonts w:ascii="Arial" w:hAnsi="Arial" w:cs="Arial"/>
          <w:sz w:val="20"/>
          <w:szCs w:val="20"/>
        </w:rPr>
        <w:t xml:space="preserve">največji delež po vrednosti oddanih javnih naročil (45,33 </w:t>
      </w:r>
      <w:r w:rsidR="00AC0027">
        <w:rPr>
          <w:rFonts w:ascii="Arial" w:hAnsi="Arial" w:cs="Arial"/>
          <w:sz w:val="20"/>
          <w:szCs w:val="20"/>
        </w:rPr>
        <w:t>odstotka</w:t>
      </w:r>
      <w:r w:rsidRPr="00764F1D">
        <w:rPr>
          <w:rFonts w:ascii="Arial" w:hAnsi="Arial" w:cs="Arial"/>
          <w:sz w:val="20"/>
          <w:szCs w:val="20"/>
        </w:rPr>
        <w:t>).</w:t>
      </w:r>
    </w:p>
    <w:p w14:paraId="1B6E0693" w14:textId="0366F335" w:rsidR="007D0B13" w:rsidRPr="00764F1D" w:rsidRDefault="007D0B13" w:rsidP="007D0B13">
      <w:pPr>
        <w:spacing w:line="360" w:lineRule="auto"/>
        <w:jc w:val="both"/>
        <w:rPr>
          <w:rFonts w:ascii="Arial" w:hAnsi="Arial" w:cs="Arial"/>
          <w:sz w:val="20"/>
          <w:szCs w:val="20"/>
        </w:rPr>
      </w:pPr>
      <w:r w:rsidRPr="00764F1D">
        <w:rPr>
          <w:rFonts w:ascii="Arial" w:hAnsi="Arial" w:cs="Arial"/>
          <w:sz w:val="20"/>
          <w:szCs w:val="20"/>
        </w:rPr>
        <w:t xml:space="preserve">Skupno javno naročanje </w:t>
      </w:r>
      <w:r w:rsidR="0009064D">
        <w:rPr>
          <w:rFonts w:ascii="Arial" w:hAnsi="Arial" w:cs="Arial"/>
          <w:sz w:val="20"/>
          <w:szCs w:val="20"/>
        </w:rPr>
        <w:t>pomeni</w:t>
      </w:r>
      <w:r w:rsidRPr="00764F1D">
        <w:rPr>
          <w:rFonts w:ascii="Arial" w:hAnsi="Arial" w:cs="Arial"/>
          <w:sz w:val="20"/>
          <w:szCs w:val="20"/>
        </w:rPr>
        <w:t xml:space="preserve"> le manjši delež </w:t>
      </w:r>
      <w:r>
        <w:rPr>
          <w:rFonts w:ascii="Arial" w:hAnsi="Arial" w:cs="Arial"/>
          <w:sz w:val="20"/>
          <w:szCs w:val="20"/>
        </w:rPr>
        <w:t xml:space="preserve">v številu </w:t>
      </w:r>
      <w:r w:rsidRPr="00764F1D">
        <w:rPr>
          <w:rFonts w:ascii="Arial" w:hAnsi="Arial" w:cs="Arial"/>
          <w:sz w:val="20"/>
          <w:szCs w:val="20"/>
        </w:rPr>
        <w:t xml:space="preserve">vseh </w:t>
      </w:r>
      <w:r>
        <w:rPr>
          <w:rFonts w:ascii="Arial" w:hAnsi="Arial" w:cs="Arial"/>
          <w:sz w:val="20"/>
          <w:szCs w:val="20"/>
        </w:rPr>
        <w:t xml:space="preserve">oddanih </w:t>
      </w:r>
      <w:r w:rsidRPr="00764F1D">
        <w:rPr>
          <w:rFonts w:ascii="Arial" w:hAnsi="Arial" w:cs="Arial"/>
          <w:sz w:val="20"/>
          <w:szCs w:val="20"/>
        </w:rPr>
        <w:t xml:space="preserve">naročil (4,36 </w:t>
      </w:r>
      <w:r w:rsidR="00AC0027">
        <w:rPr>
          <w:rFonts w:ascii="Arial" w:hAnsi="Arial" w:cs="Arial"/>
          <w:sz w:val="20"/>
          <w:szCs w:val="20"/>
        </w:rPr>
        <w:t>odstotka</w:t>
      </w:r>
      <w:r w:rsidRPr="00764F1D">
        <w:rPr>
          <w:rFonts w:ascii="Arial" w:hAnsi="Arial" w:cs="Arial"/>
          <w:sz w:val="20"/>
          <w:szCs w:val="20"/>
        </w:rPr>
        <w:t>)</w:t>
      </w:r>
      <w:r>
        <w:rPr>
          <w:rFonts w:ascii="Arial" w:hAnsi="Arial" w:cs="Arial"/>
          <w:sz w:val="20"/>
          <w:szCs w:val="20"/>
        </w:rPr>
        <w:t xml:space="preserve">, v vrednosti pa slabo desetino (8,93 </w:t>
      </w:r>
      <w:r w:rsidR="00AC0027">
        <w:rPr>
          <w:rFonts w:ascii="Arial" w:hAnsi="Arial" w:cs="Arial"/>
          <w:sz w:val="20"/>
          <w:szCs w:val="20"/>
        </w:rPr>
        <w:t>odstotka</w:t>
      </w:r>
      <w:r>
        <w:rPr>
          <w:rFonts w:ascii="Arial" w:hAnsi="Arial" w:cs="Arial"/>
          <w:sz w:val="20"/>
          <w:szCs w:val="20"/>
        </w:rPr>
        <w:t xml:space="preserve">), kar kaže na to, da </w:t>
      </w:r>
      <w:r w:rsidRPr="00764F1D">
        <w:rPr>
          <w:rFonts w:ascii="Arial" w:hAnsi="Arial" w:cs="Arial"/>
          <w:sz w:val="20"/>
          <w:szCs w:val="20"/>
        </w:rPr>
        <w:t xml:space="preserve">ni dovolj izkoriščeno, vendar se lahko ta trend spremeni, </w:t>
      </w:r>
      <w:r w:rsidR="0009064D">
        <w:rPr>
          <w:rFonts w:ascii="Arial" w:hAnsi="Arial" w:cs="Arial"/>
          <w:sz w:val="20"/>
          <w:szCs w:val="20"/>
        </w:rPr>
        <w:t>če</w:t>
      </w:r>
      <w:r>
        <w:rPr>
          <w:rFonts w:ascii="Arial" w:hAnsi="Arial" w:cs="Arial"/>
          <w:sz w:val="20"/>
          <w:szCs w:val="20"/>
        </w:rPr>
        <w:t xml:space="preserve"> bodo </w:t>
      </w:r>
      <w:r w:rsidRPr="00764F1D">
        <w:rPr>
          <w:rFonts w:ascii="Arial" w:hAnsi="Arial" w:cs="Arial"/>
          <w:sz w:val="20"/>
          <w:szCs w:val="20"/>
        </w:rPr>
        <w:t>naročniki prepoznali prednosti te prakse</w:t>
      </w:r>
      <w:r>
        <w:rPr>
          <w:rFonts w:ascii="Arial" w:hAnsi="Arial" w:cs="Arial"/>
          <w:sz w:val="20"/>
          <w:szCs w:val="20"/>
        </w:rPr>
        <w:t>,</w:t>
      </w:r>
      <w:r w:rsidRPr="00764F1D">
        <w:rPr>
          <w:rFonts w:ascii="Arial" w:hAnsi="Arial" w:cs="Arial"/>
          <w:sz w:val="20"/>
          <w:szCs w:val="20"/>
        </w:rPr>
        <w:t xml:space="preserve"> </w:t>
      </w:r>
      <w:r>
        <w:rPr>
          <w:rFonts w:ascii="Arial" w:hAnsi="Arial" w:cs="Arial"/>
          <w:sz w:val="20"/>
          <w:szCs w:val="20"/>
        </w:rPr>
        <w:t xml:space="preserve">se začeli bolj povezovati in </w:t>
      </w:r>
      <w:r w:rsidRPr="00764F1D">
        <w:rPr>
          <w:rFonts w:ascii="Arial" w:hAnsi="Arial" w:cs="Arial"/>
          <w:sz w:val="20"/>
          <w:szCs w:val="20"/>
        </w:rPr>
        <w:t xml:space="preserve">jo </w:t>
      </w:r>
      <w:r>
        <w:rPr>
          <w:rFonts w:ascii="Arial" w:hAnsi="Arial" w:cs="Arial"/>
          <w:sz w:val="20"/>
          <w:szCs w:val="20"/>
        </w:rPr>
        <w:t xml:space="preserve">večkrat </w:t>
      </w:r>
      <w:r w:rsidRPr="00764F1D">
        <w:rPr>
          <w:rFonts w:ascii="Arial" w:hAnsi="Arial" w:cs="Arial"/>
          <w:sz w:val="20"/>
          <w:szCs w:val="20"/>
        </w:rPr>
        <w:t>izvajali.</w:t>
      </w:r>
    </w:p>
    <w:p w14:paraId="66FF0486" w14:textId="76F88BCD" w:rsidR="007D0B13" w:rsidRPr="00764F1D" w:rsidRDefault="007D0B13" w:rsidP="007D0B13">
      <w:pPr>
        <w:spacing w:line="360" w:lineRule="auto"/>
        <w:jc w:val="both"/>
        <w:rPr>
          <w:rFonts w:ascii="Arial" w:hAnsi="Arial" w:cs="Arial"/>
          <w:sz w:val="20"/>
          <w:szCs w:val="20"/>
        </w:rPr>
      </w:pPr>
      <w:r w:rsidRPr="00764F1D">
        <w:rPr>
          <w:rFonts w:ascii="Arial" w:hAnsi="Arial" w:cs="Arial"/>
          <w:sz w:val="20"/>
          <w:szCs w:val="20"/>
        </w:rPr>
        <w:t xml:space="preserve">Elektronske dražbe so bile uporabljene </w:t>
      </w:r>
      <w:r w:rsidR="000A6106">
        <w:rPr>
          <w:rFonts w:ascii="Arial" w:hAnsi="Arial" w:cs="Arial"/>
          <w:sz w:val="20"/>
          <w:szCs w:val="20"/>
        </w:rPr>
        <w:t>izjemno redko</w:t>
      </w:r>
      <w:r>
        <w:rPr>
          <w:rFonts w:ascii="Arial" w:hAnsi="Arial" w:cs="Arial"/>
          <w:sz w:val="20"/>
          <w:szCs w:val="20"/>
        </w:rPr>
        <w:t xml:space="preserve"> </w:t>
      </w:r>
      <w:r w:rsidR="00324207">
        <w:rPr>
          <w:rFonts w:ascii="Arial" w:hAnsi="Arial" w:cs="Arial"/>
          <w:sz w:val="20"/>
          <w:szCs w:val="20"/>
        </w:rPr>
        <w:t>oziroma</w:t>
      </w:r>
      <w:r>
        <w:rPr>
          <w:rFonts w:ascii="Arial" w:hAnsi="Arial" w:cs="Arial"/>
          <w:sz w:val="20"/>
          <w:szCs w:val="20"/>
        </w:rPr>
        <w:t xml:space="preserve"> </w:t>
      </w:r>
      <w:r w:rsidR="000A6106">
        <w:rPr>
          <w:rFonts w:ascii="Arial" w:hAnsi="Arial" w:cs="Arial"/>
          <w:sz w:val="20"/>
          <w:szCs w:val="20"/>
        </w:rPr>
        <w:t xml:space="preserve">v </w:t>
      </w:r>
      <w:r>
        <w:rPr>
          <w:rFonts w:ascii="Arial" w:hAnsi="Arial" w:cs="Arial"/>
          <w:sz w:val="20"/>
          <w:szCs w:val="20"/>
        </w:rPr>
        <w:t>manj kot enem odstotku vseh oddanih naročil po številu in tudi vrednosti,</w:t>
      </w:r>
      <w:r w:rsidRPr="00764F1D">
        <w:rPr>
          <w:rFonts w:ascii="Arial" w:hAnsi="Arial" w:cs="Arial"/>
          <w:sz w:val="20"/>
          <w:szCs w:val="20"/>
        </w:rPr>
        <w:t xml:space="preserve"> kljub </w:t>
      </w:r>
      <w:r w:rsidR="00324207">
        <w:rPr>
          <w:rFonts w:ascii="Arial" w:hAnsi="Arial" w:cs="Arial"/>
          <w:sz w:val="20"/>
          <w:szCs w:val="20"/>
        </w:rPr>
        <w:t>možnostim</w:t>
      </w:r>
      <w:r w:rsidRPr="00764F1D">
        <w:rPr>
          <w:rFonts w:ascii="Arial" w:hAnsi="Arial" w:cs="Arial"/>
          <w:sz w:val="20"/>
          <w:szCs w:val="20"/>
        </w:rPr>
        <w:t xml:space="preserve"> za doseganje boljših cen in </w:t>
      </w:r>
      <w:r w:rsidR="00324207">
        <w:rPr>
          <w:rFonts w:ascii="Arial" w:hAnsi="Arial" w:cs="Arial"/>
          <w:sz w:val="20"/>
          <w:szCs w:val="20"/>
        </w:rPr>
        <w:t>velike</w:t>
      </w:r>
      <w:r>
        <w:rPr>
          <w:rFonts w:ascii="Arial" w:hAnsi="Arial" w:cs="Arial"/>
          <w:sz w:val="20"/>
          <w:szCs w:val="20"/>
        </w:rPr>
        <w:t xml:space="preserve"> </w:t>
      </w:r>
      <w:r w:rsidRPr="00764F1D">
        <w:rPr>
          <w:rFonts w:ascii="Arial" w:hAnsi="Arial" w:cs="Arial"/>
          <w:sz w:val="20"/>
          <w:szCs w:val="20"/>
        </w:rPr>
        <w:t>transparentnost</w:t>
      </w:r>
      <w:r>
        <w:rPr>
          <w:rFonts w:ascii="Arial" w:hAnsi="Arial" w:cs="Arial"/>
          <w:sz w:val="20"/>
          <w:szCs w:val="20"/>
        </w:rPr>
        <w:t>i</w:t>
      </w:r>
      <w:r w:rsidRPr="00764F1D">
        <w:rPr>
          <w:rFonts w:ascii="Arial" w:hAnsi="Arial" w:cs="Arial"/>
          <w:sz w:val="20"/>
          <w:szCs w:val="20"/>
        </w:rPr>
        <w:t>.</w:t>
      </w:r>
    </w:p>
    <w:p w14:paraId="7E45242F" w14:textId="5B97DCE9" w:rsidR="007D0B13" w:rsidRPr="00764F1D" w:rsidRDefault="007D0B13" w:rsidP="007D0B13">
      <w:pPr>
        <w:spacing w:line="360" w:lineRule="auto"/>
        <w:jc w:val="both"/>
        <w:rPr>
          <w:rFonts w:ascii="Arial" w:hAnsi="Arial" w:cs="Arial"/>
          <w:sz w:val="20"/>
          <w:szCs w:val="20"/>
        </w:rPr>
      </w:pPr>
      <w:r w:rsidRPr="00764F1D">
        <w:rPr>
          <w:rFonts w:ascii="Arial" w:hAnsi="Arial" w:cs="Arial"/>
          <w:sz w:val="20"/>
          <w:szCs w:val="20"/>
        </w:rPr>
        <w:t xml:space="preserve">Zeleno javno naročanje postaja </w:t>
      </w:r>
      <w:r w:rsidR="00324207">
        <w:rPr>
          <w:rFonts w:ascii="Arial" w:hAnsi="Arial" w:cs="Arial"/>
          <w:sz w:val="20"/>
          <w:szCs w:val="20"/>
        </w:rPr>
        <w:t>čedalje</w:t>
      </w:r>
      <w:r w:rsidRPr="00764F1D">
        <w:rPr>
          <w:rFonts w:ascii="Arial" w:hAnsi="Arial" w:cs="Arial"/>
          <w:sz w:val="20"/>
          <w:szCs w:val="20"/>
        </w:rPr>
        <w:t xml:space="preserve"> pomembn</w:t>
      </w:r>
      <w:r w:rsidR="00324207">
        <w:rPr>
          <w:rFonts w:ascii="Arial" w:hAnsi="Arial" w:cs="Arial"/>
          <w:sz w:val="20"/>
          <w:szCs w:val="20"/>
        </w:rPr>
        <w:t>ejše</w:t>
      </w:r>
      <w:r w:rsidR="000A6106">
        <w:rPr>
          <w:rFonts w:ascii="Arial" w:hAnsi="Arial" w:cs="Arial"/>
          <w:sz w:val="20"/>
          <w:szCs w:val="20"/>
        </w:rPr>
        <w:t xml:space="preserve"> in </w:t>
      </w:r>
      <w:r w:rsidR="00324207">
        <w:rPr>
          <w:rFonts w:ascii="Arial" w:hAnsi="Arial" w:cs="Arial"/>
          <w:sz w:val="20"/>
          <w:szCs w:val="20"/>
        </w:rPr>
        <w:t xml:space="preserve">čedalje bolj </w:t>
      </w:r>
      <w:r w:rsidR="000A6106">
        <w:rPr>
          <w:rFonts w:ascii="Arial" w:hAnsi="Arial" w:cs="Arial"/>
          <w:sz w:val="20"/>
          <w:szCs w:val="20"/>
        </w:rPr>
        <w:t xml:space="preserve">razširjeno med naročniki. </w:t>
      </w:r>
      <w:r w:rsidRPr="00764F1D">
        <w:rPr>
          <w:rFonts w:ascii="Arial" w:hAnsi="Arial" w:cs="Arial"/>
          <w:sz w:val="20"/>
          <w:szCs w:val="20"/>
        </w:rPr>
        <w:t xml:space="preserve">V letu 2022 je bilo opaziti povečanje števila naročil, ki so vključevala </w:t>
      </w:r>
      <w:proofErr w:type="spellStart"/>
      <w:r w:rsidRPr="00764F1D">
        <w:rPr>
          <w:rFonts w:ascii="Arial" w:hAnsi="Arial" w:cs="Arial"/>
          <w:sz w:val="20"/>
          <w:szCs w:val="20"/>
        </w:rPr>
        <w:t>okoljske</w:t>
      </w:r>
      <w:proofErr w:type="spellEnd"/>
      <w:r w:rsidRPr="00764F1D">
        <w:rPr>
          <w:rFonts w:ascii="Arial" w:hAnsi="Arial" w:cs="Arial"/>
          <w:sz w:val="20"/>
          <w:szCs w:val="20"/>
        </w:rPr>
        <w:t xml:space="preserve"> vidike.</w:t>
      </w:r>
      <w:r>
        <w:rPr>
          <w:rFonts w:ascii="Arial" w:hAnsi="Arial" w:cs="Arial"/>
          <w:sz w:val="20"/>
          <w:szCs w:val="20"/>
        </w:rPr>
        <w:t xml:space="preserve"> </w:t>
      </w:r>
      <w:r w:rsidRPr="00764F1D">
        <w:rPr>
          <w:rFonts w:ascii="Arial" w:hAnsi="Arial" w:cs="Arial"/>
          <w:sz w:val="20"/>
          <w:szCs w:val="20"/>
        </w:rPr>
        <w:t>Družbeno odgovorno javno naročanje je prav tako v vzponu, vendar še zaostaja za zelenim javnim naročanjem. Socialni vidiki pri naročilih se vključujejo predvsem v pogodbena določila in merila za izbiro.</w:t>
      </w:r>
    </w:p>
    <w:p w14:paraId="7899649F" w14:textId="21892937" w:rsidR="007D0B13" w:rsidRPr="00AD2AC5" w:rsidRDefault="007D0B13" w:rsidP="007D0B13">
      <w:pPr>
        <w:spacing w:line="360" w:lineRule="auto"/>
        <w:jc w:val="both"/>
        <w:rPr>
          <w:rFonts w:ascii="Arial" w:hAnsi="Arial" w:cs="Arial"/>
          <w:sz w:val="20"/>
          <w:szCs w:val="20"/>
        </w:rPr>
      </w:pPr>
      <w:r>
        <w:rPr>
          <w:rFonts w:ascii="Arial" w:hAnsi="Arial" w:cs="Arial"/>
          <w:sz w:val="20"/>
          <w:szCs w:val="20"/>
        </w:rPr>
        <w:lastRenderedPageBreak/>
        <w:t>Ministrstvo za javno upravo ugotavlja, da je mogoče učinkovito</w:t>
      </w:r>
      <w:r w:rsidR="00032E4D">
        <w:rPr>
          <w:rFonts w:ascii="Arial" w:hAnsi="Arial" w:cs="Arial"/>
          <w:sz w:val="20"/>
          <w:szCs w:val="20"/>
        </w:rPr>
        <w:t>st</w:t>
      </w:r>
      <w:r>
        <w:rPr>
          <w:rFonts w:ascii="Arial" w:hAnsi="Arial" w:cs="Arial"/>
          <w:sz w:val="20"/>
          <w:szCs w:val="20"/>
        </w:rPr>
        <w:t xml:space="preserve"> izvajanj</w:t>
      </w:r>
      <w:r w:rsidR="00032E4D">
        <w:rPr>
          <w:rFonts w:ascii="Arial" w:hAnsi="Arial" w:cs="Arial"/>
          <w:sz w:val="20"/>
          <w:szCs w:val="20"/>
        </w:rPr>
        <w:t>a</w:t>
      </w:r>
      <w:r>
        <w:rPr>
          <w:rFonts w:ascii="Arial" w:hAnsi="Arial" w:cs="Arial"/>
          <w:sz w:val="20"/>
          <w:szCs w:val="20"/>
        </w:rPr>
        <w:t xml:space="preserve"> postopkov javnega naročanja </w:t>
      </w:r>
      <w:r w:rsidR="00032E4D">
        <w:rPr>
          <w:rFonts w:ascii="Arial" w:hAnsi="Arial" w:cs="Arial"/>
          <w:sz w:val="20"/>
          <w:szCs w:val="20"/>
        </w:rPr>
        <w:t xml:space="preserve">povečati </w:t>
      </w:r>
      <w:r>
        <w:rPr>
          <w:rFonts w:ascii="Arial" w:hAnsi="Arial" w:cs="Arial"/>
          <w:sz w:val="20"/>
          <w:szCs w:val="20"/>
        </w:rPr>
        <w:t xml:space="preserve">na različnih področjih. Spodbujati je treba konkurenco z uporabo </w:t>
      </w:r>
      <w:proofErr w:type="spellStart"/>
      <w:r>
        <w:rPr>
          <w:rFonts w:ascii="Arial" w:hAnsi="Arial" w:cs="Arial"/>
          <w:sz w:val="20"/>
          <w:szCs w:val="20"/>
        </w:rPr>
        <w:t>transparentn</w:t>
      </w:r>
      <w:r w:rsidR="00032E4D">
        <w:rPr>
          <w:rFonts w:ascii="Arial" w:hAnsi="Arial" w:cs="Arial"/>
          <w:sz w:val="20"/>
          <w:szCs w:val="20"/>
        </w:rPr>
        <w:t>ejših</w:t>
      </w:r>
      <w:proofErr w:type="spellEnd"/>
      <w:r>
        <w:rPr>
          <w:rFonts w:ascii="Arial" w:hAnsi="Arial" w:cs="Arial"/>
          <w:sz w:val="20"/>
          <w:szCs w:val="20"/>
        </w:rPr>
        <w:t xml:space="preserve"> postopkov (postopki</w:t>
      </w:r>
      <w:r w:rsidR="00032E4D">
        <w:rPr>
          <w:rFonts w:ascii="Arial" w:hAnsi="Arial" w:cs="Arial"/>
          <w:sz w:val="20"/>
          <w:szCs w:val="20"/>
        </w:rPr>
        <w:t>,</w:t>
      </w:r>
      <w:r>
        <w:rPr>
          <w:rFonts w:ascii="Arial" w:hAnsi="Arial" w:cs="Arial"/>
          <w:sz w:val="20"/>
          <w:szCs w:val="20"/>
        </w:rPr>
        <w:t xml:space="preserve"> objavljeni na portalu javnih naročil)</w:t>
      </w:r>
      <w:r w:rsidRPr="00764F1D">
        <w:rPr>
          <w:rFonts w:ascii="Arial" w:hAnsi="Arial" w:cs="Arial"/>
          <w:sz w:val="20"/>
          <w:szCs w:val="20"/>
        </w:rPr>
        <w:t xml:space="preserve">, kar lahko vodi k </w:t>
      </w:r>
      <w:r>
        <w:rPr>
          <w:rFonts w:ascii="Arial" w:hAnsi="Arial" w:cs="Arial"/>
          <w:sz w:val="20"/>
          <w:szCs w:val="20"/>
        </w:rPr>
        <w:t>nižjim</w:t>
      </w:r>
      <w:r w:rsidRPr="00764F1D">
        <w:rPr>
          <w:rFonts w:ascii="Arial" w:hAnsi="Arial" w:cs="Arial"/>
          <w:sz w:val="20"/>
          <w:szCs w:val="20"/>
        </w:rPr>
        <w:t xml:space="preserve"> cenam in </w:t>
      </w:r>
      <w:r>
        <w:rPr>
          <w:rFonts w:ascii="Arial" w:hAnsi="Arial" w:cs="Arial"/>
          <w:sz w:val="20"/>
          <w:szCs w:val="20"/>
        </w:rPr>
        <w:t xml:space="preserve">večji </w:t>
      </w:r>
      <w:r w:rsidRPr="00764F1D">
        <w:rPr>
          <w:rFonts w:ascii="Arial" w:hAnsi="Arial" w:cs="Arial"/>
          <w:sz w:val="20"/>
          <w:szCs w:val="20"/>
        </w:rPr>
        <w:t>kakovosti</w:t>
      </w:r>
      <w:r>
        <w:rPr>
          <w:rFonts w:ascii="Arial" w:hAnsi="Arial" w:cs="Arial"/>
          <w:sz w:val="20"/>
          <w:szCs w:val="20"/>
        </w:rPr>
        <w:t>.</w:t>
      </w:r>
      <w:r w:rsidRPr="0089675D">
        <w:rPr>
          <w:rFonts w:ascii="Arial" w:hAnsi="Arial" w:cs="Arial"/>
          <w:sz w:val="20"/>
          <w:szCs w:val="20"/>
        </w:rPr>
        <w:t xml:space="preserve"> </w:t>
      </w:r>
      <w:r w:rsidRPr="00764F1D">
        <w:rPr>
          <w:rFonts w:ascii="Arial" w:hAnsi="Arial" w:cs="Arial"/>
          <w:sz w:val="20"/>
          <w:szCs w:val="20"/>
        </w:rPr>
        <w:t xml:space="preserve">Pogosto </w:t>
      </w:r>
      <w:r>
        <w:rPr>
          <w:rFonts w:ascii="Arial" w:hAnsi="Arial" w:cs="Arial"/>
          <w:sz w:val="20"/>
          <w:szCs w:val="20"/>
        </w:rPr>
        <w:t xml:space="preserve">naročniki </w:t>
      </w:r>
      <w:r w:rsidRPr="00764F1D">
        <w:rPr>
          <w:rFonts w:ascii="Arial" w:hAnsi="Arial" w:cs="Arial"/>
          <w:sz w:val="20"/>
          <w:szCs w:val="20"/>
        </w:rPr>
        <w:t>javna naročila</w:t>
      </w:r>
      <w:r>
        <w:rPr>
          <w:rFonts w:ascii="Arial" w:hAnsi="Arial" w:cs="Arial"/>
          <w:sz w:val="20"/>
          <w:szCs w:val="20"/>
        </w:rPr>
        <w:t xml:space="preserve"> pripravijo tako, da je, predvsem za manjše gospodarske subjekte,  priprava ponudbe zapletena in jih odvrača od oddaje ponudbe, kar </w:t>
      </w:r>
      <w:r w:rsidRPr="00764F1D">
        <w:rPr>
          <w:rFonts w:ascii="Arial" w:hAnsi="Arial" w:cs="Arial"/>
          <w:sz w:val="20"/>
          <w:szCs w:val="20"/>
        </w:rPr>
        <w:t xml:space="preserve">omejuje konkurenco. Za spodbujanje sodelovanja manjših </w:t>
      </w:r>
      <w:r>
        <w:rPr>
          <w:rFonts w:ascii="Arial" w:hAnsi="Arial" w:cs="Arial"/>
          <w:sz w:val="20"/>
          <w:szCs w:val="20"/>
        </w:rPr>
        <w:t>gospodarskih subjektov</w:t>
      </w:r>
      <w:r w:rsidRPr="00764F1D">
        <w:rPr>
          <w:rFonts w:ascii="Arial" w:hAnsi="Arial" w:cs="Arial"/>
          <w:sz w:val="20"/>
          <w:szCs w:val="20"/>
        </w:rPr>
        <w:t xml:space="preserve"> je </w:t>
      </w:r>
      <w:r>
        <w:rPr>
          <w:rFonts w:ascii="Arial" w:hAnsi="Arial" w:cs="Arial"/>
          <w:sz w:val="20"/>
          <w:szCs w:val="20"/>
        </w:rPr>
        <w:t>treba</w:t>
      </w:r>
      <w:r w:rsidRPr="00764F1D">
        <w:rPr>
          <w:rFonts w:ascii="Arial" w:hAnsi="Arial" w:cs="Arial"/>
          <w:sz w:val="20"/>
          <w:szCs w:val="20"/>
        </w:rPr>
        <w:t xml:space="preserve"> poenostaviti postopke, zmanjšati administrativne ovire ter </w:t>
      </w:r>
      <w:r>
        <w:rPr>
          <w:rFonts w:ascii="Arial" w:hAnsi="Arial" w:cs="Arial"/>
          <w:sz w:val="20"/>
          <w:szCs w:val="20"/>
        </w:rPr>
        <w:t xml:space="preserve">jim tako </w:t>
      </w:r>
      <w:r w:rsidRPr="00764F1D">
        <w:rPr>
          <w:rFonts w:ascii="Arial" w:hAnsi="Arial" w:cs="Arial"/>
          <w:sz w:val="20"/>
          <w:szCs w:val="20"/>
        </w:rPr>
        <w:t>omogočiti učinkovito sodelovanje v postopkih.</w:t>
      </w:r>
      <w:r w:rsidRPr="00AD2AC5">
        <w:rPr>
          <w:rFonts w:ascii="Arial" w:hAnsi="Arial" w:cs="Arial"/>
          <w:b/>
          <w:bCs/>
          <w:sz w:val="20"/>
          <w:szCs w:val="20"/>
        </w:rPr>
        <w:t xml:space="preserve"> </w:t>
      </w:r>
      <w:r w:rsidRPr="00AD2AC5">
        <w:rPr>
          <w:rFonts w:ascii="Arial" w:hAnsi="Arial" w:cs="Arial"/>
          <w:sz w:val="20"/>
          <w:szCs w:val="20"/>
        </w:rPr>
        <w:t>Za povečanje učinkovitosti javnega naročanja je ključna večja transparentnost postopkov ter spodbujanje konkurence med ponudniki. To lahko dosežemo z nadaljnjim razvojem digitalizacije in avtomatizacije procesov v sistemu javnega naročanja.</w:t>
      </w:r>
    </w:p>
    <w:p w14:paraId="2FB619A7" w14:textId="2D81C5A7" w:rsidR="007D0B13" w:rsidRPr="00AD2AC5" w:rsidRDefault="007D0B13" w:rsidP="007D0B13">
      <w:pPr>
        <w:spacing w:line="360" w:lineRule="auto"/>
        <w:jc w:val="both"/>
        <w:rPr>
          <w:rFonts w:ascii="Arial" w:hAnsi="Arial" w:cs="Arial"/>
          <w:sz w:val="20"/>
          <w:szCs w:val="20"/>
        </w:rPr>
      </w:pPr>
      <w:r>
        <w:rPr>
          <w:rFonts w:ascii="Arial" w:hAnsi="Arial" w:cs="Arial"/>
          <w:sz w:val="20"/>
          <w:szCs w:val="20"/>
        </w:rPr>
        <w:t xml:space="preserve">Večjo učinkovitost in gospodarnost lahko dosežemo tudi s spodbujanjem </w:t>
      </w:r>
      <w:r w:rsidRPr="00764F1D">
        <w:rPr>
          <w:rFonts w:ascii="Arial" w:hAnsi="Arial" w:cs="Arial"/>
          <w:sz w:val="20"/>
          <w:szCs w:val="20"/>
        </w:rPr>
        <w:t>in informira</w:t>
      </w:r>
      <w:r>
        <w:rPr>
          <w:rFonts w:ascii="Arial" w:hAnsi="Arial" w:cs="Arial"/>
          <w:sz w:val="20"/>
          <w:szCs w:val="20"/>
        </w:rPr>
        <w:t xml:space="preserve">njem </w:t>
      </w:r>
      <w:r w:rsidRPr="00764F1D">
        <w:rPr>
          <w:rFonts w:ascii="Arial" w:hAnsi="Arial" w:cs="Arial"/>
          <w:sz w:val="20"/>
          <w:szCs w:val="20"/>
        </w:rPr>
        <w:t>naročnik</w:t>
      </w:r>
      <w:r>
        <w:rPr>
          <w:rFonts w:ascii="Arial" w:hAnsi="Arial" w:cs="Arial"/>
          <w:sz w:val="20"/>
          <w:szCs w:val="20"/>
        </w:rPr>
        <w:t xml:space="preserve">ov </w:t>
      </w:r>
      <w:r w:rsidRPr="00764F1D">
        <w:rPr>
          <w:rFonts w:ascii="Arial" w:hAnsi="Arial" w:cs="Arial"/>
          <w:sz w:val="20"/>
          <w:szCs w:val="20"/>
        </w:rPr>
        <w:t>o prednostih skupnega javnega naročanja</w:t>
      </w:r>
      <w:r>
        <w:rPr>
          <w:rFonts w:ascii="Arial" w:hAnsi="Arial" w:cs="Arial"/>
          <w:sz w:val="20"/>
          <w:szCs w:val="20"/>
        </w:rPr>
        <w:t>. Predvsem s</w:t>
      </w:r>
      <w:r w:rsidRPr="00764F1D">
        <w:rPr>
          <w:rFonts w:ascii="Arial" w:hAnsi="Arial" w:cs="Arial"/>
          <w:sz w:val="20"/>
          <w:szCs w:val="20"/>
        </w:rPr>
        <w:t xml:space="preserve">podbujanje manjših naročnikov k uporabi skupnega javnega naročanja bo omogočilo večjo učinkovitost in </w:t>
      </w:r>
      <w:r w:rsidRPr="00AD2AC5">
        <w:rPr>
          <w:rFonts w:ascii="Arial" w:hAnsi="Arial" w:cs="Arial"/>
          <w:sz w:val="20"/>
          <w:szCs w:val="20"/>
        </w:rPr>
        <w:t>prihranke. Prav tako je smotrno spodbuja</w:t>
      </w:r>
      <w:r w:rsidR="00032E4D">
        <w:rPr>
          <w:rFonts w:ascii="Arial" w:hAnsi="Arial" w:cs="Arial"/>
          <w:sz w:val="20"/>
          <w:szCs w:val="20"/>
        </w:rPr>
        <w:t>ti</w:t>
      </w:r>
      <w:r w:rsidRPr="00AD2AC5">
        <w:rPr>
          <w:rFonts w:ascii="Arial" w:hAnsi="Arial" w:cs="Arial"/>
          <w:sz w:val="20"/>
          <w:szCs w:val="20"/>
        </w:rPr>
        <w:t xml:space="preserve"> naročnik</w:t>
      </w:r>
      <w:r w:rsidR="00032E4D">
        <w:rPr>
          <w:rFonts w:ascii="Arial" w:hAnsi="Arial" w:cs="Arial"/>
          <w:sz w:val="20"/>
          <w:szCs w:val="20"/>
        </w:rPr>
        <w:t>e</w:t>
      </w:r>
      <w:r w:rsidRPr="00AD2AC5">
        <w:rPr>
          <w:rFonts w:ascii="Arial" w:hAnsi="Arial" w:cs="Arial"/>
          <w:sz w:val="20"/>
          <w:szCs w:val="20"/>
        </w:rPr>
        <w:t xml:space="preserve"> k uporabi elektronskih dražb, ki zagotavljajo visoko stopnjo transparentnosti </w:t>
      </w:r>
      <w:r w:rsidR="00032E4D">
        <w:rPr>
          <w:rFonts w:ascii="Arial" w:hAnsi="Arial" w:cs="Arial"/>
          <w:sz w:val="20"/>
          <w:szCs w:val="20"/>
        </w:rPr>
        <w:t>in</w:t>
      </w:r>
      <w:r w:rsidRPr="00AD2AC5">
        <w:rPr>
          <w:rFonts w:ascii="Arial" w:hAnsi="Arial" w:cs="Arial"/>
          <w:sz w:val="20"/>
          <w:szCs w:val="20"/>
        </w:rPr>
        <w:t xml:space="preserve"> prihrank</w:t>
      </w:r>
      <w:r w:rsidR="00032E4D">
        <w:rPr>
          <w:rFonts w:ascii="Arial" w:hAnsi="Arial" w:cs="Arial"/>
          <w:sz w:val="20"/>
          <w:szCs w:val="20"/>
        </w:rPr>
        <w:t>e</w:t>
      </w:r>
      <w:r w:rsidRPr="00AD2AC5">
        <w:rPr>
          <w:rFonts w:ascii="Arial" w:hAnsi="Arial" w:cs="Arial"/>
          <w:sz w:val="20"/>
          <w:szCs w:val="20"/>
        </w:rPr>
        <w:t>.</w:t>
      </w:r>
    </w:p>
    <w:p w14:paraId="7802F91A" w14:textId="77777777" w:rsidR="007D0B13" w:rsidRPr="00764F1D" w:rsidRDefault="007D0B13" w:rsidP="007D0B13">
      <w:pPr>
        <w:spacing w:line="360" w:lineRule="auto"/>
        <w:jc w:val="both"/>
        <w:rPr>
          <w:rFonts w:ascii="Arial" w:hAnsi="Arial" w:cs="Arial"/>
          <w:sz w:val="20"/>
          <w:szCs w:val="20"/>
        </w:rPr>
      </w:pPr>
      <w:r>
        <w:rPr>
          <w:rFonts w:ascii="Arial" w:hAnsi="Arial" w:cs="Arial"/>
          <w:sz w:val="20"/>
          <w:szCs w:val="20"/>
        </w:rPr>
        <w:t xml:space="preserve">Pomemben del je tudi </w:t>
      </w:r>
      <w:r w:rsidRPr="00764F1D">
        <w:rPr>
          <w:rFonts w:ascii="Arial" w:hAnsi="Arial" w:cs="Arial"/>
          <w:sz w:val="20"/>
          <w:szCs w:val="20"/>
        </w:rPr>
        <w:t>spodbuja</w:t>
      </w:r>
      <w:r>
        <w:rPr>
          <w:rFonts w:ascii="Arial" w:hAnsi="Arial" w:cs="Arial"/>
          <w:sz w:val="20"/>
          <w:szCs w:val="20"/>
        </w:rPr>
        <w:t>nje</w:t>
      </w:r>
      <w:r w:rsidRPr="00764F1D">
        <w:rPr>
          <w:rFonts w:ascii="Arial" w:hAnsi="Arial" w:cs="Arial"/>
          <w:sz w:val="20"/>
          <w:szCs w:val="20"/>
        </w:rPr>
        <w:t xml:space="preserve"> naročnik</w:t>
      </w:r>
      <w:r>
        <w:rPr>
          <w:rFonts w:ascii="Arial" w:hAnsi="Arial" w:cs="Arial"/>
          <w:sz w:val="20"/>
          <w:szCs w:val="20"/>
        </w:rPr>
        <w:t>ov k vključevanju</w:t>
      </w:r>
      <w:r w:rsidRPr="00764F1D">
        <w:rPr>
          <w:rFonts w:ascii="Arial" w:hAnsi="Arial" w:cs="Arial"/>
          <w:sz w:val="20"/>
          <w:szCs w:val="20"/>
        </w:rPr>
        <w:t xml:space="preserve"> </w:t>
      </w:r>
      <w:proofErr w:type="spellStart"/>
      <w:r w:rsidRPr="00764F1D">
        <w:rPr>
          <w:rFonts w:ascii="Arial" w:hAnsi="Arial" w:cs="Arial"/>
          <w:sz w:val="20"/>
          <w:szCs w:val="20"/>
        </w:rPr>
        <w:t>okoljsk</w:t>
      </w:r>
      <w:r>
        <w:rPr>
          <w:rFonts w:ascii="Arial" w:hAnsi="Arial" w:cs="Arial"/>
          <w:sz w:val="20"/>
          <w:szCs w:val="20"/>
        </w:rPr>
        <w:t>ih</w:t>
      </w:r>
      <w:proofErr w:type="spellEnd"/>
      <w:r w:rsidRPr="00764F1D">
        <w:rPr>
          <w:rFonts w:ascii="Arial" w:hAnsi="Arial" w:cs="Arial"/>
          <w:sz w:val="20"/>
          <w:szCs w:val="20"/>
        </w:rPr>
        <w:t xml:space="preserve"> in socialn</w:t>
      </w:r>
      <w:r>
        <w:rPr>
          <w:rFonts w:ascii="Arial" w:hAnsi="Arial" w:cs="Arial"/>
          <w:sz w:val="20"/>
          <w:szCs w:val="20"/>
        </w:rPr>
        <w:t>ih</w:t>
      </w:r>
      <w:r w:rsidRPr="00764F1D">
        <w:rPr>
          <w:rFonts w:ascii="Arial" w:hAnsi="Arial" w:cs="Arial"/>
          <w:sz w:val="20"/>
          <w:szCs w:val="20"/>
        </w:rPr>
        <w:t xml:space="preserve"> vidik</w:t>
      </w:r>
      <w:r>
        <w:rPr>
          <w:rFonts w:ascii="Arial" w:hAnsi="Arial" w:cs="Arial"/>
          <w:sz w:val="20"/>
          <w:szCs w:val="20"/>
        </w:rPr>
        <w:t>ov</w:t>
      </w:r>
      <w:r w:rsidRPr="00764F1D">
        <w:rPr>
          <w:rFonts w:ascii="Arial" w:hAnsi="Arial" w:cs="Arial"/>
          <w:sz w:val="20"/>
          <w:szCs w:val="20"/>
        </w:rPr>
        <w:t xml:space="preserve"> v postopke javnih naročil</w:t>
      </w:r>
      <w:r>
        <w:rPr>
          <w:rFonts w:ascii="Arial" w:hAnsi="Arial" w:cs="Arial"/>
          <w:sz w:val="20"/>
          <w:szCs w:val="20"/>
        </w:rPr>
        <w:t>, kar je mogoče doseči z</w:t>
      </w:r>
      <w:r w:rsidRPr="00764F1D">
        <w:rPr>
          <w:rFonts w:ascii="Arial" w:hAnsi="Arial" w:cs="Arial"/>
          <w:sz w:val="20"/>
          <w:szCs w:val="20"/>
        </w:rPr>
        <w:t xml:space="preserve"> ozaveščanje</w:t>
      </w:r>
      <w:r>
        <w:rPr>
          <w:rFonts w:ascii="Arial" w:hAnsi="Arial" w:cs="Arial"/>
          <w:sz w:val="20"/>
          <w:szCs w:val="20"/>
        </w:rPr>
        <w:t>m</w:t>
      </w:r>
      <w:r w:rsidRPr="00764F1D">
        <w:rPr>
          <w:rFonts w:ascii="Arial" w:hAnsi="Arial" w:cs="Arial"/>
          <w:sz w:val="20"/>
          <w:szCs w:val="20"/>
        </w:rPr>
        <w:t>, izobraževanje</w:t>
      </w:r>
      <w:r>
        <w:rPr>
          <w:rFonts w:ascii="Arial" w:hAnsi="Arial" w:cs="Arial"/>
          <w:sz w:val="20"/>
          <w:szCs w:val="20"/>
        </w:rPr>
        <w:t>m</w:t>
      </w:r>
      <w:r w:rsidRPr="00764F1D">
        <w:rPr>
          <w:rFonts w:ascii="Arial" w:hAnsi="Arial" w:cs="Arial"/>
          <w:sz w:val="20"/>
          <w:szCs w:val="20"/>
        </w:rPr>
        <w:t xml:space="preserve"> ter postavljanje</w:t>
      </w:r>
      <w:r>
        <w:rPr>
          <w:rFonts w:ascii="Arial" w:hAnsi="Arial" w:cs="Arial"/>
          <w:sz w:val="20"/>
          <w:szCs w:val="20"/>
        </w:rPr>
        <w:t>m</w:t>
      </w:r>
      <w:r w:rsidRPr="00764F1D">
        <w:rPr>
          <w:rFonts w:ascii="Arial" w:hAnsi="Arial" w:cs="Arial"/>
          <w:sz w:val="20"/>
          <w:szCs w:val="20"/>
        </w:rPr>
        <w:t xml:space="preserve"> jasnih smernic in ciljev glede zelenega in družbeno odgovornega javnega naročanja.</w:t>
      </w:r>
    </w:p>
    <w:p w14:paraId="14FE684A" w14:textId="1232A177" w:rsidR="00CD2179" w:rsidRPr="00921D12" w:rsidRDefault="007D0B13" w:rsidP="00CD2179">
      <w:pPr>
        <w:spacing w:line="360" w:lineRule="auto"/>
        <w:jc w:val="both"/>
        <w:rPr>
          <w:rFonts w:ascii="Arial" w:hAnsi="Arial" w:cs="Arial"/>
          <w:sz w:val="20"/>
          <w:szCs w:val="20"/>
        </w:rPr>
      </w:pPr>
      <w:r w:rsidRPr="007D325F">
        <w:rPr>
          <w:rFonts w:ascii="Arial" w:hAnsi="Arial" w:cs="Arial"/>
          <w:sz w:val="20"/>
          <w:szCs w:val="20"/>
        </w:rPr>
        <w:t>Viso</w:t>
      </w:r>
      <w:r w:rsidR="00032E4D">
        <w:rPr>
          <w:rFonts w:ascii="Arial" w:hAnsi="Arial" w:cs="Arial"/>
          <w:sz w:val="20"/>
          <w:szCs w:val="20"/>
        </w:rPr>
        <w:t>ka raven</w:t>
      </w:r>
      <w:r w:rsidRPr="007D325F">
        <w:rPr>
          <w:rFonts w:ascii="Arial" w:hAnsi="Arial" w:cs="Arial"/>
          <w:sz w:val="20"/>
          <w:szCs w:val="20"/>
        </w:rPr>
        <w:t xml:space="preserve"> usposobljenosti vseh udeležencev v postopkih javnega naročanja je bistvenega pomena za uspešen sistem, kar pa je mogoče doseči z rednimi izobraževanji in usposabljanji, predvsem naročnikov</w:t>
      </w:r>
      <w:r>
        <w:rPr>
          <w:rFonts w:ascii="Arial" w:hAnsi="Arial" w:cs="Arial"/>
          <w:sz w:val="20"/>
          <w:szCs w:val="20"/>
        </w:rPr>
        <w:t xml:space="preserve"> </w:t>
      </w:r>
      <w:r w:rsidRPr="007D325F">
        <w:rPr>
          <w:rFonts w:ascii="Arial" w:hAnsi="Arial" w:cs="Arial"/>
          <w:sz w:val="20"/>
          <w:szCs w:val="20"/>
        </w:rPr>
        <w:t>o aktualni zakonodaji in najboljših praksah pri izvajanju javnih naročil, da bodo bolje razumeli postopke in jih izvajali učinkoviteje.</w:t>
      </w:r>
      <w:r w:rsidR="00CD2179">
        <w:rPr>
          <w:rFonts w:ascii="Arial" w:hAnsi="Arial" w:cs="Arial"/>
          <w:sz w:val="20"/>
          <w:szCs w:val="20"/>
        </w:rPr>
        <w:t xml:space="preserve"> </w:t>
      </w:r>
      <w:r w:rsidR="00CD2179" w:rsidRPr="00921D12">
        <w:rPr>
          <w:rFonts w:ascii="Arial" w:hAnsi="Arial" w:cs="Arial"/>
          <w:sz w:val="20"/>
          <w:szCs w:val="20"/>
        </w:rPr>
        <w:t>Potreba po večji usposobljenosti uslužbencev, ki delujejo na področju javnega naročanja, je bila namreč prepoznana ne samo v slovenskem prostoru javnih naročil, temveč tudi na evropski ravni. Tako je ministrstvo pripravilo Priročnik za presojanje in razvoj kompetenc na področju javnega naročanja, katerega namen je predvsem oblikovanj</w:t>
      </w:r>
      <w:r w:rsidR="00032E4D">
        <w:rPr>
          <w:rFonts w:ascii="Arial" w:hAnsi="Arial" w:cs="Arial"/>
          <w:sz w:val="20"/>
          <w:szCs w:val="20"/>
        </w:rPr>
        <w:t>e</w:t>
      </w:r>
      <w:r w:rsidR="00CD2179" w:rsidRPr="00921D12">
        <w:rPr>
          <w:rFonts w:ascii="Arial" w:hAnsi="Arial" w:cs="Arial"/>
          <w:sz w:val="20"/>
          <w:szCs w:val="20"/>
        </w:rPr>
        <w:t xml:space="preserve"> (enotnih) struktur znanj in veščin, sposobnosti in osebnostnih značilnosti posameznika, ki deluje na področju javnega naročanja, v podporo doseganju tega pa je bila vzpostavljena tudi Akademija javnega naročanja, ki p</w:t>
      </w:r>
      <w:r w:rsidR="00032E4D">
        <w:rPr>
          <w:rFonts w:ascii="Arial" w:hAnsi="Arial" w:cs="Arial"/>
          <w:sz w:val="20"/>
          <w:szCs w:val="20"/>
        </w:rPr>
        <w:t>omeni</w:t>
      </w:r>
      <w:r w:rsidR="00CD2179" w:rsidRPr="00921D12">
        <w:rPr>
          <w:rFonts w:ascii="Arial" w:hAnsi="Arial" w:cs="Arial"/>
          <w:sz w:val="20"/>
          <w:szCs w:val="20"/>
        </w:rPr>
        <w:t xml:space="preserve"> skupek modulov in omogoča pridobivanje ustreznih znanj na področju javnega naročanja za različne profile delovnih mest.</w:t>
      </w:r>
    </w:p>
    <w:p w14:paraId="229A24D9" w14:textId="2B72FB79" w:rsidR="007D0B13" w:rsidRDefault="007D0B13" w:rsidP="007D0B13">
      <w:pPr>
        <w:tabs>
          <w:tab w:val="left" w:pos="567"/>
          <w:tab w:val="left" w:pos="993"/>
        </w:tabs>
        <w:spacing w:line="360" w:lineRule="auto"/>
        <w:jc w:val="both"/>
        <w:rPr>
          <w:rFonts w:ascii="Arial" w:hAnsi="Arial" w:cs="Arial"/>
          <w:sz w:val="20"/>
          <w:szCs w:val="20"/>
        </w:rPr>
      </w:pPr>
      <w:r>
        <w:rPr>
          <w:rFonts w:ascii="Arial" w:hAnsi="Arial" w:cs="Arial"/>
          <w:sz w:val="20"/>
          <w:szCs w:val="20"/>
        </w:rPr>
        <w:t xml:space="preserve">Zaupanje javnosti v učinkovito delovanje sistema javnega naročanja je povezano z zagotavljanjem transparentnosti izvajanja postopkov </w:t>
      </w:r>
      <w:r w:rsidR="00032E4D">
        <w:rPr>
          <w:rFonts w:ascii="Arial" w:hAnsi="Arial" w:cs="Arial"/>
          <w:sz w:val="20"/>
          <w:szCs w:val="20"/>
        </w:rPr>
        <w:t>ter</w:t>
      </w:r>
      <w:r>
        <w:rPr>
          <w:rFonts w:ascii="Arial" w:hAnsi="Arial" w:cs="Arial"/>
          <w:sz w:val="20"/>
          <w:szCs w:val="20"/>
        </w:rPr>
        <w:t xml:space="preserve"> tudi odpravo nepravilnosti in sankcioniranjem kršiteljev. Pri tem imajo pomembno vlogo tudi </w:t>
      </w:r>
      <w:r w:rsidRPr="00F84970">
        <w:rPr>
          <w:rFonts w:ascii="Arial" w:hAnsi="Arial" w:cs="Arial"/>
          <w:bCs/>
          <w:sz w:val="20"/>
          <w:szCs w:val="20"/>
        </w:rPr>
        <w:t>organi nadzora, predvsem Državna revizijska komisija, Računsko sodišče Republike Slovenije in Urad Republike Slovenije za nadzor proračuna</w:t>
      </w:r>
      <w:r>
        <w:rPr>
          <w:rFonts w:ascii="Arial" w:hAnsi="Arial" w:cs="Arial"/>
          <w:bCs/>
          <w:sz w:val="20"/>
          <w:szCs w:val="20"/>
        </w:rPr>
        <w:t>, ki lahko z izvajanjem svojih aktivnosti bistveno pri</w:t>
      </w:r>
      <w:r w:rsidR="00E853C2">
        <w:rPr>
          <w:rFonts w:ascii="Arial" w:hAnsi="Arial" w:cs="Arial"/>
          <w:bCs/>
          <w:sz w:val="20"/>
          <w:szCs w:val="20"/>
        </w:rPr>
        <w:t>spevajo</w:t>
      </w:r>
      <w:r>
        <w:rPr>
          <w:rFonts w:ascii="Arial" w:hAnsi="Arial" w:cs="Arial"/>
          <w:bCs/>
          <w:sz w:val="20"/>
          <w:szCs w:val="20"/>
        </w:rPr>
        <w:t xml:space="preserve"> k zaupanju v delovanje sistema.</w:t>
      </w:r>
    </w:p>
    <w:p w14:paraId="077B4154" w14:textId="5B94CC69" w:rsidR="007D0B13" w:rsidRPr="00764F1D" w:rsidRDefault="000A6106" w:rsidP="007D0B13">
      <w:pPr>
        <w:spacing w:line="360" w:lineRule="auto"/>
        <w:jc w:val="both"/>
        <w:rPr>
          <w:rFonts w:ascii="Arial" w:hAnsi="Arial" w:cs="Arial"/>
          <w:sz w:val="20"/>
          <w:szCs w:val="20"/>
        </w:rPr>
      </w:pPr>
      <w:r>
        <w:rPr>
          <w:rFonts w:ascii="Arial" w:hAnsi="Arial" w:cs="Arial"/>
          <w:sz w:val="20"/>
          <w:szCs w:val="20"/>
        </w:rPr>
        <w:t>S</w:t>
      </w:r>
      <w:r w:rsidR="007D0B13" w:rsidRPr="00764F1D">
        <w:rPr>
          <w:rFonts w:ascii="Arial" w:hAnsi="Arial" w:cs="Arial"/>
          <w:sz w:val="20"/>
          <w:szCs w:val="20"/>
        </w:rPr>
        <w:t xml:space="preserve"> </w:t>
      </w:r>
      <w:r w:rsidR="007D0B13">
        <w:rPr>
          <w:rFonts w:ascii="Arial" w:hAnsi="Arial" w:cs="Arial"/>
          <w:sz w:val="20"/>
          <w:szCs w:val="20"/>
        </w:rPr>
        <w:t xml:space="preserve">kombinacijo izvajanja navedenih </w:t>
      </w:r>
      <w:r w:rsidR="007D0B13" w:rsidRPr="00764F1D">
        <w:rPr>
          <w:rFonts w:ascii="Arial" w:hAnsi="Arial" w:cs="Arial"/>
          <w:sz w:val="20"/>
          <w:szCs w:val="20"/>
        </w:rPr>
        <w:t>ukrepov bi se lahko izboljšal</w:t>
      </w:r>
      <w:r w:rsidR="00A20417">
        <w:rPr>
          <w:rFonts w:ascii="Arial" w:hAnsi="Arial" w:cs="Arial"/>
          <w:sz w:val="20"/>
          <w:szCs w:val="20"/>
        </w:rPr>
        <w:t>i</w:t>
      </w:r>
      <w:r w:rsidR="007D0B13" w:rsidRPr="00764F1D">
        <w:rPr>
          <w:rFonts w:ascii="Arial" w:hAnsi="Arial" w:cs="Arial"/>
          <w:sz w:val="20"/>
          <w:szCs w:val="20"/>
        </w:rPr>
        <w:t xml:space="preserve"> praksa in ureditev javnega naročanja v Sloveniji, kar bi pripomoglo k boljši učinkovitosti porabe javnih sredstev, večji konkurenci med ponudniki ter </w:t>
      </w:r>
      <w:r w:rsidR="00A20417">
        <w:rPr>
          <w:rFonts w:ascii="Arial" w:hAnsi="Arial" w:cs="Arial"/>
          <w:sz w:val="20"/>
          <w:szCs w:val="20"/>
        </w:rPr>
        <w:t xml:space="preserve">k </w:t>
      </w:r>
      <w:r w:rsidR="007D0B13" w:rsidRPr="00764F1D">
        <w:rPr>
          <w:rFonts w:ascii="Arial" w:hAnsi="Arial" w:cs="Arial"/>
          <w:sz w:val="20"/>
          <w:szCs w:val="20"/>
        </w:rPr>
        <w:t xml:space="preserve">večji preglednosti in </w:t>
      </w:r>
      <w:r w:rsidR="00A20417">
        <w:rPr>
          <w:rFonts w:ascii="Arial" w:hAnsi="Arial" w:cs="Arial"/>
          <w:sz w:val="20"/>
          <w:szCs w:val="20"/>
        </w:rPr>
        <w:t>večjem</w:t>
      </w:r>
      <w:r w:rsidR="00D93DA7">
        <w:rPr>
          <w:rFonts w:ascii="Arial" w:hAnsi="Arial" w:cs="Arial"/>
          <w:sz w:val="20"/>
          <w:szCs w:val="20"/>
        </w:rPr>
        <w:t>u</w:t>
      </w:r>
      <w:r w:rsidR="00A20417">
        <w:rPr>
          <w:rFonts w:ascii="Arial" w:hAnsi="Arial" w:cs="Arial"/>
          <w:sz w:val="20"/>
          <w:szCs w:val="20"/>
        </w:rPr>
        <w:t xml:space="preserve"> </w:t>
      </w:r>
      <w:r w:rsidR="007D0B13" w:rsidRPr="00764F1D">
        <w:rPr>
          <w:rFonts w:ascii="Arial" w:hAnsi="Arial" w:cs="Arial"/>
          <w:sz w:val="20"/>
          <w:szCs w:val="20"/>
        </w:rPr>
        <w:t>zaupanju v postopke javnega naročanja.</w:t>
      </w:r>
    </w:p>
    <w:p w14:paraId="1312F73E" w14:textId="77777777" w:rsidR="007F5D9D" w:rsidRDefault="007F5D9D">
      <w:pPr>
        <w:rPr>
          <w:rFonts w:ascii="Arial" w:eastAsiaTheme="majorEastAsia" w:hAnsi="Arial" w:cs="Arial"/>
          <w:b/>
          <w:color w:val="2F5496" w:themeColor="accent1" w:themeShade="BF"/>
        </w:rPr>
      </w:pPr>
      <w:bookmarkStart w:id="6" w:name="_Toc141864045"/>
      <w:bookmarkEnd w:id="5"/>
      <w:r>
        <w:rPr>
          <w:rFonts w:ascii="Arial" w:hAnsi="Arial" w:cs="Arial"/>
          <w:b/>
        </w:rPr>
        <w:br w:type="page"/>
      </w:r>
    </w:p>
    <w:p w14:paraId="6F4E54C5" w14:textId="29FE125B" w:rsidR="00854405" w:rsidRPr="00CF664F" w:rsidRDefault="00854405" w:rsidP="00854405">
      <w:pPr>
        <w:pStyle w:val="Naslov1"/>
        <w:rPr>
          <w:rFonts w:ascii="Arial" w:hAnsi="Arial" w:cs="Arial"/>
          <w:b/>
          <w:sz w:val="22"/>
          <w:szCs w:val="22"/>
        </w:rPr>
      </w:pPr>
      <w:r w:rsidRPr="00CF664F">
        <w:rPr>
          <w:rFonts w:ascii="Arial" w:hAnsi="Arial" w:cs="Arial"/>
          <w:b/>
          <w:sz w:val="22"/>
          <w:szCs w:val="22"/>
        </w:rPr>
        <w:lastRenderedPageBreak/>
        <w:t>2. Statistična analiza</w:t>
      </w:r>
      <w:bookmarkEnd w:id="6"/>
    </w:p>
    <w:p w14:paraId="2B1708F2" w14:textId="5F0F6EA5" w:rsidR="00854405" w:rsidRPr="00CF664F" w:rsidRDefault="00854405" w:rsidP="00854405">
      <w:pPr>
        <w:pStyle w:val="ZADEVA"/>
        <w:jc w:val="both"/>
        <w:rPr>
          <w:rFonts w:cs="Arial"/>
          <w:b w:val="0"/>
          <w:szCs w:val="20"/>
          <w:lang w:val="sl-SI"/>
        </w:rPr>
      </w:pPr>
    </w:p>
    <w:p w14:paraId="2DBEFDAA" w14:textId="7C4A3FCB" w:rsidR="00854405" w:rsidRPr="00CF664F" w:rsidRDefault="00854405" w:rsidP="00854405">
      <w:pPr>
        <w:pStyle w:val="Naslov2"/>
        <w:rPr>
          <w:rFonts w:ascii="Arial" w:hAnsi="Arial" w:cs="Arial"/>
          <w:sz w:val="22"/>
          <w:szCs w:val="22"/>
        </w:rPr>
      </w:pPr>
      <w:bookmarkStart w:id="7" w:name="_Toc141864046"/>
      <w:r w:rsidRPr="00CF664F">
        <w:rPr>
          <w:rFonts w:ascii="Arial" w:hAnsi="Arial" w:cs="Arial"/>
          <w:sz w:val="22"/>
          <w:szCs w:val="22"/>
        </w:rPr>
        <w:t>2.1 Obseg javnega naročanja</w:t>
      </w:r>
      <w:bookmarkEnd w:id="7"/>
    </w:p>
    <w:p w14:paraId="13161CC1" w14:textId="77777777" w:rsidR="00854405" w:rsidRPr="00CF664F" w:rsidRDefault="00854405" w:rsidP="00854405">
      <w:pPr>
        <w:pStyle w:val="ZADEVA"/>
        <w:jc w:val="both"/>
        <w:rPr>
          <w:rFonts w:cs="Arial"/>
          <w:b w:val="0"/>
          <w:szCs w:val="20"/>
          <w:lang w:val="sl-SI"/>
        </w:rPr>
      </w:pPr>
    </w:p>
    <w:p w14:paraId="0833F688" w14:textId="0947B2C7" w:rsidR="007F1388" w:rsidRPr="005A61D3" w:rsidRDefault="00AB452E" w:rsidP="005A61D3">
      <w:pPr>
        <w:tabs>
          <w:tab w:val="left" w:pos="567"/>
          <w:tab w:val="left" w:pos="993"/>
        </w:tabs>
        <w:spacing w:line="360" w:lineRule="auto"/>
        <w:jc w:val="both"/>
        <w:rPr>
          <w:rFonts w:ascii="Arial" w:hAnsi="Arial" w:cs="Arial"/>
          <w:sz w:val="20"/>
          <w:szCs w:val="20"/>
        </w:rPr>
      </w:pPr>
      <w:r w:rsidRPr="00CF664F">
        <w:rPr>
          <w:rFonts w:ascii="Arial" w:hAnsi="Arial" w:cs="Arial"/>
          <w:sz w:val="20"/>
          <w:szCs w:val="20"/>
        </w:rPr>
        <w:t>Leta</w:t>
      </w:r>
      <w:r w:rsidR="00E02A9E" w:rsidRPr="00CF664F">
        <w:rPr>
          <w:rFonts w:ascii="Arial" w:hAnsi="Arial" w:cs="Arial"/>
          <w:sz w:val="20"/>
          <w:szCs w:val="20"/>
        </w:rPr>
        <w:t xml:space="preserve"> 20</w:t>
      </w:r>
      <w:r w:rsidR="00222934" w:rsidRPr="00CF664F">
        <w:rPr>
          <w:rFonts w:ascii="Arial" w:hAnsi="Arial" w:cs="Arial"/>
          <w:sz w:val="20"/>
          <w:szCs w:val="20"/>
        </w:rPr>
        <w:t>2</w:t>
      </w:r>
      <w:r w:rsidR="00CF664F" w:rsidRPr="00CF664F">
        <w:rPr>
          <w:rFonts w:ascii="Arial" w:hAnsi="Arial" w:cs="Arial"/>
          <w:sz w:val="20"/>
          <w:szCs w:val="20"/>
        </w:rPr>
        <w:t>2</w:t>
      </w:r>
      <w:r w:rsidR="00E97630" w:rsidRPr="00CF664F">
        <w:rPr>
          <w:rFonts w:ascii="Arial" w:hAnsi="Arial" w:cs="Arial"/>
          <w:sz w:val="20"/>
          <w:szCs w:val="20"/>
        </w:rPr>
        <w:t xml:space="preserve"> so se postopki javnega naročanja izvajali na podlagi </w:t>
      </w:r>
      <w:r w:rsidR="001A1391" w:rsidRPr="00CF664F">
        <w:rPr>
          <w:rFonts w:ascii="Arial" w:hAnsi="Arial" w:cs="Arial"/>
          <w:sz w:val="20"/>
          <w:szCs w:val="20"/>
        </w:rPr>
        <w:t>Zakona o javnem naročanju (Uradni list RS, št. 91/15 s spremembami; v nadaljevanju: ZJN-3)</w:t>
      </w:r>
      <w:r w:rsidR="001A1391">
        <w:rPr>
          <w:rFonts w:ascii="Arial" w:hAnsi="Arial" w:cs="Arial"/>
          <w:sz w:val="20"/>
          <w:szCs w:val="20"/>
        </w:rPr>
        <w:t xml:space="preserve"> in </w:t>
      </w:r>
      <w:r w:rsidR="00E97630" w:rsidRPr="00CF664F">
        <w:rPr>
          <w:rFonts w:ascii="Arial" w:hAnsi="Arial" w:cs="Arial"/>
          <w:sz w:val="20"/>
          <w:szCs w:val="20"/>
        </w:rPr>
        <w:t>Zakona o javnem naročanju na področju obrambe in varnosti (</w:t>
      </w:r>
      <w:r w:rsidR="003D19B9" w:rsidRPr="00CF664F">
        <w:rPr>
          <w:rFonts w:ascii="Arial" w:hAnsi="Arial" w:cs="Arial"/>
          <w:sz w:val="20"/>
          <w:szCs w:val="20"/>
        </w:rPr>
        <w:t xml:space="preserve">Uradni list RS, št. 90/12 in 90/14 – ZDU-1I in 52/16; </w:t>
      </w:r>
      <w:r w:rsidR="00751B0E" w:rsidRPr="00CF664F">
        <w:rPr>
          <w:rFonts w:ascii="Arial" w:hAnsi="Arial" w:cs="Arial"/>
          <w:sz w:val="20"/>
          <w:szCs w:val="20"/>
        </w:rPr>
        <w:t xml:space="preserve">v nadaljnjem besedilu: </w:t>
      </w:r>
      <w:r w:rsidR="00E97630" w:rsidRPr="00CF664F">
        <w:rPr>
          <w:rFonts w:ascii="Arial" w:hAnsi="Arial" w:cs="Arial"/>
          <w:sz w:val="20"/>
          <w:szCs w:val="20"/>
        </w:rPr>
        <w:t>ZJNPOV)</w:t>
      </w:r>
      <w:r w:rsidR="00CF664F" w:rsidRPr="00CF664F">
        <w:rPr>
          <w:rFonts w:ascii="Arial" w:hAnsi="Arial" w:cs="Arial"/>
          <w:sz w:val="20"/>
          <w:szCs w:val="20"/>
        </w:rPr>
        <w:t>.</w:t>
      </w:r>
    </w:p>
    <w:p w14:paraId="5259E237" w14:textId="213EFB1B" w:rsidR="00854405" w:rsidRPr="00946D5D" w:rsidRDefault="00854405" w:rsidP="00121807">
      <w:pPr>
        <w:pStyle w:val="Naslov2"/>
        <w:rPr>
          <w:rFonts w:ascii="Arial" w:hAnsi="Arial" w:cs="Arial"/>
          <w:sz w:val="22"/>
          <w:szCs w:val="22"/>
        </w:rPr>
      </w:pPr>
      <w:bookmarkStart w:id="8" w:name="_Toc141864047"/>
      <w:r w:rsidRPr="00946D5D">
        <w:rPr>
          <w:rFonts w:ascii="Arial" w:hAnsi="Arial" w:cs="Arial"/>
          <w:sz w:val="22"/>
          <w:szCs w:val="22"/>
        </w:rPr>
        <w:t>2.1.1 Delež javnega naročanja v BDP</w:t>
      </w:r>
      <w:bookmarkEnd w:id="8"/>
    </w:p>
    <w:p w14:paraId="6214A8A6" w14:textId="107DB046" w:rsidR="00783B03" w:rsidRPr="00946D5D" w:rsidRDefault="00783B03" w:rsidP="00854405">
      <w:pPr>
        <w:pStyle w:val="Navadensplet"/>
        <w:spacing w:before="0" w:beforeAutospacing="0" w:after="0" w:afterAutospacing="0" w:line="276" w:lineRule="auto"/>
        <w:jc w:val="both"/>
        <w:rPr>
          <w:rFonts w:ascii="Arial" w:hAnsi="Arial" w:cs="Arial"/>
          <w:sz w:val="20"/>
          <w:szCs w:val="20"/>
        </w:rPr>
      </w:pPr>
    </w:p>
    <w:p w14:paraId="70B3C243" w14:textId="62E73B43" w:rsidR="00775DED" w:rsidRPr="00384AA3" w:rsidRDefault="00AB452E" w:rsidP="004073D3">
      <w:pPr>
        <w:tabs>
          <w:tab w:val="left" w:pos="567"/>
          <w:tab w:val="left" w:pos="993"/>
        </w:tabs>
        <w:spacing w:line="360" w:lineRule="auto"/>
        <w:jc w:val="both"/>
        <w:rPr>
          <w:rFonts w:ascii="Arial" w:hAnsi="Arial" w:cs="Arial"/>
          <w:sz w:val="20"/>
          <w:szCs w:val="20"/>
        </w:rPr>
      </w:pPr>
      <w:r w:rsidRPr="00946D5D">
        <w:rPr>
          <w:rFonts w:ascii="Arial" w:hAnsi="Arial" w:cs="Arial"/>
          <w:sz w:val="20"/>
          <w:szCs w:val="20"/>
        </w:rPr>
        <w:t>Leta</w:t>
      </w:r>
      <w:r w:rsidR="00F00294" w:rsidRPr="00946D5D">
        <w:rPr>
          <w:rFonts w:ascii="Arial" w:hAnsi="Arial" w:cs="Arial"/>
          <w:sz w:val="20"/>
          <w:szCs w:val="20"/>
        </w:rPr>
        <w:t xml:space="preserve"> 20</w:t>
      </w:r>
      <w:r w:rsidR="00742D18" w:rsidRPr="00946D5D">
        <w:rPr>
          <w:rFonts w:ascii="Arial" w:hAnsi="Arial" w:cs="Arial"/>
          <w:sz w:val="20"/>
          <w:szCs w:val="20"/>
        </w:rPr>
        <w:t>2</w:t>
      </w:r>
      <w:r w:rsidR="00946D5D" w:rsidRPr="00946D5D">
        <w:rPr>
          <w:rFonts w:ascii="Arial" w:hAnsi="Arial" w:cs="Arial"/>
          <w:sz w:val="20"/>
          <w:szCs w:val="20"/>
        </w:rPr>
        <w:t>2</w:t>
      </w:r>
      <w:r w:rsidR="004073D3" w:rsidRPr="00946D5D">
        <w:rPr>
          <w:rFonts w:ascii="Arial" w:hAnsi="Arial" w:cs="Arial"/>
          <w:sz w:val="20"/>
          <w:szCs w:val="20"/>
        </w:rPr>
        <w:t xml:space="preserve"> je </w:t>
      </w:r>
      <w:r w:rsidR="002B2EF1" w:rsidRPr="00946D5D">
        <w:rPr>
          <w:rFonts w:ascii="Arial" w:hAnsi="Arial" w:cs="Arial"/>
          <w:sz w:val="20"/>
          <w:szCs w:val="20"/>
        </w:rPr>
        <w:t>znašal</w:t>
      </w:r>
      <w:r w:rsidR="004073D3" w:rsidRPr="00946D5D">
        <w:rPr>
          <w:rFonts w:ascii="Arial" w:hAnsi="Arial" w:cs="Arial"/>
          <w:sz w:val="20"/>
          <w:szCs w:val="20"/>
        </w:rPr>
        <w:t xml:space="preserve"> delež javnih naročil v bruto d</w:t>
      </w:r>
      <w:r w:rsidR="002B2EF1" w:rsidRPr="00946D5D">
        <w:rPr>
          <w:rFonts w:ascii="Arial" w:hAnsi="Arial" w:cs="Arial"/>
          <w:sz w:val="20"/>
          <w:szCs w:val="20"/>
        </w:rPr>
        <w:t>omačem</w:t>
      </w:r>
      <w:r w:rsidR="004073D3" w:rsidRPr="00946D5D">
        <w:rPr>
          <w:rFonts w:ascii="Arial" w:hAnsi="Arial" w:cs="Arial"/>
          <w:sz w:val="20"/>
          <w:szCs w:val="20"/>
        </w:rPr>
        <w:t xml:space="preserve"> proizvodu (BDP) </w:t>
      </w:r>
      <w:r w:rsidR="000E0ABF">
        <w:rPr>
          <w:rFonts w:ascii="Arial" w:hAnsi="Arial" w:cs="Arial"/>
          <w:sz w:val="20"/>
          <w:szCs w:val="20"/>
        </w:rPr>
        <w:t>14,11</w:t>
      </w:r>
      <w:r w:rsidR="006D6370" w:rsidRPr="00384AA3">
        <w:rPr>
          <w:rFonts w:ascii="Arial" w:hAnsi="Arial" w:cs="Arial"/>
          <w:sz w:val="20"/>
          <w:szCs w:val="20"/>
        </w:rPr>
        <w:t> </w:t>
      </w:r>
      <w:r w:rsidR="00AC0027">
        <w:rPr>
          <w:rFonts w:ascii="Arial" w:hAnsi="Arial" w:cs="Arial"/>
          <w:sz w:val="20"/>
          <w:szCs w:val="20"/>
        </w:rPr>
        <w:t>odstotka</w:t>
      </w:r>
      <w:r w:rsidR="004073D3" w:rsidRPr="00384AA3">
        <w:rPr>
          <w:rFonts w:ascii="Arial" w:hAnsi="Arial" w:cs="Arial"/>
          <w:sz w:val="20"/>
          <w:szCs w:val="20"/>
        </w:rPr>
        <w:t xml:space="preserve">, kar </w:t>
      </w:r>
      <w:r w:rsidR="00B24A26" w:rsidRPr="00384AA3">
        <w:rPr>
          <w:rFonts w:ascii="Arial" w:hAnsi="Arial" w:cs="Arial"/>
          <w:sz w:val="20"/>
          <w:szCs w:val="20"/>
        </w:rPr>
        <w:t>v primerjavi z letom 20</w:t>
      </w:r>
      <w:r w:rsidR="007E09A9" w:rsidRPr="00384AA3">
        <w:rPr>
          <w:rFonts w:ascii="Arial" w:hAnsi="Arial" w:cs="Arial"/>
          <w:sz w:val="20"/>
          <w:szCs w:val="20"/>
        </w:rPr>
        <w:t>2</w:t>
      </w:r>
      <w:r w:rsidR="00946D5D" w:rsidRPr="00384AA3">
        <w:rPr>
          <w:rFonts w:ascii="Arial" w:hAnsi="Arial" w:cs="Arial"/>
          <w:sz w:val="20"/>
          <w:szCs w:val="20"/>
        </w:rPr>
        <w:t>1</w:t>
      </w:r>
      <w:r w:rsidR="00566029" w:rsidRPr="00384AA3">
        <w:rPr>
          <w:rFonts w:ascii="Arial" w:hAnsi="Arial" w:cs="Arial"/>
          <w:sz w:val="20"/>
          <w:szCs w:val="20"/>
        </w:rPr>
        <w:t xml:space="preserve"> </w:t>
      </w:r>
      <w:r w:rsidR="00113889" w:rsidRPr="00384AA3">
        <w:rPr>
          <w:rFonts w:ascii="Arial" w:hAnsi="Arial" w:cs="Arial"/>
          <w:sz w:val="20"/>
          <w:szCs w:val="20"/>
        </w:rPr>
        <w:t xml:space="preserve">pomeni </w:t>
      </w:r>
      <w:r w:rsidR="0003446F">
        <w:rPr>
          <w:rFonts w:ascii="Arial" w:hAnsi="Arial" w:cs="Arial"/>
          <w:sz w:val="20"/>
          <w:szCs w:val="20"/>
        </w:rPr>
        <w:t>zmanjšanje</w:t>
      </w:r>
      <w:r w:rsidR="004073D3" w:rsidRPr="00384AA3">
        <w:rPr>
          <w:rFonts w:ascii="Arial" w:hAnsi="Arial" w:cs="Arial"/>
          <w:sz w:val="20"/>
          <w:szCs w:val="20"/>
        </w:rPr>
        <w:t xml:space="preserve">. </w:t>
      </w:r>
    </w:p>
    <w:p w14:paraId="395DCC6A" w14:textId="1D9023FC" w:rsidR="004073D3" w:rsidRPr="00384AA3" w:rsidRDefault="00AB452E" w:rsidP="004073D3">
      <w:pPr>
        <w:tabs>
          <w:tab w:val="left" w:pos="567"/>
          <w:tab w:val="left" w:pos="993"/>
        </w:tabs>
        <w:spacing w:line="360" w:lineRule="auto"/>
        <w:jc w:val="both"/>
        <w:rPr>
          <w:rFonts w:ascii="Arial" w:hAnsi="Arial" w:cs="Arial"/>
          <w:sz w:val="20"/>
          <w:szCs w:val="20"/>
        </w:rPr>
      </w:pPr>
      <w:r w:rsidRPr="00384AA3">
        <w:rPr>
          <w:rFonts w:ascii="Arial" w:hAnsi="Arial" w:cs="Arial"/>
          <w:sz w:val="20"/>
          <w:szCs w:val="20"/>
        </w:rPr>
        <w:t>Leta</w:t>
      </w:r>
      <w:r w:rsidR="009867C3" w:rsidRPr="00384AA3">
        <w:rPr>
          <w:rFonts w:ascii="Arial" w:hAnsi="Arial" w:cs="Arial"/>
          <w:sz w:val="20"/>
          <w:szCs w:val="20"/>
        </w:rPr>
        <w:t xml:space="preserve"> 20</w:t>
      </w:r>
      <w:r w:rsidR="00742D18" w:rsidRPr="00384AA3">
        <w:rPr>
          <w:rFonts w:ascii="Arial" w:hAnsi="Arial" w:cs="Arial"/>
          <w:sz w:val="20"/>
          <w:szCs w:val="20"/>
        </w:rPr>
        <w:t>2</w:t>
      </w:r>
      <w:r w:rsidR="00946D5D" w:rsidRPr="00384AA3">
        <w:rPr>
          <w:rFonts w:ascii="Arial" w:hAnsi="Arial" w:cs="Arial"/>
          <w:sz w:val="20"/>
          <w:szCs w:val="20"/>
        </w:rPr>
        <w:t>2</w:t>
      </w:r>
      <w:r w:rsidR="009867C3" w:rsidRPr="00384AA3">
        <w:rPr>
          <w:rFonts w:ascii="Arial" w:hAnsi="Arial" w:cs="Arial"/>
          <w:sz w:val="20"/>
          <w:szCs w:val="20"/>
        </w:rPr>
        <w:t xml:space="preserve"> je BDP po tekočih cenah</w:t>
      </w:r>
      <w:r w:rsidR="002F7146" w:rsidRPr="00384AA3">
        <w:rPr>
          <w:rFonts w:ascii="Arial" w:hAnsi="Arial" w:cs="Arial"/>
          <w:sz w:val="20"/>
          <w:szCs w:val="20"/>
        </w:rPr>
        <w:t xml:space="preserve"> (v </w:t>
      </w:r>
      <w:r w:rsidR="009F7B6D">
        <w:rPr>
          <w:rFonts w:ascii="Arial" w:hAnsi="Arial" w:cs="Arial"/>
          <w:sz w:val="20"/>
          <w:szCs w:val="20"/>
        </w:rPr>
        <w:t>milijonih</w:t>
      </w:r>
      <w:r w:rsidR="002F7146" w:rsidRPr="00384AA3">
        <w:rPr>
          <w:rFonts w:ascii="Arial" w:hAnsi="Arial" w:cs="Arial"/>
          <w:sz w:val="20"/>
          <w:szCs w:val="20"/>
        </w:rPr>
        <w:t xml:space="preserve"> evr</w:t>
      </w:r>
      <w:r w:rsidR="009F7B6D">
        <w:rPr>
          <w:rFonts w:ascii="Arial" w:hAnsi="Arial" w:cs="Arial"/>
          <w:sz w:val="20"/>
          <w:szCs w:val="20"/>
        </w:rPr>
        <w:t>ov</w:t>
      </w:r>
      <w:r w:rsidR="002F7146" w:rsidRPr="00384AA3">
        <w:rPr>
          <w:rFonts w:ascii="Arial" w:hAnsi="Arial" w:cs="Arial"/>
          <w:sz w:val="20"/>
          <w:szCs w:val="20"/>
        </w:rPr>
        <w:t>)</w:t>
      </w:r>
      <w:r w:rsidR="009867C3" w:rsidRPr="00384AA3">
        <w:rPr>
          <w:rFonts w:ascii="Arial" w:hAnsi="Arial" w:cs="Arial"/>
          <w:sz w:val="20"/>
          <w:szCs w:val="20"/>
        </w:rPr>
        <w:t xml:space="preserve"> </w:t>
      </w:r>
      <w:r w:rsidR="00775DED" w:rsidRPr="00384AA3">
        <w:rPr>
          <w:rFonts w:ascii="Arial" w:hAnsi="Arial" w:cs="Arial"/>
          <w:sz w:val="20"/>
          <w:szCs w:val="20"/>
        </w:rPr>
        <w:t>v R</w:t>
      </w:r>
      <w:r w:rsidR="009867C3" w:rsidRPr="00384AA3">
        <w:rPr>
          <w:rFonts w:ascii="Arial" w:hAnsi="Arial" w:cs="Arial"/>
          <w:sz w:val="20"/>
          <w:szCs w:val="20"/>
        </w:rPr>
        <w:t>epub</w:t>
      </w:r>
      <w:r w:rsidR="002F7146" w:rsidRPr="00384AA3">
        <w:rPr>
          <w:rFonts w:ascii="Arial" w:hAnsi="Arial" w:cs="Arial"/>
          <w:sz w:val="20"/>
          <w:szCs w:val="20"/>
        </w:rPr>
        <w:t xml:space="preserve">liki Sloveniji znašal </w:t>
      </w:r>
      <w:r w:rsidR="000E0ABF">
        <w:rPr>
          <w:rFonts w:ascii="Arial" w:hAnsi="Arial" w:cs="Arial"/>
          <w:sz w:val="20"/>
          <w:szCs w:val="20"/>
        </w:rPr>
        <w:t>57.038</w:t>
      </w:r>
      <w:r w:rsidR="006D6370" w:rsidRPr="00384AA3">
        <w:rPr>
          <w:rFonts w:ascii="Arial" w:hAnsi="Arial" w:cs="Arial"/>
          <w:sz w:val="20"/>
          <w:szCs w:val="20"/>
        </w:rPr>
        <w:t> </w:t>
      </w:r>
      <w:r w:rsidR="002F7146" w:rsidRPr="00384AA3">
        <w:rPr>
          <w:rFonts w:ascii="Arial" w:hAnsi="Arial" w:cs="Arial"/>
          <w:sz w:val="20"/>
          <w:szCs w:val="20"/>
        </w:rPr>
        <w:t>mi</w:t>
      </w:r>
      <w:r w:rsidR="009F7B6D">
        <w:rPr>
          <w:rFonts w:ascii="Arial" w:hAnsi="Arial" w:cs="Arial"/>
          <w:sz w:val="20"/>
          <w:szCs w:val="20"/>
        </w:rPr>
        <w:t>lijon</w:t>
      </w:r>
      <w:r w:rsidR="00D93DA7">
        <w:rPr>
          <w:rFonts w:ascii="Arial" w:hAnsi="Arial" w:cs="Arial"/>
          <w:sz w:val="20"/>
          <w:szCs w:val="20"/>
        </w:rPr>
        <w:t>ov</w:t>
      </w:r>
      <w:r w:rsidR="006D6370" w:rsidRPr="00384AA3">
        <w:rPr>
          <w:rFonts w:ascii="Arial" w:hAnsi="Arial" w:cs="Arial"/>
          <w:sz w:val="20"/>
          <w:szCs w:val="20"/>
        </w:rPr>
        <w:t> </w:t>
      </w:r>
      <w:r w:rsidR="00775DED" w:rsidRPr="00384AA3">
        <w:rPr>
          <w:rFonts w:ascii="Arial" w:hAnsi="Arial" w:cs="Arial"/>
          <w:sz w:val="20"/>
          <w:szCs w:val="20"/>
        </w:rPr>
        <w:t>evrov</w:t>
      </w:r>
      <w:r w:rsidR="00391021" w:rsidRPr="00384AA3">
        <w:rPr>
          <w:rFonts w:ascii="Arial" w:hAnsi="Arial" w:cs="Arial"/>
          <w:sz w:val="20"/>
          <w:szCs w:val="20"/>
        </w:rPr>
        <w:t>.</w:t>
      </w:r>
      <w:r w:rsidR="00775DED" w:rsidRPr="00384AA3">
        <w:rPr>
          <w:rStyle w:val="Sprotnaopomba-sklic"/>
          <w:rFonts w:ascii="Arial" w:hAnsi="Arial" w:cs="Arial"/>
          <w:sz w:val="20"/>
          <w:szCs w:val="20"/>
        </w:rPr>
        <w:footnoteReference w:id="1"/>
      </w:r>
      <w:r w:rsidR="00775DED" w:rsidRPr="00384AA3">
        <w:rPr>
          <w:rFonts w:ascii="Arial" w:hAnsi="Arial" w:cs="Arial"/>
          <w:sz w:val="20"/>
          <w:szCs w:val="20"/>
        </w:rPr>
        <w:t xml:space="preserve"> Glede na višino BDP v pre</w:t>
      </w:r>
      <w:r w:rsidR="009F7B6D">
        <w:rPr>
          <w:rFonts w:ascii="Arial" w:hAnsi="Arial" w:cs="Arial"/>
          <w:sz w:val="20"/>
          <w:szCs w:val="20"/>
        </w:rPr>
        <w:t>jšnjih</w:t>
      </w:r>
      <w:r w:rsidR="00775DED" w:rsidRPr="00384AA3">
        <w:rPr>
          <w:rFonts w:ascii="Arial" w:hAnsi="Arial" w:cs="Arial"/>
          <w:sz w:val="20"/>
          <w:szCs w:val="20"/>
        </w:rPr>
        <w:t xml:space="preserve"> letih </w:t>
      </w:r>
      <w:r w:rsidR="00F13464" w:rsidRPr="00384AA3">
        <w:rPr>
          <w:rFonts w:ascii="Arial" w:hAnsi="Arial" w:cs="Arial"/>
          <w:sz w:val="20"/>
          <w:szCs w:val="20"/>
        </w:rPr>
        <w:t xml:space="preserve">in </w:t>
      </w:r>
      <w:r w:rsidR="00775DED" w:rsidRPr="00384AA3">
        <w:rPr>
          <w:rFonts w:ascii="Arial" w:hAnsi="Arial" w:cs="Arial"/>
          <w:sz w:val="20"/>
          <w:szCs w:val="20"/>
        </w:rPr>
        <w:t>vrednost oddanih javnih naročil v istem obdobju je v let</w:t>
      </w:r>
      <w:r w:rsidR="00216983" w:rsidRPr="00384AA3">
        <w:rPr>
          <w:rFonts w:ascii="Arial" w:hAnsi="Arial" w:cs="Arial"/>
          <w:sz w:val="20"/>
          <w:szCs w:val="20"/>
        </w:rPr>
        <w:t>u</w:t>
      </w:r>
      <w:r w:rsidR="00775DED" w:rsidRPr="00384AA3">
        <w:rPr>
          <w:rFonts w:ascii="Arial" w:hAnsi="Arial" w:cs="Arial"/>
          <w:sz w:val="20"/>
          <w:szCs w:val="20"/>
        </w:rPr>
        <w:t xml:space="preserve"> 20</w:t>
      </w:r>
      <w:r w:rsidR="00DA410C" w:rsidRPr="00384AA3">
        <w:rPr>
          <w:rFonts w:ascii="Arial" w:hAnsi="Arial" w:cs="Arial"/>
          <w:sz w:val="20"/>
          <w:szCs w:val="20"/>
        </w:rPr>
        <w:t>2</w:t>
      </w:r>
      <w:r w:rsidR="00946D5D" w:rsidRPr="00384AA3">
        <w:rPr>
          <w:rFonts w:ascii="Arial" w:hAnsi="Arial" w:cs="Arial"/>
          <w:sz w:val="20"/>
          <w:szCs w:val="20"/>
        </w:rPr>
        <w:t>2</w:t>
      </w:r>
      <w:r w:rsidR="00216983" w:rsidRPr="00384AA3">
        <w:rPr>
          <w:rFonts w:ascii="Arial" w:hAnsi="Arial" w:cs="Arial"/>
          <w:sz w:val="20"/>
          <w:szCs w:val="20"/>
        </w:rPr>
        <w:t xml:space="preserve"> </w:t>
      </w:r>
      <w:r w:rsidR="0003446F">
        <w:rPr>
          <w:rFonts w:ascii="Arial" w:hAnsi="Arial" w:cs="Arial"/>
          <w:sz w:val="20"/>
          <w:szCs w:val="20"/>
        </w:rPr>
        <w:t>zmanjšanje</w:t>
      </w:r>
      <w:r w:rsidR="0003446F" w:rsidRPr="00384AA3">
        <w:rPr>
          <w:rFonts w:ascii="Arial" w:hAnsi="Arial" w:cs="Arial"/>
          <w:sz w:val="20"/>
          <w:szCs w:val="20"/>
        </w:rPr>
        <w:t xml:space="preserve"> </w:t>
      </w:r>
      <w:r w:rsidR="00775DED" w:rsidRPr="00384AA3">
        <w:rPr>
          <w:rFonts w:ascii="Arial" w:hAnsi="Arial" w:cs="Arial"/>
          <w:sz w:val="20"/>
          <w:szCs w:val="20"/>
        </w:rPr>
        <w:t>deleža oddanih javnih naročil v BDP</w:t>
      </w:r>
      <w:r w:rsidR="00216983" w:rsidRPr="00384AA3">
        <w:rPr>
          <w:rFonts w:ascii="Arial" w:hAnsi="Arial" w:cs="Arial"/>
          <w:sz w:val="20"/>
          <w:szCs w:val="20"/>
        </w:rPr>
        <w:t xml:space="preserve"> v primerjavi z letom 20</w:t>
      </w:r>
      <w:r w:rsidR="00DF6A07" w:rsidRPr="00384AA3">
        <w:rPr>
          <w:rFonts w:ascii="Arial" w:hAnsi="Arial" w:cs="Arial"/>
          <w:sz w:val="20"/>
          <w:szCs w:val="20"/>
        </w:rPr>
        <w:t>2</w:t>
      </w:r>
      <w:r w:rsidR="00946D5D" w:rsidRPr="00384AA3">
        <w:rPr>
          <w:rFonts w:ascii="Arial" w:hAnsi="Arial" w:cs="Arial"/>
          <w:sz w:val="20"/>
          <w:szCs w:val="20"/>
        </w:rPr>
        <w:t>1</w:t>
      </w:r>
      <w:r w:rsidR="00541D31" w:rsidRPr="00384AA3">
        <w:rPr>
          <w:rFonts w:ascii="Arial" w:hAnsi="Arial" w:cs="Arial"/>
          <w:sz w:val="20"/>
          <w:szCs w:val="20"/>
        </w:rPr>
        <w:t xml:space="preserve"> za </w:t>
      </w:r>
      <w:r w:rsidR="000E0ABF">
        <w:rPr>
          <w:rFonts w:ascii="Arial" w:hAnsi="Arial" w:cs="Arial"/>
          <w:sz w:val="20"/>
          <w:szCs w:val="20"/>
        </w:rPr>
        <w:t>0,65</w:t>
      </w:r>
      <w:r w:rsidR="0003446F">
        <w:rPr>
          <w:rFonts w:ascii="Arial" w:hAnsi="Arial" w:cs="Arial"/>
          <w:sz w:val="20"/>
          <w:szCs w:val="20"/>
        </w:rPr>
        <w:t xml:space="preserve"> </w:t>
      </w:r>
      <w:r w:rsidR="00541D31" w:rsidRPr="00384AA3">
        <w:rPr>
          <w:rFonts w:ascii="Arial" w:hAnsi="Arial" w:cs="Arial"/>
          <w:sz w:val="20"/>
          <w:szCs w:val="20"/>
        </w:rPr>
        <w:t xml:space="preserve">odstotne točke. </w:t>
      </w:r>
    </w:p>
    <w:p w14:paraId="20D47F57" w14:textId="48BA2FD6" w:rsidR="00840598" w:rsidRPr="00384AA3" w:rsidRDefault="00840598" w:rsidP="00840598">
      <w:pPr>
        <w:spacing w:before="120" w:after="120" w:line="240" w:lineRule="auto"/>
        <w:rPr>
          <w:rFonts w:ascii="Arial" w:hAnsi="Arial" w:cs="Arial"/>
          <w:sz w:val="20"/>
        </w:rPr>
      </w:pPr>
      <w:r w:rsidRPr="00384AA3">
        <w:rPr>
          <w:rFonts w:ascii="Arial" w:hAnsi="Arial" w:cs="Arial"/>
          <w:sz w:val="20"/>
        </w:rPr>
        <w:t>Graf </w:t>
      </w:r>
      <w:r w:rsidR="00ED4617" w:rsidRPr="00384AA3">
        <w:rPr>
          <w:rFonts w:ascii="Arial" w:hAnsi="Arial" w:cs="Arial"/>
          <w:sz w:val="20"/>
        </w:rPr>
        <w:t>1</w:t>
      </w:r>
      <w:r w:rsidRPr="00384AA3">
        <w:rPr>
          <w:rFonts w:ascii="Arial" w:hAnsi="Arial" w:cs="Arial"/>
          <w:sz w:val="20"/>
        </w:rPr>
        <w:t>: Delež javnih na</w:t>
      </w:r>
      <w:r w:rsidR="005B41F0" w:rsidRPr="00384AA3">
        <w:rPr>
          <w:rFonts w:ascii="Arial" w:hAnsi="Arial" w:cs="Arial"/>
          <w:sz w:val="20"/>
        </w:rPr>
        <w:t>ročil, oddanih v letih 2011–20</w:t>
      </w:r>
      <w:r w:rsidR="00C72952" w:rsidRPr="00384AA3">
        <w:rPr>
          <w:rFonts w:ascii="Arial" w:hAnsi="Arial" w:cs="Arial"/>
          <w:sz w:val="20"/>
        </w:rPr>
        <w:t>2</w:t>
      </w:r>
      <w:r w:rsidR="00946D5D" w:rsidRPr="00384AA3">
        <w:rPr>
          <w:rFonts w:ascii="Arial" w:hAnsi="Arial" w:cs="Arial"/>
          <w:sz w:val="20"/>
        </w:rPr>
        <w:t>2</w:t>
      </w:r>
      <w:r w:rsidRPr="00384AA3">
        <w:rPr>
          <w:rFonts w:ascii="Arial" w:hAnsi="Arial" w:cs="Arial"/>
          <w:sz w:val="20"/>
        </w:rPr>
        <w:t>, v BDP</w:t>
      </w:r>
    </w:p>
    <w:p w14:paraId="44A178E2" w14:textId="3A1A121A" w:rsidR="00DA0ADA" w:rsidRPr="006B7D80" w:rsidRDefault="00766355" w:rsidP="00867FC0">
      <w:pPr>
        <w:spacing w:before="120" w:after="120" w:line="240" w:lineRule="auto"/>
        <w:jc w:val="center"/>
        <w:rPr>
          <w:rFonts w:ascii="Arial" w:hAnsi="Arial" w:cs="Arial"/>
          <w:sz w:val="18"/>
        </w:rPr>
      </w:pPr>
      <w:r w:rsidRPr="006B7D80">
        <w:rPr>
          <w:rFonts w:ascii="Arial" w:hAnsi="Arial" w:cs="Arial"/>
          <w:noProof/>
          <w:sz w:val="18"/>
          <w:szCs w:val="18"/>
          <w:lang w:eastAsia="sl-SI"/>
        </w:rPr>
        <w:drawing>
          <wp:inline distT="0" distB="0" distL="0" distR="0" wp14:anchorId="1535537A" wp14:editId="08B6D708">
            <wp:extent cx="5486400" cy="3200400"/>
            <wp:effectExtent l="0" t="0" r="0" b="0"/>
            <wp:docPr id="5" name="Grafikon 5" descr="Delež javnih naročil, oddanih v letih 2011–2021, v BDP."/>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8CBA719" w14:textId="44BFB13C" w:rsidR="00840598" w:rsidRPr="00384AA3" w:rsidRDefault="00840598" w:rsidP="005859AC">
      <w:pPr>
        <w:shd w:val="clear" w:color="auto" w:fill="FFFFFF"/>
        <w:spacing w:line="360" w:lineRule="auto"/>
        <w:ind w:left="181"/>
        <w:jc w:val="center"/>
        <w:rPr>
          <w:rFonts w:ascii="Arial" w:hAnsi="Arial" w:cs="Arial"/>
          <w:sz w:val="18"/>
        </w:rPr>
      </w:pPr>
      <w:r w:rsidRPr="00384AA3">
        <w:rPr>
          <w:rFonts w:ascii="Arial" w:hAnsi="Arial" w:cs="Arial"/>
          <w:sz w:val="18"/>
        </w:rPr>
        <w:t xml:space="preserve">Vir: </w:t>
      </w:r>
      <w:bookmarkStart w:id="9" w:name="_Hlk78271890"/>
      <w:r w:rsidRPr="00384AA3">
        <w:rPr>
          <w:rFonts w:ascii="Arial" w:hAnsi="Arial" w:cs="Arial"/>
          <w:sz w:val="18"/>
        </w:rPr>
        <w:t>Statistični podatki o javnih naro</w:t>
      </w:r>
      <w:r w:rsidR="005B41F0" w:rsidRPr="00384AA3">
        <w:rPr>
          <w:rFonts w:ascii="Arial" w:hAnsi="Arial" w:cs="Arial"/>
          <w:sz w:val="18"/>
        </w:rPr>
        <w:t>čilih, oddanih v letih 2011–20</w:t>
      </w:r>
      <w:r w:rsidR="008F7D09" w:rsidRPr="00384AA3">
        <w:rPr>
          <w:rFonts w:ascii="Arial" w:hAnsi="Arial" w:cs="Arial"/>
          <w:sz w:val="18"/>
        </w:rPr>
        <w:t>2</w:t>
      </w:r>
      <w:bookmarkEnd w:id="9"/>
      <w:r w:rsidR="00946D5D" w:rsidRPr="00384AA3">
        <w:rPr>
          <w:rFonts w:ascii="Arial" w:hAnsi="Arial" w:cs="Arial"/>
          <w:sz w:val="18"/>
        </w:rPr>
        <w:t>2</w:t>
      </w:r>
      <w:r w:rsidR="006B1B29" w:rsidRPr="00384AA3">
        <w:rPr>
          <w:rFonts w:ascii="Arial" w:hAnsi="Arial" w:cs="Arial"/>
          <w:sz w:val="18"/>
        </w:rPr>
        <w:t>.</w:t>
      </w:r>
    </w:p>
    <w:p w14:paraId="6D990F02" w14:textId="77777777" w:rsidR="00B43428" w:rsidRPr="00BF7302" w:rsidRDefault="00B43428" w:rsidP="00B43428">
      <w:pPr>
        <w:tabs>
          <w:tab w:val="left" w:pos="567"/>
          <w:tab w:val="left" w:pos="993"/>
        </w:tabs>
        <w:spacing w:after="0" w:line="240" w:lineRule="auto"/>
        <w:jc w:val="both"/>
        <w:rPr>
          <w:rFonts w:ascii="Arial" w:hAnsi="Arial" w:cs="Arial"/>
          <w:sz w:val="20"/>
          <w:szCs w:val="20"/>
          <w:highlight w:val="yellow"/>
        </w:rPr>
      </w:pPr>
    </w:p>
    <w:p w14:paraId="34AB576A" w14:textId="422A9967" w:rsidR="004073D3" w:rsidRPr="00384AA3" w:rsidRDefault="004073D3" w:rsidP="004073D3">
      <w:pPr>
        <w:tabs>
          <w:tab w:val="left" w:pos="567"/>
          <w:tab w:val="left" w:pos="993"/>
        </w:tabs>
        <w:spacing w:line="360" w:lineRule="auto"/>
        <w:jc w:val="both"/>
        <w:rPr>
          <w:rFonts w:ascii="Arial" w:hAnsi="Arial" w:cs="Arial"/>
          <w:sz w:val="20"/>
          <w:szCs w:val="20"/>
        </w:rPr>
      </w:pPr>
      <w:r w:rsidRPr="00946D5D">
        <w:rPr>
          <w:rFonts w:ascii="Arial" w:hAnsi="Arial" w:cs="Arial"/>
          <w:sz w:val="20"/>
          <w:szCs w:val="20"/>
        </w:rPr>
        <w:t>Ker statistični izračuni o oddanih javnih naročilih temeljijo na pogodbeni vrednosti brez DDV, je bila pri izračunu deleža j</w:t>
      </w:r>
      <w:r w:rsidR="0033089D" w:rsidRPr="00946D5D">
        <w:rPr>
          <w:rFonts w:ascii="Arial" w:hAnsi="Arial" w:cs="Arial"/>
          <w:sz w:val="20"/>
          <w:szCs w:val="20"/>
        </w:rPr>
        <w:t>avnih naročil v BDP za leto 20</w:t>
      </w:r>
      <w:r w:rsidR="009278E2" w:rsidRPr="00946D5D">
        <w:rPr>
          <w:rFonts w:ascii="Arial" w:hAnsi="Arial" w:cs="Arial"/>
          <w:sz w:val="20"/>
          <w:szCs w:val="20"/>
        </w:rPr>
        <w:t>2</w:t>
      </w:r>
      <w:r w:rsidR="00946D5D">
        <w:rPr>
          <w:rFonts w:ascii="Arial" w:hAnsi="Arial" w:cs="Arial"/>
          <w:sz w:val="20"/>
          <w:szCs w:val="20"/>
        </w:rPr>
        <w:t>2</w:t>
      </w:r>
      <w:r w:rsidRPr="00946D5D">
        <w:rPr>
          <w:rFonts w:ascii="Arial" w:hAnsi="Arial" w:cs="Arial"/>
          <w:sz w:val="20"/>
          <w:szCs w:val="20"/>
        </w:rPr>
        <w:t xml:space="preserve"> upoštevana tudi</w:t>
      </w:r>
      <w:r w:rsidR="006B7D80">
        <w:rPr>
          <w:rFonts w:ascii="Arial" w:hAnsi="Arial" w:cs="Arial"/>
          <w:sz w:val="20"/>
          <w:szCs w:val="20"/>
        </w:rPr>
        <w:t xml:space="preserve"> </w:t>
      </w:r>
      <w:r w:rsidR="0009064D">
        <w:rPr>
          <w:rFonts w:ascii="Arial" w:hAnsi="Arial" w:cs="Arial"/>
          <w:sz w:val="20"/>
          <w:szCs w:val="20"/>
        </w:rPr>
        <w:t>na</w:t>
      </w:r>
      <w:r w:rsidR="006B7D80">
        <w:rPr>
          <w:rFonts w:ascii="Arial" w:hAnsi="Arial" w:cs="Arial"/>
          <w:sz w:val="20"/>
          <w:szCs w:val="20"/>
        </w:rPr>
        <w:t xml:space="preserve">zadnje izračunana </w:t>
      </w:r>
      <w:r w:rsidRPr="00946D5D">
        <w:rPr>
          <w:rFonts w:ascii="Arial" w:hAnsi="Arial" w:cs="Arial"/>
          <w:sz w:val="20"/>
          <w:szCs w:val="20"/>
        </w:rPr>
        <w:t xml:space="preserve">tehtana </w:t>
      </w:r>
      <w:r w:rsidRPr="00946D5D">
        <w:rPr>
          <w:rFonts w:ascii="Arial" w:hAnsi="Arial" w:cs="Arial"/>
          <w:sz w:val="20"/>
          <w:szCs w:val="20"/>
        </w:rPr>
        <w:lastRenderedPageBreak/>
        <w:t xml:space="preserve">povprečna stopnja DDV, ki jo </w:t>
      </w:r>
      <w:r w:rsidR="006B7D80">
        <w:rPr>
          <w:rFonts w:ascii="Arial" w:hAnsi="Arial" w:cs="Arial"/>
          <w:sz w:val="20"/>
          <w:szCs w:val="20"/>
        </w:rPr>
        <w:t xml:space="preserve">je </w:t>
      </w:r>
      <w:r w:rsidRPr="00384AA3">
        <w:rPr>
          <w:rFonts w:ascii="Arial" w:hAnsi="Arial" w:cs="Arial"/>
          <w:sz w:val="20"/>
          <w:szCs w:val="20"/>
        </w:rPr>
        <w:t>izračuna</w:t>
      </w:r>
      <w:r w:rsidR="006B7D80">
        <w:rPr>
          <w:rFonts w:ascii="Arial" w:hAnsi="Arial" w:cs="Arial"/>
          <w:sz w:val="20"/>
          <w:szCs w:val="20"/>
        </w:rPr>
        <w:t>l</w:t>
      </w:r>
      <w:r w:rsidRPr="00384AA3">
        <w:rPr>
          <w:rFonts w:ascii="Arial" w:hAnsi="Arial" w:cs="Arial"/>
          <w:sz w:val="20"/>
          <w:szCs w:val="20"/>
        </w:rPr>
        <w:t xml:space="preserve"> Statistični </w:t>
      </w:r>
      <w:r w:rsidR="00B63B35" w:rsidRPr="00384AA3">
        <w:rPr>
          <w:rFonts w:ascii="Arial" w:hAnsi="Arial" w:cs="Arial"/>
          <w:sz w:val="20"/>
          <w:szCs w:val="20"/>
        </w:rPr>
        <w:t>u</w:t>
      </w:r>
      <w:r w:rsidRPr="00384AA3">
        <w:rPr>
          <w:rFonts w:ascii="Arial" w:hAnsi="Arial" w:cs="Arial"/>
          <w:sz w:val="20"/>
          <w:szCs w:val="20"/>
        </w:rPr>
        <w:t xml:space="preserve">rad Republike Slovenije ob pripravi </w:t>
      </w:r>
      <w:r w:rsidR="00113889" w:rsidRPr="00384AA3">
        <w:rPr>
          <w:rFonts w:ascii="Arial" w:hAnsi="Arial" w:cs="Arial"/>
          <w:sz w:val="20"/>
          <w:szCs w:val="20"/>
        </w:rPr>
        <w:t>p</w:t>
      </w:r>
      <w:r w:rsidRPr="00384AA3">
        <w:rPr>
          <w:rFonts w:ascii="Arial" w:hAnsi="Arial" w:cs="Arial"/>
          <w:sz w:val="20"/>
          <w:szCs w:val="20"/>
        </w:rPr>
        <w:t xml:space="preserve">oročila o DDV, in sicer </w:t>
      </w:r>
      <w:r w:rsidRPr="00384AA3">
        <w:rPr>
          <w:rFonts w:ascii="Arial" w:hAnsi="Arial" w:cs="Arial"/>
          <w:sz w:val="20"/>
          <w:szCs w:val="20"/>
          <w:shd w:val="clear" w:color="auto" w:fill="FFFFFF"/>
        </w:rPr>
        <w:t xml:space="preserve">v višini </w:t>
      </w:r>
      <w:r w:rsidR="0057404D" w:rsidRPr="00384AA3">
        <w:rPr>
          <w:rFonts w:ascii="Arial" w:hAnsi="Arial" w:cs="Arial"/>
          <w:sz w:val="20"/>
          <w:szCs w:val="20"/>
          <w:shd w:val="clear" w:color="auto" w:fill="FFFFFF"/>
        </w:rPr>
        <w:t>17,</w:t>
      </w:r>
      <w:r w:rsidR="000F2418" w:rsidRPr="00384AA3">
        <w:rPr>
          <w:rFonts w:ascii="Arial" w:hAnsi="Arial" w:cs="Arial"/>
          <w:sz w:val="20"/>
          <w:szCs w:val="20"/>
          <w:shd w:val="clear" w:color="auto" w:fill="FFFFFF"/>
        </w:rPr>
        <w:t>35</w:t>
      </w:r>
      <w:r w:rsidR="001537CE" w:rsidRPr="00384AA3">
        <w:rPr>
          <w:rFonts w:ascii="Arial" w:hAnsi="Arial" w:cs="Arial"/>
          <w:sz w:val="20"/>
          <w:szCs w:val="20"/>
          <w:shd w:val="clear" w:color="auto" w:fill="FFFFFF"/>
        </w:rPr>
        <w:t> </w:t>
      </w:r>
      <w:r w:rsidR="00AC0027">
        <w:rPr>
          <w:rFonts w:ascii="Arial" w:hAnsi="Arial" w:cs="Arial"/>
          <w:sz w:val="20"/>
          <w:szCs w:val="20"/>
          <w:shd w:val="clear" w:color="auto" w:fill="FFFFFF"/>
        </w:rPr>
        <w:t>odstotka</w:t>
      </w:r>
      <w:r w:rsidR="006B7D80">
        <w:rPr>
          <w:rFonts w:ascii="Arial" w:hAnsi="Arial" w:cs="Arial"/>
          <w:sz w:val="20"/>
          <w:szCs w:val="20"/>
          <w:shd w:val="clear" w:color="auto" w:fill="FFFFFF"/>
        </w:rPr>
        <w:t xml:space="preserve"> za leto 2021</w:t>
      </w:r>
      <w:r w:rsidR="0057404D" w:rsidRPr="00384AA3">
        <w:rPr>
          <w:rFonts w:ascii="Arial" w:hAnsi="Arial" w:cs="Arial"/>
          <w:sz w:val="20"/>
          <w:szCs w:val="20"/>
          <w:shd w:val="clear" w:color="auto" w:fill="FFFFFF"/>
        </w:rPr>
        <w:t>.</w:t>
      </w:r>
      <w:r w:rsidRPr="00384AA3">
        <w:rPr>
          <w:rFonts w:ascii="Arial" w:hAnsi="Arial" w:cs="Arial"/>
          <w:sz w:val="20"/>
          <w:szCs w:val="20"/>
        </w:rPr>
        <w:t xml:space="preserve"> </w:t>
      </w:r>
    </w:p>
    <w:p w14:paraId="35E8AE2B" w14:textId="4C8A2D40" w:rsidR="00775DED" w:rsidRPr="00C25B89" w:rsidRDefault="00775DED" w:rsidP="008A61FD">
      <w:pPr>
        <w:spacing w:before="120" w:after="120" w:line="240" w:lineRule="auto"/>
        <w:jc w:val="both"/>
        <w:rPr>
          <w:rFonts w:ascii="Arial" w:hAnsi="Arial" w:cs="Arial"/>
          <w:sz w:val="20"/>
        </w:rPr>
      </w:pPr>
      <w:r w:rsidRPr="00C25B89">
        <w:rPr>
          <w:rFonts w:ascii="Arial" w:hAnsi="Arial" w:cs="Arial"/>
          <w:sz w:val="20"/>
        </w:rPr>
        <w:t xml:space="preserve">Preglednica </w:t>
      </w:r>
      <w:r w:rsidR="00ED4617" w:rsidRPr="00C25B89">
        <w:rPr>
          <w:rFonts w:ascii="Arial" w:hAnsi="Arial" w:cs="Arial"/>
          <w:sz w:val="20"/>
        </w:rPr>
        <w:t>1</w:t>
      </w:r>
      <w:r w:rsidRPr="00C25B89">
        <w:rPr>
          <w:rFonts w:ascii="Arial" w:hAnsi="Arial" w:cs="Arial"/>
          <w:sz w:val="20"/>
        </w:rPr>
        <w:t xml:space="preserve">: Vrste naročil </w:t>
      </w:r>
      <w:r w:rsidR="00113889" w:rsidRPr="00C25B89">
        <w:rPr>
          <w:rFonts w:ascii="Arial" w:hAnsi="Arial" w:cs="Arial"/>
          <w:sz w:val="20"/>
        </w:rPr>
        <w:t>po</w:t>
      </w:r>
      <w:r w:rsidRPr="00C25B89">
        <w:rPr>
          <w:rFonts w:ascii="Arial" w:hAnsi="Arial" w:cs="Arial"/>
          <w:sz w:val="20"/>
        </w:rPr>
        <w:t xml:space="preserve"> številu in vred</w:t>
      </w:r>
      <w:r w:rsidR="00B50B1A" w:rsidRPr="00C25B89">
        <w:rPr>
          <w:rFonts w:ascii="Arial" w:hAnsi="Arial" w:cs="Arial"/>
          <w:sz w:val="20"/>
        </w:rPr>
        <w:t xml:space="preserve">nosti, upoštevanih pri izračunu deleža javnih naročil v BDP </w:t>
      </w:r>
    </w:p>
    <w:tbl>
      <w:tblPr>
        <w:tblW w:w="8560" w:type="dxa"/>
        <w:jc w:val="center"/>
        <w:tblCellMar>
          <w:left w:w="70" w:type="dxa"/>
          <w:right w:w="70" w:type="dxa"/>
        </w:tblCellMar>
        <w:tblLook w:val="04A0" w:firstRow="1" w:lastRow="0" w:firstColumn="1" w:lastColumn="0" w:noHBand="0" w:noVBand="1"/>
      </w:tblPr>
      <w:tblGrid>
        <w:gridCol w:w="5876"/>
        <w:gridCol w:w="1184"/>
        <w:gridCol w:w="1500"/>
      </w:tblGrid>
      <w:tr w:rsidR="005041A8" w:rsidRPr="00BF7302" w14:paraId="0FD3B3AF" w14:textId="77777777" w:rsidTr="00DB3AA6">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6E75EC" w14:textId="7DD33F2E" w:rsidR="00775DED" w:rsidRPr="00C25B89" w:rsidRDefault="00775DED" w:rsidP="00226AE1">
            <w:pPr>
              <w:spacing w:after="0" w:line="240" w:lineRule="auto"/>
              <w:jc w:val="center"/>
              <w:rPr>
                <w:rFonts w:ascii="Arial" w:eastAsia="Times New Roman" w:hAnsi="Arial" w:cs="Arial"/>
                <w:sz w:val="18"/>
                <w:szCs w:val="18"/>
                <w:lang w:eastAsia="sl-SI"/>
              </w:rPr>
            </w:pPr>
            <w:r w:rsidRPr="00C25B89">
              <w:rPr>
                <w:rFonts w:ascii="Arial" w:eastAsia="Times New Roman" w:hAnsi="Arial" w:cs="Arial"/>
                <w:sz w:val="18"/>
                <w:szCs w:val="18"/>
                <w:lang w:eastAsia="sl-SI"/>
              </w:rPr>
              <w:t xml:space="preserve">Upoštevano </w:t>
            </w:r>
            <w:r w:rsidR="00113889" w:rsidRPr="00C25B89">
              <w:rPr>
                <w:rFonts w:ascii="Arial" w:eastAsia="Times New Roman" w:hAnsi="Arial" w:cs="Arial"/>
                <w:sz w:val="18"/>
                <w:szCs w:val="18"/>
                <w:lang w:eastAsia="sl-SI"/>
              </w:rPr>
              <w:t>pri</w:t>
            </w:r>
            <w:r w:rsidRPr="00C25B89">
              <w:rPr>
                <w:rFonts w:ascii="Arial" w:eastAsia="Times New Roman" w:hAnsi="Arial" w:cs="Arial"/>
                <w:sz w:val="18"/>
                <w:szCs w:val="18"/>
                <w:lang w:eastAsia="sl-SI"/>
              </w:rPr>
              <w:t xml:space="preserve"> izračunu deleža </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AAEB175" w14:textId="6FF113D3" w:rsidR="00775DED" w:rsidRPr="00C25B89" w:rsidRDefault="00775DED" w:rsidP="00226AE1">
            <w:pPr>
              <w:spacing w:after="0" w:line="240" w:lineRule="auto"/>
              <w:jc w:val="center"/>
              <w:rPr>
                <w:rFonts w:ascii="Arial" w:eastAsia="Times New Roman" w:hAnsi="Arial" w:cs="Arial"/>
                <w:sz w:val="18"/>
                <w:szCs w:val="18"/>
                <w:lang w:eastAsia="sl-SI"/>
              </w:rPr>
            </w:pPr>
            <w:r w:rsidRPr="00C25B89">
              <w:rPr>
                <w:rFonts w:ascii="Arial" w:eastAsia="Times New Roman" w:hAnsi="Arial" w:cs="Arial"/>
                <w:sz w:val="18"/>
                <w:szCs w:val="18"/>
                <w:lang w:eastAsia="sl-SI"/>
              </w:rPr>
              <w:t>Št</w:t>
            </w:r>
            <w:r w:rsidR="001A58CB" w:rsidRPr="00C25B89">
              <w:rPr>
                <w:rFonts w:ascii="Arial" w:eastAsia="Times New Roman" w:hAnsi="Arial" w:cs="Arial"/>
                <w:sz w:val="18"/>
                <w:szCs w:val="18"/>
                <w:lang w:eastAsia="sl-SI"/>
              </w:rPr>
              <w:t>.</w:t>
            </w:r>
            <w:r w:rsidRPr="00C25B89">
              <w:rPr>
                <w:rFonts w:ascii="Arial" w:eastAsia="Times New Roman" w:hAnsi="Arial" w:cs="Arial"/>
                <w:sz w:val="18"/>
                <w:szCs w:val="18"/>
                <w:lang w:eastAsia="sl-SI"/>
              </w:rPr>
              <w:t xml:space="preserve"> postopkov</w:t>
            </w:r>
          </w:p>
        </w:tc>
        <w:tc>
          <w:tcPr>
            <w:tcW w:w="150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DA9D5C" w14:textId="77777777" w:rsidR="00775DED" w:rsidRPr="00C25B89" w:rsidRDefault="00775DED" w:rsidP="00226AE1">
            <w:pPr>
              <w:spacing w:after="0" w:line="240" w:lineRule="auto"/>
              <w:jc w:val="center"/>
              <w:rPr>
                <w:rFonts w:ascii="Arial" w:eastAsia="Times New Roman" w:hAnsi="Arial" w:cs="Arial"/>
                <w:sz w:val="18"/>
                <w:szCs w:val="18"/>
                <w:lang w:eastAsia="sl-SI"/>
              </w:rPr>
            </w:pPr>
            <w:r w:rsidRPr="00C25B89">
              <w:rPr>
                <w:rFonts w:ascii="Arial" w:eastAsia="Times New Roman" w:hAnsi="Arial" w:cs="Arial"/>
                <w:sz w:val="18"/>
                <w:szCs w:val="18"/>
                <w:lang w:eastAsia="sl-SI"/>
              </w:rPr>
              <w:t>Pogodbena vrednost</w:t>
            </w:r>
          </w:p>
        </w:tc>
      </w:tr>
      <w:tr w:rsidR="005041A8" w:rsidRPr="00BF7302" w14:paraId="38862FEE" w14:textId="77777777" w:rsidTr="00161BC9">
        <w:trPr>
          <w:trHeight w:val="25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A0EB35" w14:textId="30A657DA" w:rsidR="005E4314" w:rsidRPr="00C25B89" w:rsidRDefault="005E4314" w:rsidP="005E4314">
            <w:pPr>
              <w:spacing w:after="0" w:line="240" w:lineRule="auto"/>
              <w:rPr>
                <w:rFonts w:ascii="Arial" w:eastAsia="Times New Roman" w:hAnsi="Arial" w:cs="Arial"/>
                <w:sz w:val="18"/>
                <w:szCs w:val="18"/>
                <w:lang w:eastAsia="sl-SI"/>
              </w:rPr>
            </w:pPr>
            <w:r w:rsidRPr="00C25B89">
              <w:rPr>
                <w:rFonts w:ascii="Arial" w:eastAsia="Times New Roman" w:hAnsi="Arial" w:cs="Arial"/>
                <w:sz w:val="18"/>
                <w:szCs w:val="18"/>
                <w:lang w:eastAsia="sl-SI"/>
              </w:rPr>
              <w:t>Objavljena naročila na portalu javnih naročil oziroma v Uradnem listu Evropske unije</w:t>
            </w:r>
          </w:p>
        </w:tc>
        <w:tc>
          <w:tcPr>
            <w:tcW w:w="0" w:type="auto"/>
            <w:tcBorders>
              <w:top w:val="nil"/>
              <w:left w:val="nil"/>
              <w:bottom w:val="single" w:sz="4" w:space="0" w:color="auto"/>
              <w:right w:val="single" w:sz="4" w:space="0" w:color="auto"/>
            </w:tcBorders>
            <w:shd w:val="clear" w:color="auto" w:fill="auto"/>
            <w:vAlign w:val="center"/>
            <w:hideMark/>
          </w:tcPr>
          <w:p w14:paraId="036C37A9" w14:textId="0E90CA03" w:rsidR="005E4314" w:rsidRPr="00C25B89" w:rsidRDefault="005E4314" w:rsidP="00B93B03">
            <w:pPr>
              <w:spacing w:after="0" w:line="240" w:lineRule="auto"/>
              <w:jc w:val="right"/>
              <w:rPr>
                <w:rFonts w:ascii="Arial" w:eastAsia="Times New Roman" w:hAnsi="Arial" w:cs="Arial"/>
                <w:sz w:val="18"/>
                <w:szCs w:val="18"/>
                <w:lang w:eastAsia="sl-SI"/>
              </w:rPr>
            </w:pPr>
            <w:r w:rsidRPr="00C25B89">
              <w:rPr>
                <w:rFonts w:ascii="Arial" w:hAnsi="Arial" w:cs="Arial"/>
                <w:sz w:val="18"/>
                <w:szCs w:val="18"/>
              </w:rPr>
              <w:t>6.</w:t>
            </w:r>
            <w:r w:rsidR="00C25B89" w:rsidRPr="00C25B89">
              <w:rPr>
                <w:rFonts w:ascii="Arial" w:hAnsi="Arial" w:cs="Arial"/>
                <w:sz w:val="18"/>
                <w:szCs w:val="18"/>
              </w:rPr>
              <w:t>721</w:t>
            </w:r>
          </w:p>
        </w:tc>
        <w:tc>
          <w:tcPr>
            <w:tcW w:w="1500" w:type="dxa"/>
            <w:tcBorders>
              <w:top w:val="nil"/>
              <w:left w:val="nil"/>
              <w:bottom w:val="single" w:sz="4" w:space="0" w:color="auto"/>
              <w:right w:val="single" w:sz="4" w:space="0" w:color="auto"/>
            </w:tcBorders>
            <w:shd w:val="clear" w:color="auto" w:fill="auto"/>
            <w:vAlign w:val="center"/>
            <w:hideMark/>
          </w:tcPr>
          <w:p w14:paraId="699FF4FB" w14:textId="3B579747" w:rsidR="005E4314" w:rsidRPr="00C25B89" w:rsidRDefault="0060074F" w:rsidP="00B93B03">
            <w:pPr>
              <w:spacing w:after="0" w:line="240" w:lineRule="auto"/>
              <w:jc w:val="right"/>
              <w:rPr>
                <w:rFonts w:ascii="Arial" w:eastAsia="Times New Roman" w:hAnsi="Arial" w:cs="Arial"/>
                <w:sz w:val="18"/>
                <w:szCs w:val="18"/>
                <w:lang w:eastAsia="sl-SI"/>
              </w:rPr>
            </w:pPr>
            <w:bookmarkStart w:id="10" w:name="_Hlk136867431"/>
            <w:r w:rsidRPr="0060074F">
              <w:rPr>
                <w:rFonts w:ascii="Arial" w:hAnsi="Arial" w:cs="Arial"/>
                <w:sz w:val="18"/>
                <w:szCs w:val="18"/>
              </w:rPr>
              <w:t>5</w:t>
            </w:r>
            <w:r>
              <w:rPr>
                <w:rFonts w:ascii="Arial" w:hAnsi="Arial" w:cs="Arial"/>
                <w:sz w:val="18"/>
                <w:szCs w:val="18"/>
              </w:rPr>
              <w:t>.</w:t>
            </w:r>
            <w:r w:rsidRPr="0060074F">
              <w:rPr>
                <w:rFonts w:ascii="Arial" w:hAnsi="Arial" w:cs="Arial"/>
                <w:sz w:val="18"/>
                <w:szCs w:val="18"/>
              </w:rPr>
              <w:t>417</w:t>
            </w:r>
            <w:r>
              <w:rPr>
                <w:rFonts w:ascii="Arial" w:hAnsi="Arial" w:cs="Arial"/>
                <w:sz w:val="18"/>
                <w:szCs w:val="18"/>
              </w:rPr>
              <w:t>.</w:t>
            </w:r>
            <w:r w:rsidRPr="0060074F">
              <w:rPr>
                <w:rFonts w:ascii="Arial" w:hAnsi="Arial" w:cs="Arial"/>
                <w:sz w:val="18"/>
                <w:szCs w:val="18"/>
              </w:rPr>
              <w:t>105</w:t>
            </w:r>
            <w:r>
              <w:rPr>
                <w:rFonts w:ascii="Arial" w:hAnsi="Arial" w:cs="Arial"/>
                <w:sz w:val="18"/>
                <w:szCs w:val="18"/>
              </w:rPr>
              <w:t>.</w:t>
            </w:r>
            <w:r w:rsidRPr="0060074F">
              <w:rPr>
                <w:rFonts w:ascii="Arial" w:hAnsi="Arial" w:cs="Arial"/>
                <w:sz w:val="18"/>
                <w:szCs w:val="18"/>
              </w:rPr>
              <w:t>902</w:t>
            </w:r>
            <w:bookmarkEnd w:id="10"/>
          </w:p>
        </w:tc>
      </w:tr>
      <w:tr w:rsidR="005041A8" w:rsidRPr="00BF7302" w14:paraId="67BA808B" w14:textId="77777777" w:rsidTr="00161BC9">
        <w:trPr>
          <w:trHeight w:val="25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E982C6" w14:textId="77777777" w:rsidR="005E4314" w:rsidRPr="004D47AD" w:rsidRDefault="005E4314" w:rsidP="005E4314">
            <w:pPr>
              <w:spacing w:after="0" w:line="240" w:lineRule="auto"/>
              <w:rPr>
                <w:rFonts w:ascii="Arial" w:eastAsia="Times New Roman" w:hAnsi="Arial" w:cs="Arial"/>
                <w:sz w:val="18"/>
                <w:szCs w:val="18"/>
                <w:lang w:eastAsia="sl-SI"/>
              </w:rPr>
            </w:pPr>
            <w:r w:rsidRPr="004D47AD">
              <w:rPr>
                <w:rFonts w:ascii="Arial" w:eastAsia="Times New Roman" w:hAnsi="Arial" w:cs="Arial"/>
                <w:sz w:val="18"/>
                <w:szCs w:val="18"/>
                <w:lang w:eastAsia="sl-SI"/>
              </w:rPr>
              <w:t xml:space="preserve">Evidenčna naročila </w:t>
            </w:r>
          </w:p>
        </w:tc>
        <w:tc>
          <w:tcPr>
            <w:tcW w:w="0" w:type="auto"/>
            <w:tcBorders>
              <w:top w:val="nil"/>
              <w:left w:val="nil"/>
              <w:bottom w:val="single" w:sz="4" w:space="0" w:color="auto"/>
              <w:right w:val="single" w:sz="4" w:space="0" w:color="auto"/>
            </w:tcBorders>
            <w:shd w:val="clear" w:color="auto" w:fill="auto"/>
            <w:noWrap/>
            <w:vAlign w:val="center"/>
            <w:hideMark/>
          </w:tcPr>
          <w:p w14:paraId="2F4A9A15" w14:textId="4D6D10A8" w:rsidR="005E4314" w:rsidRPr="004D47AD" w:rsidRDefault="00947174" w:rsidP="00B93B03">
            <w:pPr>
              <w:spacing w:after="0" w:line="240" w:lineRule="auto"/>
              <w:jc w:val="right"/>
              <w:rPr>
                <w:rFonts w:ascii="Arial" w:eastAsia="Times New Roman" w:hAnsi="Arial" w:cs="Arial"/>
                <w:sz w:val="18"/>
                <w:szCs w:val="18"/>
                <w:lang w:eastAsia="sl-SI"/>
              </w:rPr>
            </w:pPr>
            <w:r w:rsidRPr="004D47AD">
              <w:rPr>
                <w:rFonts w:ascii="Arial" w:hAnsi="Arial" w:cs="Arial"/>
                <w:bCs/>
                <w:sz w:val="18"/>
                <w:szCs w:val="18"/>
              </w:rPr>
              <w:t>1.082.656</w:t>
            </w:r>
          </w:p>
        </w:tc>
        <w:tc>
          <w:tcPr>
            <w:tcW w:w="1500" w:type="dxa"/>
            <w:tcBorders>
              <w:top w:val="nil"/>
              <w:left w:val="nil"/>
              <w:bottom w:val="single" w:sz="4" w:space="0" w:color="auto"/>
              <w:right w:val="single" w:sz="4" w:space="0" w:color="auto"/>
            </w:tcBorders>
            <w:shd w:val="clear" w:color="auto" w:fill="auto"/>
            <w:noWrap/>
            <w:vAlign w:val="center"/>
            <w:hideMark/>
          </w:tcPr>
          <w:p w14:paraId="5C05DB4A" w14:textId="0619E1CA" w:rsidR="005E4314" w:rsidRPr="004D47AD" w:rsidRDefault="00947174" w:rsidP="00B93B03">
            <w:pPr>
              <w:spacing w:after="0" w:line="240" w:lineRule="auto"/>
              <w:jc w:val="right"/>
              <w:rPr>
                <w:rFonts w:ascii="Arial" w:eastAsia="Times New Roman" w:hAnsi="Arial" w:cs="Arial"/>
                <w:sz w:val="18"/>
                <w:szCs w:val="18"/>
                <w:lang w:eastAsia="sl-SI"/>
              </w:rPr>
            </w:pPr>
            <w:r w:rsidRPr="004D47AD">
              <w:rPr>
                <w:rFonts w:ascii="Arial" w:eastAsia="Times New Roman" w:hAnsi="Arial" w:cs="Arial"/>
                <w:sz w:val="18"/>
                <w:szCs w:val="18"/>
                <w:lang w:eastAsia="sl-SI"/>
              </w:rPr>
              <w:t>1.436.796.005</w:t>
            </w:r>
          </w:p>
        </w:tc>
      </w:tr>
      <w:tr w:rsidR="005041A8" w:rsidRPr="00BF7302" w14:paraId="4D8344CB" w14:textId="77777777" w:rsidTr="00161BC9">
        <w:trPr>
          <w:trHeight w:val="25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E24C74" w14:textId="4B3DFD4E" w:rsidR="005E4314" w:rsidRPr="004D47AD" w:rsidRDefault="005E4314" w:rsidP="005E4314">
            <w:pPr>
              <w:spacing w:after="0" w:line="240" w:lineRule="auto"/>
              <w:rPr>
                <w:rFonts w:ascii="Arial" w:eastAsia="Times New Roman" w:hAnsi="Arial" w:cs="Arial"/>
                <w:sz w:val="18"/>
                <w:szCs w:val="18"/>
                <w:lang w:eastAsia="sl-SI"/>
              </w:rPr>
            </w:pPr>
            <w:r w:rsidRPr="004D47AD">
              <w:rPr>
                <w:rFonts w:ascii="Arial" w:eastAsia="Times New Roman" w:hAnsi="Arial" w:cs="Arial"/>
                <w:sz w:val="18"/>
                <w:szCs w:val="18"/>
                <w:lang w:eastAsia="sl-SI"/>
              </w:rPr>
              <w:t>Neprednostne storitve</w:t>
            </w:r>
          </w:p>
        </w:tc>
        <w:tc>
          <w:tcPr>
            <w:tcW w:w="0" w:type="auto"/>
            <w:tcBorders>
              <w:top w:val="nil"/>
              <w:left w:val="nil"/>
              <w:bottom w:val="single" w:sz="4" w:space="0" w:color="auto"/>
              <w:right w:val="single" w:sz="4" w:space="0" w:color="auto"/>
            </w:tcBorders>
            <w:shd w:val="clear" w:color="auto" w:fill="auto"/>
            <w:vAlign w:val="center"/>
            <w:hideMark/>
          </w:tcPr>
          <w:p w14:paraId="1C9BF6ED" w14:textId="25575D70" w:rsidR="005E4314" w:rsidRPr="004D47AD" w:rsidRDefault="004D47AD" w:rsidP="00B93B03">
            <w:pPr>
              <w:spacing w:after="0" w:line="240" w:lineRule="auto"/>
              <w:jc w:val="right"/>
              <w:rPr>
                <w:rFonts w:ascii="Arial" w:eastAsia="Times New Roman" w:hAnsi="Arial" w:cs="Arial"/>
                <w:sz w:val="18"/>
                <w:szCs w:val="18"/>
                <w:lang w:eastAsia="sl-SI"/>
              </w:rPr>
            </w:pPr>
            <w:r w:rsidRPr="004D47AD">
              <w:rPr>
                <w:rFonts w:ascii="Arial" w:eastAsia="Times New Roman" w:hAnsi="Arial" w:cs="Arial"/>
                <w:sz w:val="18"/>
                <w:szCs w:val="18"/>
                <w:lang w:eastAsia="sl-SI"/>
              </w:rPr>
              <w:t>7</w:t>
            </w:r>
          </w:p>
        </w:tc>
        <w:tc>
          <w:tcPr>
            <w:tcW w:w="1500" w:type="dxa"/>
            <w:tcBorders>
              <w:top w:val="nil"/>
              <w:left w:val="nil"/>
              <w:bottom w:val="single" w:sz="4" w:space="0" w:color="auto"/>
              <w:right w:val="single" w:sz="4" w:space="0" w:color="auto"/>
            </w:tcBorders>
            <w:shd w:val="clear" w:color="auto" w:fill="auto"/>
            <w:vAlign w:val="center"/>
            <w:hideMark/>
          </w:tcPr>
          <w:p w14:paraId="265CB472" w14:textId="705E99CD" w:rsidR="005E4314" w:rsidRPr="004D47AD" w:rsidRDefault="004D47AD" w:rsidP="00B93B03">
            <w:pPr>
              <w:spacing w:after="0" w:line="240" w:lineRule="auto"/>
              <w:jc w:val="right"/>
              <w:rPr>
                <w:rFonts w:ascii="Arial" w:eastAsia="Times New Roman" w:hAnsi="Arial" w:cs="Arial"/>
                <w:sz w:val="18"/>
                <w:szCs w:val="18"/>
                <w:lang w:eastAsia="sl-SI"/>
              </w:rPr>
            </w:pPr>
            <w:r w:rsidRPr="004D47AD">
              <w:rPr>
                <w:rFonts w:ascii="Arial" w:eastAsia="Times New Roman" w:hAnsi="Arial" w:cs="Arial"/>
                <w:sz w:val="18"/>
                <w:szCs w:val="18"/>
                <w:lang w:eastAsia="sl-SI"/>
              </w:rPr>
              <w:t>3.429.272</w:t>
            </w:r>
          </w:p>
        </w:tc>
      </w:tr>
      <w:tr w:rsidR="004D47AD" w:rsidRPr="00BF7302" w14:paraId="60680F8C" w14:textId="77777777" w:rsidTr="000110D0">
        <w:trPr>
          <w:trHeight w:val="25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F2EF3F" w14:textId="07F8D737" w:rsidR="004D47AD" w:rsidRPr="00B27FC9" w:rsidRDefault="004D47AD" w:rsidP="004D47AD">
            <w:pPr>
              <w:spacing w:after="0" w:line="240" w:lineRule="auto"/>
              <w:rPr>
                <w:rFonts w:ascii="Arial" w:eastAsia="Times New Roman" w:hAnsi="Arial" w:cs="Arial"/>
                <w:b/>
                <w:bCs/>
                <w:sz w:val="18"/>
                <w:szCs w:val="18"/>
                <w:lang w:eastAsia="sl-SI"/>
              </w:rPr>
            </w:pPr>
            <w:r w:rsidRPr="00B27FC9">
              <w:rPr>
                <w:rFonts w:ascii="Arial" w:eastAsia="Times New Roman" w:hAnsi="Arial" w:cs="Arial"/>
                <w:b/>
                <w:bCs/>
                <w:sz w:val="18"/>
                <w:szCs w:val="18"/>
                <w:lang w:eastAsia="sl-SI"/>
              </w:rPr>
              <w:t>Skupaj</w:t>
            </w:r>
          </w:p>
        </w:tc>
        <w:tc>
          <w:tcPr>
            <w:tcW w:w="0" w:type="auto"/>
            <w:tcBorders>
              <w:top w:val="nil"/>
              <w:left w:val="nil"/>
              <w:bottom w:val="single" w:sz="4" w:space="0" w:color="auto"/>
              <w:right w:val="single" w:sz="4" w:space="0" w:color="auto"/>
            </w:tcBorders>
            <w:shd w:val="clear" w:color="auto" w:fill="auto"/>
            <w:noWrap/>
            <w:vAlign w:val="center"/>
            <w:hideMark/>
          </w:tcPr>
          <w:p w14:paraId="65D11302" w14:textId="75C3BB3B" w:rsidR="004D47AD" w:rsidRPr="004D47AD" w:rsidRDefault="004D47AD" w:rsidP="004D47AD">
            <w:pPr>
              <w:spacing w:after="0" w:line="240" w:lineRule="auto"/>
              <w:jc w:val="right"/>
              <w:rPr>
                <w:rFonts w:ascii="Arial" w:hAnsi="Arial" w:cs="Arial"/>
                <w:b/>
                <w:bCs/>
                <w:sz w:val="18"/>
                <w:szCs w:val="18"/>
              </w:rPr>
            </w:pPr>
            <w:r w:rsidRPr="004D47AD">
              <w:rPr>
                <w:rFonts w:ascii="Arial" w:hAnsi="Arial" w:cs="Arial"/>
                <w:b/>
                <w:bCs/>
                <w:sz w:val="18"/>
                <w:szCs w:val="18"/>
              </w:rPr>
              <w:t>1.089.384</w:t>
            </w:r>
          </w:p>
        </w:tc>
        <w:tc>
          <w:tcPr>
            <w:tcW w:w="1500" w:type="dxa"/>
            <w:tcBorders>
              <w:top w:val="nil"/>
              <w:left w:val="nil"/>
              <w:bottom w:val="single" w:sz="4" w:space="0" w:color="auto"/>
              <w:right w:val="single" w:sz="4" w:space="0" w:color="auto"/>
            </w:tcBorders>
            <w:shd w:val="clear" w:color="auto" w:fill="auto"/>
            <w:noWrap/>
            <w:vAlign w:val="center"/>
            <w:hideMark/>
          </w:tcPr>
          <w:p w14:paraId="20D32CBD" w14:textId="2BE67689" w:rsidR="004D47AD" w:rsidRPr="004D47AD" w:rsidRDefault="004D47AD" w:rsidP="004D47AD">
            <w:pPr>
              <w:spacing w:after="0" w:line="240" w:lineRule="auto"/>
              <w:jc w:val="right"/>
              <w:rPr>
                <w:rFonts w:ascii="Arial" w:hAnsi="Arial" w:cs="Arial"/>
                <w:b/>
                <w:bCs/>
                <w:sz w:val="18"/>
                <w:szCs w:val="18"/>
              </w:rPr>
            </w:pPr>
            <w:r w:rsidRPr="004D47AD">
              <w:rPr>
                <w:rFonts w:ascii="Arial" w:hAnsi="Arial" w:cs="Arial"/>
                <w:b/>
                <w:bCs/>
                <w:sz w:val="18"/>
                <w:szCs w:val="18"/>
              </w:rPr>
              <w:t>6.857.331.179</w:t>
            </w:r>
          </w:p>
        </w:tc>
      </w:tr>
      <w:tr w:rsidR="001E0CF0" w:rsidRPr="00BF7302" w14:paraId="6E70B952" w14:textId="77777777" w:rsidTr="00DB3AA6">
        <w:trPr>
          <w:trHeight w:val="255"/>
          <w:jc w:val="center"/>
        </w:trPr>
        <w:tc>
          <w:tcPr>
            <w:tcW w:w="0" w:type="auto"/>
            <w:gridSpan w:val="2"/>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36B1BC9" w14:textId="7DD15065" w:rsidR="001A58CB" w:rsidRPr="00B27FC9" w:rsidRDefault="001A58CB" w:rsidP="00226AE1">
            <w:pPr>
              <w:spacing w:after="0" w:line="240" w:lineRule="auto"/>
              <w:rPr>
                <w:rFonts w:ascii="Arial" w:eastAsia="Times New Roman" w:hAnsi="Arial" w:cs="Arial"/>
                <w:b/>
                <w:bCs/>
                <w:sz w:val="18"/>
                <w:szCs w:val="18"/>
                <w:lang w:eastAsia="sl-SI"/>
              </w:rPr>
            </w:pPr>
            <w:r w:rsidRPr="00B27FC9">
              <w:rPr>
                <w:rFonts w:ascii="Arial" w:eastAsia="Times New Roman" w:hAnsi="Arial" w:cs="Arial"/>
                <w:b/>
                <w:bCs/>
                <w:sz w:val="18"/>
                <w:szCs w:val="18"/>
                <w:lang w:eastAsia="sl-SI"/>
              </w:rPr>
              <w:t xml:space="preserve">Skupaj s tehtano povprečno stopnjo DDV </w:t>
            </w:r>
          </w:p>
        </w:tc>
        <w:tc>
          <w:tcPr>
            <w:tcW w:w="1500" w:type="dxa"/>
            <w:tcBorders>
              <w:top w:val="nil"/>
              <w:left w:val="nil"/>
              <w:bottom w:val="single" w:sz="4" w:space="0" w:color="auto"/>
              <w:right w:val="single" w:sz="4" w:space="0" w:color="auto"/>
            </w:tcBorders>
            <w:shd w:val="clear" w:color="auto" w:fill="F2F2F2" w:themeFill="background1" w:themeFillShade="F2"/>
            <w:noWrap/>
            <w:vAlign w:val="center"/>
          </w:tcPr>
          <w:p w14:paraId="2F15B295" w14:textId="7D233983" w:rsidR="001A58CB" w:rsidRPr="00BF7302" w:rsidRDefault="00B27FC9" w:rsidP="00226AE1">
            <w:pPr>
              <w:spacing w:after="0" w:line="240" w:lineRule="auto"/>
              <w:jc w:val="right"/>
              <w:rPr>
                <w:rFonts w:ascii="Arial" w:eastAsia="Times New Roman" w:hAnsi="Arial" w:cs="Arial"/>
                <w:b/>
                <w:bCs/>
                <w:sz w:val="18"/>
                <w:szCs w:val="18"/>
                <w:highlight w:val="yellow"/>
                <w:lang w:eastAsia="sl-SI"/>
              </w:rPr>
            </w:pPr>
            <w:bookmarkStart w:id="11" w:name="_Hlk137111167"/>
            <w:r w:rsidRPr="00384AA3">
              <w:rPr>
                <w:rFonts w:ascii="Arial" w:eastAsia="Times New Roman" w:hAnsi="Arial" w:cs="Arial"/>
                <w:b/>
                <w:bCs/>
                <w:sz w:val="18"/>
                <w:szCs w:val="18"/>
                <w:lang w:eastAsia="sl-SI"/>
              </w:rPr>
              <w:t>8.047.078.139</w:t>
            </w:r>
            <w:bookmarkEnd w:id="11"/>
          </w:p>
        </w:tc>
      </w:tr>
    </w:tbl>
    <w:p w14:paraId="7263C7D5" w14:textId="77777777" w:rsidR="003156F5" w:rsidRPr="00C25B89" w:rsidRDefault="003156F5" w:rsidP="003156F5">
      <w:pPr>
        <w:spacing w:after="0" w:line="240" w:lineRule="auto"/>
        <w:jc w:val="center"/>
        <w:rPr>
          <w:rFonts w:ascii="Arial" w:hAnsi="Arial" w:cs="Arial"/>
          <w:sz w:val="18"/>
        </w:rPr>
      </w:pPr>
    </w:p>
    <w:p w14:paraId="27690963" w14:textId="64C03BBD" w:rsidR="00775DED" w:rsidRPr="00C25B89" w:rsidRDefault="00775DED" w:rsidP="00701C10">
      <w:pPr>
        <w:spacing w:after="240" w:line="240" w:lineRule="auto"/>
        <w:jc w:val="center"/>
        <w:rPr>
          <w:rFonts w:ascii="Arial" w:hAnsi="Arial" w:cs="Arial"/>
          <w:sz w:val="18"/>
        </w:rPr>
      </w:pPr>
      <w:r w:rsidRPr="00C25B89">
        <w:rPr>
          <w:rFonts w:ascii="Arial" w:hAnsi="Arial" w:cs="Arial"/>
          <w:sz w:val="18"/>
        </w:rPr>
        <w:t>Vir: Statistični podatki o javni</w:t>
      </w:r>
      <w:r w:rsidR="003A12A1" w:rsidRPr="00C25B89">
        <w:rPr>
          <w:rFonts w:ascii="Arial" w:hAnsi="Arial" w:cs="Arial"/>
          <w:sz w:val="18"/>
        </w:rPr>
        <w:t>h naročilih, oddanih v letu 20</w:t>
      </w:r>
      <w:r w:rsidR="008D6671" w:rsidRPr="00C25B89">
        <w:rPr>
          <w:rFonts w:ascii="Arial" w:hAnsi="Arial" w:cs="Arial"/>
          <w:sz w:val="18"/>
        </w:rPr>
        <w:t>2</w:t>
      </w:r>
      <w:r w:rsidR="00C25B89" w:rsidRPr="00C25B89">
        <w:rPr>
          <w:rFonts w:ascii="Arial" w:hAnsi="Arial" w:cs="Arial"/>
          <w:sz w:val="18"/>
        </w:rPr>
        <w:t>2.</w:t>
      </w:r>
    </w:p>
    <w:p w14:paraId="40D01365" w14:textId="303FF532" w:rsidR="00AA5A3E" w:rsidRPr="00293C30" w:rsidRDefault="00AA5A3E" w:rsidP="00121807">
      <w:pPr>
        <w:pStyle w:val="Naslov2"/>
        <w:rPr>
          <w:rFonts w:ascii="Arial" w:hAnsi="Arial" w:cs="Arial"/>
          <w:sz w:val="22"/>
          <w:szCs w:val="22"/>
        </w:rPr>
      </w:pPr>
      <w:bookmarkStart w:id="12" w:name="_Toc141864048"/>
      <w:r w:rsidRPr="00293C30">
        <w:rPr>
          <w:rFonts w:ascii="Arial" w:hAnsi="Arial" w:cs="Arial"/>
          <w:sz w:val="22"/>
          <w:szCs w:val="22"/>
        </w:rPr>
        <w:t>2.1.2 Delež javnega naročanja v odhodkih proračuna</w:t>
      </w:r>
      <w:bookmarkEnd w:id="12"/>
    </w:p>
    <w:p w14:paraId="0984ECD3" w14:textId="77777777" w:rsidR="00854405" w:rsidRPr="00293C30" w:rsidRDefault="00854405" w:rsidP="00854405">
      <w:pPr>
        <w:pStyle w:val="ZADEVA"/>
        <w:jc w:val="both"/>
        <w:rPr>
          <w:rFonts w:cs="Arial"/>
          <w:b w:val="0"/>
          <w:szCs w:val="20"/>
          <w:lang w:val="sl-SI"/>
        </w:rPr>
      </w:pPr>
    </w:p>
    <w:p w14:paraId="3FC56A96" w14:textId="14B9C9BA" w:rsidR="005F6B8F" w:rsidRPr="00384AA3" w:rsidRDefault="00BD6B05" w:rsidP="00B24A26">
      <w:pPr>
        <w:spacing w:line="360" w:lineRule="auto"/>
        <w:jc w:val="both"/>
        <w:rPr>
          <w:rFonts w:ascii="Arial" w:hAnsi="Arial" w:cs="Arial"/>
          <w:bCs/>
          <w:sz w:val="20"/>
          <w:szCs w:val="20"/>
        </w:rPr>
      </w:pPr>
      <w:r w:rsidRPr="00293C30">
        <w:rPr>
          <w:rFonts w:ascii="Arial" w:hAnsi="Arial" w:cs="Arial"/>
          <w:bCs/>
          <w:sz w:val="20"/>
          <w:szCs w:val="20"/>
        </w:rPr>
        <w:t>Leta</w:t>
      </w:r>
      <w:r w:rsidR="009867C3" w:rsidRPr="00293C30">
        <w:rPr>
          <w:rFonts w:ascii="Arial" w:hAnsi="Arial" w:cs="Arial"/>
          <w:bCs/>
          <w:sz w:val="20"/>
          <w:szCs w:val="20"/>
        </w:rPr>
        <w:t xml:space="preserve"> 20</w:t>
      </w:r>
      <w:r w:rsidR="00BF144B" w:rsidRPr="00293C30">
        <w:rPr>
          <w:rFonts w:ascii="Arial" w:hAnsi="Arial" w:cs="Arial"/>
          <w:bCs/>
          <w:sz w:val="20"/>
          <w:szCs w:val="20"/>
        </w:rPr>
        <w:t>2</w:t>
      </w:r>
      <w:r w:rsidR="00293C30" w:rsidRPr="00293C30">
        <w:rPr>
          <w:rFonts w:ascii="Arial" w:hAnsi="Arial" w:cs="Arial"/>
          <w:bCs/>
          <w:sz w:val="20"/>
          <w:szCs w:val="20"/>
        </w:rPr>
        <w:t>2</w:t>
      </w:r>
      <w:r w:rsidR="009867C3" w:rsidRPr="00293C30">
        <w:rPr>
          <w:rFonts w:ascii="Arial" w:hAnsi="Arial" w:cs="Arial"/>
          <w:bCs/>
          <w:sz w:val="20"/>
          <w:szCs w:val="20"/>
        </w:rPr>
        <w:t xml:space="preserve"> so znašali odhodki proračuna Republike Slovenije </w:t>
      </w:r>
      <w:r w:rsidR="00293C30" w:rsidRPr="00293C30">
        <w:rPr>
          <w:rFonts w:ascii="Arial" w:hAnsi="Arial" w:cs="Arial"/>
          <w:bCs/>
          <w:sz w:val="20"/>
          <w:szCs w:val="20"/>
        </w:rPr>
        <w:t xml:space="preserve">13.708.525.408 </w:t>
      </w:r>
      <w:r w:rsidR="009867C3" w:rsidRPr="00293C30">
        <w:rPr>
          <w:rFonts w:ascii="Arial" w:hAnsi="Arial" w:cs="Arial"/>
          <w:bCs/>
          <w:sz w:val="20"/>
          <w:szCs w:val="20"/>
        </w:rPr>
        <w:t>evrov</w:t>
      </w:r>
      <w:r w:rsidR="00EF4B24" w:rsidRPr="00293C30">
        <w:rPr>
          <w:rFonts w:ascii="Arial" w:hAnsi="Arial" w:cs="Arial"/>
          <w:bCs/>
          <w:sz w:val="20"/>
          <w:szCs w:val="20"/>
        </w:rPr>
        <w:t>,</w:t>
      </w:r>
      <w:r w:rsidR="009867C3" w:rsidRPr="00293C30">
        <w:rPr>
          <w:rStyle w:val="Sprotnaopomba-sklic"/>
          <w:rFonts w:ascii="Arial" w:hAnsi="Arial" w:cs="Arial"/>
          <w:bCs/>
          <w:sz w:val="20"/>
          <w:szCs w:val="20"/>
        </w:rPr>
        <w:footnoteReference w:id="2"/>
      </w:r>
      <w:r w:rsidR="009867C3" w:rsidRPr="00293C30">
        <w:rPr>
          <w:rFonts w:ascii="Arial" w:hAnsi="Arial" w:cs="Arial"/>
          <w:bCs/>
          <w:sz w:val="20"/>
          <w:szCs w:val="20"/>
        </w:rPr>
        <w:t xml:space="preserve"> odhodki samoupravnih lokalnih skupnosti </w:t>
      </w:r>
      <w:r w:rsidR="00293C30" w:rsidRPr="00293C30">
        <w:rPr>
          <w:rFonts w:ascii="Arial" w:hAnsi="Arial" w:cs="Arial"/>
          <w:bCs/>
          <w:sz w:val="20"/>
          <w:szCs w:val="20"/>
        </w:rPr>
        <w:t xml:space="preserve">2.887.645.589 </w:t>
      </w:r>
      <w:r w:rsidR="009E2D2E" w:rsidRPr="00293C30">
        <w:rPr>
          <w:rFonts w:ascii="Arial" w:hAnsi="Arial" w:cs="Arial"/>
          <w:bCs/>
          <w:sz w:val="20"/>
          <w:szCs w:val="20"/>
        </w:rPr>
        <w:t>evra</w:t>
      </w:r>
      <w:r w:rsidR="009867C3" w:rsidRPr="00293C30">
        <w:rPr>
          <w:rStyle w:val="Sprotnaopomba-sklic"/>
          <w:rFonts w:ascii="Arial" w:hAnsi="Arial" w:cs="Arial"/>
          <w:bCs/>
          <w:sz w:val="20"/>
          <w:szCs w:val="20"/>
        </w:rPr>
        <w:footnoteReference w:id="3"/>
      </w:r>
      <w:r w:rsidR="007915B0" w:rsidRPr="00293C30">
        <w:rPr>
          <w:rFonts w:ascii="Arial" w:hAnsi="Arial" w:cs="Arial"/>
          <w:bCs/>
          <w:sz w:val="20"/>
          <w:szCs w:val="20"/>
        </w:rPr>
        <w:t xml:space="preserve">, </w:t>
      </w:r>
      <w:r w:rsidR="007915B0" w:rsidRPr="007C0B79">
        <w:rPr>
          <w:rFonts w:ascii="Arial" w:hAnsi="Arial" w:cs="Arial"/>
          <w:bCs/>
          <w:sz w:val="20"/>
          <w:szCs w:val="20"/>
        </w:rPr>
        <w:t xml:space="preserve">odhodki </w:t>
      </w:r>
      <w:bookmarkStart w:id="13" w:name="_Hlk108602614"/>
      <w:r w:rsidR="007915B0" w:rsidRPr="007C0B79">
        <w:rPr>
          <w:rFonts w:ascii="Arial" w:hAnsi="Arial" w:cs="Arial"/>
          <w:bCs/>
          <w:sz w:val="20"/>
          <w:szCs w:val="20"/>
        </w:rPr>
        <w:t>Zavoda za zdravstveno zavarovanje Slovenije</w:t>
      </w:r>
      <w:bookmarkEnd w:id="13"/>
      <w:r w:rsidR="007915B0" w:rsidRPr="007C0B79">
        <w:rPr>
          <w:rFonts w:ascii="Arial" w:hAnsi="Arial" w:cs="Arial"/>
          <w:bCs/>
          <w:sz w:val="20"/>
          <w:szCs w:val="20"/>
        </w:rPr>
        <w:t xml:space="preserve"> pa </w:t>
      </w:r>
      <w:r w:rsidR="007C0B79" w:rsidRPr="007C0B79">
        <w:rPr>
          <w:rFonts w:ascii="Arial" w:hAnsi="Arial" w:cs="Arial"/>
          <w:bCs/>
          <w:sz w:val="20"/>
          <w:szCs w:val="20"/>
        </w:rPr>
        <w:t xml:space="preserve">4.050.139.526 </w:t>
      </w:r>
      <w:r w:rsidR="007915B0" w:rsidRPr="007C0B79">
        <w:rPr>
          <w:rFonts w:ascii="Arial" w:hAnsi="Arial" w:cs="Arial"/>
          <w:bCs/>
          <w:sz w:val="20"/>
          <w:szCs w:val="20"/>
        </w:rPr>
        <w:t>evrov</w:t>
      </w:r>
      <w:r w:rsidR="007915B0" w:rsidRPr="007C0B79">
        <w:rPr>
          <w:rStyle w:val="Sprotnaopomba-sklic"/>
          <w:rFonts w:ascii="Arial" w:hAnsi="Arial" w:cs="Arial"/>
          <w:bCs/>
          <w:sz w:val="20"/>
          <w:szCs w:val="20"/>
        </w:rPr>
        <w:footnoteReference w:id="4"/>
      </w:r>
      <w:r w:rsidR="00D2050F" w:rsidRPr="007C0B79">
        <w:rPr>
          <w:rFonts w:ascii="Arial" w:hAnsi="Arial" w:cs="Arial"/>
          <w:bCs/>
          <w:sz w:val="20"/>
          <w:szCs w:val="20"/>
        </w:rPr>
        <w:t>.</w:t>
      </w:r>
      <w:r w:rsidR="009867C3" w:rsidRPr="007C0B79">
        <w:rPr>
          <w:rFonts w:ascii="Arial" w:hAnsi="Arial" w:cs="Arial"/>
          <w:bCs/>
          <w:sz w:val="20"/>
          <w:szCs w:val="20"/>
        </w:rPr>
        <w:t xml:space="preserve"> </w:t>
      </w:r>
      <w:r w:rsidR="00D93DA7">
        <w:rPr>
          <w:rFonts w:ascii="Arial" w:hAnsi="Arial" w:cs="Arial"/>
          <w:bCs/>
          <w:sz w:val="20"/>
          <w:szCs w:val="20"/>
        </w:rPr>
        <w:t>Iz</w:t>
      </w:r>
      <w:r w:rsidR="006507A8" w:rsidRPr="007C0B79">
        <w:rPr>
          <w:rFonts w:ascii="Arial" w:hAnsi="Arial" w:cs="Arial"/>
          <w:bCs/>
          <w:sz w:val="20"/>
          <w:szCs w:val="20"/>
        </w:rPr>
        <w:t xml:space="preserve"> statističnih p</w:t>
      </w:r>
      <w:r w:rsidR="006507A8" w:rsidRPr="00293C30">
        <w:rPr>
          <w:rFonts w:ascii="Arial" w:hAnsi="Arial" w:cs="Arial"/>
          <w:bCs/>
          <w:sz w:val="20"/>
          <w:szCs w:val="20"/>
        </w:rPr>
        <w:t>odatkov</w:t>
      </w:r>
      <w:r w:rsidR="00D93DA7">
        <w:rPr>
          <w:rFonts w:ascii="Arial" w:hAnsi="Arial" w:cs="Arial"/>
          <w:bCs/>
          <w:sz w:val="20"/>
          <w:szCs w:val="20"/>
        </w:rPr>
        <w:t xml:space="preserve"> izhaja, da</w:t>
      </w:r>
      <w:r w:rsidR="006507A8" w:rsidRPr="00293C30">
        <w:rPr>
          <w:rFonts w:ascii="Arial" w:hAnsi="Arial" w:cs="Arial"/>
          <w:bCs/>
          <w:sz w:val="20"/>
          <w:szCs w:val="20"/>
        </w:rPr>
        <w:t xml:space="preserve"> je bilo</w:t>
      </w:r>
      <w:r w:rsidR="00663697" w:rsidRPr="00293C30">
        <w:rPr>
          <w:rFonts w:ascii="Arial" w:hAnsi="Arial" w:cs="Arial"/>
          <w:bCs/>
          <w:sz w:val="20"/>
          <w:szCs w:val="20"/>
        </w:rPr>
        <w:t xml:space="preserve"> v Republiki Sloveniji leta 20</w:t>
      </w:r>
      <w:r w:rsidR="00434229" w:rsidRPr="00293C30">
        <w:rPr>
          <w:rFonts w:ascii="Arial" w:hAnsi="Arial" w:cs="Arial"/>
          <w:bCs/>
          <w:sz w:val="20"/>
          <w:szCs w:val="20"/>
        </w:rPr>
        <w:t>2</w:t>
      </w:r>
      <w:r w:rsidR="00F84970">
        <w:rPr>
          <w:rFonts w:ascii="Arial" w:hAnsi="Arial" w:cs="Arial"/>
          <w:bCs/>
          <w:sz w:val="20"/>
          <w:szCs w:val="20"/>
        </w:rPr>
        <w:t>2</w:t>
      </w:r>
      <w:r w:rsidR="006507A8" w:rsidRPr="00293C30">
        <w:rPr>
          <w:rFonts w:ascii="Arial" w:hAnsi="Arial" w:cs="Arial"/>
          <w:bCs/>
          <w:sz w:val="20"/>
          <w:szCs w:val="20"/>
        </w:rPr>
        <w:t xml:space="preserve"> </w:t>
      </w:r>
      <w:r w:rsidR="006507A8" w:rsidRPr="00384AA3">
        <w:rPr>
          <w:rFonts w:ascii="Arial" w:hAnsi="Arial" w:cs="Arial"/>
          <w:bCs/>
          <w:sz w:val="20"/>
          <w:szCs w:val="20"/>
        </w:rPr>
        <w:t xml:space="preserve">oddanih za </w:t>
      </w:r>
      <w:r w:rsidR="00293C30" w:rsidRPr="00384AA3">
        <w:rPr>
          <w:rFonts w:ascii="Arial" w:hAnsi="Arial" w:cs="Arial"/>
          <w:bCs/>
          <w:sz w:val="20"/>
          <w:szCs w:val="20"/>
        </w:rPr>
        <w:t xml:space="preserve">8.047.078.139 </w:t>
      </w:r>
      <w:r w:rsidR="006507A8" w:rsidRPr="00384AA3">
        <w:rPr>
          <w:rFonts w:ascii="Arial" w:hAnsi="Arial" w:cs="Arial"/>
          <w:bCs/>
          <w:sz w:val="20"/>
          <w:szCs w:val="20"/>
        </w:rPr>
        <w:t>evrov javnih naročil, pri čemer je upoštevana tudi tehtana povp</w:t>
      </w:r>
      <w:r w:rsidR="00663697" w:rsidRPr="00384AA3">
        <w:rPr>
          <w:rFonts w:ascii="Arial" w:hAnsi="Arial" w:cs="Arial"/>
          <w:bCs/>
          <w:sz w:val="20"/>
          <w:szCs w:val="20"/>
        </w:rPr>
        <w:t>rečna stopnja DDV v višini 17,</w:t>
      </w:r>
      <w:r w:rsidR="00ED55BA" w:rsidRPr="00384AA3">
        <w:rPr>
          <w:rFonts w:ascii="Arial" w:hAnsi="Arial" w:cs="Arial"/>
          <w:bCs/>
          <w:sz w:val="20"/>
          <w:szCs w:val="20"/>
        </w:rPr>
        <w:t>35</w:t>
      </w:r>
      <w:r w:rsidR="009E2D2E" w:rsidRPr="00384AA3">
        <w:rPr>
          <w:rFonts w:ascii="Arial" w:hAnsi="Arial" w:cs="Arial"/>
          <w:bCs/>
          <w:sz w:val="20"/>
          <w:szCs w:val="20"/>
        </w:rPr>
        <w:t> </w:t>
      </w:r>
      <w:r w:rsidR="00AC0027">
        <w:rPr>
          <w:rFonts w:ascii="Arial" w:hAnsi="Arial" w:cs="Arial"/>
          <w:bCs/>
          <w:sz w:val="20"/>
          <w:szCs w:val="20"/>
        </w:rPr>
        <w:t>odstotka</w:t>
      </w:r>
      <w:r w:rsidR="006507A8" w:rsidRPr="00384AA3">
        <w:rPr>
          <w:rFonts w:ascii="Arial" w:hAnsi="Arial" w:cs="Arial"/>
          <w:bCs/>
          <w:sz w:val="20"/>
          <w:szCs w:val="20"/>
        </w:rPr>
        <w:t>.</w:t>
      </w:r>
    </w:p>
    <w:p w14:paraId="08461A7D" w14:textId="202A79CD" w:rsidR="004073D3" w:rsidRPr="00384AA3" w:rsidRDefault="004073D3" w:rsidP="004073D3">
      <w:pPr>
        <w:spacing w:line="360" w:lineRule="auto"/>
        <w:jc w:val="both"/>
        <w:rPr>
          <w:rFonts w:ascii="Arial" w:hAnsi="Arial" w:cs="Arial"/>
          <w:bCs/>
          <w:sz w:val="20"/>
          <w:szCs w:val="20"/>
        </w:rPr>
      </w:pPr>
      <w:r w:rsidRPr="00384AA3">
        <w:rPr>
          <w:rFonts w:ascii="Arial" w:hAnsi="Arial" w:cs="Arial"/>
          <w:bCs/>
          <w:sz w:val="20"/>
          <w:szCs w:val="20"/>
        </w:rPr>
        <w:t>V letu 20</w:t>
      </w:r>
      <w:r w:rsidR="00094468" w:rsidRPr="00384AA3">
        <w:rPr>
          <w:rFonts w:ascii="Arial" w:hAnsi="Arial" w:cs="Arial"/>
          <w:bCs/>
          <w:sz w:val="20"/>
          <w:szCs w:val="20"/>
        </w:rPr>
        <w:t>2</w:t>
      </w:r>
      <w:r w:rsidR="00F84970" w:rsidRPr="00384AA3">
        <w:rPr>
          <w:rFonts w:ascii="Arial" w:hAnsi="Arial" w:cs="Arial"/>
          <w:bCs/>
          <w:sz w:val="20"/>
          <w:szCs w:val="20"/>
        </w:rPr>
        <w:t>2</w:t>
      </w:r>
      <w:r w:rsidR="00584C0D" w:rsidRPr="00384AA3">
        <w:rPr>
          <w:rFonts w:ascii="Arial" w:hAnsi="Arial" w:cs="Arial"/>
          <w:bCs/>
          <w:sz w:val="20"/>
          <w:szCs w:val="20"/>
        </w:rPr>
        <w:t xml:space="preserve"> javna naročila </w:t>
      </w:r>
      <w:r w:rsidR="00BD6B05" w:rsidRPr="00384AA3">
        <w:rPr>
          <w:rFonts w:ascii="Arial" w:hAnsi="Arial" w:cs="Arial"/>
          <w:bCs/>
          <w:sz w:val="20"/>
          <w:szCs w:val="20"/>
        </w:rPr>
        <w:t xml:space="preserve">pomenijo </w:t>
      </w:r>
      <w:r w:rsidR="008A38F3" w:rsidRPr="00384AA3">
        <w:rPr>
          <w:rFonts w:ascii="Arial" w:hAnsi="Arial" w:cs="Arial"/>
          <w:bCs/>
          <w:sz w:val="20"/>
          <w:szCs w:val="20"/>
        </w:rPr>
        <w:t>58,7</w:t>
      </w:r>
      <w:r w:rsidR="009E2D2E" w:rsidRPr="00384AA3">
        <w:rPr>
          <w:rFonts w:ascii="Arial" w:hAnsi="Arial" w:cs="Arial"/>
          <w:bCs/>
          <w:sz w:val="20"/>
          <w:szCs w:val="20"/>
        </w:rPr>
        <w:t> </w:t>
      </w:r>
      <w:r w:rsidR="00AC0027">
        <w:rPr>
          <w:rFonts w:ascii="Arial" w:hAnsi="Arial" w:cs="Arial"/>
          <w:bCs/>
          <w:sz w:val="20"/>
          <w:szCs w:val="20"/>
        </w:rPr>
        <w:t>odstotka</w:t>
      </w:r>
      <w:r w:rsidRPr="00384AA3">
        <w:rPr>
          <w:rFonts w:ascii="Arial" w:hAnsi="Arial" w:cs="Arial"/>
          <w:bCs/>
          <w:sz w:val="20"/>
          <w:szCs w:val="20"/>
        </w:rPr>
        <w:t xml:space="preserve"> odhodkov proračuna Republike Slovenije.</w:t>
      </w:r>
    </w:p>
    <w:p w14:paraId="0472E250" w14:textId="54938CB1" w:rsidR="004073D3" w:rsidRPr="00384AA3" w:rsidRDefault="004073D3" w:rsidP="004073D3">
      <w:pPr>
        <w:spacing w:line="360" w:lineRule="auto"/>
        <w:jc w:val="both"/>
        <w:rPr>
          <w:rFonts w:ascii="Arial" w:hAnsi="Arial" w:cs="Arial"/>
          <w:bCs/>
          <w:sz w:val="20"/>
          <w:szCs w:val="20"/>
        </w:rPr>
      </w:pPr>
      <w:r w:rsidRPr="00384AA3">
        <w:rPr>
          <w:rFonts w:ascii="Arial" w:hAnsi="Arial" w:cs="Arial"/>
          <w:sz w:val="20"/>
          <w:szCs w:val="20"/>
        </w:rPr>
        <w:t>Pri izračunu deleža javnih naročil v odhodkih proračuna Republike Slovenije in samoupravnih lokalnih skupnosti so bila v izračun</w:t>
      </w:r>
      <w:r w:rsidR="0027751C" w:rsidRPr="00384AA3">
        <w:rPr>
          <w:rFonts w:ascii="Arial" w:hAnsi="Arial" w:cs="Arial"/>
          <w:sz w:val="20"/>
          <w:szCs w:val="20"/>
        </w:rPr>
        <w:t>u</w:t>
      </w:r>
      <w:r w:rsidRPr="00384AA3">
        <w:rPr>
          <w:rFonts w:ascii="Arial" w:hAnsi="Arial" w:cs="Arial"/>
          <w:sz w:val="20"/>
          <w:szCs w:val="20"/>
        </w:rPr>
        <w:t xml:space="preserve"> </w:t>
      </w:r>
      <w:r w:rsidR="0027751C" w:rsidRPr="00384AA3">
        <w:rPr>
          <w:rFonts w:ascii="Arial" w:hAnsi="Arial" w:cs="Arial"/>
          <w:sz w:val="20"/>
          <w:szCs w:val="20"/>
        </w:rPr>
        <w:t xml:space="preserve">upoštevana </w:t>
      </w:r>
      <w:r w:rsidRPr="00384AA3">
        <w:rPr>
          <w:rFonts w:ascii="Arial" w:hAnsi="Arial" w:cs="Arial"/>
          <w:sz w:val="20"/>
          <w:szCs w:val="20"/>
        </w:rPr>
        <w:t>naročila, ki</w:t>
      </w:r>
      <w:r w:rsidRPr="00384AA3">
        <w:rPr>
          <w:rFonts w:ascii="Arial" w:hAnsi="Arial" w:cs="Arial"/>
          <w:bCs/>
          <w:sz w:val="20"/>
          <w:szCs w:val="20"/>
        </w:rPr>
        <w:t xml:space="preserve"> so jih oddali proračunski uporabniki, saj odhodki proračuna zajemajo tekoče odhodke, tekoče transferje, investicijske odhodke in investicijske transferje proračunskih uporabnikov (med </w:t>
      </w:r>
      <w:r w:rsidR="00113889" w:rsidRPr="00384AA3">
        <w:rPr>
          <w:rFonts w:ascii="Arial" w:hAnsi="Arial" w:cs="Arial"/>
          <w:bCs/>
          <w:sz w:val="20"/>
          <w:szCs w:val="20"/>
        </w:rPr>
        <w:t>katere</w:t>
      </w:r>
      <w:r w:rsidRPr="00384AA3">
        <w:rPr>
          <w:rFonts w:ascii="Arial" w:hAnsi="Arial" w:cs="Arial"/>
          <w:bCs/>
          <w:sz w:val="20"/>
          <w:szCs w:val="20"/>
        </w:rPr>
        <w:t xml:space="preserve"> spadajo plače in drugi izdatki za zaposlene, prispevki delodajalcev – neposrednih proračunskih uporabnikov in nekaterih posrednih proračunskih uporabnikov za socialno varnost, izdatki za blago in storitve, nakup in gradnjo osnovnih sredstev javnega sektorja, subvencije javnim in zasebnim podjetjem ter posameznikom), transferje nepridobitnim organizacijam, ustanovam, posameznikom in gospodinjstvom, domače in tuje transferje, investicijske transferje proračunskim uporabnikom ter pravnim in fizičnim osebam, ki niso proračunski uporabniki, plačila domačih in tujih obresti, rezerve ter plačila v proračun Evropske unije.</w:t>
      </w:r>
      <w:r w:rsidR="0027751C" w:rsidRPr="00384AA3">
        <w:rPr>
          <w:rFonts w:ascii="Arial" w:hAnsi="Arial" w:cs="Arial"/>
          <w:bCs/>
          <w:sz w:val="20"/>
          <w:szCs w:val="20"/>
        </w:rPr>
        <w:t xml:space="preserve"> </w:t>
      </w:r>
    </w:p>
    <w:p w14:paraId="4E4AB9DC" w14:textId="5ABB81CA" w:rsidR="00E97630" w:rsidRPr="00384AA3" w:rsidRDefault="004073D3" w:rsidP="004073D3">
      <w:pPr>
        <w:spacing w:line="360" w:lineRule="auto"/>
        <w:jc w:val="both"/>
        <w:rPr>
          <w:rFonts w:ascii="Arial" w:hAnsi="Arial" w:cs="Arial"/>
          <w:bCs/>
          <w:sz w:val="20"/>
          <w:szCs w:val="20"/>
        </w:rPr>
      </w:pPr>
      <w:r w:rsidRPr="00384AA3">
        <w:rPr>
          <w:rFonts w:ascii="Arial" w:hAnsi="Arial" w:cs="Arial"/>
          <w:sz w:val="20"/>
          <w:szCs w:val="20"/>
        </w:rPr>
        <w:t xml:space="preserve">Glede na </w:t>
      </w:r>
      <w:r w:rsidRPr="00384AA3">
        <w:rPr>
          <w:rFonts w:ascii="Arial" w:hAnsi="Arial" w:cs="Arial"/>
          <w:bCs/>
          <w:sz w:val="20"/>
          <w:szCs w:val="20"/>
        </w:rPr>
        <w:t>odhodke državnega proračuna</w:t>
      </w:r>
      <w:r w:rsidR="00850BF8" w:rsidRPr="00384AA3">
        <w:rPr>
          <w:rFonts w:ascii="Arial" w:hAnsi="Arial" w:cs="Arial"/>
          <w:bCs/>
          <w:sz w:val="20"/>
          <w:szCs w:val="20"/>
        </w:rPr>
        <w:t>,</w:t>
      </w:r>
      <w:r w:rsidRPr="00384AA3">
        <w:rPr>
          <w:rFonts w:ascii="Arial" w:hAnsi="Arial" w:cs="Arial"/>
          <w:sz w:val="20"/>
          <w:szCs w:val="20"/>
        </w:rPr>
        <w:t xml:space="preserve"> odhodke proračuna samoupravnih lokalnih skupnosti</w:t>
      </w:r>
      <w:r w:rsidRPr="00384AA3">
        <w:rPr>
          <w:rFonts w:ascii="Arial" w:hAnsi="Arial" w:cs="Arial"/>
          <w:bCs/>
          <w:sz w:val="20"/>
          <w:szCs w:val="20"/>
        </w:rPr>
        <w:t xml:space="preserve"> </w:t>
      </w:r>
      <w:r w:rsidR="00850BF8" w:rsidRPr="00384AA3">
        <w:rPr>
          <w:rFonts w:ascii="Arial" w:hAnsi="Arial" w:cs="Arial"/>
          <w:bCs/>
          <w:sz w:val="20"/>
          <w:szCs w:val="20"/>
        </w:rPr>
        <w:t xml:space="preserve">in </w:t>
      </w:r>
      <w:r w:rsidR="009E2D2E" w:rsidRPr="00384AA3">
        <w:rPr>
          <w:rFonts w:ascii="Arial" w:hAnsi="Arial" w:cs="Arial"/>
          <w:bCs/>
          <w:sz w:val="20"/>
          <w:szCs w:val="20"/>
        </w:rPr>
        <w:t xml:space="preserve">odhodke </w:t>
      </w:r>
      <w:r w:rsidR="00850BF8" w:rsidRPr="00384AA3">
        <w:rPr>
          <w:rFonts w:ascii="Arial" w:hAnsi="Arial" w:cs="Arial"/>
          <w:bCs/>
          <w:sz w:val="20"/>
          <w:szCs w:val="20"/>
        </w:rPr>
        <w:t xml:space="preserve">Zavoda za zdravstveno zavarovanje Slovenije </w:t>
      </w:r>
      <w:r w:rsidR="00113889" w:rsidRPr="00384AA3">
        <w:rPr>
          <w:rFonts w:ascii="Arial" w:hAnsi="Arial" w:cs="Arial"/>
          <w:bCs/>
          <w:sz w:val="20"/>
          <w:szCs w:val="20"/>
        </w:rPr>
        <w:t>znaša</w:t>
      </w:r>
      <w:r w:rsidR="00391021" w:rsidRPr="00384AA3">
        <w:rPr>
          <w:rFonts w:ascii="Arial" w:hAnsi="Arial" w:cs="Arial"/>
          <w:bCs/>
          <w:sz w:val="20"/>
          <w:szCs w:val="20"/>
        </w:rPr>
        <w:t xml:space="preserve"> </w:t>
      </w:r>
      <w:r w:rsidRPr="00384AA3">
        <w:rPr>
          <w:rFonts w:ascii="Arial" w:hAnsi="Arial" w:cs="Arial"/>
          <w:bCs/>
          <w:sz w:val="20"/>
          <w:szCs w:val="20"/>
        </w:rPr>
        <w:t xml:space="preserve">obseg vseh javnih naročil </w:t>
      </w:r>
      <w:r w:rsidR="007C0B79" w:rsidRPr="00384AA3">
        <w:rPr>
          <w:rFonts w:ascii="Arial" w:hAnsi="Arial" w:cs="Arial"/>
          <w:bCs/>
          <w:sz w:val="20"/>
          <w:szCs w:val="20"/>
        </w:rPr>
        <w:t xml:space="preserve">38,98 </w:t>
      </w:r>
      <w:r w:rsidR="00AC0027">
        <w:rPr>
          <w:rFonts w:ascii="Arial" w:hAnsi="Arial" w:cs="Arial"/>
          <w:bCs/>
          <w:sz w:val="20"/>
          <w:szCs w:val="20"/>
        </w:rPr>
        <w:t>odstotka</w:t>
      </w:r>
      <w:r w:rsidR="0091747D" w:rsidRPr="00384AA3">
        <w:rPr>
          <w:rFonts w:ascii="Arial" w:hAnsi="Arial" w:cs="Arial"/>
          <w:bCs/>
          <w:sz w:val="20"/>
          <w:szCs w:val="20"/>
        </w:rPr>
        <w:t xml:space="preserve">. </w:t>
      </w:r>
    </w:p>
    <w:p w14:paraId="4660D3AE" w14:textId="391D758C" w:rsidR="004073D3" w:rsidRPr="00442D0E" w:rsidRDefault="004073D3" w:rsidP="004073D3">
      <w:pPr>
        <w:spacing w:line="360" w:lineRule="auto"/>
        <w:jc w:val="both"/>
        <w:rPr>
          <w:rFonts w:ascii="Arial" w:hAnsi="Arial" w:cs="Arial"/>
          <w:sz w:val="20"/>
          <w:szCs w:val="20"/>
        </w:rPr>
      </w:pPr>
      <w:r w:rsidRPr="00384AA3">
        <w:rPr>
          <w:rFonts w:ascii="Arial" w:hAnsi="Arial" w:cs="Arial"/>
          <w:bCs/>
          <w:sz w:val="20"/>
          <w:szCs w:val="20"/>
        </w:rPr>
        <w:lastRenderedPageBreak/>
        <w:t xml:space="preserve">Delež </w:t>
      </w:r>
      <w:r w:rsidR="00254F47" w:rsidRPr="00384AA3">
        <w:rPr>
          <w:rFonts w:ascii="Arial" w:hAnsi="Arial" w:cs="Arial"/>
          <w:bCs/>
          <w:sz w:val="20"/>
          <w:szCs w:val="20"/>
        </w:rPr>
        <w:t xml:space="preserve">objavljenih </w:t>
      </w:r>
      <w:r w:rsidRPr="00384AA3">
        <w:rPr>
          <w:rFonts w:ascii="Arial" w:hAnsi="Arial" w:cs="Arial"/>
          <w:bCs/>
          <w:sz w:val="20"/>
          <w:szCs w:val="20"/>
        </w:rPr>
        <w:t xml:space="preserve">javnih naročil, ki so jih oddali proračunski uporabniki (neposredni in posredni) v odhodkih državnega </w:t>
      </w:r>
      <w:r w:rsidRPr="00384AA3">
        <w:rPr>
          <w:rFonts w:ascii="Arial" w:hAnsi="Arial" w:cs="Arial"/>
          <w:bCs/>
          <w:color w:val="000000" w:themeColor="text1"/>
          <w:sz w:val="20"/>
          <w:szCs w:val="20"/>
        </w:rPr>
        <w:t>proračuna</w:t>
      </w:r>
      <w:r w:rsidR="00391021" w:rsidRPr="00384AA3">
        <w:rPr>
          <w:rFonts w:ascii="Arial" w:hAnsi="Arial" w:cs="Arial"/>
          <w:bCs/>
          <w:color w:val="000000" w:themeColor="text1"/>
          <w:sz w:val="20"/>
          <w:szCs w:val="20"/>
        </w:rPr>
        <w:t>,</w:t>
      </w:r>
      <w:r w:rsidRPr="00384AA3">
        <w:rPr>
          <w:rFonts w:ascii="Arial" w:hAnsi="Arial" w:cs="Arial"/>
          <w:bCs/>
          <w:color w:val="000000" w:themeColor="text1"/>
          <w:sz w:val="20"/>
          <w:szCs w:val="20"/>
        </w:rPr>
        <w:t xml:space="preserve"> je </w:t>
      </w:r>
      <w:r w:rsidR="00AB4E19" w:rsidRPr="00384AA3">
        <w:rPr>
          <w:rFonts w:ascii="Arial" w:hAnsi="Arial" w:cs="Arial"/>
          <w:bCs/>
          <w:color w:val="000000" w:themeColor="text1"/>
          <w:sz w:val="20"/>
          <w:szCs w:val="20"/>
        </w:rPr>
        <w:t>33,19</w:t>
      </w:r>
      <w:r w:rsidR="00AD749E" w:rsidRPr="00384AA3">
        <w:rPr>
          <w:rFonts w:ascii="Arial" w:hAnsi="Arial" w:cs="Arial"/>
          <w:bCs/>
          <w:color w:val="000000" w:themeColor="text1"/>
          <w:sz w:val="20"/>
          <w:szCs w:val="20"/>
        </w:rPr>
        <w:t>-</w:t>
      </w:r>
      <w:r w:rsidRPr="00384AA3">
        <w:rPr>
          <w:rFonts w:ascii="Arial" w:hAnsi="Arial" w:cs="Arial"/>
          <w:bCs/>
          <w:color w:val="000000" w:themeColor="text1"/>
          <w:sz w:val="20"/>
          <w:szCs w:val="20"/>
        </w:rPr>
        <w:t xml:space="preserve">odstoten. Glede na navedeno so </w:t>
      </w:r>
      <w:r w:rsidR="00144095" w:rsidRPr="00384AA3">
        <w:rPr>
          <w:rFonts w:ascii="Arial" w:hAnsi="Arial" w:cs="Arial"/>
          <w:bCs/>
          <w:color w:val="000000" w:themeColor="text1"/>
          <w:sz w:val="20"/>
          <w:szCs w:val="20"/>
        </w:rPr>
        <w:t>dobra</w:t>
      </w:r>
      <w:r w:rsidR="0093753B" w:rsidRPr="00384AA3">
        <w:rPr>
          <w:rFonts w:ascii="Arial" w:hAnsi="Arial" w:cs="Arial"/>
          <w:bCs/>
          <w:color w:val="000000" w:themeColor="text1"/>
          <w:sz w:val="20"/>
          <w:szCs w:val="20"/>
        </w:rPr>
        <w:t xml:space="preserve"> </w:t>
      </w:r>
      <w:r w:rsidR="00CE7960" w:rsidRPr="00384AA3">
        <w:rPr>
          <w:rFonts w:ascii="Arial" w:hAnsi="Arial" w:cs="Arial"/>
          <w:bCs/>
          <w:color w:val="000000" w:themeColor="text1"/>
          <w:sz w:val="20"/>
          <w:szCs w:val="20"/>
        </w:rPr>
        <w:t>tretjina</w:t>
      </w:r>
      <w:r w:rsidR="00E52825" w:rsidRPr="00384AA3">
        <w:rPr>
          <w:rFonts w:ascii="Arial" w:hAnsi="Arial" w:cs="Arial"/>
          <w:bCs/>
          <w:color w:val="000000" w:themeColor="text1"/>
          <w:sz w:val="20"/>
          <w:szCs w:val="20"/>
        </w:rPr>
        <w:t xml:space="preserve"> </w:t>
      </w:r>
      <w:r w:rsidRPr="00384AA3">
        <w:rPr>
          <w:rFonts w:ascii="Arial" w:hAnsi="Arial" w:cs="Arial"/>
          <w:bCs/>
          <w:sz w:val="20"/>
          <w:szCs w:val="20"/>
        </w:rPr>
        <w:t>državnega</w:t>
      </w:r>
      <w:r w:rsidRPr="00442D0E">
        <w:rPr>
          <w:rFonts w:ascii="Arial" w:hAnsi="Arial" w:cs="Arial"/>
          <w:bCs/>
          <w:sz w:val="20"/>
          <w:szCs w:val="20"/>
        </w:rPr>
        <w:t xml:space="preserve"> proračuna sredstva, ki jih proračunski uporabniki namenjajo dobavi blaga, storitev in </w:t>
      </w:r>
      <w:r w:rsidR="0061441E" w:rsidRPr="00442D0E">
        <w:rPr>
          <w:rFonts w:ascii="Arial" w:hAnsi="Arial" w:cs="Arial"/>
          <w:bCs/>
          <w:sz w:val="20"/>
          <w:szCs w:val="20"/>
        </w:rPr>
        <w:t>gradnji</w:t>
      </w:r>
      <w:r w:rsidRPr="00442D0E">
        <w:rPr>
          <w:rFonts w:ascii="Arial" w:hAnsi="Arial" w:cs="Arial"/>
          <w:bCs/>
          <w:sz w:val="20"/>
          <w:szCs w:val="20"/>
        </w:rPr>
        <w:t>, preostala proračunska sredstva pa se namenja</w:t>
      </w:r>
      <w:r w:rsidR="00B63B35" w:rsidRPr="00442D0E">
        <w:rPr>
          <w:rFonts w:ascii="Arial" w:hAnsi="Arial" w:cs="Arial"/>
          <w:bCs/>
          <w:sz w:val="20"/>
          <w:szCs w:val="20"/>
        </w:rPr>
        <w:t>jo za</w:t>
      </w:r>
      <w:r w:rsidRPr="00442D0E">
        <w:rPr>
          <w:rFonts w:ascii="Arial" w:hAnsi="Arial" w:cs="Arial"/>
          <w:bCs/>
          <w:sz w:val="20"/>
          <w:szCs w:val="20"/>
        </w:rPr>
        <w:t xml:space="preserve"> materialn</w:t>
      </w:r>
      <w:r w:rsidR="00B63B35" w:rsidRPr="00442D0E">
        <w:rPr>
          <w:rFonts w:ascii="Arial" w:hAnsi="Arial" w:cs="Arial"/>
          <w:bCs/>
          <w:sz w:val="20"/>
          <w:szCs w:val="20"/>
        </w:rPr>
        <w:t>e</w:t>
      </w:r>
      <w:r w:rsidRPr="00442D0E">
        <w:rPr>
          <w:rFonts w:ascii="Arial" w:hAnsi="Arial" w:cs="Arial"/>
          <w:bCs/>
          <w:sz w:val="20"/>
          <w:szCs w:val="20"/>
        </w:rPr>
        <w:t xml:space="preserve"> strošk</w:t>
      </w:r>
      <w:r w:rsidR="00B63B35" w:rsidRPr="00442D0E">
        <w:rPr>
          <w:rFonts w:ascii="Arial" w:hAnsi="Arial" w:cs="Arial"/>
          <w:bCs/>
          <w:sz w:val="20"/>
          <w:szCs w:val="20"/>
        </w:rPr>
        <w:t>e</w:t>
      </w:r>
      <w:r w:rsidRPr="00442D0E">
        <w:rPr>
          <w:rFonts w:ascii="Arial" w:hAnsi="Arial" w:cs="Arial"/>
          <w:bCs/>
          <w:sz w:val="20"/>
          <w:szCs w:val="20"/>
        </w:rPr>
        <w:t xml:space="preserve"> dela </w:t>
      </w:r>
      <w:r w:rsidR="0027751C" w:rsidRPr="00442D0E">
        <w:rPr>
          <w:rFonts w:ascii="Arial" w:hAnsi="Arial" w:cs="Arial"/>
          <w:bCs/>
          <w:sz w:val="20"/>
          <w:szCs w:val="20"/>
        </w:rPr>
        <w:t xml:space="preserve">ter </w:t>
      </w:r>
      <w:r w:rsidRPr="00442D0E">
        <w:rPr>
          <w:rFonts w:ascii="Arial" w:hAnsi="Arial" w:cs="Arial"/>
          <w:bCs/>
          <w:sz w:val="20"/>
          <w:szCs w:val="20"/>
        </w:rPr>
        <w:t>v večjem delu za transferje (subvencije, državne pomoči</w:t>
      </w:r>
      <w:r w:rsidR="00113889" w:rsidRPr="00442D0E">
        <w:rPr>
          <w:rFonts w:ascii="Arial" w:hAnsi="Arial" w:cs="Arial"/>
          <w:bCs/>
          <w:sz w:val="20"/>
          <w:szCs w:val="20"/>
        </w:rPr>
        <w:t xml:space="preserve"> </w:t>
      </w:r>
      <w:r w:rsidR="009F7B6D">
        <w:rPr>
          <w:rFonts w:ascii="Arial" w:hAnsi="Arial" w:cs="Arial"/>
          <w:bCs/>
          <w:sz w:val="20"/>
          <w:szCs w:val="20"/>
        </w:rPr>
        <w:t>in podobno</w:t>
      </w:r>
      <w:r w:rsidRPr="00442D0E">
        <w:rPr>
          <w:rFonts w:ascii="Arial" w:hAnsi="Arial" w:cs="Arial"/>
          <w:bCs/>
          <w:sz w:val="20"/>
          <w:szCs w:val="20"/>
        </w:rPr>
        <w:t>).</w:t>
      </w:r>
    </w:p>
    <w:p w14:paraId="4E3CB159" w14:textId="6E359F77" w:rsidR="00AA5A3E" w:rsidRPr="00AA6765" w:rsidRDefault="00AA5A3E" w:rsidP="000D71AD">
      <w:pPr>
        <w:pStyle w:val="Naslov3"/>
        <w:spacing w:before="0"/>
        <w:rPr>
          <w:rFonts w:ascii="Arial" w:hAnsi="Arial" w:cs="Arial"/>
          <w:sz w:val="22"/>
          <w:szCs w:val="22"/>
        </w:rPr>
      </w:pPr>
      <w:bookmarkStart w:id="14" w:name="_Toc141864049"/>
      <w:r w:rsidRPr="00AA6765">
        <w:rPr>
          <w:rFonts w:ascii="Arial" w:hAnsi="Arial" w:cs="Arial"/>
          <w:sz w:val="22"/>
          <w:szCs w:val="22"/>
        </w:rPr>
        <w:t xml:space="preserve">2.1.3 Število naročnikov z objavljenim obvestilom o oddaji </w:t>
      </w:r>
      <w:r w:rsidR="006507A8" w:rsidRPr="00AA6765">
        <w:rPr>
          <w:rFonts w:ascii="Arial" w:hAnsi="Arial" w:cs="Arial"/>
          <w:sz w:val="22"/>
          <w:szCs w:val="22"/>
        </w:rPr>
        <w:t>javnega naročila in</w:t>
      </w:r>
      <w:r w:rsidRPr="00AA6765">
        <w:rPr>
          <w:rFonts w:ascii="Arial" w:hAnsi="Arial" w:cs="Arial"/>
          <w:sz w:val="22"/>
          <w:szCs w:val="22"/>
        </w:rPr>
        <w:t xml:space="preserve"> </w:t>
      </w:r>
      <w:r w:rsidR="00113889" w:rsidRPr="00AA6765">
        <w:rPr>
          <w:rFonts w:ascii="Arial" w:hAnsi="Arial" w:cs="Arial"/>
          <w:sz w:val="22"/>
          <w:szCs w:val="22"/>
        </w:rPr>
        <w:t xml:space="preserve">s </w:t>
      </w:r>
      <w:r w:rsidRPr="00AA6765">
        <w:rPr>
          <w:rFonts w:ascii="Arial" w:hAnsi="Arial" w:cs="Arial"/>
          <w:sz w:val="22"/>
          <w:szCs w:val="22"/>
        </w:rPr>
        <w:t>sporočenimi podatki o evidenčnih naročilih</w:t>
      </w:r>
      <w:bookmarkEnd w:id="14"/>
    </w:p>
    <w:p w14:paraId="096C8292" w14:textId="77B9502F" w:rsidR="00854405" w:rsidRPr="00AA6765" w:rsidRDefault="00854405" w:rsidP="00854405">
      <w:pPr>
        <w:pStyle w:val="ZADEVA"/>
        <w:jc w:val="both"/>
        <w:rPr>
          <w:rFonts w:cs="Arial"/>
          <w:b w:val="0"/>
          <w:szCs w:val="20"/>
          <w:lang w:val="sl-SI"/>
        </w:rPr>
      </w:pPr>
    </w:p>
    <w:p w14:paraId="22D9C959" w14:textId="44853323" w:rsidR="008E5B56" w:rsidRPr="004D47AD" w:rsidRDefault="008E5B56" w:rsidP="008E5B56">
      <w:pPr>
        <w:spacing w:line="360" w:lineRule="auto"/>
        <w:jc w:val="both"/>
        <w:rPr>
          <w:rFonts w:ascii="Arial" w:hAnsi="Arial" w:cs="Arial"/>
          <w:bCs/>
          <w:sz w:val="20"/>
          <w:szCs w:val="20"/>
        </w:rPr>
      </w:pPr>
      <w:r w:rsidRPr="00AA6765">
        <w:rPr>
          <w:rFonts w:ascii="Arial" w:hAnsi="Arial" w:cs="Arial"/>
          <w:sz w:val="20"/>
          <w:szCs w:val="20"/>
        </w:rPr>
        <w:t xml:space="preserve">Iz </w:t>
      </w:r>
      <w:r w:rsidRPr="00AA6765">
        <w:rPr>
          <w:rFonts w:ascii="Arial" w:hAnsi="Arial" w:cs="Arial"/>
          <w:bCs/>
          <w:sz w:val="20"/>
          <w:szCs w:val="20"/>
        </w:rPr>
        <w:t xml:space="preserve">obvestil o oddaji javnih naročil, objavljenih na portalu javnih naročil oziroma v Uradnem listu Evropske unije, in </w:t>
      </w:r>
      <w:r w:rsidR="00113889" w:rsidRPr="00AA6765">
        <w:rPr>
          <w:rFonts w:ascii="Arial" w:hAnsi="Arial" w:cs="Arial"/>
          <w:bCs/>
          <w:sz w:val="20"/>
          <w:szCs w:val="20"/>
        </w:rPr>
        <w:t xml:space="preserve">iz </w:t>
      </w:r>
      <w:r w:rsidRPr="00AA6765">
        <w:rPr>
          <w:rFonts w:ascii="Arial" w:hAnsi="Arial" w:cs="Arial"/>
          <w:bCs/>
          <w:sz w:val="20"/>
          <w:szCs w:val="20"/>
        </w:rPr>
        <w:t xml:space="preserve">sporočenih </w:t>
      </w:r>
      <w:r w:rsidRPr="00AA6765">
        <w:rPr>
          <w:rFonts w:ascii="Arial" w:hAnsi="Arial" w:cs="Arial"/>
          <w:sz w:val="20"/>
          <w:szCs w:val="20"/>
        </w:rPr>
        <w:t xml:space="preserve">statističnih podatkov o </w:t>
      </w:r>
      <w:r w:rsidRPr="00AA6765">
        <w:rPr>
          <w:rFonts w:ascii="Arial" w:hAnsi="Arial" w:cs="Arial"/>
          <w:bCs/>
          <w:sz w:val="20"/>
          <w:szCs w:val="20"/>
        </w:rPr>
        <w:t xml:space="preserve">evidenčnih </w:t>
      </w:r>
      <w:r w:rsidRPr="00AA6765">
        <w:rPr>
          <w:rFonts w:ascii="Arial" w:hAnsi="Arial" w:cs="Arial"/>
          <w:sz w:val="20"/>
          <w:szCs w:val="20"/>
        </w:rPr>
        <w:t>naročili</w:t>
      </w:r>
      <w:r w:rsidR="00354C54" w:rsidRPr="00AA6765">
        <w:rPr>
          <w:rFonts w:ascii="Arial" w:hAnsi="Arial" w:cs="Arial"/>
          <w:sz w:val="20"/>
          <w:szCs w:val="20"/>
        </w:rPr>
        <w:t>h</w:t>
      </w:r>
      <w:r w:rsidR="005E5708" w:rsidRPr="00AA6765">
        <w:rPr>
          <w:rFonts w:ascii="Arial" w:hAnsi="Arial" w:cs="Arial"/>
          <w:sz w:val="20"/>
          <w:szCs w:val="20"/>
        </w:rPr>
        <w:t xml:space="preserve"> </w:t>
      </w:r>
      <w:r w:rsidR="004E576C" w:rsidRPr="00AA6765">
        <w:rPr>
          <w:rFonts w:ascii="Arial" w:hAnsi="Arial" w:cs="Arial"/>
          <w:sz w:val="20"/>
          <w:szCs w:val="20"/>
        </w:rPr>
        <w:t>izhaja</w:t>
      </w:r>
      <w:r w:rsidR="00354C54" w:rsidRPr="00AA6765">
        <w:rPr>
          <w:rFonts w:ascii="Arial" w:hAnsi="Arial" w:cs="Arial"/>
          <w:sz w:val="20"/>
          <w:szCs w:val="20"/>
        </w:rPr>
        <w:t xml:space="preserve">, da je </w:t>
      </w:r>
      <w:r w:rsidR="00BD6B05" w:rsidRPr="00AA6765">
        <w:rPr>
          <w:rFonts w:ascii="Arial" w:hAnsi="Arial" w:cs="Arial"/>
          <w:sz w:val="20"/>
          <w:szCs w:val="20"/>
        </w:rPr>
        <w:t xml:space="preserve">leta </w:t>
      </w:r>
      <w:r w:rsidR="00B06E63" w:rsidRPr="00AA6765">
        <w:rPr>
          <w:rFonts w:ascii="Arial" w:hAnsi="Arial" w:cs="Arial"/>
          <w:sz w:val="20"/>
          <w:szCs w:val="20"/>
        </w:rPr>
        <w:t>20</w:t>
      </w:r>
      <w:r w:rsidR="00D9787A" w:rsidRPr="00AA6765">
        <w:rPr>
          <w:rFonts w:ascii="Arial" w:hAnsi="Arial" w:cs="Arial"/>
          <w:sz w:val="20"/>
          <w:szCs w:val="20"/>
        </w:rPr>
        <w:t>2</w:t>
      </w:r>
      <w:r w:rsidR="00AA6765" w:rsidRPr="00AA6765">
        <w:rPr>
          <w:rFonts w:ascii="Arial" w:hAnsi="Arial" w:cs="Arial"/>
          <w:sz w:val="20"/>
          <w:szCs w:val="20"/>
        </w:rPr>
        <w:t>2</w:t>
      </w:r>
      <w:r w:rsidR="00B06E63" w:rsidRPr="00AA6765">
        <w:rPr>
          <w:rFonts w:ascii="Arial" w:hAnsi="Arial" w:cs="Arial"/>
          <w:sz w:val="20"/>
          <w:szCs w:val="20"/>
        </w:rPr>
        <w:t xml:space="preserve"> javna naročila oddalo </w:t>
      </w:r>
      <w:r w:rsidR="00CB29E7" w:rsidRPr="00AA6765">
        <w:rPr>
          <w:rFonts w:ascii="Arial" w:hAnsi="Arial" w:cs="Arial"/>
          <w:sz w:val="20"/>
          <w:szCs w:val="20"/>
        </w:rPr>
        <w:t>21</w:t>
      </w:r>
      <w:r w:rsidR="00AA6765" w:rsidRPr="00AA6765">
        <w:rPr>
          <w:rFonts w:ascii="Arial" w:hAnsi="Arial" w:cs="Arial"/>
          <w:sz w:val="20"/>
          <w:szCs w:val="20"/>
        </w:rPr>
        <w:t>69</w:t>
      </w:r>
      <w:r w:rsidR="003C1E1E" w:rsidRPr="00AA6765">
        <w:rPr>
          <w:rFonts w:ascii="Arial" w:hAnsi="Arial" w:cs="Arial"/>
          <w:sz w:val="20"/>
          <w:szCs w:val="20"/>
        </w:rPr>
        <w:t xml:space="preserve"> </w:t>
      </w:r>
      <w:r w:rsidRPr="00AA6765">
        <w:rPr>
          <w:rFonts w:ascii="Arial" w:hAnsi="Arial" w:cs="Arial"/>
          <w:sz w:val="20"/>
          <w:szCs w:val="20"/>
        </w:rPr>
        <w:t>naročnikov.</w:t>
      </w:r>
      <w:r w:rsidRPr="00AA6765">
        <w:rPr>
          <w:rFonts w:ascii="Arial" w:hAnsi="Arial" w:cs="Arial"/>
          <w:bCs/>
          <w:sz w:val="20"/>
          <w:szCs w:val="20"/>
        </w:rPr>
        <w:t xml:space="preserve"> Podatke o evi</w:t>
      </w:r>
      <w:r w:rsidR="00055926" w:rsidRPr="00AA6765">
        <w:rPr>
          <w:rFonts w:ascii="Arial" w:hAnsi="Arial" w:cs="Arial"/>
          <w:bCs/>
          <w:sz w:val="20"/>
          <w:szCs w:val="20"/>
        </w:rPr>
        <w:t xml:space="preserve">denčnih naročilih je oddalo </w:t>
      </w:r>
      <w:r w:rsidR="00D9787A" w:rsidRPr="00AA6765">
        <w:rPr>
          <w:rFonts w:ascii="Arial" w:hAnsi="Arial" w:cs="Arial"/>
          <w:bCs/>
          <w:sz w:val="20"/>
          <w:szCs w:val="20"/>
        </w:rPr>
        <w:t>20</w:t>
      </w:r>
      <w:r w:rsidR="00DE71DA" w:rsidRPr="00AA6765">
        <w:rPr>
          <w:rFonts w:ascii="Arial" w:hAnsi="Arial" w:cs="Arial"/>
          <w:bCs/>
          <w:sz w:val="20"/>
          <w:szCs w:val="20"/>
        </w:rPr>
        <w:t>8</w:t>
      </w:r>
      <w:r w:rsidR="00AA6765" w:rsidRPr="00AA6765">
        <w:rPr>
          <w:rFonts w:ascii="Arial" w:hAnsi="Arial" w:cs="Arial"/>
          <w:bCs/>
          <w:sz w:val="20"/>
          <w:szCs w:val="20"/>
        </w:rPr>
        <w:t>3</w:t>
      </w:r>
      <w:r w:rsidRPr="00AA6765">
        <w:rPr>
          <w:rFonts w:ascii="Arial" w:hAnsi="Arial" w:cs="Arial"/>
          <w:bCs/>
          <w:sz w:val="20"/>
          <w:szCs w:val="20"/>
        </w:rPr>
        <w:t xml:space="preserve"> naročnikov</w:t>
      </w:r>
      <w:r w:rsidR="00D4172D" w:rsidRPr="00AA6765">
        <w:rPr>
          <w:rFonts w:ascii="Arial" w:hAnsi="Arial" w:cs="Arial"/>
          <w:bCs/>
          <w:sz w:val="20"/>
          <w:szCs w:val="20"/>
        </w:rPr>
        <w:t>, od katerih jih je 1</w:t>
      </w:r>
      <w:r w:rsidR="00AA6765" w:rsidRPr="00AA6765">
        <w:rPr>
          <w:rFonts w:ascii="Arial" w:hAnsi="Arial" w:cs="Arial"/>
          <w:bCs/>
          <w:sz w:val="20"/>
          <w:szCs w:val="20"/>
        </w:rPr>
        <w:t>226</w:t>
      </w:r>
      <w:r w:rsidR="00BC41E3" w:rsidRPr="00AA6765">
        <w:rPr>
          <w:rFonts w:ascii="Arial" w:hAnsi="Arial" w:cs="Arial"/>
          <w:sz w:val="20"/>
          <w:szCs w:val="20"/>
        </w:rPr>
        <w:t xml:space="preserve"> oddalo samo evidenčna</w:t>
      </w:r>
      <w:r w:rsidRPr="00AA6765">
        <w:rPr>
          <w:rFonts w:ascii="Arial" w:hAnsi="Arial" w:cs="Arial"/>
          <w:sz w:val="20"/>
          <w:szCs w:val="20"/>
        </w:rPr>
        <w:t xml:space="preserve"> naročila.</w:t>
      </w:r>
      <w:r w:rsidR="000C5E13" w:rsidRPr="00AA6765">
        <w:rPr>
          <w:rFonts w:ascii="Arial" w:hAnsi="Arial" w:cs="Arial"/>
          <w:sz w:val="20"/>
          <w:szCs w:val="20"/>
        </w:rPr>
        <w:t xml:space="preserve"> </w:t>
      </w:r>
      <w:r w:rsidR="00D93DA7">
        <w:rPr>
          <w:rFonts w:ascii="Arial" w:hAnsi="Arial" w:cs="Arial"/>
          <w:sz w:val="20"/>
          <w:szCs w:val="20"/>
        </w:rPr>
        <w:t>N</w:t>
      </w:r>
      <w:r w:rsidRPr="00AA6765">
        <w:rPr>
          <w:rFonts w:ascii="Arial" w:hAnsi="Arial" w:cs="Arial"/>
          <w:sz w:val="20"/>
          <w:szCs w:val="20"/>
        </w:rPr>
        <w:t>aročnikov</w:t>
      </w:r>
      <w:r w:rsidR="0027751C" w:rsidRPr="00AA6765">
        <w:rPr>
          <w:rFonts w:ascii="Arial" w:hAnsi="Arial" w:cs="Arial"/>
          <w:sz w:val="20"/>
          <w:szCs w:val="20"/>
        </w:rPr>
        <w:t>, ki so</w:t>
      </w:r>
      <w:r w:rsidRPr="00AA6765">
        <w:rPr>
          <w:rFonts w:ascii="Arial" w:hAnsi="Arial" w:cs="Arial"/>
          <w:sz w:val="20"/>
          <w:szCs w:val="20"/>
        </w:rPr>
        <w:t xml:space="preserve"> oddal</w:t>
      </w:r>
      <w:r w:rsidR="0027751C" w:rsidRPr="00AA6765">
        <w:rPr>
          <w:rFonts w:ascii="Arial" w:hAnsi="Arial" w:cs="Arial"/>
          <w:sz w:val="20"/>
          <w:szCs w:val="20"/>
        </w:rPr>
        <w:t>i</w:t>
      </w:r>
      <w:r w:rsidRPr="00AA6765">
        <w:rPr>
          <w:rFonts w:ascii="Arial" w:hAnsi="Arial" w:cs="Arial"/>
          <w:sz w:val="20"/>
          <w:szCs w:val="20"/>
        </w:rPr>
        <w:t xml:space="preserve"> le naročila, </w:t>
      </w:r>
      <w:r w:rsidRPr="00AA6765">
        <w:rPr>
          <w:rFonts w:ascii="Arial" w:hAnsi="Arial" w:cs="Arial"/>
          <w:sz w:val="20"/>
          <w:szCs w:val="20"/>
          <w:lang w:eastAsia="sl-SI"/>
        </w:rPr>
        <w:t xml:space="preserve">objavljena na portalu javnih </w:t>
      </w:r>
      <w:r w:rsidRPr="004D47AD">
        <w:rPr>
          <w:rFonts w:ascii="Arial" w:hAnsi="Arial" w:cs="Arial"/>
          <w:sz w:val="20"/>
          <w:szCs w:val="20"/>
          <w:lang w:eastAsia="sl-SI"/>
        </w:rPr>
        <w:t>naročil oziroma</w:t>
      </w:r>
      <w:r w:rsidRPr="004D47AD">
        <w:rPr>
          <w:rFonts w:ascii="Arial" w:hAnsi="Arial" w:cs="Arial"/>
          <w:bCs/>
          <w:sz w:val="20"/>
          <w:szCs w:val="20"/>
        </w:rPr>
        <w:t xml:space="preserve"> v Uradnem list</w:t>
      </w:r>
      <w:r w:rsidR="00D4172D" w:rsidRPr="004D47AD">
        <w:rPr>
          <w:rFonts w:ascii="Arial" w:hAnsi="Arial" w:cs="Arial"/>
          <w:bCs/>
          <w:sz w:val="20"/>
          <w:szCs w:val="20"/>
        </w:rPr>
        <w:t>u Evropske unije</w:t>
      </w:r>
      <w:r w:rsidR="0027751C" w:rsidRPr="004D47AD">
        <w:rPr>
          <w:rFonts w:ascii="Arial" w:hAnsi="Arial" w:cs="Arial"/>
          <w:bCs/>
          <w:sz w:val="20"/>
          <w:szCs w:val="20"/>
        </w:rPr>
        <w:t xml:space="preserve">, je bilo </w:t>
      </w:r>
      <w:r w:rsidR="00AA6765" w:rsidRPr="004D47AD">
        <w:rPr>
          <w:rFonts w:ascii="Arial" w:hAnsi="Arial" w:cs="Arial"/>
          <w:bCs/>
          <w:sz w:val="20"/>
          <w:szCs w:val="20"/>
        </w:rPr>
        <w:t>86</w:t>
      </w:r>
      <w:r w:rsidR="00D4172D" w:rsidRPr="004D47AD">
        <w:rPr>
          <w:rFonts w:ascii="Arial" w:hAnsi="Arial" w:cs="Arial"/>
          <w:bCs/>
          <w:sz w:val="20"/>
          <w:szCs w:val="20"/>
        </w:rPr>
        <w:t xml:space="preserve">. </w:t>
      </w:r>
      <w:r w:rsidR="00D9787A" w:rsidRPr="004D47AD">
        <w:rPr>
          <w:rFonts w:ascii="Arial" w:hAnsi="Arial" w:cs="Arial"/>
          <w:bCs/>
          <w:sz w:val="20"/>
          <w:szCs w:val="20"/>
        </w:rPr>
        <w:t>E</w:t>
      </w:r>
      <w:r w:rsidRPr="004D47AD">
        <w:rPr>
          <w:rFonts w:ascii="Arial" w:hAnsi="Arial" w:cs="Arial"/>
          <w:bCs/>
          <w:sz w:val="20"/>
          <w:szCs w:val="20"/>
        </w:rPr>
        <w:t xml:space="preserve">videnčna naročila in naročila, </w:t>
      </w:r>
      <w:r w:rsidRPr="004D47AD">
        <w:rPr>
          <w:rFonts w:ascii="Arial" w:hAnsi="Arial" w:cs="Arial"/>
          <w:sz w:val="20"/>
          <w:szCs w:val="20"/>
          <w:lang w:eastAsia="sl-SI"/>
        </w:rPr>
        <w:t>objavljena na portalu javnih naročil oziroma</w:t>
      </w:r>
      <w:r w:rsidRPr="004D47AD">
        <w:rPr>
          <w:rFonts w:ascii="Arial" w:hAnsi="Arial" w:cs="Arial"/>
          <w:bCs/>
          <w:sz w:val="20"/>
          <w:szCs w:val="20"/>
        </w:rPr>
        <w:t xml:space="preserve"> v Uradnem listu Evropske unije</w:t>
      </w:r>
      <w:r w:rsidR="00814F47" w:rsidRPr="004D47AD">
        <w:rPr>
          <w:rFonts w:ascii="Arial" w:hAnsi="Arial" w:cs="Arial"/>
          <w:bCs/>
          <w:sz w:val="20"/>
          <w:szCs w:val="20"/>
        </w:rPr>
        <w:t>,</w:t>
      </w:r>
      <w:r w:rsidR="00D9787A" w:rsidRPr="004D47AD">
        <w:rPr>
          <w:rFonts w:ascii="Arial" w:hAnsi="Arial" w:cs="Arial"/>
          <w:bCs/>
          <w:sz w:val="20"/>
          <w:szCs w:val="20"/>
        </w:rPr>
        <w:t xml:space="preserve"> je oddalo</w:t>
      </w:r>
      <w:r w:rsidR="004D47AD" w:rsidRPr="004D47AD">
        <w:rPr>
          <w:rFonts w:ascii="Arial" w:hAnsi="Arial" w:cs="Arial"/>
          <w:bCs/>
          <w:sz w:val="20"/>
          <w:szCs w:val="20"/>
        </w:rPr>
        <w:t xml:space="preserve"> 857</w:t>
      </w:r>
      <w:r w:rsidR="00D9787A" w:rsidRPr="004D47AD">
        <w:rPr>
          <w:rFonts w:ascii="Arial" w:hAnsi="Arial" w:cs="Arial"/>
          <w:bCs/>
          <w:sz w:val="20"/>
          <w:szCs w:val="20"/>
        </w:rPr>
        <w:t xml:space="preserve"> naročnikov</w:t>
      </w:r>
      <w:r w:rsidRPr="004D47AD">
        <w:rPr>
          <w:rFonts w:ascii="Arial" w:hAnsi="Arial" w:cs="Arial"/>
          <w:bCs/>
          <w:sz w:val="20"/>
          <w:szCs w:val="20"/>
        </w:rPr>
        <w:t xml:space="preserve">. Glede na navedeno in število naročnikov, vpisanih </w:t>
      </w:r>
      <w:r w:rsidR="00550EC9" w:rsidRPr="004D47AD">
        <w:rPr>
          <w:rFonts w:ascii="Arial" w:hAnsi="Arial" w:cs="Arial"/>
          <w:bCs/>
          <w:sz w:val="20"/>
          <w:szCs w:val="20"/>
        </w:rPr>
        <w:t>na</w:t>
      </w:r>
      <w:r w:rsidRPr="004D47AD">
        <w:rPr>
          <w:rFonts w:ascii="Arial" w:hAnsi="Arial" w:cs="Arial"/>
          <w:bCs/>
          <w:sz w:val="20"/>
          <w:szCs w:val="20"/>
        </w:rPr>
        <w:t xml:space="preserve"> informativni seznam naročnikov iz </w:t>
      </w:r>
      <w:r w:rsidR="00113889" w:rsidRPr="004D47AD">
        <w:rPr>
          <w:rFonts w:ascii="Arial" w:hAnsi="Arial" w:cs="Arial"/>
          <w:bCs/>
          <w:sz w:val="20"/>
          <w:szCs w:val="20"/>
        </w:rPr>
        <w:t>p</w:t>
      </w:r>
      <w:r w:rsidRPr="004D47AD">
        <w:rPr>
          <w:rFonts w:ascii="Arial" w:hAnsi="Arial" w:cs="Arial"/>
          <w:bCs/>
          <w:sz w:val="20"/>
          <w:szCs w:val="20"/>
        </w:rPr>
        <w:t>riloge 3 Uredbe o informativnem seznamu naročnikov in obveznih informacijah v obvestilih za postopek naročila male vrednosti (Uradni list RS, št. 37</w:t>
      </w:r>
      <w:r w:rsidR="0034014B" w:rsidRPr="004D47AD">
        <w:rPr>
          <w:rFonts w:ascii="Arial" w:hAnsi="Arial" w:cs="Arial"/>
          <w:bCs/>
          <w:sz w:val="20"/>
          <w:szCs w:val="20"/>
        </w:rPr>
        <w:t xml:space="preserve">/16), </w:t>
      </w:r>
      <w:r w:rsidR="00BD6B05" w:rsidRPr="004D47AD">
        <w:rPr>
          <w:rFonts w:ascii="Arial" w:hAnsi="Arial" w:cs="Arial"/>
          <w:bCs/>
          <w:sz w:val="20"/>
          <w:szCs w:val="20"/>
        </w:rPr>
        <w:t>leta</w:t>
      </w:r>
      <w:r w:rsidR="0034014B" w:rsidRPr="004D47AD">
        <w:rPr>
          <w:rFonts w:ascii="Arial" w:hAnsi="Arial" w:cs="Arial"/>
          <w:bCs/>
          <w:sz w:val="20"/>
          <w:szCs w:val="20"/>
        </w:rPr>
        <w:t xml:space="preserve"> 20</w:t>
      </w:r>
      <w:r w:rsidR="00D9787A" w:rsidRPr="004D47AD">
        <w:rPr>
          <w:rFonts w:ascii="Arial" w:hAnsi="Arial" w:cs="Arial"/>
          <w:bCs/>
          <w:sz w:val="20"/>
          <w:szCs w:val="20"/>
        </w:rPr>
        <w:t>2</w:t>
      </w:r>
      <w:r w:rsidR="004D47AD" w:rsidRPr="004D47AD">
        <w:rPr>
          <w:rFonts w:ascii="Arial" w:hAnsi="Arial" w:cs="Arial"/>
          <w:bCs/>
          <w:sz w:val="20"/>
          <w:szCs w:val="20"/>
        </w:rPr>
        <w:t>2</w:t>
      </w:r>
      <w:r w:rsidR="0034014B" w:rsidRPr="004D47AD">
        <w:rPr>
          <w:rFonts w:ascii="Arial" w:hAnsi="Arial" w:cs="Arial"/>
          <w:bCs/>
          <w:sz w:val="20"/>
          <w:szCs w:val="20"/>
        </w:rPr>
        <w:t xml:space="preserve"> približno </w:t>
      </w:r>
      <w:r w:rsidR="00420F8B" w:rsidRPr="004D47AD">
        <w:rPr>
          <w:rFonts w:ascii="Arial" w:hAnsi="Arial" w:cs="Arial"/>
          <w:bCs/>
          <w:sz w:val="20"/>
          <w:szCs w:val="20"/>
        </w:rPr>
        <w:t>9</w:t>
      </w:r>
      <w:r w:rsidR="004D47AD" w:rsidRPr="004D47AD">
        <w:rPr>
          <w:rFonts w:ascii="Arial" w:hAnsi="Arial" w:cs="Arial"/>
          <w:bCs/>
          <w:sz w:val="20"/>
          <w:szCs w:val="20"/>
        </w:rPr>
        <w:t>50</w:t>
      </w:r>
      <w:r w:rsidRPr="004D47AD">
        <w:rPr>
          <w:rFonts w:ascii="Arial" w:hAnsi="Arial" w:cs="Arial"/>
          <w:bCs/>
          <w:sz w:val="20"/>
          <w:szCs w:val="20"/>
        </w:rPr>
        <w:t xml:space="preserve"> naročnikov ni oddalo nobenega javnega naročila.</w:t>
      </w:r>
      <w:r w:rsidR="00A0323B" w:rsidRPr="004D47AD">
        <w:rPr>
          <w:rFonts w:ascii="Arial" w:hAnsi="Arial" w:cs="Arial"/>
          <w:bCs/>
          <w:sz w:val="20"/>
          <w:szCs w:val="20"/>
        </w:rPr>
        <w:t xml:space="preserve"> </w:t>
      </w:r>
    </w:p>
    <w:p w14:paraId="180E188D" w14:textId="07AB294B" w:rsidR="008E5B56" w:rsidRPr="004D47AD" w:rsidRDefault="00113889" w:rsidP="008E5B56">
      <w:pPr>
        <w:spacing w:line="360" w:lineRule="auto"/>
        <w:jc w:val="both"/>
        <w:rPr>
          <w:rFonts w:ascii="Arial" w:hAnsi="Arial" w:cs="Arial"/>
          <w:sz w:val="20"/>
          <w:szCs w:val="20"/>
        </w:rPr>
      </w:pPr>
      <w:r w:rsidRPr="004D47AD">
        <w:rPr>
          <w:rFonts w:ascii="Arial" w:hAnsi="Arial" w:cs="Arial"/>
          <w:sz w:val="20"/>
          <w:szCs w:val="20"/>
        </w:rPr>
        <w:t>N</w:t>
      </w:r>
      <w:r w:rsidR="008E5B56" w:rsidRPr="004D47AD">
        <w:rPr>
          <w:rFonts w:ascii="Arial" w:hAnsi="Arial" w:cs="Arial"/>
          <w:sz w:val="20"/>
          <w:szCs w:val="20"/>
        </w:rPr>
        <w:t xml:space="preserve">aročniki, ki niso sporočili podatkov oziroma niso oddali naročil ali so zanje oddali podatke drugi naročniki, so </w:t>
      </w:r>
      <w:r w:rsidR="00E97630" w:rsidRPr="004D47AD">
        <w:rPr>
          <w:rFonts w:ascii="Arial" w:hAnsi="Arial" w:cs="Arial"/>
          <w:sz w:val="20"/>
          <w:szCs w:val="20"/>
        </w:rPr>
        <w:t xml:space="preserve">tako kot v </w:t>
      </w:r>
      <w:r w:rsidR="009F7B6D">
        <w:rPr>
          <w:rFonts w:ascii="Arial" w:hAnsi="Arial" w:cs="Arial"/>
          <w:sz w:val="20"/>
          <w:szCs w:val="20"/>
        </w:rPr>
        <w:t>prejšnjih</w:t>
      </w:r>
      <w:r w:rsidR="00E97630" w:rsidRPr="004D47AD">
        <w:rPr>
          <w:rFonts w:ascii="Arial" w:hAnsi="Arial" w:cs="Arial"/>
          <w:sz w:val="20"/>
          <w:szCs w:val="20"/>
        </w:rPr>
        <w:t xml:space="preserve"> letih </w:t>
      </w:r>
      <w:r w:rsidR="008E5B56" w:rsidRPr="004D47AD">
        <w:rPr>
          <w:rFonts w:ascii="Arial" w:hAnsi="Arial" w:cs="Arial"/>
          <w:sz w:val="20"/>
          <w:szCs w:val="20"/>
        </w:rPr>
        <w:t xml:space="preserve">predvsem krajevne in četrtne skupnosti </w:t>
      </w:r>
      <w:r w:rsidR="008D635B" w:rsidRPr="004D47AD">
        <w:rPr>
          <w:rFonts w:ascii="Arial" w:hAnsi="Arial" w:cs="Arial"/>
          <w:sz w:val="20"/>
          <w:szCs w:val="20"/>
        </w:rPr>
        <w:t>(</w:t>
      </w:r>
      <w:r w:rsidR="00AD749E" w:rsidRPr="004D47AD">
        <w:rPr>
          <w:rFonts w:ascii="Arial" w:hAnsi="Arial" w:cs="Arial"/>
          <w:sz w:val="20"/>
          <w:szCs w:val="20"/>
        </w:rPr>
        <w:t>teh je</w:t>
      </w:r>
      <w:r w:rsidR="008E5B56" w:rsidRPr="004D47AD">
        <w:rPr>
          <w:rFonts w:ascii="Arial" w:hAnsi="Arial" w:cs="Arial"/>
          <w:sz w:val="20"/>
          <w:szCs w:val="20"/>
        </w:rPr>
        <w:t xml:space="preserve"> približno dve tretjini vseh naročnikov</w:t>
      </w:r>
      <w:r w:rsidR="008D635B" w:rsidRPr="004D47AD">
        <w:rPr>
          <w:rFonts w:ascii="Arial" w:hAnsi="Arial" w:cs="Arial"/>
          <w:sz w:val="20"/>
          <w:szCs w:val="20"/>
        </w:rPr>
        <w:t>)</w:t>
      </w:r>
      <w:r w:rsidR="008E5B56" w:rsidRPr="004D47AD">
        <w:rPr>
          <w:rFonts w:ascii="Arial" w:hAnsi="Arial" w:cs="Arial"/>
          <w:sz w:val="20"/>
          <w:szCs w:val="20"/>
        </w:rPr>
        <w:t>, javni zavodi s področja izobraževanja (vrtci, osnovne in srednje šole, ljudske univerze, knjižnice</w:t>
      </w:r>
      <w:r w:rsidRPr="004D47AD">
        <w:rPr>
          <w:rFonts w:ascii="Arial" w:hAnsi="Arial" w:cs="Arial"/>
          <w:sz w:val="20"/>
          <w:szCs w:val="20"/>
        </w:rPr>
        <w:t xml:space="preserve"> </w:t>
      </w:r>
      <w:r w:rsidR="009F7B6D">
        <w:rPr>
          <w:rFonts w:ascii="Arial" w:hAnsi="Arial" w:cs="Arial"/>
          <w:sz w:val="20"/>
          <w:szCs w:val="20"/>
        </w:rPr>
        <w:t>in podobno</w:t>
      </w:r>
      <w:r w:rsidR="008E5B56" w:rsidRPr="004D47AD">
        <w:rPr>
          <w:rFonts w:ascii="Arial" w:hAnsi="Arial" w:cs="Arial"/>
          <w:sz w:val="20"/>
          <w:szCs w:val="20"/>
        </w:rPr>
        <w:t>), javni zavodi s področja socialnega varstva in zdravstva (centri za socialno delo, zdravstveni domovi), javni zavodi s področja kulture (muzeji, galerije, zavodi za kulturo</w:t>
      </w:r>
      <w:r w:rsidRPr="004D47AD">
        <w:rPr>
          <w:rFonts w:ascii="Arial" w:hAnsi="Arial" w:cs="Arial"/>
          <w:sz w:val="20"/>
          <w:szCs w:val="20"/>
        </w:rPr>
        <w:t xml:space="preserve"> </w:t>
      </w:r>
      <w:r w:rsidR="009F7B6D">
        <w:rPr>
          <w:rFonts w:ascii="Arial" w:hAnsi="Arial" w:cs="Arial"/>
          <w:sz w:val="20"/>
          <w:szCs w:val="20"/>
        </w:rPr>
        <w:t>in podobno</w:t>
      </w:r>
      <w:r w:rsidR="008E5B56" w:rsidRPr="004D47AD">
        <w:rPr>
          <w:rFonts w:ascii="Arial" w:hAnsi="Arial" w:cs="Arial"/>
          <w:sz w:val="20"/>
          <w:szCs w:val="20"/>
        </w:rPr>
        <w:t xml:space="preserve">), </w:t>
      </w:r>
      <w:r w:rsidR="008D635B" w:rsidRPr="004D47AD">
        <w:rPr>
          <w:rFonts w:ascii="Arial" w:hAnsi="Arial" w:cs="Arial"/>
          <w:sz w:val="20"/>
          <w:szCs w:val="20"/>
        </w:rPr>
        <w:t xml:space="preserve">nekaj </w:t>
      </w:r>
      <w:r w:rsidR="008E5B56" w:rsidRPr="004D47AD">
        <w:rPr>
          <w:rFonts w:ascii="Arial" w:hAnsi="Arial" w:cs="Arial"/>
          <w:sz w:val="20"/>
          <w:szCs w:val="20"/>
        </w:rPr>
        <w:t xml:space="preserve">občin </w:t>
      </w:r>
      <w:r w:rsidR="008D635B" w:rsidRPr="004D47AD">
        <w:rPr>
          <w:rFonts w:ascii="Arial" w:hAnsi="Arial" w:cs="Arial"/>
          <w:sz w:val="20"/>
          <w:szCs w:val="20"/>
        </w:rPr>
        <w:t xml:space="preserve">in </w:t>
      </w:r>
      <w:r w:rsidR="008E5B56" w:rsidRPr="004D47AD">
        <w:rPr>
          <w:rFonts w:ascii="Arial" w:hAnsi="Arial" w:cs="Arial"/>
          <w:sz w:val="20"/>
          <w:szCs w:val="20"/>
        </w:rPr>
        <w:t>skladov, regionalnih razvoj</w:t>
      </w:r>
      <w:r w:rsidR="000C17EA" w:rsidRPr="004D47AD">
        <w:rPr>
          <w:rFonts w:ascii="Arial" w:hAnsi="Arial" w:cs="Arial"/>
          <w:sz w:val="20"/>
          <w:szCs w:val="20"/>
        </w:rPr>
        <w:t>n</w:t>
      </w:r>
      <w:r w:rsidR="008E5B56" w:rsidRPr="004D47AD">
        <w:rPr>
          <w:rFonts w:ascii="Arial" w:hAnsi="Arial" w:cs="Arial"/>
          <w:sz w:val="20"/>
          <w:szCs w:val="20"/>
        </w:rPr>
        <w:t>ih centrov in agencij</w:t>
      </w:r>
      <w:r w:rsidR="00E3737B" w:rsidRPr="004D47AD">
        <w:rPr>
          <w:rFonts w:ascii="Arial" w:hAnsi="Arial" w:cs="Arial"/>
          <w:sz w:val="20"/>
          <w:szCs w:val="20"/>
        </w:rPr>
        <w:t>.</w:t>
      </w:r>
      <w:r w:rsidR="008E5B56" w:rsidRPr="004D47AD">
        <w:rPr>
          <w:rFonts w:ascii="Arial" w:hAnsi="Arial" w:cs="Arial"/>
          <w:sz w:val="20"/>
          <w:szCs w:val="20"/>
        </w:rPr>
        <w:t xml:space="preserve"> </w:t>
      </w:r>
    </w:p>
    <w:p w14:paraId="6FD09C0E" w14:textId="77D05F9C" w:rsidR="008E5B56" w:rsidRPr="004D47AD" w:rsidRDefault="008E5B56" w:rsidP="000D71AD">
      <w:pPr>
        <w:spacing w:after="0" w:line="360" w:lineRule="auto"/>
        <w:jc w:val="both"/>
        <w:rPr>
          <w:rFonts w:ascii="Arial" w:hAnsi="Arial" w:cs="Arial"/>
          <w:sz w:val="20"/>
          <w:szCs w:val="20"/>
        </w:rPr>
      </w:pPr>
      <w:r w:rsidRPr="004D47AD">
        <w:rPr>
          <w:rFonts w:ascii="Arial" w:hAnsi="Arial" w:cs="Arial"/>
          <w:sz w:val="20"/>
          <w:szCs w:val="20"/>
        </w:rPr>
        <w:t>Pri tem je treba upoštevati več vzrokov, zakaj posamezni naročniki na portalu javnih naročil niso objavili podatko</w:t>
      </w:r>
      <w:r w:rsidR="00C940DB" w:rsidRPr="004D47AD">
        <w:rPr>
          <w:rFonts w:ascii="Arial" w:hAnsi="Arial" w:cs="Arial"/>
          <w:sz w:val="20"/>
          <w:szCs w:val="20"/>
        </w:rPr>
        <w:t>v o javnih naročilih v letu 20</w:t>
      </w:r>
      <w:r w:rsidR="00E66155" w:rsidRPr="004D47AD">
        <w:rPr>
          <w:rFonts w:ascii="Arial" w:hAnsi="Arial" w:cs="Arial"/>
          <w:sz w:val="20"/>
          <w:szCs w:val="20"/>
        </w:rPr>
        <w:t>2</w:t>
      </w:r>
      <w:r w:rsidR="00AA6765" w:rsidRPr="004D47AD">
        <w:rPr>
          <w:rFonts w:ascii="Arial" w:hAnsi="Arial" w:cs="Arial"/>
          <w:sz w:val="20"/>
          <w:szCs w:val="20"/>
        </w:rPr>
        <w:t>2</w:t>
      </w:r>
      <w:r w:rsidRPr="004D47AD">
        <w:rPr>
          <w:rFonts w:ascii="Arial" w:hAnsi="Arial" w:cs="Arial"/>
          <w:sz w:val="20"/>
          <w:szCs w:val="20"/>
        </w:rPr>
        <w:t xml:space="preserve">, ki so podobni kot v </w:t>
      </w:r>
      <w:r w:rsidR="009F7B6D">
        <w:rPr>
          <w:rFonts w:ascii="Arial" w:hAnsi="Arial" w:cs="Arial"/>
          <w:sz w:val="20"/>
          <w:szCs w:val="20"/>
        </w:rPr>
        <w:t>prejšnjih</w:t>
      </w:r>
      <w:r w:rsidRPr="004D47AD">
        <w:rPr>
          <w:rFonts w:ascii="Arial" w:hAnsi="Arial" w:cs="Arial"/>
          <w:sz w:val="20"/>
          <w:szCs w:val="20"/>
        </w:rPr>
        <w:t xml:space="preserve"> letih. Nekat</w:t>
      </w:r>
      <w:r w:rsidR="00C940DB" w:rsidRPr="004D47AD">
        <w:rPr>
          <w:rFonts w:ascii="Arial" w:hAnsi="Arial" w:cs="Arial"/>
          <w:sz w:val="20"/>
          <w:szCs w:val="20"/>
        </w:rPr>
        <w:t>eri manjši naročniki v letu 20</w:t>
      </w:r>
      <w:r w:rsidR="00E66155" w:rsidRPr="004D47AD">
        <w:rPr>
          <w:rFonts w:ascii="Arial" w:hAnsi="Arial" w:cs="Arial"/>
          <w:sz w:val="20"/>
          <w:szCs w:val="20"/>
        </w:rPr>
        <w:t>2</w:t>
      </w:r>
      <w:r w:rsidR="00AA6765" w:rsidRPr="004D47AD">
        <w:rPr>
          <w:rFonts w:ascii="Arial" w:hAnsi="Arial" w:cs="Arial"/>
          <w:sz w:val="20"/>
          <w:szCs w:val="20"/>
        </w:rPr>
        <w:t>2</w:t>
      </w:r>
      <w:r w:rsidRPr="004D47AD">
        <w:rPr>
          <w:rFonts w:ascii="Arial" w:hAnsi="Arial" w:cs="Arial"/>
          <w:sz w:val="20"/>
          <w:szCs w:val="20"/>
        </w:rPr>
        <w:t xml:space="preserve"> niso izvedli postopkov javnega naročanja, temveč so naročila za večletno obdobje oddali v </w:t>
      </w:r>
      <w:r w:rsidR="009F7B6D">
        <w:rPr>
          <w:rFonts w:ascii="Arial" w:hAnsi="Arial" w:cs="Arial"/>
          <w:sz w:val="20"/>
          <w:szCs w:val="20"/>
        </w:rPr>
        <w:t>prejšnjih</w:t>
      </w:r>
      <w:r w:rsidRPr="004D47AD">
        <w:rPr>
          <w:rFonts w:ascii="Arial" w:hAnsi="Arial" w:cs="Arial"/>
          <w:sz w:val="20"/>
          <w:szCs w:val="20"/>
        </w:rPr>
        <w:t xml:space="preserve"> letih. Za nekatere organe v sestavi ministrstev je statistične podatke oddalo ministrstvo, ki zanje po pooblastilu izvaja javna naročila. </w:t>
      </w:r>
      <w:r w:rsidR="00620DB8" w:rsidRPr="004D47AD">
        <w:rPr>
          <w:rFonts w:ascii="Arial" w:hAnsi="Arial" w:cs="Arial"/>
          <w:sz w:val="20"/>
          <w:szCs w:val="20"/>
        </w:rPr>
        <w:t>Enako k</w:t>
      </w:r>
      <w:r w:rsidRPr="004D47AD">
        <w:rPr>
          <w:rFonts w:ascii="Arial" w:hAnsi="Arial" w:cs="Arial"/>
          <w:sz w:val="20"/>
          <w:szCs w:val="20"/>
        </w:rPr>
        <w:t xml:space="preserve">ot v </w:t>
      </w:r>
      <w:r w:rsidR="009F7B6D">
        <w:rPr>
          <w:rFonts w:ascii="Arial" w:hAnsi="Arial" w:cs="Arial"/>
          <w:sz w:val="20"/>
          <w:szCs w:val="20"/>
        </w:rPr>
        <w:t>prejšnjih</w:t>
      </w:r>
      <w:r w:rsidRPr="004D47AD">
        <w:rPr>
          <w:rFonts w:ascii="Arial" w:hAnsi="Arial" w:cs="Arial"/>
          <w:sz w:val="20"/>
          <w:szCs w:val="20"/>
        </w:rPr>
        <w:t xml:space="preserve"> letih </w:t>
      </w:r>
      <w:r w:rsidR="00620DB8" w:rsidRPr="004D47AD">
        <w:rPr>
          <w:rFonts w:ascii="Arial" w:hAnsi="Arial" w:cs="Arial"/>
          <w:sz w:val="20"/>
          <w:szCs w:val="20"/>
        </w:rPr>
        <w:t xml:space="preserve">tudi v </w:t>
      </w:r>
      <w:r w:rsidR="003E6023" w:rsidRPr="004D47AD">
        <w:rPr>
          <w:rFonts w:ascii="Arial" w:hAnsi="Arial" w:cs="Arial"/>
          <w:sz w:val="20"/>
          <w:szCs w:val="20"/>
        </w:rPr>
        <w:t xml:space="preserve">letu </w:t>
      </w:r>
      <w:r w:rsidR="00620DB8" w:rsidRPr="004D47AD">
        <w:rPr>
          <w:rFonts w:ascii="Arial" w:hAnsi="Arial" w:cs="Arial"/>
          <w:sz w:val="20"/>
          <w:szCs w:val="20"/>
        </w:rPr>
        <w:t>20</w:t>
      </w:r>
      <w:r w:rsidR="00E66155" w:rsidRPr="004D47AD">
        <w:rPr>
          <w:rFonts w:ascii="Arial" w:hAnsi="Arial" w:cs="Arial"/>
          <w:sz w:val="20"/>
          <w:szCs w:val="20"/>
        </w:rPr>
        <w:t>2</w:t>
      </w:r>
      <w:r w:rsidR="00AA6765" w:rsidRPr="004D47AD">
        <w:rPr>
          <w:rFonts w:ascii="Arial" w:hAnsi="Arial" w:cs="Arial"/>
          <w:sz w:val="20"/>
          <w:szCs w:val="20"/>
        </w:rPr>
        <w:t>2</w:t>
      </w:r>
      <w:r w:rsidR="00620DB8" w:rsidRPr="004D47AD">
        <w:rPr>
          <w:rFonts w:ascii="Arial" w:hAnsi="Arial" w:cs="Arial"/>
          <w:sz w:val="20"/>
          <w:szCs w:val="20"/>
        </w:rPr>
        <w:t xml:space="preserve"> </w:t>
      </w:r>
      <w:r w:rsidRPr="004D47AD">
        <w:rPr>
          <w:rFonts w:ascii="Arial" w:hAnsi="Arial" w:cs="Arial"/>
          <w:sz w:val="20"/>
          <w:szCs w:val="20"/>
        </w:rPr>
        <w:t xml:space="preserve">nekaj naročnikov predvidoma ni sporočilo podatkov, ker niso </w:t>
      </w:r>
      <w:r w:rsidR="00003CDA" w:rsidRPr="004D47AD">
        <w:rPr>
          <w:rFonts w:ascii="Arial" w:hAnsi="Arial" w:cs="Arial"/>
          <w:sz w:val="20"/>
          <w:szCs w:val="20"/>
        </w:rPr>
        <w:t>upoštevali</w:t>
      </w:r>
      <w:r w:rsidRPr="004D47AD">
        <w:rPr>
          <w:rFonts w:ascii="Arial" w:hAnsi="Arial" w:cs="Arial"/>
          <w:sz w:val="20"/>
          <w:szCs w:val="20"/>
        </w:rPr>
        <w:t xml:space="preserve"> zakonodajni</w:t>
      </w:r>
      <w:r w:rsidR="00003CDA" w:rsidRPr="004D47AD">
        <w:rPr>
          <w:rFonts w:ascii="Arial" w:hAnsi="Arial" w:cs="Arial"/>
          <w:sz w:val="20"/>
          <w:szCs w:val="20"/>
        </w:rPr>
        <w:t>h</w:t>
      </w:r>
      <w:r w:rsidRPr="004D47AD">
        <w:rPr>
          <w:rFonts w:ascii="Arial" w:hAnsi="Arial" w:cs="Arial"/>
          <w:sz w:val="20"/>
          <w:szCs w:val="20"/>
        </w:rPr>
        <w:t xml:space="preserve"> sprememb na tem področju </w:t>
      </w:r>
      <w:r w:rsidR="00003CDA" w:rsidRPr="004D47AD">
        <w:rPr>
          <w:rFonts w:ascii="Arial" w:hAnsi="Arial" w:cs="Arial"/>
          <w:sz w:val="20"/>
          <w:szCs w:val="20"/>
        </w:rPr>
        <w:t>ter</w:t>
      </w:r>
      <w:r w:rsidRPr="004D47AD">
        <w:rPr>
          <w:rFonts w:ascii="Arial" w:hAnsi="Arial" w:cs="Arial"/>
          <w:sz w:val="20"/>
          <w:szCs w:val="20"/>
        </w:rPr>
        <w:t xml:space="preserve"> obvestil </w:t>
      </w:r>
      <w:r w:rsidR="00003CDA" w:rsidRPr="004D47AD">
        <w:rPr>
          <w:rFonts w:ascii="Arial" w:hAnsi="Arial" w:cs="Arial"/>
          <w:sz w:val="20"/>
          <w:szCs w:val="20"/>
        </w:rPr>
        <w:t>in</w:t>
      </w:r>
      <w:r w:rsidRPr="004D47AD">
        <w:rPr>
          <w:rFonts w:ascii="Arial" w:hAnsi="Arial" w:cs="Arial"/>
          <w:sz w:val="20"/>
          <w:szCs w:val="20"/>
        </w:rPr>
        <w:t xml:space="preserve"> pojasnil Ministrstva za javno upravo.</w:t>
      </w:r>
    </w:p>
    <w:p w14:paraId="1A9B8ED2" w14:textId="77777777" w:rsidR="00EC580F" w:rsidRPr="001D63F9" w:rsidRDefault="00EC580F" w:rsidP="00161BC9">
      <w:pPr>
        <w:pStyle w:val="ZADEVA"/>
        <w:spacing w:line="240" w:lineRule="auto"/>
        <w:jc w:val="both"/>
        <w:rPr>
          <w:rFonts w:cs="Arial"/>
          <w:b w:val="0"/>
          <w:szCs w:val="20"/>
          <w:lang w:val="sl-SI"/>
        </w:rPr>
      </w:pPr>
    </w:p>
    <w:p w14:paraId="3D192CE4" w14:textId="118A80DA" w:rsidR="001409E3" w:rsidRPr="001D63F9" w:rsidRDefault="001409E3" w:rsidP="001409E3">
      <w:pPr>
        <w:pStyle w:val="Naslov2"/>
        <w:rPr>
          <w:rFonts w:ascii="Arial" w:hAnsi="Arial" w:cs="Arial"/>
          <w:sz w:val="22"/>
          <w:szCs w:val="22"/>
        </w:rPr>
      </w:pPr>
      <w:bookmarkStart w:id="15" w:name="_Toc141864050"/>
      <w:r w:rsidRPr="001D63F9">
        <w:rPr>
          <w:rFonts w:ascii="Arial" w:hAnsi="Arial" w:cs="Arial"/>
          <w:sz w:val="22"/>
          <w:szCs w:val="22"/>
        </w:rPr>
        <w:t>2.2 Objavljena javna naročila</w:t>
      </w:r>
      <w:bookmarkEnd w:id="15"/>
    </w:p>
    <w:p w14:paraId="09DC0ADC" w14:textId="37F32A26" w:rsidR="00854405" w:rsidRPr="001D63F9" w:rsidRDefault="00854405" w:rsidP="00854405">
      <w:pPr>
        <w:pStyle w:val="ZADEVA"/>
        <w:jc w:val="both"/>
        <w:rPr>
          <w:rFonts w:cs="Arial"/>
          <w:b w:val="0"/>
          <w:szCs w:val="20"/>
          <w:lang w:val="sl-SI"/>
        </w:rPr>
      </w:pPr>
    </w:p>
    <w:p w14:paraId="6BBE70BB" w14:textId="3D3FFC31" w:rsidR="00DA3EE6" w:rsidRPr="001D63F9" w:rsidRDefault="00AA7070" w:rsidP="00801272">
      <w:pPr>
        <w:spacing w:line="360" w:lineRule="auto"/>
        <w:jc w:val="both"/>
        <w:rPr>
          <w:rFonts w:ascii="Arial" w:eastAsia="Times New Roman" w:hAnsi="Arial" w:cs="Arial"/>
          <w:color w:val="000000"/>
          <w:sz w:val="20"/>
          <w:szCs w:val="20"/>
          <w:lang w:eastAsia="sl-SI"/>
        </w:rPr>
      </w:pPr>
      <w:r w:rsidRPr="001D63F9">
        <w:rPr>
          <w:rFonts w:ascii="Arial" w:hAnsi="Arial" w:cs="Arial"/>
          <w:sz w:val="20"/>
          <w:szCs w:val="20"/>
        </w:rPr>
        <w:t>S</w:t>
      </w:r>
      <w:r w:rsidR="003647F1" w:rsidRPr="001D63F9">
        <w:rPr>
          <w:rFonts w:ascii="Arial" w:hAnsi="Arial" w:cs="Arial"/>
          <w:sz w:val="20"/>
          <w:szCs w:val="20"/>
        </w:rPr>
        <w:t>tatistični podatk</w:t>
      </w:r>
      <w:r w:rsidRPr="001D63F9">
        <w:rPr>
          <w:rFonts w:ascii="Arial" w:hAnsi="Arial" w:cs="Arial"/>
          <w:sz w:val="20"/>
          <w:szCs w:val="20"/>
        </w:rPr>
        <w:t>i</w:t>
      </w:r>
      <w:r w:rsidR="003647F1" w:rsidRPr="001D63F9">
        <w:rPr>
          <w:rFonts w:ascii="Arial" w:hAnsi="Arial" w:cs="Arial"/>
          <w:sz w:val="20"/>
          <w:szCs w:val="20"/>
        </w:rPr>
        <w:t xml:space="preserve"> </w:t>
      </w:r>
      <w:r w:rsidRPr="001D63F9">
        <w:rPr>
          <w:rFonts w:ascii="Arial" w:hAnsi="Arial" w:cs="Arial"/>
          <w:sz w:val="20"/>
          <w:szCs w:val="20"/>
        </w:rPr>
        <w:t>kažejo</w:t>
      </w:r>
      <w:r w:rsidR="00930537" w:rsidRPr="001D63F9">
        <w:rPr>
          <w:rFonts w:ascii="Arial" w:hAnsi="Arial" w:cs="Arial"/>
          <w:sz w:val="20"/>
          <w:szCs w:val="20"/>
        </w:rPr>
        <w:t xml:space="preserve">, da so naročniki </w:t>
      </w:r>
      <w:r w:rsidR="00BD6B05" w:rsidRPr="001D63F9">
        <w:rPr>
          <w:rFonts w:ascii="Arial" w:hAnsi="Arial" w:cs="Arial"/>
          <w:sz w:val="20"/>
          <w:szCs w:val="20"/>
        </w:rPr>
        <w:t xml:space="preserve">leta </w:t>
      </w:r>
      <w:r w:rsidR="00930537" w:rsidRPr="001D63F9">
        <w:rPr>
          <w:rFonts w:ascii="Arial" w:hAnsi="Arial" w:cs="Arial"/>
          <w:sz w:val="20"/>
          <w:szCs w:val="20"/>
        </w:rPr>
        <w:t>20</w:t>
      </w:r>
      <w:r w:rsidR="00913587" w:rsidRPr="001D63F9">
        <w:rPr>
          <w:rFonts w:ascii="Arial" w:hAnsi="Arial" w:cs="Arial"/>
          <w:sz w:val="20"/>
          <w:szCs w:val="20"/>
        </w:rPr>
        <w:t>2</w:t>
      </w:r>
      <w:r w:rsidR="001D63F9" w:rsidRPr="001D63F9">
        <w:rPr>
          <w:rFonts w:ascii="Arial" w:hAnsi="Arial" w:cs="Arial"/>
          <w:sz w:val="20"/>
          <w:szCs w:val="20"/>
        </w:rPr>
        <w:t>2</w:t>
      </w:r>
      <w:r w:rsidR="00930537" w:rsidRPr="001D63F9">
        <w:rPr>
          <w:rFonts w:ascii="Arial" w:hAnsi="Arial" w:cs="Arial"/>
          <w:sz w:val="20"/>
          <w:szCs w:val="20"/>
        </w:rPr>
        <w:t xml:space="preserve"> oddali </w:t>
      </w:r>
      <w:r w:rsidR="00801272" w:rsidRPr="001D63F9">
        <w:rPr>
          <w:rFonts w:ascii="Arial" w:hAnsi="Arial" w:cs="Arial"/>
          <w:sz w:val="20"/>
          <w:szCs w:val="20"/>
        </w:rPr>
        <w:t>1</w:t>
      </w:r>
      <w:r w:rsidR="00F204E8" w:rsidRPr="001D63F9">
        <w:rPr>
          <w:rFonts w:ascii="Arial" w:hAnsi="Arial" w:cs="Arial"/>
          <w:sz w:val="20"/>
          <w:szCs w:val="20"/>
        </w:rPr>
        <w:t>7.</w:t>
      </w:r>
      <w:r w:rsidR="001D63F9" w:rsidRPr="001D63F9">
        <w:rPr>
          <w:rFonts w:ascii="Arial" w:hAnsi="Arial" w:cs="Arial"/>
          <w:sz w:val="20"/>
          <w:szCs w:val="20"/>
        </w:rPr>
        <w:t>224</w:t>
      </w:r>
      <w:r w:rsidR="00F204E8" w:rsidRPr="001D63F9">
        <w:rPr>
          <w:rFonts w:ascii="Arial" w:hAnsi="Arial" w:cs="Arial"/>
          <w:sz w:val="20"/>
          <w:szCs w:val="20"/>
        </w:rPr>
        <w:t xml:space="preserve"> </w:t>
      </w:r>
      <w:r w:rsidR="003647F1" w:rsidRPr="001D63F9">
        <w:rPr>
          <w:rFonts w:ascii="Arial" w:hAnsi="Arial" w:cs="Arial"/>
          <w:sz w:val="20"/>
          <w:szCs w:val="20"/>
        </w:rPr>
        <w:t xml:space="preserve">javnih naročil. </w:t>
      </w:r>
      <w:r w:rsidR="00391021" w:rsidRPr="001D63F9">
        <w:rPr>
          <w:rFonts w:ascii="Arial" w:hAnsi="Arial" w:cs="Arial"/>
          <w:sz w:val="20"/>
          <w:szCs w:val="20"/>
        </w:rPr>
        <w:t>Njihova p</w:t>
      </w:r>
      <w:r w:rsidR="003647F1" w:rsidRPr="001D63F9">
        <w:rPr>
          <w:rFonts w:ascii="Arial" w:hAnsi="Arial" w:cs="Arial"/>
          <w:sz w:val="20"/>
          <w:szCs w:val="20"/>
        </w:rPr>
        <w:t xml:space="preserve">ogodbena vrednost </w:t>
      </w:r>
      <w:r w:rsidR="00DA3EE6" w:rsidRPr="001D63F9">
        <w:rPr>
          <w:rFonts w:ascii="Arial" w:hAnsi="Arial" w:cs="Arial"/>
          <w:sz w:val="20"/>
          <w:szCs w:val="20"/>
        </w:rPr>
        <w:t xml:space="preserve">je </w:t>
      </w:r>
      <w:r w:rsidR="003647F1" w:rsidRPr="001D63F9">
        <w:rPr>
          <w:rFonts w:ascii="Arial" w:hAnsi="Arial" w:cs="Arial"/>
          <w:sz w:val="20"/>
          <w:szCs w:val="20"/>
        </w:rPr>
        <w:t>znaša</w:t>
      </w:r>
      <w:r w:rsidR="00DA3EE6" w:rsidRPr="001D63F9">
        <w:rPr>
          <w:rFonts w:ascii="Arial" w:hAnsi="Arial" w:cs="Arial"/>
          <w:sz w:val="20"/>
          <w:szCs w:val="20"/>
        </w:rPr>
        <w:t>la</w:t>
      </w:r>
      <w:r w:rsidR="003647F1" w:rsidRPr="001D63F9">
        <w:rPr>
          <w:rFonts w:ascii="Arial" w:hAnsi="Arial" w:cs="Arial"/>
          <w:sz w:val="20"/>
          <w:szCs w:val="20"/>
        </w:rPr>
        <w:t xml:space="preserve"> </w:t>
      </w:r>
      <w:r w:rsidR="001D63F9" w:rsidRPr="001D63F9">
        <w:rPr>
          <w:rFonts w:ascii="Arial" w:eastAsia="Times New Roman" w:hAnsi="Arial" w:cs="Arial"/>
          <w:color w:val="000000"/>
          <w:sz w:val="20"/>
          <w:szCs w:val="20"/>
          <w:lang w:eastAsia="sl-SI"/>
        </w:rPr>
        <w:t xml:space="preserve">5.417.105.902 </w:t>
      </w:r>
      <w:r w:rsidR="003647F1" w:rsidRPr="001D63F9">
        <w:rPr>
          <w:rFonts w:ascii="Arial" w:hAnsi="Arial" w:cs="Arial"/>
          <w:sz w:val="20"/>
          <w:szCs w:val="20"/>
        </w:rPr>
        <w:t>evrov.</w:t>
      </w:r>
      <w:r w:rsidR="0076310F" w:rsidRPr="001D63F9">
        <w:rPr>
          <w:rFonts w:ascii="Arial" w:hAnsi="Arial" w:cs="Arial"/>
          <w:sz w:val="20"/>
          <w:szCs w:val="20"/>
        </w:rPr>
        <w:t xml:space="preserve"> </w:t>
      </w:r>
      <w:r w:rsidR="00DA3EE6" w:rsidRPr="001D63F9">
        <w:rPr>
          <w:rFonts w:ascii="Arial" w:hAnsi="Arial" w:cs="Arial"/>
          <w:sz w:val="20"/>
          <w:szCs w:val="20"/>
        </w:rPr>
        <w:t xml:space="preserve">Naročila blaga </w:t>
      </w:r>
      <w:r w:rsidR="00BD6B05" w:rsidRPr="001D63F9">
        <w:rPr>
          <w:rFonts w:ascii="Arial" w:hAnsi="Arial" w:cs="Arial"/>
          <w:sz w:val="20"/>
          <w:szCs w:val="20"/>
        </w:rPr>
        <w:t xml:space="preserve">so </w:t>
      </w:r>
      <w:r w:rsidR="00DA3EE6" w:rsidRPr="001D63F9">
        <w:rPr>
          <w:rFonts w:ascii="Arial" w:hAnsi="Arial" w:cs="Arial"/>
          <w:sz w:val="20"/>
          <w:szCs w:val="20"/>
        </w:rPr>
        <w:t>največji del javnih naročil po številu</w:t>
      </w:r>
      <w:r w:rsidR="00F204E8" w:rsidRPr="001D63F9">
        <w:rPr>
          <w:rFonts w:ascii="Arial" w:hAnsi="Arial" w:cs="Arial"/>
          <w:sz w:val="20"/>
          <w:szCs w:val="20"/>
        </w:rPr>
        <w:t xml:space="preserve">, </w:t>
      </w:r>
      <w:r w:rsidR="00DA3EE6" w:rsidRPr="001D63F9">
        <w:rPr>
          <w:rFonts w:ascii="Arial" w:hAnsi="Arial" w:cs="Arial"/>
          <w:sz w:val="20"/>
          <w:szCs w:val="20"/>
        </w:rPr>
        <w:t>po vrednosti</w:t>
      </w:r>
      <w:r w:rsidR="00F204E8" w:rsidRPr="001D63F9">
        <w:rPr>
          <w:rFonts w:ascii="Arial" w:hAnsi="Arial" w:cs="Arial"/>
          <w:sz w:val="20"/>
          <w:szCs w:val="20"/>
        </w:rPr>
        <w:t xml:space="preserve"> pa gradnje.</w:t>
      </w:r>
    </w:p>
    <w:p w14:paraId="09BCFAF8" w14:textId="77777777" w:rsidR="00F11E69" w:rsidRDefault="00F11E69">
      <w:pPr>
        <w:rPr>
          <w:rFonts w:ascii="Arial" w:hAnsi="Arial" w:cs="Arial"/>
          <w:sz w:val="20"/>
        </w:rPr>
      </w:pPr>
      <w:r>
        <w:rPr>
          <w:rFonts w:ascii="Arial" w:hAnsi="Arial" w:cs="Arial"/>
          <w:sz w:val="20"/>
        </w:rPr>
        <w:br w:type="page"/>
      </w:r>
    </w:p>
    <w:p w14:paraId="59996034" w14:textId="76D5F8F6" w:rsidR="00854405" w:rsidRPr="001D63F9" w:rsidRDefault="0076310F" w:rsidP="001F2B2F">
      <w:pPr>
        <w:spacing w:line="240" w:lineRule="auto"/>
        <w:jc w:val="both"/>
        <w:rPr>
          <w:rFonts w:ascii="Arial" w:hAnsi="Arial" w:cs="Arial"/>
          <w:sz w:val="20"/>
        </w:rPr>
      </w:pPr>
      <w:r w:rsidRPr="001D63F9">
        <w:rPr>
          <w:rFonts w:ascii="Arial" w:hAnsi="Arial" w:cs="Arial"/>
          <w:sz w:val="20"/>
        </w:rPr>
        <w:lastRenderedPageBreak/>
        <w:t xml:space="preserve">Preglednica </w:t>
      </w:r>
      <w:r w:rsidR="00EB4423" w:rsidRPr="001D63F9">
        <w:rPr>
          <w:rFonts w:ascii="Arial" w:hAnsi="Arial" w:cs="Arial"/>
          <w:sz w:val="20"/>
        </w:rPr>
        <w:t>2</w:t>
      </w:r>
      <w:r w:rsidRPr="001D63F9">
        <w:rPr>
          <w:rFonts w:ascii="Arial" w:hAnsi="Arial" w:cs="Arial"/>
          <w:sz w:val="20"/>
        </w:rPr>
        <w:t>: Vrednost, število in deleži javnih naročil</w:t>
      </w:r>
      <w:r w:rsidR="00D907DA" w:rsidRPr="001D63F9">
        <w:rPr>
          <w:rFonts w:ascii="Arial" w:hAnsi="Arial" w:cs="Arial"/>
          <w:sz w:val="20"/>
        </w:rPr>
        <w:t xml:space="preserve"> </w:t>
      </w:r>
      <w:r w:rsidR="00391021" w:rsidRPr="001D63F9">
        <w:rPr>
          <w:rFonts w:ascii="Arial" w:hAnsi="Arial" w:cs="Arial"/>
          <w:sz w:val="20"/>
        </w:rPr>
        <w:t>po</w:t>
      </w:r>
      <w:r w:rsidR="00D907DA" w:rsidRPr="001D63F9">
        <w:rPr>
          <w:rFonts w:ascii="Arial" w:hAnsi="Arial" w:cs="Arial"/>
          <w:sz w:val="20"/>
        </w:rPr>
        <w:t xml:space="preserve"> predmet</w:t>
      </w:r>
      <w:r w:rsidR="00391021" w:rsidRPr="001D63F9">
        <w:rPr>
          <w:rFonts w:ascii="Arial" w:hAnsi="Arial" w:cs="Arial"/>
          <w:sz w:val="20"/>
        </w:rPr>
        <w:t>ih</w:t>
      </w:r>
      <w:r w:rsidR="00D907DA" w:rsidRPr="001D63F9">
        <w:rPr>
          <w:rFonts w:ascii="Arial" w:hAnsi="Arial" w:cs="Arial"/>
          <w:sz w:val="20"/>
        </w:rPr>
        <w:t xml:space="preserve"> naročanja</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9"/>
        <w:gridCol w:w="961"/>
        <w:gridCol w:w="854"/>
        <w:gridCol w:w="1417"/>
        <w:gridCol w:w="1276"/>
        <w:gridCol w:w="1134"/>
        <w:gridCol w:w="1134"/>
      </w:tblGrid>
      <w:tr w:rsidR="007A3DD6" w:rsidRPr="001D63F9" w14:paraId="21B571F4" w14:textId="77777777" w:rsidTr="00C36FA0">
        <w:trPr>
          <w:trHeight w:val="255"/>
          <w:jc w:val="center"/>
        </w:trPr>
        <w:tc>
          <w:tcPr>
            <w:tcW w:w="1299" w:type="dxa"/>
            <w:shd w:val="clear" w:color="auto" w:fill="F2F2F2" w:themeFill="background1" w:themeFillShade="F2"/>
            <w:vAlign w:val="center"/>
            <w:hideMark/>
          </w:tcPr>
          <w:p w14:paraId="53B8D8BD" w14:textId="3261D93B" w:rsidR="00AF3D59" w:rsidRPr="001D63F9" w:rsidRDefault="00AF3D59" w:rsidP="00AF3D59">
            <w:pPr>
              <w:spacing w:after="0" w:line="240" w:lineRule="auto"/>
              <w:jc w:val="center"/>
              <w:rPr>
                <w:rFonts w:ascii="Arial" w:eastAsia="Times New Roman" w:hAnsi="Arial" w:cs="Arial"/>
                <w:color w:val="000000"/>
                <w:sz w:val="18"/>
                <w:szCs w:val="18"/>
                <w:lang w:eastAsia="sl-SI"/>
              </w:rPr>
            </w:pPr>
            <w:r w:rsidRPr="001D63F9">
              <w:rPr>
                <w:rFonts w:ascii="Arial" w:eastAsia="Times New Roman" w:hAnsi="Arial" w:cs="Arial"/>
                <w:color w:val="000000"/>
                <w:sz w:val="18"/>
                <w:szCs w:val="18"/>
                <w:lang w:eastAsia="sl-SI"/>
              </w:rPr>
              <w:t>P</w:t>
            </w:r>
            <w:r w:rsidR="003C7CD2" w:rsidRPr="001D63F9">
              <w:rPr>
                <w:rFonts w:ascii="Arial" w:eastAsia="Times New Roman" w:hAnsi="Arial" w:cs="Arial"/>
                <w:color w:val="000000"/>
                <w:sz w:val="18"/>
                <w:szCs w:val="18"/>
                <w:lang w:eastAsia="sl-SI"/>
              </w:rPr>
              <w:t>redmet</w:t>
            </w:r>
          </w:p>
        </w:tc>
        <w:tc>
          <w:tcPr>
            <w:tcW w:w="961" w:type="dxa"/>
            <w:shd w:val="clear" w:color="auto" w:fill="F2F2F2" w:themeFill="background1" w:themeFillShade="F2"/>
            <w:vAlign w:val="center"/>
            <w:hideMark/>
          </w:tcPr>
          <w:p w14:paraId="755F9D87" w14:textId="77777777" w:rsidR="00AF3D59" w:rsidRPr="001D63F9" w:rsidRDefault="00AF3D59" w:rsidP="00AF3D59">
            <w:pPr>
              <w:spacing w:after="0" w:line="240" w:lineRule="auto"/>
              <w:jc w:val="center"/>
              <w:rPr>
                <w:rFonts w:ascii="Arial" w:eastAsia="Times New Roman" w:hAnsi="Arial" w:cs="Arial"/>
                <w:color w:val="000000"/>
                <w:sz w:val="18"/>
                <w:szCs w:val="18"/>
                <w:lang w:eastAsia="sl-SI"/>
              </w:rPr>
            </w:pPr>
            <w:r w:rsidRPr="001D63F9">
              <w:rPr>
                <w:rFonts w:ascii="Arial" w:eastAsia="Times New Roman" w:hAnsi="Arial" w:cs="Arial"/>
                <w:color w:val="000000"/>
                <w:sz w:val="18"/>
                <w:szCs w:val="18"/>
                <w:lang w:eastAsia="sl-SI"/>
              </w:rPr>
              <w:t>Št. postopkov</w:t>
            </w:r>
          </w:p>
        </w:tc>
        <w:tc>
          <w:tcPr>
            <w:tcW w:w="854" w:type="dxa"/>
            <w:shd w:val="clear" w:color="auto" w:fill="F2F2F2" w:themeFill="background1" w:themeFillShade="F2"/>
            <w:vAlign w:val="center"/>
            <w:hideMark/>
          </w:tcPr>
          <w:p w14:paraId="702B4032" w14:textId="77777777" w:rsidR="00AF3D59" w:rsidRPr="001D63F9" w:rsidRDefault="00AF3D59" w:rsidP="00AF3D59">
            <w:pPr>
              <w:spacing w:after="0" w:line="240" w:lineRule="auto"/>
              <w:jc w:val="center"/>
              <w:rPr>
                <w:rFonts w:ascii="Arial" w:eastAsia="Times New Roman" w:hAnsi="Arial" w:cs="Arial"/>
                <w:color w:val="000000"/>
                <w:sz w:val="18"/>
                <w:szCs w:val="18"/>
                <w:lang w:eastAsia="sl-SI"/>
              </w:rPr>
            </w:pPr>
            <w:r w:rsidRPr="001D63F9">
              <w:rPr>
                <w:rFonts w:ascii="Arial" w:eastAsia="Times New Roman" w:hAnsi="Arial" w:cs="Arial"/>
                <w:color w:val="000000"/>
                <w:sz w:val="18"/>
                <w:szCs w:val="18"/>
                <w:lang w:eastAsia="sl-SI"/>
              </w:rPr>
              <w:t>Št. naročil</w:t>
            </w:r>
          </w:p>
        </w:tc>
        <w:tc>
          <w:tcPr>
            <w:tcW w:w="1417" w:type="dxa"/>
            <w:shd w:val="clear" w:color="auto" w:fill="F2F2F2" w:themeFill="background1" w:themeFillShade="F2"/>
            <w:vAlign w:val="center"/>
            <w:hideMark/>
          </w:tcPr>
          <w:p w14:paraId="464ABD9E" w14:textId="77777777" w:rsidR="00AF3D59" w:rsidRPr="001D63F9" w:rsidRDefault="00AF3D59" w:rsidP="00AF3D59">
            <w:pPr>
              <w:spacing w:after="0" w:line="240" w:lineRule="auto"/>
              <w:jc w:val="center"/>
              <w:rPr>
                <w:rFonts w:ascii="Arial" w:eastAsia="Times New Roman" w:hAnsi="Arial" w:cs="Arial"/>
                <w:color w:val="000000"/>
                <w:sz w:val="18"/>
                <w:szCs w:val="18"/>
                <w:lang w:eastAsia="sl-SI"/>
              </w:rPr>
            </w:pPr>
            <w:r w:rsidRPr="001D63F9">
              <w:rPr>
                <w:rFonts w:ascii="Arial" w:eastAsia="Times New Roman" w:hAnsi="Arial" w:cs="Arial"/>
                <w:color w:val="000000"/>
                <w:sz w:val="18"/>
                <w:szCs w:val="18"/>
                <w:lang w:eastAsia="sl-SI"/>
              </w:rPr>
              <w:t>Pogodbena vrednost</w:t>
            </w:r>
          </w:p>
        </w:tc>
        <w:tc>
          <w:tcPr>
            <w:tcW w:w="1276" w:type="dxa"/>
            <w:shd w:val="clear" w:color="auto" w:fill="F2F2F2" w:themeFill="background1" w:themeFillShade="F2"/>
            <w:vAlign w:val="center"/>
            <w:hideMark/>
          </w:tcPr>
          <w:p w14:paraId="3C592F30" w14:textId="77777777" w:rsidR="00AF3D59" w:rsidRPr="001D63F9" w:rsidRDefault="00AF3D59" w:rsidP="00AF3D59">
            <w:pPr>
              <w:spacing w:after="0" w:line="240" w:lineRule="auto"/>
              <w:jc w:val="center"/>
              <w:rPr>
                <w:rFonts w:ascii="Arial" w:eastAsia="Times New Roman" w:hAnsi="Arial" w:cs="Arial"/>
                <w:color w:val="000000"/>
                <w:sz w:val="18"/>
                <w:szCs w:val="18"/>
                <w:lang w:eastAsia="sl-SI"/>
              </w:rPr>
            </w:pPr>
            <w:r w:rsidRPr="001D63F9">
              <w:rPr>
                <w:rFonts w:ascii="Arial" w:eastAsia="Times New Roman" w:hAnsi="Arial" w:cs="Arial"/>
                <w:color w:val="000000"/>
                <w:sz w:val="18"/>
                <w:szCs w:val="18"/>
                <w:lang w:eastAsia="sl-SI"/>
              </w:rPr>
              <w:t>Delež v št. postopkov</w:t>
            </w:r>
          </w:p>
        </w:tc>
        <w:tc>
          <w:tcPr>
            <w:tcW w:w="1134" w:type="dxa"/>
            <w:shd w:val="clear" w:color="auto" w:fill="F2F2F2" w:themeFill="background1" w:themeFillShade="F2"/>
            <w:vAlign w:val="center"/>
            <w:hideMark/>
          </w:tcPr>
          <w:p w14:paraId="447427A5" w14:textId="77777777" w:rsidR="00AF3D59" w:rsidRPr="001D63F9" w:rsidRDefault="00AF3D59" w:rsidP="00AF3D59">
            <w:pPr>
              <w:spacing w:after="0" w:line="240" w:lineRule="auto"/>
              <w:jc w:val="center"/>
              <w:rPr>
                <w:rFonts w:ascii="Arial" w:eastAsia="Times New Roman" w:hAnsi="Arial" w:cs="Arial"/>
                <w:color w:val="000000"/>
                <w:sz w:val="18"/>
                <w:szCs w:val="18"/>
                <w:lang w:eastAsia="sl-SI"/>
              </w:rPr>
            </w:pPr>
            <w:r w:rsidRPr="001D63F9">
              <w:rPr>
                <w:rFonts w:ascii="Arial" w:eastAsia="Times New Roman" w:hAnsi="Arial" w:cs="Arial"/>
                <w:color w:val="000000"/>
                <w:sz w:val="18"/>
                <w:szCs w:val="18"/>
                <w:lang w:eastAsia="sl-SI"/>
              </w:rPr>
              <w:t>Delež v št. naročil</w:t>
            </w:r>
          </w:p>
        </w:tc>
        <w:tc>
          <w:tcPr>
            <w:tcW w:w="1134" w:type="dxa"/>
            <w:shd w:val="clear" w:color="auto" w:fill="F2F2F2" w:themeFill="background1" w:themeFillShade="F2"/>
            <w:vAlign w:val="center"/>
            <w:hideMark/>
          </w:tcPr>
          <w:p w14:paraId="3721AB4D" w14:textId="77777777" w:rsidR="00AF3D59" w:rsidRPr="001D63F9" w:rsidRDefault="00AF3D59" w:rsidP="00AF3D59">
            <w:pPr>
              <w:spacing w:after="0" w:line="240" w:lineRule="auto"/>
              <w:jc w:val="center"/>
              <w:rPr>
                <w:rFonts w:ascii="Arial" w:eastAsia="Times New Roman" w:hAnsi="Arial" w:cs="Arial"/>
                <w:color w:val="000000"/>
                <w:sz w:val="18"/>
                <w:szCs w:val="18"/>
                <w:lang w:eastAsia="sl-SI"/>
              </w:rPr>
            </w:pPr>
            <w:r w:rsidRPr="001D63F9">
              <w:rPr>
                <w:rFonts w:ascii="Arial" w:eastAsia="Times New Roman" w:hAnsi="Arial" w:cs="Arial"/>
                <w:color w:val="000000"/>
                <w:sz w:val="18"/>
                <w:szCs w:val="18"/>
                <w:lang w:eastAsia="sl-SI"/>
              </w:rPr>
              <w:t>Delež v vrednosti</w:t>
            </w:r>
          </w:p>
        </w:tc>
      </w:tr>
      <w:tr w:rsidR="001D63F9" w:rsidRPr="001D63F9" w14:paraId="0ED9F0F3" w14:textId="77777777" w:rsidTr="001D63F9">
        <w:trPr>
          <w:trHeight w:val="255"/>
          <w:jc w:val="center"/>
        </w:trPr>
        <w:tc>
          <w:tcPr>
            <w:tcW w:w="1299" w:type="dxa"/>
            <w:shd w:val="clear" w:color="auto" w:fill="auto"/>
            <w:vAlign w:val="center"/>
            <w:hideMark/>
          </w:tcPr>
          <w:p w14:paraId="48E17455" w14:textId="77777777" w:rsidR="001D63F9" w:rsidRPr="001D63F9" w:rsidRDefault="001D63F9" w:rsidP="001D63F9">
            <w:pPr>
              <w:spacing w:after="0" w:line="240" w:lineRule="auto"/>
              <w:rPr>
                <w:rFonts w:ascii="Arial" w:eastAsia="Times New Roman" w:hAnsi="Arial" w:cs="Arial"/>
                <w:color w:val="000000"/>
                <w:sz w:val="18"/>
                <w:szCs w:val="18"/>
                <w:lang w:eastAsia="sl-SI"/>
              </w:rPr>
            </w:pPr>
            <w:r w:rsidRPr="001D63F9">
              <w:rPr>
                <w:rFonts w:ascii="Arial" w:eastAsia="Times New Roman" w:hAnsi="Arial" w:cs="Arial"/>
                <w:color w:val="000000"/>
                <w:sz w:val="18"/>
                <w:szCs w:val="18"/>
                <w:lang w:eastAsia="sl-SI"/>
              </w:rPr>
              <w:t>Blago</w:t>
            </w:r>
          </w:p>
        </w:tc>
        <w:tc>
          <w:tcPr>
            <w:tcW w:w="961" w:type="dxa"/>
            <w:shd w:val="clear" w:color="auto" w:fill="auto"/>
            <w:vAlign w:val="center"/>
            <w:hideMark/>
          </w:tcPr>
          <w:p w14:paraId="0C38C0CA" w14:textId="1F01A538" w:rsidR="001D63F9" w:rsidRPr="001D63F9" w:rsidRDefault="001D63F9" w:rsidP="001D63F9">
            <w:pPr>
              <w:spacing w:after="0" w:line="240" w:lineRule="auto"/>
              <w:jc w:val="right"/>
              <w:rPr>
                <w:rFonts w:ascii="Arial" w:hAnsi="Arial" w:cs="Arial"/>
                <w:sz w:val="18"/>
                <w:szCs w:val="18"/>
              </w:rPr>
            </w:pPr>
            <w:r w:rsidRPr="001D63F9">
              <w:rPr>
                <w:rFonts w:ascii="Arial" w:hAnsi="Arial" w:cs="Arial"/>
                <w:sz w:val="18"/>
                <w:szCs w:val="18"/>
              </w:rPr>
              <w:t>2.945</w:t>
            </w:r>
          </w:p>
        </w:tc>
        <w:tc>
          <w:tcPr>
            <w:tcW w:w="854" w:type="dxa"/>
            <w:shd w:val="clear" w:color="auto" w:fill="auto"/>
            <w:vAlign w:val="center"/>
            <w:hideMark/>
          </w:tcPr>
          <w:p w14:paraId="7848CC09" w14:textId="3D91CF81" w:rsidR="001D63F9" w:rsidRPr="001D63F9" w:rsidRDefault="001D63F9" w:rsidP="001D63F9">
            <w:pPr>
              <w:spacing w:after="0" w:line="240" w:lineRule="auto"/>
              <w:jc w:val="right"/>
              <w:rPr>
                <w:rFonts w:ascii="Arial" w:hAnsi="Arial" w:cs="Arial"/>
                <w:sz w:val="18"/>
                <w:szCs w:val="18"/>
              </w:rPr>
            </w:pPr>
            <w:r w:rsidRPr="001D63F9">
              <w:rPr>
                <w:rFonts w:ascii="Arial" w:hAnsi="Arial" w:cs="Arial"/>
                <w:sz w:val="18"/>
                <w:szCs w:val="18"/>
              </w:rPr>
              <w:t>11.457</w:t>
            </w:r>
          </w:p>
        </w:tc>
        <w:tc>
          <w:tcPr>
            <w:tcW w:w="1417" w:type="dxa"/>
            <w:shd w:val="clear" w:color="auto" w:fill="auto"/>
            <w:vAlign w:val="center"/>
            <w:hideMark/>
          </w:tcPr>
          <w:p w14:paraId="1BC8807D" w14:textId="2AAD6B8E" w:rsidR="001D63F9" w:rsidRPr="001D63F9" w:rsidRDefault="001D63F9" w:rsidP="001D63F9">
            <w:pPr>
              <w:spacing w:after="0" w:line="240" w:lineRule="auto"/>
              <w:jc w:val="right"/>
              <w:rPr>
                <w:rFonts w:ascii="Arial" w:hAnsi="Arial" w:cs="Arial"/>
                <w:sz w:val="18"/>
                <w:szCs w:val="18"/>
              </w:rPr>
            </w:pPr>
            <w:r w:rsidRPr="001D63F9">
              <w:rPr>
                <w:rFonts w:ascii="Arial" w:hAnsi="Arial" w:cs="Arial"/>
                <w:sz w:val="18"/>
                <w:szCs w:val="18"/>
              </w:rPr>
              <w:t>1.810.773.018</w:t>
            </w:r>
          </w:p>
        </w:tc>
        <w:tc>
          <w:tcPr>
            <w:tcW w:w="1276" w:type="dxa"/>
            <w:shd w:val="clear" w:color="auto" w:fill="auto"/>
            <w:vAlign w:val="center"/>
            <w:hideMark/>
          </w:tcPr>
          <w:p w14:paraId="75F601C4" w14:textId="36EE11BD" w:rsidR="001D63F9" w:rsidRPr="001D63F9" w:rsidRDefault="001D63F9" w:rsidP="001D63F9">
            <w:pPr>
              <w:spacing w:after="0" w:line="240" w:lineRule="auto"/>
              <w:jc w:val="right"/>
              <w:rPr>
                <w:rFonts w:ascii="Arial" w:hAnsi="Arial" w:cs="Arial"/>
                <w:sz w:val="18"/>
                <w:szCs w:val="18"/>
              </w:rPr>
            </w:pPr>
            <w:r w:rsidRPr="001D63F9">
              <w:rPr>
                <w:rFonts w:ascii="Arial" w:hAnsi="Arial" w:cs="Arial"/>
                <w:sz w:val="18"/>
                <w:szCs w:val="18"/>
              </w:rPr>
              <w:t>43,82 %</w:t>
            </w:r>
          </w:p>
        </w:tc>
        <w:tc>
          <w:tcPr>
            <w:tcW w:w="1134" w:type="dxa"/>
            <w:shd w:val="clear" w:color="auto" w:fill="auto"/>
            <w:vAlign w:val="center"/>
            <w:hideMark/>
          </w:tcPr>
          <w:p w14:paraId="79AEAB8B" w14:textId="1314EC8B" w:rsidR="001D63F9" w:rsidRPr="001D63F9" w:rsidRDefault="001D63F9" w:rsidP="001D63F9">
            <w:pPr>
              <w:spacing w:after="0" w:line="240" w:lineRule="auto"/>
              <w:jc w:val="right"/>
              <w:rPr>
                <w:rFonts w:ascii="Arial" w:hAnsi="Arial" w:cs="Arial"/>
                <w:sz w:val="18"/>
                <w:szCs w:val="18"/>
              </w:rPr>
            </w:pPr>
            <w:r w:rsidRPr="001D63F9">
              <w:rPr>
                <w:rFonts w:ascii="Arial" w:hAnsi="Arial" w:cs="Arial"/>
                <w:sz w:val="18"/>
                <w:szCs w:val="18"/>
              </w:rPr>
              <w:t>66,52 %</w:t>
            </w:r>
          </w:p>
        </w:tc>
        <w:tc>
          <w:tcPr>
            <w:tcW w:w="1134" w:type="dxa"/>
            <w:shd w:val="clear" w:color="auto" w:fill="auto"/>
            <w:vAlign w:val="center"/>
            <w:hideMark/>
          </w:tcPr>
          <w:p w14:paraId="3CF7F0B4" w14:textId="13611C5F" w:rsidR="001D63F9" w:rsidRPr="001D63F9" w:rsidRDefault="001D63F9" w:rsidP="001D63F9">
            <w:pPr>
              <w:spacing w:after="0" w:line="240" w:lineRule="auto"/>
              <w:jc w:val="right"/>
              <w:rPr>
                <w:rFonts w:ascii="Arial" w:hAnsi="Arial" w:cs="Arial"/>
                <w:sz w:val="18"/>
                <w:szCs w:val="18"/>
              </w:rPr>
            </w:pPr>
            <w:r w:rsidRPr="001D63F9">
              <w:rPr>
                <w:rFonts w:ascii="Arial" w:hAnsi="Arial" w:cs="Arial"/>
                <w:sz w:val="18"/>
                <w:szCs w:val="18"/>
              </w:rPr>
              <w:t>33,43 %</w:t>
            </w:r>
          </w:p>
        </w:tc>
      </w:tr>
      <w:tr w:rsidR="001D63F9" w:rsidRPr="001D63F9" w14:paraId="43D88DDC" w14:textId="77777777" w:rsidTr="001D63F9">
        <w:trPr>
          <w:trHeight w:val="255"/>
          <w:jc w:val="center"/>
        </w:trPr>
        <w:tc>
          <w:tcPr>
            <w:tcW w:w="1299" w:type="dxa"/>
            <w:shd w:val="clear" w:color="auto" w:fill="auto"/>
            <w:vAlign w:val="center"/>
            <w:hideMark/>
          </w:tcPr>
          <w:p w14:paraId="59FD5FA9" w14:textId="77777777" w:rsidR="001D63F9" w:rsidRPr="001D63F9" w:rsidRDefault="001D63F9" w:rsidP="001D63F9">
            <w:pPr>
              <w:spacing w:after="0" w:line="240" w:lineRule="auto"/>
              <w:rPr>
                <w:rFonts w:ascii="Arial" w:eastAsia="Times New Roman" w:hAnsi="Arial" w:cs="Arial"/>
                <w:color w:val="000000"/>
                <w:sz w:val="18"/>
                <w:szCs w:val="18"/>
                <w:lang w:eastAsia="sl-SI"/>
              </w:rPr>
            </w:pPr>
            <w:r w:rsidRPr="001D63F9">
              <w:rPr>
                <w:rFonts w:ascii="Arial" w:eastAsia="Times New Roman" w:hAnsi="Arial" w:cs="Arial"/>
                <w:color w:val="000000"/>
                <w:sz w:val="18"/>
                <w:szCs w:val="18"/>
                <w:lang w:eastAsia="sl-SI"/>
              </w:rPr>
              <w:t>Storitve</w:t>
            </w:r>
          </w:p>
        </w:tc>
        <w:tc>
          <w:tcPr>
            <w:tcW w:w="961" w:type="dxa"/>
            <w:shd w:val="clear" w:color="auto" w:fill="auto"/>
            <w:vAlign w:val="center"/>
            <w:hideMark/>
          </w:tcPr>
          <w:p w14:paraId="684BB7E0" w14:textId="49F52CA9" w:rsidR="001D63F9" w:rsidRPr="001D63F9" w:rsidRDefault="001D63F9" w:rsidP="001D63F9">
            <w:pPr>
              <w:spacing w:after="0" w:line="240" w:lineRule="auto"/>
              <w:jc w:val="right"/>
              <w:rPr>
                <w:rFonts w:ascii="Arial" w:hAnsi="Arial" w:cs="Arial"/>
                <w:sz w:val="18"/>
                <w:szCs w:val="18"/>
              </w:rPr>
            </w:pPr>
            <w:r w:rsidRPr="001D63F9">
              <w:rPr>
                <w:rFonts w:ascii="Arial" w:hAnsi="Arial" w:cs="Arial"/>
                <w:sz w:val="18"/>
                <w:szCs w:val="18"/>
              </w:rPr>
              <w:t>2.324</w:t>
            </w:r>
          </w:p>
        </w:tc>
        <w:tc>
          <w:tcPr>
            <w:tcW w:w="854" w:type="dxa"/>
            <w:shd w:val="clear" w:color="auto" w:fill="auto"/>
            <w:vAlign w:val="center"/>
            <w:hideMark/>
          </w:tcPr>
          <w:p w14:paraId="3BD9F247" w14:textId="0BA03D53" w:rsidR="001D63F9" w:rsidRPr="001D63F9" w:rsidRDefault="001D63F9" w:rsidP="001D63F9">
            <w:pPr>
              <w:spacing w:after="0" w:line="240" w:lineRule="auto"/>
              <w:jc w:val="right"/>
              <w:rPr>
                <w:rFonts w:ascii="Arial" w:hAnsi="Arial" w:cs="Arial"/>
                <w:sz w:val="18"/>
                <w:szCs w:val="18"/>
              </w:rPr>
            </w:pPr>
            <w:r w:rsidRPr="001D63F9">
              <w:rPr>
                <w:rFonts w:ascii="Arial" w:hAnsi="Arial" w:cs="Arial"/>
                <w:sz w:val="18"/>
                <w:szCs w:val="18"/>
              </w:rPr>
              <w:t>4.012</w:t>
            </w:r>
          </w:p>
        </w:tc>
        <w:tc>
          <w:tcPr>
            <w:tcW w:w="1417" w:type="dxa"/>
            <w:shd w:val="clear" w:color="auto" w:fill="auto"/>
            <w:vAlign w:val="center"/>
            <w:hideMark/>
          </w:tcPr>
          <w:p w14:paraId="333068D5" w14:textId="1DEFFE12" w:rsidR="001D63F9" w:rsidRPr="001D63F9" w:rsidRDefault="001D63F9" w:rsidP="001D63F9">
            <w:pPr>
              <w:spacing w:after="0" w:line="240" w:lineRule="auto"/>
              <w:jc w:val="right"/>
              <w:rPr>
                <w:rFonts w:ascii="Arial" w:hAnsi="Arial" w:cs="Arial"/>
                <w:sz w:val="18"/>
                <w:szCs w:val="18"/>
              </w:rPr>
            </w:pPr>
            <w:r w:rsidRPr="001D63F9">
              <w:rPr>
                <w:rFonts w:ascii="Arial" w:hAnsi="Arial" w:cs="Arial"/>
                <w:sz w:val="18"/>
                <w:szCs w:val="18"/>
              </w:rPr>
              <w:t>1.744.765.689</w:t>
            </w:r>
          </w:p>
        </w:tc>
        <w:tc>
          <w:tcPr>
            <w:tcW w:w="1276" w:type="dxa"/>
            <w:shd w:val="clear" w:color="auto" w:fill="auto"/>
            <w:vAlign w:val="center"/>
            <w:hideMark/>
          </w:tcPr>
          <w:p w14:paraId="63328174" w14:textId="662B5FF1" w:rsidR="001D63F9" w:rsidRPr="001D63F9" w:rsidRDefault="001D63F9" w:rsidP="001D63F9">
            <w:pPr>
              <w:spacing w:after="0" w:line="240" w:lineRule="auto"/>
              <w:jc w:val="right"/>
              <w:rPr>
                <w:rFonts w:ascii="Arial" w:hAnsi="Arial" w:cs="Arial"/>
                <w:sz w:val="18"/>
                <w:szCs w:val="18"/>
              </w:rPr>
            </w:pPr>
            <w:r w:rsidRPr="001D63F9">
              <w:rPr>
                <w:rFonts w:ascii="Arial" w:hAnsi="Arial" w:cs="Arial"/>
                <w:sz w:val="18"/>
                <w:szCs w:val="18"/>
              </w:rPr>
              <w:t>34,58 %</w:t>
            </w:r>
          </w:p>
        </w:tc>
        <w:tc>
          <w:tcPr>
            <w:tcW w:w="1134" w:type="dxa"/>
            <w:shd w:val="clear" w:color="auto" w:fill="auto"/>
            <w:vAlign w:val="center"/>
            <w:hideMark/>
          </w:tcPr>
          <w:p w14:paraId="239D2352" w14:textId="24C339EF" w:rsidR="001D63F9" w:rsidRPr="001D63F9" w:rsidRDefault="001D63F9" w:rsidP="001D63F9">
            <w:pPr>
              <w:spacing w:after="0" w:line="240" w:lineRule="auto"/>
              <w:jc w:val="right"/>
              <w:rPr>
                <w:rFonts w:ascii="Arial" w:hAnsi="Arial" w:cs="Arial"/>
                <w:sz w:val="18"/>
                <w:szCs w:val="18"/>
              </w:rPr>
            </w:pPr>
            <w:r w:rsidRPr="001D63F9">
              <w:rPr>
                <w:rFonts w:ascii="Arial" w:hAnsi="Arial" w:cs="Arial"/>
                <w:sz w:val="18"/>
                <w:szCs w:val="18"/>
              </w:rPr>
              <w:t>23,29 %</w:t>
            </w:r>
          </w:p>
        </w:tc>
        <w:tc>
          <w:tcPr>
            <w:tcW w:w="1134" w:type="dxa"/>
            <w:shd w:val="clear" w:color="auto" w:fill="auto"/>
            <w:vAlign w:val="center"/>
            <w:hideMark/>
          </w:tcPr>
          <w:p w14:paraId="5E60D502" w14:textId="0F8A2069" w:rsidR="001D63F9" w:rsidRPr="001D63F9" w:rsidRDefault="001D63F9" w:rsidP="001D63F9">
            <w:pPr>
              <w:spacing w:after="0" w:line="240" w:lineRule="auto"/>
              <w:jc w:val="right"/>
              <w:rPr>
                <w:rFonts w:ascii="Arial" w:hAnsi="Arial" w:cs="Arial"/>
                <w:sz w:val="18"/>
                <w:szCs w:val="18"/>
              </w:rPr>
            </w:pPr>
            <w:r w:rsidRPr="001D63F9">
              <w:rPr>
                <w:rFonts w:ascii="Arial" w:hAnsi="Arial" w:cs="Arial"/>
                <w:sz w:val="18"/>
                <w:szCs w:val="18"/>
              </w:rPr>
              <w:t>32,21 %</w:t>
            </w:r>
          </w:p>
        </w:tc>
      </w:tr>
      <w:tr w:rsidR="001D63F9" w:rsidRPr="001D63F9" w14:paraId="7DCB15D5" w14:textId="77777777" w:rsidTr="001D63F9">
        <w:trPr>
          <w:trHeight w:val="255"/>
          <w:jc w:val="center"/>
        </w:trPr>
        <w:tc>
          <w:tcPr>
            <w:tcW w:w="1299" w:type="dxa"/>
            <w:shd w:val="clear" w:color="auto" w:fill="auto"/>
            <w:vAlign w:val="center"/>
            <w:hideMark/>
          </w:tcPr>
          <w:p w14:paraId="65C70C7B" w14:textId="77777777" w:rsidR="001D63F9" w:rsidRPr="001D63F9" w:rsidRDefault="001D63F9" w:rsidP="001D63F9">
            <w:pPr>
              <w:spacing w:after="0" w:line="240" w:lineRule="auto"/>
              <w:rPr>
                <w:rFonts w:ascii="Arial" w:eastAsia="Times New Roman" w:hAnsi="Arial" w:cs="Arial"/>
                <w:color w:val="000000"/>
                <w:sz w:val="18"/>
                <w:szCs w:val="18"/>
                <w:lang w:eastAsia="sl-SI"/>
              </w:rPr>
            </w:pPr>
            <w:r w:rsidRPr="001D63F9">
              <w:rPr>
                <w:rFonts w:ascii="Arial" w:eastAsia="Times New Roman" w:hAnsi="Arial" w:cs="Arial"/>
                <w:color w:val="000000"/>
                <w:sz w:val="18"/>
                <w:szCs w:val="18"/>
                <w:lang w:eastAsia="sl-SI"/>
              </w:rPr>
              <w:t>Gradnje</w:t>
            </w:r>
          </w:p>
        </w:tc>
        <w:tc>
          <w:tcPr>
            <w:tcW w:w="961" w:type="dxa"/>
            <w:shd w:val="clear" w:color="auto" w:fill="auto"/>
            <w:vAlign w:val="center"/>
            <w:hideMark/>
          </w:tcPr>
          <w:p w14:paraId="2036C98A" w14:textId="4F886904" w:rsidR="001D63F9" w:rsidRPr="001D63F9" w:rsidRDefault="001D63F9" w:rsidP="001D63F9">
            <w:pPr>
              <w:spacing w:after="0" w:line="240" w:lineRule="auto"/>
              <w:jc w:val="right"/>
              <w:rPr>
                <w:rFonts w:ascii="Arial" w:hAnsi="Arial" w:cs="Arial"/>
                <w:sz w:val="18"/>
                <w:szCs w:val="18"/>
              </w:rPr>
            </w:pPr>
            <w:r w:rsidRPr="001D63F9">
              <w:rPr>
                <w:rFonts w:ascii="Arial" w:hAnsi="Arial" w:cs="Arial"/>
                <w:sz w:val="18"/>
                <w:szCs w:val="18"/>
              </w:rPr>
              <w:t>1.452</w:t>
            </w:r>
          </w:p>
        </w:tc>
        <w:tc>
          <w:tcPr>
            <w:tcW w:w="854" w:type="dxa"/>
            <w:shd w:val="clear" w:color="auto" w:fill="auto"/>
            <w:vAlign w:val="center"/>
            <w:hideMark/>
          </w:tcPr>
          <w:p w14:paraId="70DE7A76" w14:textId="6DC03A80" w:rsidR="001D63F9" w:rsidRPr="001D63F9" w:rsidRDefault="001D63F9" w:rsidP="001D63F9">
            <w:pPr>
              <w:spacing w:after="0" w:line="240" w:lineRule="auto"/>
              <w:jc w:val="right"/>
              <w:rPr>
                <w:rFonts w:ascii="Arial" w:hAnsi="Arial" w:cs="Arial"/>
                <w:sz w:val="18"/>
                <w:szCs w:val="18"/>
              </w:rPr>
            </w:pPr>
            <w:r w:rsidRPr="001D63F9">
              <w:rPr>
                <w:rFonts w:ascii="Arial" w:hAnsi="Arial" w:cs="Arial"/>
                <w:sz w:val="18"/>
                <w:szCs w:val="18"/>
              </w:rPr>
              <w:t>1.755</w:t>
            </w:r>
          </w:p>
        </w:tc>
        <w:tc>
          <w:tcPr>
            <w:tcW w:w="1417" w:type="dxa"/>
            <w:shd w:val="clear" w:color="auto" w:fill="auto"/>
            <w:vAlign w:val="center"/>
            <w:hideMark/>
          </w:tcPr>
          <w:p w14:paraId="220CFE13" w14:textId="178EE09C" w:rsidR="001D63F9" w:rsidRPr="001D63F9" w:rsidRDefault="001D63F9" w:rsidP="001D63F9">
            <w:pPr>
              <w:spacing w:after="0" w:line="240" w:lineRule="auto"/>
              <w:jc w:val="right"/>
              <w:rPr>
                <w:rFonts w:ascii="Arial" w:hAnsi="Arial" w:cs="Arial"/>
                <w:sz w:val="18"/>
                <w:szCs w:val="18"/>
              </w:rPr>
            </w:pPr>
            <w:r w:rsidRPr="001D63F9">
              <w:rPr>
                <w:rFonts w:ascii="Arial" w:hAnsi="Arial" w:cs="Arial"/>
                <w:sz w:val="18"/>
                <w:szCs w:val="18"/>
              </w:rPr>
              <w:t>1.861.567.195</w:t>
            </w:r>
          </w:p>
        </w:tc>
        <w:tc>
          <w:tcPr>
            <w:tcW w:w="1276" w:type="dxa"/>
            <w:shd w:val="clear" w:color="auto" w:fill="auto"/>
            <w:vAlign w:val="center"/>
            <w:hideMark/>
          </w:tcPr>
          <w:p w14:paraId="677BE675" w14:textId="290C8A0D" w:rsidR="001D63F9" w:rsidRPr="001D63F9" w:rsidRDefault="001D63F9" w:rsidP="001D63F9">
            <w:pPr>
              <w:spacing w:after="0" w:line="240" w:lineRule="auto"/>
              <w:jc w:val="right"/>
              <w:rPr>
                <w:rFonts w:ascii="Arial" w:hAnsi="Arial" w:cs="Arial"/>
                <w:sz w:val="18"/>
                <w:szCs w:val="18"/>
              </w:rPr>
            </w:pPr>
            <w:r w:rsidRPr="001D63F9">
              <w:rPr>
                <w:rFonts w:ascii="Arial" w:hAnsi="Arial" w:cs="Arial"/>
                <w:sz w:val="18"/>
                <w:szCs w:val="18"/>
              </w:rPr>
              <w:t>21,60 %</w:t>
            </w:r>
          </w:p>
        </w:tc>
        <w:tc>
          <w:tcPr>
            <w:tcW w:w="1134" w:type="dxa"/>
            <w:shd w:val="clear" w:color="auto" w:fill="auto"/>
            <w:vAlign w:val="center"/>
            <w:hideMark/>
          </w:tcPr>
          <w:p w14:paraId="17450241" w14:textId="70924A75" w:rsidR="001D63F9" w:rsidRPr="001D63F9" w:rsidRDefault="001D63F9" w:rsidP="001D63F9">
            <w:pPr>
              <w:spacing w:after="0" w:line="240" w:lineRule="auto"/>
              <w:jc w:val="right"/>
              <w:rPr>
                <w:rFonts w:ascii="Arial" w:hAnsi="Arial" w:cs="Arial"/>
                <w:sz w:val="18"/>
                <w:szCs w:val="18"/>
              </w:rPr>
            </w:pPr>
            <w:r w:rsidRPr="001D63F9">
              <w:rPr>
                <w:rFonts w:ascii="Arial" w:hAnsi="Arial" w:cs="Arial"/>
                <w:sz w:val="18"/>
                <w:szCs w:val="18"/>
              </w:rPr>
              <w:t>10,19 %</w:t>
            </w:r>
          </w:p>
        </w:tc>
        <w:tc>
          <w:tcPr>
            <w:tcW w:w="1134" w:type="dxa"/>
            <w:shd w:val="clear" w:color="auto" w:fill="auto"/>
            <w:vAlign w:val="center"/>
            <w:hideMark/>
          </w:tcPr>
          <w:p w14:paraId="4D7432BB" w14:textId="410A22F4" w:rsidR="001D63F9" w:rsidRPr="001D63F9" w:rsidRDefault="001D63F9" w:rsidP="001D63F9">
            <w:pPr>
              <w:spacing w:after="0" w:line="240" w:lineRule="auto"/>
              <w:jc w:val="right"/>
              <w:rPr>
                <w:rFonts w:ascii="Arial" w:hAnsi="Arial" w:cs="Arial"/>
                <w:sz w:val="18"/>
                <w:szCs w:val="18"/>
              </w:rPr>
            </w:pPr>
            <w:r w:rsidRPr="001D63F9">
              <w:rPr>
                <w:rFonts w:ascii="Arial" w:hAnsi="Arial" w:cs="Arial"/>
                <w:sz w:val="18"/>
                <w:szCs w:val="18"/>
              </w:rPr>
              <w:t>34,36 %</w:t>
            </w:r>
          </w:p>
        </w:tc>
      </w:tr>
      <w:tr w:rsidR="001D63F9" w:rsidRPr="001D63F9" w14:paraId="50B88275" w14:textId="77777777" w:rsidTr="001D63F9">
        <w:trPr>
          <w:trHeight w:val="255"/>
          <w:jc w:val="center"/>
        </w:trPr>
        <w:tc>
          <w:tcPr>
            <w:tcW w:w="1299" w:type="dxa"/>
            <w:shd w:val="clear" w:color="auto" w:fill="F2F2F2" w:themeFill="background1" w:themeFillShade="F2"/>
            <w:vAlign w:val="center"/>
            <w:hideMark/>
          </w:tcPr>
          <w:p w14:paraId="73118DC7" w14:textId="77777777" w:rsidR="001D63F9" w:rsidRPr="001D63F9" w:rsidRDefault="001D63F9" w:rsidP="001D63F9">
            <w:pPr>
              <w:spacing w:after="0" w:line="240" w:lineRule="auto"/>
              <w:rPr>
                <w:rFonts w:ascii="Arial" w:eastAsia="Times New Roman" w:hAnsi="Arial" w:cs="Arial"/>
                <w:b/>
                <w:bCs/>
                <w:color w:val="000000"/>
                <w:sz w:val="18"/>
                <w:szCs w:val="18"/>
                <w:lang w:eastAsia="sl-SI"/>
              </w:rPr>
            </w:pPr>
            <w:r w:rsidRPr="001D63F9">
              <w:rPr>
                <w:rFonts w:ascii="Arial" w:eastAsia="Times New Roman" w:hAnsi="Arial" w:cs="Arial"/>
                <w:b/>
                <w:bCs/>
                <w:color w:val="000000"/>
                <w:sz w:val="18"/>
                <w:szCs w:val="18"/>
                <w:lang w:eastAsia="sl-SI"/>
              </w:rPr>
              <w:t>Skupaj</w:t>
            </w:r>
          </w:p>
        </w:tc>
        <w:tc>
          <w:tcPr>
            <w:tcW w:w="961" w:type="dxa"/>
            <w:shd w:val="clear" w:color="auto" w:fill="F2F2F2" w:themeFill="background1" w:themeFillShade="F2"/>
            <w:noWrap/>
            <w:vAlign w:val="center"/>
            <w:hideMark/>
          </w:tcPr>
          <w:p w14:paraId="0378FFCF" w14:textId="088E421C" w:rsidR="001D63F9" w:rsidRPr="001D63F9" w:rsidRDefault="001D63F9" w:rsidP="001D63F9">
            <w:pPr>
              <w:spacing w:after="0" w:line="240" w:lineRule="auto"/>
              <w:jc w:val="right"/>
              <w:rPr>
                <w:rFonts w:ascii="Arial" w:hAnsi="Arial" w:cs="Arial"/>
                <w:b/>
                <w:bCs/>
                <w:sz w:val="18"/>
                <w:szCs w:val="18"/>
              </w:rPr>
            </w:pPr>
            <w:r w:rsidRPr="001D63F9">
              <w:rPr>
                <w:rFonts w:ascii="Arial" w:hAnsi="Arial" w:cs="Arial"/>
                <w:b/>
                <w:bCs/>
                <w:sz w:val="18"/>
                <w:szCs w:val="18"/>
              </w:rPr>
              <w:t>6.721</w:t>
            </w:r>
          </w:p>
        </w:tc>
        <w:tc>
          <w:tcPr>
            <w:tcW w:w="854" w:type="dxa"/>
            <w:shd w:val="clear" w:color="auto" w:fill="F2F2F2" w:themeFill="background1" w:themeFillShade="F2"/>
            <w:noWrap/>
            <w:vAlign w:val="center"/>
            <w:hideMark/>
          </w:tcPr>
          <w:p w14:paraId="53FA6D0F" w14:textId="6CB30BFE" w:rsidR="001D63F9" w:rsidRPr="001D63F9" w:rsidRDefault="001D63F9" w:rsidP="001D63F9">
            <w:pPr>
              <w:spacing w:after="0" w:line="240" w:lineRule="auto"/>
              <w:jc w:val="right"/>
              <w:rPr>
                <w:rFonts w:ascii="Arial" w:hAnsi="Arial" w:cs="Arial"/>
                <w:b/>
                <w:bCs/>
                <w:sz w:val="18"/>
                <w:szCs w:val="18"/>
              </w:rPr>
            </w:pPr>
            <w:r w:rsidRPr="001D63F9">
              <w:rPr>
                <w:rFonts w:ascii="Arial" w:hAnsi="Arial" w:cs="Arial"/>
                <w:b/>
                <w:bCs/>
                <w:sz w:val="18"/>
                <w:szCs w:val="18"/>
              </w:rPr>
              <w:t>17.224</w:t>
            </w:r>
          </w:p>
        </w:tc>
        <w:tc>
          <w:tcPr>
            <w:tcW w:w="1417" w:type="dxa"/>
            <w:shd w:val="clear" w:color="auto" w:fill="F2F2F2" w:themeFill="background1" w:themeFillShade="F2"/>
            <w:noWrap/>
            <w:vAlign w:val="center"/>
            <w:hideMark/>
          </w:tcPr>
          <w:p w14:paraId="4936AF84" w14:textId="4E5F85D3" w:rsidR="001D63F9" w:rsidRPr="001D63F9" w:rsidRDefault="001D63F9" w:rsidP="001D63F9">
            <w:pPr>
              <w:spacing w:after="0" w:line="240" w:lineRule="auto"/>
              <w:jc w:val="right"/>
              <w:rPr>
                <w:rFonts w:ascii="Arial" w:hAnsi="Arial" w:cs="Arial"/>
                <w:b/>
                <w:bCs/>
                <w:sz w:val="18"/>
                <w:szCs w:val="18"/>
              </w:rPr>
            </w:pPr>
            <w:r w:rsidRPr="001D63F9">
              <w:rPr>
                <w:rFonts w:ascii="Arial" w:hAnsi="Arial" w:cs="Arial"/>
                <w:b/>
                <w:bCs/>
                <w:sz w:val="18"/>
                <w:szCs w:val="18"/>
              </w:rPr>
              <w:t>5.417.105.902</w:t>
            </w:r>
          </w:p>
        </w:tc>
        <w:tc>
          <w:tcPr>
            <w:tcW w:w="1276" w:type="dxa"/>
            <w:shd w:val="clear" w:color="auto" w:fill="F2F2F2" w:themeFill="background1" w:themeFillShade="F2"/>
            <w:noWrap/>
            <w:vAlign w:val="center"/>
            <w:hideMark/>
          </w:tcPr>
          <w:p w14:paraId="51F83757" w14:textId="6118E4F8" w:rsidR="001D63F9" w:rsidRPr="001D63F9" w:rsidRDefault="001D63F9" w:rsidP="001D63F9">
            <w:pPr>
              <w:spacing w:after="0" w:line="240" w:lineRule="auto"/>
              <w:jc w:val="right"/>
              <w:rPr>
                <w:rFonts w:ascii="Arial" w:hAnsi="Arial" w:cs="Arial"/>
                <w:b/>
                <w:bCs/>
                <w:sz w:val="18"/>
                <w:szCs w:val="18"/>
              </w:rPr>
            </w:pPr>
            <w:r w:rsidRPr="001D63F9">
              <w:rPr>
                <w:rFonts w:ascii="Arial" w:hAnsi="Arial" w:cs="Arial"/>
                <w:b/>
                <w:bCs/>
                <w:sz w:val="18"/>
                <w:szCs w:val="18"/>
              </w:rPr>
              <w:t>100,00 %</w:t>
            </w:r>
          </w:p>
        </w:tc>
        <w:tc>
          <w:tcPr>
            <w:tcW w:w="1134" w:type="dxa"/>
            <w:shd w:val="clear" w:color="auto" w:fill="F2F2F2" w:themeFill="background1" w:themeFillShade="F2"/>
            <w:noWrap/>
            <w:vAlign w:val="center"/>
            <w:hideMark/>
          </w:tcPr>
          <w:p w14:paraId="3A6FDD06" w14:textId="373F5308" w:rsidR="001D63F9" w:rsidRPr="001D63F9" w:rsidRDefault="001D63F9" w:rsidP="001D63F9">
            <w:pPr>
              <w:spacing w:after="0" w:line="240" w:lineRule="auto"/>
              <w:jc w:val="right"/>
              <w:rPr>
                <w:rFonts w:ascii="Arial" w:hAnsi="Arial" w:cs="Arial"/>
                <w:b/>
                <w:bCs/>
                <w:sz w:val="18"/>
                <w:szCs w:val="18"/>
              </w:rPr>
            </w:pPr>
            <w:r w:rsidRPr="001D63F9">
              <w:rPr>
                <w:rFonts w:ascii="Arial" w:hAnsi="Arial" w:cs="Arial"/>
                <w:b/>
                <w:bCs/>
                <w:sz w:val="18"/>
                <w:szCs w:val="18"/>
              </w:rPr>
              <w:t>100,00 %</w:t>
            </w:r>
          </w:p>
        </w:tc>
        <w:tc>
          <w:tcPr>
            <w:tcW w:w="1134" w:type="dxa"/>
            <w:shd w:val="clear" w:color="auto" w:fill="F2F2F2" w:themeFill="background1" w:themeFillShade="F2"/>
            <w:noWrap/>
            <w:vAlign w:val="center"/>
            <w:hideMark/>
          </w:tcPr>
          <w:p w14:paraId="707EEF8A" w14:textId="3CEBB711" w:rsidR="001D63F9" w:rsidRPr="001D63F9" w:rsidRDefault="001D63F9" w:rsidP="001D63F9">
            <w:pPr>
              <w:spacing w:after="0" w:line="240" w:lineRule="auto"/>
              <w:jc w:val="right"/>
              <w:rPr>
                <w:rFonts w:ascii="Arial" w:hAnsi="Arial" w:cs="Arial"/>
                <w:b/>
                <w:bCs/>
                <w:sz w:val="18"/>
                <w:szCs w:val="18"/>
              </w:rPr>
            </w:pPr>
            <w:r w:rsidRPr="001D63F9">
              <w:rPr>
                <w:rFonts w:ascii="Arial" w:hAnsi="Arial" w:cs="Arial"/>
                <w:b/>
                <w:bCs/>
                <w:sz w:val="18"/>
                <w:szCs w:val="18"/>
              </w:rPr>
              <w:t>100,00 %</w:t>
            </w:r>
          </w:p>
        </w:tc>
      </w:tr>
    </w:tbl>
    <w:p w14:paraId="786F36E9" w14:textId="5D9A93DC" w:rsidR="00AF3D59" w:rsidRPr="001D63F9" w:rsidRDefault="00AF3D59" w:rsidP="00D907DA">
      <w:pPr>
        <w:shd w:val="clear" w:color="auto" w:fill="FFFFFF"/>
        <w:spacing w:after="0" w:line="240" w:lineRule="auto"/>
        <w:ind w:left="181"/>
        <w:jc w:val="center"/>
        <w:rPr>
          <w:rFonts w:ascii="Arial" w:hAnsi="Arial" w:cs="Arial"/>
          <w:noProof/>
          <w:sz w:val="18"/>
          <w:szCs w:val="18"/>
          <w:lang w:eastAsia="sl-SI"/>
        </w:rPr>
      </w:pPr>
    </w:p>
    <w:p w14:paraId="7C4B149F" w14:textId="1E899606" w:rsidR="00D907DA" w:rsidRPr="001D63F9" w:rsidRDefault="00D907DA" w:rsidP="003156F5">
      <w:pPr>
        <w:spacing w:after="240" w:line="240" w:lineRule="auto"/>
        <w:jc w:val="center"/>
        <w:rPr>
          <w:rFonts w:ascii="Arial" w:hAnsi="Arial" w:cs="Arial"/>
          <w:sz w:val="18"/>
        </w:rPr>
      </w:pPr>
      <w:r w:rsidRPr="001D63F9">
        <w:rPr>
          <w:rFonts w:ascii="Arial" w:hAnsi="Arial" w:cs="Arial"/>
          <w:sz w:val="18"/>
        </w:rPr>
        <w:t>Vir: Statistični podatki o javnih naročilih, oddanih v let</w:t>
      </w:r>
      <w:r w:rsidR="0076104A" w:rsidRPr="001D63F9">
        <w:rPr>
          <w:rFonts w:ascii="Arial" w:hAnsi="Arial" w:cs="Arial"/>
          <w:sz w:val="18"/>
        </w:rPr>
        <w:t>u 20</w:t>
      </w:r>
      <w:r w:rsidR="00913587" w:rsidRPr="001D63F9">
        <w:rPr>
          <w:rFonts w:ascii="Arial" w:hAnsi="Arial" w:cs="Arial"/>
          <w:sz w:val="18"/>
        </w:rPr>
        <w:t>2</w:t>
      </w:r>
      <w:r w:rsidR="001D63F9" w:rsidRPr="001D63F9">
        <w:rPr>
          <w:rFonts w:ascii="Arial" w:hAnsi="Arial" w:cs="Arial"/>
          <w:sz w:val="18"/>
        </w:rPr>
        <w:t>2</w:t>
      </w:r>
      <w:r w:rsidR="00AA31A7" w:rsidRPr="001D63F9">
        <w:rPr>
          <w:rFonts w:ascii="Arial" w:hAnsi="Arial" w:cs="Arial"/>
          <w:sz w:val="18"/>
        </w:rPr>
        <w:t>.</w:t>
      </w:r>
    </w:p>
    <w:p w14:paraId="5CDA2DC9" w14:textId="2F540957" w:rsidR="00D907DA" w:rsidRPr="00615804" w:rsidRDefault="00D907DA" w:rsidP="00D907DA">
      <w:pPr>
        <w:spacing w:line="360" w:lineRule="auto"/>
        <w:jc w:val="both"/>
        <w:rPr>
          <w:rFonts w:ascii="Arial" w:hAnsi="Arial" w:cs="Arial"/>
          <w:sz w:val="20"/>
        </w:rPr>
      </w:pPr>
      <w:r w:rsidRPr="00615804">
        <w:rPr>
          <w:rFonts w:ascii="Arial" w:hAnsi="Arial" w:cs="Arial"/>
          <w:sz w:val="20"/>
        </w:rPr>
        <w:t xml:space="preserve">Oddana javna naročila na splošnem področju </w:t>
      </w:r>
      <w:r w:rsidR="00BD6B05" w:rsidRPr="00615804">
        <w:rPr>
          <w:rFonts w:ascii="Arial" w:hAnsi="Arial" w:cs="Arial"/>
          <w:sz w:val="20"/>
        </w:rPr>
        <w:t xml:space="preserve">pomenijo </w:t>
      </w:r>
      <w:r w:rsidRPr="00615804">
        <w:rPr>
          <w:rFonts w:ascii="Arial" w:hAnsi="Arial" w:cs="Arial"/>
          <w:sz w:val="20"/>
        </w:rPr>
        <w:t>največji del vseh naročil tako</w:t>
      </w:r>
      <w:r w:rsidR="00580B35" w:rsidRPr="00615804">
        <w:rPr>
          <w:rFonts w:ascii="Arial" w:hAnsi="Arial" w:cs="Arial"/>
          <w:sz w:val="20"/>
        </w:rPr>
        <w:t xml:space="preserve"> po</w:t>
      </w:r>
      <w:r w:rsidRPr="00615804">
        <w:rPr>
          <w:rFonts w:ascii="Arial" w:hAnsi="Arial" w:cs="Arial"/>
          <w:sz w:val="20"/>
        </w:rPr>
        <w:t xml:space="preserve"> številu kot </w:t>
      </w:r>
      <w:r w:rsidR="00CF61BC">
        <w:rPr>
          <w:rFonts w:ascii="Arial" w:hAnsi="Arial" w:cs="Arial"/>
          <w:sz w:val="20"/>
        </w:rPr>
        <w:t>tudi</w:t>
      </w:r>
      <w:r w:rsidR="00580B35" w:rsidRPr="00615804">
        <w:rPr>
          <w:rFonts w:ascii="Arial" w:hAnsi="Arial" w:cs="Arial"/>
          <w:sz w:val="20"/>
        </w:rPr>
        <w:t xml:space="preserve"> </w:t>
      </w:r>
      <w:r w:rsidRPr="00615804">
        <w:rPr>
          <w:rFonts w:ascii="Arial" w:hAnsi="Arial" w:cs="Arial"/>
          <w:sz w:val="20"/>
        </w:rPr>
        <w:t>vrednosti.</w:t>
      </w:r>
    </w:p>
    <w:p w14:paraId="5AA3FE5A" w14:textId="5F48C135" w:rsidR="00D907DA" w:rsidRPr="00615804" w:rsidRDefault="00D907DA" w:rsidP="00897156">
      <w:pPr>
        <w:rPr>
          <w:rFonts w:ascii="Arial" w:hAnsi="Arial" w:cs="Arial"/>
          <w:sz w:val="20"/>
        </w:rPr>
      </w:pPr>
      <w:r w:rsidRPr="00615804">
        <w:rPr>
          <w:rFonts w:ascii="Arial" w:hAnsi="Arial" w:cs="Arial"/>
          <w:sz w:val="20"/>
        </w:rPr>
        <w:t xml:space="preserve">Preglednica </w:t>
      </w:r>
      <w:r w:rsidR="00EB4423" w:rsidRPr="00615804">
        <w:rPr>
          <w:rFonts w:ascii="Arial" w:hAnsi="Arial" w:cs="Arial"/>
          <w:sz w:val="20"/>
        </w:rPr>
        <w:t>3</w:t>
      </w:r>
      <w:r w:rsidRPr="00615804">
        <w:rPr>
          <w:rFonts w:ascii="Arial" w:hAnsi="Arial" w:cs="Arial"/>
          <w:sz w:val="20"/>
        </w:rPr>
        <w:t>: Vrednost, število in de</w:t>
      </w:r>
      <w:r w:rsidR="00951392" w:rsidRPr="00615804">
        <w:rPr>
          <w:rFonts w:ascii="Arial" w:hAnsi="Arial" w:cs="Arial"/>
          <w:sz w:val="20"/>
        </w:rPr>
        <w:t xml:space="preserve">leži javnih naročil </w:t>
      </w:r>
      <w:r w:rsidRPr="00615804">
        <w:rPr>
          <w:rFonts w:ascii="Arial" w:hAnsi="Arial" w:cs="Arial"/>
          <w:sz w:val="20"/>
        </w:rPr>
        <w:t>po področj</w:t>
      </w:r>
      <w:r w:rsidR="00391021" w:rsidRPr="00615804">
        <w:rPr>
          <w:rFonts w:ascii="Arial" w:hAnsi="Arial" w:cs="Arial"/>
          <w:sz w:val="20"/>
        </w:rPr>
        <w:t>ih</w:t>
      </w:r>
      <w:r w:rsidRPr="00615804">
        <w:rPr>
          <w:rFonts w:ascii="Arial" w:hAnsi="Arial" w:cs="Arial"/>
          <w:sz w:val="20"/>
        </w:rPr>
        <w:t xml:space="preserve"> naročanja</w:t>
      </w:r>
    </w:p>
    <w:tbl>
      <w:tblPr>
        <w:tblW w:w="8143" w:type="dxa"/>
        <w:jc w:val="center"/>
        <w:tblCellMar>
          <w:left w:w="70" w:type="dxa"/>
          <w:right w:w="70" w:type="dxa"/>
        </w:tblCellMar>
        <w:tblLook w:val="04A0" w:firstRow="1" w:lastRow="0" w:firstColumn="1" w:lastColumn="0" w:noHBand="0" w:noVBand="1"/>
      </w:tblPr>
      <w:tblGrid>
        <w:gridCol w:w="1417"/>
        <w:gridCol w:w="993"/>
        <w:gridCol w:w="833"/>
        <w:gridCol w:w="1300"/>
        <w:gridCol w:w="1264"/>
        <w:gridCol w:w="1076"/>
        <w:gridCol w:w="1260"/>
      </w:tblGrid>
      <w:tr w:rsidR="007A3DD6" w:rsidRPr="00615804" w14:paraId="0B31EF26" w14:textId="77777777" w:rsidTr="00DB3AA6">
        <w:trPr>
          <w:trHeight w:val="255"/>
          <w:jc w:val="center"/>
        </w:trPr>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50BD86" w14:textId="77777777" w:rsidR="007A3DD6" w:rsidRPr="00615804" w:rsidRDefault="007A3DD6" w:rsidP="007A3DD6">
            <w:pPr>
              <w:spacing w:after="0" w:line="240" w:lineRule="auto"/>
              <w:jc w:val="center"/>
              <w:rPr>
                <w:rFonts w:ascii="Arial" w:eastAsia="Times New Roman" w:hAnsi="Arial" w:cs="Arial"/>
                <w:color w:val="000000"/>
                <w:sz w:val="18"/>
                <w:szCs w:val="18"/>
                <w:lang w:eastAsia="sl-SI"/>
              </w:rPr>
            </w:pPr>
            <w:r w:rsidRPr="00615804">
              <w:rPr>
                <w:rFonts w:ascii="Arial" w:eastAsia="Times New Roman" w:hAnsi="Arial" w:cs="Arial"/>
                <w:color w:val="000000"/>
                <w:sz w:val="18"/>
                <w:szCs w:val="18"/>
                <w:lang w:eastAsia="sl-SI"/>
              </w:rPr>
              <w:t>Področje</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D83BBDC" w14:textId="77777777" w:rsidR="007A3DD6" w:rsidRPr="00615804" w:rsidRDefault="007A3DD6" w:rsidP="007A3DD6">
            <w:pPr>
              <w:spacing w:after="0" w:line="240" w:lineRule="auto"/>
              <w:jc w:val="center"/>
              <w:rPr>
                <w:rFonts w:ascii="Arial" w:eastAsia="Times New Roman" w:hAnsi="Arial" w:cs="Arial"/>
                <w:color w:val="000000"/>
                <w:sz w:val="18"/>
                <w:szCs w:val="18"/>
                <w:lang w:eastAsia="sl-SI"/>
              </w:rPr>
            </w:pPr>
            <w:r w:rsidRPr="00615804">
              <w:rPr>
                <w:rFonts w:ascii="Arial" w:eastAsia="Times New Roman" w:hAnsi="Arial" w:cs="Arial"/>
                <w:color w:val="000000"/>
                <w:sz w:val="18"/>
                <w:szCs w:val="18"/>
                <w:lang w:eastAsia="sl-SI"/>
              </w:rPr>
              <w:t>Št. postopkov</w:t>
            </w:r>
          </w:p>
        </w:tc>
        <w:tc>
          <w:tcPr>
            <w:tcW w:w="83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1CABC44" w14:textId="77777777" w:rsidR="007A3DD6" w:rsidRPr="00615804" w:rsidRDefault="007A3DD6" w:rsidP="007A3DD6">
            <w:pPr>
              <w:spacing w:after="0" w:line="240" w:lineRule="auto"/>
              <w:jc w:val="center"/>
              <w:rPr>
                <w:rFonts w:ascii="Arial" w:eastAsia="Times New Roman" w:hAnsi="Arial" w:cs="Arial"/>
                <w:color w:val="000000"/>
                <w:sz w:val="18"/>
                <w:szCs w:val="18"/>
                <w:lang w:eastAsia="sl-SI"/>
              </w:rPr>
            </w:pPr>
            <w:r w:rsidRPr="00615804">
              <w:rPr>
                <w:rFonts w:ascii="Arial" w:eastAsia="Times New Roman" w:hAnsi="Arial" w:cs="Arial"/>
                <w:color w:val="000000"/>
                <w:sz w:val="18"/>
                <w:szCs w:val="18"/>
                <w:lang w:eastAsia="sl-SI"/>
              </w:rPr>
              <w:t>Št. naročil</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9A55245" w14:textId="77777777" w:rsidR="007A3DD6" w:rsidRPr="00615804" w:rsidRDefault="007A3DD6" w:rsidP="007A3DD6">
            <w:pPr>
              <w:spacing w:after="0" w:line="240" w:lineRule="auto"/>
              <w:jc w:val="center"/>
              <w:rPr>
                <w:rFonts w:ascii="Arial" w:eastAsia="Times New Roman" w:hAnsi="Arial" w:cs="Arial"/>
                <w:color w:val="000000"/>
                <w:sz w:val="18"/>
                <w:szCs w:val="18"/>
                <w:lang w:eastAsia="sl-SI"/>
              </w:rPr>
            </w:pPr>
            <w:r w:rsidRPr="00615804">
              <w:rPr>
                <w:rFonts w:ascii="Arial" w:eastAsia="Times New Roman" w:hAnsi="Arial" w:cs="Arial"/>
                <w:color w:val="000000"/>
                <w:sz w:val="18"/>
                <w:szCs w:val="18"/>
                <w:lang w:eastAsia="sl-SI"/>
              </w:rPr>
              <w:t>Pogodbena vrednost</w:t>
            </w:r>
          </w:p>
        </w:tc>
        <w:tc>
          <w:tcPr>
            <w:tcW w:w="126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6520B8B" w14:textId="77777777" w:rsidR="007A3DD6" w:rsidRPr="00615804" w:rsidRDefault="007A3DD6" w:rsidP="007A3DD6">
            <w:pPr>
              <w:spacing w:after="0" w:line="240" w:lineRule="auto"/>
              <w:jc w:val="center"/>
              <w:rPr>
                <w:rFonts w:ascii="Arial" w:eastAsia="Times New Roman" w:hAnsi="Arial" w:cs="Arial"/>
                <w:color w:val="000000"/>
                <w:sz w:val="18"/>
                <w:szCs w:val="18"/>
                <w:lang w:eastAsia="sl-SI"/>
              </w:rPr>
            </w:pPr>
            <w:r w:rsidRPr="00615804">
              <w:rPr>
                <w:rFonts w:ascii="Arial" w:eastAsia="Times New Roman" w:hAnsi="Arial" w:cs="Arial"/>
                <w:color w:val="000000"/>
                <w:sz w:val="18"/>
                <w:szCs w:val="18"/>
                <w:lang w:eastAsia="sl-SI"/>
              </w:rPr>
              <w:t>Delež v št. postopkov</w:t>
            </w:r>
          </w:p>
        </w:tc>
        <w:tc>
          <w:tcPr>
            <w:tcW w:w="10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4918B3F" w14:textId="77777777" w:rsidR="007A3DD6" w:rsidRPr="00615804" w:rsidRDefault="007A3DD6" w:rsidP="007A3DD6">
            <w:pPr>
              <w:spacing w:after="0" w:line="240" w:lineRule="auto"/>
              <w:jc w:val="center"/>
              <w:rPr>
                <w:rFonts w:ascii="Arial" w:eastAsia="Times New Roman" w:hAnsi="Arial" w:cs="Arial"/>
                <w:color w:val="000000"/>
                <w:sz w:val="18"/>
                <w:szCs w:val="18"/>
                <w:lang w:eastAsia="sl-SI"/>
              </w:rPr>
            </w:pPr>
            <w:r w:rsidRPr="00615804">
              <w:rPr>
                <w:rFonts w:ascii="Arial" w:eastAsia="Times New Roman" w:hAnsi="Arial" w:cs="Arial"/>
                <w:color w:val="000000"/>
                <w:sz w:val="18"/>
                <w:szCs w:val="18"/>
                <w:lang w:eastAsia="sl-SI"/>
              </w:rPr>
              <w:t>Delež v št. naročil</w:t>
            </w:r>
          </w:p>
        </w:tc>
        <w:tc>
          <w:tcPr>
            <w:tcW w:w="12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E97A8C2" w14:textId="77777777" w:rsidR="007A3DD6" w:rsidRPr="00615804" w:rsidRDefault="007A3DD6" w:rsidP="007A3DD6">
            <w:pPr>
              <w:spacing w:after="0" w:line="240" w:lineRule="auto"/>
              <w:jc w:val="center"/>
              <w:rPr>
                <w:rFonts w:ascii="Arial" w:eastAsia="Times New Roman" w:hAnsi="Arial" w:cs="Arial"/>
                <w:color w:val="000000"/>
                <w:sz w:val="18"/>
                <w:szCs w:val="18"/>
                <w:lang w:eastAsia="sl-SI"/>
              </w:rPr>
            </w:pPr>
            <w:r w:rsidRPr="00615804">
              <w:rPr>
                <w:rFonts w:ascii="Arial" w:eastAsia="Times New Roman" w:hAnsi="Arial" w:cs="Arial"/>
                <w:color w:val="000000"/>
                <w:sz w:val="18"/>
                <w:szCs w:val="18"/>
                <w:lang w:eastAsia="sl-SI"/>
              </w:rPr>
              <w:t>Delež v vrednosti</w:t>
            </w:r>
          </w:p>
        </w:tc>
      </w:tr>
      <w:tr w:rsidR="00615804" w:rsidRPr="00615804" w14:paraId="4CB8D351" w14:textId="77777777" w:rsidTr="00615804">
        <w:trPr>
          <w:trHeight w:val="255"/>
          <w:jc w:val="center"/>
        </w:trPr>
        <w:tc>
          <w:tcPr>
            <w:tcW w:w="1417" w:type="dxa"/>
            <w:tcBorders>
              <w:top w:val="nil"/>
              <w:left w:val="single" w:sz="4" w:space="0" w:color="auto"/>
              <w:bottom w:val="single" w:sz="4" w:space="0" w:color="auto"/>
              <w:right w:val="single" w:sz="4" w:space="0" w:color="auto"/>
            </w:tcBorders>
            <w:shd w:val="clear" w:color="auto" w:fill="auto"/>
            <w:vAlign w:val="center"/>
            <w:hideMark/>
          </w:tcPr>
          <w:p w14:paraId="15B04206" w14:textId="77777777" w:rsidR="00615804" w:rsidRPr="00615804" w:rsidRDefault="00615804" w:rsidP="00615804">
            <w:pPr>
              <w:spacing w:after="0" w:line="240" w:lineRule="auto"/>
              <w:rPr>
                <w:rFonts w:ascii="Arial" w:eastAsia="Times New Roman" w:hAnsi="Arial" w:cs="Arial"/>
                <w:color w:val="000000"/>
                <w:sz w:val="18"/>
                <w:szCs w:val="18"/>
                <w:lang w:eastAsia="sl-SI"/>
              </w:rPr>
            </w:pPr>
            <w:r w:rsidRPr="00615804">
              <w:rPr>
                <w:rFonts w:ascii="Arial" w:eastAsia="Times New Roman" w:hAnsi="Arial" w:cs="Arial"/>
                <w:color w:val="000000"/>
                <w:sz w:val="18"/>
                <w:szCs w:val="18"/>
                <w:lang w:eastAsia="sl-SI"/>
              </w:rPr>
              <w:t>Splošno</w:t>
            </w:r>
          </w:p>
        </w:tc>
        <w:tc>
          <w:tcPr>
            <w:tcW w:w="993" w:type="dxa"/>
            <w:tcBorders>
              <w:top w:val="nil"/>
              <w:left w:val="nil"/>
              <w:bottom w:val="single" w:sz="4" w:space="0" w:color="auto"/>
              <w:right w:val="single" w:sz="4" w:space="0" w:color="auto"/>
            </w:tcBorders>
            <w:shd w:val="clear" w:color="auto" w:fill="auto"/>
            <w:vAlign w:val="center"/>
            <w:hideMark/>
          </w:tcPr>
          <w:p w14:paraId="25E1A305" w14:textId="32622CAA" w:rsidR="00615804" w:rsidRPr="00615804" w:rsidRDefault="00615804" w:rsidP="00615804">
            <w:pPr>
              <w:spacing w:after="0" w:line="240" w:lineRule="auto"/>
              <w:jc w:val="right"/>
              <w:rPr>
                <w:rFonts w:ascii="Arial" w:hAnsi="Arial" w:cs="Arial"/>
                <w:sz w:val="18"/>
                <w:szCs w:val="18"/>
              </w:rPr>
            </w:pPr>
            <w:r w:rsidRPr="00615804">
              <w:rPr>
                <w:rFonts w:ascii="Arial" w:hAnsi="Arial" w:cs="Arial"/>
                <w:sz w:val="18"/>
                <w:szCs w:val="18"/>
              </w:rPr>
              <w:t>5.505</w:t>
            </w:r>
          </w:p>
        </w:tc>
        <w:tc>
          <w:tcPr>
            <w:tcW w:w="833" w:type="dxa"/>
            <w:tcBorders>
              <w:top w:val="nil"/>
              <w:left w:val="nil"/>
              <w:bottom w:val="single" w:sz="4" w:space="0" w:color="auto"/>
              <w:right w:val="single" w:sz="4" w:space="0" w:color="auto"/>
            </w:tcBorders>
            <w:shd w:val="clear" w:color="auto" w:fill="auto"/>
            <w:vAlign w:val="center"/>
            <w:hideMark/>
          </w:tcPr>
          <w:p w14:paraId="5C37AB31" w14:textId="028E5950" w:rsidR="00615804" w:rsidRPr="00615804" w:rsidRDefault="00615804" w:rsidP="00615804">
            <w:pPr>
              <w:spacing w:after="0" w:line="240" w:lineRule="auto"/>
              <w:jc w:val="right"/>
              <w:rPr>
                <w:rFonts w:ascii="Arial" w:hAnsi="Arial" w:cs="Arial"/>
                <w:sz w:val="18"/>
                <w:szCs w:val="18"/>
              </w:rPr>
            </w:pPr>
            <w:r w:rsidRPr="00615804">
              <w:rPr>
                <w:rFonts w:ascii="Arial" w:hAnsi="Arial" w:cs="Arial"/>
                <w:sz w:val="18"/>
                <w:szCs w:val="18"/>
              </w:rPr>
              <w:t>15.322</w:t>
            </w:r>
          </w:p>
        </w:tc>
        <w:tc>
          <w:tcPr>
            <w:tcW w:w="1300" w:type="dxa"/>
            <w:tcBorders>
              <w:top w:val="nil"/>
              <w:left w:val="nil"/>
              <w:bottom w:val="single" w:sz="4" w:space="0" w:color="auto"/>
              <w:right w:val="single" w:sz="4" w:space="0" w:color="auto"/>
            </w:tcBorders>
            <w:shd w:val="clear" w:color="auto" w:fill="auto"/>
            <w:vAlign w:val="center"/>
            <w:hideMark/>
          </w:tcPr>
          <w:p w14:paraId="5EAF4F5D" w14:textId="202AB45C" w:rsidR="00615804" w:rsidRPr="00615804" w:rsidRDefault="00615804" w:rsidP="00615804">
            <w:pPr>
              <w:spacing w:after="0" w:line="240" w:lineRule="auto"/>
              <w:jc w:val="right"/>
              <w:rPr>
                <w:rFonts w:ascii="Arial" w:hAnsi="Arial" w:cs="Arial"/>
                <w:sz w:val="18"/>
                <w:szCs w:val="18"/>
              </w:rPr>
            </w:pPr>
            <w:r w:rsidRPr="00615804">
              <w:rPr>
                <w:rFonts w:ascii="Arial" w:hAnsi="Arial" w:cs="Arial"/>
                <w:sz w:val="18"/>
                <w:szCs w:val="18"/>
              </w:rPr>
              <w:t>4.510.497.243</w:t>
            </w:r>
          </w:p>
        </w:tc>
        <w:tc>
          <w:tcPr>
            <w:tcW w:w="1264" w:type="dxa"/>
            <w:tcBorders>
              <w:top w:val="nil"/>
              <w:left w:val="nil"/>
              <w:bottom w:val="single" w:sz="4" w:space="0" w:color="auto"/>
              <w:right w:val="single" w:sz="4" w:space="0" w:color="auto"/>
            </w:tcBorders>
            <w:shd w:val="clear" w:color="auto" w:fill="auto"/>
            <w:noWrap/>
            <w:vAlign w:val="center"/>
            <w:hideMark/>
          </w:tcPr>
          <w:p w14:paraId="06849774" w14:textId="4F5FB722" w:rsidR="00615804" w:rsidRPr="00615804" w:rsidRDefault="00615804" w:rsidP="00615804">
            <w:pPr>
              <w:spacing w:after="0" w:line="240" w:lineRule="auto"/>
              <w:jc w:val="right"/>
              <w:rPr>
                <w:rFonts w:ascii="Arial" w:hAnsi="Arial" w:cs="Arial"/>
                <w:sz w:val="18"/>
                <w:szCs w:val="18"/>
              </w:rPr>
            </w:pPr>
            <w:r w:rsidRPr="00615804">
              <w:rPr>
                <w:rFonts w:ascii="Arial" w:hAnsi="Arial" w:cs="Arial"/>
                <w:sz w:val="18"/>
                <w:szCs w:val="18"/>
              </w:rPr>
              <w:t>81,91 %</w:t>
            </w:r>
          </w:p>
        </w:tc>
        <w:tc>
          <w:tcPr>
            <w:tcW w:w="1076" w:type="dxa"/>
            <w:tcBorders>
              <w:top w:val="nil"/>
              <w:left w:val="nil"/>
              <w:bottom w:val="single" w:sz="4" w:space="0" w:color="auto"/>
              <w:right w:val="single" w:sz="4" w:space="0" w:color="auto"/>
            </w:tcBorders>
            <w:shd w:val="clear" w:color="auto" w:fill="auto"/>
            <w:noWrap/>
            <w:vAlign w:val="center"/>
            <w:hideMark/>
          </w:tcPr>
          <w:p w14:paraId="27B2E980" w14:textId="7A64C5EC" w:rsidR="00615804" w:rsidRPr="00615804" w:rsidRDefault="00615804" w:rsidP="00615804">
            <w:pPr>
              <w:spacing w:after="0" w:line="240" w:lineRule="auto"/>
              <w:jc w:val="right"/>
              <w:rPr>
                <w:rFonts w:ascii="Arial" w:hAnsi="Arial" w:cs="Arial"/>
                <w:sz w:val="18"/>
                <w:szCs w:val="18"/>
              </w:rPr>
            </w:pPr>
            <w:r w:rsidRPr="00615804">
              <w:rPr>
                <w:rFonts w:ascii="Arial" w:hAnsi="Arial" w:cs="Arial"/>
                <w:sz w:val="18"/>
                <w:szCs w:val="18"/>
              </w:rPr>
              <w:t>88,96 %</w:t>
            </w:r>
          </w:p>
        </w:tc>
        <w:tc>
          <w:tcPr>
            <w:tcW w:w="1260" w:type="dxa"/>
            <w:tcBorders>
              <w:top w:val="nil"/>
              <w:left w:val="nil"/>
              <w:bottom w:val="single" w:sz="4" w:space="0" w:color="auto"/>
              <w:right w:val="single" w:sz="4" w:space="0" w:color="auto"/>
            </w:tcBorders>
            <w:shd w:val="clear" w:color="auto" w:fill="auto"/>
            <w:noWrap/>
            <w:vAlign w:val="center"/>
            <w:hideMark/>
          </w:tcPr>
          <w:p w14:paraId="15B49B5C" w14:textId="0AF94B51" w:rsidR="00615804" w:rsidRPr="00615804" w:rsidRDefault="00615804" w:rsidP="00615804">
            <w:pPr>
              <w:spacing w:after="0" w:line="240" w:lineRule="auto"/>
              <w:jc w:val="right"/>
              <w:rPr>
                <w:rFonts w:ascii="Arial" w:hAnsi="Arial" w:cs="Arial"/>
                <w:sz w:val="18"/>
                <w:szCs w:val="18"/>
              </w:rPr>
            </w:pPr>
            <w:r w:rsidRPr="00615804">
              <w:rPr>
                <w:rFonts w:ascii="Arial" w:hAnsi="Arial" w:cs="Arial"/>
                <w:sz w:val="18"/>
                <w:szCs w:val="18"/>
              </w:rPr>
              <w:t>83,26 %</w:t>
            </w:r>
          </w:p>
        </w:tc>
      </w:tr>
      <w:tr w:rsidR="00615804" w:rsidRPr="00615804" w14:paraId="432FEE0F" w14:textId="77777777" w:rsidTr="00615804">
        <w:trPr>
          <w:trHeight w:val="255"/>
          <w:jc w:val="center"/>
        </w:trPr>
        <w:tc>
          <w:tcPr>
            <w:tcW w:w="1417" w:type="dxa"/>
            <w:tcBorders>
              <w:top w:val="nil"/>
              <w:left w:val="single" w:sz="4" w:space="0" w:color="auto"/>
              <w:bottom w:val="single" w:sz="4" w:space="0" w:color="auto"/>
              <w:right w:val="single" w:sz="4" w:space="0" w:color="auto"/>
            </w:tcBorders>
            <w:shd w:val="clear" w:color="auto" w:fill="auto"/>
            <w:vAlign w:val="center"/>
            <w:hideMark/>
          </w:tcPr>
          <w:p w14:paraId="698F9B6C" w14:textId="5F685A0C" w:rsidR="00615804" w:rsidRPr="00615804" w:rsidRDefault="00615804" w:rsidP="00615804">
            <w:pPr>
              <w:spacing w:after="0" w:line="240" w:lineRule="auto"/>
              <w:rPr>
                <w:rFonts w:ascii="Arial" w:eastAsia="Times New Roman" w:hAnsi="Arial" w:cs="Arial"/>
                <w:color w:val="000000"/>
                <w:sz w:val="18"/>
                <w:szCs w:val="18"/>
                <w:lang w:eastAsia="sl-SI"/>
              </w:rPr>
            </w:pPr>
            <w:r w:rsidRPr="00615804">
              <w:rPr>
                <w:rFonts w:ascii="Arial" w:eastAsia="Times New Roman" w:hAnsi="Arial" w:cs="Arial"/>
                <w:color w:val="000000"/>
                <w:sz w:val="18"/>
                <w:szCs w:val="18"/>
                <w:lang w:eastAsia="sl-SI"/>
              </w:rPr>
              <w:t>Infrastrukturno</w:t>
            </w:r>
          </w:p>
        </w:tc>
        <w:tc>
          <w:tcPr>
            <w:tcW w:w="993" w:type="dxa"/>
            <w:tcBorders>
              <w:top w:val="nil"/>
              <w:left w:val="nil"/>
              <w:bottom w:val="single" w:sz="4" w:space="0" w:color="auto"/>
              <w:right w:val="single" w:sz="4" w:space="0" w:color="auto"/>
            </w:tcBorders>
            <w:shd w:val="clear" w:color="auto" w:fill="auto"/>
            <w:vAlign w:val="center"/>
            <w:hideMark/>
          </w:tcPr>
          <w:p w14:paraId="454A65A3" w14:textId="0ACB736F" w:rsidR="00615804" w:rsidRPr="00615804" w:rsidRDefault="00615804" w:rsidP="00615804">
            <w:pPr>
              <w:spacing w:after="0" w:line="240" w:lineRule="auto"/>
              <w:jc w:val="right"/>
              <w:rPr>
                <w:rFonts w:ascii="Arial" w:hAnsi="Arial" w:cs="Arial"/>
                <w:sz w:val="18"/>
                <w:szCs w:val="18"/>
              </w:rPr>
            </w:pPr>
            <w:r w:rsidRPr="00615804">
              <w:rPr>
                <w:rFonts w:ascii="Arial" w:hAnsi="Arial" w:cs="Arial"/>
                <w:sz w:val="18"/>
                <w:szCs w:val="18"/>
              </w:rPr>
              <w:t>1.131</w:t>
            </w:r>
          </w:p>
        </w:tc>
        <w:tc>
          <w:tcPr>
            <w:tcW w:w="833" w:type="dxa"/>
            <w:tcBorders>
              <w:top w:val="nil"/>
              <w:left w:val="nil"/>
              <w:bottom w:val="single" w:sz="4" w:space="0" w:color="auto"/>
              <w:right w:val="single" w:sz="4" w:space="0" w:color="auto"/>
            </w:tcBorders>
            <w:shd w:val="clear" w:color="auto" w:fill="auto"/>
            <w:vAlign w:val="center"/>
            <w:hideMark/>
          </w:tcPr>
          <w:p w14:paraId="5229EB2A" w14:textId="4CEFD54C" w:rsidR="00615804" w:rsidRPr="00615804" w:rsidRDefault="00615804" w:rsidP="00615804">
            <w:pPr>
              <w:spacing w:after="0" w:line="240" w:lineRule="auto"/>
              <w:jc w:val="right"/>
              <w:rPr>
                <w:rFonts w:ascii="Arial" w:hAnsi="Arial" w:cs="Arial"/>
                <w:sz w:val="18"/>
                <w:szCs w:val="18"/>
              </w:rPr>
            </w:pPr>
            <w:r w:rsidRPr="00615804">
              <w:rPr>
                <w:rFonts w:ascii="Arial" w:hAnsi="Arial" w:cs="Arial"/>
                <w:sz w:val="18"/>
                <w:szCs w:val="18"/>
              </w:rPr>
              <w:t>1.794</w:t>
            </w:r>
          </w:p>
        </w:tc>
        <w:tc>
          <w:tcPr>
            <w:tcW w:w="1300" w:type="dxa"/>
            <w:tcBorders>
              <w:top w:val="nil"/>
              <w:left w:val="nil"/>
              <w:bottom w:val="single" w:sz="4" w:space="0" w:color="auto"/>
              <w:right w:val="single" w:sz="4" w:space="0" w:color="auto"/>
            </w:tcBorders>
            <w:shd w:val="clear" w:color="auto" w:fill="auto"/>
            <w:vAlign w:val="center"/>
            <w:hideMark/>
          </w:tcPr>
          <w:p w14:paraId="2D2F9901" w14:textId="6DD4871B" w:rsidR="00615804" w:rsidRPr="00615804" w:rsidRDefault="00615804" w:rsidP="00615804">
            <w:pPr>
              <w:spacing w:after="0" w:line="240" w:lineRule="auto"/>
              <w:jc w:val="right"/>
              <w:rPr>
                <w:rFonts w:ascii="Arial" w:hAnsi="Arial" w:cs="Arial"/>
                <w:sz w:val="18"/>
                <w:szCs w:val="18"/>
              </w:rPr>
            </w:pPr>
            <w:r w:rsidRPr="00615804">
              <w:rPr>
                <w:rFonts w:ascii="Arial" w:hAnsi="Arial" w:cs="Arial"/>
                <w:sz w:val="18"/>
                <w:szCs w:val="18"/>
              </w:rPr>
              <w:t>850.731.161</w:t>
            </w:r>
          </w:p>
        </w:tc>
        <w:tc>
          <w:tcPr>
            <w:tcW w:w="1264" w:type="dxa"/>
            <w:tcBorders>
              <w:top w:val="nil"/>
              <w:left w:val="nil"/>
              <w:bottom w:val="single" w:sz="4" w:space="0" w:color="auto"/>
              <w:right w:val="single" w:sz="4" w:space="0" w:color="auto"/>
            </w:tcBorders>
            <w:shd w:val="clear" w:color="auto" w:fill="auto"/>
            <w:noWrap/>
            <w:vAlign w:val="center"/>
            <w:hideMark/>
          </w:tcPr>
          <w:p w14:paraId="160D80AD" w14:textId="26016181" w:rsidR="00615804" w:rsidRPr="00615804" w:rsidRDefault="00615804" w:rsidP="00615804">
            <w:pPr>
              <w:spacing w:after="0" w:line="240" w:lineRule="auto"/>
              <w:jc w:val="right"/>
              <w:rPr>
                <w:rFonts w:ascii="Arial" w:hAnsi="Arial" w:cs="Arial"/>
                <w:sz w:val="18"/>
                <w:szCs w:val="18"/>
              </w:rPr>
            </w:pPr>
            <w:r w:rsidRPr="00615804">
              <w:rPr>
                <w:rFonts w:ascii="Arial" w:hAnsi="Arial" w:cs="Arial"/>
                <w:sz w:val="18"/>
                <w:szCs w:val="18"/>
              </w:rPr>
              <w:t>16,83 %</w:t>
            </w:r>
          </w:p>
        </w:tc>
        <w:tc>
          <w:tcPr>
            <w:tcW w:w="1076" w:type="dxa"/>
            <w:tcBorders>
              <w:top w:val="nil"/>
              <w:left w:val="nil"/>
              <w:bottom w:val="single" w:sz="4" w:space="0" w:color="auto"/>
              <w:right w:val="single" w:sz="4" w:space="0" w:color="auto"/>
            </w:tcBorders>
            <w:shd w:val="clear" w:color="auto" w:fill="auto"/>
            <w:noWrap/>
            <w:vAlign w:val="center"/>
            <w:hideMark/>
          </w:tcPr>
          <w:p w14:paraId="1F0E2100" w14:textId="0709ED24" w:rsidR="00615804" w:rsidRPr="00615804" w:rsidRDefault="00615804" w:rsidP="00615804">
            <w:pPr>
              <w:spacing w:after="0" w:line="240" w:lineRule="auto"/>
              <w:jc w:val="right"/>
              <w:rPr>
                <w:rFonts w:ascii="Arial" w:hAnsi="Arial" w:cs="Arial"/>
                <w:sz w:val="18"/>
                <w:szCs w:val="18"/>
              </w:rPr>
            </w:pPr>
            <w:r w:rsidRPr="00615804">
              <w:rPr>
                <w:rFonts w:ascii="Arial" w:hAnsi="Arial" w:cs="Arial"/>
                <w:sz w:val="18"/>
                <w:szCs w:val="18"/>
              </w:rPr>
              <w:t>10,42 %</w:t>
            </w:r>
          </w:p>
        </w:tc>
        <w:tc>
          <w:tcPr>
            <w:tcW w:w="1260" w:type="dxa"/>
            <w:tcBorders>
              <w:top w:val="nil"/>
              <w:left w:val="nil"/>
              <w:bottom w:val="single" w:sz="4" w:space="0" w:color="auto"/>
              <w:right w:val="single" w:sz="4" w:space="0" w:color="auto"/>
            </w:tcBorders>
            <w:shd w:val="clear" w:color="auto" w:fill="auto"/>
            <w:noWrap/>
            <w:vAlign w:val="center"/>
            <w:hideMark/>
          </w:tcPr>
          <w:p w14:paraId="7C14C0A8" w14:textId="18CB0FFC" w:rsidR="00615804" w:rsidRPr="00615804" w:rsidRDefault="00615804" w:rsidP="00615804">
            <w:pPr>
              <w:spacing w:after="0" w:line="240" w:lineRule="auto"/>
              <w:jc w:val="right"/>
              <w:rPr>
                <w:rFonts w:ascii="Arial" w:hAnsi="Arial" w:cs="Arial"/>
                <w:sz w:val="18"/>
                <w:szCs w:val="18"/>
              </w:rPr>
            </w:pPr>
            <w:r w:rsidRPr="00615804">
              <w:rPr>
                <w:rFonts w:ascii="Arial" w:hAnsi="Arial" w:cs="Arial"/>
                <w:sz w:val="18"/>
                <w:szCs w:val="18"/>
              </w:rPr>
              <w:t>15,70 %</w:t>
            </w:r>
          </w:p>
        </w:tc>
      </w:tr>
      <w:tr w:rsidR="00615804" w:rsidRPr="00615804" w14:paraId="6D993AAB" w14:textId="77777777" w:rsidTr="00615804">
        <w:trPr>
          <w:trHeight w:val="255"/>
          <w:jc w:val="center"/>
        </w:trPr>
        <w:tc>
          <w:tcPr>
            <w:tcW w:w="1417" w:type="dxa"/>
            <w:tcBorders>
              <w:top w:val="nil"/>
              <w:left w:val="single" w:sz="4" w:space="0" w:color="auto"/>
              <w:bottom w:val="single" w:sz="4" w:space="0" w:color="auto"/>
              <w:right w:val="single" w:sz="4" w:space="0" w:color="auto"/>
            </w:tcBorders>
            <w:shd w:val="clear" w:color="auto" w:fill="auto"/>
            <w:vAlign w:val="center"/>
            <w:hideMark/>
          </w:tcPr>
          <w:p w14:paraId="20CC8733" w14:textId="45A82A37" w:rsidR="00615804" w:rsidRPr="00615804" w:rsidRDefault="00615804" w:rsidP="00615804">
            <w:pPr>
              <w:spacing w:after="0" w:line="240" w:lineRule="auto"/>
              <w:rPr>
                <w:rFonts w:ascii="Arial" w:eastAsia="Times New Roman" w:hAnsi="Arial" w:cs="Arial"/>
                <w:color w:val="000000"/>
                <w:sz w:val="18"/>
                <w:szCs w:val="18"/>
                <w:lang w:eastAsia="sl-SI"/>
              </w:rPr>
            </w:pPr>
            <w:r w:rsidRPr="00615804">
              <w:rPr>
                <w:rFonts w:ascii="Arial" w:eastAsia="Times New Roman" w:hAnsi="Arial" w:cs="Arial"/>
                <w:color w:val="000000"/>
                <w:sz w:val="18"/>
                <w:szCs w:val="18"/>
                <w:lang w:eastAsia="sl-SI"/>
              </w:rPr>
              <w:t>Obrambno</w:t>
            </w:r>
          </w:p>
        </w:tc>
        <w:tc>
          <w:tcPr>
            <w:tcW w:w="993" w:type="dxa"/>
            <w:tcBorders>
              <w:top w:val="nil"/>
              <w:left w:val="nil"/>
              <w:bottom w:val="single" w:sz="4" w:space="0" w:color="auto"/>
              <w:right w:val="single" w:sz="4" w:space="0" w:color="auto"/>
            </w:tcBorders>
            <w:shd w:val="clear" w:color="auto" w:fill="auto"/>
            <w:vAlign w:val="center"/>
            <w:hideMark/>
          </w:tcPr>
          <w:p w14:paraId="616B6985" w14:textId="00C252B9" w:rsidR="00615804" w:rsidRPr="00615804" w:rsidRDefault="00615804" w:rsidP="00615804">
            <w:pPr>
              <w:spacing w:after="0" w:line="240" w:lineRule="auto"/>
              <w:jc w:val="right"/>
              <w:rPr>
                <w:rFonts w:ascii="Arial" w:hAnsi="Arial" w:cs="Arial"/>
                <w:sz w:val="18"/>
                <w:szCs w:val="18"/>
              </w:rPr>
            </w:pPr>
            <w:r w:rsidRPr="00615804">
              <w:rPr>
                <w:rFonts w:ascii="Arial" w:hAnsi="Arial" w:cs="Arial"/>
                <w:sz w:val="18"/>
                <w:szCs w:val="18"/>
              </w:rPr>
              <w:t>85</w:t>
            </w:r>
          </w:p>
        </w:tc>
        <w:tc>
          <w:tcPr>
            <w:tcW w:w="833" w:type="dxa"/>
            <w:tcBorders>
              <w:top w:val="nil"/>
              <w:left w:val="nil"/>
              <w:bottom w:val="single" w:sz="4" w:space="0" w:color="auto"/>
              <w:right w:val="single" w:sz="4" w:space="0" w:color="auto"/>
            </w:tcBorders>
            <w:shd w:val="clear" w:color="auto" w:fill="auto"/>
            <w:vAlign w:val="center"/>
            <w:hideMark/>
          </w:tcPr>
          <w:p w14:paraId="70BC03C8" w14:textId="381FB08C" w:rsidR="00615804" w:rsidRPr="00615804" w:rsidRDefault="00615804" w:rsidP="00615804">
            <w:pPr>
              <w:spacing w:after="0" w:line="240" w:lineRule="auto"/>
              <w:jc w:val="right"/>
              <w:rPr>
                <w:rFonts w:ascii="Arial" w:hAnsi="Arial" w:cs="Arial"/>
                <w:sz w:val="18"/>
                <w:szCs w:val="18"/>
              </w:rPr>
            </w:pPr>
            <w:r w:rsidRPr="00615804">
              <w:rPr>
                <w:rFonts w:ascii="Arial" w:hAnsi="Arial" w:cs="Arial"/>
                <w:sz w:val="18"/>
                <w:szCs w:val="18"/>
              </w:rPr>
              <w:t>108</w:t>
            </w:r>
          </w:p>
        </w:tc>
        <w:tc>
          <w:tcPr>
            <w:tcW w:w="1300" w:type="dxa"/>
            <w:tcBorders>
              <w:top w:val="nil"/>
              <w:left w:val="nil"/>
              <w:bottom w:val="single" w:sz="4" w:space="0" w:color="auto"/>
              <w:right w:val="single" w:sz="4" w:space="0" w:color="auto"/>
            </w:tcBorders>
            <w:shd w:val="clear" w:color="auto" w:fill="auto"/>
            <w:vAlign w:val="center"/>
            <w:hideMark/>
          </w:tcPr>
          <w:p w14:paraId="77EA0225" w14:textId="4067A7F6" w:rsidR="00615804" w:rsidRPr="00615804" w:rsidRDefault="00615804" w:rsidP="00615804">
            <w:pPr>
              <w:spacing w:after="0" w:line="240" w:lineRule="auto"/>
              <w:jc w:val="right"/>
              <w:rPr>
                <w:rFonts w:ascii="Arial" w:hAnsi="Arial" w:cs="Arial"/>
                <w:sz w:val="18"/>
                <w:szCs w:val="18"/>
              </w:rPr>
            </w:pPr>
            <w:r w:rsidRPr="00615804">
              <w:rPr>
                <w:rFonts w:ascii="Arial" w:hAnsi="Arial" w:cs="Arial"/>
                <w:sz w:val="18"/>
                <w:szCs w:val="18"/>
              </w:rPr>
              <w:t>55.877.498</w:t>
            </w:r>
          </w:p>
        </w:tc>
        <w:tc>
          <w:tcPr>
            <w:tcW w:w="1264" w:type="dxa"/>
            <w:tcBorders>
              <w:top w:val="nil"/>
              <w:left w:val="nil"/>
              <w:bottom w:val="single" w:sz="4" w:space="0" w:color="auto"/>
              <w:right w:val="single" w:sz="4" w:space="0" w:color="auto"/>
            </w:tcBorders>
            <w:shd w:val="clear" w:color="auto" w:fill="auto"/>
            <w:noWrap/>
            <w:vAlign w:val="center"/>
            <w:hideMark/>
          </w:tcPr>
          <w:p w14:paraId="67613442" w14:textId="1E0656A6" w:rsidR="00615804" w:rsidRPr="00615804" w:rsidRDefault="00615804" w:rsidP="00615804">
            <w:pPr>
              <w:spacing w:after="0" w:line="240" w:lineRule="auto"/>
              <w:jc w:val="right"/>
              <w:rPr>
                <w:rFonts w:ascii="Arial" w:hAnsi="Arial" w:cs="Arial"/>
                <w:sz w:val="18"/>
                <w:szCs w:val="18"/>
              </w:rPr>
            </w:pPr>
            <w:r w:rsidRPr="00615804">
              <w:rPr>
                <w:rFonts w:ascii="Arial" w:hAnsi="Arial" w:cs="Arial"/>
                <w:sz w:val="18"/>
                <w:szCs w:val="18"/>
              </w:rPr>
              <w:t>1,26 %</w:t>
            </w:r>
          </w:p>
        </w:tc>
        <w:tc>
          <w:tcPr>
            <w:tcW w:w="1076" w:type="dxa"/>
            <w:tcBorders>
              <w:top w:val="nil"/>
              <w:left w:val="nil"/>
              <w:bottom w:val="single" w:sz="4" w:space="0" w:color="auto"/>
              <w:right w:val="single" w:sz="4" w:space="0" w:color="auto"/>
            </w:tcBorders>
            <w:shd w:val="clear" w:color="auto" w:fill="auto"/>
            <w:noWrap/>
            <w:vAlign w:val="center"/>
            <w:hideMark/>
          </w:tcPr>
          <w:p w14:paraId="171EBAB2" w14:textId="22DB420A" w:rsidR="00615804" w:rsidRPr="00615804" w:rsidRDefault="00615804" w:rsidP="00615804">
            <w:pPr>
              <w:spacing w:after="0" w:line="240" w:lineRule="auto"/>
              <w:jc w:val="right"/>
              <w:rPr>
                <w:rFonts w:ascii="Arial" w:hAnsi="Arial" w:cs="Arial"/>
                <w:sz w:val="18"/>
                <w:szCs w:val="18"/>
              </w:rPr>
            </w:pPr>
            <w:r w:rsidRPr="00615804">
              <w:rPr>
                <w:rFonts w:ascii="Arial" w:hAnsi="Arial" w:cs="Arial"/>
                <w:sz w:val="18"/>
                <w:szCs w:val="18"/>
              </w:rPr>
              <w:t>0,63 %</w:t>
            </w:r>
          </w:p>
        </w:tc>
        <w:tc>
          <w:tcPr>
            <w:tcW w:w="1260" w:type="dxa"/>
            <w:tcBorders>
              <w:top w:val="nil"/>
              <w:left w:val="nil"/>
              <w:bottom w:val="single" w:sz="4" w:space="0" w:color="auto"/>
              <w:right w:val="single" w:sz="4" w:space="0" w:color="auto"/>
            </w:tcBorders>
            <w:shd w:val="clear" w:color="auto" w:fill="auto"/>
            <w:noWrap/>
            <w:vAlign w:val="center"/>
            <w:hideMark/>
          </w:tcPr>
          <w:p w14:paraId="10ECF5AA" w14:textId="4130FACF" w:rsidR="00615804" w:rsidRPr="00615804" w:rsidRDefault="00615804" w:rsidP="00615804">
            <w:pPr>
              <w:spacing w:after="0" w:line="240" w:lineRule="auto"/>
              <w:jc w:val="right"/>
              <w:rPr>
                <w:rFonts w:ascii="Arial" w:hAnsi="Arial" w:cs="Arial"/>
                <w:sz w:val="18"/>
                <w:szCs w:val="18"/>
              </w:rPr>
            </w:pPr>
            <w:r w:rsidRPr="00615804">
              <w:rPr>
                <w:rFonts w:ascii="Arial" w:hAnsi="Arial" w:cs="Arial"/>
                <w:sz w:val="18"/>
                <w:szCs w:val="18"/>
              </w:rPr>
              <w:t>1,03 %</w:t>
            </w:r>
          </w:p>
        </w:tc>
      </w:tr>
      <w:tr w:rsidR="00615804" w:rsidRPr="00615804" w14:paraId="3D7F5A8B" w14:textId="77777777" w:rsidTr="00615804">
        <w:trPr>
          <w:trHeight w:val="255"/>
          <w:jc w:val="center"/>
        </w:trPr>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A6CB001" w14:textId="77777777" w:rsidR="00615804" w:rsidRPr="00615804" w:rsidRDefault="00615804" w:rsidP="00615804">
            <w:pPr>
              <w:spacing w:after="0" w:line="240" w:lineRule="auto"/>
              <w:rPr>
                <w:rFonts w:ascii="Arial" w:eastAsia="Times New Roman" w:hAnsi="Arial" w:cs="Arial"/>
                <w:b/>
                <w:bCs/>
                <w:color w:val="000000"/>
                <w:sz w:val="18"/>
                <w:szCs w:val="18"/>
                <w:lang w:eastAsia="sl-SI"/>
              </w:rPr>
            </w:pPr>
            <w:r w:rsidRPr="00615804">
              <w:rPr>
                <w:rFonts w:ascii="Arial" w:eastAsia="Times New Roman" w:hAnsi="Arial" w:cs="Arial"/>
                <w:b/>
                <w:bCs/>
                <w:color w:val="000000"/>
                <w:sz w:val="18"/>
                <w:szCs w:val="18"/>
                <w:lang w:eastAsia="sl-SI"/>
              </w:rPr>
              <w:t>Skupaj</w:t>
            </w:r>
          </w:p>
        </w:tc>
        <w:tc>
          <w:tcPr>
            <w:tcW w:w="993" w:type="dxa"/>
            <w:tcBorders>
              <w:top w:val="nil"/>
              <w:left w:val="nil"/>
              <w:bottom w:val="single" w:sz="4" w:space="0" w:color="auto"/>
              <w:right w:val="single" w:sz="4" w:space="0" w:color="auto"/>
            </w:tcBorders>
            <w:shd w:val="clear" w:color="auto" w:fill="F2F2F2" w:themeFill="background1" w:themeFillShade="F2"/>
            <w:noWrap/>
            <w:vAlign w:val="center"/>
            <w:hideMark/>
          </w:tcPr>
          <w:p w14:paraId="26A8CFD6" w14:textId="1A9D67FB" w:rsidR="00615804" w:rsidRPr="00615804" w:rsidRDefault="00615804" w:rsidP="00615804">
            <w:pPr>
              <w:spacing w:after="0" w:line="240" w:lineRule="auto"/>
              <w:jc w:val="right"/>
              <w:rPr>
                <w:rFonts w:ascii="Arial" w:hAnsi="Arial" w:cs="Arial"/>
                <w:b/>
                <w:bCs/>
                <w:sz w:val="18"/>
                <w:szCs w:val="18"/>
              </w:rPr>
            </w:pPr>
            <w:r w:rsidRPr="00615804">
              <w:rPr>
                <w:rFonts w:ascii="Arial" w:hAnsi="Arial" w:cs="Arial"/>
                <w:b/>
                <w:bCs/>
                <w:sz w:val="18"/>
                <w:szCs w:val="18"/>
              </w:rPr>
              <w:t>6.721</w:t>
            </w:r>
          </w:p>
        </w:tc>
        <w:tc>
          <w:tcPr>
            <w:tcW w:w="833" w:type="dxa"/>
            <w:tcBorders>
              <w:top w:val="nil"/>
              <w:left w:val="nil"/>
              <w:bottom w:val="single" w:sz="4" w:space="0" w:color="auto"/>
              <w:right w:val="single" w:sz="4" w:space="0" w:color="auto"/>
            </w:tcBorders>
            <w:shd w:val="clear" w:color="auto" w:fill="F2F2F2" w:themeFill="background1" w:themeFillShade="F2"/>
            <w:noWrap/>
            <w:vAlign w:val="center"/>
            <w:hideMark/>
          </w:tcPr>
          <w:p w14:paraId="353A046F" w14:textId="6C8E5EC8" w:rsidR="00615804" w:rsidRPr="00615804" w:rsidRDefault="00615804" w:rsidP="00615804">
            <w:pPr>
              <w:spacing w:after="0" w:line="240" w:lineRule="auto"/>
              <w:jc w:val="right"/>
              <w:rPr>
                <w:rFonts w:ascii="Arial" w:hAnsi="Arial" w:cs="Arial"/>
                <w:b/>
                <w:bCs/>
                <w:sz w:val="18"/>
                <w:szCs w:val="18"/>
              </w:rPr>
            </w:pPr>
            <w:r w:rsidRPr="00615804">
              <w:rPr>
                <w:rFonts w:ascii="Arial" w:hAnsi="Arial" w:cs="Arial"/>
                <w:b/>
                <w:bCs/>
                <w:sz w:val="18"/>
                <w:szCs w:val="18"/>
              </w:rPr>
              <w:t>17.224</w:t>
            </w:r>
          </w:p>
        </w:tc>
        <w:tc>
          <w:tcPr>
            <w:tcW w:w="1300" w:type="dxa"/>
            <w:tcBorders>
              <w:top w:val="nil"/>
              <w:left w:val="nil"/>
              <w:bottom w:val="single" w:sz="4" w:space="0" w:color="auto"/>
              <w:right w:val="single" w:sz="4" w:space="0" w:color="auto"/>
            </w:tcBorders>
            <w:shd w:val="clear" w:color="auto" w:fill="F2F2F2" w:themeFill="background1" w:themeFillShade="F2"/>
            <w:noWrap/>
            <w:vAlign w:val="center"/>
            <w:hideMark/>
          </w:tcPr>
          <w:p w14:paraId="0DC8D8F0" w14:textId="523B0184" w:rsidR="00615804" w:rsidRPr="00615804" w:rsidRDefault="00615804" w:rsidP="00615804">
            <w:pPr>
              <w:spacing w:after="0" w:line="240" w:lineRule="auto"/>
              <w:jc w:val="right"/>
              <w:rPr>
                <w:rFonts w:ascii="Arial" w:hAnsi="Arial" w:cs="Arial"/>
                <w:b/>
                <w:bCs/>
                <w:sz w:val="18"/>
                <w:szCs w:val="18"/>
              </w:rPr>
            </w:pPr>
            <w:r w:rsidRPr="00615804">
              <w:rPr>
                <w:rFonts w:ascii="Arial" w:hAnsi="Arial" w:cs="Arial"/>
                <w:b/>
                <w:bCs/>
                <w:sz w:val="18"/>
                <w:szCs w:val="18"/>
              </w:rPr>
              <w:t>5.417.105.902</w:t>
            </w:r>
          </w:p>
        </w:tc>
        <w:tc>
          <w:tcPr>
            <w:tcW w:w="1264" w:type="dxa"/>
            <w:tcBorders>
              <w:top w:val="nil"/>
              <w:left w:val="nil"/>
              <w:bottom w:val="single" w:sz="4" w:space="0" w:color="auto"/>
              <w:right w:val="single" w:sz="4" w:space="0" w:color="auto"/>
            </w:tcBorders>
            <w:shd w:val="clear" w:color="auto" w:fill="F2F2F2" w:themeFill="background1" w:themeFillShade="F2"/>
            <w:noWrap/>
            <w:vAlign w:val="center"/>
            <w:hideMark/>
          </w:tcPr>
          <w:p w14:paraId="6D373505" w14:textId="7436EE66" w:rsidR="00615804" w:rsidRPr="00615804" w:rsidRDefault="00615804" w:rsidP="00615804">
            <w:pPr>
              <w:spacing w:after="0" w:line="240" w:lineRule="auto"/>
              <w:jc w:val="right"/>
              <w:rPr>
                <w:rFonts w:ascii="Arial" w:hAnsi="Arial" w:cs="Arial"/>
                <w:b/>
                <w:bCs/>
                <w:sz w:val="18"/>
                <w:szCs w:val="18"/>
              </w:rPr>
            </w:pPr>
            <w:r w:rsidRPr="00615804">
              <w:rPr>
                <w:rFonts w:ascii="Arial" w:hAnsi="Arial" w:cs="Arial"/>
                <w:b/>
                <w:bCs/>
                <w:sz w:val="18"/>
                <w:szCs w:val="18"/>
              </w:rPr>
              <w:t>100,00 %</w:t>
            </w:r>
          </w:p>
        </w:tc>
        <w:tc>
          <w:tcPr>
            <w:tcW w:w="1076" w:type="dxa"/>
            <w:tcBorders>
              <w:top w:val="nil"/>
              <w:left w:val="nil"/>
              <w:bottom w:val="single" w:sz="4" w:space="0" w:color="auto"/>
              <w:right w:val="single" w:sz="4" w:space="0" w:color="auto"/>
            </w:tcBorders>
            <w:shd w:val="clear" w:color="auto" w:fill="F2F2F2" w:themeFill="background1" w:themeFillShade="F2"/>
            <w:noWrap/>
            <w:vAlign w:val="center"/>
            <w:hideMark/>
          </w:tcPr>
          <w:p w14:paraId="79F9E5BE" w14:textId="508149CE" w:rsidR="00615804" w:rsidRPr="00615804" w:rsidRDefault="00615804" w:rsidP="00615804">
            <w:pPr>
              <w:spacing w:after="0" w:line="240" w:lineRule="auto"/>
              <w:jc w:val="right"/>
              <w:rPr>
                <w:rFonts w:ascii="Arial" w:hAnsi="Arial" w:cs="Arial"/>
                <w:b/>
                <w:bCs/>
                <w:sz w:val="18"/>
                <w:szCs w:val="18"/>
              </w:rPr>
            </w:pPr>
            <w:r w:rsidRPr="00615804">
              <w:rPr>
                <w:rFonts w:ascii="Arial" w:hAnsi="Arial" w:cs="Arial"/>
                <w:b/>
                <w:bCs/>
                <w:sz w:val="18"/>
                <w:szCs w:val="18"/>
              </w:rPr>
              <w:t>100,00 %</w:t>
            </w:r>
          </w:p>
        </w:tc>
        <w:tc>
          <w:tcPr>
            <w:tcW w:w="1260" w:type="dxa"/>
            <w:tcBorders>
              <w:top w:val="nil"/>
              <w:left w:val="nil"/>
              <w:bottom w:val="single" w:sz="4" w:space="0" w:color="auto"/>
              <w:right w:val="single" w:sz="4" w:space="0" w:color="auto"/>
            </w:tcBorders>
            <w:shd w:val="clear" w:color="auto" w:fill="F2F2F2" w:themeFill="background1" w:themeFillShade="F2"/>
            <w:noWrap/>
            <w:vAlign w:val="center"/>
            <w:hideMark/>
          </w:tcPr>
          <w:p w14:paraId="02EF9DA4" w14:textId="0F129CE3" w:rsidR="00615804" w:rsidRPr="00615804" w:rsidRDefault="00615804" w:rsidP="00615804">
            <w:pPr>
              <w:spacing w:after="0" w:line="240" w:lineRule="auto"/>
              <w:jc w:val="right"/>
              <w:rPr>
                <w:rFonts w:ascii="Arial" w:hAnsi="Arial" w:cs="Arial"/>
                <w:b/>
                <w:bCs/>
                <w:sz w:val="18"/>
                <w:szCs w:val="18"/>
              </w:rPr>
            </w:pPr>
            <w:r w:rsidRPr="00615804">
              <w:rPr>
                <w:rFonts w:ascii="Arial" w:hAnsi="Arial" w:cs="Arial"/>
                <w:b/>
                <w:bCs/>
                <w:sz w:val="18"/>
                <w:szCs w:val="18"/>
              </w:rPr>
              <w:t>100,00 %</w:t>
            </w:r>
          </w:p>
        </w:tc>
      </w:tr>
    </w:tbl>
    <w:p w14:paraId="04275715" w14:textId="77777777" w:rsidR="007A3DD6" w:rsidRPr="00615804" w:rsidRDefault="007A3DD6" w:rsidP="00D907DA">
      <w:pPr>
        <w:shd w:val="clear" w:color="auto" w:fill="FFFFFF"/>
        <w:spacing w:after="0" w:line="240" w:lineRule="auto"/>
        <w:ind w:left="181"/>
        <w:jc w:val="center"/>
        <w:rPr>
          <w:rFonts w:ascii="Arial" w:hAnsi="Arial" w:cs="Arial"/>
          <w:noProof/>
          <w:sz w:val="18"/>
          <w:szCs w:val="18"/>
          <w:lang w:eastAsia="sl-SI"/>
        </w:rPr>
      </w:pPr>
    </w:p>
    <w:p w14:paraId="76843971" w14:textId="750A2AFD" w:rsidR="00D907DA" w:rsidRPr="00E7130F" w:rsidRDefault="00D907DA" w:rsidP="00701C10">
      <w:pPr>
        <w:spacing w:after="240" w:line="240" w:lineRule="auto"/>
        <w:jc w:val="center"/>
        <w:rPr>
          <w:rFonts w:ascii="Arial" w:hAnsi="Arial" w:cs="Arial"/>
          <w:sz w:val="18"/>
        </w:rPr>
      </w:pPr>
      <w:r w:rsidRPr="00E7130F">
        <w:rPr>
          <w:rFonts w:ascii="Arial" w:hAnsi="Arial" w:cs="Arial"/>
          <w:sz w:val="18"/>
        </w:rPr>
        <w:t>Vir: Statistični podatki o javnih naročilih, oddanih v let</w:t>
      </w:r>
      <w:r w:rsidR="009010CD" w:rsidRPr="00E7130F">
        <w:rPr>
          <w:rFonts w:ascii="Arial" w:hAnsi="Arial" w:cs="Arial"/>
          <w:sz w:val="18"/>
        </w:rPr>
        <w:t>u 20</w:t>
      </w:r>
      <w:r w:rsidR="00615804" w:rsidRPr="00E7130F">
        <w:rPr>
          <w:rFonts w:ascii="Arial" w:hAnsi="Arial" w:cs="Arial"/>
          <w:sz w:val="18"/>
        </w:rPr>
        <w:t>22</w:t>
      </w:r>
      <w:r w:rsidR="00AA31A7" w:rsidRPr="00E7130F">
        <w:rPr>
          <w:rFonts w:ascii="Arial" w:hAnsi="Arial" w:cs="Arial"/>
          <w:sz w:val="18"/>
        </w:rPr>
        <w:t>.</w:t>
      </w:r>
    </w:p>
    <w:p w14:paraId="6413B296" w14:textId="53327784" w:rsidR="001409E3" w:rsidRPr="00E7130F" w:rsidRDefault="001409E3" w:rsidP="001409E3">
      <w:pPr>
        <w:pStyle w:val="Naslov3"/>
        <w:rPr>
          <w:rFonts w:ascii="Arial" w:hAnsi="Arial" w:cs="Arial"/>
          <w:sz w:val="22"/>
          <w:szCs w:val="22"/>
        </w:rPr>
      </w:pPr>
      <w:bookmarkStart w:id="16" w:name="_Toc141864051"/>
      <w:r w:rsidRPr="00E7130F">
        <w:rPr>
          <w:rFonts w:ascii="Arial" w:hAnsi="Arial" w:cs="Arial"/>
          <w:sz w:val="22"/>
          <w:szCs w:val="22"/>
        </w:rPr>
        <w:t>2.2.1 Naročila, objavljena le na portalu ja</w:t>
      </w:r>
      <w:r w:rsidR="00B83352" w:rsidRPr="00E7130F">
        <w:rPr>
          <w:rFonts w:ascii="Arial" w:hAnsi="Arial" w:cs="Arial"/>
          <w:sz w:val="22"/>
          <w:szCs w:val="22"/>
        </w:rPr>
        <w:t>vnih naročil</w:t>
      </w:r>
      <w:bookmarkEnd w:id="16"/>
    </w:p>
    <w:p w14:paraId="62B71DF3" w14:textId="77777777" w:rsidR="00854405" w:rsidRPr="00E7130F" w:rsidRDefault="00854405" w:rsidP="00854405">
      <w:pPr>
        <w:pStyle w:val="ZADEVA"/>
        <w:jc w:val="both"/>
        <w:rPr>
          <w:rFonts w:cs="Arial"/>
          <w:b w:val="0"/>
          <w:szCs w:val="20"/>
          <w:lang w:val="sl-SI"/>
        </w:rPr>
      </w:pPr>
    </w:p>
    <w:p w14:paraId="194C6680" w14:textId="0A151EB7" w:rsidR="00EC3CE9" w:rsidRPr="00E7130F" w:rsidRDefault="001D4A09" w:rsidP="007D3FD7">
      <w:pPr>
        <w:tabs>
          <w:tab w:val="left" w:pos="567"/>
          <w:tab w:val="left" w:pos="993"/>
        </w:tabs>
        <w:spacing w:line="360" w:lineRule="auto"/>
        <w:jc w:val="both"/>
        <w:rPr>
          <w:rFonts w:ascii="Arial" w:hAnsi="Arial" w:cs="Arial"/>
          <w:bCs/>
          <w:sz w:val="20"/>
          <w:szCs w:val="20"/>
        </w:rPr>
      </w:pPr>
      <w:r w:rsidRPr="00E7130F">
        <w:rPr>
          <w:rFonts w:ascii="Arial" w:hAnsi="Arial" w:cs="Arial"/>
          <w:bCs/>
          <w:sz w:val="20"/>
          <w:szCs w:val="20"/>
        </w:rPr>
        <w:t>Med naročili, ki so jih naročniki let</w:t>
      </w:r>
      <w:r w:rsidR="00BD6B05" w:rsidRPr="00E7130F">
        <w:rPr>
          <w:rFonts w:ascii="Arial" w:hAnsi="Arial" w:cs="Arial"/>
          <w:bCs/>
          <w:sz w:val="20"/>
          <w:szCs w:val="20"/>
        </w:rPr>
        <w:t>a</w:t>
      </w:r>
      <w:r w:rsidRPr="00E7130F">
        <w:rPr>
          <w:rFonts w:ascii="Arial" w:hAnsi="Arial" w:cs="Arial"/>
          <w:bCs/>
          <w:sz w:val="20"/>
          <w:szCs w:val="20"/>
        </w:rPr>
        <w:t xml:space="preserve"> 20</w:t>
      </w:r>
      <w:r w:rsidR="00D377A2" w:rsidRPr="00E7130F">
        <w:rPr>
          <w:rFonts w:ascii="Arial" w:hAnsi="Arial" w:cs="Arial"/>
          <w:bCs/>
          <w:sz w:val="20"/>
          <w:szCs w:val="20"/>
        </w:rPr>
        <w:t>2</w:t>
      </w:r>
      <w:r w:rsidR="00E7130F" w:rsidRPr="00E7130F">
        <w:rPr>
          <w:rFonts w:ascii="Arial" w:hAnsi="Arial" w:cs="Arial"/>
          <w:bCs/>
          <w:sz w:val="20"/>
          <w:szCs w:val="20"/>
        </w:rPr>
        <w:t>2</w:t>
      </w:r>
      <w:r w:rsidRPr="00E7130F">
        <w:rPr>
          <w:rFonts w:ascii="Arial" w:hAnsi="Arial" w:cs="Arial"/>
          <w:bCs/>
          <w:sz w:val="20"/>
          <w:szCs w:val="20"/>
        </w:rPr>
        <w:t xml:space="preserve"> objavili na portalu javnih naročil, </w:t>
      </w:r>
      <w:r w:rsidR="00AA7070" w:rsidRPr="00E7130F">
        <w:rPr>
          <w:rFonts w:ascii="Arial" w:hAnsi="Arial" w:cs="Arial"/>
          <w:bCs/>
          <w:sz w:val="20"/>
          <w:szCs w:val="20"/>
        </w:rPr>
        <w:t>števi</w:t>
      </w:r>
      <w:r w:rsidR="00B63B35" w:rsidRPr="00E7130F">
        <w:rPr>
          <w:rFonts w:ascii="Arial" w:hAnsi="Arial" w:cs="Arial"/>
          <w:bCs/>
          <w:sz w:val="20"/>
          <w:szCs w:val="20"/>
        </w:rPr>
        <w:t>l</w:t>
      </w:r>
      <w:r w:rsidR="00AA7070" w:rsidRPr="00E7130F">
        <w:rPr>
          <w:rFonts w:ascii="Arial" w:hAnsi="Arial" w:cs="Arial"/>
          <w:bCs/>
          <w:sz w:val="20"/>
          <w:szCs w:val="20"/>
        </w:rPr>
        <w:t xml:space="preserve">čno </w:t>
      </w:r>
      <w:r w:rsidRPr="00E7130F">
        <w:rPr>
          <w:rFonts w:ascii="Arial" w:hAnsi="Arial" w:cs="Arial"/>
          <w:bCs/>
          <w:sz w:val="20"/>
          <w:szCs w:val="20"/>
        </w:rPr>
        <w:t>prevladujejo naročila blaga</w:t>
      </w:r>
      <w:r w:rsidR="00AA7070" w:rsidRPr="00E7130F">
        <w:rPr>
          <w:rFonts w:ascii="Arial" w:hAnsi="Arial" w:cs="Arial"/>
          <w:bCs/>
          <w:sz w:val="20"/>
          <w:szCs w:val="20"/>
        </w:rPr>
        <w:t xml:space="preserve"> </w:t>
      </w:r>
      <w:r w:rsidR="00CF61BC">
        <w:rPr>
          <w:rFonts w:ascii="Arial" w:hAnsi="Arial" w:cs="Arial"/>
          <w:bCs/>
          <w:sz w:val="20"/>
          <w:szCs w:val="20"/>
        </w:rPr>
        <w:t>z</w:t>
      </w:r>
      <w:r w:rsidRPr="00E7130F">
        <w:rPr>
          <w:rFonts w:ascii="Arial" w:hAnsi="Arial" w:cs="Arial"/>
          <w:bCs/>
          <w:sz w:val="20"/>
          <w:szCs w:val="20"/>
        </w:rPr>
        <w:t xml:space="preserve"> </w:t>
      </w:r>
      <w:r w:rsidR="0037287C" w:rsidRPr="00E7130F">
        <w:rPr>
          <w:rFonts w:ascii="Arial" w:hAnsi="Arial" w:cs="Arial"/>
          <w:bCs/>
          <w:sz w:val="20"/>
          <w:szCs w:val="20"/>
        </w:rPr>
        <w:t>4</w:t>
      </w:r>
      <w:r w:rsidR="00E7130F" w:rsidRPr="00E7130F">
        <w:rPr>
          <w:rFonts w:ascii="Arial" w:hAnsi="Arial" w:cs="Arial"/>
          <w:bCs/>
          <w:sz w:val="20"/>
          <w:szCs w:val="20"/>
        </w:rPr>
        <w:t>8,38</w:t>
      </w:r>
      <w:r w:rsidR="00AA31A7" w:rsidRPr="00E7130F">
        <w:rPr>
          <w:rFonts w:ascii="Arial" w:hAnsi="Arial" w:cs="Arial"/>
          <w:bCs/>
          <w:sz w:val="20"/>
          <w:szCs w:val="20"/>
        </w:rPr>
        <w:t> </w:t>
      </w:r>
      <w:r w:rsidR="00AC0027">
        <w:rPr>
          <w:rFonts w:ascii="Arial" w:hAnsi="Arial" w:cs="Arial"/>
          <w:bCs/>
          <w:sz w:val="20"/>
          <w:szCs w:val="20"/>
        </w:rPr>
        <w:t>odstotka</w:t>
      </w:r>
      <w:r w:rsidRPr="00E7130F">
        <w:rPr>
          <w:rFonts w:ascii="Arial" w:hAnsi="Arial" w:cs="Arial"/>
          <w:bCs/>
          <w:sz w:val="20"/>
          <w:szCs w:val="20"/>
        </w:rPr>
        <w:t xml:space="preserve"> vseh naročil, objavljen</w:t>
      </w:r>
      <w:r w:rsidR="00C00704" w:rsidRPr="00E7130F">
        <w:rPr>
          <w:rFonts w:ascii="Arial" w:hAnsi="Arial" w:cs="Arial"/>
          <w:bCs/>
          <w:sz w:val="20"/>
          <w:szCs w:val="20"/>
        </w:rPr>
        <w:t>ih le na portalu javnih naročil</w:t>
      </w:r>
      <w:r w:rsidRPr="00E7130F">
        <w:rPr>
          <w:rFonts w:ascii="Arial" w:hAnsi="Arial" w:cs="Arial"/>
          <w:bCs/>
          <w:sz w:val="20"/>
          <w:szCs w:val="20"/>
        </w:rPr>
        <w:t xml:space="preserve">, vrednostno pa </w:t>
      </w:r>
      <w:r w:rsidR="00BD6B05" w:rsidRPr="00E7130F">
        <w:rPr>
          <w:rFonts w:ascii="Arial" w:hAnsi="Arial" w:cs="Arial"/>
          <w:bCs/>
          <w:sz w:val="20"/>
          <w:szCs w:val="20"/>
        </w:rPr>
        <w:t xml:space="preserve">pomenijo </w:t>
      </w:r>
      <w:r w:rsidR="0037287C" w:rsidRPr="00E7130F">
        <w:rPr>
          <w:rFonts w:ascii="Arial" w:hAnsi="Arial" w:cs="Arial"/>
          <w:bCs/>
          <w:sz w:val="20"/>
          <w:szCs w:val="20"/>
        </w:rPr>
        <w:t>1</w:t>
      </w:r>
      <w:r w:rsidR="00E7130F" w:rsidRPr="00E7130F">
        <w:rPr>
          <w:rFonts w:ascii="Arial" w:hAnsi="Arial" w:cs="Arial"/>
          <w:bCs/>
          <w:sz w:val="20"/>
          <w:szCs w:val="20"/>
        </w:rPr>
        <w:t>4,5</w:t>
      </w:r>
      <w:r w:rsidR="00AA31A7" w:rsidRPr="00E7130F">
        <w:rPr>
          <w:rFonts w:ascii="Arial" w:hAnsi="Arial" w:cs="Arial"/>
          <w:bCs/>
          <w:sz w:val="20"/>
          <w:szCs w:val="20"/>
        </w:rPr>
        <w:t> </w:t>
      </w:r>
      <w:r w:rsidR="00AC0027">
        <w:rPr>
          <w:rFonts w:ascii="Arial" w:hAnsi="Arial" w:cs="Arial"/>
          <w:bCs/>
          <w:sz w:val="20"/>
          <w:szCs w:val="20"/>
        </w:rPr>
        <w:t>odstotka</w:t>
      </w:r>
      <w:r w:rsidR="007D3FD7" w:rsidRPr="00E7130F">
        <w:rPr>
          <w:rFonts w:ascii="Arial" w:hAnsi="Arial" w:cs="Arial"/>
          <w:bCs/>
          <w:sz w:val="20"/>
          <w:szCs w:val="20"/>
        </w:rPr>
        <w:t xml:space="preserve"> vseh naročil. </w:t>
      </w:r>
    </w:p>
    <w:p w14:paraId="3DBE598B" w14:textId="0528E639" w:rsidR="007B4106" w:rsidRPr="00E7130F" w:rsidRDefault="007B4106" w:rsidP="001F2B2F">
      <w:pPr>
        <w:spacing w:before="120" w:after="120" w:line="240" w:lineRule="auto"/>
        <w:jc w:val="both"/>
        <w:rPr>
          <w:rFonts w:ascii="Arial" w:hAnsi="Arial" w:cs="Arial"/>
          <w:sz w:val="20"/>
        </w:rPr>
      </w:pPr>
      <w:r w:rsidRPr="00E7130F">
        <w:rPr>
          <w:rFonts w:ascii="Arial" w:hAnsi="Arial" w:cs="Arial"/>
          <w:sz w:val="20"/>
        </w:rPr>
        <w:t xml:space="preserve">Preglednica </w:t>
      </w:r>
      <w:r w:rsidR="00EB4423" w:rsidRPr="00E7130F">
        <w:rPr>
          <w:rFonts w:ascii="Arial" w:hAnsi="Arial" w:cs="Arial"/>
          <w:sz w:val="20"/>
        </w:rPr>
        <w:t>4</w:t>
      </w:r>
      <w:r w:rsidRPr="00E7130F">
        <w:rPr>
          <w:rFonts w:ascii="Arial" w:hAnsi="Arial" w:cs="Arial"/>
          <w:sz w:val="20"/>
        </w:rPr>
        <w:t>: Vrednost, število in deleži javnih naročil, objavljenih le na portalu javnih naročil</w:t>
      </w:r>
      <w:r w:rsidR="00CC14BB" w:rsidRPr="00E7130F">
        <w:rPr>
          <w:rFonts w:ascii="Arial" w:hAnsi="Arial" w:cs="Arial"/>
          <w:sz w:val="20"/>
        </w:rPr>
        <w:t>,</w:t>
      </w:r>
      <w:r w:rsidRPr="00E7130F">
        <w:rPr>
          <w:rFonts w:ascii="Arial" w:hAnsi="Arial" w:cs="Arial"/>
          <w:sz w:val="20"/>
        </w:rPr>
        <w:t xml:space="preserve"> </w:t>
      </w:r>
      <w:r w:rsidR="00116B76" w:rsidRPr="00E7130F">
        <w:rPr>
          <w:rFonts w:ascii="Arial" w:hAnsi="Arial" w:cs="Arial"/>
          <w:sz w:val="20"/>
        </w:rPr>
        <w:t xml:space="preserve">po </w:t>
      </w:r>
      <w:r w:rsidR="00D05AA7" w:rsidRPr="00E7130F">
        <w:rPr>
          <w:rFonts w:ascii="Arial" w:hAnsi="Arial" w:cs="Arial"/>
          <w:sz w:val="20"/>
        </w:rPr>
        <w:t>predmet</w:t>
      </w:r>
      <w:r w:rsidR="00116B76" w:rsidRPr="00E7130F">
        <w:rPr>
          <w:rFonts w:ascii="Arial" w:hAnsi="Arial" w:cs="Arial"/>
          <w:sz w:val="20"/>
        </w:rPr>
        <w:t>ih</w:t>
      </w:r>
      <w:r w:rsidR="00D05AA7" w:rsidRPr="00E7130F">
        <w:rPr>
          <w:rFonts w:ascii="Arial" w:hAnsi="Arial" w:cs="Arial"/>
          <w:sz w:val="20"/>
        </w:rPr>
        <w:t xml:space="preserve"> naročanja</w:t>
      </w:r>
    </w:p>
    <w:tbl>
      <w:tblPr>
        <w:tblW w:w="7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1"/>
        <w:gridCol w:w="1370"/>
        <w:gridCol w:w="1755"/>
        <w:gridCol w:w="1370"/>
        <w:gridCol w:w="1370"/>
      </w:tblGrid>
      <w:tr w:rsidR="00BB70C3" w:rsidRPr="00E7130F" w14:paraId="23B57466" w14:textId="77777777" w:rsidTr="00DB3AA6">
        <w:trPr>
          <w:trHeight w:val="255"/>
          <w:jc w:val="center"/>
        </w:trPr>
        <w:tc>
          <w:tcPr>
            <w:tcW w:w="1181" w:type="dxa"/>
            <w:shd w:val="clear" w:color="auto" w:fill="F2F2F2" w:themeFill="background1" w:themeFillShade="F2"/>
            <w:vAlign w:val="center"/>
            <w:hideMark/>
          </w:tcPr>
          <w:p w14:paraId="3D790340" w14:textId="77777777" w:rsidR="00BB70C3" w:rsidRPr="00E7130F" w:rsidRDefault="00BB70C3" w:rsidP="001F2B2F">
            <w:pPr>
              <w:spacing w:after="0" w:line="240" w:lineRule="auto"/>
              <w:jc w:val="center"/>
              <w:rPr>
                <w:rFonts w:ascii="Arial" w:eastAsia="Times New Roman" w:hAnsi="Arial" w:cs="Arial"/>
                <w:color w:val="000000"/>
                <w:sz w:val="18"/>
                <w:szCs w:val="18"/>
                <w:lang w:eastAsia="sl-SI"/>
              </w:rPr>
            </w:pPr>
            <w:r w:rsidRPr="00E7130F">
              <w:rPr>
                <w:rFonts w:ascii="Arial" w:eastAsia="Times New Roman" w:hAnsi="Arial" w:cs="Arial"/>
                <w:color w:val="000000"/>
                <w:sz w:val="18"/>
                <w:szCs w:val="18"/>
                <w:lang w:eastAsia="sl-SI"/>
              </w:rPr>
              <w:t xml:space="preserve">Predmet </w:t>
            </w:r>
          </w:p>
        </w:tc>
        <w:tc>
          <w:tcPr>
            <w:tcW w:w="1370" w:type="dxa"/>
            <w:shd w:val="clear" w:color="auto" w:fill="F2F2F2" w:themeFill="background1" w:themeFillShade="F2"/>
            <w:vAlign w:val="center"/>
            <w:hideMark/>
          </w:tcPr>
          <w:p w14:paraId="667E701C" w14:textId="77777777" w:rsidR="00BB70C3" w:rsidRPr="00E7130F" w:rsidRDefault="00BB70C3" w:rsidP="001F2B2F">
            <w:pPr>
              <w:spacing w:after="0" w:line="240" w:lineRule="auto"/>
              <w:jc w:val="center"/>
              <w:rPr>
                <w:rFonts w:ascii="Arial" w:eastAsia="Times New Roman" w:hAnsi="Arial" w:cs="Arial"/>
                <w:color w:val="000000"/>
                <w:sz w:val="18"/>
                <w:szCs w:val="18"/>
                <w:lang w:eastAsia="sl-SI"/>
              </w:rPr>
            </w:pPr>
            <w:r w:rsidRPr="00E7130F">
              <w:rPr>
                <w:rFonts w:ascii="Arial" w:eastAsia="Times New Roman" w:hAnsi="Arial" w:cs="Arial"/>
                <w:color w:val="000000"/>
                <w:sz w:val="18"/>
                <w:szCs w:val="18"/>
                <w:lang w:eastAsia="sl-SI"/>
              </w:rPr>
              <w:t>Št. naročil</w:t>
            </w:r>
          </w:p>
        </w:tc>
        <w:tc>
          <w:tcPr>
            <w:tcW w:w="1755" w:type="dxa"/>
            <w:shd w:val="clear" w:color="auto" w:fill="F2F2F2" w:themeFill="background1" w:themeFillShade="F2"/>
            <w:vAlign w:val="center"/>
            <w:hideMark/>
          </w:tcPr>
          <w:p w14:paraId="1B9FD56A" w14:textId="77777777" w:rsidR="00BB70C3" w:rsidRPr="00E7130F" w:rsidRDefault="00BB70C3" w:rsidP="001F2B2F">
            <w:pPr>
              <w:spacing w:after="0" w:line="240" w:lineRule="auto"/>
              <w:jc w:val="center"/>
              <w:rPr>
                <w:rFonts w:ascii="Arial" w:eastAsia="Times New Roman" w:hAnsi="Arial" w:cs="Arial"/>
                <w:color w:val="000000"/>
                <w:sz w:val="18"/>
                <w:szCs w:val="18"/>
                <w:lang w:eastAsia="sl-SI"/>
              </w:rPr>
            </w:pPr>
            <w:r w:rsidRPr="00E7130F">
              <w:rPr>
                <w:rFonts w:ascii="Arial" w:eastAsia="Times New Roman" w:hAnsi="Arial" w:cs="Arial"/>
                <w:color w:val="000000"/>
                <w:sz w:val="18"/>
                <w:szCs w:val="18"/>
                <w:lang w:eastAsia="sl-SI"/>
              </w:rPr>
              <w:t>Pogodbena vrednost</w:t>
            </w:r>
          </w:p>
        </w:tc>
        <w:tc>
          <w:tcPr>
            <w:tcW w:w="1370" w:type="dxa"/>
            <w:shd w:val="clear" w:color="auto" w:fill="F2F2F2" w:themeFill="background1" w:themeFillShade="F2"/>
            <w:vAlign w:val="center"/>
            <w:hideMark/>
          </w:tcPr>
          <w:p w14:paraId="5DCB04EB" w14:textId="77777777" w:rsidR="00BB70C3" w:rsidRPr="00E7130F" w:rsidRDefault="00BB70C3" w:rsidP="001F2B2F">
            <w:pPr>
              <w:spacing w:after="0" w:line="240" w:lineRule="auto"/>
              <w:jc w:val="center"/>
              <w:rPr>
                <w:rFonts w:ascii="Arial" w:eastAsia="Times New Roman" w:hAnsi="Arial" w:cs="Arial"/>
                <w:color w:val="000000"/>
                <w:sz w:val="18"/>
                <w:szCs w:val="18"/>
                <w:lang w:eastAsia="sl-SI"/>
              </w:rPr>
            </w:pPr>
            <w:r w:rsidRPr="00E7130F">
              <w:rPr>
                <w:rFonts w:ascii="Arial" w:eastAsia="Times New Roman" w:hAnsi="Arial" w:cs="Arial"/>
                <w:color w:val="000000"/>
                <w:sz w:val="18"/>
                <w:szCs w:val="18"/>
                <w:lang w:eastAsia="sl-SI"/>
              </w:rPr>
              <w:t>Delež v št. naročil</w:t>
            </w:r>
          </w:p>
        </w:tc>
        <w:tc>
          <w:tcPr>
            <w:tcW w:w="1370" w:type="dxa"/>
            <w:shd w:val="clear" w:color="auto" w:fill="F2F2F2" w:themeFill="background1" w:themeFillShade="F2"/>
            <w:vAlign w:val="center"/>
            <w:hideMark/>
          </w:tcPr>
          <w:p w14:paraId="50889B2A" w14:textId="77777777" w:rsidR="00BB70C3" w:rsidRPr="00E7130F" w:rsidRDefault="00BB70C3" w:rsidP="001F2B2F">
            <w:pPr>
              <w:spacing w:after="0" w:line="240" w:lineRule="auto"/>
              <w:jc w:val="center"/>
              <w:rPr>
                <w:rFonts w:ascii="Arial" w:eastAsia="Times New Roman" w:hAnsi="Arial" w:cs="Arial"/>
                <w:color w:val="000000"/>
                <w:sz w:val="18"/>
                <w:szCs w:val="18"/>
                <w:lang w:eastAsia="sl-SI"/>
              </w:rPr>
            </w:pPr>
            <w:r w:rsidRPr="00E7130F">
              <w:rPr>
                <w:rFonts w:ascii="Arial" w:eastAsia="Times New Roman" w:hAnsi="Arial" w:cs="Arial"/>
                <w:color w:val="000000"/>
                <w:sz w:val="18"/>
                <w:szCs w:val="18"/>
                <w:lang w:eastAsia="sl-SI"/>
              </w:rPr>
              <w:t>Delež v vrednosti</w:t>
            </w:r>
          </w:p>
        </w:tc>
      </w:tr>
      <w:tr w:rsidR="00E7130F" w:rsidRPr="00E7130F" w14:paraId="7EA0ABBC" w14:textId="77777777" w:rsidTr="00E7130F">
        <w:trPr>
          <w:trHeight w:val="255"/>
          <w:jc w:val="center"/>
        </w:trPr>
        <w:tc>
          <w:tcPr>
            <w:tcW w:w="1181" w:type="dxa"/>
            <w:shd w:val="clear" w:color="auto" w:fill="auto"/>
            <w:vAlign w:val="center"/>
            <w:hideMark/>
          </w:tcPr>
          <w:p w14:paraId="033F343E" w14:textId="77777777" w:rsidR="00E7130F" w:rsidRPr="00E7130F" w:rsidRDefault="00E7130F" w:rsidP="00E7130F">
            <w:pPr>
              <w:spacing w:after="0" w:line="240" w:lineRule="auto"/>
              <w:rPr>
                <w:rFonts w:ascii="Arial" w:eastAsia="Times New Roman" w:hAnsi="Arial" w:cs="Arial"/>
                <w:color w:val="000000"/>
                <w:sz w:val="18"/>
                <w:szCs w:val="18"/>
                <w:lang w:eastAsia="sl-SI"/>
              </w:rPr>
            </w:pPr>
            <w:r w:rsidRPr="00E7130F">
              <w:rPr>
                <w:rFonts w:ascii="Arial" w:eastAsia="Times New Roman" w:hAnsi="Arial" w:cs="Arial"/>
                <w:color w:val="000000"/>
                <w:sz w:val="18"/>
                <w:szCs w:val="18"/>
                <w:lang w:eastAsia="sl-SI"/>
              </w:rPr>
              <w:t>Blago</w:t>
            </w:r>
          </w:p>
        </w:tc>
        <w:tc>
          <w:tcPr>
            <w:tcW w:w="1370" w:type="dxa"/>
            <w:shd w:val="clear" w:color="auto" w:fill="auto"/>
            <w:vAlign w:val="center"/>
            <w:hideMark/>
          </w:tcPr>
          <w:p w14:paraId="2AC3D111" w14:textId="659455C4" w:rsidR="00E7130F" w:rsidRPr="00E7130F" w:rsidRDefault="00E7130F" w:rsidP="00E7130F">
            <w:pPr>
              <w:spacing w:after="0" w:line="240" w:lineRule="auto"/>
              <w:jc w:val="right"/>
              <w:rPr>
                <w:rFonts w:ascii="Arial" w:hAnsi="Arial" w:cs="Arial"/>
                <w:sz w:val="18"/>
                <w:szCs w:val="18"/>
              </w:rPr>
            </w:pPr>
            <w:r w:rsidRPr="00E7130F">
              <w:rPr>
                <w:rFonts w:ascii="Arial" w:hAnsi="Arial" w:cs="Arial"/>
                <w:sz w:val="18"/>
                <w:szCs w:val="18"/>
              </w:rPr>
              <w:t>3.355</w:t>
            </w:r>
          </w:p>
        </w:tc>
        <w:tc>
          <w:tcPr>
            <w:tcW w:w="1755" w:type="dxa"/>
            <w:shd w:val="clear" w:color="auto" w:fill="auto"/>
            <w:vAlign w:val="center"/>
            <w:hideMark/>
          </w:tcPr>
          <w:p w14:paraId="353848E7" w14:textId="6DF5FF73" w:rsidR="00E7130F" w:rsidRPr="00E7130F" w:rsidRDefault="00E7130F" w:rsidP="00E7130F">
            <w:pPr>
              <w:spacing w:after="0" w:line="240" w:lineRule="auto"/>
              <w:jc w:val="right"/>
              <w:rPr>
                <w:rFonts w:ascii="Arial" w:hAnsi="Arial" w:cs="Arial"/>
                <w:sz w:val="18"/>
                <w:szCs w:val="18"/>
              </w:rPr>
            </w:pPr>
            <w:r w:rsidRPr="00E7130F">
              <w:rPr>
                <w:rFonts w:ascii="Arial" w:hAnsi="Arial" w:cs="Arial"/>
                <w:sz w:val="18"/>
                <w:szCs w:val="18"/>
              </w:rPr>
              <w:t>179.541.080</w:t>
            </w:r>
          </w:p>
        </w:tc>
        <w:tc>
          <w:tcPr>
            <w:tcW w:w="1370" w:type="dxa"/>
            <w:shd w:val="clear" w:color="auto" w:fill="auto"/>
            <w:vAlign w:val="center"/>
            <w:hideMark/>
          </w:tcPr>
          <w:p w14:paraId="4B519A96" w14:textId="4EF2868E" w:rsidR="00E7130F" w:rsidRPr="00E7130F" w:rsidRDefault="00E7130F" w:rsidP="00E7130F">
            <w:pPr>
              <w:spacing w:after="0" w:line="240" w:lineRule="auto"/>
              <w:jc w:val="right"/>
              <w:rPr>
                <w:rFonts w:ascii="Arial" w:hAnsi="Arial" w:cs="Arial"/>
                <w:sz w:val="18"/>
                <w:szCs w:val="18"/>
              </w:rPr>
            </w:pPr>
            <w:r w:rsidRPr="00E7130F">
              <w:rPr>
                <w:rFonts w:ascii="Arial" w:hAnsi="Arial" w:cs="Arial"/>
                <w:sz w:val="18"/>
                <w:szCs w:val="18"/>
              </w:rPr>
              <w:t>48,38 %</w:t>
            </w:r>
          </w:p>
        </w:tc>
        <w:tc>
          <w:tcPr>
            <w:tcW w:w="1370" w:type="dxa"/>
            <w:shd w:val="clear" w:color="auto" w:fill="auto"/>
            <w:vAlign w:val="center"/>
            <w:hideMark/>
          </w:tcPr>
          <w:p w14:paraId="14A45013" w14:textId="3AD6ED73" w:rsidR="00E7130F" w:rsidRPr="00E7130F" w:rsidRDefault="00E7130F" w:rsidP="00E7130F">
            <w:pPr>
              <w:spacing w:after="0" w:line="240" w:lineRule="auto"/>
              <w:jc w:val="right"/>
              <w:rPr>
                <w:rFonts w:ascii="Arial" w:hAnsi="Arial" w:cs="Arial"/>
                <w:sz w:val="18"/>
                <w:szCs w:val="18"/>
              </w:rPr>
            </w:pPr>
            <w:r w:rsidRPr="00E7130F">
              <w:rPr>
                <w:rFonts w:ascii="Arial" w:hAnsi="Arial" w:cs="Arial"/>
                <w:sz w:val="18"/>
                <w:szCs w:val="18"/>
              </w:rPr>
              <w:t>14,50 %</w:t>
            </w:r>
          </w:p>
        </w:tc>
      </w:tr>
      <w:tr w:rsidR="00E7130F" w:rsidRPr="00E7130F" w14:paraId="2C8124F5" w14:textId="77777777" w:rsidTr="00E7130F">
        <w:trPr>
          <w:trHeight w:val="255"/>
          <w:jc w:val="center"/>
        </w:trPr>
        <w:tc>
          <w:tcPr>
            <w:tcW w:w="1181" w:type="dxa"/>
            <w:shd w:val="clear" w:color="auto" w:fill="auto"/>
            <w:vAlign w:val="center"/>
            <w:hideMark/>
          </w:tcPr>
          <w:p w14:paraId="74E94C65" w14:textId="77777777" w:rsidR="00E7130F" w:rsidRPr="00E7130F" w:rsidRDefault="00E7130F" w:rsidP="00E7130F">
            <w:pPr>
              <w:spacing w:after="0" w:line="240" w:lineRule="auto"/>
              <w:rPr>
                <w:rFonts w:ascii="Arial" w:eastAsia="Times New Roman" w:hAnsi="Arial" w:cs="Arial"/>
                <w:color w:val="000000"/>
                <w:sz w:val="18"/>
                <w:szCs w:val="18"/>
                <w:lang w:eastAsia="sl-SI"/>
              </w:rPr>
            </w:pPr>
            <w:r w:rsidRPr="00E7130F">
              <w:rPr>
                <w:rFonts w:ascii="Arial" w:eastAsia="Times New Roman" w:hAnsi="Arial" w:cs="Arial"/>
                <w:color w:val="000000"/>
                <w:sz w:val="18"/>
                <w:szCs w:val="18"/>
                <w:lang w:eastAsia="sl-SI"/>
              </w:rPr>
              <w:t>Storitve</w:t>
            </w:r>
          </w:p>
        </w:tc>
        <w:tc>
          <w:tcPr>
            <w:tcW w:w="1370" w:type="dxa"/>
            <w:shd w:val="clear" w:color="auto" w:fill="auto"/>
            <w:vAlign w:val="center"/>
            <w:hideMark/>
          </w:tcPr>
          <w:p w14:paraId="3524BDB2" w14:textId="2559123C" w:rsidR="00E7130F" w:rsidRPr="00E7130F" w:rsidRDefault="00E7130F" w:rsidP="00E7130F">
            <w:pPr>
              <w:spacing w:after="0" w:line="240" w:lineRule="auto"/>
              <w:jc w:val="right"/>
              <w:rPr>
                <w:rFonts w:ascii="Arial" w:hAnsi="Arial" w:cs="Arial"/>
                <w:sz w:val="18"/>
                <w:szCs w:val="18"/>
              </w:rPr>
            </w:pPr>
            <w:r w:rsidRPr="00E7130F">
              <w:rPr>
                <w:rFonts w:ascii="Arial" w:hAnsi="Arial" w:cs="Arial"/>
                <w:sz w:val="18"/>
                <w:szCs w:val="18"/>
              </w:rPr>
              <w:t>1.982</w:t>
            </w:r>
          </w:p>
        </w:tc>
        <w:tc>
          <w:tcPr>
            <w:tcW w:w="1755" w:type="dxa"/>
            <w:shd w:val="clear" w:color="auto" w:fill="auto"/>
            <w:vAlign w:val="center"/>
            <w:hideMark/>
          </w:tcPr>
          <w:p w14:paraId="5D8E2B02" w14:textId="31ADAD9B" w:rsidR="00E7130F" w:rsidRPr="00E7130F" w:rsidRDefault="00E7130F" w:rsidP="00E7130F">
            <w:pPr>
              <w:spacing w:after="0" w:line="240" w:lineRule="auto"/>
              <w:jc w:val="right"/>
              <w:rPr>
                <w:rFonts w:ascii="Arial" w:hAnsi="Arial" w:cs="Arial"/>
                <w:sz w:val="18"/>
                <w:szCs w:val="18"/>
              </w:rPr>
            </w:pPr>
            <w:r w:rsidRPr="00E7130F">
              <w:rPr>
                <w:rFonts w:ascii="Arial" w:hAnsi="Arial" w:cs="Arial"/>
                <w:sz w:val="18"/>
                <w:szCs w:val="18"/>
              </w:rPr>
              <w:t>152.708.799</w:t>
            </w:r>
          </w:p>
        </w:tc>
        <w:tc>
          <w:tcPr>
            <w:tcW w:w="1370" w:type="dxa"/>
            <w:shd w:val="clear" w:color="auto" w:fill="auto"/>
            <w:vAlign w:val="center"/>
            <w:hideMark/>
          </w:tcPr>
          <w:p w14:paraId="3214C14C" w14:textId="4920C263" w:rsidR="00E7130F" w:rsidRPr="00E7130F" w:rsidRDefault="00E7130F" w:rsidP="00E7130F">
            <w:pPr>
              <w:spacing w:after="0" w:line="240" w:lineRule="auto"/>
              <w:jc w:val="right"/>
              <w:rPr>
                <w:rFonts w:ascii="Arial" w:hAnsi="Arial" w:cs="Arial"/>
                <w:sz w:val="18"/>
                <w:szCs w:val="18"/>
              </w:rPr>
            </w:pPr>
            <w:r w:rsidRPr="00E7130F">
              <w:rPr>
                <w:rFonts w:ascii="Arial" w:hAnsi="Arial" w:cs="Arial"/>
                <w:sz w:val="18"/>
                <w:szCs w:val="18"/>
              </w:rPr>
              <w:t>28,58 %</w:t>
            </w:r>
          </w:p>
        </w:tc>
        <w:tc>
          <w:tcPr>
            <w:tcW w:w="1370" w:type="dxa"/>
            <w:shd w:val="clear" w:color="auto" w:fill="auto"/>
            <w:vAlign w:val="center"/>
            <w:hideMark/>
          </w:tcPr>
          <w:p w14:paraId="614844B8" w14:textId="62601F7B" w:rsidR="00E7130F" w:rsidRPr="00E7130F" w:rsidRDefault="00E7130F" w:rsidP="00E7130F">
            <w:pPr>
              <w:spacing w:after="0" w:line="240" w:lineRule="auto"/>
              <w:jc w:val="right"/>
              <w:rPr>
                <w:rFonts w:ascii="Arial" w:hAnsi="Arial" w:cs="Arial"/>
                <w:sz w:val="18"/>
                <w:szCs w:val="18"/>
              </w:rPr>
            </w:pPr>
            <w:r w:rsidRPr="00E7130F">
              <w:rPr>
                <w:rFonts w:ascii="Arial" w:hAnsi="Arial" w:cs="Arial"/>
                <w:sz w:val="18"/>
                <w:szCs w:val="18"/>
              </w:rPr>
              <w:t>12,33 %</w:t>
            </w:r>
          </w:p>
        </w:tc>
      </w:tr>
      <w:tr w:rsidR="00E7130F" w:rsidRPr="00E7130F" w14:paraId="3A691C4F" w14:textId="77777777" w:rsidTr="00E7130F">
        <w:trPr>
          <w:trHeight w:val="255"/>
          <w:jc w:val="center"/>
        </w:trPr>
        <w:tc>
          <w:tcPr>
            <w:tcW w:w="1181" w:type="dxa"/>
            <w:shd w:val="clear" w:color="auto" w:fill="auto"/>
            <w:vAlign w:val="center"/>
            <w:hideMark/>
          </w:tcPr>
          <w:p w14:paraId="717383DF" w14:textId="77777777" w:rsidR="00E7130F" w:rsidRPr="00E7130F" w:rsidRDefault="00E7130F" w:rsidP="00E7130F">
            <w:pPr>
              <w:spacing w:after="0" w:line="240" w:lineRule="auto"/>
              <w:rPr>
                <w:rFonts w:ascii="Arial" w:eastAsia="Times New Roman" w:hAnsi="Arial" w:cs="Arial"/>
                <w:color w:val="000000"/>
                <w:sz w:val="18"/>
                <w:szCs w:val="18"/>
                <w:lang w:eastAsia="sl-SI"/>
              </w:rPr>
            </w:pPr>
            <w:r w:rsidRPr="00E7130F">
              <w:rPr>
                <w:rFonts w:ascii="Arial" w:eastAsia="Times New Roman" w:hAnsi="Arial" w:cs="Arial"/>
                <w:color w:val="000000"/>
                <w:sz w:val="18"/>
                <w:szCs w:val="18"/>
                <w:lang w:eastAsia="sl-SI"/>
              </w:rPr>
              <w:t>Gradnje</w:t>
            </w:r>
          </w:p>
        </w:tc>
        <w:tc>
          <w:tcPr>
            <w:tcW w:w="1370" w:type="dxa"/>
            <w:shd w:val="clear" w:color="auto" w:fill="auto"/>
            <w:vAlign w:val="center"/>
            <w:hideMark/>
          </w:tcPr>
          <w:p w14:paraId="7796FD0A" w14:textId="7AE34283" w:rsidR="00E7130F" w:rsidRPr="00E7130F" w:rsidRDefault="00E7130F" w:rsidP="00E7130F">
            <w:pPr>
              <w:spacing w:after="0" w:line="240" w:lineRule="auto"/>
              <w:jc w:val="right"/>
              <w:rPr>
                <w:rFonts w:ascii="Arial" w:hAnsi="Arial" w:cs="Arial"/>
                <w:sz w:val="18"/>
                <w:szCs w:val="18"/>
              </w:rPr>
            </w:pPr>
            <w:r w:rsidRPr="00E7130F">
              <w:rPr>
                <w:rFonts w:ascii="Arial" w:hAnsi="Arial" w:cs="Arial"/>
                <w:sz w:val="18"/>
                <w:szCs w:val="18"/>
              </w:rPr>
              <w:t>1.598</w:t>
            </w:r>
          </w:p>
        </w:tc>
        <w:tc>
          <w:tcPr>
            <w:tcW w:w="1755" w:type="dxa"/>
            <w:shd w:val="clear" w:color="auto" w:fill="auto"/>
            <w:vAlign w:val="center"/>
            <w:hideMark/>
          </w:tcPr>
          <w:p w14:paraId="767672B9" w14:textId="4E769F1E" w:rsidR="00E7130F" w:rsidRPr="00E7130F" w:rsidRDefault="00E7130F" w:rsidP="00E7130F">
            <w:pPr>
              <w:spacing w:after="0" w:line="240" w:lineRule="auto"/>
              <w:jc w:val="right"/>
              <w:rPr>
                <w:rFonts w:ascii="Arial" w:hAnsi="Arial" w:cs="Arial"/>
                <w:sz w:val="18"/>
                <w:szCs w:val="18"/>
              </w:rPr>
            </w:pPr>
            <w:r w:rsidRPr="00E7130F">
              <w:rPr>
                <w:rFonts w:ascii="Arial" w:hAnsi="Arial" w:cs="Arial"/>
                <w:sz w:val="18"/>
                <w:szCs w:val="18"/>
              </w:rPr>
              <w:t>906.134.364</w:t>
            </w:r>
          </w:p>
        </w:tc>
        <w:tc>
          <w:tcPr>
            <w:tcW w:w="1370" w:type="dxa"/>
            <w:shd w:val="clear" w:color="auto" w:fill="auto"/>
            <w:vAlign w:val="center"/>
            <w:hideMark/>
          </w:tcPr>
          <w:p w14:paraId="391C1A6B" w14:textId="08CE30C7" w:rsidR="00E7130F" w:rsidRPr="00E7130F" w:rsidRDefault="00E7130F" w:rsidP="00E7130F">
            <w:pPr>
              <w:spacing w:after="0" w:line="240" w:lineRule="auto"/>
              <w:jc w:val="right"/>
              <w:rPr>
                <w:rFonts w:ascii="Arial" w:hAnsi="Arial" w:cs="Arial"/>
                <w:sz w:val="18"/>
                <w:szCs w:val="18"/>
              </w:rPr>
            </w:pPr>
            <w:r w:rsidRPr="00E7130F">
              <w:rPr>
                <w:rFonts w:ascii="Arial" w:hAnsi="Arial" w:cs="Arial"/>
                <w:sz w:val="18"/>
                <w:szCs w:val="18"/>
              </w:rPr>
              <w:t>23,04 %</w:t>
            </w:r>
          </w:p>
        </w:tc>
        <w:tc>
          <w:tcPr>
            <w:tcW w:w="1370" w:type="dxa"/>
            <w:shd w:val="clear" w:color="auto" w:fill="auto"/>
            <w:vAlign w:val="center"/>
            <w:hideMark/>
          </w:tcPr>
          <w:p w14:paraId="062E546A" w14:textId="1CA48F32" w:rsidR="00E7130F" w:rsidRPr="00E7130F" w:rsidRDefault="00E7130F" w:rsidP="00E7130F">
            <w:pPr>
              <w:spacing w:after="0" w:line="240" w:lineRule="auto"/>
              <w:jc w:val="right"/>
              <w:rPr>
                <w:rFonts w:ascii="Arial" w:hAnsi="Arial" w:cs="Arial"/>
                <w:sz w:val="18"/>
                <w:szCs w:val="18"/>
              </w:rPr>
            </w:pPr>
            <w:r w:rsidRPr="00E7130F">
              <w:rPr>
                <w:rFonts w:ascii="Arial" w:hAnsi="Arial" w:cs="Arial"/>
                <w:sz w:val="18"/>
                <w:szCs w:val="18"/>
              </w:rPr>
              <w:t>73,17 %</w:t>
            </w:r>
          </w:p>
        </w:tc>
      </w:tr>
      <w:tr w:rsidR="00E7130F" w:rsidRPr="00E7130F" w14:paraId="6AE90088" w14:textId="77777777" w:rsidTr="00E7130F">
        <w:trPr>
          <w:trHeight w:val="255"/>
          <w:jc w:val="center"/>
        </w:trPr>
        <w:tc>
          <w:tcPr>
            <w:tcW w:w="1181" w:type="dxa"/>
            <w:shd w:val="clear" w:color="auto" w:fill="F2F2F2" w:themeFill="background1" w:themeFillShade="F2"/>
            <w:vAlign w:val="center"/>
            <w:hideMark/>
          </w:tcPr>
          <w:p w14:paraId="6D6FC635" w14:textId="77777777" w:rsidR="00E7130F" w:rsidRPr="00E7130F" w:rsidRDefault="00E7130F" w:rsidP="00E7130F">
            <w:pPr>
              <w:spacing w:after="0" w:line="240" w:lineRule="auto"/>
              <w:rPr>
                <w:rFonts w:ascii="Arial" w:eastAsia="Times New Roman" w:hAnsi="Arial" w:cs="Arial"/>
                <w:b/>
                <w:color w:val="000000"/>
                <w:sz w:val="18"/>
                <w:szCs w:val="18"/>
                <w:lang w:eastAsia="sl-SI"/>
              </w:rPr>
            </w:pPr>
            <w:r w:rsidRPr="00E7130F">
              <w:rPr>
                <w:rFonts w:ascii="Arial" w:eastAsia="Times New Roman" w:hAnsi="Arial" w:cs="Arial"/>
                <w:b/>
                <w:color w:val="000000"/>
                <w:sz w:val="18"/>
                <w:szCs w:val="18"/>
                <w:lang w:eastAsia="sl-SI"/>
              </w:rPr>
              <w:t>Skupaj</w:t>
            </w:r>
          </w:p>
        </w:tc>
        <w:tc>
          <w:tcPr>
            <w:tcW w:w="1370" w:type="dxa"/>
            <w:shd w:val="clear" w:color="auto" w:fill="F2F2F2" w:themeFill="background1" w:themeFillShade="F2"/>
            <w:noWrap/>
            <w:vAlign w:val="center"/>
            <w:hideMark/>
          </w:tcPr>
          <w:p w14:paraId="7413D257" w14:textId="13515832" w:rsidR="00E7130F" w:rsidRPr="00E7130F" w:rsidRDefault="00E7130F" w:rsidP="00E7130F">
            <w:pPr>
              <w:spacing w:after="0" w:line="240" w:lineRule="auto"/>
              <w:jc w:val="right"/>
              <w:rPr>
                <w:rFonts w:ascii="Arial" w:hAnsi="Arial" w:cs="Arial"/>
                <w:b/>
                <w:bCs/>
                <w:sz w:val="18"/>
                <w:szCs w:val="18"/>
              </w:rPr>
            </w:pPr>
            <w:r w:rsidRPr="00E7130F">
              <w:rPr>
                <w:rFonts w:ascii="Arial" w:hAnsi="Arial" w:cs="Arial"/>
                <w:b/>
                <w:bCs/>
                <w:sz w:val="18"/>
                <w:szCs w:val="18"/>
              </w:rPr>
              <w:t>6.935</w:t>
            </w:r>
          </w:p>
        </w:tc>
        <w:tc>
          <w:tcPr>
            <w:tcW w:w="1755" w:type="dxa"/>
            <w:shd w:val="clear" w:color="auto" w:fill="F2F2F2" w:themeFill="background1" w:themeFillShade="F2"/>
            <w:noWrap/>
            <w:vAlign w:val="center"/>
            <w:hideMark/>
          </w:tcPr>
          <w:p w14:paraId="377953CF" w14:textId="52C23CCD" w:rsidR="00E7130F" w:rsidRPr="00E7130F" w:rsidRDefault="00E7130F" w:rsidP="00E7130F">
            <w:pPr>
              <w:spacing w:after="0" w:line="240" w:lineRule="auto"/>
              <w:jc w:val="right"/>
              <w:rPr>
                <w:rFonts w:ascii="Arial" w:hAnsi="Arial" w:cs="Arial"/>
                <w:b/>
                <w:bCs/>
                <w:sz w:val="18"/>
                <w:szCs w:val="18"/>
              </w:rPr>
            </w:pPr>
            <w:r w:rsidRPr="00E7130F">
              <w:rPr>
                <w:rFonts w:ascii="Arial" w:hAnsi="Arial" w:cs="Arial"/>
                <w:b/>
                <w:bCs/>
                <w:sz w:val="18"/>
                <w:szCs w:val="18"/>
              </w:rPr>
              <w:t>1.238.384.243</w:t>
            </w:r>
          </w:p>
        </w:tc>
        <w:tc>
          <w:tcPr>
            <w:tcW w:w="1370" w:type="dxa"/>
            <w:shd w:val="clear" w:color="auto" w:fill="F2F2F2" w:themeFill="background1" w:themeFillShade="F2"/>
            <w:noWrap/>
            <w:vAlign w:val="center"/>
            <w:hideMark/>
          </w:tcPr>
          <w:p w14:paraId="4490FDF2" w14:textId="6931E97A" w:rsidR="00E7130F" w:rsidRPr="00E7130F" w:rsidRDefault="00E7130F" w:rsidP="00E7130F">
            <w:pPr>
              <w:spacing w:after="0" w:line="240" w:lineRule="auto"/>
              <w:jc w:val="right"/>
              <w:rPr>
                <w:rFonts w:ascii="Arial" w:hAnsi="Arial" w:cs="Arial"/>
                <w:b/>
                <w:bCs/>
                <w:sz w:val="18"/>
                <w:szCs w:val="18"/>
              </w:rPr>
            </w:pPr>
            <w:r w:rsidRPr="00E7130F">
              <w:rPr>
                <w:rFonts w:ascii="Arial" w:hAnsi="Arial" w:cs="Arial"/>
                <w:b/>
                <w:bCs/>
                <w:sz w:val="18"/>
                <w:szCs w:val="18"/>
              </w:rPr>
              <w:t>100,00 %</w:t>
            </w:r>
          </w:p>
        </w:tc>
        <w:tc>
          <w:tcPr>
            <w:tcW w:w="1370" w:type="dxa"/>
            <w:shd w:val="clear" w:color="auto" w:fill="F2F2F2" w:themeFill="background1" w:themeFillShade="F2"/>
            <w:noWrap/>
            <w:vAlign w:val="center"/>
            <w:hideMark/>
          </w:tcPr>
          <w:p w14:paraId="096B0D47" w14:textId="70163F03" w:rsidR="00E7130F" w:rsidRPr="00E7130F" w:rsidRDefault="00E7130F" w:rsidP="00E7130F">
            <w:pPr>
              <w:spacing w:after="0" w:line="240" w:lineRule="auto"/>
              <w:jc w:val="right"/>
              <w:rPr>
                <w:rFonts w:ascii="Arial" w:hAnsi="Arial" w:cs="Arial"/>
                <w:b/>
                <w:bCs/>
                <w:sz w:val="18"/>
                <w:szCs w:val="18"/>
              </w:rPr>
            </w:pPr>
            <w:r w:rsidRPr="00E7130F">
              <w:rPr>
                <w:rFonts w:ascii="Arial" w:hAnsi="Arial" w:cs="Arial"/>
                <w:b/>
                <w:bCs/>
                <w:sz w:val="18"/>
                <w:szCs w:val="18"/>
              </w:rPr>
              <w:t>100,00 %</w:t>
            </w:r>
          </w:p>
        </w:tc>
      </w:tr>
    </w:tbl>
    <w:p w14:paraId="04AAC8CA" w14:textId="77777777" w:rsidR="00BB70C3" w:rsidRPr="00E7130F" w:rsidRDefault="00BB70C3" w:rsidP="00BB70C3">
      <w:pPr>
        <w:spacing w:after="0" w:line="240" w:lineRule="auto"/>
        <w:jc w:val="center"/>
        <w:rPr>
          <w:rFonts w:ascii="Arial" w:hAnsi="Arial" w:cs="Arial"/>
          <w:sz w:val="18"/>
        </w:rPr>
      </w:pPr>
    </w:p>
    <w:p w14:paraId="42A9C391" w14:textId="25191976" w:rsidR="00D05AA7" w:rsidRPr="00E7130F" w:rsidRDefault="00D05AA7" w:rsidP="00BB70C3">
      <w:pPr>
        <w:spacing w:after="0" w:line="240" w:lineRule="auto"/>
        <w:jc w:val="center"/>
        <w:rPr>
          <w:rFonts w:ascii="Arial" w:hAnsi="Arial" w:cs="Arial"/>
          <w:sz w:val="18"/>
        </w:rPr>
      </w:pPr>
      <w:r w:rsidRPr="00E7130F">
        <w:rPr>
          <w:rFonts w:ascii="Arial" w:hAnsi="Arial" w:cs="Arial"/>
          <w:sz w:val="18"/>
        </w:rPr>
        <w:t>Vir: Statistični podatki o javnih naročilih, oddanih v let</w:t>
      </w:r>
      <w:r w:rsidR="008D541C" w:rsidRPr="00E7130F">
        <w:rPr>
          <w:rFonts w:ascii="Arial" w:hAnsi="Arial" w:cs="Arial"/>
          <w:sz w:val="18"/>
        </w:rPr>
        <w:t xml:space="preserve">u </w:t>
      </w:r>
      <w:r w:rsidR="00F86463" w:rsidRPr="00E7130F">
        <w:rPr>
          <w:rFonts w:ascii="Arial" w:hAnsi="Arial" w:cs="Arial"/>
          <w:sz w:val="18"/>
        </w:rPr>
        <w:t>20</w:t>
      </w:r>
      <w:r w:rsidR="00D377A2" w:rsidRPr="00E7130F">
        <w:rPr>
          <w:rFonts w:ascii="Arial" w:hAnsi="Arial" w:cs="Arial"/>
          <w:sz w:val="18"/>
        </w:rPr>
        <w:t>2</w:t>
      </w:r>
      <w:r w:rsidR="00E7130F" w:rsidRPr="00E7130F">
        <w:rPr>
          <w:rFonts w:ascii="Arial" w:hAnsi="Arial" w:cs="Arial"/>
          <w:sz w:val="18"/>
        </w:rPr>
        <w:t>2</w:t>
      </w:r>
      <w:r w:rsidR="00AA31A7" w:rsidRPr="00E7130F">
        <w:rPr>
          <w:rFonts w:ascii="Arial" w:hAnsi="Arial" w:cs="Arial"/>
          <w:sz w:val="18"/>
        </w:rPr>
        <w:t>.</w:t>
      </w:r>
    </w:p>
    <w:p w14:paraId="7D9C16CE" w14:textId="41E51C81" w:rsidR="00BB70C3" w:rsidRPr="00BF7302" w:rsidRDefault="00BB70C3" w:rsidP="00A83A44">
      <w:pPr>
        <w:tabs>
          <w:tab w:val="left" w:pos="567"/>
          <w:tab w:val="left" w:pos="993"/>
        </w:tabs>
        <w:spacing w:line="360" w:lineRule="auto"/>
        <w:jc w:val="both"/>
        <w:rPr>
          <w:rFonts w:ascii="Arial" w:hAnsi="Arial" w:cs="Arial"/>
          <w:bCs/>
          <w:sz w:val="20"/>
          <w:szCs w:val="20"/>
          <w:highlight w:val="yellow"/>
        </w:rPr>
      </w:pPr>
    </w:p>
    <w:p w14:paraId="7F312B93" w14:textId="7B010103" w:rsidR="00D05AA7" w:rsidRPr="00E7130F" w:rsidRDefault="00AA7070" w:rsidP="00A83A44">
      <w:pPr>
        <w:tabs>
          <w:tab w:val="left" w:pos="567"/>
          <w:tab w:val="left" w:pos="993"/>
        </w:tabs>
        <w:spacing w:line="360" w:lineRule="auto"/>
        <w:jc w:val="both"/>
        <w:rPr>
          <w:rFonts w:ascii="Arial" w:hAnsi="Arial" w:cs="Arial"/>
          <w:bCs/>
          <w:sz w:val="20"/>
          <w:szCs w:val="20"/>
        </w:rPr>
      </w:pPr>
      <w:r w:rsidRPr="00E7130F">
        <w:rPr>
          <w:rFonts w:ascii="Arial" w:hAnsi="Arial" w:cs="Arial"/>
          <w:bCs/>
          <w:sz w:val="20"/>
          <w:szCs w:val="20"/>
        </w:rPr>
        <w:t>Večina n</w:t>
      </w:r>
      <w:r w:rsidR="00D05AA7" w:rsidRPr="00E7130F">
        <w:rPr>
          <w:rFonts w:ascii="Arial" w:hAnsi="Arial" w:cs="Arial"/>
          <w:bCs/>
          <w:sz w:val="20"/>
          <w:szCs w:val="20"/>
        </w:rPr>
        <w:t>aročil, ki so jih naročniki objavili le na portalu javnih naročil</w:t>
      </w:r>
      <w:r w:rsidR="002E0F8A" w:rsidRPr="00E7130F">
        <w:rPr>
          <w:rFonts w:ascii="Arial" w:hAnsi="Arial" w:cs="Arial"/>
          <w:bCs/>
          <w:sz w:val="20"/>
          <w:szCs w:val="20"/>
        </w:rPr>
        <w:t>,</w:t>
      </w:r>
      <w:r w:rsidR="00D05AA7" w:rsidRPr="00E7130F">
        <w:rPr>
          <w:rFonts w:ascii="Arial" w:hAnsi="Arial" w:cs="Arial"/>
          <w:bCs/>
          <w:sz w:val="20"/>
          <w:szCs w:val="20"/>
        </w:rPr>
        <w:t xml:space="preserve"> je bila </w:t>
      </w:r>
      <w:r w:rsidRPr="00E7130F">
        <w:rPr>
          <w:rFonts w:ascii="Arial" w:hAnsi="Arial" w:cs="Arial"/>
          <w:bCs/>
          <w:sz w:val="20"/>
          <w:szCs w:val="20"/>
        </w:rPr>
        <w:t>s</w:t>
      </w:r>
      <w:r w:rsidR="00D05AA7" w:rsidRPr="00E7130F">
        <w:rPr>
          <w:rFonts w:ascii="Arial" w:hAnsi="Arial" w:cs="Arial"/>
          <w:bCs/>
          <w:sz w:val="20"/>
          <w:szCs w:val="20"/>
        </w:rPr>
        <w:t xml:space="preserve"> splošne</w:t>
      </w:r>
      <w:r w:rsidRPr="00E7130F">
        <w:rPr>
          <w:rFonts w:ascii="Arial" w:hAnsi="Arial" w:cs="Arial"/>
          <w:bCs/>
          <w:sz w:val="20"/>
          <w:szCs w:val="20"/>
        </w:rPr>
        <w:t>ga</w:t>
      </w:r>
      <w:r w:rsidR="00D05AA7" w:rsidRPr="00E7130F">
        <w:rPr>
          <w:rFonts w:ascii="Arial" w:hAnsi="Arial" w:cs="Arial"/>
          <w:bCs/>
          <w:sz w:val="20"/>
          <w:szCs w:val="20"/>
        </w:rPr>
        <w:t xml:space="preserve"> področj</w:t>
      </w:r>
      <w:r w:rsidRPr="00E7130F">
        <w:rPr>
          <w:rFonts w:ascii="Arial" w:hAnsi="Arial" w:cs="Arial"/>
          <w:bCs/>
          <w:sz w:val="20"/>
          <w:szCs w:val="20"/>
        </w:rPr>
        <w:t>a</w:t>
      </w:r>
      <w:r w:rsidR="00D05AA7" w:rsidRPr="00E7130F">
        <w:rPr>
          <w:rFonts w:ascii="Arial" w:hAnsi="Arial" w:cs="Arial"/>
          <w:bCs/>
          <w:sz w:val="20"/>
          <w:szCs w:val="20"/>
        </w:rPr>
        <w:t xml:space="preserve">. Njihov delež v </w:t>
      </w:r>
      <w:r w:rsidR="00E61134" w:rsidRPr="00E7130F">
        <w:rPr>
          <w:rFonts w:ascii="Arial" w:hAnsi="Arial" w:cs="Arial"/>
          <w:bCs/>
          <w:sz w:val="20"/>
          <w:szCs w:val="20"/>
        </w:rPr>
        <w:t xml:space="preserve">številu </w:t>
      </w:r>
      <w:r w:rsidR="00D05AA7" w:rsidRPr="00E7130F">
        <w:rPr>
          <w:rFonts w:ascii="Arial" w:hAnsi="Arial" w:cs="Arial"/>
          <w:bCs/>
          <w:sz w:val="20"/>
          <w:szCs w:val="20"/>
        </w:rPr>
        <w:t>oddanih naročil, objavljen</w:t>
      </w:r>
      <w:r w:rsidR="00B57702" w:rsidRPr="00E7130F">
        <w:rPr>
          <w:rFonts w:ascii="Arial" w:hAnsi="Arial" w:cs="Arial"/>
          <w:bCs/>
          <w:sz w:val="20"/>
          <w:szCs w:val="20"/>
        </w:rPr>
        <w:t>ih</w:t>
      </w:r>
      <w:r w:rsidR="00D05AA7" w:rsidRPr="00E7130F">
        <w:rPr>
          <w:rFonts w:ascii="Arial" w:hAnsi="Arial" w:cs="Arial"/>
          <w:bCs/>
          <w:sz w:val="20"/>
          <w:szCs w:val="20"/>
        </w:rPr>
        <w:t xml:space="preserve"> le na portalu javnih naročil</w:t>
      </w:r>
      <w:r w:rsidR="00B737F5" w:rsidRPr="00E7130F">
        <w:rPr>
          <w:rFonts w:ascii="Arial" w:hAnsi="Arial" w:cs="Arial"/>
          <w:bCs/>
          <w:sz w:val="20"/>
          <w:szCs w:val="20"/>
        </w:rPr>
        <w:t>,</w:t>
      </w:r>
      <w:r w:rsidR="00BF1429" w:rsidRPr="00E7130F">
        <w:rPr>
          <w:rFonts w:ascii="Arial" w:hAnsi="Arial" w:cs="Arial"/>
          <w:bCs/>
          <w:sz w:val="20"/>
          <w:szCs w:val="20"/>
        </w:rPr>
        <w:t xml:space="preserve"> </w:t>
      </w:r>
      <w:r w:rsidR="00D05AA7" w:rsidRPr="00E7130F">
        <w:rPr>
          <w:rFonts w:ascii="Arial" w:hAnsi="Arial" w:cs="Arial"/>
          <w:bCs/>
          <w:sz w:val="20"/>
          <w:szCs w:val="20"/>
        </w:rPr>
        <w:t xml:space="preserve">je </w:t>
      </w:r>
      <w:r w:rsidR="00892636" w:rsidRPr="00E7130F">
        <w:rPr>
          <w:rFonts w:ascii="Arial" w:eastAsia="Times New Roman" w:hAnsi="Arial" w:cs="Arial"/>
          <w:color w:val="000000"/>
          <w:sz w:val="20"/>
          <w:szCs w:val="20"/>
          <w:lang w:eastAsia="sl-SI"/>
        </w:rPr>
        <w:t>8</w:t>
      </w:r>
      <w:r w:rsidR="00E7130F" w:rsidRPr="00E7130F">
        <w:rPr>
          <w:rFonts w:ascii="Arial" w:eastAsia="Times New Roman" w:hAnsi="Arial" w:cs="Arial"/>
          <w:color w:val="000000"/>
          <w:sz w:val="20"/>
          <w:szCs w:val="20"/>
          <w:lang w:eastAsia="sl-SI"/>
        </w:rPr>
        <w:t>1,53</w:t>
      </w:r>
      <w:r w:rsidR="00AA31A7" w:rsidRPr="00E7130F">
        <w:rPr>
          <w:rFonts w:ascii="Arial" w:eastAsia="Times New Roman" w:hAnsi="Arial" w:cs="Arial"/>
          <w:color w:val="000000"/>
          <w:sz w:val="20"/>
          <w:szCs w:val="20"/>
          <w:lang w:eastAsia="sl-SI"/>
        </w:rPr>
        <w:t> </w:t>
      </w:r>
      <w:r w:rsidR="00AC0027">
        <w:rPr>
          <w:rFonts w:ascii="Arial" w:eastAsia="Times New Roman" w:hAnsi="Arial" w:cs="Arial"/>
          <w:color w:val="000000"/>
          <w:sz w:val="20"/>
          <w:szCs w:val="20"/>
          <w:lang w:eastAsia="sl-SI"/>
        </w:rPr>
        <w:t>odstotka</w:t>
      </w:r>
      <w:r w:rsidR="00E61134" w:rsidRPr="00E7130F">
        <w:rPr>
          <w:rFonts w:ascii="Arial" w:eastAsia="Times New Roman" w:hAnsi="Arial" w:cs="Arial"/>
          <w:color w:val="000000"/>
          <w:sz w:val="20"/>
          <w:szCs w:val="20"/>
          <w:lang w:eastAsia="sl-SI"/>
        </w:rPr>
        <w:t xml:space="preserve">, v vrednosti pa </w:t>
      </w:r>
      <w:r w:rsidR="00892636" w:rsidRPr="00E7130F">
        <w:rPr>
          <w:rFonts w:ascii="Arial" w:eastAsia="Times New Roman" w:hAnsi="Arial" w:cs="Arial"/>
          <w:color w:val="000000"/>
          <w:sz w:val="20"/>
          <w:szCs w:val="20"/>
          <w:lang w:eastAsia="sl-SI"/>
        </w:rPr>
        <w:t>8</w:t>
      </w:r>
      <w:r w:rsidR="00EE57C4" w:rsidRPr="00E7130F">
        <w:rPr>
          <w:rFonts w:ascii="Arial" w:eastAsia="Times New Roman" w:hAnsi="Arial" w:cs="Arial"/>
          <w:color w:val="000000"/>
          <w:sz w:val="20"/>
          <w:szCs w:val="20"/>
          <w:lang w:eastAsia="sl-SI"/>
        </w:rPr>
        <w:t>5,</w:t>
      </w:r>
      <w:r w:rsidR="00E7130F" w:rsidRPr="00E7130F">
        <w:rPr>
          <w:rFonts w:ascii="Arial" w:eastAsia="Times New Roman" w:hAnsi="Arial" w:cs="Arial"/>
          <w:color w:val="000000"/>
          <w:sz w:val="20"/>
          <w:szCs w:val="20"/>
          <w:lang w:eastAsia="sl-SI"/>
        </w:rPr>
        <w:t>8</w:t>
      </w:r>
      <w:r w:rsidR="00FD23A2" w:rsidRPr="00E7130F">
        <w:rPr>
          <w:rFonts w:ascii="Arial" w:eastAsia="Times New Roman" w:hAnsi="Arial" w:cs="Arial"/>
          <w:color w:val="000000"/>
          <w:sz w:val="20"/>
          <w:szCs w:val="20"/>
          <w:lang w:eastAsia="sl-SI"/>
        </w:rPr>
        <w:t> </w:t>
      </w:r>
      <w:r w:rsidR="00AC0027">
        <w:rPr>
          <w:rFonts w:ascii="Arial" w:eastAsia="Times New Roman" w:hAnsi="Arial" w:cs="Arial"/>
          <w:color w:val="000000"/>
          <w:sz w:val="20"/>
          <w:szCs w:val="20"/>
          <w:lang w:eastAsia="sl-SI"/>
        </w:rPr>
        <w:t>odstotka</w:t>
      </w:r>
      <w:r w:rsidR="00E61134" w:rsidRPr="00E7130F">
        <w:rPr>
          <w:rFonts w:ascii="Arial" w:eastAsia="Times New Roman" w:hAnsi="Arial" w:cs="Arial"/>
          <w:color w:val="000000"/>
          <w:sz w:val="20"/>
          <w:szCs w:val="20"/>
          <w:lang w:eastAsia="sl-SI"/>
        </w:rPr>
        <w:t>.</w:t>
      </w:r>
    </w:p>
    <w:p w14:paraId="41CB0FF1" w14:textId="77777777" w:rsidR="00F11E69" w:rsidRDefault="00F11E69">
      <w:pPr>
        <w:rPr>
          <w:rFonts w:ascii="Arial" w:hAnsi="Arial" w:cs="Arial"/>
          <w:sz w:val="20"/>
        </w:rPr>
      </w:pPr>
      <w:r>
        <w:rPr>
          <w:rFonts w:ascii="Arial" w:hAnsi="Arial" w:cs="Arial"/>
          <w:sz w:val="20"/>
        </w:rPr>
        <w:br w:type="page"/>
      </w:r>
    </w:p>
    <w:p w14:paraId="6065761C" w14:textId="123CCE82" w:rsidR="00D05AA7" w:rsidRPr="00E7130F" w:rsidRDefault="00D05AA7" w:rsidP="008A61FD">
      <w:pPr>
        <w:spacing w:before="120" w:after="120" w:line="240" w:lineRule="auto"/>
        <w:jc w:val="both"/>
        <w:rPr>
          <w:rFonts w:ascii="Arial" w:hAnsi="Arial" w:cs="Arial"/>
          <w:sz w:val="20"/>
        </w:rPr>
      </w:pPr>
      <w:r w:rsidRPr="00E7130F">
        <w:rPr>
          <w:rFonts w:ascii="Arial" w:hAnsi="Arial" w:cs="Arial"/>
          <w:sz w:val="20"/>
        </w:rPr>
        <w:lastRenderedPageBreak/>
        <w:t xml:space="preserve">Preglednica </w:t>
      </w:r>
      <w:r w:rsidR="00EB4423" w:rsidRPr="00E7130F">
        <w:rPr>
          <w:rFonts w:ascii="Arial" w:hAnsi="Arial" w:cs="Arial"/>
          <w:sz w:val="20"/>
        </w:rPr>
        <w:t>5</w:t>
      </w:r>
      <w:r w:rsidRPr="00E7130F">
        <w:rPr>
          <w:rFonts w:ascii="Arial" w:hAnsi="Arial" w:cs="Arial"/>
          <w:sz w:val="20"/>
        </w:rPr>
        <w:t>: Vrednost, število in deleži javnih naročil, objavljenih le na portalu javnih naročil</w:t>
      </w:r>
      <w:r w:rsidR="00AA7070" w:rsidRPr="00E7130F">
        <w:rPr>
          <w:rFonts w:ascii="Arial" w:hAnsi="Arial" w:cs="Arial"/>
          <w:sz w:val="20"/>
        </w:rPr>
        <w:t>,</w:t>
      </w:r>
      <w:r w:rsidRPr="00E7130F">
        <w:rPr>
          <w:rFonts w:ascii="Arial" w:hAnsi="Arial" w:cs="Arial"/>
          <w:sz w:val="20"/>
        </w:rPr>
        <w:t xml:space="preserve"> </w:t>
      </w:r>
      <w:r w:rsidR="00116B76" w:rsidRPr="00E7130F">
        <w:rPr>
          <w:rFonts w:ascii="Arial" w:hAnsi="Arial" w:cs="Arial"/>
          <w:sz w:val="20"/>
        </w:rPr>
        <w:t xml:space="preserve">po </w:t>
      </w:r>
      <w:r w:rsidRPr="00E7130F">
        <w:rPr>
          <w:rFonts w:ascii="Arial" w:hAnsi="Arial" w:cs="Arial"/>
          <w:sz w:val="20"/>
        </w:rPr>
        <w:t>področj</w:t>
      </w:r>
      <w:r w:rsidR="00116B76" w:rsidRPr="00E7130F">
        <w:rPr>
          <w:rFonts w:ascii="Arial" w:hAnsi="Arial" w:cs="Arial"/>
          <w:sz w:val="20"/>
        </w:rPr>
        <w:t>ih</w:t>
      </w:r>
      <w:r w:rsidRPr="00E7130F">
        <w:rPr>
          <w:rFonts w:ascii="Arial" w:hAnsi="Arial" w:cs="Arial"/>
          <w:sz w:val="20"/>
        </w:rPr>
        <w:t xml:space="preserve"> naročanja</w:t>
      </w:r>
    </w:p>
    <w:tbl>
      <w:tblPr>
        <w:tblW w:w="7138" w:type="dxa"/>
        <w:jc w:val="center"/>
        <w:tblCellMar>
          <w:left w:w="70" w:type="dxa"/>
          <w:right w:w="70" w:type="dxa"/>
        </w:tblCellMar>
        <w:tblLook w:val="04A0" w:firstRow="1" w:lastRow="0" w:firstColumn="1" w:lastColumn="0" w:noHBand="0" w:noVBand="1"/>
      </w:tblPr>
      <w:tblGrid>
        <w:gridCol w:w="1301"/>
        <w:gridCol w:w="1134"/>
        <w:gridCol w:w="2418"/>
        <w:gridCol w:w="1142"/>
        <w:gridCol w:w="1143"/>
      </w:tblGrid>
      <w:tr w:rsidR="00BB70C3" w:rsidRPr="00E7130F" w14:paraId="16E88EE8" w14:textId="77777777" w:rsidTr="00DB3AA6">
        <w:trPr>
          <w:trHeight w:val="255"/>
          <w:jc w:val="center"/>
        </w:trPr>
        <w:tc>
          <w:tcPr>
            <w:tcW w:w="13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6EF9C4" w14:textId="77777777" w:rsidR="00BB70C3" w:rsidRPr="00E7130F" w:rsidRDefault="00BB70C3" w:rsidP="007C1875">
            <w:pPr>
              <w:spacing w:after="0" w:line="240" w:lineRule="auto"/>
              <w:jc w:val="center"/>
              <w:rPr>
                <w:rFonts w:ascii="Arial" w:eastAsia="Times New Roman" w:hAnsi="Arial" w:cs="Arial"/>
                <w:color w:val="000000"/>
                <w:sz w:val="18"/>
                <w:szCs w:val="18"/>
                <w:lang w:eastAsia="sl-SI"/>
              </w:rPr>
            </w:pPr>
            <w:r w:rsidRPr="00E7130F">
              <w:rPr>
                <w:rFonts w:ascii="Arial" w:eastAsia="Times New Roman" w:hAnsi="Arial" w:cs="Arial"/>
                <w:color w:val="000000"/>
                <w:sz w:val="18"/>
                <w:szCs w:val="18"/>
                <w:lang w:eastAsia="sl-SI"/>
              </w:rPr>
              <w:t>Področje</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070794B" w14:textId="77777777" w:rsidR="00BB70C3" w:rsidRPr="00E7130F" w:rsidRDefault="00BB70C3" w:rsidP="007C1875">
            <w:pPr>
              <w:spacing w:after="0" w:line="240" w:lineRule="auto"/>
              <w:jc w:val="center"/>
              <w:rPr>
                <w:rFonts w:ascii="Arial" w:eastAsia="Times New Roman" w:hAnsi="Arial" w:cs="Arial"/>
                <w:color w:val="000000"/>
                <w:sz w:val="18"/>
                <w:szCs w:val="18"/>
                <w:lang w:eastAsia="sl-SI"/>
              </w:rPr>
            </w:pPr>
            <w:r w:rsidRPr="00E7130F">
              <w:rPr>
                <w:rFonts w:ascii="Arial" w:eastAsia="Times New Roman" w:hAnsi="Arial" w:cs="Arial"/>
                <w:color w:val="000000"/>
                <w:sz w:val="18"/>
                <w:szCs w:val="18"/>
                <w:lang w:eastAsia="sl-SI"/>
              </w:rPr>
              <w:t>Št. naročil</w:t>
            </w:r>
          </w:p>
        </w:tc>
        <w:tc>
          <w:tcPr>
            <w:tcW w:w="241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5EA08B6" w14:textId="77777777" w:rsidR="00BB70C3" w:rsidRPr="00E7130F" w:rsidRDefault="00BB70C3" w:rsidP="007C1875">
            <w:pPr>
              <w:spacing w:after="0" w:line="240" w:lineRule="auto"/>
              <w:jc w:val="center"/>
              <w:rPr>
                <w:rFonts w:ascii="Arial" w:eastAsia="Times New Roman" w:hAnsi="Arial" w:cs="Arial"/>
                <w:color w:val="000000"/>
                <w:sz w:val="18"/>
                <w:szCs w:val="18"/>
                <w:lang w:eastAsia="sl-SI"/>
              </w:rPr>
            </w:pPr>
            <w:r w:rsidRPr="00E7130F">
              <w:rPr>
                <w:rFonts w:ascii="Arial" w:eastAsia="Times New Roman" w:hAnsi="Arial" w:cs="Arial"/>
                <w:color w:val="000000"/>
                <w:sz w:val="18"/>
                <w:szCs w:val="18"/>
                <w:lang w:eastAsia="sl-SI"/>
              </w:rPr>
              <w:t>Pogodbena vrednost</w:t>
            </w:r>
          </w:p>
        </w:tc>
        <w:tc>
          <w:tcPr>
            <w:tcW w:w="114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E5D1F7B" w14:textId="77777777" w:rsidR="00BB70C3" w:rsidRPr="00E7130F" w:rsidRDefault="00BB70C3" w:rsidP="007C1875">
            <w:pPr>
              <w:spacing w:after="0" w:line="240" w:lineRule="auto"/>
              <w:jc w:val="center"/>
              <w:rPr>
                <w:rFonts w:ascii="Arial" w:eastAsia="Times New Roman" w:hAnsi="Arial" w:cs="Arial"/>
                <w:color w:val="000000"/>
                <w:sz w:val="18"/>
                <w:szCs w:val="18"/>
                <w:lang w:eastAsia="sl-SI"/>
              </w:rPr>
            </w:pPr>
            <w:r w:rsidRPr="00E7130F">
              <w:rPr>
                <w:rFonts w:ascii="Arial" w:eastAsia="Times New Roman" w:hAnsi="Arial" w:cs="Arial"/>
                <w:color w:val="000000"/>
                <w:sz w:val="18"/>
                <w:szCs w:val="18"/>
                <w:lang w:eastAsia="sl-SI"/>
              </w:rPr>
              <w:t>Delež v št. naročil</w:t>
            </w:r>
          </w:p>
        </w:tc>
        <w:tc>
          <w:tcPr>
            <w:tcW w:w="114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58DAB12" w14:textId="77777777" w:rsidR="00BB70C3" w:rsidRPr="00E7130F" w:rsidRDefault="00BB70C3" w:rsidP="007C1875">
            <w:pPr>
              <w:spacing w:after="0" w:line="240" w:lineRule="auto"/>
              <w:jc w:val="center"/>
              <w:rPr>
                <w:rFonts w:ascii="Arial" w:eastAsia="Times New Roman" w:hAnsi="Arial" w:cs="Arial"/>
                <w:color w:val="000000"/>
                <w:sz w:val="18"/>
                <w:szCs w:val="18"/>
                <w:lang w:eastAsia="sl-SI"/>
              </w:rPr>
            </w:pPr>
            <w:r w:rsidRPr="00E7130F">
              <w:rPr>
                <w:rFonts w:ascii="Arial" w:eastAsia="Times New Roman" w:hAnsi="Arial" w:cs="Arial"/>
                <w:color w:val="000000"/>
                <w:sz w:val="18"/>
                <w:szCs w:val="18"/>
                <w:lang w:eastAsia="sl-SI"/>
              </w:rPr>
              <w:t>Delež v vrednosti</w:t>
            </w:r>
          </w:p>
        </w:tc>
      </w:tr>
      <w:tr w:rsidR="00E7130F" w:rsidRPr="00E7130F" w14:paraId="19AEAA3B" w14:textId="77777777" w:rsidTr="00E7130F">
        <w:trPr>
          <w:trHeight w:val="255"/>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2BF2B0D" w14:textId="77777777" w:rsidR="00E7130F" w:rsidRPr="00E7130F" w:rsidRDefault="00E7130F" w:rsidP="00E7130F">
            <w:pPr>
              <w:spacing w:after="0" w:line="240" w:lineRule="auto"/>
              <w:rPr>
                <w:rFonts w:ascii="Arial" w:eastAsia="Times New Roman" w:hAnsi="Arial" w:cs="Arial"/>
                <w:color w:val="000000"/>
                <w:sz w:val="18"/>
                <w:szCs w:val="18"/>
                <w:lang w:eastAsia="sl-SI"/>
              </w:rPr>
            </w:pPr>
            <w:r w:rsidRPr="00E7130F">
              <w:rPr>
                <w:rFonts w:ascii="Arial" w:eastAsia="Times New Roman" w:hAnsi="Arial" w:cs="Arial"/>
                <w:color w:val="000000"/>
                <w:sz w:val="18"/>
                <w:szCs w:val="18"/>
                <w:lang w:eastAsia="sl-SI"/>
              </w:rPr>
              <w:t>Splošno</w:t>
            </w:r>
          </w:p>
        </w:tc>
        <w:tc>
          <w:tcPr>
            <w:tcW w:w="1134" w:type="dxa"/>
            <w:tcBorders>
              <w:top w:val="nil"/>
              <w:left w:val="nil"/>
              <w:bottom w:val="single" w:sz="4" w:space="0" w:color="auto"/>
              <w:right w:val="single" w:sz="4" w:space="0" w:color="auto"/>
            </w:tcBorders>
            <w:shd w:val="clear" w:color="auto" w:fill="auto"/>
            <w:vAlign w:val="center"/>
            <w:hideMark/>
          </w:tcPr>
          <w:p w14:paraId="2AE38A95" w14:textId="6F8B0E1E" w:rsidR="00E7130F" w:rsidRPr="00E7130F" w:rsidRDefault="00E7130F" w:rsidP="00E7130F">
            <w:pPr>
              <w:spacing w:after="0" w:line="240" w:lineRule="auto"/>
              <w:jc w:val="right"/>
              <w:rPr>
                <w:rFonts w:ascii="Arial" w:hAnsi="Arial" w:cs="Arial"/>
                <w:sz w:val="18"/>
                <w:szCs w:val="18"/>
              </w:rPr>
            </w:pPr>
            <w:r w:rsidRPr="00E7130F">
              <w:rPr>
                <w:rFonts w:ascii="Arial" w:hAnsi="Arial" w:cs="Arial"/>
                <w:sz w:val="18"/>
                <w:szCs w:val="18"/>
              </w:rPr>
              <w:t>5.654</w:t>
            </w:r>
          </w:p>
        </w:tc>
        <w:tc>
          <w:tcPr>
            <w:tcW w:w="2418" w:type="dxa"/>
            <w:tcBorders>
              <w:top w:val="nil"/>
              <w:left w:val="nil"/>
              <w:bottom w:val="single" w:sz="4" w:space="0" w:color="auto"/>
              <w:right w:val="single" w:sz="4" w:space="0" w:color="auto"/>
            </w:tcBorders>
            <w:shd w:val="clear" w:color="auto" w:fill="auto"/>
            <w:noWrap/>
            <w:vAlign w:val="center"/>
            <w:hideMark/>
          </w:tcPr>
          <w:p w14:paraId="76484F84" w14:textId="37C723D5" w:rsidR="00E7130F" w:rsidRPr="00E7130F" w:rsidRDefault="00E7130F" w:rsidP="00E7130F">
            <w:pPr>
              <w:spacing w:after="0" w:line="240" w:lineRule="auto"/>
              <w:jc w:val="right"/>
              <w:rPr>
                <w:rFonts w:ascii="Arial" w:hAnsi="Arial" w:cs="Arial"/>
                <w:sz w:val="18"/>
                <w:szCs w:val="18"/>
              </w:rPr>
            </w:pPr>
            <w:r w:rsidRPr="00E7130F">
              <w:rPr>
                <w:rFonts w:ascii="Arial" w:hAnsi="Arial" w:cs="Arial"/>
                <w:sz w:val="18"/>
                <w:szCs w:val="18"/>
              </w:rPr>
              <w:t>1.062.473.065</w:t>
            </w:r>
          </w:p>
        </w:tc>
        <w:tc>
          <w:tcPr>
            <w:tcW w:w="1142" w:type="dxa"/>
            <w:tcBorders>
              <w:top w:val="nil"/>
              <w:left w:val="nil"/>
              <w:bottom w:val="single" w:sz="4" w:space="0" w:color="auto"/>
              <w:right w:val="single" w:sz="4" w:space="0" w:color="auto"/>
            </w:tcBorders>
            <w:shd w:val="clear" w:color="auto" w:fill="auto"/>
            <w:vAlign w:val="center"/>
            <w:hideMark/>
          </w:tcPr>
          <w:p w14:paraId="4F1F6F8A" w14:textId="6530FD35" w:rsidR="00E7130F" w:rsidRPr="00E7130F" w:rsidRDefault="00E7130F" w:rsidP="00E7130F">
            <w:pPr>
              <w:spacing w:after="0" w:line="240" w:lineRule="auto"/>
              <w:jc w:val="right"/>
              <w:rPr>
                <w:rFonts w:ascii="Arial" w:hAnsi="Arial" w:cs="Arial"/>
                <w:sz w:val="18"/>
                <w:szCs w:val="18"/>
              </w:rPr>
            </w:pPr>
            <w:r w:rsidRPr="00E7130F">
              <w:rPr>
                <w:rFonts w:ascii="Arial" w:hAnsi="Arial" w:cs="Arial"/>
                <w:sz w:val="18"/>
                <w:szCs w:val="18"/>
              </w:rPr>
              <w:t>81,53 %</w:t>
            </w:r>
          </w:p>
        </w:tc>
        <w:tc>
          <w:tcPr>
            <w:tcW w:w="1143" w:type="dxa"/>
            <w:tcBorders>
              <w:top w:val="nil"/>
              <w:left w:val="nil"/>
              <w:bottom w:val="single" w:sz="4" w:space="0" w:color="auto"/>
              <w:right w:val="single" w:sz="4" w:space="0" w:color="auto"/>
            </w:tcBorders>
            <w:shd w:val="clear" w:color="auto" w:fill="auto"/>
            <w:vAlign w:val="center"/>
            <w:hideMark/>
          </w:tcPr>
          <w:p w14:paraId="0406F341" w14:textId="6C878437" w:rsidR="00E7130F" w:rsidRPr="00E7130F" w:rsidRDefault="00E7130F" w:rsidP="00E7130F">
            <w:pPr>
              <w:spacing w:after="0" w:line="240" w:lineRule="auto"/>
              <w:jc w:val="right"/>
              <w:rPr>
                <w:rFonts w:ascii="Arial" w:hAnsi="Arial" w:cs="Arial"/>
                <w:sz w:val="18"/>
                <w:szCs w:val="18"/>
              </w:rPr>
            </w:pPr>
            <w:r w:rsidRPr="00E7130F">
              <w:rPr>
                <w:rFonts w:ascii="Arial" w:hAnsi="Arial" w:cs="Arial"/>
                <w:sz w:val="18"/>
                <w:szCs w:val="18"/>
              </w:rPr>
              <w:t>85,80 %</w:t>
            </w:r>
          </w:p>
        </w:tc>
      </w:tr>
      <w:tr w:rsidR="00E7130F" w:rsidRPr="00E7130F" w14:paraId="2969D5EB" w14:textId="77777777" w:rsidTr="00E7130F">
        <w:trPr>
          <w:trHeight w:val="255"/>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CC553F3" w14:textId="3506D2BA" w:rsidR="00E7130F" w:rsidRPr="00E7130F" w:rsidRDefault="00E7130F" w:rsidP="00E7130F">
            <w:pPr>
              <w:spacing w:after="0" w:line="240" w:lineRule="auto"/>
              <w:rPr>
                <w:rFonts w:ascii="Arial" w:eastAsia="Times New Roman" w:hAnsi="Arial" w:cs="Arial"/>
                <w:color w:val="000000"/>
                <w:sz w:val="18"/>
                <w:szCs w:val="18"/>
                <w:lang w:eastAsia="sl-SI"/>
              </w:rPr>
            </w:pPr>
            <w:r w:rsidRPr="00E7130F">
              <w:rPr>
                <w:rFonts w:ascii="Arial" w:eastAsia="Times New Roman" w:hAnsi="Arial" w:cs="Arial"/>
                <w:color w:val="000000"/>
                <w:sz w:val="18"/>
                <w:szCs w:val="18"/>
                <w:lang w:eastAsia="sl-SI"/>
              </w:rPr>
              <w:t>Infrastrukturno</w:t>
            </w:r>
          </w:p>
        </w:tc>
        <w:tc>
          <w:tcPr>
            <w:tcW w:w="1134" w:type="dxa"/>
            <w:tcBorders>
              <w:top w:val="nil"/>
              <w:left w:val="nil"/>
              <w:bottom w:val="single" w:sz="4" w:space="0" w:color="auto"/>
              <w:right w:val="single" w:sz="4" w:space="0" w:color="auto"/>
            </w:tcBorders>
            <w:shd w:val="clear" w:color="auto" w:fill="auto"/>
            <w:vAlign w:val="center"/>
            <w:hideMark/>
          </w:tcPr>
          <w:p w14:paraId="19328C2A" w14:textId="22BAB3E5" w:rsidR="00E7130F" w:rsidRPr="00E7130F" w:rsidRDefault="00E7130F" w:rsidP="00E7130F">
            <w:pPr>
              <w:spacing w:after="0" w:line="240" w:lineRule="auto"/>
              <w:jc w:val="right"/>
              <w:rPr>
                <w:rFonts w:ascii="Arial" w:hAnsi="Arial" w:cs="Arial"/>
                <w:sz w:val="18"/>
                <w:szCs w:val="18"/>
              </w:rPr>
            </w:pPr>
            <w:r w:rsidRPr="00E7130F">
              <w:rPr>
                <w:rFonts w:ascii="Arial" w:hAnsi="Arial" w:cs="Arial"/>
                <w:sz w:val="18"/>
                <w:szCs w:val="18"/>
              </w:rPr>
              <w:t>1.221</w:t>
            </w:r>
          </w:p>
        </w:tc>
        <w:tc>
          <w:tcPr>
            <w:tcW w:w="2418" w:type="dxa"/>
            <w:tcBorders>
              <w:top w:val="nil"/>
              <w:left w:val="nil"/>
              <w:bottom w:val="single" w:sz="4" w:space="0" w:color="auto"/>
              <w:right w:val="single" w:sz="4" w:space="0" w:color="auto"/>
            </w:tcBorders>
            <w:shd w:val="clear" w:color="auto" w:fill="auto"/>
            <w:noWrap/>
            <w:vAlign w:val="center"/>
            <w:hideMark/>
          </w:tcPr>
          <w:p w14:paraId="4337D68A" w14:textId="1ED5422E" w:rsidR="00E7130F" w:rsidRPr="00E7130F" w:rsidRDefault="00E7130F" w:rsidP="00E7130F">
            <w:pPr>
              <w:spacing w:after="0" w:line="240" w:lineRule="auto"/>
              <w:jc w:val="right"/>
              <w:rPr>
                <w:rFonts w:ascii="Arial" w:hAnsi="Arial" w:cs="Arial"/>
                <w:sz w:val="18"/>
                <w:szCs w:val="18"/>
              </w:rPr>
            </w:pPr>
            <w:r w:rsidRPr="00E7130F">
              <w:rPr>
                <w:rFonts w:ascii="Arial" w:hAnsi="Arial" w:cs="Arial"/>
                <w:sz w:val="18"/>
                <w:szCs w:val="18"/>
              </w:rPr>
              <w:t>162.062.140</w:t>
            </w:r>
          </w:p>
        </w:tc>
        <w:tc>
          <w:tcPr>
            <w:tcW w:w="1142" w:type="dxa"/>
            <w:tcBorders>
              <w:top w:val="nil"/>
              <w:left w:val="nil"/>
              <w:bottom w:val="single" w:sz="4" w:space="0" w:color="auto"/>
              <w:right w:val="single" w:sz="4" w:space="0" w:color="auto"/>
            </w:tcBorders>
            <w:shd w:val="clear" w:color="auto" w:fill="auto"/>
            <w:vAlign w:val="center"/>
            <w:hideMark/>
          </w:tcPr>
          <w:p w14:paraId="502E3736" w14:textId="236ED331" w:rsidR="00E7130F" w:rsidRPr="00E7130F" w:rsidRDefault="00E7130F" w:rsidP="00E7130F">
            <w:pPr>
              <w:spacing w:after="0" w:line="240" w:lineRule="auto"/>
              <w:jc w:val="right"/>
              <w:rPr>
                <w:rFonts w:ascii="Arial" w:hAnsi="Arial" w:cs="Arial"/>
                <w:sz w:val="18"/>
                <w:szCs w:val="18"/>
              </w:rPr>
            </w:pPr>
            <w:r w:rsidRPr="00E7130F">
              <w:rPr>
                <w:rFonts w:ascii="Arial" w:hAnsi="Arial" w:cs="Arial"/>
                <w:sz w:val="18"/>
                <w:szCs w:val="18"/>
              </w:rPr>
              <w:t>17,61 %</w:t>
            </w:r>
          </w:p>
        </w:tc>
        <w:tc>
          <w:tcPr>
            <w:tcW w:w="1143" w:type="dxa"/>
            <w:tcBorders>
              <w:top w:val="nil"/>
              <w:left w:val="nil"/>
              <w:bottom w:val="single" w:sz="4" w:space="0" w:color="auto"/>
              <w:right w:val="single" w:sz="4" w:space="0" w:color="auto"/>
            </w:tcBorders>
            <w:shd w:val="clear" w:color="auto" w:fill="auto"/>
            <w:vAlign w:val="center"/>
            <w:hideMark/>
          </w:tcPr>
          <w:p w14:paraId="1808EC9C" w14:textId="25E82080" w:rsidR="00E7130F" w:rsidRPr="00E7130F" w:rsidRDefault="00E7130F" w:rsidP="00E7130F">
            <w:pPr>
              <w:spacing w:after="0" w:line="240" w:lineRule="auto"/>
              <w:jc w:val="right"/>
              <w:rPr>
                <w:rFonts w:ascii="Arial" w:hAnsi="Arial" w:cs="Arial"/>
                <w:sz w:val="18"/>
                <w:szCs w:val="18"/>
              </w:rPr>
            </w:pPr>
            <w:r w:rsidRPr="00E7130F">
              <w:rPr>
                <w:rFonts w:ascii="Arial" w:hAnsi="Arial" w:cs="Arial"/>
                <w:sz w:val="18"/>
                <w:szCs w:val="18"/>
              </w:rPr>
              <w:t>13,09 %</w:t>
            </w:r>
          </w:p>
        </w:tc>
      </w:tr>
      <w:tr w:rsidR="00E7130F" w:rsidRPr="00E7130F" w14:paraId="214307DA" w14:textId="77777777" w:rsidTr="00E7130F">
        <w:trPr>
          <w:trHeight w:val="255"/>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C406984" w14:textId="41535593" w:rsidR="00E7130F" w:rsidRPr="00E7130F" w:rsidRDefault="00E7130F" w:rsidP="00E7130F">
            <w:pPr>
              <w:spacing w:after="0" w:line="240" w:lineRule="auto"/>
              <w:rPr>
                <w:rFonts w:ascii="Arial" w:eastAsia="Times New Roman" w:hAnsi="Arial" w:cs="Arial"/>
                <w:color w:val="000000"/>
                <w:sz w:val="18"/>
                <w:szCs w:val="18"/>
                <w:lang w:eastAsia="sl-SI"/>
              </w:rPr>
            </w:pPr>
            <w:r w:rsidRPr="00E7130F">
              <w:rPr>
                <w:rFonts w:ascii="Arial" w:eastAsia="Times New Roman" w:hAnsi="Arial" w:cs="Arial"/>
                <w:color w:val="000000"/>
                <w:sz w:val="18"/>
                <w:szCs w:val="18"/>
                <w:lang w:eastAsia="sl-SI"/>
              </w:rPr>
              <w:t>Obrambno</w:t>
            </w:r>
          </w:p>
        </w:tc>
        <w:tc>
          <w:tcPr>
            <w:tcW w:w="1134" w:type="dxa"/>
            <w:tcBorders>
              <w:top w:val="nil"/>
              <w:left w:val="nil"/>
              <w:bottom w:val="single" w:sz="4" w:space="0" w:color="auto"/>
              <w:right w:val="single" w:sz="4" w:space="0" w:color="auto"/>
            </w:tcBorders>
            <w:shd w:val="clear" w:color="auto" w:fill="auto"/>
            <w:noWrap/>
            <w:vAlign w:val="center"/>
            <w:hideMark/>
          </w:tcPr>
          <w:p w14:paraId="2E1CE24B" w14:textId="5A1EDECC" w:rsidR="00E7130F" w:rsidRPr="00E7130F" w:rsidRDefault="00E7130F" w:rsidP="00E7130F">
            <w:pPr>
              <w:spacing w:after="0" w:line="240" w:lineRule="auto"/>
              <w:jc w:val="right"/>
              <w:rPr>
                <w:rFonts w:ascii="Arial" w:hAnsi="Arial" w:cs="Arial"/>
                <w:sz w:val="18"/>
                <w:szCs w:val="18"/>
              </w:rPr>
            </w:pPr>
            <w:r w:rsidRPr="00E7130F">
              <w:rPr>
                <w:rFonts w:ascii="Arial" w:hAnsi="Arial" w:cs="Arial"/>
                <w:sz w:val="18"/>
                <w:szCs w:val="18"/>
              </w:rPr>
              <w:t>60</w:t>
            </w:r>
          </w:p>
        </w:tc>
        <w:tc>
          <w:tcPr>
            <w:tcW w:w="2418" w:type="dxa"/>
            <w:tcBorders>
              <w:top w:val="nil"/>
              <w:left w:val="nil"/>
              <w:bottom w:val="single" w:sz="4" w:space="0" w:color="auto"/>
              <w:right w:val="single" w:sz="4" w:space="0" w:color="auto"/>
            </w:tcBorders>
            <w:shd w:val="clear" w:color="auto" w:fill="auto"/>
            <w:noWrap/>
            <w:vAlign w:val="center"/>
            <w:hideMark/>
          </w:tcPr>
          <w:p w14:paraId="25221BF5" w14:textId="1A68A40A" w:rsidR="00E7130F" w:rsidRPr="00E7130F" w:rsidRDefault="00E7130F" w:rsidP="00E7130F">
            <w:pPr>
              <w:spacing w:after="0" w:line="240" w:lineRule="auto"/>
              <w:jc w:val="right"/>
              <w:rPr>
                <w:rFonts w:ascii="Arial" w:hAnsi="Arial" w:cs="Arial"/>
                <w:sz w:val="18"/>
                <w:szCs w:val="18"/>
              </w:rPr>
            </w:pPr>
            <w:r w:rsidRPr="00E7130F">
              <w:rPr>
                <w:rFonts w:ascii="Arial" w:hAnsi="Arial" w:cs="Arial"/>
                <w:sz w:val="18"/>
                <w:szCs w:val="18"/>
              </w:rPr>
              <w:t>13.849.038</w:t>
            </w:r>
          </w:p>
        </w:tc>
        <w:tc>
          <w:tcPr>
            <w:tcW w:w="1142" w:type="dxa"/>
            <w:tcBorders>
              <w:top w:val="nil"/>
              <w:left w:val="nil"/>
              <w:bottom w:val="single" w:sz="4" w:space="0" w:color="auto"/>
              <w:right w:val="single" w:sz="4" w:space="0" w:color="auto"/>
            </w:tcBorders>
            <w:shd w:val="clear" w:color="auto" w:fill="auto"/>
            <w:vAlign w:val="center"/>
            <w:hideMark/>
          </w:tcPr>
          <w:p w14:paraId="28974F23" w14:textId="6DA8B8B8" w:rsidR="00E7130F" w:rsidRPr="00E7130F" w:rsidRDefault="00E7130F" w:rsidP="00E7130F">
            <w:pPr>
              <w:spacing w:after="0" w:line="240" w:lineRule="auto"/>
              <w:jc w:val="right"/>
              <w:rPr>
                <w:rFonts w:ascii="Arial" w:hAnsi="Arial" w:cs="Arial"/>
                <w:sz w:val="18"/>
                <w:szCs w:val="18"/>
              </w:rPr>
            </w:pPr>
            <w:r w:rsidRPr="00E7130F">
              <w:rPr>
                <w:rFonts w:ascii="Arial" w:hAnsi="Arial" w:cs="Arial"/>
                <w:sz w:val="18"/>
                <w:szCs w:val="18"/>
              </w:rPr>
              <w:t>0,87 %</w:t>
            </w:r>
          </w:p>
        </w:tc>
        <w:tc>
          <w:tcPr>
            <w:tcW w:w="1143" w:type="dxa"/>
            <w:tcBorders>
              <w:top w:val="nil"/>
              <w:left w:val="nil"/>
              <w:bottom w:val="single" w:sz="4" w:space="0" w:color="auto"/>
              <w:right w:val="single" w:sz="4" w:space="0" w:color="auto"/>
            </w:tcBorders>
            <w:shd w:val="clear" w:color="auto" w:fill="auto"/>
            <w:vAlign w:val="center"/>
            <w:hideMark/>
          </w:tcPr>
          <w:p w14:paraId="4FC3AFFB" w14:textId="5533A557" w:rsidR="00E7130F" w:rsidRPr="00E7130F" w:rsidRDefault="00E7130F" w:rsidP="00E7130F">
            <w:pPr>
              <w:spacing w:after="0" w:line="240" w:lineRule="auto"/>
              <w:jc w:val="right"/>
              <w:rPr>
                <w:rFonts w:ascii="Arial" w:hAnsi="Arial" w:cs="Arial"/>
                <w:sz w:val="18"/>
                <w:szCs w:val="18"/>
              </w:rPr>
            </w:pPr>
            <w:r w:rsidRPr="00E7130F">
              <w:rPr>
                <w:rFonts w:ascii="Arial" w:hAnsi="Arial" w:cs="Arial"/>
                <w:sz w:val="18"/>
                <w:szCs w:val="18"/>
              </w:rPr>
              <w:t>1,12 %</w:t>
            </w:r>
          </w:p>
        </w:tc>
      </w:tr>
      <w:tr w:rsidR="00E7130F" w:rsidRPr="00E7130F" w14:paraId="6F481E5A" w14:textId="77777777" w:rsidTr="00E7130F">
        <w:trPr>
          <w:trHeight w:val="255"/>
          <w:jc w:val="center"/>
        </w:trPr>
        <w:tc>
          <w:tcPr>
            <w:tcW w:w="130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390FD9B" w14:textId="77777777" w:rsidR="00E7130F" w:rsidRPr="00E7130F" w:rsidRDefault="00E7130F" w:rsidP="00E7130F">
            <w:pPr>
              <w:spacing w:after="0" w:line="240" w:lineRule="auto"/>
              <w:rPr>
                <w:rFonts w:ascii="Arial" w:eastAsia="Times New Roman" w:hAnsi="Arial" w:cs="Arial"/>
                <w:b/>
                <w:bCs/>
                <w:color w:val="000000"/>
                <w:sz w:val="18"/>
                <w:szCs w:val="18"/>
                <w:lang w:eastAsia="sl-SI"/>
              </w:rPr>
            </w:pPr>
            <w:r w:rsidRPr="00E7130F">
              <w:rPr>
                <w:rFonts w:ascii="Arial" w:eastAsia="Times New Roman" w:hAnsi="Arial" w:cs="Arial"/>
                <w:b/>
                <w:bCs/>
                <w:color w:val="000000"/>
                <w:sz w:val="18"/>
                <w:szCs w:val="18"/>
                <w:lang w:eastAsia="sl-SI"/>
              </w:rPr>
              <w:t>Skupaj</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hideMark/>
          </w:tcPr>
          <w:p w14:paraId="0C5DDAC2" w14:textId="6A5D5A07" w:rsidR="00E7130F" w:rsidRPr="00E7130F" w:rsidRDefault="00E7130F" w:rsidP="00E7130F">
            <w:pPr>
              <w:spacing w:after="0" w:line="240" w:lineRule="auto"/>
              <w:jc w:val="right"/>
              <w:rPr>
                <w:rFonts w:ascii="Arial" w:hAnsi="Arial" w:cs="Arial"/>
                <w:b/>
                <w:bCs/>
                <w:sz w:val="18"/>
                <w:szCs w:val="18"/>
              </w:rPr>
            </w:pPr>
            <w:r w:rsidRPr="00E7130F">
              <w:rPr>
                <w:rFonts w:ascii="Arial" w:hAnsi="Arial" w:cs="Arial"/>
                <w:b/>
                <w:bCs/>
                <w:sz w:val="18"/>
                <w:szCs w:val="18"/>
              </w:rPr>
              <w:t>6.935</w:t>
            </w:r>
          </w:p>
        </w:tc>
        <w:tc>
          <w:tcPr>
            <w:tcW w:w="2418" w:type="dxa"/>
            <w:tcBorders>
              <w:top w:val="nil"/>
              <w:left w:val="nil"/>
              <w:bottom w:val="single" w:sz="4" w:space="0" w:color="auto"/>
              <w:right w:val="single" w:sz="4" w:space="0" w:color="auto"/>
            </w:tcBorders>
            <w:shd w:val="clear" w:color="auto" w:fill="F2F2F2" w:themeFill="background1" w:themeFillShade="F2"/>
            <w:noWrap/>
            <w:vAlign w:val="center"/>
            <w:hideMark/>
          </w:tcPr>
          <w:p w14:paraId="079E07D7" w14:textId="19C0D773" w:rsidR="00E7130F" w:rsidRPr="00E7130F" w:rsidRDefault="00E7130F" w:rsidP="00E7130F">
            <w:pPr>
              <w:spacing w:after="0" w:line="240" w:lineRule="auto"/>
              <w:jc w:val="right"/>
              <w:rPr>
                <w:rFonts w:ascii="Arial" w:hAnsi="Arial" w:cs="Arial"/>
                <w:b/>
                <w:bCs/>
                <w:sz w:val="18"/>
                <w:szCs w:val="18"/>
              </w:rPr>
            </w:pPr>
            <w:r w:rsidRPr="00E7130F">
              <w:rPr>
                <w:rFonts w:ascii="Arial" w:hAnsi="Arial" w:cs="Arial"/>
                <w:b/>
                <w:bCs/>
                <w:sz w:val="18"/>
                <w:szCs w:val="18"/>
              </w:rPr>
              <w:t>1.238.384.243</w:t>
            </w:r>
          </w:p>
        </w:tc>
        <w:tc>
          <w:tcPr>
            <w:tcW w:w="1142" w:type="dxa"/>
            <w:tcBorders>
              <w:top w:val="nil"/>
              <w:left w:val="nil"/>
              <w:bottom w:val="single" w:sz="4" w:space="0" w:color="auto"/>
              <w:right w:val="single" w:sz="4" w:space="0" w:color="auto"/>
            </w:tcBorders>
            <w:shd w:val="clear" w:color="auto" w:fill="F2F2F2" w:themeFill="background1" w:themeFillShade="F2"/>
            <w:vAlign w:val="center"/>
            <w:hideMark/>
          </w:tcPr>
          <w:p w14:paraId="549F81E5" w14:textId="4D7A17F7" w:rsidR="00E7130F" w:rsidRPr="00E7130F" w:rsidRDefault="00E7130F" w:rsidP="00E7130F">
            <w:pPr>
              <w:spacing w:after="0" w:line="240" w:lineRule="auto"/>
              <w:jc w:val="right"/>
              <w:rPr>
                <w:rFonts w:ascii="Arial" w:hAnsi="Arial" w:cs="Arial"/>
                <w:b/>
                <w:bCs/>
                <w:sz w:val="18"/>
                <w:szCs w:val="18"/>
              </w:rPr>
            </w:pPr>
            <w:r w:rsidRPr="00E7130F">
              <w:rPr>
                <w:rFonts w:ascii="Arial" w:hAnsi="Arial" w:cs="Arial"/>
                <w:b/>
                <w:bCs/>
                <w:sz w:val="18"/>
                <w:szCs w:val="18"/>
              </w:rPr>
              <w:t>100,00 %</w:t>
            </w:r>
          </w:p>
        </w:tc>
        <w:tc>
          <w:tcPr>
            <w:tcW w:w="1143" w:type="dxa"/>
            <w:tcBorders>
              <w:top w:val="nil"/>
              <w:left w:val="nil"/>
              <w:bottom w:val="single" w:sz="4" w:space="0" w:color="auto"/>
              <w:right w:val="single" w:sz="4" w:space="0" w:color="auto"/>
            </w:tcBorders>
            <w:shd w:val="clear" w:color="auto" w:fill="F2F2F2" w:themeFill="background1" w:themeFillShade="F2"/>
            <w:vAlign w:val="center"/>
            <w:hideMark/>
          </w:tcPr>
          <w:p w14:paraId="06471047" w14:textId="282CD09F" w:rsidR="00E7130F" w:rsidRPr="00E7130F" w:rsidRDefault="00E7130F" w:rsidP="00E7130F">
            <w:pPr>
              <w:spacing w:after="0" w:line="240" w:lineRule="auto"/>
              <w:jc w:val="right"/>
              <w:rPr>
                <w:rFonts w:ascii="Arial" w:hAnsi="Arial" w:cs="Arial"/>
                <w:b/>
                <w:bCs/>
                <w:sz w:val="18"/>
                <w:szCs w:val="18"/>
              </w:rPr>
            </w:pPr>
            <w:r w:rsidRPr="00E7130F">
              <w:rPr>
                <w:rFonts w:ascii="Arial" w:hAnsi="Arial" w:cs="Arial"/>
                <w:b/>
                <w:bCs/>
                <w:sz w:val="18"/>
                <w:szCs w:val="18"/>
              </w:rPr>
              <w:t>100,00 %</w:t>
            </w:r>
          </w:p>
        </w:tc>
      </w:tr>
    </w:tbl>
    <w:p w14:paraId="487BB204" w14:textId="71682DE5" w:rsidR="00A83A44" w:rsidRPr="00E7130F" w:rsidRDefault="00A83A44" w:rsidP="00A83A44">
      <w:pPr>
        <w:pStyle w:val="ZADEVA"/>
        <w:jc w:val="both"/>
        <w:rPr>
          <w:rFonts w:cs="Arial"/>
          <w:bCs/>
          <w:szCs w:val="20"/>
          <w:lang w:val="sl-SI"/>
        </w:rPr>
      </w:pPr>
    </w:p>
    <w:p w14:paraId="2EC286B6" w14:textId="3095281F" w:rsidR="00D05AA7" w:rsidRPr="00E7130F" w:rsidRDefault="00D05AA7" w:rsidP="000D71AD">
      <w:pPr>
        <w:spacing w:after="0" w:line="240" w:lineRule="auto"/>
        <w:jc w:val="center"/>
        <w:rPr>
          <w:rFonts w:ascii="Arial" w:hAnsi="Arial" w:cs="Arial"/>
          <w:sz w:val="18"/>
        </w:rPr>
      </w:pPr>
      <w:r w:rsidRPr="00E7130F">
        <w:rPr>
          <w:rFonts w:ascii="Arial" w:hAnsi="Arial" w:cs="Arial"/>
          <w:sz w:val="18"/>
        </w:rPr>
        <w:t>Vir: Statistični podatki o javnih naročilih, oddanih v let</w:t>
      </w:r>
      <w:r w:rsidR="008D541C" w:rsidRPr="00E7130F">
        <w:rPr>
          <w:rFonts w:ascii="Arial" w:hAnsi="Arial" w:cs="Arial"/>
          <w:sz w:val="18"/>
        </w:rPr>
        <w:t>u 20</w:t>
      </w:r>
      <w:r w:rsidR="002E37C7" w:rsidRPr="00E7130F">
        <w:rPr>
          <w:rFonts w:ascii="Arial" w:hAnsi="Arial" w:cs="Arial"/>
          <w:sz w:val="18"/>
        </w:rPr>
        <w:t>2</w:t>
      </w:r>
      <w:r w:rsidR="00E7130F" w:rsidRPr="00E7130F">
        <w:rPr>
          <w:rFonts w:ascii="Arial" w:hAnsi="Arial" w:cs="Arial"/>
          <w:sz w:val="18"/>
        </w:rPr>
        <w:t>2</w:t>
      </w:r>
      <w:r w:rsidR="00AA31A7" w:rsidRPr="00E7130F">
        <w:rPr>
          <w:rFonts w:ascii="Arial" w:hAnsi="Arial" w:cs="Arial"/>
          <w:sz w:val="18"/>
        </w:rPr>
        <w:t>.</w:t>
      </w:r>
    </w:p>
    <w:p w14:paraId="5A9A8565" w14:textId="77777777" w:rsidR="000D71AD" w:rsidRPr="00E7130F" w:rsidRDefault="000D71AD" w:rsidP="00701C10">
      <w:pPr>
        <w:spacing w:after="240" w:line="240" w:lineRule="auto"/>
        <w:jc w:val="center"/>
        <w:rPr>
          <w:rFonts w:ascii="Arial" w:hAnsi="Arial" w:cs="Arial"/>
          <w:sz w:val="18"/>
        </w:rPr>
      </w:pPr>
    </w:p>
    <w:p w14:paraId="6EE42036" w14:textId="583AF3D5" w:rsidR="001409E3" w:rsidRPr="00FA3B20" w:rsidRDefault="001409E3" w:rsidP="000D71AD">
      <w:pPr>
        <w:pStyle w:val="Naslov3"/>
        <w:spacing w:before="0"/>
        <w:rPr>
          <w:rFonts w:ascii="Arial" w:hAnsi="Arial" w:cs="Arial"/>
          <w:sz w:val="22"/>
          <w:szCs w:val="22"/>
        </w:rPr>
      </w:pPr>
      <w:bookmarkStart w:id="17" w:name="_Toc141864052"/>
      <w:r w:rsidRPr="00FA3B20">
        <w:rPr>
          <w:rFonts w:ascii="Arial" w:hAnsi="Arial" w:cs="Arial"/>
          <w:sz w:val="22"/>
          <w:szCs w:val="22"/>
        </w:rPr>
        <w:t>2.2.2 Naročila, objavljena na portalu ja</w:t>
      </w:r>
      <w:r w:rsidR="00B83352" w:rsidRPr="00FA3B20">
        <w:rPr>
          <w:rFonts w:ascii="Arial" w:hAnsi="Arial" w:cs="Arial"/>
          <w:sz w:val="22"/>
          <w:szCs w:val="22"/>
        </w:rPr>
        <w:t>vnih naročil in v Uradnem listu Evropske unije</w:t>
      </w:r>
      <w:bookmarkEnd w:id="17"/>
    </w:p>
    <w:p w14:paraId="40B4AFBA" w14:textId="77777777" w:rsidR="00854405" w:rsidRPr="00FA3B20" w:rsidRDefault="00854405" w:rsidP="00854405">
      <w:pPr>
        <w:pStyle w:val="ZADEVA"/>
        <w:jc w:val="both"/>
        <w:rPr>
          <w:rFonts w:cs="Arial"/>
          <w:b w:val="0"/>
          <w:szCs w:val="20"/>
          <w:lang w:val="sl-SI"/>
        </w:rPr>
      </w:pPr>
    </w:p>
    <w:p w14:paraId="330C303B" w14:textId="0AD3A275" w:rsidR="00C00704" w:rsidRPr="00FA3B20" w:rsidRDefault="00C00704" w:rsidP="00C00704">
      <w:pPr>
        <w:tabs>
          <w:tab w:val="left" w:pos="567"/>
          <w:tab w:val="left" w:pos="993"/>
        </w:tabs>
        <w:spacing w:line="360" w:lineRule="auto"/>
        <w:jc w:val="both"/>
        <w:rPr>
          <w:rFonts w:ascii="Arial" w:hAnsi="Arial" w:cs="Arial"/>
          <w:bCs/>
          <w:sz w:val="20"/>
          <w:szCs w:val="20"/>
        </w:rPr>
      </w:pPr>
      <w:r w:rsidRPr="00FA3B20">
        <w:rPr>
          <w:rFonts w:ascii="Arial" w:hAnsi="Arial" w:cs="Arial"/>
          <w:bCs/>
          <w:sz w:val="20"/>
          <w:szCs w:val="20"/>
        </w:rPr>
        <w:t xml:space="preserve">Med naročili, ki so jih naročniki </w:t>
      </w:r>
      <w:r w:rsidR="00EC1BBF" w:rsidRPr="00FA3B20">
        <w:rPr>
          <w:rFonts w:ascii="Arial" w:hAnsi="Arial" w:cs="Arial"/>
          <w:bCs/>
          <w:sz w:val="20"/>
          <w:szCs w:val="20"/>
        </w:rPr>
        <w:t xml:space="preserve">leta </w:t>
      </w:r>
      <w:r w:rsidRPr="00FA3B20">
        <w:rPr>
          <w:rFonts w:ascii="Arial" w:hAnsi="Arial" w:cs="Arial"/>
          <w:bCs/>
          <w:sz w:val="20"/>
          <w:szCs w:val="20"/>
        </w:rPr>
        <w:t>20</w:t>
      </w:r>
      <w:r w:rsidR="009A7A16" w:rsidRPr="00FA3B20">
        <w:rPr>
          <w:rFonts w:ascii="Arial" w:hAnsi="Arial" w:cs="Arial"/>
          <w:bCs/>
          <w:sz w:val="20"/>
          <w:szCs w:val="20"/>
        </w:rPr>
        <w:t>2</w:t>
      </w:r>
      <w:r w:rsidR="00FA3B20" w:rsidRPr="00FA3B20">
        <w:rPr>
          <w:rFonts w:ascii="Arial" w:hAnsi="Arial" w:cs="Arial"/>
          <w:bCs/>
          <w:sz w:val="20"/>
          <w:szCs w:val="20"/>
        </w:rPr>
        <w:t>2</w:t>
      </w:r>
      <w:r w:rsidRPr="00FA3B20">
        <w:rPr>
          <w:rFonts w:ascii="Arial" w:hAnsi="Arial" w:cs="Arial"/>
          <w:bCs/>
          <w:sz w:val="20"/>
          <w:szCs w:val="20"/>
        </w:rPr>
        <w:t xml:space="preserve"> objavili na portalu javnih naročil in v Uradnem listu Evropske unije, prevladujejo naročila blaga, ki številčno </w:t>
      </w:r>
      <w:r w:rsidR="00EC1BBF" w:rsidRPr="00FA3B20">
        <w:rPr>
          <w:rFonts w:ascii="Arial" w:hAnsi="Arial" w:cs="Arial"/>
          <w:bCs/>
          <w:sz w:val="20"/>
          <w:szCs w:val="20"/>
        </w:rPr>
        <w:t xml:space="preserve">pomenijo </w:t>
      </w:r>
      <w:r w:rsidR="00932166" w:rsidRPr="00FA3B20">
        <w:rPr>
          <w:rFonts w:ascii="Arial" w:hAnsi="Arial" w:cs="Arial"/>
          <w:bCs/>
          <w:sz w:val="20"/>
          <w:szCs w:val="20"/>
        </w:rPr>
        <w:t>7</w:t>
      </w:r>
      <w:r w:rsidR="00FA3B20" w:rsidRPr="00FA3B20">
        <w:rPr>
          <w:rFonts w:ascii="Arial" w:hAnsi="Arial" w:cs="Arial"/>
          <w:bCs/>
          <w:sz w:val="20"/>
          <w:szCs w:val="20"/>
        </w:rPr>
        <w:t>8,74</w:t>
      </w:r>
      <w:r w:rsidR="00AA31A7" w:rsidRPr="00FA3B20">
        <w:rPr>
          <w:rFonts w:ascii="Arial" w:hAnsi="Arial" w:cs="Arial"/>
          <w:bCs/>
          <w:sz w:val="20"/>
          <w:szCs w:val="20"/>
        </w:rPr>
        <w:t> </w:t>
      </w:r>
      <w:r w:rsidR="00AC0027">
        <w:rPr>
          <w:rFonts w:ascii="Arial" w:hAnsi="Arial" w:cs="Arial"/>
          <w:bCs/>
          <w:sz w:val="20"/>
          <w:szCs w:val="20"/>
        </w:rPr>
        <w:t>odstotka</w:t>
      </w:r>
      <w:r w:rsidRPr="00FA3B20">
        <w:rPr>
          <w:rFonts w:ascii="Arial" w:hAnsi="Arial" w:cs="Arial"/>
          <w:bCs/>
          <w:sz w:val="20"/>
          <w:szCs w:val="20"/>
        </w:rPr>
        <w:t xml:space="preserve"> vseh objavljenih naročil, vrednostno pa </w:t>
      </w:r>
      <w:r w:rsidR="00FA3B20" w:rsidRPr="00FA3B20">
        <w:rPr>
          <w:rFonts w:ascii="Arial" w:hAnsi="Arial" w:cs="Arial"/>
          <w:bCs/>
          <w:sz w:val="20"/>
          <w:szCs w:val="20"/>
        </w:rPr>
        <w:t>39,04</w:t>
      </w:r>
      <w:r w:rsidR="00AA31A7" w:rsidRPr="00FA3B20">
        <w:rPr>
          <w:rFonts w:ascii="Arial" w:hAnsi="Arial" w:cs="Arial"/>
          <w:bCs/>
          <w:sz w:val="20"/>
          <w:szCs w:val="20"/>
        </w:rPr>
        <w:t> </w:t>
      </w:r>
      <w:r w:rsidR="00AC0027">
        <w:rPr>
          <w:rFonts w:ascii="Arial" w:hAnsi="Arial" w:cs="Arial"/>
          <w:bCs/>
          <w:sz w:val="20"/>
          <w:szCs w:val="20"/>
        </w:rPr>
        <w:t>odstotka</w:t>
      </w:r>
      <w:r w:rsidRPr="00FA3B20">
        <w:rPr>
          <w:rFonts w:ascii="Arial" w:hAnsi="Arial" w:cs="Arial"/>
          <w:bCs/>
          <w:sz w:val="20"/>
          <w:szCs w:val="20"/>
        </w:rPr>
        <w:t xml:space="preserve">. </w:t>
      </w:r>
    </w:p>
    <w:p w14:paraId="7502CA81" w14:textId="31C27CEA" w:rsidR="00897156" w:rsidRDefault="00C00704" w:rsidP="00897156">
      <w:pPr>
        <w:tabs>
          <w:tab w:val="left" w:pos="567"/>
          <w:tab w:val="left" w:pos="993"/>
        </w:tabs>
        <w:spacing w:line="360" w:lineRule="auto"/>
        <w:jc w:val="both"/>
        <w:rPr>
          <w:rFonts w:ascii="Arial" w:hAnsi="Arial" w:cs="Arial"/>
          <w:bCs/>
          <w:sz w:val="20"/>
          <w:szCs w:val="20"/>
        </w:rPr>
      </w:pPr>
      <w:r w:rsidRPr="00FA3B20">
        <w:rPr>
          <w:rFonts w:ascii="Arial" w:hAnsi="Arial" w:cs="Arial"/>
          <w:bCs/>
          <w:sz w:val="20"/>
          <w:szCs w:val="20"/>
        </w:rPr>
        <w:t>V</w:t>
      </w:r>
      <w:r w:rsidR="00AA7070" w:rsidRPr="00FA3B20">
        <w:rPr>
          <w:rFonts w:ascii="Arial" w:hAnsi="Arial" w:cs="Arial"/>
          <w:bCs/>
          <w:sz w:val="20"/>
          <w:szCs w:val="20"/>
        </w:rPr>
        <w:t>ečina</w:t>
      </w:r>
      <w:r w:rsidRPr="00FA3B20">
        <w:rPr>
          <w:rFonts w:ascii="Arial" w:hAnsi="Arial" w:cs="Arial"/>
          <w:bCs/>
          <w:sz w:val="20"/>
          <w:szCs w:val="20"/>
        </w:rPr>
        <w:t xml:space="preserve"> naročil, ki so jih naročniki let</w:t>
      </w:r>
      <w:r w:rsidR="00EC1BBF" w:rsidRPr="00FA3B20">
        <w:rPr>
          <w:rFonts w:ascii="Arial" w:hAnsi="Arial" w:cs="Arial"/>
          <w:bCs/>
          <w:sz w:val="20"/>
          <w:szCs w:val="20"/>
        </w:rPr>
        <w:t>a</w:t>
      </w:r>
      <w:r w:rsidRPr="00FA3B20">
        <w:rPr>
          <w:rFonts w:ascii="Arial" w:hAnsi="Arial" w:cs="Arial"/>
          <w:bCs/>
          <w:sz w:val="20"/>
          <w:szCs w:val="20"/>
        </w:rPr>
        <w:t xml:space="preserve"> 20</w:t>
      </w:r>
      <w:r w:rsidR="009A7A16" w:rsidRPr="00FA3B20">
        <w:rPr>
          <w:rFonts w:ascii="Arial" w:hAnsi="Arial" w:cs="Arial"/>
          <w:bCs/>
          <w:sz w:val="20"/>
          <w:szCs w:val="20"/>
        </w:rPr>
        <w:t>2</w:t>
      </w:r>
      <w:r w:rsidR="00FA3B20" w:rsidRPr="00FA3B20">
        <w:rPr>
          <w:rFonts w:ascii="Arial" w:hAnsi="Arial" w:cs="Arial"/>
          <w:bCs/>
          <w:sz w:val="20"/>
          <w:szCs w:val="20"/>
        </w:rPr>
        <w:t>2</w:t>
      </w:r>
      <w:r w:rsidRPr="00FA3B20">
        <w:rPr>
          <w:rFonts w:ascii="Arial" w:hAnsi="Arial" w:cs="Arial"/>
          <w:bCs/>
          <w:sz w:val="20"/>
          <w:szCs w:val="20"/>
        </w:rPr>
        <w:t xml:space="preserve"> objavili na portalu javnih naročil in v Uradnem listu Evropske unije, je bila </w:t>
      </w:r>
      <w:r w:rsidR="00C44197" w:rsidRPr="00FA3B20">
        <w:rPr>
          <w:rFonts w:ascii="Arial" w:hAnsi="Arial" w:cs="Arial"/>
          <w:bCs/>
          <w:sz w:val="20"/>
          <w:szCs w:val="20"/>
        </w:rPr>
        <w:t>s</w:t>
      </w:r>
      <w:r w:rsidRPr="00FA3B20">
        <w:rPr>
          <w:rFonts w:ascii="Arial" w:hAnsi="Arial" w:cs="Arial"/>
          <w:bCs/>
          <w:sz w:val="20"/>
          <w:szCs w:val="20"/>
        </w:rPr>
        <w:t xml:space="preserve"> splošne</w:t>
      </w:r>
      <w:r w:rsidR="00C44197" w:rsidRPr="00FA3B20">
        <w:rPr>
          <w:rFonts w:ascii="Arial" w:hAnsi="Arial" w:cs="Arial"/>
          <w:bCs/>
          <w:sz w:val="20"/>
          <w:szCs w:val="20"/>
        </w:rPr>
        <w:t>ga</w:t>
      </w:r>
      <w:r w:rsidRPr="00FA3B20">
        <w:rPr>
          <w:rFonts w:ascii="Arial" w:hAnsi="Arial" w:cs="Arial"/>
          <w:bCs/>
          <w:sz w:val="20"/>
          <w:szCs w:val="20"/>
        </w:rPr>
        <w:t xml:space="preserve"> področj</w:t>
      </w:r>
      <w:r w:rsidR="00C44197" w:rsidRPr="00FA3B20">
        <w:rPr>
          <w:rFonts w:ascii="Arial" w:hAnsi="Arial" w:cs="Arial"/>
          <w:bCs/>
          <w:sz w:val="20"/>
          <w:szCs w:val="20"/>
        </w:rPr>
        <w:t>a</w:t>
      </w:r>
      <w:r w:rsidRPr="00FA3B20">
        <w:rPr>
          <w:rFonts w:ascii="Arial" w:hAnsi="Arial" w:cs="Arial"/>
          <w:bCs/>
          <w:sz w:val="20"/>
          <w:szCs w:val="20"/>
        </w:rPr>
        <w:t xml:space="preserve">. V skupnem številu objavljenih naročil </w:t>
      </w:r>
      <w:r w:rsidR="00EC1BBF" w:rsidRPr="00FA3B20">
        <w:rPr>
          <w:rFonts w:ascii="Arial" w:hAnsi="Arial" w:cs="Arial"/>
          <w:bCs/>
          <w:sz w:val="20"/>
          <w:szCs w:val="20"/>
        </w:rPr>
        <w:t xml:space="preserve">pomenijo </w:t>
      </w:r>
      <w:r w:rsidR="00183ED8" w:rsidRPr="00FA3B20">
        <w:rPr>
          <w:rFonts w:ascii="Arial" w:hAnsi="Arial" w:cs="Arial"/>
          <w:bCs/>
          <w:sz w:val="20"/>
          <w:szCs w:val="20"/>
        </w:rPr>
        <w:t>9</w:t>
      </w:r>
      <w:r w:rsidR="00FA3B20" w:rsidRPr="00FA3B20">
        <w:rPr>
          <w:rFonts w:ascii="Arial" w:hAnsi="Arial" w:cs="Arial"/>
          <w:bCs/>
          <w:sz w:val="20"/>
          <w:szCs w:val="20"/>
        </w:rPr>
        <w:t>3,96</w:t>
      </w:r>
      <w:r w:rsidR="00AA31A7" w:rsidRPr="00FA3B20">
        <w:rPr>
          <w:rFonts w:ascii="Arial" w:hAnsi="Arial" w:cs="Arial"/>
          <w:bCs/>
          <w:sz w:val="20"/>
          <w:szCs w:val="20"/>
        </w:rPr>
        <w:t> </w:t>
      </w:r>
      <w:r w:rsidR="00AC0027">
        <w:rPr>
          <w:rFonts w:ascii="Arial" w:hAnsi="Arial" w:cs="Arial"/>
          <w:bCs/>
          <w:sz w:val="20"/>
          <w:szCs w:val="20"/>
        </w:rPr>
        <w:t>odstotka</w:t>
      </w:r>
      <w:r w:rsidRPr="00FA3B20">
        <w:rPr>
          <w:rFonts w:ascii="Arial" w:hAnsi="Arial" w:cs="Arial"/>
          <w:bCs/>
          <w:sz w:val="20"/>
          <w:szCs w:val="20"/>
        </w:rPr>
        <w:t>, vredn</w:t>
      </w:r>
      <w:r w:rsidR="00C44197" w:rsidRPr="00FA3B20">
        <w:rPr>
          <w:rFonts w:ascii="Arial" w:hAnsi="Arial" w:cs="Arial"/>
          <w:bCs/>
          <w:sz w:val="20"/>
          <w:szCs w:val="20"/>
        </w:rPr>
        <w:t>os</w:t>
      </w:r>
      <w:r w:rsidRPr="00FA3B20">
        <w:rPr>
          <w:rFonts w:ascii="Arial" w:hAnsi="Arial" w:cs="Arial"/>
          <w:bCs/>
          <w:sz w:val="20"/>
          <w:szCs w:val="20"/>
        </w:rPr>
        <w:t xml:space="preserve">tno pa </w:t>
      </w:r>
      <w:r w:rsidR="00FA3B20" w:rsidRPr="00FA3B20">
        <w:rPr>
          <w:rFonts w:ascii="Arial" w:hAnsi="Arial" w:cs="Arial"/>
          <w:bCs/>
          <w:sz w:val="20"/>
          <w:szCs w:val="20"/>
        </w:rPr>
        <w:t>82,51</w:t>
      </w:r>
      <w:r w:rsidR="00AA31A7" w:rsidRPr="00FA3B20">
        <w:rPr>
          <w:rFonts w:ascii="Arial" w:hAnsi="Arial" w:cs="Arial"/>
          <w:bCs/>
          <w:sz w:val="20"/>
          <w:szCs w:val="20"/>
        </w:rPr>
        <w:t> </w:t>
      </w:r>
      <w:r w:rsidR="00AC0027">
        <w:rPr>
          <w:rFonts w:ascii="Arial" w:hAnsi="Arial" w:cs="Arial"/>
          <w:bCs/>
          <w:sz w:val="20"/>
          <w:szCs w:val="20"/>
        </w:rPr>
        <w:t>odstotka</w:t>
      </w:r>
      <w:r w:rsidRPr="00FA3B20">
        <w:rPr>
          <w:rFonts w:ascii="Arial" w:hAnsi="Arial" w:cs="Arial"/>
          <w:bCs/>
          <w:sz w:val="20"/>
          <w:szCs w:val="20"/>
        </w:rPr>
        <w:t>.</w:t>
      </w:r>
    </w:p>
    <w:p w14:paraId="17FED4CB" w14:textId="071FB891" w:rsidR="008D541C" w:rsidRPr="00FA3B20" w:rsidRDefault="008D541C" w:rsidP="00897156">
      <w:pPr>
        <w:tabs>
          <w:tab w:val="left" w:pos="567"/>
          <w:tab w:val="left" w:pos="993"/>
        </w:tabs>
        <w:spacing w:line="360" w:lineRule="auto"/>
        <w:jc w:val="both"/>
        <w:rPr>
          <w:rFonts w:ascii="Arial" w:hAnsi="Arial" w:cs="Arial"/>
          <w:sz w:val="20"/>
        </w:rPr>
      </w:pPr>
      <w:r w:rsidRPr="00FA3B20">
        <w:rPr>
          <w:rFonts w:ascii="Arial" w:hAnsi="Arial" w:cs="Arial"/>
          <w:sz w:val="20"/>
        </w:rPr>
        <w:t xml:space="preserve">Preglednica </w:t>
      </w:r>
      <w:r w:rsidR="00EB4423" w:rsidRPr="00FA3B20">
        <w:rPr>
          <w:rFonts w:ascii="Arial" w:hAnsi="Arial" w:cs="Arial"/>
          <w:sz w:val="20"/>
        </w:rPr>
        <w:t>6</w:t>
      </w:r>
      <w:r w:rsidRPr="00FA3B20">
        <w:rPr>
          <w:rFonts w:ascii="Arial" w:hAnsi="Arial" w:cs="Arial"/>
          <w:sz w:val="20"/>
        </w:rPr>
        <w:t xml:space="preserve">: Vrednost, število in deleži javnih naročil, objavljenih </w:t>
      </w:r>
      <w:r w:rsidR="00BB70C3" w:rsidRPr="00FA3B20">
        <w:rPr>
          <w:rFonts w:ascii="Arial" w:hAnsi="Arial" w:cs="Arial"/>
          <w:sz w:val="20"/>
        </w:rPr>
        <w:t xml:space="preserve">na </w:t>
      </w:r>
      <w:r w:rsidR="00E61134" w:rsidRPr="00FA3B20">
        <w:rPr>
          <w:rFonts w:ascii="Arial" w:hAnsi="Arial" w:cs="Arial"/>
          <w:sz w:val="20"/>
        </w:rPr>
        <w:t xml:space="preserve">portalu javnih naročil in v </w:t>
      </w:r>
      <w:r w:rsidR="002B7C52" w:rsidRPr="00FA3B20">
        <w:rPr>
          <w:rFonts w:ascii="Arial" w:hAnsi="Arial" w:cs="Arial"/>
          <w:sz w:val="20"/>
        </w:rPr>
        <w:t>U</w:t>
      </w:r>
      <w:r w:rsidR="00E61134" w:rsidRPr="00FA3B20">
        <w:rPr>
          <w:rFonts w:ascii="Arial" w:hAnsi="Arial" w:cs="Arial"/>
          <w:sz w:val="20"/>
        </w:rPr>
        <w:t>radnem listu Evropske unije, po področj</w:t>
      </w:r>
      <w:r w:rsidR="00116B76" w:rsidRPr="00FA3B20">
        <w:rPr>
          <w:rFonts w:ascii="Arial" w:hAnsi="Arial" w:cs="Arial"/>
          <w:sz w:val="20"/>
        </w:rPr>
        <w:t>ih</w:t>
      </w:r>
      <w:r w:rsidR="00E61134" w:rsidRPr="00FA3B20">
        <w:rPr>
          <w:rFonts w:ascii="Arial" w:hAnsi="Arial" w:cs="Arial"/>
          <w:sz w:val="20"/>
        </w:rPr>
        <w:t xml:space="preserve"> in predmet</w:t>
      </w:r>
      <w:r w:rsidR="00116B76" w:rsidRPr="00FA3B20">
        <w:rPr>
          <w:rFonts w:ascii="Arial" w:hAnsi="Arial" w:cs="Arial"/>
          <w:sz w:val="20"/>
        </w:rPr>
        <w:t>ih</w:t>
      </w:r>
      <w:r w:rsidR="00E61134" w:rsidRPr="00FA3B20">
        <w:rPr>
          <w:rFonts w:ascii="Arial" w:hAnsi="Arial" w:cs="Arial"/>
          <w:sz w:val="20"/>
        </w:rPr>
        <w:t xml:space="preserve"> naročanja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1"/>
        <w:gridCol w:w="1104"/>
        <w:gridCol w:w="851"/>
        <w:gridCol w:w="1984"/>
        <w:gridCol w:w="992"/>
        <w:gridCol w:w="993"/>
        <w:gridCol w:w="992"/>
        <w:gridCol w:w="992"/>
      </w:tblGrid>
      <w:tr w:rsidR="009A7A16" w:rsidRPr="00FA3B20" w14:paraId="746446C1" w14:textId="77777777" w:rsidTr="000C3ABF">
        <w:trPr>
          <w:trHeight w:val="255"/>
        </w:trPr>
        <w:tc>
          <w:tcPr>
            <w:tcW w:w="1301" w:type="dxa"/>
            <w:shd w:val="clear" w:color="auto" w:fill="F2F2F2" w:themeFill="background1" w:themeFillShade="F2"/>
            <w:vAlign w:val="center"/>
            <w:hideMark/>
          </w:tcPr>
          <w:p w14:paraId="2EF2FC3C" w14:textId="77777777" w:rsidR="00810FC3" w:rsidRPr="00FA3B20" w:rsidRDefault="00810FC3" w:rsidP="00810FC3">
            <w:pPr>
              <w:spacing w:after="0" w:line="240" w:lineRule="auto"/>
              <w:jc w:val="center"/>
              <w:rPr>
                <w:rFonts w:ascii="Arial" w:eastAsia="Times New Roman" w:hAnsi="Arial" w:cs="Arial"/>
                <w:color w:val="000000"/>
                <w:sz w:val="18"/>
                <w:szCs w:val="18"/>
                <w:lang w:eastAsia="sl-SI"/>
              </w:rPr>
            </w:pPr>
            <w:r w:rsidRPr="00FA3B20">
              <w:rPr>
                <w:rFonts w:ascii="Arial" w:eastAsia="Times New Roman" w:hAnsi="Arial" w:cs="Arial"/>
                <w:color w:val="000000"/>
                <w:sz w:val="18"/>
                <w:szCs w:val="18"/>
                <w:lang w:eastAsia="sl-SI"/>
              </w:rPr>
              <w:t>Področje</w:t>
            </w:r>
          </w:p>
        </w:tc>
        <w:tc>
          <w:tcPr>
            <w:tcW w:w="1104" w:type="dxa"/>
            <w:shd w:val="clear" w:color="auto" w:fill="F2F2F2" w:themeFill="background1" w:themeFillShade="F2"/>
            <w:vAlign w:val="center"/>
            <w:hideMark/>
          </w:tcPr>
          <w:p w14:paraId="3AC3594C" w14:textId="77777777" w:rsidR="00810FC3" w:rsidRPr="00FA3B20" w:rsidRDefault="00810FC3" w:rsidP="00810FC3">
            <w:pPr>
              <w:spacing w:after="0" w:line="240" w:lineRule="auto"/>
              <w:jc w:val="center"/>
              <w:rPr>
                <w:rFonts w:ascii="Arial" w:eastAsia="Times New Roman" w:hAnsi="Arial" w:cs="Arial"/>
                <w:color w:val="000000"/>
                <w:sz w:val="18"/>
                <w:szCs w:val="18"/>
                <w:lang w:eastAsia="sl-SI"/>
              </w:rPr>
            </w:pPr>
            <w:r w:rsidRPr="00FA3B20">
              <w:rPr>
                <w:rFonts w:ascii="Arial" w:eastAsia="Times New Roman" w:hAnsi="Arial" w:cs="Arial"/>
                <w:color w:val="000000"/>
                <w:sz w:val="18"/>
                <w:szCs w:val="18"/>
                <w:lang w:eastAsia="sl-SI"/>
              </w:rPr>
              <w:t xml:space="preserve">Predmet </w:t>
            </w:r>
          </w:p>
        </w:tc>
        <w:tc>
          <w:tcPr>
            <w:tcW w:w="851" w:type="dxa"/>
            <w:shd w:val="clear" w:color="auto" w:fill="F2F2F2" w:themeFill="background1" w:themeFillShade="F2"/>
            <w:vAlign w:val="center"/>
            <w:hideMark/>
          </w:tcPr>
          <w:p w14:paraId="734587BB" w14:textId="77777777" w:rsidR="00810FC3" w:rsidRPr="00FA3B20" w:rsidRDefault="00810FC3" w:rsidP="00810FC3">
            <w:pPr>
              <w:spacing w:after="0" w:line="240" w:lineRule="auto"/>
              <w:jc w:val="center"/>
              <w:rPr>
                <w:rFonts w:ascii="Arial" w:eastAsia="Times New Roman" w:hAnsi="Arial" w:cs="Arial"/>
                <w:color w:val="000000"/>
                <w:sz w:val="18"/>
                <w:szCs w:val="18"/>
                <w:lang w:eastAsia="sl-SI"/>
              </w:rPr>
            </w:pPr>
            <w:r w:rsidRPr="00FA3B20">
              <w:rPr>
                <w:rFonts w:ascii="Arial" w:eastAsia="Times New Roman" w:hAnsi="Arial" w:cs="Arial"/>
                <w:color w:val="000000"/>
                <w:sz w:val="18"/>
                <w:szCs w:val="18"/>
                <w:lang w:eastAsia="sl-SI"/>
              </w:rPr>
              <w:t>Št. naročil</w:t>
            </w:r>
          </w:p>
        </w:tc>
        <w:tc>
          <w:tcPr>
            <w:tcW w:w="1984" w:type="dxa"/>
            <w:shd w:val="clear" w:color="auto" w:fill="F2F2F2" w:themeFill="background1" w:themeFillShade="F2"/>
            <w:vAlign w:val="center"/>
            <w:hideMark/>
          </w:tcPr>
          <w:p w14:paraId="4D7509F1" w14:textId="77777777" w:rsidR="00810FC3" w:rsidRPr="00FA3B20" w:rsidRDefault="00810FC3" w:rsidP="00810FC3">
            <w:pPr>
              <w:spacing w:after="0" w:line="240" w:lineRule="auto"/>
              <w:jc w:val="center"/>
              <w:rPr>
                <w:rFonts w:ascii="Arial" w:eastAsia="Times New Roman" w:hAnsi="Arial" w:cs="Arial"/>
                <w:color w:val="000000"/>
                <w:sz w:val="18"/>
                <w:szCs w:val="18"/>
                <w:lang w:eastAsia="sl-SI"/>
              </w:rPr>
            </w:pPr>
            <w:r w:rsidRPr="00FA3B20">
              <w:rPr>
                <w:rFonts w:ascii="Arial" w:eastAsia="Times New Roman" w:hAnsi="Arial" w:cs="Arial"/>
                <w:color w:val="000000"/>
                <w:sz w:val="18"/>
                <w:szCs w:val="18"/>
                <w:lang w:eastAsia="sl-SI"/>
              </w:rPr>
              <w:t>Pogodbena vrednost</w:t>
            </w:r>
          </w:p>
        </w:tc>
        <w:tc>
          <w:tcPr>
            <w:tcW w:w="992" w:type="dxa"/>
            <w:shd w:val="clear" w:color="auto" w:fill="F2F2F2" w:themeFill="background1" w:themeFillShade="F2"/>
            <w:vAlign w:val="center"/>
            <w:hideMark/>
          </w:tcPr>
          <w:p w14:paraId="1E0B49E1" w14:textId="77777777" w:rsidR="00810FC3" w:rsidRPr="00FA3B20" w:rsidRDefault="00810FC3" w:rsidP="00810FC3">
            <w:pPr>
              <w:spacing w:after="0" w:line="240" w:lineRule="auto"/>
              <w:jc w:val="center"/>
              <w:rPr>
                <w:rFonts w:ascii="Arial" w:eastAsia="Times New Roman" w:hAnsi="Arial" w:cs="Arial"/>
                <w:color w:val="000000"/>
                <w:sz w:val="18"/>
                <w:szCs w:val="18"/>
                <w:lang w:eastAsia="sl-SI"/>
              </w:rPr>
            </w:pPr>
            <w:r w:rsidRPr="00FA3B20">
              <w:rPr>
                <w:rFonts w:ascii="Arial" w:eastAsia="Times New Roman" w:hAnsi="Arial" w:cs="Arial"/>
                <w:color w:val="000000"/>
                <w:sz w:val="18"/>
                <w:szCs w:val="18"/>
                <w:lang w:eastAsia="sl-SI"/>
              </w:rPr>
              <w:t>Delež v št. naročil na vseh področjih</w:t>
            </w:r>
          </w:p>
        </w:tc>
        <w:tc>
          <w:tcPr>
            <w:tcW w:w="993" w:type="dxa"/>
            <w:shd w:val="clear" w:color="auto" w:fill="F2F2F2" w:themeFill="background1" w:themeFillShade="F2"/>
            <w:vAlign w:val="center"/>
            <w:hideMark/>
          </w:tcPr>
          <w:p w14:paraId="321E02B9" w14:textId="77777777" w:rsidR="00810FC3" w:rsidRPr="00FA3B20" w:rsidRDefault="00810FC3" w:rsidP="00810FC3">
            <w:pPr>
              <w:spacing w:after="0" w:line="240" w:lineRule="auto"/>
              <w:jc w:val="center"/>
              <w:rPr>
                <w:rFonts w:ascii="Arial" w:eastAsia="Times New Roman" w:hAnsi="Arial" w:cs="Arial"/>
                <w:color w:val="000000"/>
                <w:sz w:val="18"/>
                <w:szCs w:val="18"/>
                <w:lang w:eastAsia="sl-SI"/>
              </w:rPr>
            </w:pPr>
            <w:r w:rsidRPr="00FA3B20">
              <w:rPr>
                <w:rFonts w:ascii="Arial" w:eastAsia="Times New Roman" w:hAnsi="Arial" w:cs="Arial"/>
                <w:color w:val="000000"/>
                <w:sz w:val="18"/>
                <w:szCs w:val="18"/>
                <w:lang w:eastAsia="sl-SI"/>
              </w:rPr>
              <w:t>Delež v vrednosti na vseh področjih</w:t>
            </w:r>
          </w:p>
        </w:tc>
        <w:tc>
          <w:tcPr>
            <w:tcW w:w="992" w:type="dxa"/>
            <w:shd w:val="clear" w:color="auto" w:fill="F2F2F2" w:themeFill="background1" w:themeFillShade="F2"/>
            <w:vAlign w:val="center"/>
            <w:hideMark/>
          </w:tcPr>
          <w:p w14:paraId="445B3FB5" w14:textId="77777777" w:rsidR="00810FC3" w:rsidRPr="00FA3B20" w:rsidRDefault="00810FC3" w:rsidP="00810FC3">
            <w:pPr>
              <w:spacing w:after="0" w:line="240" w:lineRule="auto"/>
              <w:jc w:val="center"/>
              <w:rPr>
                <w:rFonts w:ascii="Arial" w:eastAsia="Times New Roman" w:hAnsi="Arial" w:cs="Arial"/>
                <w:color w:val="000000"/>
                <w:sz w:val="18"/>
                <w:szCs w:val="18"/>
                <w:lang w:eastAsia="sl-SI"/>
              </w:rPr>
            </w:pPr>
            <w:r w:rsidRPr="00FA3B20">
              <w:rPr>
                <w:rFonts w:ascii="Arial" w:eastAsia="Times New Roman" w:hAnsi="Arial" w:cs="Arial"/>
                <w:color w:val="000000"/>
                <w:sz w:val="18"/>
                <w:szCs w:val="18"/>
                <w:lang w:eastAsia="sl-SI"/>
              </w:rPr>
              <w:t>Delež v št. naročil na istem področju</w:t>
            </w:r>
          </w:p>
        </w:tc>
        <w:tc>
          <w:tcPr>
            <w:tcW w:w="992" w:type="dxa"/>
            <w:shd w:val="clear" w:color="auto" w:fill="F2F2F2" w:themeFill="background1" w:themeFillShade="F2"/>
            <w:vAlign w:val="center"/>
            <w:hideMark/>
          </w:tcPr>
          <w:p w14:paraId="7BA7EE0C" w14:textId="77777777" w:rsidR="00810FC3" w:rsidRPr="00FA3B20" w:rsidRDefault="00810FC3" w:rsidP="00810FC3">
            <w:pPr>
              <w:spacing w:after="0" w:line="240" w:lineRule="auto"/>
              <w:jc w:val="center"/>
              <w:rPr>
                <w:rFonts w:ascii="Arial" w:eastAsia="Times New Roman" w:hAnsi="Arial" w:cs="Arial"/>
                <w:color w:val="000000"/>
                <w:sz w:val="18"/>
                <w:szCs w:val="18"/>
                <w:lang w:eastAsia="sl-SI"/>
              </w:rPr>
            </w:pPr>
            <w:r w:rsidRPr="00FA3B20">
              <w:rPr>
                <w:rFonts w:ascii="Arial" w:eastAsia="Times New Roman" w:hAnsi="Arial" w:cs="Arial"/>
                <w:color w:val="000000"/>
                <w:sz w:val="18"/>
                <w:szCs w:val="18"/>
                <w:lang w:eastAsia="sl-SI"/>
              </w:rPr>
              <w:t>Delež v vrednosti na istem področju</w:t>
            </w:r>
          </w:p>
        </w:tc>
      </w:tr>
      <w:tr w:rsidR="00FA3B20" w:rsidRPr="00FA3B20" w14:paraId="0C900C3A" w14:textId="77777777" w:rsidTr="000C3ABF">
        <w:trPr>
          <w:trHeight w:val="255"/>
        </w:trPr>
        <w:tc>
          <w:tcPr>
            <w:tcW w:w="1301" w:type="dxa"/>
            <w:vMerge w:val="restart"/>
            <w:shd w:val="clear" w:color="auto" w:fill="auto"/>
            <w:vAlign w:val="center"/>
            <w:hideMark/>
          </w:tcPr>
          <w:p w14:paraId="45FB58D1" w14:textId="77777777" w:rsidR="00FA3B20" w:rsidRPr="00FA3B20" w:rsidRDefault="00FA3B20" w:rsidP="00FA3B20">
            <w:pPr>
              <w:spacing w:after="0" w:line="240" w:lineRule="auto"/>
              <w:rPr>
                <w:rFonts w:ascii="Arial" w:eastAsia="Times New Roman" w:hAnsi="Arial" w:cs="Arial"/>
                <w:color w:val="000000"/>
                <w:sz w:val="18"/>
                <w:szCs w:val="18"/>
                <w:lang w:eastAsia="sl-SI"/>
              </w:rPr>
            </w:pPr>
            <w:r w:rsidRPr="00FA3B20">
              <w:rPr>
                <w:rFonts w:ascii="Arial" w:eastAsia="Times New Roman" w:hAnsi="Arial" w:cs="Arial"/>
                <w:color w:val="000000"/>
                <w:sz w:val="18"/>
                <w:szCs w:val="18"/>
                <w:lang w:eastAsia="sl-SI"/>
              </w:rPr>
              <w:t>Splošno</w:t>
            </w:r>
          </w:p>
        </w:tc>
        <w:tc>
          <w:tcPr>
            <w:tcW w:w="1104" w:type="dxa"/>
            <w:shd w:val="clear" w:color="auto" w:fill="auto"/>
            <w:vAlign w:val="center"/>
            <w:hideMark/>
          </w:tcPr>
          <w:p w14:paraId="568B29C2" w14:textId="77777777" w:rsidR="00FA3B20" w:rsidRPr="00FA3B20" w:rsidRDefault="00FA3B20" w:rsidP="00FA3B20">
            <w:pPr>
              <w:spacing w:after="0" w:line="240" w:lineRule="auto"/>
              <w:rPr>
                <w:rFonts w:ascii="Arial" w:eastAsia="Times New Roman" w:hAnsi="Arial" w:cs="Arial"/>
                <w:color w:val="000000"/>
                <w:sz w:val="18"/>
                <w:szCs w:val="18"/>
                <w:lang w:eastAsia="sl-SI"/>
              </w:rPr>
            </w:pPr>
            <w:r w:rsidRPr="00FA3B20">
              <w:rPr>
                <w:rFonts w:ascii="Arial" w:eastAsia="Times New Roman" w:hAnsi="Arial" w:cs="Arial"/>
                <w:color w:val="000000"/>
                <w:sz w:val="18"/>
                <w:szCs w:val="18"/>
                <w:lang w:eastAsia="sl-SI"/>
              </w:rPr>
              <w:t>Blago</w:t>
            </w:r>
          </w:p>
        </w:tc>
        <w:tc>
          <w:tcPr>
            <w:tcW w:w="851" w:type="dxa"/>
            <w:shd w:val="clear" w:color="auto" w:fill="auto"/>
            <w:vAlign w:val="center"/>
            <w:hideMark/>
          </w:tcPr>
          <w:p w14:paraId="33CDDD88" w14:textId="6A053428" w:rsidR="00FA3B20" w:rsidRPr="00FA3B20" w:rsidRDefault="00FA3B20" w:rsidP="00FA3B20">
            <w:pPr>
              <w:spacing w:after="0" w:line="240" w:lineRule="auto"/>
              <w:jc w:val="right"/>
              <w:rPr>
                <w:rFonts w:ascii="Arial" w:hAnsi="Arial" w:cs="Arial"/>
                <w:sz w:val="18"/>
                <w:szCs w:val="18"/>
              </w:rPr>
            </w:pPr>
            <w:r w:rsidRPr="00FA3B20">
              <w:rPr>
                <w:rFonts w:ascii="Arial" w:hAnsi="Arial" w:cs="Arial"/>
                <w:sz w:val="18"/>
                <w:szCs w:val="18"/>
              </w:rPr>
              <w:t>7.734</w:t>
            </w:r>
          </w:p>
        </w:tc>
        <w:tc>
          <w:tcPr>
            <w:tcW w:w="1984" w:type="dxa"/>
            <w:shd w:val="clear" w:color="auto" w:fill="auto"/>
            <w:vAlign w:val="center"/>
            <w:hideMark/>
          </w:tcPr>
          <w:p w14:paraId="7BB86D04" w14:textId="20C20010" w:rsidR="00FA3B20" w:rsidRPr="00FA3B20" w:rsidRDefault="00FA3B20" w:rsidP="00FA3B20">
            <w:pPr>
              <w:spacing w:after="0" w:line="240" w:lineRule="auto"/>
              <w:jc w:val="right"/>
              <w:rPr>
                <w:rFonts w:ascii="Arial" w:hAnsi="Arial" w:cs="Arial"/>
                <w:sz w:val="18"/>
                <w:szCs w:val="18"/>
              </w:rPr>
            </w:pPr>
            <w:r w:rsidRPr="00FA3B20">
              <w:rPr>
                <w:rFonts w:ascii="Arial" w:hAnsi="Arial" w:cs="Arial"/>
                <w:sz w:val="18"/>
                <w:szCs w:val="18"/>
              </w:rPr>
              <w:t>1.313.806.311</w:t>
            </w:r>
          </w:p>
        </w:tc>
        <w:tc>
          <w:tcPr>
            <w:tcW w:w="992" w:type="dxa"/>
            <w:shd w:val="clear" w:color="auto" w:fill="auto"/>
            <w:noWrap/>
            <w:vAlign w:val="center"/>
            <w:hideMark/>
          </w:tcPr>
          <w:p w14:paraId="6D3B1EA6" w14:textId="233A00AB" w:rsidR="00FA3B20" w:rsidRPr="00FA3B20" w:rsidRDefault="00FA3B20" w:rsidP="00FA3B20">
            <w:pPr>
              <w:spacing w:after="0" w:line="240" w:lineRule="auto"/>
              <w:jc w:val="right"/>
              <w:rPr>
                <w:rFonts w:ascii="Arial" w:hAnsi="Arial" w:cs="Arial"/>
                <w:sz w:val="18"/>
                <w:szCs w:val="18"/>
              </w:rPr>
            </w:pPr>
            <w:r w:rsidRPr="00FA3B20">
              <w:rPr>
                <w:rFonts w:ascii="Arial" w:hAnsi="Arial" w:cs="Arial"/>
                <w:sz w:val="18"/>
                <w:szCs w:val="18"/>
              </w:rPr>
              <w:t>75,17 %</w:t>
            </w:r>
          </w:p>
        </w:tc>
        <w:tc>
          <w:tcPr>
            <w:tcW w:w="993" w:type="dxa"/>
            <w:shd w:val="clear" w:color="auto" w:fill="auto"/>
            <w:noWrap/>
            <w:vAlign w:val="center"/>
            <w:hideMark/>
          </w:tcPr>
          <w:p w14:paraId="1013AB3D" w14:textId="24C3510C" w:rsidR="00FA3B20" w:rsidRPr="00FA3B20" w:rsidRDefault="00FA3B20" w:rsidP="00FA3B20">
            <w:pPr>
              <w:spacing w:after="0" w:line="240" w:lineRule="auto"/>
              <w:jc w:val="right"/>
              <w:rPr>
                <w:rFonts w:ascii="Arial" w:hAnsi="Arial" w:cs="Arial"/>
                <w:sz w:val="18"/>
                <w:szCs w:val="18"/>
              </w:rPr>
            </w:pPr>
            <w:r w:rsidRPr="00FA3B20">
              <w:rPr>
                <w:rFonts w:ascii="Arial" w:hAnsi="Arial" w:cs="Arial"/>
                <w:sz w:val="18"/>
                <w:szCs w:val="18"/>
              </w:rPr>
              <w:t>31,44 %</w:t>
            </w:r>
          </w:p>
        </w:tc>
        <w:tc>
          <w:tcPr>
            <w:tcW w:w="992" w:type="dxa"/>
            <w:shd w:val="clear" w:color="auto" w:fill="auto"/>
            <w:noWrap/>
            <w:vAlign w:val="center"/>
            <w:hideMark/>
          </w:tcPr>
          <w:p w14:paraId="5D9CEA0C" w14:textId="1794DDD9" w:rsidR="00FA3B20" w:rsidRPr="00FA3B20" w:rsidRDefault="00FA3B20" w:rsidP="00FA3B20">
            <w:pPr>
              <w:spacing w:after="0" w:line="240" w:lineRule="auto"/>
              <w:jc w:val="right"/>
              <w:rPr>
                <w:rFonts w:ascii="Arial" w:hAnsi="Arial" w:cs="Arial"/>
                <w:sz w:val="18"/>
                <w:szCs w:val="18"/>
              </w:rPr>
            </w:pPr>
            <w:r w:rsidRPr="00FA3B20">
              <w:rPr>
                <w:rFonts w:ascii="Arial" w:hAnsi="Arial" w:cs="Arial"/>
                <w:sz w:val="18"/>
                <w:szCs w:val="18"/>
              </w:rPr>
              <w:t>80,00 %</w:t>
            </w:r>
          </w:p>
        </w:tc>
        <w:tc>
          <w:tcPr>
            <w:tcW w:w="992" w:type="dxa"/>
            <w:shd w:val="clear" w:color="auto" w:fill="auto"/>
            <w:noWrap/>
            <w:vAlign w:val="center"/>
            <w:hideMark/>
          </w:tcPr>
          <w:p w14:paraId="67CBB29C" w14:textId="63C5965E" w:rsidR="00FA3B20" w:rsidRPr="00FA3B20" w:rsidRDefault="00FA3B20" w:rsidP="00FA3B20">
            <w:pPr>
              <w:spacing w:after="0" w:line="240" w:lineRule="auto"/>
              <w:jc w:val="right"/>
              <w:rPr>
                <w:rFonts w:ascii="Arial" w:hAnsi="Arial" w:cs="Arial"/>
                <w:sz w:val="18"/>
                <w:szCs w:val="18"/>
              </w:rPr>
            </w:pPr>
            <w:r w:rsidRPr="00FA3B20">
              <w:rPr>
                <w:rFonts w:ascii="Arial" w:hAnsi="Arial" w:cs="Arial"/>
                <w:sz w:val="18"/>
                <w:szCs w:val="18"/>
              </w:rPr>
              <w:t>38,10</w:t>
            </w:r>
            <w:r w:rsidR="008639E4">
              <w:rPr>
                <w:rFonts w:ascii="Arial" w:hAnsi="Arial" w:cs="Arial"/>
                <w:sz w:val="18"/>
                <w:szCs w:val="18"/>
              </w:rPr>
              <w:t xml:space="preserve"> </w:t>
            </w:r>
            <w:r w:rsidRPr="00FA3B20">
              <w:rPr>
                <w:rFonts w:ascii="Arial" w:hAnsi="Arial" w:cs="Arial"/>
                <w:sz w:val="18"/>
                <w:szCs w:val="18"/>
              </w:rPr>
              <w:t>%</w:t>
            </w:r>
          </w:p>
        </w:tc>
      </w:tr>
      <w:tr w:rsidR="00FA3B20" w:rsidRPr="00FA3B20" w14:paraId="5BFD04AF" w14:textId="77777777" w:rsidTr="000C3ABF">
        <w:trPr>
          <w:trHeight w:val="255"/>
        </w:trPr>
        <w:tc>
          <w:tcPr>
            <w:tcW w:w="1301" w:type="dxa"/>
            <w:vMerge/>
            <w:vAlign w:val="center"/>
            <w:hideMark/>
          </w:tcPr>
          <w:p w14:paraId="0D31C2B9" w14:textId="77777777" w:rsidR="00FA3B20" w:rsidRPr="00FA3B20" w:rsidRDefault="00FA3B20" w:rsidP="00FA3B20">
            <w:pPr>
              <w:spacing w:after="0" w:line="240" w:lineRule="auto"/>
              <w:rPr>
                <w:rFonts w:ascii="Arial" w:eastAsia="Times New Roman" w:hAnsi="Arial" w:cs="Arial"/>
                <w:color w:val="000000"/>
                <w:sz w:val="18"/>
                <w:szCs w:val="18"/>
                <w:lang w:eastAsia="sl-SI"/>
              </w:rPr>
            </w:pPr>
          </w:p>
        </w:tc>
        <w:tc>
          <w:tcPr>
            <w:tcW w:w="1104" w:type="dxa"/>
            <w:shd w:val="clear" w:color="auto" w:fill="auto"/>
            <w:vAlign w:val="center"/>
            <w:hideMark/>
          </w:tcPr>
          <w:p w14:paraId="4907E8C8" w14:textId="77777777" w:rsidR="00FA3B20" w:rsidRPr="00FA3B20" w:rsidRDefault="00FA3B20" w:rsidP="00FA3B20">
            <w:pPr>
              <w:spacing w:after="0" w:line="240" w:lineRule="auto"/>
              <w:rPr>
                <w:rFonts w:ascii="Arial" w:eastAsia="Times New Roman" w:hAnsi="Arial" w:cs="Arial"/>
                <w:color w:val="000000"/>
                <w:sz w:val="18"/>
                <w:szCs w:val="18"/>
                <w:lang w:eastAsia="sl-SI"/>
              </w:rPr>
            </w:pPr>
            <w:r w:rsidRPr="00FA3B20">
              <w:rPr>
                <w:rFonts w:ascii="Arial" w:eastAsia="Times New Roman" w:hAnsi="Arial" w:cs="Arial"/>
                <w:color w:val="000000"/>
                <w:sz w:val="18"/>
                <w:szCs w:val="18"/>
                <w:lang w:eastAsia="sl-SI"/>
              </w:rPr>
              <w:t>Storitve</w:t>
            </w:r>
          </w:p>
        </w:tc>
        <w:tc>
          <w:tcPr>
            <w:tcW w:w="851" w:type="dxa"/>
            <w:shd w:val="clear" w:color="auto" w:fill="auto"/>
            <w:vAlign w:val="center"/>
            <w:hideMark/>
          </w:tcPr>
          <w:p w14:paraId="4F7A15A0" w14:textId="33D3D42C" w:rsidR="00FA3B20" w:rsidRPr="00FA3B20" w:rsidRDefault="00FA3B20" w:rsidP="00FA3B20">
            <w:pPr>
              <w:spacing w:after="0" w:line="240" w:lineRule="auto"/>
              <w:jc w:val="right"/>
              <w:rPr>
                <w:rFonts w:ascii="Arial" w:hAnsi="Arial" w:cs="Arial"/>
                <w:sz w:val="18"/>
                <w:szCs w:val="18"/>
              </w:rPr>
            </w:pPr>
            <w:r w:rsidRPr="00FA3B20">
              <w:rPr>
                <w:rFonts w:ascii="Arial" w:hAnsi="Arial" w:cs="Arial"/>
                <w:sz w:val="18"/>
                <w:szCs w:val="18"/>
              </w:rPr>
              <w:t>1.802</w:t>
            </w:r>
          </w:p>
        </w:tc>
        <w:tc>
          <w:tcPr>
            <w:tcW w:w="1984" w:type="dxa"/>
            <w:shd w:val="clear" w:color="auto" w:fill="auto"/>
            <w:vAlign w:val="center"/>
            <w:hideMark/>
          </w:tcPr>
          <w:p w14:paraId="199C7438" w14:textId="11235C01" w:rsidR="00FA3B20" w:rsidRPr="00FA3B20" w:rsidRDefault="00FA3B20" w:rsidP="00FA3B20">
            <w:pPr>
              <w:spacing w:after="0" w:line="240" w:lineRule="auto"/>
              <w:jc w:val="right"/>
              <w:rPr>
                <w:rFonts w:ascii="Arial" w:hAnsi="Arial" w:cs="Arial"/>
                <w:sz w:val="18"/>
                <w:szCs w:val="18"/>
              </w:rPr>
            </w:pPr>
            <w:r w:rsidRPr="00FA3B20">
              <w:rPr>
                <w:rFonts w:ascii="Arial" w:hAnsi="Arial" w:cs="Arial"/>
                <w:sz w:val="18"/>
                <w:szCs w:val="18"/>
              </w:rPr>
              <w:t>1.239.343.029</w:t>
            </w:r>
          </w:p>
        </w:tc>
        <w:tc>
          <w:tcPr>
            <w:tcW w:w="992" w:type="dxa"/>
            <w:shd w:val="clear" w:color="auto" w:fill="auto"/>
            <w:noWrap/>
            <w:vAlign w:val="center"/>
            <w:hideMark/>
          </w:tcPr>
          <w:p w14:paraId="22233AB3" w14:textId="00DA6E9D" w:rsidR="00FA3B20" w:rsidRPr="00FA3B20" w:rsidRDefault="00FA3B20" w:rsidP="00FA3B20">
            <w:pPr>
              <w:spacing w:after="0" w:line="240" w:lineRule="auto"/>
              <w:jc w:val="right"/>
              <w:rPr>
                <w:rFonts w:ascii="Arial" w:hAnsi="Arial" w:cs="Arial"/>
                <w:sz w:val="18"/>
                <w:szCs w:val="18"/>
              </w:rPr>
            </w:pPr>
            <w:r w:rsidRPr="00FA3B20">
              <w:rPr>
                <w:rFonts w:ascii="Arial" w:hAnsi="Arial" w:cs="Arial"/>
                <w:sz w:val="18"/>
                <w:szCs w:val="18"/>
              </w:rPr>
              <w:t>17,51 %</w:t>
            </w:r>
          </w:p>
        </w:tc>
        <w:tc>
          <w:tcPr>
            <w:tcW w:w="993" w:type="dxa"/>
            <w:shd w:val="clear" w:color="auto" w:fill="auto"/>
            <w:noWrap/>
            <w:vAlign w:val="center"/>
            <w:hideMark/>
          </w:tcPr>
          <w:p w14:paraId="3C8F9AE7" w14:textId="59149DD4" w:rsidR="00FA3B20" w:rsidRPr="00FA3B20" w:rsidRDefault="00FA3B20" w:rsidP="00FA3B20">
            <w:pPr>
              <w:spacing w:after="0" w:line="240" w:lineRule="auto"/>
              <w:jc w:val="right"/>
              <w:rPr>
                <w:rFonts w:ascii="Arial" w:hAnsi="Arial" w:cs="Arial"/>
                <w:sz w:val="18"/>
                <w:szCs w:val="18"/>
              </w:rPr>
            </w:pPr>
            <w:r w:rsidRPr="00FA3B20">
              <w:rPr>
                <w:rFonts w:ascii="Arial" w:hAnsi="Arial" w:cs="Arial"/>
                <w:sz w:val="18"/>
                <w:szCs w:val="18"/>
              </w:rPr>
              <w:t>29,66 %</w:t>
            </w:r>
          </w:p>
        </w:tc>
        <w:tc>
          <w:tcPr>
            <w:tcW w:w="992" w:type="dxa"/>
            <w:shd w:val="clear" w:color="auto" w:fill="auto"/>
            <w:noWrap/>
            <w:vAlign w:val="center"/>
            <w:hideMark/>
          </w:tcPr>
          <w:p w14:paraId="6C365A65" w14:textId="6A647AE3" w:rsidR="00FA3B20" w:rsidRPr="00FA3B20" w:rsidRDefault="00FA3B20" w:rsidP="00FA3B20">
            <w:pPr>
              <w:spacing w:after="0" w:line="240" w:lineRule="auto"/>
              <w:jc w:val="right"/>
              <w:rPr>
                <w:rFonts w:ascii="Arial" w:hAnsi="Arial" w:cs="Arial"/>
                <w:sz w:val="18"/>
                <w:szCs w:val="18"/>
              </w:rPr>
            </w:pPr>
            <w:r w:rsidRPr="00FA3B20">
              <w:rPr>
                <w:rFonts w:ascii="Arial" w:hAnsi="Arial" w:cs="Arial"/>
                <w:sz w:val="18"/>
                <w:szCs w:val="18"/>
              </w:rPr>
              <w:t>18,64 %</w:t>
            </w:r>
          </w:p>
        </w:tc>
        <w:tc>
          <w:tcPr>
            <w:tcW w:w="992" w:type="dxa"/>
            <w:shd w:val="clear" w:color="auto" w:fill="auto"/>
            <w:noWrap/>
            <w:vAlign w:val="center"/>
            <w:hideMark/>
          </w:tcPr>
          <w:p w14:paraId="7C36C3A8" w14:textId="2E2676C1" w:rsidR="00FA3B20" w:rsidRPr="00FA3B20" w:rsidRDefault="00FA3B20" w:rsidP="00FA3B20">
            <w:pPr>
              <w:spacing w:after="0" w:line="240" w:lineRule="auto"/>
              <w:jc w:val="right"/>
              <w:rPr>
                <w:rFonts w:ascii="Arial" w:hAnsi="Arial" w:cs="Arial"/>
                <w:sz w:val="18"/>
                <w:szCs w:val="18"/>
              </w:rPr>
            </w:pPr>
            <w:r w:rsidRPr="00FA3B20">
              <w:rPr>
                <w:rFonts w:ascii="Arial" w:hAnsi="Arial" w:cs="Arial"/>
                <w:sz w:val="18"/>
                <w:szCs w:val="18"/>
              </w:rPr>
              <w:t>35,94</w:t>
            </w:r>
            <w:r w:rsidR="008639E4">
              <w:rPr>
                <w:rFonts w:ascii="Arial" w:hAnsi="Arial" w:cs="Arial"/>
                <w:sz w:val="18"/>
                <w:szCs w:val="18"/>
              </w:rPr>
              <w:t xml:space="preserve"> </w:t>
            </w:r>
            <w:r w:rsidRPr="00FA3B20">
              <w:rPr>
                <w:rFonts w:ascii="Arial" w:hAnsi="Arial" w:cs="Arial"/>
                <w:sz w:val="18"/>
                <w:szCs w:val="18"/>
              </w:rPr>
              <w:t>%</w:t>
            </w:r>
          </w:p>
        </w:tc>
      </w:tr>
      <w:tr w:rsidR="00FA3B20" w:rsidRPr="00FA3B20" w14:paraId="7D9106E6" w14:textId="77777777" w:rsidTr="000C3ABF">
        <w:trPr>
          <w:trHeight w:val="255"/>
        </w:trPr>
        <w:tc>
          <w:tcPr>
            <w:tcW w:w="1301" w:type="dxa"/>
            <w:vMerge/>
            <w:vAlign w:val="center"/>
            <w:hideMark/>
          </w:tcPr>
          <w:p w14:paraId="14A982C5" w14:textId="77777777" w:rsidR="00FA3B20" w:rsidRPr="00FA3B20" w:rsidRDefault="00FA3B20" w:rsidP="00FA3B20">
            <w:pPr>
              <w:spacing w:after="0" w:line="240" w:lineRule="auto"/>
              <w:rPr>
                <w:rFonts w:ascii="Arial" w:eastAsia="Times New Roman" w:hAnsi="Arial" w:cs="Arial"/>
                <w:color w:val="000000"/>
                <w:sz w:val="18"/>
                <w:szCs w:val="18"/>
                <w:lang w:eastAsia="sl-SI"/>
              </w:rPr>
            </w:pPr>
          </w:p>
        </w:tc>
        <w:tc>
          <w:tcPr>
            <w:tcW w:w="1104" w:type="dxa"/>
            <w:shd w:val="clear" w:color="auto" w:fill="auto"/>
            <w:vAlign w:val="center"/>
            <w:hideMark/>
          </w:tcPr>
          <w:p w14:paraId="460A8733" w14:textId="77777777" w:rsidR="00FA3B20" w:rsidRPr="00FA3B20" w:rsidRDefault="00FA3B20" w:rsidP="00FA3B20">
            <w:pPr>
              <w:spacing w:after="0" w:line="240" w:lineRule="auto"/>
              <w:rPr>
                <w:rFonts w:ascii="Arial" w:eastAsia="Times New Roman" w:hAnsi="Arial" w:cs="Arial"/>
                <w:color w:val="000000"/>
                <w:sz w:val="18"/>
                <w:szCs w:val="18"/>
                <w:lang w:eastAsia="sl-SI"/>
              </w:rPr>
            </w:pPr>
            <w:r w:rsidRPr="00FA3B20">
              <w:rPr>
                <w:rFonts w:ascii="Arial" w:eastAsia="Times New Roman" w:hAnsi="Arial" w:cs="Arial"/>
                <w:color w:val="000000"/>
                <w:sz w:val="18"/>
                <w:szCs w:val="18"/>
                <w:lang w:eastAsia="sl-SI"/>
              </w:rPr>
              <w:t>Gradnje</w:t>
            </w:r>
          </w:p>
        </w:tc>
        <w:tc>
          <w:tcPr>
            <w:tcW w:w="851" w:type="dxa"/>
            <w:shd w:val="clear" w:color="auto" w:fill="auto"/>
            <w:vAlign w:val="center"/>
            <w:hideMark/>
          </w:tcPr>
          <w:p w14:paraId="1CF17BE2" w14:textId="39610126" w:rsidR="00FA3B20" w:rsidRPr="00FA3B20" w:rsidRDefault="00FA3B20" w:rsidP="00FA3B20">
            <w:pPr>
              <w:spacing w:after="0" w:line="240" w:lineRule="auto"/>
              <w:jc w:val="right"/>
              <w:rPr>
                <w:rFonts w:ascii="Arial" w:hAnsi="Arial" w:cs="Arial"/>
                <w:sz w:val="18"/>
                <w:szCs w:val="18"/>
              </w:rPr>
            </w:pPr>
            <w:r w:rsidRPr="00FA3B20">
              <w:rPr>
                <w:rFonts w:ascii="Arial" w:hAnsi="Arial" w:cs="Arial"/>
                <w:sz w:val="18"/>
                <w:szCs w:val="18"/>
              </w:rPr>
              <w:t>132</w:t>
            </w:r>
          </w:p>
        </w:tc>
        <w:tc>
          <w:tcPr>
            <w:tcW w:w="1984" w:type="dxa"/>
            <w:shd w:val="clear" w:color="auto" w:fill="auto"/>
            <w:vAlign w:val="center"/>
            <w:hideMark/>
          </w:tcPr>
          <w:p w14:paraId="772A4419" w14:textId="1B14977F" w:rsidR="00FA3B20" w:rsidRPr="00FA3B20" w:rsidRDefault="00FA3B20" w:rsidP="00FA3B20">
            <w:pPr>
              <w:spacing w:after="0" w:line="240" w:lineRule="auto"/>
              <w:jc w:val="right"/>
              <w:rPr>
                <w:rFonts w:ascii="Arial" w:hAnsi="Arial" w:cs="Arial"/>
                <w:sz w:val="18"/>
                <w:szCs w:val="18"/>
              </w:rPr>
            </w:pPr>
            <w:r w:rsidRPr="00FA3B20">
              <w:rPr>
                <w:rFonts w:ascii="Arial" w:hAnsi="Arial" w:cs="Arial"/>
                <w:sz w:val="18"/>
                <w:szCs w:val="18"/>
              </w:rPr>
              <w:t>894.874.838</w:t>
            </w:r>
          </w:p>
        </w:tc>
        <w:tc>
          <w:tcPr>
            <w:tcW w:w="992" w:type="dxa"/>
            <w:shd w:val="clear" w:color="auto" w:fill="auto"/>
            <w:noWrap/>
            <w:vAlign w:val="center"/>
            <w:hideMark/>
          </w:tcPr>
          <w:p w14:paraId="2B83595C" w14:textId="2EFFFB61" w:rsidR="00FA3B20" w:rsidRPr="00FA3B20" w:rsidRDefault="00FA3B20" w:rsidP="00FA3B20">
            <w:pPr>
              <w:spacing w:after="0" w:line="240" w:lineRule="auto"/>
              <w:jc w:val="right"/>
              <w:rPr>
                <w:rFonts w:ascii="Arial" w:hAnsi="Arial" w:cs="Arial"/>
                <w:sz w:val="18"/>
                <w:szCs w:val="18"/>
              </w:rPr>
            </w:pPr>
            <w:r w:rsidRPr="00FA3B20">
              <w:rPr>
                <w:rFonts w:ascii="Arial" w:hAnsi="Arial" w:cs="Arial"/>
                <w:sz w:val="18"/>
                <w:szCs w:val="18"/>
              </w:rPr>
              <w:t>1,28 %</w:t>
            </w:r>
          </w:p>
        </w:tc>
        <w:tc>
          <w:tcPr>
            <w:tcW w:w="993" w:type="dxa"/>
            <w:shd w:val="clear" w:color="auto" w:fill="auto"/>
            <w:noWrap/>
            <w:vAlign w:val="center"/>
            <w:hideMark/>
          </w:tcPr>
          <w:p w14:paraId="6907F603" w14:textId="2856F09C" w:rsidR="00FA3B20" w:rsidRPr="00FA3B20" w:rsidRDefault="00FA3B20" w:rsidP="00FA3B20">
            <w:pPr>
              <w:spacing w:after="0" w:line="240" w:lineRule="auto"/>
              <w:jc w:val="right"/>
              <w:rPr>
                <w:rFonts w:ascii="Arial" w:hAnsi="Arial" w:cs="Arial"/>
                <w:sz w:val="18"/>
                <w:szCs w:val="18"/>
              </w:rPr>
            </w:pPr>
            <w:r w:rsidRPr="00FA3B20">
              <w:rPr>
                <w:rFonts w:ascii="Arial" w:hAnsi="Arial" w:cs="Arial"/>
                <w:sz w:val="18"/>
                <w:szCs w:val="18"/>
              </w:rPr>
              <w:t>21,42 %</w:t>
            </w:r>
          </w:p>
        </w:tc>
        <w:tc>
          <w:tcPr>
            <w:tcW w:w="992" w:type="dxa"/>
            <w:shd w:val="clear" w:color="auto" w:fill="auto"/>
            <w:noWrap/>
            <w:vAlign w:val="center"/>
            <w:hideMark/>
          </w:tcPr>
          <w:p w14:paraId="7175B7E4" w14:textId="40DCB1D8" w:rsidR="00FA3B20" w:rsidRPr="00FA3B20" w:rsidRDefault="00FA3B20" w:rsidP="00FA3B20">
            <w:pPr>
              <w:spacing w:after="0" w:line="240" w:lineRule="auto"/>
              <w:jc w:val="right"/>
              <w:rPr>
                <w:rFonts w:ascii="Arial" w:hAnsi="Arial" w:cs="Arial"/>
                <w:sz w:val="18"/>
                <w:szCs w:val="18"/>
              </w:rPr>
            </w:pPr>
            <w:r w:rsidRPr="00FA3B20">
              <w:rPr>
                <w:rFonts w:ascii="Arial" w:hAnsi="Arial" w:cs="Arial"/>
                <w:sz w:val="18"/>
                <w:szCs w:val="18"/>
              </w:rPr>
              <w:t>1,37 %</w:t>
            </w:r>
          </w:p>
        </w:tc>
        <w:tc>
          <w:tcPr>
            <w:tcW w:w="992" w:type="dxa"/>
            <w:shd w:val="clear" w:color="auto" w:fill="auto"/>
            <w:noWrap/>
            <w:vAlign w:val="center"/>
            <w:hideMark/>
          </w:tcPr>
          <w:p w14:paraId="4C1C87C2" w14:textId="14A6A574" w:rsidR="00FA3B20" w:rsidRPr="00FA3B20" w:rsidRDefault="00FA3B20" w:rsidP="00FA3B20">
            <w:pPr>
              <w:spacing w:after="0" w:line="240" w:lineRule="auto"/>
              <w:jc w:val="right"/>
              <w:rPr>
                <w:rFonts w:ascii="Arial" w:hAnsi="Arial" w:cs="Arial"/>
                <w:sz w:val="18"/>
                <w:szCs w:val="18"/>
              </w:rPr>
            </w:pPr>
            <w:r w:rsidRPr="00FA3B20">
              <w:rPr>
                <w:rFonts w:ascii="Arial" w:hAnsi="Arial" w:cs="Arial"/>
                <w:sz w:val="18"/>
                <w:szCs w:val="18"/>
              </w:rPr>
              <w:t>25,95</w:t>
            </w:r>
            <w:r w:rsidR="008639E4">
              <w:rPr>
                <w:rFonts w:ascii="Arial" w:hAnsi="Arial" w:cs="Arial"/>
                <w:sz w:val="18"/>
                <w:szCs w:val="18"/>
              </w:rPr>
              <w:t xml:space="preserve"> </w:t>
            </w:r>
            <w:r w:rsidRPr="00FA3B20">
              <w:rPr>
                <w:rFonts w:ascii="Arial" w:hAnsi="Arial" w:cs="Arial"/>
                <w:sz w:val="18"/>
                <w:szCs w:val="18"/>
              </w:rPr>
              <w:t>%</w:t>
            </w:r>
          </w:p>
        </w:tc>
      </w:tr>
      <w:tr w:rsidR="00FA3B20" w:rsidRPr="00FA3B20" w14:paraId="6FAFABF5" w14:textId="77777777" w:rsidTr="000C3ABF">
        <w:trPr>
          <w:trHeight w:val="255"/>
        </w:trPr>
        <w:tc>
          <w:tcPr>
            <w:tcW w:w="1301" w:type="dxa"/>
            <w:vMerge/>
            <w:vAlign w:val="center"/>
            <w:hideMark/>
          </w:tcPr>
          <w:p w14:paraId="3FC29533" w14:textId="77777777" w:rsidR="00FA3B20" w:rsidRPr="00FA3B20" w:rsidRDefault="00FA3B20" w:rsidP="00FA3B20">
            <w:pPr>
              <w:spacing w:after="0" w:line="240" w:lineRule="auto"/>
              <w:rPr>
                <w:rFonts w:ascii="Arial" w:eastAsia="Times New Roman" w:hAnsi="Arial" w:cs="Arial"/>
                <w:color w:val="000000"/>
                <w:sz w:val="18"/>
                <w:szCs w:val="18"/>
                <w:lang w:eastAsia="sl-SI"/>
              </w:rPr>
            </w:pPr>
          </w:p>
        </w:tc>
        <w:tc>
          <w:tcPr>
            <w:tcW w:w="1104" w:type="dxa"/>
            <w:shd w:val="clear" w:color="auto" w:fill="auto"/>
            <w:vAlign w:val="center"/>
            <w:hideMark/>
          </w:tcPr>
          <w:p w14:paraId="26E291E2" w14:textId="77777777" w:rsidR="00FA3B20" w:rsidRPr="00FA3B20" w:rsidRDefault="00FA3B20" w:rsidP="00FA3B20">
            <w:pPr>
              <w:spacing w:after="0" w:line="240" w:lineRule="auto"/>
              <w:rPr>
                <w:rFonts w:ascii="Arial" w:eastAsia="Times New Roman" w:hAnsi="Arial" w:cs="Arial"/>
                <w:b/>
                <w:bCs/>
                <w:color w:val="000000"/>
                <w:sz w:val="18"/>
                <w:szCs w:val="18"/>
                <w:lang w:eastAsia="sl-SI"/>
              </w:rPr>
            </w:pPr>
            <w:r w:rsidRPr="00FA3B20">
              <w:rPr>
                <w:rFonts w:ascii="Arial" w:eastAsia="Times New Roman" w:hAnsi="Arial" w:cs="Arial"/>
                <w:b/>
                <w:bCs/>
                <w:color w:val="000000"/>
                <w:sz w:val="18"/>
                <w:szCs w:val="18"/>
                <w:lang w:eastAsia="sl-SI"/>
              </w:rPr>
              <w:t>Skupaj</w:t>
            </w:r>
          </w:p>
        </w:tc>
        <w:tc>
          <w:tcPr>
            <w:tcW w:w="851" w:type="dxa"/>
            <w:shd w:val="clear" w:color="auto" w:fill="auto"/>
            <w:vAlign w:val="center"/>
            <w:hideMark/>
          </w:tcPr>
          <w:p w14:paraId="5D034219" w14:textId="60013741" w:rsidR="00FA3B20" w:rsidRPr="00FA3B20" w:rsidRDefault="00FA3B20" w:rsidP="00FA3B20">
            <w:pPr>
              <w:spacing w:after="0" w:line="240" w:lineRule="auto"/>
              <w:jc w:val="right"/>
              <w:rPr>
                <w:rFonts w:ascii="Arial" w:hAnsi="Arial" w:cs="Arial"/>
                <w:b/>
                <w:bCs/>
                <w:sz w:val="18"/>
                <w:szCs w:val="18"/>
              </w:rPr>
            </w:pPr>
            <w:r w:rsidRPr="00FA3B20">
              <w:rPr>
                <w:rFonts w:ascii="Arial" w:hAnsi="Arial" w:cs="Arial"/>
                <w:b/>
                <w:bCs/>
                <w:sz w:val="18"/>
                <w:szCs w:val="18"/>
              </w:rPr>
              <w:t>9.668</w:t>
            </w:r>
          </w:p>
        </w:tc>
        <w:tc>
          <w:tcPr>
            <w:tcW w:w="1984" w:type="dxa"/>
            <w:shd w:val="clear" w:color="auto" w:fill="auto"/>
            <w:vAlign w:val="center"/>
            <w:hideMark/>
          </w:tcPr>
          <w:p w14:paraId="610B9F5C" w14:textId="1DADCDE8" w:rsidR="00FA3B20" w:rsidRPr="00FA3B20" w:rsidRDefault="00FA3B20" w:rsidP="00FA3B20">
            <w:pPr>
              <w:spacing w:after="0" w:line="240" w:lineRule="auto"/>
              <w:jc w:val="right"/>
              <w:rPr>
                <w:rFonts w:ascii="Arial" w:hAnsi="Arial" w:cs="Arial"/>
                <w:b/>
                <w:bCs/>
                <w:sz w:val="18"/>
                <w:szCs w:val="18"/>
              </w:rPr>
            </w:pPr>
            <w:r w:rsidRPr="00FA3B20">
              <w:rPr>
                <w:rFonts w:ascii="Arial" w:hAnsi="Arial" w:cs="Arial"/>
                <w:b/>
                <w:bCs/>
                <w:sz w:val="18"/>
                <w:szCs w:val="18"/>
              </w:rPr>
              <w:t>3.448.024.178</w:t>
            </w:r>
          </w:p>
        </w:tc>
        <w:tc>
          <w:tcPr>
            <w:tcW w:w="992" w:type="dxa"/>
            <w:shd w:val="clear" w:color="auto" w:fill="auto"/>
            <w:noWrap/>
            <w:vAlign w:val="center"/>
            <w:hideMark/>
          </w:tcPr>
          <w:p w14:paraId="15ED63F1" w14:textId="1A3A6B5A" w:rsidR="00FA3B20" w:rsidRPr="00FA3B20" w:rsidRDefault="00FA3B20" w:rsidP="00FA3B20">
            <w:pPr>
              <w:spacing w:after="0" w:line="240" w:lineRule="auto"/>
              <w:jc w:val="right"/>
              <w:rPr>
                <w:rFonts w:ascii="Arial" w:hAnsi="Arial" w:cs="Arial"/>
                <w:b/>
                <w:bCs/>
                <w:sz w:val="18"/>
                <w:szCs w:val="18"/>
              </w:rPr>
            </w:pPr>
            <w:r w:rsidRPr="00FA3B20">
              <w:rPr>
                <w:rFonts w:ascii="Arial" w:hAnsi="Arial" w:cs="Arial"/>
                <w:b/>
                <w:bCs/>
                <w:sz w:val="18"/>
                <w:szCs w:val="18"/>
              </w:rPr>
              <w:t>93,96 %</w:t>
            </w:r>
          </w:p>
        </w:tc>
        <w:tc>
          <w:tcPr>
            <w:tcW w:w="993" w:type="dxa"/>
            <w:shd w:val="clear" w:color="auto" w:fill="auto"/>
            <w:noWrap/>
            <w:vAlign w:val="center"/>
            <w:hideMark/>
          </w:tcPr>
          <w:p w14:paraId="4F1FCE05" w14:textId="6420E1D4" w:rsidR="00FA3B20" w:rsidRPr="00FA3B20" w:rsidRDefault="00FA3B20" w:rsidP="00FA3B20">
            <w:pPr>
              <w:spacing w:after="0" w:line="240" w:lineRule="auto"/>
              <w:jc w:val="right"/>
              <w:rPr>
                <w:rFonts w:ascii="Arial" w:hAnsi="Arial" w:cs="Arial"/>
                <w:b/>
                <w:bCs/>
                <w:sz w:val="18"/>
                <w:szCs w:val="18"/>
              </w:rPr>
            </w:pPr>
            <w:r w:rsidRPr="00FA3B20">
              <w:rPr>
                <w:rFonts w:ascii="Arial" w:hAnsi="Arial" w:cs="Arial"/>
                <w:b/>
                <w:bCs/>
                <w:sz w:val="18"/>
                <w:szCs w:val="18"/>
              </w:rPr>
              <w:t>82,51 %</w:t>
            </w:r>
          </w:p>
        </w:tc>
        <w:tc>
          <w:tcPr>
            <w:tcW w:w="992" w:type="dxa"/>
            <w:shd w:val="clear" w:color="auto" w:fill="auto"/>
            <w:noWrap/>
            <w:vAlign w:val="center"/>
            <w:hideMark/>
          </w:tcPr>
          <w:p w14:paraId="122F7BDF" w14:textId="5E685F59" w:rsidR="00FA3B20" w:rsidRPr="00FA3B20" w:rsidRDefault="00FA3B20" w:rsidP="00FA3B20">
            <w:pPr>
              <w:spacing w:after="0" w:line="240" w:lineRule="auto"/>
              <w:jc w:val="right"/>
              <w:rPr>
                <w:rFonts w:ascii="Arial" w:hAnsi="Arial" w:cs="Arial"/>
                <w:b/>
                <w:bCs/>
                <w:sz w:val="18"/>
                <w:szCs w:val="18"/>
              </w:rPr>
            </w:pPr>
            <w:r w:rsidRPr="00FA3B20">
              <w:rPr>
                <w:rFonts w:ascii="Arial" w:hAnsi="Arial" w:cs="Arial"/>
                <w:b/>
                <w:bCs/>
                <w:sz w:val="18"/>
                <w:szCs w:val="18"/>
              </w:rPr>
              <w:t>100,00 %</w:t>
            </w:r>
          </w:p>
        </w:tc>
        <w:tc>
          <w:tcPr>
            <w:tcW w:w="992" w:type="dxa"/>
            <w:shd w:val="clear" w:color="auto" w:fill="auto"/>
            <w:noWrap/>
            <w:vAlign w:val="center"/>
            <w:hideMark/>
          </w:tcPr>
          <w:p w14:paraId="42AFDCA0" w14:textId="582616BA" w:rsidR="00FA3B20" w:rsidRPr="00FA3B20" w:rsidRDefault="00FA3B20" w:rsidP="00FA3B20">
            <w:pPr>
              <w:spacing w:after="0" w:line="240" w:lineRule="auto"/>
              <w:jc w:val="right"/>
              <w:rPr>
                <w:rFonts w:ascii="Arial" w:hAnsi="Arial" w:cs="Arial"/>
                <w:b/>
                <w:bCs/>
                <w:sz w:val="18"/>
                <w:szCs w:val="18"/>
              </w:rPr>
            </w:pPr>
            <w:r w:rsidRPr="00FA3B20">
              <w:rPr>
                <w:rFonts w:ascii="Arial" w:hAnsi="Arial" w:cs="Arial"/>
                <w:b/>
                <w:bCs/>
                <w:sz w:val="18"/>
                <w:szCs w:val="18"/>
              </w:rPr>
              <w:t>100,00</w:t>
            </w:r>
            <w:r w:rsidR="008639E4">
              <w:rPr>
                <w:rFonts w:ascii="Arial" w:hAnsi="Arial" w:cs="Arial"/>
                <w:b/>
                <w:bCs/>
                <w:sz w:val="18"/>
                <w:szCs w:val="18"/>
              </w:rPr>
              <w:t xml:space="preserve"> </w:t>
            </w:r>
            <w:r w:rsidRPr="00FA3B20">
              <w:rPr>
                <w:rFonts w:ascii="Arial" w:hAnsi="Arial" w:cs="Arial"/>
                <w:b/>
                <w:bCs/>
                <w:sz w:val="18"/>
                <w:szCs w:val="18"/>
              </w:rPr>
              <w:t>%</w:t>
            </w:r>
          </w:p>
        </w:tc>
      </w:tr>
      <w:tr w:rsidR="00FA3B20" w:rsidRPr="00FA3B20" w14:paraId="2D982245" w14:textId="77777777" w:rsidTr="000C3ABF">
        <w:trPr>
          <w:trHeight w:val="255"/>
        </w:trPr>
        <w:tc>
          <w:tcPr>
            <w:tcW w:w="1301" w:type="dxa"/>
            <w:vMerge w:val="restart"/>
            <w:shd w:val="clear" w:color="auto" w:fill="auto"/>
            <w:vAlign w:val="center"/>
            <w:hideMark/>
          </w:tcPr>
          <w:p w14:paraId="4164BAEF" w14:textId="5C4FD57F" w:rsidR="00FA3B20" w:rsidRPr="00FA3B20" w:rsidRDefault="00FA3B20" w:rsidP="00FA3B20">
            <w:pPr>
              <w:spacing w:after="0" w:line="240" w:lineRule="auto"/>
              <w:rPr>
                <w:rFonts w:ascii="Arial" w:eastAsia="Times New Roman" w:hAnsi="Arial" w:cs="Arial"/>
                <w:color w:val="000000"/>
                <w:sz w:val="18"/>
                <w:szCs w:val="18"/>
                <w:lang w:eastAsia="sl-SI"/>
              </w:rPr>
            </w:pPr>
            <w:r w:rsidRPr="00FA3B20">
              <w:rPr>
                <w:rFonts w:ascii="Arial" w:eastAsia="Times New Roman" w:hAnsi="Arial" w:cs="Arial"/>
                <w:color w:val="000000"/>
                <w:sz w:val="18"/>
                <w:szCs w:val="18"/>
                <w:lang w:eastAsia="sl-SI"/>
              </w:rPr>
              <w:t>Infrastrukturno</w:t>
            </w:r>
          </w:p>
        </w:tc>
        <w:tc>
          <w:tcPr>
            <w:tcW w:w="1104" w:type="dxa"/>
            <w:shd w:val="clear" w:color="auto" w:fill="auto"/>
            <w:vAlign w:val="center"/>
            <w:hideMark/>
          </w:tcPr>
          <w:p w14:paraId="50643013" w14:textId="77777777" w:rsidR="00FA3B20" w:rsidRPr="00FA3B20" w:rsidRDefault="00FA3B20" w:rsidP="00FA3B20">
            <w:pPr>
              <w:spacing w:after="0" w:line="240" w:lineRule="auto"/>
              <w:rPr>
                <w:rFonts w:ascii="Arial" w:eastAsia="Times New Roman" w:hAnsi="Arial" w:cs="Arial"/>
                <w:color w:val="000000"/>
                <w:sz w:val="18"/>
                <w:szCs w:val="18"/>
                <w:lang w:eastAsia="sl-SI"/>
              </w:rPr>
            </w:pPr>
            <w:r w:rsidRPr="00FA3B20">
              <w:rPr>
                <w:rFonts w:ascii="Arial" w:eastAsia="Times New Roman" w:hAnsi="Arial" w:cs="Arial"/>
                <w:color w:val="000000"/>
                <w:sz w:val="18"/>
                <w:szCs w:val="18"/>
                <w:lang w:eastAsia="sl-SI"/>
              </w:rPr>
              <w:t>Blago</w:t>
            </w:r>
          </w:p>
        </w:tc>
        <w:tc>
          <w:tcPr>
            <w:tcW w:w="851" w:type="dxa"/>
            <w:shd w:val="clear" w:color="auto" w:fill="auto"/>
            <w:vAlign w:val="center"/>
            <w:hideMark/>
          </w:tcPr>
          <w:p w14:paraId="2E952D28" w14:textId="2285FFEC" w:rsidR="00FA3B20" w:rsidRPr="00FA3B20" w:rsidRDefault="00FA3B20" w:rsidP="00FA3B20">
            <w:pPr>
              <w:spacing w:after="0" w:line="240" w:lineRule="auto"/>
              <w:jc w:val="right"/>
              <w:rPr>
                <w:rFonts w:ascii="Arial" w:hAnsi="Arial" w:cs="Arial"/>
                <w:sz w:val="18"/>
                <w:szCs w:val="18"/>
              </w:rPr>
            </w:pPr>
            <w:r w:rsidRPr="00FA3B20">
              <w:rPr>
                <w:rFonts w:ascii="Arial" w:hAnsi="Arial" w:cs="Arial"/>
                <w:sz w:val="18"/>
                <w:szCs w:val="18"/>
              </w:rPr>
              <w:t>344</w:t>
            </w:r>
          </w:p>
        </w:tc>
        <w:tc>
          <w:tcPr>
            <w:tcW w:w="1984" w:type="dxa"/>
            <w:shd w:val="clear" w:color="auto" w:fill="auto"/>
            <w:vAlign w:val="center"/>
            <w:hideMark/>
          </w:tcPr>
          <w:p w14:paraId="2BF232B8" w14:textId="6CEFEF15" w:rsidR="00FA3B20" w:rsidRPr="00FA3B20" w:rsidRDefault="00FA3B20" w:rsidP="00FA3B20">
            <w:pPr>
              <w:spacing w:after="0" w:line="240" w:lineRule="auto"/>
              <w:jc w:val="right"/>
              <w:rPr>
                <w:rFonts w:ascii="Arial" w:hAnsi="Arial" w:cs="Arial"/>
                <w:sz w:val="18"/>
                <w:szCs w:val="18"/>
              </w:rPr>
            </w:pPr>
            <w:r w:rsidRPr="00FA3B20">
              <w:rPr>
                <w:rFonts w:ascii="Arial" w:hAnsi="Arial" w:cs="Arial"/>
                <w:sz w:val="18"/>
                <w:szCs w:val="18"/>
              </w:rPr>
              <w:t>290.062.077</w:t>
            </w:r>
          </w:p>
        </w:tc>
        <w:tc>
          <w:tcPr>
            <w:tcW w:w="992" w:type="dxa"/>
            <w:shd w:val="clear" w:color="auto" w:fill="auto"/>
            <w:noWrap/>
            <w:vAlign w:val="center"/>
            <w:hideMark/>
          </w:tcPr>
          <w:p w14:paraId="059098DC" w14:textId="678CDC7B" w:rsidR="00FA3B20" w:rsidRPr="00FA3B20" w:rsidRDefault="00FA3B20" w:rsidP="00FA3B20">
            <w:pPr>
              <w:spacing w:after="0" w:line="240" w:lineRule="auto"/>
              <w:jc w:val="right"/>
              <w:rPr>
                <w:rFonts w:ascii="Arial" w:hAnsi="Arial" w:cs="Arial"/>
                <w:sz w:val="18"/>
                <w:szCs w:val="18"/>
              </w:rPr>
            </w:pPr>
            <w:r w:rsidRPr="00FA3B20">
              <w:rPr>
                <w:rFonts w:ascii="Arial" w:hAnsi="Arial" w:cs="Arial"/>
                <w:sz w:val="18"/>
                <w:szCs w:val="18"/>
              </w:rPr>
              <w:t>3,34 %</w:t>
            </w:r>
          </w:p>
        </w:tc>
        <w:tc>
          <w:tcPr>
            <w:tcW w:w="993" w:type="dxa"/>
            <w:shd w:val="clear" w:color="auto" w:fill="auto"/>
            <w:noWrap/>
            <w:vAlign w:val="center"/>
            <w:hideMark/>
          </w:tcPr>
          <w:p w14:paraId="1744E580" w14:textId="0B85FB18" w:rsidR="00FA3B20" w:rsidRPr="00FA3B20" w:rsidRDefault="00FA3B20" w:rsidP="00FA3B20">
            <w:pPr>
              <w:spacing w:after="0" w:line="240" w:lineRule="auto"/>
              <w:jc w:val="right"/>
              <w:rPr>
                <w:rFonts w:ascii="Arial" w:hAnsi="Arial" w:cs="Arial"/>
                <w:sz w:val="18"/>
                <w:szCs w:val="18"/>
              </w:rPr>
            </w:pPr>
            <w:r w:rsidRPr="00FA3B20">
              <w:rPr>
                <w:rFonts w:ascii="Arial" w:hAnsi="Arial" w:cs="Arial"/>
                <w:sz w:val="18"/>
                <w:szCs w:val="18"/>
              </w:rPr>
              <w:t>6,94 %</w:t>
            </w:r>
          </w:p>
        </w:tc>
        <w:tc>
          <w:tcPr>
            <w:tcW w:w="992" w:type="dxa"/>
            <w:shd w:val="clear" w:color="auto" w:fill="auto"/>
            <w:noWrap/>
            <w:vAlign w:val="center"/>
            <w:hideMark/>
          </w:tcPr>
          <w:p w14:paraId="49250E1B" w14:textId="1894EA26" w:rsidR="00FA3B20" w:rsidRPr="00FA3B20" w:rsidRDefault="00FA3B20" w:rsidP="00FA3B20">
            <w:pPr>
              <w:spacing w:after="0" w:line="240" w:lineRule="auto"/>
              <w:jc w:val="right"/>
              <w:rPr>
                <w:rFonts w:ascii="Arial" w:hAnsi="Arial" w:cs="Arial"/>
                <w:sz w:val="18"/>
                <w:szCs w:val="18"/>
              </w:rPr>
            </w:pPr>
            <w:r w:rsidRPr="00FA3B20">
              <w:rPr>
                <w:rFonts w:ascii="Arial" w:hAnsi="Arial" w:cs="Arial"/>
                <w:sz w:val="18"/>
                <w:szCs w:val="18"/>
              </w:rPr>
              <w:t>60,03 %</w:t>
            </w:r>
          </w:p>
        </w:tc>
        <w:tc>
          <w:tcPr>
            <w:tcW w:w="992" w:type="dxa"/>
            <w:shd w:val="clear" w:color="auto" w:fill="auto"/>
            <w:noWrap/>
            <w:vAlign w:val="center"/>
            <w:hideMark/>
          </w:tcPr>
          <w:p w14:paraId="2D9AFAE6" w14:textId="4842B144" w:rsidR="00FA3B20" w:rsidRPr="00FA3B20" w:rsidRDefault="00FA3B20" w:rsidP="00FA3B20">
            <w:pPr>
              <w:spacing w:after="0" w:line="240" w:lineRule="auto"/>
              <w:jc w:val="right"/>
              <w:rPr>
                <w:rFonts w:ascii="Arial" w:hAnsi="Arial" w:cs="Arial"/>
                <w:sz w:val="18"/>
                <w:szCs w:val="18"/>
              </w:rPr>
            </w:pPr>
            <w:r w:rsidRPr="00FA3B20">
              <w:rPr>
                <w:rFonts w:ascii="Arial" w:hAnsi="Arial" w:cs="Arial"/>
                <w:sz w:val="18"/>
                <w:szCs w:val="18"/>
              </w:rPr>
              <w:t>42,12</w:t>
            </w:r>
            <w:r w:rsidR="008639E4">
              <w:rPr>
                <w:rFonts w:ascii="Arial" w:hAnsi="Arial" w:cs="Arial"/>
                <w:sz w:val="18"/>
                <w:szCs w:val="18"/>
              </w:rPr>
              <w:t xml:space="preserve"> </w:t>
            </w:r>
            <w:r w:rsidRPr="00FA3B20">
              <w:rPr>
                <w:rFonts w:ascii="Arial" w:hAnsi="Arial" w:cs="Arial"/>
                <w:sz w:val="18"/>
                <w:szCs w:val="18"/>
              </w:rPr>
              <w:t>%</w:t>
            </w:r>
          </w:p>
        </w:tc>
      </w:tr>
      <w:tr w:rsidR="00FA3B20" w:rsidRPr="00FA3B20" w14:paraId="3AA199DD" w14:textId="77777777" w:rsidTr="000C3ABF">
        <w:trPr>
          <w:trHeight w:val="255"/>
        </w:trPr>
        <w:tc>
          <w:tcPr>
            <w:tcW w:w="1301" w:type="dxa"/>
            <w:vMerge/>
            <w:vAlign w:val="center"/>
            <w:hideMark/>
          </w:tcPr>
          <w:p w14:paraId="40678D4E" w14:textId="77777777" w:rsidR="00FA3B20" w:rsidRPr="00FA3B20" w:rsidRDefault="00FA3B20" w:rsidP="00FA3B20">
            <w:pPr>
              <w:spacing w:after="0" w:line="240" w:lineRule="auto"/>
              <w:rPr>
                <w:rFonts w:ascii="Arial" w:eastAsia="Times New Roman" w:hAnsi="Arial" w:cs="Arial"/>
                <w:color w:val="000000"/>
                <w:sz w:val="18"/>
                <w:szCs w:val="18"/>
                <w:lang w:eastAsia="sl-SI"/>
              </w:rPr>
            </w:pPr>
          </w:p>
        </w:tc>
        <w:tc>
          <w:tcPr>
            <w:tcW w:w="1104" w:type="dxa"/>
            <w:shd w:val="clear" w:color="auto" w:fill="auto"/>
            <w:vAlign w:val="center"/>
            <w:hideMark/>
          </w:tcPr>
          <w:p w14:paraId="5FA4B3D0" w14:textId="77777777" w:rsidR="00FA3B20" w:rsidRPr="00FA3B20" w:rsidRDefault="00FA3B20" w:rsidP="00FA3B20">
            <w:pPr>
              <w:spacing w:after="0" w:line="240" w:lineRule="auto"/>
              <w:rPr>
                <w:rFonts w:ascii="Arial" w:eastAsia="Times New Roman" w:hAnsi="Arial" w:cs="Arial"/>
                <w:color w:val="000000"/>
                <w:sz w:val="18"/>
                <w:szCs w:val="18"/>
                <w:lang w:eastAsia="sl-SI"/>
              </w:rPr>
            </w:pPr>
            <w:r w:rsidRPr="00FA3B20">
              <w:rPr>
                <w:rFonts w:ascii="Arial" w:eastAsia="Times New Roman" w:hAnsi="Arial" w:cs="Arial"/>
                <w:color w:val="000000"/>
                <w:sz w:val="18"/>
                <w:szCs w:val="18"/>
                <w:lang w:eastAsia="sl-SI"/>
              </w:rPr>
              <w:t>Storitve</w:t>
            </w:r>
          </w:p>
        </w:tc>
        <w:tc>
          <w:tcPr>
            <w:tcW w:w="851" w:type="dxa"/>
            <w:shd w:val="clear" w:color="auto" w:fill="auto"/>
            <w:vAlign w:val="center"/>
            <w:hideMark/>
          </w:tcPr>
          <w:p w14:paraId="4C932188" w14:textId="0CB8565C" w:rsidR="00FA3B20" w:rsidRPr="00FA3B20" w:rsidRDefault="00FA3B20" w:rsidP="00FA3B20">
            <w:pPr>
              <w:spacing w:after="0" w:line="240" w:lineRule="auto"/>
              <w:jc w:val="right"/>
              <w:rPr>
                <w:rFonts w:ascii="Arial" w:hAnsi="Arial" w:cs="Arial"/>
                <w:sz w:val="18"/>
                <w:szCs w:val="18"/>
              </w:rPr>
            </w:pPr>
            <w:r w:rsidRPr="00FA3B20">
              <w:rPr>
                <w:rFonts w:ascii="Arial" w:hAnsi="Arial" w:cs="Arial"/>
                <w:sz w:val="18"/>
                <w:szCs w:val="18"/>
              </w:rPr>
              <w:t>204</w:t>
            </w:r>
          </w:p>
        </w:tc>
        <w:tc>
          <w:tcPr>
            <w:tcW w:w="1984" w:type="dxa"/>
            <w:shd w:val="clear" w:color="auto" w:fill="auto"/>
            <w:vAlign w:val="center"/>
            <w:hideMark/>
          </w:tcPr>
          <w:p w14:paraId="437A389F" w14:textId="22D9DF6C" w:rsidR="00FA3B20" w:rsidRPr="00FA3B20" w:rsidRDefault="00FA3B20" w:rsidP="00FA3B20">
            <w:pPr>
              <w:spacing w:after="0" w:line="240" w:lineRule="auto"/>
              <w:jc w:val="right"/>
              <w:rPr>
                <w:rFonts w:ascii="Arial" w:hAnsi="Arial" w:cs="Arial"/>
                <w:sz w:val="18"/>
                <w:szCs w:val="18"/>
              </w:rPr>
            </w:pPr>
            <w:r w:rsidRPr="00FA3B20">
              <w:rPr>
                <w:rFonts w:ascii="Arial" w:hAnsi="Arial" w:cs="Arial"/>
                <w:sz w:val="18"/>
                <w:szCs w:val="18"/>
              </w:rPr>
              <w:t>338.048.951</w:t>
            </w:r>
          </w:p>
        </w:tc>
        <w:tc>
          <w:tcPr>
            <w:tcW w:w="992" w:type="dxa"/>
            <w:shd w:val="clear" w:color="auto" w:fill="auto"/>
            <w:noWrap/>
            <w:vAlign w:val="center"/>
            <w:hideMark/>
          </w:tcPr>
          <w:p w14:paraId="42DAF9E9" w14:textId="7E4CD404" w:rsidR="00FA3B20" w:rsidRPr="00FA3B20" w:rsidRDefault="00FA3B20" w:rsidP="00FA3B20">
            <w:pPr>
              <w:spacing w:after="0" w:line="240" w:lineRule="auto"/>
              <w:jc w:val="right"/>
              <w:rPr>
                <w:rFonts w:ascii="Arial" w:hAnsi="Arial" w:cs="Arial"/>
                <w:sz w:val="18"/>
                <w:szCs w:val="18"/>
              </w:rPr>
            </w:pPr>
            <w:r w:rsidRPr="00FA3B20">
              <w:rPr>
                <w:rFonts w:ascii="Arial" w:hAnsi="Arial" w:cs="Arial"/>
                <w:sz w:val="18"/>
                <w:szCs w:val="18"/>
              </w:rPr>
              <w:t>1,98 %</w:t>
            </w:r>
          </w:p>
        </w:tc>
        <w:tc>
          <w:tcPr>
            <w:tcW w:w="993" w:type="dxa"/>
            <w:shd w:val="clear" w:color="auto" w:fill="auto"/>
            <w:noWrap/>
            <w:vAlign w:val="center"/>
            <w:hideMark/>
          </w:tcPr>
          <w:p w14:paraId="65B24ACA" w14:textId="02528B67" w:rsidR="00FA3B20" w:rsidRPr="00FA3B20" w:rsidRDefault="00FA3B20" w:rsidP="00FA3B20">
            <w:pPr>
              <w:spacing w:after="0" w:line="240" w:lineRule="auto"/>
              <w:jc w:val="right"/>
              <w:rPr>
                <w:rFonts w:ascii="Arial" w:hAnsi="Arial" w:cs="Arial"/>
                <w:sz w:val="18"/>
                <w:szCs w:val="18"/>
              </w:rPr>
            </w:pPr>
            <w:r w:rsidRPr="00FA3B20">
              <w:rPr>
                <w:rFonts w:ascii="Arial" w:hAnsi="Arial" w:cs="Arial"/>
                <w:sz w:val="18"/>
                <w:szCs w:val="18"/>
              </w:rPr>
              <w:t>8,09 %</w:t>
            </w:r>
          </w:p>
        </w:tc>
        <w:tc>
          <w:tcPr>
            <w:tcW w:w="992" w:type="dxa"/>
            <w:shd w:val="clear" w:color="auto" w:fill="auto"/>
            <w:noWrap/>
            <w:vAlign w:val="center"/>
            <w:hideMark/>
          </w:tcPr>
          <w:p w14:paraId="03EC1DD9" w14:textId="1AE73419" w:rsidR="00FA3B20" w:rsidRPr="00FA3B20" w:rsidRDefault="00FA3B20" w:rsidP="00FA3B20">
            <w:pPr>
              <w:spacing w:after="0" w:line="240" w:lineRule="auto"/>
              <w:jc w:val="right"/>
              <w:rPr>
                <w:rFonts w:ascii="Arial" w:hAnsi="Arial" w:cs="Arial"/>
                <w:sz w:val="18"/>
                <w:szCs w:val="18"/>
              </w:rPr>
            </w:pPr>
            <w:r w:rsidRPr="00FA3B20">
              <w:rPr>
                <w:rFonts w:ascii="Arial" w:hAnsi="Arial" w:cs="Arial"/>
                <w:sz w:val="18"/>
                <w:szCs w:val="18"/>
              </w:rPr>
              <w:t>35,60 %</w:t>
            </w:r>
          </w:p>
        </w:tc>
        <w:tc>
          <w:tcPr>
            <w:tcW w:w="992" w:type="dxa"/>
            <w:shd w:val="clear" w:color="auto" w:fill="auto"/>
            <w:noWrap/>
            <w:vAlign w:val="center"/>
            <w:hideMark/>
          </w:tcPr>
          <w:p w14:paraId="1441C7FB" w14:textId="4197536C" w:rsidR="00FA3B20" w:rsidRPr="00FA3B20" w:rsidRDefault="00FA3B20" w:rsidP="00FA3B20">
            <w:pPr>
              <w:spacing w:after="0" w:line="240" w:lineRule="auto"/>
              <w:jc w:val="right"/>
              <w:rPr>
                <w:rFonts w:ascii="Arial" w:hAnsi="Arial" w:cs="Arial"/>
                <w:sz w:val="18"/>
                <w:szCs w:val="18"/>
              </w:rPr>
            </w:pPr>
            <w:r w:rsidRPr="00FA3B20">
              <w:rPr>
                <w:rFonts w:ascii="Arial" w:hAnsi="Arial" w:cs="Arial"/>
                <w:sz w:val="18"/>
                <w:szCs w:val="18"/>
              </w:rPr>
              <w:t>49,09</w:t>
            </w:r>
            <w:r w:rsidR="008639E4">
              <w:rPr>
                <w:rFonts w:ascii="Arial" w:hAnsi="Arial" w:cs="Arial"/>
                <w:sz w:val="18"/>
                <w:szCs w:val="18"/>
              </w:rPr>
              <w:t xml:space="preserve"> </w:t>
            </w:r>
            <w:r w:rsidRPr="00FA3B20">
              <w:rPr>
                <w:rFonts w:ascii="Arial" w:hAnsi="Arial" w:cs="Arial"/>
                <w:sz w:val="18"/>
                <w:szCs w:val="18"/>
              </w:rPr>
              <w:t>%</w:t>
            </w:r>
          </w:p>
        </w:tc>
      </w:tr>
      <w:tr w:rsidR="00FA3B20" w:rsidRPr="00FA3B20" w14:paraId="76DB82C8" w14:textId="77777777" w:rsidTr="000C3ABF">
        <w:trPr>
          <w:trHeight w:val="255"/>
        </w:trPr>
        <w:tc>
          <w:tcPr>
            <w:tcW w:w="1301" w:type="dxa"/>
            <w:vMerge/>
            <w:vAlign w:val="center"/>
            <w:hideMark/>
          </w:tcPr>
          <w:p w14:paraId="6498772B" w14:textId="77777777" w:rsidR="00FA3B20" w:rsidRPr="00FA3B20" w:rsidRDefault="00FA3B20" w:rsidP="00FA3B20">
            <w:pPr>
              <w:spacing w:after="0" w:line="240" w:lineRule="auto"/>
              <w:rPr>
                <w:rFonts w:ascii="Arial" w:eastAsia="Times New Roman" w:hAnsi="Arial" w:cs="Arial"/>
                <w:color w:val="000000"/>
                <w:sz w:val="18"/>
                <w:szCs w:val="18"/>
                <w:lang w:eastAsia="sl-SI"/>
              </w:rPr>
            </w:pPr>
          </w:p>
        </w:tc>
        <w:tc>
          <w:tcPr>
            <w:tcW w:w="1104" w:type="dxa"/>
            <w:shd w:val="clear" w:color="auto" w:fill="auto"/>
            <w:vAlign w:val="center"/>
            <w:hideMark/>
          </w:tcPr>
          <w:p w14:paraId="48209C30" w14:textId="77777777" w:rsidR="00FA3B20" w:rsidRPr="00FA3B20" w:rsidRDefault="00FA3B20" w:rsidP="00FA3B20">
            <w:pPr>
              <w:spacing w:after="0" w:line="240" w:lineRule="auto"/>
              <w:rPr>
                <w:rFonts w:ascii="Arial" w:eastAsia="Times New Roman" w:hAnsi="Arial" w:cs="Arial"/>
                <w:color w:val="000000"/>
                <w:sz w:val="18"/>
                <w:szCs w:val="18"/>
                <w:lang w:eastAsia="sl-SI"/>
              </w:rPr>
            </w:pPr>
            <w:r w:rsidRPr="00FA3B20">
              <w:rPr>
                <w:rFonts w:ascii="Arial" w:eastAsia="Times New Roman" w:hAnsi="Arial" w:cs="Arial"/>
                <w:color w:val="000000"/>
                <w:sz w:val="18"/>
                <w:szCs w:val="18"/>
                <w:lang w:eastAsia="sl-SI"/>
              </w:rPr>
              <w:t>Gradnje</w:t>
            </w:r>
          </w:p>
        </w:tc>
        <w:tc>
          <w:tcPr>
            <w:tcW w:w="851" w:type="dxa"/>
            <w:shd w:val="clear" w:color="auto" w:fill="auto"/>
            <w:vAlign w:val="center"/>
            <w:hideMark/>
          </w:tcPr>
          <w:p w14:paraId="2614C909" w14:textId="65486004" w:rsidR="00FA3B20" w:rsidRPr="00FA3B20" w:rsidRDefault="00FA3B20" w:rsidP="00FA3B20">
            <w:pPr>
              <w:spacing w:after="0" w:line="240" w:lineRule="auto"/>
              <w:jc w:val="right"/>
              <w:rPr>
                <w:rFonts w:ascii="Arial" w:hAnsi="Arial" w:cs="Arial"/>
                <w:sz w:val="18"/>
                <w:szCs w:val="18"/>
              </w:rPr>
            </w:pPr>
            <w:r w:rsidRPr="00FA3B20">
              <w:rPr>
                <w:rFonts w:ascii="Arial" w:hAnsi="Arial" w:cs="Arial"/>
                <w:sz w:val="18"/>
                <w:szCs w:val="18"/>
              </w:rPr>
              <w:t>25</w:t>
            </w:r>
          </w:p>
        </w:tc>
        <w:tc>
          <w:tcPr>
            <w:tcW w:w="1984" w:type="dxa"/>
            <w:shd w:val="clear" w:color="auto" w:fill="auto"/>
            <w:vAlign w:val="center"/>
            <w:hideMark/>
          </w:tcPr>
          <w:p w14:paraId="067131D2" w14:textId="074981AD" w:rsidR="00FA3B20" w:rsidRPr="00FA3B20" w:rsidRDefault="00FA3B20" w:rsidP="00FA3B20">
            <w:pPr>
              <w:spacing w:after="0" w:line="240" w:lineRule="auto"/>
              <w:jc w:val="right"/>
              <w:rPr>
                <w:rFonts w:ascii="Arial" w:hAnsi="Arial" w:cs="Arial"/>
                <w:sz w:val="18"/>
                <w:szCs w:val="18"/>
              </w:rPr>
            </w:pPr>
            <w:r w:rsidRPr="00FA3B20">
              <w:rPr>
                <w:rFonts w:ascii="Arial" w:hAnsi="Arial" w:cs="Arial"/>
                <w:sz w:val="18"/>
                <w:szCs w:val="18"/>
              </w:rPr>
              <w:t>60.557.993</w:t>
            </w:r>
          </w:p>
        </w:tc>
        <w:tc>
          <w:tcPr>
            <w:tcW w:w="992" w:type="dxa"/>
            <w:shd w:val="clear" w:color="auto" w:fill="auto"/>
            <w:noWrap/>
            <w:vAlign w:val="center"/>
            <w:hideMark/>
          </w:tcPr>
          <w:p w14:paraId="3F90E6B5" w14:textId="029F47D3" w:rsidR="00FA3B20" w:rsidRPr="00FA3B20" w:rsidRDefault="00FA3B20" w:rsidP="00FA3B20">
            <w:pPr>
              <w:spacing w:after="0" w:line="240" w:lineRule="auto"/>
              <w:jc w:val="right"/>
              <w:rPr>
                <w:rFonts w:ascii="Arial" w:hAnsi="Arial" w:cs="Arial"/>
                <w:sz w:val="18"/>
                <w:szCs w:val="18"/>
              </w:rPr>
            </w:pPr>
            <w:r w:rsidRPr="00FA3B20">
              <w:rPr>
                <w:rFonts w:ascii="Arial" w:hAnsi="Arial" w:cs="Arial"/>
                <w:sz w:val="18"/>
                <w:szCs w:val="18"/>
              </w:rPr>
              <w:t>0,24 %</w:t>
            </w:r>
          </w:p>
        </w:tc>
        <w:tc>
          <w:tcPr>
            <w:tcW w:w="993" w:type="dxa"/>
            <w:shd w:val="clear" w:color="auto" w:fill="auto"/>
            <w:noWrap/>
            <w:vAlign w:val="center"/>
            <w:hideMark/>
          </w:tcPr>
          <w:p w14:paraId="34EF880B" w14:textId="2F8BF8BF" w:rsidR="00FA3B20" w:rsidRPr="00FA3B20" w:rsidRDefault="00FA3B20" w:rsidP="00FA3B20">
            <w:pPr>
              <w:spacing w:after="0" w:line="240" w:lineRule="auto"/>
              <w:jc w:val="right"/>
              <w:rPr>
                <w:rFonts w:ascii="Arial" w:hAnsi="Arial" w:cs="Arial"/>
                <w:sz w:val="18"/>
                <w:szCs w:val="18"/>
              </w:rPr>
            </w:pPr>
            <w:r w:rsidRPr="00FA3B20">
              <w:rPr>
                <w:rFonts w:ascii="Arial" w:hAnsi="Arial" w:cs="Arial"/>
                <w:sz w:val="18"/>
                <w:szCs w:val="18"/>
              </w:rPr>
              <w:t>1,45 %</w:t>
            </w:r>
          </w:p>
        </w:tc>
        <w:tc>
          <w:tcPr>
            <w:tcW w:w="992" w:type="dxa"/>
            <w:shd w:val="clear" w:color="auto" w:fill="auto"/>
            <w:noWrap/>
            <w:vAlign w:val="center"/>
            <w:hideMark/>
          </w:tcPr>
          <w:p w14:paraId="6442E31D" w14:textId="545C4CC4" w:rsidR="00FA3B20" w:rsidRPr="00FA3B20" w:rsidRDefault="00FA3B20" w:rsidP="00FA3B20">
            <w:pPr>
              <w:spacing w:after="0" w:line="240" w:lineRule="auto"/>
              <w:jc w:val="right"/>
              <w:rPr>
                <w:rFonts w:ascii="Arial" w:hAnsi="Arial" w:cs="Arial"/>
                <w:sz w:val="18"/>
                <w:szCs w:val="18"/>
              </w:rPr>
            </w:pPr>
            <w:r w:rsidRPr="00FA3B20">
              <w:rPr>
                <w:rFonts w:ascii="Arial" w:hAnsi="Arial" w:cs="Arial"/>
                <w:sz w:val="18"/>
                <w:szCs w:val="18"/>
              </w:rPr>
              <w:t>4,36 %</w:t>
            </w:r>
          </w:p>
        </w:tc>
        <w:tc>
          <w:tcPr>
            <w:tcW w:w="992" w:type="dxa"/>
            <w:shd w:val="clear" w:color="auto" w:fill="auto"/>
            <w:noWrap/>
            <w:vAlign w:val="center"/>
            <w:hideMark/>
          </w:tcPr>
          <w:p w14:paraId="750FB68F" w14:textId="65682847" w:rsidR="00FA3B20" w:rsidRPr="00FA3B20" w:rsidRDefault="00FA3B20" w:rsidP="00FA3B20">
            <w:pPr>
              <w:spacing w:after="0" w:line="240" w:lineRule="auto"/>
              <w:jc w:val="right"/>
              <w:rPr>
                <w:rFonts w:ascii="Arial" w:hAnsi="Arial" w:cs="Arial"/>
                <w:sz w:val="18"/>
                <w:szCs w:val="18"/>
              </w:rPr>
            </w:pPr>
            <w:r w:rsidRPr="00FA3B20">
              <w:rPr>
                <w:rFonts w:ascii="Arial" w:hAnsi="Arial" w:cs="Arial"/>
                <w:sz w:val="18"/>
                <w:szCs w:val="18"/>
              </w:rPr>
              <w:t>8,79</w:t>
            </w:r>
            <w:r w:rsidR="008639E4">
              <w:rPr>
                <w:rFonts w:ascii="Arial" w:hAnsi="Arial" w:cs="Arial"/>
                <w:sz w:val="18"/>
                <w:szCs w:val="18"/>
              </w:rPr>
              <w:t xml:space="preserve"> </w:t>
            </w:r>
            <w:r w:rsidRPr="00FA3B20">
              <w:rPr>
                <w:rFonts w:ascii="Arial" w:hAnsi="Arial" w:cs="Arial"/>
                <w:sz w:val="18"/>
                <w:szCs w:val="18"/>
              </w:rPr>
              <w:t>%</w:t>
            </w:r>
          </w:p>
        </w:tc>
      </w:tr>
      <w:tr w:rsidR="00FA3B20" w:rsidRPr="00FA3B20" w14:paraId="615EA918" w14:textId="77777777" w:rsidTr="000C3ABF">
        <w:trPr>
          <w:trHeight w:val="255"/>
        </w:trPr>
        <w:tc>
          <w:tcPr>
            <w:tcW w:w="1301" w:type="dxa"/>
            <w:vMerge/>
            <w:vAlign w:val="center"/>
            <w:hideMark/>
          </w:tcPr>
          <w:p w14:paraId="5E353627" w14:textId="77777777" w:rsidR="00FA3B20" w:rsidRPr="00FA3B20" w:rsidRDefault="00FA3B20" w:rsidP="00FA3B20">
            <w:pPr>
              <w:spacing w:after="0" w:line="240" w:lineRule="auto"/>
              <w:rPr>
                <w:rFonts w:ascii="Arial" w:eastAsia="Times New Roman" w:hAnsi="Arial" w:cs="Arial"/>
                <w:color w:val="000000"/>
                <w:sz w:val="18"/>
                <w:szCs w:val="18"/>
                <w:lang w:eastAsia="sl-SI"/>
              </w:rPr>
            </w:pPr>
          </w:p>
        </w:tc>
        <w:tc>
          <w:tcPr>
            <w:tcW w:w="1104" w:type="dxa"/>
            <w:shd w:val="clear" w:color="auto" w:fill="auto"/>
            <w:vAlign w:val="center"/>
            <w:hideMark/>
          </w:tcPr>
          <w:p w14:paraId="3A6B6DFB" w14:textId="77777777" w:rsidR="00FA3B20" w:rsidRPr="00FA3B20" w:rsidRDefault="00FA3B20" w:rsidP="00FA3B20">
            <w:pPr>
              <w:spacing w:after="0" w:line="240" w:lineRule="auto"/>
              <w:rPr>
                <w:rFonts w:ascii="Arial" w:eastAsia="Times New Roman" w:hAnsi="Arial" w:cs="Arial"/>
                <w:b/>
                <w:bCs/>
                <w:color w:val="000000"/>
                <w:sz w:val="18"/>
                <w:szCs w:val="18"/>
                <w:lang w:eastAsia="sl-SI"/>
              </w:rPr>
            </w:pPr>
            <w:r w:rsidRPr="00FA3B20">
              <w:rPr>
                <w:rFonts w:ascii="Arial" w:eastAsia="Times New Roman" w:hAnsi="Arial" w:cs="Arial"/>
                <w:b/>
                <w:bCs/>
                <w:color w:val="000000"/>
                <w:sz w:val="18"/>
                <w:szCs w:val="18"/>
                <w:lang w:eastAsia="sl-SI"/>
              </w:rPr>
              <w:t>Skupaj</w:t>
            </w:r>
          </w:p>
        </w:tc>
        <w:tc>
          <w:tcPr>
            <w:tcW w:w="851" w:type="dxa"/>
            <w:shd w:val="clear" w:color="auto" w:fill="auto"/>
            <w:vAlign w:val="center"/>
            <w:hideMark/>
          </w:tcPr>
          <w:p w14:paraId="4666FAAB" w14:textId="675FB264" w:rsidR="00FA3B20" w:rsidRPr="00FA3B20" w:rsidRDefault="00FA3B20" w:rsidP="00FA3B20">
            <w:pPr>
              <w:spacing w:after="0" w:line="240" w:lineRule="auto"/>
              <w:jc w:val="right"/>
              <w:rPr>
                <w:rFonts w:ascii="Arial" w:hAnsi="Arial" w:cs="Arial"/>
                <w:b/>
                <w:bCs/>
                <w:sz w:val="18"/>
                <w:szCs w:val="18"/>
              </w:rPr>
            </w:pPr>
            <w:r w:rsidRPr="00FA3B20">
              <w:rPr>
                <w:rFonts w:ascii="Arial" w:hAnsi="Arial" w:cs="Arial"/>
                <w:b/>
                <w:bCs/>
                <w:sz w:val="18"/>
                <w:szCs w:val="18"/>
              </w:rPr>
              <w:t>573</w:t>
            </w:r>
          </w:p>
        </w:tc>
        <w:tc>
          <w:tcPr>
            <w:tcW w:w="1984" w:type="dxa"/>
            <w:shd w:val="clear" w:color="auto" w:fill="auto"/>
            <w:vAlign w:val="center"/>
            <w:hideMark/>
          </w:tcPr>
          <w:p w14:paraId="77AB4CB5" w14:textId="36A2EAB9" w:rsidR="00FA3B20" w:rsidRPr="00FA3B20" w:rsidRDefault="00FA3B20" w:rsidP="00FA3B20">
            <w:pPr>
              <w:spacing w:after="0" w:line="240" w:lineRule="auto"/>
              <w:jc w:val="right"/>
              <w:rPr>
                <w:rFonts w:ascii="Arial" w:hAnsi="Arial" w:cs="Arial"/>
                <w:b/>
                <w:bCs/>
                <w:sz w:val="18"/>
                <w:szCs w:val="18"/>
              </w:rPr>
            </w:pPr>
            <w:r w:rsidRPr="00FA3B20">
              <w:rPr>
                <w:rFonts w:ascii="Arial" w:hAnsi="Arial" w:cs="Arial"/>
                <w:b/>
                <w:bCs/>
                <w:sz w:val="18"/>
                <w:szCs w:val="18"/>
              </w:rPr>
              <w:t>688.669.021</w:t>
            </w:r>
          </w:p>
        </w:tc>
        <w:tc>
          <w:tcPr>
            <w:tcW w:w="992" w:type="dxa"/>
            <w:shd w:val="clear" w:color="auto" w:fill="auto"/>
            <w:noWrap/>
            <w:vAlign w:val="center"/>
            <w:hideMark/>
          </w:tcPr>
          <w:p w14:paraId="01AAACC0" w14:textId="55689665" w:rsidR="00FA3B20" w:rsidRPr="00FA3B20" w:rsidRDefault="00FA3B20" w:rsidP="00FA3B20">
            <w:pPr>
              <w:spacing w:after="0" w:line="240" w:lineRule="auto"/>
              <w:jc w:val="right"/>
              <w:rPr>
                <w:rFonts w:ascii="Arial" w:hAnsi="Arial" w:cs="Arial"/>
                <w:b/>
                <w:bCs/>
                <w:sz w:val="18"/>
                <w:szCs w:val="18"/>
              </w:rPr>
            </w:pPr>
            <w:r w:rsidRPr="00FA3B20">
              <w:rPr>
                <w:rFonts w:ascii="Arial" w:hAnsi="Arial" w:cs="Arial"/>
                <w:b/>
                <w:bCs/>
                <w:sz w:val="18"/>
                <w:szCs w:val="18"/>
              </w:rPr>
              <w:t>5,57 %</w:t>
            </w:r>
          </w:p>
        </w:tc>
        <w:tc>
          <w:tcPr>
            <w:tcW w:w="993" w:type="dxa"/>
            <w:shd w:val="clear" w:color="auto" w:fill="auto"/>
            <w:noWrap/>
            <w:vAlign w:val="center"/>
            <w:hideMark/>
          </w:tcPr>
          <w:p w14:paraId="0BB1F1EF" w14:textId="4E91E26B" w:rsidR="00FA3B20" w:rsidRPr="00FA3B20" w:rsidRDefault="00FA3B20" w:rsidP="00FA3B20">
            <w:pPr>
              <w:spacing w:after="0" w:line="240" w:lineRule="auto"/>
              <w:jc w:val="right"/>
              <w:rPr>
                <w:rFonts w:ascii="Arial" w:hAnsi="Arial" w:cs="Arial"/>
                <w:b/>
                <w:bCs/>
                <w:sz w:val="18"/>
                <w:szCs w:val="18"/>
              </w:rPr>
            </w:pPr>
            <w:r w:rsidRPr="00FA3B20">
              <w:rPr>
                <w:rFonts w:ascii="Arial" w:hAnsi="Arial" w:cs="Arial"/>
                <w:b/>
                <w:bCs/>
                <w:sz w:val="18"/>
                <w:szCs w:val="18"/>
              </w:rPr>
              <w:t>16,48 %</w:t>
            </w:r>
          </w:p>
        </w:tc>
        <w:tc>
          <w:tcPr>
            <w:tcW w:w="992" w:type="dxa"/>
            <w:shd w:val="clear" w:color="auto" w:fill="auto"/>
            <w:noWrap/>
            <w:vAlign w:val="center"/>
            <w:hideMark/>
          </w:tcPr>
          <w:p w14:paraId="449B096F" w14:textId="41BBD699" w:rsidR="00FA3B20" w:rsidRPr="00FA3B20" w:rsidRDefault="00FA3B20" w:rsidP="00FA3B20">
            <w:pPr>
              <w:spacing w:after="0" w:line="240" w:lineRule="auto"/>
              <w:jc w:val="right"/>
              <w:rPr>
                <w:rFonts w:ascii="Arial" w:hAnsi="Arial" w:cs="Arial"/>
                <w:b/>
                <w:bCs/>
                <w:sz w:val="18"/>
                <w:szCs w:val="18"/>
              </w:rPr>
            </w:pPr>
            <w:r w:rsidRPr="00FA3B20">
              <w:rPr>
                <w:rFonts w:ascii="Arial" w:hAnsi="Arial" w:cs="Arial"/>
                <w:b/>
                <w:bCs/>
                <w:sz w:val="18"/>
                <w:szCs w:val="18"/>
              </w:rPr>
              <w:t>100,00 %</w:t>
            </w:r>
          </w:p>
        </w:tc>
        <w:tc>
          <w:tcPr>
            <w:tcW w:w="992" w:type="dxa"/>
            <w:shd w:val="clear" w:color="auto" w:fill="auto"/>
            <w:noWrap/>
            <w:vAlign w:val="center"/>
            <w:hideMark/>
          </w:tcPr>
          <w:p w14:paraId="0AC5CD39" w14:textId="67DE2806" w:rsidR="00FA3B20" w:rsidRPr="00FA3B20" w:rsidRDefault="00FA3B20" w:rsidP="00FA3B20">
            <w:pPr>
              <w:spacing w:after="0" w:line="240" w:lineRule="auto"/>
              <w:jc w:val="right"/>
              <w:rPr>
                <w:rFonts w:ascii="Arial" w:hAnsi="Arial" w:cs="Arial"/>
                <w:b/>
                <w:bCs/>
                <w:sz w:val="18"/>
                <w:szCs w:val="18"/>
              </w:rPr>
            </w:pPr>
            <w:r w:rsidRPr="00FA3B20">
              <w:rPr>
                <w:rFonts w:ascii="Arial" w:hAnsi="Arial" w:cs="Arial"/>
                <w:b/>
                <w:bCs/>
                <w:sz w:val="18"/>
                <w:szCs w:val="18"/>
              </w:rPr>
              <w:t>100,00</w:t>
            </w:r>
            <w:r w:rsidR="008639E4">
              <w:rPr>
                <w:rFonts w:ascii="Arial" w:hAnsi="Arial" w:cs="Arial"/>
                <w:b/>
                <w:bCs/>
                <w:sz w:val="18"/>
                <w:szCs w:val="18"/>
              </w:rPr>
              <w:t xml:space="preserve"> </w:t>
            </w:r>
            <w:r w:rsidRPr="00FA3B20">
              <w:rPr>
                <w:rFonts w:ascii="Arial" w:hAnsi="Arial" w:cs="Arial"/>
                <w:b/>
                <w:bCs/>
                <w:sz w:val="18"/>
                <w:szCs w:val="18"/>
              </w:rPr>
              <w:t>%</w:t>
            </w:r>
          </w:p>
        </w:tc>
      </w:tr>
      <w:tr w:rsidR="00FA3B20" w:rsidRPr="00FA3B20" w14:paraId="609D5C9D" w14:textId="77777777" w:rsidTr="000C3ABF">
        <w:trPr>
          <w:trHeight w:val="255"/>
        </w:trPr>
        <w:tc>
          <w:tcPr>
            <w:tcW w:w="1301" w:type="dxa"/>
            <w:vMerge w:val="restart"/>
            <w:shd w:val="clear" w:color="auto" w:fill="auto"/>
            <w:vAlign w:val="center"/>
            <w:hideMark/>
          </w:tcPr>
          <w:p w14:paraId="0789F010" w14:textId="61CEF9BE" w:rsidR="00FA3B20" w:rsidRPr="00FA3B20" w:rsidRDefault="00FA3B20" w:rsidP="00FA3B20">
            <w:pPr>
              <w:spacing w:after="0" w:line="240" w:lineRule="auto"/>
              <w:rPr>
                <w:rFonts w:ascii="Arial" w:eastAsia="Times New Roman" w:hAnsi="Arial" w:cs="Arial"/>
                <w:color w:val="000000"/>
                <w:sz w:val="18"/>
                <w:szCs w:val="18"/>
                <w:lang w:eastAsia="sl-SI"/>
              </w:rPr>
            </w:pPr>
            <w:r w:rsidRPr="00FA3B20">
              <w:rPr>
                <w:rFonts w:ascii="Arial" w:eastAsia="Times New Roman" w:hAnsi="Arial" w:cs="Arial"/>
                <w:color w:val="000000"/>
                <w:sz w:val="18"/>
                <w:szCs w:val="18"/>
                <w:lang w:eastAsia="sl-SI"/>
              </w:rPr>
              <w:t>Obrambno</w:t>
            </w:r>
          </w:p>
        </w:tc>
        <w:tc>
          <w:tcPr>
            <w:tcW w:w="1104" w:type="dxa"/>
            <w:shd w:val="clear" w:color="auto" w:fill="auto"/>
            <w:vAlign w:val="center"/>
            <w:hideMark/>
          </w:tcPr>
          <w:p w14:paraId="51CB5055" w14:textId="77777777" w:rsidR="00FA3B20" w:rsidRPr="00FA3B20" w:rsidRDefault="00FA3B20" w:rsidP="00FA3B20">
            <w:pPr>
              <w:spacing w:after="0" w:line="240" w:lineRule="auto"/>
              <w:rPr>
                <w:rFonts w:ascii="Arial" w:eastAsia="Times New Roman" w:hAnsi="Arial" w:cs="Arial"/>
                <w:color w:val="000000"/>
                <w:sz w:val="18"/>
                <w:szCs w:val="18"/>
                <w:lang w:eastAsia="sl-SI"/>
              </w:rPr>
            </w:pPr>
            <w:r w:rsidRPr="00FA3B20">
              <w:rPr>
                <w:rFonts w:ascii="Arial" w:eastAsia="Times New Roman" w:hAnsi="Arial" w:cs="Arial"/>
                <w:color w:val="000000"/>
                <w:sz w:val="18"/>
                <w:szCs w:val="18"/>
                <w:lang w:eastAsia="sl-SI"/>
              </w:rPr>
              <w:t>Blago</w:t>
            </w:r>
          </w:p>
        </w:tc>
        <w:tc>
          <w:tcPr>
            <w:tcW w:w="851" w:type="dxa"/>
            <w:shd w:val="clear" w:color="auto" w:fill="auto"/>
            <w:vAlign w:val="center"/>
            <w:hideMark/>
          </w:tcPr>
          <w:p w14:paraId="7FD5A165" w14:textId="6D6A5FFF" w:rsidR="00FA3B20" w:rsidRPr="00FA3B20" w:rsidRDefault="00FA3B20" w:rsidP="00FA3B20">
            <w:pPr>
              <w:spacing w:after="0" w:line="240" w:lineRule="auto"/>
              <w:jc w:val="right"/>
              <w:rPr>
                <w:rFonts w:ascii="Arial" w:hAnsi="Arial" w:cs="Arial"/>
                <w:sz w:val="18"/>
                <w:szCs w:val="18"/>
              </w:rPr>
            </w:pPr>
            <w:r w:rsidRPr="00FA3B20">
              <w:rPr>
                <w:rFonts w:ascii="Arial" w:hAnsi="Arial" w:cs="Arial"/>
                <w:sz w:val="18"/>
                <w:szCs w:val="18"/>
              </w:rPr>
              <w:t>24</w:t>
            </w:r>
          </w:p>
        </w:tc>
        <w:tc>
          <w:tcPr>
            <w:tcW w:w="1984" w:type="dxa"/>
            <w:shd w:val="clear" w:color="auto" w:fill="auto"/>
            <w:vAlign w:val="center"/>
            <w:hideMark/>
          </w:tcPr>
          <w:p w14:paraId="419D9BB3" w14:textId="63CA5472" w:rsidR="00FA3B20" w:rsidRPr="00FA3B20" w:rsidRDefault="00FA3B20" w:rsidP="00FA3B20">
            <w:pPr>
              <w:spacing w:after="0" w:line="240" w:lineRule="auto"/>
              <w:jc w:val="right"/>
              <w:rPr>
                <w:rFonts w:ascii="Arial" w:hAnsi="Arial" w:cs="Arial"/>
                <w:sz w:val="18"/>
                <w:szCs w:val="18"/>
              </w:rPr>
            </w:pPr>
            <w:r w:rsidRPr="00FA3B20">
              <w:rPr>
                <w:rFonts w:ascii="Arial" w:hAnsi="Arial" w:cs="Arial"/>
                <w:sz w:val="18"/>
                <w:szCs w:val="18"/>
              </w:rPr>
              <w:t>27.363.550</w:t>
            </w:r>
          </w:p>
        </w:tc>
        <w:tc>
          <w:tcPr>
            <w:tcW w:w="992" w:type="dxa"/>
            <w:shd w:val="clear" w:color="auto" w:fill="auto"/>
            <w:noWrap/>
            <w:vAlign w:val="center"/>
            <w:hideMark/>
          </w:tcPr>
          <w:p w14:paraId="566AED2E" w14:textId="3A4D4FD6" w:rsidR="00FA3B20" w:rsidRPr="00FA3B20" w:rsidRDefault="00FA3B20" w:rsidP="00FA3B20">
            <w:pPr>
              <w:spacing w:after="0" w:line="240" w:lineRule="auto"/>
              <w:jc w:val="right"/>
              <w:rPr>
                <w:rFonts w:ascii="Arial" w:hAnsi="Arial" w:cs="Arial"/>
                <w:sz w:val="18"/>
                <w:szCs w:val="18"/>
              </w:rPr>
            </w:pPr>
            <w:r w:rsidRPr="00FA3B20">
              <w:rPr>
                <w:rFonts w:ascii="Arial" w:hAnsi="Arial" w:cs="Arial"/>
                <w:sz w:val="18"/>
                <w:szCs w:val="18"/>
              </w:rPr>
              <w:t>0,23 %</w:t>
            </w:r>
          </w:p>
        </w:tc>
        <w:tc>
          <w:tcPr>
            <w:tcW w:w="993" w:type="dxa"/>
            <w:shd w:val="clear" w:color="auto" w:fill="auto"/>
            <w:noWrap/>
            <w:vAlign w:val="center"/>
            <w:hideMark/>
          </w:tcPr>
          <w:p w14:paraId="5F19DEAB" w14:textId="71E939F3" w:rsidR="00FA3B20" w:rsidRPr="00FA3B20" w:rsidRDefault="00FA3B20" w:rsidP="00FA3B20">
            <w:pPr>
              <w:spacing w:after="0" w:line="240" w:lineRule="auto"/>
              <w:jc w:val="right"/>
              <w:rPr>
                <w:rFonts w:ascii="Arial" w:hAnsi="Arial" w:cs="Arial"/>
                <w:sz w:val="18"/>
                <w:szCs w:val="18"/>
              </w:rPr>
            </w:pPr>
            <w:r w:rsidRPr="00FA3B20">
              <w:rPr>
                <w:rFonts w:ascii="Arial" w:hAnsi="Arial" w:cs="Arial"/>
                <w:sz w:val="18"/>
                <w:szCs w:val="18"/>
              </w:rPr>
              <w:t>0,65 %</w:t>
            </w:r>
          </w:p>
        </w:tc>
        <w:tc>
          <w:tcPr>
            <w:tcW w:w="992" w:type="dxa"/>
            <w:shd w:val="clear" w:color="auto" w:fill="auto"/>
            <w:noWrap/>
            <w:vAlign w:val="center"/>
            <w:hideMark/>
          </w:tcPr>
          <w:p w14:paraId="7E80219B" w14:textId="78F2F890" w:rsidR="00FA3B20" w:rsidRPr="00FA3B20" w:rsidRDefault="00FA3B20" w:rsidP="00FA3B20">
            <w:pPr>
              <w:spacing w:after="0" w:line="240" w:lineRule="auto"/>
              <w:jc w:val="right"/>
              <w:rPr>
                <w:rFonts w:ascii="Arial" w:hAnsi="Arial" w:cs="Arial"/>
                <w:sz w:val="18"/>
                <w:szCs w:val="18"/>
              </w:rPr>
            </w:pPr>
            <w:r w:rsidRPr="00FA3B20">
              <w:rPr>
                <w:rFonts w:ascii="Arial" w:hAnsi="Arial" w:cs="Arial"/>
                <w:sz w:val="18"/>
                <w:szCs w:val="18"/>
              </w:rPr>
              <w:t>50,00 %</w:t>
            </w:r>
          </w:p>
        </w:tc>
        <w:tc>
          <w:tcPr>
            <w:tcW w:w="992" w:type="dxa"/>
            <w:shd w:val="clear" w:color="auto" w:fill="auto"/>
            <w:noWrap/>
            <w:vAlign w:val="center"/>
            <w:hideMark/>
          </w:tcPr>
          <w:p w14:paraId="14962F32" w14:textId="50B24E2A" w:rsidR="00FA3B20" w:rsidRPr="00FA3B20" w:rsidRDefault="00FA3B20" w:rsidP="00FA3B20">
            <w:pPr>
              <w:spacing w:after="0" w:line="240" w:lineRule="auto"/>
              <w:jc w:val="right"/>
              <w:rPr>
                <w:rFonts w:ascii="Arial" w:hAnsi="Arial" w:cs="Arial"/>
                <w:sz w:val="18"/>
                <w:szCs w:val="18"/>
              </w:rPr>
            </w:pPr>
            <w:r w:rsidRPr="00FA3B20">
              <w:rPr>
                <w:rFonts w:ascii="Arial" w:hAnsi="Arial" w:cs="Arial"/>
                <w:sz w:val="18"/>
                <w:szCs w:val="18"/>
              </w:rPr>
              <w:t>65,11</w:t>
            </w:r>
            <w:r w:rsidR="008639E4">
              <w:rPr>
                <w:rFonts w:ascii="Arial" w:hAnsi="Arial" w:cs="Arial"/>
                <w:sz w:val="18"/>
                <w:szCs w:val="18"/>
              </w:rPr>
              <w:t xml:space="preserve"> </w:t>
            </w:r>
            <w:r w:rsidRPr="00FA3B20">
              <w:rPr>
                <w:rFonts w:ascii="Arial" w:hAnsi="Arial" w:cs="Arial"/>
                <w:sz w:val="18"/>
                <w:szCs w:val="18"/>
              </w:rPr>
              <w:t>%</w:t>
            </w:r>
          </w:p>
        </w:tc>
      </w:tr>
      <w:tr w:rsidR="00FA3B20" w:rsidRPr="00FA3B20" w14:paraId="0716A842" w14:textId="77777777" w:rsidTr="000C3ABF">
        <w:trPr>
          <w:trHeight w:val="255"/>
        </w:trPr>
        <w:tc>
          <w:tcPr>
            <w:tcW w:w="1301" w:type="dxa"/>
            <w:vMerge/>
            <w:vAlign w:val="center"/>
            <w:hideMark/>
          </w:tcPr>
          <w:p w14:paraId="0FF6EFDE" w14:textId="77777777" w:rsidR="00FA3B20" w:rsidRPr="00FA3B20" w:rsidRDefault="00FA3B20" w:rsidP="00FA3B20">
            <w:pPr>
              <w:spacing w:after="0" w:line="240" w:lineRule="auto"/>
              <w:rPr>
                <w:rFonts w:ascii="Arial" w:eastAsia="Times New Roman" w:hAnsi="Arial" w:cs="Arial"/>
                <w:color w:val="000000"/>
                <w:sz w:val="18"/>
                <w:szCs w:val="18"/>
                <w:lang w:eastAsia="sl-SI"/>
              </w:rPr>
            </w:pPr>
          </w:p>
        </w:tc>
        <w:tc>
          <w:tcPr>
            <w:tcW w:w="1104" w:type="dxa"/>
            <w:shd w:val="clear" w:color="auto" w:fill="auto"/>
            <w:vAlign w:val="center"/>
            <w:hideMark/>
          </w:tcPr>
          <w:p w14:paraId="0F5CE2A8" w14:textId="77777777" w:rsidR="00FA3B20" w:rsidRPr="00FA3B20" w:rsidRDefault="00FA3B20" w:rsidP="00FA3B20">
            <w:pPr>
              <w:spacing w:after="0" w:line="240" w:lineRule="auto"/>
              <w:rPr>
                <w:rFonts w:ascii="Arial" w:eastAsia="Times New Roman" w:hAnsi="Arial" w:cs="Arial"/>
                <w:color w:val="000000"/>
                <w:sz w:val="18"/>
                <w:szCs w:val="18"/>
                <w:lang w:eastAsia="sl-SI"/>
              </w:rPr>
            </w:pPr>
            <w:r w:rsidRPr="00FA3B20">
              <w:rPr>
                <w:rFonts w:ascii="Arial" w:eastAsia="Times New Roman" w:hAnsi="Arial" w:cs="Arial"/>
                <w:color w:val="000000"/>
                <w:sz w:val="18"/>
                <w:szCs w:val="18"/>
                <w:lang w:eastAsia="sl-SI"/>
              </w:rPr>
              <w:t>Storitve</w:t>
            </w:r>
          </w:p>
        </w:tc>
        <w:tc>
          <w:tcPr>
            <w:tcW w:w="851" w:type="dxa"/>
            <w:shd w:val="clear" w:color="auto" w:fill="auto"/>
            <w:vAlign w:val="center"/>
            <w:hideMark/>
          </w:tcPr>
          <w:p w14:paraId="796FF3AF" w14:textId="01E7A1C3" w:rsidR="00FA3B20" w:rsidRPr="00FA3B20" w:rsidRDefault="00FA3B20" w:rsidP="00FA3B20">
            <w:pPr>
              <w:spacing w:after="0" w:line="240" w:lineRule="auto"/>
              <w:jc w:val="right"/>
              <w:rPr>
                <w:rFonts w:ascii="Arial" w:hAnsi="Arial" w:cs="Arial"/>
                <w:sz w:val="18"/>
                <w:szCs w:val="18"/>
              </w:rPr>
            </w:pPr>
            <w:r w:rsidRPr="00FA3B20">
              <w:rPr>
                <w:rFonts w:ascii="Arial" w:hAnsi="Arial" w:cs="Arial"/>
                <w:sz w:val="18"/>
                <w:szCs w:val="18"/>
              </w:rPr>
              <w:t>24</w:t>
            </w:r>
          </w:p>
        </w:tc>
        <w:tc>
          <w:tcPr>
            <w:tcW w:w="1984" w:type="dxa"/>
            <w:shd w:val="clear" w:color="auto" w:fill="auto"/>
            <w:vAlign w:val="center"/>
            <w:hideMark/>
          </w:tcPr>
          <w:p w14:paraId="56E48AAA" w14:textId="53244DF1" w:rsidR="00FA3B20" w:rsidRPr="00FA3B20" w:rsidRDefault="00FA3B20" w:rsidP="00FA3B20">
            <w:pPr>
              <w:spacing w:after="0" w:line="240" w:lineRule="auto"/>
              <w:jc w:val="right"/>
              <w:rPr>
                <w:rFonts w:ascii="Arial" w:hAnsi="Arial" w:cs="Arial"/>
                <w:sz w:val="18"/>
                <w:szCs w:val="18"/>
              </w:rPr>
            </w:pPr>
            <w:r w:rsidRPr="00FA3B20">
              <w:rPr>
                <w:rFonts w:ascii="Arial" w:hAnsi="Arial" w:cs="Arial"/>
                <w:sz w:val="18"/>
                <w:szCs w:val="18"/>
              </w:rPr>
              <w:t>14.664.910</w:t>
            </w:r>
          </w:p>
        </w:tc>
        <w:tc>
          <w:tcPr>
            <w:tcW w:w="992" w:type="dxa"/>
            <w:shd w:val="clear" w:color="auto" w:fill="auto"/>
            <w:noWrap/>
            <w:vAlign w:val="center"/>
            <w:hideMark/>
          </w:tcPr>
          <w:p w14:paraId="18A892F9" w14:textId="795CAC12" w:rsidR="00FA3B20" w:rsidRPr="00FA3B20" w:rsidRDefault="00FA3B20" w:rsidP="00FA3B20">
            <w:pPr>
              <w:spacing w:after="0" w:line="240" w:lineRule="auto"/>
              <w:jc w:val="right"/>
              <w:rPr>
                <w:rFonts w:ascii="Arial" w:hAnsi="Arial" w:cs="Arial"/>
                <w:sz w:val="18"/>
                <w:szCs w:val="18"/>
              </w:rPr>
            </w:pPr>
            <w:r w:rsidRPr="00FA3B20">
              <w:rPr>
                <w:rFonts w:ascii="Arial" w:hAnsi="Arial" w:cs="Arial"/>
                <w:sz w:val="18"/>
                <w:szCs w:val="18"/>
              </w:rPr>
              <w:t>0,23 %</w:t>
            </w:r>
          </w:p>
        </w:tc>
        <w:tc>
          <w:tcPr>
            <w:tcW w:w="993" w:type="dxa"/>
            <w:shd w:val="clear" w:color="auto" w:fill="auto"/>
            <w:noWrap/>
            <w:vAlign w:val="center"/>
            <w:hideMark/>
          </w:tcPr>
          <w:p w14:paraId="161B0D90" w14:textId="4EBA0D51" w:rsidR="00FA3B20" w:rsidRPr="00FA3B20" w:rsidRDefault="00FA3B20" w:rsidP="00FA3B20">
            <w:pPr>
              <w:spacing w:after="0" w:line="240" w:lineRule="auto"/>
              <w:jc w:val="right"/>
              <w:rPr>
                <w:rFonts w:ascii="Arial" w:hAnsi="Arial" w:cs="Arial"/>
                <w:sz w:val="18"/>
                <w:szCs w:val="18"/>
              </w:rPr>
            </w:pPr>
            <w:r w:rsidRPr="00FA3B20">
              <w:rPr>
                <w:rFonts w:ascii="Arial" w:hAnsi="Arial" w:cs="Arial"/>
                <w:sz w:val="18"/>
                <w:szCs w:val="18"/>
              </w:rPr>
              <w:t>0,35 %</w:t>
            </w:r>
          </w:p>
        </w:tc>
        <w:tc>
          <w:tcPr>
            <w:tcW w:w="992" w:type="dxa"/>
            <w:shd w:val="clear" w:color="auto" w:fill="auto"/>
            <w:noWrap/>
            <w:vAlign w:val="center"/>
            <w:hideMark/>
          </w:tcPr>
          <w:p w14:paraId="26E3FC25" w14:textId="08299796" w:rsidR="00FA3B20" w:rsidRPr="00FA3B20" w:rsidRDefault="00FA3B20" w:rsidP="00FA3B20">
            <w:pPr>
              <w:spacing w:after="0" w:line="240" w:lineRule="auto"/>
              <w:jc w:val="right"/>
              <w:rPr>
                <w:rFonts w:ascii="Arial" w:hAnsi="Arial" w:cs="Arial"/>
                <w:sz w:val="18"/>
                <w:szCs w:val="18"/>
              </w:rPr>
            </w:pPr>
            <w:r w:rsidRPr="00FA3B20">
              <w:rPr>
                <w:rFonts w:ascii="Arial" w:hAnsi="Arial" w:cs="Arial"/>
                <w:sz w:val="18"/>
                <w:szCs w:val="18"/>
              </w:rPr>
              <w:t>50,00 %</w:t>
            </w:r>
          </w:p>
        </w:tc>
        <w:tc>
          <w:tcPr>
            <w:tcW w:w="992" w:type="dxa"/>
            <w:shd w:val="clear" w:color="auto" w:fill="auto"/>
            <w:noWrap/>
            <w:vAlign w:val="center"/>
            <w:hideMark/>
          </w:tcPr>
          <w:p w14:paraId="134CDF13" w14:textId="636D6EE2" w:rsidR="00FA3B20" w:rsidRPr="00FA3B20" w:rsidRDefault="00FA3B20" w:rsidP="00FA3B20">
            <w:pPr>
              <w:spacing w:after="0" w:line="240" w:lineRule="auto"/>
              <w:jc w:val="right"/>
              <w:rPr>
                <w:rFonts w:ascii="Arial" w:hAnsi="Arial" w:cs="Arial"/>
                <w:sz w:val="18"/>
                <w:szCs w:val="18"/>
              </w:rPr>
            </w:pPr>
            <w:r w:rsidRPr="00FA3B20">
              <w:rPr>
                <w:rFonts w:ascii="Arial" w:hAnsi="Arial" w:cs="Arial"/>
                <w:sz w:val="18"/>
                <w:szCs w:val="18"/>
              </w:rPr>
              <w:t>34,89</w:t>
            </w:r>
            <w:r w:rsidR="008639E4">
              <w:rPr>
                <w:rFonts w:ascii="Arial" w:hAnsi="Arial" w:cs="Arial"/>
                <w:sz w:val="18"/>
                <w:szCs w:val="18"/>
              </w:rPr>
              <w:t xml:space="preserve"> </w:t>
            </w:r>
            <w:r w:rsidRPr="00FA3B20">
              <w:rPr>
                <w:rFonts w:ascii="Arial" w:hAnsi="Arial" w:cs="Arial"/>
                <w:sz w:val="18"/>
                <w:szCs w:val="18"/>
              </w:rPr>
              <w:t>%</w:t>
            </w:r>
          </w:p>
        </w:tc>
      </w:tr>
      <w:tr w:rsidR="00FA3B20" w:rsidRPr="00FA3B20" w14:paraId="53944C42" w14:textId="77777777" w:rsidTr="000C3ABF">
        <w:trPr>
          <w:trHeight w:val="255"/>
        </w:trPr>
        <w:tc>
          <w:tcPr>
            <w:tcW w:w="1301" w:type="dxa"/>
            <w:vMerge/>
            <w:vAlign w:val="center"/>
            <w:hideMark/>
          </w:tcPr>
          <w:p w14:paraId="0178EADE" w14:textId="77777777" w:rsidR="00FA3B20" w:rsidRPr="00FA3B20" w:rsidRDefault="00FA3B20" w:rsidP="00FA3B20">
            <w:pPr>
              <w:spacing w:after="0" w:line="240" w:lineRule="auto"/>
              <w:rPr>
                <w:rFonts w:ascii="Arial" w:eastAsia="Times New Roman" w:hAnsi="Arial" w:cs="Arial"/>
                <w:color w:val="000000"/>
                <w:sz w:val="18"/>
                <w:szCs w:val="18"/>
                <w:lang w:eastAsia="sl-SI"/>
              </w:rPr>
            </w:pPr>
          </w:p>
        </w:tc>
        <w:tc>
          <w:tcPr>
            <w:tcW w:w="1104" w:type="dxa"/>
            <w:shd w:val="clear" w:color="auto" w:fill="auto"/>
            <w:vAlign w:val="center"/>
            <w:hideMark/>
          </w:tcPr>
          <w:p w14:paraId="16D6FC13" w14:textId="77777777" w:rsidR="00FA3B20" w:rsidRPr="00FA3B20" w:rsidRDefault="00FA3B20" w:rsidP="00FA3B20">
            <w:pPr>
              <w:spacing w:after="0" w:line="240" w:lineRule="auto"/>
              <w:rPr>
                <w:rFonts w:ascii="Arial" w:eastAsia="Times New Roman" w:hAnsi="Arial" w:cs="Arial"/>
                <w:b/>
                <w:bCs/>
                <w:color w:val="000000"/>
                <w:sz w:val="18"/>
                <w:szCs w:val="18"/>
                <w:lang w:eastAsia="sl-SI"/>
              </w:rPr>
            </w:pPr>
            <w:r w:rsidRPr="00FA3B20">
              <w:rPr>
                <w:rFonts w:ascii="Arial" w:eastAsia="Times New Roman" w:hAnsi="Arial" w:cs="Arial"/>
                <w:b/>
                <w:bCs/>
                <w:color w:val="000000"/>
                <w:sz w:val="18"/>
                <w:szCs w:val="18"/>
                <w:lang w:eastAsia="sl-SI"/>
              </w:rPr>
              <w:t>Skupaj</w:t>
            </w:r>
          </w:p>
        </w:tc>
        <w:tc>
          <w:tcPr>
            <w:tcW w:w="851" w:type="dxa"/>
            <w:shd w:val="clear" w:color="auto" w:fill="auto"/>
            <w:noWrap/>
            <w:vAlign w:val="center"/>
            <w:hideMark/>
          </w:tcPr>
          <w:p w14:paraId="50912BEF" w14:textId="36B733E3" w:rsidR="00FA3B20" w:rsidRPr="00FA3B20" w:rsidRDefault="00FA3B20" w:rsidP="00FA3B20">
            <w:pPr>
              <w:spacing w:after="0" w:line="240" w:lineRule="auto"/>
              <w:jc w:val="right"/>
              <w:rPr>
                <w:rFonts w:ascii="Arial" w:hAnsi="Arial" w:cs="Arial"/>
                <w:b/>
                <w:bCs/>
                <w:sz w:val="18"/>
                <w:szCs w:val="18"/>
              </w:rPr>
            </w:pPr>
            <w:r w:rsidRPr="00FA3B20">
              <w:rPr>
                <w:rFonts w:ascii="Arial" w:hAnsi="Arial" w:cs="Arial"/>
                <w:b/>
                <w:bCs/>
                <w:sz w:val="18"/>
                <w:szCs w:val="18"/>
              </w:rPr>
              <w:t>48</w:t>
            </w:r>
          </w:p>
        </w:tc>
        <w:tc>
          <w:tcPr>
            <w:tcW w:w="1984" w:type="dxa"/>
            <w:shd w:val="clear" w:color="auto" w:fill="auto"/>
            <w:noWrap/>
            <w:vAlign w:val="center"/>
            <w:hideMark/>
          </w:tcPr>
          <w:p w14:paraId="6C4F5CA8" w14:textId="3174CB52" w:rsidR="00FA3B20" w:rsidRPr="00FA3B20" w:rsidRDefault="00FA3B20" w:rsidP="00FA3B20">
            <w:pPr>
              <w:spacing w:after="0" w:line="240" w:lineRule="auto"/>
              <w:jc w:val="right"/>
              <w:rPr>
                <w:rFonts w:ascii="Arial" w:hAnsi="Arial" w:cs="Arial"/>
                <w:b/>
                <w:bCs/>
                <w:sz w:val="18"/>
                <w:szCs w:val="18"/>
              </w:rPr>
            </w:pPr>
            <w:r w:rsidRPr="00FA3B20">
              <w:rPr>
                <w:rFonts w:ascii="Arial" w:hAnsi="Arial" w:cs="Arial"/>
                <w:b/>
                <w:bCs/>
                <w:sz w:val="18"/>
                <w:szCs w:val="18"/>
              </w:rPr>
              <w:t>42.028.460</w:t>
            </w:r>
          </w:p>
        </w:tc>
        <w:tc>
          <w:tcPr>
            <w:tcW w:w="992" w:type="dxa"/>
            <w:shd w:val="clear" w:color="auto" w:fill="auto"/>
            <w:noWrap/>
            <w:vAlign w:val="center"/>
            <w:hideMark/>
          </w:tcPr>
          <w:p w14:paraId="3BA27FAF" w14:textId="73F838B7" w:rsidR="00FA3B20" w:rsidRPr="00FA3B20" w:rsidRDefault="00FA3B20" w:rsidP="00FA3B20">
            <w:pPr>
              <w:spacing w:after="0" w:line="240" w:lineRule="auto"/>
              <w:jc w:val="right"/>
              <w:rPr>
                <w:rFonts w:ascii="Arial" w:hAnsi="Arial" w:cs="Arial"/>
                <w:b/>
                <w:bCs/>
                <w:sz w:val="18"/>
                <w:szCs w:val="18"/>
              </w:rPr>
            </w:pPr>
            <w:r w:rsidRPr="00FA3B20">
              <w:rPr>
                <w:rFonts w:ascii="Arial" w:hAnsi="Arial" w:cs="Arial"/>
                <w:b/>
                <w:bCs/>
                <w:sz w:val="18"/>
                <w:szCs w:val="18"/>
              </w:rPr>
              <w:t>0,47 %</w:t>
            </w:r>
          </w:p>
        </w:tc>
        <w:tc>
          <w:tcPr>
            <w:tcW w:w="993" w:type="dxa"/>
            <w:shd w:val="clear" w:color="auto" w:fill="auto"/>
            <w:noWrap/>
            <w:vAlign w:val="center"/>
            <w:hideMark/>
          </w:tcPr>
          <w:p w14:paraId="640930B8" w14:textId="0C9967AD" w:rsidR="00FA3B20" w:rsidRPr="00FA3B20" w:rsidRDefault="00FA3B20" w:rsidP="00FA3B20">
            <w:pPr>
              <w:spacing w:after="0" w:line="240" w:lineRule="auto"/>
              <w:jc w:val="right"/>
              <w:rPr>
                <w:rFonts w:ascii="Arial" w:hAnsi="Arial" w:cs="Arial"/>
                <w:b/>
                <w:bCs/>
                <w:sz w:val="18"/>
                <w:szCs w:val="18"/>
              </w:rPr>
            </w:pPr>
            <w:r w:rsidRPr="00FA3B20">
              <w:rPr>
                <w:rFonts w:ascii="Arial" w:hAnsi="Arial" w:cs="Arial"/>
                <w:b/>
                <w:bCs/>
                <w:sz w:val="18"/>
                <w:szCs w:val="18"/>
              </w:rPr>
              <w:t>1,01 %</w:t>
            </w:r>
          </w:p>
        </w:tc>
        <w:tc>
          <w:tcPr>
            <w:tcW w:w="992" w:type="dxa"/>
            <w:shd w:val="clear" w:color="auto" w:fill="auto"/>
            <w:noWrap/>
            <w:vAlign w:val="center"/>
            <w:hideMark/>
          </w:tcPr>
          <w:p w14:paraId="4F9EDC02" w14:textId="308F75A6" w:rsidR="00FA3B20" w:rsidRPr="00FA3B20" w:rsidRDefault="00FA3B20" w:rsidP="00FA3B20">
            <w:pPr>
              <w:spacing w:after="0" w:line="240" w:lineRule="auto"/>
              <w:jc w:val="right"/>
              <w:rPr>
                <w:rFonts w:ascii="Arial" w:hAnsi="Arial" w:cs="Arial"/>
                <w:b/>
                <w:bCs/>
                <w:sz w:val="18"/>
                <w:szCs w:val="18"/>
              </w:rPr>
            </w:pPr>
            <w:r w:rsidRPr="00FA3B20">
              <w:rPr>
                <w:rFonts w:ascii="Arial" w:hAnsi="Arial" w:cs="Arial"/>
                <w:b/>
                <w:bCs/>
                <w:sz w:val="18"/>
                <w:szCs w:val="18"/>
              </w:rPr>
              <w:t>100,00 %</w:t>
            </w:r>
          </w:p>
        </w:tc>
        <w:tc>
          <w:tcPr>
            <w:tcW w:w="992" w:type="dxa"/>
            <w:shd w:val="clear" w:color="auto" w:fill="auto"/>
            <w:noWrap/>
            <w:vAlign w:val="center"/>
            <w:hideMark/>
          </w:tcPr>
          <w:p w14:paraId="1C6B186A" w14:textId="7843B4D5" w:rsidR="00FA3B20" w:rsidRPr="00FA3B20" w:rsidRDefault="00FA3B20" w:rsidP="00FA3B20">
            <w:pPr>
              <w:spacing w:after="0" w:line="240" w:lineRule="auto"/>
              <w:jc w:val="right"/>
              <w:rPr>
                <w:rFonts w:ascii="Arial" w:hAnsi="Arial" w:cs="Arial"/>
                <w:b/>
                <w:bCs/>
                <w:sz w:val="18"/>
                <w:szCs w:val="18"/>
              </w:rPr>
            </w:pPr>
            <w:r w:rsidRPr="00FA3B20">
              <w:rPr>
                <w:rFonts w:ascii="Arial" w:hAnsi="Arial" w:cs="Arial"/>
                <w:b/>
                <w:bCs/>
                <w:sz w:val="18"/>
                <w:szCs w:val="18"/>
              </w:rPr>
              <w:t>100,00</w:t>
            </w:r>
            <w:r w:rsidR="008639E4">
              <w:rPr>
                <w:rFonts w:ascii="Arial" w:hAnsi="Arial" w:cs="Arial"/>
                <w:b/>
                <w:bCs/>
                <w:sz w:val="18"/>
                <w:szCs w:val="18"/>
              </w:rPr>
              <w:t xml:space="preserve"> </w:t>
            </w:r>
            <w:r w:rsidRPr="00FA3B20">
              <w:rPr>
                <w:rFonts w:ascii="Arial" w:hAnsi="Arial" w:cs="Arial"/>
                <w:b/>
                <w:bCs/>
                <w:sz w:val="18"/>
                <w:szCs w:val="18"/>
              </w:rPr>
              <w:t>%</w:t>
            </w:r>
          </w:p>
        </w:tc>
      </w:tr>
      <w:tr w:rsidR="00FA3B20" w:rsidRPr="00FA3B20" w14:paraId="22047C96" w14:textId="77777777" w:rsidTr="000C3ABF">
        <w:trPr>
          <w:gridAfter w:val="2"/>
          <w:wAfter w:w="1984" w:type="dxa"/>
          <w:trHeight w:val="255"/>
        </w:trPr>
        <w:tc>
          <w:tcPr>
            <w:tcW w:w="1301" w:type="dxa"/>
            <w:shd w:val="clear" w:color="auto" w:fill="F2F2F2" w:themeFill="background1" w:themeFillShade="F2"/>
            <w:vAlign w:val="center"/>
            <w:hideMark/>
          </w:tcPr>
          <w:p w14:paraId="7B3E7131" w14:textId="77777777" w:rsidR="00FA3B20" w:rsidRPr="00FA3B20" w:rsidRDefault="00FA3B20" w:rsidP="00FA3B20">
            <w:pPr>
              <w:spacing w:after="0" w:line="240" w:lineRule="auto"/>
              <w:rPr>
                <w:rFonts w:ascii="Arial" w:eastAsia="Times New Roman" w:hAnsi="Arial" w:cs="Arial"/>
                <w:b/>
                <w:bCs/>
                <w:color w:val="000000"/>
                <w:sz w:val="18"/>
                <w:szCs w:val="18"/>
                <w:lang w:eastAsia="sl-SI"/>
              </w:rPr>
            </w:pPr>
            <w:r w:rsidRPr="00FA3B20">
              <w:rPr>
                <w:rFonts w:ascii="Arial" w:eastAsia="Times New Roman" w:hAnsi="Arial" w:cs="Arial"/>
                <w:b/>
                <w:bCs/>
                <w:color w:val="000000"/>
                <w:sz w:val="18"/>
                <w:szCs w:val="18"/>
                <w:lang w:eastAsia="sl-SI"/>
              </w:rPr>
              <w:t>Skupaj</w:t>
            </w:r>
          </w:p>
        </w:tc>
        <w:tc>
          <w:tcPr>
            <w:tcW w:w="1104" w:type="dxa"/>
            <w:shd w:val="clear" w:color="auto" w:fill="F2F2F2" w:themeFill="background1" w:themeFillShade="F2"/>
            <w:noWrap/>
            <w:vAlign w:val="center"/>
            <w:hideMark/>
          </w:tcPr>
          <w:p w14:paraId="25895040" w14:textId="77777777" w:rsidR="00FA3B20" w:rsidRPr="00FA3B20" w:rsidRDefault="00FA3B20" w:rsidP="00FA3B20">
            <w:pPr>
              <w:spacing w:after="0" w:line="240" w:lineRule="auto"/>
              <w:rPr>
                <w:rFonts w:ascii="Arial" w:eastAsia="Times New Roman" w:hAnsi="Arial" w:cs="Arial"/>
                <w:b/>
                <w:bCs/>
                <w:color w:val="000000"/>
                <w:sz w:val="18"/>
                <w:szCs w:val="18"/>
                <w:lang w:eastAsia="sl-SI"/>
              </w:rPr>
            </w:pPr>
            <w:r w:rsidRPr="00FA3B20">
              <w:rPr>
                <w:rFonts w:ascii="Arial" w:eastAsia="Times New Roman" w:hAnsi="Arial" w:cs="Arial"/>
                <w:b/>
                <w:bCs/>
                <w:color w:val="000000"/>
                <w:sz w:val="18"/>
                <w:szCs w:val="18"/>
                <w:lang w:eastAsia="sl-SI"/>
              </w:rPr>
              <w:t> </w:t>
            </w:r>
          </w:p>
        </w:tc>
        <w:tc>
          <w:tcPr>
            <w:tcW w:w="851" w:type="dxa"/>
            <w:shd w:val="clear" w:color="auto" w:fill="F2F2F2" w:themeFill="background1" w:themeFillShade="F2"/>
            <w:noWrap/>
            <w:vAlign w:val="center"/>
            <w:hideMark/>
          </w:tcPr>
          <w:p w14:paraId="1FD86D03" w14:textId="5DCD5260" w:rsidR="00FA3B20" w:rsidRPr="00FA3B20" w:rsidRDefault="00FA3B20" w:rsidP="00FA3B20">
            <w:pPr>
              <w:spacing w:after="0" w:line="240" w:lineRule="auto"/>
              <w:jc w:val="right"/>
              <w:rPr>
                <w:rFonts w:ascii="Arial" w:hAnsi="Arial" w:cs="Arial"/>
                <w:b/>
                <w:bCs/>
                <w:sz w:val="18"/>
                <w:szCs w:val="18"/>
              </w:rPr>
            </w:pPr>
            <w:r w:rsidRPr="00FA3B20">
              <w:rPr>
                <w:rFonts w:ascii="Arial" w:hAnsi="Arial" w:cs="Arial"/>
                <w:b/>
                <w:bCs/>
                <w:sz w:val="18"/>
                <w:szCs w:val="18"/>
              </w:rPr>
              <w:t>10.289</w:t>
            </w:r>
          </w:p>
        </w:tc>
        <w:tc>
          <w:tcPr>
            <w:tcW w:w="1984" w:type="dxa"/>
            <w:shd w:val="clear" w:color="auto" w:fill="F2F2F2" w:themeFill="background1" w:themeFillShade="F2"/>
            <w:noWrap/>
            <w:vAlign w:val="center"/>
            <w:hideMark/>
          </w:tcPr>
          <w:p w14:paraId="4CDAC3B0" w14:textId="69B2D0AB" w:rsidR="00FA3B20" w:rsidRPr="00FA3B20" w:rsidRDefault="00FA3B20" w:rsidP="00FA3B20">
            <w:pPr>
              <w:spacing w:after="0" w:line="240" w:lineRule="auto"/>
              <w:jc w:val="right"/>
              <w:rPr>
                <w:rFonts w:ascii="Arial" w:hAnsi="Arial" w:cs="Arial"/>
                <w:b/>
                <w:bCs/>
                <w:sz w:val="18"/>
                <w:szCs w:val="18"/>
              </w:rPr>
            </w:pPr>
            <w:r w:rsidRPr="00FA3B20">
              <w:rPr>
                <w:rFonts w:ascii="Arial" w:hAnsi="Arial" w:cs="Arial"/>
                <w:b/>
                <w:bCs/>
                <w:sz w:val="18"/>
                <w:szCs w:val="18"/>
              </w:rPr>
              <w:t>4.178.721.659</w:t>
            </w:r>
          </w:p>
        </w:tc>
        <w:tc>
          <w:tcPr>
            <w:tcW w:w="992" w:type="dxa"/>
            <w:shd w:val="clear" w:color="auto" w:fill="F2F2F2" w:themeFill="background1" w:themeFillShade="F2"/>
            <w:noWrap/>
            <w:vAlign w:val="center"/>
            <w:hideMark/>
          </w:tcPr>
          <w:p w14:paraId="7F92083B" w14:textId="624ABB72" w:rsidR="00FA3B20" w:rsidRPr="00FA3B20" w:rsidRDefault="00FA3B20" w:rsidP="00FA3B20">
            <w:pPr>
              <w:spacing w:after="0" w:line="240" w:lineRule="auto"/>
              <w:jc w:val="right"/>
              <w:rPr>
                <w:rFonts w:ascii="Arial" w:hAnsi="Arial" w:cs="Arial"/>
                <w:b/>
                <w:bCs/>
                <w:sz w:val="18"/>
                <w:szCs w:val="18"/>
              </w:rPr>
            </w:pPr>
            <w:r w:rsidRPr="00FA3B20">
              <w:rPr>
                <w:rFonts w:ascii="Arial" w:hAnsi="Arial" w:cs="Arial"/>
                <w:b/>
                <w:bCs/>
                <w:sz w:val="18"/>
                <w:szCs w:val="18"/>
              </w:rPr>
              <w:t>100,00 %</w:t>
            </w:r>
          </w:p>
        </w:tc>
        <w:tc>
          <w:tcPr>
            <w:tcW w:w="993" w:type="dxa"/>
            <w:shd w:val="clear" w:color="auto" w:fill="F2F2F2" w:themeFill="background1" w:themeFillShade="F2"/>
            <w:noWrap/>
            <w:vAlign w:val="center"/>
            <w:hideMark/>
          </w:tcPr>
          <w:p w14:paraId="2052C2B6" w14:textId="45ECA11C" w:rsidR="00FA3B20" w:rsidRPr="00FA3B20" w:rsidRDefault="00FA3B20" w:rsidP="00FA3B20">
            <w:pPr>
              <w:spacing w:after="0" w:line="240" w:lineRule="auto"/>
              <w:jc w:val="right"/>
              <w:rPr>
                <w:rFonts w:ascii="Arial" w:hAnsi="Arial" w:cs="Arial"/>
                <w:b/>
                <w:bCs/>
                <w:sz w:val="18"/>
                <w:szCs w:val="18"/>
              </w:rPr>
            </w:pPr>
            <w:r w:rsidRPr="00FA3B20">
              <w:rPr>
                <w:rFonts w:ascii="Arial" w:hAnsi="Arial" w:cs="Arial"/>
                <w:b/>
                <w:bCs/>
                <w:sz w:val="18"/>
                <w:szCs w:val="18"/>
              </w:rPr>
              <w:t>100,00 %</w:t>
            </w:r>
          </w:p>
        </w:tc>
      </w:tr>
    </w:tbl>
    <w:p w14:paraId="2D7B76D8" w14:textId="77777777" w:rsidR="00854405" w:rsidRPr="00FA3B20" w:rsidRDefault="00854405" w:rsidP="00854405">
      <w:pPr>
        <w:pStyle w:val="ZADEVA"/>
        <w:jc w:val="both"/>
        <w:rPr>
          <w:rFonts w:cs="Arial"/>
          <w:b w:val="0"/>
          <w:szCs w:val="20"/>
          <w:lang w:val="sl-SI"/>
        </w:rPr>
      </w:pPr>
    </w:p>
    <w:p w14:paraId="0D630880" w14:textId="00DC6499" w:rsidR="008D541C" w:rsidRPr="00FA3B20" w:rsidRDefault="008D541C" w:rsidP="000D71AD">
      <w:pPr>
        <w:spacing w:after="0" w:line="240" w:lineRule="auto"/>
        <w:jc w:val="center"/>
        <w:rPr>
          <w:rFonts w:ascii="Arial" w:hAnsi="Arial" w:cs="Arial"/>
          <w:sz w:val="18"/>
        </w:rPr>
      </w:pPr>
      <w:r w:rsidRPr="00FA3B20">
        <w:rPr>
          <w:rFonts w:ascii="Arial" w:hAnsi="Arial" w:cs="Arial"/>
          <w:sz w:val="18"/>
        </w:rPr>
        <w:t>Vir: Statistični podatki o javni</w:t>
      </w:r>
      <w:r w:rsidR="009C26D8" w:rsidRPr="00FA3B20">
        <w:rPr>
          <w:rFonts w:ascii="Arial" w:hAnsi="Arial" w:cs="Arial"/>
          <w:sz w:val="18"/>
        </w:rPr>
        <w:t>h naročilih, oddanih v letu 20</w:t>
      </w:r>
      <w:r w:rsidR="009A7A16" w:rsidRPr="00FA3B20">
        <w:rPr>
          <w:rFonts w:ascii="Arial" w:hAnsi="Arial" w:cs="Arial"/>
          <w:sz w:val="18"/>
        </w:rPr>
        <w:t>2</w:t>
      </w:r>
      <w:r w:rsidR="00FA3B20" w:rsidRPr="00FA3B20">
        <w:rPr>
          <w:rFonts w:ascii="Arial" w:hAnsi="Arial" w:cs="Arial"/>
          <w:sz w:val="18"/>
        </w:rPr>
        <w:t>2</w:t>
      </w:r>
      <w:r w:rsidR="00AA31A7" w:rsidRPr="00FA3B20">
        <w:rPr>
          <w:rFonts w:ascii="Arial" w:hAnsi="Arial" w:cs="Arial"/>
          <w:sz w:val="18"/>
        </w:rPr>
        <w:t>.</w:t>
      </w:r>
    </w:p>
    <w:p w14:paraId="0C633EFA" w14:textId="32447FA6" w:rsidR="006402BB" w:rsidRPr="00FA3B20" w:rsidRDefault="006402BB" w:rsidP="00701C10">
      <w:pPr>
        <w:spacing w:after="240" w:line="240" w:lineRule="auto"/>
        <w:jc w:val="center"/>
        <w:rPr>
          <w:rFonts w:ascii="Arial" w:hAnsi="Arial" w:cs="Arial"/>
          <w:color w:val="000000" w:themeColor="text1"/>
          <w:sz w:val="18"/>
        </w:rPr>
      </w:pPr>
    </w:p>
    <w:p w14:paraId="166DCBAD" w14:textId="44DF47B8" w:rsidR="00854405" w:rsidRPr="001A1BD2" w:rsidRDefault="00B83352" w:rsidP="00392E59">
      <w:pPr>
        <w:pStyle w:val="Naslov2"/>
        <w:rPr>
          <w:rFonts w:ascii="Arial" w:hAnsi="Arial" w:cs="Arial"/>
          <w:sz w:val="22"/>
          <w:szCs w:val="22"/>
        </w:rPr>
      </w:pPr>
      <w:bookmarkStart w:id="18" w:name="_Toc141864053"/>
      <w:r w:rsidRPr="001A1BD2">
        <w:rPr>
          <w:rFonts w:ascii="Arial" w:hAnsi="Arial" w:cs="Arial"/>
          <w:sz w:val="22"/>
          <w:szCs w:val="22"/>
        </w:rPr>
        <w:t>2.3 Postopki in načini oddaje javnih naročil</w:t>
      </w:r>
      <w:bookmarkEnd w:id="18"/>
    </w:p>
    <w:p w14:paraId="0D2B6E76" w14:textId="77777777" w:rsidR="00854405" w:rsidRPr="001A1BD2" w:rsidRDefault="00854405" w:rsidP="00E22313">
      <w:pPr>
        <w:pStyle w:val="Naslov3"/>
        <w:rPr>
          <w:rFonts w:ascii="Arial" w:hAnsi="Arial" w:cs="Arial"/>
          <w:b/>
          <w:sz w:val="22"/>
          <w:szCs w:val="22"/>
        </w:rPr>
      </w:pPr>
    </w:p>
    <w:p w14:paraId="66A4B3AF" w14:textId="228B9933" w:rsidR="00C82466" w:rsidRPr="001A1BD2" w:rsidRDefault="00C82466" w:rsidP="00E22313">
      <w:pPr>
        <w:pStyle w:val="Naslov3"/>
        <w:rPr>
          <w:rFonts w:ascii="Arial" w:hAnsi="Arial" w:cs="Arial"/>
          <w:sz w:val="22"/>
          <w:szCs w:val="22"/>
        </w:rPr>
      </w:pPr>
      <w:bookmarkStart w:id="19" w:name="_Toc141864054"/>
      <w:r w:rsidRPr="001A1BD2">
        <w:rPr>
          <w:rFonts w:ascii="Arial" w:hAnsi="Arial" w:cs="Arial"/>
          <w:sz w:val="22"/>
          <w:szCs w:val="22"/>
        </w:rPr>
        <w:t>2.3.1 Postopki javnega naročanja</w:t>
      </w:r>
      <w:bookmarkEnd w:id="19"/>
    </w:p>
    <w:p w14:paraId="578E3A7B" w14:textId="77777777" w:rsidR="00854405" w:rsidRPr="001A1BD2" w:rsidRDefault="00854405" w:rsidP="00CE0F33">
      <w:pPr>
        <w:pStyle w:val="ZADEVA"/>
        <w:jc w:val="both"/>
        <w:rPr>
          <w:rFonts w:cs="Arial"/>
          <w:b w:val="0"/>
          <w:color w:val="000000" w:themeColor="text1"/>
          <w:szCs w:val="20"/>
          <w:lang w:val="sl-SI"/>
        </w:rPr>
      </w:pPr>
    </w:p>
    <w:p w14:paraId="79331D01" w14:textId="4DED1337" w:rsidR="00B346C9" w:rsidRPr="001A1BD2" w:rsidRDefault="00B346C9" w:rsidP="00CE0F33">
      <w:pPr>
        <w:tabs>
          <w:tab w:val="left" w:pos="567"/>
          <w:tab w:val="left" w:pos="993"/>
        </w:tabs>
        <w:spacing w:line="360" w:lineRule="auto"/>
        <w:jc w:val="both"/>
        <w:rPr>
          <w:rFonts w:ascii="Arial" w:hAnsi="Arial" w:cs="Arial"/>
          <w:bCs/>
          <w:color w:val="000000" w:themeColor="text1"/>
          <w:sz w:val="20"/>
          <w:szCs w:val="20"/>
        </w:rPr>
      </w:pPr>
      <w:r w:rsidRPr="001A1BD2">
        <w:rPr>
          <w:rFonts w:ascii="Arial" w:hAnsi="Arial" w:cs="Arial"/>
          <w:bCs/>
          <w:color w:val="000000" w:themeColor="text1"/>
          <w:sz w:val="20"/>
          <w:szCs w:val="20"/>
        </w:rPr>
        <w:t xml:space="preserve">Število postopkov javnega naročanja in njihova vrednost glede na vrsto postopkov, ki so jih naročniki uspešno </w:t>
      </w:r>
      <w:r w:rsidR="002B7C52" w:rsidRPr="001A1BD2">
        <w:rPr>
          <w:rFonts w:ascii="Arial" w:hAnsi="Arial" w:cs="Arial"/>
          <w:bCs/>
          <w:color w:val="000000" w:themeColor="text1"/>
          <w:sz w:val="20"/>
          <w:szCs w:val="20"/>
        </w:rPr>
        <w:t xml:space="preserve">končali </w:t>
      </w:r>
      <w:r w:rsidR="00C671D1" w:rsidRPr="001A1BD2">
        <w:rPr>
          <w:rFonts w:ascii="Arial" w:hAnsi="Arial" w:cs="Arial"/>
          <w:bCs/>
          <w:color w:val="000000" w:themeColor="text1"/>
          <w:sz w:val="20"/>
          <w:szCs w:val="20"/>
        </w:rPr>
        <w:t>let</w:t>
      </w:r>
      <w:r w:rsidR="00EC1BBF" w:rsidRPr="001A1BD2">
        <w:rPr>
          <w:rFonts w:ascii="Arial" w:hAnsi="Arial" w:cs="Arial"/>
          <w:bCs/>
          <w:color w:val="000000" w:themeColor="text1"/>
          <w:sz w:val="20"/>
          <w:szCs w:val="20"/>
        </w:rPr>
        <w:t>a</w:t>
      </w:r>
      <w:r w:rsidR="00C671D1" w:rsidRPr="001A1BD2">
        <w:rPr>
          <w:rFonts w:ascii="Arial" w:hAnsi="Arial" w:cs="Arial"/>
          <w:bCs/>
          <w:color w:val="000000" w:themeColor="text1"/>
          <w:sz w:val="20"/>
          <w:szCs w:val="20"/>
        </w:rPr>
        <w:t xml:space="preserve"> 20</w:t>
      </w:r>
      <w:r w:rsidR="004B4DF4" w:rsidRPr="001A1BD2">
        <w:rPr>
          <w:rFonts w:ascii="Arial" w:hAnsi="Arial" w:cs="Arial"/>
          <w:bCs/>
          <w:color w:val="000000" w:themeColor="text1"/>
          <w:sz w:val="20"/>
          <w:szCs w:val="20"/>
        </w:rPr>
        <w:t>2</w:t>
      </w:r>
      <w:r w:rsidR="001A1BD2" w:rsidRPr="001A1BD2">
        <w:rPr>
          <w:rFonts w:ascii="Arial" w:hAnsi="Arial" w:cs="Arial"/>
          <w:bCs/>
          <w:color w:val="000000" w:themeColor="text1"/>
          <w:sz w:val="20"/>
          <w:szCs w:val="20"/>
        </w:rPr>
        <w:t>2</w:t>
      </w:r>
      <w:r w:rsidR="009C2CD1" w:rsidRPr="001A1BD2">
        <w:rPr>
          <w:rFonts w:ascii="Arial" w:hAnsi="Arial" w:cs="Arial"/>
          <w:bCs/>
          <w:color w:val="000000" w:themeColor="text1"/>
          <w:sz w:val="20"/>
          <w:szCs w:val="20"/>
        </w:rPr>
        <w:t>,</w:t>
      </w:r>
      <w:r w:rsidRPr="001A1BD2">
        <w:rPr>
          <w:rFonts w:ascii="Arial" w:hAnsi="Arial" w:cs="Arial"/>
          <w:bCs/>
          <w:color w:val="000000" w:themeColor="text1"/>
          <w:sz w:val="20"/>
          <w:szCs w:val="20"/>
        </w:rPr>
        <w:t xml:space="preserve"> sta prikazana v spodnji preglednici.</w:t>
      </w:r>
    </w:p>
    <w:p w14:paraId="04422DCE" w14:textId="77777777" w:rsidR="00F11E69" w:rsidRDefault="00F11E69">
      <w:pPr>
        <w:rPr>
          <w:rFonts w:ascii="Arial" w:hAnsi="Arial" w:cs="Arial"/>
          <w:color w:val="000000" w:themeColor="text1"/>
          <w:sz w:val="20"/>
        </w:rPr>
      </w:pPr>
      <w:r>
        <w:rPr>
          <w:rFonts w:ascii="Arial" w:hAnsi="Arial" w:cs="Arial"/>
          <w:color w:val="000000" w:themeColor="text1"/>
          <w:sz w:val="20"/>
        </w:rPr>
        <w:br w:type="page"/>
      </w:r>
    </w:p>
    <w:p w14:paraId="0A637C6E" w14:textId="262F6BAA" w:rsidR="00B346C9" w:rsidRPr="001A1BD2" w:rsidRDefault="007A666C" w:rsidP="00CE0F33">
      <w:pPr>
        <w:spacing w:before="120" w:after="120" w:line="240" w:lineRule="auto"/>
        <w:jc w:val="both"/>
        <w:rPr>
          <w:rFonts w:ascii="Arial" w:hAnsi="Arial" w:cs="Arial"/>
          <w:color w:val="000000" w:themeColor="text1"/>
          <w:sz w:val="20"/>
        </w:rPr>
      </w:pPr>
      <w:r w:rsidRPr="001A1BD2">
        <w:rPr>
          <w:rFonts w:ascii="Arial" w:hAnsi="Arial" w:cs="Arial"/>
          <w:color w:val="000000" w:themeColor="text1"/>
          <w:sz w:val="20"/>
        </w:rPr>
        <w:lastRenderedPageBreak/>
        <w:t xml:space="preserve">Preglednica </w:t>
      </w:r>
      <w:r w:rsidR="00EB4423" w:rsidRPr="001A1BD2">
        <w:rPr>
          <w:rFonts w:ascii="Arial" w:hAnsi="Arial" w:cs="Arial"/>
          <w:color w:val="000000" w:themeColor="text1"/>
          <w:sz w:val="20"/>
        </w:rPr>
        <w:t>7</w:t>
      </w:r>
      <w:r w:rsidRPr="001A1BD2">
        <w:rPr>
          <w:rFonts w:ascii="Arial" w:hAnsi="Arial" w:cs="Arial"/>
          <w:color w:val="000000" w:themeColor="text1"/>
          <w:sz w:val="20"/>
        </w:rPr>
        <w:t xml:space="preserve">: Javna naročila </w:t>
      </w:r>
      <w:r w:rsidR="00B346C9" w:rsidRPr="001A1BD2">
        <w:rPr>
          <w:rFonts w:ascii="Arial" w:hAnsi="Arial" w:cs="Arial"/>
          <w:color w:val="000000" w:themeColor="text1"/>
          <w:sz w:val="20"/>
        </w:rPr>
        <w:t xml:space="preserve">glede na izvedeni postopek </w:t>
      </w:r>
    </w:p>
    <w:tbl>
      <w:tblPr>
        <w:tblW w:w="9371" w:type="dxa"/>
        <w:tblCellMar>
          <w:left w:w="70" w:type="dxa"/>
          <w:right w:w="70" w:type="dxa"/>
        </w:tblCellMar>
        <w:tblLook w:val="04A0" w:firstRow="1" w:lastRow="0" w:firstColumn="1" w:lastColumn="0" w:noHBand="0" w:noVBand="1"/>
      </w:tblPr>
      <w:tblGrid>
        <w:gridCol w:w="3114"/>
        <w:gridCol w:w="992"/>
        <w:gridCol w:w="709"/>
        <w:gridCol w:w="1417"/>
        <w:gridCol w:w="1134"/>
        <w:gridCol w:w="993"/>
        <w:gridCol w:w="1012"/>
      </w:tblGrid>
      <w:tr w:rsidR="00FF4442" w:rsidRPr="001A1BD2" w14:paraId="73583D28" w14:textId="77777777" w:rsidTr="00DB3AA6">
        <w:trPr>
          <w:trHeight w:val="255"/>
        </w:trPr>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531DE4" w14:textId="77777777" w:rsidR="00FF4442" w:rsidRPr="001A1BD2" w:rsidRDefault="00FF4442" w:rsidP="00FF4442">
            <w:pPr>
              <w:spacing w:after="0" w:line="240" w:lineRule="auto"/>
              <w:jc w:val="center"/>
              <w:rPr>
                <w:rFonts w:ascii="Arial" w:eastAsia="Times New Roman" w:hAnsi="Arial" w:cs="Arial"/>
                <w:color w:val="000000"/>
                <w:sz w:val="18"/>
                <w:szCs w:val="18"/>
                <w:lang w:eastAsia="sl-SI"/>
              </w:rPr>
            </w:pPr>
            <w:r w:rsidRPr="001A1BD2">
              <w:rPr>
                <w:rFonts w:ascii="Arial" w:eastAsia="Times New Roman" w:hAnsi="Arial" w:cs="Arial"/>
                <w:color w:val="000000"/>
                <w:sz w:val="18"/>
                <w:szCs w:val="18"/>
                <w:lang w:eastAsia="sl-SI"/>
              </w:rPr>
              <w:t>Vrsta postopka</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2AEADE2" w14:textId="77777777" w:rsidR="00FF4442" w:rsidRPr="001A1BD2" w:rsidRDefault="00FF4442" w:rsidP="00FF4442">
            <w:pPr>
              <w:spacing w:after="0" w:line="240" w:lineRule="auto"/>
              <w:jc w:val="center"/>
              <w:rPr>
                <w:rFonts w:ascii="Arial" w:eastAsia="Times New Roman" w:hAnsi="Arial" w:cs="Arial"/>
                <w:color w:val="000000"/>
                <w:sz w:val="18"/>
                <w:szCs w:val="18"/>
                <w:lang w:eastAsia="sl-SI"/>
              </w:rPr>
            </w:pPr>
            <w:r w:rsidRPr="001A1BD2">
              <w:rPr>
                <w:rFonts w:ascii="Arial" w:eastAsia="Times New Roman" w:hAnsi="Arial" w:cs="Arial"/>
                <w:color w:val="000000"/>
                <w:sz w:val="18"/>
                <w:szCs w:val="18"/>
                <w:lang w:eastAsia="sl-SI"/>
              </w:rPr>
              <w:t>Št. postopkov</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251B342" w14:textId="77777777" w:rsidR="00FF4442" w:rsidRPr="001A1BD2" w:rsidRDefault="00FF4442" w:rsidP="00FF4442">
            <w:pPr>
              <w:spacing w:after="0" w:line="240" w:lineRule="auto"/>
              <w:jc w:val="center"/>
              <w:rPr>
                <w:rFonts w:ascii="Arial" w:eastAsia="Times New Roman" w:hAnsi="Arial" w:cs="Arial"/>
                <w:color w:val="000000"/>
                <w:sz w:val="18"/>
                <w:szCs w:val="18"/>
                <w:lang w:eastAsia="sl-SI"/>
              </w:rPr>
            </w:pPr>
            <w:r w:rsidRPr="001A1BD2">
              <w:rPr>
                <w:rFonts w:ascii="Arial" w:eastAsia="Times New Roman" w:hAnsi="Arial" w:cs="Arial"/>
                <w:color w:val="000000"/>
                <w:sz w:val="18"/>
                <w:szCs w:val="18"/>
                <w:lang w:eastAsia="sl-SI"/>
              </w:rPr>
              <w:t>Št. naročil</w:t>
            </w:r>
          </w:p>
        </w:tc>
        <w:tc>
          <w:tcPr>
            <w:tcW w:w="141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356C3FD" w14:textId="77777777" w:rsidR="00FF4442" w:rsidRPr="001A1BD2" w:rsidRDefault="00FF4442" w:rsidP="00FF4442">
            <w:pPr>
              <w:spacing w:after="0" w:line="240" w:lineRule="auto"/>
              <w:jc w:val="center"/>
              <w:rPr>
                <w:rFonts w:ascii="Arial" w:eastAsia="Times New Roman" w:hAnsi="Arial" w:cs="Arial"/>
                <w:color w:val="000000"/>
                <w:sz w:val="18"/>
                <w:szCs w:val="18"/>
                <w:lang w:eastAsia="sl-SI"/>
              </w:rPr>
            </w:pPr>
            <w:r w:rsidRPr="001A1BD2">
              <w:rPr>
                <w:rFonts w:ascii="Arial" w:eastAsia="Times New Roman" w:hAnsi="Arial" w:cs="Arial"/>
                <w:color w:val="000000"/>
                <w:sz w:val="18"/>
                <w:szCs w:val="18"/>
                <w:lang w:eastAsia="sl-SI"/>
              </w:rPr>
              <w:t>Pogodbena vrednost</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2A9B905" w14:textId="77777777" w:rsidR="00FF4442" w:rsidRPr="001A1BD2" w:rsidRDefault="00FF4442" w:rsidP="00FF4442">
            <w:pPr>
              <w:spacing w:after="0" w:line="240" w:lineRule="auto"/>
              <w:jc w:val="center"/>
              <w:rPr>
                <w:rFonts w:ascii="Arial" w:eastAsia="Times New Roman" w:hAnsi="Arial" w:cs="Arial"/>
                <w:color w:val="000000"/>
                <w:sz w:val="18"/>
                <w:szCs w:val="18"/>
                <w:lang w:eastAsia="sl-SI"/>
              </w:rPr>
            </w:pPr>
            <w:r w:rsidRPr="001A1BD2">
              <w:rPr>
                <w:rFonts w:ascii="Arial" w:eastAsia="Times New Roman" w:hAnsi="Arial" w:cs="Arial"/>
                <w:color w:val="000000"/>
                <w:sz w:val="18"/>
                <w:szCs w:val="18"/>
                <w:lang w:eastAsia="sl-SI"/>
              </w:rPr>
              <w:t>Delež v št. postopkov</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42BD540" w14:textId="77777777" w:rsidR="00FF4442" w:rsidRPr="001A1BD2" w:rsidRDefault="00FF4442" w:rsidP="00FF4442">
            <w:pPr>
              <w:spacing w:after="0" w:line="240" w:lineRule="auto"/>
              <w:jc w:val="center"/>
              <w:rPr>
                <w:rFonts w:ascii="Arial" w:eastAsia="Times New Roman" w:hAnsi="Arial" w:cs="Arial"/>
                <w:color w:val="000000"/>
                <w:sz w:val="18"/>
                <w:szCs w:val="18"/>
                <w:lang w:eastAsia="sl-SI"/>
              </w:rPr>
            </w:pPr>
            <w:r w:rsidRPr="001A1BD2">
              <w:rPr>
                <w:rFonts w:ascii="Arial" w:eastAsia="Times New Roman" w:hAnsi="Arial" w:cs="Arial"/>
                <w:color w:val="000000"/>
                <w:sz w:val="18"/>
                <w:szCs w:val="18"/>
                <w:lang w:eastAsia="sl-SI"/>
              </w:rPr>
              <w:t>Delež v št. naročil</w:t>
            </w:r>
          </w:p>
        </w:tc>
        <w:tc>
          <w:tcPr>
            <w:tcW w:w="101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0A0C953" w14:textId="77777777" w:rsidR="00FF4442" w:rsidRPr="001A1BD2" w:rsidRDefault="00FF4442" w:rsidP="00FF4442">
            <w:pPr>
              <w:spacing w:after="0" w:line="240" w:lineRule="auto"/>
              <w:jc w:val="center"/>
              <w:rPr>
                <w:rFonts w:ascii="Arial" w:eastAsia="Times New Roman" w:hAnsi="Arial" w:cs="Arial"/>
                <w:color w:val="000000"/>
                <w:sz w:val="18"/>
                <w:szCs w:val="18"/>
                <w:lang w:eastAsia="sl-SI"/>
              </w:rPr>
            </w:pPr>
            <w:r w:rsidRPr="001A1BD2">
              <w:rPr>
                <w:rFonts w:ascii="Arial" w:eastAsia="Times New Roman" w:hAnsi="Arial" w:cs="Arial"/>
                <w:color w:val="000000"/>
                <w:sz w:val="18"/>
                <w:szCs w:val="18"/>
                <w:lang w:eastAsia="sl-SI"/>
              </w:rPr>
              <w:t>Delež v vrednosti</w:t>
            </w:r>
          </w:p>
        </w:tc>
      </w:tr>
      <w:tr w:rsidR="001A1BD2" w:rsidRPr="001A1BD2" w14:paraId="1A6CCD06" w14:textId="77777777" w:rsidTr="001A1BD2">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B2F16BA" w14:textId="77777777" w:rsidR="001A1BD2" w:rsidRPr="001A1BD2" w:rsidRDefault="001A1BD2" w:rsidP="001A1BD2">
            <w:pPr>
              <w:spacing w:after="0" w:line="240" w:lineRule="auto"/>
              <w:rPr>
                <w:rFonts w:ascii="Arial" w:eastAsia="Times New Roman" w:hAnsi="Arial" w:cs="Arial"/>
                <w:color w:val="000000"/>
                <w:sz w:val="18"/>
                <w:szCs w:val="18"/>
                <w:lang w:eastAsia="sl-SI"/>
              </w:rPr>
            </w:pPr>
            <w:r w:rsidRPr="001A1BD2">
              <w:rPr>
                <w:rFonts w:ascii="Arial" w:eastAsia="Times New Roman" w:hAnsi="Arial" w:cs="Arial"/>
                <w:color w:val="000000"/>
                <w:sz w:val="18"/>
                <w:szCs w:val="18"/>
                <w:lang w:eastAsia="sl-SI"/>
              </w:rPr>
              <w:t>Konkurenčni dialog</w:t>
            </w:r>
          </w:p>
        </w:tc>
        <w:tc>
          <w:tcPr>
            <w:tcW w:w="992" w:type="dxa"/>
            <w:tcBorders>
              <w:top w:val="nil"/>
              <w:left w:val="nil"/>
              <w:bottom w:val="single" w:sz="4" w:space="0" w:color="auto"/>
              <w:right w:val="single" w:sz="4" w:space="0" w:color="auto"/>
            </w:tcBorders>
            <w:shd w:val="clear" w:color="auto" w:fill="auto"/>
            <w:vAlign w:val="center"/>
            <w:hideMark/>
          </w:tcPr>
          <w:p w14:paraId="7887A653" w14:textId="6331F243" w:rsidR="001A1BD2" w:rsidRPr="001A1BD2" w:rsidRDefault="001A1BD2" w:rsidP="001A1BD2">
            <w:pPr>
              <w:spacing w:after="0" w:line="240" w:lineRule="auto"/>
              <w:jc w:val="right"/>
              <w:rPr>
                <w:rFonts w:ascii="Arial" w:hAnsi="Arial" w:cs="Arial"/>
                <w:sz w:val="18"/>
                <w:szCs w:val="18"/>
              </w:rPr>
            </w:pPr>
            <w:r w:rsidRPr="001A1BD2">
              <w:rPr>
                <w:rFonts w:ascii="Arial" w:hAnsi="Arial" w:cs="Arial"/>
                <w:sz w:val="18"/>
                <w:szCs w:val="18"/>
              </w:rPr>
              <w:t>29</w:t>
            </w:r>
          </w:p>
        </w:tc>
        <w:tc>
          <w:tcPr>
            <w:tcW w:w="709" w:type="dxa"/>
            <w:tcBorders>
              <w:top w:val="nil"/>
              <w:left w:val="nil"/>
              <w:bottom w:val="single" w:sz="4" w:space="0" w:color="auto"/>
              <w:right w:val="single" w:sz="4" w:space="0" w:color="auto"/>
            </w:tcBorders>
            <w:shd w:val="clear" w:color="auto" w:fill="auto"/>
            <w:vAlign w:val="center"/>
            <w:hideMark/>
          </w:tcPr>
          <w:p w14:paraId="0704A64E" w14:textId="2BE640CD" w:rsidR="001A1BD2" w:rsidRPr="001A1BD2" w:rsidRDefault="001A1BD2" w:rsidP="001A1BD2">
            <w:pPr>
              <w:spacing w:after="0" w:line="240" w:lineRule="auto"/>
              <w:jc w:val="right"/>
              <w:rPr>
                <w:rFonts w:ascii="Arial" w:hAnsi="Arial" w:cs="Arial"/>
                <w:sz w:val="18"/>
                <w:szCs w:val="18"/>
              </w:rPr>
            </w:pPr>
            <w:r w:rsidRPr="001A1BD2">
              <w:rPr>
                <w:rFonts w:ascii="Arial" w:hAnsi="Arial" w:cs="Arial"/>
                <w:sz w:val="18"/>
                <w:szCs w:val="18"/>
              </w:rPr>
              <w:t>41</w:t>
            </w:r>
          </w:p>
        </w:tc>
        <w:tc>
          <w:tcPr>
            <w:tcW w:w="1417" w:type="dxa"/>
            <w:tcBorders>
              <w:top w:val="nil"/>
              <w:left w:val="nil"/>
              <w:bottom w:val="single" w:sz="4" w:space="0" w:color="auto"/>
              <w:right w:val="single" w:sz="4" w:space="0" w:color="auto"/>
            </w:tcBorders>
            <w:shd w:val="clear" w:color="auto" w:fill="auto"/>
            <w:vAlign w:val="center"/>
            <w:hideMark/>
          </w:tcPr>
          <w:p w14:paraId="586CC465" w14:textId="2567C6D5" w:rsidR="001A1BD2" w:rsidRPr="001A1BD2" w:rsidRDefault="001A1BD2" w:rsidP="001A1BD2">
            <w:pPr>
              <w:spacing w:after="0" w:line="240" w:lineRule="auto"/>
              <w:jc w:val="right"/>
              <w:rPr>
                <w:rFonts w:ascii="Arial" w:hAnsi="Arial" w:cs="Arial"/>
                <w:sz w:val="18"/>
                <w:szCs w:val="18"/>
              </w:rPr>
            </w:pPr>
            <w:r w:rsidRPr="001A1BD2">
              <w:rPr>
                <w:rFonts w:ascii="Arial" w:hAnsi="Arial" w:cs="Arial"/>
                <w:sz w:val="18"/>
                <w:szCs w:val="18"/>
              </w:rPr>
              <w:t>48.768.488</w:t>
            </w:r>
          </w:p>
        </w:tc>
        <w:tc>
          <w:tcPr>
            <w:tcW w:w="1134" w:type="dxa"/>
            <w:tcBorders>
              <w:top w:val="nil"/>
              <w:left w:val="nil"/>
              <w:bottom w:val="single" w:sz="4" w:space="0" w:color="auto"/>
              <w:right w:val="single" w:sz="4" w:space="0" w:color="auto"/>
            </w:tcBorders>
            <w:shd w:val="clear" w:color="auto" w:fill="auto"/>
            <w:vAlign w:val="center"/>
            <w:hideMark/>
          </w:tcPr>
          <w:p w14:paraId="5FB72A29" w14:textId="6EAA72FA" w:rsidR="001A1BD2" w:rsidRPr="001A1BD2" w:rsidRDefault="001A1BD2" w:rsidP="001A1BD2">
            <w:pPr>
              <w:spacing w:after="0" w:line="240" w:lineRule="auto"/>
              <w:jc w:val="right"/>
              <w:rPr>
                <w:rFonts w:ascii="Arial" w:hAnsi="Arial" w:cs="Arial"/>
                <w:sz w:val="18"/>
                <w:szCs w:val="18"/>
              </w:rPr>
            </w:pPr>
            <w:r w:rsidRPr="001A1BD2">
              <w:rPr>
                <w:rFonts w:ascii="Arial" w:hAnsi="Arial" w:cs="Arial"/>
                <w:sz w:val="18"/>
                <w:szCs w:val="18"/>
              </w:rPr>
              <w:t>0,43 %</w:t>
            </w:r>
          </w:p>
        </w:tc>
        <w:tc>
          <w:tcPr>
            <w:tcW w:w="993" w:type="dxa"/>
            <w:tcBorders>
              <w:top w:val="nil"/>
              <w:left w:val="nil"/>
              <w:bottom w:val="single" w:sz="4" w:space="0" w:color="auto"/>
              <w:right w:val="single" w:sz="4" w:space="0" w:color="auto"/>
            </w:tcBorders>
            <w:shd w:val="clear" w:color="auto" w:fill="auto"/>
            <w:vAlign w:val="center"/>
            <w:hideMark/>
          </w:tcPr>
          <w:p w14:paraId="10D94E13" w14:textId="3E27E1AC" w:rsidR="001A1BD2" w:rsidRPr="001A1BD2" w:rsidRDefault="001A1BD2" w:rsidP="001A1BD2">
            <w:pPr>
              <w:spacing w:after="0" w:line="240" w:lineRule="auto"/>
              <w:jc w:val="right"/>
              <w:rPr>
                <w:rFonts w:ascii="Arial" w:hAnsi="Arial" w:cs="Arial"/>
                <w:sz w:val="18"/>
                <w:szCs w:val="18"/>
              </w:rPr>
            </w:pPr>
            <w:r w:rsidRPr="001A1BD2">
              <w:rPr>
                <w:rFonts w:ascii="Arial" w:hAnsi="Arial" w:cs="Arial"/>
                <w:sz w:val="18"/>
                <w:szCs w:val="18"/>
              </w:rPr>
              <w:t>0,24 %</w:t>
            </w:r>
          </w:p>
        </w:tc>
        <w:tc>
          <w:tcPr>
            <w:tcW w:w="1012" w:type="dxa"/>
            <w:tcBorders>
              <w:top w:val="nil"/>
              <w:left w:val="nil"/>
              <w:bottom w:val="single" w:sz="4" w:space="0" w:color="auto"/>
              <w:right w:val="single" w:sz="4" w:space="0" w:color="auto"/>
            </w:tcBorders>
            <w:shd w:val="clear" w:color="auto" w:fill="auto"/>
            <w:vAlign w:val="center"/>
            <w:hideMark/>
          </w:tcPr>
          <w:p w14:paraId="7B94E6F2" w14:textId="533F5473" w:rsidR="001A1BD2" w:rsidRPr="001A1BD2" w:rsidRDefault="001A1BD2" w:rsidP="001A1BD2">
            <w:pPr>
              <w:spacing w:after="0" w:line="240" w:lineRule="auto"/>
              <w:jc w:val="right"/>
              <w:rPr>
                <w:rFonts w:ascii="Arial" w:hAnsi="Arial" w:cs="Arial"/>
                <w:sz w:val="18"/>
                <w:szCs w:val="18"/>
              </w:rPr>
            </w:pPr>
            <w:r w:rsidRPr="001A1BD2">
              <w:rPr>
                <w:rFonts w:ascii="Arial" w:hAnsi="Arial" w:cs="Arial"/>
                <w:sz w:val="18"/>
                <w:szCs w:val="18"/>
              </w:rPr>
              <w:t>0,90 %</w:t>
            </w:r>
          </w:p>
        </w:tc>
      </w:tr>
      <w:tr w:rsidR="001A1BD2" w:rsidRPr="001A1BD2" w14:paraId="23AC6F82" w14:textId="77777777" w:rsidTr="001A1BD2">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B022370" w14:textId="77777777" w:rsidR="001A1BD2" w:rsidRPr="001A1BD2" w:rsidRDefault="001A1BD2" w:rsidP="001A1BD2">
            <w:pPr>
              <w:spacing w:after="0" w:line="240" w:lineRule="auto"/>
              <w:rPr>
                <w:rFonts w:ascii="Arial" w:eastAsia="Times New Roman" w:hAnsi="Arial" w:cs="Arial"/>
                <w:color w:val="000000"/>
                <w:sz w:val="18"/>
                <w:szCs w:val="18"/>
                <w:lang w:eastAsia="sl-SI"/>
              </w:rPr>
            </w:pPr>
            <w:r w:rsidRPr="001A1BD2">
              <w:rPr>
                <w:rFonts w:ascii="Arial" w:eastAsia="Times New Roman" w:hAnsi="Arial" w:cs="Arial"/>
                <w:color w:val="000000"/>
                <w:sz w:val="18"/>
                <w:szCs w:val="18"/>
                <w:lang w:eastAsia="sl-SI"/>
              </w:rPr>
              <w:t>Konkurenčni postopek s pogajanji</w:t>
            </w:r>
          </w:p>
        </w:tc>
        <w:tc>
          <w:tcPr>
            <w:tcW w:w="992" w:type="dxa"/>
            <w:tcBorders>
              <w:top w:val="nil"/>
              <w:left w:val="nil"/>
              <w:bottom w:val="single" w:sz="4" w:space="0" w:color="auto"/>
              <w:right w:val="single" w:sz="4" w:space="0" w:color="auto"/>
            </w:tcBorders>
            <w:shd w:val="clear" w:color="auto" w:fill="auto"/>
            <w:vAlign w:val="center"/>
            <w:hideMark/>
          </w:tcPr>
          <w:p w14:paraId="7C166BBB" w14:textId="724E75EA" w:rsidR="001A1BD2" w:rsidRPr="001A1BD2" w:rsidRDefault="001A1BD2" w:rsidP="001A1BD2">
            <w:pPr>
              <w:spacing w:after="0" w:line="240" w:lineRule="auto"/>
              <w:jc w:val="right"/>
              <w:rPr>
                <w:rFonts w:ascii="Arial" w:hAnsi="Arial" w:cs="Arial"/>
                <w:sz w:val="18"/>
                <w:szCs w:val="18"/>
              </w:rPr>
            </w:pPr>
            <w:r w:rsidRPr="001A1BD2">
              <w:rPr>
                <w:rFonts w:ascii="Arial" w:hAnsi="Arial" w:cs="Arial"/>
                <w:sz w:val="18"/>
                <w:szCs w:val="18"/>
              </w:rPr>
              <w:t>183</w:t>
            </w:r>
          </w:p>
        </w:tc>
        <w:tc>
          <w:tcPr>
            <w:tcW w:w="709" w:type="dxa"/>
            <w:tcBorders>
              <w:top w:val="nil"/>
              <w:left w:val="nil"/>
              <w:bottom w:val="single" w:sz="4" w:space="0" w:color="auto"/>
              <w:right w:val="single" w:sz="4" w:space="0" w:color="auto"/>
            </w:tcBorders>
            <w:shd w:val="clear" w:color="auto" w:fill="auto"/>
            <w:vAlign w:val="center"/>
            <w:hideMark/>
          </w:tcPr>
          <w:p w14:paraId="032FE24B" w14:textId="15E94955" w:rsidR="001A1BD2" w:rsidRPr="001A1BD2" w:rsidRDefault="001A1BD2" w:rsidP="001A1BD2">
            <w:pPr>
              <w:spacing w:after="0" w:line="240" w:lineRule="auto"/>
              <w:jc w:val="right"/>
              <w:rPr>
                <w:rFonts w:ascii="Arial" w:hAnsi="Arial" w:cs="Arial"/>
                <w:sz w:val="18"/>
                <w:szCs w:val="18"/>
              </w:rPr>
            </w:pPr>
            <w:r w:rsidRPr="001A1BD2">
              <w:rPr>
                <w:rFonts w:ascii="Arial" w:hAnsi="Arial" w:cs="Arial"/>
                <w:sz w:val="18"/>
                <w:szCs w:val="18"/>
              </w:rPr>
              <w:t>239</w:t>
            </w:r>
          </w:p>
        </w:tc>
        <w:tc>
          <w:tcPr>
            <w:tcW w:w="1417" w:type="dxa"/>
            <w:tcBorders>
              <w:top w:val="nil"/>
              <w:left w:val="nil"/>
              <w:bottom w:val="single" w:sz="4" w:space="0" w:color="auto"/>
              <w:right w:val="single" w:sz="4" w:space="0" w:color="auto"/>
            </w:tcBorders>
            <w:shd w:val="clear" w:color="auto" w:fill="auto"/>
            <w:vAlign w:val="center"/>
            <w:hideMark/>
          </w:tcPr>
          <w:p w14:paraId="5F090660" w14:textId="24266645" w:rsidR="001A1BD2" w:rsidRPr="001A1BD2" w:rsidRDefault="001A1BD2" w:rsidP="001A1BD2">
            <w:pPr>
              <w:spacing w:after="0" w:line="240" w:lineRule="auto"/>
              <w:jc w:val="right"/>
              <w:rPr>
                <w:rFonts w:ascii="Arial" w:hAnsi="Arial" w:cs="Arial"/>
                <w:sz w:val="18"/>
                <w:szCs w:val="18"/>
              </w:rPr>
            </w:pPr>
            <w:r w:rsidRPr="001A1BD2">
              <w:rPr>
                <w:rFonts w:ascii="Arial" w:hAnsi="Arial" w:cs="Arial"/>
                <w:sz w:val="18"/>
                <w:szCs w:val="18"/>
              </w:rPr>
              <w:t>409.161.976</w:t>
            </w:r>
          </w:p>
        </w:tc>
        <w:tc>
          <w:tcPr>
            <w:tcW w:w="1134" w:type="dxa"/>
            <w:tcBorders>
              <w:top w:val="nil"/>
              <w:left w:val="nil"/>
              <w:bottom w:val="single" w:sz="4" w:space="0" w:color="auto"/>
              <w:right w:val="single" w:sz="4" w:space="0" w:color="auto"/>
            </w:tcBorders>
            <w:shd w:val="clear" w:color="auto" w:fill="auto"/>
            <w:vAlign w:val="center"/>
            <w:hideMark/>
          </w:tcPr>
          <w:p w14:paraId="78467461" w14:textId="3840194D" w:rsidR="001A1BD2" w:rsidRPr="001A1BD2" w:rsidRDefault="001A1BD2" w:rsidP="001A1BD2">
            <w:pPr>
              <w:spacing w:after="0" w:line="240" w:lineRule="auto"/>
              <w:jc w:val="right"/>
              <w:rPr>
                <w:rFonts w:ascii="Arial" w:hAnsi="Arial" w:cs="Arial"/>
                <w:sz w:val="18"/>
                <w:szCs w:val="18"/>
              </w:rPr>
            </w:pPr>
            <w:r w:rsidRPr="001A1BD2">
              <w:rPr>
                <w:rFonts w:ascii="Arial" w:hAnsi="Arial" w:cs="Arial"/>
                <w:sz w:val="18"/>
                <w:szCs w:val="18"/>
              </w:rPr>
              <w:t>2,72 %</w:t>
            </w:r>
          </w:p>
        </w:tc>
        <w:tc>
          <w:tcPr>
            <w:tcW w:w="993" w:type="dxa"/>
            <w:tcBorders>
              <w:top w:val="nil"/>
              <w:left w:val="nil"/>
              <w:bottom w:val="single" w:sz="4" w:space="0" w:color="auto"/>
              <w:right w:val="single" w:sz="4" w:space="0" w:color="auto"/>
            </w:tcBorders>
            <w:shd w:val="clear" w:color="auto" w:fill="auto"/>
            <w:vAlign w:val="center"/>
            <w:hideMark/>
          </w:tcPr>
          <w:p w14:paraId="41EBA679" w14:textId="341585A9" w:rsidR="001A1BD2" w:rsidRPr="001A1BD2" w:rsidRDefault="001A1BD2" w:rsidP="001A1BD2">
            <w:pPr>
              <w:spacing w:after="0" w:line="240" w:lineRule="auto"/>
              <w:jc w:val="right"/>
              <w:rPr>
                <w:rFonts w:ascii="Arial" w:hAnsi="Arial" w:cs="Arial"/>
                <w:sz w:val="18"/>
                <w:szCs w:val="18"/>
              </w:rPr>
            </w:pPr>
            <w:r w:rsidRPr="001A1BD2">
              <w:rPr>
                <w:rFonts w:ascii="Arial" w:hAnsi="Arial" w:cs="Arial"/>
                <w:sz w:val="18"/>
                <w:szCs w:val="18"/>
              </w:rPr>
              <w:t>1,39 %</w:t>
            </w:r>
          </w:p>
        </w:tc>
        <w:tc>
          <w:tcPr>
            <w:tcW w:w="1012" w:type="dxa"/>
            <w:tcBorders>
              <w:top w:val="nil"/>
              <w:left w:val="nil"/>
              <w:bottom w:val="single" w:sz="4" w:space="0" w:color="auto"/>
              <w:right w:val="single" w:sz="4" w:space="0" w:color="auto"/>
            </w:tcBorders>
            <w:shd w:val="clear" w:color="auto" w:fill="auto"/>
            <w:vAlign w:val="center"/>
            <w:hideMark/>
          </w:tcPr>
          <w:p w14:paraId="085E45E7" w14:textId="23994DEA" w:rsidR="001A1BD2" w:rsidRPr="001A1BD2" w:rsidRDefault="001A1BD2" w:rsidP="001A1BD2">
            <w:pPr>
              <w:spacing w:after="0" w:line="240" w:lineRule="auto"/>
              <w:jc w:val="right"/>
              <w:rPr>
                <w:rFonts w:ascii="Arial" w:hAnsi="Arial" w:cs="Arial"/>
                <w:sz w:val="18"/>
                <w:szCs w:val="18"/>
              </w:rPr>
            </w:pPr>
            <w:r w:rsidRPr="001A1BD2">
              <w:rPr>
                <w:rFonts w:ascii="Arial" w:hAnsi="Arial" w:cs="Arial"/>
                <w:sz w:val="18"/>
                <w:szCs w:val="18"/>
              </w:rPr>
              <w:t>7,55 %</w:t>
            </w:r>
          </w:p>
        </w:tc>
      </w:tr>
      <w:tr w:rsidR="001A1BD2" w:rsidRPr="001A1BD2" w14:paraId="6817F4A3" w14:textId="77777777" w:rsidTr="001A1BD2">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93E97BC" w14:textId="77777777" w:rsidR="001A1BD2" w:rsidRPr="001A1BD2" w:rsidRDefault="001A1BD2" w:rsidP="001A1BD2">
            <w:pPr>
              <w:spacing w:after="0" w:line="240" w:lineRule="auto"/>
              <w:rPr>
                <w:rFonts w:ascii="Arial" w:eastAsia="Times New Roman" w:hAnsi="Arial" w:cs="Arial"/>
                <w:color w:val="000000"/>
                <w:sz w:val="18"/>
                <w:szCs w:val="18"/>
                <w:lang w:eastAsia="sl-SI"/>
              </w:rPr>
            </w:pPr>
            <w:r w:rsidRPr="001A1BD2">
              <w:rPr>
                <w:rFonts w:ascii="Arial" w:eastAsia="Times New Roman" w:hAnsi="Arial" w:cs="Arial"/>
                <w:color w:val="000000"/>
                <w:sz w:val="18"/>
                <w:szCs w:val="18"/>
                <w:lang w:eastAsia="sl-SI"/>
              </w:rPr>
              <w:t>Odprti postopek</w:t>
            </w:r>
          </w:p>
        </w:tc>
        <w:tc>
          <w:tcPr>
            <w:tcW w:w="992" w:type="dxa"/>
            <w:tcBorders>
              <w:top w:val="nil"/>
              <w:left w:val="nil"/>
              <w:bottom w:val="single" w:sz="4" w:space="0" w:color="auto"/>
              <w:right w:val="single" w:sz="4" w:space="0" w:color="auto"/>
            </w:tcBorders>
            <w:shd w:val="clear" w:color="auto" w:fill="auto"/>
            <w:vAlign w:val="center"/>
            <w:hideMark/>
          </w:tcPr>
          <w:p w14:paraId="614FC20A" w14:textId="5EEE4C2E" w:rsidR="001A1BD2" w:rsidRPr="001A1BD2" w:rsidRDefault="001A1BD2" w:rsidP="001A1BD2">
            <w:pPr>
              <w:spacing w:after="0" w:line="240" w:lineRule="auto"/>
              <w:jc w:val="right"/>
              <w:rPr>
                <w:rFonts w:ascii="Arial" w:hAnsi="Arial" w:cs="Arial"/>
                <w:sz w:val="18"/>
                <w:szCs w:val="18"/>
              </w:rPr>
            </w:pPr>
            <w:r w:rsidRPr="001A1BD2">
              <w:rPr>
                <w:rFonts w:ascii="Arial" w:hAnsi="Arial" w:cs="Arial"/>
                <w:sz w:val="18"/>
                <w:szCs w:val="18"/>
              </w:rPr>
              <w:t>1.981</w:t>
            </w:r>
          </w:p>
        </w:tc>
        <w:tc>
          <w:tcPr>
            <w:tcW w:w="709" w:type="dxa"/>
            <w:tcBorders>
              <w:top w:val="nil"/>
              <w:left w:val="nil"/>
              <w:bottom w:val="single" w:sz="4" w:space="0" w:color="auto"/>
              <w:right w:val="single" w:sz="4" w:space="0" w:color="auto"/>
            </w:tcBorders>
            <w:shd w:val="clear" w:color="auto" w:fill="auto"/>
            <w:vAlign w:val="center"/>
            <w:hideMark/>
          </w:tcPr>
          <w:p w14:paraId="4BD3E30E" w14:textId="0E2CFD11" w:rsidR="001A1BD2" w:rsidRPr="001A1BD2" w:rsidRDefault="001A1BD2" w:rsidP="001A1BD2">
            <w:pPr>
              <w:spacing w:after="0" w:line="240" w:lineRule="auto"/>
              <w:jc w:val="right"/>
              <w:rPr>
                <w:rFonts w:ascii="Arial" w:hAnsi="Arial" w:cs="Arial"/>
                <w:sz w:val="18"/>
                <w:szCs w:val="18"/>
              </w:rPr>
            </w:pPr>
            <w:r w:rsidRPr="001A1BD2">
              <w:rPr>
                <w:rFonts w:ascii="Arial" w:hAnsi="Arial" w:cs="Arial"/>
                <w:sz w:val="18"/>
                <w:szCs w:val="18"/>
              </w:rPr>
              <w:t>9.876</w:t>
            </w:r>
          </w:p>
        </w:tc>
        <w:tc>
          <w:tcPr>
            <w:tcW w:w="1417" w:type="dxa"/>
            <w:tcBorders>
              <w:top w:val="nil"/>
              <w:left w:val="nil"/>
              <w:bottom w:val="single" w:sz="4" w:space="0" w:color="auto"/>
              <w:right w:val="single" w:sz="4" w:space="0" w:color="auto"/>
            </w:tcBorders>
            <w:shd w:val="clear" w:color="auto" w:fill="auto"/>
            <w:vAlign w:val="center"/>
            <w:hideMark/>
          </w:tcPr>
          <w:p w14:paraId="1ABA7FBB" w14:textId="4D9B668C" w:rsidR="001A1BD2" w:rsidRPr="001A1BD2" w:rsidRDefault="001A1BD2" w:rsidP="001A1BD2">
            <w:pPr>
              <w:spacing w:after="0" w:line="240" w:lineRule="auto"/>
              <w:jc w:val="right"/>
              <w:rPr>
                <w:rFonts w:ascii="Arial" w:hAnsi="Arial" w:cs="Arial"/>
                <w:sz w:val="18"/>
                <w:szCs w:val="18"/>
              </w:rPr>
            </w:pPr>
            <w:r w:rsidRPr="001A1BD2">
              <w:rPr>
                <w:rFonts w:ascii="Arial" w:hAnsi="Arial" w:cs="Arial"/>
                <w:sz w:val="18"/>
                <w:szCs w:val="18"/>
              </w:rPr>
              <w:t>3.428.271.889</w:t>
            </w:r>
          </w:p>
        </w:tc>
        <w:tc>
          <w:tcPr>
            <w:tcW w:w="1134" w:type="dxa"/>
            <w:tcBorders>
              <w:top w:val="nil"/>
              <w:left w:val="nil"/>
              <w:bottom w:val="single" w:sz="4" w:space="0" w:color="auto"/>
              <w:right w:val="single" w:sz="4" w:space="0" w:color="auto"/>
            </w:tcBorders>
            <w:shd w:val="clear" w:color="auto" w:fill="auto"/>
            <w:vAlign w:val="center"/>
            <w:hideMark/>
          </w:tcPr>
          <w:p w14:paraId="7FC2F522" w14:textId="28745C73" w:rsidR="001A1BD2" w:rsidRPr="001A1BD2" w:rsidRDefault="001A1BD2" w:rsidP="001A1BD2">
            <w:pPr>
              <w:spacing w:after="0" w:line="240" w:lineRule="auto"/>
              <w:jc w:val="right"/>
              <w:rPr>
                <w:rFonts w:ascii="Arial" w:hAnsi="Arial" w:cs="Arial"/>
                <w:sz w:val="18"/>
                <w:szCs w:val="18"/>
              </w:rPr>
            </w:pPr>
            <w:r w:rsidRPr="001A1BD2">
              <w:rPr>
                <w:rFonts w:ascii="Arial" w:hAnsi="Arial" w:cs="Arial"/>
                <w:sz w:val="18"/>
                <w:szCs w:val="18"/>
              </w:rPr>
              <w:t>29,47 %</w:t>
            </w:r>
          </w:p>
        </w:tc>
        <w:tc>
          <w:tcPr>
            <w:tcW w:w="993" w:type="dxa"/>
            <w:tcBorders>
              <w:top w:val="nil"/>
              <w:left w:val="nil"/>
              <w:bottom w:val="single" w:sz="4" w:space="0" w:color="auto"/>
              <w:right w:val="single" w:sz="4" w:space="0" w:color="auto"/>
            </w:tcBorders>
            <w:shd w:val="clear" w:color="auto" w:fill="auto"/>
            <w:vAlign w:val="center"/>
            <w:hideMark/>
          </w:tcPr>
          <w:p w14:paraId="75430F23" w14:textId="3B5E7D3C" w:rsidR="001A1BD2" w:rsidRPr="001A1BD2" w:rsidRDefault="001A1BD2" w:rsidP="001A1BD2">
            <w:pPr>
              <w:spacing w:after="0" w:line="240" w:lineRule="auto"/>
              <w:jc w:val="right"/>
              <w:rPr>
                <w:rFonts w:ascii="Arial" w:hAnsi="Arial" w:cs="Arial"/>
                <w:sz w:val="18"/>
                <w:szCs w:val="18"/>
              </w:rPr>
            </w:pPr>
            <w:r w:rsidRPr="001A1BD2">
              <w:rPr>
                <w:rFonts w:ascii="Arial" w:hAnsi="Arial" w:cs="Arial"/>
                <w:sz w:val="18"/>
                <w:szCs w:val="18"/>
              </w:rPr>
              <w:t>57,34 %</w:t>
            </w:r>
          </w:p>
        </w:tc>
        <w:tc>
          <w:tcPr>
            <w:tcW w:w="1012" w:type="dxa"/>
            <w:tcBorders>
              <w:top w:val="nil"/>
              <w:left w:val="nil"/>
              <w:bottom w:val="single" w:sz="4" w:space="0" w:color="auto"/>
              <w:right w:val="single" w:sz="4" w:space="0" w:color="auto"/>
            </w:tcBorders>
            <w:shd w:val="clear" w:color="auto" w:fill="auto"/>
            <w:vAlign w:val="center"/>
            <w:hideMark/>
          </w:tcPr>
          <w:p w14:paraId="28A8A03C" w14:textId="523561DC" w:rsidR="001A1BD2" w:rsidRPr="001A1BD2" w:rsidRDefault="001A1BD2" w:rsidP="001A1BD2">
            <w:pPr>
              <w:spacing w:after="0" w:line="240" w:lineRule="auto"/>
              <w:jc w:val="right"/>
              <w:rPr>
                <w:rFonts w:ascii="Arial" w:hAnsi="Arial" w:cs="Arial"/>
                <w:sz w:val="18"/>
                <w:szCs w:val="18"/>
              </w:rPr>
            </w:pPr>
            <w:r w:rsidRPr="001A1BD2">
              <w:rPr>
                <w:rFonts w:ascii="Arial" w:hAnsi="Arial" w:cs="Arial"/>
                <w:sz w:val="18"/>
                <w:szCs w:val="18"/>
              </w:rPr>
              <w:t>63,29 %</w:t>
            </w:r>
          </w:p>
        </w:tc>
      </w:tr>
      <w:tr w:rsidR="001A1BD2" w:rsidRPr="001A1BD2" w14:paraId="733D3C4C" w14:textId="77777777" w:rsidTr="001A1BD2">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A10FF0E" w14:textId="77777777" w:rsidR="001A1BD2" w:rsidRPr="001A1BD2" w:rsidRDefault="001A1BD2" w:rsidP="001A1BD2">
            <w:pPr>
              <w:spacing w:after="0" w:line="240" w:lineRule="auto"/>
              <w:rPr>
                <w:rFonts w:ascii="Arial" w:eastAsia="Times New Roman" w:hAnsi="Arial" w:cs="Arial"/>
                <w:color w:val="000000"/>
                <w:sz w:val="18"/>
                <w:szCs w:val="18"/>
                <w:lang w:eastAsia="sl-SI"/>
              </w:rPr>
            </w:pPr>
            <w:r w:rsidRPr="001A1BD2">
              <w:rPr>
                <w:rFonts w:ascii="Arial" w:eastAsia="Times New Roman" w:hAnsi="Arial" w:cs="Arial"/>
                <w:color w:val="000000"/>
                <w:sz w:val="18"/>
                <w:szCs w:val="18"/>
                <w:lang w:eastAsia="sl-SI"/>
              </w:rPr>
              <w:t>Omejeni postopek</w:t>
            </w:r>
          </w:p>
        </w:tc>
        <w:tc>
          <w:tcPr>
            <w:tcW w:w="992" w:type="dxa"/>
            <w:tcBorders>
              <w:top w:val="nil"/>
              <w:left w:val="nil"/>
              <w:bottom w:val="single" w:sz="4" w:space="0" w:color="auto"/>
              <w:right w:val="single" w:sz="4" w:space="0" w:color="auto"/>
            </w:tcBorders>
            <w:shd w:val="clear" w:color="auto" w:fill="auto"/>
            <w:vAlign w:val="center"/>
            <w:hideMark/>
          </w:tcPr>
          <w:p w14:paraId="7915C73A" w14:textId="344C593F" w:rsidR="001A1BD2" w:rsidRPr="001A1BD2" w:rsidRDefault="001A1BD2" w:rsidP="001A1BD2">
            <w:pPr>
              <w:spacing w:after="0" w:line="240" w:lineRule="auto"/>
              <w:jc w:val="right"/>
              <w:rPr>
                <w:rFonts w:ascii="Arial" w:hAnsi="Arial" w:cs="Arial"/>
                <w:sz w:val="18"/>
                <w:szCs w:val="18"/>
              </w:rPr>
            </w:pPr>
            <w:r w:rsidRPr="001A1BD2">
              <w:rPr>
                <w:rFonts w:ascii="Arial" w:hAnsi="Arial" w:cs="Arial"/>
                <w:sz w:val="18"/>
                <w:szCs w:val="18"/>
              </w:rPr>
              <w:t>25</w:t>
            </w:r>
          </w:p>
        </w:tc>
        <w:tc>
          <w:tcPr>
            <w:tcW w:w="709" w:type="dxa"/>
            <w:tcBorders>
              <w:top w:val="nil"/>
              <w:left w:val="nil"/>
              <w:bottom w:val="single" w:sz="4" w:space="0" w:color="auto"/>
              <w:right w:val="single" w:sz="4" w:space="0" w:color="auto"/>
            </w:tcBorders>
            <w:shd w:val="clear" w:color="auto" w:fill="auto"/>
            <w:vAlign w:val="center"/>
            <w:hideMark/>
          </w:tcPr>
          <w:p w14:paraId="5388E1BF" w14:textId="14AE0236" w:rsidR="001A1BD2" w:rsidRPr="001A1BD2" w:rsidRDefault="001A1BD2" w:rsidP="001A1BD2">
            <w:pPr>
              <w:spacing w:after="0" w:line="240" w:lineRule="auto"/>
              <w:jc w:val="right"/>
              <w:rPr>
                <w:rFonts w:ascii="Arial" w:hAnsi="Arial" w:cs="Arial"/>
                <w:sz w:val="18"/>
                <w:szCs w:val="18"/>
              </w:rPr>
            </w:pPr>
            <w:r w:rsidRPr="001A1BD2">
              <w:rPr>
                <w:rFonts w:ascii="Arial" w:hAnsi="Arial" w:cs="Arial"/>
                <w:sz w:val="18"/>
                <w:szCs w:val="18"/>
              </w:rPr>
              <w:t>59</w:t>
            </w:r>
          </w:p>
        </w:tc>
        <w:tc>
          <w:tcPr>
            <w:tcW w:w="1417" w:type="dxa"/>
            <w:tcBorders>
              <w:top w:val="nil"/>
              <w:left w:val="nil"/>
              <w:bottom w:val="single" w:sz="4" w:space="0" w:color="auto"/>
              <w:right w:val="single" w:sz="4" w:space="0" w:color="auto"/>
            </w:tcBorders>
            <w:shd w:val="clear" w:color="auto" w:fill="auto"/>
            <w:vAlign w:val="center"/>
            <w:hideMark/>
          </w:tcPr>
          <w:p w14:paraId="454948F5" w14:textId="3D439413" w:rsidR="001A1BD2" w:rsidRPr="001A1BD2" w:rsidRDefault="001A1BD2" w:rsidP="001A1BD2">
            <w:pPr>
              <w:spacing w:after="0" w:line="240" w:lineRule="auto"/>
              <w:jc w:val="right"/>
              <w:rPr>
                <w:rFonts w:ascii="Arial" w:hAnsi="Arial" w:cs="Arial"/>
                <w:sz w:val="18"/>
                <w:szCs w:val="18"/>
              </w:rPr>
            </w:pPr>
            <w:r w:rsidRPr="001A1BD2">
              <w:rPr>
                <w:rFonts w:ascii="Arial" w:hAnsi="Arial" w:cs="Arial"/>
                <w:sz w:val="18"/>
                <w:szCs w:val="18"/>
              </w:rPr>
              <w:t>80.970.772</w:t>
            </w:r>
          </w:p>
        </w:tc>
        <w:tc>
          <w:tcPr>
            <w:tcW w:w="1134" w:type="dxa"/>
            <w:tcBorders>
              <w:top w:val="nil"/>
              <w:left w:val="nil"/>
              <w:bottom w:val="single" w:sz="4" w:space="0" w:color="auto"/>
              <w:right w:val="single" w:sz="4" w:space="0" w:color="auto"/>
            </w:tcBorders>
            <w:shd w:val="clear" w:color="auto" w:fill="auto"/>
            <w:vAlign w:val="center"/>
            <w:hideMark/>
          </w:tcPr>
          <w:p w14:paraId="2780C06A" w14:textId="1DFEA21F" w:rsidR="001A1BD2" w:rsidRPr="001A1BD2" w:rsidRDefault="001A1BD2" w:rsidP="001A1BD2">
            <w:pPr>
              <w:spacing w:after="0" w:line="240" w:lineRule="auto"/>
              <w:jc w:val="right"/>
              <w:rPr>
                <w:rFonts w:ascii="Arial" w:hAnsi="Arial" w:cs="Arial"/>
                <w:sz w:val="18"/>
                <w:szCs w:val="18"/>
              </w:rPr>
            </w:pPr>
            <w:r w:rsidRPr="001A1BD2">
              <w:rPr>
                <w:rFonts w:ascii="Arial" w:hAnsi="Arial" w:cs="Arial"/>
                <w:sz w:val="18"/>
                <w:szCs w:val="18"/>
              </w:rPr>
              <w:t>0,37 %</w:t>
            </w:r>
          </w:p>
        </w:tc>
        <w:tc>
          <w:tcPr>
            <w:tcW w:w="993" w:type="dxa"/>
            <w:tcBorders>
              <w:top w:val="nil"/>
              <w:left w:val="nil"/>
              <w:bottom w:val="single" w:sz="4" w:space="0" w:color="auto"/>
              <w:right w:val="single" w:sz="4" w:space="0" w:color="auto"/>
            </w:tcBorders>
            <w:shd w:val="clear" w:color="auto" w:fill="auto"/>
            <w:vAlign w:val="center"/>
            <w:hideMark/>
          </w:tcPr>
          <w:p w14:paraId="11625B15" w14:textId="70547D0E" w:rsidR="001A1BD2" w:rsidRPr="001A1BD2" w:rsidRDefault="001A1BD2" w:rsidP="001A1BD2">
            <w:pPr>
              <w:spacing w:after="0" w:line="240" w:lineRule="auto"/>
              <w:jc w:val="right"/>
              <w:rPr>
                <w:rFonts w:ascii="Arial" w:hAnsi="Arial" w:cs="Arial"/>
                <w:sz w:val="18"/>
                <w:szCs w:val="18"/>
              </w:rPr>
            </w:pPr>
            <w:r w:rsidRPr="001A1BD2">
              <w:rPr>
                <w:rFonts w:ascii="Arial" w:hAnsi="Arial" w:cs="Arial"/>
                <w:sz w:val="18"/>
                <w:szCs w:val="18"/>
              </w:rPr>
              <w:t>0,34 %</w:t>
            </w:r>
          </w:p>
        </w:tc>
        <w:tc>
          <w:tcPr>
            <w:tcW w:w="1012" w:type="dxa"/>
            <w:tcBorders>
              <w:top w:val="nil"/>
              <w:left w:val="nil"/>
              <w:bottom w:val="single" w:sz="4" w:space="0" w:color="auto"/>
              <w:right w:val="single" w:sz="4" w:space="0" w:color="auto"/>
            </w:tcBorders>
            <w:shd w:val="clear" w:color="auto" w:fill="auto"/>
            <w:vAlign w:val="center"/>
            <w:hideMark/>
          </w:tcPr>
          <w:p w14:paraId="054CED6E" w14:textId="03423EB3" w:rsidR="001A1BD2" w:rsidRPr="001A1BD2" w:rsidRDefault="001A1BD2" w:rsidP="001A1BD2">
            <w:pPr>
              <w:spacing w:after="0" w:line="240" w:lineRule="auto"/>
              <w:jc w:val="right"/>
              <w:rPr>
                <w:rFonts w:ascii="Arial" w:hAnsi="Arial" w:cs="Arial"/>
                <w:sz w:val="18"/>
                <w:szCs w:val="18"/>
              </w:rPr>
            </w:pPr>
            <w:r w:rsidRPr="001A1BD2">
              <w:rPr>
                <w:rFonts w:ascii="Arial" w:hAnsi="Arial" w:cs="Arial"/>
                <w:sz w:val="18"/>
                <w:szCs w:val="18"/>
              </w:rPr>
              <w:t>1,49 %</w:t>
            </w:r>
          </w:p>
        </w:tc>
      </w:tr>
      <w:tr w:rsidR="001A1BD2" w:rsidRPr="001A1BD2" w14:paraId="1C473BDB" w14:textId="77777777" w:rsidTr="001A1BD2">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BF464D4" w14:textId="77777777" w:rsidR="001A1BD2" w:rsidRPr="001A1BD2" w:rsidRDefault="001A1BD2" w:rsidP="001A1BD2">
            <w:pPr>
              <w:spacing w:after="0" w:line="240" w:lineRule="auto"/>
              <w:rPr>
                <w:rFonts w:ascii="Arial" w:eastAsia="Times New Roman" w:hAnsi="Arial" w:cs="Arial"/>
                <w:color w:val="000000"/>
                <w:sz w:val="18"/>
                <w:szCs w:val="18"/>
                <w:lang w:eastAsia="sl-SI"/>
              </w:rPr>
            </w:pPr>
            <w:r w:rsidRPr="001A1BD2">
              <w:rPr>
                <w:rFonts w:ascii="Arial" w:eastAsia="Times New Roman" w:hAnsi="Arial" w:cs="Arial"/>
                <w:color w:val="000000"/>
                <w:sz w:val="18"/>
                <w:szCs w:val="18"/>
                <w:lang w:eastAsia="sl-SI"/>
              </w:rPr>
              <w:t>Postopek naročila male vrednosti</w:t>
            </w:r>
          </w:p>
        </w:tc>
        <w:tc>
          <w:tcPr>
            <w:tcW w:w="992" w:type="dxa"/>
            <w:tcBorders>
              <w:top w:val="nil"/>
              <w:left w:val="nil"/>
              <w:bottom w:val="single" w:sz="4" w:space="0" w:color="auto"/>
              <w:right w:val="single" w:sz="4" w:space="0" w:color="auto"/>
            </w:tcBorders>
            <w:shd w:val="clear" w:color="auto" w:fill="auto"/>
            <w:vAlign w:val="center"/>
            <w:hideMark/>
          </w:tcPr>
          <w:p w14:paraId="69CD116C" w14:textId="26507B82" w:rsidR="001A1BD2" w:rsidRPr="001A1BD2" w:rsidRDefault="001A1BD2" w:rsidP="001A1BD2">
            <w:pPr>
              <w:spacing w:after="0" w:line="240" w:lineRule="auto"/>
              <w:jc w:val="right"/>
              <w:rPr>
                <w:rFonts w:ascii="Arial" w:hAnsi="Arial" w:cs="Arial"/>
                <w:sz w:val="18"/>
                <w:szCs w:val="18"/>
              </w:rPr>
            </w:pPr>
            <w:r w:rsidRPr="001A1BD2">
              <w:rPr>
                <w:rFonts w:ascii="Arial" w:hAnsi="Arial" w:cs="Arial"/>
                <w:sz w:val="18"/>
                <w:szCs w:val="18"/>
              </w:rPr>
              <w:t>3.677</w:t>
            </w:r>
          </w:p>
        </w:tc>
        <w:tc>
          <w:tcPr>
            <w:tcW w:w="709" w:type="dxa"/>
            <w:tcBorders>
              <w:top w:val="nil"/>
              <w:left w:val="nil"/>
              <w:bottom w:val="single" w:sz="4" w:space="0" w:color="auto"/>
              <w:right w:val="single" w:sz="4" w:space="0" w:color="auto"/>
            </w:tcBorders>
            <w:shd w:val="clear" w:color="auto" w:fill="auto"/>
            <w:vAlign w:val="center"/>
            <w:hideMark/>
          </w:tcPr>
          <w:p w14:paraId="7B22588A" w14:textId="060D21A1" w:rsidR="001A1BD2" w:rsidRPr="001A1BD2" w:rsidRDefault="001A1BD2" w:rsidP="001A1BD2">
            <w:pPr>
              <w:spacing w:after="0" w:line="240" w:lineRule="auto"/>
              <w:jc w:val="right"/>
              <w:rPr>
                <w:rFonts w:ascii="Arial" w:hAnsi="Arial" w:cs="Arial"/>
                <w:sz w:val="18"/>
                <w:szCs w:val="18"/>
              </w:rPr>
            </w:pPr>
            <w:r w:rsidRPr="001A1BD2">
              <w:rPr>
                <w:rFonts w:ascii="Arial" w:hAnsi="Arial" w:cs="Arial"/>
                <w:sz w:val="18"/>
                <w:szCs w:val="18"/>
              </w:rPr>
              <w:t>5.941</w:t>
            </w:r>
          </w:p>
        </w:tc>
        <w:tc>
          <w:tcPr>
            <w:tcW w:w="1417" w:type="dxa"/>
            <w:tcBorders>
              <w:top w:val="nil"/>
              <w:left w:val="nil"/>
              <w:bottom w:val="single" w:sz="4" w:space="0" w:color="auto"/>
              <w:right w:val="single" w:sz="4" w:space="0" w:color="auto"/>
            </w:tcBorders>
            <w:shd w:val="clear" w:color="auto" w:fill="auto"/>
            <w:vAlign w:val="center"/>
            <w:hideMark/>
          </w:tcPr>
          <w:p w14:paraId="6FAB8D15" w14:textId="001A5F33" w:rsidR="001A1BD2" w:rsidRPr="001A1BD2" w:rsidRDefault="001A1BD2" w:rsidP="001A1BD2">
            <w:pPr>
              <w:spacing w:after="0" w:line="240" w:lineRule="auto"/>
              <w:jc w:val="right"/>
              <w:rPr>
                <w:rFonts w:ascii="Arial" w:hAnsi="Arial" w:cs="Arial"/>
                <w:sz w:val="18"/>
                <w:szCs w:val="18"/>
              </w:rPr>
            </w:pPr>
            <w:r w:rsidRPr="001A1BD2">
              <w:rPr>
                <w:rFonts w:ascii="Arial" w:hAnsi="Arial" w:cs="Arial"/>
                <w:sz w:val="18"/>
                <w:szCs w:val="18"/>
              </w:rPr>
              <w:t>862.791.217</w:t>
            </w:r>
          </w:p>
        </w:tc>
        <w:tc>
          <w:tcPr>
            <w:tcW w:w="1134" w:type="dxa"/>
            <w:tcBorders>
              <w:top w:val="nil"/>
              <w:left w:val="nil"/>
              <w:bottom w:val="single" w:sz="4" w:space="0" w:color="auto"/>
              <w:right w:val="single" w:sz="4" w:space="0" w:color="auto"/>
            </w:tcBorders>
            <w:shd w:val="clear" w:color="auto" w:fill="auto"/>
            <w:vAlign w:val="center"/>
            <w:hideMark/>
          </w:tcPr>
          <w:p w14:paraId="23504EA6" w14:textId="0F4B00FD" w:rsidR="001A1BD2" w:rsidRPr="001A1BD2" w:rsidRDefault="001A1BD2" w:rsidP="001A1BD2">
            <w:pPr>
              <w:spacing w:after="0" w:line="240" w:lineRule="auto"/>
              <w:jc w:val="right"/>
              <w:rPr>
                <w:rFonts w:ascii="Arial" w:hAnsi="Arial" w:cs="Arial"/>
                <w:sz w:val="18"/>
                <w:szCs w:val="18"/>
              </w:rPr>
            </w:pPr>
            <w:r w:rsidRPr="001A1BD2">
              <w:rPr>
                <w:rFonts w:ascii="Arial" w:hAnsi="Arial" w:cs="Arial"/>
                <w:sz w:val="18"/>
                <w:szCs w:val="18"/>
              </w:rPr>
              <w:t>54,71 %</w:t>
            </w:r>
          </w:p>
        </w:tc>
        <w:tc>
          <w:tcPr>
            <w:tcW w:w="993" w:type="dxa"/>
            <w:tcBorders>
              <w:top w:val="nil"/>
              <w:left w:val="nil"/>
              <w:bottom w:val="single" w:sz="4" w:space="0" w:color="auto"/>
              <w:right w:val="single" w:sz="4" w:space="0" w:color="auto"/>
            </w:tcBorders>
            <w:shd w:val="clear" w:color="auto" w:fill="auto"/>
            <w:vAlign w:val="center"/>
            <w:hideMark/>
          </w:tcPr>
          <w:p w14:paraId="5AE5FF0F" w14:textId="62677CD9" w:rsidR="001A1BD2" w:rsidRPr="001A1BD2" w:rsidRDefault="001A1BD2" w:rsidP="001A1BD2">
            <w:pPr>
              <w:spacing w:after="0" w:line="240" w:lineRule="auto"/>
              <w:jc w:val="right"/>
              <w:rPr>
                <w:rFonts w:ascii="Arial" w:hAnsi="Arial" w:cs="Arial"/>
                <w:sz w:val="18"/>
                <w:szCs w:val="18"/>
              </w:rPr>
            </w:pPr>
            <w:r w:rsidRPr="001A1BD2">
              <w:rPr>
                <w:rFonts w:ascii="Arial" w:hAnsi="Arial" w:cs="Arial"/>
                <w:sz w:val="18"/>
                <w:szCs w:val="18"/>
              </w:rPr>
              <w:t>34,49 %</w:t>
            </w:r>
          </w:p>
        </w:tc>
        <w:tc>
          <w:tcPr>
            <w:tcW w:w="1012" w:type="dxa"/>
            <w:tcBorders>
              <w:top w:val="nil"/>
              <w:left w:val="nil"/>
              <w:bottom w:val="single" w:sz="4" w:space="0" w:color="auto"/>
              <w:right w:val="single" w:sz="4" w:space="0" w:color="auto"/>
            </w:tcBorders>
            <w:shd w:val="clear" w:color="auto" w:fill="auto"/>
            <w:vAlign w:val="center"/>
            <w:hideMark/>
          </w:tcPr>
          <w:p w14:paraId="4476CA99" w14:textId="678F958E" w:rsidR="001A1BD2" w:rsidRPr="001A1BD2" w:rsidRDefault="001A1BD2" w:rsidP="001A1BD2">
            <w:pPr>
              <w:spacing w:after="0" w:line="240" w:lineRule="auto"/>
              <w:jc w:val="right"/>
              <w:rPr>
                <w:rFonts w:ascii="Arial" w:hAnsi="Arial" w:cs="Arial"/>
                <w:sz w:val="18"/>
                <w:szCs w:val="18"/>
              </w:rPr>
            </w:pPr>
            <w:r w:rsidRPr="001A1BD2">
              <w:rPr>
                <w:rFonts w:ascii="Arial" w:hAnsi="Arial" w:cs="Arial"/>
                <w:sz w:val="18"/>
                <w:szCs w:val="18"/>
              </w:rPr>
              <w:t>15,93 %</w:t>
            </w:r>
          </w:p>
        </w:tc>
      </w:tr>
      <w:tr w:rsidR="001A1BD2" w:rsidRPr="001A1BD2" w14:paraId="6DF60684" w14:textId="77777777" w:rsidTr="001A1BD2">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3D00617" w14:textId="77777777" w:rsidR="001A1BD2" w:rsidRPr="001A1BD2" w:rsidRDefault="001A1BD2" w:rsidP="001A1BD2">
            <w:pPr>
              <w:spacing w:after="0" w:line="240" w:lineRule="auto"/>
              <w:rPr>
                <w:rFonts w:ascii="Arial" w:eastAsia="Times New Roman" w:hAnsi="Arial" w:cs="Arial"/>
                <w:color w:val="000000"/>
                <w:sz w:val="18"/>
                <w:szCs w:val="18"/>
                <w:lang w:eastAsia="sl-SI"/>
              </w:rPr>
            </w:pPr>
            <w:r w:rsidRPr="001A1BD2">
              <w:rPr>
                <w:rFonts w:ascii="Arial" w:eastAsia="Times New Roman" w:hAnsi="Arial" w:cs="Arial"/>
                <w:color w:val="000000"/>
                <w:sz w:val="18"/>
                <w:szCs w:val="18"/>
                <w:lang w:eastAsia="sl-SI"/>
              </w:rPr>
              <w:t>Postopek s pogajanji brez predhodne objave</w:t>
            </w:r>
          </w:p>
        </w:tc>
        <w:tc>
          <w:tcPr>
            <w:tcW w:w="992" w:type="dxa"/>
            <w:tcBorders>
              <w:top w:val="nil"/>
              <w:left w:val="nil"/>
              <w:bottom w:val="single" w:sz="4" w:space="0" w:color="auto"/>
              <w:right w:val="single" w:sz="4" w:space="0" w:color="auto"/>
            </w:tcBorders>
            <w:shd w:val="clear" w:color="auto" w:fill="auto"/>
            <w:vAlign w:val="center"/>
            <w:hideMark/>
          </w:tcPr>
          <w:p w14:paraId="0E868FC7" w14:textId="60010F1F" w:rsidR="001A1BD2" w:rsidRPr="001A1BD2" w:rsidRDefault="001A1BD2" w:rsidP="001A1BD2">
            <w:pPr>
              <w:spacing w:after="0" w:line="240" w:lineRule="auto"/>
              <w:jc w:val="right"/>
              <w:rPr>
                <w:rFonts w:ascii="Arial" w:hAnsi="Arial" w:cs="Arial"/>
                <w:sz w:val="18"/>
                <w:szCs w:val="18"/>
              </w:rPr>
            </w:pPr>
            <w:r w:rsidRPr="001A1BD2">
              <w:rPr>
                <w:rFonts w:ascii="Arial" w:hAnsi="Arial" w:cs="Arial"/>
                <w:sz w:val="18"/>
                <w:szCs w:val="18"/>
              </w:rPr>
              <w:t>638</w:t>
            </w:r>
          </w:p>
        </w:tc>
        <w:tc>
          <w:tcPr>
            <w:tcW w:w="709" w:type="dxa"/>
            <w:tcBorders>
              <w:top w:val="nil"/>
              <w:left w:val="nil"/>
              <w:bottom w:val="single" w:sz="4" w:space="0" w:color="auto"/>
              <w:right w:val="single" w:sz="4" w:space="0" w:color="auto"/>
            </w:tcBorders>
            <w:shd w:val="clear" w:color="auto" w:fill="auto"/>
            <w:vAlign w:val="center"/>
            <w:hideMark/>
          </w:tcPr>
          <w:p w14:paraId="5B467CAA" w14:textId="674F7CFD" w:rsidR="001A1BD2" w:rsidRPr="001A1BD2" w:rsidRDefault="001A1BD2" w:rsidP="001A1BD2">
            <w:pPr>
              <w:spacing w:after="0" w:line="240" w:lineRule="auto"/>
              <w:jc w:val="right"/>
              <w:rPr>
                <w:rFonts w:ascii="Arial" w:hAnsi="Arial" w:cs="Arial"/>
                <w:sz w:val="18"/>
                <w:szCs w:val="18"/>
              </w:rPr>
            </w:pPr>
            <w:r w:rsidRPr="001A1BD2">
              <w:rPr>
                <w:rFonts w:ascii="Arial" w:hAnsi="Arial" w:cs="Arial"/>
                <w:sz w:val="18"/>
                <w:szCs w:val="18"/>
              </w:rPr>
              <w:t>792</w:t>
            </w:r>
          </w:p>
        </w:tc>
        <w:tc>
          <w:tcPr>
            <w:tcW w:w="1417" w:type="dxa"/>
            <w:tcBorders>
              <w:top w:val="nil"/>
              <w:left w:val="nil"/>
              <w:bottom w:val="single" w:sz="4" w:space="0" w:color="auto"/>
              <w:right w:val="single" w:sz="4" w:space="0" w:color="auto"/>
            </w:tcBorders>
            <w:shd w:val="clear" w:color="auto" w:fill="auto"/>
            <w:vAlign w:val="center"/>
            <w:hideMark/>
          </w:tcPr>
          <w:p w14:paraId="3A296884" w14:textId="56EDD9FF" w:rsidR="001A1BD2" w:rsidRPr="001A1BD2" w:rsidRDefault="001A1BD2" w:rsidP="001A1BD2">
            <w:pPr>
              <w:spacing w:after="0" w:line="240" w:lineRule="auto"/>
              <w:jc w:val="right"/>
              <w:rPr>
                <w:rFonts w:ascii="Arial" w:hAnsi="Arial" w:cs="Arial"/>
                <w:sz w:val="18"/>
                <w:szCs w:val="18"/>
              </w:rPr>
            </w:pPr>
            <w:r w:rsidRPr="001A1BD2">
              <w:rPr>
                <w:rFonts w:ascii="Arial" w:hAnsi="Arial" w:cs="Arial"/>
                <w:sz w:val="18"/>
                <w:szCs w:val="18"/>
              </w:rPr>
              <w:t>287.023.067</w:t>
            </w:r>
          </w:p>
        </w:tc>
        <w:tc>
          <w:tcPr>
            <w:tcW w:w="1134" w:type="dxa"/>
            <w:tcBorders>
              <w:top w:val="nil"/>
              <w:left w:val="nil"/>
              <w:bottom w:val="single" w:sz="4" w:space="0" w:color="auto"/>
              <w:right w:val="single" w:sz="4" w:space="0" w:color="auto"/>
            </w:tcBorders>
            <w:shd w:val="clear" w:color="auto" w:fill="auto"/>
            <w:vAlign w:val="center"/>
            <w:hideMark/>
          </w:tcPr>
          <w:p w14:paraId="619B52DD" w14:textId="06875A59" w:rsidR="001A1BD2" w:rsidRPr="001A1BD2" w:rsidRDefault="001A1BD2" w:rsidP="001A1BD2">
            <w:pPr>
              <w:spacing w:after="0" w:line="240" w:lineRule="auto"/>
              <w:jc w:val="right"/>
              <w:rPr>
                <w:rFonts w:ascii="Arial" w:hAnsi="Arial" w:cs="Arial"/>
                <w:sz w:val="18"/>
                <w:szCs w:val="18"/>
              </w:rPr>
            </w:pPr>
            <w:r w:rsidRPr="001A1BD2">
              <w:rPr>
                <w:rFonts w:ascii="Arial" w:hAnsi="Arial" w:cs="Arial"/>
                <w:sz w:val="18"/>
                <w:szCs w:val="18"/>
              </w:rPr>
              <w:t>9,49 %</w:t>
            </w:r>
          </w:p>
        </w:tc>
        <w:tc>
          <w:tcPr>
            <w:tcW w:w="993" w:type="dxa"/>
            <w:tcBorders>
              <w:top w:val="nil"/>
              <w:left w:val="nil"/>
              <w:bottom w:val="single" w:sz="4" w:space="0" w:color="auto"/>
              <w:right w:val="single" w:sz="4" w:space="0" w:color="auto"/>
            </w:tcBorders>
            <w:shd w:val="clear" w:color="auto" w:fill="auto"/>
            <w:vAlign w:val="center"/>
            <w:hideMark/>
          </w:tcPr>
          <w:p w14:paraId="1EC6C9FE" w14:textId="02B1FCC4" w:rsidR="001A1BD2" w:rsidRPr="001A1BD2" w:rsidRDefault="001A1BD2" w:rsidP="001A1BD2">
            <w:pPr>
              <w:spacing w:after="0" w:line="240" w:lineRule="auto"/>
              <w:jc w:val="right"/>
              <w:rPr>
                <w:rFonts w:ascii="Arial" w:hAnsi="Arial" w:cs="Arial"/>
                <w:sz w:val="18"/>
                <w:szCs w:val="18"/>
              </w:rPr>
            </w:pPr>
            <w:r w:rsidRPr="001A1BD2">
              <w:rPr>
                <w:rFonts w:ascii="Arial" w:hAnsi="Arial" w:cs="Arial"/>
                <w:sz w:val="18"/>
                <w:szCs w:val="18"/>
              </w:rPr>
              <w:t>4,60 %</w:t>
            </w:r>
          </w:p>
        </w:tc>
        <w:tc>
          <w:tcPr>
            <w:tcW w:w="1012" w:type="dxa"/>
            <w:tcBorders>
              <w:top w:val="nil"/>
              <w:left w:val="nil"/>
              <w:bottom w:val="single" w:sz="4" w:space="0" w:color="auto"/>
              <w:right w:val="single" w:sz="4" w:space="0" w:color="auto"/>
            </w:tcBorders>
            <w:shd w:val="clear" w:color="auto" w:fill="auto"/>
            <w:vAlign w:val="center"/>
            <w:hideMark/>
          </w:tcPr>
          <w:p w14:paraId="4B3FE9B8" w14:textId="40E92AC2" w:rsidR="001A1BD2" w:rsidRPr="001A1BD2" w:rsidRDefault="001A1BD2" w:rsidP="001A1BD2">
            <w:pPr>
              <w:spacing w:after="0" w:line="240" w:lineRule="auto"/>
              <w:jc w:val="right"/>
              <w:rPr>
                <w:rFonts w:ascii="Arial" w:hAnsi="Arial" w:cs="Arial"/>
                <w:sz w:val="18"/>
                <w:szCs w:val="18"/>
              </w:rPr>
            </w:pPr>
            <w:r w:rsidRPr="001A1BD2">
              <w:rPr>
                <w:rFonts w:ascii="Arial" w:hAnsi="Arial" w:cs="Arial"/>
                <w:sz w:val="18"/>
                <w:szCs w:val="18"/>
              </w:rPr>
              <w:t>5,30 %</w:t>
            </w:r>
          </w:p>
        </w:tc>
      </w:tr>
      <w:tr w:rsidR="001A1BD2" w:rsidRPr="001A1BD2" w14:paraId="351E5F8B" w14:textId="77777777" w:rsidTr="001A1BD2">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264EB85" w14:textId="77777777" w:rsidR="001A1BD2" w:rsidRPr="001A1BD2" w:rsidRDefault="001A1BD2" w:rsidP="001A1BD2">
            <w:pPr>
              <w:spacing w:after="0" w:line="240" w:lineRule="auto"/>
              <w:rPr>
                <w:rFonts w:ascii="Arial" w:eastAsia="Times New Roman" w:hAnsi="Arial" w:cs="Arial"/>
                <w:color w:val="000000"/>
                <w:sz w:val="18"/>
                <w:szCs w:val="18"/>
                <w:lang w:eastAsia="sl-SI"/>
              </w:rPr>
            </w:pPr>
            <w:r w:rsidRPr="001A1BD2">
              <w:rPr>
                <w:rFonts w:ascii="Arial" w:eastAsia="Times New Roman" w:hAnsi="Arial" w:cs="Arial"/>
                <w:color w:val="000000"/>
                <w:sz w:val="18"/>
                <w:szCs w:val="18"/>
                <w:lang w:eastAsia="sl-SI"/>
              </w:rPr>
              <w:t>Postopek s pogajanji po predhodni objavi</w:t>
            </w:r>
          </w:p>
        </w:tc>
        <w:tc>
          <w:tcPr>
            <w:tcW w:w="992" w:type="dxa"/>
            <w:tcBorders>
              <w:top w:val="nil"/>
              <w:left w:val="nil"/>
              <w:bottom w:val="single" w:sz="4" w:space="0" w:color="auto"/>
              <w:right w:val="single" w:sz="4" w:space="0" w:color="auto"/>
            </w:tcBorders>
            <w:shd w:val="clear" w:color="auto" w:fill="auto"/>
            <w:vAlign w:val="center"/>
            <w:hideMark/>
          </w:tcPr>
          <w:p w14:paraId="44AC00A4" w14:textId="1AC9E2BB" w:rsidR="001A1BD2" w:rsidRPr="001A1BD2" w:rsidRDefault="001A1BD2" w:rsidP="001A1BD2">
            <w:pPr>
              <w:spacing w:after="0" w:line="240" w:lineRule="auto"/>
              <w:jc w:val="right"/>
              <w:rPr>
                <w:rFonts w:ascii="Arial" w:hAnsi="Arial" w:cs="Arial"/>
                <w:sz w:val="18"/>
                <w:szCs w:val="18"/>
              </w:rPr>
            </w:pPr>
            <w:r w:rsidRPr="001A1BD2">
              <w:rPr>
                <w:rFonts w:ascii="Arial" w:hAnsi="Arial" w:cs="Arial"/>
                <w:sz w:val="18"/>
                <w:szCs w:val="18"/>
              </w:rPr>
              <w:t>162</w:t>
            </w:r>
          </w:p>
        </w:tc>
        <w:tc>
          <w:tcPr>
            <w:tcW w:w="709" w:type="dxa"/>
            <w:tcBorders>
              <w:top w:val="nil"/>
              <w:left w:val="nil"/>
              <w:bottom w:val="single" w:sz="4" w:space="0" w:color="auto"/>
              <w:right w:val="single" w:sz="4" w:space="0" w:color="auto"/>
            </w:tcBorders>
            <w:shd w:val="clear" w:color="auto" w:fill="auto"/>
            <w:vAlign w:val="center"/>
            <w:hideMark/>
          </w:tcPr>
          <w:p w14:paraId="15A17DAE" w14:textId="35F0FDDF" w:rsidR="001A1BD2" w:rsidRPr="001A1BD2" w:rsidRDefault="001A1BD2" w:rsidP="001A1BD2">
            <w:pPr>
              <w:spacing w:after="0" w:line="240" w:lineRule="auto"/>
              <w:jc w:val="right"/>
              <w:rPr>
                <w:rFonts w:ascii="Arial" w:hAnsi="Arial" w:cs="Arial"/>
                <w:sz w:val="18"/>
                <w:szCs w:val="18"/>
              </w:rPr>
            </w:pPr>
            <w:r w:rsidRPr="001A1BD2">
              <w:rPr>
                <w:rFonts w:ascii="Arial" w:hAnsi="Arial" w:cs="Arial"/>
                <w:sz w:val="18"/>
                <w:szCs w:val="18"/>
              </w:rPr>
              <w:t>243</w:t>
            </w:r>
          </w:p>
        </w:tc>
        <w:tc>
          <w:tcPr>
            <w:tcW w:w="1417" w:type="dxa"/>
            <w:tcBorders>
              <w:top w:val="nil"/>
              <w:left w:val="nil"/>
              <w:bottom w:val="single" w:sz="4" w:space="0" w:color="auto"/>
              <w:right w:val="single" w:sz="4" w:space="0" w:color="auto"/>
            </w:tcBorders>
            <w:shd w:val="clear" w:color="auto" w:fill="auto"/>
            <w:vAlign w:val="center"/>
            <w:hideMark/>
          </w:tcPr>
          <w:p w14:paraId="6F5F377A" w14:textId="5E3F7675" w:rsidR="001A1BD2" w:rsidRPr="001A1BD2" w:rsidRDefault="001A1BD2" w:rsidP="001A1BD2">
            <w:pPr>
              <w:spacing w:after="0" w:line="240" w:lineRule="auto"/>
              <w:jc w:val="right"/>
              <w:rPr>
                <w:rFonts w:ascii="Arial" w:hAnsi="Arial" w:cs="Arial"/>
                <w:sz w:val="18"/>
                <w:szCs w:val="18"/>
              </w:rPr>
            </w:pPr>
            <w:r w:rsidRPr="001A1BD2">
              <w:rPr>
                <w:rFonts w:ascii="Arial" w:hAnsi="Arial" w:cs="Arial"/>
                <w:sz w:val="18"/>
                <w:szCs w:val="18"/>
              </w:rPr>
              <w:t>294.171.651</w:t>
            </w:r>
          </w:p>
        </w:tc>
        <w:tc>
          <w:tcPr>
            <w:tcW w:w="1134" w:type="dxa"/>
            <w:tcBorders>
              <w:top w:val="nil"/>
              <w:left w:val="nil"/>
              <w:bottom w:val="single" w:sz="4" w:space="0" w:color="auto"/>
              <w:right w:val="single" w:sz="4" w:space="0" w:color="auto"/>
            </w:tcBorders>
            <w:shd w:val="clear" w:color="auto" w:fill="auto"/>
            <w:vAlign w:val="center"/>
            <w:hideMark/>
          </w:tcPr>
          <w:p w14:paraId="32E03729" w14:textId="2072D408" w:rsidR="001A1BD2" w:rsidRPr="001A1BD2" w:rsidRDefault="001A1BD2" w:rsidP="001A1BD2">
            <w:pPr>
              <w:spacing w:after="0" w:line="240" w:lineRule="auto"/>
              <w:jc w:val="right"/>
              <w:rPr>
                <w:rFonts w:ascii="Arial" w:hAnsi="Arial" w:cs="Arial"/>
                <w:sz w:val="18"/>
                <w:szCs w:val="18"/>
              </w:rPr>
            </w:pPr>
            <w:r w:rsidRPr="001A1BD2">
              <w:rPr>
                <w:rFonts w:ascii="Arial" w:hAnsi="Arial" w:cs="Arial"/>
                <w:sz w:val="18"/>
                <w:szCs w:val="18"/>
              </w:rPr>
              <w:t>2,41 %</w:t>
            </w:r>
          </w:p>
        </w:tc>
        <w:tc>
          <w:tcPr>
            <w:tcW w:w="993" w:type="dxa"/>
            <w:tcBorders>
              <w:top w:val="nil"/>
              <w:left w:val="nil"/>
              <w:bottom w:val="single" w:sz="4" w:space="0" w:color="auto"/>
              <w:right w:val="single" w:sz="4" w:space="0" w:color="auto"/>
            </w:tcBorders>
            <w:shd w:val="clear" w:color="auto" w:fill="auto"/>
            <w:vAlign w:val="center"/>
            <w:hideMark/>
          </w:tcPr>
          <w:p w14:paraId="5EB0F2D7" w14:textId="6D5FD31B" w:rsidR="001A1BD2" w:rsidRPr="001A1BD2" w:rsidRDefault="001A1BD2" w:rsidP="001A1BD2">
            <w:pPr>
              <w:spacing w:after="0" w:line="240" w:lineRule="auto"/>
              <w:jc w:val="right"/>
              <w:rPr>
                <w:rFonts w:ascii="Arial" w:hAnsi="Arial" w:cs="Arial"/>
                <w:sz w:val="18"/>
                <w:szCs w:val="18"/>
              </w:rPr>
            </w:pPr>
            <w:r w:rsidRPr="001A1BD2">
              <w:rPr>
                <w:rFonts w:ascii="Arial" w:hAnsi="Arial" w:cs="Arial"/>
                <w:sz w:val="18"/>
                <w:szCs w:val="18"/>
              </w:rPr>
              <w:t>1,41 %</w:t>
            </w:r>
          </w:p>
        </w:tc>
        <w:tc>
          <w:tcPr>
            <w:tcW w:w="1012" w:type="dxa"/>
            <w:tcBorders>
              <w:top w:val="nil"/>
              <w:left w:val="nil"/>
              <w:bottom w:val="single" w:sz="4" w:space="0" w:color="auto"/>
              <w:right w:val="single" w:sz="4" w:space="0" w:color="auto"/>
            </w:tcBorders>
            <w:shd w:val="clear" w:color="auto" w:fill="auto"/>
            <w:vAlign w:val="center"/>
            <w:hideMark/>
          </w:tcPr>
          <w:p w14:paraId="4560FEDE" w14:textId="018668CF" w:rsidR="001A1BD2" w:rsidRPr="001A1BD2" w:rsidRDefault="001A1BD2" w:rsidP="001A1BD2">
            <w:pPr>
              <w:spacing w:after="0" w:line="240" w:lineRule="auto"/>
              <w:jc w:val="right"/>
              <w:rPr>
                <w:rFonts w:ascii="Arial" w:hAnsi="Arial" w:cs="Arial"/>
                <w:sz w:val="18"/>
                <w:szCs w:val="18"/>
              </w:rPr>
            </w:pPr>
            <w:r w:rsidRPr="001A1BD2">
              <w:rPr>
                <w:rFonts w:ascii="Arial" w:hAnsi="Arial" w:cs="Arial"/>
                <w:sz w:val="18"/>
                <w:szCs w:val="18"/>
              </w:rPr>
              <w:t>5,43 %</w:t>
            </w:r>
          </w:p>
        </w:tc>
      </w:tr>
      <w:tr w:rsidR="001A1BD2" w:rsidRPr="001A1BD2" w14:paraId="2DDA191C" w14:textId="77777777" w:rsidTr="001A1BD2">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6842377" w14:textId="77777777" w:rsidR="001A1BD2" w:rsidRPr="001A1BD2" w:rsidRDefault="001A1BD2" w:rsidP="001A1BD2">
            <w:pPr>
              <w:spacing w:after="0" w:line="240" w:lineRule="auto"/>
              <w:rPr>
                <w:rFonts w:ascii="Arial" w:eastAsia="Times New Roman" w:hAnsi="Arial" w:cs="Arial"/>
                <w:color w:val="000000"/>
                <w:sz w:val="18"/>
                <w:szCs w:val="18"/>
                <w:lang w:eastAsia="sl-SI"/>
              </w:rPr>
            </w:pPr>
            <w:r w:rsidRPr="001A1BD2">
              <w:rPr>
                <w:rFonts w:ascii="Arial" w:eastAsia="Times New Roman" w:hAnsi="Arial" w:cs="Arial"/>
                <w:color w:val="000000"/>
                <w:sz w:val="18"/>
                <w:szCs w:val="18"/>
                <w:lang w:eastAsia="sl-SI"/>
              </w:rPr>
              <w:t>Postopek zbiranja ponudb po predhodni objavi</w:t>
            </w:r>
          </w:p>
        </w:tc>
        <w:tc>
          <w:tcPr>
            <w:tcW w:w="992" w:type="dxa"/>
            <w:tcBorders>
              <w:top w:val="nil"/>
              <w:left w:val="nil"/>
              <w:bottom w:val="single" w:sz="4" w:space="0" w:color="auto"/>
              <w:right w:val="single" w:sz="4" w:space="0" w:color="auto"/>
            </w:tcBorders>
            <w:shd w:val="clear" w:color="auto" w:fill="auto"/>
            <w:vAlign w:val="center"/>
            <w:hideMark/>
          </w:tcPr>
          <w:p w14:paraId="165143AE" w14:textId="5F7CA40E" w:rsidR="001A1BD2" w:rsidRPr="001A1BD2" w:rsidRDefault="001A1BD2" w:rsidP="001A1BD2">
            <w:pPr>
              <w:spacing w:after="0" w:line="240" w:lineRule="auto"/>
              <w:jc w:val="right"/>
              <w:rPr>
                <w:rFonts w:ascii="Arial" w:hAnsi="Arial" w:cs="Arial"/>
                <w:sz w:val="18"/>
                <w:szCs w:val="18"/>
              </w:rPr>
            </w:pPr>
            <w:r w:rsidRPr="001A1BD2">
              <w:rPr>
                <w:rFonts w:ascii="Arial" w:hAnsi="Arial" w:cs="Arial"/>
                <w:sz w:val="18"/>
                <w:szCs w:val="18"/>
              </w:rPr>
              <w:t>26</w:t>
            </w:r>
          </w:p>
        </w:tc>
        <w:tc>
          <w:tcPr>
            <w:tcW w:w="709" w:type="dxa"/>
            <w:tcBorders>
              <w:top w:val="nil"/>
              <w:left w:val="nil"/>
              <w:bottom w:val="single" w:sz="4" w:space="0" w:color="auto"/>
              <w:right w:val="single" w:sz="4" w:space="0" w:color="auto"/>
            </w:tcBorders>
            <w:shd w:val="clear" w:color="auto" w:fill="auto"/>
            <w:vAlign w:val="center"/>
            <w:hideMark/>
          </w:tcPr>
          <w:p w14:paraId="469E2D92" w14:textId="0147461A" w:rsidR="001A1BD2" w:rsidRPr="001A1BD2" w:rsidRDefault="001A1BD2" w:rsidP="001A1BD2">
            <w:pPr>
              <w:spacing w:after="0" w:line="240" w:lineRule="auto"/>
              <w:jc w:val="right"/>
              <w:rPr>
                <w:rFonts w:ascii="Arial" w:hAnsi="Arial" w:cs="Arial"/>
                <w:sz w:val="18"/>
                <w:szCs w:val="18"/>
              </w:rPr>
            </w:pPr>
            <w:r w:rsidRPr="001A1BD2">
              <w:rPr>
                <w:rFonts w:ascii="Arial" w:hAnsi="Arial" w:cs="Arial"/>
                <w:sz w:val="18"/>
                <w:szCs w:val="18"/>
              </w:rPr>
              <w:t>33</w:t>
            </w:r>
          </w:p>
        </w:tc>
        <w:tc>
          <w:tcPr>
            <w:tcW w:w="1417" w:type="dxa"/>
            <w:tcBorders>
              <w:top w:val="nil"/>
              <w:left w:val="nil"/>
              <w:bottom w:val="single" w:sz="4" w:space="0" w:color="auto"/>
              <w:right w:val="single" w:sz="4" w:space="0" w:color="auto"/>
            </w:tcBorders>
            <w:shd w:val="clear" w:color="auto" w:fill="auto"/>
            <w:vAlign w:val="center"/>
            <w:hideMark/>
          </w:tcPr>
          <w:p w14:paraId="3D471F31" w14:textId="3FF86295" w:rsidR="001A1BD2" w:rsidRPr="001A1BD2" w:rsidRDefault="001A1BD2" w:rsidP="001A1BD2">
            <w:pPr>
              <w:spacing w:after="0" w:line="240" w:lineRule="auto"/>
              <w:jc w:val="right"/>
              <w:rPr>
                <w:rFonts w:ascii="Arial" w:hAnsi="Arial" w:cs="Arial"/>
                <w:sz w:val="18"/>
                <w:szCs w:val="18"/>
              </w:rPr>
            </w:pPr>
            <w:r w:rsidRPr="001A1BD2">
              <w:rPr>
                <w:rFonts w:ascii="Arial" w:hAnsi="Arial" w:cs="Arial"/>
                <w:sz w:val="18"/>
                <w:szCs w:val="18"/>
              </w:rPr>
              <w:t>5.946.842</w:t>
            </w:r>
          </w:p>
        </w:tc>
        <w:tc>
          <w:tcPr>
            <w:tcW w:w="1134" w:type="dxa"/>
            <w:tcBorders>
              <w:top w:val="nil"/>
              <w:left w:val="nil"/>
              <w:bottom w:val="single" w:sz="4" w:space="0" w:color="auto"/>
              <w:right w:val="single" w:sz="4" w:space="0" w:color="auto"/>
            </w:tcBorders>
            <w:shd w:val="clear" w:color="auto" w:fill="auto"/>
            <w:vAlign w:val="center"/>
            <w:hideMark/>
          </w:tcPr>
          <w:p w14:paraId="6C847CE1" w14:textId="7DFE4F21" w:rsidR="001A1BD2" w:rsidRPr="001A1BD2" w:rsidRDefault="001A1BD2" w:rsidP="001A1BD2">
            <w:pPr>
              <w:spacing w:after="0" w:line="240" w:lineRule="auto"/>
              <w:jc w:val="right"/>
              <w:rPr>
                <w:rFonts w:ascii="Arial" w:hAnsi="Arial" w:cs="Arial"/>
                <w:sz w:val="18"/>
                <w:szCs w:val="18"/>
              </w:rPr>
            </w:pPr>
            <w:r w:rsidRPr="001A1BD2">
              <w:rPr>
                <w:rFonts w:ascii="Arial" w:hAnsi="Arial" w:cs="Arial"/>
                <w:sz w:val="18"/>
                <w:szCs w:val="18"/>
              </w:rPr>
              <w:t>0,39 %</w:t>
            </w:r>
          </w:p>
        </w:tc>
        <w:tc>
          <w:tcPr>
            <w:tcW w:w="993" w:type="dxa"/>
            <w:tcBorders>
              <w:top w:val="nil"/>
              <w:left w:val="nil"/>
              <w:bottom w:val="single" w:sz="4" w:space="0" w:color="auto"/>
              <w:right w:val="single" w:sz="4" w:space="0" w:color="auto"/>
            </w:tcBorders>
            <w:shd w:val="clear" w:color="auto" w:fill="auto"/>
            <w:vAlign w:val="center"/>
            <w:hideMark/>
          </w:tcPr>
          <w:p w14:paraId="31B7BB06" w14:textId="35AB6B4C" w:rsidR="001A1BD2" w:rsidRPr="001A1BD2" w:rsidRDefault="001A1BD2" w:rsidP="001A1BD2">
            <w:pPr>
              <w:spacing w:after="0" w:line="240" w:lineRule="auto"/>
              <w:jc w:val="right"/>
              <w:rPr>
                <w:rFonts w:ascii="Arial" w:hAnsi="Arial" w:cs="Arial"/>
                <w:sz w:val="18"/>
                <w:szCs w:val="18"/>
              </w:rPr>
            </w:pPr>
            <w:r w:rsidRPr="001A1BD2">
              <w:rPr>
                <w:rFonts w:ascii="Arial" w:hAnsi="Arial" w:cs="Arial"/>
                <w:sz w:val="18"/>
                <w:szCs w:val="18"/>
              </w:rPr>
              <w:t>0,19 %</w:t>
            </w:r>
          </w:p>
        </w:tc>
        <w:tc>
          <w:tcPr>
            <w:tcW w:w="1012" w:type="dxa"/>
            <w:tcBorders>
              <w:top w:val="nil"/>
              <w:left w:val="nil"/>
              <w:bottom w:val="single" w:sz="4" w:space="0" w:color="auto"/>
              <w:right w:val="single" w:sz="4" w:space="0" w:color="auto"/>
            </w:tcBorders>
            <w:shd w:val="clear" w:color="auto" w:fill="auto"/>
            <w:vAlign w:val="center"/>
            <w:hideMark/>
          </w:tcPr>
          <w:p w14:paraId="708EB59C" w14:textId="0E99871B" w:rsidR="001A1BD2" w:rsidRPr="001A1BD2" w:rsidRDefault="001A1BD2" w:rsidP="001A1BD2">
            <w:pPr>
              <w:spacing w:after="0" w:line="240" w:lineRule="auto"/>
              <w:jc w:val="right"/>
              <w:rPr>
                <w:rFonts w:ascii="Arial" w:hAnsi="Arial" w:cs="Arial"/>
                <w:sz w:val="18"/>
                <w:szCs w:val="18"/>
              </w:rPr>
            </w:pPr>
            <w:r w:rsidRPr="001A1BD2">
              <w:rPr>
                <w:rFonts w:ascii="Arial" w:hAnsi="Arial" w:cs="Arial"/>
                <w:sz w:val="18"/>
                <w:szCs w:val="18"/>
              </w:rPr>
              <w:t>0,11 %</w:t>
            </w:r>
          </w:p>
        </w:tc>
      </w:tr>
      <w:tr w:rsidR="001A1BD2" w:rsidRPr="001A1BD2" w14:paraId="199FCFB1" w14:textId="77777777" w:rsidTr="001A1BD2">
        <w:trPr>
          <w:trHeight w:val="255"/>
        </w:trPr>
        <w:tc>
          <w:tcPr>
            <w:tcW w:w="311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3020F54" w14:textId="77777777" w:rsidR="001A1BD2" w:rsidRPr="001A1BD2" w:rsidRDefault="001A1BD2" w:rsidP="001A1BD2">
            <w:pPr>
              <w:spacing w:after="0" w:line="240" w:lineRule="auto"/>
              <w:rPr>
                <w:rFonts w:ascii="Arial" w:eastAsia="Times New Roman" w:hAnsi="Arial" w:cs="Arial"/>
                <w:b/>
                <w:bCs/>
                <w:color w:val="000000"/>
                <w:sz w:val="18"/>
                <w:szCs w:val="18"/>
                <w:lang w:eastAsia="sl-SI"/>
              </w:rPr>
            </w:pPr>
            <w:r w:rsidRPr="001A1BD2">
              <w:rPr>
                <w:rFonts w:ascii="Arial" w:eastAsia="Times New Roman" w:hAnsi="Arial" w:cs="Arial"/>
                <w:b/>
                <w:bCs/>
                <w:color w:val="000000"/>
                <w:sz w:val="18"/>
                <w:szCs w:val="18"/>
                <w:lang w:eastAsia="sl-SI"/>
              </w:rPr>
              <w:t>Skupaj</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2112E049" w14:textId="33A73EE2" w:rsidR="001A1BD2" w:rsidRPr="001A1BD2" w:rsidRDefault="001A1BD2" w:rsidP="001A1BD2">
            <w:pPr>
              <w:spacing w:after="0" w:line="240" w:lineRule="auto"/>
              <w:jc w:val="right"/>
              <w:rPr>
                <w:rFonts w:ascii="Arial" w:hAnsi="Arial" w:cs="Arial"/>
                <w:b/>
                <w:bCs/>
                <w:sz w:val="18"/>
                <w:szCs w:val="18"/>
              </w:rPr>
            </w:pPr>
            <w:r w:rsidRPr="001A1BD2">
              <w:rPr>
                <w:rFonts w:ascii="Arial" w:hAnsi="Arial" w:cs="Arial"/>
                <w:b/>
                <w:bCs/>
                <w:sz w:val="18"/>
                <w:szCs w:val="18"/>
              </w:rPr>
              <w:t>6.721</w:t>
            </w:r>
          </w:p>
        </w:tc>
        <w:tc>
          <w:tcPr>
            <w:tcW w:w="709" w:type="dxa"/>
            <w:tcBorders>
              <w:top w:val="nil"/>
              <w:left w:val="nil"/>
              <w:bottom w:val="single" w:sz="4" w:space="0" w:color="auto"/>
              <w:right w:val="single" w:sz="4" w:space="0" w:color="auto"/>
            </w:tcBorders>
            <w:shd w:val="clear" w:color="auto" w:fill="F2F2F2" w:themeFill="background1" w:themeFillShade="F2"/>
            <w:noWrap/>
            <w:vAlign w:val="center"/>
            <w:hideMark/>
          </w:tcPr>
          <w:p w14:paraId="6C331108" w14:textId="2FFC5FAB" w:rsidR="001A1BD2" w:rsidRPr="001A1BD2" w:rsidRDefault="001A1BD2" w:rsidP="001A1BD2">
            <w:pPr>
              <w:spacing w:after="0" w:line="240" w:lineRule="auto"/>
              <w:jc w:val="right"/>
              <w:rPr>
                <w:rFonts w:ascii="Arial" w:hAnsi="Arial" w:cs="Arial"/>
                <w:b/>
                <w:bCs/>
                <w:sz w:val="18"/>
                <w:szCs w:val="18"/>
              </w:rPr>
            </w:pPr>
            <w:r w:rsidRPr="001A1BD2">
              <w:rPr>
                <w:rFonts w:ascii="Arial" w:hAnsi="Arial" w:cs="Arial"/>
                <w:b/>
                <w:bCs/>
                <w:sz w:val="18"/>
                <w:szCs w:val="18"/>
              </w:rPr>
              <w:t>17.224</w:t>
            </w:r>
          </w:p>
        </w:tc>
        <w:tc>
          <w:tcPr>
            <w:tcW w:w="1417" w:type="dxa"/>
            <w:tcBorders>
              <w:top w:val="nil"/>
              <w:left w:val="nil"/>
              <w:bottom w:val="single" w:sz="4" w:space="0" w:color="auto"/>
              <w:right w:val="single" w:sz="4" w:space="0" w:color="auto"/>
            </w:tcBorders>
            <w:shd w:val="clear" w:color="auto" w:fill="F2F2F2" w:themeFill="background1" w:themeFillShade="F2"/>
            <w:noWrap/>
            <w:vAlign w:val="center"/>
            <w:hideMark/>
          </w:tcPr>
          <w:p w14:paraId="7E2148CD" w14:textId="0CFE2B78" w:rsidR="001A1BD2" w:rsidRPr="001A1BD2" w:rsidRDefault="001A1BD2" w:rsidP="001A1BD2">
            <w:pPr>
              <w:spacing w:after="0" w:line="240" w:lineRule="auto"/>
              <w:jc w:val="right"/>
              <w:rPr>
                <w:rFonts w:ascii="Arial" w:hAnsi="Arial" w:cs="Arial"/>
                <w:b/>
                <w:bCs/>
                <w:sz w:val="18"/>
                <w:szCs w:val="18"/>
              </w:rPr>
            </w:pPr>
            <w:r w:rsidRPr="001A1BD2">
              <w:rPr>
                <w:rFonts w:ascii="Arial" w:hAnsi="Arial" w:cs="Arial"/>
                <w:b/>
                <w:bCs/>
                <w:sz w:val="18"/>
                <w:szCs w:val="18"/>
              </w:rPr>
              <w:t>5.417.105.902</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hideMark/>
          </w:tcPr>
          <w:p w14:paraId="5DF2EC10" w14:textId="60CF8A21" w:rsidR="001A1BD2" w:rsidRPr="001A1BD2" w:rsidRDefault="001A1BD2" w:rsidP="001A1BD2">
            <w:pPr>
              <w:spacing w:after="0" w:line="240" w:lineRule="auto"/>
              <w:jc w:val="right"/>
              <w:rPr>
                <w:rFonts w:ascii="Arial" w:hAnsi="Arial" w:cs="Arial"/>
                <w:b/>
                <w:bCs/>
                <w:sz w:val="18"/>
                <w:szCs w:val="18"/>
              </w:rPr>
            </w:pPr>
            <w:r w:rsidRPr="001A1BD2">
              <w:rPr>
                <w:rFonts w:ascii="Arial" w:hAnsi="Arial" w:cs="Arial"/>
                <w:b/>
                <w:bCs/>
                <w:sz w:val="18"/>
                <w:szCs w:val="18"/>
              </w:rPr>
              <w:t>100,00 %</w:t>
            </w:r>
          </w:p>
        </w:tc>
        <w:tc>
          <w:tcPr>
            <w:tcW w:w="993" w:type="dxa"/>
            <w:tcBorders>
              <w:top w:val="nil"/>
              <w:left w:val="nil"/>
              <w:bottom w:val="single" w:sz="4" w:space="0" w:color="auto"/>
              <w:right w:val="single" w:sz="4" w:space="0" w:color="auto"/>
            </w:tcBorders>
            <w:shd w:val="clear" w:color="auto" w:fill="F2F2F2" w:themeFill="background1" w:themeFillShade="F2"/>
            <w:noWrap/>
            <w:vAlign w:val="center"/>
            <w:hideMark/>
          </w:tcPr>
          <w:p w14:paraId="4B570AF0" w14:textId="569AD919" w:rsidR="001A1BD2" w:rsidRPr="001A1BD2" w:rsidRDefault="001A1BD2" w:rsidP="001A1BD2">
            <w:pPr>
              <w:spacing w:after="0" w:line="240" w:lineRule="auto"/>
              <w:jc w:val="right"/>
              <w:rPr>
                <w:rFonts w:ascii="Arial" w:hAnsi="Arial" w:cs="Arial"/>
                <w:b/>
                <w:bCs/>
                <w:sz w:val="18"/>
                <w:szCs w:val="18"/>
              </w:rPr>
            </w:pPr>
            <w:r w:rsidRPr="001A1BD2">
              <w:rPr>
                <w:rFonts w:ascii="Arial" w:hAnsi="Arial" w:cs="Arial"/>
                <w:b/>
                <w:bCs/>
                <w:sz w:val="18"/>
                <w:szCs w:val="18"/>
              </w:rPr>
              <w:t>100,00 %</w:t>
            </w:r>
          </w:p>
        </w:tc>
        <w:tc>
          <w:tcPr>
            <w:tcW w:w="1012" w:type="dxa"/>
            <w:tcBorders>
              <w:top w:val="nil"/>
              <w:left w:val="nil"/>
              <w:bottom w:val="single" w:sz="4" w:space="0" w:color="auto"/>
              <w:right w:val="single" w:sz="4" w:space="0" w:color="auto"/>
            </w:tcBorders>
            <w:shd w:val="clear" w:color="auto" w:fill="F2F2F2" w:themeFill="background1" w:themeFillShade="F2"/>
            <w:noWrap/>
            <w:vAlign w:val="center"/>
            <w:hideMark/>
          </w:tcPr>
          <w:p w14:paraId="654B6CF5" w14:textId="5B5771F3" w:rsidR="001A1BD2" w:rsidRPr="001A1BD2" w:rsidRDefault="001A1BD2" w:rsidP="001A1BD2">
            <w:pPr>
              <w:spacing w:after="0" w:line="240" w:lineRule="auto"/>
              <w:jc w:val="right"/>
              <w:rPr>
                <w:rFonts w:ascii="Arial" w:hAnsi="Arial" w:cs="Arial"/>
                <w:b/>
                <w:bCs/>
                <w:sz w:val="18"/>
                <w:szCs w:val="18"/>
              </w:rPr>
            </w:pPr>
            <w:r w:rsidRPr="001A1BD2">
              <w:rPr>
                <w:rFonts w:ascii="Arial" w:hAnsi="Arial" w:cs="Arial"/>
                <w:b/>
                <w:bCs/>
                <w:sz w:val="18"/>
                <w:szCs w:val="18"/>
              </w:rPr>
              <w:t>100,00 %</w:t>
            </w:r>
          </w:p>
        </w:tc>
      </w:tr>
    </w:tbl>
    <w:p w14:paraId="0F2FABE7" w14:textId="3776DC67" w:rsidR="00FF4442" w:rsidRPr="001A1BD2" w:rsidRDefault="00FF4442" w:rsidP="00A4539E">
      <w:pPr>
        <w:tabs>
          <w:tab w:val="left" w:pos="567"/>
          <w:tab w:val="left" w:pos="993"/>
        </w:tabs>
        <w:spacing w:after="0" w:line="240" w:lineRule="auto"/>
        <w:rPr>
          <w:rFonts w:ascii="Arial" w:hAnsi="Arial" w:cs="Arial"/>
          <w:sz w:val="18"/>
        </w:rPr>
      </w:pPr>
    </w:p>
    <w:p w14:paraId="632BC814" w14:textId="16B21B8C" w:rsidR="00F20CF1" w:rsidRPr="001A1BD2" w:rsidRDefault="006F709C" w:rsidP="00F20CF1">
      <w:pPr>
        <w:tabs>
          <w:tab w:val="left" w:pos="567"/>
          <w:tab w:val="left" w:pos="993"/>
        </w:tabs>
        <w:spacing w:line="360" w:lineRule="auto"/>
        <w:jc w:val="center"/>
        <w:rPr>
          <w:rFonts w:ascii="Arial" w:hAnsi="Arial" w:cs="Arial"/>
          <w:bCs/>
          <w:sz w:val="20"/>
          <w:szCs w:val="20"/>
        </w:rPr>
      </w:pPr>
      <w:r w:rsidRPr="001A1BD2">
        <w:rPr>
          <w:rFonts w:ascii="Arial" w:hAnsi="Arial" w:cs="Arial"/>
          <w:sz w:val="18"/>
        </w:rPr>
        <w:t>Vir: Statistični podatki o javnih naročilih, oddanih v letu 2</w:t>
      </w:r>
      <w:r w:rsidR="005D4F1D" w:rsidRPr="001A1BD2">
        <w:rPr>
          <w:rFonts w:ascii="Arial" w:hAnsi="Arial" w:cs="Arial"/>
          <w:sz w:val="18"/>
        </w:rPr>
        <w:t>0</w:t>
      </w:r>
      <w:r w:rsidR="004B4DF4" w:rsidRPr="001A1BD2">
        <w:rPr>
          <w:rFonts w:ascii="Arial" w:hAnsi="Arial" w:cs="Arial"/>
          <w:sz w:val="18"/>
        </w:rPr>
        <w:t>2</w:t>
      </w:r>
      <w:r w:rsidR="001A1BD2" w:rsidRPr="001A1BD2">
        <w:rPr>
          <w:rFonts w:ascii="Arial" w:hAnsi="Arial" w:cs="Arial"/>
          <w:sz w:val="18"/>
        </w:rPr>
        <w:t>2</w:t>
      </w:r>
      <w:r w:rsidR="00AA31A7" w:rsidRPr="001A1BD2">
        <w:rPr>
          <w:rFonts w:ascii="Arial" w:hAnsi="Arial" w:cs="Arial"/>
          <w:sz w:val="18"/>
        </w:rPr>
        <w:t>.</w:t>
      </w:r>
    </w:p>
    <w:p w14:paraId="21DF9EF9" w14:textId="59715770" w:rsidR="006F709C" w:rsidRPr="002C598F" w:rsidRDefault="006F709C" w:rsidP="006F709C">
      <w:pPr>
        <w:tabs>
          <w:tab w:val="left" w:pos="567"/>
          <w:tab w:val="left" w:pos="993"/>
        </w:tabs>
        <w:spacing w:line="360" w:lineRule="auto"/>
        <w:jc w:val="both"/>
        <w:rPr>
          <w:rFonts w:ascii="Arial" w:hAnsi="Arial" w:cs="Arial"/>
          <w:bCs/>
          <w:color w:val="000000" w:themeColor="text1"/>
          <w:sz w:val="20"/>
          <w:szCs w:val="20"/>
        </w:rPr>
      </w:pPr>
      <w:r w:rsidRPr="00F43A06">
        <w:rPr>
          <w:rFonts w:ascii="Arial" w:hAnsi="Arial" w:cs="Arial"/>
          <w:bCs/>
          <w:color w:val="000000" w:themeColor="text1"/>
          <w:sz w:val="20"/>
          <w:szCs w:val="20"/>
        </w:rPr>
        <w:t>V primerjavi s pre</w:t>
      </w:r>
      <w:r w:rsidR="00B54E88">
        <w:rPr>
          <w:rFonts w:ascii="Arial" w:hAnsi="Arial" w:cs="Arial"/>
          <w:bCs/>
          <w:color w:val="000000" w:themeColor="text1"/>
          <w:sz w:val="20"/>
          <w:szCs w:val="20"/>
        </w:rPr>
        <w:t>jšnjimi</w:t>
      </w:r>
      <w:r w:rsidRPr="00F43A06">
        <w:rPr>
          <w:rFonts w:ascii="Arial" w:hAnsi="Arial" w:cs="Arial"/>
          <w:bCs/>
          <w:color w:val="000000" w:themeColor="text1"/>
          <w:sz w:val="20"/>
          <w:szCs w:val="20"/>
        </w:rPr>
        <w:t xml:space="preserve"> leti so naročniki </w:t>
      </w:r>
      <w:r w:rsidR="00DC4799" w:rsidRPr="00F43A06">
        <w:rPr>
          <w:rFonts w:ascii="Arial" w:hAnsi="Arial" w:cs="Arial"/>
          <w:bCs/>
          <w:color w:val="000000" w:themeColor="text1"/>
          <w:sz w:val="20"/>
          <w:szCs w:val="20"/>
        </w:rPr>
        <w:t xml:space="preserve">tudi </w:t>
      </w:r>
      <w:r w:rsidR="00430814" w:rsidRPr="00F43A06">
        <w:rPr>
          <w:rFonts w:ascii="Arial" w:hAnsi="Arial" w:cs="Arial"/>
          <w:bCs/>
          <w:color w:val="000000" w:themeColor="text1"/>
          <w:sz w:val="20"/>
          <w:szCs w:val="20"/>
        </w:rPr>
        <w:t>let</w:t>
      </w:r>
      <w:r w:rsidR="00EC1BBF" w:rsidRPr="00F43A06">
        <w:rPr>
          <w:rFonts w:ascii="Arial" w:hAnsi="Arial" w:cs="Arial"/>
          <w:bCs/>
          <w:color w:val="000000" w:themeColor="text1"/>
          <w:sz w:val="20"/>
          <w:szCs w:val="20"/>
        </w:rPr>
        <w:t>a</w:t>
      </w:r>
      <w:r w:rsidR="00430814" w:rsidRPr="00F43A06">
        <w:rPr>
          <w:rFonts w:ascii="Arial" w:hAnsi="Arial" w:cs="Arial"/>
          <w:bCs/>
          <w:color w:val="000000" w:themeColor="text1"/>
          <w:sz w:val="20"/>
          <w:szCs w:val="20"/>
        </w:rPr>
        <w:t xml:space="preserve"> 20</w:t>
      </w:r>
      <w:r w:rsidR="00383E0F" w:rsidRPr="00F43A06">
        <w:rPr>
          <w:rFonts w:ascii="Arial" w:hAnsi="Arial" w:cs="Arial"/>
          <w:bCs/>
          <w:color w:val="000000" w:themeColor="text1"/>
          <w:sz w:val="20"/>
          <w:szCs w:val="20"/>
        </w:rPr>
        <w:t>2</w:t>
      </w:r>
      <w:r w:rsidR="00726C0E">
        <w:rPr>
          <w:rFonts w:ascii="Arial" w:hAnsi="Arial" w:cs="Arial"/>
          <w:bCs/>
          <w:color w:val="000000" w:themeColor="text1"/>
          <w:sz w:val="20"/>
          <w:szCs w:val="20"/>
        </w:rPr>
        <w:t>2</w:t>
      </w:r>
      <w:r w:rsidRPr="00F43A06">
        <w:rPr>
          <w:rFonts w:ascii="Arial" w:hAnsi="Arial" w:cs="Arial"/>
          <w:bCs/>
          <w:color w:val="000000" w:themeColor="text1"/>
          <w:sz w:val="20"/>
          <w:szCs w:val="20"/>
        </w:rPr>
        <w:t xml:space="preserve"> najpogosteje izvedli postopek oddaje naročila male vrednosti, in sicer </w:t>
      </w:r>
      <w:r w:rsidR="00831789" w:rsidRPr="00F43A06">
        <w:rPr>
          <w:rFonts w:ascii="Arial" w:hAnsi="Arial" w:cs="Arial"/>
          <w:bCs/>
          <w:color w:val="000000" w:themeColor="text1"/>
          <w:sz w:val="20"/>
          <w:szCs w:val="20"/>
        </w:rPr>
        <w:t>3</w:t>
      </w:r>
      <w:r w:rsidR="00F43A06" w:rsidRPr="00F43A06">
        <w:rPr>
          <w:rFonts w:ascii="Arial" w:hAnsi="Arial" w:cs="Arial"/>
          <w:bCs/>
          <w:color w:val="000000" w:themeColor="text1"/>
          <w:sz w:val="20"/>
          <w:szCs w:val="20"/>
        </w:rPr>
        <w:t>677</w:t>
      </w:r>
      <w:r w:rsidRPr="00F43A06">
        <w:rPr>
          <w:rFonts w:ascii="Arial" w:hAnsi="Arial" w:cs="Arial"/>
          <w:bCs/>
          <w:color w:val="000000" w:themeColor="text1"/>
          <w:sz w:val="20"/>
          <w:szCs w:val="20"/>
        </w:rPr>
        <w:t xml:space="preserve">-krat oziroma v </w:t>
      </w:r>
      <w:r w:rsidR="00F43A06" w:rsidRPr="00F43A06">
        <w:rPr>
          <w:rFonts w:ascii="Arial" w:hAnsi="Arial" w:cs="Arial"/>
          <w:bCs/>
          <w:color w:val="000000" w:themeColor="text1"/>
          <w:sz w:val="20"/>
          <w:szCs w:val="20"/>
        </w:rPr>
        <w:t>54,71</w:t>
      </w:r>
      <w:r w:rsidRPr="00F43A06">
        <w:rPr>
          <w:rFonts w:ascii="Arial" w:hAnsi="Arial" w:cs="Arial"/>
          <w:bCs/>
          <w:color w:val="000000" w:themeColor="text1"/>
          <w:sz w:val="20"/>
          <w:szCs w:val="20"/>
        </w:rPr>
        <w:t> </w:t>
      </w:r>
      <w:r w:rsidR="00AC0027">
        <w:rPr>
          <w:rFonts w:ascii="Arial" w:hAnsi="Arial" w:cs="Arial"/>
          <w:bCs/>
          <w:color w:val="000000" w:themeColor="text1"/>
          <w:sz w:val="20"/>
          <w:szCs w:val="20"/>
        </w:rPr>
        <w:t>odstotka</w:t>
      </w:r>
      <w:r w:rsidRPr="00F43A06">
        <w:rPr>
          <w:rFonts w:ascii="Arial" w:hAnsi="Arial" w:cs="Arial"/>
          <w:bCs/>
          <w:color w:val="000000" w:themeColor="text1"/>
          <w:sz w:val="20"/>
          <w:szCs w:val="20"/>
        </w:rPr>
        <w:t>, delež tega postopka pa se je v primerjavi s pre</w:t>
      </w:r>
      <w:r w:rsidR="00B54E88">
        <w:rPr>
          <w:rFonts w:ascii="Arial" w:hAnsi="Arial" w:cs="Arial"/>
          <w:bCs/>
          <w:color w:val="000000" w:themeColor="text1"/>
          <w:sz w:val="20"/>
          <w:szCs w:val="20"/>
        </w:rPr>
        <w:t>jšnjim</w:t>
      </w:r>
      <w:r w:rsidRPr="00F43A06">
        <w:rPr>
          <w:rFonts w:ascii="Arial" w:hAnsi="Arial" w:cs="Arial"/>
          <w:bCs/>
          <w:color w:val="000000" w:themeColor="text1"/>
          <w:sz w:val="20"/>
          <w:szCs w:val="20"/>
        </w:rPr>
        <w:t xml:space="preserve"> letom </w:t>
      </w:r>
      <w:r w:rsidR="00F43A06" w:rsidRPr="00F43A06">
        <w:rPr>
          <w:rFonts w:ascii="Arial" w:hAnsi="Arial" w:cs="Arial"/>
          <w:bCs/>
          <w:color w:val="000000" w:themeColor="text1"/>
          <w:sz w:val="20"/>
          <w:szCs w:val="20"/>
        </w:rPr>
        <w:t>povečal</w:t>
      </w:r>
      <w:r w:rsidRPr="00F43A06">
        <w:rPr>
          <w:rFonts w:ascii="Arial" w:hAnsi="Arial" w:cs="Arial"/>
          <w:bCs/>
          <w:color w:val="000000" w:themeColor="text1"/>
          <w:sz w:val="20"/>
          <w:szCs w:val="20"/>
        </w:rPr>
        <w:t xml:space="preserve"> za </w:t>
      </w:r>
      <w:r w:rsidR="00F43A06" w:rsidRPr="00F43A06">
        <w:rPr>
          <w:rFonts w:ascii="Arial" w:hAnsi="Arial" w:cs="Arial"/>
          <w:bCs/>
          <w:color w:val="000000" w:themeColor="text1"/>
          <w:sz w:val="20"/>
          <w:szCs w:val="20"/>
        </w:rPr>
        <w:t>3,68</w:t>
      </w:r>
      <w:r w:rsidR="00210A86" w:rsidRPr="00F43A06">
        <w:rPr>
          <w:rFonts w:ascii="Arial" w:hAnsi="Arial" w:cs="Arial"/>
          <w:bCs/>
          <w:color w:val="000000" w:themeColor="text1"/>
          <w:sz w:val="20"/>
          <w:szCs w:val="20"/>
        </w:rPr>
        <w:t> </w:t>
      </w:r>
      <w:r w:rsidRPr="00F43A06">
        <w:rPr>
          <w:rFonts w:ascii="Arial" w:hAnsi="Arial" w:cs="Arial"/>
          <w:bCs/>
          <w:color w:val="000000" w:themeColor="text1"/>
          <w:sz w:val="20"/>
          <w:szCs w:val="20"/>
        </w:rPr>
        <w:t>odstotne točke. Glede na leto 20</w:t>
      </w:r>
      <w:r w:rsidR="00A36C76" w:rsidRPr="00F43A06">
        <w:rPr>
          <w:rFonts w:ascii="Arial" w:hAnsi="Arial" w:cs="Arial"/>
          <w:bCs/>
          <w:color w:val="000000" w:themeColor="text1"/>
          <w:sz w:val="20"/>
          <w:szCs w:val="20"/>
        </w:rPr>
        <w:t>2</w:t>
      </w:r>
      <w:r w:rsidR="00F43A06" w:rsidRPr="00F43A06">
        <w:rPr>
          <w:rFonts w:ascii="Arial" w:hAnsi="Arial" w:cs="Arial"/>
          <w:bCs/>
          <w:color w:val="000000" w:themeColor="text1"/>
          <w:sz w:val="20"/>
          <w:szCs w:val="20"/>
        </w:rPr>
        <w:t>1</w:t>
      </w:r>
      <w:r w:rsidRPr="00F43A06">
        <w:rPr>
          <w:rFonts w:ascii="Arial" w:hAnsi="Arial" w:cs="Arial"/>
          <w:bCs/>
          <w:color w:val="000000" w:themeColor="text1"/>
          <w:sz w:val="20"/>
          <w:szCs w:val="20"/>
        </w:rPr>
        <w:t xml:space="preserve"> se</w:t>
      </w:r>
      <w:r w:rsidR="00310BEF" w:rsidRPr="00F43A06">
        <w:rPr>
          <w:rFonts w:ascii="Arial" w:hAnsi="Arial" w:cs="Arial"/>
          <w:bCs/>
          <w:color w:val="000000" w:themeColor="text1"/>
          <w:sz w:val="20"/>
          <w:szCs w:val="20"/>
        </w:rPr>
        <w:t xml:space="preserve"> je</w:t>
      </w:r>
      <w:r w:rsidRPr="00F43A06">
        <w:rPr>
          <w:rFonts w:ascii="Arial" w:hAnsi="Arial" w:cs="Arial"/>
          <w:bCs/>
          <w:color w:val="000000" w:themeColor="text1"/>
          <w:sz w:val="20"/>
          <w:szCs w:val="20"/>
        </w:rPr>
        <w:t xml:space="preserve"> za </w:t>
      </w:r>
      <w:r w:rsidR="00F43A06" w:rsidRPr="00F43A06">
        <w:rPr>
          <w:rFonts w:ascii="Arial" w:hAnsi="Arial" w:cs="Arial"/>
          <w:bCs/>
          <w:color w:val="000000" w:themeColor="text1"/>
          <w:sz w:val="20"/>
          <w:szCs w:val="20"/>
        </w:rPr>
        <w:t xml:space="preserve">2,99 </w:t>
      </w:r>
      <w:r w:rsidRPr="00F43A06">
        <w:rPr>
          <w:rFonts w:ascii="Arial" w:hAnsi="Arial" w:cs="Arial"/>
          <w:bCs/>
          <w:color w:val="000000" w:themeColor="text1"/>
          <w:sz w:val="20"/>
          <w:szCs w:val="20"/>
        </w:rPr>
        <w:t xml:space="preserve">odstotne točke </w:t>
      </w:r>
      <w:r w:rsidR="00F43A06" w:rsidRPr="00F43A06">
        <w:rPr>
          <w:rFonts w:ascii="Arial" w:hAnsi="Arial" w:cs="Arial"/>
          <w:bCs/>
          <w:color w:val="000000" w:themeColor="text1"/>
          <w:sz w:val="20"/>
          <w:szCs w:val="20"/>
        </w:rPr>
        <w:t>zmanjšal</w:t>
      </w:r>
      <w:r w:rsidRPr="00F43A06">
        <w:rPr>
          <w:rFonts w:ascii="Arial" w:hAnsi="Arial" w:cs="Arial"/>
          <w:bCs/>
          <w:color w:val="000000" w:themeColor="text1"/>
          <w:sz w:val="20"/>
          <w:szCs w:val="20"/>
        </w:rPr>
        <w:t xml:space="preserve"> delež odprtih postopkov</w:t>
      </w:r>
      <w:r w:rsidR="00C62C7D" w:rsidRPr="00F43A06">
        <w:rPr>
          <w:rFonts w:ascii="Arial" w:hAnsi="Arial" w:cs="Arial"/>
          <w:bCs/>
          <w:color w:val="000000" w:themeColor="text1"/>
          <w:sz w:val="20"/>
          <w:szCs w:val="20"/>
        </w:rPr>
        <w:t>. T</w:t>
      </w:r>
      <w:r w:rsidR="00116B76" w:rsidRPr="00F43A06">
        <w:rPr>
          <w:rFonts w:ascii="Arial" w:hAnsi="Arial" w:cs="Arial"/>
          <w:bCs/>
          <w:color w:val="000000" w:themeColor="text1"/>
          <w:sz w:val="20"/>
          <w:szCs w:val="20"/>
        </w:rPr>
        <w:t>o</w:t>
      </w:r>
      <w:r w:rsidRPr="00F43A06">
        <w:rPr>
          <w:rFonts w:ascii="Arial" w:hAnsi="Arial" w:cs="Arial"/>
          <w:bCs/>
          <w:color w:val="000000" w:themeColor="text1"/>
          <w:sz w:val="20"/>
          <w:szCs w:val="20"/>
        </w:rPr>
        <w:t xml:space="preserve"> je bil let</w:t>
      </w:r>
      <w:r w:rsidR="00EC1BBF" w:rsidRPr="00F43A06">
        <w:rPr>
          <w:rFonts w:ascii="Arial" w:hAnsi="Arial" w:cs="Arial"/>
          <w:bCs/>
          <w:color w:val="000000" w:themeColor="text1"/>
          <w:sz w:val="20"/>
          <w:szCs w:val="20"/>
        </w:rPr>
        <w:t>a</w:t>
      </w:r>
      <w:r w:rsidRPr="00F43A06">
        <w:rPr>
          <w:rFonts w:ascii="Arial" w:hAnsi="Arial" w:cs="Arial"/>
          <w:bCs/>
          <w:color w:val="000000" w:themeColor="text1"/>
          <w:sz w:val="20"/>
          <w:szCs w:val="20"/>
        </w:rPr>
        <w:t xml:space="preserve"> 20</w:t>
      </w:r>
      <w:r w:rsidR="00C62C7D" w:rsidRPr="00F43A06">
        <w:rPr>
          <w:rFonts w:ascii="Arial" w:hAnsi="Arial" w:cs="Arial"/>
          <w:bCs/>
          <w:color w:val="000000" w:themeColor="text1"/>
          <w:sz w:val="20"/>
          <w:szCs w:val="20"/>
        </w:rPr>
        <w:t>2</w:t>
      </w:r>
      <w:r w:rsidR="00F43A06" w:rsidRPr="00F43A06">
        <w:rPr>
          <w:rFonts w:ascii="Arial" w:hAnsi="Arial" w:cs="Arial"/>
          <w:bCs/>
          <w:color w:val="000000" w:themeColor="text1"/>
          <w:sz w:val="20"/>
          <w:szCs w:val="20"/>
        </w:rPr>
        <w:t>2</w:t>
      </w:r>
      <w:r w:rsidRPr="00F43A06">
        <w:rPr>
          <w:rFonts w:ascii="Arial" w:hAnsi="Arial" w:cs="Arial"/>
          <w:bCs/>
          <w:color w:val="000000" w:themeColor="text1"/>
          <w:sz w:val="20"/>
          <w:szCs w:val="20"/>
        </w:rPr>
        <w:t xml:space="preserve"> drugi najpogosteje uporabljen</w:t>
      </w:r>
      <w:r w:rsidR="002B7C52" w:rsidRPr="00F43A06">
        <w:rPr>
          <w:rFonts w:ascii="Arial" w:hAnsi="Arial" w:cs="Arial"/>
          <w:bCs/>
          <w:color w:val="000000" w:themeColor="text1"/>
          <w:sz w:val="20"/>
          <w:szCs w:val="20"/>
        </w:rPr>
        <w:t>i</w:t>
      </w:r>
      <w:r w:rsidRPr="00F43A06">
        <w:rPr>
          <w:rFonts w:ascii="Arial" w:hAnsi="Arial" w:cs="Arial"/>
          <w:bCs/>
          <w:color w:val="000000" w:themeColor="text1"/>
          <w:sz w:val="20"/>
          <w:szCs w:val="20"/>
        </w:rPr>
        <w:t xml:space="preserve"> postopek z deležem </w:t>
      </w:r>
      <w:r w:rsidR="00F43A06" w:rsidRPr="00F43A06">
        <w:rPr>
          <w:rFonts w:ascii="Arial" w:hAnsi="Arial" w:cs="Arial"/>
          <w:bCs/>
          <w:color w:val="000000" w:themeColor="text1"/>
          <w:sz w:val="20"/>
          <w:szCs w:val="20"/>
        </w:rPr>
        <w:t>29,47</w:t>
      </w:r>
      <w:r w:rsidRPr="00F43A06">
        <w:rPr>
          <w:rFonts w:ascii="Arial" w:hAnsi="Arial" w:cs="Arial"/>
          <w:bCs/>
          <w:color w:val="000000" w:themeColor="text1"/>
          <w:sz w:val="20"/>
          <w:szCs w:val="20"/>
        </w:rPr>
        <w:t> </w:t>
      </w:r>
      <w:r w:rsidR="00AC0027">
        <w:rPr>
          <w:rFonts w:ascii="Arial" w:hAnsi="Arial" w:cs="Arial"/>
          <w:bCs/>
          <w:color w:val="000000" w:themeColor="text1"/>
          <w:sz w:val="20"/>
          <w:szCs w:val="20"/>
        </w:rPr>
        <w:t>odstotka</w:t>
      </w:r>
      <w:r w:rsidRPr="00F43A06">
        <w:rPr>
          <w:rFonts w:ascii="Arial" w:hAnsi="Arial" w:cs="Arial"/>
          <w:bCs/>
          <w:color w:val="000000" w:themeColor="text1"/>
          <w:sz w:val="20"/>
          <w:szCs w:val="20"/>
        </w:rPr>
        <w:t xml:space="preserve"> in </w:t>
      </w:r>
      <w:r w:rsidR="00F43A06" w:rsidRPr="00F43A06">
        <w:rPr>
          <w:rFonts w:ascii="Arial" w:hAnsi="Arial" w:cs="Arial"/>
          <w:bCs/>
          <w:color w:val="000000" w:themeColor="text1"/>
          <w:sz w:val="20"/>
          <w:szCs w:val="20"/>
        </w:rPr>
        <w:t>1981</w:t>
      </w:r>
      <w:r w:rsidRPr="00F43A06">
        <w:rPr>
          <w:rFonts w:ascii="Arial" w:hAnsi="Arial" w:cs="Arial"/>
          <w:bCs/>
          <w:color w:val="000000" w:themeColor="text1"/>
          <w:sz w:val="20"/>
          <w:szCs w:val="20"/>
        </w:rPr>
        <w:t xml:space="preserve"> izvedenimi postopki. </w:t>
      </w:r>
      <w:r w:rsidR="00833AEB" w:rsidRPr="00F43A06">
        <w:rPr>
          <w:rFonts w:ascii="Arial" w:hAnsi="Arial" w:cs="Arial"/>
          <w:bCs/>
          <w:color w:val="000000" w:themeColor="text1"/>
          <w:sz w:val="20"/>
          <w:szCs w:val="20"/>
        </w:rPr>
        <w:t>Tretji najpogosteje uporabljeni postopek je bil postopek s pogajanji brez predhodne objave z</w:t>
      </w:r>
      <w:r w:rsidRPr="00F43A06">
        <w:rPr>
          <w:rFonts w:ascii="Arial" w:hAnsi="Arial" w:cs="Arial"/>
          <w:bCs/>
          <w:color w:val="000000" w:themeColor="text1"/>
          <w:sz w:val="20"/>
          <w:szCs w:val="20"/>
        </w:rPr>
        <w:t xml:space="preserve"> deležem </w:t>
      </w:r>
      <w:r w:rsidR="00F43A06" w:rsidRPr="00F43A06">
        <w:rPr>
          <w:rFonts w:ascii="Arial" w:hAnsi="Arial" w:cs="Arial"/>
          <w:bCs/>
          <w:color w:val="000000" w:themeColor="text1"/>
          <w:sz w:val="20"/>
          <w:szCs w:val="20"/>
        </w:rPr>
        <w:t>9,49</w:t>
      </w:r>
      <w:r w:rsidRPr="00F43A06">
        <w:rPr>
          <w:rFonts w:ascii="Arial" w:hAnsi="Arial" w:cs="Arial"/>
          <w:bCs/>
          <w:color w:val="000000" w:themeColor="text1"/>
          <w:sz w:val="20"/>
          <w:szCs w:val="20"/>
        </w:rPr>
        <w:t> </w:t>
      </w:r>
      <w:r w:rsidR="00AC0027">
        <w:rPr>
          <w:rFonts w:ascii="Arial" w:hAnsi="Arial" w:cs="Arial"/>
          <w:bCs/>
          <w:color w:val="000000" w:themeColor="text1"/>
          <w:sz w:val="20"/>
          <w:szCs w:val="20"/>
        </w:rPr>
        <w:t>odstotka</w:t>
      </w:r>
      <w:r w:rsidRPr="00F43A06">
        <w:rPr>
          <w:rFonts w:ascii="Arial" w:hAnsi="Arial" w:cs="Arial"/>
          <w:bCs/>
          <w:color w:val="000000" w:themeColor="text1"/>
          <w:sz w:val="20"/>
          <w:szCs w:val="20"/>
        </w:rPr>
        <w:t xml:space="preserve"> in </w:t>
      </w:r>
      <w:r w:rsidR="00F43A06" w:rsidRPr="00F43A06">
        <w:rPr>
          <w:rFonts w:ascii="Arial" w:hAnsi="Arial" w:cs="Arial"/>
          <w:bCs/>
          <w:color w:val="000000" w:themeColor="text1"/>
          <w:sz w:val="20"/>
          <w:szCs w:val="20"/>
        </w:rPr>
        <w:t>638</w:t>
      </w:r>
      <w:r w:rsidRPr="00F43A06">
        <w:rPr>
          <w:rFonts w:ascii="Arial" w:hAnsi="Arial" w:cs="Arial"/>
          <w:bCs/>
          <w:color w:val="000000" w:themeColor="text1"/>
          <w:sz w:val="20"/>
          <w:szCs w:val="20"/>
        </w:rPr>
        <w:t xml:space="preserve"> izvedenimi postopki</w:t>
      </w:r>
      <w:r w:rsidR="00833AEB" w:rsidRPr="00F43A06">
        <w:rPr>
          <w:rFonts w:ascii="Arial" w:hAnsi="Arial" w:cs="Arial"/>
          <w:bCs/>
          <w:color w:val="000000" w:themeColor="text1"/>
          <w:sz w:val="20"/>
          <w:szCs w:val="20"/>
        </w:rPr>
        <w:t>, ki se je glede na leto 20</w:t>
      </w:r>
      <w:r w:rsidR="00C973EF" w:rsidRPr="00F43A06">
        <w:rPr>
          <w:rFonts w:ascii="Arial" w:hAnsi="Arial" w:cs="Arial"/>
          <w:bCs/>
          <w:color w:val="000000" w:themeColor="text1"/>
          <w:sz w:val="20"/>
          <w:szCs w:val="20"/>
        </w:rPr>
        <w:t>2</w:t>
      </w:r>
      <w:r w:rsidR="00F43A06" w:rsidRPr="00F43A06">
        <w:rPr>
          <w:rFonts w:ascii="Arial" w:hAnsi="Arial" w:cs="Arial"/>
          <w:bCs/>
          <w:color w:val="000000" w:themeColor="text1"/>
          <w:sz w:val="20"/>
          <w:szCs w:val="20"/>
        </w:rPr>
        <w:t>1</w:t>
      </w:r>
      <w:r w:rsidRPr="00F43A06">
        <w:rPr>
          <w:rFonts w:ascii="Arial" w:hAnsi="Arial" w:cs="Arial"/>
          <w:bCs/>
          <w:color w:val="000000" w:themeColor="text1"/>
          <w:sz w:val="20"/>
          <w:szCs w:val="20"/>
        </w:rPr>
        <w:t xml:space="preserve"> </w:t>
      </w:r>
      <w:r w:rsidR="00C973EF" w:rsidRPr="00F43A06">
        <w:rPr>
          <w:rFonts w:ascii="Arial" w:hAnsi="Arial" w:cs="Arial"/>
          <w:bCs/>
          <w:color w:val="000000" w:themeColor="text1"/>
          <w:sz w:val="20"/>
          <w:szCs w:val="20"/>
        </w:rPr>
        <w:t>zmanjšal</w:t>
      </w:r>
      <w:r w:rsidR="00315326" w:rsidRPr="00F43A06">
        <w:rPr>
          <w:rFonts w:ascii="Arial" w:hAnsi="Arial" w:cs="Arial"/>
          <w:bCs/>
          <w:color w:val="000000" w:themeColor="text1"/>
          <w:sz w:val="20"/>
          <w:szCs w:val="20"/>
        </w:rPr>
        <w:t xml:space="preserve"> za </w:t>
      </w:r>
      <w:r w:rsidR="00F43A06" w:rsidRPr="00F43A06">
        <w:rPr>
          <w:rFonts w:ascii="Arial" w:hAnsi="Arial" w:cs="Arial"/>
          <w:bCs/>
          <w:color w:val="000000" w:themeColor="text1"/>
          <w:sz w:val="20"/>
          <w:szCs w:val="20"/>
        </w:rPr>
        <w:t>1,18</w:t>
      </w:r>
      <w:r w:rsidRPr="00F43A06">
        <w:rPr>
          <w:rFonts w:ascii="Arial" w:hAnsi="Arial" w:cs="Arial"/>
          <w:bCs/>
          <w:color w:val="000000" w:themeColor="text1"/>
          <w:sz w:val="20"/>
          <w:szCs w:val="20"/>
        </w:rPr>
        <w:t xml:space="preserve"> odstotne </w:t>
      </w:r>
      <w:r w:rsidRPr="002C598F">
        <w:rPr>
          <w:rFonts w:ascii="Arial" w:hAnsi="Arial" w:cs="Arial"/>
          <w:bCs/>
          <w:color w:val="000000" w:themeColor="text1"/>
          <w:sz w:val="20"/>
          <w:szCs w:val="20"/>
        </w:rPr>
        <w:t xml:space="preserve">točke. Navedeni postopki pomenijo </w:t>
      </w:r>
      <w:r w:rsidR="002C598F" w:rsidRPr="002C598F">
        <w:rPr>
          <w:rFonts w:ascii="Arial" w:hAnsi="Arial" w:cs="Arial"/>
          <w:bCs/>
          <w:color w:val="000000" w:themeColor="text1"/>
          <w:sz w:val="20"/>
          <w:szCs w:val="20"/>
        </w:rPr>
        <w:t>93,68</w:t>
      </w:r>
      <w:r w:rsidRPr="002C598F">
        <w:rPr>
          <w:rFonts w:ascii="Arial" w:hAnsi="Arial" w:cs="Arial"/>
          <w:bCs/>
          <w:color w:val="000000" w:themeColor="text1"/>
          <w:sz w:val="20"/>
          <w:szCs w:val="20"/>
        </w:rPr>
        <w:t> </w:t>
      </w:r>
      <w:r w:rsidR="00AC0027">
        <w:rPr>
          <w:rFonts w:ascii="Arial" w:hAnsi="Arial" w:cs="Arial"/>
          <w:bCs/>
          <w:color w:val="000000" w:themeColor="text1"/>
          <w:sz w:val="20"/>
          <w:szCs w:val="20"/>
        </w:rPr>
        <w:t>odstotka</w:t>
      </w:r>
      <w:r w:rsidRPr="002C598F">
        <w:rPr>
          <w:rFonts w:ascii="Arial" w:hAnsi="Arial" w:cs="Arial"/>
          <w:bCs/>
          <w:color w:val="000000" w:themeColor="text1"/>
          <w:sz w:val="20"/>
          <w:szCs w:val="20"/>
        </w:rPr>
        <w:t xml:space="preserve"> vseh dokončanih postopkov v letu 20</w:t>
      </w:r>
      <w:r w:rsidR="00C62C7D" w:rsidRPr="002C598F">
        <w:rPr>
          <w:rFonts w:ascii="Arial" w:hAnsi="Arial" w:cs="Arial"/>
          <w:bCs/>
          <w:color w:val="000000" w:themeColor="text1"/>
          <w:sz w:val="20"/>
          <w:szCs w:val="20"/>
        </w:rPr>
        <w:t>2</w:t>
      </w:r>
      <w:r w:rsidR="002C598F" w:rsidRPr="002C598F">
        <w:rPr>
          <w:rFonts w:ascii="Arial" w:hAnsi="Arial" w:cs="Arial"/>
          <w:bCs/>
          <w:color w:val="000000" w:themeColor="text1"/>
          <w:sz w:val="20"/>
          <w:szCs w:val="20"/>
        </w:rPr>
        <w:t>2</w:t>
      </w:r>
      <w:r w:rsidRPr="002C598F">
        <w:rPr>
          <w:rFonts w:ascii="Arial" w:hAnsi="Arial" w:cs="Arial"/>
          <w:bCs/>
          <w:color w:val="000000" w:themeColor="text1"/>
          <w:sz w:val="20"/>
          <w:szCs w:val="20"/>
        </w:rPr>
        <w:t xml:space="preserve"> in po vrednosti </w:t>
      </w:r>
      <w:r w:rsidR="002C598F" w:rsidRPr="002C598F">
        <w:rPr>
          <w:rFonts w:ascii="Arial" w:hAnsi="Arial" w:cs="Arial"/>
          <w:bCs/>
          <w:color w:val="000000" w:themeColor="text1"/>
          <w:sz w:val="20"/>
          <w:szCs w:val="20"/>
        </w:rPr>
        <w:t>84,51</w:t>
      </w:r>
      <w:r w:rsidRPr="002C598F">
        <w:rPr>
          <w:rFonts w:ascii="Arial" w:hAnsi="Arial" w:cs="Arial"/>
          <w:bCs/>
          <w:color w:val="000000" w:themeColor="text1"/>
          <w:sz w:val="20"/>
          <w:szCs w:val="20"/>
        </w:rPr>
        <w:t> </w:t>
      </w:r>
      <w:r w:rsidR="00AC0027">
        <w:rPr>
          <w:rFonts w:ascii="Arial" w:hAnsi="Arial" w:cs="Arial"/>
          <w:bCs/>
          <w:color w:val="000000" w:themeColor="text1"/>
          <w:sz w:val="20"/>
          <w:szCs w:val="20"/>
        </w:rPr>
        <w:t>odstotka</w:t>
      </w:r>
      <w:r w:rsidRPr="002C598F">
        <w:rPr>
          <w:rFonts w:ascii="Arial" w:hAnsi="Arial" w:cs="Arial"/>
          <w:bCs/>
          <w:color w:val="000000" w:themeColor="text1"/>
          <w:sz w:val="20"/>
          <w:szCs w:val="20"/>
        </w:rPr>
        <w:t>.</w:t>
      </w:r>
    </w:p>
    <w:p w14:paraId="3B284654" w14:textId="79E3F187" w:rsidR="00EA2329" w:rsidRPr="00BB7610" w:rsidRDefault="006F709C" w:rsidP="00E94653">
      <w:pPr>
        <w:rPr>
          <w:rFonts w:ascii="Arial" w:hAnsi="Arial" w:cs="Arial"/>
          <w:color w:val="000000" w:themeColor="text1"/>
          <w:sz w:val="20"/>
        </w:rPr>
      </w:pPr>
      <w:r w:rsidRPr="00BB7610">
        <w:rPr>
          <w:rFonts w:ascii="Arial" w:hAnsi="Arial" w:cs="Arial"/>
          <w:color w:val="000000" w:themeColor="text1"/>
          <w:sz w:val="20"/>
        </w:rPr>
        <w:t xml:space="preserve">Graf </w:t>
      </w:r>
      <w:r w:rsidR="00E430F6" w:rsidRPr="00BB7610">
        <w:rPr>
          <w:rFonts w:ascii="Arial" w:hAnsi="Arial" w:cs="Arial"/>
          <w:color w:val="000000" w:themeColor="text1"/>
          <w:sz w:val="20"/>
        </w:rPr>
        <w:t>2</w:t>
      </w:r>
      <w:r w:rsidRPr="00BB7610">
        <w:rPr>
          <w:rFonts w:ascii="Arial" w:hAnsi="Arial" w:cs="Arial"/>
          <w:color w:val="000000" w:themeColor="text1"/>
          <w:sz w:val="20"/>
        </w:rPr>
        <w:t xml:space="preserve">: Porazdelitev </w:t>
      </w:r>
      <w:r w:rsidR="00023F19" w:rsidRPr="00BB7610">
        <w:rPr>
          <w:rFonts w:ascii="Arial" w:hAnsi="Arial" w:cs="Arial"/>
          <w:color w:val="000000" w:themeColor="text1"/>
          <w:sz w:val="20"/>
        </w:rPr>
        <w:t>vrst</w:t>
      </w:r>
      <w:r w:rsidR="007B5AE3" w:rsidRPr="00BB7610">
        <w:rPr>
          <w:rFonts w:ascii="Arial" w:hAnsi="Arial" w:cs="Arial"/>
          <w:color w:val="000000" w:themeColor="text1"/>
          <w:sz w:val="20"/>
        </w:rPr>
        <w:t xml:space="preserve"> postopkov </w:t>
      </w:r>
      <w:r w:rsidR="0099207C" w:rsidRPr="00BB7610">
        <w:rPr>
          <w:rFonts w:ascii="Arial" w:hAnsi="Arial" w:cs="Arial"/>
          <w:color w:val="000000" w:themeColor="text1"/>
          <w:sz w:val="20"/>
        </w:rPr>
        <w:t xml:space="preserve">javnega naročanja po letih </w:t>
      </w:r>
      <w:r w:rsidR="007B5AE3" w:rsidRPr="00BB7610">
        <w:rPr>
          <w:rFonts w:ascii="Arial" w:hAnsi="Arial" w:cs="Arial"/>
          <w:color w:val="000000" w:themeColor="text1"/>
          <w:sz w:val="20"/>
        </w:rPr>
        <w:t>v obdobju 201</w:t>
      </w:r>
      <w:r w:rsidR="00BB7610" w:rsidRPr="00BB7610">
        <w:rPr>
          <w:rFonts w:ascii="Arial" w:hAnsi="Arial" w:cs="Arial"/>
          <w:color w:val="000000" w:themeColor="text1"/>
          <w:sz w:val="20"/>
        </w:rPr>
        <w:t>5</w:t>
      </w:r>
      <w:r w:rsidR="007B5AE3" w:rsidRPr="00BB7610">
        <w:rPr>
          <w:rFonts w:ascii="Arial" w:hAnsi="Arial" w:cs="Arial"/>
          <w:color w:val="000000" w:themeColor="text1"/>
          <w:sz w:val="20"/>
        </w:rPr>
        <w:t>–20</w:t>
      </w:r>
      <w:r w:rsidR="00E5305C" w:rsidRPr="00BB7610">
        <w:rPr>
          <w:rFonts w:ascii="Arial" w:hAnsi="Arial" w:cs="Arial"/>
          <w:color w:val="000000" w:themeColor="text1"/>
          <w:sz w:val="20"/>
        </w:rPr>
        <w:t>2</w:t>
      </w:r>
      <w:r w:rsidR="00BB7610" w:rsidRPr="00BB7610">
        <w:rPr>
          <w:rFonts w:ascii="Arial" w:hAnsi="Arial" w:cs="Arial"/>
          <w:color w:val="000000" w:themeColor="text1"/>
          <w:sz w:val="20"/>
        </w:rPr>
        <w:t>2</w:t>
      </w:r>
      <w:r w:rsidRPr="00BB7610">
        <w:rPr>
          <w:rFonts w:ascii="Arial" w:hAnsi="Arial" w:cs="Arial"/>
          <w:color w:val="000000" w:themeColor="text1"/>
          <w:sz w:val="20"/>
        </w:rPr>
        <w:t xml:space="preserve"> glede na število </w:t>
      </w:r>
      <w:r w:rsidR="00023F19" w:rsidRPr="00BB7610">
        <w:rPr>
          <w:rFonts w:ascii="Arial" w:hAnsi="Arial" w:cs="Arial"/>
          <w:color w:val="000000" w:themeColor="text1"/>
          <w:sz w:val="20"/>
        </w:rPr>
        <w:t>vseh postopkov</w:t>
      </w:r>
      <w:r w:rsidR="00126B24" w:rsidRPr="00BB7610">
        <w:rPr>
          <w:rFonts w:ascii="Arial" w:hAnsi="Arial" w:cs="Arial"/>
          <w:color w:val="000000" w:themeColor="text1"/>
          <w:sz w:val="20"/>
        </w:rPr>
        <w:t xml:space="preserve"> </w:t>
      </w:r>
      <w:r w:rsidR="00BB7610" w:rsidRPr="00BB7610">
        <w:rPr>
          <w:noProof/>
          <w:lang w:eastAsia="sl-SI"/>
        </w:rPr>
        <w:drawing>
          <wp:inline distT="0" distB="0" distL="0" distR="0" wp14:anchorId="4F36B602" wp14:editId="6799502F">
            <wp:extent cx="5730240" cy="3474720"/>
            <wp:effectExtent l="0" t="0" r="3810" b="11430"/>
            <wp:docPr id="3" name="Grafikon 3" descr="Grafikon predstavlja delež različnih vrst postopkov v številu, ki so jih naročniki izvedli pri oddanih naročilih v obdobju od leta 2015 do vključno leta 20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D0F1C3D" w14:textId="40A815A5" w:rsidR="006F709C" w:rsidRPr="00BB7610" w:rsidRDefault="006F709C" w:rsidP="00701C10">
      <w:pPr>
        <w:spacing w:after="240" w:line="240" w:lineRule="auto"/>
        <w:jc w:val="center"/>
        <w:rPr>
          <w:rFonts w:ascii="Arial" w:hAnsi="Arial" w:cs="Arial"/>
          <w:color w:val="000000" w:themeColor="text1"/>
          <w:sz w:val="18"/>
        </w:rPr>
      </w:pPr>
      <w:r w:rsidRPr="00BB7610">
        <w:rPr>
          <w:rFonts w:ascii="Arial" w:hAnsi="Arial" w:cs="Arial"/>
          <w:color w:val="000000" w:themeColor="text1"/>
          <w:sz w:val="18"/>
        </w:rPr>
        <w:t xml:space="preserve">Vir: </w:t>
      </w:r>
      <w:r w:rsidR="008724E9" w:rsidRPr="00BB7610">
        <w:rPr>
          <w:rFonts w:ascii="Arial" w:hAnsi="Arial" w:cs="Arial"/>
          <w:color w:val="000000" w:themeColor="text1"/>
          <w:sz w:val="18"/>
        </w:rPr>
        <w:t>Statistični podatki o javnih naročilih, oddanih v letih 201</w:t>
      </w:r>
      <w:r w:rsidR="00BB7610" w:rsidRPr="00BB7610">
        <w:rPr>
          <w:rFonts w:ascii="Arial" w:hAnsi="Arial" w:cs="Arial"/>
          <w:color w:val="000000" w:themeColor="text1"/>
          <w:sz w:val="18"/>
        </w:rPr>
        <w:t>5</w:t>
      </w:r>
      <w:r w:rsidR="008724E9" w:rsidRPr="00BB7610">
        <w:rPr>
          <w:rFonts w:ascii="Arial" w:hAnsi="Arial" w:cs="Arial"/>
          <w:color w:val="000000" w:themeColor="text1"/>
          <w:sz w:val="18"/>
        </w:rPr>
        <w:t>–202</w:t>
      </w:r>
      <w:r w:rsidR="00BB7610" w:rsidRPr="00BB7610">
        <w:rPr>
          <w:rFonts w:ascii="Arial" w:hAnsi="Arial" w:cs="Arial"/>
          <w:color w:val="000000" w:themeColor="text1"/>
          <w:sz w:val="18"/>
        </w:rPr>
        <w:t>2</w:t>
      </w:r>
      <w:r w:rsidR="00210A86" w:rsidRPr="00BB7610">
        <w:rPr>
          <w:rFonts w:ascii="Arial" w:hAnsi="Arial" w:cs="Arial"/>
          <w:color w:val="000000" w:themeColor="text1"/>
          <w:sz w:val="18"/>
        </w:rPr>
        <w:t>.</w:t>
      </w:r>
    </w:p>
    <w:p w14:paraId="5712E3B1" w14:textId="71B8C022" w:rsidR="006F709C" w:rsidRPr="00BD5D7D" w:rsidRDefault="00C44197" w:rsidP="00B346C9">
      <w:pPr>
        <w:tabs>
          <w:tab w:val="left" w:pos="567"/>
          <w:tab w:val="left" w:pos="993"/>
        </w:tabs>
        <w:spacing w:line="360" w:lineRule="auto"/>
        <w:jc w:val="both"/>
        <w:rPr>
          <w:rFonts w:ascii="Arial" w:hAnsi="Arial" w:cs="Arial"/>
          <w:bCs/>
          <w:color w:val="000000" w:themeColor="text1"/>
          <w:sz w:val="20"/>
          <w:szCs w:val="20"/>
        </w:rPr>
      </w:pPr>
      <w:r w:rsidRPr="00BD5D7D">
        <w:rPr>
          <w:rFonts w:ascii="Arial" w:hAnsi="Arial" w:cs="Arial"/>
          <w:bCs/>
          <w:color w:val="000000" w:themeColor="text1"/>
          <w:sz w:val="20"/>
          <w:szCs w:val="20"/>
        </w:rPr>
        <w:lastRenderedPageBreak/>
        <w:t>S</w:t>
      </w:r>
      <w:r w:rsidR="008770AC" w:rsidRPr="00BD5D7D">
        <w:rPr>
          <w:rFonts w:ascii="Arial" w:hAnsi="Arial" w:cs="Arial"/>
          <w:bCs/>
          <w:color w:val="000000" w:themeColor="text1"/>
          <w:sz w:val="20"/>
          <w:szCs w:val="20"/>
        </w:rPr>
        <w:t>podnj</w:t>
      </w:r>
      <w:r w:rsidRPr="00BD5D7D">
        <w:rPr>
          <w:rFonts w:ascii="Arial" w:hAnsi="Arial" w:cs="Arial"/>
          <w:bCs/>
          <w:color w:val="000000" w:themeColor="text1"/>
          <w:sz w:val="20"/>
          <w:szCs w:val="20"/>
        </w:rPr>
        <w:t>a</w:t>
      </w:r>
      <w:r w:rsidR="008770AC" w:rsidRPr="00BD5D7D">
        <w:rPr>
          <w:rFonts w:ascii="Arial" w:hAnsi="Arial" w:cs="Arial"/>
          <w:bCs/>
          <w:color w:val="000000" w:themeColor="text1"/>
          <w:sz w:val="20"/>
          <w:szCs w:val="20"/>
        </w:rPr>
        <w:t xml:space="preserve"> preglednic</w:t>
      </w:r>
      <w:r w:rsidRPr="00BD5D7D">
        <w:rPr>
          <w:rFonts w:ascii="Arial" w:hAnsi="Arial" w:cs="Arial"/>
          <w:bCs/>
          <w:color w:val="000000" w:themeColor="text1"/>
          <w:sz w:val="20"/>
          <w:szCs w:val="20"/>
        </w:rPr>
        <w:t>a prikazuje</w:t>
      </w:r>
      <w:r w:rsidR="008770AC" w:rsidRPr="00BD5D7D">
        <w:rPr>
          <w:rFonts w:ascii="Arial" w:hAnsi="Arial" w:cs="Arial"/>
          <w:bCs/>
          <w:color w:val="000000" w:themeColor="text1"/>
          <w:sz w:val="20"/>
          <w:szCs w:val="20"/>
        </w:rPr>
        <w:t xml:space="preserve"> število, vrednost </w:t>
      </w:r>
      <w:r w:rsidR="00B54E88">
        <w:rPr>
          <w:rFonts w:ascii="Arial" w:hAnsi="Arial" w:cs="Arial"/>
          <w:bCs/>
          <w:color w:val="000000" w:themeColor="text1"/>
          <w:sz w:val="20"/>
          <w:szCs w:val="20"/>
        </w:rPr>
        <w:t>ter</w:t>
      </w:r>
      <w:r w:rsidR="008770AC" w:rsidRPr="00BD5D7D">
        <w:rPr>
          <w:rFonts w:ascii="Arial" w:hAnsi="Arial" w:cs="Arial"/>
          <w:bCs/>
          <w:color w:val="000000" w:themeColor="text1"/>
          <w:sz w:val="20"/>
          <w:szCs w:val="20"/>
        </w:rPr>
        <w:t xml:space="preserve"> delež v številu </w:t>
      </w:r>
      <w:r w:rsidR="00B54E88">
        <w:rPr>
          <w:rFonts w:ascii="Arial" w:hAnsi="Arial" w:cs="Arial"/>
          <w:bCs/>
          <w:color w:val="000000" w:themeColor="text1"/>
          <w:sz w:val="20"/>
          <w:szCs w:val="20"/>
        </w:rPr>
        <w:t>in</w:t>
      </w:r>
      <w:r w:rsidR="008770AC" w:rsidRPr="00BD5D7D">
        <w:rPr>
          <w:rFonts w:ascii="Arial" w:hAnsi="Arial" w:cs="Arial"/>
          <w:bCs/>
          <w:color w:val="000000" w:themeColor="text1"/>
          <w:sz w:val="20"/>
          <w:szCs w:val="20"/>
        </w:rPr>
        <w:t xml:space="preserve"> vrednosti naročil</w:t>
      </w:r>
      <w:r w:rsidR="00D60C03" w:rsidRPr="00BD5D7D">
        <w:rPr>
          <w:rFonts w:ascii="Arial" w:hAnsi="Arial" w:cs="Arial"/>
          <w:bCs/>
          <w:color w:val="000000" w:themeColor="text1"/>
          <w:sz w:val="20"/>
          <w:szCs w:val="20"/>
        </w:rPr>
        <w:t xml:space="preserve">, ki so jih v postopkih javnega naročanja oddali naročniki, glede na mesto objave obvestila o oddaji javnega naročila. </w:t>
      </w:r>
      <w:r w:rsidR="00105F07" w:rsidRPr="00BD5D7D">
        <w:rPr>
          <w:rFonts w:ascii="Arial" w:hAnsi="Arial" w:cs="Arial"/>
          <w:bCs/>
          <w:color w:val="000000" w:themeColor="text1"/>
          <w:sz w:val="20"/>
          <w:szCs w:val="20"/>
        </w:rPr>
        <w:t>P</w:t>
      </w:r>
      <w:r w:rsidR="00D60C03" w:rsidRPr="00BD5D7D">
        <w:rPr>
          <w:rFonts w:ascii="Arial" w:hAnsi="Arial" w:cs="Arial"/>
          <w:bCs/>
          <w:color w:val="000000" w:themeColor="text1"/>
          <w:sz w:val="20"/>
          <w:szCs w:val="20"/>
        </w:rPr>
        <w:t>odatk</w:t>
      </w:r>
      <w:r w:rsidR="00105F07" w:rsidRPr="00BD5D7D">
        <w:rPr>
          <w:rFonts w:ascii="Arial" w:hAnsi="Arial" w:cs="Arial"/>
          <w:bCs/>
          <w:color w:val="000000" w:themeColor="text1"/>
          <w:sz w:val="20"/>
          <w:szCs w:val="20"/>
        </w:rPr>
        <w:t>i kažejo</w:t>
      </w:r>
      <w:r w:rsidR="00D60C03" w:rsidRPr="00BD5D7D">
        <w:rPr>
          <w:rFonts w:ascii="Arial" w:hAnsi="Arial" w:cs="Arial"/>
          <w:bCs/>
          <w:color w:val="000000" w:themeColor="text1"/>
          <w:sz w:val="20"/>
          <w:szCs w:val="20"/>
        </w:rPr>
        <w:t>, da naročniki manjše</w:t>
      </w:r>
      <w:r w:rsidR="002B7C52" w:rsidRPr="00BD5D7D">
        <w:rPr>
          <w:rFonts w:ascii="Arial" w:hAnsi="Arial" w:cs="Arial"/>
          <w:bCs/>
          <w:color w:val="000000" w:themeColor="text1"/>
          <w:sz w:val="20"/>
          <w:szCs w:val="20"/>
        </w:rPr>
        <w:t>ga</w:t>
      </w:r>
      <w:r w:rsidR="00D60C03" w:rsidRPr="00BD5D7D">
        <w:rPr>
          <w:rFonts w:ascii="Arial" w:hAnsi="Arial" w:cs="Arial"/>
          <w:bCs/>
          <w:color w:val="000000" w:themeColor="text1"/>
          <w:sz w:val="20"/>
          <w:szCs w:val="20"/>
        </w:rPr>
        <w:t xml:space="preserve"> števil</w:t>
      </w:r>
      <w:r w:rsidR="00105F07" w:rsidRPr="00BD5D7D">
        <w:rPr>
          <w:rFonts w:ascii="Arial" w:hAnsi="Arial" w:cs="Arial"/>
          <w:bCs/>
          <w:color w:val="000000" w:themeColor="text1"/>
          <w:sz w:val="20"/>
          <w:szCs w:val="20"/>
        </w:rPr>
        <w:t>a</w:t>
      </w:r>
      <w:r w:rsidR="00D60C03" w:rsidRPr="00BD5D7D">
        <w:rPr>
          <w:rFonts w:ascii="Arial" w:hAnsi="Arial" w:cs="Arial"/>
          <w:bCs/>
          <w:color w:val="000000" w:themeColor="text1"/>
          <w:sz w:val="20"/>
          <w:szCs w:val="20"/>
        </w:rPr>
        <w:t xml:space="preserve"> postopkov, ki se sicer uporabljajo za oddajo javnih naročil nad pragovi, določeni</w:t>
      </w:r>
      <w:r w:rsidR="00D8052A" w:rsidRPr="00BD5D7D">
        <w:rPr>
          <w:rFonts w:ascii="Arial" w:hAnsi="Arial" w:cs="Arial"/>
          <w:bCs/>
          <w:color w:val="000000" w:themeColor="text1"/>
          <w:sz w:val="20"/>
          <w:szCs w:val="20"/>
        </w:rPr>
        <w:t>mi</w:t>
      </w:r>
      <w:r w:rsidR="00D60C03" w:rsidRPr="00BD5D7D">
        <w:rPr>
          <w:rFonts w:ascii="Arial" w:hAnsi="Arial" w:cs="Arial"/>
          <w:bCs/>
          <w:color w:val="000000" w:themeColor="text1"/>
          <w:sz w:val="20"/>
          <w:szCs w:val="20"/>
        </w:rPr>
        <w:t xml:space="preserve"> za objavo v Uradnem listu Evropske unije, na tem mestu niso objavili.</w:t>
      </w:r>
      <w:r w:rsidR="006E63A1" w:rsidRPr="00BD5D7D">
        <w:rPr>
          <w:rFonts w:ascii="Arial" w:hAnsi="Arial" w:cs="Arial"/>
          <w:bCs/>
          <w:color w:val="000000" w:themeColor="text1"/>
          <w:sz w:val="20"/>
          <w:szCs w:val="20"/>
        </w:rPr>
        <w:t xml:space="preserve"> Sklepamo lahko, da je bila ocenjena vrednost teh naročil nižja od vrednosti, </w:t>
      </w:r>
      <w:r w:rsidR="00B54E88">
        <w:rPr>
          <w:rFonts w:ascii="Arial" w:hAnsi="Arial" w:cs="Arial"/>
          <w:bCs/>
          <w:color w:val="000000" w:themeColor="text1"/>
          <w:sz w:val="20"/>
          <w:szCs w:val="20"/>
        </w:rPr>
        <w:t>glede</w:t>
      </w:r>
      <w:r w:rsidR="006E63A1" w:rsidRPr="00BD5D7D">
        <w:rPr>
          <w:rFonts w:ascii="Arial" w:hAnsi="Arial" w:cs="Arial"/>
          <w:bCs/>
          <w:color w:val="000000" w:themeColor="text1"/>
          <w:sz w:val="20"/>
          <w:szCs w:val="20"/>
        </w:rPr>
        <w:t xml:space="preserve"> katerih je treba objaviti obvestilo v Uradnem listu Evropske unije.</w:t>
      </w:r>
    </w:p>
    <w:p w14:paraId="24C4BE81" w14:textId="77B6055C" w:rsidR="00605ABB" w:rsidRPr="00484987" w:rsidRDefault="00B346C9" w:rsidP="00E94653">
      <w:pPr>
        <w:jc w:val="both"/>
        <w:rPr>
          <w:rFonts w:ascii="Arial" w:hAnsi="Arial" w:cs="Arial"/>
          <w:color w:val="000000" w:themeColor="text1"/>
          <w:sz w:val="20"/>
        </w:rPr>
      </w:pPr>
      <w:r w:rsidRPr="001863F1">
        <w:rPr>
          <w:rFonts w:ascii="Arial" w:hAnsi="Arial" w:cs="Arial"/>
          <w:color w:val="000000" w:themeColor="text1"/>
          <w:sz w:val="20"/>
        </w:rPr>
        <w:t xml:space="preserve">Preglednica </w:t>
      </w:r>
      <w:r w:rsidR="00EB4423" w:rsidRPr="001863F1">
        <w:rPr>
          <w:rFonts w:ascii="Arial" w:hAnsi="Arial" w:cs="Arial"/>
          <w:color w:val="000000" w:themeColor="text1"/>
          <w:sz w:val="20"/>
        </w:rPr>
        <w:t>8</w:t>
      </w:r>
      <w:r w:rsidRPr="001863F1">
        <w:rPr>
          <w:rFonts w:ascii="Arial" w:hAnsi="Arial" w:cs="Arial"/>
          <w:color w:val="000000" w:themeColor="text1"/>
          <w:sz w:val="20"/>
        </w:rPr>
        <w:t xml:space="preserve">: </w:t>
      </w:r>
      <w:r w:rsidR="0099207C" w:rsidRPr="001863F1">
        <w:rPr>
          <w:rFonts w:ascii="Arial" w:hAnsi="Arial" w:cs="Arial"/>
          <w:color w:val="000000" w:themeColor="text1"/>
          <w:sz w:val="20"/>
        </w:rPr>
        <w:t>Naročila v postopkih javne</w:t>
      </w:r>
      <w:r w:rsidR="00AD71E4" w:rsidRPr="001863F1">
        <w:rPr>
          <w:rFonts w:ascii="Arial" w:hAnsi="Arial" w:cs="Arial"/>
          <w:color w:val="000000" w:themeColor="text1"/>
          <w:sz w:val="20"/>
        </w:rPr>
        <w:t>ga naročanja, objavljena na p</w:t>
      </w:r>
      <w:r w:rsidR="0099207C" w:rsidRPr="001863F1">
        <w:rPr>
          <w:rFonts w:ascii="Arial" w:hAnsi="Arial" w:cs="Arial"/>
          <w:color w:val="000000" w:themeColor="text1"/>
          <w:sz w:val="20"/>
        </w:rPr>
        <w:t>ortalu javnih naročil in v Uradnem listu Evropske unije, glede na mesto objave in izvedeni postopek v letu 20</w:t>
      </w:r>
      <w:r w:rsidR="0041703C" w:rsidRPr="001863F1">
        <w:rPr>
          <w:rFonts w:ascii="Arial" w:hAnsi="Arial" w:cs="Arial"/>
          <w:color w:val="000000" w:themeColor="text1"/>
          <w:sz w:val="20"/>
        </w:rPr>
        <w:t>2</w:t>
      </w:r>
      <w:r w:rsidR="001863F1" w:rsidRPr="001863F1">
        <w:rPr>
          <w:rFonts w:ascii="Arial" w:hAnsi="Arial" w:cs="Arial"/>
          <w:color w:val="000000" w:themeColor="text1"/>
          <w:sz w:val="20"/>
        </w:rPr>
        <w:t>2</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8"/>
        <w:gridCol w:w="3763"/>
        <w:gridCol w:w="1132"/>
        <w:gridCol w:w="1292"/>
        <w:gridCol w:w="988"/>
        <w:gridCol w:w="1241"/>
      </w:tblGrid>
      <w:tr w:rsidR="001863F1" w:rsidRPr="001863F1" w14:paraId="3CDDAE87" w14:textId="77777777" w:rsidTr="001863F1">
        <w:trPr>
          <w:trHeight w:val="912"/>
          <w:tblHeader/>
        </w:trPr>
        <w:tc>
          <w:tcPr>
            <w:tcW w:w="759" w:type="dxa"/>
            <w:shd w:val="clear" w:color="000000" w:fill="EDEDED"/>
            <w:vAlign w:val="center"/>
            <w:hideMark/>
          </w:tcPr>
          <w:p w14:paraId="1C7C88E2" w14:textId="77777777" w:rsidR="001863F1" w:rsidRPr="001863F1" w:rsidRDefault="001863F1" w:rsidP="001863F1">
            <w:pPr>
              <w:spacing w:after="0" w:line="240" w:lineRule="auto"/>
              <w:jc w:val="center"/>
              <w:rPr>
                <w:rFonts w:ascii="Arial" w:hAnsi="Arial" w:cs="Arial"/>
                <w:sz w:val="18"/>
                <w:szCs w:val="18"/>
              </w:rPr>
            </w:pPr>
            <w:r w:rsidRPr="001863F1">
              <w:rPr>
                <w:rFonts w:ascii="Arial" w:hAnsi="Arial" w:cs="Arial"/>
                <w:sz w:val="18"/>
                <w:szCs w:val="18"/>
              </w:rPr>
              <w:t>Objava v UL EU</w:t>
            </w:r>
          </w:p>
        </w:tc>
        <w:tc>
          <w:tcPr>
            <w:tcW w:w="3764" w:type="dxa"/>
            <w:shd w:val="clear" w:color="000000" w:fill="EDEDED"/>
            <w:vAlign w:val="center"/>
            <w:hideMark/>
          </w:tcPr>
          <w:p w14:paraId="709C02F1" w14:textId="77777777" w:rsidR="001863F1" w:rsidRPr="001863F1" w:rsidRDefault="001863F1" w:rsidP="001863F1">
            <w:pPr>
              <w:spacing w:after="0" w:line="240" w:lineRule="auto"/>
              <w:jc w:val="center"/>
              <w:rPr>
                <w:rFonts w:ascii="Arial" w:hAnsi="Arial" w:cs="Arial"/>
                <w:sz w:val="18"/>
                <w:szCs w:val="18"/>
              </w:rPr>
            </w:pPr>
            <w:r w:rsidRPr="001863F1">
              <w:rPr>
                <w:rFonts w:ascii="Arial" w:hAnsi="Arial" w:cs="Arial"/>
                <w:sz w:val="18"/>
                <w:szCs w:val="18"/>
              </w:rPr>
              <w:t>Vrsta postopka</w:t>
            </w:r>
          </w:p>
        </w:tc>
        <w:tc>
          <w:tcPr>
            <w:tcW w:w="1132" w:type="dxa"/>
            <w:shd w:val="clear" w:color="000000" w:fill="EDEDED"/>
            <w:vAlign w:val="center"/>
            <w:hideMark/>
          </w:tcPr>
          <w:p w14:paraId="2C29C446" w14:textId="77777777" w:rsidR="001863F1" w:rsidRPr="001863F1" w:rsidRDefault="001863F1" w:rsidP="001863F1">
            <w:pPr>
              <w:spacing w:after="0" w:line="240" w:lineRule="auto"/>
              <w:jc w:val="center"/>
              <w:rPr>
                <w:rFonts w:ascii="Arial" w:hAnsi="Arial" w:cs="Arial"/>
                <w:sz w:val="18"/>
                <w:szCs w:val="18"/>
              </w:rPr>
            </w:pPr>
            <w:r w:rsidRPr="001863F1">
              <w:rPr>
                <w:rFonts w:ascii="Arial" w:hAnsi="Arial" w:cs="Arial"/>
                <w:sz w:val="18"/>
                <w:szCs w:val="18"/>
              </w:rPr>
              <w:t>Št. naročil</w:t>
            </w:r>
          </w:p>
        </w:tc>
        <w:tc>
          <w:tcPr>
            <w:tcW w:w="1290" w:type="dxa"/>
            <w:shd w:val="clear" w:color="000000" w:fill="EDEDED"/>
            <w:vAlign w:val="center"/>
            <w:hideMark/>
          </w:tcPr>
          <w:p w14:paraId="595B7A7C" w14:textId="77777777" w:rsidR="001863F1" w:rsidRPr="001863F1" w:rsidRDefault="001863F1" w:rsidP="001863F1">
            <w:pPr>
              <w:spacing w:after="0" w:line="240" w:lineRule="auto"/>
              <w:jc w:val="center"/>
              <w:rPr>
                <w:rFonts w:ascii="Arial" w:hAnsi="Arial" w:cs="Arial"/>
                <w:sz w:val="18"/>
                <w:szCs w:val="18"/>
              </w:rPr>
            </w:pPr>
            <w:r w:rsidRPr="001863F1">
              <w:rPr>
                <w:rFonts w:ascii="Arial" w:hAnsi="Arial" w:cs="Arial"/>
                <w:sz w:val="18"/>
                <w:szCs w:val="18"/>
              </w:rPr>
              <w:t>Pogodbena vrednost</w:t>
            </w:r>
          </w:p>
        </w:tc>
        <w:tc>
          <w:tcPr>
            <w:tcW w:w="988" w:type="dxa"/>
            <w:shd w:val="clear" w:color="000000" w:fill="EDEDED"/>
            <w:vAlign w:val="center"/>
            <w:hideMark/>
          </w:tcPr>
          <w:p w14:paraId="2576C4B6" w14:textId="77777777" w:rsidR="001863F1" w:rsidRPr="001863F1" w:rsidRDefault="001863F1" w:rsidP="001863F1">
            <w:pPr>
              <w:spacing w:after="0" w:line="240" w:lineRule="auto"/>
              <w:jc w:val="center"/>
              <w:rPr>
                <w:rFonts w:ascii="Arial" w:hAnsi="Arial" w:cs="Arial"/>
                <w:sz w:val="18"/>
                <w:szCs w:val="18"/>
              </w:rPr>
            </w:pPr>
            <w:r w:rsidRPr="001863F1">
              <w:rPr>
                <w:rFonts w:ascii="Arial" w:hAnsi="Arial" w:cs="Arial"/>
                <w:sz w:val="18"/>
                <w:szCs w:val="18"/>
              </w:rPr>
              <w:t>Delež v št. vseh naročil</w:t>
            </w:r>
          </w:p>
        </w:tc>
        <w:tc>
          <w:tcPr>
            <w:tcW w:w="1241" w:type="dxa"/>
            <w:shd w:val="clear" w:color="000000" w:fill="EDEDED"/>
            <w:vAlign w:val="center"/>
            <w:hideMark/>
          </w:tcPr>
          <w:p w14:paraId="58652F8A" w14:textId="77777777" w:rsidR="001863F1" w:rsidRPr="001863F1" w:rsidRDefault="001863F1" w:rsidP="001863F1">
            <w:pPr>
              <w:spacing w:after="0" w:line="240" w:lineRule="auto"/>
              <w:jc w:val="center"/>
              <w:rPr>
                <w:rFonts w:ascii="Arial" w:hAnsi="Arial" w:cs="Arial"/>
                <w:sz w:val="18"/>
                <w:szCs w:val="18"/>
              </w:rPr>
            </w:pPr>
            <w:r w:rsidRPr="001863F1">
              <w:rPr>
                <w:rFonts w:ascii="Arial" w:hAnsi="Arial" w:cs="Arial"/>
                <w:sz w:val="18"/>
                <w:szCs w:val="18"/>
              </w:rPr>
              <w:t>Delež v vrednosti vseh naročil</w:t>
            </w:r>
          </w:p>
        </w:tc>
      </w:tr>
      <w:tr w:rsidR="001863F1" w:rsidRPr="001863F1" w14:paraId="1F6EE7A2" w14:textId="77777777" w:rsidTr="001863F1">
        <w:trPr>
          <w:trHeight w:val="288"/>
        </w:trPr>
        <w:tc>
          <w:tcPr>
            <w:tcW w:w="759" w:type="dxa"/>
            <w:vMerge w:val="restart"/>
            <w:shd w:val="clear" w:color="auto" w:fill="auto"/>
            <w:noWrap/>
            <w:vAlign w:val="center"/>
            <w:hideMark/>
          </w:tcPr>
          <w:p w14:paraId="1F7D5261" w14:textId="77777777" w:rsidR="001863F1" w:rsidRPr="001863F1" w:rsidRDefault="001863F1" w:rsidP="001863F1">
            <w:pPr>
              <w:spacing w:after="0" w:line="240" w:lineRule="auto"/>
              <w:rPr>
                <w:rFonts w:ascii="Arial" w:hAnsi="Arial" w:cs="Arial"/>
                <w:sz w:val="18"/>
                <w:szCs w:val="18"/>
              </w:rPr>
            </w:pPr>
            <w:r w:rsidRPr="001863F1">
              <w:rPr>
                <w:rFonts w:ascii="Arial" w:hAnsi="Arial" w:cs="Arial"/>
                <w:sz w:val="18"/>
                <w:szCs w:val="18"/>
              </w:rPr>
              <w:t>DA</w:t>
            </w:r>
          </w:p>
        </w:tc>
        <w:tc>
          <w:tcPr>
            <w:tcW w:w="3764" w:type="dxa"/>
            <w:shd w:val="clear" w:color="auto" w:fill="auto"/>
            <w:noWrap/>
            <w:vAlign w:val="center"/>
            <w:hideMark/>
          </w:tcPr>
          <w:p w14:paraId="25CE04D8" w14:textId="77777777" w:rsidR="001863F1" w:rsidRPr="001863F1" w:rsidRDefault="001863F1" w:rsidP="001863F1">
            <w:pPr>
              <w:spacing w:after="0" w:line="240" w:lineRule="auto"/>
              <w:rPr>
                <w:rFonts w:ascii="Arial" w:hAnsi="Arial" w:cs="Arial"/>
                <w:sz w:val="18"/>
                <w:szCs w:val="18"/>
              </w:rPr>
            </w:pPr>
            <w:r w:rsidRPr="001863F1">
              <w:rPr>
                <w:rFonts w:ascii="Arial" w:hAnsi="Arial" w:cs="Arial"/>
                <w:sz w:val="18"/>
                <w:szCs w:val="18"/>
              </w:rPr>
              <w:t>Konkurenčni dialog</w:t>
            </w:r>
          </w:p>
        </w:tc>
        <w:tc>
          <w:tcPr>
            <w:tcW w:w="1132" w:type="dxa"/>
            <w:shd w:val="clear" w:color="auto" w:fill="auto"/>
            <w:noWrap/>
            <w:vAlign w:val="center"/>
            <w:hideMark/>
          </w:tcPr>
          <w:p w14:paraId="6B9C8F62" w14:textId="77777777"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29</w:t>
            </w:r>
          </w:p>
        </w:tc>
        <w:tc>
          <w:tcPr>
            <w:tcW w:w="1290" w:type="dxa"/>
            <w:shd w:val="clear" w:color="auto" w:fill="auto"/>
            <w:noWrap/>
            <w:vAlign w:val="center"/>
            <w:hideMark/>
          </w:tcPr>
          <w:p w14:paraId="7035964A" w14:textId="77777777"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48.656.858</w:t>
            </w:r>
          </w:p>
        </w:tc>
        <w:tc>
          <w:tcPr>
            <w:tcW w:w="988" w:type="dxa"/>
            <w:shd w:val="clear" w:color="auto" w:fill="auto"/>
            <w:noWrap/>
            <w:vAlign w:val="center"/>
            <w:hideMark/>
          </w:tcPr>
          <w:p w14:paraId="52D3801B" w14:textId="465993C3"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0,17</w:t>
            </w:r>
            <w:r>
              <w:rPr>
                <w:rFonts w:ascii="Arial" w:hAnsi="Arial" w:cs="Arial"/>
                <w:sz w:val="18"/>
                <w:szCs w:val="18"/>
              </w:rPr>
              <w:t xml:space="preserve"> </w:t>
            </w:r>
            <w:r w:rsidRPr="001863F1">
              <w:rPr>
                <w:rFonts w:ascii="Arial" w:hAnsi="Arial" w:cs="Arial"/>
                <w:sz w:val="18"/>
                <w:szCs w:val="18"/>
              </w:rPr>
              <w:t>%</w:t>
            </w:r>
          </w:p>
        </w:tc>
        <w:tc>
          <w:tcPr>
            <w:tcW w:w="1241" w:type="dxa"/>
            <w:shd w:val="clear" w:color="auto" w:fill="auto"/>
            <w:noWrap/>
            <w:vAlign w:val="center"/>
            <w:hideMark/>
          </w:tcPr>
          <w:p w14:paraId="16E662F4" w14:textId="001FAB68"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0,90</w:t>
            </w:r>
            <w:r>
              <w:rPr>
                <w:rFonts w:ascii="Arial" w:hAnsi="Arial" w:cs="Arial"/>
                <w:sz w:val="18"/>
                <w:szCs w:val="18"/>
              </w:rPr>
              <w:t xml:space="preserve"> </w:t>
            </w:r>
            <w:r w:rsidRPr="001863F1">
              <w:rPr>
                <w:rFonts w:ascii="Arial" w:hAnsi="Arial" w:cs="Arial"/>
                <w:sz w:val="18"/>
                <w:szCs w:val="18"/>
              </w:rPr>
              <w:t>%</w:t>
            </w:r>
          </w:p>
        </w:tc>
      </w:tr>
      <w:tr w:rsidR="001863F1" w:rsidRPr="001863F1" w14:paraId="3E5A711A" w14:textId="77777777" w:rsidTr="001863F1">
        <w:trPr>
          <w:trHeight w:val="288"/>
        </w:trPr>
        <w:tc>
          <w:tcPr>
            <w:tcW w:w="759" w:type="dxa"/>
            <w:vMerge/>
            <w:vAlign w:val="center"/>
            <w:hideMark/>
          </w:tcPr>
          <w:p w14:paraId="7CB90624" w14:textId="77777777" w:rsidR="001863F1" w:rsidRPr="001863F1" w:rsidRDefault="001863F1" w:rsidP="001863F1">
            <w:pPr>
              <w:spacing w:after="0" w:line="240" w:lineRule="auto"/>
              <w:jc w:val="right"/>
              <w:rPr>
                <w:rFonts w:ascii="Arial" w:hAnsi="Arial" w:cs="Arial"/>
                <w:sz w:val="18"/>
                <w:szCs w:val="18"/>
              </w:rPr>
            </w:pPr>
          </w:p>
        </w:tc>
        <w:tc>
          <w:tcPr>
            <w:tcW w:w="3764" w:type="dxa"/>
            <w:shd w:val="clear" w:color="auto" w:fill="auto"/>
            <w:noWrap/>
            <w:vAlign w:val="center"/>
            <w:hideMark/>
          </w:tcPr>
          <w:p w14:paraId="612DA08B" w14:textId="77777777" w:rsidR="001863F1" w:rsidRPr="001863F1" w:rsidRDefault="001863F1" w:rsidP="001863F1">
            <w:pPr>
              <w:spacing w:after="0" w:line="240" w:lineRule="auto"/>
              <w:rPr>
                <w:rFonts w:ascii="Arial" w:hAnsi="Arial" w:cs="Arial"/>
                <w:sz w:val="18"/>
                <w:szCs w:val="18"/>
              </w:rPr>
            </w:pPr>
            <w:r w:rsidRPr="001863F1">
              <w:rPr>
                <w:rFonts w:ascii="Arial" w:hAnsi="Arial" w:cs="Arial"/>
                <w:sz w:val="18"/>
                <w:szCs w:val="18"/>
              </w:rPr>
              <w:t>Konkurenčni postopek s pogajanji</w:t>
            </w:r>
          </w:p>
        </w:tc>
        <w:tc>
          <w:tcPr>
            <w:tcW w:w="1132" w:type="dxa"/>
            <w:shd w:val="clear" w:color="auto" w:fill="auto"/>
            <w:noWrap/>
            <w:vAlign w:val="center"/>
            <w:hideMark/>
          </w:tcPr>
          <w:p w14:paraId="2E74CBF0" w14:textId="77777777"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111</w:t>
            </w:r>
          </w:p>
        </w:tc>
        <w:tc>
          <w:tcPr>
            <w:tcW w:w="1290" w:type="dxa"/>
            <w:shd w:val="clear" w:color="auto" w:fill="auto"/>
            <w:noWrap/>
            <w:vAlign w:val="center"/>
            <w:hideMark/>
          </w:tcPr>
          <w:p w14:paraId="51C08F0D" w14:textId="77777777"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312.355.497</w:t>
            </w:r>
          </w:p>
        </w:tc>
        <w:tc>
          <w:tcPr>
            <w:tcW w:w="988" w:type="dxa"/>
            <w:shd w:val="clear" w:color="auto" w:fill="auto"/>
            <w:noWrap/>
            <w:vAlign w:val="center"/>
            <w:hideMark/>
          </w:tcPr>
          <w:p w14:paraId="633CCFE5" w14:textId="75866898"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0,64</w:t>
            </w:r>
            <w:r>
              <w:rPr>
                <w:rFonts w:ascii="Arial" w:hAnsi="Arial" w:cs="Arial"/>
                <w:sz w:val="18"/>
                <w:szCs w:val="18"/>
              </w:rPr>
              <w:t xml:space="preserve"> </w:t>
            </w:r>
            <w:r w:rsidRPr="001863F1">
              <w:rPr>
                <w:rFonts w:ascii="Arial" w:hAnsi="Arial" w:cs="Arial"/>
                <w:sz w:val="18"/>
                <w:szCs w:val="18"/>
              </w:rPr>
              <w:t>%</w:t>
            </w:r>
          </w:p>
        </w:tc>
        <w:tc>
          <w:tcPr>
            <w:tcW w:w="1241" w:type="dxa"/>
            <w:shd w:val="clear" w:color="auto" w:fill="auto"/>
            <w:noWrap/>
            <w:vAlign w:val="center"/>
            <w:hideMark/>
          </w:tcPr>
          <w:p w14:paraId="2F006CCB" w14:textId="59FF6CD4"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5,77</w:t>
            </w:r>
            <w:r>
              <w:rPr>
                <w:rFonts w:ascii="Arial" w:hAnsi="Arial" w:cs="Arial"/>
                <w:sz w:val="18"/>
                <w:szCs w:val="18"/>
              </w:rPr>
              <w:t xml:space="preserve"> </w:t>
            </w:r>
            <w:r w:rsidRPr="001863F1">
              <w:rPr>
                <w:rFonts w:ascii="Arial" w:hAnsi="Arial" w:cs="Arial"/>
                <w:sz w:val="18"/>
                <w:szCs w:val="18"/>
              </w:rPr>
              <w:t>%</w:t>
            </w:r>
          </w:p>
        </w:tc>
      </w:tr>
      <w:tr w:rsidR="001863F1" w:rsidRPr="001863F1" w14:paraId="34E17DA1" w14:textId="77777777" w:rsidTr="001863F1">
        <w:trPr>
          <w:trHeight w:val="288"/>
        </w:trPr>
        <w:tc>
          <w:tcPr>
            <w:tcW w:w="759" w:type="dxa"/>
            <w:vMerge/>
            <w:vAlign w:val="center"/>
            <w:hideMark/>
          </w:tcPr>
          <w:p w14:paraId="2EB1C59E" w14:textId="77777777" w:rsidR="001863F1" w:rsidRPr="001863F1" w:rsidRDefault="001863F1" w:rsidP="001863F1">
            <w:pPr>
              <w:spacing w:after="0" w:line="240" w:lineRule="auto"/>
              <w:jc w:val="right"/>
              <w:rPr>
                <w:rFonts w:ascii="Arial" w:hAnsi="Arial" w:cs="Arial"/>
                <w:sz w:val="18"/>
                <w:szCs w:val="18"/>
              </w:rPr>
            </w:pPr>
          </w:p>
        </w:tc>
        <w:tc>
          <w:tcPr>
            <w:tcW w:w="3764" w:type="dxa"/>
            <w:shd w:val="clear" w:color="auto" w:fill="auto"/>
            <w:noWrap/>
            <w:vAlign w:val="center"/>
            <w:hideMark/>
          </w:tcPr>
          <w:p w14:paraId="74F709B3" w14:textId="77777777" w:rsidR="001863F1" w:rsidRPr="001863F1" w:rsidRDefault="001863F1" w:rsidP="001863F1">
            <w:pPr>
              <w:spacing w:after="0" w:line="240" w:lineRule="auto"/>
              <w:rPr>
                <w:rFonts w:ascii="Arial" w:hAnsi="Arial" w:cs="Arial"/>
                <w:sz w:val="18"/>
                <w:szCs w:val="18"/>
              </w:rPr>
            </w:pPr>
            <w:r w:rsidRPr="001863F1">
              <w:rPr>
                <w:rFonts w:ascii="Arial" w:hAnsi="Arial" w:cs="Arial"/>
                <w:sz w:val="18"/>
                <w:szCs w:val="18"/>
              </w:rPr>
              <w:t>Odprti postopek</w:t>
            </w:r>
          </w:p>
        </w:tc>
        <w:tc>
          <w:tcPr>
            <w:tcW w:w="1132" w:type="dxa"/>
            <w:shd w:val="clear" w:color="auto" w:fill="auto"/>
            <w:noWrap/>
            <w:vAlign w:val="center"/>
            <w:hideMark/>
          </w:tcPr>
          <w:p w14:paraId="443C06EC" w14:textId="77777777"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9.611</w:t>
            </w:r>
          </w:p>
        </w:tc>
        <w:tc>
          <w:tcPr>
            <w:tcW w:w="1290" w:type="dxa"/>
            <w:shd w:val="clear" w:color="auto" w:fill="auto"/>
            <w:noWrap/>
            <w:vAlign w:val="center"/>
            <w:hideMark/>
          </w:tcPr>
          <w:p w14:paraId="4DE25EFB" w14:textId="77777777"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3.236.766.929</w:t>
            </w:r>
          </w:p>
        </w:tc>
        <w:tc>
          <w:tcPr>
            <w:tcW w:w="988" w:type="dxa"/>
            <w:shd w:val="clear" w:color="auto" w:fill="auto"/>
            <w:noWrap/>
            <w:vAlign w:val="center"/>
            <w:hideMark/>
          </w:tcPr>
          <w:p w14:paraId="00629576" w14:textId="4067775F"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55,80</w:t>
            </w:r>
            <w:r>
              <w:rPr>
                <w:rFonts w:ascii="Arial" w:hAnsi="Arial" w:cs="Arial"/>
                <w:sz w:val="18"/>
                <w:szCs w:val="18"/>
              </w:rPr>
              <w:t xml:space="preserve"> </w:t>
            </w:r>
            <w:r w:rsidRPr="001863F1">
              <w:rPr>
                <w:rFonts w:ascii="Arial" w:hAnsi="Arial" w:cs="Arial"/>
                <w:sz w:val="18"/>
                <w:szCs w:val="18"/>
              </w:rPr>
              <w:t>%</w:t>
            </w:r>
          </w:p>
        </w:tc>
        <w:tc>
          <w:tcPr>
            <w:tcW w:w="1241" w:type="dxa"/>
            <w:shd w:val="clear" w:color="auto" w:fill="auto"/>
            <w:noWrap/>
            <w:vAlign w:val="center"/>
            <w:hideMark/>
          </w:tcPr>
          <w:p w14:paraId="610C6DE9" w14:textId="36FED5C3"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59,75</w:t>
            </w:r>
            <w:r>
              <w:rPr>
                <w:rFonts w:ascii="Arial" w:hAnsi="Arial" w:cs="Arial"/>
                <w:sz w:val="18"/>
                <w:szCs w:val="18"/>
              </w:rPr>
              <w:t xml:space="preserve"> </w:t>
            </w:r>
            <w:r w:rsidRPr="001863F1">
              <w:rPr>
                <w:rFonts w:ascii="Arial" w:hAnsi="Arial" w:cs="Arial"/>
                <w:sz w:val="18"/>
                <w:szCs w:val="18"/>
              </w:rPr>
              <w:t>%</w:t>
            </w:r>
          </w:p>
        </w:tc>
      </w:tr>
      <w:tr w:rsidR="001863F1" w:rsidRPr="001863F1" w14:paraId="6F1B023E" w14:textId="77777777" w:rsidTr="001863F1">
        <w:trPr>
          <w:trHeight w:val="288"/>
        </w:trPr>
        <w:tc>
          <w:tcPr>
            <w:tcW w:w="759" w:type="dxa"/>
            <w:vMerge/>
            <w:vAlign w:val="center"/>
            <w:hideMark/>
          </w:tcPr>
          <w:p w14:paraId="499D66A0" w14:textId="77777777" w:rsidR="001863F1" w:rsidRPr="001863F1" w:rsidRDefault="001863F1" w:rsidP="001863F1">
            <w:pPr>
              <w:spacing w:after="0" w:line="240" w:lineRule="auto"/>
              <w:jc w:val="right"/>
              <w:rPr>
                <w:rFonts w:ascii="Arial" w:hAnsi="Arial" w:cs="Arial"/>
                <w:sz w:val="18"/>
                <w:szCs w:val="18"/>
              </w:rPr>
            </w:pPr>
          </w:p>
        </w:tc>
        <w:tc>
          <w:tcPr>
            <w:tcW w:w="3764" w:type="dxa"/>
            <w:shd w:val="clear" w:color="auto" w:fill="auto"/>
            <w:noWrap/>
            <w:vAlign w:val="center"/>
            <w:hideMark/>
          </w:tcPr>
          <w:p w14:paraId="3676D97F" w14:textId="77777777" w:rsidR="001863F1" w:rsidRPr="001863F1" w:rsidRDefault="001863F1" w:rsidP="001863F1">
            <w:pPr>
              <w:spacing w:after="0" w:line="240" w:lineRule="auto"/>
              <w:rPr>
                <w:rFonts w:ascii="Arial" w:hAnsi="Arial" w:cs="Arial"/>
                <w:sz w:val="18"/>
                <w:szCs w:val="18"/>
              </w:rPr>
            </w:pPr>
            <w:r w:rsidRPr="001863F1">
              <w:rPr>
                <w:rFonts w:ascii="Arial" w:hAnsi="Arial" w:cs="Arial"/>
                <w:sz w:val="18"/>
                <w:szCs w:val="18"/>
              </w:rPr>
              <w:t>Omejeni postopek</w:t>
            </w:r>
          </w:p>
        </w:tc>
        <w:tc>
          <w:tcPr>
            <w:tcW w:w="1132" w:type="dxa"/>
            <w:shd w:val="clear" w:color="auto" w:fill="auto"/>
            <w:noWrap/>
            <w:vAlign w:val="center"/>
            <w:hideMark/>
          </w:tcPr>
          <w:p w14:paraId="0882C105" w14:textId="77777777"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47</w:t>
            </w:r>
          </w:p>
        </w:tc>
        <w:tc>
          <w:tcPr>
            <w:tcW w:w="1290" w:type="dxa"/>
            <w:shd w:val="clear" w:color="auto" w:fill="auto"/>
            <w:noWrap/>
            <w:vAlign w:val="center"/>
            <w:hideMark/>
          </w:tcPr>
          <w:p w14:paraId="1B33952A" w14:textId="77777777"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73.853.693</w:t>
            </w:r>
          </w:p>
        </w:tc>
        <w:tc>
          <w:tcPr>
            <w:tcW w:w="988" w:type="dxa"/>
            <w:shd w:val="clear" w:color="auto" w:fill="auto"/>
            <w:noWrap/>
            <w:vAlign w:val="center"/>
            <w:hideMark/>
          </w:tcPr>
          <w:p w14:paraId="24EE3684" w14:textId="5C5B3D91"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0,27</w:t>
            </w:r>
            <w:r>
              <w:rPr>
                <w:rFonts w:ascii="Arial" w:hAnsi="Arial" w:cs="Arial"/>
                <w:sz w:val="18"/>
                <w:szCs w:val="18"/>
              </w:rPr>
              <w:t xml:space="preserve"> </w:t>
            </w:r>
            <w:r w:rsidRPr="001863F1">
              <w:rPr>
                <w:rFonts w:ascii="Arial" w:hAnsi="Arial" w:cs="Arial"/>
                <w:sz w:val="18"/>
                <w:szCs w:val="18"/>
              </w:rPr>
              <w:t>%</w:t>
            </w:r>
          </w:p>
        </w:tc>
        <w:tc>
          <w:tcPr>
            <w:tcW w:w="1241" w:type="dxa"/>
            <w:shd w:val="clear" w:color="auto" w:fill="auto"/>
            <w:noWrap/>
            <w:vAlign w:val="center"/>
            <w:hideMark/>
          </w:tcPr>
          <w:p w14:paraId="61AE19A7" w14:textId="695B6C69"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1,36</w:t>
            </w:r>
            <w:r>
              <w:rPr>
                <w:rFonts w:ascii="Arial" w:hAnsi="Arial" w:cs="Arial"/>
                <w:sz w:val="18"/>
                <w:szCs w:val="18"/>
              </w:rPr>
              <w:t xml:space="preserve"> </w:t>
            </w:r>
            <w:r w:rsidRPr="001863F1">
              <w:rPr>
                <w:rFonts w:ascii="Arial" w:hAnsi="Arial" w:cs="Arial"/>
                <w:sz w:val="18"/>
                <w:szCs w:val="18"/>
              </w:rPr>
              <w:t>%</w:t>
            </w:r>
          </w:p>
        </w:tc>
      </w:tr>
      <w:tr w:rsidR="001863F1" w:rsidRPr="001863F1" w14:paraId="3AF31B5E" w14:textId="77777777" w:rsidTr="001863F1">
        <w:trPr>
          <w:trHeight w:val="288"/>
        </w:trPr>
        <w:tc>
          <w:tcPr>
            <w:tcW w:w="759" w:type="dxa"/>
            <w:vMerge/>
            <w:vAlign w:val="center"/>
            <w:hideMark/>
          </w:tcPr>
          <w:p w14:paraId="7A31F7E9" w14:textId="77777777" w:rsidR="001863F1" w:rsidRPr="001863F1" w:rsidRDefault="001863F1" w:rsidP="001863F1">
            <w:pPr>
              <w:spacing w:after="0" w:line="240" w:lineRule="auto"/>
              <w:jc w:val="right"/>
              <w:rPr>
                <w:rFonts w:ascii="Arial" w:hAnsi="Arial" w:cs="Arial"/>
                <w:sz w:val="18"/>
                <w:szCs w:val="18"/>
              </w:rPr>
            </w:pPr>
          </w:p>
        </w:tc>
        <w:tc>
          <w:tcPr>
            <w:tcW w:w="3764" w:type="dxa"/>
            <w:shd w:val="clear" w:color="auto" w:fill="auto"/>
            <w:noWrap/>
            <w:vAlign w:val="center"/>
            <w:hideMark/>
          </w:tcPr>
          <w:p w14:paraId="6A009B5B" w14:textId="77777777" w:rsidR="001863F1" w:rsidRPr="001863F1" w:rsidRDefault="001863F1" w:rsidP="001863F1">
            <w:pPr>
              <w:spacing w:after="0" w:line="240" w:lineRule="auto"/>
              <w:rPr>
                <w:rFonts w:ascii="Arial" w:hAnsi="Arial" w:cs="Arial"/>
                <w:sz w:val="18"/>
                <w:szCs w:val="18"/>
              </w:rPr>
            </w:pPr>
            <w:r w:rsidRPr="001863F1">
              <w:rPr>
                <w:rFonts w:ascii="Arial" w:hAnsi="Arial" w:cs="Arial"/>
                <w:sz w:val="18"/>
                <w:szCs w:val="18"/>
              </w:rPr>
              <w:t>Postopek s pogajanji brez predhodne objave</w:t>
            </w:r>
          </w:p>
        </w:tc>
        <w:tc>
          <w:tcPr>
            <w:tcW w:w="1132" w:type="dxa"/>
            <w:shd w:val="clear" w:color="auto" w:fill="auto"/>
            <w:noWrap/>
            <w:vAlign w:val="center"/>
            <w:hideMark/>
          </w:tcPr>
          <w:p w14:paraId="3454D9AF" w14:textId="77777777"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292</w:t>
            </w:r>
          </w:p>
        </w:tc>
        <w:tc>
          <w:tcPr>
            <w:tcW w:w="1290" w:type="dxa"/>
            <w:shd w:val="clear" w:color="auto" w:fill="auto"/>
            <w:noWrap/>
            <w:vAlign w:val="center"/>
            <w:hideMark/>
          </w:tcPr>
          <w:p w14:paraId="362FF06E" w14:textId="77777777"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223.327.101</w:t>
            </w:r>
          </w:p>
        </w:tc>
        <w:tc>
          <w:tcPr>
            <w:tcW w:w="988" w:type="dxa"/>
            <w:shd w:val="clear" w:color="auto" w:fill="auto"/>
            <w:noWrap/>
            <w:vAlign w:val="center"/>
            <w:hideMark/>
          </w:tcPr>
          <w:p w14:paraId="68278E57" w14:textId="3355DD83"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1,70</w:t>
            </w:r>
            <w:r>
              <w:rPr>
                <w:rFonts w:ascii="Arial" w:hAnsi="Arial" w:cs="Arial"/>
                <w:sz w:val="18"/>
                <w:szCs w:val="18"/>
              </w:rPr>
              <w:t xml:space="preserve"> </w:t>
            </w:r>
            <w:r w:rsidRPr="001863F1">
              <w:rPr>
                <w:rFonts w:ascii="Arial" w:hAnsi="Arial" w:cs="Arial"/>
                <w:sz w:val="18"/>
                <w:szCs w:val="18"/>
              </w:rPr>
              <w:t>%</w:t>
            </w:r>
          </w:p>
        </w:tc>
        <w:tc>
          <w:tcPr>
            <w:tcW w:w="1241" w:type="dxa"/>
            <w:shd w:val="clear" w:color="auto" w:fill="auto"/>
            <w:noWrap/>
            <w:vAlign w:val="center"/>
            <w:hideMark/>
          </w:tcPr>
          <w:p w14:paraId="508C8C67" w14:textId="735AD86D"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4,12</w:t>
            </w:r>
            <w:r>
              <w:rPr>
                <w:rFonts w:ascii="Arial" w:hAnsi="Arial" w:cs="Arial"/>
                <w:sz w:val="18"/>
                <w:szCs w:val="18"/>
              </w:rPr>
              <w:t xml:space="preserve"> </w:t>
            </w:r>
            <w:r w:rsidRPr="001863F1">
              <w:rPr>
                <w:rFonts w:ascii="Arial" w:hAnsi="Arial" w:cs="Arial"/>
                <w:sz w:val="18"/>
                <w:szCs w:val="18"/>
              </w:rPr>
              <w:t>%</w:t>
            </w:r>
          </w:p>
        </w:tc>
      </w:tr>
      <w:tr w:rsidR="001863F1" w:rsidRPr="001863F1" w14:paraId="374C6FF9" w14:textId="77777777" w:rsidTr="001863F1">
        <w:trPr>
          <w:trHeight w:val="288"/>
        </w:trPr>
        <w:tc>
          <w:tcPr>
            <w:tcW w:w="759" w:type="dxa"/>
            <w:vMerge/>
            <w:vAlign w:val="center"/>
            <w:hideMark/>
          </w:tcPr>
          <w:p w14:paraId="1B6DB7B9" w14:textId="77777777" w:rsidR="001863F1" w:rsidRPr="001863F1" w:rsidRDefault="001863F1" w:rsidP="001863F1">
            <w:pPr>
              <w:spacing w:after="0" w:line="240" w:lineRule="auto"/>
              <w:jc w:val="right"/>
              <w:rPr>
                <w:rFonts w:ascii="Arial" w:hAnsi="Arial" w:cs="Arial"/>
                <w:sz w:val="18"/>
                <w:szCs w:val="18"/>
              </w:rPr>
            </w:pPr>
          </w:p>
        </w:tc>
        <w:tc>
          <w:tcPr>
            <w:tcW w:w="3764" w:type="dxa"/>
            <w:shd w:val="clear" w:color="auto" w:fill="auto"/>
            <w:noWrap/>
            <w:vAlign w:val="center"/>
            <w:hideMark/>
          </w:tcPr>
          <w:p w14:paraId="5B2DEE20" w14:textId="77777777" w:rsidR="001863F1" w:rsidRPr="001863F1" w:rsidRDefault="001863F1" w:rsidP="001863F1">
            <w:pPr>
              <w:spacing w:after="0" w:line="240" w:lineRule="auto"/>
              <w:rPr>
                <w:rFonts w:ascii="Arial" w:hAnsi="Arial" w:cs="Arial"/>
                <w:sz w:val="18"/>
                <w:szCs w:val="18"/>
              </w:rPr>
            </w:pPr>
            <w:r w:rsidRPr="001863F1">
              <w:rPr>
                <w:rFonts w:ascii="Arial" w:hAnsi="Arial" w:cs="Arial"/>
                <w:sz w:val="18"/>
                <w:szCs w:val="18"/>
              </w:rPr>
              <w:t>Postopek s pogajanji po predhodni objavi</w:t>
            </w:r>
          </w:p>
        </w:tc>
        <w:tc>
          <w:tcPr>
            <w:tcW w:w="1132" w:type="dxa"/>
            <w:shd w:val="clear" w:color="auto" w:fill="auto"/>
            <w:noWrap/>
            <w:vAlign w:val="center"/>
            <w:hideMark/>
          </w:tcPr>
          <w:p w14:paraId="0C152B21" w14:textId="77777777"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199</w:t>
            </w:r>
          </w:p>
        </w:tc>
        <w:tc>
          <w:tcPr>
            <w:tcW w:w="1290" w:type="dxa"/>
            <w:shd w:val="clear" w:color="auto" w:fill="auto"/>
            <w:noWrap/>
            <w:vAlign w:val="center"/>
            <w:hideMark/>
          </w:tcPr>
          <w:p w14:paraId="23243AE0" w14:textId="77777777"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283.761.581</w:t>
            </w:r>
          </w:p>
        </w:tc>
        <w:tc>
          <w:tcPr>
            <w:tcW w:w="988" w:type="dxa"/>
            <w:shd w:val="clear" w:color="auto" w:fill="auto"/>
            <w:noWrap/>
            <w:vAlign w:val="center"/>
            <w:hideMark/>
          </w:tcPr>
          <w:p w14:paraId="3FF36B75" w14:textId="7F2DB718"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1,16</w:t>
            </w:r>
            <w:r>
              <w:rPr>
                <w:rFonts w:ascii="Arial" w:hAnsi="Arial" w:cs="Arial"/>
                <w:sz w:val="18"/>
                <w:szCs w:val="18"/>
              </w:rPr>
              <w:t xml:space="preserve"> </w:t>
            </w:r>
            <w:r w:rsidRPr="001863F1">
              <w:rPr>
                <w:rFonts w:ascii="Arial" w:hAnsi="Arial" w:cs="Arial"/>
                <w:sz w:val="18"/>
                <w:szCs w:val="18"/>
              </w:rPr>
              <w:t>%</w:t>
            </w:r>
          </w:p>
        </w:tc>
        <w:tc>
          <w:tcPr>
            <w:tcW w:w="1241" w:type="dxa"/>
            <w:shd w:val="clear" w:color="auto" w:fill="auto"/>
            <w:noWrap/>
            <w:vAlign w:val="center"/>
            <w:hideMark/>
          </w:tcPr>
          <w:p w14:paraId="786E374D" w14:textId="5FDAAD25"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5,24</w:t>
            </w:r>
            <w:r>
              <w:rPr>
                <w:rFonts w:ascii="Arial" w:hAnsi="Arial" w:cs="Arial"/>
                <w:sz w:val="18"/>
                <w:szCs w:val="18"/>
              </w:rPr>
              <w:t xml:space="preserve"> </w:t>
            </w:r>
            <w:r w:rsidRPr="001863F1">
              <w:rPr>
                <w:rFonts w:ascii="Arial" w:hAnsi="Arial" w:cs="Arial"/>
                <w:sz w:val="18"/>
                <w:szCs w:val="18"/>
              </w:rPr>
              <w:t>%</w:t>
            </w:r>
          </w:p>
        </w:tc>
      </w:tr>
      <w:tr w:rsidR="001863F1" w:rsidRPr="001863F1" w14:paraId="517BD3DC" w14:textId="77777777" w:rsidTr="001863F1">
        <w:trPr>
          <w:trHeight w:val="288"/>
        </w:trPr>
        <w:tc>
          <w:tcPr>
            <w:tcW w:w="759" w:type="dxa"/>
            <w:vMerge/>
            <w:vAlign w:val="center"/>
            <w:hideMark/>
          </w:tcPr>
          <w:p w14:paraId="0A70659F" w14:textId="77777777" w:rsidR="001863F1" w:rsidRPr="001863F1" w:rsidRDefault="001863F1" w:rsidP="001863F1">
            <w:pPr>
              <w:spacing w:after="0" w:line="240" w:lineRule="auto"/>
              <w:jc w:val="right"/>
              <w:rPr>
                <w:rFonts w:ascii="Arial" w:hAnsi="Arial" w:cs="Arial"/>
                <w:sz w:val="18"/>
                <w:szCs w:val="18"/>
              </w:rPr>
            </w:pPr>
          </w:p>
        </w:tc>
        <w:tc>
          <w:tcPr>
            <w:tcW w:w="3764" w:type="dxa"/>
            <w:shd w:val="clear" w:color="auto" w:fill="auto"/>
            <w:noWrap/>
            <w:vAlign w:val="center"/>
            <w:hideMark/>
          </w:tcPr>
          <w:p w14:paraId="14F74727" w14:textId="77777777" w:rsidR="001863F1" w:rsidRPr="001863F1" w:rsidRDefault="001863F1" w:rsidP="001863F1">
            <w:pPr>
              <w:spacing w:after="0" w:line="240" w:lineRule="auto"/>
              <w:rPr>
                <w:rFonts w:ascii="Arial" w:hAnsi="Arial" w:cs="Arial"/>
                <w:b/>
                <w:bCs/>
                <w:sz w:val="18"/>
                <w:szCs w:val="18"/>
              </w:rPr>
            </w:pPr>
            <w:r w:rsidRPr="001863F1">
              <w:rPr>
                <w:rFonts w:ascii="Arial" w:hAnsi="Arial" w:cs="Arial"/>
                <w:b/>
                <w:bCs/>
                <w:sz w:val="18"/>
                <w:szCs w:val="18"/>
              </w:rPr>
              <w:t>Skupaj</w:t>
            </w:r>
          </w:p>
        </w:tc>
        <w:tc>
          <w:tcPr>
            <w:tcW w:w="1132" w:type="dxa"/>
            <w:shd w:val="clear" w:color="auto" w:fill="auto"/>
            <w:noWrap/>
            <w:vAlign w:val="center"/>
            <w:hideMark/>
          </w:tcPr>
          <w:p w14:paraId="6D715418" w14:textId="77777777" w:rsidR="001863F1" w:rsidRPr="001863F1" w:rsidRDefault="001863F1" w:rsidP="001863F1">
            <w:pPr>
              <w:spacing w:after="0" w:line="240" w:lineRule="auto"/>
              <w:jc w:val="right"/>
              <w:rPr>
                <w:rFonts w:ascii="Arial" w:hAnsi="Arial" w:cs="Arial"/>
                <w:b/>
                <w:bCs/>
                <w:sz w:val="18"/>
                <w:szCs w:val="18"/>
              </w:rPr>
            </w:pPr>
            <w:r w:rsidRPr="001863F1">
              <w:rPr>
                <w:rFonts w:ascii="Arial" w:hAnsi="Arial" w:cs="Arial"/>
                <w:b/>
                <w:bCs/>
                <w:sz w:val="18"/>
                <w:szCs w:val="18"/>
              </w:rPr>
              <w:t>10.289</w:t>
            </w:r>
          </w:p>
        </w:tc>
        <w:tc>
          <w:tcPr>
            <w:tcW w:w="1290" w:type="dxa"/>
            <w:shd w:val="clear" w:color="auto" w:fill="auto"/>
            <w:noWrap/>
            <w:vAlign w:val="center"/>
            <w:hideMark/>
          </w:tcPr>
          <w:p w14:paraId="2FB40E03" w14:textId="77777777" w:rsidR="001863F1" w:rsidRPr="001863F1" w:rsidRDefault="001863F1" w:rsidP="001863F1">
            <w:pPr>
              <w:spacing w:after="0" w:line="240" w:lineRule="auto"/>
              <w:jc w:val="right"/>
              <w:rPr>
                <w:rFonts w:ascii="Arial" w:hAnsi="Arial" w:cs="Arial"/>
                <w:b/>
                <w:bCs/>
                <w:sz w:val="18"/>
                <w:szCs w:val="18"/>
              </w:rPr>
            </w:pPr>
            <w:r w:rsidRPr="001863F1">
              <w:rPr>
                <w:rFonts w:ascii="Arial" w:hAnsi="Arial" w:cs="Arial"/>
                <w:b/>
                <w:bCs/>
                <w:sz w:val="18"/>
                <w:szCs w:val="18"/>
              </w:rPr>
              <w:t>4.178.721.659</w:t>
            </w:r>
          </w:p>
        </w:tc>
        <w:tc>
          <w:tcPr>
            <w:tcW w:w="988" w:type="dxa"/>
            <w:shd w:val="clear" w:color="auto" w:fill="auto"/>
            <w:noWrap/>
            <w:vAlign w:val="center"/>
            <w:hideMark/>
          </w:tcPr>
          <w:p w14:paraId="298A5525" w14:textId="17D60A55" w:rsidR="001863F1" w:rsidRPr="001863F1" w:rsidRDefault="001863F1" w:rsidP="001863F1">
            <w:pPr>
              <w:spacing w:after="0" w:line="240" w:lineRule="auto"/>
              <w:jc w:val="right"/>
              <w:rPr>
                <w:rFonts w:ascii="Arial" w:hAnsi="Arial" w:cs="Arial"/>
                <w:b/>
                <w:bCs/>
                <w:sz w:val="18"/>
                <w:szCs w:val="18"/>
              </w:rPr>
            </w:pPr>
            <w:r w:rsidRPr="001863F1">
              <w:rPr>
                <w:rFonts w:ascii="Arial" w:hAnsi="Arial" w:cs="Arial"/>
                <w:b/>
                <w:bCs/>
                <w:sz w:val="18"/>
                <w:szCs w:val="18"/>
              </w:rPr>
              <w:t>59,74</w:t>
            </w:r>
            <w:r w:rsidRPr="00484987">
              <w:rPr>
                <w:rFonts w:ascii="Arial" w:hAnsi="Arial" w:cs="Arial"/>
                <w:b/>
                <w:bCs/>
                <w:sz w:val="18"/>
                <w:szCs w:val="18"/>
              </w:rPr>
              <w:t xml:space="preserve"> </w:t>
            </w:r>
            <w:r w:rsidRPr="001863F1">
              <w:rPr>
                <w:rFonts w:ascii="Arial" w:hAnsi="Arial" w:cs="Arial"/>
                <w:b/>
                <w:bCs/>
                <w:sz w:val="18"/>
                <w:szCs w:val="18"/>
              </w:rPr>
              <w:t>%</w:t>
            </w:r>
          </w:p>
        </w:tc>
        <w:tc>
          <w:tcPr>
            <w:tcW w:w="1241" w:type="dxa"/>
            <w:shd w:val="clear" w:color="auto" w:fill="auto"/>
            <w:noWrap/>
            <w:vAlign w:val="center"/>
            <w:hideMark/>
          </w:tcPr>
          <w:p w14:paraId="3AF12DEE" w14:textId="63315FC6" w:rsidR="001863F1" w:rsidRPr="001863F1" w:rsidRDefault="001863F1" w:rsidP="001863F1">
            <w:pPr>
              <w:spacing w:after="0" w:line="240" w:lineRule="auto"/>
              <w:jc w:val="right"/>
              <w:rPr>
                <w:rFonts w:ascii="Arial" w:hAnsi="Arial" w:cs="Arial"/>
                <w:b/>
                <w:bCs/>
                <w:sz w:val="18"/>
                <w:szCs w:val="18"/>
              </w:rPr>
            </w:pPr>
            <w:r w:rsidRPr="001863F1">
              <w:rPr>
                <w:rFonts w:ascii="Arial" w:hAnsi="Arial" w:cs="Arial"/>
                <w:b/>
                <w:bCs/>
                <w:sz w:val="18"/>
                <w:szCs w:val="18"/>
              </w:rPr>
              <w:t>77,14</w:t>
            </w:r>
            <w:r w:rsidRPr="00484987">
              <w:rPr>
                <w:rFonts w:ascii="Arial" w:hAnsi="Arial" w:cs="Arial"/>
                <w:b/>
                <w:bCs/>
                <w:sz w:val="18"/>
                <w:szCs w:val="18"/>
              </w:rPr>
              <w:t xml:space="preserve"> </w:t>
            </w:r>
            <w:r w:rsidRPr="001863F1">
              <w:rPr>
                <w:rFonts w:ascii="Arial" w:hAnsi="Arial" w:cs="Arial"/>
                <w:b/>
                <w:bCs/>
                <w:sz w:val="18"/>
                <w:szCs w:val="18"/>
              </w:rPr>
              <w:t>%</w:t>
            </w:r>
          </w:p>
        </w:tc>
      </w:tr>
      <w:tr w:rsidR="001863F1" w:rsidRPr="001863F1" w14:paraId="4C2CFB69" w14:textId="77777777" w:rsidTr="001863F1">
        <w:trPr>
          <w:trHeight w:val="288"/>
        </w:trPr>
        <w:tc>
          <w:tcPr>
            <w:tcW w:w="759" w:type="dxa"/>
            <w:vMerge w:val="restart"/>
            <w:shd w:val="clear" w:color="auto" w:fill="auto"/>
            <w:noWrap/>
            <w:vAlign w:val="center"/>
            <w:hideMark/>
          </w:tcPr>
          <w:p w14:paraId="167B74F1" w14:textId="77777777" w:rsidR="001863F1" w:rsidRPr="001863F1" w:rsidRDefault="001863F1" w:rsidP="001863F1">
            <w:pPr>
              <w:spacing w:after="0" w:line="240" w:lineRule="auto"/>
              <w:rPr>
                <w:rFonts w:ascii="Arial" w:hAnsi="Arial" w:cs="Arial"/>
                <w:sz w:val="18"/>
                <w:szCs w:val="18"/>
              </w:rPr>
            </w:pPr>
            <w:r w:rsidRPr="001863F1">
              <w:rPr>
                <w:rFonts w:ascii="Arial" w:hAnsi="Arial" w:cs="Arial"/>
                <w:sz w:val="18"/>
                <w:szCs w:val="18"/>
              </w:rPr>
              <w:t>NE</w:t>
            </w:r>
          </w:p>
        </w:tc>
        <w:tc>
          <w:tcPr>
            <w:tcW w:w="3764" w:type="dxa"/>
            <w:shd w:val="clear" w:color="auto" w:fill="auto"/>
            <w:noWrap/>
            <w:vAlign w:val="center"/>
            <w:hideMark/>
          </w:tcPr>
          <w:p w14:paraId="1942091C" w14:textId="77777777" w:rsidR="001863F1" w:rsidRPr="001863F1" w:rsidRDefault="001863F1" w:rsidP="001863F1">
            <w:pPr>
              <w:spacing w:after="0" w:line="240" w:lineRule="auto"/>
              <w:rPr>
                <w:rFonts w:ascii="Arial" w:hAnsi="Arial" w:cs="Arial"/>
                <w:sz w:val="18"/>
                <w:szCs w:val="18"/>
              </w:rPr>
            </w:pPr>
            <w:r w:rsidRPr="001863F1">
              <w:rPr>
                <w:rFonts w:ascii="Arial" w:hAnsi="Arial" w:cs="Arial"/>
                <w:sz w:val="18"/>
                <w:szCs w:val="18"/>
              </w:rPr>
              <w:t>Konkurenčni dialog</w:t>
            </w:r>
          </w:p>
        </w:tc>
        <w:tc>
          <w:tcPr>
            <w:tcW w:w="1132" w:type="dxa"/>
            <w:shd w:val="clear" w:color="auto" w:fill="auto"/>
            <w:noWrap/>
            <w:vAlign w:val="center"/>
            <w:hideMark/>
          </w:tcPr>
          <w:p w14:paraId="15643C8F" w14:textId="77777777"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12</w:t>
            </w:r>
          </w:p>
        </w:tc>
        <w:tc>
          <w:tcPr>
            <w:tcW w:w="1290" w:type="dxa"/>
            <w:shd w:val="clear" w:color="auto" w:fill="auto"/>
            <w:noWrap/>
            <w:vAlign w:val="center"/>
            <w:hideMark/>
          </w:tcPr>
          <w:p w14:paraId="4173F511" w14:textId="77777777"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111.630</w:t>
            </w:r>
          </w:p>
        </w:tc>
        <w:tc>
          <w:tcPr>
            <w:tcW w:w="988" w:type="dxa"/>
            <w:shd w:val="clear" w:color="auto" w:fill="auto"/>
            <w:noWrap/>
            <w:vAlign w:val="center"/>
            <w:hideMark/>
          </w:tcPr>
          <w:p w14:paraId="188D7315" w14:textId="0957270A"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0,07</w:t>
            </w:r>
            <w:r>
              <w:rPr>
                <w:rFonts w:ascii="Arial" w:hAnsi="Arial" w:cs="Arial"/>
                <w:sz w:val="18"/>
                <w:szCs w:val="18"/>
              </w:rPr>
              <w:t xml:space="preserve"> </w:t>
            </w:r>
            <w:r w:rsidRPr="001863F1">
              <w:rPr>
                <w:rFonts w:ascii="Arial" w:hAnsi="Arial" w:cs="Arial"/>
                <w:sz w:val="18"/>
                <w:szCs w:val="18"/>
              </w:rPr>
              <w:t>%</w:t>
            </w:r>
          </w:p>
        </w:tc>
        <w:tc>
          <w:tcPr>
            <w:tcW w:w="1241" w:type="dxa"/>
            <w:shd w:val="clear" w:color="auto" w:fill="auto"/>
            <w:noWrap/>
            <w:vAlign w:val="center"/>
            <w:hideMark/>
          </w:tcPr>
          <w:p w14:paraId="0584A14F" w14:textId="78340804"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0,00</w:t>
            </w:r>
            <w:r>
              <w:rPr>
                <w:rFonts w:ascii="Arial" w:hAnsi="Arial" w:cs="Arial"/>
                <w:sz w:val="18"/>
                <w:szCs w:val="18"/>
              </w:rPr>
              <w:t xml:space="preserve"> </w:t>
            </w:r>
            <w:r w:rsidRPr="001863F1">
              <w:rPr>
                <w:rFonts w:ascii="Arial" w:hAnsi="Arial" w:cs="Arial"/>
                <w:sz w:val="18"/>
                <w:szCs w:val="18"/>
              </w:rPr>
              <w:t>%</w:t>
            </w:r>
          </w:p>
        </w:tc>
      </w:tr>
      <w:tr w:rsidR="001863F1" w:rsidRPr="001863F1" w14:paraId="46C1268F" w14:textId="77777777" w:rsidTr="001863F1">
        <w:trPr>
          <w:trHeight w:val="288"/>
        </w:trPr>
        <w:tc>
          <w:tcPr>
            <w:tcW w:w="759" w:type="dxa"/>
            <w:vMerge/>
            <w:vAlign w:val="center"/>
            <w:hideMark/>
          </w:tcPr>
          <w:p w14:paraId="74B5CF52" w14:textId="77777777" w:rsidR="001863F1" w:rsidRPr="001863F1" w:rsidRDefault="001863F1" w:rsidP="001863F1">
            <w:pPr>
              <w:spacing w:after="0" w:line="240" w:lineRule="auto"/>
              <w:jc w:val="right"/>
              <w:rPr>
                <w:rFonts w:ascii="Arial" w:hAnsi="Arial" w:cs="Arial"/>
                <w:sz w:val="18"/>
                <w:szCs w:val="18"/>
              </w:rPr>
            </w:pPr>
          </w:p>
        </w:tc>
        <w:tc>
          <w:tcPr>
            <w:tcW w:w="3764" w:type="dxa"/>
            <w:shd w:val="clear" w:color="auto" w:fill="auto"/>
            <w:noWrap/>
            <w:vAlign w:val="center"/>
            <w:hideMark/>
          </w:tcPr>
          <w:p w14:paraId="7DDF775E" w14:textId="77777777" w:rsidR="001863F1" w:rsidRPr="001863F1" w:rsidRDefault="001863F1" w:rsidP="001863F1">
            <w:pPr>
              <w:spacing w:after="0" w:line="240" w:lineRule="auto"/>
              <w:rPr>
                <w:rFonts w:ascii="Arial" w:hAnsi="Arial" w:cs="Arial"/>
                <w:sz w:val="18"/>
                <w:szCs w:val="18"/>
              </w:rPr>
            </w:pPr>
            <w:r w:rsidRPr="001863F1">
              <w:rPr>
                <w:rFonts w:ascii="Arial" w:hAnsi="Arial" w:cs="Arial"/>
                <w:sz w:val="18"/>
                <w:szCs w:val="18"/>
              </w:rPr>
              <w:t>Konkurenčni postopek s pogajanji</w:t>
            </w:r>
          </w:p>
        </w:tc>
        <w:tc>
          <w:tcPr>
            <w:tcW w:w="1132" w:type="dxa"/>
            <w:shd w:val="clear" w:color="auto" w:fill="auto"/>
            <w:noWrap/>
            <w:vAlign w:val="center"/>
            <w:hideMark/>
          </w:tcPr>
          <w:p w14:paraId="00F357A6" w14:textId="77777777"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128</w:t>
            </w:r>
          </w:p>
        </w:tc>
        <w:tc>
          <w:tcPr>
            <w:tcW w:w="1290" w:type="dxa"/>
            <w:shd w:val="clear" w:color="auto" w:fill="auto"/>
            <w:noWrap/>
            <w:vAlign w:val="center"/>
            <w:hideMark/>
          </w:tcPr>
          <w:p w14:paraId="12763095" w14:textId="77777777"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96.806.479</w:t>
            </w:r>
          </w:p>
        </w:tc>
        <w:tc>
          <w:tcPr>
            <w:tcW w:w="988" w:type="dxa"/>
            <w:shd w:val="clear" w:color="auto" w:fill="auto"/>
            <w:noWrap/>
            <w:vAlign w:val="center"/>
            <w:hideMark/>
          </w:tcPr>
          <w:p w14:paraId="5B327D39" w14:textId="6F815B09"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0,74</w:t>
            </w:r>
            <w:r>
              <w:rPr>
                <w:rFonts w:ascii="Arial" w:hAnsi="Arial" w:cs="Arial"/>
                <w:sz w:val="18"/>
                <w:szCs w:val="18"/>
              </w:rPr>
              <w:t xml:space="preserve"> </w:t>
            </w:r>
            <w:r w:rsidRPr="001863F1">
              <w:rPr>
                <w:rFonts w:ascii="Arial" w:hAnsi="Arial" w:cs="Arial"/>
                <w:sz w:val="18"/>
                <w:szCs w:val="18"/>
              </w:rPr>
              <w:t>%</w:t>
            </w:r>
          </w:p>
        </w:tc>
        <w:tc>
          <w:tcPr>
            <w:tcW w:w="1241" w:type="dxa"/>
            <w:shd w:val="clear" w:color="auto" w:fill="auto"/>
            <w:noWrap/>
            <w:vAlign w:val="center"/>
            <w:hideMark/>
          </w:tcPr>
          <w:p w14:paraId="3AFAE8C8" w14:textId="7F248087"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1,79</w:t>
            </w:r>
            <w:r>
              <w:rPr>
                <w:rFonts w:ascii="Arial" w:hAnsi="Arial" w:cs="Arial"/>
                <w:sz w:val="18"/>
                <w:szCs w:val="18"/>
              </w:rPr>
              <w:t xml:space="preserve"> </w:t>
            </w:r>
            <w:r w:rsidRPr="001863F1">
              <w:rPr>
                <w:rFonts w:ascii="Arial" w:hAnsi="Arial" w:cs="Arial"/>
                <w:sz w:val="18"/>
                <w:szCs w:val="18"/>
              </w:rPr>
              <w:t>%</w:t>
            </w:r>
          </w:p>
        </w:tc>
      </w:tr>
      <w:tr w:rsidR="001863F1" w:rsidRPr="001863F1" w14:paraId="741ECDF6" w14:textId="77777777" w:rsidTr="001863F1">
        <w:trPr>
          <w:trHeight w:val="288"/>
        </w:trPr>
        <w:tc>
          <w:tcPr>
            <w:tcW w:w="759" w:type="dxa"/>
            <w:vMerge/>
            <w:vAlign w:val="center"/>
            <w:hideMark/>
          </w:tcPr>
          <w:p w14:paraId="7AF116FC" w14:textId="77777777" w:rsidR="001863F1" w:rsidRPr="001863F1" w:rsidRDefault="001863F1" w:rsidP="001863F1">
            <w:pPr>
              <w:spacing w:after="0" w:line="240" w:lineRule="auto"/>
              <w:jc w:val="right"/>
              <w:rPr>
                <w:rFonts w:ascii="Arial" w:hAnsi="Arial" w:cs="Arial"/>
                <w:sz w:val="18"/>
                <w:szCs w:val="18"/>
              </w:rPr>
            </w:pPr>
          </w:p>
        </w:tc>
        <w:tc>
          <w:tcPr>
            <w:tcW w:w="3764" w:type="dxa"/>
            <w:shd w:val="clear" w:color="auto" w:fill="auto"/>
            <w:noWrap/>
            <w:vAlign w:val="center"/>
            <w:hideMark/>
          </w:tcPr>
          <w:p w14:paraId="0E0BB5FD" w14:textId="77777777" w:rsidR="001863F1" w:rsidRPr="001863F1" w:rsidRDefault="001863F1" w:rsidP="001863F1">
            <w:pPr>
              <w:spacing w:after="0" w:line="240" w:lineRule="auto"/>
              <w:rPr>
                <w:rFonts w:ascii="Arial" w:hAnsi="Arial" w:cs="Arial"/>
                <w:sz w:val="18"/>
                <w:szCs w:val="18"/>
              </w:rPr>
            </w:pPr>
            <w:r w:rsidRPr="001863F1">
              <w:rPr>
                <w:rFonts w:ascii="Arial" w:hAnsi="Arial" w:cs="Arial"/>
                <w:sz w:val="18"/>
                <w:szCs w:val="18"/>
              </w:rPr>
              <w:t>Odprti postopek</w:t>
            </w:r>
          </w:p>
        </w:tc>
        <w:tc>
          <w:tcPr>
            <w:tcW w:w="1132" w:type="dxa"/>
            <w:shd w:val="clear" w:color="auto" w:fill="auto"/>
            <w:noWrap/>
            <w:vAlign w:val="center"/>
            <w:hideMark/>
          </w:tcPr>
          <w:p w14:paraId="725168E0" w14:textId="77777777"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265</w:t>
            </w:r>
          </w:p>
        </w:tc>
        <w:tc>
          <w:tcPr>
            <w:tcW w:w="1290" w:type="dxa"/>
            <w:shd w:val="clear" w:color="auto" w:fill="auto"/>
            <w:noWrap/>
            <w:vAlign w:val="center"/>
            <w:hideMark/>
          </w:tcPr>
          <w:p w14:paraId="38313B88" w14:textId="77777777"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191.504.960</w:t>
            </w:r>
          </w:p>
        </w:tc>
        <w:tc>
          <w:tcPr>
            <w:tcW w:w="988" w:type="dxa"/>
            <w:shd w:val="clear" w:color="auto" w:fill="auto"/>
            <w:noWrap/>
            <w:vAlign w:val="center"/>
            <w:hideMark/>
          </w:tcPr>
          <w:p w14:paraId="53C5A872" w14:textId="508E4F25"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1,54</w:t>
            </w:r>
            <w:r>
              <w:rPr>
                <w:rFonts w:ascii="Arial" w:hAnsi="Arial" w:cs="Arial"/>
                <w:sz w:val="18"/>
                <w:szCs w:val="18"/>
              </w:rPr>
              <w:t xml:space="preserve"> </w:t>
            </w:r>
            <w:r w:rsidRPr="001863F1">
              <w:rPr>
                <w:rFonts w:ascii="Arial" w:hAnsi="Arial" w:cs="Arial"/>
                <w:sz w:val="18"/>
                <w:szCs w:val="18"/>
              </w:rPr>
              <w:t>%</w:t>
            </w:r>
          </w:p>
        </w:tc>
        <w:tc>
          <w:tcPr>
            <w:tcW w:w="1241" w:type="dxa"/>
            <w:shd w:val="clear" w:color="auto" w:fill="auto"/>
            <w:noWrap/>
            <w:vAlign w:val="center"/>
            <w:hideMark/>
          </w:tcPr>
          <w:p w14:paraId="60DC07A9" w14:textId="3663BDA5"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3,54</w:t>
            </w:r>
            <w:r>
              <w:rPr>
                <w:rFonts w:ascii="Arial" w:hAnsi="Arial" w:cs="Arial"/>
                <w:sz w:val="18"/>
                <w:szCs w:val="18"/>
              </w:rPr>
              <w:t xml:space="preserve"> </w:t>
            </w:r>
            <w:r w:rsidRPr="001863F1">
              <w:rPr>
                <w:rFonts w:ascii="Arial" w:hAnsi="Arial" w:cs="Arial"/>
                <w:sz w:val="18"/>
                <w:szCs w:val="18"/>
              </w:rPr>
              <w:t>%</w:t>
            </w:r>
          </w:p>
        </w:tc>
      </w:tr>
      <w:tr w:rsidR="001863F1" w:rsidRPr="001863F1" w14:paraId="1ECAEE37" w14:textId="77777777" w:rsidTr="001863F1">
        <w:trPr>
          <w:trHeight w:val="288"/>
        </w:trPr>
        <w:tc>
          <w:tcPr>
            <w:tcW w:w="759" w:type="dxa"/>
            <w:vMerge/>
            <w:vAlign w:val="center"/>
            <w:hideMark/>
          </w:tcPr>
          <w:p w14:paraId="5CD041F6" w14:textId="77777777" w:rsidR="001863F1" w:rsidRPr="001863F1" w:rsidRDefault="001863F1" w:rsidP="001863F1">
            <w:pPr>
              <w:spacing w:after="0" w:line="240" w:lineRule="auto"/>
              <w:jc w:val="right"/>
              <w:rPr>
                <w:rFonts w:ascii="Arial" w:hAnsi="Arial" w:cs="Arial"/>
                <w:sz w:val="18"/>
                <w:szCs w:val="18"/>
              </w:rPr>
            </w:pPr>
          </w:p>
        </w:tc>
        <w:tc>
          <w:tcPr>
            <w:tcW w:w="3764" w:type="dxa"/>
            <w:shd w:val="clear" w:color="auto" w:fill="auto"/>
            <w:noWrap/>
            <w:vAlign w:val="center"/>
            <w:hideMark/>
          </w:tcPr>
          <w:p w14:paraId="3C7F7447" w14:textId="77777777" w:rsidR="001863F1" w:rsidRPr="001863F1" w:rsidRDefault="001863F1" w:rsidP="001863F1">
            <w:pPr>
              <w:spacing w:after="0" w:line="240" w:lineRule="auto"/>
              <w:rPr>
                <w:rFonts w:ascii="Arial" w:hAnsi="Arial" w:cs="Arial"/>
                <w:sz w:val="18"/>
                <w:szCs w:val="18"/>
              </w:rPr>
            </w:pPr>
            <w:r w:rsidRPr="001863F1">
              <w:rPr>
                <w:rFonts w:ascii="Arial" w:hAnsi="Arial" w:cs="Arial"/>
                <w:sz w:val="18"/>
                <w:szCs w:val="18"/>
              </w:rPr>
              <w:t>Omejeni postopek</w:t>
            </w:r>
          </w:p>
        </w:tc>
        <w:tc>
          <w:tcPr>
            <w:tcW w:w="1132" w:type="dxa"/>
            <w:shd w:val="clear" w:color="auto" w:fill="auto"/>
            <w:noWrap/>
            <w:vAlign w:val="center"/>
            <w:hideMark/>
          </w:tcPr>
          <w:p w14:paraId="009C8F94" w14:textId="77777777"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12</w:t>
            </w:r>
          </w:p>
        </w:tc>
        <w:tc>
          <w:tcPr>
            <w:tcW w:w="1290" w:type="dxa"/>
            <w:shd w:val="clear" w:color="auto" w:fill="auto"/>
            <w:noWrap/>
            <w:vAlign w:val="center"/>
            <w:hideMark/>
          </w:tcPr>
          <w:p w14:paraId="113CD4B2" w14:textId="77777777"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7.117.079</w:t>
            </w:r>
          </w:p>
        </w:tc>
        <w:tc>
          <w:tcPr>
            <w:tcW w:w="988" w:type="dxa"/>
            <w:shd w:val="clear" w:color="auto" w:fill="auto"/>
            <w:noWrap/>
            <w:vAlign w:val="center"/>
            <w:hideMark/>
          </w:tcPr>
          <w:p w14:paraId="65B85F6B" w14:textId="7E7F276A"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0,07</w:t>
            </w:r>
            <w:r>
              <w:rPr>
                <w:rFonts w:ascii="Arial" w:hAnsi="Arial" w:cs="Arial"/>
                <w:sz w:val="18"/>
                <w:szCs w:val="18"/>
              </w:rPr>
              <w:t xml:space="preserve"> </w:t>
            </w:r>
            <w:r w:rsidRPr="001863F1">
              <w:rPr>
                <w:rFonts w:ascii="Arial" w:hAnsi="Arial" w:cs="Arial"/>
                <w:sz w:val="18"/>
                <w:szCs w:val="18"/>
              </w:rPr>
              <w:t>%</w:t>
            </w:r>
          </w:p>
        </w:tc>
        <w:tc>
          <w:tcPr>
            <w:tcW w:w="1241" w:type="dxa"/>
            <w:shd w:val="clear" w:color="auto" w:fill="auto"/>
            <w:noWrap/>
            <w:vAlign w:val="center"/>
            <w:hideMark/>
          </w:tcPr>
          <w:p w14:paraId="6D317E66" w14:textId="2B6F2D7F"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0,13</w:t>
            </w:r>
            <w:r>
              <w:rPr>
                <w:rFonts w:ascii="Arial" w:hAnsi="Arial" w:cs="Arial"/>
                <w:sz w:val="18"/>
                <w:szCs w:val="18"/>
              </w:rPr>
              <w:t xml:space="preserve"> </w:t>
            </w:r>
            <w:r w:rsidRPr="001863F1">
              <w:rPr>
                <w:rFonts w:ascii="Arial" w:hAnsi="Arial" w:cs="Arial"/>
                <w:sz w:val="18"/>
                <w:szCs w:val="18"/>
              </w:rPr>
              <w:t>%</w:t>
            </w:r>
          </w:p>
        </w:tc>
      </w:tr>
      <w:tr w:rsidR="001863F1" w:rsidRPr="001863F1" w14:paraId="65766930" w14:textId="77777777" w:rsidTr="001863F1">
        <w:trPr>
          <w:trHeight w:val="288"/>
        </w:trPr>
        <w:tc>
          <w:tcPr>
            <w:tcW w:w="759" w:type="dxa"/>
            <w:vMerge/>
            <w:vAlign w:val="center"/>
            <w:hideMark/>
          </w:tcPr>
          <w:p w14:paraId="6A2181D4" w14:textId="77777777" w:rsidR="001863F1" w:rsidRPr="001863F1" w:rsidRDefault="001863F1" w:rsidP="001863F1">
            <w:pPr>
              <w:spacing w:after="0" w:line="240" w:lineRule="auto"/>
              <w:jc w:val="right"/>
              <w:rPr>
                <w:rFonts w:ascii="Arial" w:hAnsi="Arial" w:cs="Arial"/>
                <w:sz w:val="18"/>
                <w:szCs w:val="18"/>
              </w:rPr>
            </w:pPr>
          </w:p>
        </w:tc>
        <w:tc>
          <w:tcPr>
            <w:tcW w:w="3764" w:type="dxa"/>
            <w:shd w:val="clear" w:color="auto" w:fill="auto"/>
            <w:noWrap/>
            <w:vAlign w:val="center"/>
            <w:hideMark/>
          </w:tcPr>
          <w:p w14:paraId="227E97A8" w14:textId="77777777" w:rsidR="001863F1" w:rsidRPr="001863F1" w:rsidRDefault="001863F1" w:rsidP="001863F1">
            <w:pPr>
              <w:spacing w:after="0" w:line="240" w:lineRule="auto"/>
              <w:rPr>
                <w:rFonts w:ascii="Arial" w:hAnsi="Arial" w:cs="Arial"/>
                <w:sz w:val="18"/>
                <w:szCs w:val="18"/>
              </w:rPr>
            </w:pPr>
            <w:r w:rsidRPr="001863F1">
              <w:rPr>
                <w:rFonts w:ascii="Arial" w:hAnsi="Arial" w:cs="Arial"/>
                <w:sz w:val="18"/>
                <w:szCs w:val="18"/>
              </w:rPr>
              <w:t>Postopek naročila male vrednosti</w:t>
            </w:r>
          </w:p>
        </w:tc>
        <w:tc>
          <w:tcPr>
            <w:tcW w:w="1132" w:type="dxa"/>
            <w:shd w:val="clear" w:color="auto" w:fill="auto"/>
            <w:noWrap/>
            <w:vAlign w:val="center"/>
            <w:hideMark/>
          </w:tcPr>
          <w:p w14:paraId="6D8CC240" w14:textId="77777777"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5.941</w:t>
            </w:r>
          </w:p>
        </w:tc>
        <w:tc>
          <w:tcPr>
            <w:tcW w:w="1290" w:type="dxa"/>
            <w:shd w:val="clear" w:color="auto" w:fill="auto"/>
            <w:noWrap/>
            <w:vAlign w:val="center"/>
            <w:hideMark/>
          </w:tcPr>
          <w:p w14:paraId="4C04F042" w14:textId="77777777"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862.791.217</w:t>
            </w:r>
          </w:p>
        </w:tc>
        <w:tc>
          <w:tcPr>
            <w:tcW w:w="988" w:type="dxa"/>
            <w:shd w:val="clear" w:color="auto" w:fill="auto"/>
            <w:noWrap/>
            <w:vAlign w:val="center"/>
            <w:hideMark/>
          </w:tcPr>
          <w:p w14:paraId="7481FA1A" w14:textId="6F17F9B4"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34,49</w:t>
            </w:r>
            <w:r>
              <w:rPr>
                <w:rFonts w:ascii="Arial" w:hAnsi="Arial" w:cs="Arial"/>
                <w:sz w:val="18"/>
                <w:szCs w:val="18"/>
              </w:rPr>
              <w:t xml:space="preserve"> </w:t>
            </w:r>
            <w:r w:rsidRPr="001863F1">
              <w:rPr>
                <w:rFonts w:ascii="Arial" w:hAnsi="Arial" w:cs="Arial"/>
                <w:sz w:val="18"/>
                <w:szCs w:val="18"/>
              </w:rPr>
              <w:t>%</w:t>
            </w:r>
          </w:p>
        </w:tc>
        <w:tc>
          <w:tcPr>
            <w:tcW w:w="1241" w:type="dxa"/>
            <w:shd w:val="clear" w:color="auto" w:fill="auto"/>
            <w:noWrap/>
            <w:vAlign w:val="center"/>
            <w:hideMark/>
          </w:tcPr>
          <w:p w14:paraId="3964A764" w14:textId="633130B5"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15,93</w:t>
            </w:r>
            <w:r>
              <w:rPr>
                <w:rFonts w:ascii="Arial" w:hAnsi="Arial" w:cs="Arial"/>
                <w:sz w:val="18"/>
                <w:szCs w:val="18"/>
              </w:rPr>
              <w:t xml:space="preserve"> </w:t>
            </w:r>
            <w:r w:rsidRPr="001863F1">
              <w:rPr>
                <w:rFonts w:ascii="Arial" w:hAnsi="Arial" w:cs="Arial"/>
                <w:sz w:val="18"/>
                <w:szCs w:val="18"/>
              </w:rPr>
              <w:t>%</w:t>
            </w:r>
          </w:p>
        </w:tc>
      </w:tr>
      <w:tr w:rsidR="001863F1" w:rsidRPr="001863F1" w14:paraId="636CE38A" w14:textId="77777777" w:rsidTr="001863F1">
        <w:trPr>
          <w:trHeight w:val="288"/>
        </w:trPr>
        <w:tc>
          <w:tcPr>
            <w:tcW w:w="759" w:type="dxa"/>
            <w:vMerge/>
            <w:vAlign w:val="center"/>
            <w:hideMark/>
          </w:tcPr>
          <w:p w14:paraId="0AAE49AE" w14:textId="77777777" w:rsidR="001863F1" w:rsidRPr="001863F1" w:rsidRDefault="001863F1" w:rsidP="001863F1">
            <w:pPr>
              <w:spacing w:after="0" w:line="240" w:lineRule="auto"/>
              <w:jc w:val="right"/>
              <w:rPr>
                <w:rFonts w:ascii="Arial" w:hAnsi="Arial" w:cs="Arial"/>
                <w:sz w:val="18"/>
                <w:szCs w:val="18"/>
              </w:rPr>
            </w:pPr>
          </w:p>
        </w:tc>
        <w:tc>
          <w:tcPr>
            <w:tcW w:w="3764" w:type="dxa"/>
            <w:shd w:val="clear" w:color="auto" w:fill="auto"/>
            <w:noWrap/>
            <w:vAlign w:val="center"/>
            <w:hideMark/>
          </w:tcPr>
          <w:p w14:paraId="5B4D599F" w14:textId="77777777" w:rsidR="001863F1" w:rsidRPr="001863F1" w:rsidRDefault="001863F1" w:rsidP="001863F1">
            <w:pPr>
              <w:spacing w:after="0" w:line="240" w:lineRule="auto"/>
              <w:rPr>
                <w:rFonts w:ascii="Arial" w:hAnsi="Arial" w:cs="Arial"/>
                <w:sz w:val="18"/>
                <w:szCs w:val="18"/>
              </w:rPr>
            </w:pPr>
            <w:r w:rsidRPr="001863F1">
              <w:rPr>
                <w:rFonts w:ascii="Arial" w:hAnsi="Arial" w:cs="Arial"/>
                <w:sz w:val="18"/>
                <w:szCs w:val="18"/>
              </w:rPr>
              <w:t>Postopek s pogajanji brez predhodne objave</w:t>
            </w:r>
          </w:p>
        </w:tc>
        <w:tc>
          <w:tcPr>
            <w:tcW w:w="1132" w:type="dxa"/>
            <w:shd w:val="clear" w:color="auto" w:fill="auto"/>
            <w:noWrap/>
            <w:vAlign w:val="center"/>
            <w:hideMark/>
          </w:tcPr>
          <w:p w14:paraId="4174188E" w14:textId="77777777"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500</w:t>
            </w:r>
          </w:p>
        </w:tc>
        <w:tc>
          <w:tcPr>
            <w:tcW w:w="1290" w:type="dxa"/>
            <w:shd w:val="clear" w:color="auto" w:fill="auto"/>
            <w:noWrap/>
            <w:vAlign w:val="center"/>
            <w:hideMark/>
          </w:tcPr>
          <w:p w14:paraId="1DDED9BA" w14:textId="77777777"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63.695.966</w:t>
            </w:r>
          </w:p>
        </w:tc>
        <w:tc>
          <w:tcPr>
            <w:tcW w:w="988" w:type="dxa"/>
            <w:shd w:val="clear" w:color="auto" w:fill="auto"/>
            <w:noWrap/>
            <w:vAlign w:val="center"/>
            <w:hideMark/>
          </w:tcPr>
          <w:p w14:paraId="09537BC1" w14:textId="05D35353"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2,90</w:t>
            </w:r>
            <w:r>
              <w:rPr>
                <w:rFonts w:ascii="Arial" w:hAnsi="Arial" w:cs="Arial"/>
                <w:sz w:val="18"/>
                <w:szCs w:val="18"/>
              </w:rPr>
              <w:t xml:space="preserve"> </w:t>
            </w:r>
            <w:r w:rsidRPr="001863F1">
              <w:rPr>
                <w:rFonts w:ascii="Arial" w:hAnsi="Arial" w:cs="Arial"/>
                <w:sz w:val="18"/>
                <w:szCs w:val="18"/>
              </w:rPr>
              <w:t>%</w:t>
            </w:r>
          </w:p>
        </w:tc>
        <w:tc>
          <w:tcPr>
            <w:tcW w:w="1241" w:type="dxa"/>
            <w:shd w:val="clear" w:color="auto" w:fill="auto"/>
            <w:noWrap/>
            <w:vAlign w:val="center"/>
            <w:hideMark/>
          </w:tcPr>
          <w:p w14:paraId="62BF6404" w14:textId="71268C35"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1,18</w:t>
            </w:r>
            <w:r>
              <w:rPr>
                <w:rFonts w:ascii="Arial" w:hAnsi="Arial" w:cs="Arial"/>
                <w:sz w:val="18"/>
                <w:szCs w:val="18"/>
              </w:rPr>
              <w:t xml:space="preserve"> </w:t>
            </w:r>
            <w:r w:rsidRPr="001863F1">
              <w:rPr>
                <w:rFonts w:ascii="Arial" w:hAnsi="Arial" w:cs="Arial"/>
                <w:sz w:val="18"/>
                <w:szCs w:val="18"/>
              </w:rPr>
              <w:t>%</w:t>
            </w:r>
          </w:p>
        </w:tc>
      </w:tr>
      <w:tr w:rsidR="001863F1" w:rsidRPr="001863F1" w14:paraId="45F25391" w14:textId="77777777" w:rsidTr="001863F1">
        <w:trPr>
          <w:trHeight w:val="288"/>
        </w:trPr>
        <w:tc>
          <w:tcPr>
            <w:tcW w:w="759" w:type="dxa"/>
            <w:vMerge/>
            <w:vAlign w:val="center"/>
            <w:hideMark/>
          </w:tcPr>
          <w:p w14:paraId="63620929" w14:textId="77777777" w:rsidR="001863F1" w:rsidRPr="001863F1" w:rsidRDefault="001863F1" w:rsidP="001863F1">
            <w:pPr>
              <w:spacing w:after="0" w:line="240" w:lineRule="auto"/>
              <w:jc w:val="right"/>
              <w:rPr>
                <w:rFonts w:ascii="Arial" w:hAnsi="Arial" w:cs="Arial"/>
                <w:sz w:val="18"/>
                <w:szCs w:val="18"/>
              </w:rPr>
            </w:pPr>
          </w:p>
        </w:tc>
        <w:tc>
          <w:tcPr>
            <w:tcW w:w="3764" w:type="dxa"/>
            <w:shd w:val="clear" w:color="auto" w:fill="auto"/>
            <w:noWrap/>
            <w:vAlign w:val="center"/>
            <w:hideMark/>
          </w:tcPr>
          <w:p w14:paraId="4306568A" w14:textId="77777777" w:rsidR="001863F1" w:rsidRPr="001863F1" w:rsidRDefault="001863F1" w:rsidP="001863F1">
            <w:pPr>
              <w:spacing w:after="0" w:line="240" w:lineRule="auto"/>
              <w:rPr>
                <w:rFonts w:ascii="Arial" w:hAnsi="Arial" w:cs="Arial"/>
                <w:sz w:val="18"/>
                <w:szCs w:val="18"/>
              </w:rPr>
            </w:pPr>
            <w:r w:rsidRPr="001863F1">
              <w:rPr>
                <w:rFonts w:ascii="Arial" w:hAnsi="Arial" w:cs="Arial"/>
                <w:sz w:val="18"/>
                <w:szCs w:val="18"/>
              </w:rPr>
              <w:t>Postopek s pogajanji po predhodni objavi</w:t>
            </w:r>
          </w:p>
        </w:tc>
        <w:tc>
          <w:tcPr>
            <w:tcW w:w="1132" w:type="dxa"/>
            <w:shd w:val="clear" w:color="auto" w:fill="auto"/>
            <w:noWrap/>
            <w:vAlign w:val="center"/>
            <w:hideMark/>
          </w:tcPr>
          <w:p w14:paraId="6532D482" w14:textId="77777777"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44</w:t>
            </w:r>
          </w:p>
        </w:tc>
        <w:tc>
          <w:tcPr>
            <w:tcW w:w="1290" w:type="dxa"/>
            <w:shd w:val="clear" w:color="auto" w:fill="auto"/>
            <w:noWrap/>
            <w:vAlign w:val="center"/>
            <w:hideMark/>
          </w:tcPr>
          <w:p w14:paraId="6A0F5A0A" w14:textId="77777777"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10.410.070</w:t>
            </w:r>
          </w:p>
        </w:tc>
        <w:tc>
          <w:tcPr>
            <w:tcW w:w="988" w:type="dxa"/>
            <w:shd w:val="clear" w:color="auto" w:fill="auto"/>
            <w:noWrap/>
            <w:vAlign w:val="center"/>
            <w:hideMark/>
          </w:tcPr>
          <w:p w14:paraId="69FE112A" w14:textId="17303E0B"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0,26</w:t>
            </w:r>
            <w:r>
              <w:rPr>
                <w:rFonts w:ascii="Arial" w:hAnsi="Arial" w:cs="Arial"/>
                <w:sz w:val="18"/>
                <w:szCs w:val="18"/>
              </w:rPr>
              <w:t xml:space="preserve"> </w:t>
            </w:r>
            <w:r w:rsidRPr="001863F1">
              <w:rPr>
                <w:rFonts w:ascii="Arial" w:hAnsi="Arial" w:cs="Arial"/>
                <w:sz w:val="18"/>
                <w:szCs w:val="18"/>
              </w:rPr>
              <w:t>%</w:t>
            </w:r>
          </w:p>
        </w:tc>
        <w:tc>
          <w:tcPr>
            <w:tcW w:w="1241" w:type="dxa"/>
            <w:shd w:val="clear" w:color="auto" w:fill="auto"/>
            <w:noWrap/>
            <w:vAlign w:val="center"/>
            <w:hideMark/>
          </w:tcPr>
          <w:p w14:paraId="52E568CD" w14:textId="6EDDC224"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0,19</w:t>
            </w:r>
            <w:r>
              <w:rPr>
                <w:rFonts w:ascii="Arial" w:hAnsi="Arial" w:cs="Arial"/>
                <w:sz w:val="18"/>
                <w:szCs w:val="18"/>
              </w:rPr>
              <w:t xml:space="preserve"> </w:t>
            </w:r>
            <w:r w:rsidRPr="001863F1">
              <w:rPr>
                <w:rFonts w:ascii="Arial" w:hAnsi="Arial" w:cs="Arial"/>
                <w:sz w:val="18"/>
                <w:szCs w:val="18"/>
              </w:rPr>
              <w:t>%</w:t>
            </w:r>
          </w:p>
        </w:tc>
      </w:tr>
      <w:tr w:rsidR="001863F1" w:rsidRPr="001863F1" w14:paraId="7BCE5241" w14:textId="77777777" w:rsidTr="001863F1">
        <w:trPr>
          <w:trHeight w:val="288"/>
        </w:trPr>
        <w:tc>
          <w:tcPr>
            <w:tcW w:w="759" w:type="dxa"/>
            <w:vMerge/>
            <w:vAlign w:val="center"/>
            <w:hideMark/>
          </w:tcPr>
          <w:p w14:paraId="7C7CCC5F" w14:textId="77777777" w:rsidR="001863F1" w:rsidRPr="001863F1" w:rsidRDefault="001863F1" w:rsidP="001863F1">
            <w:pPr>
              <w:spacing w:after="0" w:line="240" w:lineRule="auto"/>
              <w:jc w:val="right"/>
              <w:rPr>
                <w:rFonts w:ascii="Arial" w:hAnsi="Arial" w:cs="Arial"/>
                <w:sz w:val="18"/>
                <w:szCs w:val="18"/>
              </w:rPr>
            </w:pPr>
          </w:p>
        </w:tc>
        <w:tc>
          <w:tcPr>
            <w:tcW w:w="3764" w:type="dxa"/>
            <w:shd w:val="clear" w:color="auto" w:fill="auto"/>
            <w:noWrap/>
            <w:vAlign w:val="center"/>
            <w:hideMark/>
          </w:tcPr>
          <w:p w14:paraId="5AB94B86" w14:textId="77777777" w:rsidR="001863F1" w:rsidRPr="001863F1" w:rsidRDefault="001863F1" w:rsidP="001863F1">
            <w:pPr>
              <w:spacing w:after="0" w:line="240" w:lineRule="auto"/>
              <w:rPr>
                <w:rFonts w:ascii="Arial" w:hAnsi="Arial" w:cs="Arial"/>
                <w:sz w:val="18"/>
                <w:szCs w:val="18"/>
              </w:rPr>
            </w:pPr>
            <w:r w:rsidRPr="001863F1">
              <w:rPr>
                <w:rFonts w:ascii="Arial" w:hAnsi="Arial" w:cs="Arial"/>
                <w:sz w:val="18"/>
                <w:szCs w:val="18"/>
              </w:rPr>
              <w:t>Postopek zbiranja ponudb po predhodni objavi</w:t>
            </w:r>
          </w:p>
        </w:tc>
        <w:tc>
          <w:tcPr>
            <w:tcW w:w="1132" w:type="dxa"/>
            <w:shd w:val="clear" w:color="auto" w:fill="auto"/>
            <w:noWrap/>
            <w:vAlign w:val="center"/>
            <w:hideMark/>
          </w:tcPr>
          <w:p w14:paraId="11934CFE" w14:textId="77777777"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33</w:t>
            </w:r>
          </w:p>
        </w:tc>
        <w:tc>
          <w:tcPr>
            <w:tcW w:w="1290" w:type="dxa"/>
            <w:shd w:val="clear" w:color="auto" w:fill="auto"/>
            <w:noWrap/>
            <w:vAlign w:val="center"/>
            <w:hideMark/>
          </w:tcPr>
          <w:p w14:paraId="5AFD62AC" w14:textId="77777777"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5.946.842</w:t>
            </w:r>
          </w:p>
        </w:tc>
        <w:tc>
          <w:tcPr>
            <w:tcW w:w="988" w:type="dxa"/>
            <w:shd w:val="clear" w:color="auto" w:fill="auto"/>
            <w:noWrap/>
            <w:vAlign w:val="center"/>
            <w:hideMark/>
          </w:tcPr>
          <w:p w14:paraId="45BF3561" w14:textId="30C8E9E3"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0,19</w:t>
            </w:r>
            <w:r>
              <w:rPr>
                <w:rFonts w:ascii="Arial" w:hAnsi="Arial" w:cs="Arial"/>
                <w:sz w:val="18"/>
                <w:szCs w:val="18"/>
              </w:rPr>
              <w:t xml:space="preserve"> </w:t>
            </w:r>
            <w:r w:rsidRPr="001863F1">
              <w:rPr>
                <w:rFonts w:ascii="Arial" w:hAnsi="Arial" w:cs="Arial"/>
                <w:sz w:val="18"/>
                <w:szCs w:val="18"/>
              </w:rPr>
              <w:t>%</w:t>
            </w:r>
          </w:p>
        </w:tc>
        <w:tc>
          <w:tcPr>
            <w:tcW w:w="1241" w:type="dxa"/>
            <w:shd w:val="clear" w:color="auto" w:fill="auto"/>
            <w:noWrap/>
            <w:vAlign w:val="center"/>
            <w:hideMark/>
          </w:tcPr>
          <w:p w14:paraId="536F9C5C" w14:textId="4C6DC6B4" w:rsidR="001863F1" w:rsidRPr="001863F1" w:rsidRDefault="001863F1" w:rsidP="001863F1">
            <w:pPr>
              <w:spacing w:after="0" w:line="240" w:lineRule="auto"/>
              <w:jc w:val="right"/>
              <w:rPr>
                <w:rFonts w:ascii="Arial" w:hAnsi="Arial" w:cs="Arial"/>
                <w:sz w:val="18"/>
                <w:szCs w:val="18"/>
              </w:rPr>
            </w:pPr>
            <w:r w:rsidRPr="001863F1">
              <w:rPr>
                <w:rFonts w:ascii="Arial" w:hAnsi="Arial" w:cs="Arial"/>
                <w:sz w:val="18"/>
                <w:szCs w:val="18"/>
              </w:rPr>
              <w:t>0,11</w:t>
            </w:r>
            <w:r>
              <w:rPr>
                <w:rFonts w:ascii="Arial" w:hAnsi="Arial" w:cs="Arial"/>
                <w:sz w:val="18"/>
                <w:szCs w:val="18"/>
              </w:rPr>
              <w:t xml:space="preserve"> </w:t>
            </w:r>
            <w:r w:rsidRPr="001863F1">
              <w:rPr>
                <w:rFonts w:ascii="Arial" w:hAnsi="Arial" w:cs="Arial"/>
                <w:sz w:val="18"/>
                <w:szCs w:val="18"/>
              </w:rPr>
              <w:t>%</w:t>
            </w:r>
          </w:p>
        </w:tc>
      </w:tr>
      <w:tr w:rsidR="001863F1" w:rsidRPr="001863F1" w14:paraId="425B2F67" w14:textId="77777777" w:rsidTr="001863F1">
        <w:trPr>
          <w:trHeight w:val="288"/>
        </w:trPr>
        <w:tc>
          <w:tcPr>
            <w:tcW w:w="759" w:type="dxa"/>
            <w:vMerge/>
            <w:vAlign w:val="center"/>
            <w:hideMark/>
          </w:tcPr>
          <w:p w14:paraId="353689D7" w14:textId="77777777" w:rsidR="001863F1" w:rsidRPr="001863F1" w:rsidRDefault="001863F1" w:rsidP="001863F1">
            <w:pPr>
              <w:spacing w:after="0" w:line="240" w:lineRule="auto"/>
              <w:jc w:val="right"/>
              <w:rPr>
                <w:rFonts w:ascii="Arial" w:hAnsi="Arial" w:cs="Arial"/>
                <w:sz w:val="18"/>
                <w:szCs w:val="18"/>
              </w:rPr>
            </w:pPr>
          </w:p>
        </w:tc>
        <w:tc>
          <w:tcPr>
            <w:tcW w:w="3764" w:type="dxa"/>
            <w:shd w:val="clear" w:color="auto" w:fill="auto"/>
            <w:noWrap/>
            <w:vAlign w:val="center"/>
            <w:hideMark/>
          </w:tcPr>
          <w:p w14:paraId="0852CB42" w14:textId="77777777" w:rsidR="001863F1" w:rsidRPr="001863F1" w:rsidRDefault="001863F1" w:rsidP="001863F1">
            <w:pPr>
              <w:spacing w:after="0" w:line="240" w:lineRule="auto"/>
              <w:rPr>
                <w:rFonts w:ascii="Arial" w:hAnsi="Arial" w:cs="Arial"/>
                <w:b/>
                <w:bCs/>
                <w:sz w:val="18"/>
                <w:szCs w:val="18"/>
              </w:rPr>
            </w:pPr>
            <w:r w:rsidRPr="001863F1">
              <w:rPr>
                <w:rFonts w:ascii="Arial" w:hAnsi="Arial" w:cs="Arial"/>
                <w:b/>
                <w:bCs/>
                <w:sz w:val="18"/>
                <w:szCs w:val="18"/>
              </w:rPr>
              <w:t>Skupaj</w:t>
            </w:r>
          </w:p>
        </w:tc>
        <w:tc>
          <w:tcPr>
            <w:tcW w:w="1132" w:type="dxa"/>
            <w:shd w:val="clear" w:color="auto" w:fill="auto"/>
            <w:noWrap/>
            <w:vAlign w:val="center"/>
            <w:hideMark/>
          </w:tcPr>
          <w:p w14:paraId="6B4C67C2" w14:textId="77777777" w:rsidR="001863F1" w:rsidRPr="001863F1" w:rsidRDefault="001863F1" w:rsidP="001863F1">
            <w:pPr>
              <w:spacing w:after="0" w:line="240" w:lineRule="auto"/>
              <w:jc w:val="right"/>
              <w:rPr>
                <w:rFonts w:ascii="Arial" w:hAnsi="Arial" w:cs="Arial"/>
                <w:b/>
                <w:bCs/>
                <w:sz w:val="18"/>
                <w:szCs w:val="18"/>
              </w:rPr>
            </w:pPr>
            <w:r w:rsidRPr="001863F1">
              <w:rPr>
                <w:rFonts w:ascii="Arial" w:hAnsi="Arial" w:cs="Arial"/>
                <w:b/>
                <w:bCs/>
                <w:sz w:val="18"/>
                <w:szCs w:val="18"/>
              </w:rPr>
              <w:t>6.935</w:t>
            </w:r>
          </w:p>
        </w:tc>
        <w:tc>
          <w:tcPr>
            <w:tcW w:w="1290" w:type="dxa"/>
            <w:shd w:val="clear" w:color="auto" w:fill="auto"/>
            <w:noWrap/>
            <w:vAlign w:val="center"/>
            <w:hideMark/>
          </w:tcPr>
          <w:p w14:paraId="6D3573F0" w14:textId="77777777" w:rsidR="001863F1" w:rsidRPr="001863F1" w:rsidRDefault="001863F1" w:rsidP="001863F1">
            <w:pPr>
              <w:spacing w:after="0" w:line="240" w:lineRule="auto"/>
              <w:jc w:val="right"/>
              <w:rPr>
                <w:rFonts w:ascii="Arial" w:hAnsi="Arial" w:cs="Arial"/>
                <w:b/>
                <w:bCs/>
                <w:sz w:val="18"/>
                <w:szCs w:val="18"/>
              </w:rPr>
            </w:pPr>
            <w:r w:rsidRPr="001863F1">
              <w:rPr>
                <w:rFonts w:ascii="Arial" w:hAnsi="Arial" w:cs="Arial"/>
                <w:b/>
                <w:bCs/>
                <w:sz w:val="18"/>
                <w:szCs w:val="18"/>
              </w:rPr>
              <w:t>1.238.384.243</w:t>
            </w:r>
          </w:p>
        </w:tc>
        <w:tc>
          <w:tcPr>
            <w:tcW w:w="988" w:type="dxa"/>
            <w:shd w:val="clear" w:color="auto" w:fill="auto"/>
            <w:noWrap/>
            <w:vAlign w:val="center"/>
            <w:hideMark/>
          </w:tcPr>
          <w:p w14:paraId="36AD9EC5" w14:textId="26C184A8" w:rsidR="001863F1" w:rsidRPr="001863F1" w:rsidRDefault="001863F1" w:rsidP="001863F1">
            <w:pPr>
              <w:spacing w:after="0" w:line="240" w:lineRule="auto"/>
              <w:jc w:val="right"/>
              <w:rPr>
                <w:rFonts w:ascii="Arial" w:hAnsi="Arial" w:cs="Arial"/>
                <w:b/>
                <w:bCs/>
                <w:sz w:val="18"/>
                <w:szCs w:val="18"/>
              </w:rPr>
            </w:pPr>
            <w:r w:rsidRPr="001863F1">
              <w:rPr>
                <w:rFonts w:ascii="Arial" w:hAnsi="Arial" w:cs="Arial"/>
                <w:b/>
                <w:bCs/>
                <w:sz w:val="18"/>
                <w:szCs w:val="18"/>
              </w:rPr>
              <w:t>40,26</w:t>
            </w:r>
            <w:r>
              <w:rPr>
                <w:rFonts w:ascii="Arial" w:hAnsi="Arial" w:cs="Arial"/>
                <w:b/>
                <w:bCs/>
                <w:sz w:val="18"/>
                <w:szCs w:val="18"/>
              </w:rPr>
              <w:t xml:space="preserve"> </w:t>
            </w:r>
            <w:r w:rsidRPr="001863F1">
              <w:rPr>
                <w:rFonts w:ascii="Arial" w:hAnsi="Arial" w:cs="Arial"/>
                <w:b/>
                <w:bCs/>
                <w:sz w:val="18"/>
                <w:szCs w:val="18"/>
              </w:rPr>
              <w:t>%</w:t>
            </w:r>
          </w:p>
        </w:tc>
        <w:tc>
          <w:tcPr>
            <w:tcW w:w="1241" w:type="dxa"/>
            <w:shd w:val="clear" w:color="auto" w:fill="auto"/>
            <w:noWrap/>
            <w:vAlign w:val="center"/>
            <w:hideMark/>
          </w:tcPr>
          <w:p w14:paraId="3DB0CAA7" w14:textId="2A6CC953" w:rsidR="001863F1" w:rsidRPr="001863F1" w:rsidRDefault="001863F1" w:rsidP="001863F1">
            <w:pPr>
              <w:spacing w:after="0" w:line="240" w:lineRule="auto"/>
              <w:jc w:val="right"/>
              <w:rPr>
                <w:rFonts w:ascii="Arial" w:hAnsi="Arial" w:cs="Arial"/>
                <w:b/>
                <w:bCs/>
                <w:sz w:val="18"/>
                <w:szCs w:val="18"/>
              </w:rPr>
            </w:pPr>
            <w:r w:rsidRPr="001863F1">
              <w:rPr>
                <w:rFonts w:ascii="Arial" w:hAnsi="Arial" w:cs="Arial"/>
                <w:b/>
                <w:bCs/>
                <w:sz w:val="18"/>
                <w:szCs w:val="18"/>
              </w:rPr>
              <w:t>22,87</w:t>
            </w:r>
            <w:r>
              <w:rPr>
                <w:rFonts w:ascii="Arial" w:hAnsi="Arial" w:cs="Arial"/>
                <w:b/>
                <w:bCs/>
                <w:sz w:val="18"/>
                <w:szCs w:val="18"/>
              </w:rPr>
              <w:t xml:space="preserve"> </w:t>
            </w:r>
            <w:r w:rsidRPr="001863F1">
              <w:rPr>
                <w:rFonts w:ascii="Arial" w:hAnsi="Arial" w:cs="Arial"/>
                <w:b/>
                <w:bCs/>
                <w:sz w:val="18"/>
                <w:szCs w:val="18"/>
              </w:rPr>
              <w:t>%</w:t>
            </w:r>
          </w:p>
        </w:tc>
      </w:tr>
      <w:tr w:rsidR="001863F1" w:rsidRPr="001863F1" w14:paraId="58A4BF8E" w14:textId="77777777" w:rsidTr="001863F1">
        <w:trPr>
          <w:trHeight w:val="288"/>
        </w:trPr>
        <w:tc>
          <w:tcPr>
            <w:tcW w:w="4523" w:type="dxa"/>
            <w:gridSpan w:val="2"/>
            <w:shd w:val="clear" w:color="auto" w:fill="F2F2F2" w:themeFill="background1" w:themeFillShade="F2"/>
            <w:noWrap/>
            <w:vAlign w:val="center"/>
            <w:hideMark/>
          </w:tcPr>
          <w:p w14:paraId="3F3647E0" w14:textId="77777777" w:rsidR="001863F1" w:rsidRPr="001863F1" w:rsidRDefault="001863F1" w:rsidP="001863F1">
            <w:pPr>
              <w:spacing w:after="0" w:line="240" w:lineRule="auto"/>
              <w:rPr>
                <w:rFonts w:ascii="Arial" w:eastAsia="Times New Roman" w:hAnsi="Arial" w:cs="Arial"/>
                <w:b/>
                <w:bCs/>
                <w:color w:val="000000"/>
                <w:sz w:val="18"/>
                <w:szCs w:val="18"/>
                <w:lang w:eastAsia="sl-SI"/>
              </w:rPr>
            </w:pPr>
            <w:r w:rsidRPr="001863F1">
              <w:rPr>
                <w:rFonts w:ascii="Arial" w:eastAsia="Times New Roman" w:hAnsi="Arial" w:cs="Arial"/>
                <w:b/>
                <w:bCs/>
                <w:color w:val="000000"/>
                <w:sz w:val="18"/>
                <w:szCs w:val="18"/>
                <w:lang w:eastAsia="sl-SI"/>
              </w:rPr>
              <w:t>Skupaj</w:t>
            </w:r>
          </w:p>
        </w:tc>
        <w:tc>
          <w:tcPr>
            <w:tcW w:w="1132" w:type="dxa"/>
            <w:shd w:val="clear" w:color="auto" w:fill="F2F2F2" w:themeFill="background1" w:themeFillShade="F2"/>
            <w:noWrap/>
            <w:vAlign w:val="center"/>
            <w:hideMark/>
          </w:tcPr>
          <w:p w14:paraId="207044D4" w14:textId="77777777" w:rsidR="001863F1" w:rsidRPr="001863F1" w:rsidRDefault="001863F1" w:rsidP="001863F1">
            <w:pPr>
              <w:spacing w:after="0" w:line="240" w:lineRule="auto"/>
              <w:jc w:val="right"/>
              <w:rPr>
                <w:rFonts w:ascii="Arial" w:eastAsia="Times New Roman" w:hAnsi="Arial" w:cs="Arial"/>
                <w:b/>
                <w:bCs/>
                <w:color w:val="000000"/>
                <w:sz w:val="18"/>
                <w:szCs w:val="18"/>
                <w:lang w:eastAsia="sl-SI"/>
              </w:rPr>
            </w:pPr>
            <w:r w:rsidRPr="001863F1">
              <w:rPr>
                <w:rFonts w:ascii="Arial" w:eastAsia="Times New Roman" w:hAnsi="Arial" w:cs="Arial"/>
                <w:b/>
                <w:bCs/>
                <w:color w:val="000000"/>
                <w:sz w:val="18"/>
                <w:szCs w:val="18"/>
                <w:lang w:eastAsia="sl-SI"/>
              </w:rPr>
              <w:t>17.224</w:t>
            </w:r>
          </w:p>
        </w:tc>
        <w:tc>
          <w:tcPr>
            <w:tcW w:w="1290" w:type="dxa"/>
            <w:shd w:val="clear" w:color="auto" w:fill="F2F2F2" w:themeFill="background1" w:themeFillShade="F2"/>
            <w:noWrap/>
            <w:vAlign w:val="center"/>
            <w:hideMark/>
          </w:tcPr>
          <w:p w14:paraId="0E0D3470" w14:textId="77777777" w:rsidR="001863F1" w:rsidRPr="001863F1" w:rsidRDefault="001863F1" w:rsidP="001863F1">
            <w:pPr>
              <w:spacing w:after="0" w:line="240" w:lineRule="auto"/>
              <w:jc w:val="right"/>
              <w:rPr>
                <w:rFonts w:ascii="Arial" w:eastAsia="Times New Roman" w:hAnsi="Arial" w:cs="Arial"/>
                <w:b/>
                <w:bCs/>
                <w:color w:val="000000"/>
                <w:sz w:val="18"/>
                <w:szCs w:val="18"/>
                <w:lang w:eastAsia="sl-SI"/>
              </w:rPr>
            </w:pPr>
            <w:r w:rsidRPr="001863F1">
              <w:rPr>
                <w:rFonts w:ascii="Arial" w:eastAsia="Times New Roman" w:hAnsi="Arial" w:cs="Arial"/>
                <w:b/>
                <w:bCs/>
                <w:color w:val="000000"/>
                <w:sz w:val="18"/>
                <w:szCs w:val="18"/>
                <w:lang w:eastAsia="sl-SI"/>
              </w:rPr>
              <w:t>5.417.105.902</w:t>
            </w:r>
          </w:p>
        </w:tc>
        <w:tc>
          <w:tcPr>
            <w:tcW w:w="988" w:type="dxa"/>
            <w:shd w:val="clear" w:color="auto" w:fill="F2F2F2" w:themeFill="background1" w:themeFillShade="F2"/>
            <w:noWrap/>
            <w:vAlign w:val="center"/>
            <w:hideMark/>
          </w:tcPr>
          <w:p w14:paraId="2BA161BD" w14:textId="690AD6AD" w:rsidR="001863F1" w:rsidRPr="001863F1" w:rsidRDefault="001863F1" w:rsidP="001863F1">
            <w:pPr>
              <w:spacing w:after="0" w:line="240" w:lineRule="auto"/>
              <w:jc w:val="right"/>
              <w:rPr>
                <w:rFonts w:ascii="Arial" w:eastAsia="Times New Roman" w:hAnsi="Arial" w:cs="Arial"/>
                <w:b/>
                <w:bCs/>
                <w:color w:val="000000"/>
                <w:sz w:val="18"/>
                <w:szCs w:val="18"/>
                <w:lang w:eastAsia="sl-SI"/>
              </w:rPr>
            </w:pPr>
            <w:r w:rsidRPr="001863F1">
              <w:rPr>
                <w:rFonts w:ascii="Arial" w:eastAsia="Times New Roman" w:hAnsi="Arial" w:cs="Arial"/>
                <w:b/>
                <w:bCs/>
                <w:color w:val="000000"/>
                <w:sz w:val="18"/>
                <w:szCs w:val="18"/>
                <w:lang w:eastAsia="sl-SI"/>
              </w:rPr>
              <w:t>100,00 %</w:t>
            </w:r>
          </w:p>
        </w:tc>
        <w:tc>
          <w:tcPr>
            <w:tcW w:w="1241" w:type="dxa"/>
            <w:shd w:val="clear" w:color="auto" w:fill="F2F2F2" w:themeFill="background1" w:themeFillShade="F2"/>
            <w:noWrap/>
            <w:vAlign w:val="center"/>
            <w:hideMark/>
          </w:tcPr>
          <w:p w14:paraId="692F5A36" w14:textId="2A743824" w:rsidR="001863F1" w:rsidRPr="001863F1" w:rsidRDefault="001863F1" w:rsidP="001863F1">
            <w:pPr>
              <w:spacing w:after="0" w:line="240" w:lineRule="auto"/>
              <w:jc w:val="right"/>
              <w:rPr>
                <w:rFonts w:ascii="Arial" w:eastAsia="Times New Roman" w:hAnsi="Arial" w:cs="Arial"/>
                <w:b/>
                <w:bCs/>
                <w:color w:val="000000"/>
                <w:sz w:val="18"/>
                <w:szCs w:val="18"/>
                <w:lang w:eastAsia="sl-SI"/>
              </w:rPr>
            </w:pPr>
            <w:r w:rsidRPr="001863F1">
              <w:rPr>
                <w:rFonts w:ascii="Arial" w:eastAsia="Times New Roman" w:hAnsi="Arial" w:cs="Arial"/>
                <w:b/>
                <w:bCs/>
                <w:color w:val="000000"/>
                <w:sz w:val="18"/>
                <w:szCs w:val="18"/>
                <w:lang w:eastAsia="sl-SI"/>
              </w:rPr>
              <w:t>100,00 %</w:t>
            </w:r>
          </w:p>
        </w:tc>
      </w:tr>
    </w:tbl>
    <w:p w14:paraId="4B6C2B48" w14:textId="77777777" w:rsidR="0041703C" w:rsidRPr="001863F1" w:rsidRDefault="0041703C" w:rsidP="00854405">
      <w:pPr>
        <w:pStyle w:val="ZADEVA"/>
        <w:jc w:val="both"/>
        <w:rPr>
          <w:rFonts w:cs="Arial"/>
          <w:b w:val="0"/>
          <w:color w:val="FF0000"/>
          <w:szCs w:val="20"/>
          <w:lang w:val="sl-SI"/>
        </w:rPr>
      </w:pPr>
    </w:p>
    <w:p w14:paraId="6DA0F0E3" w14:textId="23AB4DC8" w:rsidR="009E6C75" w:rsidRPr="00484987" w:rsidRDefault="00B346C9" w:rsidP="00BA2F06">
      <w:pPr>
        <w:spacing w:after="240" w:line="240" w:lineRule="auto"/>
        <w:jc w:val="center"/>
        <w:rPr>
          <w:rFonts w:ascii="Arial" w:hAnsi="Arial" w:cs="Arial"/>
          <w:color w:val="000000" w:themeColor="text1"/>
          <w:sz w:val="18"/>
        </w:rPr>
      </w:pPr>
      <w:r w:rsidRPr="00484987">
        <w:rPr>
          <w:rFonts w:ascii="Arial" w:hAnsi="Arial" w:cs="Arial"/>
          <w:color w:val="000000" w:themeColor="text1"/>
          <w:sz w:val="18"/>
        </w:rPr>
        <w:t>Vir: Statistični podatki o javnih naročilih,</w:t>
      </w:r>
      <w:r w:rsidR="00EE75A3" w:rsidRPr="00484987">
        <w:rPr>
          <w:rFonts w:ascii="Arial" w:hAnsi="Arial" w:cs="Arial"/>
          <w:color w:val="000000" w:themeColor="text1"/>
          <w:sz w:val="18"/>
        </w:rPr>
        <w:t xml:space="preserve"> oddanih v letu 20</w:t>
      </w:r>
      <w:r w:rsidR="0041703C" w:rsidRPr="00484987">
        <w:rPr>
          <w:rFonts w:ascii="Arial" w:hAnsi="Arial" w:cs="Arial"/>
          <w:color w:val="000000" w:themeColor="text1"/>
          <w:sz w:val="18"/>
        </w:rPr>
        <w:t>2</w:t>
      </w:r>
      <w:r w:rsidR="001863F1" w:rsidRPr="00484987">
        <w:rPr>
          <w:rFonts w:ascii="Arial" w:hAnsi="Arial" w:cs="Arial"/>
          <w:color w:val="000000" w:themeColor="text1"/>
          <w:sz w:val="18"/>
        </w:rPr>
        <w:t>2</w:t>
      </w:r>
      <w:r w:rsidR="00210A86" w:rsidRPr="00484987">
        <w:rPr>
          <w:rFonts w:ascii="Arial" w:hAnsi="Arial" w:cs="Arial"/>
          <w:color w:val="000000" w:themeColor="text1"/>
          <w:sz w:val="18"/>
        </w:rPr>
        <w:t>.</w:t>
      </w:r>
    </w:p>
    <w:p w14:paraId="4AD49D33" w14:textId="218FB66C" w:rsidR="004C60C0" w:rsidRPr="003108C3" w:rsidRDefault="004C60C0" w:rsidP="004C60C0">
      <w:pPr>
        <w:tabs>
          <w:tab w:val="left" w:pos="567"/>
          <w:tab w:val="left" w:pos="993"/>
        </w:tabs>
        <w:spacing w:line="360" w:lineRule="auto"/>
        <w:jc w:val="both"/>
        <w:rPr>
          <w:rFonts w:ascii="Arial" w:hAnsi="Arial" w:cs="Arial"/>
          <w:bCs/>
          <w:color w:val="000000" w:themeColor="text1"/>
          <w:sz w:val="20"/>
          <w:szCs w:val="20"/>
        </w:rPr>
      </w:pPr>
      <w:r w:rsidRPr="003108C3">
        <w:rPr>
          <w:rFonts w:ascii="Arial" w:hAnsi="Arial" w:cs="Arial"/>
          <w:bCs/>
          <w:color w:val="000000" w:themeColor="text1"/>
          <w:sz w:val="20"/>
          <w:szCs w:val="20"/>
        </w:rPr>
        <w:t>Statistični podatki kažejo, da vsi naročniki glede na vrednost oddanega naročila niso izpolnili obveznosti objave obvestil o oddaji javnih naročil v Uradnem listu Evropske unije. Po vrednosti je največji delež takih naročil pri postopku naročil male vrednosti, kjer v Uradnem listu Evropske unije ni bilo objavljenih 239 naročil v skupni vrednosti 29.080.259 evrov, kar je 4,02-odstotni delež v številu vseh oddanih naročil po tem postopku in 3,37-odstotni delež v vrednosti. Po številu vseh oddanih naročil v letu 2022 obsegajo naročila, ki bi jih naročniki morali objaviti v Uradnem listu Evropske skupnosti, 1,71 </w:t>
      </w:r>
      <w:r w:rsidR="00AC0027">
        <w:rPr>
          <w:rFonts w:ascii="Arial" w:hAnsi="Arial" w:cs="Arial"/>
          <w:bCs/>
          <w:color w:val="000000" w:themeColor="text1"/>
          <w:sz w:val="20"/>
          <w:szCs w:val="20"/>
        </w:rPr>
        <w:t>odstotka</w:t>
      </w:r>
      <w:r w:rsidRPr="003108C3">
        <w:rPr>
          <w:rFonts w:ascii="Arial" w:hAnsi="Arial" w:cs="Arial"/>
          <w:bCs/>
          <w:color w:val="000000" w:themeColor="text1"/>
          <w:sz w:val="20"/>
          <w:szCs w:val="20"/>
        </w:rPr>
        <w:t xml:space="preserve"> vseh naročil, po vrednosti pa 0,89 </w:t>
      </w:r>
      <w:r w:rsidR="00AC0027">
        <w:rPr>
          <w:rFonts w:ascii="Arial" w:hAnsi="Arial" w:cs="Arial"/>
          <w:bCs/>
          <w:color w:val="000000" w:themeColor="text1"/>
          <w:sz w:val="20"/>
          <w:szCs w:val="20"/>
        </w:rPr>
        <w:t>odstotka</w:t>
      </w:r>
      <w:r w:rsidRPr="003108C3">
        <w:rPr>
          <w:rFonts w:ascii="Arial" w:hAnsi="Arial" w:cs="Arial"/>
          <w:bCs/>
          <w:color w:val="000000" w:themeColor="text1"/>
          <w:sz w:val="20"/>
          <w:szCs w:val="20"/>
        </w:rPr>
        <w:t xml:space="preserve">. </w:t>
      </w:r>
    </w:p>
    <w:p w14:paraId="0C0FCDC6" w14:textId="77777777" w:rsidR="00F11E69" w:rsidRDefault="00F11E69">
      <w:pPr>
        <w:rPr>
          <w:rFonts w:ascii="Arial" w:hAnsi="Arial" w:cs="Arial"/>
          <w:bCs/>
          <w:color w:val="000000" w:themeColor="text1"/>
          <w:sz w:val="20"/>
          <w:szCs w:val="20"/>
        </w:rPr>
      </w:pPr>
      <w:r>
        <w:rPr>
          <w:rFonts w:ascii="Arial" w:hAnsi="Arial" w:cs="Arial"/>
          <w:bCs/>
          <w:color w:val="000000" w:themeColor="text1"/>
          <w:sz w:val="20"/>
          <w:szCs w:val="20"/>
        </w:rPr>
        <w:br w:type="page"/>
      </w:r>
    </w:p>
    <w:p w14:paraId="599F9321" w14:textId="4D6DE5A5" w:rsidR="004C60C0" w:rsidRPr="003108C3" w:rsidRDefault="004C60C0" w:rsidP="004C60C0">
      <w:pPr>
        <w:tabs>
          <w:tab w:val="left" w:pos="567"/>
          <w:tab w:val="left" w:pos="993"/>
        </w:tabs>
        <w:spacing w:line="360" w:lineRule="auto"/>
        <w:jc w:val="both"/>
        <w:rPr>
          <w:rFonts w:ascii="Arial" w:hAnsi="Arial" w:cs="Arial"/>
          <w:bCs/>
          <w:color w:val="000000" w:themeColor="text1"/>
          <w:sz w:val="20"/>
          <w:szCs w:val="20"/>
        </w:rPr>
      </w:pPr>
      <w:r w:rsidRPr="003108C3">
        <w:rPr>
          <w:rFonts w:ascii="Arial" w:hAnsi="Arial" w:cs="Arial"/>
          <w:bCs/>
          <w:color w:val="000000" w:themeColor="text1"/>
          <w:sz w:val="20"/>
          <w:szCs w:val="20"/>
        </w:rPr>
        <w:lastRenderedPageBreak/>
        <w:t>Preglednica 9: Naročila v postopkih javnega naročanja, objavljena le na portalu javnih naročil, glede na obveznost objave v Uradnem listu Evropske unije in izvedeni postopek v letu 2022</w:t>
      </w:r>
    </w:p>
    <w:tbl>
      <w:tblPr>
        <w:tblW w:w="9209" w:type="dxa"/>
        <w:tblLayout w:type="fixed"/>
        <w:tblCellMar>
          <w:left w:w="70" w:type="dxa"/>
          <w:right w:w="70" w:type="dxa"/>
        </w:tblCellMar>
        <w:tblLook w:val="04A0" w:firstRow="1" w:lastRow="0" w:firstColumn="1" w:lastColumn="0" w:noHBand="0" w:noVBand="1"/>
      </w:tblPr>
      <w:tblGrid>
        <w:gridCol w:w="711"/>
        <w:gridCol w:w="1209"/>
        <w:gridCol w:w="3462"/>
        <w:gridCol w:w="709"/>
        <w:gridCol w:w="1061"/>
        <w:gridCol w:w="1065"/>
        <w:gridCol w:w="992"/>
      </w:tblGrid>
      <w:tr w:rsidR="004C60C0" w:rsidRPr="006216E6" w14:paraId="4EDDFC2B" w14:textId="77777777" w:rsidTr="009F7B6D">
        <w:trPr>
          <w:trHeight w:val="255"/>
        </w:trPr>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DC3E84" w14:textId="77777777" w:rsidR="004C60C0" w:rsidRPr="006216E6" w:rsidRDefault="004C60C0" w:rsidP="009F7B6D">
            <w:pPr>
              <w:spacing w:after="0" w:line="240" w:lineRule="auto"/>
              <w:jc w:val="center"/>
              <w:rPr>
                <w:rFonts w:ascii="Arial" w:eastAsia="Times New Roman" w:hAnsi="Arial" w:cs="Arial"/>
                <w:color w:val="000000"/>
                <w:sz w:val="18"/>
                <w:szCs w:val="18"/>
                <w:lang w:eastAsia="sl-SI"/>
              </w:rPr>
            </w:pPr>
            <w:r w:rsidRPr="003108C3">
              <w:rPr>
                <w:rFonts w:ascii="Arial" w:eastAsia="Times New Roman" w:hAnsi="Arial" w:cs="Arial"/>
                <w:color w:val="000000"/>
                <w:sz w:val="18"/>
                <w:szCs w:val="18"/>
                <w:lang w:eastAsia="sl-SI"/>
              </w:rPr>
              <w:t xml:space="preserve">Objava v UL </w:t>
            </w:r>
            <w:r w:rsidRPr="006216E6">
              <w:rPr>
                <w:rFonts w:ascii="Arial" w:eastAsia="Times New Roman" w:hAnsi="Arial" w:cs="Arial"/>
                <w:color w:val="000000"/>
                <w:sz w:val="18"/>
                <w:szCs w:val="18"/>
                <w:lang w:eastAsia="sl-SI"/>
              </w:rPr>
              <w:t>EU</w:t>
            </w:r>
          </w:p>
        </w:tc>
        <w:tc>
          <w:tcPr>
            <w:tcW w:w="120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1572C83" w14:textId="77777777" w:rsidR="004C60C0" w:rsidRPr="006216E6" w:rsidRDefault="004C60C0" w:rsidP="009F7B6D">
            <w:pPr>
              <w:spacing w:after="0" w:line="240" w:lineRule="auto"/>
              <w:jc w:val="center"/>
              <w:rPr>
                <w:rFonts w:ascii="Arial" w:eastAsia="Times New Roman" w:hAnsi="Arial" w:cs="Arial"/>
                <w:color w:val="000000"/>
                <w:sz w:val="18"/>
                <w:szCs w:val="18"/>
                <w:lang w:eastAsia="sl-SI"/>
              </w:rPr>
            </w:pPr>
            <w:r w:rsidRPr="006216E6">
              <w:rPr>
                <w:rFonts w:ascii="Arial" w:eastAsia="Times New Roman" w:hAnsi="Arial" w:cs="Arial"/>
                <w:color w:val="000000"/>
                <w:sz w:val="18"/>
                <w:szCs w:val="18"/>
                <w:lang w:eastAsia="sl-SI"/>
              </w:rPr>
              <w:t>Obveznost objave v UL EU</w:t>
            </w:r>
          </w:p>
        </w:tc>
        <w:tc>
          <w:tcPr>
            <w:tcW w:w="346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8538045" w14:textId="77777777" w:rsidR="004C60C0" w:rsidRPr="006216E6" w:rsidRDefault="004C60C0" w:rsidP="009F7B6D">
            <w:pPr>
              <w:spacing w:after="0" w:line="240" w:lineRule="auto"/>
              <w:jc w:val="center"/>
              <w:rPr>
                <w:rFonts w:ascii="Arial" w:eastAsia="Times New Roman" w:hAnsi="Arial" w:cs="Arial"/>
                <w:color w:val="000000"/>
                <w:sz w:val="18"/>
                <w:szCs w:val="18"/>
                <w:lang w:eastAsia="sl-SI"/>
              </w:rPr>
            </w:pPr>
            <w:r w:rsidRPr="006216E6">
              <w:rPr>
                <w:rFonts w:ascii="Arial" w:eastAsia="Times New Roman" w:hAnsi="Arial" w:cs="Arial"/>
                <w:color w:val="000000"/>
                <w:sz w:val="18"/>
                <w:szCs w:val="18"/>
                <w:lang w:eastAsia="sl-SI"/>
              </w:rPr>
              <w:t>Vrsta postopka</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66CB972" w14:textId="77777777" w:rsidR="004C60C0" w:rsidRPr="006216E6" w:rsidRDefault="004C60C0" w:rsidP="009F7B6D">
            <w:pPr>
              <w:spacing w:after="0" w:line="240" w:lineRule="auto"/>
              <w:jc w:val="center"/>
              <w:rPr>
                <w:rFonts w:ascii="Arial" w:eastAsia="Times New Roman" w:hAnsi="Arial" w:cs="Arial"/>
                <w:color w:val="000000"/>
                <w:sz w:val="18"/>
                <w:szCs w:val="18"/>
                <w:lang w:eastAsia="sl-SI"/>
              </w:rPr>
            </w:pPr>
            <w:r w:rsidRPr="006216E6">
              <w:rPr>
                <w:rFonts w:ascii="Arial" w:eastAsia="Times New Roman" w:hAnsi="Arial" w:cs="Arial"/>
                <w:color w:val="000000"/>
                <w:sz w:val="18"/>
                <w:szCs w:val="18"/>
                <w:lang w:eastAsia="sl-SI"/>
              </w:rPr>
              <w:t>Št. naročil</w:t>
            </w:r>
          </w:p>
        </w:tc>
        <w:tc>
          <w:tcPr>
            <w:tcW w:w="106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4133736" w14:textId="77777777" w:rsidR="004C60C0" w:rsidRPr="006216E6" w:rsidRDefault="004C60C0" w:rsidP="009F7B6D">
            <w:pPr>
              <w:spacing w:after="0" w:line="240" w:lineRule="auto"/>
              <w:jc w:val="center"/>
              <w:rPr>
                <w:rFonts w:ascii="Arial" w:eastAsia="Times New Roman" w:hAnsi="Arial" w:cs="Arial"/>
                <w:color w:val="000000"/>
                <w:sz w:val="18"/>
                <w:szCs w:val="18"/>
                <w:lang w:eastAsia="sl-SI"/>
              </w:rPr>
            </w:pPr>
            <w:r w:rsidRPr="006216E6">
              <w:rPr>
                <w:rFonts w:ascii="Arial" w:eastAsia="Times New Roman" w:hAnsi="Arial" w:cs="Arial"/>
                <w:color w:val="000000"/>
                <w:sz w:val="18"/>
                <w:szCs w:val="18"/>
                <w:lang w:eastAsia="sl-SI"/>
              </w:rPr>
              <w:t>Pogodbena vrednost</w:t>
            </w:r>
          </w:p>
        </w:tc>
        <w:tc>
          <w:tcPr>
            <w:tcW w:w="106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039E291" w14:textId="77777777" w:rsidR="004C60C0" w:rsidRPr="006216E6" w:rsidRDefault="004C60C0" w:rsidP="009F7B6D">
            <w:pPr>
              <w:spacing w:after="0" w:line="240" w:lineRule="auto"/>
              <w:jc w:val="center"/>
              <w:rPr>
                <w:rFonts w:ascii="Arial" w:eastAsia="Times New Roman" w:hAnsi="Arial" w:cs="Arial"/>
                <w:color w:val="000000"/>
                <w:sz w:val="18"/>
                <w:szCs w:val="18"/>
                <w:lang w:eastAsia="sl-SI"/>
              </w:rPr>
            </w:pPr>
            <w:r w:rsidRPr="006216E6">
              <w:rPr>
                <w:rFonts w:ascii="Arial" w:eastAsia="Times New Roman" w:hAnsi="Arial" w:cs="Arial"/>
                <w:color w:val="000000"/>
                <w:sz w:val="18"/>
                <w:szCs w:val="18"/>
                <w:lang w:eastAsia="sl-SI"/>
              </w:rPr>
              <w:t>Delež v št. vseh istovrstnih naročil</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7B5A73F" w14:textId="77777777" w:rsidR="004C60C0" w:rsidRPr="006216E6" w:rsidRDefault="004C60C0" w:rsidP="009F7B6D">
            <w:pPr>
              <w:spacing w:after="0" w:line="240" w:lineRule="auto"/>
              <w:jc w:val="center"/>
              <w:rPr>
                <w:rFonts w:ascii="Arial" w:eastAsia="Times New Roman" w:hAnsi="Arial" w:cs="Arial"/>
                <w:color w:val="000000"/>
                <w:sz w:val="18"/>
                <w:szCs w:val="18"/>
                <w:lang w:eastAsia="sl-SI"/>
              </w:rPr>
            </w:pPr>
            <w:r w:rsidRPr="006216E6">
              <w:rPr>
                <w:rFonts w:ascii="Arial" w:eastAsia="Times New Roman" w:hAnsi="Arial" w:cs="Arial"/>
                <w:color w:val="000000"/>
                <w:sz w:val="18"/>
                <w:szCs w:val="18"/>
                <w:lang w:eastAsia="sl-SI"/>
              </w:rPr>
              <w:t>Delež v vrednosti vseh istovrstnih naročil</w:t>
            </w:r>
          </w:p>
        </w:tc>
      </w:tr>
      <w:tr w:rsidR="004C60C0" w:rsidRPr="006216E6" w14:paraId="71D950F5" w14:textId="77777777" w:rsidTr="009F7B6D">
        <w:trPr>
          <w:trHeight w:val="255"/>
        </w:trPr>
        <w:tc>
          <w:tcPr>
            <w:tcW w:w="711" w:type="dxa"/>
            <w:vMerge w:val="restart"/>
            <w:tcBorders>
              <w:top w:val="nil"/>
              <w:left w:val="single" w:sz="4" w:space="0" w:color="auto"/>
              <w:bottom w:val="single" w:sz="4" w:space="0" w:color="auto"/>
              <w:right w:val="single" w:sz="4" w:space="0" w:color="auto"/>
            </w:tcBorders>
            <w:shd w:val="clear" w:color="auto" w:fill="auto"/>
            <w:vAlign w:val="center"/>
            <w:hideMark/>
          </w:tcPr>
          <w:p w14:paraId="351FE71F" w14:textId="77777777" w:rsidR="004C60C0" w:rsidRPr="006216E6" w:rsidRDefault="004C60C0" w:rsidP="009F7B6D">
            <w:pPr>
              <w:spacing w:after="0" w:line="240" w:lineRule="auto"/>
              <w:jc w:val="center"/>
              <w:rPr>
                <w:rFonts w:ascii="Arial" w:eastAsia="Times New Roman" w:hAnsi="Arial" w:cs="Arial"/>
                <w:color w:val="000000"/>
                <w:sz w:val="18"/>
                <w:szCs w:val="18"/>
                <w:lang w:eastAsia="sl-SI"/>
              </w:rPr>
            </w:pPr>
            <w:r w:rsidRPr="006216E6">
              <w:rPr>
                <w:rFonts w:ascii="Arial" w:eastAsia="Times New Roman" w:hAnsi="Arial" w:cs="Arial"/>
                <w:color w:val="000000"/>
                <w:sz w:val="18"/>
                <w:szCs w:val="18"/>
                <w:lang w:eastAsia="sl-SI"/>
              </w:rPr>
              <w:t>NE</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hideMark/>
          </w:tcPr>
          <w:p w14:paraId="23F26083" w14:textId="77777777" w:rsidR="004C60C0" w:rsidRPr="006216E6" w:rsidRDefault="004C60C0" w:rsidP="009F7B6D">
            <w:pPr>
              <w:spacing w:after="0" w:line="240" w:lineRule="auto"/>
              <w:jc w:val="center"/>
              <w:rPr>
                <w:rFonts w:ascii="Arial" w:eastAsia="Times New Roman" w:hAnsi="Arial" w:cs="Arial"/>
                <w:color w:val="000000"/>
                <w:sz w:val="18"/>
                <w:szCs w:val="18"/>
                <w:lang w:eastAsia="sl-SI"/>
              </w:rPr>
            </w:pPr>
            <w:r w:rsidRPr="006216E6">
              <w:rPr>
                <w:rFonts w:ascii="Arial" w:eastAsia="Times New Roman" w:hAnsi="Arial" w:cs="Arial"/>
                <w:color w:val="000000"/>
                <w:sz w:val="18"/>
                <w:szCs w:val="18"/>
                <w:lang w:eastAsia="sl-SI"/>
              </w:rPr>
              <w:t>DA</w:t>
            </w:r>
          </w:p>
        </w:tc>
        <w:tc>
          <w:tcPr>
            <w:tcW w:w="3462" w:type="dxa"/>
            <w:tcBorders>
              <w:top w:val="nil"/>
              <w:left w:val="nil"/>
              <w:bottom w:val="single" w:sz="4" w:space="0" w:color="auto"/>
              <w:right w:val="single" w:sz="4" w:space="0" w:color="auto"/>
            </w:tcBorders>
            <w:shd w:val="clear" w:color="auto" w:fill="auto"/>
            <w:vAlign w:val="center"/>
            <w:hideMark/>
          </w:tcPr>
          <w:p w14:paraId="246D49AC" w14:textId="77777777" w:rsidR="004C60C0" w:rsidRPr="006216E6" w:rsidRDefault="004C60C0" w:rsidP="009F7B6D">
            <w:pPr>
              <w:spacing w:after="0" w:line="240" w:lineRule="auto"/>
              <w:rPr>
                <w:rFonts w:ascii="Arial" w:hAnsi="Arial" w:cs="Arial"/>
                <w:sz w:val="18"/>
                <w:szCs w:val="18"/>
              </w:rPr>
            </w:pPr>
            <w:r w:rsidRPr="006216E6">
              <w:rPr>
                <w:rFonts w:ascii="Arial" w:hAnsi="Arial" w:cs="Arial"/>
                <w:sz w:val="18"/>
                <w:szCs w:val="18"/>
              </w:rPr>
              <w:t>Konkurenčni postopek s pogajanji</w:t>
            </w:r>
          </w:p>
        </w:tc>
        <w:tc>
          <w:tcPr>
            <w:tcW w:w="709" w:type="dxa"/>
            <w:tcBorders>
              <w:top w:val="nil"/>
              <w:left w:val="nil"/>
              <w:bottom w:val="single" w:sz="4" w:space="0" w:color="auto"/>
              <w:right w:val="single" w:sz="4" w:space="0" w:color="auto"/>
            </w:tcBorders>
            <w:shd w:val="clear" w:color="auto" w:fill="auto"/>
            <w:vAlign w:val="center"/>
            <w:hideMark/>
          </w:tcPr>
          <w:p w14:paraId="0FB01B49" w14:textId="77777777" w:rsidR="004C60C0" w:rsidRPr="006216E6" w:rsidRDefault="004C60C0" w:rsidP="009F7B6D">
            <w:pPr>
              <w:spacing w:after="0" w:line="240" w:lineRule="auto"/>
              <w:jc w:val="right"/>
              <w:rPr>
                <w:rFonts w:ascii="Arial" w:hAnsi="Arial" w:cs="Arial"/>
                <w:bCs/>
                <w:color w:val="000000" w:themeColor="text1"/>
                <w:sz w:val="18"/>
                <w:szCs w:val="18"/>
              </w:rPr>
            </w:pPr>
            <w:r w:rsidRPr="006216E6">
              <w:rPr>
                <w:rFonts w:ascii="Arial" w:hAnsi="Arial" w:cs="Arial"/>
                <w:bCs/>
                <w:color w:val="000000" w:themeColor="text1"/>
                <w:sz w:val="18"/>
                <w:szCs w:val="18"/>
              </w:rPr>
              <w:t>3</w:t>
            </w:r>
          </w:p>
        </w:tc>
        <w:tc>
          <w:tcPr>
            <w:tcW w:w="1061" w:type="dxa"/>
            <w:tcBorders>
              <w:top w:val="nil"/>
              <w:left w:val="nil"/>
              <w:bottom w:val="single" w:sz="4" w:space="0" w:color="auto"/>
              <w:right w:val="single" w:sz="4" w:space="0" w:color="auto"/>
            </w:tcBorders>
            <w:shd w:val="clear" w:color="auto" w:fill="auto"/>
            <w:vAlign w:val="center"/>
            <w:hideMark/>
          </w:tcPr>
          <w:p w14:paraId="72138427" w14:textId="77777777" w:rsidR="004C60C0" w:rsidRPr="006216E6" w:rsidRDefault="004C60C0" w:rsidP="009F7B6D">
            <w:pPr>
              <w:spacing w:after="0" w:line="240" w:lineRule="auto"/>
              <w:jc w:val="right"/>
              <w:rPr>
                <w:rFonts w:ascii="Arial" w:hAnsi="Arial" w:cs="Arial"/>
                <w:bCs/>
                <w:color w:val="000000" w:themeColor="text1"/>
                <w:sz w:val="18"/>
                <w:szCs w:val="18"/>
              </w:rPr>
            </w:pPr>
            <w:r w:rsidRPr="006216E6">
              <w:rPr>
                <w:rFonts w:ascii="Arial" w:hAnsi="Arial" w:cs="Arial"/>
                <w:bCs/>
                <w:color w:val="000000" w:themeColor="text1"/>
                <w:sz w:val="18"/>
                <w:szCs w:val="18"/>
              </w:rPr>
              <w:t>8.535.084</w:t>
            </w:r>
          </w:p>
        </w:tc>
        <w:tc>
          <w:tcPr>
            <w:tcW w:w="1065" w:type="dxa"/>
            <w:tcBorders>
              <w:top w:val="nil"/>
              <w:left w:val="nil"/>
              <w:bottom w:val="single" w:sz="4" w:space="0" w:color="auto"/>
              <w:right w:val="single" w:sz="4" w:space="0" w:color="auto"/>
            </w:tcBorders>
            <w:shd w:val="clear" w:color="auto" w:fill="auto"/>
            <w:noWrap/>
            <w:vAlign w:val="center"/>
            <w:hideMark/>
          </w:tcPr>
          <w:p w14:paraId="71C1B4B1" w14:textId="77777777" w:rsidR="004C60C0" w:rsidRPr="006216E6" w:rsidRDefault="004C60C0" w:rsidP="009F7B6D">
            <w:pPr>
              <w:spacing w:after="0" w:line="240" w:lineRule="auto"/>
              <w:jc w:val="right"/>
              <w:rPr>
                <w:rFonts w:ascii="Arial" w:hAnsi="Arial" w:cs="Arial"/>
                <w:bCs/>
                <w:color w:val="000000" w:themeColor="text1"/>
                <w:sz w:val="18"/>
                <w:szCs w:val="18"/>
              </w:rPr>
            </w:pPr>
            <w:r w:rsidRPr="006216E6">
              <w:rPr>
                <w:rFonts w:ascii="Arial" w:hAnsi="Arial" w:cs="Arial"/>
                <w:bCs/>
                <w:color w:val="000000" w:themeColor="text1"/>
                <w:sz w:val="18"/>
                <w:szCs w:val="18"/>
              </w:rPr>
              <w:t>1,26 %</w:t>
            </w:r>
          </w:p>
        </w:tc>
        <w:tc>
          <w:tcPr>
            <w:tcW w:w="992" w:type="dxa"/>
            <w:tcBorders>
              <w:top w:val="nil"/>
              <w:left w:val="nil"/>
              <w:bottom w:val="single" w:sz="4" w:space="0" w:color="auto"/>
              <w:right w:val="single" w:sz="4" w:space="0" w:color="auto"/>
            </w:tcBorders>
            <w:shd w:val="clear" w:color="auto" w:fill="auto"/>
            <w:noWrap/>
            <w:vAlign w:val="center"/>
            <w:hideMark/>
          </w:tcPr>
          <w:p w14:paraId="2F3DD320" w14:textId="77777777" w:rsidR="004C60C0" w:rsidRPr="006216E6" w:rsidRDefault="004C60C0" w:rsidP="009F7B6D">
            <w:pPr>
              <w:spacing w:after="0" w:line="240" w:lineRule="auto"/>
              <w:jc w:val="right"/>
              <w:rPr>
                <w:rFonts w:ascii="Arial" w:hAnsi="Arial" w:cs="Arial"/>
                <w:bCs/>
                <w:color w:val="000000" w:themeColor="text1"/>
                <w:sz w:val="18"/>
                <w:szCs w:val="18"/>
              </w:rPr>
            </w:pPr>
            <w:r w:rsidRPr="006216E6">
              <w:rPr>
                <w:rFonts w:ascii="Arial" w:hAnsi="Arial" w:cs="Arial"/>
                <w:bCs/>
                <w:color w:val="000000" w:themeColor="text1"/>
                <w:sz w:val="18"/>
                <w:szCs w:val="18"/>
              </w:rPr>
              <w:t>2,09 %</w:t>
            </w:r>
          </w:p>
        </w:tc>
      </w:tr>
      <w:tr w:rsidR="004C60C0" w:rsidRPr="006216E6" w14:paraId="0A869F72" w14:textId="77777777" w:rsidTr="009F7B6D">
        <w:trPr>
          <w:trHeight w:val="255"/>
        </w:trPr>
        <w:tc>
          <w:tcPr>
            <w:tcW w:w="711" w:type="dxa"/>
            <w:vMerge/>
            <w:tcBorders>
              <w:top w:val="nil"/>
              <w:left w:val="single" w:sz="4" w:space="0" w:color="auto"/>
              <w:bottom w:val="single" w:sz="4" w:space="0" w:color="auto"/>
              <w:right w:val="single" w:sz="4" w:space="0" w:color="auto"/>
            </w:tcBorders>
            <w:vAlign w:val="center"/>
            <w:hideMark/>
          </w:tcPr>
          <w:p w14:paraId="3903BB25" w14:textId="77777777" w:rsidR="004C60C0" w:rsidRPr="006216E6" w:rsidRDefault="004C60C0" w:rsidP="009F7B6D">
            <w:pPr>
              <w:spacing w:after="0" w:line="240" w:lineRule="auto"/>
              <w:rPr>
                <w:rFonts w:ascii="Arial" w:eastAsia="Times New Roman" w:hAnsi="Arial" w:cs="Arial"/>
                <w:color w:val="000000"/>
                <w:sz w:val="18"/>
                <w:szCs w:val="18"/>
                <w:lang w:eastAsia="sl-SI"/>
              </w:rPr>
            </w:pPr>
          </w:p>
        </w:tc>
        <w:tc>
          <w:tcPr>
            <w:tcW w:w="1209" w:type="dxa"/>
            <w:vMerge/>
            <w:tcBorders>
              <w:top w:val="nil"/>
              <w:left w:val="single" w:sz="4" w:space="0" w:color="auto"/>
              <w:bottom w:val="single" w:sz="4" w:space="0" w:color="auto"/>
              <w:right w:val="single" w:sz="4" w:space="0" w:color="auto"/>
            </w:tcBorders>
            <w:vAlign w:val="center"/>
            <w:hideMark/>
          </w:tcPr>
          <w:p w14:paraId="5F2F42E5" w14:textId="77777777" w:rsidR="004C60C0" w:rsidRPr="006216E6" w:rsidRDefault="004C60C0" w:rsidP="009F7B6D">
            <w:pPr>
              <w:spacing w:after="0" w:line="240" w:lineRule="auto"/>
              <w:rPr>
                <w:rFonts w:ascii="Arial" w:eastAsia="Times New Roman" w:hAnsi="Arial" w:cs="Arial"/>
                <w:color w:val="000000"/>
                <w:sz w:val="18"/>
                <w:szCs w:val="18"/>
                <w:lang w:eastAsia="sl-SI"/>
              </w:rPr>
            </w:pPr>
          </w:p>
        </w:tc>
        <w:tc>
          <w:tcPr>
            <w:tcW w:w="3462" w:type="dxa"/>
            <w:tcBorders>
              <w:top w:val="nil"/>
              <w:left w:val="nil"/>
              <w:bottom w:val="single" w:sz="4" w:space="0" w:color="auto"/>
              <w:right w:val="single" w:sz="4" w:space="0" w:color="auto"/>
            </w:tcBorders>
            <w:shd w:val="clear" w:color="auto" w:fill="auto"/>
            <w:vAlign w:val="center"/>
            <w:hideMark/>
          </w:tcPr>
          <w:p w14:paraId="33263DD5" w14:textId="77777777" w:rsidR="004C60C0" w:rsidRPr="006216E6" w:rsidRDefault="004C60C0" w:rsidP="009F7B6D">
            <w:pPr>
              <w:spacing w:after="0" w:line="240" w:lineRule="auto"/>
              <w:rPr>
                <w:rFonts w:ascii="Arial" w:hAnsi="Arial" w:cs="Arial"/>
                <w:sz w:val="18"/>
                <w:szCs w:val="18"/>
              </w:rPr>
            </w:pPr>
            <w:r w:rsidRPr="006216E6">
              <w:rPr>
                <w:rFonts w:ascii="Arial" w:hAnsi="Arial" w:cs="Arial"/>
                <w:sz w:val="18"/>
                <w:szCs w:val="18"/>
              </w:rPr>
              <w:t>Odprti postopek</w:t>
            </w:r>
          </w:p>
        </w:tc>
        <w:tc>
          <w:tcPr>
            <w:tcW w:w="709" w:type="dxa"/>
            <w:tcBorders>
              <w:top w:val="nil"/>
              <w:left w:val="nil"/>
              <w:bottom w:val="single" w:sz="4" w:space="0" w:color="auto"/>
              <w:right w:val="single" w:sz="4" w:space="0" w:color="auto"/>
            </w:tcBorders>
            <w:shd w:val="clear" w:color="auto" w:fill="auto"/>
            <w:vAlign w:val="center"/>
            <w:hideMark/>
          </w:tcPr>
          <w:p w14:paraId="5D1EEAC5" w14:textId="77777777" w:rsidR="004C60C0" w:rsidRPr="006216E6" w:rsidRDefault="004C60C0" w:rsidP="009F7B6D">
            <w:pPr>
              <w:spacing w:after="0" w:line="240" w:lineRule="auto"/>
              <w:jc w:val="right"/>
              <w:rPr>
                <w:rFonts w:ascii="Arial" w:hAnsi="Arial" w:cs="Arial"/>
                <w:bCs/>
                <w:color w:val="000000" w:themeColor="text1"/>
                <w:sz w:val="18"/>
                <w:szCs w:val="18"/>
              </w:rPr>
            </w:pPr>
            <w:r w:rsidRPr="006216E6">
              <w:rPr>
                <w:rFonts w:ascii="Arial" w:hAnsi="Arial" w:cs="Arial"/>
                <w:bCs/>
                <w:color w:val="000000" w:themeColor="text1"/>
                <w:sz w:val="18"/>
                <w:szCs w:val="18"/>
              </w:rPr>
              <w:t>23</w:t>
            </w:r>
          </w:p>
        </w:tc>
        <w:tc>
          <w:tcPr>
            <w:tcW w:w="1061" w:type="dxa"/>
            <w:tcBorders>
              <w:top w:val="nil"/>
              <w:left w:val="nil"/>
              <w:bottom w:val="single" w:sz="4" w:space="0" w:color="auto"/>
              <w:right w:val="single" w:sz="4" w:space="0" w:color="auto"/>
            </w:tcBorders>
            <w:shd w:val="clear" w:color="auto" w:fill="auto"/>
            <w:vAlign w:val="center"/>
            <w:hideMark/>
          </w:tcPr>
          <w:p w14:paraId="062171F8" w14:textId="77777777" w:rsidR="004C60C0" w:rsidRPr="006216E6" w:rsidRDefault="004C60C0" w:rsidP="009F7B6D">
            <w:pPr>
              <w:spacing w:after="0" w:line="240" w:lineRule="auto"/>
              <w:jc w:val="right"/>
              <w:rPr>
                <w:rFonts w:ascii="Arial" w:hAnsi="Arial" w:cs="Arial"/>
                <w:bCs/>
                <w:color w:val="000000" w:themeColor="text1"/>
                <w:sz w:val="18"/>
                <w:szCs w:val="18"/>
              </w:rPr>
            </w:pPr>
            <w:r w:rsidRPr="006216E6">
              <w:rPr>
                <w:rFonts w:ascii="Arial" w:hAnsi="Arial" w:cs="Arial"/>
                <w:bCs/>
                <w:color w:val="000000" w:themeColor="text1"/>
                <w:sz w:val="18"/>
                <w:szCs w:val="18"/>
              </w:rPr>
              <w:t>1.837.781</w:t>
            </w:r>
          </w:p>
        </w:tc>
        <w:tc>
          <w:tcPr>
            <w:tcW w:w="1065" w:type="dxa"/>
            <w:tcBorders>
              <w:top w:val="nil"/>
              <w:left w:val="nil"/>
              <w:bottom w:val="single" w:sz="4" w:space="0" w:color="auto"/>
              <w:right w:val="single" w:sz="4" w:space="0" w:color="auto"/>
            </w:tcBorders>
            <w:shd w:val="clear" w:color="auto" w:fill="auto"/>
            <w:noWrap/>
            <w:vAlign w:val="center"/>
            <w:hideMark/>
          </w:tcPr>
          <w:p w14:paraId="4C1DE7DF" w14:textId="77777777" w:rsidR="004C60C0" w:rsidRPr="006216E6" w:rsidRDefault="004C60C0" w:rsidP="009F7B6D">
            <w:pPr>
              <w:spacing w:after="0" w:line="240" w:lineRule="auto"/>
              <w:jc w:val="right"/>
              <w:rPr>
                <w:rFonts w:ascii="Arial" w:hAnsi="Arial" w:cs="Arial"/>
                <w:bCs/>
                <w:color w:val="000000" w:themeColor="text1"/>
                <w:sz w:val="18"/>
                <w:szCs w:val="18"/>
              </w:rPr>
            </w:pPr>
            <w:r w:rsidRPr="006216E6">
              <w:rPr>
                <w:rFonts w:ascii="Arial" w:hAnsi="Arial" w:cs="Arial"/>
                <w:bCs/>
                <w:color w:val="000000" w:themeColor="text1"/>
                <w:sz w:val="18"/>
                <w:szCs w:val="18"/>
              </w:rPr>
              <w:t>0,23 %</w:t>
            </w:r>
          </w:p>
        </w:tc>
        <w:tc>
          <w:tcPr>
            <w:tcW w:w="992" w:type="dxa"/>
            <w:tcBorders>
              <w:top w:val="nil"/>
              <w:left w:val="nil"/>
              <w:bottom w:val="single" w:sz="4" w:space="0" w:color="auto"/>
              <w:right w:val="single" w:sz="4" w:space="0" w:color="auto"/>
            </w:tcBorders>
            <w:shd w:val="clear" w:color="auto" w:fill="auto"/>
            <w:noWrap/>
            <w:vAlign w:val="center"/>
            <w:hideMark/>
          </w:tcPr>
          <w:p w14:paraId="3255395E" w14:textId="77777777" w:rsidR="004C60C0" w:rsidRPr="006216E6" w:rsidRDefault="004C60C0" w:rsidP="009F7B6D">
            <w:pPr>
              <w:spacing w:after="0" w:line="240" w:lineRule="auto"/>
              <w:jc w:val="right"/>
              <w:rPr>
                <w:rFonts w:ascii="Arial" w:hAnsi="Arial" w:cs="Arial"/>
                <w:bCs/>
                <w:color w:val="000000" w:themeColor="text1"/>
                <w:sz w:val="18"/>
                <w:szCs w:val="18"/>
              </w:rPr>
            </w:pPr>
            <w:r w:rsidRPr="006216E6">
              <w:rPr>
                <w:rFonts w:ascii="Arial" w:hAnsi="Arial" w:cs="Arial"/>
                <w:bCs/>
                <w:color w:val="000000" w:themeColor="text1"/>
                <w:sz w:val="18"/>
                <w:szCs w:val="18"/>
              </w:rPr>
              <w:t>0,05 %</w:t>
            </w:r>
          </w:p>
        </w:tc>
      </w:tr>
      <w:tr w:rsidR="004C60C0" w:rsidRPr="006216E6" w14:paraId="1C0B725F" w14:textId="77777777" w:rsidTr="009F7B6D">
        <w:trPr>
          <w:trHeight w:val="255"/>
        </w:trPr>
        <w:tc>
          <w:tcPr>
            <w:tcW w:w="711" w:type="dxa"/>
            <w:vMerge/>
            <w:tcBorders>
              <w:top w:val="nil"/>
              <w:left w:val="single" w:sz="4" w:space="0" w:color="auto"/>
              <w:bottom w:val="single" w:sz="4" w:space="0" w:color="auto"/>
              <w:right w:val="single" w:sz="4" w:space="0" w:color="auto"/>
            </w:tcBorders>
            <w:vAlign w:val="center"/>
            <w:hideMark/>
          </w:tcPr>
          <w:p w14:paraId="699F9926" w14:textId="77777777" w:rsidR="004C60C0" w:rsidRPr="006216E6" w:rsidRDefault="004C60C0" w:rsidP="009F7B6D">
            <w:pPr>
              <w:spacing w:after="0" w:line="240" w:lineRule="auto"/>
              <w:rPr>
                <w:rFonts w:ascii="Arial" w:eastAsia="Times New Roman" w:hAnsi="Arial" w:cs="Arial"/>
                <w:color w:val="000000"/>
                <w:sz w:val="18"/>
                <w:szCs w:val="18"/>
                <w:lang w:eastAsia="sl-SI"/>
              </w:rPr>
            </w:pPr>
          </w:p>
        </w:tc>
        <w:tc>
          <w:tcPr>
            <w:tcW w:w="1209" w:type="dxa"/>
            <w:vMerge/>
            <w:tcBorders>
              <w:top w:val="nil"/>
              <w:left w:val="single" w:sz="4" w:space="0" w:color="auto"/>
              <w:bottom w:val="single" w:sz="4" w:space="0" w:color="auto"/>
              <w:right w:val="single" w:sz="4" w:space="0" w:color="auto"/>
            </w:tcBorders>
            <w:vAlign w:val="center"/>
            <w:hideMark/>
          </w:tcPr>
          <w:p w14:paraId="2AC3449C" w14:textId="77777777" w:rsidR="004C60C0" w:rsidRPr="006216E6" w:rsidRDefault="004C60C0" w:rsidP="009F7B6D">
            <w:pPr>
              <w:spacing w:after="0" w:line="240" w:lineRule="auto"/>
              <w:rPr>
                <w:rFonts w:ascii="Arial" w:eastAsia="Times New Roman" w:hAnsi="Arial" w:cs="Arial"/>
                <w:color w:val="000000"/>
                <w:sz w:val="18"/>
                <w:szCs w:val="18"/>
                <w:lang w:eastAsia="sl-SI"/>
              </w:rPr>
            </w:pPr>
          </w:p>
        </w:tc>
        <w:tc>
          <w:tcPr>
            <w:tcW w:w="3462" w:type="dxa"/>
            <w:tcBorders>
              <w:top w:val="nil"/>
              <w:left w:val="nil"/>
              <w:bottom w:val="single" w:sz="4" w:space="0" w:color="auto"/>
              <w:right w:val="single" w:sz="4" w:space="0" w:color="auto"/>
            </w:tcBorders>
            <w:shd w:val="clear" w:color="auto" w:fill="auto"/>
            <w:vAlign w:val="center"/>
            <w:hideMark/>
          </w:tcPr>
          <w:p w14:paraId="202BED8A" w14:textId="77777777" w:rsidR="004C60C0" w:rsidRPr="006216E6" w:rsidRDefault="004C60C0" w:rsidP="009F7B6D">
            <w:pPr>
              <w:spacing w:after="0" w:line="240" w:lineRule="auto"/>
              <w:rPr>
                <w:rFonts w:ascii="Arial" w:hAnsi="Arial" w:cs="Arial"/>
                <w:sz w:val="18"/>
                <w:szCs w:val="18"/>
              </w:rPr>
            </w:pPr>
            <w:r w:rsidRPr="006216E6">
              <w:rPr>
                <w:rFonts w:ascii="Arial" w:hAnsi="Arial" w:cs="Arial"/>
                <w:sz w:val="18"/>
                <w:szCs w:val="18"/>
              </w:rPr>
              <w:t>Postopek naročila male vrednosti</w:t>
            </w:r>
          </w:p>
        </w:tc>
        <w:tc>
          <w:tcPr>
            <w:tcW w:w="709" w:type="dxa"/>
            <w:tcBorders>
              <w:top w:val="nil"/>
              <w:left w:val="nil"/>
              <w:bottom w:val="single" w:sz="4" w:space="0" w:color="auto"/>
              <w:right w:val="single" w:sz="4" w:space="0" w:color="auto"/>
            </w:tcBorders>
            <w:shd w:val="clear" w:color="auto" w:fill="auto"/>
            <w:vAlign w:val="center"/>
            <w:hideMark/>
          </w:tcPr>
          <w:p w14:paraId="50448AF1" w14:textId="77777777" w:rsidR="004C60C0" w:rsidRPr="006216E6" w:rsidRDefault="004C60C0" w:rsidP="009F7B6D">
            <w:pPr>
              <w:spacing w:after="0" w:line="240" w:lineRule="auto"/>
              <w:jc w:val="right"/>
              <w:rPr>
                <w:rFonts w:ascii="Arial" w:hAnsi="Arial" w:cs="Arial"/>
                <w:bCs/>
                <w:color w:val="000000" w:themeColor="text1"/>
                <w:sz w:val="18"/>
                <w:szCs w:val="18"/>
              </w:rPr>
            </w:pPr>
            <w:r w:rsidRPr="006216E6">
              <w:rPr>
                <w:rFonts w:ascii="Arial" w:hAnsi="Arial" w:cs="Arial"/>
                <w:bCs/>
                <w:color w:val="000000" w:themeColor="text1"/>
                <w:sz w:val="18"/>
                <w:szCs w:val="18"/>
              </w:rPr>
              <w:t>239</w:t>
            </w:r>
          </w:p>
        </w:tc>
        <w:tc>
          <w:tcPr>
            <w:tcW w:w="1061" w:type="dxa"/>
            <w:tcBorders>
              <w:top w:val="nil"/>
              <w:left w:val="nil"/>
              <w:bottom w:val="single" w:sz="4" w:space="0" w:color="auto"/>
              <w:right w:val="single" w:sz="4" w:space="0" w:color="auto"/>
            </w:tcBorders>
            <w:shd w:val="clear" w:color="auto" w:fill="auto"/>
            <w:vAlign w:val="center"/>
            <w:hideMark/>
          </w:tcPr>
          <w:p w14:paraId="70932826" w14:textId="77777777" w:rsidR="004C60C0" w:rsidRPr="006216E6" w:rsidRDefault="004C60C0" w:rsidP="009F7B6D">
            <w:pPr>
              <w:spacing w:after="0" w:line="240" w:lineRule="auto"/>
              <w:jc w:val="right"/>
              <w:rPr>
                <w:rFonts w:ascii="Arial" w:hAnsi="Arial" w:cs="Arial"/>
                <w:bCs/>
                <w:color w:val="000000" w:themeColor="text1"/>
                <w:sz w:val="18"/>
                <w:szCs w:val="18"/>
              </w:rPr>
            </w:pPr>
            <w:r w:rsidRPr="006216E6">
              <w:rPr>
                <w:rFonts w:ascii="Arial" w:hAnsi="Arial" w:cs="Arial"/>
                <w:bCs/>
                <w:color w:val="000000" w:themeColor="text1"/>
                <w:sz w:val="18"/>
                <w:szCs w:val="18"/>
              </w:rPr>
              <w:t>29.080.259</w:t>
            </w:r>
          </w:p>
        </w:tc>
        <w:tc>
          <w:tcPr>
            <w:tcW w:w="1065" w:type="dxa"/>
            <w:tcBorders>
              <w:top w:val="nil"/>
              <w:left w:val="nil"/>
              <w:bottom w:val="single" w:sz="4" w:space="0" w:color="auto"/>
              <w:right w:val="single" w:sz="4" w:space="0" w:color="auto"/>
            </w:tcBorders>
            <w:shd w:val="clear" w:color="auto" w:fill="auto"/>
            <w:noWrap/>
            <w:vAlign w:val="center"/>
            <w:hideMark/>
          </w:tcPr>
          <w:p w14:paraId="58782986" w14:textId="77777777" w:rsidR="004C60C0" w:rsidRPr="006216E6" w:rsidRDefault="004C60C0" w:rsidP="009F7B6D">
            <w:pPr>
              <w:spacing w:after="0" w:line="240" w:lineRule="auto"/>
              <w:jc w:val="right"/>
              <w:rPr>
                <w:rFonts w:ascii="Arial" w:hAnsi="Arial" w:cs="Arial"/>
                <w:bCs/>
                <w:color w:val="000000" w:themeColor="text1"/>
                <w:sz w:val="18"/>
                <w:szCs w:val="18"/>
              </w:rPr>
            </w:pPr>
            <w:r w:rsidRPr="006216E6">
              <w:rPr>
                <w:rFonts w:ascii="Arial" w:hAnsi="Arial" w:cs="Arial"/>
                <w:bCs/>
                <w:color w:val="000000" w:themeColor="text1"/>
                <w:sz w:val="18"/>
                <w:szCs w:val="18"/>
              </w:rPr>
              <w:t>4,02 %</w:t>
            </w:r>
          </w:p>
        </w:tc>
        <w:tc>
          <w:tcPr>
            <w:tcW w:w="992" w:type="dxa"/>
            <w:tcBorders>
              <w:top w:val="nil"/>
              <w:left w:val="nil"/>
              <w:bottom w:val="single" w:sz="4" w:space="0" w:color="auto"/>
              <w:right w:val="single" w:sz="4" w:space="0" w:color="auto"/>
            </w:tcBorders>
            <w:shd w:val="clear" w:color="auto" w:fill="auto"/>
            <w:noWrap/>
            <w:vAlign w:val="center"/>
            <w:hideMark/>
          </w:tcPr>
          <w:p w14:paraId="14DDCCEE" w14:textId="77777777" w:rsidR="004C60C0" w:rsidRPr="006216E6" w:rsidRDefault="004C60C0" w:rsidP="009F7B6D">
            <w:pPr>
              <w:spacing w:after="0" w:line="240" w:lineRule="auto"/>
              <w:jc w:val="right"/>
              <w:rPr>
                <w:rFonts w:ascii="Arial" w:hAnsi="Arial" w:cs="Arial"/>
                <w:bCs/>
                <w:color w:val="000000" w:themeColor="text1"/>
                <w:sz w:val="18"/>
                <w:szCs w:val="18"/>
              </w:rPr>
            </w:pPr>
            <w:r w:rsidRPr="006216E6">
              <w:rPr>
                <w:rFonts w:ascii="Arial" w:hAnsi="Arial" w:cs="Arial"/>
                <w:bCs/>
                <w:color w:val="000000" w:themeColor="text1"/>
                <w:sz w:val="18"/>
                <w:szCs w:val="18"/>
              </w:rPr>
              <w:t>3,37 %</w:t>
            </w:r>
          </w:p>
        </w:tc>
      </w:tr>
      <w:tr w:rsidR="004C60C0" w:rsidRPr="006216E6" w14:paraId="1E8F3928" w14:textId="77777777" w:rsidTr="009F7B6D">
        <w:trPr>
          <w:trHeight w:val="255"/>
        </w:trPr>
        <w:tc>
          <w:tcPr>
            <w:tcW w:w="711" w:type="dxa"/>
            <w:vMerge/>
            <w:tcBorders>
              <w:top w:val="nil"/>
              <w:left w:val="single" w:sz="4" w:space="0" w:color="auto"/>
              <w:bottom w:val="single" w:sz="4" w:space="0" w:color="auto"/>
              <w:right w:val="single" w:sz="4" w:space="0" w:color="auto"/>
            </w:tcBorders>
            <w:vAlign w:val="center"/>
            <w:hideMark/>
          </w:tcPr>
          <w:p w14:paraId="7E2F6AEB" w14:textId="77777777" w:rsidR="004C60C0" w:rsidRPr="006216E6" w:rsidRDefault="004C60C0" w:rsidP="009F7B6D">
            <w:pPr>
              <w:spacing w:after="0" w:line="240" w:lineRule="auto"/>
              <w:rPr>
                <w:rFonts w:ascii="Arial" w:eastAsia="Times New Roman" w:hAnsi="Arial" w:cs="Arial"/>
                <w:color w:val="000000"/>
                <w:sz w:val="18"/>
                <w:szCs w:val="18"/>
                <w:lang w:eastAsia="sl-SI"/>
              </w:rPr>
            </w:pPr>
          </w:p>
        </w:tc>
        <w:tc>
          <w:tcPr>
            <w:tcW w:w="1209" w:type="dxa"/>
            <w:vMerge/>
            <w:tcBorders>
              <w:top w:val="nil"/>
              <w:left w:val="single" w:sz="4" w:space="0" w:color="auto"/>
              <w:bottom w:val="single" w:sz="4" w:space="0" w:color="auto"/>
              <w:right w:val="single" w:sz="4" w:space="0" w:color="auto"/>
            </w:tcBorders>
            <w:vAlign w:val="center"/>
            <w:hideMark/>
          </w:tcPr>
          <w:p w14:paraId="7C25B35A" w14:textId="77777777" w:rsidR="004C60C0" w:rsidRPr="006216E6" w:rsidRDefault="004C60C0" w:rsidP="009F7B6D">
            <w:pPr>
              <w:spacing w:after="0" w:line="240" w:lineRule="auto"/>
              <w:rPr>
                <w:rFonts w:ascii="Arial" w:eastAsia="Times New Roman" w:hAnsi="Arial" w:cs="Arial"/>
                <w:color w:val="000000"/>
                <w:sz w:val="18"/>
                <w:szCs w:val="18"/>
                <w:lang w:eastAsia="sl-SI"/>
              </w:rPr>
            </w:pPr>
          </w:p>
        </w:tc>
        <w:tc>
          <w:tcPr>
            <w:tcW w:w="3462" w:type="dxa"/>
            <w:tcBorders>
              <w:top w:val="nil"/>
              <w:left w:val="nil"/>
              <w:bottom w:val="single" w:sz="4" w:space="0" w:color="auto"/>
              <w:right w:val="single" w:sz="4" w:space="0" w:color="auto"/>
            </w:tcBorders>
            <w:shd w:val="clear" w:color="auto" w:fill="auto"/>
            <w:vAlign w:val="center"/>
            <w:hideMark/>
          </w:tcPr>
          <w:p w14:paraId="4D5E78CF" w14:textId="77777777" w:rsidR="004C60C0" w:rsidRPr="006216E6" w:rsidRDefault="004C60C0" w:rsidP="009F7B6D">
            <w:pPr>
              <w:spacing w:after="0" w:line="240" w:lineRule="auto"/>
              <w:rPr>
                <w:rFonts w:ascii="Arial" w:hAnsi="Arial" w:cs="Arial"/>
                <w:sz w:val="18"/>
                <w:szCs w:val="18"/>
              </w:rPr>
            </w:pPr>
            <w:r w:rsidRPr="006216E6">
              <w:rPr>
                <w:rFonts w:ascii="Arial" w:hAnsi="Arial" w:cs="Arial"/>
                <w:sz w:val="18"/>
                <w:szCs w:val="18"/>
              </w:rPr>
              <w:t>Postopek s pogajanji brez predhodne objave</w:t>
            </w:r>
          </w:p>
        </w:tc>
        <w:tc>
          <w:tcPr>
            <w:tcW w:w="709" w:type="dxa"/>
            <w:tcBorders>
              <w:top w:val="nil"/>
              <w:left w:val="nil"/>
              <w:bottom w:val="single" w:sz="4" w:space="0" w:color="auto"/>
              <w:right w:val="single" w:sz="4" w:space="0" w:color="auto"/>
            </w:tcBorders>
            <w:shd w:val="clear" w:color="auto" w:fill="auto"/>
            <w:vAlign w:val="center"/>
            <w:hideMark/>
          </w:tcPr>
          <w:p w14:paraId="3C4D7371" w14:textId="77777777" w:rsidR="004C60C0" w:rsidRPr="006216E6" w:rsidRDefault="004C60C0" w:rsidP="009F7B6D">
            <w:pPr>
              <w:spacing w:after="0" w:line="240" w:lineRule="auto"/>
              <w:jc w:val="right"/>
              <w:rPr>
                <w:rFonts w:ascii="Arial" w:hAnsi="Arial" w:cs="Arial"/>
                <w:bCs/>
                <w:color w:val="000000" w:themeColor="text1"/>
                <w:sz w:val="18"/>
                <w:szCs w:val="18"/>
              </w:rPr>
            </w:pPr>
            <w:r w:rsidRPr="006216E6">
              <w:rPr>
                <w:rFonts w:ascii="Arial" w:hAnsi="Arial" w:cs="Arial"/>
                <w:bCs/>
                <w:color w:val="000000" w:themeColor="text1"/>
                <w:sz w:val="18"/>
                <w:szCs w:val="18"/>
              </w:rPr>
              <w:t>25</w:t>
            </w:r>
          </w:p>
        </w:tc>
        <w:tc>
          <w:tcPr>
            <w:tcW w:w="1061" w:type="dxa"/>
            <w:tcBorders>
              <w:top w:val="nil"/>
              <w:left w:val="nil"/>
              <w:bottom w:val="single" w:sz="4" w:space="0" w:color="auto"/>
              <w:right w:val="single" w:sz="4" w:space="0" w:color="auto"/>
            </w:tcBorders>
            <w:shd w:val="clear" w:color="auto" w:fill="auto"/>
            <w:vAlign w:val="center"/>
            <w:hideMark/>
          </w:tcPr>
          <w:p w14:paraId="02529284" w14:textId="77777777" w:rsidR="004C60C0" w:rsidRPr="006216E6" w:rsidRDefault="004C60C0" w:rsidP="009F7B6D">
            <w:pPr>
              <w:spacing w:after="0" w:line="240" w:lineRule="auto"/>
              <w:jc w:val="right"/>
              <w:rPr>
                <w:rFonts w:ascii="Arial" w:hAnsi="Arial" w:cs="Arial"/>
                <w:bCs/>
                <w:color w:val="000000" w:themeColor="text1"/>
                <w:sz w:val="18"/>
                <w:szCs w:val="18"/>
              </w:rPr>
            </w:pPr>
            <w:r w:rsidRPr="006216E6">
              <w:rPr>
                <w:rFonts w:ascii="Arial" w:hAnsi="Arial" w:cs="Arial"/>
                <w:bCs/>
                <w:color w:val="000000" w:themeColor="text1"/>
                <w:sz w:val="18"/>
                <w:szCs w:val="18"/>
              </w:rPr>
              <w:t>7.111.745</w:t>
            </w:r>
          </w:p>
        </w:tc>
        <w:tc>
          <w:tcPr>
            <w:tcW w:w="1065" w:type="dxa"/>
            <w:tcBorders>
              <w:top w:val="nil"/>
              <w:left w:val="nil"/>
              <w:bottom w:val="single" w:sz="4" w:space="0" w:color="auto"/>
              <w:right w:val="single" w:sz="4" w:space="0" w:color="auto"/>
            </w:tcBorders>
            <w:shd w:val="clear" w:color="auto" w:fill="auto"/>
            <w:noWrap/>
            <w:vAlign w:val="center"/>
            <w:hideMark/>
          </w:tcPr>
          <w:p w14:paraId="34CB8AF9" w14:textId="77777777" w:rsidR="004C60C0" w:rsidRPr="006216E6" w:rsidRDefault="004C60C0" w:rsidP="009F7B6D">
            <w:pPr>
              <w:spacing w:after="0" w:line="240" w:lineRule="auto"/>
              <w:jc w:val="right"/>
              <w:rPr>
                <w:rFonts w:ascii="Arial" w:hAnsi="Arial" w:cs="Arial"/>
                <w:bCs/>
                <w:color w:val="000000" w:themeColor="text1"/>
                <w:sz w:val="18"/>
                <w:szCs w:val="18"/>
              </w:rPr>
            </w:pPr>
            <w:r w:rsidRPr="006216E6">
              <w:rPr>
                <w:rFonts w:ascii="Arial" w:hAnsi="Arial" w:cs="Arial"/>
                <w:bCs/>
                <w:color w:val="000000" w:themeColor="text1"/>
                <w:sz w:val="18"/>
                <w:szCs w:val="18"/>
              </w:rPr>
              <w:t>3,16 %</w:t>
            </w:r>
          </w:p>
        </w:tc>
        <w:tc>
          <w:tcPr>
            <w:tcW w:w="992" w:type="dxa"/>
            <w:tcBorders>
              <w:top w:val="nil"/>
              <w:left w:val="nil"/>
              <w:bottom w:val="single" w:sz="4" w:space="0" w:color="auto"/>
              <w:right w:val="single" w:sz="4" w:space="0" w:color="auto"/>
            </w:tcBorders>
            <w:shd w:val="clear" w:color="auto" w:fill="auto"/>
            <w:noWrap/>
            <w:vAlign w:val="center"/>
            <w:hideMark/>
          </w:tcPr>
          <w:p w14:paraId="7F9F5510" w14:textId="77777777" w:rsidR="004C60C0" w:rsidRPr="006216E6" w:rsidRDefault="004C60C0" w:rsidP="009F7B6D">
            <w:pPr>
              <w:spacing w:after="0" w:line="240" w:lineRule="auto"/>
              <w:jc w:val="right"/>
              <w:rPr>
                <w:rFonts w:ascii="Arial" w:hAnsi="Arial" w:cs="Arial"/>
                <w:bCs/>
                <w:color w:val="000000" w:themeColor="text1"/>
                <w:sz w:val="18"/>
                <w:szCs w:val="18"/>
              </w:rPr>
            </w:pPr>
            <w:r w:rsidRPr="006216E6">
              <w:rPr>
                <w:rFonts w:ascii="Arial" w:hAnsi="Arial" w:cs="Arial"/>
                <w:bCs/>
                <w:color w:val="000000" w:themeColor="text1"/>
                <w:sz w:val="18"/>
                <w:szCs w:val="18"/>
              </w:rPr>
              <w:t>2,48 %</w:t>
            </w:r>
          </w:p>
        </w:tc>
      </w:tr>
      <w:tr w:rsidR="004C60C0" w:rsidRPr="006216E6" w14:paraId="48E0745F" w14:textId="77777777" w:rsidTr="009F7B6D">
        <w:trPr>
          <w:trHeight w:val="255"/>
        </w:trPr>
        <w:tc>
          <w:tcPr>
            <w:tcW w:w="711" w:type="dxa"/>
            <w:vMerge/>
            <w:tcBorders>
              <w:top w:val="nil"/>
              <w:left w:val="single" w:sz="4" w:space="0" w:color="auto"/>
              <w:bottom w:val="single" w:sz="4" w:space="0" w:color="auto"/>
              <w:right w:val="single" w:sz="4" w:space="0" w:color="auto"/>
            </w:tcBorders>
            <w:vAlign w:val="center"/>
            <w:hideMark/>
          </w:tcPr>
          <w:p w14:paraId="77906E32" w14:textId="77777777" w:rsidR="004C60C0" w:rsidRPr="006216E6" w:rsidRDefault="004C60C0" w:rsidP="009F7B6D">
            <w:pPr>
              <w:spacing w:after="0" w:line="240" w:lineRule="auto"/>
              <w:rPr>
                <w:rFonts w:ascii="Arial" w:eastAsia="Times New Roman" w:hAnsi="Arial" w:cs="Arial"/>
                <w:color w:val="000000"/>
                <w:sz w:val="18"/>
                <w:szCs w:val="18"/>
                <w:lang w:eastAsia="sl-SI"/>
              </w:rPr>
            </w:pPr>
          </w:p>
        </w:tc>
        <w:tc>
          <w:tcPr>
            <w:tcW w:w="1209" w:type="dxa"/>
            <w:vMerge/>
            <w:tcBorders>
              <w:top w:val="nil"/>
              <w:left w:val="single" w:sz="4" w:space="0" w:color="auto"/>
              <w:bottom w:val="single" w:sz="4" w:space="0" w:color="auto"/>
              <w:right w:val="single" w:sz="4" w:space="0" w:color="auto"/>
            </w:tcBorders>
            <w:vAlign w:val="center"/>
            <w:hideMark/>
          </w:tcPr>
          <w:p w14:paraId="7AE07CFB" w14:textId="77777777" w:rsidR="004C60C0" w:rsidRPr="006216E6" w:rsidRDefault="004C60C0" w:rsidP="009F7B6D">
            <w:pPr>
              <w:spacing w:after="0" w:line="240" w:lineRule="auto"/>
              <w:rPr>
                <w:rFonts w:ascii="Arial" w:eastAsia="Times New Roman" w:hAnsi="Arial" w:cs="Arial"/>
                <w:color w:val="000000"/>
                <w:sz w:val="18"/>
                <w:szCs w:val="18"/>
                <w:lang w:eastAsia="sl-SI"/>
              </w:rPr>
            </w:pPr>
          </w:p>
        </w:tc>
        <w:tc>
          <w:tcPr>
            <w:tcW w:w="3462" w:type="dxa"/>
            <w:tcBorders>
              <w:top w:val="nil"/>
              <w:left w:val="nil"/>
              <w:bottom w:val="single" w:sz="4" w:space="0" w:color="auto"/>
              <w:right w:val="single" w:sz="4" w:space="0" w:color="auto"/>
            </w:tcBorders>
            <w:shd w:val="clear" w:color="auto" w:fill="auto"/>
            <w:noWrap/>
            <w:vAlign w:val="center"/>
            <w:hideMark/>
          </w:tcPr>
          <w:p w14:paraId="11279D1A" w14:textId="77777777" w:rsidR="004C60C0" w:rsidRPr="006216E6" w:rsidRDefault="004C60C0" w:rsidP="009F7B6D">
            <w:pPr>
              <w:spacing w:after="0" w:line="240" w:lineRule="auto"/>
              <w:rPr>
                <w:rFonts w:ascii="Arial" w:hAnsi="Arial" w:cs="Arial"/>
                <w:sz w:val="18"/>
                <w:szCs w:val="18"/>
              </w:rPr>
            </w:pPr>
            <w:r w:rsidRPr="006216E6">
              <w:rPr>
                <w:rFonts w:ascii="Arial" w:hAnsi="Arial" w:cs="Arial"/>
                <w:sz w:val="18"/>
                <w:szCs w:val="18"/>
              </w:rPr>
              <w:t>Postopek s pogajanji po predhodni objavi</w:t>
            </w:r>
          </w:p>
        </w:tc>
        <w:tc>
          <w:tcPr>
            <w:tcW w:w="709" w:type="dxa"/>
            <w:tcBorders>
              <w:top w:val="nil"/>
              <w:left w:val="nil"/>
              <w:bottom w:val="single" w:sz="4" w:space="0" w:color="auto"/>
              <w:right w:val="single" w:sz="4" w:space="0" w:color="auto"/>
            </w:tcBorders>
            <w:shd w:val="clear" w:color="auto" w:fill="auto"/>
            <w:vAlign w:val="center"/>
            <w:hideMark/>
          </w:tcPr>
          <w:p w14:paraId="37C2A1EC" w14:textId="77777777" w:rsidR="004C60C0" w:rsidRPr="006216E6" w:rsidRDefault="004C60C0" w:rsidP="009F7B6D">
            <w:pPr>
              <w:spacing w:after="0" w:line="240" w:lineRule="auto"/>
              <w:jc w:val="right"/>
              <w:rPr>
                <w:rFonts w:ascii="Arial" w:hAnsi="Arial" w:cs="Arial"/>
                <w:bCs/>
                <w:color w:val="000000" w:themeColor="text1"/>
                <w:sz w:val="18"/>
                <w:szCs w:val="18"/>
              </w:rPr>
            </w:pPr>
            <w:r w:rsidRPr="006216E6">
              <w:rPr>
                <w:rFonts w:ascii="Arial" w:hAnsi="Arial" w:cs="Arial"/>
                <w:bCs/>
                <w:color w:val="000000" w:themeColor="text1"/>
                <w:sz w:val="18"/>
                <w:szCs w:val="18"/>
              </w:rPr>
              <w:t>5</w:t>
            </w:r>
          </w:p>
        </w:tc>
        <w:tc>
          <w:tcPr>
            <w:tcW w:w="1061" w:type="dxa"/>
            <w:tcBorders>
              <w:top w:val="nil"/>
              <w:left w:val="nil"/>
              <w:bottom w:val="single" w:sz="4" w:space="0" w:color="auto"/>
              <w:right w:val="single" w:sz="4" w:space="0" w:color="auto"/>
            </w:tcBorders>
            <w:shd w:val="clear" w:color="auto" w:fill="auto"/>
            <w:vAlign w:val="center"/>
            <w:hideMark/>
          </w:tcPr>
          <w:p w14:paraId="40CAAC68" w14:textId="77777777" w:rsidR="004C60C0" w:rsidRPr="006216E6" w:rsidRDefault="004C60C0" w:rsidP="009F7B6D">
            <w:pPr>
              <w:spacing w:after="0" w:line="240" w:lineRule="auto"/>
              <w:jc w:val="right"/>
              <w:rPr>
                <w:rFonts w:ascii="Arial" w:hAnsi="Arial" w:cs="Arial"/>
                <w:bCs/>
                <w:color w:val="000000" w:themeColor="text1"/>
                <w:sz w:val="18"/>
                <w:szCs w:val="18"/>
              </w:rPr>
            </w:pPr>
            <w:r w:rsidRPr="006216E6">
              <w:rPr>
                <w:rFonts w:ascii="Arial" w:hAnsi="Arial" w:cs="Arial"/>
                <w:bCs/>
                <w:color w:val="000000" w:themeColor="text1"/>
                <w:sz w:val="18"/>
                <w:szCs w:val="18"/>
              </w:rPr>
              <w:t>1.484.453</w:t>
            </w:r>
          </w:p>
        </w:tc>
        <w:tc>
          <w:tcPr>
            <w:tcW w:w="1065" w:type="dxa"/>
            <w:tcBorders>
              <w:top w:val="nil"/>
              <w:left w:val="nil"/>
              <w:bottom w:val="single" w:sz="4" w:space="0" w:color="auto"/>
              <w:right w:val="single" w:sz="4" w:space="0" w:color="auto"/>
            </w:tcBorders>
            <w:shd w:val="clear" w:color="auto" w:fill="auto"/>
            <w:noWrap/>
            <w:vAlign w:val="center"/>
            <w:hideMark/>
          </w:tcPr>
          <w:p w14:paraId="3A44EB2C" w14:textId="77777777" w:rsidR="004C60C0" w:rsidRPr="006216E6" w:rsidRDefault="004C60C0" w:rsidP="009F7B6D">
            <w:pPr>
              <w:spacing w:after="0" w:line="240" w:lineRule="auto"/>
              <w:jc w:val="right"/>
              <w:rPr>
                <w:rFonts w:ascii="Arial" w:hAnsi="Arial" w:cs="Arial"/>
                <w:bCs/>
                <w:color w:val="000000" w:themeColor="text1"/>
                <w:sz w:val="18"/>
                <w:szCs w:val="18"/>
              </w:rPr>
            </w:pPr>
            <w:r w:rsidRPr="006216E6">
              <w:rPr>
                <w:rFonts w:ascii="Arial" w:hAnsi="Arial" w:cs="Arial"/>
                <w:bCs/>
                <w:color w:val="000000" w:themeColor="text1"/>
                <w:sz w:val="18"/>
                <w:szCs w:val="18"/>
              </w:rPr>
              <w:t>2,06 %</w:t>
            </w:r>
          </w:p>
        </w:tc>
        <w:tc>
          <w:tcPr>
            <w:tcW w:w="992" w:type="dxa"/>
            <w:tcBorders>
              <w:top w:val="nil"/>
              <w:left w:val="nil"/>
              <w:bottom w:val="single" w:sz="4" w:space="0" w:color="auto"/>
              <w:right w:val="single" w:sz="4" w:space="0" w:color="auto"/>
            </w:tcBorders>
            <w:shd w:val="clear" w:color="auto" w:fill="auto"/>
            <w:noWrap/>
            <w:vAlign w:val="center"/>
            <w:hideMark/>
          </w:tcPr>
          <w:p w14:paraId="00FEC537" w14:textId="77777777" w:rsidR="004C60C0" w:rsidRPr="006216E6" w:rsidRDefault="004C60C0" w:rsidP="009F7B6D">
            <w:pPr>
              <w:spacing w:after="0" w:line="240" w:lineRule="auto"/>
              <w:jc w:val="right"/>
              <w:rPr>
                <w:rFonts w:ascii="Arial" w:hAnsi="Arial" w:cs="Arial"/>
                <w:bCs/>
                <w:color w:val="000000" w:themeColor="text1"/>
                <w:sz w:val="18"/>
                <w:szCs w:val="18"/>
              </w:rPr>
            </w:pPr>
            <w:r w:rsidRPr="006216E6">
              <w:rPr>
                <w:rFonts w:ascii="Arial" w:hAnsi="Arial" w:cs="Arial"/>
                <w:bCs/>
                <w:color w:val="000000" w:themeColor="text1"/>
                <w:sz w:val="18"/>
                <w:szCs w:val="18"/>
              </w:rPr>
              <w:t>0,50 %</w:t>
            </w:r>
          </w:p>
        </w:tc>
      </w:tr>
      <w:tr w:rsidR="004C60C0" w:rsidRPr="006216E6" w14:paraId="37B1D9FB" w14:textId="77777777" w:rsidTr="009F7B6D">
        <w:trPr>
          <w:trHeight w:val="255"/>
        </w:trPr>
        <w:tc>
          <w:tcPr>
            <w:tcW w:w="538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5DD2C7D" w14:textId="77777777" w:rsidR="004C60C0" w:rsidRPr="006216E6" w:rsidRDefault="004C60C0" w:rsidP="009F7B6D">
            <w:pPr>
              <w:spacing w:after="0" w:line="240" w:lineRule="auto"/>
              <w:rPr>
                <w:rFonts w:ascii="Arial" w:hAnsi="Arial" w:cs="Arial"/>
                <w:b/>
                <w:bCs/>
                <w:sz w:val="18"/>
                <w:szCs w:val="18"/>
              </w:rPr>
            </w:pPr>
            <w:r w:rsidRPr="006216E6">
              <w:rPr>
                <w:rFonts w:ascii="Arial" w:hAnsi="Arial" w:cs="Arial"/>
                <w:b/>
                <w:bCs/>
                <w:sz w:val="18"/>
                <w:szCs w:val="18"/>
              </w:rPr>
              <w:t>Skupaj</w:t>
            </w:r>
          </w:p>
        </w:tc>
        <w:tc>
          <w:tcPr>
            <w:tcW w:w="709" w:type="dxa"/>
            <w:tcBorders>
              <w:top w:val="nil"/>
              <w:left w:val="nil"/>
              <w:bottom w:val="single" w:sz="4" w:space="0" w:color="auto"/>
              <w:right w:val="single" w:sz="4" w:space="0" w:color="auto"/>
            </w:tcBorders>
            <w:shd w:val="clear" w:color="auto" w:fill="F2F2F2" w:themeFill="background1" w:themeFillShade="F2"/>
            <w:noWrap/>
            <w:vAlign w:val="center"/>
            <w:hideMark/>
          </w:tcPr>
          <w:p w14:paraId="7100A3C1" w14:textId="77777777" w:rsidR="004C60C0" w:rsidRPr="006216E6" w:rsidRDefault="004C60C0" w:rsidP="009F7B6D">
            <w:pPr>
              <w:spacing w:after="0" w:line="240" w:lineRule="auto"/>
              <w:jc w:val="right"/>
              <w:rPr>
                <w:rFonts w:ascii="Arial" w:hAnsi="Arial" w:cs="Arial"/>
                <w:b/>
                <w:color w:val="000000" w:themeColor="text1"/>
                <w:sz w:val="18"/>
                <w:szCs w:val="18"/>
              </w:rPr>
            </w:pPr>
            <w:r w:rsidRPr="006216E6">
              <w:rPr>
                <w:rFonts w:ascii="Arial" w:hAnsi="Arial" w:cs="Arial"/>
                <w:b/>
                <w:color w:val="000000" w:themeColor="text1"/>
                <w:sz w:val="18"/>
                <w:szCs w:val="18"/>
              </w:rPr>
              <w:t>295</w:t>
            </w:r>
          </w:p>
        </w:tc>
        <w:tc>
          <w:tcPr>
            <w:tcW w:w="1061" w:type="dxa"/>
            <w:tcBorders>
              <w:top w:val="nil"/>
              <w:left w:val="nil"/>
              <w:bottom w:val="single" w:sz="4" w:space="0" w:color="auto"/>
              <w:right w:val="single" w:sz="4" w:space="0" w:color="auto"/>
            </w:tcBorders>
            <w:shd w:val="clear" w:color="auto" w:fill="F2F2F2" w:themeFill="background1" w:themeFillShade="F2"/>
            <w:noWrap/>
            <w:vAlign w:val="center"/>
            <w:hideMark/>
          </w:tcPr>
          <w:p w14:paraId="409715FB" w14:textId="77777777" w:rsidR="004C60C0" w:rsidRPr="006216E6" w:rsidRDefault="004C60C0" w:rsidP="009F7B6D">
            <w:pPr>
              <w:spacing w:after="0" w:line="240" w:lineRule="auto"/>
              <w:jc w:val="right"/>
              <w:rPr>
                <w:rFonts w:ascii="Arial" w:hAnsi="Arial" w:cs="Arial"/>
                <w:b/>
                <w:color w:val="000000" w:themeColor="text1"/>
                <w:sz w:val="18"/>
                <w:szCs w:val="18"/>
              </w:rPr>
            </w:pPr>
            <w:r w:rsidRPr="006216E6">
              <w:rPr>
                <w:rFonts w:ascii="Arial" w:hAnsi="Arial" w:cs="Arial"/>
                <w:b/>
                <w:color w:val="000000" w:themeColor="text1"/>
                <w:sz w:val="18"/>
                <w:szCs w:val="18"/>
              </w:rPr>
              <w:t>48.049.322</w:t>
            </w:r>
          </w:p>
        </w:tc>
        <w:tc>
          <w:tcPr>
            <w:tcW w:w="1065" w:type="dxa"/>
            <w:tcBorders>
              <w:top w:val="nil"/>
              <w:left w:val="nil"/>
              <w:bottom w:val="single" w:sz="4" w:space="0" w:color="auto"/>
              <w:right w:val="single" w:sz="4" w:space="0" w:color="auto"/>
            </w:tcBorders>
            <w:shd w:val="clear" w:color="auto" w:fill="F2F2F2" w:themeFill="background1" w:themeFillShade="F2"/>
            <w:noWrap/>
            <w:vAlign w:val="center"/>
          </w:tcPr>
          <w:p w14:paraId="7F330330" w14:textId="77777777" w:rsidR="004C60C0" w:rsidRPr="006216E6" w:rsidRDefault="004C60C0" w:rsidP="009F7B6D">
            <w:pPr>
              <w:spacing w:after="0" w:line="240" w:lineRule="auto"/>
              <w:jc w:val="right"/>
              <w:rPr>
                <w:rFonts w:ascii="Arial" w:hAnsi="Arial" w:cs="Arial"/>
                <w:b/>
                <w:color w:val="000000" w:themeColor="text1"/>
                <w:sz w:val="18"/>
                <w:szCs w:val="18"/>
              </w:rPr>
            </w:pPr>
            <w:r w:rsidRPr="006216E6">
              <w:rPr>
                <w:rFonts w:ascii="Arial" w:hAnsi="Arial" w:cs="Arial"/>
                <w:b/>
                <w:color w:val="000000" w:themeColor="text1"/>
                <w:sz w:val="18"/>
                <w:szCs w:val="18"/>
              </w:rPr>
              <w:t>1,71 %</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630E53CD" w14:textId="77777777" w:rsidR="004C60C0" w:rsidRPr="006216E6" w:rsidRDefault="004C60C0" w:rsidP="009F7B6D">
            <w:pPr>
              <w:spacing w:after="0" w:line="240" w:lineRule="auto"/>
              <w:jc w:val="right"/>
              <w:rPr>
                <w:rFonts w:ascii="Arial" w:hAnsi="Arial" w:cs="Arial"/>
                <w:b/>
                <w:color w:val="000000" w:themeColor="text1"/>
                <w:sz w:val="18"/>
                <w:szCs w:val="18"/>
              </w:rPr>
            </w:pPr>
            <w:r w:rsidRPr="006216E6">
              <w:rPr>
                <w:rFonts w:ascii="Arial" w:hAnsi="Arial" w:cs="Arial"/>
                <w:b/>
                <w:color w:val="000000" w:themeColor="text1"/>
                <w:sz w:val="18"/>
                <w:szCs w:val="18"/>
              </w:rPr>
              <w:t>0,89 %</w:t>
            </w:r>
          </w:p>
        </w:tc>
      </w:tr>
    </w:tbl>
    <w:p w14:paraId="3D044B59" w14:textId="77777777" w:rsidR="004C60C0" w:rsidRPr="006216E6" w:rsidRDefault="004C60C0" w:rsidP="004C60C0">
      <w:pPr>
        <w:spacing w:after="0" w:line="240" w:lineRule="auto"/>
        <w:rPr>
          <w:rFonts w:ascii="Arial" w:hAnsi="Arial" w:cs="Arial"/>
          <w:b/>
          <w:bCs/>
          <w:color w:val="000000" w:themeColor="text1"/>
          <w:sz w:val="18"/>
          <w:szCs w:val="18"/>
        </w:rPr>
      </w:pPr>
    </w:p>
    <w:p w14:paraId="776AB072" w14:textId="5015B375" w:rsidR="003A03FE" w:rsidRPr="00484987" w:rsidRDefault="003A03FE" w:rsidP="000D71AD">
      <w:pPr>
        <w:spacing w:after="120" w:line="240" w:lineRule="auto"/>
        <w:jc w:val="center"/>
        <w:rPr>
          <w:rFonts w:ascii="Arial" w:hAnsi="Arial" w:cs="Arial"/>
          <w:color w:val="000000" w:themeColor="text1"/>
          <w:sz w:val="18"/>
        </w:rPr>
      </w:pPr>
      <w:r w:rsidRPr="00484987">
        <w:rPr>
          <w:rFonts w:ascii="Arial" w:hAnsi="Arial" w:cs="Arial"/>
          <w:color w:val="000000" w:themeColor="text1"/>
          <w:sz w:val="18"/>
        </w:rPr>
        <w:t>Vir: Statistični podatki o javnih naro</w:t>
      </w:r>
      <w:r w:rsidR="00CA08C7" w:rsidRPr="00484987">
        <w:rPr>
          <w:rFonts w:ascii="Arial" w:hAnsi="Arial" w:cs="Arial"/>
          <w:color w:val="000000" w:themeColor="text1"/>
          <w:sz w:val="18"/>
        </w:rPr>
        <w:t>čilih, oddanih v letu 20</w:t>
      </w:r>
      <w:r w:rsidR="00CC4A1F" w:rsidRPr="00484987">
        <w:rPr>
          <w:rFonts w:ascii="Arial" w:hAnsi="Arial" w:cs="Arial"/>
          <w:color w:val="000000" w:themeColor="text1"/>
          <w:sz w:val="18"/>
        </w:rPr>
        <w:t>2</w:t>
      </w:r>
      <w:r w:rsidR="00484987" w:rsidRPr="00484987">
        <w:rPr>
          <w:rFonts w:ascii="Arial" w:hAnsi="Arial" w:cs="Arial"/>
          <w:color w:val="000000" w:themeColor="text1"/>
          <w:sz w:val="18"/>
        </w:rPr>
        <w:t>2</w:t>
      </w:r>
      <w:r w:rsidR="00210A86" w:rsidRPr="00484987">
        <w:rPr>
          <w:rFonts w:ascii="Arial" w:hAnsi="Arial" w:cs="Arial"/>
          <w:color w:val="000000" w:themeColor="text1"/>
          <w:sz w:val="18"/>
        </w:rPr>
        <w:t>.</w:t>
      </w:r>
    </w:p>
    <w:p w14:paraId="13AF7F88" w14:textId="1140B92E" w:rsidR="00121807" w:rsidRPr="00BF7302" w:rsidRDefault="00121807" w:rsidP="00D94701">
      <w:pPr>
        <w:spacing w:after="0" w:line="240" w:lineRule="auto"/>
        <w:rPr>
          <w:rFonts w:ascii="Arial" w:eastAsiaTheme="majorEastAsia" w:hAnsi="Arial" w:cs="Arial"/>
          <w:color w:val="1F3763" w:themeColor="accent1" w:themeShade="7F"/>
          <w:highlight w:val="yellow"/>
        </w:rPr>
      </w:pPr>
    </w:p>
    <w:p w14:paraId="518AA674" w14:textId="024106D3" w:rsidR="00AA714B" w:rsidRPr="00C90281" w:rsidRDefault="00AA714B" w:rsidP="00392E59">
      <w:pPr>
        <w:pStyle w:val="Naslov3"/>
        <w:rPr>
          <w:rFonts w:ascii="Arial" w:hAnsi="Arial" w:cs="Arial"/>
          <w:sz w:val="22"/>
          <w:szCs w:val="22"/>
        </w:rPr>
      </w:pPr>
      <w:bookmarkStart w:id="20" w:name="_Toc141864055"/>
      <w:r w:rsidRPr="00C90281">
        <w:rPr>
          <w:rFonts w:ascii="Arial" w:hAnsi="Arial" w:cs="Arial"/>
          <w:sz w:val="22"/>
          <w:szCs w:val="22"/>
        </w:rPr>
        <w:t>2.3.2 Postopki z objavo obvestila o javnem naročilu</w:t>
      </w:r>
      <w:bookmarkEnd w:id="20"/>
    </w:p>
    <w:p w14:paraId="4F20972B" w14:textId="77777777" w:rsidR="00AA714B" w:rsidRPr="00C90281" w:rsidRDefault="00AA714B" w:rsidP="00854405">
      <w:pPr>
        <w:pStyle w:val="ZADEVA"/>
        <w:jc w:val="both"/>
        <w:rPr>
          <w:rFonts w:cs="Arial"/>
          <w:b w:val="0"/>
          <w:color w:val="FF0000"/>
          <w:szCs w:val="20"/>
          <w:lang w:val="sl-SI"/>
        </w:rPr>
      </w:pPr>
    </w:p>
    <w:p w14:paraId="5E49828E" w14:textId="72ACF541" w:rsidR="00C77330" w:rsidRPr="00BF7302" w:rsidRDefault="00CB4520" w:rsidP="00E13581">
      <w:pPr>
        <w:tabs>
          <w:tab w:val="left" w:pos="567"/>
          <w:tab w:val="left" w:pos="993"/>
        </w:tabs>
        <w:spacing w:line="360" w:lineRule="auto"/>
        <w:jc w:val="both"/>
        <w:rPr>
          <w:rFonts w:ascii="Arial" w:hAnsi="Arial" w:cs="Arial"/>
          <w:bCs/>
          <w:color w:val="000000" w:themeColor="text1"/>
          <w:sz w:val="20"/>
          <w:szCs w:val="20"/>
          <w:highlight w:val="yellow"/>
        </w:rPr>
      </w:pPr>
      <w:r w:rsidRPr="00C90281">
        <w:rPr>
          <w:rFonts w:ascii="Arial" w:hAnsi="Arial" w:cs="Arial"/>
          <w:bCs/>
          <w:color w:val="000000" w:themeColor="text1"/>
          <w:sz w:val="20"/>
          <w:szCs w:val="20"/>
        </w:rPr>
        <w:t>Naročniki so</w:t>
      </w:r>
      <w:r w:rsidR="00C95540" w:rsidRPr="00C90281">
        <w:rPr>
          <w:rFonts w:ascii="Arial" w:hAnsi="Arial" w:cs="Arial"/>
          <w:bCs/>
          <w:color w:val="000000" w:themeColor="text1"/>
          <w:sz w:val="20"/>
          <w:szCs w:val="20"/>
        </w:rPr>
        <w:t xml:space="preserve"> </w:t>
      </w:r>
      <w:r w:rsidRPr="00C90281">
        <w:rPr>
          <w:rFonts w:ascii="Arial" w:hAnsi="Arial" w:cs="Arial"/>
          <w:bCs/>
          <w:color w:val="000000" w:themeColor="text1"/>
          <w:sz w:val="20"/>
          <w:szCs w:val="20"/>
        </w:rPr>
        <w:t>l</w:t>
      </w:r>
      <w:r w:rsidR="00EC39E3" w:rsidRPr="00C90281">
        <w:rPr>
          <w:rFonts w:ascii="Arial" w:hAnsi="Arial" w:cs="Arial"/>
          <w:bCs/>
          <w:color w:val="000000" w:themeColor="text1"/>
          <w:sz w:val="20"/>
          <w:szCs w:val="20"/>
        </w:rPr>
        <w:t>et</w:t>
      </w:r>
      <w:r w:rsidR="00EC1BBF" w:rsidRPr="00C90281">
        <w:rPr>
          <w:rFonts w:ascii="Arial" w:hAnsi="Arial" w:cs="Arial"/>
          <w:bCs/>
          <w:color w:val="000000" w:themeColor="text1"/>
          <w:sz w:val="20"/>
          <w:szCs w:val="20"/>
        </w:rPr>
        <w:t>a</w:t>
      </w:r>
      <w:r w:rsidR="00EC39E3" w:rsidRPr="00C90281">
        <w:rPr>
          <w:rFonts w:ascii="Arial" w:hAnsi="Arial" w:cs="Arial"/>
          <w:bCs/>
          <w:color w:val="000000" w:themeColor="text1"/>
          <w:sz w:val="20"/>
          <w:szCs w:val="20"/>
        </w:rPr>
        <w:t xml:space="preserve"> 20</w:t>
      </w:r>
      <w:r w:rsidR="00684D27" w:rsidRPr="00C90281">
        <w:rPr>
          <w:rFonts w:ascii="Arial" w:hAnsi="Arial" w:cs="Arial"/>
          <w:bCs/>
          <w:color w:val="000000" w:themeColor="text1"/>
          <w:sz w:val="20"/>
          <w:szCs w:val="20"/>
        </w:rPr>
        <w:t>2</w:t>
      </w:r>
      <w:r w:rsidR="00C90281" w:rsidRPr="00C90281">
        <w:rPr>
          <w:rFonts w:ascii="Arial" w:hAnsi="Arial" w:cs="Arial"/>
          <w:bCs/>
          <w:color w:val="000000" w:themeColor="text1"/>
          <w:sz w:val="20"/>
          <w:szCs w:val="20"/>
        </w:rPr>
        <w:t>2</w:t>
      </w:r>
      <w:r w:rsidR="00EC39E3" w:rsidRPr="00C90281">
        <w:rPr>
          <w:rFonts w:ascii="Arial" w:hAnsi="Arial" w:cs="Arial"/>
          <w:bCs/>
          <w:color w:val="000000" w:themeColor="text1"/>
          <w:sz w:val="20"/>
          <w:szCs w:val="20"/>
        </w:rPr>
        <w:t xml:space="preserve"> v </w:t>
      </w:r>
      <w:r w:rsidR="00C90281" w:rsidRPr="00C90281">
        <w:rPr>
          <w:rFonts w:ascii="Arial" w:hAnsi="Arial" w:cs="Arial"/>
          <w:bCs/>
          <w:color w:val="000000" w:themeColor="text1"/>
          <w:sz w:val="20"/>
          <w:szCs w:val="20"/>
        </w:rPr>
        <w:t>5995</w:t>
      </w:r>
      <w:r w:rsidR="00E13581" w:rsidRPr="00C90281">
        <w:rPr>
          <w:rFonts w:ascii="Arial" w:hAnsi="Arial" w:cs="Arial"/>
          <w:bCs/>
          <w:color w:val="000000" w:themeColor="text1"/>
          <w:sz w:val="20"/>
          <w:szCs w:val="20"/>
        </w:rPr>
        <w:t xml:space="preserve"> postopkih javnega naročanja</w:t>
      </w:r>
      <w:r w:rsidR="00C77330" w:rsidRPr="00C90281">
        <w:rPr>
          <w:rFonts w:ascii="Arial" w:hAnsi="Arial" w:cs="Arial"/>
          <w:bCs/>
          <w:color w:val="000000" w:themeColor="text1"/>
          <w:sz w:val="20"/>
          <w:szCs w:val="20"/>
        </w:rPr>
        <w:t xml:space="preserve"> </w:t>
      </w:r>
      <w:r w:rsidR="005634E1" w:rsidRPr="00C90281">
        <w:rPr>
          <w:rFonts w:ascii="Arial" w:hAnsi="Arial" w:cs="Arial"/>
          <w:bCs/>
          <w:color w:val="000000" w:themeColor="text1"/>
          <w:sz w:val="20"/>
          <w:szCs w:val="20"/>
        </w:rPr>
        <w:t xml:space="preserve">oddali </w:t>
      </w:r>
      <w:r w:rsidR="00C77330" w:rsidRPr="00C90281">
        <w:rPr>
          <w:rFonts w:ascii="Arial" w:hAnsi="Arial" w:cs="Arial"/>
          <w:bCs/>
          <w:color w:val="000000" w:themeColor="text1"/>
          <w:sz w:val="20"/>
          <w:szCs w:val="20"/>
        </w:rPr>
        <w:t>naročil</w:t>
      </w:r>
      <w:r w:rsidR="00E13581" w:rsidRPr="00C90281">
        <w:rPr>
          <w:rFonts w:ascii="Arial" w:hAnsi="Arial" w:cs="Arial"/>
          <w:bCs/>
          <w:color w:val="000000" w:themeColor="text1"/>
          <w:sz w:val="20"/>
          <w:szCs w:val="20"/>
        </w:rPr>
        <w:t>a</w:t>
      </w:r>
      <w:r w:rsidR="007E151F" w:rsidRPr="00C90281">
        <w:rPr>
          <w:rFonts w:ascii="Arial" w:hAnsi="Arial" w:cs="Arial"/>
          <w:bCs/>
          <w:color w:val="000000" w:themeColor="text1"/>
          <w:sz w:val="20"/>
          <w:szCs w:val="20"/>
        </w:rPr>
        <w:t>,</w:t>
      </w:r>
      <w:r w:rsidR="00E13581" w:rsidRPr="00C90281">
        <w:rPr>
          <w:rFonts w:ascii="Arial" w:hAnsi="Arial" w:cs="Arial"/>
          <w:bCs/>
          <w:color w:val="000000" w:themeColor="text1"/>
          <w:sz w:val="20"/>
          <w:szCs w:val="20"/>
        </w:rPr>
        <w:t xml:space="preserve"> za katera so predhodno objavili obvestil</w:t>
      </w:r>
      <w:r w:rsidR="005634E1" w:rsidRPr="00C90281">
        <w:rPr>
          <w:rFonts w:ascii="Arial" w:hAnsi="Arial" w:cs="Arial"/>
          <w:bCs/>
          <w:color w:val="000000" w:themeColor="text1"/>
          <w:sz w:val="20"/>
          <w:szCs w:val="20"/>
        </w:rPr>
        <w:t>o</w:t>
      </w:r>
      <w:r w:rsidR="00E13581" w:rsidRPr="00C90281">
        <w:rPr>
          <w:rFonts w:ascii="Arial" w:hAnsi="Arial" w:cs="Arial"/>
          <w:bCs/>
          <w:color w:val="000000" w:themeColor="text1"/>
          <w:sz w:val="20"/>
          <w:szCs w:val="20"/>
        </w:rPr>
        <w:t xml:space="preserve"> o javnem naročilu,</w:t>
      </w:r>
      <w:r w:rsidR="00C77330" w:rsidRPr="00C90281">
        <w:rPr>
          <w:rFonts w:ascii="Arial" w:hAnsi="Arial" w:cs="Arial"/>
          <w:bCs/>
          <w:color w:val="000000" w:themeColor="text1"/>
          <w:sz w:val="20"/>
          <w:szCs w:val="20"/>
        </w:rPr>
        <w:t xml:space="preserve"> kar </w:t>
      </w:r>
      <w:r w:rsidR="002C0157" w:rsidRPr="00C90281">
        <w:rPr>
          <w:rFonts w:ascii="Arial" w:hAnsi="Arial" w:cs="Arial"/>
          <w:bCs/>
          <w:color w:val="000000" w:themeColor="text1"/>
          <w:sz w:val="20"/>
          <w:szCs w:val="20"/>
        </w:rPr>
        <w:t xml:space="preserve">je </w:t>
      </w:r>
      <w:r w:rsidR="00F3581D" w:rsidRPr="00C90281">
        <w:rPr>
          <w:rFonts w:ascii="Arial" w:hAnsi="Arial" w:cs="Arial"/>
          <w:bCs/>
          <w:color w:val="000000" w:themeColor="text1"/>
          <w:sz w:val="20"/>
          <w:szCs w:val="20"/>
        </w:rPr>
        <w:t>8</w:t>
      </w:r>
      <w:r w:rsidR="00C90281" w:rsidRPr="00C90281">
        <w:rPr>
          <w:rFonts w:ascii="Arial" w:hAnsi="Arial" w:cs="Arial"/>
          <w:bCs/>
          <w:color w:val="000000" w:themeColor="text1"/>
          <w:sz w:val="20"/>
          <w:szCs w:val="20"/>
        </w:rPr>
        <w:t>9,2</w:t>
      </w:r>
      <w:r w:rsidR="00210A86" w:rsidRPr="00C90281">
        <w:rPr>
          <w:rFonts w:ascii="Arial" w:hAnsi="Arial" w:cs="Arial"/>
          <w:bCs/>
          <w:color w:val="000000" w:themeColor="text1"/>
          <w:sz w:val="20"/>
          <w:szCs w:val="20"/>
        </w:rPr>
        <w:t> </w:t>
      </w:r>
      <w:r w:rsidR="00AC0027">
        <w:rPr>
          <w:rFonts w:ascii="Arial" w:hAnsi="Arial" w:cs="Arial"/>
          <w:bCs/>
          <w:color w:val="000000" w:themeColor="text1"/>
          <w:sz w:val="20"/>
          <w:szCs w:val="20"/>
        </w:rPr>
        <w:t>odstotka</w:t>
      </w:r>
      <w:r w:rsidR="00E8515A" w:rsidRPr="00C90281">
        <w:rPr>
          <w:rFonts w:ascii="Arial" w:hAnsi="Arial" w:cs="Arial"/>
          <w:bCs/>
          <w:color w:val="000000" w:themeColor="text1"/>
          <w:sz w:val="20"/>
          <w:szCs w:val="20"/>
        </w:rPr>
        <w:t xml:space="preserve"> </w:t>
      </w:r>
      <w:r w:rsidR="00C77330" w:rsidRPr="00C90281">
        <w:rPr>
          <w:rFonts w:ascii="Arial" w:hAnsi="Arial" w:cs="Arial"/>
          <w:bCs/>
          <w:color w:val="000000" w:themeColor="text1"/>
          <w:sz w:val="20"/>
          <w:szCs w:val="20"/>
        </w:rPr>
        <w:t>vseh</w:t>
      </w:r>
      <w:r w:rsidR="00162CA3" w:rsidRPr="00C90281">
        <w:rPr>
          <w:rFonts w:ascii="Arial" w:hAnsi="Arial" w:cs="Arial"/>
          <w:bCs/>
          <w:color w:val="000000" w:themeColor="text1"/>
          <w:sz w:val="20"/>
          <w:szCs w:val="20"/>
        </w:rPr>
        <w:t xml:space="preserve"> </w:t>
      </w:r>
      <w:r w:rsidR="00C77330" w:rsidRPr="00C90281">
        <w:rPr>
          <w:rFonts w:ascii="Arial" w:hAnsi="Arial" w:cs="Arial"/>
          <w:bCs/>
          <w:color w:val="000000" w:themeColor="text1"/>
          <w:sz w:val="20"/>
          <w:szCs w:val="20"/>
        </w:rPr>
        <w:t>postopkov</w:t>
      </w:r>
      <w:r w:rsidR="007E151F" w:rsidRPr="00C90281">
        <w:rPr>
          <w:rFonts w:ascii="Arial" w:hAnsi="Arial" w:cs="Arial"/>
          <w:bCs/>
          <w:color w:val="000000" w:themeColor="text1"/>
          <w:sz w:val="20"/>
          <w:szCs w:val="20"/>
        </w:rPr>
        <w:t>,</w:t>
      </w:r>
      <w:r w:rsidR="00C77330" w:rsidRPr="00C90281">
        <w:rPr>
          <w:rFonts w:ascii="Arial" w:hAnsi="Arial" w:cs="Arial"/>
          <w:bCs/>
          <w:color w:val="000000" w:themeColor="text1"/>
          <w:sz w:val="20"/>
          <w:szCs w:val="20"/>
        </w:rPr>
        <w:t xml:space="preserve"> v katerih so bila oddana naročila, </w:t>
      </w:r>
      <w:r w:rsidR="00F3581D" w:rsidRPr="00C90281">
        <w:rPr>
          <w:rFonts w:ascii="Arial" w:hAnsi="Arial" w:cs="Arial"/>
          <w:bCs/>
          <w:color w:val="000000" w:themeColor="text1"/>
          <w:sz w:val="20"/>
          <w:szCs w:val="20"/>
        </w:rPr>
        <w:t>9</w:t>
      </w:r>
      <w:r w:rsidR="00684D27" w:rsidRPr="00C90281">
        <w:rPr>
          <w:rFonts w:ascii="Arial" w:hAnsi="Arial" w:cs="Arial"/>
          <w:bCs/>
          <w:color w:val="000000" w:themeColor="text1"/>
          <w:sz w:val="20"/>
          <w:szCs w:val="20"/>
        </w:rPr>
        <w:t>4</w:t>
      </w:r>
      <w:r w:rsidR="00F3581D" w:rsidRPr="00C90281">
        <w:rPr>
          <w:rFonts w:ascii="Arial" w:hAnsi="Arial" w:cs="Arial"/>
          <w:bCs/>
          <w:color w:val="000000" w:themeColor="text1"/>
          <w:sz w:val="20"/>
          <w:szCs w:val="20"/>
        </w:rPr>
        <w:t>,</w:t>
      </w:r>
      <w:r w:rsidR="00C90281" w:rsidRPr="00C90281">
        <w:rPr>
          <w:rFonts w:ascii="Arial" w:hAnsi="Arial" w:cs="Arial"/>
          <w:bCs/>
          <w:color w:val="000000" w:themeColor="text1"/>
          <w:sz w:val="20"/>
          <w:szCs w:val="20"/>
        </w:rPr>
        <w:t>81</w:t>
      </w:r>
      <w:r w:rsidR="002978BA" w:rsidRPr="00C90281">
        <w:rPr>
          <w:rFonts w:ascii="Arial" w:hAnsi="Arial" w:cs="Arial"/>
          <w:bCs/>
          <w:color w:val="000000" w:themeColor="text1"/>
          <w:sz w:val="20"/>
          <w:szCs w:val="20"/>
        </w:rPr>
        <w:t> </w:t>
      </w:r>
      <w:r w:rsidR="00AC0027">
        <w:rPr>
          <w:rFonts w:ascii="Arial" w:hAnsi="Arial" w:cs="Arial"/>
          <w:bCs/>
          <w:color w:val="000000" w:themeColor="text1"/>
          <w:sz w:val="20"/>
          <w:szCs w:val="20"/>
        </w:rPr>
        <w:t>odstotka</w:t>
      </w:r>
      <w:r w:rsidR="00C77330" w:rsidRPr="00C90281">
        <w:rPr>
          <w:rFonts w:ascii="Arial" w:hAnsi="Arial" w:cs="Arial"/>
          <w:bCs/>
          <w:color w:val="000000" w:themeColor="text1"/>
          <w:sz w:val="20"/>
          <w:szCs w:val="20"/>
        </w:rPr>
        <w:t xml:space="preserve"> vseh</w:t>
      </w:r>
      <w:r w:rsidR="00162CA3" w:rsidRPr="00C90281">
        <w:rPr>
          <w:rFonts w:ascii="Arial" w:hAnsi="Arial" w:cs="Arial"/>
          <w:bCs/>
          <w:color w:val="000000" w:themeColor="text1"/>
          <w:sz w:val="20"/>
          <w:szCs w:val="20"/>
        </w:rPr>
        <w:t xml:space="preserve"> </w:t>
      </w:r>
      <w:r w:rsidR="00C77330" w:rsidRPr="00C90281">
        <w:rPr>
          <w:rFonts w:ascii="Arial" w:hAnsi="Arial" w:cs="Arial"/>
          <w:bCs/>
          <w:color w:val="000000" w:themeColor="text1"/>
          <w:sz w:val="20"/>
          <w:szCs w:val="20"/>
        </w:rPr>
        <w:t xml:space="preserve">oddanih naročil in </w:t>
      </w:r>
      <w:r w:rsidR="009B406E" w:rsidRPr="00C90281">
        <w:rPr>
          <w:rFonts w:ascii="Arial" w:hAnsi="Arial" w:cs="Arial"/>
          <w:bCs/>
          <w:color w:val="000000" w:themeColor="text1"/>
          <w:sz w:val="20"/>
          <w:szCs w:val="20"/>
        </w:rPr>
        <w:t>9</w:t>
      </w:r>
      <w:r w:rsidR="00C90281" w:rsidRPr="00C90281">
        <w:rPr>
          <w:rFonts w:ascii="Arial" w:hAnsi="Arial" w:cs="Arial"/>
          <w:bCs/>
          <w:color w:val="000000" w:themeColor="text1"/>
          <w:sz w:val="20"/>
          <w:szCs w:val="20"/>
        </w:rPr>
        <w:t>0,7</w:t>
      </w:r>
      <w:r w:rsidR="00210A86" w:rsidRPr="00C90281">
        <w:rPr>
          <w:rFonts w:ascii="Arial" w:hAnsi="Arial" w:cs="Arial"/>
          <w:bCs/>
          <w:color w:val="000000" w:themeColor="text1"/>
          <w:sz w:val="20"/>
          <w:szCs w:val="20"/>
        </w:rPr>
        <w:t> </w:t>
      </w:r>
      <w:r w:rsidR="00AC0027">
        <w:rPr>
          <w:rFonts w:ascii="Arial" w:hAnsi="Arial" w:cs="Arial"/>
          <w:bCs/>
          <w:color w:val="000000" w:themeColor="text1"/>
          <w:sz w:val="20"/>
          <w:szCs w:val="20"/>
        </w:rPr>
        <w:t>odstotka</w:t>
      </w:r>
      <w:r w:rsidR="00E8515A" w:rsidRPr="00C90281">
        <w:rPr>
          <w:rFonts w:ascii="Arial" w:hAnsi="Arial" w:cs="Arial"/>
          <w:bCs/>
          <w:color w:val="000000" w:themeColor="text1"/>
          <w:sz w:val="20"/>
          <w:szCs w:val="20"/>
        </w:rPr>
        <w:t xml:space="preserve"> </w:t>
      </w:r>
      <w:r w:rsidR="00C77330" w:rsidRPr="00C90281">
        <w:rPr>
          <w:rFonts w:ascii="Arial" w:hAnsi="Arial" w:cs="Arial"/>
          <w:bCs/>
          <w:color w:val="000000" w:themeColor="text1"/>
          <w:sz w:val="20"/>
          <w:szCs w:val="20"/>
        </w:rPr>
        <w:t xml:space="preserve">vrednosti </w:t>
      </w:r>
      <w:r w:rsidR="005634E1" w:rsidRPr="00C90281">
        <w:rPr>
          <w:rFonts w:ascii="Arial" w:hAnsi="Arial" w:cs="Arial"/>
          <w:bCs/>
          <w:color w:val="000000" w:themeColor="text1"/>
          <w:sz w:val="20"/>
          <w:szCs w:val="20"/>
        </w:rPr>
        <w:t>vseh</w:t>
      </w:r>
      <w:r w:rsidR="00162CA3" w:rsidRPr="00C90281">
        <w:rPr>
          <w:rFonts w:ascii="Arial" w:hAnsi="Arial" w:cs="Arial"/>
          <w:bCs/>
          <w:color w:val="000000" w:themeColor="text1"/>
          <w:sz w:val="20"/>
          <w:szCs w:val="20"/>
        </w:rPr>
        <w:t xml:space="preserve"> </w:t>
      </w:r>
      <w:r w:rsidR="00C77330" w:rsidRPr="00C90281">
        <w:rPr>
          <w:rFonts w:ascii="Arial" w:hAnsi="Arial" w:cs="Arial"/>
          <w:bCs/>
          <w:color w:val="000000" w:themeColor="text1"/>
          <w:sz w:val="20"/>
          <w:szCs w:val="20"/>
        </w:rPr>
        <w:t xml:space="preserve">oddanih naročil. </w:t>
      </w:r>
    </w:p>
    <w:p w14:paraId="369DC1AA" w14:textId="3954593F" w:rsidR="00C77330" w:rsidRPr="00C90281" w:rsidRDefault="00C77330" w:rsidP="00AC3909">
      <w:pPr>
        <w:spacing w:before="120" w:after="120" w:line="240" w:lineRule="auto"/>
        <w:jc w:val="both"/>
        <w:rPr>
          <w:rFonts w:ascii="Arial" w:hAnsi="Arial" w:cs="Arial"/>
          <w:color w:val="000000" w:themeColor="text1"/>
          <w:sz w:val="20"/>
        </w:rPr>
      </w:pPr>
      <w:r w:rsidRPr="00C90281">
        <w:rPr>
          <w:rFonts w:ascii="Arial" w:hAnsi="Arial" w:cs="Arial"/>
          <w:color w:val="000000" w:themeColor="text1"/>
          <w:sz w:val="20"/>
        </w:rPr>
        <w:t xml:space="preserve">Preglednica </w:t>
      </w:r>
      <w:r w:rsidR="00E430F6" w:rsidRPr="00C90281">
        <w:rPr>
          <w:rFonts w:ascii="Arial" w:hAnsi="Arial" w:cs="Arial"/>
          <w:color w:val="000000" w:themeColor="text1"/>
          <w:sz w:val="20"/>
        </w:rPr>
        <w:t>1</w:t>
      </w:r>
      <w:r w:rsidR="00EB4423" w:rsidRPr="00C90281">
        <w:rPr>
          <w:rFonts w:ascii="Arial" w:hAnsi="Arial" w:cs="Arial"/>
          <w:color w:val="000000" w:themeColor="text1"/>
          <w:sz w:val="20"/>
        </w:rPr>
        <w:t>0</w:t>
      </w:r>
      <w:r w:rsidRPr="00C90281">
        <w:rPr>
          <w:rFonts w:ascii="Arial" w:hAnsi="Arial" w:cs="Arial"/>
          <w:color w:val="000000" w:themeColor="text1"/>
          <w:sz w:val="20"/>
        </w:rPr>
        <w:t xml:space="preserve">: </w:t>
      </w:r>
      <w:r w:rsidR="00E13581" w:rsidRPr="00C90281">
        <w:rPr>
          <w:rFonts w:ascii="Arial" w:hAnsi="Arial" w:cs="Arial"/>
          <w:color w:val="000000" w:themeColor="text1"/>
          <w:sz w:val="20"/>
        </w:rPr>
        <w:t>Objavljeni postopki, naročila in njihova vrednost ter deleži glede na vrsto postopk</w:t>
      </w:r>
      <w:r w:rsidR="00756490" w:rsidRPr="00C90281">
        <w:rPr>
          <w:rFonts w:ascii="Arial" w:hAnsi="Arial" w:cs="Arial"/>
          <w:color w:val="000000" w:themeColor="text1"/>
          <w:sz w:val="20"/>
        </w:rPr>
        <w:t>a</w:t>
      </w:r>
      <w:r w:rsidRPr="00C90281">
        <w:rPr>
          <w:rFonts w:ascii="Arial" w:hAnsi="Arial" w:cs="Arial"/>
          <w:color w:val="000000" w:themeColor="text1"/>
          <w:sz w:val="20"/>
        </w:rPr>
        <w:t xml:space="preserve"> </w:t>
      </w:r>
    </w:p>
    <w:tbl>
      <w:tblPr>
        <w:tblW w:w="9631" w:type="dxa"/>
        <w:tblCellMar>
          <w:left w:w="70" w:type="dxa"/>
          <w:right w:w="70" w:type="dxa"/>
        </w:tblCellMar>
        <w:tblLook w:val="04A0" w:firstRow="1" w:lastRow="0" w:firstColumn="1" w:lastColumn="0" w:noHBand="0" w:noVBand="1"/>
      </w:tblPr>
      <w:tblGrid>
        <w:gridCol w:w="2547"/>
        <w:gridCol w:w="992"/>
        <w:gridCol w:w="992"/>
        <w:gridCol w:w="1418"/>
        <w:gridCol w:w="1276"/>
        <w:gridCol w:w="1134"/>
        <w:gridCol w:w="1272"/>
      </w:tblGrid>
      <w:tr w:rsidR="00C90281" w:rsidRPr="00C90281" w14:paraId="3F21B769" w14:textId="77777777" w:rsidTr="00C90281">
        <w:trPr>
          <w:trHeight w:val="252"/>
        </w:trPr>
        <w:tc>
          <w:tcPr>
            <w:tcW w:w="254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52A46B0" w14:textId="77777777" w:rsidR="00C90281" w:rsidRPr="00C90281" w:rsidRDefault="00C90281" w:rsidP="00C90281">
            <w:pPr>
              <w:spacing w:after="0" w:line="240" w:lineRule="auto"/>
              <w:jc w:val="center"/>
              <w:rPr>
                <w:rFonts w:ascii="Arial" w:hAnsi="Arial" w:cs="Arial"/>
                <w:sz w:val="18"/>
                <w:szCs w:val="18"/>
              </w:rPr>
            </w:pPr>
            <w:r w:rsidRPr="00C90281">
              <w:rPr>
                <w:rFonts w:ascii="Arial" w:hAnsi="Arial" w:cs="Arial"/>
                <w:sz w:val="18"/>
                <w:szCs w:val="18"/>
              </w:rPr>
              <w:t>Vrsta postopka</w:t>
            </w:r>
          </w:p>
        </w:tc>
        <w:tc>
          <w:tcPr>
            <w:tcW w:w="992" w:type="dxa"/>
            <w:tcBorders>
              <w:top w:val="single" w:sz="4" w:space="0" w:color="auto"/>
              <w:left w:val="nil"/>
              <w:bottom w:val="single" w:sz="4" w:space="0" w:color="auto"/>
              <w:right w:val="single" w:sz="4" w:space="0" w:color="auto"/>
            </w:tcBorders>
            <w:shd w:val="clear" w:color="000000" w:fill="F2F2F2"/>
            <w:vAlign w:val="center"/>
            <w:hideMark/>
          </w:tcPr>
          <w:p w14:paraId="51E6B5B6" w14:textId="77777777" w:rsidR="00C90281" w:rsidRPr="00C90281" w:rsidRDefault="00C90281" w:rsidP="00C90281">
            <w:pPr>
              <w:spacing w:after="0" w:line="240" w:lineRule="auto"/>
              <w:jc w:val="center"/>
              <w:rPr>
                <w:rFonts w:ascii="Arial" w:hAnsi="Arial" w:cs="Arial"/>
                <w:sz w:val="18"/>
                <w:szCs w:val="18"/>
              </w:rPr>
            </w:pPr>
            <w:r w:rsidRPr="00C90281">
              <w:rPr>
                <w:rFonts w:ascii="Arial" w:hAnsi="Arial" w:cs="Arial"/>
                <w:sz w:val="18"/>
                <w:szCs w:val="18"/>
              </w:rPr>
              <w:t>Št. postopkov</w:t>
            </w:r>
          </w:p>
        </w:tc>
        <w:tc>
          <w:tcPr>
            <w:tcW w:w="992" w:type="dxa"/>
            <w:tcBorders>
              <w:top w:val="single" w:sz="4" w:space="0" w:color="auto"/>
              <w:left w:val="nil"/>
              <w:bottom w:val="single" w:sz="4" w:space="0" w:color="auto"/>
              <w:right w:val="single" w:sz="4" w:space="0" w:color="auto"/>
            </w:tcBorders>
            <w:shd w:val="clear" w:color="000000" w:fill="F2F2F2"/>
            <w:vAlign w:val="center"/>
            <w:hideMark/>
          </w:tcPr>
          <w:p w14:paraId="1AD5F6EA" w14:textId="77777777" w:rsidR="00C90281" w:rsidRPr="00C90281" w:rsidRDefault="00C90281" w:rsidP="00C90281">
            <w:pPr>
              <w:spacing w:after="0" w:line="240" w:lineRule="auto"/>
              <w:jc w:val="center"/>
              <w:rPr>
                <w:rFonts w:ascii="Arial" w:hAnsi="Arial" w:cs="Arial"/>
                <w:sz w:val="18"/>
                <w:szCs w:val="18"/>
              </w:rPr>
            </w:pPr>
            <w:r w:rsidRPr="00C90281">
              <w:rPr>
                <w:rFonts w:ascii="Arial" w:hAnsi="Arial" w:cs="Arial"/>
                <w:sz w:val="18"/>
                <w:szCs w:val="18"/>
              </w:rPr>
              <w:t>Št. naročil</w:t>
            </w:r>
          </w:p>
        </w:tc>
        <w:tc>
          <w:tcPr>
            <w:tcW w:w="1418" w:type="dxa"/>
            <w:tcBorders>
              <w:top w:val="single" w:sz="4" w:space="0" w:color="auto"/>
              <w:left w:val="nil"/>
              <w:bottom w:val="single" w:sz="4" w:space="0" w:color="auto"/>
              <w:right w:val="single" w:sz="4" w:space="0" w:color="auto"/>
            </w:tcBorders>
            <w:shd w:val="clear" w:color="000000" w:fill="F2F2F2"/>
            <w:vAlign w:val="center"/>
            <w:hideMark/>
          </w:tcPr>
          <w:p w14:paraId="1D6E22C9" w14:textId="77777777" w:rsidR="00C90281" w:rsidRPr="00C90281" w:rsidRDefault="00C90281" w:rsidP="00C90281">
            <w:pPr>
              <w:spacing w:after="0" w:line="240" w:lineRule="auto"/>
              <w:jc w:val="center"/>
              <w:rPr>
                <w:rFonts w:ascii="Arial" w:hAnsi="Arial" w:cs="Arial"/>
                <w:sz w:val="18"/>
                <w:szCs w:val="18"/>
              </w:rPr>
            </w:pPr>
            <w:r w:rsidRPr="00C90281">
              <w:rPr>
                <w:rFonts w:ascii="Arial" w:hAnsi="Arial" w:cs="Arial"/>
                <w:sz w:val="18"/>
                <w:szCs w:val="18"/>
              </w:rPr>
              <w:t>Pogodbena vrednost</w:t>
            </w:r>
          </w:p>
        </w:tc>
        <w:tc>
          <w:tcPr>
            <w:tcW w:w="1276" w:type="dxa"/>
            <w:tcBorders>
              <w:top w:val="single" w:sz="4" w:space="0" w:color="auto"/>
              <w:left w:val="nil"/>
              <w:bottom w:val="single" w:sz="4" w:space="0" w:color="auto"/>
              <w:right w:val="single" w:sz="4" w:space="0" w:color="auto"/>
            </w:tcBorders>
            <w:shd w:val="clear" w:color="000000" w:fill="F2F2F2"/>
            <w:vAlign w:val="center"/>
            <w:hideMark/>
          </w:tcPr>
          <w:p w14:paraId="25394034" w14:textId="77777777" w:rsidR="00C90281" w:rsidRPr="00C90281" w:rsidRDefault="00C90281" w:rsidP="00C90281">
            <w:pPr>
              <w:spacing w:after="0" w:line="240" w:lineRule="auto"/>
              <w:jc w:val="center"/>
              <w:rPr>
                <w:rFonts w:ascii="Arial" w:hAnsi="Arial" w:cs="Arial"/>
                <w:sz w:val="18"/>
                <w:szCs w:val="18"/>
              </w:rPr>
            </w:pPr>
            <w:r w:rsidRPr="00C90281">
              <w:rPr>
                <w:rFonts w:ascii="Arial" w:hAnsi="Arial" w:cs="Arial"/>
                <w:sz w:val="18"/>
                <w:szCs w:val="18"/>
              </w:rPr>
              <w:t>Delež v št. postopkov</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2060D3CC" w14:textId="77777777" w:rsidR="00C90281" w:rsidRPr="00C90281" w:rsidRDefault="00C90281" w:rsidP="00C90281">
            <w:pPr>
              <w:spacing w:after="0" w:line="240" w:lineRule="auto"/>
              <w:jc w:val="center"/>
              <w:rPr>
                <w:rFonts w:ascii="Arial" w:hAnsi="Arial" w:cs="Arial"/>
                <w:sz w:val="18"/>
                <w:szCs w:val="18"/>
              </w:rPr>
            </w:pPr>
            <w:r w:rsidRPr="00C90281">
              <w:rPr>
                <w:rFonts w:ascii="Arial" w:hAnsi="Arial" w:cs="Arial"/>
                <w:sz w:val="18"/>
                <w:szCs w:val="18"/>
              </w:rPr>
              <w:t>Delež v št. naročil</w:t>
            </w:r>
          </w:p>
        </w:tc>
        <w:tc>
          <w:tcPr>
            <w:tcW w:w="1272" w:type="dxa"/>
            <w:tcBorders>
              <w:top w:val="single" w:sz="4" w:space="0" w:color="auto"/>
              <w:left w:val="nil"/>
              <w:bottom w:val="single" w:sz="4" w:space="0" w:color="auto"/>
              <w:right w:val="single" w:sz="4" w:space="0" w:color="auto"/>
            </w:tcBorders>
            <w:shd w:val="clear" w:color="000000" w:fill="F2F2F2"/>
            <w:vAlign w:val="center"/>
            <w:hideMark/>
          </w:tcPr>
          <w:p w14:paraId="3DAA08D5" w14:textId="77777777" w:rsidR="00C90281" w:rsidRPr="00C90281" w:rsidRDefault="00C90281" w:rsidP="00C90281">
            <w:pPr>
              <w:spacing w:after="0" w:line="240" w:lineRule="auto"/>
              <w:jc w:val="center"/>
              <w:rPr>
                <w:rFonts w:ascii="Arial" w:hAnsi="Arial" w:cs="Arial"/>
                <w:sz w:val="18"/>
                <w:szCs w:val="18"/>
              </w:rPr>
            </w:pPr>
            <w:r w:rsidRPr="00C90281">
              <w:rPr>
                <w:rFonts w:ascii="Arial" w:hAnsi="Arial" w:cs="Arial"/>
                <w:sz w:val="18"/>
                <w:szCs w:val="18"/>
              </w:rPr>
              <w:t>Delež v vrednosti</w:t>
            </w:r>
          </w:p>
        </w:tc>
      </w:tr>
      <w:tr w:rsidR="00C90281" w:rsidRPr="00C90281" w14:paraId="7E34E904" w14:textId="77777777" w:rsidTr="00C90281">
        <w:trPr>
          <w:trHeight w:val="252"/>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0B85FD6E" w14:textId="77777777" w:rsidR="00C90281" w:rsidRPr="00C90281" w:rsidRDefault="00C90281" w:rsidP="00C90281">
            <w:pPr>
              <w:spacing w:after="0" w:line="240" w:lineRule="auto"/>
              <w:rPr>
                <w:rFonts w:ascii="Arial" w:hAnsi="Arial" w:cs="Arial"/>
                <w:sz w:val="18"/>
                <w:szCs w:val="18"/>
              </w:rPr>
            </w:pPr>
            <w:r w:rsidRPr="00C90281">
              <w:rPr>
                <w:rFonts w:ascii="Arial" w:hAnsi="Arial" w:cs="Arial"/>
                <w:sz w:val="18"/>
                <w:szCs w:val="18"/>
              </w:rPr>
              <w:t>Konkurenčni dialog</w:t>
            </w:r>
          </w:p>
        </w:tc>
        <w:tc>
          <w:tcPr>
            <w:tcW w:w="992" w:type="dxa"/>
            <w:tcBorders>
              <w:top w:val="nil"/>
              <w:left w:val="nil"/>
              <w:bottom w:val="single" w:sz="4" w:space="0" w:color="auto"/>
              <w:right w:val="single" w:sz="4" w:space="0" w:color="auto"/>
            </w:tcBorders>
            <w:shd w:val="clear" w:color="auto" w:fill="auto"/>
            <w:noWrap/>
            <w:vAlign w:val="center"/>
            <w:hideMark/>
          </w:tcPr>
          <w:p w14:paraId="2E5826F9" w14:textId="77777777" w:rsidR="00C90281" w:rsidRPr="00C90281" w:rsidRDefault="00C90281" w:rsidP="00C90281">
            <w:pPr>
              <w:spacing w:after="0" w:line="240" w:lineRule="auto"/>
              <w:jc w:val="right"/>
              <w:rPr>
                <w:rFonts w:ascii="Arial" w:hAnsi="Arial" w:cs="Arial"/>
                <w:sz w:val="18"/>
                <w:szCs w:val="18"/>
              </w:rPr>
            </w:pPr>
            <w:r w:rsidRPr="00C90281">
              <w:rPr>
                <w:rFonts w:ascii="Arial" w:hAnsi="Arial" w:cs="Arial"/>
                <w:sz w:val="18"/>
                <w:szCs w:val="18"/>
              </w:rPr>
              <w:t>29</w:t>
            </w:r>
          </w:p>
        </w:tc>
        <w:tc>
          <w:tcPr>
            <w:tcW w:w="992" w:type="dxa"/>
            <w:tcBorders>
              <w:top w:val="nil"/>
              <w:left w:val="nil"/>
              <w:bottom w:val="single" w:sz="4" w:space="0" w:color="auto"/>
              <w:right w:val="single" w:sz="4" w:space="0" w:color="auto"/>
            </w:tcBorders>
            <w:shd w:val="clear" w:color="auto" w:fill="auto"/>
            <w:noWrap/>
            <w:vAlign w:val="center"/>
            <w:hideMark/>
          </w:tcPr>
          <w:p w14:paraId="06DBF946" w14:textId="77777777" w:rsidR="00C90281" w:rsidRPr="00C90281" w:rsidRDefault="00C90281" w:rsidP="00C90281">
            <w:pPr>
              <w:spacing w:after="0" w:line="240" w:lineRule="auto"/>
              <w:jc w:val="right"/>
              <w:rPr>
                <w:rFonts w:ascii="Arial" w:hAnsi="Arial" w:cs="Arial"/>
                <w:sz w:val="18"/>
                <w:szCs w:val="18"/>
              </w:rPr>
            </w:pPr>
            <w:r w:rsidRPr="00C90281">
              <w:rPr>
                <w:rFonts w:ascii="Arial" w:hAnsi="Arial" w:cs="Arial"/>
                <w:sz w:val="18"/>
                <w:szCs w:val="18"/>
              </w:rPr>
              <w:t>41</w:t>
            </w:r>
          </w:p>
        </w:tc>
        <w:tc>
          <w:tcPr>
            <w:tcW w:w="1418" w:type="dxa"/>
            <w:tcBorders>
              <w:top w:val="nil"/>
              <w:left w:val="nil"/>
              <w:bottom w:val="single" w:sz="4" w:space="0" w:color="auto"/>
              <w:right w:val="single" w:sz="4" w:space="0" w:color="auto"/>
            </w:tcBorders>
            <w:shd w:val="clear" w:color="auto" w:fill="auto"/>
            <w:noWrap/>
            <w:vAlign w:val="center"/>
            <w:hideMark/>
          </w:tcPr>
          <w:p w14:paraId="3FF6AB9A" w14:textId="77777777" w:rsidR="00C90281" w:rsidRPr="00C90281" w:rsidRDefault="00C90281" w:rsidP="00C90281">
            <w:pPr>
              <w:spacing w:after="0" w:line="240" w:lineRule="auto"/>
              <w:jc w:val="right"/>
              <w:rPr>
                <w:rFonts w:ascii="Arial" w:hAnsi="Arial" w:cs="Arial"/>
                <w:sz w:val="18"/>
                <w:szCs w:val="18"/>
              </w:rPr>
            </w:pPr>
            <w:r w:rsidRPr="00C90281">
              <w:rPr>
                <w:rFonts w:ascii="Arial" w:hAnsi="Arial" w:cs="Arial"/>
                <w:sz w:val="18"/>
                <w:szCs w:val="18"/>
              </w:rPr>
              <w:t>48.768.488</w:t>
            </w:r>
          </w:p>
        </w:tc>
        <w:tc>
          <w:tcPr>
            <w:tcW w:w="1276" w:type="dxa"/>
            <w:tcBorders>
              <w:top w:val="nil"/>
              <w:left w:val="nil"/>
              <w:bottom w:val="single" w:sz="4" w:space="0" w:color="auto"/>
              <w:right w:val="single" w:sz="4" w:space="0" w:color="auto"/>
            </w:tcBorders>
            <w:shd w:val="clear" w:color="auto" w:fill="auto"/>
            <w:noWrap/>
            <w:vAlign w:val="center"/>
            <w:hideMark/>
          </w:tcPr>
          <w:p w14:paraId="7521FD1F" w14:textId="273B5E45" w:rsidR="00C90281" w:rsidRPr="00C90281" w:rsidRDefault="00C90281" w:rsidP="00C90281">
            <w:pPr>
              <w:spacing w:after="0" w:line="240" w:lineRule="auto"/>
              <w:jc w:val="right"/>
              <w:rPr>
                <w:rFonts w:ascii="Arial" w:hAnsi="Arial" w:cs="Arial"/>
                <w:sz w:val="18"/>
                <w:szCs w:val="18"/>
              </w:rPr>
            </w:pPr>
            <w:r w:rsidRPr="00C90281">
              <w:rPr>
                <w:rFonts w:ascii="Arial" w:hAnsi="Arial" w:cs="Arial"/>
                <w:sz w:val="18"/>
                <w:szCs w:val="18"/>
              </w:rPr>
              <w:t>0,48 %</w:t>
            </w:r>
          </w:p>
        </w:tc>
        <w:tc>
          <w:tcPr>
            <w:tcW w:w="1134" w:type="dxa"/>
            <w:tcBorders>
              <w:top w:val="nil"/>
              <w:left w:val="nil"/>
              <w:bottom w:val="single" w:sz="4" w:space="0" w:color="auto"/>
              <w:right w:val="single" w:sz="4" w:space="0" w:color="auto"/>
            </w:tcBorders>
            <w:shd w:val="clear" w:color="auto" w:fill="auto"/>
            <w:noWrap/>
            <w:vAlign w:val="center"/>
            <w:hideMark/>
          </w:tcPr>
          <w:p w14:paraId="33F887B9" w14:textId="1DD08BBC" w:rsidR="00C90281" w:rsidRPr="00C90281" w:rsidRDefault="00C90281" w:rsidP="00C90281">
            <w:pPr>
              <w:spacing w:after="0" w:line="240" w:lineRule="auto"/>
              <w:jc w:val="right"/>
              <w:rPr>
                <w:rFonts w:ascii="Arial" w:hAnsi="Arial" w:cs="Arial"/>
                <w:sz w:val="18"/>
                <w:szCs w:val="18"/>
              </w:rPr>
            </w:pPr>
            <w:r w:rsidRPr="00C90281">
              <w:rPr>
                <w:rFonts w:ascii="Arial" w:hAnsi="Arial" w:cs="Arial"/>
                <w:sz w:val="18"/>
                <w:szCs w:val="18"/>
              </w:rPr>
              <w:t>0,25 %</w:t>
            </w:r>
          </w:p>
        </w:tc>
        <w:tc>
          <w:tcPr>
            <w:tcW w:w="1272" w:type="dxa"/>
            <w:tcBorders>
              <w:top w:val="nil"/>
              <w:left w:val="nil"/>
              <w:bottom w:val="single" w:sz="4" w:space="0" w:color="auto"/>
              <w:right w:val="single" w:sz="4" w:space="0" w:color="auto"/>
            </w:tcBorders>
            <w:shd w:val="clear" w:color="auto" w:fill="auto"/>
            <w:noWrap/>
            <w:vAlign w:val="center"/>
            <w:hideMark/>
          </w:tcPr>
          <w:p w14:paraId="607B889D" w14:textId="6C977627" w:rsidR="00C90281" w:rsidRPr="00C90281" w:rsidRDefault="00C90281" w:rsidP="00C90281">
            <w:pPr>
              <w:spacing w:after="0" w:line="240" w:lineRule="auto"/>
              <w:jc w:val="right"/>
              <w:rPr>
                <w:rFonts w:ascii="Arial" w:hAnsi="Arial" w:cs="Arial"/>
                <w:sz w:val="18"/>
                <w:szCs w:val="18"/>
              </w:rPr>
            </w:pPr>
            <w:r w:rsidRPr="00C90281">
              <w:rPr>
                <w:rFonts w:ascii="Arial" w:hAnsi="Arial" w:cs="Arial"/>
                <w:sz w:val="18"/>
                <w:szCs w:val="18"/>
              </w:rPr>
              <w:t>0,99 %</w:t>
            </w:r>
          </w:p>
        </w:tc>
      </w:tr>
      <w:tr w:rsidR="00C90281" w:rsidRPr="00C90281" w14:paraId="052A733F" w14:textId="77777777" w:rsidTr="00C90281">
        <w:trPr>
          <w:trHeight w:val="252"/>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4EDC3391" w14:textId="77777777" w:rsidR="00C90281" w:rsidRPr="00C90281" w:rsidRDefault="00C90281" w:rsidP="00C90281">
            <w:pPr>
              <w:spacing w:after="0" w:line="240" w:lineRule="auto"/>
              <w:rPr>
                <w:rFonts w:ascii="Arial" w:hAnsi="Arial" w:cs="Arial"/>
                <w:sz w:val="18"/>
                <w:szCs w:val="18"/>
              </w:rPr>
            </w:pPr>
            <w:r w:rsidRPr="00C90281">
              <w:rPr>
                <w:rFonts w:ascii="Arial" w:hAnsi="Arial" w:cs="Arial"/>
                <w:sz w:val="18"/>
                <w:szCs w:val="18"/>
              </w:rPr>
              <w:t>Konkurenčni postopek s pogajanji</w:t>
            </w:r>
          </w:p>
        </w:tc>
        <w:tc>
          <w:tcPr>
            <w:tcW w:w="992" w:type="dxa"/>
            <w:tcBorders>
              <w:top w:val="nil"/>
              <w:left w:val="nil"/>
              <w:bottom w:val="single" w:sz="4" w:space="0" w:color="auto"/>
              <w:right w:val="single" w:sz="4" w:space="0" w:color="auto"/>
            </w:tcBorders>
            <w:shd w:val="clear" w:color="auto" w:fill="auto"/>
            <w:noWrap/>
            <w:vAlign w:val="center"/>
            <w:hideMark/>
          </w:tcPr>
          <w:p w14:paraId="70B317EA" w14:textId="77777777" w:rsidR="00C90281" w:rsidRPr="00C90281" w:rsidRDefault="00C90281" w:rsidP="00C90281">
            <w:pPr>
              <w:spacing w:after="0" w:line="240" w:lineRule="auto"/>
              <w:jc w:val="right"/>
              <w:rPr>
                <w:rFonts w:ascii="Arial" w:hAnsi="Arial" w:cs="Arial"/>
                <w:sz w:val="18"/>
                <w:szCs w:val="18"/>
              </w:rPr>
            </w:pPr>
            <w:r w:rsidRPr="00C90281">
              <w:rPr>
                <w:rFonts w:ascii="Arial" w:hAnsi="Arial" w:cs="Arial"/>
                <w:sz w:val="18"/>
                <w:szCs w:val="18"/>
              </w:rPr>
              <w:t>95</w:t>
            </w:r>
          </w:p>
        </w:tc>
        <w:tc>
          <w:tcPr>
            <w:tcW w:w="992" w:type="dxa"/>
            <w:tcBorders>
              <w:top w:val="nil"/>
              <w:left w:val="nil"/>
              <w:bottom w:val="single" w:sz="4" w:space="0" w:color="auto"/>
              <w:right w:val="single" w:sz="4" w:space="0" w:color="auto"/>
            </w:tcBorders>
            <w:shd w:val="clear" w:color="auto" w:fill="auto"/>
            <w:noWrap/>
            <w:vAlign w:val="center"/>
            <w:hideMark/>
          </w:tcPr>
          <w:p w14:paraId="21A96ED6" w14:textId="77777777" w:rsidR="00C90281" w:rsidRPr="00C90281" w:rsidRDefault="00C90281" w:rsidP="00C90281">
            <w:pPr>
              <w:spacing w:after="0" w:line="240" w:lineRule="auto"/>
              <w:jc w:val="right"/>
              <w:rPr>
                <w:rFonts w:ascii="Arial" w:hAnsi="Arial" w:cs="Arial"/>
                <w:sz w:val="18"/>
                <w:szCs w:val="18"/>
              </w:rPr>
            </w:pPr>
            <w:r w:rsidRPr="00C90281">
              <w:rPr>
                <w:rFonts w:ascii="Arial" w:hAnsi="Arial" w:cs="Arial"/>
                <w:sz w:val="18"/>
                <w:szCs w:val="18"/>
              </w:rPr>
              <w:t>137</w:t>
            </w:r>
          </w:p>
        </w:tc>
        <w:tc>
          <w:tcPr>
            <w:tcW w:w="1418" w:type="dxa"/>
            <w:tcBorders>
              <w:top w:val="nil"/>
              <w:left w:val="nil"/>
              <w:bottom w:val="single" w:sz="4" w:space="0" w:color="auto"/>
              <w:right w:val="single" w:sz="4" w:space="0" w:color="auto"/>
            </w:tcBorders>
            <w:shd w:val="clear" w:color="auto" w:fill="auto"/>
            <w:noWrap/>
            <w:vAlign w:val="center"/>
            <w:hideMark/>
          </w:tcPr>
          <w:p w14:paraId="7C0DC0E9" w14:textId="77777777" w:rsidR="00C90281" w:rsidRPr="00C90281" w:rsidRDefault="00C90281" w:rsidP="00C90281">
            <w:pPr>
              <w:spacing w:after="0" w:line="240" w:lineRule="auto"/>
              <w:jc w:val="right"/>
              <w:rPr>
                <w:rFonts w:ascii="Arial" w:hAnsi="Arial" w:cs="Arial"/>
                <w:sz w:val="18"/>
                <w:szCs w:val="18"/>
              </w:rPr>
            </w:pPr>
            <w:r w:rsidRPr="00C90281">
              <w:rPr>
                <w:rFonts w:ascii="Arial" w:hAnsi="Arial" w:cs="Arial"/>
                <w:sz w:val="18"/>
                <w:szCs w:val="18"/>
              </w:rPr>
              <w:t>192.506.669</w:t>
            </w:r>
          </w:p>
        </w:tc>
        <w:tc>
          <w:tcPr>
            <w:tcW w:w="1276" w:type="dxa"/>
            <w:tcBorders>
              <w:top w:val="nil"/>
              <w:left w:val="nil"/>
              <w:bottom w:val="single" w:sz="4" w:space="0" w:color="auto"/>
              <w:right w:val="single" w:sz="4" w:space="0" w:color="auto"/>
            </w:tcBorders>
            <w:shd w:val="clear" w:color="auto" w:fill="auto"/>
            <w:noWrap/>
            <w:vAlign w:val="center"/>
            <w:hideMark/>
          </w:tcPr>
          <w:p w14:paraId="36AE9B30" w14:textId="2B9C4B25" w:rsidR="00C90281" w:rsidRPr="00C90281" w:rsidRDefault="00C90281" w:rsidP="00C90281">
            <w:pPr>
              <w:spacing w:after="0" w:line="240" w:lineRule="auto"/>
              <w:jc w:val="right"/>
              <w:rPr>
                <w:rFonts w:ascii="Arial" w:hAnsi="Arial" w:cs="Arial"/>
                <w:sz w:val="18"/>
                <w:szCs w:val="18"/>
              </w:rPr>
            </w:pPr>
            <w:r w:rsidRPr="00C90281">
              <w:rPr>
                <w:rFonts w:ascii="Arial" w:hAnsi="Arial" w:cs="Arial"/>
                <w:sz w:val="18"/>
                <w:szCs w:val="18"/>
              </w:rPr>
              <w:t>1,58 %</w:t>
            </w:r>
          </w:p>
        </w:tc>
        <w:tc>
          <w:tcPr>
            <w:tcW w:w="1134" w:type="dxa"/>
            <w:tcBorders>
              <w:top w:val="nil"/>
              <w:left w:val="nil"/>
              <w:bottom w:val="single" w:sz="4" w:space="0" w:color="auto"/>
              <w:right w:val="single" w:sz="4" w:space="0" w:color="auto"/>
            </w:tcBorders>
            <w:shd w:val="clear" w:color="auto" w:fill="auto"/>
            <w:noWrap/>
            <w:vAlign w:val="center"/>
            <w:hideMark/>
          </w:tcPr>
          <w:p w14:paraId="638453AE" w14:textId="648D6CC8" w:rsidR="00C90281" w:rsidRPr="00C90281" w:rsidRDefault="00C90281" w:rsidP="00C90281">
            <w:pPr>
              <w:spacing w:after="0" w:line="240" w:lineRule="auto"/>
              <w:jc w:val="right"/>
              <w:rPr>
                <w:rFonts w:ascii="Arial" w:hAnsi="Arial" w:cs="Arial"/>
                <w:sz w:val="18"/>
                <w:szCs w:val="18"/>
              </w:rPr>
            </w:pPr>
            <w:r w:rsidRPr="00C90281">
              <w:rPr>
                <w:rFonts w:ascii="Arial" w:hAnsi="Arial" w:cs="Arial"/>
                <w:sz w:val="18"/>
                <w:szCs w:val="18"/>
              </w:rPr>
              <w:t>0,84 %</w:t>
            </w:r>
          </w:p>
        </w:tc>
        <w:tc>
          <w:tcPr>
            <w:tcW w:w="1272" w:type="dxa"/>
            <w:tcBorders>
              <w:top w:val="nil"/>
              <w:left w:val="nil"/>
              <w:bottom w:val="single" w:sz="4" w:space="0" w:color="auto"/>
              <w:right w:val="single" w:sz="4" w:space="0" w:color="auto"/>
            </w:tcBorders>
            <w:shd w:val="clear" w:color="auto" w:fill="auto"/>
            <w:noWrap/>
            <w:vAlign w:val="center"/>
            <w:hideMark/>
          </w:tcPr>
          <w:p w14:paraId="668B32D8" w14:textId="099CA571" w:rsidR="00C90281" w:rsidRPr="00C90281" w:rsidRDefault="00C90281" w:rsidP="00C90281">
            <w:pPr>
              <w:spacing w:after="0" w:line="240" w:lineRule="auto"/>
              <w:jc w:val="right"/>
              <w:rPr>
                <w:rFonts w:ascii="Arial" w:hAnsi="Arial" w:cs="Arial"/>
                <w:sz w:val="18"/>
                <w:szCs w:val="18"/>
              </w:rPr>
            </w:pPr>
            <w:r w:rsidRPr="00C90281">
              <w:rPr>
                <w:rFonts w:ascii="Arial" w:hAnsi="Arial" w:cs="Arial"/>
                <w:sz w:val="18"/>
                <w:szCs w:val="18"/>
              </w:rPr>
              <w:t>3,92 %</w:t>
            </w:r>
          </w:p>
        </w:tc>
      </w:tr>
      <w:tr w:rsidR="00C90281" w:rsidRPr="00C90281" w14:paraId="3E60CD28" w14:textId="77777777" w:rsidTr="00C90281">
        <w:trPr>
          <w:trHeight w:val="252"/>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4893E525" w14:textId="77777777" w:rsidR="00C90281" w:rsidRPr="00C90281" w:rsidRDefault="00C90281" w:rsidP="00C90281">
            <w:pPr>
              <w:spacing w:after="0" w:line="240" w:lineRule="auto"/>
              <w:rPr>
                <w:rFonts w:ascii="Arial" w:hAnsi="Arial" w:cs="Arial"/>
                <w:sz w:val="18"/>
                <w:szCs w:val="18"/>
              </w:rPr>
            </w:pPr>
            <w:r w:rsidRPr="00C90281">
              <w:rPr>
                <w:rFonts w:ascii="Arial" w:hAnsi="Arial" w:cs="Arial"/>
                <w:sz w:val="18"/>
                <w:szCs w:val="18"/>
              </w:rPr>
              <w:t>Odprti postopek</w:t>
            </w:r>
          </w:p>
        </w:tc>
        <w:tc>
          <w:tcPr>
            <w:tcW w:w="992" w:type="dxa"/>
            <w:tcBorders>
              <w:top w:val="nil"/>
              <w:left w:val="nil"/>
              <w:bottom w:val="single" w:sz="4" w:space="0" w:color="auto"/>
              <w:right w:val="single" w:sz="4" w:space="0" w:color="auto"/>
            </w:tcBorders>
            <w:shd w:val="clear" w:color="auto" w:fill="auto"/>
            <w:noWrap/>
            <w:vAlign w:val="center"/>
            <w:hideMark/>
          </w:tcPr>
          <w:p w14:paraId="6CCA8B30" w14:textId="77777777" w:rsidR="00C90281" w:rsidRPr="00C90281" w:rsidRDefault="00C90281" w:rsidP="00C90281">
            <w:pPr>
              <w:spacing w:after="0" w:line="240" w:lineRule="auto"/>
              <w:jc w:val="right"/>
              <w:rPr>
                <w:rFonts w:ascii="Arial" w:hAnsi="Arial" w:cs="Arial"/>
                <w:sz w:val="18"/>
                <w:szCs w:val="18"/>
              </w:rPr>
            </w:pPr>
            <w:r w:rsidRPr="00C90281">
              <w:rPr>
                <w:rFonts w:ascii="Arial" w:hAnsi="Arial" w:cs="Arial"/>
                <w:sz w:val="18"/>
                <w:szCs w:val="18"/>
              </w:rPr>
              <w:t>1.981</w:t>
            </w:r>
          </w:p>
        </w:tc>
        <w:tc>
          <w:tcPr>
            <w:tcW w:w="992" w:type="dxa"/>
            <w:tcBorders>
              <w:top w:val="nil"/>
              <w:left w:val="nil"/>
              <w:bottom w:val="single" w:sz="4" w:space="0" w:color="auto"/>
              <w:right w:val="single" w:sz="4" w:space="0" w:color="auto"/>
            </w:tcBorders>
            <w:shd w:val="clear" w:color="auto" w:fill="auto"/>
            <w:noWrap/>
            <w:vAlign w:val="center"/>
            <w:hideMark/>
          </w:tcPr>
          <w:p w14:paraId="314AACF8" w14:textId="77777777" w:rsidR="00C90281" w:rsidRPr="00C90281" w:rsidRDefault="00C90281" w:rsidP="00C90281">
            <w:pPr>
              <w:spacing w:after="0" w:line="240" w:lineRule="auto"/>
              <w:jc w:val="right"/>
              <w:rPr>
                <w:rFonts w:ascii="Arial" w:hAnsi="Arial" w:cs="Arial"/>
                <w:sz w:val="18"/>
                <w:szCs w:val="18"/>
              </w:rPr>
            </w:pPr>
            <w:r w:rsidRPr="00C90281">
              <w:rPr>
                <w:rFonts w:ascii="Arial" w:hAnsi="Arial" w:cs="Arial"/>
                <w:sz w:val="18"/>
                <w:szCs w:val="18"/>
              </w:rPr>
              <w:t>9.876</w:t>
            </w:r>
          </w:p>
        </w:tc>
        <w:tc>
          <w:tcPr>
            <w:tcW w:w="1418" w:type="dxa"/>
            <w:tcBorders>
              <w:top w:val="nil"/>
              <w:left w:val="nil"/>
              <w:bottom w:val="single" w:sz="4" w:space="0" w:color="auto"/>
              <w:right w:val="single" w:sz="4" w:space="0" w:color="auto"/>
            </w:tcBorders>
            <w:shd w:val="clear" w:color="auto" w:fill="auto"/>
            <w:noWrap/>
            <w:vAlign w:val="center"/>
            <w:hideMark/>
          </w:tcPr>
          <w:p w14:paraId="18DA7BBD" w14:textId="77777777" w:rsidR="00C90281" w:rsidRPr="00C90281" w:rsidRDefault="00C90281" w:rsidP="00C90281">
            <w:pPr>
              <w:spacing w:after="0" w:line="240" w:lineRule="auto"/>
              <w:jc w:val="right"/>
              <w:rPr>
                <w:rFonts w:ascii="Arial" w:hAnsi="Arial" w:cs="Arial"/>
                <w:sz w:val="18"/>
                <w:szCs w:val="18"/>
              </w:rPr>
            </w:pPr>
            <w:r w:rsidRPr="00C90281">
              <w:rPr>
                <w:rFonts w:ascii="Arial" w:hAnsi="Arial" w:cs="Arial"/>
                <w:sz w:val="18"/>
                <w:szCs w:val="18"/>
              </w:rPr>
              <w:t>3.428.271.889</w:t>
            </w:r>
          </w:p>
        </w:tc>
        <w:tc>
          <w:tcPr>
            <w:tcW w:w="1276" w:type="dxa"/>
            <w:tcBorders>
              <w:top w:val="nil"/>
              <w:left w:val="nil"/>
              <w:bottom w:val="single" w:sz="4" w:space="0" w:color="auto"/>
              <w:right w:val="single" w:sz="4" w:space="0" w:color="auto"/>
            </w:tcBorders>
            <w:shd w:val="clear" w:color="auto" w:fill="auto"/>
            <w:noWrap/>
            <w:vAlign w:val="center"/>
            <w:hideMark/>
          </w:tcPr>
          <w:p w14:paraId="10C9CCBE" w14:textId="25FB8842" w:rsidR="00C90281" w:rsidRPr="00C90281" w:rsidRDefault="00C90281" w:rsidP="00C90281">
            <w:pPr>
              <w:spacing w:after="0" w:line="240" w:lineRule="auto"/>
              <w:jc w:val="right"/>
              <w:rPr>
                <w:rFonts w:ascii="Arial" w:hAnsi="Arial" w:cs="Arial"/>
                <w:sz w:val="18"/>
                <w:szCs w:val="18"/>
              </w:rPr>
            </w:pPr>
            <w:r w:rsidRPr="00C90281">
              <w:rPr>
                <w:rFonts w:ascii="Arial" w:hAnsi="Arial" w:cs="Arial"/>
                <w:sz w:val="18"/>
                <w:szCs w:val="18"/>
              </w:rPr>
              <w:t>33,04 %</w:t>
            </w:r>
          </w:p>
        </w:tc>
        <w:tc>
          <w:tcPr>
            <w:tcW w:w="1134" w:type="dxa"/>
            <w:tcBorders>
              <w:top w:val="nil"/>
              <w:left w:val="nil"/>
              <w:bottom w:val="single" w:sz="4" w:space="0" w:color="auto"/>
              <w:right w:val="single" w:sz="4" w:space="0" w:color="auto"/>
            </w:tcBorders>
            <w:shd w:val="clear" w:color="auto" w:fill="auto"/>
            <w:noWrap/>
            <w:vAlign w:val="center"/>
            <w:hideMark/>
          </w:tcPr>
          <w:p w14:paraId="28C048A7" w14:textId="20932B6B" w:rsidR="00C90281" w:rsidRPr="00C90281" w:rsidRDefault="00C90281" w:rsidP="00C90281">
            <w:pPr>
              <w:spacing w:after="0" w:line="240" w:lineRule="auto"/>
              <w:jc w:val="right"/>
              <w:rPr>
                <w:rFonts w:ascii="Arial" w:hAnsi="Arial" w:cs="Arial"/>
                <w:sz w:val="18"/>
                <w:szCs w:val="18"/>
              </w:rPr>
            </w:pPr>
            <w:r w:rsidRPr="00C90281">
              <w:rPr>
                <w:rFonts w:ascii="Arial" w:hAnsi="Arial" w:cs="Arial"/>
                <w:sz w:val="18"/>
                <w:szCs w:val="18"/>
              </w:rPr>
              <w:t>60,48 %</w:t>
            </w:r>
          </w:p>
        </w:tc>
        <w:tc>
          <w:tcPr>
            <w:tcW w:w="1272" w:type="dxa"/>
            <w:tcBorders>
              <w:top w:val="nil"/>
              <w:left w:val="nil"/>
              <w:bottom w:val="single" w:sz="4" w:space="0" w:color="auto"/>
              <w:right w:val="single" w:sz="4" w:space="0" w:color="auto"/>
            </w:tcBorders>
            <w:shd w:val="clear" w:color="auto" w:fill="auto"/>
            <w:noWrap/>
            <w:vAlign w:val="center"/>
            <w:hideMark/>
          </w:tcPr>
          <w:p w14:paraId="73AFE7E9" w14:textId="5983897C" w:rsidR="00C90281" w:rsidRPr="00C90281" w:rsidRDefault="00C90281" w:rsidP="00C90281">
            <w:pPr>
              <w:spacing w:after="0" w:line="240" w:lineRule="auto"/>
              <w:jc w:val="right"/>
              <w:rPr>
                <w:rFonts w:ascii="Arial" w:hAnsi="Arial" w:cs="Arial"/>
                <w:sz w:val="18"/>
                <w:szCs w:val="18"/>
              </w:rPr>
            </w:pPr>
            <w:r w:rsidRPr="00C90281">
              <w:rPr>
                <w:rFonts w:ascii="Arial" w:hAnsi="Arial" w:cs="Arial"/>
                <w:sz w:val="18"/>
                <w:szCs w:val="18"/>
              </w:rPr>
              <w:t>69,77 %</w:t>
            </w:r>
          </w:p>
        </w:tc>
      </w:tr>
      <w:tr w:rsidR="00C90281" w:rsidRPr="00C90281" w14:paraId="3DC8E659" w14:textId="77777777" w:rsidTr="00C90281">
        <w:trPr>
          <w:trHeight w:val="252"/>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22AB4695" w14:textId="77777777" w:rsidR="00C90281" w:rsidRPr="00C90281" w:rsidRDefault="00C90281" w:rsidP="00C90281">
            <w:pPr>
              <w:spacing w:after="0" w:line="240" w:lineRule="auto"/>
              <w:rPr>
                <w:rFonts w:ascii="Arial" w:hAnsi="Arial" w:cs="Arial"/>
                <w:sz w:val="18"/>
                <w:szCs w:val="18"/>
              </w:rPr>
            </w:pPr>
            <w:r w:rsidRPr="00C90281">
              <w:rPr>
                <w:rFonts w:ascii="Arial" w:hAnsi="Arial" w:cs="Arial"/>
                <w:sz w:val="18"/>
                <w:szCs w:val="18"/>
              </w:rPr>
              <w:t>Omejeni postopek</w:t>
            </w:r>
          </w:p>
        </w:tc>
        <w:tc>
          <w:tcPr>
            <w:tcW w:w="992" w:type="dxa"/>
            <w:tcBorders>
              <w:top w:val="nil"/>
              <w:left w:val="nil"/>
              <w:bottom w:val="single" w:sz="4" w:space="0" w:color="auto"/>
              <w:right w:val="single" w:sz="4" w:space="0" w:color="auto"/>
            </w:tcBorders>
            <w:shd w:val="clear" w:color="auto" w:fill="auto"/>
            <w:noWrap/>
            <w:vAlign w:val="center"/>
            <w:hideMark/>
          </w:tcPr>
          <w:p w14:paraId="1FBF8DCF" w14:textId="77777777" w:rsidR="00C90281" w:rsidRPr="00C90281" w:rsidRDefault="00C90281" w:rsidP="00C90281">
            <w:pPr>
              <w:spacing w:after="0" w:line="240" w:lineRule="auto"/>
              <w:jc w:val="right"/>
              <w:rPr>
                <w:rFonts w:ascii="Arial" w:hAnsi="Arial" w:cs="Arial"/>
                <w:sz w:val="18"/>
                <w:szCs w:val="18"/>
              </w:rPr>
            </w:pPr>
            <w:r w:rsidRPr="00C90281">
              <w:rPr>
                <w:rFonts w:ascii="Arial" w:hAnsi="Arial" w:cs="Arial"/>
                <w:sz w:val="18"/>
                <w:szCs w:val="18"/>
              </w:rPr>
              <w:t>25</w:t>
            </w:r>
          </w:p>
        </w:tc>
        <w:tc>
          <w:tcPr>
            <w:tcW w:w="992" w:type="dxa"/>
            <w:tcBorders>
              <w:top w:val="nil"/>
              <w:left w:val="nil"/>
              <w:bottom w:val="single" w:sz="4" w:space="0" w:color="auto"/>
              <w:right w:val="single" w:sz="4" w:space="0" w:color="auto"/>
            </w:tcBorders>
            <w:shd w:val="clear" w:color="auto" w:fill="auto"/>
            <w:noWrap/>
            <w:vAlign w:val="center"/>
            <w:hideMark/>
          </w:tcPr>
          <w:p w14:paraId="12B00336" w14:textId="77777777" w:rsidR="00C90281" w:rsidRPr="00C90281" w:rsidRDefault="00C90281" w:rsidP="00C90281">
            <w:pPr>
              <w:spacing w:after="0" w:line="240" w:lineRule="auto"/>
              <w:jc w:val="right"/>
              <w:rPr>
                <w:rFonts w:ascii="Arial" w:hAnsi="Arial" w:cs="Arial"/>
                <w:sz w:val="18"/>
                <w:szCs w:val="18"/>
              </w:rPr>
            </w:pPr>
            <w:r w:rsidRPr="00C90281">
              <w:rPr>
                <w:rFonts w:ascii="Arial" w:hAnsi="Arial" w:cs="Arial"/>
                <w:sz w:val="18"/>
                <w:szCs w:val="18"/>
              </w:rPr>
              <w:t>59</w:t>
            </w:r>
          </w:p>
        </w:tc>
        <w:tc>
          <w:tcPr>
            <w:tcW w:w="1418" w:type="dxa"/>
            <w:tcBorders>
              <w:top w:val="nil"/>
              <w:left w:val="nil"/>
              <w:bottom w:val="single" w:sz="4" w:space="0" w:color="auto"/>
              <w:right w:val="single" w:sz="4" w:space="0" w:color="auto"/>
            </w:tcBorders>
            <w:shd w:val="clear" w:color="auto" w:fill="auto"/>
            <w:noWrap/>
            <w:vAlign w:val="center"/>
            <w:hideMark/>
          </w:tcPr>
          <w:p w14:paraId="0577ED43" w14:textId="77777777" w:rsidR="00C90281" w:rsidRPr="00C90281" w:rsidRDefault="00C90281" w:rsidP="00C90281">
            <w:pPr>
              <w:spacing w:after="0" w:line="240" w:lineRule="auto"/>
              <w:jc w:val="right"/>
              <w:rPr>
                <w:rFonts w:ascii="Arial" w:hAnsi="Arial" w:cs="Arial"/>
                <w:sz w:val="18"/>
                <w:szCs w:val="18"/>
              </w:rPr>
            </w:pPr>
            <w:r w:rsidRPr="00C90281">
              <w:rPr>
                <w:rFonts w:ascii="Arial" w:hAnsi="Arial" w:cs="Arial"/>
                <w:sz w:val="18"/>
                <w:szCs w:val="18"/>
              </w:rPr>
              <w:t>80.970.772</w:t>
            </w:r>
          </w:p>
        </w:tc>
        <w:tc>
          <w:tcPr>
            <w:tcW w:w="1276" w:type="dxa"/>
            <w:tcBorders>
              <w:top w:val="nil"/>
              <w:left w:val="nil"/>
              <w:bottom w:val="single" w:sz="4" w:space="0" w:color="auto"/>
              <w:right w:val="single" w:sz="4" w:space="0" w:color="auto"/>
            </w:tcBorders>
            <w:shd w:val="clear" w:color="auto" w:fill="auto"/>
            <w:noWrap/>
            <w:vAlign w:val="center"/>
            <w:hideMark/>
          </w:tcPr>
          <w:p w14:paraId="64D5D11E" w14:textId="3DA72032" w:rsidR="00C90281" w:rsidRPr="00C90281" w:rsidRDefault="00C90281" w:rsidP="00C90281">
            <w:pPr>
              <w:spacing w:after="0" w:line="240" w:lineRule="auto"/>
              <w:jc w:val="right"/>
              <w:rPr>
                <w:rFonts w:ascii="Arial" w:hAnsi="Arial" w:cs="Arial"/>
                <w:sz w:val="18"/>
                <w:szCs w:val="18"/>
              </w:rPr>
            </w:pPr>
            <w:r w:rsidRPr="00C90281">
              <w:rPr>
                <w:rFonts w:ascii="Arial" w:hAnsi="Arial" w:cs="Arial"/>
                <w:sz w:val="18"/>
                <w:szCs w:val="18"/>
              </w:rPr>
              <w:t>0,42 %</w:t>
            </w:r>
          </w:p>
        </w:tc>
        <w:tc>
          <w:tcPr>
            <w:tcW w:w="1134" w:type="dxa"/>
            <w:tcBorders>
              <w:top w:val="nil"/>
              <w:left w:val="nil"/>
              <w:bottom w:val="single" w:sz="4" w:space="0" w:color="auto"/>
              <w:right w:val="single" w:sz="4" w:space="0" w:color="auto"/>
            </w:tcBorders>
            <w:shd w:val="clear" w:color="auto" w:fill="auto"/>
            <w:noWrap/>
            <w:vAlign w:val="center"/>
            <w:hideMark/>
          </w:tcPr>
          <w:p w14:paraId="79C46B6C" w14:textId="48F57DE3" w:rsidR="00C90281" w:rsidRPr="00C90281" w:rsidRDefault="00C90281" w:rsidP="00C90281">
            <w:pPr>
              <w:spacing w:after="0" w:line="240" w:lineRule="auto"/>
              <w:jc w:val="right"/>
              <w:rPr>
                <w:rFonts w:ascii="Arial" w:hAnsi="Arial" w:cs="Arial"/>
                <w:sz w:val="18"/>
                <w:szCs w:val="18"/>
              </w:rPr>
            </w:pPr>
            <w:r w:rsidRPr="00C90281">
              <w:rPr>
                <w:rFonts w:ascii="Arial" w:hAnsi="Arial" w:cs="Arial"/>
                <w:sz w:val="18"/>
                <w:szCs w:val="18"/>
              </w:rPr>
              <w:t>0,36 %</w:t>
            </w:r>
          </w:p>
        </w:tc>
        <w:tc>
          <w:tcPr>
            <w:tcW w:w="1272" w:type="dxa"/>
            <w:tcBorders>
              <w:top w:val="nil"/>
              <w:left w:val="nil"/>
              <w:bottom w:val="single" w:sz="4" w:space="0" w:color="auto"/>
              <w:right w:val="single" w:sz="4" w:space="0" w:color="auto"/>
            </w:tcBorders>
            <w:shd w:val="clear" w:color="auto" w:fill="auto"/>
            <w:noWrap/>
            <w:vAlign w:val="center"/>
            <w:hideMark/>
          </w:tcPr>
          <w:p w14:paraId="7F5A1447" w14:textId="263E450C" w:rsidR="00C90281" w:rsidRPr="00C90281" w:rsidRDefault="00C90281" w:rsidP="00C90281">
            <w:pPr>
              <w:spacing w:after="0" w:line="240" w:lineRule="auto"/>
              <w:jc w:val="right"/>
              <w:rPr>
                <w:rFonts w:ascii="Arial" w:hAnsi="Arial" w:cs="Arial"/>
                <w:sz w:val="18"/>
                <w:szCs w:val="18"/>
              </w:rPr>
            </w:pPr>
            <w:r w:rsidRPr="00C90281">
              <w:rPr>
                <w:rFonts w:ascii="Arial" w:hAnsi="Arial" w:cs="Arial"/>
                <w:sz w:val="18"/>
                <w:szCs w:val="18"/>
              </w:rPr>
              <w:t>1,65 %</w:t>
            </w:r>
          </w:p>
        </w:tc>
      </w:tr>
      <w:tr w:rsidR="00C90281" w:rsidRPr="00C90281" w14:paraId="08DEC12C" w14:textId="77777777" w:rsidTr="00C90281">
        <w:trPr>
          <w:trHeight w:val="252"/>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5F39B63A" w14:textId="77777777" w:rsidR="00C90281" w:rsidRPr="00C90281" w:rsidRDefault="00C90281" w:rsidP="00C90281">
            <w:pPr>
              <w:spacing w:after="0" w:line="240" w:lineRule="auto"/>
              <w:rPr>
                <w:rFonts w:ascii="Arial" w:hAnsi="Arial" w:cs="Arial"/>
                <w:sz w:val="18"/>
                <w:szCs w:val="18"/>
              </w:rPr>
            </w:pPr>
            <w:r w:rsidRPr="00C90281">
              <w:rPr>
                <w:rFonts w:ascii="Arial" w:hAnsi="Arial" w:cs="Arial"/>
                <w:sz w:val="18"/>
                <w:szCs w:val="18"/>
              </w:rPr>
              <w:t>Postopek naročila male vrednosti</w:t>
            </w:r>
          </w:p>
        </w:tc>
        <w:tc>
          <w:tcPr>
            <w:tcW w:w="992" w:type="dxa"/>
            <w:tcBorders>
              <w:top w:val="nil"/>
              <w:left w:val="nil"/>
              <w:bottom w:val="single" w:sz="4" w:space="0" w:color="auto"/>
              <w:right w:val="single" w:sz="4" w:space="0" w:color="auto"/>
            </w:tcBorders>
            <w:shd w:val="clear" w:color="auto" w:fill="auto"/>
            <w:noWrap/>
            <w:vAlign w:val="center"/>
            <w:hideMark/>
          </w:tcPr>
          <w:p w14:paraId="4410BD5D" w14:textId="77777777" w:rsidR="00C90281" w:rsidRPr="00C90281" w:rsidRDefault="00C90281" w:rsidP="00C90281">
            <w:pPr>
              <w:spacing w:after="0" w:line="240" w:lineRule="auto"/>
              <w:jc w:val="right"/>
              <w:rPr>
                <w:rFonts w:ascii="Arial" w:hAnsi="Arial" w:cs="Arial"/>
                <w:sz w:val="18"/>
                <w:szCs w:val="18"/>
              </w:rPr>
            </w:pPr>
            <w:r w:rsidRPr="00C90281">
              <w:rPr>
                <w:rFonts w:ascii="Arial" w:hAnsi="Arial" w:cs="Arial"/>
                <w:sz w:val="18"/>
                <w:szCs w:val="18"/>
              </w:rPr>
              <w:t>3.677</w:t>
            </w:r>
          </w:p>
        </w:tc>
        <w:tc>
          <w:tcPr>
            <w:tcW w:w="992" w:type="dxa"/>
            <w:tcBorders>
              <w:top w:val="nil"/>
              <w:left w:val="nil"/>
              <w:bottom w:val="single" w:sz="4" w:space="0" w:color="auto"/>
              <w:right w:val="single" w:sz="4" w:space="0" w:color="auto"/>
            </w:tcBorders>
            <w:shd w:val="clear" w:color="auto" w:fill="auto"/>
            <w:noWrap/>
            <w:vAlign w:val="center"/>
            <w:hideMark/>
          </w:tcPr>
          <w:p w14:paraId="513D8102" w14:textId="77777777" w:rsidR="00C90281" w:rsidRPr="00C90281" w:rsidRDefault="00C90281" w:rsidP="00C90281">
            <w:pPr>
              <w:spacing w:after="0" w:line="240" w:lineRule="auto"/>
              <w:jc w:val="right"/>
              <w:rPr>
                <w:rFonts w:ascii="Arial" w:hAnsi="Arial" w:cs="Arial"/>
                <w:sz w:val="18"/>
                <w:szCs w:val="18"/>
              </w:rPr>
            </w:pPr>
            <w:r w:rsidRPr="00C90281">
              <w:rPr>
                <w:rFonts w:ascii="Arial" w:hAnsi="Arial" w:cs="Arial"/>
                <w:sz w:val="18"/>
                <w:szCs w:val="18"/>
              </w:rPr>
              <w:t>5.941</w:t>
            </w:r>
          </w:p>
        </w:tc>
        <w:tc>
          <w:tcPr>
            <w:tcW w:w="1418" w:type="dxa"/>
            <w:tcBorders>
              <w:top w:val="nil"/>
              <w:left w:val="nil"/>
              <w:bottom w:val="single" w:sz="4" w:space="0" w:color="auto"/>
              <w:right w:val="single" w:sz="4" w:space="0" w:color="auto"/>
            </w:tcBorders>
            <w:shd w:val="clear" w:color="auto" w:fill="auto"/>
            <w:noWrap/>
            <w:vAlign w:val="center"/>
            <w:hideMark/>
          </w:tcPr>
          <w:p w14:paraId="3F8B1CF7" w14:textId="77777777" w:rsidR="00C90281" w:rsidRPr="00C90281" w:rsidRDefault="00C90281" w:rsidP="00C90281">
            <w:pPr>
              <w:spacing w:after="0" w:line="240" w:lineRule="auto"/>
              <w:jc w:val="right"/>
              <w:rPr>
                <w:rFonts w:ascii="Arial" w:hAnsi="Arial" w:cs="Arial"/>
                <w:sz w:val="18"/>
                <w:szCs w:val="18"/>
              </w:rPr>
            </w:pPr>
            <w:r w:rsidRPr="00C90281">
              <w:rPr>
                <w:rFonts w:ascii="Arial" w:hAnsi="Arial" w:cs="Arial"/>
                <w:sz w:val="18"/>
                <w:szCs w:val="18"/>
              </w:rPr>
              <w:t>862.791.217</w:t>
            </w:r>
          </w:p>
        </w:tc>
        <w:tc>
          <w:tcPr>
            <w:tcW w:w="1276" w:type="dxa"/>
            <w:tcBorders>
              <w:top w:val="nil"/>
              <w:left w:val="nil"/>
              <w:bottom w:val="single" w:sz="4" w:space="0" w:color="auto"/>
              <w:right w:val="single" w:sz="4" w:space="0" w:color="auto"/>
            </w:tcBorders>
            <w:shd w:val="clear" w:color="auto" w:fill="auto"/>
            <w:noWrap/>
            <w:vAlign w:val="center"/>
            <w:hideMark/>
          </w:tcPr>
          <w:p w14:paraId="56E31781" w14:textId="4F8AFE4C" w:rsidR="00C90281" w:rsidRPr="00C90281" w:rsidRDefault="00C90281" w:rsidP="00C90281">
            <w:pPr>
              <w:spacing w:after="0" w:line="240" w:lineRule="auto"/>
              <w:jc w:val="right"/>
              <w:rPr>
                <w:rFonts w:ascii="Arial" w:hAnsi="Arial" w:cs="Arial"/>
                <w:sz w:val="18"/>
                <w:szCs w:val="18"/>
              </w:rPr>
            </w:pPr>
            <w:r w:rsidRPr="00C90281">
              <w:rPr>
                <w:rFonts w:ascii="Arial" w:hAnsi="Arial" w:cs="Arial"/>
                <w:sz w:val="18"/>
                <w:szCs w:val="18"/>
              </w:rPr>
              <w:t>61,33 %</w:t>
            </w:r>
          </w:p>
        </w:tc>
        <w:tc>
          <w:tcPr>
            <w:tcW w:w="1134" w:type="dxa"/>
            <w:tcBorders>
              <w:top w:val="nil"/>
              <w:left w:val="nil"/>
              <w:bottom w:val="single" w:sz="4" w:space="0" w:color="auto"/>
              <w:right w:val="single" w:sz="4" w:space="0" w:color="auto"/>
            </w:tcBorders>
            <w:shd w:val="clear" w:color="auto" w:fill="auto"/>
            <w:noWrap/>
            <w:vAlign w:val="center"/>
            <w:hideMark/>
          </w:tcPr>
          <w:p w14:paraId="61099FA8" w14:textId="0CEB5B63" w:rsidR="00C90281" w:rsidRPr="00C90281" w:rsidRDefault="00C90281" w:rsidP="00C90281">
            <w:pPr>
              <w:spacing w:after="0" w:line="240" w:lineRule="auto"/>
              <w:jc w:val="right"/>
              <w:rPr>
                <w:rFonts w:ascii="Arial" w:hAnsi="Arial" w:cs="Arial"/>
                <w:sz w:val="18"/>
                <w:szCs w:val="18"/>
              </w:rPr>
            </w:pPr>
            <w:r w:rsidRPr="00C90281">
              <w:rPr>
                <w:rFonts w:ascii="Arial" w:hAnsi="Arial" w:cs="Arial"/>
                <w:sz w:val="18"/>
                <w:szCs w:val="18"/>
              </w:rPr>
              <w:t>36,38 %</w:t>
            </w:r>
          </w:p>
        </w:tc>
        <w:tc>
          <w:tcPr>
            <w:tcW w:w="1272" w:type="dxa"/>
            <w:tcBorders>
              <w:top w:val="nil"/>
              <w:left w:val="nil"/>
              <w:bottom w:val="single" w:sz="4" w:space="0" w:color="auto"/>
              <w:right w:val="single" w:sz="4" w:space="0" w:color="auto"/>
            </w:tcBorders>
            <w:shd w:val="clear" w:color="auto" w:fill="auto"/>
            <w:noWrap/>
            <w:vAlign w:val="center"/>
            <w:hideMark/>
          </w:tcPr>
          <w:p w14:paraId="493ECA2B" w14:textId="3DEB9F86" w:rsidR="00C90281" w:rsidRPr="00C90281" w:rsidRDefault="00C90281" w:rsidP="00C90281">
            <w:pPr>
              <w:spacing w:after="0" w:line="240" w:lineRule="auto"/>
              <w:jc w:val="right"/>
              <w:rPr>
                <w:rFonts w:ascii="Arial" w:hAnsi="Arial" w:cs="Arial"/>
                <w:sz w:val="18"/>
                <w:szCs w:val="18"/>
              </w:rPr>
            </w:pPr>
            <w:r w:rsidRPr="00C90281">
              <w:rPr>
                <w:rFonts w:ascii="Arial" w:hAnsi="Arial" w:cs="Arial"/>
                <w:sz w:val="18"/>
                <w:szCs w:val="18"/>
              </w:rPr>
              <w:t>17,56 %</w:t>
            </w:r>
          </w:p>
        </w:tc>
      </w:tr>
      <w:tr w:rsidR="00C90281" w:rsidRPr="00C90281" w14:paraId="03E78078" w14:textId="77777777" w:rsidTr="00C90281">
        <w:trPr>
          <w:trHeight w:val="252"/>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64A55786" w14:textId="77777777" w:rsidR="00C90281" w:rsidRPr="00C90281" w:rsidRDefault="00C90281" w:rsidP="00C90281">
            <w:pPr>
              <w:spacing w:after="0" w:line="240" w:lineRule="auto"/>
              <w:rPr>
                <w:rFonts w:ascii="Arial" w:hAnsi="Arial" w:cs="Arial"/>
                <w:sz w:val="18"/>
                <w:szCs w:val="18"/>
              </w:rPr>
            </w:pPr>
            <w:r w:rsidRPr="00C90281">
              <w:rPr>
                <w:rFonts w:ascii="Arial" w:hAnsi="Arial" w:cs="Arial"/>
                <w:sz w:val="18"/>
                <w:szCs w:val="18"/>
              </w:rPr>
              <w:t>Postopek s pogajanji po predhodni objavi</w:t>
            </w:r>
          </w:p>
        </w:tc>
        <w:tc>
          <w:tcPr>
            <w:tcW w:w="992" w:type="dxa"/>
            <w:tcBorders>
              <w:top w:val="nil"/>
              <w:left w:val="nil"/>
              <w:bottom w:val="single" w:sz="4" w:space="0" w:color="auto"/>
              <w:right w:val="single" w:sz="4" w:space="0" w:color="auto"/>
            </w:tcBorders>
            <w:shd w:val="clear" w:color="auto" w:fill="auto"/>
            <w:noWrap/>
            <w:vAlign w:val="center"/>
            <w:hideMark/>
          </w:tcPr>
          <w:p w14:paraId="361BA5C5" w14:textId="77777777" w:rsidR="00C90281" w:rsidRPr="00C90281" w:rsidRDefault="00C90281" w:rsidP="00C90281">
            <w:pPr>
              <w:spacing w:after="0" w:line="240" w:lineRule="auto"/>
              <w:jc w:val="right"/>
              <w:rPr>
                <w:rFonts w:ascii="Arial" w:hAnsi="Arial" w:cs="Arial"/>
                <w:sz w:val="18"/>
                <w:szCs w:val="18"/>
              </w:rPr>
            </w:pPr>
            <w:r w:rsidRPr="00C90281">
              <w:rPr>
                <w:rFonts w:ascii="Arial" w:hAnsi="Arial" w:cs="Arial"/>
                <w:sz w:val="18"/>
                <w:szCs w:val="18"/>
              </w:rPr>
              <w:t>162</w:t>
            </w:r>
          </w:p>
        </w:tc>
        <w:tc>
          <w:tcPr>
            <w:tcW w:w="992" w:type="dxa"/>
            <w:tcBorders>
              <w:top w:val="nil"/>
              <w:left w:val="nil"/>
              <w:bottom w:val="single" w:sz="4" w:space="0" w:color="auto"/>
              <w:right w:val="single" w:sz="4" w:space="0" w:color="auto"/>
            </w:tcBorders>
            <w:shd w:val="clear" w:color="auto" w:fill="auto"/>
            <w:noWrap/>
            <w:vAlign w:val="center"/>
            <w:hideMark/>
          </w:tcPr>
          <w:p w14:paraId="5DB3343B" w14:textId="77777777" w:rsidR="00C90281" w:rsidRPr="00C90281" w:rsidRDefault="00C90281" w:rsidP="00C90281">
            <w:pPr>
              <w:spacing w:after="0" w:line="240" w:lineRule="auto"/>
              <w:jc w:val="right"/>
              <w:rPr>
                <w:rFonts w:ascii="Arial" w:hAnsi="Arial" w:cs="Arial"/>
                <w:sz w:val="18"/>
                <w:szCs w:val="18"/>
              </w:rPr>
            </w:pPr>
            <w:r w:rsidRPr="00C90281">
              <w:rPr>
                <w:rFonts w:ascii="Arial" w:hAnsi="Arial" w:cs="Arial"/>
                <w:sz w:val="18"/>
                <w:szCs w:val="18"/>
              </w:rPr>
              <w:t>243</w:t>
            </w:r>
          </w:p>
        </w:tc>
        <w:tc>
          <w:tcPr>
            <w:tcW w:w="1418" w:type="dxa"/>
            <w:tcBorders>
              <w:top w:val="nil"/>
              <w:left w:val="nil"/>
              <w:bottom w:val="single" w:sz="4" w:space="0" w:color="auto"/>
              <w:right w:val="single" w:sz="4" w:space="0" w:color="auto"/>
            </w:tcBorders>
            <w:shd w:val="clear" w:color="auto" w:fill="auto"/>
            <w:noWrap/>
            <w:vAlign w:val="center"/>
            <w:hideMark/>
          </w:tcPr>
          <w:p w14:paraId="3EE7A814" w14:textId="77777777" w:rsidR="00C90281" w:rsidRPr="00C90281" w:rsidRDefault="00C90281" w:rsidP="00C90281">
            <w:pPr>
              <w:spacing w:after="0" w:line="240" w:lineRule="auto"/>
              <w:jc w:val="right"/>
              <w:rPr>
                <w:rFonts w:ascii="Arial" w:hAnsi="Arial" w:cs="Arial"/>
                <w:sz w:val="18"/>
                <w:szCs w:val="18"/>
              </w:rPr>
            </w:pPr>
            <w:r w:rsidRPr="00C90281">
              <w:rPr>
                <w:rFonts w:ascii="Arial" w:hAnsi="Arial" w:cs="Arial"/>
                <w:sz w:val="18"/>
                <w:szCs w:val="18"/>
              </w:rPr>
              <w:t>294.171.651</w:t>
            </w:r>
          </w:p>
        </w:tc>
        <w:tc>
          <w:tcPr>
            <w:tcW w:w="1276" w:type="dxa"/>
            <w:tcBorders>
              <w:top w:val="nil"/>
              <w:left w:val="nil"/>
              <w:bottom w:val="single" w:sz="4" w:space="0" w:color="auto"/>
              <w:right w:val="single" w:sz="4" w:space="0" w:color="auto"/>
            </w:tcBorders>
            <w:shd w:val="clear" w:color="auto" w:fill="auto"/>
            <w:noWrap/>
            <w:vAlign w:val="center"/>
            <w:hideMark/>
          </w:tcPr>
          <w:p w14:paraId="5827EFA4" w14:textId="224A852D" w:rsidR="00C90281" w:rsidRPr="00C90281" w:rsidRDefault="00C90281" w:rsidP="00C90281">
            <w:pPr>
              <w:spacing w:after="0" w:line="240" w:lineRule="auto"/>
              <w:jc w:val="right"/>
              <w:rPr>
                <w:rFonts w:ascii="Arial" w:hAnsi="Arial" w:cs="Arial"/>
                <w:sz w:val="18"/>
                <w:szCs w:val="18"/>
              </w:rPr>
            </w:pPr>
            <w:r w:rsidRPr="00C90281">
              <w:rPr>
                <w:rFonts w:ascii="Arial" w:hAnsi="Arial" w:cs="Arial"/>
                <w:sz w:val="18"/>
                <w:szCs w:val="18"/>
              </w:rPr>
              <w:t>2,70 %</w:t>
            </w:r>
          </w:p>
        </w:tc>
        <w:tc>
          <w:tcPr>
            <w:tcW w:w="1134" w:type="dxa"/>
            <w:tcBorders>
              <w:top w:val="nil"/>
              <w:left w:val="nil"/>
              <w:bottom w:val="single" w:sz="4" w:space="0" w:color="auto"/>
              <w:right w:val="single" w:sz="4" w:space="0" w:color="auto"/>
            </w:tcBorders>
            <w:shd w:val="clear" w:color="auto" w:fill="auto"/>
            <w:noWrap/>
            <w:vAlign w:val="center"/>
            <w:hideMark/>
          </w:tcPr>
          <w:p w14:paraId="0F214165" w14:textId="3C1DAA59" w:rsidR="00C90281" w:rsidRPr="00C90281" w:rsidRDefault="00C90281" w:rsidP="00C90281">
            <w:pPr>
              <w:spacing w:after="0" w:line="240" w:lineRule="auto"/>
              <w:jc w:val="right"/>
              <w:rPr>
                <w:rFonts w:ascii="Arial" w:hAnsi="Arial" w:cs="Arial"/>
                <w:sz w:val="18"/>
                <w:szCs w:val="18"/>
              </w:rPr>
            </w:pPr>
            <w:r w:rsidRPr="00C90281">
              <w:rPr>
                <w:rFonts w:ascii="Arial" w:hAnsi="Arial" w:cs="Arial"/>
                <w:sz w:val="18"/>
                <w:szCs w:val="18"/>
              </w:rPr>
              <w:t>1,49 %</w:t>
            </w:r>
          </w:p>
        </w:tc>
        <w:tc>
          <w:tcPr>
            <w:tcW w:w="1272" w:type="dxa"/>
            <w:tcBorders>
              <w:top w:val="nil"/>
              <w:left w:val="nil"/>
              <w:bottom w:val="single" w:sz="4" w:space="0" w:color="auto"/>
              <w:right w:val="single" w:sz="4" w:space="0" w:color="auto"/>
            </w:tcBorders>
            <w:shd w:val="clear" w:color="auto" w:fill="auto"/>
            <w:noWrap/>
            <w:vAlign w:val="center"/>
            <w:hideMark/>
          </w:tcPr>
          <w:p w14:paraId="09D678DE" w14:textId="13539A12" w:rsidR="00C90281" w:rsidRPr="00C90281" w:rsidRDefault="00C90281" w:rsidP="00C90281">
            <w:pPr>
              <w:spacing w:after="0" w:line="240" w:lineRule="auto"/>
              <w:jc w:val="right"/>
              <w:rPr>
                <w:rFonts w:ascii="Arial" w:hAnsi="Arial" w:cs="Arial"/>
                <w:sz w:val="18"/>
                <w:szCs w:val="18"/>
              </w:rPr>
            </w:pPr>
            <w:r w:rsidRPr="00C90281">
              <w:rPr>
                <w:rFonts w:ascii="Arial" w:hAnsi="Arial" w:cs="Arial"/>
                <w:sz w:val="18"/>
                <w:szCs w:val="18"/>
              </w:rPr>
              <w:t>5,99 %</w:t>
            </w:r>
          </w:p>
        </w:tc>
      </w:tr>
      <w:tr w:rsidR="00C90281" w:rsidRPr="00C90281" w14:paraId="657D0B5E" w14:textId="77777777" w:rsidTr="00C90281">
        <w:trPr>
          <w:trHeight w:val="252"/>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63382853" w14:textId="77777777" w:rsidR="00C90281" w:rsidRPr="00C90281" w:rsidRDefault="00C90281" w:rsidP="00C90281">
            <w:pPr>
              <w:spacing w:after="0" w:line="240" w:lineRule="auto"/>
              <w:rPr>
                <w:rFonts w:ascii="Arial" w:hAnsi="Arial" w:cs="Arial"/>
                <w:sz w:val="18"/>
                <w:szCs w:val="18"/>
              </w:rPr>
            </w:pPr>
            <w:r w:rsidRPr="00C90281">
              <w:rPr>
                <w:rFonts w:ascii="Arial" w:hAnsi="Arial" w:cs="Arial"/>
                <w:sz w:val="18"/>
                <w:szCs w:val="18"/>
              </w:rPr>
              <w:t>Postopek zbiranja ponudb po predhodni objavi</w:t>
            </w:r>
          </w:p>
        </w:tc>
        <w:tc>
          <w:tcPr>
            <w:tcW w:w="992" w:type="dxa"/>
            <w:tcBorders>
              <w:top w:val="nil"/>
              <w:left w:val="nil"/>
              <w:bottom w:val="single" w:sz="4" w:space="0" w:color="auto"/>
              <w:right w:val="single" w:sz="4" w:space="0" w:color="auto"/>
            </w:tcBorders>
            <w:shd w:val="clear" w:color="auto" w:fill="auto"/>
            <w:noWrap/>
            <w:vAlign w:val="center"/>
            <w:hideMark/>
          </w:tcPr>
          <w:p w14:paraId="7C6FE2D9" w14:textId="77777777" w:rsidR="00C90281" w:rsidRPr="00C90281" w:rsidRDefault="00C90281" w:rsidP="00C90281">
            <w:pPr>
              <w:spacing w:after="0" w:line="240" w:lineRule="auto"/>
              <w:jc w:val="right"/>
              <w:rPr>
                <w:rFonts w:ascii="Arial" w:hAnsi="Arial" w:cs="Arial"/>
                <w:sz w:val="18"/>
                <w:szCs w:val="18"/>
              </w:rPr>
            </w:pPr>
            <w:r w:rsidRPr="00C90281">
              <w:rPr>
                <w:rFonts w:ascii="Arial" w:hAnsi="Arial" w:cs="Arial"/>
                <w:sz w:val="18"/>
                <w:szCs w:val="18"/>
              </w:rPr>
              <w:t>26</w:t>
            </w:r>
          </w:p>
        </w:tc>
        <w:tc>
          <w:tcPr>
            <w:tcW w:w="992" w:type="dxa"/>
            <w:tcBorders>
              <w:top w:val="nil"/>
              <w:left w:val="nil"/>
              <w:bottom w:val="single" w:sz="4" w:space="0" w:color="auto"/>
              <w:right w:val="single" w:sz="4" w:space="0" w:color="auto"/>
            </w:tcBorders>
            <w:shd w:val="clear" w:color="auto" w:fill="auto"/>
            <w:noWrap/>
            <w:vAlign w:val="center"/>
            <w:hideMark/>
          </w:tcPr>
          <w:p w14:paraId="6B5E91D8" w14:textId="77777777" w:rsidR="00C90281" w:rsidRPr="00C90281" w:rsidRDefault="00C90281" w:rsidP="00C90281">
            <w:pPr>
              <w:spacing w:after="0" w:line="240" w:lineRule="auto"/>
              <w:jc w:val="right"/>
              <w:rPr>
                <w:rFonts w:ascii="Arial" w:hAnsi="Arial" w:cs="Arial"/>
                <w:sz w:val="18"/>
                <w:szCs w:val="18"/>
              </w:rPr>
            </w:pPr>
            <w:r w:rsidRPr="00C90281">
              <w:rPr>
                <w:rFonts w:ascii="Arial" w:hAnsi="Arial" w:cs="Arial"/>
                <w:sz w:val="18"/>
                <w:szCs w:val="18"/>
              </w:rPr>
              <w:t>33</w:t>
            </w:r>
          </w:p>
        </w:tc>
        <w:tc>
          <w:tcPr>
            <w:tcW w:w="1418" w:type="dxa"/>
            <w:tcBorders>
              <w:top w:val="nil"/>
              <w:left w:val="nil"/>
              <w:bottom w:val="single" w:sz="4" w:space="0" w:color="auto"/>
              <w:right w:val="single" w:sz="4" w:space="0" w:color="auto"/>
            </w:tcBorders>
            <w:shd w:val="clear" w:color="auto" w:fill="auto"/>
            <w:noWrap/>
            <w:vAlign w:val="center"/>
            <w:hideMark/>
          </w:tcPr>
          <w:p w14:paraId="260E04C8" w14:textId="77777777" w:rsidR="00C90281" w:rsidRPr="00C90281" w:rsidRDefault="00C90281" w:rsidP="00C90281">
            <w:pPr>
              <w:spacing w:after="0" w:line="240" w:lineRule="auto"/>
              <w:jc w:val="right"/>
              <w:rPr>
                <w:rFonts w:ascii="Arial" w:hAnsi="Arial" w:cs="Arial"/>
                <w:sz w:val="18"/>
                <w:szCs w:val="18"/>
              </w:rPr>
            </w:pPr>
            <w:r w:rsidRPr="00C90281">
              <w:rPr>
                <w:rFonts w:ascii="Arial" w:hAnsi="Arial" w:cs="Arial"/>
                <w:sz w:val="18"/>
                <w:szCs w:val="18"/>
              </w:rPr>
              <w:t>5.946.842</w:t>
            </w:r>
          </w:p>
        </w:tc>
        <w:tc>
          <w:tcPr>
            <w:tcW w:w="1276" w:type="dxa"/>
            <w:tcBorders>
              <w:top w:val="nil"/>
              <w:left w:val="nil"/>
              <w:bottom w:val="single" w:sz="4" w:space="0" w:color="auto"/>
              <w:right w:val="single" w:sz="4" w:space="0" w:color="auto"/>
            </w:tcBorders>
            <w:shd w:val="clear" w:color="auto" w:fill="auto"/>
            <w:noWrap/>
            <w:vAlign w:val="center"/>
            <w:hideMark/>
          </w:tcPr>
          <w:p w14:paraId="02DA2322" w14:textId="1FE3C17A" w:rsidR="00C90281" w:rsidRPr="00C90281" w:rsidRDefault="00C90281" w:rsidP="00C90281">
            <w:pPr>
              <w:spacing w:after="0" w:line="240" w:lineRule="auto"/>
              <w:jc w:val="right"/>
              <w:rPr>
                <w:rFonts w:ascii="Arial" w:hAnsi="Arial" w:cs="Arial"/>
                <w:sz w:val="18"/>
                <w:szCs w:val="18"/>
              </w:rPr>
            </w:pPr>
            <w:r w:rsidRPr="00C90281">
              <w:rPr>
                <w:rFonts w:ascii="Arial" w:hAnsi="Arial" w:cs="Arial"/>
                <w:sz w:val="18"/>
                <w:szCs w:val="18"/>
              </w:rPr>
              <w:t>0,43 %</w:t>
            </w:r>
          </w:p>
        </w:tc>
        <w:tc>
          <w:tcPr>
            <w:tcW w:w="1134" w:type="dxa"/>
            <w:tcBorders>
              <w:top w:val="nil"/>
              <w:left w:val="nil"/>
              <w:bottom w:val="single" w:sz="4" w:space="0" w:color="auto"/>
              <w:right w:val="single" w:sz="4" w:space="0" w:color="auto"/>
            </w:tcBorders>
            <w:shd w:val="clear" w:color="auto" w:fill="auto"/>
            <w:noWrap/>
            <w:vAlign w:val="center"/>
            <w:hideMark/>
          </w:tcPr>
          <w:p w14:paraId="058284DB" w14:textId="591CF9D0" w:rsidR="00C90281" w:rsidRPr="00C90281" w:rsidRDefault="00C90281" w:rsidP="00C90281">
            <w:pPr>
              <w:spacing w:after="0" w:line="240" w:lineRule="auto"/>
              <w:jc w:val="right"/>
              <w:rPr>
                <w:rFonts w:ascii="Arial" w:hAnsi="Arial" w:cs="Arial"/>
                <w:sz w:val="18"/>
                <w:szCs w:val="18"/>
              </w:rPr>
            </w:pPr>
            <w:r w:rsidRPr="00C90281">
              <w:rPr>
                <w:rFonts w:ascii="Arial" w:hAnsi="Arial" w:cs="Arial"/>
                <w:sz w:val="18"/>
                <w:szCs w:val="18"/>
              </w:rPr>
              <w:t>0,20 %</w:t>
            </w:r>
          </w:p>
        </w:tc>
        <w:tc>
          <w:tcPr>
            <w:tcW w:w="1272" w:type="dxa"/>
            <w:tcBorders>
              <w:top w:val="nil"/>
              <w:left w:val="nil"/>
              <w:bottom w:val="single" w:sz="4" w:space="0" w:color="auto"/>
              <w:right w:val="single" w:sz="4" w:space="0" w:color="auto"/>
            </w:tcBorders>
            <w:shd w:val="clear" w:color="auto" w:fill="auto"/>
            <w:noWrap/>
            <w:vAlign w:val="center"/>
            <w:hideMark/>
          </w:tcPr>
          <w:p w14:paraId="7B2F6D32" w14:textId="094A5579" w:rsidR="00C90281" w:rsidRPr="00C90281" w:rsidRDefault="00C90281" w:rsidP="00C90281">
            <w:pPr>
              <w:spacing w:after="0" w:line="240" w:lineRule="auto"/>
              <w:jc w:val="right"/>
              <w:rPr>
                <w:rFonts w:ascii="Arial" w:hAnsi="Arial" w:cs="Arial"/>
                <w:sz w:val="18"/>
                <w:szCs w:val="18"/>
              </w:rPr>
            </w:pPr>
            <w:r w:rsidRPr="00C90281">
              <w:rPr>
                <w:rFonts w:ascii="Arial" w:hAnsi="Arial" w:cs="Arial"/>
                <w:sz w:val="18"/>
                <w:szCs w:val="18"/>
              </w:rPr>
              <w:t>0,12 %</w:t>
            </w:r>
          </w:p>
        </w:tc>
      </w:tr>
      <w:tr w:rsidR="00C90281" w:rsidRPr="00C90281" w14:paraId="50EA563E" w14:textId="77777777" w:rsidTr="00C90281">
        <w:trPr>
          <w:trHeight w:val="252"/>
        </w:trPr>
        <w:tc>
          <w:tcPr>
            <w:tcW w:w="2547"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929FB94" w14:textId="77777777" w:rsidR="00C90281" w:rsidRPr="00C90281" w:rsidRDefault="00C90281" w:rsidP="00C90281">
            <w:pPr>
              <w:spacing w:after="0" w:line="240" w:lineRule="auto"/>
              <w:rPr>
                <w:rFonts w:ascii="Arial" w:hAnsi="Arial" w:cs="Arial"/>
                <w:b/>
                <w:bCs/>
                <w:sz w:val="18"/>
                <w:szCs w:val="18"/>
              </w:rPr>
            </w:pPr>
            <w:r w:rsidRPr="00C90281">
              <w:rPr>
                <w:rFonts w:ascii="Arial" w:hAnsi="Arial" w:cs="Arial"/>
                <w:b/>
                <w:bCs/>
                <w:sz w:val="18"/>
                <w:szCs w:val="18"/>
              </w:rPr>
              <w:t>Skupaj</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2AA51BDB" w14:textId="77777777" w:rsidR="00C90281" w:rsidRPr="00C90281" w:rsidRDefault="00C90281" w:rsidP="00C90281">
            <w:pPr>
              <w:spacing w:after="0" w:line="240" w:lineRule="auto"/>
              <w:jc w:val="right"/>
              <w:rPr>
                <w:rFonts w:ascii="Arial" w:hAnsi="Arial" w:cs="Arial"/>
                <w:b/>
                <w:bCs/>
                <w:sz w:val="18"/>
                <w:szCs w:val="18"/>
              </w:rPr>
            </w:pPr>
            <w:r w:rsidRPr="00C90281">
              <w:rPr>
                <w:rFonts w:ascii="Arial" w:hAnsi="Arial" w:cs="Arial"/>
                <w:b/>
                <w:bCs/>
                <w:sz w:val="18"/>
                <w:szCs w:val="18"/>
              </w:rPr>
              <w:t>5.995</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1B2A7827" w14:textId="77777777" w:rsidR="00C90281" w:rsidRPr="00C90281" w:rsidRDefault="00C90281" w:rsidP="00C90281">
            <w:pPr>
              <w:spacing w:after="0" w:line="240" w:lineRule="auto"/>
              <w:jc w:val="right"/>
              <w:rPr>
                <w:rFonts w:ascii="Arial" w:hAnsi="Arial" w:cs="Arial"/>
                <w:b/>
                <w:bCs/>
                <w:sz w:val="18"/>
                <w:szCs w:val="18"/>
              </w:rPr>
            </w:pPr>
            <w:r w:rsidRPr="00C90281">
              <w:rPr>
                <w:rFonts w:ascii="Arial" w:hAnsi="Arial" w:cs="Arial"/>
                <w:b/>
                <w:bCs/>
                <w:sz w:val="18"/>
                <w:szCs w:val="18"/>
              </w:rPr>
              <w:t>16.330</w:t>
            </w:r>
          </w:p>
        </w:tc>
        <w:tc>
          <w:tcPr>
            <w:tcW w:w="1418" w:type="dxa"/>
            <w:tcBorders>
              <w:top w:val="nil"/>
              <w:left w:val="nil"/>
              <w:bottom w:val="single" w:sz="4" w:space="0" w:color="auto"/>
              <w:right w:val="single" w:sz="4" w:space="0" w:color="auto"/>
            </w:tcBorders>
            <w:shd w:val="clear" w:color="auto" w:fill="F2F2F2" w:themeFill="background1" w:themeFillShade="F2"/>
            <w:noWrap/>
            <w:vAlign w:val="center"/>
            <w:hideMark/>
          </w:tcPr>
          <w:p w14:paraId="4750309B" w14:textId="77777777" w:rsidR="00C90281" w:rsidRPr="00C90281" w:rsidRDefault="00C90281" w:rsidP="00C90281">
            <w:pPr>
              <w:spacing w:after="0" w:line="240" w:lineRule="auto"/>
              <w:jc w:val="right"/>
              <w:rPr>
                <w:rFonts w:ascii="Arial" w:hAnsi="Arial" w:cs="Arial"/>
                <w:b/>
                <w:bCs/>
                <w:sz w:val="18"/>
                <w:szCs w:val="18"/>
              </w:rPr>
            </w:pPr>
            <w:r w:rsidRPr="00C90281">
              <w:rPr>
                <w:rFonts w:ascii="Arial" w:hAnsi="Arial" w:cs="Arial"/>
                <w:b/>
                <w:bCs/>
                <w:sz w:val="18"/>
                <w:szCs w:val="18"/>
              </w:rPr>
              <w:t>4.913.427.528</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hideMark/>
          </w:tcPr>
          <w:p w14:paraId="6A658C3D" w14:textId="7F822CA6" w:rsidR="00C90281" w:rsidRPr="00C90281" w:rsidRDefault="00C90281" w:rsidP="00C90281">
            <w:pPr>
              <w:spacing w:after="0" w:line="240" w:lineRule="auto"/>
              <w:jc w:val="right"/>
              <w:rPr>
                <w:rFonts w:ascii="Arial" w:hAnsi="Arial" w:cs="Arial"/>
                <w:b/>
                <w:bCs/>
                <w:sz w:val="18"/>
                <w:szCs w:val="18"/>
              </w:rPr>
            </w:pPr>
            <w:r w:rsidRPr="00C90281">
              <w:rPr>
                <w:rFonts w:ascii="Arial" w:hAnsi="Arial" w:cs="Arial"/>
                <w:b/>
                <w:bCs/>
                <w:sz w:val="18"/>
                <w:szCs w:val="18"/>
              </w:rPr>
              <w:t>100,00 %</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hideMark/>
          </w:tcPr>
          <w:p w14:paraId="54C1E982" w14:textId="47A88677" w:rsidR="00C90281" w:rsidRPr="00C90281" w:rsidRDefault="00C90281" w:rsidP="00C90281">
            <w:pPr>
              <w:spacing w:after="0" w:line="240" w:lineRule="auto"/>
              <w:jc w:val="right"/>
              <w:rPr>
                <w:rFonts w:ascii="Arial" w:hAnsi="Arial" w:cs="Arial"/>
                <w:b/>
                <w:bCs/>
                <w:sz w:val="18"/>
                <w:szCs w:val="18"/>
              </w:rPr>
            </w:pPr>
            <w:r w:rsidRPr="00C90281">
              <w:rPr>
                <w:rFonts w:ascii="Arial" w:hAnsi="Arial" w:cs="Arial"/>
                <w:b/>
                <w:bCs/>
                <w:sz w:val="18"/>
                <w:szCs w:val="18"/>
              </w:rPr>
              <w:t>100,00 %</w:t>
            </w:r>
          </w:p>
        </w:tc>
        <w:tc>
          <w:tcPr>
            <w:tcW w:w="1272" w:type="dxa"/>
            <w:tcBorders>
              <w:top w:val="nil"/>
              <w:left w:val="nil"/>
              <w:bottom w:val="single" w:sz="4" w:space="0" w:color="auto"/>
              <w:right w:val="single" w:sz="4" w:space="0" w:color="auto"/>
            </w:tcBorders>
            <w:shd w:val="clear" w:color="auto" w:fill="F2F2F2" w:themeFill="background1" w:themeFillShade="F2"/>
            <w:noWrap/>
            <w:vAlign w:val="center"/>
            <w:hideMark/>
          </w:tcPr>
          <w:p w14:paraId="2E2808E7" w14:textId="03BDA787" w:rsidR="00C90281" w:rsidRPr="00C90281" w:rsidRDefault="00C90281" w:rsidP="00C90281">
            <w:pPr>
              <w:spacing w:after="0" w:line="240" w:lineRule="auto"/>
              <w:jc w:val="right"/>
              <w:rPr>
                <w:rFonts w:ascii="Arial" w:hAnsi="Arial" w:cs="Arial"/>
                <w:b/>
                <w:bCs/>
                <w:sz w:val="18"/>
                <w:szCs w:val="18"/>
              </w:rPr>
            </w:pPr>
            <w:r w:rsidRPr="00C90281">
              <w:rPr>
                <w:rFonts w:ascii="Arial" w:hAnsi="Arial" w:cs="Arial"/>
                <w:b/>
                <w:bCs/>
                <w:sz w:val="18"/>
                <w:szCs w:val="18"/>
              </w:rPr>
              <w:t>100,00 %</w:t>
            </w:r>
          </w:p>
        </w:tc>
      </w:tr>
    </w:tbl>
    <w:p w14:paraId="7BC9FBEA" w14:textId="77777777" w:rsidR="00C90281" w:rsidRPr="00C90281" w:rsidRDefault="00C90281" w:rsidP="00AC3909">
      <w:pPr>
        <w:spacing w:after="0" w:line="240" w:lineRule="auto"/>
        <w:jc w:val="center"/>
        <w:rPr>
          <w:rFonts w:ascii="Arial" w:hAnsi="Arial" w:cs="Arial"/>
          <w:color w:val="000000" w:themeColor="text1"/>
          <w:sz w:val="18"/>
        </w:rPr>
      </w:pPr>
    </w:p>
    <w:p w14:paraId="2C1BBAFF" w14:textId="613CFD30" w:rsidR="00E13581" w:rsidRPr="00C90281" w:rsidRDefault="00E13581" w:rsidP="00AC3909">
      <w:pPr>
        <w:spacing w:after="0" w:line="240" w:lineRule="auto"/>
        <w:jc w:val="center"/>
        <w:rPr>
          <w:rFonts w:ascii="Arial" w:hAnsi="Arial" w:cs="Arial"/>
          <w:color w:val="000000" w:themeColor="text1"/>
          <w:sz w:val="18"/>
        </w:rPr>
      </w:pPr>
      <w:r w:rsidRPr="00C90281">
        <w:rPr>
          <w:rFonts w:ascii="Arial" w:hAnsi="Arial" w:cs="Arial"/>
          <w:color w:val="000000" w:themeColor="text1"/>
          <w:sz w:val="18"/>
        </w:rPr>
        <w:t>Vir: Statistični podatki o javni</w:t>
      </w:r>
      <w:r w:rsidR="00F4080A" w:rsidRPr="00C90281">
        <w:rPr>
          <w:rFonts w:ascii="Arial" w:hAnsi="Arial" w:cs="Arial"/>
          <w:color w:val="000000" w:themeColor="text1"/>
          <w:sz w:val="18"/>
        </w:rPr>
        <w:t>h naročilih, oddanih</w:t>
      </w:r>
      <w:r w:rsidR="00B27D38" w:rsidRPr="00C90281">
        <w:rPr>
          <w:rFonts w:ascii="Arial" w:hAnsi="Arial" w:cs="Arial"/>
          <w:color w:val="000000" w:themeColor="text1"/>
          <w:sz w:val="18"/>
        </w:rPr>
        <w:t xml:space="preserve"> v</w:t>
      </w:r>
      <w:r w:rsidR="00F4080A" w:rsidRPr="00C90281">
        <w:rPr>
          <w:rFonts w:ascii="Arial" w:hAnsi="Arial" w:cs="Arial"/>
          <w:color w:val="000000" w:themeColor="text1"/>
          <w:sz w:val="18"/>
        </w:rPr>
        <w:t xml:space="preserve"> let</w:t>
      </w:r>
      <w:r w:rsidR="00C95540" w:rsidRPr="00C90281">
        <w:rPr>
          <w:rFonts w:ascii="Arial" w:hAnsi="Arial" w:cs="Arial"/>
          <w:color w:val="000000" w:themeColor="text1"/>
          <w:sz w:val="18"/>
        </w:rPr>
        <w:t>u</w:t>
      </w:r>
      <w:r w:rsidR="00F4080A" w:rsidRPr="00C90281">
        <w:rPr>
          <w:rFonts w:ascii="Arial" w:hAnsi="Arial" w:cs="Arial"/>
          <w:color w:val="000000" w:themeColor="text1"/>
          <w:sz w:val="18"/>
        </w:rPr>
        <w:t xml:space="preserve"> 20</w:t>
      </w:r>
      <w:r w:rsidR="00684D27" w:rsidRPr="00C90281">
        <w:rPr>
          <w:rFonts w:ascii="Arial" w:hAnsi="Arial" w:cs="Arial"/>
          <w:color w:val="000000" w:themeColor="text1"/>
          <w:sz w:val="18"/>
        </w:rPr>
        <w:t>2</w:t>
      </w:r>
      <w:r w:rsidR="00C90281" w:rsidRPr="00C90281">
        <w:rPr>
          <w:rFonts w:ascii="Arial" w:hAnsi="Arial" w:cs="Arial"/>
          <w:color w:val="000000" w:themeColor="text1"/>
          <w:sz w:val="18"/>
        </w:rPr>
        <w:t>2</w:t>
      </w:r>
      <w:r w:rsidR="00210A86" w:rsidRPr="00C90281">
        <w:rPr>
          <w:rFonts w:ascii="Arial" w:hAnsi="Arial" w:cs="Arial"/>
          <w:color w:val="000000" w:themeColor="text1"/>
          <w:sz w:val="18"/>
        </w:rPr>
        <w:t>.</w:t>
      </w:r>
    </w:p>
    <w:p w14:paraId="70566540" w14:textId="1560CE87" w:rsidR="00F53713" w:rsidRPr="00BF7302" w:rsidRDefault="00F53713" w:rsidP="00392E59">
      <w:pPr>
        <w:pStyle w:val="Naslov3"/>
        <w:rPr>
          <w:rFonts w:ascii="Arial" w:hAnsi="Arial" w:cs="Arial"/>
          <w:highlight w:val="yellow"/>
        </w:rPr>
      </w:pPr>
    </w:p>
    <w:p w14:paraId="24DD0290" w14:textId="2ACF20EF" w:rsidR="00AA714B" w:rsidRPr="00745FA7" w:rsidRDefault="00AA714B" w:rsidP="00392E59">
      <w:pPr>
        <w:pStyle w:val="Naslov3"/>
        <w:rPr>
          <w:rFonts w:ascii="Arial" w:hAnsi="Arial" w:cs="Arial"/>
          <w:sz w:val="22"/>
          <w:szCs w:val="22"/>
        </w:rPr>
      </w:pPr>
      <w:bookmarkStart w:id="21" w:name="_Toc141864056"/>
      <w:r w:rsidRPr="00745FA7">
        <w:rPr>
          <w:rFonts w:ascii="Arial" w:hAnsi="Arial" w:cs="Arial"/>
          <w:sz w:val="22"/>
          <w:szCs w:val="22"/>
        </w:rPr>
        <w:t>2.3.3 Postopki brez predhodne objave obvestila o javnem naročilu</w:t>
      </w:r>
      <w:bookmarkEnd w:id="21"/>
    </w:p>
    <w:p w14:paraId="4DB805E9" w14:textId="3660890F" w:rsidR="00854405" w:rsidRPr="00745FA7" w:rsidRDefault="00854405" w:rsidP="00854405">
      <w:pPr>
        <w:pStyle w:val="ZADEVA"/>
        <w:jc w:val="both"/>
        <w:rPr>
          <w:rFonts w:cs="Arial"/>
          <w:b w:val="0"/>
          <w:color w:val="FF0000"/>
          <w:szCs w:val="20"/>
          <w:lang w:val="sl-SI"/>
        </w:rPr>
      </w:pPr>
    </w:p>
    <w:p w14:paraId="768A1DE6" w14:textId="3E644640" w:rsidR="00C63E46" w:rsidRPr="00BF7302" w:rsidRDefault="000B6669" w:rsidP="00C63E46">
      <w:pPr>
        <w:tabs>
          <w:tab w:val="left" w:pos="567"/>
          <w:tab w:val="left" w:pos="993"/>
        </w:tabs>
        <w:spacing w:line="360" w:lineRule="auto"/>
        <w:jc w:val="both"/>
        <w:rPr>
          <w:rFonts w:ascii="Arial" w:hAnsi="Arial" w:cs="Arial"/>
          <w:color w:val="000000" w:themeColor="text1"/>
          <w:sz w:val="20"/>
          <w:highlight w:val="yellow"/>
        </w:rPr>
      </w:pPr>
      <w:r w:rsidRPr="00745FA7">
        <w:rPr>
          <w:rFonts w:ascii="Arial" w:hAnsi="Arial" w:cs="Arial"/>
          <w:bCs/>
          <w:color w:val="000000" w:themeColor="text1"/>
          <w:sz w:val="20"/>
          <w:szCs w:val="20"/>
        </w:rPr>
        <w:t>Naročniki so let</w:t>
      </w:r>
      <w:r w:rsidR="00EC1BBF" w:rsidRPr="00745FA7">
        <w:rPr>
          <w:rFonts w:ascii="Arial" w:hAnsi="Arial" w:cs="Arial"/>
          <w:bCs/>
          <w:color w:val="000000" w:themeColor="text1"/>
          <w:sz w:val="20"/>
          <w:szCs w:val="20"/>
        </w:rPr>
        <w:t>a</w:t>
      </w:r>
      <w:r w:rsidRPr="00745FA7">
        <w:rPr>
          <w:rFonts w:ascii="Arial" w:hAnsi="Arial" w:cs="Arial"/>
          <w:bCs/>
          <w:color w:val="000000" w:themeColor="text1"/>
          <w:sz w:val="20"/>
          <w:szCs w:val="20"/>
        </w:rPr>
        <w:t xml:space="preserve"> 20</w:t>
      </w:r>
      <w:r w:rsidR="00264D31" w:rsidRPr="00745FA7">
        <w:rPr>
          <w:rFonts w:ascii="Arial" w:hAnsi="Arial" w:cs="Arial"/>
          <w:bCs/>
          <w:color w:val="000000" w:themeColor="text1"/>
          <w:sz w:val="20"/>
          <w:szCs w:val="20"/>
        </w:rPr>
        <w:t>2</w:t>
      </w:r>
      <w:r w:rsidR="00745FA7" w:rsidRPr="00745FA7">
        <w:rPr>
          <w:rFonts w:ascii="Arial" w:hAnsi="Arial" w:cs="Arial"/>
          <w:bCs/>
          <w:color w:val="000000" w:themeColor="text1"/>
          <w:sz w:val="20"/>
          <w:szCs w:val="20"/>
        </w:rPr>
        <w:t>2</w:t>
      </w:r>
      <w:r w:rsidR="00C63E46" w:rsidRPr="00745FA7">
        <w:rPr>
          <w:rFonts w:ascii="Arial" w:hAnsi="Arial" w:cs="Arial"/>
          <w:bCs/>
          <w:color w:val="000000" w:themeColor="text1"/>
          <w:sz w:val="20"/>
          <w:szCs w:val="20"/>
        </w:rPr>
        <w:t xml:space="preserve"> v </w:t>
      </w:r>
      <w:r w:rsidR="00652C38" w:rsidRPr="00745FA7">
        <w:rPr>
          <w:rFonts w:ascii="Arial" w:hAnsi="Arial" w:cs="Arial"/>
          <w:bCs/>
          <w:color w:val="000000" w:themeColor="text1"/>
          <w:sz w:val="20"/>
          <w:szCs w:val="20"/>
        </w:rPr>
        <w:t>7</w:t>
      </w:r>
      <w:r w:rsidR="00745FA7" w:rsidRPr="00745FA7">
        <w:rPr>
          <w:rFonts w:ascii="Arial" w:hAnsi="Arial" w:cs="Arial"/>
          <w:bCs/>
          <w:color w:val="000000" w:themeColor="text1"/>
          <w:sz w:val="20"/>
          <w:szCs w:val="20"/>
        </w:rPr>
        <w:t>26</w:t>
      </w:r>
      <w:r w:rsidR="00C63E46" w:rsidRPr="00745FA7">
        <w:rPr>
          <w:rFonts w:ascii="Arial" w:hAnsi="Arial" w:cs="Arial"/>
          <w:bCs/>
          <w:color w:val="000000" w:themeColor="text1"/>
          <w:sz w:val="20"/>
          <w:szCs w:val="20"/>
        </w:rPr>
        <w:t xml:space="preserve"> postopk</w:t>
      </w:r>
      <w:r w:rsidRPr="00745FA7">
        <w:rPr>
          <w:rFonts w:ascii="Arial" w:hAnsi="Arial" w:cs="Arial"/>
          <w:bCs/>
          <w:color w:val="000000" w:themeColor="text1"/>
          <w:sz w:val="20"/>
          <w:szCs w:val="20"/>
        </w:rPr>
        <w:t>ih</w:t>
      </w:r>
      <w:r w:rsidR="00C63E46" w:rsidRPr="00745FA7">
        <w:rPr>
          <w:rFonts w:ascii="Arial" w:hAnsi="Arial" w:cs="Arial"/>
          <w:bCs/>
          <w:color w:val="000000" w:themeColor="text1"/>
          <w:sz w:val="20"/>
          <w:szCs w:val="20"/>
        </w:rPr>
        <w:t xml:space="preserve"> javnega naročanja </w:t>
      </w:r>
      <w:r w:rsidR="005634E1" w:rsidRPr="00745FA7">
        <w:rPr>
          <w:rFonts w:ascii="Arial" w:hAnsi="Arial" w:cs="Arial"/>
          <w:bCs/>
          <w:color w:val="000000" w:themeColor="text1"/>
          <w:sz w:val="20"/>
          <w:szCs w:val="20"/>
        </w:rPr>
        <w:t xml:space="preserve">oddali </w:t>
      </w:r>
      <w:r w:rsidR="00C63E46" w:rsidRPr="00745FA7">
        <w:rPr>
          <w:rFonts w:ascii="Arial" w:hAnsi="Arial" w:cs="Arial"/>
          <w:bCs/>
          <w:color w:val="000000" w:themeColor="text1"/>
          <w:sz w:val="20"/>
          <w:szCs w:val="20"/>
        </w:rPr>
        <w:t>naročila</w:t>
      </w:r>
      <w:r w:rsidR="00A57B07" w:rsidRPr="00745FA7">
        <w:rPr>
          <w:rFonts w:ascii="Arial" w:hAnsi="Arial" w:cs="Arial"/>
          <w:bCs/>
          <w:color w:val="000000" w:themeColor="text1"/>
          <w:sz w:val="20"/>
          <w:szCs w:val="20"/>
        </w:rPr>
        <w:t>,</w:t>
      </w:r>
      <w:r w:rsidR="00C63E46" w:rsidRPr="00745FA7">
        <w:rPr>
          <w:rFonts w:ascii="Arial" w:hAnsi="Arial" w:cs="Arial"/>
          <w:bCs/>
          <w:color w:val="000000" w:themeColor="text1"/>
          <w:sz w:val="20"/>
          <w:szCs w:val="20"/>
        </w:rPr>
        <w:t xml:space="preserve"> za katera predhodno </w:t>
      </w:r>
      <w:r w:rsidR="00EA1C03" w:rsidRPr="00745FA7">
        <w:rPr>
          <w:rFonts w:ascii="Arial" w:hAnsi="Arial" w:cs="Arial"/>
          <w:bCs/>
          <w:color w:val="000000" w:themeColor="text1"/>
          <w:sz w:val="20"/>
          <w:szCs w:val="20"/>
        </w:rPr>
        <w:t xml:space="preserve">niso </w:t>
      </w:r>
      <w:r w:rsidR="00C63E46" w:rsidRPr="00745FA7">
        <w:rPr>
          <w:rFonts w:ascii="Arial" w:hAnsi="Arial" w:cs="Arial"/>
          <w:bCs/>
          <w:color w:val="000000" w:themeColor="text1"/>
          <w:sz w:val="20"/>
          <w:szCs w:val="20"/>
        </w:rPr>
        <w:t xml:space="preserve">objavili obvestil o javnem </w:t>
      </w:r>
      <w:r w:rsidR="00C63E46" w:rsidRPr="00E126C2">
        <w:rPr>
          <w:rFonts w:ascii="Arial" w:hAnsi="Arial" w:cs="Arial"/>
          <w:bCs/>
          <w:color w:val="000000" w:themeColor="text1"/>
          <w:sz w:val="20"/>
          <w:szCs w:val="20"/>
        </w:rPr>
        <w:t xml:space="preserve">naročilu, kar </w:t>
      </w:r>
      <w:r w:rsidR="00A57B07" w:rsidRPr="00E126C2">
        <w:rPr>
          <w:rFonts w:ascii="Arial" w:hAnsi="Arial" w:cs="Arial"/>
          <w:bCs/>
          <w:color w:val="000000" w:themeColor="text1"/>
          <w:sz w:val="20"/>
          <w:szCs w:val="20"/>
        </w:rPr>
        <w:t xml:space="preserve">je </w:t>
      </w:r>
      <w:r w:rsidR="00C43E9F" w:rsidRPr="00E126C2">
        <w:rPr>
          <w:rFonts w:ascii="Arial" w:hAnsi="Arial" w:cs="Arial"/>
          <w:bCs/>
          <w:color w:val="000000" w:themeColor="text1"/>
          <w:sz w:val="20"/>
          <w:szCs w:val="20"/>
        </w:rPr>
        <w:t>po</w:t>
      </w:r>
      <w:r w:rsidR="00C63E46" w:rsidRPr="00E126C2">
        <w:rPr>
          <w:rFonts w:ascii="Arial" w:hAnsi="Arial" w:cs="Arial"/>
          <w:bCs/>
          <w:color w:val="000000" w:themeColor="text1"/>
          <w:sz w:val="20"/>
          <w:szCs w:val="20"/>
        </w:rPr>
        <w:t xml:space="preserve"> številu vseh postopkov</w:t>
      </w:r>
      <w:r w:rsidR="008E33E4" w:rsidRPr="00E126C2">
        <w:rPr>
          <w:rFonts w:ascii="Arial" w:hAnsi="Arial" w:cs="Arial"/>
          <w:bCs/>
          <w:color w:val="000000" w:themeColor="text1"/>
          <w:sz w:val="20"/>
          <w:szCs w:val="20"/>
        </w:rPr>
        <w:t xml:space="preserve"> </w:t>
      </w:r>
      <w:r w:rsidR="00E126C2" w:rsidRPr="00E126C2">
        <w:rPr>
          <w:rFonts w:ascii="Arial" w:hAnsi="Arial" w:cs="Arial"/>
          <w:bCs/>
          <w:color w:val="000000" w:themeColor="text1"/>
          <w:sz w:val="20"/>
          <w:szCs w:val="20"/>
        </w:rPr>
        <w:t>10,8</w:t>
      </w:r>
      <w:r w:rsidR="00210A86" w:rsidRPr="00E126C2">
        <w:rPr>
          <w:rFonts w:ascii="Arial" w:hAnsi="Arial" w:cs="Arial"/>
          <w:bCs/>
          <w:color w:val="000000" w:themeColor="text1"/>
          <w:sz w:val="20"/>
          <w:szCs w:val="20"/>
        </w:rPr>
        <w:t> </w:t>
      </w:r>
      <w:r w:rsidR="00AC0027">
        <w:rPr>
          <w:rFonts w:ascii="Arial" w:hAnsi="Arial" w:cs="Arial"/>
          <w:bCs/>
          <w:color w:val="000000" w:themeColor="text1"/>
          <w:sz w:val="20"/>
          <w:szCs w:val="20"/>
        </w:rPr>
        <w:t>odstotka</w:t>
      </w:r>
      <w:r w:rsidR="00C63E46" w:rsidRPr="00E126C2">
        <w:rPr>
          <w:rFonts w:ascii="Arial" w:hAnsi="Arial" w:cs="Arial"/>
          <w:bCs/>
          <w:color w:val="000000" w:themeColor="text1"/>
          <w:sz w:val="20"/>
          <w:szCs w:val="20"/>
        </w:rPr>
        <w:t xml:space="preserve">, </w:t>
      </w:r>
      <w:r w:rsidR="00C43E9F" w:rsidRPr="00E126C2">
        <w:rPr>
          <w:rFonts w:ascii="Arial" w:hAnsi="Arial" w:cs="Arial"/>
          <w:bCs/>
          <w:color w:val="000000" w:themeColor="text1"/>
          <w:sz w:val="20"/>
          <w:szCs w:val="20"/>
        </w:rPr>
        <w:t>po</w:t>
      </w:r>
      <w:r w:rsidR="00C63E46" w:rsidRPr="00E126C2">
        <w:rPr>
          <w:rFonts w:ascii="Arial" w:hAnsi="Arial" w:cs="Arial"/>
          <w:bCs/>
          <w:color w:val="000000" w:themeColor="text1"/>
          <w:sz w:val="20"/>
          <w:szCs w:val="20"/>
        </w:rPr>
        <w:t xml:space="preserve"> vseh oddanih naročilih </w:t>
      </w:r>
      <w:r w:rsidR="00264D31" w:rsidRPr="00E126C2">
        <w:rPr>
          <w:rFonts w:ascii="Arial" w:hAnsi="Arial" w:cs="Arial"/>
          <w:bCs/>
          <w:color w:val="000000" w:themeColor="text1"/>
          <w:sz w:val="20"/>
          <w:szCs w:val="20"/>
        </w:rPr>
        <w:t>5,</w:t>
      </w:r>
      <w:r w:rsidR="00F225E5" w:rsidRPr="00E126C2">
        <w:rPr>
          <w:rFonts w:ascii="Arial" w:hAnsi="Arial" w:cs="Arial"/>
          <w:bCs/>
          <w:color w:val="000000" w:themeColor="text1"/>
          <w:sz w:val="20"/>
          <w:szCs w:val="20"/>
        </w:rPr>
        <w:t>1</w:t>
      </w:r>
      <w:r w:rsidR="00E126C2" w:rsidRPr="00E126C2">
        <w:rPr>
          <w:rFonts w:ascii="Arial" w:hAnsi="Arial" w:cs="Arial"/>
          <w:bCs/>
          <w:color w:val="000000" w:themeColor="text1"/>
          <w:sz w:val="20"/>
          <w:szCs w:val="20"/>
        </w:rPr>
        <w:t>9</w:t>
      </w:r>
      <w:r w:rsidR="00210A86" w:rsidRPr="00E126C2">
        <w:rPr>
          <w:rFonts w:ascii="Arial" w:hAnsi="Arial" w:cs="Arial"/>
          <w:bCs/>
          <w:color w:val="000000" w:themeColor="text1"/>
          <w:sz w:val="20"/>
          <w:szCs w:val="20"/>
        </w:rPr>
        <w:t> </w:t>
      </w:r>
      <w:r w:rsidR="00AC0027">
        <w:rPr>
          <w:rFonts w:ascii="Arial" w:hAnsi="Arial" w:cs="Arial"/>
          <w:bCs/>
          <w:color w:val="000000" w:themeColor="text1"/>
          <w:sz w:val="20"/>
          <w:szCs w:val="20"/>
        </w:rPr>
        <w:t>odstotka</w:t>
      </w:r>
      <w:r w:rsidR="008E33E4" w:rsidRPr="00E126C2">
        <w:rPr>
          <w:rFonts w:ascii="Arial" w:hAnsi="Arial" w:cs="Arial"/>
          <w:bCs/>
          <w:color w:val="000000" w:themeColor="text1"/>
          <w:sz w:val="20"/>
          <w:szCs w:val="20"/>
        </w:rPr>
        <w:t xml:space="preserve"> </w:t>
      </w:r>
      <w:r w:rsidR="00C63E46" w:rsidRPr="00E126C2">
        <w:rPr>
          <w:rFonts w:ascii="Arial" w:hAnsi="Arial" w:cs="Arial"/>
          <w:bCs/>
          <w:color w:val="000000" w:themeColor="text1"/>
          <w:sz w:val="20"/>
          <w:szCs w:val="20"/>
        </w:rPr>
        <w:t xml:space="preserve">in </w:t>
      </w:r>
      <w:r w:rsidR="00E126C2" w:rsidRPr="00E126C2">
        <w:rPr>
          <w:rFonts w:ascii="Arial" w:hAnsi="Arial" w:cs="Arial"/>
          <w:bCs/>
          <w:color w:val="000000" w:themeColor="text1"/>
          <w:sz w:val="20"/>
          <w:szCs w:val="20"/>
        </w:rPr>
        <w:t>9,3</w:t>
      </w:r>
      <w:r w:rsidR="00210A86" w:rsidRPr="00E126C2">
        <w:rPr>
          <w:rFonts w:ascii="Arial" w:hAnsi="Arial" w:cs="Arial"/>
          <w:bCs/>
          <w:color w:val="000000" w:themeColor="text1"/>
          <w:sz w:val="20"/>
          <w:szCs w:val="20"/>
        </w:rPr>
        <w:t> </w:t>
      </w:r>
      <w:r w:rsidR="00AC0027">
        <w:rPr>
          <w:rFonts w:ascii="Arial" w:hAnsi="Arial" w:cs="Arial"/>
          <w:color w:val="000000" w:themeColor="text1"/>
          <w:sz w:val="20"/>
        </w:rPr>
        <w:t>odstotka</w:t>
      </w:r>
      <w:r w:rsidR="0086209A" w:rsidRPr="00E126C2">
        <w:rPr>
          <w:rFonts w:ascii="Arial" w:hAnsi="Arial" w:cs="Arial"/>
          <w:color w:val="000000" w:themeColor="text1"/>
          <w:sz w:val="20"/>
        </w:rPr>
        <w:t xml:space="preserve"> vre</w:t>
      </w:r>
      <w:r w:rsidR="0082469C" w:rsidRPr="00E126C2">
        <w:rPr>
          <w:rFonts w:ascii="Arial" w:hAnsi="Arial" w:cs="Arial"/>
          <w:color w:val="000000" w:themeColor="text1"/>
          <w:sz w:val="20"/>
        </w:rPr>
        <w:t xml:space="preserve">dnosti vseh </w:t>
      </w:r>
      <w:r w:rsidR="00C63E46" w:rsidRPr="00E126C2">
        <w:rPr>
          <w:rFonts w:ascii="Arial" w:hAnsi="Arial" w:cs="Arial"/>
          <w:color w:val="000000" w:themeColor="text1"/>
          <w:sz w:val="20"/>
        </w:rPr>
        <w:t xml:space="preserve">oddanih naročil. </w:t>
      </w:r>
    </w:p>
    <w:p w14:paraId="5CB758C9" w14:textId="77777777" w:rsidR="00F11E69" w:rsidRDefault="00F11E69">
      <w:pPr>
        <w:rPr>
          <w:rFonts w:ascii="Arial" w:hAnsi="Arial" w:cs="Arial"/>
          <w:color w:val="000000" w:themeColor="text1"/>
          <w:sz w:val="20"/>
        </w:rPr>
      </w:pPr>
      <w:r>
        <w:rPr>
          <w:rFonts w:ascii="Arial" w:hAnsi="Arial" w:cs="Arial"/>
          <w:color w:val="000000" w:themeColor="text1"/>
          <w:sz w:val="20"/>
        </w:rPr>
        <w:br w:type="page"/>
      </w:r>
    </w:p>
    <w:p w14:paraId="06EEA896" w14:textId="5555EECF" w:rsidR="00EE4F5B" w:rsidRPr="00745FA7" w:rsidRDefault="00EE4F5B" w:rsidP="008A61FD">
      <w:pPr>
        <w:spacing w:before="120" w:after="120" w:line="240" w:lineRule="auto"/>
        <w:jc w:val="both"/>
        <w:rPr>
          <w:rFonts w:ascii="Arial" w:hAnsi="Arial" w:cs="Arial"/>
          <w:color w:val="000000" w:themeColor="text1"/>
          <w:sz w:val="20"/>
        </w:rPr>
      </w:pPr>
      <w:r w:rsidRPr="00745FA7">
        <w:rPr>
          <w:rFonts w:ascii="Arial" w:hAnsi="Arial" w:cs="Arial"/>
          <w:color w:val="000000" w:themeColor="text1"/>
          <w:sz w:val="20"/>
        </w:rPr>
        <w:lastRenderedPageBreak/>
        <w:t xml:space="preserve">Preglednica </w:t>
      </w:r>
      <w:r w:rsidR="00E430F6" w:rsidRPr="00745FA7">
        <w:rPr>
          <w:rFonts w:ascii="Arial" w:hAnsi="Arial" w:cs="Arial"/>
          <w:color w:val="000000" w:themeColor="text1"/>
          <w:sz w:val="20"/>
        </w:rPr>
        <w:t>1</w:t>
      </w:r>
      <w:r w:rsidR="00512F52" w:rsidRPr="00745FA7">
        <w:rPr>
          <w:rFonts w:ascii="Arial" w:hAnsi="Arial" w:cs="Arial"/>
          <w:color w:val="000000" w:themeColor="text1"/>
          <w:sz w:val="20"/>
        </w:rPr>
        <w:t>1</w:t>
      </w:r>
      <w:r w:rsidRPr="00745FA7">
        <w:rPr>
          <w:rFonts w:ascii="Arial" w:hAnsi="Arial" w:cs="Arial"/>
          <w:color w:val="000000" w:themeColor="text1"/>
          <w:sz w:val="20"/>
        </w:rPr>
        <w:t xml:space="preserve">: </w:t>
      </w:r>
      <w:r w:rsidR="00105F39" w:rsidRPr="00745FA7">
        <w:rPr>
          <w:rFonts w:ascii="Arial" w:hAnsi="Arial" w:cs="Arial"/>
          <w:color w:val="000000" w:themeColor="text1"/>
          <w:sz w:val="20"/>
        </w:rPr>
        <w:t>P</w:t>
      </w:r>
      <w:r w:rsidRPr="00745FA7">
        <w:rPr>
          <w:rFonts w:ascii="Arial" w:hAnsi="Arial" w:cs="Arial"/>
          <w:color w:val="000000" w:themeColor="text1"/>
          <w:sz w:val="20"/>
        </w:rPr>
        <w:t>ostopki</w:t>
      </w:r>
      <w:r w:rsidR="00105F39" w:rsidRPr="00745FA7">
        <w:rPr>
          <w:rFonts w:ascii="Arial" w:hAnsi="Arial" w:cs="Arial"/>
          <w:color w:val="000000" w:themeColor="text1"/>
          <w:sz w:val="20"/>
        </w:rPr>
        <w:t xml:space="preserve"> brez predhodne objave obvestila o javnem naročilu</w:t>
      </w:r>
      <w:r w:rsidRPr="00745FA7">
        <w:rPr>
          <w:rFonts w:ascii="Arial" w:hAnsi="Arial" w:cs="Arial"/>
          <w:color w:val="000000" w:themeColor="text1"/>
          <w:sz w:val="20"/>
        </w:rPr>
        <w:t xml:space="preserve">, naročila in njihova vrednost ter deleži glede na vrsto postopka </w:t>
      </w:r>
    </w:p>
    <w:tbl>
      <w:tblPr>
        <w:tblW w:w="9209" w:type="dxa"/>
        <w:tblCellMar>
          <w:left w:w="70" w:type="dxa"/>
          <w:right w:w="70" w:type="dxa"/>
        </w:tblCellMar>
        <w:tblLook w:val="04A0" w:firstRow="1" w:lastRow="0" w:firstColumn="1" w:lastColumn="0" w:noHBand="0" w:noVBand="1"/>
      </w:tblPr>
      <w:tblGrid>
        <w:gridCol w:w="3138"/>
        <w:gridCol w:w="961"/>
        <w:gridCol w:w="740"/>
        <w:gridCol w:w="1280"/>
        <w:gridCol w:w="1106"/>
        <w:gridCol w:w="992"/>
        <w:gridCol w:w="992"/>
      </w:tblGrid>
      <w:tr w:rsidR="00264D31" w:rsidRPr="00745FA7" w14:paraId="20A59C6F" w14:textId="77777777" w:rsidTr="00DB3AA6">
        <w:trPr>
          <w:trHeight w:val="255"/>
        </w:trPr>
        <w:tc>
          <w:tcPr>
            <w:tcW w:w="3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199FF3" w14:textId="77777777" w:rsidR="00264D31" w:rsidRPr="00745FA7" w:rsidRDefault="00264D31" w:rsidP="00264D31">
            <w:pPr>
              <w:spacing w:after="0" w:line="240" w:lineRule="auto"/>
              <w:jc w:val="center"/>
              <w:rPr>
                <w:rFonts w:ascii="Arial" w:eastAsia="Times New Roman" w:hAnsi="Arial" w:cs="Arial"/>
                <w:color w:val="000000"/>
                <w:sz w:val="18"/>
                <w:szCs w:val="18"/>
                <w:lang w:eastAsia="sl-SI"/>
              </w:rPr>
            </w:pPr>
            <w:r w:rsidRPr="00745FA7">
              <w:rPr>
                <w:rFonts w:ascii="Arial" w:eastAsia="Times New Roman" w:hAnsi="Arial" w:cs="Arial"/>
                <w:color w:val="000000"/>
                <w:sz w:val="18"/>
                <w:szCs w:val="18"/>
                <w:lang w:eastAsia="sl-SI"/>
              </w:rPr>
              <w:t>Vrsta postopka</w:t>
            </w:r>
          </w:p>
        </w:tc>
        <w:tc>
          <w:tcPr>
            <w:tcW w:w="96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19F189" w14:textId="77777777" w:rsidR="00264D31" w:rsidRPr="00745FA7" w:rsidRDefault="00264D31" w:rsidP="00264D31">
            <w:pPr>
              <w:spacing w:after="0" w:line="240" w:lineRule="auto"/>
              <w:jc w:val="center"/>
              <w:rPr>
                <w:rFonts w:ascii="Arial" w:eastAsia="Times New Roman" w:hAnsi="Arial" w:cs="Arial"/>
                <w:color w:val="000000"/>
                <w:sz w:val="18"/>
                <w:szCs w:val="18"/>
                <w:lang w:eastAsia="sl-SI"/>
              </w:rPr>
            </w:pPr>
            <w:r w:rsidRPr="00745FA7">
              <w:rPr>
                <w:rFonts w:ascii="Arial" w:eastAsia="Times New Roman" w:hAnsi="Arial" w:cs="Arial"/>
                <w:color w:val="000000"/>
                <w:sz w:val="18"/>
                <w:szCs w:val="18"/>
                <w:lang w:eastAsia="sl-SI"/>
              </w:rPr>
              <w:t>Št. postopkov</w:t>
            </w:r>
          </w:p>
        </w:tc>
        <w:tc>
          <w:tcPr>
            <w:tcW w:w="74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A5400D2" w14:textId="77777777" w:rsidR="00264D31" w:rsidRPr="00745FA7" w:rsidRDefault="00264D31" w:rsidP="00264D31">
            <w:pPr>
              <w:spacing w:after="0" w:line="240" w:lineRule="auto"/>
              <w:jc w:val="center"/>
              <w:rPr>
                <w:rFonts w:ascii="Arial" w:eastAsia="Times New Roman" w:hAnsi="Arial" w:cs="Arial"/>
                <w:color w:val="000000"/>
                <w:sz w:val="18"/>
                <w:szCs w:val="18"/>
                <w:lang w:eastAsia="sl-SI"/>
              </w:rPr>
            </w:pPr>
            <w:r w:rsidRPr="00745FA7">
              <w:rPr>
                <w:rFonts w:ascii="Arial" w:eastAsia="Times New Roman" w:hAnsi="Arial" w:cs="Arial"/>
                <w:color w:val="000000"/>
                <w:sz w:val="18"/>
                <w:szCs w:val="18"/>
                <w:lang w:eastAsia="sl-SI"/>
              </w:rPr>
              <w:t>Št. naročil</w:t>
            </w:r>
          </w:p>
        </w:tc>
        <w:tc>
          <w:tcPr>
            <w:tcW w:w="128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3B02911" w14:textId="77777777" w:rsidR="00264D31" w:rsidRPr="00745FA7" w:rsidRDefault="00264D31" w:rsidP="00264D31">
            <w:pPr>
              <w:spacing w:after="0" w:line="240" w:lineRule="auto"/>
              <w:jc w:val="center"/>
              <w:rPr>
                <w:rFonts w:ascii="Arial" w:eastAsia="Times New Roman" w:hAnsi="Arial" w:cs="Arial"/>
                <w:color w:val="000000"/>
                <w:sz w:val="18"/>
                <w:szCs w:val="18"/>
                <w:lang w:eastAsia="sl-SI"/>
              </w:rPr>
            </w:pPr>
            <w:r w:rsidRPr="00745FA7">
              <w:rPr>
                <w:rFonts w:ascii="Arial" w:eastAsia="Times New Roman" w:hAnsi="Arial" w:cs="Arial"/>
                <w:color w:val="000000"/>
                <w:sz w:val="18"/>
                <w:szCs w:val="18"/>
                <w:lang w:eastAsia="sl-SI"/>
              </w:rPr>
              <w:t>Pogodbena vrednost</w:t>
            </w:r>
          </w:p>
        </w:tc>
        <w:tc>
          <w:tcPr>
            <w:tcW w:w="110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8245488" w14:textId="77777777" w:rsidR="00264D31" w:rsidRPr="00745FA7" w:rsidRDefault="00264D31" w:rsidP="00264D31">
            <w:pPr>
              <w:spacing w:after="0" w:line="240" w:lineRule="auto"/>
              <w:jc w:val="center"/>
              <w:rPr>
                <w:rFonts w:ascii="Arial" w:eastAsia="Times New Roman" w:hAnsi="Arial" w:cs="Arial"/>
                <w:color w:val="000000"/>
                <w:sz w:val="18"/>
                <w:szCs w:val="18"/>
                <w:lang w:eastAsia="sl-SI"/>
              </w:rPr>
            </w:pPr>
            <w:r w:rsidRPr="00745FA7">
              <w:rPr>
                <w:rFonts w:ascii="Arial" w:eastAsia="Times New Roman" w:hAnsi="Arial" w:cs="Arial"/>
                <w:color w:val="000000"/>
                <w:sz w:val="18"/>
                <w:szCs w:val="18"/>
                <w:lang w:eastAsia="sl-SI"/>
              </w:rPr>
              <w:t>Delež v št. postopkov</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4CBB9B4" w14:textId="77777777" w:rsidR="00264D31" w:rsidRPr="00745FA7" w:rsidRDefault="00264D31" w:rsidP="00264D31">
            <w:pPr>
              <w:spacing w:after="0" w:line="240" w:lineRule="auto"/>
              <w:jc w:val="center"/>
              <w:rPr>
                <w:rFonts w:ascii="Arial" w:eastAsia="Times New Roman" w:hAnsi="Arial" w:cs="Arial"/>
                <w:color w:val="000000"/>
                <w:sz w:val="18"/>
                <w:szCs w:val="18"/>
                <w:lang w:eastAsia="sl-SI"/>
              </w:rPr>
            </w:pPr>
            <w:r w:rsidRPr="00745FA7">
              <w:rPr>
                <w:rFonts w:ascii="Arial" w:eastAsia="Times New Roman" w:hAnsi="Arial" w:cs="Arial"/>
                <w:color w:val="000000"/>
                <w:sz w:val="18"/>
                <w:szCs w:val="18"/>
                <w:lang w:eastAsia="sl-SI"/>
              </w:rPr>
              <w:t>Delež v št. naročil</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69FEF20" w14:textId="77777777" w:rsidR="00264D31" w:rsidRPr="00745FA7" w:rsidRDefault="00264D31" w:rsidP="00264D31">
            <w:pPr>
              <w:spacing w:after="0" w:line="240" w:lineRule="auto"/>
              <w:jc w:val="center"/>
              <w:rPr>
                <w:rFonts w:ascii="Arial" w:eastAsia="Times New Roman" w:hAnsi="Arial" w:cs="Arial"/>
                <w:color w:val="000000"/>
                <w:sz w:val="18"/>
                <w:szCs w:val="18"/>
                <w:lang w:eastAsia="sl-SI"/>
              </w:rPr>
            </w:pPr>
            <w:r w:rsidRPr="00745FA7">
              <w:rPr>
                <w:rFonts w:ascii="Arial" w:eastAsia="Times New Roman" w:hAnsi="Arial" w:cs="Arial"/>
                <w:color w:val="000000"/>
                <w:sz w:val="18"/>
                <w:szCs w:val="18"/>
                <w:lang w:eastAsia="sl-SI"/>
              </w:rPr>
              <w:t>Delež v vrednosti</w:t>
            </w:r>
          </w:p>
        </w:tc>
      </w:tr>
      <w:tr w:rsidR="00745FA7" w:rsidRPr="00745FA7" w14:paraId="01CD03A3" w14:textId="77777777" w:rsidTr="00745FA7">
        <w:trPr>
          <w:trHeight w:val="255"/>
        </w:trPr>
        <w:tc>
          <w:tcPr>
            <w:tcW w:w="3138" w:type="dxa"/>
            <w:tcBorders>
              <w:top w:val="nil"/>
              <w:left w:val="single" w:sz="4" w:space="0" w:color="auto"/>
              <w:bottom w:val="single" w:sz="4" w:space="0" w:color="auto"/>
              <w:right w:val="single" w:sz="4" w:space="0" w:color="auto"/>
            </w:tcBorders>
            <w:shd w:val="clear" w:color="auto" w:fill="auto"/>
            <w:vAlign w:val="center"/>
            <w:hideMark/>
          </w:tcPr>
          <w:p w14:paraId="0E367CBE" w14:textId="77777777" w:rsidR="00745FA7" w:rsidRPr="00745FA7" w:rsidRDefault="00745FA7" w:rsidP="00745FA7">
            <w:pPr>
              <w:spacing w:after="0" w:line="240" w:lineRule="auto"/>
              <w:rPr>
                <w:rFonts w:ascii="Arial" w:eastAsia="Times New Roman" w:hAnsi="Arial" w:cs="Arial"/>
                <w:color w:val="000000"/>
                <w:sz w:val="18"/>
                <w:szCs w:val="18"/>
                <w:lang w:eastAsia="sl-SI"/>
              </w:rPr>
            </w:pPr>
            <w:r w:rsidRPr="00745FA7">
              <w:rPr>
                <w:rFonts w:ascii="Arial" w:eastAsia="Times New Roman" w:hAnsi="Arial" w:cs="Arial"/>
                <w:color w:val="000000"/>
                <w:sz w:val="18"/>
                <w:szCs w:val="18"/>
                <w:lang w:eastAsia="sl-SI"/>
              </w:rPr>
              <w:t>Konkurenčni postopek s pogajanji</w:t>
            </w:r>
          </w:p>
        </w:tc>
        <w:tc>
          <w:tcPr>
            <w:tcW w:w="961" w:type="dxa"/>
            <w:tcBorders>
              <w:top w:val="nil"/>
              <w:left w:val="nil"/>
              <w:bottom w:val="single" w:sz="4" w:space="0" w:color="auto"/>
              <w:right w:val="single" w:sz="4" w:space="0" w:color="auto"/>
            </w:tcBorders>
            <w:shd w:val="clear" w:color="auto" w:fill="auto"/>
            <w:vAlign w:val="center"/>
            <w:hideMark/>
          </w:tcPr>
          <w:p w14:paraId="5B5C45AF" w14:textId="4E1461E2" w:rsidR="00745FA7" w:rsidRPr="00745FA7" w:rsidRDefault="00745FA7" w:rsidP="00745FA7">
            <w:pPr>
              <w:spacing w:after="0" w:line="240" w:lineRule="auto"/>
              <w:jc w:val="right"/>
              <w:rPr>
                <w:rFonts w:ascii="Arial" w:hAnsi="Arial" w:cs="Arial"/>
                <w:sz w:val="18"/>
                <w:szCs w:val="18"/>
              </w:rPr>
            </w:pPr>
            <w:r w:rsidRPr="00745FA7">
              <w:rPr>
                <w:rFonts w:ascii="Arial" w:hAnsi="Arial" w:cs="Arial"/>
                <w:sz w:val="18"/>
                <w:szCs w:val="18"/>
              </w:rPr>
              <w:t>88</w:t>
            </w:r>
          </w:p>
        </w:tc>
        <w:tc>
          <w:tcPr>
            <w:tcW w:w="740" w:type="dxa"/>
            <w:tcBorders>
              <w:top w:val="nil"/>
              <w:left w:val="nil"/>
              <w:bottom w:val="single" w:sz="4" w:space="0" w:color="auto"/>
              <w:right w:val="single" w:sz="4" w:space="0" w:color="auto"/>
            </w:tcBorders>
            <w:shd w:val="clear" w:color="auto" w:fill="auto"/>
            <w:vAlign w:val="center"/>
            <w:hideMark/>
          </w:tcPr>
          <w:p w14:paraId="7DEA4168" w14:textId="2274F8C9" w:rsidR="00745FA7" w:rsidRPr="00745FA7" w:rsidRDefault="00745FA7" w:rsidP="00745FA7">
            <w:pPr>
              <w:spacing w:after="0" w:line="240" w:lineRule="auto"/>
              <w:jc w:val="right"/>
              <w:rPr>
                <w:rFonts w:ascii="Arial" w:hAnsi="Arial" w:cs="Arial"/>
                <w:sz w:val="18"/>
                <w:szCs w:val="18"/>
              </w:rPr>
            </w:pPr>
            <w:r w:rsidRPr="00745FA7">
              <w:rPr>
                <w:rFonts w:ascii="Arial" w:hAnsi="Arial" w:cs="Arial"/>
                <w:sz w:val="18"/>
                <w:szCs w:val="18"/>
              </w:rPr>
              <w:t>102</w:t>
            </w:r>
          </w:p>
        </w:tc>
        <w:tc>
          <w:tcPr>
            <w:tcW w:w="1280" w:type="dxa"/>
            <w:tcBorders>
              <w:top w:val="nil"/>
              <w:left w:val="nil"/>
              <w:bottom w:val="single" w:sz="4" w:space="0" w:color="auto"/>
              <w:right w:val="single" w:sz="4" w:space="0" w:color="auto"/>
            </w:tcBorders>
            <w:shd w:val="clear" w:color="auto" w:fill="auto"/>
            <w:vAlign w:val="center"/>
            <w:hideMark/>
          </w:tcPr>
          <w:p w14:paraId="1EDC3622" w14:textId="4949B375" w:rsidR="00745FA7" w:rsidRPr="00745FA7" w:rsidRDefault="00745FA7" w:rsidP="00745FA7">
            <w:pPr>
              <w:spacing w:after="0" w:line="240" w:lineRule="auto"/>
              <w:jc w:val="right"/>
              <w:rPr>
                <w:rFonts w:ascii="Arial" w:hAnsi="Arial" w:cs="Arial"/>
                <w:sz w:val="18"/>
                <w:szCs w:val="18"/>
              </w:rPr>
            </w:pPr>
            <w:r w:rsidRPr="00745FA7">
              <w:rPr>
                <w:rFonts w:ascii="Arial" w:hAnsi="Arial" w:cs="Arial"/>
                <w:sz w:val="18"/>
                <w:szCs w:val="18"/>
              </w:rPr>
              <w:t>216.655.307</w:t>
            </w:r>
          </w:p>
        </w:tc>
        <w:tc>
          <w:tcPr>
            <w:tcW w:w="1106" w:type="dxa"/>
            <w:tcBorders>
              <w:top w:val="nil"/>
              <w:left w:val="nil"/>
              <w:bottom w:val="single" w:sz="4" w:space="0" w:color="auto"/>
              <w:right w:val="single" w:sz="4" w:space="0" w:color="auto"/>
            </w:tcBorders>
            <w:shd w:val="clear" w:color="auto" w:fill="auto"/>
            <w:noWrap/>
            <w:vAlign w:val="center"/>
            <w:hideMark/>
          </w:tcPr>
          <w:p w14:paraId="011579DE" w14:textId="2A6927D9" w:rsidR="00745FA7" w:rsidRPr="00745FA7" w:rsidRDefault="00745FA7" w:rsidP="00745FA7">
            <w:pPr>
              <w:spacing w:after="0" w:line="240" w:lineRule="auto"/>
              <w:jc w:val="right"/>
              <w:rPr>
                <w:rFonts w:ascii="Arial" w:hAnsi="Arial" w:cs="Arial"/>
                <w:sz w:val="18"/>
                <w:szCs w:val="18"/>
              </w:rPr>
            </w:pPr>
            <w:r w:rsidRPr="00745FA7">
              <w:rPr>
                <w:rFonts w:ascii="Arial" w:hAnsi="Arial" w:cs="Arial"/>
                <w:sz w:val="18"/>
                <w:szCs w:val="18"/>
              </w:rPr>
              <w:t>12,12 %</w:t>
            </w:r>
          </w:p>
        </w:tc>
        <w:tc>
          <w:tcPr>
            <w:tcW w:w="992" w:type="dxa"/>
            <w:tcBorders>
              <w:top w:val="nil"/>
              <w:left w:val="nil"/>
              <w:bottom w:val="single" w:sz="4" w:space="0" w:color="auto"/>
              <w:right w:val="single" w:sz="4" w:space="0" w:color="auto"/>
            </w:tcBorders>
            <w:shd w:val="clear" w:color="auto" w:fill="auto"/>
            <w:noWrap/>
            <w:vAlign w:val="center"/>
            <w:hideMark/>
          </w:tcPr>
          <w:p w14:paraId="2FF0E003" w14:textId="16885432" w:rsidR="00745FA7" w:rsidRPr="00745FA7" w:rsidRDefault="00745FA7" w:rsidP="00745FA7">
            <w:pPr>
              <w:spacing w:after="0" w:line="240" w:lineRule="auto"/>
              <w:jc w:val="right"/>
              <w:rPr>
                <w:rFonts w:ascii="Arial" w:hAnsi="Arial" w:cs="Arial"/>
                <w:sz w:val="18"/>
                <w:szCs w:val="18"/>
              </w:rPr>
            </w:pPr>
            <w:r w:rsidRPr="00745FA7">
              <w:rPr>
                <w:rFonts w:ascii="Arial" w:hAnsi="Arial" w:cs="Arial"/>
                <w:sz w:val="18"/>
                <w:szCs w:val="18"/>
              </w:rPr>
              <w:t>11,41 %</w:t>
            </w:r>
          </w:p>
        </w:tc>
        <w:tc>
          <w:tcPr>
            <w:tcW w:w="992" w:type="dxa"/>
            <w:tcBorders>
              <w:top w:val="nil"/>
              <w:left w:val="nil"/>
              <w:bottom w:val="single" w:sz="4" w:space="0" w:color="auto"/>
              <w:right w:val="single" w:sz="4" w:space="0" w:color="auto"/>
            </w:tcBorders>
            <w:shd w:val="clear" w:color="auto" w:fill="auto"/>
            <w:noWrap/>
            <w:vAlign w:val="center"/>
          </w:tcPr>
          <w:p w14:paraId="46CEACEE" w14:textId="5180F9FF" w:rsidR="00745FA7" w:rsidRPr="00745FA7" w:rsidRDefault="00745FA7" w:rsidP="00745FA7">
            <w:pPr>
              <w:spacing w:after="0" w:line="240" w:lineRule="auto"/>
              <w:jc w:val="right"/>
              <w:rPr>
                <w:rFonts w:ascii="Arial" w:hAnsi="Arial" w:cs="Arial"/>
                <w:sz w:val="18"/>
                <w:szCs w:val="18"/>
              </w:rPr>
            </w:pPr>
            <w:r w:rsidRPr="00745FA7">
              <w:rPr>
                <w:rFonts w:ascii="Arial" w:hAnsi="Arial" w:cs="Arial"/>
                <w:sz w:val="18"/>
                <w:szCs w:val="18"/>
              </w:rPr>
              <w:t>43,01 %</w:t>
            </w:r>
          </w:p>
        </w:tc>
      </w:tr>
      <w:tr w:rsidR="00745FA7" w:rsidRPr="00745FA7" w14:paraId="292B6C3E" w14:textId="77777777" w:rsidTr="00745FA7">
        <w:trPr>
          <w:trHeight w:val="255"/>
        </w:trPr>
        <w:tc>
          <w:tcPr>
            <w:tcW w:w="3138" w:type="dxa"/>
            <w:tcBorders>
              <w:top w:val="nil"/>
              <w:left w:val="single" w:sz="4" w:space="0" w:color="auto"/>
              <w:bottom w:val="single" w:sz="4" w:space="0" w:color="auto"/>
              <w:right w:val="single" w:sz="4" w:space="0" w:color="auto"/>
            </w:tcBorders>
            <w:shd w:val="clear" w:color="auto" w:fill="auto"/>
            <w:vAlign w:val="center"/>
            <w:hideMark/>
          </w:tcPr>
          <w:p w14:paraId="311145DA" w14:textId="77777777" w:rsidR="00745FA7" w:rsidRPr="00745FA7" w:rsidRDefault="00745FA7" w:rsidP="00745FA7">
            <w:pPr>
              <w:spacing w:after="0" w:line="240" w:lineRule="auto"/>
              <w:rPr>
                <w:rFonts w:ascii="Arial" w:eastAsia="Times New Roman" w:hAnsi="Arial" w:cs="Arial"/>
                <w:color w:val="000000"/>
                <w:sz w:val="18"/>
                <w:szCs w:val="18"/>
                <w:lang w:eastAsia="sl-SI"/>
              </w:rPr>
            </w:pPr>
            <w:r w:rsidRPr="00745FA7">
              <w:rPr>
                <w:rFonts w:ascii="Arial" w:eastAsia="Times New Roman" w:hAnsi="Arial" w:cs="Arial"/>
                <w:color w:val="000000"/>
                <w:sz w:val="18"/>
                <w:szCs w:val="18"/>
                <w:lang w:eastAsia="sl-SI"/>
              </w:rPr>
              <w:t>Postopek s pogajanji brez predhodne objave</w:t>
            </w:r>
          </w:p>
        </w:tc>
        <w:tc>
          <w:tcPr>
            <w:tcW w:w="961" w:type="dxa"/>
            <w:tcBorders>
              <w:top w:val="nil"/>
              <w:left w:val="nil"/>
              <w:bottom w:val="single" w:sz="4" w:space="0" w:color="auto"/>
              <w:right w:val="single" w:sz="4" w:space="0" w:color="auto"/>
            </w:tcBorders>
            <w:shd w:val="clear" w:color="auto" w:fill="auto"/>
            <w:vAlign w:val="center"/>
            <w:hideMark/>
          </w:tcPr>
          <w:p w14:paraId="7EB19A87" w14:textId="4ABAA261" w:rsidR="00745FA7" w:rsidRPr="00745FA7" w:rsidRDefault="00745FA7" w:rsidP="00745FA7">
            <w:pPr>
              <w:spacing w:after="0" w:line="240" w:lineRule="auto"/>
              <w:jc w:val="right"/>
              <w:rPr>
                <w:rFonts w:ascii="Arial" w:hAnsi="Arial" w:cs="Arial"/>
                <w:sz w:val="18"/>
                <w:szCs w:val="18"/>
              </w:rPr>
            </w:pPr>
            <w:r w:rsidRPr="00745FA7">
              <w:rPr>
                <w:rFonts w:ascii="Arial" w:hAnsi="Arial" w:cs="Arial"/>
                <w:sz w:val="18"/>
                <w:szCs w:val="18"/>
              </w:rPr>
              <w:t>638</w:t>
            </w:r>
          </w:p>
        </w:tc>
        <w:tc>
          <w:tcPr>
            <w:tcW w:w="740" w:type="dxa"/>
            <w:tcBorders>
              <w:top w:val="nil"/>
              <w:left w:val="nil"/>
              <w:bottom w:val="single" w:sz="4" w:space="0" w:color="auto"/>
              <w:right w:val="single" w:sz="4" w:space="0" w:color="auto"/>
            </w:tcBorders>
            <w:shd w:val="clear" w:color="auto" w:fill="auto"/>
            <w:vAlign w:val="center"/>
            <w:hideMark/>
          </w:tcPr>
          <w:p w14:paraId="7E82382E" w14:textId="5B647C94" w:rsidR="00745FA7" w:rsidRPr="00745FA7" w:rsidRDefault="00745FA7" w:rsidP="00745FA7">
            <w:pPr>
              <w:spacing w:after="0" w:line="240" w:lineRule="auto"/>
              <w:jc w:val="right"/>
              <w:rPr>
                <w:rFonts w:ascii="Arial" w:hAnsi="Arial" w:cs="Arial"/>
                <w:sz w:val="18"/>
                <w:szCs w:val="18"/>
              </w:rPr>
            </w:pPr>
            <w:r w:rsidRPr="00745FA7">
              <w:rPr>
                <w:rFonts w:ascii="Arial" w:hAnsi="Arial" w:cs="Arial"/>
                <w:sz w:val="18"/>
                <w:szCs w:val="18"/>
              </w:rPr>
              <w:t>792</w:t>
            </w:r>
          </w:p>
        </w:tc>
        <w:tc>
          <w:tcPr>
            <w:tcW w:w="1280" w:type="dxa"/>
            <w:tcBorders>
              <w:top w:val="nil"/>
              <w:left w:val="nil"/>
              <w:bottom w:val="single" w:sz="4" w:space="0" w:color="auto"/>
              <w:right w:val="single" w:sz="4" w:space="0" w:color="auto"/>
            </w:tcBorders>
            <w:shd w:val="clear" w:color="auto" w:fill="auto"/>
            <w:vAlign w:val="center"/>
            <w:hideMark/>
          </w:tcPr>
          <w:p w14:paraId="64B248C0" w14:textId="22D40AE4" w:rsidR="00745FA7" w:rsidRPr="00745FA7" w:rsidRDefault="00745FA7" w:rsidP="00745FA7">
            <w:pPr>
              <w:spacing w:after="0" w:line="240" w:lineRule="auto"/>
              <w:jc w:val="right"/>
              <w:rPr>
                <w:rFonts w:ascii="Arial" w:hAnsi="Arial" w:cs="Arial"/>
                <w:sz w:val="18"/>
                <w:szCs w:val="18"/>
              </w:rPr>
            </w:pPr>
            <w:r w:rsidRPr="00745FA7">
              <w:rPr>
                <w:rFonts w:ascii="Arial" w:hAnsi="Arial" w:cs="Arial"/>
                <w:sz w:val="18"/>
                <w:szCs w:val="18"/>
              </w:rPr>
              <w:t>287.023.067</w:t>
            </w:r>
          </w:p>
        </w:tc>
        <w:tc>
          <w:tcPr>
            <w:tcW w:w="1106" w:type="dxa"/>
            <w:tcBorders>
              <w:top w:val="nil"/>
              <w:left w:val="nil"/>
              <w:bottom w:val="single" w:sz="4" w:space="0" w:color="auto"/>
              <w:right w:val="single" w:sz="4" w:space="0" w:color="auto"/>
            </w:tcBorders>
            <w:shd w:val="clear" w:color="auto" w:fill="auto"/>
            <w:noWrap/>
            <w:vAlign w:val="center"/>
            <w:hideMark/>
          </w:tcPr>
          <w:p w14:paraId="269DDA53" w14:textId="1F2A743E" w:rsidR="00745FA7" w:rsidRPr="00745FA7" w:rsidRDefault="00745FA7" w:rsidP="00745FA7">
            <w:pPr>
              <w:spacing w:after="0" w:line="240" w:lineRule="auto"/>
              <w:jc w:val="right"/>
              <w:rPr>
                <w:rFonts w:ascii="Arial" w:hAnsi="Arial" w:cs="Arial"/>
                <w:sz w:val="18"/>
                <w:szCs w:val="18"/>
              </w:rPr>
            </w:pPr>
            <w:r w:rsidRPr="00745FA7">
              <w:rPr>
                <w:rFonts w:ascii="Arial" w:hAnsi="Arial" w:cs="Arial"/>
                <w:sz w:val="18"/>
                <w:szCs w:val="18"/>
              </w:rPr>
              <w:t>87,88 %</w:t>
            </w:r>
          </w:p>
        </w:tc>
        <w:tc>
          <w:tcPr>
            <w:tcW w:w="992" w:type="dxa"/>
            <w:tcBorders>
              <w:top w:val="nil"/>
              <w:left w:val="nil"/>
              <w:bottom w:val="single" w:sz="4" w:space="0" w:color="auto"/>
              <w:right w:val="single" w:sz="4" w:space="0" w:color="auto"/>
            </w:tcBorders>
            <w:shd w:val="clear" w:color="auto" w:fill="auto"/>
            <w:noWrap/>
            <w:vAlign w:val="center"/>
            <w:hideMark/>
          </w:tcPr>
          <w:p w14:paraId="10CD5D33" w14:textId="0712B1F9" w:rsidR="00745FA7" w:rsidRPr="00745FA7" w:rsidRDefault="00745FA7" w:rsidP="00745FA7">
            <w:pPr>
              <w:spacing w:after="0" w:line="240" w:lineRule="auto"/>
              <w:jc w:val="right"/>
              <w:rPr>
                <w:rFonts w:ascii="Arial" w:hAnsi="Arial" w:cs="Arial"/>
                <w:sz w:val="18"/>
                <w:szCs w:val="18"/>
              </w:rPr>
            </w:pPr>
            <w:r w:rsidRPr="00745FA7">
              <w:rPr>
                <w:rFonts w:ascii="Arial" w:hAnsi="Arial" w:cs="Arial"/>
                <w:sz w:val="18"/>
                <w:szCs w:val="18"/>
              </w:rPr>
              <w:t>88,59 %</w:t>
            </w:r>
          </w:p>
        </w:tc>
        <w:tc>
          <w:tcPr>
            <w:tcW w:w="992" w:type="dxa"/>
            <w:tcBorders>
              <w:top w:val="nil"/>
              <w:left w:val="nil"/>
              <w:bottom w:val="single" w:sz="4" w:space="0" w:color="auto"/>
              <w:right w:val="single" w:sz="4" w:space="0" w:color="auto"/>
            </w:tcBorders>
            <w:shd w:val="clear" w:color="auto" w:fill="auto"/>
            <w:noWrap/>
            <w:vAlign w:val="center"/>
          </w:tcPr>
          <w:p w14:paraId="317D2619" w14:textId="5C038DDE" w:rsidR="00745FA7" w:rsidRPr="00745FA7" w:rsidRDefault="00745FA7" w:rsidP="00745FA7">
            <w:pPr>
              <w:spacing w:after="0" w:line="240" w:lineRule="auto"/>
              <w:jc w:val="right"/>
              <w:rPr>
                <w:rFonts w:ascii="Arial" w:hAnsi="Arial" w:cs="Arial"/>
                <w:sz w:val="18"/>
                <w:szCs w:val="18"/>
              </w:rPr>
            </w:pPr>
            <w:r w:rsidRPr="00745FA7">
              <w:rPr>
                <w:rFonts w:ascii="Arial" w:hAnsi="Arial" w:cs="Arial"/>
                <w:sz w:val="18"/>
                <w:szCs w:val="18"/>
              </w:rPr>
              <w:t>56,99 %</w:t>
            </w:r>
          </w:p>
        </w:tc>
      </w:tr>
      <w:tr w:rsidR="00745FA7" w:rsidRPr="00745FA7" w14:paraId="01DFA0C7" w14:textId="77777777" w:rsidTr="00745FA7">
        <w:trPr>
          <w:trHeight w:val="255"/>
        </w:trPr>
        <w:tc>
          <w:tcPr>
            <w:tcW w:w="3138"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1E4543A" w14:textId="77777777" w:rsidR="00745FA7" w:rsidRPr="00745FA7" w:rsidRDefault="00745FA7" w:rsidP="00745FA7">
            <w:pPr>
              <w:spacing w:after="0" w:line="240" w:lineRule="auto"/>
              <w:rPr>
                <w:rFonts w:ascii="Arial" w:eastAsia="Times New Roman" w:hAnsi="Arial" w:cs="Arial"/>
                <w:b/>
                <w:bCs/>
                <w:color w:val="000000"/>
                <w:sz w:val="18"/>
                <w:szCs w:val="18"/>
                <w:lang w:eastAsia="sl-SI"/>
              </w:rPr>
            </w:pPr>
            <w:r w:rsidRPr="00745FA7">
              <w:rPr>
                <w:rFonts w:ascii="Arial" w:eastAsia="Times New Roman" w:hAnsi="Arial" w:cs="Arial"/>
                <w:b/>
                <w:bCs/>
                <w:color w:val="000000"/>
                <w:sz w:val="18"/>
                <w:szCs w:val="18"/>
                <w:lang w:eastAsia="sl-SI"/>
              </w:rPr>
              <w:t>Skupaj</w:t>
            </w:r>
          </w:p>
        </w:tc>
        <w:tc>
          <w:tcPr>
            <w:tcW w:w="961" w:type="dxa"/>
            <w:tcBorders>
              <w:top w:val="nil"/>
              <w:left w:val="nil"/>
              <w:bottom w:val="single" w:sz="4" w:space="0" w:color="auto"/>
              <w:right w:val="single" w:sz="4" w:space="0" w:color="auto"/>
            </w:tcBorders>
            <w:shd w:val="clear" w:color="auto" w:fill="F2F2F2" w:themeFill="background1" w:themeFillShade="F2"/>
            <w:noWrap/>
            <w:vAlign w:val="center"/>
            <w:hideMark/>
          </w:tcPr>
          <w:p w14:paraId="2F7FF669" w14:textId="7630A782" w:rsidR="00745FA7" w:rsidRPr="00745FA7" w:rsidRDefault="00745FA7" w:rsidP="00745FA7">
            <w:pPr>
              <w:spacing w:after="0" w:line="240" w:lineRule="auto"/>
              <w:jc w:val="right"/>
              <w:rPr>
                <w:rFonts w:ascii="Arial" w:hAnsi="Arial" w:cs="Arial"/>
                <w:b/>
                <w:bCs/>
                <w:sz w:val="18"/>
                <w:szCs w:val="18"/>
              </w:rPr>
            </w:pPr>
            <w:r w:rsidRPr="00745FA7">
              <w:rPr>
                <w:rFonts w:ascii="Arial" w:hAnsi="Arial" w:cs="Arial"/>
                <w:b/>
                <w:bCs/>
                <w:sz w:val="18"/>
                <w:szCs w:val="18"/>
              </w:rPr>
              <w:t>726</w:t>
            </w:r>
          </w:p>
        </w:tc>
        <w:tc>
          <w:tcPr>
            <w:tcW w:w="740" w:type="dxa"/>
            <w:tcBorders>
              <w:top w:val="nil"/>
              <w:left w:val="nil"/>
              <w:bottom w:val="single" w:sz="4" w:space="0" w:color="auto"/>
              <w:right w:val="single" w:sz="4" w:space="0" w:color="auto"/>
            </w:tcBorders>
            <w:shd w:val="clear" w:color="auto" w:fill="F2F2F2" w:themeFill="background1" w:themeFillShade="F2"/>
            <w:noWrap/>
            <w:vAlign w:val="center"/>
            <w:hideMark/>
          </w:tcPr>
          <w:p w14:paraId="5B1CDC9B" w14:textId="1992F129" w:rsidR="00745FA7" w:rsidRPr="00745FA7" w:rsidRDefault="00745FA7" w:rsidP="00745FA7">
            <w:pPr>
              <w:spacing w:after="0" w:line="240" w:lineRule="auto"/>
              <w:jc w:val="right"/>
              <w:rPr>
                <w:rFonts w:ascii="Arial" w:hAnsi="Arial" w:cs="Arial"/>
                <w:b/>
                <w:bCs/>
                <w:sz w:val="18"/>
                <w:szCs w:val="18"/>
              </w:rPr>
            </w:pPr>
            <w:r w:rsidRPr="00745FA7">
              <w:rPr>
                <w:rFonts w:ascii="Arial" w:hAnsi="Arial" w:cs="Arial"/>
                <w:b/>
                <w:bCs/>
                <w:sz w:val="18"/>
                <w:szCs w:val="18"/>
              </w:rPr>
              <w:t>894</w:t>
            </w:r>
          </w:p>
        </w:tc>
        <w:tc>
          <w:tcPr>
            <w:tcW w:w="1280" w:type="dxa"/>
            <w:tcBorders>
              <w:top w:val="nil"/>
              <w:left w:val="nil"/>
              <w:bottom w:val="single" w:sz="4" w:space="0" w:color="auto"/>
              <w:right w:val="single" w:sz="4" w:space="0" w:color="auto"/>
            </w:tcBorders>
            <w:shd w:val="clear" w:color="auto" w:fill="F2F2F2" w:themeFill="background1" w:themeFillShade="F2"/>
            <w:noWrap/>
            <w:vAlign w:val="center"/>
            <w:hideMark/>
          </w:tcPr>
          <w:p w14:paraId="7D481B91" w14:textId="1DF64C2D" w:rsidR="00745FA7" w:rsidRPr="00745FA7" w:rsidRDefault="00745FA7" w:rsidP="00745FA7">
            <w:pPr>
              <w:spacing w:after="0" w:line="240" w:lineRule="auto"/>
              <w:jc w:val="right"/>
              <w:rPr>
                <w:rFonts w:ascii="Arial" w:hAnsi="Arial" w:cs="Arial"/>
                <w:b/>
                <w:bCs/>
                <w:sz w:val="18"/>
                <w:szCs w:val="18"/>
              </w:rPr>
            </w:pPr>
            <w:r w:rsidRPr="00745FA7">
              <w:rPr>
                <w:rFonts w:ascii="Arial" w:hAnsi="Arial" w:cs="Arial"/>
                <w:b/>
                <w:bCs/>
                <w:sz w:val="18"/>
                <w:szCs w:val="18"/>
              </w:rPr>
              <w:t>503.678.374</w:t>
            </w:r>
          </w:p>
        </w:tc>
        <w:tc>
          <w:tcPr>
            <w:tcW w:w="1106" w:type="dxa"/>
            <w:tcBorders>
              <w:top w:val="nil"/>
              <w:left w:val="nil"/>
              <w:bottom w:val="single" w:sz="4" w:space="0" w:color="auto"/>
              <w:right w:val="single" w:sz="4" w:space="0" w:color="auto"/>
            </w:tcBorders>
            <w:shd w:val="clear" w:color="auto" w:fill="F2F2F2" w:themeFill="background1" w:themeFillShade="F2"/>
            <w:noWrap/>
            <w:vAlign w:val="center"/>
            <w:hideMark/>
          </w:tcPr>
          <w:p w14:paraId="52569424" w14:textId="3ABA4225" w:rsidR="00745FA7" w:rsidRPr="00745FA7" w:rsidRDefault="00745FA7" w:rsidP="00745FA7">
            <w:pPr>
              <w:spacing w:after="0" w:line="240" w:lineRule="auto"/>
              <w:jc w:val="right"/>
              <w:rPr>
                <w:rFonts w:ascii="Arial" w:hAnsi="Arial" w:cs="Arial"/>
                <w:b/>
                <w:bCs/>
                <w:sz w:val="18"/>
                <w:szCs w:val="18"/>
              </w:rPr>
            </w:pPr>
            <w:r w:rsidRPr="00745FA7">
              <w:rPr>
                <w:rFonts w:ascii="Arial" w:hAnsi="Arial" w:cs="Arial"/>
                <w:b/>
                <w:bCs/>
                <w:sz w:val="18"/>
                <w:szCs w:val="18"/>
              </w:rPr>
              <w:t>100,00 %</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5E7E1CB1" w14:textId="73424C96" w:rsidR="00745FA7" w:rsidRPr="00745FA7" w:rsidRDefault="00745FA7" w:rsidP="00745FA7">
            <w:pPr>
              <w:spacing w:after="0" w:line="240" w:lineRule="auto"/>
              <w:jc w:val="right"/>
              <w:rPr>
                <w:rFonts w:ascii="Arial" w:hAnsi="Arial" w:cs="Arial"/>
                <w:b/>
                <w:bCs/>
                <w:sz w:val="18"/>
                <w:szCs w:val="18"/>
              </w:rPr>
            </w:pPr>
            <w:r w:rsidRPr="00745FA7">
              <w:rPr>
                <w:rFonts w:ascii="Arial" w:hAnsi="Arial" w:cs="Arial"/>
                <w:b/>
                <w:bCs/>
                <w:sz w:val="18"/>
                <w:szCs w:val="18"/>
              </w:rPr>
              <w:t>100,00 %</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271F968F" w14:textId="0F665C83" w:rsidR="00745FA7" w:rsidRPr="00745FA7" w:rsidRDefault="00745FA7" w:rsidP="00745FA7">
            <w:pPr>
              <w:spacing w:after="0" w:line="240" w:lineRule="auto"/>
              <w:jc w:val="right"/>
              <w:rPr>
                <w:rFonts w:ascii="Arial" w:hAnsi="Arial" w:cs="Arial"/>
                <w:b/>
                <w:bCs/>
                <w:sz w:val="18"/>
                <w:szCs w:val="18"/>
              </w:rPr>
            </w:pPr>
            <w:r w:rsidRPr="00745FA7">
              <w:rPr>
                <w:rFonts w:ascii="Arial" w:hAnsi="Arial" w:cs="Arial"/>
                <w:b/>
                <w:bCs/>
                <w:sz w:val="18"/>
                <w:szCs w:val="18"/>
              </w:rPr>
              <w:t>100,00 %</w:t>
            </w:r>
          </w:p>
        </w:tc>
      </w:tr>
    </w:tbl>
    <w:p w14:paraId="3A7DE4F2" w14:textId="77777777" w:rsidR="003156F5" w:rsidRPr="00745FA7" w:rsidRDefault="003156F5" w:rsidP="003156F5">
      <w:pPr>
        <w:spacing w:after="0" w:line="240" w:lineRule="auto"/>
        <w:jc w:val="center"/>
        <w:rPr>
          <w:rFonts w:ascii="Arial" w:hAnsi="Arial" w:cs="Arial"/>
          <w:color w:val="000000" w:themeColor="text1"/>
          <w:sz w:val="18"/>
        </w:rPr>
      </w:pPr>
    </w:p>
    <w:p w14:paraId="27ECB909" w14:textId="0F773DB2" w:rsidR="00EE4F5B" w:rsidRPr="00745FA7" w:rsidRDefault="00EE4F5B" w:rsidP="003156F5">
      <w:pPr>
        <w:spacing w:after="0" w:line="240" w:lineRule="auto"/>
        <w:jc w:val="center"/>
        <w:rPr>
          <w:rFonts w:ascii="Arial" w:hAnsi="Arial" w:cs="Arial"/>
          <w:color w:val="000000" w:themeColor="text1"/>
          <w:sz w:val="18"/>
        </w:rPr>
      </w:pPr>
      <w:r w:rsidRPr="00745FA7">
        <w:rPr>
          <w:rFonts w:ascii="Arial" w:hAnsi="Arial" w:cs="Arial"/>
          <w:color w:val="000000" w:themeColor="text1"/>
          <w:sz w:val="18"/>
        </w:rPr>
        <w:t>Vir: Statistični podatki o javnih naročil</w:t>
      </w:r>
      <w:r w:rsidR="000B6669" w:rsidRPr="00745FA7">
        <w:rPr>
          <w:rFonts w:ascii="Arial" w:hAnsi="Arial" w:cs="Arial"/>
          <w:color w:val="000000" w:themeColor="text1"/>
          <w:sz w:val="18"/>
        </w:rPr>
        <w:t>ih, oddanih v letu 20</w:t>
      </w:r>
      <w:r w:rsidR="00264D31" w:rsidRPr="00745FA7">
        <w:rPr>
          <w:rFonts w:ascii="Arial" w:hAnsi="Arial" w:cs="Arial"/>
          <w:color w:val="000000" w:themeColor="text1"/>
          <w:sz w:val="18"/>
        </w:rPr>
        <w:t>2</w:t>
      </w:r>
      <w:r w:rsidR="00745FA7" w:rsidRPr="00745FA7">
        <w:rPr>
          <w:rFonts w:ascii="Arial" w:hAnsi="Arial" w:cs="Arial"/>
          <w:color w:val="000000" w:themeColor="text1"/>
          <w:sz w:val="18"/>
        </w:rPr>
        <w:t>2</w:t>
      </w:r>
      <w:r w:rsidR="00210A86" w:rsidRPr="00745FA7">
        <w:rPr>
          <w:rFonts w:ascii="Arial" w:hAnsi="Arial" w:cs="Arial"/>
          <w:color w:val="000000" w:themeColor="text1"/>
          <w:sz w:val="18"/>
        </w:rPr>
        <w:t>.</w:t>
      </w:r>
    </w:p>
    <w:p w14:paraId="3076CE8E" w14:textId="245BBED8" w:rsidR="00C63E46" w:rsidRPr="00BF7302" w:rsidRDefault="00C63E46" w:rsidP="00854405">
      <w:pPr>
        <w:pStyle w:val="ZADEVA"/>
        <w:jc w:val="both"/>
        <w:rPr>
          <w:rFonts w:cs="Arial"/>
          <w:b w:val="0"/>
          <w:color w:val="FF0000"/>
          <w:szCs w:val="20"/>
          <w:highlight w:val="yellow"/>
          <w:lang w:val="sl-SI"/>
        </w:rPr>
      </w:pPr>
    </w:p>
    <w:p w14:paraId="6DD3D1C0" w14:textId="67A92374" w:rsidR="005F64F2" w:rsidRPr="00E9491C" w:rsidRDefault="005F64F2" w:rsidP="005F64F2">
      <w:pPr>
        <w:pStyle w:val="Standard"/>
        <w:spacing w:line="360" w:lineRule="auto"/>
        <w:rPr>
          <w:rFonts w:cs="Arial"/>
          <w:color w:val="000000" w:themeColor="text1"/>
          <w:sz w:val="20"/>
          <w:szCs w:val="20"/>
        </w:rPr>
      </w:pPr>
      <w:r w:rsidRPr="00E9491C">
        <w:rPr>
          <w:rFonts w:cs="Arial"/>
          <w:color w:val="000000" w:themeColor="text1"/>
          <w:sz w:val="20"/>
          <w:szCs w:val="20"/>
        </w:rPr>
        <w:t>Pri analizi statističnih podatkov je bilo ugotovljeno, da so naročniki v objavi obvestila o oddaji javnega naročila, oddan</w:t>
      </w:r>
      <w:r w:rsidR="00356A90" w:rsidRPr="00E9491C">
        <w:rPr>
          <w:rFonts w:cs="Arial"/>
          <w:color w:val="000000" w:themeColor="text1"/>
          <w:sz w:val="20"/>
          <w:szCs w:val="20"/>
        </w:rPr>
        <w:t>ega</w:t>
      </w:r>
      <w:r w:rsidRPr="00E9491C">
        <w:rPr>
          <w:rFonts w:cs="Arial"/>
          <w:color w:val="000000" w:themeColor="text1"/>
          <w:sz w:val="20"/>
          <w:szCs w:val="20"/>
        </w:rPr>
        <w:t xml:space="preserve"> na podlagi izvedenega postopka javnega naročanja</w:t>
      </w:r>
      <w:r w:rsidR="003E4A6B" w:rsidRPr="00E9491C">
        <w:rPr>
          <w:rFonts w:cs="Arial"/>
          <w:color w:val="000000" w:themeColor="text1"/>
          <w:sz w:val="20"/>
          <w:szCs w:val="20"/>
        </w:rPr>
        <w:t>,</w:t>
      </w:r>
      <w:r w:rsidRPr="00E9491C">
        <w:rPr>
          <w:rFonts w:cs="Arial"/>
          <w:color w:val="000000" w:themeColor="text1"/>
          <w:sz w:val="20"/>
          <w:szCs w:val="20"/>
        </w:rPr>
        <w:t xml:space="preserve"> za kater</w:t>
      </w:r>
      <w:r w:rsidR="00EE5CA0" w:rsidRPr="00E9491C">
        <w:rPr>
          <w:rFonts w:cs="Arial"/>
          <w:color w:val="000000" w:themeColor="text1"/>
          <w:sz w:val="20"/>
          <w:szCs w:val="20"/>
        </w:rPr>
        <w:t>ega</w:t>
      </w:r>
      <w:r w:rsidRPr="00E9491C">
        <w:rPr>
          <w:rFonts w:cs="Arial"/>
          <w:color w:val="000000" w:themeColor="text1"/>
          <w:sz w:val="20"/>
          <w:szCs w:val="20"/>
        </w:rPr>
        <w:t xml:space="preserve"> predhodno ni bilo objavljeno obvestilo o javnem naročilu, hkrati označili več utemeljitev</w:t>
      </w:r>
      <w:r w:rsidR="00EE3686" w:rsidRPr="00E9491C">
        <w:rPr>
          <w:rFonts w:cs="Arial"/>
          <w:color w:val="000000" w:themeColor="text1"/>
          <w:sz w:val="20"/>
          <w:szCs w:val="20"/>
        </w:rPr>
        <w:t xml:space="preserve">. </w:t>
      </w:r>
      <w:r w:rsidR="00EE5CA0" w:rsidRPr="00E9491C">
        <w:rPr>
          <w:rFonts w:cs="Arial"/>
          <w:color w:val="000000" w:themeColor="text1"/>
          <w:sz w:val="20"/>
          <w:szCs w:val="20"/>
        </w:rPr>
        <w:t xml:space="preserve">Zaradi navedenega </w:t>
      </w:r>
      <w:r w:rsidRPr="00E9491C">
        <w:rPr>
          <w:rFonts w:cs="Arial"/>
          <w:color w:val="000000" w:themeColor="text1"/>
          <w:sz w:val="20"/>
          <w:szCs w:val="20"/>
        </w:rPr>
        <w:t>število izvedenih postopkov</w:t>
      </w:r>
      <w:r w:rsidR="00EE5CA0" w:rsidRPr="00E9491C">
        <w:rPr>
          <w:rFonts w:cs="Arial"/>
          <w:color w:val="000000" w:themeColor="text1"/>
          <w:sz w:val="20"/>
          <w:szCs w:val="20"/>
        </w:rPr>
        <w:t>, oddanih naročil</w:t>
      </w:r>
      <w:r w:rsidRPr="00E9491C">
        <w:rPr>
          <w:rFonts w:cs="Arial"/>
          <w:color w:val="000000" w:themeColor="text1"/>
          <w:sz w:val="20"/>
          <w:szCs w:val="20"/>
        </w:rPr>
        <w:t xml:space="preserve"> in vrednost oddanih naročil v nadaljevanju opisanih utemeljitev presega</w:t>
      </w:r>
      <w:r w:rsidR="00356A90" w:rsidRPr="00E9491C">
        <w:rPr>
          <w:rFonts w:cs="Arial"/>
          <w:color w:val="000000" w:themeColor="text1"/>
          <w:sz w:val="20"/>
          <w:szCs w:val="20"/>
        </w:rPr>
        <w:t>jo</w:t>
      </w:r>
      <w:r w:rsidRPr="00E9491C">
        <w:rPr>
          <w:rFonts w:cs="Arial"/>
          <w:color w:val="000000" w:themeColor="text1"/>
          <w:sz w:val="20"/>
          <w:szCs w:val="20"/>
        </w:rPr>
        <w:t xml:space="preserve"> število in vrednost oddanih naročil</w:t>
      </w:r>
      <w:r w:rsidR="00EE5CA0" w:rsidRPr="00E9491C">
        <w:rPr>
          <w:rFonts w:cs="Arial"/>
          <w:color w:val="000000" w:themeColor="text1"/>
          <w:sz w:val="20"/>
          <w:szCs w:val="20"/>
        </w:rPr>
        <w:t xml:space="preserve"> na podlagi izvedenega postopka javnega naročanja</w:t>
      </w:r>
      <w:r w:rsidR="003E4A6B" w:rsidRPr="00E9491C">
        <w:rPr>
          <w:rFonts w:cs="Arial"/>
          <w:color w:val="000000" w:themeColor="text1"/>
          <w:sz w:val="20"/>
          <w:szCs w:val="20"/>
        </w:rPr>
        <w:t>,</w:t>
      </w:r>
      <w:r w:rsidR="00EE5CA0" w:rsidRPr="00E9491C">
        <w:rPr>
          <w:rFonts w:cs="Arial"/>
          <w:color w:val="000000" w:themeColor="text1"/>
          <w:sz w:val="20"/>
          <w:szCs w:val="20"/>
        </w:rPr>
        <w:t xml:space="preserve"> za katerega obvestilo o javnem naročilu</w:t>
      </w:r>
      <w:r w:rsidR="00475C0E" w:rsidRPr="00E9491C">
        <w:rPr>
          <w:rFonts w:cs="Arial"/>
          <w:color w:val="000000" w:themeColor="text1"/>
          <w:sz w:val="20"/>
          <w:szCs w:val="20"/>
        </w:rPr>
        <w:t xml:space="preserve"> predhodno ni bilo objavljeno</w:t>
      </w:r>
      <w:r w:rsidRPr="00E9491C">
        <w:rPr>
          <w:rFonts w:cs="Arial"/>
          <w:color w:val="000000" w:themeColor="text1"/>
          <w:sz w:val="20"/>
          <w:szCs w:val="20"/>
        </w:rPr>
        <w:t>.</w:t>
      </w:r>
    </w:p>
    <w:p w14:paraId="5E49E455" w14:textId="7B5569B0" w:rsidR="00BD691F" w:rsidRPr="00E05BE2" w:rsidRDefault="00E430F6" w:rsidP="008A61FD">
      <w:pPr>
        <w:spacing w:before="120" w:after="120" w:line="240" w:lineRule="auto"/>
        <w:jc w:val="both"/>
        <w:rPr>
          <w:rFonts w:ascii="Arial" w:hAnsi="Arial" w:cs="Arial"/>
          <w:color w:val="000000" w:themeColor="text1"/>
          <w:sz w:val="20"/>
        </w:rPr>
      </w:pPr>
      <w:r w:rsidRPr="00E05BE2">
        <w:rPr>
          <w:rFonts w:ascii="Arial" w:hAnsi="Arial" w:cs="Arial"/>
          <w:color w:val="000000" w:themeColor="text1"/>
          <w:sz w:val="20"/>
        </w:rPr>
        <w:t xml:space="preserve">Preglednica </w:t>
      </w:r>
      <w:r w:rsidR="00EB4423" w:rsidRPr="00E05BE2">
        <w:rPr>
          <w:rFonts w:ascii="Arial" w:hAnsi="Arial" w:cs="Arial"/>
          <w:color w:val="000000" w:themeColor="text1"/>
          <w:sz w:val="20"/>
        </w:rPr>
        <w:t>1</w:t>
      </w:r>
      <w:r w:rsidR="00512F52" w:rsidRPr="00E05BE2">
        <w:rPr>
          <w:rFonts w:ascii="Arial" w:hAnsi="Arial" w:cs="Arial"/>
          <w:color w:val="000000" w:themeColor="text1"/>
          <w:sz w:val="20"/>
        </w:rPr>
        <w:t>2</w:t>
      </w:r>
      <w:r w:rsidR="00EE5CA0" w:rsidRPr="00E05BE2">
        <w:rPr>
          <w:rFonts w:ascii="Arial" w:hAnsi="Arial" w:cs="Arial"/>
          <w:color w:val="000000" w:themeColor="text1"/>
          <w:sz w:val="20"/>
        </w:rPr>
        <w:t>: Utemeljitev uporabe postopka</w:t>
      </w:r>
      <w:r w:rsidR="003E4A6B" w:rsidRPr="00E05BE2">
        <w:rPr>
          <w:rFonts w:ascii="Arial" w:hAnsi="Arial" w:cs="Arial"/>
          <w:color w:val="000000" w:themeColor="text1"/>
          <w:sz w:val="20"/>
        </w:rPr>
        <w:t>,</w:t>
      </w:r>
      <w:r w:rsidR="00EE5CA0" w:rsidRPr="00E05BE2">
        <w:rPr>
          <w:rFonts w:ascii="Arial" w:hAnsi="Arial" w:cs="Arial"/>
          <w:color w:val="000000" w:themeColor="text1"/>
          <w:sz w:val="20"/>
        </w:rPr>
        <w:t xml:space="preserve"> za katerega obvestilo o javnem naročilu</w:t>
      </w:r>
      <w:r w:rsidR="00475C0E" w:rsidRPr="00E05BE2">
        <w:rPr>
          <w:rFonts w:ascii="Arial" w:hAnsi="Arial" w:cs="Arial"/>
          <w:color w:val="000000" w:themeColor="text1"/>
          <w:sz w:val="20"/>
        </w:rPr>
        <w:t xml:space="preserve"> ni bilo objavljeno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31"/>
        <w:gridCol w:w="3710"/>
        <w:gridCol w:w="1231"/>
        <w:gridCol w:w="1802"/>
      </w:tblGrid>
      <w:tr w:rsidR="00E05BE2" w:rsidRPr="00E05BE2" w14:paraId="36877FA7" w14:textId="77777777" w:rsidTr="00E05BE2">
        <w:trPr>
          <w:trHeight w:val="300"/>
          <w:tblHeader/>
        </w:trPr>
        <w:tc>
          <w:tcPr>
            <w:tcW w:w="1466" w:type="pct"/>
            <w:shd w:val="clear" w:color="000000" w:fill="F2F2F2"/>
            <w:noWrap/>
            <w:vAlign w:val="center"/>
            <w:hideMark/>
          </w:tcPr>
          <w:p w14:paraId="1F085621" w14:textId="77777777" w:rsidR="00E05BE2" w:rsidRPr="00E05BE2" w:rsidRDefault="00E05BE2" w:rsidP="00E05BE2">
            <w:pPr>
              <w:spacing w:after="0" w:line="240" w:lineRule="auto"/>
              <w:jc w:val="center"/>
              <w:rPr>
                <w:rFonts w:ascii="Arial" w:hAnsi="Arial" w:cs="Arial"/>
                <w:sz w:val="18"/>
                <w:szCs w:val="18"/>
              </w:rPr>
            </w:pPr>
            <w:r w:rsidRPr="00E05BE2">
              <w:rPr>
                <w:rFonts w:ascii="Arial" w:hAnsi="Arial" w:cs="Arial"/>
                <w:sz w:val="18"/>
                <w:szCs w:val="18"/>
              </w:rPr>
              <w:t>Utemeljitev</w:t>
            </w:r>
          </w:p>
        </w:tc>
        <w:tc>
          <w:tcPr>
            <w:tcW w:w="2163" w:type="pct"/>
            <w:shd w:val="clear" w:color="000000" w:fill="F2F2F2"/>
            <w:noWrap/>
            <w:vAlign w:val="center"/>
            <w:hideMark/>
          </w:tcPr>
          <w:p w14:paraId="1DDCE185" w14:textId="77777777" w:rsidR="00E05BE2" w:rsidRPr="00E05BE2" w:rsidRDefault="00E05BE2" w:rsidP="00E05BE2">
            <w:pPr>
              <w:spacing w:after="0" w:line="240" w:lineRule="auto"/>
              <w:jc w:val="center"/>
              <w:rPr>
                <w:rFonts w:ascii="Arial" w:hAnsi="Arial" w:cs="Arial"/>
                <w:sz w:val="18"/>
                <w:szCs w:val="18"/>
              </w:rPr>
            </w:pPr>
            <w:r w:rsidRPr="00E05BE2">
              <w:rPr>
                <w:rFonts w:ascii="Arial" w:hAnsi="Arial" w:cs="Arial"/>
                <w:sz w:val="18"/>
                <w:szCs w:val="18"/>
              </w:rPr>
              <w:t>Vrsta postopka</w:t>
            </w:r>
          </w:p>
        </w:tc>
        <w:tc>
          <w:tcPr>
            <w:tcW w:w="268" w:type="pct"/>
            <w:shd w:val="clear" w:color="000000" w:fill="F2F2F2"/>
            <w:noWrap/>
            <w:vAlign w:val="center"/>
            <w:hideMark/>
          </w:tcPr>
          <w:p w14:paraId="3DC46144" w14:textId="77777777" w:rsidR="00E05BE2" w:rsidRPr="00E05BE2" w:rsidRDefault="00E05BE2" w:rsidP="00E05BE2">
            <w:pPr>
              <w:spacing w:after="0" w:line="240" w:lineRule="auto"/>
              <w:jc w:val="center"/>
              <w:rPr>
                <w:rFonts w:ascii="Arial" w:hAnsi="Arial" w:cs="Arial"/>
                <w:sz w:val="18"/>
                <w:szCs w:val="18"/>
              </w:rPr>
            </w:pPr>
            <w:r w:rsidRPr="00E05BE2">
              <w:rPr>
                <w:rFonts w:ascii="Arial" w:hAnsi="Arial" w:cs="Arial"/>
                <w:sz w:val="18"/>
                <w:szCs w:val="18"/>
              </w:rPr>
              <w:t>Št. postopkov</w:t>
            </w:r>
          </w:p>
        </w:tc>
        <w:tc>
          <w:tcPr>
            <w:tcW w:w="1103" w:type="pct"/>
            <w:shd w:val="clear" w:color="000000" w:fill="F2F2F2"/>
            <w:noWrap/>
            <w:vAlign w:val="center"/>
            <w:hideMark/>
          </w:tcPr>
          <w:p w14:paraId="31D43F27" w14:textId="77777777" w:rsidR="00E05BE2" w:rsidRPr="00E05BE2" w:rsidRDefault="00E05BE2" w:rsidP="00E05BE2">
            <w:pPr>
              <w:spacing w:after="0" w:line="240" w:lineRule="auto"/>
              <w:jc w:val="center"/>
              <w:rPr>
                <w:rFonts w:ascii="Arial" w:hAnsi="Arial" w:cs="Arial"/>
                <w:sz w:val="18"/>
                <w:szCs w:val="18"/>
              </w:rPr>
            </w:pPr>
            <w:r w:rsidRPr="00E05BE2">
              <w:rPr>
                <w:rFonts w:ascii="Arial" w:hAnsi="Arial" w:cs="Arial"/>
                <w:sz w:val="18"/>
                <w:szCs w:val="18"/>
              </w:rPr>
              <w:t>Pogodbena vrednost</w:t>
            </w:r>
          </w:p>
        </w:tc>
      </w:tr>
      <w:tr w:rsidR="00E05BE2" w:rsidRPr="00E05BE2" w14:paraId="19D1E386" w14:textId="77777777" w:rsidTr="00E05BE2">
        <w:trPr>
          <w:trHeight w:val="300"/>
        </w:trPr>
        <w:tc>
          <w:tcPr>
            <w:tcW w:w="1466" w:type="pct"/>
            <w:shd w:val="clear" w:color="auto" w:fill="auto"/>
            <w:vAlign w:val="center"/>
            <w:hideMark/>
          </w:tcPr>
          <w:p w14:paraId="07390443" w14:textId="77777777" w:rsidR="00E05BE2" w:rsidRPr="00E05BE2" w:rsidRDefault="00E05BE2" w:rsidP="00E05BE2">
            <w:pPr>
              <w:spacing w:after="0" w:line="240" w:lineRule="auto"/>
              <w:rPr>
                <w:rFonts w:ascii="Arial" w:hAnsi="Arial" w:cs="Arial"/>
                <w:sz w:val="18"/>
                <w:szCs w:val="18"/>
              </w:rPr>
            </w:pPr>
            <w:r w:rsidRPr="00E05BE2">
              <w:rPr>
                <w:rFonts w:ascii="Arial" w:hAnsi="Arial" w:cs="Arial"/>
                <w:sz w:val="18"/>
                <w:szCs w:val="18"/>
              </w:rPr>
              <w:t>Tehnični ali umetniški razlogi ali izključne pravice</w:t>
            </w:r>
          </w:p>
        </w:tc>
        <w:tc>
          <w:tcPr>
            <w:tcW w:w="2163" w:type="pct"/>
            <w:shd w:val="clear" w:color="auto" w:fill="auto"/>
            <w:vAlign w:val="center"/>
            <w:hideMark/>
          </w:tcPr>
          <w:p w14:paraId="3165229B" w14:textId="77777777" w:rsidR="00E05BE2" w:rsidRPr="00E05BE2" w:rsidRDefault="00E05BE2" w:rsidP="00E05BE2">
            <w:pPr>
              <w:spacing w:after="0" w:line="240" w:lineRule="auto"/>
              <w:rPr>
                <w:rFonts w:ascii="Arial" w:hAnsi="Arial" w:cs="Arial"/>
                <w:sz w:val="18"/>
                <w:szCs w:val="18"/>
              </w:rPr>
            </w:pPr>
            <w:r w:rsidRPr="00E05BE2">
              <w:rPr>
                <w:rFonts w:ascii="Arial" w:hAnsi="Arial" w:cs="Arial"/>
                <w:sz w:val="18"/>
                <w:szCs w:val="18"/>
              </w:rPr>
              <w:t>Postopek s pogajanji brez predhodne objave</w:t>
            </w:r>
          </w:p>
        </w:tc>
        <w:tc>
          <w:tcPr>
            <w:tcW w:w="268" w:type="pct"/>
            <w:shd w:val="clear" w:color="auto" w:fill="auto"/>
            <w:vAlign w:val="center"/>
            <w:hideMark/>
          </w:tcPr>
          <w:p w14:paraId="0FED6ADB" w14:textId="77777777" w:rsidR="00E05BE2" w:rsidRPr="00E05BE2" w:rsidRDefault="00E05BE2" w:rsidP="00E05BE2">
            <w:pPr>
              <w:spacing w:after="0" w:line="240" w:lineRule="auto"/>
              <w:jc w:val="right"/>
              <w:rPr>
                <w:rFonts w:ascii="Arial" w:hAnsi="Arial" w:cs="Arial"/>
                <w:sz w:val="18"/>
                <w:szCs w:val="18"/>
              </w:rPr>
            </w:pPr>
            <w:r w:rsidRPr="00E05BE2">
              <w:rPr>
                <w:rFonts w:ascii="Arial" w:hAnsi="Arial" w:cs="Arial"/>
                <w:sz w:val="18"/>
                <w:szCs w:val="18"/>
              </w:rPr>
              <w:t>434</w:t>
            </w:r>
          </w:p>
        </w:tc>
        <w:tc>
          <w:tcPr>
            <w:tcW w:w="1103" w:type="pct"/>
            <w:shd w:val="clear" w:color="auto" w:fill="auto"/>
            <w:vAlign w:val="center"/>
            <w:hideMark/>
          </w:tcPr>
          <w:p w14:paraId="2228FF2B" w14:textId="77777777" w:rsidR="00E05BE2" w:rsidRPr="00E05BE2" w:rsidRDefault="00E05BE2" w:rsidP="00E05BE2">
            <w:pPr>
              <w:spacing w:after="0" w:line="240" w:lineRule="auto"/>
              <w:jc w:val="right"/>
              <w:rPr>
                <w:rFonts w:ascii="Arial" w:hAnsi="Arial" w:cs="Arial"/>
                <w:sz w:val="18"/>
                <w:szCs w:val="18"/>
              </w:rPr>
            </w:pPr>
            <w:r w:rsidRPr="00E05BE2">
              <w:rPr>
                <w:rFonts w:ascii="Arial" w:hAnsi="Arial" w:cs="Arial"/>
                <w:sz w:val="18"/>
                <w:szCs w:val="18"/>
              </w:rPr>
              <w:t>179.227.694</w:t>
            </w:r>
          </w:p>
        </w:tc>
      </w:tr>
      <w:tr w:rsidR="00E05BE2" w:rsidRPr="00E05BE2" w14:paraId="2FBBF7A6" w14:textId="77777777" w:rsidTr="00E05BE2">
        <w:trPr>
          <w:trHeight w:val="300"/>
        </w:trPr>
        <w:tc>
          <w:tcPr>
            <w:tcW w:w="1466" w:type="pct"/>
            <w:shd w:val="clear" w:color="auto" w:fill="auto"/>
            <w:vAlign w:val="center"/>
            <w:hideMark/>
          </w:tcPr>
          <w:p w14:paraId="2412496C" w14:textId="77777777" w:rsidR="00E05BE2" w:rsidRPr="00E05BE2" w:rsidRDefault="00E05BE2" w:rsidP="00E05BE2">
            <w:pPr>
              <w:spacing w:after="0" w:line="240" w:lineRule="auto"/>
              <w:rPr>
                <w:rFonts w:ascii="Arial" w:hAnsi="Arial" w:cs="Arial"/>
                <w:sz w:val="18"/>
                <w:szCs w:val="18"/>
              </w:rPr>
            </w:pPr>
            <w:r w:rsidRPr="00E05BE2">
              <w:rPr>
                <w:rFonts w:ascii="Arial" w:hAnsi="Arial" w:cs="Arial"/>
                <w:sz w:val="18"/>
                <w:szCs w:val="18"/>
              </w:rPr>
              <w:t>Nujnost in nepredvidljivost</w:t>
            </w:r>
          </w:p>
        </w:tc>
        <w:tc>
          <w:tcPr>
            <w:tcW w:w="2163" w:type="pct"/>
            <w:shd w:val="clear" w:color="auto" w:fill="auto"/>
            <w:vAlign w:val="center"/>
            <w:hideMark/>
          </w:tcPr>
          <w:p w14:paraId="6C97817C" w14:textId="77777777" w:rsidR="00E05BE2" w:rsidRPr="00E05BE2" w:rsidRDefault="00E05BE2" w:rsidP="00E05BE2">
            <w:pPr>
              <w:spacing w:after="0" w:line="240" w:lineRule="auto"/>
              <w:rPr>
                <w:rFonts w:ascii="Arial" w:hAnsi="Arial" w:cs="Arial"/>
                <w:sz w:val="18"/>
                <w:szCs w:val="18"/>
              </w:rPr>
            </w:pPr>
            <w:r w:rsidRPr="00E05BE2">
              <w:rPr>
                <w:rFonts w:ascii="Arial" w:hAnsi="Arial" w:cs="Arial"/>
                <w:sz w:val="18"/>
                <w:szCs w:val="18"/>
              </w:rPr>
              <w:t>Postopek s pogajanji brez predhodne objave</w:t>
            </w:r>
          </w:p>
        </w:tc>
        <w:tc>
          <w:tcPr>
            <w:tcW w:w="268" w:type="pct"/>
            <w:shd w:val="clear" w:color="auto" w:fill="auto"/>
            <w:vAlign w:val="center"/>
            <w:hideMark/>
          </w:tcPr>
          <w:p w14:paraId="0B4F564E" w14:textId="77777777" w:rsidR="00E05BE2" w:rsidRPr="00E05BE2" w:rsidRDefault="00E05BE2" w:rsidP="00E05BE2">
            <w:pPr>
              <w:spacing w:after="0" w:line="240" w:lineRule="auto"/>
              <w:jc w:val="right"/>
              <w:rPr>
                <w:rFonts w:ascii="Arial" w:hAnsi="Arial" w:cs="Arial"/>
                <w:sz w:val="18"/>
                <w:szCs w:val="18"/>
              </w:rPr>
            </w:pPr>
            <w:r w:rsidRPr="00E05BE2">
              <w:rPr>
                <w:rFonts w:ascii="Arial" w:hAnsi="Arial" w:cs="Arial"/>
                <w:sz w:val="18"/>
                <w:szCs w:val="18"/>
              </w:rPr>
              <w:t>32</w:t>
            </w:r>
          </w:p>
        </w:tc>
        <w:tc>
          <w:tcPr>
            <w:tcW w:w="1103" w:type="pct"/>
            <w:shd w:val="clear" w:color="auto" w:fill="auto"/>
            <w:vAlign w:val="center"/>
            <w:hideMark/>
          </w:tcPr>
          <w:p w14:paraId="7DAEA34F" w14:textId="77777777" w:rsidR="00E05BE2" w:rsidRPr="00E05BE2" w:rsidRDefault="00E05BE2" w:rsidP="00E05BE2">
            <w:pPr>
              <w:spacing w:after="0" w:line="240" w:lineRule="auto"/>
              <w:jc w:val="right"/>
              <w:rPr>
                <w:rFonts w:ascii="Arial" w:hAnsi="Arial" w:cs="Arial"/>
                <w:sz w:val="18"/>
                <w:szCs w:val="18"/>
              </w:rPr>
            </w:pPr>
            <w:r w:rsidRPr="00E05BE2">
              <w:rPr>
                <w:rFonts w:ascii="Arial" w:hAnsi="Arial" w:cs="Arial"/>
                <w:sz w:val="18"/>
                <w:szCs w:val="18"/>
              </w:rPr>
              <w:t>35.230.760</w:t>
            </w:r>
          </w:p>
        </w:tc>
      </w:tr>
      <w:tr w:rsidR="00E05BE2" w:rsidRPr="00E05BE2" w14:paraId="514A8763" w14:textId="77777777" w:rsidTr="00E05BE2">
        <w:trPr>
          <w:trHeight w:val="300"/>
        </w:trPr>
        <w:tc>
          <w:tcPr>
            <w:tcW w:w="1466" w:type="pct"/>
            <w:vMerge w:val="restart"/>
            <w:shd w:val="clear" w:color="auto" w:fill="auto"/>
            <w:vAlign w:val="center"/>
            <w:hideMark/>
          </w:tcPr>
          <w:p w14:paraId="59186F26" w14:textId="77777777" w:rsidR="00E05BE2" w:rsidRPr="00E05BE2" w:rsidRDefault="00E05BE2" w:rsidP="00E05BE2">
            <w:pPr>
              <w:spacing w:after="0" w:line="240" w:lineRule="auto"/>
              <w:rPr>
                <w:rFonts w:ascii="Arial" w:hAnsi="Arial" w:cs="Arial"/>
                <w:sz w:val="18"/>
                <w:szCs w:val="18"/>
              </w:rPr>
            </w:pPr>
            <w:r w:rsidRPr="00E05BE2">
              <w:rPr>
                <w:rFonts w:ascii="Arial" w:hAnsi="Arial" w:cs="Arial"/>
                <w:sz w:val="18"/>
                <w:szCs w:val="18"/>
              </w:rPr>
              <w:t>Neuspešno izvedeni predhodni postopek</w:t>
            </w:r>
          </w:p>
        </w:tc>
        <w:tc>
          <w:tcPr>
            <w:tcW w:w="2163" w:type="pct"/>
            <w:shd w:val="clear" w:color="auto" w:fill="auto"/>
            <w:vAlign w:val="center"/>
            <w:hideMark/>
          </w:tcPr>
          <w:p w14:paraId="196CE876" w14:textId="77777777" w:rsidR="00E05BE2" w:rsidRPr="00E05BE2" w:rsidRDefault="00E05BE2" w:rsidP="00E05BE2">
            <w:pPr>
              <w:spacing w:after="0" w:line="240" w:lineRule="auto"/>
              <w:rPr>
                <w:rFonts w:ascii="Arial" w:hAnsi="Arial" w:cs="Arial"/>
                <w:sz w:val="18"/>
                <w:szCs w:val="18"/>
              </w:rPr>
            </w:pPr>
            <w:r w:rsidRPr="00E05BE2">
              <w:rPr>
                <w:rFonts w:ascii="Arial" w:hAnsi="Arial" w:cs="Arial"/>
                <w:sz w:val="18"/>
                <w:szCs w:val="18"/>
              </w:rPr>
              <w:t>Postopek s pogajanji brez predhodne objave</w:t>
            </w:r>
          </w:p>
        </w:tc>
        <w:tc>
          <w:tcPr>
            <w:tcW w:w="268" w:type="pct"/>
            <w:shd w:val="clear" w:color="auto" w:fill="auto"/>
            <w:vAlign w:val="center"/>
            <w:hideMark/>
          </w:tcPr>
          <w:p w14:paraId="021EC0AD" w14:textId="77777777" w:rsidR="00E05BE2" w:rsidRPr="00E05BE2" w:rsidRDefault="00E05BE2" w:rsidP="00E05BE2">
            <w:pPr>
              <w:spacing w:after="0" w:line="240" w:lineRule="auto"/>
              <w:jc w:val="right"/>
              <w:rPr>
                <w:rFonts w:ascii="Arial" w:hAnsi="Arial" w:cs="Arial"/>
                <w:sz w:val="18"/>
                <w:szCs w:val="18"/>
              </w:rPr>
            </w:pPr>
            <w:r w:rsidRPr="00E05BE2">
              <w:rPr>
                <w:rFonts w:ascii="Arial" w:hAnsi="Arial" w:cs="Arial"/>
                <w:sz w:val="18"/>
                <w:szCs w:val="18"/>
              </w:rPr>
              <w:t>109</w:t>
            </w:r>
          </w:p>
        </w:tc>
        <w:tc>
          <w:tcPr>
            <w:tcW w:w="1103" w:type="pct"/>
            <w:shd w:val="clear" w:color="auto" w:fill="auto"/>
            <w:vAlign w:val="center"/>
            <w:hideMark/>
          </w:tcPr>
          <w:p w14:paraId="70D25D19" w14:textId="77777777" w:rsidR="00E05BE2" w:rsidRPr="00E05BE2" w:rsidRDefault="00E05BE2" w:rsidP="00E05BE2">
            <w:pPr>
              <w:spacing w:after="0" w:line="240" w:lineRule="auto"/>
              <w:jc w:val="right"/>
              <w:rPr>
                <w:rFonts w:ascii="Arial" w:hAnsi="Arial" w:cs="Arial"/>
                <w:sz w:val="18"/>
                <w:szCs w:val="18"/>
              </w:rPr>
            </w:pPr>
            <w:r w:rsidRPr="00E05BE2">
              <w:rPr>
                <w:rFonts w:ascii="Arial" w:hAnsi="Arial" w:cs="Arial"/>
                <w:sz w:val="18"/>
                <w:szCs w:val="18"/>
              </w:rPr>
              <w:t>42.857.759</w:t>
            </w:r>
          </w:p>
        </w:tc>
      </w:tr>
      <w:tr w:rsidR="00E05BE2" w:rsidRPr="00E05BE2" w14:paraId="1426E025" w14:textId="77777777" w:rsidTr="00E05BE2">
        <w:trPr>
          <w:trHeight w:val="300"/>
        </w:trPr>
        <w:tc>
          <w:tcPr>
            <w:tcW w:w="1466" w:type="pct"/>
            <w:vMerge/>
            <w:vAlign w:val="center"/>
            <w:hideMark/>
          </w:tcPr>
          <w:p w14:paraId="3338C2BF" w14:textId="77777777" w:rsidR="00E05BE2" w:rsidRPr="00E05BE2" w:rsidRDefault="00E05BE2" w:rsidP="00E05BE2">
            <w:pPr>
              <w:spacing w:after="0" w:line="240" w:lineRule="auto"/>
              <w:rPr>
                <w:rFonts w:ascii="Arial" w:hAnsi="Arial" w:cs="Arial"/>
                <w:sz w:val="18"/>
                <w:szCs w:val="18"/>
              </w:rPr>
            </w:pPr>
          </w:p>
        </w:tc>
        <w:tc>
          <w:tcPr>
            <w:tcW w:w="2163" w:type="pct"/>
            <w:shd w:val="clear" w:color="auto" w:fill="auto"/>
            <w:vAlign w:val="center"/>
            <w:hideMark/>
          </w:tcPr>
          <w:p w14:paraId="2393F4CD" w14:textId="77777777" w:rsidR="00E05BE2" w:rsidRPr="00E05BE2" w:rsidRDefault="00E05BE2" w:rsidP="00E05BE2">
            <w:pPr>
              <w:spacing w:after="0" w:line="240" w:lineRule="auto"/>
              <w:rPr>
                <w:rFonts w:ascii="Arial" w:hAnsi="Arial" w:cs="Arial"/>
                <w:sz w:val="18"/>
                <w:szCs w:val="18"/>
              </w:rPr>
            </w:pPr>
            <w:r w:rsidRPr="00E05BE2">
              <w:rPr>
                <w:rFonts w:ascii="Arial" w:hAnsi="Arial" w:cs="Arial"/>
                <w:sz w:val="18"/>
                <w:szCs w:val="18"/>
              </w:rPr>
              <w:t>Konkurenčni postopek s pogajanji</w:t>
            </w:r>
          </w:p>
        </w:tc>
        <w:tc>
          <w:tcPr>
            <w:tcW w:w="268" w:type="pct"/>
            <w:shd w:val="clear" w:color="auto" w:fill="auto"/>
            <w:vAlign w:val="center"/>
            <w:hideMark/>
          </w:tcPr>
          <w:p w14:paraId="7E232706" w14:textId="77777777" w:rsidR="00E05BE2" w:rsidRPr="00E05BE2" w:rsidRDefault="00E05BE2" w:rsidP="00E05BE2">
            <w:pPr>
              <w:spacing w:after="0" w:line="240" w:lineRule="auto"/>
              <w:jc w:val="right"/>
              <w:rPr>
                <w:rFonts w:ascii="Arial" w:hAnsi="Arial" w:cs="Arial"/>
                <w:sz w:val="18"/>
                <w:szCs w:val="18"/>
              </w:rPr>
            </w:pPr>
            <w:r w:rsidRPr="00E05BE2">
              <w:rPr>
                <w:rFonts w:ascii="Arial" w:hAnsi="Arial" w:cs="Arial"/>
                <w:sz w:val="18"/>
                <w:szCs w:val="18"/>
              </w:rPr>
              <w:t>51</w:t>
            </w:r>
          </w:p>
        </w:tc>
        <w:tc>
          <w:tcPr>
            <w:tcW w:w="1103" w:type="pct"/>
            <w:shd w:val="clear" w:color="auto" w:fill="auto"/>
            <w:vAlign w:val="center"/>
            <w:hideMark/>
          </w:tcPr>
          <w:p w14:paraId="259D071E" w14:textId="77777777" w:rsidR="00E05BE2" w:rsidRPr="00E05BE2" w:rsidRDefault="00E05BE2" w:rsidP="00E05BE2">
            <w:pPr>
              <w:spacing w:after="0" w:line="240" w:lineRule="auto"/>
              <w:jc w:val="right"/>
              <w:rPr>
                <w:rFonts w:ascii="Arial" w:hAnsi="Arial" w:cs="Arial"/>
                <w:sz w:val="18"/>
                <w:szCs w:val="18"/>
              </w:rPr>
            </w:pPr>
            <w:r w:rsidRPr="00E05BE2">
              <w:rPr>
                <w:rFonts w:ascii="Arial" w:hAnsi="Arial" w:cs="Arial"/>
                <w:sz w:val="18"/>
                <w:szCs w:val="18"/>
              </w:rPr>
              <w:t>73.158.773</w:t>
            </w:r>
          </w:p>
        </w:tc>
      </w:tr>
      <w:tr w:rsidR="00E05BE2" w:rsidRPr="00E05BE2" w14:paraId="48E50B78" w14:textId="77777777" w:rsidTr="00E05BE2">
        <w:trPr>
          <w:trHeight w:val="300"/>
        </w:trPr>
        <w:tc>
          <w:tcPr>
            <w:tcW w:w="1466" w:type="pct"/>
            <w:vMerge/>
            <w:vAlign w:val="center"/>
            <w:hideMark/>
          </w:tcPr>
          <w:p w14:paraId="3271A18A" w14:textId="77777777" w:rsidR="00E05BE2" w:rsidRPr="00E05BE2" w:rsidRDefault="00E05BE2" w:rsidP="00E05BE2">
            <w:pPr>
              <w:spacing w:after="0" w:line="240" w:lineRule="auto"/>
              <w:rPr>
                <w:rFonts w:ascii="Arial" w:hAnsi="Arial" w:cs="Arial"/>
                <w:sz w:val="18"/>
                <w:szCs w:val="18"/>
              </w:rPr>
            </w:pPr>
          </w:p>
        </w:tc>
        <w:tc>
          <w:tcPr>
            <w:tcW w:w="2163" w:type="pct"/>
            <w:shd w:val="clear" w:color="auto" w:fill="auto"/>
            <w:vAlign w:val="center"/>
            <w:hideMark/>
          </w:tcPr>
          <w:p w14:paraId="4C4F0A84" w14:textId="77777777" w:rsidR="00E05BE2" w:rsidRPr="00E05BE2" w:rsidRDefault="00E05BE2" w:rsidP="00E05BE2">
            <w:pPr>
              <w:spacing w:after="0" w:line="240" w:lineRule="auto"/>
              <w:rPr>
                <w:rFonts w:ascii="Arial" w:hAnsi="Arial" w:cs="Arial"/>
                <w:b/>
                <w:bCs/>
                <w:sz w:val="18"/>
                <w:szCs w:val="18"/>
              </w:rPr>
            </w:pPr>
            <w:r w:rsidRPr="00E05BE2">
              <w:rPr>
                <w:rFonts w:ascii="Arial" w:hAnsi="Arial" w:cs="Arial"/>
                <w:b/>
                <w:bCs/>
                <w:sz w:val="18"/>
                <w:szCs w:val="18"/>
              </w:rPr>
              <w:t>Skupaj</w:t>
            </w:r>
          </w:p>
        </w:tc>
        <w:tc>
          <w:tcPr>
            <w:tcW w:w="268" w:type="pct"/>
            <w:shd w:val="clear" w:color="auto" w:fill="auto"/>
            <w:vAlign w:val="center"/>
            <w:hideMark/>
          </w:tcPr>
          <w:p w14:paraId="0F534C90" w14:textId="77777777" w:rsidR="00E05BE2" w:rsidRPr="00E05BE2" w:rsidRDefault="00E05BE2" w:rsidP="00E05BE2">
            <w:pPr>
              <w:spacing w:after="0" w:line="240" w:lineRule="auto"/>
              <w:jc w:val="right"/>
              <w:rPr>
                <w:rFonts w:ascii="Arial" w:hAnsi="Arial" w:cs="Arial"/>
                <w:b/>
                <w:bCs/>
                <w:sz w:val="18"/>
                <w:szCs w:val="18"/>
              </w:rPr>
            </w:pPr>
            <w:r w:rsidRPr="00E05BE2">
              <w:rPr>
                <w:rFonts w:ascii="Arial" w:hAnsi="Arial" w:cs="Arial"/>
                <w:b/>
                <w:bCs/>
                <w:sz w:val="18"/>
                <w:szCs w:val="18"/>
              </w:rPr>
              <w:t>160</w:t>
            </w:r>
          </w:p>
        </w:tc>
        <w:tc>
          <w:tcPr>
            <w:tcW w:w="1103" w:type="pct"/>
            <w:shd w:val="clear" w:color="auto" w:fill="auto"/>
            <w:vAlign w:val="center"/>
            <w:hideMark/>
          </w:tcPr>
          <w:p w14:paraId="09ACE54A" w14:textId="77777777" w:rsidR="00E05BE2" w:rsidRPr="00E05BE2" w:rsidRDefault="00E05BE2" w:rsidP="00E05BE2">
            <w:pPr>
              <w:spacing w:after="0" w:line="240" w:lineRule="auto"/>
              <w:jc w:val="right"/>
              <w:rPr>
                <w:rFonts w:ascii="Arial" w:hAnsi="Arial" w:cs="Arial"/>
                <w:b/>
                <w:bCs/>
                <w:sz w:val="18"/>
                <w:szCs w:val="18"/>
              </w:rPr>
            </w:pPr>
            <w:r w:rsidRPr="00E05BE2">
              <w:rPr>
                <w:rFonts w:ascii="Arial" w:hAnsi="Arial" w:cs="Arial"/>
                <w:b/>
                <w:bCs/>
                <w:sz w:val="18"/>
                <w:szCs w:val="18"/>
              </w:rPr>
              <w:t>116.016.532</w:t>
            </w:r>
          </w:p>
        </w:tc>
      </w:tr>
      <w:tr w:rsidR="00E05BE2" w:rsidRPr="00E05BE2" w14:paraId="045A6A11" w14:textId="77777777" w:rsidTr="00E05BE2">
        <w:trPr>
          <w:trHeight w:val="300"/>
        </w:trPr>
        <w:tc>
          <w:tcPr>
            <w:tcW w:w="1466" w:type="pct"/>
            <w:shd w:val="clear" w:color="auto" w:fill="auto"/>
            <w:vAlign w:val="center"/>
            <w:hideMark/>
          </w:tcPr>
          <w:p w14:paraId="15F5CE4B" w14:textId="0887C696" w:rsidR="00E05BE2" w:rsidRPr="00E05BE2" w:rsidRDefault="00E05BE2" w:rsidP="00E05BE2">
            <w:pPr>
              <w:spacing w:after="0" w:line="240" w:lineRule="auto"/>
              <w:rPr>
                <w:rFonts w:ascii="Arial" w:hAnsi="Arial" w:cs="Arial"/>
                <w:sz w:val="18"/>
                <w:szCs w:val="18"/>
              </w:rPr>
            </w:pPr>
            <w:r w:rsidRPr="00E05BE2">
              <w:rPr>
                <w:rFonts w:ascii="Arial" w:hAnsi="Arial" w:cs="Arial"/>
                <w:sz w:val="18"/>
                <w:szCs w:val="18"/>
              </w:rPr>
              <w:t>Dodatn</w:t>
            </w:r>
            <w:r w:rsidR="00613CF6">
              <w:rPr>
                <w:rFonts w:ascii="Arial" w:hAnsi="Arial" w:cs="Arial"/>
                <w:sz w:val="18"/>
                <w:szCs w:val="18"/>
              </w:rPr>
              <w:t>i nakupi</w:t>
            </w:r>
            <w:r w:rsidRPr="00E05BE2">
              <w:rPr>
                <w:rFonts w:ascii="Arial" w:hAnsi="Arial" w:cs="Arial"/>
                <w:sz w:val="18"/>
                <w:szCs w:val="18"/>
              </w:rPr>
              <w:t xml:space="preserve"> blaga ali dodatne gradnje oziroma storitve</w:t>
            </w:r>
          </w:p>
        </w:tc>
        <w:tc>
          <w:tcPr>
            <w:tcW w:w="2163" w:type="pct"/>
            <w:shd w:val="clear" w:color="auto" w:fill="auto"/>
            <w:vAlign w:val="center"/>
            <w:hideMark/>
          </w:tcPr>
          <w:p w14:paraId="11F7C29B" w14:textId="77777777" w:rsidR="00E05BE2" w:rsidRPr="00E05BE2" w:rsidRDefault="00E05BE2" w:rsidP="00E05BE2">
            <w:pPr>
              <w:spacing w:after="0" w:line="240" w:lineRule="auto"/>
              <w:rPr>
                <w:rFonts w:ascii="Arial" w:hAnsi="Arial" w:cs="Arial"/>
                <w:sz w:val="18"/>
                <w:szCs w:val="18"/>
              </w:rPr>
            </w:pPr>
            <w:r w:rsidRPr="00E05BE2">
              <w:rPr>
                <w:rFonts w:ascii="Arial" w:hAnsi="Arial" w:cs="Arial"/>
                <w:sz w:val="18"/>
                <w:szCs w:val="18"/>
              </w:rPr>
              <w:t>Postopek s pogajanji brez predhodne objave</w:t>
            </w:r>
          </w:p>
        </w:tc>
        <w:tc>
          <w:tcPr>
            <w:tcW w:w="268" w:type="pct"/>
            <w:shd w:val="clear" w:color="auto" w:fill="auto"/>
            <w:vAlign w:val="center"/>
            <w:hideMark/>
          </w:tcPr>
          <w:p w14:paraId="68F15FFD" w14:textId="77777777" w:rsidR="00E05BE2" w:rsidRPr="00E05BE2" w:rsidRDefault="00E05BE2" w:rsidP="00E05BE2">
            <w:pPr>
              <w:spacing w:after="0" w:line="240" w:lineRule="auto"/>
              <w:jc w:val="right"/>
              <w:rPr>
                <w:rFonts w:ascii="Arial" w:hAnsi="Arial" w:cs="Arial"/>
                <w:sz w:val="18"/>
                <w:szCs w:val="18"/>
              </w:rPr>
            </w:pPr>
            <w:r w:rsidRPr="00E05BE2">
              <w:rPr>
                <w:rFonts w:ascii="Arial" w:hAnsi="Arial" w:cs="Arial"/>
                <w:sz w:val="18"/>
                <w:szCs w:val="18"/>
              </w:rPr>
              <w:t>51</w:t>
            </w:r>
          </w:p>
        </w:tc>
        <w:tc>
          <w:tcPr>
            <w:tcW w:w="1103" w:type="pct"/>
            <w:shd w:val="clear" w:color="auto" w:fill="auto"/>
            <w:vAlign w:val="center"/>
            <w:hideMark/>
          </w:tcPr>
          <w:p w14:paraId="0EFC6925" w14:textId="77777777" w:rsidR="00E05BE2" w:rsidRPr="00E05BE2" w:rsidRDefault="00E05BE2" w:rsidP="00E05BE2">
            <w:pPr>
              <w:spacing w:after="0" w:line="240" w:lineRule="auto"/>
              <w:jc w:val="right"/>
              <w:rPr>
                <w:rFonts w:ascii="Arial" w:hAnsi="Arial" w:cs="Arial"/>
                <w:sz w:val="18"/>
                <w:szCs w:val="18"/>
              </w:rPr>
            </w:pPr>
            <w:r w:rsidRPr="00E05BE2">
              <w:rPr>
                <w:rFonts w:ascii="Arial" w:hAnsi="Arial" w:cs="Arial"/>
                <w:sz w:val="18"/>
                <w:szCs w:val="18"/>
              </w:rPr>
              <w:t>9.469.802</w:t>
            </w:r>
          </w:p>
        </w:tc>
      </w:tr>
      <w:tr w:rsidR="00E05BE2" w:rsidRPr="00E05BE2" w14:paraId="0BEC37B6" w14:textId="77777777" w:rsidTr="00E05BE2">
        <w:trPr>
          <w:trHeight w:val="300"/>
        </w:trPr>
        <w:tc>
          <w:tcPr>
            <w:tcW w:w="1466" w:type="pct"/>
            <w:shd w:val="clear" w:color="auto" w:fill="auto"/>
            <w:vAlign w:val="center"/>
            <w:hideMark/>
          </w:tcPr>
          <w:p w14:paraId="1BA3B571" w14:textId="77777777" w:rsidR="00E05BE2" w:rsidRPr="00E05BE2" w:rsidRDefault="00E05BE2" w:rsidP="00E05BE2">
            <w:pPr>
              <w:spacing w:after="0" w:line="240" w:lineRule="auto"/>
              <w:rPr>
                <w:rFonts w:ascii="Arial" w:hAnsi="Arial" w:cs="Arial"/>
                <w:sz w:val="18"/>
                <w:szCs w:val="18"/>
              </w:rPr>
            </w:pPr>
            <w:r w:rsidRPr="00E05BE2">
              <w:rPr>
                <w:rFonts w:ascii="Arial" w:hAnsi="Arial" w:cs="Arial"/>
                <w:sz w:val="18"/>
                <w:szCs w:val="18"/>
              </w:rPr>
              <w:t>Blago, izdelano za raziskovanje, poskuse, študije ali razvoj</w:t>
            </w:r>
          </w:p>
        </w:tc>
        <w:tc>
          <w:tcPr>
            <w:tcW w:w="2163" w:type="pct"/>
            <w:shd w:val="clear" w:color="auto" w:fill="auto"/>
            <w:vAlign w:val="center"/>
            <w:hideMark/>
          </w:tcPr>
          <w:p w14:paraId="72746A6B" w14:textId="77777777" w:rsidR="00E05BE2" w:rsidRPr="00E05BE2" w:rsidRDefault="00E05BE2" w:rsidP="00E05BE2">
            <w:pPr>
              <w:spacing w:after="0" w:line="240" w:lineRule="auto"/>
              <w:rPr>
                <w:rFonts w:ascii="Arial" w:hAnsi="Arial" w:cs="Arial"/>
                <w:sz w:val="18"/>
                <w:szCs w:val="18"/>
              </w:rPr>
            </w:pPr>
            <w:r w:rsidRPr="00E05BE2">
              <w:rPr>
                <w:rFonts w:ascii="Arial" w:hAnsi="Arial" w:cs="Arial"/>
                <w:sz w:val="18"/>
                <w:szCs w:val="18"/>
              </w:rPr>
              <w:t>Postopek s pogajanji brez predhodne objave</w:t>
            </w:r>
          </w:p>
        </w:tc>
        <w:tc>
          <w:tcPr>
            <w:tcW w:w="268" w:type="pct"/>
            <w:shd w:val="clear" w:color="auto" w:fill="auto"/>
            <w:vAlign w:val="center"/>
            <w:hideMark/>
          </w:tcPr>
          <w:p w14:paraId="772377D0" w14:textId="77777777" w:rsidR="00E05BE2" w:rsidRPr="00E05BE2" w:rsidRDefault="00E05BE2" w:rsidP="00E05BE2">
            <w:pPr>
              <w:spacing w:after="0" w:line="240" w:lineRule="auto"/>
              <w:jc w:val="right"/>
              <w:rPr>
                <w:rFonts w:ascii="Arial" w:hAnsi="Arial" w:cs="Arial"/>
                <w:sz w:val="18"/>
                <w:szCs w:val="18"/>
              </w:rPr>
            </w:pPr>
            <w:r w:rsidRPr="00E05BE2">
              <w:rPr>
                <w:rFonts w:ascii="Arial" w:hAnsi="Arial" w:cs="Arial"/>
                <w:sz w:val="18"/>
                <w:szCs w:val="18"/>
              </w:rPr>
              <w:t>3</w:t>
            </w:r>
          </w:p>
        </w:tc>
        <w:tc>
          <w:tcPr>
            <w:tcW w:w="1103" w:type="pct"/>
            <w:shd w:val="clear" w:color="auto" w:fill="auto"/>
            <w:vAlign w:val="center"/>
            <w:hideMark/>
          </w:tcPr>
          <w:p w14:paraId="26B86AF6" w14:textId="77777777" w:rsidR="00E05BE2" w:rsidRPr="00E05BE2" w:rsidRDefault="00E05BE2" w:rsidP="00E05BE2">
            <w:pPr>
              <w:spacing w:after="0" w:line="240" w:lineRule="auto"/>
              <w:jc w:val="right"/>
              <w:rPr>
                <w:rFonts w:ascii="Arial" w:hAnsi="Arial" w:cs="Arial"/>
                <w:sz w:val="18"/>
                <w:szCs w:val="18"/>
              </w:rPr>
            </w:pPr>
            <w:r w:rsidRPr="00E05BE2">
              <w:rPr>
                <w:rFonts w:ascii="Arial" w:hAnsi="Arial" w:cs="Arial"/>
                <w:sz w:val="18"/>
                <w:szCs w:val="18"/>
              </w:rPr>
              <w:t>728.511</w:t>
            </w:r>
          </w:p>
        </w:tc>
      </w:tr>
      <w:tr w:rsidR="00E05BE2" w:rsidRPr="00E05BE2" w14:paraId="12408431" w14:textId="77777777" w:rsidTr="00E05BE2">
        <w:trPr>
          <w:trHeight w:val="300"/>
        </w:trPr>
        <w:tc>
          <w:tcPr>
            <w:tcW w:w="1466" w:type="pct"/>
            <w:shd w:val="clear" w:color="auto" w:fill="auto"/>
            <w:vAlign w:val="center"/>
            <w:hideMark/>
          </w:tcPr>
          <w:p w14:paraId="0021FA84" w14:textId="77777777" w:rsidR="00E05BE2" w:rsidRPr="00E05BE2" w:rsidRDefault="00E05BE2" w:rsidP="00E05BE2">
            <w:pPr>
              <w:spacing w:after="0" w:line="240" w:lineRule="auto"/>
              <w:rPr>
                <w:rFonts w:ascii="Arial" w:hAnsi="Arial" w:cs="Arial"/>
                <w:sz w:val="18"/>
                <w:szCs w:val="18"/>
              </w:rPr>
            </w:pPr>
            <w:r w:rsidRPr="00E05BE2">
              <w:rPr>
                <w:rFonts w:ascii="Arial" w:hAnsi="Arial" w:cs="Arial"/>
                <w:sz w:val="18"/>
                <w:szCs w:val="18"/>
              </w:rPr>
              <w:t>Ponovitev</w:t>
            </w:r>
          </w:p>
        </w:tc>
        <w:tc>
          <w:tcPr>
            <w:tcW w:w="2163" w:type="pct"/>
            <w:shd w:val="clear" w:color="auto" w:fill="auto"/>
            <w:vAlign w:val="center"/>
            <w:hideMark/>
          </w:tcPr>
          <w:p w14:paraId="329452AD" w14:textId="77777777" w:rsidR="00E05BE2" w:rsidRPr="00E05BE2" w:rsidRDefault="00E05BE2" w:rsidP="00E05BE2">
            <w:pPr>
              <w:spacing w:after="0" w:line="240" w:lineRule="auto"/>
              <w:rPr>
                <w:rFonts w:ascii="Arial" w:hAnsi="Arial" w:cs="Arial"/>
                <w:sz w:val="18"/>
                <w:szCs w:val="18"/>
              </w:rPr>
            </w:pPr>
            <w:r w:rsidRPr="00E05BE2">
              <w:rPr>
                <w:rFonts w:ascii="Arial" w:hAnsi="Arial" w:cs="Arial"/>
                <w:sz w:val="18"/>
                <w:szCs w:val="18"/>
              </w:rPr>
              <w:t>Postopek s pogajanji brez predhodne objave</w:t>
            </w:r>
          </w:p>
        </w:tc>
        <w:tc>
          <w:tcPr>
            <w:tcW w:w="268" w:type="pct"/>
            <w:shd w:val="clear" w:color="auto" w:fill="auto"/>
            <w:vAlign w:val="center"/>
            <w:hideMark/>
          </w:tcPr>
          <w:p w14:paraId="7F347D94" w14:textId="77777777" w:rsidR="00E05BE2" w:rsidRPr="00E05BE2" w:rsidRDefault="00E05BE2" w:rsidP="00E05BE2">
            <w:pPr>
              <w:spacing w:after="0" w:line="240" w:lineRule="auto"/>
              <w:jc w:val="right"/>
              <w:rPr>
                <w:rFonts w:ascii="Arial" w:hAnsi="Arial" w:cs="Arial"/>
                <w:sz w:val="18"/>
                <w:szCs w:val="18"/>
              </w:rPr>
            </w:pPr>
            <w:r w:rsidRPr="00E05BE2">
              <w:rPr>
                <w:rFonts w:ascii="Arial" w:hAnsi="Arial" w:cs="Arial"/>
                <w:sz w:val="18"/>
                <w:szCs w:val="18"/>
              </w:rPr>
              <w:t>7</w:t>
            </w:r>
          </w:p>
        </w:tc>
        <w:tc>
          <w:tcPr>
            <w:tcW w:w="1103" w:type="pct"/>
            <w:shd w:val="clear" w:color="auto" w:fill="auto"/>
            <w:vAlign w:val="center"/>
            <w:hideMark/>
          </w:tcPr>
          <w:p w14:paraId="1BC290FA" w14:textId="77777777" w:rsidR="00E05BE2" w:rsidRPr="00E05BE2" w:rsidRDefault="00E05BE2" w:rsidP="00E05BE2">
            <w:pPr>
              <w:spacing w:after="0" w:line="240" w:lineRule="auto"/>
              <w:jc w:val="right"/>
              <w:rPr>
                <w:rFonts w:ascii="Arial" w:hAnsi="Arial" w:cs="Arial"/>
                <w:sz w:val="18"/>
                <w:szCs w:val="18"/>
              </w:rPr>
            </w:pPr>
            <w:r w:rsidRPr="00E05BE2">
              <w:rPr>
                <w:rFonts w:ascii="Arial" w:hAnsi="Arial" w:cs="Arial"/>
                <w:sz w:val="18"/>
                <w:szCs w:val="18"/>
              </w:rPr>
              <w:t>2.909.881</w:t>
            </w:r>
          </w:p>
        </w:tc>
      </w:tr>
      <w:tr w:rsidR="00E05BE2" w:rsidRPr="00E05BE2" w14:paraId="5D3F7D03" w14:textId="77777777" w:rsidTr="00E05BE2">
        <w:trPr>
          <w:trHeight w:val="300"/>
        </w:trPr>
        <w:tc>
          <w:tcPr>
            <w:tcW w:w="1466" w:type="pct"/>
            <w:shd w:val="clear" w:color="auto" w:fill="auto"/>
            <w:vAlign w:val="center"/>
            <w:hideMark/>
          </w:tcPr>
          <w:p w14:paraId="501BF636" w14:textId="77777777" w:rsidR="00E05BE2" w:rsidRPr="00E05BE2" w:rsidRDefault="00E05BE2" w:rsidP="00E05BE2">
            <w:pPr>
              <w:spacing w:after="0" w:line="240" w:lineRule="auto"/>
              <w:rPr>
                <w:rFonts w:ascii="Arial" w:hAnsi="Arial" w:cs="Arial"/>
                <w:sz w:val="18"/>
                <w:szCs w:val="18"/>
              </w:rPr>
            </w:pPr>
            <w:r w:rsidRPr="00E05BE2">
              <w:rPr>
                <w:rFonts w:ascii="Arial" w:hAnsi="Arial" w:cs="Arial"/>
                <w:sz w:val="18"/>
                <w:szCs w:val="18"/>
              </w:rPr>
              <w:t>Predhodno izvedeni javni natečaj</w:t>
            </w:r>
          </w:p>
        </w:tc>
        <w:tc>
          <w:tcPr>
            <w:tcW w:w="2163" w:type="pct"/>
            <w:shd w:val="clear" w:color="auto" w:fill="auto"/>
            <w:vAlign w:val="center"/>
            <w:hideMark/>
          </w:tcPr>
          <w:p w14:paraId="5BC1481D" w14:textId="77777777" w:rsidR="00E05BE2" w:rsidRPr="00E05BE2" w:rsidRDefault="00E05BE2" w:rsidP="00E05BE2">
            <w:pPr>
              <w:spacing w:after="0" w:line="240" w:lineRule="auto"/>
              <w:rPr>
                <w:rFonts w:ascii="Arial" w:hAnsi="Arial" w:cs="Arial"/>
                <w:sz w:val="18"/>
                <w:szCs w:val="18"/>
              </w:rPr>
            </w:pPr>
            <w:r w:rsidRPr="00E05BE2">
              <w:rPr>
                <w:rFonts w:ascii="Arial" w:hAnsi="Arial" w:cs="Arial"/>
                <w:sz w:val="18"/>
                <w:szCs w:val="18"/>
              </w:rPr>
              <w:t>Postopek s pogajanji brez predhodne objave</w:t>
            </w:r>
          </w:p>
        </w:tc>
        <w:tc>
          <w:tcPr>
            <w:tcW w:w="268" w:type="pct"/>
            <w:shd w:val="clear" w:color="auto" w:fill="auto"/>
            <w:vAlign w:val="center"/>
            <w:hideMark/>
          </w:tcPr>
          <w:p w14:paraId="20F859DA" w14:textId="77777777" w:rsidR="00E05BE2" w:rsidRPr="00E05BE2" w:rsidRDefault="00E05BE2" w:rsidP="00E05BE2">
            <w:pPr>
              <w:spacing w:after="0" w:line="240" w:lineRule="auto"/>
              <w:jc w:val="right"/>
              <w:rPr>
                <w:rFonts w:ascii="Arial" w:hAnsi="Arial" w:cs="Arial"/>
                <w:sz w:val="18"/>
                <w:szCs w:val="18"/>
              </w:rPr>
            </w:pPr>
            <w:r w:rsidRPr="00E05BE2">
              <w:rPr>
                <w:rFonts w:ascii="Arial" w:hAnsi="Arial" w:cs="Arial"/>
                <w:sz w:val="18"/>
                <w:szCs w:val="18"/>
              </w:rPr>
              <w:t>18</w:t>
            </w:r>
          </w:p>
        </w:tc>
        <w:tc>
          <w:tcPr>
            <w:tcW w:w="1103" w:type="pct"/>
            <w:shd w:val="clear" w:color="auto" w:fill="auto"/>
            <w:vAlign w:val="center"/>
            <w:hideMark/>
          </w:tcPr>
          <w:p w14:paraId="729BC773" w14:textId="77777777" w:rsidR="00E05BE2" w:rsidRPr="00E05BE2" w:rsidRDefault="00E05BE2" w:rsidP="00E05BE2">
            <w:pPr>
              <w:spacing w:after="0" w:line="240" w:lineRule="auto"/>
              <w:jc w:val="right"/>
              <w:rPr>
                <w:rFonts w:ascii="Arial" w:hAnsi="Arial" w:cs="Arial"/>
                <w:sz w:val="18"/>
                <w:szCs w:val="18"/>
              </w:rPr>
            </w:pPr>
            <w:r w:rsidRPr="00E05BE2">
              <w:rPr>
                <w:rFonts w:ascii="Arial" w:hAnsi="Arial" w:cs="Arial"/>
                <w:sz w:val="18"/>
                <w:szCs w:val="18"/>
              </w:rPr>
              <w:t>14.212.000</w:t>
            </w:r>
          </w:p>
        </w:tc>
      </w:tr>
      <w:tr w:rsidR="00E05BE2" w:rsidRPr="00E05BE2" w14:paraId="42072B8F" w14:textId="77777777" w:rsidTr="00E05BE2">
        <w:trPr>
          <w:trHeight w:val="300"/>
        </w:trPr>
        <w:tc>
          <w:tcPr>
            <w:tcW w:w="1466" w:type="pct"/>
            <w:vMerge w:val="restart"/>
            <w:shd w:val="clear" w:color="auto" w:fill="auto"/>
            <w:vAlign w:val="center"/>
            <w:hideMark/>
          </w:tcPr>
          <w:p w14:paraId="67ABCE34" w14:textId="77777777" w:rsidR="00E05BE2" w:rsidRPr="00E05BE2" w:rsidRDefault="00E05BE2" w:rsidP="00E05BE2">
            <w:pPr>
              <w:spacing w:after="0" w:line="240" w:lineRule="auto"/>
              <w:rPr>
                <w:rFonts w:ascii="Arial" w:hAnsi="Arial" w:cs="Arial"/>
                <w:sz w:val="18"/>
                <w:szCs w:val="18"/>
              </w:rPr>
            </w:pPr>
            <w:r w:rsidRPr="00E05BE2">
              <w:rPr>
                <w:rFonts w:ascii="Arial" w:hAnsi="Arial" w:cs="Arial"/>
                <w:sz w:val="18"/>
                <w:szCs w:val="18"/>
              </w:rPr>
              <w:t>Znano končno število sposobnih ponudnikov</w:t>
            </w:r>
          </w:p>
        </w:tc>
        <w:tc>
          <w:tcPr>
            <w:tcW w:w="2163" w:type="pct"/>
            <w:shd w:val="clear" w:color="auto" w:fill="auto"/>
            <w:vAlign w:val="center"/>
            <w:hideMark/>
          </w:tcPr>
          <w:p w14:paraId="4512933B" w14:textId="77777777" w:rsidR="00E05BE2" w:rsidRPr="00E05BE2" w:rsidRDefault="00E05BE2" w:rsidP="00E05BE2">
            <w:pPr>
              <w:spacing w:after="0" w:line="240" w:lineRule="auto"/>
              <w:rPr>
                <w:rFonts w:ascii="Arial" w:hAnsi="Arial" w:cs="Arial"/>
                <w:sz w:val="18"/>
                <w:szCs w:val="18"/>
              </w:rPr>
            </w:pPr>
            <w:r w:rsidRPr="00E05BE2">
              <w:rPr>
                <w:rFonts w:ascii="Arial" w:hAnsi="Arial" w:cs="Arial"/>
                <w:sz w:val="18"/>
                <w:szCs w:val="18"/>
              </w:rPr>
              <w:t>Postopek s pogajanji brez predhodne objave</w:t>
            </w:r>
          </w:p>
        </w:tc>
        <w:tc>
          <w:tcPr>
            <w:tcW w:w="268" w:type="pct"/>
            <w:shd w:val="clear" w:color="auto" w:fill="auto"/>
            <w:vAlign w:val="center"/>
            <w:hideMark/>
          </w:tcPr>
          <w:p w14:paraId="74A71F50" w14:textId="77777777" w:rsidR="00E05BE2" w:rsidRPr="00E05BE2" w:rsidRDefault="00E05BE2" w:rsidP="00E05BE2">
            <w:pPr>
              <w:spacing w:after="0" w:line="240" w:lineRule="auto"/>
              <w:jc w:val="right"/>
              <w:rPr>
                <w:rFonts w:ascii="Arial" w:hAnsi="Arial" w:cs="Arial"/>
                <w:sz w:val="18"/>
                <w:szCs w:val="18"/>
              </w:rPr>
            </w:pPr>
            <w:r w:rsidRPr="00E05BE2">
              <w:rPr>
                <w:rFonts w:ascii="Arial" w:hAnsi="Arial" w:cs="Arial"/>
                <w:sz w:val="18"/>
                <w:szCs w:val="18"/>
              </w:rPr>
              <w:t>7</w:t>
            </w:r>
          </w:p>
        </w:tc>
        <w:tc>
          <w:tcPr>
            <w:tcW w:w="1103" w:type="pct"/>
            <w:shd w:val="clear" w:color="auto" w:fill="auto"/>
            <w:vAlign w:val="center"/>
            <w:hideMark/>
          </w:tcPr>
          <w:p w14:paraId="4A693AF2" w14:textId="77777777" w:rsidR="00E05BE2" w:rsidRPr="00E05BE2" w:rsidRDefault="00E05BE2" w:rsidP="00E05BE2">
            <w:pPr>
              <w:spacing w:after="0" w:line="240" w:lineRule="auto"/>
              <w:jc w:val="right"/>
              <w:rPr>
                <w:rFonts w:ascii="Arial" w:hAnsi="Arial" w:cs="Arial"/>
                <w:sz w:val="18"/>
                <w:szCs w:val="18"/>
              </w:rPr>
            </w:pPr>
            <w:r w:rsidRPr="00E05BE2">
              <w:rPr>
                <w:rFonts w:ascii="Arial" w:hAnsi="Arial" w:cs="Arial"/>
                <w:sz w:val="18"/>
                <w:szCs w:val="18"/>
              </w:rPr>
              <w:t>1.437.655</w:t>
            </w:r>
          </w:p>
        </w:tc>
      </w:tr>
      <w:tr w:rsidR="00E05BE2" w:rsidRPr="00E05BE2" w14:paraId="64E443FE" w14:textId="77777777" w:rsidTr="00E05BE2">
        <w:trPr>
          <w:trHeight w:val="300"/>
        </w:trPr>
        <w:tc>
          <w:tcPr>
            <w:tcW w:w="1466" w:type="pct"/>
            <w:vMerge/>
            <w:vAlign w:val="center"/>
            <w:hideMark/>
          </w:tcPr>
          <w:p w14:paraId="281ED807" w14:textId="77777777" w:rsidR="00E05BE2" w:rsidRPr="00E05BE2" w:rsidRDefault="00E05BE2" w:rsidP="00E05BE2">
            <w:pPr>
              <w:spacing w:after="0" w:line="240" w:lineRule="auto"/>
              <w:rPr>
                <w:rFonts w:ascii="Arial" w:hAnsi="Arial" w:cs="Arial"/>
                <w:sz w:val="18"/>
                <w:szCs w:val="18"/>
              </w:rPr>
            </w:pPr>
          </w:p>
        </w:tc>
        <w:tc>
          <w:tcPr>
            <w:tcW w:w="2163" w:type="pct"/>
            <w:shd w:val="clear" w:color="auto" w:fill="auto"/>
            <w:vAlign w:val="center"/>
            <w:hideMark/>
          </w:tcPr>
          <w:p w14:paraId="42525E88" w14:textId="77777777" w:rsidR="00E05BE2" w:rsidRPr="00E05BE2" w:rsidRDefault="00E05BE2" w:rsidP="00E05BE2">
            <w:pPr>
              <w:spacing w:after="0" w:line="240" w:lineRule="auto"/>
              <w:rPr>
                <w:rFonts w:ascii="Arial" w:hAnsi="Arial" w:cs="Arial"/>
                <w:sz w:val="18"/>
                <w:szCs w:val="18"/>
              </w:rPr>
            </w:pPr>
            <w:r w:rsidRPr="00E05BE2">
              <w:rPr>
                <w:rFonts w:ascii="Arial" w:hAnsi="Arial" w:cs="Arial"/>
                <w:sz w:val="18"/>
                <w:szCs w:val="18"/>
              </w:rPr>
              <w:t>Konkurenčni postopek s pogajanji</w:t>
            </w:r>
          </w:p>
        </w:tc>
        <w:tc>
          <w:tcPr>
            <w:tcW w:w="268" w:type="pct"/>
            <w:shd w:val="clear" w:color="auto" w:fill="auto"/>
            <w:vAlign w:val="center"/>
            <w:hideMark/>
          </w:tcPr>
          <w:p w14:paraId="6D016703" w14:textId="77777777" w:rsidR="00E05BE2" w:rsidRPr="00E05BE2" w:rsidRDefault="00E05BE2" w:rsidP="00E05BE2">
            <w:pPr>
              <w:spacing w:after="0" w:line="240" w:lineRule="auto"/>
              <w:jc w:val="right"/>
              <w:rPr>
                <w:rFonts w:ascii="Arial" w:hAnsi="Arial" w:cs="Arial"/>
                <w:sz w:val="18"/>
                <w:szCs w:val="18"/>
              </w:rPr>
            </w:pPr>
            <w:r w:rsidRPr="00E05BE2">
              <w:rPr>
                <w:rFonts w:ascii="Arial" w:hAnsi="Arial" w:cs="Arial"/>
                <w:sz w:val="18"/>
                <w:szCs w:val="18"/>
              </w:rPr>
              <w:t>2</w:t>
            </w:r>
          </w:p>
        </w:tc>
        <w:tc>
          <w:tcPr>
            <w:tcW w:w="1103" w:type="pct"/>
            <w:shd w:val="clear" w:color="auto" w:fill="auto"/>
            <w:vAlign w:val="center"/>
            <w:hideMark/>
          </w:tcPr>
          <w:p w14:paraId="69D9D599" w14:textId="77777777" w:rsidR="00E05BE2" w:rsidRPr="00E05BE2" w:rsidRDefault="00E05BE2" w:rsidP="00E05BE2">
            <w:pPr>
              <w:spacing w:after="0" w:line="240" w:lineRule="auto"/>
              <w:jc w:val="right"/>
              <w:rPr>
                <w:rFonts w:ascii="Arial" w:hAnsi="Arial" w:cs="Arial"/>
                <w:sz w:val="18"/>
                <w:szCs w:val="18"/>
              </w:rPr>
            </w:pPr>
            <w:r w:rsidRPr="00E05BE2">
              <w:rPr>
                <w:rFonts w:ascii="Arial" w:hAnsi="Arial" w:cs="Arial"/>
                <w:sz w:val="18"/>
                <w:szCs w:val="18"/>
              </w:rPr>
              <w:t>1.580.142</w:t>
            </w:r>
          </w:p>
        </w:tc>
      </w:tr>
      <w:tr w:rsidR="00E05BE2" w:rsidRPr="00E05BE2" w14:paraId="4AACDE8F" w14:textId="77777777" w:rsidTr="00E05BE2">
        <w:trPr>
          <w:trHeight w:val="288"/>
        </w:trPr>
        <w:tc>
          <w:tcPr>
            <w:tcW w:w="1466" w:type="pct"/>
            <w:vMerge/>
            <w:vAlign w:val="center"/>
            <w:hideMark/>
          </w:tcPr>
          <w:p w14:paraId="24115951" w14:textId="77777777" w:rsidR="00E05BE2" w:rsidRPr="00E05BE2" w:rsidRDefault="00E05BE2" w:rsidP="00E05BE2">
            <w:pPr>
              <w:spacing w:after="0" w:line="240" w:lineRule="auto"/>
              <w:rPr>
                <w:rFonts w:ascii="Arial" w:hAnsi="Arial" w:cs="Arial"/>
                <w:sz w:val="18"/>
                <w:szCs w:val="18"/>
              </w:rPr>
            </w:pPr>
          </w:p>
        </w:tc>
        <w:tc>
          <w:tcPr>
            <w:tcW w:w="2163" w:type="pct"/>
            <w:shd w:val="clear" w:color="auto" w:fill="auto"/>
            <w:vAlign w:val="center"/>
            <w:hideMark/>
          </w:tcPr>
          <w:p w14:paraId="489C3D6F" w14:textId="77777777" w:rsidR="00E05BE2" w:rsidRPr="00E05BE2" w:rsidRDefault="00E05BE2" w:rsidP="00E05BE2">
            <w:pPr>
              <w:spacing w:after="0" w:line="240" w:lineRule="auto"/>
              <w:rPr>
                <w:rFonts w:ascii="Arial" w:hAnsi="Arial" w:cs="Arial"/>
                <w:b/>
                <w:bCs/>
                <w:sz w:val="18"/>
                <w:szCs w:val="18"/>
              </w:rPr>
            </w:pPr>
            <w:r w:rsidRPr="00E05BE2">
              <w:rPr>
                <w:rFonts w:ascii="Arial" w:hAnsi="Arial" w:cs="Arial"/>
                <w:b/>
                <w:bCs/>
                <w:sz w:val="18"/>
                <w:szCs w:val="18"/>
              </w:rPr>
              <w:t>Skupaj</w:t>
            </w:r>
          </w:p>
        </w:tc>
        <w:tc>
          <w:tcPr>
            <w:tcW w:w="268" w:type="pct"/>
            <w:shd w:val="clear" w:color="auto" w:fill="auto"/>
            <w:noWrap/>
            <w:vAlign w:val="center"/>
            <w:hideMark/>
          </w:tcPr>
          <w:p w14:paraId="2CEDB054" w14:textId="77777777" w:rsidR="00E05BE2" w:rsidRPr="00E05BE2" w:rsidRDefault="00E05BE2" w:rsidP="00E05BE2">
            <w:pPr>
              <w:spacing w:after="0" w:line="240" w:lineRule="auto"/>
              <w:jc w:val="right"/>
              <w:rPr>
                <w:rFonts w:ascii="Arial" w:hAnsi="Arial" w:cs="Arial"/>
                <w:b/>
                <w:bCs/>
                <w:sz w:val="18"/>
                <w:szCs w:val="18"/>
              </w:rPr>
            </w:pPr>
            <w:r w:rsidRPr="00E05BE2">
              <w:rPr>
                <w:rFonts w:ascii="Arial" w:hAnsi="Arial" w:cs="Arial"/>
                <w:b/>
                <w:bCs/>
                <w:sz w:val="18"/>
                <w:szCs w:val="18"/>
              </w:rPr>
              <w:t>9</w:t>
            </w:r>
          </w:p>
        </w:tc>
        <w:tc>
          <w:tcPr>
            <w:tcW w:w="1103" w:type="pct"/>
            <w:shd w:val="clear" w:color="auto" w:fill="auto"/>
            <w:noWrap/>
            <w:vAlign w:val="center"/>
            <w:hideMark/>
          </w:tcPr>
          <w:p w14:paraId="35925AA9" w14:textId="77777777" w:rsidR="00E05BE2" w:rsidRPr="00E05BE2" w:rsidRDefault="00E05BE2" w:rsidP="00E05BE2">
            <w:pPr>
              <w:spacing w:after="0" w:line="240" w:lineRule="auto"/>
              <w:jc w:val="right"/>
              <w:rPr>
                <w:rFonts w:ascii="Arial" w:hAnsi="Arial" w:cs="Arial"/>
                <w:b/>
                <w:bCs/>
                <w:sz w:val="18"/>
                <w:szCs w:val="18"/>
              </w:rPr>
            </w:pPr>
            <w:r w:rsidRPr="00E05BE2">
              <w:rPr>
                <w:rFonts w:ascii="Arial" w:hAnsi="Arial" w:cs="Arial"/>
                <w:b/>
                <w:bCs/>
                <w:sz w:val="18"/>
                <w:szCs w:val="18"/>
              </w:rPr>
              <w:t>3.017.797</w:t>
            </w:r>
          </w:p>
        </w:tc>
      </w:tr>
      <w:tr w:rsidR="00E05BE2" w:rsidRPr="00E05BE2" w14:paraId="5E893543" w14:textId="77777777" w:rsidTr="00E05BE2">
        <w:trPr>
          <w:trHeight w:val="300"/>
        </w:trPr>
        <w:tc>
          <w:tcPr>
            <w:tcW w:w="1466" w:type="pct"/>
            <w:vMerge w:val="restart"/>
            <w:shd w:val="clear" w:color="auto" w:fill="auto"/>
            <w:vAlign w:val="center"/>
            <w:hideMark/>
          </w:tcPr>
          <w:p w14:paraId="64E2F3A1" w14:textId="77777777" w:rsidR="00E05BE2" w:rsidRPr="00E05BE2" w:rsidRDefault="00E05BE2" w:rsidP="00E05BE2">
            <w:pPr>
              <w:spacing w:after="0" w:line="240" w:lineRule="auto"/>
              <w:rPr>
                <w:rFonts w:ascii="Arial" w:hAnsi="Arial" w:cs="Arial"/>
                <w:sz w:val="18"/>
                <w:szCs w:val="18"/>
              </w:rPr>
            </w:pPr>
            <w:r w:rsidRPr="00E05BE2">
              <w:rPr>
                <w:rFonts w:ascii="Arial" w:hAnsi="Arial" w:cs="Arial"/>
                <w:sz w:val="18"/>
                <w:szCs w:val="18"/>
              </w:rPr>
              <w:t>Ni področje direktive</w:t>
            </w:r>
          </w:p>
        </w:tc>
        <w:tc>
          <w:tcPr>
            <w:tcW w:w="2163" w:type="pct"/>
            <w:shd w:val="clear" w:color="auto" w:fill="auto"/>
            <w:vAlign w:val="center"/>
            <w:hideMark/>
          </w:tcPr>
          <w:p w14:paraId="71A965F7" w14:textId="77777777" w:rsidR="00E05BE2" w:rsidRPr="00E05BE2" w:rsidRDefault="00E05BE2" w:rsidP="00E05BE2">
            <w:pPr>
              <w:spacing w:after="0" w:line="240" w:lineRule="auto"/>
              <w:rPr>
                <w:rFonts w:ascii="Arial" w:hAnsi="Arial" w:cs="Arial"/>
                <w:sz w:val="18"/>
                <w:szCs w:val="18"/>
              </w:rPr>
            </w:pPr>
            <w:r w:rsidRPr="00E05BE2">
              <w:rPr>
                <w:rFonts w:ascii="Arial" w:hAnsi="Arial" w:cs="Arial"/>
                <w:sz w:val="18"/>
                <w:szCs w:val="18"/>
              </w:rPr>
              <w:t>Konkurenčni postopek s pogajanji</w:t>
            </w:r>
          </w:p>
        </w:tc>
        <w:tc>
          <w:tcPr>
            <w:tcW w:w="268" w:type="pct"/>
            <w:shd w:val="clear" w:color="auto" w:fill="auto"/>
            <w:vAlign w:val="center"/>
            <w:hideMark/>
          </w:tcPr>
          <w:p w14:paraId="0AB9A5F3" w14:textId="77777777" w:rsidR="00E05BE2" w:rsidRPr="00E05BE2" w:rsidRDefault="00E05BE2" w:rsidP="00E05BE2">
            <w:pPr>
              <w:spacing w:after="0" w:line="240" w:lineRule="auto"/>
              <w:jc w:val="right"/>
              <w:rPr>
                <w:rFonts w:ascii="Arial" w:hAnsi="Arial" w:cs="Arial"/>
                <w:sz w:val="18"/>
                <w:szCs w:val="18"/>
              </w:rPr>
            </w:pPr>
            <w:r w:rsidRPr="00E05BE2">
              <w:rPr>
                <w:rFonts w:ascii="Arial" w:hAnsi="Arial" w:cs="Arial"/>
                <w:sz w:val="18"/>
                <w:szCs w:val="18"/>
              </w:rPr>
              <w:t>35</w:t>
            </w:r>
          </w:p>
        </w:tc>
        <w:tc>
          <w:tcPr>
            <w:tcW w:w="1103" w:type="pct"/>
            <w:shd w:val="clear" w:color="auto" w:fill="auto"/>
            <w:vAlign w:val="center"/>
            <w:hideMark/>
          </w:tcPr>
          <w:p w14:paraId="0F202071" w14:textId="77777777" w:rsidR="00E05BE2" w:rsidRPr="00E05BE2" w:rsidRDefault="00E05BE2" w:rsidP="00E05BE2">
            <w:pPr>
              <w:spacing w:after="0" w:line="240" w:lineRule="auto"/>
              <w:jc w:val="right"/>
              <w:rPr>
                <w:rFonts w:ascii="Arial" w:hAnsi="Arial" w:cs="Arial"/>
                <w:sz w:val="18"/>
                <w:szCs w:val="18"/>
              </w:rPr>
            </w:pPr>
            <w:r w:rsidRPr="00E05BE2">
              <w:rPr>
                <w:rFonts w:ascii="Arial" w:hAnsi="Arial" w:cs="Arial"/>
                <w:sz w:val="18"/>
                <w:szCs w:val="18"/>
              </w:rPr>
              <w:t>141.916.392</w:t>
            </w:r>
          </w:p>
        </w:tc>
      </w:tr>
      <w:tr w:rsidR="00E05BE2" w:rsidRPr="00E05BE2" w14:paraId="1F5A4D6B" w14:textId="77777777" w:rsidTr="00E05BE2">
        <w:trPr>
          <w:trHeight w:val="300"/>
        </w:trPr>
        <w:tc>
          <w:tcPr>
            <w:tcW w:w="1466" w:type="pct"/>
            <w:vMerge/>
            <w:vAlign w:val="center"/>
            <w:hideMark/>
          </w:tcPr>
          <w:p w14:paraId="50CD3D9B" w14:textId="77777777" w:rsidR="00E05BE2" w:rsidRPr="00E05BE2" w:rsidRDefault="00E05BE2" w:rsidP="00E05BE2">
            <w:pPr>
              <w:spacing w:after="0" w:line="240" w:lineRule="auto"/>
              <w:rPr>
                <w:rFonts w:ascii="Arial" w:hAnsi="Arial" w:cs="Arial"/>
                <w:sz w:val="18"/>
                <w:szCs w:val="18"/>
              </w:rPr>
            </w:pPr>
          </w:p>
        </w:tc>
        <w:tc>
          <w:tcPr>
            <w:tcW w:w="2163" w:type="pct"/>
            <w:shd w:val="clear" w:color="auto" w:fill="auto"/>
            <w:vAlign w:val="center"/>
            <w:hideMark/>
          </w:tcPr>
          <w:p w14:paraId="6CC13D38" w14:textId="77777777" w:rsidR="00E05BE2" w:rsidRPr="00E05BE2" w:rsidRDefault="00E05BE2" w:rsidP="00E05BE2">
            <w:pPr>
              <w:spacing w:after="0" w:line="240" w:lineRule="auto"/>
              <w:rPr>
                <w:rFonts w:ascii="Arial" w:hAnsi="Arial" w:cs="Arial"/>
                <w:sz w:val="18"/>
                <w:szCs w:val="18"/>
              </w:rPr>
            </w:pPr>
            <w:r w:rsidRPr="00E05BE2">
              <w:rPr>
                <w:rFonts w:ascii="Arial" w:hAnsi="Arial" w:cs="Arial"/>
                <w:sz w:val="18"/>
                <w:szCs w:val="18"/>
              </w:rPr>
              <w:t>Postopek s pogajanji brez predhodne objave</w:t>
            </w:r>
          </w:p>
        </w:tc>
        <w:tc>
          <w:tcPr>
            <w:tcW w:w="268" w:type="pct"/>
            <w:shd w:val="clear" w:color="auto" w:fill="auto"/>
            <w:vAlign w:val="center"/>
            <w:hideMark/>
          </w:tcPr>
          <w:p w14:paraId="4C568C59" w14:textId="77777777" w:rsidR="00E05BE2" w:rsidRPr="00E05BE2" w:rsidRDefault="00E05BE2" w:rsidP="00E05BE2">
            <w:pPr>
              <w:spacing w:after="0" w:line="240" w:lineRule="auto"/>
              <w:jc w:val="right"/>
              <w:rPr>
                <w:rFonts w:ascii="Arial" w:hAnsi="Arial" w:cs="Arial"/>
                <w:sz w:val="18"/>
                <w:szCs w:val="18"/>
              </w:rPr>
            </w:pPr>
            <w:r w:rsidRPr="00E05BE2">
              <w:rPr>
                <w:rFonts w:ascii="Arial" w:hAnsi="Arial" w:cs="Arial"/>
                <w:sz w:val="18"/>
                <w:szCs w:val="18"/>
              </w:rPr>
              <w:t>13</w:t>
            </w:r>
          </w:p>
        </w:tc>
        <w:tc>
          <w:tcPr>
            <w:tcW w:w="1103" w:type="pct"/>
            <w:shd w:val="clear" w:color="auto" w:fill="auto"/>
            <w:vAlign w:val="center"/>
            <w:hideMark/>
          </w:tcPr>
          <w:p w14:paraId="2F5307AD" w14:textId="77777777" w:rsidR="00E05BE2" w:rsidRPr="00E05BE2" w:rsidRDefault="00E05BE2" w:rsidP="00E05BE2">
            <w:pPr>
              <w:spacing w:after="0" w:line="240" w:lineRule="auto"/>
              <w:jc w:val="right"/>
              <w:rPr>
                <w:rFonts w:ascii="Arial" w:hAnsi="Arial" w:cs="Arial"/>
                <w:sz w:val="18"/>
                <w:szCs w:val="18"/>
              </w:rPr>
            </w:pPr>
            <w:r w:rsidRPr="00E05BE2">
              <w:rPr>
                <w:rFonts w:ascii="Arial" w:hAnsi="Arial" w:cs="Arial"/>
                <w:sz w:val="18"/>
                <w:szCs w:val="18"/>
              </w:rPr>
              <w:t>12.472.851</w:t>
            </w:r>
          </w:p>
        </w:tc>
      </w:tr>
      <w:tr w:rsidR="00E05BE2" w:rsidRPr="00E05BE2" w14:paraId="4ED4CF25" w14:textId="77777777" w:rsidTr="00E05BE2">
        <w:trPr>
          <w:trHeight w:val="288"/>
        </w:trPr>
        <w:tc>
          <w:tcPr>
            <w:tcW w:w="1466" w:type="pct"/>
            <w:vMerge/>
            <w:vAlign w:val="center"/>
            <w:hideMark/>
          </w:tcPr>
          <w:p w14:paraId="6658C5FB" w14:textId="77777777" w:rsidR="00E05BE2" w:rsidRPr="00E05BE2" w:rsidRDefault="00E05BE2" w:rsidP="00E05BE2">
            <w:pPr>
              <w:spacing w:after="0" w:line="240" w:lineRule="auto"/>
              <w:rPr>
                <w:rFonts w:ascii="Arial" w:hAnsi="Arial" w:cs="Arial"/>
                <w:sz w:val="18"/>
                <w:szCs w:val="18"/>
              </w:rPr>
            </w:pPr>
          </w:p>
        </w:tc>
        <w:tc>
          <w:tcPr>
            <w:tcW w:w="2163" w:type="pct"/>
            <w:shd w:val="clear" w:color="auto" w:fill="auto"/>
            <w:vAlign w:val="center"/>
            <w:hideMark/>
          </w:tcPr>
          <w:p w14:paraId="76B00C4A" w14:textId="77777777" w:rsidR="00E05BE2" w:rsidRPr="00E05BE2" w:rsidRDefault="00E05BE2" w:rsidP="00E05BE2">
            <w:pPr>
              <w:spacing w:after="0" w:line="240" w:lineRule="auto"/>
              <w:rPr>
                <w:rFonts w:ascii="Arial" w:hAnsi="Arial" w:cs="Arial"/>
                <w:b/>
                <w:bCs/>
                <w:sz w:val="18"/>
                <w:szCs w:val="18"/>
              </w:rPr>
            </w:pPr>
            <w:r w:rsidRPr="00E05BE2">
              <w:rPr>
                <w:rFonts w:ascii="Arial" w:hAnsi="Arial" w:cs="Arial"/>
                <w:b/>
                <w:bCs/>
                <w:sz w:val="18"/>
                <w:szCs w:val="18"/>
              </w:rPr>
              <w:t>Skupaj</w:t>
            </w:r>
          </w:p>
        </w:tc>
        <w:tc>
          <w:tcPr>
            <w:tcW w:w="268" w:type="pct"/>
            <w:shd w:val="clear" w:color="auto" w:fill="auto"/>
            <w:noWrap/>
            <w:vAlign w:val="center"/>
            <w:hideMark/>
          </w:tcPr>
          <w:p w14:paraId="5AD4787B" w14:textId="77777777" w:rsidR="00E05BE2" w:rsidRPr="00E05BE2" w:rsidRDefault="00E05BE2" w:rsidP="00E05BE2">
            <w:pPr>
              <w:spacing w:after="0" w:line="240" w:lineRule="auto"/>
              <w:jc w:val="right"/>
              <w:rPr>
                <w:rFonts w:ascii="Arial" w:hAnsi="Arial" w:cs="Arial"/>
                <w:b/>
                <w:bCs/>
                <w:sz w:val="18"/>
                <w:szCs w:val="18"/>
              </w:rPr>
            </w:pPr>
            <w:r w:rsidRPr="00E05BE2">
              <w:rPr>
                <w:rFonts w:ascii="Arial" w:hAnsi="Arial" w:cs="Arial"/>
                <w:b/>
                <w:bCs/>
                <w:sz w:val="18"/>
                <w:szCs w:val="18"/>
              </w:rPr>
              <w:t>48</w:t>
            </w:r>
          </w:p>
        </w:tc>
        <w:tc>
          <w:tcPr>
            <w:tcW w:w="1103" w:type="pct"/>
            <w:shd w:val="clear" w:color="auto" w:fill="auto"/>
            <w:noWrap/>
            <w:vAlign w:val="center"/>
            <w:hideMark/>
          </w:tcPr>
          <w:p w14:paraId="241EDB6E" w14:textId="77777777" w:rsidR="00E05BE2" w:rsidRPr="00E05BE2" w:rsidRDefault="00E05BE2" w:rsidP="00E05BE2">
            <w:pPr>
              <w:spacing w:after="0" w:line="240" w:lineRule="auto"/>
              <w:jc w:val="right"/>
              <w:rPr>
                <w:rFonts w:ascii="Arial" w:hAnsi="Arial" w:cs="Arial"/>
                <w:b/>
                <w:bCs/>
                <w:sz w:val="18"/>
                <w:szCs w:val="18"/>
              </w:rPr>
            </w:pPr>
            <w:r w:rsidRPr="00E05BE2">
              <w:rPr>
                <w:rFonts w:ascii="Arial" w:hAnsi="Arial" w:cs="Arial"/>
                <w:b/>
                <w:bCs/>
                <w:sz w:val="18"/>
                <w:szCs w:val="18"/>
              </w:rPr>
              <w:t>154.389.243</w:t>
            </w:r>
          </w:p>
        </w:tc>
      </w:tr>
      <w:tr w:rsidR="00E05BE2" w:rsidRPr="00E05BE2" w14:paraId="055ECAD5" w14:textId="77777777" w:rsidTr="00E05BE2">
        <w:trPr>
          <w:trHeight w:val="300"/>
        </w:trPr>
        <w:tc>
          <w:tcPr>
            <w:tcW w:w="1466" w:type="pct"/>
            <w:shd w:val="clear" w:color="auto" w:fill="auto"/>
            <w:vAlign w:val="center"/>
            <w:hideMark/>
          </w:tcPr>
          <w:p w14:paraId="551BA385" w14:textId="77777777" w:rsidR="00E05BE2" w:rsidRPr="00E05BE2" w:rsidRDefault="00E05BE2" w:rsidP="00E05BE2">
            <w:pPr>
              <w:spacing w:after="0" w:line="240" w:lineRule="auto"/>
              <w:rPr>
                <w:rFonts w:ascii="Arial" w:hAnsi="Arial" w:cs="Arial"/>
                <w:sz w:val="18"/>
                <w:szCs w:val="18"/>
              </w:rPr>
            </w:pPr>
            <w:r w:rsidRPr="00E05BE2">
              <w:rPr>
                <w:rFonts w:ascii="Arial" w:hAnsi="Arial" w:cs="Arial"/>
                <w:sz w:val="18"/>
                <w:szCs w:val="18"/>
              </w:rPr>
              <w:t>Ugodna priložnost</w:t>
            </w:r>
          </w:p>
        </w:tc>
        <w:tc>
          <w:tcPr>
            <w:tcW w:w="2163" w:type="pct"/>
            <w:shd w:val="clear" w:color="auto" w:fill="auto"/>
            <w:vAlign w:val="center"/>
            <w:hideMark/>
          </w:tcPr>
          <w:p w14:paraId="205D006E" w14:textId="77777777" w:rsidR="00E05BE2" w:rsidRPr="00E05BE2" w:rsidRDefault="00E05BE2" w:rsidP="00E05BE2">
            <w:pPr>
              <w:spacing w:after="0" w:line="240" w:lineRule="auto"/>
              <w:rPr>
                <w:rFonts w:ascii="Arial" w:hAnsi="Arial" w:cs="Arial"/>
                <w:sz w:val="18"/>
                <w:szCs w:val="18"/>
              </w:rPr>
            </w:pPr>
            <w:r w:rsidRPr="00E05BE2">
              <w:rPr>
                <w:rFonts w:ascii="Arial" w:hAnsi="Arial" w:cs="Arial"/>
                <w:sz w:val="18"/>
                <w:szCs w:val="18"/>
              </w:rPr>
              <w:t>Postopek s pogajanji brez predhodne objave</w:t>
            </w:r>
          </w:p>
        </w:tc>
        <w:tc>
          <w:tcPr>
            <w:tcW w:w="268" w:type="pct"/>
            <w:shd w:val="clear" w:color="auto" w:fill="auto"/>
            <w:vAlign w:val="center"/>
            <w:hideMark/>
          </w:tcPr>
          <w:p w14:paraId="2AE65102" w14:textId="77777777" w:rsidR="00E05BE2" w:rsidRPr="00E05BE2" w:rsidRDefault="00E05BE2" w:rsidP="00E05BE2">
            <w:pPr>
              <w:spacing w:after="0" w:line="240" w:lineRule="auto"/>
              <w:jc w:val="right"/>
              <w:rPr>
                <w:rFonts w:ascii="Arial" w:hAnsi="Arial" w:cs="Arial"/>
                <w:sz w:val="18"/>
                <w:szCs w:val="18"/>
              </w:rPr>
            </w:pPr>
            <w:r w:rsidRPr="00E05BE2">
              <w:rPr>
                <w:rFonts w:ascii="Arial" w:hAnsi="Arial" w:cs="Arial"/>
                <w:sz w:val="18"/>
                <w:szCs w:val="18"/>
              </w:rPr>
              <w:t>1</w:t>
            </w:r>
          </w:p>
        </w:tc>
        <w:tc>
          <w:tcPr>
            <w:tcW w:w="1103" w:type="pct"/>
            <w:shd w:val="clear" w:color="auto" w:fill="auto"/>
            <w:vAlign w:val="center"/>
            <w:hideMark/>
          </w:tcPr>
          <w:p w14:paraId="60BE736B" w14:textId="77777777" w:rsidR="00E05BE2" w:rsidRPr="00E05BE2" w:rsidRDefault="00E05BE2" w:rsidP="00E05BE2">
            <w:pPr>
              <w:spacing w:after="0" w:line="240" w:lineRule="auto"/>
              <w:jc w:val="right"/>
              <w:rPr>
                <w:rFonts w:ascii="Arial" w:hAnsi="Arial" w:cs="Arial"/>
                <w:sz w:val="18"/>
                <w:szCs w:val="18"/>
              </w:rPr>
            </w:pPr>
            <w:r w:rsidRPr="00E05BE2">
              <w:rPr>
                <w:rFonts w:ascii="Arial" w:hAnsi="Arial" w:cs="Arial"/>
                <w:sz w:val="18"/>
                <w:szCs w:val="18"/>
              </w:rPr>
              <w:t>6.814.085</w:t>
            </w:r>
          </w:p>
        </w:tc>
      </w:tr>
    </w:tbl>
    <w:p w14:paraId="1B08E6DC" w14:textId="77777777" w:rsidR="005A6E9F" w:rsidRPr="00BF7302" w:rsidRDefault="005A6E9F" w:rsidP="005A6E9F">
      <w:pPr>
        <w:tabs>
          <w:tab w:val="left" w:pos="567"/>
          <w:tab w:val="left" w:pos="993"/>
        </w:tabs>
        <w:spacing w:after="0" w:line="240" w:lineRule="auto"/>
        <w:jc w:val="both"/>
        <w:rPr>
          <w:rFonts w:ascii="Arial" w:hAnsi="Arial" w:cs="Arial"/>
          <w:bCs/>
          <w:color w:val="000000" w:themeColor="text1"/>
          <w:sz w:val="20"/>
          <w:szCs w:val="20"/>
          <w:highlight w:val="yellow"/>
        </w:rPr>
      </w:pPr>
    </w:p>
    <w:p w14:paraId="39A2EEF2" w14:textId="54674ED4" w:rsidR="005A6E9F" w:rsidRPr="00E05BE2" w:rsidRDefault="005A6E9F" w:rsidP="005A6E9F">
      <w:pPr>
        <w:spacing w:after="240" w:line="240" w:lineRule="auto"/>
        <w:jc w:val="center"/>
        <w:rPr>
          <w:rFonts w:ascii="Arial" w:hAnsi="Arial" w:cs="Arial"/>
          <w:color w:val="000000" w:themeColor="text1"/>
          <w:sz w:val="18"/>
        </w:rPr>
      </w:pPr>
      <w:r w:rsidRPr="00E05BE2">
        <w:rPr>
          <w:rFonts w:ascii="Arial" w:hAnsi="Arial" w:cs="Arial"/>
          <w:color w:val="000000" w:themeColor="text1"/>
          <w:sz w:val="18"/>
        </w:rPr>
        <w:t>Vir: Statistični podatki o javnih naročilih, oddanih v letu 202</w:t>
      </w:r>
      <w:r w:rsidR="00E05BE2" w:rsidRPr="00E05BE2">
        <w:rPr>
          <w:rFonts w:ascii="Arial" w:hAnsi="Arial" w:cs="Arial"/>
          <w:color w:val="000000" w:themeColor="text1"/>
          <w:sz w:val="18"/>
        </w:rPr>
        <w:t>2</w:t>
      </w:r>
      <w:r w:rsidR="00D51FFB" w:rsidRPr="00E05BE2">
        <w:rPr>
          <w:rFonts w:ascii="Arial" w:hAnsi="Arial" w:cs="Arial"/>
          <w:color w:val="000000" w:themeColor="text1"/>
          <w:sz w:val="18"/>
        </w:rPr>
        <w:t>.</w:t>
      </w:r>
    </w:p>
    <w:p w14:paraId="27C78CF2" w14:textId="7DF3AD28" w:rsidR="00854405" w:rsidRPr="004F130C" w:rsidRDefault="00EE5CA0" w:rsidP="000A67FE">
      <w:pPr>
        <w:tabs>
          <w:tab w:val="left" w:pos="567"/>
          <w:tab w:val="left" w:pos="993"/>
        </w:tabs>
        <w:spacing w:line="360" w:lineRule="auto"/>
        <w:jc w:val="both"/>
        <w:rPr>
          <w:rFonts w:ascii="Arial" w:hAnsi="Arial" w:cs="Arial"/>
          <w:bCs/>
          <w:color w:val="000000" w:themeColor="text1"/>
          <w:sz w:val="20"/>
          <w:szCs w:val="20"/>
        </w:rPr>
      </w:pPr>
      <w:r w:rsidRPr="004B15B2">
        <w:rPr>
          <w:rFonts w:ascii="Arial" w:hAnsi="Arial" w:cs="Arial"/>
          <w:bCs/>
          <w:color w:val="000000" w:themeColor="text1"/>
          <w:sz w:val="20"/>
          <w:szCs w:val="20"/>
        </w:rPr>
        <w:t xml:space="preserve">Iz utemeljitev </w:t>
      </w:r>
      <w:r w:rsidR="00F375E5" w:rsidRPr="004B15B2">
        <w:rPr>
          <w:rFonts w:ascii="Arial" w:hAnsi="Arial" w:cs="Arial"/>
          <w:bCs/>
          <w:color w:val="000000" w:themeColor="text1"/>
          <w:sz w:val="20"/>
          <w:szCs w:val="20"/>
        </w:rPr>
        <w:t>izhaja</w:t>
      </w:r>
      <w:r w:rsidRPr="004B15B2">
        <w:rPr>
          <w:rFonts w:ascii="Arial" w:hAnsi="Arial" w:cs="Arial"/>
          <w:bCs/>
          <w:color w:val="000000" w:themeColor="text1"/>
          <w:sz w:val="20"/>
          <w:szCs w:val="20"/>
        </w:rPr>
        <w:t xml:space="preserve">, da </w:t>
      </w:r>
      <w:r w:rsidR="00DE1FE4" w:rsidRPr="004B15B2">
        <w:rPr>
          <w:rFonts w:ascii="Arial" w:hAnsi="Arial" w:cs="Arial"/>
          <w:bCs/>
          <w:color w:val="000000" w:themeColor="text1"/>
          <w:sz w:val="20"/>
          <w:szCs w:val="20"/>
        </w:rPr>
        <w:t xml:space="preserve">sta </w:t>
      </w:r>
      <w:r w:rsidR="00467021">
        <w:rPr>
          <w:rFonts w:ascii="Arial" w:hAnsi="Arial" w:cs="Arial"/>
          <w:bCs/>
          <w:color w:val="000000" w:themeColor="text1"/>
          <w:sz w:val="20"/>
          <w:szCs w:val="20"/>
        </w:rPr>
        <w:t>dobri</w:t>
      </w:r>
      <w:r w:rsidR="00DE1FE4" w:rsidRPr="004B15B2">
        <w:rPr>
          <w:rFonts w:ascii="Arial" w:hAnsi="Arial" w:cs="Arial"/>
          <w:bCs/>
          <w:color w:val="000000" w:themeColor="text1"/>
          <w:sz w:val="20"/>
          <w:szCs w:val="20"/>
        </w:rPr>
        <w:t xml:space="preserve"> dve tretjini</w:t>
      </w:r>
      <w:r w:rsidR="000A67FE" w:rsidRPr="004B15B2">
        <w:rPr>
          <w:rFonts w:ascii="Arial" w:hAnsi="Arial" w:cs="Arial"/>
          <w:bCs/>
          <w:color w:val="000000" w:themeColor="text1"/>
          <w:sz w:val="20"/>
          <w:szCs w:val="20"/>
        </w:rPr>
        <w:t xml:space="preserve"> (</w:t>
      </w:r>
      <w:r w:rsidR="00467021">
        <w:rPr>
          <w:rFonts w:ascii="Arial" w:hAnsi="Arial" w:cs="Arial"/>
          <w:bCs/>
          <w:color w:val="000000" w:themeColor="text1"/>
          <w:sz w:val="20"/>
          <w:szCs w:val="20"/>
        </w:rPr>
        <w:t>68,03</w:t>
      </w:r>
      <w:r w:rsidR="00D51FFB" w:rsidRPr="004B15B2">
        <w:rPr>
          <w:rFonts w:ascii="Arial" w:hAnsi="Arial" w:cs="Arial"/>
          <w:bCs/>
          <w:color w:val="000000" w:themeColor="text1"/>
          <w:sz w:val="20"/>
          <w:szCs w:val="20"/>
        </w:rPr>
        <w:t> </w:t>
      </w:r>
      <w:r w:rsidR="00AC0027">
        <w:rPr>
          <w:rFonts w:ascii="Arial" w:hAnsi="Arial" w:cs="Arial"/>
          <w:bCs/>
          <w:color w:val="000000" w:themeColor="text1"/>
          <w:sz w:val="20"/>
          <w:szCs w:val="20"/>
        </w:rPr>
        <w:t>odstotka</w:t>
      </w:r>
      <w:r w:rsidR="004D5A1F" w:rsidRPr="004B15B2">
        <w:rPr>
          <w:rFonts w:ascii="Arial" w:hAnsi="Arial" w:cs="Arial"/>
          <w:bCs/>
          <w:color w:val="000000" w:themeColor="text1"/>
          <w:sz w:val="20"/>
          <w:szCs w:val="20"/>
        </w:rPr>
        <w:t>)</w:t>
      </w:r>
      <w:r w:rsidR="000A67FE" w:rsidRPr="004B15B2">
        <w:rPr>
          <w:rFonts w:ascii="Arial" w:hAnsi="Arial" w:cs="Arial"/>
          <w:bCs/>
          <w:color w:val="000000" w:themeColor="text1"/>
          <w:sz w:val="20"/>
          <w:szCs w:val="20"/>
        </w:rPr>
        <w:t xml:space="preserve"> postopkov s pogajanji brez predhodne objave </w:t>
      </w:r>
      <w:r w:rsidR="00D51FFB" w:rsidRPr="004B15B2">
        <w:rPr>
          <w:rFonts w:ascii="Arial" w:hAnsi="Arial" w:cs="Arial"/>
          <w:bCs/>
          <w:color w:val="000000" w:themeColor="text1"/>
          <w:sz w:val="20"/>
          <w:szCs w:val="20"/>
        </w:rPr>
        <w:t xml:space="preserve">izvedeni </w:t>
      </w:r>
      <w:r w:rsidR="004D5A1F" w:rsidRPr="004B15B2">
        <w:rPr>
          <w:rFonts w:ascii="Arial" w:hAnsi="Arial" w:cs="Arial"/>
          <w:bCs/>
          <w:color w:val="000000" w:themeColor="text1"/>
          <w:sz w:val="20"/>
          <w:szCs w:val="20"/>
        </w:rPr>
        <w:t xml:space="preserve">zaradi tehničnih ali umetniških razlogov ali zaščite izključnih </w:t>
      </w:r>
      <w:r w:rsidR="004D5A1F" w:rsidRPr="004F130C">
        <w:rPr>
          <w:rFonts w:ascii="Arial" w:hAnsi="Arial" w:cs="Arial"/>
          <w:bCs/>
          <w:color w:val="000000" w:themeColor="text1"/>
          <w:sz w:val="20"/>
          <w:szCs w:val="20"/>
        </w:rPr>
        <w:t>pravic. Vred</w:t>
      </w:r>
      <w:r w:rsidR="003E4A6B" w:rsidRPr="004F130C">
        <w:rPr>
          <w:rFonts w:ascii="Arial" w:hAnsi="Arial" w:cs="Arial"/>
          <w:bCs/>
          <w:color w:val="000000" w:themeColor="text1"/>
          <w:sz w:val="20"/>
          <w:szCs w:val="20"/>
        </w:rPr>
        <w:t>nost naročil v teh postopkih je</w:t>
      </w:r>
      <w:r w:rsidR="00475C0E" w:rsidRPr="004F130C">
        <w:rPr>
          <w:rFonts w:ascii="Arial" w:hAnsi="Arial" w:cs="Arial"/>
          <w:bCs/>
          <w:color w:val="000000" w:themeColor="text1"/>
          <w:sz w:val="20"/>
          <w:szCs w:val="20"/>
        </w:rPr>
        <w:t xml:space="preserve"> </w:t>
      </w:r>
      <w:r w:rsidR="00A67EE4" w:rsidRPr="004F130C">
        <w:rPr>
          <w:rFonts w:ascii="Arial" w:hAnsi="Arial" w:cs="Arial"/>
          <w:bCs/>
          <w:color w:val="000000" w:themeColor="text1"/>
          <w:sz w:val="20"/>
          <w:szCs w:val="20"/>
        </w:rPr>
        <w:t>6</w:t>
      </w:r>
      <w:r w:rsidR="004F130C" w:rsidRPr="004F130C">
        <w:rPr>
          <w:rFonts w:ascii="Arial" w:hAnsi="Arial" w:cs="Arial"/>
          <w:bCs/>
          <w:color w:val="000000" w:themeColor="text1"/>
          <w:sz w:val="20"/>
          <w:szCs w:val="20"/>
        </w:rPr>
        <w:t>2,44</w:t>
      </w:r>
      <w:r w:rsidR="00D51FFB" w:rsidRPr="004F130C">
        <w:rPr>
          <w:rFonts w:ascii="Arial" w:hAnsi="Arial" w:cs="Arial"/>
          <w:bCs/>
          <w:color w:val="000000" w:themeColor="text1"/>
          <w:sz w:val="20"/>
          <w:szCs w:val="20"/>
        </w:rPr>
        <w:t> </w:t>
      </w:r>
      <w:r w:rsidR="00AC0027">
        <w:rPr>
          <w:rFonts w:ascii="Arial" w:hAnsi="Arial" w:cs="Arial"/>
          <w:bCs/>
          <w:color w:val="000000" w:themeColor="text1"/>
          <w:sz w:val="20"/>
          <w:szCs w:val="20"/>
        </w:rPr>
        <w:t>odstotka</w:t>
      </w:r>
      <w:r w:rsidR="00DE1FE4" w:rsidRPr="004F130C">
        <w:rPr>
          <w:rFonts w:ascii="Arial" w:hAnsi="Arial" w:cs="Arial"/>
          <w:bCs/>
          <w:color w:val="000000" w:themeColor="text1"/>
          <w:sz w:val="20"/>
          <w:szCs w:val="20"/>
        </w:rPr>
        <w:t xml:space="preserve"> </w:t>
      </w:r>
      <w:r w:rsidR="004D5A1F" w:rsidRPr="004F130C">
        <w:rPr>
          <w:rFonts w:ascii="Arial" w:hAnsi="Arial" w:cs="Arial"/>
          <w:bCs/>
          <w:color w:val="000000" w:themeColor="text1"/>
          <w:sz w:val="20"/>
          <w:szCs w:val="20"/>
        </w:rPr>
        <w:t>vrednosti vseh naročil, ki so bila oddana s postopkom s pogajanji brez predhodne objave.</w:t>
      </w:r>
    </w:p>
    <w:p w14:paraId="4118D73D" w14:textId="2BA3D172" w:rsidR="00412D3A" w:rsidRPr="004F130C" w:rsidRDefault="00195533" w:rsidP="00412D3A">
      <w:pPr>
        <w:tabs>
          <w:tab w:val="left" w:pos="567"/>
          <w:tab w:val="left" w:pos="993"/>
        </w:tabs>
        <w:spacing w:line="360" w:lineRule="auto"/>
        <w:jc w:val="both"/>
        <w:rPr>
          <w:rFonts w:ascii="Arial" w:hAnsi="Arial" w:cs="Arial"/>
          <w:bCs/>
          <w:color w:val="000000" w:themeColor="text1"/>
          <w:sz w:val="20"/>
          <w:szCs w:val="20"/>
        </w:rPr>
      </w:pPr>
      <w:r w:rsidRPr="004F130C">
        <w:rPr>
          <w:rFonts w:ascii="Arial" w:hAnsi="Arial" w:cs="Arial"/>
          <w:bCs/>
          <w:color w:val="000000" w:themeColor="text1"/>
          <w:sz w:val="20"/>
          <w:szCs w:val="20"/>
        </w:rPr>
        <w:lastRenderedPageBreak/>
        <w:t xml:space="preserve">Zaradi </w:t>
      </w:r>
      <w:r w:rsidR="00412D3A" w:rsidRPr="004F130C">
        <w:rPr>
          <w:rFonts w:ascii="Arial" w:hAnsi="Arial" w:cs="Arial"/>
          <w:bCs/>
          <w:color w:val="000000" w:themeColor="text1"/>
          <w:sz w:val="20"/>
          <w:szCs w:val="20"/>
        </w:rPr>
        <w:t xml:space="preserve">nujnosti in nepredvidljivosti </w:t>
      </w:r>
      <w:r w:rsidRPr="004F130C">
        <w:rPr>
          <w:rFonts w:ascii="Arial" w:hAnsi="Arial" w:cs="Arial"/>
          <w:bCs/>
          <w:color w:val="000000" w:themeColor="text1"/>
          <w:sz w:val="20"/>
          <w:szCs w:val="20"/>
        </w:rPr>
        <w:t>so naročniki postopek s pogajanji br</w:t>
      </w:r>
      <w:r w:rsidR="00F663F0" w:rsidRPr="004F130C">
        <w:rPr>
          <w:rFonts w:ascii="Arial" w:hAnsi="Arial" w:cs="Arial"/>
          <w:bCs/>
          <w:color w:val="000000" w:themeColor="text1"/>
          <w:sz w:val="20"/>
          <w:szCs w:val="20"/>
        </w:rPr>
        <w:t xml:space="preserve">ez predhodne objave uporabili </w:t>
      </w:r>
      <w:r w:rsidR="004F130C" w:rsidRPr="004F130C">
        <w:rPr>
          <w:rFonts w:ascii="Arial" w:hAnsi="Arial" w:cs="Arial"/>
          <w:bCs/>
          <w:color w:val="000000" w:themeColor="text1"/>
          <w:sz w:val="20"/>
          <w:szCs w:val="20"/>
        </w:rPr>
        <w:t>32</w:t>
      </w:r>
      <w:r w:rsidRPr="004F130C">
        <w:rPr>
          <w:rFonts w:ascii="Arial" w:hAnsi="Arial" w:cs="Arial"/>
          <w:bCs/>
          <w:color w:val="000000" w:themeColor="text1"/>
          <w:sz w:val="20"/>
          <w:szCs w:val="20"/>
        </w:rPr>
        <w:t xml:space="preserve">-krat, vrednost oddanih naročil pa </w:t>
      </w:r>
      <w:r w:rsidR="003E4A6B" w:rsidRPr="004F130C">
        <w:rPr>
          <w:rFonts w:ascii="Arial" w:hAnsi="Arial" w:cs="Arial"/>
          <w:bCs/>
          <w:color w:val="000000" w:themeColor="text1"/>
          <w:sz w:val="20"/>
          <w:szCs w:val="20"/>
        </w:rPr>
        <w:t xml:space="preserve">znaša </w:t>
      </w:r>
      <w:r w:rsidR="004F130C" w:rsidRPr="004F130C">
        <w:rPr>
          <w:rFonts w:ascii="Arial" w:hAnsi="Arial" w:cs="Arial"/>
          <w:bCs/>
          <w:color w:val="000000" w:themeColor="text1"/>
          <w:sz w:val="20"/>
          <w:szCs w:val="20"/>
        </w:rPr>
        <w:t>12,27</w:t>
      </w:r>
      <w:r w:rsidR="00D51FFB" w:rsidRPr="004F130C">
        <w:rPr>
          <w:rFonts w:ascii="Arial" w:hAnsi="Arial" w:cs="Arial"/>
          <w:bCs/>
          <w:color w:val="000000" w:themeColor="text1"/>
          <w:sz w:val="20"/>
          <w:szCs w:val="20"/>
        </w:rPr>
        <w:t> </w:t>
      </w:r>
      <w:r w:rsidR="00AC0027">
        <w:rPr>
          <w:rFonts w:ascii="Arial" w:hAnsi="Arial" w:cs="Arial"/>
          <w:bCs/>
          <w:color w:val="000000" w:themeColor="text1"/>
          <w:sz w:val="20"/>
          <w:szCs w:val="20"/>
        </w:rPr>
        <w:t>odstotka</w:t>
      </w:r>
      <w:r w:rsidRPr="004F130C">
        <w:rPr>
          <w:rFonts w:ascii="Arial" w:hAnsi="Arial" w:cs="Arial"/>
          <w:bCs/>
          <w:color w:val="000000" w:themeColor="text1"/>
          <w:sz w:val="20"/>
          <w:szCs w:val="20"/>
        </w:rPr>
        <w:t xml:space="preserve"> vrednosti vseh oddanih naročil po postopku s pogajanji brez predhodne objave.</w:t>
      </w:r>
      <w:r w:rsidR="00412D3A" w:rsidRPr="004F130C">
        <w:rPr>
          <w:rFonts w:ascii="Arial" w:hAnsi="Arial" w:cs="Arial"/>
          <w:bCs/>
          <w:color w:val="000000" w:themeColor="text1"/>
          <w:sz w:val="20"/>
          <w:szCs w:val="20"/>
        </w:rPr>
        <w:t xml:space="preserve"> </w:t>
      </w:r>
    </w:p>
    <w:p w14:paraId="230BCB42" w14:textId="5C001AF8" w:rsidR="00412D3A" w:rsidRPr="004F130C" w:rsidRDefault="00412D3A" w:rsidP="00412D3A">
      <w:pPr>
        <w:tabs>
          <w:tab w:val="left" w:pos="567"/>
          <w:tab w:val="left" w:pos="993"/>
        </w:tabs>
        <w:spacing w:line="360" w:lineRule="auto"/>
        <w:jc w:val="both"/>
        <w:rPr>
          <w:rFonts w:ascii="Arial" w:hAnsi="Arial" w:cs="Arial"/>
          <w:bCs/>
          <w:color w:val="000000" w:themeColor="text1"/>
          <w:sz w:val="20"/>
          <w:szCs w:val="20"/>
        </w:rPr>
      </w:pPr>
      <w:r w:rsidRPr="004F130C">
        <w:rPr>
          <w:rFonts w:ascii="Arial" w:hAnsi="Arial" w:cs="Arial"/>
          <w:bCs/>
          <w:color w:val="000000" w:themeColor="text1"/>
          <w:sz w:val="20"/>
          <w:szCs w:val="20"/>
        </w:rPr>
        <w:t xml:space="preserve">Zaradi neuspešno izvedenega predhodnega postopka so naročniki uporabili </w:t>
      </w:r>
      <w:r w:rsidR="00611AA7" w:rsidRPr="004F130C">
        <w:rPr>
          <w:rFonts w:ascii="Arial" w:hAnsi="Arial" w:cs="Arial"/>
          <w:bCs/>
          <w:color w:val="000000" w:themeColor="text1"/>
          <w:sz w:val="20"/>
          <w:szCs w:val="20"/>
        </w:rPr>
        <w:t>postopke</w:t>
      </w:r>
      <w:r w:rsidRPr="004F130C">
        <w:rPr>
          <w:rFonts w:ascii="Arial" w:hAnsi="Arial" w:cs="Arial"/>
          <w:bCs/>
          <w:color w:val="000000" w:themeColor="text1"/>
          <w:sz w:val="20"/>
          <w:szCs w:val="20"/>
        </w:rPr>
        <w:t xml:space="preserve"> brez predhodne objave</w:t>
      </w:r>
      <w:r w:rsidR="004F130C">
        <w:rPr>
          <w:rFonts w:ascii="Arial" w:hAnsi="Arial" w:cs="Arial"/>
          <w:bCs/>
          <w:color w:val="000000" w:themeColor="text1"/>
          <w:sz w:val="20"/>
          <w:szCs w:val="20"/>
        </w:rPr>
        <w:t xml:space="preserve"> in konkurenčne postopke s pogajanji</w:t>
      </w:r>
      <w:r w:rsidR="00611AA7" w:rsidRPr="004F130C">
        <w:rPr>
          <w:rFonts w:ascii="Arial" w:hAnsi="Arial" w:cs="Arial"/>
          <w:bCs/>
          <w:color w:val="000000" w:themeColor="text1"/>
          <w:sz w:val="20"/>
          <w:szCs w:val="20"/>
        </w:rPr>
        <w:t xml:space="preserve"> 1</w:t>
      </w:r>
      <w:r w:rsidR="004F130C" w:rsidRPr="004F130C">
        <w:rPr>
          <w:rFonts w:ascii="Arial" w:hAnsi="Arial" w:cs="Arial"/>
          <w:bCs/>
          <w:color w:val="000000" w:themeColor="text1"/>
          <w:sz w:val="20"/>
          <w:szCs w:val="20"/>
        </w:rPr>
        <w:t>60</w:t>
      </w:r>
      <w:r w:rsidRPr="004F130C">
        <w:rPr>
          <w:rFonts w:ascii="Arial" w:hAnsi="Arial" w:cs="Arial"/>
          <w:bCs/>
          <w:color w:val="000000" w:themeColor="text1"/>
          <w:sz w:val="20"/>
          <w:szCs w:val="20"/>
        </w:rPr>
        <w:t xml:space="preserve">-krat, kar je po </w:t>
      </w:r>
      <w:r w:rsidR="00611AA7" w:rsidRPr="004F130C">
        <w:rPr>
          <w:rFonts w:ascii="Arial" w:hAnsi="Arial" w:cs="Arial"/>
          <w:bCs/>
          <w:color w:val="000000" w:themeColor="text1"/>
          <w:sz w:val="20"/>
          <w:szCs w:val="20"/>
        </w:rPr>
        <w:t xml:space="preserve">številu </w:t>
      </w:r>
      <w:r w:rsidR="004F130C" w:rsidRPr="004F130C">
        <w:rPr>
          <w:rFonts w:ascii="Arial" w:hAnsi="Arial" w:cs="Arial"/>
          <w:bCs/>
          <w:color w:val="000000" w:themeColor="text1"/>
          <w:sz w:val="20"/>
          <w:szCs w:val="20"/>
        </w:rPr>
        <w:t>22,04</w:t>
      </w:r>
      <w:r w:rsidR="00D51FFB" w:rsidRPr="004F130C">
        <w:rPr>
          <w:rFonts w:ascii="Arial" w:hAnsi="Arial" w:cs="Arial"/>
          <w:bCs/>
          <w:color w:val="000000" w:themeColor="text1"/>
          <w:sz w:val="20"/>
          <w:szCs w:val="20"/>
        </w:rPr>
        <w:t> </w:t>
      </w:r>
      <w:r w:rsidR="00AC0027">
        <w:rPr>
          <w:rFonts w:ascii="Arial" w:hAnsi="Arial" w:cs="Arial"/>
          <w:bCs/>
          <w:color w:val="000000" w:themeColor="text1"/>
          <w:sz w:val="20"/>
          <w:szCs w:val="20"/>
        </w:rPr>
        <w:t>odstotka</w:t>
      </w:r>
      <w:r w:rsidRPr="004F130C">
        <w:rPr>
          <w:rFonts w:ascii="Arial" w:hAnsi="Arial" w:cs="Arial"/>
          <w:bCs/>
          <w:color w:val="000000" w:themeColor="text1"/>
          <w:sz w:val="20"/>
          <w:szCs w:val="20"/>
        </w:rPr>
        <w:t xml:space="preserve">, po vrednosti pa </w:t>
      </w:r>
      <w:r w:rsidR="004F130C" w:rsidRPr="004F130C">
        <w:rPr>
          <w:rFonts w:ascii="Arial" w:hAnsi="Arial" w:cs="Arial"/>
          <w:bCs/>
          <w:color w:val="000000" w:themeColor="text1"/>
          <w:sz w:val="20"/>
          <w:szCs w:val="20"/>
        </w:rPr>
        <w:t>23,03</w:t>
      </w:r>
      <w:r w:rsidR="00D51FFB" w:rsidRPr="004F130C">
        <w:rPr>
          <w:rFonts w:ascii="Arial" w:hAnsi="Arial" w:cs="Arial"/>
          <w:bCs/>
          <w:color w:val="000000" w:themeColor="text1"/>
          <w:sz w:val="20"/>
          <w:szCs w:val="20"/>
        </w:rPr>
        <w:t> </w:t>
      </w:r>
      <w:r w:rsidR="00AC0027">
        <w:rPr>
          <w:rFonts w:ascii="Arial" w:hAnsi="Arial" w:cs="Arial"/>
          <w:bCs/>
          <w:color w:val="000000" w:themeColor="text1"/>
          <w:sz w:val="20"/>
          <w:szCs w:val="20"/>
        </w:rPr>
        <w:t>odstotka</w:t>
      </w:r>
      <w:r w:rsidRPr="004F130C">
        <w:rPr>
          <w:rFonts w:ascii="Arial" w:hAnsi="Arial" w:cs="Arial"/>
          <w:bCs/>
          <w:color w:val="000000" w:themeColor="text1"/>
          <w:sz w:val="20"/>
          <w:szCs w:val="20"/>
        </w:rPr>
        <w:t xml:space="preserve"> vseh takšnih postopkov.</w:t>
      </w:r>
    </w:p>
    <w:p w14:paraId="6B4470A0" w14:textId="16816092" w:rsidR="00195533" w:rsidRPr="00BF7302" w:rsidRDefault="00195533" w:rsidP="00D94701">
      <w:pPr>
        <w:spacing w:after="0" w:line="240" w:lineRule="auto"/>
        <w:rPr>
          <w:rFonts w:ascii="Arial" w:eastAsiaTheme="majorEastAsia" w:hAnsi="Arial" w:cs="Arial"/>
          <w:color w:val="1F3763" w:themeColor="accent1" w:themeShade="7F"/>
          <w:highlight w:val="yellow"/>
        </w:rPr>
      </w:pPr>
    </w:p>
    <w:p w14:paraId="430E4FB3" w14:textId="5577B945" w:rsidR="00F62465" w:rsidRPr="00E126C2" w:rsidRDefault="00F62465" w:rsidP="00F62465">
      <w:pPr>
        <w:pStyle w:val="Naslov3"/>
        <w:rPr>
          <w:rFonts w:ascii="Arial" w:hAnsi="Arial" w:cs="Arial"/>
          <w:sz w:val="22"/>
          <w:szCs w:val="22"/>
        </w:rPr>
      </w:pPr>
      <w:bookmarkStart w:id="22" w:name="_Toc141864057"/>
      <w:bookmarkStart w:id="23" w:name="_Hlk77840641"/>
      <w:r w:rsidRPr="00E126C2">
        <w:rPr>
          <w:rFonts w:ascii="Arial" w:hAnsi="Arial" w:cs="Arial"/>
          <w:sz w:val="22"/>
          <w:szCs w:val="22"/>
        </w:rPr>
        <w:t>2</w:t>
      </w:r>
      <w:r w:rsidR="00705BAB" w:rsidRPr="00E126C2">
        <w:rPr>
          <w:rFonts w:ascii="Arial" w:hAnsi="Arial" w:cs="Arial"/>
          <w:sz w:val="22"/>
          <w:szCs w:val="22"/>
        </w:rPr>
        <w:t>.3.4 Oddaja</w:t>
      </w:r>
      <w:r w:rsidR="001D28B4" w:rsidRPr="00E126C2">
        <w:rPr>
          <w:rFonts w:ascii="Arial" w:hAnsi="Arial" w:cs="Arial"/>
          <w:sz w:val="22"/>
          <w:szCs w:val="22"/>
        </w:rPr>
        <w:t xml:space="preserve"> </w:t>
      </w:r>
      <w:r w:rsidR="004234C7" w:rsidRPr="00E126C2">
        <w:rPr>
          <w:rFonts w:ascii="Arial" w:hAnsi="Arial" w:cs="Arial"/>
          <w:sz w:val="22"/>
          <w:szCs w:val="22"/>
        </w:rPr>
        <w:t>socialnih in drugih posebnih storitev</w:t>
      </w:r>
      <w:bookmarkEnd w:id="22"/>
    </w:p>
    <w:p w14:paraId="17144FE9" w14:textId="77777777" w:rsidR="00854405" w:rsidRPr="00E126C2" w:rsidRDefault="00854405" w:rsidP="00854405">
      <w:pPr>
        <w:pStyle w:val="ZADEVA"/>
        <w:jc w:val="both"/>
        <w:rPr>
          <w:rFonts w:cs="Arial"/>
          <w:b w:val="0"/>
          <w:szCs w:val="20"/>
          <w:lang w:val="sl-SI"/>
        </w:rPr>
      </w:pPr>
    </w:p>
    <w:p w14:paraId="03AEF1FE" w14:textId="33BDB2C6" w:rsidR="00B54C17" w:rsidRPr="00E126C2" w:rsidRDefault="00B54C17" w:rsidP="00B54C17">
      <w:pPr>
        <w:tabs>
          <w:tab w:val="left" w:pos="567"/>
          <w:tab w:val="left" w:pos="993"/>
        </w:tabs>
        <w:spacing w:line="360" w:lineRule="auto"/>
        <w:jc w:val="both"/>
        <w:rPr>
          <w:rFonts w:ascii="Arial" w:hAnsi="Arial" w:cs="Arial"/>
          <w:bCs/>
          <w:sz w:val="20"/>
          <w:szCs w:val="20"/>
        </w:rPr>
      </w:pPr>
      <w:r w:rsidRPr="00E126C2">
        <w:rPr>
          <w:rFonts w:ascii="Arial" w:hAnsi="Arial" w:cs="Arial"/>
          <w:bCs/>
          <w:sz w:val="20"/>
          <w:szCs w:val="20"/>
        </w:rPr>
        <w:t xml:space="preserve">Socialne in druge posebne storitve so določene v </w:t>
      </w:r>
      <w:r w:rsidR="00F375E5" w:rsidRPr="00E126C2">
        <w:rPr>
          <w:rFonts w:ascii="Arial" w:hAnsi="Arial" w:cs="Arial"/>
          <w:bCs/>
          <w:sz w:val="20"/>
          <w:szCs w:val="20"/>
        </w:rPr>
        <w:t>p</w:t>
      </w:r>
      <w:r w:rsidRPr="00E126C2">
        <w:rPr>
          <w:rFonts w:ascii="Arial" w:hAnsi="Arial" w:cs="Arial"/>
          <w:bCs/>
          <w:sz w:val="20"/>
          <w:szCs w:val="20"/>
        </w:rPr>
        <w:t xml:space="preserve">rilogi XIV Direktive 2014/24/EU in </w:t>
      </w:r>
      <w:r w:rsidR="006C3494" w:rsidRPr="00E126C2">
        <w:rPr>
          <w:rFonts w:ascii="Arial" w:hAnsi="Arial" w:cs="Arial"/>
          <w:bCs/>
          <w:sz w:val="20"/>
          <w:szCs w:val="20"/>
        </w:rPr>
        <w:t>p</w:t>
      </w:r>
      <w:r w:rsidRPr="00E126C2">
        <w:rPr>
          <w:rFonts w:ascii="Arial" w:hAnsi="Arial" w:cs="Arial"/>
          <w:bCs/>
          <w:sz w:val="20"/>
          <w:szCs w:val="20"/>
        </w:rPr>
        <w:t xml:space="preserve">rilogi XVII Direktive 2014/25/EU. Evropska in </w:t>
      </w:r>
      <w:r w:rsidR="006C3494" w:rsidRPr="00E126C2">
        <w:rPr>
          <w:rFonts w:ascii="Arial" w:hAnsi="Arial" w:cs="Arial"/>
          <w:bCs/>
          <w:sz w:val="20"/>
          <w:szCs w:val="20"/>
        </w:rPr>
        <w:t>domača</w:t>
      </w:r>
      <w:r w:rsidRPr="00E126C2">
        <w:rPr>
          <w:rFonts w:ascii="Arial" w:hAnsi="Arial" w:cs="Arial"/>
          <w:bCs/>
          <w:sz w:val="20"/>
          <w:szCs w:val="20"/>
        </w:rPr>
        <w:t xml:space="preserve"> zakonodaja zato te storitve štejeta za nepr</w:t>
      </w:r>
      <w:r w:rsidR="006C3494" w:rsidRPr="00E126C2">
        <w:rPr>
          <w:rFonts w:ascii="Arial" w:hAnsi="Arial" w:cs="Arial"/>
          <w:bCs/>
          <w:sz w:val="20"/>
          <w:szCs w:val="20"/>
        </w:rPr>
        <w:t>ednostne</w:t>
      </w:r>
      <w:r w:rsidRPr="00E126C2">
        <w:rPr>
          <w:rFonts w:ascii="Arial" w:hAnsi="Arial" w:cs="Arial"/>
          <w:bCs/>
          <w:sz w:val="20"/>
          <w:szCs w:val="20"/>
        </w:rPr>
        <w:t xml:space="preserve"> in zanje določata </w:t>
      </w:r>
      <w:r w:rsidR="006C3494" w:rsidRPr="00E126C2">
        <w:rPr>
          <w:rFonts w:ascii="Arial" w:hAnsi="Arial" w:cs="Arial"/>
          <w:bCs/>
          <w:sz w:val="20"/>
          <w:szCs w:val="20"/>
        </w:rPr>
        <w:t>prožnejšo</w:t>
      </w:r>
      <w:r w:rsidRPr="00E126C2">
        <w:rPr>
          <w:rFonts w:ascii="Arial" w:hAnsi="Arial" w:cs="Arial"/>
          <w:bCs/>
          <w:sz w:val="20"/>
          <w:szCs w:val="20"/>
        </w:rPr>
        <w:t xml:space="preserve"> ureditev.</w:t>
      </w:r>
    </w:p>
    <w:p w14:paraId="62EB4F5E" w14:textId="2017BCF9" w:rsidR="00B54C17" w:rsidRPr="00E126C2" w:rsidRDefault="00B54C17" w:rsidP="00B54C17">
      <w:pPr>
        <w:tabs>
          <w:tab w:val="left" w:pos="567"/>
          <w:tab w:val="left" w:pos="993"/>
        </w:tabs>
        <w:spacing w:line="360" w:lineRule="auto"/>
        <w:jc w:val="both"/>
        <w:rPr>
          <w:rFonts w:ascii="Arial" w:hAnsi="Arial" w:cs="Arial"/>
          <w:bCs/>
          <w:sz w:val="20"/>
          <w:szCs w:val="20"/>
        </w:rPr>
      </w:pPr>
      <w:r w:rsidRPr="00E126C2">
        <w:rPr>
          <w:rFonts w:ascii="Arial" w:hAnsi="Arial" w:cs="Arial"/>
          <w:bCs/>
          <w:sz w:val="20"/>
          <w:szCs w:val="20"/>
        </w:rPr>
        <w:t>ZJN-3 mejne vrednosti za uporabo zakona določa v 21. členu. Uporaba ZJN-3 je za oddajo</w:t>
      </w:r>
      <w:r w:rsidR="006C3494" w:rsidRPr="00E126C2">
        <w:rPr>
          <w:rFonts w:ascii="Arial" w:hAnsi="Arial" w:cs="Arial"/>
          <w:bCs/>
          <w:sz w:val="20"/>
          <w:szCs w:val="20"/>
        </w:rPr>
        <w:t xml:space="preserve"> ponudb za</w:t>
      </w:r>
      <w:r w:rsidRPr="00E126C2">
        <w:rPr>
          <w:rFonts w:ascii="Arial" w:hAnsi="Arial" w:cs="Arial"/>
          <w:bCs/>
          <w:sz w:val="20"/>
          <w:szCs w:val="20"/>
        </w:rPr>
        <w:t xml:space="preserve"> socialn</w:t>
      </w:r>
      <w:r w:rsidR="006C3494" w:rsidRPr="00E126C2">
        <w:rPr>
          <w:rFonts w:ascii="Arial" w:hAnsi="Arial" w:cs="Arial"/>
          <w:bCs/>
          <w:sz w:val="20"/>
          <w:szCs w:val="20"/>
        </w:rPr>
        <w:t>e</w:t>
      </w:r>
      <w:r w:rsidRPr="00E126C2">
        <w:rPr>
          <w:rFonts w:ascii="Arial" w:hAnsi="Arial" w:cs="Arial"/>
          <w:bCs/>
          <w:sz w:val="20"/>
          <w:szCs w:val="20"/>
        </w:rPr>
        <w:t xml:space="preserve"> in drug</w:t>
      </w:r>
      <w:r w:rsidR="006C3494" w:rsidRPr="00E126C2">
        <w:rPr>
          <w:rFonts w:ascii="Arial" w:hAnsi="Arial" w:cs="Arial"/>
          <w:bCs/>
          <w:sz w:val="20"/>
          <w:szCs w:val="20"/>
        </w:rPr>
        <w:t>e</w:t>
      </w:r>
      <w:r w:rsidRPr="00E126C2">
        <w:rPr>
          <w:rFonts w:ascii="Arial" w:hAnsi="Arial" w:cs="Arial"/>
          <w:bCs/>
          <w:sz w:val="20"/>
          <w:szCs w:val="20"/>
        </w:rPr>
        <w:t xml:space="preserve"> posebn</w:t>
      </w:r>
      <w:r w:rsidR="006C3494" w:rsidRPr="00E126C2">
        <w:rPr>
          <w:rFonts w:ascii="Arial" w:hAnsi="Arial" w:cs="Arial"/>
          <w:bCs/>
          <w:sz w:val="20"/>
          <w:szCs w:val="20"/>
        </w:rPr>
        <w:t>e</w:t>
      </w:r>
      <w:r w:rsidRPr="00E126C2">
        <w:rPr>
          <w:rFonts w:ascii="Arial" w:hAnsi="Arial" w:cs="Arial"/>
          <w:bCs/>
          <w:sz w:val="20"/>
          <w:szCs w:val="20"/>
        </w:rPr>
        <w:t xml:space="preserve"> storit</w:t>
      </w:r>
      <w:r w:rsidR="006C3494" w:rsidRPr="00E126C2">
        <w:rPr>
          <w:rFonts w:ascii="Arial" w:hAnsi="Arial" w:cs="Arial"/>
          <w:bCs/>
          <w:sz w:val="20"/>
          <w:szCs w:val="20"/>
        </w:rPr>
        <w:t>ve</w:t>
      </w:r>
      <w:r w:rsidRPr="00E126C2">
        <w:rPr>
          <w:rFonts w:ascii="Arial" w:hAnsi="Arial" w:cs="Arial"/>
          <w:bCs/>
          <w:sz w:val="20"/>
          <w:szCs w:val="20"/>
        </w:rPr>
        <w:t xml:space="preserve"> obvezna samo, kadar ocenjena vrednost teh storitev presega določene mejne vrednosti, tj. 750.000</w:t>
      </w:r>
      <w:r w:rsidR="00D51FFB" w:rsidRPr="00E126C2">
        <w:rPr>
          <w:rFonts w:ascii="Arial" w:hAnsi="Arial" w:cs="Arial"/>
          <w:bCs/>
          <w:sz w:val="20"/>
          <w:szCs w:val="20"/>
        </w:rPr>
        <w:t> </w:t>
      </w:r>
      <w:r w:rsidR="008036C4" w:rsidRPr="00E126C2">
        <w:rPr>
          <w:rFonts w:ascii="Arial" w:hAnsi="Arial" w:cs="Arial"/>
          <w:bCs/>
          <w:sz w:val="20"/>
          <w:szCs w:val="20"/>
        </w:rPr>
        <w:t>evrov</w:t>
      </w:r>
      <w:r w:rsidRPr="00E126C2">
        <w:rPr>
          <w:rFonts w:ascii="Arial" w:hAnsi="Arial" w:cs="Arial"/>
          <w:bCs/>
          <w:sz w:val="20"/>
          <w:szCs w:val="20"/>
        </w:rPr>
        <w:t xml:space="preserve"> na splošnem in 1.000.000</w:t>
      </w:r>
      <w:r w:rsidR="00D51FFB" w:rsidRPr="00E126C2">
        <w:rPr>
          <w:rFonts w:ascii="Arial" w:hAnsi="Arial" w:cs="Arial"/>
          <w:bCs/>
          <w:sz w:val="20"/>
          <w:szCs w:val="20"/>
        </w:rPr>
        <w:t> </w:t>
      </w:r>
      <w:r w:rsidR="008036C4" w:rsidRPr="00E126C2">
        <w:rPr>
          <w:rFonts w:ascii="Arial" w:hAnsi="Arial" w:cs="Arial"/>
          <w:bCs/>
          <w:sz w:val="20"/>
          <w:szCs w:val="20"/>
        </w:rPr>
        <w:t>evrov</w:t>
      </w:r>
      <w:r w:rsidRPr="00E126C2">
        <w:rPr>
          <w:rFonts w:ascii="Arial" w:hAnsi="Arial" w:cs="Arial"/>
          <w:bCs/>
          <w:sz w:val="20"/>
          <w:szCs w:val="20"/>
        </w:rPr>
        <w:t xml:space="preserve"> na infrastrukturnem področju. Za naročila socialnih in drugih posebnih storitev, katerih vrednost je nižja od zgoraj</w:t>
      </w:r>
      <w:r w:rsidR="00613CF6">
        <w:rPr>
          <w:rFonts w:ascii="Arial" w:hAnsi="Arial" w:cs="Arial"/>
          <w:bCs/>
          <w:sz w:val="20"/>
          <w:szCs w:val="20"/>
        </w:rPr>
        <w:t xml:space="preserve"> navedenih</w:t>
      </w:r>
      <w:r w:rsidRPr="00E126C2">
        <w:rPr>
          <w:rFonts w:ascii="Arial" w:hAnsi="Arial" w:cs="Arial"/>
          <w:bCs/>
          <w:sz w:val="20"/>
          <w:szCs w:val="20"/>
        </w:rPr>
        <w:t xml:space="preserve"> vrednosti, morajo naročniki upoštevati določbe glede </w:t>
      </w:r>
      <w:r w:rsidR="00BC1956" w:rsidRPr="00E126C2">
        <w:rPr>
          <w:rFonts w:ascii="Arial" w:hAnsi="Arial" w:cs="Arial"/>
          <w:bCs/>
          <w:sz w:val="20"/>
          <w:szCs w:val="20"/>
        </w:rPr>
        <w:t>tako imenovanih</w:t>
      </w:r>
      <w:r w:rsidRPr="00E126C2">
        <w:rPr>
          <w:rFonts w:ascii="Arial" w:hAnsi="Arial" w:cs="Arial"/>
          <w:bCs/>
          <w:sz w:val="20"/>
          <w:szCs w:val="20"/>
        </w:rPr>
        <w:t xml:space="preserve"> evidenčnih javnih naročil. </w:t>
      </w:r>
    </w:p>
    <w:bookmarkEnd w:id="23"/>
    <w:p w14:paraId="73A737EE" w14:textId="2E4B2843" w:rsidR="001A1391" w:rsidRDefault="001A1391" w:rsidP="00B54C17">
      <w:pPr>
        <w:tabs>
          <w:tab w:val="left" w:pos="567"/>
          <w:tab w:val="left" w:pos="993"/>
        </w:tabs>
        <w:spacing w:line="360" w:lineRule="auto"/>
        <w:jc w:val="both"/>
        <w:rPr>
          <w:rFonts w:ascii="Arial" w:hAnsi="Arial" w:cs="Arial"/>
          <w:bCs/>
          <w:sz w:val="20"/>
          <w:szCs w:val="20"/>
        </w:rPr>
      </w:pPr>
      <w:r>
        <w:rPr>
          <w:rFonts w:ascii="Arial" w:hAnsi="Arial" w:cs="Arial"/>
          <w:bCs/>
          <w:sz w:val="20"/>
          <w:szCs w:val="20"/>
        </w:rPr>
        <w:t>Pri oddaji socialnih in drugih posebnih storitev je treb</w:t>
      </w:r>
      <w:r w:rsidR="00613CF6">
        <w:rPr>
          <w:rFonts w:ascii="Arial" w:hAnsi="Arial" w:cs="Arial"/>
          <w:bCs/>
          <w:sz w:val="20"/>
          <w:szCs w:val="20"/>
        </w:rPr>
        <w:t>a</w:t>
      </w:r>
      <w:r>
        <w:rPr>
          <w:rFonts w:ascii="Arial" w:hAnsi="Arial" w:cs="Arial"/>
          <w:bCs/>
          <w:sz w:val="20"/>
          <w:szCs w:val="20"/>
        </w:rPr>
        <w:t xml:space="preserve"> v primerjavi s pre</w:t>
      </w:r>
      <w:r w:rsidR="00613CF6">
        <w:rPr>
          <w:rFonts w:ascii="Arial" w:hAnsi="Arial" w:cs="Arial"/>
          <w:bCs/>
          <w:sz w:val="20"/>
          <w:szCs w:val="20"/>
        </w:rPr>
        <w:t>jšnjimi</w:t>
      </w:r>
      <w:r>
        <w:rPr>
          <w:rFonts w:ascii="Arial" w:hAnsi="Arial" w:cs="Arial"/>
          <w:bCs/>
          <w:sz w:val="20"/>
          <w:szCs w:val="20"/>
        </w:rPr>
        <w:t xml:space="preserve"> leti upoštevati, da so bile v skladu z novelo Zakona o javnem naročanju – ZJN-3B, ki je</w:t>
      </w:r>
      <w:r w:rsidR="00613CF6">
        <w:rPr>
          <w:rFonts w:ascii="Arial" w:hAnsi="Arial" w:cs="Arial"/>
          <w:bCs/>
          <w:sz w:val="20"/>
          <w:szCs w:val="20"/>
        </w:rPr>
        <w:t xml:space="preserve"> začel</w:t>
      </w:r>
      <w:r w:rsidR="007F5D9D">
        <w:rPr>
          <w:rFonts w:ascii="Arial" w:hAnsi="Arial" w:cs="Arial"/>
          <w:bCs/>
          <w:sz w:val="20"/>
          <w:szCs w:val="20"/>
        </w:rPr>
        <w:t>a</w:t>
      </w:r>
      <w:r>
        <w:rPr>
          <w:rFonts w:ascii="Arial" w:hAnsi="Arial" w:cs="Arial"/>
          <w:bCs/>
          <w:sz w:val="20"/>
          <w:szCs w:val="20"/>
        </w:rPr>
        <w:t xml:space="preserve"> velja</w:t>
      </w:r>
      <w:r w:rsidR="00613CF6">
        <w:rPr>
          <w:rFonts w:ascii="Arial" w:hAnsi="Arial" w:cs="Arial"/>
          <w:bCs/>
          <w:sz w:val="20"/>
          <w:szCs w:val="20"/>
        </w:rPr>
        <w:t>ti</w:t>
      </w:r>
      <w:r>
        <w:rPr>
          <w:rFonts w:ascii="Arial" w:hAnsi="Arial" w:cs="Arial"/>
          <w:bCs/>
          <w:sz w:val="20"/>
          <w:szCs w:val="20"/>
        </w:rPr>
        <w:t xml:space="preserve"> 1.</w:t>
      </w:r>
      <w:r w:rsidR="00613CF6">
        <w:rPr>
          <w:rFonts w:ascii="Arial" w:hAnsi="Arial" w:cs="Arial"/>
          <w:bCs/>
          <w:sz w:val="20"/>
          <w:szCs w:val="20"/>
        </w:rPr>
        <w:t xml:space="preserve"> januarja </w:t>
      </w:r>
      <w:r>
        <w:rPr>
          <w:rFonts w:ascii="Arial" w:hAnsi="Arial" w:cs="Arial"/>
          <w:bCs/>
          <w:sz w:val="20"/>
          <w:szCs w:val="20"/>
        </w:rPr>
        <w:t>2022</w:t>
      </w:r>
      <w:r w:rsidR="00613CF6">
        <w:rPr>
          <w:rFonts w:ascii="Arial" w:hAnsi="Arial" w:cs="Arial"/>
          <w:bCs/>
          <w:sz w:val="20"/>
          <w:szCs w:val="20"/>
        </w:rPr>
        <w:t>,</w:t>
      </w:r>
      <w:r>
        <w:rPr>
          <w:rFonts w:ascii="Arial" w:hAnsi="Arial" w:cs="Arial"/>
          <w:bCs/>
          <w:sz w:val="20"/>
          <w:szCs w:val="20"/>
        </w:rPr>
        <w:t xml:space="preserve"> nekatere kategorije storitev izločene iz socialnih in drugih posebnih storitev (storitve, ki so zajete s kod</w:t>
      </w:r>
      <w:r w:rsidR="00613CF6">
        <w:rPr>
          <w:rFonts w:ascii="Arial" w:hAnsi="Arial" w:cs="Arial"/>
          <w:bCs/>
          <w:sz w:val="20"/>
          <w:szCs w:val="20"/>
        </w:rPr>
        <w:t>ami</w:t>
      </w:r>
      <w:r>
        <w:rPr>
          <w:rFonts w:ascii="Arial" w:hAnsi="Arial" w:cs="Arial"/>
          <w:bCs/>
          <w:sz w:val="20"/>
          <w:szCs w:val="20"/>
        </w:rPr>
        <w:t xml:space="preserve"> CPV </w:t>
      </w:r>
      <w:r w:rsidRPr="00FA0B96">
        <w:rPr>
          <w:rFonts w:ascii="Arial" w:hAnsi="Arial" w:cs="Arial"/>
          <w:bCs/>
          <w:sz w:val="20"/>
          <w:szCs w:val="20"/>
        </w:rPr>
        <w:t>79100000-5, 79110000-8, 79111000-5, 79112000-2, 79112100-3 in 79140000-7</w:t>
      </w:r>
      <w:r>
        <w:rPr>
          <w:rFonts w:ascii="Arial" w:hAnsi="Arial" w:cs="Arial"/>
          <w:bCs/>
          <w:sz w:val="20"/>
          <w:szCs w:val="20"/>
        </w:rPr>
        <w:t>).</w:t>
      </w:r>
    </w:p>
    <w:p w14:paraId="412A49DF" w14:textId="0A54D620" w:rsidR="00B54C17" w:rsidRPr="004813E0" w:rsidRDefault="00BC1956" w:rsidP="00B54C17">
      <w:pPr>
        <w:tabs>
          <w:tab w:val="left" w:pos="567"/>
          <w:tab w:val="left" w:pos="993"/>
        </w:tabs>
        <w:spacing w:line="360" w:lineRule="auto"/>
        <w:jc w:val="both"/>
        <w:rPr>
          <w:rFonts w:ascii="Arial" w:hAnsi="Arial" w:cs="Arial"/>
          <w:bCs/>
          <w:sz w:val="20"/>
          <w:szCs w:val="20"/>
        </w:rPr>
      </w:pPr>
      <w:r w:rsidRPr="004813E0">
        <w:rPr>
          <w:rFonts w:ascii="Arial" w:hAnsi="Arial" w:cs="Arial"/>
          <w:bCs/>
          <w:sz w:val="20"/>
          <w:szCs w:val="20"/>
        </w:rPr>
        <w:t>Leta</w:t>
      </w:r>
      <w:r w:rsidR="00B54C17" w:rsidRPr="004813E0">
        <w:rPr>
          <w:rFonts w:ascii="Arial" w:hAnsi="Arial" w:cs="Arial"/>
          <w:bCs/>
          <w:sz w:val="20"/>
          <w:szCs w:val="20"/>
        </w:rPr>
        <w:t xml:space="preserve"> 20</w:t>
      </w:r>
      <w:r w:rsidR="00785AF1" w:rsidRPr="004813E0">
        <w:rPr>
          <w:rFonts w:ascii="Arial" w:hAnsi="Arial" w:cs="Arial"/>
          <w:bCs/>
          <w:sz w:val="20"/>
          <w:szCs w:val="20"/>
        </w:rPr>
        <w:t>2</w:t>
      </w:r>
      <w:r w:rsidR="004813E0" w:rsidRPr="004813E0">
        <w:rPr>
          <w:rFonts w:ascii="Arial" w:hAnsi="Arial" w:cs="Arial"/>
          <w:bCs/>
          <w:sz w:val="20"/>
          <w:szCs w:val="20"/>
        </w:rPr>
        <w:t>2</w:t>
      </w:r>
      <w:r w:rsidR="00B54C17" w:rsidRPr="004813E0">
        <w:rPr>
          <w:rFonts w:ascii="Arial" w:hAnsi="Arial" w:cs="Arial"/>
          <w:bCs/>
          <w:sz w:val="20"/>
          <w:szCs w:val="20"/>
        </w:rPr>
        <w:t xml:space="preserve"> so naročnik</w:t>
      </w:r>
      <w:r w:rsidR="008B4EEB" w:rsidRPr="004813E0">
        <w:rPr>
          <w:rFonts w:ascii="Arial" w:hAnsi="Arial" w:cs="Arial"/>
          <w:bCs/>
          <w:sz w:val="20"/>
          <w:szCs w:val="20"/>
        </w:rPr>
        <w:t>i</w:t>
      </w:r>
      <w:r w:rsidR="00573981" w:rsidRPr="004813E0">
        <w:rPr>
          <w:rFonts w:ascii="Arial" w:hAnsi="Arial" w:cs="Arial"/>
          <w:bCs/>
          <w:sz w:val="20"/>
          <w:szCs w:val="20"/>
        </w:rPr>
        <w:t xml:space="preserve"> v </w:t>
      </w:r>
      <w:r w:rsidR="004813E0" w:rsidRPr="004813E0">
        <w:rPr>
          <w:rFonts w:ascii="Arial" w:hAnsi="Arial" w:cs="Arial"/>
          <w:bCs/>
          <w:sz w:val="20"/>
          <w:szCs w:val="20"/>
        </w:rPr>
        <w:t>sedmih</w:t>
      </w:r>
      <w:r w:rsidR="00573981" w:rsidRPr="004813E0">
        <w:rPr>
          <w:rFonts w:ascii="Arial" w:hAnsi="Arial" w:cs="Arial"/>
          <w:bCs/>
          <w:sz w:val="20"/>
          <w:szCs w:val="20"/>
        </w:rPr>
        <w:t xml:space="preserve"> postopkih oddali </w:t>
      </w:r>
      <w:r w:rsidR="004813E0" w:rsidRPr="004813E0">
        <w:rPr>
          <w:rFonts w:ascii="Arial" w:hAnsi="Arial" w:cs="Arial"/>
          <w:bCs/>
          <w:sz w:val="20"/>
          <w:szCs w:val="20"/>
        </w:rPr>
        <w:t>25</w:t>
      </w:r>
      <w:r w:rsidR="009342B4" w:rsidRPr="004813E0">
        <w:rPr>
          <w:rFonts w:ascii="Arial" w:hAnsi="Arial" w:cs="Arial"/>
          <w:bCs/>
          <w:sz w:val="20"/>
          <w:szCs w:val="20"/>
        </w:rPr>
        <w:t xml:space="preserve"> naročil</w:t>
      </w:r>
      <w:r w:rsidR="00B54C17" w:rsidRPr="004813E0">
        <w:rPr>
          <w:rFonts w:ascii="Arial" w:hAnsi="Arial" w:cs="Arial"/>
          <w:bCs/>
          <w:sz w:val="20"/>
          <w:szCs w:val="20"/>
        </w:rPr>
        <w:t xml:space="preserve"> s področja socialnih in drugih posebnih storitev.</w:t>
      </w:r>
    </w:p>
    <w:p w14:paraId="2695E3D5" w14:textId="158212BC" w:rsidR="004B5894" w:rsidRPr="004813E0" w:rsidRDefault="004B5894" w:rsidP="008A61FD">
      <w:pPr>
        <w:spacing w:before="120" w:after="120" w:line="240" w:lineRule="auto"/>
        <w:jc w:val="both"/>
        <w:rPr>
          <w:rFonts w:ascii="Arial" w:hAnsi="Arial" w:cs="Arial"/>
          <w:bCs/>
          <w:sz w:val="20"/>
          <w:szCs w:val="20"/>
        </w:rPr>
      </w:pPr>
      <w:r w:rsidRPr="004813E0">
        <w:rPr>
          <w:rFonts w:ascii="Arial" w:hAnsi="Arial" w:cs="Arial"/>
          <w:sz w:val="20"/>
        </w:rPr>
        <w:t xml:space="preserve">Preglednica </w:t>
      </w:r>
      <w:r w:rsidR="00512F52" w:rsidRPr="004813E0">
        <w:rPr>
          <w:rFonts w:ascii="Arial" w:hAnsi="Arial" w:cs="Arial"/>
          <w:sz w:val="20"/>
        </w:rPr>
        <w:t>13</w:t>
      </w:r>
      <w:r w:rsidR="00E430F6" w:rsidRPr="004813E0">
        <w:rPr>
          <w:rFonts w:ascii="Arial" w:hAnsi="Arial" w:cs="Arial"/>
          <w:sz w:val="20"/>
        </w:rPr>
        <w:t>:</w:t>
      </w:r>
      <w:r w:rsidRPr="004813E0">
        <w:rPr>
          <w:rFonts w:ascii="Arial" w:hAnsi="Arial" w:cs="Arial"/>
          <w:sz w:val="20"/>
        </w:rPr>
        <w:t xml:space="preserve"> Število, vrednost in deleži naročil </w:t>
      </w:r>
      <w:r w:rsidR="00016C2E" w:rsidRPr="004813E0">
        <w:rPr>
          <w:rFonts w:ascii="Arial" w:hAnsi="Arial" w:cs="Arial"/>
          <w:bCs/>
          <w:sz w:val="20"/>
          <w:szCs w:val="20"/>
        </w:rPr>
        <w:t>s področja socialnih in drugih posebnih storitev</w:t>
      </w:r>
    </w:p>
    <w:tbl>
      <w:tblPr>
        <w:tblW w:w="9360" w:type="dxa"/>
        <w:tblCellMar>
          <w:left w:w="70" w:type="dxa"/>
          <w:right w:w="70" w:type="dxa"/>
        </w:tblCellMar>
        <w:tblLook w:val="04A0" w:firstRow="1" w:lastRow="0" w:firstColumn="1" w:lastColumn="0" w:noHBand="0" w:noVBand="1"/>
      </w:tblPr>
      <w:tblGrid>
        <w:gridCol w:w="3256"/>
        <w:gridCol w:w="992"/>
        <w:gridCol w:w="850"/>
        <w:gridCol w:w="1144"/>
        <w:gridCol w:w="1060"/>
        <w:gridCol w:w="1066"/>
        <w:gridCol w:w="992"/>
      </w:tblGrid>
      <w:tr w:rsidR="00573981" w:rsidRPr="004813E0" w14:paraId="3A40E3BA" w14:textId="77777777" w:rsidTr="004813DB">
        <w:trPr>
          <w:trHeight w:val="255"/>
        </w:trPr>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F32C3E" w14:textId="77777777" w:rsidR="00573981" w:rsidRPr="004813E0" w:rsidRDefault="00573981" w:rsidP="00573981">
            <w:pPr>
              <w:spacing w:after="0" w:line="240" w:lineRule="auto"/>
              <w:jc w:val="center"/>
              <w:rPr>
                <w:rFonts w:ascii="Arial" w:eastAsia="Times New Roman" w:hAnsi="Arial" w:cs="Arial"/>
                <w:color w:val="000000"/>
                <w:sz w:val="18"/>
                <w:szCs w:val="18"/>
                <w:lang w:eastAsia="sl-SI"/>
              </w:rPr>
            </w:pPr>
            <w:r w:rsidRPr="004813E0">
              <w:rPr>
                <w:rFonts w:ascii="Arial" w:eastAsia="Times New Roman" w:hAnsi="Arial" w:cs="Arial"/>
                <w:color w:val="000000"/>
                <w:sz w:val="18"/>
                <w:szCs w:val="18"/>
                <w:lang w:eastAsia="sl-SI"/>
              </w:rPr>
              <w:t>Vrsta storitve</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3F4F2F4" w14:textId="77777777" w:rsidR="00573981" w:rsidRPr="004813E0" w:rsidRDefault="00573981" w:rsidP="00573981">
            <w:pPr>
              <w:spacing w:after="0" w:line="240" w:lineRule="auto"/>
              <w:jc w:val="center"/>
              <w:rPr>
                <w:rFonts w:ascii="Arial" w:eastAsia="Times New Roman" w:hAnsi="Arial" w:cs="Arial"/>
                <w:color w:val="000000"/>
                <w:sz w:val="18"/>
                <w:szCs w:val="18"/>
                <w:lang w:eastAsia="sl-SI"/>
              </w:rPr>
            </w:pPr>
            <w:r w:rsidRPr="004813E0">
              <w:rPr>
                <w:rFonts w:ascii="Arial" w:eastAsia="Times New Roman" w:hAnsi="Arial" w:cs="Arial"/>
                <w:color w:val="000000"/>
                <w:sz w:val="18"/>
                <w:szCs w:val="18"/>
                <w:lang w:eastAsia="sl-SI"/>
              </w:rPr>
              <w:t>Št. postopkov</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7196FD5" w14:textId="77777777" w:rsidR="00573981" w:rsidRPr="004813E0" w:rsidRDefault="00573981" w:rsidP="00573981">
            <w:pPr>
              <w:spacing w:after="0" w:line="240" w:lineRule="auto"/>
              <w:jc w:val="center"/>
              <w:rPr>
                <w:rFonts w:ascii="Arial" w:eastAsia="Times New Roman" w:hAnsi="Arial" w:cs="Arial"/>
                <w:color w:val="000000"/>
                <w:sz w:val="18"/>
                <w:szCs w:val="18"/>
                <w:lang w:eastAsia="sl-SI"/>
              </w:rPr>
            </w:pPr>
            <w:r w:rsidRPr="004813E0">
              <w:rPr>
                <w:rFonts w:ascii="Arial" w:eastAsia="Times New Roman" w:hAnsi="Arial" w:cs="Arial"/>
                <w:color w:val="000000"/>
                <w:sz w:val="18"/>
                <w:szCs w:val="18"/>
                <w:lang w:eastAsia="sl-SI"/>
              </w:rPr>
              <w:t>Št. naročil</w:t>
            </w:r>
          </w:p>
        </w:tc>
        <w:tc>
          <w:tcPr>
            <w:tcW w:w="114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5E3F527" w14:textId="77777777" w:rsidR="00573981" w:rsidRPr="004813E0" w:rsidRDefault="00573981" w:rsidP="00573981">
            <w:pPr>
              <w:spacing w:after="0" w:line="240" w:lineRule="auto"/>
              <w:jc w:val="center"/>
              <w:rPr>
                <w:rFonts w:ascii="Arial" w:eastAsia="Times New Roman" w:hAnsi="Arial" w:cs="Arial"/>
                <w:color w:val="000000"/>
                <w:sz w:val="18"/>
                <w:szCs w:val="18"/>
                <w:lang w:eastAsia="sl-SI"/>
              </w:rPr>
            </w:pPr>
            <w:r w:rsidRPr="004813E0">
              <w:rPr>
                <w:rFonts w:ascii="Arial" w:eastAsia="Times New Roman" w:hAnsi="Arial" w:cs="Arial"/>
                <w:color w:val="000000"/>
                <w:sz w:val="18"/>
                <w:szCs w:val="18"/>
                <w:lang w:eastAsia="sl-SI"/>
              </w:rPr>
              <w:t>Pogodbena vrednost</w:t>
            </w:r>
          </w:p>
        </w:tc>
        <w:tc>
          <w:tcPr>
            <w:tcW w:w="10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540AA8A" w14:textId="79773685" w:rsidR="00573981" w:rsidRPr="004813E0" w:rsidRDefault="00573981" w:rsidP="00573981">
            <w:pPr>
              <w:spacing w:after="0" w:line="240" w:lineRule="auto"/>
              <w:jc w:val="center"/>
              <w:rPr>
                <w:rFonts w:ascii="Arial" w:eastAsia="Times New Roman" w:hAnsi="Arial" w:cs="Arial"/>
                <w:color w:val="000000"/>
                <w:sz w:val="18"/>
                <w:szCs w:val="18"/>
                <w:lang w:eastAsia="sl-SI"/>
              </w:rPr>
            </w:pPr>
            <w:r w:rsidRPr="004813E0">
              <w:rPr>
                <w:rFonts w:ascii="Arial" w:eastAsia="Times New Roman" w:hAnsi="Arial" w:cs="Arial"/>
                <w:color w:val="000000"/>
                <w:sz w:val="18"/>
                <w:szCs w:val="18"/>
                <w:lang w:eastAsia="sl-SI"/>
              </w:rPr>
              <w:t xml:space="preserve">Delež v št. </w:t>
            </w:r>
            <w:r w:rsidR="003441A0" w:rsidRPr="004813E0">
              <w:rPr>
                <w:rFonts w:ascii="Arial" w:eastAsia="Times New Roman" w:hAnsi="Arial" w:cs="Arial"/>
                <w:color w:val="000000"/>
                <w:sz w:val="18"/>
                <w:szCs w:val="18"/>
                <w:lang w:eastAsia="sl-SI"/>
              </w:rPr>
              <w:t>postopkov</w:t>
            </w:r>
          </w:p>
        </w:tc>
        <w:tc>
          <w:tcPr>
            <w:tcW w:w="106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CDB5404" w14:textId="77777777" w:rsidR="00573981" w:rsidRPr="004813E0" w:rsidRDefault="00573981" w:rsidP="00573981">
            <w:pPr>
              <w:spacing w:after="0" w:line="240" w:lineRule="auto"/>
              <w:jc w:val="center"/>
              <w:rPr>
                <w:rFonts w:ascii="Arial" w:eastAsia="Times New Roman" w:hAnsi="Arial" w:cs="Arial"/>
                <w:color w:val="000000"/>
                <w:sz w:val="18"/>
                <w:szCs w:val="18"/>
                <w:lang w:eastAsia="sl-SI"/>
              </w:rPr>
            </w:pPr>
            <w:r w:rsidRPr="004813E0">
              <w:rPr>
                <w:rFonts w:ascii="Arial" w:eastAsia="Times New Roman" w:hAnsi="Arial" w:cs="Arial"/>
                <w:color w:val="000000"/>
                <w:sz w:val="18"/>
                <w:szCs w:val="18"/>
                <w:lang w:eastAsia="sl-SI"/>
              </w:rPr>
              <w:t>Delež v št. naročil</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532D5CC" w14:textId="77777777" w:rsidR="00573981" w:rsidRPr="004813E0" w:rsidRDefault="00573981" w:rsidP="00573981">
            <w:pPr>
              <w:spacing w:after="0" w:line="240" w:lineRule="auto"/>
              <w:jc w:val="center"/>
              <w:rPr>
                <w:rFonts w:ascii="Arial" w:eastAsia="Times New Roman" w:hAnsi="Arial" w:cs="Arial"/>
                <w:color w:val="000000"/>
                <w:sz w:val="18"/>
                <w:szCs w:val="18"/>
                <w:lang w:eastAsia="sl-SI"/>
              </w:rPr>
            </w:pPr>
            <w:r w:rsidRPr="004813E0">
              <w:rPr>
                <w:rFonts w:ascii="Arial" w:eastAsia="Times New Roman" w:hAnsi="Arial" w:cs="Arial"/>
                <w:color w:val="000000"/>
                <w:sz w:val="18"/>
                <w:szCs w:val="18"/>
                <w:lang w:eastAsia="sl-SI"/>
              </w:rPr>
              <w:t>Delež v vrednosti</w:t>
            </w:r>
          </w:p>
        </w:tc>
      </w:tr>
      <w:tr w:rsidR="004813E0" w:rsidRPr="004813E0" w14:paraId="249440B7" w14:textId="77777777" w:rsidTr="004813E0">
        <w:trPr>
          <w:trHeight w:val="2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66D30B5" w14:textId="46CB28BB" w:rsidR="004813E0" w:rsidRPr="004813E0" w:rsidRDefault="004813E0" w:rsidP="004813E0">
            <w:pPr>
              <w:spacing w:after="0" w:line="240" w:lineRule="auto"/>
              <w:rPr>
                <w:rFonts w:ascii="Arial" w:hAnsi="Arial" w:cs="Arial"/>
                <w:sz w:val="18"/>
                <w:szCs w:val="18"/>
              </w:rPr>
            </w:pPr>
            <w:r w:rsidRPr="004813E0">
              <w:rPr>
                <w:rFonts w:ascii="Arial" w:hAnsi="Arial" w:cs="Arial"/>
                <w:sz w:val="18"/>
                <w:szCs w:val="18"/>
              </w:rPr>
              <w:t>Poštne storitve</w:t>
            </w:r>
          </w:p>
        </w:tc>
        <w:tc>
          <w:tcPr>
            <w:tcW w:w="992" w:type="dxa"/>
            <w:tcBorders>
              <w:top w:val="nil"/>
              <w:left w:val="nil"/>
              <w:bottom w:val="single" w:sz="4" w:space="0" w:color="auto"/>
              <w:right w:val="single" w:sz="4" w:space="0" w:color="auto"/>
            </w:tcBorders>
            <w:shd w:val="clear" w:color="auto" w:fill="auto"/>
            <w:noWrap/>
            <w:vAlign w:val="center"/>
            <w:hideMark/>
          </w:tcPr>
          <w:p w14:paraId="05F27D4E" w14:textId="76FC4802" w:rsidR="004813E0" w:rsidRPr="004813E0" w:rsidRDefault="004813E0" w:rsidP="004813E0">
            <w:pPr>
              <w:spacing w:after="0" w:line="240" w:lineRule="auto"/>
              <w:jc w:val="right"/>
              <w:rPr>
                <w:rFonts w:ascii="Arial" w:hAnsi="Arial" w:cs="Arial"/>
                <w:sz w:val="18"/>
                <w:szCs w:val="18"/>
              </w:rPr>
            </w:pPr>
            <w:r w:rsidRPr="004813E0">
              <w:rPr>
                <w:rFonts w:ascii="Arial" w:hAnsi="Arial" w:cs="Arial"/>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14:paraId="42BDBBE1" w14:textId="4D16A561" w:rsidR="004813E0" w:rsidRPr="004813E0" w:rsidRDefault="004813E0" w:rsidP="004813E0">
            <w:pPr>
              <w:spacing w:after="0" w:line="240" w:lineRule="auto"/>
              <w:jc w:val="right"/>
              <w:rPr>
                <w:rFonts w:ascii="Arial" w:hAnsi="Arial" w:cs="Arial"/>
                <w:sz w:val="18"/>
                <w:szCs w:val="18"/>
              </w:rPr>
            </w:pPr>
            <w:r w:rsidRPr="004813E0">
              <w:rPr>
                <w:rFonts w:ascii="Arial" w:hAnsi="Arial" w:cs="Arial"/>
                <w:sz w:val="18"/>
                <w:szCs w:val="18"/>
              </w:rPr>
              <w:t>2</w:t>
            </w:r>
          </w:p>
        </w:tc>
        <w:tc>
          <w:tcPr>
            <w:tcW w:w="1144" w:type="dxa"/>
            <w:tcBorders>
              <w:top w:val="nil"/>
              <w:left w:val="nil"/>
              <w:bottom w:val="single" w:sz="4" w:space="0" w:color="auto"/>
              <w:right w:val="single" w:sz="4" w:space="0" w:color="auto"/>
            </w:tcBorders>
            <w:shd w:val="clear" w:color="auto" w:fill="auto"/>
            <w:vAlign w:val="center"/>
            <w:hideMark/>
          </w:tcPr>
          <w:p w14:paraId="03DD7677" w14:textId="60FC5607" w:rsidR="004813E0" w:rsidRPr="004813E0" w:rsidRDefault="004813E0" w:rsidP="004813E0">
            <w:pPr>
              <w:spacing w:after="0" w:line="240" w:lineRule="auto"/>
              <w:jc w:val="right"/>
              <w:rPr>
                <w:rFonts w:ascii="Arial" w:hAnsi="Arial" w:cs="Arial"/>
                <w:sz w:val="18"/>
                <w:szCs w:val="18"/>
              </w:rPr>
            </w:pPr>
            <w:r w:rsidRPr="004813E0">
              <w:rPr>
                <w:rFonts w:ascii="Arial" w:hAnsi="Arial" w:cs="Arial"/>
                <w:sz w:val="18"/>
                <w:szCs w:val="18"/>
              </w:rPr>
              <w:t>477.358</w:t>
            </w:r>
          </w:p>
        </w:tc>
        <w:tc>
          <w:tcPr>
            <w:tcW w:w="1060" w:type="dxa"/>
            <w:tcBorders>
              <w:top w:val="nil"/>
              <w:left w:val="nil"/>
              <w:bottom w:val="single" w:sz="4" w:space="0" w:color="auto"/>
              <w:right w:val="single" w:sz="4" w:space="0" w:color="auto"/>
            </w:tcBorders>
            <w:shd w:val="clear" w:color="auto" w:fill="auto"/>
            <w:noWrap/>
            <w:vAlign w:val="center"/>
            <w:hideMark/>
          </w:tcPr>
          <w:p w14:paraId="621670E5" w14:textId="10BE23E9" w:rsidR="004813E0" w:rsidRPr="004813E0" w:rsidRDefault="004813E0" w:rsidP="004813E0">
            <w:pPr>
              <w:spacing w:after="0" w:line="240" w:lineRule="auto"/>
              <w:jc w:val="right"/>
              <w:rPr>
                <w:rFonts w:ascii="Arial" w:hAnsi="Arial" w:cs="Arial"/>
                <w:sz w:val="18"/>
                <w:szCs w:val="18"/>
              </w:rPr>
            </w:pPr>
            <w:r w:rsidRPr="004813E0">
              <w:rPr>
                <w:rFonts w:ascii="Arial" w:hAnsi="Arial" w:cs="Arial"/>
                <w:sz w:val="18"/>
                <w:szCs w:val="18"/>
              </w:rPr>
              <w:t>14,29 %</w:t>
            </w:r>
          </w:p>
        </w:tc>
        <w:tc>
          <w:tcPr>
            <w:tcW w:w="1066" w:type="dxa"/>
            <w:tcBorders>
              <w:top w:val="nil"/>
              <w:left w:val="nil"/>
              <w:bottom w:val="single" w:sz="4" w:space="0" w:color="auto"/>
              <w:right w:val="single" w:sz="4" w:space="0" w:color="auto"/>
            </w:tcBorders>
            <w:shd w:val="clear" w:color="auto" w:fill="auto"/>
            <w:noWrap/>
            <w:vAlign w:val="center"/>
            <w:hideMark/>
          </w:tcPr>
          <w:p w14:paraId="11F5EDD7" w14:textId="77A76A66" w:rsidR="004813E0" w:rsidRPr="004813E0" w:rsidRDefault="004813E0" w:rsidP="004813E0">
            <w:pPr>
              <w:spacing w:after="0" w:line="240" w:lineRule="auto"/>
              <w:jc w:val="right"/>
              <w:rPr>
                <w:rFonts w:ascii="Arial" w:hAnsi="Arial" w:cs="Arial"/>
                <w:sz w:val="18"/>
                <w:szCs w:val="18"/>
              </w:rPr>
            </w:pPr>
            <w:r w:rsidRPr="004813E0">
              <w:rPr>
                <w:rFonts w:ascii="Arial" w:hAnsi="Arial" w:cs="Arial"/>
                <w:sz w:val="18"/>
                <w:szCs w:val="18"/>
              </w:rPr>
              <w:t>8,00 %</w:t>
            </w:r>
          </w:p>
        </w:tc>
        <w:tc>
          <w:tcPr>
            <w:tcW w:w="992" w:type="dxa"/>
            <w:tcBorders>
              <w:top w:val="nil"/>
              <w:left w:val="nil"/>
              <w:bottom w:val="single" w:sz="4" w:space="0" w:color="auto"/>
              <w:right w:val="single" w:sz="4" w:space="0" w:color="auto"/>
            </w:tcBorders>
            <w:shd w:val="clear" w:color="auto" w:fill="auto"/>
            <w:noWrap/>
            <w:vAlign w:val="center"/>
            <w:hideMark/>
          </w:tcPr>
          <w:p w14:paraId="22B2131F" w14:textId="48FB1583" w:rsidR="004813E0" w:rsidRPr="004813E0" w:rsidRDefault="004813E0" w:rsidP="004813E0">
            <w:pPr>
              <w:spacing w:after="0" w:line="240" w:lineRule="auto"/>
              <w:jc w:val="right"/>
              <w:rPr>
                <w:rFonts w:ascii="Arial" w:hAnsi="Arial" w:cs="Arial"/>
                <w:sz w:val="18"/>
                <w:szCs w:val="18"/>
              </w:rPr>
            </w:pPr>
            <w:r w:rsidRPr="004813E0">
              <w:rPr>
                <w:rFonts w:ascii="Arial" w:hAnsi="Arial" w:cs="Arial"/>
                <w:sz w:val="18"/>
                <w:szCs w:val="18"/>
              </w:rPr>
              <w:t>13,92 %</w:t>
            </w:r>
          </w:p>
        </w:tc>
      </w:tr>
      <w:tr w:rsidR="004813E0" w:rsidRPr="004813E0" w14:paraId="4D7AFDA9" w14:textId="77777777" w:rsidTr="004813E0">
        <w:trPr>
          <w:trHeight w:val="2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68365A6" w14:textId="0C59D4FE" w:rsidR="004813E0" w:rsidRPr="004813E0" w:rsidRDefault="004813E0" w:rsidP="004813E0">
            <w:pPr>
              <w:spacing w:after="0" w:line="240" w:lineRule="auto"/>
              <w:rPr>
                <w:rFonts w:ascii="Arial" w:hAnsi="Arial" w:cs="Arial"/>
                <w:sz w:val="18"/>
                <w:szCs w:val="18"/>
              </w:rPr>
            </w:pPr>
            <w:r w:rsidRPr="004813E0">
              <w:rPr>
                <w:rFonts w:ascii="Arial" w:hAnsi="Arial" w:cs="Arial"/>
                <w:sz w:val="18"/>
                <w:szCs w:val="18"/>
              </w:rPr>
              <w:t>Storitve hotelov in restavracij</w:t>
            </w:r>
          </w:p>
        </w:tc>
        <w:tc>
          <w:tcPr>
            <w:tcW w:w="992" w:type="dxa"/>
            <w:tcBorders>
              <w:top w:val="nil"/>
              <w:left w:val="nil"/>
              <w:bottom w:val="single" w:sz="4" w:space="0" w:color="auto"/>
              <w:right w:val="single" w:sz="4" w:space="0" w:color="auto"/>
            </w:tcBorders>
            <w:shd w:val="clear" w:color="auto" w:fill="auto"/>
            <w:noWrap/>
            <w:vAlign w:val="center"/>
            <w:hideMark/>
          </w:tcPr>
          <w:p w14:paraId="59DF81D9" w14:textId="34A0AD8B" w:rsidR="004813E0" w:rsidRPr="004813E0" w:rsidRDefault="004813E0" w:rsidP="004813E0">
            <w:pPr>
              <w:spacing w:after="0" w:line="240" w:lineRule="auto"/>
              <w:jc w:val="right"/>
              <w:rPr>
                <w:rFonts w:ascii="Arial" w:hAnsi="Arial" w:cs="Arial"/>
                <w:sz w:val="18"/>
                <w:szCs w:val="18"/>
              </w:rPr>
            </w:pPr>
            <w:r w:rsidRPr="004813E0">
              <w:rPr>
                <w:rFonts w:ascii="Arial" w:hAnsi="Arial" w:cs="Arial"/>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14:paraId="6E8534ED" w14:textId="7C5830E9" w:rsidR="004813E0" w:rsidRPr="004813E0" w:rsidRDefault="004813E0" w:rsidP="004813E0">
            <w:pPr>
              <w:spacing w:after="0" w:line="240" w:lineRule="auto"/>
              <w:jc w:val="right"/>
              <w:rPr>
                <w:rFonts w:ascii="Arial" w:hAnsi="Arial" w:cs="Arial"/>
                <w:sz w:val="18"/>
                <w:szCs w:val="18"/>
              </w:rPr>
            </w:pPr>
            <w:r w:rsidRPr="004813E0">
              <w:rPr>
                <w:rFonts w:ascii="Arial" w:hAnsi="Arial" w:cs="Arial"/>
                <w:sz w:val="18"/>
                <w:szCs w:val="18"/>
              </w:rPr>
              <w:t>1</w:t>
            </w:r>
          </w:p>
        </w:tc>
        <w:tc>
          <w:tcPr>
            <w:tcW w:w="1144" w:type="dxa"/>
            <w:tcBorders>
              <w:top w:val="nil"/>
              <w:left w:val="nil"/>
              <w:bottom w:val="single" w:sz="4" w:space="0" w:color="auto"/>
              <w:right w:val="single" w:sz="4" w:space="0" w:color="auto"/>
            </w:tcBorders>
            <w:shd w:val="clear" w:color="auto" w:fill="auto"/>
            <w:vAlign w:val="center"/>
            <w:hideMark/>
          </w:tcPr>
          <w:p w14:paraId="074C52CD" w14:textId="224767E1" w:rsidR="004813E0" w:rsidRPr="004813E0" w:rsidRDefault="004813E0" w:rsidP="004813E0">
            <w:pPr>
              <w:spacing w:after="0" w:line="240" w:lineRule="auto"/>
              <w:jc w:val="right"/>
              <w:rPr>
                <w:rFonts w:ascii="Arial" w:hAnsi="Arial" w:cs="Arial"/>
                <w:sz w:val="18"/>
                <w:szCs w:val="18"/>
              </w:rPr>
            </w:pPr>
            <w:r w:rsidRPr="004813E0">
              <w:rPr>
                <w:rFonts w:ascii="Arial" w:hAnsi="Arial" w:cs="Arial"/>
                <w:sz w:val="18"/>
                <w:szCs w:val="18"/>
              </w:rPr>
              <w:t>1.347.339</w:t>
            </w:r>
          </w:p>
        </w:tc>
        <w:tc>
          <w:tcPr>
            <w:tcW w:w="1060" w:type="dxa"/>
            <w:tcBorders>
              <w:top w:val="nil"/>
              <w:left w:val="nil"/>
              <w:bottom w:val="single" w:sz="4" w:space="0" w:color="auto"/>
              <w:right w:val="single" w:sz="4" w:space="0" w:color="auto"/>
            </w:tcBorders>
            <w:shd w:val="clear" w:color="auto" w:fill="auto"/>
            <w:noWrap/>
            <w:vAlign w:val="center"/>
            <w:hideMark/>
          </w:tcPr>
          <w:p w14:paraId="161128C4" w14:textId="697451BF" w:rsidR="004813E0" w:rsidRPr="004813E0" w:rsidRDefault="004813E0" w:rsidP="004813E0">
            <w:pPr>
              <w:spacing w:after="0" w:line="240" w:lineRule="auto"/>
              <w:jc w:val="right"/>
              <w:rPr>
                <w:rFonts w:ascii="Arial" w:hAnsi="Arial" w:cs="Arial"/>
                <w:sz w:val="18"/>
                <w:szCs w:val="18"/>
              </w:rPr>
            </w:pPr>
            <w:r w:rsidRPr="004813E0">
              <w:rPr>
                <w:rFonts w:ascii="Arial" w:hAnsi="Arial" w:cs="Arial"/>
                <w:sz w:val="18"/>
                <w:szCs w:val="18"/>
              </w:rPr>
              <w:t>14,29 %</w:t>
            </w:r>
          </w:p>
        </w:tc>
        <w:tc>
          <w:tcPr>
            <w:tcW w:w="1066" w:type="dxa"/>
            <w:tcBorders>
              <w:top w:val="nil"/>
              <w:left w:val="nil"/>
              <w:bottom w:val="single" w:sz="4" w:space="0" w:color="auto"/>
              <w:right w:val="single" w:sz="4" w:space="0" w:color="auto"/>
            </w:tcBorders>
            <w:shd w:val="clear" w:color="auto" w:fill="auto"/>
            <w:noWrap/>
            <w:vAlign w:val="center"/>
            <w:hideMark/>
          </w:tcPr>
          <w:p w14:paraId="2B5593B6" w14:textId="6CA9C3E9" w:rsidR="004813E0" w:rsidRPr="004813E0" w:rsidRDefault="004813E0" w:rsidP="004813E0">
            <w:pPr>
              <w:spacing w:after="0" w:line="240" w:lineRule="auto"/>
              <w:jc w:val="right"/>
              <w:rPr>
                <w:rFonts w:ascii="Arial" w:hAnsi="Arial" w:cs="Arial"/>
                <w:sz w:val="18"/>
                <w:szCs w:val="18"/>
              </w:rPr>
            </w:pPr>
            <w:r w:rsidRPr="004813E0">
              <w:rPr>
                <w:rFonts w:ascii="Arial" w:hAnsi="Arial" w:cs="Arial"/>
                <w:sz w:val="18"/>
                <w:szCs w:val="18"/>
              </w:rPr>
              <w:t>4,00 %</w:t>
            </w:r>
          </w:p>
        </w:tc>
        <w:tc>
          <w:tcPr>
            <w:tcW w:w="992" w:type="dxa"/>
            <w:tcBorders>
              <w:top w:val="nil"/>
              <w:left w:val="nil"/>
              <w:bottom w:val="single" w:sz="4" w:space="0" w:color="auto"/>
              <w:right w:val="single" w:sz="4" w:space="0" w:color="auto"/>
            </w:tcBorders>
            <w:shd w:val="clear" w:color="auto" w:fill="auto"/>
            <w:noWrap/>
            <w:vAlign w:val="center"/>
            <w:hideMark/>
          </w:tcPr>
          <w:p w14:paraId="0D1082EA" w14:textId="637523D8" w:rsidR="004813E0" w:rsidRPr="004813E0" w:rsidRDefault="004813E0" w:rsidP="004813E0">
            <w:pPr>
              <w:spacing w:after="0" w:line="240" w:lineRule="auto"/>
              <w:jc w:val="right"/>
              <w:rPr>
                <w:rFonts w:ascii="Arial" w:hAnsi="Arial" w:cs="Arial"/>
                <w:sz w:val="18"/>
                <w:szCs w:val="18"/>
              </w:rPr>
            </w:pPr>
            <w:r w:rsidRPr="004813E0">
              <w:rPr>
                <w:rFonts w:ascii="Arial" w:hAnsi="Arial" w:cs="Arial"/>
                <w:sz w:val="18"/>
                <w:szCs w:val="18"/>
              </w:rPr>
              <w:t>39,29 %</w:t>
            </w:r>
          </w:p>
        </w:tc>
      </w:tr>
      <w:tr w:rsidR="004813E0" w:rsidRPr="004813E0" w14:paraId="32841589" w14:textId="77777777" w:rsidTr="004813E0">
        <w:trPr>
          <w:trHeight w:val="255"/>
        </w:trPr>
        <w:tc>
          <w:tcPr>
            <w:tcW w:w="3256" w:type="dxa"/>
            <w:tcBorders>
              <w:top w:val="nil"/>
              <w:left w:val="single" w:sz="4" w:space="0" w:color="auto"/>
              <w:bottom w:val="single" w:sz="4" w:space="0" w:color="auto"/>
              <w:right w:val="single" w:sz="4" w:space="0" w:color="auto"/>
            </w:tcBorders>
            <w:shd w:val="clear" w:color="auto" w:fill="auto"/>
            <w:vAlign w:val="center"/>
          </w:tcPr>
          <w:p w14:paraId="5EF51560" w14:textId="5EA57395" w:rsidR="004813E0" w:rsidRPr="004813E0" w:rsidRDefault="004813E0" w:rsidP="004813E0">
            <w:pPr>
              <w:spacing w:after="0" w:line="240" w:lineRule="auto"/>
              <w:rPr>
                <w:rFonts w:ascii="Arial" w:hAnsi="Arial" w:cs="Arial"/>
                <w:sz w:val="18"/>
                <w:szCs w:val="18"/>
              </w:rPr>
            </w:pPr>
            <w:r w:rsidRPr="004813E0">
              <w:rPr>
                <w:rFonts w:ascii="Arial" w:hAnsi="Arial" w:cs="Arial"/>
                <w:sz w:val="18"/>
                <w:szCs w:val="18"/>
              </w:rPr>
              <w:t>Storitve na področju uprave, sociale, izobraževanja, zdravstva in kulture</w:t>
            </w:r>
          </w:p>
        </w:tc>
        <w:tc>
          <w:tcPr>
            <w:tcW w:w="992" w:type="dxa"/>
            <w:tcBorders>
              <w:top w:val="nil"/>
              <w:left w:val="nil"/>
              <w:bottom w:val="single" w:sz="4" w:space="0" w:color="auto"/>
              <w:right w:val="single" w:sz="4" w:space="0" w:color="auto"/>
            </w:tcBorders>
            <w:shd w:val="clear" w:color="auto" w:fill="auto"/>
            <w:noWrap/>
            <w:vAlign w:val="center"/>
          </w:tcPr>
          <w:p w14:paraId="7B41F6E3" w14:textId="757DBCD8" w:rsidR="004813E0" w:rsidRPr="004813E0" w:rsidRDefault="004813E0" w:rsidP="004813E0">
            <w:pPr>
              <w:spacing w:after="0" w:line="240" w:lineRule="auto"/>
              <w:jc w:val="right"/>
              <w:rPr>
                <w:rFonts w:ascii="Arial" w:hAnsi="Arial" w:cs="Arial"/>
                <w:sz w:val="18"/>
                <w:szCs w:val="18"/>
              </w:rPr>
            </w:pPr>
            <w:r w:rsidRPr="004813E0">
              <w:rPr>
                <w:rFonts w:ascii="Arial" w:hAnsi="Arial" w:cs="Arial"/>
                <w:sz w:val="18"/>
                <w:szCs w:val="18"/>
              </w:rPr>
              <w:t>4</w:t>
            </w:r>
          </w:p>
        </w:tc>
        <w:tc>
          <w:tcPr>
            <w:tcW w:w="850" w:type="dxa"/>
            <w:tcBorders>
              <w:top w:val="nil"/>
              <w:left w:val="nil"/>
              <w:bottom w:val="single" w:sz="4" w:space="0" w:color="auto"/>
              <w:right w:val="single" w:sz="4" w:space="0" w:color="auto"/>
            </w:tcBorders>
            <w:shd w:val="clear" w:color="auto" w:fill="auto"/>
            <w:vAlign w:val="center"/>
          </w:tcPr>
          <w:p w14:paraId="2CA95BB3" w14:textId="0E035B45" w:rsidR="004813E0" w:rsidRPr="004813E0" w:rsidRDefault="004813E0" w:rsidP="004813E0">
            <w:pPr>
              <w:spacing w:after="0" w:line="240" w:lineRule="auto"/>
              <w:jc w:val="right"/>
              <w:rPr>
                <w:rFonts w:ascii="Arial" w:hAnsi="Arial" w:cs="Arial"/>
                <w:sz w:val="18"/>
                <w:szCs w:val="18"/>
              </w:rPr>
            </w:pPr>
            <w:r w:rsidRPr="004813E0">
              <w:rPr>
                <w:rFonts w:ascii="Arial" w:hAnsi="Arial" w:cs="Arial"/>
                <w:sz w:val="18"/>
                <w:szCs w:val="18"/>
              </w:rPr>
              <w:t>21</w:t>
            </w:r>
          </w:p>
        </w:tc>
        <w:tc>
          <w:tcPr>
            <w:tcW w:w="1144" w:type="dxa"/>
            <w:tcBorders>
              <w:top w:val="nil"/>
              <w:left w:val="nil"/>
              <w:bottom w:val="single" w:sz="4" w:space="0" w:color="auto"/>
              <w:right w:val="single" w:sz="4" w:space="0" w:color="auto"/>
            </w:tcBorders>
            <w:shd w:val="clear" w:color="auto" w:fill="auto"/>
            <w:vAlign w:val="center"/>
          </w:tcPr>
          <w:p w14:paraId="782FB7F8" w14:textId="3DFBB919" w:rsidR="004813E0" w:rsidRPr="004813E0" w:rsidRDefault="004813E0" w:rsidP="004813E0">
            <w:pPr>
              <w:spacing w:after="0" w:line="240" w:lineRule="auto"/>
              <w:jc w:val="right"/>
              <w:rPr>
                <w:rFonts w:ascii="Arial" w:hAnsi="Arial" w:cs="Arial"/>
                <w:sz w:val="18"/>
                <w:szCs w:val="18"/>
              </w:rPr>
            </w:pPr>
            <w:r w:rsidRPr="004813E0">
              <w:rPr>
                <w:rFonts w:ascii="Arial" w:hAnsi="Arial" w:cs="Arial"/>
                <w:sz w:val="18"/>
                <w:szCs w:val="18"/>
              </w:rPr>
              <w:t>1.561.966</w:t>
            </w:r>
          </w:p>
        </w:tc>
        <w:tc>
          <w:tcPr>
            <w:tcW w:w="1060" w:type="dxa"/>
            <w:tcBorders>
              <w:top w:val="nil"/>
              <w:left w:val="nil"/>
              <w:bottom w:val="single" w:sz="4" w:space="0" w:color="auto"/>
              <w:right w:val="single" w:sz="4" w:space="0" w:color="auto"/>
            </w:tcBorders>
            <w:shd w:val="clear" w:color="auto" w:fill="auto"/>
            <w:noWrap/>
            <w:vAlign w:val="center"/>
          </w:tcPr>
          <w:p w14:paraId="59B18C0B" w14:textId="2E70FDC1" w:rsidR="004813E0" w:rsidRPr="004813E0" w:rsidRDefault="004813E0" w:rsidP="004813E0">
            <w:pPr>
              <w:spacing w:after="0" w:line="240" w:lineRule="auto"/>
              <w:jc w:val="right"/>
              <w:rPr>
                <w:rFonts w:ascii="Arial" w:hAnsi="Arial" w:cs="Arial"/>
                <w:sz w:val="18"/>
                <w:szCs w:val="18"/>
              </w:rPr>
            </w:pPr>
            <w:r w:rsidRPr="004813E0">
              <w:rPr>
                <w:rFonts w:ascii="Arial" w:hAnsi="Arial" w:cs="Arial"/>
                <w:sz w:val="18"/>
                <w:szCs w:val="18"/>
              </w:rPr>
              <w:t>57,14 %</w:t>
            </w:r>
          </w:p>
        </w:tc>
        <w:tc>
          <w:tcPr>
            <w:tcW w:w="1066" w:type="dxa"/>
            <w:tcBorders>
              <w:top w:val="nil"/>
              <w:left w:val="nil"/>
              <w:bottom w:val="single" w:sz="4" w:space="0" w:color="auto"/>
              <w:right w:val="single" w:sz="4" w:space="0" w:color="auto"/>
            </w:tcBorders>
            <w:shd w:val="clear" w:color="auto" w:fill="auto"/>
            <w:noWrap/>
            <w:vAlign w:val="center"/>
          </w:tcPr>
          <w:p w14:paraId="0B567204" w14:textId="47CDC166" w:rsidR="004813E0" w:rsidRPr="004813E0" w:rsidRDefault="004813E0" w:rsidP="004813E0">
            <w:pPr>
              <w:spacing w:after="0" w:line="240" w:lineRule="auto"/>
              <w:jc w:val="right"/>
              <w:rPr>
                <w:rFonts w:ascii="Arial" w:hAnsi="Arial" w:cs="Arial"/>
                <w:sz w:val="18"/>
                <w:szCs w:val="18"/>
              </w:rPr>
            </w:pPr>
            <w:r w:rsidRPr="004813E0">
              <w:rPr>
                <w:rFonts w:ascii="Arial" w:hAnsi="Arial" w:cs="Arial"/>
                <w:sz w:val="18"/>
                <w:szCs w:val="18"/>
              </w:rPr>
              <w:t>84,00 %</w:t>
            </w:r>
          </w:p>
        </w:tc>
        <w:tc>
          <w:tcPr>
            <w:tcW w:w="992" w:type="dxa"/>
            <w:tcBorders>
              <w:top w:val="nil"/>
              <w:left w:val="nil"/>
              <w:bottom w:val="single" w:sz="4" w:space="0" w:color="auto"/>
              <w:right w:val="single" w:sz="4" w:space="0" w:color="auto"/>
            </w:tcBorders>
            <w:shd w:val="clear" w:color="auto" w:fill="auto"/>
            <w:noWrap/>
            <w:vAlign w:val="center"/>
          </w:tcPr>
          <w:p w14:paraId="0E60CC23" w14:textId="1FED0CD5" w:rsidR="004813E0" w:rsidRPr="004813E0" w:rsidRDefault="004813E0" w:rsidP="004813E0">
            <w:pPr>
              <w:spacing w:after="0" w:line="240" w:lineRule="auto"/>
              <w:jc w:val="right"/>
              <w:rPr>
                <w:rFonts w:ascii="Arial" w:hAnsi="Arial" w:cs="Arial"/>
                <w:sz w:val="18"/>
                <w:szCs w:val="18"/>
              </w:rPr>
            </w:pPr>
            <w:r w:rsidRPr="004813E0">
              <w:rPr>
                <w:rFonts w:ascii="Arial" w:hAnsi="Arial" w:cs="Arial"/>
                <w:sz w:val="18"/>
                <w:szCs w:val="18"/>
              </w:rPr>
              <w:t>45,55 %</w:t>
            </w:r>
          </w:p>
        </w:tc>
      </w:tr>
      <w:tr w:rsidR="004813E0" w:rsidRPr="004813E0" w14:paraId="0CB63733" w14:textId="77777777" w:rsidTr="004813E0">
        <w:trPr>
          <w:trHeight w:val="255"/>
        </w:trPr>
        <w:tc>
          <w:tcPr>
            <w:tcW w:w="3256" w:type="dxa"/>
            <w:tcBorders>
              <w:top w:val="nil"/>
              <w:left w:val="single" w:sz="4" w:space="0" w:color="auto"/>
              <w:bottom w:val="single" w:sz="4" w:space="0" w:color="auto"/>
              <w:right w:val="single" w:sz="4" w:space="0" w:color="auto"/>
            </w:tcBorders>
            <w:shd w:val="clear" w:color="auto" w:fill="auto"/>
            <w:vAlign w:val="center"/>
          </w:tcPr>
          <w:p w14:paraId="2B74D598" w14:textId="6F86C9CF" w:rsidR="004813E0" w:rsidRPr="004813E0" w:rsidRDefault="004813E0" w:rsidP="004813E0">
            <w:pPr>
              <w:spacing w:after="0" w:line="240" w:lineRule="auto"/>
              <w:rPr>
                <w:rFonts w:ascii="Arial" w:hAnsi="Arial" w:cs="Arial"/>
                <w:sz w:val="18"/>
                <w:szCs w:val="18"/>
              </w:rPr>
            </w:pPr>
            <w:r w:rsidRPr="004813E0">
              <w:rPr>
                <w:rFonts w:ascii="Arial" w:hAnsi="Arial" w:cs="Arial"/>
                <w:sz w:val="18"/>
                <w:szCs w:val="18"/>
              </w:rPr>
              <w:t>Zdravstvene, socialne in sorodne storitve</w:t>
            </w:r>
          </w:p>
        </w:tc>
        <w:tc>
          <w:tcPr>
            <w:tcW w:w="992" w:type="dxa"/>
            <w:tcBorders>
              <w:top w:val="nil"/>
              <w:left w:val="nil"/>
              <w:bottom w:val="single" w:sz="4" w:space="0" w:color="auto"/>
              <w:right w:val="single" w:sz="4" w:space="0" w:color="auto"/>
            </w:tcBorders>
            <w:shd w:val="clear" w:color="auto" w:fill="auto"/>
            <w:noWrap/>
            <w:vAlign w:val="center"/>
          </w:tcPr>
          <w:p w14:paraId="3C32E895" w14:textId="20F8F486" w:rsidR="004813E0" w:rsidRPr="004813E0" w:rsidRDefault="004813E0" w:rsidP="004813E0">
            <w:pPr>
              <w:spacing w:after="0" w:line="240" w:lineRule="auto"/>
              <w:jc w:val="right"/>
              <w:rPr>
                <w:rFonts w:ascii="Arial" w:hAnsi="Arial" w:cs="Arial"/>
                <w:sz w:val="18"/>
                <w:szCs w:val="18"/>
              </w:rPr>
            </w:pPr>
            <w:r w:rsidRPr="004813E0">
              <w:rPr>
                <w:rFonts w:ascii="Arial" w:hAnsi="Arial" w:cs="Arial"/>
                <w:sz w:val="18"/>
                <w:szCs w:val="18"/>
              </w:rPr>
              <w:t>1</w:t>
            </w:r>
          </w:p>
        </w:tc>
        <w:tc>
          <w:tcPr>
            <w:tcW w:w="850" w:type="dxa"/>
            <w:tcBorders>
              <w:top w:val="nil"/>
              <w:left w:val="nil"/>
              <w:bottom w:val="single" w:sz="4" w:space="0" w:color="auto"/>
              <w:right w:val="single" w:sz="4" w:space="0" w:color="auto"/>
            </w:tcBorders>
            <w:shd w:val="clear" w:color="auto" w:fill="auto"/>
            <w:vAlign w:val="center"/>
          </w:tcPr>
          <w:p w14:paraId="08117718" w14:textId="09C988EE" w:rsidR="004813E0" w:rsidRPr="004813E0" w:rsidRDefault="004813E0" w:rsidP="004813E0">
            <w:pPr>
              <w:spacing w:after="0" w:line="240" w:lineRule="auto"/>
              <w:jc w:val="right"/>
              <w:rPr>
                <w:rFonts w:ascii="Arial" w:hAnsi="Arial" w:cs="Arial"/>
                <w:sz w:val="18"/>
                <w:szCs w:val="18"/>
              </w:rPr>
            </w:pPr>
            <w:r w:rsidRPr="004813E0">
              <w:rPr>
                <w:rFonts w:ascii="Arial" w:hAnsi="Arial" w:cs="Arial"/>
                <w:sz w:val="18"/>
                <w:szCs w:val="18"/>
              </w:rPr>
              <w:t>1</w:t>
            </w:r>
          </w:p>
        </w:tc>
        <w:tc>
          <w:tcPr>
            <w:tcW w:w="1144" w:type="dxa"/>
            <w:tcBorders>
              <w:top w:val="nil"/>
              <w:left w:val="nil"/>
              <w:bottom w:val="single" w:sz="4" w:space="0" w:color="auto"/>
              <w:right w:val="single" w:sz="4" w:space="0" w:color="auto"/>
            </w:tcBorders>
            <w:shd w:val="clear" w:color="auto" w:fill="auto"/>
            <w:vAlign w:val="center"/>
          </w:tcPr>
          <w:p w14:paraId="21129AD4" w14:textId="1396DA8C" w:rsidR="004813E0" w:rsidRPr="004813E0" w:rsidRDefault="004813E0" w:rsidP="004813E0">
            <w:pPr>
              <w:spacing w:after="0" w:line="240" w:lineRule="auto"/>
              <w:jc w:val="right"/>
              <w:rPr>
                <w:rFonts w:ascii="Arial" w:hAnsi="Arial" w:cs="Arial"/>
                <w:sz w:val="18"/>
                <w:szCs w:val="18"/>
              </w:rPr>
            </w:pPr>
            <w:r w:rsidRPr="004813E0">
              <w:rPr>
                <w:rFonts w:ascii="Arial" w:hAnsi="Arial" w:cs="Arial"/>
                <w:sz w:val="18"/>
                <w:szCs w:val="18"/>
              </w:rPr>
              <w:t>42.609</w:t>
            </w:r>
          </w:p>
        </w:tc>
        <w:tc>
          <w:tcPr>
            <w:tcW w:w="1060" w:type="dxa"/>
            <w:tcBorders>
              <w:top w:val="nil"/>
              <w:left w:val="nil"/>
              <w:bottom w:val="single" w:sz="4" w:space="0" w:color="auto"/>
              <w:right w:val="single" w:sz="4" w:space="0" w:color="auto"/>
            </w:tcBorders>
            <w:shd w:val="clear" w:color="auto" w:fill="auto"/>
            <w:noWrap/>
            <w:vAlign w:val="center"/>
          </w:tcPr>
          <w:p w14:paraId="61CA78F3" w14:textId="3FC3A822" w:rsidR="004813E0" w:rsidRPr="004813E0" w:rsidRDefault="004813E0" w:rsidP="004813E0">
            <w:pPr>
              <w:spacing w:after="0" w:line="240" w:lineRule="auto"/>
              <w:jc w:val="right"/>
              <w:rPr>
                <w:rFonts w:ascii="Arial" w:hAnsi="Arial" w:cs="Arial"/>
                <w:sz w:val="18"/>
                <w:szCs w:val="18"/>
              </w:rPr>
            </w:pPr>
            <w:r w:rsidRPr="004813E0">
              <w:rPr>
                <w:rFonts w:ascii="Arial" w:hAnsi="Arial" w:cs="Arial"/>
                <w:sz w:val="18"/>
                <w:szCs w:val="18"/>
              </w:rPr>
              <w:t>14,29 %</w:t>
            </w:r>
          </w:p>
        </w:tc>
        <w:tc>
          <w:tcPr>
            <w:tcW w:w="1066" w:type="dxa"/>
            <w:tcBorders>
              <w:top w:val="nil"/>
              <w:left w:val="nil"/>
              <w:bottom w:val="single" w:sz="4" w:space="0" w:color="auto"/>
              <w:right w:val="single" w:sz="4" w:space="0" w:color="auto"/>
            </w:tcBorders>
            <w:shd w:val="clear" w:color="auto" w:fill="auto"/>
            <w:noWrap/>
            <w:vAlign w:val="center"/>
          </w:tcPr>
          <w:p w14:paraId="2F8EFC7D" w14:textId="3B81345B" w:rsidR="004813E0" w:rsidRPr="004813E0" w:rsidRDefault="004813E0" w:rsidP="004813E0">
            <w:pPr>
              <w:spacing w:after="0" w:line="240" w:lineRule="auto"/>
              <w:jc w:val="right"/>
              <w:rPr>
                <w:rFonts w:ascii="Arial" w:hAnsi="Arial" w:cs="Arial"/>
                <w:sz w:val="18"/>
                <w:szCs w:val="18"/>
              </w:rPr>
            </w:pPr>
            <w:r w:rsidRPr="004813E0">
              <w:rPr>
                <w:rFonts w:ascii="Arial" w:hAnsi="Arial" w:cs="Arial"/>
                <w:sz w:val="18"/>
                <w:szCs w:val="18"/>
              </w:rPr>
              <w:t>4,00 %</w:t>
            </w:r>
          </w:p>
        </w:tc>
        <w:tc>
          <w:tcPr>
            <w:tcW w:w="992" w:type="dxa"/>
            <w:tcBorders>
              <w:top w:val="nil"/>
              <w:left w:val="nil"/>
              <w:bottom w:val="single" w:sz="4" w:space="0" w:color="auto"/>
              <w:right w:val="single" w:sz="4" w:space="0" w:color="auto"/>
            </w:tcBorders>
            <w:shd w:val="clear" w:color="auto" w:fill="auto"/>
            <w:noWrap/>
            <w:vAlign w:val="center"/>
          </w:tcPr>
          <w:p w14:paraId="1B7904B4" w14:textId="6412086A" w:rsidR="004813E0" w:rsidRPr="004813E0" w:rsidRDefault="004813E0" w:rsidP="004813E0">
            <w:pPr>
              <w:spacing w:after="0" w:line="240" w:lineRule="auto"/>
              <w:jc w:val="right"/>
              <w:rPr>
                <w:rFonts w:ascii="Arial" w:hAnsi="Arial" w:cs="Arial"/>
                <w:sz w:val="18"/>
                <w:szCs w:val="18"/>
              </w:rPr>
            </w:pPr>
            <w:r w:rsidRPr="004813E0">
              <w:rPr>
                <w:rFonts w:ascii="Arial" w:hAnsi="Arial" w:cs="Arial"/>
                <w:sz w:val="18"/>
                <w:szCs w:val="18"/>
              </w:rPr>
              <w:t>1,24 %</w:t>
            </w:r>
          </w:p>
        </w:tc>
      </w:tr>
      <w:tr w:rsidR="004813E0" w:rsidRPr="004813E0" w14:paraId="010D1DEC" w14:textId="77777777" w:rsidTr="004813E0">
        <w:trPr>
          <w:trHeight w:val="255"/>
        </w:trPr>
        <w:tc>
          <w:tcPr>
            <w:tcW w:w="325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2620E25" w14:textId="7847539C" w:rsidR="004813E0" w:rsidRPr="004813E0" w:rsidRDefault="004813E0" w:rsidP="004813E0">
            <w:pPr>
              <w:spacing w:after="0" w:line="240" w:lineRule="auto"/>
              <w:rPr>
                <w:rFonts w:ascii="Arial" w:hAnsi="Arial" w:cs="Arial"/>
                <w:b/>
                <w:bCs/>
                <w:sz w:val="18"/>
                <w:szCs w:val="18"/>
              </w:rPr>
            </w:pPr>
            <w:r w:rsidRPr="004813E0">
              <w:rPr>
                <w:rFonts w:ascii="Arial" w:hAnsi="Arial" w:cs="Arial"/>
                <w:b/>
                <w:bCs/>
                <w:sz w:val="18"/>
                <w:szCs w:val="18"/>
              </w:rPr>
              <w:t>Skupaj</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06C55B71" w14:textId="62C70FE0" w:rsidR="004813E0" w:rsidRPr="004813E0" w:rsidRDefault="004813E0" w:rsidP="004813E0">
            <w:pPr>
              <w:spacing w:after="0" w:line="240" w:lineRule="auto"/>
              <w:jc w:val="right"/>
              <w:rPr>
                <w:rFonts w:ascii="Arial" w:hAnsi="Arial" w:cs="Arial"/>
                <w:b/>
                <w:bCs/>
                <w:sz w:val="18"/>
                <w:szCs w:val="18"/>
              </w:rPr>
            </w:pPr>
            <w:r w:rsidRPr="004813E0">
              <w:rPr>
                <w:rFonts w:ascii="Arial" w:hAnsi="Arial" w:cs="Arial"/>
                <w:b/>
                <w:bCs/>
                <w:sz w:val="18"/>
                <w:szCs w:val="18"/>
              </w:rPr>
              <w:t>7</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5C51A1CB" w14:textId="187EA420" w:rsidR="004813E0" w:rsidRPr="004813E0" w:rsidRDefault="004813E0" w:rsidP="004813E0">
            <w:pPr>
              <w:spacing w:after="0" w:line="240" w:lineRule="auto"/>
              <w:jc w:val="right"/>
              <w:rPr>
                <w:rFonts w:ascii="Arial" w:hAnsi="Arial" w:cs="Arial"/>
                <w:b/>
                <w:bCs/>
                <w:sz w:val="18"/>
                <w:szCs w:val="18"/>
              </w:rPr>
            </w:pPr>
            <w:r w:rsidRPr="004813E0">
              <w:rPr>
                <w:rFonts w:ascii="Arial" w:hAnsi="Arial" w:cs="Arial"/>
                <w:b/>
                <w:bCs/>
                <w:sz w:val="18"/>
                <w:szCs w:val="18"/>
              </w:rPr>
              <w:t>25</w:t>
            </w:r>
          </w:p>
        </w:tc>
        <w:tc>
          <w:tcPr>
            <w:tcW w:w="1144" w:type="dxa"/>
            <w:tcBorders>
              <w:top w:val="nil"/>
              <w:left w:val="nil"/>
              <w:bottom w:val="single" w:sz="4" w:space="0" w:color="auto"/>
              <w:right w:val="single" w:sz="4" w:space="0" w:color="auto"/>
            </w:tcBorders>
            <w:shd w:val="clear" w:color="auto" w:fill="F2F2F2" w:themeFill="background1" w:themeFillShade="F2"/>
            <w:noWrap/>
            <w:vAlign w:val="center"/>
            <w:hideMark/>
          </w:tcPr>
          <w:p w14:paraId="42B8CBDE" w14:textId="1EE58856" w:rsidR="004813E0" w:rsidRPr="004813E0" w:rsidRDefault="004813E0" w:rsidP="004813E0">
            <w:pPr>
              <w:spacing w:after="0" w:line="240" w:lineRule="auto"/>
              <w:jc w:val="right"/>
              <w:rPr>
                <w:rFonts w:ascii="Arial" w:hAnsi="Arial" w:cs="Arial"/>
                <w:b/>
                <w:bCs/>
                <w:sz w:val="18"/>
                <w:szCs w:val="18"/>
              </w:rPr>
            </w:pPr>
            <w:r w:rsidRPr="004813E0">
              <w:rPr>
                <w:rFonts w:ascii="Arial" w:hAnsi="Arial" w:cs="Arial"/>
                <w:b/>
                <w:bCs/>
                <w:sz w:val="18"/>
                <w:szCs w:val="18"/>
              </w:rPr>
              <w:t>3.429.272</w:t>
            </w:r>
          </w:p>
        </w:tc>
        <w:tc>
          <w:tcPr>
            <w:tcW w:w="1060" w:type="dxa"/>
            <w:tcBorders>
              <w:top w:val="nil"/>
              <w:left w:val="nil"/>
              <w:bottom w:val="single" w:sz="4" w:space="0" w:color="auto"/>
              <w:right w:val="single" w:sz="4" w:space="0" w:color="auto"/>
            </w:tcBorders>
            <w:shd w:val="clear" w:color="auto" w:fill="F2F2F2" w:themeFill="background1" w:themeFillShade="F2"/>
            <w:noWrap/>
            <w:vAlign w:val="center"/>
            <w:hideMark/>
          </w:tcPr>
          <w:p w14:paraId="4671DA1E" w14:textId="50160415" w:rsidR="004813E0" w:rsidRPr="004813E0" w:rsidRDefault="004813E0" w:rsidP="004813E0">
            <w:pPr>
              <w:spacing w:after="0" w:line="240" w:lineRule="auto"/>
              <w:jc w:val="right"/>
              <w:rPr>
                <w:rFonts w:ascii="Arial" w:hAnsi="Arial" w:cs="Arial"/>
                <w:b/>
                <w:bCs/>
                <w:sz w:val="18"/>
                <w:szCs w:val="18"/>
              </w:rPr>
            </w:pPr>
            <w:r w:rsidRPr="004813E0">
              <w:rPr>
                <w:rFonts w:ascii="Arial" w:hAnsi="Arial" w:cs="Arial"/>
                <w:b/>
                <w:bCs/>
                <w:sz w:val="18"/>
                <w:szCs w:val="18"/>
              </w:rPr>
              <w:t>100,00 %</w:t>
            </w:r>
          </w:p>
        </w:tc>
        <w:tc>
          <w:tcPr>
            <w:tcW w:w="1066" w:type="dxa"/>
            <w:tcBorders>
              <w:top w:val="nil"/>
              <w:left w:val="nil"/>
              <w:bottom w:val="single" w:sz="4" w:space="0" w:color="auto"/>
              <w:right w:val="single" w:sz="4" w:space="0" w:color="auto"/>
            </w:tcBorders>
            <w:shd w:val="clear" w:color="auto" w:fill="F2F2F2" w:themeFill="background1" w:themeFillShade="F2"/>
            <w:noWrap/>
            <w:vAlign w:val="center"/>
            <w:hideMark/>
          </w:tcPr>
          <w:p w14:paraId="18C97BE8" w14:textId="66C259C7" w:rsidR="004813E0" w:rsidRPr="004813E0" w:rsidRDefault="004813E0" w:rsidP="004813E0">
            <w:pPr>
              <w:spacing w:after="0" w:line="240" w:lineRule="auto"/>
              <w:jc w:val="right"/>
              <w:rPr>
                <w:rFonts w:ascii="Arial" w:hAnsi="Arial" w:cs="Arial"/>
                <w:b/>
                <w:bCs/>
                <w:sz w:val="18"/>
                <w:szCs w:val="18"/>
              </w:rPr>
            </w:pPr>
            <w:r w:rsidRPr="004813E0">
              <w:rPr>
                <w:rFonts w:ascii="Arial" w:hAnsi="Arial" w:cs="Arial"/>
                <w:b/>
                <w:bCs/>
                <w:sz w:val="18"/>
                <w:szCs w:val="18"/>
              </w:rPr>
              <w:t>100,00 %</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04A31FF1" w14:textId="22D9BDD3" w:rsidR="004813E0" w:rsidRPr="004813E0" w:rsidRDefault="004813E0" w:rsidP="004813E0">
            <w:pPr>
              <w:spacing w:after="0" w:line="240" w:lineRule="auto"/>
              <w:jc w:val="right"/>
              <w:rPr>
                <w:rFonts w:ascii="Arial" w:hAnsi="Arial" w:cs="Arial"/>
                <w:b/>
                <w:bCs/>
                <w:sz w:val="18"/>
                <w:szCs w:val="18"/>
              </w:rPr>
            </w:pPr>
            <w:r w:rsidRPr="004813E0">
              <w:rPr>
                <w:rFonts w:ascii="Arial" w:hAnsi="Arial" w:cs="Arial"/>
                <w:b/>
                <w:bCs/>
                <w:sz w:val="18"/>
                <w:szCs w:val="18"/>
              </w:rPr>
              <w:t>100,00 %</w:t>
            </w:r>
          </w:p>
        </w:tc>
      </w:tr>
    </w:tbl>
    <w:p w14:paraId="7CDBB5D3" w14:textId="77777777" w:rsidR="003156F5" w:rsidRPr="004813E0" w:rsidRDefault="003156F5" w:rsidP="003156F5">
      <w:pPr>
        <w:spacing w:after="0" w:line="240" w:lineRule="auto"/>
        <w:jc w:val="center"/>
        <w:rPr>
          <w:rFonts w:ascii="Arial" w:hAnsi="Arial" w:cs="Arial"/>
          <w:sz w:val="18"/>
        </w:rPr>
      </w:pPr>
    </w:p>
    <w:p w14:paraId="72A10205" w14:textId="55EF9874" w:rsidR="004B5894" w:rsidRPr="004813E0" w:rsidRDefault="004B5894" w:rsidP="003156F5">
      <w:pPr>
        <w:spacing w:after="0" w:line="240" w:lineRule="auto"/>
        <w:jc w:val="center"/>
        <w:rPr>
          <w:rFonts w:ascii="Arial" w:hAnsi="Arial" w:cs="Arial"/>
          <w:sz w:val="18"/>
        </w:rPr>
      </w:pPr>
      <w:r w:rsidRPr="004813E0">
        <w:rPr>
          <w:rFonts w:ascii="Arial" w:hAnsi="Arial" w:cs="Arial"/>
          <w:sz w:val="18"/>
        </w:rPr>
        <w:t>Vir: Statistični podatki o javnih naročili</w:t>
      </w:r>
      <w:r w:rsidR="00792229" w:rsidRPr="004813E0">
        <w:rPr>
          <w:rFonts w:ascii="Arial" w:hAnsi="Arial" w:cs="Arial"/>
          <w:sz w:val="18"/>
        </w:rPr>
        <w:t>h, oddanih v letu 20</w:t>
      </w:r>
      <w:r w:rsidR="00573981" w:rsidRPr="004813E0">
        <w:rPr>
          <w:rFonts w:ascii="Arial" w:hAnsi="Arial" w:cs="Arial"/>
          <w:sz w:val="18"/>
        </w:rPr>
        <w:t>2</w:t>
      </w:r>
      <w:r w:rsidR="004813E0" w:rsidRPr="004813E0">
        <w:rPr>
          <w:rFonts w:ascii="Arial" w:hAnsi="Arial" w:cs="Arial"/>
          <w:sz w:val="18"/>
        </w:rPr>
        <w:t>2</w:t>
      </w:r>
      <w:r w:rsidR="00D51FFB" w:rsidRPr="004813E0">
        <w:rPr>
          <w:rFonts w:ascii="Arial" w:hAnsi="Arial" w:cs="Arial"/>
          <w:sz w:val="18"/>
        </w:rPr>
        <w:t>.</w:t>
      </w:r>
    </w:p>
    <w:p w14:paraId="5663BDC7" w14:textId="404231AD" w:rsidR="005732EF" w:rsidRPr="00BF7302" w:rsidRDefault="005732EF" w:rsidP="003156F5">
      <w:pPr>
        <w:spacing w:after="0" w:line="240" w:lineRule="auto"/>
        <w:jc w:val="center"/>
        <w:rPr>
          <w:rFonts w:ascii="Arial" w:hAnsi="Arial" w:cs="Arial"/>
          <w:sz w:val="18"/>
          <w:highlight w:val="yellow"/>
        </w:rPr>
      </w:pPr>
    </w:p>
    <w:p w14:paraId="4678A119" w14:textId="77777777" w:rsidR="005732EF" w:rsidRPr="00E126C2" w:rsidRDefault="005732EF" w:rsidP="00D94701">
      <w:pPr>
        <w:spacing w:after="0" w:line="240" w:lineRule="auto"/>
        <w:rPr>
          <w:rFonts w:ascii="Arial" w:eastAsiaTheme="majorEastAsia" w:hAnsi="Arial" w:cs="Arial"/>
          <w:color w:val="1F3763" w:themeColor="accent1" w:themeShade="7F"/>
        </w:rPr>
      </w:pPr>
    </w:p>
    <w:p w14:paraId="1464066E" w14:textId="7329D184" w:rsidR="002108C5" w:rsidRPr="00E126C2" w:rsidRDefault="002108C5" w:rsidP="002108C5">
      <w:pPr>
        <w:pStyle w:val="Naslov3"/>
        <w:rPr>
          <w:rFonts w:ascii="Arial" w:hAnsi="Arial" w:cs="Arial"/>
          <w:sz w:val="22"/>
          <w:szCs w:val="22"/>
        </w:rPr>
      </w:pPr>
      <w:bookmarkStart w:id="24" w:name="_Toc141864058"/>
      <w:r w:rsidRPr="00E126C2">
        <w:rPr>
          <w:rFonts w:ascii="Arial" w:hAnsi="Arial" w:cs="Arial"/>
          <w:sz w:val="22"/>
          <w:szCs w:val="22"/>
        </w:rPr>
        <w:t>2.3.5 Okvirni sporazumi</w:t>
      </w:r>
      <w:bookmarkEnd w:id="24"/>
    </w:p>
    <w:p w14:paraId="5C5777E3" w14:textId="77777777" w:rsidR="00854405" w:rsidRPr="00E126C2" w:rsidRDefault="00854405" w:rsidP="00854405">
      <w:pPr>
        <w:pStyle w:val="ZADEVA"/>
        <w:jc w:val="both"/>
        <w:rPr>
          <w:rFonts w:cs="Arial"/>
          <w:b w:val="0"/>
          <w:szCs w:val="20"/>
          <w:lang w:val="sl-SI"/>
        </w:rPr>
      </w:pPr>
    </w:p>
    <w:p w14:paraId="29C56243" w14:textId="77777777" w:rsidR="00F11E69" w:rsidRDefault="00492EE8" w:rsidP="00492EE8">
      <w:pPr>
        <w:spacing w:line="360" w:lineRule="auto"/>
        <w:jc w:val="both"/>
        <w:rPr>
          <w:rFonts w:ascii="Arial" w:hAnsi="Arial" w:cs="Arial"/>
          <w:kern w:val="3"/>
          <w:sz w:val="20"/>
          <w:szCs w:val="20"/>
        </w:rPr>
      </w:pPr>
      <w:r w:rsidRPr="00E126C2">
        <w:rPr>
          <w:rFonts w:ascii="Arial" w:hAnsi="Arial" w:cs="Arial"/>
          <w:kern w:val="3"/>
          <w:sz w:val="20"/>
          <w:szCs w:val="20"/>
        </w:rPr>
        <w:t xml:space="preserve">Naročniki lahko okvirni sporazum sklenejo na podlagi izvedenega postopka javnega naročanja. </w:t>
      </w:r>
      <w:r w:rsidR="008D4C98" w:rsidRPr="00E126C2">
        <w:rPr>
          <w:rFonts w:ascii="Arial" w:hAnsi="Arial" w:cs="Arial"/>
          <w:kern w:val="3"/>
          <w:sz w:val="20"/>
          <w:szCs w:val="20"/>
        </w:rPr>
        <w:t>S</w:t>
      </w:r>
      <w:r w:rsidRPr="00E126C2">
        <w:rPr>
          <w:rFonts w:ascii="Arial" w:hAnsi="Arial" w:cs="Arial"/>
          <w:kern w:val="3"/>
          <w:sz w:val="20"/>
          <w:szCs w:val="20"/>
        </w:rPr>
        <w:t xml:space="preserve">klenejo </w:t>
      </w:r>
      <w:r w:rsidR="008D4C98" w:rsidRPr="00E126C2">
        <w:rPr>
          <w:rFonts w:ascii="Arial" w:hAnsi="Arial" w:cs="Arial"/>
          <w:kern w:val="3"/>
          <w:sz w:val="20"/>
          <w:szCs w:val="20"/>
        </w:rPr>
        <w:t>ga lahko</w:t>
      </w:r>
      <w:r w:rsidRPr="00E126C2">
        <w:rPr>
          <w:rFonts w:ascii="Arial" w:hAnsi="Arial" w:cs="Arial"/>
          <w:kern w:val="3"/>
          <w:sz w:val="20"/>
          <w:szCs w:val="20"/>
        </w:rPr>
        <w:t xml:space="preserve"> z </w:t>
      </w:r>
      <w:r w:rsidR="00EB1FC8" w:rsidRPr="00E126C2">
        <w:rPr>
          <w:rFonts w:ascii="Arial" w:hAnsi="Arial" w:cs="Arial"/>
          <w:kern w:val="3"/>
          <w:sz w:val="20"/>
          <w:szCs w:val="20"/>
        </w:rPr>
        <w:t xml:space="preserve">enim </w:t>
      </w:r>
      <w:r w:rsidRPr="00E126C2">
        <w:rPr>
          <w:rFonts w:ascii="Arial" w:hAnsi="Arial" w:cs="Arial"/>
          <w:kern w:val="3"/>
          <w:sz w:val="20"/>
          <w:szCs w:val="20"/>
        </w:rPr>
        <w:t xml:space="preserve">ali več gospodarskimi subjekti. Naročila na podlagi okvirnega sporazuma z enim gospodarskim subjektom oddajo v skladu s pogoji iz okvirnega sporazuma. Okvirni sporazumi, sklenjeni </w:t>
      </w:r>
    </w:p>
    <w:p w14:paraId="76E1DDCF" w14:textId="77777777" w:rsidR="00F11E69" w:rsidRDefault="00F11E69">
      <w:pPr>
        <w:rPr>
          <w:rFonts w:ascii="Arial" w:hAnsi="Arial" w:cs="Arial"/>
          <w:kern w:val="3"/>
          <w:sz w:val="20"/>
          <w:szCs w:val="20"/>
        </w:rPr>
      </w:pPr>
      <w:r>
        <w:rPr>
          <w:rFonts w:ascii="Arial" w:hAnsi="Arial" w:cs="Arial"/>
          <w:kern w:val="3"/>
          <w:sz w:val="20"/>
          <w:szCs w:val="20"/>
        </w:rPr>
        <w:br w:type="page"/>
      </w:r>
    </w:p>
    <w:p w14:paraId="4C109D37" w14:textId="14575EF0" w:rsidR="00492EE8" w:rsidRPr="00E126C2" w:rsidRDefault="00492EE8" w:rsidP="00492EE8">
      <w:pPr>
        <w:spacing w:line="360" w:lineRule="auto"/>
        <w:jc w:val="both"/>
        <w:rPr>
          <w:rFonts w:ascii="Arial" w:hAnsi="Arial" w:cs="Arial"/>
          <w:kern w:val="3"/>
          <w:sz w:val="20"/>
          <w:szCs w:val="20"/>
        </w:rPr>
      </w:pPr>
      <w:r w:rsidRPr="00E126C2">
        <w:rPr>
          <w:rFonts w:ascii="Arial" w:hAnsi="Arial" w:cs="Arial"/>
          <w:kern w:val="3"/>
          <w:sz w:val="20"/>
          <w:szCs w:val="20"/>
        </w:rPr>
        <w:lastRenderedPageBreak/>
        <w:t>z več gospodarskimi subjekti</w:t>
      </w:r>
      <w:r w:rsidR="008D4C98" w:rsidRPr="00E126C2">
        <w:rPr>
          <w:rFonts w:ascii="Arial" w:hAnsi="Arial" w:cs="Arial"/>
          <w:kern w:val="3"/>
          <w:sz w:val="20"/>
          <w:szCs w:val="20"/>
        </w:rPr>
        <w:t>,</w:t>
      </w:r>
      <w:r w:rsidRPr="00E126C2">
        <w:rPr>
          <w:rFonts w:ascii="Arial" w:hAnsi="Arial" w:cs="Arial"/>
          <w:kern w:val="3"/>
          <w:sz w:val="20"/>
          <w:szCs w:val="20"/>
        </w:rPr>
        <w:t xml:space="preserve"> se izvajajo:</w:t>
      </w:r>
    </w:p>
    <w:p w14:paraId="346C265D" w14:textId="51F72ED1" w:rsidR="00492EE8" w:rsidRPr="00E126C2" w:rsidRDefault="00492EE8" w:rsidP="007C1875">
      <w:pPr>
        <w:pStyle w:val="Odstavekseznama"/>
        <w:numPr>
          <w:ilvl w:val="0"/>
          <w:numId w:val="20"/>
        </w:numPr>
        <w:spacing w:line="360" w:lineRule="auto"/>
        <w:rPr>
          <w:rFonts w:cs="Arial"/>
          <w:kern w:val="3"/>
          <w:sz w:val="20"/>
          <w:szCs w:val="20"/>
        </w:rPr>
      </w:pPr>
      <w:r w:rsidRPr="00E126C2">
        <w:rPr>
          <w:rFonts w:cs="Arial"/>
          <w:kern w:val="3"/>
          <w:sz w:val="20"/>
          <w:szCs w:val="20"/>
        </w:rPr>
        <w:t xml:space="preserve">na podlagi pogojev iz okvirnega sporazuma in brez ponovnega odpiranja konkurence, če sporazum določa vse pogoje, </w:t>
      </w:r>
    </w:p>
    <w:p w14:paraId="3408A064" w14:textId="042091B6" w:rsidR="00492EE8" w:rsidRPr="00E126C2" w:rsidRDefault="00492EE8" w:rsidP="007C1875">
      <w:pPr>
        <w:pStyle w:val="Odstavekseznama"/>
        <w:numPr>
          <w:ilvl w:val="0"/>
          <w:numId w:val="20"/>
        </w:numPr>
        <w:spacing w:line="360" w:lineRule="auto"/>
        <w:rPr>
          <w:rFonts w:cs="Arial"/>
          <w:kern w:val="3"/>
          <w:sz w:val="20"/>
          <w:szCs w:val="20"/>
        </w:rPr>
      </w:pPr>
      <w:r w:rsidRPr="00E126C2">
        <w:rPr>
          <w:rFonts w:cs="Arial"/>
          <w:kern w:val="3"/>
          <w:sz w:val="20"/>
          <w:szCs w:val="20"/>
        </w:rPr>
        <w:t>s ponovnim odpiranjem konkurence med gospodarskimi subjekti, podpisniki sporazuma, če ta ne vključuje vseh pogojev,</w:t>
      </w:r>
    </w:p>
    <w:p w14:paraId="49FDF7AA" w14:textId="5F774277" w:rsidR="00206175" w:rsidRPr="00E126C2" w:rsidRDefault="00492EE8" w:rsidP="007C1875">
      <w:pPr>
        <w:pStyle w:val="Odstavekseznama"/>
        <w:numPr>
          <w:ilvl w:val="0"/>
          <w:numId w:val="20"/>
        </w:numPr>
        <w:spacing w:line="360" w:lineRule="auto"/>
        <w:rPr>
          <w:rFonts w:cs="Arial"/>
          <w:kern w:val="3"/>
          <w:sz w:val="20"/>
          <w:szCs w:val="20"/>
        </w:rPr>
      </w:pPr>
      <w:r w:rsidRPr="00E126C2">
        <w:rPr>
          <w:rFonts w:cs="Arial"/>
          <w:kern w:val="3"/>
          <w:sz w:val="20"/>
          <w:szCs w:val="20"/>
        </w:rPr>
        <w:t>deloma brez ponovnega odpiranja konkurence in deloma s ponovnim odpiranjem konkurence.</w:t>
      </w:r>
    </w:p>
    <w:p w14:paraId="0B8DD974" w14:textId="77777777" w:rsidR="00206175" w:rsidRPr="00BF7302" w:rsidRDefault="00206175" w:rsidP="00AF22D1">
      <w:pPr>
        <w:pStyle w:val="ZADEVA"/>
        <w:ind w:left="0" w:firstLine="0"/>
        <w:jc w:val="both"/>
        <w:rPr>
          <w:rFonts w:cs="Arial"/>
          <w:b w:val="0"/>
          <w:szCs w:val="20"/>
          <w:highlight w:val="yellow"/>
          <w:lang w:val="sl-SI"/>
        </w:rPr>
      </w:pPr>
    </w:p>
    <w:p w14:paraId="5BDBE67E" w14:textId="6D265B44" w:rsidR="00206175" w:rsidRPr="00E126C2" w:rsidRDefault="00206175" w:rsidP="005C1A53">
      <w:pPr>
        <w:pStyle w:val="Naslov4"/>
        <w:rPr>
          <w:rFonts w:ascii="Arial" w:hAnsi="Arial" w:cs="Arial"/>
          <w:i w:val="0"/>
        </w:rPr>
      </w:pPr>
      <w:bookmarkStart w:id="25" w:name="_Toc141864059"/>
      <w:r w:rsidRPr="00E126C2">
        <w:rPr>
          <w:rFonts w:ascii="Arial" w:hAnsi="Arial" w:cs="Arial"/>
          <w:i w:val="0"/>
        </w:rPr>
        <w:t xml:space="preserve">2.3.5.1 </w:t>
      </w:r>
      <w:r w:rsidR="00B333AF" w:rsidRPr="00E126C2">
        <w:rPr>
          <w:rFonts w:ascii="Arial" w:hAnsi="Arial" w:cs="Arial"/>
          <w:i w:val="0"/>
        </w:rPr>
        <w:t>Naročila v p</w:t>
      </w:r>
      <w:r w:rsidRPr="00E126C2">
        <w:rPr>
          <w:rFonts w:ascii="Arial" w:hAnsi="Arial" w:cs="Arial"/>
          <w:i w:val="0"/>
        </w:rPr>
        <w:t>ostopki</w:t>
      </w:r>
      <w:r w:rsidR="00B333AF" w:rsidRPr="00E126C2">
        <w:rPr>
          <w:rFonts w:ascii="Arial" w:hAnsi="Arial" w:cs="Arial"/>
          <w:i w:val="0"/>
        </w:rPr>
        <w:t>h</w:t>
      </w:r>
      <w:r w:rsidRPr="00E126C2">
        <w:rPr>
          <w:rFonts w:ascii="Arial" w:hAnsi="Arial" w:cs="Arial"/>
          <w:i w:val="0"/>
        </w:rPr>
        <w:t xml:space="preserve"> javnega naročanja za sklenitev okvirnega sporazuma</w:t>
      </w:r>
      <w:bookmarkEnd w:id="25"/>
    </w:p>
    <w:p w14:paraId="1E266830" w14:textId="77777777" w:rsidR="00854405" w:rsidRPr="00E126C2" w:rsidRDefault="00854405" w:rsidP="00854405">
      <w:pPr>
        <w:pStyle w:val="ZADEVA"/>
        <w:jc w:val="both"/>
        <w:rPr>
          <w:rFonts w:cs="Arial"/>
          <w:b w:val="0"/>
          <w:szCs w:val="20"/>
          <w:lang w:val="sl-SI"/>
        </w:rPr>
      </w:pPr>
    </w:p>
    <w:p w14:paraId="3A8ED316" w14:textId="5905666B" w:rsidR="00B333AF" w:rsidRPr="00E126C2" w:rsidRDefault="00B333AF" w:rsidP="003A01EF">
      <w:pPr>
        <w:spacing w:line="360" w:lineRule="auto"/>
        <w:jc w:val="both"/>
        <w:rPr>
          <w:rFonts w:ascii="Arial" w:hAnsi="Arial" w:cs="Arial"/>
          <w:kern w:val="3"/>
          <w:sz w:val="20"/>
          <w:szCs w:val="20"/>
        </w:rPr>
      </w:pPr>
      <w:r w:rsidRPr="00E126C2">
        <w:rPr>
          <w:rFonts w:ascii="Arial" w:hAnsi="Arial" w:cs="Arial"/>
          <w:kern w:val="3"/>
          <w:sz w:val="20"/>
          <w:szCs w:val="20"/>
        </w:rPr>
        <w:t>V postopkih javnega naročanja za sklenitev okvirne</w:t>
      </w:r>
      <w:r w:rsidR="00747BC0" w:rsidRPr="00E126C2">
        <w:rPr>
          <w:rFonts w:ascii="Arial" w:hAnsi="Arial" w:cs="Arial"/>
          <w:kern w:val="3"/>
          <w:sz w:val="20"/>
          <w:szCs w:val="20"/>
        </w:rPr>
        <w:t>ga sporazuma je bilo let</w:t>
      </w:r>
      <w:r w:rsidR="00BC1956" w:rsidRPr="00E126C2">
        <w:rPr>
          <w:rFonts w:ascii="Arial" w:hAnsi="Arial" w:cs="Arial"/>
          <w:kern w:val="3"/>
          <w:sz w:val="20"/>
          <w:szCs w:val="20"/>
        </w:rPr>
        <w:t>a</w:t>
      </w:r>
      <w:r w:rsidR="00747BC0" w:rsidRPr="00E126C2">
        <w:rPr>
          <w:rFonts w:ascii="Arial" w:hAnsi="Arial" w:cs="Arial"/>
          <w:kern w:val="3"/>
          <w:sz w:val="20"/>
          <w:szCs w:val="20"/>
        </w:rPr>
        <w:t xml:space="preserve"> 20</w:t>
      </w:r>
      <w:r w:rsidR="00EB6D60" w:rsidRPr="00E126C2">
        <w:rPr>
          <w:rFonts w:ascii="Arial" w:hAnsi="Arial" w:cs="Arial"/>
          <w:kern w:val="3"/>
          <w:sz w:val="20"/>
          <w:szCs w:val="20"/>
        </w:rPr>
        <w:t>2</w:t>
      </w:r>
      <w:r w:rsidR="00E126C2" w:rsidRPr="00E126C2">
        <w:rPr>
          <w:rFonts w:ascii="Arial" w:hAnsi="Arial" w:cs="Arial"/>
          <w:kern w:val="3"/>
          <w:sz w:val="20"/>
          <w:szCs w:val="20"/>
        </w:rPr>
        <w:t>2</w:t>
      </w:r>
      <w:r w:rsidRPr="00E126C2">
        <w:rPr>
          <w:rFonts w:ascii="Arial" w:hAnsi="Arial" w:cs="Arial"/>
          <w:kern w:val="3"/>
          <w:sz w:val="20"/>
          <w:szCs w:val="20"/>
        </w:rPr>
        <w:t xml:space="preserve"> oddanih </w:t>
      </w:r>
      <w:r w:rsidR="00E126C2" w:rsidRPr="00E126C2">
        <w:rPr>
          <w:rFonts w:ascii="Arial" w:hAnsi="Arial" w:cs="Arial"/>
          <w:kern w:val="3"/>
          <w:sz w:val="20"/>
          <w:szCs w:val="20"/>
        </w:rPr>
        <w:t>6875</w:t>
      </w:r>
      <w:r w:rsidRPr="00E126C2">
        <w:rPr>
          <w:rFonts w:ascii="Arial" w:hAnsi="Arial" w:cs="Arial"/>
          <w:kern w:val="3"/>
          <w:sz w:val="20"/>
          <w:szCs w:val="20"/>
        </w:rPr>
        <w:t xml:space="preserve"> naročil v vrednosti </w:t>
      </w:r>
      <w:r w:rsidR="00E126C2" w:rsidRPr="00E126C2">
        <w:rPr>
          <w:rFonts w:ascii="Arial" w:eastAsia="Times New Roman" w:hAnsi="Arial" w:cs="Arial"/>
          <w:bCs/>
          <w:color w:val="000000"/>
          <w:sz w:val="20"/>
          <w:szCs w:val="20"/>
          <w:lang w:eastAsia="sl-SI"/>
        </w:rPr>
        <w:t xml:space="preserve">1.094.355.305 </w:t>
      </w:r>
      <w:r w:rsidRPr="00E126C2">
        <w:rPr>
          <w:rFonts w:ascii="Arial" w:hAnsi="Arial" w:cs="Arial"/>
          <w:kern w:val="3"/>
          <w:sz w:val="20"/>
          <w:szCs w:val="20"/>
        </w:rPr>
        <w:t xml:space="preserve">evrov. </w:t>
      </w:r>
      <w:r w:rsidR="008D4C98" w:rsidRPr="00E126C2">
        <w:rPr>
          <w:rFonts w:ascii="Arial" w:hAnsi="Arial" w:cs="Arial"/>
          <w:kern w:val="3"/>
          <w:sz w:val="20"/>
          <w:szCs w:val="20"/>
        </w:rPr>
        <w:t>Ta</w:t>
      </w:r>
      <w:r w:rsidRPr="00E126C2">
        <w:rPr>
          <w:rFonts w:ascii="Arial" w:hAnsi="Arial" w:cs="Arial"/>
          <w:kern w:val="3"/>
          <w:sz w:val="20"/>
          <w:szCs w:val="20"/>
        </w:rPr>
        <w:t xml:space="preserve"> </w:t>
      </w:r>
      <w:r w:rsidR="00475C0E" w:rsidRPr="00E126C2">
        <w:rPr>
          <w:rFonts w:ascii="Arial" w:hAnsi="Arial" w:cs="Arial"/>
          <w:kern w:val="3"/>
          <w:sz w:val="20"/>
          <w:szCs w:val="20"/>
        </w:rPr>
        <w:t>znaša</w:t>
      </w:r>
      <w:r w:rsidR="008D4C98" w:rsidRPr="00E126C2">
        <w:rPr>
          <w:rFonts w:ascii="Arial" w:hAnsi="Arial" w:cs="Arial"/>
          <w:kern w:val="3"/>
          <w:sz w:val="20"/>
          <w:szCs w:val="20"/>
        </w:rPr>
        <w:t xml:space="preserve"> </w:t>
      </w:r>
      <w:r w:rsidRPr="00E126C2">
        <w:rPr>
          <w:rFonts w:ascii="Arial" w:hAnsi="Arial" w:cs="Arial"/>
          <w:kern w:val="3"/>
          <w:sz w:val="20"/>
          <w:szCs w:val="20"/>
        </w:rPr>
        <w:t xml:space="preserve">v številu </w:t>
      </w:r>
      <w:r w:rsidR="00E126C2" w:rsidRPr="00E126C2">
        <w:rPr>
          <w:rFonts w:ascii="Arial" w:hAnsi="Arial" w:cs="Arial"/>
          <w:kern w:val="3"/>
          <w:sz w:val="20"/>
          <w:szCs w:val="20"/>
        </w:rPr>
        <w:t>39,92</w:t>
      </w:r>
      <w:r w:rsidR="008D4C98" w:rsidRPr="00E126C2">
        <w:rPr>
          <w:rFonts w:ascii="Arial" w:hAnsi="Arial" w:cs="Arial"/>
          <w:kern w:val="3"/>
          <w:sz w:val="20"/>
          <w:szCs w:val="20"/>
        </w:rPr>
        <w:t>-</w:t>
      </w:r>
      <w:r w:rsidRPr="00E126C2">
        <w:rPr>
          <w:rFonts w:ascii="Arial" w:hAnsi="Arial" w:cs="Arial"/>
          <w:kern w:val="3"/>
          <w:sz w:val="20"/>
          <w:szCs w:val="20"/>
        </w:rPr>
        <w:t xml:space="preserve">odstotni delež vseh oddanih naročil, v vrednosti pa </w:t>
      </w:r>
      <w:r w:rsidR="00E126C2" w:rsidRPr="00E126C2">
        <w:rPr>
          <w:rFonts w:ascii="Arial" w:hAnsi="Arial" w:cs="Arial"/>
          <w:kern w:val="3"/>
          <w:sz w:val="20"/>
          <w:szCs w:val="20"/>
        </w:rPr>
        <w:t>20,2</w:t>
      </w:r>
      <w:r w:rsidR="008D4C98" w:rsidRPr="00E126C2">
        <w:rPr>
          <w:rFonts w:ascii="Arial" w:hAnsi="Arial" w:cs="Arial"/>
          <w:kern w:val="3"/>
          <w:sz w:val="20"/>
          <w:szCs w:val="20"/>
        </w:rPr>
        <w:t>-</w:t>
      </w:r>
      <w:r w:rsidRPr="00E126C2">
        <w:rPr>
          <w:rFonts w:ascii="Arial" w:hAnsi="Arial" w:cs="Arial"/>
          <w:kern w:val="3"/>
          <w:sz w:val="20"/>
          <w:szCs w:val="20"/>
        </w:rPr>
        <w:t>odstotni delež</w:t>
      </w:r>
      <w:r w:rsidR="00475C0E" w:rsidRPr="00E126C2">
        <w:rPr>
          <w:rFonts w:ascii="Arial" w:hAnsi="Arial" w:cs="Arial"/>
          <w:kern w:val="3"/>
          <w:sz w:val="20"/>
          <w:szCs w:val="20"/>
        </w:rPr>
        <w:t>.</w:t>
      </w:r>
    </w:p>
    <w:p w14:paraId="00B5ADAA" w14:textId="0FBCCA60" w:rsidR="00611AFC" w:rsidRPr="00BF7302" w:rsidRDefault="00611AFC" w:rsidP="00611AFC">
      <w:pPr>
        <w:spacing w:line="360" w:lineRule="auto"/>
        <w:jc w:val="both"/>
        <w:rPr>
          <w:rFonts w:ascii="Arial" w:hAnsi="Arial" w:cs="Arial"/>
          <w:color w:val="000000" w:themeColor="text1"/>
          <w:szCs w:val="20"/>
          <w:highlight w:val="yellow"/>
        </w:rPr>
      </w:pPr>
      <w:r w:rsidRPr="00E126C2">
        <w:rPr>
          <w:rFonts w:ascii="Arial" w:hAnsi="Arial" w:cs="Arial"/>
          <w:color w:val="000000" w:themeColor="text1"/>
          <w:sz w:val="20"/>
          <w:szCs w:val="20"/>
          <w:lang w:eastAsia="sl-SI"/>
        </w:rPr>
        <w:t>Naročila, za katera je bil sklenjen okvirni sporazum, so bila največkrat oddana na podlagi izvedenega odprtega postopka (</w:t>
      </w:r>
      <w:r w:rsidR="009D69D9" w:rsidRPr="00E126C2">
        <w:rPr>
          <w:rFonts w:ascii="Arial" w:hAnsi="Arial" w:cs="Arial"/>
          <w:color w:val="000000" w:themeColor="text1"/>
          <w:sz w:val="20"/>
          <w:szCs w:val="20"/>
          <w:lang w:eastAsia="sl-SI"/>
        </w:rPr>
        <w:t>7</w:t>
      </w:r>
      <w:r w:rsidR="00E126C2" w:rsidRPr="00E126C2">
        <w:rPr>
          <w:rFonts w:ascii="Arial" w:hAnsi="Arial" w:cs="Arial"/>
          <w:color w:val="000000" w:themeColor="text1"/>
          <w:sz w:val="20"/>
          <w:szCs w:val="20"/>
          <w:lang w:eastAsia="sl-SI"/>
        </w:rPr>
        <w:t>8,87</w:t>
      </w:r>
      <w:r w:rsidR="00D51FFB" w:rsidRPr="00E126C2">
        <w:rPr>
          <w:rFonts w:ascii="Arial" w:hAnsi="Arial" w:cs="Arial"/>
          <w:color w:val="000000" w:themeColor="text1"/>
          <w:sz w:val="20"/>
          <w:szCs w:val="20"/>
          <w:lang w:eastAsia="sl-SI"/>
        </w:rPr>
        <w:t> </w:t>
      </w:r>
      <w:r w:rsidR="00AC0027">
        <w:rPr>
          <w:rFonts w:ascii="Arial" w:hAnsi="Arial" w:cs="Arial"/>
          <w:color w:val="000000" w:themeColor="text1"/>
          <w:sz w:val="20"/>
          <w:szCs w:val="20"/>
          <w:lang w:eastAsia="sl-SI"/>
        </w:rPr>
        <w:t>odstotka</w:t>
      </w:r>
      <w:r w:rsidRPr="00E126C2">
        <w:rPr>
          <w:rFonts w:ascii="Arial" w:hAnsi="Arial" w:cs="Arial"/>
          <w:color w:val="000000" w:themeColor="text1"/>
          <w:sz w:val="20"/>
          <w:szCs w:val="20"/>
          <w:lang w:eastAsia="sl-SI"/>
        </w:rPr>
        <w:t xml:space="preserve">), njihova vrednost pa znaša </w:t>
      </w:r>
      <w:r w:rsidR="00E126C2" w:rsidRPr="00E126C2">
        <w:rPr>
          <w:rFonts w:ascii="Arial" w:hAnsi="Arial" w:cs="Arial"/>
          <w:color w:val="000000" w:themeColor="text1"/>
          <w:sz w:val="20"/>
          <w:szCs w:val="20"/>
          <w:lang w:eastAsia="sl-SI"/>
        </w:rPr>
        <w:t>80,66</w:t>
      </w:r>
      <w:r w:rsidR="003A0541" w:rsidRPr="00E126C2">
        <w:rPr>
          <w:rFonts w:ascii="Arial" w:hAnsi="Arial" w:cs="Arial"/>
          <w:color w:val="000000" w:themeColor="text1"/>
          <w:sz w:val="20"/>
          <w:szCs w:val="20"/>
          <w:lang w:eastAsia="sl-SI"/>
        </w:rPr>
        <w:t> </w:t>
      </w:r>
      <w:r w:rsidR="00AC0027">
        <w:rPr>
          <w:rFonts w:ascii="Arial" w:hAnsi="Arial" w:cs="Arial"/>
          <w:color w:val="000000" w:themeColor="text1"/>
          <w:sz w:val="20"/>
          <w:szCs w:val="20"/>
          <w:lang w:eastAsia="sl-SI"/>
        </w:rPr>
        <w:t>odstotka</w:t>
      </w:r>
      <w:r w:rsidRPr="00E126C2">
        <w:rPr>
          <w:rFonts w:ascii="Arial" w:hAnsi="Arial" w:cs="Arial"/>
          <w:color w:val="000000" w:themeColor="text1"/>
          <w:sz w:val="20"/>
          <w:szCs w:val="20"/>
          <w:lang w:eastAsia="sl-SI"/>
        </w:rPr>
        <w:t xml:space="preserve"> vseh naročil, oddan</w:t>
      </w:r>
      <w:r w:rsidR="00EB1FC8" w:rsidRPr="00E126C2">
        <w:rPr>
          <w:rFonts w:ascii="Arial" w:hAnsi="Arial" w:cs="Arial"/>
          <w:color w:val="000000" w:themeColor="text1"/>
          <w:sz w:val="20"/>
          <w:szCs w:val="20"/>
          <w:lang w:eastAsia="sl-SI"/>
        </w:rPr>
        <w:t>ih</w:t>
      </w:r>
      <w:r w:rsidRPr="00E126C2">
        <w:rPr>
          <w:rFonts w:ascii="Arial" w:hAnsi="Arial" w:cs="Arial"/>
          <w:color w:val="000000" w:themeColor="text1"/>
          <w:sz w:val="20"/>
          <w:szCs w:val="20"/>
          <w:lang w:eastAsia="sl-SI"/>
        </w:rPr>
        <w:t xml:space="preserve"> na podlagi izvedenega postopka za sklenitev okvirnega sporazuma. Uporaba posamezne vrste postopka za oddajo naročila s sklenitvijo okvirnega sporazuma je </w:t>
      </w:r>
      <w:r w:rsidR="00A23AB7" w:rsidRPr="00E126C2">
        <w:rPr>
          <w:rFonts w:ascii="Arial" w:hAnsi="Arial" w:cs="Arial"/>
          <w:color w:val="000000" w:themeColor="text1"/>
          <w:sz w:val="20"/>
          <w:szCs w:val="20"/>
          <w:lang w:eastAsia="sl-SI"/>
        </w:rPr>
        <w:t>prikazana</w:t>
      </w:r>
      <w:r w:rsidRPr="00E126C2">
        <w:rPr>
          <w:rFonts w:ascii="Arial" w:hAnsi="Arial" w:cs="Arial"/>
          <w:color w:val="000000" w:themeColor="text1"/>
          <w:sz w:val="20"/>
          <w:szCs w:val="20"/>
          <w:lang w:eastAsia="sl-SI"/>
        </w:rPr>
        <w:t xml:space="preserve"> v spodnji preglednici. </w:t>
      </w:r>
    </w:p>
    <w:p w14:paraId="1630DBDB" w14:textId="5EBE99A6" w:rsidR="003A01EF" w:rsidRPr="00E126C2" w:rsidRDefault="002C7FDD" w:rsidP="008A61FD">
      <w:pPr>
        <w:spacing w:before="120" w:after="120" w:line="240" w:lineRule="auto"/>
        <w:jc w:val="both"/>
        <w:rPr>
          <w:rFonts w:ascii="Arial" w:hAnsi="Arial" w:cs="Arial"/>
          <w:color w:val="000000" w:themeColor="text1"/>
          <w:sz w:val="20"/>
        </w:rPr>
      </w:pPr>
      <w:r w:rsidRPr="00E126C2">
        <w:rPr>
          <w:rFonts w:ascii="Arial" w:hAnsi="Arial" w:cs="Arial"/>
          <w:color w:val="000000" w:themeColor="text1"/>
          <w:sz w:val="20"/>
        </w:rPr>
        <w:t xml:space="preserve">Preglednica </w:t>
      </w:r>
      <w:r w:rsidR="00512F52" w:rsidRPr="00E126C2">
        <w:rPr>
          <w:rFonts w:ascii="Arial" w:hAnsi="Arial" w:cs="Arial"/>
          <w:color w:val="000000" w:themeColor="text1"/>
          <w:sz w:val="20"/>
        </w:rPr>
        <w:t>14</w:t>
      </w:r>
      <w:r w:rsidRPr="00E126C2">
        <w:rPr>
          <w:rFonts w:ascii="Arial" w:hAnsi="Arial" w:cs="Arial"/>
          <w:color w:val="000000" w:themeColor="text1"/>
          <w:sz w:val="20"/>
        </w:rPr>
        <w:t>: Izvedeni postopki javnega naročanja za sklenitev okvirnega sporazuma glede na vrsto postopka</w:t>
      </w:r>
      <w:r w:rsidR="00EB1FC8" w:rsidRPr="00E126C2">
        <w:rPr>
          <w:rFonts w:ascii="Arial" w:hAnsi="Arial" w:cs="Arial"/>
          <w:color w:val="000000" w:themeColor="text1"/>
          <w:sz w:val="20"/>
        </w:rPr>
        <w:t xml:space="preserve"> </w:t>
      </w:r>
    </w:p>
    <w:tbl>
      <w:tblPr>
        <w:tblW w:w="5000" w:type="pct"/>
        <w:tblCellMar>
          <w:left w:w="70" w:type="dxa"/>
          <w:right w:w="70" w:type="dxa"/>
        </w:tblCellMar>
        <w:tblLook w:val="04A0" w:firstRow="1" w:lastRow="0" w:firstColumn="1" w:lastColumn="0" w:noHBand="0" w:noVBand="1"/>
      </w:tblPr>
      <w:tblGrid>
        <w:gridCol w:w="3694"/>
        <w:gridCol w:w="1265"/>
        <w:gridCol w:w="1559"/>
        <w:gridCol w:w="1416"/>
        <w:gridCol w:w="1240"/>
      </w:tblGrid>
      <w:tr w:rsidR="00E126C2" w:rsidRPr="00E126C2" w14:paraId="2279F134" w14:textId="77777777" w:rsidTr="00CF664F">
        <w:trPr>
          <w:trHeight w:val="456"/>
          <w:tblHeader/>
        </w:trPr>
        <w:tc>
          <w:tcPr>
            <w:tcW w:w="201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2521B949" w14:textId="77777777" w:rsidR="00E126C2" w:rsidRPr="00E126C2" w:rsidRDefault="00E126C2" w:rsidP="00E126C2">
            <w:pPr>
              <w:spacing w:after="0" w:line="240" w:lineRule="auto"/>
              <w:jc w:val="center"/>
              <w:rPr>
                <w:rFonts w:ascii="Arial" w:eastAsia="Times New Roman" w:hAnsi="Arial" w:cs="Arial"/>
                <w:color w:val="000000"/>
                <w:sz w:val="18"/>
                <w:szCs w:val="18"/>
                <w:lang w:eastAsia="sl-SI"/>
              </w:rPr>
            </w:pPr>
            <w:r w:rsidRPr="00E126C2">
              <w:rPr>
                <w:rFonts w:ascii="Arial" w:eastAsia="Times New Roman" w:hAnsi="Arial" w:cs="Arial"/>
                <w:color w:val="000000"/>
                <w:sz w:val="18"/>
                <w:szCs w:val="18"/>
                <w:lang w:eastAsia="sl-SI"/>
              </w:rPr>
              <w:t>Vrsta postopka</w:t>
            </w:r>
          </w:p>
        </w:tc>
        <w:tc>
          <w:tcPr>
            <w:tcW w:w="689" w:type="pct"/>
            <w:tcBorders>
              <w:top w:val="single" w:sz="4" w:space="0" w:color="auto"/>
              <w:left w:val="nil"/>
              <w:bottom w:val="single" w:sz="4" w:space="0" w:color="auto"/>
              <w:right w:val="single" w:sz="4" w:space="0" w:color="auto"/>
            </w:tcBorders>
            <w:shd w:val="clear" w:color="000000" w:fill="F2F2F2"/>
            <w:vAlign w:val="center"/>
            <w:hideMark/>
          </w:tcPr>
          <w:p w14:paraId="19CDFBFD" w14:textId="77777777" w:rsidR="00E126C2" w:rsidRPr="00E126C2" w:rsidRDefault="00E126C2" w:rsidP="00E126C2">
            <w:pPr>
              <w:spacing w:after="0" w:line="240" w:lineRule="auto"/>
              <w:jc w:val="center"/>
              <w:rPr>
                <w:rFonts w:ascii="Arial" w:eastAsia="Times New Roman" w:hAnsi="Arial" w:cs="Arial"/>
                <w:color w:val="000000"/>
                <w:sz w:val="18"/>
                <w:szCs w:val="18"/>
                <w:lang w:eastAsia="sl-SI"/>
              </w:rPr>
            </w:pPr>
            <w:r w:rsidRPr="00E126C2">
              <w:rPr>
                <w:rFonts w:ascii="Arial" w:eastAsia="Times New Roman" w:hAnsi="Arial" w:cs="Arial"/>
                <w:color w:val="000000"/>
                <w:sz w:val="18"/>
                <w:szCs w:val="18"/>
                <w:lang w:eastAsia="sl-SI"/>
              </w:rPr>
              <w:t>Št. naročil</w:t>
            </w:r>
          </w:p>
        </w:tc>
        <w:tc>
          <w:tcPr>
            <w:tcW w:w="849" w:type="pct"/>
            <w:tcBorders>
              <w:top w:val="single" w:sz="4" w:space="0" w:color="auto"/>
              <w:left w:val="nil"/>
              <w:bottom w:val="single" w:sz="4" w:space="0" w:color="auto"/>
              <w:right w:val="single" w:sz="4" w:space="0" w:color="auto"/>
            </w:tcBorders>
            <w:shd w:val="clear" w:color="000000" w:fill="F2F2F2"/>
            <w:vAlign w:val="center"/>
            <w:hideMark/>
          </w:tcPr>
          <w:p w14:paraId="0E48E3EB" w14:textId="77777777" w:rsidR="00E126C2" w:rsidRPr="00E126C2" w:rsidRDefault="00E126C2" w:rsidP="00E126C2">
            <w:pPr>
              <w:spacing w:after="0" w:line="240" w:lineRule="auto"/>
              <w:jc w:val="center"/>
              <w:rPr>
                <w:rFonts w:ascii="Arial" w:eastAsia="Times New Roman" w:hAnsi="Arial" w:cs="Arial"/>
                <w:color w:val="000000"/>
                <w:sz w:val="18"/>
                <w:szCs w:val="18"/>
                <w:lang w:eastAsia="sl-SI"/>
              </w:rPr>
            </w:pPr>
            <w:r w:rsidRPr="00E126C2">
              <w:rPr>
                <w:rFonts w:ascii="Arial" w:eastAsia="Times New Roman" w:hAnsi="Arial" w:cs="Arial"/>
                <w:color w:val="000000"/>
                <w:sz w:val="18"/>
                <w:szCs w:val="18"/>
                <w:lang w:eastAsia="sl-SI"/>
              </w:rPr>
              <w:t>Pogodbena vrednost</w:t>
            </w:r>
          </w:p>
        </w:tc>
        <w:tc>
          <w:tcPr>
            <w:tcW w:w="772" w:type="pct"/>
            <w:tcBorders>
              <w:top w:val="single" w:sz="4" w:space="0" w:color="auto"/>
              <w:left w:val="nil"/>
              <w:bottom w:val="single" w:sz="4" w:space="0" w:color="auto"/>
              <w:right w:val="single" w:sz="4" w:space="0" w:color="auto"/>
            </w:tcBorders>
            <w:shd w:val="clear" w:color="000000" w:fill="F2F2F2"/>
            <w:vAlign w:val="center"/>
            <w:hideMark/>
          </w:tcPr>
          <w:p w14:paraId="1D5C5B08" w14:textId="77777777" w:rsidR="00E126C2" w:rsidRPr="00E126C2" w:rsidRDefault="00E126C2" w:rsidP="00E126C2">
            <w:pPr>
              <w:spacing w:after="0" w:line="240" w:lineRule="auto"/>
              <w:jc w:val="center"/>
              <w:rPr>
                <w:rFonts w:ascii="Arial" w:eastAsia="Times New Roman" w:hAnsi="Arial" w:cs="Arial"/>
                <w:color w:val="000000"/>
                <w:sz w:val="18"/>
                <w:szCs w:val="18"/>
                <w:lang w:eastAsia="sl-SI"/>
              </w:rPr>
            </w:pPr>
            <w:r w:rsidRPr="00E126C2">
              <w:rPr>
                <w:rFonts w:ascii="Arial" w:eastAsia="Times New Roman" w:hAnsi="Arial" w:cs="Arial"/>
                <w:color w:val="000000"/>
                <w:sz w:val="18"/>
                <w:szCs w:val="18"/>
                <w:lang w:eastAsia="sl-SI"/>
              </w:rPr>
              <w:t>Delež v št. naročil</w:t>
            </w:r>
          </w:p>
        </w:tc>
        <w:tc>
          <w:tcPr>
            <w:tcW w:w="676" w:type="pct"/>
            <w:tcBorders>
              <w:top w:val="single" w:sz="4" w:space="0" w:color="auto"/>
              <w:left w:val="nil"/>
              <w:bottom w:val="single" w:sz="4" w:space="0" w:color="auto"/>
              <w:right w:val="single" w:sz="4" w:space="0" w:color="auto"/>
            </w:tcBorders>
            <w:shd w:val="clear" w:color="000000" w:fill="F2F2F2"/>
            <w:vAlign w:val="center"/>
            <w:hideMark/>
          </w:tcPr>
          <w:p w14:paraId="7B1CFF45" w14:textId="77777777" w:rsidR="00E126C2" w:rsidRPr="00E126C2" w:rsidRDefault="00E126C2" w:rsidP="00E126C2">
            <w:pPr>
              <w:spacing w:after="0" w:line="240" w:lineRule="auto"/>
              <w:jc w:val="center"/>
              <w:rPr>
                <w:rFonts w:ascii="Arial" w:eastAsia="Times New Roman" w:hAnsi="Arial" w:cs="Arial"/>
                <w:color w:val="000000"/>
                <w:sz w:val="18"/>
                <w:szCs w:val="18"/>
                <w:lang w:eastAsia="sl-SI"/>
              </w:rPr>
            </w:pPr>
            <w:r w:rsidRPr="00E126C2">
              <w:rPr>
                <w:rFonts w:ascii="Arial" w:eastAsia="Times New Roman" w:hAnsi="Arial" w:cs="Arial"/>
                <w:color w:val="000000"/>
                <w:sz w:val="18"/>
                <w:szCs w:val="18"/>
                <w:lang w:eastAsia="sl-SI"/>
              </w:rPr>
              <w:t>Delež v vrednosti</w:t>
            </w:r>
          </w:p>
        </w:tc>
      </w:tr>
      <w:tr w:rsidR="00E126C2" w:rsidRPr="00E126C2" w14:paraId="0AEB3C1C" w14:textId="77777777" w:rsidTr="00CF664F">
        <w:trPr>
          <w:trHeight w:val="288"/>
        </w:trPr>
        <w:tc>
          <w:tcPr>
            <w:tcW w:w="2013" w:type="pct"/>
            <w:tcBorders>
              <w:top w:val="nil"/>
              <w:left w:val="single" w:sz="4" w:space="0" w:color="auto"/>
              <w:bottom w:val="single" w:sz="4" w:space="0" w:color="auto"/>
              <w:right w:val="single" w:sz="4" w:space="0" w:color="auto"/>
            </w:tcBorders>
            <w:shd w:val="clear" w:color="auto" w:fill="auto"/>
            <w:noWrap/>
            <w:vAlign w:val="center"/>
            <w:hideMark/>
          </w:tcPr>
          <w:p w14:paraId="3B272A8A" w14:textId="77777777" w:rsidR="00E126C2" w:rsidRPr="00E126C2" w:rsidRDefault="00E126C2" w:rsidP="00E126C2">
            <w:pPr>
              <w:spacing w:after="0" w:line="240" w:lineRule="auto"/>
              <w:rPr>
                <w:rFonts w:ascii="Arial" w:eastAsia="Times New Roman" w:hAnsi="Arial" w:cs="Arial"/>
                <w:color w:val="000000"/>
                <w:sz w:val="18"/>
                <w:szCs w:val="18"/>
                <w:lang w:eastAsia="sl-SI"/>
              </w:rPr>
            </w:pPr>
            <w:r w:rsidRPr="00E126C2">
              <w:rPr>
                <w:rFonts w:ascii="Arial" w:eastAsia="Times New Roman" w:hAnsi="Arial" w:cs="Arial"/>
                <w:color w:val="000000"/>
                <w:sz w:val="18"/>
                <w:szCs w:val="18"/>
                <w:lang w:eastAsia="sl-SI"/>
              </w:rPr>
              <w:t>Konkurenčni dialog</w:t>
            </w:r>
          </w:p>
        </w:tc>
        <w:tc>
          <w:tcPr>
            <w:tcW w:w="689" w:type="pct"/>
            <w:tcBorders>
              <w:top w:val="nil"/>
              <w:left w:val="nil"/>
              <w:bottom w:val="single" w:sz="4" w:space="0" w:color="auto"/>
              <w:right w:val="single" w:sz="4" w:space="0" w:color="auto"/>
            </w:tcBorders>
            <w:shd w:val="clear" w:color="auto" w:fill="auto"/>
            <w:noWrap/>
            <w:vAlign w:val="center"/>
            <w:hideMark/>
          </w:tcPr>
          <w:p w14:paraId="6897B105" w14:textId="77777777" w:rsidR="00E126C2" w:rsidRPr="00E126C2" w:rsidRDefault="00E126C2" w:rsidP="00E126C2">
            <w:pPr>
              <w:spacing w:after="0" w:line="240" w:lineRule="auto"/>
              <w:jc w:val="right"/>
              <w:rPr>
                <w:rFonts w:ascii="Arial" w:eastAsia="Times New Roman" w:hAnsi="Arial" w:cs="Arial"/>
                <w:color w:val="000000"/>
                <w:sz w:val="18"/>
                <w:szCs w:val="18"/>
                <w:lang w:eastAsia="sl-SI"/>
              </w:rPr>
            </w:pPr>
            <w:r w:rsidRPr="00E126C2">
              <w:rPr>
                <w:rFonts w:ascii="Arial" w:eastAsia="Times New Roman" w:hAnsi="Arial" w:cs="Arial"/>
                <w:color w:val="000000"/>
                <w:sz w:val="18"/>
                <w:szCs w:val="18"/>
                <w:lang w:eastAsia="sl-SI"/>
              </w:rPr>
              <w:t>11</w:t>
            </w:r>
          </w:p>
        </w:tc>
        <w:tc>
          <w:tcPr>
            <w:tcW w:w="849" w:type="pct"/>
            <w:tcBorders>
              <w:top w:val="nil"/>
              <w:left w:val="nil"/>
              <w:bottom w:val="single" w:sz="4" w:space="0" w:color="auto"/>
              <w:right w:val="single" w:sz="4" w:space="0" w:color="auto"/>
            </w:tcBorders>
            <w:shd w:val="clear" w:color="auto" w:fill="auto"/>
            <w:noWrap/>
            <w:vAlign w:val="center"/>
            <w:hideMark/>
          </w:tcPr>
          <w:p w14:paraId="1E6EF232" w14:textId="77777777" w:rsidR="00E126C2" w:rsidRPr="00E126C2" w:rsidRDefault="00E126C2" w:rsidP="00E126C2">
            <w:pPr>
              <w:spacing w:after="0" w:line="240" w:lineRule="auto"/>
              <w:jc w:val="right"/>
              <w:rPr>
                <w:rFonts w:ascii="Arial" w:eastAsia="Times New Roman" w:hAnsi="Arial" w:cs="Arial"/>
                <w:color w:val="000000"/>
                <w:sz w:val="18"/>
                <w:szCs w:val="18"/>
                <w:lang w:eastAsia="sl-SI"/>
              </w:rPr>
            </w:pPr>
            <w:r w:rsidRPr="00E126C2">
              <w:rPr>
                <w:rFonts w:ascii="Arial" w:eastAsia="Times New Roman" w:hAnsi="Arial" w:cs="Arial"/>
                <w:color w:val="000000"/>
                <w:sz w:val="18"/>
                <w:szCs w:val="18"/>
                <w:lang w:eastAsia="sl-SI"/>
              </w:rPr>
              <w:t>62.209</w:t>
            </w:r>
          </w:p>
        </w:tc>
        <w:tc>
          <w:tcPr>
            <w:tcW w:w="772" w:type="pct"/>
            <w:tcBorders>
              <w:top w:val="nil"/>
              <w:left w:val="nil"/>
              <w:bottom w:val="single" w:sz="4" w:space="0" w:color="auto"/>
              <w:right w:val="single" w:sz="4" w:space="0" w:color="auto"/>
            </w:tcBorders>
            <w:shd w:val="clear" w:color="auto" w:fill="auto"/>
            <w:noWrap/>
            <w:vAlign w:val="center"/>
            <w:hideMark/>
          </w:tcPr>
          <w:p w14:paraId="214E38CA" w14:textId="3A6ADEC9" w:rsidR="00E126C2" w:rsidRPr="00E126C2" w:rsidRDefault="00E126C2" w:rsidP="00E126C2">
            <w:pPr>
              <w:spacing w:after="0" w:line="240" w:lineRule="auto"/>
              <w:jc w:val="right"/>
              <w:rPr>
                <w:rFonts w:ascii="Arial" w:eastAsia="Times New Roman" w:hAnsi="Arial" w:cs="Arial"/>
                <w:color w:val="000000"/>
                <w:sz w:val="18"/>
                <w:szCs w:val="18"/>
                <w:lang w:eastAsia="sl-SI"/>
              </w:rPr>
            </w:pPr>
            <w:r w:rsidRPr="00E126C2">
              <w:rPr>
                <w:rFonts w:ascii="Arial" w:eastAsia="Times New Roman" w:hAnsi="Arial" w:cs="Arial"/>
                <w:color w:val="000000"/>
                <w:sz w:val="18"/>
                <w:szCs w:val="18"/>
                <w:lang w:eastAsia="sl-SI"/>
              </w:rPr>
              <w:t>0,16 %</w:t>
            </w:r>
          </w:p>
        </w:tc>
        <w:tc>
          <w:tcPr>
            <w:tcW w:w="676" w:type="pct"/>
            <w:tcBorders>
              <w:top w:val="nil"/>
              <w:left w:val="nil"/>
              <w:bottom w:val="single" w:sz="4" w:space="0" w:color="auto"/>
              <w:right w:val="single" w:sz="4" w:space="0" w:color="auto"/>
            </w:tcBorders>
            <w:shd w:val="clear" w:color="auto" w:fill="auto"/>
            <w:noWrap/>
            <w:vAlign w:val="center"/>
            <w:hideMark/>
          </w:tcPr>
          <w:p w14:paraId="50E561F1" w14:textId="3A824161" w:rsidR="00E126C2" w:rsidRPr="00E126C2" w:rsidRDefault="00E126C2" w:rsidP="00E126C2">
            <w:pPr>
              <w:spacing w:after="0" w:line="240" w:lineRule="auto"/>
              <w:jc w:val="right"/>
              <w:rPr>
                <w:rFonts w:ascii="Arial" w:eastAsia="Times New Roman" w:hAnsi="Arial" w:cs="Arial"/>
                <w:color w:val="000000"/>
                <w:sz w:val="18"/>
                <w:szCs w:val="18"/>
                <w:lang w:eastAsia="sl-SI"/>
              </w:rPr>
            </w:pPr>
            <w:r w:rsidRPr="00E126C2">
              <w:rPr>
                <w:rFonts w:ascii="Arial" w:eastAsia="Times New Roman" w:hAnsi="Arial" w:cs="Arial"/>
                <w:color w:val="000000"/>
                <w:sz w:val="18"/>
                <w:szCs w:val="18"/>
                <w:lang w:eastAsia="sl-SI"/>
              </w:rPr>
              <w:t>0,01 %</w:t>
            </w:r>
          </w:p>
        </w:tc>
      </w:tr>
      <w:tr w:rsidR="00E126C2" w:rsidRPr="00E126C2" w14:paraId="32F2FFC2" w14:textId="77777777" w:rsidTr="00CF664F">
        <w:trPr>
          <w:trHeight w:val="288"/>
        </w:trPr>
        <w:tc>
          <w:tcPr>
            <w:tcW w:w="2013" w:type="pct"/>
            <w:tcBorders>
              <w:top w:val="nil"/>
              <w:left w:val="single" w:sz="4" w:space="0" w:color="auto"/>
              <w:bottom w:val="single" w:sz="4" w:space="0" w:color="auto"/>
              <w:right w:val="single" w:sz="4" w:space="0" w:color="auto"/>
            </w:tcBorders>
            <w:shd w:val="clear" w:color="auto" w:fill="auto"/>
            <w:noWrap/>
            <w:vAlign w:val="center"/>
            <w:hideMark/>
          </w:tcPr>
          <w:p w14:paraId="7D6DC4AD" w14:textId="77777777" w:rsidR="00E126C2" w:rsidRPr="00E126C2" w:rsidRDefault="00E126C2" w:rsidP="00E126C2">
            <w:pPr>
              <w:spacing w:after="0" w:line="240" w:lineRule="auto"/>
              <w:rPr>
                <w:rFonts w:ascii="Arial" w:eastAsia="Times New Roman" w:hAnsi="Arial" w:cs="Arial"/>
                <w:color w:val="000000"/>
                <w:sz w:val="18"/>
                <w:szCs w:val="18"/>
                <w:lang w:eastAsia="sl-SI"/>
              </w:rPr>
            </w:pPr>
            <w:r w:rsidRPr="00E126C2">
              <w:rPr>
                <w:rFonts w:ascii="Arial" w:eastAsia="Times New Roman" w:hAnsi="Arial" w:cs="Arial"/>
                <w:color w:val="000000"/>
                <w:sz w:val="18"/>
                <w:szCs w:val="18"/>
                <w:lang w:eastAsia="sl-SI"/>
              </w:rPr>
              <w:t>Konkurenčni postopek s pogajanji</w:t>
            </w:r>
          </w:p>
        </w:tc>
        <w:tc>
          <w:tcPr>
            <w:tcW w:w="689" w:type="pct"/>
            <w:tcBorders>
              <w:top w:val="nil"/>
              <w:left w:val="nil"/>
              <w:bottom w:val="single" w:sz="4" w:space="0" w:color="auto"/>
              <w:right w:val="single" w:sz="4" w:space="0" w:color="auto"/>
            </w:tcBorders>
            <w:shd w:val="clear" w:color="auto" w:fill="auto"/>
            <w:noWrap/>
            <w:vAlign w:val="center"/>
            <w:hideMark/>
          </w:tcPr>
          <w:p w14:paraId="771F1E20" w14:textId="77777777" w:rsidR="00E126C2" w:rsidRPr="00E126C2" w:rsidRDefault="00E126C2" w:rsidP="00E126C2">
            <w:pPr>
              <w:spacing w:after="0" w:line="240" w:lineRule="auto"/>
              <w:jc w:val="right"/>
              <w:rPr>
                <w:rFonts w:ascii="Arial" w:eastAsia="Times New Roman" w:hAnsi="Arial" w:cs="Arial"/>
                <w:color w:val="000000"/>
                <w:sz w:val="18"/>
                <w:szCs w:val="18"/>
                <w:lang w:eastAsia="sl-SI"/>
              </w:rPr>
            </w:pPr>
            <w:r w:rsidRPr="00E126C2">
              <w:rPr>
                <w:rFonts w:ascii="Arial" w:eastAsia="Times New Roman" w:hAnsi="Arial" w:cs="Arial"/>
                <w:color w:val="000000"/>
                <w:sz w:val="18"/>
                <w:szCs w:val="18"/>
                <w:lang w:eastAsia="sl-SI"/>
              </w:rPr>
              <w:t>25</w:t>
            </w:r>
          </w:p>
        </w:tc>
        <w:tc>
          <w:tcPr>
            <w:tcW w:w="849" w:type="pct"/>
            <w:tcBorders>
              <w:top w:val="nil"/>
              <w:left w:val="nil"/>
              <w:bottom w:val="single" w:sz="4" w:space="0" w:color="auto"/>
              <w:right w:val="single" w:sz="4" w:space="0" w:color="auto"/>
            </w:tcBorders>
            <w:shd w:val="clear" w:color="auto" w:fill="auto"/>
            <w:noWrap/>
            <w:vAlign w:val="center"/>
            <w:hideMark/>
          </w:tcPr>
          <w:p w14:paraId="7FD3A66F" w14:textId="77777777" w:rsidR="00E126C2" w:rsidRPr="00E126C2" w:rsidRDefault="00E126C2" w:rsidP="00E126C2">
            <w:pPr>
              <w:spacing w:after="0" w:line="240" w:lineRule="auto"/>
              <w:jc w:val="right"/>
              <w:rPr>
                <w:rFonts w:ascii="Arial" w:eastAsia="Times New Roman" w:hAnsi="Arial" w:cs="Arial"/>
                <w:color w:val="000000"/>
                <w:sz w:val="18"/>
                <w:szCs w:val="18"/>
                <w:lang w:eastAsia="sl-SI"/>
              </w:rPr>
            </w:pPr>
            <w:r w:rsidRPr="00E126C2">
              <w:rPr>
                <w:rFonts w:ascii="Arial" w:eastAsia="Times New Roman" w:hAnsi="Arial" w:cs="Arial"/>
                <w:color w:val="000000"/>
                <w:sz w:val="18"/>
                <w:szCs w:val="18"/>
                <w:lang w:eastAsia="sl-SI"/>
              </w:rPr>
              <w:t>1.762.720</w:t>
            </w:r>
          </w:p>
        </w:tc>
        <w:tc>
          <w:tcPr>
            <w:tcW w:w="772" w:type="pct"/>
            <w:tcBorders>
              <w:top w:val="nil"/>
              <w:left w:val="nil"/>
              <w:bottom w:val="single" w:sz="4" w:space="0" w:color="auto"/>
              <w:right w:val="single" w:sz="4" w:space="0" w:color="auto"/>
            </w:tcBorders>
            <w:shd w:val="clear" w:color="auto" w:fill="auto"/>
            <w:noWrap/>
            <w:vAlign w:val="center"/>
            <w:hideMark/>
          </w:tcPr>
          <w:p w14:paraId="75A4F76B" w14:textId="30F1914C" w:rsidR="00E126C2" w:rsidRPr="00E126C2" w:rsidRDefault="00E126C2" w:rsidP="00E126C2">
            <w:pPr>
              <w:spacing w:after="0" w:line="240" w:lineRule="auto"/>
              <w:jc w:val="right"/>
              <w:rPr>
                <w:rFonts w:ascii="Arial" w:eastAsia="Times New Roman" w:hAnsi="Arial" w:cs="Arial"/>
                <w:color w:val="000000"/>
                <w:sz w:val="18"/>
                <w:szCs w:val="18"/>
                <w:lang w:eastAsia="sl-SI"/>
              </w:rPr>
            </w:pPr>
            <w:r w:rsidRPr="00E126C2">
              <w:rPr>
                <w:rFonts w:ascii="Arial" w:eastAsia="Times New Roman" w:hAnsi="Arial" w:cs="Arial"/>
                <w:color w:val="000000"/>
                <w:sz w:val="18"/>
                <w:szCs w:val="18"/>
                <w:lang w:eastAsia="sl-SI"/>
              </w:rPr>
              <w:t>0,36 %</w:t>
            </w:r>
          </w:p>
        </w:tc>
        <w:tc>
          <w:tcPr>
            <w:tcW w:w="676" w:type="pct"/>
            <w:tcBorders>
              <w:top w:val="nil"/>
              <w:left w:val="nil"/>
              <w:bottom w:val="single" w:sz="4" w:space="0" w:color="auto"/>
              <w:right w:val="single" w:sz="4" w:space="0" w:color="auto"/>
            </w:tcBorders>
            <w:shd w:val="clear" w:color="auto" w:fill="auto"/>
            <w:noWrap/>
            <w:vAlign w:val="center"/>
            <w:hideMark/>
          </w:tcPr>
          <w:p w14:paraId="54B4B0E4" w14:textId="3212FA4F" w:rsidR="00E126C2" w:rsidRPr="00E126C2" w:rsidRDefault="00E126C2" w:rsidP="00E126C2">
            <w:pPr>
              <w:spacing w:after="0" w:line="240" w:lineRule="auto"/>
              <w:jc w:val="right"/>
              <w:rPr>
                <w:rFonts w:ascii="Arial" w:eastAsia="Times New Roman" w:hAnsi="Arial" w:cs="Arial"/>
                <w:color w:val="000000"/>
                <w:sz w:val="18"/>
                <w:szCs w:val="18"/>
                <w:lang w:eastAsia="sl-SI"/>
              </w:rPr>
            </w:pPr>
            <w:r w:rsidRPr="00E126C2">
              <w:rPr>
                <w:rFonts w:ascii="Arial" w:eastAsia="Times New Roman" w:hAnsi="Arial" w:cs="Arial"/>
                <w:color w:val="000000"/>
                <w:sz w:val="18"/>
                <w:szCs w:val="18"/>
                <w:lang w:eastAsia="sl-SI"/>
              </w:rPr>
              <w:t>0,16 %</w:t>
            </w:r>
          </w:p>
        </w:tc>
      </w:tr>
      <w:tr w:rsidR="00E126C2" w:rsidRPr="00E126C2" w14:paraId="152DF3CF" w14:textId="77777777" w:rsidTr="00CF664F">
        <w:trPr>
          <w:trHeight w:val="288"/>
        </w:trPr>
        <w:tc>
          <w:tcPr>
            <w:tcW w:w="2013" w:type="pct"/>
            <w:tcBorders>
              <w:top w:val="nil"/>
              <w:left w:val="single" w:sz="4" w:space="0" w:color="auto"/>
              <w:bottom w:val="single" w:sz="4" w:space="0" w:color="auto"/>
              <w:right w:val="single" w:sz="4" w:space="0" w:color="auto"/>
            </w:tcBorders>
            <w:shd w:val="clear" w:color="auto" w:fill="auto"/>
            <w:noWrap/>
            <w:vAlign w:val="center"/>
            <w:hideMark/>
          </w:tcPr>
          <w:p w14:paraId="2F4A82A7" w14:textId="77777777" w:rsidR="00E126C2" w:rsidRPr="00E126C2" w:rsidRDefault="00E126C2" w:rsidP="00E126C2">
            <w:pPr>
              <w:spacing w:after="0" w:line="240" w:lineRule="auto"/>
              <w:rPr>
                <w:rFonts w:ascii="Arial" w:eastAsia="Times New Roman" w:hAnsi="Arial" w:cs="Arial"/>
                <w:color w:val="000000"/>
                <w:sz w:val="18"/>
                <w:szCs w:val="18"/>
                <w:lang w:eastAsia="sl-SI"/>
              </w:rPr>
            </w:pPr>
            <w:r w:rsidRPr="00E126C2">
              <w:rPr>
                <w:rFonts w:ascii="Arial" w:eastAsia="Times New Roman" w:hAnsi="Arial" w:cs="Arial"/>
                <w:color w:val="000000"/>
                <w:sz w:val="18"/>
                <w:szCs w:val="18"/>
                <w:lang w:eastAsia="sl-SI"/>
              </w:rPr>
              <w:t>Odprti postopek</w:t>
            </w:r>
          </w:p>
        </w:tc>
        <w:tc>
          <w:tcPr>
            <w:tcW w:w="689" w:type="pct"/>
            <w:tcBorders>
              <w:top w:val="nil"/>
              <w:left w:val="nil"/>
              <w:bottom w:val="single" w:sz="4" w:space="0" w:color="auto"/>
              <w:right w:val="single" w:sz="4" w:space="0" w:color="auto"/>
            </w:tcBorders>
            <w:shd w:val="clear" w:color="auto" w:fill="auto"/>
            <w:noWrap/>
            <w:vAlign w:val="center"/>
            <w:hideMark/>
          </w:tcPr>
          <w:p w14:paraId="58831DF4" w14:textId="77777777" w:rsidR="00E126C2" w:rsidRPr="00E126C2" w:rsidRDefault="00E126C2" w:rsidP="00E126C2">
            <w:pPr>
              <w:spacing w:after="0" w:line="240" w:lineRule="auto"/>
              <w:jc w:val="right"/>
              <w:rPr>
                <w:rFonts w:ascii="Arial" w:eastAsia="Times New Roman" w:hAnsi="Arial" w:cs="Arial"/>
                <w:color w:val="000000"/>
                <w:sz w:val="18"/>
                <w:szCs w:val="18"/>
                <w:lang w:eastAsia="sl-SI"/>
              </w:rPr>
            </w:pPr>
            <w:r w:rsidRPr="00E126C2">
              <w:rPr>
                <w:rFonts w:ascii="Arial" w:eastAsia="Times New Roman" w:hAnsi="Arial" w:cs="Arial"/>
                <w:color w:val="000000"/>
                <w:sz w:val="18"/>
                <w:szCs w:val="18"/>
                <w:lang w:eastAsia="sl-SI"/>
              </w:rPr>
              <w:t>5.422</w:t>
            </w:r>
          </w:p>
        </w:tc>
        <w:tc>
          <w:tcPr>
            <w:tcW w:w="849" w:type="pct"/>
            <w:tcBorders>
              <w:top w:val="nil"/>
              <w:left w:val="nil"/>
              <w:bottom w:val="single" w:sz="4" w:space="0" w:color="auto"/>
              <w:right w:val="single" w:sz="4" w:space="0" w:color="auto"/>
            </w:tcBorders>
            <w:shd w:val="clear" w:color="auto" w:fill="auto"/>
            <w:noWrap/>
            <w:vAlign w:val="center"/>
            <w:hideMark/>
          </w:tcPr>
          <w:p w14:paraId="3920F8F3" w14:textId="77777777" w:rsidR="00E126C2" w:rsidRPr="00E126C2" w:rsidRDefault="00E126C2" w:rsidP="00E126C2">
            <w:pPr>
              <w:spacing w:after="0" w:line="240" w:lineRule="auto"/>
              <w:jc w:val="right"/>
              <w:rPr>
                <w:rFonts w:ascii="Arial" w:eastAsia="Times New Roman" w:hAnsi="Arial" w:cs="Arial"/>
                <w:color w:val="000000"/>
                <w:sz w:val="18"/>
                <w:szCs w:val="18"/>
                <w:lang w:eastAsia="sl-SI"/>
              </w:rPr>
            </w:pPr>
            <w:r w:rsidRPr="00E126C2">
              <w:rPr>
                <w:rFonts w:ascii="Arial" w:eastAsia="Times New Roman" w:hAnsi="Arial" w:cs="Arial"/>
                <w:color w:val="000000"/>
                <w:sz w:val="18"/>
                <w:szCs w:val="18"/>
                <w:lang w:eastAsia="sl-SI"/>
              </w:rPr>
              <w:t>882.732.315</w:t>
            </w:r>
          </w:p>
        </w:tc>
        <w:tc>
          <w:tcPr>
            <w:tcW w:w="772" w:type="pct"/>
            <w:tcBorders>
              <w:top w:val="nil"/>
              <w:left w:val="nil"/>
              <w:bottom w:val="single" w:sz="4" w:space="0" w:color="auto"/>
              <w:right w:val="single" w:sz="4" w:space="0" w:color="auto"/>
            </w:tcBorders>
            <w:shd w:val="clear" w:color="auto" w:fill="auto"/>
            <w:noWrap/>
            <w:vAlign w:val="center"/>
            <w:hideMark/>
          </w:tcPr>
          <w:p w14:paraId="40FB5DEA" w14:textId="3E5FE701" w:rsidR="00E126C2" w:rsidRPr="00E126C2" w:rsidRDefault="00E126C2" w:rsidP="00E126C2">
            <w:pPr>
              <w:spacing w:after="0" w:line="240" w:lineRule="auto"/>
              <w:jc w:val="right"/>
              <w:rPr>
                <w:rFonts w:ascii="Arial" w:eastAsia="Times New Roman" w:hAnsi="Arial" w:cs="Arial"/>
                <w:color w:val="000000"/>
                <w:sz w:val="18"/>
                <w:szCs w:val="18"/>
                <w:lang w:eastAsia="sl-SI"/>
              </w:rPr>
            </w:pPr>
            <w:r w:rsidRPr="00E126C2">
              <w:rPr>
                <w:rFonts w:ascii="Arial" w:eastAsia="Times New Roman" w:hAnsi="Arial" w:cs="Arial"/>
                <w:color w:val="000000"/>
                <w:sz w:val="18"/>
                <w:szCs w:val="18"/>
                <w:lang w:eastAsia="sl-SI"/>
              </w:rPr>
              <w:t>78,87 %</w:t>
            </w:r>
          </w:p>
        </w:tc>
        <w:tc>
          <w:tcPr>
            <w:tcW w:w="676" w:type="pct"/>
            <w:tcBorders>
              <w:top w:val="nil"/>
              <w:left w:val="nil"/>
              <w:bottom w:val="single" w:sz="4" w:space="0" w:color="auto"/>
              <w:right w:val="single" w:sz="4" w:space="0" w:color="auto"/>
            </w:tcBorders>
            <w:shd w:val="clear" w:color="auto" w:fill="auto"/>
            <w:noWrap/>
            <w:vAlign w:val="center"/>
            <w:hideMark/>
          </w:tcPr>
          <w:p w14:paraId="064EB978" w14:textId="1D197AE6" w:rsidR="00E126C2" w:rsidRPr="00E126C2" w:rsidRDefault="00E126C2" w:rsidP="00E126C2">
            <w:pPr>
              <w:spacing w:after="0" w:line="240" w:lineRule="auto"/>
              <w:jc w:val="right"/>
              <w:rPr>
                <w:rFonts w:ascii="Arial" w:eastAsia="Times New Roman" w:hAnsi="Arial" w:cs="Arial"/>
                <w:color w:val="000000"/>
                <w:sz w:val="18"/>
                <w:szCs w:val="18"/>
                <w:lang w:eastAsia="sl-SI"/>
              </w:rPr>
            </w:pPr>
            <w:r w:rsidRPr="00E126C2">
              <w:rPr>
                <w:rFonts w:ascii="Arial" w:eastAsia="Times New Roman" w:hAnsi="Arial" w:cs="Arial"/>
                <w:color w:val="000000"/>
                <w:sz w:val="18"/>
                <w:szCs w:val="18"/>
                <w:lang w:eastAsia="sl-SI"/>
              </w:rPr>
              <w:t>80,66 %</w:t>
            </w:r>
          </w:p>
        </w:tc>
      </w:tr>
      <w:tr w:rsidR="00E126C2" w:rsidRPr="00E126C2" w14:paraId="52FC8E70" w14:textId="77777777" w:rsidTr="00CF664F">
        <w:trPr>
          <w:trHeight w:val="288"/>
        </w:trPr>
        <w:tc>
          <w:tcPr>
            <w:tcW w:w="2013" w:type="pct"/>
            <w:tcBorders>
              <w:top w:val="nil"/>
              <w:left w:val="single" w:sz="4" w:space="0" w:color="auto"/>
              <w:bottom w:val="single" w:sz="4" w:space="0" w:color="auto"/>
              <w:right w:val="single" w:sz="4" w:space="0" w:color="auto"/>
            </w:tcBorders>
            <w:shd w:val="clear" w:color="auto" w:fill="auto"/>
            <w:noWrap/>
            <w:vAlign w:val="center"/>
            <w:hideMark/>
          </w:tcPr>
          <w:p w14:paraId="1EEEFD0E" w14:textId="77777777" w:rsidR="00E126C2" w:rsidRPr="00E126C2" w:rsidRDefault="00E126C2" w:rsidP="00E126C2">
            <w:pPr>
              <w:spacing w:after="0" w:line="240" w:lineRule="auto"/>
              <w:rPr>
                <w:rFonts w:ascii="Arial" w:eastAsia="Times New Roman" w:hAnsi="Arial" w:cs="Arial"/>
                <w:color w:val="000000"/>
                <w:sz w:val="18"/>
                <w:szCs w:val="18"/>
                <w:lang w:eastAsia="sl-SI"/>
              </w:rPr>
            </w:pPr>
            <w:r w:rsidRPr="00E126C2">
              <w:rPr>
                <w:rFonts w:ascii="Arial" w:eastAsia="Times New Roman" w:hAnsi="Arial" w:cs="Arial"/>
                <w:color w:val="000000"/>
                <w:sz w:val="18"/>
                <w:szCs w:val="18"/>
                <w:lang w:eastAsia="sl-SI"/>
              </w:rPr>
              <w:t>Omejeni postopek</w:t>
            </w:r>
          </w:p>
        </w:tc>
        <w:tc>
          <w:tcPr>
            <w:tcW w:w="689" w:type="pct"/>
            <w:tcBorders>
              <w:top w:val="nil"/>
              <w:left w:val="nil"/>
              <w:bottom w:val="single" w:sz="4" w:space="0" w:color="auto"/>
              <w:right w:val="single" w:sz="4" w:space="0" w:color="auto"/>
            </w:tcBorders>
            <w:shd w:val="clear" w:color="auto" w:fill="auto"/>
            <w:noWrap/>
            <w:vAlign w:val="center"/>
            <w:hideMark/>
          </w:tcPr>
          <w:p w14:paraId="516EC60C" w14:textId="77777777" w:rsidR="00E126C2" w:rsidRPr="00E126C2" w:rsidRDefault="00E126C2" w:rsidP="00E126C2">
            <w:pPr>
              <w:spacing w:after="0" w:line="240" w:lineRule="auto"/>
              <w:jc w:val="right"/>
              <w:rPr>
                <w:rFonts w:ascii="Arial" w:eastAsia="Times New Roman" w:hAnsi="Arial" w:cs="Arial"/>
                <w:color w:val="000000"/>
                <w:sz w:val="18"/>
                <w:szCs w:val="18"/>
                <w:lang w:eastAsia="sl-SI"/>
              </w:rPr>
            </w:pPr>
            <w:r w:rsidRPr="00E126C2">
              <w:rPr>
                <w:rFonts w:ascii="Arial" w:eastAsia="Times New Roman" w:hAnsi="Arial" w:cs="Arial"/>
                <w:color w:val="000000"/>
                <w:sz w:val="18"/>
                <w:szCs w:val="18"/>
                <w:lang w:eastAsia="sl-SI"/>
              </w:rPr>
              <w:t>27</w:t>
            </w:r>
          </w:p>
        </w:tc>
        <w:tc>
          <w:tcPr>
            <w:tcW w:w="849" w:type="pct"/>
            <w:tcBorders>
              <w:top w:val="nil"/>
              <w:left w:val="nil"/>
              <w:bottom w:val="single" w:sz="4" w:space="0" w:color="auto"/>
              <w:right w:val="single" w:sz="4" w:space="0" w:color="auto"/>
            </w:tcBorders>
            <w:shd w:val="clear" w:color="auto" w:fill="auto"/>
            <w:noWrap/>
            <w:vAlign w:val="center"/>
            <w:hideMark/>
          </w:tcPr>
          <w:p w14:paraId="21B08A89" w14:textId="77777777" w:rsidR="00E126C2" w:rsidRPr="00E126C2" w:rsidRDefault="00E126C2" w:rsidP="00E126C2">
            <w:pPr>
              <w:spacing w:after="0" w:line="240" w:lineRule="auto"/>
              <w:jc w:val="right"/>
              <w:rPr>
                <w:rFonts w:ascii="Arial" w:eastAsia="Times New Roman" w:hAnsi="Arial" w:cs="Arial"/>
                <w:color w:val="000000"/>
                <w:sz w:val="18"/>
                <w:szCs w:val="18"/>
                <w:lang w:eastAsia="sl-SI"/>
              </w:rPr>
            </w:pPr>
            <w:r w:rsidRPr="00E126C2">
              <w:rPr>
                <w:rFonts w:ascii="Arial" w:eastAsia="Times New Roman" w:hAnsi="Arial" w:cs="Arial"/>
                <w:color w:val="000000"/>
                <w:sz w:val="18"/>
                <w:szCs w:val="18"/>
                <w:lang w:eastAsia="sl-SI"/>
              </w:rPr>
              <w:t>7.220.000</w:t>
            </w:r>
          </w:p>
        </w:tc>
        <w:tc>
          <w:tcPr>
            <w:tcW w:w="772" w:type="pct"/>
            <w:tcBorders>
              <w:top w:val="nil"/>
              <w:left w:val="nil"/>
              <w:bottom w:val="single" w:sz="4" w:space="0" w:color="auto"/>
              <w:right w:val="single" w:sz="4" w:space="0" w:color="auto"/>
            </w:tcBorders>
            <w:shd w:val="clear" w:color="auto" w:fill="auto"/>
            <w:noWrap/>
            <w:vAlign w:val="center"/>
            <w:hideMark/>
          </w:tcPr>
          <w:p w14:paraId="0CBF6AE3" w14:textId="002DD567" w:rsidR="00E126C2" w:rsidRPr="00E126C2" w:rsidRDefault="00E126C2" w:rsidP="00E126C2">
            <w:pPr>
              <w:spacing w:after="0" w:line="240" w:lineRule="auto"/>
              <w:jc w:val="right"/>
              <w:rPr>
                <w:rFonts w:ascii="Arial" w:eastAsia="Times New Roman" w:hAnsi="Arial" w:cs="Arial"/>
                <w:color w:val="000000"/>
                <w:sz w:val="18"/>
                <w:szCs w:val="18"/>
                <w:lang w:eastAsia="sl-SI"/>
              </w:rPr>
            </w:pPr>
            <w:r w:rsidRPr="00E126C2">
              <w:rPr>
                <w:rFonts w:ascii="Arial" w:eastAsia="Times New Roman" w:hAnsi="Arial" w:cs="Arial"/>
                <w:color w:val="000000"/>
                <w:sz w:val="18"/>
                <w:szCs w:val="18"/>
                <w:lang w:eastAsia="sl-SI"/>
              </w:rPr>
              <w:t>0,39 %</w:t>
            </w:r>
          </w:p>
        </w:tc>
        <w:tc>
          <w:tcPr>
            <w:tcW w:w="676" w:type="pct"/>
            <w:tcBorders>
              <w:top w:val="nil"/>
              <w:left w:val="nil"/>
              <w:bottom w:val="single" w:sz="4" w:space="0" w:color="auto"/>
              <w:right w:val="single" w:sz="4" w:space="0" w:color="auto"/>
            </w:tcBorders>
            <w:shd w:val="clear" w:color="auto" w:fill="auto"/>
            <w:noWrap/>
            <w:vAlign w:val="center"/>
            <w:hideMark/>
          </w:tcPr>
          <w:p w14:paraId="26743406" w14:textId="758C86FE" w:rsidR="00E126C2" w:rsidRPr="00E126C2" w:rsidRDefault="00E126C2" w:rsidP="00E126C2">
            <w:pPr>
              <w:spacing w:after="0" w:line="240" w:lineRule="auto"/>
              <w:jc w:val="right"/>
              <w:rPr>
                <w:rFonts w:ascii="Arial" w:eastAsia="Times New Roman" w:hAnsi="Arial" w:cs="Arial"/>
                <w:color w:val="000000"/>
                <w:sz w:val="18"/>
                <w:szCs w:val="18"/>
                <w:lang w:eastAsia="sl-SI"/>
              </w:rPr>
            </w:pPr>
            <w:r w:rsidRPr="00E126C2">
              <w:rPr>
                <w:rFonts w:ascii="Arial" w:eastAsia="Times New Roman" w:hAnsi="Arial" w:cs="Arial"/>
                <w:color w:val="000000"/>
                <w:sz w:val="18"/>
                <w:szCs w:val="18"/>
                <w:lang w:eastAsia="sl-SI"/>
              </w:rPr>
              <w:t>0,66 %</w:t>
            </w:r>
          </w:p>
        </w:tc>
      </w:tr>
      <w:tr w:rsidR="00E126C2" w:rsidRPr="00E126C2" w14:paraId="4703F040" w14:textId="77777777" w:rsidTr="00CF664F">
        <w:trPr>
          <w:trHeight w:val="288"/>
        </w:trPr>
        <w:tc>
          <w:tcPr>
            <w:tcW w:w="2013" w:type="pct"/>
            <w:tcBorders>
              <w:top w:val="nil"/>
              <w:left w:val="single" w:sz="4" w:space="0" w:color="auto"/>
              <w:bottom w:val="single" w:sz="4" w:space="0" w:color="auto"/>
              <w:right w:val="single" w:sz="4" w:space="0" w:color="auto"/>
            </w:tcBorders>
            <w:shd w:val="clear" w:color="auto" w:fill="auto"/>
            <w:noWrap/>
            <w:vAlign w:val="center"/>
            <w:hideMark/>
          </w:tcPr>
          <w:p w14:paraId="3DF14ABC" w14:textId="77777777" w:rsidR="00E126C2" w:rsidRPr="00E126C2" w:rsidRDefault="00E126C2" w:rsidP="00E126C2">
            <w:pPr>
              <w:spacing w:after="0" w:line="240" w:lineRule="auto"/>
              <w:rPr>
                <w:rFonts w:ascii="Arial" w:eastAsia="Times New Roman" w:hAnsi="Arial" w:cs="Arial"/>
                <w:color w:val="000000"/>
                <w:sz w:val="18"/>
                <w:szCs w:val="18"/>
                <w:lang w:eastAsia="sl-SI"/>
              </w:rPr>
            </w:pPr>
            <w:r w:rsidRPr="00E126C2">
              <w:rPr>
                <w:rFonts w:ascii="Arial" w:eastAsia="Times New Roman" w:hAnsi="Arial" w:cs="Arial"/>
                <w:color w:val="000000"/>
                <w:sz w:val="18"/>
                <w:szCs w:val="18"/>
                <w:lang w:eastAsia="sl-SI"/>
              </w:rPr>
              <w:t>Postopek naročila male vrednosti</w:t>
            </w:r>
          </w:p>
        </w:tc>
        <w:tc>
          <w:tcPr>
            <w:tcW w:w="689" w:type="pct"/>
            <w:tcBorders>
              <w:top w:val="nil"/>
              <w:left w:val="nil"/>
              <w:bottom w:val="single" w:sz="4" w:space="0" w:color="auto"/>
              <w:right w:val="single" w:sz="4" w:space="0" w:color="auto"/>
            </w:tcBorders>
            <w:shd w:val="clear" w:color="auto" w:fill="auto"/>
            <w:noWrap/>
            <w:vAlign w:val="center"/>
            <w:hideMark/>
          </w:tcPr>
          <w:p w14:paraId="6CCCE549" w14:textId="77777777" w:rsidR="00E126C2" w:rsidRPr="00E126C2" w:rsidRDefault="00E126C2" w:rsidP="00E126C2">
            <w:pPr>
              <w:spacing w:after="0" w:line="240" w:lineRule="auto"/>
              <w:jc w:val="right"/>
              <w:rPr>
                <w:rFonts w:ascii="Arial" w:eastAsia="Times New Roman" w:hAnsi="Arial" w:cs="Arial"/>
                <w:color w:val="000000"/>
                <w:sz w:val="18"/>
                <w:szCs w:val="18"/>
                <w:lang w:eastAsia="sl-SI"/>
              </w:rPr>
            </w:pPr>
            <w:r w:rsidRPr="00E126C2">
              <w:rPr>
                <w:rFonts w:ascii="Arial" w:eastAsia="Times New Roman" w:hAnsi="Arial" w:cs="Arial"/>
                <w:color w:val="000000"/>
                <w:sz w:val="18"/>
                <w:szCs w:val="18"/>
                <w:lang w:eastAsia="sl-SI"/>
              </w:rPr>
              <w:t>1.256</w:t>
            </w:r>
          </w:p>
        </w:tc>
        <w:tc>
          <w:tcPr>
            <w:tcW w:w="849" w:type="pct"/>
            <w:tcBorders>
              <w:top w:val="nil"/>
              <w:left w:val="nil"/>
              <w:bottom w:val="single" w:sz="4" w:space="0" w:color="auto"/>
              <w:right w:val="single" w:sz="4" w:space="0" w:color="auto"/>
            </w:tcBorders>
            <w:shd w:val="clear" w:color="auto" w:fill="auto"/>
            <w:noWrap/>
            <w:vAlign w:val="center"/>
            <w:hideMark/>
          </w:tcPr>
          <w:p w14:paraId="0B851D4E" w14:textId="77777777" w:rsidR="00E126C2" w:rsidRPr="00E126C2" w:rsidRDefault="00E126C2" w:rsidP="00E126C2">
            <w:pPr>
              <w:spacing w:after="0" w:line="240" w:lineRule="auto"/>
              <w:jc w:val="right"/>
              <w:rPr>
                <w:rFonts w:ascii="Arial" w:eastAsia="Times New Roman" w:hAnsi="Arial" w:cs="Arial"/>
                <w:color w:val="000000"/>
                <w:sz w:val="18"/>
                <w:szCs w:val="18"/>
                <w:lang w:eastAsia="sl-SI"/>
              </w:rPr>
            </w:pPr>
            <w:r w:rsidRPr="00E126C2">
              <w:rPr>
                <w:rFonts w:ascii="Arial" w:eastAsia="Times New Roman" w:hAnsi="Arial" w:cs="Arial"/>
                <w:color w:val="000000"/>
                <w:sz w:val="18"/>
                <w:szCs w:val="18"/>
                <w:lang w:eastAsia="sl-SI"/>
              </w:rPr>
              <w:t>63.213.536</w:t>
            </w:r>
          </w:p>
        </w:tc>
        <w:tc>
          <w:tcPr>
            <w:tcW w:w="772" w:type="pct"/>
            <w:tcBorders>
              <w:top w:val="nil"/>
              <w:left w:val="nil"/>
              <w:bottom w:val="single" w:sz="4" w:space="0" w:color="auto"/>
              <w:right w:val="single" w:sz="4" w:space="0" w:color="auto"/>
            </w:tcBorders>
            <w:shd w:val="clear" w:color="auto" w:fill="auto"/>
            <w:noWrap/>
            <w:vAlign w:val="center"/>
            <w:hideMark/>
          </w:tcPr>
          <w:p w14:paraId="0CC1EF83" w14:textId="79608131" w:rsidR="00E126C2" w:rsidRPr="00E126C2" w:rsidRDefault="00E126C2" w:rsidP="00E126C2">
            <w:pPr>
              <w:spacing w:after="0" w:line="240" w:lineRule="auto"/>
              <w:jc w:val="right"/>
              <w:rPr>
                <w:rFonts w:ascii="Arial" w:eastAsia="Times New Roman" w:hAnsi="Arial" w:cs="Arial"/>
                <w:color w:val="000000"/>
                <w:sz w:val="18"/>
                <w:szCs w:val="18"/>
                <w:lang w:eastAsia="sl-SI"/>
              </w:rPr>
            </w:pPr>
            <w:r w:rsidRPr="00E126C2">
              <w:rPr>
                <w:rFonts w:ascii="Arial" w:eastAsia="Times New Roman" w:hAnsi="Arial" w:cs="Arial"/>
                <w:color w:val="000000"/>
                <w:sz w:val="18"/>
                <w:szCs w:val="18"/>
                <w:lang w:eastAsia="sl-SI"/>
              </w:rPr>
              <w:t>18,27 %</w:t>
            </w:r>
          </w:p>
        </w:tc>
        <w:tc>
          <w:tcPr>
            <w:tcW w:w="676" w:type="pct"/>
            <w:tcBorders>
              <w:top w:val="nil"/>
              <w:left w:val="nil"/>
              <w:bottom w:val="single" w:sz="4" w:space="0" w:color="auto"/>
              <w:right w:val="single" w:sz="4" w:space="0" w:color="auto"/>
            </w:tcBorders>
            <w:shd w:val="clear" w:color="auto" w:fill="auto"/>
            <w:noWrap/>
            <w:vAlign w:val="center"/>
            <w:hideMark/>
          </w:tcPr>
          <w:p w14:paraId="070E3495" w14:textId="2B23BC61" w:rsidR="00E126C2" w:rsidRPr="00E126C2" w:rsidRDefault="00E126C2" w:rsidP="00E126C2">
            <w:pPr>
              <w:spacing w:after="0" w:line="240" w:lineRule="auto"/>
              <w:jc w:val="right"/>
              <w:rPr>
                <w:rFonts w:ascii="Arial" w:eastAsia="Times New Roman" w:hAnsi="Arial" w:cs="Arial"/>
                <w:color w:val="000000"/>
                <w:sz w:val="18"/>
                <w:szCs w:val="18"/>
                <w:lang w:eastAsia="sl-SI"/>
              </w:rPr>
            </w:pPr>
            <w:r w:rsidRPr="00E126C2">
              <w:rPr>
                <w:rFonts w:ascii="Arial" w:eastAsia="Times New Roman" w:hAnsi="Arial" w:cs="Arial"/>
                <w:color w:val="000000"/>
                <w:sz w:val="18"/>
                <w:szCs w:val="18"/>
                <w:lang w:eastAsia="sl-SI"/>
              </w:rPr>
              <w:t>5,78 %</w:t>
            </w:r>
          </w:p>
        </w:tc>
      </w:tr>
      <w:tr w:rsidR="00E126C2" w:rsidRPr="00E126C2" w14:paraId="0A361050" w14:textId="77777777" w:rsidTr="00CF664F">
        <w:trPr>
          <w:trHeight w:val="288"/>
        </w:trPr>
        <w:tc>
          <w:tcPr>
            <w:tcW w:w="2013" w:type="pct"/>
            <w:tcBorders>
              <w:top w:val="nil"/>
              <w:left w:val="single" w:sz="4" w:space="0" w:color="auto"/>
              <w:bottom w:val="single" w:sz="4" w:space="0" w:color="auto"/>
              <w:right w:val="single" w:sz="4" w:space="0" w:color="auto"/>
            </w:tcBorders>
            <w:shd w:val="clear" w:color="auto" w:fill="auto"/>
            <w:noWrap/>
            <w:vAlign w:val="center"/>
            <w:hideMark/>
          </w:tcPr>
          <w:p w14:paraId="7D24A2F5" w14:textId="77777777" w:rsidR="00E126C2" w:rsidRPr="00E126C2" w:rsidRDefault="00E126C2" w:rsidP="00E126C2">
            <w:pPr>
              <w:spacing w:after="0" w:line="240" w:lineRule="auto"/>
              <w:rPr>
                <w:rFonts w:ascii="Arial" w:eastAsia="Times New Roman" w:hAnsi="Arial" w:cs="Arial"/>
                <w:color w:val="000000"/>
                <w:sz w:val="18"/>
                <w:szCs w:val="18"/>
                <w:lang w:eastAsia="sl-SI"/>
              </w:rPr>
            </w:pPr>
            <w:r w:rsidRPr="00E126C2">
              <w:rPr>
                <w:rFonts w:ascii="Arial" w:eastAsia="Times New Roman" w:hAnsi="Arial" w:cs="Arial"/>
                <w:color w:val="000000"/>
                <w:sz w:val="18"/>
                <w:szCs w:val="18"/>
                <w:lang w:eastAsia="sl-SI"/>
              </w:rPr>
              <w:t>Postopek s pogajanji brez predhodne objave</w:t>
            </w:r>
          </w:p>
        </w:tc>
        <w:tc>
          <w:tcPr>
            <w:tcW w:w="689" w:type="pct"/>
            <w:tcBorders>
              <w:top w:val="nil"/>
              <w:left w:val="nil"/>
              <w:bottom w:val="single" w:sz="4" w:space="0" w:color="auto"/>
              <w:right w:val="single" w:sz="4" w:space="0" w:color="auto"/>
            </w:tcBorders>
            <w:shd w:val="clear" w:color="auto" w:fill="auto"/>
            <w:noWrap/>
            <w:vAlign w:val="center"/>
            <w:hideMark/>
          </w:tcPr>
          <w:p w14:paraId="018C9DCC" w14:textId="77777777" w:rsidR="00E126C2" w:rsidRPr="00E126C2" w:rsidRDefault="00E126C2" w:rsidP="00E126C2">
            <w:pPr>
              <w:spacing w:after="0" w:line="240" w:lineRule="auto"/>
              <w:jc w:val="right"/>
              <w:rPr>
                <w:rFonts w:ascii="Arial" w:eastAsia="Times New Roman" w:hAnsi="Arial" w:cs="Arial"/>
                <w:color w:val="000000"/>
                <w:sz w:val="18"/>
                <w:szCs w:val="18"/>
                <w:lang w:eastAsia="sl-SI"/>
              </w:rPr>
            </w:pPr>
            <w:r w:rsidRPr="00E126C2">
              <w:rPr>
                <w:rFonts w:ascii="Arial" w:eastAsia="Times New Roman" w:hAnsi="Arial" w:cs="Arial"/>
                <w:color w:val="000000"/>
                <w:sz w:val="18"/>
                <w:szCs w:val="18"/>
                <w:lang w:eastAsia="sl-SI"/>
              </w:rPr>
              <w:t>97</w:t>
            </w:r>
          </w:p>
        </w:tc>
        <w:tc>
          <w:tcPr>
            <w:tcW w:w="849" w:type="pct"/>
            <w:tcBorders>
              <w:top w:val="nil"/>
              <w:left w:val="nil"/>
              <w:bottom w:val="single" w:sz="4" w:space="0" w:color="auto"/>
              <w:right w:val="single" w:sz="4" w:space="0" w:color="auto"/>
            </w:tcBorders>
            <w:shd w:val="clear" w:color="auto" w:fill="auto"/>
            <w:noWrap/>
            <w:vAlign w:val="center"/>
            <w:hideMark/>
          </w:tcPr>
          <w:p w14:paraId="0A8E5A47" w14:textId="77777777" w:rsidR="00E126C2" w:rsidRPr="00E126C2" w:rsidRDefault="00E126C2" w:rsidP="00E126C2">
            <w:pPr>
              <w:spacing w:after="0" w:line="240" w:lineRule="auto"/>
              <w:jc w:val="right"/>
              <w:rPr>
                <w:rFonts w:ascii="Arial" w:eastAsia="Times New Roman" w:hAnsi="Arial" w:cs="Arial"/>
                <w:color w:val="000000"/>
                <w:sz w:val="18"/>
                <w:szCs w:val="18"/>
                <w:lang w:eastAsia="sl-SI"/>
              </w:rPr>
            </w:pPr>
            <w:r w:rsidRPr="00E126C2">
              <w:rPr>
                <w:rFonts w:ascii="Arial" w:eastAsia="Times New Roman" w:hAnsi="Arial" w:cs="Arial"/>
                <w:color w:val="000000"/>
                <w:sz w:val="18"/>
                <w:szCs w:val="18"/>
                <w:lang w:eastAsia="sl-SI"/>
              </w:rPr>
              <w:t>43.525.978</w:t>
            </w:r>
          </w:p>
        </w:tc>
        <w:tc>
          <w:tcPr>
            <w:tcW w:w="772" w:type="pct"/>
            <w:tcBorders>
              <w:top w:val="nil"/>
              <w:left w:val="nil"/>
              <w:bottom w:val="single" w:sz="4" w:space="0" w:color="auto"/>
              <w:right w:val="single" w:sz="4" w:space="0" w:color="auto"/>
            </w:tcBorders>
            <w:shd w:val="clear" w:color="auto" w:fill="auto"/>
            <w:noWrap/>
            <w:vAlign w:val="center"/>
            <w:hideMark/>
          </w:tcPr>
          <w:p w14:paraId="122A0DFE" w14:textId="06493E86" w:rsidR="00E126C2" w:rsidRPr="00E126C2" w:rsidRDefault="00E126C2" w:rsidP="00E126C2">
            <w:pPr>
              <w:spacing w:after="0" w:line="240" w:lineRule="auto"/>
              <w:jc w:val="right"/>
              <w:rPr>
                <w:rFonts w:ascii="Arial" w:eastAsia="Times New Roman" w:hAnsi="Arial" w:cs="Arial"/>
                <w:color w:val="000000"/>
                <w:sz w:val="18"/>
                <w:szCs w:val="18"/>
                <w:lang w:eastAsia="sl-SI"/>
              </w:rPr>
            </w:pPr>
            <w:r w:rsidRPr="00E126C2">
              <w:rPr>
                <w:rFonts w:ascii="Arial" w:eastAsia="Times New Roman" w:hAnsi="Arial" w:cs="Arial"/>
                <w:color w:val="000000"/>
                <w:sz w:val="18"/>
                <w:szCs w:val="18"/>
                <w:lang w:eastAsia="sl-SI"/>
              </w:rPr>
              <w:t>1,41 %</w:t>
            </w:r>
          </w:p>
        </w:tc>
        <w:tc>
          <w:tcPr>
            <w:tcW w:w="676" w:type="pct"/>
            <w:tcBorders>
              <w:top w:val="nil"/>
              <w:left w:val="nil"/>
              <w:bottom w:val="single" w:sz="4" w:space="0" w:color="auto"/>
              <w:right w:val="single" w:sz="4" w:space="0" w:color="auto"/>
            </w:tcBorders>
            <w:shd w:val="clear" w:color="auto" w:fill="auto"/>
            <w:noWrap/>
            <w:vAlign w:val="center"/>
            <w:hideMark/>
          </w:tcPr>
          <w:p w14:paraId="72679117" w14:textId="14FEA3B1" w:rsidR="00E126C2" w:rsidRPr="00E126C2" w:rsidRDefault="00E126C2" w:rsidP="00E126C2">
            <w:pPr>
              <w:spacing w:after="0" w:line="240" w:lineRule="auto"/>
              <w:jc w:val="right"/>
              <w:rPr>
                <w:rFonts w:ascii="Arial" w:eastAsia="Times New Roman" w:hAnsi="Arial" w:cs="Arial"/>
                <w:color w:val="000000"/>
                <w:sz w:val="18"/>
                <w:szCs w:val="18"/>
                <w:lang w:eastAsia="sl-SI"/>
              </w:rPr>
            </w:pPr>
            <w:r w:rsidRPr="00E126C2">
              <w:rPr>
                <w:rFonts w:ascii="Arial" w:eastAsia="Times New Roman" w:hAnsi="Arial" w:cs="Arial"/>
                <w:color w:val="000000"/>
                <w:sz w:val="18"/>
                <w:szCs w:val="18"/>
                <w:lang w:eastAsia="sl-SI"/>
              </w:rPr>
              <w:t>3,98 %</w:t>
            </w:r>
          </w:p>
        </w:tc>
      </w:tr>
      <w:tr w:rsidR="00E126C2" w:rsidRPr="00E126C2" w14:paraId="3986191F" w14:textId="77777777" w:rsidTr="00CF664F">
        <w:trPr>
          <w:trHeight w:val="288"/>
        </w:trPr>
        <w:tc>
          <w:tcPr>
            <w:tcW w:w="2013" w:type="pct"/>
            <w:tcBorders>
              <w:top w:val="nil"/>
              <w:left w:val="single" w:sz="4" w:space="0" w:color="auto"/>
              <w:bottom w:val="single" w:sz="4" w:space="0" w:color="auto"/>
              <w:right w:val="single" w:sz="4" w:space="0" w:color="auto"/>
            </w:tcBorders>
            <w:shd w:val="clear" w:color="auto" w:fill="auto"/>
            <w:noWrap/>
            <w:vAlign w:val="center"/>
            <w:hideMark/>
          </w:tcPr>
          <w:p w14:paraId="571C8CFA" w14:textId="77777777" w:rsidR="00E126C2" w:rsidRPr="00E126C2" w:rsidRDefault="00E126C2" w:rsidP="00E126C2">
            <w:pPr>
              <w:spacing w:after="0" w:line="240" w:lineRule="auto"/>
              <w:rPr>
                <w:rFonts w:ascii="Arial" w:eastAsia="Times New Roman" w:hAnsi="Arial" w:cs="Arial"/>
                <w:color w:val="000000"/>
                <w:sz w:val="18"/>
                <w:szCs w:val="18"/>
                <w:lang w:eastAsia="sl-SI"/>
              </w:rPr>
            </w:pPr>
            <w:r w:rsidRPr="00E126C2">
              <w:rPr>
                <w:rFonts w:ascii="Arial" w:eastAsia="Times New Roman" w:hAnsi="Arial" w:cs="Arial"/>
                <w:color w:val="000000"/>
                <w:sz w:val="18"/>
                <w:szCs w:val="18"/>
                <w:lang w:eastAsia="sl-SI"/>
              </w:rPr>
              <w:t>Postopek s pogajanji po predhodni objavi</w:t>
            </w:r>
          </w:p>
        </w:tc>
        <w:tc>
          <w:tcPr>
            <w:tcW w:w="689" w:type="pct"/>
            <w:tcBorders>
              <w:top w:val="nil"/>
              <w:left w:val="nil"/>
              <w:bottom w:val="single" w:sz="4" w:space="0" w:color="auto"/>
              <w:right w:val="single" w:sz="4" w:space="0" w:color="auto"/>
            </w:tcBorders>
            <w:shd w:val="clear" w:color="auto" w:fill="auto"/>
            <w:noWrap/>
            <w:vAlign w:val="center"/>
            <w:hideMark/>
          </w:tcPr>
          <w:p w14:paraId="7D592A55" w14:textId="77777777" w:rsidR="00E126C2" w:rsidRPr="00E126C2" w:rsidRDefault="00E126C2" w:rsidP="00E126C2">
            <w:pPr>
              <w:spacing w:after="0" w:line="240" w:lineRule="auto"/>
              <w:jc w:val="right"/>
              <w:rPr>
                <w:rFonts w:ascii="Arial" w:eastAsia="Times New Roman" w:hAnsi="Arial" w:cs="Arial"/>
                <w:color w:val="000000"/>
                <w:sz w:val="18"/>
                <w:szCs w:val="18"/>
                <w:lang w:eastAsia="sl-SI"/>
              </w:rPr>
            </w:pPr>
            <w:r w:rsidRPr="00E126C2">
              <w:rPr>
                <w:rFonts w:ascii="Arial" w:eastAsia="Times New Roman" w:hAnsi="Arial" w:cs="Arial"/>
                <w:color w:val="000000"/>
                <w:sz w:val="18"/>
                <w:szCs w:val="18"/>
                <w:lang w:eastAsia="sl-SI"/>
              </w:rPr>
              <w:t>37</w:t>
            </w:r>
          </w:p>
        </w:tc>
        <w:tc>
          <w:tcPr>
            <w:tcW w:w="849" w:type="pct"/>
            <w:tcBorders>
              <w:top w:val="nil"/>
              <w:left w:val="nil"/>
              <w:bottom w:val="single" w:sz="4" w:space="0" w:color="auto"/>
              <w:right w:val="single" w:sz="4" w:space="0" w:color="auto"/>
            </w:tcBorders>
            <w:shd w:val="clear" w:color="auto" w:fill="auto"/>
            <w:noWrap/>
            <w:vAlign w:val="center"/>
            <w:hideMark/>
          </w:tcPr>
          <w:p w14:paraId="60BA0513" w14:textId="77777777" w:rsidR="00E126C2" w:rsidRPr="00E126C2" w:rsidRDefault="00E126C2" w:rsidP="00E126C2">
            <w:pPr>
              <w:spacing w:after="0" w:line="240" w:lineRule="auto"/>
              <w:jc w:val="right"/>
              <w:rPr>
                <w:rFonts w:ascii="Arial" w:eastAsia="Times New Roman" w:hAnsi="Arial" w:cs="Arial"/>
                <w:color w:val="000000"/>
                <w:sz w:val="18"/>
                <w:szCs w:val="18"/>
                <w:lang w:eastAsia="sl-SI"/>
              </w:rPr>
            </w:pPr>
            <w:r w:rsidRPr="00E126C2">
              <w:rPr>
                <w:rFonts w:ascii="Arial" w:eastAsia="Times New Roman" w:hAnsi="Arial" w:cs="Arial"/>
                <w:color w:val="000000"/>
                <w:sz w:val="18"/>
                <w:szCs w:val="18"/>
                <w:lang w:eastAsia="sl-SI"/>
              </w:rPr>
              <w:t>95.838.547</w:t>
            </w:r>
          </w:p>
        </w:tc>
        <w:tc>
          <w:tcPr>
            <w:tcW w:w="772" w:type="pct"/>
            <w:tcBorders>
              <w:top w:val="nil"/>
              <w:left w:val="nil"/>
              <w:bottom w:val="single" w:sz="4" w:space="0" w:color="auto"/>
              <w:right w:val="single" w:sz="4" w:space="0" w:color="auto"/>
            </w:tcBorders>
            <w:shd w:val="clear" w:color="auto" w:fill="auto"/>
            <w:noWrap/>
            <w:vAlign w:val="center"/>
            <w:hideMark/>
          </w:tcPr>
          <w:p w14:paraId="5B619007" w14:textId="42F056FF" w:rsidR="00E126C2" w:rsidRPr="00E126C2" w:rsidRDefault="00E126C2" w:rsidP="00E126C2">
            <w:pPr>
              <w:spacing w:after="0" w:line="240" w:lineRule="auto"/>
              <w:jc w:val="right"/>
              <w:rPr>
                <w:rFonts w:ascii="Arial" w:eastAsia="Times New Roman" w:hAnsi="Arial" w:cs="Arial"/>
                <w:color w:val="000000"/>
                <w:sz w:val="18"/>
                <w:szCs w:val="18"/>
                <w:lang w:eastAsia="sl-SI"/>
              </w:rPr>
            </w:pPr>
            <w:r w:rsidRPr="00E126C2">
              <w:rPr>
                <w:rFonts w:ascii="Arial" w:eastAsia="Times New Roman" w:hAnsi="Arial" w:cs="Arial"/>
                <w:color w:val="000000"/>
                <w:sz w:val="18"/>
                <w:szCs w:val="18"/>
                <w:lang w:eastAsia="sl-SI"/>
              </w:rPr>
              <w:t>0,54 %</w:t>
            </w:r>
          </w:p>
        </w:tc>
        <w:tc>
          <w:tcPr>
            <w:tcW w:w="676" w:type="pct"/>
            <w:tcBorders>
              <w:top w:val="nil"/>
              <w:left w:val="nil"/>
              <w:bottom w:val="single" w:sz="4" w:space="0" w:color="auto"/>
              <w:right w:val="single" w:sz="4" w:space="0" w:color="auto"/>
            </w:tcBorders>
            <w:shd w:val="clear" w:color="auto" w:fill="auto"/>
            <w:noWrap/>
            <w:vAlign w:val="center"/>
            <w:hideMark/>
          </w:tcPr>
          <w:p w14:paraId="48DF4C7C" w14:textId="07DA7799" w:rsidR="00E126C2" w:rsidRPr="00E126C2" w:rsidRDefault="00E126C2" w:rsidP="00E126C2">
            <w:pPr>
              <w:spacing w:after="0" w:line="240" w:lineRule="auto"/>
              <w:jc w:val="right"/>
              <w:rPr>
                <w:rFonts w:ascii="Arial" w:eastAsia="Times New Roman" w:hAnsi="Arial" w:cs="Arial"/>
                <w:color w:val="000000"/>
                <w:sz w:val="18"/>
                <w:szCs w:val="18"/>
                <w:lang w:eastAsia="sl-SI"/>
              </w:rPr>
            </w:pPr>
            <w:r w:rsidRPr="00E126C2">
              <w:rPr>
                <w:rFonts w:ascii="Arial" w:eastAsia="Times New Roman" w:hAnsi="Arial" w:cs="Arial"/>
                <w:color w:val="000000"/>
                <w:sz w:val="18"/>
                <w:szCs w:val="18"/>
                <w:lang w:eastAsia="sl-SI"/>
              </w:rPr>
              <w:t>8,76 %</w:t>
            </w:r>
          </w:p>
        </w:tc>
      </w:tr>
      <w:tr w:rsidR="00E126C2" w:rsidRPr="00E126C2" w14:paraId="181825C3" w14:textId="77777777" w:rsidTr="00CF664F">
        <w:trPr>
          <w:trHeight w:val="288"/>
        </w:trPr>
        <w:tc>
          <w:tcPr>
            <w:tcW w:w="201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87E9F90" w14:textId="77777777" w:rsidR="00E126C2" w:rsidRPr="00E126C2" w:rsidRDefault="00E126C2" w:rsidP="00E126C2">
            <w:pPr>
              <w:spacing w:after="0" w:line="240" w:lineRule="auto"/>
              <w:rPr>
                <w:rFonts w:ascii="Arial" w:eastAsia="Times New Roman" w:hAnsi="Arial" w:cs="Arial"/>
                <w:b/>
                <w:bCs/>
                <w:color w:val="000000"/>
                <w:sz w:val="18"/>
                <w:szCs w:val="18"/>
                <w:lang w:eastAsia="sl-SI"/>
              </w:rPr>
            </w:pPr>
            <w:r w:rsidRPr="00E126C2">
              <w:rPr>
                <w:rFonts w:ascii="Arial" w:eastAsia="Times New Roman" w:hAnsi="Arial" w:cs="Arial"/>
                <w:b/>
                <w:bCs/>
                <w:color w:val="000000"/>
                <w:sz w:val="18"/>
                <w:szCs w:val="18"/>
                <w:lang w:eastAsia="sl-SI"/>
              </w:rPr>
              <w:t>Skupaj</w:t>
            </w:r>
          </w:p>
        </w:tc>
        <w:tc>
          <w:tcPr>
            <w:tcW w:w="689" w:type="pct"/>
            <w:tcBorders>
              <w:top w:val="nil"/>
              <w:left w:val="nil"/>
              <w:bottom w:val="single" w:sz="4" w:space="0" w:color="auto"/>
              <w:right w:val="single" w:sz="4" w:space="0" w:color="auto"/>
            </w:tcBorders>
            <w:shd w:val="clear" w:color="auto" w:fill="F2F2F2" w:themeFill="background1" w:themeFillShade="F2"/>
            <w:noWrap/>
            <w:vAlign w:val="center"/>
            <w:hideMark/>
          </w:tcPr>
          <w:p w14:paraId="5CBC4754" w14:textId="77777777" w:rsidR="00E126C2" w:rsidRPr="00E126C2" w:rsidRDefault="00E126C2" w:rsidP="00E126C2">
            <w:pPr>
              <w:spacing w:after="0" w:line="240" w:lineRule="auto"/>
              <w:jc w:val="right"/>
              <w:rPr>
                <w:rFonts w:ascii="Arial" w:eastAsia="Times New Roman" w:hAnsi="Arial" w:cs="Arial"/>
                <w:b/>
                <w:bCs/>
                <w:color w:val="000000"/>
                <w:sz w:val="18"/>
                <w:szCs w:val="18"/>
                <w:lang w:eastAsia="sl-SI"/>
              </w:rPr>
            </w:pPr>
            <w:r w:rsidRPr="00E126C2">
              <w:rPr>
                <w:rFonts w:ascii="Arial" w:eastAsia="Times New Roman" w:hAnsi="Arial" w:cs="Arial"/>
                <w:b/>
                <w:bCs/>
                <w:color w:val="000000"/>
                <w:sz w:val="18"/>
                <w:szCs w:val="18"/>
                <w:lang w:eastAsia="sl-SI"/>
              </w:rPr>
              <w:t>6.875</w:t>
            </w:r>
          </w:p>
        </w:tc>
        <w:tc>
          <w:tcPr>
            <w:tcW w:w="849" w:type="pct"/>
            <w:tcBorders>
              <w:top w:val="nil"/>
              <w:left w:val="nil"/>
              <w:bottom w:val="single" w:sz="4" w:space="0" w:color="auto"/>
              <w:right w:val="single" w:sz="4" w:space="0" w:color="auto"/>
            </w:tcBorders>
            <w:shd w:val="clear" w:color="auto" w:fill="F2F2F2" w:themeFill="background1" w:themeFillShade="F2"/>
            <w:noWrap/>
            <w:vAlign w:val="center"/>
            <w:hideMark/>
          </w:tcPr>
          <w:p w14:paraId="3E09508F" w14:textId="77777777" w:rsidR="00E126C2" w:rsidRPr="00E126C2" w:rsidRDefault="00E126C2" w:rsidP="00E126C2">
            <w:pPr>
              <w:spacing w:after="0" w:line="240" w:lineRule="auto"/>
              <w:jc w:val="right"/>
              <w:rPr>
                <w:rFonts w:ascii="Arial" w:eastAsia="Times New Roman" w:hAnsi="Arial" w:cs="Arial"/>
                <w:b/>
                <w:bCs/>
                <w:color w:val="000000"/>
                <w:sz w:val="18"/>
                <w:szCs w:val="18"/>
                <w:lang w:eastAsia="sl-SI"/>
              </w:rPr>
            </w:pPr>
            <w:r w:rsidRPr="00E126C2">
              <w:rPr>
                <w:rFonts w:ascii="Arial" w:eastAsia="Times New Roman" w:hAnsi="Arial" w:cs="Arial"/>
                <w:b/>
                <w:bCs/>
                <w:color w:val="000000"/>
                <w:sz w:val="18"/>
                <w:szCs w:val="18"/>
                <w:lang w:eastAsia="sl-SI"/>
              </w:rPr>
              <w:t>1.094.355.305</w:t>
            </w:r>
          </w:p>
        </w:tc>
        <w:tc>
          <w:tcPr>
            <w:tcW w:w="772" w:type="pct"/>
            <w:tcBorders>
              <w:top w:val="nil"/>
              <w:left w:val="nil"/>
              <w:bottom w:val="single" w:sz="4" w:space="0" w:color="auto"/>
              <w:right w:val="single" w:sz="4" w:space="0" w:color="auto"/>
            </w:tcBorders>
            <w:shd w:val="clear" w:color="auto" w:fill="F2F2F2" w:themeFill="background1" w:themeFillShade="F2"/>
            <w:noWrap/>
            <w:vAlign w:val="center"/>
            <w:hideMark/>
          </w:tcPr>
          <w:p w14:paraId="06645F23" w14:textId="194656F2" w:rsidR="00E126C2" w:rsidRPr="00E126C2" w:rsidRDefault="00E126C2" w:rsidP="00E126C2">
            <w:pPr>
              <w:spacing w:after="0" w:line="240" w:lineRule="auto"/>
              <w:jc w:val="right"/>
              <w:rPr>
                <w:rFonts w:ascii="Arial" w:eastAsia="Times New Roman" w:hAnsi="Arial" w:cs="Arial"/>
                <w:b/>
                <w:bCs/>
                <w:color w:val="000000"/>
                <w:sz w:val="18"/>
                <w:szCs w:val="18"/>
                <w:lang w:eastAsia="sl-SI"/>
              </w:rPr>
            </w:pPr>
            <w:r w:rsidRPr="00E126C2">
              <w:rPr>
                <w:rFonts w:ascii="Arial" w:eastAsia="Times New Roman" w:hAnsi="Arial" w:cs="Arial"/>
                <w:b/>
                <w:bCs/>
                <w:color w:val="000000"/>
                <w:sz w:val="18"/>
                <w:szCs w:val="18"/>
                <w:lang w:eastAsia="sl-SI"/>
              </w:rPr>
              <w:t>100,00 %</w:t>
            </w:r>
          </w:p>
        </w:tc>
        <w:tc>
          <w:tcPr>
            <w:tcW w:w="676" w:type="pct"/>
            <w:tcBorders>
              <w:top w:val="nil"/>
              <w:left w:val="nil"/>
              <w:bottom w:val="single" w:sz="4" w:space="0" w:color="auto"/>
              <w:right w:val="single" w:sz="4" w:space="0" w:color="auto"/>
            </w:tcBorders>
            <w:shd w:val="clear" w:color="auto" w:fill="F2F2F2" w:themeFill="background1" w:themeFillShade="F2"/>
            <w:noWrap/>
            <w:vAlign w:val="center"/>
            <w:hideMark/>
          </w:tcPr>
          <w:p w14:paraId="53A26561" w14:textId="19B269F1" w:rsidR="00E126C2" w:rsidRPr="00E126C2" w:rsidRDefault="00E126C2" w:rsidP="00E126C2">
            <w:pPr>
              <w:spacing w:after="0" w:line="240" w:lineRule="auto"/>
              <w:jc w:val="right"/>
              <w:rPr>
                <w:rFonts w:ascii="Arial" w:eastAsia="Times New Roman" w:hAnsi="Arial" w:cs="Arial"/>
                <w:b/>
                <w:bCs/>
                <w:color w:val="000000"/>
                <w:sz w:val="18"/>
                <w:szCs w:val="18"/>
                <w:lang w:eastAsia="sl-SI"/>
              </w:rPr>
            </w:pPr>
            <w:r w:rsidRPr="00E126C2">
              <w:rPr>
                <w:rFonts w:ascii="Arial" w:eastAsia="Times New Roman" w:hAnsi="Arial" w:cs="Arial"/>
                <w:b/>
                <w:bCs/>
                <w:color w:val="000000"/>
                <w:sz w:val="18"/>
                <w:szCs w:val="18"/>
                <w:lang w:eastAsia="sl-SI"/>
              </w:rPr>
              <w:t>100,00 %</w:t>
            </w:r>
          </w:p>
        </w:tc>
      </w:tr>
    </w:tbl>
    <w:p w14:paraId="3344934A" w14:textId="77777777" w:rsidR="00CF664F" w:rsidRDefault="00CF664F" w:rsidP="00D94701">
      <w:pPr>
        <w:spacing w:after="120" w:line="240" w:lineRule="auto"/>
        <w:jc w:val="center"/>
        <w:rPr>
          <w:rFonts w:ascii="Arial" w:hAnsi="Arial" w:cs="Arial"/>
          <w:color w:val="000000" w:themeColor="text1"/>
          <w:sz w:val="18"/>
        </w:rPr>
      </w:pPr>
    </w:p>
    <w:p w14:paraId="3D22E892" w14:textId="5717487C" w:rsidR="00B333AF" w:rsidRDefault="00B333AF" w:rsidP="00D94701">
      <w:pPr>
        <w:spacing w:after="120" w:line="240" w:lineRule="auto"/>
        <w:jc w:val="center"/>
        <w:rPr>
          <w:rFonts w:ascii="Arial" w:hAnsi="Arial" w:cs="Arial"/>
          <w:color w:val="000000" w:themeColor="text1"/>
          <w:sz w:val="18"/>
        </w:rPr>
      </w:pPr>
      <w:r w:rsidRPr="00E126C2">
        <w:rPr>
          <w:rFonts w:ascii="Arial" w:hAnsi="Arial" w:cs="Arial"/>
          <w:color w:val="000000" w:themeColor="text1"/>
          <w:sz w:val="18"/>
        </w:rPr>
        <w:t>Vir: Statistični podatki o javnih naročilih, oddanih v letu 20</w:t>
      </w:r>
      <w:r w:rsidR="00EB6D60" w:rsidRPr="00E126C2">
        <w:rPr>
          <w:rFonts w:ascii="Arial" w:hAnsi="Arial" w:cs="Arial"/>
          <w:color w:val="000000" w:themeColor="text1"/>
          <w:sz w:val="18"/>
        </w:rPr>
        <w:t>2</w:t>
      </w:r>
      <w:r w:rsidR="00E126C2" w:rsidRPr="00E126C2">
        <w:rPr>
          <w:rFonts w:ascii="Arial" w:hAnsi="Arial" w:cs="Arial"/>
          <w:color w:val="000000" w:themeColor="text1"/>
          <w:sz w:val="18"/>
        </w:rPr>
        <w:t>2</w:t>
      </w:r>
      <w:r w:rsidR="003A0541" w:rsidRPr="00E126C2">
        <w:rPr>
          <w:rFonts w:ascii="Arial" w:hAnsi="Arial" w:cs="Arial"/>
          <w:color w:val="000000" w:themeColor="text1"/>
          <w:sz w:val="18"/>
        </w:rPr>
        <w:t>.</w:t>
      </w:r>
    </w:p>
    <w:p w14:paraId="4FB5AB91" w14:textId="77777777" w:rsidR="00E126C2" w:rsidRPr="00E126C2" w:rsidRDefault="00E126C2" w:rsidP="00D94701">
      <w:pPr>
        <w:spacing w:after="120" w:line="240" w:lineRule="auto"/>
        <w:jc w:val="center"/>
        <w:rPr>
          <w:rFonts w:ascii="Arial" w:hAnsi="Arial" w:cs="Arial"/>
          <w:color w:val="000000" w:themeColor="text1"/>
          <w:sz w:val="18"/>
        </w:rPr>
      </w:pPr>
    </w:p>
    <w:p w14:paraId="45A528E5" w14:textId="3E577493" w:rsidR="00026C19" w:rsidRPr="007B14D2" w:rsidRDefault="00026C19" w:rsidP="00026C19">
      <w:pPr>
        <w:pStyle w:val="Naslov3"/>
        <w:rPr>
          <w:rFonts w:ascii="Arial" w:hAnsi="Arial" w:cs="Arial"/>
          <w:sz w:val="22"/>
          <w:szCs w:val="22"/>
        </w:rPr>
      </w:pPr>
      <w:bookmarkStart w:id="26" w:name="_Toc141864060"/>
      <w:r w:rsidRPr="007B14D2">
        <w:rPr>
          <w:rFonts w:ascii="Arial" w:hAnsi="Arial" w:cs="Arial"/>
          <w:sz w:val="22"/>
          <w:szCs w:val="22"/>
        </w:rPr>
        <w:t>2.3.6 Elektronska dražba</w:t>
      </w:r>
      <w:bookmarkEnd w:id="26"/>
    </w:p>
    <w:p w14:paraId="6C1EB25B" w14:textId="77777777" w:rsidR="00B57693" w:rsidRPr="007B14D2" w:rsidRDefault="00B57693" w:rsidP="00854405">
      <w:pPr>
        <w:pStyle w:val="ZADEVA"/>
        <w:jc w:val="both"/>
        <w:rPr>
          <w:rFonts w:cs="Arial"/>
          <w:b w:val="0"/>
          <w:szCs w:val="20"/>
          <w:lang w:val="sl-SI"/>
        </w:rPr>
      </w:pPr>
    </w:p>
    <w:p w14:paraId="27DDEB41" w14:textId="335F50DA" w:rsidR="008758FA" w:rsidRPr="007B14D2" w:rsidRDefault="00EB25C7" w:rsidP="00E92076">
      <w:pPr>
        <w:spacing w:after="0" w:line="360" w:lineRule="auto"/>
        <w:jc w:val="both"/>
        <w:rPr>
          <w:rFonts w:ascii="Arial" w:eastAsia="Times New Roman" w:hAnsi="Arial" w:cs="Arial"/>
          <w:color w:val="000000"/>
          <w:sz w:val="20"/>
          <w:szCs w:val="20"/>
          <w:lang w:eastAsia="sl-SI"/>
        </w:rPr>
      </w:pPr>
      <w:r w:rsidRPr="007B14D2">
        <w:rPr>
          <w:rFonts w:ascii="Arial" w:hAnsi="Arial" w:cs="Arial"/>
          <w:sz w:val="20"/>
          <w:szCs w:val="20"/>
        </w:rPr>
        <w:t>Iz statističnih podatko</w:t>
      </w:r>
      <w:r w:rsidR="0034502A" w:rsidRPr="007B14D2">
        <w:rPr>
          <w:rFonts w:ascii="Arial" w:hAnsi="Arial" w:cs="Arial"/>
          <w:sz w:val="20"/>
          <w:szCs w:val="20"/>
        </w:rPr>
        <w:t xml:space="preserve">v </w:t>
      </w:r>
      <w:r w:rsidR="00CF3448" w:rsidRPr="007B14D2">
        <w:rPr>
          <w:rFonts w:ascii="Arial" w:hAnsi="Arial" w:cs="Arial"/>
          <w:sz w:val="20"/>
          <w:szCs w:val="20"/>
        </w:rPr>
        <w:t>izhaja</w:t>
      </w:r>
      <w:r w:rsidR="0034502A" w:rsidRPr="007B14D2">
        <w:rPr>
          <w:rFonts w:ascii="Arial" w:hAnsi="Arial" w:cs="Arial"/>
          <w:sz w:val="20"/>
          <w:szCs w:val="20"/>
        </w:rPr>
        <w:t xml:space="preserve">, da so </w:t>
      </w:r>
      <w:r w:rsidR="008E09B2" w:rsidRPr="007B14D2">
        <w:rPr>
          <w:rFonts w:ascii="Arial" w:hAnsi="Arial" w:cs="Arial"/>
          <w:sz w:val="20"/>
          <w:szCs w:val="20"/>
        </w:rPr>
        <w:t xml:space="preserve">leta </w:t>
      </w:r>
      <w:r w:rsidR="0034502A" w:rsidRPr="007B14D2">
        <w:rPr>
          <w:rFonts w:ascii="Arial" w:hAnsi="Arial" w:cs="Arial"/>
          <w:sz w:val="20"/>
          <w:szCs w:val="20"/>
        </w:rPr>
        <w:t>20</w:t>
      </w:r>
      <w:r w:rsidR="0019188D" w:rsidRPr="007B14D2">
        <w:rPr>
          <w:rFonts w:ascii="Arial" w:hAnsi="Arial" w:cs="Arial"/>
          <w:sz w:val="20"/>
          <w:szCs w:val="20"/>
        </w:rPr>
        <w:t>2</w:t>
      </w:r>
      <w:r w:rsidR="007B14D2" w:rsidRPr="007B14D2">
        <w:rPr>
          <w:rFonts w:ascii="Arial" w:hAnsi="Arial" w:cs="Arial"/>
          <w:sz w:val="20"/>
          <w:szCs w:val="20"/>
        </w:rPr>
        <w:t>2</w:t>
      </w:r>
      <w:r w:rsidRPr="007B14D2">
        <w:rPr>
          <w:rFonts w:ascii="Arial" w:hAnsi="Arial" w:cs="Arial"/>
          <w:sz w:val="20"/>
          <w:szCs w:val="20"/>
        </w:rPr>
        <w:t xml:space="preserve"> naročniki z uporabo elektronske dražbe oddali </w:t>
      </w:r>
      <w:r w:rsidR="007B14D2" w:rsidRPr="007B14D2">
        <w:rPr>
          <w:rFonts w:ascii="Arial" w:hAnsi="Arial" w:cs="Arial"/>
          <w:sz w:val="20"/>
          <w:szCs w:val="20"/>
        </w:rPr>
        <w:t>35</w:t>
      </w:r>
      <w:r w:rsidR="00630FBA" w:rsidRPr="007B14D2">
        <w:rPr>
          <w:rFonts w:ascii="Arial" w:hAnsi="Arial" w:cs="Arial"/>
          <w:sz w:val="20"/>
          <w:szCs w:val="20"/>
        </w:rPr>
        <w:t> </w:t>
      </w:r>
      <w:r w:rsidRPr="007B14D2">
        <w:rPr>
          <w:rFonts w:ascii="Arial" w:hAnsi="Arial" w:cs="Arial"/>
          <w:sz w:val="20"/>
          <w:szCs w:val="20"/>
        </w:rPr>
        <w:t xml:space="preserve">naročil. Skupna pogodbena vrednost oddanih naročil z uporabo elektronske dražbe je </w:t>
      </w:r>
      <w:r w:rsidR="007B14D2" w:rsidRPr="007B14D2">
        <w:rPr>
          <w:rFonts w:ascii="Arial" w:hAnsi="Arial" w:cs="Arial"/>
          <w:sz w:val="20"/>
          <w:szCs w:val="20"/>
        </w:rPr>
        <w:t xml:space="preserve">6.252.109 </w:t>
      </w:r>
      <w:r w:rsidRPr="007B14D2">
        <w:rPr>
          <w:rFonts w:ascii="Arial" w:hAnsi="Arial" w:cs="Arial"/>
          <w:sz w:val="20"/>
          <w:szCs w:val="20"/>
        </w:rPr>
        <w:t>evrov</w:t>
      </w:r>
      <w:r w:rsidR="00E86EF4" w:rsidRPr="007B14D2">
        <w:rPr>
          <w:rFonts w:ascii="Arial" w:hAnsi="Arial" w:cs="Arial"/>
          <w:sz w:val="20"/>
          <w:szCs w:val="20"/>
        </w:rPr>
        <w:t>.</w:t>
      </w:r>
    </w:p>
    <w:p w14:paraId="7EFF2570" w14:textId="7CD616C9" w:rsidR="00EB25C7" w:rsidRPr="007B14D2" w:rsidRDefault="00EB25C7" w:rsidP="008A61FD">
      <w:pPr>
        <w:spacing w:before="120" w:after="120" w:line="240" w:lineRule="auto"/>
        <w:jc w:val="both"/>
        <w:rPr>
          <w:rFonts w:ascii="Arial" w:hAnsi="Arial" w:cs="Arial"/>
          <w:sz w:val="20"/>
        </w:rPr>
      </w:pPr>
      <w:r w:rsidRPr="007B14D2">
        <w:rPr>
          <w:rFonts w:ascii="Arial" w:hAnsi="Arial" w:cs="Arial"/>
          <w:sz w:val="20"/>
        </w:rPr>
        <w:t xml:space="preserve">Preglednica </w:t>
      </w:r>
      <w:r w:rsidR="00512F52" w:rsidRPr="007B14D2">
        <w:rPr>
          <w:rFonts w:ascii="Arial" w:hAnsi="Arial" w:cs="Arial"/>
          <w:sz w:val="20"/>
        </w:rPr>
        <w:t>16</w:t>
      </w:r>
      <w:r w:rsidRPr="007B14D2">
        <w:rPr>
          <w:rFonts w:ascii="Arial" w:hAnsi="Arial" w:cs="Arial"/>
          <w:sz w:val="20"/>
        </w:rPr>
        <w:t>: Javna naročila</w:t>
      </w:r>
      <w:r w:rsidR="00753CA0" w:rsidRPr="007B14D2">
        <w:rPr>
          <w:rFonts w:ascii="Arial" w:hAnsi="Arial" w:cs="Arial"/>
          <w:sz w:val="20"/>
        </w:rPr>
        <w:t>,</w:t>
      </w:r>
      <w:r w:rsidRPr="007B14D2">
        <w:rPr>
          <w:rFonts w:ascii="Arial" w:hAnsi="Arial" w:cs="Arial"/>
          <w:sz w:val="20"/>
        </w:rPr>
        <w:t xml:space="preserve"> v katerih je bila uporabljena elektronska dražba</w:t>
      </w:r>
    </w:p>
    <w:tbl>
      <w:tblPr>
        <w:tblW w:w="7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63"/>
        <w:gridCol w:w="772"/>
        <w:gridCol w:w="1420"/>
        <w:gridCol w:w="1422"/>
        <w:gridCol w:w="936"/>
        <w:gridCol w:w="1066"/>
        <w:gridCol w:w="981"/>
      </w:tblGrid>
      <w:tr w:rsidR="0019188D" w:rsidRPr="007B14D2" w14:paraId="14C1D5C9" w14:textId="77777777" w:rsidTr="00B93213">
        <w:trPr>
          <w:trHeight w:val="255"/>
          <w:tblHeader/>
          <w:jc w:val="center"/>
        </w:trPr>
        <w:tc>
          <w:tcPr>
            <w:tcW w:w="1163" w:type="dxa"/>
            <w:shd w:val="clear" w:color="auto" w:fill="F2F2F2" w:themeFill="background1" w:themeFillShade="F2"/>
            <w:vAlign w:val="center"/>
            <w:hideMark/>
          </w:tcPr>
          <w:p w14:paraId="7E10CE09" w14:textId="77777777" w:rsidR="0019188D" w:rsidRPr="007B14D2" w:rsidRDefault="0019188D" w:rsidP="00B93213">
            <w:pPr>
              <w:spacing w:after="0" w:line="240" w:lineRule="auto"/>
              <w:jc w:val="center"/>
              <w:rPr>
                <w:rFonts w:ascii="Arial" w:eastAsia="Times New Roman" w:hAnsi="Arial" w:cs="Arial"/>
                <w:color w:val="000000"/>
                <w:sz w:val="18"/>
                <w:szCs w:val="18"/>
                <w:lang w:eastAsia="sl-SI"/>
              </w:rPr>
            </w:pPr>
            <w:r w:rsidRPr="007B14D2">
              <w:rPr>
                <w:rFonts w:ascii="Arial" w:eastAsia="Times New Roman" w:hAnsi="Arial" w:cs="Arial"/>
                <w:color w:val="000000"/>
                <w:sz w:val="18"/>
                <w:szCs w:val="18"/>
                <w:lang w:eastAsia="sl-SI"/>
              </w:rPr>
              <w:t>Elektronska dražba</w:t>
            </w:r>
          </w:p>
        </w:tc>
        <w:tc>
          <w:tcPr>
            <w:tcW w:w="772" w:type="dxa"/>
            <w:shd w:val="clear" w:color="auto" w:fill="F2F2F2" w:themeFill="background1" w:themeFillShade="F2"/>
            <w:vAlign w:val="center"/>
            <w:hideMark/>
          </w:tcPr>
          <w:p w14:paraId="65BD3C6F" w14:textId="77777777" w:rsidR="0019188D" w:rsidRPr="007B14D2" w:rsidRDefault="0019188D" w:rsidP="00B93213">
            <w:pPr>
              <w:spacing w:after="0" w:line="240" w:lineRule="auto"/>
              <w:jc w:val="center"/>
              <w:rPr>
                <w:rFonts w:ascii="Arial" w:eastAsia="Times New Roman" w:hAnsi="Arial" w:cs="Arial"/>
                <w:color w:val="000000"/>
                <w:sz w:val="18"/>
                <w:szCs w:val="18"/>
                <w:lang w:eastAsia="sl-SI"/>
              </w:rPr>
            </w:pPr>
            <w:r w:rsidRPr="007B14D2">
              <w:rPr>
                <w:rFonts w:ascii="Arial" w:eastAsia="Times New Roman" w:hAnsi="Arial" w:cs="Arial"/>
                <w:color w:val="000000"/>
                <w:sz w:val="18"/>
                <w:szCs w:val="18"/>
                <w:lang w:eastAsia="sl-SI"/>
              </w:rPr>
              <w:t>Št. naročil</w:t>
            </w:r>
          </w:p>
        </w:tc>
        <w:tc>
          <w:tcPr>
            <w:tcW w:w="1420" w:type="dxa"/>
            <w:shd w:val="clear" w:color="auto" w:fill="F2F2F2" w:themeFill="background1" w:themeFillShade="F2"/>
            <w:vAlign w:val="center"/>
            <w:hideMark/>
          </w:tcPr>
          <w:p w14:paraId="27C45042" w14:textId="77777777" w:rsidR="0019188D" w:rsidRPr="00CF664F" w:rsidRDefault="0019188D" w:rsidP="00B93213">
            <w:pPr>
              <w:spacing w:after="0" w:line="240" w:lineRule="auto"/>
              <w:jc w:val="center"/>
              <w:rPr>
                <w:rFonts w:ascii="Arial" w:eastAsia="Times New Roman" w:hAnsi="Arial" w:cs="Arial"/>
                <w:color w:val="000000"/>
                <w:sz w:val="18"/>
                <w:szCs w:val="18"/>
                <w:lang w:eastAsia="sl-SI"/>
              </w:rPr>
            </w:pPr>
            <w:r w:rsidRPr="00CF664F">
              <w:rPr>
                <w:rFonts w:ascii="Arial" w:eastAsia="Times New Roman" w:hAnsi="Arial" w:cs="Arial"/>
                <w:color w:val="000000"/>
                <w:sz w:val="18"/>
                <w:szCs w:val="18"/>
                <w:lang w:eastAsia="sl-SI"/>
              </w:rPr>
              <w:t>Ocenjena vrednost</w:t>
            </w:r>
          </w:p>
        </w:tc>
        <w:tc>
          <w:tcPr>
            <w:tcW w:w="1422" w:type="dxa"/>
            <w:shd w:val="clear" w:color="auto" w:fill="F2F2F2" w:themeFill="background1" w:themeFillShade="F2"/>
            <w:vAlign w:val="center"/>
            <w:hideMark/>
          </w:tcPr>
          <w:p w14:paraId="3147B6F7" w14:textId="77777777" w:rsidR="0019188D" w:rsidRPr="00CF664F" w:rsidRDefault="0019188D" w:rsidP="00B93213">
            <w:pPr>
              <w:spacing w:after="0" w:line="240" w:lineRule="auto"/>
              <w:jc w:val="center"/>
              <w:rPr>
                <w:rFonts w:ascii="Arial" w:eastAsia="Times New Roman" w:hAnsi="Arial" w:cs="Arial"/>
                <w:color w:val="000000"/>
                <w:sz w:val="18"/>
                <w:szCs w:val="18"/>
                <w:lang w:eastAsia="sl-SI"/>
              </w:rPr>
            </w:pPr>
            <w:r w:rsidRPr="00CF664F">
              <w:rPr>
                <w:rFonts w:ascii="Arial" w:eastAsia="Times New Roman" w:hAnsi="Arial" w:cs="Arial"/>
                <w:color w:val="000000"/>
                <w:sz w:val="18"/>
                <w:szCs w:val="18"/>
                <w:lang w:eastAsia="sl-SI"/>
              </w:rPr>
              <w:t>Pogodbena vrednost</w:t>
            </w:r>
          </w:p>
        </w:tc>
        <w:tc>
          <w:tcPr>
            <w:tcW w:w="936" w:type="dxa"/>
            <w:shd w:val="clear" w:color="auto" w:fill="F2F2F2" w:themeFill="background1" w:themeFillShade="F2"/>
            <w:vAlign w:val="center"/>
            <w:hideMark/>
          </w:tcPr>
          <w:p w14:paraId="2742E40B" w14:textId="77777777" w:rsidR="0019188D" w:rsidRPr="00CF664F" w:rsidRDefault="0019188D" w:rsidP="00B93213">
            <w:pPr>
              <w:spacing w:after="0" w:line="240" w:lineRule="auto"/>
              <w:jc w:val="center"/>
              <w:rPr>
                <w:rFonts w:ascii="Arial" w:eastAsia="Times New Roman" w:hAnsi="Arial" w:cs="Arial"/>
                <w:color w:val="000000"/>
                <w:sz w:val="18"/>
                <w:szCs w:val="18"/>
                <w:lang w:eastAsia="sl-SI"/>
              </w:rPr>
            </w:pPr>
            <w:r w:rsidRPr="00CF664F">
              <w:rPr>
                <w:rFonts w:ascii="Arial" w:eastAsia="Times New Roman" w:hAnsi="Arial" w:cs="Arial"/>
                <w:color w:val="000000"/>
                <w:sz w:val="18"/>
                <w:szCs w:val="18"/>
                <w:lang w:eastAsia="sl-SI"/>
              </w:rPr>
              <w:t>Delež v št. naročil</w:t>
            </w:r>
          </w:p>
        </w:tc>
        <w:tc>
          <w:tcPr>
            <w:tcW w:w="1066" w:type="dxa"/>
            <w:shd w:val="clear" w:color="auto" w:fill="F2F2F2" w:themeFill="background1" w:themeFillShade="F2"/>
            <w:vAlign w:val="center"/>
            <w:hideMark/>
          </w:tcPr>
          <w:p w14:paraId="4C334A52" w14:textId="77777777" w:rsidR="0019188D" w:rsidRPr="00CF664F" w:rsidRDefault="0019188D" w:rsidP="00B93213">
            <w:pPr>
              <w:spacing w:after="0" w:line="240" w:lineRule="auto"/>
              <w:jc w:val="center"/>
              <w:rPr>
                <w:rFonts w:ascii="Arial" w:eastAsia="Times New Roman" w:hAnsi="Arial" w:cs="Arial"/>
                <w:color w:val="000000"/>
                <w:sz w:val="18"/>
                <w:szCs w:val="18"/>
                <w:lang w:eastAsia="sl-SI"/>
              </w:rPr>
            </w:pPr>
            <w:r w:rsidRPr="00CF664F">
              <w:rPr>
                <w:rFonts w:ascii="Arial" w:eastAsia="Times New Roman" w:hAnsi="Arial" w:cs="Arial"/>
                <w:color w:val="000000"/>
                <w:sz w:val="18"/>
                <w:szCs w:val="18"/>
                <w:lang w:eastAsia="sl-SI"/>
              </w:rPr>
              <w:t>Delež v ocenjeni vrednosti</w:t>
            </w:r>
          </w:p>
        </w:tc>
        <w:tc>
          <w:tcPr>
            <w:tcW w:w="981" w:type="dxa"/>
            <w:shd w:val="clear" w:color="auto" w:fill="F2F2F2" w:themeFill="background1" w:themeFillShade="F2"/>
            <w:vAlign w:val="center"/>
            <w:hideMark/>
          </w:tcPr>
          <w:p w14:paraId="66B6FAD6" w14:textId="77777777" w:rsidR="0019188D" w:rsidRPr="00CF664F" w:rsidRDefault="0019188D" w:rsidP="00B93213">
            <w:pPr>
              <w:spacing w:after="0" w:line="240" w:lineRule="auto"/>
              <w:jc w:val="center"/>
              <w:rPr>
                <w:rFonts w:ascii="Arial" w:eastAsia="Times New Roman" w:hAnsi="Arial" w:cs="Arial"/>
                <w:color w:val="000000"/>
                <w:sz w:val="18"/>
                <w:szCs w:val="18"/>
                <w:lang w:eastAsia="sl-SI"/>
              </w:rPr>
            </w:pPr>
            <w:r w:rsidRPr="00CF664F">
              <w:rPr>
                <w:rFonts w:ascii="Arial" w:eastAsia="Times New Roman" w:hAnsi="Arial" w:cs="Arial"/>
                <w:color w:val="000000"/>
                <w:sz w:val="18"/>
                <w:szCs w:val="18"/>
                <w:lang w:eastAsia="sl-SI"/>
              </w:rPr>
              <w:t>Delež v pogodbeni vrednosti</w:t>
            </w:r>
          </w:p>
        </w:tc>
      </w:tr>
      <w:tr w:rsidR="00B93213" w:rsidRPr="007B14D2" w14:paraId="0CF0F11B" w14:textId="77777777" w:rsidTr="00B93213">
        <w:trPr>
          <w:trHeight w:val="255"/>
          <w:jc w:val="center"/>
        </w:trPr>
        <w:tc>
          <w:tcPr>
            <w:tcW w:w="1163" w:type="dxa"/>
            <w:shd w:val="clear" w:color="auto" w:fill="auto"/>
            <w:vAlign w:val="center"/>
            <w:hideMark/>
          </w:tcPr>
          <w:p w14:paraId="6B334507" w14:textId="77777777" w:rsidR="00B93213" w:rsidRPr="007B14D2" w:rsidRDefault="00B93213" w:rsidP="00B93213">
            <w:pPr>
              <w:spacing w:after="0" w:line="240" w:lineRule="auto"/>
              <w:rPr>
                <w:rFonts w:ascii="Arial" w:eastAsia="Times New Roman" w:hAnsi="Arial" w:cs="Arial"/>
                <w:color w:val="000000"/>
                <w:sz w:val="18"/>
                <w:szCs w:val="18"/>
                <w:lang w:eastAsia="sl-SI"/>
              </w:rPr>
            </w:pPr>
            <w:r w:rsidRPr="007B14D2">
              <w:rPr>
                <w:rFonts w:ascii="Arial" w:eastAsia="Times New Roman" w:hAnsi="Arial" w:cs="Arial"/>
                <w:color w:val="000000"/>
                <w:sz w:val="18"/>
                <w:szCs w:val="18"/>
                <w:lang w:eastAsia="sl-SI"/>
              </w:rPr>
              <w:t>DA</w:t>
            </w:r>
          </w:p>
        </w:tc>
        <w:tc>
          <w:tcPr>
            <w:tcW w:w="772" w:type="dxa"/>
            <w:shd w:val="clear" w:color="auto" w:fill="auto"/>
            <w:vAlign w:val="center"/>
            <w:hideMark/>
          </w:tcPr>
          <w:p w14:paraId="28EC028C" w14:textId="1E549EF6" w:rsidR="00B93213" w:rsidRPr="007B14D2" w:rsidRDefault="00B93213" w:rsidP="00B93213">
            <w:pPr>
              <w:spacing w:after="0" w:line="240" w:lineRule="auto"/>
              <w:jc w:val="right"/>
              <w:rPr>
                <w:rFonts w:ascii="Arial" w:eastAsia="Times New Roman" w:hAnsi="Arial" w:cs="Arial"/>
                <w:color w:val="000000"/>
                <w:sz w:val="18"/>
                <w:szCs w:val="18"/>
                <w:lang w:eastAsia="sl-SI"/>
              </w:rPr>
            </w:pPr>
            <w:r w:rsidRPr="007B14D2">
              <w:rPr>
                <w:rFonts w:ascii="Arial" w:eastAsia="Times New Roman" w:hAnsi="Arial" w:cs="Arial"/>
                <w:color w:val="000000"/>
                <w:sz w:val="18"/>
                <w:szCs w:val="18"/>
                <w:lang w:eastAsia="sl-SI"/>
              </w:rPr>
              <w:t>35</w:t>
            </w:r>
          </w:p>
        </w:tc>
        <w:tc>
          <w:tcPr>
            <w:tcW w:w="1420" w:type="dxa"/>
            <w:shd w:val="clear" w:color="auto" w:fill="auto"/>
            <w:vAlign w:val="center"/>
            <w:hideMark/>
          </w:tcPr>
          <w:p w14:paraId="012A8902" w14:textId="4D73A2EC" w:rsidR="00B93213" w:rsidRPr="00B93213" w:rsidRDefault="00B93213" w:rsidP="00B93213">
            <w:pPr>
              <w:spacing w:after="0" w:line="240" w:lineRule="auto"/>
              <w:jc w:val="right"/>
              <w:rPr>
                <w:rFonts w:ascii="Arial" w:eastAsia="Times New Roman" w:hAnsi="Arial" w:cs="Arial"/>
                <w:color w:val="000000"/>
                <w:sz w:val="18"/>
                <w:szCs w:val="18"/>
                <w:lang w:eastAsia="sl-SI"/>
              </w:rPr>
            </w:pPr>
            <w:r w:rsidRPr="00B93213">
              <w:rPr>
                <w:rFonts w:ascii="Arial" w:eastAsia="Times New Roman" w:hAnsi="Arial" w:cs="Arial"/>
                <w:color w:val="000000"/>
                <w:sz w:val="18"/>
                <w:szCs w:val="18"/>
                <w:lang w:eastAsia="sl-SI"/>
              </w:rPr>
              <w:t>6.594.480</w:t>
            </w:r>
          </w:p>
        </w:tc>
        <w:tc>
          <w:tcPr>
            <w:tcW w:w="1422" w:type="dxa"/>
            <w:shd w:val="clear" w:color="auto" w:fill="auto"/>
            <w:vAlign w:val="center"/>
            <w:hideMark/>
          </w:tcPr>
          <w:p w14:paraId="57D6C487" w14:textId="2E51E3E0" w:rsidR="00B93213" w:rsidRPr="007B14D2" w:rsidRDefault="00B93213" w:rsidP="00B93213">
            <w:pPr>
              <w:spacing w:after="0" w:line="240" w:lineRule="auto"/>
              <w:jc w:val="right"/>
              <w:rPr>
                <w:rFonts w:ascii="Arial" w:eastAsia="Times New Roman" w:hAnsi="Arial" w:cs="Arial"/>
                <w:color w:val="000000"/>
                <w:sz w:val="18"/>
                <w:szCs w:val="18"/>
                <w:lang w:eastAsia="sl-SI"/>
              </w:rPr>
            </w:pPr>
            <w:r w:rsidRPr="007B14D2">
              <w:rPr>
                <w:rFonts w:ascii="Arial" w:eastAsia="Times New Roman" w:hAnsi="Arial" w:cs="Arial"/>
                <w:color w:val="000000"/>
                <w:sz w:val="18"/>
                <w:szCs w:val="18"/>
                <w:lang w:eastAsia="sl-SI"/>
              </w:rPr>
              <w:t>6.252.109</w:t>
            </w:r>
          </w:p>
        </w:tc>
        <w:tc>
          <w:tcPr>
            <w:tcW w:w="936" w:type="dxa"/>
            <w:shd w:val="clear" w:color="auto" w:fill="auto"/>
            <w:vAlign w:val="center"/>
            <w:hideMark/>
          </w:tcPr>
          <w:p w14:paraId="653E4EBA" w14:textId="786DB0C4" w:rsidR="00B93213" w:rsidRPr="007B14D2" w:rsidRDefault="00B93213" w:rsidP="00B93213">
            <w:pPr>
              <w:spacing w:after="0" w:line="240" w:lineRule="auto"/>
              <w:jc w:val="right"/>
              <w:rPr>
                <w:rFonts w:ascii="Arial" w:eastAsia="Times New Roman" w:hAnsi="Arial" w:cs="Arial"/>
                <w:color w:val="000000"/>
                <w:sz w:val="18"/>
                <w:szCs w:val="18"/>
                <w:lang w:eastAsia="sl-SI"/>
              </w:rPr>
            </w:pPr>
            <w:r w:rsidRPr="007B14D2">
              <w:rPr>
                <w:rFonts w:ascii="Arial" w:eastAsia="Times New Roman" w:hAnsi="Arial" w:cs="Arial"/>
                <w:color w:val="000000"/>
                <w:sz w:val="18"/>
                <w:szCs w:val="18"/>
                <w:lang w:eastAsia="sl-SI"/>
              </w:rPr>
              <w:t>0,20</w:t>
            </w:r>
            <w:r>
              <w:rPr>
                <w:rFonts w:ascii="Arial" w:eastAsia="Times New Roman" w:hAnsi="Arial" w:cs="Arial"/>
                <w:color w:val="000000"/>
                <w:sz w:val="18"/>
                <w:szCs w:val="18"/>
                <w:lang w:eastAsia="sl-SI"/>
              </w:rPr>
              <w:t xml:space="preserve"> </w:t>
            </w:r>
            <w:r w:rsidRPr="007B14D2">
              <w:rPr>
                <w:rFonts w:ascii="Arial" w:eastAsia="Times New Roman" w:hAnsi="Arial" w:cs="Arial"/>
                <w:color w:val="000000"/>
                <w:sz w:val="18"/>
                <w:szCs w:val="18"/>
                <w:lang w:eastAsia="sl-SI"/>
              </w:rPr>
              <w:t>%</w:t>
            </w:r>
          </w:p>
        </w:tc>
        <w:tc>
          <w:tcPr>
            <w:tcW w:w="1066" w:type="dxa"/>
            <w:shd w:val="clear" w:color="auto" w:fill="auto"/>
            <w:vAlign w:val="center"/>
            <w:hideMark/>
          </w:tcPr>
          <w:p w14:paraId="225F1927" w14:textId="53D67835" w:rsidR="00B93213" w:rsidRPr="00B93213" w:rsidRDefault="00B93213" w:rsidP="00B93213">
            <w:pPr>
              <w:spacing w:after="0" w:line="240" w:lineRule="auto"/>
              <w:jc w:val="right"/>
              <w:rPr>
                <w:rFonts w:ascii="Arial" w:eastAsia="Times New Roman" w:hAnsi="Arial" w:cs="Arial"/>
                <w:color w:val="000000"/>
                <w:sz w:val="18"/>
                <w:szCs w:val="18"/>
                <w:lang w:eastAsia="sl-SI"/>
              </w:rPr>
            </w:pPr>
            <w:r w:rsidRPr="00B93213">
              <w:rPr>
                <w:rFonts w:ascii="Arial" w:eastAsia="Times New Roman" w:hAnsi="Arial" w:cs="Arial"/>
                <w:color w:val="000000"/>
                <w:sz w:val="18"/>
                <w:szCs w:val="18"/>
                <w:lang w:eastAsia="sl-SI"/>
              </w:rPr>
              <w:t>0,12</w:t>
            </w:r>
            <w:r>
              <w:rPr>
                <w:rFonts w:ascii="Arial" w:eastAsia="Times New Roman" w:hAnsi="Arial" w:cs="Arial"/>
                <w:color w:val="000000"/>
                <w:sz w:val="18"/>
                <w:szCs w:val="18"/>
                <w:lang w:eastAsia="sl-SI"/>
              </w:rPr>
              <w:t xml:space="preserve"> </w:t>
            </w:r>
            <w:r w:rsidRPr="00B93213">
              <w:rPr>
                <w:rFonts w:ascii="Arial" w:eastAsia="Times New Roman" w:hAnsi="Arial" w:cs="Arial"/>
                <w:color w:val="000000"/>
                <w:sz w:val="18"/>
                <w:szCs w:val="18"/>
                <w:lang w:eastAsia="sl-SI"/>
              </w:rPr>
              <w:t>%</w:t>
            </w:r>
          </w:p>
        </w:tc>
        <w:tc>
          <w:tcPr>
            <w:tcW w:w="981" w:type="dxa"/>
            <w:shd w:val="clear" w:color="auto" w:fill="auto"/>
            <w:vAlign w:val="center"/>
            <w:hideMark/>
          </w:tcPr>
          <w:p w14:paraId="3554B001" w14:textId="7987FDA9" w:rsidR="00B93213" w:rsidRPr="007B14D2" w:rsidRDefault="00B93213" w:rsidP="00B93213">
            <w:pPr>
              <w:spacing w:after="0" w:line="240" w:lineRule="auto"/>
              <w:jc w:val="right"/>
              <w:rPr>
                <w:rFonts w:ascii="Arial" w:eastAsia="Times New Roman" w:hAnsi="Arial" w:cs="Arial"/>
                <w:color w:val="000000"/>
                <w:sz w:val="18"/>
                <w:szCs w:val="18"/>
                <w:lang w:eastAsia="sl-SI"/>
              </w:rPr>
            </w:pPr>
            <w:r w:rsidRPr="007B14D2">
              <w:rPr>
                <w:rFonts w:ascii="Arial" w:eastAsia="Times New Roman" w:hAnsi="Arial" w:cs="Arial"/>
                <w:color w:val="000000"/>
                <w:sz w:val="18"/>
                <w:szCs w:val="18"/>
                <w:lang w:eastAsia="sl-SI"/>
              </w:rPr>
              <w:t>0,12</w:t>
            </w:r>
            <w:r>
              <w:rPr>
                <w:rFonts w:ascii="Arial" w:eastAsia="Times New Roman" w:hAnsi="Arial" w:cs="Arial"/>
                <w:color w:val="000000"/>
                <w:sz w:val="18"/>
                <w:szCs w:val="18"/>
                <w:lang w:eastAsia="sl-SI"/>
              </w:rPr>
              <w:t xml:space="preserve"> </w:t>
            </w:r>
            <w:r w:rsidRPr="007B14D2">
              <w:rPr>
                <w:rFonts w:ascii="Arial" w:eastAsia="Times New Roman" w:hAnsi="Arial" w:cs="Arial"/>
                <w:color w:val="000000"/>
                <w:sz w:val="18"/>
                <w:szCs w:val="18"/>
                <w:lang w:eastAsia="sl-SI"/>
              </w:rPr>
              <w:t>%</w:t>
            </w:r>
          </w:p>
        </w:tc>
      </w:tr>
      <w:tr w:rsidR="00B93213" w:rsidRPr="007B14D2" w14:paraId="2B394E7C" w14:textId="77777777" w:rsidTr="00B93213">
        <w:trPr>
          <w:trHeight w:val="255"/>
          <w:jc w:val="center"/>
        </w:trPr>
        <w:tc>
          <w:tcPr>
            <w:tcW w:w="1163" w:type="dxa"/>
            <w:shd w:val="clear" w:color="auto" w:fill="auto"/>
            <w:vAlign w:val="center"/>
            <w:hideMark/>
          </w:tcPr>
          <w:p w14:paraId="125E4B03" w14:textId="77777777" w:rsidR="00B93213" w:rsidRPr="007B14D2" w:rsidRDefault="00B93213" w:rsidP="00B93213">
            <w:pPr>
              <w:spacing w:after="0" w:line="240" w:lineRule="auto"/>
              <w:rPr>
                <w:rFonts w:ascii="Arial" w:eastAsia="Times New Roman" w:hAnsi="Arial" w:cs="Arial"/>
                <w:color w:val="000000"/>
                <w:sz w:val="18"/>
                <w:szCs w:val="18"/>
                <w:lang w:eastAsia="sl-SI"/>
              </w:rPr>
            </w:pPr>
            <w:r w:rsidRPr="007B14D2">
              <w:rPr>
                <w:rFonts w:ascii="Arial" w:eastAsia="Times New Roman" w:hAnsi="Arial" w:cs="Arial"/>
                <w:color w:val="000000"/>
                <w:sz w:val="18"/>
                <w:szCs w:val="18"/>
                <w:lang w:eastAsia="sl-SI"/>
              </w:rPr>
              <w:t>NE</w:t>
            </w:r>
          </w:p>
        </w:tc>
        <w:tc>
          <w:tcPr>
            <w:tcW w:w="772" w:type="dxa"/>
            <w:shd w:val="clear" w:color="auto" w:fill="auto"/>
            <w:vAlign w:val="center"/>
            <w:hideMark/>
          </w:tcPr>
          <w:p w14:paraId="46708064" w14:textId="06564399" w:rsidR="00B93213" w:rsidRPr="007B14D2" w:rsidRDefault="00B93213" w:rsidP="00B93213">
            <w:pPr>
              <w:spacing w:after="0" w:line="240" w:lineRule="auto"/>
              <w:jc w:val="right"/>
              <w:rPr>
                <w:rFonts w:ascii="Arial" w:eastAsia="Times New Roman" w:hAnsi="Arial" w:cs="Arial"/>
                <w:color w:val="000000"/>
                <w:sz w:val="18"/>
                <w:szCs w:val="18"/>
                <w:lang w:eastAsia="sl-SI"/>
              </w:rPr>
            </w:pPr>
            <w:r w:rsidRPr="007B14D2">
              <w:rPr>
                <w:rFonts w:ascii="Arial" w:eastAsia="Times New Roman" w:hAnsi="Arial" w:cs="Arial"/>
                <w:color w:val="000000"/>
                <w:sz w:val="18"/>
                <w:szCs w:val="18"/>
                <w:lang w:eastAsia="sl-SI"/>
              </w:rPr>
              <w:t>17.189</w:t>
            </w:r>
          </w:p>
        </w:tc>
        <w:tc>
          <w:tcPr>
            <w:tcW w:w="1420" w:type="dxa"/>
            <w:shd w:val="clear" w:color="auto" w:fill="auto"/>
            <w:vAlign w:val="center"/>
            <w:hideMark/>
          </w:tcPr>
          <w:p w14:paraId="64FA4F0C" w14:textId="339BFEE4" w:rsidR="00B93213" w:rsidRPr="00B93213" w:rsidRDefault="00B93213" w:rsidP="00B93213">
            <w:pPr>
              <w:spacing w:after="0" w:line="240" w:lineRule="auto"/>
              <w:jc w:val="right"/>
              <w:rPr>
                <w:rFonts w:ascii="Arial" w:eastAsia="Times New Roman" w:hAnsi="Arial" w:cs="Arial"/>
                <w:color w:val="000000"/>
                <w:sz w:val="18"/>
                <w:szCs w:val="18"/>
                <w:lang w:eastAsia="sl-SI"/>
              </w:rPr>
            </w:pPr>
            <w:r w:rsidRPr="00B93213">
              <w:rPr>
                <w:rFonts w:ascii="Arial" w:eastAsia="Times New Roman" w:hAnsi="Arial" w:cs="Arial"/>
                <w:color w:val="000000"/>
                <w:sz w:val="18"/>
                <w:szCs w:val="18"/>
                <w:lang w:eastAsia="sl-SI"/>
              </w:rPr>
              <w:t>5.486.471.697</w:t>
            </w:r>
          </w:p>
        </w:tc>
        <w:tc>
          <w:tcPr>
            <w:tcW w:w="1422" w:type="dxa"/>
            <w:shd w:val="clear" w:color="auto" w:fill="auto"/>
            <w:vAlign w:val="center"/>
            <w:hideMark/>
          </w:tcPr>
          <w:p w14:paraId="71B76D94" w14:textId="0EEFA712" w:rsidR="00B93213" w:rsidRPr="007B14D2" w:rsidRDefault="00B93213" w:rsidP="00B93213">
            <w:pPr>
              <w:spacing w:after="0" w:line="240" w:lineRule="auto"/>
              <w:jc w:val="right"/>
              <w:rPr>
                <w:rFonts w:ascii="Arial" w:eastAsia="Times New Roman" w:hAnsi="Arial" w:cs="Arial"/>
                <w:color w:val="000000"/>
                <w:sz w:val="18"/>
                <w:szCs w:val="18"/>
                <w:lang w:eastAsia="sl-SI"/>
              </w:rPr>
            </w:pPr>
            <w:r w:rsidRPr="007B14D2">
              <w:rPr>
                <w:rFonts w:ascii="Arial" w:eastAsia="Times New Roman" w:hAnsi="Arial" w:cs="Arial"/>
                <w:color w:val="000000"/>
                <w:sz w:val="18"/>
                <w:szCs w:val="18"/>
                <w:lang w:eastAsia="sl-SI"/>
              </w:rPr>
              <w:t>5.410.853.793</w:t>
            </w:r>
          </w:p>
        </w:tc>
        <w:tc>
          <w:tcPr>
            <w:tcW w:w="936" w:type="dxa"/>
            <w:shd w:val="clear" w:color="auto" w:fill="auto"/>
            <w:vAlign w:val="center"/>
            <w:hideMark/>
          </w:tcPr>
          <w:p w14:paraId="24F3A806" w14:textId="2323563A" w:rsidR="00B93213" w:rsidRPr="007B14D2" w:rsidRDefault="00B93213" w:rsidP="00B93213">
            <w:pPr>
              <w:spacing w:after="0" w:line="240" w:lineRule="auto"/>
              <w:jc w:val="right"/>
              <w:rPr>
                <w:rFonts w:ascii="Arial" w:eastAsia="Times New Roman" w:hAnsi="Arial" w:cs="Arial"/>
                <w:color w:val="000000"/>
                <w:sz w:val="18"/>
                <w:szCs w:val="18"/>
                <w:lang w:eastAsia="sl-SI"/>
              </w:rPr>
            </w:pPr>
            <w:r w:rsidRPr="007B14D2">
              <w:rPr>
                <w:rFonts w:ascii="Arial" w:eastAsia="Times New Roman" w:hAnsi="Arial" w:cs="Arial"/>
                <w:color w:val="000000"/>
                <w:sz w:val="18"/>
                <w:szCs w:val="18"/>
                <w:lang w:eastAsia="sl-SI"/>
              </w:rPr>
              <w:t>99,80</w:t>
            </w:r>
            <w:r>
              <w:rPr>
                <w:rFonts w:ascii="Arial" w:eastAsia="Times New Roman" w:hAnsi="Arial" w:cs="Arial"/>
                <w:color w:val="000000"/>
                <w:sz w:val="18"/>
                <w:szCs w:val="18"/>
                <w:lang w:eastAsia="sl-SI"/>
              </w:rPr>
              <w:t xml:space="preserve"> </w:t>
            </w:r>
            <w:r w:rsidRPr="007B14D2">
              <w:rPr>
                <w:rFonts w:ascii="Arial" w:eastAsia="Times New Roman" w:hAnsi="Arial" w:cs="Arial"/>
                <w:color w:val="000000"/>
                <w:sz w:val="18"/>
                <w:szCs w:val="18"/>
                <w:lang w:eastAsia="sl-SI"/>
              </w:rPr>
              <w:t>%</w:t>
            </w:r>
          </w:p>
        </w:tc>
        <w:tc>
          <w:tcPr>
            <w:tcW w:w="1066" w:type="dxa"/>
            <w:shd w:val="clear" w:color="auto" w:fill="auto"/>
            <w:vAlign w:val="center"/>
            <w:hideMark/>
          </w:tcPr>
          <w:p w14:paraId="3281BF54" w14:textId="65CE77B2" w:rsidR="00B93213" w:rsidRPr="00B93213" w:rsidRDefault="00B93213" w:rsidP="00B93213">
            <w:pPr>
              <w:spacing w:after="0" w:line="240" w:lineRule="auto"/>
              <w:jc w:val="right"/>
              <w:rPr>
                <w:rFonts w:ascii="Arial" w:eastAsia="Times New Roman" w:hAnsi="Arial" w:cs="Arial"/>
                <w:color w:val="000000"/>
                <w:sz w:val="18"/>
                <w:szCs w:val="18"/>
                <w:lang w:eastAsia="sl-SI"/>
              </w:rPr>
            </w:pPr>
            <w:r w:rsidRPr="00B93213">
              <w:rPr>
                <w:rFonts w:ascii="Arial" w:eastAsia="Times New Roman" w:hAnsi="Arial" w:cs="Arial"/>
                <w:color w:val="000000"/>
                <w:sz w:val="18"/>
                <w:szCs w:val="18"/>
                <w:lang w:eastAsia="sl-SI"/>
              </w:rPr>
              <w:t>99,88</w:t>
            </w:r>
            <w:r>
              <w:rPr>
                <w:rFonts w:ascii="Arial" w:eastAsia="Times New Roman" w:hAnsi="Arial" w:cs="Arial"/>
                <w:color w:val="000000"/>
                <w:sz w:val="18"/>
                <w:szCs w:val="18"/>
                <w:lang w:eastAsia="sl-SI"/>
              </w:rPr>
              <w:t xml:space="preserve"> </w:t>
            </w:r>
            <w:r w:rsidRPr="00B93213">
              <w:rPr>
                <w:rFonts w:ascii="Arial" w:eastAsia="Times New Roman" w:hAnsi="Arial" w:cs="Arial"/>
                <w:color w:val="000000"/>
                <w:sz w:val="18"/>
                <w:szCs w:val="18"/>
                <w:lang w:eastAsia="sl-SI"/>
              </w:rPr>
              <w:t>%</w:t>
            </w:r>
          </w:p>
        </w:tc>
        <w:tc>
          <w:tcPr>
            <w:tcW w:w="981" w:type="dxa"/>
            <w:shd w:val="clear" w:color="auto" w:fill="auto"/>
            <w:vAlign w:val="center"/>
            <w:hideMark/>
          </w:tcPr>
          <w:p w14:paraId="3695C87E" w14:textId="711B3E3E" w:rsidR="00B93213" w:rsidRPr="007B14D2" w:rsidRDefault="00B93213" w:rsidP="00B93213">
            <w:pPr>
              <w:spacing w:after="0" w:line="240" w:lineRule="auto"/>
              <w:jc w:val="right"/>
              <w:rPr>
                <w:rFonts w:ascii="Arial" w:eastAsia="Times New Roman" w:hAnsi="Arial" w:cs="Arial"/>
                <w:color w:val="000000"/>
                <w:sz w:val="18"/>
                <w:szCs w:val="18"/>
                <w:lang w:eastAsia="sl-SI"/>
              </w:rPr>
            </w:pPr>
            <w:r w:rsidRPr="007B14D2">
              <w:rPr>
                <w:rFonts w:ascii="Arial" w:eastAsia="Times New Roman" w:hAnsi="Arial" w:cs="Arial"/>
                <w:color w:val="000000"/>
                <w:sz w:val="18"/>
                <w:szCs w:val="18"/>
                <w:lang w:eastAsia="sl-SI"/>
              </w:rPr>
              <w:t>99,88</w:t>
            </w:r>
            <w:r>
              <w:rPr>
                <w:rFonts w:ascii="Arial" w:eastAsia="Times New Roman" w:hAnsi="Arial" w:cs="Arial"/>
                <w:color w:val="000000"/>
                <w:sz w:val="18"/>
                <w:szCs w:val="18"/>
                <w:lang w:eastAsia="sl-SI"/>
              </w:rPr>
              <w:t xml:space="preserve"> </w:t>
            </w:r>
            <w:r w:rsidRPr="007B14D2">
              <w:rPr>
                <w:rFonts w:ascii="Arial" w:eastAsia="Times New Roman" w:hAnsi="Arial" w:cs="Arial"/>
                <w:color w:val="000000"/>
                <w:sz w:val="18"/>
                <w:szCs w:val="18"/>
                <w:lang w:eastAsia="sl-SI"/>
              </w:rPr>
              <w:t>%</w:t>
            </w:r>
          </w:p>
        </w:tc>
      </w:tr>
      <w:tr w:rsidR="00B93213" w:rsidRPr="007B14D2" w14:paraId="576EBF2C" w14:textId="77777777" w:rsidTr="00B93213">
        <w:trPr>
          <w:trHeight w:val="255"/>
          <w:jc w:val="center"/>
        </w:trPr>
        <w:tc>
          <w:tcPr>
            <w:tcW w:w="1163" w:type="dxa"/>
            <w:shd w:val="clear" w:color="auto" w:fill="F2F2F2" w:themeFill="background1" w:themeFillShade="F2"/>
            <w:vAlign w:val="center"/>
            <w:hideMark/>
          </w:tcPr>
          <w:p w14:paraId="5084B42D" w14:textId="77777777" w:rsidR="00B93213" w:rsidRPr="00DE5FC1" w:rsidRDefault="00B93213" w:rsidP="00B93213">
            <w:pPr>
              <w:spacing w:after="0" w:line="240" w:lineRule="auto"/>
              <w:rPr>
                <w:rFonts w:ascii="Arial" w:eastAsia="Times New Roman" w:hAnsi="Arial" w:cs="Arial"/>
                <w:b/>
                <w:bCs/>
                <w:color w:val="000000"/>
                <w:sz w:val="18"/>
                <w:szCs w:val="18"/>
                <w:lang w:eastAsia="sl-SI"/>
              </w:rPr>
            </w:pPr>
            <w:r w:rsidRPr="00DE5FC1">
              <w:rPr>
                <w:rFonts w:ascii="Arial" w:eastAsia="Times New Roman" w:hAnsi="Arial" w:cs="Arial"/>
                <w:b/>
                <w:bCs/>
                <w:color w:val="000000"/>
                <w:sz w:val="18"/>
                <w:szCs w:val="18"/>
                <w:lang w:eastAsia="sl-SI"/>
              </w:rPr>
              <w:t>Skupaj</w:t>
            </w:r>
          </w:p>
        </w:tc>
        <w:tc>
          <w:tcPr>
            <w:tcW w:w="772" w:type="dxa"/>
            <w:shd w:val="clear" w:color="auto" w:fill="F2F2F2" w:themeFill="background1" w:themeFillShade="F2"/>
            <w:vAlign w:val="center"/>
            <w:hideMark/>
          </w:tcPr>
          <w:p w14:paraId="0E0106FB" w14:textId="650FE087" w:rsidR="00B93213" w:rsidRPr="007B14D2" w:rsidRDefault="00B93213" w:rsidP="00B93213">
            <w:pPr>
              <w:spacing w:after="0" w:line="240" w:lineRule="auto"/>
              <w:jc w:val="right"/>
              <w:rPr>
                <w:rFonts w:ascii="Arial" w:eastAsia="Times New Roman" w:hAnsi="Arial" w:cs="Arial"/>
                <w:b/>
                <w:bCs/>
                <w:color w:val="000000"/>
                <w:sz w:val="18"/>
                <w:szCs w:val="18"/>
                <w:lang w:eastAsia="sl-SI"/>
              </w:rPr>
            </w:pPr>
            <w:r w:rsidRPr="007B14D2">
              <w:rPr>
                <w:rFonts w:ascii="Arial" w:eastAsia="Times New Roman" w:hAnsi="Arial" w:cs="Arial"/>
                <w:b/>
                <w:bCs/>
                <w:color w:val="000000"/>
                <w:sz w:val="18"/>
                <w:szCs w:val="18"/>
                <w:lang w:eastAsia="sl-SI"/>
              </w:rPr>
              <w:t>17.224</w:t>
            </w:r>
          </w:p>
        </w:tc>
        <w:tc>
          <w:tcPr>
            <w:tcW w:w="1420" w:type="dxa"/>
            <w:shd w:val="clear" w:color="auto" w:fill="F2F2F2" w:themeFill="background1" w:themeFillShade="F2"/>
            <w:vAlign w:val="center"/>
            <w:hideMark/>
          </w:tcPr>
          <w:p w14:paraId="58757C7C" w14:textId="249A58E9" w:rsidR="00B93213" w:rsidRPr="00B93213" w:rsidRDefault="00B93213" w:rsidP="00B93213">
            <w:pPr>
              <w:spacing w:after="0" w:line="240" w:lineRule="auto"/>
              <w:jc w:val="right"/>
              <w:rPr>
                <w:rFonts w:ascii="Arial" w:eastAsia="Times New Roman" w:hAnsi="Arial" w:cs="Arial"/>
                <w:b/>
                <w:bCs/>
                <w:color w:val="000000"/>
                <w:sz w:val="18"/>
                <w:szCs w:val="18"/>
                <w:lang w:eastAsia="sl-SI"/>
              </w:rPr>
            </w:pPr>
            <w:r w:rsidRPr="00B93213">
              <w:rPr>
                <w:rFonts w:ascii="Arial" w:eastAsia="Times New Roman" w:hAnsi="Arial" w:cs="Arial"/>
                <w:b/>
                <w:bCs/>
                <w:color w:val="000000"/>
                <w:sz w:val="18"/>
                <w:szCs w:val="18"/>
                <w:lang w:eastAsia="sl-SI"/>
              </w:rPr>
              <w:t>5.493.066.177</w:t>
            </w:r>
          </w:p>
        </w:tc>
        <w:tc>
          <w:tcPr>
            <w:tcW w:w="1422" w:type="dxa"/>
            <w:shd w:val="clear" w:color="auto" w:fill="F2F2F2" w:themeFill="background1" w:themeFillShade="F2"/>
            <w:vAlign w:val="center"/>
            <w:hideMark/>
          </w:tcPr>
          <w:p w14:paraId="2E358ED1" w14:textId="7952E2BA" w:rsidR="00B93213" w:rsidRPr="007B14D2" w:rsidRDefault="00B93213" w:rsidP="00B93213">
            <w:pPr>
              <w:spacing w:after="0" w:line="240" w:lineRule="auto"/>
              <w:jc w:val="right"/>
              <w:rPr>
                <w:rFonts w:ascii="Arial" w:eastAsia="Times New Roman" w:hAnsi="Arial" w:cs="Arial"/>
                <w:b/>
                <w:bCs/>
                <w:color w:val="000000"/>
                <w:sz w:val="18"/>
                <w:szCs w:val="18"/>
                <w:lang w:eastAsia="sl-SI"/>
              </w:rPr>
            </w:pPr>
            <w:r w:rsidRPr="007B14D2">
              <w:rPr>
                <w:rFonts w:ascii="Arial" w:eastAsia="Times New Roman" w:hAnsi="Arial" w:cs="Arial"/>
                <w:b/>
                <w:bCs/>
                <w:color w:val="000000"/>
                <w:sz w:val="18"/>
                <w:szCs w:val="18"/>
                <w:lang w:eastAsia="sl-SI"/>
              </w:rPr>
              <w:t>5.417.105.902</w:t>
            </w:r>
          </w:p>
        </w:tc>
        <w:tc>
          <w:tcPr>
            <w:tcW w:w="936" w:type="dxa"/>
            <w:shd w:val="clear" w:color="auto" w:fill="F2F2F2" w:themeFill="background1" w:themeFillShade="F2"/>
            <w:vAlign w:val="center"/>
            <w:hideMark/>
          </w:tcPr>
          <w:p w14:paraId="57B4C5BC" w14:textId="1DAFBA3A" w:rsidR="00B93213" w:rsidRPr="007B14D2" w:rsidRDefault="00B93213" w:rsidP="00B93213">
            <w:pPr>
              <w:spacing w:after="0" w:line="240" w:lineRule="auto"/>
              <w:jc w:val="right"/>
              <w:rPr>
                <w:rFonts w:ascii="Arial" w:eastAsia="Times New Roman" w:hAnsi="Arial" w:cs="Arial"/>
                <w:b/>
                <w:bCs/>
                <w:color w:val="000000"/>
                <w:sz w:val="18"/>
                <w:szCs w:val="18"/>
                <w:lang w:eastAsia="sl-SI"/>
              </w:rPr>
            </w:pPr>
            <w:r w:rsidRPr="007B14D2">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7B14D2">
              <w:rPr>
                <w:rFonts w:ascii="Arial" w:eastAsia="Times New Roman" w:hAnsi="Arial" w:cs="Arial"/>
                <w:b/>
                <w:bCs/>
                <w:color w:val="000000"/>
                <w:sz w:val="18"/>
                <w:szCs w:val="18"/>
                <w:lang w:eastAsia="sl-SI"/>
              </w:rPr>
              <w:t>%</w:t>
            </w:r>
          </w:p>
        </w:tc>
        <w:tc>
          <w:tcPr>
            <w:tcW w:w="1066" w:type="dxa"/>
            <w:shd w:val="clear" w:color="auto" w:fill="F2F2F2" w:themeFill="background1" w:themeFillShade="F2"/>
            <w:vAlign w:val="center"/>
            <w:hideMark/>
          </w:tcPr>
          <w:p w14:paraId="4D12A705" w14:textId="3CD2DDD4" w:rsidR="00B93213" w:rsidRPr="00B93213" w:rsidRDefault="00B93213" w:rsidP="00B93213">
            <w:pPr>
              <w:spacing w:after="0" w:line="240" w:lineRule="auto"/>
              <w:jc w:val="right"/>
              <w:rPr>
                <w:rFonts w:ascii="Arial" w:eastAsia="Times New Roman" w:hAnsi="Arial" w:cs="Arial"/>
                <w:b/>
                <w:bCs/>
                <w:color w:val="000000"/>
                <w:sz w:val="18"/>
                <w:szCs w:val="18"/>
                <w:lang w:eastAsia="sl-SI"/>
              </w:rPr>
            </w:pPr>
            <w:r w:rsidRPr="00B93213">
              <w:rPr>
                <w:rFonts w:ascii="Arial" w:eastAsia="Times New Roman" w:hAnsi="Arial" w:cs="Arial"/>
                <w:b/>
                <w:bCs/>
                <w:color w:val="000000"/>
                <w:sz w:val="18"/>
                <w:szCs w:val="18"/>
                <w:lang w:eastAsia="sl-SI"/>
              </w:rPr>
              <w:t>100,00 %</w:t>
            </w:r>
          </w:p>
        </w:tc>
        <w:tc>
          <w:tcPr>
            <w:tcW w:w="981" w:type="dxa"/>
            <w:shd w:val="clear" w:color="auto" w:fill="F2F2F2" w:themeFill="background1" w:themeFillShade="F2"/>
            <w:vAlign w:val="center"/>
            <w:hideMark/>
          </w:tcPr>
          <w:p w14:paraId="5F9E4FF8" w14:textId="3D2FC87C" w:rsidR="00B93213" w:rsidRPr="007B14D2" w:rsidRDefault="00B93213" w:rsidP="00B93213">
            <w:pPr>
              <w:spacing w:after="0" w:line="240" w:lineRule="auto"/>
              <w:jc w:val="right"/>
              <w:rPr>
                <w:rFonts w:ascii="Arial" w:eastAsia="Times New Roman" w:hAnsi="Arial" w:cs="Arial"/>
                <w:b/>
                <w:bCs/>
                <w:color w:val="000000"/>
                <w:sz w:val="18"/>
                <w:szCs w:val="18"/>
                <w:lang w:eastAsia="sl-SI"/>
              </w:rPr>
            </w:pPr>
            <w:r w:rsidRPr="007B14D2">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7B14D2">
              <w:rPr>
                <w:rFonts w:ascii="Arial" w:eastAsia="Times New Roman" w:hAnsi="Arial" w:cs="Arial"/>
                <w:b/>
                <w:bCs/>
                <w:color w:val="000000"/>
                <w:sz w:val="18"/>
                <w:szCs w:val="18"/>
                <w:lang w:eastAsia="sl-SI"/>
              </w:rPr>
              <w:t>%</w:t>
            </w:r>
          </w:p>
        </w:tc>
      </w:tr>
    </w:tbl>
    <w:p w14:paraId="153A83A6" w14:textId="77777777" w:rsidR="004A613D" w:rsidRPr="007B14D2" w:rsidRDefault="004A613D" w:rsidP="004A613D">
      <w:pPr>
        <w:spacing w:after="0" w:line="240" w:lineRule="auto"/>
        <w:jc w:val="center"/>
        <w:rPr>
          <w:rFonts w:ascii="Arial" w:hAnsi="Arial" w:cs="Arial"/>
          <w:b/>
          <w:bCs/>
          <w:sz w:val="18"/>
        </w:rPr>
      </w:pPr>
    </w:p>
    <w:p w14:paraId="0DFEF82F" w14:textId="20E4E450" w:rsidR="00EB25C7" w:rsidRPr="007B14D2" w:rsidRDefault="00EB25C7" w:rsidP="004A613D">
      <w:pPr>
        <w:spacing w:after="0" w:line="240" w:lineRule="auto"/>
        <w:jc w:val="center"/>
        <w:rPr>
          <w:rFonts w:ascii="Arial" w:hAnsi="Arial" w:cs="Arial"/>
          <w:sz w:val="18"/>
        </w:rPr>
      </w:pPr>
      <w:r w:rsidRPr="007B14D2">
        <w:rPr>
          <w:rFonts w:ascii="Arial" w:hAnsi="Arial" w:cs="Arial"/>
          <w:sz w:val="18"/>
        </w:rPr>
        <w:t>Vir: Statistični podatki o javni</w:t>
      </w:r>
      <w:r w:rsidR="0034502A" w:rsidRPr="007B14D2">
        <w:rPr>
          <w:rFonts w:ascii="Arial" w:hAnsi="Arial" w:cs="Arial"/>
          <w:sz w:val="18"/>
        </w:rPr>
        <w:t>h naročilih, oddanih v letu 20</w:t>
      </w:r>
      <w:r w:rsidR="00FA5A96" w:rsidRPr="007B14D2">
        <w:rPr>
          <w:rFonts w:ascii="Arial" w:hAnsi="Arial" w:cs="Arial"/>
          <w:sz w:val="18"/>
        </w:rPr>
        <w:t>2</w:t>
      </w:r>
      <w:r w:rsidR="007B14D2" w:rsidRPr="007B14D2">
        <w:rPr>
          <w:rFonts w:ascii="Arial" w:hAnsi="Arial" w:cs="Arial"/>
          <w:sz w:val="18"/>
        </w:rPr>
        <w:t>2</w:t>
      </w:r>
      <w:r w:rsidR="00630FBA" w:rsidRPr="007B14D2">
        <w:rPr>
          <w:rFonts w:ascii="Arial" w:hAnsi="Arial" w:cs="Arial"/>
          <w:sz w:val="18"/>
        </w:rPr>
        <w:t>.</w:t>
      </w:r>
    </w:p>
    <w:p w14:paraId="20889F7E" w14:textId="77777777" w:rsidR="007B14D2" w:rsidRPr="007B14D2" w:rsidRDefault="007B14D2" w:rsidP="00EB25C7">
      <w:pPr>
        <w:pStyle w:val="Standard"/>
        <w:spacing w:line="360" w:lineRule="auto"/>
        <w:rPr>
          <w:rFonts w:cs="Arial"/>
          <w:sz w:val="20"/>
          <w:szCs w:val="20"/>
        </w:rPr>
      </w:pPr>
    </w:p>
    <w:p w14:paraId="0C0B24F1" w14:textId="57243645" w:rsidR="00F53FB7" w:rsidRPr="004042C1" w:rsidRDefault="00F53FB7" w:rsidP="00EB25C7">
      <w:pPr>
        <w:pStyle w:val="Standard"/>
        <w:spacing w:line="360" w:lineRule="auto"/>
        <w:rPr>
          <w:rFonts w:cs="Arial"/>
          <w:sz w:val="20"/>
          <w:szCs w:val="20"/>
        </w:rPr>
      </w:pPr>
      <w:r w:rsidRPr="004042C1">
        <w:rPr>
          <w:rFonts w:cs="Arial"/>
          <w:sz w:val="20"/>
          <w:szCs w:val="20"/>
        </w:rPr>
        <w:lastRenderedPageBreak/>
        <w:t xml:space="preserve">Naročniki so elektronsko dražbo uporabili v </w:t>
      </w:r>
      <w:r w:rsidR="001A6B97">
        <w:rPr>
          <w:rFonts w:cs="Arial"/>
          <w:sz w:val="20"/>
          <w:szCs w:val="20"/>
        </w:rPr>
        <w:t>desetih</w:t>
      </w:r>
      <w:r w:rsidR="00FA5A96" w:rsidRPr="004042C1">
        <w:rPr>
          <w:rFonts w:cs="Arial"/>
          <w:sz w:val="20"/>
          <w:szCs w:val="20"/>
        </w:rPr>
        <w:t xml:space="preserve"> o</w:t>
      </w:r>
      <w:r w:rsidRPr="004042C1">
        <w:rPr>
          <w:rFonts w:cs="Arial"/>
          <w:sz w:val="20"/>
          <w:szCs w:val="20"/>
        </w:rPr>
        <w:t>dprtih postopkih</w:t>
      </w:r>
      <w:r w:rsidR="007B14D2" w:rsidRPr="004042C1">
        <w:rPr>
          <w:rFonts w:cs="Arial"/>
          <w:sz w:val="20"/>
          <w:szCs w:val="20"/>
        </w:rPr>
        <w:t xml:space="preserve"> in </w:t>
      </w:r>
      <w:r w:rsidR="001A6B97">
        <w:rPr>
          <w:rFonts w:cs="Arial"/>
          <w:sz w:val="20"/>
          <w:szCs w:val="20"/>
        </w:rPr>
        <w:t>devetih</w:t>
      </w:r>
      <w:r w:rsidR="003401EA" w:rsidRPr="004042C1">
        <w:rPr>
          <w:rFonts w:cs="Arial"/>
          <w:sz w:val="20"/>
          <w:szCs w:val="20"/>
        </w:rPr>
        <w:t xml:space="preserve"> postopkih</w:t>
      </w:r>
      <w:r w:rsidR="00310D47" w:rsidRPr="004042C1">
        <w:rPr>
          <w:rFonts w:cs="Arial"/>
          <w:sz w:val="20"/>
          <w:szCs w:val="20"/>
        </w:rPr>
        <w:t xml:space="preserve"> </w:t>
      </w:r>
      <w:r w:rsidRPr="004042C1">
        <w:rPr>
          <w:rFonts w:cs="Arial"/>
          <w:sz w:val="20"/>
          <w:szCs w:val="20"/>
        </w:rPr>
        <w:t>naročil male vrednosti</w:t>
      </w:r>
      <w:r w:rsidR="004042C1" w:rsidRPr="004042C1">
        <w:rPr>
          <w:rFonts w:cs="Arial"/>
          <w:sz w:val="20"/>
          <w:szCs w:val="20"/>
        </w:rPr>
        <w:t>.</w:t>
      </w:r>
    </w:p>
    <w:p w14:paraId="7FEA0227" w14:textId="4DA74807" w:rsidR="00EB25C7" w:rsidRPr="004042C1" w:rsidRDefault="00EB25C7" w:rsidP="008A61FD">
      <w:pPr>
        <w:spacing w:before="120" w:after="120" w:line="240" w:lineRule="auto"/>
        <w:jc w:val="both"/>
        <w:rPr>
          <w:rFonts w:ascii="Arial" w:hAnsi="Arial" w:cs="Arial"/>
          <w:sz w:val="20"/>
        </w:rPr>
      </w:pPr>
      <w:r w:rsidRPr="004042C1">
        <w:rPr>
          <w:rFonts w:ascii="Arial" w:hAnsi="Arial" w:cs="Arial"/>
          <w:sz w:val="20"/>
        </w:rPr>
        <w:t xml:space="preserve">Preglednica </w:t>
      </w:r>
      <w:r w:rsidR="00512F52" w:rsidRPr="004042C1">
        <w:rPr>
          <w:rFonts w:ascii="Arial" w:hAnsi="Arial" w:cs="Arial"/>
          <w:sz w:val="20"/>
        </w:rPr>
        <w:t>17</w:t>
      </w:r>
      <w:r w:rsidRPr="004042C1">
        <w:rPr>
          <w:rFonts w:ascii="Arial" w:hAnsi="Arial" w:cs="Arial"/>
          <w:sz w:val="20"/>
        </w:rPr>
        <w:t>: Javna naročila</w:t>
      </w:r>
      <w:r w:rsidR="00753CA0" w:rsidRPr="004042C1">
        <w:rPr>
          <w:rFonts w:ascii="Arial" w:hAnsi="Arial" w:cs="Arial"/>
          <w:sz w:val="20"/>
        </w:rPr>
        <w:t>,</w:t>
      </w:r>
      <w:r w:rsidRPr="004042C1">
        <w:rPr>
          <w:rFonts w:ascii="Arial" w:hAnsi="Arial" w:cs="Arial"/>
          <w:sz w:val="20"/>
        </w:rPr>
        <w:t xml:space="preserve"> v katerih je bila uporabljena elektronska dražba</w:t>
      </w:r>
      <w:r w:rsidR="00753CA0" w:rsidRPr="004042C1">
        <w:rPr>
          <w:rFonts w:ascii="Arial" w:hAnsi="Arial" w:cs="Arial"/>
          <w:sz w:val="20"/>
        </w:rPr>
        <w:t>,</w:t>
      </w:r>
      <w:r w:rsidRPr="004042C1">
        <w:rPr>
          <w:rFonts w:ascii="Arial" w:hAnsi="Arial" w:cs="Arial"/>
          <w:sz w:val="20"/>
        </w:rPr>
        <w:t xml:space="preserve"> glede na vrsto postopka</w:t>
      </w:r>
    </w:p>
    <w:tbl>
      <w:tblPr>
        <w:tblW w:w="7800" w:type="dxa"/>
        <w:jc w:val="center"/>
        <w:tblCellMar>
          <w:left w:w="70" w:type="dxa"/>
          <w:right w:w="70" w:type="dxa"/>
        </w:tblCellMar>
        <w:tblLook w:val="04A0" w:firstRow="1" w:lastRow="0" w:firstColumn="1" w:lastColumn="0" w:noHBand="0" w:noVBand="1"/>
      </w:tblPr>
      <w:tblGrid>
        <w:gridCol w:w="3400"/>
        <w:gridCol w:w="1080"/>
        <w:gridCol w:w="1400"/>
        <w:gridCol w:w="960"/>
        <w:gridCol w:w="960"/>
      </w:tblGrid>
      <w:tr w:rsidR="00FA5A96" w:rsidRPr="004042C1" w14:paraId="5637E720" w14:textId="77777777" w:rsidTr="00CD447F">
        <w:trPr>
          <w:trHeight w:val="255"/>
          <w:jc w:val="center"/>
        </w:trPr>
        <w:tc>
          <w:tcPr>
            <w:tcW w:w="3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B51931" w14:textId="77777777" w:rsidR="00FA5A96" w:rsidRPr="004042C1" w:rsidRDefault="00FA5A96" w:rsidP="00FA5A96">
            <w:pPr>
              <w:spacing w:after="0" w:line="240" w:lineRule="auto"/>
              <w:jc w:val="center"/>
              <w:rPr>
                <w:rFonts w:ascii="Arial" w:eastAsia="Times New Roman" w:hAnsi="Arial" w:cs="Arial"/>
                <w:color w:val="000000"/>
                <w:sz w:val="18"/>
                <w:szCs w:val="18"/>
                <w:lang w:eastAsia="sl-SI"/>
              </w:rPr>
            </w:pPr>
            <w:r w:rsidRPr="004042C1">
              <w:rPr>
                <w:rFonts w:ascii="Arial" w:eastAsia="Times New Roman" w:hAnsi="Arial" w:cs="Arial"/>
                <w:color w:val="000000"/>
                <w:sz w:val="18"/>
                <w:szCs w:val="18"/>
                <w:lang w:eastAsia="sl-SI"/>
              </w:rPr>
              <w:t>Vrsta postopka</w:t>
            </w:r>
          </w:p>
        </w:tc>
        <w:tc>
          <w:tcPr>
            <w:tcW w:w="108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39455C6" w14:textId="77777777" w:rsidR="00FA5A96" w:rsidRPr="004042C1" w:rsidRDefault="00FA5A96" w:rsidP="00FA5A96">
            <w:pPr>
              <w:spacing w:after="0" w:line="240" w:lineRule="auto"/>
              <w:jc w:val="center"/>
              <w:rPr>
                <w:rFonts w:ascii="Arial" w:eastAsia="Times New Roman" w:hAnsi="Arial" w:cs="Arial"/>
                <w:color w:val="000000"/>
                <w:sz w:val="18"/>
                <w:szCs w:val="18"/>
                <w:lang w:eastAsia="sl-SI"/>
              </w:rPr>
            </w:pPr>
            <w:r w:rsidRPr="004042C1">
              <w:rPr>
                <w:rFonts w:ascii="Arial" w:eastAsia="Times New Roman" w:hAnsi="Arial" w:cs="Arial"/>
                <w:color w:val="000000"/>
                <w:sz w:val="18"/>
                <w:szCs w:val="18"/>
                <w:lang w:eastAsia="sl-SI"/>
              </w:rPr>
              <w:t>Št. naročil</w:t>
            </w:r>
          </w:p>
        </w:tc>
        <w:tc>
          <w:tcPr>
            <w:tcW w:w="140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CAB7920" w14:textId="77777777" w:rsidR="00FA5A96" w:rsidRPr="004042C1" w:rsidRDefault="00FA5A96" w:rsidP="00FA5A96">
            <w:pPr>
              <w:spacing w:after="0" w:line="240" w:lineRule="auto"/>
              <w:jc w:val="center"/>
              <w:rPr>
                <w:rFonts w:ascii="Arial" w:eastAsia="Times New Roman" w:hAnsi="Arial" w:cs="Arial"/>
                <w:color w:val="000000"/>
                <w:sz w:val="18"/>
                <w:szCs w:val="18"/>
                <w:lang w:eastAsia="sl-SI"/>
              </w:rPr>
            </w:pPr>
            <w:r w:rsidRPr="004042C1">
              <w:rPr>
                <w:rFonts w:ascii="Arial" w:eastAsia="Times New Roman" w:hAnsi="Arial" w:cs="Arial"/>
                <w:color w:val="000000"/>
                <w:sz w:val="18"/>
                <w:szCs w:val="18"/>
                <w:lang w:eastAsia="sl-SI"/>
              </w:rPr>
              <w:t>Pogodbena vrednost</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952A58D" w14:textId="77777777" w:rsidR="00FA5A96" w:rsidRPr="004042C1" w:rsidRDefault="00FA5A96" w:rsidP="00FA5A96">
            <w:pPr>
              <w:spacing w:after="0" w:line="240" w:lineRule="auto"/>
              <w:jc w:val="center"/>
              <w:rPr>
                <w:rFonts w:ascii="Arial" w:eastAsia="Times New Roman" w:hAnsi="Arial" w:cs="Arial"/>
                <w:color w:val="000000"/>
                <w:sz w:val="18"/>
                <w:szCs w:val="18"/>
                <w:lang w:eastAsia="sl-SI"/>
              </w:rPr>
            </w:pPr>
            <w:r w:rsidRPr="004042C1">
              <w:rPr>
                <w:rFonts w:ascii="Arial" w:eastAsia="Times New Roman" w:hAnsi="Arial" w:cs="Arial"/>
                <w:color w:val="000000"/>
                <w:sz w:val="18"/>
                <w:szCs w:val="18"/>
                <w:lang w:eastAsia="sl-SI"/>
              </w:rPr>
              <w:t>Delež v št. naročil</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2A605C4" w14:textId="77777777" w:rsidR="00FA5A96" w:rsidRPr="004042C1" w:rsidRDefault="00FA5A96" w:rsidP="00FA5A96">
            <w:pPr>
              <w:spacing w:after="0" w:line="240" w:lineRule="auto"/>
              <w:jc w:val="center"/>
              <w:rPr>
                <w:rFonts w:ascii="Arial" w:eastAsia="Times New Roman" w:hAnsi="Arial" w:cs="Arial"/>
                <w:color w:val="000000"/>
                <w:sz w:val="18"/>
                <w:szCs w:val="18"/>
                <w:lang w:eastAsia="sl-SI"/>
              </w:rPr>
            </w:pPr>
            <w:r w:rsidRPr="004042C1">
              <w:rPr>
                <w:rFonts w:ascii="Arial" w:eastAsia="Times New Roman" w:hAnsi="Arial" w:cs="Arial"/>
                <w:color w:val="000000"/>
                <w:sz w:val="18"/>
                <w:szCs w:val="18"/>
                <w:lang w:eastAsia="sl-SI"/>
              </w:rPr>
              <w:t>Delež v vrednosti</w:t>
            </w:r>
          </w:p>
        </w:tc>
      </w:tr>
      <w:tr w:rsidR="007B14D2" w:rsidRPr="004042C1" w14:paraId="2CBF89B6" w14:textId="77777777" w:rsidTr="004042C1">
        <w:trPr>
          <w:trHeight w:val="255"/>
          <w:jc w:val="center"/>
        </w:trPr>
        <w:tc>
          <w:tcPr>
            <w:tcW w:w="3400" w:type="dxa"/>
            <w:tcBorders>
              <w:top w:val="nil"/>
              <w:left w:val="single" w:sz="4" w:space="0" w:color="auto"/>
              <w:bottom w:val="single" w:sz="4" w:space="0" w:color="auto"/>
              <w:right w:val="single" w:sz="4" w:space="0" w:color="auto"/>
            </w:tcBorders>
            <w:shd w:val="clear" w:color="auto" w:fill="auto"/>
            <w:vAlign w:val="center"/>
            <w:hideMark/>
          </w:tcPr>
          <w:p w14:paraId="5D999F24" w14:textId="5E06F147" w:rsidR="007B14D2" w:rsidRPr="004042C1" w:rsidRDefault="007B14D2" w:rsidP="007B14D2">
            <w:pPr>
              <w:spacing w:after="0" w:line="240" w:lineRule="auto"/>
              <w:rPr>
                <w:rFonts w:ascii="Arial" w:eastAsia="Times New Roman" w:hAnsi="Arial" w:cs="Arial"/>
                <w:color w:val="000000"/>
                <w:sz w:val="18"/>
                <w:szCs w:val="18"/>
                <w:lang w:eastAsia="sl-SI"/>
              </w:rPr>
            </w:pPr>
            <w:r w:rsidRPr="004042C1">
              <w:rPr>
                <w:rFonts w:ascii="Arial" w:eastAsia="Times New Roman" w:hAnsi="Arial" w:cs="Arial"/>
                <w:color w:val="000000"/>
                <w:sz w:val="18"/>
                <w:szCs w:val="18"/>
                <w:lang w:eastAsia="sl-SI"/>
              </w:rPr>
              <w:t>Odprti postopek</w:t>
            </w:r>
          </w:p>
        </w:tc>
        <w:tc>
          <w:tcPr>
            <w:tcW w:w="1080" w:type="dxa"/>
            <w:tcBorders>
              <w:top w:val="nil"/>
              <w:left w:val="nil"/>
              <w:bottom w:val="single" w:sz="4" w:space="0" w:color="auto"/>
              <w:right w:val="single" w:sz="4" w:space="0" w:color="auto"/>
            </w:tcBorders>
            <w:shd w:val="clear" w:color="auto" w:fill="auto"/>
            <w:vAlign w:val="center"/>
            <w:hideMark/>
          </w:tcPr>
          <w:p w14:paraId="697B0F8D" w14:textId="077AAC33" w:rsidR="007B14D2" w:rsidRPr="004042C1" w:rsidRDefault="007B14D2" w:rsidP="004042C1">
            <w:pPr>
              <w:spacing w:after="0" w:line="240" w:lineRule="auto"/>
              <w:jc w:val="right"/>
              <w:rPr>
                <w:rFonts w:ascii="Arial" w:eastAsia="Times New Roman" w:hAnsi="Arial" w:cs="Arial"/>
                <w:color w:val="000000"/>
                <w:sz w:val="18"/>
                <w:szCs w:val="18"/>
                <w:lang w:eastAsia="sl-SI"/>
              </w:rPr>
            </w:pPr>
            <w:r w:rsidRPr="004042C1">
              <w:rPr>
                <w:rFonts w:ascii="Arial" w:eastAsia="Times New Roman" w:hAnsi="Arial" w:cs="Arial"/>
                <w:color w:val="000000"/>
                <w:sz w:val="18"/>
                <w:szCs w:val="18"/>
                <w:lang w:eastAsia="sl-SI"/>
              </w:rPr>
              <w:t>26</w:t>
            </w:r>
          </w:p>
        </w:tc>
        <w:tc>
          <w:tcPr>
            <w:tcW w:w="1400" w:type="dxa"/>
            <w:tcBorders>
              <w:top w:val="nil"/>
              <w:left w:val="nil"/>
              <w:bottom w:val="single" w:sz="4" w:space="0" w:color="auto"/>
              <w:right w:val="single" w:sz="4" w:space="0" w:color="auto"/>
            </w:tcBorders>
            <w:shd w:val="clear" w:color="auto" w:fill="auto"/>
            <w:vAlign w:val="center"/>
            <w:hideMark/>
          </w:tcPr>
          <w:p w14:paraId="31108E82" w14:textId="3D1B4186" w:rsidR="007B14D2" w:rsidRPr="004042C1" w:rsidRDefault="007B14D2" w:rsidP="004042C1">
            <w:pPr>
              <w:spacing w:after="0" w:line="240" w:lineRule="auto"/>
              <w:jc w:val="right"/>
              <w:rPr>
                <w:rFonts w:ascii="Arial" w:eastAsia="Times New Roman" w:hAnsi="Arial" w:cs="Arial"/>
                <w:color w:val="000000"/>
                <w:sz w:val="18"/>
                <w:szCs w:val="18"/>
                <w:lang w:eastAsia="sl-SI"/>
              </w:rPr>
            </w:pPr>
            <w:r w:rsidRPr="004042C1">
              <w:rPr>
                <w:rFonts w:ascii="Arial" w:eastAsia="Times New Roman" w:hAnsi="Arial" w:cs="Arial"/>
                <w:color w:val="000000"/>
                <w:sz w:val="18"/>
                <w:szCs w:val="18"/>
                <w:lang w:eastAsia="sl-SI"/>
              </w:rPr>
              <w:t>5.316.765</w:t>
            </w:r>
          </w:p>
        </w:tc>
        <w:tc>
          <w:tcPr>
            <w:tcW w:w="960" w:type="dxa"/>
            <w:tcBorders>
              <w:top w:val="nil"/>
              <w:left w:val="nil"/>
              <w:bottom w:val="single" w:sz="4" w:space="0" w:color="auto"/>
              <w:right w:val="single" w:sz="4" w:space="0" w:color="auto"/>
            </w:tcBorders>
            <w:shd w:val="clear" w:color="auto" w:fill="auto"/>
            <w:noWrap/>
            <w:vAlign w:val="center"/>
            <w:hideMark/>
          </w:tcPr>
          <w:p w14:paraId="6337D57C" w14:textId="639AEBEF" w:rsidR="007B14D2" w:rsidRPr="004042C1" w:rsidRDefault="007B14D2" w:rsidP="004042C1">
            <w:pPr>
              <w:spacing w:after="0" w:line="240" w:lineRule="auto"/>
              <w:jc w:val="right"/>
              <w:rPr>
                <w:rFonts w:ascii="Arial" w:eastAsia="Times New Roman" w:hAnsi="Arial" w:cs="Arial"/>
                <w:color w:val="000000"/>
                <w:sz w:val="18"/>
                <w:szCs w:val="18"/>
                <w:lang w:eastAsia="sl-SI"/>
              </w:rPr>
            </w:pPr>
            <w:r w:rsidRPr="004042C1">
              <w:rPr>
                <w:rFonts w:ascii="Arial" w:eastAsia="Times New Roman" w:hAnsi="Arial" w:cs="Arial"/>
                <w:color w:val="000000"/>
                <w:sz w:val="18"/>
                <w:szCs w:val="18"/>
                <w:lang w:eastAsia="sl-SI"/>
              </w:rPr>
              <w:t>74,29</w:t>
            </w:r>
            <w:r w:rsidR="004042C1" w:rsidRPr="004042C1">
              <w:rPr>
                <w:rFonts w:ascii="Arial" w:eastAsia="Times New Roman" w:hAnsi="Arial" w:cs="Arial"/>
                <w:color w:val="000000"/>
                <w:sz w:val="18"/>
                <w:szCs w:val="18"/>
                <w:lang w:eastAsia="sl-SI"/>
              </w:rPr>
              <w:t xml:space="preserve"> </w:t>
            </w:r>
            <w:r w:rsidRPr="004042C1">
              <w:rPr>
                <w:rFonts w:ascii="Arial" w:eastAsia="Times New Roman" w:hAnsi="Arial" w:cs="Arial"/>
                <w:color w:val="000000"/>
                <w:sz w:val="18"/>
                <w:szCs w:val="18"/>
                <w:lang w:eastAsia="sl-SI"/>
              </w:rPr>
              <w:t>%</w:t>
            </w:r>
          </w:p>
        </w:tc>
        <w:tc>
          <w:tcPr>
            <w:tcW w:w="960" w:type="dxa"/>
            <w:tcBorders>
              <w:top w:val="nil"/>
              <w:left w:val="nil"/>
              <w:bottom w:val="single" w:sz="4" w:space="0" w:color="auto"/>
              <w:right w:val="single" w:sz="4" w:space="0" w:color="auto"/>
            </w:tcBorders>
            <w:shd w:val="clear" w:color="auto" w:fill="auto"/>
            <w:noWrap/>
            <w:vAlign w:val="center"/>
            <w:hideMark/>
          </w:tcPr>
          <w:p w14:paraId="7005E217" w14:textId="70274F33" w:rsidR="007B14D2" w:rsidRPr="004042C1" w:rsidRDefault="007B14D2" w:rsidP="004042C1">
            <w:pPr>
              <w:spacing w:after="0" w:line="240" w:lineRule="auto"/>
              <w:jc w:val="right"/>
              <w:rPr>
                <w:rFonts w:ascii="Arial" w:eastAsia="Times New Roman" w:hAnsi="Arial" w:cs="Arial"/>
                <w:color w:val="000000"/>
                <w:sz w:val="18"/>
                <w:szCs w:val="18"/>
                <w:lang w:eastAsia="sl-SI"/>
              </w:rPr>
            </w:pPr>
            <w:r w:rsidRPr="004042C1">
              <w:rPr>
                <w:rFonts w:ascii="Arial" w:eastAsia="Times New Roman" w:hAnsi="Arial" w:cs="Arial"/>
                <w:color w:val="000000"/>
                <w:sz w:val="18"/>
                <w:szCs w:val="18"/>
                <w:lang w:eastAsia="sl-SI"/>
              </w:rPr>
              <w:t>85,04</w:t>
            </w:r>
            <w:r w:rsidR="004042C1" w:rsidRPr="004042C1">
              <w:rPr>
                <w:rFonts w:ascii="Arial" w:eastAsia="Times New Roman" w:hAnsi="Arial" w:cs="Arial"/>
                <w:color w:val="000000"/>
                <w:sz w:val="18"/>
                <w:szCs w:val="18"/>
                <w:lang w:eastAsia="sl-SI"/>
              </w:rPr>
              <w:t xml:space="preserve"> </w:t>
            </w:r>
            <w:r w:rsidRPr="004042C1">
              <w:rPr>
                <w:rFonts w:ascii="Arial" w:eastAsia="Times New Roman" w:hAnsi="Arial" w:cs="Arial"/>
                <w:color w:val="000000"/>
                <w:sz w:val="18"/>
                <w:szCs w:val="18"/>
                <w:lang w:eastAsia="sl-SI"/>
              </w:rPr>
              <w:t>%</w:t>
            </w:r>
          </w:p>
        </w:tc>
      </w:tr>
      <w:tr w:rsidR="007B14D2" w:rsidRPr="004042C1" w14:paraId="2A58AF40" w14:textId="77777777" w:rsidTr="004042C1">
        <w:trPr>
          <w:trHeight w:val="255"/>
          <w:jc w:val="center"/>
        </w:trPr>
        <w:tc>
          <w:tcPr>
            <w:tcW w:w="3400" w:type="dxa"/>
            <w:tcBorders>
              <w:top w:val="nil"/>
              <w:left w:val="single" w:sz="4" w:space="0" w:color="auto"/>
              <w:bottom w:val="single" w:sz="4" w:space="0" w:color="auto"/>
              <w:right w:val="single" w:sz="4" w:space="0" w:color="auto"/>
            </w:tcBorders>
            <w:shd w:val="clear" w:color="auto" w:fill="auto"/>
            <w:vAlign w:val="center"/>
            <w:hideMark/>
          </w:tcPr>
          <w:p w14:paraId="4B12E09C" w14:textId="012B627B" w:rsidR="007B14D2" w:rsidRPr="004042C1" w:rsidRDefault="007B14D2" w:rsidP="007B14D2">
            <w:pPr>
              <w:spacing w:after="0" w:line="240" w:lineRule="auto"/>
              <w:rPr>
                <w:rFonts w:ascii="Arial" w:eastAsia="Times New Roman" w:hAnsi="Arial" w:cs="Arial"/>
                <w:color w:val="000000"/>
                <w:sz w:val="18"/>
                <w:szCs w:val="18"/>
                <w:lang w:eastAsia="sl-SI"/>
              </w:rPr>
            </w:pPr>
            <w:r w:rsidRPr="004042C1">
              <w:rPr>
                <w:rFonts w:ascii="Arial" w:eastAsia="Times New Roman" w:hAnsi="Arial" w:cs="Arial"/>
                <w:color w:val="000000"/>
                <w:sz w:val="18"/>
                <w:szCs w:val="18"/>
                <w:lang w:eastAsia="sl-SI"/>
              </w:rPr>
              <w:t>Postopek naročila male vrednosti</w:t>
            </w:r>
          </w:p>
        </w:tc>
        <w:tc>
          <w:tcPr>
            <w:tcW w:w="1080" w:type="dxa"/>
            <w:tcBorders>
              <w:top w:val="nil"/>
              <w:left w:val="nil"/>
              <w:bottom w:val="single" w:sz="4" w:space="0" w:color="auto"/>
              <w:right w:val="single" w:sz="4" w:space="0" w:color="auto"/>
            </w:tcBorders>
            <w:shd w:val="clear" w:color="auto" w:fill="auto"/>
            <w:vAlign w:val="center"/>
            <w:hideMark/>
          </w:tcPr>
          <w:p w14:paraId="2E3FA42E" w14:textId="201759BA" w:rsidR="007B14D2" w:rsidRPr="004042C1" w:rsidRDefault="007B14D2" w:rsidP="004042C1">
            <w:pPr>
              <w:spacing w:after="0" w:line="240" w:lineRule="auto"/>
              <w:jc w:val="right"/>
              <w:rPr>
                <w:rFonts w:ascii="Arial" w:eastAsia="Times New Roman" w:hAnsi="Arial" w:cs="Arial"/>
                <w:color w:val="000000"/>
                <w:sz w:val="18"/>
                <w:szCs w:val="18"/>
                <w:lang w:eastAsia="sl-SI"/>
              </w:rPr>
            </w:pPr>
            <w:r w:rsidRPr="004042C1">
              <w:rPr>
                <w:rFonts w:ascii="Arial" w:eastAsia="Times New Roman" w:hAnsi="Arial" w:cs="Arial"/>
                <w:color w:val="000000"/>
                <w:sz w:val="18"/>
                <w:szCs w:val="18"/>
                <w:lang w:eastAsia="sl-SI"/>
              </w:rPr>
              <w:t>9</w:t>
            </w:r>
          </w:p>
        </w:tc>
        <w:tc>
          <w:tcPr>
            <w:tcW w:w="1400" w:type="dxa"/>
            <w:tcBorders>
              <w:top w:val="nil"/>
              <w:left w:val="nil"/>
              <w:bottom w:val="single" w:sz="4" w:space="0" w:color="auto"/>
              <w:right w:val="single" w:sz="4" w:space="0" w:color="auto"/>
            </w:tcBorders>
            <w:shd w:val="clear" w:color="auto" w:fill="auto"/>
            <w:vAlign w:val="center"/>
            <w:hideMark/>
          </w:tcPr>
          <w:p w14:paraId="5A8A3494" w14:textId="56B02E9F" w:rsidR="007B14D2" w:rsidRPr="004042C1" w:rsidRDefault="007B14D2" w:rsidP="004042C1">
            <w:pPr>
              <w:spacing w:after="0" w:line="240" w:lineRule="auto"/>
              <w:jc w:val="right"/>
              <w:rPr>
                <w:rFonts w:ascii="Arial" w:eastAsia="Times New Roman" w:hAnsi="Arial" w:cs="Arial"/>
                <w:color w:val="000000"/>
                <w:sz w:val="18"/>
                <w:szCs w:val="18"/>
                <w:lang w:eastAsia="sl-SI"/>
              </w:rPr>
            </w:pPr>
            <w:r w:rsidRPr="004042C1">
              <w:rPr>
                <w:rFonts w:ascii="Arial" w:eastAsia="Times New Roman" w:hAnsi="Arial" w:cs="Arial"/>
                <w:color w:val="000000"/>
                <w:sz w:val="18"/>
                <w:szCs w:val="18"/>
                <w:lang w:eastAsia="sl-SI"/>
              </w:rPr>
              <w:t>935.344</w:t>
            </w:r>
          </w:p>
        </w:tc>
        <w:tc>
          <w:tcPr>
            <w:tcW w:w="960" w:type="dxa"/>
            <w:tcBorders>
              <w:top w:val="nil"/>
              <w:left w:val="nil"/>
              <w:bottom w:val="single" w:sz="4" w:space="0" w:color="auto"/>
              <w:right w:val="single" w:sz="4" w:space="0" w:color="auto"/>
            </w:tcBorders>
            <w:shd w:val="clear" w:color="auto" w:fill="auto"/>
            <w:noWrap/>
            <w:vAlign w:val="center"/>
            <w:hideMark/>
          </w:tcPr>
          <w:p w14:paraId="030FF0A1" w14:textId="495A161A" w:rsidR="007B14D2" w:rsidRPr="004042C1" w:rsidRDefault="007B14D2" w:rsidP="004042C1">
            <w:pPr>
              <w:spacing w:after="0" w:line="240" w:lineRule="auto"/>
              <w:jc w:val="right"/>
              <w:rPr>
                <w:rFonts w:ascii="Arial" w:eastAsia="Times New Roman" w:hAnsi="Arial" w:cs="Arial"/>
                <w:color w:val="000000"/>
                <w:sz w:val="18"/>
                <w:szCs w:val="18"/>
                <w:lang w:eastAsia="sl-SI"/>
              </w:rPr>
            </w:pPr>
            <w:r w:rsidRPr="004042C1">
              <w:rPr>
                <w:rFonts w:ascii="Arial" w:eastAsia="Times New Roman" w:hAnsi="Arial" w:cs="Arial"/>
                <w:color w:val="000000"/>
                <w:sz w:val="18"/>
                <w:szCs w:val="18"/>
                <w:lang w:eastAsia="sl-SI"/>
              </w:rPr>
              <w:t>25,71</w:t>
            </w:r>
            <w:r w:rsidR="004042C1" w:rsidRPr="004042C1">
              <w:rPr>
                <w:rFonts w:ascii="Arial" w:eastAsia="Times New Roman" w:hAnsi="Arial" w:cs="Arial"/>
                <w:color w:val="000000"/>
                <w:sz w:val="18"/>
                <w:szCs w:val="18"/>
                <w:lang w:eastAsia="sl-SI"/>
              </w:rPr>
              <w:t xml:space="preserve"> </w:t>
            </w:r>
            <w:r w:rsidRPr="004042C1">
              <w:rPr>
                <w:rFonts w:ascii="Arial" w:eastAsia="Times New Roman" w:hAnsi="Arial" w:cs="Arial"/>
                <w:color w:val="000000"/>
                <w:sz w:val="18"/>
                <w:szCs w:val="18"/>
                <w:lang w:eastAsia="sl-SI"/>
              </w:rPr>
              <w:t>%</w:t>
            </w:r>
          </w:p>
        </w:tc>
        <w:tc>
          <w:tcPr>
            <w:tcW w:w="960" w:type="dxa"/>
            <w:tcBorders>
              <w:top w:val="nil"/>
              <w:left w:val="nil"/>
              <w:bottom w:val="single" w:sz="4" w:space="0" w:color="auto"/>
              <w:right w:val="single" w:sz="4" w:space="0" w:color="auto"/>
            </w:tcBorders>
            <w:shd w:val="clear" w:color="auto" w:fill="auto"/>
            <w:noWrap/>
            <w:vAlign w:val="center"/>
            <w:hideMark/>
          </w:tcPr>
          <w:p w14:paraId="158F0252" w14:textId="2F163D95" w:rsidR="007B14D2" w:rsidRPr="004042C1" w:rsidRDefault="007B14D2" w:rsidP="004042C1">
            <w:pPr>
              <w:spacing w:after="0" w:line="240" w:lineRule="auto"/>
              <w:jc w:val="right"/>
              <w:rPr>
                <w:rFonts w:ascii="Arial" w:eastAsia="Times New Roman" w:hAnsi="Arial" w:cs="Arial"/>
                <w:color w:val="000000"/>
                <w:sz w:val="18"/>
                <w:szCs w:val="18"/>
                <w:lang w:eastAsia="sl-SI"/>
              </w:rPr>
            </w:pPr>
            <w:r w:rsidRPr="004042C1">
              <w:rPr>
                <w:rFonts w:ascii="Arial" w:eastAsia="Times New Roman" w:hAnsi="Arial" w:cs="Arial"/>
                <w:color w:val="000000"/>
                <w:sz w:val="18"/>
                <w:szCs w:val="18"/>
                <w:lang w:eastAsia="sl-SI"/>
              </w:rPr>
              <w:t>14,96</w:t>
            </w:r>
            <w:r w:rsidR="004042C1" w:rsidRPr="004042C1">
              <w:rPr>
                <w:rFonts w:ascii="Arial" w:eastAsia="Times New Roman" w:hAnsi="Arial" w:cs="Arial"/>
                <w:color w:val="000000"/>
                <w:sz w:val="18"/>
                <w:szCs w:val="18"/>
                <w:lang w:eastAsia="sl-SI"/>
              </w:rPr>
              <w:t xml:space="preserve"> </w:t>
            </w:r>
            <w:r w:rsidRPr="004042C1">
              <w:rPr>
                <w:rFonts w:ascii="Arial" w:eastAsia="Times New Roman" w:hAnsi="Arial" w:cs="Arial"/>
                <w:color w:val="000000"/>
                <w:sz w:val="18"/>
                <w:szCs w:val="18"/>
                <w:lang w:eastAsia="sl-SI"/>
              </w:rPr>
              <w:t>%</w:t>
            </w:r>
          </w:p>
        </w:tc>
      </w:tr>
      <w:tr w:rsidR="007B14D2" w:rsidRPr="004042C1" w14:paraId="2AAE19CA" w14:textId="77777777" w:rsidTr="004042C1">
        <w:trPr>
          <w:trHeight w:val="255"/>
          <w:jc w:val="center"/>
        </w:trPr>
        <w:tc>
          <w:tcPr>
            <w:tcW w:w="340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7480238" w14:textId="4343197D" w:rsidR="007B14D2" w:rsidRPr="004042C1" w:rsidRDefault="007B14D2" w:rsidP="007B14D2">
            <w:pPr>
              <w:spacing w:after="0" w:line="240" w:lineRule="auto"/>
              <w:rPr>
                <w:rFonts w:ascii="Arial" w:eastAsia="Times New Roman" w:hAnsi="Arial" w:cs="Arial"/>
                <w:b/>
                <w:bCs/>
                <w:color w:val="000000"/>
                <w:sz w:val="18"/>
                <w:szCs w:val="18"/>
                <w:lang w:eastAsia="sl-SI"/>
              </w:rPr>
            </w:pPr>
            <w:r w:rsidRPr="004042C1">
              <w:rPr>
                <w:rFonts w:ascii="Arial" w:eastAsia="Times New Roman" w:hAnsi="Arial" w:cs="Arial"/>
                <w:b/>
                <w:bCs/>
                <w:color w:val="000000"/>
                <w:sz w:val="18"/>
                <w:szCs w:val="18"/>
                <w:lang w:eastAsia="sl-SI"/>
              </w:rPr>
              <w:t>Skupaj</w:t>
            </w:r>
          </w:p>
        </w:tc>
        <w:tc>
          <w:tcPr>
            <w:tcW w:w="1080" w:type="dxa"/>
            <w:tcBorders>
              <w:top w:val="nil"/>
              <w:left w:val="nil"/>
              <w:bottom w:val="single" w:sz="4" w:space="0" w:color="auto"/>
              <w:right w:val="single" w:sz="4" w:space="0" w:color="auto"/>
            </w:tcBorders>
            <w:shd w:val="clear" w:color="auto" w:fill="F2F2F2" w:themeFill="background1" w:themeFillShade="F2"/>
            <w:vAlign w:val="center"/>
            <w:hideMark/>
          </w:tcPr>
          <w:p w14:paraId="1089DB44" w14:textId="70812D78" w:rsidR="007B14D2" w:rsidRPr="004042C1" w:rsidRDefault="007B14D2" w:rsidP="004042C1">
            <w:pPr>
              <w:spacing w:after="0" w:line="240" w:lineRule="auto"/>
              <w:jc w:val="right"/>
              <w:rPr>
                <w:rFonts w:ascii="Arial" w:eastAsia="Times New Roman" w:hAnsi="Arial" w:cs="Arial"/>
                <w:b/>
                <w:bCs/>
                <w:color w:val="000000"/>
                <w:sz w:val="18"/>
                <w:szCs w:val="18"/>
                <w:lang w:eastAsia="sl-SI"/>
              </w:rPr>
            </w:pPr>
            <w:r w:rsidRPr="004042C1">
              <w:rPr>
                <w:rFonts w:ascii="Arial" w:eastAsia="Times New Roman" w:hAnsi="Arial" w:cs="Arial"/>
                <w:b/>
                <w:bCs/>
                <w:color w:val="000000"/>
                <w:sz w:val="18"/>
                <w:szCs w:val="18"/>
                <w:lang w:eastAsia="sl-SI"/>
              </w:rPr>
              <w:t>35</w:t>
            </w:r>
          </w:p>
        </w:tc>
        <w:tc>
          <w:tcPr>
            <w:tcW w:w="1400" w:type="dxa"/>
            <w:tcBorders>
              <w:top w:val="nil"/>
              <w:left w:val="nil"/>
              <w:bottom w:val="single" w:sz="4" w:space="0" w:color="auto"/>
              <w:right w:val="single" w:sz="4" w:space="0" w:color="auto"/>
            </w:tcBorders>
            <w:shd w:val="clear" w:color="auto" w:fill="F2F2F2" w:themeFill="background1" w:themeFillShade="F2"/>
            <w:vAlign w:val="center"/>
            <w:hideMark/>
          </w:tcPr>
          <w:p w14:paraId="13AD66AB" w14:textId="54375495" w:rsidR="007B14D2" w:rsidRPr="004042C1" w:rsidRDefault="007B14D2" w:rsidP="004042C1">
            <w:pPr>
              <w:spacing w:after="0" w:line="240" w:lineRule="auto"/>
              <w:jc w:val="right"/>
              <w:rPr>
                <w:rFonts w:ascii="Arial" w:eastAsia="Times New Roman" w:hAnsi="Arial" w:cs="Arial"/>
                <w:b/>
                <w:bCs/>
                <w:color w:val="000000"/>
                <w:sz w:val="18"/>
                <w:szCs w:val="18"/>
                <w:lang w:eastAsia="sl-SI"/>
              </w:rPr>
            </w:pPr>
            <w:r w:rsidRPr="004042C1">
              <w:rPr>
                <w:rFonts w:ascii="Arial" w:eastAsia="Times New Roman" w:hAnsi="Arial" w:cs="Arial"/>
                <w:b/>
                <w:bCs/>
                <w:color w:val="000000"/>
                <w:sz w:val="18"/>
                <w:szCs w:val="18"/>
                <w:lang w:eastAsia="sl-SI"/>
              </w:rPr>
              <w:t>6.252.109</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7E4872FA" w14:textId="200EBAF7" w:rsidR="007B14D2" w:rsidRPr="004042C1" w:rsidRDefault="007B14D2" w:rsidP="004042C1">
            <w:pPr>
              <w:spacing w:after="0" w:line="240" w:lineRule="auto"/>
              <w:jc w:val="right"/>
              <w:rPr>
                <w:rFonts w:ascii="Arial" w:eastAsia="Times New Roman" w:hAnsi="Arial" w:cs="Arial"/>
                <w:b/>
                <w:bCs/>
                <w:color w:val="000000"/>
                <w:sz w:val="18"/>
                <w:szCs w:val="18"/>
                <w:lang w:eastAsia="sl-SI"/>
              </w:rPr>
            </w:pPr>
            <w:r w:rsidRPr="004042C1">
              <w:rPr>
                <w:rFonts w:ascii="Arial" w:eastAsia="Times New Roman" w:hAnsi="Arial" w:cs="Arial"/>
                <w:b/>
                <w:bCs/>
                <w:color w:val="000000"/>
                <w:sz w:val="18"/>
                <w:szCs w:val="18"/>
                <w:lang w:eastAsia="sl-SI"/>
              </w:rPr>
              <w:t>100,00</w:t>
            </w:r>
            <w:r w:rsidR="004042C1" w:rsidRPr="004042C1">
              <w:rPr>
                <w:rFonts w:ascii="Arial" w:eastAsia="Times New Roman" w:hAnsi="Arial" w:cs="Arial"/>
                <w:b/>
                <w:bCs/>
                <w:color w:val="000000"/>
                <w:sz w:val="18"/>
                <w:szCs w:val="18"/>
                <w:lang w:eastAsia="sl-SI"/>
              </w:rPr>
              <w:t xml:space="preserve"> </w:t>
            </w:r>
            <w:r w:rsidRPr="004042C1">
              <w:rPr>
                <w:rFonts w:ascii="Arial" w:eastAsia="Times New Roman" w:hAnsi="Arial" w:cs="Arial"/>
                <w:b/>
                <w:bCs/>
                <w:color w:val="000000"/>
                <w:sz w:val="18"/>
                <w:szCs w:val="18"/>
                <w:lang w:eastAsia="sl-SI"/>
              </w:rPr>
              <w:t>%</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3C6FDE40" w14:textId="03453FE5" w:rsidR="007B14D2" w:rsidRPr="004042C1" w:rsidRDefault="007B14D2" w:rsidP="004042C1">
            <w:pPr>
              <w:spacing w:after="0" w:line="240" w:lineRule="auto"/>
              <w:jc w:val="right"/>
              <w:rPr>
                <w:rFonts w:ascii="Arial" w:eastAsia="Times New Roman" w:hAnsi="Arial" w:cs="Arial"/>
                <w:b/>
                <w:bCs/>
                <w:color w:val="000000"/>
                <w:sz w:val="18"/>
                <w:szCs w:val="18"/>
                <w:lang w:eastAsia="sl-SI"/>
              </w:rPr>
            </w:pPr>
            <w:r w:rsidRPr="004042C1">
              <w:rPr>
                <w:rFonts w:ascii="Arial" w:eastAsia="Times New Roman" w:hAnsi="Arial" w:cs="Arial"/>
                <w:b/>
                <w:bCs/>
                <w:color w:val="000000"/>
                <w:sz w:val="18"/>
                <w:szCs w:val="18"/>
                <w:lang w:eastAsia="sl-SI"/>
              </w:rPr>
              <w:t>100,00</w:t>
            </w:r>
            <w:r w:rsidR="004042C1" w:rsidRPr="004042C1">
              <w:rPr>
                <w:rFonts w:ascii="Arial" w:eastAsia="Times New Roman" w:hAnsi="Arial" w:cs="Arial"/>
                <w:b/>
                <w:bCs/>
                <w:color w:val="000000"/>
                <w:sz w:val="18"/>
                <w:szCs w:val="18"/>
                <w:lang w:eastAsia="sl-SI"/>
              </w:rPr>
              <w:t xml:space="preserve"> </w:t>
            </w:r>
            <w:r w:rsidRPr="004042C1">
              <w:rPr>
                <w:rFonts w:ascii="Arial" w:eastAsia="Times New Roman" w:hAnsi="Arial" w:cs="Arial"/>
                <w:b/>
                <w:bCs/>
                <w:color w:val="000000"/>
                <w:sz w:val="18"/>
                <w:szCs w:val="18"/>
                <w:lang w:eastAsia="sl-SI"/>
              </w:rPr>
              <w:t>%</w:t>
            </w:r>
          </w:p>
        </w:tc>
      </w:tr>
    </w:tbl>
    <w:p w14:paraId="76FAD131" w14:textId="77777777" w:rsidR="00FA5A96" w:rsidRPr="004042C1" w:rsidRDefault="00FA5A96" w:rsidP="00FA5A96">
      <w:pPr>
        <w:spacing w:after="0" w:line="240" w:lineRule="auto"/>
        <w:rPr>
          <w:rFonts w:ascii="Arial" w:hAnsi="Arial" w:cs="Arial"/>
          <w:b/>
          <w:bCs/>
          <w:sz w:val="18"/>
        </w:rPr>
      </w:pPr>
    </w:p>
    <w:p w14:paraId="75E4D3BD" w14:textId="0256CA83" w:rsidR="002149C7" w:rsidRPr="004042C1" w:rsidRDefault="002149C7" w:rsidP="004A613D">
      <w:pPr>
        <w:spacing w:after="0" w:line="240" w:lineRule="auto"/>
        <w:jc w:val="center"/>
        <w:rPr>
          <w:rFonts w:ascii="Arial" w:hAnsi="Arial" w:cs="Arial"/>
          <w:sz w:val="18"/>
        </w:rPr>
      </w:pPr>
      <w:r w:rsidRPr="004042C1">
        <w:rPr>
          <w:rFonts w:ascii="Arial" w:hAnsi="Arial" w:cs="Arial"/>
          <w:sz w:val="18"/>
        </w:rPr>
        <w:t>Vir: Statistični podatki o javni</w:t>
      </w:r>
      <w:r w:rsidR="00B237C6" w:rsidRPr="004042C1">
        <w:rPr>
          <w:rFonts w:ascii="Arial" w:hAnsi="Arial" w:cs="Arial"/>
          <w:sz w:val="18"/>
        </w:rPr>
        <w:t>h naročilih, oddanih v letu 20</w:t>
      </w:r>
      <w:r w:rsidR="00FA5A96" w:rsidRPr="004042C1">
        <w:rPr>
          <w:rFonts w:ascii="Arial" w:hAnsi="Arial" w:cs="Arial"/>
          <w:sz w:val="18"/>
        </w:rPr>
        <w:t>2</w:t>
      </w:r>
      <w:r w:rsidR="007B14D2" w:rsidRPr="004042C1">
        <w:rPr>
          <w:rFonts w:ascii="Arial" w:hAnsi="Arial" w:cs="Arial"/>
          <w:sz w:val="18"/>
        </w:rPr>
        <w:t>2</w:t>
      </w:r>
      <w:r w:rsidR="00630FBA" w:rsidRPr="004042C1">
        <w:rPr>
          <w:rFonts w:ascii="Arial" w:hAnsi="Arial" w:cs="Arial"/>
          <w:sz w:val="18"/>
        </w:rPr>
        <w:t>.</w:t>
      </w:r>
    </w:p>
    <w:p w14:paraId="70F7B71A" w14:textId="77777777" w:rsidR="00270563" w:rsidRPr="00BF7302" w:rsidRDefault="00270563" w:rsidP="004A613D">
      <w:pPr>
        <w:spacing w:after="0" w:line="240" w:lineRule="auto"/>
        <w:jc w:val="center"/>
        <w:rPr>
          <w:rFonts w:ascii="Arial" w:hAnsi="Arial" w:cs="Arial"/>
          <w:sz w:val="18"/>
          <w:highlight w:val="yellow"/>
        </w:rPr>
      </w:pPr>
    </w:p>
    <w:p w14:paraId="1A2E6918" w14:textId="37502630" w:rsidR="00796AF7" w:rsidRPr="00BF7302" w:rsidRDefault="00796AF7" w:rsidP="004A613D">
      <w:pPr>
        <w:spacing w:after="0" w:line="240" w:lineRule="auto"/>
        <w:jc w:val="center"/>
        <w:rPr>
          <w:rFonts w:ascii="Arial" w:hAnsi="Arial" w:cs="Arial"/>
          <w:sz w:val="18"/>
          <w:highlight w:val="yellow"/>
        </w:rPr>
      </w:pPr>
    </w:p>
    <w:p w14:paraId="0B80F910" w14:textId="713488FD" w:rsidR="008F5893" w:rsidRPr="004042C1" w:rsidRDefault="008F5893" w:rsidP="00D94701">
      <w:pPr>
        <w:pStyle w:val="Naslov3"/>
        <w:rPr>
          <w:rFonts w:ascii="Arial" w:hAnsi="Arial" w:cs="Arial"/>
          <w:sz w:val="22"/>
          <w:szCs w:val="22"/>
        </w:rPr>
      </w:pPr>
      <w:bookmarkStart w:id="27" w:name="_Toc141864061"/>
      <w:r w:rsidRPr="004042C1">
        <w:rPr>
          <w:rFonts w:ascii="Arial" w:hAnsi="Arial" w:cs="Arial"/>
          <w:sz w:val="22"/>
          <w:szCs w:val="22"/>
        </w:rPr>
        <w:t>2.3.7 Skupno javno naročanje</w:t>
      </w:r>
      <w:bookmarkEnd w:id="27"/>
    </w:p>
    <w:p w14:paraId="6DDF9986" w14:textId="77777777" w:rsidR="00B57693" w:rsidRPr="004042C1" w:rsidRDefault="00B57693" w:rsidP="00854405">
      <w:pPr>
        <w:pStyle w:val="ZADEVA"/>
        <w:jc w:val="both"/>
        <w:rPr>
          <w:rFonts w:cs="Arial"/>
          <w:b w:val="0"/>
          <w:szCs w:val="20"/>
          <w:lang w:val="sl-SI"/>
        </w:rPr>
      </w:pPr>
    </w:p>
    <w:p w14:paraId="5EDFF293" w14:textId="7A5F19D5" w:rsidR="008F5893" w:rsidRPr="004042C1" w:rsidRDefault="009E3010" w:rsidP="003D06E0">
      <w:pPr>
        <w:spacing w:line="360" w:lineRule="auto"/>
        <w:jc w:val="both"/>
        <w:rPr>
          <w:rFonts w:ascii="Arial" w:hAnsi="Arial" w:cs="Arial"/>
          <w:sz w:val="20"/>
          <w:szCs w:val="20"/>
        </w:rPr>
      </w:pPr>
      <w:r w:rsidRPr="004042C1">
        <w:rPr>
          <w:rFonts w:ascii="Arial" w:hAnsi="Arial" w:cs="Arial"/>
          <w:sz w:val="20"/>
          <w:szCs w:val="20"/>
        </w:rPr>
        <w:t xml:space="preserve">Skupno javno naročanje je </w:t>
      </w:r>
      <w:r w:rsidR="00CF3448" w:rsidRPr="004042C1">
        <w:rPr>
          <w:rFonts w:ascii="Arial" w:hAnsi="Arial" w:cs="Arial"/>
          <w:sz w:val="20"/>
          <w:szCs w:val="20"/>
        </w:rPr>
        <w:t>tisto</w:t>
      </w:r>
      <w:r w:rsidRPr="004042C1">
        <w:rPr>
          <w:rFonts w:ascii="Arial" w:hAnsi="Arial" w:cs="Arial"/>
          <w:sz w:val="20"/>
          <w:szCs w:val="20"/>
        </w:rPr>
        <w:t xml:space="preserve">, v katero se vključi več naročnikov, da zaradi doseganja boljših finančnih učinkov na podlagi obsega predmeta naročanja in </w:t>
      </w:r>
      <w:r w:rsidR="008E09B2" w:rsidRPr="004042C1">
        <w:rPr>
          <w:rFonts w:ascii="Arial" w:hAnsi="Arial" w:cs="Arial"/>
          <w:sz w:val="20"/>
          <w:szCs w:val="20"/>
        </w:rPr>
        <w:t xml:space="preserve">manjših </w:t>
      </w:r>
      <w:r w:rsidRPr="004042C1">
        <w:rPr>
          <w:rFonts w:ascii="Arial" w:hAnsi="Arial" w:cs="Arial"/>
          <w:sz w:val="20"/>
          <w:szCs w:val="20"/>
        </w:rPr>
        <w:t>stroškov vodenja postopka javnega naročanja zagotovijo večjo gospodarnost in učinkovitost rabe javnih sredstev.</w:t>
      </w:r>
      <w:r w:rsidR="0001344D" w:rsidRPr="004042C1">
        <w:rPr>
          <w:rFonts w:ascii="Arial" w:hAnsi="Arial" w:cs="Arial"/>
          <w:sz w:val="20"/>
          <w:szCs w:val="20"/>
        </w:rPr>
        <w:t xml:space="preserve"> Delež skupnih javnih naročil v številu vseh naročil v letu 20</w:t>
      </w:r>
      <w:r w:rsidR="006F4A4F" w:rsidRPr="004042C1">
        <w:rPr>
          <w:rFonts w:ascii="Arial" w:hAnsi="Arial" w:cs="Arial"/>
          <w:sz w:val="20"/>
          <w:szCs w:val="20"/>
        </w:rPr>
        <w:t>2</w:t>
      </w:r>
      <w:r w:rsidR="00726C0E">
        <w:rPr>
          <w:rFonts w:ascii="Arial" w:hAnsi="Arial" w:cs="Arial"/>
          <w:sz w:val="20"/>
          <w:szCs w:val="20"/>
        </w:rPr>
        <w:t>2</w:t>
      </w:r>
      <w:r w:rsidR="0001344D" w:rsidRPr="004042C1">
        <w:rPr>
          <w:rFonts w:ascii="Arial" w:hAnsi="Arial" w:cs="Arial"/>
          <w:sz w:val="20"/>
          <w:szCs w:val="20"/>
        </w:rPr>
        <w:t xml:space="preserve"> je </w:t>
      </w:r>
      <w:r w:rsidR="004042C1" w:rsidRPr="004042C1">
        <w:rPr>
          <w:rFonts w:ascii="Arial" w:hAnsi="Arial" w:cs="Arial"/>
          <w:sz w:val="20"/>
          <w:szCs w:val="20"/>
        </w:rPr>
        <w:t>4,36</w:t>
      </w:r>
      <w:r w:rsidR="00630FBA" w:rsidRPr="004042C1">
        <w:rPr>
          <w:rFonts w:ascii="Arial" w:hAnsi="Arial" w:cs="Arial"/>
          <w:sz w:val="20"/>
          <w:szCs w:val="20"/>
        </w:rPr>
        <w:t> </w:t>
      </w:r>
      <w:r w:rsidR="00AC0027">
        <w:rPr>
          <w:rFonts w:ascii="Arial" w:hAnsi="Arial" w:cs="Arial"/>
          <w:sz w:val="20"/>
          <w:szCs w:val="20"/>
        </w:rPr>
        <w:t>odstotka</w:t>
      </w:r>
      <w:r w:rsidR="0001344D" w:rsidRPr="004042C1">
        <w:rPr>
          <w:rFonts w:ascii="Arial" w:hAnsi="Arial" w:cs="Arial"/>
          <w:sz w:val="20"/>
          <w:szCs w:val="20"/>
        </w:rPr>
        <w:t xml:space="preserve">, v vrednosti pa </w:t>
      </w:r>
      <w:r w:rsidR="004042C1" w:rsidRPr="004042C1">
        <w:rPr>
          <w:rFonts w:ascii="Arial" w:hAnsi="Arial" w:cs="Arial"/>
          <w:sz w:val="20"/>
          <w:szCs w:val="20"/>
        </w:rPr>
        <w:t>8,93</w:t>
      </w:r>
      <w:r w:rsidR="00630FBA" w:rsidRPr="004042C1">
        <w:rPr>
          <w:rFonts w:ascii="Arial" w:hAnsi="Arial" w:cs="Arial"/>
          <w:sz w:val="20"/>
          <w:szCs w:val="20"/>
        </w:rPr>
        <w:t> </w:t>
      </w:r>
      <w:r w:rsidR="00AC0027">
        <w:rPr>
          <w:rFonts w:ascii="Arial" w:hAnsi="Arial" w:cs="Arial"/>
          <w:sz w:val="20"/>
          <w:szCs w:val="20"/>
        </w:rPr>
        <w:t>odstotka</w:t>
      </w:r>
      <w:r w:rsidR="0001344D" w:rsidRPr="004042C1">
        <w:rPr>
          <w:rFonts w:ascii="Arial" w:hAnsi="Arial" w:cs="Arial"/>
          <w:sz w:val="20"/>
          <w:szCs w:val="20"/>
        </w:rPr>
        <w:t>.</w:t>
      </w:r>
    </w:p>
    <w:p w14:paraId="6FAE21D0" w14:textId="34B62E84" w:rsidR="00C22535" w:rsidRPr="003B2B9D" w:rsidRDefault="008E09B2" w:rsidP="00D713C1">
      <w:pPr>
        <w:spacing w:line="360" w:lineRule="auto"/>
        <w:jc w:val="both"/>
        <w:rPr>
          <w:rFonts w:ascii="Arial" w:eastAsia="Times New Roman" w:hAnsi="Arial" w:cs="Arial"/>
          <w:color w:val="000000"/>
          <w:sz w:val="20"/>
          <w:szCs w:val="20"/>
          <w:lang w:eastAsia="sl-SI"/>
        </w:rPr>
      </w:pPr>
      <w:r w:rsidRPr="004042C1">
        <w:rPr>
          <w:rFonts w:ascii="Arial" w:hAnsi="Arial" w:cs="Arial"/>
          <w:sz w:val="20"/>
          <w:szCs w:val="20"/>
        </w:rPr>
        <w:t>Leta</w:t>
      </w:r>
      <w:r w:rsidR="009E3010" w:rsidRPr="004042C1">
        <w:rPr>
          <w:rFonts w:ascii="Arial" w:hAnsi="Arial" w:cs="Arial"/>
          <w:sz w:val="20"/>
          <w:szCs w:val="20"/>
        </w:rPr>
        <w:t xml:space="preserve"> 20</w:t>
      </w:r>
      <w:r w:rsidR="006F4A4F" w:rsidRPr="004042C1">
        <w:rPr>
          <w:rFonts w:ascii="Arial" w:hAnsi="Arial" w:cs="Arial"/>
          <w:sz w:val="20"/>
          <w:szCs w:val="20"/>
        </w:rPr>
        <w:t>2</w:t>
      </w:r>
      <w:r w:rsidR="00726C0E">
        <w:rPr>
          <w:rFonts w:ascii="Arial" w:hAnsi="Arial" w:cs="Arial"/>
          <w:sz w:val="20"/>
          <w:szCs w:val="20"/>
        </w:rPr>
        <w:t>2</w:t>
      </w:r>
      <w:r w:rsidR="006F4A4F" w:rsidRPr="004042C1">
        <w:rPr>
          <w:rFonts w:ascii="Arial" w:hAnsi="Arial" w:cs="Arial"/>
          <w:sz w:val="20"/>
          <w:szCs w:val="20"/>
        </w:rPr>
        <w:t xml:space="preserve"> </w:t>
      </w:r>
      <w:r w:rsidR="009E3010" w:rsidRPr="004042C1">
        <w:rPr>
          <w:rFonts w:ascii="Arial" w:hAnsi="Arial" w:cs="Arial"/>
          <w:sz w:val="20"/>
          <w:szCs w:val="20"/>
        </w:rPr>
        <w:t>je skup</w:t>
      </w:r>
      <w:r w:rsidR="00753CA0" w:rsidRPr="004042C1">
        <w:rPr>
          <w:rFonts w:ascii="Arial" w:hAnsi="Arial" w:cs="Arial"/>
          <w:sz w:val="20"/>
          <w:szCs w:val="20"/>
        </w:rPr>
        <w:t>aj</w:t>
      </w:r>
      <w:r w:rsidR="009E3010" w:rsidRPr="004042C1">
        <w:rPr>
          <w:rFonts w:ascii="Arial" w:hAnsi="Arial" w:cs="Arial"/>
          <w:sz w:val="20"/>
          <w:szCs w:val="20"/>
        </w:rPr>
        <w:t xml:space="preserve"> javno naroča</w:t>
      </w:r>
      <w:r w:rsidR="00753CA0" w:rsidRPr="004042C1">
        <w:rPr>
          <w:rFonts w:ascii="Arial" w:hAnsi="Arial" w:cs="Arial"/>
          <w:sz w:val="20"/>
          <w:szCs w:val="20"/>
        </w:rPr>
        <w:t>lo</w:t>
      </w:r>
      <w:r w:rsidR="009E3010" w:rsidRPr="004042C1">
        <w:rPr>
          <w:rFonts w:ascii="Arial" w:hAnsi="Arial" w:cs="Arial"/>
          <w:sz w:val="20"/>
          <w:szCs w:val="20"/>
        </w:rPr>
        <w:t xml:space="preserve"> </w:t>
      </w:r>
      <w:r w:rsidR="006F4A4F" w:rsidRPr="004042C1">
        <w:rPr>
          <w:rFonts w:ascii="Arial" w:hAnsi="Arial" w:cs="Arial"/>
          <w:sz w:val="20"/>
          <w:szCs w:val="20"/>
        </w:rPr>
        <w:t>7</w:t>
      </w:r>
      <w:r w:rsidR="004042C1" w:rsidRPr="004042C1">
        <w:rPr>
          <w:rFonts w:ascii="Arial" w:hAnsi="Arial" w:cs="Arial"/>
          <w:sz w:val="20"/>
          <w:szCs w:val="20"/>
        </w:rPr>
        <w:t>4</w:t>
      </w:r>
      <w:r w:rsidR="009E3010" w:rsidRPr="004042C1">
        <w:rPr>
          <w:rFonts w:ascii="Arial" w:hAnsi="Arial" w:cs="Arial"/>
          <w:sz w:val="20"/>
          <w:szCs w:val="20"/>
        </w:rPr>
        <w:t xml:space="preserve"> naročnikov. Oddanih je bilo </w:t>
      </w:r>
      <w:r w:rsidR="004042C1" w:rsidRPr="004042C1">
        <w:rPr>
          <w:rFonts w:ascii="Arial" w:hAnsi="Arial" w:cs="Arial"/>
          <w:sz w:val="20"/>
          <w:szCs w:val="20"/>
        </w:rPr>
        <w:t>751</w:t>
      </w:r>
      <w:r w:rsidR="009E3010" w:rsidRPr="004042C1">
        <w:rPr>
          <w:rFonts w:ascii="Arial" w:hAnsi="Arial" w:cs="Arial"/>
          <w:sz w:val="20"/>
          <w:szCs w:val="20"/>
        </w:rPr>
        <w:t xml:space="preserve"> </w:t>
      </w:r>
      <w:r w:rsidR="006A147B" w:rsidRPr="004042C1">
        <w:rPr>
          <w:rFonts w:ascii="Arial" w:hAnsi="Arial" w:cs="Arial"/>
          <w:sz w:val="20"/>
          <w:szCs w:val="20"/>
        </w:rPr>
        <w:t>naročil</w:t>
      </w:r>
      <w:r w:rsidR="009E3010" w:rsidRPr="004042C1">
        <w:rPr>
          <w:rFonts w:ascii="Arial" w:hAnsi="Arial" w:cs="Arial"/>
          <w:sz w:val="20"/>
          <w:szCs w:val="20"/>
        </w:rPr>
        <w:t xml:space="preserve"> v vrednosti </w:t>
      </w:r>
      <w:r w:rsidR="004042C1" w:rsidRPr="004042C1">
        <w:rPr>
          <w:rFonts w:ascii="Arial" w:eastAsia="Times New Roman" w:hAnsi="Arial" w:cs="Arial"/>
          <w:color w:val="000000"/>
          <w:sz w:val="20"/>
          <w:szCs w:val="20"/>
          <w:lang w:eastAsia="sl-SI"/>
        </w:rPr>
        <w:t xml:space="preserve">483.778.024 </w:t>
      </w:r>
      <w:r w:rsidR="009E3010" w:rsidRPr="004042C1">
        <w:rPr>
          <w:rFonts w:ascii="Arial" w:hAnsi="Arial" w:cs="Arial"/>
          <w:sz w:val="20"/>
          <w:szCs w:val="20"/>
        </w:rPr>
        <w:t>evrov.</w:t>
      </w:r>
      <w:r w:rsidR="00CA57A5" w:rsidRPr="004042C1">
        <w:rPr>
          <w:rFonts w:ascii="Arial" w:hAnsi="Arial" w:cs="Arial"/>
          <w:sz w:val="20"/>
          <w:szCs w:val="20"/>
        </w:rPr>
        <w:t xml:space="preserve"> </w:t>
      </w:r>
      <w:r w:rsidR="00CA57A5" w:rsidRPr="003B2B9D">
        <w:rPr>
          <w:rFonts w:ascii="Arial" w:hAnsi="Arial" w:cs="Arial"/>
          <w:sz w:val="20"/>
          <w:szCs w:val="20"/>
        </w:rPr>
        <w:t xml:space="preserve">Po vrednosti je največ naročil pri skupnem javnem naročanju </w:t>
      </w:r>
      <w:r w:rsidR="003B2B9D">
        <w:rPr>
          <w:rFonts w:ascii="Arial" w:hAnsi="Arial" w:cs="Arial"/>
          <w:sz w:val="20"/>
          <w:szCs w:val="20"/>
        </w:rPr>
        <w:t>oddala Koroška lekarna,</w:t>
      </w:r>
      <w:r w:rsidR="00CA57A5" w:rsidRPr="003B2B9D">
        <w:rPr>
          <w:rFonts w:ascii="Arial" w:hAnsi="Arial" w:cs="Arial"/>
          <w:sz w:val="20"/>
          <w:szCs w:val="20"/>
        </w:rPr>
        <w:t xml:space="preserve"> in sicer </w:t>
      </w:r>
      <w:r w:rsidR="007653CC">
        <w:rPr>
          <w:rFonts w:ascii="Arial" w:hAnsi="Arial" w:cs="Arial"/>
          <w:sz w:val="20"/>
          <w:szCs w:val="20"/>
        </w:rPr>
        <w:t xml:space="preserve">v enem postopku </w:t>
      </w:r>
      <w:r w:rsidR="003B2B9D" w:rsidRPr="003B2B9D">
        <w:rPr>
          <w:rFonts w:ascii="Arial" w:hAnsi="Arial" w:cs="Arial"/>
          <w:sz w:val="20"/>
          <w:szCs w:val="20"/>
        </w:rPr>
        <w:t>292</w:t>
      </w:r>
      <w:r w:rsidR="00CA57A5" w:rsidRPr="003B2B9D">
        <w:rPr>
          <w:rFonts w:ascii="Arial" w:hAnsi="Arial" w:cs="Arial"/>
          <w:sz w:val="20"/>
          <w:szCs w:val="20"/>
        </w:rPr>
        <w:t xml:space="preserve"> naročil v vrednosti </w:t>
      </w:r>
      <w:r w:rsidR="003B2B9D" w:rsidRPr="003B2B9D">
        <w:rPr>
          <w:rFonts w:ascii="Arial" w:hAnsi="Arial" w:cs="Arial"/>
          <w:sz w:val="20"/>
          <w:szCs w:val="20"/>
        </w:rPr>
        <w:t xml:space="preserve">244.150.199 </w:t>
      </w:r>
      <w:r w:rsidR="00CA57A5" w:rsidRPr="003B2B9D">
        <w:rPr>
          <w:rFonts w:ascii="Arial" w:hAnsi="Arial" w:cs="Arial"/>
          <w:sz w:val="20"/>
          <w:szCs w:val="20"/>
        </w:rPr>
        <w:t xml:space="preserve">evrov. </w:t>
      </w:r>
    </w:p>
    <w:p w14:paraId="565BD4F7" w14:textId="2F15F644" w:rsidR="00C22535" w:rsidRPr="004042C1" w:rsidRDefault="00A01581" w:rsidP="00C22535">
      <w:pPr>
        <w:pStyle w:val="Standard"/>
        <w:spacing w:line="360" w:lineRule="auto"/>
        <w:rPr>
          <w:rFonts w:cs="Arial"/>
          <w:color w:val="000000" w:themeColor="text1"/>
          <w:sz w:val="20"/>
          <w:szCs w:val="20"/>
        </w:rPr>
      </w:pPr>
      <w:r w:rsidRPr="004042C1">
        <w:rPr>
          <w:rFonts w:cs="Arial"/>
          <w:color w:val="000000" w:themeColor="text1"/>
          <w:sz w:val="20"/>
          <w:szCs w:val="20"/>
        </w:rPr>
        <w:t xml:space="preserve">Pri skupnem javnem naročanju je bilo največ naročil oddanih z uporabo odprtega postopka, in sicer </w:t>
      </w:r>
      <w:r w:rsidR="00772BDE" w:rsidRPr="004042C1">
        <w:rPr>
          <w:rFonts w:cs="Arial"/>
          <w:color w:val="000000" w:themeColor="text1"/>
          <w:sz w:val="20"/>
          <w:szCs w:val="20"/>
        </w:rPr>
        <w:t>75,</w:t>
      </w:r>
      <w:r w:rsidR="004042C1" w:rsidRPr="004042C1">
        <w:rPr>
          <w:rFonts w:cs="Arial"/>
          <w:color w:val="000000" w:themeColor="text1"/>
          <w:sz w:val="20"/>
          <w:szCs w:val="20"/>
        </w:rPr>
        <w:t>1</w:t>
      </w:r>
      <w:r w:rsidR="007F78EF" w:rsidRPr="004042C1">
        <w:rPr>
          <w:rFonts w:cs="Arial"/>
          <w:color w:val="000000" w:themeColor="text1"/>
          <w:sz w:val="20"/>
          <w:szCs w:val="20"/>
        </w:rPr>
        <w:t> </w:t>
      </w:r>
      <w:r w:rsidR="00AC0027">
        <w:rPr>
          <w:rFonts w:cs="Arial"/>
          <w:color w:val="000000" w:themeColor="text1"/>
          <w:sz w:val="20"/>
          <w:szCs w:val="20"/>
        </w:rPr>
        <w:t>odstotka</w:t>
      </w:r>
      <w:r w:rsidRPr="004042C1">
        <w:rPr>
          <w:rFonts w:cs="Arial"/>
          <w:color w:val="000000" w:themeColor="text1"/>
          <w:sz w:val="20"/>
          <w:szCs w:val="20"/>
        </w:rPr>
        <w:t xml:space="preserve">, njihova vrednost pa je znašala </w:t>
      </w:r>
      <w:r w:rsidR="004042C1" w:rsidRPr="004042C1">
        <w:rPr>
          <w:rFonts w:cs="Arial"/>
          <w:color w:val="000000" w:themeColor="text1"/>
          <w:sz w:val="20"/>
          <w:szCs w:val="20"/>
        </w:rPr>
        <w:t>83,01</w:t>
      </w:r>
      <w:r w:rsidR="00630FBA" w:rsidRPr="004042C1">
        <w:rPr>
          <w:rFonts w:cs="Arial"/>
          <w:color w:val="000000" w:themeColor="text1"/>
          <w:sz w:val="20"/>
          <w:szCs w:val="20"/>
        </w:rPr>
        <w:t> </w:t>
      </w:r>
      <w:r w:rsidR="00AC0027">
        <w:rPr>
          <w:rFonts w:cs="Arial"/>
          <w:color w:val="000000" w:themeColor="text1"/>
          <w:sz w:val="20"/>
          <w:szCs w:val="20"/>
        </w:rPr>
        <w:t>odstotka</w:t>
      </w:r>
      <w:r w:rsidRPr="004042C1">
        <w:rPr>
          <w:rFonts w:cs="Arial"/>
          <w:color w:val="000000" w:themeColor="text1"/>
          <w:sz w:val="20"/>
          <w:szCs w:val="20"/>
        </w:rPr>
        <w:t xml:space="preserve"> vrednosti skupnega javnega naročanja. </w:t>
      </w:r>
    </w:p>
    <w:p w14:paraId="4BC85B6D" w14:textId="6ED34FFC" w:rsidR="00C22535" w:rsidRPr="004042C1" w:rsidRDefault="00E430F6" w:rsidP="008A61FD">
      <w:pPr>
        <w:spacing w:before="120" w:after="120" w:line="240" w:lineRule="auto"/>
        <w:jc w:val="both"/>
        <w:rPr>
          <w:rFonts w:ascii="Arial" w:hAnsi="Arial" w:cs="Arial"/>
          <w:color w:val="000000" w:themeColor="text1"/>
          <w:sz w:val="20"/>
        </w:rPr>
      </w:pPr>
      <w:r w:rsidRPr="004042C1">
        <w:rPr>
          <w:rFonts w:ascii="Arial" w:hAnsi="Arial" w:cs="Arial"/>
          <w:color w:val="000000" w:themeColor="text1"/>
          <w:sz w:val="20"/>
        </w:rPr>
        <w:t xml:space="preserve">Preglednica </w:t>
      </w:r>
      <w:r w:rsidR="00512F52" w:rsidRPr="004042C1">
        <w:rPr>
          <w:rFonts w:ascii="Arial" w:hAnsi="Arial" w:cs="Arial"/>
          <w:color w:val="000000" w:themeColor="text1"/>
          <w:sz w:val="20"/>
        </w:rPr>
        <w:t>18</w:t>
      </w:r>
      <w:r w:rsidR="00C22535" w:rsidRPr="004042C1">
        <w:rPr>
          <w:rFonts w:ascii="Arial" w:hAnsi="Arial" w:cs="Arial"/>
          <w:color w:val="000000" w:themeColor="text1"/>
          <w:sz w:val="20"/>
        </w:rPr>
        <w:t xml:space="preserve">: Skupno javno naročanje </w:t>
      </w:r>
      <w:r w:rsidR="00B51C8C">
        <w:rPr>
          <w:rFonts w:ascii="Arial" w:hAnsi="Arial" w:cs="Arial"/>
          <w:color w:val="000000" w:themeColor="text1"/>
          <w:sz w:val="20"/>
        </w:rPr>
        <w:t>po</w:t>
      </w:r>
      <w:r w:rsidR="00C22535" w:rsidRPr="004042C1">
        <w:rPr>
          <w:rFonts w:ascii="Arial" w:hAnsi="Arial" w:cs="Arial"/>
          <w:color w:val="000000" w:themeColor="text1"/>
          <w:sz w:val="20"/>
        </w:rPr>
        <w:t xml:space="preserve"> številu, vrednosti in deležu skupnih javnih naročil glede na vrsto postopka</w:t>
      </w:r>
    </w:p>
    <w:tbl>
      <w:tblPr>
        <w:tblW w:w="5000" w:type="pct"/>
        <w:tblCellMar>
          <w:left w:w="70" w:type="dxa"/>
          <w:right w:w="70" w:type="dxa"/>
        </w:tblCellMar>
        <w:tblLook w:val="04A0" w:firstRow="1" w:lastRow="0" w:firstColumn="1" w:lastColumn="0" w:noHBand="0" w:noVBand="1"/>
      </w:tblPr>
      <w:tblGrid>
        <w:gridCol w:w="3869"/>
        <w:gridCol w:w="962"/>
        <w:gridCol w:w="1208"/>
        <w:gridCol w:w="1596"/>
        <w:gridCol w:w="1539"/>
      </w:tblGrid>
      <w:tr w:rsidR="004042C1" w:rsidRPr="004042C1" w14:paraId="0FE9AF00" w14:textId="77777777" w:rsidTr="00726C0E">
        <w:trPr>
          <w:trHeight w:val="456"/>
          <w:tblHeader/>
        </w:trPr>
        <w:tc>
          <w:tcPr>
            <w:tcW w:w="2108"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48612599" w14:textId="77777777" w:rsidR="004042C1" w:rsidRPr="004042C1" w:rsidRDefault="004042C1" w:rsidP="004042C1">
            <w:pPr>
              <w:spacing w:after="0" w:line="240" w:lineRule="auto"/>
              <w:jc w:val="center"/>
              <w:rPr>
                <w:rFonts w:ascii="Arial" w:eastAsia="Times New Roman" w:hAnsi="Arial" w:cs="Arial"/>
                <w:color w:val="000000"/>
                <w:sz w:val="18"/>
                <w:szCs w:val="18"/>
                <w:lang w:eastAsia="sl-SI"/>
              </w:rPr>
            </w:pPr>
            <w:r w:rsidRPr="004042C1">
              <w:rPr>
                <w:rFonts w:ascii="Arial" w:eastAsia="Times New Roman" w:hAnsi="Arial" w:cs="Arial"/>
                <w:color w:val="000000"/>
                <w:sz w:val="18"/>
                <w:szCs w:val="18"/>
                <w:lang w:eastAsia="sl-SI"/>
              </w:rPr>
              <w:t>Vrsta postopka</w:t>
            </w:r>
          </w:p>
        </w:tc>
        <w:tc>
          <w:tcPr>
            <w:tcW w:w="524" w:type="pct"/>
            <w:tcBorders>
              <w:top w:val="single" w:sz="4" w:space="0" w:color="auto"/>
              <w:left w:val="nil"/>
              <w:bottom w:val="single" w:sz="4" w:space="0" w:color="auto"/>
              <w:right w:val="single" w:sz="4" w:space="0" w:color="auto"/>
            </w:tcBorders>
            <w:shd w:val="clear" w:color="000000" w:fill="F2F2F2"/>
            <w:vAlign w:val="center"/>
            <w:hideMark/>
          </w:tcPr>
          <w:p w14:paraId="51EC3E90" w14:textId="77777777" w:rsidR="004042C1" w:rsidRPr="004042C1" w:rsidRDefault="004042C1" w:rsidP="004042C1">
            <w:pPr>
              <w:spacing w:after="0" w:line="240" w:lineRule="auto"/>
              <w:jc w:val="center"/>
              <w:rPr>
                <w:rFonts w:ascii="Arial" w:eastAsia="Times New Roman" w:hAnsi="Arial" w:cs="Arial"/>
                <w:color w:val="000000"/>
                <w:sz w:val="18"/>
                <w:szCs w:val="18"/>
                <w:lang w:eastAsia="sl-SI"/>
              </w:rPr>
            </w:pPr>
            <w:r w:rsidRPr="004042C1">
              <w:rPr>
                <w:rFonts w:ascii="Arial" w:eastAsia="Times New Roman" w:hAnsi="Arial" w:cs="Arial"/>
                <w:color w:val="000000"/>
                <w:sz w:val="18"/>
                <w:szCs w:val="18"/>
                <w:lang w:eastAsia="sl-SI"/>
              </w:rPr>
              <w:t>Št. naročil</w:t>
            </w:r>
          </w:p>
        </w:tc>
        <w:tc>
          <w:tcPr>
            <w:tcW w:w="658" w:type="pct"/>
            <w:tcBorders>
              <w:top w:val="single" w:sz="4" w:space="0" w:color="auto"/>
              <w:left w:val="nil"/>
              <w:bottom w:val="single" w:sz="4" w:space="0" w:color="auto"/>
              <w:right w:val="single" w:sz="4" w:space="0" w:color="auto"/>
            </w:tcBorders>
            <w:shd w:val="clear" w:color="000000" w:fill="F2F2F2"/>
            <w:vAlign w:val="center"/>
            <w:hideMark/>
          </w:tcPr>
          <w:p w14:paraId="6F290E4D" w14:textId="77777777" w:rsidR="004042C1" w:rsidRPr="004042C1" w:rsidRDefault="004042C1" w:rsidP="004042C1">
            <w:pPr>
              <w:spacing w:after="0" w:line="240" w:lineRule="auto"/>
              <w:jc w:val="center"/>
              <w:rPr>
                <w:rFonts w:ascii="Arial" w:eastAsia="Times New Roman" w:hAnsi="Arial" w:cs="Arial"/>
                <w:color w:val="000000"/>
                <w:sz w:val="18"/>
                <w:szCs w:val="18"/>
                <w:lang w:eastAsia="sl-SI"/>
              </w:rPr>
            </w:pPr>
            <w:r w:rsidRPr="004042C1">
              <w:rPr>
                <w:rFonts w:ascii="Arial" w:eastAsia="Times New Roman" w:hAnsi="Arial" w:cs="Arial"/>
                <w:color w:val="000000"/>
                <w:sz w:val="18"/>
                <w:szCs w:val="18"/>
                <w:lang w:eastAsia="sl-SI"/>
              </w:rPr>
              <w:t>Pogodbena vrednost</w:t>
            </w:r>
          </w:p>
        </w:tc>
        <w:tc>
          <w:tcPr>
            <w:tcW w:w="870" w:type="pct"/>
            <w:tcBorders>
              <w:top w:val="single" w:sz="4" w:space="0" w:color="auto"/>
              <w:left w:val="nil"/>
              <w:bottom w:val="single" w:sz="4" w:space="0" w:color="auto"/>
              <w:right w:val="single" w:sz="4" w:space="0" w:color="auto"/>
            </w:tcBorders>
            <w:shd w:val="clear" w:color="000000" w:fill="F2F2F2"/>
            <w:vAlign w:val="center"/>
            <w:hideMark/>
          </w:tcPr>
          <w:p w14:paraId="151680B5" w14:textId="77777777" w:rsidR="004042C1" w:rsidRPr="004042C1" w:rsidRDefault="004042C1" w:rsidP="004042C1">
            <w:pPr>
              <w:spacing w:after="0" w:line="240" w:lineRule="auto"/>
              <w:jc w:val="center"/>
              <w:rPr>
                <w:rFonts w:ascii="Arial" w:eastAsia="Times New Roman" w:hAnsi="Arial" w:cs="Arial"/>
                <w:color w:val="000000"/>
                <w:sz w:val="18"/>
                <w:szCs w:val="18"/>
                <w:lang w:eastAsia="sl-SI"/>
              </w:rPr>
            </w:pPr>
            <w:r w:rsidRPr="004042C1">
              <w:rPr>
                <w:rFonts w:ascii="Arial" w:eastAsia="Times New Roman" w:hAnsi="Arial" w:cs="Arial"/>
                <w:color w:val="000000"/>
                <w:sz w:val="18"/>
                <w:szCs w:val="18"/>
                <w:lang w:eastAsia="sl-SI"/>
              </w:rPr>
              <w:t>Delež v št. skupnih naročil</w:t>
            </w:r>
          </w:p>
        </w:tc>
        <w:tc>
          <w:tcPr>
            <w:tcW w:w="839" w:type="pct"/>
            <w:tcBorders>
              <w:top w:val="single" w:sz="4" w:space="0" w:color="auto"/>
              <w:left w:val="nil"/>
              <w:bottom w:val="single" w:sz="4" w:space="0" w:color="auto"/>
              <w:right w:val="single" w:sz="4" w:space="0" w:color="auto"/>
            </w:tcBorders>
            <w:shd w:val="clear" w:color="000000" w:fill="F2F2F2"/>
            <w:vAlign w:val="center"/>
            <w:hideMark/>
          </w:tcPr>
          <w:p w14:paraId="1B54666A" w14:textId="77777777" w:rsidR="004042C1" w:rsidRPr="004042C1" w:rsidRDefault="004042C1" w:rsidP="004042C1">
            <w:pPr>
              <w:spacing w:after="0" w:line="240" w:lineRule="auto"/>
              <w:jc w:val="center"/>
              <w:rPr>
                <w:rFonts w:ascii="Arial" w:eastAsia="Times New Roman" w:hAnsi="Arial" w:cs="Arial"/>
                <w:color w:val="000000"/>
                <w:sz w:val="18"/>
                <w:szCs w:val="18"/>
                <w:lang w:eastAsia="sl-SI"/>
              </w:rPr>
            </w:pPr>
            <w:r w:rsidRPr="004042C1">
              <w:rPr>
                <w:rFonts w:ascii="Arial" w:eastAsia="Times New Roman" w:hAnsi="Arial" w:cs="Arial"/>
                <w:color w:val="000000"/>
                <w:sz w:val="18"/>
                <w:szCs w:val="18"/>
                <w:lang w:eastAsia="sl-SI"/>
              </w:rPr>
              <w:t>Delež v vrednosti skupnih naročil</w:t>
            </w:r>
          </w:p>
        </w:tc>
      </w:tr>
      <w:tr w:rsidR="004042C1" w:rsidRPr="004042C1" w14:paraId="3DB72290" w14:textId="77777777" w:rsidTr="004042C1">
        <w:trPr>
          <w:trHeight w:val="288"/>
        </w:trPr>
        <w:tc>
          <w:tcPr>
            <w:tcW w:w="2108" w:type="pct"/>
            <w:tcBorders>
              <w:top w:val="nil"/>
              <w:left w:val="single" w:sz="4" w:space="0" w:color="auto"/>
              <w:bottom w:val="single" w:sz="4" w:space="0" w:color="auto"/>
              <w:right w:val="single" w:sz="4" w:space="0" w:color="auto"/>
            </w:tcBorders>
            <w:shd w:val="clear" w:color="auto" w:fill="auto"/>
            <w:noWrap/>
            <w:vAlign w:val="center"/>
            <w:hideMark/>
          </w:tcPr>
          <w:p w14:paraId="12EB5936" w14:textId="77777777" w:rsidR="004042C1" w:rsidRPr="004042C1" w:rsidRDefault="004042C1" w:rsidP="004042C1">
            <w:pPr>
              <w:spacing w:after="0" w:line="240" w:lineRule="auto"/>
              <w:rPr>
                <w:rFonts w:ascii="Arial" w:eastAsia="Times New Roman" w:hAnsi="Arial" w:cs="Arial"/>
                <w:color w:val="000000"/>
                <w:sz w:val="18"/>
                <w:szCs w:val="18"/>
                <w:lang w:eastAsia="sl-SI"/>
              </w:rPr>
            </w:pPr>
            <w:r w:rsidRPr="004042C1">
              <w:rPr>
                <w:rFonts w:ascii="Arial" w:eastAsia="Times New Roman" w:hAnsi="Arial" w:cs="Arial"/>
                <w:color w:val="000000"/>
                <w:sz w:val="18"/>
                <w:szCs w:val="18"/>
                <w:lang w:eastAsia="sl-SI"/>
              </w:rPr>
              <w:t>Konkurenčni postopek s pogajanji</w:t>
            </w:r>
          </w:p>
        </w:tc>
        <w:tc>
          <w:tcPr>
            <w:tcW w:w="524" w:type="pct"/>
            <w:tcBorders>
              <w:top w:val="nil"/>
              <w:left w:val="nil"/>
              <w:bottom w:val="single" w:sz="4" w:space="0" w:color="auto"/>
              <w:right w:val="single" w:sz="4" w:space="0" w:color="auto"/>
            </w:tcBorders>
            <w:shd w:val="clear" w:color="auto" w:fill="auto"/>
            <w:noWrap/>
            <w:vAlign w:val="center"/>
            <w:hideMark/>
          </w:tcPr>
          <w:p w14:paraId="69CA27A9" w14:textId="77777777" w:rsidR="004042C1" w:rsidRPr="004042C1" w:rsidRDefault="004042C1" w:rsidP="004042C1">
            <w:pPr>
              <w:spacing w:after="0" w:line="240" w:lineRule="auto"/>
              <w:jc w:val="right"/>
              <w:rPr>
                <w:rFonts w:ascii="Arial" w:eastAsia="Times New Roman" w:hAnsi="Arial" w:cs="Arial"/>
                <w:color w:val="000000"/>
                <w:sz w:val="18"/>
                <w:szCs w:val="18"/>
                <w:lang w:eastAsia="sl-SI"/>
              </w:rPr>
            </w:pPr>
            <w:r w:rsidRPr="004042C1">
              <w:rPr>
                <w:rFonts w:ascii="Arial" w:eastAsia="Times New Roman" w:hAnsi="Arial" w:cs="Arial"/>
                <w:color w:val="000000"/>
                <w:sz w:val="18"/>
                <w:szCs w:val="18"/>
                <w:lang w:eastAsia="sl-SI"/>
              </w:rPr>
              <w:t>2</w:t>
            </w:r>
          </w:p>
        </w:tc>
        <w:tc>
          <w:tcPr>
            <w:tcW w:w="658" w:type="pct"/>
            <w:tcBorders>
              <w:top w:val="nil"/>
              <w:left w:val="nil"/>
              <w:bottom w:val="single" w:sz="4" w:space="0" w:color="auto"/>
              <w:right w:val="single" w:sz="4" w:space="0" w:color="auto"/>
            </w:tcBorders>
            <w:shd w:val="clear" w:color="auto" w:fill="auto"/>
            <w:noWrap/>
            <w:vAlign w:val="center"/>
            <w:hideMark/>
          </w:tcPr>
          <w:p w14:paraId="0B605D55" w14:textId="77777777" w:rsidR="004042C1" w:rsidRPr="004042C1" w:rsidRDefault="004042C1" w:rsidP="004042C1">
            <w:pPr>
              <w:spacing w:after="0" w:line="240" w:lineRule="auto"/>
              <w:jc w:val="right"/>
              <w:rPr>
                <w:rFonts w:ascii="Arial" w:eastAsia="Times New Roman" w:hAnsi="Arial" w:cs="Arial"/>
                <w:color w:val="000000"/>
                <w:sz w:val="18"/>
                <w:szCs w:val="18"/>
                <w:lang w:eastAsia="sl-SI"/>
              </w:rPr>
            </w:pPr>
            <w:r w:rsidRPr="004042C1">
              <w:rPr>
                <w:rFonts w:ascii="Arial" w:eastAsia="Times New Roman" w:hAnsi="Arial" w:cs="Arial"/>
                <w:color w:val="000000"/>
                <w:sz w:val="18"/>
                <w:szCs w:val="18"/>
                <w:lang w:eastAsia="sl-SI"/>
              </w:rPr>
              <w:t>1.296.866</w:t>
            </w:r>
          </w:p>
        </w:tc>
        <w:tc>
          <w:tcPr>
            <w:tcW w:w="870" w:type="pct"/>
            <w:tcBorders>
              <w:top w:val="nil"/>
              <w:left w:val="nil"/>
              <w:bottom w:val="single" w:sz="4" w:space="0" w:color="auto"/>
              <w:right w:val="single" w:sz="4" w:space="0" w:color="auto"/>
            </w:tcBorders>
            <w:shd w:val="clear" w:color="auto" w:fill="auto"/>
            <w:noWrap/>
            <w:vAlign w:val="center"/>
            <w:hideMark/>
          </w:tcPr>
          <w:p w14:paraId="0AE93EAE" w14:textId="780DEB72" w:rsidR="004042C1" w:rsidRPr="004042C1" w:rsidRDefault="004042C1" w:rsidP="004042C1">
            <w:pPr>
              <w:spacing w:after="0" w:line="240" w:lineRule="auto"/>
              <w:jc w:val="right"/>
              <w:rPr>
                <w:rFonts w:ascii="Arial" w:eastAsia="Times New Roman" w:hAnsi="Arial" w:cs="Arial"/>
                <w:color w:val="000000"/>
                <w:sz w:val="18"/>
                <w:szCs w:val="18"/>
                <w:lang w:eastAsia="sl-SI"/>
              </w:rPr>
            </w:pPr>
            <w:r w:rsidRPr="004042C1">
              <w:rPr>
                <w:rFonts w:ascii="Arial" w:eastAsia="Times New Roman" w:hAnsi="Arial" w:cs="Arial"/>
                <w:color w:val="000000"/>
                <w:sz w:val="18"/>
                <w:szCs w:val="18"/>
                <w:lang w:eastAsia="sl-SI"/>
              </w:rPr>
              <w:t>0,27</w:t>
            </w:r>
            <w:r>
              <w:rPr>
                <w:rFonts w:ascii="Arial" w:eastAsia="Times New Roman" w:hAnsi="Arial" w:cs="Arial"/>
                <w:color w:val="000000"/>
                <w:sz w:val="18"/>
                <w:szCs w:val="18"/>
                <w:lang w:eastAsia="sl-SI"/>
              </w:rPr>
              <w:t xml:space="preserve"> </w:t>
            </w:r>
            <w:r w:rsidRPr="004042C1">
              <w:rPr>
                <w:rFonts w:ascii="Arial" w:eastAsia="Times New Roman" w:hAnsi="Arial" w:cs="Arial"/>
                <w:color w:val="000000"/>
                <w:sz w:val="18"/>
                <w:szCs w:val="18"/>
                <w:lang w:eastAsia="sl-SI"/>
              </w:rPr>
              <w:t>%</w:t>
            </w:r>
          </w:p>
        </w:tc>
        <w:tc>
          <w:tcPr>
            <w:tcW w:w="839" w:type="pct"/>
            <w:tcBorders>
              <w:top w:val="nil"/>
              <w:left w:val="nil"/>
              <w:bottom w:val="single" w:sz="4" w:space="0" w:color="auto"/>
              <w:right w:val="single" w:sz="4" w:space="0" w:color="auto"/>
            </w:tcBorders>
            <w:shd w:val="clear" w:color="auto" w:fill="auto"/>
            <w:noWrap/>
            <w:vAlign w:val="center"/>
            <w:hideMark/>
          </w:tcPr>
          <w:p w14:paraId="3116408D" w14:textId="20938961" w:rsidR="004042C1" w:rsidRPr="004042C1" w:rsidRDefault="004042C1" w:rsidP="004042C1">
            <w:pPr>
              <w:spacing w:after="0" w:line="240" w:lineRule="auto"/>
              <w:jc w:val="right"/>
              <w:rPr>
                <w:rFonts w:ascii="Arial" w:eastAsia="Times New Roman" w:hAnsi="Arial" w:cs="Arial"/>
                <w:color w:val="000000"/>
                <w:sz w:val="18"/>
                <w:szCs w:val="18"/>
                <w:lang w:eastAsia="sl-SI"/>
              </w:rPr>
            </w:pPr>
            <w:r w:rsidRPr="004042C1">
              <w:rPr>
                <w:rFonts w:ascii="Arial" w:eastAsia="Times New Roman" w:hAnsi="Arial" w:cs="Arial"/>
                <w:color w:val="000000"/>
                <w:sz w:val="18"/>
                <w:szCs w:val="18"/>
                <w:lang w:eastAsia="sl-SI"/>
              </w:rPr>
              <w:t>0,27</w:t>
            </w:r>
            <w:r>
              <w:rPr>
                <w:rFonts w:ascii="Arial" w:eastAsia="Times New Roman" w:hAnsi="Arial" w:cs="Arial"/>
                <w:color w:val="000000"/>
                <w:sz w:val="18"/>
                <w:szCs w:val="18"/>
                <w:lang w:eastAsia="sl-SI"/>
              </w:rPr>
              <w:t xml:space="preserve"> </w:t>
            </w:r>
            <w:r w:rsidRPr="004042C1">
              <w:rPr>
                <w:rFonts w:ascii="Arial" w:eastAsia="Times New Roman" w:hAnsi="Arial" w:cs="Arial"/>
                <w:color w:val="000000"/>
                <w:sz w:val="18"/>
                <w:szCs w:val="18"/>
                <w:lang w:eastAsia="sl-SI"/>
              </w:rPr>
              <w:t>%</w:t>
            </w:r>
          </w:p>
        </w:tc>
      </w:tr>
      <w:tr w:rsidR="004042C1" w:rsidRPr="004042C1" w14:paraId="4A835A4D" w14:textId="77777777" w:rsidTr="004042C1">
        <w:trPr>
          <w:trHeight w:val="288"/>
        </w:trPr>
        <w:tc>
          <w:tcPr>
            <w:tcW w:w="2108" w:type="pct"/>
            <w:tcBorders>
              <w:top w:val="nil"/>
              <w:left w:val="single" w:sz="4" w:space="0" w:color="auto"/>
              <w:bottom w:val="single" w:sz="4" w:space="0" w:color="auto"/>
              <w:right w:val="single" w:sz="4" w:space="0" w:color="auto"/>
            </w:tcBorders>
            <w:shd w:val="clear" w:color="auto" w:fill="auto"/>
            <w:noWrap/>
            <w:vAlign w:val="center"/>
            <w:hideMark/>
          </w:tcPr>
          <w:p w14:paraId="35B5B0C6" w14:textId="77777777" w:rsidR="004042C1" w:rsidRPr="004042C1" w:rsidRDefault="004042C1" w:rsidP="004042C1">
            <w:pPr>
              <w:spacing w:after="0" w:line="240" w:lineRule="auto"/>
              <w:rPr>
                <w:rFonts w:ascii="Arial" w:eastAsia="Times New Roman" w:hAnsi="Arial" w:cs="Arial"/>
                <w:color w:val="000000"/>
                <w:sz w:val="18"/>
                <w:szCs w:val="18"/>
                <w:lang w:eastAsia="sl-SI"/>
              </w:rPr>
            </w:pPr>
            <w:r w:rsidRPr="004042C1">
              <w:rPr>
                <w:rFonts w:ascii="Arial" w:eastAsia="Times New Roman" w:hAnsi="Arial" w:cs="Arial"/>
                <w:color w:val="000000"/>
                <w:sz w:val="18"/>
                <w:szCs w:val="18"/>
                <w:lang w:eastAsia="sl-SI"/>
              </w:rPr>
              <w:t>Odprti postopek</w:t>
            </w:r>
          </w:p>
        </w:tc>
        <w:tc>
          <w:tcPr>
            <w:tcW w:w="524" w:type="pct"/>
            <w:tcBorders>
              <w:top w:val="nil"/>
              <w:left w:val="nil"/>
              <w:bottom w:val="single" w:sz="4" w:space="0" w:color="auto"/>
              <w:right w:val="single" w:sz="4" w:space="0" w:color="auto"/>
            </w:tcBorders>
            <w:shd w:val="clear" w:color="auto" w:fill="auto"/>
            <w:noWrap/>
            <w:vAlign w:val="center"/>
            <w:hideMark/>
          </w:tcPr>
          <w:p w14:paraId="164B7A31" w14:textId="77777777" w:rsidR="004042C1" w:rsidRPr="004042C1" w:rsidRDefault="004042C1" w:rsidP="004042C1">
            <w:pPr>
              <w:spacing w:after="0" w:line="240" w:lineRule="auto"/>
              <w:jc w:val="right"/>
              <w:rPr>
                <w:rFonts w:ascii="Arial" w:eastAsia="Times New Roman" w:hAnsi="Arial" w:cs="Arial"/>
                <w:color w:val="000000"/>
                <w:sz w:val="18"/>
                <w:szCs w:val="18"/>
                <w:lang w:eastAsia="sl-SI"/>
              </w:rPr>
            </w:pPr>
            <w:r w:rsidRPr="004042C1">
              <w:rPr>
                <w:rFonts w:ascii="Arial" w:eastAsia="Times New Roman" w:hAnsi="Arial" w:cs="Arial"/>
                <w:color w:val="000000"/>
                <w:sz w:val="18"/>
                <w:szCs w:val="18"/>
                <w:lang w:eastAsia="sl-SI"/>
              </w:rPr>
              <w:t>564</w:t>
            </w:r>
          </w:p>
        </w:tc>
        <w:tc>
          <w:tcPr>
            <w:tcW w:w="658" w:type="pct"/>
            <w:tcBorders>
              <w:top w:val="nil"/>
              <w:left w:val="nil"/>
              <w:bottom w:val="single" w:sz="4" w:space="0" w:color="auto"/>
              <w:right w:val="single" w:sz="4" w:space="0" w:color="auto"/>
            </w:tcBorders>
            <w:shd w:val="clear" w:color="auto" w:fill="auto"/>
            <w:noWrap/>
            <w:vAlign w:val="center"/>
            <w:hideMark/>
          </w:tcPr>
          <w:p w14:paraId="689B709B" w14:textId="77777777" w:rsidR="004042C1" w:rsidRPr="004042C1" w:rsidRDefault="004042C1" w:rsidP="004042C1">
            <w:pPr>
              <w:spacing w:after="0" w:line="240" w:lineRule="auto"/>
              <w:jc w:val="right"/>
              <w:rPr>
                <w:rFonts w:ascii="Arial" w:eastAsia="Times New Roman" w:hAnsi="Arial" w:cs="Arial"/>
                <w:color w:val="000000"/>
                <w:sz w:val="18"/>
                <w:szCs w:val="18"/>
                <w:lang w:eastAsia="sl-SI"/>
              </w:rPr>
            </w:pPr>
            <w:r w:rsidRPr="004042C1">
              <w:rPr>
                <w:rFonts w:ascii="Arial" w:eastAsia="Times New Roman" w:hAnsi="Arial" w:cs="Arial"/>
                <w:color w:val="000000"/>
                <w:sz w:val="18"/>
                <w:szCs w:val="18"/>
                <w:lang w:eastAsia="sl-SI"/>
              </w:rPr>
              <w:t>401.599.299</w:t>
            </w:r>
          </w:p>
        </w:tc>
        <w:tc>
          <w:tcPr>
            <w:tcW w:w="870" w:type="pct"/>
            <w:tcBorders>
              <w:top w:val="nil"/>
              <w:left w:val="nil"/>
              <w:bottom w:val="single" w:sz="4" w:space="0" w:color="auto"/>
              <w:right w:val="single" w:sz="4" w:space="0" w:color="auto"/>
            </w:tcBorders>
            <w:shd w:val="clear" w:color="auto" w:fill="auto"/>
            <w:noWrap/>
            <w:vAlign w:val="center"/>
            <w:hideMark/>
          </w:tcPr>
          <w:p w14:paraId="2E3BDD1A" w14:textId="490E70A5" w:rsidR="004042C1" w:rsidRPr="004042C1" w:rsidRDefault="004042C1" w:rsidP="004042C1">
            <w:pPr>
              <w:spacing w:after="0" w:line="240" w:lineRule="auto"/>
              <w:jc w:val="right"/>
              <w:rPr>
                <w:rFonts w:ascii="Arial" w:eastAsia="Times New Roman" w:hAnsi="Arial" w:cs="Arial"/>
                <w:color w:val="000000"/>
                <w:sz w:val="18"/>
                <w:szCs w:val="18"/>
                <w:lang w:eastAsia="sl-SI"/>
              </w:rPr>
            </w:pPr>
            <w:r w:rsidRPr="004042C1">
              <w:rPr>
                <w:rFonts w:ascii="Arial" w:eastAsia="Times New Roman" w:hAnsi="Arial" w:cs="Arial"/>
                <w:color w:val="000000"/>
                <w:sz w:val="18"/>
                <w:szCs w:val="18"/>
                <w:lang w:eastAsia="sl-SI"/>
              </w:rPr>
              <w:t>75,10</w:t>
            </w:r>
            <w:r>
              <w:rPr>
                <w:rFonts w:ascii="Arial" w:eastAsia="Times New Roman" w:hAnsi="Arial" w:cs="Arial"/>
                <w:color w:val="000000"/>
                <w:sz w:val="18"/>
                <w:szCs w:val="18"/>
                <w:lang w:eastAsia="sl-SI"/>
              </w:rPr>
              <w:t xml:space="preserve"> </w:t>
            </w:r>
            <w:r w:rsidRPr="004042C1">
              <w:rPr>
                <w:rFonts w:ascii="Arial" w:eastAsia="Times New Roman" w:hAnsi="Arial" w:cs="Arial"/>
                <w:color w:val="000000"/>
                <w:sz w:val="18"/>
                <w:szCs w:val="18"/>
                <w:lang w:eastAsia="sl-SI"/>
              </w:rPr>
              <w:t>%</w:t>
            </w:r>
          </w:p>
        </w:tc>
        <w:tc>
          <w:tcPr>
            <w:tcW w:w="839" w:type="pct"/>
            <w:tcBorders>
              <w:top w:val="nil"/>
              <w:left w:val="nil"/>
              <w:bottom w:val="single" w:sz="4" w:space="0" w:color="auto"/>
              <w:right w:val="single" w:sz="4" w:space="0" w:color="auto"/>
            </w:tcBorders>
            <w:shd w:val="clear" w:color="auto" w:fill="auto"/>
            <w:noWrap/>
            <w:vAlign w:val="center"/>
            <w:hideMark/>
          </w:tcPr>
          <w:p w14:paraId="499DEC69" w14:textId="570A139F" w:rsidR="004042C1" w:rsidRPr="004042C1" w:rsidRDefault="004042C1" w:rsidP="004042C1">
            <w:pPr>
              <w:spacing w:after="0" w:line="240" w:lineRule="auto"/>
              <w:jc w:val="right"/>
              <w:rPr>
                <w:rFonts w:ascii="Arial" w:eastAsia="Times New Roman" w:hAnsi="Arial" w:cs="Arial"/>
                <w:color w:val="000000"/>
                <w:sz w:val="18"/>
                <w:szCs w:val="18"/>
                <w:lang w:eastAsia="sl-SI"/>
              </w:rPr>
            </w:pPr>
            <w:r w:rsidRPr="004042C1">
              <w:rPr>
                <w:rFonts w:ascii="Arial" w:eastAsia="Times New Roman" w:hAnsi="Arial" w:cs="Arial"/>
                <w:color w:val="000000"/>
                <w:sz w:val="18"/>
                <w:szCs w:val="18"/>
                <w:lang w:eastAsia="sl-SI"/>
              </w:rPr>
              <w:t>83,01</w:t>
            </w:r>
            <w:r>
              <w:rPr>
                <w:rFonts w:ascii="Arial" w:eastAsia="Times New Roman" w:hAnsi="Arial" w:cs="Arial"/>
                <w:color w:val="000000"/>
                <w:sz w:val="18"/>
                <w:szCs w:val="18"/>
                <w:lang w:eastAsia="sl-SI"/>
              </w:rPr>
              <w:t xml:space="preserve"> </w:t>
            </w:r>
            <w:r w:rsidRPr="004042C1">
              <w:rPr>
                <w:rFonts w:ascii="Arial" w:eastAsia="Times New Roman" w:hAnsi="Arial" w:cs="Arial"/>
                <w:color w:val="000000"/>
                <w:sz w:val="18"/>
                <w:szCs w:val="18"/>
                <w:lang w:eastAsia="sl-SI"/>
              </w:rPr>
              <w:t>%</w:t>
            </w:r>
          </w:p>
        </w:tc>
      </w:tr>
      <w:tr w:rsidR="004042C1" w:rsidRPr="004042C1" w14:paraId="6B2E1AFF" w14:textId="77777777" w:rsidTr="004042C1">
        <w:trPr>
          <w:trHeight w:val="288"/>
        </w:trPr>
        <w:tc>
          <w:tcPr>
            <w:tcW w:w="2108" w:type="pct"/>
            <w:tcBorders>
              <w:top w:val="nil"/>
              <w:left w:val="single" w:sz="4" w:space="0" w:color="auto"/>
              <w:bottom w:val="single" w:sz="4" w:space="0" w:color="auto"/>
              <w:right w:val="single" w:sz="4" w:space="0" w:color="auto"/>
            </w:tcBorders>
            <w:shd w:val="clear" w:color="auto" w:fill="auto"/>
            <w:noWrap/>
            <w:vAlign w:val="center"/>
            <w:hideMark/>
          </w:tcPr>
          <w:p w14:paraId="2C2C13DD" w14:textId="77777777" w:rsidR="004042C1" w:rsidRPr="004042C1" w:rsidRDefault="004042C1" w:rsidP="004042C1">
            <w:pPr>
              <w:spacing w:after="0" w:line="240" w:lineRule="auto"/>
              <w:rPr>
                <w:rFonts w:ascii="Arial" w:eastAsia="Times New Roman" w:hAnsi="Arial" w:cs="Arial"/>
                <w:color w:val="000000"/>
                <w:sz w:val="18"/>
                <w:szCs w:val="18"/>
                <w:lang w:eastAsia="sl-SI"/>
              </w:rPr>
            </w:pPr>
            <w:r w:rsidRPr="004042C1">
              <w:rPr>
                <w:rFonts w:ascii="Arial" w:eastAsia="Times New Roman" w:hAnsi="Arial" w:cs="Arial"/>
                <w:color w:val="000000"/>
                <w:sz w:val="18"/>
                <w:szCs w:val="18"/>
                <w:lang w:eastAsia="sl-SI"/>
              </w:rPr>
              <w:t>Omejeni postopek</w:t>
            </w:r>
          </w:p>
        </w:tc>
        <w:tc>
          <w:tcPr>
            <w:tcW w:w="524" w:type="pct"/>
            <w:tcBorders>
              <w:top w:val="nil"/>
              <w:left w:val="nil"/>
              <w:bottom w:val="single" w:sz="4" w:space="0" w:color="auto"/>
              <w:right w:val="single" w:sz="4" w:space="0" w:color="auto"/>
            </w:tcBorders>
            <w:shd w:val="clear" w:color="auto" w:fill="auto"/>
            <w:noWrap/>
            <w:vAlign w:val="center"/>
            <w:hideMark/>
          </w:tcPr>
          <w:p w14:paraId="3202E199" w14:textId="77777777" w:rsidR="004042C1" w:rsidRPr="004042C1" w:rsidRDefault="004042C1" w:rsidP="004042C1">
            <w:pPr>
              <w:spacing w:after="0" w:line="240" w:lineRule="auto"/>
              <w:jc w:val="right"/>
              <w:rPr>
                <w:rFonts w:ascii="Arial" w:eastAsia="Times New Roman" w:hAnsi="Arial" w:cs="Arial"/>
                <w:color w:val="000000"/>
                <w:sz w:val="18"/>
                <w:szCs w:val="18"/>
                <w:lang w:eastAsia="sl-SI"/>
              </w:rPr>
            </w:pPr>
            <w:r w:rsidRPr="004042C1">
              <w:rPr>
                <w:rFonts w:ascii="Arial" w:eastAsia="Times New Roman" w:hAnsi="Arial" w:cs="Arial"/>
                <w:color w:val="000000"/>
                <w:sz w:val="18"/>
                <w:szCs w:val="18"/>
                <w:lang w:eastAsia="sl-SI"/>
              </w:rPr>
              <w:t>6</w:t>
            </w:r>
          </w:p>
        </w:tc>
        <w:tc>
          <w:tcPr>
            <w:tcW w:w="658" w:type="pct"/>
            <w:tcBorders>
              <w:top w:val="nil"/>
              <w:left w:val="nil"/>
              <w:bottom w:val="single" w:sz="4" w:space="0" w:color="auto"/>
              <w:right w:val="single" w:sz="4" w:space="0" w:color="auto"/>
            </w:tcBorders>
            <w:shd w:val="clear" w:color="auto" w:fill="auto"/>
            <w:noWrap/>
            <w:vAlign w:val="center"/>
            <w:hideMark/>
          </w:tcPr>
          <w:p w14:paraId="33957C08" w14:textId="77777777" w:rsidR="004042C1" w:rsidRPr="004042C1" w:rsidRDefault="004042C1" w:rsidP="004042C1">
            <w:pPr>
              <w:spacing w:after="0" w:line="240" w:lineRule="auto"/>
              <w:jc w:val="right"/>
              <w:rPr>
                <w:rFonts w:ascii="Arial" w:eastAsia="Times New Roman" w:hAnsi="Arial" w:cs="Arial"/>
                <w:color w:val="000000"/>
                <w:sz w:val="18"/>
                <w:szCs w:val="18"/>
                <w:lang w:eastAsia="sl-SI"/>
              </w:rPr>
            </w:pPr>
            <w:r w:rsidRPr="004042C1">
              <w:rPr>
                <w:rFonts w:ascii="Arial" w:eastAsia="Times New Roman" w:hAnsi="Arial" w:cs="Arial"/>
                <w:color w:val="000000"/>
                <w:sz w:val="18"/>
                <w:szCs w:val="18"/>
                <w:lang w:eastAsia="sl-SI"/>
              </w:rPr>
              <w:t>3.625.567</w:t>
            </w:r>
          </w:p>
        </w:tc>
        <w:tc>
          <w:tcPr>
            <w:tcW w:w="870" w:type="pct"/>
            <w:tcBorders>
              <w:top w:val="nil"/>
              <w:left w:val="nil"/>
              <w:bottom w:val="single" w:sz="4" w:space="0" w:color="auto"/>
              <w:right w:val="single" w:sz="4" w:space="0" w:color="auto"/>
            </w:tcBorders>
            <w:shd w:val="clear" w:color="auto" w:fill="auto"/>
            <w:noWrap/>
            <w:vAlign w:val="center"/>
            <w:hideMark/>
          </w:tcPr>
          <w:p w14:paraId="08C40365" w14:textId="4A044A13" w:rsidR="004042C1" w:rsidRPr="004042C1" w:rsidRDefault="004042C1" w:rsidP="004042C1">
            <w:pPr>
              <w:spacing w:after="0" w:line="240" w:lineRule="auto"/>
              <w:jc w:val="right"/>
              <w:rPr>
                <w:rFonts w:ascii="Arial" w:eastAsia="Times New Roman" w:hAnsi="Arial" w:cs="Arial"/>
                <w:color w:val="000000"/>
                <w:sz w:val="18"/>
                <w:szCs w:val="18"/>
                <w:lang w:eastAsia="sl-SI"/>
              </w:rPr>
            </w:pPr>
            <w:r w:rsidRPr="004042C1">
              <w:rPr>
                <w:rFonts w:ascii="Arial" w:eastAsia="Times New Roman" w:hAnsi="Arial" w:cs="Arial"/>
                <w:color w:val="000000"/>
                <w:sz w:val="18"/>
                <w:szCs w:val="18"/>
                <w:lang w:eastAsia="sl-SI"/>
              </w:rPr>
              <w:t>0,80</w:t>
            </w:r>
            <w:r>
              <w:rPr>
                <w:rFonts w:ascii="Arial" w:eastAsia="Times New Roman" w:hAnsi="Arial" w:cs="Arial"/>
                <w:color w:val="000000"/>
                <w:sz w:val="18"/>
                <w:szCs w:val="18"/>
                <w:lang w:eastAsia="sl-SI"/>
              </w:rPr>
              <w:t xml:space="preserve"> </w:t>
            </w:r>
            <w:r w:rsidRPr="004042C1">
              <w:rPr>
                <w:rFonts w:ascii="Arial" w:eastAsia="Times New Roman" w:hAnsi="Arial" w:cs="Arial"/>
                <w:color w:val="000000"/>
                <w:sz w:val="18"/>
                <w:szCs w:val="18"/>
                <w:lang w:eastAsia="sl-SI"/>
              </w:rPr>
              <w:t>%</w:t>
            </w:r>
          </w:p>
        </w:tc>
        <w:tc>
          <w:tcPr>
            <w:tcW w:w="839" w:type="pct"/>
            <w:tcBorders>
              <w:top w:val="nil"/>
              <w:left w:val="nil"/>
              <w:bottom w:val="single" w:sz="4" w:space="0" w:color="auto"/>
              <w:right w:val="single" w:sz="4" w:space="0" w:color="auto"/>
            </w:tcBorders>
            <w:shd w:val="clear" w:color="auto" w:fill="auto"/>
            <w:noWrap/>
            <w:vAlign w:val="center"/>
            <w:hideMark/>
          </w:tcPr>
          <w:p w14:paraId="62C2EDEA" w14:textId="389F9C3F" w:rsidR="004042C1" w:rsidRPr="004042C1" w:rsidRDefault="004042C1" w:rsidP="004042C1">
            <w:pPr>
              <w:spacing w:after="0" w:line="240" w:lineRule="auto"/>
              <w:jc w:val="right"/>
              <w:rPr>
                <w:rFonts w:ascii="Arial" w:eastAsia="Times New Roman" w:hAnsi="Arial" w:cs="Arial"/>
                <w:color w:val="000000"/>
                <w:sz w:val="18"/>
                <w:szCs w:val="18"/>
                <w:lang w:eastAsia="sl-SI"/>
              </w:rPr>
            </w:pPr>
            <w:r w:rsidRPr="004042C1">
              <w:rPr>
                <w:rFonts w:ascii="Arial" w:eastAsia="Times New Roman" w:hAnsi="Arial" w:cs="Arial"/>
                <w:color w:val="000000"/>
                <w:sz w:val="18"/>
                <w:szCs w:val="18"/>
                <w:lang w:eastAsia="sl-SI"/>
              </w:rPr>
              <w:t>0,75</w:t>
            </w:r>
            <w:r>
              <w:rPr>
                <w:rFonts w:ascii="Arial" w:eastAsia="Times New Roman" w:hAnsi="Arial" w:cs="Arial"/>
                <w:color w:val="000000"/>
                <w:sz w:val="18"/>
                <w:szCs w:val="18"/>
                <w:lang w:eastAsia="sl-SI"/>
              </w:rPr>
              <w:t xml:space="preserve"> </w:t>
            </w:r>
            <w:r w:rsidRPr="004042C1">
              <w:rPr>
                <w:rFonts w:ascii="Arial" w:eastAsia="Times New Roman" w:hAnsi="Arial" w:cs="Arial"/>
                <w:color w:val="000000"/>
                <w:sz w:val="18"/>
                <w:szCs w:val="18"/>
                <w:lang w:eastAsia="sl-SI"/>
              </w:rPr>
              <w:t>%</w:t>
            </w:r>
          </w:p>
        </w:tc>
      </w:tr>
      <w:tr w:rsidR="004042C1" w:rsidRPr="004042C1" w14:paraId="08DB7F89" w14:textId="77777777" w:rsidTr="004042C1">
        <w:trPr>
          <w:trHeight w:val="288"/>
        </w:trPr>
        <w:tc>
          <w:tcPr>
            <w:tcW w:w="2108" w:type="pct"/>
            <w:tcBorders>
              <w:top w:val="nil"/>
              <w:left w:val="single" w:sz="4" w:space="0" w:color="auto"/>
              <w:bottom w:val="single" w:sz="4" w:space="0" w:color="auto"/>
              <w:right w:val="single" w:sz="4" w:space="0" w:color="auto"/>
            </w:tcBorders>
            <w:shd w:val="clear" w:color="auto" w:fill="auto"/>
            <w:noWrap/>
            <w:vAlign w:val="center"/>
            <w:hideMark/>
          </w:tcPr>
          <w:p w14:paraId="62CEA58A" w14:textId="77777777" w:rsidR="004042C1" w:rsidRPr="004042C1" w:rsidRDefault="004042C1" w:rsidP="004042C1">
            <w:pPr>
              <w:spacing w:after="0" w:line="240" w:lineRule="auto"/>
              <w:rPr>
                <w:rFonts w:ascii="Arial" w:eastAsia="Times New Roman" w:hAnsi="Arial" w:cs="Arial"/>
                <w:color w:val="000000"/>
                <w:sz w:val="18"/>
                <w:szCs w:val="18"/>
                <w:lang w:eastAsia="sl-SI"/>
              </w:rPr>
            </w:pPr>
            <w:r w:rsidRPr="004042C1">
              <w:rPr>
                <w:rFonts w:ascii="Arial" w:eastAsia="Times New Roman" w:hAnsi="Arial" w:cs="Arial"/>
                <w:color w:val="000000"/>
                <w:sz w:val="18"/>
                <w:szCs w:val="18"/>
                <w:lang w:eastAsia="sl-SI"/>
              </w:rPr>
              <w:t>Postopek naročila male vrednosti</w:t>
            </w:r>
          </w:p>
        </w:tc>
        <w:tc>
          <w:tcPr>
            <w:tcW w:w="524" w:type="pct"/>
            <w:tcBorders>
              <w:top w:val="nil"/>
              <w:left w:val="nil"/>
              <w:bottom w:val="single" w:sz="4" w:space="0" w:color="auto"/>
              <w:right w:val="single" w:sz="4" w:space="0" w:color="auto"/>
            </w:tcBorders>
            <w:shd w:val="clear" w:color="auto" w:fill="auto"/>
            <w:noWrap/>
            <w:vAlign w:val="center"/>
            <w:hideMark/>
          </w:tcPr>
          <w:p w14:paraId="2CB1978B" w14:textId="77777777" w:rsidR="004042C1" w:rsidRPr="004042C1" w:rsidRDefault="004042C1" w:rsidP="004042C1">
            <w:pPr>
              <w:spacing w:after="0" w:line="240" w:lineRule="auto"/>
              <w:jc w:val="right"/>
              <w:rPr>
                <w:rFonts w:ascii="Arial" w:eastAsia="Times New Roman" w:hAnsi="Arial" w:cs="Arial"/>
                <w:color w:val="000000"/>
                <w:sz w:val="18"/>
                <w:szCs w:val="18"/>
                <w:lang w:eastAsia="sl-SI"/>
              </w:rPr>
            </w:pPr>
            <w:r w:rsidRPr="004042C1">
              <w:rPr>
                <w:rFonts w:ascii="Arial" w:eastAsia="Times New Roman" w:hAnsi="Arial" w:cs="Arial"/>
                <w:color w:val="000000"/>
                <w:sz w:val="18"/>
                <w:szCs w:val="18"/>
                <w:lang w:eastAsia="sl-SI"/>
              </w:rPr>
              <w:t>112</w:t>
            </w:r>
          </w:p>
        </w:tc>
        <w:tc>
          <w:tcPr>
            <w:tcW w:w="658" w:type="pct"/>
            <w:tcBorders>
              <w:top w:val="nil"/>
              <w:left w:val="nil"/>
              <w:bottom w:val="single" w:sz="4" w:space="0" w:color="auto"/>
              <w:right w:val="single" w:sz="4" w:space="0" w:color="auto"/>
            </w:tcBorders>
            <w:shd w:val="clear" w:color="auto" w:fill="auto"/>
            <w:noWrap/>
            <w:vAlign w:val="center"/>
            <w:hideMark/>
          </w:tcPr>
          <w:p w14:paraId="340F855D" w14:textId="77777777" w:rsidR="004042C1" w:rsidRPr="004042C1" w:rsidRDefault="004042C1" w:rsidP="004042C1">
            <w:pPr>
              <w:spacing w:after="0" w:line="240" w:lineRule="auto"/>
              <w:jc w:val="right"/>
              <w:rPr>
                <w:rFonts w:ascii="Arial" w:eastAsia="Times New Roman" w:hAnsi="Arial" w:cs="Arial"/>
                <w:color w:val="000000"/>
                <w:sz w:val="18"/>
                <w:szCs w:val="18"/>
                <w:lang w:eastAsia="sl-SI"/>
              </w:rPr>
            </w:pPr>
            <w:r w:rsidRPr="004042C1">
              <w:rPr>
                <w:rFonts w:ascii="Arial" w:eastAsia="Times New Roman" w:hAnsi="Arial" w:cs="Arial"/>
                <w:color w:val="000000"/>
                <w:sz w:val="18"/>
                <w:szCs w:val="18"/>
                <w:lang w:eastAsia="sl-SI"/>
              </w:rPr>
              <w:t>51.221.057</w:t>
            </w:r>
          </w:p>
        </w:tc>
        <w:tc>
          <w:tcPr>
            <w:tcW w:w="870" w:type="pct"/>
            <w:tcBorders>
              <w:top w:val="nil"/>
              <w:left w:val="nil"/>
              <w:bottom w:val="single" w:sz="4" w:space="0" w:color="auto"/>
              <w:right w:val="single" w:sz="4" w:space="0" w:color="auto"/>
            </w:tcBorders>
            <w:shd w:val="clear" w:color="auto" w:fill="auto"/>
            <w:noWrap/>
            <w:vAlign w:val="center"/>
            <w:hideMark/>
          </w:tcPr>
          <w:p w14:paraId="527C20C4" w14:textId="219A9678" w:rsidR="004042C1" w:rsidRPr="004042C1" w:rsidRDefault="004042C1" w:rsidP="004042C1">
            <w:pPr>
              <w:spacing w:after="0" w:line="240" w:lineRule="auto"/>
              <w:jc w:val="right"/>
              <w:rPr>
                <w:rFonts w:ascii="Arial" w:eastAsia="Times New Roman" w:hAnsi="Arial" w:cs="Arial"/>
                <w:color w:val="000000"/>
                <w:sz w:val="18"/>
                <w:szCs w:val="18"/>
                <w:lang w:eastAsia="sl-SI"/>
              </w:rPr>
            </w:pPr>
            <w:r w:rsidRPr="004042C1">
              <w:rPr>
                <w:rFonts w:ascii="Arial" w:eastAsia="Times New Roman" w:hAnsi="Arial" w:cs="Arial"/>
                <w:color w:val="000000"/>
                <w:sz w:val="18"/>
                <w:szCs w:val="18"/>
                <w:lang w:eastAsia="sl-SI"/>
              </w:rPr>
              <w:t>14,91</w:t>
            </w:r>
            <w:r>
              <w:rPr>
                <w:rFonts w:ascii="Arial" w:eastAsia="Times New Roman" w:hAnsi="Arial" w:cs="Arial"/>
                <w:color w:val="000000"/>
                <w:sz w:val="18"/>
                <w:szCs w:val="18"/>
                <w:lang w:eastAsia="sl-SI"/>
              </w:rPr>
              <w:t xml:space="preserve"> </w:t>
            </w:r>
            <w:r w:rsidRPr="004042C1">
              <w:rPr>
                <w:rFonts w:ascii="Arial" w:eastAsia="Times New Roman" w:hAnsi="Arial" w:cs="Arial"/>
                <w:color w:val="000000"/>
                <w:sz w:val="18"/>
                <w:szCs w:val="18"/>
                <w:lang w:eastAsia="sl-SI"/>
              </w:rPr>
              <w:t>%</w:t>
            </w:r>
          </w:p>
        </w:tc>
        <w:tc>
          <w:tcPr>
            <w:tcW w:w="839" w:type="pct"/>
            <w:tcBorders>
              <w:top w:val="nil"/>
              <w:left w:val="nil"/>
              <w:bottom w:val="single" w:sz="4" w:space="0" w:color="auto"/>
              <w:right w:val="single" w:sz="4" w:space="0" w:color="auto"/>
            </w:tcBorders>
            <w:shd w:val="clear" w:color="auto" w:fill="auto"/>
            <w:noWrap/>
            <w:vAlign w:val="center"/>
            <w:hideMark/>
          </w:tcPr>
          <w:p w14:paraId="7F01F330" w14:textId="5E39DC6D" w:rsidR="004042C1" w:rsidRPr="004042C1" w:rsidRDefault="004042C1" w:rsidP="004042C1">
            <w:pPr>
              <w:spacing w:after="0" w:line="240" w:lineRule="auto"/>
              <w:jc w:val="right"/>
              <w:rPr>
                <w:rFonts w:ascii="Arial" w:eastAsia="Times New Roman" w:hAnsi="Arial" w:cs="Arial"/>
                <w:color w:val="000000"/>
                <w:sz w:val="18"/>
                <w:szCs w:val="18"/>
                <w:lang w:eastAsia="sl-SI"/>
              </w:rPr>
            </w:pPr>
            <w:r w:rsidRPr="004042C1">
              <w:rPr>
                <w:rFonts w:ascii="Arial" w:eastAsia="Times New Roman" w:hAnsi="Arial" w:cs="Arial"/>
                <w:color w:val="000000"/>
                <w:sz w:val="18"/>
                <w:szCs w:val="18"/>
                <w:lang w:eastAsia="sl-SI"/>
              </w:rPr>
              <w:t>10,59</w:t>
            </w:r>
            <w:r>
              <w:rPr>
                <w:rFonts w:ascii="Arial" w:eastAsia="Times New Roman" w:hAnsi="Arial" w:cs="Arial"/>
                <w:color w:val="000000"/>
                <w:sz w:val="18"/>
                <w:szCs w:val="18"/>
                <w:lang w:eastAsia="sl-SI"/>
              </w:rPr>
              <w:t xml:space="preserve"> </w:t>
            </w:r>
            <w:r w:rsidRPr="004042C1">
              <w:rPr>
                <w:rFonts w:ascii="Arial" w:eastAsia="Times New Roman" w:hAnsi="Arial" w:cs="Arial"/>
                <w:color w:val="000000"/>
                <w:sz w:val="18"/>
                <w:szCs w:val="18"/>
                <w:lang w:eastAsia="sl-SI"/>
              </w:rPr>
              <w:t>%</w:t>
            </w:r>
          </w:p>
        </w:tc>
      </w:tr>
      <w:tr w:rsidR="004042C1" w:rsidRPr="004042C1" w14:paraId="3C566161" w14:textId="77777777" w:rsidTr="004042C1">
        <w:trPr>
          <w:trHeight w:val="288"/>
        </w:trPr>
        <w:tc>
          <w:tcPr>
            <w:tcW w:w="2108" w:type="pct"/>
            <w:tcBorders>
              <w:top w:val="nil"/>
              <w:left w:val="single" w:sz="4" w:space="0" w:color="auto"/>
              <w:bottom w:val="single" w:sz="4" w:space="0" w:color="auto"/>
              <w:right w:val="single" w:sz="4" w:space="0" w:color="auto"/>
            </w:tcBorders>
            <w:shd w:val="clear" w:color="auto" w:fill="auto"/>
            <w:noWrap/>
            <w:vAlign w:val="center"/>
            <w:hideMark/>
          </w:tcPr>
          <w:p w14:paraId="67B8716D" w14:textId="77777777" w:rsidR="004042C1" w:rsidRPr="004042C1" w:rsidRDefault="004042C1" w:rsidP="004042C1">
            <w:pPr>
              <w:spacing w:after="0" w:line="240" w:lineRule="auto"/>
              <w:rPr>
                <w:rFonts w:ascii="Arial" w:eastAsia="Times New Roman" w:hAnsi="Arial" w:cs="Arial"/>
                <w:color w:val="000000"/>
                <w:sz w:val="18"/>
                <w:szCs w:val="18"/>
                <w:lang w:eastAsia="sl-SI"/>
              </w:rPr>
            </w:pPr>
            <w:r w:rsidRPr="004042C1">
              <w:rPr>
                <w:rFonts w:ascii="Arial" w:eastAsia="Times New Roman" w:hAnsi="Arial" w:cs="Arial"/>
                <w:color w:val="000000"/>
                <w:sz w:val="18"/>
                <w:szCs w:val="18"/>
                <w:lang w:eastAsia="sl-SI"/>
              </w:rPr>
              <w:t>Postopek s pogajanji brez predhodne objave</w:t>
            </w:r>
          </w:p>
        </w:tc>
        <w:tc>
          <w:tcPr>
            <w:tcW w:w="524" w:type="pct"/>
            <w:tcBorders>
              <w:top w:val="nil"/>
              <w:left w:val="nil"/>
              <w:bottom w:val="single" w:sz="4" w:space="0" w:color="auto"/>
              <w:right w:val="single" w:sz="4" w:space="0" w:color="auto"/>
            </w:tcBorders>
            <w:shd w:val="clear" w:color="auto" w:fill="auto"/>
            <w:noWrap/>
            <w:vAlign w:val="center"/>
            <w:hideMark/>
          </w:tcPr>
          <w:p w14:paraId="29E44774" w14:textId="77777777" w:rsidR="004042C1" w:rsidRPr="004042C1" w:rsidRDefault="004042C1" w:rsidP="004042C1">
            <w:pPr>
              <w:spacing w:after="0" w:line="240" w:lineRule="auto"/>
              <w:jc w:val="right"/>
              <w:rPr>
                <w:rFonts w:ascii="Arial" w:eastAsia="Times New Roman" w:hAnsi="Arial" w:cs="Arial"/>
                <w:color w:val="000000"/>
                <w:sz w:val="18"/>
                <w:szCs w:val="18"/>
                <w:lang w:eastAsia="sl-SI"/>
              </w:rPr>
            </w:pPr>
            <w:r w:rsidRPr="004042C1">
              <w:rPr>
                <w:rFonts w:ascii="Arial" w:eastAsia="Times New Roman" w:hAnsi="Arial" w:cs="Arial"/>
                <w:color w:val="000000"/>
                <w:sz w:val="18"/>
                <w:szCs w:val="18"/>
                <w:lang w:eastAsia="sl-SI"/>
              </w:rPr>
              <w:t>61</w:t>
            </w:r>
          </w:p>
        </w:tc>
        <w:tc>
          <w:tcPr>
            <w:tcW w:w="658" w:type="pct"/>
            <w:tcBorders>
              <w:top w:val="nil"/>
              <w:left w:val="nil"/>
              <w:bottom w:val="single" w:sz="4" w:space="0" w:color="auto"/>
              <w:right w:val="single" w:sz="4" w:space="0" w:color="auto"/>
            </w:tcBorders>
            <w:shd w:val="clear" w:color="auto" w:fill="auto"/>
            <w:noWrap/>
            <w:vAlign w:val="center"/>
            <w:hideMark/>
          </w:tcPr>
          <w:p w14:paraId="3595F359" w14:textId="77777777" w:rsidR="004042C1" w:rsidRPr="004042C1" w:rsidRDefault="004042C1" w:rsidP="004042C1">
            <w:pPr>
              <w:spacing w:after="0" w:line="240" w:lineRule="auto"/>
              <w:jc w:val="right"/>
              <w:rPr>
                <w:rFonts w:ascii="Arial" w:eastAsia="Times New Roman" w:hAnsi="Arial" w:cs="Arial"/>
                <w:color w:val="000000"/>
                <w:sz w:val="18"/>
                <w:szCs w:val="18"/>
                <w:lang w:eastAsia="sl-SI"/>
              </w:rPr>
            </w:pPr>
            <w:r w:rsidRPr="004042C1">
              <w:rPr>
                <w:rFonts w:ascii="Arial" w:eastAsia="Times New Roman" w:hAnsi="Arial" w:cs="Arial"/>
                <w:color w:val="000000"/>
                <w:sz w:val="18"/>
                <w:szCs w:val="18"/>
                <w:lang w:eastAsia="sl-SI"/>
              </w:rPr>
              <w:t>15.571.503</w:t>
            </w:r>
          </w:p>
        </w:tc>
        <w:tc>
          <w:tcPr>
            <w:tcW w:w="870" w:type="pct"/>
            <w:tcBorders>
              <w:top w:val="nil"/>
              <w:left w:val="nil"/>
              <w:bottom w:val="single" w:sz="4" w:space="0" w:color="auto"/>
              <w:right w:val="single" w:sz="4" w:space="0" w:color="auto"/>
            </w:tcBorders>
            <w:shd w:val="clear" w:color="auto" w:fill="auto"/>
            <w:noWrap/>
            <w:vAlign w:val="center"/>
            <w:hideMark/>
          </w:tcPr>
          <w:p w14:paraId="54A57EBD" w14:textId="428B2BB9" w:rsidR="004042C1" w:rsidRPr="004042C1" w:rsidRDefault="004042C1" w:rsidP="004042C1">
            <w:pPr>
              <w:spacing w:after="0" w:line="240" w:lineRule="auto"/>
              <w:jc w:val="right"/>
              <w:rPr>
                <w:rFonts w:ascii="Arial" w:eastAsia="Times New Roman" w:hAnsi="Arial" w:cs="Arial"/>
                <w:color w:val="000000"/>
                <w:sz w:val="18"/>
                <w:szCs w:val="18"/>
                <w:lang w:eastAsia="sl-SI"/>
              </w:rPr>
            </w:pPr>
            <w:r w:rsidRPr="004042C1">
              <w:rPr>
                <w:rFonts w:ascii="Arial" w:eastAsia="Times New Roman" w:hAnsi="Arial" w:cs="Arial"/>
                <w:color w:val="000000"/>
                <w:sz w:val="18"/>
                <w:szCs w:val="18"/>
                <w:lang w:eastAsia="sl-SI"/>
              </w:rPr>
              <w:t>8,12</w:t>
            </w:r>
            <w:r>
              <w:rPr>
                <w:rFonts w:ascii="Arial" w:eastAsia="Times New Roman" w:hAnsi="Arial" w:cs="Arial"/>
                <w:color w:val="000000"/>
                <w:sz w:val="18"/>
                <w:szCs w:val="18"/>
                <w:lang w:eastAsia="sl-SI"/>
              </w:rPr>
              <w:t xml:space="preserve"> </w:t>
            </w:r>
            <w:r w:rsidRPr="004042C1">
              <w:rPr>
                <w:rFonts w:ascii="Arial" w:eastAsia="Times New Roman" w:hAnsi="Arial" w:cs="Arial"/>
                <w:color w:val="000000"/>
                <w:sz w:val="18"/>
                <w:szCs w:val="18"/>
                <w:lang w:eastAsia="sl-SI"/>
              </w:rPr>
              <w:t>%</w:t>
            </w:r>
          </w:p>
        </w:tc>
        <w:tc>
          <w:tcPr>
            <w:tcW w:w="839" w:type="pct"/>
            <w:tcBorders>
              <w:top w:val="nil"/>
              <w:left w:val="nil"/>
              <w:bottom w:val="single" w:sz="4" w:space="0" w:color="auto"/>
              <w:right w:val="single" w:sz="4" w:space="0" w:color="auto"/>
            </w:tcBorders>
            <w:shd w:val="clear" w:color="auto" w:fill="auto"/>
            <w:noWrap/>
            <w:vAlign w:val="center"/>
            <w:hideMark/>
          </w:tcPr>
          <w:p w14:paraId="6BFBF798" w14:textId="6CCA1CA2" w:rsidR="004042C1" w:rsidRPr="004042C1" w:rsidRDefault="004042C1" w:rsidP="004042C1">
            <w:pPr>
              <w:spacing w:after="0" w:line="240" w:lineRule="auto"/>
              <w:jc w:val="right"/>
              <w:rPr>
                <w:rFonts w:ascii="Arial" w:eastAsia="Times New Roman" w:hAnsi="Arial" w:cs="Arial"/>
                <w:color w:val="000000"/>
                <w:sz w:val="18"/>
                <w:szCs w:val="18"/>
                <w:lang w:eastAsia="sl-SI"/>
              </w:rPr>
            </w:pPr>
            <w:r w:rsidRPr="004042C1">
              <w:rPr>
                <w:rFonts w:ascii="Arial" w:eastAsia="Times New Roman" w:hAnsi="Arial" w:cs="Arial"/>
                <w:color w:val="000000"/>
                <w:sz w:val="18"/>
                <w:szCs w:val="18"/>
                <w:lang w:eastAsia="sl-SI"/>
              </w:rPr>
              <w:t>3,22</w:t>
            </w:r>
            <w:r>
              <w:rPr>
                <w:rFonts w:ascii="Arial" w:eastAsia="Times New Roman" w:hAnsi="Arial" w:cs="Arial"/>
                <w:color w:val="000000"/>
                <w:sz w:val="18"/>
                <w:szCs w:val="18"/>
                <w:lang w:eastAsia="sl-SI"/>
              </w:rPr>
              <w:t xml:space="preserve"> </w:t>
            </w:r>
            <w:r w:rsidRPr="004042C1">
              <w:rPr>
                <w:rFonts w:ascii="Arial" w:eastAsia="Times New Roman" w:hAnsi="Arial" w:cs="Arial"/>
                <w:color w:val="000000"/>
                <w:sz w:val="18"/>
                <w:szCs w:val="18"/>
                <w:lang w:eastAsia="sl-SI"/>
              </w:rPr>
              <w:t>%</w:t>
            </w:r>
          </w:p>
        </w:tc>
      </w:tr>
      <w:tr w:rsidR="004042C1" w:rsidRPr="004042C1" w14:paraId="36670691" w14:textId="77777777" w:rsidTr="004042C1">
        <w:trPr>
          <w:trHeight w:val="288"/>
        </w:trPr>
        <w:tc>
          <w:tcPr>
            <w:tcW w:w="2108" w:type="pct"/>
            <w:tcBorders>
              <w:top w:val="nil"/>
              <w:left w:val="single" w:sz="4" w:space="0" w:color="auto"/>
              <w:bottom w:val="single" w:sz="4" w:space="0" w:color="auto"/>
              <w:right w:val="single" w:sz="4" w:space="0" w:color="auto"/>
            </w:tcBorders>
            <w:shd w:val="clear" w:color="auto" w:fill="auto"/>
            <w:noWrap/>
            <w:vAlign w:val="center"/>
            <w:hideMark/>
          </w:tcPr>
          <w:p w14:paraId="58E29416" w14:textId="77777777" w:rsidR="004042C1" w:rsidRPr="004042C1" w:rsidRDefault="004042C1" w:rsidP="004042C1">
            <w:pPr>
              <w:spacing w:after="0" w:line="240" w:lineRule="auto"/>
              <w:rPr>
                <w:rFonts w:ascii="Arial" w:eastAsia="Times New Roman" w:hAnsi="Arial" w:cs="Arial"/>
                <w:color w:val="000000"/>
                <w:sz w:val="18"/>
                <w:szCs w:val="18"/>
                <w:lang w:eastAsia="sl-SI"/>
              </w:rPr>
            </w:pPr>
            <w:r w:rsidRPr="004042C1">
              <w:rPr>
                <w:rFonts w:ascii="Arial" w:eastAsia="Times New Roman" w:hAnsi="Arial" w:cs="Arial"/>
                <w:color w:val="000000"/>
                <w:sz w:val="18"/>
                <w:szCs w:val="18"/>
                <w:lang w:eastAsia="sl-SI"/>
              </w:rPr>
              <w:t>Postopek s pogajanji po predhodni objavi</w:t>
            </w:r>
          </w:p>
        </w:tc>
        <w:tc>
          <w:tcPr>
            <w:tcW w:w="524" w:type="pct"/>
            <w:tcBorders>
              <w:top w:val="nil"/>
              <w:left w:val="nil"/>
              <w:bottom w:val="single" w:sz="4" w:space="0" w:color="auto"/>
              <w:right w:val="single" w:sz="4" w:space="0" w:color="auto"/>
            </w:tcBorders>
            <w:shd w:val="clear" w:color="auto" w:fill="auto"/>
            <w:noWrap/>
            <w:vAlign w:val="center"/>
            <w:hideMark/>
          </w:tcPr>
          <w:p w14:paraId="075805A2" w14:textId="77777777" w:rsidR="004042C1" w:rsidRPr="004042C1" w:rsidRDefault="004042C1" w:rsidP="004042C1">
            <w:pPr>
              <w:spacing w:after="0" w:line="240" w:lineRule="auto"/>
              <w:jc w:val="right"/>
              <w:rPr>
                <w:rFonts w:ascii="Arial" w:eastAsia="Times New Roman" w:hAnsi="Arial" w:cs="Arial"/>
                <w:color w:val="000000"/>
                <w:sz w:val="18"/>
                <w:szCs w:val="18"/>
                <w:lang w:eastAsia="sl-SI"/>
              </w:rPr>
            </w:pPr>
            <w:r w:rsidRPr="004042C1">
              <w:rPr>
                <w:rFonts w:ascii="Arial" w:eastAsia="Times New Roman" w:hAnsi="Arial" w:cs="Arial"/>
                <w:color w:val="000000"/>
                <w:sz w:val="18"/>
                <w:szCs w:val="18"/>
                <w:lang w:eastAsia="sl-SI"/>
              </w:rPr>
              <w:t>6</w:t>
            </w:r>
          </w:p>
        </w:tc>
        <w:tc>
          <w:tcPr>
            <w:tcW w:w="658" w:type="pct"/>
            <w:tcBorders>
              <w:top w:val="nil"/>
              <w:left w:val="nil"/>
              <w:bottom w:val="single" w:sz="4" w:space="0" w:color="auto"/>
              <w:right w:val="single" w:sz="4" w:space="0" w:color="auto"/>
            </w:tcBorders>
            <w:shd w:val="clear" w:color="auto" w:fill="auto"/>
            <w:noWrap/>
            <w:vAlign w:val="center"/>
            <w:hideMark/>
          </w:tcPr>
          <w:p w14:paraId="56DCD212" w14:textId="77777777" w:rsidR="004042C1" w:rsidRPr="004042C1" w:rsidRDefault="004042C1" w:rsidP="004042C1">
            <w:pPr>
              <w:spacing w:after="0" w:line="240" w:lineRule="auto"/>
              <w:jc w:val="right"/>
              <w:rPr>
                <w:rFonts w:ascii="Arial" w:eastAsia="Times New Roman" w:hAnsi="Arial" w:cs="Arial"/>
                <w:color w:val="000000"/>
                <w:sz w:val="18"/>
                <w:szCs w:val="18"/>
                <w:lang w:eastAsia="sl-SI"/>
              </w:rPr>
            </w:pPr>
            <w:r w:rsidRPr="004042C1">
              <w:rPr>
                <w:rFonts w:ascii="Arial" w:eastAsia="Times New Roman" w:hAnsi="Arial" w:cs="Arial"/>
                <w:color w:val="000000"/>
                <w:sz w:val="18"/>
                <w:szCs w:val="18"/>
                <w:lang w:eastAsia="sl-SI"/>
              </w:rPr>
              <w:t>10.463.732</w:t>
            </w:r>
          </w:p>
        </w:tc>
        <w:tc>
          <w:tcPr>
            <w:tcW w:w="870" w:type="pct"/>
            <w:tcBorders>
              <w:top w:val="nil"/>
              <w:left w:val="nil"/>
              <w:bottom w:val="single" w:sz="4" w:space="0" w:color="auto"/>
              <w:right w:val="single" w:sz="4" w:space="0" w:color="auto"/>
            </w:tcBorders>
            <w:shd w:val="clear" w:color="auto" w:fill="auto"/>
            <w:noWrap/>
            <w:vAlign w:val="center"/>
            <w:hideMark/>
          </w:tcPr>
          <w:p w14:paraId="7073DB8C" w14:textId="70191F89" w:rsidR="004042C1" w:rsidRPr="004042C1" w:rsidRDefault="004042C1" w:rsidP="004042C1">
            <w:pPr>
              <w:spacing w:after="0" w:line="240" w:lineRule="auto"/>
              <w:jc w:val="right"/>
              <w:rPr>
                <w:rFonts w:ascii="Arial" w:eastAsia="Times New Roman" w:hAnsi="Arial" w:cs="Arial"/>
                <w:color w:val="000000"/>
                <w:sz w:val="18"/>
                <w:szCs w:val="18"/>
                <w:lang w:eastAsia="sl-SI"/>
              </w:rPr>
            </w:pPr>
            <w:r w:rsidRPr="004042C1">
              <w:rPr>
                <w:rFonts w:ascii="Arial" w:eastAsia="Times New Roman" w:hAnsi="Arial" w:cs="Arial"/>
                <w:color w:val="000000"/>
                <w:sz w:val="18"/>
                <w:szCs w:val="18"/>
                <w:lang w:eastAsia="sl-SI"/>
              </w:rPr>
              <w:t>0,80</w:t>
            </w:r>
            <w:r>
              <w:rPr>
                <w:rFonts w:ascii="Arial" w:eastAsia="Times New Roman" w:hAnsi="Arial" w:cs="Arial"/>
                <w:color w:val="000000"/>
                <w:sz w:val="18"/>
                <w:szCs w:val="18"/>
                <w:lang w:eastAsia="sl-SI"/>
              </w:rPr>
              <w:t xml:space="preserve"> </w:t>
            </w:r>
            <w:r w:rsidRPr="004042C1">
              <w:rPr>
                <w:rFonts w:ascii="Arial" w:eastAsia="Times New Roman" w:hAnsi="Arial" w:cs="Arial"/>
                <w:color w:val="000000"/>
                <w:sz w:val="18"/>
                <w:szCs w:val="18"/>
                <w:lang w:eastAsia="sl-SI"/>
              </w:rPr>
              <w:t>%</w:t>
            </w:r>
          </w:p>
        </w:tc>
        <w:tc>
          <w:tcPr>
            <w:tcW w:w="839" w:type="pct"/>
            <w:tcBorders>
              <w:top w:val="nil"/>
              <w:left w:val="nil"/>
              <w:bottom w:val="single" w:sz="4" w:space="0" w:color="auto"/>
              <w:right w:val="single" w:sz="4" w:space="0" w:color="auto"/>
            </w:tcBorders>
            <w:shd w:val="clear" w:color="auto" w:fill="auto"/>
            <w:noWrap/>
            <w:vAlign w:val="center"/>
            <w:hideMark/>
          </w:tcPr>
          <w:p w14:paraId="27BA6FFD" w14:textId="20B9674B" w:rsidR="004042C1" w:rsidRPr="004042C1" w:rsidRDefault="004042C1" w:rsidP="004042C1">
            <w:pPr>
              <w:spacing w:after="0" w:line="240" w:lineRule="auto"/>
              <w:jc w:val="right"/>
              <w:rPr>
                <w:rFonts w:ascii="Arial" w:eastAsia="Times New Roman" w:hAnsi="Arial" w:cs="Arial"/>
                <w:color w:val="000000"/>
                <w:sz w:val="18"/>
                <w:szCs w:val="18"/>
                <w:lang w:eastAsia="sl-SI"/>
              </w:rPr>
            </w:pPr>
            <w:r w:rsidRPr="004042C1">
              <w:rPr>
                <w:rFonts w:ascii="Arial" w:eastAsia="Times New Roman" w:hAnsi="Arial" w:cs="Arial"/>
                <w:color w:val="000000"/>
                <w:sz w:val="18"/>
                <w:szCs w:val="18"/>
                <w:lang w:eastAsia="sl-SI"/>
              </w:rPr>
              <w:t>2,16</w:t>
            </w:r>
            <w:r>
              <w:rPr>
                <w:rFonts w:ascii="Arial" w:eastAsia="Times New Roman" w:hAnsi="Arial" w:cs="Arial"/>
                <w:color w:val="000000"/>
                <w:sz w:val="18"/>
                <w:szCs w:val="18"/>
                <w:lang w:eastAsia="sl-SI"/>
              </w:rPr>
              <w:t xml:space="preserve"> </w:t>
            </w:r>
            <w:r w:rsidRPr="004042C1">
              <w:rPr>
                <w:rFonts w:ascii="Arial" w:eastAsia="Times New Roman" w:hAnsi="Arial" w:cs="Arial"/>
                <w:color w:val="000000"/>
                <w:sz w:val="18"/>
                <w:szCs w:val="18"/>
                <w:lang w:eastAsia="sl-SI"/>
              </w:rPr>
              <w:t>%</w:t>
            </w:r>
          </w:p>
        </w:tc>
      </w:tr>
      <w:tr w:rsidR="004042C1" w:rsidRPr="004042C1" w14:paraId="369E1FA2" w14:textId="77777777" w:rsidTr="004042C1">
        <w:trPr>
          <w:trHeight w:val="288"/>
        </w:trPr>
        <w:tc>
          <w:tcPr>
            <w:tcW w:w="210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973B15C" w14:textId="77777777" w:rsidR="004042C1" w:rsidRPr="004042C1" w:rsidRDefault="004042C1" w:rsidP="004042C1">
            <w:pPr>
              <w:spacing w:after="0" w:line="240" w:lineRule="auto"/>
              <w:rPr>
                <w:rFonts w:ascii="Arial" w:eastAsia="Times New Roman" w:hAnsi="Arial" w:cs="Arial"/>
                <w:b/>
                <w:bCs/>
                <w:color w:val="000000"/>
                <w:sz w:val="18"/>
                <w:szCs w:val="18"/>
                <w:lang w:eastAsia="sl-SI"/>
              </w:rPr>
            </w:pPr>
            <w:r w:rsidRPr="004042C1">
              <w:rPr>
                <w:rFonts w:ascii="Arial" w:eastAsia="Times New Roman" w:hAnsi="Arial" w:cs="Arial"/>
                <w:b/>
                <w:bCs/>
                <w:color w:val="000000"/>
                <w:sz w:val="18"/>
                <w:szCs w:val="18"/>
                <w:lang w:eastAsia="sl-SI"/>
              </w:rPr>
              <w:t>Skupaj</w:t>
            </w:r>
          </w:p>
        </w:tc>
        <w:tc>
          <w:tcPr>
            <w:tcW w:w="524" w:type="pct"/>
            <w:tcBorders>
              <w:top w:val="nil"/>
              <w:left w:val="nil"/>
              <w:bottom w:val="single" w:sz="4" w:space="0" w:color="auto"/>
              <w:right w:val="single" w:sz="4" w:space="0" w:color="auto"/>
            </w:tcBorders>
            <w:shd w:val="clear" w:color="auto" w:fill="F2F2F2" w:themeFill="background1" w:themeFillShade="F2"/>
            <w:noWrap/>
            <w:vAlign w:val="center"/>
            <w:hideMark/>
          </w:tcPr>
          <w:p w14:paraId="5667D13D" w14:textId="77777777" w:rsidR="004042C1" w:rsidRPr="004042C1" w:rsidRDefault="004042C1" w:rsidP="004042C1">
            <w:pPr>
              <w:spacing w:after="0" w:line="240" w:lineRule="auto"/>
              <w:jc w:val="right"/>
              <w:rPr>
                <w:rFonts w:ascii="Arial" w:eastAsia="Times New Roman" w:hAnsi="Arial" w:cs="Arial"/>
                <w:b/>
                <w:bCs/>
                <w:color w:val="000000"/>
                <w:sz w:val="18"/>
                <w:szCs w:val="18"/>
                <w:lang w:eastAsia="sl-SI"/>
              </w:rPr>
            </w:pPr>
            <w:r w:rsidRPr="004042C1">
              <w:rPr>
                <w:rFonts w:ascii="Arial" w:eastAsia="Times New Roman" w:hAnsi="Arial" w:cs="Arial"/>
                <w:b/>
                <w:bCs/>
                <w:color w:val="000000"/>
                <w:sz w:val="18"/>
                <w:szCs w:val="18"/>
                <w:lang w:eastAsia="sl-SI"/>
              </w:rPr>
              <w:t>751</w:t>
            </w:r>
          </w:p>
        </w:tc>
        <w:tc>
          <w:tcPr>
            <w:tcW w:w="658" w:type="pct"/>
            <w:tcBorders>
              <w:top w:val="nil"/>
              <w:left w:val="nil"/>
              <w:bottom w:val="single" w:sz="4" w:space="0" w:color="auto"/>
              <w:right w:val="single" w:sz="4" w:space="0" w:color="auto"/>
            </w:tcBorders>
            <w:shd w:val="clear" w:color="auto" w:fill="F2F2F2" w:themeFill="background1" w:themeFillShade="F2"/>
            <w:noWrap/>
            <w:vAlign w:val="center"/>
            <w:hideMark/>
          </w:tcPr>
          <w:p w14:paraId="67D3018D" w14:textId="77777777" w:rsidR="004042C1" w:rsidRPr="004042C1" w:rsidRDefault="004042C1" w:rsidP="004042C1">
            <w:pPr>
              <w:spacing w:after="0" w:line="240" w:lineRule="auto"/>
              <w:jc w:val="right"/>
              <w:rPr>
                <w:rFonts w:ascii="Arial" w:eastAsia="Times New Roman" w:hAnsi="Arial" w:cs="Arial"/>
                <w:b/>
                <w:bCs/>
                <w:color w:val="000000"/>
                <w:sz w:val="18"/>
                <w:szCs w:val="18"/>
                <w:lang w:eastAsia="sl-SI"/>
              </w:rPr>
            </w:pPr>
            <w:r w:rsidRPr="004042C1">
              <w:rPr>
                <w:rFonts w:ascii="Arial" w:eastAsia="Times New Roman" w:hAnsi="Arial" w:cs="Arial"/>
                <w:b/>
                <w:bCs/>
                <w:color w:val="000000"/>
                <w:sz w:val="18"/>
                <w:szCs w:val="18"/>
                <w:lang w:eastAsia="sl-SI"/>
              </w:rPr>
              <w:t>483.778.024</w:t>
            </w:r>
          </w:p>
        </w:tc>
        <w:tc>
          <w:tcPr>
            <w:tcW w:w="870" w:type="pct"/>
            <w:tcBorders>
              <w:top w:val="nil"/>
              <w:left w:val="nil"/>
              <w:bottom w:val="single" w:sz="4" w:space="0" w:color="auto"/>
              <w:right w:val="single" w:sz="4" w:space="0" w:color="auto"/>
            </w:tcBorders>
            <w:shd w:val="clear" w:color="auto" w:fill="F2F2F2" w:themeFill="background1" w:themeFillShade="F2"/>
            <w:noWrap/>
            <w:vAlign w:val="center"/>
            <w:hideMark/>
          </w:tcPr>
          <w:p w14:paraId="24EF69BF" w14:textId="0EDBC7FA" w:rsidR="004042C1" w:rsidRPr="004042C1" w:rsidRDefault="004042C1" w:rsidP="004042C1">
            <w:pPr>
              <w:spacing w:after="0" w:line="240" w:lineRule="auto"/>
              <w:jc w:val="right"/>
              <w:rPr>
                <w:rFonts w:ascii="Arial" w:eastAsia="Times New Roman" w:hAnsi="Arial" w:cs="Arial"/>
                <w:b/>
                <w:bCs/>
                <w:color w:val="000000"/>
                <w:sz w:val="18"/>
                <w:szCs w:val="18"/>
                <w:lang w:eastAsia="sl-SI"/>
              </w:rPr>
            </w:pPr>
            <w:r w:rsidRPr="004042C1">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4042C1">
              <w:rPr>
                <w:rFonts w:ascii="Arial" w:eastAsia="Times New Roman" w:hAnsi="Arial" w:cs="Arial"/>
                <w:b/>
                <w:bCs/>
                <w:color w:val="000000"/>
                <w:sz w:val="18"/>
                <w:szCs w:val="18"/>
                <w:lang w:eastAsia="sl-SI"/>
              </w:rPr>
              <w:t>%</w:t>
            </w:r>
          </w:p>
        </w:tc>
        <w:tc>
          <w:tcPr>
            <w:tcW w:w="839" w:type="pct"/>
            <w:tcBorders>
              <w:top w:val="nil"/>
              <w:left w:val="nil"/>
              <w:bottom w:val="single" w:sz="4" w:space="0" w:color="auto"/>
              <w:right w:val="single" w:sz="4" w:space="0" w:color="auto"/>
            </w:tcBorders>
            <w:shd w:val="clear" w:color="auto" w:fill="F2F2F2" w:themeFill="background1" w:themeFillShade="F2"/>
            <w:noWrap/>
            <w:vAlign w:val="center"/>
            <w:hideMark/>
          </w:tcPr>
          <w:p w14:paraId="0FB890F7" w14:textId="03BC6637" w:rsidR="004042C1" w:rsidRPr="004042C1" w:rsidRDefault="004042C1" w:rsidP="004042C1">
            <w:pPr>
              <w:spacing w:after="0" w:line="240" w:lineRule="auto"/>
              <w:jc w:val="right"/>
              <w:rPr>
                <w:rFonts w:ascii="Arial" w:eastAsia="Times New Roman" w:hAnsi="Arial" w:cs="Arial"/>
                <w:b/>
                <w:bCs/>
                <w:color w:val="000000"/>
                <w:sz w:val="18"/>
                <w:szCs w:val="18"/>
                <w:lang w:eastAsia="sl-SI"/>
              </w:rPr>
            </w:pPr>
            <w:r w:rsidRPr="004042C1">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4042C1">
              <w:rPr>
                <w:rFonts w:ascii="Arial" w:eastAsia="Times New Roman" w:hAnsi="Arial" w:cs="Arial"/>
                <w:b/>
                <w:bCs/>
                <w:color w:val="000000"/>
                <w:sz w:val="18"/>
                <w:szCs w:val="18"/>
                <w:lang w:eastAsia="sl-SI"/>
              </w:rPr>
              <w:t>%</w:t>
            </w:r>
          </w:p>
        </w:tc>
      </w:tr>
    </w:tbl>
    <w:p w14:paraId="42F3F8C4" w14:textId="77777777" w:rsidR="004A613D" w:rsidRPr="00BF7302" w:rsidRDefault="004A613D" w:rsidP="004A613D">
      <w:pPr>
        <w:spacing w:after="0" w:line="240" w:lineRule="auto"/>
        <w:jc w:val="center"/>
        <w:rPr>
          <w:rFonts w:ascii="Arial" w:hAnsi="Arial" w:cs="Arial"/>
          <w:color w:val="000000" w:themeColor="text1"/>
          <w:sz w:val="18"/>
          <w:highlight w:val="yellow"/>
        </w:rPr>
      </w:pPr>
    </w:p>
    <w:p w14:paraId="08DCC262" w14:textId="0EE90477" w:rsidR="00C22535" w:rsidRPr="004042C1" w:rsidRDefault="00C22535" w:rsidP="004A613D">
      <w:pPr>
        <w:spacing w:after="0" w:line="240" w:lineRule="auto"/>
        <w:jc w:val="center"/>
        <w:rPr>
          <w:rFonts w:ascii="Arial" w:hAnsi="Arial" w:cs="Arial"/>
          <w:sz w:val="18"/>
        </w:rPr>
      </w:pPr>
      <w:r w:rsidRPr="004042C1">
        <w:rPr>
          <w:rFonts w:ascii="Arial" w:hAnsi="Arial" w:cs="Arial"/>
          <w:sz w:val="18"/>
        </w:rPr>
        <w:t>Vir: Statistični podatki o javni</w:t>
      </w:r>
      <w:r w:rsidR="00601A40" w:rsidRPr="004042C1">
        <w:rPr>
          <w:rFonts w:ascii="Arial" w:hAnsi="Arial" w:cs="Arial"/>
          <w:sz w:val="18"/>
        </w:rPr>
        <w:t>h naročilih, oddanih v letu 20</w:t>
      </w:r>
      <w:r w:rsidR="00D8275F" w:rsidRPr="004042C1">
        <w:rPr>
          <w:rFonts w:ascii="Arial" w:hAnsi="Arial" w:cs="Arial"/>
          <w:sz w:val="18"/>
        </w:rPr>
        <w:t>2</w:t>
      </w:r>
      <w:r w:rsidR="004042C1" w:rsidRPr="004042C1">
        <w:rPr>
          <w:rFonts w:ascii="Arial" w:hAnsi="Arial" w:cs="Arial"/>
          <w:sz w:val="18"/>
        </w:rPr>
        <w:t>2</w:t>
      </w:r>
      <w:r w:rsidR="00630FBA" w:rsidRPr="004042C1">
        <w:rPr>
          <w:rFonts w:ascii="Arial" w:hAnsi="Arial" w:cs="Arial"/>
          <w:sz w:val="18"/>
        </w:rPr>
        <w:t>.</w:t>
      </w:r>
    </w:p>
    <w:p w14:paraId="1A4DB38B" w14:textId="4E60C902" w:rsidR="0006360B" w:rsidRPr="00BF7302" w:rsidRDefault="0006360B" w:rsidP="00CB7AA8">
      <w:pPr>
        <w:spacing w:line="360" w:lineRule="auto"/>
        <w:jc w:val="both"/>
        <w:rPr>
          <w:rFonts w:ascii="Arial" w:hAnsi="Arial" w:cs="Arial"/>
          <w:sz w:val="20"/>
          <w:szCs w:val="20"/>
          <w:highlight w:val="yellow"/>
        </w:rPr>
      </w:pPr>
    </w:p>
    <w:p w14:paraId="39A20AA9" w14:textId="18F7192D" w:rsidR="00C22535" w:rsidRPr="004F2BA2" w:rsidRDefault="00C22535" w:rsidP="0066593A">
      <w:pPr>
        <w:spacing w:line="360" w:lineRule="auto"/>
        <w:jc w:val="both"/>
        <w:rPr>
          <w:rFonts w:ascii="Arial" w:eastAsia="Times New Roman" w:hAnsi="Arial" w:cs="Arial"/>
          <w:color w:val="000000"/>
          <w:sz w:val="20"/>
          <w:szCs w:val="20"/>
          <w:lang w:eastAsia="sl-SI"/>
        </w:rPr>
      </w:pPr>
      <w:r w:rsidRPr="004F2BA2">
        <w:rPr>
          <w:rFonts w:ascii="Arial" w:hAnsi="Arial" w:cs="Arial"/>
          <w:sz w:val="20"/>
          <w:szCs w:val="20"/>
        </w:rPr>
        <w:t xml:space="preserve">Naročniki so </w:t>
      </w:r>
      <w:r w:rsidR="0001344D" w:rsidRPr="004F2BA2">
        <w:rPr>
          <w:rFonts w:ascii="Arial" w:hAnsi="Arial" w:cs="Arial"/>
          <w:sz w:val="20"/>
          <w:szCs w:val="20"/>
        </w:rPr>
        <w:t>največ skupnih javnih naročil oddali na</w:t>
      </w:r>
      <w:r w:rsidRPr="004F2BA2">
        <w:rPr>
          <w:rFonts w:ascii="Arial" w:hAnsi="Arial" w:cs="Arial"/>
          <w:sz w:val="20"/>
          <w:szCs w:val="20"/>
        </w:rPr>
        <w:t xml:space="preserve"> splošnem po</w:t>
      </w:r>
      <w:r w:rsidR="00B25794" w:rsidRPr="004F2BA2">
        <w:rPr>
          <w:rFonts w:ascii="Arial" w:hAnsi="Arial" w:cs="Arial"/>
          <w:sz w:val="20"/>
          <w:szCs w:val="20"/>
        </w:rPr>
        <w:t xml:space="preserve">dročju, kjer je bilo oddanih </w:t>
      </w:r>
      <w:r w:rsidR="004071E1" w:rsidRPr="004F2BA2">
        <w:rPr>
          <w:rFonts w:ascii="Arial" w:hAnsi="Arial" w:cs="Arial"/>
          <w:sz w:val="20"/>
          <w:szCs w:val="20"/>
        </w:rPr>
        <w:t>690</w:t>
      </w:r>
      <w:r w:rsidR="00630FBA" w:rsidRPr="004F2BA2">
        <w:rPr>
          <w:rFonts w:ascii="Arial" w:hAnsi="Arial" w:cs="Arial"/>
          <w:sz w:val="20"/>
          <w:szCs w:val="20"/>
        </w:rPr>
        <w:t> </w:t>
      </w:r>
      <w:r w:rsidRPr="004F2BA2">
        <w:rPr>
          <w:rFonts w:ascii="Arial" w:hAnsi="Arial" w:cs="Arial"/>
          <w:sz w:val="20"/>
          <w:szCs w:val="20"/>
        </w:rPr>
        <w:t xml:space="preserve">naročil v vrednosti </w:t>
      </w:r>
      <w:r w:rsidR="004071E1" w:rsidRPr="004F2BA2">
        <w:rPr>
          <w:rFonts w:ascii="Arial" w:hAnsi="Arial" w:cs="Arial"/>
          <w:sz w:val="20"/>
          <w:szCs w:val="20"/>
        </w:rPr>
        <w:t xml:space="preserve">448.920.347 </w:t>
      </w:r>
      <w:r w:rsidRPr="004F2BA2">
        <w:rPr>
          <w:rFonts w:ascii="Arial" w:hAnsi="Arial" w:cs="Arial"/>
          <w:sz w:val="20"/>
          <w:szCs w:val="20"/>
        </w:rPr>
        <w:t xml:space="preserve">evrov. </w:t>
      </w:r>
      <w:r w:rsidR="00CB7AA8" w:rsidRPr="004F2BA2">
        <w:rPr>
          <w:rFonts w:ascii="Arial" w:hAnsi="Arial" w:cs="Arial"/>
          <w:sz w:val="20"/>
          <w:szCs w:val="20"/>
        </w:rPr>
        <w:t>Preostala naročila (</w:t>
      </w:r>
      <w:r w:rsidR="004F2BA2" w:rsidRPr="004F2BA2">
        <w:rPr>
          <w:rFonts w:ascii="Arial" w:hAnsi="Arial" w:cs="Arial"/>
          <w:sz w:val="20"/>
          <w:szCs w:val="20"/>
        </w:rPr>
        <w:t>61</w:t>
      </w:r>
      <w:r w:rsidRPr="004F2BA2">
        <w:rPr>
          <w:rFonts w:ascii="Arial" w:hAnsi="Arial" w:cs="Arial"/>
          <w:sz w:val="20"/>
          <w:szCs w:val="20"/>
        </w:rPr>
        <w:t xml:space="preserve"> naročil v vrednosti </w:t>
      </w:r>
      <w:r w:rsidR="004F2BA2" w:rsidRPr="004F2BA2">
        <w:rPr>
          <w:rFonts w:ascii="Arial" w:hAnsi="Arial" w:cs="Arial"/>
          <w:sz w:val="20"/>
          <w:szCs w:val="20"/>
        </w:rPr>
        <w:t xml:space="preserve">34.857.677 </w:t>
      </w:r>
      <w:r w:rsidRPr="004F2BA2">
        <w:rPr>
          <w:rFonts w:ascii="Arial" w:hAnsi="Arial" w:cs="Arial"/>
          <w:sz w:val="20"/>
          <w:szCs w:val="20"/>
        </w:rPr>
        <w:t>evrov) so bila oddana na infrastrukturnem področju.</w:t>
      </w:r>
    </w:p>
    <w:p w14:paraId="63B5782D" w14:textId="26E5143E" w:rsidR="00F155EE" w:rsidRPr="004F2BA2" w:rsidRDefault="00C22535" w:rsidP="00CA3E68">
      <w:pPr>
        <w:spacing w:after="0" w:line="360" w:lineRule="auto"/>
        <w:jc w:val="both"/>
        <w:rPr>
          <w:rFonts w:ascii="Arial" w:eastAsia="Times New Roman" w:hAnsi="Arial" w:cs="Arial"/>
          <w:color w:val="000000"/>
          <w:sz w:val="20"/>
          <w:szCs w:val="20"/>
          <w:lang w:eastAsia="sl-SI"/>
        </w:rPr>
      </w:pPr>
      <w:r w:rsidRPr="004F2BA2">
        <w:rPr>
          <w:rFonts w:ascii="Arial" w:hAnsi="Arial" w:cs="Arial"/>
          <w:sz w:val="20"/>
          <w:szCs w:val="20"/>
        </w:rPr>
        <w:t>Pri skupnih javn</w:t>
      </w:r>
      <w:r w:rsidR="000B6757" w:rsidRPr="004F2BA2">
        <w:rPr>
          <w:rFonts w:ascii="Arial" w:hAnsi="Arial" w:cs="Arial"/>
          <w:sz w:val="20"/>
          <w:szCs w:val="20"/>
        </w:rPr>
        <w:t xml:space="preserve">ih naročilih je bilo </w:t>
      </w:r>
      <w:r w:rsidR="008E09B2" w:rsidRPr="004F2BA2">
        <w:rPr>
          <w:rFonts w:ascii="Arial" w:hAnsi="Arial" w:cs="Arial"/>
          <w:sz w:val="20"/>
          <w:szCs w:val="20"/>
        </w:rPr>
        <w:t xml:space="preserve">leta </w:t>
      </w:r>
      <w:r w:rsidR="000B6757" w:rsidRPr="004F2BA2">
        <w:rPr>
          <w:rFonts w:ascii="Arial" w:hAnsi="Arial" w:cs="Arial"/>
          <w:sz w:val="20"/>
          <w:szCs w:val="20"/>
        </w:rPr>
        <w:t>20</w:t>
      </w:r>
      <w:r w:rsidR="00490BF3" w:rsidRPr="004F2BA2">
        <w:rPr>
          <w:rFonts w:ascii="Arial" w:hAnsi="Arial" w:cs="Arial"/>
          <w:sz w:val="20"/>
          <w:szCs w:val="20"/>
        </w:rPr>
        <w:t>2</w:t>
      </w:r>
      <w:r w:rsidR="004F2BA2" w:rsidRPr="004F2BA2">
        <w:rPr>
          <w:rFonts w:ascii="Arial" w:hAnsi="Arial" w:cs="Arial"/>
          <w:sz w:val="20"/>
          <w:szCs w:val="20"/>
        </w:rPr>
        <w:t>2</w:t>
      </w:r>
      <w:r w:rsidRPr="004F2BA2">
        <w:rPr>
          <w:rFonts w:ascii="Arial" w:hAnsi="Arial" w:cs="Arial"/>
          <w:sz w:val="20"/>
          <w:szCs w:val="20"/>
        </w:rPr>
        <w:t xml:space="preserve"> o</w:t>
      </w:r>
      <w:r w:rsidR="000B6757" w:rsidRPr="004F2BA2">
        <w:rPr>
          <w:rFonts w:ascii="Arial" w:hAnsi="Arial" w:cs="Arial"/>
          <w:sz w:val="20"/>
          <w:szCs w:val="20"/>
        </w:rPr>
        <w:t>ddanih največ naročil blaga (</w:t>
      </w:r>
      <w:r w:rsidR="004F2BA2" w:rsidRPr="004F2BA2">
        <w:rPr>
          <w:rFonts w:ascii="Arial" w:hAnsi="Arial" w:cs="Arial"/>
          <w:sz w:val="20"/>
          <w:szCs w:val="20"/>
        </w:rPr>
        <w:t>580</w:t>
      </w:r>
      <w:r w:rsidRPr="004F2BA2">
        <w:rPr>
          <w:rFonts w:ascii="Arial" w:hAnsi="Arial" w:cs="Arial"/>
          <w:sz w:val="20"/>
          <w:szCs w:val="20"/>
        </w:rPr>
        <w:t xml:space="preserve"> naročil v vrednosti </w:t>
      </w:r>
      <w:r w:rsidR="004F2BA2" w:rsidRPr="004F2BA2">
        <w:rPr>
          <w:rFonts w:ascii="Arial" w:hAnsi="Arial" w:cs="Arial"/>
          <w:sz w:val="20"/>
          <w:szCs w:val="20"/>
        </w:rPr>
        <w:t xml:space="preserve">337.142.458 </w:t>
      </w:r>
      <w:r w:rsidR="00E05A57" w:rsidRPr="004F2BA2">
        <w:rPr>
          <w:rFonts w:ascii="Arial" w:hAnsi="Arial" w:cs="Arial"/>
          <w:sz w:val="20"/>
          <w:szCs w:val="20"/>
        </w:rPr>
        <w:t>evrov</w:t>
      </w:r>
      <w:r w:rsidR="000B68F8" w:rsidRPr="004F2BA2">
        <w:rPr>
          <w:rFonts w:ascii="Arial" w:hAnsi="Arial" w:cs="Arial"/>
          <w:sz w:val="20"/>
          <w:szCs w:val="20"/>
        </w:rPr>
        <w:t>)</w:t>
      </w:r>
      <w:r w:rsidR="00E05A57" w:rsidRPr="004F2BA2">
        <w:rPr>
          <w:rFonts w:ascii="Arial" w:hAnsi="Arial" w:cs="Arial"/>
          <w:sz w:val="20"/>
          <w:szCs w:val="20"/>
        </w:rPr>
        <w:t>.</w:t>
      </w:r>
      <w:r w:rsidRPr="004F2BA2">
        <w:rPr>
          <w:rFonts w:ascii="Arial" w:hAnsi="Arial" w:cs="Arial"/>
          <w:sz w:val="20"/>
          <w:szCs w:val="20"/>
        </w:rPr>
        <w:t xml:space="preserve"> Ta naročila imajo </w:t>
      </w:r>
      <w:r w:rsidR="004F2BA2" w:rsidRPr="004F2BA2">
        <w:rPr>
          <w:rFonts w:ascii="Arial" w:hAnsi="Arial" w:cs="Arial"/>
          <w:sz w:val="20"/>
          <w:szCs w:val="20"/>
        </w:rPr>
        <w:t>77,23</w:t>
      </w:r>
      <w:r w:rsidR="00D33417" w:rsidRPr="004F2BA2">
        <w:rPr>
          <w:rFonts w:ascii="Arial" w:hAnsi="Arial" w:cs="Arial"/>
          <w:sz w:val="20"/>
          <w:szCs w:val="20"/>
        </w:rPr>
        <w:t>-</w:t>
      </w:r>
      <w:r w:rsidRPr="004F2BA2">
        <w:rPr>
          <w:rFonts w:ascii="Arial" w:hAnsi="Arial" w:cs="Arial"/>
          <w:sz w:val="20"/>
          <w:szCs w:val="20"/>
        </w:rPr>
        <w:t xml:space="preserve">odstotni delež v številu vseh skupnih naročil in </w:t>
      </w:r>
      <w:r w:rsidR="002C2457" w:rsidRPr="004F2BA2">
        <w:rPr>
          <w:rFonts w:ascii="Arial" w:hAnsi="Arial" w:cs="Arial"/>
          <w:sz w:val="20"/>
          <w:szCs w:val="20"/>
        </w:rPr>
        <w:t>6</w:t>
      </w:r>
      <w:r w:rsidR="004F2BA2" w:rsidRPr="004F2BA2">
        <w:rPr>
          <w:rFonts w:ascii="Arial" w:hAnsi="Arial" w:cs="Arial"/>
          <w:sz w:val="20"/>
          <w:szCs w:val="20"/>
        </w:rPr>
        <w:t>9</w:t>
      </w:r>
      <w:r w:rsidR="002C2457" w:rsidRPr="004F2BA2">
        <w:rPr>
          <w:rFonts w:ascii="Arial" w:hAnsi="Arial" w:cs="Arial"/>
          <w:sz w:val="20"/>
          <w:szCs w:val="20"/>
        </w:rPr>
        <w:t>,6</w:t>
      </w:r>
      <w:r w:rsidR="004F2BA2" w:rsidRPr="004F2BA2">
        <w:rPr>
          <w:rFonts w:ascii="Arial" w:hAnsi="Arial" w:cs="Arial"/>
          <w:sz w:val="20"/>
          <w:szCs w:val="20"/>
        </w:rPr>
        <w:t>9</w:t>
      </w:r>
      <w:r w:rsidR="00D33417" w:rsidRPr="004F2BA2">
        <w:rPr>
          <w:rFonts w:ascii="Arial" w:hAnsi="Arial" w:cs="Arial"/>
          <w:sz w:val="20"/>
          <w:szCs w:val="20"/>
        </w:rPr>
        <w:t>-</w:t>
      </w:r>
      <w:r w:rsidRPr="004F2BA2">
        <w:rPr>
          <w:rFonts w:ascii="Arial" w:hAnsi="Arial" w:cs="Arial"/>
          <w:sz w:val="20"/>
          <w:szCs w:val="20"/>
        </w:rPr>
        <w:t>odstotni delež v njihovi vrednosti</w:t>
      </w:r>
      <w:r w:rsidR="00864042" w:rsidRPr="004F2BA2">
        <w:rPr>
          <w:rFonts w:ascii="Arial" w:hAnsi="Arial" w:cs="Arial"/>
          <w:sz w:val="20"/>
          <w:szCs w:val="20"/>
        </w:rPr>
        <w:t>.</w:t>
      </w:r>
    </w:p>
    <w:p w14:paraId="48531AB7" w14:textId="77777777" w:rsidR="000F62B6" w:rsidRPr="00BF7302" w:rsidRDefault="000F62B6" w:rsidP="000F62B6">
      <w:pPr>
        <w:spacing w:after="0"/>
        <w:rPr>
          <w:rFonts w:ascii="Arial" w:eastAsia="Times New Roman" w:hAnsi="Arial" w:cs="Arial"/>
          <w:kern w:val="3"/>
          <w:sz w:val="20"/>
          <w:szCs w:val="20"/>
          <w:highlight w:val="yellow"/>
        </w:rPr>
      </w:pPr>
    </w:p>
    <w:p w14:paraId="5197B772" w14:textId="520754BB" w:rsidR="000F5210" w:rsidRPr="004F2BA2" w:rsidRDefault="00C22535" w:rsidP="000F5210">
      <w:pPr>
        <w:spacing w:after="120" w:line="240" w:lineRule="auto"/>
        <w:rPr>
          <w:rFonts w:ascii="Arial" w:hAnsi="Arial" w:cs="Arial"/>
          <w:sz w:val="20"/>
        </w:rPr>
      </w:pPr>
      <w:r w:rsidRPr="004F2BA2">
        <w:rPr>
          <w:rFonts w:ascii="Arial" w:hAnsi="Arial" w:cs="Arial"/>
          <w:sz w:val="20"/>
        </w:rPr>
        <w:lastRenderedPageBreak/>
        <w:t xml:space="preserve">Preglednica </w:t>
      </w:r>
      <w:r w:rsidR="00512F52" w:rsidRPr="004F2BA2">
        <w:rPr>
          <w:rFonts w:ascii="Arial" w:hAnsi="Arial" w:cs="Arial"/>
          <w:sz w:val="20"/>
        </w:rPr>
        <w:t>19</w:t>
      </w:r>
      <w:r w:rsidRPr="004F2BA2">
        <w:rPr>
          <w:rFonts w:ascii="Arial" w:hAnsi="Arial" w:cs="Arial"/>
          <w:sz w:val="20"/>
        </w:rPr>
        <w:t>: Skupno javno naročanje v številu, vrednosti in deležu skupnih javnih naročil glede na predmet naročanja</w:t>
      </w:r>
    </w:p>
    <w:tbl>
      <w:tblPr>
        <w:tblW w:w="7440" w:type="dxa"/>
        <w:jc w:val="center"/>
        <w:tblCellMar>
          <w:left w:w="70" w:type="dxa"/>
          <w:right w:w="70" w:type="dxa"/>
        </w:tblCellMar>
        <w:tblLook w:val="04A0" w:firstRow="1" w:lastRow="0" w:firstColumn="1" w:lastColumn="0" w:noHBand="0" w:noVBand="1"/>
      </w:tblPr>
      <w:tblGrid>
        <w:gridCol w:w="1276"/>
        <w:gridCol w:w="1134"/>
        <w:gridCol w:w="1559"/>
        <w:gridCol w:w="1701"/>
        <w:gridCol w:w="1770"/>
      </w:tblGrid>
      <w:tr w:rsidR="00490BF3" w:rsidRPr="004F2BA2" w14:paraId="05D6B0F9" w14:textId="77777777" w:rsidTr="00CD447F">
        <w:trPr>
          <w:trHeight w:val="255"/>
          <w:jc w:val="center"/>
        </w:trPr>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A6566B" w14:textId="77777777" w:rsidR="00490BF3" w:rsidRPr="004F2BA2" w:rsidRDefault="00490BF3" w:rsidP="00490BF3">
            <w:pPr>
              <w:spacing w:after="0" w:line="240" w:lineRule="auto"/>
              <w:jc w:val="center"/>
              <w:rPr>
                <w:rFonts w:ascii="Arial" w:eastAsia="Times New Roman" w:hAnsi="Arial" w:cs="Arial"/>
                <w:color w:val="000000"/>
                <w:sz w:val="18"/>
                <w:szCs w:val="18"/>
                <w:lang w:eastAsia="sl-SI"/>
              </w:rPr>
            </w:pPr>
            <w:r w:rsidRPr="004F2BA2">
              <w:rPr>
                <w:rFonts w:ascii="Arial" w:eastAsia="Times New Roman" w:hAnsi="Arial" w:cs="Arial"/>
                <w:color w:val="000000"/>
                <w:sz w:val="18"/>
                <w:szCs w:val="18"/>
                <w:lang w:eastAsia="sl-SI"/>
              </w:rPr>
              <w:t>Predmet</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94DF76D" w14:textId="77777777" w:rsidR="00490BF3" w:rsidRPr="004F2BA2" w:rsidRDefault="00490BF3" w:rsidP="00490BF3">
            <w:pPr>
              <w:spacing w:after="0" w:line="240" w:lineRule="auto"/>
              <w:jc w:val="center"/>
              <w:rPr>
                <w:rFonts w:ascii="Arial" w:eastAsia="Times New Roman" w:hAnsi="Arial" w:cs="Arial"/>
                <w:color w:val="000000"/>
                <w:sz w:val="18"/>
                <w:szCs w:val="18"/>
                <w:lang w:eastAsia="sl-SI"/>
              </w:rPr>
            </w:pPr>
            <w:r w:rsidRPr="004F2BA2">
              <w:rPr>
                <w:rFonts w:ascii="Arial" w:eastAsia="Times New Roman" w:hAnsi="Arial" w:cs="Arial"/>
                <w:color w:val="000000"/>
                <w:sz w:val="18"/>
                <w:szCs w:val="18"/>
                <w:lang w:eastAsia="sl-SI"/>
              </w:rPr>
              <w:t>Št. naročil</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F19DF0D" w14:textId="77777777" w:rsidR="00490BF3" w:rsidRPr="004F2BA2" w:rsidRDefault="00490BF3" w:rsidP="00490BF3">
            <w:pPr>
              <w:spacing w:after="0" w:line="240" w:lineRule="auto"/>
              <w:jc w:val="center"/>
              <w:rPr>
                <w:rFonts w:ascii="Arial" w:eastAsia="Times New Roman" w:hAnsi="Arial" w:cs="Arial"/>
                <w:color w:val="000000"/>
                <w:sz w:val="18"/>
                <w:szCs w:val="18"/>
                <w:lang w:eastAsia="sl-SI"/>
              </w:rPr>
            </w:pPr>
            <w:r w:rsidRPr="004F2BA2">
              <w:rPr>
                <w:rFonts w:ascii="Arial" w:eastAsia="Times New Roman" w:hAnsi="Arial" w:cs="Arial"/>
                <w:color w:val="000000"/>
                <w:sz w:val="18"/>
                <w:szCs w:val="18"/>
                <w:lang w:eastAsia="sl-SI"/>
              </w:rPr>
              <w:t>Pogodbena vrednost</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E8EB005" w14:textId="77777777" w:rsidR="00490BF3" w:rsidRPr="004F2BA2" w:rsidRDefault="00490BF3" w:rsidP="00490BF3">
            <w:pPr>
              <w:spacing w:after="0" w:line="240" w:lineRule="auto"/>
              <w:jc w:val="center"/>
              <w:rPr>
                <w:rFonts w:ascii="Arial" w:eastAsia="Times New Roman" w:hAnsi="Arial" w:cs="Arial"/>
                <w:color w:val="000000"/>
                <w:sz w:val="18"/>
                <w:szCs w:val="18"/>
                <w:lang w:eastAsia="sl-SI"/>
              </w:rPr>
            </w:pPr>
            <w:r w:rsidRPr="004F2BA2">
              <w:rPr>
                <w:rFonts w:ascii="Arial" w:eastAsia="Times New Roman" w:hAnsi="Arial" w:cs="Arial"/>
                <w:color w:val="000000"/>
                <w:sz w:val="18"/>
                <w:szCs w:val="18"/>
                <w:lang w:eastAsia="sl-SI"/>
              </w:rPr>
              <w:t>Delež v št. skupnih naročil</w:t>
            </w:r>
          </w:p>
        </w:tc>
        <w:tc>
          <w:tcPr>
            <w:tcW w:w="177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3036F6F" w14:textId="77777777" w:rsidR="00490BF3" w:rsidRPr="004F2BA2" w:rsidRDefault="00490BF3" w:rsidP="00490BF3">
            <w:pPr>
              <w:spacing w:after="0" w:line="240" w:lineRule="auto"/>
              <w:jc w:val="center"/>
              <w:rPr>
                <w:rFonts w:ascii="Arial" w:eastAsia="Times New Roman" w:hAnsi="Arial" w:cs="Arial"/>
                <w:color w:val="000000"/>
                <w:sz w:val="18"/>
                <w:szCs w:val="18"/>
                <w:lang w:eastAsia="sl-SI"/>
              </w:rPr>
            </w:pPr>
            <w:r w:rsidRPr="004F2BA2">
              <w:rPr>
                <w:rFonts w:ascii="Arial" w:eastAsia="Times New Roman" w:hAnsi="Arial" w:cs="Arial"/>
                <w:color w:val="000000"/>
                <w:sz w:val="18"/>
                <w:szCs w:val="18"/>
                <w:lang w:eastAsia="sl-SI"/>
              </w:rPr>
              <w:t>Delež v vrednosti skupnih naročil</w:t>
            </w:r>
          </w:p>
        </w:tc>
      </w:tr>
      <w:tr w:rsidR="004F2BA2" w:rsidRPr="004F2BA2" w14:paraId="1D46E51A" w14:textId="77777777" w:rsidTr="004F2BA2">
        <w:trPr>
          <w:trHeight w:val="255"/>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84FE40D" w14:textId="77777777" w:rsidR="004F2BA2" w:rsidRPr="004F2BA2" w:rsidRDefault="004F2BA2" w:rsidP="004F2BA2">
            <w:pPr>
              <w:spacing w:after="0" w:line="240" w:lineRule="auto"/>
              <w:rPr>
                <w:rFonts w:ascii="Arial" w:eastAsia="Times New Roman" w:hAnsi="Arial" w:cs="Arial"/>
                <w:color w:val="000000"/>
                <w:sz w:val="18"/>
                <w:szCs w:val="18"/>
                <w:lang w:eastAsia="sl-SI"/>
              </w:rPr>
            </w:pPr>
            <w:r w:rsidRPr="004F2BA2">
              <w:rPr>
                <w:rFonts w:ascii="Arial" w:eastAsia="Times New Roman" w:hAnsi="Arial" w:cs="Arial"/>
                <w:color w:val="000000"/>
                <w:sz w:val="18"/>
                <w:szCs w:val="18"/>
                <w:lang w:eastAsia="sl-SI"/>
              </w:rPr>
              <w:t>Blago</w:t>
            </w:r>
          </w:p>
        </w:tc>
        <w:tc>
          <w:tcPr>
            <w:tcW w:w="1134" w:type="dxa"/>
            <w:tcBorders>
              <w:top w:val="nil"/>
              <w:left w:val="nil"/>
              <w:bottom w:val="single" w:sz="4" w:space="0" w:color="auto"/>
              <w:right w:val="single" w:sz="4" w:space="0" w:color="auto"/>
            </w:tcBorders>
            <w:shd w:val="clear" w:color="auto" w:fill="auto"/>
            <w:vAlign w:val="center"/>
            <w:hideMark/>
          </w:tcPr>
          <w:p w14:paraId="4BEC84EA" w14:textId="04B3FD75" w:rsidR="004F2BA2" w:rsidRPr="004F2BA2" w:rsidRDefault="004F2BA2" w:rsidP="004F2BA2">
            <w:pPr>
              <w:spacing w:after="0" w:line="240" w:lineRule="auto"/>
              <w:jc w:val="right"/>
              <w:rPr>
                <w:rFonts w:ascii="Arial" w:eastAsia="Times New Roman" w:hAnsi="Arial" w:cs="Arial"/>
                <w:color w:val="000000"/>
                <w:sz w:val="18"/>
                <w:szCs w:val="18"/>
                <w:lang w:eastAsia="sl-SI"/>
              </w:rPr>
            </w:pPr>
            <w:r w:rsidRPr="004F2BA2">
              <w:rPr>
                <w:rFonts w:ascii="Arial" w:eastAsia="Times New Roman" w:hAnsi="Arial" w:cs="Arial"/>
                <w:color w:val="000000"/>
                <w:sz w:val="18"/>
                <w:szCs w:val="18"/>
                <w:lang w:eastAsia="sl-SI"/>
              </w:rPr>
              <w:t>580</w:t>
            </w:r>
          </w:p>
        </w:tc>
        <w:tc>
          <w:tcPr>
            <w:tcW w:w="1559" w:type="dxa"/>
            <w:tcBorders>
              <w:top w:val="nil"/>
              <w:left w:val="nil"/>
              <w:bottom w:val="single" w:sz="4" w:space="0" w:color="auto"/>
              <w:right w:val="single" w:sz="4" w:space="0" w:color="auto"/>
            </w:tcBorders>
            <w:shd w:val="clear" w:color="auto" w:fill="auto"/>
            <w:vAlign w:val="center"/>
            <w:hideMark/>
          </w:tcPr>
          <w:p w14:paraId="4BB3D5B5" w14:textId="4610999E" w:rsidR="004F2BA2" w:rsidRPr="004F2BA2" w:rsidRDefault="004F2BA2" w:rsidP="004F2BA2">
            <w:pPr>
              <w:spacing w:after="0" w:line="240" w:lineRule="auto"/>
              <w:jc w:val="right"/>
              <w:rPr>
                <w:rFonts w:ascii="Arial" w:eastAsia="Times New Roman" w:hAnsi="Arial" w:cs="Arial"/>
                <w:color w:val="000000"/>
                <w:sz w:val="18"/>
                <w:szCs w:val="18"/>
                <w:lang w:eastAsia="sl-SI"/>
              </w:rPr>
            </w:pPr>
            <w:r w:rsidRPr="004F2BA2">
              <w:rPr>
                <w:rFonts w:ascii="Arial" w:eastAsia="Times New Roman" w:hAnsi="Arial" w:cs="Arial"/>
                <w:color w:val="000000"/>
                <w:sz w:val="18"/>
                <w:szCs w:val="18"/>
                <w:lang w:eastAsia="sl-SI"/>
              </w:rPr>
              <w:t>337.142.458</w:t>
            </w:r>
          </w:p>
        </w:tc>
        <w:tc>
          <w:tcPr>
            <w:tcW w:w="1701" w:type="dxa"/>
            <w:tcBorders>
              <w:top w:val="nil"/>
              <w:left w:val="nil"/>
              <w:bottom w:val="single" w:sz="4" w:space="0" w:color="auto"/>
              <w:right w:val="single" w:sz="4" w:space="0" w:color="auto"/>
            </w:tcBorders>
            <w:shd w:val="clear" w:color="auto" w:fill="auto"/>
            <w:noWrap/>
            <w:vAlign w:val="center"/>
            <w:hideMark/>
          </w:tcPr>
          <w:p w14:paraId="4D1A4C48" w14:textId="2C16344D" w:rsidR="004F2BA2" w:rsidRPr="004F2BA2" w:rsidRDefault="004F2BA2" w:rsidP="004F2BA2">
            <w:pPr>
              <w:spacing w:after="0" w:line="240" w:lineRule="auto"/>
              <w:jc w:val="right"/>
              <w:rPr>
                <w:rFonts w:ascii="Arial" w:eastAsia="Times New Roman" w:hAnsi="Arial" w:cs="Arial"/>
                <w:color w:val="000000"/>
                <w:sz w:val="18"/>
                <w:szCs w:val="18"/>
                <w:lang w:eastAsia="sl-SI"/>
              </w:rPr>
            </w:pPr>
            <w:r w:rsidRPr="004F2BA2">
              <w:rPr>
                <w:rFonts w:ascii="Arial" w:eastAsia="Times New Roman" w:hAnsi="Arial" w:cs="Arial"/>
                <w:color w:val="000000"/>
                <w:sz w:val="18"/>
                <w:szCs w:val="18"/>
                <w:lang w:eastAsia="sl-SI"/>
              </w:rPr>
              <w:t>77,23 %</w:t>
            </w:r>
          </w:p>
        </w:tc>
        <w:tc>
          <w:tcPr>
            <w:tcW w:w="1770" w:type="dxa"/>
            <w:tcBorders>
              <w:top w:val="nil"/>
              <w:left w:val="nil"/>
              <w:bottom w:val="single" w:sz="4" w:space="0" w:color="auto"/>
              <w:right w:val="single" w:sz="4" w:space="0" w:color="auto"/>
            </w:tcBorders>
            <w:shd w:val="clear" w:color="auto" w:fill="auto"/>
            <w:noWrap/>
            <w:vAlign w:val="center"/>
            <w:hideMark/>
          </w:tcPr>
          <w:p w14:paraId="04ED4399" w14:textId="52EF6B79" w:rsidR="004F2BA2" w:rsidRPr="004F2BA2" w:rsidRDefault="004F2BA2" w:rsidP="004F2BA2">
            <w:pPr>
              <w:spacing w:after="0" w:line="240" w:lineRule="auto"/>
              <w:jc w:val="right"/>
              <w:rPr>
                <w:rFonts w:ascii="Arial" w:eastAsia="Times New Roman" w:hAnsi="Arial" w:cs="Arial"/>
                <w:color w:val="000000"/>
                <w:sz w:val="18"/>
                <w:szCs w:val="18"/>
                <w:lang w:eastAsia="sl-SI"/>
              </w:rPr>
            </w:pPr>
            <w:r w:rsidRPr="004F2BA2">
              <w:rPr>
                <w:rFonts w:ascii="Arial" w:eastAsia="Times New Roman" w:hAnsi="Arial" w:cs="Arial"/>
                <w:color w:val="000000"/>
                <w:sz w:val="18"/>
                <w:szCs w:val="18"/>
                <w:lang w:eastAsia="sl-SI"/>
              </w:rPr>
              <w:t>69,69 %</w:t>
            </w:r>
          </w:p>
        </w:tc>
      </w:tr>
      <w:tr w:rsidR="004F2BA2" w:rsidRPr="004F2BA2" w14:paraId="61968AB5" w14:textId="77777777" w:rsidTr="004F2BA2">
        <w:trPr>
          <w:trHeight w:val="255"/>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3CFE9D7" w14:textId="77777777" w:rsidR="004F2BA2" w:rsidRPr="004F2BA2" w:rsidRDefault="004F2BA2" w:rsidP="004F2BA2">
            <w:pPr>
              <w:spacing w:after="0" w:line="240" w:lineRule="auto"/>
              <w:rPr>
                <w:rFonts w:ascii="Arial" w:eastAsia="Times New Roman" w:hAnsi="Arial" w:cs="Arial"/>
                <w:color w:val="000000"/>
                <w:sz w:val="18"/>
                <w:szCs w:val="18"/>
                <w:lang w:eastAsia="sl-SI"/>
              </w:rPr>
            </w:pPr>
            <w:r w:rsidRPr="004F2BA2">
              <w:rPr>
                <w:rFonts w:ascii="Arial" w:eastAsia="Times New Roman" w:hAnsi="Arial" w:cs="Arial"/>
                <w:color w:val="000000"/>
                <w:sz w:val="18"/>
                <w:szCs w:val="18"/>
                <w:lang w:eastAsia="sl-SI"/>
              </w:rPr>
              <w:t>Storitve</w:t>
            </w:r>
          </w:p>
        </w:tc>
        <w:tc>
          <w:tcPr>
            <w:tcW w:w="1134" w:type="dxa"/>
            <w:tcBorders>
              <w:top w:val="nil"/>
              <w:left w:val="nil"/>
              <w:bottom w:val="single" w:sz="4" w:space="0" w:color="auto"/>
              <w:right w:val="single" w:sz="4" w:space="0" w:color="auto"/>
            </w:tcBorders>
            <w:shd w:val="clear" w:color="auto" w:fill="auto"/>
            <w:vAlign w:val="center"/>
            <w:hideMark/>
          </w:tcPr>
          <w:p w14:paraId="1A4ABD51" w14:textId="4550C888" w:rsidR="004F2BA2" w:rsidRPr="004F2BA2" w:rsidRDefault="004F2BA2" w:rsidP="004F2BA2">
            <w:pPr>
              <w:spacing w:after="0" w:line="240" w:lineRule="auto"/>
              <w:jc w:val="right"/>
              <w:rPr>
                <w:rFonts w:ascii="Arial" w:eastAsia="Times New Roman" w:hAnsi="Arial" w:cs="Arial"/>
                <w:color w:val="000000"/>
                <w:sz w:val="18"/>
                <w:szCs w:val="18"/>
                <w:lang w:eastAsia="sl-SI"/>
              </w:rPr>
            </w:pPr>
            <w:r w:rsidRPr="004F2BA2">
              <w:rPr>
                <w:rFonts w:ascii="Arial" w:eastAsia="Times New Roman" w:hAnsi="Arial" w:cs="Arial"/>
                <w:color w:val="000000"/>
                <w:sz w:val="18"/>
                <w:szCs w:val="18"/>
                <w:lang w:eastAsia="sl-SI"/>
              </w:rPr>
              <w:t>111</w:t>
            </w:r>
          </w:p>
        </w:tc>
        <w:tc>
          <w:tcPr>
            <w:tcW w:w="1559" w:type="dxa"/>
            <w:tcBorders>
              <w:top w:val="nil"/>
              <w:left w:val="nil"/>
              <w:bottom w:val="single" w:sz="4" w:space="0" w:color="auto"/>
              <w:right w:val="single" w:sz="4" w:space="0" w:color="auto"/>
            </w:tcBorders>
            <w:shd w:val="clear" w:color="auto" w:fill="auto"/>
            <w:vAlign w:val="center"/>
            <w:hideMark/>
          </w:tcPr>
          <w:p w14:paraId="404D8898" w14:textId="2A64D790" w:rsidR="004F2BA2" w:rsidRPr="004F2BA2" w:rsidRDefault="004F2BA2" w:rsidP="004F2BA2">
            <w:pPr>
              <w:spacing w:after="0" w:line="240" w:lineRule="auto"/>
              <w:jc w:val="right"/>
              <w:rPr>
                <w:rFonts w:ascii="Arial" w:eastAsia="Times New Roman" w:hAnsi="Arial" w:cs="Arial"/>
                <w:color w:val="000000"/>
                <w:sz w:val="18"/>
                <w:szCs w:val="18"/>
                <w:lang w:eastAsia="sl-SI"/>
              </w:rPr>
            </w:pPr>
            <w:r w:rsidRPr="004F2BA2">
              <w:rPr>
                <w:rFonts w:ascii="Arial" w:eastAsia="Times New Roman" w:hAnsi="Arial" w:cs="Arial"/>
                <w:color w:val="000000"/>
                <w:sz w:val="18"/>
                <w:szCs w:val="18"/>
                <w:lang w:eastAsia="sl-SI"/>
              </w:rPr>
              <w:t>41.780.243</w:t>
            </w:r>
          </w:p>
        </w:tc>
        <w:tc>
          <w:tcPr>
            <w:tcW w:w="1701" w:type="dxa"/>
            <w:tcBorders>
              <w:top w:val="nil"/>
              <w:left w:val="nil"/>
              <w:bottom w:val="single" w:sz="4" w:space="0" w:color="auto"/>
              <w:right w:val="single" w:sz="4" w:space="0" w:color="auto"/>
            </w:tcBorders>
            <w:shd w:val="clear" w:color="auto" w:fill="auto"/>
            <w:noWrap/>
            <w:vAlign w:val="center"/>
            <w:hideMark/>
          </w:tcPr>
          <w:p w14:paraId="797E0396" w14:textId="6AE12797" w:rsidR="004F2BA2" w:rsidRPr="004F2BA2" w:rsidRDefault="004F2BA2" w:rsidP="004F2BA2">
            <w:pPr>
              <w:spacing w:after="0" w:line="240" w:lineRule="auto"/>
              <w:jc w:val="right"/>
              <w:rPr>
                <w:rFonts w:ascii="Arial" w:eastAsia="Times New Roman" w:hAnsi="Arial" w:cs="Arial"/>
                <w:color w:val="000000"/>
                <w:sz w:val="18"/>
                <w:szCs w:val="18"/>
                <w:lang w:eastAsia="sl-SI"/>
              </w:rPr>
            </w:pPr>
            <w:r w:rsidRPr="004F2BA2">
              <w:rPr>
                <w:rFonts w:ascii="Arial" w:eastAsia="Times New Roman" w:hAnsi="Arial" w:cs="Arial"/>
                <w:color w:val="000000"/>
                <w:sz w:val="18"/>
                <w:szCs w:val="18"/>
                <w:lang w:eastAsia="sl-SI"/>
              </w:rPr>
              <w:t>14,78 %</w:t>
            </w:r>
          </w:p>
        </w:tc>
        <w:tc>
          <w:tcPr>
            <w:tcW w:w="1770" w:type="dxa"/>
            <w:tcBorders>
              <w:top w:val="nil"/>
              <w:left w:val="nil"/>
              <w:bottom w:val="single" w:sz="4" w:space="0" w:color="auto"/>
              <w:right w:val="single" w:sz="4" w:space="0" w:color="auto"/>
            </w:tcBorders>
            <w:shd w:val="clear" w:color="auto" w:fill="auto"/>
            <w:noWrap/>
            <w:vAlign w:val="center"/>
            <w:hideMark/>
          </w:tcPr>
          <w:p w14:paraId="725C7F8F" w14:textId="45FADEFE" w:rsidR="004F2BA2" w:rsidRPr="004F2BA2" w:rsidRDefault="004F2BA2" w:rsidP="004F2BA2">
            <w:pPr>
              <w:spacing w:after="0" w:line="240" w:lineRule="auto"/>
              <w:jc w:val="right"/>
              <w:rPr>
                <w:rFonts w:ascii="Arial" w:eastAsia="Times New Roman" w:hAnsi="Arial" w:cs="Arial"/>
                <w:color w:val="000000"/>
                <w:sz w:val="18"/>
                <w:szCs w:val="18"/>
                <w:lang w:eastAsia="sl-SI"/>
              </w:rPr>
            </w:pPr>
            <w:r w:rsidRPr="004F2BA2">
              <w:rPr>
                <w:rFonts w:ascii="Arial" w:eastAsia="Times New Roman" w:hAnsi="Arial" w:cs="Arial"/>
                <w:color w:val="000000"/>
                <w:sz w:val="18"/>
                <w:szCs w:val="18"/>
                <w:lang w:eastAsia="sl-SI"/>
              </w:rPr>
              <w:t>8,64 %</w:t>
            </w:r>
          </w:p>
        </w:tc>
      </w:tr>
      <w:tr w:rsidR="004F2BA2" w:rsidRPr="004F2BA2" w14:paraId="76279AAD" w14:textId="77777777" w:rsidTr="004F2BA2">
        <w:trPr>
          <w:trHeight w:val="255"/>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7542209" w14:textId="77777777" w:rsidR="004F2BA2" w:rsidRPr="004F2BA2" w:rsidRDefault="004F2BA2" w:rsidP="004F2BA2">
            <w:pPr>
              <w:spacing w:after="0" w:line="240" w:lineRule="auto"/>
              <w:rPr>
                <w:rFonts w:ascii="Arial" w:eastAsia="Times New Roman" w:hAnsi="Arial" w:cs="Arial"/>
                <w:color w:val="000000"/>
                <w:sz w:val="18"/>
                <w:szCs w:val="18"/>
                <w:lang w:eastAsia="sl-SI"/>
              </w:rPr>
            </w:pPr>
            <w:r w:rsidRPr="004F2BA2">
              <w:rPr>
                <w:rFonts w:ascii="Arial" w:eastAsia="Times New Roman" w:hAnsi="Arial" w:cs="Arial"/>
                <w:color w:val="000000"/>
                <w:sz w:val="18"/>
                <w:szCs w:val="18"/>
                <w:lang w:eastAsia="sl-SI"/>
              </w:rPr>
              <w:t>Gradnje</w:t>
            </w:r>
          </w:p>
        </w:tc>
        <w:tc>
          <w:tcPr>
            <w:tcW w:w="1134" w:type="dxa"/>
            <w:tcBorders>
              <w:top w:val="nil"/>
              <w:left w:val="nil"/>
              <w:bottom w:val="single" w:sz="4" w:space="0" w:color="auto"/>
              <w:right w:val="single" w:sz="4" w:space="0" w:color="auto"/>
            </w:tcBorders>
            <w:shd w:val="clear" w:color="auto" w:fill="auto"/>
            <w:vAlign w:val="center"/>
            <w:hideMark/>
          </w:tcPr>
          <w:p w14:paraId="21AA9CC5" w14:textId="4DCB97E1" w:rsidR="004F2BA2" w:rsidRPr="004F2BA2" w:rsidRDefault="004F2BA2" w:rsidP="004F2BA2">
            <w:pPr>
              <w:spacing w:after="0" w:line="240" w:lineRule="auto"/>
              <w:jc w:val="right"/>
              <w:rPr>
                <w:rFonts w:ascii="Arial" w:eastAsia="Times New Roman" w:hAnsi="Arial" w:cs="Arial"/>
                <w:color w:val="000000"/>
                <w:sz w:val="18"/>
                <w:szCs w:val="18"/>
                <w:lang w:eastAsia="sl-SI"/>
              </w:rPr>
            </w:pPr>
            <w:r w:rsidRPr="004F2BA2">
              <w:rPr>
                <w:rFonts w:ascii="Arial" w:eastAsia="Times New Roman" w:hAnsi="Arial" w:cs="Arial"/>
                <w:color w:val="000000"/>
                <w:sz w:val="18"/>
                <w:szCs w:val="18"/>
                <w:lang w:eastAsia="sl-SI"/>
              </w:rPr>
              <w:t>60</w:t>
            </w:r>
          </w:p>
        </w:tc>
        <w:tc>
          <w:tcPr>
            <w:tcW w:w="1559" w:type="dxa"/>
            <w:tcBorders>
              <w:top w:val="nil"/>
              <w:left w:val="nil"/>
              <w:bottom w:val="single" w:sz="4" w:space="0" w:color="auto"/>
              <w:right w:val="single" w:sz="4" w:space="0" w:color="auto"/>
            </w:tcBorders>
            <w:shd w:val="clear" w:color="auto" w:fill="auto"/>
            <w:vAlign w:val="center"/>
            <w:hideMark/>
          </w:tcPr>
          <w:p w14:paraId="294D01D1" w14:textId="6F58AD69" w:rsidR="004F2BA2" w:rsidRPr="004F2BA2" w:rsidRDefault="004F2BA2" w:rsidP="004F2BA2">
            <w:pPr>
              <w:spacing w:after="0" w:line="240" w:lineRule="auto"/>
              <w:jc w:val="right"/>
              <w:rPr>
                <w:rFonts w:ascii="Arial" w:eastAsia="Times New Roman" w:hAnsi="Arial" w:cs="Arial"/>
                <w:color w:val="000000"/>
                <w:sz w:val="18"/>
                <w:szCs w:val="18"/>
                <w:lang w:eastAsia="sl-SI"/>
              </w:rPr>
            </w:pPr>
            <w:r w:rsidRPr="004F2BA2">
              <w:rPr>
                <w:rFonts w:ascii="Arial" w:eastAsia="Times New Roman" w:hAnsi="Arial" w:cs="Arial"/>
                <w:color w:val="000000"/>
                <w:sz w:val="18"/>
                <w:szCs w:val="18"/>
                <w:lang w:eastAsia="sl-SI"/>
              </w:rPr>
              <w:t>104.855.323</w:t>
            </w:r>
          </w:p>
        </w:tc>
        <w:tc>
          <w:tcPr>
            <w:tcW w:w="1701" w:type="dxa"/>
            <w:tcBorders>
              <w:top w:val="nil"/>
              <w:left w:val="nil"/>
              <w:bottom w:val="single" w:sz="4" w:space="0" w:color="auto"/>
              <w:right w:val="single" w:sz="4" w:space="0" w:color="auto"/>
            </w:tcBorders>
            <w:shd w:val="clear" w:color="auto" w:fill="auto"/>
            <w:noWrap/>
            <w:vAlign w:val="center"/>
            <w:hideMark/>
          </w:tcPr>
          <w:p w14:paraId="0A4B7703" w14:textId="5AB8BFD8" w:rsidR="004F2BA2" w:rsidRPr="004F2BA2" w:rsidRDefault="004F2BA2" w:rsidP="004F2BA2">
            <w:pPr>
              <w:spacing w:after="0" w:line="240" w:lineRule="auto"/>
              <w:jc w:val="right"/>
              <w:rPr>
                <w:rFonts w:ascii="Arial" w:eastAsia="Times New Roman" w:hAnsi="Arial" w:cs="Arial"/>
                <w:color w:val="000000"/>
                <w:sz w:val="18"/>
                <w:szCs w:val="18"/>
                <w:lang w:eastAsia="sl-SI"/>
              </w:rPr>
            </w:pPr>
            <w:r w:rsidRPr="004F2BA2">
              <w:rPr>
                <w:rFonts w:ascii="Arial" w:eastAsia="Times New Roman" w:hAnsi="Arial" w:cs="Arial"/>
                <w:color w:val="000000"/>
                <w:sz w:val="18"/>
                <w:szCs w:val="18"/>
                <w:lang w:eastAsia="sl-SI"/>
              </w:rPr>
              <w:t>7,99 %</w:t>
            </w:r>
          </w:p>
        </w:tc>
        <w:tc>
          <w:tcPr>
            <w:tcW w:w="1770" w:type="dxa"/>
            <w:tcBorders>
              <w:top w:val="nil"/>
              <w:left w:val="nil"/>
              <w:bottom w:val="single" w:sz="4" w:space="0" w:color="auto"/>
              <w:right w:val="single" w:sz="4" w:space="0" w:color="auto"/>
            </w:tcBorders>
            <w:shd w:val="clear" w:color="auto" w:fill="auto"/>
            <w:noWrap/>
            <w:vAlign w:val="center"/>
            <w:hideMark/>
          </w:tcPr>
          <w:p w14:paraId="0C215787" w14:textId="44498E8A" w:rsidR="004F2BA2" w:rsidRPr="004F2BA2" w:rsidRDefault="004F2BA2" w:rsidP="004F2BA2">
            <w:pPr>
              <w:spacing w:after="0" w:line="240" w:lineRule="auto"/>
              <w:jc w:val="right"/>
              <w:rPr>
                <w:rFonts w:ascii="Arial" w:eastAsia="Times New Roman" w:hAnsi="Arial" w:cs="Arial"/>
                <w:color w:val="000000"/>
                <w:sz w:val="18"/>
                <w:szCs w:val="18"/>
                <w:lang w:eastAsia="sl-SI"/>
              </w:rPr>
            </w:pPr>
            <w:r w:rsidRPr="004F2BA2">
              <w:rPr>
                <w:rFonts w:ascii="Arial" w:eastAsia="Times New Roman" w:hAnsi="Arial" w:cs="Arial"/>
                <w:color w:val="000000"/>
                <w:sz w:val="18"/>
                <w:szCs w:val="18"/>
                <w:lang w:eastAsia="sl-SI"/>
              </w:rPr>
              <w:t>21,67 %</w:t>
            </w:r>
          </w:p>
        </w:tc>
      </w:tr>
      <w:tr w:rsidR="004F2BA2" w:rsidRPr="004F2BA2" w14:paraId="63B540F9" w14:textId="77777777" w:rsidTr="004F2BA2">
        <w:trPr>
          <w:trHeight w:val="255"/>
          <w:jc w:val="center"/>
        </w:trPr>
        <w:tc>
          <w:tcPr>
            <w:tcW w:w="127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865C75F" w14:textId="77777777" w:rsidR="004F2BA2" w:rsidRPr="004F2BA2" w:rsidRDefault="004F2BA2" w:rsidP="004F2BA2">
            <w:pPr>
              <w:spacing w:after="0" w:line="240" w:lineRule="auto"/>
              <w:rPr>
                <w:rFonts w:ascii="Arial" w:eastAsia="Times New Roman" w:hAnsi="Arial" w:cs="Arial"/>
                <w:b/>
                <w:bCs/>
                <w:color w:val="000000"/>
                <w:sz w:val="18"/>
                <w:szCs w:val="18"/>
                <w:lang w:eastAsia="sl-SI"/>
              </w:rPr>
            </w:pPr>
            <w:r w:rsidRPr="004F2BA2">
              <w:rPr>
                <w:rFonts w:ascii="Arial" w:eastAsia="Times New Roman" w:hAnsi="Arial" w:cs="Arial"/>
                <w:b/>
                <w:bCs/>
                <w:color w:val="000000"/>
                <w:sz w:val="18"/>
                <w:szCs w:val="18"/>
                <w:lang w:eastAsia="sl-SI"/>
              </w:rPr>
              <w:t>Skupaj</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239E7057" w14:textId="70E26BD7" w:rsidR="004F2BA2" w:rsidRPr="004F2BA2" w:rsidRDefault="004F2BA2" w:rsidP="004F2BA2">
            <w:pPr>
              <w:spacing w:after="0" w:line="240" w:lineRule="auto"/>
              <w:jc w:val="right"/>
              <w:rPr>
                <w:rFonts w:ascii="Arial" w:eastAsia="Times New Roman" w:hAnsi="Arial" w:cs="Arial"/>
                <w:b/>
                <w:bCs/>
                <w:color w:val="000000"/>
                <w:sz w:val="18"/>
                <w:szCs w:val="18"/>
                <w:lang w:eastAsia="sl-SI"/>
              </w:rPr>
            </w:pPr>
            <w:r w:rsidRPr="004F2BA2">
              <w:rPr>
                <w:rFonts w:ascii="Arial" w:eastAsia="Times New Roman" w:hAnsi="Arial" w:cs="Arial"/>
                <w:b/>
                <w:bCs/>
                <w:color w:val="000000"/>
                <w:sz w:val="18"/>
                <w:szCs w:val="18"/>
                <w:lang w:eastAsia="sl-SI"/>
              </w:rPr>
              <w:t>751</w:t>
            </w:r>
          </w:p>
        </w:tc>
        <w:tc>
          <w:tcPr>
            <w:tcW w:w="1559" w:type="dxa"/>
            <w:tcBorders>
              <w:top w:val="nil"/>
              <w:left w:val="nil"/>
              <w:bottom w:val="single" w:sz="4" w:space="0" w:color="auto"/>
              <w:right w:val="single" w:sz="4" w:space="0" w:color="auto"/>
            </w:tcBorders>
            <w:shd w:val="clear" w:color="auto" w:fill="F2F2F2" w:themeFill="background1" w:themeFillShade="F2"/>
            <w:vAlign w:val="center"/>
            <w:hideMark/>
          </w:tcPr>
          <w:p w14:paraId="10487181" w14:textId="509B0372" w:rsidR="004F2BA2" w:rsidRPr="004F2BA2" w:rsidRDefault="004F2BA2" w:rsidP="004F2BA2">
            <w:pPr>
              <w:spacing w:after="0" w:line="240" w:lineRule="auto"/>
              <w:jc w:val="right"/>
              <w:rPr>
                <w:rFonts w:ascii="Arial" w:eastAsia="Times New Roman" w:hAnsi="Arial" w:cs="Arial"/>
                <w:b/>
                <w:bCs/>
                <w:color w:val="000000"/>
                <w:sz w:val="18"/>
                <w:szCs w:val="18"/>
                <w:lang w:eastAsia="sl-SI"/>
              </w:rPr>
            </w:pPr>
            <w:r w:rsidRPr="004F2BA2">
              <w:rPr>
                <w:rFonts w:ascii="Arial" w:eastAsia="Times New Roman" w:hAnsi="Arial" w:cs="Arial"/>
                <w:b/>
                <w:bCs/>
                <w:color w:val="000000"/>
                <w:sz w:val="18"/>
                <w:szCs w:val="18"/>
                <w:lang w:eastAsia="sl-SI"/>
              </w:rPr>
              <w:t>483.778.024</w:t>
            </w:r>
          </w:p>
        </w:tc>
        <w:tc>
          <w:tcPr>
            <w:tcW w:w="1701" w:type="dxa"/>
            <w:tcBorders>
              <w:top w:val="nil"/>
              <w:left w:val="nil"/>
              <w:bottom w:val="single" w:sz="4" w:space="0" w:color="auto"/>
              <w:right w:val="single" w:sz="4" w:space="0" w:color="auto"/>
            </w:tcBorders>
            <w:shd w:val="clear" w:color="auto" w:fill="F2F2F2" w:themeFill="background1" w:themeFillShade="F2"/>
            <w:vAlign w:val="center"/>
            <w:hideMark/>
          </w:tcPr>
          <w:p w14:paraId="463728AC" w14:textId="7CA4A233" w:rsidR="004F2BA2" w:rsidRPr="004F2BA2" w:rsidRDefault="004F2BA2" w:rsidP="004F2BA2">
            <w:pPr>
              <w:spacing w:after="0" w:line="240" w:lineRule="auto"/>
              <w:jc w:val="right"/>
              <w:rPr>
                <w:rFonts w:ascii="Arial" w:eastAsia="Times New Roman" w:hAnsi="Arial" w:cs="Arial"/>
                <w:b/>
                <w:bCs/>
                <w:color w:val="000000"/>
                <w:sz w:val="18"/>
                <w:szCs w:val="18"/>
                <w:lang w:eastAsia="sl-SI"/>
              </w:rPr>
            </w:pPr>
            <w:r w:rsidRPr="004F2BA2">
              <w:rPr>
                <w:rFonts w:ascii="Arial" w:eastAsia="Times New Roman" w:hAnsi="Arial" w:cs="Arial"/>
                <w:b/>
                <w:bCs/>
                <w:color w:val="000000"/>
                <w:sz w:val="18"/>
                <w:szCs w:val="18"/>
                <w:lang w:eastAsia="sl-SI"/>
              </w:rPr>
              <w:t>100,00 %</w:t>
            </w:r>
          </w:p>
        </w:tc>
        <w:tc>
          <w:tcPr>
            <w:tcW w:w="1770" w:type="dxa"/>
            <w:tcBorders>
              <w:top w:val="nil"/>
              <w:left w:val="nil"/>
              <w:bottom w:val="single" w:sz="4" w:space="0" w:color="auto"/>
              <w:right w:val="single" w:sz="4" w:space="0" w:color="auto"/>
            </w:tcBorders>
            <w:shd w:val="clear" w:color="auto" w:fill="F2F2F2" w:themeFill="background1" w:themeFillShade="F2"/>
            <w:vAlign w:val="center"/>
            <w:hideMark/>
          </w:tcPr>
          <w:p w14:paraId="4D201AE9" w14:textId="54EE1CEC" w:rsidR="004F2BA2" w:rsidRPr="004F2BA2" w:rsidRDefault="004F2BA2" w:rsidP="004F2BA2">
            <w:pPr>
              <w:spacing w:after="0" w:line="240" w:lineRule="auto"/>
              <w:jc w:val="right"/>
              <w:rPr>
                <w:rFonts w:ascii="Arial" w:eastAsia="Times New Roman" w:hAnsi="Arial" w:cs="Arial"/>
                <w:b/>
                <w:bCs/>
                <w:color w:val="000000"/>
                <w:sz w:val="18"/>
                <w:szCs w:val="18"/>
                <w:lang w:eastAsia="sl-SI"/>
              </w:rPr>
            </w:pPr>
            <w:r w:rsidRPr="004F2BA2">
              <w:rPr>
                <w:rFonts w:ascii="Arial" w:eastAsia="Times New Roman" w:hAnsi="Arial" w:cs="Arial"/>
                <w:b/>
                <w:bCs/>
                <w:color w:val="000000"/>
                <w:sz w:val="18"/>
                <w:szCs w:val="18"/>
                <w:lang w:eastAsia="sl-SI"/>
              </w:rPr>
              <w:t>100,00 %</w:t>
            </w:r>
          </w:p>
        </w:tc>
      </w:tr>
    </w:tbl>
    <w:p w14:paraId="41A6F790" w14:textId="3D7417C5" w:rsidR="00490BF3" w:rsidRPr="004F2BA2" w:rsidRDefault="00490BF3" w:rsidP="002C2457">
      <w:pPr>
        <w:spacing w:after="0" w:line="240" w:lineRule="auto"/>
        <w:jc w:val="right"/>
        <w:rPr>
          <w:rFonts w:ascii="Arial" w:eastAsia="Times New Roman" w:hAnsi="Arial" w:cs="Arial"/>
          <w:color w:val="000000"/>
          <w:sz w:val="18"/>
          <w:szCs w:val="18"/>
          <w:lang w:eastAsia="sl-SI"/>
        </w:rPr>
      </w:pPr>
    </w:p>
    <w:p w14:paraId="436EF011" w14:textId="02D81FEA" w:rsidR="00C22535" w:rsidRPr="004F2BA2" w:rsidRDefault="00C22535" w:rsidP="004A613D">
      <w:pPr>
        <w:spacing w:after="0" w:line="240" w:lineRule="auto"/>
        <w:jc w:val="center"/>
        <w:rPr>
          <w:rFonts w:ascii="Arial" w:hAnsi="Arial" w:cs="Arial"/>
          <w:sz w:val="18"/>
        </w:rPr>
      </w:pPr>
      <w:r w:rsidRPr="004F2BA2">
        <w:rPr>
          <w:rFonts w:ascii="Arial" w:hAnsi="Arial" w:cs="Arial"/>
          <w:sz w:val="18"/>
        </w:rPr>
        <w:t>Vir: Statistični podatki o javni</w:t>
      </w:r>
      <w:r w:rsidR="0026312F" w:rsidRPr="004F2BA2">
        <w:rPr>
          <w:rFonts w:ascii="Arial" w:hAnsi="Arial" w:cs="Arial"/>
          <w:sz w:val="18"/>
        </w:rPr>
        <w:t>h naročilih, oddanih v letu 20</w:t>
      </w:r>
      <w:r w:rsidR="00490BF3" w:rsidRPr="004F2BA2">
        <w:rPr>
          <w:rFonts w:ascii="Arial" w:hAnsi="Arial" w:cs="Arial"/>
          <w:sz w:val="18"/>
        </w:rPr>
        <w:t>2</w:t>
      </w:r>
      <w:r w:rsidR="004F2BA2" w:rsidRPr="004F2BA2">
        <w:rPr>
          <w:rFonts w:ascii="Arial" w:hAnsi="Arial" w:cs="Arial"/>
          <w:sz w:val="18"/>
        </w:rPr>
        <w:t>2</w:t>
      </w:r>
      <w:r w:rsidR="00630FBA" w:rsidRPr="004F2BA2">
        <w:rPr>
          <w:rFonts w:ascii="Arial" w:hAnsi="Arial" w:cs="Arial"/>
          <w:sz w:val="18"/>
        </w:rPr>
        <w:t>.</w:t>
      </w:r>
    </w:p>
    <w:p w14:paraId="165DEEE5" w14:textId="77777777" w:rsidR="00490BF3" w:rsidRPr="003D5E39" w:rsidRDefault="00490BF3" w:rsidP="009E3010">
      <w:pPr>
        <w:pStyle w:val="Standard"/>
        <w:spacing w:line="360" w:lineRule="auto"/>
        <w:rPr>
          <w:rFonts w:cs="Arial"/>
          <w:sz w:val="20"/>
          <w:szCs w:val="20"/>
        </w:rPr>
      </w:pPr>
    </w:p>
    <w:p w14:paraId="7EFB0FD2" w14:textId="5DEC67BA" w:rsidR="009E3010" w:rsidRPr="003D5E39" w:rsidRDefault="0069174C" w:rsidP="009E3010">
      <w:pPr>
        <w:pStyle w:val="Standard"/>
        <w:spacing w:line="360" w:lineRule="auto"/>
        <w:rPr>
          <w:rFonts w:cs="Arial"/>
          <w:sz w:val="20"/>
          <w:szCs w:val="20"/>
        </w:rPr>
      </w:pPr>
      <w:r w:rsidRPr="003D5E39">
        <w:rPr>
          <w:rFonts w:cs="Arial"/>
          <w:sz w:val="20"/>
          <w:szCs w:val="20"/>
        </w:rPr>
        <w:t>V postopkih skupnega javnega naročanja so</w:t>
      </w:r>
      <w:r w:rsidR="00C22535" w:rsidRPr="003D5E39">
        <w:rPr>
          <w:rFonts w:cs="Arial"/>
          <w:sz w:val="20"/>
          <w:szCs w:val="20"/>
        </w:rPr>
        <w:t xml:space="preserve"> </w:t>
      </w:r>
      <w:r w:rsidRPr="003D5E39">
        <w:rPr>
          <w:rFonts w:cs="Arial"/>
          <w:sz w:val="20"/>
          <w:szCs w:val="20"/>
        </w:rPr>
        <w:t xml:space="preserve">največ naročil </w:t>
      </w:r>
      <w:r w:rsidR="000830D2" w:rsidRPr="003D5E39">
        <w:rPr>
          <w:rFonts w:cs="Arial"/>
          <w:sz w:val="20"/>
          <w:szCs w:val="20"/>
        </w:rPr>
        <w:t>oddal</w:t>
      </w:r>
      <w:r w:rsidR="005B451A" w:rsidRPr="003D5E39">
        <w:rPr>
          <w:rFonts w:cs="Arial"/>
          <w:sz w:val="20"/>
          <w:szCs w:val="20"/>
        </w:rPr>
        <w:t>i</w:t>
      </w:r>
      <w:r w:rsidR="000830D2" w:rsidRPr="003D5E39">
        <w:rPr>
          <w:rFonts w:cs="Arial"/>
          <w:sz w:val="20"/>
          <w:szCs w:val="20"/>
        </w:rPr>
        <w:t xml:space="preserve"> </w:t>
      </w:r>
      <w:r w:rsidR="005B451A" w:rsidRPr="003D5E39">
        <w:rPr>
          <w:rFonts w:cs="Arial"/>
          <w:sz w:val="20"/>
          <w:szCs w:val="20"/>
        </w:rPr>
        <w:t>javni zavodi,</w:t>
      </w:r>
      <w:r w:rsidRPr="003D5E39">
        <w:rPr>
          <w:rFonts w:cs="Arial"/>
          <w:sz w:val="20"/>
          <w:szCs w:val="20"/>
        </w:rPr>
        <w:t xml:space="preserve"> </w:t>
      </w:r>
      <w:r w:rsidR="00B51C8C">
        <w:rPr>
          <w:rFonts w:cs="Arial"/>
          <w:sz w:val="20"/>
          <w:szCs w:val="20"/>
        </w:rPr>
        <w:t>in sicer</w:t>
      </w:r>
      <w:r w:rsidR="00883D84" w:rsidRPr="003D5E39">
        <w:rPr>
          <w:rFonts w:cs="Arial"/>
          <w:sz w:val="20"/>
          <w:szCs w:val="20"/>
        </w:rPr>
        <w:t xml:space="preserve"> </w:t>
      </w:r>
      <w:r w:rsidR="003D5E39" w:rsidRPr="003D5E39">
        <w:rPr>
          <w:rFonts w:cs="Arial"/>
          <w:sz w:val="20"/>
          <w:szCs w:val="20"/>
        </w:rPr>
        <w:t>504</w:t>
      </w:r>
      <w:r w:rsidRPr="003D5E39">
        <w:rPr>
          <w:rFonts w:cs="Arial"/>
          <w:sz w:val="20"/>
          <w:szCs w:val="20"/>
        </w:rPr>
        <w:t xml:space="preserve"> naročil</w:t>
      </w:r>
      <w:r w:rsidR="00B51C8C">
        <w:rPr>
          <w:rFonts w:cs="Arial"/>
          <w:sz w:val="20"/>
          <w:szCs w:val="20"/>
        </w:rPr>
        <w:t>a</w:t>
      </w:r>
      <w:r w:rsidRPr="003D5E39">
        <w:rPr>
          <w:rFonts w:cs="Arial"/>
          <w:sz w:val="20"/>
          <w:szCs w:val="20"/>
        </w:rPr>
        <w:t xml:space="preserve"> v vrednosti </w:t>
      </w:r>
      <w:r w:rsidR="003D5E39" w:rsidRPr="003D5E39">
        <w:rPr>
          <w:rFonts w:cs="Arial"/>
          <w:color w:val="000000"/>
          <w:sz w:val="20"/>
          <w:szCs w:val="20"/>
        </w:rPr>
        <w:t xml:space="preserve">316.870.254 </w:t>
      </w:r>
      <w:r w:rsidRPr="003D5E39">
        <w:rPr>
          <w:rFonts w:cs="Arial"/>
          <w:sz w:val="20"/>
          <w:szCs w:val="20"/>
        </w:rPr>
        <w:t>evrov.</w:t>
      </w:r>
      <w:r w:rsidR="009E3010" w:rsidRPr="003D5E39">
        <w:rPr>
          <w:rFonts w:cs="Arial"/>
          <w:sz w:val="20"/>
          <w:szCs w:val="20"/>
        </w:rPr>
        <w:t xml:space="preserve"> </w:t>
      </w:r>
    </w:p>
    <w:p w14:paraId="05760B67" w14:textId="6B26B4FE" w:rsidR="00177D22" w:rsidRPr="003D5E39" w:rsidRDefault="00177D22" w:rsidP="008A61FD">
      <w:pPr>
        <w:spacing w:before="120" w:after="120" w:line="240" w:lineRule="auto"/>
        <w:jc w:val="both"/>
        <w:rPr>
          <w:rFonts w:ascii="Arial" w:hAnsi="Arial" w:cs="Arial"/>
          <w:sz w:val="20"/>
        </w:rPr>
      </w:pPr>
      <w:r w:rsidRPr="003D5E39">
        <w:rPr>
          <w:rFonts w:ascii="Arial" w:hAnsi="Arial" w:cs="Arial"/>
          <w:sz w:val="20"/>
        </w:rPr>
        <w:t xml:space="preserve">Preglednica </w:t>
      </w:r>
      <w:r w:rsidR="00512F52" w:rsidRPr="003D5E39">
        <w:rPr>
          <w:rFonts w:ascii="Arial" w:hAnsi="Arial" w:cs="Arial"/>
          <w:sz w:val="20"/>
        </w:rPr>
        <w:t>20</w:t>
      </w:r>
      <w:r w:rsidRPr="003D5E39">
        <w:rPr>
          <w:rFonts w:ascii="Arial" w:hAnsi="Arial" w:cs="Arial"/>
          <w:sz w:val="20"/>
        </w:rPr>
        <w:t xml:space="preserve">: Skupno javno naročanje </w:t>
      </w:r>
      <w:r w:rsidR="00B51C8C">
        <w:rPr>
          <w:rFonts w:ascii="Arial" w:hAnsi="Arial" w:cs="Arial"/>
          <w:sz w:val="20"/>
        </w:rPr>
        <w:t>po</w:t>
      </w:r>
      <w:r w:rsidRPr="003D5E39">
        <w:rPr>
          <w:rFonts w:ascii="Arial" w:hAnsi="Arial" w:cs="Arial"/>
          <w:sz w:val="20"/>
        </w:rPr>
        <w:t xml:space="preserve"> številu, vrednosti in deležu skupnih javnih naročil glede na kategorijo naročnika</w:t>
      </w:r>
    </w:p>
    <w:tbl>
      <w:tblPr>
        <w:tblW w:w="9143" w:type="dxa"/>
        <w:jc w:val="center"/>
        <w:tblCellMar>
          <w:left w:w="70" w:type="dxa"/>
          <w:right w:w="70" w:type="dxa"/>
        </w:tblCellMar>
        <w:tblLook w:val="04A0" w:firstRow="1" w:lastRow="0" w:firstColumn="1" w:lastColumn="0" w:noHBand="0" w:noVBand="1"/>
      </w:tblPr>
      <w:tblGrid>
        <w:gridCol w:w="4394"/>
        <w:gridCol w:w="851"/>
        <w:gridCol w:w="1276"/>
        <w:gridCol w:w="1262"/>
        <w:gridCol w:w="1360"/>
      </w:tblGrid>
      <w:tr w:rsidR="0056175F" w:rsidRPr="003D5E39" w14:paraId="0E0DC82F" w14:textId="77777777" w:rsidTr="00CD447F">
        <w:trPr>
          <w:trHeight w:val="255"/>
          <w:jc w:val="center"/>
        </w:trPr>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5F5402" w14:textId="06618C04" w:rsidR="0056175F" w:rsidRPr="003D5E39" w:rsidRDefault="0056175F" w:rsidP="0056175F">
            <w:pPr>
              <w:spacing w:after="0" w:line="240" w:lineRule="auto"/>
              <w:jc w:val="center"/>
              <w:rPr>
                <w:rFonts w:ascii="Arial" w:eastAsia="Times New Roman" w:hAnsi="Arial" w:cs="Arial"/>
                <w:color w:val="000000"/>
                <w:sz w:val="18"/>
                <w:szCs w:val="18"/>
                <w:lang w:eastAsia="sl-SI"/>
              </w:rPr>
            </w:pPr>
            <w:r w:rsidRPr="003D5E39">
              <w:rPr>
                <w:rFonts w:ascii="Arial" w:eastAsia="Times New Roman" w:hAnsi="Arial" w:cs="Arial"/>
                <w:color w:val="000000"/>
                <w:sz w:val="18"/>
                <w:szCs w:val="18"/>
                <w:lang w:eastAsia="sl-SI"/>
              </w:rPr>
              <w:t>Kategorija naročnika</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8268EC5" w14:textId="77777777" w:rsidR="0056175F" w:rsidRPr="003D5E39" w:rsidRDefault="0056175F" w:rsidP="0056175F">
            <w:pPr>
              <w:spacing w:after="0" w:line="240" w:lineRule="auto"/>
              <w:jc w:val="center"/>
              <w:rPr>
                <w:rFonts w:ascii="Arial" w:eastAsia="Times New Roman" w:hAnsi="Arial" w:cs="Arial"/>
                <w:color w:val="000000"/>
                <w:sz w:val="18"/>
                <w:szCs w:val="18"/>
                <w:lang w:eastAsia="sl-SI"/>
              </w:rPr>
            </w:pPr>
            <w:r w:rsidRPr="003D5E39">
              <w:rPr>
                <w:rFonts w:ascii="Arial" w:eastAsia="Times New Roman" w:hAnsi="Arial" w:cs="Arial"/>
                <w:color w:val="000000"/>
                <w:sz w:val="18"/>
                <w:szCs w:val="18"/>
                <w:lang w:eastAsia="sl-SI"/>
              </w:rPr>
              <w:t>Št. naročil</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A3FDE53" w14:textId="77777777" w:rsidR="0056175F" w:rsidRPr="003D5E39" w:rsidRDefault="0056175F" w:rsidP="0056175F">
            <w:pPr>
              <w:spacing w:after="0" w:line="240" w:lineRule="auto"/>
              <w:jc w:val="center"/>
              <w:rPr>
                <w:rFonts w:ascii="Arial" w:eastAsia="Times New Roman" w:hAnsi="Arial" w:cs="Arial"/>
                <w:color w:val="000000"/>
                <w:sz w:val="18"/>
                <w:szCs w:val="18"/>
                <w:lang w:eastAsia="sl-SI"/>
              </w:rPr>
            </w:pPr>
            <w:r w:rsidRPr="003D5E39">
              <w:rPr>
                <w:rFonts w:ascii="Arial" w:eastAsia="Times New Roman" w:hAnsi="Arial" w:cs="Arial"/>
                <w:color w:val="000000"/>
                <w:sz w:val="18"/>
                <w:szCs w:val="18"/>
                <w:lang w:eastAsia="sl-SI"/>
              </w:rPr>
              <w:t>Pogodbena vrednost</w:t>
            </w:r>
          </w:p>
        </w:tc>
        <w:tc>
          <w:tcPr>
            <w:tcW w:w="126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F411049" w14:textId="77777777" w:rsidR="0056175F" w:rsidRPr="003D5E39" w:rsidRDefault="0056175F" w:rsidP="0056175F">
            <w:pPr>
              <w:spacing w:after="0" w:line="240" w:lineRule="auto"/>
              <w:jc w:val="center"/>
              <w:rPr>
                <w:rFonts w:ascii="Arial" w:eastAsia="Times New Roman" w:hAnsi="Arial" w:cs="Arial"/>
                <w:color w:val="000000"/>
                <w:sz w:val="18"/>
                <w:szCs w:val="18"/>
                <w:lang w:eastAsia="sl-SI"/>
              </w:rPr>
            </w:pPr>
            <w:r w:rsidRPr="003D5E39">
              <w:rPr>
                <w:rFonts w:ascii="Arial" w:eastAsia="Times New Roman" w:hAnsi="Arial" w:cs="Arial"/>
                <w:color w:val="000000"/>
                <w:sz w:val="18"/>
                <w:szCs w:val="18"/>
                <w:lang w:eastAsia="sl-SI"/>
              </w:rPr>
              <w:t>Delež v št. skupnih naročil</w:t>
            </w:r>
          </w:p>
        </w:tc>
        <w:tc>
          <w:tcPr>
            <w:tcW w:w="13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E1A9D34" w14:textId="77777777" w:rsidR="0056175F" w:rsidRPr="003D5E39" w:rsidRDefault="0056175F" w:rsidP="0056175F">
            <w:pPr>
              <w:spacing w:after="0" w:line="240" w:lineRule="auto"/>
              <w:jc w:val="center"/>
              <w:rPr>
                <w:rFonts w:ascii="Arial" w:eastAsia="Times New Roman" w:hAnsi="Arial" w:cs="Arial"/>
                <w:color w:val="000000"/>
                <w:sz w:val="18"/>
                <w:szCs w:val="18"/>
                <w:lang w:eastAsia="sl-SI"/>
              </w:rPr>
            </w:pPr>
            <w:r w:rsidRPr="003D5E39">
              <w:rPr>
                <w:rFonts w:ascii="Arial" w:eastAsia="Times New Roman" w:hAnsi="Arial" w:cs="Arial"/>
                <w:color w:val="000000"/>
                <w:sz w:val="18"/>
                <w:szCs w:val="18"/>
                <w:lang w:eastAsia="sl-SI"/>
              </w:rPr>
              <w:t>Delež v vrednosti skupnih naročil</w:t>
            </w:r>
          </w:p>
        </w:tc>
      </w:tr>
      <w:tr w:rsidR="003D5E39" w:rsidRPr="003D5E39" w14:paraId="2614E608" w14:textId="77777777" w:rsidTr="003D5E39">
        <w:trPr>
          <w:trHeight w:val="255"/>
          <w:jc w:val="center"/>
        </w:trPr>
        <w:tc>
          <w:tcPr>
            <w:tcW w:w="4394" w:type="dxa"/>
            <w:tcBorders>
              <w:top w:val="nil"/>
              <w:left w:val="single" w:sz="4" w:space="0" w:color="auto"/>
              <w:bottom w:val="single" w:sz="4" w:space="0" w:color="auto"/>
              <w:right w:val="single" w:sz="4" w:space="0" w:color="auto"/>
            </w:tcBorders>
            <w:shd w:val="clear" w:color="000000" w:fill="FFFFFF"/>
            <w:vAlign w:val="center"/>
            <w:hideMark/>
          </w:tcPr>
          <w:p w14:paraId="41C562F4" w14:textId="2D49E090" w:rsidR="003D5E39" w:rsidRPr="003D5E39" w:rsidRDefault="003D5E39" w:rsidP="003D5E39">
            <w:pPr>
              <w:spacing w:after="0" w:line="240" w:lineRule="auto"/>
              <w:rPr>
                <w:rFonts w:ascii="Arial" w:eastAsia="Times New Roman" w:hAnsi="Arial" w:cs="Arial"/>
                <w:color w:val="000000"/>
                <w:sz w:val="18"/>
                <w:szCs w:val="18"/>
                <w:lang w:eastAsia="sl-SI"/>
              </w:rPr>
            </w:pPr>
            <w:r w:rsidRPr="003D5E39">
              <w:rPr>
                <w:rFonts w:ascii="Arial" w:eastAsia="Times New Roman" w:hAnsi="Arial" w:cs="Arial"/>
                <w:color w:val="000000"/>
                <w:sz w:val="18"/>
                <w:szCs w:val="18"/>
                <w:lang w:eastAsia="sl-SI"/>
              </w:rPr>
              <w:t xml:space="preserve">Organi </w:t>
            </w:r>
            <w:r w:rsidR="00007116">
              <w:rPr>
                <w:rFonts w:ascii="Arial" w:eastAsia="Times New Roman" w:hAnsi="Arial" w:cs="Arial"/>
                <w:color w:val="000000"/>
                <w:sz w:val="18"/>
                <w:szCs w:val="18"/>
                <w:lang w:eastAsia="sl-SI"/>
              </w:rPr>
              <w:t>Republike Slovenije</w:t>
            </w:r>
          </w:p>
        </w:tc>
        <w:tc>
          <w:tcPr>
            <w:tcW w:w="851" w:type="dxa"/>
            <w:tcBorders>
              <w:top w:val="nil"/>
              <w:left w:val="nil"/>
              <w:bottom w:val="single" w:sz="4" w:space="0" w:color="auto"/>
              <w:right w:val="single" w:sz="4" w:space="0" w:color="auto"/>
            </w:tcBorders>
            <w:shd w:val="clear" w:color="000000" w:fill="FFFFFF"/>
            <w:vAlign w:val="center"/>
            <w:hideMark/>
          </w:tcPr>
          <w:p w14:paraId="4C72071A" w14:textId="19C94C3A" w:rsidR="003D5E39" w:rsidRPr="003D5E39" w:rsidRDefault="003D5E39" w:rsidP="003D5E39">
            <w:pPr>
              <w:spacing w:after="0" w:line="240" w:lineRule="auto"/>
              <w:jc w:val="right"/>
              <w:rPr>
                <w:rFonts w:ascii="Arial" w:eastAsia="Times New Roman" w:hAnsi="Arial" w:cs="Arial"/>
                <w:color w:val="000000"/>
                <w:sz w:val="18"/>
                <w:szCs w:val="18"/>
                <w:lang w:eastAsia="sl-SI"/>
              </w:rPr>
            </w:pPr>
            <w:r w:rsidRPr="003D5E39">
              <w:rPr>
                <w:rFonts w:ascii="Arial" w:eastAsia="Times New Roman" w:hAnsi="Arial" w:cs="Arial"/>
                <w:color w:val="000000"/>
                <w:sz w:val="18"/>
                <w:szCs w:val="18"/>
                <w:lang w:eastAsia="sl-SI"/>
              </w:rPr>
              <w:t>16</w:t>
            </w:r>
          </w:p>
        </w:tc>
        <w:tc>
          <w:tcPr>
            <w:tcW w:w="1276" w:type="dxa"/>
            <w:tcBorders>
              <w:top w:val="nil"/>
              <w:left w:val="nil"/>
              <w:bottom w:val="single" w:sz="4" w:space="0" w:color="auto"/>
              <w:right w:val="single" w:sz="4" w:space="0" w:color="auto"/>
            </w:tcBorders>
            <w:shd w:val="clear" w:color="000000" w:fill="FFFFFF"/>
            <w:vAlign w:val="center"/>
            <w:hideMark/>
          </w:tcPr>
          <w:p w14:paraId="4D874FD4" w14:textId="31EA29E0" w:rsidR="003D5E39" w:rsidRPr="003D5E39" w:rsidRDefault="003D5E39" w:rsidP="003D5E39">
            <w:pPr>
              <w:spacing w:after="0" w:line="240" w:lineRule="auto"/>
              <w:jc w:val="right"/>
              <w:rPr>
                <w:rFonts w:ascii="Arial" w:eastAsia="Times New Roman" w:hAnsi="Arial" w:cs="Arial"/>
                <w:color w:val="000000"/>
                <w:sz w:val="18"/>
                <w:szCs w:val="18"/>
                <w:lang w:eastAsia="sl-SI"/>
              </w:rPr>
            </w:pPr>
            <w:r w:rsidRPr="003D5E39">
              <w:rPr>
                <w:rFonts w:ascii="Arial" w:eastAsia="Times New Roman" w:hAnsi="Arial" w:cs="Arial"/>
                <w:color w:val="000000"/>
                <w:sz w:val="18"/>
                <w:szCs w:val="18"/>
                <w:lang w:eastAsia="sl-SI"/>
              </w:rPr>
              <w:t>52.613.710</w:t>
            </w:r>
          </w:p>
        </w:tc>
        <w:tc>
          <w:tcPr>
            <w:tcW w:w="1262" w:type="dxa"/>
            <w:tcBorders>
              <w:top w:val="nil"/>
              <w:left w:val="nil"/>
              <w:bottom w:val="single" w:sz="4" w:space="0" w:color="auto"/>
              <w:right w:val="single" w:sz="4" w:space="0" w:color="auto"/>
            </w:tcBorders>
            <w:shd w:val="clear" w:color="000000" w:fill="FFFFFF"/>
            <w:vAlign w:val="center"/>
            <w:hideMark/>
          </w:tcPr>
          <w:p w14:paraId="5B0E5A9F" w14:textId="074816F7" w:rsidR="003D5E39" w:rsidRPr="003D5E39" w:rsidRDefault="003D5E39" w:rsidP="003D5E39">
            <w:pPr>
              <w:spacing w:after="0" w:line="240" w:lineRule="auto"/>
              <w:jc w:val="right"/>
              <w:rPr>
                <w:rFonts w:ascii="Arial" w:eastAsia="Times New Roman" w:hAnsi="Arial" w:cs="Arial"/>
                <w:color w:val="000000"/>
                <w:sz w:val="18"/>
                <w:szCs w:val="18"/>
                <w:lang w:eastAsia="sl-SI"/>
              </w:rPr>
            </w:pPr>
            <w:r w:rsidRPr="003D5E39">
              <w:rPr>
                <w:rFonts w:ascii="Arial" w:eastAsia="Times New Roman" w:hAnsi="Arial" w:cs="Arial"/>
                <w:color w:val="000000"/>
                <w:sz w:val="18"/>
                <w:szCs w:val="18"/>
                <w:lang w:eastAsia="sl-SI"/>
              </w:rPr>
              <w:t>2,13 %</w:t>
            </w:r>
          </w:p>
        </w:tc>
        <w:tc>
          <w:tcPr>
            <w:tcW w:w="1360" w:type="dxa"/>
            <w:tcBorders>
              <w:top w:val="nil"/>
              <w:left w:val="nil"/>
              <w:bottom w:val="single" w:sz="4" w:space="0" w:color="auto"/>
              <w:right w:val="single" w:sz="4" w:space="0" w:color="auto"/>
            </w:tcBorders>
            <w:shd w:val="clear" w:color="000000" w:fill="FFFFFF"/>
            <w:vAlign w:val="center"/>
            <w:hideMark/>
          </w:tcPr>
          <w:p w14:paraId="50B76119" w14:textId="3195FCCC" w:rsidR="003D5E39" w:rsidRPr="003D5E39" w:rsidRDefault="003D5E39" w:rsidP="003D5E39">
            <w:pPr>
              <w:spacing w:after="0" w:line="240" w:lineRule="auto"/>
              <w:jc w:val="right"/>
              <w:rPr>
                <w:rFonts w:ascii="Arial" w:eastAsia="Times New Roman" w:hAnsi="Arial" w:cs="Arial"/>
                <w:color w:val="000000"/>
                <w:sz w:val="18"/>
                <w:szCs w:val="18"/>
                <w:lang w:eastAsia="sl-SI"/>
              </w:rPr>
            </w:pPr>
            <w:r w:rsidRPr="003D5E39">
              <w:rPr>
                <w:rFonts w:ascii="Arial" w:eastAsia="Times New Roman" w:hAnsi="Arial" w:cs="Arial"/>
                <w:color w:val="000000"/>
                <w:sz w:val="18"/>
                <w:szCs w:val="18"/>
                <w:lang w:eastAsia="sl-SI"/>
              </w:rPr>
              <w:t>10,88 %</w:t>
            </w:r>
          </w:p>
        </w:tc>
      </w:tr>
      <w:tr w:rsidR="003D5E39" w:rsidRPr="003D5E39" w14:paraId="51FB8E78" w14:textId="77777777" w:rsidTr="003D5E39">
        <w:trPr>
          <w:trHeight w:val="255"/>
          <w:jc w:val="center"/>
        </w:trPr>
        <w:tc>
          <w:tcPr>
            <w:tcW w:w="4394" w:type="dxa"/>
            <w:tcBorders>
              <w:top w:val="nil"/>
              <w:left w:val="single" w:sz="4" w:space="0" w:color="auto"/>
              <w:bottom w:val="single" w:sz="4" w:space="0" w:color="auto"/>
              <w:right w:val="single" w:sz="4" w:space="0" w:color="auto"/>
            </w:tcBorders>
            <w:shd w:val="clear" w:color="000000" w:fill="FFFFFF"/>
            <w:vAlign w:val="center"/>
            <w:hideMark/>
          </w:tcPr>
          <w:p w14:paraId="0AC9949B" w14:textId="77777777" w:rsidR="003D5E39" w:rsidRPr="003D5E39" w:rsidRDefault="003D5E39" w:rsidP="003D5E39">
            <w:pPr>
              <w:spacing w:after="0" w:line="240" w:lineRule="auto"/>
              <w:rPr>
                <w:rFonts w:ascii="Arial" w:eastAsia="Times New Roman" w:hAnsi="Arial" w:cs="Arial"/>
                <w:color w:val="000000"/>
                <w:sz w:val="18"/>
                <w:szCs w:val="18"/>
                <w:lang w:eastAsia="sl-SI"/>
              </w:rPr>
            </w:pPr>
            <w:r w:rsidRPr="003D5E39">
              <w:rPr>
                <w:rFonts w:ascii="Arial" w:eastAsia="Times New Roman" w:hAnsi="Arial" w:cs="Arial"/>
                <w:color w:val="000000"/>
                <w:sz w:val="18"/>
                <w:szCs w:val="18"/>
                <w:lang w:eastAsia="sl-SI"/>
              </w:rPr>
              <w:t>Samoupravne lokalne skupnosti</w:t>
            </w:r>
          </w:p>
        </w:tc>
        <w:tc>
          <w:tcPr>
            <w:tcW w:w="851" w:type="dxa"/>
            <w:tcBorders>
              <w:top w:val="nil"/>
              <w:left w:val="nil"/>
              <w:bottom w:val="single" w:sz="4" w:space="0" w:color="auto"/>
              <w:right w:val="single" w:sz="4" w:space="0" w:color="auto"/>
            </w:tcBorders>
            <w:shd w:val="clear" w:color="000000" w:fill="FFFFFF"/>
            <w:vAlign w:val="center"/>
            <w:hideMark/>
          </w:tcPr>
          <w:p w14:paraId="7256ADA9" w14:textId="724CEC93" w:rsidR="003D5E39" w:rsidRPr="003D5E39" w:rsidRDefault="003D5E39" w:rsidP="003D5E39">
            <w:pPr>
              <w:spacing w:after="0" w:line="240" w:lineRule="auto"/>
              <w:jc w:val="right"/>
              <w:rPr>
                <w:rFonts w:ascii="Arial" w:eastAsia="Times New Roman" w:hAnsi="Arial" w:cs="Arial"/>
                <w:color w:val="000000"/>
                <w:sz w:val="18"/>
                <w:szCs w:val="18"/>
                <w:lang w:eastAsia="sl-SI"/>
              </w:rPr>
            </w:pPr>
            <w:r w:rsidRPr="003D5E39">
              <w:rPr>
                <w:rFonts w:ascii="Arial" w:eastAsia="Times New Roman" w:hAnsi="Arial" w:cs="Arial"/>
                <w:color w:val="000000"/>
                <w:sz w:val="18"/>
                <w:szCs w:val="18"/>
                <w:lang w:eastAsia="sl-SI"/>
              </w:rPr>
              <w:t>76</w:t>
            </w:r>
          </w:p>
        </w:tc>
        <w:tc>
          <w:tcPr>
            <w:tcW w:w="1276" w:type="dxa"/>
            <w:tcBorders>
              <w:top w:val="nil"/>
              <w:left w:val="nil"/>
              <w:bottom w:val="single" w:sz="4" w:space="0" w:color="auto"/>
              <w:right w:val="single" w:sz="4" w:space="0" w:color="auto"/>
            </w:tcBorders>
            <w:shd w:val="clear" w:color="000000" w:fill="FFFFFF"/>
            <w:vAlign w:val="center"/>
            <w:hideMark/>
          </w:tcPr>
          <w:p w14:paraId="025124CF" w14:textId="4799F6D8" w:rsidR="003D5E39" w:rsidRPr="003D5E39" w:rsidRDefault="003D5E39" w:rsidP="003D5E39">
            <w:pPr>
              <w:spacing w:after="0" w:line="240" w:lineRule="auto"/>
              <w:jc w:val="right"/>
              <w:rPr>
                <w:rFonts w:ascii="Arial" w:eastAsia="Times New Roman" w:hAnsi="Arial" w:cs="Arial"/>
                <w:color w:val="000000"/>
                <w:sz w:val="18"/>
                <w:szCs w:val="18"/>
                <w:lang w:eastAsia="sl-SI"/>
              </w:rPr>
            </w:pPr>
            <w:r w:rsidRPr="003D5E39">
              <w:rPr>
                <w:rFonts w:ascii="Arial" w:eastAsia="Times New Roman" w:hAnsi="Arial" w:cs="Arial"/>
                <w:color w:val="000000"/>
                <w:sz w:val="18"/>
                <w:szCs w:val="18"/>
                <w:lang w:eastAsia="sl-SI"/>
              </w:rPr>
              <w:t>31.536.673</w:t>
            </w:r>
          </w:p>
        </w:tc>
        <w:tc>
          <w:tcPr>
            <w:tcW w:w="1262" w:type="dxa"/>
            <w:tcBorders>
              <w:top w:val="nil"/>
              <w:left w:val="nil"/>
              <w:bottom w:val="single" w:sz="4" w:space="0" w:color="auto"/>
              <w:right w:val="single" w:sz="4" w:space="0" w:color="auto"/>
            </w:tcBorders>
            <w:shd w:val="clear" w:color="000000" w:fill="FFFFFF"/>
            <w:vAlign w:val="center"/>
            <w:hideMark/>
          </w:tcPr>
          <w:p w14:paraId="7DFDC8C6" w14:textId="73A5B01C" w:rsidR="003D5E39" w:rsidRPr="003D5E39" w:rsidRDefault="003D5E39" w:rsidP="003D5E39">
            <w:pPr>
              <w:spacing w:after="0" w:line="240" w:lineRule="auto"/>
              <w:jc w:val="right"/>
              <w:rPr>
                <w:rFonts w:ascii="Arial" w:eastAsia="Times New Roman" w:hAnsi="Arial" w:cs="Arial"/>
                <w:color w:val="000000"/>
                <w:sz w:val="18"/>
                <w:szCs w:val="18"/>
                <w:lang w:eastAsia="sl-SI"/>
              </w:rPr>
            </w:pPr>
            <w:r w:rsidRPr="003D5E39">
              <w:rPr>
                <w:rFonts w:ascii="Arial" w:eastAsia="Times New Roman" w:hAnsi="Arial" w:cs="Arial"/>
                <w:color w:val="000000"/>
                <w:sz w:val="18"/>
                <w:szCs w:val="18"/>
                <w:lang w:eastAsia="sl-SI"/>
              </w:rPr>
              <w:t>10,12 %</w:t>
            </w:r>
          </w:p>
        </w:tc>
        <w:tc>
          <w:tcPr>
            <w:tcW w:w="1360" w:type="dxa"/>
            <w:tcBorders>
              <w:top w:val="nil"/>
              <w:left w:val="nil"/>
              <w:bottom w:val="single" w:sz="4" w:space="0" w:color="auto"/>
              <w:right w:val="single" w:sz="4" w:space="0" w:color="auto"/>
            </w:tcBorders>
            <w:shd w:val="clear" w:color="000000" w:fill="FFFFFF"/>
            <w:vAlign w:val="center"/>
            <w:hideMark/>
          </w:tcPr>
          <w:p w14:paraId="0C0C6140" w14:textId="620FE8D0" w:rsidR="003D5E39" w:rsidRPr="003D5E39" w:rsidRDefault="003D5E39" w:rsidP="003D5E39">
            <w:pPr>
              <w:spacing w:after="0" w:line="240" w:lineRule="auto"/>
              <w:jc w:val="right"/>
              <w:rPr>
                <w:rFonts w:ascii="Arial" w:eastAsia="Times New Roman" w:hAnsi="Arial" w:cs="Arial"/>
                <w:color w:val="000000"/>
                <w:sz w:val="18"/>
                <w:szCs w:val="18"/>
                <w:lang w:eastAsia="sl-SI"/>
              </w:rPr>
            </w:pPr>
            <w:r w:rsidRPr="003D5E39">
              <w:rPr>
                <w:rFonts w:ascii="Arial" w:eastAsia="Times New Roman" w:hAnsi="Arial" w:cs="Arial"/>
                <w:color w:val="000000"/>
                <w:sz w:val="18"/>
                <w:szCs w:val="18"/>
                <w:lang w:eastAsia="sl-SI"/>
              </w:rPr>
              <w:t>6,52 %</w:t>
            </w:r>
          </w:p>
        </w:tc>
      </w:tr>
      <w:tr w:rsidR="003D5E39" w:rsidRPr="003D5E39" w14:paraId="31B820E9" w14:textId="77777777" w:rsidTr="003D5E39">
        <w:trPr>
          <w:trHeight w:val="255"/>
          <w:jc w:val="center"/>
        </w:trPr>
        <w:tc>
          <w:tcPr>
            <w:tcW w:w="4394" w:type="dxa"/>
            <w:tcBorders>
              <w:top w:val="nil"/>
              <w:left w:val="single" w:sz="4" w:space="0" w:color="auto"/>
              <w:bottom w:val="single" w:sz="4" w:space="0" w:color="auto"/>
              <w:right w:val="single" w:sz="4" w:space="0" w:color="auto"/>
            </w:tcBorders>
            <w:shd w:val="clear" w:color="000000" w:fill="FFFFFF"/>
            <w:vAlign w:val="center"/>
          </w:tcPr>
          <w:p w14:paraId="4F43614B" w14:textId="3E44FB00" w:rsidR="003D5E39" w:rsidRPr="003D5E39" w:rsidRDefault="003D5E39" w:rsidP="003D5E39">
            <w:pPr>
              <w:spacing w:after="0" w:line="240" w:lineRule="auto"/>
              <w:rPr>
                <w:rFonts w:ascii="Arial" w:eastAsia="Times New Roman" w:hAnsi="Arial" w:cs="Arial"/>
                <w:color w:val="000000"/>
                <w:sz w:val="18"/>
                <w:szCs w:val="18"/>
                <w:lang w:eastAsia="sl-SI"/>
              </w:rPr>
            </w:pPr>
            <w:r w:rsidRPr="003D5E39">
              <w:rPr>
                <w:rFonts w:ascii="Arial" w:eastAsia="Times New Roman" w:hAnsi="Arial" w:cs="Arial"/>
                <w:color w:val="000000"/>
                <w:sz w:val="18"/>
                <w:szCs w:val="18"/>
                <w:lang w:eastAsia="sl-SI"/>
              </w:rPr>
              <w:t>Javni skladi</w:t>
            </w:r>
          </w:p>
        </w:tc>
        <w:tc>
          <w:tcPr>
            <w:tcW w:w="851" w:type="dxa"/>
            <w:tcBorders>
              <w:top w:val="nil"/>
              <w:left w:val="nil"/>
              <w:bottom w:val="single" w:sz="4" w:space="0" w:color="auto"/>
              <w:right w:val="single" w:sz="4" w:space="0" w:color="auto"/>
            </w:tcBorders>
            <w:shd w:val="clear" w:color="000000" w:fill="FFFFFF"/>
            <w:vAlign w:val="center"/>
          </w:tcPr>
          <w:p w14:paraId="66F866D1" w14:textId="2D700A67" w:rsidR="003D5E39" w:rsidRPr="003D5E39" w:rsidRDefault="003D5E39" w:rsidP="003D5E39">
            <w:pPr>
              <w:spacing w:after="0" w:line="240" w:lineRule="auto"/>
              <w:jc w:val="right"/>
              <w:rPr>
                <w:rFonts w:ascii="Arial" w:eastAsia="Times New Roman" w:hAnsi="Arial" w:cs="Arial"/>
                <w:color w:val="000000"/>
                <w:sz w:val="18"/>
                <w:szCs w:val="18"/>
                <w:lang w:eastAsia="sl-SI"/>
              </w:rPr>
            </w:pPr>
            <w:r w:rsidRPr="003D5E39">
              <w:rPr>
                <w:rFonts w:ascii="Arial" w:eastAsia="Times New Roman" w:hAnsi="Arial" w:cs="Arial"/>
                <w:color w:val="000000"/>
                <w:sz w:val="18"/>
                <w:szCs w:val="18"/>
                <w:lang w:eastAsia="sl-SI"/>
              </w:rPr>
              <w:t>1</w:t>
            </w:r>
          </w:p>
        </w:tc>
        <w:tc>
          <w:tcPr>
            <w:tcW w:w="1276" w:type="dxa"/>
            <w:tcBorders>
              <w:top w:val="nil"/>
              <w:left w:val="nil"/>
              <w:bottom w:val="single" w:sz="4" w:space="0" w:color="auto"/>
              <w:right w:val="single" w:sz="4" w:space="0" w:color="auto"/>
            </w:tcBorders>
            <w:shd w:val="clear" w:color="000000" w:fill="FFFFFF"/>
            <w:vAlign w:val="center"/>
          </w:tcPr>
          <w:p w14:paraId="628D4155" w14:textId="012E38EC" w:rsidR="003D5E39" w:rsidRPr="003D5E39" w:rsidRDefault="003D5E39" w:rsidP="003D5E39">
            <w:pPr>
              <w:spacing w:after="0" w:line="240" w:lineRule="auto"/>
              <w:jc w:val="right"/>
              <w:rPr>
                <w:rFonts w:ascii="Arial" w:eastAsia="Times New Roman" w:hAnsi="Arial" w:cs="Arial"/>
                <w:color w:val="000000"/>
                <w:sz w:val="18"/>
                <w:szCs w:val="18"/>
                <w:lang w:eastAsia="sl-SI"/>
              </w:rPr>
            </w:pPr>
            <w:r w:rsidRPr="003D5E39">
              <w:rPr>
                <w:rFonts w:ascii="Arial" w:eastAsia="Times New Roman" w:hAnsi="Arial" w:cs="Arial"/>
                <w:color w:val="000000"/>
                <w:sz w:val="18"/>
                <w:szCs w:val="18"/>
                <w:lang w:eastAsia="sl-SI"/>
              </w:rPr>
              <w:t>226.000</w:t>
            </w:r>
          </w:p>
        </w:tc>
        <w:tc>
          <w:tcPr>
            <w:tcW w:w="1262" w:type="dxa"/>
            <w:tcBorders>
              <w:top w:val="nil"/>
              <w:left w:val="nil"/>
              <w:bottom w:val="single" w:sz="4" w:space="0" w:color="auto"/>
              <w:right w:val="single" w:sz="4" w:space="0" w:color="auto"/>
            </w:tcBorders>
            <w:shd w:val="clear" w:color="000000" w:fill="FFFFFF"/>
            <w:vAlign w:val="center"/>
          </w:tcPr>
          <w:p w14:paraId="601038D0" w14:textId="36620CB9" w:rsidR="003D5E39" w:rsidRPr="003D5E39" w:rsidRDefault="003D5E39" w:rsidP="003D5E39">
            <w:pPr>
              <w:spacing w:after="0" w:line="240" w:lineRule="auto"/>
              <w:jc w:val="right"/>
              <w:rPr>
                <w:rFonts w:ascii="Arial" w:eastAsia="Times New Roman" w:hAnsi="Arial" w:cs="Arial"/>
                <w:color w:val="000000"/>
                <w:sz w:val="18"/>
                <w:szCs w:val="18"/>
                <w:lang w:eastAsia="sl-SI"/>
              </w:rPr>
            </w:pPr>
            <w:r w:rsidRPr="003D5E39">
              <w:rPr>
                <w:rFonts w:ascii="Arial" w:eastAsia="Times New Roman" w:hAnsi="Arial" w:cs="Arial"/>
                <w:color w:val="000000"/>
                <w:sz w:val="18"/>
                <w:szCs w:val="18"/>
                <w:lang w:eastAsia="sl-SI"/>
              </w:rPr>
              <w:t>0,13 %</w:t>
            </w:r>
          </w:p>
        </w:tc>
        <w:tc>
          <w:tcPr>
            <w:tcW w:w="1360" w:type="dxa"/>
            <w:tcBorders>
              <w:top w:val="nil"/>
              <w:left w:val="nil"/>
              <w:bottom w:val="single" w:sz="4" w:space="0" w:color="auto"/>
              <w:right w:val="single" w:sz="4" w:space="0" w:color="auto"/>
            </w:tcBorders>
            <w:shd w:val="clear" w:color="000000" w:fill="FFFFFF"/>
            <w:vAlign w:val="center"/>
          </w:tcPr>
          <w:p w14:paraId="696062B8" w14:textId="17635113" w:rsidR="003D5E39" w:rsidRPr="003D5E39" w:rsidRDefault="003D5E39" w:rsidP="003D5E39">
            <w:pPr>
              <w:spacing w:after="0" w:line="240" w:lineRule="auto"/>
              <w:jc w:val="right"/>
              <w:rPr>
                <w:rFonts w:ascii="Arial" w:eastAsia="Times New Roman" w:hAnsi="Arial" w:cs="Arial"/>
                <w:color w:val="000000"/>
                <w:sz w:val="18"/>
                <w:szCs w:val="18"/>
                <w:lang w:eastAsia="sl-SI"/>
              </w:rPr>
            </w:pPr>
            <w:r w:rsidRPr="003D5E39">
              <w:rPr>
                <w:rFonts w:ascii="Arial" w:eastAsia="Times New Roman" w:hAnsi="Arial" w:cs="Arial"/>
                <w:color w:val="000000"/>
                <w:sz w:val="18"/>
                <w:szCs w:val="18"/>
                <w:lang w:eastAsia="sl-SI"/>
              </w:rPr>
              <w:t>0,05 %</w:t>
            </w:r>
          </w:p>
        </w:tc>
      </w:tr>
      <w:tr w:rsidR="003D5E39" w:rsidRPr="003D5E39" w14:paraId="2C3BD249" w14:textId="77777777" w:rsidTr="003D5E39">
        <w:trPr>
          <w:trHeight w:val="255"/>
          <w:jc w:val="center"/>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3CF780BE" w14:textId="77777777" w:rsidR="003D5E39" w:rsidRPr="003D5E39" w:rsidRDefault="003D5E39" w:rsidP="003D5E39">
            <w:pPr>
              <w:spacing w:after="0" w:line="240" w:lineRule="auto"/>
              <w:rPr>
                <w:rFonts w:ascii="Arial" w:eastAsia="Times New Roman" w:hAnsi="Arial" w:cs="Arial"/>
                <w:color w:val="000000"/>
                <w:sz w:val="18"/>
                <w:szCs w:val="18"/>
                <w:lang w:eastAsia="sl-SI"/>
              </w:rPr>
            </w:pPr>
            <w:r w:rsidRPr="003D5E39">
              <w:rPr>
                <w:rFonts w:ascii="Arial" w:eastAsia="Times New Roman" w:hAnsi="Arial" w:cs="Arial"/>
                <w:color w:val="000000"/>
                <w:sz w:val="18"/>
                <w:szCs w:val="18"/>
                <w:lang w:eastAsia="sl-SI"/>
              </w:rPr>
              <w:t>Javni zavodi</w:t>
            </w:r>
          </w:p>
        </w:tc>
        <w:tc>
          <w:tcPr>
            <w:tcW w:w="851" w:type="dxa"/>
            <w:tcBorders>
              <w:top w:val="nil"/>
              <w:left w:val="nil"/>
              <w:bottom w:val="single" w:sz="4" w:space="0" w:color="auto"/>
              <w:right w:val="single" w:sz="4" w:space="0" w:color="auto"/>
            </w:tcBorders>
            <w:shd w:val="clear" w:color="auto" w:fill="auto"/>
            <w:vAlign w:val="center"/>
            <w:hideMark/>
          </w:tcPr>
          <w:p w14:paraId="7E12DA34" w14:textId="50A0E645" w:rsidR="003D5E39" w:rsidRPr="003D5E39" w:rsidRDefault="003D5E39" w:rsidP="003D5E39">
            <w:pPr>
              <w:spacing w:after="0" w:line="240" w:lineRule="auto"/>
              <w:jc w:val="right"/>
              <w:rPr>
                <w:rFonts w:ascii="Arial" w:eastAsia="Times New Roman" w:hAnsi="Arial" w:cs="Arial"/>
                <w:color w:val="000000"/>
                <w:sz w:val="18"/>
                <w:szCs w:val="18"/>
                <w:lang w:eastAsia="sl-SI"/>
              </w:rPr>
            </w:pPr>
            <w:r w:rsidRPr="003D5E39">
              <w:rPr>
                <w:rFonts w:ascii="Arial" w:eastAsia="Times New Roman" w:hAnsi="Arial" w:cs="Arial"/>
                <w:color w:val="000000"/>
                <w:sz w:val="18"/>
                <w:szCs w:val="18"/>
                <w:lang w:eastAsia="sl-SI"/>
              </w:rPr>
              <w:t>504</w:t>
            </w:r>
          </w:p>
        </w:tc>
        <w:tc>
          <w:tcPr>
            <w:tcW w:w="1276" w:type="dxa"/>
            <w:tcBorders>
              <w:top w:val="nil"/>
              <w:left w:val="nil"/>
              <w:bottom w:val="single" w:sz="4" w:space="0" w:color="auto"/>
              <w:right w:val="single" w:sz="4" w:space="0" w:color="auto"/>
            </w:tcBorders>
            <w:shd w:val="clear" w:color="auto" w:fill="auto"/>
            <w:vAlign w:val="center"/>
            <w:hideMark/>
          </w:tcPr>
          <w:p w14:paraId="3449ED49" w14:textId="189EDC45" w:rsidR="003D5E39" w:rsidRPr="003D5E39" w:rsidRDefault="003D5E39" w:rsidP="003D5E39">
            <w:pPr>
              <w:spacing w:after="0" w:line="240" w:lineRule="auto"/>
              <w:jc w:val="right"/>
              <w:rPr>
                <w:rFonts w:ascii="Arial" w:eastAsia="Times New Roman" w:hAnsi="Arial" w:cs="Arial"/>
                <w:color w:val="000000"/>
                <w:sz w:val="18"/>
                <w:szCs w:val="18"/>
                <w:lang w:eastAsia="sl-SI"/>
              </w:rPr>
            </w:pPr>
            <w:r w:rsidRPr="003D5E39">
              <w:rPr>
                <w:rFonts w:ascii="Arial" w:eastAsia="Times New Roman" w:hAnsi="Arial" w:cs="Arial"/>
                <w:color w:val="000000"/>
                <w:sz w:val="18"/>
                <w:szCs w:val="18"/>
                <w:lang w:eastAsia="sl-SI"/>
              </w:rPr>
              <w:t>316.870.254</w:t>
            </w:r>
          </w:p>
        </w:tc>
        <w:tc>
          <w:tcPr>
            <w:tcW w:w="1262" w:type="dxa"/>
            <w:tcBorders>
              <w:top w:val="nil"/>
              <w:left w:val="nil"/>
              <w:bottom w:val="single" w:sz="4" w:space="0" w:color="auto"/>
              <w:right w:val="single" w:sz="4" w:space="0" w:color="auto"/>
            </w:tcBorders>
            <w:shd w:val="clear" w:color="000000" w:fill="FFFFFF"/>
            <w:vAlign w:val="center"/>
            <w:hideMark/>
          </w:tcPr>
          <w:p w14:paraId="1320CEAE" w14:textId="6A8ED412" w:rsidR="003D5E39" w:rsidRPr="003D5E39" w:rsidRDefault="003D5E39" w:rsidP="003D5E39">
            <w:pPr>
              <w:spacing w:after="0" w:line="240" w:lineRule="auto"/>
              <w:jc w:val="right"/>
              <w:rPr>
                <w:rFonts w:ascii="Arial" w:eastAsia="Times New Roman" w:hAnsi="Arial" w:cs="Arial"/>
                <w:color w:val="000000"/>
                <w:sz w:val="18"/>
                <w:szCs w:val="18"/>
                <w:lang w:eastAsia="sl-SI"/>
              </w:rPr>
            </w:pPr>
            <w:r w:rsidRPr="003D5E39">
              <w:rPr>
                <w:rFonts w:ascii="Arial" w:eastAsia="Times New Roman" w:hAnsi="Arial" w:cs="Arial"/>
                <w:color w:val="000000"/>
                <w:sz w:val="18"/>
                <w:szCs w:val="18"/>
                <w:lang w:eastAsia="sl-SI"/>
              </w:rPr>
              <w:t>67,11 %</w:t>
            </w:r>
          </w:p>
        </w:tc>
        <w:tc>
          <w:tcPr>
            <w:tcW w:w="1360" w:type="dxa"/>
            <w:tcBorders>
              <w:top w:val="nil"/>
              <w:left w:val="nil"/>
              <w:bottom w:val="single" w:sz="4" w:space="0" w:color="auto"/>
              <w:right w:val="single" w:sz="4" w:space="0" w:color="auto"/>
            </w:tcBorders>
            <w:shd w:val="clear" w:color="000000" w:fill="FFFFFF"/>
            <w:vAlign w:val="center"/>
            <w:hideMark/>
          </w:tcPr>
          <w:p w14:paraId="6CA5B5C9" w14:textId="582A13C0" w:rsidR="003D5E39" w:rsidRPr="003D5E39" w:rsidRDefault="003D5E39" w:rsidP="003D5E39">
            <w:pPr>
              <w:spacing w:after="0" w:line="240" w:lineRule="auto"/>
              <w:jc w:val="right"/>
              <w:rPr>
                <w:rFonts w:ascii="Arial" w:eastAsia="Times New Roman" w:hAnsi="Arial" w:cs="Arial"/>
                <w:color w:val="000000"/>
                <w:sz w:val="18"/>
                <w:szCs w:val="18"/>
                <w:lang w:eastAsia="sl-SI"/>
              </w:rPr>
            </w:pPr>
            <w:r w:rsidRPr="003D5E39">
              <w:rPr>
                <w:rFonts w:ascii="Arial" w:eastAsia="Times New Roman" w:hAnsi="Arial" w:cs="Arial"/>
                <w:color w:val="000000"/>
                <w:sz w:val="18"/>
                <w:szCs w:val="18"/>
                <w:lang w:eastAsia="sl-SI"/>
              </w:rPr>
              <w:t>65,50 %</w:t>
            </w:r>
          </w:p>
        </w:tc>
      </w:tr>
      <w:tr w:rsidR="003D5E39" w:rsidRPr="003D5E39" w14:paraId="75FC3450" w14:textId="77777777" w:rsidTr="003D5E39">
        <w:trPr>
          <w:trHeight w:val="255"/>
          <w:jc w:val="center"/>
        </w:trPr>
        <w:tc>
          <w:tcPr>
            <w:tcW w:w="4394" w:type="dxa"/>
            <w:tcBorders>
              <w:top w:val="nil"/>
              <w:left w:val="single" w:sz="4" w:space="0" w:color="auto"/>
              <w:bottom w:val="single" w:sz="4" w:space="0" w:color="auto"/>
              <w:right w:val="single" w:sz="4" w:space="0" w:color="auto"/>
            </w:tcBorders>
            <w:shd w:val="clear" w:color="auto" w:fill="auto"/>
            <w:vAlign w:val="center"/>
          </w:tcPr>
          <w:p w14:paraId="08E4235E" w14:textId="750DD7BC" w:rsidR="003D5E39" w:rsidRPr="003D5E39" w:rsidRDefault="003D5E39" w:rsidP="003D5E39">
            <w:pPr>
              <w:spacing w:after="0" w:line="240" w:lineRule="auto"/>
              <w:rPr>
                <w:rFonts w:ascii="Arial" w:eastAsia="Times New Roman" w:hAnsi="Arial" w:cs="Arial"/>
                <w:color w:val="000000"/>
                <w:sz w:val="18"/>
                <w:szCs w:val="18"/>
                <w:lang w:eastAsia="sl-SI"/>
              </w:rPr>
            </w:pPr>
            <w:r w:rsidRPr="003D5E39">
              <w:rPr>
                <w:rFonts w:ascii="Arial" w:eastAsia="Times New Roman" w:hAnsi="Arial" w:cs="Arial"/>
                <w:color w:val="000000"/>
                <w:sz w:val="18"/>
                <w:szCs w:val="18"/>
                <w:lang w:eastAsia="sl-SI"/>
              </w:rPr>
              <w:t>Javni gospodarski zavodi</w:t>
            </w:r>
          </w:p>
        </w:tc>
        <w:tc>
          <w:tcPr>
            <w:tcW w:w="851" w:type="dxa"/>
            <w:tcBorders>
              <w:top w:val="nil"/>
              <w:left w:val="nil"/>
              <w:bottom w:val="single" w:sz="4" w:space="0" w:color="auto"/>
              <w:right w:val="single" w:sz="4" w:space="0" w:color="auto"/>
            </w:tcBorders>
            <w:shd w:val="clear" w:color="auto" w:fill="auto"/>
            <w:vAlign w:val="center"/>
          </w:tcPr>
          <w:p w14:paraId="332D8319" w14:textId="006412BF" w:rsidR="003D5E39" w:rsidRPr="003D5E39" w:rsidRDefault="003D5E39" w:rsidP="003D5E39">
            <w:pPr>
              <w:spacing w:after="0" w:line="240" w:lineRule="auto"/>
              <w:jc w:val="right"/>
              <w:rPr>
                <w:rFonts w:ascii="Arial" w:eastAsia="Times New Roman" w:hAnsi="Arial" w:cs="Arial"/>
                <w:color w:val="000000"/>
                <w:sz w:val="18"/>
                <w:szCs w:val="18"/>
                <w:lang w:eastAsia="sl-SI"/>
              </w:rPr>
            </w:pPr>
            <w:r w:rsidRPr="003D5E39">
              <w:rPr>
                <w:rFonts w:ascii="Arial" w:eastAsia="Times New Roman" w:hAnsi="Arial" w:cs="Arial"/>
                <w:color w:val="000000"/>
                <w:sz w:val="18"/>
                <w:szCs w:val="18"/>
                <w:lang w:eastAsia="sl-SI"/>
              </w:rPr>
              <w:t>2</w:t>
            </w:r>
          </w:p>
        </w:tc>
        <w:tc>
          <w:tcPr>
            <w:tcW w:w="1276" w:type="dxa"/>
            <w:tcBorders>
              <w:top w:val="nil"/>
              <w:left w:val="nil"/>
              <w:bottom w:val="single" w:sz="4" w:space="0" w:color="auto"/>
              <w:right w:val="single" w:sz="4" w:space="0" w:color="auto"/>
            </w:tcBorders>
            <w:shd w:val="clear" w:color="auto" w:fill="auto"/>
            <w:vAlign w:val="center"/>
          </w:tcPr>
          <w:p w14:paraId="740B2787" w14:textId="1A2FEC9A" w:rsidR="003D5E39" w:rsidRPr="003D5E39" w:rsidRDefault="003D5E39" w:rsidP="003D5E39">
            <w:pPr>
              <w:spacing w:after="0" w:line="240" w:lineRule="auto"/>
              <w:jc w:val="right"/>
              <w:rPr>
                <w:rFonts w:ascii="Arial" w:eastAsia="Times New Roman" w:hAnsi="Arial" w:cs="Arial"/>
                <w:color w:val="000000"/>
                <w:sz w:val="18"/>
                <w:szCs w:val="18"/>
                <w:lang w:eastAsia="sl-SI"/>
              </w:rPr>
            </w:pPr>
            <w:r w:rsidRPr="003D5E39">
              <w:rPr>
                <w:rFonts w:ascii="Arial" w:eastAsia="Times New Roman" w:hAnsi="Arial" w:cs="Arial"/>
                <w:color w:val="000000"/>
                <w:sz w:val="18"/>
                <w:szCs w:val="18"/>
                <w:lang w:eastAsia="sl-SI"/>
              </w:rPr>
              <w:t>1.946.792</w:t>
            </w:r>
          </w:p>
        </w:tc>
        <w:tc>
          <w:tcPr>
            <w:tcW w:w="1262" w:type="dxa"/>
            <w:tcBorders>
              <w:top w:val="nil"/>
              <w:left w:val="nil"/>
              <w:bottom w:val="single" w:sz="4" w:space="0" w:color="auto"/>
              <w:right w:val="single" w:sz="4" w:space="0" w:color="auto"/>
            </w:tcBorders>
            <w:shd w:val="clear" w:color="000000" w:fill="FFFFFF"/>
            <w:vAlign w:val="center"/>
          </w:tcPr>
          <w:p w14:paraId="6AF850E3" w14:textId="046A9F98" w:rsidR="003D5E39" w:rsidRPr="003D5E39" w:rsidRDefault="003D5E39" w:rsidP="003D5E39">
            <w:pPr>
              <w:spacing w:after="0" w:line="240" w:lineRule="auto"/>
              <w:jc w:val="right"/>
              <w:rPr>
                <w:rFonts w:ascii="Arial" w:eastAsia="Times New Roman" w:hAnsi="Arial" w:cs="Arial"/>
                <w:color w:val="000000"/>
                <w:sz w:val="18"/>
                <w:szCs w:val="18"/>
                <w:lang w:eastAsia="sl-SI"/>
              </w:rPr>
            </w:pPr>
            <w:r w:rsidRPr="003D5E39">
              <w:rPr>
                <w:rFonts w:ascii="Arial" w:eastAsia="Times New Roman" w:hAnsi="Arial" w:cs="Arial"/>
                <w:color w:val="000000"/>
                <w:sz w:val="18"/>
                <w:szCs w:val="18"/>
                <w:lang w:eastAsia="sl-SI"/>
              </w:rPr>
              <w:t>0,27 %</w:t>
            </w:r>
          </w:p>
        </w:tc>
        <w:tc>
          <w:tcPr>
            <w:tcW w:w="1360" w:type="dxa"/>
            <w:tcBorders>
              <w:top w:val="nil"/>
              <w:left w:val="nil"/>
              <w:bottom w:val="single" w:sz="4" w:space="0" w:color="auto"/>
              <w:right w:val="single" w:sz="4" w:space="0" w:color="auto"/>
            </w:tcBorders>
            <w:shd w:val="clear" w:color="000000" w:fill="FFFFFF"/>
            <w:vAlign w:val="center"/>
          </w:tcPr>
          <w:p w14:paraId="53441591" w14:textId="6144A263" w:rsidR="003D5E39" w:rsidRPr="003D5E39" w:rsidRDefault="003D5E39" w:rsidP="003D5E39">
            <w:pPr>
              <w:spacing w:after="0" w:line="240" w:lineRule="auto"/>
              <w:jc w:val="right"/>
              <w:rPr>
                <w:rFonts w:ascii="Arial" w:eastAsia="Times New Roman" w:hAnsi="Arial" w:cs="Arial"/>
                <w:color w:val="000000"/>
                <w:sz w:val="18"/>
                <w:szCs w:val="18"/>
                <w:lang w:eastAsia="sl-SI"/>
              </w:rPr>
            </w:pPr>
            <w:r w:rsidRPr="003D5E39">
              <w:rPr>
                <w:rFonts w:ascii="Arial" w:eastAsia="Times New Roman" w:hAnsi="Arial" w:cs="Arial"/>
                <w:color w:val="000000"/>
                <w:sz w:val="18"/>
                <w:szCs w:val="18"/>
                <w:lang w:eastAsia="sl-SI"/>
              </w:rPr>
              <w:t>0,40 %</w:t>
            </w:r>
          </w:p>
        </w:tc>
      </w:tr>
      <w:tr w:rsidR="003D5E39" w:rsidRPr="003D5E39" w14:paraId="68CFA3BB" w14:textId="77777777" w:rsidTr="003D5E39">
        <w:trPr>
          <w:trHeight w:val="255"/>
          <w:jc w:val="center"/>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0DFF1483" w14:textId="77777777" w:rsidR="003D5E39" w:rsidRPr="003D5E39" w:rsidRDefault="003D5E39" w:rsidP="003D5E39">
            <w:pPr>
              <w:spacing w:after="0" w:line="240" w:lineRule="auto"/>
              <w:rPr>
                <w:rFonts w:ascii="Arial" w:eastAsia="Times New Roman" w:hAnsi="Arial" w:cs="Arial"/>
                <w:color w:val="000000"/>
                <w:sz w:val="18"/>
                <w:szCs w:val="18"/>
                <w:lang w:eastAsia="sl-SI"/>
              </w:rPr>
            </w:pPr>
            <w:r w:rsidRPr="003D5E39">
              <w:rPr>
                <w:rFonts w:ascii="Arial" w:eastAsia="Times New Roman" w:hAnsi="Arial" w:cs="Arial"/>
                <w:color w:val="000000"/>
                <w:sz w:val="18"/>
                <w:szCs w:val="18"/>
                <w:lang w:eastAsia="sl-SI"/>
              </w:rPr>
              <w:t>Drugi naročniki (osebe javnega prava, javna podjetja, subjekt s posebnimi infrastrukturnimi pravicami)</w:t>
            </w:r>
          </w:p>
        </w:tc>
        <w:tc>
          <w:tcPr>
            <w:tcW w:w="851" w:type="dxa"/>
            <w:tcBorders>
              <w:top w:val="nil"/>
              <w:left w:val="nil"/>
              <w:bottom w:val="single" w:sz="4" w:space="0" w:color="auto"/>
              <w:right w:val="single" w:sz="4" w:space="0" w:color="auto"/>
            </w:tcBorders>
            <w:shd w:val="clear" w:color="auto" w:fill="auto"/>
            <w:vAlign w:val="center"/>
            <w:hideMark/>
          </w:tcPr>
          <w:p w14:paraId="0DC29ED7" w14:textId="6355D991" w:rsidR="003D5E39" w:rsidRPr="003D5E39" w:rsidRDefault="003D5E39" w:rsidP="003D5E39">
            <w:pPr>
              <w:spacing w:after="0" w:line="240" w:lineRule="auto"/>
              <w:jc w:val="right"/>
              <w:rPr>
                <w:rFonts w:ascii="Arial" w:eastAsia="Times New Roman" w:hAnsi="Arial" w:cs="Arial"/>
                <w:color w:val="000000"/>
                <w:sz w:val="18"/>
                <w:szCs w:val="18"/>
                <w:lang w:eastAsia="sl-SI"/>
              </w:rPr>
            </w:pPr>
            <w:r w:rsidRPr="003D5E39">
              <w:rPr>
                <w:rFonts w:ascii="Arial" w:eastAsia="Times New Roman" w:hAnsi="Arial" w:cs="Arial"/>
                <w:color w:val="000000"/>
                <w:sz w:val="18"/>
                <w:szCs w:val="18"/>
                <w:lang w:eastAsia="sl-SI"/>
              </w:rPr>
              <w:t>145</w:t>
            </w:r>
          </w:p>
        </w:tc>
        <w:tc>
          <w:tcPr>
            <w:tcW w:w="1276" w:type="dxa"/>
            <w:tcBorders>
              <w:top w:val="nil"/>
              <w:left w:val="nil"/>
              <w:bottom w:val="single" w:sz="4" w:space="0" w:color="auto"/>
              <w:right w:val="single" w:sz="4" w:space="0" w:color="auto"/>
            </w:tcBorders>
            <w:shd w:val="clear" w:color="auto" w:fill="auto"/>
            <w:vAlign w:val="center"/>
            <w:hideMark/>
          </w:tcPr>
          <w:p w14:paraId="7E5448E3" w14:textId="6266BA8B" w:rsidR="003D5E39" w:rsidRPr="003D5E39" w:rsidRDefault="003D5E39" w:rsidP="003D5E39">
            <w:pPr>
              <w:spacing w:after="0" w:line="240" w:lineRule="auto"/>
              <w:jc w:val="right"/>
              <w:rPr>
                <w:rFonts w:ascii="Arial" w:eastAsia="Times New Roman" w:hAnsi="Arial" w:cs="Arial"/>
                <w:color w:val="000000"/>
                <w:sz w:val="18"/>
                <w:szCs w:val="18"/>
                <w:lang w:eastAsia="sl-SI"/>
              </w:rPr>
            </w:pPr>
            <w:r w:rsidRPr="003D5E39">
              <w:rPr>
                <w:rFonts w:ascii="Arial" w:eastAsia="Times New Roman" w:hAnsi="Arial" w:cs="Arial"/>
                <w:color w:val="000000"/>
                <w:sz w:val="18"/>
                <w:szCs w:val="18"/>
                <w:lang w:eastAsia="sl-SI"/>
              </w:rPr>
              <w:t>73.526.019</w:t>
            </w:r>
          </w:p>
        </w:tc>
        <w:tc>
          <w:tcPr>
            <w:tcW w:w="1262" w:type="dxa"/>
            <w:tcBorders>
              <w:top w:val="nil"/>
              <w:left w:val="nil"/>
              <w:bottom w:val="single" w:sz="4" w:space="0" w:color="auto"/>
              <w:right w:val="single" w:sz="4" w:space="0" w:color="auto"/>
            </w:tcBorders>
            <w:shd w:val="clear" w:color="000000" w:fill="FFFFFF"/>
            <w:vAlign w:val="center"/>
            <w:hideMark/>
          </w:tcPr>
          <w:p w14:paraId="027D21CF" w14:textId="097930A9" w:rsidR="003D5E39" w:rsidRPr="003D5E39" w:rsidRDefault="003D5E39" w:rsidP="003D5E39">
            <w:pPr>
              <w:spacing w:after="0" w:line="240" w:lineRule="auto"/>
              <w:jc w:val="right"/>
              <w:rPr>
                <w:rFonts w:ascii="Arial" w:eastAsia="Times New Roman" w:hAnsi="Arial" w:cs="Arial"/>
                <w:color w:val="000000"/>
                <w:sz w:val="18"/>
                <w:szCs w:val="18"/>
                <w:lang w:eastAsia="sl-SI"/>
              </w:rPr>
            </w:pPr>
            <w:r w:rsidRPr="003D5E39">
              <w:rPr>
                <w:rFonts w:ascii="Arial" w:eastAsia="Times New Roman" w:hAnsi="Arial" w:cs="Arial"/>
                <w:color w:val="000000"/>
                <w:sz w:val="18"/>
                <w:szCs w:val="18"/>
                <w:lang w:eastAsia="sl-SI"/>
              </w:rPr>
              <w:t>19,31 %</w:t>
            </w:r>
          </w:p>
        </w:tc>
        <w:tc>
          <w:tcPr>
            <w:tcW w:w="1360" w:type="dxa"/>
            <w:tcBorders>
              <w:top w:val="nil"/>
              <w:left w:val="nil"/>
              <w:bottom w:val="single" w:sz="4" w:space="0" w:color="auto"/>
              <w:right w:val="single" w:sz="4" w:space="0" w:color="auto"/>
            </w:tcBorders>
            <w:shd w:val="clear" w:color="000000" w:fill="FFFFFF"/>
            <w:vAlign w:val="center"/>
            <w:hideMark/>
          </w:tcPr>
          <w:p w14:paraId="1586A0B3" w14:textId="2116908D" w:rsidR="003D5E39" w:rsidRPr="003D5E39" w:rsidRDefault="003D5E39" w:rsidP="003D5E39">
            <w:pPr>
              <w:spacing w:after="0" w:line="240" w:lineRule="auto"/>
              <w:jc w:val="right"/>
              <w:rPr>
                <w:rFonts w:ascii="Arial" w:eastAsia="Times New Roman" w:hAnsi="Arial" w:cs="Arial"/>
                <w:color w:val="000000"/>
                <w:sz w:val="18"/>
                <w:szCs w:val="18"/>
                <w:lang w:eastAsia="sl-SI"/>
              </w:rPr>
            </w:pPr>
            <w:r w:rsidRPr="003D5E39">
              <w:rPr>
                <w:rFonts w:ascii="Arial" w:eastAsia="Times New Roman" w:hAnsi="Arial" w:cs="Arial"/>
                <w:color w:val="000000"/>
                <w:sz w:val="18"/>
                <w:szCs w:val="18"/>
                <w:lang w:eastAsia="sl-SI"/>
              </w:rPr>
              <w:t>15,20 %</w:t>
            </w:r>
          </w:p>
        </w:tc>
      </w:tr>
      <w:tr w:rsidR="003D5E39" w:rsidRPr="003D5E39" w14:paraId="5D1FDAAD" w14:textId="77777777" w:rsidTr="003D5E39">
        <w:trPr>
          <w:trHeight w:val="255"/>
          <w:jc w:val="center"/>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00C93054" w14:textId="69A338AE" w:rsidR="003D5E39" w:rsidRPr="003D5E39" w:rsidRDefault="00B51C8C" w:rsidP="003D5E39">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Drugi</w:t>
            </w:r>
            <w:r w:rsidR="003D5E39" w:rsidRPr="003D5E39">
              <w:rPr>
                <w:rFonts w:ascii="Arial" w:eastAsia="Times New Roman" w:hAnsi="Arial" w:cs="Arial"/>
                <w:color w:val="000000"/>
                <w:sz w:val="18"/>
                <w:szCs w:val="18"/>
                <w:lang w:eastAsia="sl-SI"/>
              </w:rPr>
              <w:t xml:space="preserve"> subjekti</w:t>
            </w:r>
          </w:p>
        </w:tc>
        <w:tc>
          <w:tcPr>
            <w:tcW w:w="851" w:type="dxa"/>
            <w:tcBorders>
              <w:top w:val="nil"/>
              <w:left w:val="nil"/>
              <w:bottom w:val="single" w:sz="4" w:space="0" w:color="auto"/>
              <w:right w:val="single" w:sz="4" w:space="0" w:color="auto"/>
            </w:tcBorders>
            <w:shd w:val="clear" w:color="auto" w:fill="auto"/>
            <w:vAlign w:val="center"/>
            <w:hideMark/>
          </w:tcPr>
          <w:p w14:paraId="414FAF80" w14:textId="152C49C4" w:rsidR="003D5E39" w:rsidRPr="003D5E39" w:rsidRDefault="003D5E39" w:rsidP="003D5E39">
            <w:pPr>
              <w:spacing w:after="0" w:line="240" w:lineRule="auto"/>
              <w:jc w:val="right"/>
              <w:rPr>
                <w:rFonts w:ascii="Arial" w:eastAsia="Times New Roman" w:hAnsi="Arial" w:cs="Arial"/>
                <w:color w:val="000000"/>
                <w:sz w:val="18"/>
                <w:szCs w:val="18"/>
                <w:lang w:eastAsia="sl-SI"/>
              </w:rPr>
            </w:pPr>
            <w:r w:rsidRPr="003D5E39">
              <w:rPr>
                <w:rFonts w:ascii="Arial" w:eastAsia="Times New Roman" w:hAnsi="Arial" w:cs="Arial"/>
                <w:color w:val="000000"/>
                <w:sz w:val="18"/>
                <w:szCs w:val="18"/>
                <w:lang w:eastAsia="sl-SI"/>
              </w:rPr>
              <w:t>7</w:t>
            </w:r>
          </w:p>
        </w:tc>
        <w:tc>
          <w:tcPr>
            <w:tcW w:w="1276" w:type="dxa"/>
            <w:tcBorders>
              <w:top w:val="nil"/>
              <w:left w:val="nil"/>
              <w:bottom w:val="single" w:sz="4" w:space="0" w:color="auto"/>
              <w:right w:val="single" w:sz="4" w:space="0" w:color="auto"/>
            </w:tcBorders>
            <w:shd w:val="clear" w:color="auto" w:fill="auto"/>
            <w:vAlign w:val="center"/>
            <w:hideMark/>
          </w:tcPr>
          <w:p w14:paraId="290CA90E" w14:textId="7FEE2994" w:rsidR="003D5E39" w:rsidRPr="003D5E39" w:rsidRDefault="003D5E39" w:rsidP="003D5E39">
            <w:pPr>
              <w:spacing w:after="0" w:line="240" w:lineRule="auto"/>
              <w:jc w:val="right"/>
              <w:rPr>
                <w:rFonts w:ascii="Arial" w:eastAsia="Times New Roman" w:hAnsi="Arial" w:cs="Arial"/>
                <w:color w:val="000000"/>
                <w:sz w:val="18"/>
                <w:szCs w:val="18"/>
                <w:lang w:eastAsia="sl-SI"/>
              </w:rPr>
            </w:pPr>
            <w:r w:rsidRPr="003D5E39">
              <w:rPr>
                <w:rFonts w:ascii="Arial" w:eastAsia="Times New Roman" w:hAnsi="Arial" w:cs="Arial"/>
                <w:color w:val="000000"/>
                <w:sz w:val="18"/>
                <w:szCs w:val="18"/>
                <w:lang w:eastAsia="sl-SI"/>
              </w:rPr>
              <w:t>7.058.576</w:t>
            </w:r>
          </w:p>
        </w:tc>
        <w:tc>
          <w:tcPr>
            <w:tcW w:w="1262" w:type="dxa"/>
            <w:tcBorders>
              <w:top w:val="nil"/>
              <w:left w:val="nil"/>
              <w:bottom w:val="single" w:sz="4" w:space="0" w:color="auto"/>
              <w:right w:val="single" w:sz="4" w:space="0" w:color="auto"/>
            </w:tcBorders>
            <w:shd w:val="clear" w:color="000000" w:fill="FFFFFF"/>
            <w:vAlign w:val="center"/>
            <w:hideMark/>
          </w:tcPr>
          <w:p w14:paraId="65BE3E13" w14:textId="094C7DD8" w:rsidR="003D5E39" w:rsidRPr="003D5E39" w:rsidRDefault="003D5E39" w:rsidP="003D5E39">
            <w:pPr>
              <w:spacing w:after="0" w:line="240" w:lineRule="auto"/>
              <w:jc w:val="right"/>
              <w:rPr>
                <w:rFonts w:ascii="Arial" w:eastAsia="Times New Roman" w:hAnsi="Arial" w:cs="Arial"/>
                <w:color w:val="000000"/>
                <w:sz w:val="18"/>
                <w:szCs w:val="18"/>
                <w:lang w:eastAsia="sl-SI"/>
              </w:rPr>
            </w:pPr>
            <w:r w:rsidRPr="003D5E39">
              <w:rPr>
                <w:rFonts w:ascii="Arial" w:eastAsia="Times New Roman" w:hAnsi="Arial" w:cs="Arial"/>
                <w:color w:val="000000"/>
                <w:sz w:val="18"/>
                <w:szCs w:val="18"/>
                <w:lang w:eastAsia="sl-SI"/>
              </w:rPr>
              <w:t>0,93 %</w:t>
            </w:r>
          </w:p>
        </w:tc>
        <w:tc>
          <w:tcPr>
            <w:tcW w:w="1360" w:type="dxa"/>
            <w:tcBorders>
              <w:top w:val="nil"/>
              <w:left w:val="nil"/>
              <w:bottom w:val="single" w:sz="4" w:space="0" w:color="auto"/>
              <w:right w:val="single" w:sz="4" w:space="0" w:color="auto"/>
            </w:tcBorders>
            <w:shd w:val="clear" w:color="000000" w:fill="FFFFFF"/>
            <w:vAlign w:val="center"/>
            <w:hideMark/>
          </w:tcPr>
          <w:p w14:paraId="4E603D63" w14:textId="79B429DE" w:rsidR="003D5E39" w:rsidRPr="003D5E39" w:rsidRDefault="003D5E39" w:rsidP="003D5E39">
            <w:pPr>
              <w:spacing w:after="0" w:line="240" w:lineRule="auto"/>
              <w:jc w:val="right"/>
              <w:rPr>
                <w:rFonts w:ascii="Arial" w:eastAsia="Times New Roman" w:hAnsi="Arial" w:cs="Arial"/>
                <w:color w:val="000000"/>
                <w:sz w:val="18"/>
                <w:szCs w:val="18"/>
                <w:lang w:eastAsia="sl-SI"/>
              </w:rPr>
            </w:pPr>
            <w:r w:rsidRPr="003D5E39">
              <w:rPr>
                <w:rFonts w:ascii="Arial" w:eastAsia="Times New Roman" w:hAnsi="Arial" w:cs="Arial"/>
                <w:color w:val="000000"/>
                <w:sz w:val="18"/>
                <w:szCs w:val="18"/>
                <w:lang w:eastAsia="sl-SI"/>
              </w:rPr>
              <w:t>1,46 %</w:t>
            </w:r>
          </w:p>
        </w:tc>
      </w:tr>
      <w:tr w:rsidR="003D5E39" w:rsidRPr="003D5E39" w14:paraId="7423584C" w14:textId="77777777" w:rsidTr="003D5E39">
        <w:trPr>
          <w:trHeight w:val="255"/>
          <w:jc w:val="center"/>
        </w:trPr>
        <w:tc>
          <w:tcPr>
            <w:tcW w:w="4394"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A150547" w14:textId="77777777" w:rsidR="003D5E39" w:rsidRPr="003D5E39" w:rsidRDefault="003D5E39" w:rsidP="003D5E39">
            <w:pPr>
              <w:spacing w:after="0" w:line="240" w:lineRule="auto"/>
              <w:rPr>
                <w:rFonts w:ascii="Arial" w:eastAsia="Times New Roman" w:hAnsi="Arial" w:cs="Arial"/>
                <w:b/>
                <w:bCs/>
                <w:color w:val="000000"/>
                <w:sz w:val="18"/>
                <w:szCs w:val="18"/>
                <w:lang w:eastAsia="sl-SI"/>
              </w:rPr>
            </w:pPr>
            <w:r w:rsidRPr="003D5E39">
              <w:rPr>
                <w:rFonts w:ascii="Arial" w:eastAsia="Times New Roman" w:hAnsi="Arial" w:cs="Arial"/>
                <w:b/>
                <w:bCs/>
                <w:color w:val="000000"/>
                <w:sz w:val="18"/>
                <w:szCs w:val="18"/>
                <w:lang w:eastAsia="sl-SI"/>
              </w:rPr>
              <w:t>Skupaj</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037833E3" w14:textId="678FA663" w:rsidR="003D5E39" w:rsidRPr="003D5E39" w:rsidRDefault="003D5E39" w:rsidP="003D5E39">
            <w:pPr>
              <w:spacing w:after="0" w:line="240" w:lineRule="auto"/>
              <w:jc w:val="right"/>
              <w:rPr>
                <w:rFonts w:ascii="Arial" w:eastAsia="Times New Roman" w:hAnsi="Arial" w:cs="Arial"/>
                <w:b/>
                <w:bCs/>
                <w:color w:val="000000"/>
                <w:sz w:val="18"/>
                <w:szCs w:val="18"/>
                <w:lang w:eastAsia="sl-SI"/>
              </w:rPr>
            </w:pPr>
            <w:r w:rsidRPr="003D5E39">
              <w:rPr>
                <w:rFonts w:ascii="Arial" w:eastAsia="Times New Roman" w:hAnsi="Arial" w:cs="Arial"/>
                <w:b/>
                <w:bCs/>
                <w:color w:val="000000"/>
                <w:sz w:val="18"/>
                <w:szCs w:val="18"/>
                <w:lang w:eastAsia="sl-SI"/>
              </w:rPr>
              <w:t>751</w:t>
            </w:r>
          </w:p>
        </w:tc>
        <w:tc>
          <w:tcPr>
            <w:tcW w:w="1276" w:type="dxa"/>
            <w:tcBorders>
              <w:top w:val="nil"/>
              <w:left w:val="nil"/>
              <w:bottom w:val="single" w:sz="4" w:space="0" w:color="auto"/>
              <w:right w:val="single" w:sz="4" w:space="0" w:color="auto"/>
            </w:tcBorders>
            <w:shd w:val="clear" w:color="auto" w:fill="F2F2F2" w:themeFill="background1" w:themeFillShade="F2"/>
            <w:vAlign w:val="center"/>
            <w:hideMark/>
          </w:tcPr>
          <w:p w14:paraId="356B3CB2" w14:textId="485A9032" w:rsidR="003D5E39" w:rsidRPr="003D5E39" w:rsidRDefault="003D5E39" w:rsidP="003D5E39">
            <w:pPr>
              <w:spacing w:after="0" w:line="240" w:lineRule="auto"/>
              <w:jc w:val="right"/>
              <w:rPr>
                <w:rFonts w:ascii="Arial" w:eastAsia="Times New Roman" w:hAnsi="Arial" w:cs="Arial"/>
                <w:b/>
                <w:bCs/>
                <w:color w:val="000000"/>
                <w:sz w:val="18"/>
                <w:szCs w:val="18"/>
                <w:lang w:eastAsia="sl-SI"/>
              </w:rPr>
            </w:pPr>
            <w:r w:rsidRPr="003D5E39">
              <w:rPr>
                <w:rFonts w:ascii="Arial" w:eastAsia="Times New Roman" w:hAnsi="Arial" w:cs="Arial"/>
                <w:b/>
                <w:bCs/>
                <w:color w:val="000000"/>
                <w:sz w:val="18"/>
                <w:szCs w:val="18"/>
                <w:lang w:eastAsia="sl-SI"/>
              </w:rPr>
              <w:t>483.778.024</w:t>
            </w:r>
          </w:p>
        </w:tc>
        <w:tc>
          <w:tcPr>
            <w:tcW w:w="1262" w:type="dxa"/>
            <w:tcBorders>
              <w:top w:val="nil"/>
              <w:left w:val="nil"/>
              <w:bottom w:val="single" w:sz="4" w:space="0" w:color="auto"/>
              <w:right w:val="single" w:sz="4" w:space="0" w:color="auto"/>
            </w:tcBorders>
            <w:shd w:val="clear" w:color="auto" w:fill="F2F2F2" w:themeFill="background1" w:themeFillShade="F2"/>
            <w:vAlign w:val="center"/>
            <w:hideMark/>
          </w:tcPr>
          <w:p w14:paraId="6E04391A" w14:textId="56846EA8" w:rsidR="003D5E39" w:rsidRPr="003D5E39" w:rsidRDefault="003D5E39" w:rsidP="003D5E39">
            <w:pPr>
              <w:spacing w:after="0" w:line="240" w:lineRule="auto"/>
              <w:jc w:val="right"/>
              <w:rPr>
                <w:rFonts w:ascii="Arial" w:eastAsia="Times New Roman" w:hAnsi="Arial" w:cs="Arial"/>
                <w:b/>
                <w:bCs/>
                <w:color w:val="000000"/>
                <w:sz w:val="18"/>
                <w:szCs w:val="18"/>
                <w:lang w:eastAsia="sl-SI"/>
              </w:rPr>
            </w:pPr>
            <w:r w:rsidRPr="003D5E39">
              <w:rPr>
                <w:rFonts w:ascii="Arial" w:eastAsia="Times New Roman" w:hAnsi="Arial" w:cs="Arial"/>
                <w:b/>
                <w:bCs/>
                <w:color w:val="000000"/>
                <w:sz w:val="18"/>
                <w:szCs w:val="18"/>
                <w:lang w:eastAsia="sl-SI"/>
              </w:rPr>
              <w:t>100,00 %</w:t>
            </w:r>
          </w:p>
        </w:tc>
        <w:tc>
          <w:tcPr>
            <w:tcW w:w="1360" w:type="dxa"/>
            <w:tcBorders>
              <w:top w:val="nil"/>
              <w:left w:val="nil"/>
              <w:bottom w:val="single" w:sz="4" w:space="0" w:color="auto"/>
              <w:right w:val="single" w:sz="4" w:space="0" w:color="auto"/>
            </w:tcBorders>
            <w:shd w:val="clear" w:color="auto" w:fill="F2F2F2" w:themeFill="background1" w:themeFillShade="F2"/>
            <w:vAlign w:val="center"/>
            <w:hideMark/>
          </w:tcPr>
          <w:p w14:paraId="330F7C61" w14:textId="0FB70FC7" w:rsidR="003D5E39" w:rsidRPr="003D5E39" w:rsidRDefault="003D5E39" w:rsidP="003D5E39">
            <w:pPr>
              <w:spacing w:after="0" w:line="240" w:lineRule="auto"/>
              <w:jc w:val="right"/>
              <w:rPr>
                <w:rFonts w:ascii="Arial" w:eastAsia="Times New Roman" w:hAnsi="Arial" w:cs="Arial"/>
                <w:b/>
                <w:bCs/>
                <w:color w:val="000000"/>
                <w:sz w:val="18"/>
                <w:szCs w:val="18"/>
                <w:lang w:eastAsia="sl-SI"/>
              </w:rPr>
            </w:pPr>
            <w:r w:rsidRPr="003D5E39">
              <w:rPr>
                <w:rFonts w:ascii="Arial" w:eastAsia="Times New Roman" w:hAnsi="Arial" w:cs="Arial"/>
                <w:b/>
                <w:bCs/>
                <w:color w:val="000000"/>
                <w:sz w:val="18"/>
                <w:szCs w:val="18"/>
                <w:lang w:eastAsia="sl-SI"/>
              </w:rPr>
              <w:t>100,00 %</w:t>
            </w:r>
          </w:p>
        </w:tc>
      </w:tr>
    </w:tbl>
    <w:p w14:paraId="77D8A605" w14:textId="77777777" w:rsidR="004A613D" w:rsidRPr="003D5E39" w:rsidRDefault="004A613D" w:rsidP="004A613D">
      <w:pPr>
        <w:spacing w:after="0" w:line="240" w:lineRule="auto"/>
        <w:jc w:val="center"/>
        <w:rPr>
          <w:rFonts w:ascii="Arial" w:hAnsi="Arial" w:cs="Arial"/>
          <w:sz w:val="18"/>
        </w:rPr>
      </w:pPr>
    </w:p>
    <w:p w14:paraId="1CBC7ABF" w14:textId="7A7B48F4" w:rsidR="00177D22" w:rsidRPr="003D5E39" w:rsidRDefault="00177D22" w:rsidP="004A613D">
      <w:pPr>
        <w:spacing w:after="0" w:line="240" w:lineRule="auto"/>
        <w:jc w:val="center"/>
        <w:rPr>
          <w:rFonts w:ascii="Arial" w:hAnsi="Arial" w:cs="Arial"/>
          <w:sz w:val="18"/>
        </w:rPr>
      </w:pPr>
      <w:r w:rsidRPr="003D5E39">
        <w:rPr>
          <w:rFonts w:ascii="Arial" w:hAnsi="Arial" w:cs="Arial"/>
          <w:sz w:val="18"/>
        </w:rPr>
        <w:t>Vir: Statistični podatki o javni</w:t>
      </w:r>
      <w:r w:rsidR="00CD1C20" w:rsidRPr="003D5E39">
        <w:rPr>
          <w:rFonts w:ascii="Arial" w:hAnsi="Arial" w:cs="Arial"/>
          <w:sz w:val="18"/>
        </w:rPr>
        <w:t>h naročilih, oddanih v letu 20</w:t>
      </w:r>
      <w:r w:rsidR="0056175F" w:rsidRPr="003D5E39">
        <w:rPr>
          <w:rFonts w:ascii="Arial" w:hAnsi="Arial" w:cs="Arial"/>
          <w:sz w:val="18"/>
        </w:rPr>
        <w:t>2</w:t>
      </w:r>
      <w:r w:rsidR="003D5E39" w:rsidRPr="003D5E39">
        <w:rPr>
          <w:rFonts w:ascii="Arial" w:hAnsi="Arial" w:cs="Arial"/>
          <w:sz w:val="18"/>
        </w:rPr>
        <w:t>2</w:t>
      </w:r>
      <w:r w:rsidR="00630FBA" w:rsidRPr="003D5E39">
        <w:rPr>
          <w:rFonts w:ascii="Arial" w:hAnsi="Arial" w:cs="Arial"/>
          <w:sz w:val="18"/>
        </w:rPr>
        <w:t>.</w:t>
      </w:r>
    </w:p>
    <w:p w14:paraId="4B8B7562" w14:textId="77777777" w:rsidR="00177D22" w:rsidRPr="00B11217" w:rsidRDefault="00177D22" w:rsidP="009E3010">
      <w:pPr>
        <w:pStyle w:val="Standard"/>
        <w:spacing w:line="360" w:lineRule="auto"/>
        <w:rPr>
          <w:rFonts w:cs="Arial"/>
          <w:sz w:val="20"/>
          <w:szCs w:val="20"/>
        </w:rPr>
      </w:pPr>
    </w:p>
    <w:p w14:paraId="49CB1001" w14:textId="24033158" w:rsidR="002F6AA2" w:rsidRPr="00B11217" w:rsidRDefault="002F6AA2" w:rsidP="00425E62">
      <w:pPr>
        <w:spacing w:line="360" w:lineRule="auto"/>
        <w:jc w:val="both"/>
        <w:rPr>
          <w:rFonts w:ascii="Arial" w:eastAsia="Times New Roman" w:hAnsi="Arial" w:cs="Arial"/>
          <w:color w:val="000000"/>
          <w:sz w:val="20"/>
          <w:szCs w:val="20"/>
          <w:lang w:eastAsia="sl-SI"/>
        </w:rPr>
      </w:pPr>
      <w:r w:rsidRPr="00B11217">
        <w:rPr>
          <w:rFonts w:ascii="Arial" w:hAnsi="Arial" w:cs="Arial"/>
          <w:sz w:val="20"/>
          <w:szCs w:val="20"/>
        </w:rPr>
        <w:t xml:space="preserve">Glede na vrednost oddanih skupnih javnih naročil </w:t>
      </w:r>
      <w:r w:rsidR="00CF3448" w:rsidRPr="00B11217">
        <w:rPr>
          <w:rFonts w:ascii="Arial" w:hAnsi="Arial" w:cs="Arial"/>
          <w:sz w:val="20"/>
          <w:szCs w:val="20"/>
        </w:rPr>
        <w:t>so</w:t>
      </w:r>
      <w:r w:rsidRPr="00B11217">
        <w:rPr>
          <w:rFonts w:ascii="Arial" w:hAnsi="Arial" w:cs="Arial"/>
          <w:sz w:val="20"/>
          <w:szCs w:val="20"/>
        </w:rPr>
        <w:t xml:space="preserve"> najuspešnejši ponudnik</w:t>
      </w:r>
      <w:r w:rsidR="00CF3448" w:rsidRPr="00B11217">
        <w:rPr>
          <w:rFonts w:ascii="Arial" w:hAnsi="Arial" w:cs="Arial"/>
          <w:sz w:val="20"/>
          <w:szCs w:val="20"/>
        </w:rPr>
        <w:t>i</w:t>
      </w:r>
      <w:r w:rsidRPr="00B11217">
        <w:rPr>
          <w:rFonts w:ascii="Arial" w:hAnsi="Arial" w:cs="Arial"/>
          <w:sz w:val="20"/>
          <w:szCs w:val="20"/>
        </w:rPr>
        <w:t xml:space="preserve"> </w:t>
      </w:r>
      <w:proofErr w:type="spellStart"/>
      <w:r w:rsidR="00B11217" w:rsidRPr="00B11217">
        <w:rPr>
          <w:rFonts w:ascii="Arial" w:hAnsi="Arial" w:cs="Arial"/>
          <w:sz w:val="20"/>
          <w:szCs w:val="20"/>
        </w:rPr>
        <w:t>Kemofarmacija</w:t>
      </w:r>
      <w:proofErr w:type="spellEnd"/>
      <w:r w:rsidR="00B11217" w:rsidRPr="00B11217">
        <w:rPr>
          <w:rFonts w:ascii="Arial" w:hAnsi="Arial" w:cs="Arial"/>
          <w:sz w:val="20"/>
          <w:szCs w:val="20"/>
        </w:rPr>
        <w:t>, d.</w:t>
      </w:r>
      <w:r w:rsidR="000F27B2">
        <w:rPr>
          <w:rFonts w:ascii="Arial" w:hAnsi="Arial" w:cs="Arial"/>
          <w:sz w:val="20"/>
          <w:szCs w:val="20"/>
        </w:rPr>
        <w:t xml:space="preserve"> </w:t>
      </w:r>
      <w:r w:rsidR="00B11217" w:rsidRPr="00B11217">
        <w:rPr>
          <w:rFonts w:ascii="Arial" w:hAnsi="Arial" w:cs="Arial"/>
          <w:sz w:val="20"/>
          <w:szCs w:val="20"/>
        </w:rPr>
        <w:t>d.</w:t>
      </w:r>
      <w:r w:rsidR="008E09B2" w:rsidRPr="00B11217">
        <w:rPr>
          <w:rFonts w:ascii="Arial" w:eastAsia="Times New Roman" w:hAnsi="Arial" w:cs="Arial"/>
          <w:color w:val="000000"/>
          <w:sz w:val="20"/>
          <w:szCs w:val="20"/>
          <w:lang w:eastAsia="sl-SI"/>
        </w:rPr>
        <w:t>,</w:t>
      </w:r>
      <w:r w:rsidRPr="00B11217">
        <w:rPr>
          <w:rFonts w:ascii="Arial" w:eastAsia="Times New Roman" w:hAnsi="Arial" w:cs="Arial"/>
          <w:color w:val="000000"/>
          <w:sz w:val="20"/>
          <w:szCs w:val="20"/>
          <w:lang w:eastAsia="sl-SI"/>
        </w:rPr>
        <w:t xml:space="preserve"> </w:t>
      </w:r>
      <w:r w:rsidR="00B51C8C">
        <w:rPr>
          <w:rFonts w:ascii="Arial" w:hAnsi="Arial" w:cs="Arial"/>
          <w:sz w:val="20"/>
          <w:szCs w:val="20"/>
        </w:rPr>
        <w:t>s</w:t>
      </w:r>
      <w:r w:rsidR="00425E62" w:rsidRPr="00B11217">
        <w:rPr>
          <w:rFonts w:ascii="Arial" w:hAnsi="Arial" w:cs="Arial"/>
          <w:sz w:val="20"/>
          <w:szCs w:val="20"/>
        </w:rPr>
        <w:t xml:space="preserve"> </w:t>
      </w:r>
      <w:r w:rsidR="00B11217" w:rsidRPr="00B11217">
        <w:rPr>
          <w:rFonts w:ascii="Arial" w:hAnsi="Arial" w:cs="Arial"/>
          <w:sz w:val="20"/>
          <w:szCs w:val="20"/>
        </w:rPr>
        <w:t>146</w:t>
      </w:r>
      <w:r w:rsidR="00425E62" w:rsidRPr="00B11217">
        <w:rPr>
          <w:rFonts w:ascii="Arial" w:hAnsi="Arial" w:cs="Arial"/>
          <w:sz w:val="20"/>
          <w:szCs w:val="20"/>
        </w:rPr>
        <w:t xml:space="preserve"> naročil</w:t>
      </w:r>
      <w:r w:rsidR="000405D8" w:rsidRPr="00B11217">
        <w:rPr>
          <w:rFonts w:ascii="Arial" w:hAnsi="Arial" w:cs="Arial"/>
          <w:sz w:val="20"/>
          <w:szCs w:val="20"/>
        </w:rPr>
        <w:t>i</w:t>
      </w:r>
      <w:r w:rsidR="00425E62" w:rsidRPr="00B11217">
        <w:rPr>
          <w:rFonts w:ascii="Arial" w:hAnsi="Arial" w:cs="Arial"/>
          <w:sz w:val="20"/>
          <w:szCs w:val="20"/>
        </w:rPr>
        <w:t xml:space="preserve"> v</w:t>
      </w:r>
      <w:r w:rsidR="000E3AFC" w:rsidRPr="00B11217">
        <w:rPr>
          <w:rFonts w:ascii="Arial" w:hAnsi="Arial" w:cs="Arial"/>
          <w:sz w:val="20"/>
          <w:szCs w:val="20"/>
        </w:rPr>
        <w:t xml:space="preserve"> </w:t>
      </w:r>
      <w:r w:rsidRPr="00B11217">
        <w:rPr>
          <w:rFonts w:ascii="Arial" w:hAnsi="Arial" w:cs="Arial"/>
          <w:sz w:val="20"/>
          <w:szCs w:val="20"/>
        </w:rPr>
        <w:t xml:space="preserve">vrednosti </w:t>
      </w:r>
      <w:r w:rsidR="00B11217" w:rsidRPr="00B11217">
        <w:rPr>
          <w:rFonts w:ascii="Arial" w:hAnsi="Arial" w:cs="Arial"/>
          <w:sz w:val="20"/>
          <w:szCs w:val="20"/>
        </w:rPr>
        <w:t xml:space="preserve">140.531.994 </w:t>
      </w:r>
      <w:r w:rsidR="000E3AFC" w:rsidRPr="00B11217">
        <w:rPr>
          <w:rFonts w:ascii="Arial" w:eastAsia="Times New Roman" w:hAnsi="Arial" w:cs="Arial"/>
          <w:color w:val="000000"/>
          <w:sz w:val="20"/>
          <w:szCs w:val="20"/>
          <w:lang w:eastAsia="sl-SI"/>
        </w:rPr>
        <w:t>evrov</w:t>
      </w:r>
      <w:r w:rsidRPr="00B11217">
        <w:rPr>
          <w:rFonts w:ascii="Arial" w:hAnsi="Arial" w:cs="Arial"/>
          <w:sz w:val="20"/>
          <w:szCs w:val="20"/>
        </w:rPr>
        <w:t>,</w:t>
      </w:r>
      <w:r w:rsidR="00425E62" w:rsidRPr="00B11217">
        <w:rPr>
          <w:rFonts w:ascii="Arial" w:hAnsi="Arial" w:cs="Arial"/>
          <w:sz w:val="20"/>
          <w:szCs w:val="20"/>
        </w:rPr>
        <w:t xml:space="preserve"> </w:t>
      </w:r>
      <w:r w:rsidR="00B11217" w:rsidRPr="00B11217">
        <w:rPr>
          <w:rFonts w:ascii="Arial" w:eastAsia="Times New Roman" w:hAnsi="Arial" w:cs="Arial"/>
          <w:color w:val="000000"/>
          <w:sz w:val="20"/>
          <w:szCs w:val="20"/>
          <w:lang w:eastAsia="sl-SI"/>
        </w:rPr>
        <w:t>Salus</w:t>
      </w:r>
      <w:r w:rsidR="002D5561" w:rsidRPr="00B11217">
        <w:rPr>
          <w:rFonts w:ascii="Arial" w:eastAsia="Times New Roman" w:hAnsi="Arial" w:cs="Arial"/>
          <w:color w:val="000000"/>
          <w:sz w:val="20"/>
          <w:szCs w:val="20"/>
          <w:lang w:eastAsia="sl-SI"/>
        </w:rPr>
        <w:t xml:space="preserve">, </w:t>
      </w:r>
      <w:proofErr w:type="spellStart"/>
      <w:r w:rsidR="002D5561" w:rsidRPr="00B11217">
        <w:rPr>
          <w:rFonts w:ascii="Arial" w:eastAsia="Times New Roman" w:hAnsi="Arial" w:cs="Arial"/>
          <w:color w:val="000000"/>
          <w:sz w:val="20"/>
          <w:szCs w:val="20"/>
          <w:lang w:eastAsia="sl-SI"/>
        </w:rPr>
        <w:t>d.o.o</w:t>
      </w:r>
      <w:proofErr w:type="spellEnd"/>
      <w:r w:rsidR="002D5561" w:rsidRPr="00B11217">
        <w:rPr>
          <w:rFonts w:ascii="Arial" w:eastAsia="Times New Roman" w:hAnsi="Arial" w:cs="Arial"/>
          <w:color w:val="000000"/>
          <w:sz w:val="20"/>
          <w:szCs w:val="20"/>
          <w:lang w:eastAsia="sl-SI"/>
        </w:rPr>
        <w:t>.</w:t>
      </w:r>
      <w:r w:rsidR="00425E62" w:rsidRPr="00B11217">
        <w:rPr>
          <w:rFonts w:ascii="Arial" w:eastAsia="Times New Roman" w:hAnsi="Arial" w:cs="Arial"/>
          <w:color w:val="000000"/>
          <w:sz w:val="20"/>
          <w:szCs w:val="20"/>
          <w:lang w:eastAsia="sl-SI"/>
        </w:rPr>
        <w:t xml:space="preserve">, </w:t>
      </w:r>
      <w:r w:rsidR="00425E62" w:rsidRPr="00B11217">
        <w:rPr>
          <w:rFonts w:ascii="Arial" w:hAnsi="Arial" w:cs="Arial"/>
          <w:sz w:val="20"/>
          <w:szCs w:val="20"/>
        </w:rPr>
        <w:t xml:space="preserve">s </w:t>
      </w:r>
      <w:r w:rsidR="00B11217" w:rsidRPr="00B11217">
        <w:rPr>
          <w:rFonts w:ascii="Arial" w:hAnsi="Arial" w:cs="Arial"/>
          <w:sz w:val="20"/>
          <w:szCs w:val="20"/>
        </w:rPr>
        <w:t>146</w:t>
      </w:r>
      <w:r w:rsidR="00425E62" w:rsidRPr="00B11217">
        <w:rPr>
          <w:rFonts w:ascii="Arial" w:hAnsi="Arial" w:cs="Arial"/>
          <w:sz w:val="20"/>
          <w:szCs w:val="20"/>
        </w:rPr>
        <w:t xml:space="preserve"> naročili </w:t>
      </w:r>
      <w:r w:rsidRPr="00B11217">
        <w:rPr>
          <w:rFonts w:ascii="Arial" w:hAnsi="Arial" w:cs="Arial"/>
          <w:sz w:val="20"/>
          <w:szCs w:val="20"/>
        </w:rPr>
        <w:t xml:space="preserve">v vrednosti </w:t>
      </w:r>
      <w:r w:rsidR="00B11217" w:rsidRPr="00B11217">
        <w:rPr>
          <w:rFonts w:ascii="Arial" w:eastAsia="Times New Roman" w:hAnsi="Arial" w:cs="Arial"/>
          <w:color w:val="000000"/>
          <w:sz w:val="20"/>
          <w:szCs w:val="20"/>
          <w:lang w:eastAsia="sl-SI"/>
        </w:rPr>
        <w:t xml:space="preserve">103.618.205 </w:t>
      </w:r>
      <w:r w:rsidRPr="00B11217">
        <w:rPr>
          <w:rFonts w:ascii="Arial" w:hAnsi="Arial" w:cs="Arial"/>
          <w:sz w:val="20"/>
          <w:szCs w:val="20"/>
        </w:rPr>
        <w:t xml:space="preserve">evrov, </w:t>
      </w:r>
      <w:r w:rsidR="00B11217" w:rsidRPr="00B11217">
        <w:rPr>
          <w:rFonts w:ascii="Arial" w:eastAsia="Times New Roman" w:hAnsi="Arial" w:cs="Arial"/>
          <w:color w:val="000000"/>
          <w:sz w:val="20"/>
          <w:szCs w:val="20"/>
          <w:lang w:eastAsia="sl-SI"/>
        </w:rPr>
        <w:t xml:space="preserve">GH HOLDING storitvena družba </w:t>
      </w:r>
      <w:proofErr w:type="spellStart"/>
      <w:r w:rsidR="00B11217" w:rsidRPr="00B11217">
        <w:rPr>
          <w:rFonts w:ascii="Arial" w:eastAsia="Times New Roman" w:hAnsi="Arial" w:cs="Arial"/>
          <w:color w:val="000000"/>
          <w:sz w:val="20"/>
          <w:szCs w:val="20"/>
          <w:lang w:eastAsia="sl-SI"/>
        </w:rPr>
        <w:t>d.o.o</w:t>
      </w:r>
      <w:proofErr w:type="spellEnd"/>
      <w:r w:rsidR="000405D8" w:rsidRPr="00B11217">
        <w:rPr>
          <w:rFonts w:ascii="Arial" w:eastAsia="Times New Roman" w:hAnsi="Arial" w:cs="Arial"/>
          <w:color w:val="000000"/>
          <w:sz w:val="20"/>
          <w:szCs w:val="20"/>
          <w:lang w:eastAsia="sl-SI"/>
        </w:rPr>
        <w:t xml:space="preserve">., </w:t>
      </w:r>
      <w:r w:rsidR="002D5561" w:rsidRPr="00B11217">
        <w:rPr>
          <w:rFonts w:ascii="Arial" w:eastAsia="Times New Roman" w:hAnsi="Arial" w:cs="Arial"/>
          <w:color w:val="000000"/>
          <w:sz w:val="20"/>
          <w:szCs w:val="20"/>
          <w:lang w:eastAsia="sl-SI"/>
        </w:rPr>
        <w:t>z e</w:t>
      </w:r>
      <w:r w:rsidR="000405D8" w:rsidRPr="00B11217">
        <w:rPr>
          <w:rFonts w:ascii="Arial" w:eastAsia="Times New Roman" w:hAnsi="Arial" w:cs="Arial"/>
          <w:color w:val="000000"/>
          <w:sz w:val="20"/>
          <w:szCs w:val="20"/>
          <w:lang w:eastAsia="sl-SI"/>
        </w:rPr>
        <w:t>nim</w:t>
      </w:r>
      <w:r w:rsidR="00425E62" w:rsidRPr="00B11217">
        <w:rPr>
          <w:rFonts w:ascii="Arial" w:hAnsi="Arial" w:cs="Arial"/>
          <w:sz w:val="20"/>
          <w:szCs w:val="20"/>
        </w:rPr>
        <w:t xml:space="preserve"> naročil</w:t>
      </w:r>
      <w:r w:rsidR="000405D8" w:rsidRPr="00B11217">
        <w:rPr>
          <w:rFonts w:ascii="Arial" w:hAnsi="Arial" w:cs="Arial"/>
          <w:sz w:val="20"/>
          <w:szCs w:val="20"/>
        </w:rPr>
        <w:t xml:space="preserve">om </w:t>
      </w:r>
      <w:r w:rsidRPr="00B11217">
        <w:rPr>
          <w:rFonts w:ascii="Arial" w:hAnsi="Arial" w:cs="Arial"/>
          <w:sz w:val="20"/>
          <w:szCs w:val="20"/>
        </w:rPr>
        <w:t xml:space="preserve">v vrednosti </w:t>
      </w:r>
      <w:r w:rsidR="00B11217" w:rsidRPr="00B11217">
        <w:rPr>
          <w:rFonts w:ascii="Arial" w:hAnsi="Arial" w:cs="Arial"/>
          <w:sz w:val="20"/>
          <w:szCs w:val="20"/>
        </w:rPr>
        <w:t xml:space="preserve">31.753.000 </w:t>
      </w:r>
      <w:r w:rsidRPr="00B11217">
        <w:rPr>
          <w:rFonts w:ascii="Arial" w:hAnsi="Arial" w:cs="Arial"/>
          <w:sz w:val="20"/>
          <w:szCs w:val="20"/>
        </w:rPr>
        <w:t xml:space="preserve">evrov, </w:t>
      </w:r>
      <w:r w:rsidR="00B11217" w:rsidRPr="00B11217">
        <w:rPr>
          <w:rFonts w:ascii="Arial" w:hAnsi="Arial" w:cs="Arial"/>
          <w:sz w:val="20"/>
          <w:szCs w:val="20"/>
        </w:rPr>
        <w:t>KIG podjetje za proizvodnjo in upravljanje družb d.</w:t>
      </w:r>
      <w:r w:rsidR="000F27B2">
        <w:rPr>
          <w:rFonts w:ascii="Arial" w:hAnsi="Arial" w:cs="Arial"/>
          <w:sz w:val="20"/>
          <w:szCs w:val="20"/>
        </w:rPr>
        <w:t xml:space="preserve"> </w:t>
      </w:r>
      <w:r w:rsidR="00B11217" w:rsidRPr="00B11217">
        <w:rPr>
          <w:rFonts w:ascii="Arial" w:hAnsi="Arial" w:cs="Arial"/>
          <w:sz w:val="20"/>
          <w:szCs w:val="20"/>
        </w:rPr>
        <w:t>d</w:t>
      </w:r>
      <w:r w:rsidR="000405D8" w:rsidRPr="00B11217">
        <w:rPr>
          <w:rFonts w:ascii="Arial" w:hAnsi="Arial" w:cs="Arial"/>
          <w:sz w:val="20"/>
          <w:szCs w:val="20"/>
        </w:rPr>
        <w:t>.</w:t>
      </w:r>
      <w:r w:rsidR="00AB2D63" w:rsidRPr="00B11217">
        <w:rPr>
          <w:rFonts w:ascii="Arial" w:hAnsi="Arial" w:cs="Arial"/>
          <w:sz w:val="20"/>
          <w:szCs w:val="20"/>
        </w:rPr>
        <w:t xml:space="preserve"> </w:t>
      </w:r>
      <w:r w:rsidRPr="00B11217">
        <w:rPr>
          <w:rFonts w:ascii="Arial" w:hAnsi="Arial" w:cs="Arial"/>
          <w:sz w:val="20"/>
          <w:szCs w:val="20"/>
        </w:rPr>
        <w:t xml:space="preserve">z enim naročilom v vrednosti </w:t>
      </w:r>
      <w:r w:rsidR="00B11217" w:rsidRPr="00B11217">
        <w:rPr>
          <w:rFonts w:ascii="Arial" w:hAnsi="Arial" w:cs="Arial"/>
          <w:sz w:val="20"/>
          <w:szCs w:val="20"/>
        </w:rPr>
        <w:t xml:space="preserve">24.885.897 </w:t>
      </w:r>
      <w:r w:rsidRPr="00B11217">
        <w:rPr>
          <w:rFonts w:ascii="Arial" w:hAnsi="Arial" w:cs="Arial"/>
          <w:sz w:val="20"/>
          <w:szCs w:val="20"/>
        </w:rPr>
        <w:t xml:space="preserve">evrov in </w:t>
      </w:r>
      <w:r w:rsidR="00B11217" w:rsidRPr="00B11217">
        <w:rPr>
          <w:rFonts w:ascii="Arial" w:eastAsia="Times New Roman" w:hAnsi="Arial" w:cs="Arial"/>
          <w:color w:val="000000"/>
          <w:sz w:val="20"/>
          <w:szCs w:val="20"/>
          <w:lang w:eastAsia="sl-SI"/>
        </w:rPr>
        <w:t xml:space="preserve">MAKRO 5 GRADNJE, izgradnja objektov, </w:t>
      </w:r>
      <w:proofErr w:type="spellStart"/>
      <w:r w:rsidR="00B11217" w:rsidRPr="00B11217">
        <w:rPr>
          <w:rFonts w:ascii="Arial" w:eastAsia="Times New Roman" w:hAnsi="Arial" w:cs="Arial"/>
          <w:color w:val="000000"/>
          <w:sz w:val="20"/>
          <w:szCs w:val="20"/>
          <w:lang w:eastAsia="sl-SI"/>
        </w:rPr>
        <w:t>d.o.o</w:t>
      </w:r>
      <w:proofErr w:type="spellEnd"/>
      <w:r w:rsidR="00B11217" w:rsidRPr="00B11217">
        <w:rPr>
          <w:rFonts w:ascii="Arial" w:eastAsia="Times New Roman" w:hAnsi="Arial" w:cs="Arial"/>
          <w:color w:val="000000"/>
          <w:sz w:val="20"/>
          <w:szCs w:val="20"/>
          <w:lang w:eastAsia="sl-SI"/>
        </w:rPr>
        <w:t xml:space="preserve">. </w:t>
      </w:r>
      <w:r w:rsidR="000405D8" w:rsidRPr="00B11217">
        <w:rPr>
          <w:rFonts w:ascii="Arial" w:eastAsia="Times New Roman" w:hAnsi="Arial" w:cs="Arial"/>
          <w:color w:val="000000"/>
          <w:sz w:val="20"/>
          <w:szCs w:val="20"/>
          <w:lang w:eastAsia="sl-SI"/>
        </w:rPr>
        <w:t xml:space="preserve">z </w:t>
      </w:r>
      <w:r w:rsidR="00B11217" w:rsidRPr="00B11217">
        <w:rPr>
          <w:rFonts w:ascii="Arial" w:eastAsia="Times New Roman" w:hAnsi="Arial" w:cs="Arial"/>
          <w:color w:val="000000"/>
          <w:sz w:val="20"/>
          <w:szCs w:val="20"/>
          <w:lang w:eastAsia="sl-SI"/>
        </w:rPr>
        <w:t>dvem</w:t>
      </w:r>
      <w:r w:rsidR="00CF664F">
        <w:rPr>
          <w:rFonts w:ascii="Arial" w:eastAsia="Times New Roman" w:hAnsi="Arial" w:cs="Arial"/>
          <w:color w:val="000000"/>
          <w:sz w:val="20"/>
          <w:szCs w:val="20"/>
          <w:lang w:eastAsia="sl-SI"/>
        </w:rPr>
        <w:t>a</w:t>
      </w:r>
      <w:r w:rsidR="00B11217" w:rsidRPr="00B11217">
        <w:rPr>
          <w:rFonts w:ascii="Arial" w:eastAsia="Times New Roman" w:hAnsi="Arial" w:cs="Arial"/>
          <w:color w:val="000000"/>
          <w:sz w:val="20"/>
          <w:szCs w:val="20"/>
          <w:lang w:eastAsia="sl-SI"/>
        </w:rPr>
        <w:t xml:space="preserve"> naročil</w:t>
      </w:r>
      <w:r w:rsidR="00CF664F">
        <w:rPr>
          <w:rFonts w:ascii="Arial" w:eastAsia="Times New Roman" w:hAnsi="Arial" w:cs="Arial"/>
          <w:color w:val="000000"/>
          <w:sz w:val="20"/>
          <w:szCs w:val="20"/>
          <w:lang w:eastAsia="sl-SI"/>
        </w:rPr>
        <w:t>oma</w:t>
      </w:r>
      <w:r w:rsidR="000405D8" w:rsidRPr="00B11217">
        <w:rPr>
          <w:rFonts w:ascii="Arial" w:hAnsi="Arial" w:cs="Arial"/>
          <w:sz w:val="20"/>
          <w:szCs w:val="20"/>
        </w:rPr>
        <w:t xml:space="preserve"> </w:t>
      </w:r>
      <w:r w:rsidRPr="00B11217">
        <w:rPr>
          <w:rFonts w:ascii="Arial" w:hAnsi="Arial" w:cs="Arial"/>
          <w:sz w:val="20"/>
          <w:szCs w:val="20"/>
        </w:rPr>
        <w:t xml:space="preserve">v vrednosti </w:t>
      </w:r>
      <w:r w:rsidR="00B11217" w:rsidRPr="00B11217">
        <w:rPr>
          <w:rFonts w:ascii="Arial" w:hAnsi="Arial" w:cs="Arial"/>
          <w:sz w:val="20"/>
          <w:szCs w:val="20"/>
        </w:rPr>
        <w:t xml:space="preserve">15.692.461 </w:t>
      </w:r>
      <w:r w:rsidRPr="00B11217">
        <w:rPr>
          <w:rFonts w:ascii="Arial" w:hAnsi="Arial" w:cs="Arial"/>
          <w:sz w:val="20"/>
          <w:szCs w:val="20"/>
        </w:rPr>
        <w:t>evrov.</w:t>
      </w:r>
    </w:p>
    <w:p w14:paraId="06957077" w14:textId="38EDA7E8" w:rsidR="00C57DA7" w:rsidRPr="00BF7302" w:rsidRDefault="00C57DA7">
      <w:pPr>
        <w:rPr>
          <w:rFonts w:ascii="Arial" w:eastAsia="Times New Roman" w:hAnsi="Arial" w:cs="Arial"/>
          <w:sz w:val="20"/>
          <w:szCs w:val="20"/>
          <w:highlight w:val="yellow"/>
        </w:rPr>
      </w:pPr>
    </w:p>
    <w:p w14:paraId="36B3A01E" w14:textId="7F9EE901" w:rsidR="00034E48" w:rsidRPr="003A0C9E" w:rsidRDefault="00034E48" w:rsidP="00034E48">
      <w:pPr>
        <w:pStyle w:val="Naslov2"/>
        <w:rPr>
          <w:rFonts w:ascii="Arial" w:hAnsi="Arial" w:cs="Arial"/>
          <w:szCs w:val="20"/>
        </w:rPr>
      </w:pPr>
      <w:bookmarkStart w:id="28" w:name="_Toc141864062"/>
      <w:r w:rsidRPr="003A0C9E">
        <w:rPr>
          <w:rFonts w:ascii="Arial" w:hAnsi="Arial" w:cs="Arial"/>
          <w:sz w:val="22"/>
          <w:szCs w:val="22"/>
        </w:rPr>
        <w:t xml:space="preserve">2.4 </w:t>
      </w:r>
      <w:r w:rsidR="009F712C" w:rsidRPr="003A0C9E">
        <w:rPr>
          <w:rFonts w:ascii="Arial" w:hAnsi="Arial" w:cs="Arial"/>
          <w:sz w:val="22"/>
          <w:szCs w:val="22"/>
        </w:rPr>
        <w:t>Kategorije</w:t>
      </w:r>
      <w:r w:rsidRPr="003A0C9E">
        <w:rPr>
          <w:rFonts w:ascii="Arial" w:hAnsi="Arial" w:cs="Arial"/>
          <w:sz w:val="22"/>
          <w:szCs w:val="22"/>
        </w:rPr>
        <w:t xml:space="preserve"> naročnikov ter področja in predmeti naročanja</w:t>
      </w:r>
      <w:bookmarkEnd w:id="28"/>
    </w:p>
    <w:p w14:paraId="24126136" w14:textId="77777777" w:rsidR="008F5893" w:rsidRPr="003A0C9E" w:rsidRDefault="008F5893" w:rsidP="00854405">
      <w:pPr>
        <w:pStyle w:val="ZADEVA"/>
        <w:jc w:val="both"/>
        <w:rPr>
          <w:rFonts w:cs="Arial"/>
          <w:b w:val="0"/>
          <w:szCs w:val="20"/>
          <w:lang w:val="sl-SI"/>
        </w:rPr>
      </w:pPr>
    </w:p>
    <w:p w14:paraId="51B7E7EA" w14:textId="61A80756" w:rsidR="0096100B" w:rsidRDefault="00034E48" w:rsidP="0096100B">
      <w:pPr>
        <w:pStyle w:val="Naslov3"/>
        <w:spacing w:before="0"/>
        <w:rPr>
          <w:rFonts w:ascii="Arial" w:hAnsi="Arial" w:cs="Arial"/>
          <w:sz w:val="22"/>
          <w:szCs w:val="22"/>
        </w:rPr>
      </w:pPr>
      <w:bookmarkStart w:id="29" w:name="_Toc141864063"/>
      <w:r w:rsidRPr="003A0C9E">
        <w:rPr>
          <w:rFonts w:ascii="Arial" w:hAnsi="Arial" w:cs="Arial"/>
          <w:sz w:val="22"/>
          <w:szCs w:val="22"/>
        </w:rPr>
        <w:t>2.4.1 Področje javnega naročanja in dejavnosti naročnikov</w:t>
      </w:r>
      <w:bookmarkEnd w:id="29"/>
    </w:p>
    <w:p w14:paraId="062E5D97" w14:textId="77777777" w:rsidR="0096100B" w:rsidRPr="0096100B" w:rsidRDefault="0096100B" w:rsidP="0096100B"/>
    <w:p w14:paraId="6F723475" w14:textId="5C56E2A5" w:rsidR="00A8659F" w:rsidRPr="003A0C9E" w:rsidRDefault="008E09B2" w:rsidP="0096100B">
      <w:pPr>
        <w:spacing w:line="360" w:lineRule="auto"/>
        <w:jc w:val="both"/>
        <w:rPr>
          <w:rFonts w:ascii="Arial" w:hAnsi="Arial" w:cs="Arial"/>
          <w:sz w:val="20"/>
          <w:szCs w:val="20"/>
        </w:rPr>
      </w:pPr>
      <w:r w:rsidRPr="003A0C9E">
        <w:rPr>
          <w:rFonts w:ascii="Arial" w:hAnsi="Arial" w:cs="Arial"/>
          <w:sz w:val="20"/>
          <w:szCs w:val="20"/>
        </w:rPr>
        <w:t>Leta</w:t>
      </w:r>
      <w:r w:rsidR="00F4651C" w:rsidRPr="003A0C9E">
        <w:rPr>
          <w:rFonts w:ascii="Arial" w:hAnsi="Arial" w:cs="Arial"/>
          <w:sz w:val="20"/>
          <w:szCs w:val="20"/>
        </w:rPr>
        <w:t xml:space="preserve"> 20</w:t>
      </w:r>
      <w:r w:rsidR="004A68B2" w:rsidRPr="003A0C9E">
        <w:rPr>
          <w:rFonts w:ascii="Arial" w:hAnsi="Arial" w:cs="Arial"/>
          <w:sz w:val="20"/>
          <w:szCs w:val="20"/>
        </w:rPr>
        <w:t>2</w:t>
      </w:r>
      <w:r w:rsidR="00726C0E">
        <w:rPr>
          <w:rFonts w:ascii="Arial" w:hAnsi="Arial" w:cs="Arial"/>
          <w:sz w:val="20"/>
          <w:szCs w:val="20"/>
        </w:rPr>
        <w:t>2</w:t>
      </w:r>
      <w:r w:rsidR="003E6EF6" w:rsidRPr="003A0C9E">
        <w:rPr>
          <w:rFonts w:ascii="Arial" w:hAnsi="Arial" w:cs="Arial"/>
          <w:sz w:val="20"/>
          <w:szCs w:val="20"/>
        </w:rPr>
        <w:t xml:space="preserve"> </w:t>
      </w:r>
      <w:r w:rsidR="00942D64" w:rsidRPr="003A0C9E">
        <w:rPr>
          <w:rFonts w:ascii="Arial" w:hAnsi="Arial" w:cs="Arial"/>
          <w:sz w:val="20"/>
          <w:szCs w:val="20"/>
        </w:rPr>
        <w:t xml:space="preserve">je </w:t>
      </w:r>
      <w:r w:rsidR="004A68B2" w:rsidRPr="003A0C9E">
        <w:rPr>
          <w:rFonts w:ascii="Arial" w:hAnsi="Arial" w:cs="Arial"/>
          <w:sz w:val="20"/>
          <w:szCs w:val="20"/>
        </w:rPr>
        <w:t>9</w:t>
      </w:r>
      <w:r w:rsidR="003A0C9E" w:rsidRPr="003A0C9E">
        <w:rPr>
          <w:rFonts w:ascii="Arial" w:hAnsi="Arial" w:cs="Arial"/>
          <w:sz w:val="20"/>
          <w:szCs w:val="20"/>
        </w:rPr>
        <w:t>01</w:t>
      </w:r>
      <w:r w:rsidR="008B331E" w:rsidRPr="003A0C9E">
        <w:rPr>
          <w:rFonts w:ascii="Arial" w:hAnsi="Arial" w:cs="Arial"/>
          <w:sz w:val="20"/>
          <w:szCs w:val="20"/>
        </w:rPr>
        <w:t xml:space="preserve"> naročnik</w:t>
      </w:r>
      <w:r w:rsidR="00912BEF" w:rsidRPr="003A0C9E">
        <w:rPr>
          <w:rFonts w:ascii="Arial" w:hAnsi="Arial" w:cs="Arial"/>
          <w:sz w:val="20"/>
          <w:szCs w:val="20"/>
        </w:rPr>
        <w:t xml:space="preserve"> </w:t>
      </w:r>
      <w:r w:rsidR="008B331E" w:rsidRPr="003A0C9E">
        <w:rPr>
          <w:rFonts w:ascii="Arial" w:hAnsi="Arial" w:cs="Arial"/>
          <w:sz w:val="20"/>
          <w:szCs w:val="20"/>
        </w:rPr>
        <w:t>izv</w:t>
      </w:r>
      <w:r w:rsidR="00942D64" w:rsidRPr="003A0C9E">
        <w:rPr>
          <w:rFonts w:ascii="Arial" w:hAnsi="Arial" w:cs="Arial"/>
          <w:sz w:val="20"/>
          <w:szCs w:val="20"/>
        </w:rPr>
        <w:t>ed</w:t>
      </w:r>
      <w:r w:rsidR="00B51C8C">
        <w:rPr>
          <w:rFonts w:ascii="Arial" w:hAnsi="Arial" w:cs="Arial"/>
          <w:sz w:val="20"/>
          <w:szCs w:val="20"/>
        </w:rPr>
        <w:t>el</w:t>
      </w:r>
      <w:r w:rsidR="008B331E" w:rsidRPr="003A0C9E">
        <w:rPr>
          <w:rFonts w:ascii="Arial" w:hAnsi="Arial" w:cs="Arial"/>
          <w:sz w:val="20"/>
          <w:szCs w:val="20"/>
        </w:rPr>
        <w:t xml:space="preserve"> postopke javnega naročanja na splošnem področju. Skupno so oddali </w:t>
      </w:r>
      <w:r w:rsidR="005135C0" w:rsidRPr="003A0C9E">
        <w:rPr>
          <w:rFonts w:ascii="Arial" w:hAnsi="Arial" w:cs="Arial"/>
          <w:sz w:val="20"/>
          <w:szCs w:val="20"/>
        </w:rPr>
        <w:t>1</w:t>
      </w:r>
      <w:r w:rsidR="00A10F53" w:rsidRPr="003A0C9E">
        <w:rPr>
          <w:rFonts w:ascii="Arial" w:hAnsi="Arial" w:cs="Arial"/>
          <w:sz w:val="20"/>
          <w:szCs w:val="20"/>
        </w:rPr>
        <w:t>5.</w:t>
      </w:r>
      <w:r w:rsidR="003A0C9E" w:rsidRPr="003A0C9E">
        <w:rPr>
          <w:rFonts w:ascii="Arial" w:hAnsi="Arial" w:cs="Arial"/>
          <w:sz w:val="20"/>
          <w:szCs w:val="20"/>
        </w:rPr>
        <w:t>322</w:t>
      </w:r>
      <w:r w:rsidR="005135C0" w:rsidRPr="003A0C9E">
        <w:rPr>
          <w:rFonts w:ascii="Arial" w:hAnsi="Arial" w:cs="Arial"/>
          <w:sz w:val="20"/>
          <w:szCs w:val="20"/>
        </w:rPr>
        <w:t xml:space="preserve"> </w:t>
      </w:r>
      <w:r w:rsidR="008B331E" w:rsidRPr="003A0C9E">
        <w:rPr>
          <w:rFonts w:ascii="Arial" w:hAnsi="Arial" w:cs="Arial"/>
          <w:sz w:val="20"/>
          <w:szCs w:val="20"/>
        </w:rPr>
        <w:t xml:space="preserve">naročil v vrednosti </w:t>
      </w:r>
      <w:r w:rsidR="003A0C9E" w:rsidRPr="003A0C9E">
        <w:rPr>
          <w:rFonts w:ascii="Arial" w:hAnsi="Arial" w:cs="Arial"/>
          <w:sz w:val="20"/>
          <w:szCs w:val="20"/>
        </w:rPr>
        <w:t xml:space="preserve">4.510.497.243 </w:t>
      </w:r>
      <w:r w:rsidR="008B331E" w:rsidRPr="003A0C9E">
        <w:rPr>
          <w:rFonts w:ascii="Arial" w:hAnsi="Arial" w:cs="Arial"/>
          <w:sz w:val="20"/>
          <w:szCs w:val="20"/>
        </w:rPr>
        <w:t xml:space="preserve">evrov. </w:t>
      </w:r>
      <w:r w:rsidR="00477CE0" w:rsidRPr="003A0C9E">
        <w:rPr>
          <w:rFonts w:ascii="Arial" w:hAnsi="Arial" w:cs="Arial"/>
          <w:sz w:val="20"/>
          <w:szCs w:val="20"/>
        </w:rPr>
        <w:t xml:space="preserve">Delež vrednosti njihovih naročil v vrednosti vseh oddanih naročil je </w:t>
      </w:r>
      <w:r w:rsidR="00580FDF">
        <w:rPr>
          <w:rFonts w:ascii="Arial" w:hAnsi="Arial" w:cs="Arial"/>
          <w:sz w:val="20"/>
          <w:szCs w:val="20"/>
        </w:rPr>
        <w:t>83,26</w:t>
      </w:r>
      <w:r w:rsidR="001C2ADE" w:rsidRPr="003A0C9E">
        <w:rPr>
          <w:rFonts w:ascii="Arial" w:hAnsi="Arial" w:cs="Arial"/>
          <w:sz w:val="20"/>
          <w:szCs w:val="20"/>
        </w:rPr>
        <w:t>-</w:t>
      </w:r>
      <w:r w:rsidR="00477CE0" w:rsidRPr="003A0C9E">
        <w:rPr>
          <w:rFonts w:ascii="Arial" w:hAnsi="Arial" w:cs="Arial"/>
          <w:sz w:val="20"/>
          <w:szCs w:val="20"/>
        </w:rPr>
        <w:t xml:space="preserve">odstoten, v številu pa </w:t>
      </w:r>
      <w:r w:rsidR="00580FDF">
        <w:rPr>
          <w:rFonts w:ascii="Arial" w:hAnsi="Arial" w:cs="Arial"/>
          <w:sz w:val="20"/>
          <w:szCs w:val="20"/>
        </w:rPr>
        <w:t>88,96</w:t>
      </w:r>
      <w:r w:rsidR="001C2ADE" w:rsidRPr="003A0C9E">
        <w:rPr>
          <w:rFonts w:ascii="Arial" w:hAnsi="Arial" w:cs="Arial"/>
          <w:sz w:val="20"/>
          <w:szCs w:val="20"/>
        </w:rPr>
        <w:t>-</w:t>
      </w:r>
      <w:r w:rsidR="00477CE0" w:rsidRPr="003A0C9E">
        <w:rPr>
          <w:rFonts w:ascii="Arial" w:hAnsi="Arial" w:cs="Arial"/>
          <w:sz w:val="20"/>
          <w:szCs w:val="20"/>
        </w:rPr>
        <w:t>odstoten.</w:t>
      </w:r>
    </w:p>
    <w:p w14:paraId="264AE9B1" w14:textId="77777777" w:rsidR="00F11E69" w:rsidRDefault="00F11E69">
      <w:pPr>
        <w:rPr>
          <w:rFonts w:ascii="Arial" w:hAnsi="Arial" w:cs="Arial"/>
          <w:sz w:val="20"/>
        </w:rPr>
      </w:pPr>
      <w:r>
        <w:rPr>
          <w:rFonts w:ascii="Arial" w:hAnsi="Arial" w:cs="Arial"/>
          <w:sz w:val="20"/>
        </w:rPr>
        <w:br w:type="page"/>
      </w:r>
    </w:p>
    <w:p w14:paraId="592E9547" w14:textId="0A8B8A72" w:rsidR="00477CE0" w:rsidRPr="003A0C9E" w:rsidRDefault="00477CE0" w:rsidP="008A61FD">
      <w:pPr>
        <w:spacing w:before="120" w:after="120" w:line="240" w:lineRule="auto"/>
        <w:jc w:val="both"/>
        <w:rPr>
          <w:rFonts w:ascii="Arial" w:hAnsi="Arial" w:cs="Arial"/>
          <w:sz w:val="20"/>
        </w:rPr>
      </w:pPr>
      <w:r w:rsidRPr="003A0C9E">
        <w:rPr>
          <w:rFonts w:ascii="Arial" w:hAnsi="Arial" w:cs="Arial"/>
          <w:sz w:val="20"/>
        </w:rPr>
        <w:lastRenderedPageBreak/>
        <w:t xml:space="preserve">Preglednica </w:t>
      </w:r>
      <w:r w:rsidR="00512F52" w:rsidRPr="003A0C9E">
        <w:rPr>
          <w:rFonts w:ascii="Arial" w:hAnsi="Arial" w:cs="Arial"/>
          <w:sz w:val="20"/>
        </w:rPr>
        <w:t>21</w:t>
      </w:r>
      <w:r w:rsidR="005135C0" w:rsidRPr="003A0C9E">
        <w:rPr>
          <w:rFonts w:ascii="Arial" w:hAnsi="Arial" w:cs="Arial"/>
          <w:sz w:val="20"/>
        </w:rPr>
        <w:t>: J</w:t>
      </w:r>
      <w:r w:rsidRPr="003A0C9E">
        <w:rPr>
          <w:rFonts w:ascii="Arial" w:hAnsi="Arial" w:cs="Arial"/>
          <w:sz w:val="20"/>
        </w:rPr>
        <w:t xml:space="preserve">avno naročanje </w:t>
      </w:r>
      <w:r w:rsidR="00912BEF" w:rsidRPr="003A0C9E">
        <w:rPr>
          <w:rFonts w:ascii="Arial" w:hAnsi="Arial" w:cs="Arial"/>
          <w:sz w:val="20"/>
        </w:rPr>
        <w:t>po</w:t>
      </w:r>
      <w:r w:rsidRPr="003A0C9E">
        <w:rPr>
          <w:rFonts w:ascii="Arial" w:hAnsi="Arial" w:cs="Arial"/>
          <w:sz w:val="20"/>
        </w:rPr>
        <w:t xml:space="preserve"> števi</w:t>
      </w:r>
      <w:r w:rsidR="005135C0" w:rsidRPr="003A0C9E">
        <w:rPr>
          <w:rFonts w:ascii="Arial" w:hAnsi="Arial" w:cs="Arial"/>
          <w:sz w:val="20"/>
        </w:rPr>
        <w:t xml:space="preserve">lu, vrednosti in deležu </w:t>
      </w:r>
      <w:r w:rsidRPr="003A0C9E">
        <w:rPr>
          <w:rFonts w:ascii="Arial" w:hAnsi="Arial" w:cs="Arial"/>
          <w:sz w:val="20"/>
        </w:rPr>
        <w:t xml:space="preserve">javnih naročil glede na </w:t>
      </w:r>
      <w:r w:rsidR="000210E2" w:rsidRPr="003A0C9E">
        <w:rPr>
          <w:rFonts w:ascii="Arial" w:hAnsi="Arial" w:cs="Arial"/>
          <w:sz w:val="20"/>
        </w:rPr>
        <w:t>področje naročanja</w:t>
      </w:r>
    </w:p>
    <w:tbl>
      <w:tblPr>
        <w:tblW w:w="7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36"/>
        <w:gridCol w:w="1011"/>
        <w:gridCol w:w="928"/>
        <w:gridCol w:w="1564"/>
        <w:gridCol w:w="1240"/>
        <w:gridCol w:w="1220"/>
      </w:tblGrid>
      <w:tr w:rsidR="004A68B2" w:rsidRPr="003A0C9E" w14:paraId="4DA635F3" w14:textId="77777777" w:rsidTr="000F27B2">
        <w:trPr>
          <w:trHeight w:val="255"/>
          <w:jc w:val="center"/>
        </w:trPr>
        <w:tc>
          <w:tcPr>
            <w:tcW w:w="1536" w:type="dxa"/>
            <w:shd w:val="clear" w:color="auto" w:fill="F2F2F2" w:themeFill="background1" w:themeFillShade="F2"/>
            <w:vAlign w:val="center"/>
            <w:hideMark/>
          </w:tcPr>
          <w:p w14:paraId="67ED0F9C" w14:textId="77777777" w:rsidR="004A68B2" w:rsidRPr="003A0C9E" w:rsidRDefault="004A68B2" w:rsidP="004A68B2">
            <w:pPr>
              <w:spacing w:after="0" w:line="240" w:lineRule="auto"/>
              <w:jc w:val="center"/>
              <w:rPr>
                <w:rFonts w:ascii="Arial" w:eastAsia="Times New Roman" w:hAnsi="Arial" w:cs="Arial"/>
                <w:color w:val="000000"/>
                <w:sz w:val="18"/>
                <w:szCs w:val="18"/>
                <w:lang w:eastAsia="sl-SI"/>
              </w:rPr>
            </w:pPr>
            <w:r w:rsidRPr="003A0C9E">
              <w:rPr>
                <w:rFonts w:ascii="Arial" w:eastAsia="Times New Roman" w:hAnsi="Arial" w:cs="Arial"/>
                <w:color w:val="000000"/>
                <w:sz w:val="18"/>
                <w:szCs w:val="18"/>
                <w:lang w:eastAsia="sl-SI"/>
              </w:rPr>
              <w:t xml:space="preserve">Področje </w:t>
            </w:r>
          </w:p>
        </w:tc>
        <w:tc>
          <w:tcPr>
            <w:tcW w:w="1011" w:type="dxa"/>
            <w:shd w:val="clear" w:color="auto" w:fill="F2F2F2" w:themeFill="background1" w:themeFillShade="F2"/>
            <w:vAlign w:val="center"/>
            <w:hideMark/>
          </w:tcPr>
          <w:p w14:paraId="0C7CC69E" w14:textId="77777777" w:rsidR="004A68B2" w:rsidRPr="003A0C9E" w:rsidRDefault="004A68B2" w:rsidP="004A68B2">
            <w:pPr>
              <w:spacing w:after="0" w:line="240" w:lineRule="auto"/>
              <w:jc w:val="center"/>
              <w:rPr>
                <w:rFonts w:ascii="Arial" w:eastAsia="Times New Roman" w:hAnsi="Arial" w:cs="Arial"/>
                <w:color w:val="000000"/>
                <w:sz w:val="18"/>
                <w:szCs w:val="18"/>
                <w:lang w:eastAsia="sl-SI"/>
              </w:rPr>
            </w:pPr>
            <w:r w:rsidRPr="003A0C9E">
              <w:rPr>
                <w:rFonts w:ascii="Arial" w:eastAsia="Times New Roman" w:hAnsi="Arial" w:cs="Arial"/>
                <w:color w:val="000000"/>
                <w:sz w:val="18"/>
                <w:szCs w:val="18"/>
                <w:lang w:eastAsia="sl-SI"/>
              </w:rPr>
              <w:t>Št. naročnikov</w:t>
            </w:r>
          </w:p>
        </w:tc>
        <w:tc>
          <w:tcPr>
            <w:tcW w:w="928" w:type="dxa"/>
            <w:shd w:val="clear" w:color="auto" w:fill="F2F2F2" w:themeFill="background1" w:themeFillShade="F2"/>
            <w:vAlign w:val="center"/>
            <w:hideMark/>
          </w:tcPr>
          <w:p w14:paraId="29DC40F0" w14:textId="77777777" w:rsidR="004A68B2" w:rsidRPr="003A0C9E" w:rsidRDefault="004A68B2" w:rsidP="004A68B2">
            <w:pPr>
              <w:spacing w:after="0" w:line="240" w:lineRule="auto"/>
              <w:jc w:val="center"/>
              <w:rPr>
                <w:rFonts w:ascii="Arial" w:eastAsia="Times New Roman" w:hAnsi="Arial" w:cs="Arial"/>
                <w:color w:val="000000"/>
                <w:sz w:val="18"/>
                <w:szCs w:val="18"/>
                <w:lang w:eastAsia="sl-SI"/>
              </w:rPr>
            </w:pPr>
            <w:r w:rsidRPr="003A0C9E">
              <w:rPr>
                <w:rFonts w:ascii="Arial" w:eastAsia="Times New Roman" w:hAnsi="Arial" w:cs="Arial"/>
                <w:color w:val="000000"/>
                <w:sz w:val="18"/>
                <w:szCs w:val="18"/>
                <w:lang w:eastAsia="sl-SI"/>
              </w:rPr>
              <w:t>Št. naročil</w:t>
            </w:r>
          </w:p>
        </w:tc>
        <w:tc>
          <w:tcPr>
            <w:tcW w:w="1564" w:type="dxa"/>
            <w:shd w:val="clear" w:color="auto" w:fill="F2F2F2" w:themeFill="background1" w:themeFillShade="F2"/>
            <w:vAlign w:val="center"/>
            <w:hideMark/>
          </w:tcPr>
          <w:p w14:paraId="01B4111B" w14:textId="77777777" w:rsidR="004A68B2" w:rsidRPr="003A0C9E" w:rsidRDefault="004A68B2" w:rsidP="004A68B2">
            <w:pPr>
              <w:spacing w:after="0" w:line="240" w:lineRule="auto"/>
              <w:jc w:val="center"/>
              <w:rPr>
                <w:rFonts w:ascii="Arial" w:eastAsia="Times New Roman" w:hAnsi="Arial" w:cs="Arial"/>
                <w:color w:val="000000"/>
                <w:sz w:val="18"/>
                <w:szCs w:val="18"/>
                <w:lang w:eastAsia="sl-SI"/>
              </w:rPr>
            </w:pPr>
            <w:r w:rsidRPr="003A0C9E">
              <w:rPr>
                <w:rFonts w:ascii="Arial" w:eastAsia="Times New Roman" w:hAnsi="Arial" w:cs="Arial"/>
                <w:color w:val="000000"/>
                <w:sz w:val="18"/>
                <w:szCs w:val="18"/>
                <w:lang w:eastAsia="sl-SI"/>
              </w:rPr>
              <w:t xml:space="preserve">Pogodbena vrednost </w:t>
            </w:r>
          </w:p>
        </w:tc>
        <w:tc>
          <w:tcPr>
            <w:tcW w:w="1240" w:type="dxa"/>
            <w:shd w:val="clear" w:color="auto" w:fill="F2F2F2" w:themeFill="background1" w:themeFillShade="F2"/>
            <w:vAlign w:val="center"/>
            <w:hideMark/>
          </w:tcPr>
          <w:p w14:paraId="62478043" w14:textId="77777777" w:rsidR="004A68B2" w:rsidRPr="003A0C9E" w:rsidRDefault="004A68B2" w:rsidP="004A68B2">
            <w:pPr>
              <w:spacing w:after="0" w:line="240" w:lineRule="auto"/>
              <w:jc w:val="center"/>
              <w:rPr>
                <w:rFonts w:ascii="Arial" w:eastAsia="Times New Roman" w:hAnsi="Arial" w:cs="Arial"/>
                <w:color w:val="000000"/>
                <w:sz w:val="18"/>
                <w:szCs w:val="18"/>
                <w:lang w:eastAsia="sl-SI"/>
              </w:rPr>
            </w:pPr>
            <w:r w:rsidRPr="003A0C9E">
              <w:rPr>
                <w:rFonts w:ascii="Arial" w:eastAsia="Times New Roman" w:hAnsi="Arial" w:cs="Arial"/>
                <w:color w:val="000000"/>
                <w:sz w:val="18"/>
                <w:szCs w:val="18"/>
                <w:lang w:eastAsia="sl-SI"/>
              </w:rPr>
              <w:t>Delež v št. naročil</w:t>
            </w:r>
          </w:p>
        </w:tc>
        <w:tc>
          <w:tcPr>
            <w:tcW w:w="1220" w:type="dxa"/>
            <w:shd w:val="clear" w:color="auto" w:fill="F2F2F2" w:themeFill="background1" w:themeFillShade="F2"/>
            <w:vAlign w:val="center"/>
            <w:hideMark/>
          </w:tcPr>
          <w:p w14:paraId="6C107004" w14:textId="77777777" w:rsidR="004A68B2" w:rsidRPr="003A0C9E" w:rsidRDefault="004A68B2" w:rsidP="004A68B2">
            <w:pPr>
              <w:spacing w:after="0" w:line="240" w:lineRule="auto"/>
              <w:jc w:val="center"/>
              <w:rPr>
                <w:rFonts w:ascii="Arial" w:eastAsia="Times New Roman" w:hAnsi="Arial" w:cs="Arial"/>
                <w:color w:val="000000"/>
                <w:sz w:val="18"/>
                <w:szCs w:val="18"/>
                <w:lang w:eastAsia="sl-SI"/>
              </w:rPr>
            </w:pPr>
            <w:r w:rsidRPr="003A0C9E">
              <w:rPr>
                <w:rFonts w:ascii="Arial" w:eastAsia="Times New Roman" w:hAnsi="Arial" w:cs="Arial"/>
                <w:color w:val="000000"/>
                <w:sz w:val="18"/>
                <w:szCs w:val="18"/>
                <w:lang w:eastAsia="sl-SI"/>
              </w:rPr>
              <w:t xml:space="preserve">Delež v vrednosti </w:t>
            </w:r>
          </w:p>
        </w:tc>
      </w:tr>
      <w:tr w:rsidR="003A0C9E" w:rsidRPr="003A0C9E" w14:paraId="1521E879" w14:textId="77777777" w:rsidTr="000F27B2">
        <w:trPr>
          <w:trHeight w:val="255"/>
          <w:jc w:val="center"/>
        </w:trPr>
        <w:tc>
          <w:tcPr>
            <w:tcW w:w="1536" w:type="dxa"/>
            <w:shd w:val="clear" w:color="auto" w:fill="auto"/>
            <w:vAlign w:val="center"/>
            <w:hideMark/>
          </w:tcPr>
          <w:p w14:paraId="7C7085B6" w14:textId="1C9B9602" w:rsidR="003A0C9E" w:rsidRPr="003A0C9E" w:rsidRDefault="003A0C9E" w:rsidP="003A0C9E">
            <w:pPr>
              <w:spacing w:after="0" w:line="240" w:lineRule="auto"/>
              <w:rPr>
                <w:rFonts w:ascii="Arial" w:eastAsia="Times New Roman" w:hAnsi="Arial" w:cs="Arial"/>
                <w:color w:val="000000"/>
                <w:sz w:val="18"/>
                <w:szCs w:val="18"/>
                <w:lang w:eastAsia="sl-SI"/>
              </w:rPr>
            </w:pPr>
            <w:r w:rsidRPr="003A0C9E">
              <w:rPr>
                <w:rFonts w:ascii="Arial" w:eastAsia="Times New Roman" w:hAnsi="Arial" w:cs="Arial"/>
                <w:color w:val="000000"/>
                <w:sz w:val="18"/>
                <w:szCs w:val="18"/>
                <w:lang w:eastAsia="sl-SI"/>
              </w:rPr>
              <w:t>Splošno</w:t>
            </w:r>
          </w:p>
        </w:tc>
        <w:tc>
          <w:tcPr>
            <w:tcW w:w="1011" w:type="dxa"/>
            <w:shd w:val="clear" w:color="auto" w:fill="auto"/>
            <w:vAlign w:val="center"/>
            <w:hideMark/>
          </w:tcPr>
          <w:p w14:paraId="03C6A08A" w14:textId="14F4E43E" w:rsidR="003A0C9E" w:rsidRPr="003A0C9E" w:rsidRDefault="003A0C9E" w:rsidP="003A0C9E">
            <w:pPr>
              <w:spacing w:after="0" w:line="240" w:lineRule="auto"/>
              <w:jc w:val="right"/>
              <w:rPr>
                <w:rFonts w:ascii="Arial" w:eastAsia="Times New Roman" w:hAnsi="Arial" w:cs="Arial"/>
                <w:color w:val="000000"/>
                <w:sz w:val="18"/>
                <w:szCs w:val="18"/>
                <w:lang w:eastAsia="sl-SI"/>
              </w:rPr>
            </w:pPr>
            <w:r w:rsidRPr="003A0C9E">
              <w:rPr>
                <w:rFonts w:ascii="Arial" w:eastAsia="Times New Roman" w:hAnsi="Arial" w:cs="Arial"/>
                <w:color w:val="000000"/>
                <w:sz w:val="18"/>
                <w:szCs w:val="18"/>
                <w:lang w:eastAsia="sl-SI"/>
              </w:rPr>
              <w:t>901</w:t>
            </w:r>
          </w:p>
        </w:tc>
        <w:tc>
          <w:tcPr>
            <w:tcW w:w="928" w:type="dxa"/>
            <w:shd w:val="clear" w:color="auto" w:fill="auto"/>
            <w:vAlign w:val="center"/>
            <w:hideMark/>
          </w:tcPr>
          <w:p w14:paraId="760986B3" w14:textId="12C376E4" w:rsidR="003A0C9E" w:rsidRPr="003A0C9E" w:rsidRDefault="003A0C9E" w:rsidP="003A0C9E">
            <w:pPr>
              <w:spacing w:after="0" w:line="240" w:lineRule="auto"/>
              <w:jc w:val="right"/>
              <w:rPr>
                <w:rFonts w:ascii="Arial" w:eastAsia="Times New Roman" w:hAnsi="Arial" w:cs="Arial"/>
                <w:color w:val="000000"/>
                <w:sz w:val="18"/>
                <w:szCs w:val="18"/>
                <w:lang w:eastAsia="sl-SI"/>
              </w:rPr>
            </w:pPr>
            <w:r w:rsidRPr="003A0C9E">
              <w:rPr>
                <w:rFonts w:ascii="Arial" w:eastAsia="Times New Roman" w:hAnsi="Arial" w:cs="Arial"/>
                <w:color w:val="000000"/>
                <w:sz w:val="18"/>
                <w:szCs w:val="18"/>
                <w:lang w:eastAsia="sl-SI"/>
              </w:rPr>
              <w:t>15.322</w:t>
            </w:r>
          </w:p>
        </w:tc>
        <w:tc>
          <w:tcPr>
            <w:tcW w:w="1564" w:type="dxa"/>
            <w:shd w:val="clear" w:color="auto" w:fill="auto"/>
            <w:vAlign w:val="center"/>
            <w:hideMark/>
          </w:tcPr>
          <w:p w14:paraId="6681868C" w14:textId="03BCED1B" w:rsidR="003A0C9E" w:rsidRPr="003A0C9E" w:rsidRDefault="003A0C9E" w:rsidP="003A0C9E">
            <w:pPr>
              <w:spacing w:after="0" w:line="240" w:lineRule="auto"/>
              <w:jc w:val="right"/>
              <w:rPr>
                <w:rFonts w:ascii="Arial" w:eastAsia="Times New Roman" w:hAnsi="Arial" w:cs="Arial"/>
                <w:color w:val="000000"/>
                <w:sz w:val="18"/>
                <w:szCs w:val="18"/>
                <w:lang w:eastAsia="sl-SI"/>
              </w:rPr>
            </w:pPr>
            <w:bookmarkStart w:id="30" w:name="_Hlk136430533"/>
            <w:r w:rsidRPr="003A0C9E">
              <w:rPr>
                <w:rFonts w:ascii="Arial" w:eastAsia="Times New Roman" w:hAnsi="Arial" w:cs="Arial"/>
                <w:color w:val="000000"/>
                <w:sz w:val="18"/>
                <w:szCs w:val="18"/>
                <w:lang w:eastAsia="sl-SI"/>
              </w:rPr>
              <w:t>4.510.497.243</w:t>
            </w:r>
            <w:bookmarkEnd w:id="30"/>
          </w:p>
        </w:tc>
        <w:tc>
          <w:tcPr>
            <w:tcW w:w="1240" w:type="dxa"/>
            <w:shd w:val="clear" w:color="auto" w:fill="auto"/>
            <w:noWrap/>
            <w:vAlign w:val="center"/>
            <w:hideMark/>
          </w:tcPr>
          <w:p w14:paraId="157DB12E" w14:textId="226555EE" w:rsidR="003A0C9E" w:rsidRPr="003A0C9E" w:rsidRDefault="003A0C9E" w:rsidP="003A0C9E">
            <w:pPr>
              <w:spacing w:after="0" w:line="240" w:lineRule="auto"/>
              <w:jc w:val="right"/>
              <w:rPr>
                <w:rFonts w:ascii="Arial" w:eastAsia="Times New Roman" w:hAnsi="Arial" w:cs="Arial"/>
                <w:color w:val="000000"/>
                <w:sz w:val="18"/>
                <w:szCs w:val="18"/>
                <w:lang w:eastAsia="sl-SI"/>
              </w:rPr>
            </w:pPr>
            <w:r w:rsidRPr="003A0C9E">
              <w:rPr>
                <w:rFonts w:ascii="Arial" w:eastAsia="Times New Roman" w:hAnsi="Arial" w:cs="Arial"/>
                <w:color w:val="000000"/>
                <w:sz w:val="18"/>
                <w:szCs w:val="18"/>
                <w:lang w:eastAsia="sl-SI"/>
              </w:rPr>
              <w:t>88,96 %</w:t>
            </w:r>
          </w:p>
        </w:tc>
        <w:tc>
          <w:tcPr>
            <w:tcW w:w="1220" w:type="dxa"/>
            <w:shd w:val="clear" w:color="auto" w:fill="auto"/>
            <w:noWrap/>
            <w:vAlign w:val="center"/>
            <w:hideMark/>
          </w:tcPr>
          <w:p w14:paraId="1202EBEF" w14:textId="0A3AA6D5" w:rsidR="003A0C9E" w:rsidRPr="003A0C9E" w:rsidRDefault="003A0C9E" w:rsidP="003A0C9E">
            <w:pPr>
              <w:spacing w:after="0" w:line="240" w:lineRule="auto"/>
              <w:jc w:val="right"/>
              <w:rPr>
                <w:rFonts w:ascii="Arial" w:eastAsia="Times New Roman" w:hAnsi="Arial" w:cs="Arial"/>
                <w:color w:val="000000"/>
                <w:sz w:val="18"/>
                <w:szCs w:val="18"/>
                <w:lang w:eastAsia="sl-SI"/>
              </w:rPr>
            </w:pPr>
            <w:r w:rsidRPr="003A0C9E">
              <w:rPr>
                <w:rFonts w:ascii="Arial" w:eastAsia="Times New Roman" w:hAnsi="Arial" w:cs="Arial"/>
                <w:color w:val="000000"/>
                <w:sz w:val="18"/>
                <w:szCs w:val="18"/>
                <w:lang w:eastAsia="sl-SI"/>
              </w:rPr>
              <w:t>83,26 %</w:t>
            </w:r>
          </w:p>
        </w:tc>
      </w:tr>
      <w:tr w:rsidR="003A0C9E" w:rsidRPr="003A0C9E" w14:paraId="39F29FE7" w14:textId="77777777" w:rsidTr="000F27B2">
        <w:trPr>
          <w:trHeight w:val="255"/>
          <w:jc w:val="center"/>
        </w:trPr>
        <w:tc>
          <w:tcPr>
            <w:tcW w:w="1536" w:type="dxa"/>
            <w:shd w:val="clear" w:color="auto" w:fill="auto"/>
            <w:vAlign w:val="center"/>
            <w:hideMark/>
          </w:tcPr>
          <w:p w14:paraId="50E029B8" w14:textId="37DFFA89" w:rsidR="003A0C9E" w:rsidRPr="003A0C9E" w:rsidRDefault="003A0C9E" w:rsidP="003A0C9E">
            <w:pPr>
              <w:spacing w:after="0" w:line="240" w:lineRule="auto"/>
              <w:rPr>
                <w:rFonts w:ascii="Arial" w:eastAsia="Times New Roman" w:hAnsi="Arial" w:cs="Arial"/>
                <w:color w:val="000000"/>
                <w:sz w:val="18"/>
                <w:szCs w:val="18"/>
                <w:lang w:eastAsia="sl-SI"/>
              </w:rPr>
            </w:pPr>
            <w:r w:rsidRPr="003A0C9E">
              <w:rPr>
                <w:rFonts w:ascii="Arial" w:eastAsia="Times New Roman" w:hAnsi="Arial" w:cs="Arial"/>
                <w:color w:val="000000"/>
                <w:sz w:val="18"/>
                <w:szCs w:val="18"/>
                <w:lang w:eastAsia="sl-SI"/>
              </w:rPr>
              <w:t>Infrastrukturno</w:t>
            </w:r>
          </w:p>
        </w:tc>
        <w:tc>
          <w:tcPr>
            <w:tcW w:w="1011" w:type="dxa"/>
            <w:shd w:val="clear" w:color="auto" w:fill="auto"/>
            <w:vAlign w:val="center"/>
            <w:hideMark/>
          </w:tcPr>
          <w:p w14:paraId="42AD67C9" w14:textId="0324AB9C" w:rsidR="003A0C9E" w:rsidRPr="003A0C9E" w:rsidRDefault="003A0C9E" w:rsidP="003A0C9E">
            <w:pPr>
              <w:spacing w:after="0" w:line="240" w:lineRule="auto"/>
              <w:jc w:val="right"/>
              <w:rPr>
                <w:rFonts w:ascii="Arial" w:eastAsia="Times New Roman" w:hAnsi="Arial" w:cs="Arial"/>
                <w:color w:val="000000"/>
                <w:sz w:val="18"/>
                <w:szCs w:val="18"/>
                <w:lang w:eastAsia="sl-SI"/>
              </w:rPr>
            </w:pPr>
            <w:r w:rsidRPr="003A0C9E">
              <w:rPr>
                <w:rFonts w:ascii="Arial" w:eastAsia="Times New Roman" w:hAnsi="Arial" w:cs="Arial"/>
                <w:color w:val="000000"/>
                <w:sz w:val="18"/>
                <w:szCs w:val="18"/>
                <w:lang w:eastAsia="sl-SI"/>
              </w:rPr>
              <w:t>90</w:t>
            </w:r>
          </w:p>
        </w:tc>
        <w:tc>
          <w:tcPr>
            <w:tcW w:w="928" w:type="dxa"/>
            <w:shd w:val="clear" w:color="auto" w:fill="auto"/>
            <w:vAlign w:val="center"/>
            <w:hideMark/>
          </w:tcPr>
          <w:p w14:paraId="11737219" w14:textId="71FB214B" w:rsidR="003A0C9E" w:rsidRPr="003A0C9E" w:rsidRDefault="003A0C9E" w:rsidP="003A0C9E">
            <w:pPr>
              <w:spacing w:after="0" w:line="240" w:lineRule="auto"/>
              <w:jc w:val="right"/>
              <w:rPr>
                <w:rFonts w:ascii="Arial" w:eastAsia="Times New Roman" w:hAnsi="Arial" w:cs="Arial"/>
                <w:color w:val="000000"/>
                <w:sz w:val="18"/>
                <w:szCs w:val="18"/>
                <w:lang w:eastAsia="sl-SI"/>
              </w:rPr>
            </w:pPr>
            <w:r w:rsidRPr="003A0C9E">
              <w:rPr>
                <w:rFonts w:ascii="Arial" w:eastAsia="Times New Roman" w:hAnsi="Arial" w:cs="Arial"/>
                <w:color w:val="000000"/>
                <w:sz w:val="18"/>
                <w:szCs w:val="18"/>
                <w:lang w:eastAsia="sl-SI"/>
              </w:rPr>
              <w:t>1.794</w:t>
            </w:r>
          </w:p>
        </w:tc>
        <w:tc>
          <w:tcPr>
            <w:tcW w:w="1564" w:type="dxa"/>
            <w:shd w:val="clear" w:color="auto" w:fill="auto"/>
            <w:vAlign w:val="center"/>
            <w:hideMark/>
          </w:tcPr>
          <w:p w14:paraId="14ECE806" w14:textId="104AA21D" w:rsidR="003A0C9E" w:rsidRPr="003A0C9E" w:rsidRDefault="003A0C9E" w:rsidP="003A0C9E">
            <w:pPr>
              <w:spacing w:after="0" w:line="240" w:lineRule="auto"/>
              <w:jc w:val="right"/>
              <w:rPr>
                <w:rFonts w:ascii="Arial" w:eastAsia="Times New Roman" w:hAnsi="Arial" w:cs="Arial"/>
                <w:color w:val="000000"/>
                <w:sz w:val="18"/>
                <w:szCs w:val="18"/>
                <w:lang w:eastAsia="sl-SI"/>
              </w:rPr>
            </w:pPr>
            <w:r w:rsidRPr="003A0C9E">
              <w:rPr>
                <w:rFonts w:ascii="Arial" w:eastAsia="Times New Roman" w:hAnsi="Arial" w:cs="Arial"/>
                <w:color w:val="000000"/>
                <w:sz w:val="18"/>
                <w:szCs w:val="18"/>
                <w:lang w:eastAsia="sl-SI"/>
              </w:rPr>
              <w:t>850.731.161</w:t>
            </w:r>
          </w:p>
        </w:tc>
        <w:tc>
          <w:tcPr>
            <w:tcW w:w="1240" w:type="dxa"/>
            <w:shd w:val="clear" w:color="auto" w:fill="auto"/>
            <w:noWrap/>
            <w:vAlign w:val="center"/>
            <w:hideMark/>
          </w:tcPr>
          <w:p w14:paraId="6469956C" w14:textId="249E4A8D" w:rsidR="003A0C9E" w:rsidRPr="003A0C9E" w:rsidRDefault="003A0C9E" w:rsidP="003A0C9E">
            <w:pPr>
              <w:spacing w:after="0" w:line="240" w:lineRule="auto"/>
              <w:jc w:val="right"/>
              <w:rPr>
                <w:rFonts w:ascii="Arial" w:eastAsia="Times New Roman" w:hAnsi="Arial" w:cs="Arial"/>
                <w:color w:val="000000"/>
                <w:sz w:val="18"/>
                <w:szCs w:val="18"/>
                <w:lang w:eastAsia="sl-SI"/>
              </w:rPr>
            </w:pPr>
            <w:r w:rsidRPr="003A0C9E">
              <w:rPr>
                <w:rFonts w:ascii="Arial" w:eastAsia="Times New Roman" w:hAnsi="Arial" w:cs="Arial"/>
                <w:color w:val="000000"/>
                <w:sz w:val="18"/>
                <w:szCs w:val="18"/>
                <w:lang w:eastAsia="sl-SI"/>
              </w:rPr>
              <w:t>10,42 %</w:t>
            </w:r>
          </w:p>
        </w:tc>
        <w:tc>
          <w:tcPr>
            <w:tcW w:w="1220" w:type="dxa"/>
            <w:shd w:val="clear" w:color="auto" w:fill="auto"/>
            <w:noWrap/>
            <w:vAlign w:val="center"/>
            <w:hideMark/>
          </w:tcPr>
          <w:p w14:paraId="4196316B" w14:textId="4D7485B7" w:rsidR="003A0C9E" w:rsidRPr="003A0C9E" w:rsidRDefault="003A0C9E" w:rsidP="003A0C9E">
            <w:pPr>
              <w:spacing w:after="0" w:line="240" w:lineRule="auto"/>
              <w:jc w:val="right"/>
              <w:rPr>
                <w:rFonts w:ascii="Arial" w:eastAsia="Times New Roman" w:hAnsi="Arial" w:cs="Arial"/>
                <w:color w:val="000000"/>
                <w:sz w:val="18"/>
                <w:szCs w:val="18"/>
                <w:lang w:eastAsia="sl-SI"/>
              </w:rPr>
            </w:pPr>
            <w:r w:rsidRPr="003A0C9E">
              <w:rPr>
                <w:rFonts w:ascii="Arial" w:eastAsia="Times New Roman" w:hAnsi="Arial" w:cs="Arial"/>
                <w:color w:val="000000"/>
                <w:sz w:val="18"/>
                <w:szCs w:val="18"/>
                <w:lang w:eastAsia="sl-SI"/>
              </w:rPr>
              <w:t>15,70 %</w:t>
            </w:r>
          </w:p>
        </w:tc>
      </w:tr>
      <w:tr w:rsidR="003A0C9E" w:rsidRPr="003A0C9E" w14:paraId="1DE7D870" w14:textId="77777777" w:rsidTr="000F27B2">
        <w:trPr>
          <w:trHeight w:val="255"/>
          <w:jc w:val="center"/>
        </w:trPr>
        <w:tc>
          <w:tcPr>
            <w:tcW w:w="1536" w:type="dxa"/>
            <w:shd w:val="clear" w:color="auto" w:fill="auto"/>
            <w:vAlign w:val="center"/>
            <w:hideMark/>
          </w:tcPr>
          <w:p w14:paraId="2BED2614" w14:textId="7E798BD6" w:rsidR="003A0C9E" w:rsidRPr="003A0C9E" w:rsidRDefault="003A0C9E" w:rsidP="003A0C9E">
            <w:pPr>
              <w:spacing w:after="0" w:line="240" w:lineRule="auto"/>
              <w:rPr>
                <w:rFonts w:ascii="Arial" w:eastAsia="Times New Roman" w:hAnsi="Arial" w:cs="Arial"/>
                <w:color w:val="000000"/>
                <w:sz w:val="18"/>
                <w:szCs w:val="18"/>
                <w:lang w:eastAsia="sl-SI"/>
              </w:rPr>
            </w:pPr>
            <w:r w:rsidRPr="003A0C9E">
              <w:rPr>
                <w:rFonts w:ascii="Arial" w:eastAsia="Times New Roman" w:hAnsi="Arial" w:cs="Arial"/>
                <w:color w:val="000000"/>
                <w:sz w:val="18"/>
                <w:szCs w:val="18"/>
                <w:lang w:eastAsia="sl-SI"/>
              </w:rPr>
              <w:t>Obrambno</w:t>
            </w:r>
          </w:p>
        </w:tc>
        <w:tc>
          <w:tcPr>
            <w:tcW w:w="1011" w:type="dxa"/>
            <w:shd w:val="clear" w:color="auto" w:fill="auto"/>
            <w:vAlign w:val="center"/>
            <w:hideMark/>
          </w:tcPr>
          <w:p w14:paraId="43DA99D8" w14:textId="5C06B388" w:rsidR="003A0C9E" w:rsidRPr="003A0C9E" w:rsidRDefault="003A0C9E" w:rsidP="003A0C9E">
            <w:pPr>
              <w:spacing w:after="0" w:line="240" w:lineRule="auto"/>
              <w:jc w:val="right"/>
              <w:rPr>
                <w:rFonts w:ascii="Arial" w:eastAsia="Times New Roman" w:hAnsi="Arial" w:cs="Arial"/>
                <w:color w:val="000000"/>
                <w:sz w:val="18"/>
                <w:szCs w:val="18"/>
                <w:lang w:eastAsia="sl-SI"/>
              </w:rPr>
            </w:pPr>
            <w:r w:rsidRPr="003A0C9E">
              <w:rPr>
                <w:rFonts w:ascii="Arial" w:eastAsia="Times New Roman" w:hAnsi="Arial" w:cs="Arial"/>
                <w:color w:val="000000"/>
                <w:sz w:val="18"/>
                <w:szCs w:val="18"/>
                <w:lang w:eastAsia="sl-SI"/>
              </w:rPr>
              <w:t>2</w:t>
            </w:r>
          </w:p>
        </w:tc>
        <w:tc>
          <w:tcPr>
            <w:tcW w:w="928" w:type="dxa"/>
            <w:shd w:val="clear" w:color="auto" w:fill="auto"/>
            <w:vAlign w:val="center"/>
            <w:hideMark/>
          </w:tcPr>
          <w:p w14:paraId="344CBF5F" w14:textId="2626131F" w:rsidR="003A0C9E" w:rsidRPr="003A0C9E" w:rsidRDefault="003A0C9E" w:rsidP="003A0C9E">
            <w:pPr>
              <w:spacing w:after="0" w:line="240" w:lineRule="auto"/>
              <w:jc w:val="right"/>
              <w:rPr>
                <w:rFonts w:ascii="Arial" w:eastAsia="Times New Roman" w:hAnsi="Arial" w:cs="Arial"/>
                <w:color w:val="000000"/>
                <w:sz w:val="18"/>
                <w:szCs w:val="18"/>
                <w:lang w:eastAsia="sl-SI"/>
              </w:rPr>
            </w:pPr>
            <w:r w:rsidRPr="003A0C9E">
              <w:rPr>
                <w:rFonts w:ascii="Arial" w:eastAsia="Times New Roman" w:hAnsi="Arial" w:cs="Arial"/>
                <w:color w:val="000000"/>
                <w:sz w:val="18"/>
                <w:szCs w:val="18"/>
                <w:lang w:eastAsia="sl-SI"/>
              </w:rPr>
              <w:t>108</w:t>
            </w:r>
          </w:p>
        </w:tc>
        <w:tc>
          <w:tcPr>
            <w:tcW w:w="1564" w:type="dxa"/>
            <w:shd w:val="clear" w:color="auto" w:fill="auto"/>
            <w:vAlign w:val="center"/>
            <w:hideMark/>
          </w:tcPr>
          <w:p w14:paraId="7F56796C" w14:textId="41499DA2" w:rsidR="003A0C9E" w:rsidRPr="003A0C9E" w:rsidRDefault="003A0C9E" w:rsidP="003A0C9E">
            <w:pPr>
              <w:spacing w:after="0" w:line="240" w:lineRule="auto"/>
              <w:jc w:val="right"/>
              <w:rPr>
                <w:rFonts w:ascii="Arial" w:eastAsia="Times New Roman" w:hAnsi="Arial" w:cs="Arial"/>
                <w:color w:val="000000"/>
                <w:sz w:val="18"/>
                <w:szCs w:val="18"/>
                <w:lang w:eastAsia="sl-SI"/>
              </w:rPr>
            </w:pPr>
            <w:r w:rsidRPr="003A0C9E">
              <w:rPr>
                <w:rFonts w:ascii="Arial" w:eastAsia="Times New Roman" w:hAnsi="Arial" w:cs="Arial"/>
                <w:color w:val="000000"/>
                <w:sz w:val="18"/>
                <w:szCs w:val="18"/>
                <w:lang w:eastAsia="sl-SI"/>
              </w:rPr>
              <w:t>55.877.498</w:t>
            </w:r>
          </w:p>
        </w:tc>
        <w:tc>
          <w:tcPr>
            <w:tcW w:w="1240" w:type="dxa"/>
            <w:shd w:val="clear" w:color="auto" w:fill="auto"/>
            <w:noWrap/>
            <w:vAlign w:val="center"/>
            <w:hideMark/>
          </w:tcPr>
          <w:p w14:paraId="62BDB080" w14:textId="679EDAD0" w:rsidR="003A0C9E" w:rsidRPr="003A0C9E" w:rsidRDefault="003A0C9E" w:rsidP="003A0C9E">
            <w:pPr>
              <w:spacing w:after="0" w:line="240" w:lineRule="auto"/>
              <w:jc w:val="right"/>
              <w:rPr>
                <w:rFonts w:ascii="Arial" w:eastAsia="Times New Roman" w:hAnsi="Arial" w:cs="Arial"/>
                <w:color w:val="000000"/>
                <w:sz w:val="18"/>
                <w:szCs w:val="18"/>
                <w:lang w:eastAsia="sl-SI"/>
              </w:rPr>
            </w:pPr>
            <w:r w:rsidRPr="003A0C9E">
              <w:rPr>
                <w:rFonts w:ascii="Arial" w:eastAsia="Times New Roman" w:hAnsi="Arial" w:cs="Arial"/>
                <w:color w:val="000000"/>
                <w:sz w:val="18"/>
                <w:szCs w:val="18"/>
                <w:lang w:eastAsia="sl-SI"/>
              </w:rPr>
              <w:t>0,63 %</w:t>
            </w:r>
          </w:p>
        </w:tc>
        <w:tc>
          <w:tcPr>
            <w:tcW w:w="1220" w:type="dxa"/>
            <w:shd w:val="clear" w:color="auto" w:fill="auto"/>
            <w:noWrap/>
            <w:vAlign w:val="center"/>
            <w:hideMark/>
          </w:tcPr>
          <w:p w14:paraId="22291A6F" w14:textId="543D445D" w:rsidR="003A0C9E" w:rsidRPr="003A0C9E" w:rsidRDefault="003A0C9E" w:rsidP="003A0C9E">
            <w:pPr>
              <w:spacing w:after="0" w:line="240" w:lineRule="auto"/>
              <w:jc w:val="right"/>
              <w:rPr>
                <w:rFonts w:ascii="Arial" w:eastAsia="Times New Roman" w:hAnsi="Arial" w:cs="Arial"/>
                <w:color w:val="000000"/>
                <w:sz w:val="18"/>
                <w:szCs w:val="18"/>
                <w:lang w:eastAsia="sl-SI"/>
              </w:rPr>
            </w:pPr>
            <w:r w:rsidRPr="003A0C9E">
              <w:rPr>
                <w:rFonts w:ascii="Arial" w:eastAsia="Times New Roman" w:hAnsi="Arial" w:cs="Arial"/>
                <w:color w:val="000000"/>
                <w:sz w:val="18"/>
                <w:szCs w:val="18"/>
                <w:lang w:eastAsia="sl-SI"/>
              </w:rPr>
              <w:t>1,03 %</w:t>
            </w:r>
          </w:p>
        </w:tc>
      </w:tr>
      <w:tr w:rsidR="003A0C9E" w:rsidRPr="003A0C9E" w14:paraId="3738AB78" w14:textId="77777777" w:rsidTr="000F27B2">
        <w:trPr>
          <w:trHeight w:val="255"/>
          <w:jc w:val="center"/>
        </w:trPr>
        <w:tc>
          <w:tcPr>
            <w:tcW w:w="1536" w:type="dxa"/>
            <w:shd w:val="clear" w:color="auto" w:fill="F2F2F2" w:themeFill="background1" w:themeFillShade="F2"/>
            <w:vAlign w:val="center"/>
            <w:hideMark/>
          </w:tcPr>
          <w:p w14:paraId="6266F86F" w14:textId="77777777" w:rsidR="003A0C9E" w:rsidRPr="003A0C9E" w:rsidRDefault="003A0C9E" w:rsidP="003A0C9E">
            <w:pPr>
              <w:spacing w:after="0" w:line="240" w:lineRule="auto"/>
              <w:rPr>
                <w:rFonts w:ascii="Arial" w:eastAsia="Times New Roman" w:hAnsi="Arial" w:cs="Arial"/>
                <w:b/>
                <w:bCs/>
                <w:color w:val="000000"/>
                <w:sz w:val="18"/>
                <w:szCs w:val="18"/>
                <w:lang w:eastAsia="sl-SI"/>
              </w:rPr>
            </w:pPr>
            <w:r w:rsidRPr="003A0C9E">
              <w:rPr>
                <w:rFonts w:ascii="Arial" w:eastAsia="Times New Roman" w:hAnsi="Arial" w:cs="Arial"/>
                <w:b/>
                <w:bCs/>
                <w:color w:val="000000"/>
                <w:sz w:val="18"/>
                <w:szCs w:val="18"/>
                <w:lang w:eastAsia="sl-SI"/>
              </w:rPr>
              <w:t>Skupaj</w:t>
            </w:r>
          </w:p>
        </w:tc>
        <w:tc>
          <w:tcPr>
            <w:tcW w:w="1011" w:type="dxa"/>
            <w:shd w:val="clear" w:color="auto" w:fill="F2F2F2" w:themeFill="background1" w:themeFillShade="F2"/>
            <w:vAlign w:val="center"/>
            <w:hideMark/>
          </w:tcPr>
          <w:p w14:paraId="2355998F" w14:textId="46D06424" w:rsidR="003A0C9E" w:rsidRPr="003A0C9E" w:rsidRDefault="003A0C9E" w:rsidP="003A0C9E">
            <w:pPr>
              <w:spacing w:after="0" w:line="240" w:lineRule="auto"/>
              <w:jc w:val="right"/>
              <w:rPr>
                <w:rFonts w:ascii="Arial" w:eastAsia="Times New Roman" w:hAnsi="Arial" w:cs="Arial"/>
                <w:b/>
                <w:bCs/>
                <w:color w:val="000000"/>
                <w:sz w:val="18"/>
                <w:szCs w:val="18"/>
                <w:lang w:eastAsia="sl-SI"/>
              </w:rPr>
            </w:pPr>
            <w:r w:rsidRPr="003A0C9E">
              <w:rPr>
                <w:rFonts w:ascii="Arial" w:eastAsia="Times New Roman" w:hAnsi="Arial" w:cs="Arial"/>
                <w:b/>
                <w:bCs/>
                <w:color w:val="000000"/>
                <w:sz w:val="18"/>
                <w:szCs w:val="18"/>
                <w:lang w:eastAsia="sl-SI"/>
              </w:rPr>
              <w:t>993</w:t>
            </w:r>
          </w:p>
        </w:tc>
        <w:tc>
          <w:tcPr>
            <w:tcW w:w="928" w:type="dxa"/>
            <w:shd w:val="clear" w:color="auto" w:fill="F2F2F2" w:themeFill="background1" w:themeFillShade="F2"/>
            <w:vAlign w:val="center"/>
            <w:hideMark/>
          </w:tcPr>
          <w:p w14:paraId="25F0D79F" w14:textId="3831939E" w:rsidR="003A0C9E" w:rsidRPr="003A0C9E" w:rsidRDefault="003A0C9E" w:rsidP="003A0C9E">
            <w:pPr>
              <w:spacing w:after="0" w:line="240" w:lineRule="auto"/>
              <w:jc w:val="right"/>
              <w:rPr>
                <w:rFonts w:ascii="Arial" w:eastAsia="Times New Roman" w:hAnsi="Arial" w:cs="Arial"/>
                <w:b/>
                <w:bCs/>
                <w:color w:val="000000"/>
                <w:sz w:val="18"/>
                <w:szCs w:val="18"/>
                <w:lang w:eastAsia="sl-SI"/>
              </w:rPr>
            </w:pPr>
            <w:r w:rsidRPr="003A0C9E">
              <w:rPr>
                <w:rFonts w:ascii="Arial" w:eastAsia="Times New Roman" w:hAnsi="Arial" w:cs="Arial"/>
                <w:b/>
                <w:bCs/>
                <w:color w:val="000000"/>
                <w:sz w:val="18"/>
                <w:szCs w:val="18"/>
                <w:lang w:eastAsia="sl-SI"/>
              </w:rPr>
              <w:t>17.224</w:t>
            </w:r>
          </w:p>
        </w:tc>
        <w:tc>
          <w:tcPr>
            <w:tcW w:w="1564" w:type="dxa"/>
            <w:shd w:val="clear" w:color="auto" w:fill="F2F2F2" w:themeFill="background1" w:themeFillShade="F2"/>
            <w:vAlign w:val="center"/>
            <w:hideMark/>
          </w:tcPr>
          <w:p w14:paraId="238CABFB" w14:textId="482ED376" w:rsidR="003A0C9E" w:rsidRPr="003A0C9E" w:rsidRDefault="003A0C9E" w:rsidP="003A0C9E">
            <w:pPr>
              <w:spacing w:after="0" w:line="240" w:lineRule="auto"/>
              <w:jc w:val="right"/>
              <w:rPr>
                <w:rFonts w:ascii="Arial" w:eastAsia="Times New Roman" w:hAnsi="Arial" w:cs="Arial"/>
                <w:b/>
                <w:bCs/>
                <w:color w:val="000000"/>
                <w:sz w:val="18"/>
                <w:szCs w:val="18"/>
                <w:lang w:eastAsia="sl-SI"/>
              </w:rPr>
            </w:pPr>
            <w:r w:rsidRPr="003A0C9E">
              <w:rPr>
                <w:rFonts w:ascii="Arial" w:eastAsia="Times New Roman" w:hAnsi="Arial" w:cs="Arial"/>
                <w:b/>
                <w:bCs/>
                <w:color w:val="000000"/>
                <w:sz w:val="18"/>
                <w:szCs w:val="18"/>
                <w:lang w:eastAsia="sl-SI"/>
              </w:rPr>
              <w:t>5.417.105.902</w:t>
            </w:r>
          </w:p>
        </w:tc>
        <w:tc>
          <w:tcPr>
            <w:tcW w:w="1240" w:type="dxa"/>
            <w:shd w:val="clear" w:color="auto" w:fill="F2F2F2" w:themeFill="background1" w:themeFillShade="F2"/>
            <w:vAlign w:val="center"/>
            <w:hideMark/>
          </w:tcPr>
          <w:p w14:paraId="4F4BBD8E" w14:textId="01BC9467" w:rsidR="003A0C9E" w:rsidRPr="003A0C9E" w:rsidRDefault="003A0C9E" w:rsidP="003A0C9E">
            <w:pPr>
              <w:spacing w:after="0" w:line="240" w:lineRule="auto"/>
              <w:jc w:val="right"/>
              <w:rPr>
                <w:rFonts w:ascii="Arial" w:eastAsia="Times New Roman" w:hAnsi="Arial" w:cs="Arial"/>
                <w:b/>
                <w:bCs/>
                <w:color w:val="000000"/>
                <w:sz w:val="18"/>
                <w:szCs w:val="18"/>
                <w:lang w:eastAsia="sl-SI"/>
              </w:rPr>
            </w:pPr>
            <w:r w:rsidRPr="003A0C9E">
              <w:rPr>
                <w:rFonts w:ascii="Arial" w:eastAsia="Times New Roman" w:hAnsi="Arial" w:cs="Arial"/>
                <w:b/>
                <w:bCs/>
                <w:color w:val="000000"/>
                <w:sz w:val="18"/>
                <w:szCs w:val="18"/>
                <w:lang w:eastAsia="sl-SI"/>
              </w:rPr>
              <w:t>100</w:t>
            </w:r>
            <w:r>
              <w:rPr>
                <w:rFonts w:ascii="Arial" w:eastAsia="Times New Roman" w:hAnsi="Arial" w:cs="Arial"/>
                <w:b/>
                <w:bCs/>
                <w:color w:val="000000"/>
                <w:sz w:val="18"/>
                <w:szCs w:val="18"/>
                <w:lang w:eastAsia="sl-SI"/>
              </w:rPr>
              <w:t>,00</w:t>
            </w:r>
            <w:r w:rsidRPr="003A0C9E">
              <w:rPr>
                <w:rFonts w:ascii="Arial" w:eastAsia="Times New Roman" w:hAnsi="Arial" w:cs="Arial"/>
                <w:b/>
                <w:bCs/>
                <w:color w:val="000000"/>
                <w:sz w:val="18"/>
                <w:szCs w:val="18"/>
                <w:lang w:eastAsia="sl-SI"/>
              </w:rPr>
              <w:t xml:space="preserve"> %</w:t>
            </w:r>
          </w:p>
        </w:tc>
        <w:tc>
          <w:tcPr>
            <w:tcW w:w="1220" w:type="dxa"/>
            <w:shd w:val="clear" w:color="auto" w:fill="F2F2F2" w:themeFill="background1" w:themeFillShade="F2"/>
            <w:vAlign w:val="center"/>
            <w:hideMark/>
          </w:tcPr>
          <w:p w14:paraId="27B3C927" w14:textId="0F8005A7" w:rsidR="003A0C9E" w:rsidRPr="003A0C9E" w:rsidRDefault="003A0C9E" w:rsidP="003A0C9E">
            <w:pPr>
              <w:spacing w:after="0" w:line="240" w:lineRule="auto"/>
              <w:jc w:val="right"/>
              <w:rPr>
                <w:rFonts w:ascii="Arial" w:eastAsia="Times New Roman" w:hAnsi="Arial" w:cs="Arial"/>
                <w:b/>
                <w:bCs/>
                <w:color w:val="000000"/>
                <w:sz w:val="18"/>
                <w:szCs w:val="18"/>
                <w:lang w:eastAsia="sl-SI"/>
              </w:rPr>
            </w:pPr>
            <w:r w:rsidRPr="003A0C9E">
              <w:rPr>
                <w:rFonts w:ascii="Arial" w:eastAsia="Times New Roman" w:hAnsi="Arial" w:cs="Arial"/>
                <w:b/>
                <w:bCs/>
                <w:color w:val="000000"/>
                <w:sz w:val="18"/>
                <w:szCs w:val="18"/>
                <w:lang w:eastAsia="sl-SI"/>
              </w:rPr>
              <w:t>100</w:t>
            </w:r>
            <w:r>
              <w:rPr>
                <w:rFonts w:ascii="Arial" w:eastAsia="Times New Roman" w:hAnsi="Arial" w:cs="Arial"/>
                <w:b/>
                <w:bCs/>
                <w:color w:val="000000"/>
                <w:sz w:val="18"/>
                <w:szCs w:val="18"/>
                <w:lang w:eastAsia="sl-SI"/>
              </w:rPr>
              <w:t>,00</w:t>
            </w:r>
            <w:r w:rsidRPr="003A0C9E">
              <w:rPr>
                <w:rFonts w:ascii="Arial" w:eastAsia="Times New Roman" w:hAnsi="Arial" w:cs="Arial"/>
                <w:b/>
                <w:bCs/>
                <w:color w:val="000000"/>
                <w:sz w:val="18"/>
                <w:szCs w:val="18"/>
                <w:lang w:eastAsia="sl-SI"/>
              </w:rPr>
              <w:t xml:space="preserve"> %</w:t>
            </w:r>
          </w:p>
        </w:tc>
      </w:tr>
    </w:tbl>
    <w:p w14:paraId="38B90C15" w14:textId="77777777" w:rsidR="00122850" w:rsidRPr="003A0C9E" w:rsidRDefault="00122850" w:rsidP="00F4617A">
      <w:pPr>
        <w:pStyle w:val="ZADEVA"/>
        <w:spacing w:line="240" w:lineRule="auto"/>
        <w:jc w:val="both"/>
        <w:rPr>
          <w:rFonts w:cs="Arial"/>
          <w:b w:val="0"/>
          <w:szCs w:val="20"/>
          <w:lang w:val="sl-SI"/>
        </w:rPr>
      </w:pPr>
    </w:p>
    <w:p w14:paraId="5A0A064B" w14:textId="562FBE16" w:rsidR="0005082F" w:rsidRPr="003A0C9E" w:rsidRDefault="00477CE0" w:rsidP="00EE7A95">
      <w:pPr>
        <w:spacing w:after="240" w:line="240" w:lineRule="auto"/>
        <w:jc w:val="center"/>
        <w:rPr>
          <w:rFonts w:ascii="Arial" w:hAnsi="Arial" w:cs="Arial"/>
          <w:sz w:val="18"/>
        </w:rPr>
      </w:pPr>
      <w:r w:rsidRPr="003A0C9E">
        <w:rPr>
          <w:rFonts w:ascii="Arial" w:hAnsi="Arial" w:cs="Arial"/>
          <w:sz w:val="18"/>
        </w:rPr>
        <w:t>Vir: Statistični podatki o javni</w:t>
      </w:r>
      <w:r w:rsidR="005135C0" w:rsidRPr="003A0C9E">
        <w:rPr>
          <w:rFonts w:ascii="Arial" w:hAnsi="Arial" w:cs="Arial"/>
          <w:sz w:val="18"/>
        </w:rPr>
        <w:t>h naročilih, oddanih v letu 20</w:t>
      </w:r>
      <w:r w:rsidR="004A68B2" w:rsidRPr="003A0C9E">
        <w:rPr>
          <w:rFonts w:ascii="Arial" w:hAnsi="Arial" w:cs="Arial"/>
          <w:sz w:val="18"/>
        </w:rPr>
        <w:t>2</w:t>
      </w:r>
      <w:r w:rsidR="003A0C9E" w:rsidRPr="003A0C9E">
        <w:rPr>
          <w:rFonts w:ascii="Arial" w:hAnsi="Arial" w:cs="Arial"/>
          <w:sz w:val="18"/>
        </w:rPr>
        <w:t>2</w:t>
      </w:r>
      <w:r w:rsidR="00F216B7" w:rsidRPr="003A0C9E">
        <w:rPr>
          <w:rFonts w:ascii="Arial" w:hAnsi="Arial" w:cs="Arial"/>
          <w:sz w:val="18"/>
        </w:rPr>
        <w:t>.</w:t>
      </w:r>
    </w:p>
    <w:p w14:paraId="4D1D6BD1" w14:textId="7C4BA02F" w:rsidR="00192C09" w:rsidRPr="0069633F" w:rsidRDefault="00192C09" w:rsidP="00BD695D">
      <w:pPr>
        <w:spacing w:line="360" w:lineRule="auto"/>
        <w:jc w:val="both"/>
        <w:rPr>
          <w:rFonts w:ascii="Arial" w:eastAsia="Times New Roman" w:hAnsi="Arial" w:cs="Arial"/>
          <w:color w:val="000000" w:themeColor="text1"/>
          <w:sz w:val="20"/>
          <w:szCs w:val="20"/>
          <w:lang w:eastAsia="sl-SI"/>
        </w:rPr>
      </w:pPr>
      <w:r w:rsidRPr="00A35343">
        <w:rPr>
          <w:rFonts w:ascii="Arial" w:hAnsi="Arial" w:cs="Arial"/>
          <w:color w:val="000000" w:themeColor="text1"/>
          <w:sz w:val="20"/>
          <w:szCs w:val="20"/>
        </w:rPr>
        <w:t xml:space="preserve">Naročniki glede na </w:t>
      </w:r>
      <w:r w:rsidR="00912BEF" w:rsidRPr="00A35343">
        <w:rPr>
          <w:rFonts w:ascii="Arial" w:hAnsi="Arial" w:cs="Arial"/>
          <w:color w:val="000000" w:themeColor="text1"/>
          <w:sz w:val="20"/>
          <w:szCs w:val="20"/>
        </w:rPr>
        <w:t>s</w:t>
      </w:r>
      <w:r w:rsidRPr="00A35343">
        <w:rPr>
          <w:rFonts w:ascii="Arial" w:hAnsi="Arial" w:cs="Arial"/>
          <w:color w:val="000000" w:themeColor="text1"/>
          <w:sz w:val="20"/>
          <w:szCs w:val="20"/>
        </w:rPr>
        <w:t xml:space="preserve">tandardno klasifikacijo dejavnosti (SKD) </w:t>
      </w:r>
      <w:r w:rsidR="001C2ADE" w:rsidRPr="00A35343">
        <w:rPr>
          <w:rFonts w:ascii="Arial" w:hAnsi="Arial" w:cs="Arial"/>
          <w:color w:val="000000" w:themeColor="text1"/>
          <w:sz w:val="20"/>
          <w:szCs w:val="20"/>
        </w:rPr>
        <w:t xml:space="preserve">opravljajo različne dejavnosti. </w:t>
      </w:r>
      <w:r w:rsidRPr="00A35343">
        <w:rPr>
          <w:rFonts w:ascii="Arial" w:hAnsi="Arial" w:cs="Arial"/>
          <w:color w:val="000000" w:themeColor="text1"/>
          <w:sz w:val="20"/>
          <w:szCs w:val="20"/>
        </w:rPr>
        <w:t>Glede na šifro dejavnosti po SKD je n</w:t>
      </w:r>
      <w:r w:rsidR="0033534F" w:rsidRPr="00A35343">
        <w:rPr>
          <w:rFonts w:ascii="Arial" w:hAnsi="Arial" w:cs="Arial"/>
          <w:color w:val="000000" w:themeColor="text1"/>
          <w:sz w:val="20"/>
          <w:szCs w:val="20"/>
        </w:rPr>
        <w:t>ajveč naročnikov (2</w:t>
      </w:r>
      <w:r w:rsidR="00903CD0" w:rsidRPr="00A35343">
        <w:rPr>
          <w:rFonts w:ascii="Arial" w:hAnsi="Arial" w:cs="Arial"/>
          <w:color w:val="000000" w:themeColor="text1"/>
          <w:sz w:val="20"/>
          <w:szCs w:val="20"/>
        </w:rPr>
        <w:t>3</w:t>
      </w:r>
      <w:r w:rsidR="00A35343" w:rsidRPr="00A35343">
        <w:rPr>
          <w:rFonts w:ascii="Arial" w:hAnsi="Arial" w:cs="Arial"/>
          <w:color w:val="000000" w:themeColor="text1"/>
          <w:sz w:val="20"/>
          <w:szCs w:val="20"/>
        </w:rPr>
        <w:t>0</w:t>
      </w:r>
      <w:r w:rsidR="0061162D" w:rsidRPr="00A35343">
        <w:rPr>
          <w:rFonts w:ascii="Arial" w:hAnsi="Arial" w:cs="Arial"/>
          <w:color w:val="000000" w:themeColor="text1"/>
          <w:sz w:val="20"/>
          <w:szCs w:val="20"/>
        </w:rPr>
        <w:t xml:space="preserve"> </w:t>
      </w:r>
      <w:r w:rsidR="0033534F" w:rsidRPr="00A35343">
        <w:rPr>
          <w:rFonts w:ascii="Arial" w:hAnsi="Arial" w:cs="Arial"/>
          <w:color w:val="000000" w:themeColor="text1"/>
          <w:sz w:val="20"/>
          <w:szCs w:val="20"/>
        </w:rPr>
        <w:t xml:space="preserve">oziroma </w:t>
      </w:r>
      <w:r w:rsidR="00A35343" w:rsidRPr="00A35343">
        <w:rPr>
          <w:rFonts w:ascii="Arial" w:hAnsi="Arial" w:cs="Arial"/>
          <w:color w:val="000000" w:themeColor="text1"/>
          <w:sz w:val="20"/>
          <w:szCs w:val="20"/>
        </w:rPr>
        <w:t>24,39</w:t>
      </w:r>
      <w:r w:rsidR="00AD4194" w:rsidRPr="00A35343">
        <w:rPr>
          <w:rFonts w:ascii="Arial" w:hAnsi="Arial" w:cs="Arial"/>
          <w:color w:val="000000" w:themeColor="text1"/>
          <w:sz w:val="20"/>
          <w:szCs w:val="20"/>
        </w:rPr>
        <w:t> </w:t>
      </w:r>
      <w:r w:rsidR="00AC0027">
        <w:rPr>
          <w:rFonts w:ascii="Arial" w:hAnsi="Arial" w:cs="Arial"/>
          <w:color w:val="000000" w:themeColor="text1"/>
          <w:sz w:val="20"/>
          <w:szCs w:val="20"/>
        </w:rPr>
        <w:t>odstotka</w:t>
      </w:r>
      <w:r w:rsidRPr="00A2560B">
        <w:rPr>
          <w:rFonts w:ascii="Arial" w:hAnsi="Arial" w:cs="Arial"/>
          <w:color w:val="000000" w:themeColor="text1"/>
          <w:sz w:val="20"/>
          <w:szCs w:val="20"/>
        </w:rPr>
        <w:t>) iz splošne dejavnosti javne uprave</w:t>
      </w:r>
      <w:r w:rsidR="006E2EA0" w:rsidRPr="00A2560B">
        <w:rPr>
          <w:rFonts w:ascii="Arial" w:hAnsi="Arial" w:cs="Arial"/>
          <w:color w:val="000000" w:themeColor="text1"/>
          <w:sz w:val="20"/>
          <w:szCs w:val="20"/>
        </w:rPr>
        <w:t xml:space="preserve">, ki so oddali </w:t>
      </w:r>
      <w:r w:rsidR="00903CD0" w:rsidRPr="00A2560B">
        <w:rPr>
          <w:rFonts w:ascii="Arial" w:hAnsi="Arial" w:cs="Arial"/>
          <w:color w:val="000000" w:themeColor="text1"/>
          <w:sz w:val="20"/>
          <w:szCs w:val="20"/>
        </w:rPr>
        <w:t>2.</w:t>
      </w:r>
      <w:r w:rsidR="00A35343" w:rsidRPr="00A2560B">
        <w:rPr>
          <w:rFonts w:ascii="Arial" w:hAnsi="Arial" w:cs="Arial"/>
          <w:color w:val="000000" w:themeColor="text1"/>
          <w:sz w:val="20"/>
          <w:szCs w:val="20"/>
        </w:rPr>
        <w:t>506</w:t>
      </w:r>
      <w:r w:rsidRPr="00A2560B">
        <w:rPr>
          <w:rFonts w:ascii="Arial" w:hAnsi="Arial" w:cs="Arial"/>
          <w:color w:val="000000" w:themeColor="text1"/>
          <w:sz w:val="20"/>
          <w:szCs w:val="20"/>
        </w:rPr>
        <w:t xml:space="preserve"> naročil (</w:t>
      </w:r>
      <w:r w:rsidR="00903CD0" w:rsidRPr="00A2560B">
        <w:rPr>
          <w:rFonts w:ascii="Arial" w:hAnsi="Arial" w:cs="Arial"/>
          <w:color w:val="000000" w:themeColor="text1"/>
          <w:sz w:val="20"/>
          <w:szCs w:val="20"/>
        </w:rPr>
        <w:t>1</w:t>
      </w:r>
      <w:r w:rsidR="00A35343" w:rsidRPr="00A2560B">
        <w:rPr>
          <w:rFonts w:ascii="Arial" w:hAnsi="Arial" w:cs="Arial"/>
          <w:color w:val="000000" w:themeColor="text1"/>
          <w:sz w:val="20"/>
          <w:szCs w:val="20"/>
        </w:rPr>
        <w:t xml:space="preserve">4,55 </w:t>
      </w:r>
      <w:r w:rsidR="00AC0027">
        <w:rPr>
          <w:rFonts w:ascii="Arial" w:hAnsi="Arial" w:cs="Arial"/>
          <w:color w:val="000000" w:themeColor="text1"/>
          <w:sz w:val="20"/>
          <w:szCs w:val="20"/>
        </w:rPr>
        <w:t>odstotka</w:t>
      </w:r>
      <w:r w:rsidRPr="00A2560B">
        <w:rPr>
          <w:rFonts w:ascii="Arial" w:hAnsi="Arial" w:cs="Arial"/>
          <w:color w:val="000000" w:themeColor="text1"/>
          <w:sz w:val="20"/>
          <w:szCs w:val="20"/>
        </w:rPr>
        <w:t xml:space="preserve"> vseh naročil) v skupni vrednosti </w:t>
      </w:r>
      <w:r w:rsidR="00A2560B" w:rsidRPr="00A2560B">
        <w:rPr>
          <w:rFonts w:ascii="Arial" w:hAnsi="Arial" w:cs="Arial"/>
          <w:color w:val="000000" w:themeColor="text1"/>
          <w:sz w:val="20"/>
          <w:szCs w:val="20"/>
        </w:rPr>
        <w:t xml:space="preserve">1.050.591.784 </w:t>
      </w:r>
      <w:r w:rsidRPr="00A2560B">
        <w:rPr>
          <w:rFonts w:ascii="Arial" w:hAnsi="Arial" w:cs="Arial"/>
          <w:color w:val="000000" w:themeColor="text1"/>
          <w:sz w:val="20"/>
          <w:szCs w:val="20"/>
        </w:rPr>
        <w:t xml:space="preserve">evrov, kar </w:t>
      </w:r>
      <w:r w:rsidR="00550C22" w:rsidRPr="00A2560B">
        <w:rPr>
          <w:rFonts w:ascii="Arial" w:hAnsi="Arial" w:cs="Arial"/>
          <w:color w:val="000000" w:themeColor="text1"/>
          <w:sz w:val="20"/>
          <w:szCs w:val="20"/>
        </w:rPr>
        <w:t>je</w:t>
      </w:r>
      <w:r w:rsidR="001C2ADE" w:rsidRPr="00A2560B">
        <w:rPr>
          <w:rFonts w:ascii="Arial" w:hAnsi="Arial" w:cs="Arial"/>
          <w:color w:val="000000" w:themeColor="text1"/>
          <w:sz w:val="20"/>
          <w:szCs w:val="20"/>
        </w:rPr>
        <w:t xml:space="preserve"> </w:t>
      </w:r>
      <w:r w:rsidR="00A35343" w:rsidRPr="00A2560B">
        <w:rPr>
          <w:rFonts w:ascii="Arial" w:hAnsi="Arial" w:cs="Arial"/>
          <w:color w:val="000000" w:themeColor="text1"/>
          <w:sz w:val="20"/>
          <w:szCs w:val="20"/>
        </w:rPr>
        <w:t>19</w:t>
      </w:r>
      <w:r w:rsidR="00A35343" w:rsidRPr="00A35343">
        <w:rPr>
          <w:rFonts w:ascii="Arial" w:hAnsi="Arial" w:cs="Arial"/>
          <w:color w:val="000000" w:themeColor="text1"/>
          <w:sz w:val="20"/>
          <w:szCs w:val="20"/>
        </w:rPr>
        <w:t xml:space="preserve">,39 </w:t>
      </w:r>
      <w:r w:rsidR="00AC0027">
        <w:rPr>
          <w:rFonts w:ascii="Arial" w:hAnsi="Arial" w:cs="Arial"/>
          <w:color w:val="000000" w:themeColor="text1"/>
          <w:sz w:val="20"/>
          <w:szCs w:val="20"/>
        </w:rPr>
        <w:t>odstotka</w:t>
      </w:r>
      <w:r w:rsidRPr="00A35343">
        <w:rPr>
          <w:rFonts w:ascii="Arial" w:hAnsi="Arial" w:cs="Arial"/>
          <w:color w:val="000000" w:themeColor="text1"/>
          <w:sz w:val="20"/>
          <w:szCs w:val="20"/>
        </w:rPr>
        <w:t xml:space="preserve"> celotne vrednosti oddanih </w:t>
      </w:r>
      <w:r w:rsidRPr="006D047C">
        <w:rPr>
          <w:rFonts w:ascii="Arial" w:hAnsi="Arial" w:cs="Arial"/>
          <w:color w:val="000000" w:themeColor="text1"/>
          <w:sz w:val="20"/>
          <w:szCs w:val="20"/>
        </w:rPr>
        <w:t>naročil.</w:t>
      </w:r>
      <w:r w:rsidR="00903CD0" w:rsidRPr="006D047C">
        <w:rPr>
          <w:rFonts w:ascii="Arial" w:hAnsi="Arial" w:cs="Arial"/>
          <w:color w:val="000000" w:themeColor="text1"/>
          <w:sz w:val="20"/>
          <w:szCs w:val="20"/>
        </w:rPr>
        <w:t xml:space="preserve"> </w:t>
      </w:r>
      <w:r w:rsidRPr="006D047C">
        <w:rPr>
          <w:rFonts w:ascii="Arial" w:hAnsi="Arial" w:cs="Arial"/>
          <w:color w:val="000000" w:themeColor="text1"/>
          <w:sz w:val="20"/>
          <w:szCs w:val="20"/>
        </w:rPr>
        <w:t>Po</w:t>
      </w:r>
      <w:r w:rsidR="00903CD0" w:rsidRPr="006D047C">
        <w:rPr>
          <w:rFonts w:ascii="Arial" w:hAnsi="Arial" w:cs="Arial"/>
          <w:color w:val="000000" w:themeColor="text1"/>
          <w:sz w:val="20"/>
          <w:szCs w:val="20"/>
        </w:rPr>
        <w:t xml:space="preserve"> </w:t>
      </w:r>
      <w:r w:rsidR="00EC79A1" w:rsidRPr="006D047C">
        <w:rPr>
          <w:rFonts w:ascii="Arial" w:hAnsi="Arial" w:cs="Arial"/>
          <w:color w:val="000000" w:themeColor="text1"/>
          <w:sz w:val="20"/>
          <w:szCs w:val="20"/>
        </w:rPr>
        <w:t>številu naročil</w:t>
      </w:r>
      <w:r w:rsidRPr="006D047C">
        <w:rPr>
          <w:rFonts w:ascii="Arial" w:hAnsi="Arial" w:cs="Arial"/>
          <w:color w:val="000000" w:themeColor="text1"/>
          <w:sz w:val="20"/>
          <w:szCs w:val="20"/>
        </w:rPr>
        <w:t xml:space="preserve"> </w:t>
      </w:r>
      <w:r w:rsidR="00903CD0" w:rsidRPr="006D047C">
        <w:rPr>
          <w:rFonts w:ascii="Arial" w:hAnsi="Arial" w:cs="Arial"/>
          <w:color w:val="000000" w:themeColor="text1"/>
          <w:sz w:val="20"/>
          <w:szCs w:val="20"/>
        </w:rPr>
        <w:t>je</w:t>
      </w:r>
      <w:r w:rsidR="00EC79A1" w:rsidRPr="006D047C">
        <w:rPr>
          <w:rFonts w:ascii="Arial" w:hAnsi="Arial" w:cs="Arial"/>
          <w:color w:val="000000" w:themeColor="text1"/>
          <w:sz w:val="20"/>
          <w:szCs w:val="20"/>
        </w:rPr>
        <w:t xml:space="preserve"> na prvem mestu </w:t>
      </w:r>
      <w:r w:rsidR="00903CD0" w:rsidRPr="006D047C">
        <w:rPr>
          <w:rFonts w:ascii="Arial" w:hAnsi="Arial" w:cs="Arial"/>
          <w:color w:val="000000" w:themeColor="text1"/>
          <w:sz w:val="20"/>
          <w:szCs w:val="20"/>
        </w:rPr>
        <w:t xml:space="preserve">bolnišnična zdravstvena dejavnost, </w:t>
      </w:r>
      <w:r w:rsidR="00C4750B" w:rsidRPr="006D047C">
        <w:rPr>
          <w:rFonts w:ascii="Arial" w:hAnsi="Arial" w:cs="Arial"/>
          <w:color w:val="000000" w:themeColor="text1"/>
          <w:sz w:val="20"/>
          <w:szCs w:val="20"/>
        </w:rPr>
        <w:t xml:space="preserve">kjer je </w:t>
      </w:r>
      <w:r w:rsidR="00903CD0" w:rsidRPr="006D047C">
        <w:rPr>
          <w:rFonts w:ascii="Arial" w:hAnsi="Arial" w:cs="Arial"/>
          <w:color w:val="000000" w:themeColor="text1"/>
          <w:sz w:val="20"/>
          <w:szCs w:val="20"/>
        </w:rPr>
        <w:t>24</w:t>
      </w:r>
      <w:r w:rsidRPr="006D047C">
        <w:rPr>
          <w:rFonts w:ascii="Arial" w:hAnsi="Arial" w:cs="Arial"/>
          <w:color w:val="000000" w:themeColor="text1"/>
          <w:sz w:val="20"/>
          <w:szCs w:val="20"/>
        </w:rPr>
        <w:t xml:space="preserve"> naročnikov oddalo</w:t>
      </w:r>
      <w:r w:rsidR="00903CD0" w:rsidRPr="006D047C">
        <w:rPr>
          <w:rFonts w:ascii="Arial" w:hAnsi="Arial" w:cs="Arial"/>
          <w:color w:val="000000" w:themeColor="text1"/>
          <w:sz w:val="20"/>
          <w:szCs w:val="20"/>
        </w:rPr>
        <w:t xml:space="preserve"> </w:t>
      </w:r>
      <w:r w:rsidR="006D047C" w:rsidRPr="006D047C">
        <w:rPr>
          <w:rFonts w:ascii="Arial" w:hAnsi="Arial" w:cs="Arial"/>
          <w:color w:val="000000" w:themeColor="text1"/>
          <w:sz w:val="20"/>
          <w:szCs w:val="20"/>
        </w:rPr>
        <w:t>3.176</w:t>
      </w:r>
      <w:r w:rsidR="00C4750B" w:rsidRPr="006D047C">
        <w:rPr>
          <w:rFonts w:ascii="Arial" w:hAnsi="Arial" w:cs="Arial"/>
          <w:color w:val="000000" w:themeColor="text1"/>
          <w:sz w:val="20"/>
          <w:szCs w:val="20"/>
        </w:rPr>
        <w:t xml:space="preserve"> </w:t>
      </w:r>
      <w:r w:rsidR="00EB2A7A" w:rsidRPr="006D047C">
        <w:rPr>
          <w:rFonts w:ascii="Arial" w:hAnsi="Arial" w:cs="Arial"/>
          <w:color w:val="000000" w:themeColor="text1"/>
          <w:sz w:val="20"/>
          <w:szCs w:val="20"/>
        </w:rPr>
        <w:t>naročil (</w:t>
      </w:r>
      <w:r w:rsidR="006D047C" w:rsidRPr="006D047C">
        <w:rPr>
          <w:rFonts w:ascii="Arial" w:hAnsi="Arial" w:cs="Arial"/>
          <w:color w:val="000000" w:themeColor="text1"/>
          <w:sz w:val="20"/>
          <w:szCs w:val="20"/>
        </w:rPr>
        <w:t>18,44</w:t>
      </w:r>
      <w:r w:rsidR="00AD4194" w:rsidRPr="006D047C">
        <w:rPr>
          <w:rFonts w:ascii="Arial" w:hAnsi="Arial" w:cs="Arial"/>
          <w:color w:val="000000" w:themeColor="text1"/>
          <w:sz w:val="20"/>
          <w:szCs w:val="20"/>
        </w:rPr>
        <w:t> </w:t>
      </w:r>
      <w:r w:rsidR="00AC0027">
        <w:rPr>
          <w:rFonts w:ascii="Arial" w:hAnsi="Arial" w:cs="Arial"/>
          <w:color w:val="000000" w:themeColor="text1"/>
          <w:sz w:val="20"/>
          <w:szCs w:val="20"/>
        </w:rPr>
        <w:t>odstotka</w:t>
      </w:r>
      <w:r w:rsidRPr="006D047C">
        <w:rPr>
          <w:rFonts w:ascii="Arial" w:hAnsi="Arial" w:cs="Arial"/>
          <w:color w:val="000000" w:themeColor="text1"/>
          <w:sz w:val="20"/>
          <w:szCs w:val="20"/>
        </w:rPr>
        <w:t xml:space="preserve"> vseh naročil) v skupni vrednosti </w:t>
      </w:r>
      <w:r w:rsidR="00092E95" w:rsidRPr="00092E95">
        <w:rPr>
          <w:rFonts w:ascii="Arial" w:hAnsi="Arial" w:cs="Arial"/>
          <w:color w:val="000000" w:themeColor="text1"/>
          <w:sz w:val="20"/>
          <w:szCs w:val="20"/>
        </w:rPr>
        <w:t>554</w:t>
      </w:r>
      <w:r w:rsidR="00092E95">
        <w:rPr>
          <w:rFonts w:ascii="Arial" w:hAnsi="Arial" w:cs="Arial"/>
          <w:color w:val="000000" w:themeColor="text1"/>
          <w:sz w:val="20"/>
          <w:szCs w:val="20"/>
        </w:rPr>
        <w:t>.</w:t>
      </w:r>
      <w:r w:rsidR="00092E95" w:rsidRPr="00092E95">
        <w:rPr>
          <w:rFonts w:ascii="Arial" w:hAnsi="Arial" w:cs="Arial"/>
          <w:color w:val="000000" w:themeColor="text1"/>
          <w:sz w:val="20"/>
          <w:szCs w:val="20"/>
        </w:rPr>
        <w:t>877</w:t>
      </w:r>
      <w:r w:rsidR="00092E95">
        <w:rPr>
          <w:rFonts w:ascii="Arial" w:hAnsi="Arial" w:cs="Arial"/>
          <w:color w:val="000000" w:themeColor="text1"/>
          <w:sz w:val="20"/>
          <w:szCs w:val="20"/>
        </w:rPr>
        <w:t>.</w:t>
      </w:r>
      <w:r w:rsidR="00092E95" w:rsidRPr="00092E95">
        <w:rPr>
          <w:rFonts w:ascii="Arial" w:hAnsi="Arial" w:cs="Arial"/>
          <w:color w:val="000000" w:themeColor="text1"/>
          <w:sz w:val="20"/>
          <w:szCs w:val="20"/>
        </w:rPr>
        <w:t>934</w:t>
      </w:r>
      <w:r w:rsidR="006D047C" w:rsidRPr="006D047C">
        <w:rPr>
          <w:rFonts w:ascii="Arial" w:hAnsi="Arial" w:cs="Arial"/>
          <w:color w:val="000000" w:themeColor="text1"/>
          <w:sz w:val="20"/>
          <w:szCs w:val="20"/>
        </w:rPr>
        <w:t xml:space="preserve"> </w:t>
      </w:r>
      <w:r w:rsidR="00C4750B" w:rsidRPr="006D047C">
        <w:rPr>
          <w:rFonts w:ascii="Arial" w:hAnsi="Arial" w:cs="Arial"/>
          <w:color w:val="000000" w:themeColor="text1"/>
          <w:sz w:val="20"/>
          <w:szCs w:val="20"/>
        </w:rPr>
        <w:t>evrov</w:t>
      </w:r>
      <w:r w:rsidRPr="006D047C">
        <w:rPr>
          <w:rFonts w:ascii="Arial" w:hAnsi="Arial" w:cs="Arial"/>
          <w:color w:val="000000" w:themeColor="text1"/>
          <w:sz w:val="20"/>
          <w:szCs w:val="20"/>
        </w:rPr>
        <w:t>, kar</w:t>
      </w:r>
      <w:r w:rsidRPr="0069633F">
        <w:rPr>
          <w:rFonts w:ascii="Arial" w:hAnsi="Arial" w:cs="Arial"/>
          <w:color w:val="000000" w:themeColor="text1"/>
          <w:sz w:val="20"/>
          <w:szCs w:val="20"/>
        </w:rPr>
        <w:t xml:space="preserve"> </w:t>
      </w:r>
      <w:r w:rsidR="00550C22" w:rsidRPr="0069633F">
        <w:rPr>
          <w:rFonts w:ascii="Arial" w:hAnsi="Arial" w:cs="Arial"/>
          <w:color w:val="000000" w:themeColor="text1"/>
          <w:sz w:val="20"/>
          <w:szCs w:val="20"/>
        </w:rPr>
        <w:t>je</w:t>
      </w:r>
      <w:r w:rsidRPr="0069633F">
        <w:rPr>
          <w:rFonts w:ascii="Arial" w:hAnsi="Arial" w:cs="Arial"/>
          <w:color w:val="000000" w:themeColor="text1"/>
          <w:sz w:val="20"/>
          <w:szCs w:val="20"/>
        </w:rPr>
        <w:t xml:space="preserve"> </w:t>
      </w:r>
      <w:r w:rsidR="00FC53F0" w:rsidRPr="0069633F">
        <w:rPr>
          <w:rFonts w:ascii="Arial" w:hAnsi="Arial" w:cs="Arial"/>
          <w:color w:val="000000" w:themeColor="text1"/>
          <w:sz w:val="20"/>
          <w:szCs w:val="20"/>
        </w:rPr>
        <w:t>1</w:t>
      </w:r>
      <w:r w:rsidR="00903CD0" w:rsidRPr="0069633F">
        <w:rPr>
          <w:rFonts w:ascii="Arial" w:hAnsi="Arial" w:cs="Arial"/>
          <w:color w:val="000000" w:themeColor="text1"/>
          <w:sz w:val="20"/>
          <w:szCs w:val="20"/>
        </w:rPr>
        <w:t>0,</w:t>
      </w:r>
      <w:r w:rsidR="006D047C" w:rsidRPr="0069633F">
        <w:rPr>
          <w:rFonts w:ascii="Arial" w:hAnsi="Arial" w:cs="Arial"/>
          <w:color w:val="000000" w:themeColor="text1"/>
          <w:sz w:val="20"/>
          <w:szCs w:val="20"/>
        </w:rPr>
        <w:t>24</w:t>
      </w:r>
      <w:r w:rsidR="00AD4194" w:rsidRPr="0069633F">
        <w:rPr>
          <w:rFonts w:ascii="Arial" w:hAnsi="Arial" w:cs="Arial"/>
          <w:color w:val="000000" w:themeColor="text1"/>
          <w:sz w:val="20"/>
          <w:szCs w:val="20"/>
        </w:rPr>
        <w:t> </w:t>
      </w:r>
      <w:r w:rsidR="00AC0027">
        <w:rPr>
          <w:rFonts w:ascii="Arial" w:hAnsi="Arial" w:cs="Arial"/>
          <w:color w:val="000000" w:themeColor="text1"/>
          <w:sz w:val="20"/>
          <w:szCs w:val="20"/>
        </w:rPr>
        <w:t>odstotka</w:t>
      </w:r>
      <w:r w:rsidRPr="0069633F">
        <w:rPr>
          <w:rFonts w:ascii="Arial" w:hAnsi="Arial" w:cs="Arial"/>
          <w:color w:val="000000" w:themeColor="text1"/>
          <w:sz w:val="20"/>
          <w:szCs w:val="20"/>
        </w:rPr>
        <w:t xml:space="preserve"> vrednosti oddanih naročil.</w:t>
      </w:r>
    </w:p>
    <w:p w14:paraId="1FAD4A07" w14:textId="499ECA0D" w:rsidR="00192C09" w:rsidRPr="0069633F" w:rsidRDefault="00192C09" w:rsidP="00115DB2">
      <w:pPr>
        <w:spacing w:line="360" w:lineRule="auto"/>
        <w:jc w:val="both"/>
        <w:rPr>
          <w:rFonts w:ascii="Calibri" w:eastAsia="Times New Roman" w:hAnsi="Calibri" w:cs="Calibri"/>
          <w:color w:val="000000" w:themeColor="text1"/>
          <w:lang w:eastAsia="sl-SI"/>
        </w:rPr>
      </w:pPr>
      <w:r w:rsidRPr="0069633F">
        <w:rPr>
          <w:rFonts w:ascii="Arial" w:hAnsi="Arial" w:cs="Arial"/>
          <w:color w:val="000000" w:themeColor="text1"/>
          <w:sz w:val="20"/>
          <w:szCs w:val="20"/>
        </w:rPr>
        <w:t xml:space="preserve">Največje vrednosti oddanih naročil so bile dosežene na področju </w:t>
      </w:r>
      <w:r w:rsidR="0069633F" w:rsidRPr="0069633F">
        <w:rPr>
          <w:rFonts w:ascii="Arial" w:hAnsi="Arial" w:cs="Arial"/>
          <w:color w:val="000000" w:themeColor="text1"/>
          <w:sz w:val="20"/>
          <w:szCs w:val="20"/>
        </w:rPr>
        <w:t>urejanja gospodarskih področij za učinkovitejše poslovanje, splošne dejavnosti javne uprave, bolnišnične zdravstvene dejavnosti, trgovine na drobno v specializiranih prodajalnah s farmacevtskimi izdelki in spremljajoče storitvene dejavnosti v kopenskem prometu</w:t>
      </w:r>
      <w:r w:rsidR="00AF1202">
        <w:rPr>
          <w:rFonts w:ascii="Arial" w:hAnsi="Arial" w:cs="Arial"/>
          <w:color w:val="000000" w:themeColor="text1"/>
          <w:sz w:val="20"/>
          <w:szCs w:val="20"/>
        </w:rPr>
        <w:t xml:space="preserve"> </w:t>
      </w:r>
      <w:r w:rsidRPr="0069633F">
        <w:rPr>
          <w:rFonts w:ascii="Arial" w:hAnsi="Arial" w:cs="Arial"/>
          <w:color w:val="000000" w:themeColor="text1"/>
          <w:sz w:val="20"/>
          <w:szCs w:val="20"/>
        </w:rPr>
        <w:t xml:space="preserve">s skupno vrednostjo naročil </w:t>
      </w:r>
      <w:r w:rsidR="0069633F" w:rsidRPr="0069633F">
        <w:rPr>
          <w:rFonts w:ascii="Arial" w:hAnsi="Arial" w:cs="Arial"/>
          <w:color w:val="000000" w:themeColor="text1"/>
          <w:sz w:val="20"/>
          <w:szCs w:val="20"/>
        </w:rPr>
        <w:t xml:space="preserve">3.249.289.895 </w:t>
      </w:r>
      <w:r w:rsidRPr="0069633F">
        <w:rPr>
          <w:rFonts w:ascii="Arial" w:hAnsi="Arial" w:cs="Arial"/>
          <w:color w:val="000000" w:themeColor="text1"/>
          <w:sz w:val="20"/>
          <w:szCs w:val="20"/>
        </w:rPr>
        <w:t xml:space="preserve">evrov. Naročila, oddana v navedenih petih dejavnostih, </w:t>
      </w:r>
      <w:r w:rsidR="001C2ADE" w:rsidRPr="0069633F">
        <w:rPr>
          <w:rFonts w:ascii="Arial" w:hAnsi="Arial" w:cs="Arial"/>
          <w:color w:val="000000" w:themeColor="text1"/>
          <w:sz w:val="20"/>
          <w:szCs w:val="20"/>
        </w:rPr>
        <w:t xml:space="preserve">znašajo </w:t>
      </w:r>
      <w:r w:rsidR="0069633F" w:rsidRPr="0069633F">
        <w:rPr>
          <w:rFonts w:ascii="Arial" w:hAnsi="Arial" w:cs="Arial"/>
          <w:color w:val="000000" w:themeColor="text1"/>
          <w:sz w:val="20"/>
          <w:szCs w:val="20"/>
        </w:rPr>
        <w:t>59,98</w:t>
      </w:r>
      <w:r w:rsidR="00556C65" w:rsidRPr="0069633F">
        <w:rPr>
          <w:rFonts w:ascii="Arial" w:hAnsi="Arial" w:cs="Arial"/>
          <w:color w:val="000000" w:themeColor="text1"/>
          <w:sz w:val="20"/>
          <w:szCs w:val="20"/>
        </w:rPr>
        <w:t> </w:t>
      </w:r>
      <w:r w:rsidR="00AC0027">
        <w:rPr>
          <w:rFonts w:ascii="Arial" w:hAnsi="Arial" w:cs="Arial"/>
          <w:color w:val="000000" w:themeColor="text1"/>
          <w:sz w:val="20"/>
          <w:szCs w:val="20"/>
        </w:rPr>
        <w:t>odstotka</w:t>
      </w:r>
      <w:r w:rsidRPr="0069633F">
        <w:rPr>
          <w:rFonts w:ascii="Arial" w:hAnsi="Arial" w:cs="Arial"/>
          <w:color w:val="000000" w:themeColor="text1"/>
          <w:sz w:val="20"/>
          <w:szCs w:val="20"/>
        </w:rPr>
        <w:t xml:space="preserve"> vrednosti vseh oddanih naročil.</w:t>
      </w:r>
    </w:p>
    <w:p w14:paraId="6395C39A" w14:textId="3334E8EF" w:rsidR="001D7E85" w:rsidRDefault="00192C09" w:rsidP="00A65945">
      <w:pPr>
        <w:spacing w:after="0" w:line="360" w:lineRule="auto"/>
        <w:jc w:val="both"/>
        <w:rPr>
          <w:rFonts w:ascii="Arial" w:hAnsi="Arial" w:cs="Arial"/>
          <w:color w:val="000000" w:themeColor="text1"/>
          <w:sz w:val="20"/>
          <w:szCs w:val="20"/>
        </w:rPr>
      </w:pPr>
      <w:r w:rsidRPr="0063669B">
        <w:rPr>
          <w:rFonts w:ascii="Arial" w:hAnsi="Arial" w:cs="Arial"/>
          <w:color w:val="000000" w:themeColor="text1"/>
          <w:sz w:val="20"/>
          <w:szCs w:val="20"/>
        </w:rPr>
        <w:t>Naročniki</w:t>
      </w:r>
      <w:r w:rsidR="007E55A1" w:rsidRPr="0063669B">
        <w:rPr>
          <w:rFonts w:ascii="Arial" w:hAnsi="Arial" w:cs="Arial"/>
          <w:color w:val="000000" w:themeColor="text1"/>
          <w:sz w:val="20"/>
          <w:szCs w:val="20"/>
        </w:rPr>
        <w:t>, ki opravljajo dejavnosti</w:t>
      </w:r>
      <w:r w:rsidRPr="0063669B">
        <w:rPr>
          <w:rFonts w:ascii="Arial" w:hAnsi="Arial" w:cs="Arial"/>
          <w:color w:val="000000" w:themeColor="text1"/>
          <w:sz w:val="20"/>
          <w:szCs w:val="20"/>
        </w:rPr>
        <w:t xml:space="preserve"> iz </w:t>
      </w:r>
      <w:r w:rsidR="0063669B" w:rsidRPr="0063669B">
        <w:rPr>
          <w:rFonts w:ascii="Arial" w:hAnsi="Arial" w:cs="Arial"/>
          <w:color w:val="000000" w:themeColor="text1"/>
          <w:sz w:val="20"/>
          <w:szCs w:val="20"/>
        </w:rPr>
        <w:t>petih</w:t>
      </w:r>
      <w:r w:rsidR="00E2312F" w:rsidRPr="0063669B">
        <w:rPr>
          <w:rFonts w:ascii="Arial" w:hAnsi="Arial" w:cs="Arial"/>
          <w:color w:val="000000" w:themeColor="text1"/>
          <w:sz w:val="20"/>
          <w:szCs w:val="20"/>
        </w:rPr>
        <w:t xml:space="preserve"> </w:t>
      </w:r>
      <w:r w:rsidRPr="0063669B">
        <w:rPr>
          <w:rFonts w:ascii="Arial" w:hAnsi="Arial" w:cs="Arial"/>
          <w:color w:val="000000" w:themeColor="text1"/>
          <w:sz w:val="20"/>
          <w:szCs w:val="20"/>
        </w:rPr>
        <w:t>dejavnosti</w:t>
      </w:r>
      <w:r w:rsidR="00156A10" w:rsidRPr="0063669B">
        <w:rPr>
          <w:rFonts w:ascii="Arial" w:hAnsi="Arial" w:cs="Arial"/>
          <w:color w:val="000000" w:themeColor="text1"/>
          <w:sz w:val="20"/>
          <w:szCs w:val="20"/>
        </w:rPr>
        <w:t xml:space="preserve"> </w:t>
      </w:r>
      <w:r w:rsidR="007E55A1" w:rsidRPr="0063669B">
        <w:rPr>
          <w:rFonts w:ascii="Arial" w:hAnsi="Arial" w:cs="Arial"/>
          <w:color w:val="000000" w:themeColor="text1"/>
          <w:sz w:val="20"/>
          <w:szCs w:val="20"/>
        </w:rPr>
        <w:t>(</w:t>
      </w:r>
      <w:r w:rsidR="0063669B">
        <w:rPr>
          <w:rFonts w:ascii="Arial" w:hAnsi="Arial" w:cs="Arial"/>
          <w:color w:val="000000" w:themeColor="text1"/>
          <w:sz w:val="20"/>
          <w:szCs w:val="20"/>
        </w:rPr>
        <w:t>d</w:t>
      </w:r>
      <w:r w:rsidR="0063669B" w:rsidRPr="0063669B">
        <w:rPr>
          <w:rFonts w:ascii="Arial" w:hAnsi="Arial" w:cs="Arial"/>
          <w:color w:val="000000" w:themeColor="text1"/>
          <w:sz w:val="20"/>
          <w:szCs w:val="20"/>
        </w:rPr>
        <w:t xml:space="preserve">ejavnost humanitarnih in dobrodelnih organizacij, </w:t>
      </w:r>
      <w:r w:rsidR="0063669B">
        <w:rPr>
          <w:rFonts w:ascii="Arial" w:hAnsi="Arial" w:cs="Arial"/>
          <w:color w:val="000000" w:themeColor="text1"/>
          <w:sz w:val="20"/>
          <w:szCs w:val="20"/>
        </w:rPr>
        <w:t>i</w:t>
      </w:r>
      <w:r w:rsidR="0063669B" w:rsidRPr="0063669B">
        <w:rPr>
          <w:rFonts w:ascii="Arial" w:hAnsi="Arial" w:cs="Arial"/>
          <w:color w:val="000000" w:themeColor="text1"/>
          <w:sz w:val="20"/>
          <w:szCs w:val="20"/>
        </w:rPr>
        <w:t xml:space="preserve">zobraževanje, izpopolnjevanje in usposabljanje na področju športa in rekreacije, </w:t>
      </w:r>
      <w:r w:rsidR="0063669B">
        <w:rPr>
          <w:rFonts w:ascii="Arial" w:hAnsi="Arial" w:cs="Arial"/>
          <w:color w:val="000000" w:themeColor="text1"/>
          <w:sz w:val="20"/>
          <w:szCs w:val="20"/>
        </w:rPr>
        <w:t>r</w:t>
      </w:r>
      <w:r w:rsidR="0063669B" w:rsidRPr="0063669B">
        <w:rPr>
          <w:rFonts w:ascii="Arial" w:hAnsi="Arial" w:cs="Arial"/>
          <w:color w:val="000000" w:themeColor="text1"/>
          <w:sz w:val="20"/>
          <w:szCs w:val="20"/>
        </w:rPr>
        <w:t>avnanje z nevarnimi odpadki, snemanje in izdajanje zvočnih zapisov in muzikalij in spremljajoče storitvene dejavnosti v vodnem prometu</w:t>
      </w:r>
      <w:r w:rsidR="007E55A1" w:rsidRPr="0063669B">
        <w:rPr>
          <w:rFonts w:ascii="Arial" w:hAnsi="Arial" w:cs="Arial"/>
          <w:color w:val="000000" w:themeColor="text1"/>
          <w:sz w:val="20"/>
          <w:szCs w:val="20"/>
        </w:rPr>
        <w:t>)</w:t>
      </w:r>
      <w:r w:rsidR="005E01DC" w:rsidRPr="0063669B">
        <w:rPr>
          <w:rFonts w:ascii="Arial" w:hAnsi="Arial" w:cs="Arial"/>
          <w:color w:val="000000" w:themeColor="text1"/>
          <w:sz w:val="20"/>
          <w:szCs w:val="20"/>
        </w:rPr>
        <w:t xml:space="preserve"> </w:t>
      </w:r>
      <w:r w:rsidRPr="0063669B">
        <w:rPr>
          <w:rFonts w:ascii="Arial" w:hAnsi="Arial" w:cs="Arial"/>
          <w:color w:val="000000" w:themeColor="text1"/>
          <w:sz w:val="20"/>
          <w:szCs w:val="20"/>
        </w:rPr>
        <w:t xml:space="preserve">so oddali le po eno naročilo, vrednost teh naročil znaša </w:t>
      </w:r>
      <w:r w:rsidR="0063669B" w:rsidRPr="0063669B">
        <w:rPr>
          <w:rFonts w:ascii="Arial" w:hAnsi="Arial" w:cs="Arial"/>
          <w:color w:val="000000" w:themeColor="text1"/>
          <w:sz w:val="20"/>
          <w:szCs w:val="20"/>
        </w:rPr>
        <w:t xml:space="preserve">533.150 </w:t>
      </w:r>
      <w:r w:rsidRPr="0063669B">
        <w:rPr>
          <w:rFonts w:ascii="Arial" w:hAnsi="Arial" w:cs="Arial"/>
          <w:color w:val="000000" w:themeColor="text1"/>
          <w:sz w:val="20"/>
          <w:szCs w:val="20"/>
        </w:rPr>
        <w:t>evrov</w:t>
      </w:r>
      <w:r w:rsidR="007E55A1" w:rsidRPr="0063669B">
        <w:rPr>
          <w:rFonts w:ascii="Arial" w:hAnsi="Arial" w:cs="Arial"/>
          <w:color w:val="000000" w:themeColor="text1"/>
          <w:sz w:val="20"/>
          <w:szCs w:val="20"/>
        </w:rPr>
        <w:t xml:space="preserve">. </w:t>
      </w:r>
    </w:p>
    <w:p w14:paraId="7DEC41F6" w14:textId="77777777" w:rsidR="00F47B0F" w:rsidRPr="00A65945" w:rsidRDefault="00F47B0F" w:rsidP="00A65945">
      <w:pPr>
        <w:spacing w:after="0" w:line="360" w:lineRule="auto"/>
        <w:jc w:val="both"/>
        <w:rPr>
          <w:rFonts w:ascii="Arial" w:hAnsi="Arial" w:cs="Arial"/>
          <w:color w:val="000000" w:themeColor="text1"/>
          <w:sz w:val="20"/>
          <w:szCs w:val="20"/>
        </w:rPr>
      </w:pPr>
    </w:p>
    <w:p w14:paraId="541FC78E" w14:textId="24BF9A6C" w:rsidR="00192C09" w:rsidRPr="00A11F3A" w:rsidRDefault="00192C09" w:rsidP="00A65945">
      <w:pPr>
        <w:spacing w:line="360" w:lineRule="auto"/>
        <w:jc w:val="both"/>
        <w:rPr>
          <w:rFonts w:ascii="Arial" w:hAnsi="Arial" w:cs="Arial"/>
          <w:color w:val="000000" w:themeColor="text1"/>
          <w:sz w:val="20"/>
          <w:szCs w:val="20"/>
        </w:rPr>
      </w:pPr>
      <w:r w:rsidRPr="00A65945">
        <w:rPr>
          <w:rFonts w:ascii="Arial" w:hAnsi="Arial" w:cs="Arial"/>
          <w:color w:val="000000" w:themeColor="text1"/>
          <w:sz w:val="20"/>
          <w:szCs w:val="20"/>
        </w:rPr>
        <w:t>Najnižje vrednost</w:t>
      </w:r>
      <w:r w:rsidR="001C2ADE" w:rsidRPr="00A65945">
        <w:rPr>
          <w:rFonts w:ascii="Arial" w:hAnsi="Arial" w:cs="Arial"/>
          <w:color w:val="000000" w:themeColor="text1"/>
          <w:sz w:val="20"/>
          <w:szCs w:val="20"/>
        </w:rPr>
        <w:t>i</w:t>
      </w:r>
      <w:r w:rsidRPr="00A65945">
        <w:rPr>
          <w:rFonts w:ascii="Arial" w:hAnsi="Arial" w:cs="Arial"/>
          <w:color w:val="000000" w:themeColor="text1"/>
          <w:sz w:val="20"/>
          <w:szCs w:val="20"/>
        </w:rPr>
        <w:t xml:space="preserve"> naročil so bile dosežene pri naročnikih</w:t>
      </w:r>
      <w:r w:rsidR="00FC5C94" w:rsidRPr="00A65945">
        <w:rPr>
          <w:rFonts w:ascii="Arial" w:hAnsi="Arial" w:cs="Arial"/>
          <w:color w:val="000000" w:themeColor="text1"/>
          <w:sz w:val="20"/>
          <w:szCs w:val="20"/>
        </w:rPr>
        <w:t xml:space="preserve"> z </w:t>
      </w:r>
      <w:r w:rsidR="0086420A" w:rsidRPr="00A65945">
        <w:rPr>
          <w:rFonts w:ascii="Arial" w:hAnsi="Arial" w:cs="Arial"/>
          <w:color w:val="000000" w:themeColor="text1"/>
          <w:sz w:val="20"/>
          <w:szCs w:val="20"/>
        </w:rPr>
        <w:t>enim naročilom</w:t>
      </w:r>
      <w:r w:rsidR="00FC5C94" w:rsidRPr="00A65945">
        <w:rPr>
          <w:rFonts w:ascii="Arial" w:hAnsi="Arial" w:cs="Arial"/>
          <w:color w:val="000000" w:themeColor="text1"/>
          <w:sz w:val="20"/>
          <w:szCs w:val="20"/>
        </w:rPr>
        <w:t xml:space="preserve"> </w:t>
      </w:r>
      <w:r w:rsidRPr="00A65945">
        <w:rPr>
          <w:rFonts w:ascii="Arial" w:hAnsi="Arial" w:cs="Arial"/>
          <w:color w:val="000000" w:themeColor="text1"/>
          <w:sz w:val="20"/>
          <w:szCs w:val="20"/>
        </w:rPr>
        <w:t xml:space="preserve">v </w:t>
      </w:r>
      <w:r w:rsidR="00A65945" w:rsidRPr="0063669B">
        <w:rPr>
          <w:rFonts w:ascii="Arial" w:hAnsi="Arial" w:cs="Arial"/>
          <w:color w:val="000000" w:themeColor="text1"/>
          <w:sz w:val="20"/>
          <w:szCs w:val="20"/>
        </w:rPr>
        <w:t>spremljajoč</w:t>
      </w:r>
      <w:r w:rsidR="00A65945">
        <w:rPr>
          <w:rFonts w:ascii="Arial" w:hAnsi="Arial" w:cs="Arial"/>
          <w:color w:val="000000" w:themeColor="text1"/>
          <w:sz w:val="20"/>
          <w:szCs w:val="20"/>
        </w:rPr>
        <w:t>ih</w:t>
      </w:r>
      <w:r w:rsidR="00A65945" w:rsidRPr="0063669B">
        <w:rPr>
          <w:rFonts w:ascii="Arial" w:hAnsi="Arial" w:cs="Arial"/>
          <w:color w:val="000000" w:themeColor="text1"/>
          <w:sz w:val="20"/>
          <w:szCs w:val="20"/>
        </w:rPr>
        <w:t xml:space="preserve"> storitven</w:t>
      </w:r>
      <w:r w:rsidR="00A65945">
        <w:rPr>
          <w:rFonts w:ascii="Arial" w:hAnsi="Arial" w:cs="Arial"/>
          <w:color w:val="000000" w:themeColor="text1"/>
          <w:sz w:val="20"/>
          <w:szCs w:val="20"/>
        </w:rPr>
        <w:t>ih</w:t>
      </w:r>
      <w:r w:rsidR="00A65945" w:rsidRPr="0063669B">
        <w:rPr>
          <w:rFonts w:ascii="Arial" w:hAnsi="Arial" w:cs="Arial"/>
          <w:color w:val="000000" w:themeColor="text1"/>
          <w:sz w:val="20"/>
          <w:szCs w:val="20"/>
        </w:rPr>
        <w:t xml:space="preserve"> </w:t>
      </w:r>
      <w:r w:rsidR="00A65945" w:rsidRPr="00A11F3A">
        <w:rPr>
          <w:rFonts w:ascii="Arial" w:hAnsi="Arial" w:cs="Arial"/>
          <w:color w:val="000000" w:themeColor="text1"/>
          <w:sz w:val="20"/>
          <w:szCs w:val="20"/>
        </w:rPr>
        <w:t>dejavnosti v vodnem prometu</w:t>
      </w:r>
      <w:r w:rsidR="00A70573" w:rsidRPr="00A11F3A">
        <w:rPr>
          <w:rFonts w:ascii="Arial" w:hAnsi="Arial" w:cs="Arial"/>
          <w:color w:val="000000" w:themeColor="text1"/>
          <w:sz w:val="20"/>
          <w:szCs w:val="20"/>
        </w:rPr>
        <w:t xml:space="preserve"> </w:t>
      </w:r>
      <w:r w:rsidRPr="00A11F3A">
        <w:rPr>
          <w:rFonts w:ascii="Arial" w:hAnsi="Arial" w:cs="Arial"/>
          <w:color w:val="000000" w:themeColor="text1"/>
          <w:sz w:val="20"/>
          <w:szCs w:val="20"/>
        </w:rPr>
        <w:t>v vrednosti</w:t>
      </w:r>
      <w:r w:rsidR="006777AC" w:rsidRPr="00A11F3A">
        <w:rPr>
          <w:rFonts w:ascii="Arial" w:hAnsi="Arial" w:cs="Arial"/>
          <w:color w:val="000000" w:themeColor="text1"/>
          <w:sz w:val="20"/>
          <w:szCs w:val="20"/>
        </w:rPr>
        <w:t xml:space="preserve"> </w:t>
      </w:r>
      <w:r w:rsidR="00A65945" w:rsidRPr="00A11F3A">
        <w:rPr>
          <w:rFonts w:ascii="Arial" w:hAnsi="Arial" w:cs="Arial"/>
          <w:color w:val="000000" w:themeColor="text1"/>
          <w:sz w:val="20"/>
          <w:szCs w:val="20"/>
        </w:rPr>
        <w:t>68</w:t>
      </w:r>
      <w:r w:rsidR="00A70573" w:rsidRPr="00A11F3A">
        <w:rPr>
          <w:rFonts w:ascii="Arial" w:hAnsi="Arial" w:cs="Arial"/>
          <w:color w:val="000000" w:themeColor="text1"/>
          <w:sz w:val="20"/>
          <w:szCs w:val="20"/>
        </w:rPr>
        <w:t>.9</w:t>
      </w:r>
      <w:r w:rsidR="00A65945" w:rsidRPr="00A11F3A">
        <w:rPr>
          <w:rFonts w:ascii="Arial" w:hAnsi="Arial" w:cs="Arial"/>
          <w:color w:val="000000" w:themeColor="text1"/>
          <w:sz w:val="20"/>
          <w:szCs w:val="20"/>
        </w:rPr>
        <w:t>22</w:t>
      </w:r>
      <w:r w:rsidR="00362BA2" w:rsidRPr="00A11F3A">
        <w:rPr>
          <w:rFonts w:ascii="Arial" w:hAnsi="Arial" w:cs="Arial"/>
          <w:color w:val="000000" w:themeColor="text1"/>
          <w:sz w:val="20"/>
          <w:szCs w:val="20"/>
        </w:rPr>
        <w:t> </w:t>
      </w:r>
      <w:r w:rsidR="008E09B2" w:rsidRPr="00A11F3A">
        <w:rPr>
          <w:rFonts w:ascii="Arial" w:hAnsi="Arial" w:cs="Arial"/>
          <w:color w:val="000000" w:themeColor="text1"/>
          <w:sz w:val="20"/>
          <w:szCs w:val="20"/>
        </w:rPr>
        <w:t>evr</w:t>
      </w:r>
      <w:r w:rsidR="00C42744" w:rsidRPr="00A11F3A">
        <w:rPr>
          <w:rFonts w:ascii="Arial" w:hAnsi="Arial" w:cs="Arial"/>
          <w:color w:val="000000" w:themeColor="text1"/>
          <w:sz w:val="20"/>
          <w:szCs w:val="20"/>
        </w:rPr>
        <w:t>ov</w:t>
      </w:r>
      <w:r w:rsidR="0094461D" w:rsidRPr="00A11F3A">
        <w:rPr>
          <w:rFonts w:ascii="Arial" w:hAnsi="Arial" w:cs="Arial"/>
          <w:color w:val="000000" w:themeColor="text1"/>
          <w:sz w:val="20"/>
          <w:szCs w:val="20"/>
        </w:rPr>
        <w:t xml:space="preserve">. </w:t>
      </w:r>
    </w:p>
    <w:p w14:paraId="15C40269" w14:textId="3C3CC9A6" w:rsidR="00A102A0" w:rsidRPr="00A11F3A" w:rsidRDefault="00A102A0" w:rsidP="00A102A0">
      <w:pPr>
        <w:pStyle w:val="Naslov3"/>
        <w:rPr>
          <w:rFonts w:ascii="Arial" w:hAnsi="Arial" w:cs="Arial"/>
          <w:sz w:val="22"/>
          <w:szCs w:val="22"/>
        </w:rPr>
      </w:pPr>
      <w:bookmarkStart w:id="31" w:name="_Toc141864064"/>
      <w:r w:rsidRPr="00A11F3A">
        <w:rPr>
          <w:rFonts w:ascii="Arial" w:hAnsi="Arial" w:cs="Arial"/>
          <w:sz w:val="22"/>
          <w:szCs w:val="22"/>
        </w:rPr>
        <w:t xml:space="preserve">2.4.2 </w:t>
      </w:r>
      <w:r w:rsidR="009F712C" w:rsidRPr="00A11F3A">
        <w:rPr>
          <w:rFonts w:ascii="Arial" w:hAnsi="Arial" w:cs="Arial"/>
          <w:sz w:val="22"/>
          <w:szCs w:val="22"/>
        </w:rPr>
        <w:t>Kategorije</w:t>
      </w:r>
      <w:r w:rsidRPr="00A11F3A">
        <w:rPr>
          <w:rFonts w:ascii="Arial" w:hAnsi="Arial" w:cs="Arial"/>
          <w:sz w:val="22"/>
          <w:szCs w:val="22"/>
        </w:rPr>
        <w:t xml:space="preserve"> naročnikov</w:t>
      </w:r>
      <w:bookmarkEnd w:id="31"/>
    </w:p>
    <w:p w14:paraId="16E7AFFD" w14:textId="0158FCF1" w:rsidR="008F5893" w:rsidRPr="00A11F3A" w:rsidRDefault="008F5893" w:rsidP="00854405">
      <w:pPr>
        <w:pStyle w:val="ZADEVA"/>
        <w:jc w:val="both"/>
        <w:rPr>
          <w:rFonts w:cs="Arial"/>
          <w:b w:val="0"/>
          <w:szCs w:val="20"/>
          <w:lang w:val="sl-SI"/>
        </w:rPr>
      </w:pPr>
    </w:p>
    <w:p w14:paraId="7692FCBA" w14:textId="3997B5C7" w:rsidR="00690FB0" w:rsidRPr="00481999" w:rsidRDefault="00E1038F" w:rsidP="00690FB0">
      <w:pPr>
        <w:spacing w:line="360" w:lineRule="auto"/>
        <w:jc w:val="both"/>
        <w:rPr>
          <w:rFonts w:ascii="Arial" w:hAnsi="Arial" w:cs="Arial"/>
          <w:sz w:val="20"/>
          <w:szCs w:val="20"/>
        </w:rPr>
      </w:pPr>
      <w:r w:rsidRPr="00A11F3A">
        <w:rPr>
          <w:rFonts w:ascii="Arial" w:hAnsi="Arial" w:cs="Arial"/>
          <w:sz w:val="20"/>
          <w:szCs w:val="20"/>
        </w:rPr>
        <w:t>Najv</w:t>
      </w:r>
      <w:r w:rsidR="00B36445" w:rsidRPr="00A11F3A">
        <w:rPr>
          <w:rFonts w:ascii="Arial" w:hAnsi="Arial" w:cs="Arial"/>
          <w:sz w:val="20"/>
          <w:szCs w:val="20"/>
        </w:rPr>
        <w:t>eč naročnikov, ki so let</w:t>
      </w:r>
      <w:r w:rsidR="008E09B2" w:rsidRPr="00A11F3A">
        <w:rPr>
          <w:rFonts w:ascii="Arial" w:hAnsi="Arial" w:cs="Arial"/>
          <w:sz w:val="20"/>
          <w:szCs w:val="20"/>
        </w:rPr>
        <w:t>a</w:t>
      </w:r>
      <w:r w:rsidR="00B36445" w:rsidRPr="00A11F3A">
        <w:rPr>
          <w:rFonts w:ascii="Arial" w:hAnsi="Arial" w:cs="Arial"/>
          <w:sz w:val="20"/>
          <w:szCs w:val="20"/>
        </w:rPr>
        <w:t xml:space="preserve"> 20</w:t>
      </w:r>
      <w:r w:rsidR="005475A5" w:rsidRPr="00A11F3A">
        <w:rPr>
          <w:rFonts w:ascii="Arial" w:hAnsi="Arial" w:cs="Arial"/>
          <w:sz w:val="20"/>
          <w:szCs w:val="20"/>
        </w:rPr>
        <w:t>2</w:t>
      </w:r>
      <w:r w:rsidR="00A11F3A" w:rsidRPr="00A11F3A">
        <w:rPr>
          <w:rFonts w:ascii="Arial" w:hAnsi="Arial" w:cs="Arial"/>
          <w:sz w:val="20"/>
          <w:szCs w:val="20"/>
        </w:rPr>
        <w:t>2</w:t>
      </w:r>
      <w:r w:rsidRPr="00A11F3A">
        <w:rPr>
          <w:rFonts w:ascii="Arial" w:hAnsi="Arial" w:cs="Arial"/>
          <w:sz w:val="20"/>
          <w:szCs w:val="20"/>
        </w:rPr>
        <w:t xml:space="preserve"> oddali naročila, je</w:t>
      </w:r>
      <w:r w:rsidR="00F66074" w:rsidRPr="00A11F3A">
        <w:rPr>
          <w:rFonts w:ascii="Arial" w:hAnsi="Arial" w:cs="Arial"/>
          <w:sz w:val="20"/>
          <w:szCs w:val="20"/>
        </w:rPr>
        <w:t xml:space="preserve"> </w:t>
      </w:r>
      <w:r w:rsidRPr="00A11F3A">
        <w:rPr>
          <w:rFonts w:ascii="Arial" w:hAnsi="Arial" w:cs="Arial"/>
          <w:sz w:val="20"/>
          <w:szCs w:val="20"/>
        </w:rPr>
        <w:t>javni</w:t>
      </w:r>
      <w:r w:rsidR="00B7725A" w:rsidRPr="00A11F3A">
        <w:rPr>
          <w:rFonts w:ascii="Arial" w:hAnsi="Arial" w:cs="Arial"/>
          <w:sz w:val="20"/>
          <w:szCs w:val="20"/>
        </w:rPr>
        <w:t>h</w:t>
      </w:r>
      <w:r w:rsidRPr="00A11F3A">
        <w:rPr>
          <w:rFonts w:ascii="Arial" w:hAnsi="Arial" w:cs="Arial"/>
          <w:sz w:val="20"/>
          <w:szCs w:val="20"/>
        </w:rPr>
        <w:t xml:space="preserve"> zavod</w:t>
      </w:r>
      <w:r w:rsidR="00B7725A" w:rsidRPr="00A11F3A">
        <w:rPr>
          <w:rFonts w:ascii="Arial" w:hAnsi="Arial" w:cs="Arial"/>
          <w:sz w:val="20"/>
          <w:szCs w:val="20"/>
        </w:rPr>
        <w:t>ov</w:t>
      </w:r>
      <w:r w:rsidRPr="00A11F3A">
        <w:rPr>
          <w:rFonts w:ascii="Arial" w:hAnsi="Arial" w:cs="Arial"/>
          <w:sz w:val="20"/>
          <w:szCs w:val="20"/>
        </w:rPr>
        <w:t>, najmanj pa</w:t>
      </w:r>
      <w:r w:rsidR="00D613F8" w:rsidRPr="00A11F3A">
        <w:rPr>
          <w:rFonts w:ascii="Arial" w:hAnsi="Arial" w:cs="Arial"/>
          <w:sz w:val="20"/>
          <w:szCs w:val="20"/>
        </w:rPr>
        <w:t xml:space="preserve"> </w:t>
      </w:r>
      <w:r w:rsidRPr="00A11F3A">
        <w:rPr>
          <w:rFonts w:ascii="Arial" w:hAnsi="Arial" w:cs="Arial"/>
          <w:sz w:val="20"/>
          <w:szCs w:val="20"/>
        </w:rPr>
        <w:t>javni</w:t>
      </w:r>
      <w:r w:rsidR="00B7725A" w:rsidRPr="00A11F3A">
        <w:rPr>
          <w:rFonts w:ascii="Arial" w:hAnsi="Arial" w:cs="Arial"/>
          <w:sz w:val="20"/>
          <w:szCs w:val="20"/>
        </w:rPr>
        <w:t>h</w:t>
      </w:r>
      <w:r w:rsidRPr="00A11F3A">
        <w:rPr>
          <w:rFonts w:ascii="Arial" w:hAnsi="Arial" w:cs="Arial"/>
          <w:sz w:val="20"/>
          <w:szCs w:val="20"/>
        </w:rPr>
        <w:t xml:space="preserve"> sklad</w:t>
      </w:r>
      <w:r w:rsidR="00B7725A" w:rsidRPr="00A11F3A">
        <w:rPr>
          <w:rFonts w:ascii="Arial" w:hAnsi="Arial" w:cs="Arial"/>
          <w:sz w:val="20"/>
          <w:szCs w:val="20"/>
        </w:rPr>
        <w:t>ov</w:t>
      </w:r>
      <w:r w:rsidRPr="00A11F3A">
        <w:rPr>
          <w:rFonts w:ascii="Arial" w:hAnsi="Arial" w:cs="Arial"/>
          <w:sz w:val="20"/>
          <w:szCs w:val="20"/>
        </w:rPr>
        <w:t xml:space="preserve">. </w:t>
      </w:r>
      <w:r w:rsidR="00B7725A" w:rsidRPr="00A11F3A">
        <w:rPr>
          <w:rFonts w:ascii="Arial" w:hAnsi="Arial" w:cs="Arial"/>
          <w:sz w:val="20"/>
          <w:szCs w:val="20"/>
        </w:rPr>
        <w:t>O</w:t>
      </w:r>
      <w:r w:rsidR="00886C53" w:rsidRPr="00A11F3A">
        <w:rPr>
          <w:rFonts w:ascii="Arial" w:hAnsi="Arial" w:cs="Arial"/>
          <w:sz w:val="20"/>
          <w:szCs w:val="20"/>
        </w:rPr>
        <w:t xml:space="preserve">rgani </w:t>
      </w:r>
      <w:r w:rsidR="00007116">
        <w:rPr>
          <w:rFonts w:ascii="Arial" w:hAnsi="Arial" w:cs="Arial"/>
          <w:sz w:val="20"/>
          <w:szCs w:val="20"/>
        </w:rPr>
        <w:t>Republike Slovenije</w:t>
      </w:r>
      <w:r w:rsidR="00886C53" w:rsidRPr="00A11F3A">
        <w:rPr>
          <w:rFonts w:ascii="Arial" w:hAnsi="Arial" w:cs="Arial"/>
          <w:sz w:val="20"/>
          <w:szCs w:val="20"/>
        </w:rPr>
        <w:t xml:space="preserve"> so </w:t>
      </w:r>
      <w:r w:rsidR="008E09B2" w:rsidRPr="00A11F3A">
        <w:rPr>
          <w:rFonts w:ascii="Arial" w:hAnsi="Arial" w:cs="Arial"/>
          <w:sz w:val="20"/>
          <w:szCs w:val="20"/>
        </w:rPr>
        <w:t xml:space="preserve">leta </w:t>
      </w:r>
      <w:r w:rsidR="00886C53" w:rsidRPr="00A11F3A">
        <w:rPr>
          <w:rFonts w:ascii="Arial" w:hAnsi="Arial" w:cs="Arial"/>
          <w:sz w:val="20"/>
          <w:szCs w:val="20"/>
        </w:rPr>
        <w:t>20</w:t>
      </w:r>
      <w:r w:rsidR="005475A5" w:rsidRPr="00A11F3A">
        <w:rPr>
          <w:rFonts w:ascii="Arial" w:hAnsi="Arial" w:cs="Arial"/>
          <w:sz w:val="20"/>
          <w:szCs w:val="20"/>
        </w:rPr>
        <w:t>2</w:t>
      </w:r>
      <w:r w:rsidR="00A11F3A" w:rsidRPr="00A11F3A">
        <w:rPr>
          <w:rFonts w:ascii="Arial" w:hAnsi="Arial" w:cs="Arial"/>
          <w:sz w:val="20"/>
          <w:szCs w:val="20"/>
        </w:rPr>
        <w:t>2</w:t>
      </w:r>
      <w:r w:rsidR="005475A5" w:rsidRPr="00A11F3A">
        <w:rPr>
          <w:rFonts w:ascii="Arial" w:hAnsi="Arial" w:cs="Arial"/>
          <w:sz w:val="20"/>
          <w:szCs w:val="20"/>
        </w:rPr>
        <w:t xml:space="preserve"> </w:t>
      </w:r>
      <w:r w:rsidRPr="00A11F3A">
        <w:rPr>
          <w:rFonts w:ascii="Arial" w:hAnsi="Arial" w:cs="Arial"/>
          <w:sz w:val="20"/>
          <w:szCs w:val="20"/>
        </w:rPr>
        <w:t xml:space="preserve">povprečno oddali po </w:t>
      </w:r>
      <w:r w:rsidR="00A11F3A" w:rsidRPr="00A11F3A">
        <w:rPr>
          <w:rFonts w:ascii="Arial" w:hAnsi="Arial" w:cs="Arial"/>
          <w:sz w:val="20"/>
          <w:szCs w:val="20"/>
        </w:rPr>
        <w:t>31,9</w:t>
      </w:r>
      <w:r w:rsidR="003A15A2" w:rsidRPr="00A11F3A">
        <w:rPr>
          <w:rFonts w:ascii="Arial" w:hAnsi="Arial" w:cs="Arial"/>
          <w:sz w:val="20"/>
          <w:szCs w:val="20"/>
        </w:rPr>
        <w:t xml:space="preserve"> </w:t>
      </w:r>
      <w:r w:rsidRPr="00A11F3A">
        <w:rPr>
          <w:rFonts w:ascii="Arial" w:hAnsi="Arial" w:cs="Arial"/>
          <w:sz w:val="20"/>
          <w:szCs w:val="20"/>
        </w:rPr>
        <w:t>naročil</w:t>
      </w:r>
      <w:r w:rsidR="00CD73ED">
        <w:rPr>
          <w:rFonts w:ascii="Arial" w:hAnsi="Arial" w:cs="Arial"/>
          <w:sz w:val="20"/>
          <w:szCs w:val="20"/>
        </w:rPr>
        <w:t>a</w:t>
      </w:r>
      <w:r w:rsidRPr="00A11F3A">
        <w:rPr>
          <w:rFonts w:ascii="Arial" w:hAnsi="Arial" w:cs="Arial"/>
          <w:sz w:val="20"/>
          <w:szCs w:val="20"/>
        </w:rPr>
        <w:t xml:space="preserve"> v povprečni vrednosti </w:t>
      </w:r>
      <w:r w:rsidR="00A11F3A" w:rsidRPr="00A11F3A">
        <w:rPr>
          <w:rFonts w:ascii="Arial" w:hAnsi="Arial" w:cs="Arial"/>
          <w:sz w:val="20"/>
          <w:szCs w:val="20"/>
        </w:rPr>
        <w:t>882</w:t>
      </w:r>
      <w:r w:rsidR="00E00A5F" w:rsidRPr="00A11F3A">
        <w:rPr>
          <w:rFonts w:ascii="Arial" w:hAnsi="Arial" w:cs="Arial"/>
          <w:sz w:val="20"/>
          <w:szCs w:val="20"/>
        </w:rPr>
        <w:t>.</w:t>
      </w:r>
      <w:r w:rsidR="00A11F3A" w:rsidRPr="00A11F3A">
        <w:rPr>
          <w:rFonts w:ascii="Arial" w:hAnsi="Arial" w:cs="Arial"/>
          <w:sz w:val="20"/>
          <w:szCs w:val="20"/>
        </w:rPr>
        <w:t>870</w:t>
      </w:r>
      <w:r w:rsidR="00362BA2" w:rsidRPr="00A11F3A">
        <w:rPr>
          <w:rFonts w:ascii="Arial" w:hAnsi="Arial" w:cs="Arial"/>
          <w:sz w:val="20"/>
          <w:szCs w:val="20"/>
        </w:rPr>
        <w:t> </w:t>
      </w:r>
      <w:r w:rsidRPr="00A11F3A">
        <w:rPr>
          <w:rFonts w:ascii="Arial" w:hAnsi="Arial" w:cs="Arial"/>
          <w:sz w:val="20"/>
          <w:szCs w:val="20"/>
        </w:rPr>
        <w:t>evrov</w:t>
      </w:r>
      <w:r w:rsidR="003A15A2" w:rsidRPr="00481999">
        <w:rPr>
          <w:rFonts w:ascii="Arial" w:hAnsi="Arial" w:cs="Arial"/>
          <w:sz w:val="20"/>
          <w:szCs w:val="20"/>
        </w:rPr>
        <w:t xml:space="preserve">. </w:t>
      </w:r>
      <w:r w:rsidRPr="00481999">
        <w:rPr>
          <w:rFonts w:ascii="Arial" w:hAnsi="Arial" w:cs="Arial"/>
          <w:sz w:val="20"/>
          <w:szCs w:val="20"/>
        </w:rPr>
        <w:t xml:space="preserve">Naročniki z najmanjšo povprečno vrednostjo naročila </w:t>
      </w:r>
      <w:r w:rsidR="00B7725A" w:rsidRPr="00481999">
        <w:rPr>
          <w:rFonts w:ascii="Arial" w:hAnsi="Arial" w:cs="Arial"/>
          <w:sz w:val="20"/>
          <w:szCs w:val="20"/>
        </w:rPr>
        <w:t>so</w:t>
      </w:r>
      <w:r w:rsidRPr="00481999">
        <w:rPr>
          <w:rFonts w:ascii="Arial" w:hAnsi="Arial" w:cs="Arial"/>
          <w:sz w:val="20"/>
          <w:szCs w:val="20"/>
        </w:rPr>
        <w:t xml:space="preserve"> </w:t>
      </w:r>
      <w:r w:rsidR="005475A5" w:rsidRPr="00481999">
        <w:rPr>
          <w:rFonts w:ascii="Arial" w:hAnsi="Arial" w:cs="Arial"/>
          <w:sz w:val="20"/>
          <w:szCs w:val="20"/>
        </w:rPr>
        <w:t>javn</w:t>
      </w:r>
      <w:r w:rsidR="00E00A5F" w:rsidRPr="00481999">
        <w:rPr>
          <w:rFonts w:ascii="Arial" w:hAnsi="Arial" w:cs="Arial"/>
          <w:sz w:val="20"/>
          <w:szCs w:val="20"/>
        </w:rPr>
        <w:t xml:space="preserve">i </w:t>
      </w:r>
      <w:r w:rsidR="00481999" w:rsidRPr="00481999">
        <w:rPr>
          <w:rFonts w:ascii="Arial" w:hAnsi="Arial" w:cs="Arial"/>
          <w:sz w:val="20"/>
          <w:szCs w:val="20"/>
        </w:rPr>
        <w:t xml:space="preserve">gospodarski </w:t>
      </w:r>
      <w:r w:rsidR="00E00A5F" w:rsidRPr="00481999">
        <w:rPr>
          <w:rFonts w:ascii="Arial" w:hAnsi="Arial" w:cs="Arial"/>
          <w:sz w:val="20"/>
          <w:szCs w:val="20"/>
        </w:rPr>
        <w:t>zavodi</w:t>
      </w:r>
      <w:r w:rsidR="006C6030" w:rsidRPr="00481999">
        <w:rPr>
          <w:rFonts w:ascii="Arial" w:hAnsi="Arial" w:cs="Arial"/>
          <w:sz w:val="20"/>
          <w:szCs w:val="20"/>
        </w:rPr>
        <w:t xml:space="preserve">, kjer je ta vrednost </w:t>
      </w:r>
      <w:r w:rsidR="00481999" w:rsidRPr="00481999">
        <w:rPr>
          <w:rFonts w:ascii="Arial" w:hAnsi="Arial" w:cs="Arial"/>
          <w:sz w:val="20"/>
          <w:szCs w:val="20"/>
        </w:rPr>
        <w:t xml:space="preserve">72.741 </w:t>
      </w:r>
      <w:r w:rsidR="006C6030" w:rsidRPr="00481999">
        <w:rPr>
          <w:rFonts w:ascii="Arial" w:hAnsi="Arial" w:cs="Arial"/>
          <w:sz w:val="20"/>
          <w:szCs w:val="20"/>
        </w:rPr>
        <w:t>evrov, v povprečju pa je naro</w:t>
      </w:r>
      <w:r w:rsidR="00D5063A" w:rsidRPr="00481999">
        <w:rPr>
          <w:rFonts w:ascii="Arial" w:hAnsi="Arial" w:cs="Arial"/>
          <w:sz w:val="20"/>
          <w:szCs w:val="20"/>
        </w:rPr>
        <w:t xml:space="preserve">čnik te kategorije oddal </w:t>
      </w:r>
      <w:r w:rsidR="00481999" w:rsidRPr="00481999">
        <w:rPr>
          <w:rFonts w:ascii="Arial" w:hAnsi="Arial" w:cs="Arial"/>
          <w:sz w:val="20"/>
          <w:szCs w:val="20"/>
        </w:rPr>
        <w:t>11,3</w:t>
      </w:r>
      <w:r w:rsidR="006C6030" w:rsidRPr="00481999">
        <w:rPr>
          <w:rFonts w:ascii="Arial" w:hAnsi="Arial" w:cs="Arial"/>
          <w:sz w:val="20"/>
          <w:szCs w:val="20"/>
        </w:rPr>
        <w:t xml:space="preserve"> naročil</w:t>
      </w:r>
      <w:r w:rsidR="00CD73ED">
        <w:rPr>
          <w:rFonts w:ascii="Arial" w:hAnsi="Arial" w:cs="Arial"/>
          <w:sz w:val="20"/>
          <w:szCs w:val="20"/>
        </w:rPr>
        <w:t>a</w:t>
      </w:r>
      <w:r w:rsidR="006C6030" w:rsidRPr="00481999">
        <w:rPr>
          <w:rFonts w:ascii="Arial" w:hAnsi="Arial" w:cs="Arial"/>
          <w:sz w:val="20"/>
          <w:szCs w:val="20"/>
        </w:rPr>
        <w:t xml:space="preserve">. </w:t>
      </w:r>
    </w:p>
    <w:p w14:paraId="53E9D919" w14:textId="3434C6F0" w:rsidR="00690FB0" w:rsidRPr="00A11F3A" w:rsidRDefault="00690FB0" w:rsidP="008A61FD">
      <w:pPr>
        <w:spacing w:before="120" w:after="120" w:line="240" w:lineRule="auto"/>
        <w:jc w:val="both"/>
        <w:rPr>
          <w:rFonts w:ascii="Arial" w:hAnsi="Arial" w:cs="Arial"/>
          <w:sz w:val="20"/>
        </w:rPr>
      </w:pPr>
      <w:r w:rsidRPr="00A11F3A">
        <w:rPr>
          <w:rFonts w:ascii="Arial" w:hAnsi="Arial" w:cs="Arial"/>
          <w:sz w:val="20"/>
        </w:rPr>
        <w:t xml:space="preserve">Preglednica </w:t>
      </w:r>
      <w:r w:rsidR="00EB4423" w:rsidRPr="00A11F3A">
        <w:rPr>
          <w:rFonts w:ascii="Arial" w:hAnsi="Arial" w:cs="Arial"/>
          <w:sz w:val="20"/>
        </w:rPr>
        <w:t>2</w:t>
      </w:r>
      <w:r w:rsidR="00512F52" w:rsidRPr="00A11F3A">
        <w:rPr>
          <w:rFonts w:ascii="Arial" w:hAnsi="Arial" w:cs="Arial"/>
          <w:sz w:val="20"/>
        </w:rPr>
        <w:t>2</w:t>
      </w:r>
      <w:r w:rsidRPr="00A11F3A">
        <w:rPr>
          <w:rFonts w:ascii="Arial" w:hAnsi="Arial" w:cs="Arial"/>
          <w:sz w:val="20"/>
        </w:rPr>
        <w:t xml:space="preserve">: </w:t>
      </w:r>
      <w:r w:rsidR="009E5786" w:rsidRPr="00A11F3A">
        <w:rPr>
          <w:rFonts w:ascii="Arial" w:hAnsi="Arial" w:cs="Arial"/>
          <w:sz w:val="20"/>
        </w:rPr>
        <w:t xml:space="preserve">Povprečno število naročil in povprečna vrednost naročila </w:t>
      </w:r>
      <w:r w:rsidR="0044334D" w:rsidRPr="00A11F3A">
        <w:rPr>
          <w:rFonts w:ascii="Arial" w:hAnsi="Arial" w:cs="Arial"/>
          <w:sz w:val="20"/>
        </w:rPr>
        <w:t xml:space="preserve">glede na </w:t>
      </w:r>
      <w:r w:rsidR="00E1038F" w:rsidRPr="00A11F3A">
        <w:rPr>
          <w:rFonts w:ascii="Arial" w:hAnsi="Arial" w:cs="Arial"/>
          <w:sz w:val="20"/>
        </w:rPr>
        <w:t>kategorijo naročnika</w:t>
      </w:r>
    </w:p>
    <w:tbl>
      <w:tblPr>
        <w:tblW w:w="9280" w:type="dxa"/>
        <w:tblCellMar>
          <w:left w:w="70" w:type="dxa"/>
          <w:right w:w="70" w:type="dxa"/>
        </w:tblCellMar>
        <w:tblLook w:val="04A0" w:firstRow="1" w:lastRow="0" w:firstColumn="1" w:lastColumn="0" w:noHBand="0" w:noVBand="1"/>
      </w:tblPr>
      <w:tblGrid>
        <w:gridCol w:w="2576"/>
        <w:gridCol w:w="1011"/>
        <w:gridCol w:w="777"/>
        <w:gridCol w:w="1422"/>
        <w:gridCol w:w="1001"/>
        <w:gridCol w:w="1117"/>
        <w:gridCol w:w="1376"/>
      </w:tblGrid>
      <w:tr w:rsidR="005475A5" w:rsidRPr="00A11F3A" w14:paraId="6DA36EC3" w14:textId="77777777" w:rsidTr="00DB7A68">
        <w:trPr>
          <w:trHeight w:val="255"/>
        </w:trPr>
        <w:tc>
          <w:tcPr>
            <w:tcW w:w="2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8A6A78" w14:textId="1B6FE1D4" w:rsidR="005475A5" w:rsidRPr="00A11F3A" w:rsidRDefault="005475A5" w:rsidP="005475A5">
            <w:pPr>
              <w:spacing w:after="0" w:line="240" w:lineRule="auto"/>
              <w:jc w:val="center"/>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Kategorija naročnika</w:t>
            </w:r>
          </w:p>
        </w:tc>
        <w:tc>
          <w:tcPr>
            <w:tcW w:w="101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8234632" w14:textId="77777777" w:rsidR="005475A5" w:rsidRPr="00A11F3A" w:rsidRDefault="005475A5" w:rsidP="005475A5">
            <w:pPr>
              <w:spacing w:after="0" w:line="240" w:lineRule="auto"/>
              <w:jc w:val="center"/>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Št. naročnikov</w:t>
            </w:r>
          </w:p>
        </w:tc>
        <w:tc>
          <w:tcPr>
            <w:tcW w:w="77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48ECBD" w14:textId="77777777" w:rsidR="005475A5" w:rsidRPr="00A11F3A" w:rsidRDefault="005475A5" w:rsidP="005475A5">
            <w:pPr>
              <w:spacing w:after="0" w:line="240" w:lineRule="auto"/>
              <w:jc w:val="center"/>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Št. naročil</w:t>
            </w:r>
          </w:p>
        </w:tc>
        <w:tc>
          <w:tcPr>
            <w:tcW w:w="142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4AF032D" w14:textId="77777777" w:rsidR="005475A5" w:rsidRPr="00A11F3A" w:rsidRDefault="005475A5" w:rsidP="005475A5">
            <w:pPr>
              <w:spacing w:after="0" w:line="240" w:lineRule="auto"/>
              <w:jc w:val="center"/>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Pogodbena vrednost</w:t>
            </w:r>
          </w:p>
        </w:tc>
        <w:tc>
          <w:tcPr>
            <w:tcW w:w="100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9199A36" w14:textId="77777777" w:rsidR="005475A5" w:rsidRPr="00A11F3A" w:rsidRDefault="005475A5" w:rsidP="005475A5">
            <w:pPr>
              <w:spacing w:after="0" w:line="240" w:lineRule="auto"/>
              <w:jc w:val="center"/>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Povprečno št. naročil na naročnika</w:t>
            </w:r>
          </w:p>
        </w:tc>
        <w:tc>
          <w:tcPr>
            <w:tcW w:w="111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63DBA53" w14:textId="77777777" w:rsidR="005475A5" w:rsidRPr="00A11F3A" w:rsidRDefault="005475A5" w:rsidP="005475A5">
            <w:pPr>
              <w:spacing w:after="0" w:line="240" w:lineRule="auto"/>
              <w:jc w:val="center"/>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Povprečna vrednost naročila na naročnika</w:t>
            </w:r>
          </w:p>
        </w:tc>
        <w:tc>
          <w:tcPr>
            <w:tcW w:w="13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921B82E" w14:textId="77777777" w:rsidR="005475A5" w:rsidRPr="00A11F3A" w:rsidRDefault="005475A5" w:rsidP="005475A5">
            <w:pPr>
              <w:spacing w:after="0" w:line="240" w:lineRule="auto"/>
              <w:jc w:val="center"/>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 xml:space="preserve">Povprečna vrednost posameznega naročila </w:t>
            </w:r>
          </w:p>
        </w:tc>
      </w:tr>
      <w:tr w:rsidR="00A11F3A" w:rsidRPr="00A11F3A" w14:paraId="455F647A" w14:textId="77777777" w:rsidTr="00A11F3A">
        <w:trPr>
          <w:trHeight w:val="255"/>
        </w:trPr>
        <w:tc>
          <w:tcPr>
            <w:tcW w:w="2576" w:type="dxa"/>
            <w:tcBorders>
              <w:top w:val="nil"/>
              <w:left w:val="single" w:sz="4" w:space="0" w:color="auto"/>
              <w:bottom w:val="single" w:sz="4" w:space="0" w:color="auto"/>
              <w:right w:val="single" w:sz="4" w:space="0" w:color="auto"/>
            </w:tcBorders>
            <w:shd w:val="clear" w:color="auto" w:fill="auto"/>
            <w:vAlign w:val="center"/>
            <w:hideMark/>
          </w:tcPr>
          <w:p w14:paraId="31DD1591" w14:textId="05602C29" w:rsidR="00A11F3A" w:rsidRPr="00A11F3A" w:rsidRDefault="00A11F3A" w:rsidP="00A11F3A">
            <w:pPr>
              <w:spacing w:after="0" w:line="240" w:lineRule="auto"/>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 xml:space="preserve">Organi </w:t>
            </w:r>
            <w:r w:rsidR="00007116">
              <w:rPr>
                <w:rFonts w:ascii="Arial" w:eastAsia="Times New Roman" w:hAnsi="Arial" w:cs="Arial"/>
                <w:color w:val="000000"/>
                <w:sz w:val="18"/>
                <w:szCs w:val="18"/>
                <w:lang w:eastAsia="sl-SI"/>
              </w:rPr>
              <w:t>Republike Slovenije</w:t>
            </w:r>
          </w:p>
        </w:tc>
        <w:tc>
          <w:tcPr>
            <w:tcW w:w="1011" w:type="dxa"/>
            <w:tcBorders>
              <w:top w:val="nil"/>
              <w:left w:val="nil"/>
              <w:bottom w:val="single" w:sz="4" w:space="0" w:color="auto"/>
              <w:right w:val="single" w:sz="4" w:space="0" w:color="auto"/>
            </w:tcBorders>
            <w:shd w:val="clear" w:color="auto" w:fill="auto"/>
            <w:vAlign w:val="center"/>
            <w:hideMark/>
          </w:tcPr>
          <w:p w14:paraId="099136B8" w14:textId="5FBC3FED" w:rsidR="00A11F3A" w:rsidRPr="00A11F3A" w:rsidRDefault="00A11F3A" w:rsidP="00A11F3A">
            <w:pPr>
              <w:spacing w:after="0" w:line="240" w:lineRule="auto"/>
              <w:jc w:val="right"/>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57</w:t>
            </w:r>
          </w:p>
        </w:tc>
        <w:tc>
          <w:tcPr>
            <w:tcW w:w="777" w:type="dxa"/>
            <w:tcBorders>
              <w:top w:val="nil"/>
              <w:left w:val="nil"/>
              <w:bottom w:val="single" w:sz="4" w:space="0" w:color="auto"/>
              <w:right w:val="single" w:sz="4" w:space="0" w:color="auto"/>
            </w:tcBorders>
            <w:shd w:val="clear" w:color="auto" w:fill="auto"/>
            <w:vAlign w:val="center"/>
            <w:hideMark/>
          </w:tcPr>
          <w:p w14:paraId="22ECD88F" w14:textId="507F21BF" w:rsidR="00A11F3A" w:rsidRPr="00A11F3A" w:rsidRDefault="00A11F3A" w:rsidP="00A11F3A">
            <w:pPr>
              <w:spacing w:after="0" w:line="240" w:lineRule="auto"/>
              <w:jc w:val="right"/>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1.820</w:t>
            </w:r>
          </w:p>
        </w:tc>
        <w:tc>
          <w:tcPr>
            <w:tcW w:w="1422" w:type="dxa"/>
            <w:tcBorders>
              <w:top w:val="nil"/>
              <w:left w:val="nil"/>
              <w:bottom w:val="single" w:sz="4" w:space="0" w:color="auto"/>
              <w:right w:val="single" w:sz="4" w:space="0" w:color="auto"/>
            </w:tcBorders>
            <w:shd w:val="clear" w:color="auto" w:fill="auto"/>
            <w:vAlign w:val="center"/>
            <w:hideMark/>
          </w:tcPr>
          <w:p w14:paraId="733CA3C3" w14:textId="4FC03B70" w:rsidR="00A11F3A" w:rsidRPr="00A11F3A" w:rsidRDefault="00A11F3A" w:rsidP="00A11F3A">
            <w:pPr>
              <w:spacing w:after="0" w:line="240" w:lineRule="auto"/>
              <w:jc w:val="right"/>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1.606.824.236</w:t>
            </w:r>
          </w:p>
        </w:tc>
        <w:tc>
          <w:tcPr>
            <w:tcW w:w="1001" w:type="dxa"/>
            <w:tcBorders>
              <w:top w:val="nil"/>
              <w:left w:val="nil"/>
              <w:bottom w:val="single" w:sz="4" w:space="0" w:color="auto"/>
              <w:right w:val="single" w:sz="4" w:space="0" w:color="auto"/>
            </w:tcBorders>
            <w:shd w:val="clear" w:color="auto" w:fill="auto"/>
            <w:vAlign w:val="center"/>
            <w:hideMark/>
          </w:tcPr>
          <w:p w14:paraId="78636A6B" w14:textId="6CC9B30B" w:rsidR="00A11F3A" w:rsidRPr="00A11F3A" w:rsidRDefault="00A11F3A" w:rsidP="00A11F3A">
            <w:pPr>
              <w:spacing w:after="0" w:line="240" w:lineRule="auto"/>
              <w:jc w:val="right"/>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31,9</w:t>
            </w:r>
          </w:p>
        </w:tc>
        <w:tc>
          <w:tcPr>
            <w:tcW w:w="1117" w:type="dxa"/>
            <w:tcBorders>
              <w:top w:val="nil"/>
              <w:left w:val="nil"/>
              <w:bottom w:val="single" w:sz="4" w:space="0" w:color="auto"/>
              <w:right w:val="single" w:sz="4" w:space="0" w:color="auto"/>
            </w:tcBorders>
            <w:shd w:val="clear" w:color="auto" w:fill="auto"/>
            <w:vAlign w:val="center"/>
            <w:hideMark/>
          </w:tcPr>
          <w:p w14:paraId="18F6915F" w14:textId="7BCEB7DC" w:rsidR="00A11F3A" w:rsidRPr="00A11F3A" w:rsidRDefault="00A11F3A" w:rsidP="00A11F3A">
            <w:pPr>
              <w:spacing w:after="0" w:line="240" w:lineRule="auto"/>
              <w:jc w:val="right"/>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28.189.899</w:t>
            </w:r>
          </w:p>
        </w:tc>
        <w:tc>
          <w:tcPr>
            <w:tcW w:w="1376" w:type="dxa"/>
            <w:tcBorders>
              <w:top w:val="nil"/>
              <w:left w:val="nil"/>
              <w:bottom w:val="single" w:sz="4" w:space="0" w:color="auto"/>
              <w:right w:val="single" w:sz="4" w:space="0" w:color="auto"/>
            </w:tcBorders>
            <w:shd w:val="clear" w:color="auto" w:fill="auto"/>
            <w:vAlign w:val="center"/>
            <w:hideMark/>
          </w:tcPr>
          <w:p w14:paraId="46339EC9" w14:textId="2A0E782A" w:rsidR="00A11F3A" w:rsidRPr="00A11F3A" w:rsidRDefault="00A11F3A" w:rsidP="00A11F3A">
            <w:pPr>
              <w:spacing w:after="0" w:line="240" w:lineRule="auto"/>
              <w:jc w:val="right"/>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882.870</w:t>
            </w:r>
          </w:p>
        </w:tc>
      </w:tr>
      <w:tr w:rsidR="00A11F3A" w:rsidRPr="00A11F3A" w14:paraId="3708C983" w14:textId="77777777" w:rsidTr="00A11F3A">
        <w:trPr>
          <w:trHeight w:val="255"/>
        </w:trPr>
        <w:tc>
          <w:tcPr>
            <w:tcW w:w="2576" w:type="dxa"/>
            <w:tcBorders>
              <w:top w:val="nil"/>
              <w:left w:val="single" w:sz="4" w:space="0" w:color="auto"/>
              <w:bottom w:val="single" w:sz="4" w:space="0" w:color="auto"/>
              <w:right w:val="single" w:sz="4" w:space="0" w:color="auto"/>
            </w:tcBorders>
            <w:shd w:val="clear" w:color="auto" w:fill="auto"/>
            <w:vAlign w:val="center"/>
            <w:hideMark/>
          </w:tcPr>
          <w:p w14:paraId="779E85E4" w14:textId="77777777" w:rsidR="00A11F3A" w:rsidRPr="00A11F3A" w:rsidRDefault="00A11F3A" w:rsidP="00A11F3A">
            <w:pPr>
              <w:spacing w:after="0" w:line="240" w:lineRule="auto"/>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Samoupravne lokalne skupnosti</w:t>
            </w:r>
          </w:p>
        </w:tc>
        <w:tc>
          <w:tcPr>
            <w:tcW w:w="1011" w:type="dxa"/>
            <w:tcBorders>
              <w:top w:val="nil"/>
              <w:left w:val="nil"/>
              <w:bottom w:val="single" w:sz="4" w:space="0" w:color="auto"/>
              <w:right w:val="single" w:sz="4" w:space="0" w:color="auto"/>
            </w:tcBorders>
            <w:shd w:val="clear" w:color="auto" w:fill="auto"/>
            <w:vAlign w:val="center"/>
            <w:hideMark/>
          </w:tcPr>
          <w:p w14:paraId="17837969" w14:textId="7F8F1244" w:rsidR="00A11F3A" w:rsidRPr="00A11F3A" w:rsidRDefault="00A11F3A" w:rsidP="00A11F3A">
            <w:pPr>
              <w:spacing w:after="0" w:line="240" w:lineRule="auto"/>
              <w:jc w:val="right"/>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194</w:t>
            </w:r>
          </w:p>
        </w:tc>
        <w:tc>
          <w:tcPr>
            <w:tcW w:w="777" w:type="dxa"/>
            <w:tcBorders>
              <w:top w:val="nil"/>
              <w:left w:val="nil"/>
              <w:bottom w:val="single" w:sz="4" w:space="0" w:color="auto"/>
              <w:right w:val="single" w:sz="4" w:space="0" w:color="auto"/>
            </w:tcBorders>
            <w:shd w:val="clear" w:color="auto" w:fill="auto"/>
            <w:vAlign w:val="center"/>
            <w:hideMark/>
          </w:tcPr>
          <w:p w14:paraId="29D5751B" w14:textId="18F68C7B" w:rsidR="00A11F3A" w:rsidRPr="00A11F3A" w:rsidRDefault="00A11F3A" w:rsidP="00A11F3A">
            <w:pPr>
              <w:spacing w:after="0" w:line="240" w:lineRule="auto"/>
              <w:jc w:val="right"/>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1.657</w:t>
            </w:r>
          </w:p>
        </w:tc>
        <w:tc>
          <w:tcPr>
            <w:tcW w:w="1422" w:type="dxa"/>
            <w:tcBorders>
              <w:top w:val="nil"/>
              <w:left w:val="nil"/>
              <w:bottom w:val="single" w:sz="4" w:space="0" w:color="auto"/>
              <w:right w:val="single" w:sz="4" w:space="0" w:color="auto"/>
            </w:tcBorders>
            <w:shd w:val="clear" w:color="auto" w:fill="auto"/>
            <w:vAlign w:val="center"/>
            <w:hideMark/>
          </w:tcPr>
          <w:p w14:paraId="7CFA5CFA" w14:textId="2BAB2B09" w:rsidR="00A11F3A" w:rsidRPr="00A11F3A" w:rsidRDefault="00A11F3A" w:rsidP="00A11F3A">
            <w:pPr>
              <w:spacing w:after="0" w:line="240" w:lineRule="auto"/>
              <w:jc w:val="right"/>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779.957.506</w:t>
            </w:r>
          </w:p>
        </w:tc>
        <w:tc>
          <w:tcPr>
            <w:tcW w:w="1001" w:type="dxa"/>
            <w:tcBorders>
              <w:top w:val="nil"/>
              <w:left w:val="nil"/>
              <w:bottom w:val="single" w:sz="4" w:space="0" w:color="auto"/>
              <w:right w:val="single" w:sz="4" w:space="0" w:color="auto"/>
            </w:tcBorders>
            <w:shd w:val="clear" w:color="auto" w:fill="auto"/>
            <w:vAlign w:val="center"/>
            <w:hideMark/>
          </w:tcPr>
          <w:p w14:paraId="2BCDF0A9" w14:textId="470C380F" w:rsidR="00A11F3A" w:rsidRPr="00A11F3A" w:rsidRDefault="00A11F3A" w:rsidP="00A11F3A">
            <w:pPr>
              <w:spacing w:after="0" w:line="240" w:lineRule="auto"/>
              <w:jc w:val="right"/>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8,5</w:t>
            </w:r>
          </w:p>
        </w:tc>
        <w:tc>
          <w:tcPr>
            <w:tcW w:w="1117" w:type="dxa"/>
            <w:tcBorders>
              <w:top w:val="nil"/>
              <w:left w:val="nil"/>
              <w:bottom w:val="single" w:sz="4" w:space="0" w:color="auto"/>
              <w:right w:val="single" w:sz="4" w:space="0" w:color="auto"/>
            </w:tcBorders>
            <w:shd w:val="clear" w:color="auto" w:fill="auto"/>
            <w:vAlign w:val="center"/>
            <w:hideMark/>
          </w:tcPr>
          <w:p w14:paraId="16965764" w14:textId="45F47621" w:rsidR="00A11F3A" w:rsidRPr="00A11F3A" w:rsidRDefault="00A11F3A" w:rsidP="00A11F3A">
            <w:pPr>
              <w:spacing w:after="0" w:line="240" w:lineRule="auto"/>
              <w:jc w:val="right"/>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4.020.400</w:t>
            </w:r>
          </w:p>
        </w:tc>
        <w:tc>
          <w:tcPr>
            <w:tcW w:w="1376" w:type="dxa"/>
            <w:tcBorders>
              <w:top w:val="nil"/>
              <w:left w:val="nil"/>
              <w:bottom w:val="single" w:sz="4" w:space="0" w:color="auto"/>
              <w:right w:val="single" w:sz="4" w:space="0" w:color="auto"/>
            </w:tcBorders>
            <w:shd w:val="clear" w:color="auto" w:fill="auto"/>
            <w:vAlign w:val="center"/>
            <w:hideMark/>
          </w:tcPr>
          <w:p w14:paraId="20A3628F" w14:textId="062A6352" w:rsidR="00A11F3A" w:rsidRPr="00A11F3A" w:rsidRDefault="00A11F3A" w:rsidP="00A11F3A">
            <w:pPr>
              <w:spacing w:after="0" w:line="240" w:lineRule="auto"/>
              <w:jc w:val="right"/>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470.705</w:t>
            </w:r>
          </w:p>
        </w:tc>
      </w:tr>
      <w:tr w:rsidR="00A11F3A" w:rsidRPr="00A11F3A" w14:paraId="28CD3DD7" w14:textId="77777777" w:rsidTr="00A11F3A">
        <w:trPr>
          <w:trHeight w:val="255"/>
        </w:trPr>
        <w:tc>
          <w:tcPr>
            <w:tcW w:w="2576" w:type="dxa"/>
            <w:tcBorders>
              <w:top w:val="nil"/>
              <w:left w:val="single" w:sz="4" w:space="0" w:color="auto"/>
              <w:bottom w:val="single" w:sz="4" w:space="0" w:color="auto"/>
              <w:right w:val="single" w:sz="4" w:space="0" w:color="auto"/>
            </w:tcBorders>
            <w:shd w:val="clear" w:color="auto" w:fill="auto"/>
            <w:vAlign w:val="center"/>
            <w:hideMark/>
          </w:tcPr>
          <w:p w14:paraId="67277DF4" w14:textId="77777777" w:rsidR="00A11F3A" w:rsidRPr="00A11F3A" w:rsidRDefault="00A11F3A" w:rsidP="00A11F3A">
            <w:pPr>
              <w:spacing w:after="0" w:line="240" w:lineRule="auto"/>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Javni skladi</w:t>
            </w:r>
          </w:p>
        </w:tc>
        <w:tc>
          <w:tcPr>
            <w:tcW w:w="1011" w:type="dxa"/>
            <w:tcBorders>
              <w:top w:val="nil"/>
              <w:left w:val="nil"/>
              <w:bottom w:val="single" w:sz="4" w:space="0" w:color="auto"/>
              <w:right w:val="single" w:sz="4" w:space="0" w:color="auto"/>
            </w:tcBorders>
            <w:shd w:val="clear" w:color="auto" w:fill="auto"/>
            <w:vAlign w:val="center"/>
            <w:hideMark/>
          </w:tcPr>
          <w:p w14:paraId="7117F1E6" w14:textId="29F7B0C7" w:rsidR="00A11F3A" w:rsidRPr="00A11F3A" w:rsidRDefault="00A11F3A" w:rsidP="00A11F3A">
            <w:pPr>
              <w:spacing w:after="0" w:line="240" w:lineRule="auto"/>
              <w:jc w:val="right"/>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7</w:t>
            </w:r>
          </w:p>
        </w:tc>
        <w:tc>
          <w:tcPr>
            <w:tcW w:w="777" w:type="dxa"/>
            <w:tcBorders>
              <w:top w:val="nil"/>
              <w:left w:val="nil"/>
              <w:bottom w:val="single" w:sz="4" w:space="0" w:color="auto"/>
              <w:right w:val="single" w:sz="4" w:space="0" w:color="auto"/>
            </w:tcBorders>
            <w:shd w:val="clear" w:color="auto" w:fill="auto"/>
            <w:vAlign w:val="center"/>
            <w:hideMark/>
          </w:tcPr>
          <w:p w14:paraId="3EA7F2D9" w14:textId="6FCB72CA" w:rsidR="00A11F3A" w:rsidRPr="00A11F3A" w:rsidRDefault="00A11F3A" w:rsidP="00A11F3A">
            <w:pPr>
              <w:spacing w:after="0" w:line="240" w:lineRule="auto"/>
              <w:jc w:val="right"/>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57</w:t>
            </w:r>
          </w:p>
        </w:tc>
        <w:tc>
          <w:tcPr>
            <w:tcW w:w="1422" w:type="dxa"/>
            <w:tcBorders>
              <w:top w:val="nil"/>
              <w:left w:val="nil"/>
              <w:bottom w:val="single" w:sz="4" w:space="0" w:color="auto"/>
              <w:right w:val="single" w:sz="4" w:space="0" w:color="auto"/>
            </w:tcBorders>
            <w:shd w:val="clear" w:color="auto" w:fill="auto"/>
            <w:vAlign w:val="center"/>
            <w:hideMark/>
          </w:tcPr>
          <w:p w14:paraId="4C1C570F" w14:textId="69FDAD7B" w:rsidR="00A11F3A" w:rsidRPr="00A11F3A" w:rsidRDefault="00A11F3A" w:rsidP="00A11F3A">
            <w:pPr>
              <w:spacing w:after="0" w:line="240" w:lineRule="auto"/>
              <w:jc w:val="right"/>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60.300.360</w:t>
            </w:r>
          </w:p>
        </w:tc>
        <w:tc>
          <w:tcPr>
            <w:tcW w:w="1001" w:type="dxa"/>
            <w:tcBorders>
              <w:top w:val="nil"/>
              <w:left w:val="nil"/>
              <w:bottom w:val="single" w:sz="4" w:space="0" w:color="auto"/>
              <w:right w:val="single" w:sz="4" w:space="0" w:color="auto"/>
            </w:tcBorders>
            <w:shd w:val="clear" w:color="auto" w:fill="auto"/>
            <w:vAlign w:val="center"/>
            <w:hideMark/>
          </w:tcPr>
          <w:p w14:paraId="7644A753" w14:textId="321EB4CC" w:rsidR="00A11F3A" w:rsidRPr="00A11F3A" w:rsidRDefault="00A11F3A" w:rsidP="00A11F3A">
            <w:pPr>
              <w:spacing w:after="0" w:line="240" w:lineRule="auto"/>
              <w:jc w:val="right"/>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8,1</w:t>
            </w:r>
          </w:p>
        </w:tc>
        <w:tc>
          <w:tcPr>
            <w:tcW w:w="1117" w:type="dxa"/>
            <w:tcBorders>
              <w:top w:val="nil"/>
              <w:left w:val="nil"/>
              <w:bottom w:val="single" w:sz="4" w:space="0" w:color="auto"/>
              <w:right w:val="single" w:sz="4" w:space="0" w:color="auto"/>
            </w:tcBorders>
            <w:shd w:val="clear" w:color="auto" w:fill="auto"/>
            <w:vAlign w:val="center"/>
            <w:hideMark/>
          </w:tcPr>
          <w:p w14:paraId="42D402EE" w14:textId="38EA5C37" w:rsidR="00A11F3A" w:rsidRPr="00A11F3A" w:rsidRDefault="00A11F3A" w:rsidP="00A11F3A">
            <w:pPr>
              <w:spacing w:after="0" w:line="240" w:lineRule="auto"/>
              <w:jc w:val="right"/>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8.614.337</w:t>
            </w:r>
          </w:p>
        </w:tc>
        <w:tc>
          <w:tcPr>
            <w:tcW w:w="1376" w:type="dxa"/>
            <w:tcBorders>
              <w:top w:val="nil"/>
              <w:left w:val="nil"/>
              <w:bottom w:val="single" w:sz="4" w:space="0" w:color="auto"/>
              <w:right w:val="single" w:sz="4" w:space="0" w:color="auto"/>
            </w:tcBorders>
            <w:shd w:val="clear" w:color="auto" w:fill="auto"/>
            <w:vAlign w:val="center"/>
            <w:hideMark/>
          </w:tcPr>
          <w:p w14:paraId="5A812DF7" w14:textId="6ACC7C60" w:rsidR="00A11F3A" w:rsidRPr="00A11F3A" w:rsidRDefault="00A11F3A" w:rsidP="00A11F3A">
            <w:pPr>
              <w:spacing w:after="0" w:line="240" w:lineRule="auto"/>
              <w:jc w:val="right"/>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1.057.901</w:t>
            </w:r>
          </w:p>
        </w:tc>
      </w:tr>
      <w:tr w:rsidR="00A11F3A" w:rsidRPr="00A11F3A" w14:paraId="1F201861" w14:textId="77777777" w:rsidTr="00A11F3A">
        <w:trPr>
          <w:trHeight w:val="255"/>
        </w:trPr>
        <w:tc>
          <w:tcPr>
            <w:tcW w:w="2576" w:type="dxa"/>
            <w:tcBorders>
              <w:top w:val="nil"/>
              <w:left w:val="single" w:sz="4" w:space="0" w:color="auto"/>
              <w:bottom w:val="single" w:sz="4" w:space="0" w:color="auto"/>
              <w:right w:val="single" w:sz="4" w:space="0" w:color="auto"/>
            </w:tcBorders>
            <w:shd w:val="clear" w:color="auto" w:fill="auto"/>
            <w:vAlign w:val="center"/>
            <w:hideMark/>
          </w:tcPr>
          <w:p w14:paraId="64CA242A" w14:textId="77777777" w:rsidR="00A11F3A" w:rsidRPr="00A11F3A" w:rsidRDefault="00A11F3A" w:rsidP="00A11F3A">
            <w:pPr>
              <w:spacing w:after="0" w:line="240" w:lineRule="auto"/>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Javne agencije</w:t>
            </w:r>
          </w:p>
        </w:tc>
        <w:tc>
          <w:tcPr>
            <w:tcW w:w="1011" w:type="dxa"/>
            <w:tcBorders>
              <w:top w:val="nil"/>
              <w:left w:val="nil"/>
              <w:bottom w:val="single" w:sz="4" w:space="0" w:color="auto"/>
              <w:right w:val="single" w:sz="4" w:space="0" w:color="auto"/>
            </w:tcBorders>
            <w:shd w:val="clear" w:color="auto" w:fill="auto"/>
            <w:vAlign w:val="center"/>
            <w:hideMark/>
          </w:tcPr>
          <w:p w14:paraId="39DA4EE7" w14:textId="596F73CA" w:rsidR="00A11F3A" w:rsidRPr="00A11F3A" w:rsidRDefault="00A11F3A" w:rsidP="00A11F3A">
            <w:pPr>
              <w:spacing w:after="0" w:line="240" w:lineRule="auto"/>
              <w:jc w:val="right"/>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12</w:t>
            </w:r>
          </w:p>
        </w:tc>
        <w:tc>
          <w:tcPr>
            <w:tcW w:w="777" w:type="dxa"/>
            <w:tcBorders>
              <w:top w:val="nil"/>
              <w:left w:val="nil"/>
              <w:bottom w:val="single" w:sz="4" w:space="0" w:color="auto"/>
              <w:right w:val="single" w:sz="4" w:space="0" w:color="auto"/>
            </w:tcBorders>
            <w:shd w:val="clear" w:color="auto" w:fill="auto"/>
            <w:vAlign w:val="center"/>
            <w:hideMark/>
          </w:tcPr>
          <w:p w14:paraId="0711C020" w14:textId="2F573825" w:rsidR="00A11F3A" w:rsidRPr="00A11F3A" w:rsidRDefault="00A11F3A" w:rsidP="00A11F3A">
            <w:pPr>
              <w:spacing w:after="0" w:line="240" w:lineRule="auto"/>
              <w:jc w:val="right"/>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93</w:t>
            </w:r>
          </w:p>
        </w:tc>
        <w:tc>
          <w:tcPr>
            <w:tcW w:w="1422" w:type="dxa"/>
            <w:tcBorders>
              <w:top w:val="nil"/>
              <w:left w:val="nil"/>
              <w:bottom w:val="single" w:sz="4" w:space="0" w:color="auto"/>
              <w:right w:val="single" w:sz="4" w:space="0" w:color="auto"/>
            </w:tcBorders>
            <w:shd w:val="clear" w:color="auto" w:fill="auto"/>
            <w:vAlign w:val="center"/>
            <w:hideMark/>
          </w:tcPr>
          <w:p w14:paraId="4F0434AF" w14:textId="02AE6F4F" w:rsidR="00A11F3A" w:rsidRPr="00A11F3A" w:rsidRDefault="00A11F3A" w:rsidP="00A11F3A">
            <w:pPr>
              <w:spacing w:after="0" w:line="240" w:lineRule="auto"/>
              <w:jc w:val="right"/>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11.477.193</w:t>
            </w:r>
          </w:p>
        </w:tc>
        <w:tc>
          <w:tcPr>
            <w:tcW w:w="1001" w:type="dxa"/>
            <w:tcBorders>
              <w:top w:val="nil"/>
              <w:left w:val="nil"/>
              <w:bottom w:val="single" w:sz="4" w:space="0" w:color="auto"/>
              <w:right w:val="single" w:sz="4" w:space="0" w:color="auto"/>
            </w:tcBorders>
            <w:shd w:val="clear" w:color="auto" w:fill="auto"/>
            <w:vAlign w:val="center"/>
            <w:hideMark/>
          </w:tcPr>
          <w:p w14:paraId="6F660C17" w14:textId="4998CD96" w:rsidR="00A11F3A" w:rsidRPr="00A11F3A" w:rsidRDefault="00A11F3A" w:rsidP="00A11F3A">
            <w:pPr>
              <w:spacing w:after="0" w:line="240" w:lineRule="auto"/>
              <w:jc w:val="right"/>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7,8</w:t>
            </w:r>
          </w:p>
        </w:tc>
        <w:tc>
          <w:tcPr>
            <w:tcW w:w="1117" w:type="dxa"/>
            <w:tcBorders>
              <w:top w:val="nil"/>
              <w:left w:val="nil"/>
              <w:bottom w:val="single" w:sz="4" w:space="0" w:color="auto"/>
              <w:right w:val="single" w:sz="4" w:space="0" w:color="auto"/>
            </w:tcBorders>
            <w:shd w:val="clear" w:color="auto" w:fill="auto"/>
            <w:vAlign w:val="center"/>
            <w:hideMark/>
          </w:tcPr>
          <w:p w14:paraId="38EACB7D" w14:textId="3ED05D89" w:rsidR="00A11F3A" w:rsidRPr="00A11F3A" w:rsidRDefault="00A11F3A" w:rsidP="00A11F3A">
            <w:pPr>
              <w:spacing w:after="0" w:line="240" w:lineRule="auto"/>
              <w:jc w:val="right"/>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956.433</w:t>
            </w:r>
          </w:p>
        </w:tc>
        <w:tc>
          <w:tcPr>
            <w:tcW w:w="1376" w:type="dxa"/>
            <w:tcBorders>
              <w:top w:val="nil"/>
              <w:left w:val="nil"/>
              <w:bottom w:val="single" w:sz="4" w:space="0" w:color="auto"/>
              <w:right w:val="single" w:sz="4" w:space="0" w:color="auto"/>
            </w:tcBorders>
            <w:shd w:val="clear" w:color="auto" w:fill="auto"/>
            <w:vAlign w:val="center"/>
            <w:hideMark/>
          </w:tcPr>
          <w:p w14:paraId="228D3B13" w14:textId="755C63C9" w:rsidR="00A11F3A" w:rsidRPr="00A11F3A" w:rsidRDefault="00A11F3A" w:rsidP="00A11F3A">
            <w:pPr>
              <w:spacing w:after="0" w:line="240" w:lineRule="auto"/>
              <w:jc w:val="right"/>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123.411</w:t>
            </w:r>
          </w:p>
        </w:tc>
      </w:tr>
      <w:tr w:rsidR="00F11E69" w:rsidRPr="00A11F3A" w14:paraId="497D8208" w14:textId="77777777" w:rsidTr="009F7B6D">
        <w:trPr>
          <w:trHeight w:val="255"/>
        </w:trPr>
        <w:tc>
          <w:tcPr>
            <w:tcW w:w="2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7E7E68" w14:textId="697967A5" w:rsidR="00F11E69" w:rsidRPr="00A11F3A" w:rsidRDefault="00F11E69" w:rsidP="009F7B6D">
            <w:pPr>
              <w:spacing w:after="0" w:line="240" w:lineRule="auto"/>
              <w:jc w:val="center"/>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lastRenderedPageBreak/>
              <w:t>Kategorija naročnika</w:t>
            </w:r>
          </w:p>
        </w:tc>
        <w:tc>
          <w:tcPr>
            <w:tcW w:w="101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5C41CF8" w14:textId="77777777" w:rsidR="00F11E69" w:rsidRPr="00A11F3A" w:rsidRDefault="00F11E69" w:rsidP="009F7B6D">
            <w:pPr>
              <w:spacing w:after="0" w:line="240" w:lineRule="auto"/>
              <w:jc w:val="center"/>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Št. naročnikov</w:t>
            </w:r>
          </w:p>
        </w:tc>
        <w:tc>
          <w:tcPr>
            <w:tcW w:w="77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F9830FC" w14:textId="77777777" w:rsidR="00F11E69" w:rsidRPr="00A11F3A" w:rsidRDefault="00F11E69" w:rsidP="009F7B6D">
            <w:pPr>
              <w:spacing w:after="0" w:line="240" w:lineRule="auto"/>
              <w:jc w:val="center"/>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Št. naročil</w:t>
            </w:r>
          </w:p>
        </w:tc>
        <w:tc>
          <w:tcPr>
            <w:tcW w:w="142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C9BF3AF" w14:textId="77777777" w:rsidR="00F11E69" w:rsidRPr="00A11F3A" w:rsidRDefault="00F11E69" w:rsidP="009F7B6D">
            <w:pPr>
              <w:spacing w:after="0" w:line="240" w:lineRule="auto"/>
              <w:jc w:val="center"/>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Pogodbena vrednost</w:t>
            </w:r>
          </w:p>
        </w:tc>
        <w:tc>
          <w:tcPr>
            <w:tcW w:w="100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5E06CFE" w14:textId="77777777" w:rsidR="00F11E69" w:rsidRPr="00A11F3A" w:rsidRDefault="00F11E69" w:rsidP="009F7B6D">
            <w:pPr>
              <w:spacing w:after="0" w:line="240" w:lineRule="auto"/>
              <w:jc w:val="center"/>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Povprečno št. naročil na naročnika</w:t>
            </w:r>
          </w:p>
        </w:tc>
        <w:tc>
          <w:tcPr>
            <w:tcW w:w="111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DC2461B" w14:textId="77777777" w:rsidR="00F11E69" w:rsidRPr="00A11F3A" w:rsidRDefault="00F11E69" w:rsidP="009F7B6D">
            <w:pPr>
              <w:spacing w:after="0" w:line="240" w:lineRule="auto"/>
              <w:jc w:val="center"/>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Povprečna vrednost naročila na naročnika</w:t>
            </w:r>
          </w:p>
        </w:tc>
        <w:tc>
          <w:tcPr>
            <w:tcW w:w="13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10860FC" w14:textId="77777777" w:rsidR="00F11E69" w:rsidRPr="00A11F3A" w:rsidRDefault="00F11E69" w:rsidP="009F7B6D">
            <w:pPr>
              <w:spacing w:after="0" w:line="240" w:lineRule="auto"/>
              <w:jc w:val="center"/>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 xml:space="preserve">Povprečna vrednost posameznega naročila </w:t>
            </w:r>
          </w:p>
        </w:tc>
      </w:tr>
      <w:tr w:rsidR="00A11F3A" w:rsidRPr="00A11F3A" w14:paraId="756A182F" w14:textId="77777777" w:rsidTr="00A11F3A">
        <w:trPr>
          <w:trHeight w:val="255"/>
        </w:trPr>
        <w:tc>
          <w:tcPr>
            <w:tcW w:w="2576" w:type="dxa"/>
            <w:tcBorders>
              <w:top w:val="nil"/>
              <w:left w:val="single" w:sz="4" w:space="0" w:color="auto"/>
              <w:bottom w:val="single" w:sz="4" w:space="0" w:color="auto"/>
              <w:right w:val="single" w:sz="4" w:space="0" w:color="auto"/>
            </w:tcBorders>
            <w:shd w:val="clear" w:color="auto" w:fill="auto"/>
            <w:vAlign w:val="center"/>
            <w:hideMark/>
          </w:tcPr>
          <w:p w14:paraId="2D53F7DD" w14:textId="77777777" w:rsidR="00A11F3A" w:rsidRPr="00A11F3A" w:rsidRDefault="00A11F3A" w:rsidP="00A11F3A">
            <w:pPr>
              <w:spacing w:after="0" w:line="240" w:lineRule="auto"/>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Javni zavodi</w:t>
            </w:r>
          </w:p>
        </w:tc>
        <w:tc>
          <w:tcPr>
            <w:tcW w:w="1011" w:type="dxa"/>
            <w:tcBorders>
              <w:top w:val="nil"/>
              <w:left w:val="nil"/>
              <w:bottom w:val="single" w:sz="4" w:space="0" w:color="auto"/>
              <w:right w:val="single" w:sz="4" w:space="0" w:color="auto"/>
            </w:tcBorders>
            <w:shd w:val="clear" w:color="auto" w:fill="auto"/>
            <w:vAlign w:val="center"/>
            <w:hideMark/>
          </w:tcPr>
          <w:p w14:paraId="09589CB9" w14:textId="19590AAE" w:rsidR="00A11F3A" w:rsidRPr="00A11F3A" w:rsidRDefault="00A11F3A" w:rsidP="00A11F3A">
            <w:pPr>
              <w:spacing w:after="0" w:line="240" w:lineRule="auto"/>
              <w:jc w:val="right"/>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483</w:t>
            </w:r>
          </w:p>
        </w:tc>
        <w:tc>
          <w:tcPr>
            <w:tcW w:w="777" w:type="dxa"/>
            <w:tcBorders>
              <w:top w:val="nil"/>
              <w:left w:val="nil"/>
              <w:bottom w:val="single" w:sz="4" w:space="0" w:color="auto"/>
              <w:right w:val="single" w:sz="4" w:space="0" w:color="auto"/>
            </w:tcBorders>
            <w:shd w:val="clear" w:color="auto" w:fill="auto"/>
            <w:vAlign w:val="center"/>
            <w:hideMark/>
          </w:tcPr>
          <w:p w14:paraId="27812AF8" w14:textId="534DB536" w:rsidR="00A11F3A" w:rsidRPr="00A11F3A" w:rsidRDefault="00A11F3A" w:rsidP="00A11F3A">
            <w:pPr>
              <w:spacing w:after="0" w:line="240" w:lineRule="auto"/>
              <w:jc w:val="right"/>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10.146</w:t>
            </w:r>
          </w:p>
        </w:tc>
        <w:tc>
          <w:tcPr>
            <w:tcW w:w="1422" w:type="dxa"/>
            <w:tcBorders>
              <w:top w:val="nil"/>
              <w:left w:val="nil"/>
              <w:bottom w:val="single" w:sz="4" w:space="0" w:color="auto"/>
              <w:right w:val="single" w:sz="4" w:space="0" w:color="auto"/>
            </w:tcBorders>
            <w:shd w:val="clear" w:color="auto" w:fill="auto"/>
            <w:vAlign w:val="center"/>
            <w:hideMark/>
          </w:tcPr>
          <w:p w14:paraId="215A23B1" w14:textId="61126DEE" w:rsidR="00A11F3A" w:rsidRPr="00A11F3A" w:rsidRDefault="00A11F3A" w:rsidP="00A11F3A">
            <w:pPr>
              <w:spacing w:after="0" w:line="240" w:lineRule="auto"/>
              <w:jc w:val="right"/>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1.465.228.045</w:t>
            </w:r>
          </w:p>
        </w:tc>
        <w:tc>
          <w:tcPr>
            <w:tcW w:w="1001" w:type="dxa"/>
            <w:tcBorders>
              <w:top w:val="nil"/>
              <w:left w:val="nil"/>
              <w:bottom w:val="single" w:sz="4" w:space="0" w:color="auto"/>
              <w:right w:val="single" w:sz="4" w:space="0" w:color="auto"/>
            </w:tcBorders>
            <w:shd w:val="clear" w:color="auto" w:fill="auto"/>
            <w:vAlign w:val="center"/>
            <w:hideMark/>
          </w:tcPr>
          <w:p w14:paraId="1A180E9A" w14:textId="573202C3" w:rsidR="00A11F3A" w:rsidRPr="00A11F3A" w:rsidRDefault="00A11F3A" w:rsidP="00A11F3A">
            <w:pPr>
              <w:spacing w:after="0" w:line="240" w:lineRule="auto"/>
              <w:jc w:val="right"/>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21,0</w:t>
            </w:r>
          </w:p>
        </w:tc>
        <w:tc>
          <w:tcPr>
            <w:tcW w:w="1117" w:type="dxa"/>
            <w:tcBorders>
              <w:top w:val="nil"/>
              <w:left w:val="nil"/>
              <w:bottom w:val="single" w:sz="4" w:space="0" w:color="auto"/>
              <w:right w:val="single" w:sz="4" w:space="0" w:color="auto"/>
            </w:tcBorders>
            <w:shd w:val="clear" w:color="auto" w:fill="auto"/>
            <w:vAlign w:val="center"/>
            <w:hideMark/>
          </w:tcPr>
          <w:p w14:paraId="27F4E07F" w14:textId="16F30B3B" w:rsidR="00A11F3A" w:rsidRPr="00A11F3A" w:rsidRDefault="00A11F3A" w:rsidP="00A11F3A">
            <w:pPr>
              <w:spacing w:after="0" w:line="240" w:lineRule="auto"/>
              <w:jc w:val="right"/>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3.033.598</w:t>
            </w:r>
          </w:p>
        </w:tc>
        <w:tc>
          <w:tcPr>
            <w:tcW w:w="1376" w:type="dxa"/>
            <w:tcBorders>
              <w:top w:val="nil"/>
              <w:left w:val="nil"/>
              <w:bottom w:val="single" w:sz="4" w:space="0" w:color="auto"/>
              <w:right w:val="single" w:sz="4" w:space="0" w:color="auto"/>
            </w:tcBorders>
            <w:shd w:val="clear" w:color="auto" w:fill="auto"/>
            <w:vAlign w:val="center"/>
            <w:hideMark/>
          </w:tcPr>
          <w:p w14:paraId="7855249A" w14:textId="50CA1AC7" w:rsidR="00A11F3A" w:rsidRPr="00A11F3A" w:rsidRDefault="00A11F3A" w:rsidP="00A11F3A">
            <w:pPr>
              <w:spacing w:after="0" w:line="240" w:lineRule="auto"/>
              <w:jc w:val="right"/>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144.414</w:t>
            </w:r>
          </w:p>
        </w:tc>
      </w:tr>
      <w:tr w:rsidR="00A11F3A" w:rsidRPr="00A11F3A" w14:paraId="25AF41BF" w14:textId="77777777" w:rsidTr="00A11F3A">
        <w:trPr>
          <w:trHeight w:val="255"/>
        </w:trPr>
        <w:tc>
          <w:tcPr>
            <w:tcW w:w="2576" w:type="dxa"/>
            <w:tcBorders>
              <w:top w:val="nil"/>
              <w:left w:val="single" w:sz="4" w:space="0" w:color="auto"/>
              <w:bottom w:val="single" w:sz="4" w:space="0" w:color="auto"/>
              <w:right w:val="single" w:sz="4" w:space="0" w:color="auto"/>
            </w:tcBorders>
            <w:shd w:val="clear" w:color="auto" w:fill="auto"/>
            <w:vAlign w:val="center"/>
            <w:hideMark/>
          </w:tcPr>
          <w:p w14:paraId="022EC72D" w14:textId="77777777" w:rsidR="00A11F3A" w:rsidRPr="00A11F3A" w:rsidRDefault="00A11F3A" w:rsidP="00A11F3A">
            <w:pPr>
              <w:spacing w:after="0" w:line="240" w:lineRule="auto"/>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Javni gospodarski zavodi</w:t>
            </w:r>
          </w:p>
        </w:tc>
        <w:tc>
          <w:tcPr>
            <w:tcW w:w="1011" w:type="dxa"/>
            <w:tcBorders>
              <w:top w:val="nil"/>
              <w:left w:val="nil"/>
              <w:bottom w:val="single" w:sz="4" w:space="0" w:color="auto"/>
              <w:right w:val="single" w:sz="4" w:space="0" w:color="auto"/>
            </w:tcBorders>
            <w:shd w:val="clear" w:color="auto" w:fill="auto"/>
            <w:vAlign w:val="center"/>
            <w:hideMark/>
          </w:tcPr>
          <w:p w14:paraId="579BC5D0" w14:textId="58D85193" w:rsidR="00A11F3A" w:rsidRPr="00A11F3A" w:rsidRDefault="00A11F3A" w:rsidP="00A11F3A">
            <w:pPr>
              <w:spacing w:after="0" w:line="240" w:lineRule="auto"/>
              <w:jc w:val="right"/>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13</w:t>
            </w:r>
          </w:p>
        </w:tc>
        <w:tc>
          <w:tcPr>
            <w:tcW w:w="777" w:type="dxa"/>
            <w:tcBorders>
              <w:top w:val="nil"/>
              <w:left w:val="nil"/>
              <w:bottom w:val="single" w:sz="4" w:space="0" w:color="auto"/>
              <w:right w:val="single" w:sz="4" w:space="0" w:color="auto"/>
            </w:tcBorders>
            <w:shd w:val="clear" w:color="auto" w:fill="auto"/>
            <w:vAlign w:val="center"/>
            <w:hideMark/>
          </w:tcPr>
          <w:p w14:paraId="0E00ACD0" w14:textId="0A6A5F93" w:rsidR="00A11F3A" w:rsidRPr="00A11F3A" w:rsidRDefault="00A11F3A" w:rsidP="00A11F3A">
            <w:pPr>
              <w:spacing w:after="0" w:line="240" w:lineRule="auto"/>
              <w:jc w:val="right"/>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147</w:t>
            </w:r>
          </w:p>
        </w:tc>
        <w:tc>
          <w:tcPr>
            <w:tcW w:w="1422" w:type="dxa"/>
            <w:tcBorders>
              <w:top w:val="nil"/>
              <w:left w:val="nil"/>
              <w:bottom w:val="single" w:sz="4" w:space="0" w:color="auto"/>
              <w:right w:val="single" w:sz="4" w:space="0" w:color="auto"/>
            </w:tcBorders>
            <w:shd w:val="clear" w:color="auto" w:fill="auto"/>
            <w:vAlign w:val="center"/>
            <w:hideMark/>
          </w:tcPr>
          <w:p w14:paraId="4AF24F6D" w14:textId="38120FC0" w:rsidR="00A11F3A" w:rsidRPr="00A11F3A" w:rsidRDefault="00A11F3A" w:rsidP="00A11F3A">
            <w:pPr>
              <w:spacing w:after="0" w:line="240" w:lineRule="auto"/>
              <w:jc w:val="right"/>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10.692.979</w:t>
            </w:r>
          </w:p>
        </w:tc>
        <w:tc>
          <w:tcPr>
            <w:tcW w:w="1001" w:type="dxa"/>
            <w:tcBorders>
              <w:top w:val="nil"/>
              <w:left w:val="nil"/>
              <w:bottom w:val="single" w:sz="4" w:space="0" w:color="auto"/>
              <w:right w:val="single" w:sz="4" w:space="0" w:color="auto"/>
            </w:tcBorders>
            <w:shd w:val="clear" w:color="auto" w:fill="auto"/>
            <w:vAlign w:val="center"/>
            <w:hideMark/>
          </w:tcPr>
          <w:p w14:paraId="4CDDD45A" w14:textId="34422F56" w:rsidR="00A11F3A" w:rsidRPr="00A11F3A" w:rsidRDefault="00A11F3A" w:rsidP="00A11F3A">
            <w:pPr>
              <w:spacing w:after="0" w:line="240" w:lineRule="auto"/>
              <w:jc w:val="right"/>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11,3</w:t>
            </w:r>
          </w:p>
        </w:tc>
        <w:tc>
          <w:tcPr>
            <w:tcW w:w="1117" w:type="dxa"/>
            <w:tcBorders>
              <w:top w:val="nil"/>
              <w:left w:val="nil"/>
              <w:bottom w:val="single" w:sz="4" w:space="0" w:color="auto"/>
              <w:right w:val="single" w:sz="4" w:space="0" w:color="auto"/>
            </w:tcBorders>
            <w:shd w:val="clear" w:color="auto" w:fill="auto"/>
            <w:vAlign w:val="center"/>
            <w:hideMark/>
          </w:tcPr>
          <w:p w14:paraId="75284CAB" w14:textId="3B4F853B" w:rsidR="00A11F3A" w:rsidRPr="00A11F3A" w:rsidRDefault="00A11F3A" w:rsidP="00A11F3A">
            <w:pPr>
              <w:spacing w:after="0" w:line="240" w:lineRule="auto"/>
              <w:jc w:val="right"/>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822.537</w:t>
            </w:r>
          </w:p>
        </w:tc>
        <w:tc>
          <w:tcPr>
            <w:tcW w:w="1376" w:type="dxa"/>
            <w:tcBorders>
              <w:top w:val="nil"/>
              <w:left w:val="nil"/>
              <w:bottom w:val="single" w:sz="4" w:space="0" w:color="auto"/>
              <w:right w:val="single" w:sz="4" w:space="0" w:color="auto"/>
            </w:tcBorders>
            <w:shd w:val="clear" w:color="auto" w:fill="auto"/>
            <w:vAlign w:val="center"/>
            <w:hideMark/>
          </w:tcPr>
          <w:p w14:paraId="2612435E" w14:textId="2D6BB742" w:rsidR="00A11F3A" w:rsidRPr="00A11F3A" w:rsidRDefault="00A11F3A" w:rsidP="00A11F3A">
            <w:pPr>
              <w:spacing w:after="0" w:line="240" w:lineRule="auto"/>
              <w:jc w:val="right"/>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72.741</w:t>
            </w:r>
          </w:p>
        </w:tc>
      </w:tr>
      <w:tr w:rsidR="00A11F3A" w:rsidRPr="00A11F3A" w14:paraId="30065BE5" w14:textId="77777777" w:rsidTr="00A11F3A">
        <w:trPr>
          <w:trHeight w:val="255"/>
        </w:trPr>
        <w:tc>
          <w:tcPr>
            <w:tcW w:w="2576" w:type="dxa"/>
            <w:tcBorders>
              <w:top w:val="nil"/>
              <w:left w:val="single" w:sz="4" w:space="0" w:color="auto"/>
              <w:bottom w:val="single" w:sz="4" w:space="0" w:color="auto"/>
              <w:right w:val="single" w:sz="4" w:space="0" w:color="auto"/>
            </w:tcBorders>
            <w:shd w:val="clear" w:color="auto" w:fill="auto"/>
            <w:vAlign w:val="center"/>
            <w:hideMark/>
          </w:tcPr>
          <w:p w14:paraId="4F79F2A2" w14:textId="77777777" w:rsidR="00A11F3A" w:rsidRPr="00A11F3A" w:rsidRDefault="00A11F3A" w:rsidP="00A11F3A">
            <w:pPr>
              <w:spacing w:after="0" w:line="240" w:lineRule="auto"/>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 xml:space="preserve">Drugi naročniki (osebe javnega prava, javna podjetja, subjekt s posebnimi infrastrukturnimi pravicami) </w:t>
            </w:r>
          </w:p>
        </w:tc>
        <w:tc>
          <w:tcPr>
            <w:tcW w:w="1011" w:type="dxa"/>
            <w:tcBorders>
              <w:top w:val="nil"/>
              <w:left w:val="nil"/>
              <w:bottom w:val="single" w:sz="4" w:space="0" w:color="auto"/>
              <w:right w:val="single" w:sz="4" w:space="0" w:color="auto"/>
            </w:tcBorders>
            <w:shd w:val="clear" w:color="auto" w:fill="auto"/>
            <w:vAlign w:val="center"/>
            <w:hideMark/>
          </w:tcPr>
          <w:p w14:paraId="145E1E2D" w14:textId="065C32F4" w:rsidR="00A11F3A" w:rsidRPr="00A11F3A" w:rsidRDefault="00A11F3A" w:rsidP="00A11F3A">
            <w:pPr>
              <w:spacing w:after="0" w:line="240" w:lineRule="auto"/>
              <w:jc w:val="right"/>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129</w:t>
            </w:r>
          </w:p>
        </w:tc>
        <w:tc>
          <w:tcPr>
            <w:tcW w:w="777" w:type="dxa"/>
            <w:tcBorders>
              <w:top w:val="nil"/>
              <w:left w:val="nil"/>
              <w:bottom w:val="single" w:sz="4" w:space="0" w:color="auto"/>
              <w:right w:val="single" w:sz="4" w:space="0" w:color="auto"/>
            </w:tcBorders>
            <w:shd w:val="clear" w:color="auto" w:fill="auto"/>
            <w:vAlign w:val="center"/>
            <w:hideMark/>
          </w:tcPr>
          <w:p w14:paraId="79B85858" w14:textId="292888E6" w:rsidR="00A11F3A" w:rsidRPr="00A11F3A" w:rsidRDefault="00A11F3A" w:rsidP="00A11F3A">
            <w:pPr>
              <w:spacing w:after="0" w:line="240" w:lineRule="auto"/>
              <w:jc w:val="right"/>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3.160</w:t>
            </w:r>
          </w:p>
        </w:tc>
        <w:tc>
          <w:tcPr>
            <w:tcW w:w="1422" w:type="dxa"/>
            <w:tcBorders>
              <w:top w:val="nil"/>
              <w:left w:val="nil"/>
              <w:bottom w:val="single" w:sz="4" w:space="0" w:color="auto"/>
              <w:right w:val="single" w:sz="4" w:space="0" w:color="auto"/>
            </w:tcBorders>
            <w:shd w:val="clear" w:color="auto" w:fill="auto"/>
            <w:vAlign w:val="center"/>
            <w:hideMark/>
          </w:tcPr>
          <w:p w14:paraId="30222A6C" w14:textId="361A2E8A" w:rsidR="00A11F3A" w:rsidRPr="00A11F3A" w:rsidRDefault="00A11F3A" w:rsidP="00A11F3A">
            <w:pPr>
              <w:spacing w:after="0" w:line="240" w:lineRule="auto"/>
              <w:jc w:val="right"/>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1.375.061.714</w:t>
            </w:r>
          </w:p>
        </w:tc>
        <w:tc>
          <w:tcPr>
            <w:tcW w:w="1001" w:type="dxa"/>
            <w:tcBorders>
              <w:top w:val="nil"/>
              <w:left w:val="nil"/>
              <w:bottom w:val="single" w:sz="4" w:space="0" w:color="auto"/>
              <w:right w:val="single" w:sz="4" w:space="0" w:color="auto"/>
            </w:tcBorders>
            <w:shd w:val="clear" w:color="auto" w:fill="auto"/>
            <w:vAlign w:val="center"/>
            <w:hideMark/>
          </w:tcPr>
          <w:p w14:paraId="29C22DDA" w14:textId="0CD23A77" w:rsidR="00A11F3A" w:rsidRPr="00A11F3A" w:rsidRDefault="00A11F3A" w:rsidP="00A11F3A">
            <w:pPr>
              <w:spacing w:after="0" w:line="240" w:lineRule="auto"/>
              <w:jc w:val="right"/>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24,5</w:t>
            </w:r>
          </w:p>
        </w:tc>
        <w:tc>
          <w:tcPr>
            <w:tcW w:w="1117" w:type="dxa"/>
            <w:tcBorders>
              <w:top w:val="nil"/>
              <w:left w:val="nil"/>
              <w:bottom w:val="single" w:sz="4" w:space="0" w:color="auto"/>
              <w:right w:val="single" w:sz="4" w:space="0" w:color="auto"/>
            </w:tcBorders>
            <w:shd w:val="clear" w:color="auto" w:fill="auto"/>
            <w:vAlign w:val="center"/>
            <w:hideMark/>
          </w:tcPr>
          <w:p w14:paraId="1965DC04" w14:textId="0B114F41" w:rsidR="00A11F3A" w:rsidRPr="00A11F3A" w:rsidRDefault="00A11F3A" w:rsidP="00A11F3A">
            <w:pPr>
              <w:spacing w:after="0" w:line="240" w:lineRule="auto"/>
              <w:jc w:val="right"/>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10.659.393</w:t>
            </w:r>
          </w:p>
        </w:tc>
        <w:tc>
          <w:tcPr>
            <w:tcW w:w="1376" w:type="dxa"/>
            <w:tcBorders>
              <w:top w:val="nil"/>
              <w:left w:val="nil"/>
              <w:bottom w:val="single" w:sz="4" w:space="0" w:color="auto"/>
              <w:right w:val="single" w:sz="4" w:space="0" w:color="auto"/>
            </w:tcBorders>
            <w:shd w:val="clear" w:color="auto" w:fill="auto"/>
            <w:vAlign w:val="center"/>
            <w:hideMark/>
          </w:tcPr>
          <w:p w14:paraId="73B6346E" w14:textId="31404882" w:rsidR="00A11F3A" w:rsidRPr="00A11F3A" w:rsidRDefault="00A11F3A" w:rsidP="00A11F3A">
            <w:pPr>
              <w:spacing w:after="0" w:line="240" w:lineRule="auto"/>
              <w:jc w:val="right"/>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435.146</w:t>
            </w:r>
          </w:p>
        </w:tc>
      </w:tr>
      <w:tr w:rsidR="00A11F3A" w:rsidRPr="00A11F3A" w14:paraId="304DCDEA" w14:textId="77777777" w:rsidTr="00A11F3A">
        <w:trPr>
          <w:trHeight w:val="255"/>
        </w:trPr>
        <w:tc>
          <w:tcPr>
            <w:tcW w:w="2576" w:type="dxa"/>
            <w:tcBorders>
              <w:top w:val="nil"/>
              <w:left w:val="single" w:sz="4" w:space="0" w:color="auto"/>
              <w:bottom w:val="single" w:sz="4" w:space="0" w:color="auto"/>
              <w:right w:val="single" w:sz="4" w:space="0" w:color="auto"/>
            </w:tcBorders>
            <w:shd w:val="clear" w:color="auto" w:fill="auto"/>
            <w:vAlign w:val="center"/>
            <w:hideMark/>
          </w:tcPr>
          <w:p w14:paraId="7F002473" w14:textId="7AE00EB8" w:rsidR="00A11F3A" w:rsidRPr="00A11F3A" w:rsidRDefault="00E10E6C" w:rsidP="00A11F3A">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Drugi</w:t>
            </w:r>
            <w:r w:rsidR="00A11F3A" w:rsidRPr="00A11F3A">
              <w:rPr>
                <w:rFonts w:ascii="Arial" w:eastAsia="Times New Roman" w:hAnsi="Arial" w:cs="Arial"/>
                <w:color w:val="000000"/>
                <w:sz w:val="18"/>
                <w:szCs w:val="18"/>
                <w:lang w:eastAsia="sl-SI"/>
              </w:rPr>
              <w:t xml:space="preserve"> subjekti</w:t>
            </w:r>
          </w:p>
        </w:tc>
        <w:tc>
          <w:tcPr>
            <w:tcW w:w="1011" w:type="dxa"/>
            <w:tcBorders>
              <w:top w:val="nil"/>
              <w:left w:val="nil"/>
              <w:bottom w:val="single" w:sz="4" w:space="0" w:color="auto"/>
              <w:right w:val="single" w:sz="4" w:space="0" w:color="auto"/>
            </w:tcBorders>
            <w:shd w:val="clear" w:color="auto" w:fill="auto"/>
            <w:vAlign w:val="center"/>
            <w:hideMark/>
          </w:tcPr>
          <w:p w14:paraId="43833BD3" w14:textId="1B9C8062" w:rsidR="00A11F3A" w:rsidRPr="00A11F3A" w:rsidRDefault="00A11F3A" w:rsidP="00A11F3A">
            <w:pPr>
              <w:spacing w:after="0" w:line="240" w:lineRule="auto"/>
              <w:jc w:val="right"/>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48</w:t>
            </w:r>
          </w:p>
        </w:tc>
        <w:tc>
          <w:tcPr>
            <w:tcW w:w="777" w:type="dxa"/>
            <w:tcBorders>
              <w:top w:val="nil"/>
              <w:left w:val="nil"/>
              <w:bottom w:val="single" w:sz="4" w:space="0" w:color="auto"/>
              <w:right w:val="single" w:sz="4" w:space="0" w:color="auto"/>
            </w:tcBorders>
            <w:shd w:val="clear" w:color="auto" w:fill="auto"/>
            <w:vAlign w:val="center"/>
            <w:hideMark/>
          </w:tcPr>
          <w:p w14:paraId="1C9AE4CC" w14:textId="40A19F12" w:rsidR="00A11F3A" w:rsidRPr="00A11F3A" w:rsidRDefault="00A11F3A" w:rsidP="00A11F3A">
            <w:pPr>
              <w:spacing w:after="0" w:line="240" w:lineRule="auto"/>
              <w:jc w:val="right"/>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144</w:t>
            </w:r>
          </w:p>
        </w:tc>
        <w:tc>
          <w:tcPr>
            <w:tcW w:w="1422" w:type="dxa"/>
            <w:tcBorders>
              <w:top w:val="nil"/>
              <w:left w:val="nil"/>
              <w:bottom w:val="single" w:sz="4" w:space="0" w:color="auto"/>
              <w:right w:val="single" w:sz="4" w:space="0" w:color="auto"/>
            </w:tcBorders>
            <w:shd w:val="clear" w:color="auto" w:fill="auto"/>
            <w:vAlign w:val="center"/>
            <w:hideMark/>
          </w:tcPr>
          <w:p w14:paraId="7D482319" w14:textId="71114B10" w:rsidR="00A11F3A" w:rsidRPr="00A11F3A" w:rsidRDefault="00A11F3A" w:rsidP="00A11F3A">
            <w:pPr>
              <w:spacing w:after="0" w:line="240" w:lineRule="auto"/>
              <w:jc w:val="right"/>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107.563.869</w:t>
            </w:r>
          </w:p>
        </w:tc>
        <w:tc>
          <w:tcPr>
            <w:tcW w:w="1001" w:type="dxa"/>
            <w:tcBorders>
              <w:top w:val="nil"/>
              <w:left w:val="nil"/>
              <w:bottom w:val="single" w:sz="4" w:space="0" w:color="auto"/>
              <w:right w:val="single" w:sz="4" w:space="0" w:color="auto"/>
            </w:tcBorders>
            <w:shd w:val="clear" w:color="auto" w:fill="auto"/>
            <w:vAlign w:val="center"/>
            <w:hideMark/>
          </w:tcPr>
          <w:p w14:paraId="537770BD" w14:textId="36947508" w:rsidR="00A11F3A" w:rsidRPr="00A11F3A" w:rsidRDefault="00A11F3A" w:rsidP="00A11F3A">
            <w:pPr>
              <w:spacing w:after="0" w:line="240" w:lineRule="auto"/>
              <w:jc w:val="right"/>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3,0</w:t>
            </w:r>
          </w:p>
        </w:tc>
        <w:tc>
          <w:tcPr>
            <w:tcW w:w="1117" w:type="dxa"/>
            <w:tcBorders>
              <w:top w:val="nil"/>
              <w:left w:val="nil"/>
              <w:bottom w:val="single" w:sz="4" w:space="0" w:color="auto"/>
              <w:right w:val="single" w:sz="4" w:space="0" w:color="auto"/>
            </w:tcBorders>
            <w:shd w:val="clear" w:color="auto" w:fill="auto"/>
            <w:vAlign w:val="center"/>
            <w:hideMark/>
          </w:tcPr>
          <w:p w14:paraId="282CE9D7" w14:textId="43CED7A3" w:rsidR="00A11F3A" w:rsidRPr="00A11F3A" w:rsidRDefault="00A11F3A" w:rsidP="00A11F3A">
            <w:pPr>
              <w:spacing w:after="0" w:line="240" w:lineRule="auto"/>
              <w:jc w:val="right"/>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2.240.914</w:t>
            </w:r>
          </w:p>
        </w:tc>
        <w:tc>
          <w:tcPr>
            <w:tcW w:w="1376" w:type="dxa"/>
            <w:tcBorders>
              <w:top w:val="nil"/>
              <w:left w:val="nil"/>
              <w:bottom w:val="single" w:sz="4" w:space="0" w:color="auto"/>
              <w:right w:val="single" w:sz="4" w:space="0" w:color="auto"/>
            </w:tcBorders>
            <w:shd w:val="clear" w:color="auto" w:fill="auto"/>
            <w:vAlign w:val="center"/>
            <w:hideMark/>
          </w:tcPr>
          <w:p w14:paraId="5E139526" w14:textId="5CD232E9" w:rsidR="00A11F3A" w:rsidRPr="00A11F3A" w:rsidRDefault="00A11F3A" w:rsidP="00A11F3A">
            <w:pPr>
              <w:spacing w:after="0" w:line="240" w:lineRule="auto"/>
              <w:jc w:val="right"/>
              <w:rPr>
                <w:rFonts w:ascii="Arial" w:eastAsia="Times New Roman" w:hAnsi="Arial" w:cs="Arial"/>
                <w:color w:val="000000"/>
                <w:sz w:val="18"/>
                <w:szCs w:val="18"/>
                <w:lang w:eastAsia="sl-SI"/>
              </w:rPr>
            </w:pPr>
            <w:r w:rsidRPr="00A11F3A">
              <w:rPr>
                <w:rFonts w:ascii="Arial" w:eastAsia="Times New Roman" w:hAnsi="Arial" w:cs="Arial"/>
                <w:color w:val="000000"/>
                <w:sz w:val="18"/>
                <w:szCs w:val="18"/>
                <w:lang w:eastAsia="sl-SI"/>
              </w:rPr>
              <w:t>746.971</w:t>
            </w:r>
          </w:p>
        </w:tc>
      </w:tr>
      <w:tr w:rsidR="00A11F3A" w:rsidRPr="00A11F3A" w14:paraId="6E900037" w14:textId="77777777" w:rsidTr="00A11F3A">
        <w:trPr>
          <w:gridAfter w:val="3"/>
          <w:wAfter w:w="3494" w:type="dxa"/>
          <w:trHeight w:val="255"/>
        </w:trPr>
        <w:tc>
          <w:tcPr>
            <w:tcW w:w="257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3E14E32" w14:textId="77777777" w:rsidR="00A11F3A" w:rsidRPr="00A11F3A" w:rsidRDefault="00A11F3A" w:rsidP="00A11F3A">
            <w:pPr>
              <w:spacing w:after="0" w:line="240" w:lineRule="auto"/>
              <w:rPr>
                <w:rFonts w:ascii="Arial" w:eastAsia="Times New Roman" w:hAnsi="Arial" w:cs="Arial"/>
                <w:b/>
                <w:bCs/>
                <w:color w:val="000000"/>
                <w:sz w:val="18"/>
                <w:szCs w:val="18"/>
                <w:lang w:eastAsia="sl-SI"/>
              </w:rPr>
            </w:pPr>
            <w:r w:rsidRPr="00A11F3A">
              <w:rPr>
                <w:rFonts w:ascii="Arial" w:eastAsia="Times New Roman" w:hAnsi="Arial" w:cs="Arial"/>
                <w:b/>
                <w:bCs/>
                <w:color w:val="000000"/>
                <w:sz w:val="18"/>
                <w:szCs w:val="18"/>
                <w:lang w:eastAsia="sl-SI"/>
              </w:rPr>
              <w:t>Skupaj</w:t>
            </w:r>
          </w:p>
        </w:tc>
        <w:tc>
          <w:tcPr>
            <w:tcW w:w="1011" w:type="dxa"/>
            <w:tcBorders>
              <w:top w:val="nil"/>
              <w:left w:val="nil"/>
              <w:bottom w:val="single" w:sz="4" w:space="0" w:color="auto"/>
              <w:right w:val="single" w:sz="4" w:space="0" w:color="auto"/>
            </w:tcBorders>
            <w:shd w:val="clear" w:color="auto" w:fill="F2F2F2" w:themeFill="background1" w:themeFillShade="F2"/>
            <w:vAlign w:val="center"/>
            <w:hideMark/>
          </w:tcPr>
          <w:p w14:paraId="658192E1" w14:textId="5BDC7093" w:rsidR="00A11F3A" w:rsidRPr="007F5593" w:rsidRDefault="00A11F3A" w:rsidP="00A11F3A">
            <w:pPr>
              <w:spacing w:after="0" w:line="240" w:lineRule="auto"/>
              <w:jc w:val="right"/>
              <w:rPr>
                <w:rFonts w:ascii="Arial" w:eastAsia="Times New Roman" w:hAnsi="Arial" w:cs="Arial"/>
                <w:b/>
                <w:bCs/>
                <w:color w:val="000000"/>
                <w:sz w:val="18"/>
                <w:szCs w:val="18"/>
                <w:lang w:eastAsia="sl-SI"/>
              </w:rPr>
            </w:pPr>
            <w:r w:rsidRPr="007F5593">
              <w:rPr>
                <w:rFonts w:ascii="Arial" w:eastAsia="Times New Roman" w:hAnsi="Arial" w:cs="Arial"/>
                <w:b/>
                <w:bCs/>
                <w:color w:val="000000"/>
                <w:sz w:val="18"/>
                <w:szCs w:val="18"/>
                <w:lang w:eastAsia="sl-SI"/>
              </w:rPr>
              <w:t>943</w:t>
            </w:r>
          </w:p>
        </w:tc>
        <w:tc>
          <w:tcPr>
            <w:tcW w:w="777" w:type="dxa"/>
            <w:tcBorders>
              <w:top w:val="nil"/>
              <w:left w:val="nil"/>
              <w:bottom w:val="single" w:sz="4" w:space="0" w:color="auto"/>
              <w:right w:val="single" w:sz="4" w:space="0" w:color="auto"/>
            </w:tcBorders>
            <w:shd w:val="clear" w:color="auto" w:fill="F2F2F2" w:themeFill="background1" w:themeFillShade="F2"/>
            <w:vAlign w:val="center"/>
            <w:hideMark/>
          </w:tcPr>
          <w:p w14:paraId="36EC9CDA" w14:textId="14DFF2B2" w:rsidR="00A11F3A" w:rsidRPr="007F5593" w:rsidRDefault="00A11F3A" w:rsidP="00A11F3A">
            <w:pPr>
              <w:spacing w:after="0" w:line="240" w:lineRule="auto"/>
              <w:jc w:val="right"/>
              <w:rPr>
                <w:rFonts w:ascii="Arial" w:eastAsia="Times New Roman" w:hAnsi="Arial" w:cs="Arial"/>
                <w:b/>
                <w:bCs/>
                <w:color w:val="000000"/>
                <w:sz w:val="18"/>
                <w:szCs w:val="18"/>
                <w:lang w:eastAsia="sl-SI"/>
              </w:rPr>
            </w:pPr>
            <w:r w:rsidRPr="007F5593">
              <w:rPr>
                <w:rFonts w:ascii="Arial" w:eastAsia="Times New Roman" w:hAnsi="Arial" w:cs="Arial"/>
                <w:b/>
                <w:bCs/>
                <w:color w:val="000000"/>
                <w:sz w:val="18"/>
                <w:szCs w:val="18"/>
                <w:lang w:eastAsia="sl-SI"/>
              </w:rPr>
              <w:t>17.224</w:t>
            </w:r>
          </w:p>
        </w:tc>
        <w:tc>
          <w:tcPr>
            <w:tcW w:w="1422" w:type="dxa"/>
            <w:tcBorders>
              <w:top w:val="nil"/>
              <w:left w:val="nil"/>
              <w:bottom w:val="single" w:sz="4" w:space="0" w:color="auto"/>
              <w:right w:val="single" w:sz="4" w:space="0" w:color="auto"/>
            </w:tcBorders>
            <w:shd w:val="clear" w:color="auto" w:fill="F2F2F2" w:themeFill="background1" w:themeFillShade="F2"/>
            <w:vAlign w:val="center"/>
            <w:hideMark/>
          </w:tcPr>
          <w:p w14:paraId="2E4A2C3E" w14:textId="19D40518" w:rsidR="00A11F3A" w:rsidRPr="007F5593" w:rsidRDefault="00A11F3A" w:rsidP="00A11F3A">
            <w:pPr>
              <w:spacing w:after="0" w:line="240" w:lineRule="auto"/>
              <w:jc w:val="right"/>
              <w:rPr>
                <w:rFonts w:ascii="Arial" w:eastAsia="Times New Roman" w:hAnsi="Arial" w:cs="Arial"/>
                <w:b/>
                <w:bCs/>
                <w:color w:val="000000"/>
                <w:sz w:val="18"/>
                <w:szCs w:val="18"/>
                <w:lang w:eastAsia="sl-SI"/>
              </w:rPr>
            </w:pPr>
            <w:r w:rsidRPr="007F5593">
              <w:rPr>
                <w:rFonts w:ascii="Arial" w:eastAsia="Times New Roman" w:hAnsi="Arial" w:cs="Arial"/>
                <w:b/>
                <w:bCs/>
                <w:color w:val="000000"/>
                <w:sz w:val="18"/>
                <w:szCs w:val="18"/>
                <w:lang w:eastAsia="sl-SI"/>
              </w:rPr>
              <w:t>5.417.105.902</w:t>
            </w:r>
          </w:p>
        </w:tc>
      </w:tr>
    </w:tbl>
    <w:p w14:paraId="08F91D55" w14:textId="57E6E892" w:rsidR="005475A5" w:rsidRPr="00A11F3A" w:rsidRDefault="005475A5" w:rsidP="00F4617A">
      <w:pPr>
        <w:spacing w:after="0" w:line="240" w:lineRule="auto"/>
        <w:ind w:left="1701" w:hanging="1701"/>
        <w:jc w:val="both"/>
        <w:rPr>
          <w:rFonts w:ascii="Arial" w:hAnsi="Arial" w:cs="Arial"/>
          <w:sz w:val="20"/>
        </w:rPr>
      </w:pPr>
    </w:p>
    <w:p w14:paraId="604D67C0" w14:textId="1CED6932" w:rsidR="00690FB0" w:rsidRPr="00A11F3A" w:rsidRDefault="00690FB0" w:rsidP="00D94701">
      <w:pPr>
        <w:spacing w:after="0" w:line="240" w:lineRule="auto"/>
        <w:jc w:val="center"/>
        <w:rPr>
          <w:rFonts w:ascii="Arial" w:hAnsi="Arial" w:cs="Arial"/>
          <w:sz w:val="18"/>
        </w:rPr>
      </w:pPr>
      <w:r w:rsidRPr="00A11F3A">
        <w:rPr>
          <w:rFonts w:ascii="Arial" w:hAnsi="Arial" w:cs="Arial"/>
          <w:sz w:val="18"/>
        </w:rPr>
        <w:t>Vir: Statistični podatki o javnih</w:t>
      </w:r>
      <w:r w:rsidR="00113E89" w:rsidRPr="00A11F3A">
        <w:rPr>
          <w:rFonts w:ascii="Arial" w:hAnsi="Arial" w:cs="Arial"/>
          <w:sz w:val="18"/>
        </w:rPr>
        <w:t xml:space="preserve"> naročilih, oddanih v letu 20</w:t>
      </w:r>
      <w:r w:rsidR="005475A5" w:rsidRPr="00A11F3A">
        <w:rPr>
          <w:rFonts w:ascii="Arial" w:hAnsi="Arial" w:cs="Arial"/>
          <w:sz w:val="18"/>
        </w:rPr>
        <w:t>2</w:t>
      </w:r>
      <w:r w:rsidR="00A11F3A" w:rsidRPr="00A11F3A">
        <w:rPr>
          <w:rFonts w:ascii="Arial" w:hAnsi="Arial" w:cs="Arial"/>
          <w:sz w:val="18"/>
        </w:rPr>
        <w:t>2</w:t>
      </w:r>
      <w:r w:rsidR="00362BA2" w:rsidRPr="00A11F3A">
        <w:rPr>
          <w:rFonts w:ascii="Arial" w:hAnsi="Arial" w:cs="Arial"/>
          <w:sz w:val="18"/>
        </w:rPr>
        <w:t>.</w:t>
      </w:r>
    </w:p>
    <w:p w14:paraId="3BBA689D" w14:textId="77777777" w:rsidR="00D94701" w:rsidRPr="00BF7302" w:rsidRDefault="00D94701" w:rsidP="00D94701">
      <w:pPr>
        <w:spacing w:after="120" w:line="240" w:lineRule="auto"/>
        <w:jc w:val="center"/>
        <w:rPr>
          <w:rFonts w:ascii="Arial" w:hAnsi="Arial" w:cs="Arial"/>
          <w:sz w:val="18"/>
          <w:highlight w:val="yellow"/>
        </w:rPr>
      </w:pPr>
    </w:p>
    <w:p w14:paraId="2551D691" w14:textId="7C49D13F" w:rsidR="00FF5F34" w:rsidRPr="0034545C" w:rsidRDefault="00FF5F34" w:rsidP="00FF5F34">
      <w:pPr>
        <w:pStyle w:val="Naslov3"/>
        <w:rPr>
          <w:rFonts w:ascii="Arial" w:hAnsi="Arial" w:cs="Arial"/>
          <w:sz w:val="22"/>
          <w:szCs w:val="22"/>
        </w:rPr>
      </w:pPr>
      <w:bookmarkStart w:id="32" w:name="_Toc141864065"/>
      <w:r w:rsidRPr="0034545C">
        <w:rPr>
          <w:rFonts w:ascii="Arial" w:hAnsi="Arial" w:cs="Arial"/>
          <w:sz w:val="22"/>
          <w:szCs w:val="22"/>
        </w:rPr>
        <w:t xml:space="preserve">2.4.3 Predmeti </w:t>
      </w:r>
      <w:r w:rsidR="00A95163" w:rsidRPr="0034545C">
        <w:rPr>
          <w:rFonts w:ascii="Arial" w:hAnsi="Arial" w:cs="Arial"/>
          <w:sz w:val="22"/>
          <w:szCs w:val="22"/>
        </w:rPr>
        <w:t>naročanja</w:t>
      </w:r>
      <w:bookmarkEnd w:id="32"/>
      <w:r w:rsidR="00A95163" w:rsidRPr="0034545C">
        <w:rPr>
          <w:rFonts w:ascii="Arial" w:hAnsi="Arial" w:cs="Arial"/>
          <w:sz w:val="22"/>
          <w:szCs w:val="22"/>
        </w:rPr>
        <w:t xml:space="preserve"> </w:t>
      </w:r>
    </w:p>
    <w:p w14:paraId="4FA14F84" w14:textId="540FE723" w:rsidR="00FF5F34" w:rsidRPr="0034545C" w:rsidRDefault="00FF5F34" w:rsidP="00854405">
      <w:pPr>
        <w:pStyle w:val="ZADEVA"/>
        <w:jc w:val="both"/>
        <w:rPr>
          <w:rFonts w:cs="Arial"/>
          <w:b w:val="0"/>
          <w:szCs w:val="20"/>
          <w:lang w:val="sl-SI"/>
        </w:rPr>
      </w:pPr>
    </w:p>
    <w:p w14:paraId="3D4572A1" w14:textId="69222B02" w:rsidR="00A95163" w:rsidRPr="0034545C" w:rsidRDefault="00362BA2" w:rsidP="00A95163">
      <w:pPr>
        <w:spacing w:line="360" w:lineRule="auto"/>
        <w:jc w:val="both"/>
        <w:rPr>
          <w:rFonts w:ascii="Arial" w:hAnsi="Arial" w:cs="Arial"/>
          <w:sz w:val="20"/>
          <w:szCs w:val="20"/>
        </w:rPr>
      </w:pPr>
      <w:r w:rsidRPr="0034545C">
        <w:rPr>
          <w:rFonts w:ascii="Arial" w:hAnsi="Arial" w:cs="Arial"/>
          <w:sz w:val="20"/>
          <w:szCs w:val="20"/>
        </w:rPr>
        <w:t xml:space="preserve">Od </w:t>
      </w:r>
      <w:r w:rsidR="00A95163" w:rsidRPr="0034545C">
        <w:rPr>
          <w:rFonts w:ascii="Arial" w:hAnsi="Arial" w:cs="Arial"/>
          <w:sz w:val="20"/>
          <w:szCs w:val="20"/>
        </w:rPr>
        <w:t>naročil, ki jih je treba glede na vrednost objaviti vsaj na portal</w:t>
      </w:r>
      <w:r w:rsidR="00043238" w:rsidRPr="0034545C">
        <w:rPr>
          <w:rFonts w:ascii="Arial" w:hAnsi="Arial" w:cs="Arial"/>
          <w:sz w:val="20"/>
          <w:szCs w:val="20"/>
        </w:rPr>
        <w:t>u javnih naročil, so let</w:t>
      </w:r>
      <w:r w:rsidR="008E09B2" w:rsidRPr="0034545C">
        <w:rPr>
          <w:rFonts w:ascii="Arial" w:hAnsi="Arial" w:cs="Arial"/>
          <w:sz w:val="20"/>
          <w:szCs w:val="20"/>
        </w:rPr>
        <w:t>a</w:t>
      </w:r>
      <w:r w:rsidR="00043238" w:rsidRPr="0034545C">
        <w:rPr>
          <w:rFonts w:ascii="Arial" w:hAnsi="Arial" w:cs="Arial"/>
          <w:sz w:val="20"/>
          <w:szCs w:val="20"/>
        </w:rPr>
        <w:t xml:space="preserve"> 20</w:t>
      </w:r>
      <w:r w:rsidR="00187489" w:rsidRPr="0034545C">
        <w:rPr>
          <w:rFonts w:ascii="Arial" w:hAnsi="Arial" w:cs="Arial"/>
          <w:sz w:val="20"/>
          <w:szCs w:val="20"/>
        </w:rPr>
        <w:t>2</w:t>
      </w:r>
      <w:r w:rsidR="00473150">
        <w:rPr>
          <w:rFonts w:ascii="Arial" w:hAnsi="Arial" w:cs="Arial"/>
          <w:sz w:val="20"/>
          <w:szCs w:val="20"/>
        </w:rPr>
        <w:t>2</w:t>
      </w:r>
      <w:r w:rsidR="00A95163" w:rsidRPr="0034545C">
        <w:rPr>
          <w:rFonts w:ascii="Arial" w:hAnsi="Arial" w:cs="Arial"/>
          <w:sz w:val="20"/>
          <w:szCs w:val="20"/>
        </w:rPr>
        <w:t xml:space="preserve"> naročniki najpogosteje naročali blago, in sicer v </w:t>
      </w:r>
      <w:r w:rsidR="00043238" w:rsidRPr="0034545C">
        <w:rPr>
          <w:rFonts w:ascii="Arial" w:hAnsi="Arial" w:cs="Arial"/>
          <w:sz w:val="20"/>
          <w:szCs w:val="20"/>
        </w:rPr>
        <w:t>1</w:t>
      </w:r>
      <w:r w:rsidR="000C412C" w:rsidRPr="0034545C">
        <w:rPr>
          <w:rFonts w:ascii="Arial" w:hAnsi="Arial" w:cs="Arial"/>
          <w:sz w:val="20"/>
          <w:szCs w:val="20"/>
        </w:rPr>
        <w:t>1.</w:t>
      </w:r>
      <w:r w:rsidR="00EE4480" w:rsidRPr="0034545C">
        <w:rPr>
          <w:rFonts w:ascii="Arial" w:hAnsi="Arial" w:cs="Arial"/>
          <w:sz w:val="20"/>
          <w:szCs w:val="20"/>
        </w:rPr>
        <w:t>4</w:t>
      </w:r>
      <w:r w:rsidR="0034545C" w:rsidRPr="0034545C">
        <w:rPr>
          <w:rFonts w:ascii="Arial" w:hAnsi="Arial" w:cs="Arial"/>
          <w:sz w:val="20"/>
          <w:szCs w:val="20"/>
        </w:rPr>
        <w:t>57</w:t>
      </w:r>
      <w:r w:rsidR="00A95163" w:rsidRPr="0034545C">
        <w:rPr>
          <w:rFonts w:ascii="Arial" w:hAnsi="Arial" w:cs="Arial"/>
          <w:sz w:val="20"/>
          <w:szCs w:val="20"/>
        </w:rPr>
        <w:t xml:space="preserve"> primerih oziroma </w:t>
      </w:r>
      <w:r w:rsidR="000C412C" w:rsidRPr="0034545C">
        <w:rPr>
          <w:rFonts w:ascii="Arial" w:hAnsi="Arial" w:cs="Arial"/>
          <w:sz w:val="20"/>
          <w:szCs w:val="20"/>
        </w:rPr>
        <w:t>6</w:t>
      </w:r>
      <w:r w:rsidR="0034545C" w:rsidRPr="0034545C">
        <w:rPr>
          <w:rFonts w:ascii="Arial" w:hAnsi="Arial" w:cs="Arial"/>
          <w:sz w:val="20"/>
          <w:szCs w:val="20"/>
        </w:rPr>
        <w:t>6,52</w:t>
      </w:r>
      <w:r w:rsidR="00A95163" w:rsidRPr="0034545C">
        <w:rPr>
          <w:rFonts w:ascii="Arial" w:hAnsi="Arial" w:cs="Arial"/>
          <w:sz w:val="20"/>
          <w:szCs w:val="20"/>
        </w:rPr>
        <w:t> </w:t>
      </w:r>
      <w:r w:rsidR="00AC0027">
        <w:rPr>
          <w:rFonts w:ascii="Arial" w:hAnsi="Arial" w:cs="Arial"/>
          <w:sz w:val="20"/>
          <w:szCs w:val="20"/>
        </w:rPr>
        <w:t>odstotka</w:t>
      </w:r>
      <w:r w:rsidR="00A95163" w:rsidRPr="0034545C">
        <w:rPr>
          <w:rFonts w:ascii="Arial" w:hAnsi="Arial" w:cs="Arial"/>
          <w:sz w:val="20"/>
          <w:szCs w:val="20"/>
        </w:rPr>
        <w:t xml:space="preserve">. Delež naročil storitev je obsegal </w:t>
      </w:r>
      <w:r w:rsidR="000C412C" w:rsidRPr="0034545C">
        <w:rPr>
          <w:rFonts w:ascii="Arial" w:hAnsi="Arial" w:cs="Arial"/>
          <w:sz w:val="20"/>
          <w:szCs w:val="20"/>
        </w:rPr>
        <w:t>2</w:t>
      </w:r>
      <w:r w:rsidR="0034545C" w:rsidRPr="0034545C">
        <w:rPr>
          <w:rFonts w:ascii="Arial" w:hAnsi="Arial" w:cs="Arial"/>
          <w:sz w:val="20"/>
          <w:szCs w:val="20"/>
        </w:rPr>
        <w:t>3,29</w:t>
      </w:r>
      <w:r w:rsidRPr="0034545C">
        <w:rPr>
          <w:rFonts w:ascii="Arial" w:hAnsi="Arial" w:cs="Arial"/>
          <w:sz w:val="20"/>
          <w:szCs w:val="20"/>
        </w:rPr>
        <w:t> </w:t>
      </w:r>
      <w:r w:rsidR="00AC0027">
        <w:rPr>
          <w:rFonts w:ascii="Arial" w:hAnsi="Arial" w:cs="Arial"/>
          <w:sz w:val="20"/>
          <w:szCs w:val="20"/>
        </w:rPr>
        <w:t>odstotka</w:t>
      </w:r>
      <w:r w:rsidR="00A95163" w:rsidRPr="0034545C">
        <w:rPr>
          <w:rFonts w:ascii="Arial" w:hAnsi="Arial" w:cs="Arial"/>
          <w:sz w:val="20"/>
          <w:szCs w:val="20"/>
        </w:rPr>
        <w:t xml:space="preserve"> vseh naročil, preostanek so bila naročila gradenj. </w:t>
      </w:r>
      <w:r w:rsidR="00E10E6C">
        <w:rPr>
          <w:rFonts w:ascii="Arial" w:hAnsi="Arial" w:cs="Arial"/>
          <w:sz w:val="20"/>
          <w:szCs w:val="20"/>
        </w:rPr>
        <w:t>Po</w:t>
      </w:r>
      <w:r w:rsidR="00A95163" w:rsidRPr="0034545C">
        <w:rPr>
          <w:rFonts w:ascii="Arial" w:hAnsi="Arial" w:cs="Arial"/>
          <w:sz w:val="20"/>
          <w:szCs w:val="20"/>
        </w:rPr>
        <w:t xml:space="preserve"> vrednost</w:t>
      </w:r>
      <w:r w:rsidR="00E10E6C">
        <w:rPr>
          <w:rFonts w:ascii="Arial" w:hAnsi="Arial" w:cs="Arial"/>
          <w:sz w:val="20"/>
          <w:szCs w:val="20"/>
        </w:rPr>
        <w:t>i</w:t>
      </w:r>
      <w:r w:rsidR="00A95163" w:rsidRPr="0034545C">
        <w:rPr>
          <w:rFonts w:ascii="Arial" w:hAnsi="Arial" w:cs="Arial"/>
          <w:sz w:val="20"/>
          <w:szCs w:val="20"/>
        </w:rPr>
        <w:t xml:space="preserve"> naročil so na prvem mestu naročila </w:t>
      </w:r>
      <w:r w:rsidR="00EE4480" w:rsidRPr="0034545C">
        <w:rPr>
          <w:rFonts w:ascii="Arial" w:hAnsi="Arial" w:cs="Arial"/>
          <w:sz w:val="20"/>
          <w:szCs w:val="20"/>
        </w:rPr>
        <w:t>gradenj</w:t>
      </w:r>
      <w:r w:rsidR="00A95163" w:rsidRPr="0034545C">
        <w:rPr>
          <w:rFonts w:ascii="Arial" w:hAnsi="Arial" w:cs="Arial"/>
          <w:sz w:val="20"/>
          <w:szCs w:val="20"/>
        </w:rPr>
        <w:t xml:space="preserve">, ki z vrednostjo </w:t>
      </w:r>
      <w:r w:rsidR="0034545C" w:rsidRPr="0034545C">
        <w:rPr>
          <w:rFonts w:ascii="Arial" w:hAnsi="Arial" w:cs="Arial"/>
          <w:color w:val="000000" w:themeColor="text1"/>
          <w:sz w:val="20"/>
          <w:szCs w:val="20"/>
        </w:rPr>
        <w:t xml:space="preserve">1.861.567.195 </w:t>
      </w:r>
      <w:r w:rsidR="00A95163" w:rsidRPr="0034545C">
        <w:rPr>
          <w:rFonts w:ascii="Arial" w:hAnsi="Arial" w:cs="Arial"/>
          <w:sz w:val="20"/>
          <w:szCs w:val="20"/>
        </w:rPr>
        <w:t xml:space="preserve">evrov pomenijo </w:t>
      </w:r>
      <w:r w:rsidR="0034545C" w:rsidRPr="0034545C">
        <w:rPr>
          <w:rFonts w:ascii="Arial" w:hAnsi="Arial" w:cs="Arial"/>
          <w:sz w:val="20"/>
          <w:szCs w:val="20"/>
        </w:rPr>
        <w:t>34,36</w:t>
      </w:r>
      <w:r w:rsidRPr="0034545C">
        <w:rPr>
          <w:rFonts w:ascii="Arial" w:hAnsi="Arial" w:cs="Arial"/>
          <w:sz w:val="20"/>
          <w:szCs w:val="20"/>
        </w:rPr>
        <w:t> </w:t>
      </w:r>
      <w:r w:rsidR="00AC0027">
        <w:rPr>
          <w:rFonts w:ascii="Arial" w:hAnsi="Arial" w:cs="Arial"/>
          <w:sz w:val="20"/>
          <w:szCs w:val="20"/>
        </w:rPr>
        <w:t>odstotka</w:t>
      </w:r>
      <w:r w:rsidR="00A95163" w:rsidRPr="0034545C">
        <w:rPr>
          <w:rFonts w:ascii="Arial" w:hAnsi="Arial" w:cs="Arial"/>
          <w:sz w:val="20"/>
          <w:szCs w:val="20"/>
        </w:rPr>
        <w:t xml:space="preserve"> vrednosti vseh naročil, </w:t>
      </w:r>
      <w:r w:rsidR="00206D8E" w:rsidRPr="0034545C">
        <w:rPr>
          <w:rFonts w:ascii="Arial" w:hAnsi="Arial" w:cs="Arial"/>
          <w:sz w:val="20"/>
          <w:szCs w:val="20"/>
        </w:rPr>
        <w:t xml:space="preserve">naročil </w:t>
      </w:r>
      <w:r w:rsidR="00EE4480" w:rsidRPr="0034545C">
        <w:rPr>
          <w:rFonts w:ascii="Arial" w:hAnsi="Arial" w:cs="Arial"/>
          <w:sz w:val="20"/>
          <w:szCs w:val="20"/>
        </w:rPr>
        <w:t>blaga</w:t>
      </w:r>
      <w:r w:rsidR="00206D8E" w:rsidRPr="0034545C">
        <w:rPr>
          <w:rFonts w:ascii="Arial" w:hAnsi="Arial" w:cs="Arial"/>
          <w:sz w:val="20"/>
          <w:szCs w:val="20"/>
        </w:rPr>
        <w:t xml:space="preserve"> je bilo za </w:t>
      </w:r>
      <w:r w:rsidR="0034545C" w:rsidRPr="0034545C">
        <w:rPr>
          <w:rFonts w:ascii="Arial" w:hAnsi="Arial" w:cs="Arial"/>
          <w:color w:val="000000" w:themeColor="text1"/>
          <w:sz w:val="20"/>
          <w:szCs w:val="20"/>
        </w:rPr>
        <w:t xml:space="preserve">1.810.773.018 </w:t>
      </w:r>
      <w:r w:rsidR="00043238" w:rsidRPr="0034545C">
        <w:rPr>
          <w:rFonts w:ascii="Arial" w:hAnsi="Arial" w:cs="Arial"/>
          <w:sz w:val="20"/>
          <w:szCs w:val="20"/>
        </w:rPr>
        <w:t xml:space="preserve">evrov, kar je </w:t>
      </w:r>
      <w:r w:rsidR="0034545C" w:rsidRPr="0034545C">
        <w:rPr>
          <w:rFonts w:ascii="Arial" w:hAnsi="Arial" w:cs="Arial"/>
          <w:sz w:val="20"/>
          <w:szCs w:val="20"/>
        </w:rPr>
        <w:t>33,43</w:t>
      </w:r>
      <w:r w:rsidRPr="0034545C">
        <w:rPr>
          <w:rFonts w:ascii="Arial" w:hAnsi="Arial" w:cs="Arial"/>
          <w:sz w:val="20"/>
          <w:szCs w:val="20"/>
        </w:rPr>
        <w:t> </w:t>
      </w:r>
      <w:r w:rsidR="00AC0027">
        <w:rPr>
          <w:rFonts w:ascii="Arial" w:hAnsi="Arial" w:cs="Arial"/>
          <w:sz w:val="20"/>
          <w:szCs w:val="20"/>
        </w:rPr>
        <w:t>odstotka</w:t>
      </w:r>
      <w:r w:rsidR="00206D8E" w:rsidRPr="0034545C">
        <w:rPr>
          <w:rFonts w:ascii="Arial" w:hAnsi="Arial" w:cs="Arial"/>
          <w:sz w:val="20"/>
          <w:szCs w:val="20"/>
        </w:rPr>
        <w:t xml:space="preserve"> vrednosti vseh naročil, preost</w:t>
      </w:r>
      <w:r w:rsidR="007E0D0D" w:rsidRPr="0034545C">
        <w:rPr>
          <w:rFonts w:ascii="Arial" w:hAnsi="Arial" w:cs="Arial"/>
          <w:sz w:val="20"/>
          <w:szCs w:val="20"/>
        </w:rPr>
        <w:t xml:space="preserve">anek pa so bila naročila </w:t>
      </w:r>
      <w:r w:rsidR="004F0F58" w:rsidRPr="0034545C">
        <w:rPr>
          <w:rFonts w:ascii="Arial" w:hAnsi="Arial" w:cs="Arial"/>
          <w:sz w:val="20"/>
          <w:szCs w:val="20"/>
        </w:rPr>
        <w:t>storitev</w:t>
      </w:r>
      <w:r w:rsidR="00A95163" w:rsidRPr="0034545C">
        <w:rPr>
          <w:rFonts w:ascii="Arial" w:hAnsi="Arial" w:cs="Arial"/>
          <w:sz w:val="20"/>
          <w:szCs w:val="20"/>
        </w:rPr>
        <w:t>.</w:t>
      </w:r>
    </w:p>
    <w:p w14:paraId="429AC417" w14:textId="462046AE" w:rsidR="005A7AC7" w:rsidRPr="0034545C" w:rsidRDefault="009E5786" w:rsidP="008A61FD">
      <w:pPr>
        <w:spacing w:before="120" w:after="120" w:line="240" w:lineRule="auto"/>
        <w:jc w:val="both"/>
        <w:rPr>
          <w:rFonts w:ascii="Arial" w:hAnsi="Arial" w:cs="Arial"/>
          <w:sz w:val="20"/>
        </w:rPr>
      </w:pPr>
      <w:r w:rsidRPr="0034545C">
        <w:rPr>
          <w:rFonts w:ascii="Arial" w:hAnsi="Arial" w:cs="Arial"/>
          <w:sz w:val="20"/>
        </w:rPr>
        <w:t>P</w:t>
      </w:r>
      <w:r w:rsidR="005A7AC7" w:rsidRPr="0034545C">
        <w:rPr>
          <w:rFonts w:ascii="Arial" w:hAnsi="Arial" w:cs="Arial"/>
          <w:sz w:val="20"/>
        </w:rPr>
        <w:t xml:space="preserve">reglednica </w:t>
      </w:r>
      <w:r w:rsidR="00512F52" w:rsidRPr="0034545C">
        <w:rPr>
          <w:rFonts w:ascii="Arial" w:hAnsi="Arial" w:cs="Arial"/>
          <w:sz w:val="20"/>
        </w:rPr>
        <w:t>23</w:t>
      </w:r>
      <w:r w:rsidR="005A7AC7" w:rsidRPr="0034545C">
        <w:rPr>
          <w:rFonts w:ascii="Arial" w:hAnsi="Arial" w:cs="Arial"/>
          <w:sz w:val="20"/>
        </w:rPr>
        <w:t xml:space="preserve">: </w:t>
      </w:r>
      <w:r w:rsidR="00206D8E" w:rsidRPr="0034545C">
        <w:rPr>
          <w:rFonts w:ascii="Arial" w:hAnsi="Arial" w:cs="Arial"/>
          <w:sz w:val="20"/>
        </w:rPr>
        <w:t>Vrednost, število in deleži javnih naročil, objavljenih na portalu javnih naročil oziroma</w:t>
      </w:r>
      <w:r w:rsidR="00680D9B" w:rsidRPr="0034545C">
        <w:rPr>
          <w:rFonts w:ascii="Arial" w:hAnsi="Arial" w:cs="Arial"/>
          <w:sz w:val="20"/>
        </w:rPr>
        <w:t xml:space="preserve"> v</w:t>
      </w:r>
      <w:r w:rsidR="00206D8E" w:rsidRPr="0034545C">
        <w:rPr>
          <w:rFonts w:ascii="Arial" w:hAnsi="Arial" w:cs="Arial"/>
          <w:sz w:val="20"/>
        </w:rPr>
        <w:t xml:space="preserve"> Uradnem listu Evropske unije, po predmetu naročanja</w:t>
      </w:r>
    </w:p>
    <w:tbl>
      <w:tblPr>
        <w:tblW w:w="5852" w:type="dxa"/>
        <w:jc w:val="center"/>
        <w:tblCellMar>
          <w:left w:w="70" w:type="dxa"/>
          <w:right w:w="70" w:type="dxa"/>
        </w:tblCellMar>
        <w:tblLook w:val="04A0" w:firstRow="1" w:lastRow="0" w:firstColumn="1" w:lastColumn="0" w:noHBand="0" w:noVBand="1"/>
      </w:tblPr>
      <w:tblGrid>
        <w:gridCol w:w="1093"/>
        <w:gridCol w:w="1093"/>
        <w:gridCol w:w="1480"/>
        <w:gridCol w:w="1093"/>
        <w:gridCol w:w="1093"/>
      </w:tblGrid>
      <w:tr w:rsidR="00187489" w:rsidRPr="0034545C" w14:paraId="1A73345C" w14:textId="77777777" w:rsidTr="00CD447F">
        <w:trPr>
          <w:trHeight w:val="255"/>
          <w:jc w:val="center"/>
        </w:trPr>
        <w:tc>
          <w:tcPr>
            <w:tcW w:w="10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1EB909" w14:textId="77777777" w:rsidR="00187489" w:rsidRPr="0034545C" w:rsidRDefault="00187489" w:rsidP="00187489">
            <w:pPr>
              <w:spacing w:after="0" w:line="240" w:lineRule="auto"/>
              <w:jc w:val="center"/>
              <w:rPr>
                <w:rFonts w:ascii="Arial" w:eastAsia="Times New Roman" w:hAnsi="Arial" w:cs="Arial"/>
                <w:color w:val="000000"/>
                <w:sz w:val="18"/>
                <w:szCs w:val="18"/>
                <w:lang w:eastAsia="sl-SI"/>
              </w:rPr>
            </w:pPr>
            <w:r w:rsidRPr="0034545C">
              <w:rPr>
                <w:rFonts w:ascii="Arial" w:eastAsia="Times New Roman" w:hAnsi="Arial" w:cs="Arial"/>
                <w:color w:val="000000"/>
                <w:sz w:val="18"/>
                <w:szCs w:val="18"/>
                <w:lang w:eastAsia="sl-SI"/>
              </w:rPr>
              <w:t xml:space="preserve">Predmet </w:t>
            </w:r>
          </w:p>
        </w:tc>
        <w:tc>
          <w:tcPr>
            <w:tcW w:w="109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DAD65DD" w14:textId="77777777" w:rsidR="00187489" w:rsidRPr="0034545C" w:rsidRDefault="00187489" w:rsidP="00187489">
            <w:pPr>
              <w:spacing w:after="0" w:line="240" w:lineRule="auto"/>
              <w:jc w:val="center"/>
              <w:rPr>
                <w:rFonts w:ascii="Arial" w:eastAsia="Times New Roman" w:hAnsi="Arial" w:cs="Arial"/>
                <w:color w:val="000000"/>
                <w:sz w:val="18"/>
                <w:szCs w:val="18"/>
                <w:lang w:eastAsia="sl-SI"/>
              </w:rPr>
            </w:pPr>
            <w:r w:rsidRPr="0034545C">
              <w:rPr>
                <w:rFonts w:ascii="Arial" w:eastAsia="Times New Roman" w:hAnsi="Arial" w:cs="Arial"/>
                <w:color w:val="000000"/>
                <w:sz w:val="18"/>
                <w:szCs w:val="18"/>
                <w:lang w:eastAsia="sl-SI"/>
              </w:rPr>
              <w:t>Št. naročil</w:t>
            </w:r>
          </w:p>
        </w:tc>
        <w:tc>
          <w:tcPr>
            <w:tcW w:w="148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0298FB9" w14:textId="77777777" w:rsidR="00187489" w:rsidRPr="0034545C" w:rsidRDefault="00187489" w:rsidP="00187489">
            <w:pPr>
              <w:spacing w:after="0" w:line="240" w:lineRule="auto"/>
              <w:jc w:val="center"/>
              <w:rPr>
                <w:rFonts w:ascii="Arial" w:eastAsia="Times New Roman" w:hAnsi="Arial" w:cs="Arial"/>
                <w:color w:val="000000"/>
                <w:sz w:val="18"/>
                <w:szCs w:val="18"/>
                <w:lang w:eastAsia="sl-SI"/>
              </w:rPr>
            </w:pPr>
            <w:r w:rsidRPr="0034545C">
              <w:rPr>
                <w:rFonts w:ascii="Arial" w:eastAsia="Times New Roman" w:hAnsi="Arial" w:cs="Arial"/>
                <w:color w:val="000000"/>
                <w:sz w:val="18"/>
                <w:szCs w:val="18"/>
                <w:lang w:eastAsia="sl-SI"/>
              </w:rPr>
              <w:t>Pogodbena vrednost</w:t>
            </w:r>
          </w:p>
        </w:tc>
        <w:tc>
          <w:tcPr>
            <w:tcW w:w="109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57B8E24" w14:textId="77777777" w:rsidR="00187489" w:rsidRPr="0034545C" w:rsidRDefault="00187489" w:rsidP="00187489">
            <w:pPr>
              <w:spacing w:after="0" w:line="240" w:lineRule="auto"/>
              <w:jc w:val="center"/>
              <w:rPr>
                <w:rFonts w:ascii="Arial" w:eastAsia="Times New Roman" w:hAnsi="Arial" w:cs="Arial"/>
                <w:color w:val="000000"/>
                <w:sz w:val="18"/>
                <w:szCs w:val="18"/>
                <w:lang w:eastAsia="sl-SI"/>
              </w:rPr>
            </w:pPr>
            <w:r w:rsidRPr="0034545C">
              <w:rPr>
                <w:rFonts w:ascii="Arial" w:eastAsia="Times New Roman" w:hAnsi="Arial" w:cs="Arial"/>
                <w:color w:val="000000"/>
                <w:sz w:val="18"/>
                <w:szCs w:val="18"/>
                <w:lang w:eastAsia="sl-SI"/>
              </w:rPr>
              <w:t>Delež v št. naročil</w:t>
            </w:r>
          </w:p>
        </w:tc>
        <w:tc>
          <w:tcPr>
            <w:tcW w:w="109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008BE23" w14:textId="77777777" w:rsidR="00187489" w:rsidRPr="0034545C" w:rsidRDefault="00187489" w:rsidP="00187489">
            <w:pPr>
              <w:spacing w:after="0" w:line="240" w:lineRule="auto"/>
              <w:jc w:val="center"/>
              <w:rPr>
                <w:rFonts w:ascii="Arial" w:eastAsia="Times New Roman" w:hAnsi="Arial" w:cs="Arial"/>
                <w:color w:val="000000"/>
                <w:sz w:val="18"/>
                <w:szCs w:val="18"/>
                <w:lang w:eastAsia="sl-SI"/>
              </w:rPr>
            </w:pPr>
            <w:r w:rsidRPr="0034545C">
              <w:rPr>
                <w:rFonts w:ascii="Arial" w:eastAsia="Times New Roman" w:hAnsi="Arial" w:cs="Arial"/>
                <w:color w:val="000000"/>
                <w:sz w:val="18"/>
                <w:szCs w:val="18"/>
                <w:lang w:eastAsia="sl-SI"/>
              </w:rPr>
              <w:t>Delež v vrednosti</w:t>
            </w:r>
          </w:p>
        </w:tc>
      </w:tr>
      <w:tr w:rsidR="0034545C" w:rsidRPr="0034545C" w14:paraId="4B0D56E0" w14:textId="77777777" w:rsidTr="0034545C">
        <w:trPr>
          <w:trHeight w:val="255"/>
          <w:jc w:val="center"/>
        </w:trPr>
        <w:tc>
          <w:tcPr>
            <w:tcW w:w="1093" w:type="dxa"/>
            <w:tcBorders>
              <w:top w:val="nil"/>
              <w:left w:val="single" w:sz="4" w:space="0" w:color="auto"/>
              <w:bottom w:val="single" w:sz="4" w:space="0" w:color="auto"/>
              <w:right w:val="single" w:sz="4" w:space="0" w:color="auto"/>
            </w:tcBorders>
            <w:shd w:val="clear" w:color="auto" w:fill="auto"/>
            <w:vAlign w:val="center"/>
            <w:hideMark/>
          </w:tcPr>
          <w:p w14:paraId="50AC79C6" w14:textId="77777777" w:rsidR="0034545C" w:rsidRPr="0034545C" w:rsidRDefault="0034545C" w:rsidP="0034545C">
            <w:pPr>
              <w:spacing w:after="0" w:line="240" w:lineRule="auto"/>
              <w:rPr>
                <w:rFonts w:ascii="Arial" w:eastAsia="Times New Roman" w:hAnsi="Arial" w:cs="Arial"/>
                <w:color w:val="000000"/>
                <w:sz w:val="18"/>
                <w:szCs w:val="18"/>
                <w:lang w:eastAsia="sl-SI"/>
              </w:rPr>
            </w:pPr>
            <w:r w:rsidRPr="0034545C">
              <w:rPr>
                <w:rFonts w:ascii="Arial" w:eastAsia="Times New Roman" w:hAnsi="Arial" w:cs="Arial"/>
                <w:color w:val="000000"/>
                <w:sz w:val="18"/>
                <w:szCs w:val="18"/>
                <w:lang w:eastAsia="sl-SI"/>
              </w:rPr>
              <w:t>Blago</w:t>
            </w:r>
          </w:p>
        </w:tc>
        <w:tc>
          <w:tcPr>
            <w:tcW w:w="1093" w:type="dxa"/>
            <w:tcBorders>
              <w:top w:val="nil"/>
              <w:left w:val="nil"/>
              <w:bottom w:val="single" w:sz="4" w:space="0" w:color="auto"/>
              <w:right w:val="single" w:sz="4" w:space="0" w:color="auto"/>
            </w:tcBorders>
            <w:shd w:val="clear" w:color="auto" w:fill="auto"/>
            <w:vAlign w:val="center"/>
            <w:hideMark/>
          </w:tcPr>
          <w:p w14:paraId="03C87E4B" w14:textId="2DAC72A9" w:rsidR="0034545C" w:rsidRPr="0034545C" w:rsidRDefault="0034545C" w:rsidP="0034545C">
            <w:pPr>
              <w:spacing w:after="0" w:line="240" w:lineRule="auto"/>
              <w:jc w:val="right"/>
              <w:rPr>
                <w:rFonts w:ascii="Arial" w:eastAsia="Times New Roman" w:hAnsi="Arial" w:cs="Arial"/>
                <w:color w:val="000000"/>
                <w:sz w:val="18"/>
                <w:szCs w:val="18"/>
                <w:lang w:eastAsia="sl-SI"/>
              </w:rPr>
            </w:pPr>
            <w:r w:rsidRPr="0034545C">
              <w:rPr>
                <w:rFonts w:ascii="Arial" w:eastAsia="Times New Roman" w:hAnsi="Arial" w:cs="Arial"/>
                <w:color w:val="000000"/>
                <w:sz w:val="18"/>
                <w:szCs w:val="18"/>
                <w:lang w:eastAsia="sl-SI"/>
              </w:rPr>
              <w:t>11.457</w:t>
            </w:r>
          </w:p>
        </w:tc>
        <w:tc>
          <w:tcPr>
            <w:tcW w:w="1480" w:type="dxa"/>
            <w:tcBorders>
              <w:top w:val="nil"/>
              <w:left w:val="nil"/>
              <w:bottom w:val="single" w:sz="4" w:space="0" w:color="auto"/>
              <w:right w:val="single" w:sz="4" w:space="0" w:color="auto"/>
            </w:tcBorders>
            <w:shd w:val="clear" w:color="auto" w:fill="auto"/>
            <w:vAlign w:val="center"/>
            <w:hideMark/>
          </w:tcPr>
          <w:p w14:paraId="3DA1C329" w14:textId="5D206B3E" w:rsidR="0034545C" w:rsidRPr="0034545C" w:rsidRDefault="0034545C" w:rsidP="0034545C">
            <w:pPr>
              <w:spacing w:after="0" w:line="240" w:lineRule="auto"/>
              <w:jc w:val="right"/>
              <w:rPr>
                <w:rFonts w:ascii="Arial" w:eastAsia="Times New Roman" w:hAnsi="Arial" w:cs="Arial"/>
                <w:color w:val="000000"/>
                <w:sz w:val="18"/>
                <w:szCs w:val="18"/>
                <w:lang w:eastAsia="sl-SI"/>
              </w:rPr>
            </w:pPr>
            <w:r w:rsidRPr="0034545C">
              <w:rPr>
                <w:rFonts w:ascii="Arial" w:eastAsia="Times New Roman" w:hAnsi="Arial" w:cs="Arial"/>
                <w:color w:val="000000"/>
                <w:sz w:val="18"/>
                <w:szCs w:val="18"/>
                <w:lang w:eastAsia="sl-SI"/>
              </w:rPr>
              <w:t>1.810.773.018</w:t>
            </w:r>
          </w:p>
        </w:tc>
        <w:tc>
          <w:tcPr>
            <w:tcW w:w="1093" w:type="dxa"/>
            <w:tcBorders>
              <w:top w:val="nil"/>
              <w:left w:val="nil"/>
              <w:bottom w:val="single" w:sz="4" w:space="0" w:color="auto"/>
              <w:right w:val="single" w:sz="4" w:space="0" w:color="auto"/>
            </w:tcBorders>
            <w:shd w:val="clear" w:color="auto" w:fill="auto"/>
            <w:noWrap/>
            <w:vAlign w:val="center"/>
            <w:hideMark/>
          </w:tcPr>
          <w:p w14:paraId="01C8D36A" w14:textId="35F764E6" w:rsidR="0034545C" w:rsidRPr="0034545C" w:rsidRDefault="0034545C" w:rsidP="0034545C">
            <w:pPr>
              <w:spacing w:after="0" w:line="240" w:lineRule="auto"/>
              <w:jc w:val="right"/>
              <w:rPr>
                <w:rFonts w:ascii="Arial" w:eastAsia="Times New Roman" w:hAnsi="Arial" w:cs="Arial"/>
                <w:color w:val="000000"/>
                <w:sz w:val="18"/>
                <w:szCs w:val="18"/>
                <w:lang w:eastAsia="sl-SI"/>
              </w:rPr>
            </w:pPr>
            <w:r w:rsidRPr="0034545C">
              <w:rPr>
                <w:rFonts w:ascii="Arial" w:eastAsia="Times New Roman" w:hAnsi="Arial" w:cs="Arial"/>
                <w:color w:val="000000"/>
                <w:sz w:val="18"/>
                <w:szCs w:val="18"/>
                <w:lang w:eastAsia="sl-SI"/>
              </w:rPr>
              <w:t>66,52 %</w:t>
            </w:r>
          </w:p>
        </w:tc>
        <w:tc>
          <w:tcPr>
            <w:tcW w:w="1093" w:type="dxa"/>
            <w:tcBorders>
              <w:top w:val="nil"/>
              <w:left w:val="nil"/>
              <w:bottom w:val="single" w:sz="4" w:space="0" w:color="auto"/>
              <w:right w:val="single" w:sz="4" w:space="0" w:color="auto"/>
            </w:tcBorders>
            <w:shd w:val="clear" w:color="auto" w:fill="auto"/>
            <w:noWrap/>
            <w:vAlign w:val="center"/>
            <w:hideMark/>
          </w:tcPr>
          <w:p w14:paraId="106342FB" w14:textId="7C2519FF" w:rsidR="0034545C" w:rsidRPr="0034545C" w:rsidRDefault="0034545C" w:rsidP="0034545C">
            <w:pPr>
              <w:spacing w:after="0" w:line="240" w:lineRule="auto"/>
              <w:jc w:val="right"/>
              <w:rPr>
                <w:rFonts w:ascii="Arial" w:eastAsia="Times New Roman" w:hAnsi="Arial" w:cs="Arial"/>
                <w:color w:val="000000"/>
                <w:sz w:val="18"/>
                <w:szCs w:val="18"/>
                <w:lang w:eastAsia="sl-SI"/>
              </w:rPr>
            </w:pPr>
            <w:r w:rsidRPr="0034545C">
              <w:rPr>
                <w:rFonts w:ascii="Arial" w:eastAsia="Times New Roman" w:hAnsi="Arial" w:cs="Arial"/>
                <w:color w:val="000000"/>
                <w:sz w:val="18"/>
                <w:szCs w:val="18"/>
                <w:lang w:eastAsia="sl-SI"/>
              </w:rPr>
              <w:t>33,43 %</w:t>
            </w:r>
          </w:p>
        </w:tc>
      </w:tr>
      <w:tr w:rsidR="0034545C" w:rsidRPr="0034545C" w14:paraId="73711825" w14:textId="77777777" w:rsidTr="0034545C">
        <w:trPr>
          <w:trHeight w:val="255"/>
          <w:jc w:val="center"/>
        </w:trPr>
        <w:tc>
          <w:tcPr>
            <w:tcW w:w="1093" w:type="dxa"/>
            <w:tcBorders>
              <w:top w:val="nil"/>
              <w:left w:val="single" w:sz="4" w:space="0" w:color="auto"/>
              <w:bottom w:val="single" w:sz="4" w:space="0" w:color="auto"/>
              <w:right w:val="single" w:sz="4" w:space="0" w:color="auto"/>
            </w:tcBorders>
            <w:shd w:val="clear" w:color="auto" w:fill="auto"/>
            <w:vAlign w:val="center"/>
            <w:hideMark/>
          </w:tcPr>
          <w:p w14:paraId="59CAA8FD" w14:textId="77777777" w:rsidR="0034545C" w:rsidRPr="0034545C" w:rsidRDefault="0034545C" w:rsidP="0034545C">
            <w:pPr>
              <w:spacing w:after="0" w:line="240" w:lineRule="auto"/>
              <w:rPr>
                <w:rFonts w:ascii="Arial" w:eastAsia="Times New Roman" w:hAnsi="Arial" w:cs="Arial"/>
                <w:color w:val="000000"/>
                <w:sz w:val="18"/>
                <w:szCs w:val="18"/>
                <w:lang w:eastAsia="sl-SI"/>
              </w:rPr>
            </w:pPr>
            <w:r w:rsidRPr="0034545C">
              <w:rPr>
                <w:rFonts w:ascii="Arial" w:eastAsia="Times New Roman" w:hAnsi="Arial" w:cs="Arial"/>
                <w:color w:val="000000"/>
                <w:sz w:val="18"/>
                <w:szCs w:val="18"/>
                <w:lang w:eastAsia="sl-SI"/>
              </w:rPr>
              <w:t>Storitve</w:t>
            </w:r>
          </w:p>
        </w:tc>
        <w:tc>
          <w:tcPr>
            <w:tcW w:w="1093" w:type="dxa"/>
            <w:tcBorders>
              <w:top w:val="nil"/>
              <w:left w:val="nil"/>
              <w:bottom w:val="single" w:sz="4" w:space="0" w:color="auto"/>
              <w:right w:val="single" w:sz="4" w:space="0" w:color="auto"/>
            </w:tcBorders>
            <w:shd w:val="clear" w:color="auto" w:fill="auto"/>
            <w:vAlign w:val="center"/>
            <w:hideMark/>
          </w:tcPr>
          <w:p w14:paraId="4EC1D50A" w14:textId="2F4D0BCA" w:rsidR="0034545C" w:rsidRPr="0034545C" w:rsidRDefault="0034545C" w:rsidP="0034545C">
            <w:pPr>
              <w:spacing w:after="0" w:line="240" w:lineRule="auto"/>
              <w:jc w:val="right"/>
              <w:rPr>
                <w:rFonts w:ascii="Arial" w:eastAsia="Times New Roman" w:hAnsi="Arial" w:cs="Arial"/>
                <w:color w:val="000000"/>
                <w:sz w:val="18"/>
                <w:szCs w:val="18"/>
                <w:lang w:eastAsia="sl-SI"/>
              </w:rPr>
            </w:pPr>
            <w:r w:rsidRPr="0034545C">
              <w:rPr>
                <w:rFonts w:ascii="Arial" w:eastAsia="Times New Roman" w:hAnsi="Arial" w:cs="Arial"/>
                <w:color w:val="000000"/>
                <w:sz w:val="18"/>
                <w:szCs w:val="18"/>
                <w:lang w:eastAsia="sl-SI"/>
              </w:rPr>
              <w:t>4.012</w:t>
            </w:r>
          </w:p>
        </w:tc>
        <w:tc>
          <w:tcPr>
            <w:tcW w:w="1480" w:type="dxa"/>
            <w:tcBorders>
              <w:top w:val="nil"/>
              <w:left w:val="nil"/>
              <w:bottom w:val="single" w:sz="4" w:space="0" w:color="auto"/>
              <w:right w:val="single" w:sz="4" w:space="0" w:color="auto"/>
            </w:tcBorders>
            <w:shd w:val="clear" w:color="auto" w:fill="auto"/>
            <w:vAlign w:val="center"/>
            <w:hideMark/>
          </w:tcPr>
          <w:p w14:paraId="7D16C662" w14:textId="19FC021F" w:rsidR="0034545C" w:rsidRPr="0034545C" w:rsidRDefault="0034545C" w:rsidP="0034545C">
            <w:pPr>
              <w:spacing w:after="0" w:line="240" w:lineRule="auto"/>
              <w:jc w:val="right"/>
              <w:rPr>
                <w:rFonts w:ascii="Arial" w:eastAsia="Times New Roman" w:hAnsi="Arial" w:cs="Arial"/>
                <w:color w:val="000000"/>
                <w:sz w:val="18"/>
                <w:szCs w:val="18"/>
                <w:lang w:eastAsia="sl-SI"/>
              </w:rPr>
            </w:pPr>
            <w:r w:rsidRPr="0034545C">
              <w:rPr>
                <w:rFonts w:ascii="Arial" w:eastAsia="Times New Roman" w:hAnsi="Arial" w:cs="Arial"/>
                <w:color w:val="000000"/>
                <w:sz w:val="18"/>
                <w:szCs w:val="18"/>
                <w:lang w:eastAsia="sl-SI"/>
              </w:rPr>
              <w:t>1.744.765.689</w:t>
            </w:r>
          </w:p>
        </w:tc>
        <w:tc>
          <w:tcPr>
            <w:tcW w:w="1093" w:type="dxa"/>
            <w:tcBorders>
              <w:top w:val="nil"/>
              <w:left w:val="nil"/>
              <w:bottom w:val="single" w:sz="4" w:space="0" w:color="auto"/>
              <w:right w:val="single" w:sz="4" w:space="0" w:color="auto"/>
            </w:tcBorders>
            <w:shd w:val="clear" w:color="auto" w:fill="auto"/>
            <w:noWrap/>
            <w:vAlign w:val="center"/>
            <w:hideMark/>
          </w:tcPr>
          <w:p w14:paraId="6DC59110" w14:textId="6EE6A9A9" w:rsidR="0034545C" w:rsidRPr="0034545C" w:rsidRDefault="0034545C" w:rsidP="0034545C">
            <w:pPr>
              <w:spacing w:after="0" w:line="240" w:lineRule="auto"/>
              <w:jc w:val="right"/>
              <w:rPr>
                <w:rFonts w:ascii="Arial" w:eastAsia="Times New Roman" w:hAnsi="Arial" w:cs="Arial"/>
                <w:color w:val="000000"/>
                <w:sz w:val="18"/>
                <w:szCs w:val="18"/>
                <w:lang w:eastAsia="sl-SI"/>
              </w:rPr>
            </w:pPr>
            <w:r w:rsidRPr="0034545C">
              <w:rPr>
                <w:rFonts w:ascii="Arial" w:eastAsia="Times New Roman" w:hAnsi="Arial" w:cs="Arial"/>
                <w:color w:val="000000"/>
                <w:sz w:val="18"/>
                <w:szCs w:val="18"/>
                <w:lang w:eastAsia="sl-SI"/>
              </w:rPr>
              <w:t>23,29 %</w:t>
            </w:r>
          </w:p>
        </w:tc>
        <w:tc>
          <w:tcPr>
            <w:tcW w:w="1093" w:type="dxa"/>
            <w:tcBorders>
              <w:top w:val="nil"/>
              <w:left w:val="nil"/>
              <w:bottom w:val="single" w:sz="4" w:space="0" w:color="auto"/>
              <w:right w:val="single" w:sz="4" w:space="0" w:color="auto"/>
            </w:tcBorders>
            <w:shd w:val="clear" w:color="auto" w:fill="auto"/>
            <w:noWrap/>
            <w:vAlign w:val="center"/>
            <w:hideMark/>
          </w:tcPr>
          <w:p w14:paraId="4F5B0F91" w14:textId="36635714" w:rsidR="0034545C" w:rsidRPr="0034545C" w:rsidRDefault="0034545C" w:rsidP="0034545C">
            <w:pPr>
              <w:spacing w:after="0" w:line="240" w:lineRule="auto"/>
              <w:jc w:val="right"/>
              <w:rPr>
                <w:rFonts w:ascii="Arial" w:eastAsia="Times New Roman" w:hAnsi="Arial" w:cs="Arial"/>
                <w:color w:val="000000"/>
                <w:sz w:val="18"/>
                <w:szCs w:val="18"/>
                <w:lang w:eastAsia="sl-SI"/>
              </w:rPr>
            </w:pPr>
            <w:r w:rsidRPr="0034545C">
              <w:rPr>
                <w:rFonts w:ascii="Arial" w:eastAsia="Times New Roman" w:hAnsi="Arial" w:cs="Arial"/>
                <w:color w:val="000000"/>
                <w:sz w:val="18"/>
                <w:szCs w:val="18"/>
                <w:lang w:eastAsia="sl-SI"/>
              </w:rPr>
              <w:t>32,21 %</w:t>
            </w:r>
          </w:p>
        </w:tc>
      </w:tr>
      <w:tr w:rsidR="0034545C" w:rsidRPr="0034545C" w14:paraId="1B8AA66E" w14:textId="77777777" w:rsidTr="0034545C">
        <w:trPr>
          <w:trHeight w:val="255"/>
          <w:jc w:val="center"/>
        </w:trPr>
        <w:tc>
          <w:tcPr>
            <w:tcW w:w="1093" w:type="dxa"/>
            <w:tcBorders>
              <w:top w:val="nil"/>
              <w:left w:val="single" w:sz="4" w:space="0" w:color="auto"/>
              <w:bottom w:val="single" w:sz="4" w:space="0" w:color="auto"/>
              <w:right w:val="single" w:sz="4" w:space="0" w:color="auto"/>
            </w:tcBorders>
            <w:shd w:val="clear" w:color="auto" w:fill="auto"/>
            <w:vAlign w:val="center"/>
            <w:hideMark/>
          </w:tcPr>
          <w:p w14:paraId="54B847EA" w14:textId="77777777" w:rsidR="0034545C" w:rsidRPr="0034545C" w:rsidRDefault="0034545C" w:rsidP="0034545C">
            <w:pPr>
              <w:spacing w:after="0" w:line="240" w:lineRule="auto"/>
              <w:rPr>
                <w:rFonts w:ascii="Arial" w:eastAsia="Times New Roman" w:hAnsi="Arial" w:cs="Arial"/>
                <w:color w:val="000000"/>
                <w:sz w:val="18"/>
                <w:szCs w:val="18"/>
                <w:lang w:eastAsia="sl-SI"/>
              </w:rPr>
            </w:pPr>
            <w:r w:rsidRPr="0034545C">
              <w:rPr>
                <w:rFonts w:ascii="Arial" w:eastAsia="Times New Roman" w:hAnsi="Arial" w:cs="Arial"/>
                <w:color w:val="000000"/>
                <w:sz w:val="18"/>
                <w:szCs w:val="18"/>
                <w:lang w:eastAsia="sl-SI"/>
              </w:rPr>
              <w:t>Gradnje</w:t>
            </w:r>
          </w:p>
        </w:tc>
        <w:tc>
          <w:tcPr>
            <w:tcW w:w="1093" w:type="dxa"/>
            <w:tcBorders>
              <w:top w:val="nil"/>
              <w:left w:val="nil"/>
              <w:bottom w:val="single" w:sz="4" w:space="0" w:color="auto"/>
              <w:right w:val="single" w:sz="4" w:space="0" w:color="auto"/>
            </w:tcBorders>
            <w:shd w:val="clear" w:color="auto" w:fill="auto"/>
            <w:vAlign w:val="center"/>
            <w:hideMark/>
          </w:tcPr>
          <w:p w14:paraId="3CABBB3E" w14:textId="3F56A339" w:rsidR="0034545C" w:rsidRPr="0034545C" w:rsidRDefault="0034545C" w:rsidP="0034545C">
            <w:pPr>
              <w:spacing w:after="0" w:line="240" w:lineRule="auto"/>
              <w:jc w:val="right"/>
              <w:rPr>
                <w:rFonts w:ascii="Arial" w:eastAsia="Times New Roman" w:hAnsi="Arial" w:cs="Arial"/>
                <w:color w:val="000000"/>
                <w:sz w:val="18"/>
                <w:szCs w:val="18"/>
                <w:lang w:eastAsia="sl-SI"/>
              </w:rPr>
            </w:pPr>
            <w:r w:rsidRPr="0034545C">
              <w:rPr>
                <w:rFonts w:ascii="Arial" w:eastAsia="Times New Roman" w:hAnsi="Arial" w:cs="Arial"/>
                <w:color w:val="000000"/>
                <w:sz w:val="18"/>
                <w:szCs w:val="18"/>
                <w:lang w:eastAsia="sl-SI"/>
              </w:rPr>
              <w:t>1.755</w:t>
            </w:r>
          </w:p>
        </w:tc>
        <w:tc>
          <w:tcPr>
            <w:tcW w:w="1480" w:type="dxa"/>
            <w:tcBorders>
              <w:top w:val="nil"/>
              <w:left w:val="nil"/>
              <w:bottom w:val="single" w:sz="4" w:space="0" w:color="auto"/>
              <w:right w:val="single" w:sz="4" w:space="0" w:color="auto"/>
            </w:tcBorders>
            <w:shd w:val="clear" w:color="auto" w:fill="auto"/>
            <w:vAlign w:val="center"/>
            <w:hideMark/>
          </w:tcPr>
          <w:p w14:paraId="233B0E32" w14:textId="6F1BC482" w:rsidR="0034545C" w:rsidRPr="0034545C" w:rsidRDefault="0034545C" w:rsidP="0034545C">
            <w:pPr>
              <w:spacing w:after="0" w:line="240" w:lineRule="auto"/>
              <w:jc w:val="right"/>
              <w:rPr>
                <w:rFonts w:ascii="Arial" w:eastAsia="Times New Roman" w:hAnsi="Arial" w:cs="Arial"/>
                <w:color w:val="000000"/>
                <w:sz w:val="18"/>
                <w:szCs w:val="18"/>
                <w:lang w:eastAsia="sl-SI"/>
              </w:rPr>
            </w:pPr>
            <w:bookmarkStart w:id="33" w:name="_Hlk136506232"/>
            <w:r w:rsidRPr="0034545C">
              <w:rPr>
                <w:rFonts w:ascii="Arial" w:eastAsia="Times New Roman" w:hAnsi="Arial" w:cs="Arial"/>
                <w:color w:val="000000"/>
                <w:sz w:val="18"/>
                <w:szCs w:val="18"/>
                <w:lang w:eastAsia="sl-SI"/>
              </w:rPr>
              <w:t>1.861.567.195</w:t>
            </w:r>
            <w:bookmarkEnd w:id="33"/>
          </w:p>
        </w:tc>
        <w:tc>
          <w:tcPr>
            <w:tcW w:w="1093" w:type="dxa"/>
            <w:tcBorders>
              <w:top w:val="nil"/>
              <w:left w:val="nil"/>
              <w:bottom w:val="single" w:sz="4" w:space="0" w:color="auto"/>
              <w:right w:val="single" w:sz="4" w:space="0" w:color="auto"/>
            </w:tcBorders>
            <w:shd w:val="clear" w:color="auto" w:fill="auto"/>
            <w:noWrap/>
            <w:vAlign w:val="center"/>
            <w:hideMark/>
          </w:tcPr>
          <w:p w14:paraId="2B9C5162" w14:textId="2207BDFE" w:rsidR="0034545C" w:rsidRPr="0034545C" w:rsidRDefault="0034545C" w:rsidP="0034545C">
            <w:pPr>
              <w:spacing w:after="0" w:line="240" w:lineRule="auto"/>
              <w:jc w:val="right"/>
              <w:rPr>
                <w:rFonts w:ascii="Arial" w:eastAsia="Times New Roman" w:hAnsi="Arial" w:cs="Arial"/>
                <w:color w:val="000000"/>
                <w:sz w:val="18"/>
                <w:szCs w:val="18"/>
                <w:lang w:eastAsia="sl-SI"/>
              </w:rPr>
            </w:pPr>
            <w:r w:rsidRPr="0034545C">
              <w:rPr>
                <w:rFonts w:ascii="Arial" w:eastAsia="Times New Roman" w:hAnsi="Arial" w:cs="Arial"/>
                <w:color w:val="000000"/>
                <w:sz w:val="18"/>
                <w:szCs w:val="18"/>
                <w:lang w:eastAsia="sl-SI"/>
              </w:rPr>
              <w:t>10,19 %</w:t>
            </w:r>
          </w:p>
        </w:tc>
        <w:tc>
          <w:tcPr>
            <w:tcW w:w="1093" w:type="dxa"/>
            <w:tcBorders>
              <w:top w:val="nil"/>
              <w:left w:val="nil"/>
              <w:bottom w:val="single" w:sz="4" w:space="0" w:color="auto"/>
              <w:right w:val="single" w:sz="4" w:space="0" w:color="auto"/>
            </w:tcBorders>
            <w:shd w:val="clear" w:color="auto" w:fill="auto"/>
            <w:noWrap/>
            <w:vAlign w:val="center"/>
            <w:hideMark/>
          </w:tcPr>
          <w:p w14:paraId="26EADF71" w14:textId="1C107575" w:rsidR="0034545C" w:rsidRPr="0034545C" w:rsidRDefault="0034545C" w:rsidP="0034545C">
            <w:pPr>
              <w:spacing w:after="0" w:line="240" w:lineRule="auto"/>
              <w:jc w:val="right"/>
              <w:rPr>
                <w:rFonts w:ascii="Arial" w:eastAsia="Times New Roman" w:hAnsi="Arial" w:cs="Arial"/>
                <w:color w:val="000000"/>
                <w:sz w:val="18"/>
                <w:szCs w:val="18"/>
                <w:lang w:eastAsia="sl-SI"/>
              </w:rPr>
            </w:pPr>
            <w:r w:rsidRPr="0034545C">
              <w:rPr>
                <w:rFonts w:ascii="Arial" w:eastAsia="Times New Roman" w:hAnsi="Arial" w:cs="Arial"/>
                <w:color w:val="000000"/>
                <w:sz w:val="18"/>
                <w:szCs w:val="18"/>
                <w:lang w:eastAsia="sl-SI"/>
              </w:rPr>
              <w:t>34,36 %</w:t>
            </w:r>
          </w:p>
        </w:tc>
      </w:tr>
      <w:tr w:rsidR="0034545C" w:rsidRPr="0034545C" w14:paraId="5AF6E448" w14:textId="77777777" w:rsidTr="0034545C">
        <w:trPr>
          <w:trHeight w:val="255"/>
          <w:jc w:val="center"/>
        </w:trPr>
        <w:tc>
          <w:tcPr>
            <w:tcW w:w="1093"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11F7C2A" w14:textId="77777777" w:rsidR="0034545C" w:rsidRPr="0034545C" w:rsidRDefault="0034545C" w:rsidP="0034545C">
            <w:pPr>
              <w:spacing w:after="0" w:line="240" w:lineRule="auto"/>
              <w:rPr>
                <w:rFonts w:ascii="Arial" w:eastAsia="Times New Roman" w:hAnsi="Arial" w:cs="Arial"/>
                <w:b/>
                <w:bCs/>
                <w:color w:val="000000"/>
                <w:sz w:val="18"/>
                <w:szCs w:val="18"/>
                <w:lang w:eastAsia="sl-SI"/>
              </w:rPr>
            </w:pPr>
            <w:r w:rsidRPr="0034545C">
              <w:rPr>
                <w:rFonts w:ascii="Arial" w:eastAsia="Times New Roman" w:hAnsi="Arial" w:cs="Arial"/>
                <w:b/>
                <w:bCs/>
                <w:color w:val="000000"/>
                <w:sz w:val="18"/>
                <w:szCs w:val="18"/>
                <w:lang w:eastAsia="sl-SI"/>
              </w:rPr>
              <w:t>Skupaj</w:t>
            </w:r>
          </w:p>
        </w:tc>
        <w:tc>
          <w:tcPr>
            <w:tcW w:w="1093" w:type="dxa"/>
            <w:tcBorders>
              <w:top w:val="nil"/>
              <w:left w:val="nil"/>
              <w:bottom w:val="single" w:sz="4" w:space="0" w:color="auto"/>
              <w:right w:val="single" w:sz="4" w:space="0" w:color="auto"/>
            </w:tcBorders>
            <w:shd w:val="clear" w:color="auto" w:fill="F2F2F2" w:themeFill="background1" w:themeFillShade="F2"/>
            <w:noWrap/>
            <w:vAlign w:val="center"/>
            <w:hideMark/>
          </w:tcPr>
          <w:p w14:paraId="1FEB258F" w14:textId="30471772" w:rsidR="0034545C" w:rsidRPr="0034545C" w:rsidRDefault="0034545C" w:rsidP="0034545C">
            <w:pPr>
              <w:spacing w:after="0" w:line="240" w:lineRule="auto"/>
              <w:jc w:val="right"/>
              <w:rPr>
                <w:rFonts w:ascii="Arial" w:eastAsia="Times New Roman" w:hAnsi="Arial" w:cs="Arial"/>
                <w:b/>
                <w:bCs/>
                <w:color w:val="000000"/>
                <w:sz w:val="18"/>
                <w:szCs w:val="18"/>
                <w:lang w:eastAsia="sl-SI"/>
              </w:rPr>
            </w:pPr>
            <w:r w:rsidRPr="0034545C">
              <w:rPr>
                <w:rFonts w:ascii="Arial" w:eastAsia="Times New Roman" w:hAnsi="Arial" w:cs="Arial"/>
                <w:b/>
                <w:bCs/>
                <w:color w:val="000000"/>
                <w:sz w:val="18"/>
                <w:szCs w:val="18"/>
                <w:lang w:eastAsia="sl-SI"/>
              </w:rPr>
              <w:t>17.224</w:t>
            </w:r>
          </w:p>
        </w:tc>
        <w:tc>
          <w:tcPr>
            <w:tcW w:w="1480" w:type="dxa"/>
            <w:tcBorders>
              <w:top w:val="nil"/>
              <w:left w:val="nil"/>
              <w:bottom w:val="single" w:sz="4" w:space="0" w:color="auto"/>
              <w:right w:val="single" w:sz="4" w:space="0" w:color="auto"/>
            </w:tcBorders>
            <w:shd w:val="clear" w:color="auto" w:fill="F2F2F2" w:themeFill="background1" w:themeFillShade="F2"/>
            <w:noWrap/>
            <w:vAlign w:val="center"/>
            <w:hideMark/>
          </w:tcPr>
          <w:p w14:paraId="1B0CB1AC" w14:textId="6EBEA503" w:rsidR="0034545C" w:rsidRPr="0034545C" w:rsidRDefault="0034545C" w:rsidP="0034545C">
            <w:pPr>
              <w:spacing w:after="0" w:line="240" w:lineRule="auto"/>
              <w:jc w:val="right"/>
              <w:rPr>
                <w:rFonts w:ascii="Arial" w:eastAsia="Times New Roman" w:hAnsi="Arial" w:cs="Arial"/>
                <w:b/>
                <w:bCs/>
                <w:color w:val="000000"/>
                <w:sz w:val="18"/>
                <w:szCs w:val="18"/>
                <w:lang w:eastAsia="sl-SI"/>
              </w:rPr>
            </w:pPr>
            <w:r w:rsidRPr="0034545C">
              <w:rPr>
                <w:rFonts w:ascii="Arial" w:eastAsia="Times New Roman" w:hAnsi="Arial" w:cs="Arial"/>
                <w:b/>
                <w:bCs/>
                <w:color w:val="000000"/>
                <w:sz w:val="18"/>
                <w:szCs w:val="18"/>
                <w:lang w:eastAsia="sl-SI"/>
              </w:rPr>
              <w:t>5.417.105.902</w:t>
            </w:r>
          </w:p>
        </w:tc>
        <w:tc>
          <w:tcPr>
            <w:tcW w:w="1093" w:type="dxa"/>
            <w:tcBorders>
              <w:top w:val="nil"/>
              <w:left w:val="nil"/>
              <w:bottom w:val="single" w:sz="4" w:space="0" w:color="auto"/>
              <w:right w:val="single" w:sz="4" w:space="0" w:color="auto"/>
            </w:tcBorders>
            <w:shd w:val="clear" w:color="auto" w:fill="F2F2F2" w:themeFill="background1" w:themeFillShade="F2"/>
            <w:noWrap/>
            <w:vAlign w:val="center"/>
            <w:hideMark/>
          </w:tcPr>
          <w:p w14:paraId="5108DB57" w14:textId="1E108E05" w:rsidR="0034545C" w:rsidRPr="0034545C" w:rsidRDefault="0034545C" w:rsidP="0034545C">
            <w:pPr>
              <w:spacing w:after="0" w:line="240" w:lineRule="auto"/>
              <w:jc w:val="right"/>
              <w:rPr>
                <w:rFonts w:ascii="Arial" w:eastAsia="Times New Roman" w:hAnsi="Arial" w:cs="Arial"/>
                <w:b/>
                <w:bCs/>
                <w:color w:val="000000"/>
                <w:sz w:val="18"/>
                <w:szCs w:val="18"/>
                <w:lang w:eastAsia="sl-SI"/>
              </w:rPr>
            </w:pPr>
            <w:r w:rsidRPr="0034545C">
              <w:rPr>
                <w:rFonts w:ascii="Arial" w:eastAsia="Times New Roman" w:hAnsi="Arial" w:cs="Arial"/>
                <w:b/>
                <w:bCs/>
                <w:color w:val="000000"/>
                <w:sz w:val="18"/>
                <w:szCs w:val="18"/>
                <w:lang w:eastAsia="sl-SI"/>
              </w:rPr>
              <w:t>100,00 %</w:t>
            </w:r>
          </w:p>
        </w:tc>
        <w:tc>
          <w:tcPr>
            <w:tcW w:w="1093" w:type="dxa"/>
            <w:tcBorders>
              <w:top w:val="nil"/>
              <w:left w:val="nil"/>
              <w:bottom w:val="single" w:sz="4" w:space="0" w:color="auto"/>
              <w:right w:val="single" w:sz="4" w:space="0" w:color="auto"/>
            </w:tcBorders>
            <w:shd w:val="clear" w:color="auto" w:fill="F2F2F2" w:themeFill="background1" w:themeFillShade="F2"/>
            <w:noWrap/>
            <w:vAlign w:val="center"/>
            <w:hideMark/>
          </w:tcPr>
          <w:p w14:paraId="5BD379DC" w14:textId="3E76BF27" w:rsidR="0034545C" w:rsidRPr="0034545C" w:rsidRDefault="0034545C" w:rsidP="0034545C">
            <w:pPr>
              <w:spacing w:after="0" w:line="240" w:lineRule="auto"/>
              <w:jc w:val="right"/>
              <w:rPr>
                <w:rFonts w:ascii="Arial" w:eastAsia="Times New Roman" w:hAnsi="Arial" w:cs="Arial"/>
                <w:b/>
                <w:bCs/>
                <w:color w:val="000000"/>
                <w:sz w:val="18"/>
                <w:szCs w:val="18"/>
                <w:lang w:eastAsia="sl-SI"/>
              </w:rPr>
            </w:pPr>
            <w:r w:rsidRPr="0034545C">
              <w:rPr>
                <w:rFonts w:ascii="Arial" w:eastAsia="Times New Roman" w:hAnsi="Arial" w:cs="Arial"/>
                <w:b/>
                <w:bCs/>
                <w:color w:val="000000"/>
                <w:sz w:val="18"/>
                <w:szCs w:val="18"/>
                <w:lang w:eastAsia="sl-SI"/>
              </w:rPr>
              <w:t>100,00 %</w:t>
            </w:r>
          </w:p>
        </w:tc>
      </w:tr>
    </w:tbl>
    <w:p w14:paraId="6E3B8A06" w14:textId="77777777" w:rsidR="004A613D" w:rsidRPr="0034545C" w:rsidRDefault="004A613D" w:rsidP="004A613D">
      <w:pPr>
        <w:spacing w:after="0" w:line="240" w:lineRule="auto"/>
        <w:jc w:val="center"/>
        <w:rPr>
          <w:rFonts w:ascii="Arial" w:hAnsi="Arial" w:cs="Arial"/>
          <w:sz w:val="18"/>
        </w:rPr>
      </w:pPr>
    </w:p>
    <w:p w14:paraId="3A57FEF7" w14:textId="6ED33BC6" w:rsidR="005A7AC7" w:rsidRPr="0034545C" w:rsidRDefault="005A7AC7" w:rsidP="004A613D">
      <w:pPr>
        <w:spacing w:after="0" w:line="240" w:lineRule="auto"/>
        <w:jc w:val="center"/>
        <w:rPr>
          <w:rFonts w:ascii="Arial" w:hAnsi="Arial" w:cs="Arial"/>
          <w:sz w:val="18"/>
        </w:rPr>
      </w:pPr>
      <w:r w:rsidRPr="0034545C">
        <w:rPr>
          <w:rFonts w:ascii="Arial" w:hAnsi="Arial" w:cs="Arial"/>
          <w:sz w:val="18"/>
        </w:rPr>
        <w:t>Vir: Statistični podatki o javnih naročilih, oddanih v letu</w:t>
      </w:r>
      <w:r w:rsidR="00D76FDF" w:rsidRPr="0034545C">
        <w:rPr>
          <w:rFonts w:ascii="Arial" w:hAnsi="Arial" w:cs="Arial"/>
          <w:sz w:val="18"/>
        </w:rPr>
        <w:t xml:space="preserve"> 20</w:t>
      </w:r>
      <w:r w:rsidR="00187489" w:rsidRPr="0034545C">
        <w:rPr>
          <w:rFonts w:ascii="Arial" w:hAnsi="Arial" w:cs="Arial"/>
          <w:sz w:val="18"/>
        </w:rPr>
        <w:t>2</w:t>
      </w:r>
      <w:r w:rsidR="0034545C" w:rsidRPr="0034545C">
        <w:rPr>
          <w:rFonts w:ascii="Arial" w:hAnsi="Arial" w:cs="Arial"/>
          <w:sz w:val="18"/>
        </w:rPr>
        <w:t>2</w:t>
      </w:r>
      <w:r w:rsidR="00362BA2" w:rsidRPr="0034545C">
        <w:rPr>
          <w:rFonts w:ascii="Arial" w:hAnsi="Arial" w:cs="Arial"/>
          <w:sz w:val="18"/>
        </w:rPr>
        <w:t>.</w:t>
      </w:r>
    </w:p>
    <w:p w14:paraId="01A0B3C7" w14:textId="77777777" w:rsidR="000C0E46" w:rsidRPr="00BF7302" w:rsidRDefault="000C0E46" w:rsidP="005925FE">
      <w:pPr>
        <w:spacing w:line="360" w:lineRule="auto"/>
        <w:jc w:val="both"/>
        <w:rPr>
          <w:rFonts w:ascii="Arial" w:hAnsi="Arial" w:cs="Arial"/>
          <w:sz w:val="20"/>
          <w:szCs w:val="20"/>
          <w:highlight w:val="yellow"/>
        </w:rPr>
      </w:pPr>
    </w:p>
    <w:p w14:paraId="67F7AF7B" w14:textId="49CF76DA" w:rsidR="005925FE" w:rsidRPr="00A771A8" w:rsidRDefault="008E09B2" w:rsidP="005925FE">
      <w:pPr>
        <w:spacing w:line="360" w:lineRule="auto"/>
        <w:jc w:val="both"/>
        <w:rPr>
          <w:rFonts w:ascii="Arial" w:hAnsi="Arial" w:cs="Arial"/>
          <w:sz w:val="20"/>
          <w:szCs w:val="20"/>
        </w:rPr>
      </w:pPr>
      <w:r w:rsidRPr="00A771A8">
        <w:rPr>
          <w:rFonts w:ascii="Arial" w:hAnsi="Arial" w:cs="Arial"/>
          <w:sz w:val="20"/>
          <w:szCs w:val="20"/>
        </w:rPr>
        <w:t>Leta</w:t>
      </w:r>
      <w:r w:rsidR="007A68CE" w:rsidRPr="00A771A8">
        <w:rPr>
          <w:rFonts w:ascii="Arial" w:hAnsi="Arial" w:cs="Arial"/>
          <w:sz w:val="20"/>
          <w:szCs w:val="20"/>
        </w:rPr>
        <w:t xml:space="preserve"> 20</w:t>
      </w:r>
      <w:r w:rsidR="00187489" w:rsidRPr="00A771A8">
        <w:rPr>
          <w:rFonts w:ascii="Arial" w:hAnsi="Arial" w:cs="Arial"/>
          <w:sz w:val="20"/>
          <w:szCs w:val="20"/>
        </w:rPr>
        <w:t>2</w:t>
      </w:r>
      <w:r w:rsidR="00A771A8" w:rsidRPr="00A771A8">
        <w:rPr>
          <w:rFonts w:ascii="Arial" w:hAnsi="Arial" w:cs="Arial"/>
          <w:sz w:val="20"/>
          <w:szCs w:val="20"/>
        </w:rPr>
        <w:t>2</w:t>
      </w:r>
      <w:r w:rsidR="005925FE" w:rsidRPr="00A771A8">
        <w:rPr>
          <w:rFonts w:ascii="Arial" w:hAnsi="Arial" w:cs="Arial"/>
          <w:sz w:val="20"/>
          <w:szCs w:val="20"/>
        </w:rPr>
        <w:t xml:space="preserve"> so bili po vrednosti največji predmeti naročanja: </w:t>
      </w:r>
    </w:p>
    <w:p w14:paraId="2413E6EA" w14:textId="5863E3A8" w:rsidR="005925FE" w:rsidRDefault="005925FE" w:rsidP="005533F3">
      <w:pPr>
        <w:pStyle w:val="Odstavekseznama"/>
        <w:numPr>
          <w:ilvl w:val="0"/>
          <w:numId w:val="21"/>
        </w:numPr>
        <w:spacing w:line="360" w:lineRule="auto"/>
        <w:rPr>
          <w:rFonts w:cs="Arial"/>
          <w:sz w:val="20"/>
          <w:szCs w:val="20"/>
        </w:rPr>
      </w:pPr>
      <w:r w:rsidRPr="00A771A8">
        <w:rPr>
          <w:rFonts w:cs="Arial"/>
          <w:sz w:val="20"/>
          <w:szCs w:val="20"/>
        </w:rPr>
        <w:t xml:space="preserve">gradbena dela v vrednosti </w:t>
      </w:r>
      <w:r w:rsidR="00A771A8" w:rsidRPr="00A771A8">
        <w:rPr>
          <w:rFonts w:cs="Arial"/>
          <w:sz w:val="20"/>
          <w:szCs w:val="20"/>
        </w:rPr>
        <w:t xml:space="preserve">1.861.567.195 </w:t>
      </w:r>
      <w:r w:rsidRPr="00A771A8">
        <w:rPr>
          <w:rFonts w:cs="Arial"/>
          <w:sz w:val="20"/>
          <w:szCs w:val="20"/>
        </w:rPr>
        <w:t>evro</w:t>
      </w:r>
      <w:r w:rsidR="007657FB" w:rsidRPr="00A771A8">
        <w:rPr>
          <w:rFonts w:cs="Arial"/>
          <w:sz w:val="20"/>
          <w:szCs w:val="20"/>
        </w:rPr>
        <w:t>v</w:t>
      </w:r>
      <w:r w:rsidRPr="00A771A8">
        <w:rPr>
          <w:rFonts w:cs="Arial"/>
          <w:sz w:val="20"/>
          <w:szCs w:val="20"/>
        </w:rPr>
        <w:t xml:space="preserve">, kar je </w:t>
      </w:r>
      <w:r w:rsidR="00A771A8" w:rsidRPr="00A771A8">
        <w:rPr>
          <w:rFonts w:cs="Arial"/>
          <w:sz w:val="20"/>
          <w:szCs w:val="20"/>
        </w:rPr>
        <w:t>34,36</w:t>
      </w:r>
      <w:r w:rsidR="00362BA2" w:rsidRPr="00A771A8">
        <w:rPr>
          <w:rFonts w:cs="Arial"/>
          <w:sz w:val="20"/>
          <w:szCs w:val="20"/>
        </w:rPr>
        <w:t> </w:t>
      </w:r>
      <w:r w:rsidR="00AC0027">
        <w:rPr>
          <w:rFonts w:cs="Arial"/>
          <w:sz w:val="20"/>
          <w:szCs w:val="20"/>
        </w:rPr>
        <w:t>odstotka</w:t>
      </w:r>
      <w:r w:rsidRPr="00A771A8">
        <w:rPr>
          <w:rFonts w:cs="Arial"/>
          <w:sz w:val="20"/>
          <w:szCs w:val="20"/>
        </w:rPr>
        <w:t xml:space="preserve"> vrednosti vseh naročil</w:t>
      </w:r>
      <w:r w:rsidR="008E09B2" w:rsidRPr="00A771A8">
        <w:rPr>
          <w:rFonts w:cs="Arial"/>
          <w:sz w:val="20"/>
          <w:szCs w:val="20"/>
        </w:rPr>
        <w:t>,</w:t>
      </w:r>
    </w:p>
    <w:p w14:paraId="5C268580" w14:textId="6E0B0657" w:rsidR="00A771A8" w:rsidRPr="00A771A8" w:rsidRDefault="00A771A8" w:rsidP="00A771A8">
      <w:pPr>
        <w:pStyle w:val="Odstavekseznama"/>
        <w:numPr>
          <w:ilvl w:val="0"/>
          <w:numId w:val="21"/>
        </w:numPr>
        <w:spacing w:line="360" w:lineRule="auto"/>
        <w:rPr>
          <w:rFonts w:cs="Arial"/>
          <w:sz w:val="20"/>
          <w:szCs w:val="20"/>
        </w:rPr>
      </w:pPr>
      <w:r w:rsidRPr="00A771A8">
        <w:rPr>
          <w:rFonts w:cs="Arial"/>
          <w:sz w:val="20"/>
          <w:szCs w:val="20"/>
        </w:rPr>
        <w:t>storitve popravila in vzdrževanja v vrednosti 791.904.161 evrov, kar je 14,62 </w:t>
      </w:r>
      <w:r w:rsidR="00AC0027">
        <w:rPr>
          <w:rFonts w:cs="Arial"/>
          <w:sz w:val="20"/>
          <w:szCs w:val="20"/>
        </w:rPr>
        <w:t>odstotka</w:t>
      </w:r>
      <w:r w:rsidRPr="00A771A8">
        <w:rPr>
          <w:rFonts w:cs="Arial"/>
          <w:sz w:val="20"/>
          <w:szCs w:val="20"/>
        </w:rPr>
        <w:t xml:space="preserve"> vrednosti vseh naročil,</w:t>
      </w:r>
    </w:p>
    <w:p w14:paraId="2A8E61B2" w14:textId="72F33A8B" w:rsidR="005925FE" w:rsidRPr="00A771A8" w:rsidRDefault="007657FB" w:rsidP="00467121">
      <w:pPr>
        <w:pStyle w:val="Odstavekseznama"/>
        <w:numPr>
          <w:ilvl w:val="0"/>
          <w:numId w:val="21"/>
        </w:numPr>
        <w:spacing w:line="360" w:lineRule="auto"/>
        <w:rPr>
          <w:rFonts w:cs="Arial"/>
          <w:sz w:val="20"/>
          <w:szCs w:val="20"/>
        </w:rPr>
      </w:pPr>
      <w:r w:rsidRPr="00A771A8">
        <w:rPr>
          <w:rFonts w:cs="Arial"/>
          <w:sz w:val="20"/>
          <w:szCs w:val="20"/>
        </w:rPr>
        <w:t xml:space="preserve">medicinska oprema, farmacevtski izdelki in izdelki za osebno nego </w:t>
      </w:r>
      <w:r w:rsidR="005925FE" w:rsidRPr="00A771A8">
        <w:rPr>
          <w:rFonts w:cs="Arial"/>
          <w:sz w:val="20"/>
          <w:szCs w:val="20"/>
        </w:rPr>
        <w:t xml:space="preserve">v vrednosti </w:t>
      </w:r>
      <w:r w:rsidR="00A771A8" w:rsidRPr="00A771A8">
        <w:rPr>
          <w:rFonts w:cs="Arial"/>
          <w:sz w:val="20"/>
          <w:szCs w:val="20"/>
        </w:rPr>
        <w:t xml:space="preserve">775.577.696 </w:t>
      </w:r>
      <w:r w:rsidR="005925FE" w:rsidRPr="00A771A8">
        <w:rPr>
          <w:rFonts w:cs="Arial"/>
          <w:sz w:val="20"/>
          <w:szCs w:val="20"/>
        </w:rPr>
        <w:t xml:space="preserve">evrov, kar je </w:t>
      </w:r>
      <w:r w:rsidR="003929E6" w:rsidRPr="00A771A8">
        <w:rPr>
          <w:rFonts w:cs="Arial"/>
          <w:sz w:val="20"/>
          <w:szCs w:val="20"/>
        </w:rPr>
        <w:t>1</w:t>
      </w:r>
      <w:r w:rsidR="00A771A8" w:rsidRPr="00A771A8">
        <w:rPr>
          <w:rFonts w:cs="Arial"/>
          <w:sz w:val="20"/>
          <w:szCs w:val="20"/>
        </w:rPr>
        <w:t>4,32</w:t>
      </w:r>
      <w:r w:rsidR="00362BA2" w:rsidRPr="00A771A8">
        <w:rPr>
          <w:rFonts w:cs="Arial"/>
          <w:sz w:val="20"/>
          <w:szCs w:val="20"/>
        </w:rPr>
        <w:t> </w:t>
      </w:r>
      <w:r w:rsidR="00AC0027">
        <w:rPr>
          <w:rFonts w:cs="Arial"/>
          <w:sz w:val="20"/>
          <w:szCs w:val="20"/>
        </w:rPr>
        <w:t>odstotka</w:t>
      </w:r>
      <w:r w:rsidR="005925FE" w:rsidRPr="00A771A8">
        <w:rPr>
          <w:rFonts w:cs="Arial"/>
          <w:sz w:val="20"/>
          <w:szCs w:val="20"/>
        </w:rPr>
        <w:t xml:space="preserve"> vrednosti vseh naročil</w:t>
      </w:r>
      <w:r w:rsidR="00A771A8" w:rsidRPr="00A771A8">
        <w:rPr>
          <w:rFonts w:cs="Arial"/>
          <w:sz w:val="20"/>
          <w:szCs w:val="20"/>
        </w:rPr>
        <w:t>.</w:t>
      </w:r>
    </w:p>
    <w:p w14:paraId="451D512F" w14:textId="395A6C1C" w:rsidR="005925FE" w:rsidRPr="0097048C" w:rsidRDefault="005925FE" w:rsidP="005925FE">
      <w:pPr>
        <w:spacing w:line="360" w:lineRule="auto"/>
        <w:jc w:val="both"/>
        <w:rPr>
          <w:rFonts w:ascii="Arial" w:hAnsi="Arial" w:cs="Arial"/>
          <w:sz w:val="20"/>
          <w:szCs w:val="20"/>
        </w:rPr>
      </w:pPr>
      <w:r w:rsidRPr="0097048C">
        <w:rPr>
          <w:rFonts w:ascii="Arial" w:hAnsi="Arial" w:cs="Arial"/>
          <w:sz w:val="20"/>
          <w:szCs w:val="20"/>
        </w:rPr>
        <w:t xml:space="preserve">Navedeni predmeti naročil po vrednosti obsegajo </w:t>
      </w:r>
      <w:r w:rsidR="0097048C">
        <w:rPr>
          <w:rFonts w:ascii="Arial" w:hAnsi="Arial" w:cs="Arial"/>
          <w:sz w:val="20"/>
          <w:szCs w:val="20"/>
        </w:rPr>
        <w:t>slabi dve tretjini</w:t>
      </w:r>
      <w:r w:rsidRPr="0097048C">
        <w:rPr>
          <w:rFonts w:ascii="Arial" w:hAnsi="Arial" w:cs="Arial"/>
          <w:sz w:val="20"/>
          <w:szCs w:val="20"/>
        </w:rPr>
        <w:t xml:space="preserve"> oddanih naročil v letu 20</w:t>
      </w:r>
      <w:r w:rsidR="006D187D" w:rsidRPr="0097048C">
        <w:rPr>
          <w:rFonts w:ascii="Arial" w:hAnsi="Arial" w:cs="Arial"/>
          <w:sz w:val="20"/>
          <w:szCs w:val="20"/>
        </w:rPr>
        <w:t>2</w:t>
      </w:r>
      <w:r w:rsidR="0097048C" w:rsidRPr="0097048C">
        <w:rPr>
          <w:rFonts w:ascii="Arial" w:hAnsi="Arial" w:cs="Arial"/>
          <w:sz w:val="20"/>
          <w:szCs w:val="20"/>
        </w:rPr>
        <w:t>2</w:t>
      </w:r>
      <w:r w:rsidRPr="0097048C">
        <w:rPr>
          <w:rFonts w:ascii="Arial" w:hAnsi="Arial" w:cs="Arial"/>
          <w:sz w:val="20"/>
          <w:szCs w:val="20"/>
        </w:rPr>
        <w:t xml:space="preserve">, po številu pa </w:t>
      </w:r>
      <w:r w:rsidR="0097048C" w:rsidRPr="0097048C">
        <w:rPr>
          <w:rFonts w:ascii="Arial" w:hAnsi="Arial" w:cs="Arial"/>
          <w:sz w:val="20"/>
          <w:szCs w:val="20"/>
        </w:rPr>
        <w:t>do</w:t>
      </w:r>
      <w:r w:rsidR="0097048C">
        <w:rPr>
          <w:rFonts w:ascii="Arial" w:hAnsi="Arial" w:cs="Arial"/>
          <w:sz w:val="20"/>
          <w:szCs w:val="20"/>
        </w:rPr>
        <w:t>b</w:t>
      </w:r>
      <w:r w:rsidR="0097048C" w:rsidRPr="0097048C">
        <w:rPr>
          <w:rFonts w:ascii="Arial" w:hAnsi="Arial" w:cs="Arial"/>
          <w:sz w:val="20"/>
          <w:szCs w:val="20"/>
        </w:rPr>
        <w:t>ro</w:t>
      </w:r>
      <w:r w:rsidR="00825E7E" w:rsidRPr="0097048C">
        <w:rPr>
          <w:rFonts w:ascii="Arial" w:hAnsi="Arial" w:cs="Arial"/>
          <w:sz w:val="20"/>
          <w:szCs w:val="20"/>
        </w:rPr>
        <w:t xml:space="preserve"> </w:t>
      </w:r>
      <w:r w:rsidR="006D187D" w:rsidRPr="0097048C">
        <w:rPr>
          <w:rFonts w:ascii="Arial" w:hAnsi="Arial" w:cs="Arial"/>
          <w:sz w:val="20"/>
          <w:szCs w:val="20"/>
        </w:rPr>
        <w:t>tretjino</w:t>
      </w:r>
      <w:r w:rsidRPr="0097048C">
        <w:rPr>
          <w:rFonts w:ascii="Arial" w:hAnsi="Arial" w:cs="Arial"/>
          <w:sz w:val="20"/>
          <w:szCs w:val="20"/>
        </w:rPr>
        <w:t>.</w:t>
      </w:r>
    </w:p>
    <w:p w14:paraId="3D106FCF" w14:textId="5CBF4AE3" w:rsidR="005925FE" w:rsidRPr="00CA3D6B" w:rsidRDefault="005925FE" w:rsidP="00EE4C56">
      <w:pPr>
        <w:spacing w:line="360" w:lineRule="auto"/>
        <w:rPr>
          <w:rFonts w:ascii="Arial" w:hAnsi="Arial" w:cs="Arial"/>
          <w:sz w:val="20"/>
          <w:szCs w:val="20"/>
        </w:rPr>
      </w:pPr>
      <w:r w:rsidRPr="00CA3D6B">
        <w:rPr>
          <w:rFonts w:ascii="Arial" w:hAnsi="Arial" w:cs="Arial"/>
          <w:sz w:val="20"/>
          <w:szCs w:val="20"/>
        </w:rPr>
        <w:t xml:space="preserve">Po številu naročil so bili najpogosteje predmet naročanja: </w:t>
      </w:r>
    </w:p>
    <w:p w14:paraId="31A8CA45" w14:textId="607AF184" w:rsidR="00CA3D6B" w:rsidRPr="00CA3D6B" w:rsidRDefault="00CA3D6B" w:rsidP="00EE4C56">
      <w:pPr>
        <w:pStyle w:val="Odstavekseznama"/>
        <w:numPr>
          <w:ilvl w:val="0"/>
          <w:numId w:val="22"/>
        </w:numPr>
        <w:spacing w:line="360" w:lineRule="auto"/>
        <w:rPr>
          <w:rFonts w:cs="Arial"/>
          <w:sz w:val="20"/>
          <w:szCs w:val="20"/>
        </w:rPr>
      </w:pPr>
      <w:r w:rsidRPr="00CA3D6B">
        <w:rPr>
          <w:rFonts w:cs="Arial"/>
          <w:sz w:val="20"/>
          <w:szCs w:val="20"/>
        </w:rPr>
        <w:t xml:space="preserve">medicinska oprema, farmacevtski izdelki in izdelki za osebno nego v 4106 naročilih v skupni vrednosti 775.577.696 evrov, kar je 23,84 </w:t>
      </w:r>
      <w:r w:rsidR="00AC0027">
        <w:rPr>
          <w:rFonts w:cs="Arial"/>
          <w:sz w:val="20"/>
          <w:szCs w:val="20"/>
        </w:rPr>
        <w:t>odstotka</w:t>
      </w:r>
      <w:r w:rsidRPr="00CA3D6B">
        <w:rPr>
          <w:rFonts w:cs="Arial"/>
          <w:sz w:val="20"/>
          <w:szCs w:val="20"/>
        </w:rPr>
        <w:t xml:space="preserve"> vseh naročil,</w:t>
      </w:r>
    </w:p>
    <w:p w14:paraId="3A9E35B6" w14:textId="4E545F96" w:rsidR="005925FE" w:rsidRPr="00CA3D6B" w:rsidRDefault="00523E6A" w:rsidP="004E54B4">
      <w:pPr>
        <w:pStyle w:val="Odstavekseznama"/>
        <w:numPr>
          <w:ilvl w:val="0"/>
          <w:numId w:val="22"/>
        </w:numPr>
        <w:spacing w:line="360" w:lineRule="auto"/>
        <w:rPr>
          <w:rFonts w:cs="Arial"/>
          <w:sz w:val="20"/>
          <w:szCs w:val="20"/>
        </w:rPr>
      </w:pPr>
      <w:r w:rsidRPr="00CA3D6B">
        <w:rPr>
          <w:rFonts w:cs="Arial"/>
          <w:sz w:val="20"/>
          <w:szCs w:val="20"/>
        </w:rPr>
        <w:lastRenderedPageBreak/>
        <w:t>ž</w:t>
      </w:r>
      <w:r w:rsidR="00486CA3" w:rsidRPr="00CA3D6B">
        <w:rPr>
          <w:rFonts w:cs="Arial"/>
          <w:sz w:val="20"/>
          <w:szCs w:val="20"/>
        </w:rPr>
        <w:t xml:space="preserve">ivila, pijače, tobačni izdelki in z njimi povezani izdelki </w:t>
      </w:r>
      <w:r w:rsidR="005925FE" w:rsidRPr="00CA3D6B">
        <w:rPr>
          <w:rFonts w:cs="Arial"/>
          <w:sz w:val="20"/>
          <w:szCs w:val="20"/>
        </w:rPr>
        <w:t xml:space="preserve">v </w:t>
      </w:r>
      <w:r w:rsidR="00CA3D6B" w:rsidRPr="00CA3D6B">
        <w:rPr>
          <w:rFonts w:cs="Arial"/>
          <w:sz w:val="20"/>
          <w:szCs w:val="20"/>
        </w:rPr>
        <w:t>3520</w:t>
      </w:r>
      <w:r w:rsidR="005925FE" w:rsidRPr="00CA3D6B">
        <w:rPr>
          <w:rFonts w:cs="Arial"/>
          <w:sz w:val="20"/>
          <w:szCs w:val="20"/>
        </w:rPr>
        <w:t xml:space="preserve"> naročilih v skupni vrednosti </w:t>
      </w:r>
      <w:r w:rsidR="00CA3D6B" w:rsidRPr="00CA3D6B">
        <w:rPr>
          <w:rFonts w:cs="Arial"/>
          <w:sz w:val="20"/>
          <w:szCs w:val="20"/>
        </w:rPr>
        <w:t xml:space="preserve">99.557.636 </w:t>
      </w:r>
      <w:r w:rsidR="005925FE" w:rsidRPr="00CA3D6B">
        <w:rPr>
          <w:rFonts w:cs="Arial"/>
          <w:sz w:val="20"/>
          <w:szCs w:val="20"/>
        </w:rPr>
        <w:t xml:space="preserve">evrov, kar </w:t>
      </w:r>
      <w:r w:rsidR="00EB1F35" w:rsidRPr="00CA3D6B">
        <w:rPr>
          <w:rFonts w:cs="Arial"/>
          <w:sz w:val="20"/>
          <w:szCs w:val="20"/>
        </w:rPr>
        <w:t xml:space="preserve">je </w:t>
      </w:r>
      <w:r w:rsidR="00CA3D6B" w:rsidRPr="00CA3D6B">
        <w:rPr>
          <w:rFonts w:cs="Arial"/>
          <w:sz w:val="20"/>
          <w:szCs w:val="20"/>
        </w:rPr>
        <w:t>20,44</w:t>
      </w:r>
      <w:r w:rsidR="006A17D7" w:rsidRPr="00CA3D6B">
        <w:rPr>
          <w:rFonts w:cs="Arial"/>
          <w:sz w:val="20"/>
          <w:szCs w:val="20"/>
        </w:rPr>
        <w:t> </w:t>
      </w:r>
      <w:r w:rsidR="00AC0027">
        <w:rPr>
          <w:rFonts w:cs="Arial"/>
          <w:sz w:val="20"/>
          <w:szCs w:val="20"/>
        </w:rPr>
        <w:t>odstotka</w:t>
      </w:r>
      <w:r w:rsidR="005925FE" w:rsidRPr="00CA3D6B">
        <w:rPr>
          <w:rFonts w:cs="Arial"/>
          <w:sz w:val="20"/>
          <w:szCs w:val="20"/>
        </w:rPr>
        <w:t xml:space="preserve"> vseh naročil</w:t>
      </w:r>
      <w:r w:rsidR="00F91742" w:rsidRPr="00CA3D6B">
        <w:rPr>
          <w:rFonts w:cs="Arial"/>
          <w:sz w:val="20"/>
          <w:szCs w:val="20"/>
        </w:rPr>
        <w:t>,</w:t>
      </w:r>
    </w:p>
    <w:p w14:paraId="49EB7D5E" w14:textId="045BAEBD" w:rsidR="005925FE" w:rsidRPr="00CA3D6B" w:rsidRDefault="00523E6A" w:rsidP="004E54B4">
      <w:pPr>
        <w:pStyle w:val="Odstavekseznama"/>
        <w:numPr>
          <w:ilvl w:val="0"/>
          <w:numId w:val="22"/>
        </w:numPr>
        <w:spacing w:line="360" w:lineRule="auto"/>
        <w:rPr>
          <w:rFonts w:cs="Arial"/>
          <w:sz w:val="20"/>
          <w:szCs w:val="20"/>
        </w:rPr>
      </w:pPr>
      <w:r w:rsidRPr="00CA3D6B">
        <w:rPr>
          <w:rFonts w:cs="Arial"/>
          <w:sz w:val="20"/>
          <w:szCs w:val="20"/>
        </w:rPr>
        <w:t>gradbena dela</w:t>
      </w:r>
      <w:r w:rsidR="005925FE" w:rsidRPr="00CA3D6B">
        <w:rPr>
          <w:rFonts w:cs="Arial"/>
          <w:sz w:val="20"/>
          <w:szCs w:val="20"/>
        </w:rPr>
        <w:t xml:space="preserve"> v </w:t>
      </w:r>
      <w:r w:rsidR="006D187D" w:rsidRPr="00CA3D6B">
        <w:rPr>
          <w:rFonts w:cs="Arial"/>
          <w:sz w:val="20"/>
          <w:szCs w:val="20"/>
        </w:rPr>
        <w:t>1</w:t>
      </w:r>
      <w:r w:rsidR="00CA3D6B" w:rsidRPr="00CA3D6B">
        <w:rPr>
          <w:rFonts w:cs="Arial"/>
          <w:sz w:val="20"/>
          <w:szCs w:val="20"/>
        </w:rPr>
        <w:t>755</w:t>
      </w:r>
      <w:r w:rsidR="005925FE" w:rsidRPr="00CA3D6B">
        <w:rPr>
          <w:rFonts w:cs="Arial"/>
          <w:sz w:val="20"/>
          <w:szCs w:val="20"/>
        </w:rPr>
        <w:t xml:space="preserve"> naročilih v skupni vrednosti </w:t>
      </w:r>
      <w:r w:rsidR="00CA3D6B" w:rsidRPr="00CA3D6B">
        <w:rPr>
          <w:rFonts w:cs="Arial"/>
          <w:sz w:val="20"/>
          <w:szCs w:val="20"/>
        </w:rPr>
        <w:t xml:space="preserve">1.861.567.195 </w:t>
      </w:r>
      <w:r w:rsidRPr="00CA3D6B">
        <w:rPr>
          <w:rFonts w:cs="Arial"/>
          <w:sz w:val="20"/>
          <w:szCs w:val="20"/>
        </w:rPr>
        <w:t>evro</w:t>
      </w:r>
      <w:r w:rsidR="00EB1F35" w:rsidRPr="00CA3D6B">
        <w:rPr>
          <w:rFonts w:cs="Arial"/>
          <w:sz w:val="20"/>
          <w:szCs w:val="20"/>
        </w:rPr>
        <w:t>v</w:t>
      </w:r>
      <w:r w:rsidR="005925FE" w:rsidRPr="00CA3D6B">
        <w:rPr>
          <w:rFonts w:cs="Arial"/>
          <w:sz w:val="20"/>
          <w:szCs w:val="20"/>
        </w:rPr>
        <w:t xml:space="preserve">, kar je </w:t>
      </w:r>
      <w:r w:rsidR="000A7C71" w:rsidRPr="00CA3D6B">
        <w:rPr>
          <w:rFonts w:cs="Arial"/>
          <w:sz w:val="20"/>
          <w:szCs w:val="20"/>
        </w:rPr>
        <w:t>10,</w:t>
      </w:r>
      <w:r w:rsidR="00CA3D6B" w:rsidRPr="00CA3D6B">
        <w:rPr>
          <w:rFonts w:cs="Arial"/>
          <w:sz w:val="20"/>
          <w:szCs w:val="20"/>
        </w:rPr>
        <w:t>19</w:t>
      </w:r>
      <w:r w:rsidR="006A17D7" w:rsidRPr="00CA3D6B">
        <w:rPr>
          <w:rFonts w:cs="Arial"/>
          <w:sz w:val="20"/>
          <w:szCs w:val="20"/>
        </w:rPr>
        <w:t> </w:t>
      </w:r>
      <w:r w:rsidR="00AC0027">
        <w:rPr>
          <w:rFonts w:cs="Arial"/>
          <w:sz w:val="20"/>
          <w:szCs w:val="20"/>
        </w:rPr>
        <w:t>odstotka</w:t>
      </w:r>
      <w:r w:rsidR="005925FE" w:rsidRPr="00CA3D6B">
        <w:rPr>
          <w:rFonts w:cs="Arial"/>
          <w:sz w:val="20"/>
          <w:szCs w:val="20"/>
        </w:rPr>
        <w:t xml:space="preserve"> vseh naročil.</w:t>
      </w:r>
    </w:p>
    <w:p w14:paraId="050A45F4" w14:textId="77777777" w:rsidR="000A7C71" w:rsidRPr="00AE3BE3" w:rsidRDefault="000A7C71" w:rsidP="000A7C71">
      <w:pPr>
        <w:pStyle w:val="Odstavekseznama"/>
        <w:spacing w:line="360" w:lineRule="auto"/>
        <w:rPr>
          <w:rFonts w:cs="Arial"/>
          <w:sz w:val="20"/>
          <w:szCs w:val="20"/>
        </w:rPr>
      </w:pPr>
    </w:p>
    <w:p w14:paraId="1CA667F2" w14:textId="4AB85F0F" w:rsidR="005925FE" w:rsidRPr="00AE3BE3" w:rsidRDefault="005925FE" w:rsidP="005925FE">
      <w:pPr>
        <w:spacing w:line="360" w:lineRule="auto"/>
        <w:jc w:val="both"/>
        <w:rPr>
          <w:rFonts w:ascii="Arial" w:hAnsi="Arial" w:cs="Arial"/>
          <w:sz w:val="20"/>
          <w:szCs w:val="20"/>
        </w:rPr>
      </w:pPr>
      <w:r w:rsidRPr="00AE3BE3">
        <w:rPr>
          <w:rFonts w:ascii="Arial" w:hAnsi="Arial" w:cs="Arial"/>
          <w:sz w:val="20"/>
          <w:szCs w:val="20"/>
        </w:rPr>
        <w:t xml:space="preserve">Pri naročilih blaga </w:t>
      </w:r>
      <w:r w:rsidR="00680D9B" w:rsidRPr="00AE3BE3">
        <w:rPr>
          <w:rFonts w:ascii="Arial" w:hAnsi="Arial" w:cs="Arial"/>
          <w:sz w:val="20"/>
          <w:szCs w:val="20"/>
        </w:rPr>
        <w:t>je</w:t>
      </w:r>
      <w:r w:rsidRPr="00AE3BE3">
        <w:rPr>
          <w:rFonts w:ascii="Arial" w:hAnsi="Arial" w:cs="Arial"/>
          <w:sz w:val="20"/>
          <w:szCs w:val="20"/>
        </w:rPr>
        <w:t xml:space="preserve"> bil</w:t>
      </w:r>
      <w:r w:rsidR="00680D9B" w:rsidRPr="00AE3BE3">
        <w:rPr>
          <w:rFonts w:ascii="Arial" w:hAnsi="Arial" w:cs="Arial"/>
          <w:sz w:val="20"/>
          <w:szCs w:val="20"/>
        </w:rPr>
        <w:t>o</w:t>
      </w:r>
      <w:r w:rsidRPr="00AE3BE3">
        <w:rPr>
          <w:rFonts w:ascii="Arial" w:hAnsi="Arial" w:cs="Arial"/>
          <w:sz w:val="20"/>
          <w:szCs w:val="20"/>
        </w:rPr>
        <w:t xml:space="preserve"> </w:t>
      </w:r>
      <w:r w:rsidR="008E09B2" w:rsidRPr="00AE3BE3">
        <w:rPr>
          <w:rFonts w:ascii="Arial" w:hAnsi="Arial" w:cs="Arial"/>
          <w:sz w:val="20"/>
          <w:szCs w:val="20"/>
        </w:rPr>
        <w:t xml:space="preserve">leta </w:t>
      </w:r>
      <w:r w:rsidRPr="00AE3BE3">
        <w:rPr>
          <w:rFonts w:ascii="Arial" w:hAnsi="Arial" w:cs="Arial"/>
          <w:sz w:val="20"/>
          <w:szCs w:val="20"/>
        </w:rPr>
        <w:t>20</w:t>
      </w:r>
      <w:r w:rsidR="00D5503A" w:rsidRPr="00AE3BE3">
        <w:rPr>
          <w:rFonts w:ascii="Arial" w:hAnsi="Arial" w:cs="Arial"/>
          <w:sz w:val="20"/>
          <w:szCs w:val="20"/>
        </w:rPr>
        <w:t>2</w:t>
      </w:r>
      <w:r w:rsidR="00AE3BE3" w:rsidRPr="00AE3BE3">
        <w:rPr>
          <w:rFonts w:ascii="Arial" w:hAnsi="Arial" w:cs="Arial"/>
          <w:sz w:val="20"/>
          <w:szCs w:val="20"/>
        </w:rPr>
        <w:t>2</w:t>
      </w:r>
      <w:r w:rsidR="00523E6A" w:rsidRPr="00AE3BE3">
        <w:rPr>
          <w:rFonts w:ascii="Arial" w:hAnsi="Arial" w:cs="Arial"/>
          <w:sz w:val="20"/>
          <w:szCs w:val="20"/>
        </w:rPr>
        <w:t xml:space="preserve"> </w:t>
      </w:r>
      <w:r w:rsidRPr="00AE3BE3">
        <w:rPr>
          <w:rFonts w:ascii="Arial" w:hAnsi="Arial" w:cs="Arial"/>
          <w:sz w:val="20"/>
          <w:szCs w:val="20"/>
        </w:rPr>
        <w:t>naj</w:t>
      </w:r>
      <w:r w:rsidR="00680D9B" w:rsidRPr="00AE3BE3">
        <w:rPr>
          <w:rFonts w:ascii="Arial" w:hAnsi="Arial" w:cs="Arial"/>
          <w:sz w:val="20"/>
          <w:szCs w:val="20"/>
        </w:rPr>
        <w:t>več</w:t>
      </w:r>
      <w:r w:rsidRPr="00AE3BE3">
        <w:rPr>
          <w:rFonts w:ascii="Arial" w:hAnsi="Arial" w:cs="Arial"/>
          <w:sz w:val="20"/>
          <w:szCs w:val="20"/>
        </w:rPr>
        <w:t xml:space="preserve"> naročil </w:t>
      </w:r>
      <w:r w:rsidR="00AE3BE3" w:rsidRPr="00AE3BE3">
        <w:rPr>
          <w:rFonts w:ascii="Arial" w:hAnsi="Arial" w:cs="Arial"/>
          <w:sz w:val="20"/>
          <w:szCs w:val="20"/>
        </w:rPr>
        <w:t>medicinske opreme, farmacevtskih izdelkov in izdelkov za osebno nego v vrednosti 775.577.696 evrov oziroma 42,83 </w:t>
      </w:r>
      <w:r w:rsidR="00AC0027">
        <w:rPr>
          <w:rFonts w:ascii="Arial" w:hAnsi="Arial" w:cs="Arial"/>
          <w:sz w:val="20"/>
          <w:szCs w:val="20"/>
        </w:rPr>
        <w:t>odstotka</w:t>
      </w:r>
      <w:r w:rsidR="00AE3BE3" w:rsidRPr="00AE3BE3">
        <w:rPr>
          <w:rFonts w:ascii="Arial" w:hAnsi="Arial" w:cs="Arial"/>
          <w:sz w:val="20"/>
          <w:szCs w:val="20"/>
        </w:rPr>
        <w:t xml:space="preserve"> vrednosti vseh naročil blaga, ter naročil </w:t>
      </w:r>
      <w:r w:rsidR="00240638" w:rsidRPr="00AE3BE3">
        <w:rPr>
          <w:rFonts w:ascii="Arial" w:hAnsi="Arial" w:cs="Arial"/>
          <w:sz w:val="20"/>
          <w:szCs w:val="20"/>
        </w:rPr>
        <w:t>živil, pijače, tobačnih izdelkov in z njimi povezani</w:t>
      </w:r>
      <w:r w:rsidR="00B41D91" w:rsidRPr="00AE3BE3">
        <w:rPr>
          <w:rFonts w:ascii="Arial" w:hAnsi="Arial" w:cs="Arial"/>
          <w:sz w:val="20"/>
          <w:szCs w:val="20"/>
        </w:rPr>
        <w:t>h</w:t>
      </w:r>
      <w:r w:rsidR="00240638" w:rsidRPr="00AE3BE3">
        <w:rPr>
          <w:rFonts w:ascii="Arial" w:hAnsi="Arial" w:cs="Arial"/>
          <w:sz w:val="20"/>
          <w:szCs w:val="20"/>
        </w:rPr>
        <w:t xml:space="preserve"> izdelk</w:t>
      </w:r>
      <w:r w:rsidR="00B41D91" w:rsidRPr="00AE3BE3">
        <w:rPr>
          <w:rFonts w:ascii="Arial" w:hAnsi="Arial" w:cs="Arial"/>
          <w:sz w:val="20"/>
          <w:szCs w:val="20"/>
        </w:rPr>
        <w:t>ov</w:t>
      </w:r>
      <w:r w:rsidR="007E0D0D" w:rsidRPr="00AE3BE3">
        <w:rPr>
          <w:rFonts w:ascii="Arial" w:hAnsi="Arial" w:cs="Arial"/>
          <w:sz w:val="20"/>
          <w:szCs w:val="20"/>
        </w:rPr>
        <w:t>, ki</w:t>
      </w:r>
      <w:r w:rsidR="008C4C51" w:rsidRPr="00AE3BE3">
        <w:rPr>
          <w:rFonts w:ascii="Arial" w:hAnsi="Arial" w:cs="Arial"/>
          <w:sz w:val="20"/>
          <w:szCs w:val="20"/>
        </w:rPr>
        <w:t xml:space="preserve"> z vrednostjo </w:t>
      </w:r>
      <w:r w:rsidR="00AE3BE3" w:rsidRPr="00AE3BE3">
        <w:rPr>
          <w:rFonts w:ascii="Arial" w:hAnsi="Arial" w:cs="Arial"/>
          <w:sz w:val="20"/>
          <w:szCs w:val="20"/>
        </w:rPr>
        <w:t xml:space="preserve">99.557.636 </w:t>
      </w:r>
      <w:r w:rsidR="008C4C51" w:rsidRPr="00AE3BE3">
        <w:rPr>
          <w:rFonts w:ascii="Arial" w:hAnsi="Arial" w:cs="Arial"/>
          <w:sz w:val="20"/>
          <w:szCs w:val="20"/>
        </w:rPr>
        <w:t xml:space="preserve">evrov pomenijo </w:t>
      </w:r>
      <w:r w:rsidR="00AE3BE3" w:rsidRPr="00AE3BE3">
        <w:rPr>
          <w:rFonts w:ascii="Arial" w:hAnsi="Arial" w:cs="Arial"/>
          <w:sz w:val="20"/>
          <w:szCs w:val="20"/>
        </w:rPr>
        <w:t>5,5</w:t>
      </w:r>
      <w:r w:rsidR="006A17D7" w:rsidRPr="00AE3BE3">
        <w:rPr>
          <w:rFonts w:ascii="Arial" w:hAnsi="Arial" w:cs="Arial"/>
          <w:sz w:val="20"/>
          <w:szCs w:val="20"/>
        </w:rPr>
        <w:t> </w:t>
      </w:r>
      <w:r w:rsidR="00AC0027">
        <w:rPr>
          <w:rFonts w:ascii="Arial" w:hAnsi="Arial" w:cs="Arial"/>
          <w:sz w:val="20"/>
          <w:szCs w:val="20"/>
        </w:rPr>
        <w:t>odstotka</w:t>
      </w:r>
      <w:r w:rsidR="008C4C51" w:rsidRPr="00AE3BE3">
        <w:rPr>
          <w:rFonts w:ascii="Arial" w:hAnsi="Arial" w:cs="Arial"/>
          <w:sz w:val="20"/>
          <w:szCs w:val="20"/>
        </w:rPr>
        <w:t xml:space="preserve"> vrednosti </w:t>
      </w:r>
      <w:r w:rsidR="00AE3BE3" w:rsidRPr="00AE3BE3">
        <w:rPr>
          <w:rFonts w:ascii="Arial" w:hAnsi="Arial" w:cs="Arial"/>
          <w:sz w:val="20"/>
          <w:szCs w:val="20"/>
        </w:rPr>
        <w:t xml:space="preserve">vseh </w:t>
      </w:r>
      <w:r w:rsidR="008C4C51" w:rsidRPr="00AE3BE3">
        <w:rPr>
          <w:rFonts w:ascii="Arial" w:hAnsi="Arial" w:cs="Arial"/>
          <w:sz w:val="20"/>
          <w:szCs w:val="20"/>
        </w:rPr>
        <w:t>naročil blaga</w:t>
      </w:r>
      <w:r w:rsidR="00AE3BE3" w:rsidRPr="00AE3BE3">
        <w:rPr>
          <w:rFonts w:ascii="Arial" w:hAnsi="Arial" w:cs="Arial"/>
          <w:sz w:val="20"/>
          <w:szCs w:val="20"/>
        </w:rPr>
        <w:t>.</w:t>
      </w:r>
    </w:p>
    <w:p w14:paraId="7418D2CA" w14:textId="24080B2E" w:rsidR="005925FE" w:rsidRPr="00BF7302" w:rsidRDefault="003602CB" w:rsidP="00883707">
      <w:pPr>
        <w:spacing w:line="360" w:lineRule="auto"/>
        <w:jc w:val="both"/>
        <w:rPr>
          <w:rFonts w:ascii="Arial" w:eastAsia="Times New Roman" w:hAnsi="Arial" w:cs="Arial"/>
          <w:color w:val="000000"/>
          <w:sz w:val="20"/>
          <w:szCs w:val="20"/>
          <w:highlight w:val="yellow"/>
          <w:lang w:eastAsia="sl-SI"/>
        </w:rPr>
      </w:pPr>
      <w:r w:rsidRPr="00A830CF">
        <w:rPr>
          <w:rFonts w:ascii="Arial" w:hAnsi="Arial" w:cs="Arial"/>
          <w:sz w:val="20"/>
          <w:szCs w:val="20"/>
        </w:rPr>
        <w:t xml:space="preserve">Storitve popravila in vzdrževanja </w:t>
      </w:r>
      <w:r w:rsidR="008C4C51" w:rsidRPr="00A830CF">
        <w:rPr>
          <w:rFonts w:ascii="Arial" w:hAnsi="Arial" w:cs="Arial"/>
          <w:sz w:val="20"/>
          <w:szCs w:val="20"/>
        </w:rPr>
        <w:t xml:space="preserve">v skupni vrednosti </w:t>
      </w:r>
      <w:r w:rsidR="00AE3BE3" w:rsidRPr="00A830CF">
        <w:rPr>
          <w:rFonts w:ascii="Arial" w:hAnsi="Arial" w:cs="Arial"/>
          <w:sz w:val="20"/>
          <w:szCs w:val="20"/>
        </w:rPr>
        <w:t xml:space="preserve">791.904.161 </w:t>
      </w:r>
      <w:r w:rsidR="008C4C51" w:rsidRPr="00A830CF">
        <w:rPr>
          <w:rFonts w:ascii="Arial" w:hAnsi="Arial" w:cs="Arial"/>
          <w:sz w:val="20"/>
          <w:szCs w:val="20"/>
        </w:rPr>
        <w:t xml:space="preserve">evrov po vrednosti pomenijo največji delež naročil storitev, in sicer </w:t>
      </w:r>
      <w:r w:rsidR="00AE3BE3" w:rsidRPr="00A830CF">
        <w:rPr>
          <w:rFonts w:ascii="Arial" w:hAnsi="Arial" w:cs="Arial"/>
          <w:sz w:val="20"/>
          <w:szCs w:val="20"/>
        </w:rPr>
        <w:t>45,39</w:t>
      </w:r>
      <w:r w:rsidR="006A17D7" w:rsidRPr="00A830CF">
        <w:rPr>
          <w:rFonts w:ascii="Arial" w:hAnsi="Arial" w:cs="Arial"/>
          <w:sz w:val="20"/>
          <w:szCs w:val="20"/>
        </w:rPr>
        <w:t> </w:t>
      </w:r>
      <w:r w:rsidR="00AC0027">
        <w:rPr>
          <w:rFonts w:ascii="Arial" w:hAnsi="Arial" w:cs="Arial"/>
          <w:sz w:val="20"/>
          <w:szCs w:val="20"/>
        </w:rPr>
        <w:t>odstotka</w:t>
      </w:r>
      <w:r w:rsidR="008C4C51" w:rsidRPr="00A830CF">
        <w:rPr>
          <w:rFonts w:ascii="Arial" w:hAnsi="Arial" w:cs="Arial"/>
          <w:sz w:val="20"/>
          <w:szCs w:val="20"/>
        </w:rPr>
        <w:t xml:space="preserve">. </w:t>
      </w:r>
      <w:r w:rsidR="00A830CF" w:rsidRPr="00A830CF">
        <w:rPr>
          <w:rFonts w:ascii="Arial" w:eastAsia="Times New Roman" w:hAnsi="Arial" w:cs="Arial"/>
          <w:color w:val="000000"/>
          <w:sz w:val="20"/>
          <w:szCs w:val="20"/>
          <w:lang w:eastAsia="sl-SI"/>
        </w:rPr>
        <w:t xml:space="preserve">Poslovne storitve: pravo, trženje, svetovanje, zaposlovanje, tiskanje in varnost </w:t>
      </w:r>
      <w:r w:rsidR="008C4C51" w:rsidRPr="00A830CF">
        <w:rPr>
          <w:rFonts w:ascii="Arial" w:hAnsi="Arial" w:cs="Arial"/>
          <w:sz w:val="20"/>
          <w:szCs w:val="20"/>
        </w:rPr>
        <w:t>so</w:t>
      </w:r>
      <w:r w:rsidR="005925FE" w:rsidRPr="00A830CF">
        <w:rPr>
          <w:rFonts w:ascii="Arial" w:hAnsi="Arial" w:cs="Arial"/>
          <w:sz w:val="20"/>
          <w:szCs w:val="20"/>
        </w:rPr>
        <w:t xml:space="preserve"> po vrednosti</w:t>
      </w:r>
      <w:r w:rsidR="00B54F9E" w:rsidRPr="00A830CF">
        <w:rPr>
          <w:rFonts w:ascii="Arial" w:hAnsi="Arial" w:cs="Arial"/>
          <w:sz w:val="20"/>
          <w:szCs w:val="20"/>
        </w:rPr>
        <w:t xml:space="preserve"> </w:t>
      </w:r>
      <w:r w:rsidR="00A830CF" w:rsidRPr="00A830CF">
        <w:rPr>
          <w:rFonts w:ascii="Arial" w:hAnsi="Arial" w:cs="Arial"/>
          <w:sz w:val="20"/>
          <w:szCs w:val="20"/>
        </w:rPr>
        <w:t xml:space="preserve">215.806.653 </w:t>
      </w:r>
      <w:r w:rsidR="005925FE" w:rsidRPr="00A830CF">
        <w:rPr>
          <w:rFonts w:ascii="Arial" w:hAnsi="Arial" w:cs="Arial"/>
          <w:sz w:val="20"/>
          <w:szCs w:val="20"/>
        </w:rPr>
        <w:t xml:space="preserve">evrov na drugem mestu predmetov naročanja storitev z deležem </w:t>
      </w:r>
      <w:r w:rsidR="00A830CF" w:rsidRPr="00A830CF">
        <w:rPr>
          <w:rFonts w:ascii="Arial" w:hAnsi="Arial" w:cs="Arial"/>
          <w:sz w:val="20"/>
          <w:szCs w:val="20"/>
        </w:rPr>
        <w:t>12,37</w:t>
      </w:r>
      <w:r w:rsidR="006A17D7" w:rsidRPr="00A830CF">
        <w:rPr>
          <w:rFonts w:ascii="Arial" w:hAnsi="Arial" w:cs="Arial"/>
          <w:sz w:val="20"/>
          <w:szCs w:val="20"/>
        </w:rPr>
        <w:t> </w:t>
      </w:r>
      <w:r w:rsidR="00AC0027">
        <w:rPr>
          <w:rFonts w:ascii="Arial" w:hAnsi="Arial" w:cs="Arial"/>
          <w:sz w:val="20"/>
          <w:szCs w:val="20"/>
        </w:rPr>
        <w:t>odstotka</w:t>
      </w:r>
      <w:r w:rsidR="005925FE" w:rsidRPr="00A830CF">
        <w:rPr>
          <w:rFonts w:ascii="Arial" w:hAnsi="Arial" w:cs="Arial"/>
          <w:sz w:val="20"/>
          <w:szCs w:val="20"/>
        </w:rPr>
        <w:t xml:space="preserve">, na tretjem mestu so z deležem </w:t>
      </w:r>
      <w:r w:rsidR="00A830CF" w:rsidRPr="00A830CF">
        <w:rPr>
          <w:rFonts w:ascii="Arial" w:hAnsi="Arial" w:cs="Arial"/>
          <w:sz w:val="20"/>
          <w:szCs w:val="20"/>
        </w:rPr>
        <w:t>8,33</w:t>
      </w:r>
      <w:r w:rsidR="006A17D7" w:rsidRPr="00A830CF">
        <w:rPr>
          <w:rFonts w:ascii="Arial" w:hAnsi="Arial" w:cs="Arial"/>
          <w:sz w:val="20"/>
          <w:szCs w:val="20"/>
        </w:rPr>
        <w:t> </w:t>
      </w:r>
      <w:r w:rsidR="00AC0027">
        <w:rPr>
          <w:rFonts w:ascii="Arial" w:hAnsi="Arial" w:cs="Arial"/>
          <w:sz w:val="20"/>
          <w:szCs w:val="20"/>
        </w:rPr>
        <w:t>odstotka</w:t>
      </w:r>
      <w:r w:rsidR="005925FE" w:rsidRPr="00A830CF">
        <w:rPr>
          <w:rFonts w:ascii="Arial" w:hAnsi="Arial" w:cs="Arial"/>
          <w:sz w:val="20"/>
          <w:szCs w:val="20"/>
        </w:rPr>
        <w:t xml:space="preserve"> </w:t>
      </w:r>
      <w:r w:rsidR="00A830CF" w:rsidRPr="00A830CF">
        <w:rPr>
          <w:rFonts w:ascii="Arial" w:hAnsi="Arial" w:cs="Arial"/>
          <w:sz w:val="20"/>
          <w:szCs w:val="20"/>
        </w:rPr>
        <w:t>arhitekturne, gradbeniške, inženirske in inšpekcijske storitve</w:t>
      </w:r>
      <w:r w:rsidRPr="00A830CF">
        <w:rPr>
          <w:rFonts w:ascii="Arial" w:hAnsi="Arial" w:cs="Arial"/>
          <w:sz w:val="20"/>
          <w:szCs w:val="20"/>
        </w:rPr>
        <w:t xml:space="preserve"> </w:t>
      </w:r>
      <w:r w:rsidR="005925FE" w:rsidRPr="00A830CF">
        <w:rPr>
          <w:rFonts w:ascii="Arial" w:hAnsi="Arial" w:cs="Arial"/>
          <w:sz w:val="20"/>
          <w:szCs w:val="20"/>
        </w:rPr>
        <w:t xml:space="preserve">v vrednosti </w:t>
      </w:r>
      <w:r w:rsidR="00A830CF" w:rsidRPr="00A830CF">
        <w:rPr>
          <w:rFonts w:ascii="Arial" w:eastAsia="Times New Roman" w:hAnsi="Arial" w:cs="Arial"/>
          <w:color w:val="000000"/>
          <w:sz w:val="20"/>
          <w:szCs w:val="20"/>
          <w:lang w:eastAsia="sl-SI"/>
        </w:rPr>
        <w:t xml:space="preserve">145.292.370 </w:t>
      </w:r>
      <w:r w:rsidR="005925FE" w:rsidRPr="00A830CF">
        <w:rPr>
          <w:rFonts w:ascii="Arial" w:hAnsi="Arial" w:cs="Arial"/>
          <w:sz w:val="20"/>
          <w:szCs w:val="20"/>
        </w:rPr>
        <w:t>evrov.</w:t>
      </w:r>
    </w:p>
    <w:p w14:paraId="0B02A8E3" w14:textId="49D40714" w:rsidR="005925FE" w:rsidRPr="000E45EE" w:rsidRDefault="005925FE" w:rsidP="005925FE">
      <w:pPr>
        <w:spacing w:line="360" w:lineRule="auto"/>
        <w:jc w:val="both"/>
        <w:rPr>
          <w:rFonts w:ascii="Arial" w:hAnsi="Arial" w:cs="Arial"/>
          <w:sz w:val="20"/>
          <w:szCs w:val="20"/>
        </w:rPr>
      </w:pPr>
      <w:r w:rsidRPr="000E45EE">
        <w:rPr>
          <w:rFonts w:ascii="Arial" w:hAnsi="Arial" w:cs="Arial"/>
          <w:sz w:val="20"/>
          <w:szCs w:val="20"/>
        </w:rPr>
        <w:t xml:space="preserve">Pri gradnjah so naročniki </w:t>
      </w:r>
      <w:r w:rsidR="00FC6160" w:rsidRPr="000E45EE">
        <w:rPr>
          <w:rFonts w:ascii="Arial" w:hAnsi="Arial" w:cs="Arial"/>
          <w:sz w:val="20"/>
          <w:szCs w:val="20"/>
        </w:rPr>
        <w:t>vseh 1</w:t>
      </w:r>
      <w:r w:rsidR="000E45EE" w:rsidRPr="000E45EE">
        <w:rPr>
          <w:rFonts w:ascii="Arial" w:hAnsi="Arial" w:cs="Arial"/>
          <w:sz w:val="20"/>
          <w:szCs w:val="20"/>
        </w:rPr>
        <w:t>755</w:t>
      </w:r>
      <w:r w:rsidR="00FC6160" w:rsidRPr="000E45EE">
        <w:rPr>
          <w:rFonts w:ascii="Arial" w:hAnsi="Arial" w:cs="Arial"/>
          <w:sz w:val="20"/>
          <w:szCs w:val="20"/>
        </w:rPr>
        <w:t xml:space="preserve"> naročil </w:t>
      </w:r>
      <w:r w:rsidRPr="000E45EE">
        <w:rPr>
          <w:rFonts w:ascii="Arial" w:hAnsi="Arial" w:cs="Arial"/>
          <w:sz w:val="20"/>
          <w:szCs w:val="20"/>
        </w:rPr>
        <w:t xml:space="preserve">oddali </w:t>
      </w:r>
      <w:r w:rsidR="00FC6160" w:rsidRPr="000E45EE">
        <w:rPr>
          <w:rFonts w:ascii="Arial" w:hAnsi="Arial" w:cs="Arial"/>
          <w:sz w:val="20"/>
          <w:szCs w:val="20"/>
        </w:rPr>
        <w:t xml:space="preserve">za </w:t>
      </w:r>
      <w:r w:rsidRPr="000E45EE">
        <w:rPr>
          <w:rFonts w:ascii="Arial" w:hAnsi="Arial" w:cs="Arial"/>
          <w:sz w:val="20"/>
          <w:szCs w:val="20"/>
        </w:rPr>
        <w:t>gradbena dela</w:t>
      </w:r>
      <w:r w:rsidR="00FC6160" w:rsidRPr="000E45EE">
        <w:rPr>
          <w:rFonts w:ascii="Arial" w:hAnsi="Arial" w:cs="Arial"/>
          <w:sz w:val="20"/>
          <w:szCs w:val="20"/>
        </w:rPr>
        <w:t>, in sicer</w:t>
      </w:r>
      <w:r w:rsidRPr="000E45EE">
        <w:rPr>
          <w:rFonts w:ascii="Arial" w:hAnsi="Arial" w:cs="Arial"/>
          <w:sz w:val="20"/>
          <w:szCs w:val="20"/>
        </w:rPr>
        <w:t xml:space="preserve"> v vrednosti </w:t>
      </w:r>
      <w:r w:rsidR="000E45EE" w:rsidRPr="000E45EE">
        <w:rPr>
          <w:rFonts w:ascii="Arial" w:hAnsi="Arial" w:cs="Arial"/>
          <w:sz w:val="20"/>
          <w:szCs w:val="20"/>
        </w:rPr>
        <w:t xml:space="preserve">1.861.567.195 </w:t>
      </w:r>
      <w:r w:rsidRPr="000E45EE">
        <w:rPr>
          <w:rFonts w:ascii="Arial" w:hAnsi="Arial" w:cs="Arial"/>
          <w:sz w:val="20"/>
          <w:szCs w:val="20"/>
        </w:rPr>
        <w:t xml:space="preserve">evrov. </w:t>
      </w:r>
    </w:p>
    <w:p w14:paraId="1A90B355" w14:textId="77777777" w:rsidR="000D71AD" w:rsidRPr="00BF7302" w:rsidRDefault="000D71AD" w:rsidP="000D71AD">
      <w:pPr>
        <w:spacing w:after="0" w:line="240" w:lineRule="auto"/>
        <w:jc w:val="both"/>
        <w:rPr>
          <w:rFonts w:ascii="Arial" w:hAnsi="Arial" w:cs="Arial"/>
          <w:sz w:val="20"/>
          <w:szCs w:val="20"/>
          <w:highlight w:val="yellow"/>
        </w:rPr>
      </w:pPr>
    </w:p>
    <w:p w14:paraId="4CADEFEF" w14:textId="38674FE7" w:rsidR="00FF5F34" w:rsidRPr="00B410EB" w:rsidRDefault="00FF5F34" w:rsidP="00FF5F34">
      <w:pPr>
        <w:pStyle w:val="Naslov2"/>
        <w:rPr>
          <w:rFonts w:ascii="Arial" w:hAnsi="Arial" w:cs="Arial"/>
          <w:szCs w:val="20"/>
        </w:rPr>
      </w:pPr>
      <w:bookmarkStart w:id="34" w:name="_Toc141864066"/>
      <w:r w:rsidRPr="00B410EB">
        <w:rPr>
          <w:rFonts w:ascii="Arial" w:hAnsi="Arial" w:cs="Arial"/>
          <w:sz w:val="22"/>
          <w:szCs w:val="22"/>
        </w:rPr>
        <w:t>2.</w:t>
      </w:r>
      <w:r w:rsidR="00FA2740" w:rsidRPr="00B410EB">
        <w:rPr>
          <w:rFonts w:ascii="Arial" w:hAnsi="Arial" w:cs="Arial"/>
          <w:sz w:val="22"/>
          <w:szCs w:val="22"/>
        </w:rPr>
        <w:t>5</w:t>
      </w:r>
      <w:r w:rsidRPr="00B410EB">
        <w:rPr>
          <w:rFonts w:ascii="Arial" w:hAnsi="Arial" w:cs="Arial"/>
          <w:sz w:val="22"/>
          <w:szCs w:val="22"/>
        </w:rPr>
        <w:t xml:space="preserve"> Merila za oddajo javnega naročila</w:t>
      </w:r>
      <w:bookmarkEnd w:id="34"/>
    </w:p>
    <w:p w14:paraId="47DA7845" w14:textId="77777777" w:rsidR="00FF5F34" w:rsidRPr="00B410EB" w:rsidRDefault="00FF5F34" w:rsidP="00854405">
      <w:pPr>
        <w:pStyle w:val="ZADEVA"/>
        <w:jc w:val="both"/>
        <w:rPr>
          <w:rFonts w:cs="Arial"/>
          <w:b w:val="0"/>
          <w:szCs w:val="20"/>
          <w:lang w:val="sl-SI"/>
        </w:rPr>
      </w:pPr>
    </w:p>
    <w:p w14:paraId="582C97A0" w14:textId="1AB571E7" w:rsidR="00504FA5" w:rsidRPr="00B410EB" w:rsidRDefault="00F510BD" w:rsidP="007A055B">
      <w:pPr>
        <w:spacing w:line="360" w:lineRule="auto"/>
        <w:jc w:val="both"/>
        <w:rPr>
          <w:rFonts w:ascii="Arial" w:hAnsi="Arial" w:cs="Arial"/>
          <w:sz w:val="20"/>
          <w:szCs w:val="20"/>
        </w:rPr>
      </w:pPr>
      <w:r w:rsidRPr="00B410EB">
        <w:rPr>
          <w:rFonts w:ascii="Arial" w:hAnsi="Arial" w:cs="Arial"/>
          <w:sz w:val="20"/>
          <w:szCs w:val="20"/>
        </w:rPr>
        <w:t>Leta</w:t>
      </w:r>
      <w:r w:rsidR="00B75609" w:rsidRPr="00B410EB">
        <w:rPr>
          <w:rFonts w:ascii="Arial" w:hAnsi="Arial" w:cs="Arial"/>
          <w:sz w:val="20"/>
          <w:szCs w:val="20"/>
        </w:rPr>
        <w:t xml:space="preserve"> 20</w:t>
      </w:r>
      <w:r w:rsidR="004D3472" w:rsidRPr="00B410EB">
        <w:rPr>
          <w:rFonts w:ascii="Arial" w:hAnsi="Arial" w:cs="Arial"/>
          <w:sz w:val="20"/>
          <w:szCs w:val="20"/>
        </w:rPr>
        <w:t>2</w:t>
      </w:r>
      <w:r w:rsidR="00B410EB" w:rsidRPr="00B410EB">
        <w:rPr>
          <w:rFonts w:ascii="Arial" w:hAnsi="Arial" w:cs="Arial"/>
          <w:sz w:val="20"/>
          <w:szCs w:val="20"/>
        </w:rPr>
        <w:t>2</w:t>
      </w:r>
      <w:r w:rsidR="002149C7" w:rsidRPr="00B410EB">
        <w:rPr>
          <w:rFonts w:ascii="Arial" w:hAnsi="Arial" w:cs="Arial"/>
          <w:sz w:val="20"/>
          <w:szCs w:val="20"/>
        </w:rPr>
        <w:t xml:space="preserve"> so naročniki oddali </w:t>
      </w:r>
      <w:r w:rsidR="007F2520" w:rsidRPr="00B410EB">
        <w:rPr>
          <w:rFonts w:ascii="Arial" w:hAnsi="Arial" w:cs="Arial"/>
          <w:sz w:val="20"/>
          <w:szCs w:val="20"/>
        </w:rPr>
        <w:t>17.</w:t>
      </w:r>
      <w:r w:rsidR="00B410EB" w:rsidRPr="00B410EB">
        <w:rPr>
          <w:rFonts w:ascii="Arial" w:hAnsi="Arial" w:cs="Arial"/>
          <w:sz w:val="20"/>
          <w:szCs w:val="20"/>
        </w:rPr>
        <w:t>224</w:t>
      </w:r>
      <w:r w:rsidR="002149C7" w:rsidRPr="00B410EB">
        <w:rPr>
          <w:rFonts w:ascii="Arial" w:hAnsi="Arial" w:cs="Arial"/>
          <w:sz w:val="20"/>
          <w:szCs w:val="20"/>
        </w:rPr>
        <w:t xml:space="preserve"> naročil. Pri izbiri najugodnejšega ponudnika je bilo največkrat uporabljeno merilo cena, in sicer pri </w:t>
      </w:r>
      <w:r w:rsidR="00935191" w:rsidRPr="00B410EB">
        <w:rPr>
          <w:rFonts w:ascii="Arial" w:hAnsi="Arial" w:cs="Arial"/>
          <w:sz w:val="20"/>
          <w:szCs w:val="20"/>
        </w:rPr>
        <w:t>15.</w:t>
      </w:r>
      <w:r w:rsidR="00B410EB" w:rsidRPr="00B410EB">
        <w:rPr>
          <w:rFonts w:ascii="Arial" w:hAnsi="Arial" w:cs="Arial"/>
          <w:sz w:val="20"/>
          <w:szCs w:val="20"/>
        </w:rPr>
        <w:t>507</w:t>
      </w:r>
      <w:r w:rsidR="00B75609" w:rsidRPr="00B410EB">
        <w:rPr>
          <w:rFonts w:ascii="Arial" w:hAnsi="Arial" w:cs="Arial"/>
          <w:sz w:val="20"/>
          <w:szCs w:val="20"/>
        </w:rPr>
        <w:t xml:space="preserve"> </w:t>
      </w:r>
      <w:r w:rsidR="007A055B" w:rsidRPr="00B410EB">
        <w:rPr>
          <w:rFonts w:ascii="Arial" w:hAnsi="Arial" w:cs="Arial"/>
          <w:sz w:val="20"/>
          <w:szCs w:val="20"/>
        </w:rPr>
        <w:t xml:space="preserve">oddanih naročilih. </w:t>
      </w:r>
    </w:p>
    <w:p w14:paraId="4F47B9EB" w14:textId="22DE84A9" w:rsidR="002149C7" w:rsidRPr="00B410EB" w:rsidRDefault="002149C7" w:rsidP="008A61FD">
      <w:pPr>
        <w:spacing w:before="120" w:after="120" w:line="240" w:lineRule="auto"/>
        <w:jc w:val="both"/>
        <w:rPr>
          <w:rFonts w:ascii="Arial" w:hAnsi="Arial" w:cs="Arial"/>
          <w:sz w:val="20"/>
        </w:rPr>
      </w:pPr>
      <w:r w:rsidRPr="00B410EB">
        <w:rPr>
          <w:rFonts w:ascii="Arial" w:hAnsi="Arial" w:cs="Arial"/>
          <w:sz w:val="20"/>
        </w:rPr>
        <w:t xml:space="preserve">Preglednica </w:t>
      </w:r>
      <w:r w:rsidR="00512F52" w:rsidRPr="00B410EB">
        <w:rPr>
          <w:rFonts w:ascii="Arial" w:hAnsi="Arial" w:cs="Arial"/>
          <w:sz w:val="20"/>
        </w:rPr>
        <w:t>24</w:t>
      </w:r>
      <w:r w:rsidRPr="00B410EB">
        <w:rPr>
          <w:rFonts w:ascii="Arial" w:hAnsi="Arial" w:cs="Arial"/>
          <w:sz w:val="20"/>
        </w:rPr>
        <w:t>: Delež posameznega merila za izb</w:t>
      </w:r>
      <w:r w:rsidR="00C6284B" w:rsidRPr="00B410EB">
        <w:rPr>
          <w:rFonts w:ascii="Arial" w:hAnsi="Arial" w:cs="Arial"/>
          <w:sz w:val="20"/>
        </w:rPr>
        <w:t>iro</w:t>
      </w:r>
      <w:r w:rsidRPr="00B410EB">
        <w:rPr>
          <w:rFonts w:ascii="Arial" w:hAnsi="Arial" w:cs="Arial"/>
          <w:sz w:val="20"/>
        </w:rPr>
        <w:t xml:space="preserve"> </w:t>
      </w:r>
      <w:r w:rsidR="00C6284B" w:rsidRPr="00B410EB">
        <w:rPr>
          <w:rFonts w:ascii="Arial" w:hAnsi="Arial" w:cs="Arial"/>
          <w:sz w:val="20"/>
        </w:rPr>
        <w:t>po</w:t>
      </w:r>
      <w:r w:rsidRPr="00B410EB">
        <w:rPr>
          <w:rFonts w:ascii="Arial" w:hAnsi="Arial" w:cs="Arial"/>
          <w:sz w:val="20"/>
        </w:rPr>
        <w:t xml:space="preserve"> številu in vrednosti</w:t>
      </w:r>
      <w:r w:rsidR="00711C40" w:rsidRPr="00B410EB">
        <w:rPr>
          <w:rFonts w:ascii="Arial" w:hAnsi="Arial" w:cs="Arial"/>
          <w:sz w:val="20"/>
        </w:rPr>
        <w:t xml:space="preserve"> naročil</w:t>
      </w:r>
    </w:p>
    <w:tbl>
      <w:tblPr>
        <w:tblW w:w="7818" w:type="dxa"/>
        <w:jc w:val="center"/>
        <w:tblCellMar>
          <w:left w:w="70" w:type="dxa"/>
          <w:right w:w="70" w:type="dxa"/>
        </w:tblCellMar>
        <w:tblLook w:val="04A0" w:firstRow="1" w:lastRow="0" w:firstColumn="1" w:lastColumn="0" w:noHBand="0" w:noVBand="1"/>
      </w:tblPr>
      <w:tblGrid>
        <w:gridCol w:w="3589"/>
        <w:gridCol w:w="962"/>
        <w:gridCol w:w="1343"/>
        <w:gridCol w:w="962"/>
        <w:gridCol w:w="962"/>
      </w:tblGrid>
      <w:tr w:rsidR="004D3472" w:rsidRPr="00B410EB" w14:paraId="77F963F1" w14:textId="77777777" w:rsidTr="00CD447F">
        <w:trPr>
          <w:trHeight w:val="255"/>
          <w:jc w:val="center"/>
        </w:trPr>
        <w:tc>
          <w:tcPr>
            <w:tcW w:w="35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A5DFE3" w14:textId="77777777" w:rsidR="004D3472" w:rsidRPr="00B410EB" w:rsidRDefault="004D3472" w:rsidP="004D3472">
            <w:pPr>
              <w:spacing w:after="0" w:line="240" w:lineRule="auto"/>
              <w:jc w:val="center"/>
              <w:rPr>
                <w:rFonts w:ascii="Arial" w:eastAsia="Times New Roman" w:hAnsi="Arial" w:cs="Arial"/>
                <w:color w:val="000000"/>
                <w:sz w:val="18"/>
                <w:szCs w:val="18"/>
                <w:lang w:eastAsia="sl-SI"/>
              </w:rPr>
            </w:pPr>
            <w:r w:rsidRPr="00B410EB">
              <w:rPr>
                <w:rFonts w:ascii="Arial" w:eastAsia="Times New Roman" w:hAnsi="Arial" w:cs="Arial"/>
                <w:color w:val="000000"/>
                <w:sz w:val="18"/>
                <w:szCs w:val="18"/>
                <w:lang w:eastAsia="sl-SI"/>
              </w:rPr>
              <w:t>Merilo</w:t>
            </w:r>
          </w:p>
        </w:tc>
        <w:tc>
          <w:tcPr>
            <w:tcW w:w="96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C8AE7E5" w14:textId="77777777" w:rsidR="004D3472" w:rsidRPr="00B410EB" w:rsidRDefault="004D3472" w:rsidP="004D3472">
            <w:pPr>
              <w:spacing w:after="0" w:line="240" w:lineRule="auto"/>
              <w:jc w:val="center"/>
              <w:rPr>
                <w:rFonts w:ascii="Arial" w:eastAsia="Times New Roman" w:hAnsi="Arial" w:cs="Arial"/>
                <w:color w:val="000000"/>
                <w:sz w:val="18"/>
                <w:szCs w:val="18"/>
                <w:lang w:eastAsia="sl-SI"/>
              </w:rPr>
            </w:pPr>
            <w:r w:rsidRPr="00B410EB">
              <w:rPr>
                <w:rFonts w:ascii="Arial" w:eastAsia="Times New Roman" w:hAnsi="Arial" w:cs="Arial"/>
                <w:color w:val="000000"/>
                <w:sz w:val="18"/>
                <w:szCs w:val="18"/>
                <w:lang w:eastAsia="sl-SI"/>
              </w:rPr>
              <w:t>Št. naročil</w:t>
            </w:r>
          </w:p>
        </w:tc>
        <w:tc>
          <w:tcPr>
            <w:tcW w:w="134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7EF33B4" w14:textId="77777777" w:rsidR="004D3472" w:rsidRPr="00B410EB" w:rsidRDefault="004D3472" w:rsidP="004D3472">
            <w:pPr>
              <w:spacing w:after="0" w:line="240" w:lineRule="auto"/>
              <w:jc w:val="center"/>
              <w:rPr>
                <w:rFonts w:ascii="Arial" w:eastAsia="Times New Roman" w:hAnsi="Arial" w:cs="Arial"/>
                <w:color w:val="000000"/>
                <w:sz w:val="18"/>
                <w:szCs w:val="18"/>
                <w:lang w:eastAsia="sl-SI"/>
              </w:rPr>
            </w:pPr>
            <w:r w:rsidRPr="00B410EB">
              <w:rPr>
                <w:rFonts w:ascii="Arial" w:eastAsia="Times New Roman" w:hAnsi="Arial" w:cs="Arial"/>
                <w:color w:val="000000"/>
                <w:sz w:val="18"/>
                <w:szCs w:val="18"/>
                <w:lang w:eastAsia="sl-SI"/>
              </w:rPr>
              <w:t xml:space="preserve">Pogodbena vrednost </w:t>
            </w:r>
          </w:p>
        </w:tc>
        <w:tc>
          <w:tcPr>
            <w:tcW w:w="96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E9F4F71" w14:textId="77777777" w:rsidR="004D3472" w:rsidRPr="00B410EB" w:rsidRDefault="004D3472" w:rsidP="004D3472">
            <w:pPr>
              <w:spacing w:after="0" w:line="240" w:lineRule="auto"/>
              <w:jc w:val="center"/>
              <w:rPr>
                <w:rFonts w:ascii="Arial" w:eastAsia="Times New Roman" w:hAnsi="Arial" w:cs="Arial"/>
                <w:color w:val="000000"/>
                <w:sz w:val="18"/>
                <w:szCs w:val="18"/>
                <w:lang w:eastAsia="sl-SI"/>
              </w:rPr>
            </w:pPr>
            <w:r w:rsidRPr="00B410EB">
              <w:rPr>
                <w:rFonts w:ascii="Arial" w:eastAsia="Times New Roman" w:hAnsi="Arial" w:cs="Arial"/>
                <w:color w:val="000000"/>
                <w:sz w:val="18"/>
                <w:szCs w:val="18"/>
                <w:lang w:eastAsia="sl-SI"/>
              </w:rPr>
              <w:t>Delež v št. naročil</w:t>
            </w:r>
          </w:p>
        </w:tc>
        <w:tc>
          <w:tcPr>
            <w:tcW w:w="96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0B76DBA" w14:textId="77777777" w:rsidR="004D3472" w:rsidRPr="00B410EB" w:rsidRDefault="004D3472" w:rsidP="004D3472">
            <w:pPr>
              <w:spacing w:after="0" w:line="240" w:lineRule="auto"/>
              <w:jc w:val="center"/>
              <w:rPr>
                <w:rFonts w:ascii="Arial" w:eastAsia="Times New Roman" w:hAnsi="Arial" w:cs="Arial"/>
                <w:color w:val="000000"/>
                <w:sz w:val="18"/>
                <w:szCs w:val="18"/>
                <w:lang w:eastAsia="sl-SI"/>
              </w:rPr>
            </w:pPr>
            <w:r w:rsidRPr="00B410EB">
              <w:rPr>
                <w:rFonts w:ascii="Arial" w:eastAsia="Times New Roman" w:hAnsi="Arial" w:cs="Arial"/>
                <w:color w:val="000000"/>
                <w:sz w:val="18"/>
                <w:szCs w:val="18"/>
                <w:lang w:eastAsia="sl-SI"/>
              </w:rPr>
              <w:t>Delež v vrednosti</w:t>
            </w:r>
          </w:p>
        </w:tc>
      </w:tr>
      <w:tr w:rsidR="00B410EB" w:rsidRPr="00B410EB" w14:paraId="5032DC6C" w14:textId="77777777" w:rsidTr="00B410EB">
        <w:trPr>
          <w:trHeight w:val="255"/>
          <w:jc w:val="center"/>
        </w:trPr>
        <w:tc>
          <w:tcPr>
            <w:tcW w:w="3589" w:type="dxa"/>
            <w:tcBorders>
              <w:top w:val="nil"/>
              <w:left w:val="single" w:sz="4" w:space="0" w:color="auto"/>
              <w:bottom w:val="single" w:sz="4" w:space="0" w:color="auto"/>
              <w:right w:val="single" w:sz="4" w:space="0" w:color="auto"/>
            </w:tcBorders>
            <w:shd w:val="clear" w:color="auto" w:fill="auto"/>
            <w:vAlign w:val="center"/>
            <w:hideMark/>
          </w:tcPr>
          <w:p w14:paraId="357BF98E" w14:textId="77777777" w:rsidR="00B410EB" w:rsidRPr="00B410EB" w:rsidRDefault="00B410EB" w:rsidP="00B410EB">
            <w:pPr>
              <w:spacing w:after="0" w:line="240" w:lineRule="auto"/>
              <w:jc w:val="both"/>
              <w:rPr>
                <w:rFonts w:ascii="Arial" w:eastAsia="Times New Roman" w:hAnsi="Arial" w:cs="Arial"/>
                <w:color w:val="000000"/>
                <w:sz w:val="18"/>
                <w:szCs w:val="18"/>
                <w:lang w:eastAsia="sl-SI"/>
              </w:rPr>
            </w:pPr>
            <w:r w:rsidRPr="00B410EB">
              <w:rPr>
                <w:rFonts w:ascii="Arial" w:eastAsia="Times New Roman" w:hAnsi="Arial" w:cs="Arial"/>
                <w:color w:val="000000"/>
                <w:sz w:val="18"/>
                <w:szCs w:val="18"/>
                <w:lang w:eastAsia="sl-SI"/>
              </w:rPr>
              <w:t>Cena</w:t>
            </w:r>
          </w:p>
        </w:tc>
        <w:tc>
          <w:tcPr>
            <w:tcW w:w="962" w:type="dxa"/>
            <w:tcBorders>
              <w:top w:val="nil"/>
              <w:left w:val="nil"/>
              <w:bottom w:val="single" w:sz="4" w:space="0" w:color="auto"/>
              <w:right w:val="single" w:sz="4" w:space="0" w:color="auto"/>
            </w:tcBorders>
            <w:shd w:val="clear" w:color="auto" w:fill="auto"/>
            <w:vAlign w:val="center"/>
            <w:hideMark/>
          </w:tcPr>
          <w:p w14:paraId="702190BA" w14:textId="72D9B061" w:rsidR="00B410EB" w:rsidRPr="00B410EB" w:rsidRDefault="00B410EB" w:rsidP="00B410EB">
            <w:pPr>
              <w:spacing w:after="0" w:line="240" w:lineRule="auto"/>
              <w:jc w:val="right"/>
              <w:rPr>
                <w:rFonts w:ascii="Arial" w:eastAsia="Times New Roman" w:hAnsi="Arial" w:cs="Arial"/>
                <w:color w:val="000000"/>
                <w:sz w:val="18"/>
                <w:szCs w:val="18"/>
                <w:lang w:eastAsia="sl-SI"/>
              </w:rPr>
            </w:pPr>
            <w:r w:rsidRPr="00B410EB">
              <w:rPr>
                <w:rFonts w:ascii="Arial" w:eastAsia="Times New Roman" w:hAnsi="Arial" w:cs="Arial"/>
                <w:color w:val="000000"/>
                <w:sz w:val="18"/>
                <w:szCs w:val="18"/>
                <w:lang w:eastAsia="sl-SI"/>
              </w:rPr>
              <w:t>15.507</w:t>
            </w:r>
          </w:p>
        </w:tc>
        <w:tc>
          <w:tcPr>
            <w:tcW w:w="1343" w:type="dxa"/>
            <w:tcBorders>
              <w:top w:val="nil"/>
              <w:left w:val="nil"/>
              <w:bottom w:val="single" w:sz="4" w:space="0" w:color="auto"/>
              <w:right w:val="single" w:sz="4" w:space="0" w:color="auto"/>
            </w:tcBorders>
            <w:shd w:val="clear" w:color="auto" w:fill="auto"/>
            <w:vAlign w:val="center"/>
            <w:hideMark/>
          </w:tcPr>
          <w:p w14:paraId="52BA2F19" w14:textId="3BDD11FE" w:rsidR="00B410EB" w:rsidRPr="00B410EB" w:rsidRDefault="00B410EB" w:rsidP="00B410EB">
            <w:pPr>
              <w:spacing w:after="0" w:line="240" w:lineRule="auto"/>
              <w:jc w:val="right"/>
              <w:rPr>
                <w:rFonts w:ascii="Arial" w:eastAsia="Times New Roman" w:hAnsi="Arial" w:cs="Arial"/>
                <w:color w:val="000000"/>
                <w:sz w:val="18"/>
                <w:szCs w:val="18"/>
                <w:lang w:eastAsia="sl-SI"/>
              </w:rPr>
            </w:pPr>
            <w:r w:rsidRPr="00B410EB">
              <w:rPr>
                <w:rFonts w:ascii="Arial" w:eastAsia="Times New Roman" w:hAnsi="Arial" w:cs="Arial"/>
                <w:color w:val="000000"/>
                <w:sz w:val="18"/>
                <w:szCs w:val="18"/>
                <w:lang w:eastAsia="sl-SI"/>
              </w:rPr>
              <w:t>5.006.988.555</w:t>
            </w:r>
          </w:p>
        </w:tc>
        <w:tc>
          <w:tcPr>
            <w:tcW w:w="962" w:type="dxa"/>
            <w:tcBorders>
              <w:top w:val="nil"/>
              <w:left w:val="nil"/>
              <w:bottom w:val="single" w:sz="4" w:space="0" w:color="auto"/>
              <w:right w:val="single" w:sz="4" w:space="0" w:color="auto"/>
            </w:tcBorders>
            <w:shd w:val="clear" w:color="auto" w:fill="auto"/>
            <w:vAlign w:val="center"/>
            <w:hideMark/>
          </w:tcPr>
          <w:p w14:paraId="4BADB1EA" w14:textId="05AEDEAC" w:rsidR="00B410EB" w:rsidRPr="00B410EB" w:rsidRDefault="00B410EB" w:rsidP="00B410EB">
            <w:pPr>
              <w:spacing w:after="0" w:line="240" w:lineRule="auto"/>
              <w:jc w:val="right"/>
              <w:rPr>
                <w:rFonts w:ascii="Arial" w:eastAsia="Times New Roman" w:hAnsi="Arial" w:cs="Arial"/>
                <w:color w:val="000000"/>
                <w:sz w:val="18"/>
                <w:szCs w:val="18"/>
                <w:lang w:eastAsia="sl-SI"/>
              </w:rPr>
            </w:pPr>
            <w:r w:rsidRPr="00B410EB">
              <w:rPr>
                <w:rFonts w:ascii="Arial" w:eastAsia="Times New Roman" w:hAnsi="Arial" w:cs="Arial"/>
                <w:color w:val="000000"/>
                <w:sz w:val="18"/>
                <w:szCs w:val="18"/>
                <w:lang w:eastAsia="sl-SI"/>
              </w:rPr>
              <w:t>90,03 %</w:t>
            </w:r>
          </w:p>
        </w:tc>
        <w:tc>
          <w:tcPr>
            <w:tcW w:w="962" w:type="dxa"/>
            <w:tcBorders>
              <w:top w:val="nil"/>
              <w:left w:val="nil"/>
              <w:bottom w:val="single" w:sz="4" w:space="0" w:color="auto"/>
              <w:right w:val="single" w:sz="4" w:space="0" w:color="auto"/>
            </w:tcBorders>
            <w:shd w:val="clear" w:color="auto" w:fill="auto"/>
            <w:vAlign w:val="center"/>
            <w:hideMark/>
          </w:tcPr>
          <w:p w14:paraId="618F440F" w14:textId="20D581D0" w:rsidR="00B410EB" w:rsidRPr="00B410EB" w:rsidRDefault="00B410EB" w:rsidP="00B410EB">
            <w:pPr>
              <w:spacing w:after="0" w:line="240" w:lineRule="auto"/>
              <w:jc w:val="right"/>
              <w:rPr>
                <w:rFonts w:ascii="Arial" w:eastAsia="Times New Roman" w:hAnsi="Arial" w:cs="Arial"/>
                <w:color w:val="000000"/>
                <w:sz w:val="18"/>
                <w:szCs w:val="18"/>
                <w:lang w:eastAsia="sl-SI"/>
              </w:rPr>
            </w:pPr>
            <w:r w:rsidRPr="00B410EB">
              <w:rPr>
                <w:rFonts w:ascii="Arial" w:eastAsia="Times New Roman" w:hAnsi="Arial" w:cs="Arial"/>
                <w:color w:val="000000"/>
                <w:sz w:val="18"/>
                <w:szCs w:val="18"/>
                <w:lang w:eastAsia="sl-SI"/>
              </w:rPr>
              <w:t>92,43 %</w:t>
            </w:r>
          </w:p>
        </w:tc>
      </w:tr>
      <w:tr w:rsidR="00B410EB" w:rsidRPr="00B410EB" w14:paraId="61F3A774" w14:textId="77777777" w:rsidTr="00B410EB">
        <w:trPr>
          <w:trHeight w:val="255"/>
          <w:jc w:val="center"/>
        </w:trPr>
        <w:tc>
          <w:tcPr>
            <w:tcW w:w="3589" w:type="dxa"/>
            <w:tcBorders>
              <w:top w:val="nil"/>
              <w:left w:val="single" w:sz="4" w:space="0" w:color="auto"/>
              <w:bottom w:val="single" w:sz="4" w:space="0" w:color="auto"/>
              <w:right w:val="single" w:sz="4" w:space="0" w:color="auto"/>
            </w:tcBorders>
            <w:shd w:val="clear" w:color="auto" w:fill="auto"/>
            <w:vAlign w:val="center"/>
            <w:hideMark/>
          </w:tcPr>
          <w:p w14:paraId="4A3F076E" w14:textId="77777777" w:rsidR="00B410EB" w:rsidRPr="00B410EB" w:rsidRDefault="00B410EB" w:rsidP="00B410EB">
            <w:pPr>
              <w:spacing w:after="0" w:line="240" w:lineRule="auto"/>
              <w:jc w:val="both"/>
              <w:rPr>
                <w:rFonts w:ascii="Arial" w:eastAsia="Times New Roman" w:hAnsi="Arial" w:cs="Arial"/>
                <w:color w:val="000000"/>
                <w:sz w:val="18"/>
                <w:szCs w:val="18"/>
                <w:lang w:eastAsia="sl-SI"/>
              </w:rPr>
            </w:pPr>
            <w:r w:rsidRPr="00B410EB">
              <w:rPr>
                <w:rFonts w:ascii="Arial" w:eastAsia="Times New Roman" w:hAnsi="Arial" w:cs="Arial"/>
                <w:color w:val="000000"/>
                <w:sz w:val="18"/>
                <w:szCs w:val="18"/>
                <w:lang w:eastAsia="sl-SI"/>
              </w:rPr>
              <w:t>Ekonomsko najugodnejša ponudba</w:t>
            </w:r>
          </w:p>
        </w:tc>
        <w:tc>
          <w:tcPr>
            <w:tcW w:w="962" w:type="dxa"/>
            <w:tcBorders>
              <w:top w:val="nil"/>
              <w:left w:val="nil"/>
              <w:bottom w:val="single" w:sz="4" w:space="0" w:color="auto"/>
              <w:right w:val="single" w:sz="4" w:space="0" w:color="auto"/>
            </w:tcBorders>
            <w:shd w:val="clear" w:color="auto" w:fill="auto"/>
            <w:vAlign w:val="center"/>
            <w:hideMark/>
          </w:tcPr>
          <w:p w14:paraId="6F0CEBE3" w14:textId="67CC555F" w:rsidR="00B410EB" w:rsidRPr="00B410EB" w:rsidRDefault="00B410EB" w:rsidP="00B410EB">
            <w:pPr>
              <w:spacing w:after="0" w:line="240" w:lineRule="auto"/>
              <w:jc w:val="right"/>
              <w:rPr>
                <w:rFonts w:ascii="Arial" w:eastAsia="Times New Roman" w:hAnsi="Arial" w:cs="Arial"/>
                <w:color w:val="000000"/>
                <w:sz w:val="18"/>
                <w:szCs w:val="18"/>
                <w:lang w:eastAsia="sl-SI"/>
              </w:rPr>
            </w:pPr>
            <w:r w:rsidRPr="00B410EB">
              <w:rPr>
                <w:rFonts w:ascii="Arial" w:eastAsia="Times New Roman" w:hAnsi="Arial" w:cs="Arial"/>
                <w:color w:val="000000"/>
                <w:sz w:val="18"/>
                <w:szCs w:val="18"/>
                <w:lang w:eastAsia="sl-SI"/>
              </w:rPr>
              <w:t>1.717</w:t>
            </w:r>
          </w:p>
        </w:tc>
        <w:tc>
          <w:tcPr>
            <w:tcW w:w="1343" w:type="dxa"/>
            <w:tcBorders>
              <w:top w:val="nil"/>
              <w:left w:val="nil"/>
              <w:bottom w:val="single" w:sz="4" w:space="0" w:color="auto"/>
              <w:right w:val="single" w:sz="4" w:space="0" w:color="auto"/>
            </w:tcBorders>
            <w:shd w:val="clear" w:color="auto" w:fill="auto"/>
            <w:vAlign w:val="center"/>
            <w:hideMark/>
          </w:tcPr>
          <w:p w14:paraId="5DC25701" w14:textId="43922DBF" w:rsidR="00B410EB" w:rsidRPr="00B410EB" w:rsidRDefault="00B410EB" w:rsidP="00B410EB">
            <w:pPr>
              <w:spacing w:after="0" w:line="240" w:lineRule="auto"/>
              <w:jc w:val="right"/>
              <w:rPr>
                <w:rFonts w:ascii="Arial" w:eastAsia="Times New Roman" w:hAnsi="Arial" w:cs="Arial"/>
                <w:color w:val="000000"/>
                <w:sz w:val="18"/>
                <w:szCs w:val="18"/>
                <w:lang w:eastAsia="sl-SI"/>
              </w:rPr>
            </w:pPr>
            <w:r w:rsidRPr="00B410EB">
              <w:rPr>
                <w:rFonts w:ascii="Arial" w:eastAsia="Times New Roman" w:hAnsi="Arial" w:cs="Arial"/>
                <w:color w:val="000000"/>
                <w:sz w:val="18"/>
                <w:szCs w:val="18"/>
                <w:lang w:eastAsia="sl-SI"/>
              </w:rPr>
              <w:t>410.117.347</w:t>
            </w:r>
          </w:p>
        </w:tc>
        <w:tc>
          <w:tcPr>
            <w:tcW w:w="962" w:type="dxa"/>
            <w:tcBorders>
              <w:top w:val="nil"/>
              <w:left w:val="nil"/>
              <w:bottom w:val="single" w:sz="4" w:space="0" w:color="auto"/>
              <w:right w:val="single" w:sz="4" w:space="0" w:color="auto"/>
            </w:tcBorders>
            <w:shd w:val="clear" w:color="auto" w:fill="auto"/>
            <w:vAlign w:val="center"/>
            <w:hideMark/>
          </w:tcPr>
          <w:p w14:paraId="03909ECE" w14:textId="20A12E80" w:rsidR="00B410EB" w:rsidRPr="00B410EB" w:rsidRDefault="00B410EB" w:rsidP="00B410EB">
            <w:pPr>
              <w:spacing w:after="0" w:line="240" w:lineRule="auto"/>
              <w:jc w:val="right"/>
              <w:rPr>
                <w:rFonts w:ascii="Arial" w:eastAsia="Times New Roman" w:hAnsi="Arial" w:cs="Arial"/>
                <w:color w:val="000000"/>
                <w:sz w:val="18"/>
                <w:szCs w:val="18"/>
                <w:lang w:eastAsia="sl-SI"/>
              </w:rPr>
            </w:pPr>
            <w:r w:rsidRPr="00B410EB">
              <w:rPr>
                <w:rFonts w:ascii="Arial" w:eastAsia="Times New Roman" w:hAnsi="Arial" w:cs="Arial"/>
                <w:color w:val="000000"/>
                <w:sz w:val="18"/>
                <w:szCs w:val="18"/>
                <w:lang w:eastAsia="sl-SI"/>
              </w:rPr>
              <w:t>9,97 %</w:t>
            </w:r>
          </w:p>
        </w:tc>
        <w:tc>
          <w:tcPr>
            <w:tcW w:w="962" w:type="dxa"/>
            <w:tcBorders>
              <w:top w:val="nil"/>
              <w:left w:val="nil"/>
              <w:bottom w:val="single" w:sz="4" w:space="0" w:color="auto"/>
              <w:right w:val="single" w:sz="4" w:space="0" w:color="auto"/>
            </w:tcBorders>
            <w:shd w:val="clear" w:color="auto" w:fill="auto"/>
            <w:vAlign w:val="center"/>
            <w:hideMark/>
          </w:tcPr>
          <w:p w14:paraId="5E28E55A" w14:textId="39E1D2BE" w:rsidR="00B410EB" w:rsidRPr="00B410EB" w:rsidRDefault="00B410EB" w:rsidP="00B410EB">
            <w:pPr>
              <w:spacing w:after="0" w:line="240" w:lineRule="auto"/>
              <w:jc w:val="right"/>
              <w:rPr>
                <w:rFonts w:ascii="Arial" w:eastAsia="Times New Roman" w:hAnsi="Arial" w:cs="Arial"/>
                <w:color w:val="000000"/>
                <w:sz w:val="18"/>
                <w:szCs w:val="18"/>
                <w:lang w:eastAsia="sl-SI"/>
              </w:rPr>
            </w:pPr>
            <w:r w:rsidRPr="00B410EB">
              <w:rPr>
                <w:rFonts w:ascii="Arial" w:eastAsia="Times New Roman" w:hAnsi="Arial" w:cs="Arial"/>
                <w:color w:val="000000"/>
                <w:sz w:val="18"/>
                <w:szCs w:val="18"/>
                <w:lang w:eastAsia="sl-SI"/>
              </w:rPr>
              <w:t>7,57 %</w:t>
            </w:r>
          </w:p>
        </w:tc>
      </w:tr>
      <w:tr w:rsidR="00B410EB" w:rsidRPr="00B410EB" w14:paraId="016F566D" w14:textId="77777777" w:rsidTr="00B410EB">
        <w:trPr>
          <w:trHeight w:val="255"/>
          <w:jc w:val="center"/>
        </w:trPr>
        <w:tc>
          <w:tcPr>
            <w:tcW w:w="358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B6BED59" w14:textId="77777777" w:rsidR="00B410EB" w:rsidRPr="00B410EB" w:rsidRDefault="00B410EB" w:rsidP="00B410EB">
            <w:pPr>
              <w:spacing w:after="0" w:line="240" w:lineRule="auto"/>
              <w:jc w:val="both"/>
              <w:rPr>
                <w:rFonts w:ascii="Arial" w:eastAsia="Times New Roman" w:hAnsi="Arial" w:cs="Arial"/>
                <w:b/>
                <w:bCs/>
                <w:color w:val="000000"/>
                <w:sz w:val="18"/>
                <w:szCs w:val="18"/>
                <w:lang w:eastAsia="sl-SI"/>
              </w:rPr>
            </w:pPr>
            <w:r w:rsidRPr="00B410EB">
              <w:rPr>
                <w:rFonts w:ascii="Arial" w:eastAsia="Times New Roman" w:hAnsi="Arial" w:cs="Arial"/>
                <w:b/>
                <w:bCs/>
                <w:color w:val="000000"/>
                <w:sz w:val="18"/>
                <w:szCs w:val="18"/>
                <w:lang w:eastAsia="sl-SI"/>
              </w:rPr>
              <w:t>Skupaj</w:t>
            </w:r>
          </w:p>
        </w:tc>
        <w:tc>
          <w:tcPr>
            <w:tcW w:w="962" w:type="dxa"/>
            <w:tcBorders>
              <w:top w:val="nil"/>
              <w:left w:val="nil"/>
              <w:bottom w:val="single" w:sz="4" w:space="0" w:color="auto"/>
              <w:right w:val="single" w:sz="4" w:space="0" w:color="auto"/>
            </w:tcBorders>
            <w:shd w:val="clear" w:color="auto" w:fill="F2F2F2" w:themeFill="background1" w:themeFillShade="F2"/>
            <w:vAlign w:val="center"/>
            <w:hideMark/>
          </w:tcPr>
          <w:p w14:paraId="567D51DD" w14:textId="6D858335" w:rsidR="00B410EB" w:rsidRPr="00B410EB" w:rsidRDefault="00B410EB" w:rsidP="00B410EB">
            <w:pPr>
              <w:spacing w:after="0" w:line="240" w:lineRule="auto"/>
              <w:jc w:val="right"/>
              <w:rPr>
                <w:rFonts w:ascii="Arial" w:eastAsia="Times New Roman" w:hAnsi="Arial" w:cs="Arial"/>
                <w:b/>
                <w:bCs/>
                <w:color w:val="000000"/>
                <w:sz w:val="18"/>
                <w:szCs w:val="18"/>
                <w:lang w:eastAsia="sl-SI"/>
              </w:rPr>
            </w:pPr>
            <w:r w:rsidRPr="00B410EB">
              <w:rPr>
                <w:rFonts w:ascii="Arial" w:eastAsia="Times New Roman" w:hAnsi="Arial" w:cs="Arial"/>
                <w:b/>
                <w:bCs/>
                <w:color w:val="000000"/>
                <w:sz w:val="18"/>
                <w:szCs w:val="18"/>
                <w:lang w:eastAsia="sl-SI"/>
              </w:rPr>
              <w:t>17.224</w:t>
            </w:r>
          </w:p>
        </w:tc>
        <w:tc>
          <w:tcPr>
            <w:tcW w:w="1343" w:type="dxa"/>
            <w:tcBorders>
              <w:top w:val="nil"/>
              <w:left w:val="nil"/>
              <w:bottom w:val="single" w:sz="4" w:space="0" w:color="auto"/>
              <w:right w:val="single" w:sz="4" w:space="0" w:color="auto"/>
            </w:tcBorders>
            <w:shd w:val="clear" w:color="auto" w:fill="F2F2F2" w:themeFill="background1" w:themeFillShade="F2"/>
            <w:vAlign w:val="center"/>
            <w:hideMark/>
          </w:tcPr>
          <w:p w14:paraId="20BA5FA8" w14:textId="58951310" w:rsidR="00B410EB" w:rsidRPr="00B410EB" w:rsidRDefault="00B410EB" w:rsidP="00B410EB">
            <w:pPr>
              <w:spacing w:after="0" w:line="240" w:lineRule="auto"/>
              <w:jc w:val="right"/>
              <w:rPr>
                <w:rFonts w:ascii="Arial" w:eastAsia="Times New Roman" w:hAnsi="Arial" w:cs="Arial"/>
                <w:b/>
                <w:bCs/>
                <w:color w:val="000000"/>
                <w:sz w:val="18"/>
                <w:szCs w:val="18"/>
                <w:lang w:eastAsia="sl-SI"/>
              </w:rPr>
            </w:pPr>
            <w:r w:rsidRPr="00B410EB">
              <w:rPr>
                <w:rFonts w:ascii="Arial" w:eastAsia="Times New Roman" w:hAnsi="Arial" w:cs="Arial"/>
                <w:b/>
                <w:bCs/>
                <w:color w:val="000000"/>
                <w:sz w:val="18"/>
                <w:szCs w:val="18"/>
                <w:lang w:eastAsia="sl-SI"/>
              </w:rPr>
              <w:t>5.417.105.902</w:t>
            </w:r>
          </w:p>
        </w:tc>
        <w:tc>
          <w:tcPr>
            <w:tcW w:w="962" w:type="dxa"/>
            <w:tcBorders>
              <w:top w:val="nil"/>
              <w:left w:val="nil"/>
              <w:bottom w:val="single" w:sz="4" w:space="0" w:color="auto"/>
              <w:right w:val="single" w:sz="4" w:space="0" w:color="auto"/>
            </w:tcBorders>
            <w:shd w:val="clear" w:color="auto" w:fill="F2F2F2" w:themeFill="background1" w:themeFillShade="F2"/>
            <w:vAlign w:val="center"/>
            <w:hideMark/>
          </w:tcPr>
          <w:p w14:paraId="28F477BD" w14:textId="628198F3" w:rsidR="00B410EB" w:rsidRPr="00B410EB" w:rsidRDefault="00B410EB" w:rsidP="00B410EB">
            <w:pPr>
              <w:spacing w:after="0" w:line="240" w:lineRule="auto"/>
              <w:jc w:val="right"/>
              <w:rPr>
                <w:rFonts w:ascii="Arial" w:eastAsia="Times New Roman" w:hAnsi="Arial" w:cs="Arial"/>
                <w:b/>
                <w:bCs/>
                <w:color w:val="000000"/>
                <w:sz w:val="18"/>
                <w:szCs w:val="18"/>
                <w:lang w:eastAsia="sl-SI"/>
              </w:rPr>
            </w:pPr>
            <w:r w:rsidRPr="00B410EB">
              <w:rPr>
                <w:rFonts w:ascii="Arial" w:eastAsia="Times New Roman" w:hAnsi="Arial" w:cs="Arial"/>
                <w:b/>
                <w:bCs/>
                <w:color w:val="000000"/>
                <w:sz w:val="18"/>
                <w:szCs w:val="18"/>
                <w:lang w:eastAsia="sl-SI"/>
              </w:rPr>
              <w:t>100,00 %</w:t>
            </w:r>
          </w:p>
        </w:tc>
        <w:tc>
          <w:tcPr>
            <w:tcW w:w="962" w:type="dxa"/>
            <w:tcBorders>
              <w:top w:val="nil"/>
              <w:left w:val="nil"/>
              <w:bottom w:val="single" w:sz="4" w:space="0" w:color="auto"/>
              <w:right w:val="single" w:sz="4" w:space="0" w:color="auto"/>
            </w:tcBorders>
            <w:shd w:val="clear" w:color="auto" w:fill="F2F2F2" w:themeFill="background1" w:themeFillShade="F2"/>
            <w:vAlign w:val="center"/>
            <w:hideMark/>
          </w:tcPr>
          <w:p w14:paraId="45A260FB" w14:textId="275E961F" w:rsidR="00B410EB" w:rsidRPr="00B410EB" w:rsidRDefault="00B410EB" w:rsidP="00B410EB">
            <w:pPr>
              <w:spacing w:after="0" w:line="240" w:lineRule="auto"/>
              <w:jc w:val="right"/>
              <w:rPr>
                <w:rFonts w:ascii="Arial" w:eastAsia="Times New Roman" w:hAnsi="Arial" w:cs="Arial"/>
                <w:b/>
                <w:bCs/>
                <w:color w:val="000000"/>
                <w:sz w:val="18"/>
                <w:szCs w:val="18"/>
                <w:lang w:eastAsia="sl-SI"/>
              </w:rPr>
            </w:pPr>
            <w:r w:rsidRPr="00B410EB">
              <w:rPr>
                <w:rFonts w:ascii="Arial" w:eastAsia="Times New Roman" w:hAnsi="Arial" w:cs="Arial"/>
                <w:b/>
                <w:bCs/>
                <w:color w:val="000000"/>
                <w:sz w:val="18"/>
                <w:szCs w:val="18"/>
                <w:lang w:eastAsia="sl-SI"/>
              </w:rPr>
              <w:t>100,00 %</w:t>
            </w:r>
          </w:p>
        </w:tc>
      </w:tr>
    </w:tbl>
    <w:p w14:paraId="05680F58" w14:textId="77777777" w:rsidR="004A613D" w:rsidRPr="00B410EB" w:rsidRDefault="004A613D" w:rsidP="004A613D">
      <w:pPr>
        <w:spacing w:after="0" w:line="240" w:lineRule="auto"/>
        <w:jc w:val="center"/>
        <w:rPr>
          <w:rFonts w:ascii="Arial" w:hAnsi="Arial" w:cs="Arial"/>
          <w:sz w:val="18"/>
        </w:rPr>
      </w:pPr>
    </w:p>
    <w:p w14:paraId="0AD7CF12" w14:textId="2E0EA53C" w:rsidR="002149C7" w:rsidRPr="00B410EB" w:rsidRDefault="002149C7" w:rsidP="004A613D">
      <w:pPr>
        <w:spacing w:after="0" w:line="240" w:lineRule="auto"/>
        <w:jc w:val="center"/>
        <w:rPr>
          <w:rFonts w:ascii="Arial" w:hAnsi="Arial" w:cs="Arial"/>
          <w:sz w:val="18"/>
        </w:rPr>
      </w:pPr>
      <w:r w:rsidRPr="00B410EB">
        <w:rPr>
          <w:rFonts w:ascii="Arial" w:hAnsi="Arial" w:cs="Arial"/>
          <w:sz w:val="18"/>
        </w:rPr>
        <w:t>Vir: Statistični podatki o javni</w:t>
      </w:r>
      <w:r w:rsidR="00A826AE" w:rsidRPr="00B410EB">
        <w:rPr>
          <w:rFonts w:ascii="Arial" w:hAnsi="Arial" w:cs="Arial"/>
          <w:sz w:val="18"/>
        </w:rPr>
        <w:t>h naročilih, oddanih v letu 20</w:t>
      </w:r>
      <w:r w:rsidR="004D3472" w:rsidRPr="00B410EB">
        <w:rPr>
          <w:rFonts w:ascii="Arial" w:hAnsi="Arial" w:cs="Arial"/>
          <w:sz w:val="18"/>
        </w:rPr>
        <w:t>2</w:t>
      </w:r>
      <w:r w:rsidR="00B410EB" w:rsidRPr="00B410EB">
        <w:rPr>
          <w:rFonts w:ascii="Arial" w:hAnsi="Arial" w:cs="Arial"/>
          <w:sz w:val="18"/>
        </w:rPr>
        <w:t>2</w:t>
      </w:r>
      <w:r w:rsidR="006A17D7" w:rsidRPr="00B410EB">
        <w:rPr>
          <w:rFonts w:ascii="Arial" w:hAnsi="Arial" w:cs="Arial"/>
          <w:sz w:val="18"/>
        </w:rPr>
        <w:t>.</w:t>
      </w:r>
    </w:p>
    <w:p w14:paraId="007D2A25" w14:textId="77777777" w:rsidR="0034475A" w:rsidRDefault="0034475A" w:rsidP="006E0379">
      <w:pPr>
        <w:tabs>
          <w:tab w:val="left" w:pos="567"/>
          <w:tab w:val="left" w:pos="993"/>
        </w:tabs>
        <w:spacing w:line="360" w:lineRule="auto"/>
        <w:jc w:val="both"/>
        <w:rPr>
          <w:rFonts w:ascii="Arial" w:hAnsi="Arial" w:cs="Arial"/>
          <w:color w:val="000000" w:themeColor="text1"/>
          <w:sz w:val="20"/>
          <w:szCs w:val="20"/>
          <w:lang w:eastAsia="sl-SI"/>
        </w:rPr>
      </w:pPr>
    </w:p>
    <w:p w14:paraId="7ADA2666" w14:textId="79FD736A" w:rsidR="006E0379" w:rsidRPr="002B28BA" w:rsidRDefault="00B37EB8" w:rsidP="006E0379">
      <w:pPr>
        <w:tabs>
          <w:tab w:val="left" w:pos="567"/>
          <w:tab w:val="left" w:pos="993"/>
        </w:tabs>
        <w:spacing w:line="360" w:lineRule="auto"/>
        <w:jc w:val="both"/>
        <w:rPr>
          <w:rFonts w:ascii="Arial" w:hAnsi="Arial" w:cs="Arial"/>
          <w:color w:val="000000" w:themeColor="text1"/>
          <w:sz w:val="20"/>
          <w:szCs w:val="20"/>
          <w:lang w:eastAsia="sl-SI"/>
        </w:rPr>
      </w:pPr>
      <w:r w:rsidRPr="002B28BA">
        <w:rPr>
          <w:rFonts w:ascii="Arial" w:hAnsi="Arial" w:cs="Arial"/>
          <w:color w:val="000000" w:themeColor="text1"/>
          <w:sz w:val="20"/>
          <w:szCs w:val="20"/>
          <w:lang w:eastAsia="sl-SI"/>
        </w:rPr>
        <w:t xml:space="preserve">Pri oddaji naročil so naročniki največkrat uporabili merilo cena pri odprtem postopku, kjer je bilo to merilo uporabljeno pri </w:t>
      </w:r>
      <w:r w:rsidR="00744AA2" w:rsidRPr="002B28BA">
        <w:rPr>
          <w:rFonts w:ascii="Arial" w:hAnsi="Arial" w:cs="Arial"/>
          <w:color w:val="000000" w:themeColor="text1"/>
          <w:sz w:val="20"/>
          <w:szCs w:val="20"/>
          <w:lang w:eastAsia="sl-SI"/>
        </w:rPr>
        <w:t>8</w:t>
      </w:r>
      <w:r w:rsidR="002B28BA" w:rsidRPr="002B28BA">
        <w:rPr>
          <w:rFonts w:ascii="Arial" w:hAnsi="Arial" w:cs="Arial"/>
          <w:color w:val="000000" w:themeColor="text1"/>
          <w:sz w:val="20"/>
          <w:szCs w:val="20"/>
          <w:lang w:eastAsia="sl-SI"/>
        </w:rPr>
        <w:t>766</w:t>
      </w:r>
      <w:r w:rsidR="008D54B0" w:rsidRPr="002B28BA">
        <w:rPr>
          <w:rFonts w:ascii="Arial" w:hAnsi="Arial" w:cs="Arial"/>
          <w:color w:val="000000" w:themeColor="text1"/>
          <w:sz w:val="20"/>
          <w:szCs w:val="20"/>
          <w:lang w:eastAsia="sl-SI"/>
        </w:rPr>
        <w:t xml:space="preserve"> </w:t>
      </w:r>
      <w:r w:rsidRPr="002B28BA">
        <w:rPr>
          <w:rFonts w:ascii="Arial" w:hAnsi="Arial" w:cs="Arial"/>
          <w:color w:val="000000" w:themeColor="text1"/>
          <w:sz w:val="20"/>
          <w:szCs w:val="20"/>
          <w:lang w:eastAsia="sl-SI"/>
        </w:rPr>
        <w:t xml:space="preserve">naročilih oziroma </w:t>
      </w:r>
      <w:r w:rsidR="009142C1" w:rsidRPr="002B28BA">
        <w:rPr>
          <w:rFonts w:ascii="Arial" w:hAnsi="Arial" w:cs="Arial"/>
          <w:color w:val="000000" w:themeColor="text1"/>
          <w:sz w:val="20"/>
          <w:szCs w:val="20"/>
          <w:lang w:eastAsia="sl-SI"/>
        </w:rPr>
        <w:t>8</w:t>
      </w:r>
      <w:r w:rsidR="002B28BA" w:rsidRPr="002B28BA">
        <w:rPr>
          <w:rFonts w:ascii="Arial" w:hAnsi="Arial" w:cs="Arial"/>
          <w:color w:val="000000" w:themeColor="text1"/>
          <w:sz w:val="20"/>
          <w:szCs w:val="20"/>
          <w:lang w:eastAsia="sl-SI"/>
        </w:rPr>
        <w:t xml:space="preserve">8,76 </w:t>
      </w:r>
      <w:r w:rsidR="00AC0027">
        <w:rPr>
          <w:rFonts w:ascii="Arial" w:hAnsi="Arial" w:cs="Arial"/>
          <w:color w:val="000000" w:themeColor="text1"/>
          <w:sz w:val="20"/>
          <w:szCs w:val="20"/>
          <w:lang w:eastAsia="sl-SI"/>
        </w:rPr>
        <w:t>odstotka</w:t>
      </w:r>
      <w:r w:rsidRPr="002B28BA">
        <w:rPr>
          <w:rFonts w:ascii="Arial" w:hAnsi="Arial" w:cs="Arial"/>
          <w:color w:val="000000" w:themeColor="text1"/>
          <w:sz w:val="20"/>
          <w:szCs w:val="20"/>
          <w:lang w:eastAsia="sl-SI"/>
        </w:rPr>
        <w:t xml:space="preserve"> vseh naročil v teh postopkih. </w:t>
      </w:r>
    </w:p>
    <w:p w14:paraId="05DFA40F" w14:textId="0FB3380E" w:rsidR="00B37EB8" w:rsidRPr="00BC1DE6" w:rsidRDefault="00B37EB8" w:rsidP="008A61FD">
      <w:pPr>
        <w:spacing w:before="120" w:after="120" w:line="240" w:lineRule="auto"/>
        <w:jc w:val="both"/>
        <w:rPr>
          <w:rFonts w:ascii="Arial" w:hAnsi="Arial" w:cs="Arial"/>
          <w:sz w:val="20"/>
        </w:rPr>
      </w:pPr>
      <w:r w:rsidRPr="00BC1DE6">
        <w:rPr>
          <w:rFonts w:ascii="Arial" w:hAnsi="Arial" w:cs="Arial"/>
          <w:sz w:val="20"/>
        </w:rPr>
        <w:t xml:space="preserve">Preglednica </w:t>
      </w:r>
      <w:r w:rsidR="00512F52" w:rsidRPr="00BC1DE6">
        <w:rPr>
          <w:rFonts w:ascii="Arial" w:hAnsi="Arial" w:cs="Arial"/>
          <w:sz w:val="20"/>
        </w:rPr>
        <w:t>25</w:t>
      </w:r>
      <w:r w:rsidRPr="00BC1DE6">
        <w:rPr>
          <w:rFonts w:ascii="Arial" w:hAnsi="Arial" w:cs="Arial"/>
          <w:sz w:val="20"/>
        </w:rPr>
        <w:t xml:space="preserve">: </w:t>
      </w:r>
      <w:r w:rsidR="00CF14EA" w:rsidRPr="00BC1DE6">
        <w:rPr>
          <w:rFonts w:ascii="Arial" w:hAnsi="Arial" w:cs="Arial"/>
          <w:sz w:val="20"/>
        </w:rPr>
        <w:t xml:space="preserve">Uporabljeno merilo </w:t>
      </w:r>
      <w:r w:rsidR="00C6284B" w:rsidRPr="00BC1DE6">
        <w:rPr>
          <w:rFonts w:ascii="Arial" w:hAnsi="Arial" w:cs="Arial"/>
          <w:sz w:val="20"/>
        </w:rPr>
        <w:t>po</w:t>
      </w:r>
      <w:r w:rsidR="00CF14EA" w:rsidRPr="00BC1DE6">
        <w:rPr>
          <w:rFonts w:ascii="Arial" w:hAnsi="Arial" w:cs="Arial"/>
          <w:sz w:val="20"/>
        </w:rPr>
        <w:t xml:space="preserve"> številu naročil in njihovi vrednosti ter deleži glede na vrsto postopka</w:t>
      </w:r>
    </w:p>
    <w:tbl>
      <w:tblPr>
        <w:tblW w:w="9073" w:type="dxa"/>
        <w:jc w:val="center"/>
        <w:tblCellMar>
          <w:left w:w="70" w:type="dxa"/>
          <w:right w:w="70" w:type="dxa"/>
        </w:tblCellMar>
        <w:tblLook w:val="04A0" w:firstRow="1" w:lastRow="0" w:firstColumn="1" w:lastColumn="0" w:noHBand="0" w:noVBand="1"/>
      </w:tblPr>
      <w:tblGrid>
        <w:gridCol w:w="2122"/>
        <w:gridCol w:w="2998"/>
        <w:gridCol w:w="671"/>
        <w:gridCol w:w="1292"/>
        <w:gridCol w:w="997"/>
        <w:gridCol w:w="993"/>
      </w:tblGrid>
      <w:tr w:rsidR="006E0379" w:rsidRPr="00BC1DE6" w14:paraId="51E6C944" w14:textId="77777777" w:rsidTr="00CD447F">
        <w:trPr>
          <w:trHeight w:val="255"/>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15B982" w14:textId="77777777" w:rsidR="006E0379" w:rsidRPr="00BC1DE6" w:rsidRDefault="006E0379" w:rsidP="006E0379">
            <w:pPr>
              <w:spacing w:after="0" w:line="240" w:lineRule="auto"/>
              <w:jc w:val="center"/>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Vrsta postopka</w:t>
            </w:r>
          </w:p>
        </w:tc>
        <w:tc>
          <w:tcPr>
            <w:tcW w:w="299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F7A9B4D" w14:textId="77777777" w:rsidR="006E0379" w:rsidRPr="00BC1DE6" w:rsidRDefault="006E0379" w:rsidP="006E0379">
            <w:pPr>
              <w:spacing w:after="0" w:line="240" w:lineRule="auto"/>
              <w:jc w:val="center"/>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Merila</w:t>
            </w:r>
          </w:p>
        </w:tc>
        <w:tc>
          <w:tcPr>
            <w:tcW w:w="67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DA4A21A" w14:textId="77777777" w:rsidR="006E0379" w:rsidRPr="00BC1DE6" w:rsidRDefault="006E0379" w:rsidP="006E0379">
            <w:pPr>
              <w:spacing w:after="0" w:line="240" w:lineRule="auto"/>
              <w:jc w:val="center"/>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Št. naročil</w:t>
            </w:r>
          </w:p>
        </w:tc>
        <w:tc>
          <w:tcPr>
            <w:tcW w:w="129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FEBA413" w14:textId="77777777" w:rsidR="006E0379" w:rsidRPr="00BC1DE6" w:rsidRDefault="006E0379" w:rsidP="006E0379">
            <w:pPr>
              <w:spacing w:after="0" w:line="240" w:lineRule="auto"/>
              <w:jc w:val="center"/>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Pogodbena vrednost</w:t>
            </w:r>
          </w:p>
        </w:tc>
        <w:tc>
          <w:tcPr>
            <w:tcW w:w="99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E0244A4" w14:textId="77777777" w:rsidR="006E0379" w:rsidRPr="00BC1DE6" w:rsidRDefault="006E0379" w:rsidP="006E0379">
            <w:pPr>
              <w:spacing w:after="0" w:line="240" w:lineRule="auto"/>
              <w:jc w:val="center"/>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Delež v št. naročil</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8103C50" w14:textId="77777777" w:rsidR="006E0379" w:rsidRPr="00BC1DE6" w:rsidRDefault="006E0379" w:rsidP="006E0379">
            <w:pPr>
              <w:spacing w:after="0" w:line="240" w:lineRule="auto"/>
              <w:jc w:val="center"/>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Delež v vrednosti</w:t>
            </w:r>
          </w:p>
        </w:tc>
      </w:tr>
      <w:tr w:rsidR="002B28BA" w:rsidRPr="00BC1DE6" w14:paraId="4FFAC2FC" w14:textId="77777777" w:rsidTr="002B28BA">
        <w:trPr>
          <w:trHeight w:val="255"/>
          <w:jc w:val="center"/>
        </w:trPr>
        <w:tc>
          <w:tcPr>
            <w:tcW w:w="2122" w:type="dxa"/>
            <w:vMerge w:val="restart"/>
            <w:tcBorders>
              <w:top w:val="nil"/>
              <w:left w:val="single" w:sz="4" w:space="0" w:color="auto"/>
              <w:right w:val="single" w:sz="4" w:space="0" w:color="auto"/>
            </w:tcBorders>
            <w:shd w:val="clear" w:color="auto" w:fill="auto"/>
            <w:vAlign w:val="center"/>
            <w:hideMark/>
          </w:tcPr>
          <w:p w14:paraId="1DC40761" w14:textId="77777777" w:rsidR="002B28BA" w:rsidRPr="00BC1DE6" w:rsidRDefault="002B28BA" w:rsidP="002B28BA">
            <w:pPr>
              <w:spacing w:after="0" w:line="240" w:lineRule="auto"/>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Konkurenčni dialog</w:t>
            </w:r>
          </w:p>
        </w:tc>
        <w:tc>
          <w:tcPr>
            <w:tcW w:w="2998" w:type="dxa"/>
            <w:tcBorders>
              <w:top w:val="nil"/>
              <w:left w:val="nil"/>
              <w:bottom w:val="single" w:sz="4" w:space="0" w:color="auto"/>
              <w:right w:val="single" w:sz="4" w:space="0" w:color="auto"/>
            </w:tcBorders>
            <w:shd w:val="clear" w:color="auto" w:fill="auto"/>
            <w:vAlign w:val="center"/>
            <w:hideMark/>
          </w:tcPr>
          <w:p w14:paraId="045BC745" w14:textId="77777777" w:rsidR="002B28BA" w:rsidRPr="00BC1DE6" w:rsidRDefault="002B28BA" w:rsidP="002B28BA">
            <w:pPr>
              <w:spacing w:after="0" w:line="240" w:lineRule="auto"/>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Cena</w:t>
            </w:r>
          </w:p>
        </w:tc>
        <w:tc>
          <w:tcPr>
            <w:tcW w:w="671" w:type="dxa"/>
            <w:tcBorders>
              <w:top w:val="nil"/>
              <w:left w:val="nil"/>
              <w:bottom w:val="single" w:sz="4" w:space="0" w:color="auto"/>
              <w:right w:val="single" w:sz="4" w:space="0" w:color="auto"/>
            </w:tcBorders>
            <w:shd w:val="clear" w:color="auto" w:fill="auto"/>
            <w:vAlign w:val="center"/>
            <w:hideMark/>
          </w:tcPr>
          <w:p w14:paraId="4FF849ED" w14:textId="35B0360E"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37</w:t>
            </w:r>
          </w:p>
        </w:tc>
        <w:tc>
          <w:tcPr>
            <w:tcW w:w="1292" w:type="dxa"/>
            <w:tcBorders>
              <w:top w:val="nil"/>
              <w:left w:val="nil"/>
              <w:bottom w:val="single" w:sz="4" w:space="0" w:color="auto"/>
              <w:right w:val="single" w:sz="4" w:space="0" w:color="auto"/>
            </w:tcBorders>
            <w:shd w:val="clear" w:color="auto" w:fill="auto"/>
            <w:vAlign w:val="center"/>
            <w:hideMark/>
          </w:tcPr>
          <w:p w14:paraId="0338FB38" w14:textId="2D250F6A"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29.565.099</w:t>
            </w:r>
          </w:p>
        </w:tc>
        <w:tc>
          <w:tcPr>
            <w:tcW w:w="997" w:type="dxa"/>
            <w:tcBorders>
              <w:top w:val="nil"/>
              <w:left w:val="nil"/>
              <w:bottom w:val="single" w:sz="4" w:space="0" w:color="auto"/>
              <w:right w:val="single" w:sz="4" w:space="0" w:color="auto"/>
            </w:tcBorders>
            <w:shd w:val="clear" w:color="auto" w:fill="auto"/>
            <w:noWrap/>
            <w:vAlign w:val="center"/>
            <w:hideMark/>
          </w:tcPr>
          <w:p w14:paraId="3C0A38F5" w14:textId="3599469D"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90,24 %</w:t>
            </w:r>
          </w:p>
        </w:tc>
        <w:tc>
          <w:tcPr>
            <w:tcW w:w="993" w:type="dxa"/>
            <w:tcBorders>
              <w:top w:val="nil"/>
              <w:left w:val="nil"/>
              <w:bottom w:val="single" w:sz="4" w:space="0" w:color="auto"/>
              <w:right w:val="single" w:sz="4" w:space="0" w:color="auto"/>
            </w:tcBorders>
            <w:shd w:val="clear" w:color="auto" w:fill="auto"/>
            <w:noWrap/>
            <w:vAlign w:val="center"/>
            <w:hideMark/>
          </w:tcPr>
          <w:p w14:paraId="6F37EFE3" w14:textId="53E7ED5A"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60,62 %</w:t>
            </w:r>
          </w:p>
        </w:tc>
      </w:tr>
      <w:tr w:rsidR="002B28BA" w:rsidRPr="00BC1DE6" w14:paraId="75418AFD" w14:textId="77777777" w:rsidTr="002B28BA">
        <w:trPr>
          <w:trHeight w:val="255"/>
          <w:jc w:val="center"/>
        </w:trPr>
        <w:tc>
          <w:tcPr>
            <w:tcW w:w="2122" w:type="dxa"/>
            <w:vMerge/>
            <w:tcBorders>
              <w:left w:val="single" w:sz="4" w:space="0" w:color="auto"/>
              <w:bottom w:val="single" w:sz="4" w:space="0" w:color="auto"/>
              <w:right w:val="single" w:sz="4" w:space="0" w:color="auto"/>
            </w:tcBorders>
            <w:shd w:val="clear" w:color="auto" w:fill="auto"/>
            <w:vAlign w:val="center"/>
          </w:tcPr>
          <w:p w14:paraId="29E3280D" w14:textId="77777777" w:rsidR="002B28BA" w:rsidRPr="00BC1DE6" w:rsidRDefault="002B28BA" w:rsidP="002B28BA">
            <w:pPr>
              <w:spacing w:after="0" w:line="240" w:lineRule="auto"/>
              <w:rPr>
                <w:rFonts w:ascii="Arial" w:eastAsia="Times New Roman" w:hAnsi="Arial" w:cs="Arial"/>
                <w:color w:val="000000"/>
                <w:sz w:val="18"/>
                <w:szCs w:val="18"/>
                <w:lang w:eastAsia="sl-SI"/>
              </w:rPr>
            </w:pPr>
          </w:p>
        </w:tc>
        <w:tc>
          <w:tcPr>
            <w:tcW w:w="2998" w:type="dxa"/>
            <w:tcBorders>
              <w:top w:val="nil"/>
              <w:left w:val="nil"/>
              <w:bottom w:val="single" w:sz="4" w:space="0" w:color="auto"/>
              <w:right w:val="single" w:sz="4" w:space="0" w:color="auto"/>
            </w:tcBorders>
            <w:shd w:val="clear" w:color="auto" w:fill="auto"/>
            <w:vAlign w:val="center"/>
          </w:tcPr>
          <w:p w14:paraId="0A843732" w14:textId="62EDFF92" w:rsidR="002B28BA" w:rsidRPr="00BC1DE6" w:rsidRDefault="002B28BA" w:rsidP="002B28BA">
            <w:pPr>
              <w:spacing w:after="0" w:line="240" w:lineRule="auto"/>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Ekonomsko najugodnejša ponudba</w:t>
            </w:r>
          </w:p>
        </w:tc>
        <w:tc>
          <w:tcPr>
            <w:tcW w:w="671" w:type="dxa"/>
            <w:tcBorders>
              <w:top w:val="nil"/>
              <w:left w:val="nil"/>
              <w:bottom w:val="single" w:sz="4" w:space="0" w:color="auto"/>
              <w:right w:val="single" w:sz="4" w:space="0" w:color="auto"/>
            </w:tcBorders>
            <w:shd w:val="clear" w:color="auto" w:fill="auto"/>
            <w:vAlign w:val="center"/>
          </w:tcPr>
          <w:p w14:paraId="0D461CAF" w14:textId="26BCAF0B"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4</w:t>
            </w:r>
          </w:p>
        </w:tc>
        <w:tc>
          <w:tcPr>
            <w:tcW w:w="1292" w:type="dxa"/>
            <w:tcBorders>
              <w:top w:val="nil"/>
              <w:left w:val="nil"/>
              <w:bottom w:val="single" w:sz="4" w:space="0" w:color="auto"/>
              <w:right w:val="single" w:sz="4" w:space="0" w:color="auto"/>
            </w:tcBorders>
            <w:shd w:val="clear" w:color="auto" w:fill="auto"/>
            <w:vAlign w:val="center"/>
          </w:tcPr>
          <w:p w14:paraId="55C71CCC" w14:textId="5C89FC99"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19.203.389</w:t>
            </w:r>
          </w:p>
        </w:tc>
        <w:tc>
          <w:tcPr>
            <w:tcW w:w="997" w:type="dxa"/>
            <w:tcBorders>
              <w:top w:val="nil"/>
              <w:left w:val="nil"/>
              <w:bottom w:val="single" w:sz="4" w:space="0" w:color="auto"/>
              <w:right w:val="single" w:sz="4" w:space="0" w:color="auto"/>
            </w:tcBorders>
            <w:shd w:val="clear" w:color="auto" w:fill="auto"/>
            <w:noWrap/>
            <w:vAlign w:val="center"/>
          </w:tcPr>
          <w:p w14:paraId="52A892ED" w14:textId="49B11624"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9,76 %</w:t>
            </w:r>
          </w:p>
        </w:tc>
        <w:tc>
          <w:tcPr>
            <w:tcW w:w="993" w:type="dxa"/>
            <w:tcBorders>
              <w:top w:val="nil"/>
              <w:left w:val="nil"/>
              <w:bottom w:val="single" w:sz="4" w:space="0" w:color="auto"/>
              <w:right w:val="single" w:sz="4" w:space="0" w:color="auto"/>
            </w:tcBorders>
            <w:shd w:val="clear" w:color="auto" w:fill="auto"/>
            <w:noWrap/>
            <w:vAlign w:val="center"/>
          </w:tcPr>
          <w:p w14:paraId="28197F9E" w14:textId="298EF212"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39,38 %</w:t>
            </w:r>
          </w:p>
        </w:tc>
      </w:tr>
      <w:tr w:rsidR="002B28BA" w:rsidRPr="00BC1DE6" w14:paraId="18BFF4D0" w14:textId="77777777" w:rsidTr="002B28BA">
        <w:trPr>
          <w:trHeight w:val="255"/>
          <w:jc w:val="center"/>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14:paraId="6217308F" w14:textId="77777777" w:rsidR="002B28BA" w:rsidRPr="00BC1DE6" w:rsidRDefault="002B28BA" w:rsidP="002B28BA">
            <w:pPr>
              <w:spacing w:after="0" w:line="240" w:lineRule="auto"/>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Konkurenčni postopek s pogajanji</w:t>
            </w:r>
          </w:p>
        </w:tc>
        <w:tc>
          <w:tcPr>
            <w:tcW w:w="2998" w:type="dxa"/>
            <w:tcBorders>
              <w:top w:val="nil"/>
              <w:left w:val="nil"/>
              <w:bottom w:val="single" w:sz="4" w:space="0" w:color="auto"/>
              <w:right w:val="single" w:sz="4" w:space="0" w:color="auto"/>
            </w:tcBorders>
            <w:shd w:val="clear" w:color="auto" w:fill="auto"/>
            <w:vAlign w:val="center"/>
            <w:hideMark/>
          </w:tcPr>
          <w:p w14:paraId="2EAED72F" w14:textId="77777777" w:rsidR="002B28BA" w:rsidRPr="00BC1DE6" w:rsidRDefault="002B28BA" w:rsidP="002B28BA">
            <w:pPr>
              <w:spacing w:after="0" w:line="240" w:lineRule="auto"/>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Cena</w:t>
            </w:r>
          </w:p>
        </w:tc>
        <w:tc>
          <w:tcPr>
            <w:tcW w:w="671" w:type="dxa"/>
            <w:tcBorders>
              <w:top w:val="nil"/>
              <w:left w:val="nil"/>
              <w:bottom w:val="single" w:sz="4" w:space="0" w:color="auto"/>
              <w:right w:val="single" w:sz="4" w:space="0" w:color="auto"/>
            </w:tcBorders>
            <w:shd w:val="clear" w:color="auto" w:fill="auto"/>
            <w:vAlign w:val="center"/>
            <w:hideMark/>
          </w:tcPr>
          <w:p w14:paraId="0481FBDF" w14:textId="695AA17F"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223</w:t>
            </w:r>
          </w:p>
        </w:tc>
        <w:tc>
          <w:tcPr>
            <w:tcW w:w="1292" w:type="dxa"/>
            <w:tcBorders>
              <w:top w:val="nil"/>
              <w:left w:val="nil"/>
              <w:bottom w:val="single" w:sz="4" w:space="0" w:color="auto"/>
              <w:right w:val="single" w:sz="4" w:space="0" w:color="auto"/>
            </w:tcBorders>
            <w:shd w:val="clear" w:color="auto" w:fill="auto"/>
            <w:vAlign w:val="center"/>
            <w:hideMark/>
          </w:tcPr>
          <w:p w14:paraId="09A84CAB" w14:textId="76BE6E9A"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377.099.634</w:t>
            </w:r>
          </w:p>
        </w:tc>
        <w:tc>
          <w:tcPr>
            <w:tcW w:w="997" w:type="dxa"/>
            <w:tcBorders>
              <w:top w:val="nil"/>
              <w:left w:val="nil"/>
              <w:bottom w:val="single" w:sz="4" w:space="0" w:color="auto"/>
              <w:right w:val="single" w:sz="4" w:space="0" w:color="auto"/>
            </w:tcBorders>
            <w:shd w:val="clear" w:color="auto" w:fill="auto"/>
            <w:noWrap/>
            <w:vAlign w:val="center"/>
            <w:hideMark/>
          </w:tcPr>
          <w:p w14:paraId="1891E782" w14:textId="73A938DA"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93,31 %</w:t>
            </w:r>
          </w:p>
        </w:tc>
        <w:tc>
          <w:tcPr>
            <w:tcW w:w="993" w:type="dxa"/>
            <w:tcBorders>
              <w:top w:val="nil"/>
              <w:left w:val="nil"/>
              <w:bottom w:val="single" w:sz="4" w:space="0" w:color="auto"/>
              <w:right w:val="single" w:sz="4" w:space="0" w:color="auto"/>
            </w:tcBorders>
            <w:shd w:val="clear" w:color="auto" w:fill="auto"/>
            <w:noWrap/>
            <w:vAlign w:val="center"/>
            <w:hideMark/>
          </w:tcPr>
          <w:p w14:paraId="306B2039" w14:textId="458CD15B"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92,16 %</w:t>
            </w:r>
          </w:p>
        </w:tc>
      </w:tr>
      <w:tr w:rsidR="002B28BA" w:rsidRPr="00BC1DE6" w14:paraId="308250EE" w14:textId="77777777" w:rsidTr="002B28BA">
        <w:trPr>
          <w:trHeight w:val="255"/>
          <w:jc w:val="center"/>
        </w:trPr>
        <w:tc>
          <w:tcPr>
            <w:tcW w:w="2122" w:type="dxa"/>
            <w:vMerge/>
            <w:tcBorders>
              <w:top w:val="nil"/>
              <w:left w:val="single" w:sz="4" w:space="0" w:color="auto"/>
              <w:bottom w:val="single" w:sz="4" w:space="0" w:color="auto"/>
              <w:right w:val="single" w:sz="4" w:space="0" w:color="auto"/>
            </w:tcBorders>
            <w:vAlign w:val="center"/>
            <w:hideMark/>
          </w:tcPr>
          <w:p w14:paraId="171F9BB1" w14:textId="77777777" w:rsidR="002B28BA" w:rsidRPr="00BC1DE6" w:rsidRDefault="002B28BA" w:rsidP="002B28BA">
            <w:pPr>
              <w:spacing w:after="0" w:line="240" w:lineRule="auto"/>
              <w:rPr>
                <w:rFonts w:ascii="Arial" w:eastAsia="Times New Roman" w:hAnsi="Arial" w:cs="Arial"/>
                <w:color w:val="000000"/>
                <w:sz w:val="18"/>
                <w:szCs w:val="18"/>
                <w:lang w:eastAsia="sl-SI"/>
              </w:rPr>
            </w:pPr>
          </w:p>
        </w:tc>
        <w:tc>
          <w:tcPr>
            <w:tcW w:w="2998" w:type="dxa"/>
            <w:tcBorders>
              <w:top w:val="nil"/>
              <w:left w:val="nil"/>
              <w:bottom w:val="single" w:sz="4" w:space="0" w:color="auto"/>
              <w:right w:val="single" w:sz="4" w:space="0" w:color="auto"/>
            </w:tcBorders>
            <w:shd w:val="clear" w:color="auto" w:fill="auto"/>
            <w:vAlign w:val="center"/>
            <w:hideMark/>
          </w:tcPr>
          <w:p w14:paraId="32A49DC2" w14:textId="77777777" w:rsidR="002B28BA" w:rsidRPr="00BC1DE6" w:rsidRDefault="002B28BA" w:rsidP="002B28BA">
            <w:pPr>
              <w:spacing w:after="0" w:line="240" w:lineRule="auto"/>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Ekonomsko najugodnejša ponudba</w:t>
            </w:r>
          </w:p>
        </w:tc>
        <w:tc>
          <w:tcPr>
            <w:tcW w:w="671" w:type="dxa"/>
            <w:tcBorders>
              <w:top w:val="nil"/>
              <w:left w:val="nil"/>
              <w:bottom w:val="single" w:sz="4" w:space="0" w:color="auto"/>
              <w:right w:val="single" w:sz="4" w:space="0" w:color="auto"/>
            </w:tcBorders>
            <w:shd w:val="clear" w:color="auto" w:fill="auto"/>
            <w:vAlign w:val="center"/>
            <w:hideMark/>
          </w:tcPr>
          <w:p w14:paraId="7044E7C0" w14:textId="4172A1BB"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16</w:t>
            </w:r>
          </w:p>
        </w:tc>
        <w:tc>
          <w:tcPr>
            <w:tcW w:w="1292" w:type="dxa"/>
            <w:tcBorders>
              <w:top w:val="nil"/>
              <w:left w:val="nil"/>
              <w:bottom w:val="single" w:sz="4" w:space="0" w:color="auto"/>
              <w:right w:val="single" w:sz="4" w:space="0" w:color="auto"/>
            </w:tcBorders>
            <w:shd w:val="clear" w:color="auto" w:fill="auto"/>
            <w:vAlign w:val="center"/>
            <w:hideMark/>
          </w:tcPr>
          <w:p w14:paraId="1E7BAD82" w14:textId="2B3A7DC7"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32.062.342</w:t>
            </w:r>
          </w:p>
        </w:tc>
        <w:tc>
          <w:tcPr>
            <w:tcW w:w="997" w:type="dxa"/>
            <w:tcBorders>
              <w:top w:val="nil"/>
              <w:left w:val="nil"/>
              <w:bottom w:val="single" w:sz="4" w:space="0" w:color="auto"/>
              <w:right w:val="single" w:sz="4" w:space="0" w:color="auto"/>
            </w:tcBorders>
            <w:shd w:val="clear" w:color="auto" w:fill="auto"/>
            <w:noWrap/>
            <w:vAlign w:val="center"/>
            <w:hideMark/>
          </w:tcPr>
          <w:p w14:paraId="09BC1857" w14:textId="6543F502"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6,69 %</w:t>
            </w:r>
          </w:p>
        </w:tc>
        <w:tc>
          <w:tcPr>
            <w:tcW w:w="993" w:type="dxa"/>
            <w:tcBorders>
              <w:top w:val="nil"/>
              <w:left w:val="nil"/>
              <w:bottom w:val="single" w:sz="4" w:space="0" w:color="auto"/>
              <w:right w:val="single" w:sz="4" w:space="0" w:color="auto"/>
            </w:tcBorders>
            <w:shd w:val="clear" w:color="auto" w:fill="auto"/>
            <w:noWrap/>
            <w:vAlign w:val="center"/>
            <w:hideMark/>
          </w:tcPr>
          <w:p w14:paraId="0FFE795B" w14:textId="5C0614A1"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7,84 %</w:t>
            </w:r>
          </w:p>
        </w:tc>
      </w:tr>
      <w:tr w:rsidR="002B28BA" w:rsidRPr="00BC1DE6" w14:paraId="5BD8492E" w14:textId="77777777" w:rsidTr="002B28BA">
        <w:trPr>
          <w:trHeight w:val="255"/>
          <w:jc w:val="center"/>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14:paraId="12678F22" w14:textId="77777777" w:rsidR="002B28BA" w:rsidRPr="00BC1DE6" w:rsidRDefault="002B28BA" w:rsidP="002B28BA">
            <w:pPr>
              <w:spacing w:after="0" w:line="240" w:lineRule="auto"/>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Odprti postopek</w:t>
            </w:r>
          </w:p>
        </w:tc>
        <w:tc>
          <w:tcPr>
            <w:tcW w:w="2998" w:type="dxa"/>
            <w:tcBorders>
              <w:top w:val="nil"/>
              <w:left w:val="nil"/>
              <w:bottom w:val="single" w:sz="4" w:space="0" w:color="auto"/>
              <w:right w:val="single" w:sz="4" w:space="0" w:color="auto"/>
            </w:tcBorders>
            <w:shd w:val="clear" w:color="auto" w:fill="auto"/>
            <w:vAlign w:val="center"/>
            <w:hideMark/>
          </w:tcPr>
          <w:p w14:paraId="29EAC892" w14:textId="77777777" w:rsidR="002B28BA" w:rsidRPr="00BC1DE6" w:rsidRDefault="002B28BA" w:rsidP="002B28BA">
            <w:pPr>
              <w:spacing w:after="0" w:line="240" w:lineRule="auto"/>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Cena</w:t>
            </w:r>
          </w:p>
        </w:tc>
        <w:tc>
          <w:tcPr>
            <w:tcW w:w="671" w:type="dxa"/>
            <w:tcBorders>
              <w:top w:val="nil"/>
              <w:left w:val="nil"/>
              <w:bottom w:val="single" w:sz="4" w:space="0" w:color="auto"/>
              <w:right w:val="single" w:sz="4" w:space="0" w:color="auto"/>
            </w:tcBorders>
            <w:shd w:val="clear" w:color="auto" w:fill="auto"/>
            <w:vAlign w:val="center"/>
            <w:hideMark/>
          </w:tcPr>
          <w:p w14:paraId="2F1D4BE0" w14:textId="45A30D3C"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8</w:t>
            </w:r>
            <w:r w:rsidR="00300009">
              <w:rPr>
                <w:rFonts w:ascii="Arial" w:eastAsia="Times New Roman" w:hAnsi="Arial" w:cs="Arial"/>
                <w:color w:val="000000"/>
                <w:sz w:val="18"/>
                <w:szCs w:val="18"/>
                <w:lang w:eastAsia="sl-SI"/>
              </w:rPr>
              <w:t>.</w:t>
            </w:r>
            <w:r w:rsidRPr="00BC1DE6">
              <w:rPr>
                <w:rFonts w:ascii="Arial" w:eastAsia="Times New Roman" w:hAnsi="Arial" w:cs="Arial"/>
                <w:color w:val="000000"/>
                <w:sz w:val="18"/>
                <w:szCs w:val="18"/>
                <w:lang w:eastAsia="sl-SI"/>
              </w:rPr>
              <w:t>766</w:t>
            </w:r>
          </w:p>
        </w:tc>
        <w:tc>
          <w:tcPr>
            <w:tcW w:w="1292" w:type="dxa"/>
            <w:tcBorders>
              <w:top w:val="nil"/>
              <w:left w:val="nil"/>
              <w:bottom w:val="single" w:sz="4" w:space="0" w:color="auto"/>
              <w:right w:val="single" w:sz="4" w:space="0" w:color="auto"/>
            </w:tcBorders>
            <w:shd w:val="clear" w:color="auto" w:fill="auto"/>
            <w:vAlign w:val="center"/>
            <w:hideMark/>
          </w:tcPr>
          <w:p w14:paraId="11F4AB1E" w14:textId="11200116"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3.175.282.846</w:t>
            </w:r>
          </w:p>
        </w:tc>
        <w:tc>
          <w:tcPr>
            <w:tcW w:w="997" w:type="dxa"/>
            <w:tcBorders>
              <w:top w:val="nil"/>
              <w:left w:val="nil"/>
              <w:bottom w:val="single" w:sz="4" w:space="0" w:color="auto"/>
              <w:right w:val="single" w:sz="4" w:space="0" w:color="auto"/>
            </w:tcBorders>
            <w:shd w:val="clear" w:color="auto" w:fill="auto"/>
            <w:noWrap/>
            <w:vAlign w:val="center"/>
            <w:hideMark/>
          </w:tcPr>
          <w:p w14:paraId="72555019" w14:textId="2266BD90"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88,76 %</w:t>
            </w:r>
          </w:p>
        </w:tc>
        <w:tc>
          <w:tcPr>
            <w:tcW w:w="993" w:type="dxa"/>
            <w:tcBorders>
              <w:top w:val="nil"/>
              <w:left w:val="nil"/>
              <w:bottom w:val="single" w:sz="4" w:space="0" w:color="auto"/>
              <w:right w:val="single" w:sz="4" w:space="0" w:color="auto"/>
            </w:tcBorders>
            <w:shd w:val="clear" w:color="auto" w:fill="auto"/>
            <w:noWrap/>
            <w:vAlign w:val="center"/>
            <w:hideMark/>
          </w:tcPr>
          <w:p w14:paraId="4DEEC3BF" w14:textId="6FD19F38"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92,62 %</w:t>
            </w:r>
          </w:p>
        </w:tc>
      </w:tr>
      <w:tr w:rsidR="002B28BA" w:rsidRPr="00BC1DE6" w14:paraId="7AAF2977" w14:textId="77777777" w:rsidTr="002B28BA">
        <w:trPr>
          <w:trHeight w:val="255"/>
          <w:jc w:val="center"/>
        </w:trPr>
        <w:tc>
          <w:tcPr>
            <w:tcW w:w="2122" w:type="dxa"/>
            <w:vMerge/>
            <w:tcBorders>
              <w:top w:val="nil"/>
              <w:left w:val="single" w:sz="4" w:space="0" w:color="auto"/>
              <w:bottom w:val="single" w:sz="4" w:space="0" w:color="auto"/>
              <w:right w:val="single" w:sz="4" w:space="0" w:color="auto"/>
            </w:tcBorders>
            <w:vAlign w:val="center"/>
            <w:hideMark/>
          </w:tcPr>
          <w:p w14:paraId="137C5EE7" w14:textId="77777777" w:rsidR="002B28BA" w:rsidRPr="00BC1DE6" w:rsidRDefault="002B28BA" w:rsidP="002B28BA">
            <w:pPr>
              <w:spacing w:after="0" w:line="240" w:lineRule="auto"/>
              <w:rPr>
                <w:rFonts w:ascii="Arial" w:eastAsia="Times New Roman" w:hAnsi="Arial" w:cs="Arial"/>
                <w:color w:val="000000"/>
                <w:sz w:val="18"/>
                <w:szCs w:val="18"/>
                <w:lang w:eastAsia="sl-SI"/>
              </w:rPr>
            </w:pPr>
          </w:p>
        </w:tc>
        <w:tc>
          <w:tcPr>
            <w:tcW w:w="2998" w:type="dxa"/>
            <w:tcBorders>
              <w:top w:val="nil"/>
              <w:left w:val="nil"/>
              <w:bottom w:val="single" w:sz="4" w:space="0" w:color="auto"/>
              <w:right w:val="single" w:sz="4" w:space="0" w:color="auto"/>
            </w:tcBorders>
            <w:shd w:val="clear" w:color="auto" w:fill="auto"/>
            <w:vAlign w:val="center"/>
            <w:hideMark/>
          </w:tcPr>
          <w:p w14:paraId="25517AB1" w14:textId="77777777" w:rsidR="002B28BA" w:rsidRPr="00BC1DE6" w:rsidRDefault="002B28BA" w:rsidP="002B28BA">
            <w:pPr>
              <w:spacing w:after="0" w:line="240" w:lineRule="auto"/>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Ekonomsko najugodnejša ponudba</w:t>
            </w:r>
          </w:p>
        </w:tc>
        <w:tc>
          <w:tcPr>
            <w:tcW w:w="671" w:type="dxa"/>
            <w:tcBorders>
              <w:top w:val="nil"/>
              <w:left w:val="nil"/>
              <w:bottom w:val="single" w:sz="4" w:space="0" w:color="auto"/>
              <w:right w:val="single" w:sz="4" w:space="0" w:color="auto"/>
            </w:tcBorders>
            <w:shd w:val="clear" w:color="auto" w:fill="auto"/>
            <w:vAlign w:val="center"/>
            <w:hideMark/>
          </w:tcPr>
          <w:p w14:paraId="41DCA9AC" w14:textId="1B3F882C"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1</w:t>
            </w:r>
            <w:r w:rsidR="00300009">
              <w:rPr>
                <w:rFonts w:ascii="Arial" w:eastAsia="Times New Roman" w:hAnsi="Arial" w:cs="Arial"/>
                <w:color w:val="000000"/>
                <w:sz w:val="18"/>
                <w:szCs w:val="18"/>
                <w:lang w:eastAsia="sl-SI"/>
              </w:rPr>
              <w:t>.</w:t>
            </w:r>
            <w:r w:rsidRPr="00BC1DE6">
              <w:rPr>
                <w:rFonts w:ascii="Arial" w:eastAsia="Times New Roman" w:hAnsi="Arial" w:cs="Arial"/>
                <w:color w:val="000000"/>
                <w:sz w:val="18"/>
                <w:szCs w:val="18"/>
                <w:lang w:eastAsia="sl-SI"/>
              </w:rPr>
              <w:t>110</w:t>
            </w:r>
          </w:p>
        </w:tc>
        <w:tc>
          <w:tcPr>
            <w:tcW w:w="1292" w:type="dxa"/>
            <w:tcBorders>
              <w:top w:val="nil"/>
              <w:left w:val="nil"/>
              <w:bottom w:val="single" w:sz="4" w:space="0" w:color="auto"/>
              <w:right w:val="single" w:sz="4" w:space="0" w:color="auto"/>
            </w:tcBorders>
            <w:shd w:val="clear" w:color="auto" w:fill="auto"/>
            <w:vAlign w:val="center"/>
            <w:hideMark/>
          </w:tcPr>
          <w:p w14:paraId="49660F5D" w14:textId="4EBB3967"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252.989.043</w:t>
            </w:r>
          </w:p>
        </w:tc>
        <w:tc>
          <w:tcPr>
            <w:tcW w:w="997" w:type="dxa"/>
            <w:tcBorders>
              <w:top w:val="nil"/>
              <w:left w:val="nil"/>
              <w:bottom w:val="single" w:sz="4" w:space="0" w:color="auto"/>
              <w:right w:val="single" w:sz="4" w:space="0" w:color="auto"/>
            </w:tcBorders>
            <w:shd w:val="clear" w:color="auto" w:fill="auto"/>
            <w:noWrap/>
            <w:vAlign w:val="center"/>
            <w:hideMark/>
          </w:tcPr>
          <w:p w14:paraId="6B68417E" w14:textId="4D283E12"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11,24 %</w:t>
            </w:r>
          </w:p>
        </w:tc>
        <w:tc>
          <w:tcPr>
            <w:tcW w:w="993" w:type="dxa"/>
            <w:tcBorders>
              <w:top w:val="nil"/>
              <w:left w:val="nil"/>
              <w:bottom w:val="single" w:sz="4" w:space="0" w:color="auto"/>
              <w:right w:val="single" w:sz="4" w:space="0" w:color="auto"/>
            </w:tcBorders>
            <w:shd w:val="clear" w:color="auto" w:fill="auto"/>
            <w:noWrap/>
            <w:vAlign w:val="center"/>
            <w:hideMark/>
          </w:tcPr>
          <w:p w14:paraId="19A56F65" w14:textId="4E042116"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7,38 %</w:t>
            </w:r>
          </w:p>
        </w:tc>
      </w:tr>
      <w:tr w:rsidR="00F11E69" w:rsidRPr="00BC1DE6" w14:paraId="4FF2D00E" w14:textId="77777777" w:rsidTr="009F7B6D">
        <w:trPr>
          <w:trHeight w:val="255"/>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13120F" w14:textId="77777777" w:rsidR="00F11E69" w:rsidRPr="00BC1DE6" w:rsidRDefault="00F11E69" w:rsidP="009F7B6D">
            <w:pPr>
              <w:spacing w:after="0" w:line="240" w:lineRule="auto"/>
              <w:jc w:val="center"/>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lastRenderedPageBreak/>
              <w:t>Vrsta postopka</w:t>
            </w:r>
          </w:p>
        </w:tc>
        <w:tc>
          <w:tcPr>
            <w:tcW w:w="299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5A89BA6" w14:textId="77777777" w:rsidR="00F11E69" w:rsidRPr="00BC1DE6" w:rsidRDefault="00F11E69" w:rsidP="009F7B6D">
            <w:pPr>
              <w:spacing w:after="0" w:line="240" w:lineRule="auto"/>
              <w:jc w:val="center"/>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Merila</w:t>
            </w:r>
          </w:p>
        </w:tc>
        <w:tc>
          <w:tcPr>
            <w:tcW w:w="67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067ECC0" w14:textId="77777777" w:rsidR="00F11E69" w:rsidRPr="00BC1DE6" w:rsidRDefault="00F11E69" w:rsidP="009F7B6D">
            <w:pPr>
              <w:spacing w:after="0" w:line="240" w:lineRule="auto"/>
              <w:jc w:val="center"/>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Št. naročil</w:t>
            </w:r>
          </w:p>
        </w:tc>
        <w:tc>
          <w:tcPr>
            <w:tcW w:w="129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DF23321" w14:textId="77777777" w:rsidR="00F11E69" w:rsidRPr="00BC1DE6" w:rsidRDefault="00F11E69" w:rsidP="009F7B6D">
            <w:pPr>
              <w:spacing w:after="0" w:line="240" w:lineRule="auto"/>
              <w:jc w:val="center"/>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Pogodbena vrednost</w:t>
            </w:r>
          </w:p>
        </w:tc>
        <w:tc>
          <w:tcPr>
            <w:tcW w:w="99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FA0475D" w14:textId="77777777" w:rsidR="00F11E69" w:rsidRPr="00BC1DE6" w:rsidRDefault="00F11E69" w:rsidP="009F7B6D">
            <w:pPr>
              <w:spacing w:after="0" w:line="240" w:lineRule="auto"/>
              <w:jc w:val="center"/>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Delež v št. naročil</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2DE947A" w14:textId="77777777" w:rsidR="00F11E69" w:rsidRPr="00BC1DE6" w:rsidRDefault="00F11E69" w:rsidP="009F7B6D">
            <w:pPr>
              <w:spacing w:after="0" w:line="240" w:lineRule="auto"/>
              <w:jc w:val="center"/>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Delež v vrednosti</w:t>
            </w:r>
          </w:p>
        </w:tc>
      </w:tr>
      <w:tr w:rsidR="002B28BA" w:rsidRPr="00BC1DE6" w14:paraId="2D8E0C71" w14:textId="77777777" w:rsidTr="002B28BA">
        <w:trPr>
          <w:trHeight w:val="255"/>
          <w:jc w:val="center"/>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14:paraId="2CD6A7C7" w14:textId="77777777" w:rsidR="002B28BA" w:rsidRPr="00BC1DE6" w:rsidRDefault="002B28BA" w:rsidP="002B28BA">
            <w:pPr>
              <w:spacing w:after="0" w:line="240" w:lineRule="auto"/>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Omejeni postopek</w:t>
            </w:r>
          </w:p>
        </w:tc>
        <w:tc>
          <w:tcPr>
            <w:tcW w:w="2998" w:type="dxa"/>
            <w:tcBorders>
              <w:top w:val="nil"/>
              <w:left w:val="nil"/>
              <w:bottom w:val="single" w:sz="4" w:space="0" w:color="auto"/>
              <w:right w:val="single" w:sz="4" w:space="0" w:color="auto"/>
            </w:tcBorders>
            <w:shd w:val="clear" w:color="auto" w:fill="auto"/>
            <w:vAlign w:val="center"/>
            <w:hideMark/>
          </w:tcPr>
          <w:p w14:paraId="41EF4659" w14:textId="77777777" w:rsidR="002B28BA" w:rsidRPr="00BC1DE6" w:rsidRDefault="002B28BA" w:rsidP="002B28BA">
            <w:pPr>
              <w:spacing w:after="0" w:line="240" w:lineRule="auto"/>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Cena</w:t>
            </w:r>
          </w:p>
        </w:tc>
        <w:tc>
          <w:tcPr>
            <w:tcW w:w="671" w:type="dxa"/>
            <w:tcBorders>
              <w:top w:val="nil"/>
              <w:left w:val="nil"/>
              <w:bottom w:val="single" w:sz="4" w:space="0" w:color="auto"/>
              <w:right w:val="single" w:sz="4" w:space="0" w:color="auto"/>
            </w:tcBorders>
            <w:shd w:val="clear" w:color="auto" w:fill="auto"/>
            <w:vAlign w:val="center"/>
            <w:hideMark/>
          </w:tcPr>
          <w:p w14:paraId="136AA1FF" w14:textId="5799E8A3"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41</w:t>
            </w:r>
          </w:p>
        </w:tc>
        <w:tc>
          <w:tcPr>
            <w:tcW w:w="1292" w:type="dxa"/>
            <w:tcBorders>
              <w:top w:val="nil"/>
              <w:left w:val="nil"/>
              <w:bottom w:val="single" w:sz="4" w:space="0" w:color="auto"/>
              <w:right w:val="single" w:sz="4" w:space="0" w:color="auto"/>
            </w:tcBorders>
            <w:shd w:val="clear" w:color="auto" w:fill="auto"/>
            <w:vAlign w:val="center"/>
            <w:hideMark/>
          </w:tcPr>
          <w:p w14:paraId="7CD5690F" w14:textId="0056FCDB"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78.645.924</w:t>
            </w:r>
          </w:p>
        </w:tc>
        <w:tc>
          <w:tcPr>
            <w:tcW w:w="997" w:type="dxa"/>
            <w:tcBorders>
              <w:top w:val="nil"/>
              <w:left w:val="nil"/>
              <w:bottom w:val="single" w:sz="4" w:space="0" w:color="auto"/>
              <w:right w:val="single" w:sz="4" w:space="0" w:color="auto"/>
            </w:tcBorders>
            <w:shd w:val="clear" w:color="auto" w:fill="auto"/>
            <w:noWrap/>
            <w:vAlign w:val="center"/>
            <w:hideMark/>
          </w:tcPr>
          <w:p w14:paraId="222C51D9" w14:textId="437927A9"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69,49 %</w:t>
            </w:r>
          </w:p>
        </w:tc>
        <w:tc>
          <w:tcPr>
            <w:tcW w:w="993" w:type="dxa"/>
            <w:tcBorders>
              <w:top w:val="nil"/>
              <w:left w:val="nil"/>
              <w:bottom w:val="single" w:sz="4" w:space="0" w:color="auto"/>
              <w:right w:val="single" w:sz="4" w:space="0" w:color="auto"/>
            </w:tcBorders>
            <w:shd w:val="clear" w:color="auto" w:fill="auto"/>
            <w:noWrap/>
            <w:vAlign w:val="center"/>
            <w:hideMark/>
          </w:tcPr>
          <w:p w14:paraId="194CACCE" w14:textId="28BA99E4"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97,13 %</w:t>
            </w:r>
          </w:p>
        </w:tc>
      </w:tr>
      <w:tr w:rsidR="002B28BA" w:rsidRPr="00BC1DE6" w14:paraId="020CE0FD" w14:textId="77777777" w:rsidTr="002B28BA">
        <w:trPr>
          <w:trHeight w:val="255"/>
          <w:jc w:val="center"/>
        </w:trPr>
        <w:tc>
          <w:tcPr>
            <w:tcW w:w="2122" w:type="dxa"/>
            <w:vMerge/>
            <w:tcBorders>
              <w:top w:val="nil"/>
              <w:left w:val="single" w:sz="4" w:space="0" w:color="auto"/>
              <w:bottom w:val="single" w:sz="4" w:space="0" w:color="auto"/>
              <w:right w:val="single" w:sz="4" w:space="0" w:color="auto"/>
            </w:tcBorders>
            <w:vAlign w:val="center"/>
            <w:hideMark/>
          </w:tcPr>
          <w:p w14:paraId="3D8007F8" w14:textId="77777777" w:rsidR="002B28BA" w:rsidRPr="00BC1DE6" w:rsidRDefault="002B28BA" w:rsidP="002B28BA">
            <w:pPr>
              <w:spacing w:after="0" w:line="240" w:lineRule="auto"/>
              <w:rPr>
                <w:rFonts w:ascii="Arial" w:eastAsia="Times New Roman" w:hAnsi="Arial" w:cs="Arial"/>
                <w:color w:val="000000"/>
                <w:sz w:val="18"/>
                <w:szCs w:val="18"/>
                <w:lang w:eastAsia="sl-SI"/>
              </w:rPr>
            </w:pPr>
          </w:p>
        </w:tc>
        <w:tc>
          <w:tcPr>
            <w:tcW w:w="2998" w:type="dxa"/>
            <w:tcBorders>
              <w:top w:val="nil"/>
              <w:left w:val="nil"/>
              <w:bottom w:val="single" w:sz="4" w:space="0" w:color="auto"/>
              <w:right w:val="single" w:sz="4" w:space="0" w:color="auto"/>
            </w:tcBorders>
            <w:shd w:val="clear" w:color="auto" w:fill="auto"/>
            <w:vAlign w:val="center"/>
            <w:hideMark/>
          </w:tcPr>
          <w:p w14:paraId="73BE826B" w14:textId="77777777" w:rsidR="002B28BA" w:rsidRPr="00BC1DE6" w:rsidRDefault="002B28BA" w:rsidP="002B28BA">
            <w:pPr>
              <w:spacing w:after="0" w:line="240" w:lineRule="auto"/>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Ekonomsko najugodnejša ponudba</w:t>
            </w:r>
          </w:p>
        </w:tc>
        <w:tc>
          <w:tcPr>
            <w:tcW w:w="671" w:type="dxa"/>
            <w:tcBorders>
              <w:top w:val="nil"/>
              <w:left w:val="nil"/>
              <w:bottom w:val="single" w:sz="4" w:space="0" w:color="auto"/>
              <w:right w:val="single" w:sz="4" w:space="0" w:color="auto"/>
            </w:tcBorders>
            <w:shd w:val="clear" w:color="auto" w:fill="auto"/>
            <w:vAlign w:val="center"/>
            <w:hideMark/>
          </w:tcPr>
          <w:p w14:paraId="6E9E2E17" w14:textId="7C212B54"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18</w:t>
            </w:r>
          </w:p>
        </w:tc>
        <w:tc>
          <w:tcPr>
            <w:tcW w:w="1292" w:type="dxa"/>
            <w:tcBorders>
              <w:top w:val="nil"/>
              <w:left w:val="nil"/>
              <w:bottom w:val="single" w:sz="4" w:space="0" w:color="auto"/>
              <w:right w:val="single" w:sz="4" w:space="0" w:color="auto"/>
            </w:tcBorders>
            <w:shd w:val="clear" w:color="auto" w:fill="auto"/>
            <w:vAlign w:val="center"/>
            <w:hideMark/>
          </w:tcPr>
          <w:p w14:paraId="455B25DC" w14:textId="497B8ED4"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2.324.848</w:t>
            </w:r>
          </w:p>
        </w:tc>
        <w:tc>
          <w:tcPr>
            <w:tcW w:w="997" w:type="dxa"/>
            <w:tcBorders>
              <w:top w:val="nil"/>
              <w:left w:val="nil"/>
              <w:bottom w:val="single" w:sz="4" w:space="0" w:color="auto"/>
              <w:right w:val="single" w:sz="4" w:space="0" w:color="auto"/>
            </w:tcBorders>
            <w:shd w:val="clear" w:color="auto" w:fill="auto"/>
            <w:noWrap/>
            <w:vAlign w:val="center"/>
            <w:hideMark/>
          </w:tcPr>
          <w:p w14:paraId="54C84C5A" w14:textId="589DBA10"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30,51 %</w:t>
            </w:r>
          </w:p>
        </w:tc>
        <w:tc>
          <w:tcPr>
            <w:tcW w:w="993" w:type="dxa"/>
            <w:tcBorders>
              <w:top w:val="nil"/>
              <w:left w:val="nil"/>
              <w:bottom w:val="single" w:sz="4" w:space="0" w:color="auto"/>
              <w:right w:val="single" w:sz="4" w:space="0" w:color="auto"/>
            </w:tcBorders>
            <w:shd w:val="clear" w:color="auto" w:fill="auto"/>
            <w:noWrap/>
            <w:vAlign w:val="center"/>
            <w:hideMark/>
          </w:tcPr>
          <w:p w14:paraId="2325F3F6" w14:textId="7F2A25B9"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2,87 %</w:t>
            </w:r>
          </w:p>
        </w:tc>
      </w:tr>
      <w:tr w:rsidR="002B28BA" w:rsidRPr="00BC1DE6" w14:paraId="2A7E7A89" w14:textId="77777777" w:rsidTr="002B28BA">
        <w:trPr>
          <w:trHeight w:val="255"/>
          <w:jc w:val="center"/>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14:paraId="6DB05F2F" w14:textId="77777777" w:rsidR="002B28BA" w:rsidRPr="00BC1DE6" w:rsidRDefault="002B28BA" w:rsidP="002B28BA">
            <w:pPr>
              <w:spacing w:after="0" w:line="240" w:lineRule="auto"/>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Postopek naročila male vrednosti</w:t>
            </w:r>
          </w:p>
        </w:tc>
        <w:tc>
          <w:tcPr>
            <w:tcW w:w="2998" w:type="dxa"/>
            <w:tcBorders>
              <w:top w:val="nil"/>
              <w:left w:val="nil"/>
              <w:bottom w:val="single" w:sz="4" w:space="0" w:color="auto"/>
              <w:right w:val="single" w:sz="4" w:space="0" w:color="auto"/>
            </w:tcBorders>
            <w:shd w:val="clear" w:color="auto" w:fill="auto"/>
            <w:vAlign w:val="center"/>
            <w:hideMark/>
          </w:tcPr>
          <w:p w14:paraId="224072B4" w14:textId="77777777" w:rsidR="002B28BA" w:rsidRPr="00BC1DE6" w:rsidRDefault="002B28BA" w:rsidP="002B28BA">
            <w:pPr>
              <w:spacing w:after="0" w:line="240" w:lineRule="auto"/>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Cena</w:t>
            </w:r>
          </w:p>
        </w:tc>
        <w:tc>
          <w:tcPr>
            <w:tcW w:w="671" w:type="dxa"/>
            <w:tcBorders>
              <w:top w:val="nil"/>
              <w:left w:val="nil"/>
              <w:bottom w:val="single" w:sz="4" w:space="0" w:color="auto"/>
              <w:right w:val="single" w:sz="4" w:space="0" w:color="auto"/>
            </w:tcBorders>
            <w:shd w:val="clear" w:color="auto" w:fill="auto"/>
            <w:vAlign w:val="center"/>
            <w:hideMark/>
          </w:tcPr>
          <w:p w14:paraId="1D7D3B22" w14:textId="6F57BD7F"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5</w:t>
            </w:r>
            <w:r w:rsidR="00300009">
              <w:rPr>
                <w:rFonts w:ascii="Arial" w:eastAsia="Times New Roman" w:hAnsi="Arial" w:cs="Arial"/>
                <w:color w:val="000000"/>
                <w:sz w:val="18"/>
                <w:szCs w:val="18"/>
                <w:lang w:eastAsia="sl-SI"/>
              </w:rPr>
              <w:t>.</w:t>
            </w:r>
            <w:r w:rsidRPr="00BC1DE6">
              <w:rPr>
                <w:rFonts w:ascii="Arial" w:eastAsia="Times New Roman" w:hAnsi="Arial" w:cs="Arial"/>
                <w:color w:val="000000"/>
                <w:sz w:val="18"/>
                <w:szCs w:val="18"/>
                <w:lang w:eastAsia="sl-SI"/>
              </w:rPr>
              <w:t>472</w:t>
            </w:r>
          </w:p>
        </w:tc>
        <w:tc>
          <w:tcPr>
            <w:tcW w:w="1292" w:type="dxa"/>
            <w:tcBorders>
              <w:top w:val="nil"/>
              <w:left w:val="nil"/>
              <w:bottom w:val="single" w:sz="4" w:space="0" w:color="auto"/>
              <w:right w:val="single" w:sz="4" w:space="0" w:color="auto"/>
            </w:tcBorders>
            <w:shd w:val="clear" w:color="auto" w:fill="auto"/>
            <w:vAlign w:val="center"/>
            <w:hideMark/>
          </w:tcPr>
          <w:p w14:paraId="685255B9" w14:textId="43E748FD"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829.966.798</w:t>
            </w:r>
          </w:p>
        </w:tc>
        <w:tc>
          <w:tcPr>
            <w:tcW w:w="997" w:type="dxa"/>
            <w:tcBorders>
              <w:top w:val="nil"/>
              <w:left w:val="nil"/>
              <w:bottom w:val="single" w:sz="4" w:space="0" w:color="auto"/>
              <w:right w:val="single" w:sz="4" w:space="0" w:color="auto"/>
            </w:tcBorders>
            <w:shd w:val="clear" w:color="auto" w:fill="auto"/>
            <w:noWrap/>
            <w:vAlign w:val="center"/>
            <w:hideMark/>
          </w:tcPr>
          <w:p w14:paraId="39AF9A43" w14:textId="168EDB68"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92,11 %</w:t>
            </w:r>
          </w:p>
        </w:tc>
        <w:tc>
          <w:tcPr>
            <w:tcW w:w="993" w:type="dxa"/>
            <w:tcBorders>
              <w:top w:val="nil"/>
              <w:left w:val="nil"/>
              <w:bottom w:val="single" w:sz="4" w:space="0" w:color="auto"/>
              <w:right w:val="single" w:sz="4" w:space="0" w:color="auto"/>
            </w:tcBorders>
            <w:shd w:val="clear" w:color="auto" w:fill="auto"/>
            <w:noWrap/>
            <w:vAlign w:val="center"/>
            <w:hideMark/>
          </w:tcPr>
          <w:p w14:paraId="20BDC014" w14:textId="3B9BBBAC"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96,20 %</w:t>
            </w:r>
          </w:p>
        </w:tc>
      </w:tr>
      <w:tr w:rsidR="002B28BA" w:rsidRPr="00BC1DE6" w14:paraId="271678FF" w14:textId="77777777" w:rsidTr="002B28BA">
        <w:trPr>
          <w:trHeight w:val="255"/>
          <w:jc w:val="center"/>
        </w:trPr>
        <w:tc>
          <w:tcPr>
            <w:tcW w:w="2122" w:type="dxa"/>
            <w:vMerge/>
            <w:tcBorders>
              <w:top w:val="nil"/>
              <w:left w:val="single" w:sz="4" w:space="0" w:color="auto"/>
              <w:bottom w:val="single" w:sz="4" w:space="0" w:color="auto"/>
              <w:right w:val="single" w:sz="4" w:space="0" w:color="auto"/>
            </w:tcBorders>
            <w:vAlign w:val="center"/>
            <w:hideMark/>
          </w:tcPr>
          <w:p w14:paraId="512FA73F" w14:textId="77777777" w:rsidR="002B28BA" w:rsidRPr="00BC1DE6" w:rsidRDefault="002B28BA" w:rsidP="002B28BA">
            <w:pPr>
              <w:spacing w:after="0" w:line="240" w:lineRule="auto"/>
              <w:rPr>
                <w:rFonts w:ascii="Arial" w:eastAsia="Times New Roman" w:hAnsi="Arial" w:cs="Arial"/>
                <w:color w:val="000000"/>
                <w:sz w:val="18"/>
                <w:szCs w:val="18"/>
                <w:lang w:eastAsia="sl-SI"/>
              </w:rPr>
            </w:pPr>
          </w:p>
        </w:tc>
        <w:tc>
          <w:tcPr>
            <w:tcW w:w="2998" w:type="dxa"/>
            <w:tcBorders>
              <w:top w:val="nil"/>
              <w:left w:val="nil"/>
              <w:bottom w:val="single" w:sz="4" w:space="0" w:color="auto"/>
              <w:right w:val="single" w:sz="4" w:space="0" w:color="auto"/>
            </w:tcBorders>
            <w:shd w:val="clear" w:color="auto" w:fill="auto"/>
            <w:vAlign w:val="center"/>
            <w:hideMark/>
          </w:tcPr>
          <w:p w14:paraId="2C2FEEAF" w14:textId="77777777" w:rsidR="002B28BA" w:rsidRPr="00BC1DE6" w:rsidRDefault="002B28BA" w:rsidP="002B28BA">
            <w:pPr>
              <w:spacing w:after="0" w:line="240" w:lineRule="auto"/>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Ekonomsko najugodnejša ponudba</w:t>
            </w:r>
          </w:p>
        </w:tc>
        <w:tc>
          <w:tcPr>
            <w:tcW w:w="671" w:type="dxa"/>
            <w:tcBorders>
              <w:top w:val="nil"/>
              <w:left w:val="nil"/>
              <w:bottom w:val="single" w:sz="4" w:space="0" w:color="auto"/>
              <w:right w:val="single" w:sz="4" w:space="0" w:color="auto"/>
            </w:tcBorders>
            <w:shd w:val="clear" w:color="auto" w:fill="auto"/>
            <w:vAlign w:val="center"/>
            <w:hideMark/>
          </w:tcPr>
          <w:p w14:paraId="45E47E66" w14:textId="1199F263"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469</w:t>
            </w:r>
          </w:p>
        </w:tc>
        <w:tc>
          <w:tcPr>
            <w:tcW w:w="1292" w:type="dxa"/>
            <w:tcBorders>
              <w:top w:val="nil"/>
              <w:left w:val="nil"/>
              <w:bottom w:val="single" w:sz="4" w:space="0" w:color="auto"/>
              <w:right w:val="single" w:sz="4" w:space="0" w:color="auto"/>
            </w:tcBorders>
            <w:shd w:val="clear" w:color="auto" w:fill="auto"/>
            <w:vAlign w:val="center"/>
            <w:hideMark/>
          </w:tcPr>
          <w:p w14:paraId="69D1EC30" w14:textId="106DF9B4"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32.824.419</w:t>
            </w:r>
          </w:p>
        </w:tc>
        <w:tc>
          <w:tcPr>
            <w:tcW w:w="997" w:type="dxa"/>
            <w:tcBorders>
              <w:top w:val="nil"/>
              <w:left w:val="nil"/>
              <w:bottom w:val="single" w:sz="4" w:space="0" w:color="auto"/>
              <w:right w:val="single" w:sz="4" w:space="0" w:color="auto"/>
            </w:tcBorders>
            <w:shd w:val="clear" w:color="auto" w:fill="auto"/>
            <w:noWrap/>
            <w:vAlign w:val="center"/>
            <w:hideMark/>
          </w:tcPr>
          <w:p w14:paraId="355EE52D" w14:textId="7F899C89"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7,89 %</w:t>
            </w:r>
          </w:p>
        </w:tc>
        <w:tc>
          <w:tcPr>
            <w:tcW w:w="993" w:type="dxa"/>
            <w:tcBorders>
              <w:top w:val="nil"/>
              <w:left w:val="nil"/>
              <w:bottom w:val="single" w:sz="4" w:space="0" w:color="auto"/>
              <w:right w:val="single" w:sz="4" w:space="0" w:color="auto"/>
            </w:tcBorders>
            <w:shd w:val="clear" w:color="auto" w:fill="auto"/>
            <w:noWrap/>
            <w:vAlign w:val="center"/>
            <w:hideMark/>
          </w:tcPr>
          <w:p w14:paraId="148AACDE" w14:textId="0DB33F74"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3,80 %</w:t>
            </w:r>
          </w:p>
        </w:tc>
      </w:tr>
      <w:tr w:rsidR="002B28BA" w:rsidRPr="00BC1DE6" w14:paraId="3B987C2F" w14:textId="77777777" w:rsidTr="002B28BA">
        <w:trPr>
          <w:trHeight w:val="255"/>
          <w:jc w:val="center"/>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14:paraId="242C98E5" w14:textId="77777777" w:rsidR="002B28BA" w:rsidRPr="00BC1DE6" w:rsidRDefault="002B28BA" w:rsidP="002B28BA">
            <w:pPr>
              <w:spacing w:after="0" w:line="240" w:lineRule="auto"/>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Postopek s pogajanji brez predhodne objave</w:t>
            </w:r>
          </w:p>
        </w:tc>
        <w:tc>
          <w:tcPr>
            <w:tcW w:w="2998" w:type="dxa"/>
            <w:tcBorders>
              <w:top w:val="nil"/>
              <w:left w:val="nil"/>
              <w:bottom w:val="single" w:sz="4" w:space="0" w:color="auto"/>
              <w:right w:val="single" w:sz="4" w:space="0" w:color="auto"/>
            </w:tcBorders>
            <w:shd w:val="clear" w:color="auto" w:fill="auto"/>
            <w:vAlign w:val="center"/>
            <w:hideMark/>
          </w:tcPr>
          <w:p w14:paraId="5DF23CE4" w14:textId="77777777" w:rsidR="002B28BA" w:rsidRPr="00BC1DE6" w:rsidRDefault="002B28BA" w:rsidP="002B28BA">
            <w:pPr>
              <w:spacing w:after="0" w:line="240" w:lineRule="auto"/>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Cena</w:t>
            </w:r>
          </w:p>
        </w:tc>
        <w:tc>
          <w:tcPr>
            <w:tcW w:w="671" w:type="dxa"/>
            <w:tcBorders>
              <w:top w:val="nil"/>
              <w:left w:val="nil"/>
              <w:bottom w:val="single" w:sz="4" w:space="0" w:color="auto"/>
              <w:right w:val="single" w:sz="4" w:space="0" w:color="auto"/>
            </w:tcBorders>
            <w:shd w:val="clear" w:color="auto" w:fill="auto"/>
            <w:vAlign w:val="center"/>
            <w:hideMark/>
          </w:tcPr>
          <w:p w14:paraId="3116DD68" w14:textId="3A9AA05E"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761</w:t>
            </w:r>
          </w:p>
        </w:tc>
        <w:tc>
          <w:tcPr>
            <w:tcW w:w="1292" w:type="dxa"/>
            <w:tcBorders>
              <w:top w:val="nil"/>
              <w:left w:val="nil"/>
              <w:bottom w:val="single" w:sz="4" w:space="0" w:color="auto"/>
              <w:right w:val="single" w:sz="4" w:space="0" w:color="auto"/>
            </w:tcBorders>
            <w:shd w:val="clear" w:color="auto" w:fill="auto"/>
            <w:vAlign w:val="center"/>
            <w:hideMark/>
          </w:tcPr>
          <w:p w14:paraId="5538ABCE" w14:textId="7DBB3D10"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276.140.345</w:t>
            </w:r>
          </w:p>
        </w:tc>
        <w:tc>
          <w:tcPr>
            <w:tcW w:w="997" w:type="dxa"/>
            <w:tcBorders>
              <w:top w:val="nil"/>
              <w:left w:val="nil"/>
              <w:bottom w:val="single" w:sz="4" w:space="0" w:color="auto"/>
              <w:right w:val="single" w:sz="4" w:space="0" w:color="auto"/>
            </w:tcBorders>
            <w:shd w:val="clear" w:color="auto" w:fill="auto"/>
            <w:noWrap/>
            <w:vAlign w:val="center"/>
            <w:hideMark/>
          </w:tcPr>
          <w:p w14:paraId="7A23F38C" w14:textId="02674E7B"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96,09 %</w:t>
            </w:r>
          </w:p>
        </w:tc>
        <w:tc>
          <w:tcPr>
            <w:tcW w:w="993" w:type="dxa"/>
            <w:tcBorders>
              <w:top w:val="nil"/>
              <w:left w:val="nil"/>
              <w:bottom w:val="single" w:sz="4" w:space="0" w:color="auto"/>
              <w:right w:val="single" w:sz="4" w:space="0" w:color="auto"/>
            </w:tcBorders>
            <w:shd w:val="clear" w:color="auto" w:fill="auto"/>
            <w:noWrap/>
            <w:vAlign w:val="center"/>
            <w:hideMark/>
          </w:tcPr>
          <w:p w14:paraId="50432969" w14:textId="709BD1FC"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96,21 %</w:t>
            </w:r>
          </w:p>
        </w:tc>
      </w:tr>
      <w:tr w:rsidR="002B28BA" w:rsidRPr="00BC1DE6" w14:paraId="59D2F32B" w14:textId="77777777" w:rsidTr="002B28BA">
        <w:trPr>
          <w:trHeight w:val="255"/>
          <w:jc w:val="center"/>
        </w:trPr>
        <w:tc>
          <w:tcPr>
            <w:tcW w:w="2122" w:type="dxa"/>
            <w:vMerge/>
            <w:tcBorders>
              <w:top w:val="nil"/>
              <w:left w:val="single" w:sz="4" w:space="0" w:color="auto"/>
              <w:bottom w:val="single" w:sz="4" w:space="0" w:color="auto"/>
              <w:right w:val="single" w:sz="4" w:space="0" w:color="auto"/>
            </w:tcBorders>
            <w:vAlign w:val="center"/>
            <w:hideMark/>
          </w:tcPr>
          <w:p w14:paraId="63E0E526" w14:textId="77777777" w:rsidR="002B28BA" w:rsidRPr="00BC1DE6" w:rsidRDefault="002B28BA" w:rsidP="002B28BA">
            <w:pPr>
              <w:spacing w:after="0" w:line="240" w:lineRule="auto"/>
              <w:rPr>
                <w:rFonts w:ascii="Arial" w:eastAsia="Times New Roman" w:hAnsi="Arial" w:cs="Arial"/>
                <w:color w:val="000000"/>
                <w:sz w:val="18"/>
                <w:szCs w:val="18"/>
                <w:lang w:eastAsia="sl-SI"/>
              </w:rPr>
            </w:pPr>
          </w:p>
        </w:tc>
        <w:tc>
          <w:tcPr>
            <w:tcW w:w="2998" w:type="dxa"/>
            <w:tcBorders>
              <w:top w:val="nil"/>
              <w:left w:val="nil"/>
              <w:bottom w:val="single" w:sz="4" w:space="0" w:color="auto"/>
              <w:right w:val="single" w:sz="4" w:space="0" w:color="auto"/>
            </w:tcBorders>
            <w:shd w:val="clear" w:color="auto" w:fill="auto"/>
            <w:vAlign w:val="center"/>
            <w:hideMark/>
          </w:tcPr>
          <w:p w14:paraId="45C3C6FC" w14:textId="77777777" w:rsidR="002B28BA" w:rsidRPr="00BC1DE6" w:rsidRDefault="002B28BA" w:rsidP="002B28BA">
            <w:pPr>
              <w:spacing w:after="0" w:line="240" w:lineRule="auto"/>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Ekonomsko najugodnejša ponudba</w:t>
            </w:r>
          </w:p>
        </w:tc>
        <w:tc>
          <w:tcPr>
            <w:tcW w:w="671" w:type="dxa"/>
            <w:tcBorders>
              <w:top w:val="nil"/>
              <w:left w:val="nil"/>
              <w:bottom w:val="single" w:sz="4" w:space="0" w:color="auto"/>
              <w:right w:val="single" w:sz="4" w:space="0" w:color="auto"/>
            </w:tcBorders>
            <w:shd w:val="clear" w:color="auto" w:fill="auto"/>
            <w:vAlign w:val="center"/>
            <w:hideMark/>
          </w:tcPr>
          <w:p w14:paraId="02B585C5" w14:textId="08BBA004"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31</w:t>
            </w:r>
          </w:p>
        </w:tc>
        <w:tc>
          <w:tcPr>
            <w:tcW w:w="1292" w:type="dxa"/>
            <w:tcBorders>
              <w:top w:val="nil"/>
              <w:left w:val="nil"/>
              <w:bottom w:val="single" w:sz="4" w:space="0" w:color="auto"/>
              <w:right w:val="single" w:sz="4" w:space="0" w:color="auto"/>
            </w:tcBorders>
            <w:shd w:val="clear" w:color="auto" w:fill="auto"/>
            <w:vAlign w:val="center"/>
            <w:hideMark/>
          </w:tcPr>
          <w:p w14:paraId="08D99057" w14:textId="28E5F653"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10.882.722</w:t>
            </w:r>
          </w:p>
        </w:tc>
        <w:tc>
          <w:tcPr>
            <w:tcW w:w="997" w:type="dxa"/>
            <w:tcBorders>
              <w:top w:val="nil"/>
              <w:left w:val="nil"/>
              <w:bottom w:val="single" w:sz="4" w:space="0" w:color="auto"/>
              <w:right w:val="single" w:sz="4" w:space="0" w:color="auto"/>
            </w:tcBorders>
            <w:shd w:val="clear" w:color="auto" w:fill="auto"/>
            <w:noWrap/>
            <w:vAlign w:val="center"/>
            <w:hideMark/>
          </w:tcPr>
          <w:p w14:paraId="1D830ECF" w14:textId="67505195"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3,91 %</w:t>
            </w:r>
          </w:p>
        </w:tc>
        <w:tc>
          <w:tcPr>
            <w:tcW w:w="993" w:type="dxa"/>
            <w:tcBorders>
              <w:top w:val="nil"/>
              <w:left w:val="nil"/>
              <w:bottom w:val="single" w:sz="4" w:space="0" w:color="auto"/>
              <w:right w:val="single" w:sz="4" w:space="0" w:color="auto"/>
            </w:tcBorders>
            <w:shd w:val="clear" w:color="auto" w:fill="auto"/>
            <w:noWrap/>
            <w:vAlign w:val="center"/>
            <w:hideMark/>
          </w:tcPr>
          <w:p w14:paraId="47DBE452" w14:textId="0BABA96E"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3,79 %</w:t>
            </w:r>
          </w:p>
        </w:tc>
      </w:tr>
      <w:tr w:rsidR="002B28BA" w:rsidRPr="00BC1DE6" w14:paraId="7C7A1B9C" w14:textId="77777777" w:rsidTr="002B28BA">
        <w:trPr>
          <w:trHeight w:val="255"/>
          <w:jc w:val="center"/>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14:paraId="0CC7A4D2" w14:textId="77777777" w:rsidR="002B28BA" w:rsidRPr="00BC1DE6" w:rsidRDefault="002B28BA" w:rsidP="002B28BA">
            <w:pPr>
              <w:spacing w:after="0" w:line="240" w:lineRule="auto"/>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Postopek s pogajanji po predhodni objavi</w:t>
            </w:r>
          </w:p>
        </w:tc>
        <w:tc>
          <w:tcPr>
            <w:tcW w:w="2998" w:type="dxa"/>
            <w:tcBorders>
              <w:top w:val="nil"/>
              <w:left w:val="nil"/>
              <w:bottom w:val="single" w:sz="4" w:space="0" w:color="auto"/>
              <w:right w:val="single" w:sz="4" w:space="0" w:color="auto"/>
            </w:tcBorders>
            <w:shd w:val="clear" w:color="auto" w:fill="auto"/>
            <w:vAlign w:val="center"/>
            <w:hideMark/>
          </w:tcPr>
          <w:p w14:paraId="620ACADA" w14:textId="77777777" w:rsidR="002B28BA" w:rsidRPr="00BC1DE6" w:rsidRDefault="002B28BA" w:rsidP="002B28BA">
            <w:pPr>
              <w:spacing w:after="0" w:line="240" w:lineRule="auto"/>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Cena</w:t>
            </w:r>
          </w:p>
        </w:tc>
        <w:tc>
          <w:tcPr>
            <w:tcW w:w="671" w:type="dxa"/>
            <w:tcBorders>
              <w:top w:val="nil"/>
              <w:left w:val="nil"/>
              <w:bottom w:val="single" w:sz="4" w:space="0" w:color="auto"/>
              <w:right w:val="single" w:sz="4" w:space="0" w:color="auto"/>
            </w:tcBorders>
            <w:shd w:val="clear" w:color="auto" w:fill="auto"/>
            <w:vAlign w:val="center"/>
            <w:hideMark/>
          </w:tcPr>
          <w:p w14:paraId="531500BC" w14:textId="49A003DA"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181</w:t>
            </w:r>
          </w:p>
        </w:tc>
        <w:tc>
          <w:tcPr>
            <w:tcW w:w="1292" w:type="dxa"/>
            <w:tcBorders>
              <w:top w:val="nil"/>
              <w:left w:val="nil"/>
              <w:bottom w:val="single" w:sz="4" w:space="0" w:color="auto"/>
              <w:right w:val="single" w:sz="4" w:space="0" w:color="auto"/>
            </w:tcBorders>
            <w:shd w:val="clear" w:color="auto" w:fill="auto"/>
            <w:vAlign w:val="center"/>
            <w:hideMark/>
          </w:tcPr>
          <w:p w14:paraId="67CA0995" w14:textId="6BDE038A"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235.620.926</w:t>
            </w:r>
          </w:p>
        </w:tc>
        <w:tc>
          <w:tcPr>
            <w:tcW w:w="997" w:type="dxa"/>
            <w:tcBorders>
              <w:top w:val="nil"/>
              <w:left w:val="nil"/>
              <w:bottom w:val="single" w:sz="4" w:space="0" w:color="auto"/>
              <w:right w:val="single" w:sz="4" w:space="0" w:color="auto"/>
            </w:tcBorders>
            <w:shd w:val="clear" w:color="auto" w:fill="auto"/>
            <w:noWrap/>
            <w:vAlign w:val="center"/>
            <w:hideMark/>
          </w:tcPr>
          <w:p w14:paraId="4CDE7870" w14:textId="451C0B6C"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74,49 %</w:t>
            </w:r>
          </w:p>
        </w:tc>
        <w:tc>
          <w:tcPr>
            <w:tcW w:w="993" w:type="dxa"/>
            <w:tcBorders>
              <w:top w:val="nil"/>
              <w:left w:val="nil"/>
              <w:bottom w:val="single" w:sz="4" w:space="0" w:color="auto"/>
              <w:right w:val="single" w:sz="4" w:space="0" w:color="auto"/>
            </w:tcBorders>
            <w:shd w:val="clear" w:color="auto" w:fill="auto"/>
            <w:noWrap/>
            <w:vAlign w:val="center"/>
            <w:hideMark/>
          </w:tcPr>
          <w:p w14:paraId="0DBF3C54" w14:textId="6F26FD4E"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80,10 %</w:t>
            </w:r>
          </w:p>
        </w:tc>
      </w:tr>
      <w:tr w:rsidR="002B28BA" w:rsidRPr="00BC1DE6" w14:paraId="365C20C0" w14:textId="77777777" w:rsidTr="002B28BA">
        <w:trPr>
          <w:trHeight w:val="255"/>
          <w:jc w:val="center"/>
        </w:trPr>
        <w:tc>
          <w:tcPr>
            <w:tcW w:w="2122" w:type="dxa"/>
            <w:vMerge/>
            <w:tcBorders>
              <w:top w:val="nil"/>
              <w:left w:val="single" w:sz="4" w:space="0" w:color="auto"/>
              <w:bottom w:val="single" w:sz="4" w:space="0" w:color="auto"/>
              <w:right w:val="single" w:sz="4" w:space="0" w:color="auto"/>
            </w:tcBorders>
            <w:vAlign w:val="center"/>
            <w:hideMark/>
          </w:tcPr>
          <w:p w14:paraId="7382193E" w14:textId="77777777" w:rsidR="002B28BA" w:rsidRPr="00BC1DE6" w:rsidRDefault="002B28BA" w:rsidP="002B28BA">
            <w:pPr>
              <w:spacing w:after="0" w:line="240" w:lineRule="auto"/>
              <w:rPr>
                <w:rFonts w:ascii="Arial" w:eastAsia="Times New Roman" w:hAnsi="Arial" w:cs="Arial"/>
                <w:color w:val="000000"/>
                <w:sz w:val="18"/>
                <w:szCs w:val="18"/>
                <w:lang w:eastAsia="sl-SI"/>
              </w:rPr>
            </w:pPr>
          </w:p>
        </w:tc>
        <w:tc>
          <w:tcPr>
            <w:tcW w:w="2998" w:type="dxa"/>
            <w:tcBorders>
              <w:top w:val="nil"/>
              <w:left w:val="nil"/>
              <w:bottom w:val="single" w:sz="4" w:space="0" w:color="auto"/>
              <w:right w:val="single" w:sz="4" w:space="0" w:color="auto"/>
            </w:tcBorders>
            <w:shd w:val="clear" w:color="auto" w:fill="auto"/>
            <w:vAlign w:val="center"/>
            <w:hideMark/>
          </w:tcPr>
          <w:p w14:paraId="610F5D2D" w14:textId="77777777" w:rsidR="002B28BA" w:rsidRPr="00BC1DE6" w:rsidRDefault="002B28BA" w:rsidP="002B28BA">
            <w:pPr>
              <w:spacing w:after="0" w:line="240" w:lineRule="auto"/>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Ekonomsko najugodnejša ponudba</w:t>
            </w:r>
          </w:p>
        </w:tc>
        <w:tc>
          <w:tcPr>
            <w:tcW w:w="671" w:type="dxa"/>
            <w:tcBorders>
              <w:top w:val="nil"/>
              <w:left w:val="nil"/>
              <w:bottom w:val="single" w:sz="4" w:space="0" w:color="auto"/>
              <w:right w:val="single" w:sz="4" w:space="0" w:color="auto"/>
            </w:tcBorders>
            <w:shd w:val="clear" w:color="auto" w:fill="auto"/>
            <w:vAlign w:val="center"/>
            <w:hideMark/>
          </w:tcPr>
          <w:p w14:paraId="257678B7" w14:textId="7333EAFA"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62</w:t>
            </w:r>
          </w:p>
        </w:tc>
        <w:tc>
          <w:tcPr>
            <w:tcW w:w="1292" w:type="dxa"/>
            <w:tcBorders>
              <w:top w:val="nil"/>
              <w:left w:val="nil"/>
              <w:bottom w:val="single" w:sz="4" w:space="0" w:color="auto"/>
              <w:right w:val="single" w:sz="4" w:space="0" w:color="auto"/>
            </w:tcBorders>
            <w:shd w:val="clear" w:color="auto" w:fill="auto"/>
            <w:vAlign w:val="center"/>
            <w:hideMark/>
          </w:tcPr>
          <w:p w14:paraId="4D01D780" w14:textId="54D16CAF"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58.550.725</w:t>
            </w:r>
          </w:p>
        </w:tc>
        <w:tc>
          <w:tcPr>
            <w:tcW w:w="997" w:type="dxa"/>
            <w:tcBorders>
              <w:top w:val="nil"/>
              <w:left w:val="nil"/>
              <w:bottom w:val="single" w:sz="4" w:space="0" w:color="auto"/>
              <w:right w:val="single" w:sz="4" w:space="0" w:color="auto"/>
            </w:tcBorders>
            <w:shd w:val="clear" w:color="auto" w:fill="auto"/>
            <w:noWrap/>
            <w:vAlign w:val="center"/>
            <w:hideMark/>
          </w:tcPr>
          <w:p w14:paraId="5AB52D3A" w14:textId="6E123B4A"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25,51 %</w:t>
            </w:r>
          </w:p>
        </w:tc>
        <w:tc>
          <w:tcPr>
            <w:tcW w:w="993" w:type="dxa"/>
            <w:tcBorders>
              <w:top w:val="nil"/>
              <w:left w:val="nil"/>
              <w:bottom w:val="single" w:sz="4" w:space="0" w:color="auto"/>
              <w:right w:val="single" w:sz="4" w:space="0" w:color="auto"/>
            </w:tcBorders>
            <w:shd w:val="clear" w:color="auto" w:fill="auto"/>
            <w:noWrap/>
            <w:vAlign w:val="center"/>
            <w:hideMark/>
          </w:tcPr>
          <w:p w14:paraId="73950134" w14:textId="6AE3854A"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19,90 %</w:t>
            </w:r>
          </w:p>
        </w:tc>
      </w:tr>
      <w:tr w:rsidR="002B28BA" w:rsidRPr="00BC1DE6" w14:paraId="074F61A5" w14:textId="77777777" w:rsidTr="002B28BA">
        <w:trPr>
          <w:trHeight w:val="255"/>
          <w:jc w:val="center"/>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14:paraId="2FABF055" w14:textId="77777777" w:rsidR="002B28BA" w:rsidRPr="00BC1DE6" w:rsidRDefault="002B28BA" w:rsidP="002B28BA">
            <w:pPr>
              <w:spacing w:after="0" w:line="240" w:lineRule="auto"/>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Postopek zbiranja ponudb po predhodni objavi</w:t>
            </w:r>
          </w:p>
        </w:tc>
        <w:tc>
          <w:tcPr>
            <w:tcW w:w="2998" w:type="dxa"/>
            <w:tcBorders>
              <w:top w:val="nil"/>
              <w:left w:val="nil"/>
              <w:bottom w:val="single" w:sz="4" w:space="0" w:color="auto"/>
              <w:right w:val="single" w:sz="4" w:space="0" w:color="auto"/>
            </w:tcBorders>
            <w:shd w:val="clear" w:color="auto" w:fill="auto"/>
            <w:vAlign w:val="center"/>
            <w:hideMark/>
          </w:tcPr>
          <w:p w14:paraId="722FA778" w14:textId="77777777" w:rsidR="002B28BA" w:rsidRPr="00BC1DE6" w:rsidRDefault="002B28BA" w:rsidP="002B28BA">
            <w:pPr>
              <w:spacing w:after="0" w:line="240" w:lineRule="auto"/>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Cena</w:t>
            </w:r>
          </w:p>
        </w:tc>
        <w:tc>
          <w:tcPr>
            <w:tcW w:w="671" w:type="dxa"/>
            <w:tcBorders>
              <w:top w:val="nil"/>
              <w:left w:val="nil"/>
              <w:bottom w:val="single" w:sz="4" w:space="0" w:color="auto"/>
              <w:right w:val="single" w:sz="4" w:space="0" w:color="auto"/>
            </w:tcBorders>
            <w:shd w:val="clear" w:color="auto" w:fill="auto"/>
            <w:vAlign w:val="center"/>
            <w:hideMark/>
          </w:tcPr>
          <w:p w14:paraId="2938A872" w14:textId="7B467539"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26</w:t>
            </w:r>
          </w:p>
        </w:tc>
        <w:tc>
          <w:tcPr>
            <w:tcW w:w="1292" w:type="dxa"/>
            <w:tcBorders>
              <w:top w:val="nil"/>
              <w:left w:val="nil"/>
              <w:bottom w:val="single" w:sz="4" w:space="0" w:color="auto"/>
              <w:right w:val="single" w:sz="4" w:space="0" w:color="auto"/>
            </w:tcBorders>
            <w:shd w:val="clear" w:color="auto" w:fill="auto"/>
            <w:vAlign w:val="center"/>
            <w:hideMark/>
          </w:tcPr>
          <w:p w14:paraId="7DA2EF02" w14:textId="3D4605FF"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4.666.983</w:t>
            </w:r>
          </w:p>
        </w:tc>
        <w:tc>
          <w:tcPr>
            <w:tcW w:w="997" w:type="dxa"/>
            <w:tcBorders>
              <w:top w:val="nil"/>
              <w:left w:val="nil"/>
              <w:bottom w:val="single" w:sz="4" w:space="0" w:color="auto"/>
              <w:right w:val="single" w:sz="4" w:space="0" w:color="auto"/>
            </w:tcBorders>
            <w:shd w:val="clear" w:color="auto" w:fill="auto"/>
            <w:noWrap/>
            <w:vAlign w:val="center"/>
            <w:hideMark/>
          </w:tcPr>
          <w:p w14:paraId="6EB81882" w14:textId="24432605"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78,79 %</w:t>
            </w:r>
          </w:p>
        </w:tc>
        <w:tc>
          <w:tcPr>
            <w:tcW w:w="993" w:type="dxa"/>
            <w:tcBorders>
              <w:top w:val="nil"/>
              <w:left w:val="nil"/>
              <w:bottom w:val="single" w:sz="4" w:space="0" w:color="auto"/>
              <w:right w:val="single" w:sz="4" w:space="0" w:color="auto"/>
            </w:tcBorders>
            <w:shd w:val="clear" w:color="auto" w:fill="auto"/>
            <w:noWrap/>
            <w:vAlign w:val="center"/>
            <w:hideMark/>
          </w:tcPr>
          <w:p w14:paraId="27912BF0" w14:textId="54664552"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78,48 %</w:t>
            </w:r>
          </w:p>
        </w:tc>
      </w:tr>
      <w:tr w:rsidR="002B28BA" w:rsidRPr="00BC1DE6" w14:paraId="4DC4D5BE" w14:textId="77777777" w:rsidTr="002B28BA">
        <w:trPr>
          <w:trHeight w:val="255"/>
          <w:jc w:val="center"/>
        </w:trPr>
        <w:tc>
          <w:tcPr>
            <w:tcW w:w="2122" w:type="dxa"/>
            <w:vMerge/>
            <w:tcBorders>
              <w:top w:val="nil"/>
              <w:left w:val="single" w:sz="4" w:space="0" w:color="auto"/>
              <w:bottom w:val="single" w:sz="4" w:space="0" w:color="auto"/>
              <w:right w:val="single" w:sz="4" w:space="0" w:color="auto"/>
            </w:tcBorders>
            <w:vAlign w:val="center"/>
            <w:hideMark/>
          </w:tcPr>
          <w:p w14:paraId="0B61A70D" w14:textId="77777777" w:rsidR="002B28BA" w:rsidRPr="00BC1DE6" w:rsidRDefault="002B28BA" w:rsidP="002B28BA">
            <w:pPr>
              <w:spacing w:after="0" w:line="240" w:lineRule="auto"/>
              <w:rPr>
                <w:rFonts w:ascii="Arial" w:eastAsia="Times New Roman" w:hAnsi="Arial" w:cs="Arial"/>
                <w:color w:val="000000"/>
                <w:sz w:val="18"/>
                <w:szCs w:val="18"/>
                <w:lang w:eastAsia="sl-SI"/>
              </w:rPr>
            </w:pPr>
          </w:p>
        </w:tc>
        <w:tc>
          <w:tcPr>
            <w:tcW w:w="2998" w:type="dxa"/>
            <w:tcBorders>
              <w:top w:val="nil"/>
              <w:left w:val="nil"/>
              <w:bottom w:val="single" w:sz="4" w:space="0" w:color="auto"/>
              <w:right w:val="single" w:sz="4" w:space="0" w:color="auto"/>
            </w:tcBorders>
            <w:shd w:val="clear" w:color="auto" w:fill="auto"/>
            <w:vAlign w:val="center"/>
            <w:hideMark/>
          </w:tcPr>
          <w:p w14:paraId="3C52425D" w14:textId="77777777" w:rsidR="002B28BA" w:rsidRPr="00BC1DE6" w:rsidRDefault="002B28BA" w:rsidP="002B28BA">
            <w:pPr>
              <w:spacing w:after="0" w:line="240" w:lineRule="auto"/>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Ekonomsko najugodnejša ponudba</w:t>
            </w:r>
          </w:p>
        </w:tc>
        <w:tc>
          <w:tcPr>
            <w:tcW w:w="671" w:type="dxa"/>
            <w:tcBorders>
              <w:top w:val="nil"/>
              <w:left w:val="nil"/>
              <w:bottom w:val="single" w:sz="4" w:space="0" w:color="auto"/>
              <w:right w:val="single" w:sz="4" w:space="0" w:color="auto"/>
            </w:tcBorders>
            <w:shd w:val="clear" w:color="auto" w:fill="auto"/>
            <w:vAlign w:val="center"/>
            <w:hideMark/>
          </w:tcPr>
          <w:p w14:paraId="3AC8BCCE" w14:textId="15296AFB"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7</w:t>
            </w:r>
          </w:p>
        </w:tc>
        <w:tc>
          <w:tcPr>
            <w:tcW w:w="1292" w:type="dxa"/>
            <w:tcBorders>
              <w:top w:val="nil"/>
              <w:left w:val="nil"/>
              <w:bottom w:val="single" w:sz="4" w:space="0" w:color="auto"/>
              <w:right w:val="single" w:sz="4" w:space="0" w:color="auto"/>
            </w:tcBorders>
            <w:shd w:val="clear" w:color="auto" w:fill="auto"/>
            <w:vAlign w:val="center"/>
            <w:hideMark/>
          </w:tcPr>
          <w:p w14:paraId="42000E91" w14:textId="3ECAE443"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1.279.859</w:t>
            </w:r>
          </w:p>
        </w:tc>
        <w:tc>
          <w:tcPr>
            <w:tcW w:w="997" w:type="dxa"/>
            <w:tcBorders>
              <w:top w:val="nil"/>
              <w:left w:val="nil"/>
              <w:bottom w:val="single" w:sz="4" w:space="0" w:color="auto"/>
              <w:right w:val="single" w:sz="4" w:space="0" w:color="auto"/>
            </w:tcBorders>
            <w:shd w:val="clear" w:color="auto" w:fill="auto"/>
            <w:noWrap/>
            <w:vAlign w:val="center"/>
            <w:hideMark/>
          </w:tcPr>
          <w:p w14:paraId="173BA174" w14:textId="71A41467"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21,21 %</w:t>
            </w:r>
          </w:p>
        </w:tc>
        <w:tc>
          <w:tcPr>
            <w:tcW w:w="993" w:type="dxa"/>
            <w:tcBorders>
              <w:top w:val="nil"/>
              <w:left w:val="nil"/>
              <w:bottom w:val="single" w:sz="4" w:space="0" w:color="auto"/>
              <w:right w:val="single" w:sz="4" w:space="0" w:color="auto"/>
            </w:tcBorders>
            <w:shd w:val="clear" w:color="auto" w:fill="auto"/>
            <w:noWrap/>
            <w:vAlign w:val="center"/>
            <w:hideMark/>
          </w:tcPr>
          <w:p w14:paraId="65AD8B45" w14:textId="7545AF9C" w:rsidR="002B28BA" w:rsidRPr="00BC1DE6" w:rsidRDefault="002B28BA" w:rsidP="002B28BA">
            <w:pPr>
              <w:spacing w:after="0" w:line="240" w:lineRule="auto"/>
              <w:jc w:val="right"/>
              <w:rPr>
                <w:rFonts w:ascii="Arial" w:eastAsia="Times New Roman" w:hAnsi="Arial" w:cs="Arial"/>
                <w:color w:val="000000"/>
                <w:sz w:val="18"/>
                <w:szCs w:val="18"/>
                <w:lang w:eastAsia="sl-SI"/>
              </w:rPr>
            </w:pPr>
            <w:r w:rsidRPr="00BC1DE6">
              <w:rPr>
                <w:rFonts w:ascii="Arial" w:eastAsia="Times New Roman" w:hAnsi="Arial" w:cs="Arial"/>
                <w:color w:val="000000"/>
                <w:sz w:val="18"/>
                <w:szCs w:val="18"/>
                <w:lang w:eastAsia="sl-SI"/>
              </w:rPr>
              <w:t>21,52 %</w:t>
            </w:r>
          </w:p>
        </w:tc>
      </w:tr>
    </w:tbl>
    <w:p w14:paraId="32DA3D83" w14:textId="77777777" w:rsidR="00836FD3" w:rsidRPr="00BC1DE6" w:rsidRDefault="00836FD3" w:rsidP="00836FD3">
      <w:pPr>
        <w:spacing w:after="0" w:line="240" w:lineRule="auto"/>
        <w:jc w:val="center"/>
        <w:rPr>
          <w:rFonts w:ascii="Arial" w:hAnsi="Arial" w:cs="Arial"/>
          <w:sz w:val="18"/>
        </w:rPr>
      </w:pPr>
    </w:p>
    <w:p w14:paraId="631F563A" w14:textId="145A27BD" w:rsidR="003A3919" w:rsidRPr="00BC1DE6" w:rsidRDefault="00CF14EA" w:rsidP="003A3919">
      <w:pPr>
        <w:jc w:val="center"/>
        <w:rPr>
          <w:rFonts w:ascii="Arial" w:hAnsi="Arial" w:cs="Arial"/>
          <w:sz w:val="18"/>
        </w:rPr>
      </w:pPr>
      <w:r w:rsidRPr="00BC1DE6">
        <w:rPr>
          <w:rFonts w:ascii="Arial" w:hAnsi="Arial" w:cs="Arial"/>
          <w:sz w:val="18"/>
        </w:rPr>
        <w:t>Vir: Statistični podatki o javni</w:t>
      </w:r>
      <w:r w:rsidR="00C3119C" w:rsidRPr="00BC1DE6">
        <w:rPr>
          <w:rFonts w:ascii="Arial" w:hAnsi="Arial" w:cs="Arial"/>
          <w:sz w:val="18"/>
        </w:rPr>
        <w:t>h naročilih, oddanih v letu 20</w:t>
      </w:r>
      <w:r w:rsidR="00711F4C" w:rsidRPr="00BC1DE6">
        <w:rPr>
          <w:rFonts w:ascii="Arial" w:hAnsi="Arial" w:cs="Arial"/>
          <w:sz w:val="18"/>
        </w:rPr>
        <w:t>2</w:t>
      </w:r>
      <w:r w:rsidR="002B28BA" w:rsidRPr="00BC1DE6">
        <w:rPr>
          <w:rFonts w:ascii="Arial" w:hAnsi="Arial" w:cs="Arial"/>
          <w:sz w:val="18"/>
        </w:rPr>
        <w:t>2</w:t>
      </w:r>
      <w:r w:rsidR="006A17D7" w:rsidRPr="00BC1DE6">
        <w:rPr>
          <w:rFonts w:ascii="Arial" w:hAnsi="Arial" w:cs="Arial"/>
          <w:sz w:val="18"/>
        </w:rPr>
        <w:t>.</w:t>
      </w:r>
    </w:p>
    <w:p w14:paraId="08F1F531" w14:textId="77777777" w:rsidR="000B3404" w:rsidRPr="00BF7302" w:rsidRDefault="000B3404" w:rsidP="00D94701">
      <w:pPr>
        <w:spacing w:after="0" w:line="240" w:lineRule="auto"/>
        <w:jc w:val="center"/>
        <w:rPr>
          <w:rFonts w:ascii="Arial" w:hAnsi="Arial" w:cs="Arial"/>
          <w:sz w:val="18"/>
          <w:highlight w:val="yellow"/>
        </w:rPr>
      </w:pPr>
    </w:p>
    <w:p w14:paraId="68E9DAC2" w14:textId="6FA57049" w:rsidR="003F43CF" w:rsidRPr="00DD464D" w:rsidRDefault="00CF14EA" w:rsidP="00CF14EA">
      <w:pPr>
        <w:spacing w:line="360" w:lineRule="auto"/>
        <w:jc w:val="both"/>
        <w:rPr>
          <w:rFonts w:ascii="Arial" w:hAnsi="Arial" w:cs="Arial"/>
          <w:sz w:val="20"/>
          <w:szCs w:val="20"/>
        </w:rPr>
      </w:pPr>
      <w:r w:rsidRPr="000E4BAE">
        <w:rPr>
          <w:rFonts w:ascii="Arial" w:hAnsi="Arial" w:cs="Arial"/>
          <w:sz w:val="20"/>
          <w:szCs w:val="20"/>
        </w:rPr>
        <w:t>Merilo cena je bilo najpogosteje uporabljeno pri oddaji naročil na vseh treh področjih. Na</w:t>
      </w:r>
      <w:r w:rsidR="000E4BAE" w:rsidRPr="000E4BAE">
        <w:rPr>
          <w:rFonts w:ascii="Arial" w:hAnsi="Arial" w:cs="Arial"/>
          <w:sz w:val="20"/>
          <w:szCs w:val="20"/>
        </w:rPr>
        <w:t xml:space="preserve"> splošnem</w:t>
      </w:r>
      <w:r w:rsidRPr="000E4BAE">
        <w:rPr>
          <w:rFonts w:ascii="Arial" w:hAnsi="Arial" w:cs="Arial"/>
          <w:sz w:val="20"/>
          <w:szCs w:val="20"/>
        </w:rPr>
        <w:t xml:space="preserve"> področju je bilo merilo cena uporabljeno pri oddaji naročil </w:t>
      </w:r>
      <w:r w:rsidR="00004A71" w:rsidRPr="000E4BAE">
        <w:rPr>
          <w:rFonts w:ascii="Arial" w:hAnsi="Arial" w:cs="Arial"/>
          <w:sz w:val="20"/>
          <w:szCs w:val="20"/>
        </w:rPr>
        <w:t xml:space="preserve">v </w:t>
      </w:r>
      <w:r w:rsidRPr="000E4BAE">
        <w:rPr>
          <w:rFonts w:ascii="Arial" w:hAnsi="Arial" w:cs="Arial"/>
          <w:sz w:val="20"/>
          <w:szCs w:val="20"/>
        </w:rPr>
        <w:t xml:space="preserve">vrednosti </w:t>
      </w:r>
      <w:r w:rsidR="000E4BAE" w:rsidRPr="000E4BAE">
        <w:rPr>
          <w:rFonts w:ascii="Arial" w:hAnsi="Arial" w:cs="Arial"/>
          <w:sz w:val="20"/>
          <w:szCs w:val="20"/>
        </w:rPr>
        <w:t xml:space="preserve">4.179.747.072 </w:t>
      </w:r>
      <w:r w:rsidRPr="000E4BAE">
        <w:rPr>
          <w:rFonts w:ascii="Arial" w:hAnsi="Arial" w:cs="Arial"/>
          <w:sz w:val="20"/>
          <w:szCs w:val="20"/>
        </w:rPr>
        <w:t xml:space="preserve">evrov oziroma </w:t>
      </w:r>
      <w:r w:rsidR="00E20656" w:rsidRPr="00DD464D">
        <w:rPr>
          <w:rFonts w:ascii="Arial" w:hAnsi="Arial" w:cs="Arial"/>
          <w:sz w:val="20"/>
          <w:szCs w:val="20"/>
        </w:rPr>
        <w:t>90,</w:t>
      </w:r>
      <w:r w:rsidR="000E4BAE" w:rsidRPr="00DD464D">
        <w:rPr>
          <w:rFonts w:ascii="Arial" w:hAnsi="Arial" w:cs="Arial"/>
          <w:sz w:val="20"/>
          <w:szCs w:val="20"/>
        </w:rPr>
        <w:t>09</w:t>
      </w:r>
      <w:r w:rsidR="007F5DE8" w:rsidRPr="00DD464D">
        <w:rPr>
          <w:rFonts w:ascii="Arial" w:hAnsi="Arial" w:cs="Arial"/>
          <w:sz w:val="20"/>
          <w:szCs w:val="20"/>
        </w:rPr>
        <w:t> </w:t>
      </w:r>
      <w:r w:rsidR="00AC0027">
        <w:rPr>
          <w:rFonts w:ascii="Arial" w:hAnsi="Arial" w:cs="Arial"/>
          <w:sz w:val="20"/>
          <w:szCs w:val="20"/>
        </w:rPr>
        <w:t>odstotka</w:t>
      </w:r>
      <w:r w:rsidRPr="00DD464D">
        <w:rPr>
          <w:rFonts w:ascii="Arial" w:hAnsi="Arial" w:cs="Arial"/>
          <w:sz w:val="20"/>
          <w:szCs w:val="20"/>
        </w:rPr>
        <w:t xml:space="preserve"> naročil, na </w:t>
      </w:r>
      <w:r w:rsidR="000E4BAE" w:rsidRPr="00DD464D">
        <w:rPr>
          <w:rFonts w:ascii="Arial" w:hAnsi="Arial" w:cs="Arial"/>
          <w:sz w:val="20"/>
          <w:szCs w:val="20"/>
        </w:rPr>
        <w:t>infrastrukturnem</w:t>
      </w:r>
      <w:r w:rsidRPr="00DD464D">
        <w:rPr>
          <w:rFonts w:ascii="Arial" w:hAnsi="Arial" w:cs="Arial"/>
          <w:sz w:val="20"/>
          <w:szCs w:val="20"/>
        </w:rPr>
        <w:t xml:space="preserve"> področju v </w:t>
      </w:r>
      <w:r w:rsidR="000E4BAE" w:rsidRPr="00DD464D">
        <w:rPr>
          <w:rFonts w:ascii="Arial" w:hAnsi="Arial" w:cs="Arial"/>
          <w:sz w:val="20"/>
          <w:szCs w:val="20"/>
        </w:rPr>
        <w:t>90,02</w:t>
      </w:r>
      <w:r w:rsidR="006A17D7" w:rsidRPr="00DD464D">
        <w:rPr>
          <w:rFonts w:ascii="Arial" w:hAnsi="Arial" w:cs="Arial"/>
          <w:sz w:val="20"/>
          <w:szCs w:val="20"/>
        </w:rPr>
        <w:t> </w:t>
      </w:r>
      <w:r w:rsidR="00AC0027">
        <w:rPr>
          <w:rFonts w:ascii="Arial" w:hAnsi="Arial" w:cs="Arial"/>
          <w:sz w:val="20"/>
          <w:szCs w:val="20"/>
        </w:rPr>
        <w:t>odstotka</w:t>
      </w:r>
      <w:r w:rsidRPr="00DD464D">
        <w:rPr>
          <w:rFonts w:ascii="Arial" w:hAnsi="Arial" w:cs="Arial"/>
          <w:sz w:val="20"/>
          <w:szCs w:val="20"/>
        </w:rPr>
        <w:t xml:space="preserve"> oddanih naročil v vrednosti </w:t>
      </w:r>
      <w:r w:rsidR="000E4BAE" w:rsidRPr="00DD464D">
        <w:rPr>
          <w:rFonts w:ascii="Arial" w:hAnsi="Arial" w:cs="Arial"/>
          <w:sz w:val="20"/>
          <w:szCs w:val="20"/>
        </w:rPr>
        <w:t xml:space="preserve">782.858.863 </w:t>
      </w:r>
      <w:r w:rsidRPr="00DD464D">
        <w:rPr>
          <w:rFonts w:ascii="Arial" w:hAnsi="Arial" w:cs="Arial"/>
          <w:sz w:val="20"/>
          <w:szCs w:val="20"/>
        </w:rPr>
        <w:t xml:space="preserve">evrov, na obrambnem pa v </w:t>
      </w:r>
      <w:r w:rsidR="00ED74C6" w:rsidRPr="00DD464D">
        <w:rPr>
          <w:rFonts w:ascii="Arial" w:hAnsi="Arial" w:cs="Arial"/>
          <w:sz w:val="20"/>
          <w:szCs w:val="20"/>
        </w:rPr>
        <w:t>8</w:t>
      </w:r>
      <w:r w:rsidR="000E4BAE" w:rsidRPr="00DD464D">
        <w:rPr>
          <w:rFonts w:ascii="Arial" w:hAnsi="Arial" w:cs="Arial"/>
          <w:sz w:val="20"/>
          <w:szCs w:val="20"/>
        </w:rPr>
        <w:t>1,48</w:t>
      </w:r>
      <w:r w:rsidR="006A17D7" w:rsidRPr="00DD464D">
        <w:rPr>
          <w:rFonts w:ascii="Arial" w:hAnsi="Arial" w:cs="Arial"/>
          <w:sz w:val="20"/>
          <w:szCs w:val="20"/>
        </w:rPr>
        <w:t> </w:t>
      </w:r>
      <w:r w:rsidR="00AC0027">
        <w:rPr>
          <w:rFonts w:ascii="Arial" w:hAnsi="Arial" w:cs="Arial"/>
          <w:sz w:val="20"/>
          <w:szCs w:val="20"/>
        </w:rPr>
        <w:t>odstotka</w:t>
      </w:r>
      <w:r w:rsidRPr="00DD464D">
        <w:rPr>
          <w:rFonts w:ascii="Arial" w:hAnsi="Arial" w:cs="Arial"/>
          <w:sz w:val="20"/>
          <w:szCs w:val="20"/>
        </w:rPr>
        <w:t xml:space="preserve"> oddanih naročil v vrednosti </w:t>
      </w:r>
      <w:r w:rsidR="000E4BAE" w:rsidRPr="00DD464D">
        <w:rPr>
          <w:rFonts w:ascii="Arial" w:hAnsi="Arial" w:cs="Arial"/>
          <w:sz w:val="20"/>
          <w:szCs w:val="20"/>
        </w:rPr>
        <w:t xml:space="preserve">44.382.620 </w:t>
      </w:r>
      <w:r w:rsidRPr="00DD464D">
        <w:rPr>
          <w:rFonts w:ascii="Arial" w:hAnsi="Arial" w:cs="Arial"/>
          <w:sz w:val="20"/>
          <w:szCs w:val="20"/>
        </w:rPr>
        <w:t>evrov</w:t>
      </w:r>
      <w:r w:rsidR="00E20656" w:rsidRPr="00DD464D">
        <w:rPr>
          <w:rFonts w:ascii="Arial" w:hAnsi="Arial" w:cs="Arial"/>
          <w:sz w:val="20"/>
          <w:szCs w:val="20"/>
        </w:rPr>
        <w:t>.</w:t>
      </w:r>
      <w:r w:rsidRPr="00DD464D">
        <w:rPr>
          <w:rFonts w:ascii="Arial" w:hAnsi="Arial" w:cs="Arial"/>
          <w:sz w:val="20"/>
          <w:szCs w:val="20"/>
        </w:rPr>
        <w:t xml:space="preserve"> </w:t>
      </w:r>
    </w:p>
    <w:p w14:paraId="695F71B8" w14:textId="23815DDB" w:rsidR="004A42E6" w:rsidRDefault="002149C7" w:rsidP="00DD33BD">
      <w:pPr>
        <w:spacing w:before="120" w:after="120" w:line="240" w:lineRule="auto"/>
        <w:jc w:val="both"/>
        <w:rPr>
          <w:rFonts w:ascii="Arial" w:hAnsi="Arial" w:cs="Arial"/>
          <w:sz w:val="20"/>
        </w:rPr>
      </w:pPr>
      <w:r w:rsidRPr="00DD464D">
        <w:rPr>
          <w:rFonts w:ascii="Arial" w:hAnsi="Arial" w:cs="Arial"/>
          <w:sz w:val="20"/>
        </w:rPr>
        <w:t xml:space="preserve">Graf </w:t>
      </w:r>
      <w:r w:rsidR="0083702C" w:rsidRPr="00DD464D">
        <w:rPr>
          <w:rFonts w:ascii="Arial" w:hAnsi="Arial" w:cs="Arial"/>
          <w:sz w:val="20"/>
        </w:rPr>
        <w:t>3</w:t>
      </w:r>
      <w:r w:rsidRPr="00DD464D">
        <w:rPr>
          <w:rFonts w:ascii="Arial" w:hAnsi="Arial" w:cs="Arial"/>
          <w:sz w:val="20"/>
        </w:rPr>
        <w:t xml:space="preserve">: Delež posameznega merila za </w:t>
      </w:r>
      <w:r w:rsidR="003F3B34" w:rsidRPr="00DD464D">
        <w:rPr>
          <w:rFonts w:ascii="Arial" w:hAnsi="Arial" w:cs="Arial"/>
          <w:sz w:val="20"/>
        </w:rPr>
        <w:t>izb</w:t>
      </w:r>
      <w:r w:rsidR="0007149E" w:rsidRPr="00DD464D">
        <w:rPr>
          <w:rFonts w:ascii="Arial" w:hAnsi="Arial" w:cs="Arial"/>
          <w:sz w:val="20"/>
        </w:rPr>
        <w:t>iro</w:t>
      </w:r>
      <w:r w:rsidR="003F3B34" w:rsidRPr="00DD464D">
        <w:rPr>
          <w:rFonts w:ascii="Arial" w:hAnsi="Arial" w:cs="Arial"/>
          <w:sz w:val="20"/>
        </w:rPr>
        <w:t xml:space="preserve"> glede na predmet naročanja</w:t>
      </w:r>
      <w:r w:rsidRPr="00DD464D">
        <w:rPr>
          <w:rFonts w:ascii="Arial" w:hAnsi="Arial" w:cs="Arial"/>
          <w:sz w:val="20"/>
        </w:rPr>
        <w:t xml:space="preserve"> </w:t>
      </w:r>
      <w:r w:rsidR="0007149E" w:rsidRPr="00DD464D">
        <w:rPr>
          <w:rFonts w:ascii="Arial" w:hAnsi="Arial" w:cs="Arial"/>
          <w:sz w:val="20"/>
        </w:rPr>
        <w:t>po</w:t>
      </w:r>
      <w:r w:rsidRPr="00DD464D">
        <w:rPr>
          <w:rFonts w:ascii="Arial" w:hAnsi="Arial" w:cs="Arial"/>
          <w:sz w:val="20"/>
        </w:rPr>
        <w:t xml:space="preserve"> številu in vrednosti</w:t>
      </w:r>
      <w:r w:rsidR="00CD10B9" w:rsidRPr="00DD464D">
        <w:rPr>
          <w:rFonts w:ascii="Arial" w:hAnsi="Arial" w:cs="Arial"/>
          <w:sz w:val="20"/>
        </w:rPr>
        <w:t xml:space="preserve"> </w:t>
      </w:r>
    </w:p>
    <w:p w14:paraId="7DCBED82" w14:textId="34BDFB0A" w:rsidR="007622C8" w:rsidRPr="00DD464D" w:rsidRDefault="00472CC0" w:rsidP="00E74B15">
      <w:pPr>
        <w:spacing w:before="120" w:after="120" w:line="240" w:lineRule="auto"/>
        <w:jc w:val="center"/>
        <w:rPr>
          <w:rFonts w:ascii="Arial" w:hAnsi="Arial" w:cs="Arial"/>
          <w:sz w:val="20"/>
        </w:rPr>
      </w:pPr>
      <w:r>
        <w:rPr>
          <w:noProof/>
          <w:lang w:eastAsia="sl-SI"/>
        </w:rPr>
        <w:drawing>
          <wp:inline distT="0" distB="0" distL="0" distR="0" wp14:anchorId="775486D2" wp14:editId="32ACF3F9">
            <wp:extent cx="5831840" cy="2905125"/>
            <wp:effectExtent l="0" t="0" r="0" b="9525"/>
            <wp:docPr id="9" name="Slika 9" descr="Grafikon prikazuje delež posameznega merila za izbiro najugodnejšega ponudnika, glede na vrednost in na število oddanih naročil v letu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descr="Grafikon prikazuje delež posameznega merila za izbiro najugodnejšega ponudnika, glede na vrednost in na število oddanih naročil v letu 2022."/>
                    <pic:cNvPicPr/>
                  </pic:nvPicPr>
                  <pic:blipFill>
                    <a:blip r:embed="rId13"/>
                    <a:stretch>
                      <a:fillRect/>
                    </a:stretch>
                  </pic:blipFill>
                  <pic:spPr>
                    <a:xfrm>
                      <a:off x="0" y="0"/>
                      <a:ext cx="5831840" cy="2905125"/>
                    </a:xfrm>
                    <a:prstGeom prst="rect">
                      <a:avLst/>
                    </a:prstGeom>
                  </pic:spPr>
                </pic:pic>
              </a:graphicData>
            </a:graphic>
          </wp:inline>
        </w:drawing>
      </w:r>
    </w:p>
    <w:p w14:paraId="4CADCD71" w14:textId="2B7BC29B" w:rsidR="00A36852" w:rsidRPr="00DD464D" w:rsidRDefault="00A36852" w:rsidP="00701C10">
      <w:pPr>
        <w:spacing w:after="240" w:line="240" w:lineRule="auto"/>
        <w:jc w:val="center"/>
        <w:rPr>
          <w:rFonts w:ascii="Arial" w:hAnsi="Arial" w:cs="Arial"/>
          <w:sz w:val="18"/>
        </w:rPr>
      </w:pPr>
      <w:r w:rsidRPr="00DD464D">
        <w:rPr>
          <w:rFonts w:ascii="Arial" w:hAnsi="Arial" w:cs="Arial"/>
          <w:sz w:val="18"/>
        </w:rPr>
        <w:t>Vir: Statistični podatki o javni</w:t>
      </w:r>
      <w:r w:rsidR="00912288" w:rsidRPr="00DD464D">
        <w:rPr>
          <w:rFonts w:ascii="Arial" w:hAnsi="Arial" w:cs="Arial"/>
          <w:sz w:val="18"/>
        </w:rPr>
        <w:t>h naročilih, oddanih v letu 20</w:t>
      </w:r>
      <w:r w:rsidR="003C6D2C" w:rsidRPr="00DD464D">
        <w:rPr>
          <w:rFonts w:ascii="Arial" w:hAnsi="Arial" w:cs="Arial"/>
          <w:sz w:val="18"/>
        </w:rPr>
        <w:t>2</w:t>
      </w:r>
      <w:r w:rsidR="00DD464D" w:rsidRPr="00DD464D">
        <w:rPr>
          <w:rFonts w:ascii="Arial" w:hAnsi="Arial" w:cs="Arial"/>
          <w:sz w:val="18"/>
        </w:rPr>
        <w:t>2</w:t>
      </w:r>
      <w:r w:rsidR="006A17D7" w:rsidRPr="00DD464D">
        <w:rPr>
          <w:rFonts w:ascii="Arial" w:hAnsi="Arial" w:cs="Arial"/>
          <w:sz w:val="18"/>
        </w:rPr>
        <w:t>.</w:t>
      </w:r>
    </w:p>
    <w:p w14:paraId="18D305BC" w14:textId="05881167" w:rsidR="00B11580" w:rsidRPr="00300009" w:rsidRDefault="00B11580" w:rsidP="00B11580">
      <w:pPr>
        <w:pStyle w:val="Naslov2"/>
        <w:rPr>
          <w:rFonts w:ascii="Arial" w:hAnsi="Arial" w:cs="Arial"/>
          <w:szCs w:val="20"/>
        </w:rPr>
      </w:pPr>
      <w:bookmarkStart w:id="35" w:name="_Toc141864067"/>
      <w:r w:rsidRPr="00300009">
        <w:rPr>
          <w:rFonts w:ascii="Arial" w:hAnsi="Arial" w:cs="Arial"/>
          <w:sz w:val="22"/>
          <w:szCs w:val="22"/>
        </w:rPr>
        <w:t>2.</w:t>
      </w:r>
      <w:r w:rsidR="00FA2740" w:rsidRPr="00300009">
        <w:rPr>
          <w:rFonts w:ascii="Arial" w:hAnsi="Arial" w:cs="Arial"/>
          <w:sz w:val="22"/>
          <w:szCs w:val="22"/>
        </w:rPr>
        <w:t>6</w:t>
      </w:r>
      <w:r w:rsidRPr="00300009">
        <w:rPr>
          <w:rFonts w:ascii="Arial" w:hAnsi="Arial" w:cs="Arial"/>
          <w:sz w:val="22"/>
          <w:szCs w:val="22"/>
        </w:rPr>
        <w:t xml:space="preserve"> Ponudniki in podizvajalci</w:t>
      </w:r>
      <w:bookmarkEnd w:id="35"/>
    </w:p>
    <w:p w14:paraId="728FCEF7" w14:textId="77777777" w:rsidR="00B11580" w:rsidRPr="00300009" w:rsidRDefault="00B11580" w:rsidP="00854405">
      <w:pPr>
        <w:pStyle w:val="ZADEVA"/>
        <w:jc w:val="both"/>
        <w:rPr>
          <w:rFonts w:cs="Arial"/>
          <w:b w:val="0"/>
          <w:szCs w:val="20"/>
          <w:lang w:val="sl-SI"/>
        </w:rPr>
      </w:pPr>
    </w:p>
    <w:p w14:paraId="391D604B" w14:textId="72F8A194" w:rsidR="00902233" w:rsidRPr="00300009" w:rsidRDefault="00902233" w:rsidP="00902233">
      <w:pPr>
        <w:spacing w:line="360" w:lineRule="auto"/>
        <w:jc w:val="both"/>
        <w:rPr>
          <w:rFonts w:ascii="Arial" w:hAnsi="Arial" w:cs="Arial"/>
          <w:color w:val="000000" w:themeColor="text1"/>
          <w:sz w:val="20"/>
          <w:szCs w:val="20"/>
        </w:rPr>
      </w:pPr>
      <w:r w:rsidRPr="00300009">
        <w:rPr>
          <w:rFonts w:ascii="Arial" w:hAnsi="Arial" w:cs="Arial"/>
          <w:sz w:val="20"/>
          <w:szCs w:val="20"/>
        </w:rPr>
        <w:t>Leta 20</w:t>
      </w:r>
      <w:r w:rsidR="00BB2143" w:rsidRPr="00300009">
        <w:rPr>
          <w:rFonts w:ascii="Arial" w:hAnsi="Arial" w:cs="Arial"/>
          <w:sz w:val="20"/>
          <w:szCs w:val="20"/>
        </w:rPr>
        <w:t>2</w:t>
      </w:r>
      <w:r w:rsidR="00300009" w:rsidRPr="00300009">
        <w:rPr>
          <w:rFonts w:ascii="Arial" w:hAnsi="Arial" w:cs="Arial"/>
          <w:sz w:val="20"/>
          <w:szCs w:val="20"/>
        </w:rPr>
        <w:t>2</w:t>
      </w:r>
      <w:r w:rsidRPr="00300009">
        <w:rPr>
          <w:rFonts w:ascii="Arial" w:hAnsi="Arial" w:cs="Arial"/>
          <w:sz w:val="20"/>
          <w:szCs w:val="20"/>
        </w:rPr>
        <w:t xml:space="preserve"> je bilo v </w:t>
      </w:r>
      <w:proofErr w:type="spellStart"/>
      <w:r w:rsidRPr="00300009">
        <w:rPr>
          <w:rFonts w:ascii="Arial" w:hAnsi="Arial" w:cs="Arial"/>
          <w:sz w:val="20"/>
          <w:szCs w:val="20"/>
        </w:rPr>
        <w:t>podizvajanje</w:t>
      </w:r>
      <w:proofErr w:type="spellEnd"/>
      <w:r w:rsidRPr="00300009">
        <w:rPr>
          <w:rFonts w:ascii="Arial" w:hAnsi="Arial" w:cs="Arial"/>
          <w:sz w:val="20"/>
          <w:szCs w:val="20"/>
        </w:rPr>
        <w:t xml:space="preserve"> oddanih </w:t>
      </w:r>
      <w:r w:rsidR="00300009" w:rsidRPr="00300009">
        <w:rPr>
          <w:rFonts w:ascii="Arial" w:hAnsi="Arial" w:cs="Arial"/>
          <w:sz w:val="20"/>
          <w:szCs w:val="20"/>
        </w:rPr>
        <w:t>1188</w:t>
      </w:r>
      <w:r w:rsidRPr="00300009">
        <w:rPr>
          <w:rFonts w:ascii="Arial" w:hAnsi="Arial" w:cs="Arial"/>
          <w:sz w:val="20"/>
          <w:szCs w:val="20"/>
        </w:rPr>
        <w:t xml:space="preserve"> javnih </w:t>
      </w:r>
      <w:r w:rsidRPr="00300009">
        <w:rPr>
          <w:rFonts w:ascii="Arial" w:hAnsi="Arial" w:cs="Arial"/>
          <w:color w:val="000000" w:themeColor="text1"/>
          <w:sz w:val="20"/>
          <w:szCs w:val="20"/>
        </w:rPr>
        <w:t>naročil. Podizvajalci so bili udeleženi v konkurenčn</w:t>
      </w:r>
      <w:r w:rsidR="00522F7F" w:rsidRPr="00300009">
        <w:rPr>
          <w:rFonts w:ascii="Arial" w:hAnsi="Arial" w:cs="Arial"/>
          <w:color w:val="000000" w:themeColor="text1"/>
          <w:sz w:val="20"/>
          <w:szCs w:val="20"/>
        </w:rPr>
        <w:t>ih</w:t>
      </w:r>
      <w:r w:rsidRPr="00300009">
        <w:rPr>
          <w:rFonts w:ascii="Arial" w:hAnsi="Arial" w:cs="Arial"/>
          <w:color w:val="000000" w:themeColor="text1"/>
          <w:sz w:val="20"/>
          <w:szCs w:val="20"/>
        </w:rPr>
        <w:t xml:space="preserve"> dialog</w:t>
      </w:r>
      <w:r w:rsidR="00522F7F" w:rsidRPr="00300009">
        <w:rPr>
          <w:rFonts w:ascii="Arial" w:hAnsi="Arial" w:cs="Arial"/>
          <w:color w:val="000000" w:themeColor="text1"/>
          <w:sz w:val="20"/>
          <w:szCs w:val="20"/>
        </w:rPr>
        <w:t>ih</w:t>
      </w:r>
      <w:r w:rsidRPr="00300009">
        <w:rPr>
          <w:rFonts w:ascii="Arial" w:hAnsi="Arial" w:cs="Arial"/>
          <w:color w:val="000000" w:themeColor="text1"/>
          <w:sz w:val="20"/>
          <w:szCs w:val="20"/>
        </w:rPr>
        <w:t>, konkurenčnih postopkih s pogajanji, v odprtih postopkih, omejenih postopkih, postopkih naročil male vrednosti, postopkih s pogajanji brez predhodne objave, v postopkih s pogajanji po predhodni objavi in v postopk</w:t>
      </w:r>
      <w:r w:rsidR="00BB2143" w:rsidRPr="00300009">
        <w:rPr>
          <w:rFonts w:ascii="Arial" w:hAnsi="Arial" w:cs="Arial"/>
          <w:color w:val="000000" w:themeColor="text1"/>
          <w:sz w:val="20"/>
          <w:szCs w:val="20"/>
        </w:rPr>
        <w:t>ih</w:t>
      </w:r>
      <w:r w:rsidRPr="00300009">
        <w:rPr>
          <w:rFonts w:ascii="Arial" w:hAnsi="Arial" w:cs="Arial"/>
          <w:color w:val="000000" w:themeColor="text1"/>
          <w:sz w:val="20"/>
          <w:szCs w:val="20"/>
        </w:rPr>
        <w:t xml:space="preserve"> zbiranja ponudb po predhodni objavi.</w:t>
      </w:r>
    </w:p>
    <w:p w14:paraId="61EA8251" w14:textId="77777777" w:rsidR="00F11E69" w:rsidRDefault="00F11E69">
      <w:pPr>
        <w:rPr>
          <w:rFonts w:ascii="Arial" w:hAnsi="Arial" w:cs="Arial"/>
          <w:sz w:val="20"/>
        </w:rPr>
      </w:pPr>
      <w:r>
        <w:rPr>
          <w:rFonts w:ascii="Arial" w:hAnsi="Arial" w:cs="Arial"/>
          <w:sz w:val="20"/>
        </w:rPr>
        <w:br w:type="page"/>
      </w:r>
    </w:p>
    <w:p w14:paraId="323CDCA2" w14:textId="31248AB8" w:rsidR="00902233" w:rsidRPr="00300009" w:rsidRDefault="00902233" w:rsidP="00902233">
      <w:pPr>
        <w:spacing w:before="120" w:after="120" w:line="240" w:lineRule="auto"/>
        <w:jc w:val="both"/>
        <w:rPr>
          <w:rFonts w:ascii="Arial" w:hAnsi="Arial" w:cs="Arial"/>
          <w:sz w:val="20"/>
        </w:rPr>
      </w:pPr>
      <w:r w:rsidRPr="00300009">
        <w:rPr>
          <w:rFonts w:ascii="Arial" w:hAnsi="Arial" w:cs="Arial"/>
          <w:sz w:val="20"/>
        </w:rPr>
        <w:lastRenderedPageBreak/>
        <w:t xml:space="preserve">Preglednica </w:t>
      </w:r>
      <w:r w:rsidR="00512F52" w:rsidRPr="00300009">
        <w:rPr>
          <w:rFonts w:ascii="Arial" w:hAnsi="Arial" w:cs="Arial"/>
          <w:sz w:val="20"/>
        </w:rPr>
        <w:t>26</w:t>
      </w:r>
      <w:r w:rsidRPr="00300009">
        <w:rPr>
          <w:rFonts w:ascii="Arial" w:hAnsi="Arial" w:cs="Arial"/>
          <w:sz w:val="20"/>
        </w:rPr>
        <w:t>: Udeležba podizvajalcev pri posameznih javnih naročilih</w:t>
      </w:r>
    </w:p>
    <w:tbl>
      <w:tblPr>
        <w:tblW w:w="6760" w:type="dxa"/>
        <w:jc w:val="center"/>
        <w:tblCellMar>
          <w:left w:w="70" w:type="dxa"/>
          <w:right w:w="70" w:type="dxa"/>
        </w:tblCellMar>
        <w:tblLook w:val="04A0" w:firstRow="1" w:lastRow="0" w:firstColumn="1" w:lastColumn="0" w:noHBand="0" w:noVBand="1"/>
      </w:tblPr>
      <w:tblGrid>
        <w:gridCol w:w="1420"/>
        <w:gridCol w:w="960"/>
        <w:gridCol w:w="1660"/>
        <w:gridCol w:w="1120"/>
        <w:gridCol w:w="1600"/>
      </w:tblGrid>
      <w:tr w:rsidR="00BB2143" w:rsidRPr="00300009" w14:paraId="72D66446" w14:textId="77777777" w:rsidTr="00CD447F">
        <w:trPr>
          <w:trHeight w:val="255"/>
          <w:jc w:val="center"/>
        </w:trPr>
        <w:tc>
          <w:tcPr>
            <w:tcW w:w="1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07033C" w14:textId="77777777" w:rsidR="00BB2143" w:rsidRPr="00300009" w:rsidRDefault="00BB2143" w:rsidP="00BB2143">
            <w:pPr>
              <w:spacing w:after="0" w:line="240" w:lineRule="auto"/>
              <w:jc w:val="center"/>
              <w:rPr>
                <w:rFonts w:ascii="Arial" w:eastAsia="Times New Roman" w:hAnsi="Arial" w:cs="Arial"/>
                <w:color w:val="000000"/>
                <w:sz w:val="18"/>
                <w:szCs w:val="18"/>
                <w:lang w:eastAsia="sl-SI"/>
              </w:rPr>
            </w:pPr>
            <w:r w:rsidRPr="00300009">
              <w:rPr>
                <w:rFonts w:ascii="Arial" w:eastAsia="Times New Roman" w:hAnsi="Arial" w:cs="Arial"/>
                <w:color w:val="000000"/>
                <w:sz w:val="18"/>
                <w:szCs w:val="18"/>
                <w:lang w:eastAsia="sl-SI"/>
              </w:rPr>
              <w:t>Oddano podizvajalcem</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A13D72F" w14:textId="77777777" w:rsidR="00BB2143" w:rsidRPr="00300009" w:rsidRDefault="00BB2143" w:rsidP="00BB2143">
            <w:pPr>
              <w:spacing w:after="0" w:line="240" w:lineRule="auto"/>
              <w:jc w:val="center"/>
              <w:rPr>
                <w:rFonts w:ascii="Arial" w:eastAsia="Times New Roman" w:hAnsi="Arial" w:cs="Arial"/>
                <w:color w:val="000000"/>
                <w:sz w:val="18"/>
                <w:szCs w:val="18"/>
                <w:lang w:eastAsia="sl-SI"/>
              </w:rPr>
            </w:pPr>
            <w:r w:rsidRPr="00300009">
              <w:rPr>
                <w:rFonts w:ascii="Arial" w:eastAsia="Times New Roman" w:hAnsi="Arial" w:cs="Arial"/>
                <w:color w:val="000000"/>
                <w:sz w:val="18"/>
                <w:szCs w:val="18"/>
                <w:lang w:eastAsia="sl-SI"/>
              </w:rPr>
              <w:t>Št. naročil</w:t>
            </w:r>
          </w:p>
        </w:tc>
        <w:tc>
          <w:tcPr>
            <w:tcW w:w="16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632FD5D" w14:textId="77777777" w:rsidR="00BB2143" w:rsidRPr="00300009" w:rsidRDefault="00BB2143" w:rsidP="00BB2143">
            <w:pPr>
              <w:spacing w:after="0" w:line="240" w:lineRule="auto"/>
              <w:jc w:val="center"/>
              <w:rPr>
                <w:rFonts w:ascii="Arial" w:eastAsia="Times New Roman" w:hAnsi="Arial" w:cs="Arial"/>
                <w:color w:val="000000"/>
                <w:sz w:val="18"/>
                <w:szCs w:val="18"/>
                <w:lang w:eastAsia="sl-SI"/>
              </w:rPr>
            </w:pPr>
            <w:r w:rsidRPr="00300009">
              <w:rPr>
                <w:rFonts w:ascii="Arial" w:eastAsia="Times New Roman" w:hAnsi="Arial" w:cs="Arial"/>
                <w:color w:val="000000"/>
                <w:sz w:val="18"/>
                <w:szCs w:val="18"/>
                <w:lang w:eastAsia="sl-SI"/>
              </w:rPr>
              <w:t>Pogodbena vrednost</w:t>
            </w:r>
          </w:p>
        </w:tc>
        <w:tc>
          <w:tcPr>
            <w:tcW w:w="112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D2ECA14" w14:textId="77777777" w:rsidR="00BB2143" w:rsidRPr="00300009" w:rsidRDefault="00BB2143" w:rsidP="00BB2143">
            <w:pPr>
              <w:spacing w:after="0" w:line="240" w:lineRule="auto"/>
              <w:jc w:val="center"/>
              <w:rPr>
                <w:rFonts w:ascii="Arial" w:eastAsia="Times New Roman" w:hAnsi="Arial" w:cs="Arial"/>
                <w:color w:val="000000"/>
                <w:sz w:val="18"/>
                <w:szCs w:val="18"/>
                <w:lang w:eastAsia="sl-SI"/>
              </w:rPr>
            </w:pPr>
            <w:r w:rsidRPr="00300009">
              <w:rPr>
                <w:rFonts w:ascii="Arial" w:eastAsia="Times New Roman" w:hAnsi="Arial" w:cs="Arial"/>
                <w:color w:val="000000"/>
                <w:sz w:val="18"/>
                <w:szCs w:val="18"/>
                <w:lang w:eastAsia="sl-SI"/>
              </w:rPr>
              <w:t>Delež v št. vseh naročil</w:t>
            </w:r>
          </w:p>
        </w:tc>
        <w:tc>
          <w:tcPr>
            <w:tcW w:w="160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70B2D52" w14:textId="77777777" w:rsidR="00BB2143" w:rsidRPr="00300009" w:rsidRDefault="00BB2143" w:rsidP="00BB2143">
            <w:pPr>
              <w:spacing w:after="0" w:line="240" w:lineRule="auto"/>
              <w:jc w:val="center"/>
              <w:rPr>
                <w:rFonts w:ascii="Arial" w:eastAsia="Times New Roman" w:hAnsi="Arial" w:cs="Arial"/>
                <w:color w:val="000000"/>
                <w:sz w:val="18"/>
                <w:szCs w:val="18"/>
                <w:lang w:eastAsia="sl-SI"/>
              </w:rPr>
            </w:pPr>
            <w:r w:rsidRPr="00300009">
              <w:rPr>
                <w:rFonts w:ascii="Arial" w:eastAsia="Times New Roman" w:hAnsi="Arial" w:cs="Arial"/>
                <w:color w:val="000000"/>
                <w:sz w:val="18"/>
                <w:szCs w:val="18"/>
                <w:lang w:eastAsia="sl-SI"/>
              </w:rPr>
              <w:t>Delež v vrednosti vseh naročil</w:t>
            </w:r>
          </w:p>
        </w:tc>
      </w:tr>
      <w:tr w:rsidR="00300009" w:rsidRPr="00300009" w14:paraId="78F5E923" w14:textId="77777777" w:rsidTr="00300009">
        <w:trPr>
          <w:trHeight w:val="255"/>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25D1C831" w14:textId="77777777" w:rsidR="00300009" w:rsidRPr="00300009" w:rsidRDefault="00300009" w:rsidP="00300009">
            <w:pPr>
              <w:spacing w:after="0" w:line="240" w:lineRule="auto"/>
              <w:jc w:val="center"/>
              <w:rPr>
                <w:rFonts w:ascii="Arial" w:eastAsia="Times New Roman" w:hAnsi="Arial" w:cs="Arial"/>
                <w:color w:val="000000"/>
                <w:sz w:val="18"/>
                <w:szCs w:val="18"/>
                <w:lang w:eastAsia="sl-SI"/>
              </w:rPr>
            </w:pPr>
            <w:r w:rsidRPr="00300009">
              <w:rPr>
                <w:rFonts w:ascii="Arial" w:eastAsia="Times New Roman" w:hAnsi="Arial" w:cs="Arial"/>
                <w:color w:val="000000"/>
                <w:sz w:val="18"/>
                <w:szCs w:val="18"/>
                <w:lang w:eastAsia="sl-SI"/>
              </w:rPr>
              <w:t>DA</w:t>
            </w:r>
          </w:p>
        </w:tc>
        <w:tc>
          <w:tcPr>
            <w:tcW w:w="960" w:type="dxa"/>
            <w:tcBorders>
              <w:top w:val="nil"/>
              <w:left w:val="nil"/>
              <w:bottom w:val="single" w:sz="4" w:space="0" w:color="auto"/>
              <w:right w:val="single" w:sz="4" w:space="0" w:color="auto"/>
            </w:tcBorders>
            <w:shd w:val="clear" w:color="auto" w:fill="auto"/>
            <w:vAlign w:val="center"/>
            <w:hideMark/>
          </w:tcPr>
          <w:p w14:paraId="7BF9D5E4" w14:textId="140DB636" w:rsidR="00300009" w:rsidRPr="00300009" w:rsidRDefault="00300009" w:rsidP="00300009">
            <w:pPr>
              <w:spacing w:after="0" w:line="240" w:lineRule="auto"/>
              <w:jc w:val="right"/>
              <w:rPr>
                <w:rFonts w:ascii="Arial" w:eastAsia="Times New Roman" w:hAnsi="Arial" w:cs="Arial"/>
                <w:color w:val="000000"/>
                <w:sz w:val="18"/>
                <w:szCs w:val="18"/>
                <w:lang w:eastAsia="sl-SI"/>
              </w:rPr>
            </w:pPr>
            <w:r w:rsidRPr="00300009">
              <w:rPr>
                <w:rFonts w:ascii="Arial" w:eastAsia="Times New Roman" w:hAnsi="Arial" w:cs="Arial"/>
                <w:color w:val="000000"/>
                <w:sz w:val="18"/>
                <w:szCs w:val="18"/>
                <w:lang w:eastAsia="sl-SI"/>
              </w:rPr>
              <w:t>1.188</w:t>
            </w:r>
          </w:p>
        </w:tc>
        <w:tc>
          <w:tcPr>
            <w:tcW w:w="1660" w:type="dxa"/>
            <w:tcBorders>
              <w:top w:val="nil"/>
              <w:left w:val="nil"/>
              <w:bottom w:val="single" w:sz="4" w:space="0" w:color="auto"/>
              <w:right w:val="single" w:sz="4" w:space="0" w:color="auto"/>
            </w:tcBorders>
            <w:shd w:val="clear" w:color="auto" w:fill="auto"/>
            <w:vAlign w:val="center"/>
            <w:hideMark/>
          </w:tcPr>
          <w:p w14:paraId="3A8F80B8" w14:textId="2082B5EB" w:rsidR="00300009" w:rsidRPr="00300009" w:rsidRDefault="00300009" w:rsidP="00300009">
            <w:pPr>
              <w:spacing w:after="0" w:line="240" w:lineRule="auto"/>
              <w:jc w:val="right"/>
              <w:rPr>
                <w:rFonts w:ascii="Arial" w:eastAsia="Times New Roman" w:hAnsi="Arial" w:cs="Arial"/>
                <w:color w:val="000000"/>
                <w:sz w:val="18"/>
                <w:szCs w:val="18"/>
                <w:lang w:eastAsia="sl-SI"/>
              </w:rPr>
            </w:pPr>
            <w:r w:rsidRPr="00300009">
              <w:rPr>
                <w:rFonts w:ascii="Arial" w:eastAsia="Times New Roman" w:hAnsi="Arial" w:cs="Arial"/>
                <w:color w:val="000000"/>
                <w:sz w:val="18"/>
                <w:szCs w:val="18"/>
                <w:lang w:eastAsia="sl-SI"/>
              </w:rPr>
              <w:t>1.062.990.224</w:t>
            </w:r>
          </w:p>
        </w:tc>
        <w:tc>
          <w:tcPr>
            <w:tcW w:w="1120" w:type="dxa"/>
            <w:tcBorders>
              <w:top w:val="nil"/>
              <w:left w:val="nil"/>
              <w:bottom w:val="single" w:sz="4" w:space="0" w:color="auto"/>
              <w:right w:val="single" w:sz="4" w:space="0" w:color="auto"/>
            </w:tcBorders>
            <w:shd w:val="clear" w:color="auto" w:fill="auto"/>
            <w:noWrap/>
            <w:vAlign w:val="center"/>
            <w:hideMark/>
          </w:tcPr>
          <w:p w14:paraId="2E49D41C" w14:textId="2BB11BCB" w:rsidR="00300009" w:rsidRPr="00300009" w:rsidRDefault="00300009" w:rsidP="00300009">
            <w:pPr>
              <w:spacing w:after="0" w:line="240" w:lineRule="auto"/>
              <w:jc w:val="right"/>
              <w:rPr>
                <w:rFonts w:ascii="Arial" w:eastAsia="Times New Roman" w:hAnsi="Arial" w:cs="Arial"/>
                <w:color w:val="000000"/>
                <w:sz w:val="18"/>
                <w:szCs w:val="18"/>
                <w:lang w:eastAsia="sl-SI"/>
              </w:rPr>
            </w:pPr>
            <w:r w:rsidRPr="00300009">
              <w:rPr>
                <w:rFonts w:ascii="Arial" w:eastAsia="Times New Roman" w:hAnsi="Arial" w:cs="Arial"/>
                <w:color w:val="000000"/>
                <w:sz w:val="18"/>
                <w:szCs w:val="18"/>
                <w:lang w:eastAsia="sl-SI"/>
              </w:rPr>
              <w:t>6,90 %</w:t>
            </w:r>
          </w:p>
        </w:tc>
        <w:tc>
          <w:tcPr>
            <w:tcW w:w="1600" w:type="dxa"/>
            <w:tcBorders>
              <w:top w:val="nil"/>
              <w:left w:val="nil"/>
              <w:bottom w:val="single" w:sz="4" w:space="0" w:color="auto"/>
              <w:right w:val="single" w:sz="4" w:space="0" w:color="auto"/>
            </w:tcBorders>
            <w:shd w:val="clear" w:color="auto" w:fill="auto"/>
            <w:noWrap/>
            <w:vAlign w:val="center"/>
            <w:hideMark/>
          </w:tcPr>
          <w:p w14:paraId="615AF1AA" w14:textId="14ABA8CE" w:rsidR="00300009" w:rsidRPr="00300009" w:rsidRDefault="00300009" w:rsidP="00300009">
            <w:pPr>
              <w:spacing w:after="0" w:line="240" w:lineRule="auto"/>
              <w:jc w:val="right"/>
              <w:rPr>
                <w:rFonts w:ascii="Arial" w:eastAsia="Times New Roman" w:hAnsi="Arial" w:cs="Arial"/>
                <w:color w:val="000000"/>
                <w:sz w:val="18"/>
                <w:szCs w:val="18"/>
                <w:lang w:eastAsia="sl-SI"/>
              </w:rPr>
            </w:pPr>
            <w:r w:rsidRPr="00300009">
              <w:rPr>
                <w:rFonts w:ascii="Arial" w:eastAsia="Times New Roman" w:hAnsi="Arial" w:cs="Arial"/>
                <w:color w:val="000000"/>
                <w:sz w:val="18"/>
                <w:szCs w:val="18"/>
                <w:lang w:eastAsia="sl-SI"/>
              </w:rPr>
              <w:t>19,62 %</w:t>
            </w:r>
          </w:p>
        </w:tc>
      </w:tr>
      <w:tr w:rsidR="00300009" w:rsidRPr="00300009" w14:paraId="2F34641B" w14:textId="77777777" w:rsidTr="00300009">
        <w:trPr>
          <w:trHeight w:val="255"/>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0CFDD084" w14:textId="77777777" w:rsidR="00300009" w:rsidRPr="00300009" w:rsidRDefault="00300009" w:rsidP="00300009">
            <w:pPr>
              <w:spacing w:after="0" w:line="240" w:lineRule="auto"/>
              <w:jc w:val="center"/>
              <w:rPr>
                <w:rFonts w:ascii="Arial" w:eastAsia="Times New Roman" w:hAnsi="Arial" w:cs="Arial"/>
                <w:color w:val="000000"/>
                <w:sz w:val="18"/>
                <w:szCs w:val="18"/>
                <w:lang w:eastAsia="sl-SI"/>
              </w:rPr>
            </w:pPr>
            <w:r w:rsidRPr="00300009">
              <w:rPr>
                <w:rFonts w:ascii="Arial" w:eastAsia="Times New Roman" w:hAnsi="Arial" w:cs="Arial"/>
                <w:color w:val="000000"/>
                <w:sz w:val="18"/>
                <w:szCs w:val="18"/>
                <w:lang w:eastAsia="sl-SI"/>
              </w:rPr>
              <w:t>NE</w:t>
            </w:r>
          </w:p>
        </w:tc>
        <w:tc>
          <w:tcPr>
            <w:tcW w:w="960" w:type="dxa"/>
            <w:tcBorders>
              <w:top w:val="nil"/>
              <w:left w:val="nil"/>
              <w:bottom w:val="single" w:sz="4" w:space="0" w:color="auto"/>
              <w:right w:val="single" w:sz="4" w:space="0" w:color="auto"/>
            </w:tcBorders>
            <w:shd w:val="clear" w:color="auto" w:fill="auto"/>
            <w:vAlign w:val="center"/>
            <w:hideMark/>
          </w:tcPr>
          <w:p w14:paraId="0035018B" w14:textId="00933DA9" w:rsidR="00300009" w:rsidRPr="00300009" w:rsidRDefault="00300009" w:rsidP="00300009">
            <w:pPr>
              <w:spacing w:after="0" w:line="240" w:lineRule="auto"/>
              <w:jc w:val="right"/>
              <w:rPr>
                <w:rFonts w:ascii="Arial" w:eastAsia="Times New Roman" w:hAnsi="Arial" w:cs="Arial"/>
                <w:color w:val="000000"/>
                <w:sz w:val="18"/>
                <w:szCs w:val="18"/>
                <w:lang w:eastAsia="sl-SI"/>
              </w:rPr>
            </w:pPr>
            <w:r w:rsidRPr="00300009">
              <w:rPr>
                <w:rFonts w:ascii="Arial" w:eastAsia="Times New Roman" w:hAnsi="Arial" w:cs="Arial"/>
                <w:color w:val="000000"/>
                <w:sz w:val="18"/>
                <w:szCs w:val="18"/>
                <w:lang w:eastAsia="sl-SI"/>
              </w:rPr>
              <w:t>16.036</w:t>
            </w:r>
          </w:p>
        </w:tc>
        <w:tc>
          <w:tcPr>
            <w:tcW w:w="1660" w:type="dxa"/>
            <w:tcBorders>
              <w:top w:val="nil"/>
              <w:left w:val="nil"/>
              <w:bottom w:val="single" w:sz="4" w:space="0" w:color="auto"/>
              <w:right w:val="single" w:sz="4" w:space="0" w:color="auto"/>
            </w:tcBorders>
            <w:shd w:val="clear" w:color="auto" w:fill="auto"/>
            <w:vAlign w:val="center"/>
            <w:hideMark/>
          </w:tcPr>
          <w:p w14:paraId="0C88DDB5" w14:textId="48F2DB5E" w:rsidR="00300009" w:rsidRPr="00300009" w:rsidRDefault="00300009" w:rsidP="00300009">
            <w:pPr>
              <w:spacing w:after="0" w:line="240" w:lineRule="auto"/>
              <w:jc w:val="right"/>
              <w:rPr>
                <w:rFonts w:ascii="Arial" w:eastAsia="Times New Roman" w:hAnsi="Arial" w:cs="Arial"/>
                <w:color w:val="000000"/>
                <w:sz w:val="18"/>
                <w:szCs w:val="18"/>
                <w:lang w:eastAsia="sl-SI"/>
              </w:rPr>
            </w:pPr>
            <w:r w:rsidRPr="00300009">
              <w:rPr>
                <w:rFonts w:ascii="Arial" w:eastAsia="Times New Roman" w:hAnsi="Arial" w:cs="Arial"/>
                <w:color w:val="000000"/>
                <w:sz w:val="18"/>
                <w:szCs w:val="18"/>
                <w:lang w:eastAsia="sl-SI"/>
              </w:rPr>
              <w:t>4.354.115.678</w:t>
            </w:r>
          </w:p>
        </w:tc>
        <w:tc>
          <w:tcPr>
            <w:tcW w:w="1120" w:type="dxa"/>
            <w:tcBorders>
              <w:top w:val="nil"/>
              <w:left w:val="nil"/>
              <w:bottom w:val="single" w:sz="4" w:space="0" w:color="auto"/>
              <w:right w:val="single" w:sz="4" w:space="0" w:color="auto"/>
            </w:tcBorders>
            <w:shd w:val="clear" w:color="auto" w:fill="auto"/>
            <w:noWrap/>
            <w:vAlign w:val="center"/>
            <w:hideMark/>
          </w:tcPr>
          <w:p w14:paraId="79AE22AC" w14:textId="4483F258" w:rsidR="00300009" w:rsidRPr="00300009" w:rsidRDefault="00300009" w:rsidP="00300009">
            <w:pPr>
              <w:spacing w:after="0" w:line="240" w:lineRule="auto"/>
              <w:jc w:val="right"/>
              <w:rPr>
                <w:rFonts w:ascii="Arial" w:eastAsia="Times New Roman" w:hAnsi="Arial" w:cs="Arial"/>
                <w:color w:val="000000"/>
                <w:sz w:val="18"/>
                <w:szCs w:val="18"/>
                <w:lang w:eastAsia="sl-SI"/>
              </w:rPr>
            </w:pPr>
            <w:r w:rsidRPr="00300009">
              <w:rPr>
                <w:rFonts w:ascii="Arial" w:eastAsia="Times New Roman" w:hAnsi="Arial" w:cs="Arial"/>
                <w:color w:val="000000"/>
                <w:sz w:val="18"/>
                <w:szCs w:val="18"/>
                <w:lang w:eastAsia="sl-SI"/>
              </w:rPr>
              <w:t>93,10 %</w:t>
            </w:r>
          </w:p>
        </w:tc>
        <w:tc>
          <w:tcPr>
            <w:tcW w:w="1600" w:type="dxa"/>
            <w:tcBorders>
              <w:top w:val="nil"/>
              <w:left w:val="nil"/>
              <w:bottom w:val="single" w:sz="4" w:space="0" w:color="auto"/>
              <w:right w:val="single" w:sz="4" w:space="0" w:color="auto"/>
            </w:tcBorders>
            <w:shd w:val="clear" w:color="auto" w:fill="auto"/>
            <w:noWrap/>
            <w:vAlign w:val="center"/>
            <w:hideMark/>
          </w:tcPr>
          <w:p w14:paraId="2875185D" w14:textId="18779405" w:rsidR="00300009" w:rsidRPr="00300009" w:rsidRDefault="00300009" w:rsidP="00300009">
            <w:pPr>
              <w:spacing w:after="0" w:line="240" w:lineRule="auto"/>
              <w:jc w:val="right"/>
              <w:rPr>
                <w:rFonts w:ascii="Arial" w:eastAsia="Times New Roman" w:hAnsi="Arial" w:cs="Arial"/>
                <w:color w:val="000000"/>
                <w:sz w:val="18"/>
                <w:szCs w:val="18"/>
                <w:lang w:eastAsia="sl-SI"/>
              </w:rPr>
            </w:pPr>
            <w:r w:rsidRPr="00300009">
              <w:rPr>
                <w:rFonts w:ascii="Arial" w:eastAsia="Times New Roman" w:hAnsi="Arial" w:cs="Arial"/>
                <w:color w:val="000000"/>
                <w:sz w:val="18"/>
                <w:szCs w:val="18"/>
                <w:lang w:eastAsia="sl-SI"/>
              </w:rPr>
              <w:t>80,38 %</w:t>
            </w:r>
          </w:p>
        </w:tc>
      </w:tr>
      <w:tr w:rsidR="00300009" w:rsidRPr="00300009" w14:paraId="5B75F403" w14:textId="77777777" w:rsidTr="00300009">
        <w:trPr>
          <w:trHeight w:val="255"/>
          <w:jc w:val="center"/>
        </w:trPr>
        <w:tc>
          <w:tcPr>
            <w:tcW w:w="142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7F11BC1" w14:textId="77777777" w:rsidR="00300009" w:rsidRPr="00300009" w:rsidRDefault="00300009" w:rsidP="00300009">
            <w:pPr>
              <w:spacing w:after="0" w:line="240" w:lineRule="auto"/>
              <w:jc w:val="both"/>
              <w:rPr>
                <w:rFonts w:ascii="Arial" w:eastAsia="Times New Roman" w:hAnsi="Arial" w:cs="Arial"/>
                <w:b/>
                <w:bCs/>
                <w:color w:val="000000"/>
                <w:sz w:val="18"/>
                <w:szCs w:val="18"/>
                <w:lang w:eastAsia="sl-SI"/>
              </w:rPr>
            </w:pPr>
            <w:r w:rsidRPr="00300009">
              <w:rPr>
                <w:rFonts w:ascii="Arial" w:eastAsia="Times New Roman" w:hAnsi="Arial" w:cs="Arial"/>
                <w:b/>
                <w:bCs/>
                <w:color w:val="000000"/>
                <w:sz w:val="18"/>
                <w:szCs w:val="18"/>
                <w:lang w:eastAsia="sl-SI"/>
              </w:rPr>
              <w:t>Skupaj</w:t>
            </w:r>
          </w:p>
        </w:tc>
        <w:tc>
          <w:tcPr>
            <w:tcW w:w="960" w:type="dxa"/>
            <w:tcBorders>
              <w:top w:val="nil"/>
              <w:left w:val="nil"/>
              <w:bottom w:val="single" w:sz="4" w:space="0" w:color="auto"/>
              <w:right w:val="single" w:sz="4" w:space="0" w:color="auto"/>
            </w:tcBorders>
            <w:shd w:val="clear" w:color="auto" w:fill="F2F2F2" w:themeFill="background1" w:themeFillShade="F2"/>
            <w:vAlign w:val="center"/>
            <w:hideMark/>
          </w:tcPr>
          <w:p w14:paraId="47C27A94" w14:textId="546D4F97" w:rsidR="00300009" w:rsidRPr="00300009" w:rsidRDefault="00300009" w:rsidP="00300009">
            <w:pPr>
              <w:spacing w:after="0" w:line="240" w:lineRule="auto"/>
              <w:jc w:val="right"/>
              <w:rPr>
                <w:rFonts w:ascii="Arial" w:eastAsia="Times New Roman" w:hAnsi="Arial" w:cs="Arial"/>
                <w:b/>
                <w:bCs/>
                <w:color w:val="000000"/>
                <w:sz w:val="18"/>
                <w:szCs w:val="18"/>
                <w:lang w:eastAsia="sl-SI"/>
              </w:rPr>
            </w:pPr>
            <w:r w:rsidRPr="00300009">
              <w:rPr>
                <w:rFonts w:ascii="Arial" w:eastAsia="Times New Roman" w:hAnsi="Arial" w:cs="Arial"/>
                <w:b/>
                <w:bCs/>
                <w:color w:val="000000"/>
                <w:sz w:val="18"/>
                <w:szCs w:val="18"/>
                <w:lang w:eastAsia="sl-SI"/>
              </w:rPr>
              <w:t>17.224</w:t>
            </w:r>
          </w:p>
        </w:tc>
        <w:tc>
          <w:tcPr>
            <w:tcW w:w="1660" w:type="dxa"/>
            <w:tcBorders>
              <w:top w:val="nil"/>
              <w:left w:val="nil"/>
              <w:bottom w:val="single" w:sz="4" w:space="0" w:color="auto"/>
              <w:right w:val="single" w:sz="4" w:space="0" w:color="auto"/>
            </w:tcBorders>
            <w:shd w:val="clear" w:color="auto" w:fill="F2F2F2" w:themeFill="background1" w:themeFillShade="F2"/>
            <w:vAlign w:val="center"/>
            <w:hideMark/>
          </w:tcPr>
          <w:p w14:paraId="0AE553D7" w14:textId="28CA214E" w:rsidR="00300009" w:rsidRPr="00300009" w:rsidRDefault="00300009" w:rsidP="00300009">
            <w:pPr>
              <w:spacing w:after="0" w:line="240" w:lineRule="auto"/>
              <w:jc w:val="right"/>
              <w:rPr>
                <w:rFonts w:ascii="Arial" w:eastAsia="Times New Roman" w:hAnsi="Arial" w:cs="Arial"/>
                <w:b/>
                <w:bCs/>
                <w:color w:val="000000"/>
                <w:sz w:val="18"/>
                <w:szCs w:val="18"/>
                <w:lang w:eastAsia="sl-SI"/>
              </w:rPr>
            </w:pPr>
            <w:r w:rsidRPr="00300009">
              <w:rPr>
                <w:rFonts w:ascii="Arial" w:eastAsia="Times New Roman" w:hAnsi="Arial" w:cs="Arial"/>
                <w:b/>
                <w:bCs/>
                <w:color w:val="000000"/>
                <w:sz w:val="18"/>
                <w:szCs w:val="18"/>
                <w:lang w:eastAsia="sl-SI"/>
              </w:rPr>
              <w:t>5.417.105.902</w:t>
            </w:r>
          </w:p>
        </w:tc>
        <w:tc>
          <w:tcPr>
            <w:tcW w:w="1120" w:type="dxa"/>
            <w:tcBorders>
              <w:top w:val="nil"/>
              <w:left w:val="nil"/>
              <w:bottom w:val="single" w:sz="4" w:space="0" w:color="auto"/>
              <w:right w:val="single" w:sz="4" w:space="0" w:color="auto"/>
            </w:tcBorders>
            <w:shd w:val="clear" w:color="auto" w:fill="F2F2F2" w:themeFill="background1" w:themeFillShade="F2"/>
            <w:vAlign w:val="center"/>
            <w:hideMark/>
          </w:tcPr>
          <w:p w14:paraId="1ACE0AF1" w14:textId="14F4F6C5" w:rsidR="00300009" w:rsidRPr="00300009" w:rsidRDefault="00300009" w:rsidP="00300009">
            <w:pPr>
              <w:spacing w:after="0" w:line="240" w:lineRule="auto"/>
              <w:jc w:val="right"/>
              <w:rPr>
                <w:rFonts w:ascii="Arial" w:eastAsia="Times New Roman" w:hAnsi="Arial" w:cs="Arial"/>
                <w:b/>
                <w:bCs/>
                <w:color w:val="000000"/>
                <w:sz w:val="18"/>
                <w:szCs w:val="18"/>
                <w:lang w:eastAsia="sl-SI"/>
              </w:rPr>
            </w:pPr>
            <w:r w:rsidRPr="00300009">
              <w:rPr>
                <w:rFonts w:ascii="Arial" w:eastAsia="Times New Roman" w:hAnsi="Arial" w:cs="Arial"/>
                <w:b/>
                <w:bCs/>
                <w:color w:val="000000"/>
                <w:sz w:val="18"/>
                <w:szCs w:val="18"/>
                <w:lang w:eastAsia="sl-SI"/>
              </w:rPr>
              <w:t>100,00 %</w:t>
            </w:r>
          </w:p>
        </w:tc>
        <w:tc>
          <w:tcPr>
            <w:tcW w:w="1600" w:type="dxa"/>
            <w:tcBorders>
              <w:top w:val="nil"/>
              <w:left w:val="nil"/>
              <w:bottom w:val="single" w:sz="4" w:space="0" w:color="auto"/>
              <w:right w:val="single" w:sz="4" w:space="0" w:color="auto"/>
            </w:tcBorders>
            <w:shd w:val="clear" w:color="auto" w:fill="F2F2F2" w:themeFill="background1" w:themeFillShade="F2"/>
            <w:vAlign w:val="center"/>
            <w:hideMark/>
          </w:tcPr>
          <w:p w14:paraId="6D867CFD" w14:textId="3E764B99" w:rsidR="00300009" w:rsidRPr="00300009" w:rsidRDefault="00300009" w:rsidP="00300009">
            <w:pPr>
              <w:spacing w:after="0" w:line="240" w:lineRule="auto"/>
              <w:jc w:val="right"/>
              <w:rPr>
                <w:rFonts w:ascii="Arial" w:eastAsia="Times New Roman" w:hAnsi="Arial" w:cs="Arial"/>
                <w:b/>
                <w:bCs/>
                <w:color w:val="000000"/>
                <w:sz w:val="18"/>
                <w:szCs w:val="18"/>
                <w:lang w:eastAsia="sl-SI"/>
              </w:rPr>
            </w:pPr>
            <w:r w:rsidRPr="00300009">
              <w:rPr>
                <w:rFonts w:ascii="Arial" w:eastAsia="Times New Roman" w:hAnsi="Arial" w:cs="Arial"/>
                <w:b/>
                <w:bCs/>
                <w:color w:val="000000"/>
                <w:sz w:val="18"/>
                <w:szCs w:val="18"/>
                <w:lang w:eastAsia="sl-SI"/>
              </w:rPr>
              <w:t>100,00 %</w:t>
            </w:r>
          </w:p>
        </w:tc>
      </w:tr>
    </w:tbl>
    <w:p w14:paraId="0F117F70" w14:textId="77777777" w:rsidR="00902233" w:rsidRPr="00300009" w:rsidRDefault="00902233" w:rsidP="00902233">
      <w:pPr>
        <w:spacing w:after="0" w:line="240" w:lineRule="auto"/>
        <w:jc w:val="center"/>
        <w:rPr>
          <w:rFonts w:ascii="Arial" w:hAnsi="Arial" w:cs="Arial"/>
          <w:sz w:val="18"/>
        </w:rPr>
      </w:pPr>
    </w:p>
    <w:p w14:paraId="2D52B006" w14:textId="1BF76E22" w:rsidR="00902233" w:rsidRPr="00300009" w:rsidRDefault="00902233" w:rsidP="00902233">
      <w:pPr>
        <w:spacing w:after="0" w:line="240" w:lineRule="auto"/>
        <w:jc w:val="center"/>
        <w:rPr>
          <w:rFonts w:ascii="Arial" w:hAnsi="Arial" w:cs="Arial"/>
          <w:sz w:val="18"/>
        </w:rPr>
      </w:pPr>
      <w:r w:rsidRPr="00300009">
        <w:rPr>
          <w:rFonts w:ascii="Arial" w:hAnsi="Arial" w:cs="Arial"/>
          <w:sz w:val="18"/>
        </w:rPr>
        <w:t>Vir: Statistični podatki o javnih naročilih, oddanih v letu 20</w:t>
      </w:r>
      <w:r w:rsidR="00BB2143" w:rsidRPr="00300009">
        <w:rPr>
          <w:rFonts w:ascii="Arial" w:hAnsi="Arial" w:cs="Arial"/>
          <w:sz w:val="18"/>
        </w:rPr>
        <w:t>2</w:t>
      </w:r>
      <w:r w:rsidR="00300009" w:rsidRPr="00300009">
        <w:rPr>
          <w:rFonts w:ascii="Arial" w:hAnsi="Arial" w:cs="Arial"/>
          <w:sz w:val="18"/>
        </w:rPr>
        <w:t>2</w:t>
      </w:r>
      <w:r w:rsidR="008426A1" w:rsidRPr="00300009">
        <w:rPr>
          <w:rFonts w:ascii="Arial" w:hAnsi="Arial" w:cs="Arial"/>
          <w:sz w:val="18"/>
        </w:rPr>
        <w:t>.</w:t>
      </w:r>
    </w:p>
    <w:p w14:paraId="4F388D1C" w14:textId="63007219" w:rsidR="00650245" w:rsidRPr="00300009" w:rsidRDefault="00650245">
      <w:pPr>
        <w:rPr>
          <w:rFonts w:ascii="Arial" w:hAnsi="Arial" w:cs="Arial"/>
          <w:sz w:val="20"/>
          <w:szCs w:val="20"/>
        </w:rPr>
      </w:pPr>
    </w:p>
    <w:p w14:paraId="388B023A" w14:textId="0BCC1009" w:rsidR="00902233" w:rsidRPr="00300009" w:rsidRDefault="00902233" w:rsidP="00902233">
      <w:pPr>
        <w:spacing w:line="360" w:lineRule="auto"/>
        <w:jc w:val="both"/>
        <w:rPr>
          <w:rFonts w:ascii="Arial" w:hAnsi="Arial" w:cs="Arial"/>
          <w:sz w:val="20"/>
          <w:szCs w:val="20"/>
        </w:rPr>
      </w:pPr>
      <w:r w:rsidRPr="00300009">
        <w:rPr>
          <w:rFonts w:ascii="Arial" w:hAnsi="Arial" w:cs="Arial"/>
          <w:sz w:val="20"/>
          <w:szCs w:val="20"/>
        </w:rPr>
        <w:t>Največ</w:t>
      </w:r>
      <w:r w:rsidR="00FD7055" w:rsidRPr="00300009">
        <w:rPr>
          <w:rFonts w:ascii="Arial" w:hAnsi="Arial" w:cs="Arial"/>
          <w:sz w:val="20"/>
          <w:szCs w:val="20"/>
        </w:rPr>
        <w:t xml:space="preserve"> naročil </w:t>
      </w:r>
      <w:r w:rsidRPr="00300009">
        <w:rPr>
          <w:rFonts w:ascii="Arial" w:hAnsi="Arial" w:cs="Arial"/>
          <w:sz w:val="20"/>
          <w:szCs w:val="20"/>
        </w:rPr>
        <w:t xml:space="preserve">je bilo oddanih v </w:t>
      </w:r>
      <w:proofErr w:type="spellStart"/>
      <w:r w:rsidRPr="00300009">
        <w:rPr>
          <w:rFonts w:ascii="Arial" w:hAnsi="Arial" w:cs="Arial"/>
          <w:sz w:val="20"/>
          <w:szCs w:val="20"/>
        </w:rPr>
        <w:t>podizvajanje</w:t>
      </w:r>
      <w:proofErr w:type="spellEnd"/>
      <w:r w:rsidRPr="00300009">
        <w:rPr>
          <w:rFonts w:ascii="Arial" w:hAnsi="Arial" w:cs="Arial"/>
          <w:sz w:val="20"/>
          <w:szCs w:val="20"/>
        </w:rPr>
        <w:t xml:space="preserve"> pri </w:t>
      </w:r>
      <w:r w:rsidR="00300009" w:rsidRPr="00300009">
        <w:rPr>
          <w:rFonts w:ascii="Arial" w:hAnsi="Arial" w:cs="Arial"/>
          <w:color w:val="000000" w:themeColor="text1"/>
          <w:sz w:val="20"/>
          <w:szCs w:val="20"/>
        </w:rPr>
        <w:t>odprtih postopkih</w:t>
      </w:r>
      <w:r w:rsidRPr="00300009">
        <w:rPr>
          <w:rFonts w:ascii="Arial" w:hAnsi="Arial" w:cs="Arial"/>
          <w:color w:val="000000" w:themeColor="text1"/>
          <w:sz w:val="20"/>
          <w:szCs w:val="20"/>
        </w:rPr>
        <w:t xml:space="preserve">, kjer so bili podizvajalci </w:t>
      </w:r>
      <w:r w:rsidRPr="00300009">
        <w:rPr>
          <w:rFonts w:ascii="Arial" w:hAnsi="Arial" w:cs="Arial"/>
          <w:sz w:val="20"/>
          <w:szCs w:val="20"/>
        </w:rPr>
        <w:t xml:space="preserve">udeleženi v </w:t>
      </w:r>
      <w:r w:rsidR="00300009" w:rsidRPr="00300009">
        <w:rPr>
          <w:rFonts w:ascii="Arial" w:hAnsi="Arial" w:cs="Arial"/>
          <w:sz w:val="20"/>
          <w:szCs w:val="20"/>
        </w:rPr>
        <w:t>570</w:t>
      </w:r>
      <w:r w:rsidRPr="00300009">
        <w:rPr>
          <w:rFonts w:ascii="Arial" w:hAnsi="Arial" w:cs="Arial"/>
          <w:sz w:val="20"/>
          <w:szCs w:val="20"/>
        </w:rPr>
        <w:t xml:space="preserve"> javnih naročilih, njihova skupna vrednost je </w:t>
      </w:r>
      <w:r w:rsidR="00300009" w:rsidRPr="00300009">
        <w:rPr>
          <w:rFonts w:ascii="Arial" w:hAnsi="Arial" w:cs="Arial"/>
          <w:sz w:val="20"/>
          <w:szCs w:val="20"/>
        </w:rPr>
        <w:t xml:space="preserve">583.543.888 </w:t>
      </w:r>
      <w:r w:rsidRPr="00300009">
        <w:rPr>
          <w:rFonts w:ascii="Arial" w:hAnsi="Arial" w:cs="Arial"/>
          <w:sz w:val="20"/>
          <w:szCs w:val="20"/>
        </w:rPr>
        <w:t>evrov. Udeležba vseh podizvajalcev v javnih naročilih glede na vrsto izvedenega postopka je prikazana v spodnji preglednici.</w:t>
      </w:r>
    </w:p>
    <w:p w14:paraId="55725F99" w14:textId="6B838F0A" w:rsidR="00765CC0" w:rsidRPr="00300009" w:rsidRDefault="00C019C2" w:rsidP="008A61FD">
      <w:pPr>
        <w:spacing w:before="120" w:after="120" w:line="240" w:lineRule="auto"/>
        <w:jc w:val="both"/>
        <w:rPr>
          <w:rFonts w:ascii="Arial" w:hAnsi="Arial" w:cs="Arial"/>
          <w:sz w:val="20"/>
        </w:rPr>
      </w:pPr>
      <w:r w:rsidRPr="00300009">
        <w:rPr>
          <w:rFonts w:ascii="Arial" w:hAnsi="Arial" w:cs="Arial"/>
          <w:sz w:val="20"/>
        </w:rPr>
        <w:t>P</w:t>
      </w:r>
      <w:r w:rsidR="00765CC0" w:rsidRPr="00300009">
        <w:rPr>
          <w:rFonts w:ascii="Arial" w:hAnsi="Arial" w:cs="Arial"/>
          <w:sz w:val="20"/>
        </w:rPr>
        <w:t xml:space="preserve">reglednica </w:t>
      </w:r>
      <w:r w:rsidR="00512F52" w:rsidRPr="00300009">
        <w:rPr>
          <w:rFonts w:ascii="Arial" w:hAnsi="Arial" w:cs="Arial"/>
          <w:sz w:val="20"/>
        </w:rPr>
        <w:t>27</w:t>
      </w:r>
      <w:r w:rsidR="00765CC0" w:rsidRPr="00300009">
        <w:rPr>
          <w:rFonts w:ascii="Arial" w:hAnsi="Arial" w:cs="Arial"/>
          <w:sz w:val="20"/>
        </w:rPr>
        <w:t>: Udeležba podizvajalcev v posameznih postopkih oddaje javnega naročila</w:t>
      </w:r>
    </w:p>
    <w:tbl>
      <w:tblPr>
        <w:tblW w:w="8896" w:type="dxa"/>
        <w:tblCellMar>
          <w:left w:w="70" w:type="dxa"/>
          <w:right w:w="70" w:type="dxa"/>
        </w:tblCellMar>
        <w:tblLook w:val="04A0" w:firstRow="1" w:lastRow="0" w:firstColumn="1" w:lastColumn="0" w:noHBand="0" w:noVBand="1"/>
      </w:tblPr>
      <w:tblGrid>
        <w:gridCol w:w="3964"/>
        <w:gridCol w:w="709"/>
        <w:gridCol w:w="1292"/>
        <w:gridCol w:w="1276"/>
        <w:gridCol w:w="1655"/>
      </w:tblGrid>
      <w:tr w:rsidR="00F813B0" w:rsidRPr="00BF7302" w14:paraId="67E490E1" w14:textId="77777777" w:rsidTr="00300009">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016970" w14:textId="77777777" w:rsidR="00F813B0" w:rsidRPr="00300009" w:rsidRDefault="00F813B0" w:rsidP="00F813B0">
            <w:pPr>
              <w:spacing w:after="0" w:line="240" w:lineRule="auto"/>
              <w:jc w:val="center"/>
              <w:rPr>
                <w:rFonts w:ascii="Arial" w:eastAsia="Times New Roman" w:hAnsi="Arial" w:cs="Arial"/>
                <w:color w:val="000000"/>
                <w:sz w:val="18"/>
                <w:szCs w:val="18"/>
                <w:lang w:eastAsia="sl-SI"/>
              </w:rPr>
            </w:pPr>
            <w:r w:rsidRPr="00300009">
              <w:rPr>
                <w:rFonts w:ascii="Arial" w:eastAsia="Times New Roman" w:hAnsi="Arial" w:cs="Arial"/>
                <w:color w:val="000000"/>
                <w:sz w:val="18"/>
                <w:szCs w:val="18"/>
                <w:lang w:eastAsia="sl-SI"/>
              </w:rPr>
              <w:t>Vrsta postopka</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E36C341" w14:textId="77777777" w:rsidR="00F813B0" w:rsidRPr="00300009" w:rsidRDefault="00F813B0" w:rsidP="00F813B0">
            <w:pPr>
              <w:spacing w:after="0" w:line="240" w:lineRule="auto"/>
              <w:jc w:val="center"/>
              <w:rPr>
                <w:rFonts w:ascii="Arial" w:eastAsia="Times New Roman" w:hAnsi="Arial" w:cs="Arial"/>
                <w:color w:val="000000"/>
                <w:sz w:val="18"/>
                <w:szCs w:val="18"/>
                <w:lang w:eastAsia="sl-SI"/>
              </w:rPr>
            </w:pPr>
            <w:r w:rsidRPr="00300009">
              <w:rPr>
                <w:rFonts w:ascii="Arial" w:eastAsia="Times New Roman" w:hAnsi="Arial" w:cs="Arial"/>
                <w:color w:val="000000"/>
                <w:sz w:val="18"/>
                <w:szCs w:val="18"/>
                <w:lang w:eastAsia="sl-SI"/>
              </w:rPr>
              <w:t>Št. naročil</w:t>
            </w:r>
          </w:p>
        </w:tc>
        <w:tc>
          <w:tcPr>
            <w:tcW w:w="129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5ED7F17" w14:textId="77777777" w:rsidR="00F813B0" w:rsidRPr="00300009" w:rsidRDefault="00F813B0" w:rsidP="00F813B0">
            <w:pPr>
              <w:spacing w:after="0" w:line="240" w:lineRule="auto"/>
              <w:jc w:val="center"/>
              <w:rPr>
                <w:rFonts w:ascii="Arial" w:eastAsia="Times New Roman" w:hAnsi="Arial" w:cs="Arial"/>
                <w:color w:val="000000"/>
                <w:sz w:val="18"/>
                <w:szCs w:val="18"/>
                <w:lang w:eastAsia="sl-SI"/>
              </w:rPr>
            </w:pPr>
            <w:r w:rsidRPr="00300009">
              <w:rPr>
                <w:rFonts w:ascii="Arial" w:eastAsia="Times New Roman" w:hAnsi="Arial" w:cs="Arial"/>
                <w:color w:val="000000"/>
                <w:sz w:val="18"/>
                <w:szCs w:val="18"/>
                <w:lang w:eastAsia="sl-SI"/>
              </w:rPr>
              <w:t xml:space="preserve">Pogodbena vrednost </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3314D1B" w14:textId="77777777" w:rsidR="00F813B0" w:rsidRPr="00B60A1F" w:rsidRDefault="00F813B0" w:rsidP="00F813B0">
            <w:pPr>
              <w:spacing w:after="0" w:line="240" w:lineRule="auto"/>
              <w:jc w:val="center"/>
              <w:rPr>
                <w:rFonts w:ascii="Arial" w:eastAsia="Times New Roman" w:hAnsi="Arial" w:cs="Arial"/>
                <w:color w:val="000000"/>
                <w:sz w:val="18"/>
                <w:szCs w:val="18"/>
                <w:lang w:eastAsia="sl-SI"/>
              </w:rPr>
            </w:pPr>
            <w:r w:rsidRPr="00B60A1F">
              <w:rPr>
                <w:rFonts w:ascii="Arial" w:eastAsia="Times New Roman" w:hAnsi="Arial" w:cs="Arial"/>
                <w:color w:val="000000"/>
                <w:sz w:val="18"/>
                <w:szCs w:val="18"/>
                <w:lang w:eastAsia="sl-SI"/>
              </w:rPr>
              <w:t>Delež v št. istovrstnih naročil</w:t>
            </w:r>
          </w:p>
        </w:tc>
        <w:tc>
          <w:tcPr>
            <w:tcW w:w="165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567BDAE" w14:textId="77777777" w:rsidR="00F813B0" w:rsidRPr="00B60A1F" w:rsidRDefault="00F813B0" w:rsidP="00F813B0">
            <w:pPr>
              <w:spacing w:after="0" w:line="240" w:lineRule="auto"/>
              <w:jc w:val="center"/>
              <w:rPr>
                <w:rFonts w:ascii="Arial" w:eastAsia="Times New Roman" w:hAnsi="Arial" w:cs="Arial"/>
                <w:color w:val="000000"/>
                <w:sz w:val="18"/>
                <w:szCs w:val="18"/>
                <w:lang w:eastAsia="sl-SI"/>
              </w:rPr>
            </w:pPr>
            <w:r w:rsidRPr="00B60A1F">
              <w:rPr>
                <w:rFonts w:ascii="Arial" w:eastAsia="Times New Roman" w:hAnsi="Arial" w:cs="Arial"/>
                <w:color w:val="000000"/>
                <w:sz w:val="18"/>
                <w:szCs w:val="18"/>
                <w:lang w:eastAsia="sl-SI"/>
              </w:rPr>
              <w:t>Delež v vrednosti istovrstnih naročil</w:t>
            </w:r>
          </w:p>
        </w:tc>
      </w:tr>
      <w:tr w:rsidR="00B60A1F" w:rsidRPr="00BF7302" w14:paraId="2F3974DC" w14:textId="77777777" w:rsidTr="00B60A1F">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696EB51" w14:textId="77777777" w:rsidR="00B60A1F" w:rsidRPr="00300009" w:rsidRDefault="00B60A1F" w:rsidP="00B60A1F">
            <w:pPr>
              <w:spacing w:after="0" w:line="240" w:lineRule="auto"/>
              <w:rPr>
                <w:rFonts w:ascii="Arial" w:eastAsia="Times New Roman" w:hAnsi="Arial" w:cs="Arial"/>
                <w:color w:val="000000"/>
                <w:sz w:val="18"/>
                <w:szCs w:val="18"/>
                <w:lang w:eastAsia="sl-SI"/>
              </w:rPr>
            </w:pPr>
            <w:r w:rsidRPr="00300009">
              <w:rPr>
                <w:rFonts w:ascii="Arial" w:eastAsia="Times New Roman" w:hAnsi="Arial" w:cs="Arial"/>
                <w:color w:val="000000"/>
                <w:sz w:val="18"/>
                <w:szCs w:val="18"/>
                <w:lang w:eastAsia="sl-SI"/>
              </w:rPr>
              <w:t>Konkurenčni dialog</w:t>
            </w:r>
          </w:p>
        </w:tc>
        <w:tc>
          <w:tcPr>
            <w:tcW w:w="709" w:type="dxa"/>
            <w:tcBorders>
              <w:top w:val="nil"/>
              <w:left w:val="nil"/>
              <w:bottom w:val="single" w:sz="4" w:space="0" w:color="auto"/>
              <w:right w:val="single" w:sz="4" w:space="0" w:color="auto"/>
            </w:tcBorders>
            <w:shd w:val="clear" w:color="auto" w:fill="auto"/>
            <w:vAlign w:val="center"/>
            <w:hideMark/>
          </w:tcPr>
          <w:p w14:paraId="26CE6BA1" w14:textId="1C4E249B" w:rsidR="00B60A1F" w:rsidRPr="00300009" w:rsidRDefault="00B60A1F" w:rsidP="00B60A1F">
            <w:pPr>
              <w:spacing w:after="0" w:line="240" w:lineRule="auto"/>
              <w:jc w:val="right"/>
              <w:rPr>
                <w:rFonts w:ascii="Arial" w:eastAsia="Times New Roman" w:hAnsi="Arial" w:cs="Arial"/>
                <w:color w:val="000000"/>
                <w:sz w:val="18"/>
                <w:szCs w:val="18"/>
                <w:lang w:eastAsia="sl-SI"/>
              </w:rPr>
            </w:pPr>
            <w:r w:rsidRPr="00300009">
              <w:rPr>
                <w:rFonts w:ascii="Arial" w:eastAsia="Times New Roman" w:hAnsi="Arial" w:cs="Arial"/>
                <w:color w:val="000000"/>
                <w:sz w:val="18"/>
                <w:szCs w:val="18"/>
                <w:lang w:eastAsia="sl-SI"/>
              </w:rPr>
              <w:t>3</w:t>
            </w:r>
          </w:p>
        </w:tc>
        <w:tc>
          <w:tcPr>
            <w:tcW w:w="1292" w:type="dxa"/>
            <w:tcBorders>
              <w:top w:val="nil"/>
              <w:left w:val="nil"/>
              <w:bottom w:val="single" w:sz="4" w:space="0" w:color="auto"/>
              <w:right w:val="single" w:sz="4" w:space="0" w:color="auto"/>
            </w:tcBorders>
            <w:shd w:val="clear" w:color="auto" w:fill="auto"/>
            <w:vAlign w:val="center"/>
            <w:hideMark/>
          </w:tcPr>
          <w:p w14:paraId="5803B3DD" w14:textId="1276CC25" w:rsidR="00B60A1F" w:rsidRPr="00300009" w:rsidRDefault="00B60A1F" w:rsidP="00B60A1F">
            <w:pPr>
              <w:spacing w:after="0" w:line="240" w:lineRule="auto"/>
              <w:jc w:val="right"/>
              <w:rPr>
                <w:rFonts w:ascii="Arial" w:eastAsia="Times New Roman" w:hAnsi="Arial" w:cs="Arial"/>
                <w:color w:val="000000"/>
                <w:sz w:val="18"/>
                <w:szCs w:val="18"/>
                <w:lang w:eastAsia="sl-SI"/>
              </w:rPr>
            </w:pPr>
            <w:r w:rsidRPr="00300009">
              <w:rPr>
                <w:rFonts w:ascii="Arial" w:eastAsia="Times New Roman" w:hAnsi="Arial" w:cs="Arial"/>
                <w:color w:val="000000"/>
                <w:sz w:val="18"/>
                <w:szCs w:val="18"/>
                <w:lang w:eastAsia="sl-SI"/>
              </w:rPr>
              <w:t>4.347.532</w:t>
            </w:r>
          </w:p>
        </w:tc>
        <w:tc>
          <w:tcPr>
            <w:tcW w:w="1276" w:type="dxa"/>
            <w:tcBorders>
              <w:top w:val="nil"/>
              <w:left w:val="nil"/>
              <w:bottom w:val="single" w:sz="4" w:space="0" w:color="auto"/>
              <w:right w:val="single" w:sz="4" w:space="0" w:color="auto"/>
            </w:tcBorders>
            <w:shd w:val="clear" w:color="auto" w:fill="auto"/>
            <w:noWrap/>
            <w:vAlign w:val="center"/>
            <w:hideMark/>
          </w:tcPr>
          <w:p w14:paraId="2117FDDA" w14:textId="619D018D" w:rsidR="00B60A1F" w:rsidRPr="00B60A1F" w:rsidRDefault="00B60A1F" w:rsidP="00B60A1F">
            <w:pPr>
              <w:spacing w:after="0" w:line="240" w:lineRule="auto"/>
              <w:jc w:val="right"/>
              <w:rPr>
                <w:rFonts w:ascii="Arial" w:eastAsia="Times New Roman" w:hAnsi="Arial" w:cs="Arial"/>
                <w:color w:val="000000"/>
                <w:sz w:val="18"/>
                <w:szCs w:val="18"/>
                <w:lang w:eastAsia="sl-SI"/>
              </w:rPr>
            </w:pPr>
            <w:r w:rsidRPr="00B60A1F">
              <w:rPr>
                <w:rFonts w:ascii="Arial" w:eastAsia="Times New Roman" w:hAnsi="Arial" w:cs="Arial"/>
                <w:color w:val="000000"/>
                <w:sz w:val="18"/>
                <w:szCs w:val="18"/>
                <w:lang w:eastAsia="sl-SI"/>
              </w:rPr>
              <w:t>7,32 %</w:t>
            </w:r>
          </w:p>
        </w:tc>
        <w:tc>
          <w:tcPr>
            <w:tcW w:w="1655" w:type="dxa"/>
            <w:tcBorders>
              <w:top w:val="nil"/>
              <w:left w:val="nil"/>
              <w:bottom w:val="single" w:sz="4" w:space="0" w:color="auto"/>
              <w:right w:val="single" w:sz="4" w:space="0" w:color="auto"/>
            </w:tcBorders>
            <w:shd w:val="clear" w:color="auto" w:fill="auto"/>
            <w:noWrap/>
            <w:vAlign w:val="center"/>
            <w:hideMark/>
          </w:tcPr>
          <w:p w14:paraId="3072627F" w14:textId="5191CE1E" w:rsidR="00B60A1F" w:rsidRPr="00B60A1F" w:rsidRDefault="00B60A1F" w:rsidP="00B60A1F">
            <w:pPr>
              <w:spacing w:after="0" w:line="240" w:lineRule="auto"/>
              <w:jc w:val="right"/>
              <w:rPr>
                <w:rFonts w:ascii="Arial" w:eastAsia="Times New Roman" w:hAnsi="Arial" w:cs="Arial"/>
                <w:color w:val="000000"/>
                <w:sz w:val="18"/>
                <w:szCs w:val="18"/>
                <w:lang w:eastAsia="sl-SI"/>
              </w:rPr>
            </w:pPr>
            <w:r w:rsidRPr="00B60A1F">
              <w:rPr>
                <w:rFonts w:ascii="Arial" w:eastAsia="Times New Roman" w:hAnsi="Arial" w:cs="Arial"/>
                <w:color w:val="000000"/>
                <w:sz w:val="18"/>
                <w:szCs w:val="18"/>
                <w:lang w:eastAsia="sl-SI"/>
              </w:rPr>
              <w:t>8,91 %</w:t>
            </w:r>
          </w:p>
        </w:tc>
      </w:tr>
      <w:tr w:rsidR="00B60A1F" w:rsidRPr="00BF7302" w14:paraId="7159F4FC" w14:textId="77777777" w:rsidTr="00B60A1F">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A44E3C7" w14:textId="77777777" w:rsidR="00B60A1F" w:rsidRPr="00300009" w:rsidRDefault="00B60A1F" w:rsidP="00B60A1F">
            <w:pPr>
              <w:spacing w:after="0" w:line="240" w:lineRule="auto"/>
              <w:rPr>
                <w:rFonts w:ascii="Arial" w:eastAsia="Times New Roman" w:hAnsi="Arial" w:cs="Arial"/>
                <w:color w:val="000000"/>
                <w:sz w:val="18"/>
                <w:szCs w:val="18"/>
                <w:lang w:eastAsia="sl-SI"/>
              </w:rPr>
            </w:pPr>
            <w:r w:rsidRPr="00300009">
              <w:rPr>
                <w:rFonts w:ascii="Arial" w:eastAsia="Times New Roman" w:hAnsi="Arial" w:cs="Arial"/>
                <w:color w:val="000000"/>
                <w:sz w:val="18"/>
                <w:szCs w:val="18"/>
                <w:lang w:eastAsia="sl-SI"/>
              </w:rPr>
              <w:t>Konkurenčni postopek s pogajanji</w:t>
            </w:r>
          </w:p>
        </w:tc>
        <w:tc>
          <w:tcPr>
            <w:tcW w:w="709" w:type="dxa"/>
            <w:tcBorders>
              <w:top w:val="nil"/>
              <w:left w:val="nil"/>
              <w:bottom w:val="single" w:sz="4" w:space="0" w:color="auto"/>
              <w:right w:val="single" w:sz="4" w:space="0" w:color="auto"/>
            </w:tcBorders>
            <w:shd w:val="clear" w:color="auto" w:fill="auto"/>
            <w:vAlign w:val="center"/>
            <w:hideMark/>
          </w:tcPr>
          <w:p w14:paraId="4FE32A8D" w14:textId="0C31CEB4" w:rsidR="00B60A1F" w:rsidRPr="00300009" w:rsidRDefault="00B60A1F" w:rsidP="00B60A1F">
            <w:pPr>
              <w:spacing w:after="0" w:line="240" w:lineRule="auto"/>
              <w:jc w:val="right"/>
              <w:rPr>
                <w:rFonts w:ascii="Arial" w:eastAsia="Times New Roman" w:hAnsi="Arial" w:cs="Arial"/>
                <w:color w:val="000000"/>
                <w:sz w:val="18"/>
                <w:szCs w:val="18"/>
                <w:lang w:eastAsia="sl-SI"/>
              </w:rPr>
            </w:pPr>
            <w:r w:rsidRPr="00300009">
              <w:rPr>
                <w:rFonts w:ascii="Arial" w:eastAsia="Times New Roman" w:hAnsi="Arial" w:cs="Arial"/>
                <w:color w:val="000000"/>
                <w:sz w:val="18"/>
                <w:szCs w:val="18"/>
                <w:lang w:eastAsia="sl-SI"/>
              </w:rPr>
              <w:t>38</w:t>
            </w:r>
          </w:p>
        </w:tc>
        <w:tc>
          <w:tcPr>
            <w:tcW w:w="1292" w:type="dxa"/>
            <w:tcBorders>
              <w:top w:val="nil"/>
              <w:left w:val="nil"/>
              <w:bottom w:val="single" w:sz="4" w:space="0" w:color="auto"/>
              <w:right w:val="single" w:sz="4" w:space="0" w:color="auto"/>
            </w:tcBorders>
            <w:shd w:val="clear" w:color="auto" w:fill="auto"/>
            <w:vAlign w:val="center"/>
            <w:hideMark/>
          </w:tcPr>
          <w:p w14:paraId="58E43438" w14:textId="6827BB1C" w:rsidR="00B60A1F" w:rsidRPr="00300009" w:rsidRDefault="00B60A1F" w:rsidP="00B60A1F">
            <w:pPr>
              <w:spacing w:after="0" w:line="240" w:lineRule="auto"/>
              <w:jc w:val="right"/>
              <w:rPr>
                <w:rFonts w:ascii="Arial" w:eastAsia="Times New Roman" w:hAnsi="Arial" w:cs="Arial"/>
                <w:color w:val="000000"/>
                <w:sz w:val="18"/>
                <w:szCs w:val="18"/>
                <w:lang w:eastAsia="sl-SI"/>
              </w:rPr>
            </w:pPr>
            <w:r w:rsidRPr="00300009">
              <w:rPr>
                <w:rFonts w:ascii="Arial" w:eastAsia="Times New Roman" w:hAnsi="Arial" w:cs="Arial"/>
                <w:color w:val="000000"/>
                <w:sz w:val="18"/>
                <w:szCs w:val="18"/>
                <w:lang w:eastAsia="sl-SI"/>
              </w:rPr>
              <w:t>194.952.222</w:t>
            </w:r>
          </w:p>
        </w:tc>
        <w:tc>
          <w:tcPr>
            <w:tcW w:w="1276" w:type="dxa"/>
            <w:tcBorders>
              <w:top w:val="nil"/>
              <w:left w:val="nil"/>
              <w:bottom w:val="single" w:sz="4" w:space="0" w:color="auto"/>
              <w:right w:val="single" w:sz="4" w:space="0" w:color="auto"/>
            </w:tcBorders>
            <w:shd w:val="clear" w:color="auto" w:fill="auto"/>
            <w:noWrap/>
            <w:vAlign w:val="center"/>
            <w:hideMark/>
          </w:tcPr>
          <w:p w14:paraId="45B42FBF" w14:textId="67A94839" w:rsidR="00B60A1F" w:rsidRPr="00B60A1F" w:rsidRDefault="00B60A1F" w:rsidP="00B60A1F">
            <w:pPr>
              <w:spacing w:after="0" w:line="240" w:lineRule="auto"/>
              <w:jc w:val="right"/>
              <w:rPr>
                <w:rFonts w:ascii="Arial" w:eastAsia="Times New Roman" w:hAnsi="Arial" w:cs="Arial"/>
                <w:color w:val="000000"/>
                <w:sz w:val="18"/>
                <w:szCs w:val="18"/>
                <w:lang w:eastAsia="sl-SI"/>
              </w:rPr>
            </w:pPr>
            <w:r w:rsidRPr="00B60A1F">
              <w:rPr>
                <w:rFonts w:ascii="Arial" w:eastAsia="Times New Roman" w:hAnsi="Arial" w:cs="Arial"/>
                <w:color w:val="000000"/>
                <w:sz w:val="18"/>
                <w:szCs w:val="18"/>
                <w:lang w:eastAsia="sl-SI"/>
              </w:rPr>
              <w:t>15,90 %</w:t>
            </w:r>
          </w:p>
        </w:tc>
        <w:tc>
          <w:tcPr>
            <w:tcW w:w="1655" w:type="dxa"/>
            <w:tcBorders>
              <w:top w:val="nil"/>
              <w:left w:val="nil"/>
              <w:bottom w:val="single" w:sz="4" w:space="0" w:color="auto"/>
              <w:right w:val="single" w:sz="4" w:space="0" w:color="auto"/>
            </w:tcBorders>
            <w:shd w:val="clear" w:color="auto" w:fill="auto"/>
            <w:noWrap/>
            <w:vAlign w:val="center"/>
            <w:hideMark/>
          </w:tcPr>
          <w:p w14:paraId="2C987F57" w14:textId="3A45A9AE" w:rsidR="00B60A1F" w:rsidRPr="00B60A1F" w:rsidRDefault="00B60A1F" w:rsidP="00B60A1F">
            <w:pPr>
              <w:spacing w:after="0" w:line="240" w:lineRule="auto"/>
              <w:jc w:val="right"/>
              <w:rPr>
                <w:rFonts w:ascii="Arial" w:eastAsia="Times New Roman" w:hAnsi="Arial" w:cs="Arial"/>
                <w:color w:val="000000"/>
                <w:sz w:val="18"/>
                <w:szCs w:val="18"/>
                <w:lang w:eastAsia="sl-SI"/>
              </w:rPr>
            </w:pPr>
            <w:r w:rsidRPr="00B60A1F">
              <w:rPr>
                <w:rFonts w:ascii="Arial" w:eastAsia="Times New Roman" w:hAnsi="Arial" w:cs="Arial"/>
                <w:color w:val="000000"/>
                <w:sz w:val="18"/>
                <w:szCs w:val="18"/>
                <w:lang w:eastAsia="sl-SI"/>
              </w:rPr>
              <w:t>47,65 %</w:t>
            </w:r>
          </w:p>
        </w:tc>
      </w:tr>
      <w:tr w:rsidR="00B60A1F" w:rsidRPr="00BF7302" w14:paraId="14D23CC3" w14:textId="77777777" w:rsidTr="00B60A1F">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23185339" w14:textId="77777777" w:rsidR="00B60A1F" w:rsidRPr="00300009" w:rsidRDefault="00B60A1F" w:rsidP="00B60A1F">
            <w:pPr>
              <w:spacing w:after="0" w:line="240" w:lineRule="auto"/>
              <w:rPr>
                <w:rFonts w:ascii="Arial" w:eastAsia="Times New Roman" w:hAnsi="Arial" w:cs="Arial"/>
                <w:color w:val="000000"/>
                <w:sz w:val="18"/>
                <w:szCs w:val="18"/>
                <w:lang w:eastAsia="sl-SI"/>
              </w:rPr>
            </w:pPr>
            <w:r w:rsidRPr="00300009">
              <w:rPr>
                <w:rFonts w:ascii="Arial" w:eastAsia="Times New Roman" w:hAnsi="Arial" w:cs="Arial"/>
                <w:color w:val="000000"/>
                <w:sz w:val="18"/>
                <w:szCs w:val="18"/>
                <w:lang w:eastAsia="sl-SI"/>
              </w:rPr>
              <w:t>Odprti postopek</w:t>
            </w:r>
          </w:p>
        </w:tc>
        <w:tc>
          <w:tcPr>
            <w:tcW w:w="709" w:type="dxa"/>
            <w:tcBorders>
              <w:top w:val="nil"/>
              <w:left w:val="nil"/>
              <w:bottom w:val="single" w:sz="4" w:space="0" w:color="auto"/>
              <w:right w:val="single" w:sz="4" w:space="0" w:color="auto"/>
            </w:tcBorders>
            <w:shd w:val="clear" w:color="auto" w:fill="auto"/>
            <w:vAlign w:val="center"/>
            <w:hideMark/>
          </w:tcPr>
          <w:p w14:paraId="773D65EE" w14:textId="1B6F5AEF" w:rsidR="00B60A1F" w:rsidRPr="00300009" w:rsidRDefault="00B60A1F" w:rsidP="00B60A1F">
            <w:pPr>
              <w:spacing w:after="0" w:line="240" w:lineRule="auto"/>
              <w:jc w:val="right"/>
              <w:rPr>
                <w:rFonts w:ascii="Arial" w:eastAsia="Times New Roman" w:hAnsi="Arial" w:cs="Arial"/>
                <w:color w:val="000000"/>
                <w:sz w:val="18"/>
                <w:szCs w:val="18"/>
                <w:lang w:eastAsia="sl-SI"/>
              </w:rPr>
            </w:pPr>
            <w:r w:rsidRPr="00300009">
              <w:rPr>
                <w:rFonts w:ascii="Arial" w:eastAsia="Times New Roman" w:hAnsi="Arial" w:cs="Arial"/>
                <w:color w:val="000000"/>
                <w:sz w:val="18"/>
                <w:szCs w:val="18"/>
                <w:lang w:eastAsia="sl-SI"/>
              </w:rPr>
              <w:t>570</w:t>
            </w:r>
          </w:p>
        </w:tc>
        <w:tc>
          <w:tcPr>
            <w:tcW w:w="1292" w:type="dxa"/>
            <w:tcBorders>
              <w:top w:val="nil"/>
              <w:left w:val="nil"/>
              <w:bottom w:val="single" w:sz="4" w:space="0" w:color="auto"/>
              <w:right w:val="single" w:sz="4" w:space="0" w:color="auto"/>
            </w:tcBorders>
            <w:shd w:val="clear" w:color="auto" w:fill="auto"/>
            <w:vAlign w:val="center"/>
            <w:hideMark/>
          </w:tcPr>
          <w:p w14:paraId="097C4C75" w14:textId="1746A198" w:rsidR="00B60A1F" w:rsidRPr="00300009" w:rsidRDefault="00B60A1F" w:rsidP="00B60A1F">
            <w:pPr>
              <w:spacing w:after="0" w:line="240" w:lineRule="auto"/>
              <w:jc w:val="right"/>
              <w:rPr>
                <w:rFonts w:ascii="Arial" w:eastAsia="Times New Roman" w:hAnsi="Arial" w:cs="Arial"/>
                <w:color w:val="000000"/>
                <w:sz w:val="18"/>
                <w:szCs w:val="18"/>
                <w:lang w:eastAsia="sl-SI"/>
              </w:rPr>
            </w:pPr>
            <w:r w:rsidRPr="00300009">
              <w:rPr>
                <w:rFonts w:ascii="Arial" w:eastAsia="Times New Roman" w:hAnsi="Arial" w:cs="Arial"/>
                <w:color w:val="000000"/>
                <w:sz w:val="18"/>
                <w:szCs w:val="18"/>
                <w:lang w:eastAsia="sl-SI"/>
              </w:rPr>
              <w:t>583.543.888</w:t>
            </w:r>
          </w:p>
        </w:tc>
        <w:tc>
          <w:tcPr>
            <w:tcW w:w="1276" w:type="dxa"/>
            <w:tcBorders>
              <w:top w:val="nil"/>
              <w:left w:val="nil"/>
              <w:bottom w:val="single" w:sz="4" w:space="0" w:color="auto"/>
              <w:right w:val="single" w:sz="4" w:space="0" w:color="auto"/>
            </w:tcBorders>
            <w:shd w:val="clear" w:color="auto" w:fill="auto"/>
            <w:noWrap/>
            <w:vAlign w:val="center"/>
            <w:hideMark/>
          </w:tcPr>
          <w:p w14:paraId="008DD4B0" w14:textId="03959CE2" w:rsidR="00B60A1F" w:rsidRPr="00B60A1F" w:rsidRDefault="00B60A1F" w:rsidP="00B60A1F">
            <w:pPr>
              <w:spacing w:after="0" w:line="240" w:lineRule="auto"/>
              <w:jc w:val="right"/>
              <w:rPr>
                <w:rFonts w:ascii="Arial" w:eastAsia="Times New Roman" w:hAnsi="Arial" w:cs="Arial"/>
                <w:color w:val="000000"/>
                <w:sz w:val="18"/>
                <w:szCs w:val="18"/>
                <w:lang w:eastAsia="sl-SI"/>
              </w:rPr>
            </w:pPr>
            <w:r w:rsidRPr="00B60A1F">
              <w:rPr>
                <w:rFonts w:ascii="Arial" w:eastAsia="Times New Roman" w:hAnsi="Arial" w:cs="Arial"/>
                <w:color w:val="000000"/>
                <w:sz w:val="18"/>
                <w:szCs w:val="18"/>
                <w:lang w:eastAsia="sl-SI"/>
              </w:rPr>
              <w:t>5,77 %</w:t>
            </w:r>
          </w:p>
        </w:tc>
        <w:tc>
          <w:tcPr>
            <w:tcW w:w="1655" w:type="dxa"/>
            <w:tcBorders>
              <w:top w:val="nil"/>
              <w:left w:val="nil"/>
              <w:bottom w:val="single" w:sz="4" w:space="0" w:color="auto"/>
              <w:right w:val="single" w:sz="4" w:space="0" w:color="auto"/>
            </w:tcBorders>
            <w:shd w:val="clear" w:color="auto" w:fill="auto"/>
            <w:noWrap/>
            <w:vAlign w:val="center"/>
            <w:hideMark/>
          </w:tcPr>
          <w:p w14:paraId="5C250F8B" w14:textId="0D53E726" w:rsidR="00B60A1F" w:rsidRPr="00B60A1F" w:rsidRDefault="00B60A1F" w:rsidP="00B60A1F">
            <w:pPr>
              <w:spacing w:after="0" w:line="240" w:lineRule="auto"/>
              <w:jc w:val="right"/>
              <w:rPr>
                <w:rFonts w:ascii="Arial" w:eastAsia="Times New Roman" w:hAnsi="Arial" w:cs="Arial"/>
                <w:color w:val="000000"/>
                <w:sz w:val="18"/>
                <w:szCs w:val="18"/>
                <w:lang w:eastAsia="sl-SI"/>
              </w:rPr>
            </w:pPr>
            <w:r w:rsidRPr="00B60A1F">
              <w:rPr>
                <w:rFonts w:ascii="Arial" w:eastAsia="Times New Roman" w:hAnsi="Arial" w:cs="Arial"/>
                <w:color w:val="000000"/>
                <w:sz w:val="18"/>
                <w:szCs w:val="18"/>
                <w:lang w:eastAsia="sl-SI"/>
              </w:rPr>
              <w:t>17,02 %</w:t>
            </w:r>
          </w:p>
        </w:tc>
      </w:tr>
      <w:tr w:rsidR="00B60A1F" w:rsidRPr="00BF7302" w14:paraId="05E4DEDD" w14:textId="77777777" w:rsidTr="00B60A1F">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6071CE0B" w14:textId="77777777" w:rsidR="00B60A1F" w:rsidRPr="00300009" w:rsidRDefault="00B60A1F" w:rsidP="00B60A1F">
            <w:pPr>
              <w:spacing w:after="0" w:line="240" w:lineRule="auto"/>
              <w:rPr>
                <w:rFonts w:ascii="Arial" w:eastAsia="Times New Roman" w:hAnsi="Arial" w:cs="Arial"/>
                <w:color w:val="000000"/>
                <w:sz w:val="18"/>
                <w:szCs w:val="18"/>
                <w:lang w:eastAsia="sl-SI"/>
              </w:rPr>
            </w:pPr>
            <w:r w:rsidRPr="00300009">
              <w:rPr>
                <w:rFonts w:ascii="Arial" w:eastAsia="Times New Roman" w:hAnsi="Arial" w:cs="Arial"/>
                <w:color w:val="000000"/>
                <w:sz w:val="18"/>
                <w:szCs w:val="18"/>
                <w:lang w:eastAsia="sl-SI"/>
              </w:rPr>
              <w:t>Omejeni postopek</w:t>
            </w:r>
          </w:p>
        </w:tc>
        <w:tc>
          <w:tcPr>
            <w:tcW w:w="709" w:type="dxa"/>
            <w:tcBorders>
              <w:top w:val="nil"/>
              <w:left w:val="nil"/>
              <w:bottom w:val="single" w:sz="4" w:space="0" w:color="auto"/>
              <w:right w:val="single" w:sz="4" w:space="0" w:color="auto"/>
            </w:tcBorders>
            <w:shd w:val="clear" w:color="auto" w:fill="auto"/>
            <w:vAlign w:val="center"/>
            <w:hideMark/>
          </w:tcPr>
          <w:p w14:paraId="08FA6799" w14:textId="4583B8D2" w:rsidR="00B60A1F" w:rsidRPr="00300009" w:rsidRDefault="00B60A1F" w:rsidP="00B60A1F">
            <w:pPr>
              <w:spacing w:after="0" w:line="240" w:lineRule="auto"/>
              <w:jc w:val="right"/>
              <w:rPr>
                <w:rFonts w:ascii="Arial" w:eastAsia="Times New Roman" w:hAnsi="Arial" w:cs="Arial"/>
                <w:color w:val="000000"/>
                <w:sz w:val="18"/>
                <w:szCs w:val="18"/>
                <w:lang w:eastAsia="sl-SI"/>
              </w:rPr>
            </w:pPr>
            <w:r w:rsidRPr="00300009">
              <w:rPr>
                <w:rFonts w:ascii="Arial" w:eastAsia="Times New Roman" w:hAnsi="Arial" w:cs="Arial"/>
                <w:color w:val="000000"/>
                <w:sz w:val="18"/>
                <w:szCs w:val="18"/>
                <w:lang w:eastAsia="sl-SI"/>
              </w:rPr>
              <w:t>1</w:t>
            </w:r>
          </w:p>
        </w:tc>
        <w:tc>
          <w:tcPr>
            <w:tcW w:w="1292" w:type="dxa"/>
            <w:tcBorders>
              <w:top w:val="nil"/>
              <w:left w:val="nil"/>
              <w:bottom w:val="single" w:sz="4" w:space="0" w:color="auto"/>
              <w:right w:val="single" w:sz="4" w:space="0" w:color="auto"/>
            </w:tcBorders>
            <w:shd w:val="clear" w:color="auto" w:fill="auto"/>
            <w:vAlign w:val="center"/>
            <w:hideMark/>
          </w:tcPr>
          <w:p w14:paraId="096505C4" w14:textId="271162E4" w:rsidR="00B60A1F" w:rsidRPr="00300009" w:rsidRDefault="00B60A1F" w:rsidP="00B60A1F">
            <w:pPr>
              <w:spacing w:after="0" w:line="240" w:lineRule="auto"/>
              <w:jc w:val="right"/>
              <w:rPr>
                <w:rFonts w:ascii="Arial" w:eastAsia="Times New Roman" w:hAnsi="Arial" w:cs="Arial"/>
                <w:color w:val="000000"/>
                <w:sz w:val="18"/>
                <w:szCs w:val="18"/>
                <w:lang w:eastAsia="sl-SI"/>
              </w:rPr>
            </w:pPr>
            <w:r w:rsidRPr="00300009">
              <w:rPr>
                <w:rFonts w:ascii="Arial" w:eastAsia="Times New Roman" w:hAnsi="Arial" w:cs="Arial"/>
                <w:color w:val="000000"/>
                <w:sz w:val="18"/>
                <w:szCs w:val="18"/>
                <w:lang w:eastAsia="sl-SI"/>
              </w:rPr>
              <w:t>2.537.997</w:t>
            </w:r>
          </w:p>
        </w:tc>
        <w:tc>
          <w:tcPr>
            <w:tcW w:w="1276" w:type="dxa"/>
            <w:tcBorders>
              <w:top w:val="nil"/>
              <w:left w:val="nil"/>
              <w:bottom w:val="single" w:sz="4" w:space="0" w:color="auto"/>
              <w:right w:val="single" w:sz="4" w:space="0" w:color="auto"/>
            </w:tcBorders>
            <w:shd w:val="clear" w:color="auto" w:fill="auto"/>
            <w:noWrap/>
            <w:vAlign w:val="center"/>
            <w:hideMark/>
          </w:tcPr>
          <w:p w14:paraId="039AF7FD" w14:textId="6CB13184" w:rsidR="00B60A1F" w:rsidRPr="00B60A1F" w:rsidRDefault="00B60A1F" w:rsidP="00B60A1F">
            <w:pPr>
              <w:spacing w:after="0" w:line="240" w:lineRule="auto"/>
              <w:jc w:val="right"/>
              <w:rPr>
                <w:rFonts w:ascii="Arial" w:eastAsia="Times New Roman" w:hAnsi="Arial" w:cs="Arial"/>
                <w:color w:val="000000"/>
                <w:sz w:val="18"/>
                <w:szCs w:val="18"/>
                <w:lang w:eastAsia="sl-SI"/>
              </w:rPr>
            </w:pPr>
            <w:r w:rsidRPr="00B60A1F">
              <w:rPr>
                <w:rFonts w:ascii="Arial" w:eastAsia="Times New Roman" w:hAnsi="Arial" w:cs="Arial"/>
                <w:color w:val="000000"/>
                <w:sz w:val="18"/>
                <w:szCs w:val="18"/>
                <w:lang w:eastAsia="sl-SI"/>
              </w:rPr>
              <w:t>1,69 %</w:t>
            </w:r>
          </w:p>
        </w:tc>
        <w:tc>
          <w:tcPr>
            <w:tcW w:w="1655" w:type="dxa"/>
            <w:tcBorders>
              <w:top w:val="nil"/>
              <w:left w:val="nil"/>
              <w:bottom w:val="single" w:sz="4" w:space="0" w:color="auto"/>
              <w:right w:val="single" w:sz="4" w:space="0" w:color="auto"/>
            </w:tcBorders>
            <w:shd w:val="clear" w:color="auto" w:fill="auto"/>
            <w:noWrap/>
            <w:vAlign w:val="center"/>
            <w:hideMark/>
          </w:tcPr>
          <w:p w14:paraId="6B2858D5" w14:textId="0954442A" w:rsidR="00B60A1F" w:rsidRPr="00B60A1F" w:rsidRDefault="00B60A1F" w:rsidP="00B60A1F">
            <w:pPr>
              <w:spacing w:after="0" w:line="240" w:lineRule="auto"/>
              <w:jc w:val="right"/>
              <w:rPr>
                <w:rFonts w:ascii="Arial" w:eastAsia="Times New Roman" w:hAnsi="Arial" w:cs="Arial"/>
                <w:color w:val="000000"/>
                <w:sz w:val="18"/>
                <w:szCs w:val="18"/>
                <w:lang w:eastAsia="sl-SI"/>
              </w:rPr>
            </w:pPr>
            <w:r w:rsidRPr="00B60A1F">
              <w:rPr>
                <w:rFonts w:ascii="Arial" w:eastAsia="Times New Roman" w:hAnsi="Arial" w:cs="Arial"/>
                <w:color w:val="000000"/>
                <w:sz w:val="18"/>
                <w:szCs w:val="18"/>
                <w:lang w:eastAsia="sl-SI"/>
              </w:rPr>
              <w:t>3,13 %</w:t>
            </w:r>
          </w:p>
        </w:tc>
      </w:tr>
      <w:tr w:rsidR="00B60A1F" w:rsidRPr="00BF7302" w14:paraId="66640810" w14:textId="77777777" w:rsidTr="00B60A1F">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384684F3" w14:textId="77777777" w:rsidR="00B60A1F" w:rsidRPr="00300009" w:rsidRDefault="00B60A1F" w:rsidP="00B60A1F">
            <w:pPr>
              <w:spacing w:after="0" w:line="240" w:lineRule="auto"/>
              <w:rPr>
                <w:rFonts w:ascii="Arial" w:eastAsia="Times New Roman" w:hAnsi="Arial" w:cs="Arial"/>
                <w:color w:val="000000"/>
                <w:sz w:val="18"/>
                <w:szCs w:val="18"/>
                <w:lang w:eastAsia="sl-SI"/>
              </w:rPr>
            </w:pPr>
            <w:r w:rsidRPr="00300009">
              <w:rPr>
                <w:rFonts w:ascii="Arial" w:eastAsia="Times New Roman" w:hAnsi="Arial" w:cs="Arial"/>
                <w:color w:val="000000"/>
                <w:sz w:val="18"/>
                <w:szCs w:val="18"/>
                <w:lang w:eastAsia="sl-SI"/>
              </w:rPr>
              <w:t>Postopek naročila male vrednosti</w:t>
            </w:r>
          </w:p>
        </w:tc>
        <w:tc>
          <w:tcPr>
            <w:tcW w:w="709" w:type="dxa"/>
            <w:tcBorders>
              <w:top w:val="nil"/>
              <w:left w:val="nil"/>
              <w:bottom w:val="single" w:sz="4" w:space="0" w:color="auto"/>
              <w:right w:val="single" w:sz="4" w:space="0" w:color="auto"/>
            </w:tcBorders>
            <w:shd w:val="clear" w:color="auto" w:fill="auto"/>
            <w:vAlign w:val="center"/>
            <w:hideMark/>
          </w:tcPr>
          <w:p w14:paraId="04672EC1" w14:textId="119A086C" w:rsidR="00B60A1F" w:rsidRPr="00300009" w:rsidRDefault="00B60A1F" w:rsidP="00B60A1F">
            <w:pPr>
              <w:spacing w:after="0" w:line="240" w:lineRule="auto"/>
              <w:jc w:val="right"/>
              <w:rPr>
                <w:rFonts w:ascii="Arial" w:eastAsia="Times New Roman" w:hAnsi="Arial" w:cs="Arial"/>
                <w:color w:val="000000"/>
                <w:sz w:val="18"/>
                <w:szCs w:val="18"/>
                <w:lang w:eastAsia="sl-SI"/>
              </w:rPr>
            </w:pPr>
            <w:r w:rsidRPr="00300009">
              <w:rPr>
                <w:rFonts w:ascii="Arial" w:eastAsia="Times New Roman" w:hAnsi="Arial" w:cs="Arial"/>
                <w:color w:val="000000"/>
                <w:sz w:val="18"/>
                <w:szCs w:val="18"/>
                <w:lang w:eastAsia="sl-SI"/>
              </w:rPr>
              <w:t>486</w:t>
            </w:r>
          </w:p>
        </w:tc>
        <w:tc>
          <w:tcPr>
            <w:tcW w:w="1292" w:type="dxa"/>
            <w:tcBorders>
              <w:top w:val="nil"/>
              <w:left w:val="nil"/>
              <w:bottom w:val="single" w:sz="4" w:space="0" w:color="auto"/>
              <w:right w:val="single" w:sz="4" w:space="0" w:color="auto"/>
            </w:tcBorders>
            <w:shd w:val="clear" w:color="auto" w:fill="auto"/>
            <w:vAlign w:val="center"/>
            <w:hideMark/>
          </w:tcPr>
          <w:p w14:paraId="057958BD" w14:textId="423820B3" w:rsidR="00B60A1F" w:rsidRPr="00300009" w:rsidRDefault="00B60A1F" w:rsidP="00B60A1F">
            <w:pPr>
              <w:spacing w:after="0" w:line="240" w:lineRule="auto"/>
              <w:jc w:val="right"/>
              <w:rPr>
                <w:rFonts w:ascii="Arial" w:eastAsia="Times New Roman" w:hAnsi="Arial" w:cs="Arial"/>
                <w:color w:val="000000"/>
                <w:sz w:val="18"/>
                <w:szCs w:val="18"/>
                <w:lang w:eastAsia="sl-SI"/>
              </w:rPr>
            </w:pPr>
            <w:r w:rsidRPr="00300009">
              <w:rPr>
                <w:rFonts w:ascii="Arial" w:eastAsia="Times New Roman" w:hAnsi="Arial" w:cs="Arial"/>
                <w:color w:val="000000"/>
                <w:sz w:val="18"/>
                <w:szCs w:val="18"/>
                <w:lang w:eastAsia="sl-SI"/>
              </w:rPr>
              <w:t>182.743.240</w:t>
            </w:r>
          </w:p>
        </w:tc>
        <w:tc>
          <w:tcPr>
            <w:tcW w:w="1276" w:type="dxa"/>
            <w:tcBorders>
              <w:top w:val="nil"/>
              <w:left w:val="nil"/>
              <w:bottom w:val="single" w:sz="4" w:space="0" w:color="auto"/>
              <w:right w:val="single" w:sz="4" w:space="0" w:color="auto"/>
            </w:tcBorders>
            <w:shd w:val="clear" w:color="auto" w:fill="auto"/>
            <w:noWrap/>
            <w:vAlign w:val="center"/>
            <w:hideMark/>
          </w:tcPr>
          <w:p w14:paraId="1B4E0E19" w14:textId="074911AC" w:rsidR="00B60A1F" w:rsidRPr="00B60A1F" w:rsidRDefault="00B60A1F" w:rsidP="00B60A1F">
            <w:pPr>
              <w:spacing w:after="0" w:line="240" w:lineRule="auto"/>
              <w:jc w:val="right"/>
              <w:rPr>
                <w:rFonts w:ascii="Arial" w:eastAsia="Times New Roman" w:hAnsi="Arial" w:cs="Arial"/>
                <w:color w:val="000000"/>
                <w:sz w:val="18"/>
                <w:szCs w:val="18"/>
                <w:lang w:eastAsia="sl-SI"/>
              </w:rPr>
            </w:pPr>
            <w:r w:rsidRPr="00B60A1F">
              <w:rPr>
                <w:rFonts w:ascii="Arial" w:eastAsia="Times New Roman" w:hAnsi="Arial" w:cs="Arial"/>
                <w:color w:val="000000"/>
                <w:sz w:val="18"/>
                <w:szCs w:val="18"/>
                <w:lang w:eastAsia="sl-SI"/>
              </w:rPr>
              <w:t>8,18 %</w:t>
            </w:r>
          </w:p>
        </w:tc>
        <w:tc>
          <w:tcPr>
            <w:tcW w:w="1655" w:type="dxa"/>
            <w:tcBorders>
              <w:top w:val="nil"/>
              <w:left w:val="nil"/>
              <w:bottom w:val="single" w:sz="4" w:space="0" w:color="auto"/>
              <w:right w:val="single" w:sz="4" w:space="0" w:color="auto"/>
            </w:tcBorders>
            <w:shd w:val="clear" w:color="auto" w:fill="auto"/>
            <w:noWrap/>
            <w:vAlign w:val="center"/>
            <w:hideMark/>
          </w:tcPr>
          <w:p w14:paraId="1C7F9AD8" w14:textId="074F2592" w:rsidR="00B60A1F" w:rsidRPr="00B60A1F" w:rsidRDefault="00B60A1F" w:rsidP="00B60A1F">
            <w:pPr>
              <w:spacing w:after="0" w:line="240" w:lineRule="auto"/>
              <w:jc w:val="right"/>
              <w:rPr>
                <w:rFonts w:ascii="Arial" w:eastAsia="Times New Roman" w:hAnsi="Arial" w:cs="Arial"/>
                <w:color w:val="000000"/>
                <w:sz w:val="18"/>
                <w:szCs w:val="18"/>
                <w:lang w:eastAsia="sl-SI"/>
              </w:rPr>
            </w:pPr>
            <w:r w:rsidRPr="00B60A1F">
              <w:rPr>
                <w:rFonts w:ascii="Arial" w:eastAsia="Times New Roman" w:hAnsi="Arial" w:cs="Arial"/>
                <w:color w:val="000000"/>
                <w:sz w:val="18"/>
                <w:szCs w:val="18"/>
                <w:lang w:eastAsia="sl-SI"/>
              </w:rPr>
              <w:t>21,18 %</w:t>
            </w:r>
          </w:p>
        </w:tc>
      </w:tr>
      <w:tr w:rsidR="00B60A1F" w:rsidRPr="00BF7302" w14:paraId="3341BD44" w14:textId="77777777" w:rsidTr="00B60A1F">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2696457A" w14:textId="77777777" w:rsidR="00B60A1F" w:rsidRPr="00300009" w:rsidRDefault="00B60A1F" w:rsidP="00B60A1F">
            <w:pPr>
              <w:spacing w:after="0" w:line="240" w:lineRule="auto"/>
              <w:rPr>
                <w:rFonts w:ascii="Arial" w:eastAsia="Times New Roman" w:hAnsi="Arial" w:cs="Arial"/>
                <w:color w:val="000000"/>
                <w:sz w:val="18"/>
                <w:szCs w:val="18"/>
                <w:lang w:eastAsia="sl-SI"/>
              </w:rPr>
            </w:pPr>
            <w:r w:rsidRPr="00300009">
              <w:rPr>
                <w:rFonts w:ascii="Arial" w:eastAsia="Times New Roman" w:hAnsi="Arial" w:cs="Arial"/>
                <w:color w:val="000000"/>
                <w:sz w:val="18"/>
                <w:szCs w:val="18"/>
                <w:lang w:eastAsia="sl-SI"/>
              </w:rPr>
              <w:t>Postopek s pogajanji brez predhodne objave</w:t>
            </w:r>
          </w:p>
        </w:tc>
        <w:tc>
          <w:tcPr>
            <w:tcW w:w="709" w:type="dxa"/>
            <w:tcBorders>
              <w:top w:val="nil"/>
              <w:left w:val="nil"/>
              <w:bottom w:val="single" w:sz="4" w:space="0" w:color="auto"/>
              <w:right w:val="single" w:sz="4" w:space="0" w:color="auto"/>
            </w:tcBorders>
            <w:shd w:val="clear" w:color="auto" w:fill="auto"/>
            <w:vAlign w:val="center"/>
            <w:hideMark/>
          </w:tcPr>
          <w:p w14:paraId="6DF40FDE" w14:textId="2AAB287E" w:rsidR="00B60A1F" w:rsidRPr="00300009" w:rsidRDefault="00B60A1F" w:rsidP="00B60A1F">
            <w:pPr>
              <w:spacing w:after="0" w:line="240" w:lineRule="auto"/>
              <w:jc w:val="right"/>
              <w:rPr>
                <w:rFonts w:ascii="Arial" w:eastAsia="Times New Roman" w:hAnsi="Arial" w:cs="Arial"/>
                <w:color w:val="000000"/>
                <w:sz w:val="18"/>
                <w:szCs w:val="18"/>
                <w:lang w:eastAsia="sl-SI"/>
              </w:rPr>
            </w:pPr>
            <w:r w:rsidRPr="00300009">
              <w:rPr>
                <w:rFonts w:ascii="Arial" w:eastAsia="Times New Roman" w:hAnsi="Arial" w:cs="Arial"/>
                <w:color w:val="000000"/>
                <w:sz w:val="18"/>
                <w:szCs w:val="18"/>
                <w:lang w:eastAsia="sl-SI"/>
              </w:rPr>
              <w:t>38</w:t>
            </w:r>
          </w:p>
        </w:tc>
        <w:tc>
          <w:tcPr>
            <w:tcW w:w="1292" w:type="dxa"/>
            <w:tcBorders>
              <w:top w:val="nil"/>
              <w:left w:val="nil"/>
              <w:bottom w:val="single" w:sz="4" w:space="0" w:color="auto"/>
              <w:right w:val="single" w:sz="4" w:space="0" w:color="auto"/>
            </w:tcBorders>
            <w:shd w:val="clear" w:color="auto" w:fill="auto"/>
            <w:vAlign w:val="center"/>
            <w:hideMark/>
          </w:tcPr>
          <w:p w14:paraId="47119A7B" w14:textId="5F5ABB16" w:rsidR="00B60A1F" w:rsidRPr="00300009" w:rsidRDefault="00B60A1F" w:rsidP="00B60A1F">
            <w:pPr>
              <w:spacing w:after="0" w:line="240" w:lineRule="auto"/>
              <w:jc w:val="right"/>
              <w:rPr>
                <w:rFonts w:ascii="Arial" w:eastAsia="Times New Roman" w:hAnsi="Arial" w:cs="Arial"/>
                <w:color w:val="000000"/>
                <w:sz w:val="18"/>
                <w:szCs w:val="18"/>
                <w:lang w:eastAsia="sl-SI"/>
              </w:rPr>
            </w:pPr>
            <w:r w:rsidRPr="00300009">
              <w:rPr>
                <w:rFonts w:ascii="Arial" w:eastAsia="Times New Roman" w:hAnsi="Arial" w:cs="Arial"/>
                <w:color w:val="000000"/>
                <w:sz w:val="18"/>
                <w:szCs w:val="18"/>
                <w:lang w:eastAsia="sl-SI"/>
              </w:rPr>
              <w:t>25.332.997</w:t>
            </w:r>
          </w:p>
        </w:tc>
        <w:tc>
          <w:tcPr>
            <w:tcW w:w="1276" w:type="dxa"/>
            <w:tcBorders>
              <w:top w:val="nil"/>
              <w:left w:val="nil"/>
              <w:bottom w:val="single" w:sz="4" w:space="0" w:color="auto"/>
              <w:right w:val="single" w:sz="4" w:space="0" w:color="auto"/>
            </w:tcBorders>
            <w:shd w:val="clear" w:color="auto" w:fill="auto"/>
            <w:noWrap/>
            <w:vAlign w:val="center"/>
            <w:hideMark/>
          </w:tcPr>
          <w:p w14:paraId="09602AA4" w14:textId="5E896149" w:rsidR="00B60A1F" w:rsidRPr="00B60A1F" w:rsidRDefault="00B60A1F" w:rsidP="00B60A1F">
            <w:pPr>
              <w:spacing w:after="0" w:line="240" w:lineRule="auto"/>
              <w:jc w:val="right"/>
              <w:rPr>
                <w:rFonts w:ascii="Arial" w:eastAsia="Times New Roman" w:hAnsi="Arial" w:cs="Arial"/>
                <w:color w:val="000000"/>
                <w:sz w:val="18"/>
                <w:szCs w:val="18"/>
                <w:lang w:eastAsia="sl-SI"/>
              </w:rPr>
            </w:pPr>
            <w:r w:rsidRPr="00B60A1F">
              <w:rPr>
                <w:rFonts w:ascii="Arial" w:eastAsia="Times New Roman" w:hAnsi="Arial" w:cs="Arial"/>
                <w:color w:val="000000"/>
                <w:sz w:val="18"/>
                <w:szCs w:val="18"/>
                <w:lang w:eastAsia="sl-SI"/>
              </w:rPr>
              <w:t>4,80 %</w:t>
            </w:r>
          </w:p>
        </w:tc>
        <w:tc>
          <w:tcPr>
            <w:tcW w:w="1655" w:type="dxa"/>
            <w:tcBorders>
              <w:top w:val="nil"/>
              <w:left w:val="nil"/>
              <w:bottom w:val="single" w:sz="4" w:space="0" w:color="auto"/>
              <w:right w:val="single" w:sz="4" w:space="0" w:color="auto"/>
            </w:tcBorders>
            <w:shd w:val="clear" w:color="auto" w:fill="auto"/>
            <w:noWrap/>
            <w:vAlign w:val="center"/>
            <w:hideMark/>
          </w:tcPr>
          <w:p w14:paraId="495093C5" w14:textId="00536BB5" w:rsidR="00B60A1F" w:rsidRPr="00B60A1F" w:rsidRDefault="00B60A1F" w:rsidP="00B60A1F">
            <w:pPr>
              <w:spacing w:after="0" w:line="240" w:lineRule="auto"/>
              <w:jc w:val="right"/>
              <w:rPr>
                <w:rFonts w:ascii="Arial" w:eastAsia="Times New Roman" w:hAnsi="Arial" w:cs="Arial"/>
                <w:color w:val="000000"/>
                <w:sz w:val="18"/>
                <w:szCs w:val="18"/>
                <w:lang w:eastAsia="sl-SI"/>
              </w:rPr>
            </w:pPr>
            <w:r w:rsidRPr="00B60A1F">
              <w:rPr>
                <w:rFonts w:ascii="Arial" w:eastAsia="Times New Roman" w:hAnsi="Arial" w:cs="Arial"/>
                <w:color w:val="000000"/>
                <w:sz w:val="18"/>
                <w:szCs w:val="18"/>
                <w:lang w:eastAsia="sl-SI"/>
              </w:rPr>
              <w:t>8,83 %</w:t>
            </w:r>
          </w:p>
        </w:tc>
      </w:tr>
      <w:tr w:rsidR="00B60A1F" w:rsidRPr="00BF7302" w14:paraId="6DE4A5C2" w14:textId="77777777" w:rsidTr="00B60A1F">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7C06A53A" w14:textId="77777777" w:rsidR="00B60A1F" w:rsidRPr="00300009" w:rsidRDefault="00B60A1F" w:rsidP="00B60A1F">
            <w:pPr>
              <w:spacing w:after="0" w:line="240" w:lineRule="auto"/>
              <w:rPr>
                <w:rFonts w:ascii="Arial" w:eastAsia="Times New Roman" w:hAnsi="Arial" w:cs="Arial"/>
                <w:color w:val="000000"/>
                <w:sz w:val="18"/>
                <w:szCs w:val="18"/>
                <w:lang w:eastAsia="sl-SI"/>
              </w:rPr>
            </w:pPr>
            <w:r w:rsidRPr="00300009">
              <w:rPr>
                <w:rFonts w:ascii="Arial" w:eastAsia="Times New Roman" w:hAnsi="Arial" w:cs="Arial"/>
                <w:color w:val="000000"/>
                <w:sz w:val="18"/>
                <w:szCs w:val="18"/>
                <w:lang w:eastAsia="sl-SI"/>
              </w:rPr>
              <w:t>Postopek s pogajanji po predhodni objavi</w:t>
            </w:r>
          </w:p>
        </w:tc>
        <w:tc>
          <w:tcPr>
            <w:tcW w:w="709" w:type="dxa"/>
            <w:tcBorders>
              <w:top w:val="nil"/>
              <w:left w:val="nil"/>
              <w:bottom w:val="single" w:sz="4" w:space="0" w:color="auto"/>
              <w:right w:val="single" w:sz="4" w:space="0" w:color="auto"/>
            </w:tcBorders>
            <w:shd w:val="clear" w:color="auto" w:fill="auto"/>
            <w:vAlign w:val="center"/>
            <w:hideMark/>
          </w:tcPr>
          <w:p w14:paraId="25FDA5DF" w14:textId="375DBAD4" w:rsidR="00B60A1F" w:rsidRPr="00300009" w:rsidRDefault="00B60A1F" w:rsidP="00B60A1F">
            <w:pPr>
              <w:spacing w:after="0" w:line="240" w:lineRule="auto"/>
              <w:jc w:val="right"/>
              <w:rPr>
                <w:rFonts w:ascii="Arial" w:eastAsia="Times New Roman" w:hAnsi="Arial" w:cs="Arial"/>
                <w:color w:val="000000"/>
                <w:sz w:val="18"/>
                <w:szCs w:val="18"/>
                <w:lang w:eastAsia="sl-SI"/>
              </w:rPr>
            </w:pPr>
            <w:r w:rsidRPr="00300009">
              <w:rPr>
                <w:rFonts w:ascii="Arial" w:eastAsia="Times New Roman" w:hAnsi="Arial" w:cs="Arial"/>
                <w:color w:val="000000"/>
                <w:sz w:val="18"/>
                <w:szCs w:val="18"/>
                <w:lang w:eastAsia="sl-SI"/>
              </w:rPr>
              <w:t>48</w:t>
            </w:r>
          </w:p>
        </w:tc>
        <w:tc>
          <w:tcPr>
            <w:tcW w:w="1292" w:type="dxa"/>
            <w:tcBorders>
              <w:top w:val="nil"/>
              <w:left w:val="nil"/>
              <w:bottom w:val="single" w:sz="4" w:space="0" w:color="auto"/>
              <w:right w:val="single" w:sz="4" w:space="0" w:color="auto"/>
            </w:tcBorders>
            <w:shd w:val="clear" w:color="auto" w:fill="auto"/>
            <w:vAlign w:val="center"/>
            <w:hideMark/>
          </w:tcPr>
          <w:p w14:paraId="0ED122F9" w14:textId="07BAD606" w:rsidR="00B60A1F" w:rsidRPr="00300009" w:rsidRDefault="00B60A1F" w:rsidP="00B60A1F">
            <w:pPr>
              <w:spacing w:after="0" w:line="240" w:lineRule="auto"/>
              <w:jc w:val="right"/>
              <w:rPr>
                <w:rFonts w:ascii="Arial" w:eastAsia="Times New Roman" w:hAnsi="Arial" w:cs="Arial"/>
                <w:color w:val="000000"/>
                <w:sz w:val="18"/>
                <w:szCs w:val="18"/>
                <w:lang w:eastAsia="sl-SI"/>
              </w:rPr>
            </w:pPr>
            <w:r w:rsidRPr="00300009">
              <w:rPr>
                <w:rFonts w:ascii="Arial" w:eastAsia="Times New Roman" w:hAnsi="Arial" w:cs="Arial"/>
                <w:color w:val="000000"/>
                <w:sz w:val="18"/>
                <w:szCs w:val="18"/>
                <w:lang w:eastAsia="sl-SI"/>
              </w:rPr>
              <w:t>68.927.811</w:t>
            </w:r>
          </w:p>
        </w:tc>
        <w:tc>
          <w:tcPr>
            <w:tcW w:w="1276" w:type="dxa"/>
            <w:tcBorders>
              <w:top w:val="nil"/>
              <w:left w:val="nil"/>
              <w:bottom w:val="single" w:sz="4" w:space="0" w:color="auto"/>
              <w:right w:val="single" w:sz="4" w:space="0" w:color="auto"/>
            </w:tcBorders>
            <w:shd w:val="clear" w:color="auto" w:fill="auto"/>
            <w:noWrap/>
            <w:vAlign w:val="center"/>
            <w:hideMark/>
          </w:tcPr>
          <w:p w14:paraId="08375E76" w14:textId="0BAE5205" w:rsidR="00B60A1F" w:rsidRPr="00B60A1F" w:rsidRDefault="00B60A1F" w:rsidP="00B60A1F">
            <w:pPr>
              <w:spacing w:after="0" w:line="240" w:lineRule="auto"/>
              <w:jc w:val="right"/>
              <w:rPr>
                <w:rFonts w:ascii="Arial" w:eastAsia="Times New Roman" w:hAnsi="Arial" w:cs="Arial"/>
                <w:color w:val="000000"/>
                <w:sz w:val="18"/>
                <w:szCs w:val="18"/>
                <w:lang w:eastAsia="sl-SI"/>
              </w:rPr>
            </w:pPr>
            <w:r w:rsidRPr="00B60A1F">
              <w:rPr>
                <w:rFonts w:ascii="Arial" w:eastAsia="Times New Roman" w:hAnsi="Arial" w:cs="Arial"/>
                <w:color w:val="000000"/>
                <w:sz w:val="18"/>
                <w:szCs w:val="18"/>
                <w:lang w:eastAsia="sl-SI"/>
              </w:rPr>
              <w:t>19,75 %</w:t>
            </w:r>
          </w:p>
        </w:tc>
        <w:tc>
          <w:tcPr>
            <w:tcW w:w="1655" w:type="dxa"/>
            <w:tcBorders>
              <w:top w:val="nil"/>
              <w:left w:val="nil"/>
              <w:bottom w:val="single" w:sz="4" w:space="0" w:color="auto"/>
              <w:right w:val="single" w:sz="4" w:space="0" w:color="auto"/>
            </w:tcBorders>
            <w:shd w:val="clear" w:color="auto" w:fill="auto"/>
            <w:noWrap/>
            <w:vAlign w:val="center"/>
            <w:hideMark/>
          </w:tcPr>
          <w:p w14:paraId="4F2F8A97" w14:textId="7AABD575" w:rsidR="00B60A1F" w:rsidRPr="00B60A1F" w:rsidRDefault="00B60A1F" w:rsidP="00B60A1F">
            <w:pPr>
              <w:spacing w:after="0" w:line="240" w:lineRule="auto"/>
              <w:jc w:val="right"/>
              <w:rPr>
                <w:rFonts w:ascii="Arial" w:eastAsia="Times New Roman" w:hAnsi="Arial" w:cs="Arial"/>
                <w:color w:val="000000"/>
                <w:sz w:val="18"/>
                <w:szCs w:val="18"/>
                <w:lang w:eastAsia="sl-SI"/>
              </w:rPr>
            </w:pPr>
            <w:r w:rsidRPr="00B60A1F">
              <w:rPr>
                <w:rFonts w:ascii="Arial" w:eastAsia="Times New Roman" w:hAnsi="Arial" w:cs="Arial"/>
                <w:color w:val="000000"/>
                <w:sz w:val="18"/>
                <w:szCs w:val="18"/>
                <w:lang w:eastAsia="sl-SI"/>
              </w:rPr>
              <w:t>23,43 %</w:t>
            </w:r>
          </w:p>
        </w:tc>
      </w:tr>
      <w:tr w:rsidR="00B60A1F" w:rsidRPr="00BF7302" w14:paraId="1DACEFE5" w14:textId="77777777" w:rsidTr="00B60A1F">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77B7FAAF" w14:textId="77777777" w:rsidR="00B60A1F" w:rsidRPr="00300009" w:rsidRDefault="00B60A1F" w:rsidP="00B60A1F">
            <w:pPr>
              <w:spacing w:after="0" w:line="240" w:lineRule="auto"/>
              <w:rPr>
                <w:rFonts w:ascii="Arial" w:eastAsia="Times New Roman" w:hAnsi="Arial" w:cs="Arial"/>
                <w:color w:val="000000"/>
                <w:sz w:val="18"/>
                <w:szCs w:val="18"/>
                <w:lang w:eastAsia="sl-SI"/>
              </w:rPr>
            </w:pPr>
            <w:r w:rsidRPr="00300009">
              <w:rPr>
                <w:rFonts w:ascii="Arial" w:eastAsia="Times New Roman" w:hAnsi="Arial" w:cs="Arial"/>
                <w:color w:val="000000"/>
                <w:sz w:val="18"/>
                <w:szCs w:val="18"/>
                <w:lang w:eastAsia="sl-SI"/>
              </w:rPr>
              <w:t>Postopek zbiranja ponudb po predhodni objavi</w:t>
            </w:r>
          </w:p>
        </w:tc>
        <w:tc>
          <w:tcPr>
            <w:tcW w:w="709" w:type="dxa"/>
            <w:tcBorders>
              <w:top w:val="nil"/>
              <w:left w:val="nil"/>
              <w:bottom w:val="single" w:sz="4" w:space="0" w:color="auto"/>
              <w:right w:val="single" w:sz="4" w:space="0" w:color="auto"/>
            </w:tcBorders>
            <w:shd w:val="clear" w:color="auto" w:fill="auto"/>
            <w:vAlign w:val="center"/>
            <w:hideMark/>
          </w:tcPr>
          <w:p w14:paraId="68190B7A" w14:textId="1ED30156" w:rsidR="00B60A1F" w:rsidRPr="00300009" w:rsidRDefault="00B60A1F" w:rsidP="00B60A1F">
            <w:pPr>
              <w:spacing w:after="0" w:line="240" w:lineRule="auto"/>
              <w:jc w:val="right"/>
              <w:rPr>
                <w:rFonts w:ascii="Arial" w:eastAsia="Times New Roman" w:hAnsi="Arial" w:cs="Arial"/>
                <w:color w:val="000000"/>
                <w:sz w:val="18"/>
                <w:szCs w:val="18"/>
                <w:lang w:eastAsia="sl-SI"/>
              </w:rPr>
            </w:pPr>
            <w:r w:rsidRPr="00300009">
              <w:rPr>
                <w:rFonts w:ascii="Arial" w:eastAsia="Times New Roman" w:hAnsi="Arial" w:cs="Arial"/>
                <w:color w:val="000000"/>
                <w:sz w:val="18"/>
                <w:szCs w:val="18"/>
                <w:lang w:eastAsia="sl-SI"/>
              </w:rPr>
              <w:t>4</w:t>
            </w:r>
          </w:p>
        </w:tc>
        <w:tc>
          <w:tcPr>
            <w:tcW w:w="1292" w:type="dxa"/>
            <w:tcBorders>
              <w:top w:val="nil"/>
              <w:left w:val="nil"/>
              <w:bottom w:val="single" w:sz="4" w:space="0" w:color="auto"/>
              <w:right w:val="single" w:sz="4" w:space="0" w:color="auto"/>
            </w:tcBorders>
            <w:shd w:val="clear" w:color="auto" w:fill="auto"/>
            <w:vAlign w:val="center"/>
            <w:hideMark/>
          </w:tcPr>
          <w:p w14:paraId="23DA238F" w14:textId="7C00B5EA" w:rsidR="00B60A1F" w:rsidRPr="00300009" w:rsidRDefault="00B60A1F" w:rsidP="00B60A1F">
            <w:pPr>
              <w:spacing w:after="0" w:line="240" w:lineRule="auto"/>
              <w:jc w:val="right"/>
              <w:rPr>
                <w:rFonts w:ascii="Arial" w:eastAsia="Times New Roman" w:hAnsi="Arial" w:cs="Arial"/>
                <w:color w:val="000000"/>
                <w:sz w:val="18"/>
                <w:szCs w:val="18"/>
                <w:lang w:eastAsia="sl-SI"/>
              </w:rPr>
            </w:pPr>
            <w:r w:rsidRPr="00300009">
              <w:rPr>
                <w:rFonts w:ascii="Arial" w:eastAsia="Times New Roman" w:hAnsi="Arial" w:cs="Arial"/>
                <w:color w:val="000000"/>
                <w:sz w:val="18"/>
                <w:szCs w:val="18"/>
                <w:lang w:eastAsia="sl-SI"/>
              </w:rPr>
              <w:t>604.537</w:t>
            </w:r>
          </w:p>
        </w:tc>
        <w:tc>
          <w:tcPr>
            <w:tcW w:w="1276" w:type="dxa"/>
            <w:tcBorders>
              <w:top w:val="nil"/>
              <w:left w:val="nil"/>
              <w:bottom w:val="single" w:sz="4" w:space="0" w:color="auto"/>
              <w:right w:val="single" w:sz="4" w:space="0" w:color="auto"/>
            </w:tcBorders>
            <w:shd w:val="clear" w:color="auto" w:fill="auto"/>
            <w:noWrap/>
            <w:vAlign w:val="center"/>
            <w:hideMark/>
          </w:tcPr>
          <w:p w14:paraId="0292EF6F" w14:textId="154CF9EC" w:rsidR="00B60A1F" w:rsidRPr="00B60A1F" w:rsidRDefault="00B60A1F" w:rsidP="00B60A1F">
            <w:pPr>
              <w:spacing w:after="0" w:line="240" w:lineRule="auto"/>
              <w:jc w:val="right"/>
              <w:rPr>
                <w:rFonts w:ascii="Arial" w:eastAsia="Times New Roman" w:hAnsi="Arial" w:cs="Arial"/>
                <w:color w:val="000000"/>
                <w:sz w:val="18"/>
                <w:szCs w:val="18"/>
                <w:lang w:eastAsia="sl-SI"/>
              </w:rPr>
            </w:pPr>
            <w:r w:rsidRPr="00B60A1F">
              <w:rPr>
                <w:rFonts w:ascii="Arial" w:eastAsia="Times New Roman" w:hAnsi="Arial" w:cs="Arial"/>
                <w:color w:val="000000"/>
                <w:sz w:val="18"/>
                <w:szCs w:val="18"/>
                <w:lang w:eastAsia="sl-SI"/>
              </w:rPr>
              <w:t>12,12 %</w:t>
            </w:r>
          </w:p>
        </w:tc>
        <w:tc>
          <w:tcPr>
            <w:tcW w:w="1655" w:type="dxa"/>
            <w:tcBorders>
              <w:top w:val="nil"/>
              <w:left w:val="nil"/>
              <w:bottom w:val="single" w:sz="4" w:space="0" w:color="auto"/>
              <w:right w:val="single" w:sz="4" w:space="0" w:color="auto"/>
            </w:tcBorders>
            <w:shd w:val="clear" w:color="auto" w:fill="auto"/>
            <w:noWrap/>
            <w:vAlign w:val="center"/>
            <w:hideMark/>
          </w:tcPr>
          <w:p w14:paraId="59F81791" w14:textId="71B1BEA8" w:rsidR="00B60A1F" w:rsidRPr="00B60A1F" w:rsidRDefault="00B60A1F" w:rsidP="00B60A1F">
            <w:pPr>
              <w:spacing w:after="0" w:line="240" w:lineRule="auto"/>
              <w:jc w:val="right"/>
              <w:rPr>
                <w:rFonts w:ascii="Arial" w:eastAsia="Times New Roman" w:hAnsi="Arial" w:cs="Arial"/>
                <w:color w:val="000000"/>
                <w:sz w:val="18"/>
                <w:szCs w:val="18"/>
                <w:lang w:eastAsia="sl-SI"/>
              </w:rPr>
            </w:pPr>
            <w:r w:rsidRPr="00B60A1F">
              <w:rPr>
                <w:rFonts w:ascii="Arial" w:eastAsia="Times New Roman" w:hAnsi="Arial" w:cs="Arial"/>
                <w:color w:val="000000"/>
                <w:sz w:val="18"/>
                <w:szCs w:val="18"/>
                <w:lang w:eastAsia="sl-SI"/>
              </w:rPr>
              <w:t>10,17 %</w:t>
            </w:r>
          </w:p>
        </w:tc>
      </w:tr>
      <w:tr w:rsidR="00300009" w:rsidRPr="00BF7302" w14:paraId="6DF2890E" w14:textId="77777777" w:rsidTr="00300009">
        <w:trPr>
          <w:trHeight w:val="255"/>
        </w:trPr>
        <w:tc>
          <w:tcPr>
            <w:tcW w:w="396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E7BE2FC" w14:textId="77777777" w:rsidR="00300009" w:rsidRPr="00300009" w:rsidRDefault="00300009" w:rsidP="00300009">
            <w:pPr>
              <w:spacing w:after="0" w:line="240" w:lineRule="auto"/>
              <w:rPr>
                <w:rFonts w:ascii="Arial" w:eastAsia="Times New Roman" w:hAnsi="Arial" w:cs="Arial"/>
                <w:b/>
                <w:bCs/>
                <w:color w:val="000000"/>
                <w:sz w:val="18"/>
                <w:szCs w:val="18"/>
                <w:lang w:eastAsia="sl-SI"/>
              </w:rPr>
            </w:pPr>
            <w:r w:rsidRPr="00300009">
              <w:rPr>
                <w:rFonts w:ascii="Arial" w:eastAsia="Times New Roman" w:hAnsi="Arial" w:cs="Arial"/>
                <w:b/>
                <w:bCs/>
                <w:color w:val="000000"/>
                <w:sz w:val="18"/>
                <w:szCs w:val="18"/>
                <w:lang w:eastAsia="sl-SI"/>
              </w:rPr>
              <w:t>Skupaj</w:t>
            </w:r>
          </w:p>
        </w:tc>
        <w:tc>
          <w:tcPr>
            <w:tcW w:w="709" w:type="dxa"/>
            <w:tcBorders>
              <w:top w:val="nil"/>
              <w:left w:val="nil"/>
              <w:bottom w:val="single" w:sz="4" w:space="0" w:color="auto"/>
              <w:right w:val="single" w:sz="4" w:space="0" w:color="auto"/>
            </w:tcBorders>
            <w:shd w:val="clear" w:color="auto" w:fill="F2F2F2" w:themeFill="background1" w:themeFillShade="F2"/>
            <w:noWrap/>
            <w:vAlign w:val="center"/>
            <w:hideMark/>
          </w:tcPr>
          <w:p w14:paraId="41BF9944" w14:textId="5516A434" w:rsidR="00300009" w:rsidRPr="00300009" w:rsidRDefault="00300009" w:rsidP="00300009">
            <w:pPr>
              <w:spacing w:after="0" w:line="240" w:lineRule="auto"/>
              <w:jc w:val="right"/>
              <w:rPr>
                <w:rFonts w:ascii="Arial" w:eastAsia="Times New Roman" w:hAnsi="Arial" w:cs="Arial"/>
                <w:b/>
                <w:bCs/>
                <w:color w:val="000000"/>
                <w:sz w:val="18"/>
                <w:szCs w:val="18"/>
                <w:lang w:eastAsia="sl-SI"/>
              </w:rPr>
            </w:pPr>
            <w:r w:rsidRPr="00300009">
              <w:rPr>
                <w:rFonts w:ascii="Arial" w:eastAsia="Times New Roman" w:hAnsi="Arial" w:cs="Arial"/>
                <w:b/>
                <w:bCs/>
                <w:color w:val="000000"/>
                <w:sz w:val="18"/>
                <w:szCs w:val="18"/>
                <w:lang w:eastAsia="sl-SI"/>
              </w:rPr>
              <w:t>1</w:t>
            </w:r>
            <w:r>
              <w:rPr>
                <w:rFonts w:ascii="Arial" w:eastAsia="Times New Roman" w:hAnsi="Arial" w:cs="Arial"/>
                <w:b/>
                <w:bCs/>
                <w:color w:val="000000"/>
                <w:sz w:val="18"/>
                <w:szCs w:val="18"/>
                <w:lang w:eastAsia="sl-SI"/>
              </w:rPr>
              <w:t>.</w:t>
            </w:r>
            <w:r w:rsidRPr="00300009">
              <w:rPr>
                <w:rFonts w:ascii="Arial" w:eastAsia="Times New Roman" w:hAnsi="Arial" w:cs="Arial"/>
                <w:b/>
                <w:bCs/>
                <w:color w:val="000000"/>
                <w:sz w:val="18"/>
                <w:szCs w:val="18"/>
                <w:lang w:eastAsia="sl-SI"/>
              </w:rPr>
              <w:t>188</w:t>
            </w:r>
          </w:p>
        </w:tc>
        <w:tc>
          <w:tcPr>
            <w:tcW w:w="1292" w:type="dxa"/>
            <w:tcBorders>
              <w:top w:val="nil"/>
              <w:left w:val="nil"/>
              <w:bottom w:val="single" w:sz="4" w:space="0" w:color="auto"/>
              <w:right w:val="single" w:sz="4" w:space="0" w:color="auto"/>
            </w:tcBorders>
            <w:shd w:val="clear" w:color="auto" w:fill="F2F2F2" w:themeFill="background1" w:themeFillShade="F2"/>
            <w:noWrap/>
            <w:vAlign w:val="center"/>
            <w:hideMark/>
          </w:tcPr>
          <w:p w14:paraId="6E6796A0" w14:textId="1AEC5BBA" w:rsidR="00300009" w:rsidRPr="00300009" w:rsidRDefault="00300009" w:rsidP="00300009">
            <w:pPr>
              <w:spacing w:after="0" w:line="240" w:lineRule="auto"/>
              <w:jc w:val="right"/>
              <w:rPr>
                <w:rFonts w:ascii="Arial" w:eastAsia="Times New Roman" w:hAnsi="Arial" w:cs="Arial"/>
                <w:b/>
                <w:bCs/>
                <w:color w:val="000000"/>
                <w:sz w:val="18"/>
                <w:szCs w:val="18"/>
                <w:lang w:eastAsia="sl-SI"/>
              </w:rPr>
            </w:pPr>
            <w:r w:rsidRPr="00300009">
              <w:rPr>
                <w:rFonts w:ascii="Arial" w:eastAsia="Times New Roman" w:hAnsi="Arial" w:cs="Arial"/>
                <w:b/>
                <w:bCs/>
                <w:color w:val="000000"/>
                <w:sz w:val="18"/>
                <w:szCs w:val="18"/>
                <w:lang w:eastAsia="sl-SI"/>
              </w:rPr>
              <w:t>1.062.990.224</w:t>
            </w:r>
          </w:p>
        </w:tc>
        <w:tc>
          <w:tcPr>
            <w:tcW w:w="1276" w:type="dxa"/>
            <w:tcBorders>
              <w:top w:val="nil"/>
              <w:left w:val="nil"/>
              <w:bottom w:val="nil"/>
              <w:right w:val="nil"/>
            </w:tcBorders>
            <w:shd w:val="clear" w:color="auto" w:fill="auto"/>
            <w:noWrap/>
            <w:vAlign w:val="center"/>
            <w:hideMark/>
          </w:tcPr>
          <w:p w14:paraId="170A588F" w14:textId="77777777" w:rsidR="00300009" w:rsidRPr="00BF7302" w:rsidRDefault="00300009" w:rsidP="00300009">
            <w:pPr>
              <w:spacing w:after="0" w:line="240" w:lineRule="auto"/>
              <w:jc w:val="right"/>
              <w:rPr>
                <w:rFonts w:ascii="Arial" w:eastAsia="Times New Roman" w:hAnsi="Arial" w:cs="Arial"/>
                <w:color w:val="000000"/>
                <w:sz w:val="18"/>
                <w:szCs w:val="18"/>
                <w:highlight w:val="yellow"/>
                <w:lang w:eastAsia="sl-SI"/>
              </w:rPr>
            </w:pPr>
          </w:p>
        </w:tc>
        <w:tc>
          <w:tcPr>
            <w:tcW w:w="1655" w:type="dxa"/>
            <w:tcBorders>
              <w:top w:val="nil"/>
              <w:left w:val="nil"/>
              <w:bottom w:val="nil"/>
              <w:right w:val="nil"/>
            </w:tcBorders>
            <w:shd w:val="clear" w:color="auto" w:fill="auto"/>
            <w:noWrap/>
            <w:vAlign w:val="center"/>
            <w:hideMark/>
          </w:tcPr>
          <w:p w14:paraId="02F4371A" w14:textId="77777777" w:rsidR="00300009" w:rsidRPr="00BF7302" w:rsidRDefault="00300009" w:rsidP="00300009">
            <w:pPr>
              <w:spacing w:after="0" w:line="240" w:lineRule="auto"/>
              <w:jc w:val="right"/>
              <w:rPr>
                <w:rFonts w:ascii="Arial" w:eastAsia="Times New Roman" w:hAnsi="Arial" w:cs="Arial"/>
                <w:color w:val="000000"/>
                <w:sz w:val="18"/>
                <w:szCs w:val="18"/>
                <w:highlight w:val="yellow"/>
                <w:lang w:eastAsia="sl-SI"/>
              </w:rPr>
            </w:pPr>
          </w:p>
        </w:tc>
      </w:tr>
    </w:tbl>
    <w:p w14:paraId="577A6AB5" w14:textId="77777777" w:rsidR="004A613D" w:rsidRPr="00BF7302" w:rsidRDefault="004A613D" w:rsidP="004A613D">
      <w:pPr>
        <w:spacing w:after="0" w:line="240" w:lineRule="auto"/>
        <w:jc w:val="center"/>
        <w:rPr>
          <w:rFonts w:ascii="Arial" w:hAnsi="Arial" w:cs="Arial"/>
          <w:sz w:val="18"/>
          <w:highlight w:val="yellow"/>
        </w:rPr>
      </w:pPr>
    </w:p>
    <w:p w14:paraId="5CA04387" w14:textId="66DD8CF2" w:rsidR="00765CC0" w:rsidRPr="008C1B42" w:rsidRDefault="00765CC0" w:rsidP="00701C10">
      <w:pPr>
        <w:spacing w:after="240" w:line="240" w:lineRule="auto"/>
        <w:jc w:val="center"/>
        <w:rPr>
          <w:rFonts w:ascii="Arial" w:hAnsi="Arial" w:cs="Arial"/>
          <w:sz w:val="18"/>
        </w:rPr>
      </w:pPr>
      <w:r w:rsidRPr="008C1B42">
        <w:rPr>
          <w:rFonts w:ascii="Arial" w:hAnsi="Arial" w:cs="Arial"/>
          <w:sz w:val="18"/>
        </w:rPr>
        <w:t>Vir: Statistični podatki o javnih naročilih, oddanih v letu 20</w:t>
      </w:r>
      <w:r w:rsidR="00F813B0" w:rsidRPr="008C1B42">
        <w:rPr>
          <w:rFonts w:ascii="Arial" w:hAnsi="Arial" w:cs="Arial"/>
          <w:sz w:val="18"/>
        </w:rPr>
        <w:t>2</w:t>
      </w:r>
      <w:r w:rsidR="00300009" w:rsidRPr="008C1B42">
        <w:rPr>
          <w:rFonts w:ascii="Arial" w:hAnsi="Arial" w:cs="Arial"/>
          <w:sz w:val="18"/>
        </w:rPr>
        <w:t>2</w:t>
      </w:r>
      <w:r w:rsidR="008426A1" w:rsidRPr="008C1B42">
        <w:rPr>
          <w:rFonts w:ascii="Arial" w:hAnsi="Arial" w:cs="Arial"/>
          <w:sz w:val="18"/>
        </w:rPr>
        <w:t>.</w:t>
      </w:r>
    </w:p>
    <w:p w14:paraId="6A63987A" w14:textId="6EB2817B" w:rsidR="002B205A" w:rsidRPr="008C1B42" w:rsidRDefault="00765CC0" w:rsidP="00765CC0">
      <w:pPr>
        <w:spacing w:line="360" w:lineRule="auto"/>
        <w:jc w:val="both"/>
        <w:rPr>
          <w:rFonts w:ascii="Arial" w:hAnsi="Arial" w:cs="Arial"/>
          <w:sz w:val="20"/>
          <w:szCs w:val="20"/>
          <w:lang w:eastAsia="sl-SI"/>
        </w:rPr>
      </w:pPr>
      <w:r w:rsidRPr="008C1B42">
        <w:rPr>
          <w:rFonts w:ascii="Arial" w:hAnsi="Arial" w:cs="Arial"/>
          <w:sz w:val="20"/>
          <w:szCs w:val="20"/>
          <w:lang w:eastAsia="sl-SI"/>
        </w:rPr>
        <w:t xml:space="preserve">Glede na </w:t>
      </w:r>
      <w:r w:rsidR="002B205A" w:rsidRPr="008C1B42">
        <w:rPr>
          <w:rFonts w:ascii="Arial" w:hAnsi="Arial" w:cs="Arial"/>
          <w:sz w:val="20"/>
          <w:szCs w:val="20"/>
          <w:lang w:eastAsia="sl-SI"/>
        </w:rPr>
        <w:t xml:space="preserve">področje </w:t>
      </w:r>
      <w:r w:rsidRPr="008C1B42">
        <w:rPr>
          <w:rFonts w:ascii="Arial" w:hAnsi="Arial" w:cs="Arial"/>
          <w:sz w:val="20"/>
          <w:szCs w:val="20"/>
          <w:lang w:eastAsia="sl-SI"/>
        </w:rPr>
        <w:t xml:space="preserve">je bilo največ </w:t>
      </w:r>
      <w:r w:rsidR="002B205A" w:rsidRPr="008C1B42">
        <w:rPr>
          <w:rFonts w:ascii="Arial" w:hAnsi="Arial" w:cs="Arial"/>
          <w:sz w:val="20"/>
          <w:szCs w:val="20"/>
          <w:lang w:eastAsia="sl-SI"/>
        </w:rPr>
        <w:t xml:space="preserve">javnih naročil </w:t>
      </w:r>
      <w:r w:rsidRPr="008C1B42">
        <w:rPr>
          <w:rFonts w:ascii="Arial" w:hAnsi="Arial" w:cs="Arial"/>
          <w:sz w:val="20"/>
          <w:szCs w:val="20"/>
          <w:lang w:eastAsia="sl-SI"/>
        </w:rPr>
        <w:t xml:space="preserve">oddanih v </w:t>
      </w:r>
      <w:proofErr w:type="spellStart"/>
      <w:r w:rsidRPr="008C1B42">
        <w:rPr>
          <w:rFonts w:ascii="Arial" w:hAnsi="Arial" w:cs="Arial"/>
          <w:sz w:val="20"/>
          <w:szCs w:val="20"/>
          <w:lang w:eastAsia="sl-SI"/>
        </w:rPr>
        <w:t>podizvajanje</w:t>
      </w:r>
      <w:proofErr w:type="spellEnd"/>
      <w:r w:rsidRPr="008C1B42">
        <w:rPr>
          <w:rFonts w:ascii="Arial" w:hAnsi="Arial" w:cs="Arial"/>
          <w:sz w:val="20"/>
          <w:szCs w:val="20"/>
          <w:lang w:eastAsia="sl-SI"/>
        </w:rPr>
        <w:t xml:space="preserve"> </w:t>
      </w:r>
      <w:r w:rsidR="00FD48CF" w:rsidRPr="008C1B42">
        <w:rPr>
          <w:rFonts w:ascii="Arial" w:hAnsi="Arial" w:cs="Arial"/>
          <w:sz w:val="20"/>
          <w:szCs w:val="20"/>
          <w:lang w:eastAsia="sl-SI"/>
        </w:rPr>
        <w:t>pri</w:t>
      </w:r>
      <w:r w:rsidRPr="008C1B42">
        <w:rPr>
          <w:rFonts w:ascii="Arial" w:hAnsi="Arial" w:cs="Arial"/>
          <w:sz w:val="20"/>
          <w:szCs w:val="20"/>
          <w:lang w:eastAsia="sl-SI"/>
        </w:rPr>
        <w:t xml:space="preserve"> </w:t>
      </w:r>
      <w:r w:rsidR="002B205A" w:rsidRPr="008C1B42">
        <w:rPr>
          <w:rFonts w:ascii="Arial" w:hAnsi="Arial" w:cs="Arial"/>
          <w:sz w:val="20"/>
          <w:szCs w:val="20"/>
          <w:lang w:eastAsia="sl-SI"/>
        </w:rPr>
        <w:t>javnih naročilih na splošnem področju</w:t>
      </w:r>
      <w:r w:rsidRPr="008C1B42">
        <w:rPr>
          <w:rFonts w:ascii="Arial" w:hAnsi="Arial" w:cs="Arial"/>
          <w:sz w:val="20"/>
          <w:szCs w:val="20"/>
          <w:lang w:eastAsia="sl-SI"/>
        </w:rPr>
        <w:t xml:space="preserve">. </w:t>
      </w:r>
      <w:r w:rsidR="00BE0EAD" w:rsidRPr="008C1B42">
        <w:rPr>
          <w:rFonts w:ascii="Arial" w:hAnsi="Arial" w:cs="Arial"/>
          <w:sz w:val="20"/>
          <w:szCs w:val="20"/>
          <w:lang w:eastAsia="sl-SI"/>
        </w:rPr>
        <w:t xml:space="preserve">Teh naročil je bilo </w:t>
      </w:r>
      <w:r w:rsidR="008C1B42" w:rsidRPr="008C1B42">
        <w:rPr>
          <w:rFonts w:ascii="Arial" w:hAnsi="Arial" w:cs="Arial"/>
          <w:sz w:val="20"/>
          <w:szCs w:val="20"/>
          <w:lang w:eastAsia="sl-SI"/>
        </w:rPr>
        <w:t>1053</w:t>
      </w:r>
      <w:r w:rsidR="00BE0EAD" w:rsidRPr="008C1B42">
        <w:rPr>
          <w:rFonts w:ascii="Arial" w:hAnsi="Arial" w:cs="Arial"/>
          <w:sz w:val="20"/>
          <w:szCs w:val="20"/>
          <w:lang w:eastAsia="sl-SI"/>
        </w:rPr>
        <w:t xml:space="preserve">, njihova vrednost pa znaša </w:t>
      </w:r>
      <w:r w:rsidR="008C1B42" w:rsidRPr="008C1B42">
        <w:rPr>
          <w:rFonts w:ascii="Arial" w:hAnsi="Arial" w:cs="Arial"/>
          <w:sz w:val="20"/>
          <w:szCs w:val="20"/>
          <w:lang w:eastAsia="sl-SI"/>
        </w:rPr>
        <w:t xml:space="preserve">965.805.519 </w:t>
      </w:r>
      <w:r w:rsidR="00BE0EAD" w:rsidRPr="008C1B42">
        <w:rPr>
          <w:rFonts w:ascii="Arial" w:hAnsi="Arial" w:cs="Arial"/>
          <w:sz w:val="20"/>
          <w:szCs w:val="20"/>
          <w:lang w:eastAsia="sl-SI"/>
        </w:rPr>
        <w:t xml:space="preserve">evrov, kar je po številu </w:t>
      </w:r>
      <w:r w:rsidR="00CE68E7" w:rsidRPr="008C1B42">
        <w:rPr>
          <w:rFonts w:ascii="Arial" w:hAnsi="Arial" w:cs="Arial"/>
          <w:sz w:val="20"/>
          <w:szCs w:val="20"/>
          <w:lang w:eastAsia="sl-SI"/>
        </w:rPr>
        <w:t>8</w:t>
      </w:r>
      <w:r w:rsidR="008C1B42" w:rsidRPr="008C1B42">
        <w:rPr>
          <w:rFonts w:ascii="Arial" w:hAnsi="Arial" w:cs="Arial"/>
          <w:sz w:val="20"/>
          <w:szCs w:val="20"/>
          <w:lang w:eastAsia="sl-SI"/>
        </w:rPr>
        <w:t>8,64</w:t>
      </w:r>
      <w:r w:rsidR="003F0478" w:rsidRPr="008C1B42">
        <w:rPr>
          <w:rFonts w:ascii="Arial" w:hAnsi="Arial" w:cs="Arial"/>
          <w:sz w:val="20"/>
          <w:szCs w:val="20"/>
          <w:lang w:eastAsia="sl-SI"/>
        </w:rPr>
        <w:t> </w:t>
      </w:r>
      <w:r w:rsidR="00AC0027">
        <w:rPr>
          <w:rFonts w:ascii="Arial" w:hAnsi="Arial" w:cs="Arial"/>
          <w:sz w:val="20"/>
          <w:szCs w:val="20"/>
          <w:lang w:eastAsia="sl-SI"/>
        </w:rPr>
        <w:t>odstotka</w:t>
      </w:r>
      <w:r w:rsidR="00BE0EAD" w:rsidRPr="008C1B42">
        <w:rPr>
          <w:rFonts w:ascii="Arial" w:hAnsi="Arial" w:cs="Arial"/>
          <w:sz w:val="20"/>
          <w:szCs w:val="20"/>
          <w:lang w:eastAsia="sl-SI"/>
        </w:rPr>
        <w:t xml:space="preserve"> vseh javnih naročil, oddan</w:t>
      </w:r>
      <w:r w:rsidR="00B41D91" w:rsidRPr="008C1B42">
        <w:rPr>
          <w:rFonts w:ascii="Arial" w:hAnsi="Arial" w:cs="Arial"/>
          <w:sz w:val="20"/>
          <w:szCs w:val="20"/>
          <w:lang w:eastAsia="sl-SI"/>
        </w:rPr>
        <w:t>ih</w:t>
      </w:r>
      <w:r w:rsidR="00BE0EAD" w:rsidRPr="008C1B42">
        <w:rPr>
          <w:rFonts w:ascii="Arial" w:hAnsi="Arial" w:cs="Arial"/>
          <w:sz w:val="20"/>
          <w:szCs w:val="20"/>
          <w:lang w:eastAsia="sl-SI"/>
        </w:rPr>
        <w:t xml:space="preserve"> v </w:t>
      </w:r>
      <w:proofErr w:type="spellStart"/>
      <w:r w:rsidR="00BE0EAD" w:rsidRPr="008C1B42">
        <w:rPr>
          <w:rFonts w:ascii="Arial" w:hAnsi="Arial" w:cs="Arial"/>
          <w:sz w:val="20"/>
          <w:szCs w:val="20"/>
          <w:lang w:eastAsia="sl-SI"/>
        </w:rPr>
        <w:t>podizvajanje</w:t>
      </w:r>
      <w:proofErr w:type="spellEnd"/>
      <w:r w:rsidR="00BE0EAD" w:rsidRPr="008C1B42">
        <w:rPr>
          <w:rFonts w:ascii="Arial" w:hAnsi="Arial" w:cs="Arial"/>
          <w:sz w:val="20"/>
          <w:szCs w:val="20"/>
          <w:lang w:eastAsia="sl-SI"/>
        </w:rPr>
        <w:t xml:space="preserve">, po vrednosti pa </w:t>
      </w:r>
      <w:r w:rsidR="008C1B42" w:rsidRPr="008C1B42">
        <w:rPr>
          <w:rFonts w:ascii="Arial" w:hAnsi="Arial" w:cs="Arial"/>
          <w:sz w:val="20"/>
          <w:szCs w:val="20"/>
          <w:lang w:eastAsia="sl-SI"/>
        </w:rPr>
        <w:t>90,86</w:t>
      </w:r>
      <w:r w:rsidR="008426A1" w:rsidRPr="008C1B42">
        <w:rPr>
          <w:rFonts w:ascii="Arial" w:hAnsi="Arial" w:cs="Arial"/>
          <w:sz w:val="20"/>
          <w:szCs w:val="20"/>
          <w:lang w:eastAsia="sl-SI"/>
        </w:rPr>
        <w:t> </w:t>
      </w:r>
      <w:r w:rsidR="00AC0027">
        <w:rPr>
          <w:rFonts w:ascii="Arial" w:hAnsi="Arial" w:cs="Arial"/>
          <w:sz w:val="20"/>
          <w:szCs w:val="20"/>
          <w:lang w:eastAsia="sl-SI"/>
        </w:rPr>
        <w:t>odstotka</w:t>
      </w:r>
      <w:r w:rsidR="00BE0EAD" w:rsidRPr="008C1B42">
        <w:rPr>
          <w:rFonts w:ascii="Arial" w:hAnsi="Arial" w:cs="Arial"/>
          <w:sz w:val="20"/>
          <w:szCs w:val="20"/>
          <w:lang w:eastAsia="sl-SI"/>
        </w:rPr>
        <w:t>.</w:t>
      </w:r>
    </w:p>
    <w:p w14:paraId="74BCA058" w14:textId="62BFAB4D" w:rsidR="00456791" w:rsidRPr="008C1B42" w:rsidRDefault="00456791" w:rsidP="008A61FD">
      <w:pPr>
        <w:spacing w:before="120" w:after="120" w:line="240" w:lineRule="auto"/>
        <w:jc w:val="both"/>
        <w:rPr>
          <w:rFonts w:ascii="Arial" w:hAnsi="Arial" w:cs="Arial"/>
          <w:sz w:val="20"/>
        </w:rPr>
      </w:pPr>
      <w:r w:rsidRPr="008C1B42">
        <w:rPr>
          <w:rFonts w:ascii="Arial" w:hAnsi="Arial" w:cs="Arial"/>
          <w:sz w:val="20"/>
        </w:rPr>
        <w:t xml:space="preserve">Preglednica </w:t>
      </w:r>
      <w:r w:rsidR="00512F52" w:rsidRPr="008C1B42">
        <w:rPr>
          <w:rFonts w:ascii="Arial" w:hAnsi="Arial" w:cs="Arial"/>
          <w:sz w:val="20"/>
        </w:rPr>
        <w:t>28</w:t>
      </w:r>
      <w:r w:rsidRPr="008C1B42">
        <w:rPr>
          <w:rFonts w:ascii="Arial" w:hAnsi="Arial" w:cs="Arial"/>
          <w:sz w:val="20"/>
        </w:rPr>
        <w:t>: Udeležba podizvajalcev v javnih naročilih glede na področje</w:t>
      </w:r>
      <w:r w:rsidR="000F2B07" w:rsidRPr="008C1B42">
        <w:rPr>
          <w:rFonts w:ascii="Arial" w:hAnsi="Arial" w:cs="Arial"/>
          <w:sz w:val="20"/>
        </w:rPr>
        <w:t xml:space="preserve"> naročanja</w:t>
      </w:r>
    </w:p>
    <w:tbl>
      <w:tblPr>
        <w:tblW w:w="6000" w:type="dxa"/>
        <w:jc w:val="center"/>
        <w:tblCellMar>
          <w:left w:w="70" w:type="dxa"/>
          <w:right w:w="70" w:type="dxa"/>
        </w:tblCellMar>
        <w:tblLook w:val="04A0" w:firstRow="1" w:lastRow="0" w:firstColumn="1" w:lastColumn="0" w:noHBand="0" w:noVBand="1"/>
      </w:tblPr>
      <w:tblGrid>
        <w:gridCol w:w="1640"/>
        <w:gridCol w:w="960"/>
        <w:gridCol w:w="1480"/>
        <w:gridCol w:w="960"/>
        <w:gridCol w:w="960"/>
      </w:tblGrid>
      <w:tr w:rsidR="0083041C" w:rsidRPr="008C1B42" w14:paraId="6E0DAA4B" w14:textId="77777777" w:rsidTr="00CD447F">
        <w:trPr>
          <w:trHeight w:val="255"/>
          <w:jc w:val="center"/>
        </w:trPr>
        <w:tc>
          <w:tcPr>
            <w:tcW w:w="1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B5FDBA" w14:textId="77777777" w:rsidR="0083041C" w:rsidRPr="008C1B42" w:rsidRDefault="0083041C" w:rsidP="0083041C">
            <w:pPr>
              <w:spacing w:after="0" w:line="240" w:lineRule="auto"/>
              <w:jc w:val="center"/>
              <w:rPr>
                <w:rFonts w:ascii="Arial" w:eastAsia="Times New Roman" w:hAnsi="Arial" w:cs="Arial"/>
                <w:color w:val="000000"/>
                <w:sz w:val="18"/>
                <w:szCs w:val="18"/>
                <w:lang w:eastAsia="sl-SI"/>
              </w:rPr>
            </w:pPr>
            <w:r w:rsidRPr="008C1B42">
              <w:rPr>
                <w:rFonts w:ascii="Arial" w:eastAsia="Times New Roman" w:hAnsi="Arial" w:cs="Arial"/>
                <w:color w:val="000000"/>
                <w:sz w:val="18"/>
                <w:szCs w:val="18"/>
                <w:lang w:eastAsia="sl-SI"/>
              </w:rPr>
              <w:t>Področje</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5D38B09" w14:textId="77777777" w:rsidR="0083041C" w:rsidRPr="008C1B42" w:rsidRDefault="0083041C" w:rsidP="0083041C">
            <w:pPr>
              <w:spacing w:after="0" w:line="240" w:lineRule="auto"/>
              <w:jc w:val="center"/>
              <w:rPr>
                <w:rFonts w:ascii="Arial" w:eastAsia="Times New Roman" w:hAnsi="Arial" w:cs="Arial"/>
                <w:color w:val="000000"/>
                <w:sz w:val="18"/>
                <w:szCs w:val="18"/>
                <w:lang w:eastAsia="sl-SI"/>
              </w:rPr>
            </w:pPr>
            <w:r w:rsidRPr="008C1B42">
              <w:rPr>
                <w:rFonts w:ascii="Arial" w:eastAsia="Times New Roman" w:hAnsi="Arial" w:cs="Arial"/>
                <w:color w:val="000000"/>
                <w:sz w:val="18"/>
                <w:szCs w:val="18"/>
                <w:lang w:eastAsia="sl-SI"/>
              </w:rPr>
              <w:t>Št. naročil</w:t>
            </w:r>
          </w:p>
        </w:tc>
        <w:tc>
          <w:tcPr>
            <w:tcW w:w="148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F89902B" w14:textId="77777777" w:rsidR="0083041C" w:rsidRPr="008C1B42" w:rsidRDefault="0083041C" w:rsidP="0083041C">
            <w:pPr>
              <w:spacing w:after="0" w:line="240" w:lineRule="auto"/>
              <w:jc w:val="center"/>
              <w:rPr>
                <w:rFonts w:ascii="Arial" w:eastAsia="Times New Roman" w:hAnsi="Arial" w:cs="Arial"/>
                <w:color w:val="000000"/>
                <w:sz w:val="18"/>
                <w:szCs w:val="18"/>
                <w:lang w:eastAsia="sl-SI"/>
              </w:rPr>
            </w:pPr>
            <w:r w:rsidRPr="008C1B42">
              <w:rPr>
                <w:rFonts w:ascii="Arial" w:eastAsia="Times New Roman" w:hAnsi="Arial" w:cs="Arial"/>
                <w:color w:val="000000"/>
                <w:sz w:val="18"/>
                <w:szCs w:val="18"/>
                <w:lang w:eastAsia="sl-SI"/>
              </w:rPr>
              <w:t xml:space="preserve">Pogodbena vrednost </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B6C886E" w14:textId="77777777" w:rsidR="0083041C" w:rsidRPr="008C1B42" w:rsidRDefault="0083041C" w:rsidP="0083041C">
            <w:pPr>
              <w:spacing w:after="0" w:line="240" w:lineRule="auto"/>
              <w:jc w:val="center"/>
              <w:rPr>
                <w:rFonts w:ascii="Arial" w:eastAsia="Times New Roman" w:hAnsi="Arial" w:cs="Arial"/>
                <w:color w:val="000000"/>
                <w:sz w:val="18"/>
                <w:szCs w:val="18"/>
                <w:lang w:eastAsia="sl-SI"/>
              </w:rPr>
            </w:pPr>
            <w:r w:rsidRPr="008C1B42">
              <w:rPr>
                <w:rFonts w:ascii="Arial" w:eastAsia="Times New Roman" w:hAnsi="Arial" w:cs="Arial"/>
                <w:color w:val="000000"/>
                <w:sz w:val="18"/>
                <w:szCs w:val="18"/>
                <w:lang w:eastAsia="sl-SI"/>
              </w:rPr>
              <w:t>Delež v št. naročil</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DBAB064" w14:textId="77777777" w:rsidR="0083041C" w:rsidRPr="008C1B42" w:rsidRDefault="0083041C" w:rsidP="0083041C">
            <w:pPr>
              <w:spacing w:after="0" w:line="240" w:lineRule="auto"/>
              <w:jc w:val="center"/>
              <w:rPr>
                <w:rFonts w:ascii="Arial" w:eastAsia="Times New Roman" w:hAnsi="Arial" w:cs="Arial"/>
                <w:color w:val="000000"/>
                <w:sz w:val="18"/>
                <w:szCs w:val="18"/>
                <w:lang w:eastAsia="sl-SI"/>
              </w:rPr>
            </w:pPr>
            <w:r w:rsidRPr="008C1B42">
              <w:rPr>
                <w:rFonts w:ascii="Arial" w:eastAsia="Times New Roman" w:hAnsi="Arial" w:cs="Arial"/>
                <w:color w:val="000000"/>
                <w:sz w:val="18"/>
                <w:szCs w:val="18"/>
                <w:lang w:eastAsia="sl-SI"/>
              </w:rPr>
              <w:t xml:space="preserve">Delež v vrednosti </w:t>
            </w:r>
          </w:p>
        </w:tc>
      </w:tr>
      <w:tr w:rsidR="008C1B42" w:rsidRPr="008C1B42" w14:paraId="079FC7BA" w14:textId="77777777" w:rsidTr="008C1B42">
        <w:trPr>
          <w:trHeight w:val="255"/>
          <w:jc w:val="center"/>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1D4AE168" w14:textId="1A70FCC9" w:rsidR="008C1B42" w:rsidRPr="008C1B42" w:rsidRDefault="008C1B42" w:rsidP="008C1B42">
            <w:pPr>
              <w:spacing w:after="0" w:line="240" w:lineRule="auto"/>
              <w:rPr>
                <w:rFonts w:ascii="Arial" w:eastAsia="Times New Roman" w:hAnsi="Arial" w:cs="Arial"/>
                <w:color w:val="000000"/>
                <w:sz w:val="18"/>
                <w:szCs w:val="18"/>
                <w:lang w:eastAsia="sl-SI"/>
              </w:rPr>
            </w:pPr>
            <w:r w:rsidRPr="008C1B42">
              <w:rPr>
                <w:rFonts w:ascii="Arial" w:eastAsia="Times New Roman" w:hAnsi="Arial" w:cs="Arial"/>
                <w:color w:val="000000"/>
                <w:sz w:val="18"/>
                <w:szCs w:val="18"/>
                <w:lang w:eastAsia="sl-SI"/>
              </w:rPr>
              <w:t>Splošno</w:t>
            </w:r>
          </w:p>
        </w:tc>
        <w:tc>
          <w:tcPr>
            <w:tcW w:w="960" w:type="dxa"/>
            <w:tcBorders>
              <w:top w:val="nil"/>
              <w:left w:val="nil"/>
              <w:bottom w:val="single" w:sz="4" w:space="0" w:color="auto"/>
              <w:right w:val="single" w:sz="4" w:space="0" w:color="auto"/>
            </w:tcBorders>
            <w:shd w:val="clear" w:color="auto" w:fill="auto"/>
            <w:vAlign w:val="center"/>
            <w:hideMark/>
          </w:tcPr>
          <w:p w14:paraId="5CB60475" w14:textId="48152459" w:rsidR="008C1B42" w:rsidRPr="008C1B42" w:rsidRDefault="008C1B42" w:rsidP="008C1B42">
            <w:pPr>
              <w:spacing w:after="0" w:line="240" w:lineRule="auto"/>
              <w:jc w:val="right"/>
              <w:rPr>
                <w:rFonts w:ascii="Arial" w:eastAsia="Times New Roman" w:hAnsi="Arial" w:cs="Arial"/>
                <w:color w:val="000000"/>
                <w:sz w:val="18"/>
                <w:szCs w:val="18"/>
                <w:lang w:eastAsia="sl-SI"/>
              </w:rPr>
            </w:pPr>
            <w:r w:rsidRPr="008C1B42">
              <w:rPr>
                <w:rFonts w:ascii="Arial" w:eastAsia="Times New Roman" w:hAnsi="Arial" w:cs="Arial"/>
                <w:color w:val="000000"/>
                <w:sz w:val="18"/>
                <w:szCs w:val="18"/>
                <w:lang w:eastAsia="sl-SI"/>
              </w:rPr>
              <w:t>1.053</w:t>
            </w:r>
          </w:p>
        </w:tc>
        <w:tc>
          <w:tcPr>
            <w:tcW w:w="1480" w:type="dxa"/>
            <w:tcBorders>
              <w:top w:val="nil"/>
              <w:left w:val="nil"/>
              <w:bottom w:val="single" w:sz="4" w:space="0" w:color="auto"/>
              <w:right w:val="single" w:sz="4" w:space="0" w:color="auto"/>
            </w:tcBorders>
            <w:shd w:val="clear" w:color="auto" w:fill="auto"/>
            <w:vAlign w:val="center"/>
            <w:hideMark/>
          </w:tcPr>
          <w:p w14:paraId="4DD5E6C0" w14:textId="437EEDA0" w:rsidR="008C1B42" w:rsidRPr="008C1B42" w:rsidRDefault="008C1B42" w:rsidP="008C1B42">
            <w:pPr>
              <w:spacing w:after="0" w:line="240" w:lineRule="auto"/>
              <w:jc w:val="right"/>
              <w:rPr>
                <w:rFonts w:ascii="Arial" w:eastAsia="Times New Roman" w:hAnsi="Arial" w:cs="Arial"/>
                <w:color w:val="000000"/>
                <w:sz w:val="18"/>
                <w:szCs w:val="18"/>
                <w:lang w:eastAsia="sl-SI"/>
              </w:rPr>
            </w:pPr>
            <w:r w:rsidRPr="008C1B42">
              <w:rPr>
                <w:rFonts w:ascii="Arial" w:eastAsia="Times New Roman" w:hAnsi="Arial" w:cs="Arial"/>
                <w:color w:val="000000"/>
                <w:sz w:val="18"/>
                <w:szCs w:val="18"/>
                <w:lang w:eastAsia="sl-SI"/>
              </w:rPr>
              <w:t>965.805.519</w:t>
            </w:r>
          </w:p>
        </w:tc>
        <w:tc>
          <w:tcPr>
            <w:tcW w:w="960" w:type="dxa"/>
            <w:tcBorders>
              <w:top w:val="nil"/>
              <w:left w:val="nil"/>
              <w:bottom w:val="single" w:sz="4" w:space="0" w:color="auto"/>
              <w:right w:val="single" w:sz="4" w:space="0" w:color="auto"/>
            </w:tcBorders>
            <w:shd w:val="clear" w:color="auto" w:fill="auto"/>
            <w:noWrap/>
            <w:vAlign w:val="center"/>
            <w:hideMark/>
          </w:tcPr>
          <w:p w14:paraId="22024352" w14:textId="440314B3" w:rsidR="008C1B42" w:rsidRPr="008C1B42" w:rsidRDefault="008C1B42" w:rsidP="008C1B42">
            <w:pPr>
              <w:spacing w:after="0" w:line="240" w:lineRule="auto"/>
              <w:jc w:val="right"/>
              <w:rPr>
                <w:rFonts w:ascii="Arial" w:eastAsia="Times New Roman" w:hAnsi="Arial" w:cs="Arial"/>
                <w:color w:val="000000"/>
                <w:sz w:val="18"/>
                <w:szCs w:val="18"/>
                <w:lang w:eastAsia="sl-SI"/>
              </w:rPr>
            </w:pPr>
            <w:r w:rsidRPr="008C1B42">
              <w:rPr>
                <w:rFonts w:ascii="Arial" w:eastAsia="Times New Roman" w:hAnsi="Arial" w:cs="Arial"/>
                <w:color w:val="000000"/>
                <w:sz w:val="18"/>
                <w:szCs w:val="18"/>
                <w:lang w:eastAsia="sl-SI"/>
              </w:rPr>
              <w:t>88,64 %</w:t>
            </w:r>
          </w:p>
        </w:tc>
        <w:tc>
          <w:tcPr>
            <w:tcW w:w="960" w:type="dxa"/>
            <w:tcBorders>
              <w:top w:val="nil"/>
              <w:left w:val="nil"/>
              <w:bottom w:val="single" w:sz="4" w:space="0" w:color="auto"/>
              <w:right w:val="single" w:sz="4" w:space="0" w:color="auto"/>
            </w:tcBorders>
            <w:shd w:val="clear" w:color="auto" w:fill="auto"/>
            <w:noWrap/>
            <w:vAlign w:val="center"/>
            <w:hideMark/>
          </w:tcPr>
          <w:p w14:paraId="4BDD6606" w14:textId="322F4779" w:rsidR="008C1B42" w:rsidRPr="008C1B42" w:rsidRDefault="008C1B42" w:rsidP="008C1B42">
            <w:pPr>
              <w:spacing w:after="0" w:line="240" w:lineRule="auto"/>
              <w:jc w:val="right"/>
              <w:rPr>
                <w:rFonts w:ascii="Arial" w:eastAsia="Times New Roman" w:hAnsi="Arial" w:cs="Arial"/>
                <w:color w:val="000000"/>
                <w:sz w:val="18"/>
                <w:szCs w:val="18"/>
                <w:lang w:eastAsia="sl-SI"/>
              </w:rPr>
            </w:pPr>
            <w:r w:rsidRPr="008C1B42">
              <w:rPr>
                <w:rFonts w:ascii="Arial" w:eastAsia="Times New Roman" w:hAnsi="Arial" w:cs="Arial"/>
                <w:color w:val="000000"/>
                <w:sz w:val="18"/>
                <w:szCs w:val="18"/>
                <w:lang w:eastAsia="sl-SI"/>
              </w:rPr>
              <w:t>90,86 %</w:t>
            </w:r>
          </w:p>
        </w:tc>
      </w:tr>
      <w:tr w:rsidR="008C1B42" w:rsidRPr="008C1B42" w14:paraId="639C29C2" w14:textId="77777777" w:rsidTr="008C1B42">
        <w:trPr>
          <w:trHeight w:val="255"/>
          <w:jc w:val="center"/>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17BDF25B" w14:textId="0A0E4C99" w:rsidR="008C1B42" w:rsidRPr="008C1B42" w:rsidRDefault="008C1B42" w:rsidP="008C1B42">
            <w:pPr>
              <w:spacing w:after="0" w:line="240" w:lineRule="auto"/>
              <w:rPr>
                <w:rFonts w:ascii="Arial" w:eastAsia="Times New Roman" w:hAnsi="Arial" w:cs="Arial"/>
                <w:color w:val="000000"/>
                <w:sz w:val="18"/>
                <w:szCs w:val="18"/>
                <w:lang w:eastAsia="sl-SI"/>
              </w:rPr>
            </w:pPr>
            <w:r w:rsidRPr="008C1B42">
              <w:rPr>
                <w:rFonts w:ascii="Arial" w:eastAsia="Times New Roman" w:hAnsi="Arial" w:cs="Arial"/>
                <w:color w:val="000000"/>
                <w:sz w:val="18"/>
                <w:szCs w:val="18"/>
                <w:lang w:eastAsia="sl-SI"/>
              </w:rPr>
              <w:t>Infrastrukturno</w:t>
            </w:r>
          </w:p>
        </w:tc>
        <w:tc>
          <w:tcPr>
            <w:tcW w:w="960" w:type="dxa"/>
            <w:tcBorders>
              <w:top w:val="nil"/>
              <w:left w:val="nil"/>
              <w:bottom w:val="single" w:sz="4" w:space="0" w:color="auto"/>
              <w:right w:val="single" w:sz="4" w:space="0" w:color="auto"/>
            </w:tcBorders>
            <w:shd w:val="clear" w:color="auto" w:fill="auto"/>
            <w:vAlign w:val="center"/>
            <w:hideMark/>
          </w:tcPr>
          <w:p w14:paraId="6D0740FB" w14:textId="2E2391A9" w:rsidR="008C1B42" w:rsidRPr="008C1B42" w:rsidRDefault="008C1B42" w:rsidP="008C1B42">
            <w:pPr>
              <w:spacing w:after="0" w:line="240" w:lineRule="auto"/>
              <w:jc w:val="right"/>
              <w:rPr>
                <w:rFonts w:ascii="Arial" w:eastAsia="Times New Roman" w:hAnsi="Arial" w:cs="Arial"/>
                <w:color w:val="000000"/>
                <w:sz w:val="18"/>
                <w:szCs w:val="18"/>
                <w:lang w:eastAsia="sl-SI"/>
              </w:rPr>
            </w:pPr>
            <w:r w:rsidRPr="008C1B42">
              <w:rPr>
                <w:rFonts w:ascii="Arial" w:eastAsia="Times New Roman" w:hAnsi="Arial" w:cs="Arial"/>
                <w:color w:val="000000"/>
                <w:sz w:val="18"/>
                <w:szCs w:val="18"/>
                <w:lang w:eastAsia="sl-SI"/>
              </w:rPr>
              <w:t>121</w:t>
            </w:r>
          </w:p>
        </w:tc>
        <w:tc>
          <w:tcPr>
            <w:tcW w:w="1480" w:type="dxa"/>
            <w:tcBorders>
              <w:top w:val="nil"/>
              <w:left w:val="nil"/>
              <w:bottom w:val="single" w:sz="4" w:space="0" w:color="auto"/>
              <w:right w:val="single" w:sz="4" w:space="0" w:color="auto"/>
            </w:tcBorders>
            <w:shd w:val="clear" w:color="auto" w:fill="auto"/>
            <w:vAlign w:val="center"/>
            <w:hideMark/>
          </w:tcPr>
          <w:p w14:paraId="4A54D8AA" w14:textId="4AB662D6" w:rsidR="008C1B42" w:rsidRPr="008C1B42" w:rsidRDefault="008C1B42" w:rsidP="008C1B42">
            <w:pPr>
              <w:spacing w:after="0" w:line="240" w:lineRule="auto"/>
              <w:jc w:val="right"/>
              <w:rPr>
                <w:rFonts w:ascii="Arial" w:eastAsia="Times New Roman" w:hAnsi="Arial" w:cs="Arial"/>
                <w:color w:val="000000"/>
                <w:sz w:val="18"/>
                <w:szCs w:val="18"/>
                <w:lang w:eastAsia="sl-SI"/>
              </w:rPr>
            </w:pPr>
            <w:r w:rsidRPr="008C1B42">
              <w:rPr>
                <w:rFonts w:ascii="Arial" w:eastAsia="Times New Roman" w:hAnsi="Arial" w:cs="Arial"/>
                <w:color w:val="000000"/>
                <w:sz w:val="18"/>
                <w:szCs w:val="18"/>
                <w:lang w:eastAsia="sl-SI"/>
              </w:rPr>
              <w:t>83.429.524</w:t>
            </w:r>
          </w:p>
        </w:tc>
        <w:tc>
          <w:tcPr>
            <w:tcW w:w="960" w:type="dxa"/>
            <w:tcBorders>
              <w:top w:val="nil"/>
              <w:left w:val="nil"/>
              <w:bottom w:val="single" w:sz="4" w:space="0" w:color="auto"/>
              <w:right w:val="single" w:sz="4" w:space="0" w:color="auto"/>
            </w:tcBorders>
            <w:shd w:val="clear" w:color="auto" w:fill="auto"/>
            <w:noWrap/>
            <w:vAlign w:val="center"/>
            <w:hideMark/>
          </w:tcPr>
          <w:p w14:paraId="3408D8C9" w14:textId="453DECD2" w:rsidR="008C1B42" w:rsidRPr="008C1B42" w:rsidRDefault="008C1B42" w:rsidP="008C1B42">
            <w:pPr>
              <w:spacing w:after="0" w:line="240" w:lineRule="auto"/>
              <w:jc w:val="right"/>
              <w:rPr>
                <w:rFonts w:ascii="Arial" w:eastAsia="Times New Roman" w:hAnsi="Arial" w:cs="Arial"/>
                <w:color w:val="000000"/>
                <w:sz w:val="18"/>
                <w:szCs w:val="18"/>
                <w:lang w:eastAsia="sl-SI"/>
              </w:rPr>
            </w:pPr>
            <w:r w:rsidRPr="008C1B42">
              <w:rPr>
                <w:rFonts w:ascii="Arial" w:eastAsia="Times New Roman" w:hAnsi="Arial" w:cs="Arial"/>
                <w:color w:val="000000"/>
                <w:sz w:val="18"/>
                <w:szCs w:val="18"/>
                <w:lang w:eastAsia="sl-SI"/>
              </w:rPr>
              <w:t>10,19 %</w:t>
            </w:r>
          </w:p>
        </w:tc>
        <w:tc>
          <w:tcPr>
            <w:tcW w:w="960" w:type="dxa"/>
            <w:tcBorders>
              <w:top w:val="nil"/>
              <w:left w:val="nil"/>
              <w:bottom w:val="single" w:sz="4" w:space="0" w:color="auto"/>
              <w:right w:val="single" w:sz="4" w:space="0" w:color="auto"/>
            </w:tcBorders>
            <w:shd w:val="clear" w:color="auto" w:fill="auto"/>
            <w:noWrap/>
            <w:vAlign w:val="center"/>
            <w:hideMark/>
          </w:tcPr>
          <w:p w14:paraId="5271677E" w14:textId="5AD5B5C9" w:rsidR="008C1B42" w:rsidRPr="008C1B42" w:rsidRDefault="008C1B42" w:rsidP="008C1B42">
            <w:pPr>
              <w:spacing w:after="0" w:line="240" w:lineRule="auto"/>
              <w:jc w:val="right"/>
              <w:rPr>
                <w:rFonts w:ascii="Arial" w:eastAsia="Times New Roman" w:hAnsi="Arial" w:cs="Arial"/>
                <w:color w:val="000000"/>
                <w:sz w:val="18"/>
                <w:szCs w:val="18"/>
                <w:lang w:eastAsia="sl-SI"/>
              </w:rPr>
            </w:pPr>
            <w:r w:rsidRPr="008C1B42">
              <w:rPr>
                <w:rFonts w:ascii="Arial" w:eastAsia="Times New Roman" w:hAnsi="Arial" w:cs="Arial"/>
                <w:color w:val="000000"/>
                <w:sz w:val="18"/>
                <w:szCs w:val="18"/>
                <w:lang w:eastAsia="sl-SI"/>
              </w:rPr>
              <w:t>7,85 %</w:t>
            </w:r>
          </w:p>
        </w:tc>
      </w:tr>
      <w:tr w:rsidR="008C1B42" w:rsidRPr="008C1B42" w14:paraId="25B742A8" w14:textId="77777777" w:rsidTr="008C1B42">
        <w:trPr>
          <w:trHeight w:val="255"/>
          <w:jc w:val="center"/>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78FAE146" w14:textId="6AD71C1D" w:rsidR="008C1B42" w:rsidRPr="008C1B42" w:rsidRDefault="008C1B42" w:rsidP="008C1B42">
            <w:pPr>
              <w:spacing w:after="0" w:line="240" w:lineRule="auto"/>
              <w:rPr>
                <w:rFonts w:ascii="Arial" w:eastAsia="Times New Roman" w:hAnsi="Arial" w:cs="Arial"/>
                <w:color w:val="000000"/>
                <w:sz w:val="18"/>
                <w:szCs w:val="18"/>
                <w:lang w:eastAsia="sl-SI"/>
              </w:rPr>
            </w:pPr>
            <w:r w:rsidRPr="008C1B42">
              <w:rPr>
                <w:rFonts w:ascii="Arial" w:eastAsia="Times New Roman" w:hAnsi="Arial" w:cs="Arial"/>
                <w:color w:val="000000"/>
                <w:sz w:val="18"/>
                <w:szCs w:val="18"/>
                <w:lang w:eastAsia="sl-SI"/>
              </w:rPr>
              <w:t>Obrambno</w:t>
            </w:r>
          </w:p>
        </w:tc>
        <w:tc>
          <w:tcPr>
            <w:tcW w:w="960" w:type="dxa"/>
            <w:tcBorders>
              <w:top w:val="nil"/>
              <w:left w:val="nil"/>
              <w:bottom w:val="single" w:sz="4" w:space="0" w:color="auto"/>
              <w:right w:val="single" w:sz="4" w:space="0" w:color="auto"/>
            </w:tcBorders>
            <w:shd w:val="clear" w:color="auto" w:fill="auto"/>
            <w:vAlign w:val="center"/>
            <w:hideMark/>
          </w:tcPr>
          <w:p w14:paraId="4BA1268D" w14:textId="5FF1522A" w:rsidR="008C1B42" w:rsidRPr="008C1B42" w:rsidRDefault="008C1B42" w:rsidP="008C1B42">
            <w:pPr>
              <w:spacing w:after="0" w:line="240" w:lineRule="auto"/>
              <w:jc w:val="right"/>
              <w:rPr>
                <w:rFonts w:ascii="Arial" w:eastAsia="Times New Roman" w:hAnsi="Arial" w:cs="Arial"/>
                <w:color w:val="000000"/>
                <w:sz w:val="18"/>
                <w:szCs w:val="18"/>
                <w:lang w:eastAsia="sl-SI"/>
              </w:rPr>
            </w:pPr>
            <w:r w:rsidRPr="008C1B42">
              <w:rPr>
                <w:rFonts w:ascii="Arial" w:eastAsia="Times New Roman" w:hAnsi="Arial" w:cs="Arial"/>
                <w:color w:val="000000"/>
                <w:sz w:val="18"/>
                <w:szCs w:val="18"/>
                <w:lang w:eastAsia="sl-SI"/>
              </w:rPr>
              <w:t>14</w:t>
            </w:r>
          </w:p>
        </w:tc>
        <w:tc>
          <w:tcPr>
            <w:tcW w:w="1480" w:type="dxa"/>
            <w:tcBorders>
              <w:top w:val="nil"/>
              <w:left w:val="nil"/>
              <w:bottom w:val="single" w:sz="4" w:space="0" w:color="auto"/>
              <w:right w:val="single" w:sz="4" w:space="0" w:color="auto"/>
            </w:tcBorders>
            <w:shd w:val="clear" w:color="auto" w:fill="auto"/>
            <w:vAlign w:val="center"/>
            <w:hideMark/>
          </w:tcPr>
          <w:p w14:paraId="0050CD43" w14:textId="78E77150" w:rsidR="008C1B42" w:rsidRPr="008C1B42" w:rsidRDefault="008C1B42" w:rsidP="008C1B42">
            <w:pPr>
              <w:spacing w:after="0" w:line="240" w:lineRule="auto"/>
              <w:jc w:val="right"/>
              <w:rPr>
                <w:rFonts w:ascii="Arial" w:eastAsia="Times New Roman" w:hAnsi="Arial" w:cs="Arial"/>
                <w:color w:val="000000"/>
                <w:sz w:val="18"/>
                <w:szCs w:val="18"/>
                <w:lang w:eastAsia="sl-SI"/>
              </w:rPr>
            </w:pPr>
            <w:r w:rsidRPr="008C1B42">
              <w:rPr>
                <w:rFonts w:ascii="Arial" w:eastAsia="Times New Roman" w:hAnsi="Arial" w:cs="Arial"/>
                <w:color w:val="000000"/>
                <w:sz w:val="18"/>
                <w:szCs w:val="18"/>
                <w:lang w:eastAsia="sl-SI"/>
              </w:rPr>
              <w:t>13.755.181</w:t>
            </w:r>
          </w:p>
        </w:tc>
        <w:tc>
          <w:tcPr>
            <w:tcW w:w="960" w:type="dxa"/>
            <w:tcBorders>
              <w:top w:val="nil"/>
              <w:left w:val="nil"/>
              <w:bottom w:val="single" w:sz="4" w:space="0" w:color="auto"/>
              <w:right w:val="single" w:sz="4" w:space="0" w:color="auto"/>
            </w:tcBorders>
            <w:shd w:val="clear" w:color="auto" w:fill="auto"/>
            <w:noWrap/>
            <w:vAlign w:val="center"/>
            <w:hideMark/>
          </w:tcPr>
          <w:p w14:paraId="36DF353E" w14:textId="73B30D4D" w:rsidR="008C1B42" w:rsidRPr="008C1B42" w:rsidRDefault="008C1B42" w:rsidP="008C1B42">
            <w:pPr>
              <w:spacing w:after="0" w:line="240" w:lineRule="auto"/>
              <w:jc w:val="right"/>
              <w:rPr>
                <w:rFonts w:ascii="Arial" w:eastAsia="Times New Roman" w:hAnsi="Arial" w:cs="Arial"/>
                <w:color w:val="000000"/>
                <w:sz w:val="18"/>
                <w:szCs w:val="18"/>
                <w:lang w:eastAsia="sl-SI"/>
              </w:rPr>
            </w:pPr>
            <w:r w:rsidRPr="008C1B42">
              <w:rPr>
                <w:rFonts w:ascii="Arial" w:eastAsia="Times New Roman" w:hAnsi="Arial" w:cs="Arial"/>
                <w:color w:val="000000"/>
                <w:sz w:val="18"/>
                <w:szCs w:val="18"/>
                <w:lang w:eastAsia="sl-SI"/>
              </w:rPr>
              <w:t>1,18 %</w:t>
            </w:r>
          </w:p>
        </w:tc>
        <w:tc>
          <w:tcPr>
            <w:tcW w:w="960" w:type="dxa"/>
            <w:tcBorders>
              <w:top w:val="nil"/>
              <w:left w:val="nil"/>
              <w:bottom w:val="single" w:sz="4" w:space="0" w:color="auto"/>
              <w:right w:val="single" w:sz="4" w:space="0" w:color="auto"/>
            </w:tcBorders>
            <w:shd w:val="clear" w:color="auto" w:fill="auto"/>
            <w:noWrap/>
            <w:vAlign w:val="center"/>
            <w:hideMark/>
          </w:tcPr>
          <w:p w14:paraId="2C0A6451" w14:textId="53ABCF23" w:rsidR="008C1B42" w:rsidRPr="008C1B42" w:rsidRDefault="008C1B42" w:rsidP="008C1B42">
            <w:pPr>
              <w:spacing w:after="0" w:line="240" w:lineRule="auto"/>
              <w:jc w:val="right"/>
              <w:rPr>
                <w:rFonts w:ascii="Arial" w:eastAsia="Times New Roman" w:hAnsi="Arial" w:cs="Arial"/>
                <w:color w:val="000000"/>
                <w:sz w:val="18"/>
                <w:szCs w:val="18"/>
                <w:lang w:eastAsia="sl-SI"/>
              </w:rPr>
            </w:pPr>
            <w:r w:rsidRPr="008C1B42">
              <w:rPr>
                <w:rFonts w:ascii="Arial" w:eastAsia="Times New Roman" w:hAnsi="Arial" w:cs="Arial"/>
                <w:color w:val="000000"/>
                <w:sz w:val="18"/>
                <w:szCs w:val="18"/>
                <w:lang w:eastAsia="sl-SI"/>
              </w:rPr>
              <w:t>1,29 %</w:t>
            </w:r>
          </w:p>
        </w:tc>
      </w:tr>
      <w:tr w:rsidR="008C1B42" w:rsidRPr="008C1B42" w14:paraId="32BAB613" w14:textId="77777777" w:rsidTr="008C1B42">
        <w:trPr>
          <w:trHeight w:val="255"/>
          <w:jc w:val="center"/>
        </w:trPr>
        <w:tc>
          <w:tcPr>
            <w:tcW w:w="16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284E899" w14:textId="0EE98C14" w:rsidR="008C1B42" w:rsidRPr="008C1B42" w:rsidRDefault="008C1B42" w:rsidP="008C1B42">
            <w:pPr>
              <w:spacing w:after="0" w:line="240" w:lineRule="auto"/>
              <w:rPr>
                <w:rFonts w:ascii="Arial" w:eastAsia="Times New Roman" w:hAnsi="Arial" w:cs="Arial"/>
                <w:b/>
                <w:bCs/>
                <w:color w:val="000000"/>
                <w:sz w:val="18"/>
                <w:szCs w:val="18"/>
                <w:lang w:eastAsia="sl-SI"/>
              </w:rPr>
            </w:pPr>
            <w:r w:rsidRPr="008C1B42">
              <w:rPr>
                <w:rFonts w:ascii="Arial" w:eastAsia="Times New Roman" w:hAnsi="Arial" w:cs="Arial"/>
                <w:b/>
                <w:bCs/>
                <w:color w:val="000000"/>
                <w:sz w:val="18"/>
                <w:szCs w:val="18"/>
                <w:lang w:eastAsia="sl-SI"/>
              </w:rPr>
              <w:t>Skupaj</w:t>
            </w:r>
          </w:p>
        </w:tc>
        <w:tc>
          <w:tcPr>
            <w:tcW w:w="960" w:type="dxa"/>
            <w:tcBorders>
              <w:top w:val="nil"/>
              <w:left w:val="nil"/>
              <w:bottom w:val="single" w:sz="4" w:space="0" w:color="auto"/>
              <w:right w:val="single" w:sz="4" w:space="0" w:color="auto"/>
            </w:tcBorders>
            <w:shd w:val="clear" w:color="auto" w:fill="F2F2F2" w:themeFill="background1" w:themeFillShade="F2"/>
            <w:vAlign w:val="center"/>
            <w:hideMark/>
          </w:tcPr>
          <w:p w14:paraId="3FDBE696" w14:textId="6E2051A8" w:rsidR="008C1B42" w:rsidRPr="008C1B42" w:rsidRDefault="008C1B42" w:rsidP="008C1B42">
            <w:pPr>
              <w:spacing w:after="0" w:line="240" w:lineRule="auto"/>
              <w:jc w:val="right"/>
              <w:rPr>
                <w:rFonts w:ascii="Arial" w:eastAsia="Times New Roman" w:hAnsi="Arial" w:cs="Arial"/>
                <w:b/>
                <w:bCs/>
                <w:color w:val="000000"/>
                <w:sz w:val="18"/>
                <w:szCs w:val="18"/>
                <w:lang w:eastAsia="sl-SI"/>
              </w:rPr>
            </w:pPr>
            <w:r w:rsidRPr="008C1B42">
              <w:rPr>
                <w:rFonts w:ascii="Arial" w:eastAsia="Times New Roman" w:hAnsi="Arial" w:cs="Arial"/>
                <w:b/>
                <w:bCs/>
                <w:color w:val="000000"/>
                <w:sz w:val="18"/>
                <w:szCs w:val="18"/>
                <w:lang w:eastAsia="sl-SI"/>
              </w:rPr>
              <w:t>1.188</w:t>
            </w:r>
          </w:p>
        </w:tc>
        <w:tc>
          <w:tcPr>
            <w:tcW w:w="1480" w:type="dxa"/>
            <w:tcBorders>
              <w:top w:val="nil"/>
              <w:left w:val="nil"/>
              <w:bottom w:val="single" w:sz="4" w:space="0" w:color="auto"/>
              <w:right w:val="single" w:sz="4" w:space="0" w:color="auto"/>
            </w:tcBorders>
            <w:shd w:val="clear" w:color="auto" w:fill="F2F2F2" w:themeFill="background1" w:themeFillShade="F2"/>
            <w:vAlign w:val="center"/>
            <w:hideMark/>
          </w:tcPr>
          <w:p w14:paraId="7229DA63" w14:textId="77130D51" w:rsidR="008C1B42" w:rsidRPr="008C1B42" w:rsidRDefault="008C1B42" w:rsidP="008C1B42">
            <w:pPr>
              <w:spacing w:after="0" w:line="240" w:lineRule="auto"/>
              <w:jc w:val="right"/>
              <w:rPr>
                <w:rFonts w:ascii="Arial" w:eastAsia="Times New Roman" w:hAnsi="Arial" w:cs="Arial"/>
                <w:b/>
                <w:bCs/>
                <w:color w:val="000000"/>
                <w:sz w:val="18"/>
                <w:szCs w:val="18"/>
                <w:lang w:eastAsia="sl-SI"/>
              </w:rPr>
            </w:pPr>
            <w:r w:rsidRPr="008C1B42">
              <w:rPr>
                <w:rFonts w:ascii="Arial" w:eastAsia="Times New Roman" w:hAnsi="Arial" w:cs="Arial"/>
                <w:b/>
                <w:bCs/>
                <w:color w:val="000000"/>
                <w:sz w:val="18"/>
                <w:szCs w:val="18"/>
                <w:lang w:eastAsia="sl-SI"/>
              </w:rPr>
              <w:t>1.062.990.224</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4AAC0D43" w14:textId="08A4B7E3" w:rsidR="008C1B42" w:rsidRPr="008C1B42" w:rsidRDefault="008C1B42" w:rsidP="008C1B42">
            <w:pPr>
              <w:spacing w:after="0" w:line="240" w:lineRule="auto"/>
              <w:jc w:val="right"/>
              <w:rPr>
                <w:rFonts w:ascii="Arial" w:eastAsia="Times New Roman" w:hAnsi="Arial" w:cs="Arial"/>
                <w:b/>
                <w:bCs/>
                <w:color w:val="000000"/>
                <w:sz w:val="18"/>
                <w:szCs w:val="18"/>
                <w:lang w:eastAsia="sl-SI"/>
              </w:rPr>
            </w:pPr>
            <w:r w:rsidRPr="008C1B42">
              <w:rPr>
                <w:rFonts w:ascii="Arial" w:eastAsia="Times New Roman" w:hAnsi="Arial" w:cs="Arial"/>
                <w:b/>
                <w:bCs/>
                <w:color w:val="000000"/>
                <w:sz w:val="18"/>
                <w:szCs w:val="18"/>
                <w:lang w:eastAsia="sl-SI"/>
              </w:rPr>
              <w:t>100,00 %</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4585A293" w14:textId="013659DF" w:rsidR="008C1B42" w:rsidRPr="008C1B42" w:rsidRDefault="008C1B42" w:rsidP="008C1B42">
            <w:pPr>
              <w:spacing w:after="0" w:line="240" w:lineRule="auto"/>
              <w:jc w:val="right"/>
              <w:rPr>
                <w:rFonts w:ascii="Arial" w:eastAsia="Times New Roman" w:hAnsi="Arial" w:cs="Arial"/>
                <w:b/>
                <w:bCs/>
                <w:color w:val="000000"/>
                <w:sz w:val="18"/>
                <w:szCs w:val="18"/>
                <w:lang w:eastAsia="sl-SI"/>
              </w:rPr>
            </w:pPr>
            <w:r w:rsidRPr="008C1B42">
              <w:rPr>
                <w:rFonts w:ascii="Arial" w:eastAsia="Times New Roman" w:hAnsi="Arial" w:cs="Arial"/>
                <w:b/>
                <w:bCs/>
                <w:color w:val="000000"/>
                <w:sz w:val="18"/>
                <w:szCs w:val="18"/>
                <w:lang w:eastAsia="sl-SI"/>
              </w:rPr>
              <w:t>100,00 %</w:t>
            </w:r>
          </w:p>
        </w:tc>
      </w:tr>
    </w:tbl>
    <w:p w14:paraId="2C006040" w14:textId="77777777" w:rsidR="004A613D" w:rsidRPr="008C1B42" w:rsidRDefault="004A613D" w:rsidP="004A613D">
      <w:pPr>
        <w:spacing w:after="0" w:line="240" w:lineRule="auto"/>
        <w:jc w:val="center"/>
        <w:rPr>
          <w:rFonts w:ascii="Arial" w:hAnsi="Arial" w:cs="Arial"/>
          <w:sz w:val="18"/>
        </w:rPr>
      </w:pPr>
    </w:p>
    <w:p w14:paraId="07553164" w14:textId="1B2FBD7A" w:rsidR="002927AF" w:rsidRDefault="00456791" w:rsidP="00701C10">
      <w:pPr>
        <w:spacing w:after="240" w:line="240" w:lineRule="auto"/>
        <w:jc w:val="center"/>
        <w:rPr>
          <w:rFonts w:ascii="Arial" w:hAnsi="Arial" w:cs="Arial"/>
          <w:sz w:val="18"/>
        </w:rPr>
      </w:pPr>
      <w:r w:rsidRPr="008C1B42">
        <w:rPr>
          <w:rFonts w:ascii="Arial" w:hAnsi="Arial" w:cs="Arial"/>
          <w:sz w:val="18"/>
        </w:rPr>
        <w:t>Vir: Statistični podatki o javnih naročilih, oddanih v letu 20</w:t>
      </w:r>
      <w:r w:rsidR="0083041C" w:rsidRPr="008C1B42">
        <w:rPr>
          <w:rFonts w:ascii="Arial" w:hAnsi="Arial" w:cs="Arial"/>
          <w:sz w:val="18"/>
        </w:rPr>
        <w:t>2</w:t>
      </w:r>
      <w:r w:rsidR="008C1B42" w:rsidRPr="008C1B42">
        <w:rPr>
          <w:rFonts w:ascii="Arial" w:hAnsi="Arial" w:cs="Arial"/>
          <w:sz w:val="18"/>
        </w:rPr>
        <w:t>2</w:t>
      </w:r>
      <w:r w:rsidR="008426A1" w:rsidRPr="008C1B42">
        <w:rPr>
          <w:rFonts w:ascii="Arial" w:hAnsi="Arial" w:cs="Arial"/>
          <w:sz w:val="18"/>
        </w:rPr>
        <w:t>.</w:t>
      </w:r>
    </w:p>
    <w:p w14:paraId="5B0FA7CF" w14:textId="1EC43F9F" w:rsidR="00B11580" w:rsidRPr="003F3283" w:rsidRDefault="00B11580" w:rsidP="005E3192">
      <w:pPr>
        <w:pStyle w:val="Naslov3"/>
        <w:spacing w:before="0"/>
        <w:rPr>
          <w:rFonts w:ascii="Arial" w:hAnsi="Arial" w:cs="Arial"/>
          <w:sz w:val="22"/>
          <w:szCs w:val="22"/>
        </w:rPr>
      </w:pPr>
      <w:bookmarkStart w:id="36" w:name="_Toc141864068"/>
      <w:r w:rsidRPr="003F3283">
        <w:rPr>
          <w:rFonts w:ascii="Arial" w:hAnsi="Arial" w:cs="Arial"/>
          <w:sz w:val="22"/>
          <w:szCs w:val="22"/>
        </w:rPr>
        <w:t>2.</w:t>
      </w:r>
      <w:r w:rsidR="00FA2740" w:rsidRPr="003F3283">
        <w:rPr>
          <w:rFonts w:ascii="Arial" w:hAnsi="Arial" w:cs="Arial"/>
          <w:sz w:val="22"/>
          <w:szCs w:val="22"/>
        </w:rPr>
        <w:t>6</w:t>
      </w:r>
      <w:r w:rsidRPr="003F3283">
        <w:rPr>
          <w:rFonts w:ascii="Arial" w:hAnsi="Arial" w:cs="Arial"/>
          <w:sz w:val="22"/>
          <w:szCs w:val="22"/>
        </w:rPr>
        <w:t>.1 Uresničevanj</w:t>
      </w:r>
      <w:r w:rsidR="00B36CDA" w:rsidRPr="003F3283">
        <w:rPr>
          <w:rFonts w:ascii="Arial" w:hAnsi="Arial" w:cs="Arial"/>
          <w:sz w:val="22"/>
          <w:szCs w:val="22"/>
        </w:rPr>
        <w:t>e</w:t>
      </w:r>
      <w:r w:rsidRPr="003F3283">
        <w:rPr>
          <w:rFonts w:ascii="Arial" w:hAnsi="Arial" w:cs="Arial"/>
          <w:sz w:val="22"/>
          <w:szCs w:val="22"/>
        </w:rPr>
        <w:t xml:space="preserve"> načela konkurenčnosti in </w:t>
      </w:r>
      <w:r w:rsidR="00F404B0" w:rsidRPr="003F3283">
        <w:rPr>
          <w:rFonts w:ascii="Arial" w:hAnsi="Arial" w:cs="Arial"/>
          <w:sz w:val="22"/>
          <w:szCs w:val="22"/>
        </w:rPr>
        <w:t>združevanje</w:t>
      </w:r>
      <w:r w:rsidR="009B2527" w:rsidRPr="003F3283">
        <w:rPr>
          <w:rFonts w:ascii="Arial" w:hAnsi="Arial" w:cs="Arial"/>
          <w:sz w:val="22"/>
          <w:szCs w:val="22"/>
        </w:rPr>
        <w:t xml:space="preserve"> naročil v postopku</w:t>
      </w:r>
      <w:bookmarkEnd w:id="36"/>
      <w:r w:rsidR="009B2527" w:rsidRPr="003F3283">
        <w:rPr>
          <w:rFonts w:ascii="Arial" w:hAnsi="Arial" w:cs="Arial"/>
          <w:sz w:val="22"/>
          <w:szCs w:val="22"/>
        </w:rPr>
        <w:t xml:space="preserve"> </w:t>
      </w:r>
    </w:p>
    <w:p w14:paraId="27FB0EF0" w14:textId="77777777" w:rsidR="00F91742" w:rsidRPr="003F3283" w:rsidRDefault="00F91742" w:rsidP="005E3192"/>
    <w:p w14:paraId="3EC26D9F" w14:textId="69A64EA3" w:rsidR="00771E42" w:rsidRPr="003F3283" w:rsidRDefault="000331D2" w:rsidP="005E3192">
      <w:pPr>
        <w:spacing w:line="360" w:lineRule="auto"/>
        <w:jc w:val="both"/>
        <w:rPr>
          <w:rFonts w:ascii="Arial" w:hAnsi="Arial" w:cs="Arial"/>
          <w:sz w:val="20"/>
          <w:szCs w:val="20"/>
        </w:rPr>
      </w:pPr>
      <w:r w:rsidRPr="003F3283">
        <w:rPr>
          <w:rFonts w:ascii="Arial" w:hAnsi="Arial" w:cs="Arial"/>
          <w:sz w:val="20"/>
          <w:szCs w:val="20"/>
        </w:rPr>
        <w:t>Leta</w:t>
      </w:r>
      <w:r w:rsidR="00FF2869" w:rsidRPr="003F3283">
        <w:rPr>
          <w:rFonts w:ascii="Arial" w:hAnsi="Arial" w:cs="Arial"/>
          <w:sz w:val="20"/>
          <w:szCs w:val="20"/>
        </w:rPr>
        <w:t xml:space="preserve"> 20</w:t>
      </w:r>
      <w:r w:rsidR="00AD6BE7" w:rsidRPr="003F3283">
        <w:rPr>
          <w:rFonts w:ascii="Arial" w:hAnsi="Arial" w:cs="Arial"/>
          <w:sz w:val="20"/>
          <w:szCs w:val="20"/>
        </w:rPr>
        <w:t>2</w:t>
      </w:r>
      <w:r w:rsidR="005E33D6" w:rsidRPr="003F3283">
        <w:rPr>
          <w:rFonts w:ascii="Arial" w:hAnsi="Arial" w:cs="Arial"/>
          <w:sz w:val="20"/>
          <w:szCs w:val="20"/>
        </w:rPr>
        <w:t>2</w:t>
      </w:r>
      <w:r w:rsidR="007B5C52" w:rsidRPr="003F3283">
        <w:rPr>
          <w:rFonts w:ascii="Arial" w:hAnsi="Arial" w:cs="Arial"/>
          <w:sz w:val="20"/>
          <w:szCs w:val="20"/>
        </w:rPr>
        <w:t xml:space="preserve"> javni naročniki v </w:t>
      </w:r>
      <w:r w:rsidR="006C0B5C" w:rsidRPr="003F3283">
        <w:rPr>
          <w:rFonts w:ascii="Arial" w:hAnsi="Arial" w:cs="Arial"/>
          <w:sz w:val="20"/>
          <w:szCs w:val="20"/>
        </w:rPr>
        <w:t>5</w:t>
      </w:r>
      <w:r w:rsidR="005E33D6" w:rsidRPr="003F3283">
        <w:rPr>
          <w:rFonts w:ascii="Arial" w:hAnsi="Arial" w:cs="Arial"/>
          <w:sz w:val="20"/>
          <w:szCs w:val="20"/>
        </w:rPr>
        <w:t>117</w:t>
      </w:r>
      <w:r w:rsidR="007B5C52" w:rsidRPr="003F3283">
        <w:rPr>
          <w:rFonts w:ascii="Arial" w:hAnsi="Arial" w:cs="Arial"/>
          <w:sz w:val="20"/>
          <w:szCs w:val="20"/>
        </w:rPr>
        <w:t xml:space="preserve"> postopkih javnega naročanja niso oblikovali </w:t>
      </w:r>
      <w:r w:rsidR="009B2527" w:rsidRPr="003F3283">
        <w:rPr>
          <w:rFonts w:ascii="Arial" w:hAnsi="Arial" w:cs="Arial"/>
          <w:sz w:val="20"/>
          <w:szCs w:val="20"/>
        </w:rPr>
        <w:t>naročil</w:t>
      </w:r>
      <w:r w:rsidR="002B4A0A" w:rsidRPr="003F3283">
        <w:rPr>
          <w:rFonts w:ascii="Arial" w:hAnsi="Arial" w:cs="Arial"/>
          <w:sz w:val="20"/>
          <w:szCs w:val="20"/>
        </w:rPr>
        <w:t xml:space="preserve"> (sklopov)</w:t>
      </w:r>
      <w:r w:rsidR="007B5C52" w:rsidRPr="003F3283">
        <w:rPr>
          <w:rFonts w:ascii="Arial" w:hAnsi="Arial" w:cs="Arial"/>
          <w:sz w:val="20"/>
          <w:szCs w:val="20"/>
        </w:rPr>
        <w:t xml:space="preserve">. Skupna vrednost teh </w:t>
      </w:r>
      <w:r w:rsidR="009B2527" w:rsidRPr="003F3283">
        <w:rPr>
          <w:rFonts w:ascii="Arial" w:hAnsi="Arial" w:cs="Arial"/>
          <w:sz w:val="20"/>
          <w:szCs w:val="20"/>
        </w:rPr>
        <w:t>postopkov</w:t>
      </w:r>
      <w:r w:rsidR="007B5C52" w:rsidRPr="003F3283">
        <w:rPr>
          <w:rFonts w:ascii="Arial" w:hAnsi="Arial" w:cs="Arial"/>
          <w:sz w:val="20"/>
          <w:szCs w:val="20"/>
        </w:rPr>
        <w:t xml:space="preserve"> je znašala </w:t>
      </w:r>
      <w:r w:rsidR="005E33D6" w:rsidRPr="003F3283">
        <w:rPr>
          <w:rFonts w:ascii="Arial" w:hAnsi="Arial" w:cs="Arial"/>
          <w:sz w:val="20"/>
          <w:szCs w:val="20"/>
        </w:rPr>
        <w:t xml:space="preserve">3.833.206.450 </w:t>
      </w:r>
      <w:r w:rsidR="007B5C52" w:rsidRPr="003F3283">
        <w:rPr>
          <w:rFonts w:ascii="Arial" w:hAnsi="Arial" w:cs="Arial"/>
          <w:sz w:val="20"/>
          <w:szCs w:val="20"/>
        </w:rPr>
        <w:t xml:space="preserve">evrov. V </w:t>
      </w:r>
      <w:r w:rsidR="00B300E1" w:rsidRPr="003F3283">
        <w:rPr>
          <w:rFonts w:ascii="Arial" w:hAnsi="Arial" w:cs="Arial"/>
          <w:sz w:val="20"/>
          <w:szCs w:val="20"/>
        </w:rPr>
        <w:t>1</w:t>
      </w:r>
      <w:r w:rsidR="003F3283" w:rsidRPr="003F3283">
        <w:rPr>
          <w:rFonts w:ascii="Arial" w:hAnsi="Arial" w:cs="Arial"/>
          <w:sz w:val="20"/>
          <w:szCs w:val="20"/>
        </w:rPr>
        <w:t>604</w:t>
      </w:r>
      <w:r w:rsidR="007B5C52" w:rsidRPr="003F3283">
        <w:rPr>
          <w:rFonts w:ascii="Arial" w:hAnsi="Arial" w:cs="Arial"/>
          <w:sz w:val="20"/>
          <w:szCs w:val="20"/>
        </w:rPr>
        <w:t xml:space="preserve"> postopkih</w:t>
      </w:r>
      <w:r w:rsidR="00FD48CF" w:rsidRPr="003F3283">
        <w:rPr>
          <w:rFonts w:ascii="Arial" w:hAnsi="Arial" w:cs="Arial"/>
          <w:sz w:val="20"/>
          <w:szCs w:val="20"/>
        </w:rPr>
        <w:t xml:space="preserve"> s </w:t>
      </w:r>
      <w:r w:rsidR="007B5C52" w:rsidRPr="003F3283">
        <w:rPr>
          <w:rFonts w:ascii="Arial" w:hAnsi="Arial" w:cs="Arial"/>
          <w:sz w:val="20"/>
          <w:szCs w:val="20"/>
        </w:rPr>
        <w:t>skupn</w:t>
      </w:r>
      <w:r w:rsidR="00FD48CF" w:rsidRPr="003F3283">
        <w:rPr>
          <w:rFonts w:ascii="Arial" w:hAnsi="Arial" w:cs="Arial"/>
          <w:sz w:val="20"/>
          <w:szCs w:val="20"/>
        </w:rPr>
        <w:t>o</w:t>
      </w:r>
      <w:r w:rsidR="007B5C52" w:rsidRPr="003F3283">
        <w:rPr>
          <w:rFonts w:ascii="Arial" w:hAnsi="Arial" w:cs="Arial"/>
          <w:sz w:val="20"/>
          <w:szCs w:val="20"/>
        </w:rPr>
        <w:t xml:space="preserve"> vrednost</w:t>
      </w:r>
      <w:r w:rsidR="00FD48CF" w:rsidRPr="003F3283">
        <w:rPr>
          <w:rFonts w:ascii="Arial" w:hAnsi="Arial" w:cs="Arial"/>
          <w:sz w:val="20"/>
          <w:szCs w:val="20"/>
        </w:rPr>
        <w:t>jo</w:t>
      </w:r>
      <w:r w:rsidR="00B300E1" w:rsidRPr="003F3283">
        <w:rPr>
          <w:rFonts w:ascii="Arial" w:hAnsi="Arial" w:cs="Arial"/>
          <w:sz w:val="20"/>
          <w:szCs w:val="20"/>
        </w:rPr>
        <w:t xml:space="preserve"> </w:t>
      </w:r>
      <w:r w:rsidR="003F3283" w:rsidRPr="003F3283">
        <w:rPr>
          <w:rFonts w:ascii="Arial" w:hAnsi="Arial" w:cs="Arial"/>
          <w:sz w:val="20"/>
          <w:szCs w:val="20"/>
        </w:rPr>
        <w:t xml:space="preserve">1.583.899.452 </w:t>
      </w:r>
      <w:r w:rsidR="007B5C52" w:rsidRPr="003F3283">
        <w:rPr>
          <w:rFonts w:ascii="Arial" w:hAnsi="Arial" w:cs="Arial"/>
          <w:sz w:val="20"/>
          <w:szCs w:val="20"/>
        </w:rPr>
        <w:t xml:space="preserve">evrov </w:t>
      </w:r>
      <w:r w:rsidR="009B2527" w:rsidRPr="003F3283">
        <w:rPr>
          <w:rFonts w:ascii="Arial" w:hAnsi="Arial" w:cs="Arial"/>
          <w:sz w:val="20"/>
          <w:szCs w:val="20"/>
        </w:rPr>
        <w:t>je bilo vključenih več naročil</w:t>
      </w:r>
      <w:r w:rsidR="007B5C52" w:rsidRPr="003F3283">
        <w:rPr>
          <w:rFonts w:ascii="Arial" w:hAnsi="Arial" w:cs="Arial"/>
          <w:sz w:val="20"/>
          <w:szCs w:val="20"/>
        </w:rPr>
        <w:t xml:space="preserve">. </w:t>
      </w:r>
    </w:p>
    <w:p w14:paraId="3CFC25A8" w14:textId="75C0AC68" w:rsidR="00B2147B" w:rsidRPr="003F3283" w:rsidRDefault="00B2147B" w:rsidP="00B2147B">
      <w:pPr>
        <w:spacing w:line="360" w:lineRule="auto"/>
        <w:jc w:val="both"/>
        <w:rPr>
          <w:rFonts w:ascii="Arial" w:eastAsia="Times New Roman" w:hAnsi="Arial" w:cs="Arial"/>
          <w:color w:val="000000"/>
          <w:sz w:val="20"/>
          <w:szCs w:val="20"/>
          <w:lang w:eastAsia="sl-SI"/>
        </w:rPr>
      </w:pPr>
      <w:r w:rsidRPr="003F3283">
        <w:rPr>
          <w:rFonts w:ascii="Arial" w:hAnsi="Arial" w:cs="Arial"/>
          <w:sz w:val="20"/>
          <w:szCs w:val="20"/>
          <w:lang w:eastAsia="sl-SI"/>
        </w:rPr>
        <w:t xml:space="preserve">Pri tem </w:t>
      </w:r>
      <w:r w:rsidR="00364BF1" w:rsidRPr="003F3283">
        <w:rPr>
          <w:rFonts w:ascii="Arial" w:hAnsi="Arial" w:cs="Arial"/>
          <w:sz w:val="20"/>
          <w:szCs w:val="20"/>
          <w:lang w:eastAsia="sl-SI"/>
        </w:rPr>
        <w:t xml:space="preserve">je bilo </w:t>
      </w:r>
      <w:r w:rsidR="003F3283" w:rsidRPr="003F3283">
        <w:rPr>
          <w:rFonts w:ascii="Arial" w:hAnsi="Arial" w:cs="Arial"/>
          <w:sz w:val="20"/>
          <w:szCs w:val="20"/>
          <w:lang w:eastAsia="sl-SI"/>
        </w:rPr>
        <w:t>osem</w:t>
      </w:r>
      <w:r w:rsidR="00364BF1" w:rsidRPr="003F3283">
        <w:rPr>
          <w:rFonts w:ascii="Arial" w:hAnsi="Arial" w:cs="Arial"/>
          <w:sz w:val="20"/>
          <w:szCs w:val="20"/>
          <w:lang w:eastAsia="sl-SI"/>
        </w:rPr>
        <w:t xml:space="preserve"> postopkov</w:t>
      </w:r>
      <w:r w:rsidRPr="003F3283">
        <w:rPr>
          <w:rFonts w:ascii="Arial" w:hAnsi="Arial" w:cs="Arial"/>
          <w:sz w:val="20"/>
          <w:szCs w:val="20"/>
          <w:lang w:eastAsia="sl-SI"/>
        </w:rPr>
        <w:t xml:space="preserve"> javnega naročanja, v katerih je bilo največ naročil v skupni vrednosti </w:t>
      </w:r>
      <w:r w:rsidR="003F3283" w:rsidRPr="003F3283">
        <w:rPr>
          <w:rFonts w:ascii="Arial" w:eastAsia="Times New Roman" w:hAnsi="Arial" w:cs="Arial"/>
          <w:color w:val="000000"/>
          <w:sz w:val="20"/>
          <w:szCs w:val="20"/>
          <w:lang w:eastAsia="sl-SI"/>
        </w:rPr>
        <w:t xml:space="preserve">301.423.391 </w:t>
      </w:r>
      <w:r w:rsidRPr="003F3283">
        <w:rPr>
          <w:rFonts w:ascii="Arial" w:eastAsia="Times New Roman" w:hAnsi="Arial" w:cs="Arial"/>
          <w:color w:val="000000"/>
          <w:sz w:val="20"/>
          <w:szCs w:val="20"/>
          <w:lang w:eastAsia="sl-SI"/>
        </w:rPr>
        <w:t xml:space="preserve">evrov, </w:t>
      </w:r>
      <w:r w:rsidR="00364BF1" w:rsidRPr="003F3283">
        <w:rPr>
          <w:rFonts w:ascii="Arial" w:eastAsia="Times New Roman" w:hAnsi="Arial" w:cs="Arial"/>
          <w:color w:val="000000"/>
          <w:sz w:val="20"/>
          <w:szCs w:val="20"/>
          <w:lang w:eastAsia="sl-SI"/>
        </w:rPr>
        <w:t>razdeljenih na 10</w:t>
      </w:r>
      <w:r w:rsidR="003F3283" w:rsidRPr="003F3283">
        <w:rPr>
          <w:rFonts w:ascii="Arial" w:eastAsia="Times New Roman" w:hAnsi="Arial" w:cs="Arial"/>
          <w:color w:val="000000"/>
          <w:sz w:val="20"/>
          <w:szCs w:val="20"/>
          <w:lang w:eastAsia="sl-SI"/>
        </w:rPr>
        <w:t>6</w:t>
      </w:r>
      <w:r w:rsidR="00364BF1" w:rsidRPr="003F3283">
        <w:rPr>
          <w:rFonts w:ascii="Arial" w:eastAsia="Times New Roman" w:hAnsi="Arial" w:cs="Arial"/>
          <w:color w:val="000000"/>
          <w:sz w:val="20"/>
          <w:szCs w:val="20"/>
          <w:lang w:eastAsia="sl-SI"/>
        </w:rPr>
        <w:t xml:space="preserve"> do </w:t>
      </w:r>
      <w:r w:rsidR="003F3283" w:rsidRPr="003F3283">
        <w:rPr>
          <w:rFonts w:ascii="Arial" w:eastAsia="Times New Roman" w:hAnsi="Arial" w:cs="Arial"/>
          <w:color w:val="000000"/>
          <w:sz w:val="20"/>
          <w:szCs w:val="20"/>
          <w:lang w:eastAsia="sl-SI"/>
        </w:rPr>
        <w:t>292</w:t>
      </w:r>
      <w:r w:rsidRPr="003F3283">
        <w:rPr>
          <w:rFonts w:ascii="Arial" w:eastAsia="Times New Roman" w:hAnsi="Arial" w:cs="Arial"/>
          <w:color w:val="000000"/>
          <w:sz w:val="20"/>
          <w:szCs w:val="20"/>
          <w:lang w:eastAsia="sl-SI"/>
        </w:rPr>
        <w:t xml:space="preserve"> naročil.</w:t>
      </w:r>
    </w:p>
    <w:p w14:paraId="6786D39D" w14:textId="4B5BD92A" w:rsidR="00C72952" w:rsidRPr="003F3283" w:rsidRDefault="00C72952" w:rsidP="00C72952">
      <w:pPr>
        <w:spacing w:line="360" w:lineRule="auto"/>
        <w:jc w:val="both"/>
        <w:rPr>
          <w:rFonts w:ascii="Arial" w:eastAsia="Times New Roman" w:hAnsi="Arial" w:cs="Arial"/>
          <w:color w:val="000000"/>
          <w:sz w:val="20"/>
          <w:szCs w:val="20"/>
          <w:lang w:eastAsia="sl-SI"/>
        </w:rPr>
      </w:pPr>
      <w:r w:rsidRPr="003F3283">
        <w:rPr>
          <w:rFonts w:ascii="Arial" w:hAnsi="Arial" w:cs="Arial"/>
          <w:sz w:val="20"/>
          <w:szCs w:val="20"/>
        </w:rPr>
        <w:lastRenderedPageBreak/>
        <w:t>Povprečno število prejetih ponudb v posameznem naročilu v letu 202</w:t>
      </w:r>
      <w:r w:rsidR="003F3283" w:rsidRPr="003F3283">
        <w:rPr>
          <w:rFonts w:ascii="Arial" w:hAnsi="Arial" w:cs="Arial"/>
          <w:sz w:val="20"/>
          <w:szCs w:val="20"/>
        </w:rPr>
        <w:t>2</w:t>
      </w:r>
      <w:r w:rsidRPr="003F3283">
        <w:rPr>
          <w:rFonts w:ascii="Arial" w:hAnsi="Arial" w:cs="Arial"/>
          <w:sz w:val="20"/>
          <w:szCs w:val="20"/>
        </w:rPr>
        <w:t xml:space="preserve"> je bilo 2,</w:t>
      </w:r>
      <w:r w:rsidR="003F3283" w:rsidRPr="003F3283">
        <w:rPr>
          <w:rFonts w:ascii="Arial" w:hAnsi="Arial" w:cs="Arial"/>
          <w:sz w:val="20"/>
          <w:szCs w:val="20"/>
        </w:rPr>
        <w:t>2</w:t>
      </w:r>
      <w:r w:rsidRPr="003F3283">
        <w:rPr>
          <w:rFonts w:ascii="Arial" w:hAnsi="Arial" w:cs="Arial"/>
          <w:sz w:val="20"/>
          <w:szCs w:val="20"/>
        </w:rPr>
        <w:t xml:space="preserve"> ponudbe</w:t>
      </w:r>
      <w:r w:rsidR="00480701" w:rsidRPr="003F3283">
        <w:rPr>
          <w:rFonts w:ascii="Arial" w:hAnsi="Arial" w:cs="Arial"/>
          <w:sz w:val="20"/>
          <w:szCs w:val="20"/>
        </w:rPr>
        <w:t xml:space="preserve">. </w:t>
      </w:r>
      <w:r w:rsidR="00E5305C" w:rsidRPr="003F3283">
        <w:rPr>
          <w:rFonts w:ascii="Arial" w:hAnsi="Arial" w:cs="Arial"/>
          <w:sz w:val="20"/>
          <w:szCs w:val="20"/>
        </w:rPr>
        <w:t>Povprečno število prejetih ponudb v zadnjih petih letih je razvidno iz spodnje preglednice</w:t>
      </w:r>
      <w:r w:rsidR="00DF65AC" w:rsidRPr="003F3283">
        <w:rPr>
          <w:rFonts w:ascii="Arial" w:hAnsi="Arial" w:cs="Arial"/>
          <w:sz w:val="20"/>
          <w:szCs w:val="20"/>
        </w:rPr>
        <w:t>.</w:t>
      </w:r>
    </w:p>
    <w:p w14:paraId="3A71192F" w14:textId="04CEDD31" w:rsidR="00C72952" w:rsidRPr="003F3283" w:rsidRDefault="00C72952" w:rsidP="00C72952">
      <w:pPr>
        <w:rPr>
          <w:rFonts w:ascii="Arial" w:hAnsi="Arial" w:cs="Arial"/>
          <w:sz w:val="20"/>
          <w:szCs w:val="20"/>
        </w:rPr>
      </w:pPr>
      <w:r w:rsidRPr="003F3283">
        <w:rPr>
          <w:rFonts w:ascii="Arial" w:hAnsi="Arial" w:cs="Arial"/>
          <w:sz w:val="20"/>
        </w:rPr>
        <w:t xml:space="preserve">Preglednica 29: </w:t>
      </w:r>
      <w:r w:rsidRPr="003F3283">
        <w:rPr>
          <w:rFonts w:ascii="Arial" w:hAnsi="Arial" w:cs="Arial"/>
          <w:sz w:val="20"/>
          <w:szCs w:val="20"/>
        </w:rPr>
        <w:t>Povprečno število prejetih ponudb</w:t>
      </w:r>
      <w:r w:rsidR="00882AF4" w:rsidRPr="003F3283">
        <w:rPr>
          <w:rFonts w:ascii="Arial" w:hAnsi="Arial" w:cs="Arial"/>
          <w:sz w:val="20"/>
          <w:szCs w:val="20"/>
        </w:rPr>
        <w:t xml:space="preserve"> </w:t>
      </w:r>
      <w:r w:rsidRPr="003F3283">
        <w:rPr>
          <w:rFonts w:ascii="Arial" w:hAnsi="Arial" w:cs="Arial"/>
          <w:sz w:val="20"/>
          <w:szCs w:val="20"/>
        </w:rPr>
        <w:t xml:space="preserve">v posameznem naročilu v letih </w:t>
      </w:r>
      <w:r w:rsidR="00E5305C" w:rsidRPr="003F3283">
        <w:rPr>
          <w:rFonts w:ascii="Arial" w:hAnsi="Arial" w:cs="Arial"/>
          <w:sz w:val="20"/>
          <w:szCs w:val="20"/>
        </w:rPr>
        <w:t>201</w:t>
      </w:r>
      <w:r w:rsidR="003F3283" w:rsidRPr="003F3283">
        <w:rPr>
          <w:rFonts w:ascii="Arial" w:hAnsi="Arial" w:cs="Arial"/>
          <w:sz w:val="20"/>
          <w:szCs w:val="20"/>
        </w:rPr>
        <w:t>7</w:t>
      </w:r>
      <w:r w:rsidR="00E5305C" w:rsidRPr="003F3283">
        <w:rPr>
          <w:rFonts w:ascii="Arial" w:hAnsi="Arial" w:cs="Arial"/>
          <w:sz w:val="20"/>
          <w:szCs w:val="20"/>
        </w:rPr>
        <w:t>–202</w:t>
      </w:r>
      <w:r w:rsidR="003F3283" w:rsidRPr="003F3283">
        <w:rPr>
          <w:rFonts w:ascii="Arial" w:hAnsi="Arial" w:cs="Arial"/>
          <w:sz w:val="20"/>
          <w:szCs w:val="20"/>
        </w:rPr>
        <w:t>2</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41"/>
        <w:gridCol w:w="1080"/>
        <w:gridCol w:w="1080"/>
        <w:gridCol w:w="1078"/>
        <w:gridCol w:w="1078"/>
        <w:gridCol w:w="960"/>
        <w:gridCol w:w="957"/>
      </w:tblGrid>
      <w:tr w:rsidR="003F3283" w:rsidRPr="003F3283" w14:paraId="7F27A6E2" w14:textId="279EA23B" w:rsidTr="00F11E69">
        <w:trPr>
          <w:trHeight w:val="255"/>
          <w:jc w:val="center"/>
        </w:trPr>
        <w:tc>
          <w:tcPr>
            <w:tcW w:w="2941" w:type="dxa"/>
            <w:shd w:val="clear" w:color="auto" w:fill="F2F2F2" w:themeFill="background1" w:themeFillShade="F2"/>
            <w:noWrap/>
            <w:vAlign w:val="center"/>
            <w:hideMark/>
          </w:tcPr>
          <w:p w14:paraId="74DDBE82" w14:textId="77777777" w:rsidR="003F3283" w:rsidRPr="003F3283" w:rsidRDefault="003F3283" w:rsidP="003F3283">
            <w:pPr>
              <w:spacing w:after="0" w:line="240" w:lineRule="auto"/>
              <w:jc w:val="both"/>
              <w:rPr>
                <w:rFonts w:ascii="Arial" w:eastAsia="Times New Roman" w:hAnsi="Arial" w:cs="Arial"/>
                <w:color w:val="000000"/>
                <w:sz w:val="18"/>
                <w:szCs w:val="18"/>
                <w:lang w:eastAsia="sl-SI"/>
              </w:rPr>
            </w:pPr>
            <w:r w:rsidRPr="003F3283">
              <w:rPr>
                <w:rFonts w:ascii="Arial" w:eastAsia="Times New Roman" w:hAnsi="Arial" w:cs="Arial"/>
                <w:color w:val="000000"/>
                <w:sz w:val="18"/>
                <w:szCs w:val="18"/>
                <w:lang w:eastAsia="sl-SI"/>
              </w:rPr>
              <w:t> </w:t>
            </w:r>
          </w:p>
        </w:tc>
        <w:tc>
          <w:tcPr>
            <w:tcW w:w="1080" w:type="dxa"/>
            <w:shd w:val="clear" w:color="auto" w:fill="F2F2F2" w:themeFill="background1" w:themeFillShade="F2"/>
            <w:noWrap/>
            <w:vAlign w:val="center"/>
          </w:tcPr>
          <w:p w14:paraId="79E27BBB" w14:textId="4E6EC6FA" w:rsidR="003F3283" w:rsidRPr="003F3283" w:rsidRDefault="003F3283" w:rsidP="003F3283">
            <w:pPr>
              <w:spacing w:after="0" w:line="240" w:lineRule="auto"/>
              <w:jc w:val="center"/>
              <w:rPr>
                <w:rFonts w:ascii="Arial" w:eastAsia="Times New Roman" w:hAnsi="Arial" w:cs="Arial"/>
                <w:color w:val="000000"/>
                <w:sz w:val="18"/>
                <w:szCs w:val="18"/>
                <w:lang w:eastAsia="sl-SI"/>
              </w:rPr>
            </w:pPr>
            <w:r w:rsidRPr="003F3283">
              <w:rPr>
                <w:rFonts w:ascii="Arial" w:eastAsia="Times New Roman" w:hAnsi="Arial" w:cs="Arial"/>
                <w:color w:val="000000"/>
                <w:sz w:val="18"/>
                <w:szCs w:val="18"/>
                <w:lang w:eastAsia="sl-SI"/>
              </w:rPr>
              <w:t>Leto 2017</w:t>
            </w:r>
          </w:p>
        </w:tc>
        <w:tc>
          <w:tcPr>
            <w:tcW w:w="1080" w:type="dxa"/>
            <w:shd w:val="clear" w:color="auto" w:fill="F2F2F2" w:themeFill="background1" w:themeFillShade="F2"/>
            <w:noWrap/>
            <w:vAlign w:val="center"/>
            <w:hideMark/>
          </w:tcPr>
          <w:p w14:paraId="00B1B48A" w14:textId="0DB67113" w:rsidR="003F3283" w:rsidRPr="003F3283" w:rsidRDefault="003F3283" w:rsidP="003F3283">
            <w:pPr>
              <w:spacing w:after="0" w:line="240" w:lineRule="auto"/>
              <w:jc w:val="center"/>
              <w:rPr>
                <w:rFonts w:ascii="Arial" w:eastAsia="Times New Roman" w:hAnsi="Arial" w:cs="Arial"/>
                <w:color w:val="000000"/>
                <w:sz w:val="18"/>
                <w:szCs w:val="18"/>
                <w:lang w:eastAsia="sl-SI"/>
              </w:rPr>
            </w:pPr>
            <w:r w:rsidRPr="003F3283">
              <w:rPr>
                <w:rFonts w:ascii="Arial" w:eastAsia="Times New Roman" w:hAnsi="Arial" w:cs="Arial"/>
                <w:color w:val="000000"/>
                <w:sz w:val="18"/>
                <w:szCs w:val="18"/>
                <w:lang w:eastAsia="sl-SI"/>
              </w:rPr>
              <w:t>Leto 2018</w:t>
            </w:r>
          </w:p>
        </w:tc>
        <w:tc>
          <w:tcPr>
            <w:tcW w:w="1078" w:type="dxa"/>
            <w:shd w:val="clear" w:color="auto" w:fill="F2F2F2" w:themeFill="background1" w:themeFillShade="F2"/>
            <w:vAlign w:val="center"/>
            <w:hideMark/>
          </w:tcPr>
          <w:p w14:paraId="3C67D27F" w14:textId="057C75A9" w:rsidR="003F3283" w:rsidRPr="003F3283" w:rsidRDefault="003F3283" w:rsidP="003F3283">
            <w:pPr>
              <w:spacing w:after="0" w:line="240" w:lineRule="auto"/>
              <w:jc w:val="center"/>
              <w:rPr>
                <w:rFonts w:ascii="Arial" w:eastAsia="Times New Roman" w:hAnsi="Arial" w:cs="Arial"/>
                <w:color w:val="000000"/>
                <w:sz w:val="18"/>
                <w:szCs w:val="18"/>
                <w:lang w:eastAsia="sl-SI"/>
              </w:rPr>
            </w:pPr>
            <w:r w:rsidRPr="003F3283">
              <w:rPr>
                <w:rFonts w:ascii="Arial" w:eastAsia="Times New Roman" w:hAnsi="Arial" w:cs="Arial"/>
                <w:color w:val="000000"/>
                <w:sz w:val="18"/>
                <w:szCs w:val="18"/>
                <w:lang w:eastAsia="sl-SI"/>
              </w:rPr>
              <w:t>Leto 2019</w:t>
            </w:r>
          </w:p>
        </w:tc>
        <w:tc>
          <w:tcPr>
            <w:tcW w:w="1078" w:type="dxa"/>
            <w:shd w:val="clear" w:color="auto" w:fill="F2F2F2" w:themeFill="background1" w:themeFillShade="F2"/>
            <w:vAlign w:val="center"/>
            <w:hideMark/>
          </w:tcPr>
          <w:p w14:paraId="76032D19" w14:textId="1A069BA9" w:rsidR="003F3283" w:rsidRPr="003F3283" w:rsidRDefault="003F3283" w:rsidP="003F3283">
            <w:pPr>
              <w:spacing w:after="0" w:line="240" w:lineRule="auto"/>
              <w:jc w:val="center"/>
              <w:rPr>
                <w:rFonts w:ascii="Arial" w:eastAsia="Times New Roman" w:hAnsi="Arial" w:cs="Arial"/>
                <w:color w:val="000000"/>
                <w:sz w:val="18"/>
                <w:szCs w:val="18"/>
                <w:lang w:eastAsia="sl-SI"/>
              </w:rPr>
            </w:pPr>
            <w:r w:rsidRPr="003F3283">
              <w:rPr>
                <w:rFonts w:ascii="Arial" w:eastAsia="Times New Roman" w:hAnsi="Arial" w:cs="Arial"/>
                <w:color w:val="000000"/>
                <w:sz w:val="18"/>
                <w:szCs w:val="18"/>
                <w:lang w:eastAsia="sl-SI"/>
              </w:rPr>
              <w:t>Leto 2020</w:t>
            </w:r>
          </w:p>
        </w:tc>
        <w:tc>
          <w:tcPr>
            <w:tcW w:w="960" w:type="dxa"/>
            <w:shd w:val="clear" w:color="auto" w:fill="F2F2F2" w:themeFill="background1" w:themeFillShade="F2"/>
            <w:noWrap/>
            <w:vAlign w:val="center"/>
            <w:hideMark/>
          </w:tcPr>
          <w:p w14:paraId="72E61103" w14:textId="117E3DD1" w:rsidR="003F3283" w:rsidRPr="003F3283" w:rsidRDefault="003F3283" w:rsidP="003F3283">
            <w:pPr>
              <w:spacing w:after="0" w:line="240" w:lineRule="auto"/>
              <w:jc w:val="center"/>
              <w:rPr>
                <w:rFonts w:ascii="Arial" w:eastAsia="Times New Roman" w:hAnsi="Arial" w:cs="Arial"/>
                <w:color w:val="000000"/>
                <w:sz w:val="18"/>
                <w:szCs w:val="18"/>
                <w:lang w:eastAsia="sl-SI"/>
              </w:rPr>
            </w:pPr>
            <w:r w:rsidRPr="003F3283">
              <w:rPr>
                <w:rFonts w:ascii="Arial" w:eastAsia="Times New Roman" w:hAnsi="Arial" w:cs="Arial"/>
                <w:color w:val="000000"/>
                <w:sz w:val="18"/>
                <w:szCs w:val="18"/>
                <w:lang w:eastAsia="sl-SI"/>
              </w:rPr>
              <w:t>Leto 2021</w:t>
            </w:r>
          </w:p>
        </w:tc>
        <w:tc>
          <w:tcPr>
            <w:tcW w:w="957" w:type="dxa"/>
            <w:shd w:val="clear" w:color="auto" w:fill="F2F2F2" w:themeFill="background1" w:themeFillShade="F2"/>
            <w:vAlign w:val="center"/>
          </w:tcPr>
          <w:p w14:paraId="0BC28A74" w14:textId="1229F0A0" w:rsidR="003F3283" w:rsidRPr="003F3283" w:rsidRDefault="003F3283" w:rsidP="003F3283">
            <w:pPr>
              <w:spacing w:after="0" w:line="240" w:lineRule="auto"/>
              <w:jc w:val="center"/>
              <w:rPr>
                <w:rFonts w:ascii="Arial" w:eastAsia="Times New Roman" w:hAnsi="Arial" w:cs="Arial"/>
                <w:color w:val="000000"/>
                <w:sz w:val="18"/>
                <w:szCs w:val="18"/>
                <w:lang w:eastAsia="sl-SI"/>
              </w:rPr>
            </w:pPr>
            <w:r w:rsidRPr="003F3283">
              <w:rPr>
                <w:rFonts w:ascii="Arial" w:eastAsia="Times New Roman" w:hAnsi="Arial" w:cs="Arial"/>
                <w:color w:val="000000"/>
                <w:sz w:val="18"/>
                <w:szCs w:val="18"/>
                <w:lang w:eastAsia="sl-SI"/>
              </w:rPr>
              <w:t>Leto 2022</w:t>
            </w:r>
          </w:p>
        </w:tc>
      </w:tr>
      <w:tr w:rsidR="003F3283" w:rsidRPr="003F3283" w14:paraId="2A4C56BF" w14:textId="41462F86" w:rsidTr="00F11E69">
        <w:trPr>
          <w:trHeight w:val="255"/>
          <w:jc w:val="center"/>
        </w:trPr>
        <w:tc>
          <w:tcPr>
            <w:tcW w:w="2941" w:type="dxa"/>
            <w:shd w:val="clear" w:color="auto" w:fill="auto"/>
            <w:noWrap/>
            <w:vAlign w:val="center"/>
            <w:hideMark/>
          </w:tcPr>
          <w:p w14:paraId="2F3A239D" w14:textId="77777777" w:rsidR="003F3283" w:rsidRPr="003F3283" w:rsidRDefault="003F3283" w:rsidP="003F3283">
            <w:pPr>
              <w:spacing w:after="0" w:line="240" w:lineRule="auto"/>
              <w:jc w:val="both"/>
              <w:rPr>
                <w:rFonts w:ascii="Arial" w:eastAsia="Times New Roman" w:hAnsi="Arial" w:cs="Arial"/>
                <w:color w:val="000000"/>
                <w:sz w:val="18"/>
                <w:szCs w:val="18"/>
                <w:lang w:eastAsia="sl-SI"/>
              </w:rPr>
            </w:pPr>
            <w:r w:rsidRPr="003F3283">
              <w:rPr>
                <w:rFonts w:ascii="Arial" w:eastAsia="Times New Roman" w:hAnsi="Arial" w:cs="Arial"/>
                <w:color w:val="000000"/>
                <w:sz w:val="18"/>
                <w:szCs w:val="18"/>
                <w:lang w:eastAsia="sl-SI"/>
              </w:rPr>
              <w:t>Povprečno število prejetih ponudb</w:t>
            </w:r>
          </w:p>
        </w:tc>
        <w:tc>
          <w:tcPr>
            <w:tcW w:w="1080" w:type="dxa"/>
            <w:shd w:val="clear" w:color="auto" w:fill="auto"/>
            <w:noWrap/>
            <w:vAlign w:val="center"/>
          </w:tcPr>
          <w:p w14:paraId="64750D15" w14:textId="33163213" w:rsidR="003F3283" w:rsidRPr="003F3283" w:rsidRDefault="003F3283" w:rsidP="003F3283">
            <w:pPr>
              <w:spacing w:after="0" w:line="240" w:lineRule="auto"/>
              <w:jc w:val="right"/>
              <w:rPr>
                <w:rFonts w:ascii="Arial" w:eastAsia="Times New Roman" w:hAnsi="Arial" w:cs="Arial"/>
                <w:color w:val="000000"/>
                <w:sz w:val="18"/>
                <w:szCs w:val="18"/>
                <w:lang w:eastAsia="sl-SI"/>
              </w:rPr>
            </w:pPr>
            <w:r w:rsidRPr="003F3283">
              <w:rPr>
                <w:rFonts w:ascii="Arial" w:eastAsia="Times New Roman" w:hAnsi="Arial" w:cs="Arial"/>
                <w:color w:val="000000"/>
                <w:sz w:val="18"/>
                <w:szCs w:val="18"/>
                <w:lang w:eastAsia="sl-SI"/>
              </w:rPr>
              <w:t>2,9</w:t>
            </w:r>
          </w:p>
        </w:tc>
        <w:tc>
          <w:tcPr>
            <w:tcW w:w="1080" w:type="dxa"/>
            <w:shd w:val="clear" w:color="auto" w:fill="auto"/>
            <w:noWrap/>
            <w:vAlign w:val="center"/>
            <w:hideMark/>
          </w:tcPr>
          <w:p w14:paraId="7983D0AB" w14:textId="0FD44B64" w:rsidR="003F3283" w:rsidRPr="003F3283" w:rsidRDefault="003F3283" w:rsidP="003F3283">
            <w:pPr>
              <w:spacing w:after="0" w:line="240" w:lineRule="auto"/>
              <w:jc w:val="right"/>
              <w:rPr>
                <w:rFonts w:ascii="Arial" w:eastAsia="Times New Roman" w:hAnsi="Arial" w:cs="Arial"/>
                <w:color w:val="000000"/>
                <w:sz w:val="18"/>
                <w:szCs w:val="18"/>
                <w:lang w:eastAsia="sl-SI"/>
              </w:rPr>
            </w:pPr>
            <w:r w:rsidRPr="003F3283">
              <w:rPr>
                <w:rFonts w:ascii="Arial" w:eastAsia="Times New Roman" w:hAnsi="Arial" w:cs="Arial"/>
                <w:color w:val="000000"/>
                <w:sz w:val="18"/>
                <w:szCs w:val="18"/>
                <w:lang w:eastAsia="sl-SI"/>
              </w:rPr>
              <w:t>2,5</w:t>
            </w:r>
          </w:p>
        </w:tc>
        <w:tc>
          <w:tcPr>
            <w:tcW w:w="1078" w:type="dxa"/>
            <w:shd w:val="clear" w:color="auto" w:fill="auto"/>
            <w:vAlign w:val="center"/>
            <w:hideMark/>
          </w:tcPr>
          <w:p w14:paraId="50E91B7E" w14:textId="2F4A9A9C" w:rsidR="003F3283" w:rsidRPr="003F3283" w:rsidRDefault="003F3283" w:rsidP="003F3283">
            <w:pPr>
              <w:spacing w:after="0" w:line="240" w:lineRule="auto"/>
              <w:jc w:val="right"/>
              <w:rPr>
                <w:rFonts w:ascii="Arial" w:eastAsia="Times New Roman" w:hAnsi="Arial" w:cs="Arial"/>
                <w:color w:val="000000"/>
                <w:sz w:val="18"/>
                <w:szCs w:val="18"/>
                <w:lang w:eastAsia="sl-SI"/>
              </w:rPr>
            </w:pPr>
            <w:r w:rsidRPr="003F3283">
              <w:rPr>
                <w:rFonts w:ascii="Arial" w:eastAsia="Times New Roman" w:hAnsi="Arial" w:cs="Arial"/>
                <w:color w:val="000000"/>
                <w:sz w:val="18"/>
                <w:szCs w:val="18"/>
                <w:lang w:eastAsia="sl-SI"/>
              </w:rPr>
              <w:t>2,7</w:t>
            </w:r>
          </w:p>
        </w:tc>
        <w:tc>
          <w:tcPr>
            <w:tcW w:w="1078" w:type="dxa"/>
            <w:shd w:val="clear" w:color="auto" w:fill="auto"/>
            <w:vAlign w:val="center"/>
            <w:hideMark/>
          </w:tcPr>
          <w:p w14:paraId="19D095DB" w14:textId="73C5A846" w:rsidR="003F3283" w:rsidRPr="003F3283" w:rsidRDefault="003F3283" w:rsidP="003F3283">
            <w:pPr>
              <w:spacing w:after="0" w:line="240" w:lineRule="auto"/>
              <w:jc w:val="right"/>
              <w:rPr>
                <w:rFonts w:ascii="Arial" w:eastAsia="Times New Roman" w:hAnsi="Arial" w:cs="Arial"/>
                <w:color w:val="000000"/>
                <w:sz w:val="18"/>
                <w:szCs w:val="18"/>
                <w:lang w:eastAsia="sl-SI"/>
              </w:rPr>
            </w:pPr>
            <w:r w:rsidRPr="003F3283">
              <w:rPr>
                <w:rFonts w:ascii="Arial" w:eastAsia="Times New Roman" w:hAnsi="Arial" w:cs="Arial"/>
                <w:color w:val="000000"/>
                <w:sz w:val="18"/>
                <w:szCs w:val="18"/>
                <w:lang w:eastAsia="sl-SI"/>
              </w:rPr>
              <w:t>2,7</w:t>
            </w:r>
          </w:p>
        </w:tc>
        <w:tc>
          <w:tcPr>
            <w:tcW w:w="960" w:type="dxa"/>
            <w:shd w:val="clear" w:color="auto" w:fill="auto"/>
            <w:noWrap/>
            <w:vAlign w:val="center"/>
            <w:hideMark/>
          </w:tcPr>
          <w:p w14:paraId="7211A74E" w14:textId="1B885D30" w:rsidR="003F3283" w:rsidRPr="003F3283" w:rsidRDefault="003F3283" w:rsidP="003F3283">
            <w:pPr>
              <w:spacing w:after="0" w:line="240" w:lineRule="auto"/>
              <w:jc w:val="right"/>
              <w:rPr>
                <w:rFonts w:ascii="Arial" w:eastAsia="Times New Roman" w:hAnsi="Arial" w:cs="Arial"/>
                <w:color w:val="000000"/>
                <w:sz w:val="18"/>
                <w:szCs w:val="18"/>
                <w:lang w:eastAsia="sl-SI"/>
              </w:rPr>
            </w:pPr>
            <w:r w:rsidRPr="003F3283">
              <w:rPr>
                <w:rFonts w:ascii="Arial" w:eastAsia="Times New Roman" w:hAnsi="Arial" w:cs="Arial"/>
                <w:color w:val="000000"/>
                <w:sz w:val="18"/>
                <w:szCs w:val="18"/>
                <w:lang w:eastAsia="sl-SI"/>
              </w:rPr>
              <w:t>2,5</w:t>
            </w:r>
          </w:p>
        </w:tc>
        <w:tc>
          <w:tcPr>
            <w:tcW w:w="957" w:type="dxa"/>
            <w:vAlign w:val="center"/>
          </w:tcPr>
          <w:p w14:paraId="3C9A080A" w14:textId="337B8086" w:rsidR="003F3283" w:rsidRPr="003F3283" w:rsidRDefault="003F3283" w:rsidP="003F3283">
            <w:pPr>
              <w:spacing w:after="0" w:line="240" w:lineRule="auto"/>
              <w:jc w:val="right"/>
              <w:rPr>
                <w:rFonts w:ascii="Arial" w:eastAsia="Times New Roman" w:hAnsi="Arial" w:cs="Arial"/>
                <w:color w:val="000000"/>
                <w:sz w:val="18"/>
                <w:szCs w:val="18"/>
                <w:lang w:eastAsia="sl-SI"/>
              </w:rPr>
            </w:pPr>
            <w:r w:rsidRPr="003F3283">
              <w:rPr>
                <w:rFonts w:ascii="Arial" w:eastAsia="Times New Roman" w:hAnsi="Arial" w:cs="Arial"/>
                <w:color w:val="000000"/>
                <w:sz w:val="18"/>
                <w:szCs w:val="18"/>
                <w:lang w:eastAsia="sl-SI"/>
              </w:rPr>
              <w:t>2,2</w:t>
            </w:r>
          </w:p>
        </w:tc>
      </w:tr>
    </w:tbl>
    <w:p w14:paraId="174601DC" w14:textId="73C21369" w:rsidR="00C72952" w:rsidRPr="003F3283" w:rsidRDefault="00C72952" w:rsidP="00E5305C">
      <w:pPr>
        <w:spacing w:after="0" w:line="240" w:lineRule="auto"/>
        <w:rPr>
          <w:rFonts w:ascii="Arial" w:hAnsi="Arial" w:cs="Arial"/>
          <w:sz w:val="20"/>
        </w:rPr>
      </w:pPr>
    </w:p>
    <w:p w14:paraId="3AE79818" w14:textId="666901A7" w:rsidR="00C72952" w:rsidRPr="003F3283" w:rsidRDefault="00C72952" w:rsidP="00C72952">
      <w:pPr>
        <w:spacing w:after="240" w:line="240" w:lineRule="auto"/>
        <w:jc w:val="center"/>
        <w:rPr>
          <w:rFonts w:ascii="Arial" w:hAnsi="Arial" w:cs="Arial"/>
          <w:sz w:val="18"/>
        </w:rPr>
      </w:pPr>
      <w:r w:rsidRPr="003F3283">
        <w:rPr>
          <w:rFonts w:ascii="Arial" w:hAnsi="Arial" w:cs="Arial"/>
          <w:sz w:val="18"/>
        </w:rPr>
        <w:t xml:space="preserve">Vir: Statistični podatki o javnih naročilih, oddanih v letih </w:t>
      </w:r>
      <w:r w:rsidR="00E5305C" w:rsidRPr="003F3283">
        <w:rPr>
          <w:rFonts w:ascii="Arial" w:hAnsi="Arial" w:cs="Arial"/>
          <w:sz w:val="18"/>
        </w:rPr>
        <w:t>201</w:t>
      </w:r>
      <w:r w:rsidR="003F3283" w:rsidRPr="003F3283">
        <w:rPr>
          <w:rFonts w:ascii="Arial" w:hAnsi="Arial" w:cs="Arial"/>
          <w:sz w:val="18"/>
        </w:rPr>
        <w:t>7</w:t>
      </w:r>
      <w:r w:rsidR="00E5305C" w:rsidRPr="003F3283">
        <w:rPr>
          <w:rFonts w:ascii="Arial" w:hAnsi="Arial" w:cs="Arial"/>
          <w:sz w:val="18"/>
        </w:rPr>
        <w:t>–202</w:t>
      </w:r>
      <w:r w:rsidR="003F3283" w:rsidRPr="003F3283">
        <w:rPr>
          <w:rFonts w:ascii="Arial" w:hAnsi="Arial" w:cs="Arial"/>
          <w:sz w:val="18"/>
        </w:rPr>
        <w:t>2</w:t>
      </w:r>
      <w:r w:rsidR="000F01DD" w:rsidRPr="003F3283">
        <w:rPr>
          <w:rFonts w:ascii="Arial" w:hAnsi="Arial" w:cs="Arial"/>
          <w:sz w:val="18"/>
        </w:rPr>
        <w:t>.</w:t>
      </w:r>
    </w:p>
    <w:p w14:paraId="65CED91B" w14:textId="59C19A93" w:rsidR="002B4A0A" w:rsidRPr="00654711" w:rsidRDefault="00693824" w:rsidP="002B4A0A">
      <w:pPr>
        <w:spacing w:line="360" w:lineRule="auto"/>
        <w:jc w:val="both"/>
        <w:rPr>
          <w:rFonts w:ascii="Arial" w:hAnsi="Arial" w:cs="Arial"/>
          <w:color w:val="000000" w:themeColor="text1"/>
          <w:sz w:val="20"/>
          <w:szCs w:val="20"/>
        </w:rPr>
      </w:pPr>
      <w:r w:rsidRPr="00654711">
        <w:rPr>
          <w:rFonts w:ascii="Arial" w:hAnsi="Arial" w:cs="Arial"/>
          <w:color w:val="000000" w:themeColor="text1"/>
          <w:sz w:val="20"/>
          <w:szCs w:val="20"/>
        </w:rPr>
        <w:t>V postopkih, ki niso bili</w:t>
      </w:r>
      <w:r w:rsidR="00821795" w:rsidRPr="00654711">
        <w:rPr>
          <w:rFonts w:ascii="Arial" w:hAnsi="Arial" w:cs="Arial"/>
          <w:color w:val="000000" w:themeColor="text1"/>
          <w:sz w:val="20"/>
          <w:szCs w:val="20"/>
        </w:rPr>
        <w:t xml:space="preserve"> razdeljen</w:t>
      </w:r>
      <w:r w:rsidRPr="00654711">
        <w:rPr>
          <w:rFonts w:ascii="Arial" w:hAnsi="Arial" w:cs="Arial"/>
          <w:color w:val="000000" w:themeColor="text1"/>
          <w:sz w:val="20"/>
          <w:szCs w:val="20"/>
        </w:rPr>
        <w:t>i</w:t>
      </w:r>
      <w:r w:rsidR="00821795" w:rsidRPr="00654711">
        <w:rPr>
          <w:rFonts w:ascii="Arial" w:hAnsi="Arial" w:cs="Arial"/>
          <w:color w:val="000000" w:themeColor="text1"/>
          <w:sz w:val="20"/>
          <w:szCs w:val="20"/>
        </w:rPr>
        <w:t xml:space="preserve"> na </w:t>
      </w:r>
      <w:r w:rsidR="004D6F9F" w:rsidRPr="00654711">
        <w:rPr>
          <w:rFonts w:ascii="Arial" w:hAnsi="Arial" w:cs="Arial"/>
          <w:color w:val="000000" w:themeColor="text1"/>
          <w:sz w:val="20"/>
          <w:szCs w:val="20"/>
        </w:rPr>
        <w:t>naročila</w:t>
      </w:r>
      <w:r w:rsidR="00821795" w:rsidRPr="00654711">
        <w:rPr>
          <w:rFonts w:ascii="Arial" w:hAnsi="Arial" w:cs="Arial"/>
          <w:color w:val="000000" w:themeColor="text1"/>
          <w:sz w:val="20"/>
          <w:szCs w:val="20"/>
        </w:rPr>
        <w:t>, je bilo povprečno število prejetih ponudb</w:t>
      </w:r>
      <w:r w:rsidR="00960D48" w:rsidRPr="00654711">
        <w:rPr>
          <w:rFonts w:ascii="Arial" w:hAnsi="Arial" w:cs="Arial"/>
          <w:color w:val="000000" w:themeColor="text1"/>
          <w:sz w:val="20"/>
          <w:szCs w:val="20"/>
        </w:rPr>
        <w:t xml:space="preserve"> </w:t>
      </w:r>
      <w:r w:rsidR="0085369D" w:rsidRPr="00654711">
        <w:rPr>
          <w:rFonts w:ascii="Arial" w:hAnsi="Arial" w:cs="Arial"/>
          <w:color w:val="000000" w:themeColor="text1"/>
          <w:sz w:val="20"/>
          <w:szCs w:val="20"/>
        </w:rPr>
        <w:t>2,</w:t>
      </w:r>
      <w:r w:rsidR="00654711" w:rsidRPr="00654711">
        <w:rPr>
          <w:rFonts w:ascii="Arial" w:hAnsi="Arial" w:cs="Arial"/>
          <w:color w:val="000000" w:themeColor="text1"/>
          <w:sz w:val="20"/>
          <w:szCs w:val="20"/>
        </w:rPr>
        <w:t>1</w:t>
      </w:r>
      <w:r w:rsidR="00821795" w:rsidRPr="00654711">
        <w:rPr>
          <w:rFonts w:ascii="Arial" w:hAnsi="Arial" w:cs="Arial"/>
          <w:color w:val="000000" w:themeColor="text1"/>
          <w:sz w:val="20"/>
          <w:szCs w:val="20"/>
        </w:rPr>
        <w:t>.</w:t>
      </w:r>
      <w:r w:rsidRPr="00654711">
        <w:rPr>
          <w:rFonts w:ascii="Arial" w:hAnsi="Arial" w:cs="Arial"/>
          <w:color w:val="000000" w:themeColor="text1"/>
          <w:sz w:val="20"/>
          <w:szCs w:val="20"/>
        </w:rPr>
        <w:t xml:space="preserve"> </w:t>
      </w:r>
      <w:r w:rsidR="00AD6BE7" w:rsidRPr="00654711">
        <w:rPr>
          <w:rFonts w:ascii="Arial" w:hAnsi="Arial" w:cs="Arial"/>
          <w:color w:val="000000" w:themeColor="text1"/>
          <w:sz w:val="20"/>
          <w:szCs w:val="20"/>
        </w:rPr>
        <w:t xml:space="preserve">V postopkih, ki so bili razdeljeni na sklope, je bilo </w:t>
      </w:r>
      <w:r w:rsidRPr="00654711">
        <w:rPr>
          <w:rFonts w:ascii="Arial" w:hAnsi="Arial" w:cs="Arial"/>
          <w:color w:val="000000" w:themeColor="text1"/>
          <w:sz w:val="20"/>
          <w:szCs w:val="20"/>
        </w:rPr>
        <w:t xml:space="preserve">največje </w:t>
      </w:r>
      <w:r w:rsidR="00AD6BE7" w:rsidRPr="00654711">
        <w:rPr>
          <w:rFonts w:ascii="Arial" w:hAnsi="Arial" w:cs="Arial"/>
          <w:color w:val="000000" w:themeColor="text1"/>
          <w:sz w:val="20"/>
          <w:szCs w:val="20"/>
        </w:rPr>
        <w:t xml:space="preserve">povprečno število prejetih ponudb za naročilo </w:t>
      </w:r>
      <w:r w:rsidRPr="00654711">
        <w:rPr>
          <w:rFonts w:ascii="Arial" w:hAnsi="Arial" w:cs="Arial"/>
          <w:color w:val="000000" w:themeColor="text1"/>
          <w:sz w:val="20"/>
          <w:szCs w:val="20"/>
        </w:rPr>
        <w:t>v postopkih</w:t>
      </w:r>
      <w:r w:rsidR="00882AF4" w:rsidRPr="00654711">
        <w:rPr>
          <w:rFonts w:ascii="Arial" w:hAnsi="Arial" w:cs="Arial"/>
          <w:color w:val="000000" w:themeColor="text1"/>
          <w:sz w:val="20"/>
          <w:szCs w:val="20"/>
        </w:rPr>
        <w:t>,</w:t>
      </w:r>
      <w:r w:rsidR="00AD6BE7" w:rsidRPr="00654711">
        <w:rPr>
          <w:rFonts w:ascii="Arial" w:hAnsi="Arial" w:cs="Arial"/>
          <w:color w:val="000000" w:themeColor="text1"/>
          <w:sz w:val="20"/>
          <w:szCs w:val="20"/>
        </w:rPr>
        <w:t xml:space="preserve"> razdeljenih na </w:t>
      </w:r>
      <w:r w:rsidR="00654711" w:rsidRPr="00654711">
        <w:rPr>
          <w:rFonts w:ascii="Arial" w:hAnsi="Arial" w:cs="Arial"/>
          <w:color w:val="000000" w:themeColor="text1"/>
          <w:sz w:val="20"/>
          <w:szCs w:val="20"/>
        </w:rPr>
        <w:t>2</w:t>
      </w:r>
      <w:r w:rsidR="001F5387" w:rsidRPr="00654711">
        <w:rPr>
          <w:rFonts w:ascii="Arial" w:hAnsi="Arial" w:cs="Arial"/>
          <w:color w:val="000000" w:themeColor="text1"/>
          <w:sz w:val="20"/>
          <w:szCs w:val="20"/>
        </w:rPr>
        <w:t>–</w:t>
      </w:r>
      <w:r w:rsidR="00654711" w:rsidRPr="00654711">
        <w:rPr>
          <w:rFonts w:ascii="Arial" w:hAnsi="Arial" w:cs="Arial"/>
          <w:color w:val="000000" w:themeColor="text1"/>
          <w:sz w:val="20"/>
          <w:szCs w:val="20"/>
        </w:rPr>
        <w:t>1</w:t>
      </w:r>
      <w:r w:rsidR="0063573B" w:rsidRPr="00654711">
        <w:rPr>
          <w:rFonts w:ascii="Arial" w:hAnsi="Arial" w:cs="Arial"/>
          <w:color w:val="000000" w:themeColor="text1"/>
          <w:sz w:val="20"/>
          <w:szCs w:val="20"/>
        </w:rPr>
        <w:t>0</w:t>
      </w:r>
      <w:r w:rsidR="0085369D" w:rsidRPr="00654711">
        <w:rPr>
          <w:rFonts w:ascii="Arial" w:hAnsi="Arial" w:cs="Arial"/>
          <w:color w:val="000000" w:themeColor="text1"/>
          <w:sz w:val="20"/>
          <w:szCs w:val="20"/>
        </w:rPr>
        <w:t xml:space="preserve"> naročil</w:t>
      </w:r>
      <w:r w:rsidR="00654711" w:rsidRPr="00654711">
        <w:rPr>
          <w:rFonts w:ascii="Arial" w:hAnsi="Arial" w:cs="Arial"/>
          <w:color w:val="000000" w:themeColor="text1"/>
          <w:sz w:val="20"/>
          <w:szCs w:val="20"/>
        </w:rPr>
        <w:t xml:space="preserve"> </w:t>
      </w:r>
      <w:r w:rsidR="00FD48B4">
        <w:rPr>
          <w:rFonts w:ascii="Arial" w:hAnsi="Arial" w:cs="Arial"/>
          <w:color w:val="000000" w:themeColor="text1"/>
          <w:sz w:val="20"/>
          <w:szCs w:val="20"/>
        </w:rPr>
        <w:t>in</w:t>
      </w:r>
      <w:r w:rsidR="00654711" w:rsidRPr="00654711">
        <w:rPr>
          <w:rFonts w:ascii="Arial" w:hAnsi="Arial" w:cs="Arial"/>
          <w:color w:val="000000" w:themeColor="text1"/>
          <w:sz w:val="20"/>
          <w:szCs w:val="20"/>
        </w:rPr>
        <w:t xml:space="preserve"> na 21–40</w:t>
      </w:r>
      <w:r w:rsidR="006531B7">
        <w:rPr>
          <w:rFonts w:ascii="Arial" w:hAnsi="Arial" w:cs="Arial"/>
          <w:color w:val="000000" w:themeColor="text1"/>
          <w:sz w:val="20"/>
          <w:szCs w:val="20"/>
        </w:rPr>
        <w:t xml:space="preserve"> naročil</w:t>
      </w:r>
      <w:r w:rsidRPr="00654711">
        <w:rPr>
          <w:rFonts w:ascii="Arial" w:hAnsi="Arial" w:cs="Arial"/>
          <w:color w:val="000000" w:themeColor="text1"/>
          <w:sz w:val="20"/>
          <w:szCs w:val="20"/>
        </w:rPr>
        <w:t>, in sicer so naročniki prejeli</w:t>
      </w:r>
      <w:r w:rsidR="0063573B" w:rsidRPr="00654711">
        <w:rPr>
          <w:rFonts w:ascii="Arial" w:hAnsi="Arial" w:cs="Arial"/>
          <w:color w:val="000000" w:themeColor="text1"/>
          <w:sz w:val="20"/>
          <w:szCs w:val="20"/>
        </w:rPr>
        <w:t xml:space="preserve"> </w:t>
      </w:r>
      <w:r w:rsidR="00AD6BE7" w:rsidRPr="00654711">
        <w:rPr>
          <w:rFonts w:ascii="Arial" w:hAnsi="Arial" w:cs="Arial"/>
          <w:color w:val="000000" w:themeColor="text1"/>
          <w:sz w:val="20"/>
          <w:szCs w:val="20"/>
        </w:rPr>
        <w:t>2,</w:t>
      </w:r>
      <w:r w:rsidR="00654711" w:rsidRPr="00654711">
        <w:rPr>
          <w:rFonts w:ascii="Arial" w:hAnsi="Arial" w:cs="Arial"/>
          <w:color w:val="000000" w:themeColor="text1"/>
          <w:sz w:val="20"/>
          <w:szCs w:val="20"/>
        </w:rPr>
        <w:t>3</w:t>
      </w:r>
      <w:r w:rsidR="001A3829" w:rsidRPr="00654711">
        <w:rPr>
          <w:rFonts w:ascii="Arial" w:hAnsi="Arial" w:cs="Arial"/>
          <w:color w:val="000000" w:themeColor="text1"/>
          <w:sz w:val="20"/>
          <w:szCs w:val="20"/>
        </w:rPr>
        <w:t xml:space="preserve"> </w:t>
      </w:r>
      <w:r w:rsidRPr="00654711">
        <w:rPr>
          <w:rFonts w:ascii="Arial" w:hAnsi="Arial" w:cs="Arial"/>
          <w:color w:val="000000" w:themeColor="text1"/>
          <w:sz w:val="20"/>
          <w:szCs w:val="20"/>
        </w:rPr>
        <w:t>ponudbe, najmanj</w:t>
      </w:r>
      <w:r w:rsidR="00F91742" w:rsidRPr="00654711">
        <w:rPr>
          <w:rFonts w:ascii="Arial" w:hAnsi="Arial" w:cs="Arial"/>
          <w:color w:val="000000" w:themeColor="text1"/>
          <w:sz w:val="20"/>
          <w:szCs w:val="20"/>
        </w:rPr>
        <w:t xml:space="preserve"> </w:t>
      </w:r>
      <w:r w:rsidR="00FD48CF" w:rsidRPr="00654711">
        <w:rPr>
          <w:rFonts w:ascii="Arial" w:hAnsi="Arial" w:cs="Arial"/>
          <w:color w:val="000000" w:themeColor="text1"/>
          <w:sz w:val="20"/>
          <w:szCs w:val="20"/>
        </w:rPr>
        <w:t>prejetih ponudb</w:t>
      </w:r>
      <w:r w:rsidRPr="00654711">
        <w:rPr>
          <w:rFonts w:ascii="Arial" w:hAnsi="Arial" w:cs="Arial"/>
          <w:color w:val="000000" w:themeColor="text1"/>
          <w:sz w:val="20"/>
          <w:szCs w:val="20"/>
        </w:rPr>
        <w:t xml:space="preserve"> pa</w:t>
      </w:r>
      <w:r w:rsidR="00FD48CF" w:rsidRPr="00654711">
        <w:rPr>
          <w:rFonts w:ascii="Arial" w:hAnsi="Arial" w:cs="Arial"/>
          <w:color w:val="000000" w:themeColor="text1"/>
          <w:sz w:val="20"/>
          <w:szCs w:val="20"/>
        </w:rPr>
        <w:t xml:space="preserve"> je bilo</w:t>
      </w:r>
      <w:r w:rsidRPr="00654711">
        <w:rPr>
          <w:rFonts w:ascii="Arial" w:hAnsi="Arial" w:cs="Arial"/>
          <w:color w:val="000000" w:themeColor="text1"/>
          <w:sz w:val="20"/>
          <w:szCs w:val="20"/>
        </w:rPr>
        <w:t xml:space="preserve"> pri postopk</w:t>
      </w:r>
      <w:r w:rsidR="00931B6E" w:rsidRPr="00654711">
        <w:rPr>
          <w:rFonts w:ascii="Arial" w:hAnsi="Arial" w:cs="Arial"/>
          <w:color w:val="000000" w:themeColor="text1"/>
          <w:sz w:val="20"/>
          <w:szCs w:val="20"/>
        </w:rPr>
        <w:t>ih</w:t>
      </w:r>
      <w:r w:rsidRPr="00654711">
        <w:rPr>
          <w:rFonts w:ascii="Arial" w:hAnsi="Arial" w:cs="Arial"/>
          <w:color w:val="000000" w:themeColor="text1"/>
          <w:sz w:val="20"/>
          <w:szCs w:val="20"/>
        </w:rPr>
        <w:t xml:space="preserve">, ki </w:t>
      </w:r>
      <w:r w:rsidR="00E63EE8" w:rsidRPr="00654711">
        <w:rPr>
          <w:rFonts w:ascii="Arial" w:hAnsi="Arial" w:cs="Arial"/>
          <w:color w:val="000000" w:themeColor="text1"/>
          <w:sz w:val="20"/>
          <w:szCs w:val="20"/>
        </w:rPr>
        <w:t xml:space="preserve">so </w:t>
      </w:r>
      <w:r w:rsidR="00405C60" w:rsidRPr="00654711">
        <w:rPr>
          <w:rFonts w:ascii="Arial" w:hAnsi="Arial" w:cs="Arial"/>
          <w:color w:val="000000" w:themeColor="text1"/>
          <w:sz w:val="20"/>
          <w:szCs w:val="20"/>
        </w:rPr>
        <w:t xml:space="preserve">bili razdeljeni na </w:t>
      </w:r>
      <w:r w:rsidR="0053100B" w:rsidRPr="00654711">
        <w:rPr>
          <w:rFonts w:ascii="Arial" w:hAnsi="Arial" w:cs="Arial"/>
          <w:color w:val="000000" w:themeColor="text1"/>
          <w:sz w:val="20"/>
          <w:szCs w:val="20"/>
        </w:rPr>
        <w:t>61</w:t>
      </w:r>
      <w:r w:rsidR="00E239EB" w:rsidRPr="00654711">
        <w:rPr>
          <w:rFonts w:ascii="Arial" w:hAnsi="Arial" w:cs="Arial"/>
          <w:color w:val="000000" w:themeColor="text1"/>
          <w:sz w:val="20"/>
          <w:szCs w:val="20"/>
        </w:rPr>
        <w:t>–</w:t>
      </w:r>
      <w:r w:rsidR="0053100B" w:rsidRPr="00654711">
        <w:rPr>
          <w:rFonts w:ascii="Arial" w:hAnsi="Arial" w:cs="Arial"/>
          <w:color w:val="000000" w:themeColor="text1"/>
          <w:sz w:val="20"/>
          <w:szCs w:val="20"/>
        </w:rPr>
        <w:t>1</w:t>
      </w:r>
      <w:r w:rsidR="00654711" w:rsidRPr="00654711">
        <w:rPr>
          <w:rFonts w:ascii="Arial" w:hAnsi="Arial" w:cs="Arial"/>
          <w:color w:val="000000" w:themeColor="text1"/>
          <w:sz w:val="20"/>
          <w:szCs w:val="20"/>
        </w:rPr>
        <w:t>00</w:t>
      </w:r>
      <w:r w:rsidR="00E239EB" w:rsidRPr="00654711">
        <w:rPr>
          <w:rFonts w:ascii="Arial" w:hAnsi="Arial" w:cs="Arial"/>
          <w:color w:val="000000" w:themeColor="text1"/>
          <w:sz w:val="20"/>
          <w:szCs w:val="20"/>
        </w:rPr>
        <w:t xml:space="preserve"> naročil</w:t>
      </w:r>
      <w:r w:rsidR="0085369D" w:rsidRPr="00654711">
        <w:rPr>
          <w:rFonts w:ascii="Arial" w:hAnsi="Arial" w:cs="Arial"/>
          <w:color w:val="000000" w:themeColor="text1"/>
          <w:sz w:val="20"/>
          <w:szCs w:val="20"/>
        </w:rPr>
        <w:t xml:space="preserve">, in sicer </w:t>
      </w:r>
      <w:r w:rsidR="00E57986">
        <w:rPr>
          <w:rFonts w:ascii="Arial" w:hAnsi="Arial" w:cs="Arial"/>
          <w:color w:val="000000" w:themeColor="text1"/>
          <w:sz w:val="20"/>
          <w:szCs w:val="20"/>
        </w:rPr>
        <w:t>1,7</w:t>
      </w:r>
      <w:r w:rsidR="00E239EB" w:rsidRPr="00654711">
        <w:rPr>
          <w:rFonts w:ascii="Arial" w:hAnsi="Arial" w:cs="Arial"/>
          <w:color w:val="000000" w:themeColor="text1"/>
          <w:sz w:val="20"/>
          <w:szCs w:val="20"/>
        </w:rPr>
        <w:t xml:space="preserve"> ponudb</w:t>
      </w:r>
      <w:r w:rsidR="00E57986">
        <w:rPr>
          <w:rFonts w:ascii="Arial" w:hAnsi="Arial" w:cs="Arial"/>
          <w:color w:val="000000" w:themeColor="text1"/>
          <w:sz w:val="20"/>
          <w:szCs w:val="20"/>
        </w:rPr>
        <w:t>e</w:t>
      </w:r>
      <w:r w:rsidR="00ED4CE1" w:rsidRPr="00654711">
        <w:rPr>
          <w:rFonts w:ascii="Arial" w:hAnsi="Arial" w:cs="Arial"/>
          <w:color w:val="000000" w:themeColor="text1"/>
          <w:sz w:val="20"/>
          <w:szCs w:val="20"/>
        </w:rPr>
        <w:t>.</w:t>
      </w:r>
      <w:r w:rsidRPr="00654711">
        <w:rPr>
          <w:rFonts w:ascii="Arial" w:hAnsi="Arial" w:cs="Arial"/>
          <w:color w:val="000000" w:themeColor="text1"/>
          <w:sz w:val="20"/>
          <w:szCs w:val="20"/>
        </w:rPr>
        <w:t xml:space="preserve"> </w:t>
      </w:r>
    </w:p>
    <w:p w14:paraId="07842A9D" w14:textId="79FA697B" w:rsidR="00623009" w:rsidRPr="000F60A1" w:rsidRDefault="00623009" w:rsidP="00E9417B">
      <w:pPr>
        <w:tabs>
          <w:tab w:val="left" w:pos="567"/>
          <w:tab w:val="left" w:pos="993"/>
        </w:tabs>
        <w:spacing w:after="0" w:line="360" w:lineRule="auto"/>
        <w:jc w:val="both"/>
        <w:rPr>
          <w:rFonts w:ascii="Arial" w:hAnsi="Arial" w:cs="Arial"/>
          <w:color w:val="000000" w:themeColor="text1"/>
          <w:sz w:val="20"/>
        </w:rPr>
      </w:pPr>
      <w:r w:rsidRPr="000F60A1">
        <w:rPr>
          <w:rFonts w:ascii="Arial" w:hAnsi="Arial" w:cs="Arial"/>
          <w:color w:val="000000" w:themeColor="text1"/>
          <w:sz w:val="20"/>
        </w:rPr>
        <w:t xml:space="preserve">Preglednica </w:t>
      </w:r>
      <w:r w:rsidR="00274CE8" w:rsidRPr="000F60A1">
        <w:rPr>
          <w:rFonts w:ascii="Arial" w:hAnsi="Arial" w:cs="Arial"/>
          <w:color w:val="000000" w:themeColor="text1"/>
          <w:sz w:val="20"/>
        </w:rPr>
        <w:t>30</w:t>
      </w:r>
      <w:r w:rsidRPr="000F60A1">
        <w:rPr>
          <w:rFonts w:ascii="Arial" w:hAnsi="Arial" w:cs="Arial"/>
          <w:color w:val="000000" w:themeColor="text1"/>
          <w:sz w:val="20"/>
        </w:rPr>
        <w:t xml:space="preserve">: </w:t>
      </w:r>
      <w:r w:rsidR="00771E42" w:rsidRPr="000F60A1">
        <w:rPr>
          <w:rFonts w:ascii="Arial" w:hAnsi="Arial" w:cs="Arial"/>
          <w:color w:val="000000" w:themeColor="text1"/>
          <w:sz w:val="20"/>
        </w:rPr>
        <w:t>Število naročil v postopku, njihova vrednost in deleži ter povprečno število prejetih ponudb</w:t>
      </w:r>
    </w:p>
    <w:tbl>
      <w:tblPr>
        <w:tblW w:w="8910" w:type="dxa"/>
        <w:jc w:val="center"/>
        <w:tblCellMar>
          <w:left w:w="70" w:type="dxa"/>
          <w:right w:w="70" w:type="dxa"/>
        </w:tblCellMar>
        <w:tblLook w:val="04A0" w:firstRow="1" w:lastRow="0" w:firstColumn="1" w:lastColumn="0" w:noHBand="0" w:noVBand="1"/>
      </w:tblPr>
      <w:tblGrid>
        <w:gridCol w:w="1271"/>
        <w:gridCol w:w="1418"/>
        <w:gridCol w:w="1984"/>
        <w:gridCol w:w="1418"/>
        <w:gridCol w:w="1275"/>
        <w:gridCol w:w="1544"/>
      </w:tblGrid>
      <w:tr w:rsidR="00AD6BE7" w:rsidRPr="00654711" w14:paraId="5E27F38A" w14:textId="77777777" w:rsidTr="00CD447F">
        <w:trPr>
          <w:trHeight w:val="255"/>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89A5BA" w14:textId="77777777" w:rsidR="00AD6BE7" w:rsidRPr="007F453D" w:rsidRDefault="00AD6BE7" w:rsidP="00AD6BE7">
            <w:pPr>
              <w:spacing w:after="0" w:line="240" w:lineRule="auto"/>
              <w:jc w:val="center"/>
              <w:rPr>
                <w:rFonts w:ascii="Arial" w:eastAsia="Times New Roman" w:hAnsi="Arial" w:cs="Arial"/>
                <w:color w:val="000000"/>
                <w:sz w:val="18"/>
                <w:szCs w:val="18"/>
                <w:lang w:eastAsia="sl-SI"/>
              </w:rPr>
            </w:pPr>
            <w:r w:rsidRPr="007F453D">
              <w:rPr>
                <w:rFonts w:ascii="Arial" w:eastAsia="Times New Roman" w:hAnsi="Arial" w:cs="Arial"/>
                <w:color w:val="000000"/>
                <w:sz w:val="18"/>
                <w:szCs w:val="18"/>
                <w:lang w:eastAsia="sl-SI"/>
              </w:rPr>
              <w:t>Št. naročil v postopku</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7A7BD5E" w14:textId="77777777" w:rsidR="00AD6BE7" w:rsidRPr="007F453D" w:rsidRDefault="00AD6BE7" w:rsidP="00AD6BE7">
            <w:pPr>
              <w:spacing w:after="0" w:line="240" w:lineRule="auto"/>
              <w:jc w:val="center"/>
              <w:rPr>
                <w:rFonts w:ascii="Arial" w:eastAsia="Times New Roman" w:hAnsi="Arial" w:cs="Arial"/>
                <w:color w:val="000000"/>
                <w:sz w:val="18"/>
                <w:szCs w:val="18"/>
                <w:lang w:eastAsia="sl-SI"/>
              </w:rPr>
            </w:pPr>
            <w:r w:rsidRPr="007F453D">
              <w:rPr>
                <w:rFonts w:ascii="Arial" w:eastAsia="Times New Roman" w:hAnsi="Arial" w:cs="Arial"/>
                <w:color w:val="000000"/>
                <w:sz w:val="18"/>
                <w:szCs w:val="18"/>
                <w:lang w:eastAsia="sl-SI"/>
              </w:rPr>
              <w:t>Št. postopkov</w:t>
            </w:r>
          </w:p>
        </w:tc>
        <w:tc>
          <w:tcPr>
            <w:tcW w:w="198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9188F1A" w14:textId="55461C85" w:rsidR="00AD6BE7" w:rsidRPr="007F453D" w:rsidRDefault="00AD6BE7" w:rsidP="00AD6BE7">
            <w:pPr>
              <w:spacing w:after="0" w:line="240" w:lineRule="auto"/>
              <w:jc w:val="center"/>
              <w:rPr>
                <w:rFonts w:ascii="Arial" w:eastAsia="Times New Roman" w:hAnsi="Arial" w:cs="Arial"/>
                <w:color w:val="000000"/>
                <w:sz w:val="18"/>
                <w:szCs w:val="18"/>
                <w:lang w:eastAsia="sl-SI"/>
              </w:rPr>
            </w:pPr>
            <w:r w:rsidRPr="007F453D">
              <w:rPr>
                <w:rFonts w:ascii="Arial" w:eastAsia="Times New Roman" w:hAnsi="Arial" w:cs="Arial"/>
                <w:color w:val="000000"/>
                <w:sz w:val="18"/>
                <w:szCs w:val="18"/>
                <w:lang w:eastAsia="sl-SI"/>
              </w:rPr>
              <w:t>Pogodbena vrednos</w:t>
            </w:r>
            <w:r w:rsidR="00E239EB" w:rsidRPr="007F453D">
              <w:rPr>
                <w:rFonts w:ascii="Arial" w:eastAsia="Times New Roman" w:hAnsi="Arial" w:cs="Arial"/>
                <w:color w:val="000000"/>
                <w:sz w:val="18"/>
                <w:szCs w:val="18"/>
                <w:lang w:eastAsia="sl-SI"/>
              </w:rPr>
              <w:t>t</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E3684A8" w14:textId="77777777" w:rsidR="00AD6BE7" w:rsidRPr="0000123C" w:rsidRDefault="00AD6BE7" w:rsidP="00AD6BE7">
            <w:pPr>
              <w:spacing w:after="0" w:line="240" w:lineRule="auto"/>
              <w:jc w:val="center"/>
              <w:rPr>
                <w:rFonts w:ascii="Arial" w:eastAsia="Times New Roman" w:hAnsi="Arial" w:cs="Arial"/>
                <w:color w:val="000000"/>
                <w:sz w:val="18"/>
                <w:szCs w:val="18"/>
                <w:lang w:eastAsia="sl-SI"/>
              </w:rPr>
            </w:pPr>
            <w:r w:rsidRPr="0000123C">
              <w:rPr>
                <w:rFonts w:ascii="Arial" w:eastAsia="Times New Roman" w:hAnsi="Arial" w:cs="Arial"/>
                <w:color w:val="000000"/>
                <w:sz w:val="18"/>
                <w:szCs w:val="18"/>
                <w:lang w:eastAsia="sl-SI"/>
              </w:rPr>
              <w:t>Delež v št. postopkov</w:t>
            </w:r>
          </w:p>
        </w:tc>
        <w:tc>
          <w:tcPr>
            <w:tcW w:w="127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C8BDAF3" w14:textId="77777777" w:rsidR="00AD6BE7" w:rsidRPr="0000123C" w:rsidRDefault="00AD6BE7" w:rsidP="00AD6BE7">
            <w:pPr>
              <w:spacing w:after="0" w:line="240" w:lineRule="auto"/>
              <w:jc w:val="center"/>
              <w:rPr>
                <w:rFonts w:ascii="Arial" w:eastAsia="Times New Roman" w:hAnsi="Arial" w:cs="Arial"/>
                <w:color w:val="000000"/>
                <w:sz w:val="18"/>
                <w:szCs w:val="18"/>
                <w:lang w:eastAsia="sl-SI"/>
              </w:rPr>
            </w:pPr>
            <w:r w:rsidRPr="0000123C">
              <w:rPr>
                <w:rFonts w:ascii="Arial" w:eastAsia="Times New Roman" w:hAnsi="Arial" w:cs="Arial"/>
                <w:color w:val="000000"/>
                <w:sz w:val="18"/>
                <w:szCs w:val="18"/>
                <w:lang w:eastAsia="sl-SI"/>
              </w:rPr>
              <w:t>Delež v vrednosti</w:t>
            </w:r>
          </w:p>
        </w:tc>
        <w:tc>
          <w:tcPr>
            <w:tcW w:w="154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5B85C6" w14:textId="77777777" w:rsidR="00AD6BE7" w:rsidRPr="00654711" w:rsidRDefault="00AD6BE7" w:rsidP="00AD6BE7">
            <w:pPr>
              <w:spacing w:after="0" w:line="240" w:lineRule="auto"/>
              <w:jc w:val="center"/>
              <w:rPr>
                <w:rFonts w:ascii="Arial" w:eastAsia="Times New Roman" w:hAnsi="Arial" w:cs="Arial"/>
                <w:color w:val="000000"/>
                <w:sz w:val="18"/>
                <w:szCs w:val="18"/>
                <w:lang w:eastAsia="sl-SI"/>
              </w:rPr>
            </w:pPr>
            <w:r w:rsidRPr="00654711">
              <w:rPr>
                <w:rFonts w:ascii="Arial" w:eastAsia="Times New Roman" w:hAnsi="Arial" w:cs="Arial"/>
                <w:color w:val="000000" w:themeColor="text1"/>
                <w:sz w:val="18"/>
                <w:szCs w:val="18"/>
                <w:lang w:eastAsia="sl-SI"/>
              </w:rPr>
              <w:t>Povprečno št. prejetih ponudb</w:t>
            </w:r>
          </w:p>
        </w:tc>
      </w:tr>
      <w:tr w:rsidR="0000123C" w:rsidRPr="00BF7302" w14:paraId="6093B931" w14:textId="77777777" w:rsidTr="0000123C">
        <w:trPr>
          <w:trHeight w:val="255"/>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DB6E3A7" w14:textId="77777777" w:rsidR="0000123C" w:rsidRPr="007F453D" w:rsidRDefault="0000123C" w:rsidP="0000123C">
            <w:pPr>
              <w:spacing w:after="0" w:line="240" w:lineRule="auto"/>
              <w:rPr>
                <w:rFonts w:ascii="Arial" w:eastAsia="Times New Roman" w:hAnsi="Arial" w:cs="Arial"/>
                <w:color w:val="000000"/>
                <w:sz w:val="18"/>
                <w:szCs w:val="18"/>
                <w:lang w:eastAsia="sl-SI"/>
              </w:rPr>
            </w:pPr>
            <w:r w:rsidRPr="007F453D">
              <w:rPr>
                <w:rFonts w:ascii="Arial" w:eastAsia="Times New Roman" w:hAnsi="Arial" w:cs="Arial"/>
                <w:color w:val="000000"/>
                <w:sz w:val="18"/>
                <w:szCs w:val="18"/>
                <w:lang w:eastAsia="sl-SI"/>
              </w:rPr>
              <w:t>1</w:t>
            </w:r>
          </w:p>
        </w:tc>
        <w:tc>
          <w:tcPr>
            <w:tcW w:w="1418" w:type="dxa"/>
            <w:tcBorders>
              <w:top w:val="nil"/>
              <w:left w:val="nil"/>
              <w:bottom w:val="single" w:sz="4" w:space="0" w:color="auto"/>
              <w:right w:val="single" w:sz="4" w:space="0" w:color="auto"/>
            </w:tcBorders>
            <w:shd w:val="clear" w:color="auto" w:fill="auto"/>
            <w:vAlign w:val="center"/>
            <w:hideMark/>
          </w:tcPr>
          <w:p w14:paraId="2C485470" w14:textId="7016CA19" w:rsidR="0000123C" w:rsidRPr="007F453D" w:rsidRDefault="0000123C" w:rsidP="0000123C">
            <w:pPr>
              <w:spacing w:after="0" w:line="240" w:lineRule="auto"/>
              <w:jc w:val="right"/>
              <w:rPr>
                <w:rFonts w:ascii="Arial" w:eastAsia="Times New Roman" w:hAnsi="Arial" w:cs="Arial"/>
                <w:color w:val="000000"/>
                <w:sz w:val="18"/>
                <w:szCs w:val="18"/>
                <w:lang w:eastAsia="sl-SI"/>
              </w:rPr>
            </w:pPr>
            <w:r w:rsidRPr="007F453D">
              <w:rPr>
                <w:rFonts w:ascii="Arial" w:eastAsia="Times New Roman" w:hAnsi="Arial" w:cs="Arial"/>
                <w:color w:val="000000"/>
                <w:sz w:val="18"/>
                <w:szCs w:val="18"/>
                <w:lang w:eastAsia="sl-SI"/>
              </w:rPr>
              <w:t>5.117</w:t>
            </w:r>
          </w:p>
        </w:tc>
        <w:tc>
          <w:tcPr>
            <w:tcW w:w="1984" w:type="dxa"/>
            <w:tcBorders>
              <w:top w:val="nil"/>
              <w:left w:val="nil"/>
              <w:bottom w:val="single" w:sz="4" w:space="0" w:color="auto"/>
              <w:right w:val="single" w:sz="4" w:space="0" w:color="auto"/>
            </w:tcBorders>
            <w:shd w:val="clear" w:color="auto" w:fill="auto"/>
            <w:vAlign w:val="center"/>
            <w:hideMark/>
          </w:tcPr>
          <w:p w14:paraId="6DDC0D33" w14:textId="12F9FF85" w:rsidR="0000123C" w:rsidRPr="007F453D" w:rsidRDefault="0000123C" w:rsidP="0000123C">
            <w:pPr>
              <w:spacing w:after="0" w:line="240" w:lineRule="auto"/>
              <w:jc w:val="right"/>
              <w:rPr>
                <w:rFonts w:ascii="Arial" w:eastAsia="Times New Roman" w:hAnsi="Arial" w:cs="Arial"/>
                <w:color w:val="000000"/>
                <w:sz w:val="18"/>
                <w:szCs w:val="18"/>
                <w:lang w:eastAsia="sl-SI"/>
              </w:rPr>
            </w:pPr>
            <w:r w:rsidRPr="007F453D">
              <w:rPr>
                <w:rFonts w:ascii="Arial" w:eastAsia="Times New Roman" w:hAnsi="Arial" w:cs="Arial"/>
                <w:color w:val="000000"/>
                <w:sz w:val="18"/>
                <w:szCs w:val="18"/>
                <w:lang w:eastAsia="sl-SI"/>
              </w:rPr>
              <w:t>3.833.206.450</w:t>
            </w:r>
          </w:p>
        </w:tc>
        <w:tc>
          <w:tcPr>
            <w:tcW w:w="1418" w:type="dxa"/>
            <w:tcBorders>
              <w:top w:val="nil"/>
              <w:left w:val="nil"/>
              <w:bottom w:val="single" w:sz="4" w:space="0" w:color="auto"/>
              <w:right w:val="single" w:sz="4" w:space="0" w:color="auto"/>
            </w:tcBorders>
            <w:shd w:val="clear" w:color="auto" w:fill="auto"/>
            <w:vAlign w:val="center"/>
            <w:hideMark/>
          </w:tcPr>
          <w:p w14:paraId="2DF3466E" w14:textId="216C4127" w:rsidR="0000123C" w:rsidRPr="0000123C" w:rsidRDefault="0000123C" w:rsidP="0000123C">
            <w:pPr>
              <w:spacing w:after="0" w:line="240" w:lineRule="auto"/>
              <w:jc w:val="right"/>
              <w:rPr>
                <w:rFonts w:ascii="Arial" w:eastAsia="Times New Roman" w:hAnsi="Arial" w:cs="Arial"/>
                <w:color w:val="000000"/>
                <w:sz w:val="18"/>
                <w:szCs w:val="18"/>
                <w:lang w:eastAsia="sl-SI"/>
              </w:rPr>
            </w:pPr>
            <w:r w:rsidRPr="0000123C">
              <w:rPr>
                <w:rFonts w:ascii="Arial" w:eastAsia="Times New Roman" w:hAnsi="Arial" w:cs="Arial"/>
                <w:color w:val="000000"/>
                <w:sz w:val="18"/>
                <w:szCs w:val="18"/>
                <w:lang w:eastAsia="sl-SI"/>
              </w:rPr>
              <w:t>76,13</w:t>
            </w:r>
            <w:r w:rsidR="009A3DE3">
              <w:rPr>
                <w:rFonts w:ascii="Arial" w:eastAsia="Times New Roman" w:hAnsi="Arial" w:cs="Arial"/>
                <w:color w:val="000000"/>
                <w:sz w:val="18"/>
                <w:szCs w:val="18"/>
                <w:lang w:eastAsia="sl-SI"/>
              </w:rPr>
              <w:t xml:space="preserve"> </w:t>
            </w:r>
            <w:r w:rsidRPr="0000123C">
              <w:rPr>
                <w:rFonts w:ascii="Arial" w:eastAsia="Times New Roman" w:hAnsi="Arial" w:cs="Arial"/>
                <w:color w:val="000000"/>
                <w:sz w:val="18"/>
                <w:szCs w:val="18"/>
                <w:lang w:eastAsia="sl-SI"/>
              </w:rPr>
              <w:t>%</w:t>
            </w:r>
          </w:p>
        </w:tc>
        <w:tc>
          <w:tcPr>
            <w:tcW w:w="1275" w:type="dxa"/>
            <w:tcBorders>
              <w:top w:val="nil"/>
              <w:left w:val="nil"/>
              <w:bottom w:val="single" w:sz="4" w:space="0" w:color="auto"/>
              <w:right w:val="single" w:sz="4" w:space="0" w:color="auto"/>
            </w:tcBorders>
            <w:shd w:val="clear" w:color="auto" w:fill="auto"/>
            <w:vAlign w:val="center"/>
            <w:hideMark/>
          </w:tcPr>
          <w:p w14:paraId="68E1A8D3" w14:textId="211F2B7C" w:rsidR="0000123C" w:rsidRPr="0000123C" w:rsidRDefault="0000123C" w:rsidP="0000123C">
            <w:pPr>
              <w:spacing w:after="0" w:line="240" w:lineRule="auto"/>
              <w:jc w:val="right"/>
              <w:rPr>
                <w:rFonts w:ascii="Arial" w:eastAsia="Times New Roman" w:hAnsi="Arial" w:cs="Arial"/>
                <w:color w:val="000000"/>
                <w:sz w:val="18"/>
                <w:szCs w:val="18"/>
                <w:lang w:eastAsia="sl-SI"/>
              </w:rPr>
            </w:pPr>
            <w:r w:rsidRPr="0000123C">
              <w:rPr>
                <w:rFonts w:ascii="Arial" w:eastAsia="Times New Roman" w:hAnsi="Arial" w:cs="Arial"/>
                <w:color w:val="000000"/>
                <w:sz w:val="18"/>
                <w:szCs w:val="18"/>
                <w:lang w:eastAsia="sl-SI"/>
              </w:rPr>
              <w:t>70,76</w:t>
            </w:r>
            <w:r w:rsidR="009A3DE3">
              <w:rPr>
                <w:rFonts w:ascii="Arial" w:eastAsia="Times New Roman" w:hAnsi="Arial" w:cs="Arial"/>
                <w:color w:val="000000"/>
                <w:sz w:val="18"/>
                <w:szCs w:val="18"/>
                <w:lang w:eastAsia="sl-SI"/>
              </w:rPr>
              <w:t xml:space="preserve"> </w:t>
            </w:r>
            <w:r w:rsidRPr="0000123C">
              <w:rPr>
                <w:rFonts w:ascii="Arial" w:eastAsia="Times New Roman" w:hAnsi="Arial" w:cs="Arial"/>
                <w:color w:val="000000"/>
                <w:sz w:val="18"/>
                <w:szCs w:val="18"/>
                <w:lang w:eastAsia="sl-SI"/>
              </w:rPr>
              <w:t>%</w:t>
            </w:r>
          </w:p>
        </w:tc>
        <w:tc>
          <w:tcPr>
            <w:tcW w:w="1544" w:type="dxa"/>
            <w:tcBorders>
              <w:top w:val="nil"/>
              <w:left w:val="nil"/>
              <w:bottom w:val="single" w:sz="4" w:space="0" w:color="auto"/>
              <w:right w:val="single" w:sz="4" w:space="0" w:color="auto"/>
            </w:tcBorders>
            <w:shd w:val="clear" w:color="auto" w:fill="auto"/>
            <w:vAlign w:val="center"/>
          </w:tcPr>
          <w:p w14:paraId="34168FB4" w14:textId="6EDEA3F9" w:rsidR="0000123C" w:rsidRPr="000F60A1" w:rsidRDefault="0000123C" w:rsidP="0000123C">
            <w:pPr>
              <w:spacing w:after="0" w:line="240" w:lineRule="auto"/>
              <w:jc w:val="right"/>
              <w:rPr>
                <w:rFonts w:ascii="Arial" w:eastAsia="Times New Roman" w:hAnsi="Arial" w:cs="Arial"/>
                <w:color w:val="000000"/>
                <w:sz w:val="18"/>
                <w:szCs w:val="18"/>
                <w:lang w:eastAsia="sl-SI"/>
              </w:rPr>
            </w:pPr>
            <w:r w:rsidRPr="000F60A1">
              <w:rPr>
                <w:rFonts w:ascii="Arial" w:eastAsia="Times New Roman" w:hAnsi="Arial" w:cs="Arial"/>
                <w:color w:val="000000"/>
                <w:sz w:val="18"/>
                <w:szCs w:val="18"/>
                <w:lang w:eastAsia="sl-SI"/>
              </w:rPr>
              <w:t>2,1</w:t>
            </w:r>
          </w:p>
        </w:tc>
      </w:tr>
      <w:tr w:rsidR="0000123C" w:rsidRPr="00BF7302" w14:paraId="6C141CA0" w14:textId="77777777" w:rsidTr="0000123C">
        <w:trPr>
          <w:trHeight w:val="255"/>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E346D9C" w14:textId="2A34759E" w:rsidR="0000123C" w:rsidRPr="008B4C3E" w:rsidRDefault="0000123C" w:rsidP="0000123C">
            <w:pPr>
              <w:spacing w:after="0" w:line="240" w:lineRule="auto"/>
              <w:rPr>
                <w:rFonts w:ascii="Arial" w:eastAsia="Times New Roman" w:hAnsi="Arial" w:cs="Arial"/>
                <w:color w:val="000000"/>
                <w:sz w:val="18"/>
                <w:szCs w:val="18"/>
                <w:lang w:eastAsia="sl-SI"/>
              </w:rPr>
            </w:pPr>
            <w:r w:rsidRPr="008B4C3E">
              <w:rPr>
                <w:rFonts w:ascii="Arial" w:eastAsia="Times New Roman" w:hAnsi="Arial" w:cs="Arial"/>
                <w:color w:val="000000"/>
                <w:sz w:val="18"/>
                <w:szCs w:val="18"/>
                <w:lang w:eastAsia="sl-SI"/>
              </w:rPr>
              <w:t>2–10</w:t>
            </w:r>
          </w:p>
        </w:tc>
        <w:tc>
          <w:tcPr>
            <w:tcW w:w="1418" w:type="dxa"/>
            <w:tcBorders>
              <w:top w:val="nil"/>
              <w:left w:val="nil"/>
              <w:bottom w:val="single" w:sz="4" w:space="0" w:color="auto"/>
              <w:right w:val="single" w:sz="4" w:space="0" w:color="auto"/>
            </w:tcBorders>
            <w:shd w:val="clear" w:color="auto" w:fill="auto"/>
            <w:vAlign w:val="center"/>
            <w:hideMark/>
          </w:tcPr>
          <w:p w14:paraId="5C5DC739" w14:textId="42DDFCDB" w:rsidR="0000123C" w:rsidRPr="008B4C3E" w:rsidRDefault="0000123C" w:rsidP="0000123C">
            <w:pPr>
              <w:spacing w:after="0" w:line="240" w:lineRule="auto"/>
              <w:jc w:val="right"/>
              <w:rPr>
                <w:rFonts w:ascii="Arial" w:eastAsia="Times New Roman" w:hAnsi="Arial" w:cs="Arial"/>
                <w:color w:val="000000"/>
                <w:sz w:val="18"/>
                <w:szCs w:val="18"/>
                <w:lang w:eastAsia="sl-SI"/>
              </w:rPr>
            </w:pPr>
            <w:r w:rsidRPr="008B4C3E">
              <w:rPr>
                <w:rFonts w:ascii="Arial" w:eastAsia="Times New Roman" w:hAnsi="Arial" w:cs="Arial"/>
                <w:color w:val="000000"/>
                <w:sz w:val="18"/>
                <w:szCs w:val="18"/>
                <w:lang w:eastAsia="sl-SI"/>
              </w:rPr>
              <w:t>1.305</w:t>
            </w:r>
          </w:p>
        </w:tc>
        <w:tc>
          <w:tcPr>
            <w:tcW w:w="1984" w:type="dxa"/>
            <w:tcBorders>
              <w:top w:val="nil"/>
              <w:left w:val="nil"/>
              <w:bottom w:val="single" w:sz="4" w:space="0" w:color="auto"/>
              <w:right w:val="single" w:sz="4" w:space="0" w:color="auto"/>
            </w:tcBorders>
            <w:shd w:val="clear" w:color="auto" w:fill="auto"/>
            <w:vAlign w:val="center"/>
            <w:hideMark/>
          </w:tcPr>
          <w:p w14:paraId="14B0AF79" w14:textId="50BD0BE8" w:rsidR="0000123C" w:rsidRPr="0000123C" w:rsidRDefault="0000123C" w:rsidP="0000123C">
            <w:pPr>
              <w:spacing w:after="0" w:line="240" w:lineRule="auto"/>
              <w:jc w:val="right"/>
              <w:rPr>
                <w:rFonts w:ascii="Arial" w:eastAsia="Times New Roman" w:hAnsi="Arial" w:cs="Arial"/>
                <w:color w:val="000000"/>
                <w:sz w:val="18"/>
                <w:szCs w:val="18"/>
                <w:lang w:eastAsia="sl-SI"/>
              </w:rPr>
            </w:pPr>
            <w:r w:rsidRPr="008B4C3E">
              <w:rPr>
                <w:rFonts w:ascii="Arial" w:eastAsia="Times New Roman" w:hAnsi="Arial" w:cs="Arial"/>
                <w:color w:val="000000"/>
                <w:sz w:val="18"/>
                <w:szCs w:val="18"/>
                <w:lang w:eastAsia="sl-SI"/>
              </w:rPr>
              <w:t>1.024.477.673</w:t>
            </w:r>
          </w:p>
        </w:tc>
        <w:tc>
          <w:tcPr>
            <w:tcW w:w="1418" w:type="dxa"/>
            <w:tcBorders>
              <w:top w:val="nil"/>
              <w:left w:val="nil"/>
              <w:bottom w:val="single" w:sz="4" w:space="0" w:color="auto"/>
              <w:right w:val="single" w:sz="4" w:space="0" w:color="auto"/>
            </w:tcBorders>
            <w:shd w:val="clear" w:color="auto" w:fill="auto"/>
            <w:vAlign w:val="center"/>
            <w:hideMark/>
          </w:tcPr>
          <w:p w14:paraId="59487FA9" w14:textId="510C2EF0" w:rsidR="0000123C" w:rsidRPr="0000123C" w:rsidRDefault="0000123C" w:rsidP="0000123C">
            <w:pPr>
              <w:spacing w:after="0" w:line="240" w:lineRule="auto"/>
              <w:jc w:val="right"/>
              <w:rPr>
                <w:rFonts w:ascii="Arial" w:eastAsia="Times New Roman" w:hAnsi="Arial" w:cs="Arial"/>
                <w:color w:val="000000"/>
                <w:sz w:val="18"/>
                <w:szCs w:val="18"/>
                <w:lang w:eastAsia="sl-SI"/>
              </w:rPr>
            </w:pPr>
            <w:r w:rsidRPr="0000123C">
              <w:rPr>
                <w:rFonts w:ascii="Arial" w:eastAsia="Times New Roman" w:hAnsi="Arial" w:cs="Arial"/>
                <w:color w:val="000000"/>
                <w:sz w:val="18"/>
                <w:szCs w:val="18"/>
                <w:lang w:eastAsia="sl-SI"/>
              </w:rPr>
              <w:t>19,42</w:t>
            </w:r>
            <w:r w:rsidR="009A3DE3">
              <w:rPr>
                <w:rFonts w:ascii="Arial" w:eastAsia="Times New Roman" w:hAnsi="Arial" w:cs="Arial"/>
                <w:color w:val="000000"/>
                <w:sz w:val="18"/>
                <w:szCs w:val="18"/>
                <w:lang w:eastAsia="sl-SI"/>
              </w:rPr>
              <w:t xml:space="preserve"> </w:t>
            </w:r>
            <w:r w:rsidRPr="0000123C">
              <w:rPr>
                <w:rFonts w:ascii="Arial" w:eastAsia="Times New Roman" w:hAnsi="Arial" w:cs="Arial"/>
                <w:color w:val="000000"/>
                <w:sz w:val="18"/>
                <w:szCs w:val="18"/>
                <w:lang w:eastAsia="sl-SI"/>
              </w:rPr>
              <w:t>%</w:t>
            </w:r>
          </w:p>
        </w:tc>
        <w:tc>
          <w:tcPr>
            <w:tcW w:w="1275" w:type="dxa"/>
            <w:tcBorders>
              <w:top w:val="nil"/>
              <w:left w:val="nil"/>
              <w:bottom w:val="single" w:sz="4" w:space="0" w:color="auto"/>
              <w:right w:val="single" w:sz="4" w:space="0" w:color="auto"/>
            </w:tcBorders>
            <w:shd w:val="clear" w:color="auto" w:fill="auto"/>
            <w:vAlign w:val="center"/>
            <w:hideMark/>
          </w:tcPr>
          <w:p w14:paraId="4D5653E8" w14:textId="43D3F336" w:rsidR="0000123C" w:rsidRPr="0000123C" w:rsidRDefault="0000123C" w:rsidP="0000123C">
            <w:pPr>
              <w:spacing w:after="0" w:line="240" w:lineRule="auto"/>
              <w:jc w:val="right"/>
              <w:rPr>
                <w:rFonts w:ascii="Arial" w:eastAsia="Times New Roman" w:hAnsi="Arial" w:cs="Arial"/>
                <w:color w:val="000000"/>
                <w:sz w:val="18"/>
                <w:szCs w:val="18"/>
                <w:lang w:eastAsia="sl-SI"/>
              </w:rPr>
            </w:pPr>
            <w:r w:rsidRPr="0000123C">
              <w:rPr>
                <w:rFonts w:ascii="Arial" w:eastAsia="Times New Roman" w:hAnsi="Arial" w:cs="Arial"/>
                <w:color w:val="000000"/>
                <w:sz w:val="18"/>
                <w:szCs w:val="18"/>
                <w:lang w:eastAsia="sl-SI"/>
              </w:rPr>
              <w:t>18,91</w:t>
            </w:r>
            <w:r w:rsidR="009A3DE3">
              <w:rPr>
                <w:rFonts w:ascii="Arial" w:eastAsia="Times New Roman" w:hAnsi="Arial" w:cs="Arial"/>
                <w:color w:val="000000"/>
                <w:sz w:val="18"/>
                <w:szCs w:val="18"/>
                <w:lang w:eastAsia="sl-SI"/>
              </w:rPr>
              <w:t xml:space="preserve"> </w:t>
            </w:r>
            <w:r w:rsidRPr="0000123C">
              <w:rPr>
                <w:rFonts w:ascii="Arial" w:eastAsia="Times New Roman" w:hAnsi="Arial" w:cs="Arial"/>
                <w:color w:val="000000"/>
                <w:sz w:val="18"/>
                <w:szCs w:val="18"/>
                <w:lang w:eastAsia="sl-SI"/>
              </w:rPr>
              <w:t>%</w:t>
            </w:r>
          </w:p>
        </w:tc>
        <w:tc>
          <w:tcPr>
            <w:tcW w:w="1544" w:type="dxa"/>
            <w:tcBorders>
              <w:top w:val="nil"/>
              <w:left w:val="nil"/>
              <w:bottom w:val="single" w:sz="4" w:space="0" w:color="auto"/>
              <w:right w:val="single" w:sz="4" w:space="0" w:color="auto"/>
            </w:tcBorders>
            <w:shd w:val="clear" w:color="auto" w:fill="auto"/>
            <w:vAlign w:val="center"/>
          </w:tcPr>
          <w:p w14:paraId="03DDB923" w14:textId="5201F813" w:rsidR="0000123C" w:rsidRPr="0000123C" w:rsidRDefault="0000123C" w:rsidP="0000123C">
            <w:pPr>
              <w:spacing w:after="0" w:line="240" w:lineRule="auto"/>
              <w:jc w:val="right"/>
              <w:rPr>
                <w:rFonts w:ascii="Arial" w:eastAsia="Times New Roman" w:hAnsi="Arial" w:cs="Arial"/>
                <w:color w:val="000000"/>
                <w:sz w:val="18"/>
                <w:szCs w:val="18"/>
                <w:lang w:eastAsia="sl-SI"/>
              </w:rPr>
            </w:pPr>
            <w:r w:rsidRPr="008B4C3E">
              <w:rPr>
                <w:rFonts w:ascii="Arial" w:eastAsia="Times New Roman" w:hAnsi="Arial" w:cs="Arial"/>
                <w:color w:val="000000"/>
                <w:sz w:val="18"/>
                <w:szCs w:val="18"/>
                <w:lang w:eastAsia="sl-SI"/>
              </w:rPr>
              <w:t>2,3</w:t>
            </w:r>
          </w:p>
        </w:tc>
      </w:tr>
      <w:tr w:rsidR="0000123C" w:rsidRPr="00BF7302" w14:paraId="4039F237" w14:textId="77777777" w:rsidTr="0000123C">
        <w:trPr>
          <w:trHeight w:val="255"/>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A9B06B5" w14:textId="758A7E81" w:rsidR="0000123C" w:rsidRPr="008B4C3E" w:rsidRDefault="0000123C" w:rsidP="0000123C">
            <w:pPr>
              <w:spacing w:after="0" w:line="240" w:lineRule="auto"/>
              <w:rPr>
                <w:rFonts w:ascii="Arial" w:eastAsia="Times New Roman" w:hAnsi="Arial" w:cs="Arial"/>
                <w:color w:val="000000"/>
                <w:sz w:val="18"/>
                <w:szCs w:val="18"/>
                <w:lang w:eastAsia="sl-SI"/>
              </w:rPr>
            </w:pPr>
            <w:r w:rsidRPr="008B4C3E">
              <w:rPr>
                <w:rFonts w:ascii="Arial" w:eastAsia="Times New Roman" w:hAnsi="Arial" w:cs="Arial"/>
                <w:color w:val="000000"/>
                <w:sz w:val="18"/>
                <w:szCs w:val="18"/>
                <w:lang w:eastAsia="sl-SI"/>
              </w:rPr>
              <w:t>11–20</w:t>
            </w:r>
          </w:p>
        </w:tc>
        <w:tc>
          <w:tcPr>
            <w:tcW w:w="1418" w:type="dxa"/>
            <w:tcBorders>
              <w:top w:val="nil"/>
              <w:left w:val="nil"/>
              <w:bottom w:val="single" w:sz="4" w:space="0" w:color="auto"/>
              <w:right w:val="single" w:sz="4" w:space="0" w:color="auto"/>
            </w:tcBorders>
            <w:shd w:val="clear" w:color="auto" w:fill="auto"/>
            <w:vAlign w:val="center"/>
            <w:hideMark/>
          </w:tcPr>
          <w:p w14:paraId="085D2CD7" w14:textId="0B8058F4" w:rsidR="0000123C" w:rsidRPr="008B4C3E" w:rsidRDefault="0000123C" w:rsidP="0000123C">
            <w:pPr>
              <w:spacing w:after="0" w:line="240" w:lineRule="auto"/>
              <w:jc w:val="right"/>
              <w:rPr>
                <w:rFonts w:ascii="Arial" w:eastAsia="Times New Roman" w:hAnsi="Arial" w:cs="Arial"/>
                <w:color w:val="000000"/>
                <w:sz w:val="18"/>
                <w:szCs w:val="18"/>
                <w:lang w:eastAsia="sl-SI"/>
              </w:rPr>
            </w:pPr>
            <w:r w:rsidRPr="008B4C3E">
              <w:rPr>
                <w:rFonts w:ascii="Arial" w:eastAsia="Times New Roman" w:hAnsi="Arial" w:cs="Arial"/>
                <w:color w:val="000000"/>
                <w:sz w:val="18"/>
                <w:szCs w:val="18"/>
                <w:lang w:eastAsia="sl-SI"/>
              </w:rPr>
              <w:t>188</w:t>
            </w:r>
          </w:p>
        </w:tc>
        <w:tc>
          <w:tcPr>
            <w:tcW w:w="1984" w:type="dxa"/>
            <w:tcBorders>
              <w:top w:val="nil"/>
              <w:left w:val="nil"/>
              <w:bottom w:val="single" w:sz="4" w:space="0" w:color="auto"/>
              <w:right w:val="single" w:sz="4" w:space="0" w:color="auto"/>
            </w:tcBorders>
            <w:shd w:val="clear" w:color="auto" w:fill="auto"/>
            <w:vAlign w:val="center"/>
            <w:hideMark/>
          </w:tcPr>
          <w:p w14:paraId="798DFAD6" w14:textId="48494C94" w:rsidR="0000123C" w:rsidRPr="0000123C" w:rsidRDefault="0000123C" w:rsidP="0000123C">
            <w:pPr>
              <w:spacing w:after="0" w:line="240" w:lineRule="auto"/>
              <w:jc w:val="right"/>
              <w:rPr>
                <w:rFonts w:ascii="Arial" w:eastAsia="Times New Roman" w:hAnsi="Arial" w:cs="Arial"/>
                <w:color w:val="000000"/>
                <w:sz w:val="18"/>
                <w:szCs w:val="18"/>
                <w:lang w:eastAsia="sl-SI"/>
              </w:rPr>
            </w:pPr>
            <w:r w:rsidRPr="008B4C3E">
              <w:rPr>
                <w:rFonts w:ascii="Arial" w:eastAsia="Times New Roman" w:hAnsi="Arial" w:cs="Arial"/>
                <w:color w:val="000000"/>
                <w:sz w:val="18"/>
                <w:szCs w:val="18"/>
                <w:lang w:eastAsia="sl-SI"/>
              </w:rPr>
              <w:t>116.028.292</w:t>
            </w:r>
          </w:p>
        </w:tc>
        <w:tc>
          <w:tcPr>
            <w:tcW w:w="1418" w:type="dxa"/>
            <w:tcBorders>
              <w:top w:val="nil"/>
              <w:left w:val="nil"/>
              <w:bottom w:val="single" w:sz="4" w:space="0" w:color="auto"/>
              <w:right w:val="single" w:sz="4" w:space="0" w:color="auto"/>
            </w:tcBorders>
            <w:shd w:val="clear" w:color="auto" w:fill="auto"/>
            <w:vAlign w:val="center"/>
            <w:hideMark/>
          </w:tcPr>
          <w:p w14:paraId="56DCCF90" w14:textId="5B7188C0" w:rsidR="0000123C" w:rsidRPr="0000123C" w:rsidRDefault="0000123C" w:rsidP="0000123C">
            <w:pPr>
              <w:spacing w:after="0" w:line="240" w:lineRule="auto"/>
              <w:jc w:val="right"/>
              <w:rPr>
                <w:rFonts w:ascii="Arial" w:eastAsia="Times New Roman" w:hAnsi="Arial" w:cs="Arial"/>
                <w:color w:val="000000"/>
                <w:sz w:val="18"/>
                <w:szCs w:val="18"/>
                <w:lang w:eastAsia="sl-SI"/>
              </w:rPr>
            </w:pPr>
            <w:r w:rsidRPr="0000123C">
              <w:rPr>
                <w:rFonts w:ascii="Arial" w:eastAsia="Times New Roman" w:hAnsi="Arial" w:cs="Arial"/>
                <w:color w:val="000000"/>
                <w:sz w:val="18"/>
                <w:szCs w:val="18"/>
                <w:lang w:eastAsia="sl-SI"/>
              </w:rPr>
              <w:t>2,80</w:t>
            </w:r>
            <w:r w:rsidR="009A3DE3">
              <w:rPr>
                <w:rFonts w:ascii="Arial" w:eastAsia="Times New Roman" w:hAnsi="Arial" w:cs="Arial"/>
                <w:color w:val="000000"/>
                <w:sz w:val="18"/>
                <w:szCs w:val="18"/>
                <w:lang w:eastAsia="sl-SI"/>
              </w:rPr>
              <w:t xml:space="preserve"> </w:t>
            </w:r>
            <w:r w:rsidRPr="0000123C">
              <w:rPr>
                <w:rFonts w:ascii="Arial" w:eastAsia="Times New Roman" w:hAnsi="Arial" w:cs="Arial"/>
                <w:color w:val="000000"/>
                <w:sz w:val="18"/>
                <w:szCs w:val="18"/>
                <w:lang w:eastAsia="sl-SI"/>
              </w:rPr>
              <w:t>%</w:t>
            </w:r>
          </w:p>
        </w:tc>
        <w:tc>
          <w:tcPr>
            <w:tcW w:w="1275" w:type="dxa"/>
            <w:tcBorders>
              <w:top w:val="nil"/>
              <w:left w:val="nil"/>
              <w:bottom w:val="single" w:sz="4" w:space="0" w:color="auto"/>
              <w:right w:val="single" w:sz="4" w:space="0" w:color="auto"/>
            </w:tcBorders>
            <w:shd w:val="clear" w:color="auto" w:fill="auto"/>
            <w:vAlign w:val="center"/>
            <w:hideMark/>
          </w:tcPr>
          <w:p w14:paraId="7013AFD6" w14:textId="35263D2D" w:rsidR="0000123C" w:rsidRPr="0000123C" w:rsidRDefault="0000123C" w:rsidP="0000123C">
            <w:pPr>
              <w:spacing w:after="0" w:line="240" w:lineRule="auto"/>
              <w:jc w:val="right"/>
              <w:rPr>
                <w:rFonts w:ascii="Arial" w:eastAsia="Times New Roman" w:hAnsi="Arial" w:cs="Arial"/>
                <w:color w:val="000000"/>
                <w:sz w:val="18"/>
                <w:szCs w:val="18"/>
                <w:lang w:eastAsia="sl-SI"/>
              </w:rPr>
            </w:pPr>
            <w:r w:rsidRPr="0000123C">
              <w:rPr>
                <w:rFonts w:ascii="Arial" w:eastAsia="Times New Roman" w:hAnsi="Arial" w:cs="Arial"/>
                <w:color w:val="000000"/>
                <w:sz w:val="18"/>
                <w:szCs w:val="18"/>
                <w:lang w:eastAsia="sl-SI"/>
              </w:rPr>
              <w:t>2,14</w:t>
            </w:r>
            <w:r w:rsidR="009A3DE3">
              <w:rPr>
                <w:rFonts w:ascii="Arial" w:eastAsia="Times New Roman" w:hAnsi="Arial" w:cs="Arial"/>
                <w:color w:val="000000"/>
                <w:sz w:val="18"/>
                <w:szCs w:val="18"/>
                <w:lang w:eastAsia="sl-SI"/>
              </w:rPr>
              <w:t xml:space="preserve"> </w:t>
            </w:r>
            <w:r w:rsidRPr="0000123C">
              <w:rPr>
                <w:rFonts w:ascii="Arial" w:eastAsia="Times New Roman" w:hAnsi="Arial" w:cs="Arial"/>
                <w:color w:val="000000"/>
                <w:sz w:val="18"/>
                <w:szCs w:val="18"/>
                <w:lang w:eastAsia="sl-SI"/>
              </w:rPr>
              <w:t>%</w:t>
            </w:r>
          </w:p>
        </w:tc>
        <w:tc>
          <w:tcPr>
            <w:tcW w:w="1544" w:type="dxa"/>
            <w:tcBorders>
              <w:top w:val="nil"/>
              <w:left w:val="nil"/>
              <w:bottom w:val="single" w:sz="4" w:space="0" w:color="auto"/>
              <w:right w:val="single" w:sz="4" w:space="0" w:color="auto"/>
            </w:tcBorders>
            <w:shd w:val="clear" w:color="auto" w:fill="auto"/>
            <w:vAlign w:val="center"/>
          </w:tcPr>
          <w:p w14:paraId="3E4D8D7E" w14:textId="3AF4B1C8" w:rsidR="0000123C" w:rsidRPr="0000123C" w:rsidRDefault="0000123C" w:rsidP="0000123C">
            <w:pPr>
              <w:spacing w:after="0" w:line="240" w:lineRule="auto"/>
              <w:jc w:val="right"/>
              <w:rPr>
                <w:rFonts w:ascii="Arial" w:eastAsia="Times New Roman" w:hAnsi="Arial" w:cs="Arial"/>
                <w:color w:val="000000"/>
                <w:sz w:val="18"/>
                <w:szCs w:val="18"/>
                <w:lang w:eastAsia="sl-SI"/>
              </w:rPr>
            </w:pPr>
            <w:r w:rsidRPr="008B4C3E">
              <w:rPr>
                <w:rFonts w:ascii="Arial" w:eastAsia="Times New Roman" w:hAnsi="Arial" w:cs="Arial"/>
                <w:color w:val="000000"/>
                <w:sz w:val="18"/>
                <w:szCs w:val="18"/>
                <w:lang w:eastAsia="sl-SI"/>
              </w:rPr>
              <w:t>2,2</w:t>
            </w:r>
          </w:p>
        </w:tc>
      </w:tr>
      <w:tr w:rsidR="0000123C" w:rsidRPr="00BF7302" w14:paraId="00FE7DCA" w14:textId="77777777" w:rsidTr="0000123C">
        <w:trPr>
          <w:trHeight w:val="255"/>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A0E00D9" w14:textId="5D24142C" w:rsidR="0000123C" w:rsidRPr="008B4C3E" w:rsidRDefault="0000123C" w:rsidP="0000123C">
            <w:pPr>
              <w:spacing w:after="0" w:line="240" w:lineRule="auto"/>
              <w:rPr>
                <w:rFonts w:ascii="Arial" w:eastAsia="Times New Roman" w:hAnsi="Arial" w:cs="Arial"/>
                <w:color w:val="000000"/>
                <w:sz w:val="18"/>
                <w:szCs w:val="18"/>
                <w:lang w:eastAsia="sl-SI"/>
              </w:rPr>
            </w:pPr>
            <w:r w:rsidRPr="008B4C3E">
              <w:rPr>
                <w:rFonts w:ascii="Arial" w:eastAsia="Times New Roman" w:hAnsi="Arial" w:cs="Arial"/>
                <w:color w:val="000000"/>
                <w:sz w:val="18"/>
                <w:szCs w:val="18"/>
                <w:lang w:eastAsia="sl-SI"/>
              </w:rPr>
              <w:t>21–40</w:t>
            </w:r>
          </w:p>
        </w:tc>
        <w:tc>
          <w:tcPr>
            <w:tcW w:w="1418" w:type="dxa"/>
            <w:tcBorders>
              <w:top w:val="nil"/>
              <w:left w:val="nil"/>
              <w:bottom w:val="single" w:sz="4" w:space="0" w:color="auto"/>
              <w:right w:val="single" w:sz="4" w:space="0" w:color="auto"/>
            </w:tcBorders>
            <w:shd w:val="clear" w:color="auto" w:fill="auto"/>
            <w:vAlign w:val="center"/>
            <w:hideMark/>
          </w:tcPr>
          <w:p w14:paraId="564348A4" w14:textId="3A76BB2A" w:rsidR="0000123C" w:rsidRPr="008B4C3E" w:rsidRDefault="0000123C" w:rsidP="0000123C">
            <w:pPr>
              <w:spacing w:after="0" w:line="240" w:lineRule="auto"/>
              <w:jc w:val="right"/>
              <w:rPr>
                <w:rFonts w:ascii="Arial" w:eastAsia="Times New Roman" w:hAnsi="Arial" w:cs="Arial"/>
                <w:color w:val="000000"/>
                <w:sz w:val="18"/>
                <w:szCs w:val="18"/>
                <w:lang w:eastAsia="sl-SI"/>
              </w:rPr>
            </w:pPr>
            <w:r w:rsidRPr="008B4C3E">
              <w:rPr>
                <w:rFonts w:ascii="Arial" w:eastAsia="Times New Roman" w:hAnsi="Arial" w:cs="Arial"/>
                <w:color w:val="000000"/>
                <w:sz w:val="18"/>
                <w:szCs w:val="18"/>
                <w:lang w:eastAsia="sl-SI"/>
              </w:rPr>
              <w:t>88</w:t>
            </w:r>
          </w:p>
        </w:tc>
        <w:tc>
          <w:tcPr>
            <w:tcW w:w="1984" w:type="dxa"/>
            <w:tcBorders>
              <w:top w:val="nil"/>
              <w:left w:val="nil"/>
              <w:bottom w:val="single" w:sz="4" w:space="0" w:color="auto"/>
              <w:right w:val="single" w:sz="4" w:space="0" w:color="auto"/>
            </w:tcBorders>
            <w:shd w:val="clear" w:color="auto" w:fill="auto"/>
            <w:vAlign w:val="center"/>
            <w:hideMark/>
          </w:tcPr>
          <w:p w14:paraId="6E46A42D" w14:textId="5261DF78" w:rsidR="0000123C" w:rsidRPr="008B4C3E" w:rsidRDefault="0000123C" w:rsidP="0000123C">
            <w:pPr>
              <w:spacing w:after="0" w:line="240" w:lineRule="auto"/>
              <w:jc w:val="right"/>
              <w:rPr>
                <w:rFonts w:ascii="Arial" w:eastAsia="Times New Roman" w:hAnsi="Arial" w:cs="Arial"/>
                <w:color w:val="000000"/>
                <w:sz w:val="18"/>
                <w:szCs w:val="18"/>
                <w:lang w:eastAsia="sl-SI"/>
              </w:rPr>
            </w:pPr>
            <w:r w:rsidRPr="008B4C3E">
              <w:rPr>
                <w:rFonts w:ascii="Arial" w:eastAsia="Times New Roman" w:hAnsi="Arial" w:cs="Arial"/>
                <w:color w:val="000000"/>
                <w:sz w:val="18"/>
                <w:szCs w:val="18"/>
                <w:lang w:eastAsia="sl-SI"/>
              </w:rPr>
              <w:t>79.361.100</w:t>
            </w:r>
          </w:p>
        </w:tc>
        <w:tc>
          <w:tcPr>
            <w:tcW w:w="1418" w:type="dxa"/>
            <w:tcBorders>
              <w:top w:val="nil"/>
              <w:left w:val="nil"/>
              <w:bottom w:val="single" w:sz="4" w:space="0" w:color="auto"/>
              <w:right w:val="single" w:sz="4" w:space="0" w:color="auto"/>
            </w:tcBorders>
            <w:shd w:val="clear" w:color="auto" w:fill="auto"/>
            <w:vAlign w:val="center"/>
            <w:hideMark/>
          </w:tcPr>
          <w:p w14:paraId="27154211" w14:textId="2D98063E" w:rsidR="0000123C" w:rsidRPr="0000123C" w:rsidRDefault="0000123C" w:rsidP="0000123C">
            <w:pPr>
              <w:spacing w:after="0" w:line="240" w:lineRule="auto"/>
              <w:jc w:val="right"/>
              <w:rPr>
                <w:rFonts w:ascii="Arial" w:eastAsia="Times New Roman" w:hAnsi="Arial" w:cs="Arial"/>
                <w:color w:val="000000"/>
                <w:sz w:val="18"/>
                <w:szCs w:val="18"/>
                <w:lang w:eastAsia="sl-SI"/>
              </w:rPr>
            </w:pPr>
            <w:r w:rsidRPr="0000123C">
              <w:rPr>
                <w:rFonts w:ascii="Arial" w:eastAsia="Times New Roman" w:hAnsi="Arial" w:cs="Arial"/>
                <w:color w:val="000000"/>
                <w:sz w:val="18"/>
                <w:szCs w:val="18"/>
                <w:lang w:eastAsia="sl-SI"/>
              </w:rPr>
              <w:t>1,31</w:t>
            </w:r>
            <w:r w:rsidR="009A3DE3">
              <w:rPr>
                <w:rFonts w:ascii="Arial" w:eastAsia="Times New Roman" w:hAnsi="Arial" w:cs="Arial"/>
                <w:color w:val="000000"/>
                <w:sz w:val="18"/>
                <w:szCs w:val="18"/>
                <w:lang w:eastAsia="sl-SI"/>
              </w:rPr>
              <w:t xml:space="preserve"> </w:t>
            </w:r>
            <w:r w:rsidRPr="0000123C">
              <w:rPr>
                <w:rFonts w:ascii="Arial" w:eastAsia="Times New Roman" w:hAnsi="Arial" w:cs="Arial"/>
                <w:color w:val="000000"/>
                <w:sz w:val="18"/>
                <w:szCs w:val="18"/>
                <w:lang w:eastAsia="sl-SI"/>
              </w:rPr>
              <w:t>%</w:t>
            </w:r>
          </w:p>
        </w:tc>
        <w:tc>
          <w:tcPr>
            <w:tcW w:w="1275" w:type="dxa"/>
            <w:tcBorders>
              <w:top w:val="nil"/>
              <w:left w:val="nil"/>
              <w:bottom w:val="single" w:sz="4" w:space="0" w:color="auto"/>
              <w:right w:val="single" w:sz="4" w:space="0" w:color="auto"/>
            </w:tcBorders>
            <w:shd w:val="clear" w:color="auto" w:fill="auto"/>
            <w:vAlign w:val="center"/>
            <w:hideMark/>
          </w:tcPr>
          <w:p w14:paraId="7594596B" w14:textId="1705CA08" w:rsidR="0000123C" w:rsidRPr="0000123C" w:rsidRDefault="0000123C" w:rsidP="0000123C">
            <w:pPr>
              <w:spacing w:after="0" w:line="240" w:lineRule="auto"/>
              <w:jc w:val="right"/>
              <w:rPr>
                <w:rFonts w:ascii="Arial" w:eastAsia="Times New Roman" w:hAnsi="Arial" w:cs="Arial"/>
                <w:color w:val="000000"/>
                <w:sz w:val="18"/>
                <w:szCs w:val="18"/>
                <w:lang w:eastAsia="sl-SI"/>
              </w:rPr>
            </w:pPr>
            <w:r w:rsidRPr="0000123C">
              <w:rPr>
                <w:rFonts w:ascii="Arial" w:eastAsia="Times New Roman" w:hAnsi="Arial" w:cs="Arial"/>
                <w:color w:val="000000"/>
                <w:sz w:val="18"/>
                <w:szCs w:val="18"/>
                <w:lang w:eastAsia="sl-SI"/>
              </w:rPr>
              <w:t>1,47</w:t>
            </w:r>
            <w:r w:rsidR="009A3DE3">
              <w:rPr>
                <w:rFonts w:ascii="Arial" w:eastAsia="Times New Roman" w:hAnsi="Arial" w:cs="Arial"/>
                <w:color w:val="000000"/>
                <w:sz w:val="18"/>
                <w:szCs w:val="18"/>
                <w:lang w:eastAsia="sl-SI"/>
              </w:rPr>
              <w:t xml:space="preserve"> </w:t>
            </w:r>
            <w:r w:rsidRPr="0000123C">
              <w:rPr>
                <w:rFonts w:ascii="Arial" w:eastAsia="Times New Roman" w:hAnsi="Arial" w:cs="Arial"/>
                <w:color w:val="000000"/>
                <w:sz w:val="18"/>
                <w:szCs w:val="18"/>
                <w:lang w:eastAsia="sl-SI"/>
              </w:rPr>
              <w:t>%</w:t>
            </w:r>
          </w:p>
        </w:tc>
        <w:tc>
          <w:tcPr>
            <w:tcW w:w="1544" w:type="dxa"/>
            <w:tcBorders>
              <w:top w:val="nil"/>
              <w:left w:val="nil"/>
              <w:bottom w:val="single" w:sz="4" w:space="0" w:color="auto"/>
              <w:right w:val="single" w:sz="4" w:space="0" w:color="auto"/>
            </w:tcBorders>
            <w:shd w:val="clear" w:color="auto" w:fill="auto"/>
            <w:vAlign w:val="center"/>
          </w:tcPr>
          <w:p w14:paraId="57375681" w14:textId="5A0DF022" w:rsidR="0000123C" w:rsidRPr="0000123C" w:rsidRDefault="0000123C" w:rsidP="0000123C">
            <w:pPr>
              <w:spacing w:after="0" w:line="240" w:lineRule="auto"/>
              <w:jc w:val="right"/>
              <w:rPr>
                <w:rFonts w:ascii="Arial" w:eastAsia="Times New Roman" w:hAnsi="Arial" w:cs="Arial"/>
                <w:color w:val="000000"/>
                <w:sz w:val="18"/>
                <w:szCs w:val="18"/>
                <w:lang w:eastAsia="sl-SI"/>
              </w:rPr>
            </w:pPr>
            <w:r w:rsidRPr="008B4C3E">
              <w:rPr>
                <w:rFonts w:ascii="Arial" w:eastAsia="Times New Roman" w:hAnsi="Arial" w:cs="Arial"/>
                <w:color w:val="000000"/>
                <w:sz w:val="18"/>
                <w:szCs w:val="18"/>
                <w:lang w:eastAsia="sl-SI"/>
              </w:rPr>
              <w:t>2,3</w:t>
            </w:r>
          </w:p>
        </w:tc>
      </w:tr>
      <w:tr w:rsidR="0000123C" w:rsidRPr="00BF7302" w14:paraId="70715E18" w14:textId="77777777" w:rsidTr="0000123C">
        <w:trPr>
          <w:trHeight w:val="255"/>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E2C6994" w14:textId="65334007" w:rsidR="0000123C" w:rsidRPr="008B4C3E" w:rsidRDefault="0000123C" w:rsidP="0000123C">
            <w:pPr>
              <w:spacing w:after="0" w:line="240" w:lineRule="auto"/>
              <w:rPr>
                <w:rFonts w:ascii="Arial" w:eastAsia="Times New Roman" w:hAnsi="Arial" w:cs="Arial"/>
                <w:color w:val="000000"/>
                <w:sz w:val="18"/>
                <w:szCs w:val="18"/>
                <w:lang w:eastAsia="sl-SI"/>
              </w:rPr>
            </w:pPr>
            <w:r w:rsidRPr="008B4C3E">
              <w:rPr>
                <w:rFonts w:ascii="Arial" w:eastAsia="Times New Roman" w:hAnsi="Arial" w:cs="Arial"/>
                <w:color w:val="000000"/>
                <w:sz w:val="18"/>
                <w:szCs w:val="18"/>
                <w:lang w:eastAsia="sl-SI"/>
              </w:rPr>
              <w:t>41–60</w:t>
            </w:r>
          </w:p>
        </w:tc>
        <w:tc>
          <w:tcPr>
            <w:tcW w:w="1418" w:type="dxa"/>
            <w:tcBorders>
              <w:top w:val="nil"/>
              <w:left w:val="nil"/>
              <w:bottom w:val="single" w:sz="4" w:space="0" w:color="auto"/>
              <w:right w:val="single" w:sz="4" w:space="0" w:color="auto"/>
            </w:tcBorders>
            <w:shd w:val="clear" w:color="auto" w:fill="auto"/>
            <w:vAlign w:val="center"/>
            <w:hideMark/>
          </w:tcPr>
          <w:p w14:paraId="48DB1946" w14:textId="5C04BE82" w:rsidR="0000123C" w:rsidRPr="008B4C3E" w:rsidRDefault="0000123C" w:rsidP="0000123C">
            <w:pPr>
              <w:spacing w:after="0" w:line="240" w:lineRule="auto"/>
              <w:jc w:val="right"/>
              <w:rPr>
                <w:rFonts w:ascii="Arial" w:eastAsia="Times New Roman" w:hAnsi="Arial" w:cs="Arial"/>
                <w:color w:val="000000"/>
                <w:sz w:val="18"/>
                <w:szCs w:val="18"/>
                <w:lang w:eastAsia="sl-SI"/>
              </w:rPr>
            </w:pPr>
            <w:r w:rsidRPr="008B4C3E">
              <w:rPr>
                <w:rFonts w:ascii="Arial" w:eastAsia="Times New Roman" w:hAnsi="Arial" w:cs="Arial"/>
                <w:color w:val="000000"/>
                <w:sz w:val="18"/>
                <w:szCs w:val="18"/>
                <w:lang w:eastAsia="sl-SI"/>
              </w:rPr>
              <w:t>9</w:t>
            </w:r>
          </w:p>
        </w:tc>
        <w:tc>
          <w:tcPr>
            <w:tcW w:w="1984" w:type="dxa"/>
            <w:tcBorders>
              <w:top w:val="nil"/>
              <w:left w:val="nil"/>
              <w:bottom w:val="single" w:sz="4" w:space="0" w:color="auto"/>
              <w:right w:val="single" w:sz="4" w:space="0" w:color="auto"/>
            </w:tcBorders>
            <w:shd w:val="clear" w:color="auto" w:fill="auto"/>
            <w:vAlign w:val="center"/>
            <w:hideMark/>
          </w:tcPr>
          <w:p w14:paraId="186574D0" w14:textId="04674D04" w:rsidR="0000123C" w:rsidRPr="008B4C3E" w:rsidRDefault="0000123C" w:rsidP="0000123C">
            <w:pPr>
              <w:spacing w:after="0" w:line="240" w:lineRule="auto"/>
              <w:jc w:val="right"/>
              <w:rPr>
                <w:rFonts w:ascii="Arial" w:eastAsia="Times New Roman" w:hAnsi="Arial" w:cs="Arial"/>
                <w:color w:val="000000"/>
                <w:sz w:val="18"/>
                <w:szCs w:val="18"/>
                <w:lang w:eastAsia="sl-SI"/>
              </w:rPr>
            </w:pPr>
            <w:r w:rsidRPr="008B4C3E">
              <w:rPr>
                <w:rFonts w:ascii="Arial" w:eastAsia="Times New Roman" w:hAnsi="Arial" w:cs="Arial"/>
                <w:color w:val="000000"/>
                <w:sz w:val="18"/>
                <w:szCs w:val="18"/>
                <w:lang w:eastAsia="sl-SI"/>
              </w:rPr>
              <w:t>10.498.945</w:t>
            </w:r>
          </w:p>
        </w:tc>
        <w:tc>
          <w:tcPr>
            <w:tcW w:w="1418" w:type="dxa"/>
            <w:tcBorders>
              <w:top w:val="nil"/>
              <w:left w:val="nil"/>
              <w:bottom w:val="single" w:sz="4" w:space="0" w:color="auto"/>
              <w:right w:val="single" w:sz="4" w:space="0" w:color="auto"/>
            </w:tcBorders>
            <w:shd w:val="clear" w:color="auto" w:fill="auto"/>
            <w:vAlign w:val="center"/>
            <w:hideMark/>
          </w:tcPr>
          <w:p w14:paraId="073F1600" w14:textId="3C343FDB" w:rsidR="0000123C" w:rsidRPr="0000123C" w:rsidRDefault="0000123C" w:rsidP="0000123C">
            <w:pPr>
              <w:spacing w:after="0" w:line="240" w:lineRule="auto"/>
              <w:jc w:val="right"/>
              <w:rPr>
                <w:rFonts w:ascii="Arial" w:eastAsia="Times New Roman" w:hAnsi="Arial" w:cs="Arial"/>
                <w:color w:val="000000"/>
                <w:sz w:val="18"/>
                <w:szCs w:val="18"/>
                <w:lang w:eastAsia="sl-SI"/>
              </w:rPr>
            </w:pPr>
            <w:r w:rsidRPr="0000123C">
              <w:rPr>
                <w:rFonts w:ascii="Arial" w:eastAsia="Times New Roman" w:hAnsi="Arial" w:cs="Arial"/>
                <w:color w:val="000000"/>
                <w:sz w:val="18"/>
                <w:szCs w:val="18"/>
                <w:lang w:eastAsia="sl-SI"/>
              </w:rPr>
              <w:t>0,13</w:t>
            </w:r>
            <w:r w:rsidR="009A3DE3">
              <w:rPr>
                <w:rFonts w:ascii="Arial" w:eastAsia="Times New Roman" w:hAnsi="Arial" w:cs="Arial"/>
                <w:color w:val="000000"/>
                <w:sz w:val="18"/>
                <w:szCs w:val="18"/>
                <w:lang w:eastAsia="sl-SI"/>
              </w:rPr>
              <w:t xml:space="preserve"> </w:t>
            </w:r>
            <w:r w:rsidRPr="0000123C">
              <w:rPr>
                <w:rFonts w:ascii="Arial" w:eastAsia="Times New Roman" w:hAnsi="Arial" w:cs="Arial"/>
                <w:color w:val="000000"/>
                <w:sz w:val="18"/>
                <w:szCs w:val="18"/>
                <w:lang w:eastAsia="sl-SI"/>
              </w:rPr>
              <w:t>%</w:t>
            </w:r>
          </w:p>
        </w:tc>
        <w:tc>
          <w:tcPr>
            <w:tcW w:w="1275" w:type="dxa"/>
            <w:tcBorders>
              <w:top w:val="nil"/>
              <w:left w:val="nil"/>
              <w:bottom w:val="single" w:sz="4" w:space="0" w:color="auto"/>
              <w:right w:val="single" w:sz="4" w:space="0" w:color="auto"/>
            </w:tcBorders>
            <w:shd w:val="clear" w:color="auto" w:fill="auto"/>
            <w:vAlign w:val="center"/>
            <w:hideMark/>
          </w:tcPr>
          <w:p w14:paraId="1A3BA796" w14:textId="542450D9" w:rsidR="0000123C" w:rsidRPr="0000123C" w:rsidRDefault="0000123C" w:rsidP="0000123C">
            <w:pPr>
              <w:spacing w:after="0" w:line="240" w:lineRule="auto"/>
              <w:jc w:val="right"/>
              <w:rPr>
                <w:rFonts w:ascii="Arial" w:eastAsia="Times New Roman" w:hAnsi="Arial" w:cs="Arial"/>
                <w:color w:val="000000"/>
                <w:sz w:val="18"/>
                <w:szCs w:val="18"/>
                <w:lang w:eastAsia="sl-SI"/>
              </w:rPr>
            </w:pPr>
            <w:r w:rsidRPr="0000123C">
              <w:rPr>
                <w:rFonts w:ascii="Arial" w:eastAsia="Times New Roman" w:hAnsi="Arial" w:cs="Arial"/>
                <w:color w:val="000000"/>
                <w:sz w:val="18"/>
                <w:szCs w:val="18"/>
                <w:lang w:eastAsia="sl-SI"/>
              </w:rPr>
              <w:t>0,19</w:t>
            </w:r>
            <w:r w:rsidR="009A3DE3">
              <w:rPr>
                <w:rFonts w:ascii="Arial" w:eastAsia="Times New Roman" w:hAnsi="Arial" w:cs="Arial"/>
                <w:color w:val="000000"/>
                <w:sz w:val="18"/>
                <w:szCs w:val="18"/>
                <w:lang w:eastAsia="sl-SI"/>
              </w:rPr>
              <w:t xml:space="preserve"> </w:t>
            </w:r>
            <w:r w:rsidRPr="0000123C">
              <w:rPr>
                <w:rFonts w:ascii="Arial" w:eastAsia="Times New Roman" w:hAnsi="Arial" w:cs="Arial"/>
                <w:color w:val="000000"/>
                <w:sz w:val="18"/>
                <w:szCs w:val="18"/>
                <w:lang w:eastAsia="sl-SI"/>
              </w:rPr>
              <w:t>%</w:t>
            </w:r>
          </w:p>
        </w:tc>
        <w:tc>
          <w:tcPr>
            <w:tcW w:w="1544" w:type="dxa"/>
            <w:tcBorders>
              <w:top w:val="nil"/>
              <w:left w:val="nil"/>
              <w:bottom w:val="single" w:sz="4" w:space="0" w:color="auto"/>
              <w:right w:val="single" w:sz="4" w:space="0" w:color="auto"/>
            </w:tcBorders>
            <w:shd w:val="clear" w:color="auto" w:fill="auto"/>
            <w:vAlign w:val="center"/>
          </w:tcPr>
          <w:p w14:paraId="7D98F80F" w14:textId="492B5624" w:rsidR="0000123C" w:rsidRPr="0000123C" w:rsidRDefault="0000123C" w:rsidP="0000123C">
            <w:pPr>
              <w:spacing w:after="0" w:line="240" w:lineRule="auto"/>
              <w:jc w:val="right"/>
              <w:rPr>
                <w:rFonts w:ascii="Arial" w:eastAsia="Times New Roman" w:hAnsi="Arial" w:cs="Arial"/>
                <w:color w:val="000000"/>
                <w:sz w:val="18"/>
                <w:szCs w:val="18"/>
                <w:lang w:eastAsia="sl-SI"/>
              </w:rPr>
            </w:pPr>
            <w:r w:rsidRPr="008B4C3E">
              <w:rPr>
                <w:rFonts w:ascii="Arial" w:eastAsia="Times New Roman" w:hAnsi="Arial" w:cs="Arial"/>
                <w:color w:val="000000"/>
                <w:sz w:val="18"/>
                <w:szCs w:val="18"/>
                <w:lang w:eastAsia="sl-SI"/>
              </w:rPr>
              <w:t>2,1</w:t>
            </w:r>
          </w:p>
        </w:tc>
      </w:tr>
      <w:tr w:rsidR="0000123C" w:rsidRPr="00BF7302" w14:paraId="20799E6D" w14:textId="77777777" w:rsidTr="0000123C">
        <w:trPr>
          <w:trHeight w:val="255"/>
          <w:jc w:val="center"/>
        </w:trPr>
        <w:tc>
          <w:tcPr>
            <w:tcW w:w="1271" w:type="dxa"/>
            <w:tcBorders>
              <w:top w:val="nil"/>
              <w:left w:val="single" w:sz="4" w:space="0" w:color="auto"/>
              <w:bottom w:val="single" w:sz="4" w:space="0" w:color="auto"/>
              <w:right w:val="single" w:sz="4" w:space="0" w:color="auto"/>
            </w:tcBorders>
            <w:shd w:val="clear" w:color="auto" w:fill="auto"/>
            <w:vAlign w:val="center"/>
          </w:tcPr>
          <w:p w14:paraId="1D8E9CEA" w14:textId="51387241" w:rsidR="0000123C" w:rsidRPr="008B4C3E" w:rsidRDefault="0000123C" w:rsidP="0000123C">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61-100</w:t>
            </w:r>
          </w:p>
        </w:tc>
        <w:tc>
          <w:tcPr>
            <w:tcW w:w="1418" w:type="dxa"/>
            <w:tcBorders>
              <w:top w:val="nil"/>
              <w:left w:val="nil"/>
              <w:bottom w:val="single" w:sz="4" w:space="0" w:color="auto"/>
              <w:right w:val="single" w:sz="4" w:space="0" w:color="auto"/>
            </w:tcBorders>
            <w:shd w:val="clear" w:color="auto" w:fill="auto"/>
            <w:vAlign w:val="center"/>
          </w:tcPr>
          <w:p w14:paraId="03267056" w14:textId="2B2E97A3" w:rsidR="0000123C" w:rsidRPr="008B4C3E" w:rsidRDefault="0000123C" w:rsidP="0000123C">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w:t>
            </w:r>
          </w:p>
        </w:tc>
        <w:tc>
          <w:tcPr>
            <w:tcW w:w="1984" w:type="dxa"/>
            <w:tcBorders>
              <w:top w:val="nil"/>
              <w:left w:val="nil"/>
              <w:bottom w:val="single" w:sz="4" w:space="0" w:color="auto"/>
              <w:right w:val="single" w:sz="4" w:space="0" w:color="auto"/>
            </w:tcBorders>
            <w:shd w:val="clear" w:color="auto" w:fill="auto"/>
            <w:vAlign w:val="center"/>
          </w:tcPr>
          <w:p w14:paraId="74B056F9" w14:textId="38D0AC82" w:rsidR="0000123C" w:rsidRPr="008B4C3E" w:rsidRDefault="0000123C" w:rsidP="0000123C">
            <w:pPr>
              <w:spacing w:after="0" w:line="240" w:lineRule="auto"/>
              <w:jc w:val="right"/>
              <w:rPr>
                <w:rFonts w:ascii="Arial" w:eastAsia="Times New Roman" w:hAnsi="Arial" w:cs="Arial"/>
                <w:color w:val="000000"/>
                <w:sz w:val="18"/>
                <w:szCs w:val="18"/>
                <w:lang w:eastAsia="sl-SI"/>
              </w:rPr>
            </w:pPr>
            <w:r w:rsidRPr="008B4C3E">
              <w:rPr>
                <w:rFonts w:ascii="Arial" w:eastAsia="Times New Roman" w:hAnsi="Arial" w:cs="Arial"/>
                <w:color w:val="000000"/>
                <w:sz w:val="18"/>
                <w:szCs w:val="18"/>
                <w:lang w:eastAsia="sl-SI"/>
              </w:rPr>
              <w:t>52.110.051</w:t>
            </w:r>
          </w:p>
        </w:tc>
        <w:tc>
          <w:tcPr>
            <w:tcW w:w="1418" w:type="dxa"/>
            <w:tcBorders>
              <w:top w:val="nil"/>
              <w:left w:val="nil"/>
              <w:bottom w:val="single" w:sz="4" w:space="0" w:color="auto"/>
              <w:right w:val="single" w:sz="4" w:space="0" w:color="auto"/>
            </w:tcBorders>
            <w:shd w:val="clear" w:color="auto" w:fill="auto"/>
            <w:vAlign w:val="center"/>
          </w:tcPr>
          <w:p w14:paraId="2C059675" w14:textId="3B828B67" w:rsidR="0000123C" w:rsidRPr="0000123C" w:rsidRDefault="0000123C" w:rsidP="0000123C">
            <w:pPr>
              <w:spacing w:after="0" w:line="240" w:lineRule="auto"/>
              <w:jc w:val="right"/>
              <w:rPr>
                <w:rFonts w:ascii="Arial" w:eastAsia="Times New Roman" w:hAnsi="Arial" w:cs="Arial"/>
                <w:color w:val="000000"/>
                <w:sz w:val="18"/>
                <w:szCs w:val="18"/>
                <w:lang w:eastAsia="sl-SI"/>
              </w:rPr>
            </w:pPr>
            <w:r w:rsidRPr="0000123C">
              <w:rPr>
                <w:rFonts w:ascii="Arial" w:eastAsia="Times New Roman" w:hAnsi="Arial" w:cs="Arial"/>
                <w:color w:val="000000"/>
                <w:sz w:val="18"/>
                <w:szCs w:val="18"/>
                <w:lang w:eastAsia="sl-SI"/>
              </w:rPr>
              <w:t>0,09</w:t>
            </w:r>
            <w:r w:rsidR="009A3DE3">
              <w:rPr>
                <w:rFonts w:ascii="Arial" w:eastAsia="Times New Roman" w:hAnsi="Arial" w:cs="Arial"/>
                <w:color w:val="000000"/>
                <w:sz w:val="18"/>
                <w:szCs w:val="18"/>
                <w:lang w:eastAsia="sl-SI"/>
              </w:rPr>
              <w:t xml:space="preserve"> </w:t>
            </w:r>
            <w:r w:rsidRPr="0000123C">
              <w:rPr>
                <w:rFonts w:ascii="Arial" w:eastAsia="Times New Roman" w:hAnsi="Arial" w:cs="Arial"/>
                <w:color w:val="000000"/>
                <w:sz w:val="18"/>
                <w:szCs w:val="18"/>
                <w:lang w:eastAsia="sl-SI"/>
              </w:rPr>
              <w:t>%</w:t>
            </w:r>
          </w:p>
        </w:tc>
        <w:tc>
          <w:tcPr>
            <w:tcW w:w="1275" w:type="dxa"/>
            <w:tcBorders>
              <w:top w:val="nil"/>
              <w:left w:val="nil"/>
              <w:bottom w:val="single" w:sz="4" w:space="0" w:color="auto"/>
              <w:right w:val="single" w:sz="4" w:space="0" w:color="auto"/>
            </w:tcBorders>
            <w:shd w:val="clear" w:color="auto" w:fill="auto"/>
            <w:vAlign w:val="center"/>
          </w:tcPr>
          <w:p w14:paraId="6D69C49E" w14:textId="103E7AAA" w:rsidR="0000123C" w:rsidRPr="0000123C" w:rsidRDefault="0000123C" w:rsidP="0000123C">
            <w:pPr>
              <w:spacing w:after="0" w:line="240" w:lineRule="auto"/>
              <w:jc w:val="right"/>
              <w:rPr>
                <w:rFonts w:ascii="Arial" w:eastAsia="Times New Roman" w:hAnsi="Arial" w:cs="Arial"/>
                <w:color w:val="000000"/>
                <w:sz w:val="18"/>
                <w:szCs w:val="18"/>
                <w:lang w:eastAsia="sl-SI"/>
              </w:rPr>
            </w:pPr>
            <w:r w:rsidRPr="0000123C">
              <w:rPr>
                <w:rFonts w:ascii="Arial" w:eastAsia="Times New Roman" w:hAnsi="Arial" w:cs="Arial"/>
                <w:color w:val="000000"/>
                <w:sz w:val="18"/>
                <w:szCs w:val="18"/>
                <w:lang w:eastAsia="sl-SI"/>
              </w:rPr>
              <w:t>0,96</w:t>
            </w:r>
            <w:r w:rsidR="009A3DE3">
              <w:rPr>
                <w:rFonts w:ascii="Arial" w:eastAsia="Times New Roman" w:hAnsi="Arial" w:cs="Arial"/>
                <w:color w:val="000000"/>
                <w:sz w:val="18"/>
                <w:szCs w:val="18"/>
                <w:lang w:eastAsia="sl-SI"/>
              </w:rPr>
              <w:t xml:space="preserve"> </w:t>
            </w:r>
            <w:r w:rsidRPr="0000123C">
              <w:rPr>
                <w:rFonts w:ascii="Arial" w:eastAsia="Times New Roman" w:hAnsi="Arial" w:cs="Arial"/>
                <w:color w:val="000000"/>
                <w:sz w:val="18"/>
                <w:szCs w:val="18"/>
                <w:lang w:eastAsia="sl-SI"/>
              </w:rPr>
              <w:t>%</w:t>
            </w:r>
          </w:p>
        </w:tc>
        <w:tc>
          <w:tcPr>
            <w:tcW w:w="1544" w:type="dxa"/>
            <w:tcBorders>
              <w:top w:val="nil"/>
              <w:left w:val="nil"/>
              <w:bottom w:val="single" w:sz="4" w:space="0" w:color="auto"/>
              <w:right w:val="single" w:sz="4" w:space="0" w:color="auto"/>
            </w:tcBorders>
            <w:shd w:val="clear" w:color="auto" w:fill="auto"/>
            <w:vAlign w:val="center"/>
          </w:tcPr>
          <w:p w14:paraId="0DA8D17F" w14:textId="2C0CBF51" w:rsidR="0000123C" w:rsidRPr="008B4C3E" w:rsidRDefault="0000123C" w:rsidP="0000123C">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w:t>
            </w:r>
          </w:p>
        </w:tc>
      </w:tr>
      <w:tr w:rsidR="0000123C" w:rsidRPr="00BF7302" w14:paraId="39C07FC5" w14:textId="77777777" w:rsidTr="0000123C">
        <w:trPr>
          <w:trHeight w:val="255"/>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833A84B" w14:textId="4043A9B8" w:rsidR="0000123C" w:rsidRPr="0000123C" w:rsidRDefault="0000123C" w:rsidP="0000123C">
            <w:pPr>
              <w:spacing w:after="0" w:line="240" w:lineRule="auto"/>
              <w:rPr>
                <w:rFonts w:ascii="Arial" w:eastAsia="Times New Roman" w:hAnsi="Arial" w:cs="Arial"/>
                <w:color w:val="000000"/>
                <w:sz w:val="18"/>
                <w:szCs w:val="18"/>
                <w:lang w:eastAsia="sl-SI"/>
              </w:rPr>
            </w:pPr>
            <w:r w:rsidRPr="0000123C">
              <w:rPr>
                <w:rFonts w:ascii="Arial" w:eastAsia="Times New Roman" w:hAnsi="Arial" w:cs="Arial"/>
                <w:color w:val="000000"/>
                <w:sz w:val="18"/>
                <w:szCs w:val="18"/>
                <w:lang w:eastAsia="sl-SI"/>
              </w:rPr>
              <w:t>101–292</w:t>
            </w:r>
          </w:p>
        </w:tc>
        <w:tc>
          <w:tcPr>
            <w:tcW w:w="1418" w:type="dxa"/>
            <w:tcBorders>
              <w:top w:val="nil"/>
              <w:left w:val="nil"/>
              <w:bottom w:val="single" w:sz="4" w:space="0" w:color="auto"/>
              <w:right w:val="single" w:sz="4" w:space="0" w:color="auto"/>
            </w:tcBorders>
            <w:shd w:val="clear" w:color="auto" w:fill="auto"/>
            <w:vAlign w:val="center"/>
            <w:hideMark/>
          </w:tcPr>
          <w:p w14:paraId="00CC1C8B" w14:textId="1EFD394F" w:rsidR="0000123C" w:rsidRPr="0000123C" w:rsidRDefault="0000123C" w:rsidP="0000123C">
            <w:pPr>
              <w:spacing w:after="0" w:line="240" w:lineRule="auto"/>
              <w:jc w:val="right"/>
              <w:rPr>
                <w:rFonts w:ascii="Arial" w:eastAsia="Times New Roman" w:hAnsi="Arial" w:cs="Arial"/>
                <w:color w:val="000000"/>
                <w:sz w:val="18"/>
                <w:szCs w:val="18"/>
                <w:lang w:eastAsia="sl-SI"/>
              </w:rPr>
            </w:pPr>
            <w:r w:rsidRPr="0000123C">
              <w:rPr>
                <w:rFonts w:ascii="Arial" w:eastAsia="Times New Roman" w:hAnsi="Arial" w:cs="Arial"/>
                <w:color w:val="000000"/>
                <w:sz w:val="18"/>
                <w:szCs w:val="18"/>
                <w:lang w:eastAsia="sl-SI"/>
              </w:rPr>
              <w:t>8</w:t>
            </w:r>
          </w:p>
        </w:tc>
        <w:tc>
          <w:tcPr>
            <w:tcW w:w="1984" w:type="dxa"/>
            <w:tcBorders>
              <w:top w:val="nil"/>
              <w:left w:val="nil"/>
              <w:bottom w:val="single" w:sz="4" w:space="0" w:color="auto"/>
              <w:right w:val="single" w:sz="4" w:space="0" w:color="auto"/>
            </w:tcBorders>
            <w:shd w:val="clear" w:color="auto" w:fill="auto"/>
            <w:vAlign w:val="center"/>
            <w:hideMark/>
          </w:tcPr>
          <w:p w14:paraId="316FA510" w14:textId="39B44CDC" w:rsidR="0000123C" w:rsidRPr="0000123C" w:rsidRDefault="0000123C" w:rsidP="0000123C">
            <w:pPr>
              <w:spacing w:after="0" w:line="240" w:lineRule="auto"/>
              <w:jc w:val="right"/>
              <w:rPr>
                <w:rFonts w:ascii="Arial" w:eastAsia="Times New Roman" w:hAnsi="Arial" w:cs="Arial"/>
                <w:color w:val="000000"/>
                <w:sz w:val="18"/>
                <w:szCs w:val="18"/>
                <w:lang w:eastAsia="sl-SI"/>
              </w:rPr>
            </w:pPr>
            <w:r w:rsidRPr="0000123C">
              <w:rPr>
                <w:rFonts w:ascii="Arial" w:eastAsia="Times New Roman" w:hAnsi="Arial" w:cs="Arial"/>
                <w:color w:val="000000"/>
                <w:sz w:val="18"/>
                <w:szCs w:val="18"/>
                <w:lang w:eastAsia="sl-SI"/>
              </w:rPr>
              <w:t>301.423.391</w:t>
            </w:r>
          </w:p>
        </w:tc>
        <w:tc>
          <w:tcPr>
            <w:tcW w:w="1418" w:type="dxa"/>
            <w:tcBorders>
              <w:top w:val="nil"/>
              <w:left w:val="nil"/>
              <w:bottom w:val="single" w:sz="4" w:space="0" w:color="auto"/>
              <w:right w:val="single" w:sz="4" w:space="0" w:color="auto"/>
            </w:tcBorders>
            <w:shd w:val="clear" w:color="auto" w:fill="auto"/>
            <w:vAlign w:val="center"/>
            <w:hideMark/>
          </w:tcPr>
          <w:p w14:paraId="231C22DE" w14:textId="1A2AB5E7" w:rsidR="0000123C" w:rsidRPr="0000123C" w:rsidRDefault="0000123C" w:rsidP="0000123C">
            <w:pPr>
              <w:spacing w:after="0" w:line="240" w:lineRule="auto"/>
              <w:jc w:val="right"/>
              <w:rPr>
                <w:rFonts w:ascii="Arial" w:eastAsia="Times New Roman" w:hAnsi="Arial" w:cs="Arial"/>
                <w:color w:val="000000"/>
                <w:sz w:val="18"/>
                <w:szCs w:val="18"/>
                <w:lang w:eastAsia="sl-SI"/>
              </w:rPr>
            </w:pPr>
            <w:r w:rsidRPr="0000123C">
              <w:rPr>
                <w:rFonts w:ascii="Arial" w:eastAsia="Times New Roman" w:hAnsi="Arial" w:cs="Arial"/>
                <w:color w:val="000000"/>
                <w:sz w:val="18"/>
                <w:szCs w:val="18"/>
                <w:lang w:eastAsia="sl-SI"/>
              </w:rPr>
              <w:t>0,12</w:t>
            </w:r>
            <w:r w:rsidR="009A3DE3">
              <w:rPr>
                <w:rFonts w:ascii="Arial" w:eastAsia="Times New Roman" w:hAnsi="Arial" w:cs="Arial"/>
                <w:color w:val="000000"/>
                <w:sz w:val="18"/>
                <w:szCs w:val="18"/>
                <w:lang w:eastAsia="sl-SI"/>
              </w:rPr>
              <w:t xml:space="preserve"> </w:t>
            </w:r>
            <w:r w:rsidRPr="0000123C">
              <w:rPr>
                <w:rFonts w:ascii="Arial" w:eastAsia="Times New Roman" w:hAnsi="Arial" w:cs="Arial"/>
                <w:color w:val="000000"/>
                <w:sz w:val="18"/>
                <w:szCs w:val="18"/>
                <w:lang w:eastAsia="sl-SI"/>
              </w:rPr>
              <w:t>%</w:t>
            </w:r>
          </w:p>
        </w:tc>
        <w:tc>
          <w:tcPr>
            <w:tcW w:w="1275" w:type="dxa"/>
            <w:tcBorders>
              <w:top w:val="nil"/>
              <w:left w:val="nil"/>
              <w:bottom w:val="single" w:sz="4" w:space="0" w:color="auto"/>
              <w:right w:val="single" w:sz="4" w:space="0" w:color="auto"/>
            </w:tcBorders>
            <w:shd w:val="clear" w:color="auto" w:fill="auto"/>
            <w:vAlign w:val="center"/>
            <w:hideMark/>
          </w:tcPr>
          <w:p w14:paraId="09726BA4" w14:textId="47F47977" w:rsidR="0000123C" w:rsidRPr="0000123C" w:rsidRDefault="0000123C" w:rsidP="0000123C">
            <w:pPr>
              <w:spacing w:after="0" w:line="240" w:lineRule="auto"/>
              <w:jc w:val="right"/>
              <w:rPr>
                <w:rFonts w:ascii="Arial" w:eastAsia="Times New Roman" w:hAnsi="Arial" w:cs="Arial"/>
                <w:color w:val="000000"/>
                <w:sz w:val="18"/>
                <w:szCs w:val="18"/>
                <w:lang w:eastAsia="sl-SI"/>
              </w:rPr>
            </w:pPr>
            <w:r w:rsidRPr="0000123C">
              <w:rPr>
                <w:rFonts w:ascii="Arial" w:eastAsia="Times New Roman" w:hAnsi="Arial" w:cs="Arial"/>
                <w:color w:val="000000"/>
                <w:sz w:val="18"/>
                <w:szCs w:val="18"/>
                <w:lang w:eastAsia="sl-SI"/>
              </w:rPr>
              <w:t>5,56</w:t>
            </w:r>
            <w:r w:rsidR="009A3DE3">
              <w:rPr>
                <w:rFonts w:ascii="Arial" w:eastAsia="Times New Roman" w:hAnsi="Arial" w:cs="Arial"/>
                <w:color w:val="000000"/>
                <w:sz w:val="18"/>
                <w:szCs w:val="18"/>
                <w:lang w:eastAsia="sl-SI"/>
              </w:rPr>
              <w:t xml:space="preserve"> </w:t>
            </w:r>
            <w:r w:rsidRPr="0000123C">
              <w:rPr>
                <w:rFonts w:ascii="Arial" w:eastAsia="Times New Roman" w:hAnsi="Arial" w:cs="Arial"/>
                <w:color w:val="000000"/>
                <w:sz w:val="18"/>
                <w:szCs w:val="18"/>
                <w:lang w:eastAsia="sl-SI"/>
              </w:rPr>
              <w:t>%</w:t>
            </w:r>
          </w:p>
        </w:tc>
        <w:tc>
          <w:tcPr>
            <w:tcW w:w="1544" w:type="dxa"/>
            <w:tcBorders>
              <w:top w:val="nil"/>
              <w:left w:val="nil"/>
              <w:bottom w:val="single" w:sz="4" w:space="0" w:color="auto"/>
              <w:right w:val="single" w:sz="4" w:space="0" w:color="auto"/>
            </w:tcBorders>
            <w:shd w:val="clear" w:color="auto" w:fill="auto"/>
            <w:vAlign w:val="center"/>
          </w:tcPr>
          <w:p w14:paraId="05982B44" w14:textId="66F30C6C" w:rsidR="0000123C" w:rsidRPr="0000123C" w:rsidRDefault="0000123C" w:rsidP="0000123C">
            <w:pPr>
              <w:spacing w:after="0" w:line="240" w:lineRule="auto"/>
              <w:jc w:val="right"/>
              <w:rPr>
                <w:rFonts w:ascii="Arial" w:eastAsia="Times New Roman" w:hAnsi="Arial" w:cs="Arial"/>
                <w:color w:val="000000"/>
                <w:sz w:val="18"/>
                <w:szCs w:val="18"/>
                <w:lang w:eastAsia="sl-SI"/>
              </w:rPr>
            </w:pPr>
            <w:r w:rsidRPr="0000123C">
              <w:rPr>
                <w:rFonts w:ascii="Arial" w:eastAsia="Times New Roman" w:hAnsi="Arial" w:cs="Arial"/>
                <w:color w:val="000000"/>
                <w:sz w:val="18"/>
                <w:szCs w:val="18"/>
                <w:lang w:eastAsia="sl-SI"/>
              </w:rPr>
              <w:t>2,0</w:t>
            </w:r>
          </w:p>
        </w:tc>
      </w:tr>
      <w:tr w:rsidR="0000123C" w:rsidRPr="0000123C" w14:paraId="046C57EA" w14:textId="77777777" w:rsidTr="0000123C">
        <w:trPr>
          <w:trHeight w:val="255"/>
          <w:jc w:val="center"/>
        </w:trPr>
        <w:tc>
          <w:tcPr>
            <w:tcW w:w="1271"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8F28345" w14:textId="77777777" w:rsidR="0000123C" w:rsidRPr="0000123C" w:rsidRDefault="0000123C" w:rsidP="0000123C">
            <w:pPr>
              <w:spacing w:after="0" w:line="240" w:lineRule="auto"/>
              <w:rPr>
                <w:rFonts w:ascii="Arial" w:eastAsia="Times New Roman" w:hAnsi="Arial" w:cs="Arial"/>
                <w:b/>
                <w:bCs/>
                <w:color w:val="000000"/>
                <w:sz w:val="18"/>
                <w:szCs w:val="18"/>
                <w:lang w:eastAsia="sl-SI"/>
              </w:rPr>
            </w:pPr>
            <w:r w:rsidRPr="0000123C">
              <w:rPr>
                <w:rFonts w:ascii="Arial" w:eastAsia="Times New Roman" w:hAnsi="Arial" w:cs="Arial"/>
                <w:b/>
                <w:bCs/>
                <w:color w:val="000000"/>
                <w:sz w:val="18"/>
                <w:szCs w:val="18"/>
                <w:lang w:eastAsia="sl-SI"/>
              </w:rPr>
              <w:t>Skupaj</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14:paraId="7AA2B000" w14:textId="40A7FE89" w:rsidR="0000123C" w:rsidRPr="0000123C" w:rsidRDefault="0000123C" w:rsidP="0000123C">
            <w:pPr>
              <w:spacing w:after="0" w:line="240" w:lineRule="auto"/>
              <w:jc w:val="right"/>
              <w:rPr>
                <w:rFonts w:ascii="Arial" w:eastAsia="Times New Roman" w:hAnsi="Arial" w:cs="Arial"/>
                <w:b/>
                <w:bCs/>
                <w:color w:val="000000"/>
                <w:sz w:val="18"/>
                <w:szCs w:val="18"/>
                <w:lang w:eastAsia="sl-SI"/>
              </w:rPr>
            </w:pPr>
            <w:r w:rsidRPr="0000123C">
              <w:rPr>
                <w:rFonts w:ascii="Arial" w:eastAsia="Times New Roman" w:hAnsi="Arial" w:cs="Arial"/>
                <w:b/>
                <w:bCs/>
                <w:color w:val="000000"/>
                <w:sz w:val="18"/>
                <w:szCs w:val="18"/>
                <w:lang w:eastAsia="sl-SI"/>
              </w:rPr>
              <w:t>6.721</w:t>
            </w:r>
          </w:p>
        </w:tc>
        <w:tc>
          <w:tcPr>
            <w:tcW w:w="1984" w:type="dxa"/>
            <w:tcBorders>
              <w:top w:val="nil"/>
              <w:left w:val="nil"/>
              <w:bottom w:val="single" w:sz="4" w:space="0" w:color="auto"/>
              <w:right w:val="single" w:sz="4" w:space="0" w:color="auto"/>
            </w:tcBorders>
            <w:shd w:val="clear" w:color="auto" w:fill="F2F2F2" w:themeFill="background1" w:themeFillShade="F2"/>
            <w:vAlign w:val="center"/>
            <w:hideMark/>
          </w:tcPr>
          <w:p w14:paraId="4E46EA35" w14:textId="38644E58" w:rsidR="0000123C" w:rsidRPr="0000123C" w:rsidRDefault="0000123C" w:rsidP="0000123C">
            <w:pPr>
              <w:spacing w:after="0" w:line="240" w:lineRule="auto"/>
              <w:jc w:val="right"/>
              <w:rPr>
                <w:rFonts w:ascii="Arial" w:eastAsia="Times New Roman" w:hAnsi="Arial" w:cs="Arial"/>
                <w:b/>
                <w:bCs/>
                <w:color w:val="000000"/>
                <w:sz w:val="18"/>
                <w:szCs w:val="18"/>
                <w:lang w:eastAsia="sl-SI"/>
              </w:rPr>
            </w:pPr>
            <w:r w:rsidRPr="0000123C">
              <w:rPr>
                <w:rFonts w:ascii="Arial" w:eastAsia="Times New Roman" w:hAnsi="Arial" w:cs="Arial"/>
                <w:b/>
                <w:bCs/>
                <w:color w:val="000000"/>
                <w:sz w:val="18"/>
                <w:szCs w:val="18"/>
                <w:lang w:eastAsia="sl-SI"/>
              </w:rPr>
              <w:t>5.417.105.902</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14:paraId="1193D6FD" w14:textId="73911D55" w:rsidR="0000123C" w:rsidRPr="0000123C" w:rsidRDefault="0000123C" w:rsidP="0000123C">
            <w:pPr>
              <w:spacing w:after="0" w:line="240" w:lineRule="auto"/>
              <w:jc w:val="right"/>
              <w:rPr>
                <w:rFonts w:ascii="Arial" w:eastAsia="Times New Roman" w:hAnsi="Arial" w:cs="Arial"/>
                <w:b/>
                <w:bCs/>
                <w:color w:val="000000"/>
                <w:sz w:val="18"/>
                <w:szCs w:val="18"/>
                <w:lang w:eastAsia="sl-SI"/>
              </w:rPr>
            </w:pPr>
            <w:r w:rsidRPr="0000123C">
              <w:rPr>
                <w:rFonts w:ascii="Arial" w:eastAsia="Times New Roman" w:hAnsi="Arial" w:cs="Arial"/>
                <w:b/>
                <w:bCs/>
                <w:color w:val="000000"/>
                <w:sz w:val="18"/>
                <w:szCs w:val="18"/>
                <w:lang w:eastAsia="sl-SI"/>
              </w:rPr>
              <w:t>100,00</w:t>
            </w:r>
            <w:r w:rsidR="009A3DE3">
              <w:rPr>
                <w:rFonts w:ascii="Arial" w:eastAsia="Times New Roman" w:hAnsi="Arial" w:cs="Arial"/>
                <w:b/>
                <w:bCs/>
                <w:color w:val="000000"/>
                <w:sz w:val="18"/>
                <w:szCs w:val="18"/>
                <w:lang w:eastAsia="sl-SI"/>
              </w:rPr>
              <w:t xml:space="preserve"> </w:t>
            </w:r>
            <w:r w:rsidRPr="0000123C">
              <w:rPr>
                <w:rFonts w:ascii="Arial" w:eastAsia="Times New Roman" w:hAnsi="Arial" w:cs="Arial"/>
                <w:b/>
                <w:bCs/>
                <w:color w:val="000000"/>
                <w:sz w:val="18"/>
                <w:szCs w:val="18"/>
                <w:lang w:eastAsia="sl-SI"/>
              </w:rPr>
              <w:t>%</w:t>
            </w:r>
          </w:p>
        </w:tc>
        <w:tc>
          <w:tcPr>
            <w:tcW w:w="1275" w:type="dxa"/>
            <w:tcBorders>
              <w:top w:val="nil"/>
              <w:left w:val="nil"/>
              <w:bottom w:val="single" w:sz="4" w:space="0" w:color="auto"/>
              <w:right w:val="single" w:sz="4" w:space="0" w:color="auto"/>
            </w:tcBorders>
            <w:shd w:val="clear" w:color="auto" w:fill="F2F2F2" w:themeFill="background1" w:themeFillShade="F2"/>
            <w:vAlign w:val="center"/>
            <w:hideMark/>
          </w:tcPr>
          <w:p w14:paraId="6FAB5251" w14:textId="08E49C6E" w:rsidR="0000123C" w:rsidRPr="0000123C" w:rsidRDefault="0000123C" w:rsidP="0000123C">
            <w:pPr>
              <w:spacing w:after="0" w:line="240" w:lineRule="auto"/>
              <w:jc w:val="right"/>
              <w:rPr>
                <w:rFonts w:ascii="Arial" w:eastAsia="Times New Roman" w:hAnsi="Arial" w:cs="Arial"/>
                <w:b/>
                <w:bCs/>
                <w:color w:val="000000"/>
                <w:sz w:val="18"/>
                <w:szCs w:val="18"/>
                <w:lang w:eastAsia="sl-SI"/>
              </w:rPr>
            </w:pPr>
            <w:r w:rsidRPr="0000123C">
              <w:rPr>
                <w:rFonts w:ascii="Arial" w:eastAsia="Times New Roman" w:hAnsi="Arial" w:cs="Arial"/>
                <w:b/>
                <w:bCs/>
                <w:color w:val="000000"/>
                <w:sz w:val="18"/>
                <w:szCs w:val="18"/>
                <w:lang w:eastAsia="sl-SI"/>
              </w:rPr>
              <w:t>100,00</w:t>
            </w:r>
            <w:r w:rsidR="009A3DE3">
              <w:rPr>
                <w:rFonts w:ascii="Arial" w:eastAsia="Times New Roman" w:hAnsi="Arial" w:cs="Arial"/>
                <w:b/>
                <w:bCs/>
                <w:color w:val="000000"/>
                <w:sz w:val="18"/>
                <w:szCs w:val="18"/>
                <w:lang w:eastAsia="sl-SI"/>
              </w:rPr>
              <w:t xml:space="preserve"> </w:t>
            </w:r>
            <w:r w:rsidRPr="0000123C">
              <w:rPr>
                <w:rFonts w:ascii="Arial" w:eastAsia="Times New Roman" w:hAnsi="Arial" w:cs="Arial"/>
                <w:b/>
                <w:bCs/>
                <w:color w:val="000000"/>
                <w:sz w:val="18"/>
                <w:szCs w:val="18"/>
                <w:lang w:eastAsia="sl-SI"/>
              </w:rPr>
              <w:t>%</w:t>
            </w:r>
          </w:p>
        </w:tc>
        <w:tc>
          <w:tcPr>
            <w:tcW w:w="1544" w:type="dxa"/>
            <w:tcBorders>
              <w:top w:val="nil"/>
              <w:left w:val="nil"/>
              <w:bottom w:val="single" w:sz="4" w:space="0" w:color="auto"/>
              <w:right w:val="single" w:sz="4" w:space="0" w:color="auto"/>
            </w:tcBorders>
            <w:shd w:val="clear" w:color="auto" w:fill="F2F2F2" w:themeFill="background1" w:themeFillShade="F2"/>
            <w:vAlign w:val="center"/>
          </w:tcPr>
          <w:p w14:paraId="1A81E64A" w14:textId="51A23D98" w:rsidR="0000123C" w:rsidRPr="0000123C" w:rsidRDefault="0000123C" w:rsidP="0000123C">
            <w:pPr>
              <w:spacing w:after="0" w:line="240" w:lineRule="auto"/>
              <w:jc w:val="right"/>
              <w:rPr>
                <w:rFonts w:ascii="Arial" w:eastAsia="Times New Roman" w:hAnsi="Arial" w:cs="Arial"/>
                <w:b/>
                <w:bCs/>
                <w:color w:val="000000"/>
                <w:sz w:val="18"/>
                <w:szCs w:val="18"/>
                <w:lang w:eastAsia="sl-SI"/>
              </w:rPr>
            </w:pPr>
            <w:r w:rsidRPr="0000123C">
              <w:rPr>
                <w:rFonts w:ascii="Arial" w:eastAsia="Times New Roman" w:hAnsi="Arial" w:cs="Arial"/>
                <w:b/>
                <w:bCs/>
                <w:color w:val="000000"/>
                <w:sz w:val="18"/>
                <w:szCs w:val="18"/>
                <w:lang w:eastAsia="sl-SI"/>
              </w:rPr>
              <w:t>2,</w:t>
            </w:r>
            <w:r>
              <w:rPr>
                <w:rFonts w:ascii="Arial" w:eastAsia="Times New Roman" w:hAnsi="Arial" w:cs="Arial"/>
                <w:b/>
                <w:bCs/>
                <w:color w:val="000000"/>
                <w:sz w:val="18"/>
                <w:szCs w:val="18"/>
                <w:lang w:eastAsia="sl-SI"/>
              </w:rPr>
              <w:t>2</w:t>
            </w:r>
          </w:p>
        </w:tc>
      </w:tr>
    </w:tbl>
    <w:p w14:paraId="65F74595" w14:textId="5A355C0A" w:rsidR="00AD6BE7" w:rsidRPr="0000123C" w:rsidRDefault="00AD6BE7" w:rsidP="00F4617A">
      <w:pPr>
        <w:tabs>
          <w:tab w:val="left" w:pos="567"/>
          <w:tab w:val="left" w:pos="993"/>
        </w:tabs>
        <w:spacing w:after="0" w:line="240" w:lineRule="auto"/>
        <w:ind w:left="1701" w:hanging="1701"/>
        <w:jc w:val="both"/>
        <w:rPr>
          <w:rFonts w:ascii="Arial" w:hAnsi="Arial" w:cs="Arial"/>
          <w:b/>
          <w:bCs/>
          <w:color w:val="000000" w:themeColor="text1"/>
          <w:sz w:val="20"/>
        </w:rPr>
      </w:pPr>
    </w:p>
    <w:p w14:paraId="7A9FDE81" w14:textId="5D6D61B7" w:rsidR="00821795" w:rsidRPr="000F60A1" w:rsidRDefault="00821795" w:rsidP="004A613D">
      <w:pPr>
        <w:spacing w:after="0" w:line="240" w:lineRule="auto"/>
        <w:jc w:val="center"/>
        <w:rPr>
          <w:rFonts w:ascii="Arial" w:hAnsi="Arial" w:cs="Arial"/>
          <w:sz w:val="18"/>
        </w:rPr>
      </w:pPr>
      <w:r w:rsidRPr="000F60A1">
        <w:rPr>
          <w:rFonts w:ascii="Arial" w:hAnsi="Arial" w:cs="Arial"/>
          <w:sz w:val="18"/>
        </w:rPr>
        <w:t>Vir: Statistični podatki o javnih naročilih, oddanih v letu 20</w:t>
      </w:r>
      <w:r w:rsidR="00E239EB" w:rsidRPr="000F60A1">
        <w:rPr>
          <w:rFonts w:ascii="Arial" w:hAnsi="Arial" w:cs="Arial"/>
          <w:sz w:val="18"/>
        </w:rPr>
        <w:t>2</w:t>
      </w:r>
      <w:r w:rsidR="007F453D" w:rsidRPr="000F60A1">
        <w:rPr>
          <w:rFonts w:ascii="Arial" w:hAnsi="Arial" w:cs="Arial"/>
          <w:sz w:val="18"/>
        </w:rPr>
        <w:t>2</w:t>
      </w:r>
      <w:r w:rsidR="000F01DD" w:rsidRPr="000F60A1">
        <w:rPr>
          <w:rFonts w:ascii="Arial" w:hAnsi="Arial" w:cs="Arial"/>
          <w:sz w:val="18"/>
        </w:rPr>
        <w:t>.</w:t>
      </w:r>
    </w:p>
    <w:p w14:paraId="3752FD87" w14:textId="21F41463" w:rsidR="004A613D" w:rsidRPr="00BF7302" w:rsidRDefault="004A613D" w:rsidP="000F2B07">
      <w:pPr>
        <w:tabs>
          <w:tab w:val="left" w:pos="567"/>
          <w:tab w:val="left" w:pos="993"/>
        </w:tabs>
        <w:spacing w:after="0" w:line="360" w:lineRule="auto"/>
        <w:jc w:val="both"/>
        <w:rPr>
          <w:rFonts w:ascii="Arial" w:hAnsi="Arial" w:cs="Arial"/>
          <w:sz w:val="20"/>
          <w:szCs w:val="20"/>
          <w:highlight w:val="yellow"/>
        </w:rPr>
      </w:pPr>
    </w:p>
    <w:p w14:paraId="133DFDF6" w14:textId="5F2C2A7C" w:rsidR="007B5C52" w:rsidRPr="00BF7302" w:rsidRDefault="007B5C52" w:rsidP="00E96696">
      <w:pPr>
        <w:spacing w:line="360" w:lineRule="auto"/>
        <w:jc w:val="both"/>
        <w:rPr>
          <w:rFonts w:ascii="Arial" w:eastAsia="Times New Roman" w:hAnsi="Arial" w:cs="Arial"/>
          <w:color w:val="000000"/>
          <w:sz w:val="20"/>
          <w:szCs w:val="20"/>
          <w:highlight w:val="yellow"/>
          <w:lang w:eastAsia="sl-SI"/>
        </w:rPr>
      </w:pPr>
      <w:r w:rsidRPr="00A81FCE">
        <w:rPr>
          <w:rFonts w:ascii="Arial" w:hAnsi="Arial" w:cs="Arial"/>
          <w:sz w:val="20"/>
          <w:szCs w:val="20"/>
        </w:rPr>
        <w:t>Iz statističnih podatkov o javnih naročilih, oddanih v letu 20</w:t>
      </w:r>
      <w:r w:rsidR="00865254" w:rsidRPr="00A81FCE">
        <w:rPr>
          <w:rFonts w:ascii="Arial" w:hAnsi="Arial" w:cs="Arial"/>
          <w:sz w:val="20"/>
          <w:szCs w:val="20"/>
        </w:rPr>
        <w:t>2</w:t>
      </w:r>
      <w:r w:rsidR="00A81FCE" w:rsidRPr="00A81FCE">
        <w:rPr>
          <w:rFonts w:ascii="Arial" w:hAnsi="Arial" w:cs="Arial"/>
          <w:sz w:val="20"/>
          <w:szCs w:val="20"/>
        </w:rPr>
        <w:t>2</w:t>
      </w:r>
      <w:r w:rsidRPr="00A81FCE">
        <w:rPr>
          <w:rFonts w:ascii="Arial" w:hAnsi="Arial" w:cs="Arial"/>
          <w:sz w:val="20"/>
          <w:szCs w:val="20"/>
        </w:rPr>
        <w:t xml:space="preserve">, </w:t>
      </w:r>
      <w:r w:rsidR="00FD48CF" w:rsidRPr="00A81FCE">
        <w:rPr>
          <w:rFonts w:ascii="Arial" w:hAnsi="Arial" w:cs="Arial"/>
          <w:sz w:val="20"/>
          <w:szCs w:val="20"/>
        </w:rPr>
        <w:t>izhaja</w:t>
      </w:r>
      <w:r w:rsidRPr="00A81FCE">
        <w:rPr>
          <w:rFonts w:ascii="Arial" w:hAnsi="Arial" w:cs="Arial"/>
          <w:sz w:val="20"/>
          <w:szCs w:val="20"/>
        </w:rPr>
        <w:t xml:space="preserve"> tudi, da so naročniki </w:t>
      </w:r>
      <w:r w:rsidR="000B77E2" w:rsidRPr="00A81FCE">
        <w:rPr>
          <w:rFonts w:ascii="Arial" w:hAnsi="Arial" w:cs="Arial"/>
          <w:sz w:val="20"/>
          <w:szCs w:val="20"/>
        </w:rPr>
        <w:t xml:space="preserve">postopek javnega naročanja </w:t>
      </w:r>
      <w:r w:rsidR="00FD4717" w:rsidRPr="00A81FCE">
        <w:rPr>
          <w:rFonts w:ascii="Arial" w:hAnsi="Arial" w:cs="Arial"/>
          <w:sz w:val="20"/>
          <w:szCs w:val="20"/>
        </w:rPr>
        <w:t xml:space="preserve">največkrat </w:t>
      </w:r>
      <w:r w:rsidR="000B77E2" w:rsidRPr="00A81FCE">
        <w:rPr>
          <w:rFonts w:ascii="Arial" w:hAnsi="Arial" w:cs="Arial"/>
          <w:sz w:val="20"/>
          <w:szCs w:val="20"/>
        </w:rPr>
        <w:t xml:space="preserve">delili na več javnih naročil pri naročanju </w:t>
      </w:r>
      <w:r w:rsidRPr="00A81FCE">
        <w:rPr>
          <w:rFonts w:ascii="Arial" w:hAnsi="Arial" w:cs="Arial"/>
          <w:sz w:val="20"/>
          <w:szCs w:val="20"/>
        </w:rPr>
        <w:t xml:space="preserve">blaga, in sicer v </w:t>
      </w:r>
      <w:r w:rsidR="007044FF" w:rsidRPr="00A81FCE">
        <w:rPr>
          <w:rFonts w:ascii="Arial" w:hAnsi="Arial" w:cs="Arial"/>
          <w:sz w:val="20"/>
          <w:szCs w:val="20"/>
        </w:rPr>
        <w:t>10</w:t>
      </w:r>
      <w:r w:rsidR="00A81FCE" w:rsidRPr="00A81FCE">
        <w:rPr>
          <w:rFonts w:ascii="Arial" w:hAnsi="Arial" w:cs="Arial"/>
          <w:sz w:val="20"/>
          <w:szCs w:val="20"/>
        </w:rPr>
        <w:t>32</w:t>
      </w:r>
      <w:r w:rsidRPr="00A81FCE">
        <w:rPr>
          <w:rFonts w:ascii="Arial" w:hAnsi="Arial" w:cs="Arial"/>
          <w:sz w:val="20"/>
          <w:szCs w:val="20"/>
        </w:rPr>
        <w:t xml:space="preserve"> primerih oziroma </w:t>
      </w:r>
      <w:r w:rsidR="00FD48CF" w:rsidRPr="00A81FCE">
        <w:rPr>
          <w:rFonts w:ascii="Arial" w:hAnsi="Arial" w:cs="Arial"/>
          <w:sz w:val="20"/>
          <w:szCs w:val="20"/>
        </w:rPr>
        <w:t xml:space="preserve">pri </w:t>
      </w:r>
      <w:r w:rsidR="007044FF" w:rsidRPr="00A81FCE">
        <w:rPr>
          <w:rFonts w:ascii="Arial" w:hAnsi="Arial" w:cs="Arial"/>
          <w:sz w:val="20"/>
          <w:szCs w:val="20"/>
        </w:rPr>
        <w:t>3</w:t>
      </w:r>
      <w:r w:rsidR="00A81FCE" w:rsidRPr="00A81FCE">
        <w:rPr>
          <w:rFonts w:ascii="Arial" w:hAnsi="Arial" w:cs="Arial"/>
          <w:sz w:val="20"/>
          <w:szCs w:val="20"/>
        </w:rPr>
        <w:t>5,04</w:t>
      </w:r>
      <w:r w:rsidR="00970F15" w:rsidRPr="00A81FCE">
        <w:rPr>
          <w:rFonts w:ascii="Arial" w:hAnsi="Arial" w:cs="Arial"/>
          <w:sz w:val="20"/>
          <w:szCs w:val="20"/>
        </w:rPr>
        <w:t> </w:t>
      </w:r>
      <w:r w:rsidR="00AC0027">
        <w:rPr>
          <w:rFonts w:ascii="Arial" w:hAnsi="Arial" w:cs="Arial"/>
          <w:sz w:val="20"/>
          <w:szCs w:val="20"/>
        </w:rPr>
        <w:t>odstotka</w:t>
      </w:r>
      <w:r w:rsidRPr="00A81FCE">
        <w:rPr>
          <w:rFonts w:ascii="Arial" w:hAnsi="Arial" w:cs="Arial"/>
          <w:sz w:val="20"/>
          <w:szCs w:val="20"/>
        </w:rPr>
        <w:t xml:space="preserve"> naročil blaga, najmanjkrat pa pri oddaji naročil gradenj, in sicer v </w:t>
      </w:r>
      <w:r w:rsidR="00B32D46" w:rsidRPr="00A81FCE">
        <w:rPr>
          <w:rFonts w:ascii="Arial" w:hAnsi="Arial" w:cs="Arial"/>
          <w:sz w:val="20"/>
          <w:szCs w:val="20"/>
        </w:rPr>
        <w:t>1</w:t>
      </w:r>
      <w:r w:rsidR="00A81FCE" w:rsidRPr="00A81FCE">
        <w:rPr>
          <w:rFonts w:ascii="Arial" w:hAnsi="Arial" w:cs="Arial"/>
          <w:sz w:val="20"/>
          <w:szCs w:val="20"/>
        </w:rPr>
        <w:t>38</w:t>
      </w:r>
      <w:r w:rsidRPr="00A81FCE">
        <w:rPr>
          <w:rFonts w:ascii="Arial" w:hAnsi="Arial" w:cs="Arial"/>
          <w:sz w:val="20"/>
          <w:szCs w:val="20"/>
        </w:rPr>
        <w:t xml:space="preserve"> primerih oziroma </w:t>
      </w:r>
      <w:r w:rsidR="00FD48CF" w:rsidRPr="00A81FCE">
        <w:rPr>
          <w:rFonts w:ascii="Arial" w:hAnsi="Arial" w:cs="Arial"/>
          <w:sz w:val="20"/>
          <w:szCs w:val="20"/>
        </w:rPr>
        <w:t xml:space="preserve">pri </w:t>
      </w:r>
      <w:r w:rsidR="00823B43" w:rsidRPr="00A81FCE">
        <w:rPr>
          <w:rFonts w:ascii="Arial" w:hAnsi="Arial" w:cs="Arial"/>
          <w:sz w:val="20"/>
          <w:szCs w:val="20"/>
        </w:rPr>
        <w:t>9,</w:t>
      </w:r>
      <w:r w:rsidR="00A81FCE" w:rsidRPr="00A81FCE">
        <w:rPr>
          <w:rFonts w:ascii="Arial" w:hAnsi="Arial" w:cs="Arial"/>
          <w:sz w:val="20"/>
          <w:szCs w:val="20"/>
        </w:rPr>
        <w:t>5</w:t>
      </w:r>
      <w:r w:rsidR="00970F15" w:rsidRPr="00A81FCE">
        <w:rPr>
          <w:rFonts w:ascii="Arial" w:eastAsia="Times New Roman" w:hAnsi="Arial" w:cs="Arial"/>
          <w:color w:val="000000"/>
          <w:sz w:val="20"/>
          <w:szCs w:val="20"/>
          <w:lang w:eastAsia="sl-SI"/>
        </w:rPr>
        <w:t> </w:t>
      </w:r>
      <w:r w:rsidR="00AC0027">
        <w:rPr>
          <w:rFonts w:ascii="Arial" w:hAnsi="Arial" w:cs="Arial"/>
          <w:sz w:val="20"/>
          <w:szCs w:val="20"/>
        </w:rPr>
        <w:t>odstotka</w:t>
      </w:r>
      <w:r w:rsidRPr="00A81FCE">
        <w:rPr>
          <w:rFonts w:ascii="Arial" w:hAnsi="Arial" w:cs="Arial"/>
          <w:sz w:val="20"/>
          <w:szCs w:val="20"/>
        </w:rPr>
        <w:t xml:space="preserve"> naročil gradenj.</w:t>
      </w:r>
      <w:r w:rsidR="002B4A0A" w:rsidRPr="00A81FCE">
        <w:rPr>
          <w:rFonts w:ascii="Arial" w:hAnsi="Arial" w:cs="Arial"/>
          <w:sz w:val="20"/>
          <w:szCs w:val="20"/>
        </w:rPr>
        <w:t xml:space="preserve"> </w:t>
      </w:r>
    </w:p>
    <w:p w14:paraId="7DC1F829" w14:textId="4CB379B8" w:rsidR="008354FC" w:rsidRPr="006401CF" w:rsidRDefault="008354FC" w:rsidP="008A61FD">
      <w:pPr>
        <w:spacing w:before="120" w:after="120" w:line="240" w:lineRule="auto"/>
        <w:jc w:val="both"/>
        <w:rPr>
          <w:rFonts w:ascii="Arial" w:hAnsi="Arial" w:cs="Arial"/>
          <w:sz w:val="20"/>
        </w:rPr>
      </w:pPr>
      <w:r w:rsidRPr="006401CF">
        <w:rPr>
          <w:rFonts w:ascii="Arial" w:hAnsi="Arial" w:cs="Arial"/>
          <w:sz w:val="20"/>
        </w:rPr>
        <w:t xml:space="preserve">Preglednica </w:t>
      </w:r>
      <w:r w:rsidR="00512F52" w:rsidRPr="006401CF">
        <w:rPr>
          <w:rFonts w:ascii="Arial" w:hAnsi="Arial" w:cs="Arial"/>
          <w:sz w:val="20"/>
        </w:rPr>
        <w:t>3</w:t>
      </w:r>
      <w:r w:rsidR="00274CE8" w:rsidRPr="006401CF">
        <w:rPr>
          <w:rFonts w:ascii="Arial" w:hAnsi="Arial" w:cs="Arial"/>
          <w:sz w:val="20"/>
        </w:rPr>
        <w:t>1</w:t>
      </w:r>
      <w:r w:rsidRPr="006401CF">
        <w:rPr>
          <w:rFonts w:ascii="Arial" w:hAnsi="Arial" w:cs="Arial"/>
          <w:sz w:val="20"/>
        </w:rPr>
        <w:t xml:space="preserve">: Delitev postopkov javnega naročanja na naročila </w:t>
      </w:r>
      <w:r w:rsidR="00FD48CF" w:rsidRPr="006401CF">
        <w:rPr>
          <w:rFonts w:ascii="Arial" w:hAnsi="Arial" w:cs="Arial"/>
          <w:sz w:val="20"/>
        </w:rPr>
        <w:t>po</w:t>
      </w:r>
      <w:r w:rsidRPr="006401CF">
        <w:rPr>
          <w:rFonts w:ascii="Arial" w:hAnsi="Arial" w:cs="Arial"/>
          <w:sz w:val="20"/>
        </w:rPr>
        <w:t xml:space="preserve"> številu in vrednosti glede na predmet naročanja </w:t>
      </w:r>
    </w:p>
    <w:tbl>
      <w:tblPr>
        <w:tblW w:w="7440" w:type="dxa"/>
        <w:jc w:val="center"/>
        <w:tblCellMar>
          <w:left w:w="70" w:type="dxa"/>
          <w:right w:w="70" w:type="dxa"/>
        </w:tblCellMar>
        <w:tblLook w:val="04A0" w:firstRow="1" w:lastRow="0" w:firstColumn="1" w:lastColumn="0" w:noHBand="0" w:noVBand="1"/>
      </w:tblPr>
      <w:tblGrid>
        <w:gridCol w:w="960"/>
        <w:gridCol w:w="1560"/>
        <w:gridCol w:w="1700"/>
        <w:gridCol w:w="1280"/>
        <w:gridCol w:w="1940"/>
      </w:tblGrid>
      <w:tr w:rsidR="00865254" w:rsidRPr="00D969F3" w14:paraId="7B813CB7" w14:textId="77777777" w:rsidTr="00CD447F">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2D872D" w14:textId="77777777" w:rsidR="00865254" w:rsidRPr="00D969F3" w:rsidRDefault="00865254" w:rsidP="00865254">
            <w:pPr>
              <w:spacing w:after="0" w:line="240" w:lineRule="auto"/>
              <w:jc w:val="center"/>
              <w:rPr>
                <w:rFonts w:ascii="Arial" w:eastAsia="Times New Roman" w:hAnsi="Arial" w:cs="Arial"/>
                <w:color w:val="000000"/>
                <w:sz w:val="18"/>
                <w:szCs w:val="18"/>
                <w:lang w:eastAsia="sl-SI"/>
              </w:rPr>
            </w:pPr>
            <w:r w:rsidRPr="00D969F3">
              <w:rPr>
                <w:rFonts w:ascii="Arial" w:eastAsia="Times New Roman" w:hAnsi="Arial" w:cs="Arial"/>
                <w:color w:val="000000"/>
                <w:sz w:val="18"/>
                <w:szCs w:val="18"/>
                <w:lang w:eastAsia="sl-SI"/>
              </w:rPr>
              <w:t>Predmet</w:t>
            </w:r>
          </w:p>
        </w:tc>
        <w:tc>
          <w:tcPr>
            <w:tcW w:w="15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CA778ED" w14:textId="77777777" w:rsidR="00865254" w:rsidRPr="00D969F3" w:rsidRDefault="00865254" w:rsidP="00865254">
            <w:pPr>
              <w:spacing w:after="0" w:line="240" w:lineRule="auto"/>
              <w:jc w:val="center"/>
              <w:rPr>
                <w:rFonts w:ascii="Arial" w:eastAsia="Times New Roman" w:hAnsi="Arial" w:cs="Arial"/>
                <w:color w:val="000000"/>
                <w:sz w:val="18"/>
                <w:szCs w:val="18"/>
                <w:lang w:eastAsia="sl-SI"/>
              </w:rPr>
            </w:pPr>
            <w:r w:rsidRPr="00D969F3">
              <w:rPr>
                <w:rFonts w:ascii="Arial" w:eastAsia="Times New Roman" w:hAnsi="Arial" w:cs="Arial"/>
                <w:color w:val="000000"/>
                <w:sz w:val="18"/>
                <w:szCs w:val="18"/>
                <w:lang w:eastAsia="sl-SI"/>
              </w:rPr>
              <w:t>Št. postopkov z enim naročilom</w:t>
            </w:r>
          </w:p>
        </w:tc>
        <w:tc>
          <w:tcPr>
            <w:tcW w:w="170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FD7030C" w14:textId="77777777" w:rsidR="00865254" w:rsidRPr="00D969F3" w:rsidRDefault="00865254" w:rsidP="00865254">
            <w:pPr>
              <w:spacing w:after="0" w:line="240" w:lineRule="auto"/>
              <w:jc w:val="center"/>
              <w:rPr>
                <w:rFonts w:ascii="Arial" w:eastAsia="Times New Roman" w:hAnsi="Arial" w:cs="Arial"/>
                <w:color w:val="000000"/>
                <w:sz w:val="18"/>
                <w:szCs w:val="18"/>
                <w:lang w:eastAsia="sl-SI"/>
              </w:rPr>
            </w:pPr>
            <w:r w:rsidRPr="00D969F3">
              <w:rPr>
                <w:rFonts w:ascii="Arial" w:eastAsia="Times New Roman" w:hAnsi="Arial" w:cs="Arial"/>
                <w:color w:val="000000"/>
                <w:sz w:val="18"/>
                <w:szCs w:val="18"/>
                <w:lang w:eastAsia="sl-SI"/>
              </w:rPr>
              <w:t>Vrednost postopkov z enim naročilom</w:t>
            </w:r>
          </w:p>
        </w:tc>
        <w:tc>
          <w:tcPr>
            <w:tcW w:w="128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69CD339" w14:textId="77777777" w:rsidR="00865254" w:rsidRPr="00D969F3" w:rsidRDefault="00865254" w:rsidP="00865254">
            <w:pPr>
              <w:spacing w:after="0" w:line="240" w:lineRule="auto"/>
              <w:jc w:val="center"/>
              <w:rPr>
                <w:rFonts w:ascii="Arial" w:eastAsia="Times New Roman" w:hAnsi="Arial" w:cs="Arial"/>
                <w:color w:val="000000"/>
                <w:sz w:val="18"/>
                <w:szCs w:val="18"/>
                <w:lang w:eastAsia="sl-SI"/>
              </w:rPr>
            </w:pPr>
            <w:r w:rsidRPr="00D969F3">
              <w:rPr>
                <w:rFonts w:ascii="Arial" w:eastAsia="Times New Roman" w:hAnsi="Arial" w:cs="Arial"/>
                <w:color w:val="000000"/>
                <w:sz w:val="18"/>
                <w:szCs w:val="18"/>
                <w:lang w:eastAsia="sl-SI"/>
              </w:rPr>
              <w:t>Št. postopkov z več naročili</w:t>
            </w:r>
          </w:p>
        </w:tc>
        <w:tc>
          <w:tcPr>
            <w:tcW w:w="194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9603940" w14:textId="77777777" w:rsidR="00865254" w:rsidRPr="00D969F3" w:rsidRDefault="00865254" w:rsidP="00865254">
            <w:pPr>
              <w:spacing w:after="0" w:line="240" w:lineRule="auto"/>
              <w:jc w:val="center"/>
              <w:rPr>
                <w:rFonts w:ascii="Arial" w:eastAsia="Times New Roman" w:hAnsi="Arial" w:cs="Arial"/>
                <w:color w:val="000000"/>
                <w:sz w:val="18"/>
                <w:szCs w:val="18"/>
                <w:lang w:eastAsia="sl-SI"/>
              </w:rPr>
            </w:pPr>
            <w:r w:rsidRPr="00D969F3">
              <w:rPr>
                <w:rFonts w:ascii="Arial" w:eastAsia="Times New Roman" w:hAnsi="Arial" w:cs="Arial"/>
                <w:color w:val="000000"/>
                <w:sz w:val="18"/>
                <w:szCs w:val="18"/>
                <w:lang w:eastAsia="sl-SI"/>
              </w:rPr>
              <w:t>Vrednost postopkov z več naročili</w:t>
            </w:r>
          </w:p>
        </w:tc>
      </w:tr>
      <w:tr w:rsidR="00D969F3" w:rsidRPr="00D969F3" w14:paraId="49DA1949" w14:textId="77777777" w:rsidTr="00D969F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032B0C" w14:textId="77777777" w:rsidR="00D969F3" w:rsidRPr="00D969F3" w:rsidRDefault="00D969F3" w:rsidP="00D969F3">
            <w:pPr>
              <w:spacing w:after="0" w:line="240" w:lineRule="auto"/>
              <w:rPr>
                <w:rFonts w:ascii="Arial" w:eastAsia="Times New Roman" w:hAnsi="Arial" w:cs="Arial"/>
                <w:color w:val="000000"/>
                <w:sz w:val="18"/>
                <w:szCs w:val="18"/>
                <w:lang w:eastAsia="sl-SI"/>
              </w:rPr>
            </w:pPr>
            <w:r w:rsidRPr="00D969F3">
              <w:rPr>
                <w:rFonts w:ascii="Arial" w:eastAsia="Times New Roman" w:hAnsi="Arial" w:cs="Arial"/>
                <w:color w:val="000000"/>
                <w:sz w:val="18"/>
                <w:szCs w:val="18"/>
                <w:lang w:eastAsia="sl-SI"/>
              </w:rPr>
              <w:t>Blago</w:t>
            </w:r>
          </w:p>
        </w:tc>
        <w:tc>
          <w:tcPr>
            <w:tcW w:w="1560" w:type="dxa"/>
            <w:tcBorders>
              <w:top w:val="nil"/>
              <w:left w:val="nil"/>
              <w:bottom w:val="single" w:sz="4" w:space="0" w:color="auto"/>
              <w:right w:val="single" w:sz="4" w:space="0" w:color="auto"/>
            </w:tcBorders>
            <w:shd w:val="clear" w:color="auto" w:fill="auto"/>
            <w:vAlign w:val="center"/>
            <w:hideMark/>
          </w:tcPr>
          <w:p w14:paraId="1C973ADC" w14:textId="15C18C20" w:rsidR="00D969F3" w:rsidRPr="00D969F3" w:rsidRDefault="00D969F3" w:rsidP="00D969F3">
            <w:pPr>
              <w:spacing w:after="0" w:line="240" w:lineRule="auto"/>
              <w:jc w:val="right"/>
              <w:rPr>
                <w:rFonts w:ascii="Arial" w:eastAsia="Times New Roman" w:hAnsi="Arial" w:cs="Arial"/>
                <w:color w:val="000000"/>
                <w:sz w:val="18"/>
                <w:szCs w:val="18"/>
                <w:lang w:eastAsia="sl-SI"/>
              </w:rPr>
            </w:pPr>
            <w:r w:rsidRPr="00D969F3">
              <w:rPr>
                <w:rFonts w:ascii="Arial" w:eastAsia="Times New Roman" w:hAnsi="Arial" w:cs="Arial"/>
                <w:color w:val="000000"/>
                <w:sz w:val="18"/>
                <w:szCs w:val="18"/>
                <w:lang w:eastAsia="sl-SI"/>
              </w:rPr>
              <w:t>1.913</w:t>
            </w:r>
          </w:p>
        </w:tc>
        <w:tc>
          <w:tcPr>
            <w:tcW w:w="1700" w:type="dxa"/>
            <w:tcBorders>
              <w:top w:val="nil"/>
              <w:left w:val="nil"/>
              <w:bottom w:val="single" w:sz="4" w:space="0" w:color="auto"/>
              <w:right w:val="single" w:sz="4" w:space="0" w:color="auto"/>
            </w:tcBorders>
            <w:shd w:val="clear" w:color="auto" w:fill="auto"/>
            <w:vAlign w:val="center"/>
            <w:hideMark/>
          </w:tcPr>
          <w:p w14:paraId="70B9D90B" w14:textId="772E3F64" w:rsidR="00D969F3" w:rsidRPr="00D969F3" w:rsidRDefault="00D969F3" w:rsidP="00D969F3">
            <w:pPr>
              <w:spacing w:after="0" w:line="240" w:lineRule="auto"/>
              <w:jc w:val="right"/>
              <w:rPr>
                <w:rFonts w:ascii="Arial" w:eastAsia="Times New Roman" w:hAnsi="Arial" w:cs="Arial"/>
                <w:color w:val="000000"/>
                <w:sz w:val="18"/>
                <w:szCs w:val="18"/>
                <w:lang w:eastAsia="sl-SI"/>
              </w:rPr>
            </w:pPr>
            <w:r w:rsidRPr="00D969F3">
              <w:rPr>
                <w:rFonts w:ascii="Arial" w:eastAsia="Times New Roman" w:hAnsi="Arial" w:cs="Arial"/>
                <w:color w:val="000000"/>
                <w:sz w:val="18"/>
                <w:szCs w:val="18"/>
                <w:lang w:eastAsia="sl-SI"/>
              </w:rPr>
              <w:t>832.733.118</w:t>
            </w:r>
          </w:p>
        </w:tc>
        <w:tc>
          <w:tcPr>
            <w:tcW w:w="1280" w:type="dxa"/>
            <w:tcBorders>
              <w:top w:val="nil"/>
              <w:left w:val="nil"/>
              <w:bottom w:val="single" w:sz="4" w:space="0" w:color="auto"/>
              <w:right w:val="single" w:sz="4" w:space="0" w:color="auto"/>
            </w:tcBorders>
            <w:shd w:val="clear" w:color="auto" w:fill="auto"/>
            <w:vAlign w:val="center"/>
          </w:tcPr>
          <w:p w14:paraId="24C87402" w14:textId="067D105D" w:rsidR="00D969F3" w:rsidRPr="00D969F3" w:rsidRDefault="00D969F3" w:rsidP="00D969F3">
            <w:pPr>
              <w:spacing w:after="0" w:line="240" w:lineRule="auto"/>
              <w:jc w:val="right"/>
              <w:rPr>
                <w:rFonts w:ascii="Arial" w:eastAsia="Times New Roman" w:hAnsi="Arial" w:cs="Arial"/>
                <w:color w:val="000000"/>
                <w:sz w:val="18"/>
                <w:szCs w:val="18"/>
                <w:lang w:eastAsia="sl-SI"/>
              </w:rPr>
            </w:pPr>
            <w:r w:rsidRPr="00D969F3">
              <w:rPr>
                <w:rFonts w:ascii="Arial" w:eastAsia="Times New Roman" w:hAnsi="Arial" w:cs="Arial"/>
                <w:color w:val="000000"/>
                <w:sz w:val="18"/>
                <w:szCs w:val="18"/>
                <w:lang w:eastAsia="sl-SI"/>
              </w:rPr>
              <w:t>1.032</w:t>
            </w:r>
          </w:p>
        </w:tc>
        <w:tc>
          <w:tcPr>
            <w:tcW w:w="1940" w:type="dxa"/>
            <w:tcBorders>
              <w:top w:val="nil"/>
              <w:left w:val="nil"/>
              <w:bottom w:val="single" w:sz="4" w:space="0" w:color="auto"/>
              <w:right w:val="single" w:sz="4" w:space="0" w:color="auto"/>
            </w:tcBorders>
            <w:shd w:val="clear" w:color="auto" w:fill="auto"/>
            <w:vAlign w:val="center"/>
          </w:tcPr>
          <w:p w14:paraId="391731B1" w14:textId="43F4EEA7" w:rsidR="00D969F3" w:rsidRPr="00D969F3" w:rsidRDefault="00D969F3" w:rsidP="00D969F3">
            <w:pPr>
              <w:spacing w:after="0" w:line="240" w:lineRule="auto"/>
              <w:jc w:val="right"/>
              <w:rPr>
                <w:rFonts w:ascii="Arial" w:eastAsia="Times New Roman" w:hAnsi="Arial" w:cs="Arial"/>
                <w:color w:val="000000"/>
                <w:sz w:val="18"/>
                <w:szCs w:val="18"/>
                <w:lang w:eastAsia="sl-SI"/>
              </w:rPr>
            </w:pPr>
            <w:r w:rsidRPr="00D969F3">
              <w:rPr>
                <w:rFonts w:ascii="Arial" w:eastAsia="Times New Roman" w:hAnsi="Arial" w:cs="Arial"/>
                <w:color w:val="000000"/>
                <w:sz w:val="18"/>
                <w:szCs w:val="18"/>
                <w:lang w:eastAsia="sl-SI"/>
              </w:rPr>
              <w:t>978.039.900</w:t>
            </w:r>
          </w:p>
        </w:tc>
      </w:tr>
      <w:tr w:rsidR="00D969F3" w:rsidRPr="00D969F3" w14:paraId="6207C7E7" w14:textId="77777777" w:rsidTr="00D969F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08D205" w14:textId="77777777" w:rsidR="00D969F3" w:rsidRPr="00D969F3" w:rsidRDefault="00D969F3" w:rsidP="00D969F3">
            <w:pPr>
              <w:spacing w:after="0" w:line="240" w:lineRule="auto"/>
              <w:rPr>
                <w:rFonts w:ascii="Arial" w:eastAsia="Times New Roman" w:hAnsi="Arial" w:cs="Arial"/>
                <w:color w:val="000000"/>
                <w:sz w:val="18"/>
                <w:szCs w:val="18"/>
                <w:lang w:eastAsia="sl-SI"/>
              </w:rPr>
            </w:pPr>
            <w:r w:rsidRPr="00D969F3">
              <w:rPr>
                <w:rFonts w:ascii="Arial" w:eastAsia="Times New Roman" w:hAnsi="Arial" w:cs="Arial"/>
                <w:color w:val="000000"/>
                <w:sz w:val="18"/>
                <w:szCs w:val="18"/>
                <w:lang w:eastAsia="sl-SI"/>
              </w:rPr>
              <w:t>Storitve</w:t>
            </w:r>
          </w:p>
        </w:tc>
        <w:tc>
          <w:tcPr>
            <w:tcW w:w="1560" w:type="dxa"/>
            <w:tcBorders>
              <w:top w:val="nil"/>
              <w:left w:val="nil"/>
              <w:bottom w:val="single" w:sz="4" w:space="0" w:color="auto"/>
              <w:right w:val="single" w:sz="4" w:space="0" w:color="auto"/>
            </w:tcBorders>
            <w:shd w:val="clear" w:color="auto" w:fill="auto"/>
            <w:vAlign w:val="center"/>
            <w:hideMark/>
          </w:tcPr>
          <w:p w14:paraId="206DF51E" w14:textId="51169DBA" w:rsidR="00D969F3" w:rsidRPr="00D969F3" w:rsidRDefault="00D969F3" w:rsidP="00D969F3">
            <w:pPr>
              <w:spacing w:after="0" w:line="240" w:lineRule="auto"/>
              <w:jc w:val="right"/>
              <w:rPr>
                <w:rFonts w:ascii="Arial" w:eastAsia="Times New Roman" w:hAnsi="Arial" w:cs="Arial"/>
                <w:color w:val="000000"/>
                <w:sz w:val="18"/>
                <w:szCs w:val="18"/>
                <w:lang w:eastAsia="sl-SI"/>
              </w:rPr>
            </w:pPr>
            <w:r w:rsidRPr="00D969F3">
              <w:rPr>
                <w:rFonts w:ascii="Arial" w:eastAsia="Times New Roman" w:hAnsi="Arial" w:cs="Arial"/>
                <w:color w:val="000000"/>
                <w:sz w:val="18"/>
                <w:szCs w:val="18"/>
                <w:lang w:eastAsia="sl-SI"/>
              </w:rPr>
              <w:t>1.890</w:t>
            </w:r>
          </w:p>
        </w:tc>
        <w:tc>
          <w:tcPr>
            <w:tcW w:w="1700" w:type="dxa"/>
            <w:tcBorders>
              <w:top w:val="nil"/>
              <w:left w:val="nil"/>
              <w:bottom w:val="single" w:sz="4" w:space="0" w:color="auto"/>
              <w:right w:val="single" w:sz="4" w:space="0" w:color="auto"/>
            </w:tcBorders>
            <w:shd w:val="clear" w:color="auto" w:fill="auto"/>
            <w:vAlign w:val="center"/>
            <w:hideMark/>
          </w:tcPr>
          <w:p w14:paraId="35613792" w14:textId="0444651B" w:rsidR="00D969F3" w:rsidRPr="00D969F3" w:rsidRDefault="00D969F3" w:rsidP="00D969F3">
            <w:pPr>
              <w:spacing w:after="0" w:line="240" w:lineRule="auto"/>
              <w:jc w:val="right"/>
              <w:rPr>
                <w:rFonts w:ascii="Arial" w:eastAsia="Times New Roman" w:hAnsi="Arial" w:cs="Arial"/>
                <w:color w:val="000000"/>
                <w:sz w:val="18"/>
                <w:szCs w:val="18"/>
                <w:lang w:eastAsia="sl-SI"/>
              </w:rPr>
            </w:pPr>
            <w:r w:rsidRPr="00D969F3">
              <w:rPr>
                <w:rFonts w:ascii="Arial" w:eastAsia="Times New Roman" w:hAnsi="Arial" w:cs="Arial"/>
                <w:color w:val="000000"/>
                <w:sz w:val="18"/>
                <w:szCs w:val="18"/>
                <w:lang w:eastAsia="sl-SI"/>
              </w:rPr>
              <w:t>1.380.362.849</w:t>
            </w:r>
          </w:p>
        </w:tc>
        <w:tc>
          <w:tcPr>
            <w:tcW w:w="1280" w:type="dxa"/>
            <w:tcBorders>
              <w:top w:val="nil"/>
              <w:left w:val="nil"/>
              <w:bottom w:val="single" w:sz="4" w:space="0" w:color="auto"/>
              <w:right w:val="single" w:sz="4" w:space="0" w:color="auto"/>
            </w:tcBorders>
            <w:shd w:val="clear" w:color="auto" w:fill="auto"/>
            <w:vAlign w:val="center"/>
          </w:tcPr>
          <w:p w14:paraId="6D9DB44D" w14:textId="562DA1A9" w:rsidR="00D969F3" w:rsidRPr="00D969F3" w:rsidRDefault="00D969F3" w:rsidP="00D969F3">
            <w:pPr>
              <w:spacing w:after="0" w:line="240" w:lineRule="auto"/>
              <w:jc w:val="right"/>
              <w:rPr>
                <w:rFonts w:ascii="Arial" w:eastAsia="Times New Roman" w:hAnsi="Arial" w:cs="Arial"/>
                <w:color w:val="000000"/>
                <w:sz w:val="18"/>
                <w:szCs w:val="18"/>
                <w:lang w:eastAsia="sl-SI"/>
              </w:rPr>
            </w:pPr>
            <w:r w:rsidRPr="00D969F3">
              <w:rPr>
                <w:rFonts w:ascii="Arial" w:eastAsia="Times New Roman" w:hAnsi="Arial" w:cs="Arial"/>
                <w:color w:val="000000"/>
                <w:sz w:val="18"/>
                <w:szCs w:val="18"/>
                <w:lang w:eastAsia="sl-SI"/>
              </w:rPr>
              <w:t>434</w:t>
            </w:r>
          </w:p>
        </w:tc>
        <w:tc>
          <w:tcPr>
            <w:tcW w:w="1940" w:type="dxa"/>
            <w:tcBorders>
              <w:top w:val="nil"/>
              <w:left w:val="nil"/>
              <w:bottom w:val="single" w:sz="4" w:space="0" w:color="auto"/>
              <w:right w:val="single" w:sz="4" w:space="0" w:color="auto"/>
            </w:tcBorders>
            <w:shd w:val="clear" w:color="auto" w:fill="auto"/>
            <w:vAlign w:val="center"/>
          </w:tcPr>
          <w:p w14:paraId="561AED20" w14:textId="1AB75874" w:rsidR="00D969F3" w:rsidRPr="00D969F3" w:rsidRDefault="00D969F3" w:rsidP="00D969F3">
            <w:pPr>
              <w:spacing w:after="0" w:line="240" w:lineRule="auto"/>
              <w:jc w:val="right"/>
              <w:rPr>
                <w:rFonts w:ascii="Arial" w:eastAsia="Times New Roman" w:hAnsi="Arial" w:cs="Arial"/>
                <w:color w:val="000000"/>
                <w:sz w:val="18"/>
                <w:szCs w:val="18"/>
                <w:lang w:eastAsia="sl-SI"/>
              </w:rPr>
            </w:pPr>
            <w:r w:rsidRPr="00D969F3">
              <w:rPr>
                <w:rFonts w:ascii="Arial" w:eastAsia="Times New Roman" w:hAnsi="Arial" w:cs="Arial"/>
                <w:color w:val="000000"/>
                <w:sz w:val="18"/>
                <w:szCs w:val="18"/>
                <w:lang w:eastAsia="sl-SI"/>
              </w:rPr>
              <w:t>364.402.840</w:t>
            </w:r>
          </w:p>
        </w:tc>
      </w:tr>
      <w:tr w:rsidR="00D969F3" w:rsidRPr="00D969F3" w14:paraId="6561C532" w14:textId="77777777" w:rsidTr="00D969F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8CDC9B" w14:textId="77777777" w:rsidR="00D969F3" w:rsidRPr="00D969F3" w:rsidRDefault="00D969F3" w:rsidP="00D969F3">
            <w:pPr>
              <w:spacing w:after="0" w:line="240" w:lineRule="auto"/>
              <w:rPr>
                <w:rFonts w:ascii="Arial" w:eastAsia="Times New Roman" w:hAnsi="Arial" w:cs="Arial"/>
                <w:color w:val="000000"/>
                <w:sz w:val="18"/>
                <w:szCs w:val="18"/>
                <w:lang w:eastAsia="sl-SI"/>
              </w:rPr>
            </w:pPr>
            <w:r w:rsidRPr="00D969F3">
              <w:rPr>
                <w:rFonts w:ascii="Arial" w:eastAsia="Times New Roman" w:hAnsi="Arial" w:cs="Arial"/>
                <w:color w:val="000000"/>
                <w:sz w:val="18"/>
                <w:szCs w:val="18"/>
                <w:lang w:eastAsia="sl-SI"/>
              </w:rPr>
              <w:t>Gradnje</w:t>
            </w:r>
          </w:p>
        </w:tc>
        <w:tc>
          <w:tcPr>
            <w:tcW w:w="1560" w:type="dxa"/>
            <w:tcBorders>
              <w:top w:val="nil"/>
              <w:left w:val="nil"/>
              <w:bottom w:val="single" w:sz="4" w:space="0" w:color="auto"/>
              <w:right w:val="single" w:sz="4" w:space="0" w:color="auto"/>
            </w:tcBorders>
            <w:shd w:val="clear" w:color="auto" w:fill="auto"/>
            <w:vAlign w:val="center"/>
            <w:hideMark/>
          </w:tcPr>
          <w:p w14:paraId="39F81188" w14:textId="1E4483C8" w:rsidR="00D969F3" w:rsidRPr="00D969F3" w:rsidRDefault="00D969F3" w:rsidP="00D969F3">
            <w:pPr>
              <w:spacing w:after="0" w:line="240" w:lineRule="auto"/>
              <w:jc w:val="right"/>
              <w:rPr>
                <w:rFonts w:ascii="Arial" w:eastAsia="Times New Roman" w:hAnsi="Arial" w:cs="Arial"/>
                <w:color w:val="000000"/>
                <w:sz w:val="18"/>
                <w:szCs w:val="18"/>
                <w:lang w:eastAsia="sl-SI"/>
              </w:rPr>
            </w:pPr>
            <w:r w:rsidRPr="00D969F3">
              <w:rPr>
                <w:rFonts w:ascii="Arial" w:eastAsia="Times New Roman" w:hAnsi="Arial" w:cs="Arial"/>
                <w:color w:val="000000"/>
                <w:sz w:val="18"/>
                <w:szCs w:val="18"/>
                <w:lang w:eastAsia="sl-SI"/>
              </w:rPr>
              <w:t>1.314</w:t>
            </w:r>
          </w:p>
        </w:tc>
        <w:tc>
          <w:tcPr>
            <w:tcW w:w="1700" w:type="dxa"/>
            <w:tcBorders>
              <w:top w:val="nil"/>
              <w:left w:val="nil"/>
              <w:bottom w:val="single" w:sz="4" w:space="0" w:color="auto"/>
              <w:right w:val="single" w:sz="4" w:space="0" w:color="auto"/>
            </w:tcBorders>
            <w:shd w:val="clear" w:color="auto" w:fill="auto"/>
            <w:vAlign w:val="center"/>
            <w:hideMark/>
          </w:tcPr>
          <w:p w14:paraId="7CC56578" w14:textId="680BD973" w:rsidR="00D969F3" w:rsidRPr="00D969F3" w:rsidRDefault="00D969F3" w:rsidP="00D969F3">
            <w:pPr>
              <w:spacing w:after="0" w:line="240" w:lineRule="auto"/>
              <w:jc w:val="right"/>
              <w:rPr>
                <w:rFonts w:ascii="Arial" w:eastAsia="Times New Roman" w:hAnsi="Arial" w:cs="Arial"/>
                <w:color w:val="000000"/>
                <w:sz w:val="18"/>
                <w:szCs w:val="18"/>
                <w:lang w:eastAsia="sl-SI"/>
              </w:rPr>
            </w:pPr>
            <w:r w:rsidRPr="00D969F3">
              <w:rPr>
                <w:rFonts w:ascii="Arial" w:eastAsia="Times New Roman" w:hAnsi="Arial" w:cs="Arial"/>
                <w:color w:val="000000"/>
                <w:sz w:val="18"/>
                <w:szCs w:val="18"/>
                <w:lang w:eastAsia="sl-SI"/>
              </w:rPr>
              <w:t>1.620.110.483</w:t>
            </w:r>
          </w:p>
        </w:tc>
        <w:tc>
          <w:tcPr>
            <w:tcW w:w="1280" w:type="dxa"/>
            <w:tcBorders>
              <w:top w:val="nil"/>
              <w:left w:val="nil"/>
              <w:bottom w:val="single" w:sz="4" w:space="0" w:color="auto"/>
              <w:right w:val="single" w:sz="4" w:space="0" w:color="auto"/>
            </w:tcBorders>
            <w:shd w:val="clear" w:color="auto" w:fill="auto"/>
            <w:vAlign w:val="center"/>
          </w:tcPr>
          <w:p w14:paraId="3BD2AF58" w14:textId="6EA583D2" w:rsidR="00D969F3" w:rsidRPr="00D969F3" w:rsidRDefault="00D969F3" w:rsidP="00D969F3">
            <w:pPr>
              <w:spacing w:after="0" w:line="240" w:lineRule="auto"/>
              <w:jc w:val="right"/>
              <w:rPr>
                <w:rFonts w:ascii="Arial" w:eastAsia="Times New Roman" w:hAnsi="Arial" w:cs="Arial"/>
                <w:color w:val="000000"/>
                <w:sz w:val="18"/>
                <w:szCs w:val="18"/>
                <w:lang w:eastAsia="sl-SI"/>
              </w:rPr>
            </w:pPr>
            <w:r w:rsidRPr="00D969F3">
              <w:rPr>
                <w:rFonts w:ascii="Arial" w:eastAsia="Times New Roman" w:hAnsi="Arial" w:cs="Arial"/>
                <w:color w:val="000000"/>
                <w:sz w:val="18"/>
                <w:szCs w:val="18"/>
                <w:lang w:eastAsia="sl-SI"/>
              </w:rPr>
              <w:t>138</w:t>
            </w:r>
          </w:p>
        </w:tc>
        <w:tc>
          <w:tcPr>
            <w:tcW w:w="1940" w:type="dxa"/>
            <w:tcBorders>
              <w:top w:val="nil"/>
              <w:left w:val="nil"/>
              <w:bottom w:val="single" w:sz="4" w:space="0" w:color="auto"/>
              <w:right w:val="single" w:sz="4" w:space="0" w:color="auto"/>
            </w:tcBorders>
            <w:shd w:val="clear" w:color="auto" w:fill="auto"/>
            <w:vAlign w:val="center"/>
          </w:tcPr>
          <w:p w14:paraId="1C9D9B76" w14:textId="606681AD" w:rsidR="00D969F3" w:rsidRPr="00D969F3" w:rsidRDefault="00D969F3" w:rsidP="00D969F3">
            <w:pPr>
              <w:spacing w:after="0" w:line="240" w:lineRule="auto"/>
              <w:jc w:val="right"/>
              <w:rPr>
                <w:rFonts w:ascii="Arial" w:eastAsia="Times New Roman" w:hAnsi="Arial" w:cs="Arial"/>
                <w:color w:val="000000"/>
                <w:sz w:val="18"/>
                <w:szCs w:val="18"/>
                <w:lang w:eastAsia="sl-SI"/>
              </w:rPr>
            </w:pPr>
            <w:r w:rsidRPr="00D969F3">
              <w:rPr>
                <w:rFonts w:ascii="Arial" w:eastAsia="Times New Roman" w:hAnsi="Arial" w:cs="Arial"/>
                <w:color w:val="000000"/>
                <w:sz w:val="18"/>
                <w:szCs w:val="18"/>
                <w:lang w:eastAsia="sl-SI"/>
              </w:rPr>
              <w:t>241.456.712</w:t>
            </w:r>
          </w:p>
        </w:tc>
      </w:tr>
      <w:tr w:rsidR="00D969F3" w:rsidRPr="00BF7302" w14:paraId="2440632E" w14:textId="77777777" w:rsidTr="00D969F3">
        <w:trPr>
          <w:trHeight w:val="255"/>
          <w:jc w:val="center"/>
        </w:trPr>
        <w:tc>
          <w:tcPr>
            <w:tcW w:w="96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2D70C5E" w14:textId="77777777" w:rsidR="00D969F3" w:rsidRPr="00D969F3" w:rsidRDefault="00D969F3" w:rsidP="00D969F3">
            <w:pPr>
              <w:spacing w:after="0" w:line="240" w:lineRule="auto"/>
              <w:rPr>
                <w:rFonts w:ascii="Arial" w:eastAsia="Times New Roman" w:hAnsi="Arial" w:cs="Arial"/>
                <w:b/>
                <w:bCs/>
                <w:color w:val="000000"/>
                <w:sz w:val="18"/>
                <w:szCs w:val="18"/>
                <w:lang w:eastAsia="sl-SI"/>
              </w:rPr>
            </w:pPr>
            <w:r w:rsidRPr="00D969F3">
              <w:rPr>
                <w:rFonts w:ascii="Arial" w:eastAsia="Times New Roman" w:hAnsi="Arial" w:cs="Arial"/>
                <w:b/>
                <w:bCs/>
                <w:color w:val="000000"/>
                <w:sz w:val="18"/>
                <w:szCs w:val="18"/>
                <w:lang w:eastAsia="sl-SI"/>
              </w:rPr>
              <w:t>Skupaj</w:t>
            </w:r>
          </w:p>
        </w:tc>
        <w:tc>
          <w:tcPr>
            <w:tcW w:w="1560" w:type="dxa"/>
            <w:tcBorders>
              <w:top w:val="nil"/>
              <w:left w:val="nil"/>
              <w:bottom w:val="single" w:sz="4" w:space="0" w:color="auto"/>
              <w:right w:val="single" w:sz="4" w:space="0" w:color="auto"/>
            </w:tcBorders>
            <w:shd w:val="clear" w:color="auto" w:fill="F2F2F2" w:themeFill="background1" w:themeFillShade="F2"/>
            <w:vAlign w:val="center"/>
            <w:hideMark/>
          </w:tcPr>
          <w:p w14:paraId="3F025FFE" w14:textId="524C51B8" w:rsidR="00D969F3" w:rsidRPr="00D969F3" w:rsidRDefault="00D969F3" w:rsidP="00D969F3">
            <w:pPr>
              <w:spacing w:after="0" w:line="240" w:lineRule="auto"/>
              <w:jc w:val="right"/>
              <w:rPr>
                <w:rFonts w:ascii="Arial" w:eastAsia="Times New Roman" w:hAnsi="Arial" w:cs="Arial"/>
                <w:b/>
                <w:bCs/>
                <w:color w:val="000000"/>
                <w:sz w:val="18"/>
                <w:szCs w:val="18"/>
                <w:lang w:eastAsia="sl-SI"/>
              </w:rPr>
            </w:pPr>
            <w:r w:rsidRPr="00D969F3">
              <w:rPr>
                <w:rFonts w:ascii="Arial" w:eastAsia="Times New Roman" w:hAnsi="Arial" w:cs="Arial"/>
                <w:b/>
                <w:bCs/>
                <w:color w:val="000000"/>
                <w:sz w:val="18"/>
                <w:szCs w:val="18"/>
                <w:lang w:eastAsia="sl-SI"/>
              </w:rPr>
              <w:t>5.117</w:t>
            </w:r>
          </w:p>
        </w:tc>
        <w:tc>
          <w:tcPr>
            <w:tcW w:w="1700" w:type="dxa"/>
            <w:tcBorders>
              <w:top w:val="nil"/>
              <w:left w:val="nil"/>
              <w:bottom w:val="single" w:sz="4" w:space="0" w:color="auto"/>
              <w:right w:val="single" w:sz="4" w:space="0" w:color="auto"/>
            </w:tcBorders>
            <w:shd w:val="clear" w:color="auto" w:fill="F2F2F2" w:themeFill="background1" w:themeFillShade="F2"/>
            <w:vAlign w:val="center"/>
            <w:hideMark/>
          </w:tcPr>
          <w:p w14:paraId="59297833" w14:textId="533140AB" w:rsidR="00D969F3" w:rsidRPr="00D969F3" w:rsidRDefault="00D969F3" w:rsidP="00D969F3">
            <w:pPr>
              <w:spacing w:after="0" w:line="240" w:lineRule="auto"/>
              <w:jc w:val="right"/>
              <w:rPr>
                <w:rFonts w:ascii="Arial" w:eastAsia="Times New Roman" w:hAnsi="Arial" w:cs="Arial"/>
                <w:b/>
                <w:bCs/>
                <w:color w:val="000000"/>
                <w:sz w:val="18"/>
                <w:szCs w:val="18"/>
                <w:lang w:eastAsia="sl-SI"/>
              </w:rPr>
            </w:pPr>
            <w:r w:rsidRPr="00D969F3">
              <w:rPr>
                <w:rFonts w:ascii="Arial" w:eastAsia="Times New Roman" w:hAnsi="Arial" w:cs="Arial"/>
                <w:b/>
                <w:bCs/>
                <w:color w:val="000000"/>
                <w:sz w:val="18"/>
                <w:szCs w:val="18"/>
                <w:lang w:eastAsia="sl-SI"/>
              </w:rPr>
              <w:t>3.833.206.450</w:t>
            </w:r>
          </w:p>
        </w:tc>
        <w:tc>
          <w:tcPr>
            <w:tcW w:w="1280" w:type="dxa"/>
            <w:tcBorders>
              <w:top w:val="nil"/>
              <w:left w:val="nil"/>
              <w:bottom w:val="single" w:sz="4" w:space="0" w:color="auto"/>
              <w:right w:val="single" w:sz="4" w:space="0" w:color="auto"/>
            </w:tcBorders>
            <w:shd w:val="clear" w:color="auto" w:fill="F2F2F2" w:themeFill="background1" w:themeFillShade="F2"/>
            <w:vAlign w:val="center"/>
          </w:tcPr>
          <w:p w14:paraId="26F53012" w14:textId="5A89985F" w:rsidR="00D969F3" w:rsidRPr="00D969F3" w:rsidRDefault="00D969F3" w:rsidP="00D969F3">
            <w:pPr>
              <w:spacing w:after="0" w:line="240" w:lineRule="auto"/>
              <w:jc w:val="right"/>
              <w:rPr>
                <w:rFonts w:ascii="Arial" w:eastAsia="Times New Roman" w:hAnsi="Arial" w:cs="Arial"/>
                <w:b/>
                <w:bCs/>
                <w:color w:val="000000"/>
                <w:sz w:val="18"/>
                <w:szCs w:val="18"/>
                <w:lang w:eastAsia="sl-SI"/>
              </w:rPr>
            </w:pPr>
            <w:r w:rsidRPr="00D969F3">
              <w:rPr>
                <w:rFonts w:ascii="Arial" w:eastAsia="Times New Roman" w:hAnsi="Arial" w:cs="Arial"/>
                <w:b/>
                <w:bCs/>
                <w:color w:val="000000"/>
                <w:sz w:val="18"/>
                <w:szCs w:val="18"/>
                <w:lang w:eastAsia="sl-SI"/>
              </w:rPr>
              <w:t>1.604</w:t>
            </w:r>
          </w:p>
        </w:tc>
        <w:tc>
          <w:tcPr>
            <w:tcW w:w="1940" w:type="dxa"/>
            <w:tcBorders>
              <w:top w:val="nil"/>
              <w:left w:val="nil"/>
              <w:bottom w:val="single" w:sz="4" w:space="0" w:color="auto"/>
              <w:right w:val="single" w:sz="4" w:space="0" w:color="auto"/>
            </w:tcBorders>
            <w:shd w:val="clear" w:color="auto" w:fill="F2F2F2" w:themeFill="background1" w:themeFillShade="F2"/>
            <w:vAlign w:val="center"/>
          </w:tcPr>
          <w:p w14:paraId="2741D977" w14:textId="0BFFC9AC" w:rsidR="00D969F3" w:rsidRPr="00D969F3" w:rsidRDefault="00D969F3" w:rsidP="00D969F3">
            <w:pPr>
              <w:spacing w:after="0" w:line="240" w:lineRule="auto"/>
              <w:jc w:val="right"/>
              <w:rPr>
                <w:rFonts w:ascii="Arial" w:eastAsia="Times New Roman" w:hAnsi="Arial" w:cs="Arial"/>
                <w:b/>
                <w:bCs/>
                <w:color w:val="000000"/>
                <w:sz w:val="18"/>
                <w:szCs w:val="18"/>
                <w:lang w:eastAsia="sl-SI"/>
              </w:rPr>
            </w:pPr>
            <w:r w:rsidRPr="00D969F3">
              <w:rPr>
                <w:rFonts w:ascii="Arial" w:eastAsia="Times New Roman" w:hAnsi="Arial" w:cs="Arial"/>
                <w:b/>
                <w:bCs/>
                <w:color w:val="000000"/>
                <w:sz w:val="18"/>
                <w:szCs w:val="18"/>
                <w:lang w:eastAsia="sl-SI"/>
              </w:rPr>
              <w:t>1.583.899.452</w:t>
            </w:r>
          </w:p>
        </w:tc>
      </w:tr>
    </w:tbl>
    <w:p w14:paraId="5C0B9BC6" w14:textId="4463EEC5" w:rsidR="00865254" w:rsidRPr="006401CF" w:rsidRDefault="00865254" w:rsidP="00865254">
      <w:pPr>
        <w:spacing w:after="0" w:line="240" w:lineRule="auto"/>
        <w:jc w:val="both"/>
        <w:rPr>
          <w:rFonts w:ascii="Arial" w:hAnsi="Arial" w:cs="Arial"/>
          <w:sz w:val="20"/>
        </w:rPr>
      </w:pPr>
    </w:p>
    <w:p w14:paraId="601898F5" w14:textId="7539E575" w:rsidR="008354FC" w:rsidRPr="006401CF" w:rsidRDefault="008354FC" w:rsidP="00701C10">
      <w:pPr>
        <w:spacing w:after="240" w:line="240" w:lineRule="auto"/>
        <w:jc w:val="center"/>
        <w:rPr>
          <w:rFonts w:ascii="Arial" w:hAnsi="Arial" w:cs="Arial"/>
          <w:sz w:val="18"/>
        </w:rPr>
      </w:pPr>
      <w:r w:rsidRPr="006401CF">
        <w:rPr>
          <w:rFonts w:ascii="Arial" w:hAnsi="Arial" w:cs="Arial"/>
          <w:sz w:val="18"/>
        </w:rPr>
        <w:t>Vir: Statistični podatki o javni</w:t>
      </w:r>
      <w:r w:rsidR="00E74372" w:rsidRPr="006401CF">
        <w:rPr>
          <w:rFonts w:ascii="Arial" w:hAnsi="Arial" w:cs="Arial"/>
          <w:sz w:val="18"/>
        </w:rPr>
        <w:t>h naročilih, oddanih v letu 20</w:t>
      </w:r>
      <w:r w:rsidR="00865254" w:rsidRPr="006401CF">
        <w:rPr>
          <w:rFonts w:ascii="Arial" w:hAnsi="Arial" w:cs="Arial"/>
          <w:sz w:val="18"/>
        </w:rPr>
        <w:t>2</w:t>
      </w:r>
      <w:r w:rsidR="006401CF" w:rsidRPr="006401CF">
        <w:rPr>
          <w:rFonts w:ascii="Arial" w:hAnsi="Arial" w:cs="Arial"/>
          <w:sz w:val="18"/>
        </w:rPr>
        <w:t>2</w:t>
      </w:r>
      <w:r w:rsidR="00970F15" w:rsidRPr="006401CF">
        <w:rPr>
          <w:rFonts w:ascii="Arial" w:hAnsi="Arial" w:cs="Arial"/>
          <w:sz w:val="18"/>
        </w:rPr>
        <w:t>.</w:t>
      </w:r>
    </w:p>
    <w:p w14:paraId="7644EEFA" w14:textId="5A1F3BF2" w:rsidR="00E426BE" w:rsidRPr="006401CF" w:rsidRDefault="00E426BE" w:rsidP="002A1622">
      <w:pPr>
        <w:tabs>
          <w:tab w:val="left" w:pos="567"/>
          <w:tab w:val="left" w:pos="993"/>
        </w:tabs>
        <w:spacing w:line="360" w:lineRule="auto"/>
        <w:jc w:val="both"/>
        <w:rPr>
          <w:rFonts w:ascii="Arial" w:hAnsi="Arial" w:cs="Arial"/>
          <w:sz w:val="20"/>
          <w:szCs w:val="20"/>
        </w:rPr>
      </w:pPr>
      <w:r w:rsidRPr="006401CF">
        <w:rPr>
          <w:rFonts w:ascii="Arial" w:hAnsi="Arial" w:cs="Arial"/>
          <w:sz w:val="20"/>
          <w:szCs w:val="20"/>
        </w:rPr>
        <w:t>Iz spodnje preglednice je razvidno, da je v postopkih, v katerih je bilo vključenih več naročil, konkurenčnost večja.</w:t>
      </w:r>
    </w:p>
    <w:p w14:paraId="3891D97E" w14:textId="77777777" w:rsidR="00F11E69" w:rsidRDefault="00F11E69">
      <w:pPr>
        <w:rPr>
          <w:rFonts w:ascii="Arial" w:hAnsi="Arial" w:cs="Arial"/>
          <w:sz w:val="20"/>
        </w:rPr>
      </w:pPr>
      <w:r>
        <w:rPr>
          <w:rFonts w:ascii="Arial" w:hAnsi="Arial" w:cs="Arial"/>
          <w:sz w:val="20"/>
        </w:rPr>
        <w:br w:type="page"/>
      </w:r>
    </w:p>
    <w:p w14:paraId="7C29CA70" w14:textId="402A79DD" w:rsidR="00E426BE" w:rsidRPr="0041637C" w:rsidRDefault="00E426BE" w:rsidP="00E426BE">
      <w:pPr>
        <w:spacing w:before="120" w:after="120" w:line="240" w:lineRule="auto"/>
        <w:jc w:val="both"/>
        <w:rPr>
          <w:rFonts w:ascii="Arial" w:hAnsi="Arial" w:cs="Arial"/>
          <w:sz w:val="20"/>
        </w:rPr>
      </w:pPr>
      <w:r w:rsidRPr="0041637C">
        <w:rPr>
          <w:rFonts w:ascii="Arial" w:hAnsi="Arial" w:cs="Arial"/>
          <w:sz w:val="20"/>
        </w:rPr>
        <w:lastRenderedPageBreak/>
        <w:t xml:space="preserve">Preglednica </w:t>
      </w:r>
      <w:r w:rsidR="00512F52" w:rsidRPr="0041637C">
        <w:rPr>
          <w:rFonts w:ascii="Arial" w:hAnsi="Arial" w:cs="Arial"/>
          <w:sz w:val="20"/>
        </w:rPr>
        <w:t>3</w:t>
      </w:r>
      <w:r w:rsidR="00274CE8" w:rsidRPr="0041637C">
        <w:rPr>
          <w:rFonts w:ascii="Arial" w:hAnsi="Arial" w:cs="Arial"/>
          <w:sz w:val="20"/>
        </w:rPr>
        <w:t>2</w:t>
      </w:r>
      <w:r w:rsidRPr="0041637C">
        <w:rPr>
          <w:rFonts w:ascii="Arial" w:hAnsi="Arial" w:cs="Arial"/>
          <w:sz w:val="20"/>
        </w:rPr>
        <w:t xml:space="preserve">: Število in deleži </w:t>
      </w:r>
      <w:r w:rsidR="003972E1" w:rsidRPr="0041637C">
        <w:rPr>
          <w:rFonts w:ascii="Arial" w:hAnsi="Arial" w:cs="Arial"/>
          <w:sz w:val="20"/>
        </w:rPr>
        <w:t>postopkov</w:t>
      </w:r>
      <w:r w:rsidRPr="0041637C">
        <w:rPr>
          <w:rFonts w:ascii="Arial" w:hAnsi="Arial" w:cs="Arial"/>
          <w:sz w:val="20"/>
        </w:rPr>
        <w:t xml:space="preserve"> z eno </w:t>
      </w:r>
      <w:r w:rsidR="003972E1" w:rsidRPr="0041637C">
        <w:rPr>
          <w:rFonts w:ascii="Arial" w:hAnsi="Arial" w:cs="Arial"/>
          <w:sz w:val="20"/>
        </w:rPr>
        <w:t>ali več prejetimi</w:t>
      </w:r>
      <w:r w:rsidRPr="0041637C">
        <w:rPr>
          <w:rFonts w:ascii="Arial" w:hAnsi="Arial" w:cs="Arial"/>
          <w:sz w:val="20"/>
        </w:rPr>
        <w:t xml:space="preserve"> ponudb</w:t>
      </w:r>
      <w:r w:rsidR="003972E1" w:rsidRPr="0041637C">
        <w:rPr>
          <w:rFonts w:ascii="Arial" w:hAnsi="Arial" w:cs="Arial"/>
          <w:sz w:val="20"/>
        </w:rPr>
        <w:t>ami</w:t>
      </w:r>
      <w:r w:rsidRPr="0041637C">
        <w:rPr>
          <w:rFonts w:ascii="Arial" w:hAnsi="Arial" w:cs="Arial"/>
          <w:sz w:val="20"/>
        </w:rPr>
        <w:t xml:space="preserve"> v postopkih z enim </w:t>
      </w:r>
      <w:r w:rsidR="007A3E35" w:rsidRPr="0041637C">
        <w:rPr>
          <w:rFonts w:ascii="Arial" w:hAnsi="Arial" w:cs="Arial"/>
          <w:sz w:val="20"/>
        </w:rPr>
        <w:t>ali</w:t>
      </w:r>
      <w:r w:rsidR="003972E1" w:rsidRPr="0041637C">
        <w:rPr>
          <w:rFonts w:ascii="Arial" w:hAnsi="Arial" w:cs="Arial"/>
          <w:sz w:val="20"/>
        </w:rPr>
        <w:t xml:space="preserve"> več </w:t>
      </w:r>
      <w:r w:rsidRPr="0041637C">
        <w:rPr>
          <w:rFonts w:ascii="Arial" w:hAnsi="Arial" w:cs="Arial"/>
          <w:sz w:val="20"/>
        </w:rPr>
        <w:t>naročil</w:t>
      </w:r>
      <w:r w:rsidR="007A3E35" w:rsidRPr="0041637C">
        <w:rPr>
          <w:rFonts w:ascii="Arial" w:hAnsi="Arial" w:cs="Arial"/>
          <w:sz w:val="20"/>
        </w:rPr>
        <w:t>i</w:t>
      </w:r>
      <w:r w:rsidRPr="0041637C">
        <w:rPr>
          <w:rFonts w:ascii="Arial" w:hAnsi="Arial" w:cs="Arial"/>
          <w:sz w:val="20"/>
        </w:rPr>
        <w:t xml:space="preserve"> </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99"/>
        <w:gridCol w:w="961"/>
        <w:gridCol w:w="1160"/>
        <w:gridCol w:w="1380"/>
      </w:tblGrid>
      <w:tr w:rsidR="00E425F1" w:rsidRPr="00A81EBA" w14:paraId="5DACFB20" w14:textId="77777777" w:rsidTr="00C34ECE">
        <w:trPr>
          <w:trHeight w:val="255"/>
          <w:jc w:val="center"/>
        </w:trPr>
        <w:tc>
          <w:tcPr>
            <w:tcW w:w="4999" w:type="dxa"/>
            <w:shd w:val="clear" w:color="auto" w:fill="F2F2F2" w:themeFill="background1" w:themeFillShade="F2"/>
            <w:vAlign w:val="center"/>
            <w:hideMark/>
          </w:tcPr>
          <w:p w14:paraId="0C98F1AD" w14:textId="77777777" w:rsidR="00E425F1" w:rsidRPr="0041637C" w:rsidRDefault="00E425F1" w:rsidP="00E425F1">
            <w:pPr>
              <w:spacing w:after="0" w:line="240" w:lineRule="auto"/>
              <w:jc w:val="center"/>
              <w:rPr>
                <w:rFonts w:ascii="Arial" w:eastAsia="Times New Roman" w:hAnsi="Arial" w:cs="Arial"/>
                <w:color w:val="000000"/>
                <w:sz w:val="18"/>
                <w:szCs w:val="18"/>
                <w:lang w:eastAsia="sl-SI"/>
              </w:rPr>
            </w:pPr>
            <w:r w:rsidRPr="0041637C">
              <w:rPr>
                <w:rFonts w:ascii="Arial" w:eastAsia="Times New Roman" w:hAnsi="Arial" w:cs="Arial"/>
                <w:color w:val="000000"/>
                <w:sz w:val="18"/>
                <w:szCs w:val="18"/>
                <w:lang w:eastAsia="sl-SI"/>
              </w:rPr>
              <w:t>Delitev postopkov na naročila in št. prejetih ponudb</w:t>
            </w:r>
          </w:p>
        </w:tc>
        <w:tc>
          <w:tcPr>
            <w:tcW w:w="961" w:type="dxa"/>
            <w:shd w:val="clear" w:color="auto" w:fill="F2F2F2" w:themeFill="background1" w:themeFillShade="F2"/>
            <w:vAlign w:val="center"/>
            <w:hideMark/>
          </w:tcPr>
          <w:p w14:paraId="627C3AF5" w14:textId="59BEF6D2" w:rsidR="00E425F1" w:rsidRPr="0041637C" w:rsidRDefault="00E425F1" w:rsidP="00E425F1">
            <w:pPr>
              <w:spacing w:after="0" w:line="240" w:lineRule="auto"/>
              <w:jc w:val="center"/>
              <w:rPr>
                <w:rFonts w:ascii="Arial" w:eastAsia="Times New Roman" w:hAnsi="Arial" w:cs="Arial"/>
                <w:color w:val="000000"/>
                <w:sz w:val="18"/>
                <w:szCs w:val="18"/>
                <w:lang w:eastAsia="sl-SI"/>
              </w:rPr>
            </w:pPr>
            <w:r w:rsidRPr="0041637C">
              <w:rPr>
                <w:rFonts w:ascii="Arial" w:eastAsia="Times New Roman" w:hAnsi="Arial" w:cs="Arial"/>
                <w:color w:val="000000"/>
                <w:sz w:val="18"/>
                <w:szCs w:val="18"/>
                <w:lang w:eastAsia="sl-SI"/>
              </w:rPr>
              <w:t>Št</w:t>
            </w:r>
            <w:r w:rsidR="00ED4F85" w:rsidRPr="0041637C">
              <w:rPr>
                <w:rFonts w:ascii="Arial" w:eastAsia="Times New Roman" w:hAnsi="Arial" w:cs="Arial"/>
                <w:color w:val="000000"/>
                <w:sz w:val="18"/>
                <w:szCs w:val="18"/>
                <w:lang w:eastAsia="sl-SI"/>
              </w:rPr>
              <w:t>.</w:t>
            </w:r>
            <w:r w:rsidRPr="0041637C">
              <w:rPr>
                <w:rFonts w:ascii="Arial" w:eastAsia="Times New Roman" w:hAnsi="Arial" w:cs="Arial"/>
                <w:color w:val="000000"/>
                <w:sz w:val="18"/>
                <w:szCs w:val="18"/>
                <w:lang w:eastAsia="sl-SI"/>
              </w:rPr>
              <w:t xml:space="preserve"> postopkov</w:t>
            </w:r>
          </w:p>
        </w:tc>
        <w:tc>
          <w:tcPr>
            <w:tcW w:w="1160" w:type="dxa"/>
            <w:shd w:val="clear" w:color="auto" w:fill="F2F2F2" w:themeFill="background1" w:themeFillShade="F2"/>
            <w:vAlign w:val="center"/>
            <w:hideMark/>
          </w:tcPr>
          <w:p w14:paraId="52EEC349" w14:textId="77777777" w:rsidR="00E425F1" w:rsidRPr="00A81EBA" w:rsidRDefault="00E425F1" w:rsidP="00E425F1">
            <w:pPr>
              <w:spacing w:after="0" w:line="240" w:lineRule="auto"/>
              <w:jc w:val="center"/>
              <w:rPr>
                <w:rFonts w:ascii="Arial" w:eastAsia="Times New Roman" w:hAnsi="Arial" w:cs="Arial"/>
                <w:color w:val="000000"/>
                <w:sz w:val="18"/>
                <w:szCs w:val="18"/>
                <w:lang w:eastAsia="sl-SI"/>
              </w:rPr>
            </w:pPr>
            <w:r w:rsidRPr="00A81EBA">
              <w:rPr>
                <w:rFonts w:ascii="Arial" w:eastAsia="Times New Roman" w:hAnsi="Arial" w:cs="Arial"/>
                <w:color w:val="000000"/>
                <w:sz w:val="18"/>
                <w:szCs w:val="18"/>
                <w:lang w:eastAsia="sl-SI"/>
              </w:rPr>
              <w:t>Delež v št. postopkov</w:t>
            </w:r>
          </w:p>
        </w:tc>
        <w:tc>
          <w:tcPr>
            <w:tcW w:w="1380" w:type="dxa"/>
            <w:shd w:val="clear" w:color="auto" w:fill="F2F2F2" w:themeFill="background1" w:themeFillShade="F2"/>
            <w:vAlign w:val="center"/>
            <w:hideMark/>
          </w:tcPr>
          <w:p w14:paraId="2CC6B225" w14:textId="77777777" w:rsidR="00E425F1" w:rsidRPr="00A81EBA" w:rsidRDefault="00E425F1" w:rsidP="00E425F1">
            <w:pPr>
              <w:spacing w:after="0" w:line="240" w:lineRule="auto"/>
              <w:jc w:val="center"/>
              <w:rPr>
                <w:rFonts w:ascii="Arial" w:eastAsia="Times New Roman" w:hAnsi="Arial" w:cs="Arial"/>
                <w:color w:val="000000"/>
                <w:sz w:val="18"/>
                <w:szCs w:val="18"/>
                <w:lang w:eastAsia="sl-SI"/>
              </w:rPr>
            </w:pPr>
            <w:r w:rsidRPr="00A81EBA">
              <w:rPr>
                <w:rFonts w:ascii="Arial" w:eastAsia="Times New Roman" w:hAnsi="Arial" w:cs="Arial"/>
                <w:color w:val="000000"/>
                <w:sz w:val="18"/>
                <w:szCs w:val="18"/>
                <w:lang w:eastAsia="sl-SI"/>
              </w:rPr>
              <w:t>Delež v št. vseh postopkov</w:t>
            </w:r>
          </w:p>
        </w:tc>
      </w:tr>
      <w:tr w:rsidR="006401CF" w:rsidRPr="006401CF" w14:paraId="4547ACD4" w14:textId="77777777" w:rsidTr="006401CF">
        <w:trPr>
          <w:trHeight w:val="255"/>
          <w:jc w:val="center"/>
        </w:trPr>
        <w:tc>
          <w:tcPr>
            <w:tcW w:w="4999" w:type="dxa"/>
            <w:shd w:val="clear" w:color="auto" w:fill="auto"/>
            <w:vAlign w:val="center"/>
            <w:hideMark/>
          </w:tcPr>
          <w:p w14:paraId="502AD19E" w14:textId="77777777" w:rsidR="006401CF" w:rsidRPr="006401CF" w:rsidRDefault="006401CF" w:rsidP="006401CF">
            <w:pPr>
              <w:spacing w:after="0" w:line="240" w:lineRule="auto"/>
              <w:rPr>
                <w:rFonts w:ascii="Arial" w:eastAsia="Times New Roman" w:hAnsi="Arial" w:cs="Arial"/>
                <w:color w:val="000000"/>
                <w:sz w:val="18"/>
                <w:szCs w:val="18"/>
                <w:lang w:eastAsia="sl-SI"/>
              </w:rPr>
            </w:pPr>
            <w:r w:rsidRPr="006401CF">
              <w:rPr>
                <w:rFonts w:ascii="Arial" w:eastAsia="Times New Roman" w:hAnsi="Arial" w:cs="Arial"/>
                <w:color w:val="000000"/>
                <w:sz w:val="18"/>
                <w:szCs w:val="18"/>
                <w:lang w:eastAsia="sl-SI"/>
              </w:rPr>
              <w:t xml:space="preserve">Postopek z enim naročilom </w:t>
            </w:r>
            <w:r w:rsidRPr="006401CF">
              <w:rPr>
                <w:rFonts w:ascii="Symbol" w:eastAsia="Times New Roman" w:hAnsi="Symbol" w:cs="Arial"/>
                <w:color w:val="000000"/>
                <w:sz w:val="18"/>
                <w:szCs w:val="18"/>
                <w:lang w:eastAsia="sl-SI"/>
              </w:rPr>
              <w:t></w:t>
            </w:r>
            <w:r w:rsidRPr="006401CF">
              <w:rPr>
                <w:rFonts w:ascii="Arial" w:eastAsia="Times New Roman" w:hAnsi="Arial" w:cs="Arial"/>
                <w:color w:val="000000"/>
                <w:sz w:val="18"/>
                <w:szCs w:val="18"/>
                <w:lang w:eastAsia="sl-SI"/>
              </w:rPr>
              <w:t xml:space="preserve"> prejeta ena ponudba</w:t>
            </w:r>
          </w:p>
        </w:tc>
        <w:tc>
          <w:tcPr>
            <w:tcW w:w="961" w:type="dxa"/>
            <w:shd w:val="clear" w:color="auto" w:fill="auto"/>
            <w:vAlign w:val="center"/>
            <w:hideMark/>
          </w:tcPr>
          <w:p w14:paraId="15B86FD2" w14:textId="76B5F58F" w:rsidR="006401CF" w:rsidRPr="006401CF" w:rsidRDefault="006401CF" w:rsidP="006401CF">
            <w:pPr>
              <w:spacing w:after="0" w:line="240" w:lineRule="auto"/>
              <w:jc w:val="right"/>
              <w:rPr>
                <w:rFonts w:ascii="Arial" w:eastAsia="Times New Roman" w:hAnsi="Arial" w:cs="Arial"/>
                <w:color w:val="000000"/>
                <w:sz w:val="18"/>
                <w:szCs w:val="18"/>
                <w:lang w:eastAsia="sl-SI"/>
              </w:rPr>
            </w:pPr>
            <w:r w:rsidRPr="006401CF">
              <w:rPr>
                <w:rFonts w:ascii="Arial" w:eastAsia="Times New Roman" w:hAnsi="Arial" w:cs="Arial"/>
                <w:color w:val="000000"/>
                <w:sz w:val="18"/>
                <w:szCs w:val="18"/>
                <w:lang w:eastAsia="sl-SI"/>
              </w:rPr>
              <w:t>2.876</w:t>
            </w:r>
          </w:p>
        </w:tc>
        <w:tc>
          <w:tcPr>
            <w:tcW w:w="1160" w:type="dxa"/>
            <w:shd w:val="clear" w:color="auto" w:fill="auto"/>
            <w:vAlign w:val="center"/>
            <w:hideMark/>
          </w:tcPr>
          <w:p w14:paraId="5FA68176" w14:textId="2610D281" w:rsidR="006401CF" w:rsidRPr="006401CF" w:rsidRDefault="006401CF" w:rsidP="006401CF">
            <w:pPr>
              <w:spacing w:after="0" w:line="240" w:lineRule="auto"/>
              <w:jc w:val="right"/>
              <w:rPr>
                <w:rFonts w:ascii="Arial" w:eastAsia="Times New Roman" w:hAnsi="Arial" w:cs="Arial"/>
                <w:color w:val="000000"/>
                <w:sz w:val="18"/>
                <w:szCs w:val="18"/>
                <w:lang w:eastAsia="sl-SI"/>
              </w:rPr>
            </w:pPr>
            <w:r w:rsidRPr="006401CF">
              <w:rPr>
                <w:rFonts w:ascii="Arial" w:eastAsia="Times New Roman" w:hAnsi="Arial" w:cs="Arial"/>
                <w:color w:val="000000"/>
                <w:sz w:val="18"/>
                <w:szCs w:val="18"/>
                <w:lang w:eastAsia="sl-SI"/>
              </w:rPr>
              <w:t>56,20 %</w:t>
            </w:r>
          </w:p>
        </w:tc>
        <w:tc>
          <w:tcPr>
            <w:tcW w:w="1380" w:type="dxa"/>
            <w:vMerge w:val="restart"/>
            <w:shd w:val="clear" w:color="auto" w:fill="auto"/>
            <w:vAlign w:val="center"/>
            <w:hideMark/>
          </w:tcPr>
          <w:p w14:paraId="68AC158A" w14:textId="22BD5FD4" w:rsidR="006401CF" w:rsidRPr="006401CF" w:rsidRDefault="006401CF" w:rsidP="006401CF">
            <w:pPr>
              <w:spacing w:after="0" w:line="240" w:lineRule="auto"/>
              <w:jc w:val="center"/>
              <w:rPr>
                <w:rFonts w:ascii="Arial" w:eastAsia="Times New Roman" w:hAnsi="Arial" w:cs="Arial"/>
                <w:b/>
                <w:bCs/>
                <w:color w:val="000000"/>
                <w:sz w:val="18"/>
                <w:szCs w:val="18"/>
                <w:lang w:eastAsia="sl-SI"/>
              </w:rPr>
            </w:pPr>
            <w:r w:rsidRPr="006401CF">
              <w:rPr>
                <w:rFonts w:ascii="Arial" w:eastAsia="Times New Roman" w:hAnsi="Arial" w:cs="Arial"/>
                <w:b/>
                <w:bCs/>
                <w:color w:val="000000"/>
                <w:sz w:val="18"/>
                <w:szCs w:val="18"/>
                <w:lang w:eastAsia="sl-SI"/>
              </w:rPr>
              <w:t>76,13</w:t>
            </w:r>
            <w:r>
              <w:rPr>
                <w:rFonts w:ascii="Arial" w:eastAsia="Times New Roman" w:hAnsi="Arial" w:cs="Arial"/>
                <w:b/>
                <w:bCs/>
                <w:color w:val="000000"/>
                <w:sz w:val="18"/>
                <w:szCs w:val="18"/>
                <w:lang w:eastAsia="sl-SI"/>
              </w:rPr>
              <w:t xml:space="preserve"> </w:t>
            </w:r>
            <w:r w:rsidRPr="006401CF">
              <w:rPr>
                <w:rFonts w:ascii="Arial" w:eastAsia="Times New Roman" w:hAnsi="Arial" w:cs="Arial"/>
                <w:b/>
                <w:bCs/>
                <w:color w:val="000000"/>
                <w:sz w:val="18"/>
                <w:szCs w:val="18"/>
                <w:lang w:eastAsia="sl-SI"/>
              </w:rPr>
              <w:t>%</w:t>
            </w:r>
          </w:p>
          <w:p w14:paraId="11C17239" w14:textId="6C4686BE" w:rsidR="006401CF" w:rsidRPr="006401CF" w:rsidRDefault="006401CF" w:rsidP="006401CF">
            <w:pPr>
              <w:spacing w:after="0" w:line="240" w:lineRule="auto"/>
              <w:jc w:val="center"/>
              <w:rPr>
                <w:rFonts w:ascii="Arial" w:eastAsia="Times New Roman" w:hAnsi="Arial" w:cs="Arial"/>
                <w:color w:val="000000"/>
                <w:sz w:val="18"/>
                <w:szCs w:val="18"/>
                <w:lang w:eastAsia="sl-SI"/>
              </w:rPr>
            </w:pPr>
          </w:p>
        </w:tc>
      </w:tr>
      <w:tr w:rsidR="006401CF" w:rsidRPr="006401CF" w14:paraId="67EB60B7" w14:textId="77777777" w:rsidTr="006401CF">
        <w:trPr>
          <w:trHeight w:val="255"/>
          <w:jc w:val="center"/>
        </w:trPr>
        <w:tc>
          <w:tcPr>
            <w:tcW w:w="4999" w:type="dxa"/>
            <w:shd w:val="clear" w:color="auto" w:fill="auto"/>
            <w:vAlign w:val="center"/>
            <w:hideMark/>
          </w:tcPr>
          <w:p w14:paraId="69BE1CBA" w14:textId="77777777" w:rsidR="006401CF" w:rsidRPr="006401CF" w:rsidRDefault="006401CF" w:rsidP="006401CF">
            <w:pPr>
              <w:spacing w:after="0" w:line="240" w:lineRule="auto"/>
              <w:rPr>
                <w:rFonts w:ascii="Arial" w:eastAsia="Times New Roman" w:hAnsi="Arial" w:cs="Arial"/>
                <w:color w:val="000000"/>
                <w:sz w:val="18"/>
                <w:szCs w:val="18"/>
                <w:lang w:eastAsia="sl-SI"/>
              </w:rPr>
            </w:pPr>
            <w:r w:rsidRPr="006401CF">
              <w:rPr>
                <w:rFonts w:ascii="Arial" w:eastAsia="Times New Roman" w:hAnsi="Arial" w:cs="Arial"/>
                <w:color w:val="000000"/>
                <w:sz w:val="18"/>
                <w:szCs w:val="18"/>
                <w:lang w:eastAsia="sl-SI"/>
              </w:rPr>
              <w:t xml:space="preserve">Postopek z enim naročilom </w:t>
            </w:r>
            <w:r w:rsidRPr="006401CF">
              <w:rPr>
                <w:rFonts w:ascii="Symbol" w:eastAsia="Times New Roman" w:hAnsi="Symbol" w:cs="Arial"/>
                <w:color w:val="000000"/>
                <w:sz w:val="18"/>
                <w:szCs w:val="18"/>
                <w:lang w:eastAsia="sl-SI"/>
              </w:rPr>
              <w:t></w:t>
            </w:r>
            <w:r w:rsidRPr="006401CF">
              <w:rPr>
                <w:rFonts w:ascii="Arial" w:eastAsia="Times New Roman" w:hAnsi="Arial" w:cs="Arial"/>
                <w:color w:val="000000"/>
                <w:sz w:val="18"/>
                <w:szCs w:val="18"/>
                <w:lang w:eastAsia="sl-SI"/>
              </w:rPr>
              <w:t xml:space="preserve"> prejetih več ponudb</w:t>
            </w:r>
          </w:p>
        </w:tc>
        <w:tc>
          <w:tcPr>
            <w:tcW w:w="961" w:type="dxa"/>
            <w:shd w:val="clear" w:color="auto" w:fill="auto"/>
            <w:vAlign w:val="center"/>
            <w:hideMark/>
          </w:tcPr>
          <w:p w14:paraId="3D60F1FF" w14:textId="7F58E1D0" w:rsidR="006401CF" w:rsidRPr="006401CF" w:rsidRDefault="006401CF" w:rsidP="006401CF">
            <w:pPr>
              <w:spacing w:after="0" w:line="240" w:lineRule="auto"/>
              <w:jc w:val="right"/>
              <w:rPr>
                <w:rFonts w:ascii="Arial" w:eastAsia="Times New Roman" w:hAnsi="Arial" w:cs="Arial"/>
                <w:color w:val="000000"/>
                <w:sz w:val="18"/>
                <w:szCs w:val="18"/>
                <w:lang w:eastAsia="sl-SI"/>
              </w:rPr>
            </w:pPr>
            <w:r w:rsidRPr="006401CF">
              <w:rPr>
                <w:rFonts w:ascii="Arial" w:eastAsia="Times New Roman" w:hAnsi="Arial" w:cs="Arial"/>
                <w:color w:val="000000"/>
                <w:sz w:val="18"/>
                <w:szCs w:val="18"/>
                <w:lang w:eastAsia="sl-SI"/>
              </w:rPr>
              <w:t>2.241</w:t>
            </w:r>
          </w:p>
        </w:tc>
        <w:tc>
          <w:tcPr>
            <w:tcW w:w="1160" w:type="dxa"/>
            <w:shd w:val="clear" w:color="auto" w:fill="auto"/>
            <w:vAlign w:val="center"/>
            <w:hideMark/>
          </w:tcPr>
          <w:p w14:paraId="4B30A917" w14:textId="6E68551C" w:rsidR="006401CF" w:rsidRPr="006401CF" w:rsidRDefault="006401CF" w:rsidP="006401CF">
            <w:pPr>
              <w:spacing w:after="0" w:line="240" w:lineRule="auto"/>
              <w:jc w:val="right"/>
              <w:rPr>
                <w:rFonts w:ascii="Arial" w:eastAsia="Times New Roman" w:hAnsi="Arial" w:cs="Arial"/>
                <w:color w:val="000000"/>
                <w:sz w:val="18"/>
                <w:szCs w:val="18"/>
                <w:lang w:eastAsia="sl-SI"/>
              </w:rPr>
            </w:pPr>
            <w:r w:rsidRPr="006401CF">
              <w:rPr>
                <w:rFonts w:ascii="Arial" w:eastAsia="Times New Roman" w:hAnsi="Arial" w:cs="Arial"/>
                <w:color w:val="000000"/>
                <w:sz w:val="18"/>
                <w:szCs w:val="18"/>
                <w:lang w:eastAsia="sl-SI"/>
              </w:rPr>
              <w:t>43,80 %</w:t>
            </w:r>
          </w:p>
        </w:tc>
        <w:tc>
          <w:tcPr>
            <w:tcW w:w="1380" w:type="dxa"/>
            <w:vMerge/>
            <w:vAlign w:val="center"/>
            <w:hideMark/>
          </w:tcPr>
          <w:p w14:paraId="24D3AEF3" w14:textId="77777777" w:rsidR="006401CF" w:rsidRPr="006401CF" w:rsidRDefault="006401CF" w:rsidP="006401CF">
            <w:pPr>
              <w:spacing w:after="0" w:line="240" w:lineRule="auto"/>
              <w:jc w:val="right"/>
              <w:rPr>
                <w:rFonts w:ascii="Arial" w:eastAsia="Times New Roman" w:hAnsi="Arial" w:cs="Arial"/>
                <w:color w:val="000000"/>
                <w:sz w:val="18"/>
                <w:szCs w:val="18"/>
                <w:lang w:eastAsia="sl-SI"/>
              </w:rPr>
            </w:pPr>
          </w:p>
        </w:tc>
      </w:tr>
      <w:tr w:rsidR="006401CF" w:rsidRPr="006401CF" w14:paraId="3F06515E" w14:textId="77777777" w:rsidTr="006401CF">
        <w:trPr>
          <w:trHeight w:val="255"/>
          <w:jc w:val="center"/>
        </w:trPr>
        <w:tc>
          <w:tcPr>
            <w:tcW w:w="4999" w:type="dxa"/>
            <w:shd w:val="clear" w:color="auto" w:fill="auto"/>
            <w:vAlign w:val="center"/>
            <w:hideMark/>
          </w:tcPr>
          <w:p w14:paraId="4BEA2E69" w14:textId="77777777" w:rsidR="006401CF" w:rsidRPr="006401CF" w:rsidRDefault="006401CF" w:rsidP="006401CF">
            <w:pPr>
              <w:spacing w:after="0" w:line="240" w:lineRule="auto"/>
              <w:rPr>
                <w:rFonts w:ascii="Arial" w:eastAsia="Times New Roman" w:hAnsi="Arial" w:cs="Arial"/>
                <w:b/>
                <w:bCs/>
                <w:color w:val="000000"/>
                <w:sz w:val="18"/>
                <w:szCs w:val="18"/>
                <w:lang w:eastAsia="sl-SI"/>
              </w:rPr>
            </w:pPr>
            <w:r w:rsidRPr="006401CF">
              <w:rPr>
                <w:rFonts w:ascii="Arial" w:eastAsia="Times New Roman" w:hAnsi="Arial" w:cs="Arial"/>
                <w:b/>
                <w:bCs/>
                <w:color w:val="000000"/>
                <w:sz w:val="18"/>
                <w:szCs w:val="18"/>
                <w:lang w:eastAsia="sl-SI"/>
              </w:rPr>
              <w:t xml:space="preserve">Skupaj </w:t>
            </w:r>
          </w:p>
        </w:tc>
        <w:tc>
          <w:tcPr>
            <w:tcW w:w="961" w:type="dxa"/>
            <w:shd w:val="clear" w:color="auto" w:fill="auto"/>
            <w:vAlign w:val="center"/>
            <w:hideMark/>
          </w:tcPr>
          <w:p w14:paraId="72035B7E" w14:textId="6B69A54F" w:rsidR="006401CF" w:rsidRPr="006401CF" w:rsidRDefault="006401CF" w:rsidP="006401CF">
            <w:pPr>
              <w:spacing w:after="0" w:line="240" w:lineRule="auto"/>
              <w:jc w:val="right"/>
              <w:rPr>
                <w:rFonts w:ascii="Arial" w:eastAsia="Times New Roman" w:hAnsi="Arial" w:cs="Arial"/>
                <w:b/>
                <w:bCs/>
                <w:color w:val="000000"/>
                <w:sz w:val="18"/>
                <w:szCs w:val="18"/>
                <w:lang w:eastAsia="sl-SI"/>
              </w:rPr>
            </w:pPr>
            <w:r w:rsidRPr="006401CF">
              <w:rPr>
                <w:rFonts w:ascii="Arial" w:eastAsia="Times New Roman" w:hAnsi="Arial" w:cs="Arial"/>
                <w:b/>
                <w:bCs/>
                <w:color w:val="000000"/>
                <w:sz w:val="18"/>
                <w:szCs w:val="18"/>
                <w:lang w:eastAsia="sl-SI"/>
              </w:rPr>
              <w:t>5.117</w:t>
            </w:r>
          </w:p>
        </w:tc>
        <w:tc>
          <w:tcPr>
            <w:tcW w:w="1160" w:type="dxa"/>
            <w:shd w:val="clear" w:color="auto" w:fill="auto"/>
            <w:vAlign w:val="center"/>
            <w:hideMark/>
          </w:tcPr>
          <w:p w14:paraId="05D9D974" w14:textId="3396007E" w:rsidR="006401CF" w:rsidRPr="006401CF" w:rsidRDefault="006401CF" w:rsidP="006401CF">
            <w:pPr>
              <w:spacing w:after="0" w:line="240" w:lineRule="auto"/>
              <w:jc w:val="right"/>
              <w:rPr>
                <w:rFonts w:ascii="Arial" w:eastAsia="Times New Roman" w:hAnsi="Arial" w:cs="Arial"/>
                <w:b/>
                <w:bCs/>
                <w:color w:val="000000"/>
                <w:sz w:val="18"/>
                <w:szCs w:val="18"/>
                <w:lang w:eastAsia="sl-SI"/>
              </w:rPr>
            </w:pPr>
            <w:r w:rsidRPr="006401CF">
              <w:rPr>
                <w:rFonts w:ascii="Arial" w:eastAsia="Times New Roman" w:hAnsi="Arial" w:cs="Arial"/>
                <w:b/>
                <w:bCs/>
                <w:color w:val="000000"/>
                <w:sz w:val="18"/>
                <w:szCs w:val="18"/>
                <w:lang w:eastAsia="sl-SI"/>
              </w:rPr>
              <w:t>100,00 %</w:t>
            </w:r>
          </w:p>
        </w:tc>
        <w:tc>
          <w:tcPr>
            <w:tcW w:w="1380" w:type="dxa"/>
            <w:vMerge/>
            <w:vAlign w:val="center"/>
            <w:hideMark/>
          </w:tcPr>
          <w:p w14:paraId="1177E12E" w14:textId="77777777" w:rsidR="006401CF" w:rsidRPr="006401CF" w:rsidRDefault="006401CF" w:rsidP="006401CF">
            <w:pPr>
              <w:spacing w:after="0" w:line="240" w:lineRule="auto"/>
              <w:jc w:val="right"/>
              <w:rPr>
                <w:rFonts w:ascii="Arial" w:eastAsia="Times New Roman" w:hAnsi="Arial" w:cs="Arial"/>
                <w:color w:val="000000"/>
                <w:sz w:val="18"/>
                <w:szCs w:val="18"/>
                <w:lang w:eastAsia="sl-SI"/>
              </w:rPr>
            </w:pPr>
          </w:p>
        </w:tc>
      </w:tr>
      <w:tr w:rsidR="006401CF" w:rsidRPr="006401CF" w14:paraId="639591FE" w14:textId="77777777" w:rsidTr="006401CF">
        <w:trPr>
          <w:trHeight w:val="255"/>
          <w:jc w:val="center"/>
        </w:trPr>
        <w:tc>
          <w:tcPr>
            <w:tcW w:w="4999" w:type="dxa"/>
            <w:shd w:val="clear" w:color="auto" w:fill="auto"/>
            <w:vAlign w:val="center"/>
            <w:hideMark/>
          </w:tcPr>
          <w:p w14:paraId="706C4AB4" w14:textId="77777777" w:rsidR="006401CF" w:rsidRPr="006401CF" w:rsidRDefault="006401CF" w:rsidP="006401CF">
            <w:pPr>
              <w:spacing w:after="0" w:line="240" w:lineRule="auto"/>
              <w:rPr>
                <w:rFonts w:ascii="Arial" w:eastAsia="Times New Roman" w:hAnsi="Arial" w:cs="Arial"/>
                <w:color w:val="000000"/>
                <w:sz w:val="18"/>
                <w:szCs w:val="18"/>
                <w:lang w:eastAsia="sl-SI"/>
              </w:rPr>
            </w:pPr>
            <w:r w:rsidRPr="006401CF">
              <w:rPr>
                <w:rFonts w:ascii="Arial" w:eastAsia="Times New Roman" w:hAnsi="Arial" w:cs="Arial"/>
                <w:color w:val="000000"/>
                <w:sz w:val="18"/>
                <w:szCs w:val="18"/>
                <w:lang w:eastAsia="sl-SI"/>
              </w:rPr>
              <w:t xml:space="preserve">Postopek z več naročili </w:t>
            </w:r>
            <w:r w:rsidRPr="006401CF">
              <w:rPr>
                <w:rFonts w:ascii="Symbol" w:eastAsia="Times New Roman" w:hAnsi="Symbol" w:cs="Arial"/>
                <w:color w:val="000000"/>
                <w:sz w:val="18"/>
                <w:szCs w:val="18"/>
                <w:lang w:eastAsia="sl-SI"/>
              </w:rPr>
              <w:t></w:t>
            </w:r>
            <w:r w:rsidRPr="006401CF">
              <w:rPr>
                <w:rFonts w:ascii="Arial" w:eastAsia="Times New Roman" w:hAnsi="Arial" w:cs="Arial"/>
                <w:color w:val="000000"/>
                <w:sz w:val="18"/>
                <w:szCs w:val="18"/>
                <w:lang w:eastAsia="sl-SI"/>
              </w:rPr>
              <w:t xml:space="preserve"> prejeta ena ponudba</w:t>
            </w:r>
          </w:p>
        </w:tc>
        <w:tc>
          <w:tcPr>
            <w:tcW w:w="961" w:type="dxa"/>
            <w:shd w:val="clear" w:color="auto" w:fill="auto"/>
            <w:vAlign w:val="center"/>
            <w:hideMark/>
          </w:tcPr>
          <w:p w14:paraId="057AC724" w14:textId="2045C355" w:rsidR="006401CF" w:rsidRPr="006401CF" w:rsidRDefault="006401CF" w:rsidP="006401CF">
            <w:pPr>
              <w:spacing w:after="0" w:line="240" w:lineRule="auto"/>
              <w:jc w:val="right"/>
              <w:rPr>
                <w:rFonts w:ascii="Arial" w:eastAsia="Times New Roman" w:hAnsi="Arial" w:cs="Arial"/>
                <w:color w:val="000000"/>
                <w:sz w:val="18"/>
                <w:szCs w:val="18"/>
                <w:lang w:eastAsia="sl-SI"/>
              </w:rPr>
            </w:pPr>
            <w:r w:rsidRPr="006401CF">
              <w:rPr>
                <w:rFonts w:ascii="Arial" w:eastAsia="Times New Roman" w:hAnsi="Arial" w:cs="Arial"/>
                <w:color w:val="000000"/>
                <w:sz w:val="18"/>
                <w:szCs w:val="18"/>
                <w:lang w:eastAsia="sl-SI"/>
              </w:rPr>
              <w:t>442</w:t>
            </w:r>
          </w:p>
        </w:tc>
        <w:tc>
          <w:tcPr>
            <w:tcW w:w="1160" w:type="dxa"/>
            <w:shd w:val="clear" w:color="auto" w:fill="auto"/>
            <w:vAlign w:val="center"/>
            <w:hideMark/>
          </w:tcPr>
          <w:p w14:paraId="52366B58" w14:textId="1C9DBC37" w:rsidR="006401CF" w:rsidRPr="006401CF" w:rsidRDefault="006401CF" w:rsidP="006401CF">
            <w:pPr>
              <w:spacing w:after="0" w:line="240" w:lineRule="auto"/>
              <w:jc w:val="right"/>
              <w:rPr>
                <w:rFonts w:ascii="Arial" w:eastAsia="Times New Roman" w:hAnsi="Arial" w:cs="Arial"/>
                <w:color w:val="000000"/>
                <w:sz w:val="18"/>
                <w:szCs w:val="18"/>
                <w:lang w:eastAsia="sl-SI"/>
              </w:rPr>
            </w:pPr>
            <w:r w:rsidRPr="006401CF">
              <w:rPr>
                <w:rFonts w:ascii="Arial" w:eastAsia="Times New Roman" w:hAnsi="Arial" w:cs="Arial"/>
                <w:color w:val="000000"/>
                <w:sz w:val="18"/>
                <w:szCs w:val="18"/>
                <w:lang w:eastAsia="sl-SI"/>
              </w:rPr>
              <w:t>27,56 %</w:t>
            </w:r>
          </w:p>
        </w:tc>
        <w:tc>
          <w:tcPr>
            <w:tcW w:w="1380" w:type="dxa"/>
            <w:vMerge w:val="restart"/>
            <w:shd w:val="clear" w:color="auto" w:fill="auto"/>
            <w:vAlign w:val="center"/>
            <w:hideMark/>
          </w:tcPr>
          <w:p w14:paraId="0CC102D0" w14:textId="5612089A" w:rsidR="006401CF" w:rsidRPr="006401CF" w:rsidRDefault="006401CF" w:rsidP="006401CF">
            <w:pPr>
              <w:spacing w:after="0" w:line="240" w:lineRule="auto"/>
              <w:jc w:val="center"/>
              <w:rPr>
                <w:rFonts w:ascii="Arial" w:eastAsia="Times New Roman" w:hAnsi="Arial" w:cs="Arial"/>
                <w:b/>
                <w:bCs/>
                <w:color w:val="000000"/>
                <w:sz w:val="18"/>
                <w:szCs w:val="18"/>
                <w:lang w:eastAsia="sl-SI"/>
              </w:rPr>
            </w:pPr>
            <w:r w:rsidRPr="006401CF">
              <w:rPr>
                <w:rFonts w:ascii="Arial" w:eastAsia="Times New Roman" w:hAnsi="Arial" w:cs="Arial"/>
                <w:b/>
                <w:bCs/>
                <w:color w:val="000000"/>
                <w:sz w:val="18"/>
                <w:szCs w:val="18"/>
                <w:lang w:eastAsia="sl-SI"/>
              </w:rPr>
              <w:t>23,87</w:t>
            </w:r>
            <w:r>
              <w:rPr>
                <w:rFonts w:ascii="Arial" w:eastAsia="Times New Roman" w:hAnsi="Arial" w:cs="Arial"/>
                <w:b/>
                <w:bCs/>
                <w:color w:val="000000"/>
                <w:sz w:val="18"/>
                <w:szCs w:val="18"/>
                <w:lang w:eastAsia="sl-SI"/>
              </w:rPr>
              <w:t xml:space="preserve"> </w:t>
            </w:r>
            <w:r w:rsidRPr="006401CF">
              <w:rPr>
                <w:rFonts w:ascii="Arial" w:eastAsia="Times New Roman" w:hAnsi="Arial" w:cs="Arial"/>
                <w:b/>
                <w:bCs/>
                <w:color w:val="000000"/>
                <w:sz w:val="18"/>
                <w:szCs w:val="18"/>
                <w:lang w:eastAsia="sl-SI"/>
              </w:rPr>
              <w:t>%</w:t>
            </w:r>
          </w:p>
        </w:tc>
      </w:tr>
      <w:tr w:rsidR="006401CF" w:rsidRPr="006401CF" w14:paraId="52C3D3F2" w14:textId="77777777" w:rsidTr="006401CF">
        <w:trPr>
          <w:trHeight w:val="255"/>
          <w:jc w:val="center"/>
        </w:trPr>
        <w:tc>
          <w:tcPr>
            <w:tcW w:w="4999" w:type="dxa"/>
            <w:shd w:val="clear" w:color="auto" w:fill="auto"/>
            <w:vAlign w:val="center"/>
            <w:hideMark/>
          </w:tcPr>
          <w:p w14:paraId="7C0EB275" w14:textId="77777777" w:rsidR="006401CF" w:rsidRPr="006401CF" w:rsidRDefault="006401CF" w:rsidP="006401CF">
            <w:pPr>
              <w:spacing w:after="0" w:line="240" w:lineRule="auto"/>
              <w:rPr>
                <w:rFonts w:ascii="Arial" w:eastAsia="Times New Roman" w:hAnsi="Arial" w:cs="Arial"/>
                <w:color w:val="000000"/>
                <w:sz w:val="18"/>
                <w:szCs w:val="18"/>
                <w:lang w:eastAsia="sl-SI"/>
              </w:rPr>
            </w:pPr>
            <w:r w:rsidRPr="006401CF">
              <w:rPr>
                <w:rFonts w:ascii="Arial" w:eastAsia="Times New Roman" w:hAnsi="Arial" w:cs="Arial"/>
                <w:color w:val="000000"/>
                <w:sz w:val="18"/>
                <w:szCs w:val="18"/>
                <w:lang w:eastAsia="sl-SI"/>
              </w:rPr>
              <w:t xml:space="preserve">Postopek z več naročili </w:t>
            </w:r>
            <w:r w:rsidRPr="006401CF">
              <w:rPr>
                <w:rFonts w:ascii="Symbol" w:eastAsia="Times New Roman" w:hAnsi="Symbol" w:cs="Arial"/>
                <w:color w:val="000000"/>
                <w:sz w:val="18"/>
                <w:szCs w:val="18"/>
                <w:lang w:eastAsia="sl-SI"/>
              </w:rPr>
              <w:t></w:t>
            </w:r>
            <w:r w:rsidRPr="006401CF">
              <w:rPr>
                <w:rFonts w:ascii="Arial" w:eastAsia="Times New Roman" w:hAnsi="Arial" w:cs="Arial"/>
                <w:color w:val="000000"/>
                <w:sz w:val="18"/>
                <w:szCs w:val="18"/>
                <w:lang w:eastAsia="sl-SI"/>
              </w:rPr>
              <w:t xml:space="preserve"> prejetih več ponudb</w:t>
            </w:r>
          </w:p>
        </w:tc>
        <w:tc>
          <w:tcPr>
            <w:tcW w:w="961" w:type="dxa"/>
            <w:shd w:val="clear" w:color="auto" w:fill="auto"/>
            <w:vAlign w:val="center"/>
            <w:hideMark/>
          </w:tcPr>
          <w:p w14:paraId="5AE13600" w14:textId="6AE67F6B" w:rsidR="006401CF" w:rsidRPr="006401CF" w:rsidRDefault="006401CF" w:rsidP="006401CF">
            <w:pPr>
              <w:spacing w:after="0" w:line="240" w:lineRule="auto"/>
              <w:jc w:val="right"/>
              <w:rPr>
                <w:rFonts w:ascii="Arial" w:eastAsia="Times New Roman" w:hAnsi="Arial" w:cs="Arial"/>
                <w:color w:val="000000"/>
                <w:sz w:val="18"/>
                <w:szCs w:val="18"/>
                <w:lang w:eastAsia="sl-SI"/>
              </w:rPr>
            </w:pPr>
            <w:r w:rsidRPr="006401CF">
              <w:rPr>
                <w:rFonts w:ascii="Arial" w:eastAsia="Times New Roman" w:hAnsi="Arial" w:cs="Arial"/>
                <w:color w:val="000000"/>
                <w:sz w:val="18"/>
                <w:szCs w:val="18"/>
                <w:lang w:eastAsia="sl-SI"/>
              </w:rPr>
              <w:t>1.162</w:t>
            </w:r>
          </w:p>
        </w:tc>
        <w:tc>
          <w:tcPr>
            <w:tcW w:w="1160" w:type="dxa"/>
            <w:shd w:val="clear" w:color="auto" w:fill="auto"/>
            <w:vAlign w:val="center"/>
            <w:hideMark/>
          </w:tcPr>
          <w:p w14:paraId="0CE195D0" w14:textId="6A4A46AC" w:rsidR="006401CF" w:rsidRPr="006401CF" w:rsidRDefault="006401CF" w:rsidP="006401CF">
            <w:pPr>
              <w:spacing w:after="0" w:line="240" w:lineRule="auto"/>
              <w:jc w:val="right"/>
              <w:rPr>
                <w:rFonts w:ascii="Arial" w:eastAsia="Times New Roman" w:hAnsi="Arial" w:cs="Arial"/>
                <w:color w:val="000000"/>
                <w:sz w:val="18"/>
                <w:szCs w:val="18"/>
                <w:lang w:eastAsia="sl-SI"/>
              </w:rPr>
            </w:pPr>
            <w:r w:rsidRPr="006401CF">
              <w:rPr>
                <w:rFonts w:ascii="Arial" w:eastAsia="Times New Roman" w:hAnsi="Arial" w:cs="Arial"/>
                <w:color w:val="000000"/>
                <w:sz w:val="18"/>
                <w:szCs w:val="18"/>
                <w:lang w:eastAsia="sl-SI"/>
              </w:rPr>
              <w:t>72,44 %</w:t>
            </w:r>
          </w:p>
        </w:tc>
        <w:tc>
          <w:tcPr>
            <w:tcW w:w="1380" w:type="dxa"/>
            <w:vMerge/>
            <w:vAlign w:val="center"/>
            <w:hideMark/>
          </w:tcPr>
          <w:p w14:paraId="453D110C" w14:textId="77777777" w:rsidR="006401CF" w:rsidRPr="006401CF" w:rsidRDefault="006401CF" w:rsidP="006401CF">
            <w:pPr>
              <w:spacing w:after="0" w:line="240" w:lineRule="auto"/>
              <w:rPr>
                <w:rFonts w:ascii="Arial" w:eastAsia="Times New Roman" w:hAnsi="Arial" w:cs="Arial"/>
                <w:b/>
                <w:bCs/>
                <w:color w:val="000000"/>
                <w:sz w:val="18"/>
                <w:szCs w:val="18"/>
                <w:lang w:eastAsia="sl-SI"/>
              </w:rPr>
            </w:pPr>
          </w:p>
        </w:tc>
      </w:tr>
      <w:tr w:rsidR="00704AFE" w:rsidRPr="006401CF" w14:paraId="1F688C49" w14:textId="77777777" w:rsidTr="006401CF">
        <w:trPr>
          <w:trHeight w:val="255"/>
          <w:jc w:val="center"/>
        </w:trPr>
        <w:tc>
          <w:tcPr>
            <w:tcW w:w="4999" w:type="dxa"/>
            <w:shd w:val="clear" w:color="auto" w:fill="auto"/>
            <w:vAlign w:val="center"/>
            <w:hideMark/>
          </w:tcPr>
          <w:p w14:paraId="3DA6DBE8" w14:textId="77777777" w:rsidR="00704AFE" w:rsidRPr="006401CF" w:rsidRDefault="00704AFE" w:rsidP="00704AFE">
            <w:pPr>
              <w:spacing w:after="0" w:line="240" w:lineRule="auto"/>
              <w:rPr>
                <w:rFonts w:ascii="Arial" w:eastAsia="Times New Roman" w:hAnsi="Arial" w:cs="Arial"/>
                <w:b/>
                <w:bCs/>
                <w:color w:val="000000"/>
                <w:sz w:val="18"/>
                <w:szCs w:val="18"/>
                <w:lang w:eastAsia="sl-SI"/>
              </w:rPr>
            </w:pPr>
            <w:r w:rsidRPr="006401CF">
              <w:rPr>
                <w:rFonts w:ascii="Arial" w:eastAsia="Times New Roman" w:hAnsi="Arial" w:cs="Arial"/>
                <w:b/>
                <w:bCs/>
                <w:color w:val="000000"/>
                <w:sz w:val="18"/>
                <w:szCs w:val="18"/>
                <w:lang w:eastAsia="sl-SI"/>
              </w:rPr>
              <w:t>Skupaj</w:t>
            </w:r>
          </w:p>
        </w:tc>
        <w:tc>
          <w:tcPr>
            <w:tcW w:w="961" w:type="dxa"/>
            <w:shd w:val="clear" w:color="auto" w:fill="auto"/>
            <w:vAlign w:val="center"/>
            <w:hideMark/>
          </w:tcPr>
          <w:p w14:paraId="454F29D3" w14:textId="47C7204D" w:rsidR="00704AFE" w:rsidRPr="006401CF" w:rsidRDefault="00704AFE" w:rsidP="006401CF">
            <w:pPr>
              <w:spacing w:after="0" w:line="240" w:lineRule="auto"/>
              <w:jc w:val="right"/>
              <w:rPr>
                <w:rFonts w:ascii="Arial" w:eastAsia="Times New Roman" w:hAnsi="Arial" w:cs="Arial"/>
                <w:b/>
                <w:bCs/>
                <w:color w:val="000000"/>
                <w:sz w:val="18"/>
                <w:szCs w:val="18"/>
                <w:lang w:eastAsia="sl-SI"/>
              </w:rPr>
            </w:pPr>
            <w:r w:rsidRPr="006401CF">
              <w:rPr>
                <w:rFonts w:ascii="Arial" w:eastAsia="Times New Roman" w:hAnsi="Arial" w:cs="Arial"/>
                <w:b/>
                <w:bCs/>
                <w:color w:val="000000"/>
                <w:sz w:val="18"/>
                <w:szCs w:val="18"/>
                <w:lang w:eastAsia="sl-SI"/>
              </w:rPr>
              <w:t>1.</w:t>
            </w:r>
            <w:r w:rsidR="003F6BD5" w:rsidRPr="006401CF">
              <w:rPr>
                <w:rFonts w:ascii="Arial" w:eastAsia="Times New Roman" w:hAnsi="Arial" w:cs="Arial"/>
                <w:b/>
                <w:bCs/>
                <w:color w:val="000000"/>
                <w:sz w:val="18"/>
                <w:szCs w:val="18"/>
                <w:lang w:eastAsia="sl-SI"/>
              </w:rPr>
              <w:t>604</w:t>
            </w:r>
          </w:p>
        </w:tc>
        <w:tc>
          <w:tcPr>
            <w:tcW w:w="1160" w:type="dxa"/>
            <w:shd w:val="clear" w:color="auto" w:fill="auto"/>
            <w:vAlign w:val="center"/>
            <w:hideMark/>
          </w:tcPr>
          <w:p w14:paraId="090455A1" w14:textId="389E0F4A" w:rsidR="00704AFE" w:rsidRPr="006401CF" w:rsidRDefault="00704AFE" w:rsidP="006401CF">
            <w:pPr>
              <w:spacing w:after="0" w:line="240" w:lineRule="auto"/>
              <w:jc w:val="right"/>
              <w:rPr>
                <w:rFonts w:ascii="Arial" w:eastAsia="Times New Roman" w:hAnsi="Arial" w:cs="Arial"/>
                <w:b/>
                <w:bCs/>
                <w:color w:val="000000"/>
                <w:sz w:val="18"/>
                <w:szCs w:val="18"/>
                <w:lang w:eastAsia="sl-SI"/>
              </w:rPr>
            </w:pPr>
            <w:r w:rsidRPr="006401CF">
              <w:rPr>
                <w:rFonts w:ascii="Arial" w:eastAsia="Times New Roman" w:hAnsi="Arial" w:cs="Arial"/>
                <w:b/>
                <w:bCs/>
                <w:color w:val="000000"/>
                <w:sz w:val="18"/>
                <w:szCs w:val="18"/>
                <w:lang w:eastAsia="sl-SI"/>
              </w:rPr>
              <w:t>100,00 %</w:t>
            </w:r>
          </w:p>
        </w:tc>
        <w:tc>
          <w:tcPr>
            <w:tcW w:w="1380" w:type="dxa"/>
            <w:vMerge/>
            <w:shd w:val="clear" w:color="auto" w:fill="auto"/>
            <w:vAlign w:val="center"/>
            <w:hideMark/>
          </w:tcPr>
          <w:p w14:paraId="0655AA07" w14:textId="77777777" w:rsidR="00704AFE" w:rsidRPr="006401CF" w:rsidRDefault="00704AFE" w:rsidP="00704AFE">
            <w:pPr>
              <w:spacing w:after="0" w:line="240" w:lineRule="auto"/>
              <w:rPr>
                <w:rFonts w:ascii="Arial" w:eastAsia="Times New Roman" w:hAnsi="Arial" w:cs="Arial"/>
                <w:b/>
                <w:bCs/>
                <w:color w:val="000000"/>
                <w:sz w:val="18"/>
                <w:szCs w:val="18"/>
                <w:lang w:eastAsia="sl-SI"/>
              </w:rPr>
            </w:pPr>
          </w:p>
        </w:tc>
      </w:tr>
    </w:tbl>
    <w:p w14:paraId="3FDAE6F8" w14:textId="77777777" w:rsidR="008E08B4" w:rsidRPr="006401CF" w:rsidRDefault="008E08B4" w:rsidP="008E08B4">
      <w:pPr>
        <w:spacing w:after="0" w:line="240" w:lineRule="auto"/>
        <w:jc w:val="center"/>
        <w:rPr>
          <w:rFonts w:ascii="Arial" w:hAnsi="Arial" w:cs="Arial"/>
          <w:sz w:val="18"/>
        </w:rPr>
      </w:pPr>
    </w:p>
    <w:p w14:paraId="0A9AC13C" w14:textId="698452E1" w:rsidR="008E08B4" w:rsidRPr="0041637C" w:rsidRDefault="008E08B4" w:rsidP="008E08B4">
      <w:pPr>
        <w:spacing w:after="240" w:line="240" w:lineRule="auto"/>
        <w:jc w:val="center"/>
        <w:rPr>
          <w:rFonts w:ascii="Arial" w:hAnsi="Arial" w:cs="Arial"/>
          <w:sz w:val="18"/>
        </w:rPr>
      </w:pPr>
      <w:r w:rsidRPr="0041637C">
        <w:rPr>
          <w:rFonts w:ascii="Arial" w:hAnsi="Arial" w:cs="Arial"/>
          <w:sz w:val="18"/>
        </w:rPr>
        <w:t>Vir: Statistični podatki o javnih naročilih, oddanih v letu 20</w:t>
      </w:r>
      <w:r w:rsidR="00EC78EF" w:rsidRPr="0041637C">
        <w:rPr>
          <w:rFonts w:ascii="Arial" w:hAnsi="Arial" w:cs="Arial"/>
          <w:sz w:val="18"/>
        </w:rPr>
        <w:t>2</w:t>
      </w:r>
      <w:r w:rsidR="0041637C" w:rsidRPr="0041637C">
        <w:rPr>
          <w:rFonts w:ascii="Arial" w:hAnsi="Arial" w:cs="Arial"/>
          <w:sz w:val="18"/>
        </w:rPr>
        <w:t>2</w:t>
      </w:r>
      <w:r w:rsidR="00970F15" w:rsidRPr="0041637C">
        <w:rPr>
          <w:rFonts w:ascii="Arial" w:hAnsi="Arial" w:cs="Arial"/>
          <w:sz w:val="18"/>
        </w:rPr>
        <w:t>.</w:t>
      </w:r>
    </w:p>
    <w:p w14:paraId="71D49FE3" w14:textId="11E44BC2" w:rsidR="002A1622" w:rsidRPr="00BF7302" w:rsidRDefault="002A1622" w:rsidP="002A1622">
      <w:pPr>
        <w:tabs>
          <w:tab w:val="left" w:pos="567"/>
          <w:tab w:val="left" w:pos="993"/>
        </w:tabs>
        <w:spacing w:line="360" w:lineRule="auto"/>
        <w:jc w:val="both"/>
        <w:rPr>
          <w:rFonts w:ascii="Arial" w:hAnsi="Arial" w:cs="Arial"/>
          <w:sz w:val="20"/>
          <w:szCs w:val="20"/>
          <w:highlight w:val="yellow"/>
        </w:rPr>
      </w:pPr>
      <w:r w:rsidRPr="00211368">
        <w:rPr>
          <w:rFonts w:ascii="Arial" w:hAnsi="Arial" w:cs="Arial"/>
          <w:sz w:val="20"/>
          <w:szCs w:val="20"/>
        </w:rPr>
        <w:t xml:space="preserve">Naročniki so v postopkih z enim naročilom prejeli samo eno ponudbo v </w:t>
      </w:r>
      <w:r w:rsidR="00784900">
        <w:rPr>
          <w:rFonts w:ascii="Arial" w:hAnsi="Arial" w:cs="Arial"/>
          <w:sz w:val="20"/>
          <w:szCs w:val="20"/>
        </w:rPr>
        <w:t xml:space="preserve">8088 </w:t>
      </w:r>
      <w:r w:rsidRPr="00211368">
        <w:rPr>
          <w:rFonts w:ascii="Arial" w:hAnsi="Arial" w:cs="Arial"/>
          <w:sz w:val="20"/>
          <w:szCs w:val="20"/>
        </w:rPr>
        <w:t xml:space="preserve">primerih. </w:t>
      </w:r>
      <w:r w:rsidR="00F55D6A" w:rsidRPr="00211368">
        <w:rPr>
          <w:rFonts w:ascii="Arial" w:hAnsi="Arial" w:cs="Arial"/>
          <w:sz w:val="20"/>
          <w:szCs w:val="20"/>
        </w:rPr>
        <w:t xml:space="preserve">Naročniki so eno ponudbo za naročilo največkrat prejeli v </w:t>
      </w:r>
      <w:r w:rsidR="00784900">
        <w:rPr>
          <w:rFonts w:ascii="Arial" w:hAnsi="Arial" w:cs="Arial"/>
          <w:sz w:val="20"/>
          <w:szCs w:val="20"/>
        </w:rPr>
        <w:t xml:space="preserve">odprtih </w:t>
      </w:r>
      <w:r w:rsidR="00F55D6A" w:rsidRPr="00211368">
        <w:rPr>
          <w:rFonts w:ascii="Arial" w:hAnsi="Arial" w:cs="Arial"/>
          <w:sz w:val="20"/>
          <w:szCs w:val="20"/>
        </w:rPr>
        <w:t>postopkih</w:t>
      </w:r>
      <w:r w:rsidR="00784900">
        <w:rPr>
          <w:rFonts w:ascii="Arial" w:hAnsi="Arial" w:cs="Arial"/>
          <w:sz w:val="20"/>
          <w:szCs w:val="20"/>
        </w:rPr>
        <w:t xml:space="preserve">, in sicer </w:t>
      </w:r>
      <w:r w:rsidR="00EA747F">
        <w:rPr>
          <w:rFonts w:ascii="Arial" w:hAnsi="Arial" w:cs="Arial"/>
          <w:sz w:val="20"/>
          <w:szCs w:val="20"/>
        </w:rPr>
        <w:t xml:space="preserve">pri 4179 naročilih oziroma </w:t>
      </w:r>
      <w:r w:rsidR="00784900">
        <w:rPr>
          <w:rFonts w:ascii="Arial" w:hAnsi="Arial" w:cs="Arial"/>
          <w:sz w:val="20"/>
          <w:szCs w:val="20"/>
        </w:rPr>
        <w:t xml:space="preserve">42,31 </w:t>
      </w:r>
      <w:r w:rsidR="00AC0027">
        <w:rPr>
          <w:rFonts w:ascii="Arial" w:hAnsi="Arial" w:cs="Arial"/>
          <w:sz w:val="20"/>
          <w:szCs w:val="20"/>
        </w:rPr>
        <w:t>odstotka</w:t>
      </w:r>
      <w:r w:rsidR="00EA747F">
        <w:rPr>
          <w:rFonts w:ascii="Arial" w:hAnsi="Arial" w:cs="Arial"/>
          <w:sz w:val="20"/>
          <w:szCs w:val="20"/>
        </w:rPr>
        <w:t xml:space="preserve"> teh naročil.</w:t>
      </w:r>
      <w:r w:rsidR="00F55D6A" w:rsidRPr="00211368">
        <w:rPr>
          <w:rFonts w:ascii="Arial" w:hAnsi="Arial" w:cs="Arial"/>
          <w:sz w:val="20"/>
          <w:szCs w:val="20"/>
        </w:rPr>
        <w:t xml:space="preserve"> Veliko postopkov, kjer je naročnik prejel samo eno ponudbo, je tudi </w:t>
      </w:r>
      <w:r w:rsidR="00784900">
        <w:rPr>
          <w:rFonts w:ascii="Arial" w:hAnsi="Arial" w:cs="Arial"/>
          <w:sz w:val="20"/>
          <w:szCs w:val="20"/>
        </w:rPr>
        <w:t>pri</w:t>
      </w:r>
      <w:r w:rsidR="00F55D6A" w:rsidRPr="00211368">
        <w:rPr>
          <w:rFonts w:ascii="Arial" w:hAnsi="Arial" w:cs="Arial"/>
          <w:sz w:val="20"/>
          <w:szCs w:val="20"/>
        </w:rPr>
        <w:t xml:space="preserve"> </w:t>
      </w:r>
      <w:r w:rsidR="00784900" w:rsidRPr="00211368">
        <w:rPr>
          <w:rFonts w:ascii="Arial" w:hAnsi="Arial" w:cs="Arial"/>
          <w:sz w:val="20"/>
          <w:szCs w:val="20"/>
        </w:rPr>
        <w:t>naročil</w:t>
      </w:r>
      <w:r w:rsidR="00784900">
        <w:rPr>
          <w:rFonts w:ascii="Arial" w:hAnsi="Arial" w:cs="Arial"/>
          <w:sz w:val="20"/>
          <w:szCs w:val="20"/>
        </w:rPr>
        <w:t>ih</w:t>
      </w:r>
      <w:r w:rsidR="00784900" w:rsidRPr="00211368">
        <w:rPr>
          <w:rFonts w:ascii="Arial" w:hAnsi="Arial" w:cs="Arial"/>
          <w:sz w:val="20"/>
          <w:szCs w:val="20"/>
        </w:rPr>
        <w:t xml:space="preserve"> male vrednosti</w:t>
      </w:r>
      <w:r w:rsidR="00F55D6A" w:rsidRPr="00211368">
        <w:rPr>
          <w:rFonts w:ascii="Arial" w:eastAsia="Times New Roman" w:hAnsi="Arial" w:cs="Arial"/>
          <w:color w:val="000000"/>
          <w:sz w:val="20"/>
          <w:szCs w:val="20"/>
          <w:lang w:eastAsia="sl-SI"/>
        </w:rPr>
        <w:t xml:space="preserve">, </w:t>
      </w:r>
      <w:r w:rsidR="00F55D6A" w:rsidRPr="00211368">
        <w:rPr>
          <w:rFonts w:ascii="Arial" w:hAnsi="Arial" w:cs="Arial"/>
          <w:sz w:val="20"/>
          <w:szCs w:val="20"/>
        </w:rPr>
        <w:t xml:space="preserve">kjer je takih primerov </w:t>
      </w:r>
      <w:r w:rsidR="00784900">
        <w:rPr>
          <w:rFonts w:ascii="Arial" w:hAnsi="Arial" w:cs="Arial"/>
          <w:sz w:val="20"/>
          <w:szCs w:val="20"/>
        </w:rPr>
        <w:t>2785</w:t>
      </w:r>
      <w:r w:rsidR="00F55D6A" w:rsidRPr="00211368">
        <w:rPr>
          <w:rFonts w:ascii="Arial" w:hAnsi="Arial" w:cs="Arial"/>
          <w:sz w:val="20"/>
          <w:szCs w:val="20"/>
        </w:rPr>
        <w:t xml:space="preserve"> oziroma </w:t>
      </w:r>
      <w:r w:rsidR="00784900">
        <w:rPr>
          <w:rFonts w:ascii="Arial" w:hAnsi="Arial" w:cs="Arial"/>
          <w:sz w:val="20"/>
          <w:szCs w:val="20"/>
        </w:rPr>
        <w:t>46</w:t>
      </w:r>
      <w:r w:rsidR="00211368" w:rsidRPr="00211368">
        <w:rPr>
          <w:rFonts w:ascii="Arial" w:hAnsi="Arial" w:cs="Arial"/>
          <w:sz w:val="20"/>
          <w:szCs w:val="20"/>
        </w:rPr>
        <w:t>,</w:t>
      </w:r>
      <w:r w:rsidR="00784900">
        <w:rPr>
          <w:rFonts w:ascii="Arial" w:hAnsi="Arial" w:cs="Arial"/>
          <w:sz w:val="20"/>
          <w:szCs w:val="20"/>
        </w:rPr>
        <w:t>88</w:t>
      </w:r>
      <w:r w:rsidR="001A3829" w:rsidRPr="00211368">
        <w:rPr>
          <w:rFonts w:ascii="Arial" w:hAnsi="Arial" w:cs="Arial"/>
          <w:sz w:val="20"/>
          <w:szCs w:val="20"/>
        </w:rPr>
        <w:t> </w:t>
      </w:r>
      <w:r w:rsidR="00AC0027">
        <w:rPr>
          <w:rFonts w:ascii="Arial" w:hAnsi="Arial" w:cs="Arial"/>
          <w:sz w:val="20"/>
          <w:szCs w:val="20"/>
        </w:rPr>
        <w:t>odstotka</w:t>
      </w:r>
      <w:r w:rsidR="00F55D6A" w:rsidRPr="00211368">
        <w:rPr>
          <w:rFonts w:ascii="Arial" w:hAnsi="Arial" w:cs="Arial"/>
          <w:sz w:val="20"/>
          <w:szCs w:val="20"/>
        </w:rPr>
        <w:t xml:space="preserve"> </w:t>
      </w:r>
      <w:r w:rsidR="000D5878" w:rsidRPr="00211368">
        <w:rPr>
          <w:rFonts w:ascii="Arial" w:hAnsi="Arial" w:cs="Arial"/>
          <w:sz w:val="20"/>
          <w:szCs w:val="20"/>
        </w:rPr>
        <w:t xml:space="preserve">teh </w:t>
      </w:r>
      <w:r w:rsidR="00F55D6A" w:rsidRPr="00211368">
        <w:rPr>
          <w:rFonts w:ascii="Arial" w:hAnsi="Arial" w:cs="Arial"/>
          <w:sz w:val="20"/>
          <w:szCs w:val="20"/>
        </w:rPr>
        <w:t>naročil.</w:t>
      </w:r>
    </w:p>
    <w:p w14:paraId="71524D95" w14:textId="72AAA5FD" w:rsidR="00784900" w:rsidRPr="00211368" w:rsidRDefault="00784900" w:rsidP="00784900">
      <w:pPr>
        <w:spacing w:before="120" w:after="120" w:line="240" w:lineRule="auto"/>
        <w:jc w:val="both"/>
        <w:rPr>
          <w:rFonts w:ascii="Arial" w:hAnsi="Arial" w:cs="Arial"/>
          <w:sz w:val="20"/>
        </w:rPr>
      </w:pPr>
      <w:r w:rsidRPr="00211368">
        <w:rPr>
          <w:rFonts w:ascii="Arial" w:hAnsi="Arial" w:cs="Arial"/>
          <w:sz w:val="20"/>
        </w:rPr>
        <w:t xml:space="preserve">Preglednica 33: Število, vrednost in deleži naročil z eno prejeto ponudbo glede na vrsto postopka </w:t>
      </w:r>
    </w:p>
    <w:tbl>
      <w:tblPr>
        <w:tblW w:w="4865" w:type="pct"/>
        <w:jc w:val="center"/>
        <w:tblCellMar>
          <w:left w:w="70" w:type="dxa"/>
          <w:right w:w="70" w:type="dxa"/>
        </w:tblCellMar>
        <w:tblLook w:val="04A0" w:firstRow="1" w:lastRow="0" w:firstColumn="1" w:lastColumn="0" w:noHBand="0" w:noVBand="1"/>
      </w:tblPr>
      <w:tblGrid>
        <w:gridCol w:w="3540"/>
        <w:gridCol w:w="852"/>
        <w:gridCol w:w="1416"/>
        <w:gridCol w:w="1560"/>
        <w:gridCol w:w="1558"/>
      </w:tblGrid>
      <w:tr w:rsidR="00784900" w:rsidRPr="00AF2AAD" w14:paraId="01C62139" w14:textId="77777777" w:rsidTr="00784900">
        <w:trPr>
          <w:trHeight w:val="427"/>
          <w:jc w:val="center"/>
        </w:trPr>
        <w:tc>
          <w:tcPr>
            <w:tcW w:w="198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7CBAD93D" w14:textId="77777777" w:rsidR="00784900" w:rsidRPr="00AF2AAD" w:rsidRDefault="00784900" w:rsidP="009F7B6D">
            <w:pPr>
              <w:spacing w:after="0" w:line="240" w:lineRule="auto"/>
              <w:jc w:val="center"/>
              <w:rPr>
                <w:rFonts w:ascii="Arial" w:eastAsia="Times New Roman" w:hAnsi="Arial" w:cs="Arial"/>
                <w:color w:val="000000"/>
                <w:sz w:val="16"/>
                <w:szCs w:val="16"/>
                <w:lang w:eastAsia="sl-SI"/>
              </w:rPr>
            </w:pPr>
            <w:r w:rsidRPr="00AF2AAD">
              <w:rPr>
                <w:rFonts w:ascii="Arial" w:eastAsia="Times New Roman" w:hAnsi="Arial" w:cs="Arial"/>
                <w:color w:val="000000"/>
                <w:sz w:val="16"/>
                <w:szCs w:val="16"/>
                <w:lang w:eastAsia="sl-SI"/>
              </w:rPr>
              <w:t>Vrsta postopka</w:t>
            </w:r>
          </w:p>
        </w:tc>
        <w:tc>
          <w:tcPr>
            <w:tcW w:w="477" w:type="pct"/>
            <w:tcBorders>
              <w:top w:val="single" w:sz="4" w:space="0" w:color="auto"/>
              <w:left w:val="nil"/>
              <w:bottom w:val="single" w:sz="4" w:space="0" w:color="auto"/>
              <w:right w:val="single" w:sz="4" w:space="0" w:color="auto"/>
            </w:tcBorders>
            <w:shd w:val="clear" w:color="000000" w:fill="F2F2F2"/>
            <w:vAlign w:val="center"/>
            <w:hideMark/>
          </w:tcPr>
          <w:p w14:paraId="272D03A1" w14:textId="77777777" w:rsidR="00784900" w:rsidRPr="00AF2AAD" w:rsidRDefault="00784900" w:rsidP="009F7B6D">
            <w:pPr>
              <w:spacing w:after="0" w:line="240" w:lineRule="auto"/>
              <w:jc w:val="center"/>
              <w:rPr>
                <w:rFonts w:ascii="Arial" w:eastAsia="Times New Roman" w:hAnsi="Arial" w:cs="Arial"/>
                <w:color w:val="000000"/>
                <w:sz w:val="16"/>
                <w:szCs w:val="16"/>
                <w:lang w:eastAsia="sl-SI"/>
              </w:rPr>
            </w:pPr>
            <w:r w:rsidRPr="00AF2AAD">
              <w:rPr>
                <w:rFonts w:ascii="Arial" w:eastAsia="Times New Roman" w:hAnsi="Arial" w:cs="Arial"/>
                <w:color w:val="000000"/>
                <w:sz w:val="16"/>
                <w:szCs w:val="16"/>
                <w:lang w:eastAsia="sl-SI"/>
              </w:rPr>
              <w:t>Št. naročil</w:t>
            </w:r>
          </w:p>
        </w:tc>
        <w:tc>
          <w:tcPr>
            <w:tcW w:w="793" w:type="pct"/>
            <w:tcBorders>
              <w:top w:val="single" w:sz="4" w:space="0" w:color="auto"/>
              <w:left w:val="nil"/>
              <w:bottom w:val="single" w:sz="4" w:space="0" w:color="auto"/>
              <w:right w:val="single" w:sz="4" w:space="0" w:color="auto"/>
            </w:tcBorders>
            <w:shd w:val="clear" w:color="000000" w:fill="F2F2F2"/>
            <w:vAlign w:val="center"/>
            <w:hideMark/>
          </w:tcPr>
          <w:p w14:paraId="04F104BE" w14:textId="77777777" w:rsidR="00784900" w:rsidRPr="00AF2AAD" w:rsidRDefault="00784900" w:rsidP="009F7B6D">
            <w:pPr>
              <w:spacing w:after="0" w:line="240" w:lineRule="auto"/>
              <w:jc w:val="center"/>
              <w:rPr>
                <w:rFonts w:ascii="Arial" w:eastAsia="Times New Roman" w:hAnsi="Arial" w:cs="Arial"/>
                <w:color w:val="000000"/>
                <w:sz w:val="16"/>
                <w:szCs w:val="16"/>
                <w:lang w:eastAsia="sl-SI"/>
              </w:rPr>
            </w:pPr>
            <w:r w:rsidRPr="00AF2AAD">
              <w:rPr>
                <w:rFonts w:ascii="Arial" w:eastAsia="Times New Roman" w:hAnsi="Arial" w:cs="Arial"/>
                <w:color w:val="000000"/>
                <w:sz w:val="16"/>
                <w:szCs w:val="16"/>
                <w:lang w:eastAsia="sl-SI"/>
              </w:rPr>
              <w:t>Pogodbena vrednost</w:t>
            </w:r>
          </w:p>
        </w:tc>
        <w:tc>
          <w:tcPr>
            <w:tcW w:w="874" w:type="pct"/>
            <w:tcBorders>
              <w:top w:val="single" w:sz="4" w:space="0" w:color="auto"/>
              <w:left w:val="nil"/>
              <w:bottom w:val="single" w:sz="4" w:space="0" w:color="auto"/>
              <w:right w:val="single" w:sz="4" w:space="0" w:color="auto"/>
            </w:tcBorders>
            <w:shd w:val="clear" w:color="000000" w:fill="F2F2F2"/>
            <w:vAlign w:val="center"/>
            <w:hideMark/>
          </w:tcPr>
          <w:p w14:paraId="5293902D" w14:textId="77777777" w:rsidR="00784900" w:rsidRPr="00AF2AAD" w:rsidRDefault="00784900" w:rsidP="009F7B6D">
            <w:pPr>
              <w:spacing w:after="0" w:line="240" w:lineRule="auto"/>
              <w:jc w:val="center"/>
              <w:rPr>
                <w:rFonts w:ascii="Arial" w:eastAsia="Times New Roman" w:hAnsi="Arial" w:cs="Arial"/>
                <w:color w:val="000000"/>
                <w:sz w:val="16"/>
                <w:szCs w:val="16"/>
                <w:lang w:eastAsia="sl-SI"/>
              </w:rPr>
            </w:pPr>
            <w:r w:rsidRPr="00AF2AAD">
              <w:rPr>
                <w:rFonts w:ascii="Arial" w:eastAsia="Times New Roman" w:hAnsi="Arial" w:cs="Arial"/>
                <w:color w:val="000000"/>
                <w:sz w:val="16"/>
                <w:szCs w:val="16"/>
                <w:lang w:eastAsia="sl-SI"/>
              </w:rPr>
              <w:t>Delež v št. istovrstnih naročil</w:t>
            </w:r>
          </w:p>
        </w:tc>
        <w:tc>
          <w:tcPr>
            <w:tcW w:w="873" w:type="pct"/>
            <w:tcBorders>
              <w:top w:val="single" w:sz="4" w:space="0" w:color="auto"/>
              <w:left w:val="nil"/>
              <w:bottom w:val="single" w:sz="4" w:space="0" w:color="auto"/>
              <w:right w:val="single" w:sz="4" w:space="0" w:color="auto"/>
            </w:tcBorders>
            <w:shd w:val="clear" w:color="000000" w:fill="F2F2F2"/>
            <w:vAlign w:val="center"/>
            <w:hideMark/>
          </w:tcPr>
          <w:p w14:paraId="020EEA4A" w14:textId="77777777" w:rsidR="00784900" w:rsidRPr="00AF2AAD" w:rsidRDefault="00784900" w:rsidP="009F7B6D">
            <w:pPr>
              <w:spacing w:after="0" w:line="240" w:lineRule="auto"/>
              <w:jc w:val="center"/>
              <w:rPr>
                <w:rFonts w:ascii="Arial" w:eastAsia="Times New Roman" w:hAnsi="Arial" w:cs="Arial"/>
                <w:color w:val="000000"/>
                <w:sz w:val="16"/>
                <w:szCs w:val="16"/>
                <w:lang w:eastAsia="sl-SI"/>
              </w:rPr>
            </w:pPr>
            <w:r w:rsidRPr="00AF2AAD">
              <w:rPr>
                <w:rFonts w:ascii="Arial" w:eastAsia="Times New Roman" w:hAnsi="Arial" w:cs="Arial"/>
                <w:color w:val="000000"/>
                <w:sz w:val="16"/>
                <w:szCs w:val="16"/>
                <w:lang w:eastAsia="sl-SI"/>
              </w:rPr>
              <w:t>Delež v vrednosti istovrstnih naročil</w:t>
            </w:r>
          </w:p>
        </w:tc>
      </w:tr>
      <w:tr w:rsidR="00784900" w:rsidRPr="00AF2AAD" w14:paraId="3AA76BB5" w14:textId="77777777" w:rsidTr="00784900">
        <w:trPr>
          <w:trHeight w:val="287"/>
          <w:jc w:val="center"/>
        </w:trPr>
        <w:tc>
          <w:tcPr>
            <w:tcW w:w="1983" w:type="pct"/>
            <w:tcBorders>
              <w:top w:val="nil"/>
              <w:left w:val="single" w:sz="4" w:space="0" w:color="auto"/>
              <w:bottom w:val="single" w:sz="4" w:space="0" w:color="auto"/>
              <w:right w:val="single" w:sz="4" w:space="0" w:color="auto"/>
            </w:tcBorders>
            <w:shd w:val="clear" w:color="auto" w:fill="auto"/>
            <w:vAlign w:val="center"/>
            <w:hideMark/>
          </w:tcPr>
          <w:p w14:paraId="28F53484" w14:textId="77777777" w:rsidR="00784900" w:rsidRPr="00AF2AAD" w:rsidRDefault="00784900" w:rsidP="009F7B6D">
            <w:pPr>
              <w:spacing w:after="0" w:line="240" w:lineRule="auto"/>
              <w:rPr>
                <w:rFonts w:ascii="Arial" w:eastAsia="Times New Roman" w:hAnsi="Arial" w:cs="Arial"/>
                <w:color w:val="000000"/>
                <w:sz w:val="16"/>
                <w:szCs w:val="16"/>
                <w:lang w:eastAsia="sl-SI"/>
              </w:rPr>
            </w:pPr>
            <w:r w:rsidRPr="00AF2AAD">
              <w:rPr>
                <w:rFonts w:ascii="Arial" w:eastAsia="Times New Roman" w:hAnsi="Arial" w:cs="Arial"/>
                <w:color w:val="000000"/>
                <w:sz w:val="16"/>
                <w:szCs w:val="16"/>
                <w:lang w:eastAsia="sl-SI"/>
              </w:rPr>
              <w:t>Konkurenčni dialog</w:t>
            </w:r>
          </w:p>
        </w:tc>
        <w:tc>
          <w:tcPr>
            <w:tcW w:w="477" w:type="pct"/>
            <w:tcBorders>
              <w:top w:val="nil"/>
              <w:left w:val="nil"/>
              <w:bottom w:val="single" w:sz="4" w:space="0" w:color="auto"/>
              <w:right w:val="single" w:sz="4" w:space="0" w:color="auto"/>
            </w:tcBorders>
            <w:shd w:val="clear" w:color="auto" w:fill="auto"/>
            <w:vAlign w:val="center"/>
            <w:hideMark/>
          </w:tcPr>
          <w:p w14:paraId="61EC7742" w14:textId="77777777" w:rsidR="00784900" w:rsidRPr="00AF2AAD" w:rsidRDefault="00784900" w:rsidP="009F7B6D">
            <w:pPr>
              <w:spacing w:after="0" w:line="240" w:lineRule="auto"/>
              <w:jc w:val="right"/>
              <w:rPr>
                <w:rFonts w:ascii="Arial" w:eastAsia="Times New Roman" w:hAnsi="Arial" w:cs="Arial"/>
                <w:color w:val="000000"/>
                <w:sz w:val="16"/>
                <w:szCs w:val="16"/>
                <w:lang w:eastAsia="sl-SI"/>
              </w:rPr>
            </w:pPr>
            <w:r w:rsidRPr="00AF2AAD">
              <w:rPr>
                <w:rFonts w:ascii="Arial" w:eastAsia="Times New Roman" w:hAnsi="Arial" w:cs="Arial"/>
                <w:color w:val="000000"/>
                <w:sz w:val="16"/>
                <w:szCs w:val="16"/>
                <w:lang w:eastAsia="sl-SI"/>
              </w:rPr>
              <w:t>22</w:t>
            </w:r>
          </w:p>
        </w:tc>
        <w:tc>
          <w:tcPr>
            <w:tcW w:w="793" w:type="pct"/>
            <w:tcBorders>
              <w:top w:val="nil"/>
              <w:left w:val="nil"/>
              <w:bottom w:val="single" w:sz="4" w:space="0" w:color="auto"/>
              <w:right w:val="single" w:sz="4" w:space="0" w:color="auto"/>
            </w:tcBorders>
            <w:shd w:val="clear" w:color="auto" w:fill="auto"/>
            <w:vAlign w:val="center"/>
            <w:hideMark/>
          </w:tcPr>
          <w:p w14:paraId="47A7FE83" w14:textId="77777777" w:rsidR="00784900" w:rsidRPr="00AF2AAD" w:rsidRDefault="00784900" w:rsidP="009F7B6D">
            <w:pPr>
              <w:spacing w:after="0" w:line="240" w:lineRule="auto"/>
              <w:jc w:val="right"/>
              <w:rPr>
                <w:rFonts w:ascii="Arial" w:eastAsia="Times New Roman" w:hAnsi="Arial" w:cs="Arial"/>
                <w:color w:val="000000"/>
                <w:sz w:val="16"/>
                <w:szCs w:val="16"/>
                <w:lang w:eastAsia="sl-SI"/>
              </w:rPr>
            </w:pPr>
            <w:r w:rsidRPr="00AF2AAD">
              <w:rPr>
                <w:rFonts w:ascii="Arial" w:eastAsia="Times New Roman" w:hAnsi="Arial" w:cs="Arial"/>
                <w:color w:val="000000"/>
                <w:sz w:val="16"/>
                <w:szCs w:val="16"/>
                <w:lang w:eastAsia="sl-SI"/>
              </w:rPr>
              <w:t>24.773.234</w:t>
            </w:r>
          </w:p>
        </w:tc>
        <w:tc>
          <w:tcPr>
            <w:tcW w:w="874" w:type="pct"/>
            <w:tcBorders>
              <w:top w:val="nil"/>
              <w:left w:val="nil"/>
              <w:bottom w:val="single" w:sz="4" w:space="0" w:color="auto"/>
              <w:right w:val="single" w:sz="4" w:space="0" w:color="auto"/>
            </w:tcBorders>
            <w:shd w:val="clear" w:color="auto" w:fill="auto"/>
            <w:noWrap/>
            <w:vAlign w:val="center"/>
            <w:hideMark/>
          </w:tcPr>
          <w:p w14:paraId="51C32F17" w14:textId="77777777" w:rsidR="00784900" w:rsidRPr="00AF2AAD" w:rsidRDefault="00784900" w:rsidP="009F7B6D">
            <w:pPr>
              <w:spacing w:after="0" w:line="240" w:lineRule="auto"/>
              <w:jc w:val="right"/>
              <w:rPr>
                <w:rFonts w:ascii="Arial" w:eastAsia="Times New Roman" w:hAnsi="Arial" w:cs="Arial"/>
                <w:color w:val="000000"/>
                <w:sz w:val="16"/>
                <w:szCs w:val="16"/>
                <w:lang w:eastAsia="sl-SI"/>
              </w:rPr>
            </w:pPr>
            <w:r w:rsidRPr="00AF2AAD">
              <w:rPr>
                <w:rFonts w:ascii="Arial" w:eastAsia="Times New Roman" w:hAnsi="Arial" w:cs="Arial"/>
                <w:color w:val="000000"/>
                <w:sz w:val="16"/>
                <w:szCs w:val="16"/>
                <w:lang w:eastAsia="sl-SI"/>
              </w:rPr>
              <w:t>53,66</w:t>
            </w:r>
            <w:r>
              <w:rPr>
                <w:rFonts w:ascii="Arial" w:eastAsia="Times New Roman" w:hAnsi="Arial" w:cs="Arial"/>
                <w:color w:val="000000"/>
                <w:sz w:val="16"/>
                <w:szCs w:val="16"/>
                <w:lang w:eastAsia="sl-SI"/>
              </w:rPr>
              <w:t xml:space="preserve"> </w:t>
            </w:r>
            <w:r w:rsidRPr="00AF2AAD">
              <w:rPr>
                <w:rFonts w:ascii="Arial" w:eastAsia="Times New Roman" w:hAnsi="Arial" w:cs="Arial"/>
                <w:color w:val="000000"/>
                <w:sz w:val="16"/>
                <w:szCs w:val="16"/>
                <w:lang w:eastAsia="sl-SI"/>
              </w:rPr>
              <w:t>%</w:t>
            </w:r>
          </w:p>
        </w:tc>
        <w:tc>
          <w:tcPr>
            <w:tcW w:w="873" w:type="pct"/>
            <w:tcBorders>
              <w:top w:val="nil"/>
              <w:left w:val="nil"/>
              <w:bottom w:val="single" w:sz="4" w:space="0" w:color="auto"/>
              <w:right w:val="single" w:sz="4" w:space="0" w:color="auto"/>
            </w:tcBorders>
            <w:shd w:val="clear" w:color="auto" w:fill="auto"/>
            <w:noWrap/>
            <w:vAlign w:val="center"/>
            <w:hideMark/>
          </w:tcPr>
          <w:p w14:paraId="47F2785F" w14:textId="77777777" w:rsidR="00784900" w:rsidRPr="00AF2AAD" w:rsidRDefault="00784900" w:rsidP="009F7B6D">
            <w:pPr>
              <w:spacing w:after="0" w:line="240" w:lineRule="auto"/>
              <w:jc w:val="right"/>
              <w:rPr>
                <w:rFonts w:ascii="Arial" w:eastAsia="Times New Roman" w:hAnsi="Arial" w:cs="Arial"/>
                <w:color w:val="000000"/>
                <w:sz w:val="16"/>
                <w:szCs w:val="16"/>
                <w:lang w:eastAsia="sl-SI"/>
              </w:rPr>
            </w:pPr>
            <w:r w:rsidRPr="00AF2AAD">
              <w:rPr>
                <w:rFonts w:ascii="Arial" w:eastAsia="Times New Roman" w:hAnsi="Arial" w:cs="Arial"/>
                <w:color w:val="000000"/>
                <w:sz w:val="16"/>
                <w:szCs w:val="16"/>
                <w:lang w:eastAsia="sl-SI"/>
              </w:rPr>
              <w:t>50,80</w:t>
            </w:r>
            <w:r>
              <w:rPr>
                <w:rFonts w:ascii="Arial" w:eastAsia="Times New Roman" w:hAnsi="Arial" w:cs="Arial"/>
                <w:color w:val="000000"/>
                <w:sz w:val="16"/>
                <w:szCs w:val="16"/>
                <w:lang w:eastAsia="sl-SI"/>
              </w:rPr>
              <w:t xml:space="preserve"> </w:t>
            </w:r>
            <w:r w:rsidRPr="00AF2AAD">
              <w:rPr>
                <w:rFonts w:ascii="Arial" w:eastAsia="Times New Roman" w:hAnsi="Arial" w:cs="Arial"/>
                <w:color w:val="000000"/>
                <w:sz w:val="16"/>
                <w:szCs w:val="16"/>
                <w:lang w:eastAsia="sl-SI"/>
              </w:rPr>
              <w:t>%</w:t>
            </w:r>
          </w:p>
        </w:tc>
      </w:tr>
      <w:tr w:rsidR="00784900" w:rsidRPr="00AF2AAD" w14:paraId="168B6CBC" w14:textId="77777777" w:rsidTr="00784900">
        <w:trPr>
          <w:trHeight w:val="287"/>
          <w:jc w:val="center"/>
        </w:trPr>
        <w:tc>
          <w:tcPr>
            <w:tcW w:w="1983" w:type="pct"/>
            <w:tcBorders>
              <w:top w:val="nil"/>
              <w:left w:val="single" w:sz="4" w:space="0" w:color="auto"/>
              <w:bottom w:val="single" w:sz="4" w:space="0" w:color="auto"/>
              <w:right w:val="single" w:sz="4" w:space="0" w:color="auto"/>
            </w:tcBorders>
            <w:shd w:val="clear" w:color="auto" w:fill="auto"/>
            <w:vAlign w:val="center"/>
            <w:hideMark/>
          </w:tcPr>
          <w:p w14:paraId="43DBD081" w14:textId="77777777" w:rsidR="00784900" w:rsidRPr="00AF2AAD" w:rsidRDefault="00784900" w:rsidP="009F7B6D">
            <w:pPr>
              <w:spacing w:after="0" w:line="240" w:lineRule="auto"/>
              <w:rPr>
                <w:rFonts w:ascii="Arial" w:eastAsia="Times New Roman" w:hAnsi="Arial" w:cs="Arial"/>
                <w:color w:val="000000"/>
                <w:sz w:val="16"/>
                <w:szCs w:val="16"/>
                <w:lang w:eastAsia="sl-SI"/>
              </w:rPr>
            </w:pPr>
            <w:r w:rsidRPr="00AF2AAD">
              <w:rPr>
                <w:rFonts w:ascii="Arial" w:eastAsia="Times New Roman" w:hAnsi="Arial" w:cs="Arial"/>
                <w:color w:val="000000"/>
                <w:sz w:val="16"/>
                <w:szCs w:val="16"/>
                <w:lang w:eastAsia="sl-SI"/>
              </w:rPr>
              <w:t>Konkurenčni postopek s pogajanji</w:t>
            </w:r>
          </w:p>
        </w:tc>
        <w:tc>
          <w:tcPr>
            <w:tcW w:w="477" w:type="pct"/>
            <w:tcBorders>
              <w:top w:val="nil"/>
              <w:left w:val="nil"/>
              <w:bottom w:val="single" w:sz="4" w:space="0" w:color="auto"/>
              <w:right w:val="single" w:sz="4" w:space="0" w:color="auto"/>
            </w:tcBorders>
            <w:shd w:val="clear" w:color="auto" w:fill="auto"/>
            <w:vAlign w:val="center"/>
            <w:hideMark/>
          </w:tcPr>
          <w:p w14:paraId="62DAAD3E" w14:textId="77777777" w:rsidR="00784900" w:rsidRPr="00AF2AAD" w:rsidRDefault="00784900" w:rsidP="009F7B6D">
            <w:pPr>
              <w:spacing w:after="0" w:line="240" w:lineRule="auto"/>
              <w:jc w:val="right"/>
              <w:rPr>
                <w:rFonts w:ascii="Arial" w:eastAsia="Times New Roman" w:hAnsi="Arial" w:cs="Arial"/>
                <w:color w:val="000000"/>
                <w:sz w:val="16"/>
                <w:szCs w:val="16"/>
                <w:lang w:eastAsia="sl-SI"/>
              </w:rPr>
            </w:pPr>
            <w:r w:rsidRPr="00AF2AAD">
              <w:rPr>
                <w:rFonts w:ascii="Arial" w:eastAsia="Times New Roman" w:hAnsi="Arial" w:cs="Arial"/>
                <w:color w:val="000000"/>
                <w:sz w:val="16"/>
                <w:szCs w:val="16"/>
                <w:lang w:eastAsia="sl-SI"/>
              </w:rPr>
              <w:t>167</w:t>
            </w:r>
          </w:p>
        </w:tc>
        <w:tc>
          <w:tcPr>
            <w:tcW w:w="793" w:type="pct"/>
            <w:tcBorders>
              <w:top w:val="nil"/>
              <w:left w:val="nil"/>
              <w:bottom w:val="single" w:sz="4" w:space="0" w:color="auto"/>
              <w:right w:val="single" w:sz="4" w:space="0" w:color="auto"/>
            </w:tcBorders>
            <w:shd w:val="clear" w:color="auto" w:fill="auto"/>
            <w:vAlign w:val="center"/>
            <w:hideMark/>
          </w:tcPr>
          <w:p w14:paraId="7A350F31" w14:textId="77777777" w:rsidR="00784900" w:rsidRPr="00AF2AAD" w:rsidRDefault="00784900" w:rsidP="009F7B6D">
            <w:pPr>
              <w:spacing w:after="0" w:line="240" w:lineRule="auto"/>
              <w:jc w:val="right"/>
              <w:rPr>
                <w:rFonts w:ascii="Arial" w:eastAsia="Times New Roman" w:hAnsi="Arial" w:cs="Arial"/>
                <w:color w:val="000000"/>
                <w:sz w:val="16"/>
                <w:szCs w:val="16"/>
                <w:lang w:eastAsia="sl-SI"/>
              </w:rPr>
            </w:pPr>
            <w:r w:rsidRPr="00AF2AAD">
              <w:rPr>
                <w:rFonts w:ascii="Arial" w:eastAsia="Times New Roman" w:hAnsi="Arial" w:cs="Arial"/>
                <w:color w:val="000000"/>
                <w:sz w:val="16"/>
                <w:szCs w:val="16"/>
                <w:lang w:eastAsia="sl-SI"/>
              </w:rPr>
              <w:t>195.513.693</w:t>
            </w:r>
          </w:p>
        </w:tc>
        <w:tc>
          <w:tcPr>
            <w:tcW w:w="874" w:type="pct"/>
            <w:tcBorders>
              <w:top w:val="nil"/>
              <w:left w:val="nil"/>
              <w:bottom w:val="single" w:sz="4" w:space="0" w:color="auto"/>
              <w:right w:val="single" w:sz="4" w:space="0" w:color="auto"/>
            </w:tcBorders>
            <w:shd w:val="clear" w:color="auto" w:fill="auto"/>
            <w:noWrap/>
            <w:vAlign w:val="center"/>
            <w:hideMark/>
          </w:tcPr>
          <w:p w14:paraId="5FC066AC" w14:textId="77777777" w:rsidR="00784900" w:rsidRPr="00AF2AAD" w:rsidRDefault="00784900" w:rsidP="009F7B6D">
            <w:pPr>
              <w:spacing w:after="0" w:line="240" w:lineRule="auto"/>
              <w:jc w:val="right"/>
              <w:rPr>
                <w:rFonts w:ascii="Arial" w:eastAsia="Times New Roman" w:hAnsi="Arial" w:cs="Arial"/>
                <w:color w:val="000000"/>
                <w:sz w:val="16"/>
                <w:szCs w:val="16"/>
                <w:lang w:eastAsia="sl-SI"/>
              </w:rPr>
            </w:pPr>
            <w:r w:rsidRPr="00AF2AAD">
              <w:rPr>
                <w:rFonts w:ascii="Arial" w:eastAsia="Times New Roman" w:hAnsi="Arial" w:cs="Arial"/>
                <w:color w:val="000000"/>
                <w:sz w:val="16"/>
                <w:szCs w:val="16"/>
                <w:lang w:eastAsia="sl-SI"/>
              </w:rPr>
              <w:t>69,87</w:t>
            </w:r>
            <w:r>
              <w:rPr>
                <w:rFonts w:ascii="Arial" w:eastAsia="Times New Roman" w:hAnsi="Arial" w:cs="Arial"/>
                <w:color w:val="000000"/>
                <w:sz w:val="16"/>
                <w:szCs w:val="16"/>
                <w:lang w:eastAsia="sl-SI"/>
              </w:rPr>
              <w:t xml:space="preserve"> </w:t>
            </w:r>
            <w:r w:rsidRPr="00AF2AAD">
              <w:rPr>
                <w:rFonts w:ascii="Arial" w:eastAsia="Times New Roman" w:hAnsi="Arial" w:cs="Arial"/>
                <w:color w:val="000000"/>
                <w:sz w:val="16"/>
                <w:szCs w:val="16"/>
                <w:lang w:eastAsia="sl-SI"/>
              </w:rPr>
              <w:t>%</w:t>
            </w:r>
          </w:p>
        </w:tc>
        <w:tc>
          <w:tcPr>
            <w:tcW w:w="873" w:type="pct"/>
            <w:tcBorders>
              <w:top w:val="nil"/>
              <w:left w:val="nil"/>
              <w:bottom w:val="single" w:sz="4" w:space="0" w:color="auto"/>
              <w:right w:val="single" w:sz="4" w:space="0" w:color="auto"/>
            </w:tcBorders>
            <w:shd w:val="clear" w:color="auto" w:fill="auto"/>
            <w:noWrap/>
            <w:vAlign w:val="center"/>
            <w:hideMark/>
          </w:tcPr>
          <w:p w14:paraId="732FCC71" w14:textId="77777777" w:rsidR="00784900" w:rsidRPr="00AF2AAD" w:rsidRDefault="00784900" w:rsidP="009F7B6D">
            <w:pPr>
              <w:spacing w:after="0" w:line="240" w:lineRule="auto"/>
              <w:jc w:val="right"/>
              <w:rPr>
                <w:rFonts w:ascii="Arial" w:eastAsia="Times New Roman" w:hAnsi="Arial" w:cs="Arial"/>
                <w:color w:val="000000"/>
                <w:sz w:val="16"/>
                <w:szCs w:val="16"/>
                <w:lang w:eastAsia="sl-SI"/>
              </w:rPr>
            </w:pPr>
            <w:r w:rsidRPr="00AF2AAD">
              <w:rPr>
                <w:rFonts w:ascii="Arial" w:eastAsia="Times New Roman" w:hAnsi="Arial" w:cs="Arial"/>
                <w:color w:val="000000"/>
                <w:sz w:val="16"/>
                <w:szCs w:val="16"/>
                <w:lang w:eastAsia="sl-SI"/>
              </w:rPr>
              <w:t>47,78</w:t>
            </w:r>
            <w:r>
              <w:rPr>
                <w:rFonts w:ascii="Arial" w:eastAsia="Times New Roman" w:hAnsi="Arial" w:cs="Arial"/>
                <w:color w:val="000000"/>
                <w:sz w:val="16"/>
                <w:szCs w:val="16"/>
                <w:lang w:eastAsia="sl-SI"/>
              </w:rPr>
              <w:t xml:space="preserve"> </w:t>
            </w:r>
            <w:r w:rsidRPr="00AF2AAD">
              <w:rPr>
                <w:rFonts w:ascii="Arial" w:eastAsia="Times New Roman" w:hAnsi="Arial" w:cs="Arial"/>
                <w:color w:val="000000"/>
                <w:sz w:val="16"/>
                <w:szCs w:val="16"/>
                <w:lang w:eastAsia="sl-SI"/>
              </w:rPr>
              <w:t>%</w:t>
            </w:r>
          </w:p>
        </w:tc>
      </w:tr>
      <w:tr w:rsidR="00784900" w:rsidRPr="00AF2AAD" w14:paraId="57C32E28" w14:textId="77777777" w:rsidTr="00784900">
        <w:trPr>
          <w:trHeight w:val="287"/>
          <w:jc w:val="center"/>
        </w:trPr>
        <w:tc>
          <w:tcPr>
            <w:tcW w:w="1983" w:type="pct"/>
            <w:tcBorders>
              <w:top w:val="nil"/>
              <w:left w:val="single" w:sz="4" w:space="0" w:color="auto"/>
              <w:bottom w:val="single" w:sz="4" w:space="0" w:color="auto"/>
              <w:right w:val="single" w:sz="4" w:space="0" w:color="auto"/>
            </w:tcBorders>
            <w:shd w:val="clear" w:color="auto" w:fill="auto"/>
            <w:vAlign w:val="center"/>
            <w:hideMark/>
          </w:tcPr>
          <w:p w14:paraId="7DD737CB" w14:textId="77777777" w:rsidR="00784900" w:rsidRPr="00AF2AAD" w:rsidRDefault="00784900" w:rsidP="009F7B6D">
            <w:pPr>
              <w:spacing w:after="0" w:line="240" w:lineRule="auto"/>
              <w:rPr>
                <w:rFonts w:ascii="Arial" w:eastAsia="Times New Roman" w:hAnsi="Arial" w:cs="Arial"/>
                <w:color w:val="000000"/>
                <w:sz w:val="16"/>
                <w:szCs w:val="16"/>
                <w:lang w:eastAsia="sl-SI"/>
              </w:rPr>
            </w:pPr>
            <w:r w:rsidRPr="00AF2AAD">
              <w:rPr>
                <w:rFonts w:ascii="Arial" w:eastAsia="Times New Roman" w:hAnsi="Arial" w:cs="Arial"/>
                <w:color w:val="000000"/>
                <w:sz w:val="16"/>
                <w:szCs w:val="16"/>
                <w:lang w:eastAsia="sl-SI"/>
              </w:rPr>
              <w:t>Odprti postopek</w:t>
            </w:r>
          </w:p>
        </w:tc>
        <w:tc>
          <w:tcPr>
            <w:tcW w:w="477" w:type="pct"/>
            <w:tcBorders>
              <w:top w:val="nil"/>
              <w:left w:val="nil"/>
              <w:bottom w:val="single" w:sz="4" w:space="0" w:color="auto"/>
              <w:right w:val="single" w:sz="4" w:space="0" w:color="auto"/>
            </w:tcBorders>
            <w:shd w:val="clear" w:color="auto" w:fill="auto"/>
            <w:vAlign w:val="center"/>
            <w:hideMark/>
          </w:tcPr>
          <w:p w14:paraId="44845C3C" w14:textId="77777777" w:rsidR="00784900" w:rsidRPr="00AF2AAD" w:rsidRDefault="00784900" w:rsidP="009F7B6D">
            <w:pPr>
              <w:spacing w:after="0" w:line="240" w:lineRule="auto"/>
              <w:jc w:val="right"/>
              <w:rPr>
                <w:rFonts w:ascii="Arial" w:eastAsia="Times New Roman" w:hAnsi="Arial" w:cs="Arial"/>
                <w:color w:val="000000"/>
                <w:sz w:val="16"/>
                <w:szCs w:val="16"/>
                <w:lang w:eastAsia="sl-SI"/>
              </w:rPr>
            </w:pPr>
            <w:r w:rsidRPr="00AF2AAD">
              <w:rPr>
                <w:rFonts w:ascii="Arial" w:eastAsia="Times New Roman" w:hAnsi="Arial" w:cs="Arial"/>
                <w:color w:val="000000"/>
                <w:sz w:val="16"/>
                <w:szCs w:val="16"/>
                <w:lang w:eastAsia="sl-SI"/>
              </w:rPr>
              <w:t>4.179</w:t>
            </w:r>
          </w:p>
        </w:tc>
        <w:tc>
          <w:tcPr>
            <w:tcW w:w="793" w:type="pct"/>
            <w:tcBorders>
              <w:top w:val="nil"/>
              <w:left w:val="nil"/>
              <w:bottom w:val="single" w:sz="4" w:space="0" w:color="auto"/>
              <w:right w:val="single" w:sz="4" w:space="0" w:color="auto"/>
            </w:tcBorders>
            <w:shd w:val="clear" w:color="auto" w:fill="auto"/>
            <w:vAlign w:val="center"/>
            <w:hideMark/>
          </w:tcPr>
          <w:p w14:paraId="24D33C72" w14:textId="77777777" w:rsidR="00784900" w:rsidRPr="00AF2AAD" w:rsidRDefault="00784900" w:rsidP="009F7B6D">
            <w:pPr>
              <w:spacing w:after="0" w:line="240" w:lineRule="auto"/>
              <w:jc w:val="right"/>
              <w:rPr>
                <w:rFonts w:ascii="Arial" w:eastAsia="Times New Roman" w:hAnsi="Arial" w:cs="Arial"/>
                <w:color w:val="000000"/>
                <w:sz w:val="16"/>
                <w:szCs w:val="16"/>
                <w:lang w:eastAsia="sl-SI"/>
              </w:rPr>
            </w:pPr>
            <w:r w:rsidRPr="00AF2AAD">
              <w:rPr>
                <w:rFonts w:ascii="Arial" w:eastAsia="Times New Roman" w:hAnsi="Arial" w:cs="Arial"/>
                <w:color w:val="000000"/>
                <w:sz w:val="16"/>
                <w:szCs w:val="16"/>
                <w:lang w:eastAsia="sl-SI"/>
              </w:rPr>
              <w:t>1.714.242.433</w:t>
            </w:r>
          </w:p>
        </w:tc>
        <w:tc>
          <w:tcPr>
            <w:tcW w:w="874" w:type="pct"/>
            <w:tcBorders>
              <w:top w:val="nil"/>
              <w:left w:val="nil"/>
              <w:bottom w:val="single" w:sz="4" w:space="0" w:color="auto"/>
              <w:right w:val="single" w:sz="4" w:space="0" w:color="auto"/>
            </w:tcBorders>
            <w:shd w:val="clear" w:color="auto" w:fill="auto"/>
            <w:noWrap/>
            <w:vAlign w:val="center"/>
            <w:hideMark/>
          </w:tcPr>
          <w:p w14:paraId="41DFD252" w14:textId="77777777" w:rsidR="00784900" w:rsidRPr="00AF2AAD" w:rsidRDefault="00784900" w:rsidP="009F7B6D">
            <w:pPr>
              <w:spacing w:after="0" w:line="240" w:lineRule="auto"/>
              <w:jc w:val="right"/>
              <w:rPr>
                <w:rFonts w:ascii="Arial" w:eastAsia="Times New Roman" w:hAnsi="Arial" w:cs="Arial"/>
                <w:color w:val="000000"/>
                <w:sz w:val="16"/>
                <w:szCs w:val="16"/>
                <w:lang w:eastAsia="sl-SI"/>
              </w:rPr>
            </w:pPr>
            <w:r w:rsidRPr="00AF2AAD">
              <w:rPr>
                <w:rFonts w:ascii="Arial" w:eastAsia="Times New Roman" w:hAnsi="Arial" w:cs="Arial"/>
                <w:color w:val="000000"/>
                <w:sz w:val="16"/>
                <w:szCs w:val="16"/>
                <w:lang w:eastAsia="sl-SI"/>
              </w:rPr>
              <w:t>42,31</w:t>
            </w:r>
            <w:r>
              <w:rPr>
                <w:rFonts w:ascii="Arial" w:eastAsia="Times New Roman" w:hAnsi="Arial" w:cs="Arial"/>
                <w:color w:val="000000"/>
                <w:sz w:val="16"/>
                <w:szCs w:val="16"/>
                <w:lang w:eastAsia="sl-SI"/>
              </w:rPr>
              <w:t xml:space="preserve"> </w:t>
            </w:r>
            <w:r w:rsidRPr="00AF2AAD">
              <w:rPr>
                <w:rFonts w:ascii="Arial" w:eastAsia="Times New Roman" w:hAnsi="Arial" w:cs="Arial"/>
                <w:color w:val="000000"/>
                <w:sz w:val="16"/>
                <w:szCs w:val="16"/>
                <w:lang w:eastAsia="sl-SI"/>
              </w:rPr>
              <w:t>%</w:t>
            </w:r>
          </w:p>
        </w:tc>
        <w:tc>
          <w:tcPr>
            <w:tcW w:w="873" w:type="pct"/>
            <w:tcBorders>
              <w:top w:val="nil"/>
              <w:left w:val="nil"/>
              <w:bottom w:val="single" w:sz="4" w:space="0" w:color="auto"/>
              <w:right w:val="single" w:sz="4" w:space="0" w:color="auto"/>
            </w:tcBorders>
            <w:shd w:val="clear" w:color="auto" w:fill="auto"/>
            <w:noWrap/>
            <w:vAlign w:val="center"/>
            <w:hideMark/>
          </w:tcPr>
          <w:p w14:paraId="42945859" w14:textId="77777777" w:rsidR="00784900" w:rsidRPr="00AF2AAD" w:rsidRDefault="00784900" w:rsidP="009F7B6D">
            <w:pPr>
              <w:spacing w:after="0" w:line="240" w:lineRule="auto"/>
              <w:jc w:val="right"/>
              <w:rPr>
                <w:rFonts w:ascii="Arial" w:eastAsia="Times New Roman" w:hAnsi="Arial" w:cs="Arial"/>
                <w:color w:val="000000"/>
                <w:sz w:val="16"/>
                <w:szCs w:val="16"/>
                <w:lang w:eastAsia="sl-SI"/>
              </w:rPr>
            </w:pPr>
            <w:r w:rsidRPr="00AF2AAD">
              <w:rPr>
                <w:rFonts w:ascii="Arial" w:eastAsia="Times New Roman" w:hAnsi="Arial" w:cs="Arial"/>
                <w:color w:val="000000"/>
                <w:sz w:val="16"/>
                <w:szCs w:val="16"/>
                <w:lang w:eastAsia="sl-SI"/>
              </w:rPr>
              <w:t>50,00</w:t>
            </w:r>
            <w:r>
              <w:rPr>
                <w:rFonts w:ascii="Arial" w:eastAsia="Times New Roman" w:hAnsi="Arial" w:cs="Arial"/>
                <w:color w:val="000000"/>
                <w:sz w:val="16"/>
                <w:szCs w:val="16"/>
                <w:lang w:eastAsia="sl-SI"/>
              </w:rPr>
              <w:t xml:space="preserve"> </w:t>
            </w:r>
            <w:r w:rsidRPr="00AF2AAD">
              <w:rPr>
                <w:rFonts w:ascii="Arial" w:eastAsia="Times New Roman" w:hAnsi="Arial" w:cs="Arial"/>
                <w:color w:val="000000"/>
                <w:sz w:val="16"/>
                <w:szCs w:val="16"/>
                <w:lang w:eastAsia="sl-SI"/>
              </w:rPr>
              <w:t>%</w:t>
            </w:r>
          </w:p>
        </w:tc>
      </w:tr>
      <w:tr w:rsidR="00784900" w:rsidRPr="00AF2AAD" w14:paraId="02C7D372" w14:textId="77777777" w:rsidTr="00784900">
        <w:trPr>
          <w:trHeight w:val="287"/>
          <w:jc w:val="center"/>
        </w:trPr>
        <w:tc>
          <w:tcPr>
            <w:tcW w:w="1983" w:type="pct"/>
            <w:tcBorders>
              <w:top w:val="nil"/>
              <w:left w:val="single" w:sz="4" w:space="0" w:color="auto"/>
              <w:bottom w:val="single" w:sz="4" w:space="0" w:color="auto"/>
              <w:right w:val="single" w:sz="4" w:space="0" w:color="auto"/>
            </w:tcBorders>
            <w:shd w:val="clear" w:color="auto" w:fill="auto"/>
            <w:vAlign w:val="center"/>
            <w:hideMark/>
          </w:tcPr>
          <w:p w14:paraId="75CEA957" w14:textId="77777777" w:rsidR="00784900" w:rsidRPr="00AF2AAD" w:rsidRDefault="00784900" w:rsidP="009F7B6D">
            <w:pPr>
              <w:spacing w:after="0" w:line="240" w:lineRule="auto"/>
              <w:rPr>
                <w:rFonts w:ascii="Arial" w:eastAsia="Times New Roman" w:hAnsi="Arial" w:cs="Arial"/>
                <w:color w:val="000000"/>
                <w:sz w:val="16"/>
                <w:szCs w:val="16"/>
                <w:lang w:eastAsia="sl-SI"/>
              </w:rPr>
            </w:pPr>
            <w:r w:rsidRPr="00AF2AAD">
              <w:rPr>
                <w:rFonts w:ascii="Arial" w:eastAsia="Times New Roman" w:hAnsi="Arial" w:cs="Arial"/>
                <w:color w:val="000000"/>
                <w:sz w:val="16"/>
                <w:szCs w:val="16"/>
                <w:lang w:eastAsia="sl-SI"/>
              </w:rPr>
              <w:t>Omejeni postopek</w:t>
            </w:r>
          </w:p>
        </w:tc>
        <w:tc>
          <w:tcPr>
            <w:tcW w:w="477" w:type="pct"/>
            <w:tcBorders>
              <w:top w:val="nil"/>
              <w:left w:val="nil"/>
              <w:bottom w:val="single" w:sz="4" w:space="0" w:color="auto"/>
              <w:right w:val="single" w:sz="4" w:space="0" w:color="auto"/>
            </w:tcBorders>
            <w:shd w:val="clear" w:color="auto" w:fill="auto"/>
            <w:vAlign w:val="center"/>
            <w:hideMark/>
          </w:tcPr>
          <w:p w14:paraId="144375A1" w14:textId="77777777" w:rsidR="00784900" w:rsidRPr="00AF2AAD" w:rsidRDefault="00784900" w:rsidP="009F7B6D">
            <w:pPr>
              <w:spacing w:after="0" w:line="240" w:lineRule="auto"/>
              <w:jc w:val="right"/>
              <w:rPr>
                <w:rFonts w:ascii="Arial" w:eastAsia="Times New Roman" w:hAnsi="Arial" w:cs="Arial"/>
                <w:color w:val="000000"/>
                <w:sz w:val="16"/>
                <w:szCs w:val="16"/>
                <w:lang w:eastAsia="sl-SI"/>
              </w:rPr>
            </w:pPr>
            <w:r w:rsidRPr="00AF2AAD">
              <w:rPr>
                <w:rFonts w:ascii="Arial" w:eastAsia="Times New Roman" w:hAnsi="Arial" w:cs="Arial"/>
                <w:color w:val="000000"/>
                <w:sz w:val="16"/>
                <w:szCs w:val="16"/>
                <w:lang w:eastAsia="sl-SI"/>
              </w:rPr>
              <w:t>12</w:t>
            </w:r>
          </w:p>
        </w:tc>
        <w:tc>
          <w:tcPr>
            <w:tcW w:w="793" w:type="pct"/>
            <w:tcBorders>
              <w:top w:val="nil"/>
              <w:left w:val="nil"/>
              <w:bottom w:val="single" w:sz="4" w:space="0" w:color="auto"/>
              <w:right w:val="single" w:sz="4" w:space="0" w:color="auto"/>
            </w:tcBorders>
            <w:shd w:val="clear" w:color="auto" w:fill="auto"/>
            <w:vAlign w:val="center"/>
            <w:hideMark/>
          </w:tcPr>
          <w:p w14:paraId="7B046140" w14:textId="77777777" w:rsidR="00784900" w:rsidRPr="00AF2AAD" w:rsidRDefault="00784900" w:rsidP="009F7B6D">
            <w:pPr>
              <w:spacing w:after="0" w:line="240" w:lineRule="auto"/>
              <w:jc w:val="right"/>
              <w:rPr>
                <w:rFonts w:ascii="Arial" w:eastAsia="Times New Roman" w:hAnsi="Arial" w:cs="Arial"/>
                <w:color w:val="000000"/>
                <w:sz w:val="16"/>
                <w:szCs w:val="16"/>
                <w:lang w:eastAsia="sl-SI"/>
              </w:rPr>
            </w:pPr>
            <w:r w:rsidRPr="00AF2AAD">
              <w:rPr>
                <w:rFonts w:ascii="Arial" w:eastAsia="Times New Roman" w:hAnsi="Arial" w:cs="Arial"/>
                <w:color w:val="000000"/>
                <w:sz w:val="16"/>
                <w:szCs w:val="16"/>
                <w:lang w:eastAsia="sl-SI"/>
              </w:rPr>
              <w:t>63.776.827</w:t>
            </w:r>
          </w:p>
        </w:tc>
        <w:tc>
          <w:tcPr>
            <w:tcW w:w="874" w:type="pct"/>
            <w:tcBorders>
              <w:top w:val="nil"/>
              <w:left w:val="nil"/>
              <w:bottom w:val="single" w:sz="4" w:space="0" w:color="auto"/>
              <w:right w:val="single" w:sz="4" w:space="0" w:color="auto"/>
            </w:tcBorders>
            <w:shd w:val="clear" w:color="auto" w:fill="auto"/>
            <w:noWrap/>
            <w:vAlign w:val="center"/>
            <w:hideMark/>
          </w:tcPr>
          <w:p w14:paraId="5821FD7E" w14:textId="77777777" w:rsidR="00784900" w:rsidRPr="00AF2AAD" w:rsidRDefault="00784900" w:rsidP="009F7B6D">
            <w:pPr>
              <w:spacing w:after="0" w:line="240" w:lineRule="auto"/>
              <w:jc w:val="right"/>
              <w:rPr>
                <w:rFonts w:ascii="Arial" w:eastAsia="Times New Roman" w:hAnsi="Arial" w:cs="Arial"/>
                <w:color w:val="000000"/>
                <w:sz w:val="16"/>
                <w:szCs w:val="16"/>
                <w:lang w:eastAsia="sl-SI"/>
              </w:rPr>
            </w:pPr>
            <w:r w:rsidRPr="00AF2AAD">
              <w:rPr>
                <w:rFonts w:ascii="Arial" w:eastAsia="Times New Roman" w:hAnsi="Arial" w:cs="Arial"/>
                <w:color w:val="000000"/>
                <w:sz w:val="16"/>
                <w:szCs w:val="16"/>
                <w:lang w:eastAsia="sl-SI"/>
              </w:rPr>
              <w:t>20,34</w:t>
            </w:r>
            <w:r>
              <w:rPr>
                <w:rFonts w:ascii="Arial" w:eastAsia="Times New Roman" w:hAnsi="Arial" w:cs="Arial"/>
                <w:color w:val="000000"/>
                <w:sz w:val="16"/>
                <w:szCs w:val="16"/>
                <w:lang w:eastAsia="sl-SI"/>
              </w:rPr>
              <w:t xml:space="preserve"> </w:t>
            </w:r>
            <w:r w:rsidRPr="00AF2AAD">
              <w:rPr>
                <w:rFonts w:ascii="Arial" w:eastAsia="Times New Roman" w:hAnsi="Arial" w:cs="Arial"/>
                <w:color w:val="000000"/>
                <w:sz w:val="16"/>
                <w:szCs w:val="16"/>
                <w:lang w:eastAsia="sl-SI"/>
              </w:rPr>
              <w:t>%</w:t>
            </w:r>
          </w:p>
        </w:tc>
        <w:tc>
          <w:tcPr>
            <w:tcW w:w="873" w:type="pct"/>
            <w:tcBorders>
              <w:top w:val="nil"/>
              <w:left w:val="nil"/>
              <w:bottom w:val="single" w:sz="4" w:space="0" w:color="auto"/>
              <w:right w:val="single" w:sz="4" w:space="0" w:color="auto"/>
            </w:tcBorders>
            <w:shd w:val="clear" w:color="auto" w:fill="auto"/>
            <w:noWrap/>
            <w:vAlign w:val="center"/>
            <w:hideMark/>
          </w:tcPr>
          <w:p w14:paraId="2B06B998" w14:textId="77777777" w:rsidR="00784900" w:rsidRPr="00AF2AAD" w:rsidRDefault="00784900" w:rsidP="009F7B6D">
            <w:pPr>
              <w:spacing w:after="0" w:line="240" w:lineRule="auto"/>
              <w:jc w:val="right"/>
              <w:rPr>
                <w:rFonts w:ascii="Arial" w:eastAsia="Times New Roman" w:hAnsi="Arial" w:cs="Arial"/>
                <w:color w:val="000000"/>
                <w:sz w:val="16"/>
                <w:szCs w:val="16"/>
                <w:lang w:eastAsia="sl-SI"/>
              </w:rPr>
            </w:pPr>
            <w:r w:rsidRPr="00AF2AAD">
              <w:rPr>
                <w:rFonts w:ascii="Arial" w:eastAsia="Times New Roman" w:hAnsi="Arial" w:cs="Arial"/>
                <w:color w:val="000000"/>
                <w:sz w:val="16"/>
                <w:szCs w:val="16"/>
                <w:lang w:eastAsia="sl-SI"/>
              </w:rPr>
              <w:t>78,77</w:t>
            </w:r>
            <w:r>
              <w:rPr>
                <w:rFonts w:ascii="Arial" w:eastAsia="Times New Roman" w:hAnsi="Arial" w:cs="Arial"/>
                <w:color w:val="000000"/>
                <w:sz w:val="16"/>
                <w:szCs w:val="16"/>
                <w:lang w:eastAsia="sl-SI"/>
              </w:rPr>
              <w:t xml:space="preserve"> </w:t>
            </w:r>
            <w:r w:rsidRPr="00AF2AAD">
              <w:rPr>
                <w:rFonts w:ascii="Arial" w:eastAsia="Times New Roman" w:hAnsi="Arial" w:cs="Arial"/>
                <w:color w:val="000000"/>
                <w:sz w:val="16"/>
                <w:szCs w:val="16"/>
                <w:lang w:eastAsia="sl-SI"/>
              </w:rPr>
              <w:t>%</w:t>
            </w:r>
          </w:p>
        </w:tc>
      </w:tr>
      <w:tr w:rsidR="00784900" w:rsidRPr="00AF2AAD" w14:paraId="4B98EFCD" w14:textId="77777777" w:rsidTr="00784900">
        <w:trPr>
          <w:trHeight w:val="287"/>
          <w:jc w:val="center"/>
        </w:trPr>
        <w:tc>
          <w:tcPr>
            <w:tcW w:w="1983" w:type="pct"/>
            <w:tcBorders>
              <w:top w:val="nil"/>
              <w:left w:val="single" w:sz="4" w:space="0" w:color="auto"/>
              <w:bottom w:val="single" w:sz="4" w:space="0" w:color="auto"/>
              <w:right w:val="single" w:sz="4" w:space="0" w:color="auto"/>
            </w:tcBorders>
            <w:shd w:val="clear" w:color="auto" w:fill="auto"/>
            <w:vAlign w:val="center"/>
            <w:hideMark/>
          </w:tcPr>
          <w:p w14:paraId="47076D31" w14:textId="77777777" w:rsidR="00784900" w:rsidRPr="00AF2AAD" w:rsidRDefault="00784900" w:rsidP="009F7B6D">
            <w:pPr>
              <w:spacing w:after="0" w:line="240" w:lineRule="auto"/>
              <w:rPr>
                <w:rFonts w:ascii="Arial" w:eastAsia="Times New Roman" w:hAnsi="Arial" w:cs="Arial"/>
                <w:color w:val="000000"/>
                <w:sz w:val="16"/>
                <w:szCs w:val="16"/>
                <w:lang w:eastAsia="sl-SI"/>
              </w:rPr>
            </w:pPr>
            <w:r w:rsidRPr="00AF2AAD">
              <w:rPr>
                <w:rFonts w:ascii="Arial" w:eastAsia="Times New Roman" w:hAnsi="Arial" w:cs="Arial"/>
                <w:color w:val="000000"/>
                <w:sz w:val="16"/>
                <w:szCs w:val="16"/>
                <w:lang w:eastAsia="sl-SI"/>
              </w:rPr>
              <w:t>Postopek naročila male vrednosti</w:t>
            </w:r>
          </w:p>
        </w:tc>
        <w:tc>
          <w:tcPr>
            <w:tcW w:w="477" w:type="pct"/>
            <w:tcBorders>
              <w:top w:val="nil"/>
              <w:left w:val="nil"/>
              <w:bottom w:val="single" w:sz="4" w:space="0" w:color="auto"/>
              <w:right w:val="single" w:sz="4" w:space="0" w:color="auto"/>
            </w:tcBorders>
            <w:shd w:val="clear" w:color="auto" w:fill="auto"/>
            <w:vAlign w:val="center"/>
            <w:hideMark/>
          </w:tcPr>
          <w:p w14:paraId="02F4D429" w14:textId="77777777" w:rsidR="00784900" w:rsidRPr="00AF2AAD" w:rsidRDefault="00784900" w:rsidP="009F7B6D">
            <w:pPr>
              <w:spacing w:after="0" w:line="240" w:lineRule="auto"/>
              <w:jc w:val="right"/>
              <w:rPr>
                <w:rFonts w:ascii="Arial" w:eastAsia="Times New Roman" w:hAnsi="Arial" w:cs="Arial"/>
                <w:color w:val="000000"/>
                <w:sz w:val="16"/>
                <w:szCs w:val="16"/>
                <w:lang w:eastAsia="sl-SI"/>
              </w:rPr>
            </w:pPr>
            <w:r w:rsidRPr="00AF2AAD">
              <w:rPr>
                <w:rFonts w:ascii="Arial" w:eastAsia="Times New Roman" w:hAnsi="Arial" w:cs="Arial"/>
                <w:color w:val="000000"/>
                <w:sz w:val="16"/>
                <w:szCs w:val="16"/>
                <w:lang w:eastAsia="sl-SI"/>
              </w:rPr>
              <w:t>2.785</w:t>
            </w:r>
          </w:p>
        </w:tc>
        <w:tc>
          <w:tcPr>
            <w:tcW w:w="793" w:type="pct"/>
            <w:tcBorders>
              <w:top w:val="nil"/>
              <w:left w:val="nil"/>
              <w:bottom w:val="single" w:sz="4" w:space="0" w:color="auto"/>
              <w:right w:val="single" w:sz="4" w:space="0" w:color="auto"/>
            </w:tcBorders>
            <w:shd w:val="clear" w:color="auto" w:fill="auto"/>
            <w:vAlign w:val="center"/>
            <w:hideMark/>
          </w:tcPr>
          <w:p w14:paraId="057BEDD5" w14:textId="77777777" w:rsidR="00784900" w:rsidRPr="00AF2AAD" w:rsidRDefault="00784900" w:rsidP="009F7B6D">
            <w:pPr>
              <w:spacing w:after="0" w:line="240" w:lineRule="auto"/>
              <w:jc w:val="right"/>
              <w:rPr>
                <w:rFonts w:ascii="Arial" w:eastAsia="Times New Roman" w:hAnsi="Arial" w:cs="Arial"/>
                <w:color w:val="000000"/>
                <w:sz w:val="16"/>
                <w:szCs w:val="16"/>
                <w:lang w:eastAsia="sl-SI"/>
              </w:rPr>
            </w:pPr>
            <w:r w:rsidRPr="00AF2AAD">
              <w:rPr>
                <w:rFonts w:ascii="Arial" w:eastAsia="Times New Roman" w:hAnsi="Arial" w:cs="Arial"/>
                <w:color w:val="000000"/>
                <w:sz w:val="16"/>
                <w:szCs w:val="16"/>
                <w:lang w:eastAsia="sl-SI"/>
              </w:rPr>
              <w:t>314.449.429</w:t>
            </w:r>
          </w:p>
        </w:tc>
        <w:tc>
          <w:tcPr>
            <w:tcW w:w="874" w:type="pct"/>
            <w:tcBorders>
              <w:top w:val="nil"/>
              <w:left w:val="nil"/>
              <w:bottom w:val="single" w:sz="4" w:space="0" w:color="auto"/>
              <w:right w:val="single" w:sz="4" w:space="0" w:color="auto"/>
            </w:tcBorders>
            <w:shd w:val="clear" w:color="auto" w:fill="auto"/>
            <w:noWrap/>
            <w:vAlign w:val="center"/>
            <w:hideMark/>
          </w:tcPr>
          <w:p w14:paraId="4FF6DD0F" w14:textId="77777777" w:rsidR="00784900" w:rsidRPr="00AF2AAD" w:rsidRDefault="00784900" w:rsidP="009F7B6D">
            <w:pPr>
              <w:spacing w:after="0" w:line="240" w:lineRule="auto"/>
              <w:jc w:val="right"/>
              <w:rPr>
                <w:rFonts w:ascii="Arial" w:eastAsia="Times New Roman" w:hAnsi="Arial" w:cs="Arial"/>
                <w:color w:val="000000"/>
                <w:sz w:val="16"/>
                <w:szCs w:val="16"/>
                <w:lang w:eastAsia="sl-SI"/>
              </w:rPr>
            </w:pPr>
            <w:r w:rsidRPr="00AF2AAD">
              <w:rPr>
                <w:rFonts w:ascii="Arial" w:eastAsia="Times New Roman" w:hAnsi="Arial" w:cs="Arial"/>
                <w:color w:val="000000"/>
                <w:sz w:val="16"/>
                <w:szCs w:val="16"/>
                <w:lang w:eastAsia="sl-SI"/>
              </w:rPr>
              <w:t>46,88</w:t>
            </w:r>
            <w:r>
              <w:rPr>
                <w:rFonts w:ascii="Arial" w:eastAsia="Times New Roman" w:hAnsi="Arial" w:cs="Arial"/>
                <w:color w:val="000000"/>
                <w:sz w:val="16"/>
                <w:szCs w:val="16"/>
                <w:lang w:eastAsia="sl-SI"/>
              </w:rPr>
              <w:t xml:space="preserve"> </w:t>
            </w:r>
            <w:r w:rsidRPr="00AF2AAD">
              <w:rPr>
                <w:rFonts w:ascii="Arial" w:eastAsia="Times New Roman" w:hAnsi="Arial" w:cs="Arial"/>
                <w:color w:val="000000"/>
                <w:sz w:val="16"/>
                <w:szCs w:val="16"/>
                <w:lang w:eastAsia="sl-SI"/>
              </w:rPr>
              <w:t>%</w:t>
            </w:r>
          </w:p>
        </w:tc>
        <w:tc>
          <w:tcPr>
            <w:tcW w:w="873" w:type="pct"/>
            <w:tcBorders>
              <w:top w:val="nil"/>
              <w:left w:val="nil"/>
              <w:bottom w:val="single" w:sz="4" w:space="0" w:color="auto"/>
              <w:right w:val="single" w:sz="4" w:space="0" w:color="auto"/>
            </w:tcBorders>
            <w:shd w:val="clear" w:color="auto" w:fill="auto"/>
            <w:noWrap/>
            <w:vAlign w:val="center"/>
            <w:hideMark/>
          </w:tcPr>
          <w:p w14:paraId="4C8B7159" w14:textId="77777777" w:rsidR="00784900" w:rsidRPr="00AF2AAD" w:rsidRDefault="00784900" w:rsidP="009F7B6D">
            <w:pPr>
              <w:spacing w:after="0" w:line="240" w:lineRule="auto"/>
              <w:jc w:val="right"/>
              <w:rPr>
                <w:rFonts w:ascii="Arial" w:eastAsia="Times New Roman" w:hAnsi="Arial" w:cs="Arial"/>
                <w:color w:val="000000"/>
                <w:sz w:val="16"/>
                <w:szCs w:val="16"/>
                <w:lang w:eastAsia="sl-SI"/>
              </w:rPr>
            </w:pPr>
            <w:r w:rsidRPr="00AF2AAD">
              <w:rPr>
                <w:rFonts w:ascii="Arial" w:eastAsia="Times New Roman" w:hAnsi="Arial" w:cs="Arial"/>
                <w:color w:val="000000"/>
                <w:sz w:val="16"/>
                <w:szCs w:val="16"/>
                <w:lang w:eastAsia="sl-SI"/>
              </w:rPr>
              <w:t>36,45</w:t>
            </w:r>
            <w:r>
              <w:rPr>
                <w:rFonts w:ascii="Arial" w:eastAsia="Times New Roman" w:hAnsi="Arial" w:cs="Arial"/>
                <w:color w:val="000000"/>
                <w:sz w:val="16"/>
                <w:szCs w:val="16"/>
                <w:lang w:eastAsia="sl-SI"/>
              </w:rPr>
              <w:t xml:space="preserve"> </w:t>
            </w:r>
            <w:r w:rsidRPr="00AF2AAD">
              <w:rPr>
                <w:rFonts w:ascii="Arial" w:eastAsia="Times New Roman" w:hAnsi="Arial" w:cs="Arial"/>
                <w:color w:val="000000"/>
                <w:sz w:val="16"/>
                <w:szCs w:val="16"/>
                <w:lang w:eastAsia="sl-SI"/>
              </w:rPr>
              <w:t>%</w:t>
            </w:r>
          </w:p>
        </w:tc>
      </w:tr>
      <w:tr w:rsidR="00784900" w:rsidRPr="00AF2AAD" w14:paraId="4570E53B" w14:textId="77777777" w:rsidTr="00784900">
        <w:trPr>
          <w:trHeight w:val="287"/>
          <w:jc w:val="center"/>
        </w:trPr>
        <w:tc>
          <w:tcPr>
            <w:tcW w:w="1983" w:type="pct"/>
            <w:tcBorders>
              <w:top w:val="nil"/>
              <w:left w:val="single" w:sz="4" w:space="0" w:color="auto"/>
              <w:bottom w:val="single" w:sz="4" w:space="0" w:color="auto"/>
              <w:right w:val="single" w:sz="4" w:space="0" w:color="auto"/>
            </w:tcBorders>
            <w:shd w:val="clear" w:color="auto" w:fill="auto"/>
            <w:vAlign w:val="center"/>
            <w:hideMark/>
          </w:tcPr>
          <w:p w14:paraId="45346C48" w14:textId="77777777" w:rsidR="00784900" w:rsidRPr="00AF2AAD" w:rsidRDefault="00784900" w:rsidP="009F7B6D">
            <w:pPr>
              <w:spacing w:after="0" w:line="240" w:lineRule="auto"/>
              <w:rPr>
                <w:rFonts w:ascii="Arial" w:eastAsia="Times New Roman" w:hAnsi="Arial" w:cs="Arial"/>
                <w:color w:val="000000"/>
                <w:sz w:val="16"/>
                <w:szCs w:val="16"/>
                <w:lang w:eastAsia="sl-SI"/>
              </w:rPr>
            </w:pPr>
            <w:r w:rsidRPr="00AF2AAD">
              <w:rPr>
                <w:rFonts w:ascii="Arial" w:eastAsia="Times New Roman" w:hAnsi="Arial" w:cs="Arial"/>
                <w:color w:val="000000"/>
                <w:sz w:val="16"/>
                <w:szCs w:val="16"/>
                <w:lang w:eastAsia="sl-SI"/>
              </w:rPr>
              <w:t>Postopek s pogajanji brez predhodne objave</w:t>
            </w:r>
          </w:p>
        </w:tc>
        <w:tc>
          <w:tcPr>
            <w:tcW w:w="477" w:type="pct"/>
            <w:tcBorders>
              <w:top w:val="nil"/>
              <w:left w:val="nil"/>
              <w:bottom w:val="single" w:sz="4" w:space="0" w:color="auto"/>
              <w:right w:val="single" w:sz="4" w:space="0" w:color="auto"/>
            </w:tcBorders>
            <w:shd w:val="clear" w:color="auto" w:fill="auto"/>
            <w:vAlign w:val="center"/>
            <w:hideMark/>
          </w:tcPr>
          <w:p w14:paraId="072AD3B6" w14:textId="77777777" w:rsidR="00784900" w:rsidRPr="00AF2AAD" w:rsidRDefault="00784900" w:rsidP="009F7B6D">
            <w:pPr>
              <w:spacing w:after="0" w:line="240" w:lineRule="auto"/>
              <w:jc w:val="right"/>
              <w:rPr>
                <w:rFonts w:ascii="Arial" w:eastAsia="Times New Roman" w:hAnsi="Arial" w:cs="Arial"/>
                <w:color w:val="000000"/>
                <w:sz w:val="16"/>
                <w:szCs w:val="16"/>
                <w:lang w:eastAsia="sl-SI"/>
              </w:rPr>
            </w:pPr>
            <w:r w:rsidRPr="00AF2AAD">
              <w:rPr>
                <w:rFonts w:ascii="Arial" w:eastAsia="Times New Roman" w:hAnsi="Arial" w:cs="Arial"/>
                <w:color w:val="000000"/>
                <w:sz w:val="16"/>
                <w:szCs w:val="16"/>
                <w:lang w:eastAsia="sl-SI"/>
              </w:rPr>
              <w:t>718</w:t>
            </w:r>
          </w:p>
        </w:tc>
        <w:tc>
          <w:tcPr>
            <w:tcW w:w="793" w:type="pct"/>
            <w:tcBorders>
              <w:top w:val="nil"/>
              <w:left w:val="nil"/>
              <w:bottom w:val="single" w:sz="4" w:space="0" w:color="auto"/>
              <w:right w:val="single" w:sz="4" w:space="0" w:color="auto"/>
            </w:tcBorders>
            <w:shd w:val="clear" w:color="auto" w:fill="auto"/>
            <w:vAlign w:val="center"/>
            <w:hideMark/>
          </w:tcPr>
          <w:p w14:paraId="1108A085" w14:textId="77777777" w:rsidR="00784900" w:rsidRPr="00AF2AAD" w:rsidRDefault="00784900" w:rsidP="009F7B6D">
            <w:pPr>
              <w:spacing w:after="0" w:line="240" w:lineRule="auto"/>
              <w:jc w:val="right"/>
              <w:rPr>
                <w:rFonts w:ascii="Arial" w:eastAsia="Times New Roman" w:hAnsi="Arial" w:cs="Arial"/>
                <w:color w:val="000000"/>
                <w:sz w:val="16"/>
                <w:szCs w:val="16"/>
                <w:lang w:eastAsia="sl-SI"/>
              </w:rPr>
            </w:pPr>
            <w:r w:rsidRPr="00AF2AAD">
              <w:rPr>
                <w:rFonts w:ascii="Arial" w:eastAsia="Times New Roman" w:hAnsi="Arial" w:cs="Arial"/>
                <w:color w:val="000000"/>
                <w:sz w:val="16"/>
                <w:szCs w:val="16"/>
                <w:lang w:eastAsia="sl-SI"/>
              </w:rPr>
              <w:t>252.416.586</w:t>
            </w:r>
          </w:p>
        </w:tc>
        <w:tc>
          <w:tcPr>
            <w:tcW w:w="874" w:type="pct"/>
            <w:tcBorders>
              <w:top w:val="nil"/>
              <w:left w:val="nil"/>
              <w:bottom w:val="single" w:sz="4" w:space="0" w:color="auto"/>
              <w:right w:val="single" w:sz="4" w:space="0" w:color="auto"/>
            </w:tcBorders>
            <w:shd w:val="clear" w:color="auto" w:fill="auto"/>
            <w:noWrap/>
            <w:vAlign w:val="center"/>
            <w:hideMark/>
          </w:tcPr>
          <w:p w14:paraId="62CACE5D" w14:textId="77777777" w:rsidR="00784900" w:rsidRPr="00AF2AAD" w:rsidRDefault="00784900" w:rsidP="009F7B6D">
            <w:pPr>
              <w:spacing w:after="0" w:line="240" w:lineRule="auto"/>
              <w:jc w:val="right"/>
              <w:rPr>
                <w:rFonts w:ascii="Arial" w:eastAsia="Times New Roman" w:hAnsi="Arial" w:cs="Arial"/>
                <w:color w:val="000000"/>
                <w:sz w:val="16"/>
                <w:szCs w:val="16"/>
                <w:lang w:eastAsia="sl-SI"/>
              </w:rPr>
            </w:pPr>
            <w:r w:rsidRPr="00AF2AAD">
              <w:rPr>
                <w:rFonts w:ascii="Arial" w:eastAsia="Times New Roman" w:hAnsi="Arial" w:cs="Arial"/>
                <w:color w:val="000000"/>
                <w:sz w:val="16"/>
                <w:szCs w:val="16"/>
                <w:lang w:eastAsia="sl-SI"/>
              </w:rPr>
              <w:t>90,66</w:t>
            </w:r>
            <w:r>
              <w:rPr>
                <w:rFonts w:ascii="Arial" w:eastAsia="Times New Roman" w:hAnsi="Arial" w:cs="Arial"/>
                <w:color w:val="000000"/>
                <w:sz w:val="16"/>
                <w:szCs w:val="16"/>
                <w:lang w:eastAsia="sl-SI"/>
              </w:rPr>
              <w:t xml:space="preserve"> </w:t>
            </w:r>
            <w:r w:rsidRPr="00AF2AAD">
              <w:rPr>
                <w:rFonts w:ascii="Arial" w:eastAsia="Times New Roman" w:hAnsi="Arial" w:cs="Arial"/>
                <w:color w:val="000000"/>
                <w:sz w:val="16"/>
                <w:szCs w:val="16"/>
                <w:lang w:eastAsia="sl-SI"/>
              </w:rPr>
              <w:t>%</w:t>
            </w:r>
          </w:p>
        </w:tc>
        <w:tc>
          <w:tcPr>
            <w:tcW w:w="873" w:type="pct"/>
            <w:tcBorders>
              <w:top w:val="nil"/>
              <w:left w:val="nil"/>
              <w:bottom w:val="single" w:sz="4" w:space="0" w:color="auto"/>
              <w:right w:val="single" w:sz="4" w:space="0" w:color="auto"/>
            </w:tcBorders>
            <w:shd w:val="clear" w:color="auto" w:fill="auto"/>
            <w:noWrap/>
            <w:vAlign w:val="center"/>
            <w:hideMark/>
          </w:tcPr>
          <w:p w14:paraId="195BBB80" w14:textId="77777777" w:rsidR="00784900" w:rsidRPr="00AF2AAD" w:rsidRDefault="00784900" w:rsidP="009F7B6D">
            <w:pPr>
              <w:spacing w:after="0" w:line="240" w:lineRule="auto"/>
              <w:jc w:val="right"/>
              <w:rPr>
                <w:rFonts w:ascii="Arial" w:eastAsia="Times New Roman" w:hAnsi="Arial" w:cs="Arial"/>
                <w:color w:val="000000"/>
                <w:sz w:val="16"/>
                <w:szCs w:val="16"/>
                <w:lang w:eastAsia="sl-SI"/>
              </w:rPr>
            </w:pPr>
            <w:r w:rsidRPr="00AF2AAD">
              <w:rPr>
                <w:rFonts w:ascii="Arial" w:eastAsia="Times New Roman" w:hAnsi="Arial" w:cs="Arial"/>
                <w:color w:val="000000"/>
                <w:sz w:val="16"/>
                <w:szCs w:val="16"/>
                <w:lang w:eastAsia="sl-SI"/>
              </w:rPr>
              <w:t>87,94</w:t>
            </w:r>
            <w:r>
              <w:rPr>
                <w:rFonts w:ascii="Arial" w:eastAsia="Times New Roman" w:hAnsi="Arial" w:cs="Arial"/>
                <w:color w:val="000000"/>
                <w:sz w:val="16"/>
                <w:szCs w:val="16"/>
                <w:lang w:eastAsia="sl-SI"/>
              </w:rPr>
              <w:t xml:space="preserve"> </w:t>
            </w:r>
            <w:r w:rsidRPr="00AF2AAD">
              <w:rPr>
                <w:rFonts w:ascii="Arial" w:eastAsia="Times New Roman" w:hAnsi="Arial" w:cs="Arial"/>
                <w:color w:val="000000"/>
                <w:sz w:val="16"/>
                <w:szCs w:val="16"/>
                <w:lang w:eastAsia="sl-SI"/>
              </w:rPr>
              <w:t>%</w:t>
            </w:r>
          </w:p>
        </w:tc>
      </w:tr>
      <w:tr w:rsidR="00784900" w:rsidRPr="00AF2AAD" w14:paraId="1A54CB90" w14:textId="77777777" w:rsidTr="00784900">
        <w:trPr>
          <w:trHeight w:val="287"/>
          <w:jc w:val="center"/>
        </w:trPr>
        <w:tc>
          <w:tcPr>
            <w:tcW w:w="1983" w:type="pct"/>
            <w:tcBorders>
              <w:top w:val="nil"/>
              <w:left w:val="single" w:sz="4" w:space="0" w:color="auto"/>
              <w:bottom w:val="single" w:sz="4" w:space="0" w:color="auto"/>
              <w:right w:val="single" w:sz="4" w:space="0" w:color="auto"/>
            </w:tcBorders>
            <w:shd w:val="clear" w:color="auto" w:fill="auto"/>
            <w:vAlign w:val="center"/>
            <w:hideMark/>
          </w:tcPr>
          <w:p w14:paraId="1716D576" w14:textId="77777777" w:rsidR="00784900" w:rsidRPr="00AF2AAD" w:rsidRDefault="00784900" w:rsidP="009F7B6D">
            <w:pPr>
              <w:spacing w:after="0" w:line="240" w:lineRule="auto"/>
              <w:rPr>
                <w:rFonts w:ascii="Arial" w:eastAsia="Times New Roman" w:hAnsi="Arial" w:cs="Arial"/>
                <w:color w:val="000000"/>
                <w:sz w:val="16"/>
                <w:szCs w:val="16"/>
                <w:lang w:eastAsia="sl-SI"/>
              </w:rPr>
            </w:pPr>
            <w:r w:rsidRPr="00AF2AAD">
              <w:rPr>
                <w:rFonts w:ascii="Arial" w:eastAsia="Times New Roman" w:hAnsi="Arial" w:cs="Arial"/>
                <w:color w:val="000000"/>
                <w:sz w:val="16"/>
                <w:szCs w:val="16"/>
                <w:lang w:eastAsia="sl-SI"/>
              </w:rPr>
              <w:t>Postopek s pogajanji po predhodni objavi</w:t>
            </w:r>
          </w:p>
        </w:tc>
        <w:tc>
          <w:tcPr>
            <w:tcW w:w="477" w:type="pct"/>
            <w:tcBorders>
              <w:top w:val="nil"/>
              <w:left w:val="nil"/>
              <w:bottom w:val="single" w:sz="4" w:space="0" w:color="auto"/>
              <w:right w:val="single" w:sz="4" w:space="0" w:color="auto"/>
            </w:tcBorders>
            <w:shd w:val="clear" w:color="auto" w:fill="auto"/>
            <w:vAlign w:val="center"/>
            <w:hideMark/>
          </w:tcPr>
          <w:p w14:paraId="6207DF37" w14:textId="77777777" w:rsidR="00784900" w:rsidRPr="00AF2AAD" w:rsidRDefault="00784900" w:rsidP="009F7B6D">
            <w:pPr>
              <w:spacing w:after="0" w:line="240" w:lineRule="auto"/>
              <w:jc w:val="right"/>
              <w:rPr>
                <w:rFonts w:ascii="Arial" w:eastAsia="Times New Roman" w:hAnsi="Arial" w:cs="Arial"/>
                <w:color w:val="000000"/>
                <w:sz w:val="16"/>
                <w:szCs w:val="16"/>
                <w:lang w:eastAsia="sl-SI"/>
              </w:rPr>
            </w:pPr>
            <w:r w:rsidRPr="00AF2AAD">
              <w:rPr>
                <w:rFonts w:ascii="Arial" w:eastAsia="Times New Roman" w:hAnsi="Arial" w:cs="Arial"/>
                <w:color w:val="000000"/>
                <w:sz w:val="16"/>
                <w:szCs w:val="16"/>
                <w:lang w:eastAsia="sl-SI"/>
              </w:rPr>
              <w:t>183</w:t>
            </w:r>
          </w:p>
        </w:tc>
        <w:tc>
          <w:tcPr>
            <w:tcW w:w="793" w:type="pct"/>
            <w:tcBorders>
              <w:top w:val="nil"/>
              <w:left w:val="nil"/>
              <w:bottom w:val="single" w:sz="4" w:space="0" w:color="auto"/>
              <w:right w:val="single" w:sz="4" w:space="0" w:color="auto"/>
            </w:tcBorders>
            <w:shd w:val="clear" w:color="auto" w:fill="auto"/>
            <w:vAlign w:val="center"/>
            <w:hideMark/>
          </w:tcPr>
          <w:p w14:paraId="630B2888" w14:textId="77777777" w:rsidR="00784900" w:rsidRPr="00AF2AAD" w:rsidRDefault="00784900" w:rsidP="009F7B6D">
            <w:pPr>
              <w:spacing w:after="0" w:line="240" w:lineRule="auto"/>
              <w:jc w:val="right"/>
              <w:rPr>
                <w:rFonts w:ascii="Arial" w:eastAsia="Times New Roman" w:hAnsi="Arial" w:cs="Arial"/>
                <w:color w:val="000000"/>
                <w:sz w:val="16"/>
                <w:szCs w:val="16"/>
                <w:lang w:eastAsia="sl-SI"/>
              </w:rPr>
            </w:pPr>
            <w:r w:rsidRPr="00AF2AAD">
              <w:rPr>
                <w:rFonts w:ascii="Arial" w:eastAsia="Times New Roman" w:hAnsi="Arial" w:cs="Arial"/>
                <w:color w:val="000000"/>
                <w:sz w:val="16"/>
                <w:szCs w:val="16"/>
                <w:lang w:eastAsia="sl-SI"/>
              </w:rPr>
              <w:t>167.174.454</w:t>
            </w:r>
          </w:p>
        </w:tc>
        <w:tc>
          <w:tcPr>
            <w:tcW w:w="874" w:type="pct"/>
            <w:tcBorders>
              <w:top w:val="nil"/>
              <w:left w:val="nil"/>
              <w:bottom w:val="single" w:sz="4" w:space="0" w:color="auto"/>
              <w:right w:val="single" w:sz="4" w:space="0" w:color="auto"/>
            </w:tcBorders>
            <w:shd w:val="clear" w:color="auto" w:fill="auto"/>
            <w:noWrap/>
            <w:vAlign w:val="center"/>
            <w:hideMark/>
          </w:tcPr>
          <w:p w14:paraId="40FC26CF" w14:textId="77777777" w:rsidR="00784900" w:rsidRPr="00AF2AAD" w:rsidRDefault="00784900" w:rsidP="009F7B6D">
            <w:pPr>
              <w:spacing w:after="0" w:line="240" w:lineRule="auto"/>
              <w:jc w:val="right"/>
              <w:rPr>
                <w:rFonts w:ascii="Arial" w:eastAsia="Times New Roman" w:hAnsi="Arial" w:cs="Arial"/>
                <w:color w:val="000000"/>
                <w:sz w:val="16"/>
                <w:szCs w:val="16"/>
                <w:lang w:eastAsia="sl-SI"/>
              </w:rPr>
            </w:pPr>
            <w:r w:rsidRPr="00AF2AAD">
              <w:rPr>
                <w:rFonts w:ascii="Arial" w:eastAsia="Times New Roman" w:hAnsi="Arial" w:cs="Arial"/>
                <w:color w:val="000000"/>
                <w:sz w:val="16"/>
                <w:szCs w:val="16"/>
                <w:lang w:eastAsia="sl-SI"/>
              </w:rPr>
              <w:t>75,31</w:t>
            </w:r>
            <w:r>
              <w:rPr>
                <w:rFonts w:ascii="Arial" w:eastAsia="Times New Roman" w:hAnsi="Arial" w:cs="Arial"/>
                <w:color w:val="000000"/>
                <w:sz w:val="16"/>
                <w:szCs w:val="16"/>
                <w:lang w:eastAsia="sl-SI"/>
              </w:rPr>
              <w:t xml:space="preserve"> </w:t>
            </w:r>
            <w:r w:rsidRPr="00AF2AAD">
              <w:rPr>
                <w:rFonts w:ascii="Arial" w:eastAsia="Times New Roman" w:hAnsi="Arial" w:cs="Arial"/>
                <w:color w:val="000000"/>
                <w:sz w:val="16"/>
                <w:szCs w:val="16"/>
                <w:lang w:eastAsia="sl-SI"/>
              </w:rPr>
              <w:t>%</w:t>
            </w:r>
          </w:p>
        </w:tc>
        <w:tc>
          <w:tcPr>
            <w:tcW w:w="873" w:type="pct"/>
            <w:tcBorders>
              <w:top w:val="nil"/>
              <w:left w:val="nil"/>
              <w:bottom w:val="single" w:sz="4" w:space="0" w:color="auto"/>
              <w:right w:val="single" w:sz="4" w:space="0" w:color="auto"/>
            </w:tcBorders>
            <w:shd w:val="clear" w:color="auto" w:fill="auto"/>
            <w:noWrap/>
            <w:vAlign w:val="center"/>
            <w:hideMark/>
          </w:tcPr>
          <w:p w14:paraId="2469A6AC" w14:textId="77777777" w:rsidR="00784900" w:rsidRPr="00AF2AAD" w:rsidRDefault="00784900" w:rsidP="009F7B6D">
            <w:pPr>
              <w:spacing w:after="0" w:line="240" w:lineRule="auto"/>
              <w:jc w:val="right"/>
              <w:rPr>
                <w:rFonts w:ascii="Arial" w:eastAsia="Times New Roman" w:hAnsi="Arial" w:cs="Arial"/>
                <w:color w:val="000000"/>
                <w:sz w:val="16"/>
                <w:szCs w:val="16"/>
                <w:lang w:eastAsia="sl-SI"/>
              </w:rPr>
            </w:pPr>
            <w:r w:rsidRPr="00AF2AAD">
              <w:rPr>
                <w:rFonts w:ascii="Arial" w:eastAsia="Times New Roman" w:hAnsi="Arial" w:cs="Arial"/>
                <w:color w:val="000000"/>
                <w:sz w:val="16"/>
                <w:szCs w:val="16"/>
                <w:lang w:eastAsia="sl-SI"/>
              </w:rPr>
              <w:t>56,83</w:t>
            </w:r>
            <w:r>
              <w:rPr>
                <w:rFonts w:ascii="Arial" w:eastAsia="Times New Roman" w:hAnsi="Arial" w:cs="Arial"/>
                <w:color w:val="000000"/>
                <w:sz w:val="16"/>
                <w:szCs w:val="16"/>
                <w:lang w:eastAsia="sl-SI"/>
              </w:rPr>
              <w:t xml:space="preserve"> </w:t>
            </w:r>
            <w:r w:rsidRPr="00AF2AAD">
              <w:rPr>
                <w:rFonts w:ascii="Arial" w:eastAsia="Times New Roman" w:hAnsi="Arial" w:cs="Arial"/>
                <w:color w:val="000000"/>
                <w:sz w:val="16"/>
                <w:szCs w:val="16"/>
                <w:lang w:eastAsia="sl-SI"/>
              </w:rPr>
              <w:t>%</w:t>
            </w:r>
          </w:p>
        </w:tc>
      </w:tr>
      <w:tr w:rsidR="00784900" w:rsidRPr="00AF2AAD" w14:paraId="3D9B9345" w14:textId="77777777" w:rsidTr="00784900">
        <w:trPr>
          <w:trHeight w:val="287"/>
          <w:jc w:val="center"/>
        </w:trPr>
        <w:tc>
          <w:tcPr>
            <w:tcW w:w="1983" w:type="pct"/>
            <w:tcBorders>
              <w:top w:val="nil"/>
              <w:left w:val="single" w:sz="4" w:space="0" w:color="auto"/>
              <w:bottom w:val="single" w:sz="4" w:space="0" w:color="auto"/>
              <w:right w:val="single" w:sz="4" w:space="0" w:color="auto"/>
            </w:tcBorders>
            <w:shd w:val="clear" w:color="auto" w:fill="auto"/>
            <w:vAlign w:val="center"/>
            <w:hideMark/>
          </w:tcPr>
          <w:p w14:paraId="4212177F" w14:textId="77777777" w:rsidR="00784900" w:rsidRPr="00AF2AAD" w:rsidRDefault="00784900" w:rsidP="009F7B6D">
            <w:pPr>
              <w:spacing w:after="0" w:line="240" w:lineRule="auto"/>
              <w:rPr>
                <w:rFonts w:ascii="Arial" w:eastAsia="Times New Roman" w:hAnsi="Arial" w:cs="Arial"/>
                <w:color w:val="000000"/>
                <w:sz w:val="16"/>
                <w:szCs w:val="16"/>
                <w:lang w:eastAsia="sl-SI"/>
              </w:rPr>
            </w:pPr>
            <w:r w:rsidRPr="00AF2AAD">
              <w:rPr>
                <w:rFonts w:ascii="Arial" w:eastAsia="Times New Roman" w:hAnsi="Arial" w:cs="Arial"/>
                <w:color w:val="000000"/>
                <w:sz w:val="16"/>
                <w:szCs w:val="16"/>
                <w:lang w:eastAsia="sl-SI"/>
              </w:rPr>
              <w:t>Postopek zbiranja ponudb po predhodni objavi</w:t>
            </w:r>
          </w:p>
        </w:tc>
        <w:tc>
          <w:tcPr>
            <w:tcW w:w="477" w:type="pct"/>
            <w:tcBorders>
              <w:top w:val="nil"/>
              <w:left w:val="nil"/>
              <w:bottom w:val="single" w:sz="4" w:space="0" w:color="auto"/>
              <w:right w:val="single" w:sz="4" w:space="0" w:color="auto"/>
            </w:tcBorders>
            <w:shd w:val="clear" w:color="auto" w:fill="auto"/>
            <w:vAlign w:val="center"/>
            <w:hideMark/>
          </w:tcPr>
          <w:p w14:paraId="4B1C4837" w14:textId="77777777" w:rsidR="00784900" w:rsidRPr="00AF2AAD" w:rsidRDefault="00784900" w:rsidP="009F7B6D">
            <w:pPr>
              <w:spacing w:after="0" w:line="240" w:lineRule="auto"/>
              <w:jc w:val="right"/>
              <w:rPr>
                <w:rFonts w:ascii="Arial" w:eastAsia="Times New Roman" w:hAnsi="Arial" w:cs="Arial"/>
                <w:color w:val="000000"/>
                <w:sz w:val="16"/>
                <w:szCs w:val="16"/>
                <w:lang w:eastAsia="sl-SI"/>
              </w:rPr>
            </w:pPr>
            <w:r w:rsidRPr="00AF2AAD">
              <w:rPr>
                <w:rFonts w:ascii="Arial" w:eastAsia="Times New Roman" w:hAnsi="Arial" w:cs="Arial"/>
                <w:color w:val="000000"/>
                <w:sz w:val="16"/>
                <w:szCs w:val="16"/>
                <w:lang w:eastAsia="sl-SI"/>
              </w:rPr>
              <w:t>22</w:t>
            </w:r>
          </w:p>
        </w:tc>
        <w:tc>
          <w:tcPr>
            <w:tcW w:w="793" w:type="pct"/>
            <w:tcBorders>
              <w:top w:val="nil"/>
              <w:left w:val="nil"/>
              <w:bottom w:val="single" w:sz="4" w:space="0" w:color="auto"/>
              <w:right w:val="single" w:sz="4" w:space="0" w:color="auto"/>
            </w:tcBorders>
            <w:shd w:val="clear" w:color="auto" w:fill="auto"/>
            <w:vAlign w:val="center"/>
            <w:hideMark/>
          </w:tcPr>
          <w:p w14:paraId="170B4119" w14:textId="77777777" w:rsidR="00784900" w:rsidRPr="00AF2AAD" w:rsidRDefault="00784900" w:rsidP="009F7B6D">
            <w:pPr>
              <w:spacing w:after="0" w:line="240" w:lineRule="auto"/>
              <w:jc w:val="right"/>
              <w:rPr>
                <w:rFonts w:ascii="Arial" w:eastAsia="Times New Roman" w:hAnsi="Arial" w:cs="Arial"/>
                <w:color w:val="000000"/>
                <w:sz w:val="16"/>
                <w:szCs w:val="16"/>
                <w:lang w:eastAsia="sl-SI"/>
              </w:rPr>
            </w:pPr>
            <w:r w:rsidRPr="00AF2AAD">
              <w:rPr>
                <w:rFonts w:ascii="Arial" w:eastAsia="Times New Roman" w:hAnsi="Arial" w:cs="Arial"/>
                <w:color w:val="000000"/>
                <w:sz w:val="16"/>
                <w:szCs w:val="16"/>
                <w:lang w:eastAsia="sl-SI"/>
              </w:rPr>
              <w:t>4.249.052</w:t>
            </w:r>
          </w:p>
        </w:tc>
        <w:tc>
          <w:tcPr>
            <w:tcW w:w="874" w:type="pct"/>
            <w:tcBorders>
              <w:top w:val="nil"/>
              <w:left w:val="nil"/>
              <w:bottom w:val="single" w:sz="4" w:space="0" w:color="auto"/>
              <w:right w:val="single" w:sz="4" w:space="0" w:color="auto"/>
            </w:tcBorders>
            <w:shd w:val="clear" w:color="auto" w:fill="auto"/>
            <w:noWrap/>
            <w:vAlign w:val="center"/>
            <w:hideMark/>
          </w:tcPr>
          <w:p w14:paraId="3D68DE26" w14:textId="77777777" w:rsidR="00784900" w:rsidRPr="00AF2AAD" w:rsidRDefault="00784900" w:rsidP="009F7B6D">
            <w:pPr>
              <w:spacing w:after="0" w:line="240" w:lineRule="auto"/>
              <w:jc w:val="right"/>
              <w:rPr>
                <w:rFonts w:ascii="Arial" w:eastAsia="Times New Roman" w:hAnsi="Arial" w:cs="Arial"/>
                <w:color w:val="000000"/>
                <w:sz w:val="16"/>
                <w:szCs w:val="16"/>
                <w:lang w:eastAsia="sl-SI"/>
              </w:rPr>
            </w:pPr>
            <w:r w:rsidRPr="00AF2AAD">
              <w:rPr>
                <w:rFonts w:ascii="Arial" w:eastAsia="Times New Roman" w:hAnsi="Arial" w:cs="Arial"/>
                <w:color w:val="000000"/>
                <w:sz w:val="16"/>
                <w:szCs w:val="16"/>
                <w:lang w:eastAsia="sl-SI"/>
              </w:rPr>
              <w:t>66,67</w:t>
            </w:r>
            <w:r>
              <w:rPr>
                <w:rFonts w:ascii="Arial" w:eastAsia="Times New Roman" w:hAnsi="Arial" w:cs="Arial"/>
                <w:color w:val="000000"/>
                <w:sz w:val="16"/>
                <w:szCs w:val="16"/>
                <w:lang w:eastAsia="sl-SI"/>
              </w:rPr>
              <w:t xml:space="preserve"> </w:t>
            </w:r>
            <w:r w:rsidRPr="00AF2AAD">
              <w:rPr>
                <w:rFonts w:ascii="Arial" w:eastAsia="Times New Roman" w:hAnsi="Arial" w:cs="Arial"/>
                <w:color w:val="000000"/>
                <w:sz w:val="16"/>
                <w:szCs w:val="16"/>
                <w:lang w:eastAsia="sl-SI"/>
              </w:rPr>
              <w:t>%</w:t>
            </w:r>
          </w:p>
        </w:tc>
        <w:tc>
          <w:tcPr>
            <w:tcW w:w="873" w:type="pct"/>
            <w:tcBorders>
              <w:top w:val="nil"/>
              <w:left w:val="nil"/>
              <w:bottom w:val="single" w:sz="4" w:space="0" w:color="auto"/>
              <w:right w:val="single" w:sz="4" w:space="0" w:color="auto"/>
            </w:tcBorders>
            <w:shd w:val="clear" w:color="auto" w:fill="auto"/>
            <w:noWrap/>
            <w:vAlign w:val="center"/>
            <w:hideMark/>
          </w:tcPr>
          <w:p w14:paraId="7B1F346A" w14:textId="77777777" w:rsidR="00784900" w:rsidRPr="00AF2AAD" w:rsidRDefault="00784900" w:rsidP="009F7B6D">
            <w:pPr>
              <w:spacing w:after="0" w:line="240" w:lineRule="auto"/>
              <w:jc w:val="right"/>
              <w:rPr>
                <w:rFonts w:ascii="Arial" w:eastAsia="Times New Roman" w:hAnsi="Arial" w:cs="Arial"/>
                <w:color w:val="000000"/>
                <w:sz w:val="16"/>
                <w:szCs w:val="16"/>
                <w:lang w:eastAsia="sl-SI"/>
              </w:rPr>
            </w:pPr>
            <w:r w:rsidRPr="00AF2AAD">
              <w:rPr>
                <w:rFonts w:ascii="Arial" w:eastAsia="Times New Roman" w:hAnsi="Arial" w:cs="Arial"/>
                <w:color w:val="000000"/>
                <w:sz w:val="16"/>
                <w:szCs w:val="16"/>
                <w:lang w:eastAsia="sl-SI"/>
              </w:rPr>
              <w:t>71,45</w:t>
            </w:r>
            <w:r>
              <w:rPr>
                <w:rFonts w:ascii="Arial" w:eastAsia="Times New Roman" w:hAnsi="Arial" w:cs="Arial"/>
                <w:color w:val="000000"/>
                <w:sz w:val="16"/>
                <w:szCs w:val="16"/>
                <w:lang w:eastAsia="sl-SI"/>
              </w:rPr>
              <w:t xml:space="preserve"> </w:t>
            </w:r>
            <w:r w:rsidRPr="00AF2AAD">
              <w:rPr>
                <w:rFonts w:ascii="Arial" w:eastAsia="Times New Roman" w:hAnsi="Arial" w:cs="Arial"/>
                <w:color w:val="000000"/>
                <w:sz w:val="16"/>
                <w:szCs w:val="16"/>
                <w:lang w:eastAsia="sl-SI"/>
              </w:rPr>
              <w:t>%</w:t>
            </w:r>
          </w:p>
        </w:tc>
      </w:tr>
      <w:tr w:rsidR="00784900" w:rsidRPr="00AF2AAD" w14:paraId="2993CF3C" w14:textId="77777777" w:rsidTr="00784900">
        <w:trPr>
          <w:trHeight w:val="287"/>
          <w:jc w:val="center"/>
        </w:trPr>
        <w:tc>
          <w:tcPr>
            <w:tcW w:w="198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46DA3D2" w14:textId="2B6A2DCA" w:rsidR="00784900" w:rsidRPr="00AF2AAD" w:rsidRDefault="00784900" w:rsidP="009F7B6D">
            <w:pPr>
              <w:spacing w:after="0" w:line="240" w:lineRule="auto"/>
              <w:rPr>
                <w:rFonts w:ascii="Arial" w:eastAsia="Times New Roman" w:hAnsi="Arial" w:cs="Arial"/>
                <w:b/>
                <w:bCs/>
                <w:color w:val="000000"/>
                <w:sz w:val="16"/>
                <w:szCs w:val="16"/>
                <w:lang w:eastAsia="sl-SI"/>
              </w:rPr>
            </w:pPr>
            <w:r w:rsidRPr="00AF2AAD">
              <w:rPr>
                <w:rFonts w:ascii="Arial" w:eastAsia="Times New Roman" w:hAnsi="Arial" w:cs="Arial"/>
                <w:b/>
                <w:bCs/>
                <w:color w:val="000000"/>
                <w:sz w:val="16"/>
                <w:szCs w:val="16"/>
                <w:lang w:eastAsia="sl-SI"/>
              </w:rPr>
              <w:t>Skupaj</w:t>
            </w:r>
            <w:r>
              <w:rPr>
                <w:rFonts w:ascii="Arial" w:eastAsia="Times New Roman" w:hAnsi="Arial" w:cs="Arial"/>
                <w:b/>
                <w:bCs/>
                <w:color w:val="000000"/>
                <w:sz w:val="16"/>
                <w:szCs w:val="16"/>
                <w:lang w:eastAsia="sl-SI"/>
              </w:rPr>
              <w:t xml:space="preserve"> ne glede na vrsto postopka</w:t>
            </w:r>
          </w:p>
        </w:tc>
        <w:tc>
          <w:tcPr>
            <w:tcW w:w="477" w:type="pct"/>
            <w:tcBorders>
              <w:top w:val="nil"/>
              <w:left w:val="nil"/>
              <w:bottom w:val="single" w:sz="4" w:space="0" w:color="auto"/>
              <w:right w:val="single" w:sz="4" w:space="0" w:color="auto"/>
            </w:tcBorders>
            <w:shd w:val="clear" w:color="auto" w:fill="F2F2F2" w:themeFill="background1" w:themeFillShade="F2"/>
            <w:noWrap/>
            <w:vAlign w:val="center"/>
            <w:hideMark/>
          </w:tcPr>
          <w:p w14:paraId="4D327C64" w14:textId="77777777" w:rsidR="00784900" w:rsidRPr="00AF2AAD" w:rsidRDefault="00784900" w:rsidP="009F7B6D">
            <w:pPr>
              <w:spacing w:after="0" w:line="240" w:lineRule="auto"/>
              <w:jc w:val="right"/>
              <w:rPr>
                <w:rFonts w:ascii="Arial" w:eastAsia="Times New Roman" w:hAnsi="Arial" w:cs="Arial"/>
                <w:b/>
                <w:bCs/>
                <w:color w:val="000000"/>
                <w:sz w:val="16"/>
                <w:szCs w:val="16"/>
                <w:lang w:eastAsia="sl-SI"/>
              </w:rPr>
            </w:pPr>
            <w:r w:rsidRPr="00AF2AAD">
              <w:rPr>
                <w:rFonts w:ascii="Arial" w:eastAsia="Times New Roman" w:hAnsi="Arial" w:cs="Arial"/>
                <w:b/>
                <w:bCs/>
                <w:color w:val="000000"/>
                <w:sz w:val="16"/>
                <w:szCs w:val="16"/>
                <w:lang w:eastAsia="sl-SI"/>
              </w:rPr>
              <w:t>8.088</w:t>
            </w:r>
          </w:p>
        </w:tc>
        <w:tc>
          <w:tcPr>
            <w:tcW w:w="793" w:type="pct"/>
            <w:tcBorders>
              <w:top w:val="nil"/>
              <w:left w:val="nil"/>
              <w:bottom w:val="single" w:sz="4" w:space="0" w:color="auto"/>
              <w:right w:val="single" w:sz="4" w:space="0" w:color="auto"/>
            </w:tcBorders>
            <w:shd w:val="clear" w:color="auto" w:fill="F2F2F2" w:themeFill="background1" w:themeFillShade="F2"/>
            <w:noWrap/>
            <w:vAlign w:val="center"/>
            <w:hideMark/>
          </w:tcPr>
          <w:p w14:paraId="24DADEA6" w14:textId="77777777" w:rsidR="00784900" w:rsidRPr="00AF2AAD" w:rsidRDefault="00784900" w:rsidP="009F7B6D">
            <w:pPr>
              <w:spacing w:after="0" w:line="240" w:lineRule="auto"/>
              <w:jc w:val="right"/>
              <w:rPr>
                <w:rFonts w:ascii="Arial" w:eastAsia="Times New Roman" w:hAnsi="Arial" w:cs="Arial"/>
                <w:b/>
                <w:bCs/>
                <w:color w:val="000000"/>
                <w:sz w:val="16"/>
                <w:szCs w:val="16"/>
                <w:lang w:eastAsia="sl-SI"/>
              </w:rPr>
            </w:pPr>
            <w:r w:rsidRPr="00AF2AAD">
              <w:rPr>
                <w:rFonts w:ascii="Arial" w:eastAsia="Times New Roman" w:hAnsi="Arial" w:cs="Arial"/>
                <w:b/>
                <w:bCs/>
                <w:color w:val="000000"/>
                <w:sz w:val="16"/>
                <w:szCs w:val="16"/>
                <w:lang w:eastAsia="sl-SI"/>
              </w:rPr>
              <w:t>2.736.595.708</w:t>
            </w:r>
          </w:p>
        </w:tc>
        <w:tc>
          <w:tcPr>
            <w:tcW w:w="874" w:type="pct"/>
            <w:tcBorders>
              <w:top w:val="nil"/>
              <w:left w:val="nil"/>
              <w:bottom w:val="single" w:sz="4" w:space="0" w:color="auto"/>
              <w:right w:val="single" w:sz="4" w:space="0" w:color="auto"/>
            </w:tcBorders>
            <w:shd w:val="clear" w:color="auto" w:fill="F2F2F2" w:themeFill="background1" w:themeFillShade="F2"/>
            <w:noWrap/>
            <w:vAlign w:val="center"/>
            <w:hideMark/>
          </w:tcPr>
          <w:p w14:paraId="6193850F" w14:textId="77777777" w:rsidR="00784900" w:rsidRPr="00AF2AAD" w:rsidRDefault="00784900" w:rsidP="009F7B6D">
            <w:pPr>
              <w:spacing w:after="0" w:line="240" w:lineRule="auto"/>
              <w:jc w:val="right"/>
              <w:rPr>
                <w:rFonts w:ascii="Arial" w:eastAsia="Times New Roman" w:hAnsi="Arial" w:cs="Arial"/>
                <w:b/>
                <w:bCs/>
                <w:color w:val="000000"/>
                <w:sz w:val="16"/>
                <w:szCs w:val="16"/>
                <w:lang w:eastAsia="sl-SI"/>
              </w:rPr>
            </w:pPr>
            <w:r w:rsidRPr="00AF2AAD">
              <w:rPr>
                <w:rFonts w:ascii="Arial" w:eastAsia="Times New Roman" w:hAnsi="Arial" w:cs="Arial"/>
                <w:b/>
                <w:bCs/>
                <w:color w:val="000000"/>
                <w:sz w:val="16"/>
                <w:szCs w:val="16"/>
                <w:lang w:eastAsia="sl-SI"/>
              </w:rPr>
              <w:t>46,96</w:t>
            </w:r>
            <w:r>
              <w:rPr>
                <w:rFonts w:ascii="Arial" w:eastAsia="Times New Roman" w:hAnsi="Arial" w:cs="Arial"/>
                <w:b/>
                <w:bCs/>
                <w:color w:val="000000"/>
                <w:sz w:val="16"/>
                <w:szCs w:val="16"/>
                <w:lang w:eastAsia="sl-SI"/>
              </w:rPr>
              <w:t xml:space="preserve"> </w:t>
            </w:r>
            <w:r w:rsidRPr="00AF2AAD">
              <w:rPr>
                <w:rFonts w:ascii="Arial" w:eastAsia="Times New Roman" w:hAnsi="Arial" w:cs="Arial"/>
                <w:b/>
                <w:bCs/>
                <w:color w:val="000000"/>
                <w:sz w:val="16"/>
                <w:szCs w:val="16"/>
                <w:lang w:eastAsia="sl-SI"/>
              </w:rPr>
              <w:t>%</w:t>
            </w:r>
          </w:p>
        </w:tc>
        <w:tc>
          <w:tcPr>
            <w:tcW w:w="873" w:type="pct"/>
            <w:tcBorders>
              <w:top w:val="nil"/>
              <w:left w:val="nil"/>
              <w:bottom w:val="single" w:sz="4" w:space="0" w:color="auto"/>
              <w:right w:val="single" w:sz="4" w:space="0" w:color="auto"/>
            </w:tcBorders>
            <w:shd w:val="clear" w:color="auto" w:fill="F2F2F2" w:themeFill="background1" w:themeFillShade="F2"/>
            <w:noWrap/>
            <w:vAlign w:val="center"/>
            <w:hideMark/>
          </w:tcPr>
          <w:p w14:paraId="73647633" w14:textId="77777777" w:rsidR="00784900" w:rsidRPr="00AF2AAD" w:rsidRDefault="00784900" w:rsidP="009F7B6D">
            <w:pPr>
              <w:spacing w:after="0" w:line="240" w:lineRule="auto"/>
              <w:jc w:val="right"/>
              <w:rPr>
                <w:rFonts w:ascii="Arial" w:eastAsia="Times New Roman" w:hAnsi="Arial" w:cs="Arial"/>
                <w:b/>
                <w:bCs/>
                <w:color w:val="000000"/>
                <w:sz w:val="16"/>
                <w:szCs w:val="16"/>
                <w:lang w:eastAsia="sl-SI"/>
              </w:rPr>
            </w:pPr>
            <w:r w:rsidRPr="00AF2AAD">
              <w:rPr>
                <w:rFonts w:ascii="Arial" w:eastAsia="Times New Roman" w:hAnsi="Arial" w:cs="Arial"/>
                <w:b/>
                <w:bCs/>
                <w:color w:val="000000"/>
                <w:sz w:val="16"/>
                <w:szCs w:val="16"/>
                <w:lang w:eastAsia="sl-SI"/>
              </w:rPr>
              <w:t>50,52</w:t>
            </w:r>
            <w:r>
              <w:rPr>
                <w:rFonts w:ascii="Arial" w:eastAsia="Times New Roman" w:hAnsi="Arial" w:cs="Arial"/>
                <w:b/>
                <w:bCs/>
                <w:color w:val="000000"/>
                <w:sz w:val="16"/>
                <w:szCs w:val="16"/>
                <w:lang w:eastAsia="sl-SI"/>
              </w:rPr>
              <w:t xml:space="preserve"> </w:t>
            </w:r>
            <w:r w:rsidRPr="00AF2AAD">
              <w:rPr>
                <w:rFonts w:ascii="Arial" w:eastAsia="Times New Roman" w:hAnsi="Arial" w:cs="Arial"/>
                <w:b/>
                <w:bCs/>
                <w:color w:val="000000"/>
                <w:sz w:val="16"/>
                <w:szCs w:val="16"/>
                <w:lang w:eastAsia="sl-SI"/>
              </w:rPr>
              <w:t>%</w:t>
            </w:r>
          </w:p>
        </w:tc>
      </w:tr>
    </w:tbl>
    <w:p w14:paraId="331D180E" w14:textId="77777777" w:rsidR="00784900" w:rsidRDefault="00784900" w:rsidP="00784900">
      <w:pPr>
        <w:spacing w:after="0" w:line="240" w:lineRule="auto"/>
        <w:jc w:val="center"/>
        <w:rPr>
          <w:rFonts w:ascii="Arial" w:hAnsi="Arial" w:cs="Arial"/>
          <w:color w:val="000000" w:themeColor="text1"/>
          <w:sz w:val="18"/>
        </w:rPr>
      </w:pPr>
    </w:p>
    <w:p w14:paraId="0528694A" w14:textId="7A5BE996" w:rsidR="00784900" w:rsidRPr="0041637C" w:rsidRDefault="00784900" w:rsidP="00784900">
      <w:pPr>
        <w:spacing w:after="0" w:line="240" w:lineRule="auto"/>
        <w:jc w:val="center"/>
        <w:rPr>
          <w:rFonts w:ascii="Arial" w:hAnsi="Arial" w:cs="Arial"/>
          <w:color w:val="000000" w:themeColor="text1"/>
          <w:sz w:val="18"/>
        </w:rPr>
      </w:pPr>
      <w:r w:rsidRPr="0041637C">
        <w:rPr>
          <w:rFonts w:ascii="Arial" w:hAnsi="Arial" w:cs="Arial"/>
          <w:color w:val="000000" w:themeColor="text1"/>
          <w:sz w:val="18"/>
        </w:rPr>
        <w:t>Vir: Statistični podatki o javnih naročilih, oddanih v letu 2022.</w:t>
      </w:r>
    </w:p>
    <w:p w14:paraId="220C8BC0" w14:textId="77777777" w:rsidR="00E543A8" w:rsidRPr="00472CC0" w:rsidRDefault="00E543A8" w:rsidP="002A1622">
      <w:pPr>
        <w:tabs>
          <w:tab w:val="left" w:pos="567"/>
          <w:tab w:val="left" w:pos="993"/>
        </w:tabs>
        <w:spacing w:line="360" w:lineRule="auto"/>
        <w:jc w:val="both"/>
        <w:rPr>
          <w:rFonts w:ascii="Arial" w:hAnsi="Arial" w:cs="Arial"/>
          <w:sz w:val="20"/>
          <w:szCs w:val="20"/>
        </w:rPr>
      </w:pPr>
    </w:p>
    <w:p w14:paraId="63343A6B" w14:textId="2C6F87F4" w:rsidR="00B11580" w:rsidRPr="00472CC0" w:rsidRDefault="00B11580" w:rsidP="00B11580">
      <w:pPr>
        <w:pStyle w:val="Naslov3"/>
        <w:rPr>
          <w:rFonts w:ascii="Arial" w:hAnsi="Arial" w:cs="Arial"/>
          <w:sz w:val="22"/>
          <w:szCs w:val="22"/>
        </w:rPr>
      </w:pPr>
      <w:bookmarkStart w:id="37" w:name="_Toc141864069"/>
      <w:r w:rsidRPr="00472CC0">
        <w:rPr>
          <w:rFonts w:ascii="Arial" w:hAnsi="Arial" w:cs="Arial"/>
          <w:sz w:val="22"/>
          <w:szCs w:val="22"/>
        </w:rPr>
        <w:t>2.</w:t>
      </w:r>
      <w:r w:rsidR="00FA2740" w:rsidRPr="00472CC0">
        <w:rPr>
          <w:rFonts w:ascii="Arial" w:hAnsi="Arial" w:cs="Arial"/>
          <w:sz w:val="22"/>
          <w:szCs w:val="22"/>
        </w:rPr>
        <w:t>6</w:t>
      </w:r>
      <w:r w:rsidRPr="00472CC0">
        <w:rPr>
          <w:rFonts w:ascii="Arial" w:hAnsi="Arial" w:cs="Arial"/>
          <w:sz w:val="22"/>
          <w:szCs w:val="22"/>
        </w:rPr>
        <w:t>.2 Sedež ponudnikov</w:t>
      </w:r>
      <w:bookmarkEnd w:id="37"/>
    </w:p>
    <w:p w14:paraId="6A4FC8F6" w14:textId="1E4F5264" w:rsidR="004A613D" w:rsidRPr="00472CC0" w:rsidRDefault="004A613D" w:rsidP="002149C7">
      <w:pPr>
        <w:pStyle w:val="ZADEVA"/>
        <w:jc w:val="both"/>
        <w:rPr>
          <w:rFonts w:cs="Arial"/>
          <w:b w:val="0"/>
          <w:szCs w:val="20"/>
          <w:lang w:val="sl-SI"/>
        </w:rPr>
      </w:pPr>
    </w:p>
    <w:p w14:paraId="1F6EABEB" w14:textId="60989112" w:rsidR="002149C7" w:rsidRPr="00472CC0" w:rsidRDefault="002149C7" w:rsidP="00E36A05">
      <w:pPr>
        <w:spacing w:line="360" w:lineRule="auto"/>
        <w:jc w:val="both"/>
        <w:rPr>
          <w:rFonts w:ascii="Arial" w:hAnsi="Arial" w:cs="Arial"/>
          <w:sz w:val="20"/>
          <w:szCs w:val="20"/>
          <w:lang w:eastAsia="sl-SI"/>
        </w:rPr>
      </w:pPr>
      <w:r w:rsidRPr="00472CC0">
        <w:rPr>
          <w:rFonts w:ascii="Arial" w:hAnsi="Arial" w:cs="Arial"/>
          <w:bCs/>
          <w:sz w:val="20"/>
          <w:szCs w:val="20"/>
          <w:lang w:eastAsia="sl-SI"/>
        </w:rPr>
        <w:t xml:space="preserve">Naročniki so </w:t>
      </w:r>
      <w:r w:rsidR="001A3829" w:rsidRPr="00472CC0">
        <w:rPr>
          <w:rFonts w:ascii="Arial" w:hAnsi="Arial" w:cs="Arial"/>
          <w:bCs/>
          <w:sz w:val="20"/>
          <w:szCs w:val="20"/>
          <w:lang w:eastAsia="sl-SI"/>
        </w:rPr>
        <w:t>leta</w:t>
      </w:r>
      <w:r w:rsidR="00E36A05" w:rsidRPr="00472CC0">
        <w:rPr>
          <w:rFonts w:ascii="Arial" w:hAnsi="Arial" w:cs="Arial"/>
          <w:bCs/>
          <w:sz w:val="20"/>
          <w:szCs w:val="20"/>
          <w:lang w:eastAsia="sl-SI"/>
        </w:rPr>
        <w:t xml:space="preserve"> 20</w:t>
      </w:r>
      <w:r w:rsidR="00274CE8" w:rsidRPr="00472CC0">
        <w:rPr>
          <w:rFonts w:ascii="Arial" w:hAnsi="Arial" w:cs="Arial"/>
          <w:bCs/>
          <w:sz w:val="20"/>
          <w:szCs w:val="20"/>
          <w:lang w:eastAsia="sl-SI"/>
        </w:rPr>
        <w:t>2</w:t>
      </w:r>
      <w:r w:rsidR="00472CC0" w:rsidRPr="00472CC0">
        <w:rPr>
          <w:rFonts w:ascii="Arial" w:hAnsi="Arial" w:cs="Arial"/>
          <w:bCs/>
          <w:sz w:val="20"/>
          <w:szCs w:val="20"/>
          <w:lang w:eastAsia="sl-SI"/>
        </w:rPr>
        <w:t>2</w:t>
      </w:r>
      <w:r w:rsidR="00E36A05" w:rsidRPr="00472CC0">
        <w:rPr>
          <w:rFonts w:ascii="Arial" w:hAnsi="Arial" w:cs="Arial"/>
          <w:bCs/>
          <w:sz w:val="20"/>
          <w:szCs w:val="20"/>
          <w:lang w:eastAsia="sl-SI"/>
        </w:rPr>
        <w:t xml:space="preserve"> ponudnikom s sedežem v Republiki Sloveniji oddali več kot 97</w:t>
      </w:r>
      <w:r w:rsidR="00E9321E" w:rsidRPr="00472CC0">
        <w:rPr>
          <w:rFonts w:ascii="Arial" w:hAnsi="Arial" w:cs="Arial"/>
          <w:bCs/>
          <w:sz w:val="20"/>
          <w:szCs w:val="20"/>
          <w:lang w:eastAsia="sl-SI"/>
        </w:rPr>
        <w:t> </w:t>
      </w:r>
      <w:r w:rsidR="00AC0027">
        <w:rPr>
          <w:rFonts w:ascii="Arial" w:hAnsi="Arial" w:cs="Arial"/>
          <w:bCs/>
          <w:sz w:val="20"/>
          <w:szCs w:val="20"/>
          <w:lang w:eastAsia="sl-SI"/>
        </w:rPr>
        <w:t>odstotkov</w:t>
      </w:r>
      <w:r w:rsidR="00E36A05" w:rsidRPr="00472CC0">
        <w:rPr>
          <w:rFonts w:ascii="Arial" w:hAnsi="Arial" w:cs="Arial"/>
          <w:bCs/>
          <w:sz w:val="20"/>
          <w:szCs w:val="20"/>
          <w:lang w:eastAsia="sl-SI"/>
        </w:rPr>
        <w:t xml:space="preserve"> javnih naročil. Vrednost teh naročil </w:t>
      </w:r>
      <w:r w:rsidR="00AE7174" w:rsidRPr="00472CC0">
        <w:rPr>
          <w:rFonts w:ascii="Arial" w:hAnsi="Arial" w:cs="Arial"/>
          <w:bCs/>
          <w:sz w:val="20"/>
          <w:szCs w:val="20"/>
          <w:lang w:eastAsia="sl-SI"/>
        </w:rPr>
        <w:t xml:space="preserve">je </w:t>
      </w:r>
      <w:r w:rsidR="00472CC0" w:rsidRPr="00472CC0">
        <w:rPr>
          <w:rFonts w:ascii="Arial" w:hAnsi="Arial" w:cs="Arial"/>
          <w:bCs/>
          <w:sz w:val="20"/>
          <w:szCs w:val="20"/>
          <w:lang w:eastAsia="sl-SI"/>
        </w:rPr>
        <w:t>96,</w:t>
      </w:r>
      <w:r w:rsidR="00472CC0">
        <w:rPr>
          <w:rFonts w:ascii="Arial" w:hAnsi="Arial" w:cs="Arial"/>
          <w:bCs/>
          <w:sz w:val="20"/>
          <w:szCs w:val="20"/>
          <w:lang w:eastAsia="sl-SI"/>
        </w:rPr>
        <w:t>34</w:t>
      </w:r>
      <w:r w:rsidR="00E9321E" w:rsidRPr="00472CC0">
        <w:rPr>
          <w:rFonts w:ascii="Arial" w:hAnsi="Arial" w:cs="Arial"/>
          <w:bCs/>
          <w:sz w:val="20"/>
          <w:szCs w:val="20"/>
          <w:lang w:eastAsia="sl-SI"/>
        </w:rPr>
        <w:t> </w:t>
      </w:r>
      <w:r w:rsidR="00AC0027">
        <w:rPr>
          <w:rFonts w:ascii="Arial" w:hAnsi="Arial" w:cs="Arial"/>
          <w:bCs/>
          <w:sz w:val="20"/>
          <w:szCs w:val="20"/>
          <w:lang w:eastAsia="sl-SI"/>
        </w:rPr>
        <w:t>odstotka</w:t>
      </w:r>
      <w:r w:rsidR="00CD4647" w:rsidRPr="00472CC0">
        <w:rPr>
          <w:rFonts w:ascii="Arial" w:hAnsi="Arial" w:cs="Arial"/>
          <w:bCs/>
          <w:sz w:val="20"/>
          <w:szCs w:val="20"/>
          <w:lang w:eastAsia="sl-SI"/>
        </w:rPr>
        <w:t xml:space="preserve"> </w:t>
      </w:r>
      <w:r w:rsidR="00E36A05" w:rsidRPr="00472CC0">
        <w:rPr>
          <w:rFonts w:ascii="Arial" w:hAnsi="Arial" w:cs="Arial"/>
          <w:bCs/>
          <w:sz w:val="20"/>
          <w:szCs w:val="20"/>
          <w:lang w:eastAsia="sl-SI"/>
        </w:rPr>
        <w:t>vseh oddanih javnih naročil.</w:t>
      </w:r>
      <w:r w:rsidRPr="00472CC0">
        <w:rPr>
          <w:rFonts w:ascii="Arial" w:hAnsi="Arial" w:cs="Arial"/>
          <w:sz w:val="20"/>
          <w:szCs w:val="20"/>
          <w:lang w:eastAsia="sl-SI"/>
        </w:rPr>
        <w:t xml:space="preserve"> </w:t>
      </w:r>
    </w:p>
    <w:p w14:paraId="5342B8AD" w14:textId="740C0B63" w:rsidR="008F7759" w:rsidRPr="00BF7302" w:rsidRDefault="008F7759" w:rsidP="008F7759">
      <w:pPr>
        <w:spacing w:line="360" w:lineRule="auto"/>
        <w:jc w:val="both"/>
        <w:rPr>
          <w:rFonts w:ascii="Arial" w:hAnsi="Arial" w:cs="Arial"/>
          <w:sz w:val="20"/>
          <w:szCs w:val="20"/>
          <w:highlight w:val="yellow"/>
          <w:lang w:eastAsia="sl-SI"/>
        </w:rPr>
      </w:pPr>
      <w:r w:rsidRPr="002749B5">
        <w:rPr>
          <w:rFonts w:ascii="Arial" w:hAnsi="Arial" w:cs="Arial"/>
          <w:bCs/>
          <w:sz w:val="20"/>
          <w:szCs w:val="20"/>
          <w:lang w:eastAsia="sl-SI"/>
        </w:rPr>
        <w:t>Naročniki so pri tujih ponudnikih najpogosteje naročali blago</w:t>
      </w:r>
      <w:r w:rsidR="00A84A86" w:rsidRPr="002749B5">
        <w:rPr>
          <w:rFonts w:ascii="Arial" w:hAnsi="Arial" w:cs="Arial"/>
          <w:bCs/>
          <w:sz w:val="20"/>
          <w:szCs w:val="20"/>
          <w:lang w:eastAsia="sl-SI"/>
        </w:rPr>
        <w:t xml:space="preserve">. </w:t>
      </w:r>
      <w:r w:rsidR="00CD4647" w:rsidRPr="002749B5">
        <w:rPr>
          <w:rFonts w:ascii="Arial" w:hAnsi="Arial" w:cs="Arial"/>
          <w:bCs/>
          <w:sz w:val="20"/>
          <w:szCs w:val="20"/>
          <w:lang w:eastAsia="sl-SI"/>
        </w:rPr>
        <w:t>Leta</w:t>
      </w:r>
      <w:r w:rsidR="00A84A86" w:rsidRPr="002749B5">
        <w:rPr>
          <w:rFonts w:ascii="Arial" w:hAnsi="Arial" w:cs="Arial"/>
          <w:bCs/>
          <w:sz w:val="20"/>
          <w:szCs w:val="20"/>
          <w:lang w:eastAsia="sl-SI"/>
        </w:rPr>
        <w:t xml:space="preserve"> 20</w:t>
      </w:r>
      <w:r w:rsidR="00E02634" w:rsidRPr="002749B5">
        <w:rPr>
          <w:rFonts w:ascii="Arial" w:hAnsi="Arial" w:cs="Arial"/>
          <w:bCs/>
          <w:sz w:val="20"/>
          <w:szCs w:val="20"/>
          <w:lang w:eastAsia="sl-SI"/>
        </w:rPr>
        <w:t>2</w:t>
      </w:r>
      <w:r w:rsidR="00741559">
        <w:rPr>
          <w:rFonts w:ascii="Arial" w:hAnsi="Arial" w:cs="Arial"/>
          <w:bCs/>
          <w:sz w:val="20"/>
          <w:szCs w:val="20"/>
          <w:lang w:eastAsia="sl-SI"/>
        </w:rPr>
        <w:t>2</w:t>
      </w:r>
      <w:r w:rsidRPr="002749B5">
        <w:rPr>
          <w:rFonts w:ascii="Arial" w:hAnsi="Arial" w:cs="Arial"/>
          <w:bCs/>
          <w:sz w:val="20"/>
          <w:szCs w:val="20"/>
          <w:lang w:eastAsia="sl-SI"/>
        </w:rPr>
        <w:t xml:space="preserve"> je bilo tovrstnih oddanih </w:t>
      </w:r>
      <w:r w:rsidR="00526D5F" w:rsidRPr="002749B5">
        <w:rPr>
          <w:rFonts w:ascii="Arial" w:hAnsi="Arial" w:cs="Arial"/>
          <w:bCs/>
          <w:sz w:val="20"/>
          <w:szCs w:val="20"/>
          <w:lang w:eastAsia="sl-SI"/>
        </w:rPr>
        <w:t>javnih naročil</w:t>
      </w:r>
      <w:r w:rsidRPr="002749B5">
        <w:rPr>
          <w:rFonts w:ascii="Arial" w:hAnsi="Arial" w:cs="Arial"/>
          <w:bCs/>
          <w:sz w:val="20"/>
          <w:szCs w:val="20"/>
          <w:lang w:eastAsia="sl-SI"/>
        </w:rPr>
        <w:t xml:space="preserve"> </w:t>
      </w:r>
      <w:r w:rsidR="009A6CF5" w:rsidRPr="002749B5">
        <w:rPr>
          <w:rFonts w:ascii="Arial" w:hAnsi="Arial" w:cs="Arial"/>
          <w:bCs/>
          <w:sz w:val="20"/>
          <w:szCs w:val="20"/>
          <w:lang w:eastAsia="sl-SI"/>
        </w:rPr>
        <w:t>3</w:t>
      </w:r>
      <w:r w:rsidR="002749B5" w:rsidRPr="002749B5">
        <w:rPr>
          <w:rFonts w:ascii="Arial" w:hAnsi="Arial" w:cs="Arial"/>
          <w:bCs/>
          <w:sz w:val="20"/>
          <w:szCs w:val="20"/>
          <w:lang w:eastAsia="sl-SI"/>
        </w:rPr>
        <w:t>4</w:t>
      </w:r>
      <w:r w:rsidR="009A6CF5" w:rsidRPr="002749B5">
        <w:rPr>
          <w:rFonts w:ascii="Arial" w:hAnsi="Arial" w:cs="Arial"/>
          <w:bCs/>
          <w:sz w:val="20"/>
          <w:szCs w:val="20"/>
          <w:lang w:eastAsia="sl-SI"/>
        </w:rPr>
        <w:t>4</w:t>
      </w:r>
      <w:r w:rsidRPr="002749B5">
        <w:rPr>
          <w:rFonts w:ascii="Arial" w:hAnsi="Arial" w:cs="Arial"/>
          <w:bCs/>
          <w:sz w:val="20"/>
          <w:szCs w:val="20"/>
          <w:lang w:eastAsia="sl-SI"/>
        </w:rPr>
        <w:t xml:space="preserve">, njihova skupna vrednost pa </w:t>
      </w:r>
      <w:r w:rsidR="00416593" w:rsidRPr="002749B5">
        <w:rPr>
          <w:rFonts w:ascii="Arial" w:hAnsi="Arial" w:cs="Arial"/>
          <w:bCs/>
          <w:sz w:val="20"/>
          <w:szCs w:val="20"/>
          <w:lang w:eastAsia="sl-SI"/>
        </w:rPr>
        <w:t xml:space="preserve">znaša </w:t>
      </w:r>
      <w:r w:rsidR="002749B5" w:rsidRPr="002749B5">
        <w:rPr>
          <w:rFonts w:ascii="Arial" w:hAnsi="Arial" w:cs="Arial"/>
          <w:bCs/>
          <w:sz w:val="20"/>
          <w:szCs w:val="20"/>
          <w:lang w:eastAsia="sl-SI"/>
        </w:rPr>
        <w:t xml:space="preserve">113.836.388 </w:t>
      </w:r>
      <w:r w:rsidRPr="002749B5">
        <w:rPr>
          <w:rFonts w:ascii="Arial" w:hAnsi="Arial" w:cs="Arial"/>
          <w:sz w:val="20"/>
          <w:szCs w:val="20"/>
          <w:lang w:eastAsia="sl-SI"/>
        </w:rPr>
        <w:t xml:space="preserve">evrov. </w:t>
      </w:r>
      <w:r w:rsidR="00526D5F" w:rsidRPr="002749B5">
        <w:rPr>
          <w:rFonts w:ascii="Arial" w:hAnsi="Arial" w:cs="Arial"/>
          <w:sz w:val="20"/>
          <w:szCs w:val="20"/>
          <w:lang w:eastAsia="sl-SI"/>
        </w:rPr>
        <w:t xml:space="preserve">Podrobnejša razporeditev oddanih javnih naročil glede na predmet naročanja in sedež ponudnika je </w:t>
      </w:r>
      <w:r w:rsidR="00C82337" w:rsidRPr="002749B5">
        <w:rPr>
          <w:rFonts w:ascii="Arial" w:hAnsi="Arial" w:cs="Arial"/>
          <w:sz w:val="20"/>
          <w:szCs w:val="20"/>
          <w:lang w:eastAsia="sl-SI"/>
        </w:rPr>
        <w:t>prikazana</w:t>
      </w:r>
      <w:r w:rsidR="00526D5F" w:rsidRPr="002749B5">
        <w:rPr>
          <w:rFonts w:ascii="Arial" w:hAnsi="Arial" w:cs="Arial"/>
          <w:sz w:val="20"/>
          <w:szCs w:val="20"/>
          <w:lang w:eastAsia="sl-SI"/>
        </w:rPr>
        <w:t xml:space="preserve"> v spodnji preglednici.</w:t>
      </w:r>
    </w:p>
    <w:p w14:paraId="2B47FBA6" w14:textId="77777777" w:rsidR="00F11E69" w:rsidRDefault="00F11E69">
      <w:pPr>
        <w:rPr>
          <w:rFonts w:ascii="Arial" w:hAnsi="Arial" w:cs="Arial"/>
          <w:sz w:val="20"/>
        </w:rPr>
      </w:pPr>
      <w:r>
        <w:rPr>
          <w:rFonts w:ascii="Arial" w:hAnsi="Arial" w:cs="Arial"/>
          <w:sz w:val="20"/>
        </w:rPr>
        <w:br w:type="page"/>
      </w:r>
    </w:p>
    <w:p w14:paraId="3B07886A" w14:textId="4E51982E" w:rsidR="00E36A05" w:rsidRPr="000A0948" w:rsidRDefault="00E36A05" w:rsidP="008A61FD">
      <w:pPr>
        <w:spacing w:before="120" w:after="120" w:line="240" w:lineRule="auto"/>
        <w:jc w:val="both"/>
        <w:rPr>
          <w:rFonts w:ascii="Arial" w:hAnsi="Arial" w:cs="Arial"/>
          <w:sz w:val="20"/>
        </w:rPr>
      </w:pPr>
      <w:r w:rsidRPr="000A0948">
        <w:rPr>
          <w:rFonts w:ascii="Arial" w:hAnsi="Arial" w:cs="Arial"/>
          <w:sz w:val="20"/>
        </w:rPr>
        <w:lastRenderedPageBreak/>
        <w:t xml:space="preserve">Preglednica </w:t>
      </w:r>
      <w:r w:rsidR="00512F52" w:rsidRPr="000A0948">
        <w:rPr>
          <w:rFonts w:ascii="Arial" w:hAnsi="Arial" w:cs="Arial"/>
          <w:sz w:val="20"/>
        </w:rPr>
        <w:t>3</w:t>
      </w:r>
      <w:r w:rsidR="00EA747F">
        <w:rPr>
          <w:rFonts w:ascii="Arial" w:hAnsi="Arial" w:cs="Arial"/>
          <w:sz w:val="20"/>
        </w:rPr>
        <w:t>4</w:t>
      </w:r>
      <w:r w:rsidRPr="000A0948">
        <w:rPr>
          <w:rFonts w:ascii="Arial" w:hAnsi="Arial" w:cs="Arial"/>
          <w:sz w:val="20"/>
        </w:rPr>
        <w:t>: Delež uspešnosti tujih ponudnikov glede na predmet naročanja</w:t>
      </w:r>
    </w:p>
    <w:tbl>
      <w:tblPr>
        <w:tblW w:w="8648" w:type="dxa"/>
        <w:jc w:val="center"/>
        <w:tblCellMar>
          <w:left w:w="70" w:type="dxa"/>
          <w:right w:w="70" w:type="dxa"/>
        </w:tblCellMar>
        <w:tblLook w:val="04A0" w:firstRow="1" w:lastRow="0" w:firstColumn="1" w:lastColumn="0" w:noHBand="0" w:noVBand="1"/>
      </w:tblPr>
      <w:tblGrid>
        <w:gridCol w:w="988"/>
        <w:gridCol w:w="1943"/>
        <w:gridCol w:w="960"/>
        <w:gridCol w:w="1497"/>
        <w:gridCol w:w="1723"/>
        <w:gridCol w:w="1537"/>
      </w:tblGrid>
      <w:tr w:rsidR="00E02634" w:rsidRPr="000A0948" w14:paraId="2843A660" w14:textId="77777777" w:rsidTr="00CD447F">
        <w:trPr>
          <w:trHeight w:val="255"/>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08ADAF" w14:textId="77777777" w:rsidR="00E02634" w:rsidRPr="000A0948" w:rsidRDefault="00E02634" w:rsidP="00E02634">
            <w:pPr>
              <w:spacing w:after="0" w:line="240" w:lineRule="auto"/>
              <w:jc w:val="center"/>
              <w:rPr>
                <w:rFonts w:ascii="Arial" w:eastAsia="Times New Roman" w:hAnsi="Arial" w:cs="Arial"/>
                <w:color w:val="000000"/>
                <w:sz w:val="18"/>
                <w:szCs w:val="18"/>
                <w:lang w:eastAsia="sl-SI"/>
              </w:rPr>
            </w:pPr>
            <w:r w:rsidRPr="000A0948">
              <w:rPr>
                <w:rFonts w:ascii="Arial" w:eastAsia="Times New Roman" w:hAnsi="Arial" w:cs="Arial"/>
                <w:color w:val="000000"/>
                <w:sz w:val="18"/>
                <w:szCs w:val="18"/>
                <w:lang w:eastAsia="sl-SI"/>
              </w:rPr>
              <w:t xml:space="preserve">Predmet </w:t>
            </w:r>
          </w:p>
        </w:tc>
        <w:tc>
          <w:tcPr>
            <w:tcW w:w="194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9FBCE98" w14:textId="77777777" w:rsidR="00E02634" w:rsidRPr="000A0948" w:rsidRDefault="00E02634" w:rsidP="00E02634">
            <w:pPr>
              <w:spacing w:after="0" w:line="240" w:lineRule="auto"/>
              <w:jc w:val="center"/>
              <w:rPr>
                <w:rFonts w:ascii="Arial" w:eastAsia="Times New Roman" w:hAnsi="Arial" w:cs="Arial"/>
                <w:color w:val="000000"/>
                <w:sz w:val="18"/>
                <w:szCs w:val="18"/>
                <w:lang w:eastAsia="sl-SI"/>
              </w:rPr>
            </w:pPr>
            <w:r w:rsidRPr="000A0948">
              <w:rPr>
                <w:rFonts w:ascii="Arial" w:eastAsia="Times New Roman" w:hAnsi="Arial" w:cs="Arial"/>
                <w:color w:val="000000"/>
                <w:sz w:val="18"/>
                <w:szCs w:val="18"/>
                <w:lang w:eastAsia="sl-SI"/>
              </w:rPr>
              <w:t>Sedež ponudnika</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C3163A7" w14:textId="77777777" w:rsidR="00E02634" w:rsidRPr="000A0948" w:rsidRDefault="00E02634" w:rsidP="00E02634">
            <w:pPr>
              <w:spacing w:after="0" w:line="240" w:lineRule="auto"/>
              <w:jc w:val="center"/>
              <w:rPr>
                <w:rFonts w:ascii="Arial" w:eastAsia="Times New Roman" w:hAnsi="Arial" w:cs="Arial"/>
                <w:color w:val="000000"/>
                <w:sz w:val="18"/>
                <w:szCs w:val="18"/>
                <w:lang w:eastAsia="sl-SI"/>
              </w:rPr>
            </w:pPr>
            <w:r w:rsidRPr="000A0948">
              <w:rPr>
                <w:rFonts w:ascii="Arial" w:eastAsia="Times New Roman" w:hAnsi="Arial" w:cs="Arial"/>
                <w:color w:val="000000"/>
                <w:sz w:val="18"/>
                <w:szCs w:val="18"/>
                <w:lang w:eastAsia="sl-SI"/>
              </w:rPr>
              <w:t>Št. naročil</w:t>
            </w:r>
          </w:p>
        </w:tc>
        <w:tc>
          <w:tcPr>
            <w:tcW w:w="149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DC8CD9E" w14:textId="77777777" w:rsidR="00E02634" w:rsidRPr="000A0948" w:rsidRDefault="00E02634" w:rsidP="00E02634">
            <w:pPr>
              <w:spacing w:after="0" w:line="240" w:lineRule="auto"/>
              <w:jc w:val="center"/>
              <w:rPr>
                <w:rFonts w:ascii="Arial" w:eastAsia="Times New Roman" w:hAnsi="Arial" w:cs="Arial"/>
                <w:color w:val="000000"/>
                <w:sz w:val="18"/>
                <w:szCs w:val="18"/>
                <w:lang w:eastAsia="sl-SI"/>
              </w:rPr>
            </w:pPr>
            <w:r w:rsidRPr="000A0948">
              <w:rPr>
                <w:rFonts w:ascii="Arial" w:eastAsia="Times New Roman" w:hAnsi="Arial" w:cs="Arial"/>
                <w:color w:val="000000"/>
                <w:sz w:val="18"/>
                <w:szCs w:val="18"/>
                <w:lang w:eastAsia="sl-SI"/>
              </w:rPr>
              <w:t xml:space="preserve">Pogodbena vrednost </w:t>
            </w:r>
          </w:p>
        </w:tc>
        <w:tc>
          <w:tcPr>
            <w:tcW w:w="172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B84F8F9" w14:textId="77777777" w:rsidR="00E02634" w:rsidRPr="000A0948" w:rsidRDefault="00E02634" w:rsidP="00E02634">
            <w:pPr>
              <w:spacing w:after="0" w:line="240" w:lineRule="auto"/>
              <w:jc w:val="center"/>
              <w:rPr>
                <w:rFonts w:ascii="Arial" w:eastAsia="Times New Roman" w:hAnsi="Arial" w:cs="Arial"/>
                <w:color w:val="000000"/>
                <w:sz w:val="18"/>
                <w:szCs w:val="18"/>
                <w:lang w:eastAsia="sl-SI"/>
              </w:rPr>
            </w:pPr>
            <w:r w:rsidRPr="000A0948">
              <w:rPr>
                <w:rFonts w:ascii="Arial" w:eastAsia="Times New Roman" w:hAnsi="Arial" w:cs="Arial"/>
                <w:color w:val="000000"/>
                <w:sz w:val="18"/>
                <w:szCs w:val="18"/>
                <w:lang w:eastAsia="sl-SI"/>
              </w:rPr>
              <w:t>Delež v št. istovrstnih naročil</w:t>
            </w:r>
          </w:p>
        </w:tc>
        <w:tc>
          <w:tcPr>
            <w:tcW w:w="153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7502261" w14:textId="77777777" w:rsidR="00E02634" w:rsidRPr="000A0948" w:rsidRDefault="00E02634" w:rsidP="00E02634">
            <w:pPr>
              <w:spacing w:after="0" w:line="240" w:lineRule="auto"/>
              <w:jc w:val="center"/>
              <w:rPr>
                <w:rFonts w:ascii="Arial" w:eastAsia="Times New Roman" w:hAnsi="Arial" w:cs="Arial"/>
                <w:color w:val="000000"/>
                <w:sz w:val="18"/>
                <w:szCs w:val="18"/>
                <w:lang w:eastAsia="sl-SI"/>
              </w:rPr>
            </w:pPr>
            <w:r w:rsidRPr="000A0948">
              <w:rPr>
                <w:rFonts w:ascii="Arial" w:eastAsia="Times New Roman" w:hAnsi="Arial" w:cs="Arial"/>
                <w:color w:val="000000"/>
                <w:sz w:val="18"/>
                <w:szCs w:val="18"/>
                <w:lang w:eastAsia="sl-SI"/>
              </w:rPr>
              <w:t>Delež v vrednosti istovrstnih naročil</w:t>
            </w:r>
          </w:p>
        </w:tc>
      </w:tr>
      <w:tr w:rsidR="000A0948" w:rsidRPr="000A0948" w14:paraId="754D1037" w14:textId="77777777" w:rsidTr="000A0948">
        <w:trPr>
          <w:trHeight w:val="255"/>
          <w:jc w:val="center"/>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46528120" w14:textId="77777777" w:rsidR="000A0948" w:rsidRPr="000A0948" w:rsidRDefault="000A0948" w:rsidP="000A0948">
            <w:pPr>
              <w:spacing w:after="0" w:line="240" w:lineRule="auto"/>
              <w:jc w:val="both"/>
              <w:rPr>
                <w:rFonts w:ascii="Arial" w:eastAsia="Times New Roman" w:hAnsi="Arial" w:cs="Arial"/>
                <w:color w:val="000000"/>
                <w:sz w:val="18"/>
                <w:szCs w:val="18"/>
                <w:lang w:eastAsia="sl-SI"/>
              </w:rPr>
            </w:pPr>
            <w:r w:rsidRPr="000A0948">
              <w:rPr>
                <w:rFonts w:ascii="Arial" w:eastAsia="Times New Roman" w:hAnsi="Arial" w:cs="Arial"/>
                <w:color w:val="000000"/>
                <w:sz w:val="18"/>
                <w:szCs w:val="18"/>
                <w:lang w:eastAsia="sl-SI"/>
              </w:rPr>
              <w:t>Blago</w:t>
            </w:r>
          </w:p>
        </w:tc>
        <w:tc>
          <w:tcPr>
            <w:tcW w:w="1943" w:type="dxa"/>
            <w:tcBorders>
              <w:top w:val="nil"/>
              <w:left w:val="nil"/>
              <w:bottom w:val="single" w:sz="4" w:space="0" w:color="auto"/>
              <w:right w:val="single" w:sz="4" w:space="0" w:color="auto"/>
            </w:tcBorders>
            <w:shd w:val="clear" w:color="auto" w:fill="auto"/>
            <w:vAlign w:val="center"/>
            <w:hideMark/>
          </w:tcPr>
          <w:p w14:paraId="663070B4" w14:textId="77777777" w:rsidR="000A0948" w:rsidRPr="000A0948" w:rsidRDefault="000A0948" w:rsidP="000A0948">
            <w:pPr>
              <w:spacing w:after="0" w:line="240" w:lineRule="auto"/>
              <w:jc w:val="both"/>
              <w:rPr>
                <w:rFonts w:ascii="Arial" w:eastAsia="Times New Roman" w:hAnsi="Arial" w:cs="Arial"/>
                <w:color w:val="000000"/>
                <w:sz w:val="18"/>
                <w:szCs w:val="18"/>
                <w:lang w:eastAsia="sl-SI"/>
              </w:rPr>
            </w:pPr>
            <w:r w:rsidRPr="000A0948">
              <w:rPr>
                <w:rFonts w:ascii="Arial" w:eastAsia="Times New Roman" w:hAnsi="Arial" w:cs="Arial"/>
                <w:color w:val="000000"/>
                <w:sz w:val="18"/>
                <w:szCs w:val="18"/>
                <w:lang w:eastAsia="sl-SI"/>
              </w:rPr>
              <w:t>Slovenija</w:t>
            </w:r>
          </w:p>
        </w:tc>
        <w:tc>
          <w:tcPr>
            <w:tcW w:w="960" w:type="dxa"/>
            <w:tcBorders>
              <w:top w:val="nil"/>
              <w:left w:val="nil"/>
              <w:bottom w:val="single" w:sz="4" w:space="0" w:color="auto"/>
              <w:right w:val="single" w:sz="4" w:space="0" w:color="auto"/>
            </w:tcBorders>
            <w:shd w:val="clear" w:color="auto" w:fill="auto"/>
            <w:vAlign w:val="center"/>
            <w:hideMark/>
          </w:tcPr>
          <w:p w14:paraId="6B609F8D" w14:textId="637F0EE3" w:rsidR="000A0948" w:rsidRPr="000A0948" w:rsidRDefault="000A0948" w:rsidP="000A0948">
            <w:pPr>
              <w:spacing w:after="0" w:line="240" w:lineRule="auto"/>
              <w:jc w:val="right"/>
              <w:rPr>
                <w:rFonts w:ascii="Arial" w:eastAsia="Times New Roman" w:hAnsi="Arial" w:cs="Arial"/>
                <w:color w:val="000000" w:themeColor="text1"/>
                <w:sz w:val="18"/>
                <w:szCs w:val="18"/>
                <w:lang w:eastAsia="sl-SI"/>
              </w:rPr>
            </w:pPr>
            <w:r w:rsidRPr="000A0948">
              <w:rPr>
                <w:rFonts w:ascii="Arial" w:eastAsia="Times New Roman" w:hAnsi="Arial" w:cs="Arial"/>
                <w:color w:val="000000" w:themeColor="text1"/>
                <w:sz w:val="18"/>
                <w:szCs w:val="18"/>
                <w:lang w:eastAsia="sl-SI"/>
              </w:rPr>
              <w:t>11.113</w:t>
            </w:r>
          </w:p>
        </w:tc>
        <w:tc>
          <w:tcPr>
            <w:tcW w:w="1497" w:type="dxa"/>
            <w:tcBorders>
              <w:top w:val="nil"/>
              <w:left w:val="nil"/>
              <w:bottom w:val="single" w:sz="4" w:space="0" w:color="auto"/>
              <w:right w:val="single" w:sz="4" w:space="0" w:color="auto"/>
            </w:tcBorders>
            <w:shd w:val="clear" w:color="auto" w:fill="auto"/>
            <w:vAlign w:val="center"/>
            <w:hideMark/>
          </w:tcPr>
          <w:p w14:paraId="74D5CF38" w14:textId="50644C67" w:rsidR="000A0948" w:rsidRPr="000A0948" w:rsidRDefault="000A0948" w:rsidP="000A0948">
            <w:pPr>
              <w:spacing w:after="0" w:line="240" w:lineRule="auto"/>
              <w:jc w:val="right"/>
              <w:rPr>
                <w:rFonts w:ascii="Arial" w:eastAsia="Times New Roman" w:hAnsi="Arial" w:cs="Arial"/>
                <w:color w:val="000000" w:themeColor="text1"/>
                <w:sz w:val="18"/>
                <w:szCs w:val="18"/>
                <w:lang w:eastAsia="sl-SI"/>
              </w:rPr>
            </w:pPr>
            <w:r w:rsidRPr="000A0948">
              <w:rPr>
                <w:rFonts w:ascii="Arial" w:eastAsia="Times New Roman" w:hAnsi="Arial" w:cs="Arial"/>
                <w:color w:val="000000" w:themeColor="text1"/>
                <w:sz w:val="18"/>
                <w:szCs w:val="18"/>
                <w:lang w:eastAsia="sl-SI"/>
              </w:rPr>
              <w:t>1.696.936.630</w:t>
            </w:r>
          </w:p>
        </w:tc>
        <w:tc>
          <w:tcPr>
            <w:tcW w:w="1723" w:type="dxa"/>
            <w:tcBorders>
              <w:top w:val="nil"/>
              <w:left w:val="nil"/>
              <w:bottom w:val="single" w:sz="4" w:space="0" w:color="auto"/>
              <w:right w:val="single" w:sz="4" w:space="0" w:color="auto"/>
            </w:tcBorders>
            <w:shd w:val="clear" w:color="auto" w:fill="auto"/>
            <w:vAlign w:val="center"/>
            <w:hideMark/>
          </w:tcPr>
          <w:p w14:paraId="497B7FDE" w14:textId="0ABC8820" w:rsidR="000A0948" w:rsidRPr="000A0948" w:rsidRDefault="000A0948" w:rsidP="000A0948">
            <w:pPr>
              <w:spacing w:after="0" w:line="240" w:lineRule="auto"/>
              <w:jc w:val="right"/>
              <w:rPr>
                <w:rFonts w:ascii="Arial" w:eastAsia="Times New Roman" w:hAnsi="Arial" w:cs="Arial"/>
                <w:color w:val="000000" w:themeColor="text1"/>
                <w:sz w:val="18"/>
                <w:szCs w:val="18"/>
                <w:lang w:eastAsia="sl-SI"/>
              </w:rPr>
            </w:pPr>
            <w:r w:rsidRPr="000A0948">
              <w:rPr>
                <w:rFonts w:ascii="Arial" w:eastAsia="Times New Roman" w:hAnsi="Arial" w:cs="Arial"/>
                <w:color w:val="000000" w:themeColor="text1"/>
                <w:sz w:val="18"/>
                <w:szCs w:val="18"/>
                <w:lang w:eastAsia="sl-SI"/>
              </w:rPr>
              <w:t>97,00</w:t>
            </w:r>
            <w:r>
              <w:rPr>
                <w:rFonts w:ascii="Arial" w:eastAsia="Times New Roman" w:hAnsi="Arial" w:cs="Arial"/>
                <w:color w:val="000000" w:themeColor="text1"/>
                <w:sz w:val="18"/>
                <w:szCs w:val="18"/>
                <w:lang w:eastAsia="sl-SI"/>
              </w:rPr>
              <w:t xml:space="preserve"> </w:t>
            </w:r>
            <w:r w:rsidRPr="000A0948">
              <w:rPr>
                <w:rFonts w:ascii="Arial" w:eastAsia="Times New Roman" w:hAnsi="Arial" w:cs="Arial"/>
                <w:color w:val="000000" w:themeColor="text1"/>
                <w:sz w:val="18"/>
                <w:szCs w:val="18"/>
                <w:lang w:eastAsia="sl-SI"/>
              </w:rPr>
              <w:t>%</w:t>
            </w:r>
          </w:p>
        </w:tc>
        <w:tc>
          <w:tcPr>
            <w:tcW w:w="1537" w:type="dxa"/>
            <w:tcBorders>
              <w:top w:val="nil"/>
              <w:left w:val="nil"/>
              <w:bottom w:val="single" w:sz="4" w:space="0" w:color="auto"/>
              <w:right w:val="single" w:sz="4" w:space="0" w:color="auto"/>
            </w:tcBorders>
            <w:shd w:val="clear" w:color="auto" w:fill="auto"/>
            <w:vAlign w:val="center"/>
            <w:hideMark/>
          </w:tcPr>
          <w:p w14:paraId="21E5507A" w14:textId="60DCFFE5" w:rsidR="000A0948" w:rsidRPr="000A0948" w:rsidRDefault="000A0948" w:rsidP="000A0948">
            <w:pPr>
              <w:spacing w:after="0" w:line="240" w:lineRule="auto"/>
              <w:jc w:val="right"/>
              <w:rPr>
                <w:rFonts w:ascii="Arial" w:eastAsia="Times New Roman" w:hAnsi="Arial" w:cs="Arial"/>
                <w:color w:val="000000" w:themeColor="text1"/>
                <w:sz w:val="18"/>
                <w:szCs w:val="18"/>
                <w:lang w:eastAsia="sl-SI"/>
              </w:rPr>
            </w:pPr>
            <w:r w:rsidRPr="000A0948">
              <w:rPr>
                <w:rFonts w:ascii="Arial" w:eastAsia="Times New Roman" w:hAnsi="Arial" w:cs="Arial"/>
                <w:color w:val="000000" w:themeColor="text1"/>
                <w:sz w:val="18"/>
                <w:szCs w:val="18"/>
                <w:lang w:eastAsia="sl-SI"/>
              </w:rPr>
              <w:t>93,71</w:t>
            </w:r>
            <w:r>
              <w:rPr>
                <w:rFonts w:ascii="Arial" w:eastAsia="Times New Roman" w:hAnsi="Arial" w:cs="Arial"/>
                <w:color w:val="000000" w:themeColor="text1"/>
                <w:sz w:val="18"/>
                <w:szCs w:val="18"/>
                <w:lang w:eastAsia="sl-SI"/>
              </w:rPr>
              <w:t xml:space="preserve"> </w:t>
            </w:r>
            <w:r w:rsidRPr="000A0948">
              <w:rPr>
                <w:rFonts w:ascii="Arial" w:eastAsia="Times New Roman" w:hAnsi="Arial" w:cs="Arial"/>
                <w:color w:val="000000" w:themeColor="text1"/>
                <w:sz w:val="18"/>
                <w:szCs w:val="18"/>
                <w:lang w:eastAsia="sl-SI"/>
              </w:rPr>
              <w:t>%</w:t>
            </w:r>
          </w:p>
        </w:tc>
      </w:tr>
      <w:tr w:rsidR="000A0948" w:rsidRPr="000A0948" w14:paraId="66E93682" w14:textId="77777777" w:rsidTr="000A0948">
        <w:trPr>
          <w:trHeight w:val="255"/>
          <w:jc w:val="center"/>
        </w:trPr>
        <w:tc>
          <w:tcPr>
            <w:tcW w:w="988" w:type="dxa"/>
            <w:vMerge/>
            <w:tcBorders>
              <w:top w:val="nil"/>
              <w:left w:val="single" w:sz="4" w:space="0" w:color="auto"/>
              <w:bottom w:val="single" w:sz="4" w:space="0" w:color="auto"/>
              <w:right w:val="single" w:sz="4" w:space="0" w:color="auto"/>
            </w:tcBorders>
            <w:vAlign w:val="center"/>
            <w:hideMark/>
          </w:tcPr>
          <w:p w14:paraId="2873FB27" w14:textId="77777777" w:rsidR="000A0948" w:rsidRPr="000A0948" w:rsidRDefault="000A0948" w:rsidP="000A0948">
            <w:pPr>
              <w:spacing w:after="0" w:line="240" w:lineRule="auto"/>
              <w:rPr>
                <w:rFonts w:ascii="Arial" w:eastAsia="Times New Roman" w:hAnsi="Arial" w:cs="Arial"/>
                <w:color w:val="000000"/>
                <w:sz w:val="18"/>
                <w:szCs w:val="18"/>
                <w:lang w:eastAsia="sl-SI"/>
              </w:rPr>
            </w:pPr>
          </w:p>
        </w:tc>
        <w:tc>
          <w:tcPr>
            <w:tcW w:w="1943" w:type="dxa"/>
            <w:tcBorders>
              <w:top w:val="nil"/>
              <w:left w:val="nil"/>
              <w:bottom w:val="single" w:sz="4" w:space="0" w:color="auto"/>
              <w:right w:val="single" w:sz="4" w:space="0" w:color="auto"/>
            </w:tcBorders>
            <w:shd w:val="clear" w:color="auto" w:fill="auto"/>
            <w:vAlign w:val="center"/>
            <w:hideMark/>
          </w:tcPr>
          <w:p w14:paraId="0476D3AC" w14:textId="1984FE7D" w:rsidR="000A0948" w:rsidRPr="000A0948" w:rsidRDefault="000A0948" w:rsidP="000A0948">
            <w:pPr>
              <w:spacing w:after="0" w:line="240" w:lineRule="auto"/>
              <w:jc w:val="both"/>
              <w:rPr>
                <w:rFonts w:ascii="Arial" w:eastAsia="Times New Roman" w:hAnsi="Arial" w:cs="Arial"/>
                <w:color w:val="000000"/>
                <w:sz w:val="18"/>
                <w:szCs w:val="18"/>
                <w:lang w:eastAsia="sl-SI"/>
              </w:rPr>
            </w:pPr>
            <w:r w:rsidRPr="000A0948">
              <w:rPr>
                <w:rFonts w:ascii="Arial" w:eastAsia="Times New Roman" w:hAnsi="Arial" w:cs="Arial"/>
                <w:color w:val="000000"/>
                <w:sz w:val="18"/>
                <w:szCs w:val="18"/>
                <w:lang w:eastAsia="sl-SI"/>
              </w:rPr>
              <w:t>Druga država EU</w:t>
            </w:r>
          </w:p>
        </w:tc>
        <w:tc>
          <w:tcPr>
            <w:tcW w:w="960" w:type="dxa"/>
            <w:tcBorders>
              <w:top w:val="nil"/>
              <w:left w:val="nil"/>
              <w:bottom w:val="single" w:sz="4" w:space="0" w:color="auto"/>
              <w:right w:val="single" w:sz="4" w:space="0" w:color="auto"/>
            </w:tcBorders>
            <w:shd w:val="clear" w:color="auto" w:fill="auto"/>
            <w:vAlign w:val="center"/>
            <w:hideMark/>
          </w:tcPr>
          <w:p w14:paraId="5DA3326B" w14:textId="633A0894" w:rsidR="000A0948" w:rsidRPr="000A0948" w:rsidRDefault="000A0948" w:rsidP="000A0948">
            <w:pPr>
              <w:spacing w:after="0" w:line="240" w:lineRule="auto"/>
              <w:jc w:val="right"/>
              <w:rPr>
                <w:rFonts w:ascii="Arial" w:eastAsia="Times New Roman" w:hAnsi="Arial" w:cs="Arial"/>
                <w:color w:val="000000" w:themeColor="text1"/>
                <w:sz w:val="18"/>
                <w:szCs w:val="18"/>
                <w:lang w:eastAsia="sl-SI"/>
              </w:rPr>
            </w:pPr>
            <w:r w:rsidRPr="000A0948">
              <w:rPr>
                <w:rFonts w:ascii="Arial" w:eastAsia="Times New Roman" w:hAnsi="Arial" w:cs="Arial"/>
                <w:color w:val="000000" w:themeColor="text1"/>
                <w:sz w:val="18"/>
                <w:szCs w:val="18"/>
                <w:lang w:eastAsia="sl-SI"/>
              </w:rPr>
              <w:t>290</w:t>
            </w:r>
          </w:p>
        </w:tc>
        <w:tc>
          <w:tcPr>
            <w:tcW w:w="1497" w:type="dxa"/>
            <w:tcBorders>
              <w:top w:val="nil"/>
              <w:left w:val="nil"/>
              <w:bottom w:val="single" w:sz="4" w:space="0" w:color="auto"/>
              <w:right w:val="single" w:sz="4" w:space="0" w:color="auto"/>
            </w:tcBorders>
            <w:shd w:val="clear" w:color="auto" w:fill="auto"/>
            <w:vAlign w:val="center"/>
            <w:hideMark/>
          </w:tcPr>
          <w:p w14:paraId="58D210E8" w14:textId="634014E4" w:rsidR="000A0948" w:rsidRPr="000A0948" w:rsidRDefault="000A0948" w:rsidP="000A0948">
            <w:pPr>
              <w:spacing w:after="0" w:line="240" w:lineRule="auto"/>
              <w:jc w:val="right"/>
              <w:rPr>
                <w:rFonts w:ascii="Arial" w:eastAsia="Times New Roman" w:hAnsi="Arial" w:cs="Arial"/>
                <w:color w:val="000000" w:themeColor="text1"/>
                <w:sz w:val="18"/>
                <w:szCs w:val="18"/>
                <w:lang w:eastAsia="sl-SI"/>
              </w:rPr>
            </w:pPr>
            <w:r w:rsidRPr="000A0948">
              <w:rPr>
                <w:rFonts w:ascii="Arial" w:eastAsia="Times New Roman" w:hAnsi="Arial" w:cs="Arial"/>
                <w:color w:val="000000" w:themeColor="text1"/>
                <w:sz w:val="18"/>
                <w:szCs w:val="18"/>
                <w:lang w:eastAsia="sl-SI"/>
              </w:rPr>
              <w:t>104.817.967</w:t>
            </w:r>
          </w:p>
        </w:tc>
        <w:tc>
          <w:tcPr>
            <w:tcW w:w="1723" w:type="dxa"/>
            <w:tcBorders>
              <w:top w:val="nil"/>
              <w:left w:val="nil"/>
              <w:bottom w:val="single" w:sz="4" w:space="0" w:color="auto"/>
              <w:right w:val="single" w:sz="4" w:space="0" w:color="auto"/>
            </w:tcBorders>
            <w:shd w:val="clear" w:color="auto" w:fill="auto"/>
            <w:vAlign w:val="center"/>
            <w:hideMark/>
          </w:tcPr>
          <w:p w14:paraId="0DDF6C8D" w14:textId="7DBEE659" w:rsidR="000A0948" w:rsidRPr="000A0948" w:rsidRDefault="000A0948" w:rsidP="000A0948">
            <w:pPr>
              <w:spacing w:after="0" w:line="240" w:lineRule="auto"/>
              <w:jc w:val="right"/>
              <w:rPr>
                <w:rFonts w:ascii="Arial" w:eastAsia="Times New Roman" w:hAnsi="Arial" w:cs="Arial"/>
                <w:color w:val="000000" w:themeColor="text1"/>
                <w:sz w:val="18"/>
                <w:szCs w:val="18"/>
                <w:lang w:eastAsia="sl-SI"/>
              </w:rPr>
            </w:pPr>
            <w:r w:rsidRPr="000A0948">
              <w:rPr>
                <w:rFonts w:ascii="Arial" w:eastAsia="Times New Roman" w:hAnsi="Arial" w:cs="Arial"/>
                <w:color w:val="000000" w:themeColor="text1"/>
                <w:sz w:val="18"/>
                <w:szCs w:val="18"/>
                <w:lang w:eastAsia="sl-SI"/>
              </w:rPr>
              <w:t>2,53</w:t>
            </w:r>
            <w:r>
              <w:rPr>
                <w:rFonts w:ascii="Arial" w:eastAsia="Times New Roman" w:hAnsi="Arial" w:cs="Arial"/>
                <w:color w:val="000000" w:themeColor="text1"/>
                <w:sz w:val="18"/>
                <w:szCs w:val="18"/>
                <w:lang w:eastAsia="sl-SI"/>
              </w:rPr>
              <w:t xml:space="preserve"> </w:t>
            </w:r>
            <w:r w:rsidRPr="000A0948">
              <w:rPr>
                <w:rFonts w:ascii="Arial" w:eastAsia="Times New Roman" w:hAnsi="Arial" w:cs="Arial"/>
                <w:color w:val="000000" w:themeColor="text1"/>
                <w:sz w:val="18"/>
                <w:szCs w:val="18"/>
                <w:lang w:eastAsia="sl-SI"/>
              </w:rPr>
              <w:t>%</w:t>
            </w:r>
          </w:p>
        </w:tc>
        <w:tc>
          <w:tcPr>
            <w:tcW w:w="1537" w:type="dxa"/>
            <w:tcBorders>
              <w:top w:val="nil"/>
              <w:left w:val="nil"/>
              <w:bottom w:val="single" w:sz="4" w:space="0" w:color="auto"/>
              <w:right w:val="single" w:sz="4" w:space="0" w:color="auto"/>
            </w:tcBorders>
            <w:shd w:val="clear" w:color="auto" w:fill="auto"/>
            <w:vAlign w:val="center"/>
            <w:hideMark/>
          </w:tcPr>
          <w:p w14:paraId="4F540FA6" w14:textId="1951D7A0" w:rsidR="000A0948" w:rsidRPr="000A0948" w:rsidRDefault="000A0948" w:rsidP="000A0948">
            <w:pPr>
              <w:spacing w:after="0" w:line="240" w:lineRule="auto"/>
              <w:jc w:val="right"/>
              <w:rPr>
                <w:rFonts w:ascii="Arial" w:eastAsia="Times New Roman" w:hAnsi="Arial" w:cs="Arial"/>
                <w:color w:val="000000" w:themeColor="text1"/>
                <w:sz w:val="18"/>
                <w:szCs w:val="18"/>
                <w:lang w:eastAsia="sl-SI"/>
              </w:rPr>
            </w:pPr>
            <w:r w:rsidRPr="000A0948">
              <w:rPr>
                <w:rFonts w:ascii="Arial" w:eastAsia="Times New Roman" w:hAnsi="Arial" w:cs="Arial"/>
                <w:color w:val="000000" w:themeColor="text1"/>
                <w:sz w:val="18"/>
                <w:szCs w:val="18"/>
                <w:lang w:eastAsia="sl-SI"/>
              </w:rPr>
              <w:t>5,79</w:t>
            </w:r>
            <w:r>
              <w:rPr>
                <w:rFonts w:ascii="Arial" w:eastAsia="Times New Roman" w:hAnsi="Arial" w:cs="Arial"/>
                <w:color w:val="000000" w:themeColor="text1"/>
                <w:sz w:val="18"/>
                <w:szCs w:val="18"/>
                <w:lang w:eastAsia="sl-SI"/>
              </w:rPr>
              <w:t xml:space="preserve"> </w:t>
            </w:r>
            <w:r w:rsidRPr="000A0948">
              <w:rPr>
                <w:rFonts w:ascii="Arial" w:eastAsia="Times New Roman" w:hAnsi="Arial" w:cs="Arial"/>
                <w:color w:val="000000" w:themeColor="text1"/>
                <w:sz w:val="18"/>
                <w:szCs w:val="18"/>
                <w:lang w:eastAsia="sl-SI"/>
              </w:rPr>
              <w:t>%</w:t>
            </w:r>
          </w:p>
        </w:tc>
      </w:tr>
      <w:tr w:rsidR="000A0948" w:rsidRPr="000A0948" w14:paraId="6626BBD4" w14:textId="77777777" w:rsidTr="000A0948">
        <w:trPr>
          <w:trHeight w:val="255"/>
          <w:jc w:val="center"/>
        </w:trPr>
        <w:tc>
          <w:tcPr>
            <w:tcW w:w="988" w:type="dxa"/>
            <w:vMerge/>
            <w:tcBorders>
              <w:top w:val="nil"/>
              <w:left w:val="single" w:sz="4" w:space="0" w:color="auto"/>
              <w:bottom w:val="single" w:sz="4" w:space="0" w:color="auto"/>
              <w:right w:val="single" w:sz="4" w:space="0" w:color="auto"/>
            </w:tcBorders>
            <w:vAlign w:val="center"/>
            <w:hideMark/>
          </w:tcPr>
          <w:p w14:paraId="1BDD05F3" w14:textId="77777777" w:rsidR="000A0948" w:rsidRPr="000A0948" w:rsidRDefault="000A0948" w:rsidP="000A0948">
            <w:pPr>
              <w:spacing w:after="0" w:line="240" w:lineRule="auto"/>
              <w:rPr>
                <w:rFonts w:ascii="Arial" w:eastAsia="Times New Roman" w:hAnsi="Arial" w:cs="Arial"/>
                <w:color w:val="000000"/>
                <w:sz w:val="18"/>
                <w:szCs w:val="18"/>
                <w:lang w:eastAsia="sl-SI"/>
              </w:rPr>
            </w:pPr>
          </w:p>
        </w:tc>
        <w:tc>
          <w:tcPr>
            <w:tcW w:w="1943" w:type="dxa"/>
            <w:tcBorders>
              <w:top w:val="nil"/>
              <w:left w:val="nil"/>
              <w:bottom w:val="single" w:sz="4" w:space="0" w:color="auto"/>
              <w:right w:val="single" w:sz="4" w:space="0" w:color="auto"/>
            </w:tcBorders>
            <w:shd w:val="clear" w:color="auto" w:fill="auto"/>
            <w:vAlign w:val="center"/>
            <w:hideMark/>
          </w:tcPr>
          <w:p w14:paraId="093A0443" w14:textId="1E23B317" w:rsidR="000A0948" w:rsidRPr="000A0948" w:rsidRDefault="000A0948" w:rsidP="000A0948">
            <w:pPr>
              <w:spacing w:after="0" w:line="240" w:lineRule="auto"/>
              <w:jc w:val="both"/>
              <w:rPr>
                <w:rFonts w:ascii="Arial" w:eastAsia="Times New Roman" w:hAnsi="Arial" w:cs="Arial"/>
                <w:color w:val="000000"/>
                <w:sz w:val="18"/>
                <w:szCs w:val="18"/>
                <w:lang w:eastAsia="sl-SI"/>
              </w:rPr>
            </w:pPr>
            <w:r w:rsidRPr="000A0948">
              <w:rPr>
                <w:rFonts w:ascii="Arial" w:eastAsia="Times New Roman" w:hAnsi="Arial" w:cs="Arial"/>
                <w:color w:val="000000"/>
                <w:sz w:val="18"/>
                <w:szCs w:val="18"/>
                <w:lang w:eastAsia="sl-SI"/>
              </w:rPr>
              <w:t>Zunaj EU</w:t>
            </w:r>
          </w:p>
        </w:tc>
        <w:tc>
          <w:tcPr>
            <w:tcW w:w="960" w:type="dxa"/>
            <w:tcBorders>
              <w:top w:val="nil"/>
              <w:left w:val="nil"/>
              <w:bottom w:val="single" w:sz="4" w:space="0" w:color="auto"/>
              <w:right w:val="single" w:sz="4" w:space="0" w:color="auto"/>
            </w:tcBorders>
            <w:shd w:val="clear" w:color="auto" w:fill="auto"/>
            <w:vAlign w:val="center"/>
            <w:hideMark/>
          </w:tcPr>
          <w:p w14:paraId="11C22EAC" w14:textId="08AE5A20" w:rsidR="000A0948" w:rsidRPr="000A0948" w:rsidRDefault="000A0948" w:rsidP="000A0948">
            <w:pPr>
              <w:spacing w:after="0" w:line="240" w:lineRule="auto"/>
              <w:jc w:val="right"/>
              <w:rPr>
                <w:rFonts w:ascii="Arial" w:eastAsia="Times New Roman" w:hAnsi="Arial" w:cs="Arial"/>
                <w:color w:val="000000" w:themeColor="text1"/>
                <w:sz w:val="18"/>
                <w:szCs w:val="18"/>
                <w:lang w:eastAsia="sl-SI"/>
              </w:rPr>
            </w:pPr>
            <w:r w:rsidRPr="000A0948">
              <w:rPr>
                <w:rFonts w:ascii="Arial" w:eastAsia="Times New Roman" w:hAnsi="Arial" w:cs="Arial"/>
                <w:color w:val="000000" w:themeColor="text1"/>
                <w:sz w:val="18"/>
                <w:szCs w:val="18"/>
                <w:lang w:eastAsia="sl-SI"/>
              </w:rPr>
              <w:t>54</w:t>
            </w:r>
          </w:p>
        </w:tc>
        <w:tc>
          <w:tcPr>
            <w:tcW w:w="1497" w:type="dxa"/>
            <w:tcBorders>
              <w:top w:val="nil"/>
              <w:left w:val="nil"/>
              <w:bottom w:val="single" w:sz="4" w:space="0" w:color="auto"/>
              <w:right w:val="single" w:sz="4" w:space="0" w:color="auto"/>
            </w:tcBorders>
            <w:shd w:val="clear" w:color="auto" w:fill="auto"/>
            <w:vAlign w:val="center"/>
            <w:hideMark/>
          </w:tcPr>
          <w:p w14:paraId="61853607" w14:textId="3B03A871" w:rsidR="000A0948" w:rsidRPr="000A0948" w:rsidRDefault="000A0948" w:rsidP="000A0948">
            <w:pPr>
              <w:spacing w:after="0" w:line="240" w:lineRule="auto"/>
              <w:jc w:val="right"/>
              <w:rPr>
                <w:rFonts w:ascii="Arial" w:eastAsia="Times New Roman" w:hAnsi="Arial" w:cs="Arial"/>
                <w:color w:val="000000" w:themeColor="text1"/>
                <w:sz w:val="18"/>
                <w:szCs w:val="18"/>
                <w:lang w:eastAsia="sl-SI"/>
              </w:rPr>
            </w:pPr>
            <w:r w:rsidRPr="000A0948">
              <w:rPr>
                <w:rFonts w:ascii="Arial" w:eastAsia="Times New Roman" w:hAnsi="Arial" w:cs="Arial"/>
                <w:color w:val="000000" w:themeColor="text1"/>
                <w:sz w:val="18"/>
                <w:szCs w:val="18"/>
                <w:lang w:eastAsia="sl-SI"/>
              </w:rPr>
              <w:t>9.018.421</w:t>
            </w:r>
          </w:p>
        </w:tc>
        <w:tc>
          <w:tcPr>
            <w:tcW w:w="1723" w:type="dxa"/>
            <w:tcBorders>
              <w:top w:val="nil"/>
              <w:left w:val="nil"/>
              <w:bottom w:val="single" w:sz="4" w:space="0" w:color="auto"/>
              <w:right w:val="single" w:sz="4" w:space="0" w:color="auto"/>
            </w:tcBorders>
            <w:shd w:val="clear" w:color="auto" w:fill="auto"/>
            <w:vAlign w:val="center"/>
            <w:hideMark/>
          </w:tcPr>
          <w:p w14:paraId="4E769790" w14:textId="1F97E36A" w:rsidR="000A0948" w:rsidRPr="000A0948" w:rsidRDefault="000A0948" w:rsidP="000A0948">
            <w:pPr>
              <w:spacing w:after="0" w:line="240" w:lineRule="auto"/>
              <w:jc w:val="right"/>
              <w:rPr>
                <w:rFonts w:ascii="Arial" w:eastAsia="Times New Roman" w:hAnsi="Arial" w:cs="Arial"/>
                <w:color w:val="000000" w:themeColor="text1"/>
                <w:sz w:val="18"/>
                <w:szCs w:val="18"/>
                <w:lang w:eastAsia="sl-SI"/>
              </w:rPr>
            </w:pPr>
            <w:r w:rsidRPr="000A0948">
              <w:rPr>
                <w:rFonts w:ascii="Arial" w:eastAsia="Times New Roman" w:hAnsi="Arial" w:cs="Arial"/>
                <w:color w:val="000000" w:themeColor="text1"/>
                <w:sz w:val="18"/>
                <w:szCs w:val="18"/>
                <w:lang w:eastAsia="sl-SI"/>
              </w:rPr>
              <w:t>0,47</w:t>
            </w:r>
            <w:r>
              <w:rPr>
                <w:rFonts w:ascii="Arial" w:eastAsia="Times New Roman" w:hAnsi="Arial" w:cs="Arial"/>
                <w:color w:val="000000" w:themeColor="text1"/>
                <w:sz w:val="18"/>
                <w:szCs w:val="18"/>
                <w:lang w:eastAsia="sl-SI"/>
              </w:rPr>
              <w:t xml:space="preserve"> </w:t>
            </w:r>
            <w:r w:rsidRPr="000A0948">
              <w:rPr>
                <w:rFonts w:ascii="Arial" w:eastAsia="Times New Roman" w:hAnsi="Arial" w:cs="Arial"/>
                <w:color w:val="000000" w:themeColor="text1"/>
                <w:sz w:val="18"/>
                <w:szCs w:val="18"/>
                <w:lang w:eastAsia="sl-SI"/>
              </w:rPr>
              <w:t>%</w:t>
            </w:r>
          </w:p>
        </w:tc>
        <w:tc>
          <w:tcPr>
            <w:tcW w:w="1537" w:type="dxa"/>
            <w:tcBorders>
              <w:top w:val="nil"/>
              <w:left w:val="nil"/>
              <w:bottom w:val="single" w:sz="4" w:space="0" w:color="auto"/>
              <w:right w:val="single" w:sz="4" w:space="0" w:color="auto"/>
            </w:tcBorders>
            <w:shd w:val="clear" w:color="auto" w:fill="auto"/>
            <w:vAlign w:val="center"/>
            <w:hideMark/>
          </w:tcPr>
          <w:p w14:paraId="36A1542B" w14:textId="73C9CA06" w:rsidR="000A0948" w:rsidRPr="000A0948" w:rsidRDefault="000A0948" w:rsidP="000A0948">
            <w:pPr>
              <w:spacing w:after="0" w:line="240" w:lineRule="auto"/>
              <w:jc w:val="right"/>
              <w:rPr>
                <w:rFonts w:ascii="Arial" w:eastAsia="Times New Roman" w:hAnsi="Arial" w:cs="Arial"/>
                <w:color w:val="000000" w:themeColor="text1"/>
                <w:sz w:val="18"/>
                <w:szCs w:val="18"/>
                <w:lang w:eastAsia="sl-SI"/>
              </w:rPr>
            </w:pPr>
            <w:r w:rsidRPr="000A0948">
              <w:rPr>
                <w:rFonts w:ascii="Arial" w:eastAsia="Times New Roman" w:hAnsi="Arial" w:cs="Arial"/>
                <w:color w:val="000000" w:themeColor="text1"/>
                <w:sz w:val="18"/>
                <w:szCs w:val="18"/>
                <w:lang w:eastAsia="sl-SI"/>
              </w:rPr>
              <w:t>0,50</w:t>
            </w:r>
            <w:r>
              <w:rPr>
                <w:rFonts w:ascii="Arial" w:eastAsia="Times New Roman" w:hAnsi="Arial" w:cs="Arial"/>
                <w:color w:val="000000" w:themeColor="text1"/>
                <w:sz w:val="18"/>
                <w:szCs w:val="18"/>
                <w:lang w:eastAsia="sl-SI"/>
              </w:rPr>
              <w:t xml:space="preserve"> </w:t>
            </w:r>
            <w:r w:rsidRPr="000A0948">
              <w:rPr>
                <w:rFonts w:ascii="Arial" w:eastAsia="Times New Roman" w:hAnsi="Arial" w:cs="Arial"/>
                <w:color w:val="000000" w:themeColor="text1"/>
                <w:sz w:val="18"/>
                <w:szCs w:val="18"/>
                <w:lang w:eastAsia="sl-SI"/>
              </w:rPr>
              <w:t>%</w:t>
            </w:r>
          </w:p>
        </w:tc>
      </w:tr>
      <w:tr w:rsidR="000A0948" w:rsidRPr="000A0948" w14:paraId="0E06C9CF" w14:textId="77777777" w:rsidTr="000A0948">
        <w:trPr>
          <w:trHeight w:val="255"/>
          <w:jc w:val="center"/>
        </w:trPr>
        <w:tc>
          <w:tcPr>
            <w:tcW w:w="988" w:type="dxa"/>
            <w:vMerge/>
            <w:tcBorders>
              <w:top w:val="nil"/>
              <w:left w:val="single" w:sz="4" w:space="0" w:color="auto"/>
              <w:bottom w:val="single" w:sz="4" w:space="0" w:color="auto"/>
              <w:right w:val="single" w:sz="4" w:space="0" w:color="auto"/>
            </w:tcBorders>
            <w:vAlign w:val="center"/>
            <w:hideMark/>
          </w:tcPr>
          <w:p w14:paraId="7700956B" w14:textId="77777777" w:rsidR="000A0948" w:rsidRPr="000A0948" w:rsidRDefault="000A0948" w:rsidP="000A0948">
            <w:pPr>
              <w:spacing w:after="0" w:line="240" w:lineRule="auto"/>
              <w:rPr>
                <w:rFonts w:ascii="Arial" w:eastAsia="Times New Roman" w:hAnsi="Arial" w:cs="Arial"/>
                <w:color w:val="000000"/>
                <w:sz w:val="18"/>
                <w:szCs w:val="18"/>
                <w:lang w:eastAsia="sl-SI"/>
              </w:rPr>
            </w:pPr>
          </w:p>
        </w:tc>
        <w:tc>
          <w:tcPr>
            <w:tcW w:w="1943" w:type="dxa"/>
            <w:tcBorders>
              <w:top w:val="nil"/>
              <w:left w:val="nil"/>
              <w:bottom w:val="single" w:sz="4" w:space="0" w:color="auto"/>
              <w:right w:val="single" w:sz="4" w:space="0" w:color="auto"/>
            </w:tcBorders>
            <w:shd w:val="clear" w:color="auto" w:fill="auto"/>
            <w:vAlign w:val="center"/>
            <w:hideMark/>
          </w:tcPr>
          <w:p w14:paraId="6C712F2B" w14:textId="77777777" w:rsidR="000A0948" w:rsidRPr="000A0948" w:rsidRDefault="000A0948" w:rsidP="000A0948">
            <w:pPr>
              <w:spacing w:after="0" w:line="240" w:lineRule="auto"/>
              <w:jc w:val="both"/>
              <w:rPr>
                <w:rFonts w:ascii="Arial" w:eastAsia="Times New Roman" w:hAnsi="Arial" w:cs="Arial"/>
                <w:b/>
                <w:bCs/>
                <w:color w:val="000000"/>
                <w:sz w:val="18"/>
                <w:szCs w:val="18"/>
                <w:lang w:eastAsia="sl-SI"/>
              </w:rPr>
            </w:pPr>
            <w:r w:rsidRPr="000A0948">
              <w:rPr>
                <w:rFonts w:ascii="Arial" w:eastAsia="Times New Roman" w:hAnsi="Arial" w:cs="Arial"/>
                <w:b/>
                <w:bCs/>
                <w:color w:val="000000"/>
                <w:sz w:val="18"/>
                <w:szCs w:val="18"/>
                <w:lang w:eastAsia="sl-SI"/>
              </w:rPr>
              <w:t>Skupaj</w:t>
            </w:r>
          </w:p>
        </w:tc>
        <w:tc>
          <w:tcPr>
            <w:tcW w:w="960" w:type="dxa"/>
            <w:tcBorders>
              <w:top w:val="nil"/>
              <w:left w:val="nil"/>
              <w:bottom w:val="single" w:sz="4" w:space="0" w:color="auto"/>
              <w:right w:val="single" w:sz="4" w:space="0" w:color="auto"/>
            </w:tcBorders>
            <w:shd w:val="clear" w:color="auto" w:fill="auto"/>
            <w:vAlign w:val="center"/>
            <w:hideMark/>
          </w:tcPr>
          <w:p w14:paraId="4D2B63DB" w14:textId="4A49C815" w:rsidR="000A0948" w:rsidRPr="000A0948" w:rsidRDefault="000A0948" w:rsidP="000A0948">
            <w:pPr>
              <w:spacing w:after="0" w:line="240" w:lineRule="auto"/>
              <w:jc w:val="right"/>
              <w:rPr>
                <w:rFonts w:ascii="Arial" w:eastAsia="Times New Roman" w:hAnsi="Arial" w:cs="Arial"/>
                <w:b/>
                <w:bCs/>
                <w:color w:val="000000" w:themeColor="text1"/>
                <w:sz w:val="18"/>
                <w:szCs w:val="18"/>
                <w:lang w:eastAsia="sl-SI"/>
              </w:rPr>
            </w:pPr>
            <w:r w:rsidRPr="000A0948">
              <w:rPr>
                <w:rFonts w:ascii="Arial" w:eastAsia="Times New Roman" w:hAnsi="Arial" w:cs="Arial"/>
                <w:b/>
                <w:bCs/>
                <w:color w:val="000000" w:themeColor="text1"/>
                <w:sz w:val="18"/>
                <w:szCs w:val="18"/>
                <w:lang w:eastAsia="sl-SI"/>
              </w:rPr>
              <w:t>11.457</w:t>
            </w:r>
          </w:p>
        </w:tc>
        <w:tc>
          <w:tcPr>
            <w:tcW w:w="1497" w:type="dxa"/>
            <w:tcBorders>
              <w:top w:val="nil"/>
              <w:left w:val="nil"/>
              <w:bottom w:val="single" w:sz="4" w:space="0" w:color="auto"/>
              <w:right w:val="single" w:sz="4" w:space="0" w:color="auto"/>
            </w:tcBorders>
            <w:shd w:val="clear" w:color="auto" w:fill="auto"/>
            <w:vAlign w:val="center"/>
            <w:hideMark/>
          </w:tcPr>
          <w:p w14:paraId="14A29D4E" w14:textId="556CAC1C" w:rsidR="000A0948" w:rsidRPr="000A0948" w:rsidRDefault="000A0948" w:rsidP="000A0948">
            <w:pPr>
              <w:spacing w:after="0" w:line="240" w:lineRule="auto"/>
              <w:jc w:val="right"/>
              <w:rPr>
                <w:rFonts w:ascii="Arial" w:eastAsia="Times New Roman" w:hAnsi="Arial" w:cs="Arial"/>
                <w:b/>
                <w:bCs/>
                <w:color w:val="000000" w:themeColor="text1"/>
                <w:sz w:val="18"/>
                <w:szCs w:val="18"/>
                <w:lang w:eastAsia="sl-SI"/>
              </w:rPr>
            </w:pPr>
            <w:r w:rsidRPr="000A0948">
              <w:rPr>
                <w:rFonts w:ascii="Arial" w:eastAsia="Times New Roman" w:hAnsi="Arial" w:cs="Arial"/>
                <w:b/>
                <w:bCs/>
                <w:color w:val="000000" w:themeColor="text1"/>
                <w:sz w:val="18"/>
                <w:szCs w:val="18"/>
                <w:lang w:eastAsia="sl-SI"/>
              </w:rPr>
              <w:t>1.810.773.018</w:t>
            </w:r>
          </w:p>
        </w:tc>
        <w:tc>
          <w:tcPr>
            <w:tcW w:w="1723" w:type="dxa"/>
            <w:tcBorders>
              <w:top w:val="nil"/>
              <w:left w:val="nil"/>
              <w:bottom w:val="single" w:sz="4" w:space="0" w:color="auto"/>
              <w:right w:val="single" w:sz="4" w:space="0" w:color="auto"/>
            </w:tcBorders>
            <w:shd w:val="clear" w:color="auto" w:fill="auto"/>
            <w:vAlign w:val="center"/>
            <w:hideMark/>
          </w:tcPr>
          <w:p w14:paraId="3D797D85" w14:textId="20FC0F62" w:rsidR="000A0948" w:rsidRPr="000A0948" w:rsidRDefault="000A0948" w:rsidP="000A0948">
            <w:pPr>
              <w:spacing w:after="0" w:line="240" w:lineRule="auto"/>
              <w:jc w:val="right"/>
              <w:rPr>
                <w:rFonts w:ascii="Arial" w:eastAsia="Times New Roman" w:hAnsi="Arial" w:cs="Arial"/>
                <w:b/>
                <w:bCs/>
                <w:color w:val="000000" w:themeColor="text1"/>
                <w:sz w:val="18"/>
                <w:szCs w:val="18"/>
                <w:lang w:eastAsia="sl-SI"/>
              </w:rPr>
            </w:pPr>
            <w:r w:rsidRPr="000A0948">
              <w:rPr>
                <w:rFonts w:ascii="Arial" w:eastAsia="Times New Roman" w:hAnsi="Arial" w:cs="Arial"/>
                <w:b/>
                <w:bCs/>
                <w:color w:val="000000" w:themeColor="text1"/>
                <w:sz w:val="18"/>
                <w:szCs w:val="18"/>
                <w:lang w:eastAsia="sl-SI"/>
              </w:rPr>
              <w:t>100,00</w:t>
            </w:r>
            <w:r>
              <w:rPr>
                <w:rFonts w:ascii="Arial" w:eastAsia="Times New Roman" w:hAnsi="Arial" w:cs="Arial"/>
                <w:b/>
                <w:bCs/>
                <w:color w:val="000000" w:themeColor="text1"/>
                <w:sz w:val="18"/>
                <w:szCs w:val="18"/>
                <w:lang w:eastAsia="sl-SI"/>
              </w:rPr>
              <w:t xml:space="preserve"> </w:t>
            </w:r>
            <w:r w:rsidRPr="000A0948">
              <w:rPr>
                <w:rFonts w:ascii="Arial" w:eastAsia="Times New Roman" w:hAnsi="Arial" w:cs="Arial"/>
                <w:b/>
                <w:bCs/>
                <w:color w:val="000000" w:themeColor="text1"/>
                <w:sz w:val="18"/>
                <w:szCs w:val="18"/>
                <w:lang w:eastAsia="sl-SI"/>
              </w:rPr>
              <w:t>%</w:t>
            </w:r>
          </w:p>
        </w:tc>
        <w:tc>
          <w:tcPr>
            <w:tcW w:w="1537" w:type="dxa"/>
            <w:tcBorders>
              <w:top w:val="nil"/>
              <w:left w:val="nil"/>
              <w:bottom w:val="single" w:sz="4" w:space="0" w:color="auto"/>
              <w:right w:val="single" w:sz="4" w:space="0" w:color="auto"/>
            </w:tcBorders>
            <w:shd w:val="clear" w:color="auto" w:fill="auto"/>
            <w:vAlign w:val="center"/>
            <w:hideMark/>
          </w:tcPr>
          <w:p w14:paraId="78D13C64" w14:textId="1F582B2A" w:rsidR="000A0948" w:rsidRPr="000A0948" w:rsidRDefault="000A0948" w:rsidP="000A0948">
            <w:pPr>
              <w:spacing w:after="0" w:line="240" w:lineRule="auto"/>
              <w:jc w:val="right"/>
              <w:rPr>
                <w:rFonts w:ascii="Arial" w:eastAsia="Times New Roman" w:hAnsi="Arial" w:cs="Arial"/>
                <w:b/>
                <w:bCs/>
                <w:color w:val="000000" w:themeColor="text1"/>
                <w:sz w:val="18"/>
                <w:szCs w:val="18"/>
                <w:lang w:eastAsia="sl-SI"/>
              </w:rPr>
            </w:pPr>
            <w:r w:rsidRPr="000A0948">
              <w:rPr>
                <w:rFonts w:ascii="Arial" w:eastAsia="Times New Roman" w:hAnsi="Arial" w:cs="Arial"/>
                <w:b/>
                <w:bCs/>
                <w:color w:val="000000" w:themeColor="text1"/>
                <w:sz w:val="18"/>
                <w:szCs w:val="18"/>
                <w:lang w:eastAsia="sl-SI"/>
              </w:rPr>
              <w:t>100,00</w:t>
            </w:r>
            <w:r>
              <w:rPr>
                <w:rFonts w:ascii="Arial" w:eastAsia="Times New Roman" w:hAnsi="Arial" w:cs="Arial"/>
                <w:b/>
                <w:bCs/>
                <w:color w:val="000000" w:themeColor="text1"/>
                <w:sz w:val="18"/>
                <w:szCs w:val="18"/>
                <w:lang w:eastAsia="sl-SI"/>
              </w:rPr>
              <w:t xml:space="preserve"> </w:t>
            </w:r>
            <w:r w:rsidRPr="000A0948">
              <w:rPr>
                <w:rFonts w:ascii="Arial" w:eastAsia="Times New Roman" w:hAnsi="Arial" w:cs="Arial"/>
                <w:b/>
                <w:bCs/>
                <w:color w:val="000000" w:themeColor="text1"/>
                <w:sz w:val="18"/>
                <w:szCs w:val="18"/>
                <w:lang w:eastAsia="sl-SI"/>
              </w:rPr>
              <w:t>%</w:t>
            </w:r>
          </w:p>
        </w:tc>
      </w:tr>
      <w:tr w:rsidR="000A0948" w:rsidRPr="000A0948" w14:paraId="23B76489" w14:textId="77777777" w:rsidTr="000A0948">
        <w:trPr>
          <w:trHeight w:val="255"/>
          <w:jc w:val="center"/>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3578B8E1" w14:textId="77777777" w:rsidR="000A0948" w:rsidRPr="000A0948" w:rsidRDefault="000A0948" w:rsidP="000A0948">
            <w:pPr>
              <w:spacing w:after="0" w:line="240" w:lineRule="auto"/>
              <w:jc w:val="both"/>
              <w:rPr>
                <w:rFonts w:ascii="Arial" w:eastAsia="Times New Roman" w:hAnsi="Arial" w:cs="Arial"/>
                <w:color w:val="000000"/>
                <w:sz w:val="18"/>
                <w:szCs w:val="18"/>
                <w:lang w:eastAsia="sl-SI"/>
              </w:rPr>
            </w:pPr>
            <w:r w:rsidRPr="000A0948">
              <w:rPr>
                <w:rFonts w:ascii="Arial" w:eastAsia="Times New Roman" w:hAnsi="Arial" w:cs="Arial"/>
                <w:color w:val="000000"/>
                <w:sz w:val="18"/>
                <w:szCs w:val="18"/>
                <w:lang w:eastAsia="sl-SI"/>
              </w:rPr>
              <w:t>Storitve</w:t>
            </w:r>
          </w:p>
        </w:tc>
        <w:tc>
          <w:tcPr>
            <w:tcW w:w="1943" w:type="dxa"/>
            <w:tcBorders>
              <w:top w:val="nil"/>
              <w:left w:val="nil"/>
              <w:bottom w:val="single" w:sz="4" w:space="0" w:color="auto"/>
              <w:right w:val="single" w:sz="4" w:space="0" w:color="auto"/>
            </w:tcBorders>
            <w:shd w:val="clear" w:color="auto" w:fill="auto"/>
            <w:vAlign w:val="center"/>
            <w:hideMark/>
          </w:tcPr>
          <w:p w14:paraId="73596FCB" w14:textId="77777777" w:rsidR="000A0948" w:rsidRPr="000A0948" w:rsidRDefault="000A0948" w:rsidP="000A0948">
            <w:pPr>
              <w:spacing w:after="0" w:line="240" w:lineRule="auto"/>
              <w:jc w:val="both"/>
              <w:rPr>
                <w:rFonts w:ascii="Arial" w:eastAsia="Times New Roman" w:hAnsi="Arial" w:cs="Arial"/>
                <w:color w:val="000000"/>
                <w:sz w:val="18"/>
                <w:szCs w:val="18"/>
                <w:lang w:eastAsia="sl-SI"/>
              </w:rPr>
            </w:pPr>
            <w:r w:rsidRPr="000A0948">
              <w:rPr>
                <w:rFonts w:ascii="Arial" w:eastAsia="Times New Roman" w:hAnsi="Arial" w:cs="Arial"/>
                <w:color w:val="000000"/>
                <w:sz w:val="18"/>
                <w:szCs w:val="18"/>
                <w:lang w:eastAsia="sl-SI"/>
              </w:rPr>
              <w:t>Slovenija</w:t>
            </w:r>
          </w:p>
        </w:tc>
        <w:tc>
          <w:tcPr>
            <w:tcW w:w="960" w:type="dxa"/>
            <w:tcBorders>
              <w:top w:val="nil"/>
              <w:left w:val="nil"/>
              <w:bottom w:val="single" w:sz="4" w:space="0" w:color="auto"/>
              <w:right w:val="single" w:sz="4" w:space="0" w:color="auto"/>
            </w:tcBorders>
            <w:shd w:val="clear" w:color="auto" w:fill="auto"/>
            <w:vAlign w:val="center"/>
            <w:hideMark/>
          </w:tcPr>
          <w:p w14:paraId="4922B9B4" w14:textId="06FE711A" w:rsidR="000A0948" w:rsidRPr="000A0948" w:rsidRDefault="000A0948" w:rsidP="000A0948">
            <w:pPr>
              <w:spacing w:after="0" w:line="240" w:lineRule="auto"/>
              <w:jc w:val="right"/>
              <w:rPr>
                <w:rFonts w:ascii="Arial" w:eastAsia="Times New Roman" w:hAnsi="Arial" w:cs="Arial"/>
                <w:color w:val="000000" w:themeColor="text1"/>
                <w:sz w:val="18"/>
                <w:szCs w:val="18"/>
                <w:lang w:eastAsia="sl-SI"/>
              </w:rPr>
            </w:pPr>
            <w:r w:rsidRPr="000A0948">
              <w:rPr>
                <w:rFonts w:ascii="Arial" w:eastAsia="Times New Roman" w:hAnsi="Arial" w:cs="Arial"/>
                <w:color w:val="000000" w:themeColor="text1"/>
                <w:sz w:val="18"/>
                <w:szCs w:val="18"/>
                <w:lang w:eastAsia="sl-SI"/>
              </w:rPr>
              <w:t>3.916</w:t>
            </w:r>
          </w:p>
        </w:tc>
        <w:tc>
          <w:tcPr>
            <w:tcW w:w="1497" w:type="dxa"/>
            <w:tcBorders>
              <w:top w:val="nil"/>
              <w:left w:val="nil"/>
              <w:bottom w:val="single" w:sz="4" w:space="0" w:color="auto"/>
              <w:right w:val="single" w:sz="4" w:space="0" w:color="auto"/>
            </w:tcBorders>
            <w:shd w:val="clear" w:color="auto" w:fill="auto"/>
            <w:vAlign w:val="center"/>
            <w:hideMark/>
          </w:tcPr>
          <w:p w14:paraId="543B0B13" w14:textId="0ADBD8DA" w:rsidR="000A0948" w:rsidRPr="000A0948" w:rsidRDefault="000A0948" w:rsidP="000A0948">
            <w:pPr>
              <w:spacing w:after="0" w:line="240" w:lineRule="auto"/>
              <w:jc w:val="right"/>
              <w:rPr>
                <w:rFonts w:ascii="Arial" w:eastAsia="Times New Roman" w:hAnsi="Arial" w:cs="Arial"/>
                <w:color w:val="000000" w:themeColor="text1"/>
                <w:sz w:val="18"/>
                <w:szCs w:val="18"/>
                <w:lang w:eastAsia="sl-SI"/>
              </w:rPr>
            </w:pPr>
            <w:r w:rsidRPr="000A0948">
              <w:rPr>
                <w:rFonts w:ascii="Arial" w:eastAsia="Times New Roman" w:hAnsi="Arial" w:cs="Arial"/>
                <w:color w:val="000000" w:themeColor="text1"/>
                <w:sz w:val="18"/>
                <w:szCs w:val="18"/>
                <w:lang w:eastAsia="sl-SI"/>
              </w:rPr>
              <w:t>1.662.104.851</w:t>
            </w:r>
          </w:p>
        </w:tc>
        <w:tc>
          <w:tcPr>
            <w:tcW w:w="1723" w:type="dxa"/>
            <w:tcBorders>
              <w:top w:val="nil"/>
              <w:left w:val="nil"/>
              <w:bottom w:val="single" w:sz="4" w:space="0" w:color="auto"/>
              <w:right w:val="single" w:sz="4" w:space="0" w:color="auto"/>
            </w:tcBorders>
            <w:shd w:val="clear" w:color="auto" w:fill="auto"/>
            <w:vAlign w:val="center"/>
            <w:hideMark/>
          </w:tcPr>
          <w:p w14:paraId="7824CC30" w14:textId="00E6ED16" w:rsidR="000A0948" w:rsidRPr="000A0948" w:rsidRDefault="000A0948" w:rsidP="000A0948">
            <w:pPr>
              <w:spacing w:after="0" w:line="240" w:lineRule="auto"/>
              <w:jc w:val="right"/>
              <w:rPr>
                <w:rFonts w:ascii="Arial" w:eastAsia="Times New Roman" w:hAnsi="Arial" w:cs="Arial"/>
                <w:color w:val="000000" w:themeColor="text1"/>
                <w:sz w:val="18"/>
                <w:szCs w:val="18"/>
                <w:lang w:eastAsia="sl-SI"/>
              </w:rPr>
            </w:pPr>
            <w:r w:rsidRPr="000A0948">
              <w:rPr>
                <w:rFonts w:ascii="Arial" w:eastAsia="Times New Roman" w:hAnsi="Arial" w:cs="Arial"/>
                <w:color w:val="000000" w:themeColor="text1"/>
                <w:sz w:val="18"/>
                <w:szCs w:val="18"/>
                <w:lang w:eastAsia="sl-SI"/>
              </w:rPr>
              <w:t>97,61</w:t>
            </w:r>
            <w:r>
              <w:rPr>
                <w:rFonts w:ascii="Arial" w:eastAsia="Times New Roman" w:hAnsi="Arial" w:cs="Arial"/>
                <w:color w:val="000000" w:themeColor="text1"/>
                <w:sz w:val="18"/>
                <w:szCs w:val="18"/>
                <w:lang w:eastAsia="sl-SI"/>
              </w:rPr>
              <w:t xml:space="preserve"> </w:t>
            </w:r>
            <w:r w:rsidRPr="000A0948">
              <w:rPr>
                <w:rFonts w:ascii="Arial" w:eastAsia="Times New Roman" w:hAnsi="Arial" w:cs="Arial"/>
                <w:color w:val="000000" w:themeColor="text1"/>
                <w:sz w:val="18"/>
                <w:szCs w:val="18"/>
                <w:lang w:eastAsia="sl-SI"/>
              </w:rPr>
              <w:t>%</w:t>
            </w:r>
          </w:p>
        </w:tc>
        <w:tc>
          <w:tcPr>
            <w:tcW w:w="1537" w:type="dxa"/>
            <w:tcBorders>
              <w:top w:val="nil"/>
              <w:left w:val="nil"/>
              <w:bottom w:val="single" w:sz="4" w:space="0" w:color="auto"/>
              <w:right w:val="single" w:sz="4" w:space="0" w:color="auto"/>
            </w:tcBorders>
            <w:shd w:val="clear" w:color="auto" w:fill="auto"/>
            <w:vAlign w:val="center"/>
            <w:hideMark/>
          </w:tcPr>
          <w:p w14:paraId="36BA4A0B" w14:textId="147C9BCA" w:rsidR="000A0948" w:rsidRPr="000A0948" w:rsidRDefault="000A0948" w:rsidP="000A0948">
            <w:pPr>
              <w:spacing w:after="0" w:line="240" w:lineRule="auto"/>
              <w:jc w:val="right"/>
              <w:rPr>
                <w:rFonts w:ascii="Arial" w:eastAsia="Times New Roman" w:hAnsi="Arial" w:cs="Arial"/>
                <w:color w:val="000000" w:themeColor="text1"/>
                <w:sz w:val="18"/>
                <w:szCs w:val="18"/>
                <w:lang w:eastAsia="sl-SI"/>
              </w:rPr>
            </w:pPr>
            <w:r w:rsidRPr="000A0948">
              <w:rPr>
                <w:rFonts w:ascii="Arial" w:eastAsia="Times New Roman" w:hAnsi="Arial" w:cs="Arial"/>
                <w:color w:val="000000" w:themeColor="text1"/>
                <w:sz w:val="18"/>
                <w:szCs w:val="18"/>
                <w:lang w:eastAsia="sl-SI"/>
              </w:rPr>
              <w:t>95,26</w:t>
            </w:r>
            <w:r>
              <w:rPr>
                <w:rFonts w:ascii="Arial" w:eastAsia="Times New Roman" w:hAnsi="Arial" w:cs="Arial"/>
                <w:color w:val="000000" w:themeColor="text1"/>
                <w:sz w:val="18"/>
                <w:szCs w:val="18"/>
                <w:lang w:eastAsia="sl-SI"/>
              </w:rPr>
              <w:t xml:space="preserve"> </w:t>
            </w:r>
            <w:r w:rsidRPr="000A0948">
              <w:rPr>
                <w:rFonts w:ascii="Arial" w:eastAsia="Times New Roman" w:hAnsi="Arial" w:cs="Arial"/>
                <w:color w:val="000000" w:themeColor="text1"/>
                <w:sz w:val="18"/>
                <w:szCs w:val="18"/>
                <w:lang w:eastAsia="sl-SI"/>
              </w:rPr>
              <w:t>%</w:t>
            </w:r>
          </w:p>
        </w:tc>
      </w:tr>
      <w:tr w:rsidR="000A0948" w:rsidRPr="000A0948" w14:paraId="0CA6F916" w14:textId="77777777" w:rsidTr="000A0948">
        <w:trPr>
          <w:trHeight w:val="255"/>
          <w:jc w:val="center"/>
        </w:trPr>
        <w:tc>
          <w:tcPr>
            <w:tcW w:w="988" w:type="dxa"/>
            <w:vMerge/>
            <w:tcBorders>
              <w:top w:val="nil"/>
              <w:left w:val="single" w:sz="4" w:space="0" w:color="auto"/>
              <w:bottom w:val="single" w:sz="4" w:space="0" w:color="auto"/>
              <w:right w:val="single" w:sz="4" w:space="0" w:color="auto"/>
            </w:tcBorders>
            <w:vAlign w:val="center"/>
            <w:hideMark/>
          </w:tcPr>
          <w:p w14:paraId="4D989BC2" w14:textId="77777777" w:rsidR="000A0948" w:rsidRPr="000A0948" w:rsidRDefault="000A0948" w:rsidP="000A0948">
            <w:pPr>
              <w:spacing w:after="0" w:line="240" w:lineRule="auto"/>
              <w:rPr>
                <w:rFonts w:ascii="Arial" w:eastAsia="Times New Roman" w:hAnsi="Arial" w:cs="Arial"/>
                <w:color w:val="000000"/>
                <w:sz w:val="18"/>
                <w:szCs w:val="18"/>
                <w:lang w:eastAsia="sl-SI"/>
              </w:rPr>
            </w:pPr>
          </w:p>
        </w:tc>
        <w:tc>
          <w:tcPr>
            <w:tcW w:w="1943" w:type="dxa"/>
            <w:tcBorders>
              <w:top w:val="nil"/>
              <w:left w:val="nil"/>
              <w:bottom w:val="single" w:sz="4" w:space="0" w:color="auto"/>
              <w:right w:val="single" w:sz="4" w:space="0" w:color="auto"/>
            </w:tcBorders>
            <w:shd w:val="clear" w:color="auto" w:fill="auto"/>
            <w:vAlign w:val="center"/>
            <w:hideMark/>
          </w:tcPr>
          <w:p w14:paraId="729C3FF5" w14:textId="5A9A3D3D" w:rsidR="000A0948" w:rsidRPr="000A0948" w:rsidRDefault="000A0948" w:rsidP="000A0948">
            <w:pPr>
              <w:spacing w:after="0" w:line="240" w:lineRule="auto"/>
              <w:jc w:val="both"/>
              <w:rPr>
                <w:rFonts w:ascii="Arial" w:eastAsia="Times New Roman" w:hAnsi="Arial" w:cs="Arial"/>
                <w:color w:val="000000"/>
                <w:sz w:val="18"/>
                <w:szCs w:val="18"/>
                <w:lang w:eastAsia="sl-SI"/>
              </w:rPr>
            </w:pPr>
            <w:r w:rsidRPr="000A0948">
              <w:rPr>
                <w:rFonts w:ascii="Arial" w:eastAsia="Times New Roman" w:hAnsi="Arial" w:cs="Arial"/>
                <w:color w:val="000000"/>
                <w:sz w:val="18"/>
                <w:szCs w:val="18"/>
                <w:lang w:eastAsia="sl-SI"/>
              </w:rPr>
              <w:t>Druga država EU</w:t>
            </w:r>
          </w:p>
        </w:tc>
        <w:tc>
          <w:tcPr>
            <w:tcW w:w="960" w:type="dxa"/>
            <w:tcBorders>
              <w:top w:val="nil"/>
              <w:left w:val="nil"/>
              <w:bottom w:val="single" w:sz="4" w:space="0" w:color="auto"/>
              <w:right w:val="single" w:sz="4" w:space="0" w:color="auto"/>
            </w:tcBorders>
            <w:shd w:val="clear" w:color="auto" w:fill="auto"/>
            <w:vAlign w:val="center"/>
            <w:hideMark/>
          </w:tcPr>
          <w:p w14:paraId="6F4E9C14" w14:textId="6747F34C" w:rsidR="000A0948" w:rsidRPr="000A0948" w:rsidRDefault="000A0948" w:rsidP="000A0948">
            <w:pPr>
              <w:spacing w:after="0" w:line="240" w:lineRule="auto"/>
              <w:jc w:val="right"/>
              <w:rPr>
                <w:rFonts w:ascii="Arial" w:eastAsia="Times New Roman" w:hAnsi="Arial" w:cs="Arial"/>
                <w:color w:val="000000" w:themeColor="text1"/>
                <w:sz w:val="18"/>
                <w:szCs w:val="18"/>
                <w:lang w:eastAsia="sl-SI"/>
              </w:rPr>
            </w:pPr>
            <w:r w:rsidRPr="000A0948">
              <w:rPr>
                <w:rFonts w:ascii="Arial" w:eastAsia="Times New Roman" w:hAnsi="Arial" w:cs="Arial"/>
                <w:color w:val="000000" w:themeColor="text1"/>
                <w:sz w:val="18"/>
                <w:szCs w:val="18"/>
                <w:lang w:eastAsia="sl-SI"/>
              </w:rPr>
              <w:t>73</w:t>
            </w:r>
          </w:p>
        </w:tc>
        <w:tc>
          <w:tcPr>
            <w:tcW w:w="1497" w:type="dxa"/>
            <w:tcBorders>
              <w:top w:val="nil"/>
              <w:left w:val="nil"/>
              <w:bottom w:val="single" w:sz="4" w:space="0" w:color="auto"/>
              <w:right w:val="single" w:sz="4" w:space="0" w:color="auto"/>
            </w:tcBorders>
            <w:shd w:val="clear" w:color="auto" w:fill="auto"/>
            <w:vAlign w:val="center"/>
            <w:hideMark/>
          </w:tcPr>
          <w:p w14:paraId="35C691B2" w14:textId="11828310" w:rsidR="000A0948" w:rsidRPr="000A0948" w:rsidRDefault="000A0948" w:rsidP="000A0948">
            <w:pPr>
              <w:spacing w:after="0" w:line="240" w:lineRule="auto"/>
              <w:jc w:val="right"/>
              <w:rPr>
                <w:rFonts w:ascii="Arial" w:eastAsia="Times New Roman" w:hAnsi="Arial" w:cs="Arial"/>
                <w:color w:val="000000" w:themeColor="text1"/>
                <w:sz w:val="18"/>
                <w:szCs w:val="18"/>
                <w:lang w:eastAsia="sl-SI"/>
              </w:rPr>
            </w:pPr>
            <w:r w:rsidRPr="000A0948">
              <w:rPr>
                <w:rFonts w:ascii="Arial" w:eastAsia="Times New Roman" w:hAnsi="Arial" w:cs="Arial"/>
                <w:color w:val="000000" w:themeColor="text1"/>
                <w:sz w:val="18"/>
                <w:szCs w:val="18"/>
                <w:lang w:eastAsia="sl-SI"/>
              </w:rPr>
              <w:t>31.156.115</w:t>
            </w:r>
          </w:p>
        </w:tc>
        <w:tc>
          <w:tcPr>
            <w:tcW w:w="1723" w:type="dxa"/>
            <w:tcBorders>
              <w:top w:val="nil"/>
              <w:left w:val="nil"/>
              <w:bottom w:val="single" w:sz="4" w:space="0" w:color="auto"/>
              <w:right w:val="single" w:sz="4" w:space="0" w:color="auto"/>
            </w:tcBorders>
            <w:shd w:val="clear" w:color="auto" w:fill="auto"/>
            <w:vAlign w:val="center"/>
            <w:hideMark/>
          </w:tcPr>
          <w:p w14:paraId="1DD018D5" w14:textId="3622073C" w:rsidR="000A0948" w:rsidRPr="000A0948" w:rsidRDefault="000A0948" w:rsidP="000A0948">
            <w:pPr>
              <w:spacing w:after="0" w:line="240" w:lineRule="auto"/>
              <w:jc w:val="right"/>
              <w:rPr>
                <w:rFonts w:ascii="Arial" w:eastAsia="Times New Roman" w:hAnsi="Arial" w:cs="Arial"/>
                <w:color w:val="000000" w:themeColor="text1"/>
                <w:sz w:val="18"/>
                <w:szCs w:val="18"/>
                <w:lang w:eastAsia="sl-SI"/>
              </w:rPr>
            </w:pPr>
            <w:r w:rsidRPr="000A0948">
              <w:rPr>
                <w:rFonts w:ascii="Arial" w:eastAsia="Times New Roman" w:hAnsi="Arial" w:cs="Arial"/>
                <w:color w:val="000000" w:themeColor="text1"/>
                <w:sz w:val="18"/>
                <w:szCs w:val="18"/>
                <w:lang w:eastAsia="sl-SI"/>
              </w:rPr>
              <w:t>1,82</w:t>
            </w:r>
            <w:r>
              <w:rPr>
                <w:rFonts w:ascii="Arial" w:eastAsia="Times New Roman" w:hAnsi="Arial" w:cs="Arial"/>
                <w:color w:val="000000" w:themeColor="text1"/>
                <w:sz w:val="18"/>
                <w:szCs w:val="18"/>
                <w:lang w:eastAsia="sl-SI"/>
              </w:rPr>
              <w:t xml:space="preserve"> </w:t>
            </w:r>
            <w:r w:rsidRPr="000A0948">
              <w:rPr>
                <w:rFonts w:ascii="Arial" w:eastAsia="Times New Roman" w:hAnsi="Arial" w:cs="Arial"/>
                <w:color w:val="000000" w:themeColor="text1"/>
                <w:sz w:val="18"/>
                <w:szCs w:val="18"/>
                <w:lang w:eastAsia="sl-SI"/>
              </w:rPr>
              <w:t>%</w:t>
            </w:r>
          </w:p>
        </w:tc>
        <w:tc>
          <w:tcPr>
            <w:tcW w:w="1537" w:type="dxa"/>
            <w:tcBorders>
              <w:top w:val="nil"/>
              <w:left w:val="nil"/>
              <w:bottom w:val="single" w:sz="4" w:space="0" w:color="auto"/>
              <w:right w:val="single" w:sz="4" w:space="0" w:color="auto"/>
            </w:tcBorders>
            <w:shd w:val="clear" w:color="auto" w:fill="auto"/>
            <w:vAlign w:val="center"/>
            <w:hideMark/>
          </w:tcPr>
          <w:p w14:paraId="53555B93" w14:textId="0B714A56" w:rsidR="000A0948" w:rsidRPr="000A0948" w:rsidRDefault="000A0948" w:rsidP="000A0948">
            <w:pPr>
              <w:spacing w:after="0" w:line="240" w:lineRule="auto"/>
              <w:jc w:val="right"/>
              <w:rPr>
                <w:rFonts w:ascii="Arial" w:eastAsia="Times New Roman" w:hAnsi="Arial" w:cs="Arial"/>
                <w:color w:val="000000" w:themeColor="text1"/>
                <w:sz w:val="18"/>
                <w:szCs w:val="18"/>
                <w:lang w:eastAsia="sl-SI"/>
              </w:rPr>
            </w:pPr>
            <w:r w:rsidRPr="000A0948">
              <w:rPr>
                <w:rFonts w:ascii="Arial" w:eastAsia="Times New Roman" w:hAnsi="Arial" w:cs="Arial"/>
                <w:color w:val="000000" w:themeColor="text1"/>
                <w:sz w:val="18"/>
                <w:szCs w:val="18"/>
                <w:lang w:eastAsia="sl-SI"/>
              </w:rPr>
              <w:t>1,79</w:t>
            </w:r>
            <w:r>
              <w:rPr>
                <w:rFonts w:ascii="Arial" w:eastAsia="Times New Roman" w:hAnsi="Arial" w:cs="Arial"/>
                <w:color w:val="000000" w:themeColor="text1"/>
                <w:sz w:val="18"/>
                <w:szCs w:val="18"/>
                <w:lang w:eastAsia="sl-SI"/>
              </w:rPr>
              <w:t xml:space="preserve"> </w:t>
            </w:r>
            <w:r w:rsidRPr="000A0948">
              <w:rPr>
                <w:rFonts w:ascii="Arial" w:eastAsia="Times New Roman" w:hAnsi="Arial" w:cs="Arial"/>
                <w:color w:val="000000" w:themeColor="text1"/>
                <w:sz w:val="18"/>
                <w:szCs w:val="18"/>
                <w:lang w:eastAsia="sl-SI"/>
              </w:rPr>
              <w:t>%</w:t>
            </w:r>
          </w:p>
        </w:tc>
      </w:tr>
      <w:tr w:rsidR="000A0948" w:rsidRPr="000A0948" w14:paraId="712C6491" w14:textId="77777777" w:rsidTr="000A0948">
        <w:trPr>
          <w:trHeight w:val="255"/>
          <w:jc w:val="center"/>
        </w:trPr>
        <w:tc>
          <w:tcPr>
            <w:tcW w:w="988" w:type="dxa"/>
            <w:vMerge/>
            <w:tcBorders>
              <w:top w:val="nil"/>
              <w:left w:val="single" w:sz="4" w:space="0" w:color="auto"/>
              <w:bottom w:val="single" w:sz="4" w:space="0" w:color="auto"/>
              <w:right w:val="single" w:sz="4" w:space="0" w:color="auto"/>
            </w:tcBorders>
            <w:vAlign w:val="center"/>
            <w:hideMark/>
          </w:tcPr>
          <w:p w14:paraId="7CAE7CEE" w14:textId="77777777" w:rsidR="000A0948" w:rsidRPr="000A0948" w:rsidRDefault="000A0948" w:rsidP="000A0948">
            <w:pPr>
              <w:spacing w:after="0" w:line="240" w:lineRule="auto"/>
              <w:rPr>
                <w:rFonts w:ascii="Arial" w:eastAsia="Times New Roman" w:hAnsi="Arial" w:cs="Arial"/>
                <w:color w:val="000000"/>
                <w:sz w:val="18"/>
                <w:szCs w:val="18"/>
                <w:lang w:eastAsia="sl-SI"/>
              </w:rPr>
            </w:pPr>
          </w:p>
        </w:tc>
        <w:tc>
          <w:tcPr>
            <w:tcW w:w="1943" w:type="dxa"/>
            <w:tcBorders>
              <w:top w:val="nil"/>
              <w:left w:val="nil"/>
              <w:bottom w:val="single" w:sz="4" w:space="0" w:color="auto"/>
              <w:right w:val="single" w:sz="4" w:space="0" w:color="auto"/>
            </w:tcBorders>
            <w:shd w:val="clear" w:color="auto" w:fill="auto"/>
            <w:vAlign w:val="center"/>
            <w:hideMark/>
          </w:tcPr>
          <w:p w14:paraId="4CFBC2A7" w14:textId="6A2C3CBA" w:rsidR="000A0948" w:rsidRPr="000A0948" w:rsidRDefault="000A0948" w:rsidP="000A0948">
            <w:pPr>
              <w:spacing w:after="0" w:line="240" w:lineRule="auto"/>
              <w:jc w:val="both"/>
              <w:rPr>
                <w:rFonts w:ascii="Arial" w:eastAsia="Times New Roman" w:hAnsi="Arial" w:cs="Arial"/>
                <w:color w:val="000000"/>
                <w:sz w:val="18"/>
                <w:szCs w:val="18"/>
                <w:lang w:eastAsia="sl-SI"/>
              </w:rPr>
            </w:pPr>
            <w:r w:rsidRPr="000A0948">
              <w:rPr>
                <w:rFonts w:ascii="Arial" w:eastAsia="Times New Roman" w:hAnsi="Arial" w:cs="Arial"/>
                <w:color w:val="000000"/>
                <w:sz w:val="18"/>
                <w:szCs w:val="18"/>
                <w:lang w:eastAsia="sl-SI"/>
              </w:rPr>
              <w:t>Zunaj EU</w:t>
            </w:r>
          </w:p>
        </w:tc>
        <w:tc>
          <w:tcPr>
            <w:tcW w:w="960" w:type="dxa"/>
            <w:tcBorders>
              <w:top w:val="nil"/>
              <w:left w:val="nil"/>
              <w:bottom w:val="single" w:sz="4" w:space="0" w:color="auto"/>
              <w:right w:val="single" w:sz="4" w:space="0" w:color="auto"/>
            </w:tcBorders>
            <w:shd w:val="clear" w:color="auto" w:fill="auto"/>
            <w:vAlign w:val="center"/>
            <w:hideMark/>
          </w:tcPr>
          <w:p w14:paraId="716754CF" w14:textId="4181BD24" w:rsidR="000A0948" w:rsidRPr="000A0948" w:rsidRDefault="000A0948" w:rsidP="000A0948">
            <w:pPr>
              <w:spacing w:after="0" w:line="240" w:lineRule="auto"/>
              <w:jc w:val="right"/>
              <w:rPr>
                <w:rFonts w:ascii="Arial" w:eastAsia="Times New Roman" w:hAnsi="Arial" w:cs="Arial"/>
                <w:color w:val="000000" w:themeColor="text1"/>
                <w:sz w:val="18"/>
                <w:szCs w:val="18"/>
                <w:lang w:eastAsia="sl-SI"/>
              </w:rPr>
            </w:pPr>
            <w:r w:rsidRPr="000A0948">
              <w:rPr>
                <w:rFonts w:ascii="Arial" w:eastAsia="Times New Roman" w:hAnsi="Arial" w:cs="Arial"/>
                <w:color w:val="000000" w:themeColor="text1"/>
                <w:sz w:val="18"/>
                <w:szCs w:val="18"/>
                <w:lang w:eastAsia="sl-SI"/>
              </w:rPr>
              <w:t>23</w:t>
            </w:r>
          </w:p>
        </w:tc>
        <w:tc>
          <w:tcPr>
            <w:tcW w:w="1497" w:type="dxa"/>
            <w:tcBorders>
              <w:top w:val="nil"/>
              <w:left w:val="nil"/>
              <w:bottom w:val="single" w:sz="4" w:space="0" w:color="auto"/>
              <w:right w:val="single" w:sz="4" w:space="0" w:color="auto"/>
            </w:tcBorders>
            <w:shd w:val="clear" w:color="auto" w:fill="auto"/>
            <w:vAlign w:val="center"/>
            <w:hideMark/>
          </w:tcPr>
          <w:p w14:paraId="242D88BB" w14:textId="605C94B0" w:rsidR="000A0948" w:rsidRPr="000A0948" w:rsidRDefault="000A0948" w:rsidP="000A0948">
            <w:pPr>
              <w:spacing w:after="0" w:line="240" w:lineRule="auto"/>
              <w:jc w:val="right"/>
              <w:rPr>
                <w:rFonts w:ascii="Arial" w:eastAsia="Times New Roman" w:hAnsi="Arial" w:cs="Arial"/>
                <w:color w:val="000000" w:themeColor="text1"/>
                <w:sz w:val="18"/>
                <w:szCs w:val="18"/>
                <w:lang w:eastAsia="sl-SI"/>
              </w:rPr>
            </w:pPr>
            <w:r w:rsidRPr="000A0948">
              <w:rPr>
                <w:rFonts w:ascii="Arial" w:eastAsia="Times New Roman" w:hAnsi="Arial" w:cs="Arial"/>
                <w:color w:val="000000" w:themeColor="text1"/>
                <w:sz w:val="18"/>
                <w:szCs w:val="18"/>
                <w:lang w:eastAsia="sl-SI"/>
              </w:rPr>
              <w:t>51.504.723</w:t>
            </w:r>
          </w:p>
        </w:tc>
        <w:tc>
          <w:tcPr>
            <w:tcW w:w="1723" w:type="dxa"/>
            <w:tcBorders>
              <w:top w:val="nil"/>
              <w:left w:val="nil"/>
              <w:bottom w:val="single" w:sz="4" w:space="0" w:color="auto"/>
              <w:right w:val="single" w:sz="4" w:space="0" w:color="auto"/>
            </w:tcBorders>
            <w:shd w:val="clear" w:color="auto" w:fill="auto"/>
            <w:vAlign w:val="center"/>
            <w:hideMark/>
          </w:tcPr>
          <w:p w14:paraId="01E32768" w14:textId="527C6303" w:rsidR="000A0948" w:rsidRPr="000A0948" w:rsidRDefault="000A0948" w:rsidP="000A0948">
            <w:pPr>
              <w:spacing w:after="0" w:line="240" w:lineRule="auto"/>
              <w:jc w:val="right"/>
              <w:rPr>
                <w:rFonts w:ascii="Arial" w:eastAsia="Times New Roman" w:hAnsi="Arial" w:cs="Arial"/>
                <w:color w:val="000000" w:themeColor="text1"/>
                <w:sz w:val="18"/>
                <w:szCs w:val="18"/>
                <w:lang w:eastAsia="sl-SI"/>
              </w:rPr>
            </w:pPr>
            <w:r w:rsidRPr="000A0948">
              <w:rPr>
                <w:rFonts w:ascii="Arial" w:eastAsia="Times New Roman" w:hAnsi="Arial" w:cs="Arial"/>
                <w:color w:val="000000" w:themeColor="text1"/>
                <w:sz w:val="18"/>
                <w:szCs w:val="18"/>
                <w:lang w:eastAsia="sl-SI"/>
              </w:rPr>
              <w:t>0,57</w:t>
            </w:r>
            <w:r>
              <w:rPr>
                <w:rFonts w:ascii="Arial" w:eastAsia="Times New Roman" w:hAnsi="Arial" w:cs="Arial"/>
                <w:color w:val="000000" w:themeColor="text1"/>
                <w:sz w:val="18"/>
                <w:szCs w:val="18"/>
                <w:lang w:eastAsia="sl-SI"/>
              </w:rPr>
              <w:t xml:space="preserve"> </w:t>
            </w:r>
            <w:r w:rsidRPr="000A0948">
              <w:rPr>
                <w:rFonts w:ascii="Arial" w:eastAsia="Times New Roman" w:hAnsi="Arial" w:cs="Arial"/>
                <w:color w:val="000000" w:themeColor="text1"/>
                <w:sz w:val="18"/>
                <w:szCs w:val="18"/>
                <w:lang w:eastAsia="sl-SI"/>
              </w:rPr>
              <w:t>%</w:t>
            </w:r>
          </w:p>
        </w:tc>
        <w:tc>
          <w:tcPr>
            <w:tcW w:w="1537" w:type="dxa"/>
            <w:tcBorders>
              <w:top w:val="nil"/>
              <w:left w:val="nil"/>
              <w:bottom w:val="single" w:sz="4" w:space="0" w:color="auto"/>
              <w:right w:val="single" w:sz="4" w:space="0" w:color="auto"/>
            </w:tcBorders>
            <w:shd w:val="clear" w:color="auto" w:fill="auto"/>
            <w:vAlign w:val="center"/>
            <w:hideMark/>
          </w:tcPr>
          <w:p w14:paraId="026B8079" w14:textId="143D7054" w:rsidR="000A0948" w:rsidRPr="000A0948" w:rsidRDefault="000A0948" w:rsidP="000A0948">
            <w:pPr>
              <w:spacing w:after="0" w:line="240" w:lineRule="auto"/>
              <w:jc w:val="right"/>
              <w:rPr>
                <w:rFonts w:ascii="Arial" w:eastAsia="Times New Roman" w:hAnsi="Arial" w:cs="Arial"/>
                <w:color w:val="000000" w:themeColor="text1"/>
                <w:sz w:val="18"/>
                <w:szCs w:val="18"/>
                <w:lang w:eastAsia="sl-SI"/>
              </w:rPr>
            </w:pPr>
            <w:r w:rsidRPr="000A0948">
              <w:rPr>
                <w:rFonts w:ascii="Arial" w:eastAsia="Times New Roman" w:hAnsi="Arial" w:cs="Arial"/>
                <w:color w:val="000000" w:themeColor="text1"/>
                <w:sz w:val="18"/>
                <w:szCs w:val="18"/>
                <w:lang w:eastAsia="sl-SI"/>
              </w:rPr>
              <w:t>2,95</w:t>
            </w:r>
            <w:r>
              <w:rPr>
                <w:rFonts w:ascii="Arial" w:eastAsia="Times New Roman" w:hAnsi="Arial" w:cs="Arial"/>
                <w:color w:val="000000" w:themeColor="text1"/>
                <w:sz w:val="18"/>
                <w:szCs w:val="18"/>
                <w:lang w:eastAsia="sl-SI"/>
              </w:rPr>
              <w:t xml:space="preserve"> </w:t>
            </w:r>
            <w:r w:rsidRPr="000A0948">
              <w:rPr>
                <w:rFonts w:ascii="Arial" w:eastAsia="Times New Roman" w:hAnsi="Arial" w:cs="Arial"/>
                <w:color w:val="000000" w:themeColor="text1"/>
                <w:sz w:val="18"/>
                <w:szCs w:val="18"/>
                <w:lang w:eastAsia="sl-SI"/>
              </w:rPr>
              <w:t>%</w:t>
            </w:r>
          </w:p>
        </w:tc>
      </w:tr>
      <w:tr w:rsidR="000A0948" w:rsidRPr="000A0948" w14:paraId="46D31CC0" w14:textId="77777777" w:rsidTr="000A0948">
        <w:trPr>
          <w:trHeight w:val="255"/>
          <w:jc w:val="center"/>
        </w:trPr>
        <w:tc>
          <w:tcPr>
            <w:tcW w:w="988" w:type="dxa"/>
            <w:vMerge/>
            <w:tcBorders>
              <w:top w:val="nil"/>
              <w:left w:val="single" w:sz="4" w:space="0" w:color="auto"/>
              <w:bottom w:val="single" w:sz="4" w:space="0" w:color="auto"/>
              <w:right w:val="single" w:sz="4" w:space="0" w:color="auto"/>
            </w:tcBorders>
            <w:vAlign w:val="center"/>
            <w:hideMark/>
          </w:tcPr>
          <w:p w14:paraId="4F1B11DF" w14:textId="77777777" w:rsidR="000A0948" w:rsidRPr="000A0948" w:rsidRDefault="000A0948" w:rsidP="000A0948">
            <w:pPr>
              <w:spacing w:after="0" w:line="240" w:lineRule="auto"/>
              <w:rPr>
                <w:rFonts w:ascii="Arial" w:eastAsia="Times New Roman" w:hAnsi="Arial" w:cs="Arial"/>
                <w:color w:val="000000"/>
                <w:sz w:val="18"/>
                <w:szCs w:val="18"/>
                <w:lang w:eastAsia="sl-SI"/>
              </w:rPr>
            </w:pPr>
          </w:p>
        </w:tc>
        <w:tc>
          <w:tcPr>
            <w:tcW w:w="1943" w:type="dxa"/>
            <w:tcBorders>
              <w:top w:val="nil"/>
              <w:left w:val="nil"/>
              <w:bottom w:val="single" w:sz="4" w:space="0" w:color="auto"/>
              <w:right w:val="single" w:sz="4" w:space="0" w:color="auto"/>
            </w:tcBorders>
            <w:shd w:val="clear" w:color="auto" w:fill="auto"/>
            <w:vAlign w:val="center"/>
            <w:hideMark/>
          </w:tcPr>
          <w:p w14:paraId="5C896C4E" w14:textId="77777777" w:rsidR="000A0948" w:rsidRPr="000A0948" w:rsidRDefault="000A0948" w:rsidP="000A0948">
            <w:pPr>
              <w:spacing w:after="0" w:line="240" w:lineRule="auto"/>
              <w:jc w:val="both"/>
              <w:rPr>
                <w:rFonts w:ascii="Arial" w:eastAsia="Times New Roman" w:hAnsi="Arial" w:cs="Arial"/>
                <w:b/>
                <w:bCs/>
                <w:color w:val="000000"/>
                <w:sz w:val="18"/>
                <w:szCs w:val="18"/>
                <w:lang w:eastAsia="sl-SI"/>
              </w:rPr>
            </w:pPr>
            <w:r w:rsidRPr="000A0948">
              <w:rPr>
                <w:rFonts w:ascii="Arial" w:eastAsia="Times New Roman" w:hAnsi="Arial" w:cs="Arial"/>
                <w:b/>
                <w:bCs/>
                <w:color w:val="000000"/>
                <w:sz w:val="18"/>
                <w:szCs w:val="18"/>
                <w:lang w:eastAsia="sl-SI"/>
              </w:rPr>
              <w:t>Skupaj</w:t>
            </w:r>
          </w:p>
        </w:tc>
        <w:tc>
          <w:tcPr>
            <w:tcW w:w="960" w:type="dxa"/>
            <w:tcBorders>
              <w:top w:val="nil"/>
              <w:left w:val="nil"/>
              <w:bottom w:val="single" w:sz="4" w:space="0" w:color="auto"/>
              <w:right w:val="single" w:sz="4" w:space="0" w:color="auto"/>
            </w:tcBorders>
            <w:shd w:val="clear" w:color="auto" w:fill="auto"/>
            <w:vAlign w:val="center"/>
            <w:hideMark/>
          </w:tcPr>
          <w:p w14:paraId="1F0CD371" w14:textId="341B5812" w:rsidR="000A0948" w:rsidRPr="000A0948" w:rsidRDefault="000A0948" w:rsidP="000A0948">
            <w:pPr>
              <w:spacing w:after="0" w:line="240" w:lineRule="auto"/>
              <w:jc w:val="right"/>
              <w:rPr>
                <w:rFonts w:ascii="Arial" w:eastAsia="Times New Roman" w:hAnsi="Arial" w:cs="Arial"/>
                <w:b/>
                <w:bCs/>
                <w:color w:val="000000" w:themeColor="text1"/>
                <w:sz w:val="18"/>
                <w:szCs w:val="18"/>
                <w:lang w:eastAsia="sl-SI"/>
              </w:rPr>
            </w:pPr>
            <w:r w:rsidRPr="000A0948">
              <w:rPr>
                <w:rFonts w:ascii="Arial" w:eastAsia="Times New Roman" w:hAnsi="Arial" w:cs="Arial"/>
                <w:b/>
                <w:bCs/>
                <w:color w:val="000000" w:themeColor="text1"/>
                <w:sz w:val="18"/>
                <w:szCs w:val="18"/>
                <w:lang w:eastAsia="sl-SI"/>
              </w:rPr>
              <w:t>4.012</w:t>
            </w:r>
          </w:p>
        </w:tc>
        <w:tc>
          <w:tcPr>
            <w:tcW w:w="1497" w:type="dxa"/>
            <w:tcBorders>
              <w:top w:val="nil"/>
              <w:left w:val="nil"/>
              <w:bottom w:val="single" w:sz="4" w:space="0" w:color="auto"/>
              <w:right w:val="single" w:sz="4" w:space="0" w:color="auto"/>
            </w:tcBorders>
            <w:shd w:val="clear" w:color="auto" w:fill="auto"/>
            <w:vAlign w:val="center"/>
            <w:hideMark/>
          </w:tcPr>
          <w:p w14:paraId="4A184721" w14:textId="7C0E1C0B" w:rsidR="000A0948" w:rsidRPr="000A0948" w:rsidRDefault="000A0948" w:rsidP="000A0948">
            <w:pPr>
              <w:spacing w:after="0" w:line="240" w:lineRule="auto"/>
              <w:jc w:val="right"/>
              <w:rPr>
                <w:rFonts w:ascii="Arial" w:eastAsia="Times New Roman" w:hAnsi="Arial" w:cs="Arial"/>
                <w:b/>
                <w:bCs/>
                <w:color w:val="000000" w:themeColor="text1"/>
                <w:sz w:val="18"/>
                <w:szCs w:val="18"/>
                <w:lang w:eastAsia="sl-SI"/>
              </w:rPr>
            </w:pPr>
            <w:r w:rsidRPr="000A0948">
              <w:rPr>
                <w:rFonts w:ascii="Arial" w:eastAsia="Times New Roman" w:hAnsi="Arial" w:cs="Arial"/>
                <w:b/>
                <w:bCs/>
                <w:color w:val="000000" w:themeColor="text1"/>
                <w:sz w:val="18"/>
                <w:szCs w:val="18"/>
                <w:lang w:eastAsia="sl-SI"/>
              </w:rPr>
              <w:t>1.744.765.689</w:t>
            </w:r>
          </w:p>
        </w:tc>
        <w:tc>
          <w:tcPr>
            <w:tcW w:w="1723" w:type="dxa"/>
            <w:tcBorders>
              <w:top w:val="nil"/>
              <w:left w:val="nil"/>
              <w:bottom w:val="single" w:sz="4" w:space="0" w:color="auto"/>
              <w:right w:val="single" w:sz="4" w:space="0" w:color="auto"/>
            </w:tcBorders>
            <w:shd w:val="clear" w:color="auto" w:fill="auto"/>
            <w:vAlign w:val="center"/>
            <w:hideMark/>
          </w:tcPr>
          <w:p w14:paraId="206D95DB" w14:textId="08EF43B5" w:rsidR="000A0948" w:rsidRPr="000A0948" w:rsidRDefault="000A0948" w:rsidP="000A0948">
            <w:pPr>
              <w:spacing w:after="0" w:line="240" w:lineRule="auto"/>
              <w:jc w:val="right"/>
              <w:rPr>
                <w:rFonts w:ascii="Arial" w:eastAsia="Times New Roman" w:hAnsi="Arial" w:cs="Arial"/>
                <w:b/>
                <w:bCs/>
                <w:color w:val="000000" w:themeColor="text1"/>
                <w:sz w:val="18"/>
                <w:szCs w:val="18"/>
                <w:lang w:eastAsia="sl-SI"/>
              </w:rPr>
            </w:pPr>
            <w:r w:rsidRPr="000A0948">
              <w:rPr>
                <w:rFonts w:ascii="Arial" w:eastAsia="Times New Roman" w:hAnsi="Arial" w:cs="Arial"/>
                <w:b/>
                <w:bCs/>
                <w:color w:val="000000" w:themeColor="text1"/>
                <w:sz w:val="18"/>
                <w:szCs w:val="18"/>
                <w:lang w:eastAsia="sl-SI"/>
              </w:rPr>
              <w:t>100,00</w:t>
            </w:r>
            <w:r>
              <w:rPr>
                <w:rFonts w:ascii="Arial" w:eastAsia="Times New Roman" w:hAnsi="Arial" w:cs="Arial"/>
                <w:b/>
                <w:bCs/>
                <w:color w:val="000000" w:themeColor="text1"/>
                <w:sz w:val="18"/>
                <w:szCs w:val="18"/>
                <w:lang w:eastAsia="sl-SI"/>
              </w:rPr>
              <w:t xml:space="preserve"> </w:t>
            </w:r>
            <w:r w:rsidRPr="000A0948">
              <w:rPr>
                <w:rFonts w:ascii="Arial" w:eastAsia="Times New Roman" w:hAnsi="Arial" w:cs="Arial"/>
                <w:b/>
                <w:bCs/>
                <w:color w:val="000000" w:themeColor="text1"/>
                <w:sz w:val="18"/>
                <w:szCs w:val="18"/>
                <w:lang w:eastAsia="sl-SI"/>
              </w:rPr>
              <w:t>%</w:t>
            </w:r>
          </w:p>
        </w:tc>
        <w:tc>
          <w:tcPr>
            <w:tcW w:w="1537" w:type="dxa"/>
            <w:tcBorders>
              <w:top w:val="nil"/>
              <w:left w:val="nil"/>
              <w:bottom w:val="single" w:sz="4" w:space="0" w:color="auto"/>
              <w:right w:val="single" w:sz="4" w:space="0" w:color="auto"/>
            </w:tcBorders>
            <w:shd w:val="clear" w:color="auto" w:fill="auto"/>
            <w:vAlign w:val="center"/>
            <w:hideMark/>
          </w:tcPr>
          <w:p w14:paraId="271AB65F" w14:textId="140B0B01" w:rsidR="000A0948" w:rsidRPr="000A0948" w:rsidRDefault="000A0948" w:rsidP="000A0948">
            <w:pPr>
              <w:spacing w:after="0" w:line="240" w:lineRule="auto"/>
              <w:jc w:val="right"/>
              <w:rPr>
                <w:rFonts w:ascii="Arial" w:eastAsia="Times New Roman" w:hAnsi="Arial" w:cs="Arial"/>
                <w:b/>
                <w:bCs/>
                <w:color w:val="000000" w:themeColor="text1"/>
                <w:sz w:val="18"/>
                <w:szCs w:val="18"/>
                <w:lang w:eastAsia="sl-SI"/>
              </w:rPr>
            </w:pPr>
            <w:r w:rsidRPr="000A0948">
              <w:rPr>
                <w:rFonts w:ascii="Arial" w:eastAsia="Times New Roman" w:hAnsi="Arial" w:cs="Arial"/>
                <w:b/>
                <w:bCs/>
                <w:color w:val="000000" w:themeColor="text1"/>
                <w:sz w:val="18"/>
                <w:szCs w:val="18"/>
                <w:lang w:eastAsia="sl-SI"/>
              </w:rPr>
              <w:t>100,00</w:t>
            </w:r>
            <w:r>
              <w:rPr>
                <w:rFonts w:ascii="Arial" w:eastAsia="Times New Roman" w:hAnsi="Arial" w:cs="Arial"/>
                <w:b/>
                <w:bCs/>
                <w:color w:val="000000" w:themeColor="text1"/>
                <w:sz w:val="18"/>
                <w:szCs w:val="18"/>
                <w:lang w:eastAsia="sl-SI"/>
              </w:rPr>
              <w:t xml:space="preserve"> </w:t>
            </w:r>
            <w:r w:rsidRPr="000A0948">
              <w:rPr>
                <w:rFonts w:ascii="Arial" w:eastAsia="Times New Roman" w:hAnsi="Arial" w:cs="Arial"/>
                <w:b/>
                <w:bCs/>
                <w:color w:val="000000" w:themeColor="text1"/>
                <w:sz w:val="18"/>
                <w:szCs w:val="18"/>
                <w:lang w:eastAsia="sl-SI"/>
              </w:rPr>
              <w:t>%</w:t>
            </w:r>
          </w:p>
        </w:tc>
      </w:tr>
      <w:tr w:rsidR="000A0948" w:rsidRPr="000A0948" w14:paraId="146DC838" w14:textId="77777777" w:rsidTr="000A0948">
        <w:trPr>
          <w:trHeight w:val="255"/>
          <w:jc w:val="center"/>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2C02BB1B" w14:textId="77777777" w:rsidR="000A0948" w:rsidRPr="000A0948" w:rsidRDefault="000A0948" w:rsidP="000A0948">
            <w:pPr>
              <w:spacing w:after="0" w:line="240" w:lineRule="auto"/>
              <w:jc w:val="both"/>
              <w:rPr>
                <w:rFonts w:ascii="Arial" w:eastAsia="Times New Roman" w:hAnsi="Arial" w:cs="Arial"/>
                <w:color w:val="000000"/>
                <w:sz w:val="18"/>
                <w:szCs w:val="18"/>
                <w:lang w:eastAsia="sl-SI"/>
              </w:rPr>
            </w:pPr>
            <w:r w:rsidRPr="000A0948">
              <w:rPr>
                <w:rFonts w:ascii="Arial" w:eastAsia="Times New Roman" w:hAnsi="Arial" w:cs="Arial"/>
                <w:color w:val="000000"/>
                <w:sz w:val="18"/>
                <w:szCs w:val="18"/>
                <w:lang w:eastAsia="sl-SI"/>
              </w:rPr>
              <w:t>Gradnje</w:t>
            </w:r>
          </w:p>
        </w:tc>
        <w:tc>
          <w:tcPr>
            <w:tcW w:w="1943" w:type="dxa"/>
            <w:tcBorders>
              <w:top w:val="nil"/>
              <w:left w:val="nil"/>
              <w:bottom w:val="single" w:sz="4" w:space="0" w:color="auto"/>
              <w:right w:val="single" w:sz="4" w:space="0" w:color="auto"/>
            </w:tcBorders>
            <w:shd w:val="clear" w:color="auto" w:fill="auto"/>
            <w:vAlign w:val="center"/>
            <w:hideMark/>
          </w:tcPr>
          <w:p w14:paraId="7FD0CDFA" w14:textId="77777777" w:rsidR="000A0948" w:rsidRPr="000A0948" w:rsidRDefault="000A0948" w:rsidP="000A0948">
            <w:pPr>
              <w:spacing w:after="0" w:line="240" w:lineRule="auto"/>
              <w:jc w:val="both"/>
              <w:rPr>
                <w:rFonts w:ascii="Arial" w:eastAsia="Times New Roman" w:hAnsi="Arial" w:cs="Arial"/>
                <w:color w:val="000000"/>
                <w:sz w:val="18"/>
                <w:szCs w:val="18"/>
                <w:lang w:eastAsia="sl-SI"/>
              </w:rPr>
            </w:pPr>
            <w:r w:rsidRPr="000A0948">
              <w:rPr>
                <w:rFonts w:ascii="Arial" w:eastAsia="Times New Roman" w:hAnsi="Arial" w:cs="Arial"/>
                <w:color w:val="000000"/>
                <w:sz w:val="18"/>
                <w:szCs w:val="18"/>
                <w:lang w:eastAsia="sl-SI"/>
              </w:rPr>
              <w:t>Slovenija</w:t>
            </w:r>
          </w:p>
        </w:tc>
        <w:tc>
          <w:tcPr>
            <w:tcW w:w="960" w:type="dxa"/>
            <w:tcBorders>
              <w:top w:val="nil"/>
              <w:left w:val="nil"/>
              <w:bottom w:val="single" w:sz="4" w:space="0" w:color="auto"/>
              <w:right w:val="single" w:sz="4" w:space="0" w:color="auto"/>
            </w:tcBorders>
            <w:shd w:val="clear" w:color="auto" w:fill="auto"/>
            <w:vAlign w:val="center"/>
            <w:hideMark/>
          </w:tcPr>
          <w:p w14:paraId="087AE17E" w14:textId="331C3A33" w:rsidR="000A0948" w:rsidRPr="000A0948" w:rsidRDefault="000A0948" w:rsidP="000A0948">
            <w:pPr>
              <w:spacing w:after="0" w:line="240" w:lineRule="auto"/>
              <w:jc w:val="right"/>
              <w:rPr>
                <w:rFonts w:ascii="Arial" w:eastAsia="Times New Roman" w:hAnsi="Arial" w:cs="Arial"/>
                <w:color w:val="000000" w:themeColor="text1"/>
                <w:sz w:val="18"/>
                <w:szCs w:val="18"/>
                <w:lang w:eastAsia="sl-SI"/>
              </w:rPr>
            </w:pPr>
            <w:r w:rsidRPr="000A0948">
              <w:rPr>
                <w:rFonts w:ascii="Arial" w:eastAsia="Times New Roman" w:hAnsi="Arial" w:cs="Arial"/>
                <w:color w:val="000000" w:themeColor="text1"/>
                <w:sz w:val="18"/>
                <w:szCs w:val="18"/>
                <w:lang w:eastAsia="sl-SI"/>
              </w:rPr>
              <w:t>1.751</w:t>
            </w:r>
          </w:p>
        </w:tc>
        <w:tc>
          <w:tcPr>
            <w:tcW w:w="1497" w:type="dxa"/>
            <w:tcBorders>
              <w:top w:val="nil"/>
              <w:left w:val="nil"/>
              <w:bottom w:val="single" w:sz="4" w:space="0" w:color="auto"/>
              <w:right w:val="single" w:sz="4" w:space="0" w:color="auto"/>
            </w:tcBorders>
            <w:shd w:val="clear" w:color="auto" w:fill="auto"/>
            <w:vAlign w:val="center"/>
            <w:hideMark/>
          </w:tcPr>
          <w:p w14:paraId="6D294103" w14:textId="3B13CE1F" w:rsidR="000A0948" w:rsidRPr="000A0948" w:rsidRDefault="000A0948" w:rsidP="000A0948">
            <w:pPr>
              <w:spacing w:after="0" w:line="240" w:lineRule="auto"/>
              <w:jc w:val="right"/>
              <w:rPr>
                <w:rFonts w:ascii="Arial" w:eastAsia="Times New Roman" w:hAnsi="Arial" w:cs="Arial"/>
                <w:color w:val="000000" w:themeColor="text1"/>
                <w:sz w:val="18"/>
                <w:szCs w:val="18"/>
                <w:lang w:eastAsia="sl-SI"/>
              </w:rPr>
            </w:pPr>
            <w:r w:rsidRPr="000A0948">
              <w:rPr>
                <w:rFonts w:ascii="Arial" w:eastAsia="Times New Roman" w:hAnsi="Arial" w:cs="Arial"/>
                <w:color w:val="000000" w:themeColor="text1"/>
                <w:sz w:val="18"/>
                <w:szCs w:val="18"/>
                <w:lang w:eastAsia="sl-SI"/>
              </w:rPr>
              <w:t>1.859.938.899</w:t>
            </w:r>
          </w:p>
        </w:tc>
        <w:tc>
          <w:tcPr>
            <w:tcW w:w="1723" w:type="dxa"/>
            <w:tcBorders>
              <w:top w:val="nil"/>
              <w:left w:val="nil"/>
              <w:bottom w:val="single" w:sz="4" w:space="0" w:color="auto"/>
              <w:right w:val="single" w:sz="4" w:space="0" w:color="auto"/>
            </w:tcBorders>
            <w:shd w:val="clear" w:color="auto" w:fill="auto"/>
            <w:vAlign w:val="center"/>
            <w:hideMark/>
          </w:tcPr>
          <w:p w14:paraId="62B010AA" w14:textId="5E053385" w:rsidR="000A0948" w:rsidRPr="000A0948" w:rsidRDefault="000A0948" w:rsidP="000A0948">
            <w:pPr>
              <w:spacing w:after="0" w:line="240" w:lineRule="auto"/>
              <w:jc w:val="right"/>
              <w:rPr>
                <w:rFonts w:ascii="Arial" w:eastAsia="Times New Roman" w:hAnsi="Arial" w:cs="Arial"/>
                <w:color w:val="000000" w:themeColor="text1"/>
                <w:sz w:val="18"/>
                <w:szCs w:val="18"/>
                <w:lang w:eastAsia="sl-SI"/>
              </w:rPr>
            </w:pPr>
            <w:r w:rsidRPr="000A0948">
              <w:rPr>
                <w:rFonts w:ascii="Arial" w:eastAsia="Times New Roman" w:hAnsi="Arial" w:cs="Arial"/>
                <w:color w:val="000000" w:themeColor="text1"/>
                <w:sz w:val="18"/>
                <w:szCs w:val="18"/>
                <w:lang w:eastAsia="sl-SI"/>
              </w:rPr>
              <w:t>99,77</w:t>
            </w:r>
            <w:r>
              <w:rPr>
                <w:rFonts w:ascii="Arial" w:eastAsia="Times New Roman" w:hAnsi="Arial" w:cs="Arial"/>
                <w:color w:val="000000" w:themeColor="text1"/>
                <w:sz w:val="18"/>
                <w:szCs w:val="18"/>
                <w:lang w:eastAsia="sl-SI"/>
              </w:rPr>
              <w:t xml:space="preserve"> </w:t>
            </w:r>
            <w:r w:rsidRPr="000A0948">
              <w:rPr>
                <w:rFonts w:ascii="Arial" w:eastAsia="Times New Roman" w:hAnsi="Arial" w:cs="Arial"/>
                <w:color w:val="000000" w:themeColor="text1"/>
                <w:sz w:val="18"/>
                <w:szCs w:val="18"/>
                <w:lang w:eastAsia="sl-SI"/>
              </w:rPr>
              <w:t>%</w:t>
            </w:r>
          </w:p>
        </w:tc>
        <w:tc>
          <w:tcPr>
            <w:tcW w:w="1537" w:type="dxa"/>
            <w:tcBorders>
              <w:top w:val="nil"/>
              <w:left w:val="nil"/>
              <w:bottom w:val="single" w:sz="4" w:space="0" w:color="auto"/>
              <w:right w:val="single" w:sz="4" w:space="0" w:color="auto"/>
            </w:tcBorders>
            <w:shd w:val="clear" w:color="auto" w:fill="auto"/>
            <w:vAlign w:val="center"/>
            <w:hideMark/>
          </w:tcPr>
          <w:p w14:paraId="177C3E46" w14:textId="06B1D998" w:rsidR="000A0948" w:rsidRPr="000A0948" w:rsidRDefault="000A0948" w:rsidP="000A0948">
            <w:pPr>
              <w:spacing w:after="0" w:line="240" w:lineRule="auto"/>
              <w:jc w:val="right"/>
              <w:rPr>
                <w:rFonts w:ascii="Arial" w:eastAsia="Times New Roman" w:hAnsi="Arial" w:cs="Arial"/>
                <w:color w:val="000000" w:themeColor="text1"/>
                <w:sz w:val="18"/>
                <w:szCs w:val="18"/>
                <w:lang w:eastAsia="sl-SI"/>
              </w:rPr>
            </w:pPr>
            <w:r w:rsidRPr="000A0948">
              <w:rPr>
                <w:rFonts w:ascii="Arial" w:eastAsia="Times New Roman" w:hAnsi="Arial" w:cs="Arial"/>
                <w:color w:val="000000" w:themeColor="text1"/>
                <w:sz w:val="18"/>
                <w:szCs w:val="18"/>
                <w:lang w:eastAsia="sl-SI"/>
              </w:rPr>
              <w:t>99,91</w:t>
            </w:r>
            <w:r>
              <w:rPr>
                <w:rFonts w:ascii="Arial" w:eastAsia="Times New Roman" w:hAnsi="Arial" w:cs="Arial"/>
                <w:color w:val="000000" w:themeColor="text1"/>
                <w:sz w:val="18"/>
                <w:szCs w:val="18"/>
                <w:lang w:eastAsia="sl-SI"/>
              </w:rPr>
              <w:t xml:space="preserve"> </w:t>
            </w:r>
            <w:r w:rsidRPr="000A0948">
              <w:rPr>
                <w:rFonts w:ascii="Arial" w:eastAsia="Times New Roman" w:hAnsi="Arial" w:cs="Arial"/>
                <w:color w:val="000000" w:themeColor="text1"/>
                <w:sz w:val="18"/>
                <w:szCs w:val="18"/>
                <w:lang w:eastAsia="sl-SI"/>
              </w:rPr>
              <w:t>%</w:t>
            </w:r>
          </w:p>
        </w:tc>
      </w:tr>
      <w:tr w:rsidR="000A0948" w:rsidRPr="000A0948" w14:paraId="3989AF8C" w14:textId="77777777" w:rsidTr="000A0948">
        <w:trPr>
          <w:trHeight w:val="255"/>
          <w:jc w:val="center"/>
        </w:trPr>
        <w:tc>
          <w:tcPr>
            <w:tcW w:w="988" w:type="dxa"/>
            <w:vMerge/>
            <w:tcBorders>
              <w:top w:val="nil"/>
              <w:left w:val="single" w:sz="4" w:space="0" w:color="auto"/>
              <w:bottom w:val="single" w:sz="4" w:space="0" w:color="auto"/>
              <w:right w:val="single" w:sz="4" w:space="0" w:color="auto"/>
            </w:tcBorders>
            <w:vAlign w:val="center"/>
            <w:hideMark/>
          </w:tcPr>
          <w:p w14:paraId="52A6B614" w14:textId="77777777" w:rsidR="000A0948" w:rsidRPr="000A0948" w:rsidRDefault="000A0948" w:rsidP="000A0948">
            <w:pPr>
              <w:spacing w:after="0" w:line="240" w:lineRule="auto"/>
              <w:rPr>
                <w:rFonts w:ascii="Arial" w:eastAsia="Times New Roman" w:hAnsi="Arial" w:cs="Arial"/>
                <w:color w:val="000000"/>
                <w:sz w:val="18"/>
                <w:szCs w:val="18"/>
                <w:lang w:eastAsia="sl-SI"/>
              </w:rPr>
            </w:pPr>
          </w:p>
        </w:tc>
        <w:tc>
          <w:tcPr>
            <w:tcW w:w="1943" w:type="dxa"/>
            <w:tcBorders>
              <w:top w:val="nil"/>
              <w:left w:val="nil"/>
              <w:bottom w:val="single" w:sz="4" w:space="0" w:color="auto"/>
              <w:right w:val="single" w:sz="4" w:space="0" w:color="auto"/>
            </w:tcBorders>
            <w:shd w:val="clear" w:color="auto" w:fill="auto"/>
            <w:vAlign w:val="center"/>
            <w:hideMark/>
          </w:tcPr>
          <w:p w14:paraId="60A3FDC6" w14:textId="3E22972B" w:rsidR="000A0948" w:rsidRPr="000A0948" w:rsidRDefault="000A0948" w:rsidP="000A0948">
            <w:pPr>
              <w:spacing w:after="0" w:line="240" w:lineRule="auto"/>
              <w:jc w:val="both"/>
              <w:rPr>
                <w:rFonts w:ascii="Arial" w:eastAsia="Times New Roman" w:hAnsi="Arial" w:cs="Arial"/>
                <w:color w:val="000000"/>
                <w:sz w:val="18"/>
                <w:szCs w:val="18"/>
                <w:lang w:eastAsia="sl-SI"/>
              </w:rPr>
            </w:pPr>
            <w:r w:rsidRPr="000A0948">
              <w:rPr>
                <w:rFonts w:ascii="Arial" w:eastAsia="Times New Roman" w:hAnsi="Arial" w:cs="Arial"/>
                <w:color w:val="000000"/>
                <w:sz w:val="18"/>
                <w:szCs w:val="18"/>
                <w:lang w:eastAsia="sl-SI"/>
              </w:rPr>
              <w:t>Druga država EU</w:t>
            </w:r>
          </w:p>
        </w:tc>
        <w:tc>
          <w:tcPr>
            <w:tcW w:w="960" w:type="dxa"/>
            <w:tcBorders>
              <w:top w:val="nil"/>
              <w:left w:val="nil"/>
              <w:bottom w:val="single" w:sz="4" w:space="0" w:color="auto"/>
              <w:right w:val="single" w:sz="4" w:space="0" w:color="auto"/>
            </w:tcBorders>
            <w:shd w:val="clear" w:color="auto" w:fill="auto"/>
            <w:vAlign w:val="center"/>
            <w:hideMark/>
          </w:tcPr>
          <w:p w14:paraId="0E4B6CF9" w14:textId="7E56ACC8" w:rsidR="000A0948" w:rsidRPr="000A0948" w:rsidRDefault="000A0948" w:rsidP="000A0948">
            <w:pPr>
              <w:spacing w:after="0" w:line="240" w:lineRule="auto"/>
              <w:jc w:val="right"/>
              <w:rPr>
                <w:rFonts w:ascii="Arial" w:eastAsia="Times New Roman" w:hAnsi="Arial" w:cs="Arial"/>
                <w:color w:val="000000" w:themeColor="text1"/>
                <w:sz w:val="18"/>
                <w:szCs w:val="18"/>
                <w:lang w:eastAsia="sl-SI"/>
              </w:rPr>
            </w:pPr>
            <w:r w:rsidRPr="000A0948">
              <w:rPr>
                <w:rFonts w:ascii="Arial" w:eastAsia="Times New Roman" w:hAnsi="Arial" w:cs="Arial"/>
                <w:color w:val="000000" w:themeColor="text1"/>
                <w:sz w:val="18"/>
                <w:szCs w:val="18"/>
                <w:lang w:eastAsia="sl-SI"/>
              </w:rPr>
              <w:t>4</w:t>
            </w:r>
          </w:p>
        </w:tc>
        <w:tc>
          <w:tcPr>
            <w:tcW w:w="1497" w:type="dxa"/>
            <w:tcBorders>
              <w:top w:val="nil"/>
              <w:left w:val="nil"/>
              <w:bottom w:val="single" w:sz="4" w:space="0" w:color="auto"/>
              <w:right w:val="single" w:sz="4" w:space="0" w:color="auto"/>
            </w:tcBorders>
            <w:shd w:val="clear" w:color="auto" w:fill="auto"/>
            <w:vAlign w:val="center"/>
            <w:hideMark/>
          </w:tcPr>
          <w:p w14:paraId="7EA05057" w14:textId="5E0D1183" w:rsidR="000A0948" w:rsidRPr="000A0948" w:rsidRDefault="000A0948" w:rsidP="000A0948">
            <w:pPr>
              <w:spacing w:after="0" w:line="240" w:lineRule="auto"/>
              <w:jc w:val="right"/>
              <w:rPr>
                <w:rFonts w:ascii="Arial" w:eastAsia="Times New Roman" w:hAnsi="Arial" w:cs="Arial"/>
                <w:color w:val="000000" w:themeColor="text1"/>
                <w:sz w:val="18"/>
                <w:szCs w:val="18"/>
                <w:lang w:eastAsia="sl-SI"/>
              </w:rPr>
            </w:pPr>
            <w:r w:rsidRPr="000A0948">
              <w:rPr>
                <w:rFonts w:ascii="Arial" w:eastAsia="Times New Roman" w:hAnsi="Arial" w:cs="Arial"/>
                <w:color w:val="000000" w:themeColor="text1"/>
                <w:sz w:val="18"/>
                <w:szCs w:val="18"/>
                <w:lang w:eastAsia="sl-SI"/>
              </w:rPr>
              <w:t>1.628.296</w:t>
            </w:r>
          </w:p>
        </w:tc>
        <w:tc>
          <w:tcPr>
            <w:tcW w:w="1723" w:type="dxa"/>
            <w:tcBorders>
              <w:top w:val="nil"/>
              <w:left w:val="nil"/>
              <w:bottom w:val="single" w:sz="4" w:space="0" w:color="auto"/>
              <w:right w:val="single" w:sz="4" w:space="0" w:color="auto"/>
            </w:tcBorders>
            <w:shd w:val="clear" w:color="auto" w:fill="auto"/>
            <w:vAlign w:val="center"/>
            <w:hideMark/>
          </w:tcPr>
          <w:p w14:paraId="6737092C" w14:textId="08965B13" w:rsidR="000A0948" w:rsidRPr="000A0948" w:rsidRDefault="000A0948" w:rsidP="000A0948">
            <w:pPr>
              <w:spacing w:after="0" w:line="240" w:lineRule="auto"/>
              <w:jc w:val="right"/>
              <w:rPr>
                <w:rFonts w:ascii="Arial" w:eastAsia="Times New Roman" w:hAnsi="Arial" w:cs="Arial"/>
                <w:color w:val="000000" w:themeColor="text1"/>
                <w:sz w:val="18"/>
                <w:szCs w:val="18"/>
                <w:lang w:eastAsia="sl-SI"/>
              </w:rPr>
            </w:pPr>
            <w:r w:rsidRPr="000A0948">
              <w:rPr>
                <w:rFonts w:ascii="Arial" w:eastAsia="Times New Roman" w:hAnsi="Arial" w:cs="Arial"/>
                <w:color w:val="000000" w:themeColor="text1"/>
                <w:sz w:val="18"/>
                <w:szCs w:val="18"/>
                <w:lang w:eastAsia="sl-SI"/>
              </w:rPr>
              <w:t>0,23</w:t>
            </w:r>
            <w:r>
              <w:rPr>
                <w:rFonts w:ascii="Arial" w:eastAsia="Times New Roman" w:hAnsi="Arial" w:cs="Arial"/>
                <w:color w:val="000000" w:themeColor="text1"/>
                <w:sz w:val="18"/>
                <w:szCs w:val="18"/>
                <w:lang w:eastAsia="sl-SI"/>
              </w:rPr>
              <w:t xml:space="preserve"> </w:t>
            </w:r>
            <w:r w:rsidRPr="000A0948">
              <w:rPr>
                <w:rFonts w:ascii="Arial" w:eastAsia="Times New Roman" w:hAnsi="Arial" w:cs="Arial"/>
                <w:color w:val="000000" w:themeColor="text1"/>
                <w:sz w:val="18"/>
                <w:szCs w:val="18"/>
                <w:lang w:eastAsia="sl-SI"/>
              </w:rPr>
              <w:t>%</w:t>
            </w:r>
          </w:p>
        </w:tc>
        <w:tc>
          <w:tcPr>
            <w:tcW w:w="1537" w:type="dxa"/>
            <w:tcBorders>
              <w:top w:val="nil"/>
              <w:left w:val="nil"/>
              <w:bottom w:val="single" w:sz="4" w:space="0" w:color="auto"/>
              <w:right w:val="single" w:sz="4" w:space="0" w:color="auto"/>
            </w:tcBorders>
            <w:shd w:val="clear" w:color="auto" w:fill="auto"/>
            <w:vAlign w:val="center"/>
            <w:hideMark/>
          </w:tcPr>
          <w:p w14:paraId="4567C8A8" w14:textId="6FF5407B" w:rsidR="000A0948" w:rsidRPr="000A0948" w:rsidRDefault="000A0948" w:rsidP="000A0948">
            <w:pPr>
              <w:spacing w:after="0" w:line="240" w:lineRule="auto"/>
              <w:jc w:val="right"/>
              <w:rPr>
                <w:rFonts w:ascii="Arial" w:eastAsia="Times New Roman" w:hAnsi="Arial" w:cs="Arial"/>
                <w:color w:val="000000" w:themeColor="text1"/>
                <w:sz w:val="18"/>
                <w:szCs w:val="18"/>
                <w:lang w:eastAsia="sl-SI"/>
              </w:rPr>
            </w:pPr>
            <w:r w:rsidRPr="000A0948">
              <w:rPr>
                <w:rFonts w:ascii="Arial" w:eastAsia="Times New Roman" w:hAnsi="Arial" w:cs="Arial"/>
                <w:color w:val="000000" w:themeColor="text1"/>
                <w:sz w:val="18"/>
                <w:szCs w:val="18"/>
                <w:lang w:eastAsia="sl-SI"/>
              </w:rPr>
              <w:t>0,09</w:t>
            </w:r>
            <w:r>
              <w:rPr>
                <w:rFonts w:ascii="Arial" w:eastAsia="Times New Roman" w:hAnsi="Arial" w:cs="Arial"/>
                <w:color w:val="000000" w:themeColor="text1"/>
                <w:sz w:val="18"/>
                <w:szCs w:val="18"/>
                <w:lang w:eastAsia="sl-SI"/>
              </w:rPr>
              <w:t xml:space="preserve"> </w:t>
            </w:r>
            <w:r w:rsidRPr="000A0948">
              <w:rPr>
                <w:rFonts w:ascii="Arial" w:eastAsia="Times New Roman" w:hAnsi="Arial" w:cs="Arial"/>
                <w:color w:val="000000" w:themeColor="text1"/>
                <w:sz w:val="18"/>
                <w:szCs w:val="18"/>
                <w:lang w:eastAsia="sl-SI"/>
              </w:rPr>
              <w:t>%</w:t>
            </w:r>
          </w:p>
        </w:tc>
      </w:tr>
      <w:tr w:rsidR="000A0948" w:rsidRPr="000A0948" w14:paraId="17C1C47E" w14:textId="77777777" w:rsidTr="000A0948">
        <w:trPr>
          <w:trHeight w:val="255"/>
          <w:jc w:val="center"/>
        </w:trPr>
        <w:tc>
          <w:tcPr>
            <w:tcW w:w="988" w:type="dxa"/>
            <w:vMerge/>
            <w:tcBorders>
              <w:top w:val="nil"/>
              <w:left w:val="single" w:sz="4" w:space="0" w:color="auto"/>
              <w:bottom w:val="single" w:sz="4" w:space="0" w:color="auto"/>
              <w:right w:val="single" w:sz="4" w:space="0" w:color="auto"/>
            </w:tcBorders>
            <w:vAlign w:val="center"/>
            <w:hideMark/>
          </w:tcPr>
          <w:p w14:paraId="700BEA8D" w14:textId="77777777" w:rsidR="000A0948" w:rsidRPr="000A0948" w:rsidRDefault="000A0948" w:rsidP="000A0948">
            <w:pPr>
              <w:spacing w:after="0" w:line="240" w:lineRule="auto"/>
              <w:rPr>
                <w:rFonts w:ascii="Arial" w:eastAsia="Times New Roman" w:hAnsi="Arial" w:cs="Arial"/>
                <w:color w:val="000000"/>
                <w:sz w:val="18"/>
                <w:szCs w:val="18"/>
                <w:lang w:eastAsia="sl-SI"/>
              </w:rPr>
            </w:pPr>
          </w:p>
        </w:tc>
        <w:tc>
          <w:tcPr>
            <w:tcW w:w="1943" w:type="dxa"/>
            <w:tcBorders>
              <w:top w:val="nil"/>
              <w:left w:val="nil"/>
              <w:bottom w:val="single" w:sz="4" w:space="0" w:color="auto"/>
              <w:right w:val="single" w:sz="4" w:space="0" w:color="auto"/>
            </w:tcBorders>
            <w:shd w:val="clear" w:color="auto" w:fill="auto"/>
            <w:vAlign w:val="center"/>
            <w:hideMark/>
          </w:tcPr>
          <w:p w14:paraId="1432205B" w14:textId="77777777" w:rsidR="000A0948" w:rsidRPr="000A0948" w:rsidRDefault="000A0948" w:rsidP="000A0948">
            <w:pPr>
              <w:spacing w:after="0" w:line="240" w:lineRule="auto"/>
              <w:jc w:val="both"/>
              <w:rPr>
                <w:rFonts w:ascii="Arial" w:eastAsia="Times New Roman" w:hAnsi="Arial" w:cs="Arial"/>
                <w:b/>
                <w:bCs/>
                <w:color w:val="000000"/>
                <w:sz w:val="18"/>
                <w:szCs w:val="18"/>
                <w:lang w:eastAsia="sl-SI"/>
              </w:rPr>
            </w:pPr>
            <w:r w:rsidRPr="000A0948">
              <w:rPr>
                <w:rFonts w:ascii="Arial" w:eastAsia="Times New Roman" w:hAnsi="Arial" w:cs="Arial"/>
                <w:b/>
                <w:bCs/>
                <w:color w:val="000000"/>
                <w:sz w:val="18"/>
                <w:szCs w:val="18"/>
                <w:lang w:eastAsia="sl-SI"/>
              </w:rPr>
              <w:t>Skupaj</w:t>
            </w:r>
          </w:p>
        </w:tc>
        <w:tc>
          <w:tcPr>
            <w:tcW w:w="960" w:type="dxa"/>
            <w:tcBorders>
              <w:top w:val="nil"/>
              <w:left w:val="nil"/>
              <w:bottom w:val="single" w:sz="4" w:space="0" w:color="auto"/>
              <w:right w:val="single" w:sz="4" w:space="0" w:color="auto"/>
            </w:tcBorders>
            <w:shd w:val="clear" w:color="auto" w:fill="auto"/>
            <w:vAlign w:val="center"/>
            <w:hideMark/>
          </w:tcPr>
          <w:p w14:paraId="621003B8" w14:textId="46E38766" w:rsidR="000A0948" w:rsidRPr="000A0948" w:rsidRDefault="000A0948" w:rsidP="000A0948">
            <w:pPr>
              <w:spacing w:after="0" w:line="240" w:lineRule="auto"/>
              <w:jc w:val="right"/>
              <w:rPr>
                <w:rFonts w:ascii="Arial" w:eastAsia="Times New Roman" w:hAnsi="Arial" w:cs="Arial"/>
                <w:b/>
                <w:bCs/>
                <w:color w:val="000000" w:themeColor="text1"/>
                <w:sz w:val="18"/>
                <w:szCs w:val="18"/>
                <w:lang w:eastAsia="sl-SI"/>
              </w:rPr>
            </w:pPr>
            <w:r w:rsidRPr="000A0948">
              <w:rPr>
                <w:rFonts w:ascii="Arial" w:eastAsia="Times New Roman" w:hAnsi="Arial" w:cs="Arial"/>
                <w:b/>
                <w:bCs/>
                <w:color w:val="000000" w:themeColor="text1"/>
                <w:sz w:val="18"/>
                <w:szCs w:val="18"/>
                <w:lang w:eastAsia="sl-SI"/>
              </w:rPr>
              <w:t>1.755</w:t>
            </w:r>
          </w:p>
        </w:tc>
        <w:tc>
          <w:tcPr>
            <w:tcW w:w="1497" w:type="dxa"/>
            <w:tcBorders>
              <w:top w:val="nil"/>
              <w:left w:val="nil"/>
              <w:bottom w:val="single" w:sz="4" w:space="0" w:color="auto"/>
              <w:right w:val="single" w:sz="4" w:space="0" w:color="auto"/>
            </w:tcBorders>
            <w:shd w:val="clear" w:color="auto" w:fill="auto"/>
            <w:vAlign w:val="center"/>
            <w:hideMark/>
          </w:tcPr>
          <w:p w14:paraId="1B6BA0AF" w14:textId="7F58C9A0" w:rsidR="000A0948" w:rsidRPr="000A0948" w:rsidRDefault="000A0948" w:rsidP="000A0948">
            <w:pPr>
              <w:spacing w:after="0" w:line="240" w:lineRule="auto"/>
              <w:jc w:val="right"/>
              <w:rPr>
                <w:rFonts w:ascii="Arial" w:eastAsia="Times New Roman" w:hAnsi="Arial" w:cs="Arial"/>
                <w:b/>
                <w:bCs/>
                <w:color w:val="000000" w:themeColor="text1"/>
                <w:sz w:val="18"/>
                <w:szCs w:val="18"/>
                <w:lang w:eastAsia="sl-SI"/>
              </w:rPr>
            </w:pPr>
            <w:r w:rsidRPr="000A0948">
              <w:rPr>
                <w:rFonts w:ascii="Arial" w:eastAsia="Times New Roman" w:hAnsi="Arial" w:cs="Arial"/>
                <w:b/>
                <w:bCs/>
                <w:color w:val="000000" w:themeColor="text1"/>
                <w:sz w:val="18"/>
                <w:szCs w:val="18"/>
                <w:lang w:eastAsia="sl-SI"/>
              </w:rPr>
              <w:t>1.861.567.195</w:t>
            </w:r>
          </w:p>
        </w:tc>
        <w:tc>
          <w:tcPr>
            <w:tcW w:w="1723" w:type="dxa"/>
            <w:tcBorders>
              <w:top w:val="nil"/>
              <w:left w:val="nil"/>
              <w:bottom w:val="single" w:sz="4" w:space="0" w:color="auto"/>
              <w:right w:val="single" w:sz="4" w:space="0" w:color="auto"/>
            </w:tcBorders>
            <w:shd w:val="clear" w:color="auto" w:fill="auto"/>
            <w:vAlign w:val="center"/>
            <w:hideMark/>
          </w:tcPr>
          <w:p w14:paraId="0B001033" w14:textId="0B308EA5" w:rsidR="000A0948" w:rsidRPr="000A0948" w:rsidRDefault="000A0948" w:rsidP="000A0948">
            <w:pPr>
              <w:spacing w:after="0" w:line="240" w:lineRule="auto"/>
              <w:jc w:val="right"/>
              <w:rPr>
                <w:rFonts w:ascii="Arial" w:eastAsia="Times New Roman" w:hAnsi="Arial" w:cs="Arial"/>
                <w:b/>
                <w:bCs/>
                <w:color w:val="000000" w:themeColor="text1"/>
                <w:sz w:val="18"/>
                <w:szCs w:val="18"/>
                <w:lang w:eastAsia="sl-SI"/>
              </w:rPr>
            </w:pPr>
            <w:r w:rsidRPr="000A0948">
              <w:rPr>
                <w:rFonts w:ascii="Arial" w:eastAsia="Times New Roman" w:hAnsi="Arial" w:cs="Arial"/>
                <w:b/>
                <w:bCs/>
                <w:color w:val="000000" w:themeColor="text1"/>
                <w:sz w:val="18"/>
                <w:szCs w:val="18"/>
                <w:lang w:eastAsia="sl-SI"/>
              </w:rPr>
              <w:t>100,00</w:t>
            </w:r>
            <w:r>
              <w:rPr>
                <w:rFonts w:ascii="Arial" w:eastAsia="Times New Roman" w:hAnsi="Arial" w:cs="Arial"/>
                <w:b/>
                <w:bCs/>
                <w:color w:val="000000" w:themeColor="text1"/>
                <w:sz w:val="18"/>
                <w:szCs w:val="18"/>
                <w:lang w:eastAsia="sl-SI"/>
              </w:rPr>
              <w:t xml:space="preserve"> </w:t>
            </w:r>
            <w:r w:rsidRPr="000A0948">
              <w:rPr>
                <w:rFonts w:ascii="Arial" w:eastAsia="Times New Roman" w:hAnsi="Arial" w:cs="Arial"/>
                <w:b/>
                <w:bCs/>
                <w:color w:val="000000" w:themeColor="text1"/>
                <w:sz w:val="18"/>
                <w:szCs w:val="18"/>
                <w:lang w:eastAsia="sl-SI"/>
              </w:rPr>
              <w:t>%</w:t>
            </w:r>
          </w:p>
        </w:tc>
        <w:tc>
          <w:tcPr>
            <w:tcW w:w="1537" w:type="dxa"/>
            <w:tcBorders>
              <w:top w:val="nil"/>
              <w:left w:val="nil"/>
              <w:bottom w:val="single" w:sz="4" w:space="0" w:color="auto"/>
              <w:right w:val="single" w:sz="4" w:space="0" w:color="auto"/>
            </w:tcBorders>
            <w:shd w:val="clear" w:color="auto" w:fill="auto"/>
            <w:vAlign w:val="center"/>
            <w:hideMark/>
          </w:tcPr>
          <w:p w14:paraId="1C7A37F7" w14:textId="2EB7AB97" w:rsidR="000A0948" w:rsidRPr="000A0948" w:rsidRDefault="000A0948" w:rsidP="000A0948">
            <w:pPr>
              <w:spacing w:after="0" w:line="240" w:lineRule="auto"/>
              <w:jc w:val="right"/>
              <w:rPr>
                <w:rFonts w:ascii="Arial" w:eastAsia="Times New Roman" w:hAnsi="Arial" w:cs="Arial"/>
                <w:b/>
                <w:bCs/>
                <w:color w:val="000000" w:themeColor="text1"/>
                <w:sz w:val="18"/>
                <w:szCs w:val="18"/>
                <w:lang w:eastAsia="sl-SI"/>
              </w:rPr>
            </w:pPr>
            <w:r w:rsidRPr="000A0948">
              <w:rPr>
                <w:rFonts w:ascii="Arial" w:eastAsia="Times New Roman" w:hAnsi="Arial" w:cs="Arial"/>
                <w:b/>
                <w:bCs/>
                <w:color w:val="000000" w:themeColor="text1"/>
                <w:sz w:val="18"/>
                <w:szCs w:val="18"/>
                <w:lang w:eastAsia="sl-SI"/>
              </w:rPr>
              <w:t>100,00</w:t>
            </w:r>
            <w:r>
              <w:rPr>
                <w:rFonts w:ascii="Arial" w:eastAsia="Times New Roman" w:hAnsi="Arial" w:cs="Arial"/>
                <w:b/>
                <w:bCs/>
                <w:color w:val="000000" w:themeColor="text1"/>
                <w:sz w:val="18"/>
                <w:szCs w:val="18"/>
                <w:lang w:eastAsia="sl-SI"/>
              </w:rPr>
              <w:t xml:space="preserve"> </w:t>
            </w:r>
            <w:r w:rsidRPr="000A0948">
              <w:rPr>
                <w:rFonts w:ascii="Arial" w:eastAsia="Times New Roman" w:hAnsi="Arial" w:cs="Arial"/>
                <w:b/>
                <w:bCs/>
                <w:color w:val="000000" w:themeColor="text1"/>
                <w:sz w:val="18"/>
                <w:szCs w:val="18"/>
                <w:lang w:eastAsia="sl-SI"/>
              </w:rPr>
              <w:t>%</w:t>
            </w:r>
          </w:p>
        </w:tc>
      </w:tr>
      <w:tr w:rsidR="000A0948" w:rsidRPr="000A0948" w14:paraId="1E9A44E0" w14:textId="77777777" w:rsidTr="000A0948">
        <w:trPr>
          <w:gridAfter w:val="2"/>
          <w:wAfter w:w="3260" w:type="dxa"/>
          <w:trHeight w:val="255"/>
          <w:jc w:val="center"/>
        </w:trPr>
        <w:tc>
          <w:tcPr>
            <w:tcW w:w="293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9BCD5E" w14:textId="77777777" w:rsidR="000A0948" w:rsidRPr="000A0948" w:rsidRDefault="000A0948" w:rsidP="000A0948">
            <w:pPr>
              <w:spacing w:after="0" w:line="240" w:lineRule="auto"/>
              <w:rPr>
                <w:rFonts w:ascii="Arial" w:eastAsia="Times New Roman" w:hAnsi="Arial" w:cs="Arial"/>
                <w:b/>
                <w:bCs/>
                <w:color w:val="000000"/>
                <w:sz w:val="18"/>
                <w:szCs w:val="18"/>
                <w:lang w:eastAsia="sl-SI"/>
              </w:rPr>
            </w:pPr>
            <w:r w:rsidRPr="000A0948">
              <w:rPr>
                <w:rFonts w:ascii="Arial" w:eastAsia="Times New Roman" w:hAnsi="Arial" w:cs="Arial"/>
                <w:b/>
                <w:bCs/>
                <w:color w:val="000000"/>
                <w:sz w:val="18"/>
                <w:szCs w:val="18"/>
                <w:lang w:eastAsia="sl-SI"/>
              </w:rPr>
              <w:t>Skupaj</w:t>
            </w:r>
          </w:p>
        </w:tc>
        <w:tc>
          <w:tcPr>
            <w:tcW w:w="960" w:type="dxa"/>
            <w:tcBorders>
              <w:top w:val="nil"/>
              <w:left w:val="nil"/>
              <w:bottom w:val="single" w:sz="4" w:space="0" w:color="auto"/>
              <w:right w:val="single" w:sz="4" w:space="0" w:color="auto"/>
            </w:tcBorders>
            <w:shd w:val="clear" w:color="auto" w:fill="F2F2F2" w:themeFill="background1" w:themeFillShade="F2"/>
            <w:vAlign w:val="center"/>
            <w:hideMark/>
          </w:tcPr>
          <w:p w14:paraId="172286D0" w14:textId="708B4B41" w:rsidR="000A0948" w:rsidRPr="000A0948" w:rsidRDefault="000A0948" w:rsidP="000A0948">
            <w:pPr>
              <w:spacing w:after="0" w:line="240" w:lineRule="auto"/>
              <w:jc w:val="right"/>
              <w:rPr>
                <w:rFonts w:ascii="Arial" w:eastAsia="Times New Roman" w:hAnsi="Arial" w:cs="Arial"/>
                <w:b/>
                <w:bCs/>
                <w:color w:val="000000" w:themeColor="text1"/>
                <w:sz w:val="18"/>
                <w:szCs w:val="18"/>
                <w:lang w:eastAsia="sl-SI"/>
              </w:rPr>
            </w:pPr>
            <w:r w:rsidRPr="000A0948">
              <w:rPr>
                <w:rFonts w:ascii="Arial" w:eastAsia="Times New Roman" w:hAnsi="Arial" w:cs="Arial"/>
                <w:b/>
                <w:bCs/>
                <w:color w:val="000000" w:themeColor="text1"/>
                <w:sz w:val="18"/>
                <w:szCs w:val="18"/>
                <w:lang w:eastAsia="sl-SI"/>
              </w:rPr>
              <w:t>17.224</w:t>
            </w:r>
          </w:p>
        </w:tc>
        <w:tc>
          <w:tcPr>
            <w:tcW w:w="1497" w:type="dxa"/>
            <w:tcBorders>
              <w:top w:val="nil"/>
              <w:left w:val="nil"/>
              <w:bottom w:val="single" w:sz="4" w:space="0" w:color="auto"/>
              <w:right w:val="single" w:sz="4" w:space="0" w:color="auto"/>
            </w:tcBorders>
            <w:shd w:val="clear" w:color="auto" w:fill="F2F2F2" w:themeFill="background1" w:themeFillShade="F2"/>
            <w:vAlign w:val="center"/>
            <w:hideMark/>
          </w:tcPr>
          <w:p w14:paraId="229A9030" w14:textId="7B61EDDC" w:rsidR="000A0948" w:rsidRPr="000A0948" w:rsidRDefault="000A0948" w:rsidP="000A0948">
            <w:pPr>
              <w:spacing w:after="0" w:line="240" w:lineRule="auto"/>
              <w:jc w:val="right"/>
              <w:rPr>
                <w:rFonts w:ascii="Arial" w:eastAsia="Times New Roman" w:hAnsi="Arial" w:cs="Arial"/>
                <w:b/>
                <w:bCs/>
                <w:color w:val="000000" w:themeColor="text1"/>
                <w:sz w:val="18"/>
                <w:szCs w:val="18"/>
                <w:lang w:eastAsia="sl-SI"/>
              </w:rPr>
            </w:pPr>
            <w:r w:rsidRPr="000A0948">
              <w:rPr>
                <w:rFonts w:ascii="Arial" w:eastAsia="Times New Roman" w:hAnsi="Arial" w:cs="Arial"/>
                <w:b/>
                <w:bCs/>
                <w:color w:val="000000" w:themeColor="text1"/>
                <w:sz w:val="18"/>
                <w:szCs w:val="18"/>
                <w:lang w:eastAsia="sl-SI"/>
              </w:rPr>
              <w:t>5.417.105.902</w:t>
            </w:r>
          </w:p>
        </w:tc>
      </w:tr>
    </w:tbl>
    <w:p w14:paraId="07386A36" w14:textId="77777777" w:rsidR="00E02634" w:rsidRPr="000A0948" w:rsidRDefault="00E02634" w:rsidP="00E02634">
      <w:pPr>
        <w:spacing w:after="0" w:line="240" w:lineRule="auto"/>
        <w:jc w:val="center"/>
        <w:rPr>
          <w:rFonts w:ascii="Arial" w:hAnsi="Arial" w:cs="Arial"/>
          <w:sz w:val="18"/>
        </w:rPr>
      </w:pPr>
    </w:p>
    <w:p w14:paraId="3C8B949A" w14:textId="4EE96D9D" w:rsidR="008F7759" w:rsidRPr="00C11849" w:rsidRDefault="008F7759" w:rsidP="00701C10">
      <w:pPr>
        <w:spacing w:after="240" w:line="240" w:lineRule="auto"/>
        <w:jc w:val="center"/>
        <w:rPr>
          <w:rFonts w:ascii="Arial" w:hAnsi="Arial" w:cs="Arial"/>
          <w:sz w:val="18"/>
        </w:rPr>
      </w:pPr>
      <w:r w:rsidRPr="00C11849">
        <w:rPr>
          <w:rFonts w:ascii="Arial" w:hAnsi="Arial" w:cs="Arial"/>
          <w:sz w:val="18"/>
        </w:rPr>
        <w:t>Vir: Statistični podatki o javni</w:t>
      </w:r>
      <w:r w:rsidR="007E6D2B" w:rsidRPr="00C11849">
        <w:rPr>
          <w:rFonts w:ascii="Arial" w:hAnsi="Arial" w:cs="Arial"/>
          <w:sz w:val="18"/>
        </w:rPr>
        <w:t>h naročilih, oddanih v letu 20</w:t>
      </w:r>
      <w:r w:rsidR="00E02634" w:rsidRPr="00C11849">
        <w:rPr>
          <w:rFonts w:ascii="Arial" w:hAnsi="Arial" w:cs="Arial"/>
          <w:sz w:val="18"/>
        </w:rPr>
        <w:t>2</w:t>
      </w:r>
      <w:r w:rsidR="000A0948" w:rsidRPr="00C11849">
        <w:rPr>
          <w:rFonts w:ascii="Arial" w:hAnsi="Arial" w:cs="Arial"/>
          <w:sz w:val="18"/>
        </w:rPr>
        <w:t>2</w:t>
      </w:r>
      <w:r w:rsidR="00E9321E" w:rsidRPr="00C11849">
        <w:rPr>
          <w:rFonts w:ascii="Arial" w:hAnsi="Arial" w:cs="Arial"/>
          <w:sz w:val="18"/>
        </w:rPr>
        <w:t>.</w:t>
      </w:r>
    </w:p>
    <w:p w14:paraId="2EB1A85A" w14:textId="47A49EBE" w:rsidR="00D56BC9" w:rsidRPr="00C11849" w:rsidRDefault="00CD4647" w:rsidP="009865C3">
      <w:pPr>
        <w:spacing w:line="360" w:lineRule="auto"/>
        <w:jc w:val="both"/>
        <w:rPr>
          <w:rFonts w:ascii="Arial" w:hAnsi="Arial" w:cs="Arial"/>
          <w:bCs/>
          <w:sz w:val="20"/>
          <w:szCs w:val="20"/>
          <w:lang w:eastAsia="sl-SI"/>
        </w:rPr>
      </w:pPr>
      <w:r w:rsidRPr="00C11849">
        <w:rPr>
          <w:rFonts w:ascii="Arial" w:hAnsi="Arial" w:cs="Arial"/>
          <w:sz w:val="20"/>
          <w:szCs w:val="20"/>
        </w:rPr>
        <w:t>Leta</w:t>
      </w:r>
      <w:r w:rsidR="00170C9C" w:rsidRPr="00C11849">
        <w:rPr>
          <w:rFonts w:ascii="Arial" w:hAnsi="Arial" w:cs="Arial"/>
          <w:sz w:val="20"/>
          <w:szCs w:val="20"/>
        </w:rPr>
        <w:t xml:space="preserve"> 20</w:t>
      </w:r>
      <w:r w:rsidR="006A508B" w:rsidRPr="00C11849">
        <w:rPr>
          <w:rFonts w:ascii="Arial" w:hAnsi="Arial" w:cs="Arial"/>
          <w:sz w:val="20"/>
          <w:szCs w:val="20"/>
        </w:rPr>
        <w:t>2</w:t>
      </w:r>
      <w:r w:rsidR="00C11849" w:rsidRPr="00C11849">
        <w:rPr>
          <w:rFonts w:ascii="Arial" w:hAnsi="Arial" w:cs="Arial"/>
          <w:sz w:val="20"/>
          <w:szCs w:val="20"/>
        </w:rPr>
        <w:t>2</w:t>
      </w:r>
      <w:r w:rsidR="00170C9C" w:rsidRPr="00C11849">
        <w:rPr>
          <w:rFonts w:ascii="Arial" w:hAnsi="Arial" w:cs="Arial"/>
          <w:sz w:val="20"/>
          <w:szCs w:val="20"/>
        </w:rPr>
        <w:t xml:space="preserve"> je bilo slovenskim ponudnikom oddanih </w:t>
      </w:r>
      <w:r w:rsidR="000251EB" w:rsidRPr="00C11849">
        <w:rPr>
          <w:rFonts w:ascii="Arial" w:hAnsi="Arial" w:cs="Arial"/>
          <w:sz w:val="20"/>
          <w:szCs w:val="20"/>
        </w:rPr>
        <w:t>1</w:t>
      </w:r>
      <w:r w:rsidR="00C11849" w:rsidRPr="00C11849">
        <w:rPr>
          <w:rFonts w:ascii="Arial" w:hAnsi="Arial" w:cs="Arial"/>
          <w:sz w:val="20"/>
          <w:szCs w:val="20"/>
        </w:rPr>
        <w:t>6.780</w:t>
      </w:r>
      <w:r w:rsidR="000251EB" w:rsidRPr="00C11849">
        <w:rPr>
          <w:rFonts w:ascii="Arial" w:hAnsi="Arial" w:cs="Arial"/>
          <w:sz w:val="20"/>
          <w:szCs w:val="20"/>
        </w:rPr>
        <w:t xml:space="preserve"> </w:t>
      </w:r>
      <w:r w:rsidR="00170C9C" w:rsidRPr="00C11849">
        <w:rPr>
          <w:rFonts w:ascii="Arial" w:hAnsi="Arial" w:cs="Arial"/>
          <w:sz w:val="20"/>
          <w:szCs w:val="20"/>
        </w:rPr>
        <w:t xml:space="preserve">javnih naročil, ki jih je treba objaviti na portalu javnih naročil oziroma v Uradnem listu Evropske unije, in sicer v skupni vrednosti </w:t>
      </w:r>
      <w:r w:rsidR="00C11849" w:rsidRPr="00C11849">
        <w:rPr>
          <w:rFonts w:ascii="Arial" w:hAnsi="Arial" w:cs="Arial"/>
          <w:sz w:val="20"/>
          <w:szCs w:val="20"/>
        </w:rPr>
        <w:t xml:space="preserve">5.218.980.380 </w:t>
      </w:r>
      <w:r w:rsidR="00170C9C" w:rsidRPr="00C11849">
        <w:rPr>
          <w:rFonts w:ascii="Arial" w:hAnsi="Arial" w:cs="Arial"/>
          <w:sz w:val="20"/>
          <w:szCs w:val="20"/>
        </w:rPr>
        <w:t>evrov, kar je 97,</w:t>
      </w:r>
      <w:r w:rsidR="00C11849" w:rsidRPr="00C11849">
        <w:rPr>
          <w:rFonts w:ascii="Arial" w:hAnsi="Arial" w:cs="Arial"/>
          <w:sz w:val="20"/>
          <w:szCs w:val="20"/>
        </w:rPr>
        <w:t>42</w:t>
      </w:r>
      <w:r w:rsidR="00E9321E" w:rsidRPr="00C11849">
        <w:rPr>
          <w:rFonts w:ascii="Arial" w:hAnsi="Arial" w:cs="Arial"/>
          <w:sz w:val="20"/>
          <w:szCs w:val="20"/>
        </w:rPr>
        <w:t> </w:t>
      </w:r>
      <w:r w:rsidR="00AC0027">
        <w:rPr>
          <w:rFonts w:ascii="Arial" w:hAnsi="Arial" w:cs="Arial"/>
          <w:sz w:val="20"/>
          <w:szCs w:val="20"/>
        </w:rPr>
        <w:t>odstotka</w:t>
      </w:r>
      <w:r w:rsidR="00170C9C" w:rsidRPr="00C11849">
        <w:rPr>
          <w:rFonts w:ascii="Arial" w:hAnsi="Arial" w:cs="Arial"/>
          <w:sz w:val="20"/>
          <w:szCs w:val="20"/>
        </w:rPr>
        <w:t xml:space="preserve"> vseh naročil, ki jih je treba objaviti, in </w:t>
      </w:r>
      <w:r w:rsidR="000251EB" w:rsidRPr="00C11849">
        <w:rPr>
          <w:rFonts w:ascii="Arial" w:hAnsi="Arial" w:cs="Arial"/>
          <w:sz w:val="20"/>
          <w:szCs w:val="20"/>
        </w:rPr>
        <w:t>9</w:t>
      </w:r>
      <w:r w:rsidR="00C11849" w:rsidRPr="00C11849">
        <w:rPr>
          <w:rFonts w:ascii="Arial" w:hAnsi="Arial" w:cs="Arial"/>
          <w:sz w:val="20"/>
          <w:szCs w:val="20"/>
        </w:rPr>
        <w:t>6,34</w:t>
      </w:r>
      <w:r w:rsidR="00E9321E" w:rsidRPr="00C11849">
        <w:rPr>
          <w:rFonts w:ascii="Arial" w:hAnsi="Arial" w:cs="Arial"/>
          <w:sz w:val="20"/>
          <w:szCs w:val="20"/>
        </w:rPr>
        <w:t> </w:t>
      </w:r>
      <w:r w:rsidR="00AC0027">
        <w:rPr>
          <w:rFonts w:ascii="Arial" w:hAnsi="Arial" w:cs="Arial"/>
          <w:sz w:val="20"/>
          <w:szCs w:val="20"/>
        </w:rPr>
        <w:t>odstotka</w:t>
      </w:r>
      <w:r w:rsidR="00170C9C" w:rsidRPr="00C11849">
        <w:rPr>
          <w:rFonts w:ascii="Arial" w:hAnsi="Arial" w:cs="Arial"/>
          <w:sz w:val="20"/>
          <w:szCs w:val="20"/>
        </w:rPr>
        <w:t xml:space="preserve"> vrednosti teh naročil. Ponudniki iz drugih držav so pridobili </w:t>
      </w:r>
      <w:r w:rsidR="006A508B" w:rsidRPr="00C11849">
        <w:rPr>
          <w:rFonts w:ascii="Arial" w:hAnsi="Arial" w:cs="Arial"/>
          <w:sz w:val="20"/>
          <w:szCs w:val="20"/>
        </w:rPr>
        <w:t>4</w:t>
      </w:r>
      <w:r w:rsidR="00C11849" w:rsidRPr="00C11849">
        <w:rPr>
          <w:rFonts w:ascii="Arial" w:hAnsi="Arial" w:cs="Arial"/>
          <w:sz w:val="20"/>
          <w:szCs w:val="20"/>
        </w:rPr>
        <w:t>44</w:t>
      </w:r>
      <w:r w:rsidR="00170C9C" w:rsidRPr="00C11849">
        <w:rPr>
          <w:rFonts w:ascii="Arial" w:hAnsi="Arial" w:cs="Arial"/>
          <w:sz w:val="20"/>
          <w:szCs w:val="20"/>
        </w:rPr>
        <w:t xml:space="preserve"> javnih naročil v vrednosti </w:t>
      </w:r>
      <w:r w:rsidR="00C11849" w:rsidRPr="00C11849">
        <w:rPr>
          <w:rFonts w:ascii="Arial" w:hAnsi="Arial" w:cs="Arial"/>
          <w:sz w:val="20"/>
          <w:szCs w:val="20"/>
        </w:rPr>
        <w:t xml:space="preserve">198.125.522 </w:t>
      </w:r>
      <w:r w:rsidR="00E9321E" w:rsidRPr="00C11849">
        <w:rPr>
          <w:rFonts w:ascii="Arial" w:hAnsi="Arial" w:cs="Arial"/>
          <w:sz w:val="20"/>
          <w:szCs w:val="20"/>
        </w:rPr>
        <w:t>evrov</w:t>
      </w:r>
      <w:r w:rsidR="00170C9C" w:rsidRPr="00C11849">
        <w:rPr>
          <w:rFonts w:ascii="Arial" w:hAnsi="Arial" w:cs="Arial"/>
          <w:sz w:val="20"/>
          <w:szCs w:val="20"/>
        </w:rPr>
        <w:t>, kar je po številu 2,</w:t>
      </w:r>
      <w:r w:rsidR="00C11849" w:rsidRPr="00C11849">
        <w:rPr>
          <w:rFonts w:ascii="Arial" w:hAnsi="Arial" w:cs="Arial"/>
          <w:sz w:val="20"/>
          <w:szCs w:val="20"/>
        </w:rPr>
        <w:t>58</w:t>
      </w:r>
      <w:r w:rsidR="00E9321E" w:rsidRPr="00C11849">
        <w:rPr>
          <w:rFonts w:ascii="Arial" w:hAnsi="Arial" w:cs="Arial"/>
          <w:sz w:val="20"/>
          <w:szCs w:val="20"/>
        </w:rPr>
        <w:t> </w:t>
      </w:r>
      <w:r w:rsidR="00AC0027">
        <w:rPr>
          <w:rFonts w:ascii="Arial" w:hAnsi="Arial" w:cs="Arial"/>
          <w:sz w:val="20"/>
          <w:szCs w:val="20"/>
        </w:rPr>
        <w:t>odstotka</w:t>
      </w:r>
      <w:r w:rsidR="00170C9C" w:rsidRPr="00C11849">
        <w:rPr>
          <w:rFonts w:ascii="Arial" w:hAnsi="Arial" w:cs="Arial"/>
          <w:sz w:val="20"/>
          <w:szCs w:val="20"/>
        </w:rPr>
        <w:t xml:space="preserve"> naročil, ki jih je treba objaviti, po vrednosti pa </w:t>
      </w:r>
      <w:r w:rsidR="00C11849" w:rsidRPr="00C11849">
        <w:rPr>
          <w:rFonts w:ascii="Arial" w:hAnsi="Arial" w:cs="Arial"/>
          <w:sz w:val="20"/>
          <w:szCs w:val="20"/>
        </w:rPr>
        <w:t>3,66</w:t>
      </w:r>
      <w:r w:rsidR="00E9321E" w:rsidRPr="00C11849">
        <w:rPr>
          <w:rFonts w:ascii="Arial" w:hAnsi="Arial" w:cs="Arial"/>
          <w:sz w:val="20"/>
          <w:szCs w:val="20"/>
        </w:rPr>
        <w:t> </w:t>
      </w:r>
      <w:r w:rsidR="00AC0027">
        <w:rPr>
          <w:rFonts w:ascii="Arial" w:hAnsi="Arial" w:cs="Arial"/>
          <w:sz w:val="20"/>
          <w:szCs w:val="20"/>
        </w:rPr>
        <w:t>odstotka</w:t>
      </w:r>
      <w:r w:rsidR="00170C9C" w:rsidRPr="00C11849">
        <w:rPr>
          <w:rFonts w:ascii="Arial" w:hAnsi="Arial" w:cs="Arial"/>
          <w:sz w:val="20"/>
          <w:szCs w:val="20"/>
        </w:rPr>
        <w:t xml:space="preserve"> teh naročil</w:t>
      </w:r>
      <w:r w:rsidR="00170C9C" w:rsidRPr="00C11849">
        <w:rPr>
          <w:rFonts w:ascii="Arial" w:hAnsi="Arial" w:cs="Arial"/>
          <w:bCs/>
          <w:sz w:val="20"/>
          <w:szCs w:val="20"/>
          <w:lang w:eastAsia="sl-SI"/>
        </w:rPr>
        <w:t>.</w:t>
      </w:r>
    </w:p>
    <w:p w14:paraId="4337F8AD" w14:textId="286F77DF" w:rsidR="009865C3" w:rsidRPr="00784851" w:rsidRDefault="00DD2501" w:rsidP="009865C3">
      <w:pPr>
        <w:spacing w:line="360" w:lineRule="auto"/>
        <w:jc w:val="both"/>
        <w:rPr>
          <w:rFonts w:ascii="Arial" w:hAnsi="Arial" w:cs="Arial"/>
          <w:sz w:val="20"/>
          <w:szCs w:val="20"/>
          <w:lang w:eastAsia="sl-SI"/>
        </w:rPr>
      </w:pPr>
      <w:r w:rsidRPr="00784851">
        <w:rPr>
          <w:rFonts w:ascii="Arial" w:hAnsi="Arial" w:cs="Arial"/>
          <w:sz w:val="20"/>
          <w:szCs w:val="20"/>
          <w:lang w:eastAsia="sl-SI"/>
        </w:rPr>
        <w:t>Največja razlika v d</w:t>
      </w:r>
      <w:r w:rsidR="00D346AF" w:rsidRPr="00784851">
        <w:rPr>
          <w:rFonts w:ascii="Arial" w:hAnsi="Arial" w:cs="Arial"/>
          <w:sz w:val="20"/>
          <w:szCs w:val="20"/>
          <w:lang w:eastAsia="sl-SI"/>
        </w:rPr>
        <w:t>elež</w:t>
      </w:r>
      <w:r w:rsidRPr="00784851">
        <w:rPr>
          <w:rFonts w:ascii="Arial" w:hAnsi="Arial" w:cs="Arial"/>
          <w:sz w:val="20"/>
          <w:szCs w:val="20"/>
          <w:lang w:eastAsia="sl-SI"/>
        </w:rPr>
        <w:t>u</w:t>
      </w:r>
      <w:r w:rsidR="00D346AF" w:rsidRPr="00784851">
        <w:rPr>
          <w:rFonts w:ascii="Arial" w:hAnsi="Arial" w:cs="Arial"/>
          <w:sz w:val="20"/>
          <w:szCs w:val="20"/>
          <w:lang w:eastAsia="sl-SI"/>
        </w:rPr>
        <w:t xml:space="preserve"> tujih ponudnikov </w:t>
      </w:r>
      <w:r w:rsidR="00C82337" w:rsidRPr="00784851">
        <w:rPr>
          <w:rFonts w:ascii="Arial" w:hAnsi="Arial" w:cs="Arial"/>
          <w:sz w:val="20"/>
          <w:szCs w:val="20"/>
          <w:lang w:eastAsia="sl-SI"/>
        </w:rPr>
        <w:t>po</w:t>
      </w:r>
      <w:r w:rsidR="00D346AF" w:rsidRPr="00784851">
        <w:rPr>
          <w:rFonts w:ascii="Arial" w:hAnsi="Arial" w:cs="Arial"/>
          <w:sz w:val="20"/>
          <w:szCs w:val="20"/>
          <w:lang w:eastAsia="sl-SI"/>
        </w:rPr>
        <w:t xml:space="preserve"> številu oddanih </w:t>
      </w:r>
      <w:r w:rsidRPr="00784851">
        <w:rPr>
          <w:rFonts w:ascii="Arial" w:hAnsi="Arial" w:cs="Arial"/>
          <w:sz w:val="20"/>
          <w:szCs w:val="20"/>
          <w:lang w:eastAsia="sl-SI"/>
        </w:rPr>
        <w:t>javnih naročil</w:t>
      </w:r>
      <w:r w:rsidR="009865C3" w:rsidRPr="00784851">
        <w:rPr>
          <w:rFonts w:ascii="Arial" w:hAnsi="Arial" w:cs="Arial"/>
          <w:sz w:val="20"/>
          <w:szCs w:val="20"/>
          <w:lang w:eastAsia="sl-SI"/>
        </w:rPr>
        <w:t>,</w:t>
      </w:r>
      <w:r w:rsidR="00D346AF" w:rsidRPr="00784851">
        <w:rPr>
          <w:rFonts w:ascii="Arial" w:hAnsi="Arial" w:cs="Arial"/>
          <w:sz w:val="20"/>
          <w:szCs w:val="20"/>
          <w:lang w:eastAsia="sl-SI"/>
        </w:rPr>
        <w:t xml:space="preserve"> objavljenih na portalu javnih naročil in v </w:t>
      </w:r>
      <w:r w:rsidR="00D346AF" w:rsidRPr="00784851">
        <w:rPr>
          <w:rFonts w:ascii="Arial" w:hAnsi="Arial" w:cs="Arial"/>
          <w:bCs/>
          <w:sz w:val="20"/>
          <w:szCs w:val="20"/>
        </w:rPr>
        <w:t xml:space="preserve">Uradnem listu Evropske unije, glede na delež pri </w:t>
      </w:r>
      <w:r w:rsidRPr="00784851">
        <w:rPr>
          <w:rFonts w:ascii="Arial" w:hAnsi="Arial" w:cs="Arial"/>
          <w:bCs/>
          <w:sz w:val="20"/>
          <w:szCs w:val="20"/>
        </w:rPr>
        <w:t xml:space="preserve">javnih </w:t>
      </w:r>
      <w:r w:rsidR="00D346AF" w:rsidRPr="00784851">
        <w:rPr>
          <w:rFonts w:ascii="Arial" w:hAnsi="Arial" w:cs="Arial"/>
          <w:bCs/>
          <w:sz w:val="20"/>
          <w:szCs w:val="20"/>
        </w:rPr>
        <w:t xml:space="preserve">naročilih, objavljenih </w:t>
      </w:r>
      <w:r w:rsidR="00D346AF" w:rsidRPr="00784851">
        <w:rPr>
          <w:rFonts w:ascii="Arial" w:hAnsi="Arial" w:cs="Arial"/>
          <w:sz w:val="20"/>
          <w:szCs w:val="20"/>
          <w:lang w:eastAsia="sl-SI"/>
        </w:rPr>
        <w:t>samo na portalu javnih naročil</w:t>
      </w:r>
      <w:r w:rsidR="00AE3124" w:rsidRPr="00784851">
        <w:rPr>
          <w:rFonts w:ascii="Arial" w:hAnsi="Arial" w:cs="Arial"/>
          <w:sz w:val="20"/>
          <w:szCs w:val="20"/>
          <w:lang w:eastAsia="sl-SI"/>
        </w:rPr>
        <w:t>,</w:t>
      </w:r>
      <w:r w:rsidR="00A402D7" w:rsidRPr="00784851">
        <w:rPr>
          <w:rFonts w:ascii="Arial" w:hAnsi="Arial" w:cs="Arial"/>
          <w:sz w:val="20"/>
          <w:szCs w:val="20"/>
          <w:lang w:eastAsia="sl-SI"/>
        </w:rPr>
        <w:t xml:space="preserve"> je pri naročilih </w:t>
      </w:r>
      <w:r w:rsidR="002A51DA" w:rsidRPr="00784851">
        <w:rPr>
          <w:rFonts w:ascii="Arial" w:hAnsi="Arial" w:cs="Arial"/>
          <w:sz w:val="20"/>
          <w:szCs w:val="20"/>
          <w:lang w:eastAsia="sl-SI"/>
        </w:rPr>
        <w:t>blaga</w:t>
      </w:r>
      <w:r w:rsidRPr="00784851">
        <w:rPr>
          <w:rFonts w:ascii="Arial" w:hAnsi="Arial" w:cs="Arial"/>
          <w:sz w:val="20"/>
          <w:szCs w:val="20"/>
          <w:lang w:eastAsia="sl-SI"/>
        </w:rPr>
        <w:t>, in sicer</w:t>
      </w:r>
      <w:r w:rsidR="00D346AF" w:rsidRPr="00784851">
        <w:rPr>
          <w:rFonts w:ascii="Arial" w:hAnsi="Arial" w:cs="Arial"/>
          <w:sz w:val="20"/>
          <w:szCs w:val="20"/>
          <w:lang w:eastAsia="sl-SI"/>
        </w:rPr>
        <w:t xml:space="preserve"> </w:t>
      </w:r>
      <w:r w:rsidR="00C36A7E" w:rsidRPr="00784851">
        <w:rPr>
          <w:rFonts w:ascii="Arial" w:hAnsi="Arial" w:cs="Arial"/>
          <w:sz w:val="20"/>
          <w:szCs w:val="20"/>
          <w:lang w:eastAsia="sl-SI"/>
        </w:rPr>
        <w:t>1,</w:t>
      </w:r>
      <w:r w:rsidR="00784851" w:rsidRPr="00784851">
        <w:rPr>
          <w:rFonts w:ascii="Arial" w:hAnsi="Arial" w:cs="Arial"/>
          <w:sz w:val="20"/>
          <w:szCs w:val="20"/>
          <w:lang w:eastAsia="sl-SI"/>
        </w:rPr>
        <w:t>99</w:t>
      </w:r>
      <w:r w:rsidR="00D346AF" w:rsidRPr="00784851">
        <w:rPr>
          <w:rFonts w:ascii="Arial" w:hAnsi="Arial" w:cs="Arial"/>
          <w:sz w:val="20"/>
          <w:szCs w:val="20"/>
          <w:lang w:eastAsia="sl-SI"/>
        </w:rPr>
        <w:t xml:space="preserve"> odstotne točke. </w:t>
      </w:r>
      <w:r w:rsidR="00784851" w:rsidRPr="00784851">
        <w:rPr>
          <w:rFonts w:ascii="Arial" w:hAnsi="Arial" w:cs="Arial"/>
          <w:sz w:val="20"/>
          <w:szCs w:val="20"/>
          <w:lang w:eastAsia="sl-SI"/>
        </w:rPr>
        <w:t>Tudi r</w:t>
      </w:r>
      <w:r w:rsidR="009865C3" w:rsidRPr="00784851">
        <w:rPr>
          <w:rFonts w:ascii="Arial" w:hAnsi="Arial" w:cs="Arial"/>
          <w:sz w:val="20"/>
          <w:szCs w:val="20"/>
          <w:lang w:eastAsia="sl-SI"/>
        </w:rPr>
        <w:t xml:space="preserve">azlika v deležu vrednosti </w:t>
      </w:r>
      <w:r w:rsidR="00AE3124" w:rsidRPr="00784851">
        <w:rPr>
          <w:rFonts w:ascii="Arial" w:hAnsi="Arial" w:cs="Arial"/>
          <w:sz w:val="20"/>
          <w:szCs w:val="20"/>
          <w:lang w:eastAsia="sl-SI"/>
        </w:rPr>
        <w:t xml:space="preserve">je </w:t>
      </w:r>
      <w:r w:rsidR="009865C3" w:rsidRPr="00784851">
        <w:rPr>
          <w:rFonts w:ascii="Arial" w:hAnsi="Arial" w:cs="Arial"/>
          <w:sz w:val="20"/>
          <w:szCs w:val="20"/>
          <w:lang w:eastAsia="sl-SI"/>
        </w:rPr>
        <w:t>največja pri naročilih</w:t>
      </w:r>
      <w:r w:rsidR="00DF2EF4" w:rsidRPr="00784851">
        <w:rPr>
          <w:rFonts w:ascii="Arial" w:hAnsi="Arial" w:cs="Arial"/>
          <w:sz w:val="20"/>
          <w:szCs w:val="20"/>
          <w:lang w:eastAsia="sl-SI"/>
        </w:rPr>
        <w:t xml:space="preserve"> </w:t>
      </w:r>
      <w:r w:rsidR="00784851" w:rsidRPr="00784851">
        <w:rPr>
          <w:rFonts w:ascii="Arial" w:hAnsi="Arial" w:cs="Arial"/>
          <w:sz w:val="20"/>
          <w:szCs w:val="20"/>
          <w:lang w:eastAsia="sl-SI"/>
        </w:rPr>
        <w:t>blaga</w:t>
      </w:r>
      <w:r w:rsidR="009865C3" w:rsidRPr="00784851">
        <w:rPr>
          <w:rFonts w:ascii="Arial" w:hAnsi="Arial" w:cs="Arial"/>
          <w:sz w:val="20"/>
          <w:szCs w:val="20"/>
          <w:lang w:eastAsia="sl-SI"/>
        </w:rPr>
        <w:t xml:space="preserve">, kjer je delež pri številu naročil, oddanih tujim ponudnikom, </w:t>
      </w:r>
      <w:r w:rsidR="002E0EEE" w:rsidRPr="00784851">
        <w:rPr>
          <w:rFonts w:ascii="Arial" w:hAnsi="Arial" w:cs="Arial"/>
          <w:sz w:val="20"/>
          <w:szCs w:val="20"/>
          <w:lang w:eastAsia="sl-SI"/>
        </w:rPr>
        <w:t>večji</w:t>
      </w:r>
      <w:r w:rsidR="009865C3" w:rsidRPr="00784851">
        <w:rPr>
          <w:rFonts w:ascii="Arial" w:hAnsi="Arial" w:cs="Arial"/>
          <w:sz w:val="20"/>
          <w:szCs w:val="20"/>
          <w:lang w:eastAsia="sl-SI"/>
        </w:rPr>
        <w:t xml:space="preserve"> pri naročilih, objavljen</w:t>
      </w:r>
      <w:r w:rsidR="00DB6B1C" w:rsidRPr="00784851">
        <w:rPr>
          <w:rFonts w:ascii="Arial" w:hAnsi="Arial" w:cs="Arial"/>
          <w:sz w:val="20"/>
          <w:szCs w:val="20"/>
          <w:lang w:eastAsia="sl-SI"/>
        </w:rPr>
        <w:t>ih</w:t>
      </w:r>
      <w:r w:rsidR="00226AE1" w:rsidRPr="00784851">
        <w:rPr>
          <w:rFonts w:ascii="Arial" w:hAnsi="Arial" w:cs="Arial"/>
          <w:sz w:val="20"/>
          <w:szCs w:val="20"/>
          <w:lang w:eastAsia="sl-SI"/>
        </w:rPr>
        <w:t xml:space="preserve"> </w:t>
      </w:r>
      <w:r w:rsidR="00247F21">
        <w:rPr>
          <w:rFonts w:ascii="Arial" w:hAnsi="Arial" w:cs="Arial"/>
          <w:sz w:val="20"/>
          <w:szCs w:val="20"/>
          <w:lang w:eastAsia="sl-SI"/>
        </w:rPr>
        <w:t xml:space="preserve">samo </w:t>
      </w:r>
      <w:r w:rsidR="00226AE1" w:rsidRPr="00784851">
        <w:rPr>
          <w:rFonts w:ascii="Arial" w:hAnsi="Arial" w:cs="Arial"/>
          <w:sz w:val="20"/>
          <w:szCs w:val="20"/>
          <w:lang w:eastAsia="sl-SI"/>
        </w:rPr>
        <w:t>na portalu javnih naročil</w:t>
      </w:r>
      <w:r w:rsidR="00247F21">
        <w:rPr>
          <w:rFonts w:ascii="Arial" w:hAnsi="Arial" w:cs="Arial"/>
          <w:sz w:val="20"/>
          <w:szCs w:val="20"/>
          <w:lang w:eastAsia="sl-SI"/>
        </w:rPr>
        <w:t xml:space="preserve">, </w:t>
      </w:r>
      <w:r w:rsidR="009865C3" w:rsidRPr="00784851">
        <w:rPr>
          <w:rFonts w:ascii="Arial" w:hAnsi="Arial" w:cs="Arial"/>
          <w:sz w:val="20"/>
          <w:szCs w:val="20"/>
          <w:lang w:eastAsia="sl-SI"/>
        </w:rPr>
        <w:t xml:space="preserve">in sicer za </w:t>
      </w:r>
      <w:r w:rsidR="00784851" w:rsidRPr="00784851">
        <w:rPr>
          <w:rFonts w:ascii="Arial" w:hAnsi="Arial" w:cs="Arial"/>
          <w:sz w:val="20"/>
          <w:szCs w:val="20"/>
          <w:lang w:eastAsia="sl-SI"/>
        </w:rPr>
        <w:t>3,06</w:t>
      </w:r>
      <w:r w:rsidR="00E9321E" w:rsidRPr="00784851">
        <w:rPr>
          <w:rFonts w:ascii="Arial" w:hAnsi="Arial" w:cs="Arial"/>
          <w:sz w:val="20"/>
          <w:szCs w:val="20"/>
          <w:lang w:eastAsia="sl-SI"/>
        </w:rPr>
        <w:t> </w:t>
      </w:r>
      <w:r w:rsidR="009865C3" w:rsidRPr="00784851">
        <w:rPr>
          <w:rFonts w:ascii="Arial" w:hAnsi="Arial" w:cs="Arial"/>
          <w:sz w:val="20"/>
          <w:szCs w:val="20"/>
          <w:lang w:eastAsia="sl-SI"/>
        </w:rPr>
        <w:t>odstotne točke.</w:t>
      </w:r>
    </w:p>
    <w:p w14:paraId="013DBEA3" w14:textId="6599A546" w:rsidR="00856997" w:rsidRPr="00784851" w:rsidRDefault="00780489" w:rsidP="008A61FD">
      <w:pPr>
        <w:spacing w:before="120" w:after="120" w:line="240" w:lineRule="auto"/>
        <w:jc w:val="both"/>
        <w:rPr>
          <w:rFonts w:ascii="Arial" w:hAnsi="Arial" w:cs="Arial"/>
          <w:sz w:val="20"/>
        </w:rPr>
      </w:pPr>
      <w:r w:rsidRPr="00784851">
        <w:rPr>
          <w:rFonts w:ascii="Arial" w:hAnsi="Arial" w:cs="Arial"/>
          <w:sz w:val="20"/>
        </w:rPr>
        <w:t xml:space="preserve">Preglednica </w:t>
      </w:r>
      <w:r w:rsidR="00512F52" w:rsidRPr="00784851">
        <w:rPr>
          <w:rFonts w:ascii="Arial" w:hAnsi="Arial" w:cs="Arial"/>
          <w:sz w:val="20"/>
        </w:rPr>
        <w:t>3</w:t>
      </w:r>
      <w:r w:rsidR="00EA747F">
        <w:rPr>
          <w:rFonts w:ascii="Arial" w:hAnsi="Arial" w:cs="Arial"/>
          <w:sz w:val="20"/>
        </w:rPr>
        <w:t>5</w:t>
      </w:r>
      <w:r w:rsidRPr="00784851">
        <w:rPr>
          <w:rFonts w:ascii="Arial" w:hAnsi="Arial" w:cs="Arial"/>
          <w:sz w:val="20"/>
        </w:rPr>
        <w:t xml:space="preserve">: Delež uspešnosti tujih ponudnikov </w:t>
      </w:r>
      <w:r w:rsidR="00AC44FC" w:rsidRPr="00784851">
        <w:rPr>
          <w:rFonts w:ascii="Arial" w:hAnsi="Arial" w:cs="Arial"/>
          <w:sz w:val="20"/>
        </w:rPr>
        <w:t>glede na predmet naročanja in mesto objave javnega naročila</w:t>
      </w:r>
    </w:p>
    <w:tbl>
      <w:tblPr>
        <w:tblW w:w="5000" w:type="pct"/>
        <w:tblCellMar>
          <w:left w:w="70" w:type="dxa"/>
          <w:right w:w="70" w:type="dxa"/>
        </w:tblCellMar>
        <w:tblLook w:val="04A0" w:firstRow="1" w:lastRow="0" w:firstColumn="1" w:lastColumn="0" w:noHBand="0" w:noVBand="1"/>
      </w:tblPr>
      <w:tblGrid>
        <w:gridCol w:w="1224"/>
        <w:gridCol w:w="1224"/>
        <w:gridCol w:w="1238"/>
        <w:gridCol w:w="1222"/>
        <w:gridCol w:w="1824"/>
        <w:gridCol w:w="1222"/>
        <w:gridCol w:w="1220"/>
      </w:tblGrid>
      <w:tr w:rsidR="00B73CA3" w:rsidRPr="00B73CA3" w14:paraId="06EED744" w14:textId="77777777" w:rsidTr="00B73CA3">
        <w:trPr>
          <w:trHeight w:val="960"/>
        </w:trPr>
        <w:tc>
          <w:tcPr>
            <w:tcW w:w="667"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018665" w14:textId="77777777" w:rsidR="00BA3A9A" w:rsidRPr="00BA3A9A" w:rsidRDefault="00BA3A9A" w:rsidP="00BA3A9A">
            <w:pPr>
              <w:spacing w:after="0" w:line="240" w:lineRule="auto"/>
              <w:jc w:val="center"/>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 xml:space="preserve">Predmet </w:t>
            </w:r>
          </w:p>
        </w:tc>
        <w:tc>
          <w:tcPr>
            <w:tcW w:w="667" w:type="pct"/>
            <w:tcBorders>
              <w:top w:val="single" w:sz="4" w:space="0" w:color="auto"/>
              <w:left w:val="nil"/>
              <w:bottom w:val="single" w:sz="4" w:space="0" w:color="auto"/>
              <w:right w:val="single" w:sz="4" w:space="0" w:color="auto"/>
            </w:tcBorders>
            <w:shd w:val="clear" w:color="000000" w:fill="F2F2F2"/>
            <w:vAlign w:val="center"/>
            <w:hideMark/>
          </w:tcPr>
          <w:p w14:paraId="5E8D96E6" w14:textId="77777777" w:rsidR="00BA3A9A" w:rsidRPr="00BA3A9A" w:rsidRDefault="00BA3A9A" w:rsidP="00BA3A9A">
            <w:pPr>
              <w:spacing w:after="0" w:line="240" w:lineRule="auto"/>
              <w:jc w:val="center"/>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Objava v UL EU</w:t>
            </w:r>
          </w:p>
        </w:tc>
        <w:tc>
          <w:tcPr>
            <w:tcW w:w="675" w:type="pct"/>
            <w:tcBorders>
              <w:top w:val="single" w:sz="4" w:space="0" w:color="auto"/>
              <w:left w:val="nil"/>
              <w:bottom w:val="single" w:sz="4" w:space="0" w:color="auto"/>
              <w:right w:val="single" w:sz="4" w:space="0" w:color="auto"/>
            </w:tcBorders>
            <w:shd w:val="clear" w:color="000000" w:fill="F2F2F2"/>
            <w:vAlign w:val="center"/>
            <w:hideMark/>
          </w:tcPr>
          <w:p w14:paraId="78E2D6F5" w14:textId="77777777" w:rsidR="00BA3A9A" w:rsidRPr="00BA3A9A" w:rsidRDefault="00BA3A9A" w:rsidP="00BA3A9A">
            <w:pPr>
              <w:spacing w:after="0" w:line="240" w:lineRule="auto"/>
              <w:jc w:val="center"/>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Sedež ponudnika</w:t>
            </w:r>
          </w:p>
        </w:tc>
        <w:tc>
          <w:tcPr>
            <w:tcW w:w="666" w:type="pct"/>
            <w:tcBorders>
              <w:top w:val="single" w:sz="4" w:space="0" w:color="auto"/>
              <w:left w:val="nil"/>
              <w:bottom w:val="single" w:sz="4" w:space="0" w:color="auto"/>
              <w:right w:val="single" w:sz="4" w:space="0" w:color="auto"/>
            </w:tcBorders>
            <w:shd w:val="clear" w:color="000000" w:fill="F2F2F2"/>
            <w:vAlign w:val="center"/>
            <w:hideMark/>
          </w:tcPr>
          <w:p w14:paraId="315D7A4D" w14:textId="77777777" w:rsidR="00BA3A9A" w:rsidRPr="00BA3A9A" w:rsidRDefault="00BA3A9A" w:rsidP="00BA3A9A">
            <w:pPr>
              <w:spacing w:after="0" w:line="240" w:lineRule="auto"/>
              <w:jc w:val="center"/>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Št. naročil</w:t>
            </w:r>
          </w:p>
        </w:tc>
        <w:tc>
          <w:tcPr>
            <w:tcW w:w="994" w:type="pct"/>
            <w:tcBorders>
              <w:top w:val="single" w:sz="4" w:space="0" w:color="auto"/>
              <w:left w:val="nil"/>
              <w:bottom w:val="single" w:sz="4" w:space="0" w:color="auto"/>
              <w:right w:val="single" w:sz="4" w:space="0" w:color="auto"/>
            </w:tcBorders>
            <w:shd w:val="clear" w:color="000000" w:fill="F2F2F2"/>
            <w:vAlign w:val="center"/>
            <w:hideMark/>
          </w:tcPr>
          <w:p w14:paraId="6A29BB34" w14:textId="77777777" w:rsidR="00BA3A9A" w:rsidRPr="00BA3A9A" w:rsidRDefault="00BA3A9A" w:rsidP="00BA3A9A">
            <w:pPr>
              <w:spacing w:after="0" w:line="240" w:lineRule="auto"/>
              <w:jc w:val="center"/>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Pogodbena vrednost</w:t>
            </w:r>
          </w:p>
        </w:tc>
        <w:tc>
          <w:tcPr>
            <w:tcW w:w="666" w:type="pct"/>
            <w:tcBorders>
              <w:top w:val="single" w:sz="4" w:space="0" w:color="auto"/>
              <w:left w:val="nil"/>
              <w:bottom w:val="single" w:sz="4" w:space="0" w:color="auto"/>
              <w:right w:val="single" w:sz="4" w:space="0" w:color="auto"/>
            </w:tcBorders>
            <w:shd w:val="clear" w:color="000000" w:fill="F2F2F2"/>
            <w:vAlign w:val="center"/>
            <w:hideMark/>
          </w:tcPr>
          <w:p w14:paraId="5DFFB4EC" w14:textId="77777777" w:rsidR="00BA3A9A" w:rsidRPr="00BA3A9A" w:rsidRDefault="00BA3A9A" w:rsidP="00BA3A9A">
            <w:pPr>
              <w:spacing w:after="0" w:line="240" w:lineRule="auto"/>
              <w:jc w:val="center"/>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Delež v št. istovrstnih naročil</w:t>
            </w:r>
          </w:p>
        </w:tc>
        <w:tc>
          <w:tcPr>
            <w:tcW w:w="665" w:type="pct"/>
            <w:tcBorders>
              <w:top w:val="single" w:sz="4" w:space="0" w:color="auto"/>
              <w:left w:val="nil"/>
              <w:bottom w:val="single" w:sz="4" w:space="0" w:color="auto"/>
              <w:right w:val="single" w:sz="4" w:space="0" w:color="auto"/>
            </w:tcBorders>
            <w:shd w:val="clear" w:color="000000" w:fill="F2F2F2"/>
            <w:vAlign w:val="center"/>
            <w:hideMark/>
          </w:tcPr>
          <w:p w14:paraId="35CCA551" w14:textId="77777777" w:rsidR="00BA3A9A" w:rsidRPr="00BA3A9A" w:rsidRDefault="00BA3A9A" w:rsidP="00BA3A9A">
            <w:pPr>
              <w:spacing w:after="0" w:line="240" w:lineRule="auto"/>
              <w:jc w:val="center"/>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Delež v vrednosti istovrstnih naročil</w:t>
            </w:r>
          </w:p>
        </w:tc>
      </w:tr>
      <w:tr w:rsidR="00B73CA3" w:rsidRPr="00B73CA3" w14:paraId="3D946942" w14:textId="77777777" w:rsidTr="00B73CA3">
        <w:trPr>
          <w:trHeight w:val="300"/>
        </w:trPr>
        <w:tc>
          <w:tcPr>
            <w:tcW w:w="66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3C50015" w14:textId="77777777" w:rsidR="00BA3A9A" w:rsidRPr="00BA3A9A" w:rsidRDefault="00BA3A9A" w:rsidP="00BA3A9A">
            <w:pPr>
              <w:spacing w:after="0" w:line="240" w:lineRule="auto"/>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Blago</w:t>
            </w:r>
          </w:p>
        </w:tc>
        <w:tc>
          <w:tcPr>
            <w:tcW w:w="66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7A0D7D6" w14:textId="77777777" w:rsidR="00BA3A9A" w:rsidRPr="00BA3A9A" w:rsidRDefault="00BA3A9A" w:rsidP="00BA3A9A">
            <w:pPr>
              <w:spacing w:after="0" w:line="240" w:lineRule="auto"/>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DA</w:t>
            </w:r>
          </w:p>
        </w:tc>
        <w:tc>
          <w:tcPr>
            <w:tcW w:w="675" w:type="pct"/>
            <w:tcBorders>
              <w:top w:val="nil"/>
              <w:left w:val="nil"/>
              <w:bottom w:val="single" w:sz="4" w:space="0" w:color="auto"/>
              <w:right w:val="single" w:sz="4" w:space="0" w:color="auto"/>
            </w:tcBorders>
            <w:shd w:val="clear" w:color="auto" w:fill="auto"/>
            <w:noWrap/>
            <w:vAlign w:val="center"/>
            <w:hideMark/>
          </w:tcPr>
          <w:p w14:paraId="4084D4AE" w14:textId="77777777" w:rsidR="00BA3A9A" w:rsidRPr="00BA3A9A" w:rsidRDefault="00BA3A9A" w:rsidP="00BA3A9A">
            <w:pPr>
              <w:spacing w:after="0" w:line="240" w:lineRule="auto"/>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Slovenija</w:t>
            </w:r>
          </w:p>
        </w:tc>
        <w:tc>
          <w:tcPr>
            <w:tcW w:w="666" w:type="pct"/>
            <w:tcBorders>
              <w:top w:val="nil"/>
              <w:left w:val="nil"/>
              <w:bottom w:val="single" w:sz="4" w:space="0" w:color="auto"/>
              <w:right w:val="single" w:sz="4" w:space="0" w:color="auto"/>
            </w:tcBorders>
            <w:shd w:val="clear" w:color="auto" w:fill="auto"/>
            <w:noWrap/>
            <w:vAlign w:val="center"/>
            <w:hideMark/>
          </w:tcPr>
          <w:p w14:paraId="42DFE9EF" w14:textId="77777777" w:rsidR="00BA3A9A" w:rsidRPr="00BA3A9A" w:rsidRDefault="00BA3A9A" w:rsidP="00BA3A9A">
            <w:pPr>
              <w:spacing w:after="0" w:line="240" w:lineRule="auto"/>
              <w:jc w:val="right"/>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7.906</w:t>
            </w:r>
          </w:p>
        </w:tc>
        <w:tc>
          <w:tcPr>
            <w:tcW w:w="994" w:type="pct"/>
            <w:tcBorders>
              <w:top w:val="nil"/>
              <w:left w:val="nil"/>
              <w:bottom w:val="single" w:sz="4" w:space="0" w:color="auto"/>
              <w:right w:val="single" w:sz="4" w:space="0" w:color="auto"/>
            </w:tcBorders>
            <w:shd w:val="clear" w:color="auto" w:fill="auto"/>
            <w:noWrap/>
            <w:vAlign w:val="center"/>
            <w:hideMark/>
          </w:tcPr>
          <w:p w14:paraId="231E3DAF" w14:textId="77777777" w:rsidR="00BA3A9A" w:rsidRPr="00BA3A9A" w:rsidRDefault="00BA3A9A" w:rsidP="00BA3A9A">
            <w:pPr>
              <w:spacing w:after="0" w:line="240" w:lineRule="auto"/>
              <w:jc w:val="right"/>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1.533.623.417</w:t>
            </w:r>
          </w:p>
        </w:tc>
        <w:tc>
          <w:tcPr>
            <w:tcW w:w="666" w:type="pct"/>
            <w:tcBorders>
              <w:top w:val="nil"/>
              <w:left w:val="nil"/>
              <w:bottom w:val="single" w:sz="4" w:space="0" w:color="auto"/>
              <w:right w:val="single" w:sz="4" w:space="0" w:color="auto"/>
            </w:tcBorders>
            <w:shd w:val="clear" w:color="auto" w:fill="auto"/>
            <w:noWrap/>
            <w:vAlign w:val="center"/>
            <w:hideMark/>
          </w:tcPr>
          <w:p w14:paraId="5A311D77" w14:textId="0EE246B8" w:rsidR="00BA3A9A" w:rsidRPr="00BA3A9A" w:rsidRDefault="00BA3A9A" w:rsidP="00BA3A9A">
            <w:pPr>
              <w:spacing w:after="0" w:line="240" w:lineRule="auto"/>
              <w:jc w:val="right"/>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97,58</w:t>
            </w:r>
            <w:r w:rsidRPr="00B73CA3">
              <w:rPr>
                <w:rFonts w:ascii="Arial" w:eastAsia="Times New Roman" w:hAnsi="Arial" w:cs="Arial"/>
                <w:color w:val="000000" w:themeColor="text1"/>
                <w:sz w:val="18"/>
                <w:szCs w:val="18"/>
                <w:lang w:eastAsia="sl-SI"/>
              </w:rPr>
              <w:t xml:space="preserve"> </w:t>
            </w:r>
            <w:r w:rsidRPr="00BA3A9A">
              <w:rPr>
                <w:rFonts w:ascii="Arial" w:eastAsia="Times New Roman" w:hAnsi="Arial" w:cs="Arial"/>
                <w:color w:val="000000" w:themeColor="text1"/>
                <w:sz w:val="18"/>
                <w:szCs w:val="18"/>
                <w:lang w:eastAsia="sl-SI"/>
              </w:rPr>
              <w:t>%</w:t>
            </w:r>
          </w:p>
        </w:tc>
        <w:tc>
          <w:tcPr>
            <w:tcW w:w="665" w:type="pct"/>
            <w:tcBorders>
              <w:top w:val="nil"/>
              <w:left w:val="nil"/>
              <w:bottom w:val="single" w:sz="4" w:space="0" w:color="auto"/>
              <w:right w:val="single" w:sz="4" w:space="0" w:color="auto"/>
            </w:tcBorders>
            <w:shd w:val="clear" w:color="auto" w:fill="auto"/>
            <w:noWrap/>
            <w:vAlign w:val="center"/>
            <w:hideMark/>
          </w:tcPr>
          <w:p w14:paraId="29445598" w14:textId="700A470B" w:rsidR="00BA3A9A" w:rsidRPr="00BA3A9A" w:rsidRDefault="00BA3A9A" w:rsidP="00BA3A9A">
            <w:pPr>
              <w:spacing w:after="0" w:line="240" w:lineRule="auto"/>
              <w:jc w:val="right"/>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94,02</w:t>
            </w:r>
            <w:r w:rsidRPr="00B73CA3">
              <w:rPr>
                <w:rFonts w:ascii="Arial" w:eastAsia="Times New Roman" w:hAnsi="Arial" w:cs="Arial"/>
                <w:color w:val="000000" w:themeColor="text1"/>
                <w:sz w:val="18"/>
                <w:szCs w:val="18"/>
                <w:lang w:eastAsia="sl-SI"/>
              </w:rPr>
              <w:t xml:space="preserve"> </w:t>
            </w:r>
            <w:r w:rsidRPr="00BA3A9A">
              <w:rPr>
                <w:rFonts w:ascii="Arial" w:eastAsia="Times New Roman" w:hAnsi="Arial" w:cs="Arial"/>
                <w:color w:val="000000" w:themeColor="text1"/>
                <w:sz w:val="18"/>
                <w:szCs w:val="18"/>
                <w:lang w:eastAsia="sl-SI"/>
              </w:rPr>
              <w:t>%</w:t>
            </w:r>
          </w:p>
        </w:tc>
      </w:tr>
      <w:tr w:rsidR="00B73CA3" w:rsidRPr="00B73CA3" w14:paraId="2EDB70DD" w14:textId="77777777" w:rsidTr="00B73CA3">
        <w:trPr>
          <w:trHeight w:val="300"/>
        </w:trPr>
        <w:tc>
          <w:tcPr>
            <w:tcW w:w="667" w:type="pct"/>
            <w:vMerge/>
            <w:tcBorders>
              <w:top w:val="nil"/>
              <w:left w:val="single" w:sz="4" w:space="0" w:color="auto"/>
              <w:bottom w:val="single" w:sz="4" w:space="0" w:color="auto"/>
              <w:right w:val="single" w:sz="4" w:space="0" w:color="auto"/>
            </w:tcBorders>
            <w:vAlign w:val="center"/>
            <w:hideMark/>
          </w:tcPr>
          <w:p w14:paraId="0196D5EF" w14:textId="77777777" w:rsidR="00BA3A9A" w:rsidRPr="00BA3A9A" w:rsidRDefault="00BA3A9A" w:rsidP="00BA3A9A">
            <w:pPr>
              <w:spacing w:after="0" w:line="240" w:lineRule="auto"/>
              <w:rPr>
                <w:rFonts w:ascii="Arial" w:eastAsia="Times New Roman" w:hAnsi="Arial" w:cs="Arial"/>
                <w:color w:val="000000" w:themeColor="text1"/>
                <w:sz w:val="18"/>
                <w:szCs w:val="18"/>
                <w:lang w:eastAsia="sl-SI"/>
              </w:rPr>
            </w:pPr>
          </w:p>
        </w:tc>
        <w:tc>
          <w:tcPr>
            <w:tcW w:w="667" w:type="pct"/>
            <w:vMerge/>
            <w:tcBorders>
              <w:top w:val="nil"/>
              <w:left w:val="single" w:sz="4" w:space="0" w:color="auto"/>
              <w:bottom w:val="single" w:sz="4" w:space="0" w:color="auto"/>
              <w:right w:val="single" w:sz="4" w:space="0" w:color="auto"/>
            </w:tcBorders>
            <w:vAlign w:val="center"/>
            <w:hideMark/>
          </w:tcPr>
          <w:p w14:paraId="1299D3D8" w14:textId="77777777" w:rsidR="00BA3A9A" w:rsidRPr="00BA3A9A" w:rsidRDefault="00BA3A9A" w:rsidP="00BA3A9A">
            <w:pPr>
              <w:spacing w:after="0" w:line="240" w:lineRule="auto"/>
              <w:rPr>
                <w:rFonts w:ascii="Arial" w:eastAsia="Times New Roman" w:hAnsi="Arial" w:cs="Arial"/>
                <w:color w:val="000000" w:themeColor="text1"/>
                <w:sz w:val="18"/>
                <w:szCs w:val="18"/>
                <w:lang w:eastAsia="sl-SI"/>
              </w:rPr>
            </w:pPr>
          </w:p>
        </w:tc>
        <w:tc>
          <w:tcPr>
            <w:tcW w:w="675" w:type="pct"/>
            <w:tcBorders>
              <w:top w:val="nil"/>
              <w:left w:val="nil"/>
              <w:bottom w:val="single" w:sz="4" w:space="0" w:color="auto"/>
              <w:right w:val="single" w:sz="4" w:space="0" w:color="auto"/>
            </w:tcBorders>
            <w:shd w:val="clear" w:color="auto" w:fill="auto"/>
            <w:noWrap/>
            <w:vAlign w:val="center"/>
            <w:hideMark/>
          </w:tcPr>
          <w:p w14:paraId="3260CAC8" w14:textId="77777777" w:rsidR="00BA3A9A" w:rsidRPr="00BA3A9A" w:rsidRDefault="00BA3A9A" w:rsidP="00BA3A9A">
            <w:pPr>
              <w:spacing w:after="0" w:line="240" w:lineRule="auto"/>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tujina</w:t>
            </w:r>
          </w:p>
        </w:tc>
        <w:tc>
          <w:tcPr>
            <w:tcW w:w="666" w:type="pct"/>
            <w:tcBorders>
              <w:top w:val="nil"/>
              <w:left w:val="nil"/>
              <w:bottom w:val="single" w:sz="4" w:space="0" w:color="auto"/>
              <w:right w:val="single" w:sz="4" w:space="0" w:color="auto"/>
            </w:tcBorders>
            <w:shd w:val="clear" w:color="auto" w:fill="auto"/>
            <w:noWrap/>
            <w:vAlign w:val="center"/>
            <w:hideMark/>
          </w:tcPr>
          <w:p w14:paraId="46501A4F" w14:textId="77777777" w:rsidR="00BA3A9A" w:rsidRPr="00BA3A9A" w:rsidRDefault="00BA3A9A" w:rsidP="00BA3A9A">
            <w:pPr>
              <w:spacing w:after="0" w:line="240" w:lineRule="auto"/>
              <w:jc w:val="right"/>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196</w:t>
            </w:r>
          </w:p>
        </w:tc>
        <w:tc>
          <w:tcPr>
            <w:tcW w:w="994" w:type="pct"/>
            <w:tcBorders>
              <w:top w:val="nil"/>
              <w:left w:val="nil"/>
              <w:bottom w:val="single" w:sz="4" w:space="0" w:color="auto"/>
              <w:right w:val="single" w:sz="4" w:space="0" w:color="auto"/>
            </w:tcBorders>
            <w:shd w:val="clear" w:color="auto" w:fill="auto"/>
            <w:noWrap/>
            <w:vAlign w:val="center"/>
            <w:hideMark/>
          </w:tcPr>
          <w:p w14:paraId="0A0E1B03" w14:textId="77777777" w:rsidR="00BA3A9A" w:rsidRPr="00BA3A9A" w:rsidRDefault="00BA3A9A" w:rsidP="00BA3A9A">
            <w:pPr>
              <w:spacing w:after="0" w:line="240" w:lineRule="auto"/>
              <w:jc w:val="right"/>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97.608.521</w:t>
            </w:r>
          </w:p>
        </w:tc>
        <w:tc>
          <w:tcPr>
            <w:tcW w:w="666" w:type="pct"/>
            <w:tcBorders>
              <w:top w:val="nil"/>
              <w:left w:val="nil"/>
              <w:bottom w:val="single" w:sz="4" w:space="0" w:color="auto"/>
              <w:right w:val="single" w:sz="4" w:space="0" w:color="auto"/>
            </w:tcBorders>
            <w:shd w:val="clear" w:color="auto" w:fill="auto"/>
            <w:noWrap/>
            <w:vAlign w:val="center"/>
            <w:hideMark/>
          </w:tcPr>
          <w:p w14:paraId="5A2EF6D7" w14:textId="19BFAB68" w:rsidR="00BA3A9A" w:rsidRPr="00BA3A9A" w:rsidRDefault="00BA3A9A" w:rsidP="00BA3A9A">
            <w:pPr>
              <w:spacing w:after="0" w:line="240" w:lineRule="auto"/>
              <w:jc w:val="right"/>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2,42</w:t>
            </w:r>
            <w:r w:rsidRPr="00B73CA3">
              <w:rPr>
                <w:rFonts w:ascii="Arial" w:eastAsia="Times New Roman" w:hAnsi="Arial" w:cs="Arial"/>
                <w:color w:val="000000" w:themeColor="text1"/>
                <w:sz w:val="18"/>
                <w:szCs w:val="18"/>
                <w:lang w:eastAsia="sl-SI"/>
              </w:rPr>
              <w:t xml:space="preserve"> </w:t>
            </w:r>
            <w:r w:rsidRPr="00BA3A9A">
              <w:rPr>
                <w:rFonts w:ascii="Arial" w:eastAsia="Times New Roman" w:hAnsi="Arial" w:cs="Arial"/>
                <w:color w:val="000000" w:themeColor="text1"/>
                <w:sz w:val="18"/>
                <w:szCs w:val="18"/>
                <w:lang w:eastAsia="sl-SI"/>
              </w:rPr>
              <w:t>%</w:t>
            </w:r>
          </w:p>
        </w:tc>
        <w:tc>
          <w:tcPr>
            <w:tcW w:w="665" w:type="pct"/>
            <w:tcBorders>
              <w:top w:val="nil"/>
              <w:left w:val="nil"/>
              <w:bottom w:val="single" w:sz="4" w:space="0" w:color="auto"/>
              <w:right w:val="single" w:sz="4" w:space="0" w:color="auto"/>
            </w:tcBorders>
            <w:shd w:val="clear" w:color="auto" w:fill="auto"/>
            <w:noWrap/>
            <w:vAlign w:val="center"/>
            <w:hideMark/>
          </w:tcPr>
          <w:p w14:paraId="56C06B26" w14:textId="555476E4" w:rsidR="00BA3A9A" w:rsidRPr="00BA3A9A" w:rsidRDefault="00BA3A9A" w:rsidP="00BA3A9A">
            <w:pPr>
              <w:spacing w:after="0" w:line="240" w:lineRule="auto"/>
              <w:jc w:val="right"/>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5,98</w:t>
            </w:r>
            <w:r w:rsidRPr="00B73CA3">
              <w:rPr>
                <w:rFonts w:ascii="Arial" w:eastAsia="Times New Roman" w:hAnsi="Arial" w:cs="Arial"/>
                <w:color w:val="000000" w:themeColor="text1"/>
                <w:sz w:val="18"/>
                <w:szCs w:val="18"/>
                <w:lang w:eastAsia="sl-SI"/>
              </w:rPr>
              <w:t xml:space="preserve"> </w:t>
            </w:r>
            <w:r w:rsidRPr="00BA3A9A">
              <w:rPr>
                <w:rFonts w:ascii="Arial" w:eastAsia="Times New Roman" w:hAnsi="Arial" w:cs="Arial"/>
                <w:color w:val="000000" w:themeColor="text1"/>
                <w:sz w:val="18"/>
                <w:szCs w:val="18"/>
                <w:lang w:eastAsia="sl-SI"/>
              </w:rPr>
              <w:t>%</w:t>
            </w:r>
          </w:p>
        </w:tc>
      </w:tr>
      <w:tr w:rsidR="00B73CA3" w:rsidRPr="00B73CA3" w14:paraId="6AC5F94D" w14:textId="77777777" w:rsidTr="00B73CA3">
        <w:trPr>
          <w:trHeight w:val="300"/>
        </w:trPr>
        <w:tc>
          <w:tcPr>
            <w:tcW w:w="667" w:type="pct"/>
            <w:vMerge/>
            <w:tcBorders>
              <w:top w:val="nil"/>
              <w:left w:val="single" w:sz="4" w:space="0" w:color="auto"/>
              <w:bottom w:val="single" w:sz="4" w:space="0" w:color="auto"/>
              <w:right w:val="single" w:sz="4" w:space="0" w:color="auto"/>
            </w:tcBorders>
            <w:vAlign w:val="center"/>
            <w:hideMark/>
          </w:tcPr>
          <w:p w14:paraId="3385A2E1" w14:textId="77777777" w:rsidR="00BA3A9A" w:rsidRPr="00BA3A9A" w:rsidRDefault="00BA3A9A" w:rsidP="00BA3A9A">
            <w:pPr>
              <w:spacing w:after="0" w:line="240" w:lineRule="auto"/>
              <w:rPr>
                <w:rFonts w:ascii="Arial" w:eastAsia="Times New Roman" w:hAnsi="Arial" w:cs="Arial"/>
                <w:color w:val="000000" w:themeColor="text1"/>
                <w:sz w:val="18"/>
                <w:szCs w:val="18"/>
                <w:lang w:eastAsia="sl-SI"/>
              </w:rPr>
            </w:pPr>
          </w:p>
        </w:tc>
        <w:tc>
          <w:tcPr>
            <w:tcW w:w="66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8C66E5A" w14:textId="77777777" w:rsidR="00BA3A9A" w:rsidRPr="00BA3A9A" w:rsidRDefault="00BA3A9A" w:rsidP="00BA3A9A">
            <w:pPr>
              <w:spacing w:after="0" w:line="240" w:lineRule="auto"/>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NE</w:t>
            </w:r>
          </w:p>
        </w:tc>
        <w:tc>
          <w:tcPr>
            <w:tcW w:w="675" w:type="pct"/>
            <w:tcBorders>
              <w:top w:val="nil"/>
              <w:left w:val="nil"/>
              <w:bottom w:val="single" w:sz="4" w:space="0" w:color="auto"/>
              <w:right w:val="single" w:sz="4" w:space="0" w:color="auto"/>
            </w:tcBorders>
            <w:shd w:val="clear" w:color="auto" w:fill="auto"/>
            <w:noWrap/>
            <w:vAlign w:val="center"/>
            <w:hideMark/>
          </w:tcPr>
          <w:p w14:paraId="5F8439A7" w14:textId="77777777" w:rsidR="00BA3A9A" w:rsidRPr="00BA3A9A" w:rsidRDefault="00BA3A9A" w:rsidP="00BA3A9A">
            <w:pPr>
              <w:spacing w:after="0" w:line="240" w:lineRule="auto"/>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Slovenija</w:t>
            </w:r>
          </w:p>
        </w:tc>
        <w:tc>
          <w:tcPr>
            <w:tcW w:w="666" w:type="pct"/>
            <w:tcBorders>
              <w:top w:val="nil"/>
              <w:left w:val="nil"/>
              <w:bottom w:val="single" w:sz="4" w:space="0" w:color="auto"/>
              <w:right w:val="single" w:sz="4" w:space="0" w:color="auto"/>
            </w:tcBorders>
            <w:shd w:val="clear" w:color="auto" w:fill="auto"/>
            <w:noWrap/>
            <w:vAlign w:val="center"/>
            <w:hideMark/>
          </w:tcPr>
          <w:p w14:paraId="6EA49607" w14:textId="77777777" w:rsidR="00BA3A9A" w:rsidRPr="00BA3A9A" w:rsidRDefault="00BA3A9A" w:rsidP="00BA3A9A">
            <w:pPr>
              <w:spacing w:after="0" w:line="240" w:lineRule="auto"/>
              <w:jc w:val="right"/>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3.207</w:t>
            </w:r>
          </w:p>
        </w:tc>
        <w:tc>
          <w:tcPr>
            <w:tcW w:w="994" w:type="pct"/>
            <w:tcBorders>
              <w:top w:val="nil"/>
              <w:left w:val="nil"/>
              <w:bottom w:val="single" w:sz="4" w:space="0" w:color="auto"/>
              <w:right w:val="single" w:sz="4" w:space="0" w:color="auto"/>
            </w:tcBorders>
            <w:shd w:val="clear" w:color="auto" w:fill="auto"/>
            <w:noWrap/>
            <w:vAlign w:val="center"/>
            <w:hideMark/>
          </w:tcPr>
          <w:p w14:paraId="3B1C8CFE" w14:textId="77777777" w:rsidR="00BA3A9A" w:rsidRPr="00BA3A9A" w:rsidRDefault="00BA3A9A" w:rsidP="00BA3A9A">
            <w:pPr>
              <w:spacing w:after="0" w:line="240" w:lineRule="auto"/>
              <w:jc w:val="right"/>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163.313.213</w:t>
            </w:r>
          </w:p>
        </w:tc>
        <w:tc>
          <w:tcPr>
            <w:tcW w:w="666" w:type="pct"/>
            <w:tcBorders>
              <w:top w:val="nil"/>
              <w:left w:val="nil"/>
              <w:bottom w:val="nil"/>
              <w:right w:val="single" w:sz="4" w:space="0" w:color="auto"/>
            </w:tcBorders>
            <w:shd w:val="clear" w:color="auto" w:fill="auto"/>
            <w:noWrap/>
            <w:vAlign w:val="center"/>
            <w:hideMark/>
          </w:tcPr>
          <w:p w14:paraId="5159CF41" w14:textId="691F6ED9" w:rsidR="00BA3A9A" w:rsidRPr="00BA3A9A" w:rsidRDefault="00BA3A9A" w:rsidP="00BA3A9A">
            <w:pPr>
              <w:spacing w:after="0" w:line="240" w:lineRule="auto"/>
              <w:jc w:val="right"/>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95,59</w:t>
            </w:r>
            <w:r w:rsidRPr="00B73CA3">
              <w:rPr>
                <w:rFonts w:ascii="Arial" w:eastAsia="Times New Roman" w:hAnsi="Arial" w:cs="Arial"/>
                <w:color w:val="000000" w:themeColor="text1"/>
                <w:sz w:val="18"/>
                <w:szCs w:val="18"/>
                <w:lang w:eastAsia="sl-SI"/>
              </w:rPr>
              <w:t xml:space="preserve"> </w:t>
            </w:r>
            <w:r w:rsidRPr="00BA3A9A">
              <w:rPr>
                <w:rFonts w:ascii="Arial" w:eastAsia="Times New Roman" w:hAnsi="Arial" w:cs="Arial"/>
                <w:color w:val="000000" w:themeColor="text1"/>
                <w:sz w:val="18"/>
                <w:szCs w:val="18"/>
                <w:lang w:eastAsia="sl-SI"/>
              </w:rPr>
              <w:t>%</w:t>
            </w:r>
          </w:p>
        </w:tc>
        <w:tc>
          <w:tcPr>
            <w:tcW w:w="665" w:type="pct"/>
            <w:tcBorders>
              <w:top w:val="nil"/>
              <w:left w:val="nil"/>
              <w:bottom w:val="nil"/>
              <w:right w:val="single" w:sz="4" w:space="0" w:color="auto"/>
            </w:tcBorders>
            <w:shd w:val="clear" w:color="auto" w:fill="auto"/>
            <w:noWrap/>
            <w:vAlign w:val="center"/>
            <w:hideMark/>
          </w:tcPr>
          <w:p w14:paraId="7D70C86D" w14:textId="2461F973" w:rsidR="00BA3A9A" w:rsidRPr="00BA3A9A" w:rsidRDefault="00BA3A9A" w:rsidP="00BA3A9A">
            <w:pPr>
              <w:spacing w:after="0" w:line="240" w:lineRule="auto"/>
              <w:jc w:val="right"/>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90,96</w:t>
            </w:r>
            <w:r w:rsidRPr="00B73CA3">
              <w:rPr>
                <w:rFonts w:ascii="Arial" w:eastAsia="Times New Roman" w:hAnsi="Arial" w:cs="Arial"/>
                <w:color w:val="000000" w:themeColor="text1"/>
                <w:sz w:val="18"/>
                <w:szCs w:val="18"/>
                <w:lang w:eastAsia="sl-SI"/>
              </w:rPr>
              <w:t xml:space="preserve"> </w:t>
            </w:r>
            <w:r w:rsidRPr="00BA3A9A">
              <w:rPr>
                <w:rFonts w:ascii="Arial" w:eastAsia="Times New Roman" w:hAnsi="Arial" w:cs="Arial"/>
                <w:color w:val="000000" w:themeColor="text1"/>
                <w:sz w:val="18"/>
                <w:szCs w:val="18"/>
                <w:lang w:eastAsia="sl-SI"/>
              </w:rPr>
              <w:t>%</w:t>
            </w:r>
          </w:p>
        </w:tc>
      </w:tr>
      <w:tr w:rsidR="00B73CA3" w:rsidRPr="00B73CA3" w14:paraId="4257EB8F" w14:textId="77777777" w:rsidTr="00B73CA3">
        <w:trPr>
          <w:trHeight w:val="300"/>
        </w:trPr>
        <w:tc>
          <w:tcPr>
            <w:tcW w:w="667" w:type="pct"/>
            <w:vMerge/>
            <w:tcBorders>
              <w:top w:val="nil"/>
              <w:left w:val="single" w:sz="4" w:space="0" w:color="auto"/>
              <w:bottom w:val="single" w:sz="4" w:space="0" w:color="auto"/>
              <w:right w:val="single" w:sz="4" w:space="0" w:color="auto"/>
            </w:tcBorders>
            <w:vAlign w:val="center"/>
            <w:hideMark/>
          </w:tcPr>
          <w:p w14:paraId="47F9FAFB" w14:textId="77777777" w:rsidR="00BA3A9A" w:rsidRPr="00BA3A9A" w:rsidRDefault="00BA3A9A" w:rsidP="00BA3A9A">
            <w:pPr>
              <w:spacing w:after="0" w:line="240" w:lineRule="auto"/>
              <w:rPr>
                <w:rFonts w:ascii="Arial" w:eastAsia="Times New Roman" w:hAnsi="Arial" w:cs="Arial"/>
                <w:color w:val="000000" w:themeColor="text1"/>
                <w:sz w:val="18"/>
                <w:szCs w:val="18"/>
                <w:lang w:eastAsia="sl-SI"/>
              </w:rPr>
            </w:pPr>
          </w:p>
        </w:tc>
        <w:tc>
          <w:tcPr>
            <w:tcW w:w="667" w:type="pct"/>
            <w:vMerge/>
            <w:tcBorders>
              <w:top w:val="nil"/>
              <w:left w:val="single" w:sz="4" w:space="0" w:color="auto"/>
              <w:bottom w:val="single" w:sz="4" w:space="0" w:color="auto"/>
              <w:right w:val="single" w:sz="4" w:space="0" w:color="auto"/>
            </w:tcBorders>
            <w:vAlign w:val="center"/>
            <w:hideMark/>
          </w:tcPr>
          <w:p w14:paraId="5C1E3A56" w14:textId="77777777" w:rsidR="00BA3A9A" w:rsidRPr="00BA3A9A" w:rsidRDefault="00BA3A9A" w:rsidP="00BA3A9A">
            <w:pPr>
              <w:spacing w:after="0" w:line="240" w:lineRule="auto"/>
              <w:rPr>
                <w:rFonts w:ascii="Arial" w:eastAsia="Times New Roman" w:hAnsi="Arial" w:cs="Arial"/>
                <w:color w:val="000000" w:themeColor="text1"/>
                <w:sz w:val="18"/>
                <w:szCs w:val="18"/>
                <w:lang w:eastAsia="sl-SI"/>
              </w:rPr>
            </w:pPr>
          </w:p>
        </w:tc>
        <w:tc>
          <w:tcPr>
            <w:tcW w:w="675" w:type="pct"/>
            <w:tcBorders>
              <w:top w:val="nil"/>
              <w:left w:val="nil"/>
              <w:bottom w:val="single" w:sz="4" w:space="0" w:color="auto"/>
              <w:right w:val="single" w:sz="4" w:space="0" w:color="auto"/>
            </w:tcBorders>
            <w:shd w:val="clear" w:color="auto" w:fill="auto"/>
            <w:noWrap/>
            <w:vAlign w:val="center"/>
            <w:hideMark/>
          </w:tcPr>
          <w:p w14:paraId="0EB0D634" w14:textId="77777777" w:rsidR="00BA3A9A" w:rsidRPr="00BA3A9A" w:rsidRDefault="00BA3A9A" w:rsidP="00BA3A9A">
            <w:pPr>
              <w:spacing w:after="0" w:line="240" w:lineRule="auto"/>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tujina</w:t>
            </w:r>
          </w:p>
        </w:tc>
        <w:tc>
          <w:tcPr>
            <w:tcW w:w="666" w:type="pct"/>
            <w:tcBorders>
              <w:top w:val="nil"/>
              <w:left w:val="nil"/>
              <w:bottom w:val="single" w:sz="4" w:space="0" w:color="auto"/>
              <w:right w:val="single" w:sz="4" w:space="0" w:color="auto"/>
            </w:tcBorders>
            <w:shd w:val="clear" w:color="auto" w:fill="auto"/>
            <w:noWrap/>
            <w:vAlign w:val="center"/>
            <w:hideMark/>
          </w:tcPr>
          <w:p w14:paraId="31163E04" w14:textId="77777777" w:rsidR="00BA3A9A" w:rsidRPr="00BA3A9A" w:rsidRDefault="00BA3A9A" w:rsidP="00BA3A9A">
            <w:pPr>
              <w:spacing w:after="0" w:line="240" w:lineRule="auto"/>
              <w:jc w:val="right"/>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148</w:t>
            </w:r>
          </w:p>
        </w:tc>
        <w:tc>
          <w:tcPr>
            <w:tcW w:w="994" w:type="pct"/>
            <w:tcBorders>
              <w:top w:val="nil"/>
              <w:left w:val="nil"/>
              <w:bottom w:val="nil"/>
              <w:right w:val="single" w:sz="4" w:space="0" w:color="auto"/>
            </w:tcBorders>
            <w:shd w:val="clear" w:color="auto" w:fill="auto"/>
            <w:noWrap/>
            <w:vAlign w:val="center"/>
            <w:hideMark/>
          </w:tcPr>
          <w:p w14:paraId="3D55F0FA" w14:textId="77777777" w:rsidR="00BA3A9A" w:rsidRPr="00BA3A9A" w:rsidRDefault="00BA3A9A" w:rsidP="00BA3A9A">
            <w:pPr>
              <w:spacing w:after="0" w:line="240" w:lineRule="auto"/>
              <w:jc w:val="right"/>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16.227.867</w:t>
            </w:r>
          </w:p>
        </w:tc>
        <w:tc>
          <w:tcPr>
            <w:tcW w:w="666" w:type="pct"/>
            <w:tcBorders>
              <w:top w:val="single" w:sz="4" w:space="0" w:color="auto"/>
              <w:left w:val="nil"/>
              <w:bottom w:val="single" w:sz="4" w:space="0" w:color="auto"/>
              <w:right w:val="single" w:sz="4" w:space="0" w:color="auto"/>
            </w:tcBorders>
            <w:shd w:val="clear" w:color="auto" w:fill="auto"/>
            <w:noWrap/>
            <w:vAlign w:val="center"/>
            <w:hideMark/>
          </w:tcPr>
          <w:p w14:paraId="250A7246" w14:textId="75EC7244" w:rsidR="00BA3A9A" w:rsidRPr="00BA3A9A" w:rsidRDefault="00BA3A9A" w:rsidP="00BA3A9A">
            <w:pPr>
              <w:spacing w:after="0" w:line="240" w:lineRule="auto"/>
              <w:jc w:val="right"/>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4,41</w:t>
            </w:r>
            <w:r w:rsidRPr="00B73CA3">
              <w:rPr>
                <w:rFonts w:ascii="Arial" w:eastAsia="Times New Roman" w:hAnsi="Arial" w:cs="Arial"/>
                <w:color w:val="000000" w:themeColor="text1"/>
                <w:sz w:val="18"/>
                <w:szCs w:val="18"/>
                <w:lang w:eastAsia="sl-SI"/>
              </w:rPr>
              <w:t xml:space="preserve"> </w:t>
            </w:r>
            <w:r w:rsidRPr="00BA3A9A">
              <w:rPr>
                <w:rFonts w:ascii="Arial" w:eastAsia="Times New Roman" w:hAnsi="Arial" w:cs="Arial"/>
                <w:color w:val="000000" w:themeColor="text1"/>
                <w:sz w:val="18"/>
                <w:szCs w:val="18"/>
                <w:lang w:eastAsia="sl-SI"/>
              </w:rPr>
              <w:t>%</w:t>
            </w:r>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14:paraId="1CCEBDE6" w14:textId="5DAB647A" w:rsidR="00BA3A9A" w:rsidRPr="00BA3A9A" w:rsidRDefault="00BA3A9A" w:rsidP="00BA3A9A">
            <w:pPr>
              <w:spacing w:after="0" w:line="240" w:lineRule="auto"/>
              <w:jc w:val="right"/>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9,04</w:t>
            </w:r>
            <w:r w:rsidRPr="00B73CA3">
              <w:rPr>
                <w:rFonts w:ascii="Arial" w:eastAsia="Times New Roman" w:hAnsi="Arial" w:cs="Arial"/>
                <w:color w:val="000000" w:themeColor="text1"/>
                <w:sz w:val="18"/>
                <w:szCs w:val="18"/>
                <w:lang w:eastAsia="sl-SI"/>
              </w:rPr>
              <w:t xml:space="preserve"> </w:t>
            </w:r>
            <w:r w:rsidRPr="00BA3A9A">
              <w:rPr>
                <w:rFonts w:ascii="Arial" w:eastAsia="Times New Roman" w:hAnsi="Arial" w:cs="Arial"/>
                <w:color w:val="000000" w:themeColor="text1"/>
                <w:sz w:val="18"/>
                <w:szCs w:val="18"/>
                <w:lang w:eastAsia="sl-SI"/>
              </w:rPr>
              <w:t>%</w:t>
            </w:r>
          </w:p>
        </w:tc>
      </w:tr>
      <w:tr w:rsidR="00B73CA3" w:rsidRPr="00B73CA3" w14:paraId="31138DCF" w14:textId="77777777" w:rsidTr="00B73CA3">
        <w:trPr>
          <w:trHeight w:val="300"/>
        </w:trPr>
        <w:tc>
          <w:tcPr>
            <w:tcW w:w="667" w:type="pct"/>
            <w:vMerge/>
            <w:tcBorders>
              <w:top w:val="nil"/>
              <w:left w:val="single" w:sz="4" w:space="0" w:color="auto"/>
              <w:bottom w:val="single" w:sz="4" w:space="0" w:color="auto"/>
              <w:right w:val="single" w:sz="4" w:space="0" w:color="auto"/>
            </w:tcBorders>
            <w:vAlign w:val="center"/>
            <w:hideMark/>
          </w:tcPr>
          <w:p w14:paraId="41F49FF8" w14:textId="77777777" w:rsidR="00BA3A9A" w:rsidRPr="00BA3A9A" w:rsidRDefault="00BA3A9A" w:rsidP="00BA3A9A">
            <w:pPr>
              <w:spacing w:after="0" w:line="240" w:lineRule="auto"/>
              <w:rPr>
                <w:rFonts w:ascii="Arial" w:eastAsia="Times New Roman" w:hAnsi="Arial" w:cs="Arial"/>
                <w:color w:val="000000" w:themeColor="text1"/>
                <w:sz w:val="18"/>
                <w:szCs w:val="18"/>
                <w:lang w:eastAsia="sl-SI"/>
              </w:rPr>
            </w:pPr>
          </w:p>
        </w:tc>
        <w:tc>
          <w:tcPr>
            <w:tcW w:w="1342"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60A9D0D2" w14:textId="77777777" w:rsidR="00BA3A9A" w:rsidRPr="00BA3A9A" w:rsidRDefault="00BA3A9A" w:rsidP="00BA3A9A">
            <w:pPr>
              <w:spacing w:after="0" w:line="240" w:lineRule="auto"/>
              <w:rPr>
                <w:rFonts w:ascii="Arial" w:eastAsia="Times New Roman" w:hAnsi="Arial" w:cs="Arial"/>
                <w:b/>
                <w:bCs/>
                <w:color w:val="000000" w:themeColor="text1"/>
                <w:sz w:val="18"/>
                <w:szCs w:val="18"/>
                <w:lang w:eastAsia="sl-SI"/>
              </w:rPr>
            </w:pPr>
            <w:r w:rsidRPr="00BA3A9A">
              <w:rPr>
                <w:rFonts w:ascii="Arial" w:eastAsia="Times New Roman" w:hAnsi="Arial" w:cs="Arial"/>
                <w:b/>
                <w:bCs/>
                <w:color w:val="000000" w:themeColor="text1"/>
                <w:sz w:val="18"/>
                <w:szCs w:val="18"/>
                <w:lang w:eastAsia="sl-SI"/>
              </w:rPr>
              <w:t>Skupaj</w:t>
            </w:r>
          </w:p>
        </w:tc>
        <w:tc>
          <w:tcPr>
            <w:tcW w:w="666" w:type="pct"/>
            <w:tcBorders>
              <w:top w:val="nil"/>
              <w:left w:val="nil"/>
              <w:bottom w:val="single" w:sz="4" w:space="0" w:color="auto"/>
              <w:right w:val="single" w:sz="4" w:space="0" w:color="auto"/>
            </w:tcBorders>
            <w:shd w:val="clear" w:color="auto" w:fill="auto"/>
            <w:noWrap/>
            <w:vAlign w:val="center"/>
            <w:hideMark/>
          </w:tcPr>
          <w:p w14:paraId="6DBCFF6C" w14:textId="77777777" w:rsidR="00BA3A9A" w:rsidRPr="00BA3A9A" w:rsidRDefault="00BA3A9A" w:rsidP="00BA3A9A">
            <w:pPr>
              <w:spacing w:after="0" w:line="240" w:lineRule="auto"/>
              <w:jc w:val="right"/>
              <w:rPr>
                <w:rFonts w:ascii="Arial" w:eastAsia="Times New Roman" w:hAnsi="Arial" w:cs="Arial"/>
                <w:b/>
                <w:bCs/>
                <w:color w:val="000000" w:themeColor="text1"/>
                <w:sz w:val="18"/>
                <w:szCs w:val="18"/>
                <w:lang w:eastAsia="sl-SI"/>
              </w:rPr>
            </w:pPr>
            <w:r w:rsidRPr="00BA3A9A">
              <w:rPr>
                <w:rFonts w:ascii="Arial" w:eastAsia="Times New Roman" w:hAnsi="Arial" w:cs="Arial"/>
                <w:b/>
                <w:bCs/>
                <w:color w:val="000000" w:themeColor="text1"/>
                <w:sz w:val="18"/>
                <w:szCs w:val="18"/>
                <w:lang w:eastAsia="sl-SI"/>
              </w:rPr>
              <w:t>11.457</w:t>
            </w:r>
          </w:p>
        </w:tc>
        <w:tc>
          <w:tcPr>
            <w:tcW w:w="994" w:type="pct"/>
            <w:tcBorders>
              <w:top w:val="single" w:sz="4" w:space="0" w:color="auto"/>
              <w:left w:val="nil"/>
              <w:bottom w:val="single" w:sz="4" w:space="0" w:color="auto"/>
              <w:right w:val="single" w:sz="4" w:space="0" w:color="auto"/>
            </w:tcBorders>
            <w:shd w:val="clear" w:color="auto" w:fill="auto"/>
            <w:noWrap/>
            <w:vAlign w:val="center"/>
            <w:hideMark/>
          </w:tcPr>
          <w:p w14:paraId="069FCB19" w14:textId="77777777" w:rsidR="00BA3A9A" w:rsidRPr="00BA3A9A" w:rsidRDefault="00BA3A9A" w:rsidP="00BA3A9A">
            <w:pPr>
              <w:spacing w:after="0" w:line="240" w:lineRule="auto"/>
              <w:jc w:val="right"/>
              <w:rPr>
                <w:rFonts w:ascii="Arial" w:eastAsia="Times New Roman" w:hAnsi="Arial" w:cs="Arial"/>
                <w:b/>
                <w:bCs/>
                <w:color w:val="000000" w:themeColor="text1"/>
                <w:sz w:val="18"/>
                <w:szCs w:val="18"/>
                <w:lang w:eastAsia="sl-SI"/>
              </w:rPr>
            </w:pPr>
            <w:r w:rsidRPr="00BA3A9A">
              <w:rPr>
                <w:rFonts w:ascii="Arial" w:eastAsia="Times New Roman" w:hAnsi="Arial" w:cs="Arial"/>
                <w:b/>
                <w:bCs/>
                <w:color w:val="000000" w:themeColor="text1"/>
                <w:sz w:val="18"/>
                <w:szCs w:val="18"/>
                <w:lang w:eastAsia="sl-SI"/>
              </w:rPr>
              <w:t>1.810.773.018</w:t>
            </w:r>
          </w:p>
        </w:tc>
        <w:tc>
          <w:tcPr>
            <w:tcW w:w="666" w:type="pct"/>
            <w:tcBorders>
              <w:top w:val="nil"/>
              <w:left w:val="nil"/>
              <w:bottom w:val="nil"/>
              <w:right w:val="nil"/>
            </w:tcBorders>
            <w:shd w:val="clear" w:color="auto" w:fill="auto"/>
            <w:noWrap/>
            <w:vAlign w:val="center"/>
            <w:hideMark/>
          </w:tcPr>
          <w:p w14:paraId="3B3F311C" w14:textId="77777777" w:rsidR="00BA3A9A" w:rsidRPr="00BA3A9A" w:rsidRDefault="00BA3A9A" w:rsidP="00BA3A9A">
            <w:pPr>
              <w:spacing w:after="0" w:line="240" w:lineRule="auto"/>
              <w:jc w:val="right"/>
              <w:rPr>
                <w:rFonts w:ascii="Arial" w:eastAsia="Times New Roman" w:hAnsi="Arial" w:cs="Arial"/>
                <w:color w:val="000000" w:themeColor="text1"/>
                <w:sz w:val="18"/>
                <w:szCs w:val="18"/>
                <w:lang w:eastAsia="sl-SI"/>
              </w:rPr>
            </w:pPr>
          </w:p>
        </w:tc>
        <w:tc>
          <w:tcPr>
            <w:tcW w:w="665" w:type="pct"/>
            <w:tcBorders>
              <w:top w:val="nil"/>
              <w:left w:val="nil"/>
              <w:bottom w:val="nil"/>
              <w:right w:val="nil"/>
            </w:tcBorders>
            <w:shd w:val="clear" w:color="auto" w:fill="auto"/>
            <w:noWrap/>
            <w:vAlign w:val="center"/>
            <w:hideMark/>
          </w:tcPr>
          <w:p w14:paraId="024BCD67" w14:textId="77777777" w:rsidR="00BA3A9A" w:rsidRPr="00BA3A9A" w:rsidRDefault="00BA3A9A" w:rsidP="00BA3A9A">
            <w:pPr>
              <w:spacing w:after="0" w:line="240" w:lineRule="auto"/>
              <w:jc w:val="right"/>
              <w:rPr>
                <w:rFonts w:ascii="Arial" w:eastAsia="Times New Roman" w:hAnsi="Arial" w:cs="Arial"/>
                <w:color w:val="000000" w:themeColor="text1"/>
                <w:sz w:val="18"/>
                <w:szCs w:val="18"/>
                <w:lang w:eastAsia="sl-SI"/>
              </w:rPr>
            </w:pPr>
          </w:p>
        </w:tc>
      </w:tr>
      <w:tr w:rsidR="00B73CA3" w:rsidRPr="00B73CA3" w14:paraId="00C8555B" w14:textId="77777777" w:rsidTr="00B73CA3">
        <w:trPr>
          <w:trHeight w:val="300"/>
        </w:trPr>
        <w:tc>
          <w:tcPr>
            <w:tcW w:w="66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6340A2E" w14:textId="77777777" w:rsidR="00BA3A9A" w:rsidRPr="00BA3A9A" w:rsidRDefault="00BA3A9A" w:rsidP="00BA3A9A">
            <w:pPr>
              <w:spacing w:after="0" w:line="240" w:lineRule="auto"/>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Storitve</w:t>
            </w:r>
          </w:p>
        </w:tc>
        <w:tc>
          <w:tcPr>
            <w:tcW w:w="66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577583C" w14:textId="77777777" w:rsidR="00BA3A9A" w:rsidRPr="00BA3A9A" w:rsidRDefault="00BA3A9A" w:rsidP="00BA3A9A">
            <w:pPr>
              <w:spacing w:after="0" w:line="240" w:lineRule="auto"/>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DA</w:t>
            </w:r>
          </w:p>
        </w:tc>
        <w:tc>
          <w:tcPr>
            <w:tcW w:w="675" w:type="pct"/>
            <w:tcBorders>
              <w:top w:val="nil"/>
              <w:left w:val="nil"/>
              <w:bottom w:val="single" w:sz="4" w:space="0" w:color="auto"/>
              <w:right w:val="single" w:sz="4" w:space="0" w:color="auto"/>
            </w:tcBorders>
            <w:shd w:val="clear" w:color="auto" w:fill="auto"/>
            <w:noWrap/>
            <w:vAlign w:val="center"/>
            <w:hideMark/>
          </w:tcPr>
          <w:p w14:paraId="6E80C13F" w14:textId="77777777" w:rsidR="00BA3A9A" w:rsidRPr="00BA3A9A" w:rsidRDefault="00BA3A9A" w:rsidP="00BA3A9A">
            <w:pPr>
              <w:spacing w:after="0" w:line="240" w:lineRule="auto"/>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Slovenija</w:t>
            </w:r>
          </w:p>
        </w:tc>
        <w:tc>
          <w:tcPr>
            <w:tcW w:w="666" w:type="pct"/>
            <w:tcBorders>
              <w:top w:val="nil"/>
              <w:left w:val="nil"/>
              <w:bottom w:val="single" w:sz="4" w:space="0" w:color="auto"/>
              <w:right w:val="single" w:sz="4" w:space="0" w:color="auto"/>
            </w:tcBorders>
            <w:shd w:val="clear" w:color="auto" w:fill="auto"/>
            <w:noWrap/>
            <w:vAlign w:val="center"/>
            <w:hideMark/>
          </w:tcPr>
          <w:p w14:paraId="5C828AB7" w14:textId="77777777" w:rsidR="00BA3A9A" w:rsidRPr="00BA3A9A" w:rsidRDefault="00BA3A9A" w:rsidP="00BA3A9A">
            <w:pPr>
              <w:spacing w:after="0" w:line="240" w:lineRule="auto"/>
              <w:jc w:val="right"/>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1.988</w:t>
            </w:r>
          </w:p>
        </w:tc>
        <w:tc>
          <w:tcPr>
            <w:tcW w:w="994" w:type="pct"/>
            <w:tcBorders>
              <w:top w:val="nil"/>
              <w:left w:val="nil"/>
              <w:bottom w:val="single" w:sz="4" w:space="0" w:color="auto"/>
              <w:right w:val="single" w:sz="4" w:space="0" w:color="auto"/>
            </w:tcBorders>
            <w:shd w:val="clear" w:color="auto" w:fill="auto"/>
            <w:noWrap/>
            <w:vAlign w:val="center"/>
            <w:hideMark/>
          </w:tcPr>
          <w:p w14:paraId="17108000" w14:textId="77777777" w:rsidR="00BA3A9A" w:rsidRPr="00BA3A9A" w:rsidRDefault="00BA3A9A" w:rsidP="00BA3A9A">
            <w:pPr>
              <w:spacing w:after="0" w:line="240" w:lineRule="auto"/>
              <w:jc w:val="right"/>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1.517.498.230</w:t>
            </w:r>
          </w:p>
        </w:tc>
        <w:tc>
          <w:tcPr>
            <w:tcW w:w="666" w:type="pct"/>
            <w:tcBorders>
              <w:top w:val="single" w:sz="4" w:space="0" w:color="auto"/>
              <w:left w:val="nil"/>
              <w:bottom w:val="single" w:sz="4" w:space="0" w:color="auto"/>
              <w:right w:val="single" w:sz="4" w:space="0" w:color="auto"/>
            </w:tcBorders>
            <w:shd w:val="clear" w:color="auto" w:fill="auto"/>
            <w:noWrap/>
            <w:vAlign w:val="center"/>
            <w:hideMark/>
          </w:tcPr>
          <w:p w14:paraId="6F0B3A97" w14:textId="0AE88913" w:rsidR="00BA3A9A" w:rsidRPr="00BA3A9A" w:rsidRDefault="00BA3A9A" w:rsidP="00BA3A9A">
            <w:pPr>
              <w:spacing w:after="0" w:line="240" w:lineRule="auto"/>
              <w:jc w:val="right"/>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97,93</w:t>
            </w:r>
            <w:r w:rsidRPr="00B73CA3">
              <w:rPr>
                <w:rFonts w:ascii="Arial" w:eastAsia="Times New Roman" w:hAnsi="Arial" w:cs="Arial"/>
                <w:color w:val="000000" w:themeColor="text1"/>
                <w:sz w:val="18"/>
                <w:szCs w:val="18"/>
                <w:lang w:eastAsia="sl-SI"/>
              </w:rPr>
              <w:t xml:space="preserve"> </w:t>
            </w:r>
            <w:r w:rsidRPr="00BA3A9A">
              <w:rPr>
                <w:rFonts w:ascii="Arial" w:eastAsia="Times New Roman" w:hAnsi="Arial" w:cs="Arial"/>
                <w:color w:val="000000" w:themeColor="text1"/>
                <w:sz w:val="18"/>
                <w:szCs w:val="18"/>
                <w:lang w:eastAsia="sl-SI"/>
              </w:rPr>
              <w:t>%</w:t>
            </w:r>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14:paraId="1CD3B4B5" w14:textId="133A82E6" w:rsidR="00BA3A9A" w:rsidRPr="00BA3A9A" w:rsidRDefault="00BA3A9A" w:rsidP="00BA3A9A">
            <w:pPr>
              <w:spacing w:after="0" w:line="240" w:lineRule="auto"/>
              <w:jc w:val="right"/>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95,32</w:t>
            </w:r>
            <w:r w:rsidRPr="00B73CA3">
              <w:rPr>
                <w:rFonts w:ascii="Arial" w:eastAsia="Times New Roman" w:hAnsi="Arial" w:cs="Arial"/>
                <w:color w:val="000000" w:themeColor="text1"/>
                <w:sz w:val="18"/>
                <w:szCs w:val="18"/>
                <w:lang w:eastAsia="sl-SI"/>
              </w:rPr>
              <w:t xml:space="preserve"> </w:t>
            </w:r>
            <w:r w:rsidRPr="00BA3A9A">
              <w:rPr>
                <w:rFonts w:ascii="Arial" w:eastAsia="Times New Roman" w:hAnsi="Arial" w:cs="Arial"/>
                <w:color w:val="000000" w:themeColor="text1"/>
                <w:sz w:val="18"/>
                <w:szCs w:val="18"/>
                <w:lang w:eastAsia="sl-SI"/>
              </w:rPr>
              <w:t>%</w:t>
            </w:r>
          </w:p>
        </w:tc>
      </w:tr>
      <w:tr w:rsidR="00B73CA3" w:rsidRPr="00B73CA3" w14:paraId="5AF99587" w14:textId="77777777" w:rsidTr="00B73CA3">
        <w:trPr>
          <w:trHeight w:val="300"/>
        </w:trPr>
        <w:tc>
          <w:tcPr>
            <w:tcW w:w="667" w:type="pct"/>
            <w:vMerge/>
            <w:tcBorders>
              <w:top w:val="nil"/>
              <w:left w:val="single" w:sz="4" w:space="0" w:color="auto"/>
              <w:bottom w:val="single" w:sz="4" w:space="0" w:color="auto"/>
              <w:right w:val="single" w:sz="4" w:space="0" w:color="auto"/>
            </w:tcBorders>
            <w:vAlign w:val="center"/>
            <w:hideMark/>
          </w:tcPr>
          <w:p w14:paraId="207F301E" w14:textId="77777777" w:rsidR="00BA3A9A" w:rsidRPr="00BA3A9A" w:rsidRDefault="00BA3A9A" w:rsidP="00BA3A9A">
            <w:pPr>
              <w:spacing w:after="0" w:line="240" w:lineRule="auto"/>
              <w:rPr>
                <w:rFonts w:ascii="Arial" w:eastAsia="Times New Roman" w:hAnsi="Arial" w:cs="Arial"/>
                <w:color w:val="000000" w:themeColor="text1"/>
                <w:sz w:val="18"/>
                <w:szCs w:val="18"/>
                <w:lang w:eastAsia="sl-SI"/>
              </w:rPr>
            </w:pPr>
          </w:p>
        </w:tc>
        <w:tc>
          <w:tcPr>
            <w:tcW w:w="667" w:type="pct"/>
            <w:vMerge/>
            <w:tcBorders>
              <w:top w:val="nil"/>
              <w:left w:val="single" w:sz="4" w:space="0" w:color="auto"/>
              <w:bottom w:val="single" w:sz="4" w:space="0" w:color="auto"/>
              <w:right w:val="single" w:sz="4" w:space="0" w:color="auto"/>
            </w:tcBorders>
            <w:vAlign w:val="center"/>
            <w:hideMark/>
          </w:tcPr>
          <w:p w14:paraId="4A65C13F" w14:textId="77777777" w:rsidR="00BA3A9A" w:rsidRPr="00BA3A9A" w:rsidRDefault="00BA3A9A" w:rsidP="00BA3A9A">
            <w:pPr>
              <w:spacing w:after="0" w:line="240" w:lineRule="auto"/>
              <w:rPr>
                <w:rFonts w:ascii="Arial" w:eastAsia="Times New Roman" w:hAnsi="Arial" w:cs="Arial"/>
                <w:color w:val="000000" w:themeColor="text1"/>
                <w:sz w:val="18"/>
                <w:szCs w:val="18"/>
                <w:lang w:eastAsia="sl-SI"/>
              </w:rPr>
            </w:pPr>
          </w:p>
        </w:tc>
        <w:tc>
          <w:tcPr>
            <w:tcW w:w="675" w:type="pct"/>
            <w:tcBorders>
              <w:top w:val="nil"/>
              <w:left w:val="nil"/>
              <w:bottom w:val="single" w:sz="4" w:space="0" w:color="auto"/>
              <w:right w:val="single" w:sz="4" w:space="0" w:color="auto"/>
            </w:tcBorders>
            <w:shd w:val="clear" w:color="auto" w:fill="auto"/>
            <w:noWrap/>
            <w:vAlign w:val="center"/>
            <w:hideMark/>
          </w:tcPr>
          <w:p w14:paraId="3CB364C4" w14:textId="77777777" w:rsidR="00BA3A9A" w:rsidRPr="00BA3A9A" w:rsidRDefault="00BA3A9A" w:rsidP="00BA3A9A">
            <w:pPr>
              <w:spacing w:after="0" w:line="240" w:lineRule="auto"/>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tujina</w:t>
            </w:r>
          </w:p>
        </w:tc>
        <w:tc>
          <w:tcPr>
            <w:tcW w:w="666" w:type="pct"/>
            <w:tcBorders>
              <w:top w:val="nil"/>
              <w:left w:val="nil"/>
              <w:bottom w:val="single" w:sz="4" w:space="0" w:color="auto"/>
              <w:right w:val="single" w:sz="4" w:space="0" w:color="auto"/>
            </w:tcBorders>
            <w:shd w:val="clear" w:color="auto" w:fill="auto"/>
            <w:noWrap/>
            <w:vAlign w:val="center"/>
            <w:hideMark/>
          </w:tcPr>
          <w:p w14:paraId="492D9150" w14:textId="77777777" w:rsidR="00BA3A9A" w:rsidRPr="00BA3A9A" w:rsidRDefault="00BA3A9A" w:rsidP="00BA3A9A">
            <w:pPr>
              <w:spacing w:after="0" w:line="240" w:lineRule="auto"/>
              <w:jc w:val="right"/>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42</w:t>
            </w:r>
          </w:p>
        </w:tc>
        <w:tc>
          <w:tcPr>
            <w:tcW w:w="994" w:type="pct"/>
            <w:tcBorders>
              <w:top w:val="nil"/>
              <w:left w:val="nil"/>
              <w:bottom w:val="single" w:sz="4" w:space="0" w:color="auto"/>
              <w:right w:val="single" w:sz="4" w:space="0" w:color="auto"/>
            </w:tcBorders>
            <w:shd w:val="clear" w:color="auto" w:fill="auto"/>
            <w:noWrap/>
            <w:vAlign w:val="center"/>
            <w:hideMark/>
          </w:tcPr>
          <w:p w14:paraId="742C894B" w14:textId="77777777" w:rsidR="00BA3A9A" w:rsidRPr="00BA3A9A" w:rsidRDefault="00BA3A9A" w:rsidP="00BA3A9A">
            <w:pPr>
              <w:spacing w:after="0" w:line="240" w:lineRule="auto"/>
              <w:jc w:val="right"/>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74.558.660</w:t>
            </w:r>
          </w:p>
        </w:tc>
        <w:tc>
          <w:tcPr>
            <w:tcW w:w="666" w:type="pct"/>
            <w:tcBorders>
              <w:top w:val="nil"/>
              <w:left w:val="nil"/>
              <w:bottom w:val="single" w:sz="4" w:space="0" w:color="auto"/>
              <w:right w:val="single" w:sz="4" w:space="0" w:color="auto"/>
            </w:tcBorders>
            <w:shd w:val="clear" w:color="auto" w:fill="auto"/>
            <w:noWrap/>
            <w:vAlign w:val="center"/>
            <w:hideMark/>
          </w:tcPr>
          <w:p w14:paraId="6B9BFD47" w14:textId="15DF66CF" w:rsidR="00BA3A9A" w:rsidRPr="00BA3A9A" w:rsidRDefault="00BA3A9A" w:rsidP="00BA3A9A">
            <w:pPr>
              <w:spacing w:after="0" w:line="240" w:lineRule="auto"/>
              <w:jc w:val="right"/>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2,07</w:t>
            </w:r>
            <w:r w:rsidRPr="00B73CA3">
              <w:rPr>
                <w:rFonts w:ascii="Arial" w:eastAsia="Times New Roman" w:hAnsi="Arial" w:cs="Arial"/>
                <w:color w:val="000000" w:themeColor="text1"/>
                <w:sz w:val="18"/>
                <w:szCs w:val="18"/>
                <w:lang w:eastAsia="sl-SI"/>
              </w:rPr>
              <w:t xml:space="preserve"> </w:t>
            </w:r>
            <w:r w:rsidRPr="00BA3A9A">
              <w:rPr>
                <w:rFonts w:ascii="Arial" w:eastAsia="Times New Roman" w:hAnsi="Arial" w:cs="Arial"/>
                <w:color w:val="000000" w:themeColor="text1"/>
                <w:sz w:val="18"/>
                <w:szCs w:val="18"/>
                <w:lang w:eastAsia="sl-SI"/>
              </w:rPr>
              <w:t>%</w:t>
            </w:r>
          </w:p>
        </w:tc>
        <w:tc>
          <w:tcPr>
            <w:tcW w:w="665" w:type="pct"/>
            <w:tcBorders>
              <w:top w:val="nil"/>
              <w:left w:val="nil"/>
              <w:bottom w:val="single" w:sz="4" w:space="0" w:color="auto"/>
              <w:right w:val="single" w:sz="4" w:space="0" w:color="auto"/>
            </w:tcBorders>
            <w:shd w:val="clear" w:color="auto" w:fill="auto"/>
            <w:noWrap/>
            <w:vAlign w:val="center"/>
            <w:hideMark/>
          </w:tcPr>
          <w:p w14:paraId="5A507085" w14:textId="46BC7E95" w:rsidR="00BA3A9A" w:rsidRPr="00BA3A9A" w:rsidRDefault="00BA3A9A" w:rsidP="00BA3A9A">
            <w:pPr>
              <w:spacing w:after="0" w:line="240" w:lineRule="auto"/>
              <w:jc w:val="right"/>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4,68</w:t>
            </w:r>
            <w:r w:rsidRPr="00B73CA3">
              <w:rPr>
                <w:rFonts w:ascii="Arial" w:eastAsia="Times New Roman" w:hAnsi="Arial" w:cs="Arial"/>
                <w:color w:val="000000" w:themeColor="text1"/>
                <w:sz w:val="18"/>
                <w:szCs w:val="18"/>
                <w:lang w:eastAsia="sl-SI"/>
              </w:rPr>
              <w:t xml:space="preserve"> </w:t>
            </w:r>
            <w:r w:rsidRPr="00BA3A9A">
              <w:rPr>
                <w:rFonts w:ascii="Arial" w:eastAsia="Times New Roman" w:hAnsi="Arial" w:cs="Arial"/>
                <w:color w:val="000000" w:themeColor="text1"/>
                <w:sz w:val="18"/>
                <w:szCs w:val="18"/>
                <w:lang w:eastAsia="sl-SI"/>
              </w:rPr>
              <w:t>%</w:t>
            </w:r>
          </w:p>
        </w:tc>
      </w:tr>
      <w:tr w:rsidR="00B73CA3" w:rsidRPr="00B73CA3" w14:paraId="11CB0647" w14:textId="77777777" w:rsidTr="00B73CA3">
        <w:trPr>
          <w:trHeight w:val="300"/>
        </w:trPr>
        <w:tc>
          <w:tcPr>
            <w:tcW w:w="667" w:type="pct"/>
            <w:vMerge/>
            <w:tcBorders>
              <w:top w:val="nil"/>
              <w:left w:val="single" w:sz="4" w:space="0" w:color="auto"/>
              <w:bottom w:val="single" w:sz="4" w:space="0" w:color="auto"/>
              <w:right w:val="single" w:sz="4" w:space="0" w:color="auto"/>
            </w:tcBorders>
            <w:vAlign w:val="center"/>
            <w:hideMark/>
          </w:tcPr>
          <w:p w14:paraId="33EA3582" w14:textId="77777777" w:rsidR="00BA3A9A" w:rsidRPr="00BA3A9A" w:rsidRDefault="00BA3A9A" w:rsidP="00BA3A9A">
            <w:pPr>
              <w:spacing w:after="0" w:line="240" w:lineRule="auto"/>
              <w:rPr>
                <w:rFonts w:ascii="Arial" w:eastAsia="Times New Roman" w:hAnsi="Arial" w:cs="Arial"/>
                <w:color w:val="000000" w:themeColor="text1"/>
                <w:sz w:val="18"/>
                <w:szCs w:val="18"/>
                <w:lang w:eastAsia="sl-SI"/>
              </w:rPr>
            </w:pPr>
          </w:p>
        </w:tc>
        <w:tc>
          <w:tcPr>
            <w:tcW w:w="66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B13916C" w14:textId="77777777" w:rsidR="00BA3A9A" w:rsidRPr="00BA3A9A" w:rsidRDefault="00BA3A9A" w:rsidP="00BA3A9A">
            <w:pPr>
              <w:spacing w:after="0" w:line="240" w:lineRule="auto"/>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NE</w:t>
            </w:r>
          </w:p>
        </w:tc>
        <w:tc>
          <w:tcPr>
            <w:tcW w:w="675" w:type="pct"/>
            <w:tcBorders>
              <w:top w:val="nil"/>
              <w:left w:val="nil"/>
              <w:bottom w:val="single" w:sz="4" w:space="0" w:color="auto"/>
              <w:right w:val="single" w:sz="4" w:space="0" w:color="auto"/>
            </w:tcBorders>
            <w:shd w:val="clear" w:color="auto" w:fill="auto"/>
            <w:noWrap/>
            <w:vAlign w:val="center"/>
            <w:hideMark/>
          </w:tcPr>
          <w:p w14:paraId="78BEA3DD" w14:textId="77777777" w:rsidR="00BA3A9A" w:rsidRPr="00BA3A9A" w:rsidRDefault="00BA3A9A" w:rsidP="00BA3A9A">
            <w:pPr>
              <w:spacing w:after="0" w:line="240" w:lineRule="auto"/>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Slovenija</w:t>
            </w:r>
          </w:p>
        </w:tc>
        <w:tc>
          <w:tcPr>
            <w:tcW w:w="666" w:type="pct"/>
            <w:tcBorders>
              <w:top w:val="nil"/>
              <w:left w:val="nil"/>
              <w:bottom w:val="single" w:sz="4" w:space="0" w:color="auto"/>
              <w:right w:val="single" w:sz="4" w:space="0" w:color="auto"/>
            </w:tcBorders>
            <w:shd w:val="clear" w:color="auto" w:fill="auto"/>
            <w:noWrap/>
            <w:vAlign w:val="center"/>
            <w:hideMark/>
          </w:tcPr>
          <w:p w14:paraId="44A14800" w14:textId="77777777" w:rsidR="00BA3A9A" w:rsidRPr="00BA3A9A" w:rsidRDefault="00BA3A9A" w:rsidP="00BA3A9A">
            <w:pPr>
              <w:spacing w:after="0" w:line="240" w:lineRule="auto"/>
              <w:jc w:val="right"/>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1.928</w:t>
            </w:r>
          </w:p>
        </w:tc>
        <w:tc>
          <w:tcPr>
            <w:tcW w:w="994" w:type="pct"/>
            <w:tcBorders>
              <w:top w:val="nil"/>
              <w:left w:val="nil"/>
              <w:bottom w:val="single" w:sz="4" w:space="0" w:color="auto"/>
              <w:right w:val="single" w:sz="4" w:space="0" w:color="auto"/>
            </w:tcBorders>
            <w:shd w:val="clear" w:color="auto" w:fill="auto"/>
            <w:noWrap/>
            <w:vAlign w:val="center"/>
            <w:hideMark/>
          </w:tcPr>
          <w:p w14:paraId="7A54056F" w14:textId="77777777" w:rsidR="00BA3A9A" w:rsidRPr="00BA3A9A" w:rsidRDefault="00BA3A9A" w:rsidP="00BA3A9A">
            <w:pPr>
              <w:spacing w:after="0" w:line="240" w:lineRule="auto"/>
              <w:jc w:val="right"/>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144.606.621</w:t>
            </w:r>
          </w:p>
        </w:tc>
        <w:tc>
          <w:tcPr>
            <w:tcW w:w="666" w:type="pct"/>
            <w:tcBorders>
              <w:top w:val="nil"/>
              <w:left w:val="nil"/>
              <w:bottom w:val="nil"/>
              <w:right w:val="single" w:sz="4" w:space="0" w:color="auto"/>
            </w:tcBorders>
            <w:shd w:val="clear" w:color="auto" w:fill="auto"/>
            <w:noWrap/>
            <w:vAlign w:val="center"/>
            <w:hideMark/>
          </w:tcPr>
          <w:p w14:paraId="04616093" w14:textId="3677E2ED" w:rsidR="00BA3A9A" w:rsidRPr="00BA3A9A" w:rsidRDefault="00BA3A9A" w:rsidP="00BA3A9A">
            <w:pPr>
              <w:spacing w:after="0" w:line="240" w:lineRule="auto"/>
              <w:jc w:val="right"/>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97,28</w:t>
            </w:r>
            <w:r w:rsidRPr="00B73CA3">
              <w:rPr>
                <w:rFonts w:ascii="Arial" w:eastAsia="Times New Roman" w:hAnsi="Arial" w:cs="Arial"/>
                <w:color w:val="000000" w:themeColor="text1"/>
                <w:sz w:val="18"/>
                <w:szCs w:val="18"/>
                <w:lang w:eastAsia="sl-SI"/>
              </w:rPr>
              <w:t xml:space="preserve"> </w:t>
            </w:r>
            <w:r w:rsidRPr="00BA3A9A">
              <w:rPr>
                <w:rFonts w:ascii="Arial" w:eastAsia="Times New Roman" w:hAnsi="Arial" w:cs="Arial"/>
                <w:color w:val="000000" w:themeColor="text1"/>
                <w:sz w:val="18"/>
                <w:szCs w:val="18"/>
                <w:lang w:eastAsia="sl-SI"/>
              </w:rPr>
              <w:t>%</w:t>
            </w:r>
          </w:p>
        </w:tc>
        <w:tc>
          <w:tcPr>
            <w:tcW w:w="665" w:type="pct"/>
            <w:tcBorders>
              <w:top w:val="nil"/>
              <w:left w:val="nil"/>
              <w:bottom w:val="nil"/>
              <w:right w:val="single" w:sz="4" w:space="0" w:color="auto"/>
            </w:tcBorders>
            <w:shd w:val="clear" w:color="auto" w:fill="auto"/>
            <w:noWrap/>
            <w:vAlign w:val="center"/>
            <w:hideMark/>
          </w:tcPr>
          <w:p w14:paraId="26C29496" w14:textId="4850E97A" w:rsidR="00BA3A9A" w:rsidRPr="00BA3A9A" w:rsidRDefault="00BA3A9A" w:rsidP="00BA3A9A">
            <w:pPr>
              <w:spacing w:after="0" w:line="240" w:lineRule="auto"/>
              <w:jc w:val="right"/>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94,69</w:t>
            </w:r>
            <w:r w:rsidRPr="00B73CA3">
              <w:rPr>
                <w:rFonts w:ascii="Arial" w:eastAsia="Times New Roman" w:hAnsi="Arial" w:cs="Arial"/>
                <w:color w:val="000000" w:themeColor="text1"/>
                <w:sz w:val="18"/>
                <w:szCs w:val="18"/>
                <w:lang w:eastAsia="sl-SI"/>
              </w:rPr>
              <w:t xml:space="preserve"> </w:t>
            </w:r>
            <w:r w:rsidRPr="00BA3A9A">
              <w:rPr>
                <w:rFonts w:ascii="Arial" w:eastAsia="Times New Roman" w:hAnsi="Arial" w:cs="Arial"/>
                <w:color w:val="000000" w:themeColor="text1"/>
                <w:sz w:val="18"/>
                <w:szCs w:val="18"/>
                <w:lang w:eastAsia="sl-SI"/>
              </w:rPr>
              <w:t>%</w:t>
            </w:r>
          </w:p>
        </w:tc>
      </w:tr>
      <w:tr w:rsidR="00B73CA3" w:rsidRPr="00B73CA3" w14:paraId="4C6574AE" w14:textId="77777777" w:rsidTr="00B73CA3">
        <w:trPr>
          <w:trHeight w:val="300"/>
        </w:trPr>
        <w:tc>
          <w:tcPr>
            <w:tcW w:w="667" w:type="pct"/>
            <w:vMerge/>
            <w:tcBorders>
              <w:top w:val="nil"/>
              <w:left w:val="single" w:sz="4" w:space="0" w:color="auto"/>
              <w:bottom w:val="single" w:sz="4" w:space="0" w:color="auto"/>
              <w:right w:val="single" w:sz="4" w:space="0" w:color="auto"/>
            </w:tcBorders>
            <w:vAlign w:val="center"/>
            <w:hideMark/>
          </w:tcPr>
          <w:p w14:paraId="34BC85B8" w14:textId="77777777" w:rsidR="00BA3A9A" w:rsidRPr="00BA3A9A" w:rsidRDefault="00BA3A9A" w:rsidP="00BA3A9A">
            <w:pPr>
              <w:spacing w:after="0" w:line="240" w:lineRule="auto"/>
              <w:rPr>
                <w:rFonts w:ascii="Arial" w:eastAsia="Times New Roman" w:hAnsi="Arial" w:cs="Arial"/>
                <w:color w:val="000000" w:themeColor="text1"/>
                <w:sz w:val="18"/>
                <w:szCs w:val="18"/>
                <w:lang w:eastAsia="sl-SI"/>
              </w:rPr>
            </w:pPr>
          </w:p>
        </w:tc>
        <w:tc>
          <w:tcPr>
            <w:tcW w:w="667" w:type="pct"/>
            <w:vMerge/>
            <w:tcBorders>
              <w:top w:val="nil"/>
              <w:left w:val="single" w:sz="4" w:space="0" w:color="auto"/>
              <w:bottom w:val="single" w:sz="4" w:space="0" w:color="auto"/>
              <w:right w:val="single" w:sz="4" w:space="0" w:color="auto"/>
            </w:tcBorders>
            <w:vAlign w:val="center"/>
            <w:hideMark/>
          </w:tcPr>
          <w:p w14:paraId="3F62B8F6" w14:textId="77777777" w:rsidR="00BA3A9A" w:rsidRPr="00BA3A9A" w:rsidRDefault="00BA3A9A" w:rsidP="00BA3A9A">
            <w:pPr>
              <w:spacing w:after="0" w:line="240" w:lineRule="auto"/>
              <w:rPr>
                <w:rFonts w:ascii="Arial" w:eastAsia="Times New Roman" w:hAnsi="Arial" w:cs="Arial"/>
                <w:color w:val="000000" w:themeColor="text1"/>
                <w:sz w:val="18"/>
                <w:szCs w:val="18"/>
                <w:lang w:eastAsia="sl-SI"/>
              </w:rPr>
            </w:pPr>
          </w:p>
        </w:tc>
        <w:tc>
          <w:tcPr>
            <w:tcW w:w="675" w:type="pct"/>
            <w:tcBorders>
              <w:top w:val="nil"/>
              <w:left w:val="nil"/>
              <w:bottom w:val="single" w:sz="4" w:space="0" w:color="auto"/>
              <w:right w:val="single" w:sz="4" w:space="0" w:color="auto"/>
            </w:tcBorders>
            <w:shd w:val="clear" w:color="auto" w:fill="auto"/>
            <w:noWrap/>
            <w:vAlign w:val="center"/>
            <w:hideMark/>
          </w:tcPr>
          <w:p w14:paraId="495E9C65" w14:textId="77777777" w:rsidR="00BA3A9A" w:rsidRPr="00BA3A9A" w:rsidRDefault="00BA3A9A" w:rsidP="00BA3A9A">
            <w:pPr>
              <w:spacing w:after="0" w:line="240" w:lineRule="auto"/>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tujina</w:t>
            </w:r>
          </w:p>
        </w:tc>
        <w:tc>
          <w:tcPr>
            <w:tcW w:w="666" w:type="pct"/>
            <w:tcBorders>
              <w:top w:val="nil"/>
              <w:left w:val="nil"/>
              <w:bottom w:val="single" w:sz="4" w:space="0" w:color="auto"/>
              <w:right w:val="single" w:sz="4" w:space="0" w:color="auto"/>
            </w:tcBorders>
            <w:shd w:val="clear" w:color="auto" w:fill="auto"/>
            <w:noWrap/>
            <w:vAlign w:val="center"/>
            <w:hideMark/>
          </w:tcPr>
          <w:p w14:paraId="4DA29F2A" w14:textId="77777777" w:rsidR="00BA3A9A" w:rsidRPr="00BA3A9A" w:rsidRDefault="00BA3A9A" w:rsidP="00BA3A9A">
            <w:pPr>
              <w:spacing w:after="0" w:line="240" w:lineRule="auto"/>
              <w:jc w:val="right"/>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54</w:t>
            </w:r>
          </w:p>
        </w:tc>
        <w:tc>
          <w:tcPr>
            <w:tcW w:w="994" w:type="pct"/>
            <w:tcBorders>
              <w:top w:val="nil"/>
              <w:left w:val="nil"/>
              <w:bottom w:val="nil"/>
              <w:right w:val="single" w:sz="4" w:space="0" w:color="auto"/>
            </w:tcBorders>
            <w:shd w:val="clear" w:color="auto" w:fill="auto"/>
            <w:noWrap/>
            <w:vAlign w:val="center"/>
            <w:hideMark/>
          </w:tcPr>
          <w:p w14:paraId="72C0EB3E" w14:textId="77777777" w:rsidR="00BA3A9A" w:rsidRPr="00BA3A9A" w:rsidRDefault="00BA3A9A" w:rsidP="00BA3A9A">
            <w:pPr>
              <w:spacing w:after="0" w:line="240" w:lineRule="auto"/>
              <w:jc w:val="right"/>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8.102.178</w:t>
            </w:r>
          </w:p>
        </w:tc>
        <w:tc>
          <w:tcPr>
            <w:tcW w:w="666" w:type="pct"/>
            <w:tcBorders>
              <w:top w:val="single" w:sz="4" w:space="0" w:color="auto"/>
              <w:left w:val="nil"/>
              <w:bottom w:val="single" w:sz="4" w:space="0" w:color="auto"/>
              <w:right w:val="single" w:sz="4" w:space="0" w:color="auto"/>
            </w:tcBorders>
            <w:shd w:val="clear" w:color="auto" w:fill="auto"/>
            <w:noWrap/>
            <w:vAlign w:val="center"/>
            <w:hideMark/>
          </w:tcPr>
          <w:p w14:paraId="6E0D9352" w14:textId="30495BC4" w:rsidR="00BA3A9A" w:rsidRPr="00BA3A9A" w:rsidRDefault="00BA3A9A" w:rsidP="00BA3A9A">
            <w:pPr>
              <w:spacing w:after="0" w:line="240" w:lineRule="auto"/>
              <w:jc w:val="right"/>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2,72</w:t>
            </w:r>
            <w:r w:rsidRPr="00B73CA3">
              <w:rPr>
                <w:rFonts w:ascii="Arial" w:eastAsia="Times New Roman" w:hAnsi="Arial" w:cs="Arial"/>
                <w:color w:val="000000" w:themeColor="text1"/>
                <w:sz w:val="18"/>
                <w:szCs w:val="18"/>
                <w:lang w:eastAsia="sl-SI"/>
              </w:rPr>
              <w:t xml:space="preserve"> </w:t>
            </w:r>
            <w:r w:rsidRPr="00BA3A9A">
              <w:rPr>
                <w:rFonts w:ascii="Arial" w:eastAsia="Times New Roman" w:hAnsi="Arial" w:cs="Arial"/>
                <w:color w:val="000000" w:themeColor="text1"/>
                <w:sz w:val="18"/>
                <w:szCs w:val="18"/>
                <w:lang w:eastAsia="sl-SI"/>
              </w:rPr>
              <w:t>%</w:t>
            </w:r>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14:paraId="19D99CEA" w14:textId="6319D4DF" w:rsidR="00BA3A9A" w:rsidRPr="00BA3A9A" w:rsidRDefault="00BA3A9A" w:rsidP="00BA3A9A">
            <w:pPr>
              <w:spacing w:after="0" w:line="240" w:lineRule="auto"/>
              <w:jc w:val="right"/>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5,31</w:t>
            </w:r>
            <w:r w:rsidRPr="00B73CA3">
              <w:rPr>
                <w:rFonts w:ascii="Arial" w:eastAsia="Times New Roman" w:hAnsi="Arial" w:cs="Arial"/>
                <w:color w:val="000000" w:themeColor="text1"/>
                <w:sz w:val="18"/>
                <w:szCs w:val="18"/>
                <w:lang w:eastAsia="sl-SI"/>
              </w:rPr>
              <w:t xml:space="preserve"> </w:t>
            </w:r>
            <w:r w:rsidRPr="00BA3A9A">
              <w:rPr>
                <w:rFonts w:ascii="Arial" w:eastAsia="Times New Roman" w:hAnsi="Arial" w:cs="Arial"/>
                <w:color w:val="000000" w:themeColor="text1"/>
                <w:sz w:val="18"/>
                <w:szCs w:val="18"/>
                <w:lang w:eastAsia="sl-SI"/>
              </w:rPr>
              <w:t>%</w:t>
            </w:r>
          </w:p>
        </w:tc>
      </w:tr>
      <w:tr w:rsidR="00B73CA3" w:rsidRPr="00B73CA3" w14:paraId="780756A3" w14:textId="77777777" w:rsidTr="00B73CA3">
        <w:trPr>
          <w:trHeight w:val="300"/>
        </w:trPr>
        <w:tc>
          <w:tcPr>
            <w:tcW w:w="667" w:type="pct"/>
            <w:vMerge/>
            <w:tcBorders>
              <w:top w:val="nil"/>
              <w:left w:val="single" w:sz="4" w:space="0" w:color="auto"/>
              <w:bottom w:val="single" w:sz="4" w:space="0" w:color="auto"/>
              <w:right w:val="single" w:sz="4" w:space="0" w:color="auto"/>
            </w:tcBorders>
            <w:vAlign w:val="center"/>
            <w:hideMark/>
          </w:tcPr>
          <w:p w14:paraId="6B3A0F79" w14:textId="77777777" w:rsidR="00BA3A9A" w:rsidRPr="00BA3A9A" w:rsidRDefault="00BA3A9A" w:rsidP="00BA3A9A">
            <w:pPr>
              <w:spacing w:after="0" w:line="240" w:lineRule="auto"/>
              <w:rPr>
                <w:rFonts w:ascii="Arial" w:eastAsia="Times New Roman" w:hAnsi="Arial" w:cs="Arial"/>
                <w:color w:val="000000" w:themeColor="text1"/>
                <w:sz w:val="18"/>
                <w:szCs w:val="18"/>
                <w:lang w:eastAsia="sl-SI"/>
              </w:rPr>
            </w:pPr>
          </w:p>
        </w:tc>
        <w:tc>
          <w:tcPr>
            <w:tcW w:w="1342"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2D70941D" w14:textId="77777777" w:rsidR="00BA3A9A" w:rsidRPr="00BA3A9A" w:rsidRDefault="00BA3A9A" w:rsidP="00BA3A9A">
            <w:pPr>
              <w:spacing w:after="0" w:line="240" w:lineRule="auto"/>
              <w:rPr>
                <w:rFonts w:ascii="Arial" w:eastAsia="Times New Roman" w:hAnsi="Arial" w:cs="Arial"/>
                <w:b/>
                <w:bCs/>
                <w:color w:val="000000" w:themeColor="text1"/>
                <w:sz w:val="18"/>
                <w:szCs w:val="18"/>
                <w:lang w:eastAsia="sl-SI"/>
              </w:rPr>
            </w:pPr>
            <w:r w:rsidRPr="00BA3A9A">
              <w:rPr>
                <w:rFonts w:ascii="Arial" w:eastAsia="Times New Roman" w:hAnsi="Arial" w:cs="Arial"/>
                <w:b/>
                <w:bCs/>
                <w:color w:val="000000" w:themeColor="text1"/>
                <w:sz w:val="18"/>
                <w:szCs w:val="18"/>
                <w:lang w:eastAsia="sl-SI"/>
              </w:rPr>
              <w:t>Skupaj</w:t>
            </w:r>
          </w:p>
        </w:tc>
        <w:tc>
          <w:tcPr>
            <w:tcW w:w="666" w:type="pct"/>
            <w:tcBorders>
              <w:top w:val="nil"/>
              <w:left w:val="nil"/>
              <w:bottom w:val="single" w:sz="4" w:space="0" w:color="auto"/>
              <w:right w:val="single" w:sz="4" w:space="0" w:color="auto"/>
            </w:tcBorders>
            <w:shd w:val="clear" w:color="auto" w:fill="auto"/>
            <w:noWrap/>
            <w:vAlign w:val="center"/>
            <w:hideMark/>
          </w:tcPr>
          <w:p w14:paraId="52EED973" w14:textId="77777777" w:rsidR="00BA3A9A" w:rsidRPr="00BA3A9A" w:rsidRDefault="00BA3A9A" w:rsidP="00BA3A9A">
            <w:pPr>
              <w:spacing w:after="0" w:line="240" w:lineRule="auto"/>
              <w:jc w:val="right"/>
              <w:rPr>
                <w:rFonts w:ascii="Arial" w:eastAsia="Times New Roman" w:hAnsi="Arial" w:cs="Arial"/>
                <w:b/>
                <w:bCs/>
                <w:color w:val="000000" w:themeColor="text1"/>
                <w:sz w:val="18"/>
                <w:szCs w:val="18"/>
                <w:lang w:eastAsia="sl-SI"/>
              </w:rPr>
            </w:pPr>
            <w:r w:rsidRPr="00BA3A9A">
              <w:rPr>
                <w:rFonts w:ascii="Arial" w:eastAsia="Times New Roman" w:hAnsi="Arial" w:cs="Arial"/>
                <w:b/>
                <w:bCs/>
                <w:color w:val="000000" w:themeColor="text1"/>
                <w:sz w:val="18"/>
                <w:szCs w:val="18"/>
                <w:lang w:eastAsia="sl-SI"/>
              </w:rPr>
              <w:t>4.012</w:t>
            </w:r>
          </w:p>
        </w:tc>
        <w:tc>
          <w:tcPr>
            <w:tcW w:w="994" w:type="pct"/>
            <w:tcBorders>
              <w:top w:val="single" w:sz="4" w:space="0" w:color="auto"/>
              <w:left w:val="nil"/>
              <w:bottom w:val="single" w:sz="4" w:space="0" w:color="auto"/>
              <w:right w:val="single" w:sz="4" w:space="0" w:color="auto"/>
            </w:tcBorders>
            <w:shd w:val="clear" w:color="auto" w:fill="auto"/>
            <w:noWrap/>
            <w:vAlign w:val="center"/>
            <w:hideMark/>
          </w:tcPr>
          <w:p w14:paraId="30190478" w14:textId="77777777" w:rsidR="00BA3A9A" w:rsidRPr="00BA3A9A" w:rsidRDefault="00BA3A9A" w:rsidP="00BA3A9A">
            <w:pPr>
              <w:spacing w:after="0" w:line="240" w:lineRule="auto"/>
              <w:jc w:val="right"/>
              <w:rPr>
                <w:rFonts w:ascii="Arial" w:eastAsia="Times New Roman" w:hAnsi="Arial" w:cs="Arial"/>
                <w:b/>
                <w:bCs/>
                <w:color w:val="000000" w:themeColor="text1"/>
                <w:sz w:val="18"/>
                <w:szCs w:val="18"/>
                <w:lang w:eastAsia="sl-SI"/>
              </w:rPr>
            </w:pPr>
            <w:r w:rsidRPr="00BA3A9A">
              <w:rPr>
                <w:rFonts w:ascii="Arial" w:eastAsia="Times New Roman" w:hAnsi="Arial" w:cs="Arial"/>
                <w:b/>
                <w:bCs/>
                <w:color w:val="000000" w:themeColor="text1"/>
                <w:sz w:val="18"/>
                <w:szCs w:val="18"/>
                <w:lang w:eastAsia="sl-SI"/>
              </w:rPr>
              <w:t>1.744.765.689</w:t>
            </w:r>
          </w:p>
        </w:tc>
        <w:tc>
          <w:tcPr>
            <w:tcW w:w="666" w:type="pct"/>
            <w:tcBorders>
              <w:top w:val="nil"/>
              <w:left w:val="nil"/>
              <w:bottom w:val="nil"/>
              <w:right w:val="nil"/>
            </w:tcBorders>
            <w:shd w:val="clear" w:color="auto" w:fill="auto"/>
            <w:noWrap/>
            <w:vAlign w:val="center"/>
            <w:hideMark/>
          </w:tcPr>
          <w:p w14:paraId="4ACD3474" w14:textId="77777777" w:rsidR="00BA3A9A" w:rsidRPr="00BA3A9A" w:rsidRDefault="00BA3A9A" w:rsidP="00BA3A9A">
            <w:pPr>
              <w:spacing w:after="0" w:line="240" w:lineRule="auto"/>
              <w:jc w:val="right"/>
              <w:rPr>
                <w:rFonts w:ascii="Arial" w:eastAsia="Times New Roman" w:hAnsi="Arial" w:cs="Arial"/>
                <w:color w:val="000000" w:themeColor="text1"/>
                <w:sz w:val="18"/>
                <w:szCs w:val="18"/>
                <w:lang w:eastAsia="sl-SI"/>
              </w:rPr>
            </w:pPr>
          </w:p>
        </w:tc>
        <w:tc>
          <w:tcPr>
            <w:tcW w:w="665" w:type="pct"/>
            <w:tcBorders>
              <w:top w:val="nil"/>
              <w:left w:val="nil"/>
              <w:bottom w:val="nil"/>
              <w:right w:val="nil"/>
            </w:tcBorders>
            <w:shd w:val="clear" w:color="auto" w:fill="auto"/>
            <w:noWrap/>
            <w:vAlign w:val="center"/>
            <w:hideMark/>
          </w:tcPr>
          <w:p w14:paraId="3D621D35" w14:textId="77777777" w:rsidR="00BA3A9A" w:rsidRPr="00BA3A9A" w:rsidRDefault="00BA3A9A" w:rsidP="00BA3A9A">
            <w:pPr>
              <w:spacing w:after="0" w:line="240" w:lineRule="auto"/>
              <w:jc w:val="right"/>
              <w:rPr>
                <w:rFonts w:ascii="Arial" w:eastAsia="Times New Roman" w:hAnsi="Arial" w:cs="Arial"/>
                <w:color w:val="000000" w:themeColor="text1"/>
                <w:sz w:val="18"/>
                <w:szCs w:val="18"/>
                <w:lang w:eastAsia="sl-SI"/>
              </w:rPr>
            </w:pPr>
          </w:p>
        </w:tc>
      </w:tr>
      <w:tr w:rsidR="00F11E69" w:rsidRPr="00B73CA3" w14:paraId="482A91A6" w14:textId="77777777" w:rsidTr="009F7B6D">
        <w:trPr>
          <w:trHeight w:val="960"/>
        </w:trPr>
        <w:tc>
          <w:tcPr>
            <w:tcW w:w="667"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7E6F7742" w14:textId="77777777" w:rsidR="00F11E69" w:rsidRPr="00BA3A9A" w:rsidRDefault="00F11E69" w:rsidP="009F7B6D">
            <w:pPr>
              <w:spacing w:after="0" w:line="240" w:lineRule="auto"/>
              <w:jc w:val="center"/>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lastRenderedPageBreak/>
              <w:t xml:space="preserve">Predmet </w:t>
            </w:r>
          </w:p>
        </w:tc>
        <w:tc>
          <w:tcPr>
            <w:tcW w:w="667" w:type="pct"/>
            <w:tcBorders>
              <w:top w:val="single" w:sz="4" w:space="0" w:color="auto"/>
              <w:left w:val="nil"/>
              <w:bottom w:val="single" w:sz="4" w:space="0" w:color="auto"/>
              <w:right w:val="single" w:sz="4" w:space="0" w:color="auto"/>
            </w:tcBorders>
            <w:shd w:val="clear" w:color="000000" w:fill="F2F2F2"/>
            <w:vAlign w:val="center"/>
            <w:hideMark/>
          </w:tcPr>
          <w:p w14:paraId="153F0D33" w14:textId="77777777" w:rsidR="00F11E69" w:rsidRPr="00BA3A9A" w:rsidRDefault="00F11E69" w:rsidP="009F7B6D">
            <w:pPr>
              <w:spacing w:after="0" w:line="240" w:lineRule="auto"/>
              <w:jc w:val="center"/>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Objava v UL EU</w:t>
            </w:r>
          </w:p>
        </w:tc>
        <w:tc>
          <w:tcPr>
            <w:tcW w:w="675" w:type="pct"/>
            <w:tcBorders>
              <w:top w:val="single" w:sz="4" w:space="0" w:color="auto"/>
              <w:left w:val="nil"/>
              <w:bottom w:val="single" w:sz="4" w:space="0" w:color="auto"/>
              <w:right w:val="single" w:sz="4" w:space="0" w:color="auto"/>
            </w:tcBorders>
            <w:shd w:val="clear" w:color="000000" w:fill="F2F2F2"/>
            <w:vAlign w:val="center"/>
            <w:hideMark/>
          </w:tcPr>
          <w:p w14:paraId="2EEA187F" w14:textId="77777777" w:rsidR="00F11E69" w:rsidRPr="00BA3A9A" w:rsidRDefault="00F11E69" w:rsidP="009F7B6D">
            <w:pPr>
              <w:spacing w:after="0" w:line="240" w:lineRule="auto"/>
              <w:jc w:val="center"/>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Sedež ponudnika</w:t>
            </w:r>
          </w:p>
        </w:tc>
        <w:tc>
          <w:tcPr>
            <w:tcW w:w="666" w:type="pct"/>
            <w:tcBorders>
              <w:top w:val="single" w:sz="4" w:space="0" w:color="auto"/>
              <w:left w:val="nil"/>
              <w:bottom w:val="single" w:sz="4" w:space="0" w:color="auto"/>
              <w:right w:val="single" w:sz="4" w:space="0" w:color="auto"/>
            </w:tcBorders>
            <w:shd w:val="clear" w:color="000000" w:fill="F2F2F2"/>
            <w:vAlign w:val="center"/>
            <w:hideMark/>
          </w:tcPr>
          <w:p w14:paraId="65BA981A" w14:textId="77777777" w:rsidR="00F11E69" w:rsidRPr="00BA3A9A" w:rsidRDefault="00F11E69" w:rsidP="009F7B6D">
            <w:pPr>
              <w:spacing w:after="0" w:line="240" w:lineRule="auto"/>
              <w:jc w:val="center"/>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Št. naročil</w:t>
            </w:r>
          </w:p>
        </w:tc>
        <w:tc>
          <w:tcPr>
            <w:tcW w:w="994" w:type="pct"/>
            <w:tcBorders>
              <w:top w:val="single" w:sz="4" w:space="0" w:color="auto"/>
              <w:left w:val="nil"/>
              <w:bottom w:val="single" w:sz="4" w:space="0" w:color="auto"/>
              <w:right w:val="single" w:sz="4" w:space="0" w:color="auto"/>
            </w:tcBorders>
            <w:shd w:val="clear" w:color="000000" w:fill="F2F2F2"/>
            <w:vAlign w:val="center"/>
            <w:hideMark/>
          </w:tcPr>
          <w:p w14:paraId="426A00BA" w14:textId="77777777" w:rsidR="00F11E69" w:rsidRPr="00BA3A9A" w:rsidRDefault="00F11E69" w:rsidP="009F7B6D">
            <w:pPr>
              <w:spacing w:after="0" w:line="240" w:lineRule="auto"/>
              <w:jc w:val="center"/>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Pogodbena vrednost</w:t>
            </w:r>
          </w:p>
        </w:tc>
        <w:tc>
          <w:tcPr>
            <w:tcW w:w="666" w:type="pct"/>
            <w:tcBorders>
              <w:top w:val="single" w:sz="4" w:space="0" w:color="auto"/>
              <w:left w:val="nil"/>
              <w:bottom w:val="single" w:sz="4" w:space="0" w:color="auto"/>
              <w:right w:val="single" w:sz="4" w:space="0" w:color="auto"/>
            </w:tcBorders>
            <w:shd w:val="clear" w:color="000000" w:fill="F2F2F2"/>
            <w:vAlign w:val="center"/>
            <w:hideMark/>
          </w:tcPr>
          <w:p w14:paraId="77AAACE5" w14:textId="77777777" w:rsidR="00F11E69" w:rsidRPr="00BA3A9A" w:rsidRDefault="00F11E69" w:rsidP="009F7B6D">
            <w:pPr>
              <w:spacing w:after="0" w:line="240" w:lineRule="auto"/>
              <w:jc w:val="center"/>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Delež v št. istovrstnih naročil</w:t>
            </w:r>
          </w:p>
        </w:tc>
        <w:tc>
          <w:tcPr>
            <w:tcW w:w="665" w:type="pct"/>
            <w:tcBorders>
              <w:top w:val="single" w:sz="4" w:space="0" w:color="auto"/>
              <w:left w:val="nil"/>
              <w:bottom w:val="single" w:sz="4" w:space="0" w:color="auto"/>
              <w:right w:val="single" w:sz="4" w:space="0" w:color="auto"/>
            </w:tcBorders>
            <w:shd w:val="clear" w:color="000000" w:fill="F2F2F2"/>
            <w:vAlign w:val="center"/>
            <w:hideMark/>
          </w:tcPr>
          <w:p w14:paraId="69B7B869" w14:textId="77777777" w:rsidR="00F11E69" w:rsidRPr="00BA3A9A" w:rsidRDefault="00F11E69" w:rsidP="009F7B6D">
            <w:pPr>
              <w:spacing w:after="0" w:line="240" w:lineRule="auto"/>
              <w:jc w:val="center"/>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Delež v vrednosti istovrstnih naročil</w:t>
            </w:r>
          </w:p>
        </w:tc>
      </w:tr>
      <w:tr w:rsidR="00B73CA3" w:rsidRPr="00B73CA3" w14:paraId="7A496CA5" w14:textId="77777777" w:rsidTr="00B73CA3">
        <w:trPr>
          <w:trHeight w:val="300"/>
        </w:trPr>
        <w:tc>
          <w:tcPr>
            <w:tcW w:w="66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C93A9FE" w14:textId="77777777" w:rsidR="00BA3A9A" w:rsidRPr="00BA3A9A" w:rsidRDefault="00BA3A9A" w:rsidP="00BA3A9A">
            <w:pPr>
              <w:spacing w:after="0" w:line="240" w:lineRule="auto"/>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Gradnje</w:t>
            </w:r>
          </w:p>
        </w:tc>
        <w:tc>
          <w:tcPr>
            <w:tcW w:w="667" w:type="pct"/>
            <w:tcBorders>
              <w:top w:val="nil"/>
              <w:left w:val="nil"/>
              <w:bottom w:val="single" w:sz="4" w:space="0" w:color="auto"/>
              <w:right w:val="single" w:sz="4" w:space="0" w:color="auto"/>
            </w:tcBorders>
            <w:shd w:val="clear" w:color="auto" w:fill="auto"/>
            <w:noWrap/>
            <w:vAlign w:val="center"/>
            <w:hideMark/>
          </w:tcPr>
          <w:p w14:paraId="57ED5C00" w14:textId="77777777" w:rsidR="00BA3A9A" w:rsidRPr="00BA3A9A" w:rsidRDefault="00BA3A9A" w:rsidP="00BA3A9A">
            <w:pPr>
              <w:spacing w:after="0" w:line="240" w:lineRule="auto"/>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DA</w:t>
            </w:r>
          </w:p>
        </w:tc>
        <w:tc>
          <w:tcPr>
            <w:tcW w:w="675" w:type="pct"/>
            <w:tcBorders>
              <w:top w:val="nil"/>
              <w:left w:val="nil"/>
              <w:bottom w:val="single" w:sz="4" w:space="0" w:color="auto"/>
              <w:right w:val="single" w:sz="4" w:space="0" w:color="auto"/>
            </w:tcBorders>
            <w:shd w:val="clear" w:color="auto" w:fill="auto"/>
            <w:noWrap/>
            <w:vAlign w:val="center"/>
            <w:hideMark/>
          </w:tcPr>
          <w:p w14:paraId="47EF46F6" w14:textId="77777777" w:rsidR="00BA3A9A" w:rsidRPr="00BA3A9A" w:rsidRDefault="00BA3A9A" w:rsidP="00B73CA3">
            <w:pPr>
              <w:spacing w:after="0" w:line="240" w:lineRule="auto"/>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Slovenija</w:t>
            </w:r>
          </w:p>
        </w:tc>
        <w:tc>
          <w:tcPr>
            <w:tcW w:w="666" w:type="pct"/>
            <w:tcBorders>
              <w:top w:val="nil"/>
              <w:left w:val="nil"/>
              <w:bottom w:val="single" w:sz="4" w:space="0" w:color="auto"/>
              <w:right w:val="single" w:sz="4" w:space="0" w:color="auto"/>
            </w:tcBorders>
            <w:shd w:val="clear" w:color="auto" w:fill="auto"/>
            <w:noWrap/>
            <w:vAlign w:val="center"/>
            <w:hideMark/>
          </w:tcPr>
          <w:p w14:paraId="418238D6" w14:textId="77777777" w:rsidR="00BA3A9A" w:rsidRPr="00BA3A9A" w:rsidRDefault="00BA3A9A" w:rsidP="00B73CA3">
            <w:pPr>
              <w:spacing w:after="0" w:line="240" w:lineRule="auto"/>
              <w:jc w:val="right"/>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157</w:t>
            </w:r>
          </w:p>
        </w:tc>
        <w:tc>
          <w:tcPr>
            <w:tcW w:w="994" w:type="pct"/>
            <w:tcBorders>
              <w:top w:val="nil"/>
              <w:left w:val="nil"/>
              <w:bottom w:val="single" w:sz="4" w:space="0" w:color="auto"/>
              <w:right w:val="single" w:sz="4" w:space="0" w:color="auto"/>
            </w:tcBorders>
            <w:shd w:val="clear" w:color="auto" w:fill="auto"/>
            <w:noWrap/>
            <w:vAlign w:val="center"/>
            <w:hideMark/>
          </w:tcPr>
          <w:p w14:paraId="3BCB520B" w14:textId="77777777" w:rsidR="00BA3A9A" w:rsidRPr="00BA3A9A" w:rsidRDefault="00BA3A9A" w:rsidP="00B73CA3">
            <w:pPr>
              <w:spacing w:after="0" w:line="240" w:lineRule="auto"/>
              <w:jc w:val="right"/>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955.432.831</w:t>
            </w:r>
          </w:p>
        </w:tc>
        <w:tc>
          <w:tcPr>
            <w:tcW w:w="666" w:type="pct"/>
            <w:tcBorders>
              <w:top w:val="single" w:sz="4" w:space="0" w:color="auto"/>
              <w:left w:val="nil"/>
              <w:bottom w:val="single" w:sz="4" w:space="0" w:color="auto"/>
              <w:right w:val="single" w:sz="4" w:space="0" w:color="auto"/>
            </w:tcBorders>
            <w:shd w:val="clear" w:color="auto" w:fill="auto"/>
            <w:noWrap/>
            <w:vAlign w:val="center"/>
            <w:hideMark/>
          </w:tcPr>
          <w:p w14:paraId="021743D8" w14:textId="0952347D" w:rsidR="00BA3A9A" w:rsidRPr="00BA3A9A" w:rsidRDefault="00BA3A9A" w:rsidP="00B73CA3">
            <w:pPr>
              <w:spacing w:after="0" w:line="240" w:lineRule="auto"/>
              <w:jc w:val="right"/>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100,00</w:t>
            </w:r>
            <w:r w:rsidRPr="00B73CA3">
              <w:rPr>
                <w:rFonts w:ascii="Arial" w:eastAsia="Times New Roman" w:hAnsi="Arial" w:cs="Arial"/>
                <w:color w:val="000000" w:themeColor="text1"/>
                <w:sz w:val="18"/>
                <w:szCs w:val="18"/>
                <w:lang w:eastAsia="sl-SI"/>
              </w:rPr>
              <w:t xml:space="preserve"> </w:t>
            </w:r>
            <w:r w:rsidRPr="00BA3A9A">
              <w:rPr>
                <w:rFonts w:ascii="Arial" w:eastAsia="Times New Roman" w:hAnsi="Arial" w:cs="Arial"/>
                <w:color w:val="000000" w:themeColor="text1"/>
                <w:sz w:val="18"/>
                <w:szCs w:val="18"/>
                <w:lang w:eastAsia="sl-SI"/>
              </w:rPr>
              <w:t>%</w:t>
            </w:r>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14:paraId="519272C2" w14:textId="710849E6" w:rsidR="00BA3A9A" w:rsidRPr="00BA3A9A" w:rsidRDefault="00BA3A9A" w:rsidP="00B73CA3">
            <w:pPr>
              <w:spacing w:after="0" w:line="240" w:lineRule="auto"/>
              <w:jc w:val="right"/>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100,00</w:t>
            </w:r>
            <w:r w:rsidRPr="00B73CA3">
              <w:rPr>
                <w:rFonts w:ascii="Arial" w:eastAsia="Times New Roman" w:hAnsi="Arial" w:cs="Arial"/>
                <w:color w:val="000000" w:themeColor="text1"/>
                <w:sz w:val="18"/>
                <w:szCs w:val="18"/>
                <w:lang w:eastAsia="sl-SI"/>
              </w:rPr>
              <w:t xml:space="preserve"> </w:t>
            </w:r>
            <w:r w:rsidRPr="00BA3A9A">
              <w:rPr>
                <w:rFonts w:ascii="Arial" w:eastAsia="Times New Roman" w:hAnsi="Arial" w:cs="Arial"/>
                <w:color w:val="000000" w:themeColor="text1"/>
                <w:sz w:val="18"/>
                <w:szCs w:val="18"/>
                <w:lang w:eastAsia="sl-SI"/>
              </w:rPr>
              <w:t>%</w:t>
            </w:r>
          </w:p>
        </w:tc>
      </w:tr>
      <w:tr w:rsidR="00B73CA3" w:rsidRPr="00B73CA3" w14:paraId="2B924793" w14:textId="77777777" w:rsidTr="00B73CA3">
        <w:trPr>
          <w:trHeight w:val="300"/>
        </w:trPr>
        <w:tc>
          <w:tcPr>
            <w:tcW w:w="667" w:type="pct"/>
            <w:vMerge/>
            <w:tcBorders>
              <w:top w:val="nil"/>
              <w:left w:val="single" w:sz="4" w:space="0" w:color="auto"/>
              <w:bottom w:val="single" w:sz="4" w:space="0" w:color="auto"/>
              <w:right w:val="single" w:sz="4" w:space="0" w:color="auto"/>
            </w:tcBorders>
            <w:vAlign w:val="center"/>
            <w:hideMark/>
          </w:tcPr>
          <w:p w14:paraId="6DD9E38F" w14:textId="77777777" w:rsidR="00B73CA3" w:rsidRPr="00BA3A9A" w:rsidRDefault="00B73CA3" w:rsidP="00B73CA3">
            <w:pPr>
              <w:spacing w:after="0" w:line="240" w:lineRule="auto"/>
              <w:rPr>
                <w:rFonts w:ascii="Arial" w:eastAsia="Times New Roman" w:hAnsi="Arial" w:cs="Arial"/>
                <w:color w:val="000000" w:themeColor="text1"/>
                <w:sz w:val="18"/>
                <w:szCs w:val="18"/>
                <w:lang w:eastAsia="sl-SI"/>
              </w:rPr>
            </w:pPr>
          </w:p>
        </w:tc>
        <w:tc>
          <w:tcPr>
            <w:tcW w:w="667" w:type="pct"/>
            <w:vMerge w:val="restart"/>
            <w:tcBorders>
              <w:top w:val="nil"/>
              <w:left w:val="nil"/>
              <w:right w:val="single" w:sz="4" w:space="0" w:color="auto"/>
            </w:tcBorders>
            <w:shd w:val="clear" w:color="auto" w:fill="auto"/>
            <w:noWrap/>
            <w:vAlign w:val="center"/>
            <w:hideMark/>
          </w:tcPr>
          <w:p w14:paraId="5AFBDB42" w14:textId="2C8951E6" w:rsidR="00B73CA3" w:rsidRPr="00BA3A9A" w:rsidRDefault="00B73CA3" w:rsidP="00B73CA3">
            <w:pPr>
              <w:spacing w:after="0" w:line="240" w:lineRule="auto"/>
              <w:rPr>
                <w:rFonts w:ascii="Arial" w:eastAsia="Times New Roman" w:hAnsi="Arial" w:cs="Arial"/>
                <w:color w:val="000000" w:themeColor="text1"/>
                <w:sz w:val="18"/>
                <w:szCs w:val="18"/>
                <w:lang w:eastAsia="sl-SI"/>
              </w:rPr>
            </w:pPr>
            <w:r>
              <w:rPr>
                <w:rFonts w:ascii="Arial" w:eastAsia="Times New Roman" w:hAnsi="Arial" w:cs="Arial"/>
                <w:color w:val="000000" w:themeColor="text1"/>
                <w:sz w:val="18"/>
                <w:szCs w:val="18"/>
                <w:lang w:eastAsia="sl-SI"/>
              </w:rPr>
              <w:t>NE</w:t>
            </w:r>
          </w:p>
        </w:tc>
        <w:tc>
          <w:tcPr>
            <w:tcW w:w="675" w:type="pct"/>
            <w:tcBorders>
              <w:top w:val="nil"/>
              <w:left w:val="nil"/>
              <w:bottom w:val="single" w:sz="4" w:space="0" w:color="auto"/>
              <w:right w:val="single" w:sz="4" w:space="0" w:color="auto"/>
            </w:tcBorders>
            <w:shd w:val="clear" w:color="auto" w:fill="auto"/>
            <w:noWrap/>
            <w:vAlign w:val="center"/>
            <w:hideMark/>
          </w:tcPr>
          <w:p w14:paraId="0B176BFD" w14:textId="77777777" w:rsidR="00B73CA3" w:rsidRPr="00BA3A9A" w:rsidRDefault="00B73CA3" w:rsidP="00B73CA3">
            <w:pPr>
              <w:spacing w:after="0" w:line="240" w:lineRule="auto"/>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Slovenija</w:t>
            </w:r>
          </w:p>
        </w:tc>
        <w:tc>
          <w:tcPr>
            <w:tcW w:w="666" w:type="pct"/>
            <w:tcBorders>
              <w:top w:val="nil"/>
              <w:left w:val="nil"/>
              <w:bottom w:val="single" w:sz="4" w:space="0" w:color="auto"/>
              <w:right w:val="single" w:sz="4" w:space="0" w:color="auto"/>
            </w:tcBorders>
            <w:shd w:val="clear" w:color="auto" w:fill="auto"/>
            <w:noWrap/>
            <w:vAlign w:val="center"/>
            <w:hideMark/>
          </w:tcPr>
          <w:p w14:paraId="1C9689CD" w14:textId="26D9E70E" w:rsidR="00B73CA3" w:rsidRPr="00BA3A9A" w:rsidRDefault="00B73CA3" w:rsidP="00B73CA3">
            <w:pPr>
              <w:spacing w:after="0" w:line="240" w:lineRule="auto"/>
              <w:jc w:val="right"/>
              <w:rPr>
                <w:rFonts w:ascii="Arial" w:eastAsia="Times New Roman" w:hAnsi="Arial" w:cs="Arial"/>
                <w:color w:val="000000" w:themeColor="text1"/>
                <w:sz w:val="18"/>
                <w:szCs w:val="18"/>
                <w:lang w:eastAsia="sl-SI"/>
              </w:rPr>
            </w:pPr>
            <w:r w:rsidRPr="00BA3A9A">
              <w:rPr>
                <w:rFonts w:ascii="Arial" w:eastAsia="Times New Roman" w:hAnsi="Arial" w:cs="Arial"/>
                <w:color w:val="000000" w:themeColor="text1"/>
                <w:sz w:val="18"/>
                <w:szCs w:val="18"/>
                <w:lang w:eastAsia="sl-SI"/>
              </w:rPr>
              <w:t>1.59</w:t>
            </w:r>
            <w:r w:rsidRPr="00B73CA3">
              <w:rPr>
                <w:rFonts w:ascii="Arial" w:eastAsia="Times New Roman" w:hAnsi="Arial" w:cs="Arial"/>
                <w:color w:val="000000" w:themeColor="text1"/>
                <w:sz w:val="18"/>
                <w:szCs w:val="18"/>
                <w:lang w:eastAsia="sl-SI"/>
              </w:rPr>
              <w:t>4</w:t>
            </w:r>
          </w:p>
        </w:tc>
        <w:tc>
          <w:tcPr>
            <w:tcW w:w="994" w:type="pct"/>
            <w:tcBorders>
              <w:top w:val="nil"/>
              <w:left w:val="nil"/>
              <w:bottom w:val="single" w:sz="4" w:space="0" w:color="auto"/>
              <w:right w:val="single" w:sz="4" w:space="0" w:color="auto"/>
            </w:tcBorders>
            <w:shd w:val="clear" w:color="auto" w:fill="auto"/>
            <w:noWrap/>
            <w:vAlign w:val="center"/>
            <w:hideMark/>
          </w:tcPr>
          <w:p w14:paraId="56313C7C" w14:textId="2D217FEB" w:rsidR="00B73CA3" w:rsidRPr="00BA3A9A" w:rsidRDefault="00B73CA3" w:rsidP="00B73CA3">
            <w:pPr>
              <w:spacing w:after="0" w:line="240" w:lineRule="auto"/>
              <w:jc w:val="right"/>
              <w:rPr>
                <w:rFonts w:ascii="Arial" w:eastAsia="Times New Roman" w:hAnsi="Arial" w:cs="Arial"/>
                <w:color w:val="000000" w:themeColor="text1"/>
                <w:sz w:val="18"/>
                <w:szCs w:val="18"/>
                <w:lang w:eastAsia="sl-SI"/>
              </w:rPr>
            </w:pPr>
            <w:r w:rsidRPr="00B73CA3">
              <w:rPr>
                <w:rFonts w:ascii="Arial" w:eastAsia="Times New Roman" w:hAnsi="Arial" w:cs="Arial"/>
                <w:color w:val="000000" w:themeColor="text1"/>
                <w:sz w:val="18"/>
                <w:szCs w:val="18"/>
                <w:lang w:eastAsia="sl-SI"/>
              </w:rPr>
              <w:t>904.506.068</w:t>
            </w:r>
          </w:p>
        </w:tc>
        <w:tc>
          <w:tcPr>
            <w:tcW w:w="666" w:type="pct"/>
            <w:tcBorders>
              <w:top w:val="nil"/>
              <w:left w:val="nil"/>
              <w:bottom w:val="single" w:sz="4" w:space="0" w:color="auto"/>
              <w:right w:val="single" w:sz="4" w:space="0" w:color="auto"/>
            </w:tcBorders>
            <w:shd w:val="clear" w:color="auto" w:fill="auto"/>
            <w:noWrap/>
            <w:vAlign w:val="center"/>
          </w:tcPr>
          <w:p w14:paraId="39EA5809" w14:textId="3646A8A7" w:rsidR="00B73CA3" w:rsidRPr="00BA3A9A" w:rsidRDefault="00B73CA3" w:rsidP="00B73CA3">
            <w:pPr>
              <w:spacing w:after="0" w:line="240" w:lineRule="auto"/>
              <w:jc w:val="right"/>
              <w:rPr>
                <w:rFonts w:ascii="Arial" w:eastAsia="Times New Roman" w:hAnsi="Arial" w:cs="Arial"/>
                <w:color w:val="000000" w:themeColor="text1"/>
                <w:sz w:val="18"/>
                <w:szCs w:val="18"/>
                <w:lang w:eastAsia="sl-SI"/>
              </w:rPr>
            </w:pPr>
            <w:r w:rsidRPr="00B73CA3">
              <w:rPr>
                <w:rFonts w:ascii="Arial" w:eastAsia="Times New Roman" w:hAnsi="Arial" w:cs="Arial"/>
                <w:color w:val="000000" w:themeColor="text1"/>
                <w:sz w:val="18"/>
                <w:szCs w:val="18"/>
                <w:lang w:eastAsia="sl-SI"/>
              </w:rPr>
              <w:t>99,75 %</w:t>
            </w:r>
          </w:p>
        </w:tc>
        <w:tc>
          <w:tcPr>
            <w:tcW w:w="665" w:type="pct"/>
            <w:tcBorders>
              <w:top w:val="nil"/>
              <w:left w:val="nil"/>
              <w:bottom w:val="single" w:sz="4" w:space="0" w:color="auto"/>
              <w:right w:val="single" w:sz="4" w:space="0" w:color="auto"/>
            </w:tcBorders>
            <w:shd w:val="clear" w:color="auto" w:fill="auto"/>
            <w:noWrap/>
            <w:vAlign w:val="center"/>
          </w:tcPr>
          <w:p w14:paraId="6E4015D4" w14:textId="33DE94D8" w:rsidR="00B73CA3" w:rsidRPr="00BA3A9A" w:rsidRDefault="00B73CA3" w:rsidP="00B73CA3">
            <w:pPr>
              <w:spacing w:after="0" w:line="240" w:lineRule="auto"/>
              <w:jc w:val="right"/>
              <w:rPr>
                <w:rFonts w:ascii="Arial" w:eastAsia="Times New Roman" w:hAnsi="Arial" w:cs="Arial"/>
                <w:color w:val="000000" w:themeColor="text1"/>
                <w:sz w:val="18"/>
                <w:szCs w:val="18"/>
                <w:lang w:eastAsia="sl-SI"/>
              </w:rPr>
            </w:pPr>
            <w:r w:rsidRPr="00B73CA3">
              <w:rPr>
                <w:rFonts w:ascii="Arial" w:eastAsia="Times New Roman" w:hAnsi="Arial" w:cs="Arial"/>
                <w:color w:val="000000" w:themeColor="text1"/>
                <w:sz w:val="18"/>
                <w:szCs w:val="18"/>
                <w:lang w:eastAsia="sl-SI"/>
              </w:rPr>
              <w:t>99,82 %</w:t>
            </w:r>
          </w:p>
        </w:tc>
      </w:tr>
      <w:tr w:rsidR="00B73CA3" w:rsidRPr="00B73CA3" w14:paraId="6F9C2017" w14:textId="77777777" w:rsidTr="00B73CA3">
        <w:trPr>
          <w:trHeight w:val="300"/>
        </w:trPr>
        <w:tc>
          <w:tcPr>
            <w:tcW w:w="667" w:type="pct"/>
            <w:vMerge/>
            <w:tcBorders>
              <w:top w:val="nil"/>
              <w:left w:val="single" w:sz="4" w:space="0" w:color="auto"/>
              <w:bottom w:val="single" w:sz="4" w:space="0" w:color="auto"/>
              <w:right w:val="single" w:sz="4" w:space="0" w:color="auto"/>
            </w:tcBorders>
            <w:vAlign w:val="center"/>
          </w:tcPr>
          <w:p w14:paraId="3B761C22" w14:textId="77777777" w:rsidR="00B73CA3" w:rsidRPr="00B73CA3" w:rsidRDefault="00B73CA3" w:rsidP="00B73CA3">
            <w:pPr>
              <w:spacing w:after="0" w:line="240" w:lineRule="auto"/>
              <w:rPr>
                <w:rFonts w:ascii="Arial" w:eastAsia="Times New Roman" w:hAnsi="Arial" w:cs="Arial"/>
                <w:color w:val="000000" w:themeColor="text1"/>
                <w:sz w:val="18"/>
                <w:szCs w:val="18"/>
                <w:lang w:eastAsia="sl-SI"/>
              </w:rPr>
            </w:pPr>
          </w:p>
        </w:tc>
        <w:tc>
          <w:tcPr>
            <w:tcW w:w="667" w:type="pct"/>
            <w:vMerge/>
            <w:tcBorders>
              <w:left w:val="nil"/>
              <w:bottom w:val="single" w:sz="4" w:space="0" w:color="auto"/>
              <w:right w:val="single" w:sz="4" w:space="0" w:color="auto"/>
            </w:tcBorders>
            <w:shd w:val="clear" w:color="auto" w:fill="auto"/>
            <w:noWrap/>
            <w:vAlign w:val="center"/>
          </w:tcPr>
          <w:p w14:paraId="3D22095C" w14:textId="527CAB29" w:rsidR="00B73CA3" w:rsidRPr="00B73CA3" w:rsidRDefault="00B73CA3" w:rsidP="00B73CA3">
            <w:pPr>
              <w:spacing w:after="0" w:line="240" w:lineRule="auto"/>
              <w:rPr>
                <w:rFonts w:ascii="Arial" w:eastAsia="Times New Roman" w:hAnsi="Arial" w:cs="Arial"/>
                <w:color w:val="000000" w:themeColor="text1"/>
                <w:sz w:val="18"/>
                <w:szCs w:val="18"/>
                <w:lang w:eastAsia="sl-SI"/>
              </w:rPr>
            </w:pPr>
          </w:p>
        </w:tc>
        <w:tc>
          <w:tcPr>
            <w:tcW w:w="675" w:type="pct"/>
            <w:tcBorders>
              <w:top w:val="nil"/>
              <w:left w:val="nil"/>
              <w:bottom w:val="single" w:sz="4" w:space="0" w:color="auto"/>
              <w:right w:val="single" w:sz="4" w:space="0" w:color="auto"/>
            </w:tcBorders>
            <w:shd w:val="clear" w:color="auto" w:fill="auto"/>
            <w:noWrap/>
            <w:vAlign w:val="center"/>
          </w:tcPr>
          <w:p w14:paraId="5DCDF36C" w14:textId="382B289C" w:rsidR="00B73CA3" w:rsidRPr="00B73CA3" w:rsidRDefault="00B73CA3" w:rsidP="00B73CA3">
            <w:pPr>
              <w:spacing w:after="0" w:line="240" w:lineRule="auto"/>
              <w:rPr>
                <w:rFonts w:ascii="Arial" w:eastAsia="Times New Roman" w:hAnsi="Arial" w:cs="Arial"/>
                <w:color w:val="000000" w:themeColor="text1"/>
                <w:sz w:val="18"/>
                <w:szCs w:val="18"/>
                <w:lang w:eastAsia="sl-SI"/>
              </w:rPr>
            </w:pPr>
            <w:r w:rsidRPr="00B73CA3">
              <w:rPr>
                <w:rFonts w:ascii="Arial" w:eastAsia="Times New Roman" w:hAnsi="Arial" w:cs="Arial"/>
                <w:color w:val="000000" w:themeColor="text1"/>
                <w:sz w:val="18"/>
                <w:szCs w:val="18"/>
                <w:lang w:eastAsia="sl-SI"/>
              </w:rPr>
              <w:t>tujina</w:t>
            </w:r>
          </w:p>
        </w:tc>
        <w:tc>
          <w:tcPr>
            <w:tcW w:w="666" w:type="pct"/>
            <w:tcBorders>
              <w:top w:val="nil"/>
              <w:left w:val="nil"/>
              <w:bottom w:val="single" w:sz="4" w:space="0" w:color="auto"/>
              <w:right w:val="single" w:sz="4" w:space="0" w:color="auto"/>
            </w:tcBorders>
            <w:shd w:val="clear" w:color="auto" w:fill="auto"/>
            <w:noWrap/>
            <w:vAlign w:val="center"/>
          </w:tcPr>
          <w:p w14:paraId="410070BE" w14:textId="1081D77C" w:rsidR="00B73CA3" w:rsidRPr="00B73CA3" w:rsidRDefault="00B73CA3" w:rsidP="00B73CA3">
            <w:pPr>
              <w:spacing w:after="0" w:line="240" w:lineRule="auto"/>
              <w:jc w:val="right"/>
              <w:rPr>
                <w:rFonts w:ascii="Arial" w:eastAsia="Times New Roman" w:hAnsi="Arial" w:cs="Arial"/>
                <w:color w:val="000000" w:themeColor="text1"/>
                <w:sz w:val="18"/>
                <w:szCs w:val="18"/>
                <w:lang w:eastAsia="sl-SI"/>
              </w:rPr>
            </w:pPr>
            <w:r w:rsidRPr="00B73CA3">
              <w:rPr>
                <w:rFonts w:ascii="Arial" w:eastAsia="Times New Roman" w:hAnsi="Arial" w:cs="Arial"/>
                <w:color w:val="000000" w:themeColor="text1"/>
                <w:sz w:val="18"/>
                <w:szCs w:val="18"/>
                <w:lang w:eastAsia="sl-SI"/>
              </w:rPr>
              <w:t>4</w:t>
            </w:r>
          </w:p>
        </w:tc>
        <w:tc>
          <w:tcPr>
            <w:tcW w:w="994" w:type="pct"/>
            <w:tcBorders>
              <w:top w:val="nil"/>
              <w:left w:val="nil"/>
              <w:bottom w:val="single" w:sz="4" w:space="0" w:color="auto"/>
              <w:right w:val="single" w:sz="4" w:space="0" w:color="auto"/>
            </w:tcBorders>
            <w:shd w:val="clear" w:color="auto" w:fill="auto"/>
            <w:noWrap/>
            <w:vAlign w:val="center"/>
          </w:tcPr>
          <w:p w14:paraId="48F20230" w14:textId="7B1CD1FA" w:rsidR="00B73CA3" w:rsidRPr="00B73CA3" w:rsidRDefault="00B73CA3" w:rsidP="00B73CA3">
            <w:pPr>
              <w:spacing w:after="0" w:line="240" w:lineRule="auto"/>
              <w:jc w:val="right"/>
              <w:rPr>
                <w:rFonts w:ascii="Arial" w:eastAsia="Times New Roman" w:hAnsi="Arial" w:cs="Arial"/>
                <w:color w:val="000000" w:themeColor="text1"/>
                <w:sz w:val="18"/>
                <w:szCs w:val="18"/>
                <w:lang w:eastAsia="sl-SI"/>
              </w:rPr>
            </w:pPr>
            <w:r w:rsidRPr="00B73CA3">
              <w:rPr>
                <w:rFonts w:ascii="Arial" w:eastAsia="Times New Roman" w:hAnsi="Arial" w:cs="Arial"/>
                <w:color w:val="000000" w:themeColor="text1"/>
                <w:sz w:val="18"/>
                <w:szCs w:val="18"/>
                <w:lang w:eastAsia="sl-SI"/>
              </w:rPr>
              <w:t>1.628.296</w:t>
            </w:r>
          </w:p>
        </w:tc>
        <w:tc>
          <w:tcPr>
            <w:tcW w:w="666" w:type="pct"/>
            <w:tcBorders>
              <w:top w:val="nil"/>
              <w:left w:val="nil"/>
              <w:bottom w:val="single" w:sz="4" w:space="0" w:color="auto"/>
              <w:right w:val="single" w:sz="4" w:space="0" w:color="auto"/>
            </w:tcBorders>
            <w:shd w:val="clear" w:color="auto" w:fill="auto"/>
            <w:noWrap/>
            <w:vAlign w:val="center"/>
          </w:tcPr>
          <w:p w14:paraId="074ACB20" w14:textId="4FC0D600" w:rsidR="00B73CA3" w:rsidRPr="00B73CA3" w:rsidRDefault="00B73CA3" w:rsidP="00B73CA3">
            <w:pPr>
              <w:spacing w:after="0" w:line="240" w:lineRule="auto"/>
              <w:jc w:val="right"/>
              <w:rPr>
                <w:rFonts w:ascii="Arial" w:eastAsia="Times New Roman" w:hAnsi="Arial" w:cs="Arial"/>
                <w:color w:val="000000" w:themeColor="text1"/>
                <w:sz w:val="18"/>
                <w:szCs w:val="18"/>
                <w:lang w:eastAsia="sl-SI"/>
              </w:rPr>
            </w:pPr>
            <w:r w:rsidRPr="00B73CA3">
              <w:rPr>
                <w:rFonts w:ascii="Arial" w:eastAsia="Times New Roman" w:hAnsi="Arial" w:cs="Arial"/>
                <w:color w:val="000000" w:themeColor="text1"/>
                <w:sz w:val="18"/>
                <w:szCs w:val="18"/>
                <w:lang w:eastAsia="sl-SI"/>
              </w:rPr>
              <w:t>0,25 %</w:t>
            </w:r>
          </w:p>
        </w:tc>
        <w:tc>
          <w:tcPr>
            <w:tcW w:w="665" w:type="pct"/>
            <w:tcBorders>
              <w:top w:val="nil"/>
              <w:left w:val="nil"/>
              <w:bottom w:val="single" w:sz="4" w:space="0" w:color="auto"/>
              <w:right w:val="single" w:sz="4" w:space="0" w:color="auto"/>
            </w:tcBorders>
            <w:shd w:val="clear" w:color="auto" w:fill="auto"/>
            <w:noWrap/>
            <w:vAlign w:val="center"/>
          </w:tcPr>
          <w:p w14:paraId="5B5F3C60" w14:textId="7D00E9F2" w:rsidR="00B73CA3" w:rsidRPr="00B73CA3" w:rsidRDefault="00B73CA3" w:rsidP="00B73CA3">
            <w:pPr>
              <w:spacing w:after="0" w:line="240" w:lineRule="auto"/>
              <w:jc w:val="right"/>
              <w:rPr>
                <w:rFonts w:ascii="Arial" w:eastAsia="Times New Roman" w:hAnsi="Arial" w:cs="Arial"/>
                <w:color w:val="000000" w:themeColor="text1"/>
                <w:sz w:val="18"/>
                <w:szCs w:val="18"/>
                <w:lang w:eastAsia="sl-SI"/>
              </w:rPr>
            </w:pPr>
            <w:r w:rsidRPr="00B73CA3">
              <w:rPr>
                <w:rFonts w:ascii="Arial" w:eastAsia="Times New Roman" w:hAnsi="Arial" w:cs="Arial"/>
                <w:color w:val="000000" w:themeColor="text1"/>
                <w:sz w:val="18"/>
                <w:szCs w:val="18"/>
                <w:lang w:eastAsia="sl-SI"/>
              </w:rPr>
              <w:t>0,18 %</w:t>
            </w:r>
          </w:p>
        </w:tc>
      </w:tr>
      <w:tr w:rsidR="00B73CA3" w:rsidRPr="00B73CA3" w14:paraId="389C12C3" w14:textId="77777777" w:rsidTr="00B73CA3">
        <w:trPr>
          <w:trHeight w:val="300"/>
        </w:trPr>
        <w:tc>
          <w:tcPr>
            <w:tcW w:w="667" w:type="pct"/>
            <w:vMerge/>
            <w:tcBorders>
              <w:top w:val="nil"/>
              <w:left w:val="single" w:sz="4" w:space="0" w:color="auto"/>
              <w:bottom w:val="single" w:sz="4" w:space="0" w:color="auto"/>
              <w:right w:val="single" w:sz="4" w:space="0" w:color="auto"/>
            </w:tcBorders>
            <w:vAlign w:val="center"/>
            <w:hideMark/>
          </w:tcPr>
          <w:p w14:paraId="25D09910" w14:textId="77777777" w:rsidR="00BA3A9A" w:rsidRPr="00BA3A9A" w:rsidRDefault="00BA3A9A" w:rsidP="00BA3A9A">
            <w:pPr>
              <w:spacing w:after="0" w:line="240" w:lineRule="auto"/>
              <w:rPr>
                <w:rFonts w:ascii="Arial" w:eastAsia="Times New Roman" w:hAnsi="Arial" w:cs="Arial"/>
                <w:color w:val="000000" w:themeColor="text1"/>
                <w:sz w:val="18"/>
                <w:szCs w:val="18"/>
                <w:lang w:eastAsia="sl-SI"/>
              </w:rPr>
            </w:pPr>
          </w:p>
        </w:tc>
        <w:tc>
          <w:tcPr>
            <w:tcW w:w="1342"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4E8CB94D" w14:textId="77777777" w:rsidR="00BA3A9A" w:rsidRPr="00BA3A9A" w:rsidRDefault="00BA3A9A" w:rsidP="00B73CA3">
            <w:pPr>
              <w:spacing w:after="0" w:line="240" w:lineRule="auto"/>
              <w:rPr>
                <w:rFonts w:ascii="Arial" w:eastAsia="Times New Roman" w:hAnsi="Arial" w:cs="Arial"/>
                <w:b/>
                <w:bCs/>
                <w:color w:val="000000" w:themeColor="text1"/>
                <w:sz w:val="18"/>
                <w:szCs w:val="18"/>
                <w:lang w:eastAsia="sl-SI"/>
              </w:rPr>
            </w:pPr>
            <w:r w:rsidRPr="00BA3A9A">
              <w:rPr>
                <w:rFonts w:ascii="Arial" w:eastAsia="Times New Roman" w:hAnsi="Arial" w:cs="Arial"/>
                <w:b/>
                <w:bCs/>
                <w:color w:val="000000" w:themeColor="text1"/>
                <w:sz w:val="18"/>
                <w:szCs w:val="18"/>
                <w:lang w:eastAsia="sl-SI"/>
              </w:rPr>
              <w:t>Skupaj</w:t>
            </w:r>
          </w:p>
        </w:tc>
        <w:tc>
          <w:tcPr>
            <w:tcW w:w="666" w:type="pct"/>
            <w:tcBorders>
              <w:top w:val="nil"/>
              <w:left w:val="nil"/>
              <w:bottom w:val="single" w:sz="4" w:space="0" w:color="auto"/>
              <w:right w:val="single" w:sz="4" w:space="0" w:color="auto"/>
            </w:tcBorders>
            <w:shd w:val="clear" w:color="auto" w:fill="auto"/>
            <w:noWrap/>
            <w:vAlign w:val="center"/>
            <w:hideMark/>
          </w:tcPr>
          <w:p w14:paraId="07ADAB8C" w14:textId="77777777" w:rsidR="00BA3A9A" w:rsidRPr="00BA3A9A" w:rsidRDefault="00BA3A9A" w:rsidP="00B73CA3">
            <w:pPr>
              <w:spacing w:after="0" w:line="240" w:lineRule="auto"/>
              <w:jc w:val="right"/>
              <w:rPr>
                <w:rFonts w:ascii="Arial" w:eastAsia="Times New Roman" w:hAnsi="Arial" w:cs="Arial"/>
                <w:b/>
                <w:bCs/>
                <w:color w:val="000000" w:themeColor="text1"/>
                <w:sz w:val="18"/>
                <w:szCs w:val="18"/>
                <w:lang w:eastAsia="sl-SI"/>
              </w:rPr>
            </w:pPr>
            <w:r w:rsidRPr="00BA3A9A">
              <w:rPr>
                <w:rFonts w:ascii="Arial" w:eastAsia="Times New Roman" w:hAnsi="Arial" w:cs="Arial"/>
                <w:b/>
                <w:bCs/>
                <w:color w:val="000000" w:themeColor="text1"/>
                <w:sz w:val="18"/>
                <w:szCs w:val="18"/>
                <w:lang w:eastAsia="sl-SI"/>
              </w:rPr>
              <w:t>1.755</w:t>
            </w:r>
          </w:p>
        </w:tc>
        <w:tc>
          <w:tcPr>
            <w:tcW w:w="994" w:type="pct"/>
            <w:tcBorders>
              <w:top w:val="nil"/>
              <w:left w:val="nil"/>
              <w:bottom w:val="single" w:sz="4" w:space="0" w:color="auto"/>
              <w:right w:val="single" w:sz="4" w:space="0" w:color="auto"/>
            </w:tcBorders>
            <w:shd w:val="clear" w:color="auto" w:fill="auto"/>
            <w:noWrap/>
            <w:vAlign w:val="center"/>
            <w:hideMark/>
          </w:tcPr>
          <w:p w14:paraId="2C9AD4E8" w14:textId="77777777" w:rsidR="00BA3A9A" w:rsidRPr="00BA3A9A" w:rsidRDefault="00BA3A9A" w:rsidP="00B73CA3">
            <w:pPr>
              <w:spacing w:after="0" w:line="240" w:lineRule="auto"/>
              <w:jc w:val="right"/>
              <w:rPr>
                <w:rFonts w:ascii="Arial" w:eastAsia="Times New Roman" w:hAnsi="Arial" w:cs="Arial"/>
                <w:b/>
                <w:bCs/>
                <w:color w:val="000000" w:themeColor="text1"/>
                <w:sz w:val="18"/>
                <w:szCs w:val="18"/>
                <w:lang w:eastAsia="sl-SI"/>
              </w:rPr>
            </w:pPr>
            <w:r w:rsidRPr="00BA3A9A">
              <w:rPr>
                <w:rFonts w:ascii="Arial" w:eastAsia="Times New Roman" w:hAnsi="Arial" w:cs="Arial"/>
                <w:b/>
                <w:bCs/>
                <w:color w:val="000000" w:themeColor="text1"/>
                <w:sz w:val="18"/>
                <w:szCs w:val="18"/>
                <w:lang w:eastAsia="sl-SI"/>
              </w:rPr>
              <w:t>1.861.567.195</w:t>
            </w:r>
          </w:p>
        </w:tc>
        <w:tc>
          <w:tcPr>
            <w:tcW w:w="666" w:type="pct"/>
            <w:tcBorders>
              <w:top w:val="nil"/>
              <w:left w:val="nil"/>
              <w:bottom w:val="nil"/>
              <w:right w:val="nil"/>
            </w:tcBorders>
            <w:shd w:val="clear" w:color="auto" w:fill="auto"/>
            <w:noWrap/>
            <w:vAlign w:val="center"/>
            <w:hideMark/>
          </w:tcPr>
          <w:p w14:paraId="4AE680DA" w14:textId="77777777" w:rsidR="00BA3A9A" w:rsidRPr="00BA3A9A" w:rsidRDefault="00BA3A9A" w:rsidP="00BA3A9A">
            <w:pPr>
              <w:spacing w:after="0" w:line="240" w:lineRule="auto"/>
              <w:jc w:val="right"/>
              <w:rPr>
                <w:rFonts w:ascii="Arial" w:eastAsia="Times New Roman" w:hAnsi="Arial" w:cs="Arial"/>
                <w:color w:val="000000" w:themeColor="text1"/>
                <w:sz w:val="18"/>
                <w:szCs w:val="18"/>
                <w:lang w:eastAsia="sl-SI"/>
              </w:rPr>
            </w:pPr>
          </w:p>
        </w:tc>
        <w:tc>
          <w:tcPr>
            <w:tcW w:w="665" w:type="pct"/>
            <w:tcBorders>
              <w:top w:val="nil"/>
              <w:left w:val="nil"/>
              <w:bottom w:val="nil"/>
              <w:right w:val="nil"/>
            </w:tcBorders>
            <w:shd w:val="clear" w:color="auto" w:fill="auto"/>
            <w:noWrap/>
            <w:vAlign w:val="center"/>
            <w:hideMark/>
          </w:tcPr>
          <w:p w14:paraId="07EA0A5C" w14:textId="77777777" w:rsidR="00BA3A9A" w:rsidRPr="00BA3A9A" w:rsidRDefault="00BA3A9A" w:rsidP="00BA3A9A">
            <w:pPr>
              <w:spacing w:after="0" w:line="240" w:lineRule="auto"/>
              <w:jc w:val="right"/>
              <w:rPr>
                <w:rFonts w:ascii="Arial" w:eastAsia="Times New Roman" w:hAnsi="Arial" w:cs="Arial"/>
                <w:color w:val="000000" w:themeColor="text1"/>
                <w:sz w:val="18"/>
                <w:szCs w:val="18"/>
                <w:lang w:eastAsia="sl-SI"/>
              </w:rPr>
            </w:pPr>
          </w:p>
        </w:tc>
      </w:tr>
      <w:tr w:rsidR="00B73CA3" w:rsidRPr="00B73CA3" w14:paraId="7E8953AE" w14:textId="77777777" w:rsidTr="00B73CA3">
        <w:trPr>
          <w:trHeight w:val="300"/>
        </w:trPr>
        <w:tc>
          <w:tcPr>
            <w:tcW w:w="2009" w:type="pct"/>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14:paraId="5688842D" w14:textId="77777777" w:rsidR="00BA3A9A" w:rsidRPr="00BA3A9A" w:rsidRDefault="00BA3A9A" w:rsidP="00BA3A9A">
            <w:pPr>
              <w:spacing w:after="0" w:line="240" w:lineRule="auto"/>
              <w:rPr>
                <w:rFonts w:ascii="Arial" w:eastAsia="Times New Roman" w:hAnsi="Arial" w:cs="Arial"/>
                <w:b/>
                <w:bCs/>
                <w:color w:val="000000" w:themeColor="text1"/>
                <w:sz w:val="18"/>
                <w:szCs w:val="18"/>
                <w:lang w:eastAsia="sl-SI"/>
              </w:rPr>
            </w:pPr>
            <w:r w:rsidRPr="00BA3A9A">
              <w:rPr>
                <w:rFonts w:ascii="Arial" w:eastAsia="Times New Roman" w:hAnsi="Arial" w:cs="Arial"/>
                <w:b/>
                <w:bCs/>
                <w:color w:val="000000" w:themeColor="text1"/>
                <w:sz w:val="18"/>
                <w:szCs w:val="18"/>
                <w:lang w:eastAsia="sl-SI"/>
              </w:rPr>
              <w:t>Skupaj</w:t>
            </w:r>
          </w:p>
        </w:tc>
        <w:tc>
          <w:tcPr>
            <w:tcW w:w="666" w:type="pct"/>
            <w:tcBorders>
              <w:top w:val="nil"/>
              <w:left w:val="nil"/>
              <w:bottom w:val="single" w:sz="4" w:space="0" w:color="auto"/>
              <w:right w:val="single" w:sz="4" w:space="0" w:color="auto"/>
            </w:tcBorders>
            <w:shd w:val="clear" w:color="auto" w:fill="F2F2F2" w:themeFill="background1" w:themeFillShade="F2"/>
            <w:noWrap/>
            <w:vAlign w:val="center"/>
            <w:hideMark/>
          </w:tcPr>
          <w:p w14:paraId="4E439B2C" w14:textId="77777777" w:rsidR="00BA3A9A" w:rsidRPr="00BA3A9A" w:rsidRDefault="00BA3A9A" w:rsidP="00B73CA3">
            <w:pPr>
              <w:spacing w:after="0" w:line="240" w:lineRule="auto"/>
              <w:jc w:val="right"/>
              <w:rPr>
                <w:rFonts w:ascii="Arial" w:eastAsia="Times New Roman" w:hAnsi="Arial" w:cs="Arial"/>
                <w:b/>
                <w:bCs/>
                <w:color w:val="000000" w:themeColor="text1"/>
                <w:sz w:val="18"/>
                <w:szCs w:val="18"/>
                <w:lang w:eastAsia="sl-SI"/>
              </w:rPr>
            </w:pPr>
            <w:r w:rsidRPr="00BA3A9A">
              <w:rPr>
                <w:rFonts w:ascii="Arial" w:eastAsia="Times New Roman" w:hAnsi="Arial" w:cs="Arial"/>
                <w:b/>
                <w:bCs/>
                <w:color w:val="000000" w:themeColor="text1"/>
                <w:sz w:val="18"/>
                <w:szCs w:val="18"/>
                <w:lang w:eastAsia="sl-SI"/>
              </w:rPr>
              <w:t>17.224</w:t>
            </w:r>
          </w:p>
        </w:tc>
        <w:tc>
          <w:tcPr>
            <w:tcW w:w="994" w:type="pct"/>
            <w:tcBorders>
              <w:top w:val="nil"/>
              <w:left w:val="nil"/>
              <w:bottom w:val="single" w:sz="4" w:space="0" w:color="auto"/>
              <w:right w:val="single" w:sz="4" w:space="0" w:color="auto"/>
            </w:tcBorders>
            <w:shd w:val="clear" w:color="auto" w:fill="F2F2F2" w:themeFill="background1" w:themeFillShade="F2"/>
            <w:noWrap/>
            <w:vAlign w:val="center"/>
            <w:hideMark/>
          </w:tcPr>
          <w:p w14:paraId="12A4C53F" w14:textId="77777777" w:rsidR="00BA3A9A" w:rsidRPr="00BA3A9A" w:rsidRDefault="00BA3A9A" w:rsidP="00B73CA3">
            <w:pPr>
              <w:spacing w:after="0" w:line="240" w:lineRule="auto"/>
              <w:jc w:val="right"/>
              <w:rPr>
                <w:rFonts w:ascii="Arial" w:eastAsia="Times New Roman" w:hAnsi="Arial" w:cs="Arial"/>
                <w:b/>
                <w:bCs/>
                <w:color w:val="000000" w:themeColor="text1"/>
                <w:sz w:val="18"/>
                <w:szCs w:val="18"/>
                <w:lang w:eastAsia="sl-SI"/>
              </w:rPr>
            </w:pPr>
            <w:r w:rsidRPr="00BA3A9A">
              <w:rPr>
                <w:rFonts w:ascii="Arial" w:eastAsia="Times New Roman" w:hAnsi="Arial" w:cs="Arial"/>
                <w:b/>
                <w:bCs/>
                <w:color w:val="000000" w:themeColor="text1"/>
                <w:sz w:val="18"/>
                <w:szCs w:val="18"/>
                <w:lang w:eastAsia="sl-SI"/>
              </w:rPr>
              <w:t>5.417.105.902</w:t>
            </w:r>
          </w:p>
        </w:tc>
        <w:tc>
          <w:tcPr>
            <w:tcW w:w="666" w:type="pct"/>
            <w:tcBorders>
              <w:top w:val="nil"/>
              <w:left w:val="nil"/>
              <w:bottom w:val="nil"/>
              <w:right w:val="nil"/>
            </w:tcBorders>
            <w:shd w:val="clear" w:color="auto" w:fill="auto"/>
            <w:noWrap/>
            <w:vAlign w:val="center"/>
            <w:hideMark/>
          </w:tcPr>
          <w:p w14:paraId="562FC8B1" w14:textId="77777777" w:rsidR="00BA3A9A" w:rsidRPr="00BA3A9A" w:rsidRDefault="00BA3A9A" w:rsidP="00BA3A9A">
            <w:pPr>
              <w:spacing w:after="0" w:line="240" w:lineRule="auto"/>
              <w:jc w:val="right"/>
              <w:rPr>
                <w:rFonts w:ascii="Arial" w:eastAsia="Times New Roman" w:hAnsi="Arial" w:cs="Arial"/>
                <w:color w:val="000000" w:themeColor="text1"/>
                <w:sz w:val="18"/>
                <w:szCs w:val="18"/>
                <w:lang w:eastAsia="sl-SI"/>
              </w:rPr>
            </w:pPr>
          </w:p>
        </w:tc>
        <w:tc>
          <w:tcPr>
            <w:tcW w:w="665" w:type="pct"/>
            <w:tcBorders>
              <w:top w:val="nil"/>
              <w:left w:val="nil"/>
              <w:bottom w:val="nil"/>
              <w:right w:val="nil"/>
            </w:tcBorders>
            <w:shd w:val="clear" w:color="auto" w:fill="auto"/>
            <w:noWrap/>
            <w:vAlign w:val="center"/>
            <w:hideMark/>
          </w:tcPr>
          <w:p w14:paraId="02332118" w14:textId="77777777" w:rsidR="00BA3A9A" w:rsidRPr="00BA3A9A" w:rsidRDefault="00BA3A9A" w:rsidP="00BA3A9A">
            <w:pPr>
              <w:spacing w:after="0" w:line="240" w:lineRule="auto"/>
              <w:jc w:val="right"/>
              <w:rPr>
                <w:rFonts w:ascii="Arial" w:eastAsia="Times New Roman" w:hAnsi="Arial" w:cs="Arial"/>
                <w:color w:val="000000" w:themeColor="text1"/>
                <w:sz w:val="18"/>
                <w:szCs w:val="18"/>
                <w:lang w:eastAsia="sl-SI"/>
              </w:rPr>
            </w:pPr>
          </w:p>
        </w:tc>
      </w:tr>
    </w:tbl>
    <w:p w14:paraId="07D03A61" w14:textId="77777777" w:rsidR="004A613D" w:rsidRPr="00BF7302" w:rsidRDefault="004A613D" w:rsidP="004A613D">
      <w:pPr>
        <w:spacing w:after="0" w:line="240" w:lineRule="auto"/>
        <w:jc w:val="center"/>
        <w:rPr>
          <w:rFonts w:ascii="Arial" w:hAnsi="Arial" w:cs="Arial"/>
          <w:sz w:val="18"/>
          <w:highlight w:val="yellow"/>
        </w:rPr>
      </w:pPr>
    </w:p>
    <w:p w14:paraId="1F54C4F6" w14:textId="32A07D73" w:rsidR="002149C7" w:rsidRPr="00BA3A9A" w:rsidRDefault="002149C7" w:rsidP="00D94701">
      <w:pPr>
        <w:spacing w:after="120" w:line="240" w:lineRule="auto"/>
        <w:jc w:val="center"/>
        <w:rPr>
          <w:rFonts w:ascii="Arial" w:hAnsi="Arial" w:cs="Arial"/>
          <w:sz w:val="18"/>
        </w:rPr>
      </w:pPr>
      <w:r w:rsidRPr="00BA3A9A">
        <w:rPr>
          <w:rFonts w:ascii="Arial" w:hAnsi="Arial" w:cs="Arial"/>
          <w:sz w:val="18"/>
        </w:rPr>
        <w:t>Vir: Statistični podatki o javni</w:t>
      </w:r>
      <w:r w:rsidR="00550208" w:rsidRPr="00BA3A9A">
        <w:rPr>
          <w:rFonts w:ascii="Arial" w:hAnsi="Arial" w:cs="Arial"/>
          <w:sz w:val="18"/>
        </w:rPr>
        <w:t>h naročilih, oddanih v letu 20</w:t>
      </w:r>
      <w:r w:rsidR="002A51DA" w:rsidRPr="00BA3A9A">
        <w:rPr>
          <w:rFonts w:ascii="Arial" w:hAnsi="Arial" w:cs="Arial"/>
          <w:sz w:val="18"/>
        </w:rPr>
        <w:t>2</w:t>
      </w:r>
      <w:r w:rsidR="00D872B2" w:rsidRPr="00BA3A9A">
        <w:rPr>
          <w:rFonts w:ascii="Arial" w:hAnsi="Arial" w:cs="Arial"/>
          <w:sz w:val="18"/>
        </w:rPr>
        <w:t>2</w:t>
      </w:r>
      <w:r w:rsidR="00E9321E" w:rsidRPr="00BA3A9A">
        <w:rPr>
          <w:rFonts w:ascii="Arial" w:hAnsi="Arial" w:cs="Arial"/>
          <w:sz w:val="18"/>
        </w:rPr>
        <w:t>.</w:t>
      </w:r>
    </w:p>
    <w:p w14:paraId="4DE7B43B" w14:textId="77777777" w:rsidR="00F81313" w:rsidRPr="00365920" w:rsidRDefault="00F81313" w:rsidP="004A613D">
      <w:pPr>
        <w:spacing w:after="0" w:line="240" w:lineRule="auto"/>
        <w:jc w:val="center"/>
        <w:rPr>
          <w:rFonts w:ascii="Arial" w:hAnsi="Arial" w:cs="Arial"/>
          <w:sz w:val="18"/>
        </w:rPr>
      </w:pPr>
    </w:p>
    <w:p w14:paraId="437750E5" w14:textId="459E8033" w:rsidR="001F6CF7" w:rsidRPr="009E4602" w:rsidRDefault="006A0A09" w:rsidP="006A0A09">
      <w:pPr>
        <w:spacing w:line="360" w:lineRule="auto"/>
        <w:jc w:val="both"/>
        <w:rPr>
          <w:rFonts w:ascii="Arial" w:hAnsi="Arial" w:cs="Arial"/>
          <w:sz w:val="20"/>
          <w:szCs w:val="20"/>
          <w:lang w:eastAsia="sl-SI"/>
        </w:rPr>
      </w:pPr>
      <w:r w:rsidRPr="00365920">
        <w:rPr>
          <w:rFonts w:ascii="Arial" w:hAnsi="Arial" w:cs="Arial"/>
          <w:sz w:val="20"/>
          <w:szCs w:val="20"/>
          <w:lang w:eastAsia="sl-SI"/>
        </w:rPr>
        <w:t>Graf </w:t>
      </w:r>
      <w:r w:rsidR="0083702C" w:rsidRPr="00365920">
        <w:rPr>
          <w:rFonts w:ascii="Arial" w:hAnsi="Arial" w:cs="Arial"/>
          <w:sz w:val="20"/>
          <w:szCs w:val="20"/>
          <w:lang w:eastAsia="sl-SI"/>
        </w:rPr>
        <w:t>4</w:t>
      </w:r>
      <w:r w:rsidRPr="00365920">
        <w:rPr>
          <w:rFonts w:ascii="Arial" w:hAnsi="Arial" w:cs="Arial"/>
          <w:sz w:val="20"/>
          <w:szCs w:val="20"/>
          <w:lang w:eastAsia="sl-SI"/>
        </w:rPr>
        <w:t xml:space="preserve"> prikazuje, da so bili </w:t>
      </w:r>
      <w:r w:rsidR="00CD4647" w:rsidRPr="00365920">
        <w:rPr>
          <w:rFonts w:ascii="Arial" w:hAnsi="Arial" w:cs="Arial"/>
          <w:sz w:val="20"/>
          <w:szCs w:val="20"/>
          <w:lang w:eastAsia="sl-SI"/>
        </w:rPr>
        <w:t>leta</w:t>
      </w:r>
      <w:r w:rsidRPr="00365920">
        <w:rPr>
          <w:rFonts w:ascii="Arial" w:hAnsi="Arial" w:cs="Arial"/>
          <w:sz w:val="20"/>
          <w:szCs w:val="20"/>
          <w:lang w:eastAsia="sl-SI"/>
        </w:rPr>
        <w:t xml:space="preserve"> 20</w:t>
      </w:r>
      <w:r w:rsidR="004E56F5" w:rsidRPr="00365920">
        <w:rPr>
          <w:rFonts w:ascii="Arial" w:hAnsi="Arial" w:cs="Arial"/>
          <w:sz w:val="20"/>
          <w:szCs w:val="20"/>
          <w:lang w:eastAsia="sl-SI"/>
        </w:rPr>
        <w:t>2</w:t>
      </w:r>
      <w:r w:rsidR="00365920" w:rsidRPr="00365920">
        <w:rPr>
          <w:rFonts w:ascii="Arial" w:hAnsi="Arial" w:cs="Arial"/>
          <w:sz w:val="20"/>
          <w:szCs w:val="20"/>
          <w:lang w:eastAsia="sl-SI"/>
        </w:rPr>
        <w:t>2</w:t>
      </w:r>
      <w:r w:rsidRPr="00365920">
        <w:rPr>
          <w:rFonts w:ascii="Arial" w:hAnsi="Arial" w:cs="Arial"/>
          <w:sz w:val="20"/>
          <w:szCs w:val="20"/>
          <w:lang w:eastAsia="sl-SI"/>
        </w:rPr>
        <w:t xml:space="preserve"> v postopkih javnih naročil po vrednosti oddanih </w:t>
      </w:r>
      <w:r w:rsidR="009B2527" w:rsidRPr="00365920">
        <w:rPr>
          <w:rFonts w:ascii="Arial" w:hAnsi="Arial" w:cs="Arial"/>
          <w:sz w:val="20"/>
          <w:szCs w:val="20"/>
          <w:lang w:eastAsia="sl-SI"/>
        </w:rPr>
        <w:t>naročil</w:t>
      </w:r>
      <w:r w:rsidRPr="00365920">
        <w:rPr>
          <w:rFonts w:ascii="Arial" w:hAnsi="Arial" w:cs="Arial"/>
          <w:sz w:val="20"/>
          <w:szCs w:val="20"/>
          <w:lang w:eastAsia="sl-SI"/>
        </w:rPr>
        <w:t xml:space="preserve"> med tujimi </w:t>
      </w:r>
      <w:r w:rsidR="002240CA" w:rsidRPr="00365920">
        <w:rPr>
          <w:rFonts w:ascii="Arial" w:hAnsi="Arial" w:cs="Arial"/>
          <w:sz w:val="20"/>
          <w:szCs w:val="20"/>
          <w:lang w:eastAsia="sl-SI"/>
        </w:rPr>
        <w:t xml:space="preserve">ponudniki </w:t>
      </w:r>
      <w:r w:rsidRPr="00365920">
        <w:rPr>
          <w:rFonts w:ascii="Arial" w:hAnsi="Arial" w:cs="Arial"/>
          <w:sz w:val="20"/>
          <w:szCs w:val="20"/>
          <w:lang w:eastAsia="sl-SI"/>
        </w:rPr>
        <w:t xml:space="preserve">najuspešnejši ponudniki iz </w:t>
      </w:r>
      <w:r w:rsidR="00BD3B20" w:rsidRPr="00365920">
        <w:rPr>
          <w:rFonts w:ascii="Arial" w:hAnsi="Arial" w:cs="Arial"/>
          <w:sz w:val="20"/>
          <w:szCs w:val="20"/>
          <w:lang w:eastAsia="sl-SI"/>
        </w:rPr>
        <w:t xml:space="preserve">Švice, </w:t>
      </w:r>
      <w:r w:rsidR="00365920" w:rsidRPr="00365920">
        <w:rPr>
          <w:rFonts w:ascii="Arial" w:hAnsi="Arial" w:cs="Arial"/>
          <w:sz w:val="20"/>
          <w:szCs w:val="20"/>
          <w:lang w:eastAsia="sl-SI"/>
        </w:rPr>
        <w:t>Nizozemske</w:t>
      </w:r>
      <w:r w:rsidR="00BD3B20" w:rsidRPr="00365920">
        <w:rPr>
          <w:rFonts w:ascii="Arial" w:hAnsi="Arial" w:cs="Arial"/>
          <w:sz w:val="20"/>
          <w:szCs w:val="20"/>
          <w:lang w:eastAsia="sl-SI"/>
        </w:rPr>
        <w:t xml:space="preserve"> in </w:t>
      </w:r>
      <w:r w:rsidR="00BD3B20" w:rsidRPr="00B73CA3">
        <w:rPr>
          <w:rFonts w:ascii="Arial" w:hAnsi="Arial" w:cs="Arial"/>
          <w:sz w:val="20"/>
          <w:szCs w:val="20"/>
          <w:lang w:eastAsia="sl-SI"/>
        </w:rPr>
        <w:t>Nemčije</w:t>
      </w:r>
      <w:r w:rsidR="00203977" w:rsidRPr="00B73CA3">
        <w:rPr>
          <w:rFonts w:ascii="Arial" w:hAnsi="Arial" w:cs="Arial"/>
          <w:sz w:val="20"/>
          <w:szCs w:val="20"/>
          <w:lang w:eastAsia="sl-SI"/>
        </w:rPr>
        <w:t>.</w:t>
      </w:r>
      <w:r w:rsidRPr="00B73CA3">
        <w:rPr>
          <w:rFonts w:ascii="Arial" w:hAnsi="Arial" w:cs="Arial"/>
          <w:sz w:val="20"/>
          <w:szCs w:val="20"/>
          <w:lang w:eastAsia="sl-SI"/>
        </w:rPr>
        <w:t xml:space="preserve"> Ponudniki iz </w:t>
      </w:r>
      <w:r w:rsidR="00BD3B20" w:rsidRPr="00B73CA3">
        <w:rPr>
          <w:rFonts w:ascii="Arial" w:hAnsi="Arial" w:cs="Arial"/>
          <w:sz w:val="20"/>
          <w:szCs w:val="20"/>
          <w:lang w:eastAsia="sl-SI"/>
        </w:rPr>
        <w:t>Švice</w:t>
      </w:r>
      <w:r w:rsidR="004E56F5" w:rsidRPr="00B73CA3">
        <w:rPr>
          <w:rFonts w:ascii="Arial" w:hAnsi="Arial" w:cs="Arial"/>
          <w:sz w:val="20"/>
          <w:szCs w:val="20"/>
          <w:lang w:eastAsia="sl-SI"/>
        </w:rPr>
        <w:t xml:space="preserve"> </w:t>
      </w:r>
      <w:r w:rsidRPr="00B73CA3">
        <w:rPr>
          <w:rFonts w:ascii="Arial" w:hAnsi="Arial" w:cs="Arial"/>
          <w:sz w:val="20"/>
          <w:szCs w:val="20"/>
          <w:lang w:eastAsia="sl-SI"/>
        </w:rPr>
        <w:t>so pridobili</w:t>
      </w:r>
      <w:r w:rsidR="00BD3B20" w:rsidRPr="00B73CA3">
        <w:rPr>
          <w:rFonts w:ascii="Arial" w:hAnsi="Arial" w:cs="Arial"/>
          <w:sz w:val="20"/>
          <w:szCs w:val="20"/>
          <w:lang w:eastAsia="sl-SI"/>
        </w:rPr>
        <w:t xml:space="preserve"> 1</w:t>
      </w:r>
      <w:r w:rsidR="00B73CA3" w:rsidRPr="00B73CA3">
        <w:rPr>
          <w:rFonts w:ascii="Arial" w:hAnsi="Arial" w:cs="Arial"/>
          <w:sz w:val="20"/>
          <w:szCs w:val="20"/>
          <w:lang w:eastAsia="sl-SI"/>
        </w:rPr>
        <w:t>4</w:t>
      </w:r>
      <w:r w:rsidR="00BD3B20" w:rsidRPr="00B73CA3">
        <w:rPr>
          <w:rFonts w:ascii="Arial" w:hAnsi="Arial" w:cs="Arial"/>
          <w:sz w:val="20"/>
          <w:szCs w:val="20"/>
          <w:lang w:eastAsia="sl-SI"/>
        </w:rPr>
        <w:t xml:space="preserve"> </w:t>
      </w:r>
      <w:r w:rsidR="004E56F5" w:rsidRPr="00B73CA3">
        <w:rPr>
          <w:rFonts w:ascii="Arial" w:hAnsi="Arial" w:cs="Arial"/>
          <w:sz w:val="20"/>
          <w:szCs w:val="20"/>
          <w:lang w:eastAsia="sl-SI"/>
        </w:rPr>
        <w:t>n</w:t>
      </w:r>
      <w:r w:rsidR="00C8023B" w:rsidRPr="00B73CA3">
        <w:rPr>
          <w:rFonts w:ascii="Arial" w:hAnsi="Arial" w:cs="Arial"/>
          <w:sz w:val="20"/>
          <w:szCs w:val="20"/>
          <w:lang w:eastAsia="sl-SI"/>
        </w:rPr>
        <w:t>aročil</w:t>
      </w:r>
      <w:r w:rsidR="00653914" w:rsidRPr="00B73CA3">
        <w:rPr>
          <w:rFonts w:ascii="Arial" w:hAnsi="Arial" w:cs="Arial"/>
          <w:sz w:val="20"/>
          <w:szCs w:val="20"/>
          <w:lang w:eastAsia="sl-SI"/>
        </w:rPr>
        <w:t xml:space="preserve"> v vrednosti</w:t>
      </w:r>
      <w:r w:rsidRPr="00B73CA3">
        <w:rPr>
          <w:rFonts w:ascii="Arial" w:hAnsi="Arial" w:cs="Arial"/>
          <w:sz w:val="20"/>
          <w:szCs w:val="20"/>
          <w:lang w:eastAsia="sl-SI"/>
        </w:rPr>
        <w:t xml:space="preserve"> </w:t>
      </w:r>
      <w:r w:rsidR="00B73CA3" w:rsidRPr="00B73CA3">
        <w:rPr>
          <w:rFonts w:ascii="Arial" w:hAnsi="Arial" w:cs="Arial"/>
          <w:sz w:val="20"/>
          <w:szCs w:val="20"/>
          <w:lang w:eastAsia="sl-SI"/>
        </w:rPr>
        <w:t xml:space="preserve">47.093.807 </w:t>
      </w:r>
      <w:r w:rsidRPr="00B73CA3">
        <w:rPr>
          <w:rFonts w:ascii="Arial" w:hAnsi="Arial" w:cs="Arial"/>
          <w:sz w:val="20"/>
          <w:szCs w:val="20"/>
          <w:lang w:eastAsia="sl-SI"/>
        </w:rPr>
        <w:t xml:space="preserve">evrov, kar je po vrednosti </w:t>
      </w:r>
      <w:r w:rsidR="00B73CA3" w:rsidRPr="00B73CA3">
        <w:rPr>
          <w:rFonts w:ascii="Arial" w:hAnsi="Arial" w:cs="Arial"/>
          <w:sz w:val="20"/>
          <w:szCs w:val="20"/>
          <w:lang w:eastAsia="sl-SI"/>
        </w:rPr>
        <w:t>23,77</w:t>
      </w:r>
      <w:r w:rsidR="00862C47" w:rsidRPr="00B73CA3">
        <w:rPr>
          <w:rFonts w:ascii="Arial" w:hAnsi="Arial" w:cs="Arial"/>
          <w:sz w:val="20"/>
          <w:szCs w:val="20"/>
          <w:lang w:eastAsia="sl-SI"/>
        </w:rPr>
        <w:t> </w:t>
      </w:r>
      <w:r w:rsidR="00AC0027">
        <w:rPr>
          <w:rFonts w:ascii="Arial" w:hAnsi="Arial" w:cs="Arial"/>
          <w:sz w:val="20"/>
          <w:szCs w:val="20"/>
          <w:lang w:eastAsia="sl-SI"/>
        </w:rPr>
        <w:t>odstotka</w:t>
      </w:r>
      <w:r w:rsidRPr="00B73CA3">
        <w:rPr>
          <w:rFonts w:ascii="Arial" w:hAnsi="Arial" w:cs="Arial"/>
          <w:sz w:val="20"/>
          <w:szCs w:val="20"/>
          <w:lang w:eastAsia="sl-SI"/>
        </w:rPr>
        <w:t xml:space="preserve"> vseh </w:t>
      </w:r>
      <w:r w:rsidR="00653914" w:rsidRPr="00B73CA3">
        <w:rPr>
          <w:rFonts w:ascii="Arial" w:hAnsi="Arial" w:cs="Arial"/>
          <w:sz w:val="20"/>
          <w:szCs w:val="20"/>
          <w:lang w:eastAsia="sl-SI"/>
        </w:rPr>
        <w:t>naročil</w:t>
      </w:r>
      <w:r w:rsidRPr="00B73CA3">
        <w:rPr>
          <w:rFonts w:ascii="Arial" w:hAnsi="Arial" w:cs="Arial"/>
          <w:sz w:val="20"/>
          <w:szCs w:val="20"/>
          <w:lang w:eastAsia="sl-SI"/>
        </w:rPr>
        <w:t>, ki so bil</w:t>
      </w:r>
      <w:r w:rsidR="00B417B3" w:rsidRPr="00B73CA3">
        <w:rPr>
          <w:rFonts w:ascii="Arial" w:hAnsi="Arial" w:cs="Arial"/>
          <w:sz w:val="20"/>
          <w:szCs w:val="20"/>
          <w:lang w:eastAsia="sl-SI"/>
        </w:rPr>
        <w:t>a</w:t>
      </w:r>
      <w:r w:rsidRPr="00B73CA3">
        <w:rPr>
          <w:rFonts w:ascii="Arial" w:hAnsi="Arial" w:cs="Arial"/>
          <w:sz w:val="20"/>
          <w:szCs w:val="20"/>
          <w:lang w:eastAsia="sl-SI"/>
        </w:rPr>
        <w:t xml:space="preserve"> </w:t>
      </w:r>
      <w:r w:rsidR="00CD4647" w:rsidRPr="00B73CA3">
        <w:rPr>
          <w:rFonts w:ascii="Arial" w:hAnsi="Arial" w:cs="Arial"/>
          <w:sz w:val="20"/>
          <w:szCs w:val="20"/>
          <w:lang w:eastAsia="sl-SI"/>
        </w:rPr>
        <w:t xml:space="preserve">leta </w:t>
      </w:r>
      <w:r w:rsidRPr="00B73CA3">
        <w:rPr>
          <w:rFonts w:ascii="Arial" w:hAnsi="Arial" w:cs="Arial"/>
          <w:sz w:val="20"/>
          <w:szCs w:val="20"/>
          <w:lang w:eastAsia="sl-SI"/>
        </w:rPr>
        <w:t>20</w:t>
      </w:r>
      <w:r w:rsidR="004E56F5" w:rsidRPr="00B73CA3">
        <w:rPr>
          <w:rFonts w:ascii="Arial" w:hAnsi="Arial" w:cs="Arial"/>
          <w:sz w:val="20"/>
          <w:szCs w:val="20"/>
          <w:lang w:eastAsia="sl-SI"/>
        </w:rPr>
        <w:t>2</w:t>
      </w:r>
      <w:r w:rsidR="00B73CA3" w:rsidRPr="00B73CA3">
        <w:rPr>
          <w:rFonts w:ascii="Arial" w:hAnsi="Arial" w:cs="Arial"/>
          <w:sz w:val="20"/>
          <w:szCs w:val="20"/>
          <w:lang w:eastAsia="sl-SI"/>
        </w:rPr>
        <w:t>2</w:t>
      </w:r>
      <w:r w:rsidRPr="00B73CA3">
        <w:rPr>
          <w:rFonts w:ascii="Arial" w:hAnsi="Arial" w:cs="Arial"/>
          <w:sz w:val="20"/>
          <w:szCs w:val="20"/>
          <w:lang w:eastAsia="sl-SI"/>
        </w:rPr>
        <w:t xml:space="preserve"> oddan</w:t>
      </w:r>
      <w:r w:rsidR="00AE3124" w:rsidRPr="00B73CA3">
        <w:rPr>
          <w:rFonts w:ascii="Arial" w:hAnsi="Arial" w:cs="Arial"/>
          <w:sz w:val="20"/>
          <w:szCs w:val="20"/>
          <w:lang w:eastAsia="sl-SI"/>
        </w:rPr>
        <w:t>a</w:t>
      </w:r>
      <w:r w:rsidRPr="00B73CA3">
        <w:rPr>
          <w:rFonts w:ascii="Arial" w:hAnsi="Arial" w:cs="Arial"/>
          <w:sz w:val="20"/>
          <w:szCs w:val="20"/>
          <w:lang w:eastAsia="sl-SI"/>
        </w:rPr>
        <w:t xml:space="preserve"> tujim ponudnikom. Po vrednosti </w:t>
      </w:r>
      <w:r w:rsidR="00C5601E" w:rsidRPr="00B73CA3">
        <w:rPr>
          <w:rFonts w:ascii="Arial" w:hAnsi="Arial" w:cs="Arial"/>
          <w:sz w:val="20"/>
          <w:szCs w:val="20"/>
          <w:lang w:eastAsia="sl-SI"/>
        </w:rPr>
        <w:t xml:space="preserve">so za </w:t>
      </w:r>
      <w:r w:rsidR="00653914" w:rsidRPr="00B73CA3">
        <w:rPr>
          <w:rFonts w:ascii="Arial" w:hAnsi="Arial" w:cs="Arial"/>
          <w:sz w:val="20"/>
          <w:szCs w:val="20"/>
          <w:lang w:eastAsia="sl-SI"/>
        </w:rPr>
        <w:t>ponudnik</w:t>
      </w:r>
      <w:r w:rsidR="00C5601E" w:rsidRPr="00B73CA3">
        <w:rPr>
          <w:rFonts w:ascii="Arial" w:hAnsi="Arial" w:cs="Arial"/>
          <w:sz w:val="20"/>
          <w:szCs w:val="20"/>
          <w:lang w:eastAsia="sl-SI"/>
        </w:rPr>
        <w:t>i</w:t>
      </w:r>
      <w:r w:rsidR="00653914" w:rsidRPr="00B73CA3">
        <w:rPr>
          <w:rFonts w:ascii="Arial" w:hAnsi="Arial" w:cs="Arial"/>
          <w:sz w:val="20"/>
          <w:szCs w:val="20"/>
          <w:lang w:eastAsia="sl-SI"/>
        </w:rPr>
        <w:t xml:space="preserve"> iz</w:t>
      </w:r>
      <w:r w:rsidR="00BD3B20" w:rsidRPr="00B73CA3">
        <w:rPr>
          <w:rFonts w:ascii="Arial" w:hAnsi="Arial" w:cs="Arial"/>
          <w:sz w:val="20"/>
          <w:szCs w:val="20"/>
          <w:lang w:eastAsia="sl-SI"/>
        </w:rPr>
        <w:t xml:space="preserve"> Švice</w:t>
      </w:r>
      <w:r w:rsidR="004E56F5" w:rsidRPr="00B73CA3">
        <w:rPr>
          <w:rFonts w:ascii="Arial" w:hAnsi="Arial" w:cs="Arial"/>
          <w:sz w:val="20"/>
          <w:szCs w:val="20"/>
          <w:lang w:eastAsia="sl-SI"/>
        </w:rPr>
        <w:t xml:space="preserve"> </w:t>
      </w:r>
      <w:r w:rsidR="00C5601E" w:rsidRPr="00B73CA3">
        <w:rPr>
          <w:rFonts w:ascii="Arial" w:hAnsi="Arial" w:cs="Arial"/>
          <w:sz w:val="20"/>
          <w:szCs w:val="20"/>
          <w:lang w:eastAsia="sl-SI"/>
        </w:rPr>
        <w:t>na drugem mestu</w:t>
      </w:r>
      <w:r w:rsidRPr="00B73CA3">
        <w:rPr>
          <w:rFonts w:ascii="Arial" w:hAnsi="Arial" w:cs="Arial"/>
          <w:sz w:val="20"/>
          <w:szCs w:val="20"/>
          <w:lang w:eastAsia="sl-SI"/>
        </w:rPr>
        <w:t xml:space="preserve"> ponudniki i</w:t>
      </w:r>
      <w:r w:rsidR="004E56F5" w:rsidRPr="00B73CA3">
        <w:rPr>
          <w:rFonts w:ascii="Arial" w:hAnsi="Arial" w:cs="Arial"/>
          <w:sz w:val="20"/>
          <w:szCs w:val="20"/>
          <w:lang w:eastAsia="sl-SI"/>
        </w:rPr>
        <w:t>z</w:t>
      </w:r>
      <w:r w:rsidR="00BD3B20" w:rsidRPr="00B73CA3">
        <w:rPr>
          <w:rFonts w:ascii="Arial" w:hAnsi="Arial" w:cs="Arial"/>
          <w:sz w:val="20"/>
          <w:szCs w:val="20"/>
          <w:lang w:eastAsia="sl-SI"/>
        </w:rPr>
        <w:t xml:space="preserve"> </w:t>
      </w:r>
      <w:r w:rsidR="00B73CA3" w:rsidRPr="00B73CA3">
        <w:rPr>
          <w:rFonts w:ascii="Arial" w:hAnsi="Arial" w:cs="Arial"/>
          <w:sz w:val="20"/>
          <w:szCs w:val="20"/>
          <w:lang w:eastAsia="sl-SI"/>
        </w:rPr>
        <w:t>Nizozemske</w:t>
      </w:r>
      <w:r w:rsidRPr="00B73CA3">
        <w:rPr>
          <w:rFonts w:ascii="Arial" w:hAnsi="Arial" w:cs="Arial"/>
          <w:sz w:val="20"/>
          <w:szCs w:val="20"/>
          <w:lang w:eastAsia="sl-SI"/>
        </w:rPr>
        <w:t xml:space="preserve">, ki </w:t>
      </w:r>
      <w:r w:rsidRPr="009E4602">
        <w:rPr>
          <w:rFonts w:ascii="Arial" w:hAnsi="Arial" w:cs="Arial"/>
          <w:sz w:val="20"/>
          <w:szCs w:val="20"/>
          <w:lang w:eastAsia="sl-SI"/>
        </w:rPr>
        <w:t xml:space="preserve">jim je bilo oddanih </w:t>
      </w:r>
      <w:r w:rsidR="00B73CA3" w:rsidRPr="009E4602">
        <w:rPr>
          <w:rFonts w:ascii="Arial" w:hAnsi="Arial" w:cs="Arial"/>
          <w:sz w:val="20"/>
          <w:szCs w:val="20"/>
          <w:lang w:eastAsia="sl-SI"/>
        </w:rPr>
        <w:t>65</w:t>
      </w:r>
      <w:r w:rsidR="00653914" w:rsidRPr="009E4602">
        <w:rPr>
          <w:rFonts w:ascii="Arial" w:hAnsi="Arial" w:cs="Arial"/>
          <w:sz w:val="20"/>
          <w:szCs w:val="20"/>
          <w:lang w:eastAsia="sl-SI"/>
        </w:rPr>
        <w:t xml:space="preserve"> naročil</w:t>
      </w:r>
      <w:r w:rsidRPr="009E4602">
        <w:rPr>
          <w:rFonts w:ascii="Arial" w:hAnsi="Arial" w:cs="Arial"/>
          <w:sz w:val="20"/>
          <w:szCs w:val="20"/>
          <w:lang w:eastAsia="sl-SI"/>
        </w:rPr>
        <w:t xml:space="preserve"> v vrednosti </w:t>
      </w:r>
      <w:r w:rsidR="00B73CA3" w:rsidRPr="009E4602">
        <w:rPr>
          <w:rFonts w:ascii="Arial" w:hAnsi="Arial" w:cs="Arial"/>
          <w:sz w:val="20"/>
          <w:szCs w:val="20"/>
          <w:lang w:eastAsia="sl-SI"/>
        </w:rPr>
        <w:t xml:space="preserve">19.182.230 </w:t>
      </w:r>
      <w:r w:rsidRPr="009E4602">
        <w:rPr>
          <w:rFonts w:ascii="Arial" w:hAnsi="Arial" w:cs="Arial"/>
          <w:sz w:val="20"/>
          <w:szCs w:val="20"/>
          <w:lang w:eastAsia="sl-SI"/>
        </w:rPr>
        <w:t>evrov.</w:t>
      </w:r>
      <w:r w:rsidR="00155413" w:rsidRPr="009E4602">
        <w:rPr>
          <w:rFonts w:ascii="Arial" w:hAnsi="Arial" w:cs="Arial"/>
          <w:sz w:val="20"/>
          <w:szCs w:val="20"/>
          <w:lang w:eastAsia="sl-SI"/>
        </w:rPr>
        <w:t xml:space="preserve"> </w:t>
      </w:r>
      <w:r w:rsidR="00C5601E" w:rsidRPr="009E4602">
        <w:rPr>
          <w:rFonts w:ascii="Arial" w:hAnsi="Arial" w:cs="Arial"/>
          <w:sz w:val="20"/>
          <w:szCs w:val="20"/>
          <w:lang w:eastAsia="sl-SI"/>
        </w:rPr>
        <w:t>Za</w:t>
      </w:r>
      <w:r w:rsidR="00B44B3F">
        <w:rPr>
          <w:rFonts w:ascii="Arial" w:hAnsi="Arial" w:cs="Arial"/>
          <w:sz w:val="20"/>
          <w:szCs w:val="20"/>
          <w:lang w:eastAsia="sl-SI"/>
        </w:rPr>
        <w:t xml:space="preserve"> nizozemskimi</w:t>
      </w:r>
      <w:r w:rsidR="004E56F5" w:rsidRPr="009E4602">
        <w:rPr>
          <w:rFonts w:ascii="Arial" w:hAnsi="Arial" w:cs="Arial"/>
          <w:sz w:val="20"/>
          <w:szCs w:val="20"/>
          <w:lang w:eastAsia="sl-SI"/>
        </w:rPr>
        <w:t xml:space="preserve"> </w:t>
      </w:r>
      <w:r w:rsidRPr="009E4602">
        <w:rPr>
          <w:rFonts w:ascii="Arial" w:hAnsi="Arial" w:cs="Arial"/>
          <w:sz w:val="20"/>
          <w:szCs w:val="20"/>
          <w:lang w:eastAsia="sl-SI"/>
        </w:rPr>
        <w:t>ponudnik</w:t>
      </w:r>
      <w:r w:rsidR="00C5601E" w:rsidRPr="009E4602">
        <w:rPr>
          <w:rFonts w:ascii="Arial" w:hAnsi="Arial" w:cs="Arial"/>
          <w:sz w:val="20"/>
          <w:szCs w:val="20"/>
          <w:lang w:eastAsia="sl-SI"/>
        </w:rPr>
        <w:t>i so</w:t>
      </w:r>
      <w:r w:rsidRPr="009E4602">
        <w:rPr>
          <w:rFonts w:ascii="Arial" w:hAnsi="Arial" w:cs="Arial"/>
          <w:sz w:val="20"/>
          <w:szCs w:val="20"/>
          <w:lang w:eastAsia="sl-SI"/>
        </w:rPr>
        <w:t xml:space="preserve"> </w:t>
      </w:r>
      <w:r w:rsidR="00653914" w:rsidRPr="009E4602">
        <w:rPr>
          <w:rFonts w:ascii="Arial" w:hAnsi="Arial" w:cs="Arial"/>
          <w:sz w:val="20"/>
          <w:szCs w:val="20"/>
          <w:lang w:eastAsia="sl-SI"/>
        </w:rPr>
        <w:t xml:space="preserve">po vrednosti ponudniki iz </w:t>
      </w:r>
      <w:r w:rsidR="00BD3B20" w:rsidRPr="009E4602">
        <w:rPr>
          <w:rFonts w:ascii="Arial" w:hAnsi="Arial" w:cs="Arial"/>
          <w:sz w:val="20"/>
          <w:szCs w:val="20"/>
          <w:lang w:eastAsia="sl-SI"/>
        </w:rPr>
        <w:t>Nemčije</w:t>
      </w:r>
      <w:r w:rsidR="00653914" w:rsidRPr="009E4602">
        <w:rPr>
          <w:rFonts w:ascii="Arial" w:hAnsi="Arial" w:cs="Arial"/>
          <w:sz w:val="20"/>
          <w:szCs w:val="20"/>
          <w:lang w:eastAsia="sl-SI"/>
        </w:rPr>
        <w:t xml:space="preserve">, </w:t>
      </w:r>
      <w:r w:rsidR="00AE3124" w:rsidRPr="009E4602">
        <w:rPr>
          <w:rFonts w:ascii="Arial" w:hAnsi="Arial" w:cs="Arial"/>
          <w:sz w:val="20"/>
          <w:szCs w:val="20"/>
          <w:lang w:eastAsia="sl-SI"/>
        </w:rPr>
        <w:t xml:space="preserve">tem </w:t>
      </w:r>
      <w:r w:rsidR="00653914" w:rsidRPr="009E4602">
        <w:rPr>
          <w:rFonts w:ascii="Arial" w:hAnsi="Arial" w:cs="Arial"/>
          <w:sz w:val="20"/>
          <w:szCs w:val="20"/>
          <w:lang w:eastAsia="sl-SI"/>
        </w:rPr>
        <w:t>je bilo oddanih</w:t>
      </w:r>
      <w:r w:rsidR="00155413" w:rsidRPr="009E4602">
        <w:rPr>
          <w:rFonts w:ascii="Arial" w:hAnsi="Arial" w:cs="Arial"/>
          <w:sz w:val="20"/>
          <w:szCs w:val="20"/>
          <w:lang w:eastAsia="sl-SI"/>
        </w:rPr>
        <w:t xml:space="preserve"> </w:t>
      </w:r>
      <w:r w:rsidR="009E4602" w:rsidRPr="009E4602">
        <w:rPr>
          <w:rFonts w:ascii="Arial" w:hAnsi="Arial" w:cs="Arial"/>
          <w:sz w:val="20"/>
          <w:szCs w:val="20"/>
          <w:lang w:eastAsia="sl-SI"/>
        </w:rPr>
        <w:t>39</w:t>
      </w:r>
      <w:r w:rsidR="00653914" w:rsidRPr="009E4602">
        <w:rPr>
          <w:rFonts w:ascii="Arial" w:hAnsi="Arial" w:cs="Arial"/>
          <w:sz w:val="20"/>
          <w:szCs w:val="20"/>
          <w:lang w:eastAsia="sl-SI"/>
        </w:rPr>
        <w:t xml:space="preserve"> naročil</w:t>
      </w:r>
      <w:r w:rsidRPr="009E4602">
        <w:rPr>
          <w:rFonts w:ascii="Arial" w:hAnsi="Arial" w:cs="Arial"/>
          <w:sz w:val="20"/>
          <w:szCs w:val="20"/>
          <w:lang w:eastAsia="sl-SI"/>
        </w:rPr>
        <w:t xml:space="preserve"> v vrednosti </w:t>
      </w:r>
      <w:r w:rsidR="009E4602" w:rsidRPr="009E4602">
        <w:rPr>
          <w:rFonts w:ascii="Arial" w:hAnsi="Arial" w:cs="Arial"/>
          <w:sz w:val="20"/>
          <w:szCs w:val="20"/>
          <w:lang w:eastAsia="sl-SI"/>
        </w:rPr>
        <w:t xml:space="preserve">19.044.611 </w:t>
      </w:r>
      <w:r w:rsidRPr="009E4602">
        <w:rPr>
          <w:rFonts w:ascii="Arial" w:hAnsi="Arial" w:cs="Arial"/>
          <w:sz w:val="20"/>
          <w:szCs w:val="20"/>
          <w:lang w:eastAsia="sl-SI"/>
        </w:rPr>
        <w:t>evrov</w:t>
      </w:r>
      <w:r w:rsidR="00653914" w:rsidRPr="009E4602">
        <w:rPr>
          <w:rFonts w:ascii="Arial" w:hAnsi="Arial" w:cs="Arial"/>
          <w:sz w:val="20"/>
          <w:szCs w:val="20"/>
          <w:lang w:eastAsia="sl-SI"/>
        </w:rPr>
        <w:t xml:space="preserve">. Ponudnikom iz navedenih treh držav </w:t>
      </w:r>
      <w:r w:rsidR="005D4DB0" w:rsidRPr="009E4602">
        <w:rPr>
          <w:rFonts w:ascii="Arial" w:hAnsi="Arial" w:cs="Arial"/>
          <w:sz w:val="20"/>
          <w:szCs w:val="20"/>
          <w:lang w:eastAsia="sl-SI"/>
        </w:rPr>
        <w:t>je</w:t>
      </w:r>
      <w:r w:rsidR="00653914" w:rsidRPr="009E4602">
        <w:rPr>
          <w:rFonts w:ascii="Arial" w:hAnsi="Arial" w:cs="Arial"/>
          <w:sz w:val="20"/>
          <w:szCs w:val="20"/>
          <w:lang w:eastAsia="sl-SI"/>
        </w:rPr>
        <w:t xml:space="preserve"> </w:t>
      </w:r>
      <w:r w:rsidR="005D4DB0" w:rsidRPr="009E4602">
        <w:rPr>
          <w:rFonts w:ascii="Arial" w:hAnsi="Arial" w:cs="Arial"/>
          <w:sz w:val="20"/>
          <w:szCs w:val="20"/>
          <w:lang w:eastAsia="sl-SI"/>
        </w:rPr>
        <w:t xml:space="preserve">bila po vrednosti </w:t>
      </w:r>
      <w:r w:rsidR="00653914" w:rsidRPr="009E4602">
        <w:rPr>
          <w:rFonts w:ascii="Arial" w:hAnsi="Arial" w:cs="Arial"/>
          <w:sz w:val="20"/>
          <w:szCs w:val="20"/>
          <w:lang w:eastAsia="sl-SI"/>
        </w:rPr>
        <w:t xml:space="preserve">oddana </w:t>
      </w:r>
      <w:r w:rsidR="00A478BE" w:rsidRPr="009E4602">
        <w:rPr>
          <w:rFonts w:ascii="Arial" w:hAnsi="Arial" w:cs="Arial"/>
          <w:sz w:val="20"/>
          <w:szCs w:val="20"/>
          <w:lang w:eastAsia="sl-SI"/>
        </w:rPr>
        <w:t>slaba</w:t>
      </w:r>
      <w:r w:rsidR="00653914" w:rsidRPr="009E4602">
        <w:rPr>
          <w:rFonts w:ascii="Arial" w:hAnsi="Arial" w:cs="Arial"/>
          <w:sz w:val="20"/>
          <w:szCs w:val="20"/>
          <w:lang w:eastAsia="sl-SI"/>
        </w:rPr>
        <w:t xml:space="preserve"> polovica</w:t>
      </w:r>
      <w:r w:rsidR="004A67FB" w:rsidRPr="009E4602">
        <w:rPr>
          <w:rFonts w:ascii="Arial" w:hAnsi="Arial" w:cs="Arial"/>
          <w:sz w:val="20"/>
          <w:szCs w:val="20"/>
          <w:lang w:eastAsia="sl-SI"/>
        </w:rPr>
        <w:t xml:space="preserve"> vseh</w:t>
      </w:r>
      <w:r w:rsidR="00653914" w:rsidRPr="009E4602">
        <w:rPr>
          <w:rFonts w:ascii="Arial" w:hAnsi="Arial" w:cs="Arial"/>
          <w:sz w:val="20"/>
          <w:szCs w:val="20"/>
          <w:lang w:eastAsia="sl-SI"/>
        </w:rPr>
        <w:t xml:space="preserve"> naročil</w:t>
      </w:r>
      <w:r w:rsidR="005D4DB0" w:rsidRPr="009E4602">
        <w:rPr>
          <w:rFonts w:ascii="Arial" w:hAnsi="Arial" w:cs="Arial"/>
          <w:sz w:val="20"/>
          <w:szCs w:val="20"/>
          <w:lang w:eastAsia="sl-SI"/>
        </w:rPr>
        <w:t>, oddan</w:t>
      </w:r>
      <w:r w:rsidR="00DB6B1C" w:rsidRPr="009E4602">
        <w:rPr>
          <w:rFonts w:ascii="Arial" w:hAnsi="Arial" w:cs="Arial"/>
          <w:sz w:val="20"/>
          <w:szCs w:val="20"/>
          <w:lang w:eastAsia="sl-SI"/>
        </w:rPr>
        <w:t>ih</w:t>
      </w:r>
      <w:r w:rsidR="005D4DB0" w:rsidRPr="009E4602">
        <w:rPr>
          <w:rFonts w:ascii="Arial" w:hAnsi="Arial" w:cs="Arial"/>
          <w:sz w:val="20"/>
          <w:szCs w:val="20"/>
          <w:lang w:eastAsia="sl-SI"/>
        </w:rPr>
        <w:t xml:space="preserve"> tujim ponudnikom.</w:t>
      </w:r>
      <w:r w:rsidR="00653914" w:rsidRPr="009E4602">
        <w:rPr>
          <w:rFonts w:ascii="Arial" w:hAnsi="Arial" w:cs="Arial"/>
          <w:sz w:val="20"/>
          <w:szCs w:val="20"/>
          <w:lang w:eastAsia="sl-SI"/>
        </w:rPr>
        <w:t xml:space="preserve"> </w:t>
      </w:r>
    </w:p>
    <w:p w14:paraId="1C7E31D8" w14:textId="73A02F1C" w:rsidR="00203977" w:rsidRPr="00365920" w:rsidRDefault="00203977" w:rsidP="008A61FD">
      <w:pPr>
        <w:spacing w:before="120" w:after="120" w:line="240" w:lineRule="auto"/>
        <w:jc w:val="both"/>
        <w:rPr>
          <w:rFonts w:ascii="Arial" w:hAnsi="Arial" w:cs="Arial"/>
          <w:sz w:val="20"/>
        </w:rPr>
      </w:pPr>
      <w:r w:rsidRPr="00365920">
        <w:rPr>
          <w:rFonts w:ascii="Arial" w:hAnsi="Arial" w:cs="Arial"/>
          <w:sz w:val="20"/>
        </w:rPr>
        <w:t xml:space="preserve">Graf </w:t>
      </w:r>
      <w:r w:rsidR="00EB4423" w:rsidRPr="00365920">
        <w:rPr>
          <w:rFonts w:ascii="Arial" w:hAnsi="Arial" w:cs="Arial"/>
          <w:sz w:val="20"/>
        </w:rPr>
        <w:t>4</w:t>
      </w:r>
      <w:r w:rsidRPr="00365920">
        <w:rPr>
          <w:rFonts w:ascii="Arial" w:hAnsi="Arial" w:cs="Arial"/>
          <w:sz w:val="20"/>
        </w:rPr>
        <w:t>: Delež tujih ponudnikov glede na vrednost vseh oddanih javnih naročil</w:t>
      </w:r>
      <w:r w:rsidR="00C77DD6" w:rsidRPr="00365920">
        <w:rPr>
          <w:rFonts w:ascii="Arial" w:hAnsi="Arial" w:cs="Arial"/>
          <w:sz w:val="20"/>
        </w:rPr>
        <w:t xml:space="preserve"> </w:t>
      </w:r>
    </w:p>
    <w:p w14:paraId="52B382E3" w14:textId="1CD504BB" w:rsidR="00FD7055" w:rsidRPr="00365920" w:rsidRDefault="00365920" w:rsidP="007D2A53">
      <w:pPr>
        <w:spacing w:after="240" w:line="240" w:lineRule="auto"/>
        <w:jc w:val="center"/>
        <w:rPr>
          <w:rFonts w:ascii="Arial" w:hAnsi="Arial" w:cs="Arial"/>
          <w:sz w:val="18"/>
        </w:rPr>
      </w:pPr>
      <w:r w:rsidRPr="00365920">
        <w:rPr>
          <w:noProof/>
          <w:lang w:eastAsia="sl-SI"/>
        </w:rPr>
        <w:drawing>
          <wp:inline distT="0" distB="0" distL="0" distR="0" wp14:anchorId="33234CA8" wp14:editId="3A4DFCC9">
            <wp:extent cx="5117911" cy="3536315"/>
            <wp:effectExtent l="0" t="0" r="6985" b="6985"/>
            <wp:docPr id="1" name="Slika 1" descr="Grafikon prikazuje delež vrednosti oddanih javnih naročil tujim ponudnikom, glede na vrednost vseh oddanih javnih naročil v letu 2022, glede na državo izvo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afikon prikazuje delež vrednosti oddanih javnih naročil tujim ponudnikom, glede na vrednost vseh oddanih javnih naročil v letu 2022, glede na državo izvora. "/>
                    <pic:cNvPicPr/>
                  </pic:nvPicPr>
                  <pic:blipFill>
                    <a:blip r:embed="rId14"/>
                    <a:stretch>
                      <a:fillRect/>
                    </a:stretch>
                  </pic:blipFill>
                  <pic:spPr>
                    <a:xfrm>
                      <a:off x="0" y="0"/>
                      <a:ext cx="5162606" cy="3567198"/>
                    </a:xfrm>
                    <a:prstGeom prst="rect">
                      <a:avLst/>
                    </a:prstGeom>
                  </pic:spPr>
                </pic:pic>
              </a:graphicData>
            </a:graphic>
          </wp:inline>
        </w:drawing>
      </w:r>
    </w:p>
    <w:p w14:paraId="179F0E3F" w14:textId="3D3F42A8" w:rsidR="00203977" w:rsidRPr="00365920" w:rsidRDefault="00203977" w:rsidP="007D2A53">
      <w:pPr>
        <w:spacing w:after="240" w:line="240" w:lineRule="auto"/>
        <w:jc w:val="center"/>
        <w:rPr>
          <w:rFonts w:ascii="Arial" w:hAnsi="Arial" w:cs="Arial"/>
          <w:sz w:val="18"/>
        </w:rPr>
      </w:pPr>
      <w:r w:rsidRPr="00365920">
        <w:rPr>
          <w:rFonts w:ascii="Arial" w:hAnsi="Arial" w:cs="Arial"/>
          <w:sz w:val="18"/>
        </w:rPr>
        <w:t>Vir: Statistični podatki o javnih naročilih, oddanih v letu 20</w:t>
      </w:r>
      <w:r w:rsidR="004E56F5" w:rsidRPr="00365920">
        <w:rPr>
          <w:rFonts w:ascii="Arial" w:hAnsi="Arial" w:cs="Arial"/>
          <w:sz w:val="18"/>
        </w:rPr>
        <w:t>2</w:t>
      </w:r>
      <w:r w:rsidR="00365920" w:rsidRPr="00365920">
        <w:rPr>
          <w:rFonts w:ascii="Arial" w:hAnsi="Arial" w:cs="Arial"/>
          <w:sz w:val="18"/>
        </w:rPr>
        <w:t>2</w:t>
      </w:r>
      <w:r w:rsidR="00862C47" w:rsidRPr="00365920">
        <w:rPr>
          <w:rFonts w:ascii="Arial" w:hAnsi="Arial" w:cs="Arial"/>
          <w:sz w:val="18"/>
        </w:rPr>
        <w:t>.</w:t>
      </w:r>
    </w:p>
    <w:p w14:paraId="04A13AB6" w14:textId="527EF64F" w:rsidR="00203977" w:rsidRPr="00BF7302" w:rsidRDefault="00203977" w:rsidP="00203977">
      <w:pPr>
        <w:spacing w:line="360" w:lineRule="auto"/>
        <w:jc w:val="both"/>
        <w:rPr>
          <w:rFonts w:ascii="Arial" w:hAnsi="Arial" w:cs="Arial"/>
          <w:sz w:val="20"/>
          <w:szCs w:val="20"/>
          <w:highlight w:val="yellow"/>
          <w:lang w:eastAsia="sl-SI"/>
        </w:rPr>
      </w:pPr>
      <w:r w:rsidRPr="001D159E">
        <w:rPr>
          <w:rFonts w:ascii="Arial" w:hAnsi="Arial" w:cs="Arial"/>
          <w:sz w:val="20"/>
          <w:szCs w:val="20"/>
          <w:lang w:eastAsia="sl-SI"/>
        </w:rPr>
        <w:t>Naročnik</w:t>
      </w:r>
      <w:r w:rsidR="00826F93" w:rsidRPr="001D159E">
        <w:rPr>
          <w:rFonts w:ascii="Arial" w:hAnsi="Arial" w:cs="Arial"/>
          <w:sz w:val="20"/>
          <w:szCs w:val="20"/>
          <w:lang w:eastAsia="sl-SI"/>
        </w:rPr>
        <w:t xml:space="preserve">i so tujim ponudnikom oddali </w:t>
      </w:r>
      <w:r w:rsidR="00175821" w:rsidRPr="001D159E">
        <w:rPr>
          <w:rFonts w:ascii="Arial" w:hAnsi="Arial" w:cs="Arial"/>
          <w:sz w:val="20"/>
          <w:szCs w:val="20"/>
          <w:lang w:eastAsia="sl-SI"/>
        </w:rPr>
        <w:t>4</w:t>
      </w:r>
      <w:r w:rsidR="001D159E" w:rsidRPr="001D159E">
        <w:rPr>
          <w:rFonts w:ascii="Arial" w:hAnsi="Arial" w:cs="Arial"/>
          <w:sz w:val="20"/>
          <w:szCs w:val="20"/>
          <w:lang w:eastAsia="sl-SI"/>
        </w:rPr>
        <w:t>44</w:t>
      </w:r>
      <w:r w:rsidR="00175821" w:rsidRPr="001D159E">
        <w:rPr>
          <w:rFonts w:ascii="Arial" w:hAnsi="Arial" w:cs="Arial"/>
          <w:sz w:val="20"/>
          <w:szCs w:val="20"/>
          <w:lang w:eastAsia="sl-SI"/>
        </w:rPr>
        <w:t xml:space="preserve"> na</w:t>
      </w:r>
      <w:r w:rsidR="00653914" w:rsidRPr="001D159E">
        <w:rPr>
          <w:rFonts w:ascii="Arial" w:hAnsi="Arial" w:cs="Arial"/>
          <w:sz w:val="20"/>
          <w:szCs w:val="20"/>
          <w:lang w:eastAsia="sl-SI"/>
        </w:rPr>
        <w:t>ročil</w:t>
      </w:r>
      <w:r w:rsidRPr="001D159E">
        <w:rPr>
          <w:rFonts w:ascii="Arial" w:hAnsi="Arial" w:cs="Arial"/>
          <w:sz w:val="20"/>
          <w:szCs w:val="20"/>
          <w:lang w:eastAsia="sl-SI"/>
        </w:rPr>
        <w:t xml:space="preserve"> v vrednosti </w:t>
      </w:r>
      <w:r w:rsidR="001D159E" w:rsidRPr="001D159E">
        <w:rPr>
          <w:rFonts w:ascii="Arial" w:hAnsi="Arial" w:cs="Arial"/>
          <w:sz w:val="20"/>
          <w:szCs w:val="20"/>
          <w:lang w:eastAsia="sl-SI"/>
        </w:rPr>
        <w:t xml:space="preserve">198.125.522 </w:t>
      </w:r>
      <w:r w:rsidRPr="001D159E">
        <w:rPr>
          <w:rFonts w:ascii="Arial" w:hAnsi="Arial" w:cs="Arial"/>
          <w:sz w:val="20"/>
          <w:szCs w:val="20"/>
          <w:lang w:eastAsia="sl-SI"/>
        </w:rPr>
        <w:t xml:space="preserve">evrov. Največ </w:t>
      </w:r>
      <w:r w:rsidR="004A67FB" w:rsidRPr="001D159E">
        <w:rPr>
          <w:rFonts w:ascii="Arial" w:hAnsi="Arial" w:cs="Arial"/>
          <w:sz w:val="20"/>
          <w:szCs w:val="20"/>
          <w:lang w:eastAsia="sl-SI"/>
        </w:rPr>
        <w:t>naročil so</w:t>
      </w:r>
      <w:r w:rsidR="00B417B3" w:rsidRPr="001D159E">
        <w:rPr>
          <w:rFonts w:ascii="Arial" w:hAnsi="Arial" w:cs="Arial"/>
          <w:sz w:val="20"/>
          <w:szCs w:val="20"/>
          <w:lang w:eastAsia="sl-SI"/>
        </w:rPr>
        <w:t xml:space="preserve"> </w:t>
      </w:r>
      <w:r w:rsidRPr="001D159E">
        <w:rPr>
          <w:rFonts w:ascii="Arial" w:hAnsi="Arial" w:cs="Arial"/>
          <w:sz w:val="20"/>
          <w:szCs w:val="20"/>
          <w:lang w:eastAsia="sl-SI"/>
        </w:rPr>
        <w:t>tujim ponudnikom oddali naročniki iz osrednjeslovenske regije, in sicer</w:t>
      </w:r>
      <w:r w:rsidR="00826F93" w:rsidRPr="001D159E">
        <w:rPr>
          <w:rFonts w:ascii="Arial" w:hAnsi="Arial" w:cs="Arial"/>
          <w:sz w:val="20"/>
          <w:szCs w:val="20"/>
          <w:lang w:eastAsia="sl-SI"/>
        </w:rPr>
        <w:t xml:space="preserve"> </w:t>
      </w:r>
      <w:r w:rsidR="00175821" w:rsidRPr="001D159E">
        <w:rPr>
          <w:rFonts w:ascii="Arial" w:hAnsi="Arial" w:cs="Arial"/>
          <w:sz w:val="20"/>
          <w:szCs w:val="20"/>
          <w:lang w:eastAsia="sl-SI"/>
        </w:rPr>
        <w:t>2</w:t>
      </w:r>
      <w:r w:rsidR="001D159E" w:rsidRPr="001D159E">
        <w:rPr>
          <w:rFonts w:ascii="Arial" w:hAnsi="Arial" w:cs="Arial"/>
          <w:sz w:val="20"/>
          <w:szCs w:val="20"/>
          <w:lang w:eastAsia="sl-SI"/>
        </w:rPr>
        <w:t>39</w:t>
      </w:r>
      <w:r w:rsidRPr="001D159E">
        <w:rPr>
          <w:rFonts w:ascii="Arial" w:hAnsi="Arial" w:cs="Arial"/>
          <w:sz w:val="20"/>
          <w:szCs w:val="20"/>
          <w:lang w:eastAsia="sl-SI"/>
        </w:rPr>
        <w:t>. Tuj</w:t>
      </w:r>
      <w:r w:rsidR="00826F93" w:rsidRPr="001D159E">
        <w:rPr>
          <w:rFonts w:ascii="Arial" w:hAnsi="Arial" w:cs="Arial"/>
          <w:sz w:val="20"/>
          <w:szCs w:val="20"/>
          <w:lang w:eastAsia="sl-SI"/>
        </w:rPr>
        <w:t xml:space="preserve">im ponudnikom so naročniki iz </w:t>
      </w:r>
      <w:r w:rsidR="00E500EF" w:rsidRPr="001D159E">
        <w:rPr>
          <w:rFonts w:ascii="Arial" w:hAnsi="Arial" w:cs="Arial"/>
          <w:sz w:val="20"/>
          <w:szCs w:val="20"/>
          <w:lang w:eastAsia="sl-SI"/>
        </w:rPr>
        <w:t>osrednjeslovenske</w:t>
      </w:r>
      <w:r w:rsidRPr="001D159E">
        <w:rPr>
          <w:rFonts w:ascii="Arial" w:hAnsi="Arial" w:cs="Arial"/>
          <w:sz w:val="20"/>
          <w:szCs w:val="20"/>
          <w:lang w:eastAsia="sl-SI"/>
        </w:rPr>
        <w:t xml:space="preserve"> regije oddali </w:t>
      </w:r>
      <w:r w:rsidR="00653914" w:rsidRPr="001D159E">
        <w:rPr>
          <w:rFonts w:ascii="Arial" w:hAnsi="Arial" w:cs="Arial"/>
          <w:sz w:val="20"/>
          <w:szCs w:val="20"/>
          <w:lang w:eastAsia="sl-SI"/>
        </w:rPr>
        <w:t>naročila v</w:t>
      </w:r>
      <w:r w:rsidRPr="001D159E">
        <w:rPr>
          <w:rFonts w:ascii="Arial" w:hAnsi="Arial" w:cs="Arial"/>
          <w:sz w:val="20"/>
          <w:szCs w:val="20"/>
          <w:lang w:eastAsia="sl-SI"/>
        </w:rPr>
        <w:t xml:space="preserve"> največji </w:t>
      </w:r>
      <w:r w:rsidR="004A67FB" w:rsidRPr="001D159E">
        <w:rPr>
          <w:rFonts w:ascii="Arial" w:hAnsi="Arial" w:cs="Arial"/>
          <w:sz w:val="20"/>
          <w:szCs w:val="20"/>
          <w:lang w:eastAsia="sl-SI"/>
        </w:rPr>
        <w:t xml:space="preserve">skupni </w:t>
      </w:r>
      <w:r w:rsidRPr="001D159E">
        <w:rPr>
          <w:rFonts w:ascii="Arial" w:hAnsi="Arial" w:cs="Arial"/>
          <w:sz w:val="20"/>
          <w:szCs w:val="20"/>
          <w:lang w:eastAsia="sl-SI"/>
        </w:rPr>
        <w:t xml:space="preserve">vrednosti, in sicer za </w:t>
      </w:r>
      <w:r w:rsidR="001D159E" w:rsidRPr="001D159E">
        <w:rPr>
          <w:rFonts w:ascii="Arial" w:hAnsi="Arial" w:cs="Arial"/>
          <w:sz w:val="20"/>
          <w:szCs w:val="20"/>
          <w:lang w:eastAsia="sl-SI"/>
        </w:rPr>
        <w:t xml:space="preserve">92.116.081 </w:t>
      </w:r>
      <w:r w:rsidRPr="001D159E">
        <w:rPr>
          <w:rFonts w:ascii="Arial" w:hAnsi="Arial" w:cs="Arial"/>
          <w:sz w:val="20"/>
          <w:szCs w:val="20"/>
          <w:lang w:eastAsia="sl-SI"/>
        </w:rPr>
        <w:t xml:space="preserve">evrov. V </w:t>
      </w:r>
      <w:r w:rsidRPr="001D159E">
        <w:rPr>
          <w:rFonts w:ascii="Arial" w:hAnsi="Arial" w:cs="Arial"/>
          <w:sz w:val="20"/>
          <w:szCs w:val="20"/>
          <w:lang w:eastAsia="sl-SI"/>
        </w:rPr>
        <w:lastRenderedPageBreak/>
        <w:t xml:space="preserve">deležu števila vseh oddanih </w:t>
      </w:r>
      <w:r w:rsidR="00653914" w:rsidRPr="001D159E">
        <w:rPr>
          <w:rFonts w:ascii="Arial" w:hAnsi="Arial" w:cs="Arial"/>
          <w:sz w:val="20"/>
          <w:szCs w:val="20"/>
          <w:lang w:eastAsia="sl-SI"/>
        </w:rPr>
        <w:t>naročil</w:t>
      </w:r>
      <w:r w:rsidRPr="001D159E">
        <w:rPr>
          <w:rFonts w:ascii="Arial" w:hAnsi="Arial" w:cs="Arial"/>
          <w:sz w:val="20"/>
          <w:szCs w:val="20"/>
          <w:lang w:eastAsia="sl-SI"/>
        </w:rPr>
        <w:t xml:space="preserve"> tujim ponudnikom so ponudniki iz </w:t>
      </w:r>
      <w:r w:rsidR="00653914" w:rsidRPr="001D159E">
        <w:rPr>
          <w:rFonts w:ascii="Arial" w:hAnsi="Arial" w:cs="Arial"/>
          <w:sz w:val="20"/>
          <w:szCs w:val="20"/>
          <w:lang w:eastAsia="sl-SI"/>
        </w:rPr>
        <w:t>te regije</w:t>
      </w:r>
      <w:r w:rsidRPr="001D159E">
        <w:rPr>
          <w:rFonts w:ascii="Arial" w:hAnsi="Arial" w:cs="Arial"/>
          <w:sz w:val="20"/>
          <w:szCs w:val="20"/>
          <w:lang w:eastAsia="sl-SI"/>
        </w:rPr>
        <w:t xml:space="preserve"> oddali </w:t>
      </w:r>
      <w:r w:rsidR="00036FF3" w:rsidRPr="001D159E">
        <w:rPr>
          <w:rFonts w:ascii="Arial" w:hAnsi="Arial" w:cs="Arial"/>
          <w:sz w:val="20"/>
          <w:szCs w:val="20"/>
          <w:lang w:eastAsia="sl-SI"/>
        </w:rPr>
        <w:t>dobro</w:t>
      </w:r>
      <w:r w:rsidRPr="001D159E">
        <w:rPr>
          <w:rFonts w:ascii="Arial" w:hAnsi="Arial" w:cs="Arial"/>
          <w:sz w:val="20"/>
          <w:szCs w:val="20"/>
          <w:lang w:eastAsia="sl-SI"/>
        </w:rPr>
        <w:t xml:space="preserve"> </w:t>
      </w:r>
      <w:r w:rsidR="00A52CFD" w:rsidRPr="001D159E">
        <w:rPr>
          <w:rFonts w:ascii="Arial" w:hAnsi="Arial" w:cs="Arial"/>
          <w:sz w:val="20"/>
          <w:szCs w:val="20"/>
          <w:lang w:eastAsia="sl-SI"/>
        </w:rPr>
        <w:t>polovico</w:t>
      </w:r>
      <w:r w:rsidR="00653914" w:rsidRPr="001D159E">
        <w:rPr>
          <w:rFonts w:ascii="Arial" w:hAnsi="Arial" w:cs="Arial"/>
          <w:sz w:val="20"/>
          <w:szCs w:val="20"/>
          <w:lang w:eastAsia="sl-SI"/>
        </w:rPr>
        <w:t xml:space="preserve">, po vrednosti pa </w:t>
      </w:r>
      <w:r w:rsidR="001D159E" w:rsidRPr="001D159E">
        <w:rPr>
          <w:rFonts w:ascii="Arial" w:hAnsi="Arial" w:cs="Arial"/>
          <w:sz w:val="20"/>
          <w:szCs w:val="20"/>
          <w:lang w:eastAsia="sl-SI"/>
        </w:rPr>
        <w:t xml:space="preserve">slabo polovico </w:t>
      </w:r>
      <w:r w:rsidR="00653914" w:rsidRPr="001D159E">
        <w:rPr>
          <w:rFonts w:ascii="Arial" w:hAnsi="Arial" w:cs="Arial"/>
          <w:sz w:val="20"/>
          <w:szCs w:val="20"/>
          <w:lang w:eastAsia="sl-SI"/>
        </w:rPr>
        <w:t>vseh naročil.</w:t>
      </w:r>
      <w:r w:rsidRPr="001D159E">
        <w:rPr>
          <w:rFonts w:ascii="Arial" w:hAnsi="Arial" w:cs="Arial"/>
          <w:sz w:val="20"/>
          <w:szCs w:val="20"/>
          <w:lang w:eastAsia="sl-SI"/>
        </w:rPr>
        <w:t xml:space="preserve"> </w:t>
      </w:r>
    </w:p>
    <w:p w14:paraId="79BC4E90" w14:textId="393FCD1E" w:rsidR="006A0A09" w:rsidRPr="001D159E" w:rsidRDefault="006A0A09" w:rsidP="001C08E5">
      <w:pPr>
        <w:rPr>
          <w:rFonts w:ascii="Arial" w:hAnsi="Arial" w:cs="Arial"/>
          <w:sz w:val="20"/>
        </w:rPr>
      </w:pPr>
      <w:r w:rsidRPr="001D159E">
        <w:rPr>
          <w:rFonts w:ascii="Arial" w:hAnsi="Arial" w:cs="Arial"/>
          <w:sz w:val="20"/>
        </w:rPr>
        <w:t xml:space="preserve">Preglednica </w:t>
      </w:r>
      <w:r w:rsidR="00512F52" w:rsidRPr="001D159E">
        <w:rPr>
          <w:rFonts w:ascii="Arial" w:hAnsi="Arial" w:cs="Arial"/>
          <w:sz w:val="20"/>
        </w:rPr>
        <w:t>3</w:t>
      </w:r>
      <w:r w:rsidR="00EA747F">
        <w:rPr>
          <w:rFonts w:ascii="Arial" w:hAnsi="Arial" w:cs="Arial"/>
          <w:sz w:val="20"/>
        </w:rPr>
        <w:t>6</w:t>
      </w:r>
      <w:r w:rsidRPr="001D159E">
        <w:rPr>
          <w:rFonts w:ascii="Arial" w:hAnsi="Arial" w:cs="Arial"/>
          <w:sz w:val="20"/>
        </w:rPr>
        <w:t>: Uspešnost tujih ponudnikov glede na regijo naročnika</w:t>
      </w:r>
    </w:p>
    <w:tbl>
      <w:tblPr>
        <w:tblW w:w="8320" w:type="dxa"/>
        <w:tblCellMar>
          <w:left w:w="70" w:type="dxa"/>
          <w:right w:w="70" w:type="dxa"/>
        </w:tblCellMar>
        <w:tblLook w:val="04A0" w:firstRow="1" w:lastRow="0" w:firstColumn="1" w:lastColumn="0" w:noHBand="0" w:noVBand="1"/>
      </w:tblPr>
      <w:tblGrid>
        <w:gridCol w:w="2640"/>
        <w:gridCol w:w="1040"/>
        <w:gridCol w:w="1180"/>
        <w:gridCol w:w="1740"/>
        <w:gridCol w:w="1720"/>
      </w:tblGrid>
      <w:tr w:rsidR="005F125A" w:rsidRPr="005F125A" w14:paraId="0723B388" w14:textId="77777777" w:rsidTr="005F125A">
        <w:trPr>
          <w:trHeight w:val="480"/>
        </w:trPr>
        <w:tc>
          <w:tcPr>
            <w:tcW w:w="26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1F1AC29" w14:textId="77777777" w:rsidR="005F125A" w:rsidRPr="005F125A" w:rsidRDefault="005F125A" w:rsidP="005F125A">
            <w:pPr>
              <w:spacing w:after="0" w:line="240" w:lineRule="auto"/>
              <w:jc w:val="center"/>
              <w:rPr>
                <w:rFonts w:ascii="Arial" w:eastAsia="Times New Roman" w:hAnsi="Arial" w:cs="Arial"/>
                <w:color w:val="000000"/>
                <w:sz w:val="18"/>
                <w:szCs w:val="18"/>
                <w:lang w:eastAsia="sl-SI"/>
              </w:rPr>
            </w:pPr>
            <w:r w:rsidRPr="005F125A">
              <w:rPr>
                <w:rFonts w:ascii="Arial" w:eastAsia="Times New Roman" w:hAnsi="Arial" w:cs="Arial"/>
                <w:color w:val="000000"/>
                <w:sz w:val="18"/>
                <w:szCs w:val="18"/>
                <w:lang w:eastAsia="sl-SI"/>
              </w:rPr>
              <w:t>Regija naročnika</w:t>
            </w:r>
          </w:p>
        </w:tc>
        <w:tc>
          <w:tcPr>
            <w:tcW w:w="1040" w:type="dxa"/>
            <w:tcBorders>
              <w:top w:val="single" w:sz="4" w:space="0" w:color="auto"/>
              <w:left w:val="nil"/>
              <w:bottom w:val="single" w:sz="4" w:space="0" w:color="auto"/>
              <w:right w:val="single" w:sz="4" w:space="0" w:color="auto"/>
            </w:tcBorders>
            <w:shd w:val="clear" w:color="000000" w:fill="F2F2F2"/>
            <w:vAlign w:val="center"/>
            <w:hideMark/>
          </w:tcPr>
          <w:p w14:paraId="1F6669F4" w14:textId="77777777" w:rsidR="005F125A" w:rsidRPr="005F125A" w:rsidRDefault="005F125A" w:rsidP="005F125A">
            <w:pPr>
              <w:spacing w:after="0" w:line="240" w:lineRule="auto"/>
              <w:jc w:val="center"/>
              <w:rPr>
                <w:rFonts w:ascii="Arial" w:eastAsia="Times New Roman" w:hAnsi="Arial" w:cs="Arial"/>
                <w:color w:val="000000"/>
                <w:sz w:val="18"/>
                <w:szCs w:val="18"/>
                <w:lang w:eastAsia="sl-SI"/>
              </w:rPr>
            </w:pPr>
            <w:r w:rsidRPr="005F125A">
              <w:rPr>
                <w:rFonts w:ascii="Arial" w:eastAsia="Times New Roman" w:hAnsi="Arial" w:cs="Arial"/>
                <w:color w:val="000000"/>
                <w:sz w:val="18"/>
                <w:szCs w:val="18"/>
                <w:lang w:eastAsia="sl-SI"/>
              </w:rPr>
              <w:t>Št. naročil</w:t>
            </w:r>
          </w:p>
        </w:tc>
        <w:tc>
          <w:tcPr>
            <w:tcW w:w="1180" w:type="dxa"/>
            <w:tcBorders>
              <w:top w:val="single" w:sz="4" w:space="0" w:color="auto"/>
              <w:left w:val="nil"/>
              <w:bottom w:val="single" w:sz="4" w:space="0" w:color="auto"/>
              <w:right w:val="single" w:sz="4" w:space="0" w:color="auto"/>
            </w:tcBorders>
            <w:shd w:val="clear" w:color="000000" w:fill="F2F2F2"/>
            <w:vAlign w:val="center"/>
            <w:hideMark/>
          </w:tcPr>
          <w:p w14:paraId="36FB6CF0" w14:textId="77777777" w:rsidR="005F125A" w:rsidRPr="005F125A" w:rsidRDefault="005F125A" w:rsidP="005F125A">
            <w:pPr>
              <w:spacing w:after="0" w:line="240" w:lineRule="auto"/>
              <w:jc w:val="center"/>
              <w:rPr>
                <w:rFonts w:ascii="Arial" w:eastAsia="Times New Roman" w:hAnsi="Arial" w:cs="Arial"/>
                <w:color w:val="000000"/>
                <w:sz w:val="18"/>
                <w:szCs w:val="18"/>
                <w:lang w:eastAsia="sl-SI"/>
              </w:rPr>
            </w:pPr>
            <w:r w:rsidRPr="005F125A">
              <w:rPr>
                <w:rFonts w:ascii="Arial" w:eastAsia="Times New Roman" w:hAnsi="Arial" w:cs="Arial"/>
                <w:color w:val="000000"/>
                <w:sz w:val="18"/>
                <w:szCs w:val="18"/>
                <w:lang w:eastAsia="sl-SI"/>
              </w:rPr>
              <w:t>Pogodbena vrednost</w:t>
            </w:r>
          </w:p>
        </w:tc>
        <w:tc>
          <w:tcPr>
            <w:tcW w:w="1740" w:type="dxa"/>
            <w:tcBorders>
              <w:top w:val="single" w:sz="4" w:space="0" w:color="auto"/>
              <w:left w:val="nil"/>
              <w:bottom w:val="single" w:sz="4" w:space="0" w:color="auto"/>
              <w:right w:val="single" w:sz="4" w:space="0" w:color="auto"/>
            </w:tcBorders>
            <w:shd w:val="clear" w:color="000000" w:fill="F2F2F2"/>
            <w:vAlign w:val="center"/>
            <w:hideMark/>
          </w:tcPr>
          <w:p w14:paraId="668F0EF9" w14:textId="77777777" w:rsidR="005F125A" w:rsidRPr="005F125A" w:rsidRDefault="005F125A" w:rsidP="005F125A">
            <w:pPr>
              <w:spacing w:after="0" w:line="240" w:lineRule="auto"/>
              <w:jc w:val="center"/>
              <w:rPr>
                <w:rFonts w:ascii="Arial" w:eastAsia="Times New Roman" w:hAnsi="Arial" w:cs="Arial"/>
                <w:color w:val="000000"/>
                <w:sz w:val="18"/>
                <w:szCs w:val="18"/>
                <w:lang w:eastAsia="sl-SI"/>
              </w:rPr>
            </w:pPr>
            <w:r w:rsidRPr="005F125A">
              <w:rPr>
                <w:rFonts w:ascii="Arial" w:eastAsia="Times New Roman" w:hAnsi="Arial" w:cs="Arial"/>
                <w:color w:val="000000"/>
                <w:sz w:val="18"/>
                <w:szCs w:val="18"/>
                <w:lang w:eastAsia="sl-SI"/>
              </w:rPr>
              <w:t>Delež v št. naročil</w:t>
            </w:r>
          </w:p>
        </w:tc>
        <w:tc>
          <w:tcPr>
            <w:tcW w:w="1720" w:type="dxa"/>
            <w:tcBorders>
              <w:top w:val="single" w:sz="4" w:space="0" w:color="auto"/>
              <w:left w:val="nil"/>
              <w:bottom w:val="single" w:sz="4" w:space="0" w:color="auto"/>
              <w:right w:val="single" w:sz="4" w:space="0" w:color="auto"/>
            </w:tcBorders>
            <w:shd w:val="clear" w:color="000000" w:fill="F2F2F2"/>
            <w:vAlign w:val="center"/>
            <w:hideMark/>
          </w:tcPr>
          <w:p w14:paraId="193E53DB" w14:textId="77777777" w:rsidR="005F125A" w:rsidRPr="005F125A" w:rsidRDefault="005F125A" w:rsidP="005F125A">
            <w:pPr>
              <w:spacing w:after="0" w:line="240" w:lineRule="auto"/>
              <w:jc w:val="center"/>
              <w:rPr>
                <w:rFonts w:ascii="Arial" w:eastAsia="Times New Roman" w:hAnsi="Arial" w:cs="Arial"/>
                <w:color w:val="000000"/>
                <w:sz w:val="18"/>
                <w:szCs w:val="18"/>
                <w:lang w:eastAsia="sl-SI"/>
              </w:rPr>
            </w:pPr>
            <w:r w:rsidRPr="005F125A">
              <w:rPr>
                <w:rFonts w:ascii="Arial" w:eastAsia="Times New Roman" w:hAnsi="Arial" w:cs="Arial"/>
                <w:color w:val="000000"/>
                <w:sz w:val="18"/>
                <w:szCs w:val="18"/>
                <w:lang w:eastAsia="sl-SI"/>
              </w:rPr>
              <w:t>Delež v vrednosti</w:t>
            </w:r>
          </w:p>
        </w:tc>
      </w:tr>
      <w:tr w:rsidR="005F125A" w:rsidRPr="005F125A" w14:paraId="7E2A84C5" w14:textId="77777777" w:rsidTr="001D159E">
        <w:trPr>
          <w:trHeight w:val="30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7FAB1A01" w14:textId="77777777" w:rsidR="005F125A" w:rsidRPr="005F125A" w:rsidRDefault="005F125A" w:rsidP="001D159E">
            <w:pPr>
              <w:spacing w:after="0" w:line="240" w:lineRule="auto"/>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OSREDNJESLOVENSKA</w:t>
            </w:r>
          </w:p>
        </w:tc>
        <w:tc>
          <w:tcPr>
            <w:tcW w:w="1040" w:type="dxa"/>
            <w:tcBorders>
              <w:top w:val="nil"/>
              <w:left w:val="nil"/>
              <w:bottom w:val="single" w:sz="4" w:space="0" w:color="auto"/>
              <w:right w:val="single" w:sz="4" w:space="0" w:color="auto"/>
            </w:tcBorders>
            <w:shd w:val="clear" w:color="auto" w:fill="auto"/>
            <w:noWrap/>
            <w:vAlign w:val="center"/>
            <w:hideMark/>
          </w:tcPr>
          <w:p w14:paraId="6211A201" w14:textId="77777777" w:rsidR="005F125A" w:rsidRPr="005F125A" w:rsidRDefault="005F125A" w:rsidP="005F125A">
            <w:pPr>
              <w:spacing w:after="0" w:line="240" w:lineRule="auto"/>
              <w:jc w:val="right"/>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239</w:t>
            </w:r>
          </w:p>
        </w:tc>
        <w:tc>
          <w:tcPr>
            <w:tcW w:w="1180" w:type="dxa"/>
            <w:tcBorders>
              <w:top w:val="nil"/>
              <w:left w:val="nil"/>
              <w:bottom w:val="single" w:sz="4" w:space="0" w:color="auto"/>
              <w:right w:val="single" w:sz="4" w:space="0" w:color="auto"/>
            </w:tcBorders>
            <w:shd w:val="clear" w:color="auto" w:fill="auto"/>
            <w:noWrap/>
            <w:vAlign w:val="center"/>
            <w:hideMark/>
          </w:tcPr>
          <w:p w14:paraId="5980F420" w14:textId="77777777" w:rsidR="005F125A" w:rsidRPr="005F125A" w:rsidRDefault="005F125A" w:rsidP="005F125A">
            <w:pPr>
              <w:spacing w:after="0" w:line="240" w:lineRule="auto"/>
              <w:jc w:val="right"/>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92.116.081</w:t>
            </w:r>
          </w:p>
        </w:tc>
        <w:tc>
          <w:tcPr>
            <w:tcW w:w="1740" w:type="dxa"/>
            <w:tcBorders>
              <w:top w:val="nil"/>
              <w:left w:val="nil"/>
              <w:bottom w:val="single" w:sz="4" w:space="0" w:color="auto"/>
              <w:right w:val="single" w:sz="4" w:space="0" w:color="auto"/>
            </w:tcBorders>
            <w:shd w:val="clear" w:color="auto" w:fill="auto"/>
            <w:noWrap/>
            <w:vAlign w:val="center"/>
            <w:hideMark/>
          </w:tcPr>
          <w:p w14:paraId="432261D1" w14:textId="22CBB21D" w:rsidR="005F125A" w:rsidRPr="005F125A" w:rsidRDefault="005F125A" w:rsidP="005F125A">
            <w:pPr>
              <w:spacing w:after="0" w:line="240" w:lineRule="auto"/>
              <w:jc w:val="right"/>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53,83</w:t>
            </w:r>
            <w:r w:rsidR="001D159E" w:rsidRPr="001D159E">
              <w:rPr>
                <w:rFonts w:ascii="Arial" w:eastAsia="Times New Roman" w:hAnsi="Arial" w:cs="Arial"/>
                <w:color w:val="000000" w:themeColor="text1"/>
                <w:sz w:val="18"/>
                <w:szCs w:val="18"/>
                <w:lang w:eastAsia="sl-SI"/>
              </w:rPr>
              <w:t xml:space="preserve"> </w:t>
            </w:r>
            <w:r w:rsidRPr="005F125A">
              <w:rPr>
                <w:rFonts w:ascii="Arial" w:eastAsia="Times New Roman" w:hAnsi="Arial" w:cs="Arial"/>
                <w:color w:val="000000" w:themeColor="text1"/>
                <w:sz w:val="18"/>
                <w:szCs w:val="18"/>
                <w:lang w:eastAsia="sl-SI"/>
              </w:rPr>
              <w:t>%</w:t>
            </w:r>
          </w:p>
        </w:tc>
        <w:tc>
          <w:tcPr>
            <w:tcW w:w="1720" w:type="dxa"/>
            <w:tcBorders>
              <w:top w:val="nil"/>
              <w:left w:val="nil"/>
              <w:bottom w:val="single" w:sz="4" w:space="0" w:color="auto"/>
              <w:right w:val="single" w:sz="4" w:space="0" w:color="auto"/>
            </w:tcBorders>
            <w:shd w:val="clear" w:color="auto" w:fill="auto"/>
            <w:noWrap/>
            <w:vAlign w:val="center"/>
            <w:hideMark/>
          </w:tcPr>
          <w:p w14:paraId="190F61E0" w14:textId="6B996FCD" w:rsidR="005F125A" w:rsidRPr="005F125A" w:rsidRDefault="005F125A" w:rsidP="005F125A">
            <w:pPr>
              <w:spacing w:after="0" w:line="240" w:lineRule="auto"/>
              <w:jc w:val="right"/>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46,49</w:t>
            </w:r>
            <w:r w:rsidR="001D159E" w:rsidRPr="001D159E">
              <w:rPr>
                <w:rFonts w:ascii="Arial" w:eastAsia="Times New Roman" w:hAnsi="Arial" w:cs="Arial"/>
                <w:color w:val="000000" w:themeColor="text1"/>
                <w:sz w:val="18"/>
                <w:szCs w:val="18"/>
                <w:lang w:eastAsia="sl-SI"/>
              </w:rPr>
              <w:t xml:space="preserve"> </w:t>
            </w:r>
            <w:r w:rsidRPr="005F125A">
              <w:rPr>
                <w:rFonts w:ascii="Arial" w:eastAsia="Times New Roman" w:hAnsi="Arial" w:cs="Arial"/>
                <w:color w:val="000000" w:themeColor="text1"/>
                <w:sz w:val="18"/>
                <w:szCs w:val="18"/>
                <w:lang w:eastAsia="sl-SI"/>
              </w:rPr>
              <w:t>%</w:t>
            </w:r>
          </w:p>
        </w:tc>
      </w:tr>
      <w:tr w:rsidR="005F125A" w:rsidRPr="005F125A" w14:paraId="7C86F3ED" w14:textId="77777777" w:rsidTr="001D159E">
        <w:trPr>
          <w:trHeight w:val="30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403474D3" w14:textId="77777777" w:rsidR="005F125A" w:rsidRPr="005F125A" w:rsidRDefault="005F125A" w:rsidP="001D159E">
            <w:pPr>
              <w:spacing w:after="0" w:line="240" w:lineRule="auto"/>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POSAVSKA</w:t>
            </w:r>
          </w:p>
        </w:tc>
        <w:tc>
          <w:tcPr>
            <w:tcW w:w="1040" w:type="dxa"/>
            <w:tcBorders>
              <w:top w:val="nil"/>
              <w:left w:val="nil"/>
              <w:bottom w:val="single" w:sz="4" w:space="0" w:color="auto"/>
              <w:right w:val="single" w:sz="4" w:space="0" w:color="auto"/>
            </w:tcBorders>
            <w:shd w:val="clear" w:color="auto" w:fill="auto"/>
            <w:noWrap/>
            <w:vAlign w:val="center"/>
            <w:hideMark/>
          </w:tcPr>
          <w:p w14:paraId="377294D9" w14:textId="77777777" w:rsidR="005F125A" w:rsidRPr="005F125A" w:rsidRDefault="005F125A" w:rsidP="005F125A">
            <w:pPr>
              <w:spacing w:after="0" w:line="240" w:lineRule="auto"/>
              <w:jc w:val="right"/>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71</w:t>
            </w:r>
          </w:p>
        </w:tc>
        <w:tc>
          <w:tcPr>
            <w:tcW w:w="1180" w:type="dxa"/>
            <w:tcBorders>
              <w:top w:val="nil"/>
              <w:left w:val="nil"/>
              <w:bottom w:val="single" w:sz="4" w:space="0" w:color="auto"/>
              <w:right w:val="single" w:sz="4" w:space="0" w:color="auto"/>
            </w:tcBorders>
            <w:shd w:val="clear" w:color="auto" w:fill="auto"/>
            <w:noWrap/>
            <w:vAlign w:val="center"/>
            <w:hideMark/>
          </w:tcPr>
          <w:p w14:paraId="41C52CA3" w14:textId="77777777" w:rsidR="005F125A" w:rsidRPr="005F125A" w:rsidRDefault="005F125A" w:rsidP="005F125A">
            <w:pPr>
              <w:spacing w:after="0" w:line="240" w:lineRule="auto"/>
              <w:jc w:val="right"/>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18.107.050</w:t>
            </w:r>
          </w:p>
        </w:tc>
        <w:tc>
          <w:tcPr>
            <w:tcW w:w="1740" w:type="dxa"/>
            <w:tcBorders>
              <w:top w:val="nil"/>
              <w:left w:val="nil"/>
              <w:bottom w:val="single" w:sz="4" w:space="0" w:color="auto"/>
              <w:right w:val="single" w:sz="4" w:space="0" w:color="auto"/>
            </w:tcBorders>
            <w:shd w:val="clear" w:color="auto" w:fill="auto"/>
            <w:noWrap/>
            <w:vAlign w:val="center"/>
            <w:hideMark/>
          </w:tcPr>
          <w:p w14:paraId="444E40F5" w14:textId="7B7CBE66" w:rsidR="005F125A" w:rsidRPr="005F125A" w:rsidRDefault="005F125A" w:rsidP="005F125A">
            <w:pPr>
              <w:spacing w:after="0" w:line="240" w:lineRule="auto"/>
              <w:jc w:val="right"/>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15,99</w:t>
            </w:r>
            <w:r w:rsidR="001D159E" w:rsidRPr="001D159E">
              <w:rPr>
                <w:rFonts w:ascii="Arial" w:eastAsia="Times New Roman" w:hAnsi="Arial" w:cs="Arial"/>
                <w:color w:val="000000" w:themeColor="text1"/>
                <w:sz w:val="18"/>
                <w:szCs w:val="18"/>
                <w:lang w:eastAsia="sl-SI"/>
              </w:rPr>
              <w:t xml:space="preserve"> </w:t>
            </w:r>
            <w:r w:rsidRPr="005F125A">
              <w:rPr>
                <w:rFonts w:ascii="Arial" w:eastAsia="Times New Roman" w:hAnsi="Arial" w:cs="Arial"/>
                <w:color w:val="000000" w:themeColor="text1"/>
                <w:sz w:val="18"/>
                <w:szCs w:val="18"/>
                <w:lang w:eastAsia="sl-SI"/>
              </w:rPr>
              <w:t>%</w:t>
            </w:r>
          </w:p>
        </w:tc>
        <w:tc>
          <w:tcPr>
            <w:tcW w:w="1720" w:type="dxa"/>
            <w:tcBorders>
              <w:top w:val="nil"/>
              <w:left w:val="nil"/>
              <w:bottom w:val="single" w:sz="4" w:space="0" w:color="auto"/>
              <w:right w:val="single" w:sz="4" w:space="0" w:color="auto"/>
            </w:tcBorders>
            <w:shd w:val="clear" w:color="auto" w:fill="auto"/>
            <w:noWrap/>
            <w:vAlign w:val="center"/>
            <w:hideMark/>
          </w:tcPr>
          <w:p w14:paraId="091EC562" w14:textId="7862FABD" w:rsidR="005F125A" w:rsidRPr="005F125A" w:rsidRDefault="005F125A" w:rsidP="005F125A">
            <w:pPr>
              <w:spacing w:after="0" w:line="240" w:lineRule="auto"/>
              <w:jc w:val="right"/>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9,14</w:t>
            </w:r>
            <w:r w:rsidR="001D159E" w:rsidRPr="001D159E">
              <w:rPr>
                <w:rFonts w:ascii="Arial" w:eastAsia="Times New Roman" w:hAnsi="Arial" w:cs="Arial"/>
                <w:color w:val="000000" w:themeColor="text1"/>
                <w:sz w:val="18"/>
                <w:szCs w:val="18"/>
                <w:lang w:eastAsia="sl-SI"/>
              </w:rPr>
              <w:t xml:space="preserve"> </w:t>
            </w:r>
            <w:r w:rsidRPr="005F125A">
              <w:rPr>
                <w:rFonts w:ascii="Arial" w:eastAsia="Times New Roman" w:hAnsi="Arial" w:cs="Arial"/>
                <w:color w:val="000000" w:themeColor="text1"/>
                <w:sz w:val="18"/>
                <w:szCs w:val="18"/>
                <w:lang w:eastAsia="sl-SI"/>
              </w:rPr>
              <w:t>%</w:t>
            </w:r>
          </w:p>
        </w:tc>
      </w:tr>
      <w:tr w:rsidR="005F125A" w:rsidRPr="005F125A" w14:paraId="438B9DE4" w14:textId="77777777" w:rsidTr="001D159E">
        <w:trPr>
          <w:trHeight w:val="30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6048B532" w14:textId="77777777" w:rsidR="005F125A" w:rsidRPr="005F125A" w:rsidRDefault="005F125A" w:rsidP="001D159E">
            <w:pPr>
              <w:spacing w:after="0" w:line="240" w:lineRule="auto"/>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PODRAVSKA</w:t>
            </w:r>
          </w:p>
        </w:tc>
        <w:tc>
          <w:tcPr>
            <w:tcW w:w="1040" w:type="dxa"/>
            <w:tcBorders>
              <w:top w:val="nil"/>
              <w:left w:val="nil"/>
              <w:bottom w:val="single" w:sz="4" w:space="0" w:color="auto"/>
              <w:right w:val="single" w:sz="4" w:space="0" w:color="auto"/>
            </w:tcBorders>
            <w:shd w:val="clear" w:color="auto" w:fill="auto"/>
            <w:noWrap/>
            <w:vAlign w:val="center"/>
            <w:hideMark/>
          </w:tcPr>
          <w:p w14:paraId="605C20CB" w14:textId="77777777" w:rsidR="005F125A" w:rsidRPr="005F125A" w:rsidRDefault="005F125A" w:rsidP="005F125A">
            <w:pPr>
              <w:spacing w:after="0" w:line="240" w:lineRule="auto"/>
              <w:jc w:val="right"/>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36</w:t>
            </w:r>
          </w:p>
        </w:tc>
        <w:tc>
          <w:tcPr>
            <w:tcW w:w="1180" w:type="dxa"/>
            <w:tcBorders>
              <w:top w:val="nil"/>
              <w:left w:val="nil"/>
              <w:bottom w:val="single" w:sz="4" w:space="0" w:color="auto"/>
              <w:right w:val="single" w:sz="4" w:space="0" w:color="auto"/>
            </w:tcBorders>
            <w:shd w:val="clear" w:color="auto" w:fill="auto"/>
            <w:noWrap/>
            <w:vAlign w:val="center"/>
            <w:hideMark/>
          </w:tcPr>
          <w:p w14:paraId="4962FF96" w14:textId="77777777" w:rsidR="005F125A" w:rsidRPr="005F125A" w:rsidRDefault="005F125A" w:rsidP="005F125A">
            <w:pPr>
              <w:spacing w:after="0" w:line="240" w:lineRule="auto"/>
              <w:jc w:val="right"/>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16.082.576</w:t>
            </w:r>
          </w:p>
        </w:tc>
        <w:tc>
          <w:tcPr>
            <w:tcW w:w="1740" w:type="dxa"/>
            <w:tcBorders>
              <w:top w:val="nil"/>
              <w:left w:val="nil"/>
              <w:bottom w:val="single" w:sz="4" w:space="0" w:color="auto"/>
              <w:right w:val="single" w:sz="4" w:space="0" w:color="auto"/>
            </w:tcBorders>
            <w:shd w:val="clear" w:color="auto" w:fill="auto"/>
            <w:noWrap/>
            <w:vAlign w:val="center"/>
            <w:hideMark/>
          </w:tcPr>
          <w:p w14:paraId="75F3F049" w14:textId="7BA15446" w:rsidR="005F125A" w:rsidRPr="005F125A" w:rsidRDefault="005F125A" w:rsidP="005F125A">
            <w:pPr>
              <w:spacing w:after="0" w:line="240" w:lineRule="auto"/>
              <w:jc w:val="right"/>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8,11</w:t>
            </w:r>
            <w:r w:rsidR="001D159E" w:rsidRPr="001D159E">
              <w:rPr>
                <w:rFonts w:ascii="Arial" w:eastAsia="Times New Roman" w:hAnsi="Arial" w:cs="Arial"/>
                <w:color w:val="000000" w:themeColor="text1"/>
                <w:sz w:val="18"/>
                <w:szCs w:val="18"/>
                <w:lang w:eastAsia="sl-SI"/>
              </w:rPr>
              <w:t xml:space="preserve"> </w:t>
            </w:r>
            <w:r w:rsidRPr="005F125A">
              <w:rPr>
                <w:rFonts w:ascii="Arial" w:eastAsia="Times New Roman" w:hAnsi="Arial" w:cs="Arial"/>
                <w:color w:val="000000" w:themeColor="text1"/>
                <w:sz w:val="18"/>
                <w:szCs w:val="18"/>
                <w:lang w:eastAsia="sl-SI"/>
              </w:rPr>
              <w:t>%</w:t>
            </w:r>
          </w:p>
        </w:tc>
        <w:tc>
          <w:tcPr>
            <w:tcW w:w="1720" w:type="dxa"/>
            <w:tcBorders>
              <w:top w:val="nil"/>
              <w:left w:val="nil"/>
              <w:bottom w:val="single" w:sz="4" w:space="0" w:color="auto"/>
              <w:right w:val="single" w:sz="4" w:space="0" w:color="auto"/>
            </w:tcBorders>
            <w:shd w:val="clear" w:color="auto" w:fill="auto"/>
            <w:noWrap/>
            <w:vAlign w:val="center"/>
            <w:hideMark/>
          </w:tcPr>
          <w:p w14:paraId="2A5615B6" w14:textId="083A1AD3" w:rsidR="005F125A" w:rsidRPr="005F125A" w:rsidRDefault="005F125A" w:rsidP="005F125A">
            <w:pPr>
              <w:spacing w:after="0" w:line="240" w:lineRule="auto"/>
              <w:jc w:val="right"/>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8,12</w:t>
            </w:r>
            <w:r w:rsidR="001D159E" w:rsidRPr="001D159E">
              <w:rPr>
                <w:rFonts w:ascii="Arial" w:eastAsia="Times New Roman" w:hAnsi="Arial" w:cs="Arial"/>
                <w:color w:val="000000" w:themeColor="text1"/>
                <w:sz w:val="18"/>
                <w:szCs w:val="18"/>
                <w:lang w:eastAsia="sl-SI"/>
              </w:rPr>
              <w:t xml:space="preserve"> </w:t>
            </w:r>
            <w:r w:rsidRPr="005F125A">
              <w:rPr>
                <w:rFonts w:ascii="Arial" w:eastAsia="Times New Roman" w:hAnsi="Arial" w:cs="Arial"/>
                <w:color w:val="000000" w:themeColor="text1"/>
                <w:sz w:val="18"/>
                <w:szCs w:val="18"/>
                <w:lang w:eastAsia="sl-SI"/>
              </w:rPr>
              <w:t>%</w:t>
            </w:r>
          </w:p>
        </w:tc>
      </w:tr>
      <w:tr w:rsidR="005F125A" w:rsidRPr="005F125A" w14:paraId="4A99A809" w14:textId="77777777" w:rsidTr="001D159E">
        <w:trPr>
          <w:trHeight w:val="30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5E350533" w14:textId="77777777" w:rsidR="005F125A" w:rsidRPr="005F125A" w:rsidRDefault="005F125A" w:rsidP="001D159E">
            <w:pPr>
              <w:spacing w:after="0" w:line="240" w:lineRule="auto"/>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SAVINJSKA</w:t>
            </w:r>
          </w:p>
        </w:tc>
        <w:tc>
          <w:tcPr>
            <w:tcW w:w="1040" w:type="dxa"/>
            <w:tcBorders>
              <w:top w:val="nil"/>
              <w:left w:val="nil"/>
              <w:bottom w:val="single" w:sz="4" w:space="0" w:color="auto"/>
              <w:right w:val="single" w:sz="4" w:space="0" w:color="auto"/>
            </w:tcBorders>
            <w:shd w:val="clear" w:color="auto" w:fill="auto"/>
            <w:noWrap/>
            <w:vAlign w:val="center"/>
            <w:hideMark/>
          </w:tcPr>
          <w:p w14:paraId="33155968" w14:textId="77777777" w:rsidR="005F125A" w:rsidRPr="005F125A" w:rsidRDefault="005F125A" w:rsidP="005F125A">
            <w:pPr>
              <w:spacing w:after="0" w:line="240" w:lineRule="auto"/>
              <w:jc w:val="right"/>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35</w:t>
            </w:r>
          </w:p>
        </w:tc>
        <w:tc>
          <w:tcPr>
            <w:tcW w:w="1180" w:type="dxa"/>
            <w:tcBorders>
              <w:top w:val="nil"/>
              <w:left w:val="nil"/>
              <w:bottom w:val="single" w:sz="4" w:space="0" w:color="auto"/>
              <w:right w:val="single" w:sz="4" w:space="0" w:color="auto"/>
            </w:tcBorders>
            <w:shd w:val="clear" w:color="auto" w:fill="auto"/>
            <w:noWrap/>
            <w:vAlign w:val="center"/>
            <w:hideMark/>
          </w:tcPr>
          <w:p w14:paraId="5513C97D" w14:textId="77777777" w:rsidR="005F125A" w:rsidRPr="005F125A" w:rsidRDefault="005F125A" w:rsidP="005F125A">
            <w:pPr>
              <w:spacing w:after="0" w:line="240" w:lineRule="auto"/>
              <w:jc w:val="right"/>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54.468.357</w:t>
            </w:r>
          </w:p>
        </w:tc>
        <w:tc>
          <w:tcPr>
            <w:tcW w:w="1740" w:type="dxa"/>
            <w:tcBorders>
              <w:top w:val="nil"/>
              <w:left w:val="nil"/>
              <w:bottom w:val="single" w:sz="4" w:space="0" w:color="auto"/>
              <w:right w:val="single" w:sz="4" w:space="0" w:color="auto"/>
            </w:tcBorders>
            <w:shd w:val="clear" w:color="auto" w:fill="auto"/>
            <w:noWrap/>
            <w:vAlign w:val="center"/>
            <w:hideMark/>
          </w:tcPr>
          <w:p w14:paraId="7325B106" w14:textId="772B0021" w:rsidR="005F125A" w:rsidRPr="005F125A" w:rsidRDefault="005F125A" w:rsidP="005F125A">
            <w:pPr>
              <w:spacing w:after="0" w:line="240" w:lineRule="auto"/>
              <w:jc w:val="right"/>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7,88</w:t>
            </w:r>
            <w:r w:rsidR="001D159E" w:rsidRPr="001D159E">
              <w:rPr>
                <w:rFonts w:ascii="Arial" w:eastAsia="Times New Roman" w:hAnsi="Arial" w:cs="Arial"/>
                <w:color w:val="000000" w:themeColor="text1"/>
                <w:sz w:val="18"/>
                <w:szCs w:val="18"/>
                <w:lang w:eastAsia="sl-SI"/>
              </w:rPr>
              <w:t xml:space="preserve"> </w:t>
            </w:r>
            <w:r w:rsidRPr="005F125A">
              <w:rPr>
                <w:rFonts w:ascii="Arial" w:eastAsia="Times New Roman" w:hAnsi="Arial" w:cs="Arial"/>
                <w:color w:val="000000" w:themeColor="text1"/>
                <w:sz w:val="18"/>
                <w:szCs w:val="18"/>
                <w:lang w:eastAsia="sl-SI"/>
              </w:rPr>
              <w:t>%</w:t>
            </w:r>
          </w:p>
        </w:tc>
        <w:tc>
          <w:tcPr>
            <w:tcW w:w="1720" w:type="dxa"/>
            <w:tcBorders>
              <w:top w:val="nil"/>
              <w:left w:val="nil"/>
              <w:bottom w:val="single" w:sz="4" w:space="0" w:color="auto"/>
              <w:right w:val="single" w:sz="4" w:space="0" w:color="auto"/>
            </w:tcBorders>
            <w:shd w:val="clear" w:color="auto" w:fill="auto"/>
            <w:noWrap/>
            <w:vAlign w:val="center"/>
            <w:hideMark/>
          </w:tcPr>
          <w:p w14:paraId="0805339C" w14:textId="3823D55D" w:rsidR="005F125A" w:rsidRPr="005F125A" w:rsidRDefault="005F125A" w:rsidP="005F125A">
            <w:pPr>
              <w:spacing w:after="0" w:line="240" w:lineRule="auto"/>
              <w:jc w:val="right"/>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27,49</w:t>
            </w:r>
            <w:r w:rsidR="001D159E" w:rsidRPr="001D159E">
              <w:rPr>
                <w:rFonts w:ascii="Arial" w:eastAsia="Times New Roman" w:hAnsi="Arial" w:cs="Arial"/>
                <w:color w:val="000000" w:themeColor="text1"/>
                <w:sz w:val="18"/>
                <w:szCs w:val="18"/>
                <w:lang w:eastAsia="sl-SI"/>
              </w:rPr>
              <w:t xml:space="preserve"> </w:t>
            </w:r>
            <w:r w:rsidRPr="005F125A">
              <w:rPr>
                <w:rFonts w:ascii="Arial" w:eastAsia="Times New Roman" w:hAnsi="Arial" w:cs="Arial"/>
                <w:color w:val="000000" w:themeColor="text1"/>
                <w:sz w:val="18"/>
                <w:szCs w:val="18"/>
                <w:lang w:eastAsia="sl-SI"/>
              </w:rPr>
              <w:t>%</w:t>
            </w:r>
          </w:p>
        </w:tc>
      </w:tr>
      <w:tr w:rsidR="005F125A" w:rsidRPr="005F125A" w14:paraId="57912986" w14:textId="77777777" w:rsidTr="001D159E">
        <w:trPr>
          <w:trHeight w:val="30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03D03C3D" w14:textId="77777777" w:rsidR="005F125A" w:rsidRPr="005F125A" w:rsidRDefault="005F125A" w:rsidP="001D159E">
            <w:pPr>
              <w:spacing w:after="0" w:line="240" w:lineRule="auto"/>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OBALNO-KRAŠKA</w:t>
            </w:r>
          </w:p>
        </w:tc>
        <w:tc>
          <w:tcPr>
            <w:tcW w:w="1040" w:type="dxa"/>
            <w:tcBorders>
              <w:top w:val="nil"/>
              <w:left w:val="nil"/>
              <w:bottom w:val="single" w:sz="4" w:space="0" w:color="auto"/>
              <w:right w:val="single" w:sz="4" w:space="0" w:color="auto"/>
            </w:tcBorders>
            <w:shd w:val="clear" w:color="auto" w:fill="auto"/>
            <w:noWrap/>
            <w:vAlign w:val="center"/>
            <w:hideMark/>
          </w:tcPr>
          <w:p w14:paraId="66A390E7" w14:textId="77777777" w:rsidR="005F125A" w:rsidRPr="005F125A" w:rsidRDefault="005F125A" w:rsidP="005F125A">
            <w:pPr>
              <w:spacing w:after="0" w:line="240" w:lineRule="auto"/>
              <w:jc w:val="right"/>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27</w:t>
            </w:r>
          </w:p>
        </w:tc>
        <w:tc>
          <w:tcPr>
            <w:tcW w:w="1180" w:type="dxa"/>
            <w:tcBorders>
              <w:top w:val="nil"/>
              <w:left w:val="nil"/>
              <w:bottom w:val="single" w:sz="4" w:space="0" w:color="auto"/>
              <w:right w:val="single" w:sz="4" w:space="0" w:color="auto"/>
            </w:tcBorders>
            <w:shd w:val="clear" w:color="auto" w:fill="auto"/>
            <w:noWrap/>
            <w:vAlign w:val="center"/>
            <w:hideMark/>
          </w:tcPr>
          <w:p w14:paraId="2BFAD638" w14:textId="77777777" w:rsidR="005F125A" w:rsidRPr="005F125A" w:rsidRDefault="005F125A" w:rsidP="005F125A">
            <w:pPr>
              <w:spacing w:after="0" w:line="240" w:lineRule="auto"/>
              <w:jc w:val="right"/>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12.290.188</w:t>
            </w:r>
          </w:p>
        </w:tc>
        <w:tc>
          <w:tcPr>
            <w:tcW w:w="1740" w:type="dxa"/>
            <w:tcBorders>
              <w:top w:val="nil"/>
              <w:left w:val="nil"/>
              <w:bottom w:val="single" w:sz="4" w:space="0" w:color="auto"/>
              <w:right w:val="single" w:sz="4" w:space="0" w:color="auto"/>
            </w:tcBorders>
            <w:shd w:val="clear" w:color="auto" w:fill="auto"/>
            <w:noWrap/>
            <w:vAlign w:val="center"/>
            <w:hideMark/>
          </w:tcPr>
          <w:p w14:paraId="50F8F630" w14:textId="47B0F82F" w:rsidR="005F125A" w:rsidRPr="005F125A" w:rsidRDefault="005F125A" w:rsidP="005F125A">
            <w:pPr>
              <w:spacing w:after="0" w:line="240" w:lineRule="auto"/>
              <w:jc w:val="right"/>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6,08</w:t>
            </w:r>
            <w:r w:rsidR="001D159E" w:rsidRPr="001D159E">
              <w:rPr>
                <w:rFonts w:ascii="Arial" w:eastAsia="Times New Roman" w:hAnsi="Arial" w:cs="Arial"/>
                <w:color w:val="000000" w:themeColor="text1"/>
                <w:sz w:val="18"/>
                <w:szCs w:val="18"/>
                <w:lang w:eastAsia="sl-SI"/>
              </w:rPr>
              <w:t xml:space="preserve"> </w:t>
            </w:r>
            <w:r w:rsidRPr="005F125A">
              <w:rPr>
                <w:rFonts w:ascii="Arial" w:eastAsia="Times New Roman" w:hAnsi="Arial" w:cs="Arial"/>
                <w:color w:val="000000" w:themeColor="text1"/>
                <w:sz w:val="18"/>
                <w:szCs w:val="18"/>
                <w:lang w:eastAsia="sl-SI"/>
              </w:rPr>
              <w:t>%</w:t>
            </w:r>
          </w:p>
        </w:tc>
        <w:tc>
          <w:tcPr>
            <w:tcW w:w="1720" w:type="dxa"/>
            <w:tcBorders>
              <w:top w:val="nil"/>
              <w:left w:val="nil"/>
              <w:bottom w:val="single" w:sz="4" w:space="0" w:color="auto"/>
              <w:right w:val="single" w:sz="4" w:space="0" w:color="auto"/>
            </w:tcBorders>
            <w:shd w:val="clear" w:color="auto" w:fill="auto"/>
            <w:noWrap/>
            <w:vAlign w:val="center"/>
            <w:hideMark/>
          </w:tcPr>
          <w:p w14:paraId="7A097317" w14:textId="51BD19EA" w:rsidR="005F125A" w:rsidRPr="005F125A" w:rsidRDefault="005F125A" w:rsidP="005F125A">
            <w:pPr>
              <w:spacing w:after="0" w:line="240" w:lineRule="auto"/>
              <w:jc w:val="right"/>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6,20</w:t>
            </w:r>
            <w:r w:rsidR="001D159E" w:rsidRPr="001D159E">
              <w:rPr>
                <w:rFonts w:ascii="Arial" w:eastAsia="Times New Roman" w:hAnsi="Arial" w:cs="Arial"/>
                <w:color w:val="000000" w:themeColor="text1"/>
                <w:sz w:val="18"/>
                <w:szCs w:val="18"/>
                <w:lang w:eastAsia="sl-SI"/>
              </w:rPr>
              <w:t xml:space="preserve"> </w:t>
            </w:r>
            <w:r w:rsidRPr="005F125A">
              <w:rPr>
                <w:rFonts w:ascii="Arial" w:eastAsia="Times New Roman" w:hAnsi="Arial" w:cs="Arial"/>
                <w:color w:val="000000" w:themeColor="text1"/>
                <w:sz w:val="18"/>
                <w:szCs w:val="18"/>
                <w:lang w:eastAsia="sl-SI"/>
              </w:rPr>
              <w:t>%</w:t>
            </w:r>
          </w:p>
        </w:tc>
      </w:tr>
      <w:tr w:rsidR="005F125A" w:rsidRPr="005F125A" w14:paraId="781E790F" w14:textId="77777777" w:rsidTr="001D159E">
        <w:trPr>
          <w:trHeight w:val="30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76F2D05E" w14:textId="77777777" w:rsidR="005F125A" w:rsidRPr="005F125A" w:rsidRDefault="005F125A" w:rsidP="001D159E">
            <w:pPr>
              <w:spacing w:after="0" w:line="240" w:lineRule="auto"/>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GORIŠKA</w:t>
            </w:r>
          </w:p>
        </w:tc>
        <w:tc>
          <w:tcPr>
            <w:tcW w:w="1040" w:type="dxa"/>
            <w:tcBorders>
              <w:top w:val="nil"/>
              <w:left w:val="nil"/>
              <w:bottom w:val="single" w:sz="4" w:space="0" w:color="auto"/>
              <w:right w:val="single" w:sz="4" w:space="0" w:color="auto"/>
            </w:tcBorders>
            <w:shd w:val="clear" w:color="auto" w:fill="auto"/>
            <w:noWrap/>
            <w:vAlign w:val="center"/>
            <w:hideMark/>
          </w:tcPr>
          <w:p w14:paraId="5C30AC6B" w14:textId="77777777" w:rsidR="005F125A" w:rsidRPr="005F125A" w:rsidRDefault="005F125A" w:rsidP="005F125A">
            <w:pPr>
              <w:spacing w:after="0" w:line="240" w:lineRule="auto"/>
              <w:jc w:val="right"/>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17</w:t>
            </w:r>
          </w:p>
        </w:tc>
        <w:tc>
          <w:tcPr>
            <w:tcW w:w="1180" w:type="dxa"/>
            <w:tcBorders>
              <w:top w:val="nil"/>
              <w:left w:val="nil"/>
              <w:bottom w:val="single" w:sz="4" w:space="0" w:color="auto"/>
              <w:right w:val="single" w:sz="4" w:space="0" w:color="auto"/>
            </w:tcBorders>
            <w:shd w:val="clear" w:color="auto" w:fill="auto"/>
            <w:noWrap/>
            <w:vAlign w:val="center"/>
            <w:hideMark/>
          </w:tcPr>
          <w:p w14:paraId="525371E4" w14:textId="77777777" w:rsidR="005F125A" w:rsidRPr="005F125A" w:rsidRDefault="005F125A" w:rsidP="005F125A">
            <w:pPr>
              <w:spacing w:after="0" w:line="240" w:lineRule="auto"/>
              <w:jc w:val="right"/>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1.088.473</w:t>
            </w:r>
          </w:p>
        </w:tc>
        <w:tc>
          <w:tcPr>
            <w:tcW w:w="1740" w:type="dxa"/>
            <w:tcBorders>
              <w:top w:val="nil"/>
              <w:left w:val="nil"/>
              <w:bottom w:val="single" w:sz="4" w:space="0" w:color="auto"/>
              <w:right w:val="single" w:sz="4" w:space="0" w:color="auto"/>
            </w:tcBorders>
            <w:shd w:val="clear" w:color="auto" w:fill="auto"/>
            <w:noWrap/>
            <w:vAlign w:val="center"/>
            <w:hideMark/>
          </w:tcPr>
          <w:p w14:paraId="66451CAE" w14:textId="6B2E0933" w:rsidR="005F125A" w:rsidRPr="005F125A" w:rsidRDefault="005F125A" w:rsidP="005F125A">
            <w:pPr>
              <w:spacing w:after="0" w:line="240" w:lineRule="auto"/>
              <w:jc w:val="right"/>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3,83</w:t>
            </w:r>
            <w:r w:rsidR="001D159E" w:rsidRPr="001D159E">
              <w:rPr>
                <w:rFonts w:ascii="Arial" w:eastAsia="Times New Roman" w:hAnsi="Arial" w:cs="Arial"/>
                <w:color w:val="000000" w:themeColor="text1"/>
                <w:sz w:val="18"/>
                <w:szCs w:val="18"/>
                <w:lang w:eastAsia="sl-SI"/>
              </w:rPr>
              <w:t xml:space="preserve"> </w:t>
            </w:r>
            <w:r w:rsidRPr="005F125A">
              <w:rPr>
                <w:rFonts w:ascii="Arial" w:eastAsia="Times New Roman" w:hAnsi="Arial" w:cs="Arial"/>
                <w:color w:val="000000" w:themeColor="text1"/>
                <w:sz w:val="18"/>
                <w:szCs w:val="18"/>
                <w:lang w:eastAsia="sl-SI"/>
              </w:rPr>
              <w:t>%</w:t>
            </w:r>
          </w:p>
        </w:tc>
        <w:tc>
          <w:tcPr>
            <w:tcW w:w="1720" w:type="dxa"/>
            <w:tcBorders>
              <w:top w:val="nil"/>
              <w:left w:val="nil"/>
              <w:bottom w:val="single" w:sz="4" w:space="0" w:color="auto"/>
              <w:right w:val="single" w:sz="4" w:space="0" w:color="auto"/>
            </w:tcBorders>
            <w:shd w:val="clear" w:color="auto" w:fill="auto"/>
            <w:noWrap/>
            <w:vAlign w:val="center"/>
            <w:hideMark/>
          </w:tcPr>
          <w:p w14:paraId="046A2BC9" w14:textId="5E980AA3" w:rsidR="005F125A" w:rsidRPr="005F125A" w:rsidRDefault="005F125A" w:rsidP="005F125A">
            <w:pPr>
              <w:spacing w:after="0" w:line="240" w:lineRule="auto"/>
              <w:jc w:val="right"/>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0,55</w:t>
            </w:r>
            <w:r w:rsidR="001D159E" w:rsidRPr="001D159E">
              <w:rPr>
                <w:rFonts w:ascii="Arial" w:eastAsia="Times New Roman" w:hAnsi="Arial" w:cs="Arial"/>
                <w:color w:val="000000" w:themeColor="text1"/>
                <w:sz w:val="18"/>
                <w:szCs w:val="18"/>
                <w:lang w:eastAsia="sl-SI"/>
              </w:rPr>
              <w:t xml:space="preserve"> </w:t>
            </w:r>
            <w:r w:rsidRPr="005F125A">
              <w:rPr>
                <w:rFonts w:ascii="Arial" w:eastAsia="Times New Roman" w:hAnsi="Arial" w:cs="Arial"/>
                <w:color w:val="000000" w:themeColor="text1"/>
                <w:sz w:val="18"/>
                <w:szCs w:val="18"/>
                <w:lang w:eastAsia="sl-SI"/>
              </w:rPr>
              <w:t>%</w:t>
            </w:r>
          </w:p>
        </w:tc>
      </w:tr>
      <w:tr w:rsidR="005F125A" w:rsidRPr="005F125A" w14:paraId="63CEF49D" w14:textId="77777777" w:rsidTr="001D159E">
        <w:trPr>
          <w:trHeight w:val="30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441739BF" w14:textId="77777777" w:rsidR="005F125A" w:rsidRPr="005F125A" w:rsidRDefault="005F125A" w:rsidP="001D159E">
            <w:pPr>
              <w:spacing w:after="0" w:line="240" w:lineRule="auto"/>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GORENJSKA</w:t>
            </w:r>
          </w:p>
        </w:tc>
        <w:tc>
          <w:tcPr>
            <w:tcW w:w="1040" w:type="dxa"/>
            <w:tcBorders>
              <w:top w:val="nil"/>
              <w:left w:val="nil"/>
              <w:bottom w:val="single" w:sz="4" w:space="0" w:color="auto"/>
              <w:right w:val="single" w:sz="4" w:space="0" w:color="auto"/>
            </w:tcBorders>
            <w:shd w:val="clear" w:color="auto" w:fill="auto"/>
            <w:noWrap/>
            <w:vAlign w:val="center"/>
            <w:hideMark/>
          </w:tcPr>
          <w:p w14:paraId="4A0F339F" w14:textId="77777777" w:rsidR="005F125A" w:rsidRPr="005F125A" w:rsidRDefault="005F125A" w:rsidP="005F125A">
            <w:pPr>
              <w:spacing w:after="0" w:line="240" w:lineRule="auto"/>
              <w:jc w:val="right"/>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9</w:t>
            </w:r>
          </w:p>
        </w:tc>
        <w:tc>
          <w:tcPr>
            <w:tcW w:w="1180" w:type="dxa"/>
            <w:tcBorders>
              <w:top w:val="nil"/>
              <w:left w:val="nil"/>
              <w:bottom w:val="single" w:sz="4" w:space="0" w:color="auto"/>
              <w:right w:val="single" w:sz="4" w:space="0" w:color="auto"/>
            </w:tcBorders>
            <w:shd w:val="clear" w:color="auto" w:fill="auto"/>
            <w:noWrap/>
            <w:vAlign w:val="center"/>
            <w:hideMark/>
          </w:tcPr>
          <w:p w14:paraId="443C2F6E" w14:textId="77777777" w:rsidR="005F125A" w:rsidRPr="005F125A" w:rsidRDefault="005F125A" w:rsidP="005F125A">
            <w:pPr>
              <w:spacing w:after="0" w:line="240" w:lineRule="auto"/>
              <w:jc w:val="right"/>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2.146.381</w:t>
            </w:r>
          </w:p>
        </w:tc>
        <w:tc>
          <w:tcPr>
            <w:tcW w:w="1740" w:type="dxa"/>
            <w:tcBorders>
              <w:top w:val="nil"/>
              <w:left w:val="nil"/>
              <w:bottom w:val="single" w:sz="4" w:space="0" w:color="auto"/>
              <w:right w:val="single" w:sz="4" w:space="0" w:color="auto"/>
            </w:tcBorders>
            <w:shd w:val="clear" w:color="auto" w:fill="auto"/>
            <w:noWrap/>
            <w:vAlign w:val="center"/>
            <w:hideMark/>
          </w:tcPr>
          <w:p w14:paraId="53F4728A" w14:textId="6023D978" w:rsidR="005F125A" w:rsidRPr="005F125A" w:rsidRDefault="005F125A" w:rsidP="005F125A">
            <w:pPr>
              <w:spacing w:after="0" w:line="240" w:lineRule="auto"/>
              <w:jc w:val="right"/>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2,03</w:t>
            </w:r>
            <w:r w:rsidR="001D159E" w:rsidRPr="001D159E">
              <w:rPr>
                <w:rFonts w:ascii="Arial" w:eastAsia="Times New Roman" w:hAnsi="Arial" w:cs="Arial"/>
                <w:color w:val="000000" w:themeColor="text1"/>
                <w:sz w:val="18"/>
                <w:szCs w:val="18"/>
                <w:lang w:eastAsia="sl-SI"/>
              </w:rPr>
              <w:t xml:space="preserve"> </w:t>
            </w:r>
            <w:r w:rsidRPr="005F125A">
              <w:rPr>
                <w:rFonts w:ascii="Arial" w:eastAsia="Times New Roman" w:hAnsi="Arial" w:cs="Arial"/>
                <w:color w:val="000000" w:themeColor="text1"/>
                <w:sz w:val="18"/>
                <w:szCs w:val="18"/>
                <w:lang w:eastAsia="sl-SI"/>
              </w:rPr>
              <w:t>%</w:t>
            </w:r>
          </w:p>
        </w:tc>
        <w:tc>
          <w:tcPr>
            <w:tcW w:w="1720" w:type="dxa"/>
            <w:tcBorders>
              <w:top w:val="nil"/>
              <w:left w:val="nil"/>
              <w:bottom w:val="single" w:sz="4" w:space="0" w:color="auto"/>
              <w:right w:val="single" w:sz="4" w:space="0" w:color="auto"/>
            </w:tcBorders>
            <w:shd w:val="clear" w:color="auto" w:fill="auto"/>
            <w:noWrap/>
            <w:vAlign w:val="center"/>
            <w:hideMark/>
          </w:tcPr>
          <w:p w14:paraId="63DB0155" w14:textId="09DCE6E2" w:rsidR="005F125A" w:rsidRPr="005F125A" w:rsidRDefault="005F125A" w:rsidP="005F125A">
            <w:pPr>
              <w:spacing w:after="0" w:line="240" w:lineRule="auto"/>
              <w:jc w:val="right"/>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1,08</w:t>
            </w:r>
            <w:r w:rsidR="001D159E" w:rsidRPr="001D159E">
              <w:rPr>
                <w:rFonts w:ascii="Arial" w:eastAsia="Times New Roman" w:hAnsi="Arial" w:cs="Arial"/>
                <w:color w:val="000000" w:themeColor="text1"/>
                <w:sz w:val="18"/>
                <w:szCs w:val="18"/>
                <w:lang w:eastAsia="sl-SI"/>
              </w:rPr>
              <w:t xml:space="preserve"> </w:t>
            </w:r>
            <w:r w:rsidRPr="005F125A">
              <w:rPr>
                <w:rFonts w:ascii="Arial" w:eastAsia="Times New Roman" w:hAnsi="Arial" w:cs="Arial"/>
                <w:color w:val="000000" w:themeColor="text1"/>
                <w:sz w:val="18"/>
                <w:szCs w:val="18"/>
                <w:lang w:eastAsia="sl-SI"/>
              </w:rPr>
              <w:t>%</w:t>
            </w:r>
          </w:p>
        </w:tc>
      </w:tr>
      <w:tr w:rsidR="005F125A" w:rsidRPr="005F125A" w14:paraId="149F5712" w14:textId="77777777" w:rsidTr="001D159E">
        <w:trPr>
          <w:trHeight w:val="30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158B29F7" w14:textId="77777777" w:rsidR="005F125A" w:rsidRPr="005F125A" w:rsidRDefault="005F125A" w:rsidP="001D159E">
            <w:pPr>
              <w:spacing w:after="0" w:line="240" w:lineRule="auto"/>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JUGOVZHODNA SLOVENIJA</w:t>
            </w:r>
          </w:p>
        </w:tc>
        <w:tc>
          <w:tcPr>
            <w:tcW w:w="1040" w:type="dxa"/>
            <w:tcBorders>
              <w:top w:val="nil"/>
              <w:left w:val="nil"/>
              <w:bottom w:val="single" w:sz="4" w:space="0" w:color="auto"/>
              <w:right w:val="single" w:sz="4" w:space="0" w:color="auto"/>
            </w:tcBorders>
            <w:shd w:val="clear" w:color="auto" w:fill="auto"/>
            <w:noWrap/>
            <w:vAlign w:val="center"/>
            <w:hideMark/>
          </w:tcPr>
          <w:p w14:paraId="16D5B709" w14:textId="77777777" w:rsidR="005F125A" w:rsidRPr="005F125A" w:rsidRDefault="005F125A" w:rsidP="005F125A">
            <w:pPr>
              <w:spacing w:after="0" w:line="240" w:lineRule="auto"/>
              <w:jc w:val="right"/>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5</w:t>
            </w:r>
          </w:p>
        </w:tc>
        <w:tc>
          <w:tcPr>
            <w:tcW w:w="1180" w:type="dxa"/>
            <w:tcBorders>
              <w:top w:val="nil"/>
              <w:left w:val="nil"/>
              <w:bottom w:val="single" w:sz="4" w:space="0" w:color="auto"/>
              <w:right w:val="single" w:sz="4" w:space="0" w:color="auto"/>
            </w:tcBorders>
            <w:shd w:val="clear" w:color="auto" w:fill="auto"/>
            <w:noWrap/>
            <w:vAlign w:val="center"/>
            <w:hideMark/>
          </w:tcPr>
          <w:p w14:paraId="1FDB80A1" w14:textId="77777777" w:rsidR="005F125A" w:rsidRPr="005F125A" w:rsidRDefault="005F125A" w:rsidP="005F125A">
            <w:pPr>
              <w:spacing w:after="0" w:line="240" w:lineRule="auto"/>
              <w:jc w:val="right"/>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1.044.347</w:t>
            </w:r>
          </w:p>
        </w:tc>
        <w:tc>
          <w:tcPr>
            <w:tcW w:w="1740" w:type="dxa"/>
            <w:tcBorders>
              <w:top w:val="nil"/>
              <w:left w:val="nil"/>
              <w:bottom w:val="single" w:sz="4" w:space="0" w:color="auto"/>
              <w:right w:val="single" w:sz="4" w:space="0" w:color="auto"/>
            </w:tcBorders>
            <w:shd w:val="clear" w:color="auto" w:fill="auto"/>
            <w:noWrap/>
            <w:vAlign w:val="center"/>
            <w:hideMark/>
          </w:tcPr>
          <w:p w14:paraId="42E26858" w14:textId="5A5AB8D1" w:rsidR="005F125A" w:rsidRPr="005F125A" w:rsidRDefault="005F125A" w:rsidP="005F125A">
            <w:pPr>
              <w:spacing w:after="0" w:line="240" w:lineRule="auto"/>
              <w:jc w:val="right"/>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1,13</w:t>
            </w:r>
            <w:r w:rsidR="001D159E" w:rsidRPr="001D159E">
              <w:rPr>
                <w:rFonts w:ascii="Arial" w:eastAsia="Times New Roman" w:hAnsi="Arial" w:cs="Arial"/>
                <w:color w:val="000000" w:themeColor="text1"/>
                <w:sz w:val="18"/>
                <w:szCs w:val="18"/>
                <w:lang w:eastAsia="sl-SI"/>
              </w:rPr>
              <w:t xml:space="preserve"> </w:t>
            </w:r>
            <w:r w:rsidRPr="005F125A">
              <w:rPr>
                <w:rFonts w:ascii="Arial" w:eastAsia="Times New Roman" w:hAnsi="Arial" w:cs="Arial"/>
                <w:color w:val="000000" w:themeColor="text1"/>
                <w:sz w:val="18"/>
                <w:szCs w:val="18"/>
                <w:lang w:eastAsia="sl-SI"/>
              </w:rPr>
              <w:t>%</w:t>
            </w:r>
          </w:p>
        </w:tc>
        <w:tc>
          <w:tcPr>
            <w:tcW w:w="1720" w:type="dxa"/>
            <w:tcBorders>
              <w:top w:val="nil"/>
              <w:left w:val="nil"/>
              <w:bottom w:val="single" w:sz="4" w:space="0" w:color="auto"/>
              <w:right w:val="single" w:sz="4" w:space="0" w:color="auto"/>
            </w:tcBorders>
            <w:shd w:val="clear" w:color="auto" w:fill="auto"/>
            <w:noWrap/>
            <w:vAlign w:val="center"/>
            <w:hideMark/>
          </w:tcPr>
          <w:p w14:paraId="02C9D93B" w14:textId="7A923381" w:rsidR="005F125A" w:rsidRPr="005F125A" w:rsidRDefault="005F125A" w:rsidP="005F125A">
            <w:pPr>
              <w:spacing w:after="0" w:line="240" w:lineRule="auto"/>
              <w:jc w:val="right"/>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0,53</w:t>
            </w:r>
            <w:r w:rsidR="001D159E" w:rsidRPr="001D159E">
              <w:rPr>
                <w:rFonts w:ascii="Arial" w:eastAsia="Times New Roman" w:hAnsi="Arial" w:cs="Arial"/>
                <w:color w:val="000000" w:themeColor="text1"/>
                <w:sz w:val="18"/>
                <w:szCs w:val="18"/>
                <w:lang w:eastAsia="sl-SI"/>
              </w:rPr>
              <w:t xml:space="preserve"> </w:t>
            </w:r>
            <w:r w:rsidRPr="005F125A">
              <w:rPr>
                <w:rFonts w:ascii="Arial" w:eastAsia="Times New Roman" w:hAnsi="Arial" w:cs="Arial"/>
                <w:color w:val="000000" w:themeColor="text1"/>
                <w:sz w:val="18"/>
                <w:szCs w:val="18"/>
                <w:lang w:eastAsia="sl-SI"/>
              </w:rPr>
              <w:t>%</w:t>
            </w:r>
          </w:p>
        </w:tc>
      </w:tr>
      <w:tr w:rsidR="005F125A" w:rsidRPr="005F125A" w14:paraId="52F5D3F2" w14:textId="77777777" w:rsidTr="001D159E">
        <w:trPr>
          <w:trHeight w:val="30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3FDC0E94" w14:textId="77777777" w:rsidR="005F125A" w:rsidRPr="005F125A" w:rsidRDefault="005F125A" w:rsidP="001D159E">
            <w:pPr>
              <w:spacing w:after="0" w:line="240" w:lineRule="auto"/>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POMURSKA</w:t>
            </w:r>
          </w:p>
        </w:tc>
        <w:tc>
          <w:tcPr>
            <w:tcW w:w="1040" w:type="dxa"/>
            <w:tcBorders>
              <w:top w:val="nil"/>
              <w:left w:val="nil"/>
              <w:bottom w:val="single" w:sz="4" w:space="0" w:color="auto"/>
              <w:right w:val="single" w:sz="4" w:space="0" w:color="auto"/>
            </w:tcBorders>
            <w:shd w:val="clear" w:color="auto" w:fill="auto"/>
            <w:noWrap/>
            <w:vAlign w:val="center"/>
            <w:hideMark/>
          </w:tcPr>
          <w:p w14:paraId="782827B8" w14:textId="77777777" w:rsidR="005F125A" w:rsidRPr="005F125A" w:rsidRDefault="005F125A" w:rsidP="005F125A">
            <w:pPr>
              <w:spacing w:after="0" w:line="240" w:lineRule="auto"/>
              <w:jc w:val="right"/>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3</w:t>
            </w:r>
          </w:p>
        </w:tc>
        <w:tc>
          <w:tcPr>
            <w:tcW w:w="1180" w:type="dxa"/>
            <w:tcBorders>
              <w:top w:val="nil"/>
              <w:left w:val="nil"/>
              <w:bottom w:val="single" w:sz="4" w:space="0" w:color="auto"/>
              <w:right w:val="single" w:sz="4" w:space="0" w:color="auto"/>
            </w:tcBorders>
            <w:shd w:val="clear" w:color="auto" w:fill="auto"/>
            <w:noWrap/>
            <w:vAlign w:val="center"/>
            <w:hideMark/>
          </w:tcPr>
          <w:p w14:paraId="3788A386" w14:textId="77777777" w:rsidR="005F125A" w:rsidRPr="005F125A" w:rsidRDefault="005F125A" w:rsidP="005F125A">
            <w:pPr>
              <w:spacing w:after="0" w:line="240" w:lineRule="auto"/>
              <w:jc w:val="right"/>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504.219</w:t>
            </w:r>
          </w:p>
        </w:tc>
        <w:tc>
          <w:tcPr>
            <w:tcW w:w="1740" w:type="dxa"/>
            <w:tcBorders>
              <w:top w:val="nil"/>
              <w:left w:val="nil"/>
              <w:bottom w:val="single" w:sz="4" w:space="0" w:color="auto"/>
              <w:right w:val="single" w:sz="4" w:space="0" w:color="auto"/>
            </w:tcBorders>
            <w:shd w:val="clear" w:color="auto" w:fill="auto"/>
            <w:noWrap/>
            <w:vAlign w:val="center"/>
            <w:hideMark/>
          </w:tcPr>
          <w:p w14:paraId="0FF611E4" w14:textId="65711D2A" w:rsidR="005F125A" w:rsidRPr="005F125A" w:rsidRDefault="005F125A" w:rsidP="005F125A">
            <w:pPr>
              <w:spacing w:after="0" w:line="240" w:lineRule="auto"/>
              <w:jc w:val="right"/>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0,68</w:t>
            </w:r>
            <w:r w:rsidR="001D159E" w:rsidRPr="001D159E">
              <w:rPr>
                <w:rFonts w:ascii="Arial" w:eastAsia="Times New Roman" w:hAnsi="Arial" w:cs="Arial"/>
                <w:color w:val="000000" w:themeColor="text1"/>
                <w:sz w:val="18"/>
                <w:szCs w:val="18"/>
                <w:lang w:eastAsia="sl-SI"/>
              </w:rPr>
              <w:t xml:space="preserve"> </w:t>
            </w:r>
            <w:r w:rsidRPr="005F125A">
              <w:rPr>
                <w:rFonts w:ascii="Arial" w:eastAsia="Times New Roman" w:hAnsi="Arial" w:cs="Arial"/>
                <w:color w:val="000000" w:themeColor="text1"/>
                <w:sz w:val="18"/>
                <w:szCs w:val="18"/>
                <w:lang w:eastAsia="sl-SI"/>
              </w:rPr>
              <w:t>%</w:t>
            </w:r>
          </w:p>
        </w:tc>
        <w:tc>
          <w:tcPr>
            <w:tcW w:w="1720" w:type="dxa"/>
            <w:tcBorders>
              <w:top w:val="nil"/>
              <w:left w:val="nil"/>
              <w:bottom w:val="single" w:sz="4" w:space="0" w:color="auto"/>
              <w:right w:val="single" w:sz="4" w:space="0" w:color="auto"/>
            </w:tcBorders>
            <w:shd w:val="clear" w:color="auto" w:fill="auto"/>
            <w:noWrap/>
            <w:vAlign w:val="center"/>
            <w:hideMark/>
          </w:tcPr>
          <w:p w14:paraId="6E1912DE" w14:textId="55CEE009" w:rsidR="005F125A" w:rsidRPr="005F125A" w:rsidRDefault="005F125A" w:rsidP="005F125A">
            <w:pPr>
              <w:spacing w:after="0" w:line="240" w:lineRule="auto"/>
              <w:jc w:val="right"/>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0,25</w:t>
            </w:r>
            <w:r w:rsidR="001D159E" w:rsidRPr="001D159E">
              <w:rPr>
                <w:rFonts w:ascii="Arial" w:eastAsia="Times New Roman" w:hAnsi="Arial" w:cs="Arial"/>
                <w:color w:val="000000" w:themeColor="text1"/>
                <w:sz w:val="18"/>
                <w:szCs w:val="18"/>
                <w:lang w:eastAsia="sl-SI"/>
              </w:rPr>
              <w:t xml:space="preserve"> </w:t>
            </w:r>
            <w:r w:rsidRPr="005F125A">
              <w:rPr>
                <w:rFonts w:ascii="Arial" w:eastAsia="Times New Roman" w:hAnsi="Arial" w:cs="Arial"/>
                <w:color w:val="000000" w:themeColor="text1"/>
                <w:sz w:val="18"/>
                <w:szCs w:val="18"/>
                <w:lang w:eastAsia="sl-SI"/>
              </w:rPr>
              <w:t>%</w:t>
            </w:r>
          </w:p>
        </w:tc>
      </w:tr>
      <w:tr w:rsidR="005F125A" w:rsidRPr="005F125A" w14:paraId="2710BFF3" w14:textId="77777777" w:rsidTr="001D159E">
        <w:trPr>
          <w:trHeight w:val="30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3BD0CA26" w14:textId="77777777" w:rsidR="005F125A" w:rsidRPr="005F125A" w:rsidRDefault="005F125A" w:rsidP="001D159E">
            <w:pPr>
              <w:spacing w:after="0" w:line="240" w:lineRule="auto"/>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KOROŠKA</w:t>
            </w:r>
          </w:p>
        </w:tc>
        <w:tc>
          <w:tcPr>
            <w:tcW w:w="1040" w:type="dxa"/>
            <w:tcBorders>
              <w:top w:val="nil"/>
              <w:left w:val="nil"/>
              <w:bottom w:val="single" w:sz="4" w:space="0" w:color="auto"/>
              <w:right w:val="single" w:sz="4" w:space="0" w:color="auto"/>
            </w:tcBorders>
            <w:shd w:val="clear" w:color="auto" w:fill="auto"/>
            <w:noWrap/>
            <w:vAlign w:val="center"/>
            <w:hideMark/>
          </w:tcPr>
          <w:p w14:paraId="53E7E879" w14:textId="77777777" w:rsidR="005F125A" w:rsidRPr="005F125A" w:rsidRDefault="005F125A" w:rsidP="005F125A">
            <w:pPr>
              <w:spacing w:after="0" w:line="240" w:lineRule="auto"/>
              <w:jc w:val="right"/>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1</w:t>
            </w:r>
          </w:p>
        </w:tc>
        <w:tc>
          <w:tcPr>
            <w:tcW w:w="1180" w:type="dxa"/>
            <w:tcBorders>
              <w:top w:val="nil"/>
              <w:left w:val="nil"/>
              <w:bottom w:val="single" w:sz="4" w:space="0" w:color="auto"/>
              <w:right w:val="single" w:sz="4" w:space="0" w:color="auto"/>
            </w:tcBorders>
            <w:shd w:val="clear" w:color="auto" w:fill="auto"/>
            <w:noWrap/>
            <w:vAlign w:val="center"/>
            <w:hideMark/>
          </w:tcPr>
          <w:p w14:paraId="02CE4D8A" w14:textId="77777777" w:rsidR="005F125A" w:rsidRPr="005F125A" w:rsidRDefault="005F125A" w:rsidP="005F125A">
            <w:pPr>
              <w:spacing w:after="0" w:line="240" w:lineRule="auto"/>
              <w:jc w:val="right"/>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275.100</w:t>
            </w:r>
          </w:p>
        </w:tc>
        <w:tc>
          <w:tcPr>
            <w:tcW w:w="1740" w:type="dxa"/>
            <w:tcBorders>
              <w:top w:val="nil"/>
              <w:left w:val="nil"/>
              <w:bottom w:val="single" w:sz="4" w:space="0" w:color="auto"/>
              <w:right w:val="single" w:sz="4" w:space="0" w:color="auto"/>
            </w:tcBorders>
            <w:shd w:val="clear" w:color="auto" w:fill="auto"/>
            <w:noWrap/>
            <w:vAlign w:val="center"/>
            <w:hideMark/>
          </w:tcPr>
          <w:p w14:paraId="3F8169F8" w14:textId="3F78BC09" w:rsidR="005F125A" w:rsidRPr="005F125A" w:rsidRDefault="005F125A" w:rsidP="005F125A">
            <w:pPr>
              <w:spacing w:after="0" w:line="240" w:lineRule="auto"/>
              <w:jc w:val="right"/>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0,23</w:t>
            </w:r>
            <w:r w:rsidR="001D159E" w:rsidRPr="001D159E">
              <w:rPr>
                <w:rFonts w:ascii="Arial" w:eastAsia="Times New Roman" w:hAnsi="Arial" w:cs="Arial"/>
                <w:color w:val="000000" w:themeColor="text1"/>
                <w:sz w:val="18"/>
                <w:szCs w:val="18"/>
                <w:lang w:eastAsia="sl-SI"/>
              </w:rPr>
              <w:t xml:space="preserve"> </w:t>
            </w:r>
            <w:r w:rsidRPr="005F125A">
              <w:rPr>
                <w:rFonts w:ascii="Arial" w:eastAsia="Times New Roman" w:hAnsi="Arial" w:cs="Arial"/>
                <w:color w:val="000000" w:themeColor="text1"/>
                <w:sz w:val="18"/>
                <w:szCs w:val="18"/>
                <w:lang w:eastAsia="sl-SI"/>
              </w:rPr>
              <w:t>%</w:t>
            </w:r>
          </w:p>
        </w:tc>
        <w:tc>
          <w:tcPr>
            <w:tcW w:w="1720" w:type="dxa"/>
            <w:tcBorders>
              <w:top w:val="nil"/>
              <w:left w:val="nil"/>
              <w:bottom w:val="single" w:sz="4" w:space="0" w:color="auto"/>
              <w:right w:val="single" w:sz="4" w:space="0" w:color="auto"/>
            </w:tcBorders>
            <w:shd w:val="clear" w:color="auto" w:fill="auto"/>
            <w:noWrap/>
            <w:vAlign w:val="center"/>
            <w:hideMark/>
          </w:tcPr>
          <w:p w14:paraId="62CB29D5" w14:textId="7C75A2FD" w:rsidR="005F125A" w:rsidRPr="005F125A" w:rsidRDefault="005F125A" w:rsidP="005F125A">
            <w:pPr>
              <w:spacing w:after="0" w:line="240" w:lineRule="auto"/>
              <w:jc w:val="right"/>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0,14</w:t>
            </w:r>
            <w:r w:rsidR="001D159E" w:rsidRPr="001D159E">
              <w:rPr>
                <w:rFonts w:ascii="Arial" w:eastAsia="Times New Roman" w:hAnsi="Arial" w:cs="Arial"/>
                <w:color w:val="000000" w:themeColor="text1"/>
                <w:sz w:val="18"/>
                <w:szCs w:val="18"/>
                <w:lang w:eastAsia="sl-SI"/>
              </w:rPr>
              <w:t xml:space="preserve"> </w:t>
            </w:r>
            <w:r w:rsidRPr="005F125A">
              <w:rPr>
                <w:rFonts w:ascii="Arial" w:eastAsia="Times New Roman" w:hAnsi="Arial" w:cs="Arial"/>
                <w:color w:val="000000" w:themeColor="text1"/>
                <w:sz w:val="18"/>
                <w:szCs w:val="18"/>
                <w:lang w:eastAsia="sl-SI"/>
              </w:rPr>
              <w:t>%</w:t>
            </w:r>
          </w:p>
        </w:tc>
      </w:tr>
      <w:tr w:rsidR="005F125A" w:rsidRPr="005F125A" w14:paraId="035AD483" w14:textId="77777777" w:rsidTr="001D159E">
        <w:trPr>
          <w:trHeight w:val="30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48A09283" w14:textId="77777777" w:rsidR="005F125A" w:rsidRPr="005F125A" w:rsidRDefault="005F125A" w:rsidP="001D159E">
            <w:pPr>
              <w:spacing w:after="0" w:line="240" w:lineRule="auto"/>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PRIMORSKO-NOTRANJSKA</w:t>
            </w:r>
          </w:p>
        </w:tc>
        <w:tc>
          <w:tcPr>
            <w:tcW w:w="1040" w:type="dxa"/>
            <w:tcBorders>
              <w:top w:val="nil"/>
              <w:left w:val="nil"/>
              <w:bottom w:val="single" w:sz="4" w:space="0" w:color="auto"/>
              <w:right w:val="single" w:sz="4" w:space="0" w:color="auto"/>
            </w:tcBorders>
            <w:shd w:val="clear" w:color="auto" w:fill="auto"/>
            <w:noWrap/>
            <w:vAlign w:val="center"/>
            <w:hideMark/>
          </w:tcPr>
          <w:p w14:paraId="53217F22" w14:textId="77777777" w:rsidR="005F125A" w:rsidRPr="005F125A" w:rsidRDefault="005F125A" w:rsidP="005F125A">
            <w:pPr>
              <w:spacing w:after="0" w:line="240" w:lineRule="auto"/>
              <w:jc w:val="right"/>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1</w:t>
            </w:r>
          </w:p>
        </w:tc>
        <w:tc>
          <w:tcPr>
            <w:tcW w:w="1180" w:type="dxa"/>
            <w:tcBorders>
              <w:top w:val="nil"/>
              <w:left w:val="nil"/>
              <w:bottom w:val="single" w:sz="4" w:space="0" w:color="auto"/>
              <w:right w:val="single" w:sz="4" w:space="0" w:color="auto"/>
            </w:tcBorders>
            <w:shd w:val="clear" w:color="auto" w:fill="auto"/>
            <w:noWrap/>
            <w:vAlign w:val="center"/>
            <w:hideMark/>
          </w:tcPr>
          <w:p w14:paraId="4717297F" w14:textId="77777777" w:rsidR="005F125A" w:rsidRPr="005F125A" w:rsidRDefault="005F125A" w:rsidP="005F125A">
            <w:pPr>
              <w:spacing w:after="0" w:line="240" w:lineRule="auto"/>
              <w:jc w:val="right"/>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2.750</w:t>
            </w:r>
          </w:p>
        </w:tc>
        <w:tc>
          <w:tcPr>
            <w:tcW w:w="1740" w:type="dxa"/>
            <w:tcBorders>
              <w:top w:val="nil"/>
              <w:left w:val="nil"/>
              <w:bottom w:val="single" w:sz="4" w:space="0" w:color="auto"/>
              <w:right w:val="single" w:sz="4" w:space="0" w:color="auto"/>
            </w:tcBorders>
            <w:shd w:val="clear" w:color="auto" w:fill="auto"/>
            <w:noWrap/>
            <w:vAlign w:val="center"/>
            <w:hideMark/>
          </w:tcPr>
          <w:p w14:paraId="5E9FC76C" w14:textId="15D26EB4" w:rsidR="005F125A" w:rsidRPr="005F125A" w:rsidRDefault="005F125A" w:rsidP="005F125A">
            <w:pPr>
              <w:spacing w:after="0" w:line="240" w:lineRule="auto"/>
              <w:jc w:val="right"/>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0,23</w:t>
            </w:r>
            <w:r w:rsidR="001D159E" w:rsidRPr="001D159E">
              <w:rPr>
                <w:rFonts w:ascii="Arial" w:eastAsia="Times New Roman" w:hAnsi="Arial" w:cs="Arial"/>
                <w:color w:val="000000" w:themeColor="text1"/>
                <w:sz w:val="18"/>
                <w:szCs w:val="18"/>
                <w:lang w:eastAsia="sl-SI"/>
              </w:rPr>
              <w:t xml:space="preserve"> </w:t>
            </w:r>
            <w:r w:rsidRPr="005F125A">
              <w:rPr>
                <w:rFonts w:ascii="Arial" w:eastAsia="Times New Roman" w:hAnsi="Arial" w:cs="Arial"/>
                <w:color w:val="000000" w:themeColor="text1"/>
                <w:sz w:val="18"/>
                <w:szCs w:val="18"/>
                <w:lang w:eastAsia="sl-SI"/>
              </w:rPr>
              <w:t>%</w:t>
            </w:r>
          </w:p>
        </w:tc>
        <w:tc>
          <w:tcPr>
            <w:tcW w:w="1720" w:type="dxa"/>
            <w:tcBorders>
              <w:top w:val="nil"/>
              <w:left w:val="nil"/>
              <w:bottom w:val="single" w:sz="4" w:space="0" w:color="auto"/>
              <w:right w:val="single" w:sz="4" w:space="0" w:color="auto"/>
            </w:tcBorders>
            <w:shd w:val="clear" w:color="auto" w:fill="auto"/>
            <w:noWrap/>
            <w:vAlign w:val="center"/>
            <w:hideMark/>
          </w:tcPr>
          <w:p w14:paraId="32B275B8" w14:textId="47FACF6D" w:rsidR="005F125A" w:rsidRPr="005F125A" w:rsidRDefault="005F125A" w:rsidP="005F125A">
            <w:pPr>
              <w:spacing w:after="0" w:line="240" w:lineRule="auto"/>
              <w:jc w:val="right"/>
              <w:rPr>
                <w:rFonts w:ascii="Arial" w:eastAsia="Times New Roman" w:hAnsi="Arial" w:cs="Arial"/>
                <w:color w:val="000000" w:themeColor="text1"/>
                <w:sz w:val="18"/>
                <w:szCs w:val="18"/>
                <w:lang w:eastAsia="sl-SI"/>
              </w:rPr>
            </w:pPr>
            <w:r w:rsidRPr="005F125A">
              <w:rPr>
                <w:rFonts w:ascii="Arial" w:eastAsia="Times New Roman" w:hAnsi="Arial" w:cs="Arial"/>
                <w:color w:val="000000" w:themeColor="text1"/>
                <w:sz w:val="18"/>
                <w:szCs w:val="18"/>
                <w:lang w:eastAsia="sl-SI"/>
              </w:rPr>
              <w:t>0,00</w:t>
            </w:r>
            <w:r w:rsidR="001D159E" w:rsidRPr="001D159E">
              <w:rPr>
                <w:rFonts w:ascii="Arial" w:eastAsia="Times New Roman" w:hAnsi="Arial" w:cs="Arial"/>
                <w:color w:val="000000" w:themeColor="text1"/>
                <w:sz w:val="18"/>
                <w:szCs w:val="18"/>
                <w:lang w:eastAsia="sl-SI"/>
              </w:rPr>
              <w:t xml:space="preserve"> </w:t>
            </w:r>
            <w:r w:rsidRPr="005F125A">
              <w:rPr>
                <w:rFonts w:ascii="Arial" w:eastAsia="Times New Roman" w:hAnsi="Arial" w:cs="Arial"/>
                <w:color w:val="000000" w:themeColor="text1"/>
                <w:sz w:val="18"/>
                <w:szCs w:val="18"/>
                <w:lang w:eastAsia="sl-SI"/>
              </w:rPr>
              <w:t>%</w:t>
            </w:r>
          </w:p>
        </w:tc>
      </w:tr>
      <w:tr w:rsidR="005F125A" w:rsidRPr="005F125A" w14:paraId="45813A70" w14:textId="77777777" w:rsidTr="001D159E">
        <w:trPr>
          <w:trHeight w:val="300"/>
        </w:trPr>
        <w:tc>
          <w:tcPr>
            <w:tcW w:w="264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E974FB3" w14:textId="77777777" w:rsidR="005F125A" w:rsidRPr="005F125A" w:rsidRDefault="005F125A" w:rsidP="001D159E">
            <w:pPr>
              <w:spacing w:after="0" w:line="240" w:lineRule="auto"/>
              <w:rPr>
                <w:rFonts w:ascii="Arial" w:eastAsia="Times New Roman" w:hAnsi="Arial" w:cs="Arial"/>
                <w:b/>
                <w:bCs/>
                <w:color w:val="000000" w:themeColor="text1"/>
                <w:sz w:val="18"/>
                <w:szCs w:val="18"/>
                <w:lang w:eastAsia="sl-SI"/>
              </w:rPr>
            </w:pPr>
            <w:r w:rsidRPr="005F125A">
              <w:rPr>
                <w:rFonts w:ascii="Arial" w:eastAsia="Times New Roman" w:hAnsi="Arial" w:cs="Arial"/>
                <w:b/>
                <w:bCs/>
                <w:color w:val="000000" w:themeColor="text1"/>
                <w:sz w:val="18"/>
                <w:szCs w:val="18"/>
                <w:lang w:eastAsia="sl-SI"/>
              </w:rPr>
              <w:t>Skupaj</w:t>
            </w:r>
          </w:p>
        </w:tc>
        <w:tc>
          <w:tcPr>
            <w:tcW w:w="1040" w:type="dxa"/>
            <w:tcBorders>
              <w:top w:val="nil"/>
              <w:left w:val="nil"/>
              <w:bottom w:val="single" w:sz="4" w:space="0" w:color="auto"/>
              <w:right w:val="single" w:sz="4" w:space="0" w:color="auto"/>
            </w:tcBorders>
            <w:shd w:val="clear" w:color="auto" w:fill="F2F2F2" w:themeFill="background1" w:themeFillShade="F2"/>
            <w:noWrap/>
            <w:vAlign w:val="center"/>
            <w:hideMark/>
          </w:tcPr>
          <w:p w14:paraId="1DD96304" w14:textId="77777777" w:rsidR="005F125A" w:rsidRPr="005F125A" w:rsidRDefault="005F125A" w:rsidP="005F125A">
            <w:pPr>
              <w:spacing w:after="0" w:line="240" w:lineRule="auto"/>
              <w:jc w:val="right"/>
              <w:rPr>
                <w:rFonts w:ascii="Arial" w:eastAsia="Times New Roman" w:hAnsi="Arial" w:cs="Arial"/>
                <w:b/>
                <w:bCs/>
                <w:color w:val="000000" w:themeColor="text1"/>
                <w:sz w:val="18"/>
                <w:szCs w:val="18"/>
                <w:lang w:eastAsia="sl-SI"/>
              </w:rPr>
            </w:pPr>
            <w:r w:rsidRPr="005F125A">
              <w:rPr>
                <w:rFonts w:ascii="Arial" w:eastAsia="Times New Roman" w:hAnsi="Arial" w:cs="Arial"/>
                <w:b/>
                <w:bCs/>
                <w:color w:val="000000" w:themeColor="text1"/>
                <w:sz w:val="18"/>
                <w:szCs w:val="18"/>
                <w:lang w:eastAsia="sl-SI"/>
              </w:rPr>
              <w:t>444</w:t>
            </w:r>
          </w:p>
        </w:tc>
        <w:tc>
          <w:tcPr>
            <w:tcW w:w="1180" w:type="dxa"/>
            <w:tcBorders>
              <w:top w:val="nil"/>
              <w:left w:val="nil"/>
              <w:bottom w:val="single" w:sz="4" w:space="0" w:color="auto"/>
              <w:right w:val="single" w:sz="4" w:space="0" w:color="auto"/>
            </w:tcBorders>
            <w:shd w:val="clear" w:color="auto" w:fill="F2F2F2" w:themeFill="background1" w:themeFillShade="F2"/>
            <w:noWrap/>
            <w:vAlign w:val="center"/>
            <w:hideMark/>
          </w:tcPr>
          <w:p w14:paraId="37B853E4" w14:textId="77777777" w:rsidR="005F125A" w:rsidRPr="005F125A" w:rsidRDefault="005F125A" w:rsidP="005F125A">
            <w:pPr>
              <w:spacing w:after="0" w:line="240" w:lineRule="auto"/>
              <w:jc w:val="right"/>
              <w:rPr>
                <w:rFonts w:ascii="Arial" w:eastAsia="Times New Roman" w:hAnsi="Arial" w:cs="Arial"/>
                <w:b/>
                <w:bCs/>
                <w:color w:val="000000" w:themeColor="text1"/>
                <w:sz w:val="18"/>
                <w:szCs w:val="18"/>
                <w:lang w:eastAsia="sl-SI"/>
              </w:rPr>
            </w:pPr>
            <w:r w:rsidRPr="005F125A">
              <w:rPr>
                <w:rFonts w:ascii="Arial" w:eastAsia="Times New Roman" w:hAnsi="Arial" w:cs="Arial"/>
                <w:b/>
                <w:bCs/>
                <w:color w:val="000000" w:themeColor="text1"/>
                <w:sz w:val="18"/>
                <w:szCs w:val="18"/>
                <w:lang w:eastAsia="sl-SI"/>
              </w:rPr>
              <w:t>198.125.522</w:t>
            </w:r>
          </w:p>
        </w:tc>
        <w:tc>
          <w:tcPr>
            <w:tcW w:w="1740" w:type="dxa"/>
            <w:tcBorders>
              <w:top w:val="nil"/>
              <w:left w:val="nil"/>
              <w:bottom w:val="single" w:sz="4" w:space="0" w:color="auto"/>
              <w:right w:val="single" w:sz="4" w:space="0" w:color="auto"/>
            </w:tcBorders>
            <w:shd w:val="clear" w:color="auto" w:fill="F2F2F2" w:themeFill="background1" w:themeFillShade="F2"/>
            <w:noWrap/>
            <w:vAlign w:val="center"/>
            <w:hideMark/>
          </w:tcPr>
          <w:p w14:paraId="35771796" w14:textId="44EDA32B" w:rsidR="005F125A" w:rsidRPr="005F125A" w:rsidRDefault="005F125A" w:rsidP="005F125A">
            <w:pPr>
              <w:spacing w:after="0" w:line="240" w:lineRule="auto"/>
              <w:jc w:val="right"/>
              <w:rPr>
                <w:rFonts w:ascii="Arial" w:eastAsia="Times New Roman" w:hAnsi="Arial" w:cs="Arial"/>
                <w:b/>
                <w:bCs/>
                <w:color w:val="000000" w:themeColor="text1"/>
                <w:sz w:val="18"/>
                <w:szCs w:val="18"/>
                <w:lang w:eastAsia="sl-SI"/>
              </w:rPr>
            </w:pPr>
            <w:r w:rsidRPr="005F125A">
              <w:rPr>
                <w:rFonts w:ascii="Arial" w:eastAsia="Times New Roman" w:hAnsi="Arial" w:cs="Arial"/>
                <w:b/>
                <w:bCs/>
                <w:color w:val="000000" w:themeColor="text1"/>
                <w:sz w:val="18"/>
                <w:szCs w:val="18"/>
                <w:lang w:eastAsia="sl-SI"/>
              </w:rPr>
              <w:t>100,00</w:t>
            </w:r>
            <w:r w:rsidR="001D159E" w:rsidRPr="001D159E">
              <w:rPr>
                <w:rFonts w:ascii="Arial" w:eastAsia="Times New Roman" w:hAnsi="Arial" w:cs="Arial"/>
                <w:b/>
                <w:bCs/>
                <w:color w:val="000000" w:themeColor="text1"/>
                <w:sz w:val="18"/>
                <w:szCs w:val="18"/>
                <w:lang w:eastAsia="sl-SI"/>
              </w:rPr>
              <w:t xml:space="preserve"> </w:t>
            </w:r>
            <w:r w:rsidRPr="005F125A">
              <w:rPr>
                <w:rFonts w:ascii="Arial" w:eastAsia="Times New Roman" w:hAnsi="Arial" w:cs="Arial"/>
                <w:b/>
                <w:bCs/>
                <w:color w:val="000000" w:themeColor="text1"/>
                <w:sz w:val="18"/>
                <w:szCs w:val="18"/>
                <w:lang w:eastAsia="sl-SI"/>
              </w:rPr>
              <w:t>%</w:t>
            </w:r>
          </w:p>
        </w:tc>
        <w:tc>
          <w:tcPr>
            <w:tcW w:w="1720" w:type="dxa"/>
            <w:tcBorders>
              <w:top w:val="nil"/>
              <w:left w:val="nil"/>
              <w:bottom w:val="single" w:sz="4" w:space="0" w:color="auto"/>
              <w:right w:val="single" w:sz="4" w:space="0" w:color="auto"/>
            </w:tcBorders>
            <w:shd w:val="clear" w:color="auto" w:fill="F2F2F2" w:themeFill="background1" w:themeFillShade="F2"/>
            <w:noWrap/>
            <w:vAlign w:val="center"/>
            <w:hideMark/>
          </w:tcPr>
          <w:p w14:paraId="34D0B374" w14:textId="7BF46AD3" w:rsidR="005F125A" w:rsidRPr="005F125A" w:rsidRDefault="005F125A" w:rsidP="005F125A">
            <w:pPr>
              <w:spacing w:after="0" w:line="240" w:lineRule="auto"/>
              <w:jc w:val="right"/>
              <w:rPr>
                <w:rFonts w:ascii="Arial" w:eastAsia="Times New Roman" w:hAnsi="Arial" w:cs="Arial"/>
                <w:b/>
                <w:bCs/>
                <w:color w:val="000000" w:themeColor="text1"/>
                <w:sz w:val="18"/>
                <w:szCs w:val="18"/>
                <w:lang w:eastAsia="sl-SI"/>
              </w:rPr>
            </w:pPr>
            <w:r w:rsidRPr="005F125A">
              <w:rPr>
                <w:rFonts w:ascii="Arial" w:eastAsia="Times New Roman" w:hAnsi="Arial" w:cs="Arial"/>
                <w:b/>
                <w:bCs/>
                <w:color w:val="000000" w:themeColor="text1"/>
                <w:sz w:val="18"/>
                <w:szCs w:val="18"/>
                <w:lang w:eastAsia="sl-SI"/>
              </w:rPr>
              <w:t>100,00</w:t>
            </w:r>
            <w:r w:rsidR="001D159E" w:rsidRPr="001D159E">
              <w:rPr>
                <w:rFonts w:ascii="Arial" w:eastAsia="Times New Roman" w:hAnsi="Arial" w:cs="Arial"/>
                <w:b/>
                <w:bCs/>
                <w:color w:val="000000" w:themeColor="text1"/>
                <w:sz w:val="18"/>
                <w:szCs w:val="18"/>
                <w:lang w:eastAsia="sl-SI"/>
              </w:rPr>
              <w:t xml:space="preserve"> </w:t>
            </w:r>
            <w:r w:rsidRPr="005F125A">
              <w:rPr>
                <w:rFonts w:ascii="Arial" w:eastAsia="Times New Roman" w:hAnsi="Arial" w:cs="Arial"/>
                <w:b/>
                <w:bCs/>
                <w:color w:val="000000" w:themeColor="text1"/>
                <w:sz w:val="18"/>
                <w:szCs w:val="18"/>
                <w:lang w:eastAsia="sl-SI"/>
              </w:rPr>
              <w:t>%</w:t>
            </w:r>
          </w:p>
        </w:tc>
      </w:tr>
    </w:tbl>
    <w:p w14:paraId="62926C4E" w14:textId="77777777" w:rsidR="00203977" w:rsidRPr="001D159E" w:rsidRDefault="00203977" w:rsidP="00F4617A">
      <w:pPr>
        <w:spacing w:after="0" w:line="240" w:lineRule="auto"/>
        <w:ind w:left="1701" w:hanging="1701"/>
        <w:jc w:val="both"/>
        <w:rPr>
          <w:rFonts w:ascii="Arial" w:hAnsi="Arial" w:cs="Arial"/>
          <w:sz w:val="20"/>
          <w:szCs w:val="20"/>
          <w:lang w:eastAsia="sl-SI"/>
        </w:rPr>
      </w:pPr>
    </w:p>
    <w:p w14:paraId="7EACE49E" w14:textId="4F9A6395" w:rsidR="006A0A09" w:rsidRDefault="006A0A09" w:rsidP="004A65AD">
      <w:pPr>
        <w:spacing w:after="0" w:line="240" w:lineRule="auto"/>
        <w:jc w:val="center"/>
        <w:rPr>
          <w:rFonts w:ascii="Arial" w:hAnsi="Arial" w:cs="Arial"/>
          <w:sz w:val="18"/>
        </w:rPr>
      </w:pPr>
      <w:r w:rsidRPr="001D159E">
        <w:rPr>
          <w:rFonts w:ascii="Arial" w:hAnsi="Arial" w:cs="Arial"/>
          <w:sz w:val="18"/>
        </w:rPr>
        <w:t>Vir: Statistični podatki o javnih naročilih, oddanih v letu 20</w:t>
      </w:r>
      <w:r w:rsidR="00175821" w:rsidRPr="001D159E">
        <w:rPr>
          <w:rFonts w:ascii="Arial" w:hAnsi="Arial" w:cs="Arial"/>
          <w:sz w:val="18"/>
        </w:rPr>
        <w:t>2</w:t>
      </w:r>
      <w:r w:rsidR="005F125A" w:rsidRPr="001D159E">
        <w:rPr>
          <w:rFonts w:ascii="Arial" w:hAnsi="Arial" w:cs="Arial"/>
          <w:sz w:val="18"/>
        </w:rPr>
        <w:t>2</w:t>
      </w:r>
      <w:r w:rsidR="00862C47" w:rsidRPr="001D159E">
        <w:rPr>
          <w:rFonts w:ascii="Arial" w:hAnsi="Arial" w:cs="Arial"/>
          <w:sz w:val="18"/>
        </w:rPr>
        <w:t>.</w:t>
      </w:r>
    </w:p>
    <w:p w14:paraId="70EB299C" w14:textId="77777777" w:rsidR="000110D0" w:rsidRPr="001D159E" w:rsidRDefault="000110D0" w:rsidP="004A65AD">
      <w:pPr>
        <w:spacing w:after="0" w:line="240" w:lineRule="auto"/>
        <w:jc w:val="center"/>
        <w:rPr>
          <w:rFonts w:ascii="Arial" w:hAnsi="Arial" w:cs="Arial"/>
          <w:sz w:val="18"/>
        </w:rPr>
      </w:pPr>
    </w:p>
    <w:p w14:paraId="2ECC6632" w14:textId="0E7D0BFF" w:rsidR="00E71F9A" w:rsidRPr="001A376E" w:rsidRDefault="00E71F9A" w:rsidP="004A65AD">
      <w:pPr>
        <w:pStyle w:val="Naslov3"/>
        <w:rPr>
          <w:rFonts w:ascii="Arial" w:hAnsi="Arial" w:cs="Arial"/>
          <w:sz w:val="22"/>
          <w:szCs w:val="22"/>
        </w:rPr>
      </w:pPr>
      <w:bookmarkStart w:id="38" w:name="_Toc141864070"/>
      <w:r w:rsidRPr="001A376E">
        <w:rPr>
          <w:rFonts w:ascii="Arial" w:hAnsi="Arial" w:cs="Arial"/>
          <w:sz w:val="22"/>
          <w:szCs w:val="22"/>
        </w:rPr>
        <w:t>2.</w:t>
      </w:r>
      <w:r w:rsidR="00FA2740" w:rsidRPr="001A376E">
        <w:rPr>
          <w:rFonts w:ascii="Arial" w:hAnsi="Arial" w:cs="Arial"/>
          <w:sz w:val="22"/>
          <w:szCs w:val="22"/>
        </w:rPr>
        <w:t>6</w:t>
      </w:r>
      <w:r w:rsidRPr="001A376E">
        <w:rPr>
          <w:rFonts w:ascii="Arial" w:hAnsi="Arial" w:cs="Arial"/>
          <w:sz w:val="22"/>
          <w:szCs w:val="22"/>
        </w:rPr>
        <w:t>.3 Lokalno naročanje</w:t>
      </w:r>
      <w:bookmarkEnd w:id="38"/>
      <w:r w:rsidRPr="001A376E">
        <w:rPr>
          <w:rFonts w:ascii="Arial" w:hAnsi="Arial" w:cs="Arial"/>
          <w:sz w:val="22"/>
          <w:szCs w:val="22"/>
        </w:rPr>
        <w:t xml:space="preserve"> </w:t>
      </w:r>
    </w:p>
    <w:p w14:paraId="7279615B" w14:textId="77777777" w:rsidR="00B11580" w:rsidRPr="001A376E" w:rsidRDefault="00B11580" w:rsidP="00854405">
      <w:pPr>
        <w:pStyle w:val="ZADEVA"/>
        <w:jc w:val="both"/>
        <w:rPr>
          <w:rFonts w:cs="Arial"/>
          <w:b w:val="0"/>
          <w:szCs w:val="20"/>
          <w:lang w:val="sl-SI"/>
        </w:rPr>
      </w:pPr>
    </w:p>
    <w:p w14:paraId="3598CE0E" w14:textId="6AC4683C" w:rsidR="00F83DD4" w:rsidRPr="00BF7302" w:rsidRDefault="00CD4647" w:rsidP="00F83DD4">
      <w:pPr>
        <w:spacing w:line="360" w:lineRule="auto"/>
        <w:jc w:val="both"/>
        <w:rPr>
          <w:rFonts w:ascii="Arial" w:hAnsi="Arial" w:cs="Arial"/>
          <w:sz w:val="20"/>
          <w:szCs w:val="20"/>
          <w:highlight w:val="yellow"/>
          <w:lang w:eastAsia="sl-SI"/>
        </w:rPr>
      </w:pPr>
      <w:r w:rsidRPr="001A376E">
        <w:rPr>
          <w:rFonts w:ascii="Arial" w:hAnsi="Arial" w:cs="Arial"/>
          <w:sz w:val="20"/>
          <w:szCs w:val="20"/>
        </w:rPr>
        <w:t>Leta</w:t>
      </w:r>
      <w:r w:rsidR="00223908" w:rsidRPr="001A376E">
        <w:rPr>
          <w:rFonts w:ascii="Arial" w:hAnsi="Arial" w:cs="Arial"/>
          <w:sz w:val="20"/>
          <w:szCs w:val="20"/>
        </w:rPr>
        <w:t xml:space="preserve"> 20</w:t>
      </w:r>
      <w:r w:rsidR="005E1B7C" w:rsidRPr="001A376E">
        <w:rPr>
          <w:rFonts w:ascii="Arial" w:hAnsi="Arial" w:cs="Arial"/>
          <w:sz w:val="20"/>
          <w:szCs w:val="20"/>
        </w:rPr>
        <w:t>2</w:t>
      </w:r>
      <w:r w:rsidR="001A376E" w:rsidRPr="001A376E">
        <w:rPr>
          <w:rFonts w:ascii="Arial" w:hAnsi="Arial" w:cs="Arial"/>
          <w:sz w:val="20"/>
          <w:szCs w:val="20"/>
        </w:rPr>
        <w:t>2</w:t>
      </w:r>
      <w:r w:rsidR="00F83DD4" w:rsidRPr="001A376E">
        <w:rPr>
          <w:rFonts w:ascii="Arial" w:hAnsi="Arial" w:cs="Arial"/>
          <w:sz w:val="20"/>
          <w:szCs w:val="20"/>
        </w:rPr>
        <w:t xml:space="preserve"> so naročniki slovenskim ponudnikom oddali </w:t>
      </w:r>
      <w:r w:rsidR="005A22F3" w:rsidRPr="001A376E">
        <w:rPr>
          <w:rFonts w:ascii="Arial" w:hAnsi="Arial" w:cs="Arial"/>
          <w:sz w:val="20"/>
          <w:szCs w:val="20"/>
        </w:rPr>
        <w:t>1</w:t>
      </w:r>
      <w:r w:rsidR="001A376E" w:rsidRPr="001A376E">
        <w:rPr>
          <w:rFonts w:ascii="Arial" w:hAnsi="Arial" w:cs="Arial"/>
          <w:sz w:val="20"/>
          <w:szCs w:val="20"/>
        </w:rPr>
        <w:t>6</w:t>
      </w:r>
      <w:r w:rsidR="009E461C" w:rsidRPr="001A376E">
        <w:rPr>
          <w:rFonts w:ascii="Arial" w:hAnsi="Arial" w:cs="Arial"/>
          <w:sz w:val="20"/>
          <w:szCs w:val="20"/>
        </w:rPr>
        <w:t>.</w:t>
      </w:r>
      <w:r w:rsidR="001A376E" w:rsidRPr="001A376E">
        <w:rPr>
          <w:rFonts w:ascii="Arial" w:hAnsi="Arial" w:cs="Arial"/>
          <w:sz w:val="20"/>
          <w:szCs w:val="20"/>
        </w:rPr>
        <w:t>780</w:t>
      </w:r>
      <w:r w:rsidR="00F83DD4" w:rsidRPr="001A376E">
        <w:rPr>
          <w:rFonts w:ascii="Arial" w:hAnsi="Arial" w:cs="Arial"/>
          <w:sz w:val="20"/>
          <w:szCs w:val="20"/>
        </w:rPr>
        <w:t xml:space="preserve"> javnih naročil v vrednosti </w:t>
      </w:r>
      <w:r w:rsidR="001A376E" w:rsidRPr="001A376E">
        <w:rPr>
          <w:rFonts w:ascii="Arial" w:hAnsi="Arial" w:cs="Arial"/>
          <w:sz w:val="20"/>
          <w:szCs w:val="20"/>
        </w:rPr>
        <w:t xml:space="preserve">5.218.980.380 </w:t>
      </w:r>
      <w:r w:rsidR="00F83DD4" w:rsidRPr="001A376E">
        <w:rPr>
          <w:rFonts w:ascii="Arial" w:hAnsi="Arial" w:cs="Arial"/>
          <w:sz w:val="20"/>
          <w:szCs w:val="20"/>
        </w:rPr>
        <w:t xml:space="preserve">evrov. Največ javnih naročil je bilo dodeljenih ponudnikom iz osrednjeslovenske regije, in sicer </w:t>
      </w:r>
      <w:r w:rsidR="005E1B7C" w:rsidRPr="001A376E">
        <w:rPr>
          <w:rFonts w:ascii="Arial" w:hAnsi="Arial" w:cs="Arial"/>
          <w:sz w:val="20"/>
          <w:szCs w:val="20"/>
        </w:rPr>
        <w:t>9</w:t>
      </w:r>
      <w:r w:rsidR="001A376E" w:rsidRPr="001A376E">
        <w:rPr>
          <w:rFonts w:ascii="Arial" w:hAnsi="Arial" w:cs="Arial"/>
          <w:sz w:val="20"/>
          <w:szCs w:val="20"/>
        </w:rPr>
        <w:t>453</w:t>
      </w:r>
      <w:r w:rsidR="00F83DD4" w:rsidRPr="001A376E">
        <w:rPr>
          <w:rFonts w:ascii="Arial" w:hAnsi="Arial" w:cs="Arial"/>
          <w:sz w:val="20"/>
          <w:szCs w:val="20"/>
        </w:rPr>
        <w:t xml:space="preserve"> </w:t>
      </w:r>
      <w:r w:rsidRPr="001A376E">
        <w:rPr>
          <w:rFonts w:ascii="Arial" w:hAnsi="Arial" w:cs="Arial"/>
          <w:sz w:val="20"/>
          <w:szCs w:val="20"/>
        </w:rPr>
        <w:t>(</w:t>
      </w:r>
      <w:r w:rsidR="00F83DD4" w:rsidRPr="001A376E">
        <w:rPr>
          <w:rFonts w:ascii="Arial" w:hAnsi="Arial" w:cs="Arial"/>
          <w:sz w:val="20"/>
          <w:szCs w:val="20"/>
        </w:rPr>
        <w:t xml:space="preserve">v vrednosti </w:t>
      </w:r>
      <w:r w:rsidR="001A376E" w:rsidRPr="001A376E">
        <w:rPr>
          <w:rFonts w:ascii="Arial" w:hAnsi="Arial" w:cs="Arial"/>
          <w:sz w:val="20"/>
          <w:szCs w:val="20"/>
        </w:rPr>
        <w:t xml:space="preserve">2.373.155.424 </w:t>
      </w:r>
      <w:r w:rsidR="00F83DD4" w:rsidRPr="001A376E">
        <w:rPr>
          <w:rFonts w:ascii="Arial" w:hAnsi="Arial" w:cs="Arial"/>
          <w:sz w:val="20"/>
          <w:szCs w:val="20"/>
        </w:rPr>
        <w:t>evrov</w:t>
      </w:r>
      <w:r w:rsidRPr="001A376E">
        <w:rPr>
          <w:rFonts w:ascii="Arial" w:hAnsi="Arial" w:cs="Arial"/>
          <w:sz w:val="20"/>
          <w:szCs w:val="20"/>
        </w:rPr>
        <w:t>)</w:t>
      </w:r>
      <w:r w:rsidR="00F83DD4" w:rsidRPr="001A376E">
        <w:rPr>
          <w:rFonts w:ascii="Arial" w:hAnsi="Arial" w:cs="Arial"/>
          <w:sz w:val="20"/>
          <w:szCs w:val="20"/>
        </w:rPr>
        <w:t xml:space="preserve">. </w:t>
      </w:r>
      <w:r w:rsidR="00321B1F" w:rsidRPr="001A376E">
        <w:rPr>
          <w:rFonts w:ascii="Arial" w:hAnsi="Arial" w:cs="Arial"/>
          <w:sz w:val="20"/>
          <w:szCs w:val="20"/>
        </w:rPr>
        <w:t>P</w:t>
      </w:r>
      <w:r w:rsidR="00F83DD4" w:rsidRPr="001A376E">
        <w:rPr>
          <w:rFonts w:ascii="Arial" w:hAnsi="Arial" w:cs="Arial"/>
          <w:sz w:val="20"/>
          <w:szCs w:val="20"/>
        </w:rPr>
        <w:t>reglednica </w:t>
      </w:r>
      <w:r w:rsidR="00321B1F" w:rsidRPr="001A376E">
        <w:rPr>
          <w:rFonts w:ascii="Arial" w:hAnsi="Arial" w:cs="Arial"/>
          <w:sz w:val="20"/>
          <w:szCs w:val="20"/>
        </w:rPr>
        <w:t>3</w:t>
      </w:r>
      <w:r w:rsidR="00274CE8" w:rsidRPr="001A376E">
        <w:rPr>
          <w:rFonts w:ascii="Arial" w:hAnsi="Arial" w:cs="Arial"/>
          <w:sz w:val="20"/>
          <w:szCs w:val="20"/>
        </w:rPr>
        <w:t>8</w:t>
      </w:r>
      <w:r w:rsidR="00321B1F" w:rsidRPr="001A376E">
        <w:rPr>
          <w:rFonts w:ascii="Arial" w:hAnsi="Arial" w:cs="Arial"/>
          <w:sz w:val="20"/>
          <w:szCs w:val="20"/>
        </w:rPr>
        <w:t xml:space="preserve"> </w:t>
      </w:r>
      <w:r w:rsidR="00F83DD4" w:rsidRPr="001A376E">
        <w:rPr>
          <w:rFonts w:ascii="Arial" w:hAnsi="Arial" w:cs="Arial"/>
          <w:sz w:val="20"/>
          <w:szCs w:val="20"/>
        </w:rPr>
        <w:t>prikazuje delež javnih naročil, oddanih slovenskim ponudnikom, glede na regijo</w:t>
      </w:r>
      <w:r w:rsidR="00F83DD4" w:rsidRPr="001A376E">
        <w:rPr>
          <w:rFonts w:ascii="Arial" w:hAnsi="Arial" w:cs="Arial"/>
          <w:sz w:val="20"/>
          <w:szCs w:val="20"/>
          <w:lang w:eastAsia="sl-SI"/>
        </w:rPr>
        <w:t>.</w:t>
      </w:r>
      <w:r w:rsidR="005A22F3" w:rsidRPr="001A376E">
        <w:rPr>
          <w:rFonts w:ascii="Arial" w:hAnsi="Arial" w:cs="Arial"/>
          <w:sz w:val="20"/>
          <w:szCs w:val="20"/>
        </w:rPr>
        <w:t xml:space="preserve"> </w:t>
      </w:r>
    </w:p>
    <w:p w14:paraId="4225BB70" w14:textId="03DA52A1" w:rsidR="00F83DD4" w:rsidRPr="001A376E" w:rsidRDefault="00F83DD4" w:rsidP="008A61FD">
      <w:pPr>
        <w:spacing w:before="120" w:after="120" w:line="240" w:lineRule="auto"/>
        <w:jc w:val="both"/>
        <w:rPr>
          <w:rFonts w:ascii="Arial" w:hAnsi="Arial" w:cs="Arial"/>
          <w:sz w:val="20"/>
        </w:rPr>
      </w:pPr>
      <w:r w:rsidRPr="001A376E">
        <w:rPr>
          <w:rFonts w:ascii="Arial" w:hAnsi="Arial" w:cs="Arial"/>
          <w:sz w:val="18"/>
          <w:szCs w:val="18"/>
        </w:rPr>
        <w:t>Preglednica</w:t>
      </w:r>
      <w:r w:rsidRPr="001A376E">
        <w:rPr>
          <w:rFonts w:ascii="Arial" w:hAnsi="Arial" w:cs="Arial"/>
          <w:sz w:val="20"/>
        </w:rPr>
        <w:t> </w:t>
      </w:r>
      <w:r w:rsidR="00512F52" w:rsidRPr="001A376E">
        <w:rPr>
          <w:rFonts w:ascii="Arial" w:hAnsi="Arial" w:cs="Arial"/>
          <w:sz w:val="20"/>
        </w:rPr>
        <w:t>3</w:t>
      </w:r>
      <w:r w:rsidR="00EA747F">
        <w:rPr>
          <w:rFonts w:ascii="Arial" w:hAnsi="Arial" w:cs="Arial"/>
          <w:sz w:val="20"/>
        </w:rPr>
        <w:t>7</w:t>
      </w:r>
      <w:r w:rsidRPr="001A376E">
        <w:rPr>
          <w:rFonts w:ascii="Arial" w:hAnsi="Arial" w:cs="Arial"/>
          <w:sz w:val="20"/>
        </w:rPr>
        <w:t>: Javna naročila, oddana slovenskim ponudnikom</w:t>
      </w:r>
      <w:r w:rsidR="00DD2501" w:rsidRPr="001A376E">
        <w:rPr>
          <w:rFonts w:ascii="Arial" w:hAnsi="Arial" w:cs="Arial"/>
          <w:sz w:val="20"/>
        </w:rPr>
        <w:t>, glede na regijo ponudnika</w:t>
      </w:r>
    </w:p>
    <w:tbl>
      <w:tblPr>
        <w:tblW w:w="8480" w:type="dxa"/>
        <w:tblCellMar>
          <w:left w:w="70" w:type="dxa"/>
          <w:right w:w="70" w:type="dxa"/>
        </w:tblCellMar>
        <w:tblLook w:val="04A0" w:firstRow="1" w:lastRow="0" w:firstColumn="1" w:lastColumn="0" w:noHBand="0" w:noVBand="1"/>
      </w:tblPr>
      <w:tblGrid>
        <w:gridCol w:w="2640"/>
        <w:gridCol w:w="1040"/>
        <w:gridCol w:w="1340"/>
        <w:gridCol w:w="1740"/>
        <w:gridCol w:w="1720"/>
      </w:tblGrid>
      <w:tr w:rsidR="001A376E" w:rsidRPr="001A376E" w14:paraId="0900B483" w14:textId="77777777" w:rsidTr="001A376E">
        <w:trPr>
          <w:trHeight w:val="480"/>
        </w:trPr>
        <w:tc>
          <w:tcPr>
            <w:tcW w:w="26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01CB145" w14:textId="77777777" w:rsidR="001A376E" w:rsidRPr="001A376E" w:rsidRDefault="001A376E" w:rsidP="001A376E">
            <w:pPr>
              <w:spacing w:after="0" w:line="240" w:lineRule="auto"/>
              <w:jc w:val="center"/>
              <w:rPr>
                <w:rFonts w:ascii="Arial" w:eastAsia="Times New Roman" w:hAnsi="Arial" w:cs="Arial"/>
                <w:color w:val="000000"/>
                <w:sz w:val="18"/>
                <w:szCs w:val="18"/>
                <w:lang w:eastAsia="sl-SI"/>
              </w:rPr>
            </w:pPr>
            <w:r w:rsidRPr="001A376E">
              <w:rPr>
                <w:rFonts w:ascii="Arial" w:eastAsia="Times New Roman" w:hAnsi="Arial" w:cs="Arial"/>
                <w:color w:val="000000"/>
                <w:sz w:val="18"/>
                <w:szCs w:val="18"/>
                <w:lang w:eastAsia="sl-SI"/>
              </w:rPr>
              <w:t>Regija ponudnika</w:t>
            </w:r>
          </w:p>
        </w:tc>
        <w:tc>
          <w:tcPr>
            <w:tcW w:w="1040" w:type="dxa"/>
            <w:tcBorders>
              <w:top w:val="single" w:sz="4" w:space="0" w:color="auto"/>
              <w:left w:val="nil"/>
              <w:bottom w:val="single" w:sz="4" w:space="0" w:color="auto"/>
              <w:right w:val="single" w:sz="4" w:space="0" w:color="auto"/>
            </w:tcBorders>
            <w:shd w:val="clear" w:color="000000" w:fill="F2F2F2"/>
            <w:vAlign w:val="center"/>
            <w:hideMark/>
          </w:tcPr>
          <w:p w14:paraId="67C943E9" w14:textId="77777777" w:rsidR="001A376E" w:rsidRPr="001A376E" w:rsidRDefault="001A376E" w:rsidP="001A376E">
            <w:pPr>
              <w:spacing w:after="0" w:line="240" w:lineRule="auto"/>
              <w:jc w:val="center"/>
              <w:rPr>
                <w:rFonts w:ascii="Arial" w:eastAsia="Times New Roman" w:hAnsi="Arial" w:cs="Arial"/>
                <w:color w:val="000000"/>
                <w:sz w:val="18"/>
                <w:szCs w:val="18"/>
                <w:lang w:eastAsia="sl-SI"/>
              </w:rPr>
            </w:pPr>
            <w:r w:rsidRPr="001A376E">
              <w:rPr>
                <w:rFonts w:ascii="Arial" w:eastAsia="Times New Roman" w:hAnsi="Arial" w:cs="Arial"/>
                <w:color w:val="000000"/>
                <w:sz w:val="18"/>
                <w:szCs w:val="18"/>
                <w:lang w:eastAsia="sl-SI"/>
              </w:rPr>
              <w:t>Št. naročil</w:t>
            </w:r>
          </w:p>
        </w:tc>
        <w:tc>
          <w:tcPr>
            <w:tcW w:w="1340" w:type="dxa"/>
            <w:tcBorders>
              <w:top w:val="single" w:sz="4" w:space="0" w:color="auto"/>
              <w:left w:val="nil"/>
              <w:bottom w:val="single" w:sz="4" w:space="0" w:color="auto"/>
              <w:right w:val="single" w:sz="4" w:space="0" w:color="auto"/>
            </w:tcBorders>
            <w:shd w:val="clear" w:color="000000" w:fill="F2F2F2"/>
            <w:vAlign w:val="center"/>
            <w:hideMark/>
          </w:tcPr>
          <w:p w14:paraId="2F3F230E" w14:textId="77777777" w:rsidR="001A376E" w:rsidRPr="001A376E" w:rsidRDefault="001A376E" w:rsidP="001A376E">
            <w:pPr>
              <w:spacing w:after="0" w:line="240" w:lineRule="auto"/>
              <w:jc w:val="center"/>
              <w:rPr>
                <w:rFonts w:ascii="Arial" w:eastAsia="Times New Roman" w:hAnsi="Arial" w:cs="Arial"/>
                <w:color w:val="000000"/>
                <w:sz w:val="18"/>
                <w:szCs w:val="18"/>
                <w:lang w:eastAsia="sl-SI"/>
              </w:rPr>
            </w:pPr>
            <w:r w:rsidRPr="001A376E">
              <w:rPr>
                <w:rFonts w:ascii="Arial" w:eastAsia="Times New Roman" w:hAnsi="Arial" w:cs="Arial"/>
                <w:color w:val="000000"/>
                <w:sz w:val="18"/>
                <w:szCs w:val="18"/>
                <w:lang w:eastAsia="sl-SI"/>
              </w:rPr>
              <w:t>Pogodbena vrednost</w:t>
            </w:r>
          </w:p>
        </w:tc>
        <w:tc>
          <w:tcPr>
            <w:tcW w:w="1740" w:type="dxa"/>
            <w:tcBorders>
              <w:top w:val="single" w:sz="4" w:space="0" w:color="auto"/>
              <w:left w:val="nil"/>
              <w:bottom w:val="single" w:sz="4" w:space="0" w:color="auto"/>
              <w:right w:val="single" w:sz="4" w:space="0" w:color="auto"/>
            </w:tcBorders>
            <w:shd w:val="clear" w:color="000000" w:fill="F2F2F2"/>
            <w:vAlign w:val="center"/>
            <w:hideMark/>
          </w:tcPr>
          <w:p w14:paraId="2430970C" w14:textId="77777777" w:rsidR="001A376E" w:rsidRPr="001A376E" w:rsidRDefault="001A376E" w:rsidP="001A376E">
            <w:pPr>
              <w:spacing w:after="0" w:line="240" w:lineRule="auto"/>
              <w:jc w:val="center"/>
              <w:rPr>
                <w:rFonts w:ascii="Arial" w:eastAsia="Times New Roman" w:hAnsi="Arial" w:cs="Arial"/>
                <w:color w:val="000000"/>
                <w:sz w:val="18"/>
                <w:szCs w:val="18"/>
                <w:lang w:eastAsia="sl-SI"/>
              </w:rPr>
            </w:pPr>
            <w:r w:rsidRPr="001A376E">
              <w:rPr>
                <w:rFonts w:ascii="Arial" w:eastAsia="Times New Roman" w:hAnsi="Arial" w:cs="Arial"/>
                <w:color w:val="000000"/>
                <w:sz w:val="18"/>
                <w:szCs w:val="18"/>
                <w:lang w:eastAsia="sl-SI"/>
              </w:rPr>
              <w:t>Delež v št. naročil</w:t>
            </w:r>
          </w:p>
        </w:tc>
        <w:tc>
          <w:tcPr>
            <w:tcW w:w="1720" w:type="dxa"/>
            <w:tcBorders>
              <w:top w:val="single" w:sz="4" w:space="0" w:color="auto"/>
              <w:left w:val="nil"/>
              <w:bottom w:val="single" w:sz="4" w:space="0" w:color="auto"/>
              <w:right w:val="single" w:sz="4" w:space="0" w:color="auto"/>
            </w:tcBorders>
            <w:shd w:val="clear" w:color="000000" w:fill="F2F2F2"/>
            <w:vAlign w:val="center"/>
            <w:hideMark/>
          </w:tcPr>
          <w:p w14:paraId="771F5B5B" w14:textId="77777777" w:rsidR="001A376E" w:rsidRPr="001A376E" w:rsidRDefault="001A376E" w:rsidP="001A376E">
            <w:pPr>
              <w:spacing w:after="0" w:line="240" w:lineRule="auto"/>
              <w:jc w:val="center"/>
              <w:rPr>
                <w:rFonts w:ascii="Arial" w:eastAsia="Times New Roman" w:hAnsi="Arial" w:cs="Arial"/>
                <w:color w:val="000000"/>
                <w:sz w:val="18"/>
                <w:szCs w:val="18"/>
                <w:lang w:eastAsia="sl-SI"/>
              </w:rPr>
            </w:pPr>
            <w:r w:rsidRPr="001A376E">
              <w:rPr>
                <w:rFonts w:ascii="Arial" w:eastAsia="Times New Roman" w:hAnsi="Arial" w:cs="Arial"/>
                <w:color w:val="000000"/>
                <w:sz w:val="18"/>
                <w:szCs w:val="18"/>
                <w:lang w:eastAsia="sl-SI"/>
              </w:rPr>
              <w:t>Delež v vrednosti</w:t>
            </w:r>
          </w:p>
        </w:tc>
      </w:tr>
      <w:tr w:rsidR="001A376E" w:rsidRPr="001A376E" w14:paraId="53646812" w14:textId="77777777" w:rsidTr="001A376E">
        <w:trPr>
          <w:trHeight w:val="30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7B19C234" w14:textId="77777777" w:rsidR="001A376E" w:rsidRPr="001A376E" w:rsidRDefault="001A376E" w:rsidP="001A376E">
            <w:pPr>
              <w:spacing w:after="0" w:line="240" w:lineRule="auto"/>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OSREDNJESLOVENSKA</w:t>
            </w:r>
          </w:p>
        </w:tc>
        <w:tc>
          <w:tcPr>
            <w:tcW w:w="1040" w:type="dxa"/>
            <w:tcBorders>
              <w:top w:val="nil"/>
              <w:left w:val="nil"/>
              <w:bottom w:val="single" w:sz="4" w:space="0" w:color="auto"/>
              <w:right w:val="single" w:sz="4" w:space="0" w:color="auto"/>
            </w:tcBorders>
            <w:shd w:val="clear" w:color="auto" w:fill="auto"/>
            <w:noWrap/>
            <w:vAlign w:val="center"/>
            <w:hideMark/>
          </w:tcPr>
          <w:p w14:paraId="263C4312" w14:textId="77777777" w:rsidR="001A376E" w:rsidRPr="001A376E" w:rsidRDefault="001A376E" w:rsidP="001A376E">
            <w:pPr>
              <w:spacing w:after="0" w:line="240" w:lineRule="auto"/>
              <w:jc w:val="right"/>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9.453</w:t>
            </w:r>
          </w:p>
        </w:tc>
        <w:tc>
          <w:tcPr>
            <w:tcW w:w="1340" w:type="dxa"/>
            <w:tcBorders>
              <w:top w:val="nil"/>
              <w:left w:val="nil"/>
              <w:bottom w:val="single" w:sz="4" w:space="0" w:color="auto"/>
              <w:right w:val="single" w:sz="4" w:space="0" w:color="auto"/>
            </w:tcBorders>
            <w:shd w:val="clear" w:color="auto" w:fill="auto"/>
            <w:noWrap/>
            <w:vAlign w:val="center"/>
            <w:hideMark/>
          </w:tcPr>
          <w:p w14:paraId="70E5DEE1" w14:textId="77777777" w:rsidR="001A376E" w:rsidRPr="001A376E" w:rsidRDefault="001A376E" w:rsidP="001A376E">
            <w:pPr>
              <w:spacing w:after="0" w:line="240" w:lineRule="auto"/>
              <w:jc w:val="right"/>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2.373.155.424</w:t>
            </w:r>
          </w:p>
        </w:tc>
        <w:tc>
          <w:tcPr>
            <w:tcW w:w="1740" w:type="dxa"/>
            <w:tcBorders>
              <w:top w:val="nil"/>
              <w:left w:val="nil"/>
              <w:bottom w:val="single" w:sz="4" w:space="0" w:color="auto"/>
              <w:right w:val="single" w:sz="4" w:space="0" w:color="auto"/>
            </w:tcBorders>
            <w:shd w:val="clear" w:color="auto" w:fill="auto"/>
            <w:noWrap/>
            <w:vAlign w:val="center"/>
            <w:hideMark/>
          </w:tcPr>
          <w:p w14:paraId="3DA459AC" w14:textId="14C01199" w:rsidR="001A376E" w:rsidRPr="001A376E" w:rsidRDefault="001A376E" w:rsidP="001A376E">
            <w:pPr>
              <w:spacing w:after="0" w:line="240" w:lineRule="auto"/>
              <w:jc w:val="right"/>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56,33 %</w:t>
            </w:r>
          </w:p>
        </w:tc>
        <w:tc>
          <w:tcPr>
            <w:tcW w:w="1720" w:type="dxa"/>
            <w:tcBorders>
              <w:top w:val="nil"/>
              <w:left w:val="nil"/>
              <w:bottom w:val="single" w:sz="4" w:space="0" w:color="auto"/>
              <w:right w:val="single" w:sz="4" w:space="0" w:color="auto"/>
            </w:tcBorders>
            <w:shd w:val="clear" w:color="auto" w:fill="auto"/>
            <w:noWrap/>
            <w:vAlign w:val="center"/>
            <w:hideMark/>
          </w:tcPr>
          <w:p w14:paraId="6510DFBE" w14:textId="7C56FDD0" w:rsidR="001A376E" w:rsidRPr="001A376E" w:rsidRDefault="001A376E" w:rsidP="001A376E">
            <w:pPr>
              <w:spacing w:after="0" w:line="240" w:lineRule="auto"/>
              <w:jc w:val="right"/>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45,47 %</w:t>
            </w:r>
          </w:p>
        </w:tc>
      </w:tr>
      <w:tr w:rsidR="001A376E" w:rsidRPr="001A376E" w14:paraId="512CCA40" w14:textId="77777777" w:rsidTr="001A376E">
        <w:trPr>
          <w:trHeight w:val="30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4DF95188" w14:textId="77777777" w:rsidR="001A376E" w:rsidRPr="001A376E" w:rsidRDefault="001A376E" w:rsidP="001A376E">
            <w:pPr>
              <w:spacing w:after="0" w:line="240" w:lineRule="auto"/>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SAVINJSKA</w:t>
            </w:r>
          </w:p>
        </w:tc>
        <w:tc>
          <w:tcPr>
            <w:tcW w:w="1040" w:type="dxa"/>
            <w:tcBorders>
              <w:top w:val="nil"/>
              <w:left w:val="nil"/>
              <w:bottom w:val="single" w:sz="4" w:space="0" w:color="auto"/>
              <w:right w:val="single" w:sz="4" w:space="0" w:color="auto"/>
            </w:tcBorders>
            <w:shd w:val="clear" w:color="auto" w:fill="auto"/>
            <w:noWrap/>
            <w:vAlign w:val="center"/>
            <w:hideMark/>
          </w:tcPr>
          <w:p w14:paraId="70B9A3D2" w14:textId="77777777" w:rsidR="001A376E" w:rsidRPr="001A376E" w:rsidRDefault="001A376E" w:rsidP="001A376E">
            <w:pPr>
              <w:spacing w:after="0" w:line="240" w:lineRule="auto"/>
              <w:jc w:val="right"/>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1.456</w:t>
            </w:r>
          </w:p>
        </w:tc>
        <w:tc>
          <w:tcPr>
            <w:tcW w:w="1340" w:type="dxa"/>
            <w:tcBorders>
              <w:top w:val="nil"/>
              <w:left w:val="nil"/>
              <w:bottom w:val="single" w:sz="4" w:space="0" w:color="auto"/>
              <w:right w:val="single" w:sz="4" w:space="0" w:color="auto"/>
            </w:tcBorders>
            <w:shd w:val="clear" w:color="auto" w:fill="auto"/>
            <w:noWrap/>
            <w:vAlign w:val="center"/>
            <w:hideMark/>
          </w:tcPr>
          <w:p w14:paraId="1CCEB231" w14:textId="77777777" w:rsidR="001A376E" w:rsidRPr="001A376E" w:rsidRDefault="001A376E" w:rsidP="001A376E">
            <w:pPr>
              <w:spacing w:after="0" w:line="240" w:lineRule="auto"/>
              <w:jc w:val="right"/>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460.166.926</w:t>
            </w:r>
          </w:p>
        </w:tc>
        <w:tc>
          <w:tcPr>
            <w:tcW w:w="1740" w:type="dxa"/>
            <w:tcBorders>
              <w:top w:val="nil"/>
              <w:left w:val="nil"/>
              <w:bottom w:val="single" w:sz="4" w:space="0" w:color="auto"/>
              <w:right w:val="single" w:sz="4" w:space="0" w:color="auto"/>
            </w:tcBorders>
            <w:shd w:val="clear" w:color="auto" w:fill="auto"/>
            <w:noWrap/>
            <w:vAlign w:val="center"/>
            <w:hideMark/>
          </w:tcPr>
          <w:p w14:paraId="4096C1DD" w14:textId="276FD182" w:rsidR="001A376E" w:rsidRPr="001A376E" w:rsidRDefault="001A376E" w:rsidP="001A376E">
            <w:pPr>
              <w:spacing w:after="0" w:line="240" w:lineRule="auto"/>
              <w:jc w:val="right"/>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8,68 %</w:t>
            </w:r>
          </w:p>
        </w:tc>
        <w:tc>
          <w:tcPr>
            <w:tcW w:w="1720" w:type="dxa"/>
            <w:tcBorders>
              <w:top w:val="nil"/>
              <w:left w:val="nil"/>
              <w:bottom w:val="single" w:sz="4" w:space="0" w:color="auto"/>
              <w:right w:val="single" w:sz="4" w:space="0" w:color="auto"/>
            </w:tcBorders>
            <w:shd w:val="clear" w:color="auto" w:fill="auto"/>
            <w:noWrap/>
            <w:vAlign w:val="center"/>
            <w:hideMark/>
          </w:tcPr>
          <w:p w14:paraId="729820BC" w14:textId="30541734" w:rsidR="001A376E" w:rsidRPr="001A376E" w:rsidRDefault="001A376E" w:rsidP="001A376E">
            <w:pPr>
              <w:spacing w:after="0" w:line="240" w:lineRule="auto"/>
              <w:jc w:val="right"/>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8,82 %</w:t>
            </w:r>
          </w:p>
        </w:tc>
      </w:tr>
      <w:tr w:rsidR="001A376E" w:rsidRPr="001A376E" w14:paraId="19D2BF19" w14:textId="77777777" w:rsidTr="001A376E">
        <w:trPr>
          <w:trHeight w:val="30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3E57E021" w14:textId="77777777" w:rsidR="001A376E" w:rsidRPr="001A376E" w:rsidRDefault="001A376E" w:rsidP="001A376E">
            <w:pPr>
              <w:spacing w:after="0" w:line="240" w:lineRule="auto"/>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GORENJSKA</w:t>
            </w:r>
          </w:p>
        </w:tc>
        <w:tc>
          <w:tcPr>
            <w:tcW w:w="1040" w:type="dxa"/>
            <w:tcBorders>
              <w:top w:val="nil"/>
              <w:left w:val="nil"/>
              <w:bottom w:val="single" w:sz="4" w:space="0" w:color="auto"/>
              <w:right w:val="single" w:sz="4" w:space="0" w:color="auto"/>
            </w:tcBorders>
            <w:shd w:val="clear" w:color="auto" w:fill="auto"/>
            <w:noWrap/>
            <w:vAlign w:val="center"/>
            <w:hideMark/>
          </w:tcPr>
          <w:p w14:paraId="4C3E1486" w14:textId="77777777" w:rsidR="001A376E" w:rsidRPr="001A376E" w:rsidRDefault="001A376E" w:rsidP="001A376E">
            <w:pPr>
              <w:spacing w:after="0" w:line="240" w:lineRule="auto"/>
              <w:jc w:val="right"/>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1.066</w:t>
            </w:r>
          </w:p>
        </w:tc>
        <w:tc>
          <w:tcPr>
            <w:tcW w:w="1340" w:type="dxa"/>
            <w:tcBorders>
              <w:top w:val="nil"/>
              <w:left w:val="nil"/>
              <w:bottom w:val="single" w:sz="4" w:space="0" w:color="auto"/>
              <w:right w:val="single" w:sz="4" w:space="0" w:color="auto"/>
            </w:tcBorders>
            <w:shd w:val="clear" w:color="auto" w:fill="auto"/>
            <w:noWrap/>
            <w:vAlign w:val="center"/>
            <w:hideMark/>
          </w:tcPr>
          <w:p w14:paraId="04A63DE9" w14:textId="77777777" w:rsidR="001A376E" w:rsidRPr="001A376E" w:rsidRDefault="001A376E" w:rsidP="001A376E">
            <w:pPr>
              <w:spacing w:after="0" w:line="240" w:lineRule="auto"/>
              <w:jc w:val="right"/>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411.867.879</w:t>
            </w:r>
          </w:p>
        </w:tc>
        <w:tc>
          <w:tcPr>
            <w:tcW w:w="1740" w:type="dxa"/>
            <w:tcBorders>
              <w:top w:val="nil"/>
              <w:left w:val="nil"/>
              <w:bottom w:val="single" w:sz="4" w:space="0" w:color="auto"/>
              <w:right w:val="single" w:sz="4" w:space="0" w:color="auto"/>
            </w:tcBorders>
            <w:shd w:val="clear" w:color="auto" w:fill="auto"/>
            <w:noWrap/>
            <w:vAlign w:val="center"/>
            <w:hideMark/>
          </w:tcPr>
          <w:p w14:paraId="78A1D654" w14:textId="07C5212D" w:rsidR="001A376E" w:rsidRPr="001A376E" w:rsidRDefault="001A376E" w:rsidP="001A376E">
            <w:pPr>
              <w:spacing w:after="0" w:line="240" w:lineRule="auto"/>
              <w:jc w:val="right"/>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6,35 %</w:t>
            </w:r>
          </w:p>
        </w:tc>
        <w:tc>
          <w:tcPr>
            <w:tcW w:w="1720" w:type="dxa"/>
            <w:tcBorders>
              <w:top w:val="nil"/>
              <w:left w:val="nil"/>
              <w:bottom w:val="single" w:sz="4" w:space="0" w:color="auto"/>
              <w:right w:val="single" w:sz="4" w:space="0" w:color="auto"/>
            </w:tcBorders>
            <w:shd w:val="clear" w:color="auto" w:fill="auto"/>
            <w:noWrap/>
            <w:vAlign w:val="center"/>
            <w:hideMark/>
          </w:tcPr>
          <w:p w14:paraId="73A847AD" w14:textId="250AE0B6" w:rsidR="001A376E" w:rsidRPr="001A376E" w:rsidRDefault="001A376E" w:rsidP="001A376E">
            <w:pPr>
              <w:spacing w:after="0" w:line="240" w:lineRule="auto"/>
              <w:jc w:val="right"/>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7,89 %</w:t>
            </w:r>
          </w:p>
        </w:tc>
      </w:tr>
      <w:tr w:rsidR="001A376E" w:rsidRPr="001A376E" w14:paraId="5BB762F0" w14:textId="77777777" w:rsidTr="001A376E">
        <w:trPr>
          <w:trHeight w:val="30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44F9D050" w14:textId="77777777" w:rsidR="001A376E" w:rsidRPr="001A376E" w:rsidRDefault="001A376E" w:rsidP="001A376E">
            <w:pPr>
              <w:spacing w:after="0" w:line="240" w:lineRule="auto"/>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OBALNO-KRAŠKA</w:t>
            </w:r>
          </w:p>
        </w:tc>
        <w:tc>
          <w:tcPr>
            <w:tcW w:w="1040" w:type="dxa"/>
            <w:tcBorders>
              <w:top w:val="nil"/>
              <w:left w:val="nil"/>
              <w:bottom w:val="single" w:sz="4" w:space="0" w:color="auto"/>
              <w:right w:val="single" w:sz="4" w:space="0" w:color="auto"/>
            </w:tcBorders>
            <w:shd w:val="clear" w:color="auto" w:fill="auto"/>
            <w:noWrap/>
            <w:vAlign w:val="center"/>
            <w:hideMark/>
          </w:tcPr>
          <w:p w14:paraId="3EB969AD" w14:textId="77777777" w:rsidR="001A376E" w:rsidRPr="001A376E" w:rsidRDefault="001A376E" w:rsidP="001A376E">
            <w:pPr>
              <w:spacing w:after="0" w:line="240" w:lineRule="auto"/>
              <w:jc w:val="right"/>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400</w:t>
            </w:r>
          </w:p>
        </w:tc>
        <w:tc>
          <w:tcPr>
            <w:tcW w:w="1340" w:type="dxa"/>
            <w:tcBorders>
              <w:top w:val="nil"/>
              <w:left w:val="nil"/>
              <w:bottom w:val="single" w:sz="4" w:space="0" w:color="auto"/>
              <w:right w:val="single" w:sz="4" w:space="0" w:color="auto"/>
            </w:tcBorders>
            <w:shd w:val="clear" w:color="auto" w:fill="auto"/>
            <w:noWrap/>
            <w:vAlign w:val="center"/>
            <w:hideMark/>
          </w:tcPr>
          <w:p w14:paraId="6A17D8CD" w14:textId="77777777" w:rsidR="001A376E" w:rsidRPr="001A376E" w:rsidRDefault="001A376E" w:rsidP="001A376E">
            <w:pPr>
              <w:spacing w:after="0" w:line="240" w:lineRule="auto"/>
              <w:jc w:val="right"/>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364.151.537</w:t>
            </w:r>
          </w:p>
        </w:tc>
        <w:tc>
          <w:tcPr>
            <w:tcW w:w="1740" w:type="dxa"/>
            <w:tcBorders>
              <w:top w:val="nil"/>
              <w:left w:val="nil"/>
              <w:bottom w:val="single" w:sz="4" w:space="0" w:color="auto"/>
              <w:right w:val="single" w:sz="4" w:space="0" w:color="auto"/>
            </w:tcBorders>
            <w:shd w:val="clear" w:color="auto" w:fill="auto"/>
            <w:noWrap/>
            <w:vAlign w:val="center"/>
            <w:hideMark/>
          </w:tcPr>
          <w:p w14:paraId="2FE53133" w14:textId="3096709F" w:rsidR="001A376E" w:rsidRPr="001A376E" w:rsidRDefault="001A376E" w:rsidP="001A376E">
            <w:pPr>
              <w:spacing w:after="0" w:line="240" w:lineRule="auto"/>
              <w:jc w:val="right"/>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2,38 %</w:t>
            </w:r>
          </w:p>
        </w:tc>
        <w:tc>
          <w:tcPr>
            <w:tcW w:w="1720" w:type="dxa"/>
            <w:tcBorders>
              <w:top w:val="nil"/>
              <w:left w:val="nil"/>
              <w:bottom w:val="single" w:sz="4" w:space="0" w:color="auto"/>
              <w:right w:val="single" w:sz="4" w:space="0" w:color="auto"/>
            </w:tcBorders>
            <w:shd w:val="clear" w:color="auto" w:fill="auto"/>
            <w:noWrap/>
            <w:vAlign w:val="center"/>
            <w:hideMark/>
          </w:tcPr>
          <w:p w14:paraId="069D4D9E" w14:textId="2D5B7026" w:rsidR="001A376E" w:rsidRPr="001A376E" w:rsidRDefault="001A376E" w:rsidP="001A376E">
            <w:pPr>
              <w:spacing w:after="0" w:line="240" w:lineRule="auto"/>
              <w:jc w:val="right"/>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6,98 %</w:t>
            </w:r>
          </w:p>
        </w:tc>
      </w:tr>
      <w:tr w:rsidR="001A376E" w:rsidRPr="001A376E" w14:paraId="77EFB8CF" w14:textId="77777777" w:rsidTr="001A376E">
        <w:trPr>
          <w:trHeight w:val="30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255B8866" w14:textId="77777777" w:rsidR="001A376E" w:rsidRPr="001A376E" w:rsidRDefault="001A376E" w:rsidP="001A376E">
            <w:pPr>
              <w:spacing w:after="0" w:line="240" w:lineRule="auto"/>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JUGOVZHODNA SLOVENIJA</w:t>
            </w:r>
          </w:p>
        </w:tc>
        <w:tc>
          <w:tcPr>
            <w:tcW w:w="1040" w:type="dxa"/>
            <w:tcBorders>
              <w:top w:val="nil"/>
              <w:left w:val="nil"/>
              <w:bottom w:val="single" w:sz="4" w:space="0" w:color="auto"/>
              <w:right w:val="single" w:sz="4" w:space="0" w:color="auto"/>
            </w:tcBorders>
            <w:shd w:val="clear" w:color="auto" w:fill="auto"/>
            <w:noWrap/>
            <w:vAlign w:val="center"/>
            <w:hideMark/>
          </w:tcPr>
          <w:p w14:paraId="438C8A85" w14:textId="77777777" w:rsidR="001A376E" w:rsidRPr="001A376E" w:rsidRDefault="001A376E" w:rsidP="001A376E">
            <w:pPr>
              <w:spacing w:after="0" w:line="240" w:lineRule="auto"/>
              <w:jc w:val="right"/>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417</w:t>
            </w:r>
          </w:p>
        </w:tc>
        <w:tc>
          <w:tcPr>
            <w:tcW w:w="1340" w:type="dxa"/>
            <w:tcBorders>
              <w:top w:val="nil"/>
              <w:left w:val="nil"/>
              <w:bottom w:val="single" w:sz="4" w:space="0" w:color="auto"/>
              <w:right w:val="single" w:sz="4" w:space="0" w:color="auto"/>
            </w:tcBorders>
            <w:shd w:val="clear" w:color="auto" w:fill="auto"/>
            <w:noWrap/>
            <w:vAlign w:val="center"/>
            <w:hideMark/>
          </w:tcPr>
          <w:p w14:paraId="01AAE584" w14:textId="77777777" w:rsidR="001A376E" w:rsidRPr="001A376E" w:rsidRDefault="001A376E" w:rsidP="001A376E">
            <w:pPr>
              <w:spacing w:after="0" w:line="240" w:lineRule="auto"/>
              <w:jc w:val="right"/>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348.859.184</w:t>
            </w:r>
          </w:p>
        </w:tc>
        <w:tc>
          <w:tcPr>
            <w:tcW w:w="1740" w:type="dxa"/>
            <w:tcBorders>
              <w:top w:val="nil"/>
              <w:left w:val="nil"/>
              <w:bottom w:val="single" w:sz="4" w:space="0" w:color="auto"/>
              <w:right w:val="single" w:sz="4" w:space="0" w:color="auto"/>
            </w:tcBorders>
            <w:shd w:val="clear" w:color="auto" w:fill="auto"/>
            <w:noWrap/>
            <w:vAlign w:val="center"/>
            <w:hideMark/>
          </w:tcPr>
          <w:p w14:paraId="14339A39" w14:textId="166B6339" w:rsidR="001A376E" w:rsidRPr="001A376E" w:rsidRDefault="001A376E" w:rsidP="001A376E">
            <w:pPr>
              <w:spacing w:after="0" w:line="240" w:lineRule="auto"/>
              <w:jc w:val="right"/>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2,49 %</w:t>
            </w:r>
          </w:p>
        </w:tc>
        <w:tc>
          <w:tcPr>
            <w:tcW w:w="1720" w:type="dxa"/>
            <w:tcBorders>
              <w:top w:val="nil"/>
              <w:left w:val="nil"/>
              <w:bottom w:val="single" w:sz="4" w:space="0" w:color="auto"/>
              <w:right w:val="single" w:sz="4" w:space="0" w:color="auto"/>
            </w:tcBorders>
            <w:shd w:val="clear" w:color="auto" w:fill="auto"/>
            <w:noWrap/>
            <w:vAlign w:val="center"/>
            <w:hideMark/>
          </w:tcPr>
          <w:p w14:paraId="1AB04910" w14:textId="27EA26F7" w:rsidR="001A376E" w:rsidRPr="001A376E" w:rsidRDefault="001A376E" w:rsidP="001A376E">
            <w:pPr>
              <w:spacing w:after="0" w:line="240" w:lineRule="auto"/>
              <w:jc w:val="right"/>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6,68 %</w:t>
            </w:r>
          </w:p>
        </w:tc>
      </w:tr>
      <w:tr w:rsidR="001A376E" w:rsidRPr="001A376E" w14:paraId="56862814" w14:textId="77777777" w:rsidTr="001A376E">
        <w:trPr>
          <w:trHeight w:val="30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4291E0C6" w14:textId="77777777" w:rsidR="001A376E" w:rsidRPr="001A376E" w:rsidRDefault="001A376E" w:rsidP="001A376E">
            <w:pPr>
              <w:spacing w:after="0" w:line="240" w:lineRule="auto"/>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GORIŠKA</w:t>
            </w:r>
          </w:p>
        </w:tc>
        <w:tc>
          <w:tcPr>
            <w:tcW w:w="1040" w:type="dxa"/>
            <w:tcBorders>
              <w:top w:val="nil"/>
              <w:left w:val="nil"/>
              <w:bottom w:val="single" w:sz="4" w:space="0" w:color="auto"/>
              <w:right w:val="single" w:sz="4" w:space="0" w:color="auto"/>
            </w:tcBorders>
            <w:shd w:val="clear" w:color="auto" w:fill="auto"/>
            <w:noWrap/>
            <w:vAlign w:val="center"/>
            <w:hideMark/>
          </w:tcPr>
          <w:p w14:paraId="7168E444" w14:textId="77777777" w:rsidR="001A376E" w:rsidRPr="001A376E" w:rsidRDefault="001A376E" w:rsidP="001A376E">
            <w:pPr>
              <w:spacing w:after="0" w:line="240" w:lineRule="auto"/>
              <w:jc w:val="right"/>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578</w:t>
            </w:r>
          </w:p>
        </w:tc>
        <w:tc>
          <w:tcPr>
            <w:tcW w:w="1340" w:type="dxa"/>
            <w:tcBorders>
              <w:top w:val="nil"/>
              <w:left w:val="nil"/>
              <w:bottom w:val="single" w:sz="4" w:space="0" w:color="auto"/>
              <w:right w:val="single" w:sz="4" w:space="0" w:color="auto"/>
            </w:tcBorders>
            <w:shd w:val="clear" w:color="auto" w:fill="auto"/>
            <w:noWrap/>
            <w:vAlign w:val="center"/>
            <w:hideMark/>
          </w:tcPr>
          <w:p w14:paraId="600A0AD3" w14:textId="77777777" w:rsidR="001A376E" w:rsidRPr="001A376E" w:rsidRDefault="001A376E" w:rsidP="001A376E">
            <w:pPr>
              <w:spacing w:after="0" w:line="240" w:lineRule="auto"/>
              <w:jc w:val="right"/>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333.096.502</w:t>
            </w:r>
          </w:p>
        </w:tc>
        <w:tc>
          <w:tcPr>
            <w:tcW w:w="1740" w:type="dxa"/>
            <w:tcBorders>
              <w:top w:val="nil"/>
              <w:left w:val="nil"/>
              <w:bottom w:val="single" w:sz="4" w:space="0" w:color="auto"/>
              <w:right w:val="single" w:sz="4" w:space="0" w:color="auto"/>
            </w:tcBorders>
            <w:shd w:val="clear" w:color="auto" w:fill="auto"/>
            <w:noWrap/>
            <w:vAlign w:val="center"/>
            <w:hideMark/>
          </w:tcPr>
          <w:p w14:paraId="7C4E1FE2" w14:textId="30CA44EB" w:rsidR="001A376E" w:rsidRPr="001A376E" w:rsidRDefault="001A376E" w:rsidP="001A376E">
            <w:pPr>
              <w:spacing w:after="0" w:line="240" w:lineRule="auto"/>
              <w:jc w:val="right"/>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3,44 %</w:t>
            </w:r>
          </w:p>
        </w:tc>
        <w:tc>
          <w:tcPr>
            <w:tcW w:w="1720" w:type="dxa"/>
            <w:tcBorders>
              <w:top w:val="nil"/>
              <w:left w:val="nil"/>
              <w:bottom w:val="single" w:sz="4" w:space="0" w:color="auto"/>
              <w:right w:val="single" w:sz="4" w:space="0" w:color="auto"/>
            </w:tcBorders>
            <w:shd w:val="clear" w:color="auto" w:fill="auto"/>
            <w:noWrap/>
            <w:vAlign w:val="center"/>
            <w:hideMark/>
          </w:tcPr>
          <w:p w14:paraId="5C2A1C22" w14:textId="5CE59E4E" w:rsidR="001A376E" w:rsidRPr="001A376E" w:rsidRDefault="001A376E" w:rsidP="001A376E">
            <w:pPr>
              <w:spacing w:after="0" w:line="240" w:lineRule="auto"/>
              <w:jc w:val="right"/>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6,38 %</w:t>
            </w:r>
          </w:p>
        </w:tc>
      </w:tr>
      <w:tr w:rsidR="001A376E" w:rsidRPr="001A376E" w14:paraId="4CE82F9F" w14:textId="77777777" w:rsidTr="001A376E">
        <w:trPr>
          <w:trHeight w:val="30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73BC7E66" w14:textId="77777777" w:rsidR="001A376E" w:rsidRPr="001A376E" w:rsidRDefault="001A376E" w:rsidP="001A376E">
            <w:pPr>
              <w:spacing w:after="0" w:line="240" w:lineRule="auto"/>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PODRAVSKA</w:t>
            </w:r>
          </w:p>
        </w:tc>
        <w:tc>
          <w:tcPr>
            <w:tcW w:w="1040" w:type="dxa"/>
            <w:tcBorders>
              <w:top w:val="nil"/>
              <w:left w:val="nil"/>
              <w:bottom w:val="single" w:sz="4" w:space="0" w:color="auto"/>
              <w:right w:val="single" w:sz="4" w:space="0" w:color="auto"/>
            </w:tcBorders>
            <w:shd w:val="clear" w:color="auto" w:fill="auto"/>
            <w:noWrap/>
            <w:vAlign w:val="center"/>
            <w:hideMark/>
          </w:tcPr>
          <w:p w14:paraId="214A07EB" w14:textId="77777777" w:rsidR="001A376E" w:rsidRPr="001A376E" w:rsidRDefault="001A376E" w:rsidP="001A376E">
            <w:pPr>
              <w:spacing w:after="0" w:line="240" w:lineRule="auto"/>
              <w:jc w:val="right"/>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1.794</w:t>
            </w:r>
          </w:p>
        </w:tc>
        <w:tc>
          <w:tcPr>
            <w:tcW w:w="1340" w:type="dxa"/>
            <w:tcBorders>
              <w:top w:val="nil"/>
              <w:left w:val="nil"/>
              <w:bottom w:val="single" w:sz="4" w:space="0" w:color="auto"/>
              <w:right w:val="single" w:sz="4" w:space="0" w:color="auto"/>
            </w:tcBorders>
            <w:shd w:val="clear" w:color="auto" w:fill="auto"/>
            <w:noWrap/>
            <w:vAlign w:val="center"/>
            <w:hideMark/>
          </w:tcPr>
          <w:p w14:paraId="301E7566" w14:textId="77777777" w:rsidR="001A376E" w:rsidRPr="001A376E" w:rsidRDefault="001A376E" w:rsidP="001A376E">
            <w:pPr>
              <w:spacing w:after="0" w:line="240" w:lineRule="auto"/>
              <w:jc w:val="right"/>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323.740.511</w:t>
            </w:r>
          </w:p>
        </w:tc>
        <w:tc>
          <w:tcPr>
            <w:tcW w:w="1740" w:type="dxa"/>
            <w:tcBorders>
              <w:top w:val="nil"/>
              <w:left w:val="nil"/>
              <w:bottom w:val="single" w:sz="4" w:space="0" w:color="auto"/>
              <w:right w:val="single" w:sz="4" w:space="0" w:color="auto"/>
            </w:tcBorders>
            <w:shd w:val="clear" w:color="auto" w:fill="auto"/>
            <w:noWrap/>
            <w:vAlign w:val="center"/>
            <w:hideMark/>
          </w:tcPr>
          <w:p w14:paraId="1B8A9848" w14:textId="5AC2C296" w:rsidR="001A376E" w:rsidRPr="001A376E" w:rsidRDefault="001A376E" w:rsidP="001A376E">
            <w:pPr>
              <w:spacing w:after="0" w:line="240" w:lineRule="auto"/>
              <w:jc w:val="right"/>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10,69 %</w:t>
            </w:r>
          </w:p>
        </w:tc>
        <w:tc>
          <w:tcPr>
            <w:tcW w:w="1720" w:type="dxa"/>
            <w:tcBorders>
              <w:top w:val="nil"/>
              <w:left w:val="nil"/>
              <w:bottom w:val="single" w:sz="4" w:space="0" w:color="auto"/>
              <w:right w:val="single" w:sz="4" w:space="0" w:color="auto"/>
            </w:tcBorders>
            <w:shd w:val="clear" w:color="auto" w:fill="auto"/>
            <w:noWrap/>
            <w:vAlign w:val="center"/>
            <w:hideMark/>
          </w:tcPr>
          <w:p w14:paraId="2F00CDE9" w14:textId="6FF70899" w:rsidR="001A376E" w:rsidRPr="001A376E" w:rsidRDefault="001A376E" w:rsidP="001A376E">
            <w:pPr>
              <w:spacing w:after="0" w:line="240" w:lineRule="auto"/>
              <w:jc w:val="right"/>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6,20 %</w:t>
            </w:r>
          </w:p>
        </w:tc>
      </w:tr>
      <w:tr w:rsidR="001A376E" w:rsidRPr="001A376E" w14:paraId="6E53E936" w14:textId="77777777" w:rsidTr="001A376E">
        <w:trPr>
          <w:trHeight w:val="30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0277C7A6" w14:textId="77777777" w:rsidR="001A376E" w:rsidRPr="001A376E" w:rsidRDefault="001A376E" w:rsidP="001A376E">
            <w:pPr>
              <w:spacing w:after="0" w:line="240" w:lineRule="auto"/>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POMURSKA</w:t>
            </w:r>
          </w:p>
        </w:tc>
        <w:tc>
          <w:tcPr>
            <w:tcW w:w="1040" w:type="dxa"/>
            <w:tcBorders>
              <w:top w:val="nil"/>
              <w:left w:val="nil"/>
              <w:bottom w:val="single" w:sz="4" w:space="0" w:color="auto"/>
              <w:right w:val="single" w:sz="4" w:space="0" w:color="auto"/>
            </w:tcBorders>
            <w:shd w:val="clear" w:color="auto" w:fill="auto"/>
            <w:noWrap/>
            <w:vAlign w:val="center"/>
            <w:hideMark/>
          </w:tcPr>
          <w:p w14:paraId="4832D976" w14:textId="77777777" w:rsidR="001A376E" w:rsidRPr="001A376E" w:rsidRDefault="001A376E" w:rsidP="001A376E">
            <w:pPr>
              <w:spacing w:after="0" w:line="240" w:lineRule="auto"/>
              <w:jc w:val="right"/>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642</w:t>
            </w:r>
          </w:p>
        </w:tc>
        <w:tc>
          <w:tcPr>
            <w:tcW w:w="1340" w:type="dxa"/>
            <w:tcBorders>
              <w:top w:val="nil"/>
              <w:left w:val="nil"/>
              <w:bottom w:val="single" w:sz="4" w:space="0" w:color="auto"/>
              <w:right w:val="single" w:sz="4" w:space="0" w:color="auto"/>
            </w:tcBorders>
            <w:shd w:val="clear" w:color="auto" w:fill="auto"/>
            <w:noWrap/>
            <w:vAlign w:val="center"/>
            <w:hideMark/>
          </w:tcPr>
          <w:p w14:paraId="61CD5983" w14:textId="77777777" w:rsidR="001A376E" w:rsidRPr="001A376E" w:rsidRDefault="001A376E" w:rsidP="001A376E">
            <w:pPr>
              <w:spacing w:after="0" w:line="240" w:lineRule="auto"/>
              <w:jc w:val="right"/>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280.029.537</w:t>
            </w:r>
          </w:p>
        </w:tc>
        <w:tc>
          <w:tcPr>
            <w:tcW w:w="1740" w:type="dxa"/>
            <w:tcBorders>
              <w:top w:val="nil"/>
              <w:left w:val="nil"/>
              <w:bottom w:val="single" w:sz="4" w:space="0" w:color="auto"/>
              <w:right w:val="single" w:sz="4" w:space="0" w:color="auto"/>
            </w:tcBorders>
            <w:shd w:val="clear" w:color="auto" w:fill="auto"/>
            <w:noWrap/>
            <w:vAlign w:val="center"/>
            <w:hideMark/>
          </w:tcPr>
          <w:p w14:paraId="1DEFD8AC" w14:textId="7CAFDED0" w:rsidR="001A376E" w:rsidRPr="001A376E" w:rsidRDefault="001A376E" w:rsidP="001A376E">
            <w:pPr>
              <w:spacing w:after="0" w:line="240" w:lineRule="auto"/>
              <w:jc w:val="right"/>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3,83 %</w:t>
            </w:r>
          </w:p>
        </w:tc>
        <w:tc>
          <w:tcPr>
            <w:tcW w:w="1720" w:type="dxa"/>
            <w:tcBorders>
              <w:top w:val="nil"/>
              <w:left w:val="nil"/>
              <w:bottom w:val="single" w:sz="4" w:space="0" w:color="auto"/>
              <w:right w:val="single" w:sz="4" w:space="0" w:color="auto"/>
            </w:tcBorders>
            <w:shd w:val="clear" w:color="auto" w:fill="auto"/>
            <w:noWrap/>
            <w:vAlign w:val="center"/>
            <w:hideMark/>
          </w:tcPr>
          <w:p w14:paraId="15580F69" w14:textId="7311D5DB" w:rsidR="001A376E" w:rsidRPr="001A376E" w:rsidRDefault="001A376E" w:rsidP="001A376E">
            <w:pPr>
              <w:spacing w:after="0" w:line="240" w:lineRule="auto"/>
              <w:jc w:val="right"/>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5,37 %</w:t>
            </w:r>
          </w:p>
        </w:tc>
      </w:tr>
      <w:tr w:rsidR="001A376E" w:rsidRPr="001A376E" w14:paraId="43B0E9E2" w14:textId="77777777" w:rsidTr="001A376E">
        <w:trPr>
          <w:trHeight w:val="30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2426B40E" w14:textId="77777777" w:rsidR="001A376E" w:rsidRPr="001A376E" w:rsidRDefault="001A376E" w:rsidP="001A376E">
            <w:pPr>
              <w:spacing w:after="0" w:line="240" w:lineRule="auto"/>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ZASAVSKA</w:t>
            </w:r>
          </w:p>
        </w:tc>
        <w:tc>
          <w:tcPr>
            <w:tcW w:w="1040" w:type="dxa"/>
            <w:tcBorders>
              <w:top w:val="nil"/>
              <w:left w:val="nil"/>
              <w:bottom w:val="single" w:sz="4" w:space="0" w:color="auto"/>
              <w:right w:val="single" w:sz="4" w:space="0" w:color="auto"/>
            </w:tcBorders>
            <w:shd w:val="clear" w:color="auto" w:fill="auto"/>
            <w:noWrap/>
            <w:vAlign w:val="center"/>
            <w:hideMark/>
          </w:tcPr>
          <w:p w14:paraId="7BD6453D" w14:textId="77777777" w:rsidR="001A376E" w:rsidRPr="001A376E" w:rsidRDefault="001A376E" w:rsidP="001A376E">
            <w:pPr>
              <w:spacing w:after="0" w:line="240" w:lineRule="auto"/>
              <w:jc w:val="right"/>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197</w:t>
            </w:r>
          </w:p>
        </w:tc>
        <w:tc>
          <w:tcPr>
            <w:tcW w:w="1340" w:type="dxa"/>
            <w:tcBorders>
              <w:top w:val="nil"/>
              <w:left w:val="nil"/>
              <w:bottom w:val="single" w:sz="4" w:space="0" w:color="auto"/>
              <w:right w:val="single" w:sz="4" w:space="0" w:color="auto"/>
            </w:tcBorders>
            <w:shd w:val="clear" w:color="auto" w:fill="auto"/>
            <w:noWrap/>
            <w:vAlign w:val="center"/>
            <w:hideMark/>
          </w:tcPr>
          <w:p w14:paraId="662B324A" w14:textId="77777777" w:rsidR="001A376E" w:rsidRPr="001A376E" w:rsidRDefault="001A376E" w:rsidP="001A376E">
            <w:pPr>
              <w:spacing w:after="0" w:line="240" w:lineRule="auto"/>
              <w:jc w:val="right"/>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147.460.400</w:t>
            </w:r>
          </w:p>
        </w:tc>
        <w:tc>
          <w:tcPr>
            <w:tcW w:w="1740" w:type="dxa"/>
            <w:tcBorders>
              <w:top w:val="nil"/>
              <w:left w:val="nil"/>
              <w:bottom w:val="single" w:sz="4" w:space="0" w:color="auto"/>
              <w:right w:val="single" w:sz="4" w:space="0" w:color="auto"/>
            </w:tcBorders>
            <w:shd w:val="clear" w:color="auto" w:fill="auto"/>
            <w:noWrap/>
            <w:vAlign w:val="center"/>
            <w:hideMark/>
          </w:tcPr>
          <w:p w14:paraId="223527E9" w14:textId="0203C81A" w:rsidR="001A376E" w:rsidRPr="001A376E" w:rsidRDefault="001A376E" w:rsidP="001A376E">
            <w:pPr>
              <w:spacing w:after="0" w:line="240" w:lineRule="auto"/>
              <w:jc w:val="right"/>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1,17 %</w:t>
            </w:r>
          </w:p>
        </w:tc>
        <w:tc>
          <w:tcPr>
            <w:tcW w:w="1720" w:type="dxa"/>
            <w:tcBorders>
              <w:top w:val="nil"/>
              <w:left w:val="nil"/>
              <w:bottom w:val="single" w:sz="4" w:space="0" w:color="auto"/>
              <w:right w:val="single" w:sz="4" w:space="0" w:color="auto"/>
            </w:tcBorders>
            <w:shd w:val="clear" w:color="auto" w:fill="auto"/>
            <w:noWrap/>
            <w:vAlign w:val="center"/>
            <w:hideMark/>
          </w:tcPr>
          <w:p w14:paraId="6C48E61D" w14:textId="0E463191" w:rsidR="001A376E" w:rsidRPr="001A376E" w:rsidRDefault="001A376E" w:rsidP="001A376E">
            <w:pPr>
              <w:spacing w:after="0" w:line="240" w:lineRule="auto"/>
              <w:jc w:val="right"/>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2,83 %</w:t>
            </w:r>
          </w:p>
        </w:tc>
      </w:tr>
      <w:tr w:rsidR="001A376E" w:rsidRPr="001A376E" w14:paraId="7991EA18" w14:textId="77777777" w:rsidTr="001A376E">
        <w:trPr>
          <w:trHeight w:val="30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75096CF9" w14:textId="77777777" w:rsidR="001A376E" w:rsidRPr="001A376E" w:rsidRDefault="001A376E" w:rsidP="001A376E">
            <w:pPr>
              <w:spacing w:after="0" w:line="240" w:lineRule="auto"/>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POSAVSKA</w:t>
            </w:r>
          </w:p>
        </w:tc>
        <w:tc>
          <w:tcPr>
            <w:tcW w:w="1040" w:type="dxa"/>
            <w:tcBorders>
              <w:top w:val="nil"/>
              <w:left w:val="nil"/>
              <w:bottom w:val="single" w:sz="4" w:space="0" w:color="auto"/>
              <w:right w:val="single" w:sz="4" w:space="0" w:color="auto"/>
            </w:tcBorders>
            <w:shd w:val="clear" w:color="auto" w:fill="auto"/>
            <w:noWrap/>
            <w:vAlign w:val="center"/>
            <w:hideMark/>
          </w:tcPr>
          <w:p w14:paraId="05A67F8D" w14:textId="77777777" w:rsidR="001A376E" w:rsidRPr="001A376E" w:rsidRDefault="001A376E" w:rsidP="001A376E">
            <w:pPr>
              <w:spacing w:after="0" w:line="240" w:lineRule="auto"/>
              <w:jc w:val="right"/>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272</w:t>
            </w:r>
          </w:p>
        </w:tc>
        <w:tc>
          <w:tcPr>
            <w:tcW w:w="1340" w:type="dxa"/>
            <w:tcBorders>
              <w:top w:val="nil"/>
              <w:left w:val="nil"/>
              <w:bottom w:val="single" w:sz="4" w:space="0" w:color="auto"/>
              <w:right w:val="single" w:sz="4" w:space="0" w:color="auto"/>
            </w:tcBorders>
            <w:shd w:val="clear" w:color="auto" w:fill="auto"/>
            <w:noWrap/>
            <w:vAlign w:val="center"/>
            <w:hideMark/>
          </w:tcPr>
          <w:p w14:paraId="5F77F7B2" w14:textId="77777777" w:rsidR="001A376E" w:rsidRPr="001A376E" w:rsidRDefault="001A376E" w:rsidP="001A376E">
            <w:pPr>
              <w:spacing w:after="0" w:line="240" w:lineRule="auto"/>
              <w:jc w:val="right"/>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86.951.607</w:t>
            </w:r>
          </w:p>
        </w:tc>
        <w:tc>
          <w:tcPr>
            <w:tcW w:w="1740" w:type="dxa"/>
            <w:tcBorders>
              <w:top w:val="nil"/>
              <w:left w:val="nil"/>
              <w:bottom w:val="single" w:sz="4" w:space="0" w:color="auto"/>
              <w:right w:val="single" w:sz="4" w:space="0" w:color="auto"/>
            </w:tcBorders>
            <w:shd w:val="clear" w:color="auto" w:fill="auto"/>
            <w:noWrap/>
            <w:vAlign w:val="center"/>
            <w:hideMark/>
          </w:tcPr>
          <w:p w14:paraId="18665FB4" w14:textId="66204EB5" w:rsidR="001A376E" w:rsidRPr="001A376E" w:rsidRDefault="001A376E" w:rsidP="001A376E">
            <w:pPr>
              <w:spacing w:after="0" w:line="240" w:lineRule="auto"/>
              <w:jc w:val="right"/>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1,62 %</w:t>
            </w:r>
          </w:p>
        </w:tc>
        <w:tc>
          <w:tcPr>
            <w:tcW w:w="1720" w:type="dxa"/>
            <w:tcBorders>
              <w:top w:val="nil"/>
              <w:left w:val="nil"/>
              <w:bottom w:val="single" w:sz="4" w:space="0" w:color="auto"/>
              <w:right w:val="single" w:sz="4" w:space="0" w:color="auto"/>
            </w:tcBorders>
            <w:shd w:val="clear" w:color="auto" w:fill="auto"/>
            <w:noWrap/>
            <w:vAlign w:val="center"/>
            <w:hideMark/>
          </w:tcPr>
          <w:p w14:paraId="2A722F6B" w14:textId="35E836A8" w:rsidR="001A376E" w:rsidRPr="001A376E" w:rsidRDefault="001A376E" w:rsidP="001A376E">
            <w:pPr>
              <w:spacing w:after="0" w:line="240" w:lineRule="auto"/>
              <w:jc w:val="right"/>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1,67 %</w:t>
            </w:r>
          </w:p>
        </w:tc>
      </w:tr>
      <w:tr w:rsidR="001A376E" w:rsidRPr="001A376E" w14:paraId="56A2B6A6" w14:textId="77777777" w:rsidTr="001A376E">
        <w:trPr>
          <w:trHeight w:val="30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6DCE8CD5" w14:textId="77777777" w:rsidR="001A376E" w:rsidRPr="001A376E" w:rsidRDefault="001A376E" w:rsidP="001A376E">
            <w:pPr>
              <w:spacing w:after="0" w:line="240" w:lineRule="auto"/>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KOROŠKA</w:t>
            </w:r>
          </w:p>
        </w:tc>
        <w:tc>
          <w:tcPr>
            <w:tcW w:w="1040" w:type="dxa"/>
            <w:tcBorders>
              <w:top w:val="nil"/>
              <w:left w:val="nil"/>
              <w:bottom w:val="single" w:sz="4" w:space="0" w:color="auto"/>
              <w:right w:val="single" w:sz="4" w:space="0" w:color="auto"/>
            </w:tcBorders>
            <w:shd w:val="clear" w:color="auto" w:fill="auto"/>
            <w:noWrap/>
            <w:vAlign w:val="center"/>
            <w:hideMark/>
          </w:tcPr>
          <w:p w14:paraId="27FDB9CC" w14:textId="77777777" w:rsidR="001A376E" w:rsidRPr="001A376E" w:rsidRDefault="001A376E" w:rsidP="001A376E">
            <w:pPr>
              <w:spacing w:after="0" w:line="240" w:lineRule="auto"/>
              <w:jc w:val="right"/>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226</w:t>
            </w:r>
          </w:p>
        </w:tc>
        <w:tc>
          <w:tcPr>
            <w:tcW w:w="1340" w:type="dxa"/>
            <w:tcBorders>
              <w:top w:val="nil"/>
              <w:left w:val="nil"/>
              <w:bottom w:val="single" w:sz="4" w:space="0" w:color="auto"/>
              <w:right w:val="single" w:sz="4" w:space="0" w:color="auto"/>
            </w:tcBorders>
            <w:shd w:val="clear" w:color="auto" w:fill="auto"/>
            <w:noWrap/>
            <w:vAlign w:val="center"/>
            <w:hideMark/>
          </w:tcPr>
          <w:p w14:paraId="4BCD88AC" w14:textId="77777777" w:rsidR="001A376E" w:rsidRPr="001A376E" w:rsidRDefault="001A376E" w:rsidP="001A376E">
            <w:pPr>
              <w:spacing w:after="0" w:line="240" w:lineRule="auto"/>
              <w:jc w:val="right"/>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77.717.471</w:t>
            </w:r>
          </w:p>
        </w:tc>
        <w:tc>
          <w:tcPr>
            <w:tcW w:w="1740" w:type="dxa"/>
            <w:tcBorders>
              <w:top w:val="nil"/>
              <w:left w:val="nil"/>
              <w:bottom w:val="single" w:sz="4" w:space="0" w:color="auto"/>
              <w:right w:val="single" w:sz="4" w:space="0" w:color="auto"/>
            </w:tcBorders>
            <w:shd w:val="clear" w:color="auto" w:fill="auto"/>
            <w:noWrap/>
            <w:vAlign w:val="center"/>
            <w:hideMark/>
          </w:tcPr>
          <w:p w14:paraId="270105DA" w14:textId="0078579E" w:rsidR="001A376E" w:rsidRPr="001A376E" w:rsidRDefault="001A376E" w:rsidP="001A376E">
            <w:pPr>
              <w:spacing w:after="0" w:line="240" w:lineRule="auto"/>
              <w:jc w:val="right"/>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1,35 %</w:t>
            </w:r>
          </w:p>
        </w:tc>
        <w:tc>
          <w:tcPr>
            <w:tcW w:w="1720" w:type="dxa"/>
            <w:tcBorders>
              <w:top w:val="nil"/>
              <w:left w:val="nil"/>
              <w:bottom w:val="single" w:sz="4" w:space="0" w:color="auto"/>
              <w:right w:val="single" w:sz="4" w:space="0" w:color="auto"/>
            </w:tcBorders>
            <w:shd w:val="clear" w:color="auto" w:fill="auto"/>
            <w:noWrap/>
            <w:vAlign w:val="center"/>
            <w:hideMark/>
          </w:tcPr>
          <w:p w14:paraId="6D4A4E17" w14:textId="2885A09A" w:rsidR="001A376E" w:rsidRPr="001A376E" w:rsidRDefault="001A376E" w:rsidP="001A376E">
            <w:pPr>
              <w:spacing w:after="0" w:line="240" w:lineRule="auto"/>
              <w:jc w:val="right"/>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1,49 %</w:t>
            </w:r>
          </w:p>
        </w:tc>
      </w:tr>
      <w:tr w:rsidR="001A376E" w:rsidRPr="001A376E" w14:paraId="2298695F" w14:textId="77777777" w:rsidTr="001A376E">
        <w:trPr>
          <w:trHeight w:val="30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3B45E688" w14:textId="77777777" w:rsidR="001A376E" w:rsidRPr="001A376E" w:rsidRDefault="001A376E" w:rsidP="001A376E">
            <w:pPr>
              <w:spacing w:after="0" w:line="240" w:lineRule="auto"/>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PRIMORSKO-NOTRANJSKA</w:t>
            </w:r>
          </w:p>
        </w:tc>
        <w:tc>
          <w:tcPr>
            <w:tcW w:w="1040" w:type="dxa"/>
            <w:tcBorders>
              <w:top w:val="nil"/>
              <w:left w:val="nil"/>
              <w:bottom w:val="single" w:sz="4" w:space="0" w:color="auto"/>
              <w:right w:val="single" w:sz="4" w:space="0" w:color="auto"/>
            </w:tcBorders>
            <w:shd w:val="clear" w:color="auto" w:fill="auto"/>
            <w:noWrap/>
            <w:vAlign w:val="center"/>
            <w:hideMark/>
          </w:tcPr>
          <w:p w14:paraId="03A9BC49" w14:textId="77777777" w:rsidR="001A376E" w:rsidRPr="001A376E" w:rsidRDefault="001A376E" w:rsidP="001A376E">
            <w:pPr>
              <w:spacing w:after="0" w:line="240" w:lineRule="auto"/>
              <w:jc w:val="right"/>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279</w:t>
            </w:r>
          </w:p>
        </w:tc>
        <w:tc>
          <w:tcPr>
            <w:tcW w:w="1340" w:type="dxa"/>
            <w:tcBorders>
              <w:top w:val="nil"/>
              <w:left w:val="nil"/>
              <w:bottom w:val="single" w:sz="4" w:space="0" w:color="auto"/>
              <w:right w:val="single" w:sz="4" w:space="0" w:color="auto"/>
            </w:tcBorders>
            <w:shd w:val="clear" w:color="auto" w:fill="auto"/>
            <w:noWrap/>
            <w:vAlign w:val="center"/>
            <w:hideMark/>
          </w:tcPr>
          <w:p w14:paraId="21A8FDEF" w14:textId="77777777" w:rsidR="001A376E" w:rsidRPr="001A376E" w:rsidRDefault="001A376E" w:rsidP="001A376E">
            <w:pPr>
              <w:spacing w:after="0" w:line="240" w:lineRule="auto"/>
              <w:jc w:val="right"/>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11.783.402</w:t>
            </w:r>
          </w:p>
        </w:tc>
        <w:tc>
          <w:tcPr>
            <w:tcW w:w="1740" w:type="dxa"/>
            <w:tcBorders>
              <w:top w:val="nil"/>
              <w:left w:val="nil"/>
              <w:bottom w:val="single" w:sz="4" w:space="0" w:color="auto"/>
              <w:right w:val="single" w:sz="4" w:space="0" w:color="auto"/>
            </w:tcBorders>
            <w:shd w:val="clear" w:color="auto" w:fill="auto"/>
            <w:noWrap/>
            <w:vAlign w:val="center"/>
            <w:hideMark/>
          </w:tcPr>
          <w:p w14:paraId="6B228340" w14:textId="23C5F50F" w:rsidR="001A376E" w:rsidRPr="001A376E" w:rsidRDefault="001A376E" w:rsidP="001A376E">
            <w:pPr>
              <w:spacing w:after="0" w:line="240" w:lineRule="auto"/>
              <w:jc w:val="right"/>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1,66 %</w:t>
            </w:r>
          </w:p>
        </w:tc>
        <w:tc>
          <w:tcPr>
            <w:tcW w:w="1720" w:type="dxa"/>
            <w:tcBorders>
              <w:top w:val="nil"/>
              <w:left w:val="nil"/>
              <w:bottom w:val="single" w:sz="4" w:space="0" w:color="auto"/>
              <w:right w:val="single" w:sz="4" w:space="0" w:color="auto"/>
            </w:tcBorders>
            <w:shd w:val="clear" w:color="auto" w:fill="auto"/>
            <w:noWrap/>
            <w:vAlign w:val="center"/>
            <w:hideMark/>
          </w:tcPr>
          <w:p w14:paraId="26122EC1" w14:textId="296EF80F" w:rsidR="001A376E" w:rsidRPr="001A376E" w:rsidRDefault="001A376E" w:rsidP="001A376E">
            <w:pPr>
              <w:spacing w:after="0" w:line="240" w:lineRule="auto"/>
              <w:jc w:val="right"/>
              <w:rPr>
                <w:rFonts w:ascii="Arial" w:eastAsia="Times New Roman" w:hAnsi="Arial" w:cs="Arial"/>
                <w:color w:val="000000" w:themeColor="text1"/>
                <w:sz w:val="18"/>
                <w:szCs w:val="18"/>
                <w:lang w:eastAsia="sl-SI"/>
              </w:rPr>
            </w:pPr>
            <w:r w:rsidRPr="001A376E">
              <w:rPr>
                <w:rFonts w:ascii="Arial" w:eastAsia="Times New Roman" w:hAnsi="Arial" w:cs="Arial"/>
                <w:color w:val="000000" w:themeColor="text1"/>
                <w:sz w:val="18"/>
                <w:szCs w:val="18"/>
                <w:lang w:eastAsia="sl-SI"/>
              </w:rPr>
              <w:t>0,23 %</w:t>
            </w:r>
          </w:p>
        </w:tc>
      </w:tr>
      <w:tr w:rsidR="001A376E" w:rsidRPr="001A376E" w14:paraId="0B173CC6" w14:textId="77777777" w:rsidTr="001A376E">
        <w:trPr>
          <w:trHeight w:val="300"/>
        </w:trPr>
        <w:tc>
          <w:tcPr>
            <w:tcW w:w="264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C0F3163" w14:textId="77777777" w:rsidR="001A376E" w:rsidRPr="001A376E" w:rsidRDefault="001A376E" w:rsidP="001A376E">
            <w:pPr>
              <w:spacing w:after="0" w:line="240" w:lineRule="auto"/>
              <w:rPr>
                <w:rFonts w:ascii="Arial" w:eastAsia="Times New Roman" w:hAnsi="Arial" w:cs="Arial"/>
                <w:b/>
                <w:bCs/>
                <w:color w:val="000000" w:themeColor="text1"/>
                <w:sz w:val="18"/>
                <w:szCs w:val="18"/>
                <w:lang w:eastAsia="sl-SI"/>
              </w:rPr>
            </w:pPr>
            <w:r w:rsidRPr="001A376E">
              <w:rPr>
                <w:rFonts w:ascii="Arial" w:eastAsia="Times New Roman" w:hAnsi="Arial" w:cs="Arial"/>
                <w:b/>
                <w:bCs/>
                <w:color w:val="000000" w:themeColor="text1"/>
                <w:sz w:val="18"/>
                <w:szCs w:val="18"/>
                <w:lang w:eastAsia="sl-SI"/>
              </w:rPr>
              <w:t>Skupaj</w:t>
            </w:r>
          </w:p>
        </w:tc>
        <w:tc>
          <w:tcPr>
            <w:tcW w:w="1040" w:type="dxa"/>
            <w:tcBorders>
              <w:top w:val="nil"/>
              <w:left w:val="nil"/>
              <w:bottom w:val="single" w:sz="4" w:space="0" w:color="auto"/>
              <w:right w:val="single" w:sz="4" w:space="0" w:color="auto"/>
            </w:tcBorders>
            <w:shd w:val="clear" w:color="auto" w:fill="F2F2F2" w:themeFill="background1" w:themeFillShade="F2"/>
            <w:noWrap/>
            <w:vAlign w:val="center"/>
            <w:hideMark/>
          </w:tcPr>
          <w:p w14:paraId="7DE66E90" w14:textId="77777777" w:rsidR="001A376E" w:rsidRPr="001A376E" w:rsidRDefault="001A376E" w:rsidP="001A376E">
            <w:pPr>
              <w:spacing w:after="0" w:line="240" w:lineRule="auto"/>
              <w:jc w:val="right"/>
              <w:rPr>
                <w:rFonts w:ascii="Arial" w:eastAsia="Times New Roman" w:hAnsi="Arial" w:cs="Arial"/>
                <w:b/>
                <w:bCs/>
                <w:color w:val="000000" w:themeColor="text1"/>
                <w:sz w:val="18"/>
                <w:szCs w:val="18"/>
                <w:lang w:eastAsia="sl-SI"/>
              </w:rPr>
            </w:pPr>
            <w:r w:rsidRPr="001A376E">
              <w:rPr>
                <w:rFonts w:ascii="Arial" w:eastAsia="Times New Roman" w:hAnsi="Arial" w:cs="Arial"/>
                <w:b/>
                <w:bCs/>
                <w:color w:val="000000" w:themeColor="text1"/>
                <w:sz w:val="18"/>
                <w:szCs w:val="18"/>
                <w:lang w:eastAsia="sl-SI"/>
              </w:rPr>
              <w:t>16.780</w:t>
            </w:r>
          </w:p>
        </w:tc>
        <w:tc>
          <w:tcPr>
            <w:tcW w:w="1340" w:type="dxa"/>
            <w:tcBorders>
              <w:top w:val="nil"/>
              <w:left w:val="nil"/>
              <w:bottom w:val="single" w:sz="4" w:space="0" w:color="auto"/>
              <w:right w:val="single" w:sz="4" w:space="0" w:color="auto"/>
            </w:tcBorders>
            <w:shd w:val="clear" w:color="auto" w:fill="F2F2F2" w:themeFill="background1" w:themeFillShade="F2"/>
            <w:noWrap/>
            <w:vAlign w:val="center"/>
            <w:hideMark/>
          </w:tcPr>
          <w:p w14:paraId="0C2C9515" w14:textId="77777777" w:rsidR="001A376E" w:rsidRPr="001A376E" w:rsidRDefault="001A376E" w:rsidP="001A376E">
            <w:pPr>
              <w:spacing w:after="0" w:line="240" w:lineRule="auto"/>
              <w:jc w:val="right"/>
              <w:rPr>
                <w:rFonts w:ascii="Arial" w:eastAsia="Times New Roman" w:hAnsi="Arial" w:cs="Arial"/>
                <w:b/>
                <w:bCs/>
                <w:color w:val="000000" w:themeColor="text1"/>
                <w:sz w:val="18"/>
                <w:szCs w:val="18"/>
                <w:lang w:eastAsia="sl-SI"/>
              </w:rPr>
            </w:pPr>
            <w:r w:rsidRPr="001A376E">
              <w:rPr>
                <w:rFonts w:ascii="Arial" w:eastAsia="Times New Roman" w:hAnsi="Arial" w:cs="Arial"/>
                <w:b/>
                <w:bCs/>
                <w:color w:val="000000" w:themeColor="text1"/>
                <w:sz w:val="18"/>
                <w:szCs w:val="18"/>
                <w:lang w:eastAsia="sl-SI"/>
              </w:rPr>
              <w:t>5.218.980.380</w:t>
            </w:r>
          </w:p>
        </w:tc>
        <w:tc>
          <w:tcPr>
            <w:tcW w:w="1740" w:type="dxa"/>
            <w:tcBorders>
              <w:top w:val="nil"/>
              <w:left w:val="nil"/>
              <w:bottom w:val="single" w:sz="4" w:space="0" w:color="auto"/>
              <w:right w:val="single" w:sz="4" w:space="0" w:color="auto"/>
            </w:tcBorders>
            <w:shd w:val="clear" w:color="auto" w:fill="F2F2F2" w:themeFill="background1" w:themeFillShade="F2"/>
            <w:noWrap/>
            <w:vAlign w:val="center"/>
            <w:hideMark/>
          </w:tcPr>
          <w:p w14:paraId="25600964" w14:textId="7A400179" w:rsidR="001A376E" w:rsidRPr="001A376E" w:rsidRDefault="001A376E" w:rsidP="001A376E">
            <w:pPr>
              <w:spacing w:after="0" w:line="240" w:lineRule="auto"/>
              <w:jc w:val="right"/>
              <w:rPr>
                <w:rFonts w:ascii="Arial" w:eastAsia="Times New Roman" w:hAnsi="Arial" w:cs="Arial"/>
                <w:b/>
                <w:bCs/>
                <w:color w:val="000000" w:themeColor="text1"/>
                <w:sz w:val="18"/>
                <w:szCs w:val="18"/>
                <w:lang w:eastAsia="sl-SI"/>
              </w:rPr>
            </w:pPr>
            <w:r w:rsidRPr="001A376E">
              <w:rPr>
                <w:rFonts w:ascii="Arial" w:eastAsia="Times New Roman" w:hAnsi="Arial" w:cs="Arial"/>
                <w:b/>
                <w:bCs/>
                <w:color w:val="000000" w:themeColor="text1"/>
                <w:sz w:val="18"/>
                <w:szCs w:val="18"/>
                <w:lang w:eastAsia="sl-SI"/>
              </w:rPr>
              <w:t>100,00 %</w:t>
            </w:r>
          </w:p>
        </w:tc>
        <w:tc>
          <w:tcPr>
            <w:tcW w:w="1720" w:type="dxa"/>
            <w:tcBorders>
              <w:top w:val="nil"/>
              <w:left w:val="nil"/>
              <w:bottom w:val="single" w:sz="4" w:space="0" w:color="auto"/>
              <w:right w:val="single" w:sz="4" w:space="0" w:color="auto"/>
            </w:tcBorders>
            <w:shd w:val="clear" w:color="auto" w:fill="F2F2F2" w:themeFill="background1" w:themeFillShade="F2"/>
            <w:noWrap/>
            <w:vAlign w:val="center"/>
            <w:hideMark/>
          </w:tcPr>
          <w:p w14:paraId="70551518" w14:textId="0DABD968" w:rsidR="001A376E" w:rsidRPr="001A376E" w:rsidRDefault="001A376E" w:rsidP="001A376E">
            <w:pPr>
              <w:spacing w:after="0" w:line="240" w:lineRule="auto"/>
              <w:jc w:val="right"/>
              <w:rPr>
                <w:rFonts w:ascii="Arial" w:eastAsia="Times New Roman" w:hAnsi="Arial" w:cs="Arial"/>
                <w:b/>
                <w:bCs/>
                <w:color w:val="000000" w:themeColor="text1"/>
                <w:sz w:val="18"/>
                <w:szCs w:val="18"/>
                <w:lang w:eastAsia="sl-SI"/>
              </w:rPr>
            </w:pPr>
            <w:r w:rsidRPr="001A376E">
              <w:rPr>
                <w:rFonts w:ascii="Arial" w:eastAsia="Times New Roman" w:hAnsi="Arial" w:cs="Arial"/>
                <w:b/>
                <w:bCs/>
                <w:color w:val="000000" w:themeColor="text1"/>
                <w:sz w:val="18"/>
                <w:szCs w:val="18"/>
                <w:lang w:eastAsia="sl-SI"/>
              </w:rPr>
              <w:t>100,00 %</w:t>
            </w:r>
          </w:p>
        </w:tc>
      </w:tr>
    </w:tbl>
    <w:p w14:paraId="2F333A19" w14:textId="5B488F7F" w:rsidR="005E1B7C" w:rsidRPr="001A376E" w:rsidRDefault="005E1B7C" w:rsidP="005E1B7C">
      <w:pPr>
        <w:spacing w:after="0" w:line="240" w:lineRule="auto"/>
        <w:jc w:val="both"/>
        <w:rPr>
          <w:rFonts w:ascii="Arial" w:hAnsi="Arial" w:cs="Arial"/>
          <w:sz w:val="20"/>
        </w:rPr>
      </w:pPr>
    </w:p>
    <w:p w14:paraId="4CF29524" w14:textId="7A98775A" w:rsidR="00F83DD4" w:rsidRPr="001A376E" w:rsidRDefault="00F83DD4" w:rsidP="004A613D">
      <w:pPr>
        <w:spacing w:after="0" w:line="360" w:lineRule="auto"/>
        <w:jc w:val="center"/>
        <w:rPr>
          <w:rFonts w:ascii="Arial" w:hAnsi="Arial" w:cs="Arial"/>
          <w:sz w:val="18"/>
        </w:rPr>
      </w:pPr>
      <w:r w:rsidRPr="001A376E">
        <w:rPr>
          <w:rFonts w:ascii="Arial" w:hAnsi="Arial" w:cs="Arial"/>
          <w:sz w:val="18"/>
        </w:rPr>
        <w:t>Vir: Statistični podatki o javni</w:t>
      </w:r>
      <w:r w:rsidR="00CA1B75" w:rsidRPr="001A376E">
        <w:rPr>
          <w:rFonts w:ascii="Arial" w:hAnsi="Arial" w:cs="Arial"/>
          <w:sz w:val="18"/>
        </w:rPr>
        <w:t>h naročilih, oddanih v letu 20</w:t>
      </w:r>
      <w:r w:rsidR="005E1B7C" w:rsidRPr="001A376E">
        <w:rPr>
          <w:rFonts w:ascii="Arial" w:hAnsi="Arial" w:cs="Arial"/>
          <w:sz w:val="18"/>
        </w:rPr>
        <w:t>2</w:t>
      </w:r>
      <w:r w:rsidR="001A376E" w:rsidRPr="001A376E">
        <w:rPr>
          <w:rFonts w:ascii="Arial" w:hAnsi="Arial" w:cs="Arial"/>
          <w:sz w:val="18"/>
        </w:rPr>
        <w:t>2</w:t>
      </w:r>
      <w:r w:rsidR="00C20AF0" w:rsidRPr="001A376E">
        <w:rPr>
          <w:rFonts w:ascii="Arial" w:hAnsi="Arial" w:cs="Arial"/>
          <w:sz w:val="18"/>
        </w:rPr>
        <w:t>.</w:t>
      </w:r>
    </w:p>
    <w:p w14:paraId="651C910A" w14:textId="3F6FB265" w:rsidR="00310231" w:rsidRPr="00E264EA" w:rsidRDefault="00310231" w:rsidP="0058576E">
      <w:pPr>
        <w:spacing w:after="0" w:line="240" w:lineRule="auto"/>
        <w:jc w:val="both"/>
        <w:rPr>
          <w:rFonts w:ascii="Arial" w:hAnsi="Arial" w:cs="Arial"/>
          <w:sz w:val="20"/>
          <w:szCs w:val="20"/>
          <w:lang w:eastAsia="sl-SI"/>
        </w:rPr>
      </w:pPr>
    </w:p>
    <w:p w14:paraId="7F8B46FA" w14:textId="131DAEF6" w:rsidR="0036281E" w:rsidRPr="00BF7302" w:rsidRDefault="00F83DD4" w:rsidP="001B3568">
      <w:pPr>
        <w:spacing w:line="360" w:lineRule="auto"/>
        <w:jc w:val="both"/>
        <w:rPr>
          <w:rStyle w:val="Naslov2Znak"/>
          <w:rFonts w:ascii="Arial" w:eastAsiaTheme="minorHAnsi" w:hAnsi="Arial" w:cs="Arial"/>
          <w:color w:val="auto"/>
          <w:sz w:val="20"/>
          <w:szCs w:val="20"/>
          <w:highlight w:val="yellow"/>
          <w:lang w:eastAsia="sl-SI"/>
        </w:rPr>
      </w:pPr>
      <w:r w:rsidRPr="00E264EA">
        <w:rPr>
          <w:rFonts w:ascii="Arial" w:hAnsi="Arial" w:cs="Arial"/>
          <w:sz w:val="20"/>
          <w:szCs w:val="20"/>
          <w:lang w:eastAsia="sl-SI"/>
        </w:rPr>
        <w:lastRenderedPageBreak/>
        <w:t xml:space="preserve">Slika 1 prikazuje delež javnih naročil, ki so jih naročniki iz posamezne regije oddali ponudnikom iz iste regije, in sicer glede na vrednost javnih naročil te regije, oddanih slovenskim ponudnikom. </w:t>
      </w:r>
      <w:r w:rsidR="001B3568" w:rsidRPr="00E264EA">
        <w:rPr>
          <w:rFonts w:ascii="Arial" w:hAnsi="Arial" w:cs="Arial"/>
          <w:sz w:val="20"/>
          <w:szCs w:val="20"/>
          <w:lang w:eastAsia="sl-SI"/>
        </w:rPr>
        <w:t xml:space="preserve">Naročila, ki jih </w:t>
      </w:r>
      <w:r w:rsidR="001B3568" w:rsidRPr="006B4026">
        <w:rPr>
          <w:rFonts w:ascii="Arial" w:hAnsi="Arial" w:cs="Arial"/>
          <w:sz w:val="20"/>
          <w:szCs w:val="20"/>
          <w:lang w:eastAsia="sl-SI"/>
        </w:rPr>
        <w:t>naročniki oddajo na podlagi petega odstavka 73. člena ZJN-3 (načelo kratkih verig), niso v</w:t>
      </w:r>
      <w:r w:rsidR="00FD7055" w:rsidRPr="006B4026">
        <w:rPr>
          <w:rFonts w:ascii="Arial" w:hAnsi="Arial" w:cs="Arial"/>
          <w:sz w:val="20"/>
          <w:szCs w:val="20"/>
          <w:lang w:eastAsia="sl-SI"/>
        </w:rPr>
        <w:t>ključena</w:t>
      </w:r>
      <w:r w:rsidR="001B3568" w:rsidRPr="006B4026">
        <w:rPr>
          <w:rFonts w:ascii="Arial" w:hAnsi="Arial" w:cs="Arial"/>
        </w:rPr>
        <w:t xml:space="preserve">. </w:t>
      </w:r>
      <w:r w:rsidRPr="006B4026">
        <w:rPr>
          <w:rFonts w:ascii="Arial" w:hAnsi="Arial" w:cs="Arial"/>
          <w:sz w:val="20"/>
          <w:szCs w:val="20"/>
          <w:lang w:eastAsia="sl-SI"/>
        </w:rPr>
        <w:t xml:space="preserve">Največji delež vrednosti naročil, ki so jih naročniki oddali ponudnikom iz iste regije, je pri naročnikih iz </w:t>
      </w:r>
      <w:r w:rsidR="00E264EA" w:rsidRPr="006B4026">
        <w:rPr>
          <w:rFonts w:ascii="Arial" w:hAnsi="Arial" w:cs="Arial"/>
          <w:sz w:val="20"/>
          <w:szCs w:val="20"/>
          <w:lang w:eastAsia="sl-SI"/>
        </w:rPr>
        <w:t>osrednjeslovenske</w:t>
      </w:r>
      <w:r w:rsidRPr="006B4026">
        <w:rPr>
          <w:rFonts w:ascii="Arial" w:hAnsi="Arial" w:cs="Arial"/>
          <w:sz w:val="20"/>
          <w:szCs w:val="20"/>
          <w:lang w:eastAsia="sl-SI"/>
        </w:rPr>
        <w:t xml:space="preserve"> regije</w:t>
      </w:r>
      <w:r w:rsidR="00CD4647" w:rsidRPr="006B4026">
        <w:rPr>
          <w:rFonts w:ascii="Arial" w:hAnsi="Arial" w:cs="Arial"/>
          <w:sz w:val="20"/>
          <w:szCs w:val="20"/>
          <w:lang w:eastAsia="sl-SI"/>
        </w:rPr>
        <w:t>,</w:t>
      </w:r>
      <w:r w:rsidRPr="006B4026">
        <w:rPr>
          <w:rFonts w:ascii="Arial" w:hAnsi="Arial" w:cs="Arial"/>
          <w:sz w:val="20"/>
          <w:szCs w:val="20"/>
          <w:lang w:eastAsia="sl-SI"/>
        </w:rPr>
        <w:t xml:space="preserve"> in </w:t>
      </w:r>
      <w:r w:rsidR="00CD4647" w:rsidRPr="006B4026">
        <w:rPr>
          <w:rFonts w:ascii="Arial" w:hAnsi="Arial" w:cs="Arial"/>
          <w:sz w:val="20"/>
          <w:szCs w:val="20"/>
          <w:lang w:eastAsia="sl-SI"/>
        </w:rPr>
        <w:t xml:space="preserve">sicer </w:t>
      </w:r>
      <w:r w:rsidR="00E264EA" w:rsidRPr="006B4026">
        <w:rPr>
          <w:rFonts w:ascii="Arial" w:hAnsi="Arial" w:cs="Arial"/>
          <w:sz w:val="20"/>
          <w:szCs w:val="20"/>
          <w:lang w:eastAsia="sl-SI"/>
        </w:rPr>
        <w:t>47,18</w:t>
      </w:r>
      <w:r w:rsidR="00C20AF0" w:rsidRPr="006B4026">
        <w:rPr>
          <w:rFonts w:ascii="Arial" w:hAnsi="Arial" w:cs="Arial"/>
          <w:sz w:val="20"/>
          <w:szCs w:val="20"/>
          <w:lang w:eastAsia="sl-SI"/>
        </w:rPr>
        <w:t> </w:t>
      </w:r>
      <w:r w:rsidR="00AC0027">
        <w:rPr>
          <w:rFonts w:ascii="Arial" w:hAnsi="Arial" w:cs="Arial"/>
          <w:sz w:val="20"/>
          <w:szCs w:val="20"/>
          <w:lang w:eastAsia="sl-SI"/>
        </w:rPr>
        <w:t>odstotka</w:t>
      </w:r>
      <w:r w:rsidRPr="006B4026">
        <w:rPr>
          <w:rFonts w:ascii="Arial" w:hAnsi="Arial" w:cs="Arial"/>
          <w:sz w:val="20"/>
          <w:szCs w:val="20"/>
          <w:lang w:eastAsia="sl-SI"/>
        </w:rPr>
        <w:t xml:space="preserve"> oziroma</w:t>
      </w:r>
      <w:r w:rsidR="005D075B" w:rsidRPr="006B4026">
        <w:rPr>
          <w:rFonts w:ascii="Arial" w:hAnsi="Arial" w:cs="Arial"/>
          <w:sz w:val="20"/>
          <w:szCs w:val="20"/>
          <w:lang w:eastAsia="sl-SI"/>
        </w:rPr>
        <w:t xml:space="preserve"> </w:t>
      </w:r>
      <w:r w:rsidR="00E264EA" w:rsidRPr="006B4026">
        <w:rPr>
          <w:rFonts w:ascii="Arial" w:hAnsi="Arial" w:cs="Arial"/>
          <w:sz w:val="20"/>
          <w:szCs w:val="20"/>
          <w:lang w:eastAsia="sl-SI"/>
        </w:rPr>
        <w:t xml:space="preserve">1.293.824.283 </w:t>
      </w:r>
      <w:r w:rsidRPr="006B4026">
        <w:rPr>
          <w:rFonts w:ascii="Arial" w:hAnsi="Arial" w:cs="Arial"/>
          <w:sz w:val="20"/>
          <w:szCs w:val="20"/>
          <w:lang w:eastAsia="sl-SI"/>
        </w:rPr>
        <w:t>evrov. Najmanjši delež vrednosti naročil, ki so jih naročniki oddali ponudnikom iz iste regije</w:t>
      </w:r>
      <w:r w:rsidR="00B417B3" w:rsidRPr="006B4026">
        <w:rPr>
          <w:rFonts w:ascii="Arial" w:hAnsi="Arial" w:cs="Arial"/>
          <w:sz w:val="20"/>
          <w:szCs w:val="20"/>
          <w:lang w:eastAsia="sl-SI"/>
        </w:rPr>
        <w:t>,</w:t>
      </w:r>
      <w:r w:rsidRPr="006B4026">
        <w:rPr>
          <w:rFonts w:ascii="Arial" w:hAnsi="Arial" w:cs="Arial"/>
          <w:sz w:val="20"/>
          <w:szCs w:val="20"/>
          <w:lang w:eastAsia="sl-SI"/>
        </w:rPr>
        <w:t xml:space="preserve"> je pri naročnikih iz </w:t>
      </w:r>
      <w:r w:rsidR="00D7231F" w:rsidRPr="006B4026">
        <w:rPr>
          <w:rFonts w:ascii="Arial" w:hAnsi="Arial" w:cs="Arial"/>
          <w:sz w:val="20"/>
          <w:szCs w:val="20"/>
          <w:lang w:eastAsia="sl-SI"/>
        </w:rPr>
        <w:t xml:space="preserve">primorsko-notranjske </w:t>
      </w:r>
      <w:r w:rsidRPr="006B4026">
        <w:rPr>
          <w:rFonts w:ascii="Arial" w:hAnsi="Arial" w:cs="Arial"/>
          <w:sz w:val="20"/>
          <w:szCs w:val="20"/>
          <w:lang w:eastAsia="sl-SI"/>
        </w:rPr>
        <w:t>regije</w:t>
      </w:r>
      <w:r w:rsidR="00CD4647" w:rsidRPr="006B4026">
        <w:rPr>
          <w:rFonts w:ascii="Arial" w:hAnsi="Arial" w:cs="Arial"/>
          <w:sz w:val="20"/>
          <w:szCs w:val="20"/>
          <w:lang w:eastAsia="sl-SI"/>
        </w:rPr>
        <w:t>,</w:t>
      </w:r>
      <w:r w:rsidRPr="006B4026">
        <w:rPr>
          <w:rFonts w:ascii="Arial" w:hAnsi="Arial" w:cs="Arial"/>
          <w:sz w:val="20"/>
          <w:szCs w:val="20"/>
          <w:lang w:eastAsia="sl-SI"/>
        </w:rPr>
        <w:t xml:space="preserve"> in </w:t>
      </w:r>
      <w:r w:rsidR="00CD4647" w:rsidRPr="006B4026">
        <w:rPr>
          <w:rFonts w:ascii="Arial" w:hAnsi="Arial" w:cs="Arial"/>
          <w:sz w:val="20"/>
          <w:szCs w:val="20"/>
          <w:lang w:eastAsia="sl-SI"/>
        </w:rPr>
        <w:t xml:space="preserve">sicer </w:t>
      </w:r>
      <w:r w:rsidR="006B4026" w:rsidRPr="006B4026">
        <w:rPr>
          <w:rFonts w:ascii="Arial" w:hAnsi="Arial" w:cs="Arial"/>
          <w:sz w:val="20"/>
          <w:szCs w:val="20"/>
          <w:lang w:eastAsia="sl-SI"/>
        </w:rPr>
        <w:t xml:space="preserve">4,9 </w:t>
      </w:r>
      <w:r w:rsidR="00AC0027">
        <w:rPr>
          <w:rFonts w:ascii="Arial" w:hAnsi="Arial" w:cs="Arial"/>
          <w:sz w:val="20"/>
          <w:szCs w:val="20"/>
          <w:lang w:eastAsia="sl-SI"/>
        </w:rPr>
        <w:t>odstotka</w:t>
      </w:r>
      <w:r w:rsidR="006011DB" w:rsidRPr="006B4026">
        <w:rPr>
          <w:rFonts w:ascii="Arial" w:hAnsi="Arial" w:cs="Arial"/>
          <w:sz w:val="20"/>
          <w:szCs w:val="20"/>
          <w:lang w:eastAsia="sl-SI"/>
        </w:rPr>
        <w:t xml:space="preserve"> oziroma </w:t>
      </w:r>
      <w:r w:rsidR="006B4026" w:rsidRPr="006B4026">
        <w:rPr>
          <w:rFonts w:ascii="Arial" w:hAnsi="Arial" w:cs="Arial"/>
          <w:sz w:val="20"/>
          <w:szCs w:val="20"/>
          <w:lang w:eastAsia="sl-SI"/>
        </w:rPr>
        <w:t xml:space="preserve">2.267.859 </w:t>
      </w:r>
      <w:r w:rsidR="006011DB" w:rsidRPr="006B4026">
        <w:rPr>
          <w:rFonts w:ascii="Arial" w:hAnsi="Arial" w:cs="Arial"/>
          <w:sz w:val="20"/>
          <w:szCs w:val="20"/>
          <w:lang w:eastAsia="sl-SI"/>
        </w:rPr>
        <w:t>evrov</w:t>
      </w:r>
      <w:r w:rsidRPr="006B4026">
        <w:rPr>
          <w:rFonts w:ascii="Arial" w:hAnsi="Arial" w:cs="Arial"/>
          <w:sz w:val="20"/>
          <w:szCs w:val="20"/>
          <w:lang w:eastAsia="sl-SI"/>
        </w:rPr>
        <w:t>.</w:t>
      </w:r>
      <w:r w:rsidR="00C717D2" w:rsidRPr="006B4026">
        <w:rPr>
          <w:rFonts w:ascii="Arial" w:hAnsi="Arial" w:cs="Arial"/>
          <w:sz w:val="20"/>
          <w:szCs w:val="20"/>
          <w:lang w:eastAsia="sl-SI"/>
        </w:rPr>
        <w:t xml:space="preserve"> </w:t>
      </w:r>
    </w:p>
    <w:p w14:paraId="68C0079C" w14:textId="18478377" w:rsidR="006011DB" w:rsidRPr="00D82B70" w:rsidRDefault="00F83DD4" w:rsidP="00AF22F2">
      <w:pPr>
        <w:spacing w:before="120" w:after="120" w:line="240" w:lineRule="auto"/>
        <w:jc w:val="both"/>
        <w:rPr>
          <w:rFonts w:ascii="Arial" w:hAnsi="Arial" w:cs="Arial"/>
          <w:sz w:val="20"/>
        </w:rPr>
      </w:pPr>
      <w:r w:rsidRPr="00D82B70">
        <w:rPr>
          <w:rFonts w:ascii="Arial" w:hAnsi="Arial" w:cs="Arial"/>
          <w:sz w:val="20"/>
        </w:rPr>
        <w:t xml:space="preserve">Slika 1: </w:t>
      </w:r>
      <w:r w:rsidR="004F4843" w:rsidRPr="00D82B70">
        <w:rPr>
          <w:rFonts w:ascii="Arial" w:hAnsi="Arial" w:cs="Arial"/>
          <w:sz w:val="20"/>
        </w:rPr>
        <w:t>Ozemeljska</w:t>
      </w:r>
      <w:r w:rsidR="004F22C9" w:rsidRPr="00D82B70">
        <w:rPr>
          <w:rFonts w:ascii="Arial" w:hAnsi="Arial" w:cs="Arial"/>
          <w:sz w:val="20"/>
        </w:rPr>
        <w:t xml:space="preserve"> porazdelitev javnih naročil</w:t>
      </w:r>
    </w:p>
    <w:p w14:paraId="6E972B77" w14:textId="2FAC416F" w:rsidR="00EB115B" w:rsidRPr="00D82B70" w:rsidRDefault="00D82B70" w:rsidP="00D82B70">
      <w:pPr>
        <w:spacing w:before="120" w:after="120" w:line="240" w:lineRule="auto"/>
        <w:jc w:val="center"/>
        <w:rPr>
          <w:rFonts w:ascii="Arial" w:hAnsi="Arial" w:cs="Arial"/>
          <w:sz w:val="20"/>
        </w:rPr>
      </w:pPr>
      <w:r w:rsidRPr="00D82B70">
        <w:rPr>
          <w:noProof/>
          <w:lang w:eastAsia="sl-SI"/>
        </w:rPr>
        <w:drawing>
          <wp:inline distT="0" distB="0" distL="0" distR="0" wp14:anchorId="681FBAEF" wp14:editId="3AF2EE2B">
            <wp:extent cx="5227320" cy="2846717"/>
            <wp:effectExtent l="0" t="0" r="0" b="0"/>
            <wp:docPr id="23" name="Slika 23" descr="Slika prikazuje delež javnih naročil, ki so jih naročniki iz posamezne regije oddali ponudnikom iz iste regije, in sicer glede na vrednost javnih naročil te regije, oddanih slovenskim ponudnik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ka 23" descr="Slika prikazuje delež javnih naročil, ki so jih naročniki iz posamezne regije oddali ponudnikom iz iste regije, in sicer glede na vrednost javnih naročil te regije, oddanih slovenskim ponudnikom."/>
                    <pic:cNvPicPr/>
                  </pic:nvPicPr>
                  <pic:blipFill>
                    <a:blip r:embed="rId15"/>
                    <a:stretch>
                      <a:fillRect/>
                    </a:stretch>
                  </pic:blipFill>
                  <pic:spPr>
                    <a:xfrm>
                      <a:off x="0" y="0"/>
                      <a:ext cx="5254976" cy="2861778"/>
                    </a:xfrm>
                    <a:prstGeom prst="rect">
                      <a:avLst/>
                    </a:prstGeom>
                  </pic:spPr>
                </pic:pic>
              </a:graphicData>
            </a:graphic>
          </wp:inline>
        </w:drawing>
      </w:r>
    </w:p>
    <w:p w14:paraId="49E7C63B" w14:textId="232D8C10" w:rsidR="00F83DD4" w:rsidRPr="00D82B70" w:rsidRDefault="00F83DD4" w:rsidP="00701C10">
      <w:pPr>
        <w:spacing w:after="240" w:line="240" w:lineRule="auto"/>
        <w:jc w:val="center"/>
        <w:rPr>
          <w:rFonts w:ascii="Arial" w:hAnsi="Arial" w:cs="Arial"/>
          <w:sz w:val="18"/>
        </w:rPr>
      </w:pPr>
      <w:r w:rsidRPr="00D82B70">
        <w:rPr>
          <w:rFonts w:ascii="Arial" w:hAnsi="Arial" w:cs="Arial"/>
          <w:sz w:val="18"/>
        </w:rPr>
        <w:t>Vir: Statistični podatki o javni</w:t>
      </w:r>
      <w:r w:rsidR="00F859E3" w:rsidRPr="00D82B70">
        <w:rPr>
          <w:rFonts w:ascii="Arial" w:hAnsi="Arial" w:cs="Arial"/>
          <w:sz w:val="18"/>
        </w:rPr>
        <w:t>h naročilih, oddanih v letu 20</w:t>
      </w:r>
      <w:r w:rsidR="00B060A4" w:rsidRPr="00D82B70">
        <w:rPr>
          <w:rFonts w:ascii="Arial" w:hAnsi="Arial" w:cs="Arial"/>
          <w:sz w:val="18"/>
        </w:rPr>
        <w:t>2</w:t>
      </w:r>
      <w:r w:rsidR="00932105" w:rsidRPr="00D82B70">
        <w:rPr>
          <w:rFonts w:ascii="Arial" w:hAnsi="Arial" w:cs="Arial"/>
          <w:sz w:val="18"/>
        </w:rPr>
        <w:t>2</w:t>
      </w:r>
      <w:r w:rsidR="00C20AF0" w:rsidRPr="00D82B70">
        <w:rPr>
          <w:rFonts w:ascii="Arial" w:hAnsi="Arial" w:cs="Arial"/>
          <w:sz w:val="18"/>
        </w:rPr>
        <w:t>.</w:t>
      </w:r>
    </w:p>
    <w:p w14:paraId="15C9FAFD" w14:textId="77777777" w:rsidR="00F83DD4" w:rsidRPr="00BF7302" w:rsidRDefault="00F83DD4" w:rsidP="00854405">
      <w:pPr>
        <w:pStyle w:val="ZADEVA"/>
        <w:jc w:val="both"/>
        <w:rPr>
          <w:rFonts w:cs="Arial"/>
          <w:b w:val="0"/>
          <w:szCs w:val="20"/>
          <w:highlight w:val="yellow"/>
          <w:lang w:val="sl-SI"/>
        </w:rPr>
      </w:pPr>
    </w:p>
    <w:p w14:paraId="00AE7F33" w14:textId="703CFEDA" w:rsidR="001C6865" w:rsidRPr="00AD369F" w:rsidRDefault="001C6865" w:rsidP="001C6865">
      <w:pPr>
        <w:pStyle w:val="Naslov3"/>
        <w:rPr>
          <w:rFonts w:ascii="Arial" w:hAnsi="Arial" w:cs="Arial"/>
          <w:sz w:val="22"/>
          <w:szCs w:val="22"/>
        </w:rPr>
      </w:pPr>
      <w:bookmarkStart w:id="39" w:name="_Toc141864071"/>
      <w:r w:rsidRPr="00AD369F">
        <w:rPr>
          <w:rFonts w:ascii="Arial" w:hAnsi="Arial" w:cs="Arial"/>
          <w:sz w:val="22"/>
          <w:szCs w:val="22"/>
        </w:rPr>
        <w:t>2.</w:t>
      </w:r>
      <w:r w:rsidR="00FA2740" w:rsidRPr="00AD369F">
        <w:rPr>
          <w:rFonts w:ascii="Arial" w:hAnsi="Arial" w:cs="Arial"/>
          <w:sz w:val="22"/>
          <w:szCs w:val="22"/>
        </w:rPr>
        <w:t>6</w:t>
      </w:r>
      <w:r w:rsidRPr="00AD369F">
        <w:rPr>
          <w:rFonts w:ascii="Arial" w:hAnsi="Arial" w:cs="Arial"/>
          <w:sz w:val="22"/>
          <w:szCs w:val="22"/>
        </w:rPr>
        <w:t>.4 Velikost ponudnikov</w:t>
      </w:r>
      <w:bookmarkEnd w:id="39"/>
    </w:p>
    <w:p w14:paraId="41527F59" w14:textId="77777777" w:rsidR="00B11580" w:rsidRPr="00AD369F" w:rsidRDefault="00B11580" w:rsidP="00854405">
      <w:pPr>
        <w:pStyle w:val="ZADEVA"/>
        <w:jc w:val="both"/>
        <w:rPr>
          <w:rFonts w:cs="Arial"/>
          <w:b w:val="0"/>
          <w:szCs w:val="20"/>
          <w:lang w:val="sl-SI"/>
        </w:rPr>
      </w:pPr>
    </w:p>
    <w:p w14:paraId="4B19E6C8" w14:textId="3765296A" w:rsidR="00F83DD4" w:rsidRPr="00AD369F" w:rsidRDefault="004F4843" w:rsidP="000F2B07">
      <w:pPr>
        <w:spacing w:line="360" w:lineRule="auto"/>
        <w:jc w:val="both"/>
        <w:rPr>
          <w:rFonts w:ascii="Arial" w:hAnsi="Arial" w:cs="Arial"/>
          <w:bCs/>
          <w:sz w:val="20"/>
          <w:szCs w:val="20"/>
          <w:lang w:eastAsia="sl-SI"/>
        </w:rPr>
      </w:pPr>
      <w:r w:rsidRPr="00AD369F">
        <w:rPr>
          <w:rFonts w:ascii="Arial" w:hAnsi="Arial" w:cs="Arial"/>
          <w:bCs/>
          <w:sz w:val="20"/>
          <w:szCs w:val="20"/>
          <w:lang w:eastAsia="sl-SI"/>
        </w:rPr>
        <w:t>P</w:t>
      </w:r>
      <w:r w:rsidR="00F83DD4" w:rsidRPr="00AD369F">
        <w:rPr>
          <w:rFonts w:ascii="Arial" w:hAnsi="Arial" w:cs="Arial"/>
          <w:bCs/>
          <w:sz w:val="20"/>
          <w:szCs w:val="20"/>
          <w:lang w:eastAsia="sl-SI"/>
        </w:rPr>
        <w:t>odatk</w:t>
      </w:r>
      <w:r w:rsidRPr="00AD369F">
        <w:rPr>
          <w:rFonts w:ascii="Arial" w:hAnsi="Arial" w:cs="Arial"/>
          <w:bCs/>
          <w:sz w:val="20"/>
          <w:szCs w:val="20"/>
          <w:lang w:eastAsia="sl-SI"/>
        </w:rPr>
        <w:t>i</w:t>
      </w:r>
      <w:r w:rsidR="00F83DD4" w:rsidRPr="00AD369F">
        <w:rPr>
          <w:rFonts w:ascii="Arial" w:hAnsi="Arial" w:cs="Arial"/>
          <w:bCs/>
          <w:sz w:val="20"/>
          <w:szCs w:val="20"/>
          <w:lang w:eastAsia="sl-SI"/>
        </w:rPr>
        <w:t xml:space="preserve"> iz Poslovnega registra Slovenije, ki jih obdeluje Agencija Republike Slovenije za javnopravne evidence in storitve (AJPES), o velikosti posameznih ponudn</w:t>
      </w:r>
      <w:r w:rsidR="00717CB6" w:rsidRPr="00AD369F">
        <w:rPr>
          <w:rFonts w:ascii="Arial" w:hAnsi="Arial" w:cs="Arial"/>
          <w:bCs/>
          <w:sz w:val="20"/>
          <w:szCs w:val="20"/>
          <w:lang w:eastAsia="sl-SI"/>
        </w:rPr>
        <w:t>ikov, ki so jim bila v letu 20</w:t>
      </w:r>
      <w:r w:rsidR="002C18B8" w:rsidRPr="00AD369F">
        <w:rPr>
          <w:rFonts w:ascii="Arial" w:hAnsi="Arial" w:cs="Arial"/>
          <w:bCs/>
          <w:sz w:val="20"/>
          <w:szCs w:val="20"/>
          <w:lang w:eastAsia="sl-SI"/>
        </w:rPr>
        <w:t>2</w:t>
      </w:r>
      <w:r w:rsidR="00AD369F" w:rsidRPr="00AD369F">
        <w:rPr>
          <w:rFonts w:ascii="Arial" w:hAnsi="Arial" w:cs="Arial"/>
          <w:bCs/>
          <w:sz w:val="20"/>
          <w:szCs w:val="20"/>
          <w:lang w:eastAsia="sl-SI"/>
        </w:rPr>
        <w:t>2</w:t>
      </w:r>
      <w:r w:rsidR="00F83DD4" w:rsidRPr="00AD369F">
        <w:rPr>
          <w:rFonts w:ascii="Arial" w:hAnsi="Arial" w:cs="Arial"/>
          <w:bCs/>
          <w:sz w:val="20"/>
          <w:szCs w:val="20"/>
          <w:lang w:eastAsia="sl-SI"/>
        </w:rPr>
        <w:t xml:space="preserve"> dodeljena javna naročila, in podatk</w:t>
      </w:r>
      <w:r w:rsidRPr="00AD369F">
        <w:rPr>
          <w:rFonts w:ascii="Arial" w:hAnsi="Arial" w:cs="Arial"/>
          <w:bCs/>
          <w:sz w:val="20"/>
          <w:szCs w:val="20"/>
          <w:lang w:eastAsia="sl-SI"/>
        </w:rPr>
        <w:t>i</w:t>
      </w:r>
      <w:r w:rsidR="00F83DD4" w:rsidRPr="00AD369F">
        <w:rPr>
          <w:rFonts w:ascii="Arial" w:hAnsi="Arial" w:cs="Arial"/>
          <w:bCs/>
          <w:sz w:val="20"/>
          <w:szCs w:val="20"/>
          <w:lang w:eastAsia="sl-SI"/>
        </w:rPr>
        <w:t xml:space="preserve">, ki so jih naročniki oddali na portalu javnih naročil, </w:t>
      </w:r>
      <w:r w:rsidRPr="00AD369F">
        <w:rPr>
          <w:rFonts w:ascii="Arial" w:hAnsi="Arial" w:cs="Arial"/>
          <w:bCs/>
          <w:sz w:val="20"/>
          <w:szCs w:val="20"/>
          <w:lang w:eastAsia="sl-SI"/>
        </w:rPr>
        <w:t>kažejo</w:t>
      </w:r>
      <w:r w:rsidR="00F83DD4" w:rsidRPr="00AD369F">
        <w:rPr>
          <w:rFonts w:ascii="Arial" w:hAnsi="Arial" w:cs="Arial"/>
          <w:bCs/>
          <w:sz w:val="20"/>
          <w:szCs w:val="20"/>
          <w:lang w:eastAsia="sl-SI"/>
        </w:rPr>
        <w:t xml:space="preserve"> razpršenost oziroma porazdelitev javnih naročil glede na velikost slovenskih ponudnikov (na </w:t>
      </w:r>
      <w:proofErr w:type="spellStart"/>
      <w:r w:rsidR="00F83DD4" w:rsidRPr="00AD369F">
        <w:rPr>
          <w:rFonts w:ascii="Arial" w:hAnsi="Arial" w:cs="Arial"/>
          <w:bCs/>
          <w:sz w:val="20"/>
          <w:szCs w:val="20"/>
          <w:lang w:eastAsia="sl-SI"/>
        </w:rPr>
        <w:t>mikro</w:t>
      </w:r>
      <w:proofErr w:type="spellEnd"/>
      <w:r w:rsidR="00F83DD4" w:rsidRPr="00AD369F">
        <w:rPr>
          <w:rFonts w:ascii="Arial" w:hAnsi="Arial" w:cs="Arial"/>
          <w:bCs/>
          <w:sz w:val="20"/>
          <w:szCs w:val="20"/>
          <w:lang w:eastAsia="sl-SI"/>
        </w:rPr>
        <w:t>, ma</w:t>
      </w:r>
      <w:r w:rsidRPr="00AD369F">
        <w:rPr>
          <w:rFonts w:ascii="Arial" w:hAnsi="Arial" w:cs="Arial"/>
          <w:bCs/>
          <w:sz w:val="20"/>
          <w:szCs w:val="20"/>
          <w:lang w:eastAsia="sl-SI"/>
        </w:rPr>
        <w:t>jhne</w:t>
      </w:r>
      <w:r w:rsidR="00F83DD4" w:rsidRPr="00AD369F">
        <w:rPr>
          <w:rFonts w:ascii="Arial" w:hAnsi="Arial" w:cs="Arial"/>
          <w:bCs/>
          <w:sz w:val="20"/>
          <w:szCs w:val="20"/>
          <w:lang w:eastAsia="sl-SI"/>
        </w:rPr>
        <w:t>, srednje in velike družbe ter ma</w:t>
      </w:r>
      <w:r w:rsidRPr="00AD369F">
        <w:rPr>
          <w:rFonts w:ascii="Arial" w:hAnsi="Arial" w:cs="Arial"/>
          <w:bCs/>
          <w:sz w:val="20"/>
          <w:szCs w:val="20"/>
          <w:lang w:eastAsia="sl-SI"/>
        </w:rPr>
        <w:t>jhne</w:t>
      </w:r>
      <w:r w:rsidR="00F83DD4" w:rsidRPr="00AD369F">
        <w:rPr>
          <w:rFonts w:ascii="Arial" w:hAnsi="Arial" w:cs="Arial"/>
          <w:bCs/>
          <w:sz w:val="20"/>
          <w:szCs w:val="20"/>
          <w:lang w:eastAsia="sl-SI"/>
        </w:rPr>
        <w:t>, srednje in velike podjetnike).</w:t>
      </w:r>
    </w:p>
    <w:p w14:paraId="159CA297" w14:textId="6A7A64B1" w:rsidR="00180D5C" w:rsidRPr="00224B95" w:rsidRDefault="00F83DD4" w:rsidP="00CD10B9">
      <w:pPr>
        <w:spacing w:line="360" w:lineRule="auto"/>
        <w:jc w:val="both"/>
        <w:rPr>
          <w:rFonts w:ascii="Arial" w:hAnsi="Arial" w:cs="Arial"/>
          <w:sz w:val="20"/>
          <w:szCs w:val="20"/>
          <w:lang w:eastAsia="sl-SI"/>
        </w:rPr>
      </w:pPr>
      <w:r w:rsidRPr="00224B95">
        <w:rPr>
          <w:rFonts w:ascii="Arial" w:hAnsi="Arial" w:cs="Arial"/>
          <w:sz w:val="20"/>
          <w:szCs w:val="20"/>
        </w:rPr>
        <w:t>V deležu oddanih javnih naročil glede na vrednost imajo</w:t>
      </w:r>
      <w:r w:rsidR="004F4843" w:rsidRPr="00224B95">
        <w:rPr>
          <w:rFonts w:ascii="Arial" w:hAnsi="Arial" w:cs="Arial"/>
          <w:sz w:val="20"/>
          <w:szCs w:val="20"/>
        </w:rPr>
        <w:t xml:space="preserve"> </w:t>
      </w:r>
      <w:r w:rsidR="00250834" w:rsidRPr="00224B95">
        <w:rPr>
          <w:rFonts w:ascii="Arial" w:hAnsi="Arial" w:cs="Arial"/>
          <w:sz w:val="20"/>
          <w:szCs w:val="20"/>
        </w:rPr>
        <w:t>velike</w:t>
      </w:r>
      <w:r w:rsidRPr="00224B95">
        <w:rPr>
          <w:rFonts w:ascii="Arial" w:hAnsi="Arial" w:cs="Arial"/>
          <w:sz w:val="20"/>
          <w:szCs w:val="20"/>
        </w:rPr>
        <w:t xml:space="preserve"> enote največji delež, in sicer ta znaša </w:t>
      </w:r>
      <w:r w:rsidR="00224B95" w:rsidRPr="00224B95">
        <w:rPr>
          <w:rFonts w:ascii="Arial" w:hAnsi="Arial" w:cs="Arial"/>
          <w:sz w:val="20"/>
          <w:szCs w:val="20"/>
        </w:rPr>
        <w:t>45,33</w:t>
      </w:r>
      <w:r w:rsidR="00C20AF0" w:rsidRPr="00224B95">
        <w:rPr>
          <w:rFonts w:ascii="Arial" w:hAnsi="Arial" w:cs="Arial"/>
          <w:sz w:val="20"/>
          <w:szCs w:val="20"/>
        </w:rPr>
        <w:t> </w:t>
      </w:r>
      <w:r w:rsidR="00AC0027">
        <w:rPr>
          <w:rFonts w:ascii="Arial" w:hAnsi="Arial" w:cs="Arial"/>
          <w:sz w:val="20"/>
          <w:szCs w:val="20"/>
        </w:rPr>
        <w:t>odstotka</w:t>
      </w:r>
      <w:r w:rsidRPr="00224B95">
        <w:rPr>
          <w:rFonts w:ascii="Arial" w:hAnsi="Arial" w:cs="Arial"/>
          <w:sz w:val="20"/>
          <w:szCs w:val="20"/>
        </w:rPr>
        <w:t>, dodeljenih pa jim je bilo</w:t>
      </w:r>
      <w:r w:rsidR="00250834" w:rsidRPr="00224B95">
        <w:rPr>
          <w:rFonts w:ascii="Arial" w:hAnsi="Arial" w:cs="Arial"/>
          <w:sz w:val="20"/>
          <w:szCs w:val="20"/>
        </w:rPr>
        <w:t xml:space="preserve"> </w:t>
      </w:r>
      <w:r w:rsidR="002C18B8" w:rsidRPr="00224B95">
        <w:rPr>
          <w:rFonts w:ascii="Arial" w:hAnsi="Arial" w:cs="Arial"/>
          <w:sz w:val="20"/>
          <w:szCs w:val="20"/>
        </w:rPr>
        <w:t>4</w:t>
      </w:r>
      <w:r w:rsidR="00224B95" w:rsidRPr="00224B95">
        <w:rPr>
          <w:rFonts w:ascii="Arial" w:hAnsi="Arial" w:cs="Arial"/>
          <w:sz w:val="20"/>
          <w:szCs w:val="20"/>
        </w:rPr>
        <w:t>142</w:t>
      </w:r>
      <w:r w:rsidR="00250834" w:rsidRPr="00224B95">
        <w:rPr>
          <w:rFonts w:ascii="Arial" w:hAnsi="Arial" w:cs="Arial"/>
          <w:sz w:val="20"/>
          <w:szCs w:val="20"/>
        </w:rPr>
        <w:t xml:space="preserve"> </w:t>
      </w:r>
      <w:r w:rsidR="00CD10B9" w:rsidRPr="00224B95">
        <w:rPr>
          <w:rFonts w:ascii="Arial" w:hAnsi="Arial" w:cs="Arial"/>
          <w:sz w:val="20"/>
          <w:szCs w:val="20"/>
        </w:rPr>
        <w:t xml:space="preserve">javnih </w:t>
      </w:r>
      <w:r w:rsidRPr="00224B95">
        <w:rPr>
          <w:rFonts w:ascii="Arial" w:hAnsi="Arial" w:cs="Arial"/>
          <w:sz w:val="20"/>
          <w:szCs w:val="20"/>
        </w:rPr>
        <w:t xml:space="preserve">naročil v vrednosti </w:t>
      </w:r>
      <w:r w:rsidR="00224B95" w:rsidRPr="00224B95">
        <w:rPr>
          <w:rFonts w:ascii="Arial" w:hAnsi="Arial" w:cs="Arial"/>
          <w:sz w:val="20"/>
          <w:szCs w:val="20"/>
        </w:rPr>
        <w:t xml:space="preserve">2.365.934.748 </w:t>
      </w:r>
      <w:r w:rsidRPr="00224B95">
        <w:rPr>
          <w:rFonts w:ascii="Arial" w:hAnsi="Arial" w:cs="Arial"/>
          <w:sz w:val="20"/>
          <w:szCs w:val="20"/>
        </w:rPr>
        <w:t>evrov. Največji delež v številu oddanih naročil imajo</w:t>
      </w:r>
      <w:r w:rsidR="00250834" w:rsidRPr="00224B95">
        <w:rPr>
          <w:rFonts w:ascii="Arial" w:hAnsi="Arial" w:cs="Arial"/>
          <w:sz w:val="20"/>
          <w:szCs w:val="20"/>
        </w:rPr>
        <w:t xml:space="preserve"> </w:t>
      </w:r>
      <w:r w:rsidRPr="00224B95">
        <w:rPr>
          <w:rFonts w:ascii="Arial" w:hAnsi="Arial" w:cs="Arial"/>
          <w:sz w:val="20"/>
          <w:szCs w:val="20"/>
        </w:rPr>
        <w:t>m</w:t>
      </w:r>
      <w:r w:rsidR="00A4663C" w:rsidRPr="00224B95">
        <w:rPr>
          <w:rFonts w:ascii="Arial" w:hAnsi="Arial" w:cs="Arial"/>
          <w:sz w:val="20"/>
          <w:szCs w:val="20"/>
        </w:rPr>
        <w:t>ajhne</w:t>
      </w:r>
      <w:r w:rsidRPr="00224B95">
        <w:rPr>
          <w:rFonts w:ascii="Arial" w:hAnsi="Arial" w:cs="Arial"/>
          <w:sz w:val="20"/>
          <w:szCs w:val="20"/>
        </w:rPr>
        <w:t xml:space="preserve"> enote, in sicer </w:t>
      </w:r>
      <w:r w:rsidR="00734842" w:rsidRPr="00224B95">
        <w:rPr>
          <w:rFonts w:ascii="Arial" w:hAnsi="Arial" w:cs="Arial"/>
          <w:sz w:val="20"/>
          <w:szCs w:val="20"/>
        </w:rPr>
        <w:t>34,</w:t>
      </w:r>
      <w:r w:rsidR="00224B95" w:rsidRPr="00224B95">
        <w:rPr>
          <w:rFonts w:ascii="Arial" w:hAnsi="Arial" w:cs="Arial"/>
          <w:sz w:val="20"/>
          <w:szCs w:val="20"/>
        </w:rPr>
        <w:t>71</w:t>
      </w:r>
      <w:r w:rsidR="00C20AF0" w:rsidRPr="00224B95">
        <w:rPr>
          <w:rFonts w:ascii="Arial" w:hAnsi="Arial" w:cs="Arial"/>
          <w:sz w:val="20"/>
          <w:szCs w:val="20"/>
        </w:rPr>
        <w:t> </w:t>
      </w:r>
      <w:r w:rsidR="00AC0027">
        <w:rPr>
          <w:rFonts w:ascii="Arial" w:hAnsi="Arial" w:cs="Arial"/>
          <w:sz w:val="20"/>
          <w:szCs w:val="20"/>
        </w:rPr>
        <w:t>odstotka</w:t>
      </w:r>
      <w:r w:rsidR="00A4663C" w:rsidRPr="00224B95">
        <w:rPr>
          <w:rFonts w:ascii="Arial" w:hAnsi="Arial" w:cs="Arial"/>
          <w:sz w:val="20"/>
          <w:szCs w:val="20"/>
        </w:rPr>
        <w:t xml:space="preserve">. </w:t>
      </w:r>
      <w:r w:rsidRPr="00224B95">
        <w:rPr>
          <w:rFonts w:ascii="Arial" w:hAnsi="Arial" w:cs="Arial"/>
          <w:sz w:val="20"/>
          <w:szCs w:val="20"/>
        </w:rPr>
        <w:t>Porazdel</w:t>
      </w:r>
      <w:r w:rsidR="007869A2" w:rsidRPr="00224B95">
        <w:rPr>
          <w:rFonts w:ascii="Arial" w:hAnsi="Arial" w:cs="Arial"/>
          <w:sz w:val="20"/>
          <w:szCs w:val="20"/>
        </w:rPr>
        <w:t>itev oddanih naročil v letu 20</w:t>
      </w:r>
      <w:r w:rsidR="002C18B8" w:rsidRPr="00224B95">
        <w:rPr>
          <w:rFonts w:ascii="Arial" w:hAnsi="Arial" w:cs="Arial"/>
          <w:sz w:val="20"/>
          <w:szCs w:val="20"/>
        </w:rPr>
        <w:t>2</w:t>
      </w:r>
      <w:r w:rsidR="00224B95" w:rsidRPr="00224B95">
        <w:rPr>
          <w:rFonts w:ascii="Arial" w:hAnsi="Arial" w:cs="Arial"/>
          <w:sz w:val="20"/>
          <w:szCs w:val="20"/>
        </w:rPr>
        <w:t>2</w:t>
      </w:r>
      <w:r w:rsidRPr="00224B95">
        <w:rPr>
          <w:rFonts w:ascii="Arial" w:hAnsi="Arial" w:cs="Arial"/>
          <w:sz w:val="20"/>
          <w:szCs w:val="20"/>
        </w:rPr>
        <w:t xml:space="preserve"> glede na velikost slovenskih ponudnikov, njihov delež v številu oddanih naročil </w:t>
      </w:r>
      <w:r w:rsidR="001B3568" w:rsidRPr="00224B95">
        <w:rPr>
          <w:rFonts w:ascii="Arial" w:hAnsi="Arial" w:cs="Arial"/>
          <w:sz w:val="20"/>
          <w:szCs w:val="20"/>
        </w:rPr>
        <w:t>in njihov</w:t>
      </w:r>
      <w:r w:rsidR="00B35EB2" w:rsidRPr="00224B95">
        <w:rPr>
          <w:rFonts w:ascii="Arial" w:hAnsi="Arial" w:cs="Arial"/>
          <w:sz w:val="20"/>
          <w:szCs w:val="20"/>
        </w:rPr>
        <w:t>a</w:t>
      </w:r>
      <w:r w:rsidR="001B3568" w:rsidRPr="00224B95">
        <w:rPr>
          <w:rFonts w:ascii="Arial" w:hAnsi="Arial" w:cs="Arial"/>
          <w:sz w:val="20"/>
          <w:szCs w:val="20"/>
        </w:rPr>
        <w:t xml:space="preserve"> vrednost </w:t>
      </w:r>
      <w:r w:rsidR="004F4843" w:rsidRPr="00224B95">
        <w:rPr>
          <w:rFonts w:ascii="Arial" w:hAnsi="Arial" w:cs="Arial"/>
          <w:sz w:val="20"/>
          <w:szCs w:val="20"/>
        </w:rPr>
        <w:t>so prikazani</w:t>
      </w:r>
      <w:r w:rsidR="001B3568" w:rsidRPr="00224B95">
        <w:rPr>
          <w:rFonts w:ascii="Arial" w:hAnsi="Arial" w:cs="Arial"/>
          <w:sz w:val="20"/>
          <w:szCs w:val="20"/>
        </w:rPr>
        <w:t xml:space="preserve"> </w:t>
      </w:r>
      <w:r w:rsidR="004F4843" w:rsidRPr="00224B95">
        <w:rPr>
          <w:rFonts w:ascii="Arial" w:hAnsi="Arial" w:cs="Arial"/>
          <w:sz w:val="20"/>
          <w:szCs w:val="20"/>
        </w:rPr>
        <w:t>v</w:t>
      </w:r>
      <w:r w:rsidR="001B3568" w:rsidRPr="00224B95">
        <w:rPr>
          <w:rFonts w:ascii="Arial" w:hAnsi="Arial" w:cs="Arial"/>
          <w:sz w:val="20"/>
          <w:szCs w:val="20"/>
        </w:rPr>
        <w:t xml:space="preserve"> spodnj</w:t>
      </w:r>
      <w:r w:rsidR="004F4843" w:rsidRPr="00224B95">
        <w:rPr>
          <w:rFonts w:ascii="Arial" w:hAnsi="Arial" w:cs="Arial"/>
          <w:sz w:val="20"/>
          <w:szCs w:val="20"/>
        </w:rPr>
        <w:t>i</w:t>
      </w:r>
      <w:r w:rsidR="001B3568" w:rsidRPr="00224B95">
        <w:rPr>
          <w:rFonts w:ascii="Arial" w:hAnsi="Arial" w:cs="Arial"/>
          <w:sz w:val="20"/>
          <w:szCs w:val="20"/>
        </w:rPr>
        <w:t xml:space="preserve"> preglednic</w:t>
      </w:r>
      <w:r w:rsidR="004F4843" w:rsidRPr="00224B95">
        <w:rPr>
          <w:rFonts w:ascii="Arial" w:hAnsi="Arial" w:cs="Arial"/>
          <w:sz w:val="20"/>
          <w:szCs w:val="20"/>
        </w:rPr>
        <w:t>i</w:t>
      </w:r>
      <w:r w:rsidR="001B3568" w:rsidRPr="00224B95">
        <w:rPr>
          <w:rFonts w:ascii="Arial" w:hAnsi="Arial" w:cs="Arial"/>
          <w:sz w:val="20"/>
          <w:szCs w:val="20"/>
        </w:rPr>
        <w:t>.</w:t>
      </w:r>
    </w:p>
    <w:p w14:paraId="4836C6EB" w14:textId="77777777" w:rsidR="00C72E29" w:rsidRDefault="00C72E29">
      <w:pPr>
        <w:rPr>
          <w:rFonts w:ascii="Arial" w:hAnsi="Arial" w:cs="Arial"/>
          <w:sz w:val="20"/>
        </w:rPr>
      </w:pPr>
      <w:r>
        <w:rPr>
          <w:rFonts w:ascii="Arial" w:hAnsi="Arial" w:cs="Arial"/>
          <w:sz w:val="20"/>
        </w:rPr>
        <w:br w:type="page"/>
      </w:r>
    </w:p>
    <w:p w14:paraId="351627E3" w14:textId="224B9243" w:rsidR="00180D5C" w:rsidRPr="00224B95" w:rsidRDefault="00CD10B9" w:rsidP="008A61FD">
      <w:pPr>
        <w:spacing w:before="120" w:after="120" w:line="240" w:lineRule="auto"/>
        <w:jc w:val="both"/>
        <w:rPr>
          <w:rFonts w:ascii="Arial" w:hAnsi="Arial" w:cs="Arial"/>
          <w:sz w:val="20"/>
        </w:rPr>
      </w:pPr>
      <w:r w:rsidRPr="00224B95">
        <w:rPr>
          <w:rFonts w:ascii="Arial" w:hAnsi="Arial" w:cs="Arial"/>
          <w:sz w:val="20"/>
        </w:rPr>
        <w:lastRenderedPageBreak/>
        <w:t xml:space="preserve">Preglednica </w:t>
      </w:r>
      <w:r w:rsidR="00512F52" w:rsidRPr="00224B95">
        <w:rPr>
          <w:rFonts w:ascii="Arial" w:hAnsi="Arial" w:cs="Arial"/>
          <w:sz w:val="20"/>
        </w:rPr>
        <w:t>3</w:t>
      </w:r>
      <w:r w:rsidR="00EA747F">
        <w:rPr>
          <w:rFonts w:ascii="Arial" w:hAnsi="Arial" w:cs="Arial"/>
          <w:sz w:val="20"/>
        </w:rPr>
        <w:t>8</w:t>
      </w:r>
      <w:r w:rsidRPr="00224B95">
        <w:rPr>
          <w:rFonts w:ascii="Arial" w:hAnsi="Arial" w:cs="Arial"/>
          <w:sz w:val="20"/>
        </w:rPr>
        <w:t>: Porazdelitev oddanih javnih naročil glede na velikost slovenskih ponudnikov, delež v številu oddanih istovrstnih naročil in delež v pogodbenih vrednostih glede na predmet naročanj</w:t>
      </w:r>
      <w:r w:rsidR="00642E79" w:rsidRPr="00224B95">
        <w:rPr>
          <w:rFonts w:ascii="Arial" w:hAnsi="Arial" w:cs="Arial"/>
          <w:sz w:val="20"/>
        </w:rPr>
        <w:t>a</w:t>
      </w:r>
    </w:p>
    <w:tbl>
      <w:tblPr>
        <w:tblW w:w="5000" w:type="pct"/>
        <w:tblCellMar>
          <w:left w:w="70" w:type="dxa"/>
          <w:right w:w="70" w:type="dxa"/>
        </w:tblCellMar>
        <w:tblLook w:val="04A0" w:firstRow="1" w:lastRow="0" w:firstColumn="1" w:lastColumn="0" w:noHBand="0" w:noVBand="1"/>
      </w:tblPr>
      <w:tblGrid>
        <w:gridCol w:w="1422"/>
        <w:gridCol w:w="2985"/>
        <w:gridCol w:w="1044"/>
        <w:gridCol w:w="1591"/>
        <w:gridCol w:w="1066"/>
        <w:gridCol w:w="1066"/>
      </w:tblGrid>
      <w:tr w:rsidR="00224B95" w:rsidRPr="00224B95" w14:paraId="2A4937FE" w14:textId="77777777" w:rsidTr="00224B95">
        <w:trPr>
          <w:trHeight w:val="960"/>
          <w:tblHeader/>
        </w:trPr>
        <w:tc>
          <w:tcPr>
            <w:tcW w:w="775"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326438BA" w14:textId="77777777" w:rsidR="00224B95" w:rsidRPr="00224B95" w:rsidRDefault="00224B95" w:rsidP="00224B95">
            <w:pPr>
              <w:spacing w:after="0" w:line="240" w:lineRule="auto"/>
              <w:jc w:val="center"/>
              <w:rPr>
                <w:rFonts w:ascii="Arial" w:eastAsia="Times New Roman" w:hAnsi="Arial" w:cs="Arial"/>
                <w:color w:val="000000"/>
                <w:sz w:val="18"/>
                <w:szCs w:val="18"/>
                <w:lang w:eastAsia="sl-SI"/>
              </w:rPr>
            </w:pPr>
            <w:r w:rsidRPr="00224B95">
              <w:rPr>
                <w:rFonts w:ascii="Arial" w:eastAsia="Times New Roman" w:hAnsi="Arial" w:cs="Arial"/>
                <w:color w:val="000000"/>
                <w:sz w:val="18"/>
                <w:szCs w:val="18"/>
                <w:lang w:eastAsia="sl-SI"/>
              </w:rPr>
              <w:t xml:space="preserve">Predmet </w:t>
            </w:r>
          </w:p>
        </w:tc>
        <w:tc>
          <w:tcPr>
            <w:tcW w:w="1627" w:type="pct"/>
            <w:tcBorders>
              <w:top w:val="single" w:sz="4" w:space="0" w:color="auto"/>
              <w:left w:val="nil"/>
              <w:bottom w:val="single" w:sz="4" w:space="0" w:color="auto"/>
              <w:right w:val="single" w:sz="4" w:space="0" w:color="auto"/>
            </w:tcBorders>
            <w:shd w:val="clear" w:color="000000" w:fill="F2F2F2"/>
            <w:vAlign w:val="center"/>
            <w:hideMark/>
          </w:tcPr>
          <w:p w14:paraId="49E10FFC" w14:textId="77777777" w:rsidR="00224B95" w:rsidRPr="00224B95" w:rsidRDefault="00224B95" w:rsidP="00224B95">
            <w:pPr>
              <w:spacing w:after="0" w:line="240" w:lineRule="auto"/>
              <w:jc w:val="center"/>
              <w:rPr>
                <w:rFonts w:ascii="Arial" w:eastAsia="Times New Roman" w:hAnsi="Arial" w:cs="Arial"/>
                <w:color w:val="000000"/>
                <w:sz w:val="18"/>
                <w:szCs w:val="18"/>
                <w:lang w:eastAsia="sl-SI"/>
              </w:rPr>
            </w:pPr>
            <w:r w:rsidRPr="00224B95">
              <w:rPr>
                <w:rFonts w:ascii="Arial" w:eastAsia="Times New Roman" w:hAnsi="Arial" w:cs="Arial"/>
                <w:color w:val="000000"/>
                <w:sz w:val="18"/>
                <w:szCs w:val="18"/>
                <w:lang w:eastAsia="sl-SI"/>
              </w:rPr>
              <w:t>Velikost ponudnika</w:t>
            </w:r>
          </w:p>
        </w:tc>
        <w:tc>
          <w:tcPr>
            <w:tcW w:w="569" w:type="pct"/>
            <w:tcBorders>
              <w:top w:val="single" w:sz="4" w:space="0" w:color="auto"/>
              <w:left w:val="nil"/>
              <w:bottom w:val="single" w:sz="4" w:space="0" w:color="auto"/>
              <w:right w:val="single" w:sz="4" w:space="0" w:color="auto"/>
            </w:tcBorders>
            <w:shd w:val="clear" w:color="000000" w:fill="F2F2F2"/>
            <w:vAlign w:val="center"/>
            <w:hideMark/>
          </w:tcPr>
          <w:p w14:paraId="5A2F1D46" w14:textId="77777777" w:rsidR="00224B95" w:rsidRPr="00224B95" w:rsidRDefault="00224B95" w:rsidP="00224B95">
            <w:pPr>
              <w:spacing w:after="0" w:line="240" w:lineRule="auto"/>
              <w:jc w:val="center"/>
              <w:rPr>
                <w:rFonts w:ascii="Arial" w:eastAsia="Times New Roman" w:hAnsi="Arial" w:cs="Arial"/>
                <w:color w:val="000000"/>
                <w:sz w:val="18"/>
                <w:szCs w:val="18"/>
                <w:lang w:eastAsia="sl-SI"/>
              </w:rPr>
            </w:pPr>
            <w:r w:rsidRPr="00224B95">
              <w:rPr>
                <w:rFonts w:ascii="Arial" w:eastAsia="Times New Roman" w:hAnsi="Arial" w:cs="Arial"/>
                <w:color w:val="000000"/>
                <w:sz w:val="18"/>
                <w:szCs w:val="18"/>
                <w:lang w:eastAsia="sl-SI"/>
              </w:rPr>
              <w:t>Št. naročil</w:t>
            </w:r>
          </w:p>
        </w:tc>
        <w:tc>
          <w:tcPr>
            <w:tcW w:w="867" w:type="pct"/>
            <w:tcBorders>
              <w:top w:val="single" w:sz="4" w:space="0" w:color="auto"/>
              <w:left w:val="nil"/>
              <w:bottom w:val="single" w:sz="4" w:space="0" w:color="auto"/>
              <w:right w:val="single" w:sz="4" w:space="0" w:color="auto"/>
            </w:tcBorders>
            <w:shd w:val="clear" w:color="000000" w:fill="F2F2F2"/>
            <w:vAlign w:val="center"/>
            <w:hideMark/>
          </w:tcPr>
          <w:p w14:paraId="5C82E164" w14:textId="77777777" w:rsidR="00224B95" w:rsidRPr="00224B95" w:rsidRDefault="00224B95" w:rsidP="00224B95">
            <w:pPr>
              <w:spacing w:after="0" w:line="240" w:lineRule="auto"/>
              <w:jc w:val="center"/>
              <w:rPr>
                <w:rFonts w:ascii="Arial" w:eastAsia="Times New Roman" w:hAnsi="Arial" w:cs="Arial"/>
                <w:color w:val="000000"/>
                <w:sz w:val="18"/>
                <w:szCs w:val="18"/>
                <w:lang w:eastAsia="sl-SI"/>
              </w:rPr>
            </w:pPr>
            <w:r w:rsidRPr="00224B95">
              <w:rPr>
                <w:rFonts w:ascii="Arial" w:eastAsia="Times New Roman" w:hAnsi="Arial" w:cs="Arial"/>
                <w:color w:val="000000"/>
                <w:sz w:val="18"/>
                <w:szCs w:val="18"/>
                <w:lang w:eastAsia="sl-SI"/>
              </w:rPr>
              <w:t>Pogodbena vrednost</w:t>
            </w:r>
          </w:p>
        </w:tc>
        <w:tc>
          <w:tcPr>
            <w:tcW w:w="581" w:type="pct"/>
            <w:tcBorders>
              <w:top w:val="single" w:sz="4" w:space="0" w:color="auto"/>
              <w:left w:val="nil"/>
              <w:bottom w:val="single" w:sz="4" w:space="0" w:color="auto"/>
              <w:right w:val="single" w:sz="4" w:space="0" w:color="auto"/>
            </w:tcBorders>
            <w:shd w:val="clear" w:color="000000" w:fill="F2F2F2"/>
            <w:vAlign w:val="center"/>
            <w:hideMark/>
          </w:tcPr>
          <w:p w14:paraId="240DA6CD" w14:textId="77777777" w:rsidR="00224B95" w:rsidRPr="00224B95" w:rsidRDefault="00224B95" w:rsidP="00224B95">
            <w:pPr>
              <w:spacing w:after="0" w:line="240" w:lineRule="auto"/>
              <w:jc w:val="center"/>
              <w:rPr>
                <w:rFonts w:ascii="Arial" w:eastAsia="Times New Roman" w:hAnsi="Arial" w:cs="Arial"/>
                <w:color w:val="000000"/>
                <w:sz w:val="18"/>
                <w:szCs w:val="18"/>
                <w:lang w:eastAsia="sl-SI"/>
              </w:rPr>
            </w:pPr>
            <w:r w:rsidRPr="00224B95">
              <w:rPr>
                <w:rFonts w:ascii="Arial" w:eastAsia="Times New Roman" w:hAnsi="Arial" w:cs="Arial"/>
                <w:color w:val="000000"/>
                <w:sz w:val="18"/>
                <w:szCs w:val="18"/>
                <w:lang w:eastAsia="sl-SI"/>
              </w:rPr>
              <w:t>Delež v št. istovrstnih naročil</w:t>
            </w:r>
          </w:p>
        </w:tc>
        <w:tc>
          <w:tcPr>
            <w:tcW w:w="581" w:type="pct"/>
            <w:tcBorders>
              <w:top w:val="single" w:sz="4" w:space="0" w:color="auto"/>
              <w:left w:val="nil"/>
              <w:bottom w:val="single" w:sz="4" w:space="0" w:color="auto"/>
              <w:right w:val="single" w:sz="4" w:space="0" w:color="auto"/>
            </w:tcBorders>
            <w:shd w:val="clear" w:color="000000" w:fill="F2F2F2"/>
            <w:vAlign w:val="center"/>
            <w:hideMark/>
          </w:tcPr>
          <w:p w14:paraId="3AC4C869" w14:textId="77777777" w:rsidR="00224B95" w:rsidRPr="00224B95" w:rsidRDefault="00224B95" w:rsidP="00224B95">
            <w:pPr>
              <w:spacing w:after="0" w:line="240" w:lineRule="auto"/>
              <w:jc w:val="center"/>
              <w:rPr>
                <w:rFonts w:ascii="Arial" w:eastAsia="Times New Roman" w:hAnsi="Arial" w:cs="Arial"/>
                <w:color w:val="000000"/>
                <w:sz w:val="18"/>
                <w:szCs w:val="18"/>
                <w:lang w:eastAsia="sl-SI"/>
              </w:rPr>
            </w:pPr>
            <w:r w:rsidRPr="00224B95">
              <w:rPr>
                <w:rFonts w:ascii="Arial" w:eastAsia="Times New Roman" w:hAnsi="Arial" w:cs="Arial"/>
                <w:color w:val="000000"/>
                <w:sz w:val="18"/>
                <w:szCs w:val="18"/>
                <w:lang w:eastAsia="sl-SI"/>
              </w:rPr>
              <w:t>Delež v vrednosti istovrstnih naročil</w:t>
            </w:r>
          </w:p>
        </w:tc>
      </w:tr>
      <w:tr w:rsidR="00224B95" w:rsidRPr="00224B95" w14:paraId="512CFD3B" w14:textId="77777777" w:rsidTr="00224B95">
        <w:trPr>
          <w:trHeight w:val="300"/>
        </w:trPr>
        <w:tc>
          <w:tcPr>
            <w:tcW w:w="775" w:type="pct"/>
            <w:vMerge w:val="restart"/>
            <w:tcBorders>
              <w:top w:val="nil"/>
              <w:left w:val="single" w:sz="4" w:space="0" w:color="auto"/>
              <w:bottom w:val="single" w:sz="4" w:space="0" w:color="auto"/>
              <w:right w:val="single" w:sz="4" w:space="0" w:color="auto"/>
            </w:tcBorders>
            <w:shd w:val="clear" w:color="auto" w:fill="auto"/>
            <w:vAlign w:val="center"/>
            <w:hideMark/>
          </w:tcPr>
          <w:p w14:paraId="55F5C890" w14:textId="77777777" w:rsidR="00224B95" w:rsidRPr="00224B95" w:rsidRDefault="00224B95" w:rsidP="00224B95">
            <w:pPr>
              <w:spacing w:after="0" w:line="240" w:lineRule="auto"/>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Blago</w:t>
            </w:r>
          </w:p>
        </w:tc>
        <w:tc>
          <w:tcPr>
            <w:tcW w:w="1627" w:type="pct"/>
            <w:tcBorders>
              <w:top w:val="nil"/>
              <w:left w:val="nil"/>
              <w:bottom w:val="single" w:sz="4" w:space="0" w:color="auto"/>
              <w:right w:val="single" w:sz="4" w:space="0" w:color="auto"/>
            </w:tcBorders>
            <w:shd w:val="clear" w:color="auto" w:fill="auto"/>
            <w:vAlign w:val="center"/>
            <w:hideMark/>
          </w:tcPr>
          <w:p w14:paraId="511C2C7B" w14:textId="77777777" w:rsidR="00224B95" w:rsidRPr="00224B95" w:rsidRDefault="00224B95" w:rsidP="00224B95">
            <w:pPr>
              <w:spacing w:after="0" w:line="240" w:lineRule="auto"/>
              <w:rPr>
                <w:rFonts w:ascii="Arial" w:eastAsia="Times New Roman" w:hAnsi="Arial" w:cs="Arial"/>
                <w:color w:val="000000" w:themeColor="text1"/>
                <w:sz w:val="18"/>
                <w:szCs w:val="18"/>
                <w:lang w:eastAsia="sl-SI"/>
              </w:rPr>
            </w:pPr>
            <w:proofErr w:type="spellStart"/>
            <w:r w:rsidRPr="00224B95">
              <w:rPr>
                <w:rFonts w:ascii="Arial" w:eastAsia="Times New Roman" w:hAnsi="Arial" w:cs="Arial"/>
                <w:color w:val="000000" w:themeColor="text1"/>
                <w:sz w:val="18"/>
                <w:szCs w:val="18"/>
                <w:lang w:eastAsia="sl-SI"/>
              </w:rPr>
              <w:t>Mikro</w:t>
            </w:r>
            <w:proofErr w:type="spellEnd"/>
            <w:r w:rsidRPr="00224B95">
              <w:rPr>
                <w:rFonts w:ascii="Arial" w:eastAsia="Times New Roman" w:hAnsi="Arial" w:cs="Arial"/>
                <w:color w:val="000000" w:themeColor="text1"/>
                <w:sz w:val="18"/>
                <w:szCs w:val="18"/>
                <w:lang w:eastAsia="sl-SI"/>
              </w:rPr>
              <w:t xml:space="preserve"> enote</w:t>
            </w:r>
          </w:p>
        </w:tc>
        <w:tc>
          <w:tcPr>
            <w:tcW w:w="569" w:type="pct"/>
            <w:tcBorders>
              <w:top w:val="nil"/>
              <w:left w:val="nil"/>
              <w:bottom w:val="single" w:sz="4" w:space="0" w:color="auto"/>
              <w:right w:val="single" w:sz="4" w:space="0" w:color="auto"/>
            </w:tcBorders>
            <w:shd w:val="clear" w:color="auto" w:fill="auto"/>
            <w:vAlign w:val="center"/>
            <w:hideMark/>
          </w:tcPr>
          <w:p w14:paraId="40E3414D" w14:textId="77777777"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811</w:t>
            </w:r>
          </w:p>
        </w:tc>
        <w:tc>
          <w:tcPr>
            <w:tcW w:w="867" w:type="pct"/>
            <w:tcBorders>
              <w:top w:val="nil"/>
              <w:left w:val="nil"/>
              <w:bottom w:val="single" w:sz="4" w:space="0" w:color="auto"/>
              <w:right w:val="single" w:sz="4" w:space="0" w:color="auto"/>
            </w:tcBorders>
            <w:shd w:val="clear" w:color="auto" w:fill="auto"/>
            <w:vAlign w:val="center"/>
            <w:hideMark/>
          </w:tcPr>
          <w:p w14:paraId="694CFFE9" w14:textId="77777777"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93.116.877</w:t>
            </w:r>
          </w:p>
        </w:tc>
        <w:tc>
          <w:tcPr>
            <w:tcW w:w="581" w:type="pct"/>
            <w:tcBorders>
              <w:top w:val="nil"/>
              <w:left w:val="nil"/>
              <w:bottom w:val="single" w:sz="4" w:space="0" w:color="auto"/>
              <w:right w:val="single" w:sz="4" w:space="0" w:color="auto"/>
            </w:tcBorders>
            <w:shd w:val="clear" w:color="auto" w:fill="auto"/>
            <w:noWrap/>
            <w:vAlign w:val="center"/>
            <w:hideMark/>
          </w:tcPr>
          <w:p w14:paraId="4A027EC9" w14:textId="66D17D2C"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7,30</w:t>
            </w:r>
            <w:r>
              <w:rPr>
                <w:rFonts w:ascii="Arial" w:eastAsia="Times New Roman" w:hAnsi="Arial" w:cs="Arial"/>
                <w:color w:val="000000" w:themeColor="text1"/>
                <w:sz w:val="18"/>
                <w:szCs w:val="18"/>
                <w:lang w:eastAsia="sl-SI"/>
              </w:rPr>
              <w:t xml:space="preserve"> </w:t>
            </w:r>
            <w:r w:rsidRPr="00224B95">
              <w:rPr>
                <w:rFonts w:ascii="Arial" w:eastAsia="Times New Roman" w:hAnsi="Arial" w:cs="Arial"/>
                <w:color w:val="000000" w:themeColor="text1"/>
                <w:sz w:val="18"/>
                <w:szCs w:val="18"/>
                <w:lang w:eastAsia="sl-SI"/>
              </w:rPr>
              <w:t>%</w:t>
            </w:r>
          </w:p>
        </w:tc>
        <w:tc>
          <w:tcPr>
            <w:tcW w:w="581" w:type="pct"/>
            <w:tcBorders>
              <w:top w:val="nil"/>
              <w:left w:val="nil"/>
              <w:bottom w:val="single" w:sz="4" w:space="0" w:color="auto"/>
              <w:right w:val="single" w:sz="4" w:space="0" w:color="auto"/>
            </w:tcBorders>
            <w:shd w:val="clear" w:color="auto" w:fill="auto"/>
            <w:noWrap/>
            <w:vAlign w:val="center"/>
            <w:hideMark/>
          </w:tcPr>
          <w:p w14:paraId="5CC6C97F" w14:textId="4CADE289"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5,49</w:t>
            </w:r>
            <w:r>
              <w:rPr>
                <w:rFonts w:ascii="Arial" w:eastAsia="Times New Roman" w:hAnsi="Arial" w:cs="Arial"/>
                <w:color w:val="000000" w:themeColor="text1"/>
                <w:sz w:val="18"/>
                <w:szCs w:val="18"/>
                <w:lang w:eastAsia="sl-SI"/>
              </w:rPr>
              <w:t xml:space="preserve"> </w:t>
            </w:r>
            <w:r w:rsidRPr="00224B95">
              <w:rPr>
                <w:rFonts w:ascii="Arial" w:eastAsia="Times New Roman" w:hAnsi="Arial" w:cs="Arial"/>
                <w:color w:val="000000" w:themeColor="text1"/>
                <w:sz w:val="18"/>
                <w:szCs w:val="18"/>
                <w:lang w:eastAsia="sl-SI"/>
              </w:rPr>
              <w:t>%</w:t>
            </w:r>
          </w:p>
        </w:tc>
      </w:tr>
      <w:tr w:rsidR="00224B95" w:rsidRPr="00224B95" w14:paraId="7A18C405" w14:textId="77777777" w:rsidTr="00224B95">
        <w:trPr>
          <w:trHeight w:val="300"/>
        </w:trPr>
        <w:tc>
          <w:tcPr>
            <w:tcW w:w="775" w:type="pct"/>
            <w:vMerge/>
            <w:tcBorders>
              <w:top w:val="nil"/>
              <w:left w:val="single" w:sz="4" w:space="0" w:color="auto"/>
              <w:bottom w:val="single" w:sz="4" w:space="0" w:color="auto"/>
              <w:right w:val="single" w:sz="4" w:space="0" w:color="auto"/>
            </w:tcBorders>
            <w:vAlign w:val="center"/>
            <w:hideMark/>
          </w:tcPr>
          <w:p w14:paraId="45FB9015" w14:textId="77777777" w:rsidR="00224B95" w:rsidRPr="00224B95" w:rsidRDefault="00224B95" w:rsidP="00224B95">
            <w:pPr>
              <w:spacing w:after="0" w:line="240" w:lineRule="auto"/>
              <w:rPr>
                <w:rFonts w:ascii="Arial" w:eastAsia="Times New Roman" w:hAnsi="Arial" w:cs="Arial"/>
                <w:color w:val="000000" w:themeColor="text1"/>
                <w:sz w:val="18"/>
                <w:szCs w:val="18"/>
                <w:lang w:eastAsia="sl-SI"/>
              </w:rPr>
            </w:pPr>
          </w:p>
        </w:tc>
        <w:tc>
          <w:tcPr>
            <w:tcW w:w="1627" w:type="pct"/>
            <w:tcBorders>
              <w:top w:val="nil"/>
              <w:left w:val="nil"/>
              <w:bottom w:val="single" w:sz="4" w:space="0" w:color="auto"/>
              <w:right w:val="single" w:sz="4" w:space="0" w:color="auto"/>
            </w:tcBorders>
            <w:shd w:val="clear" w:color="auto" w:fill="auto"/>
            <w:vAlign w:val="center"/>
            <w:hideMark/>
          </w:tcPr>
          <w:p w14:paraId="5ED352B0" w14:textId="77777777" w:rsidR="00224B95" w:rsidRPr="00224B95" w:rsidRDefault="00224B95" w:rsidP="00224B95">
            <w:pPr>
              <w:spacing w:after="0" w:line="240" w:lineRule="auto"/>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Majhne enote</w:t>
            </w:r>
          </w:p>
        </w:tc>
        <w:tc>
          <w:tcPr>
            <w:tcW w:w="569" w:type="pct"/>
            <w:tcBorders>
              <w:top w:val="nil"/>
              <w:left w:val="nil"/>
              <w:bottom w:val="single" w:sz="4" w:space="0" w:color="auto"/>
              <w:right w:val="single" w:sz="4" w:space="0" w:color="auto"/>
            </w:tcBorders>
            <w:shd w:val="clear" w:color="auto" w:fill="auto"/>
            <w:vAlign w:val="center"/>
            <w:hideMark/>
          </w:tcPr>
          <w:p w14:paraId="6C181AB4" w14:textId="77777777"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3.808</w:t>
            </w:r>
          </w:p>
        </w:tc>
        <w:tc>
          <w:tcPr>
            <w:tcW w:w="867" w:type="pct"/>
            <w:tcBorders>
              <w:top w:val="nil"/>
              <w:left w:val="nil"/>
              <w:bottom w:val="single" w:sz="4" w:space="0" w:color="auto"/>
              <w:right w:val="single" w:sz="4" w:space="0" w:color="auto"/>
            </w:tcBorders>
            <w:shd w:val="clear" w:color="auto" w:fill="auto"/>
            <w:vAlign w:val="center"/>
            <w:hideMark/>
          </w:tcPr>
          <w:p w14:paraId="73C55363" w14:textId="77777777"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418.541.717</w:t>
            </w:r>
          </w:p>
        </w:tc>
        <w:tc>
          <w:tcPr>
            <w:tcW w:w="581" w:type="pct"/>
            <w:tcBorders>
              <w:top w:val="nil"/>
              <w:left w:val="nil"/>
              <w:bottom w:val="single" w:sz="4" w:space="0" w:color="auto"/>
              <w:right w:val="single" w:sz="4" w:space="0" w:color="auto"/>
            </w:tcBorders>
            <w:shd w:val="clear" w:color="auto" w:fill="auto"/>
            <w:noWrap/>
            <w:vAlign w:val="center"/>
            <w:hideMark/>
          </w:tcPr>
          <w:p w14:paraId="741D01A9" w14:textId="0DBBED69"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34,27</w:t>
            </w:r>
            <w:r>
              <w:rPr>
                <w:rFonts w:ascii="Arial" w:eastAsia="Times New Roman" w:hAnsi="Arial" w:cs="Arial"/>
                <w:color w:val="000000" w:themeColor="text1"/>
                <w:sz w:val="18"/>
                <w:szCs w:val="18"/>
                <w:lang w:eastAsia="sl-SI"/>
              </w:rPr>
              <w:t xml:space="preserve"> </w:t>
            </w:r>
            <w:r w:rsidRPr="00224B95">
              <w:rPr>
                <w:rFonts w:ascii="Arial" w:eastAsia="Times New Roman" w:hAnsi="Arial" w:cs="Arial"/>
                <w:color w:val="000000" w:themeColor="text1"/>
                <w:sz w:val="18"/>
                <w:szCs w:val="18"/>
                <w:lang w:eastAsia="sl-SI"/>
              </w:rPr>
              <w:t>%</w:t>
            </w:r>
          </w:p>
        </w:tc>
        <w:tc>
          <w:tcPr>
            <w:tcW w:w="581" w:type="pct"/>
            <w:tcBorders>
              <w:top w:val="nil"/>
              <w:left w:val="nil"/>
              <w:bottom w:val="single" w:sz="4" w:space="0" w:color="auto"/>
              <w:right w:val="single" w:sz="4" w:space="0" w:color="auto"/>
            </w:tcBorders>
            <w:shd w:val="clear" w:color="auto" w:fill="auto"/>
            <w:noWrap/>
            <w:vAlign w:val="center"/>
            <w:hideMark/>
          </w:tcPr>
          <w:p w14:paraId="17D5A49C" w14:textId="45D87996"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24,66</w:t>
            </w:r>
            <w:r>
              <w:rPr>
                <w:rFonts w:ascii="Arial" w:eastAsia="Times New Roman" w:hAnsi="Arial" w:cs="Arial"/>
                <w:color w:val="000000" w:themeColor="text1"/>
                <w:sz w:val="18"/>
                <w:szCs w:val="18"/>
                <w:lang w:eastAsia="sl-SI"/>
              </w:rPr>
              <w:t xml:space="preserve"> </w:t>
            </w:r>
            <w:r w:rsidRPr="00224B95">
              <w:rPr>
                <w:rFonts w:ascii="Arial" w:eastAsia="Times New Roman" w:hAnsi="Arial" w:cs="Arial"/>
                <w:color w:val="000000" w:themeColor="text1"/>
                <w:sz w:val="18"/>
                <w:szCs w:val="18"/>
                <w:lang w:eastAsia="sl-SI"/>
              </w:rPr>
              <w:t>%</w:t>
            </w:r>
          </w:p>
        </w:tc>
      </w:tr>
      <w:tr w:rsidR="00224B95" w:rsidRPr="00224B95" w14:paraId="466D7FBB" w14:textId="77777777" w:rsidTr="00224B95">
        <w:trPr>
          <w:trHeight w:val="300"/>
        </w:trPr>
        <w:tc>
          <w:tcPr>
            <w:tcW w:w="775" w:type="pct"/>
            <w:vMerge/>
            <w:tcBorders>
              <w:top w:val="nil"/>
              <w:left w:val="single" w:sz="4" w:space="0" w:color="auto"/>
              <w:bottom w:val="single" w:sz="4" w:space="0" w:color="auto"/>
              <w:right w:val="single" w:sz="4" w:space="0" w:color="auto"/>
            </w:tcBorders>
            <w:vAlign w:val="center"/>
            <w:hideMark/>
          </w:tcPr>
          <w:p w14:paraId="2324DB5F" w14:textId="77777777" w:rsidR="00224B95" w:rsidRPr="00224B95" w:rsidRDefault="00224B95" w:rsidP="00224B95">
            <w:pPr>
              <w:spacing w:after="0" w:line="240" w:lineRule="auto"/>
              <w:rPr>
                <w:rFonts w:ascii="Arial" w:eastAsia="Times New Roman" w:hAnsi="Arial" w:cs="Arial"/>
                <w:color w:val="000000" w:themeColor="text1"/>
                <w:sz w:val="18"/>
                <w:szCs w:val="18"/>
                <w:lang w:eastAsia="sl-SI"/>
              </w:rPr>
            </w:pPr>
          </w:p>
        </w:tc>
        <w:tc>
          <w:tcPr>
            <w:tcW w:w="1627" w:type="pct"/>
            <w:tcBorders>
              <w:top w:val="nil"/>
              <w:left w:val="nil"/>
              <w:bottom w:val="single" w:sz="4" w:space="0" w:color="auto"/>
              <w:right w:val="single" w:sz="4" w:space="0" w:color="auto"/>
            </w:tcBorders>
            <w:shd w:val="clear" w:color="auto" w:fill="auto"/>
            <w:vAlign w:val="center"/>
            <w:hideMark/>
          </w:tcPr>
          <w:p w14:paraId="5800802F" w14:textId="77777777" w:rsidR="00224B95" w:rsidRPr="00224B95" w:rsidRDefault="00224B95" w:rsidP="00224B95">
            <w:pPr>
              <w:spacing w:after="0" w:line="240" w:lineRule="auto"/>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Srednje enote</w:t>
            </w:r>
          </w:p>
        </w:tc>
        <w:tc>
          <w:tcPr>
            <w:tcW w:w="569" w:type="pct"/>
            <w:tcBorders>
              <w:top w:val="nil"/>
              <w:left w:val="nil"/>
              <w:bottom w:val="single" w:sz="4" w:space="0" w:color="auto"/>
              <w:right w:val="single" w:sz="4" w:space="0" w:color="auto"/>
            </w:tcBorders>
            <w:shd w:val="clear" w:color="auto" w:fill="auto"/>
            <w:vAlign w:val="center"/>
            <w:hideMark/>
          </w:tcPr>
          <w:p w14:paraId="26427F84" w14:textId="77777777"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3.018</w:t>
            </w:r>
          </w:p>
        </w:tc>
        <w:tc>
          <w:tcPr>
            <w:tcW w:w="867" w:type="pct"/>
            <w:tcBorders>
              <w:top w:val="nil"/>
              <w:left w:val="nil"/>
              <w:bottom w:val="single" w:sz="4" w:space="0" w:color="auto"/>
              <w:right w:val="single" w:sz="4" w:space="0" w:color="auto"/>
            </w:tcBorders>
            <w:shd w:val="clear" w:color="auto" w:fill="auto"/>
            <w:vAlign w:val="center"/>
            <w:hideMark/>
          </w:tcPr>
          <w:p w14:paraId="6022A8C4" w14:textId="77777777"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424.510.554</w:t>
            </w:r>
          </w:p>
        </w:tc>
        <w:tc>
          <w:tcPr>
            <w:tcW w:w="581" w:type="pct"/>
            <w:tcBorders>
              <w:top w:val="nil"/>
              <w:left w:val="nil"/>
              <w:bottom w:val="single" w:sz="4" w:space="0" w:color="auto"/>
              <w:right w:val="single" w:sz="4" w:space="0" w:color="auto"/>
            </w:tcBorders>
            <w:shd w:val="clear" w:color="auto" w:fill="auto"/>
            <w:noWrap/>
            <w:vAlign w:val="center"/>
            <w:hideMark/>
          </w:tcPr>
          <w:p w14:paraId="2CB161CA" w14:textId="7D8F823F"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27,16</w:t>
            </w:r>
            <w:r>
              <w:rPr>
                <w:rFonts w:ascii="Arial" w:eastAsia="Times New Roman" w:hAnsi="Arial" w:cs="Arial"/>
                <w:color w:val="000000" w:themeColor="text1"/>
                <w:sz w:val="18"/>
                <w:szCs w:val="18"/>
                <w:lang w:eastAsia="sl-SI"/>
              </w:rPr>
              <w:t xml:space="preserve"> </w:t>
            </w:r>
            <w:r w:rsidRPr="00224B95">
              <w:rPr>
                <w:rFonts w:ascii="Arial" w:eastAsia="Times New Roman" w:hAnsi="Arial" w:cs="Arial"/>
                <w:color w:val="000000" w:themeColor="text1"/>
                <w:sz w:val="18"/>
                <w:szCs w:val="18"/>
                <w:lang w:eastAsia="sl-SI"/>
              </w:rPr>
              <w:t>%</w:t>
            </w:r>
          </w:p>
        </w:tc>
        <w:tc>
          <w:tcPr>
            <w:tcW w:w="581" w:type="pct"/>
            <w:tcBorders>
              <w:top w:val="nil"/>
              <w:left w:val="nil"/>
              <w:bottom w:val="single" w:sz="4" w:space="0" w:color="auto"/>
              <w:right w:val="single" w:sz="4" w:space="0" w:color="auto"/>
            </w:tcBorders>
            <w:shd w:val="clear" w:color="auto" w:fill="auto"/>
            <w:noWrap/>
            <w:vAlign w:val="center"/>
            <w:hideMark/>
          </w:tcPr>
          <w:p w14:paraId="2C013C27" w14:textId="1CBD44D7"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25,02</w:t>
            </w:r>
            <w:r>
              <w:rPr>
                <w:rFonts w:ascii="Arial" w:eastAsia="Times New Roman" w:hAnsi="Arial" w:cs="Arial"/>
                <w:color w:val="000000" w:themeColor="text1"/>
                <w:sz w:val="18"/>
                <w:szCs w:val="18"/>
                <w:lang w:eastAsia="sl-SI"/>
              </w:rPr>
              <w:t xml:space="preserve"> </w:t>
            </w:r>
            <w:r w:rsidRPr="00224B95">
              <w:rPr>
                <w:rFonts w:ascii="Arial" w:eastAsia="Times New Roman" w:hAnsi="Arial" w:cs="Arial"/>
                <w:color w:val="000000" w:themeColor="text1"/>
                <w:sz w:val="18"/>
                <w:szCs w:val="18"/>
                <w:lang w:eastAsia="sl-SI"/>
              </w:rPr>
              <w:t>%</w:t>
            </w:r>
          </w:p>
        </w:tc>
      </w:tr>
      <w:tr w:rsidR="00224B95" w:rsidRPr="00224B95" w14:paraId="01AAE22D" w14:textId="77777777" w:rsidTr="00224B95">
        <w:trPr>
          <w:trHeight w:val="300"/>
        </w:trPr>
        <w:tc>
          <w:tcPr>
            <w:tcW w:w="775" w:type="pct"/>
            <w:vMerge/>
            <w:tcBorders>
              <w:top w:val="nil"/>
              <w:left w:val="single" w:sz="4" w:space="0" w:color="auto"/>
              <w:bottom w:val="single" w:sz="4" w:space="0" w:color="auto"/>
              <w:right w:val="single" w:sz="4" w:space="0" w:color="auto"/>
            </w:tcBorders>
            <w:vAlign w:val="center"/>
            <w:hideMark/>
          </w:tcPr>
          <w:p w14:paraId="71CA016C" w14:textId="77777777" w:rsidR="00224B95" w:rsidRPr="00224B95" w:rsidRDefault="00224B95" w:rsidP="00224B95">
            <w:pPr>
              <w:spacing w:after="0" w:line="240" w:lineRule="auto"/>
              <w:rPr>
                <w:rFonts w:ascii="Arial" w:eastAsia="Times New Roman" w:hAnsi="Arial" w:cs="Arial"/>
                <w:color w:val="000000" w:themeColor="text1"/>
                <w:sz w:val="18"/>
                <w:szCs w:val="18"/>
                <w:lang w:eastAsia="sl-SI"/>
              </w:rPr>
            </w:pPr>
          </w:p>
        </w:tc>
        <w:tc>
          <w:tcPr>
            <w:tcW w:w="1627" w:type="pct"/>
            <w:tcBorders>
              <w:top w:val="nil"/>
              <w:left w:val="nil"/>
              <w:bottom w:val="single" w:sz="4" w:space="0" w:color="auto"/>
              <w:right w:val="single" w:sz="4" w:space="0" w:color="auto"/>
            </w:tcBorders>
            <w:shd w:val="clear" w:color="auto" w:fill="auto"/>
            <w:vAlign w:val="center"/>
            <w:hideMark/>
          </w:tcPr>
          <w:p w14:paraId="6DA579ED" w14:textId="77777777" w:rsidR="00224B95" w:rsidRPr="00224B95" w:rsidRDefault="00224B95" w:rsidP="00224B95">
            <w:pPr>
              <w:spacing w:after="0" w:line="240" w:lineRule="auto"/>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Velike enote</w:t>
            </w:r>
          </w:p>
        </w:tc>
        <w:tc>
          <w:tcPr>
            <w:tcW w:w="569" w:type="pct"/>
            <w:tcBorders>
              <w:top w:val="nil"/>
              <w:left w:val="nil"/>
              <w:bottom w:val="single" w:sz="4" w:space="0" w:color="auto"/>
              <w:right w:val="single" w:sz="4" w:space="0" w:color="auto"/>
            </w:tcBorders>
            <w:shd w:val="clear" w:color="auto" w:fill="auto"/>
            <w:vAlign w:val="center"/>
            <w:hideMark/>
          </w:tcPr>
          <w:p w14:paraId="0043764F" w14:textId="77777777"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3.316</w:t>
            </w:r>
          </w:p>
        </w:tc>
        <w:tc>
          <w:tcPr>
            <w:tcW w:w="867" w:type="pct"/>
            <w:tcBorders>
              <w:top w:val="nil"/>
              <w:left w:val="nil"/>
              <w:bottom w:val="single" w:sz="4" w:space="0" w:color="auto"/>
              <w:right w:val="single" w:sz="4" w:space="0" w:color="auto"/>
            </w:tcBorders>
            <w:shd w:val="clear" w:color="auto" w:fill="auto"/>
            <w:vAlign w:val="center"/>
            <w:hideMark/>
          </w:tcPr>
          <w:p w14:paraId="371E55E5" w14:textId="77777777"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749.527.626</w:t>
            </w:r>
          </w:p>
        </w:tc>
        <w:tc>
          <w:tcPr>
            <w:tcW w:w="581" w:type="pct"/>
            <w:tcBorders>
              <w:top w:val="nil"/>
              <w:left w:val="nil"/>
              <w:bottom w:val="single" w:sz="4" w:space="0" w:color="auto"/>
              <w:right w:val="single" w:sz="4" w:space="0" w:color="auto"/>
            </w:tcBorders>
            <w:shd w:val="clear" w:color="auto" w:fill="auto"/>
            <w:noWrap/>
            <w:vAlign w:val="center"/>
            <w:hideMark/>
          </w:tcPr>
          <w:p w14:paraId="21D1F794" w14:textId="0584B86E"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29,84</w:t>
            </w:r>
            <w:r>
              <w:rPr>
                <w:rFonts w:ascii="Arial" w:eastAsia="Times New Roman" w:hAnsi="Arial" w:cs="Arial"/>
                <w:color w:val="000000" w:themeColor="text1"/>
                <w:sz w:val="18"/>
                <w:szCs w:val="18"/>
                <w:lang w:eastAsia="sl-SI"/>
              </w:rPr>
              <w:t xml:space="preserve"> </w:t>
            </w:r>
            <w:r w:rsidRPr="00224B95">
              <w:rPr>
                <w:rFonts w:ascii="Arial" w:eastAsia="Times New Roman" w:hAnsi="Arial" w:cs="Arial"/>
                <w:color w:val="000000" w:themeColor="text1"/>
                <w:sz w:val="18"/>
                <w:szCs w:val="18"/>
                <w:lang w:eastAsia="sl-SI"/>
              </w:rPr>
              <w:t>%</w:t>
            </w:r>
          </w:p>
        </w:tc>
        <w:tc>
          <w:tcPr>
            <w:tcW w:w="581" w:type="pct"/>
            <w:tcBorders>
              <w:top w:val="nil"/>
              <w:left w:val="nil"/>
              <w:bottom w:val="single" w:sz="4" w:space="0" w:color="auto"/>
              <w:right w:val="single" w:sz="4" w:space="0" w:color="auto"/>
            </w:tcBorders>
            <w:shd w:val="clear" w:color="auto" w:fill="auto"/>
            <w:noWrap/>
            <w:vAlign w:val="center"/>
            <w:hideMark/>
          </w:tcPr>
          <w:p w14:paraId="0F13B246" w14:textId="24069B50"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44,17</w:t>
            </w:r>
            <w:r>
              <w:rPr>
                <w:rFonts w:ascii="Arial" w:eastAsia="Times New Roman" w:hAnsi="Arial" w:cs="Arial"/>
                <w:color w:val="000000" w:themeColor="text1"/>
                <w:sz w:val="18"/>
                <w:szCs w:val="18"/>
                <w:lang w:eastAsia="sl-SI"/>
              </w:rPr>
              <w:t xml:space="preserve"> </w:t>
            </w:r>
            <w:r w:rsidRPr="00224B95">
              <w:rPr>
                <w:rFonts w:ascii="Arial" w:eastAsia="Times New Roman" w:hAnsi="Arial" w:cs="Arial"/>
                <w:color w:val="000000" w:themeColor="text1"/>
                <w:sz w:val="18"/>
                <w:szCs w:val="18"/>
                <w:lang w:eastAsia="sl-SI"/>
              </w:rPr>
              <w:t>%</w:t>
            </w:r>
          </w:p>
        </w:tc>
      </w:tr>
      <w:tr w:rsidR="00224B95" w:rsidRPr="00224B95" w14:paraId="36548643" w14:textId="77777777" w:rsidTr="00224B95">
        <w:trPr>
          <w:trHeight w:val="300"/>
        </w:trPr>
        <w:tc>
          <w:tcPr>
            <w:tcW w:w="775" w:type="pct"/>
            <w:vMerge/>
            <w:tcBorders>
              <w:top w:val="nil"/>
              <w:left w:val="single" w:sz="4" w:space="0" w:color="auto"/>
              <w:bottom w:val="single" w:sz="4" w:space="0" w:color="auto"/>
              <w:right w:val="single" w:sz="4" w:space="0" w:color="auto"/>
            </w:tcBorders>
            <w:vAlign w:val="center"/>
            <w:hideMark/>
          </w:tcPr>
          <w:p w14:paraId="13B39B69" w14:textId="77777777"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p>
        </w:tc>
        <w:tc>
          <w:tcPr>
            <w:tcW w:w="1627" w:type="pct"/>
            <w:tcBorders>
              <w:top w:val="nil"/>
              <w:left w:val="nil"/>
              <w:bottom w:val="single" w:sz="4" w:space="0" w:color="auto"/>
              <w:right w:val="single" w:sz="4" w:space="0" w:color="auto"/>
            </w:tcBorders>
            <w:shd w:val="clear" w:color="auto" w:fill="auto"/>
            <w:vAlign w:val="center"/>
            <w:hideMark/>
          </w:tcPr>
          <w:p w14:paraId="6C5DD46D" w14:textId="44DED013" w:rsidR="00224B95" w:rsidRPr="00224B95" w:rsidRDefault="00224B95" w:rsidP="00224B95">
            <w:pPr>
              <w:spacing w:after="0" w:line="240" w:lineRule="auto"/>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 xml:space="preserve">Velikost </w:t>
            </w:r>
            <w:r w:rsidR="00007116">
              <w:rPr>
                <w:rFonts w:ascii="Arial" w:eastAsia="Times New Roman" w:hAnsi="Arial" w:cs="Arial"/>
                <w:color w:val="000000" w:themeColor="text1"/>
                <w:sz w:val="18"/>
                <w:szCs w:val="18"/>
                <w:lang w:eastAsia="sl-SI"/>
              </w:rPr>
              <w:t>Republike Slovenije</w:t>
            </w:r>
            <w:r w:rsidRPr="00224B95">
              <w:rPr>
                <w:rFonts w:ascii="Arial" w:eastAsia="Times New Roman" w:hAnsi="Arial" w:cs="Arial"/>
                <w:color w:val="000000" w:themeColor="text1"/>
                <w:sz w:val="18"/>
                <w:szCs w:val="18"/>
                <w:lang w:eastAsia="sl-SI"/>
              </w:rPr>
              <w:t xml:space="preserve"> se ne izračunava</w:t>
            </w:r>
          </w:p>
        </w:tc>
        <w:tc>
          <w:tcPr>
            <w:tcW w:w="569" w:type="pct"/>
            <w:tcBorders>
              <w:top w:val="nil"/>
              <w:left w:val="nil"/>
              <w:bottom w:val="single" w:sz="4" w:space="0" w:color="auto"/>
              <w:right w:val="single" w:sz="4" w:space="0" w:color="auto"/>
            </w:tcBorders>
            <w:shd w:val="clear" w:color="auto" w:fill="auto"/>
            <w:vAlign w:val="center"/>
            <w:hideMark/>
          </w:tcPr>
          <w:p w14:paraId="66AB3CCD" w14:textId="77777777"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131</w:t>
            </w:r>
          </w:p>
        </w:tc>
        <w:tc>
          <w:tcPr>
            <w:tcW w:w="867" w:type="pct"/>
            <w:tcBorders>
              <w:top w:val="nil"/>
              <w:left w:val="nil"/>
              <w:bottom w:val="single" w:sz="4" w:space="0" w:color="auto"/>
              <w:right w:val="single" w:sz="4" w:space="0" w:color="auto"/>
            </w:tcBorders>
            <w:shd w:val="clear" w:color="auto" w:fill="auto"/>
            <w:vAlign w:val="center"/>
            <w:hideMark/>
          </w:tcPr>
          <w:p w14:paraId="52487131" w14:textId="77777777"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8.492.281</w:t>
            </w:r>
          </w:p>
        </w:tc>
        <w:tc>
          <w:tcPr>
            <w:tcW w:w="581" w:type="pct"/>
            <w:tcBorders>
              <w:top w:val="nil"/>
              <w:left w:val="nil"/>
              <w:bottom w:val="single" w:sz="4" w:space="0" w:color="auto"/>
              <w:right w:val="single" w:sz="4" w:space="0" w:color="auto"/>
            </w:tcBorders>
            <w:shd w:val="clear" w:color="auto" w:fill="auto"/>
            <w:noWrap/>
            <w:vAlign w:val="center"/>
            <w:hideMark/>
          </w:tcPr>
          <w:p w14:paraId="402B5425" w14:textId="4FA40C15"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1,18</w:t>
            </w:r>
            <w:r>
              <w:rPr>
                <w:rFonts w:ascii="Arial" w:eastAsia="Times New Roman" w:hAnsi="Arial" w:cs="Arial"/>
                <w:color w:val="000000" w:themeColor="text1"/>
                <w:sz w:val="18"/>
                <w:szCs w:val="18"/>
                <w:lang w:eastAsia="sl-SI"/>
              </w:rPr>
              <w:t xml:space="preserve"> </w:t>
            </w:r>
            <w:r w:rsidRPr="00224B95">
              <w:rPr>
                <w:rFonts w:ascii="Arial" w:eastAsia="Times New Roman" w:hAnsi="Arial" w:cs="Arial"/>
                <w:color w:val="000000" w:themeColor="text1"/>
                <w:sz w:val="18"/>
                <w:szCs w:val="18"/>
                <w:lang w:eastAsia="sl-SI"/>
              </w:rPr>
              <w:t>%</w:t>
            </w:r>
          </w:p>
        </w:tc>
        <w:tc>
          <w:tcPr>
            <w:tcW w:w="581" w:type="pct"/>
            <w:tcBorders>
              <w:top w:val="nil"/>
              <w:left w:val="nil"/>
              <w:bottom w:val="single" w:sz="4" w:space="0" w:color="auto"/>
              <w:right w:val="single" w:sz="4" w:space="0" w:color="auto"/>
            </w:tcBorders>
            <w:shd w:val="clear" w:color="auto" w:fill="auto"/>
            <w:noWrap/>
            <w:vAlign w:val="center"/>
            <w:hideMark/>
          </w:tcPr>
          <w:p w14:paraId="5947E622" w14:textId="02D322C9"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0,50</w:t>
            </w:r>
            <w:r>
              <w:rPr>
                <w:rFonts w:ascii="Arial" w:eastAsia="Times New Roman" w:hAnsi="Arial" w:cs="Arial"/>
                <w:color w:val="000000" w:themeColor="text1"/>
                <w:sz w:val="18"/>
                <w:szCs w:val="18"/>
                <w:lang w:eastAsia="sl-SI"/>
              </w:rPr>
              <w:t xml:space="preserve"> </w:t>
            </w:r>
            <w:r w:rsidRPr="00224B95">
              <w:rPr>
                <w:rFonts w:ascii="Arial" w:eastAsia="Times New Roman" w:hAnsi="Arial" w:cs="Arial"/>
                <w:color w:val="000000" w:themeColor="text1"/>
                <w:sz w:val="18"/>
                <w:szCs w:val="18"/>
                <w:lang w:eastAsia="sl-SI"/>
              </w:rPr>
              <w:t>%</w:t>
            </w:r>
          </w:p>
        </w:tc>
      </w:tr>
      <w:tr w:rsidR="00224B95" w:rsidRPr="00224B95" w14:paraId="13E38733" w14:textId="77777777" w:rsidTr="00224B95">
        <w:trPr>
          <w:trHeight w:val="300"/>
        </w:trPr>
        <w:tc>
          <w:tcPr>
            <w:tcW w:w="775" w:type="pct"/>
            <w:vMerge/>
            <w:tcBorders>
              <w:top w:val="nil"/>
              <w:left w:val="single" w:sz="4" w:space="0" w:color="auto"/>
              <w:bottom w:val="single" w:sz="4" w:space="0" w:color="auto"/>
              <w:right w:val="single" w:sz="4" w:space="0" w:color="auto"/>
            </w:tcBorders>
            <w:vAlign w:val="center"/>
            <w:hideMark/>
          </w:tcPr>
          <w:p w14:paraId="63AF7EFF" w14:textId="77777777"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p>
        </w:tc>
        <w:tc>
          <w:tcPr>
            <w:tcW w:w="1627" w:type="pct"/>
            <w:tcBorders>
              <w:top w:val="nil"/>
              <w:left w:val="nil"/>
              <w:bottom w:val="single" w:sz="4" w:space="0" w:color="auto"/>
              <w:right w:val="single" w:sz="4" w:space="0" w:color="auto"/>
            </w:tcBorders>
            <w:shd w:val="clear" w:color="auto" w:fill="auto"/>
            <w:vAlign w:val="center"/>
            <w:hideMark/>
          </w:tcPr>
          <w:p w14:paraId="5EA7E17D" w14:textId="77777777" w:rsidR="00224B95" w:rsidRPr="00224B95" w:rsidRDefault="00224B95" w:rsidP="00224B95">
            <w:pPr>
              <w:spacing w:after="0" w:line="240" w:lineRule="auto"/>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Ni podatka o velikosti</w:t>
            </w:r>
          </w:p>
        </w:tc>
        <w:tc>
          <w:tcPr>
            <w:tcW w:w="569" w:type="pct"/>
            <w:tcBorders>
              <w:top w:val="nil"/>
              <w:left w:val="nil"/>
              <w:bottom w:val="single" w:sz="4" w:space="0" w:color="auto"/>
              <w:right w:val="single" w:sz="4" w:space="0" w:color="auto"/>
            </w:tcBorders>
            <w:shd w:val="clear" w:color="auto" w:fill="auto"/>
            <w:vAlign w:val="center"/>
            <w:hideMark/>
          </w:tcPr>
          <w:p w14:paraId="698264FB" w14:textId="77777777"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29</w:t>
            </w:r>
          </w:p>
        </w:tc>
        <w:tc>
          <w:tcPr>
            <w:tcW w:w="867" w:type="pct"/>
            <w:tcBorders>
              <w:top w:val="nil"/>
              <w:left w:val="nil"/>
              <w:bottom w:val="single" w:sz="4" w:space="0" w:color="auto"/>
              <w:right w:val="single" w:sz="4" w:space="0" w:color="auto"/>
            </w:tcBorders>
            <w:shd w:val="clear" w:color="auto" w:fill="auto"/>
            <w:vAlign w:val="center"/>
            <w:hideMark/>
          </w:tcPr>
          <w:p w14:paraId="4A68D297" w14:textId="77777777"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2.747.575</w:t>
            </w:r>
          </w:p>
        </w:tc>
        <w:tc>
          <w:tcPr>
            <w:tcW w:w="581" w:type="pct"/>
            <w:tcBorders>
              <w:top w:val="nil"/>
              <w:left w:val="nil"/>
              <w:bottom w:val="single" w:sz="4" w:space="0" w:color="auto"/>
              <w:right w:val="single" w:sz="4" w:space="0" w:color="auto"/>
            </w:tcBorders>
            <w:shd w:val="clear" w:color="auto" w:fill="auto"/>
            <w:noWrap/>
            <w:vAlign w:val="center"/>
            <w:hideMark/>
          </w:tcPr>
          <w:p w14:paraId="3263C9CA" w14:textId="63705D57"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0,26</w:t>
            </w:r>
            <w:r>
              <w:rPr>
                <w:rFonts w:ascii="Arial" w:eastAsia="Times New Roman" w:hAnsi="Arial" w:cs="Arial"/>
                <w:color w:val="000000" w:themeColor="text1"/>
                <w:sz w:val="18"/>
                <w:szCs w:val="18"/>
                <w:lang w:eastAsia="sl-SI"/>
              </w:rPr>
              <w:t xml:space="preserve"> </w:t>
            </w:r>
            <w:r w:rsidRPr="00224B95">
              <w:rPr>
                <w:rFonts w:ascii="Arial" w:eastAsia="Times New Roman" w:hAnsi="Arial" w:cs="Arial"/>
                <w:color w:val="000000" w:themeColor="text1"/>
                <w:sz w:val="18"/>
                <w:szCs w:val="18"/>
                <w:lang w:eastAsia="sl-SI"/>
              </w:rPr>
              <w:t>%</w:t>
            </w:r>
          </w:p>
        </w:tc>
        <w:tc>
          <w:tcPr>
            <w:tcW w:w="581" w:type="pct"/>
            <w:tcBorders>
              <w:top w:val="nil"/>
              <w:left w:val="nil"/>
              <w:bottom w:val="single" w:sz="4" w:space="0" w:color="auto"/>
              <w:right w:val="single" w:sz="4" w:space="0" w:color="auto"/>
            </w:tcBorders>
            <w:shd w:val="clear" w:color="auto" w:fill="auto"/>
            <w:noWrap/>
            <w:vAlign w:val="center"/>
            <w:hideMark/>
          </w:tcPr>
          <w:p w14:paraId="3941298B" w14:textId="78EA3316"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0,16</w:t>
            </w:r>
            <w:r>
              <w:rPr>
                <w:rFonts w:ascii="Arial" w:eastAsia="Times New Roman" w:hAnsi="Arial" w:cs="Arial"/>
                <w:color w:val="000000" w:themeColor="text1"/>
                <w:sz w:val="18"/>
                <w:szCs w:val="18"/>
                <w:lang w:eastAsia="sl-SI"/>
              </w:rPr>
              <w:t xml:space="preserve"> </w:t>
            </w:r>
            <w:r w:rsidRPr="00224B95">
              <w:rPr>
                <w:rFonts w:ascii="Arial" w:eastAsia="Times New Roman" w:hAnsi="Arial" w:cs="Arial"/>
                <w:color w:val="000000" w:themeColor="text1"/>
                <w:sz w:val="18"/>
                <w:szCs w:val="18"/>
                <w:lang w:eastAsia="sl-SI"/>
              </w:rPr>
              <w:t>%</w:t>
            </w:r>
          </w:p>
        </w:tc>
      </w:tr>
      <w:tr w:rsidR="00224B95" w:rsidRPr="00224B95" w14:paraId="27275FEB" w14:textId="77777777" w:rsidTr="00224B95">
        <w:trPr>
          <w:trHeight w:val="300"/>
        </w:trPr>
        <w:tc>
          <w:tcPr>
            <w:tcW w:w="775" w:type="pct"/>
            <w:vMerge/>
            <w:tcBorders>
              <w:top w:val="nil"/>
              <w:left w:val="single" w:sz="4" w:space="0" w:color="auto"/>
              <w:bottom w:val="single" w:sz="4" w:space="0" w:color="auto"/>
              <w:right w:val="single" w:sz="4" w:space="0" w:color="auto"/>
            </w:tcBorders>
            <w:vAlign w:val="center"/>
            <w:hideMark/>
          </w:tcPr>
          <w:p w14:paraId="1AC670DE" w14:textId="77777777"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p>
        </w:tc>
        <w:tc>
          <w:tcPr>
            <w:tcW w:w="1627" w:type="pct"/>
            <w:tcBorders>
              <w:top w:val="nil"/>
              <w:left w:val="nil"/>
              <w:bottom w:val="single" w:sz="4" w:space="0" w:color="auto"/>
              <w:right w:val="single" w:sz="4" w:space="0" w:color="auto"/>
            </w:tcBorders>
            <w:shd w:val="clear" w:color="auto" w:fill="auto"/>
            <w:vAlign w:val="center"/>
            <w:hideMark/>
          </w:tcPr>
          <w:p w14:paraId="49E4B71C" w14:textId="77777777" w:rsidR="00224B95" w:rsidRPr="00224B95" w:rsidRDefault="00224B95" w:rsidP="00224B95">
            <w:pPr>
              <w:spacing w:after="0" w:line="240" w:lineRule="auto"/>
              <w:rPr>
                <w:rFonts w:ascii="Arial" w:eastAsia="Times New Roman" w:hAnsi="Arial" w:cs="Arial"/>
                <w:b/>
                <w:bCs/>
                <w:color w:val="000000" w:themeColor="text1"/>
                <w:sz w:val="18"/>
                <w:szCs w:val="18"/>
                <w:lang w:eastAsia="sl-SI"/>
              </w:rPr>
            </w:pPr>
            <w:r w:rsidRPr="00224B95">
              <w:rPr>
                <w:rFonts w:ascii="Arial" w:eastAsia="Times New Roman" w:hAnsi="Arial" w:cs="Arial"/>
                <w:b/>
                <w:bCs/>
                <w:color w:val="000000" w:themeColor="text1"/>
                <w:sz w:val="18"/>
                <w:szCs w:val="18"/>
                <w:lang w:eastAsia="sl-SI"/>
              </w:rPr>
              <w:t>Skupaj</w:t>
            </w:r>
          </w:p>
        </w:tc>
        <w:tc>
          <w:tcPr>
            <w:tcW w:w="569" w:type="pct"/>
            <w:tcBorders>
              <w:top w:val="nil"/>
              <w:left w:val="nil"/>
              <w:bottom w:val="single" w:sz="4" w:space="0" w:color="auto"/>
              <w:right w:val="single" w:sz="4" w:space="0" w:color="auto"/>
            </w:tcBorders>
            <w:shd w:val="clear" w:color="auto" w:fill="auto"/>
            <w:vAlign w:val="center"/>
            <w:hideMark/>
          </w:tcPr>
          <w:p w14:paraId="66518B6E" w14:textId="77777777" w:rsidR="00224B95" w:rsidRPr="00224B95" w:rsidRDefault="00224B95" w:rsidP="00224B95">
            <w:pPr>
              <w:spacing w:after="0" w:line="240" w:lineRule="auto"/>
              <w:jc w:val="right"/>
              <w:rPr>
                <w:rFonts w:ascii="Arial" w:eastAsia="Times New Roman" w:hAnsi="Arial" w:cs="Arial"/>
                <w:b/>
                <w:bCs/>
                <w:color w:val="000000" w:themeColor="text1"/>
                <w:sz w:val="18"/>
                <w:szCs w:val="18"/>
                <w:lang w:eastAsia="sl-SI"/>
              </w:rPr>
            </w:pPr>
            <w:r w:rsidRPr="00224B95">
              <w:rPr>
                <w:rFonts w:ascii="Arial" w:eastAsia="Times New Roman" w:hAnsi="Arial" w:cs="Arial"/>
                <w:b/>
                <w:bCs/>
                <w:color w:val="000000" w:themeColor="text1"/>
                <w:sz w:val="18"/>
                <w:szCs w:val="18"/>
                <w:lang w:eastAsia="sl-SI"/>
              </w:rPr>
              <w:t>11.113</w:t>
            </w:r>
          </w:p>
        </w:tc>
        <w:tc>
          <w:tcPr>
            <w:tcW w:w="867" w:type="pct"/>
            <w:tcBorders>
              <w:top w:val="nil"/>
              <w:left w:val="nil"/>
              <w:bottom w:val="single" w:sz="4" w:space="0" w:color="auto"/>
              <w:right w:val="single" w:sz="4" w:space="0" w:color="auto"/>
            </w:tcBorders>
            <w:shd w:val="clear" w:color="auto" w:fill="auto"/>
            <w:vAlign w:val="center"/>
            <w:hideMark/>
          </w:tcPr>
          <w:p w14:paraId="615EE821" w14:textId="77777777" w:rsidR="00224B95" w:rsidRPr="00224B95" w:rsidRDefault="00224B95" w:rsidP="00224B95">
            <w:pPr>
              <w:spacing w:after="0" w:line="240" w:lineRule="auto"/>
              <w:jc w:val="right"/>
              <w:rPr>
                <w:rFonts w:ascii="Arial" w:eastAsia="Times New Roman" w:hAnsi="Arial" w:cs="Arial"/>
                <w:b/>
                <w:bCs/>
                <w:color w:val="000000" w:themeColor="text1"/>
                <w:sz w:val="18"/>
                <w:szCs w:val="18"/>
                <w:lang w:eastAsia="sl-SI"/>
              </w:rPr>
            </w:pPr>
            <w:r w:rsidRPr="00224B95">
              <w:rPr>
                <w:rFonts w:ascii="Arial" w:eastAsia="Times New Roman" w:hAnsi="Arial" w:cs="Arial"/>
                <w:b/>
                <w:bCs/>
                <w:color w:val="000000" w:themeColor="text1"/>
                <w:sz w:val="18"/>
                <w:szCs w:val="18"/>
                <w:lang w:eastAsia="sl-SI"/>
              </w:rPr>
              <w:t>1.696.936.630</w:t>
            </w:r>
          </w:p>
        </w:tc>
        <w:tc>
          <w:tcPr>
            <w:tcW w:w="581" w:type="pct"/>
            <w:tcBorders>
              <w:top w:val="nil"/>
              <w:left w:val="nil"/>
              <w:bottom w:val="single" w:sz="4" w:space="0" w:color="auto"/>
              <w:right w:val="single" w:sz="4" w:space="0" w:color="auto"/>
            </w:tcBorders>
            <w:shd w:val="clear" w:color="auto" w:fill="auto"/>
            <w:noWrap/>
            <w:vAlign w:val="center"/>
            <w:hideMark/>
          </w:tcPr>
          <w:p w14:paraId="10FC2CC8" w14:textId="68B9B908" w:rsidR="00224B95" w:rsidRPr="00224B95" w:rsidRDefault="00224B95" w:rsidP="00224B95">
            <w:pPr>
              <w:spacing w:after="0" w:line="240" w:lineRule="auto"/>
              <w:jc w:val="right"/>
              <w:rPr>
                <w:rFonts w:ascii="Arial" w:eastAsia="Times New Roman" w:hAnsi="Arial" w:cs="Arial"/>
                <w:b/>
                <w:bCs/>
                <w:color w:val="000000" w:themeColor="text1"/>
                <w:sz w:val="18"/>
                <w:szCs w:val="18"/>
                <w:lang w:eastAsia="sl-SI"/>
              </w:rPr>
            </w:pPr>
            <w:r w:rsidRPr="00224B95">
              <w:rPr>
                <w:rFonts w:ascii="Arial" w:eastAsia="Times New Roman" w:hAnsi="Arial" w:cs="Arial"/>
                <w:b/>
                <w:bCs/>
                <w:color w:val="000000" w:themeColor="text1"/>
                <w:sz w:val="18"/>
                <w:szCs w:val="18"/>
                <w:lang w:eastAsia="sl-SI"/>
              </w:rPr>
              <w:t>100,00</w:t>
            </w:r>
            <w:r>
              <w:rPr>
                <w:rFonts w:ascii="Arial" w:eastAsia="Times New Roman" w:hAnsi="Arial" w:cs="Arial"/>
                <w:b/>
                <w:bCs/>
                <w:color w:val="000000" w:themeColor="text1"/>
                <w:sz w:val="18"/>
                <w:szCs w:val="18"/>
                <w:lang w:eastAsia="sl-SI"/>
              </w:rPr>
              <w:t xml:space="preserve"> </w:t>
            </w:r>
            <w:r w:rsidRPr="00224B95">
              <w:rPr>
                <w:rFonts w:ascii="Arial" w:eastAsia="Times New Roman" w:hAnsi="Arial" w:cs="Arial"/>
                <w:b/>
                <w:bCs/>
                <w:color w:val="000000" w:themeColor="text1"/>
                <w:sz w:val="18"/>
                <w:szCs w:val="18"/>
                <w:lang w:eastAsia="sl-SI"/>
              </w:rPr>
              <w:t>%</w:t>
            </w:r>
          </w:p>
        </w:tc>
        <w:tc>
          <w:tcPr>
            <w:tcW w:w="581" w:type="pct"/>
            <w:tcBorders>
              <w:top w:val="nil"/>
              <w:left w:val="nil"/>
              <w:bottom w:val="single" w:sz="4" w:space="0" w:color="auto"/>
              <w:right w:val="single" w:sz="4" w:space="0" w:color="auto"/>
            </w:tcBorders>
            <w:shd w:val="clear" w:color="auto" w:fill="auto"/>
            <w:noWrap/>
            <w:vAlign w:val="center"/>
            <w:hideMark/>
          </w:tcPr>
          <w:p w14:paraId="354EB29F" w14:textId="4BB6CA6E" w:rsidR="00224B95" w:rsidRPr="00224B95" w:rsidRDefault="00224B95" w:rsidP="00224B95">
            <w:pPr>
              <w:spacing w:after="0" w:line="240" w:lineRule="auto"/>
              <w:jc w:val="right"/>
              <w:rPr>
                <w:rFonts w:ascii="Arial" w:eastAsia="Times New Roman" w:hAnsi="Arial" w:cs="Arial"/>
                <w:b/>
                <w:bCs/>
                <w:color w:val="000000" w:themeColor="text1"/>
                <w:sz w:val="18"/>
                <w:szCs w:val="18"/>
                <w:lang w:eastAsia="sl-SI"/>
              </w:rPr>
            </w:pPr>
            <w:r w:rsidRPr="00224B95">
              <w:rPr>
                <w:rFonts w:ascii="Arial" w:eastAsia="Times New Roman" w:hAnsi="Arial" w:cs="Arial"/>
                <w:b/>
                <w:bCs/>
                <w:color w:val="000000" w:themeColor="text1"/>
                <w:sz w:val="18"/>
                <w:szCs w:val="18"/>
                <w:lang w:eastAsia="sl-SI"/>
              </w:rPr>
              <w:t>100,00</w:t>
            </w:r>
            <w:r>
              <w:rPr>
                <w:rFonts w:ascii="Arial" w:eastAsia="Times New Roman" w:hAnsi="Arial" w:cs="Arial"/>
                <w:b/>
                <w:bCs/>
                <w:color w:val="000000" w:themeColor="text1"/>
                <w:sz w:val="18"/>
                <w:szCs w:val="18"/>
                <w:lang w:eastAsia="sl-SI"/>
              </w:rPr>
              <w:t xml:space="preserve"> </w:t>
            </w:r>
            <w:r w:rsidRPr="00224B95">
              <w:rPr>
                <w:rFonts w:ascii="Arial" w:eastAsia="Times New Roman" w:hAnsi="Arial" w:cs="Arial"/>
                <w:b/>
                <w:bCs/>
                <w:color w:val="000000" w:themeColor="text1"/>
                <w:sz w:val="18"/>
                <w:szCs w:val="18"/>
                <w:lang w:eastAsia="sl-SI"/>
              </w:rPr>
              <w:t>%</w:t>
            </w:r>
          </w:p>
        </w:tc>
      </w:tr>
      <w:tr w:rsidR="00224B95" w:rsidRPr="00224B95" w14:paraId="3701BD60" w14:textId="77777777" w:rsidTr="00224B95">
        <w:trPr>
          <w:trHeight w:val="300"/>
        </w:trPr>
        <w:tc>
          <w:tcPr>
            <w:tcW w:w="775" w:type="pct"/>
            <w:vMerge w:val="restart"/>
            <w:tcBorders>
              <w:top w:val="nil"/>
              <w:left w:val="single" w:sz="4" w:space="0" w:color="auto"/>
              <w:bottom w:val="single" w:sz="4" w:space="0" w:color="auto"/>
              <w:right w:val="single" w:sz="4" w:space="0" w:color="auto"/>
            </w:tcBorders>
            <w:shd w:val="clear" w:color="auto" w:fill="auto"/>
            <w:vAlign w:val="center"/>
            <w:hideMark/>
          </w:tcPr>
          <w:p w14:paraId="2C979243" w14:textId="77777777" w:rsidR="00224B95" w:rsidRPr="00224B95" w:rsidRDefault="00224B95" w:rsidP="00224B95">
            <w:pPr>
              <w:spacing w:after="0" w:line="240" w:lineRule="auto"/>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Storitve</w:t>
            </w:r>
          </w:p>
        </w:tc>
        <w:tc>
          <w:tcPr>
            <w:tcW w:w="1627" w:type="pct"/>
            <w:tcBorders>
              <w:top w:val="nil"/>
              <w:left w:val="nil"/>
              <w:bottom w:val="single" w:sz="4" w:space="0" w:color="auto"/>
              <w:right w:val="single" w:sz="4" w:space="0" w:color="auto"/>
            </w:tcBorders>
            <w:shd w:val="clear" w:color="auto" w:fill="auto"/>
            <w:vAlign w:val="center"/>
            <w:hideMark/>
          </w:tcPr>
          <w:p w14:paraId="4DD2F0A7" w14:textId="77777777" w:rsidR="00224B95" w:rsidRPr="00224B95" w:rsidRDefault="00224B95" w:rsidP="00224B95">
            <w:pPr>
              <w:spacing w:after="0" w:line="240" w:lineRule="auto"/>
              <w:rPr>
                <w:rFonts w:ascii="Arial" w:eastAsia="Times New Roman" w:hAnsi="Arial" w:cs="Arial"/>
                <w:color w:val="000000" w:themeColor="text1"/>
                <w:sz w:val="18"/>
                <w:szCs w:val="18"/>
                <w:lang w:eastAsia="sl-SI"/>
              </w:rPr>
            </w:pPr>
            <w:proofErr w:type="spellStart"/>
            <w:r w:rsidRPr="00224B95">
              <w:rPr>
                <w:rFonts w:ascii="Arial" w:eastAsia="Times New Roman" w:hAnsi="Arial" w:cs="Arial"/>
                <w:color w:val="000000" w:themeColor="text1"/>
                <w:sz w:val="18"/>
                <w:szCs w:val="18"/>
                <w:lang w:eastAsia="sl-SI"/>
              </w:rPr>
              <w:t>Mikro</w:t>
            </w:r>
            <w:proofErr w:type="spellEnd"/>
            <w:r w:rsidRPr="00224B95">
              <w:rPr>
                <w:rFonts w:ascii="Arial" w:eastAsia="Times New Roman" w:hAnsi="Arial" w:cs="Arial"/>
                <w:color w:val="000000" w:themeColor="text1"/>
                <w:sz w:val="18"/>
                <w:szCs w:val="18"/>
                <w:lang w:eastAsia="sl-SI"/>
              </w:rPr>
              <w:t xml:space="preserve"> enote</w:t>
            </w:r>
          </w:p>
        </w:tc>
        <w:tc>
          <w:tcPr>
            <w:tcW w:w="569" w:type="pct"/>
            <w:tcBorders>
              <w:top w:val="nil"/>
              <w:left w:val="nil"/>
              <w:bottom w:val="single" w:sz="4" w:space="0" w:color="auto"/>
              <w:right w:val="single" w:sz="4" w:space="0" w:color="auto"/>
            </w:tcBorders>
            <w:shd w:val="clear" w:color="auto" w:fill="auto"/>
            <w:vAlign w:val="center"/>
            <w:hideMark/>
          </w:tcPr>
          <w:p w14:paraId="3067081E" w14:textId="77777777"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1.128</w:t>
            </w:r>
          </w:p>
        </w:tc>
        <w:tc>
          <w:tcPr>
            <w:tcW w:w="867" w:type="pct"/>
            <w:tcBorders>
              <w:top w:val="nil"/>
              <w:left w:val="nil"/>
              <w:bottom w:val="single" w:sz="4" w:space="0" w:color="auto"/>
              <w:right w:val="single" w:sz="4" w:space="0" w:color="auto"/>
            </w:tcBorders>
            <w:shd w:val="clear" w:color="auto" w:fill="auto"/>
            <w:vAlign w:val="center"/>
            <w:hideMark/>
          </w:tcPr>
          <w:p w14:paraId="7BAF2B61" w14:textId="77777777"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144.801.837</w:t>
            </w:r>
          </w:p>
        </w:tc>
        <w:tc>
          <w:tcPr>
            <w:tcW w:w="581" w:type="pct"/>
            <w:tcBorders>
              <w:top w:val="nil"/>
              <w:left w:val="nil"/>
              <w:bottom w:val="single" w:sz="4" w:space="0" w:color="auto"/>
              <w:right w:val="single" w:sz="4" w:space="0" w:color="auto"/>
            </w:tcBorders>
            <w:shd w:val="clear" w:color="auto" w:fill="auto"/>
            <w:noWrap/>
            <w:vAlign w:val="center"/>
            <w:hideMark/>
          </w:tcPr>
          <w:p w14:paraId="0A202932" w14:textId="37FC4D5C"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28,80</w:t>
            </w:r>
            <w:r>
              <w:rPr>
                <w:rFonts w:ascii="Arial" w:eastAsia="Times New Roman" w:hAnsi="Arial" w:cs="Arial"/>
                <w:color w:val="000000" w:themeColor="text1"/>
                <w:sz w:val="18"/>
                <w:szCs w:val="18"/>
                <w:lang w:eastAsia="sl-SI"/>
              </w:rPr>
              <w:t xml:space="preserve"> </w:t>
            </w:r>
            <w:r w:rsidRPr="00224B95">
              <w:rPr>
                <w:rFonts w:ascii="Arial" w:eastAsia="Times New Roman" w:hAnsi="Arial" w:cs="Arial"/>
                <w:color w:val="000000" w:themeColor="text1"/>
                <w:sz w:val="18"/>
                <w:szCs w:val="18"/>
                <w:lang w:eastAsia="sl-SI"/>
              </w:rPr>
              <w:t>%</w:t>
            </w:r>
          </w:p>
        </w:tc>
        <w:tc>
          <w:tcPr>
            <w:tcW w:w="581" w:type="pct"/>
            <w:tcBorders>
              <w:top w:val="nil"/>
              <w:left w:val="nil"/>
              <w:bottom w:val="single" w:sz="4" w:space="0" w:color="auto"/>
              <w:right w:val="single" w:sz="4" w:space="0" w:color="auto"/>
            </w:tcBorders>
            <w:shd w:val="clear" w:color="auto" w:fill="auto"/>
            <w:noWrap/>
            <w:vAlign w:val="center"/>
            <w:hideMark/>
          </w:tcPr>
          <w:p w14:paraId="0ED90782" w14:textId="3E80BD0C"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8,71</w:t>
            </w:r>
            <w:r>
              <w:rPr>
                <w:rFonts w:ascii="Arial" w:eastAsia="Times New Roman" w:hAnsi="Arial" w:cs="Arial"/>
                <w:color w:val="000000" w:themeColor="text1"/>
                <w:sz w:val="18"/>
                <w:szCs w:val="18"/>
                <w:lang w:eastAsia="sl-SI"/>
              </w:rPr>
              <w:t xml:space="preserve"> </w:t>
            </w:r>
            <w:r w:rsidRPr="00224B95">
              <w:rPr>
                <w:rFonts w:ascii="Arial" w:eastAsia="Times New Roman" w:hAnsi="Arial" w:cs="Arial"/>
                <w:color w:val="000000" w:themeColor="text1"/>
                <w:sz w:val="18"/>
                <w:szCs w:val="18"/>
                <w:lang w:eastAsia="sl-SI"/>
              </w:rPr>
              <w:t>%</w:t>
            </w:r>
          </w:p>
        </w:tc>
      </w:tr>
      <w:tr w:rsidR="00224B95" w:rsidRPr="00224B95" w14:paraId="74AF5E9A" w14:textId="77777777" w:rsidTr="00224B95">
        <w:trPr>
          <w:trHeight w:val="300"/>
        </w:trPr>
        <w:tc>
          <w:tcPr>
            <w:tcW w:w="775" w:type="pct"/>
            <w:vMerge/>
            <w:tcBorders>
              <w:top w:val="nil"/>
              <w:left w:val="single" w:sz="4" w:space="0" w:color="auto"/>
              <w:bottom w:val="single" w:sz="4" w:space="0" w:color="auto"/>
              <w:right w:val="single" w:sz="4" w:space="0" w:color="auto"/>
            </w:tcBorders>
            <w:vAlign w:val="center"/>
            <w:hideMark/>
          </w:tcPr>
          <w:p w14:paraId="58CAD9B9" w14:textId="77777777" w:rsidR="00224B95" w:rsidRPr="00224B95" w:rsidRDefault="00224B95" w:rsidP="00224B95">
            <w:pPr>
              <w:spacing w:after="0" w:line="240" w:lineRule="auto"/>
              <w:rPr>
                <w:rFonts w:ascii="Arial" w:eastAsia="Times New Roman" w:hAnsi="Arial" w:cs="Arial"/>
                <w:color w:val="000000" w:themeColor="text1"/>
                <w:sz w:val="18"/>
                <w:szCs w:val="18"/>
                <w:lang w:eastAsia="sl-SI"/>
              </w:rPr>
            </w:pPr>
          </w:p>
        </w:tc>
        <w:tc>
          <w:tcPr>
            <w:tcW w:w="1627" w:type="pct"/>
            <w:tcBorders>
              <w:top w:val="nil"/>
              <w:left w:val="nil"/>
              <w:bottom w:val="single" w:sz="4" w:space="0" w:color="auto"/>
              <w:right w:val="single" w:sz="4" w:space="0" w:color="auto"/>
            </w:tcBorders>
            <w:shd w:val="clear" w:color="auto" w:fill="auto"/>
            <w:vAlign w:val="center"/>
            <w:hideMark/>
          </w:tcPr>
          <w:p w14:paraId="790F83D7" w14:textId="77777777" w:rsidR="00224B95" w:rsidRPr="00224B95" w:rsidRDefault="00224B95" w:rsidP="00224B95">
            <w:pPr>
              <w:spacing w:after="0" w:line="240" w:lineRule="auto"/>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Majhne enote</w:t>
            </w:r>
          </w:p>
        </w:tc>
        <w:tc>
          <w:tcPr>
            <w:tcW w:w="569" w:type="pct"/>
            <w:tcBorders>
              <w:top w:val="nil"/>
              <w:left w:val="nil"/>
              <w:bottom w:val="single" w:sz="4" w:space="0" w:color="auto"/>
              <w:right w:val="single" w:sz="4" w:space="0" w:color="auto"/>
            </w:tcBorders>
            <w:shd w:val="clear" w:color="auto" w:fill="auto"/>
            <w:vAlign w:val="center"/>
            <w:hideMark/>
          </w:tcPr>
          <w:p w14:paraId="6341D60D" w14:textId="77777777"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1.203</w:t>
            </w:r>
          </w:p>
        </w:tc>
        <w:tc>
          <w:tcPr>
            <w:tcW w:w="867" w:type="pct"/>
            <w:tcBorders>
              <w:top w:val="nil"/>
              <w:left w:val="nil"/>
              <w:bottom w:val="single" w:sz="4" w:space="0" w:color="auto"/>
              <w:right w:val="single" w:sz="4" w:space="0" w:color="auto"/>
            </w:tcBorders>
            <w:shd w:val="clear" w:color="auto" w:fill="auto"/>
            <w:vAlign w:val="center"/>
            <w:hideMark/>
          </w:tcPr>
          <w:p w14:paraId="6FBD8FCE" w14:textId="77777777"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351.219.787</w:t>
            </w:r>
          </w:p>
        </w:tc>
        <w:tc>
          <w:tcPr>
            <w:tcW w:w="581" w:type="pct"/>
            <w:tcBorders>
              <w:top w:val="nil"/>
              <w:left w:val="nil"/>
              <w:bottom w:val="single" w:sz="4" w:space="0" w:color="auto"/>
              <w:right w:val="single" w:sz="4" w:space="0" w:color="auto"/>
            </w:tcBorders>
            <w:shd w:val="clear" w:color="auto" w:fill="auto"/>
            <w:noWrap/>
            <w:vAlign w:val="center"/>
            <w:hideMark/>
          </w:tcPr>
          <w:p w14:paraId="5642BEEE" w14:textId="65309A03"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30,72</w:t>
            </w:r>
            <w:r>
              <w:rPr>
                <w:rFonts w:ascii="Arial" w:eastAsia="Times New Roman" w:hAnsi="Arial" w:cs="Arial"/>
                <w:color w:val="000000" w:themeColor="text1"/>
                <w:sz w:val="18"/>
                <w:szCs w:val="18"/>
                <w:lang w:eastAsia="sl-SI"/>
              </w:rPr>
              <w:t xml:space="preserve"> </w:t>
            </w:r>
            <w:r w:rsidRPr="00224B95">
              <w:rPr>
                <w:rFonts w:ascii="Arial" w:eastAsia="Times New Roman" w:hAnsi="Arial" w:cs="Arial"/>
                <w:color w:val="000000" w:themeColor="text1"/>
                <w:sz w:val="18"/>
                <w:szCs w:val="18"/>
                <w:lang w:eastAsia="sl-SI"/>
              </w:rPr>
              <w:t>%</w:t>
            </w:r>
          </w:p>
        </w:tc>
        <w:tc>
          <w:tcPr>
            <w:tcW w:w="581" w:type="pct"/>
            <w:tcBorders>
              <w:top w:val="nil"/>
              <w:left w:val="nil"/>
              <w:bottom w:val="single" w:sz="4" w:space="0" w:color="auto"/>
              <w:right w:val="single" w:sz="4" w:space="0" w:color="auto"/>
            </w:tcBorders>
            <w:shd w:val="clear" w:color="auto" w:fill="auto"/>
            <w:noWrap/>
            <w:vAlign w:val="center"/>
            <w:hideMark/>
          </w:tcPr>
          <w:p w14:paraId="59A39C48" w14:textId="6BE13C17"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21,13</w:t>
            </w:r>
            <w:r>
              <w:rPr>
                <w:rFonts w:ascii="Arial" w:eastAsia="Times New Roman" w:hAnsi="Arial" w:cs="Arial"/>
                <w:color w:val="000000" w:themeColor="text1"/>
                <w:sz w:val="18"/>
                <w:szCs w:val="18"/>
                <w:lang w:eastAsia="sl-SI"/>
              </w:rPr>
              <w:t xml:space="preserve"> </w:t>
            </w:r>
            <w:r w:rsidRPr="00224B95">
              <w:rPr>
                <w:rFonts w:ascii="Arial" w:eastAsia="Times New Roman" w:hAnsi="Arial" w:cs="Arial"/>
                <w:color w:val="000000" w:themeColor="text1"/>
                <w:sz w:val="18"/>
                <w:szCs w:val="18"/>
                <w:lang w:eastAsia="sl-SI"/>
              </w:rPr>
              <w:t>%</w:t>
            </w:r>
          </w:p>
        </w:tc>
      </w:tr>
      <w:tr w:rsidR="00224B95" w:rsidRPr="00224B95" w14:paraId="401ED320" w14:textId="77777777" w:rsidTr="00224B95">
        <w:trPr>
          <w:trHeight w:val="300"/>
        </w:trPr>
        <w:tc>
          <w:tcPr>
            <w:tcW w:w="775" w:type="pct"/>
            <w:vMerge/>
            <w:tcBorders>
              <w:top w:val="nil"/>
              <w:left w:val="single" w:sz="4" w:space="0" w:color="auto"/>
              <w:bottom w:val="single" w:sz="4" w:space="0" w:color="auto"/>
              <w:right w:val="single" w:sz="4" w:space="0" w:color="auto"/>
            </w:tcBorders>
            <w:vAlign w:val="center"/>
            <w:hideMark/>
          </w:tcPr>
          <w:p w14:paraId="06CD4218" w14:textId="77777777" w:rsidR="00224B95" w:rsidRPr="00224B95" w:rsidRDefault="00224B95" w:rsidP="00224B95">
            <w:pPr>
              <w:spacing w:after="0" w:line="240" w:lineRule="auto"/>
              <w:rPr>
                <w:rFonts w:ascii="Arial" w:eastAsia="Times New Roman" w:hAnsi="Arial" w:cs="Arial"/>
                <w:color w:val="000000" w:themeColor="text1"/>
                <w:sz w:val="18"/>
                <w:szCs w:val="18"/>
                <w:lang w:eastAsia="sl-SI"/>
              </w:rPr>
            </w:pPr>
          </w:p>
        </w:tc>
        <w:tc>
          <w:tcPr>
            <w:tcW w:w="1627" w:type="pct"/>
            <w:tcBorders>
              <w:top w:val="nil"/>
              <w:left w:val="nil"/>
              <w:bottom w:val="single" w:sz="4" w:space="0" w:color="auto"/>
              <w:right w:val="single" w:sz="4" w:space="0" w:color="auto"/>
            </w:tcBorders>
            <w:shd w:val="clear" w:color="auto" w:fill="auto"/>
            <w:vAlign w:val="center"/>
            <w:hideMark/>
          </w:tcPr>
          <w:p w14:paraId="0B6D47D9" w14:textId="77777777" w:rsidR="00224B95" w:rsidRPr="00224B95" w:rsidRDefault="00224B95" w:rsidP="00224B95">
            <w:pPr>
              <w:spacing w:after="0" w:line="240" w:lineRule="auto"/>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Srednje enote</w:t>
            </w:r>
          </w:p>
        </w:tc>
        <w:tc>
          <w:tcPr>
            <w:tcW w:w="569" w:type="pct"/>
            <w:tcBorders>
              <w:top w:val="nil"/>
              <w:left w:val="nil"/>
              <w:bottom w:val="single" w:sz="4" w:space="0" w:color="auto"/>
              <w:right w:val="single" w:sz="4" w:space="0" w:color="auto"/>
            </w:tcBorders>
            <w:shd w:val="clear" w:color="auto" w:fill="auto"/>
            <w:vAlign w:val="center"/>
            <w:hideMark/>
          </w:tcPr>
          <w:p w14:paraId="7A69FAFD" w14:textId="77777777"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691</w:t>
            </w:r>
          </w:p>
        </w:tc>
        <w:tc>
          <w:tcPr>
            <w:tcW w:w="867" w:type="pct"/>
            <w:tcBorders>
              <w:top w:val="nil"/>
              <w:left w:val="nil"/>
              <w:bottom w:val="single" w:sz="4" w:space="0" w:color="auto"/>
              <w:right w:val="single" w:sz="4" w:space="0" w:color="auto"/>
            </w:tcBorders>
            <w:shd w:val="clear" w:color="auto" w:fill="auto"/>
            <w:vAlign w:val="center"/>
            <w:hideMark/>
          </w:tcPr>
          <w:p w14:paraId="4ECEADBA" w14:textId="77777777"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372.044.387</w:t>
            </w:r>
          </w:p>
        </w:tc>
        <w:tc>
          <w:tcPr>
            <w:tcW w:w="581" w:type="pct"/>
            <w:tcBorders>
              <w:top w:val="nil"/>
              <w:left w:val="nil"/>
              <w:bottom w:val="single" w:sz="4" w:space="0" w:color="auto"/>
              <w:right w:val="single" w:sz="4" w:space="0" w:color="auto"/>
            </w:tcBorders>
            <w:shd w:val="clear" w:color="auto" w:fill="auto"/>
            <w:noWrap/>
            <w:vAlign w:val="center"/>
            <w:hideMark/>
          </w:tcPr>
          <w:p w14:paraId="69EB8F1C" w14:textId="14914BE5"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17,65</w:t>
            </w:r>
            <w:r>
              <w:rPr>
                <w:rFonts w:ascii="Arial" w:eastAsia="Times New Roman" w:hAnsi="Arial" w:cs="Arial"/>
                <w:color w:val="000000" w:themeColor="text1"/>
                <w:sz w:val="18"/>
                <w:szCs w:val="18"/>
                <w:lang w:eastAsia="sl-SI"/>
              </w:rPr>
              <w:t xml:space="preserve"> </w:t>
            </w:r>
            <w:r w:rsidRPr="00224B95">
              <w:rPr>
                <w:rFonts w:ascii="Arial" w:eastAsia="Times New Roman" w:hAnsi="Arial" w:cs="Arial"/>
                <w:color w:val="000000" w:themeColor="text1"/>
                <w:sz w:val="18"/>
                <w:szCs w:val="18"/>
                <w:lang w:eastAsia="sl-SI"/>
              </w:rPr>
              <w:t>%</w:t>
            </w:r>
          </w:p>
        </w:tc>
        <w:tc>
          <w:tcPr>
            <w:tcW w:w="581" w:type="pct"/>
            <w:tcBorders>
              <w:top w:val="nil"/>
              <w:left w:val="nil"/>
              <w:bottom w:val="single" w:sz="4" w:space="0" w:color="auto"/>
              <w:right w:val="single" w:sz="4" w:space="0" w:color="auto"/>
            </w:tcBorders>
            <w:shd w:val="clear" w:color="auto" w:fill="auto"/>
            <w:noWrap/>
            <w:vAlign w:val="center"/>
            <w:hideMark/>
          </w:tcPr>
          <w:p w14:paraId="0CDE1D83" w14:textId="3ACB2A2E"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22,38</w:t>
            </w:r>
            <w:r>
              <w:rPr>
                <w:rFonts w:ascii="Arial" w:eastAsia="Times New Roman" w:hAnsi="Arial" w:cs="Arial"/>
                <w:color w:val="000000" w:themeColor="text1"/>
                <w:sz w:val="18"/>
                <w:szCs w:val="18"/>
                <w:lang w:eastAsia="sl-SI"/>
              </w:rPr>
              <w:t xml:space="preserve"> </w:t>
            </w:r>
            <w:r w:rsidRPr="00224B95">
              <w:rPr>
                <w:rFonts w:ascii="Arial" w:eastAsia="Times New Roman" w:hAnsi="Arial" w:cs="Arial"/>
                <w:color w:val="000000" w:themeColor="text1"/>
                <w:sz w:val="18"/>
                <w:szCs w:val="18"/>
                <w:lang w:eastAsia="sl-SI"/>
              </w:rPr>
              <w:t>%</w:t>
            </w:r>
          </w:p>
        </w:tc>
      </w:tr>
      <w:tr w:rsidR="00224B95" w:rsidRPr="00224B95" w14:paraId="1C32BC45" w14:textId="77777777" w:rsidTr="00224B95">
        <w:trPr>
          <w:trHeight w:val="300"/>
        </w:trPr>
        <w:tc>
          <w:tcPr>
            <w:tcW w:w="775" w:type="pct"/>
            <w:vMerge/>
            <w:tcBorders>
              <w:top w:val="nil"/>
              <w:left w:val="single" w:sz="4" w:space="0" w:color="auto"/>
              <w:bottom w:val="single" w:sz="4" w:space="0" w:color="auto"/>
              <w:right w:val="single" w:sz="4" w:space="0" w:color="auto"/>
            </w:tcBorders>
            <w:vAlign w:val="center"/>
            <w:hideMark/>
          </w:tcPr>
          <w:p w14:paraId="799656BA" w14:textId="77777777" w:rsidR="00224B95" w:rsidRPr="00224B95" w:rsidRDefault="00224B95" w:rsidP="00224B95">
            <w:pPr>
              <w:spacing w:after="0" w:line="240" w:lineRule="auto"/>
              <w:rPr>
                <w:rFonts w:ascii="Arial" w:eastAsia="Times New Roman" w:hAnsi="Arial" w:cs="Arial"/>
                <w:color w:val="000000" w:themeColor="text1"/>
                <w:sz w:val="18"/>
                <w:szCs w:val="18"/>
                <w:lang w:eastAsia="sl-SI"/>
              </w:rPr>
            </w:pPr>
          </w:p>
        </w:tc>
        <w:tc>
          <w:tcPr>
            <w:tcW w:w="1627" w:type="pct"/>
            <w:tcBorders>
              <w:top w:val="nil"/>
              <w:left w:val="nil"/>
              <w:bottom w:val="single" w:sz="4" w:space="0" w:color="auto"/>
              <w:right w:val="single" w:sz="4" w:space="0" w:color="auto"/>
            </w:tcBorders>
            <w:shd w:val="clear" w:color="auto" w:fill="auto"/>
            <w:vAlign w:val="center"/>
            <w:hideMark/>
          </w:tcPr>
          <w:p w14:paraId="178A1130" w14:textId="77777777" w:rsidR="00224B95" w:rsidRPr="00224B95" w:rsidRDefault="00224B95" w:rsidP="00224B95">
            <w:pPr>
              <w:spacing w:after="0" w:line="240" w:lineRule="auto"/>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Velike enote</w:t>
            </w:r>
          </w:p>
        </w:tc>
        <w:tc>
          <w:tcPr>
            <w:tcW w:w="569" w:type="pct"/>
            <w:tcBorders>
              <w:top w:val="nil"/>
              <w:left w:val="nil"/>
              <w:bottom w:val="single" w:sz="4" w:space="0" w:color="auto"/>
              <w:right w:val="single" w:sz="4" w:space="0" w:color="auto"/>
            </w:tcBorders>
            <w:shd w:val="clear" w:color="auto" w:fill="auto"/>
            <w:vAlign w:val="center"/>
            <w:hideMark/>
          </w:tcPr>
          <w:p w14:paraId="26C21C68" w14:textId="77777777"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546</w:t>
            </w:r>
          </w:p>
        </w:tc>
        <w:tc>
          <w:tcPr>
            <w:tcW w:w="867" w:type="pct"/>
            <w:tcBorders>
              <w:top w:val="nil"/>
              <w:left w:val="nil"/>
              <w:bottom w:val="single" w:sz="4" w:space="0" w:color="auto"/>
              <w:right w:val="single" w:sz="4" w:space="0" w:color="auto"/>
            </w:tcBorders>
            <w:shd w:val="clear" w:color="auto" w:fill="auto"/>
            <w:vAlign w:val="center"/>
            <w:hideMark/>
          </w:tcPr>
          <w:p w14:paraId="7FC87D92" w14:textId="77777777"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746.694.687</w:t>
            </w:r>
          </w:p>
        </w:tc>
        <w:tc>
          <w:tcPr>
            <w:tcW w:w="581" w:type="pct"/>
            <w:tcBorders>
              <w:top w:val="nil"/>
              <w:left w:val="nil"/>
              <w:bottom w:val="single" w:sz="4" w:space="0" w:color="auto"/>
              <w:right w:val="single" w:sz="4" w:space="0" w:color="auto"/>
            </w:tcBorders>
            <w:shd w:val="clear" w:color="auto" w:fill="auto"/>
            <w:noWrap/>
            <w:vAlign w:val="center"/>
            <w:hideMark/>
          </w:tcPr>
          <w:p w14:paraId="4986484B" w14:textId="25194BC3"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13,94</w:t>
            </w:r>
            <w:r>
              <w:rPr>
                <w:rFonts w:ascii="Arial" w:eastAsia="Times New Roman" w:hAnsi="Arial" w:cs="Arial"/>
                <w:color w:val="000000" w:themeColor="text1"/>
                <w:sz w:val="18"/>
                <w:szCs w:val="18"/>
                <w:lang w:eastAsia="sl-SI"/>
              </w:rPr>
              <w:t xml:space="preserve"> </w:t>
            </w:r>
            <w:r w:rsidRPr="00224B95">
              <w:rPr>
                <w:rFonts w:ascii="Arial" w:eastAsia="Times New Roman" w:hAnsi="Arial" w:cs="Arial"/>
                <w:color w:val="000000" w:themeColor="text1"/>
                <w:sz w:val="18"/>
                <w:szCs w:val="18"/>
                <w:lang w:eastAsia="sl-SI"/>
              </w:rPr>
              <w:t>%</w:t>
            </w:r>
          </w:p>
        </w:tc>
        <w:tc>
          <w:tcPr>
            <w:tcW w:w="581" w:type="pct"/>
            <w:tcBorders>
              <w:top w:val="nil"/>
              <w:left w:val="nil"/>
              <w:bottom w:val="single" w:sz="4" w:space="0" w:color="auto"/>
              <w:right w:val="single" w:sz="4" w:space="0" w:color="auto"/>
            </w:tcBorders>
            <w:shd w:val="clear" w:color="auto" w:fill="auto"/>
            <w:noWrap/>
            <w:vAlign w:val="center"/>
            <w:hideMark/>
          </w:tcPr>
          <w:p w14:paraId="3F9041A2" w14:textId="1F1DE8E0"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44,92</w:t>
            </w:r>
            <w:r>
              <w:rPr>
                <w:rFonts w:ascii="Arial" w:eastAsia="Times New Roman" w:hAnsi="Arial" w:cs="Arial"/>
                <w:color w:val="000000" w:themeColor="text1"/>
                <w:sz w:val="18"/>
                <w:szCs w:val="18"/>
                <w:lang w:eastAsia="sl-SI"/>
              </w:rPr>
              <w:t xml:space="preserve"> </w:t>
            </w:r>
            <w:r w:rsidRPr="00224B95">
              <w:rPr>
                <w:rFonts w:ascii="Arial" w:eastAsia="Times New Roman" w:hAnsi="Arial" w:cs="Arial"/>
                <w:color w:val="000000" w:themeColor="text1"/>
                <w:sz w:val="18"/>
                <w:szCs w:val="18"/>
                <w:lang w:eastAsia="sl-SI"/>
              </w:rPr>
              <w:t>%</w:t>
            </w:r>
          </w:p>
        </w:tc>
      </w:tr>
      <w:tr w:rsidR="00224B95" w:rsidRPr="00224B95" w14:paraId="71F98662" w14:textId="77777777" w:rsidTr="00224B95">
        <w:trPr>
          <w:trHeight w:val="300"/>
        </w:trPr>
        <w:tc>
          <w:tcPr>
            <w:tcW w:w="775" w:type="pct"/>
            <w:vMerge/>
            <w:tcBorders>
              <w:top w:val="nil"/>
              <w:left w:val="single" w:sz="4" w:space="0" w:color="auto"/>
              <w:bottom w:val="single" w:sz="4" w:space="0" w:color="auto"/>
              <w:right w:val="single" w:sz="4" w:space="0" w:color="auto"/>
            </w:tcBorders>
            <w:vAlign w:val="center"/>
            <w:hideMark/>
          </w:tcPr>
          <w:p w14:paraId="616D636E" w14:textId="77777777" w:rsidR="00224B95" w:rsidRPr="00224B95" w:rsidRDefault="00224B95" w:rsidP="00224B95">
            <w:pPr>
              <w:spacing w:after="0" w:line="240" w:lineRule="auto"/>
              <w:rPr>
                <w:rFonts w:ascii="Arial" w:eastAsia="Times New Roman" w:hAnsi="Arial" w:cs="Arial"/>
                <w:color w:val="000000" w:themeColor="text1"/>
                <w:sz w:val="18"/>
                <w:szCs w:val="18"/>
                <w:lang w:eastAsia="sl-SI"/>
              </w:rPr>
            </w:pPr>
          </w:p>
        </w:tc>
        <w:tc>
          <w:tcPr>
            <w:tcW w:w="1627" w:type="pct"/>
            <w:tcBorders>
              <w:top w:val="nil"/>
              <w:left w:val="nil"/>
              <w:bottom w:val="single" w:sz="4" w:space="0" w:color="auto"/>
              <w:right w:val="single" w:sz="4" w:space="0" w:color="auto"/>
            </w:tcBorders>
            <w:shd w:val="clear" w:color="auto" w:fill="auto"/>
            <w:vAlign w:val="center"/>
            <w:hideMark/>
          </w:tcPr>
          <w:p w14:paraId="3C8C4DED" w14:textId="64DD7160" w:rsidR="00224B95" w:rsidRPr="00224B95" w:rsidRDefault="00224B95" w:rsidP="00224B95">
            <w:pPr>
              <w:spacing w:after="0" w:line="240" w:lineRule="auto"/>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 xml:space="preserve">Velikost </w:t>
            </w:r>
            <w:r w:rsidR="00007116">
              <w:rPr>
                <w:rFonts w:ascii="Arial" w:eastAsia="Times New Roman" w:hAnsi="Arial" w:cs="Arial"/>
                <w:color w:val="000000" w:themeColor="text1"/>
                <w:sz w:val="18"/>
                <w:szCs w:val="18"/>
                <w:lang w:eastAsia="sl-SI"/>
              </w:rPr>
              <w:t>Republike Slovenije</w:t>
            </w:r>
            <w:r w:rsidRPr="00224B95">
              <w:rPr>
                <w:rFonts w:ascii="Arial" w:eastAsia="Times New Roman" w:hAnsi="Arial" w:cs="Arial"/>
                <w:color w:val="000000" w:themeColor="text1"/>
                <w:sz w:val="18"/>
                <w:szCs w:val="18"/>
                <w:lang w:eastAsia="sl-SI"/>
              </w:rPr>
              <w:t xml:space="preserve"> se ne izračunava</w:t>
            </w:r>
          </w:p>
        </w:tc>
        <w:tc>
          <w:tcPr>
            <w:tcW w:w="569" w:type="pct"/>
            <w:tcBorders>
              <w:top w:val="nil"/>
              <w:left w:val="nil"/>
              <w:bottom w:val="single" w:sz="4" w:space="0" w:color="auto"/>
              <w:right w:val="single" w:sz="4" w:space="0" w:color="auto"/>
            </w:tcBorders>
            <w:shd w:val="clear" w:color="auto" w:fill="auto"/>
            <w:vAlign w:val="center"/>
            <w:hideMark/>
          </w:tcPr>
          <w:p w14:paraId="6D964434" w14:textId="77777777"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303</w:t>
            </w:r>
          </w:p>
        </w:tc>
        <w:tc>
          <w:tcPr>
            <w:tcW w:w="867" w:type="pct"/>
            <w:tcBorders>
              <w:top w:val="nil"/>
              <w:left w:val="nil"/>
              <w:bottom w:val="single" w:sz="4" w:space="0" w:color="auto"/>
              <w:right w:val="single" w:sz="4" w:space="0" w:color="auto"/>
            </w:tcBorders>
            <w:shd w:val="clear" w:color="auto" w:fill="auto"/>
            <w:vAlign w:val="center"/>
            <w:hideMark/>
          </w:tcPr>
          <w:p w14:paraId="38C36731" w14:textId="77777777"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35.741.045</w:t>
            </w:r>
          </w:p>
        </w:tc>
        <w:tc>
          <w:tcPr>
            <w:tcW w:w="581" w:type="pct"/>
            <w:tcBorders>
              <w:top w:val="nil"/>
              <w:left w:val="nil"/>
              <w:bottom w:val="single" w:sz="4" w:space="0" w:color="auto"/>
              <w:right w:val="single" w:sz="4" w:space="0" w:color="auto"/>
            </w:tcBorders>
            <w:shd w:val="clear" w:color="auto" w:fill="auto"/>
            <w:noWrap/>
            <w:vAlign w:val="center"/>
            <w:hideMark/>
          </w:tcPr>
          <w:p w14:paraId="3B5A96A5" w14:textId="567C3AD3"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7,74</w:t>
            </w:r>
            <w:r>
              <w:rPr>
                <w:rFonts w:ascii="Arial" w:eastAsia="Times New Roman" w:hAnsi="Arial" w:cs="Arial"/>
                <w:color w:val="000000" w:themeColor="text1"/>
                <w:sz w:val="18"/>
                <w:szCs w:val="18"/>
                <w:lang w:eastAsia="sl-SI"/>
              </w:rPr>
              <w:t xml:space="preserve"> </w:t>
            </w:r>
            <w:r w:rsidRPr="00224B95">
              <w:rPr>
                <w:rFonts w:ascii="Arial" w:eastAsia="Times New Roman" w:hAnsi="Arial" w:cs="Arial"/>
                <w:color w:val="000000" w:themeColor="text1"/>
                <w:sz w:val="18"/>
                <w:szCs w:val="18"/>
                <w:lang w:eastAsia="sl-SI"/>
              </w:rPr>
              <w:t>%</w:t>
            </w:r>
          </w:p>
        </w:tc>
        <w:tc>
          <w:tcPr>
            <w:tcW w:w="581" w:type="pct"/>
            <w:tcBorders>
              <w:top w:val="nil"/>
              <w:left w:val="nil"/>
              <w:bottom w:val="single" w:sz="4" w:space="0" w:color="auto"/>
              <w:right w:val="single" w:sz="4" w:space="0" w:color="auto"/>
            </w:tcBorders>
            <w:shd w:val="clear" w:color="auto" w:fill="auto"/>
            <w:noWrap/>
            <w:vAlign w:val="center"/>
            <w:hideMark/>
          </w:tcPr>
          <w:p w14:paraId="1D521B99" w14:textId="597B9BC3"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2,15</w:t>
            </w:r>
            <w:r>
              <w:rPr>
                <w:rFonts w:ascii="Arial" w:eastAsia="Times New Roman" w:hAnsi="Arial" w:cs="Arial"/>
                <w:color w:val="000000" w:themeColor="text1"/>
                <w:sz w:val="18"/>
                <w:szCs w:val="18"/>
                <w:lang w:eastAsia="sl-SI"/>
              </w:rPr>
              <w:t xml:space="preserve"> </w:t>
            </w:r>
            <w:r w:rsidRPr="00224B95">
              <w:rPr>
                <w:rFonts w:ascii="Arial" w:eastAsia="Times New Roman" w:hAnsi="Arial" w:cs="Arial"/>
                <w:color w:val="000000" w:themeColor="text1"/>
                <w:sz w:val="18"/>
                <w:szCs w:val="18"/>
                <w:lang w:eastAsia="sl-SI"/>
              </w:rPr>
              <w:t>%</w:t>
            </w:r>
          </w:p>
        </w:tc>
      </w:tr>
      <w:tr w:rsidR="00224B95" w:rsidRPr="00224B95" w14:paraId="7BBA4AB8" w14:textId="77777777" w:rsidTr="00224B95">
        <w:trPr>
          <w:trHeight w:val="300"/>
        </w:trPr>
        <w:tc>
          <w:tcPr>
            <w:tcW w:w="775" w:type="pct"/>
            <w:vMerge/>
            <w:tcBorders>
              <w:top w:val="nil"/>
              <w:left w:val="single" w:sz="4" w:space="0" w:color="auto"/>
              <w:bottom w:val="single" w:sz="4" w:space="0" w:color="auto"/>
              <w:right w:val="single" w:sz="4" w:space="0" w:color="auto"/>
            </w:tcBorders>
            <w:vAlign w:val="center"/>
            <w:hideMark/>
          </w:tcPr>
          <w:p w14:paraId="0CA55A96" w14:textId="77777777" w:rsidR="00224B95" w:rsidRPr="00224B95" w:rsidRDefault="00224B95" w:rsidP="00224B95">
            <w:pPr>
              <w:spacing w:after="0" w:line="240" w:lineRule="auto"/>
              <w:rPr>
                <w:rFonts w:ascii="Arial" w:eastAsia="Times New Roman" w:hAnsi="Arial" w:cs="Arial"/>
                <w:color w:val="000000" w:themeColor="text1"/>
                <w:sz w:val="18"/>
                <w:szCs w:val="18"/>
                <w:lang w:eastAsia="sl-SI"/>
              </w:rPr>
            </w:pPr>
          </w:p>
        </w:tc>
        <w:tc>
          <w:tcPr>
            <w:tcW w:w="1627" w:type="pct"/>
            <w:tcBorders>
              <w:top w:val="nil"/>
              <w:left w:val="nil"/>
              <w:bottom w:val="single" w:sz="4" w:space="0" w:color="auto"/>
              <w:right w:val="single" w:sz="4" w:space="0" w:color="auto"/>
            </w:tcBorders>
            <w:shd w:val="clear" w:color="auto" w:fill="auto"/>
            <w:vAlign w:val="center"/>
            <w:hideMark/>
          </w:tcPr>
          <w:p w14:paraId="3E90DF12" w14:textId="77777777" w:rsidR="00224B95" w:rsidRPr="00224B95" w:rsidRDefault="00224B95" w:rsidP="00224B95">
            <w:pPr>
              <w:spacing w:after="0" w:line="240" w:lineRule="auto"/>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Ni podatka o velikosti</w:t>
            </w:r>
          </w:p>
        </w:tc>
        <w:tc>
          <w:tcPr>
            <w:tcW w:w="569" w:type="pct"/>
            <w:tcBorders>
              <w:top w:val="nil"/>
              <w:left w:val="nil"/>
              <w:bottom w:val="single" w:sz="4" w:space="0" w:color="auto"/>
              <w:right w:val="single" w:sz="4" w:space="0" w:color="auto"/>
            </w:tcBorders>
            <w:shd w:val="clear" w:color="auto" w:fill="auto"/>
            <w:vAlign w:val="center"/>
            <w:hideMark/>
          </w:tcPr>
          <w:p w14:paraId="56CA8051" w14:textId="77777777"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45</w:t>
            </w:r>
          </w:p>
        </w:tc>
        <w:tc>
          <w:tcPr>
            <w:tcW w:w="867" w:type="pct"/>
            <w:tcBorders>
              <w:top w:val="nil"/>
              <w:left w:val="nil"/>
              <w:bottom w:val="single" w:sz="4" w:space="0" w:color="auto"/>
              <w:right w:val="single" w:sz="4" w:space="0" w:color="auto"/>
            </w:tcBorders>
            <w:shd w:val="clear" w:color="auto" w:fill="auto"/>
            <w:vAlign w:val="center"/>
            <w:hideMark/>
          </w:tcPr>
          <w:p w14:paraId="31A987E8" w14:textId="77777777"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11.603.108</w:t>
            </w:r>
          </w:p>
        </w:tc>
        <w:tc>
          <w:tcPr>
            <w:tcW w:w="581" w:type="pct"/>
            <w:tcBorders>
              <w:top w:val="nil"/>
              <w:left w:val="nil"/>
              <w:bottom w:val="single" w:sz="4" w:space="0" w:color="auto"/>
              <w:right w:val="single" w:sz="4" w:space="0" w:color="auto"/>
            </w:tcBorders>
            <w:shd w:val="clear" w:color="auto" w:fill="auto"/>
            <w:noWrap/>
            <w:vAlign w:val="center"/>
            <w:hideMark/>
          </w:tcPr>
          <w:p w14:paraId="4FCF9903" w14:textId="76E99953"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1,15</w:t>
            </w:r>
            <w:r>
              <w:rPr>
                <w:rFonts w:ascii="Arial" w:eastAsia="Times New Roman" w:hAnsi="Arial" w:cs="Arial"/>
                <w:color w:val="000000" w:themeColor="text1"/>
                <w:sz w:val="18"/>
                <w:szCs w:val="18"/>
                <w:lang w:eastAsia="sl-SI"/>
              </w:rPr>
              <w:t xml:space="preserve"> </w:t>
            </w:r>
            <w:r w:rsidRPr="00224B95">
              <w:rPr>
                <w:rFonts w:ascii="Arial" w:eastAsia="Times New Roman" w:hAnsi="Arial" w:cs="Arial"/>
                <w:color w:val="000000" w:themeColor="text1"/>
                <w:sz w:val="18"/>
                <w:szCs w:val="18"/>
                <w:lang w:eastAsia="sl-SI"/>
              </w:rPr>
              <w:t>%</w:t>
            </w:r>
          </w:p>
        </w:tc>
        <w:tc>
          <w:tcPr>
            <w:tcW w:w="581" w:type="pct"/>
            <w:tcBorders>
              <w:top w:val="nil"/>
              <w:left w:val="nil"/>
              <w:bottom w:val="single" w:sz="4" w:space="0" w:color="auto"/>
              <w:right w:val="single" w:sz="4" w:space="0" w:color="auto"/>
            </w:tcBorders>
            <w:shd w:val="clear" w:color="auto" w:fill="auto"/>
            <w:noWrap/>
            <w:vAlign w:val="center"/>
            <w:hideMark/>
          </w:tcPr>
          <w:p w14:paraId="6A2DD7BD" w14:textId="76135F21"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0,70</w:t>
            </w:r>
            <w:r>
              <w:rPr>
                <w:rFonts w:ascii="Arial" w:eastAsia="Times New Roman" w:hAnsi="Arial" w:cs="Arial"/>
                <w:color w:val="000000" w:themeColor="text1"/>
                <w:sz w:val="18"/>
                <w:szCs w:val="18"/>
                <w:lang w:eastAsia="sl-SI"/>
              </w:rPr>
              <w:t xml:space="preserve"> </w:t>
            </w:r>
            <w:r w:rsidRPr="00224B95">
              <w:rPr>
                <w:rFonts w:ascii="Arial" w:eastAsia="Times New Roman" w:hAnsi="Arial" w:cs="Arial"/>
                <w:color w:val="000000" w:themeColor="text1"/>
                <w:sz w:val="18"/>
                <w:szCs w:val="18"/>
                <w:lang w:eastAsia="sl-SI"/>
              </w:rPr>
              <w:t>%</w:t>
            </w:r>
          </w:p>
        </w:tc>
      </w:tr>
      <w:tr w:rsidR="00224B95" w:rsidRPr="00224B95" w14:paraId="2050D995" w14:textId="77777777" w:rsidTr="00224B95">
        <w:trPr>
          <w:trHeight w:val="300"/>
        </w:trPr>
        <w:tc>
          <w:tcPr>
            <w:tcW w:w="775" w:type="pct"/>
            <w:vMerge/>
            <w:tcBorders>
              <w:top w:val="nil"/>
              <w:left w:val="single" w:sz="4" w:space="0" w:color="auto"/>
              <w:bottom w:val="single" w:sz="4" w:space="0" w:color="auto"/>
              <w:right w:val="single" w:sz="4" w:space="0" w:color="auto"/>
            </w:tcBorders>
            <w:vAlign w:val="center"/>
            <w:hideMark/>
          </w:tcPr>
          <w:p w14:paraId="34D1659D" w14:textId="77777777" w:rsidR="00224B95" w:rsidRPr="00224B95" w:rsidRDefault="00224B95" w:rsidP="00224B95">
            <w:pPr>
              <w:spacing w:after="0" w:line="240" w:lineRule="auto"/>
              <w:rPr>
                <w:rFonts w:ascii="Arial" w:eastAsia="Times New Roman" w:hAnsi="Arial" w:cs="Arial"/>
                <w:color w:val="000000" w:themeColor="text1"/>
                <w:sz w:val="18"/>
                <w:szCs w:val="18"/>
                <w:lang w:eastAsia="sl-SI"/>
              </w:rPr>
            </w:pPr>
          </w:p>
        </w:tc>
        <w:tc>
          <w:tcPr>
            <w:tcW w:w="1627" w:type="pct"/>
            <w:tcBorders>
              <w:top w:val="nil"/>
              <w:left w:val="nil"/>
              <w:bottom w:val="single" w:sz="4" w:space="0" w:color="auto"/>
              <w:right w:val="single" w:sz="4" w:space="0" w:color="auto"/>
            </w:tcBorders>
            <w:shd w:val="clear" w:color="auto" w:fill="auto"/>
            <w:vAlign w:val="center"/>
            <w:hideMark/>
          </w:tcPr>
          <w:p w14:paraId="6033F9BF" w14:textId="77777777" w:rsidR="00224B95" w:rsidRPr="00224B95" w:rsidRDefault="00224B95" w:rsidP="00224B95">
            <w:pPr>
              <w:spacing w:after="0" w:line="240" w:lineRule="auto"/>
              <w:rPr>
                <w:rFonts w:ascii="Arial" w:eastAsia="Times New Roman" w:hAnsi="Arial" w:cs="Arial"/>
                <w:b/>
                <w:bCs/>
                <w:color w:val="000000" w:themeColor="text1"/>
                <w:sz w:val="18"/>
                <w:szCs w:val="18"/>
                <w:lang w:eastAsia="sl-SI"/>
              </w:rPr>
            </w:pPr>
            <w:r w:rsidRPr="00224B95">
              <w:rPr>
                <w:rFonts w:ascii="Arial" w:eastAsia="Times New Roman" w:hAnsi="Arial" w:cs="Arial"/>
                <w:b/>
                <w:bCs/>
                <w:color w:val="000000" w:themeColor="text1"/>
                <w:sz w:val="18"/>
                <w:szCs w:val="18"/>
                <w:lang w:eastAsia="sl-SI"/>
              </w:rPr>
              <w:t>Skupaj</w:t>
            </w:r>
          </w:p>
        </w:tc>
        <w:tc>
          <w:tcPr>
            <w:tcW w:w="569" w:type="pct"/>
            <w:tcBorders>
              <w:top w:val="nil"/>
              <w:left w:val="nil"/>
              <w:bottom w:val="single" w:sz="4" w:space="0" w:color="auto"/>
              <w:right w:val="single" w:sz="4" w:space="0" w:color="auto"/>
            </w:tcBorders>
            <w:shd w:val="clear" w:color="auto" w:fill="auto"/>
            <w:vAlign w:val="center"/>
            <w:hideMark/>
          </w:tcPr>
          <w:p w14:paraId="4500F9B1" w14:textId="77777777" w:rsidR="00224B95" w:rsidRPr="00224B95" w:rsidRDefault="00224B95" w:rsidP="00224B95">
            <w:pPr>
              <w:spacing w:after="0" w:line="240" w:lineRule="auto"/>
              <w:jc w:val="right"/>
              <w:rPr>
                <w:rFonts w:ascii="Arial" w:eastAsia="Times New Roman" w:hAnsi="Arial" w:cs="Arial"/>
                <w:b/>
                <w:bCs/>
                <w:color w:val="000000" w:themeColor="text1"/>
                <w:sz w:val="18"/>
                <w:szCs w:val="18"/>
                <w:lang w:eastAsia="sl-SI"/>
              </w:rPr>
            </w:pPr>
            <w:r w:rsidRPr="00224B95">
              <w:rPr>
                <w:rFonts w:ascii="Arial" w:eastAsia="Times New Roman" w:hAnsi="Arial" w:cs="Arial"/>
                <w:b/>
                <w:bCs/>
                <w:color w:val="000000" w:themeColor="text1"/>
                <w:sz w:val="18"/>
                <w:szCs w:val="18"/>
                <w:lang w:eastAsia="sl-SI"/>
              </w:rPr>
              <w:t>3.916</w:t>
            </w:r>
          </w:p>
        </w:tc>
        <w:tc>
          <w:tcPr>
            <w:tcW w:w="867" w:type="pct"/>
            <w:tcBorders>
              <w:top w:val="nil"/>
              <w:left w:val="nil"/>
              <w:bottom w:val="single" w:sz="4" w:space="0" w:color="auto"/>
              <w:right w:val="single" w:sz="4" w:space="0" w:color="auto"/>
            </w:tcBorders>
            <w:shd w:val="clear" w:color="auto" w:fill="auto"/>
            <w:vAlign w:val="center"/>
            <w:hideMark/>
          </w:tcPr>
          <w:p w14:paraId="5177C4F4" w14:textId="77777777" w:rsidR="00224B95" w:rsidRPr="00224B95" w:rsidRDefault="00224B95" w:rsidP="00224B95">
            <w:pPr>
              <w:spacing w:after="0" w:line="240" w:lineRule="auto"/>
              <w:jc w:val="right"/>
              <w:rPr>
                <w:rFonts w:ascii="Arial" w:eastAsia="Times New Roman" w:hAnsi="Arial" w:cs="Arial"/>
                <w:b/>
                <w:bCs/>
                <w:color w:val="000000" w:themeColor="text1"/>
                <w:sz w:val="18"/>
                <w:szCs w:val="18"/>
                <w:lang w:eastAsia="sl-SI"/>
              </w:rPr>
            </w:pPr>
            <w:r w:rsidRPr="00224B95">
              <w:rPr>
                <w:rFonts w:ascii="Arial" w:eastAsia="Times New Roman" w:hAnsi="Arial" w:cs="Arial"/>
                <w:b/>
                <w:bCs/>
                <w:color w:val="000000" w:themeColor="text1"/>
                <w:sz w:val="18"/>
                <w:szCs w:val="18"/>
                <w:lang w:eastAsia="sl-SI"/>
              </w:rPr>
              <w:t>1.662.104.851</w:t>
            </w:r>
          </w:p>
        </w:tc>
        <w:tc>
          <w:tcPr>
            <w:tcW w:w="581" w:type="pct"/>
            <w:tcBorders>
              <w:top w:val="nil"/>
              <w:left w:val="nil"/>
              <w:bottom w:val="single" w:sz="4" w:space="0" w:color="auto"/>
              <w:right w:val="single" w:sz="4" w:space="0" w:color="auto"/>
            </w:tcBorders>
            <w:shd w:val="clear" w:color="auto" w:fill="auto"/>
            <w:noWrap/>
            <w:vAlign w:val="center"/>
            <w:hideMark/>
          </w:tcPr>
          <w:p w14:paraId="7ACBB3AE" w14:textId="7AABFBD6" w:rsidR="00224B95" w:rsidRPr="00224B95" w:rsidRDefault="00224B95" w:rsidP="00224B95">
            <w:pPr>
              <w:spacing w:after="0" w:line="240" w:lineRule="auto"/>
              <w:jc w:val="right"/>
              <w:rPr>
                <w:rFonts w:ascii="Arial" w:eastAsia="Times New Roman" w:hAnsi="Arial" w:cs="Arial"/>
                <w:b/>
                <w:bCs/>
                <w:color w:val="000000" w:themeColor="text1"/>
                <w:sz w:val="18"/>
                <w:szCs w:val="18"/>
                <w:lang w:eastAsia="sl-SI"/>
              </w:rPr>
            </w:pPr>
            <w:r w:rsidRPr="00224B95">
              <w:rPr>
                <w:rFonts w:ascii="Arial" w:eastAsia="Times New Roman" w:hAnsi="Arial" w:cs="Arial"/>
                <w:b/>
                <w:bCs/>
                <w:color w:val="000000" w:themeColor="text1"/>
                <w:sz w:val="18"/>
                <w:szCs w:val="18"/>
                <w:lang w:eastAsia="sl-SI"/>
              </w:rPr>
              <w:t>100,00</w:t>
            </w:r>
            <w:r>
              <w:rPr>
                <w:rFonts w:ascii="Arial" w:eastAsia="Times New Roman" w:hAnsi="Arial" w:cs="Arial"/>
                <w:b/>
                <w:bCs/>
                <w:color w:val="000000" w:themeColor="text1"/>
                <w:sz w:val="18"/>
                <w:szCs w:val="18"/>
                <w:lang w:eastAsia="sl-SI"/>
              </w:rPr>
              <w:t xml:space="preserve"> </w:t>
            </w:r>
            <w:r w:rsidRPr="00224B95">
              <w:rPr>
                <w:rFonts w:ascii="Arial" w:eastAsia="Times New Roman" w:hAnsi="Arial" w:cs="Arial"/>
                <w:b/>
                <w:bCs/>
                <w:color w:val="000000" w:themeColor="text1"/>
                <w:sz w:val="18"/>
                <w:szCs w:val="18"/>
                <w:lang w:eastAsia="sl-SI"/>
              </w:rPr>
              <w:t>%</w:t>
            </w:r>
          </w:p>
        </w:tc>
        <w:tc>
          <w:tcPr>
            <w:tcW w:w="581" w:type="pct"/>
            <w:tcBorders>
              <w:top w:val="nil"/>
              <w:left w:val="nil"/>
              <w:bottom w:val="single" w:sz="4" w:space="0" w:color="auto"/>
              <w:right w:val="single" w:sz="4" w:space="0" w:color="auto"/>
            </w:tcBorders>
            <w:shd w:val="clear" w:color="auto" w:fill="auto"/>
            <w:noWrap/>
            <w:vAlign w:val="center"/>
            <w:hideMark/>
          </w:tcPr>
          <w:p w14:paraId="73B921C1" w14:textId="60356647" w:rsidR="00224B95" w:rsidRPr="00224B95" w:rsidRDefault="00224B95" w:rsidP="00224B95">
            <w:pPr>
              <w:spacing w:after="0" w:line="240" w:lineRule="auto"/>
              <w:jc w:val="right"/>
              <w:rPr>
                <w:rFonts w:ascii="Arial" w:eastAsia="Times New Roman" w:hAnsi="Arial" w:cs="Arial"/>
                <w:b/>
                <w:bCs/>
                <w:color w:val="000000" w:themeColor="text1"/>
                <w:sz w:val="18"/>
                <w:szCs w:val="18"/>
                <w:lang w:eastAsia="sl-SI"/>
              </w:rPr>
            </w:pPr>
            <w:r w:rsidRPr="00224B95">
              <w:rPr>
                <w:rFonts w:ascii="Arial" w:eastAsia="Times New Roman" w:hAnsi="Arial" w:cs="Arial"/>
                <w:b/>
                <w:bCs/>
                <w:color w:val="000000" w:themeColor="text1"/>
                <w:sz w:val="18"/>
                <w:szCs w:val="18"/>
                <w:lang w:eastAsia="sl-SI"/>
              </w:rPr>
              <w:t>100,00</w:t>
            </w:r>
            <w:r>
              <w:rPr>
                <w:rFonts w:ascii="Arial" w:eastAsia="Times New Roman" w:hAnsi="Arial" w:cs="Arial"/>
                <w:b/>
                <w:bCs/>
                <w:color w:val="000000" w:themeColor="text1"/>
                <w:sz w:val="18"/>
                <w:szCs w:val="18"/>
                <w:lang w:eastAsia="sl-SI"/>
              </w:rPr>
              <w:t xml:space="preserve"> </w:t>
            </w:r>
            <w:r w:rsidRPr="00224B95">
              <w:rPr>
                <w:rFonts w:ascii="Arial" w:eastAsia="Times New Roman" w:hAnsi="Arial" w:cs="Arial"/>
                <w:b/>
                <w:bCs/>
                <w:color w:val="000000" w:themeColor="text1"/>
                <w:sz w:val="18"/>
                <w:szCs w:val="18"/>
                <w:lang w:eastAsia="sl-SI"/>
              </w:rPr>
              <w:t>%</w:t>
            </w:r>
          </w:p>
        </w:tc>
      </w:tr>
      <w:tr w:rsidR="00224B95" w:rsidRPr="00224B95" w14:paraId="0405728B" w14:textId="77777777" w:rsidTr="00224B95">
        <w:trPr>
          <w:trHeight w:val="300"/>
        </w:trPr>
        <w:tc>
          <w:tcPr>
            <w:tcW w:w="775" w:type="pct"/>
            <w:vMerge w:val="restart"/>
            <w:tcBorders>
              <w:top w:val="nil"/>
              <w:left w:val="single" w:sz="4" w:space="0" w:color="auto"/>
              <w:bottom w:val="single" w:sz="4" w:space="0" w:color="auto"/>
              <w:right w:val="single" w:sz="4" w:space="0" w:color="auto"/>
            </w:tcBorders>
            <w:shd w:val="clear" w:color="auto" w:fill="auto"/>
            <w:vAlign w:val="center"/>
            <w:hideMark/>
          </w:tcPr>
          <w:p w14:paraId="58B7F554" w14:textId="77777777" w:rsidR="00224B95" w:rsidRPr="00224B95" w:rsidRDefault="00224B95" w:rsidP="00224B95">
            <w:pPr>
              <w:spacing w:after="0" w:line="240" w:lineRule="auto"/>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Gradnje</w:t>
            </w:r>
          </w:p>
        </w:tc>
        <w:tc>
          <w:tcPr>
            <w:tcW w:w="1627" w:type="pct"/>
            <w:tcBorders>
              <w:top w:val="nil"/>
              <w:left w:val="nil"/>
              <w:bottom w:val="single" w:sz="4" w:space="0" w:color="auto"/>
              <w:right w:val="single" w:sz="4" w:space="0" w:color="auto"/>
            </w:tcBorders>
            <w:shd w:val="clear" w:color="auto" w:fill="auto"/>
            <w:vAlign w:val="center"/>
            <w:hideMark/>
          </w:tcPr>
          <w:p w14:paraId="244B8D4E" w14:textId="77777777" w:rsidR="00224B95" w:rsidRPr="00224B95" w:rsidRDefault="00224B95" w:rsidP="00224B95">
            <w:pPr>
              <w:spacing w:after="0" w:line="240" w:lineRule="auto"/>
              <w:rPr>
                <w:rFonts w:ascii="Arial" w:eastAsia="Times New Roman" w:hAnsi="Arial" w:cs="Arial"/>
                <w:color w:val="000000" w:themeColor="text1"/>
                <w:sz w:val="18"/>
                <w:szCs w:val="18"/>
                <w:lang w:eastAsia="sl-SI"/>
              </w:rPr>
            </w:pPr>
            <w:proofErr w:type="spellStart"/>
            <w:r w:rsidRPr="00224B95">
              <w:rPr>
                <w:rFonts w:ascii="Arial" w:eastAsia="Times New Roman" w:hAnsi="Arial" w:cs="Arial"/>
                <w:color w:val="000000" w:themeColor="text1"/>
                <w:sz w:val="18"/>
                <w:szCs w:val="18"/>
                <w:lang w:eastAsia="sl-SI"/>
              </w:rPr>
              <w:t>Mikro</w:t>
            </w:r>
            <w:proofErr w:type="spellEnd"/>
            <w:r w:rsidRPr="00224B95">
              <w:rPr>
                <w:rFonts w:ascii="Arial" w:eastAsia="Times New Roman" w:hAnsi="Arial" w:cs="Arial"/>
                <w:color w:val="000000" w:themeColor="text1"/>
                <w:sz w:val="18"/>
                <w:szCs w:val="18"/>
                <w:lang w:eastAsia="sl-SI"/>
              </w:rPr>
              <w:t xml:space="preserve"> enote</w:t>
            </w:r>
          </w:p>
        </w:tc>
        <w:tc>
          <w:tcPr>
            <w:tcW w:w="569" w:type="pct"/>
            <w:tcBorders>
              <w:top w:val="nil"/>
              <w:left w:val="nil"/>
              <w:bottom w:val="single" w:sz="4" w:space="0" w:color="auto"/>
              <w:right w:val="single" w:sz="4" w:space="0" w:color="auto"/>
            </w:tcBorders>
            <w:shd w:val="clear" w:color="auto" w:fill="auto"/>
            <w:vAlign w:val="center"/>
            <w:hideMark/>
          </w:tcPr>
          <w:p w14:paraId="0178B17F" w14:textId="77777777"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200</w:t>
            </w:r>
          </w:p>
        </w:tc>
        <w:tc>
          <w:tcPr>
            <w:tcW w:w="867" w:type="pct"/>
            <w:tcBorders>
              <w:top w:val="nil"/>
              <w:left w:val="nil"/>
              <w:bottom w:val="single" w:sz="4" w:space="0" w:color="auto"/>
              <w:right w:val="single" w:sz="4" w:space="0" w:color="auto"/>
            </w:tcBorders>
            <w:shd w:val="clear" w:color="auto" w:fill="auto"/>
            <w:vAlign w:val="center"/>
            <w:hideMark/>
          </w:tcPr>
          <w:p w14:paraId="0E3E058B" w14:textId="77777777"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41.773.523</w:t>
            </w:r>
          </w:p>
        </w:tc>
        <w:tc>
          <w:tcPr>
            <w:tcW w:w="581" w:type="pct"/>
            <w:tcBorders>
              <w:top w:val="nil"/>
              <w:left w:val="nil"/>
              <w:bottom w:val="single" w:sz="4" w:space="0" w:color="auto"/>
              <w:right w:val="single" w:sz="4" w:space="0" w:color="auto"/>
            </w:tcBorders>
            <w:shd w:val="clear" w:color="auto" w:fill="auto"/>
            <w:noWrap/>
            <w:vAlign w:val="center"/>
            <w:hideMark/>
          </w:tcPr>
          <w:p w14:paraId="7C676602" w14:textId="32E93628"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11,42</w:t>
            </w:r>
            <w:r>
              <w:rPr>
                <w:rFonts w:ascii="Arial" w:eastAsia="Times New Roman" w:hAnsi="Arial" w:cs="Arial"/>
                <w:color w:val="000000" w:themeColor="text1"/>
                <w:sz w:val="18"/>
                <w:szCs w:val="18"/>
                <w:lang w:eastAsia="sl-SI"/>
              </w:rPr>
              <w:t xml:space="preserve"> </w:t>
            </w:r>
            <w:r w:rsidRPr="00224B95">
              <w:rPr>
                <w:rFonts w:ascii="Arial" w:eastAsia="Times New Roman" w:hAnsi="Arial" w:cs="Arial"/>
                <w:color w:val="000000" w:themeColor="text1"/>
                <w:sz w:val="18"/>
                <w:szCs w:val="18"/>
                <w:lang w:eastAsia="sl-SI"/>
              </w:rPr>
              <w:t>%</w:t>
            </w:r>
          </w:p>
        </w:tc>
        <w:tc>
          <w:tcPr>
            <w:tcW w:w="581" w:type="pct"/>
            <w:tcBorders>
              <w:top w:val="nil"/>
              <w:left w:val="nil"/>
              <w:bottom w:val="single" w:sz="4" w:space="0" w:color="auto"/>
              <w:right w:val="single" w:sz="4" w:space="0" w:color="auto"/>
            </w:tcBorders>
            <w:shd w:val="clear" w:color="auto" w:fill="auto"/>
            <w:noWrap/>
            <w:vAlign w:val="center"/>
            <w:hideMark/>
          </w:tcPr>
          <w:p w14:paraId="25C14F21" w14:textId="7BA1A435"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2,25</w:t>
            </w:r>
            <w:r>
              <w:rPr>
                <w:rFonts w:ascii="Arial" w:eastAsia="Times New Roman" w:hAnsi="Arial" w:cs="Arial"/>
                <w:color w:val="000000" w:themeColor="text1"/>
                <w:sz w:val="18"/>
                <w:szCs w:val="18"/>
                <w:lang w:eastAsia="sl-SI"/>
              </w:rPr>
              <w:t xml:space="preserve"> </w:t>
            </w:r>
            <w:r w:rsidRPr="00224B95">
              <w:rPr>
                <w:rFonts w:ascii="Arial" w:eastAsia="Times New Roman" w:hAnsi="Arial" w:cs="Arial"/>
                <w:color w:val="000000" w:themeColor="text1"/>
                <w:sz w:val="18"/>
                <w:szCs w:val="18"/>
                <w:lang w:eastAsia="sl-SI"/>
              </w:rPr>
              <w:t>%</w:t>
            </w:r>
          </w:p>
        </w:tc>
      </w:tr>
      <w:tr w:rsidR="00224B95" w:rsidRPr="00224B95" w14:paraId="287C3969" w14:textId="77777777" w:rsidTr="00224B95">
        <w:trPr>
          <w:trHeight w:val="300"/>
        </w:trPr>
        <w:tc>
          <w:tcPr>
            <w:tcW w:w="775" w:type="pct"/>
            <w:vMerge/>
            <w:tcBorders>
              <w:top w:val="nil"/>
              <w:left w:val="single" w:sz="4" w:space="0" w:color="auto"/>
              <w:bottom w:val="single" w:sz="4" w:space="0" w:color="auto"/>
              <w:right w:val="single" w:sz="4" w:space="0" w:color="auto"/>
            </w:tcBorders>
            <w:vAlign w:val="center"/>
            <w:hideMark/>
          </w:tcPr>
          <w:p w14:paraId="6007F1E5" w14:textId="77777777"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p>
        </w:tc>
        <w:tc>
          <w:tcPr>
            <w:tcW w:w="1627" w:type="pct"/>
            <w:tcBorders>
              <w:top w:val="nil"/>
              <w:left w:val="nil"/>
              <w:bottom w:val="single" w:sz="4" w:space="0" w:color="auto"/>
              <w:right w:val="single" w:sz="4" w:space="0" w:color="auto"/>
            </w:tcBorders>
            <w:shd w:val="clear" w:color="auto" w:fill="auto"/>
            <w:vAlign w:val="center"/>
            <w:hideMark/>
          </w:tcPr>
          <w:p w14:paraId="2BD7CF42" w14:textId="77777777" w:rsidR="00224B95" w:rsidRPr="00224B95" w:rsidRDefault="00224B95" w:rsidP="00224B95">
            <w:pPr>
              <w:spacing w:after="0" w:line="240" w:lineRule="auto"/>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Majhne enote</w:t>
            </w:r>
          </w:p>
        </w:tc>
        <w:tc>
          <w:tcPr>
            <w:tcW w:w="569" w:type="pct"/>
            <w:tcBorders>
              <w:top w:val="nil"/>
              <w:left w:val="nil"/>
              <w:bottom w:val="single" w:sz="4" w:space="0" w:color="auto"/>
              <w:right w:val="single" w:sz="4" w:space="0" w:color="auto"/>
            </w:tcBorders>
            <w:shd w:val="clear" w:color="auto" w:fill="auto"/>
            <w:vAlign w:val="center"/>
            <w:hideMark/>
          </w:tcPr>
          <w:p w14:paraId="1136F47E" w14:textId="77777777"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813</w:t>
            </w:r>
          </w:p>
        </w:tc>
        <w:tc>
          <w:tcPr>
            <w:tcW w:w="867" w:type="pct"/>
            <w:tcBorders>
              <w:top w:val="nil"/>
              <w:left w:val="nil"/>
              <w:bottom w:val="single" w:sz="4" w:space="0" w:color="auto"/>
              <w:right w:val="single" w:sz="4" w:space="0" w:color="auto"/>
            </w:tcBorders>
            <w:shd w:val="clear" w:color="auto" w:fill="auto"/>
            <w:vAlign w:val="center"/>
            <w:hideMark/>
          </w:tcPr>
          <w:p w14:paraId="044E2D44" w14:textId="77777777"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362.341.274</w:t>
            </w:r>
          </w:p>
        </w:tc>
        <w:tc>
          <w:tcPr>
            <w:tcW w:w="581" w:type="pct"/>
            <w:tcBorders>
              <w:top w:val="nil"/>
              <w:left w:val="nil"/>
              <w:bottom w:val="single" w:sz="4" w:space="0" w:color="auto"/>
              <w:right w:val="single" w:sz="4" w:space="0" w:color="auto"/>
            </w:tcBorders>
            <w:shd w:val="clear" w:color="auto" w:fill="auto"/>
            <w:noWrap/>
            <w:vAlign w:val="center"/>
            <w:hideMark/>
          </w:tcPr>
          <w:p w14:paraId="462B329D" w14:textId="37CF6849"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46,43</w:t>
            </w:r>
            <w:r>
              <w:rPr>
                <w:rFonts w:ascii="Arial" w:eastAsia="Times New Roman" w:hAnsi="Arial" w:cs="Arial"/>
                <w:color w:val="000000" w:themeColor="text1"/>
                <w:sz w:val="18"/>
                <w:szCs w:val="18"/>
                <w:lang w:eastAsia="sl-SI"/>
              </w:rPr>
              <w:t xml:space="preserve"> </w:t>
            </w:r>
            <w:r w:rsidRPr="00224B95">
              <w:rPr>
                <w:rFonts w:ascii="Arial" w:eastAsia="Times New Roman" w:hAnsi="Arial" w:cs="Arial"/>
                <w:color w:val="000000" w:themeColor="text1"/>
                <w:sz w:val="18"/>
                <w:szCs w:val="18"/>
                <w:lang w:eastAsia="sl-SI"/>
              </w:rPr>
              <w:t>%</w:t>
            </w:r>
          </w:p>
        </w:tc>
        <w:tc>
          <w:tcPr>
            <w:tcW w:w="581" w:type="pct"/>
            <w:tcBorders>
              <w:top w:val="nil"/>
              <w:left w:val="nil"/>
              <w:bottom w:val="single" w:sz="4" w:space="0" w:color="auto"/>
              <w:right w:val="single" w:sz="4" w:space="0" w:color="auto"/>
            </w:tcBorders>
            <w:shd w:val="clear" w:color="auto" w:fill="auto"/>
            <w:noWrap/>
            <w:vAlign w:val="center"/>
            <w:hideMark/>
          </w:tcPr>
          <w:p w14:paraId="0241919F" w14:textId="03256D1C"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19,48</w:t>
            </w:r>
            <w:r>
              <w:rPr>
                <w:rFonts w:ascii="Arial" w:eastAsia="Times New Roman" w:hAnsi="Arial" w:cs="Arial"/>
                <w:color w:val="000000" w:themeColor="text1"/>
                <w:sz w:val="18"/>
                <w:szCs w:val="18"/>
                <w:lang w:eastAsia="sl-SI"/>
              </w:rPr>
              <w:t xml:space="preserve"> </w:t>
            </w:r>
            <w:r w:rsidRPr="00224B95">
              <w:rPr>
                <w:rFonts w:ascii="Arial" w:eastAsia="Times New Roman" w:hAnsi="Arial" w:cs="Arial"/>
                <w:color w:val="000000" w:themeColor="text1"/>
                <w:sz w:val="18"/>
                <w:szCs w:val="18"/>
                <w:lang w:eastAsia="sl-SI"/>
              </w:rPr>
              <w:t>%</w:t>
            </w:r>
          </w:p>
        </w:tc>
      </w:tr>
      <w:tr w:rsidR="00224B95" w:rsidRPr="00224B95" w14:paraId="5FE18B45" w14:textId="77777777" w:rsidTr="00224B95">
        <w:trPr>
          <w:trHeight w:val="300"/>
        </w:trPr>
        <w:tc>
          <w:tcPr>
            <w:tcW w:w="775" w:type="pct"/>
            <w:vMerge/>
            <w:tcBorders>
              <w:top w:val="nil"/>
              <w:left w:val="single" w:sz="4" w:space="0" w:color="auto"/>
              <w:bottom w:val="single" w:sz="4" w:space="0" w:color="auto"/>
              <w:right w:val="single" w:sz="4" w:space="0" w:color="auto"/>
            </w:tcBorders>
            <w:vAlign w:val="center"/>
            <w:hideMark/>
          </w:tcPr>
          <w:p w14:paraId="40B330E9" w14:textId="77777777"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p>
        </w:tc>
        <w:tc>
          <w:tcPr>
            <w:tcW w:w="1627" w:type="pct"/>
            <w:tcBorders>
              <w:top w:val="nil"/>
              <w:left w:val="nil"/>
              <w:bottom w:val="single" w:sz="4" w:space="0" w:color="auto"/>
              <w:right w:val="single" w:sz="4" w:space="0" w:color="auto"/>
            </w:tcBorders>
            <w:shd w:val="clear" w:color="auto" w:fill="auto"/>
            <w:vAlign w:val="center"/>
            <w:hideMark/>
          </w:tcPr>
          <w:p w14:paraId="35683B3A" w14:textId="77777777" w:rsidR="00224B95" w:rsidRPr="00224B95" w:rsidRDefault="00224B95" w:rsidP="00224B95">
            <w:pPr>
              <w:spacing w:after="0" w:line="240" w:lineRule="auto"/>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Srednje enote</w:t>
            </w:r>
          </w:p>
        </w:tc>
        <w:tc>
          <w:tcPr>
            <w:tcW w:w="569" w:type="pct"/>
            <w:tcBorders>
              <w:top w:val="nil"/>
              <w:left w:val="nil"/>
              <w:bottom w:val="single" w:sz="4" w:space="0" w:color="auto"/>
              <w:right w:val="single" w:sz="4" w:space="0" w:color="auto"/>
            </w:tcBorders>
            <w:shd w:val="clear" w:color="auto" w:fill="auto"/>
            <w:vAlign w:val="center"/>
            <w:hideMark/>
          </w:tcPr>
          <w:p w14:paraId="7AB4FF13" w14:textId="77777777"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443</w:t>
            </w:r>
          </w:p>
        </w:tc>
        <w:tc>
          <w:tcPr>
            <w:tcW w:w="867" w:type="pct"/>
            <w:tcBorders>
              <w:top w:val="nil"/>
              <w:left w:val="nil"/>
              <w:bottom w:val="single" w:sz="4" w:space="0" w:color="auto"/>
              <w:right w:val="single" w:sz="4" w:space="0" w:color="auto"/>
            </w:tcBorders>
            <w:shd w:val="clear" w:color="auto" w:fill="auto"/>
            <w:vAlign w:val="center"/>
            <w:hideMark/>
          </w:tcPr>
          <w:p w14:paraId="0CAA8865" w14:textId="77777777"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584.380.844</w:t>
            </w:r>
          </w:p>
        </w:tc>
        <w:tc>
          <w:tcPr>
            <w:tcW w:w="581" w:type="pct"/>
            <w:tcBorders>
              <w:top w:val="nil"/>
              <w:left w:val="nil"/>
              <w:bottom w:val="single" w:sz="4" w:space="0" w:color="auto"/>
              <w:right w:val="single" w:sz="4" w:space="0" w:color="auto"/>
            </w:tcBorders>
            <w:shd w:val="clear" w:color="auto" w:fill="auto"/>
            <w:noWrap/>
            <w:vAlign w:val="center"/>
            <w:hideMark/>
          </w:tcPr>
          <w:p w14:paraId="053F545A" w14:textId="2AE08480"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25,30</w:t>
            </w:r>
            <w:r>
              <w:rPr>
                <w:rFonts w:ascii="Arial" w:eastAsia="Times New Roman" w:hAnsi="Arial" w:cs="Arial"/>
                <w:color w:val="000000" w:themeColor="text1"/>
                <w:sz w:val="18"/>
                <w:szCs w:val="18"/>
                <w:lang w:eastAsia="sl-SI"/>
              </w:rPr>
              <w:t xml:space="preserve"> </w:t>
            </w:r>
            <w:r w:rsidRPr="00224B95">
              <w:rPr>
                <w:rFonts w:ascii="Arial" w:eastAsia="Times New Roman" w:hAnsi="Arial" w:cs="Arial"/>
                <w:color w:val="000000" w:themeColor="text1"/>
                <w:sz w:val="18"/>
                <w:szCs w:val="18"/>
                <w:lang w:eastAsia="sl-SI"/>
              </w:rPr>
              <w:t>%</w:t>
            </w:r>
          </w:p>
        </w:tc>
        <w:tc>
          <w:tcPr>
            <w:tcW w:w="581" w:type="pct"/>
            <w:tcBorders>
              <w:top w:val="nil"/>
              <w:left w:val="nil"/>
              <w:bottom w:val="single" w:sz="4" w:space="0" w:color="auto"/>
              <w:right w:val="single" w:sz="4" w:space="0" w:color="auto"/>
            </w:tcBorders>
            <w:shd w:val="clear" w:color="auto" w:fill="auto"/>
            <w:noWrap/>
            <w:vAlign w:val="center"/>
            <w:hideMark/>
          </w:tcPr>
          <w:p w14:paraId="6993A303" w14:textId="4DD7755B"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31,42</w:t>
            </w:r>
            <w:r>
              <w:rPr>
                <w:rFonts w:ascii="Arial" w:eastAsia="Times New Roman" w:hAnsi="Arial" w:cs="Arial"/>
                <w:color w:val="000000" w:themeColor="text1"/>
                <w:sz w:val="18"/>
                <w:szCs w:val="18"/>
                <w:lang w:eastAsia="sl-SI"/>
              </w:rPr>
              <w:t xml:space="preserve"> </w:t>
            </w:r>
            <w:r w:rsidRPr="00224B95">
              <w:rPr>
                <w:rFonts w:ascii="Arial" w:eastAsia="Times New Roman" w:hAnsi="Arial" w:cs="Arial"/>
                <w:color w:val="000000" w:themeColor="text1"/>
                <w:sz w:val="18"/>
                <w:szCs w:val="18"/>
                <w:lang w:eastAsia="sl-SI"/>
              </w:rPr>
              <w:t>%</w:t>
            </w:r>
          </w:p>
        </w:tc>
      </w:tr>
      <w:tr w:rsidR="00224B95" w:rsidRPr="00224B95" w14:paraId="2026A465" w14:textId="77777777" w:rsidTr="00224B95">
        <w:trPr>
          <w:trHeight w:val="300"/>
        </w:trPr>
        <w:tc>
          <w:tcPr>
            <w:tcW w:w="775" w:type="pct"/>
            <w:vMerge/>
            <w:tcBorders>
              <w:top w:val="nil"/>
              <w:left w:val="single" w:sz="4" w:space="0" w:color="auto"/>
              <w:bottom w:val="single" w:sz="4" w:space="0" w:color="auto"/>
              <w:right w:val="single" w:sz="4" w:space="0" w:color="auto"/>
            </w:tcBorders>
            <w:vAlign w:val="center"/>
            <w:hideMark/>
          </w:tcPr>
          <w:p w14:paraId="6AA8C675" w14:textId="77777777"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p>
        </w:tc>
        <w:tc>
          <w:tcPr>
            <w:tcW w:w="1627" w:type="pct"/>
            <w:tcBorders>
              <w:top w:val="nil"/>
              <w:left w:val="nil"/>
              <w:bottom w:val="single" w:sz="4" w:space="0" w:color="auto"/>
              <w:right w:val="single" w:sz="4" w:space="0" w:color="auto"/>
            </w:tcBorders>
            <w:shd w:val="clear" w:color="auto" w:fill="auto"/>
            <w:vAlign w:val="center"/>
            <w:hideMark/>
          </w:tcPr>
          <w:p w14:paraId="67D26206" w14:textId="77777777" w:rsidR="00224B95" w:rsidRPr="00224B95" w:rsidRDefault="00224B95" w:rsidP="00224B95">
            <w:pPr>
              <w:spacing w:after="0" w:line="240" w:lineRule="auto"/>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Velike enote</w:t>
            </w:r>
          </w:p>
        </w:tc>
        <w:tc>
          <w:tcPr>
            <w:tcW w:w="569" w:type="pct"/>
            <w:tcBorders>
              <w:top w:val="nil"/>
              <w:left w:val="nil"/>
              <w:bottom w:val="single" w:sz="4" w:space="0" w:color="auto"/>
              <w:right w:val="single" w:sz="4" w:space="0" w:color="auto"/>
            </w:tcBorders>
            <w:shd w:val="clear" w:color="auto" w:fill="auto"/>
            <w:vAlign w:val="center"/>
            <w:hideMark/>
          </w:tcPr>
          <w:p w14:paraId="0D077320" w14:textId="77777777"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280</w:t>
            </w:r>
          </w:p>
        </w:tc>
        <w:tc>
          <w:tcPr>
            <w:tcW w:w="867" w:type="pct"/>
            <w:tcBorders>
              <w:top w:val="nil"/>
              <w:left w:val="nil"/>
              <w:bottom w:val="single" w:sz="4" w:space="0" w:color="auto"/>
              <w:right w:val="single" w:sz="4" w:space="0" w:color="auto"/>
            </w:tcBorders>
            <w:shd w:val="clear" w:color="auto" w:fill="auto"/>
            <w:vAlign w:val="center"/>
            <w:hideMark/>
          </w:tcPr>
          <w:p w14:paraId="71D83829" w14:textId="77777777"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869.712.435</w:t>
            </w:r>
          </w:p>
        </w:tc>
        <w:tc>
          <w:tcPr>
            <w:tcW w:w="581" w:type="pct"/>
            <w:tcBorders>
              <w:top w:val="nil"/>
              <w:left w:val="nil"/>
              <w:bottom w:val="single" w:sz="4" w:space="0" w:color="auto"/>
              <w:right w:val="single" w:sz="4" w:space="0" w:color="auto"/>
            </w:tcBorders>
            <w:shd w:val="clear" w:color="auto" w:fill="auto"/>
            <w:noWrap/>
            <w:vAlign w:val="center"/>
            <w:hideMark/>
          </w:tcPr>
          <w:p w14:paraId="0EEF7D2D" w14:textId="0247DD06"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15,99</w:t>
            </w:r>
            <w:r>
              <w:rPr>
                <w:rFonts w:ascii="Arial" w:eastAsia="Times New Roman" w:hAnsi="Arial" w:cs="Arial"/>
                <w:color w:val="000000" w:themeColor="text1"/>
                <w:sz w:val="18"/>
                <w:szCs w:val="18"/>
                <w:lang w:eastAsia="sl-SI"/>
              </w:rPr>
              <w:t xml:space="preserve"> </w:t>
            </w:r>
            <w:r w:rsidRPr="00224B95">
              <w:rPr>
                <w:rFonts w:ascii="Arial" w:eastAsia="Times New Roman" w:hAnsi="Arial" w:cs="Arial"/>
                <w:color w:val="000000" w:themeColor="text1"/>
                <w:sz w:val="18"/>
                <w:szCs w:val="18"/>
                <w:lang w:eastAsia="sl-SI"/>
              </w:rPr>
              <w:t>%</w:t>
            </w:r>
          </w:p>
        </w:tc>
        <w:tc>
          <w:tcPr>
            <w:tcW w:w="581" w:type="pct"/>
            <w:tcBorders>
              <w:top w:val="nil"/>
              <w:left w:val="nil"/>
              <w:bottom w:val="single" w:sz="4" w:space="0" w:color="auto"/>
              <w:right w:val="single" w:sz="4" w:space="0" w:color="auto"/>
            </w:tcBorders>
            <w:shd w:val="clear" w:color="auto" w:fill="auto"/>
            <w:noWrap/>
            <w:vAlign w:val="center"/>
            <w:hideMark/>
          </w:tcPr>
          <w:p w14:paraId="14A1D9A1" w14:textId="5DBE0804"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46,76</w:t>
            </w:r>
            <w:r>
              <w:rPr>
                <w:rFonts w:ascii="Arial" w:eastAsia="Times New Roman" w:hAnsi="Arial" w:cs="Arial"/>
                <w:color w:val="000000" w:themeColor="text1"/>
                <w:sz w:val="18"/>
                <w:szCs w:val="18"/>
                <w:lang w:eastAsia="sl-SI"/>
              </w:rPr>
              <w:t xml:space="preserve"> </w:t>
            </w:r>
            <w:r w:rsidRPr="00224B95">
              <w:rPr>
                <w:rFonts w:ascii="Arial" w:eastAsia="Times New Roman" w:hAnsi="Arial" w:cs="Arial"/>
                <w:color w:val="000000" w:themeColor="text1"/>
                <w:sz w:val="18"/>
                <w:szCs w:val="18"/>
                <w:lang w:eastAsia="sl-SI"/>
              </w:rPr>
              <w:t>%</w:t>
            </w:r>
          </w:p>
        </w:tc>
      </w:tr>
      <w:tr w:rsidR="00224B95" w:rsidRPr="00224B95" w14:paraId="13040E5C" w14:textId="77777777" w:rsidTr="00224B95">
        <w:trPr>
          <w:trHeight w:val="300"/>
        </w:trPr>
        <w:tc>
          <w:tcPr>
            <w:tcW w:w="775" w:type="pct"/>
            <w:vMerge/>
            <w:tcBorders>
              <w:top w:val="nil"/>
              <w:left w:val="single" w:sz="4" w:space="0" w:color="auto"/>
              <w:bottom w:val="single" w:sz="4" w:space="0" w:color="auto"/>
              <w:right w:val="single" w:sz="4" w:space="0" w:color="auto"/>
            </w:tcBorders>
            <w:vAlign w:val="center"/>
            <w:hideMark/>
          </w:tcPr>
          <w:p w14:paraId="057D854C" w14:textId="77777777"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p>
        </w:tc>
        <w:tc>
          <w:tcPr>
            <w:tcW w:w="1627" w:type="pct"/>
            <w:tcBorders>
              <w:top w:val="nil"/>
              <w:left w:val="nil"/>
              <w:bottom w:val="single" w:sz="4" w:space="0" w:color="auto"/>
              <w:right w:val="single" w:sz="4" w:space="0" w:color="auto"/>
            </w:tcBorders>
            <w:shd w:val="clear" w:color="auto" w:fill="auto"/>
            <w:vAlign w:val="center"/>
            <w:hideMark/>
          </w:tcPr>
          <w:p w14:paraId="3B6F567A" w14:textId="455D2EF2" w:rsidR="00224B95" w:rsidRPr="00224B95" w:rsidRDefault="00224B95" w:rsidP="00224B95">
            <w:pPr>
              <w:spacing w:after="0" w:line="240" w:lineRule="auto"/>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 xml:space="preserve">Velikost </w:t>
            </w:r>
            <w:r w:rsidR="00007116">
              <w:rPr>
                <w:rFonts w:ascii="Arial" w:eastAsia="Times New Roman" w:hAnsi="Arial" w:cs="Arial"/>
                <w:color w:val="000000" w:themeColor="text1"/>
                <w:sz w:val="18"/>
                <w:szCs w:val="18"/>
                <w:lang w:eastAsia="sl-SI"/>
              </w:rPr>
              <w:t>Republike Slovenije</w:t>
            </w:r>
            <w:r w:rsidRPr="00224B95">
              <w:rPr>
                <w:rFonts w:ascii="Arial" w:eastAsia="Times New Roman" w:hAnsi="Arial" w:cs="Arial"/>
                <w:color w:val="000000" w:themeColor="text1"/>
                <w:sz w:val="18"/>
                <w:szCs w:val="18"/>
                <w:lang w:eastAsia="sl-SI"/>
              </w:rPr>
              <w:t xml:space="preserve"> se ne izračunava</w:t>
            </w:r>
          </w:p>
        </w:tc>
        <w:tc>
          <w:tcPr>
            <w:tcW w:w="569" w:type="pct"/>
            <w:tcBorders>
              <w:top w:val="nil"/>
              <w:left w:val="nil"/>
              <w:bottom w:val="single" w:sz="4" w:space="0" w:color="auto"/>
              <w:right w:val="single" w:sz="4" w:space="0" w:color="auto"/>
            </w:tcBorders>
            <w:shd w:val="clear" w:color="auto" w:fill="auto"/>
            <w:vAlign w:val="center"/>
            <w:hideMark/>
          </w:tcPr>
          <w:p w14:paraId="3955640E" w14:textId="77777777"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12</w:t>
            </w:r>
          </w:p>
        </w:tc>
        <w:tc>
          <w:tcPr>
            <w:tcW w:w="867" w:type="pct"/>
            <w:tcBorders>
              <w:top w:val="nil"/>
              <w:left w:val="nil"/>
              <w:bottom w:val="single" w:sz="4" w:space="0" w:color="auto"/>
              <w:right w:val="single" w:sz="4" w:space="0" w:color="auto"/>
            </w:tcBorders>
            <w:shd w:val="clear" w:color="auto" w:fill="auto"/>
            <w:vAlign w:val="center"/>
            <w:hideMark/>
          </w:tcPr>
          <w:p w14:paraId="1BEC4FD8" w14:textId="77777777"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1.336.210</w:t>
            </w:r>
          </w:p>
        </w:tc>
        <w:tc>
          <w:tcPr>
            <w:tcW w:w="581" w:type="pct"/>
            <w:tcBorders>
              <w:top w:val="nil"/>
              <w:left w:val="nil"/>
              <w:bottom w:val="single" w:sz="4" w:space="0" w:color="auto"/>
              <w:right w:val="single" w:sz="4" w:space="0" w:color="auto"/>
            </w:tcBorders>
            <w:shd w:val="clear" w:color="auto" w:fill="auto"/>
            <w:noWrap/>
            <w:vAlign w:val="center"/>
            <w:hideMark/>
          </w:tcPr>
          <w:p w14:paraId="53BFD461" w14:textId="19F6DD57"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0,69</w:t>
            </w:r>
            <w:r>
              <w:rPr>
                <w:rFonts w:ascii="Arial" w:eastAsia="Times New Roman" w:hAnsi="Arial" w:cs="Arial"/>
                <w:color w:val="000000" w:themeColor="text1"/>
                <w:sz w:val="18"/>
                <w:szCs w:val="18"/>
                <w:lang w:eastAsia="sl-SI"/>
              </w:rPr>
              <w:t xml:space="preserve"> </w:t>
            </w:r>
            <w:r w:rsidRPr="00224B95">
              <w:rPr>
                <w:rFonts w:ascii="Arial" w:eastAsia="Times New Roman" w:hAnsi="Arial" w:cs="Arial"/>
                <w:color w:val="000000" w:themeColor="text1"/>
                <w:sz w:val="18"/>
                <w:szCs w:val="18"/>
                <w:lang w:eastAsia="sl-SI"/>
              </w:rPr>
              <w:t>%</w:t>
            </w:r>
          </w:p>
        </w:tc>
        <w:tc>
          <w:tcPr>
            <w:tcW w:w="581" w:type="pct"/>
            <w:tcBorders>
              <w:top w:val="nil"/>
              <w:left w:val="nil"/>
              <w:bottom w:val="single" w:sz="4" w:space="0" w:color="auto"/>
              <w:right w:val="single" w:sz="4" w:space="0" w:color="auto"/>
            </w:tcBorders>
            <w:shd w:val="clear" w:color="auto" w:fill="auto"/>
            <w:noWrap/>
            <w:vAlign w:val="center"/>
            <w:hideMark/>
          </w:tcPr>
          <w:p w14:paraId="01436EF3" w14:textId="5E4657C5"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0,07</w:t>
            </w:r>
            <w:r>
              <w:rPr>
                <w:rFonts w:ascii="Arial" w:eastAsia="Times New Roman" w:hAnsi="Arial" w:cs="Arial"/>
                <w:color w:val="000000" w:themeColor="text1"/>
                <w:sz w:val="18"/>
                <w:szCs w:val="18"/>
                <w:lang w:eastAsia="sl-SI"/>
              </w:rPr>
              <w:t xml:space="preserve"> </w:t>
            </w:r>
            <w:r w:rsidRPr="00224B95">
              <w:rPr>
                <w:rFonts w:ascii="Arial" w:eastAsia="Times New Roman" w:hAnsi="Arial" w:cs="Arial"/>
                <w:color w:val="000000" w:themeColor="text1"/>
                <w:sz w:val="18"/>
                <w:szCs w:val="18"/>
                <w:lang w:eastAsia="sl-SI"/>
              </w:rPr>
              <w:t>%</w:t>
            </w:r>
          </w:p>
        </w:tc>
      </w:tr>
      <w:tr w:rsidR="00224B95" w:rsidRPr="00224B95" w14:paraId="00238EB0" w14:textId="77777777" w:rsidTr="00224B95">
        <w:trPr>
          <w:trHeight w:val="300"/>
        </w:trPr>
        <w:tc>
          <w:tcPr>
            <w:tcW w:w="775" w:type="pct"/>
            <w:vMerge/>
            <w:tcBorders>
              <w:top w:val="nil"/>
              <w:left w:val="single" w:sz="4" w:space="0" w:color="auto"/>
              <w:bottom w:val="single" w:sz="4" w:space="0" w:color="auto"/>
              <w:right w:val="single" w:sz="4" w:space="0" w:color="auto"/>
            </w:tcBorders>
            <w:vAlign w:val="center"/>
            <w:hideMark/>
          </w:tcPr>
          <w:p w14:paraId="1DA7AE1A" w14:textId="77777777"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p>
        </w:tc>
        <w:tc>
          <w:tcPr>
            <w:tcW w:w="1627" w:type="pct"/>
            <w:tcBorders>
              <w:top w:val="nil"/>
              <w:left w:val="nil"/>
              <w:bottom w:val="single" w:sz="4" w:space="0" w:color="auto"/>
              <w:right w:val="single" w:sz="4" w:space="0" w:color="auto"/>
            </w:tcBorders>
            <w:shd w:val="clear" w:color="auto" w:fill="auto"/>
            <w:vAlign w:val="center"/>
            <w:hideMark/>
          </w:tcPr>
          <w:p w14:paraId="44CECFC8" w14:textId="77777777" w:rsidR="00224B95" w:rsidRPr="00224B95" w:rsidRDefault="00224B95" w:rsidP="00224B95">
            <w:pPr>
              <w:spacing w:after="0" w:line="240" w:lineRule="auto"/>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Ni podatka o velikosti</w:t>
            </w:r>
          </w:p>
        </w:tc>
        <w:tc>
          <w:tcPr>
            <w:tcW w:w="569" w:type="pct"/>
            <w:tcBorders>
              <w:top w:val="nil"/>
              <w:left w:val="nil"/>
              <w:bottom w:val="single" w:sz="4" w:space="0" w:color="auto"/>
              <w:right w:val="single" w:sz="4" w:space="0" w:color="auto"/>
            </w:tcBorders>
            <w:shd w:val="clear" w:color="auto" w:fill="auto"/>
            <w:vAlign w:val="center"/>
            <w:hideMark/>
          </w:tcPr>
          <w:p w14:paraId="4D0613EB" w14:textId="77777777"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3</w:t>
            </w:r>
          </w:p>
        </w:tc>
        <w:tc>
          <w:tcPr>
            <w:tcW w:w="867" w:type="pct"/>
            <w:tcBorders>
              <w:top w:val="nil"/>
              <w:left w:val="nil"/>
              <w:bottom w:val="single" w:sz="4" w:space="0" w:color="auto"/>
              <w:right w:val="single" w:sz="4" w:space="0" w:color="auto"/>
            </w:tcBorders>
            <w:shd w:val="clear" w:color="auto" w:fill="auto"/>
            <w:vAlign w:val="center"/>
            <w:hideMark/>
          </w:tcPr>
          <w:p w14:paraId="7D3701DF" w14:textId="77777777"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394.613</w:t>
            </w:r>
          </w:p>
        </w:tc>
        <w:tc>
          <w:tcPr>
            <w:tcW w:w="581" w:type="pct"/>
            <w:tcBorders>
              <w:top w:val="nil"/>
              <w:left w:val="nil"/>
              <w:bottom w:val="single" w:sz="4" w:space="0" w:color="auto"/>
              <w:right w:val="single" w:sz="4" w:space="0" w:color="auto"/>
            </w:tcBorders>
            <w:shd w:val="clear" w:color="auto" w:fill="auto"/>
            <w:noWrap/>
            <w:vAlign w:val="center"/>
            <w:hideMark/>
          </w:tcPr>
          <w:p w14:paraId="424FD09B" w14:textId="2E9601E4"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0,17</w:t>
            </w:r>
            <w:r>
              <w:rPr>
                <w:rFonts w:ascii="Arial" w:eastAsia="Times New Roman" w:hAnsi="Arial" w:cs="Arial"/>
                <w:color w:val="000000" w:themeColor="text1"/>
                <w:sz w:val="18"/>
                <w:szCs w:val="18"/>
                <w:lang w:eastAsia="sl-SI"/>
              </w:rPr>
              <w:t xml:space="preserve"> </w:t>
            </w:r>
            <w:r w:rsidRPr="00224B95">
              <w:rPr>
                <w:rFonts w:ascii="Arial" w:eastAsia="Times New Roman" w:hAnsi="Arial" w:cs="Arial"/>
                <w:color w:val="000000" w:themeColor="text1"/>
                <w:sz w:val="18"/>
                <w:szCs w:val="18"/>
                <w:lang w:eastAsia="sl-SI"/>
              </w:rPr>
              <w:t>%</w:t>
            </w:r>
          </w:p>
        </w:tc>
        <w:tc>
          <w:tcPr>
            <w:tcW w:w="581" w:type="pct"/>
            <w:tcBorders>
              <w:top w:val="nil"/>
              <w:left w:val="nil"/>
              <w:bottom w:val="single" w:sz="4" w:space="0" w:color="auto"/>
              <w:right w:val="single" w:sz="4" w:space="0" w:color="auto"/>
            </w:tcBorders>
            <w:shd w:val="clear" w:color="auto" w:fill="auto"/>
            <w:noWrap/>
            <w:vAlign w:val="center"/>
            <w:hideMark/>
          </w:tcPr>
          <w:p w14:paraId="0B02A93F" w14:textId="4BA203FF"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r w:rsidRPr="00224B95">
              <w:rPr>
                <w:rFonts w:ascii="Arial" w:eastAsia="Times New Roman" w:hAnsi="Arial" w:cs="Arial"/>
                <w:color w:val="000000" w:themeColor="text1"/>
                <w:sz w:val="18"/>
                <w:szCs w:val="18"/>
                <w:lang w:eastAsia="sl-SI"/>
              </w:rPr>
              <w:t>0,02</w:t>
            </w:r>
            <w:r>
              <w:rPr>
                <w:rFonts w:ascii="Arial" w:eastAsia="Times New Roman" w:hAnsi="Arial" w:cs="Arial"/>
                <w:color w:val="000000" w:themeColor="text1"/>
                <w:sz w:val="18"/>
                <w:szCs w:val="18"/>
                <w:lang w:eastAsia="sl-SI"/>
              </w:rPr>
              <w:t xml:space="preserve"> </w:t>
            </w:r>
            <w:r w:rsidRPr="00224B95">
              <w:rPr>
                <w:rFonts w:ascii="Arial" w:eastAsia="Times New Roman" w:hAnsi="Arial" w:cs="Arial"/>
                <w:color w:val="000000" w:themeColor="text1"/>
                <w:sz w:val="18"/>
                <w:szCs w:val="18"/>
                <w:lang w:eastAsia="sl-SI"/>
              </w:rPr>
              <w:t>%</w:t>
            </w:r>
          </w:p>
        </w:tc>
      </w:tr>
      <w:tr w:rsidR="00224B95" w:rsidRPr="00224B95" w14:paraId="31BB814B" w14:textId="77777777" w:rsidTr="00224B95">
        <w:trPr>
          <w:trHeight w:val="300"/>
        </w:trPr>
        <w:tc>
          <w:tcPr>
            <w:tcW w:w="775" w:type="pct"/>
            <w:vMerge/>
            <w:tcBorders>
              <w:top w:val="nil"/>
              <w:left w:val="single" w:sz="4" w:space="0" w:color="auto"/>
              <w:bottom w:val="single" w:sz="4" w:space="0" w:color="auto"/>
              <w:right w:val="single" w:sz="4" w:space="0" w:color="auto"/>
            </w:tcBorders>
            <w:vAlign w:val="center"/>
            <w:hideMark/>
          </w:tcPr>
          <w:p w14:paraId="6F259D46" w14:textId="77777777" w:rsidR="00224B95" w:rsidRPr="00224B95" w:rsidRDefault="00224B95" w:rsidP="00224B95">
            <w:pPr>
              <w:spacing w:after="0" w:line="240" w:lineRule="auto"/>
              <w:jc w:val="right"/>
              <w:rPr>
                <w:rFonts w:ascii="Arial" w:eastAsia="Times New Roman" w:hAnsi="Arial" w:cs="Arial"/>
                <w:color w:val="000000" w:themeColor="text1"/>
                <w:sz w:val="18"/>
                <w:szCs w:val="18"/>
                <w:lang w:eastAsia="sl-SI"/>
              </w:rPr>
            </w:pPr>
          </w:p>
        </w:tc>
        <w:tc>
          <w:tcPr>
            <w:tcW w:w="1627" w:type="pct"/>
            <w:tcBorders>
              <w:top w:val="nil"/>
              <w:left w:val="nil"/>
              <w:bottom w:val="single" w:sz="4" w:space="0" w:color="auto"/>
              <w:right w:val="single" w:sz="4" w:space="0" w:color="auto"/>
            </w:tcBorders>
            <w:shd w:val="clear" w:color="auto" w:fill="auto"/>
            <w:vAlign w:val="center"/>
            <w:hideMark/>
          </w:tcPr>
          <w:p w14:paraId="110F6E23" w14:textId="77777777" w:rsidR="00224B95" w:rsidRPr="00224B95" w:rsidRDefault="00224B95" w:rsidP="00224B95">
            <w:pPr>
              <w:spacing w:after="0" w:line="240" w:lineRule="auto"/>
              <w:rPr>
                <w:rFonts w:ascii="Arial" w:eastAsia="Times New Roman" w:hAnsi="Arial" w:cs="Arial"/>
                <w:b/>
                <w:bCs/>
                <w:color w:val="000000" w:themeColor="text1"/>
                <w:sz w:val="18"/>
                <w:szCs w:val="18"/>
                <w:lang w:eastAsia="sl-SI"/>
              </w:rPr>
            </w:pPr>
            <w:r w:rsidRPr="00224B95">
              <w:rPr>
                <w:rFonts w:ascii="Arial" w:eastAsia="Times New Roman" w:hAnsi="Arial" w:cs="Arial"/>
                <w:b/>
                <w:bCs/>
                <w:color w:val="000000" w:themeColor="text1"/>
                <w:sz w:val="18"/>
                <w:szCs w:val="18"/>
                <w:lang w:eastAsia="sl-SI"/>
              </w:rPr>
              <w:t>Skupaj</w:t>
            </w:r>
          </w:p>
        </w:tc>
        <w:tc>
          <w:tcPr>
            <w:tcW w:w="569" w:type="pct"/>
            <w:tcBorders>
              <w:top w:val="nil"/>
              <w:left w:val="nil"/>
              <w:bottom w:val="single" w:sz="4" w:space="0" w:color="auto"/>
              <w:right w:val="single" w:sz="4" w:space="0" w:color="auto"/>
            </w:tcBorders>
            <w:shd w:val="clear" w:color="auto" w:fill="auto"/>
            <w:noWrap/>
            <w:vAlign w:val="center"/>
            <w:hideMark/>
          </w:tcPr>
          <w:p w14:paraId="1800DF34" w14:textId="77777777" w:rsidR="00224B95" w:rsidRPr="00224B95" w:rsidRDefault="00224B95" w:rsidP="00224B95">
            <w:pPr>
              <w:spacing w:after="0" w:line="240" w:lineRule="auto"/>
              <w:jc w:val="right"/>
              <w:rPr>
                <w:rFonts w:ascii="Arial" w:eastAsia="Times New Roman" w:hAnsi="Arial" w:cs="Arial"/>
                <w:b/>
                <w:bCs/>
                <w:color w:val="000000" w:themeColor="text1"/>
                <w:sz w:val="18"/>
                <w:szCs w:val="18"/>
                <w:lang w:eastAsia="sl-SI"/>
              </w:rPr>
            </w:pPr>
            <w:r w:rsidRPr="00224B95">
              <w:rPr>
                <w:rFonts w:ascii="Arial" w:eastAsia="Times New Roman" w:hAnsi="Arial" w:cs="Arial"/>
                <w:b/>
                <w:bCs/>
                <w:color w:val="000000" w:themeColor="text1"/>
                <w:sz w:val="18"/>
                <w:szCs w:val="18"/>
                <w:lang w:eastAsia="sl-SI"/>
              </w:rPr>
              <w:t>1.751</w:t>
            </w:r>
          </w:p>
        </w:tc>
        <w:tc>
          <w:tcPr>
            <w:tcW w:w="867" w:type="pct"/>
            <w:tcBorders>
              <w:top w:val="nil"/>
              <w:left w:val="nil"/>
              <w:bottom w:val="single" w:sz="4" w:space="0" w:color="auto"/>
              <w:right w:val="single" w:sz="4" w:space="0" w:color="auto"/>
            </w:tcBorders>
            <w:shd w:val="clear" w:color="auto" w:fill="auto"/>
            <w:noWrap/>
            <w:vAlign w:val="center"/>
            <w:hideMark/>
          </w:tcPr>
          <w:p w14:paraId="747F80FD" w14:textId="77777777" w:rsidR="00224B95" w:rsidRPr="00224B95" w:rsidRDefault="00224B95" w:rsidP="00224B95">
            <w:pPr>
              <w:spacing w:after="0" w:line="240" w:lineRule="auto"/>
              <w:jc w:val="right"/>
              <w:rPr>
                <w:rFonts w:ascii="Arial" w:eastAsia="Times New Roman" w:hAnsi="Arial" w:cs="Arial"/>
                <w:b/>
                <w:bCs/>
                <w:color w:val="000000" w:themeColor="text1"/>
                <w:sz w:val="18"/>
                <w:szCs w:val="18"/>
                <w:lang w:eastAsia="sl-SI"/>
              </w:rPr>
            </w:pPr>
            <w:r w:rsidRPr="00224B95">
              <w:rPr>
                <w:rFonts w:ascii="Arial" w:eastAsia="Times New Roman" w:hAnsi="Arial" w:cs="Arial"/>
                <w:b/>
                <w:bCs/>
                <w:color w:val="000000" w:themeColor="text1"/>
                <w:sz w:val="18"/>
                <w:szCs w:val="18"/>
                <w:lang w:eastAsia="sl-SI"/>
              </w:rPr>
              <w:t>1.859.938.899</w:t>
            </w:r>
          </w:p>
        </w:tc>
        <w:tc>
          <w:tcPr>
            <w:tcW w:w="581" w:type="pct"/>
            <w:tcBorders>
              <w:top w:val="nil"/>
              <w:left w:val="nil"/>
              <w:bottom w:val="single" w:sz="4" w:space="0" w:color="auto"/>
              <w:right w:val="single" w:sz="4" w:space="0" w:color="auto"/>
            </w:tcBorders>
            <w:shd w:val="clear" w:color="auto" w:fill="auto"/>
            <w:noWrap/>
            <w:vAlign w:val="center"/>
            <w:hideMark/>
          </w:tcPr>
          <w:p w14:paraId="5A846577" w14:textId="4BD3438C" w:rsidR="00224B95" w:rsidRPr="00224B95" w:rsidRDefault="00224B95" w:rsidP="00224B95">
            <w:pPr>
              <w:spacing w:after="0" w:line="240" w:lineRule="auto"/>
              <w:jc w:val="right"/>
              <w:rPr>
                <w:rFonts w:ascii="Arial" w:eastAsia="Times New Roman" w:hAnsi="Arial" w:cs="Arial"/>
                <w:b/>
                <w:bCs/>
                <w:color w:val="000000" w:themeColor="text1"/>
                <w:sz w:val="18"/>
                <w:szCs w:val="18"/>
                <w:lang w:eastAsia="sl-SI"/>
              </w:rPr>
            </w:pPr>
            <w:r w:rsidRPr="00224B95">
              <w:rPr>
                <w:rFonts w:ascii="Arial" w:eastAsia="Times New Roman" w:hAnsi="Arial" w:cs="Arial"/>
                <w:b/>
                <w:bCs/>
                <w:color w:val="000000" w:themeColor="text1"/>
                <w:sz w:val="18"/>
                <w:szCs w:val="18"/>
                <w:lang w:eastAsia="sl-SI"/>
              </w:rPr>
              <w:t>100,00</w:t>
            </w:r>
            <w:r>
              <w:rPr>
                <w:rFonts w:ascii="Arial" w:eastAsia="Times New Roman" w:hAnsi="Arial" w:cs="Arial"/>
                <w:b/>
                <w:bCs/>
                <w:color w:val="000000" w:themeColor="text1"/>
                <w:sz w:val="18"/>
                <w:szCs w:val="18"/>
                <w:lang w:eastAsia="sl-SI"/>
              </w:rPr>
              <w:t xml:space="preserve"> </w:t>
            </w:r>
            <w:r w:rsidRPr="00224B95">
              <w:rPr>
                <w:rFonts w:ascii="Arial" w:eastAsia="Times New Roman" w:hAnsi="Arial" w:cs="Arial"/>
                <w:b/>
                <w:bCs/>
                <w:color w:val="000000" w:themeColor="text1"/>
                <w:sz w:val="18"/>
                <w:szCs w:val="18"/>
                <w:lang w:eastAsia="sl-SI"/>
              </w:rPr>
              <w:t>%</w:t>
            </w:r>
          </w:p>
        </w:tc>
        <w:tc>
          <w:tcPr>
            <w:tcW w:w="581" w:type="pct"/>
            <w:tcBorders>
              <w:top w:val="nil"/>
              <w:left w:val="nil"/>
              <w:bottom w:val="single" w:sz="4" w:space="0" w:color="auto"/>
              <w:right w:val="single" w:sz="4" w:space="0" w:color="auto"/>
            </w:tcBorders>
            <w:shd w:val="clear" w:color="auto" w:fill="auto"/>
            <w:noWrap/>
            <w:vAlign w:val="center"/>
            <w:hideMark/>
          </w:tcPr>
          <w:p w14:paraId="2435744D" w14:textId="218028E7" w:rsidR="00224B95" w:rsidRPr="00224B95" w:rsidRDefault="00224B95" w:rsidP="00224B95">
            <w:pPr>
              <w:spacing w:after="0" w:line="240" w:lineRule="auto"/>
              <w:jc w:val="right"/>
              <w:rPr>
                <w:rFonts w:ascii="Arial" w:eastAsia="Times New Roman" w:hAnsi="Arial" w:cs="Arial"/>
                <w:b/>
                <w:bCs/>
                <w:color w:val="000000" w:themeColor="text1"/>
                <w:sz w:val="18"/>
                <w:szCs w:val="18"/>
                <w:lang w:eastAsia="sl-SI"/>
              </w:rPr>
            </w:pPr>
            <w:r w:rsidRPr="00224B95">
              <w:rPr>
                <w:rFonts w:ascii="Arial" w:eastAsia="Times New Roman" w:hAnsi="Arial" w:cs="Arial"/>
                <w:b/>
                <w:bCs/>
                <w:color w:val="000000" w:themeColor="text1"/>
                <w:sz w:val="18"/>
                <w:szCs w:val="18"/>
                <w:lang w:eastAsia="sl-SI"/>
              </w:rPr>
              <w:t>100,00</w:t>
            </w:r>
            <w:r>
              <w:rPr>
                <w:rFonts w:ascii="Arial" w:eastAsia="Times New Roman" w:hAnsi="Arial" w:cs="Arial"/>
                <w:b/>
                <w:bCs/>
                <w:color w:val="000000" w:themeColor="text1"/>
                <w:sz w:val="18"/>
                <w:szCs w:val="18"/>
                <w:lang w:eastAsia="sl-SI"/>
              </w:rPr>
              <w:t xml:space="preserve"> </w:t>
            </w:r>
            <w:r w:rsidRPr="00224B95">
              <w:rPr>
                <w:rFonts w:ascii="Arial" w:eastAsia="Times New Roman" w:hAnsi="Arial" w:cs="Arial"/>
                <w:b/>
                <w:bCs/>
                <w:color w:val="000000" w:themeColor="text1"/>
                <w:sz w:val="18"/>
                <w:szCs w:val="18"/>
                <w:lang w:eastAsia="sl-SI"/>
              </w:rPr>
              <w:t>%</w:t>
            </w:r>
          </w:p>
        </w:tc>
      </w:tr>
      <w:tr w:rsidR="00224B95" w:rsidRPr="00224B95" w14:paraId="48944764" w14:textId="77777777" w:rsidTr="00224B95">
        <w:trPr>
          <w:gridAfter w:val="2"/>
          <w:wAfter w:w="1162" w:type="pct"/>
          <w:trHeight w:val="300"/>
        </w:trPr>
        <w:tc>
          <w:tcPr>
            <w:tcW w:w="240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5BF37D" w14:textId="77777777" w:rsidR="00224B95" w:rsidRPr="00224B95" w:rsidRDefault="00224B95" w:rsidP="00224B95">
            <w:pPr>
              <w:spacing w:after="0" w:line="240" w:lineRule="auto"/>
              <w:rPr>
                <w:rFonts w:ascii="Arial" w:eastAsia="Times New Roman" w:hAnsi="Arial" w:cs="Arial"/>
                <w:b/>
                <w:bCs/>
                <w:color w:val="000000" w:themeColor="text1"/>
                <w:sz w:val="18"/>
                <w:szCs w:val="18"/>
                <w:lang w:eastAsia="sl-SI"/>
              </w:rPr>
            </w:pPr>
            <w:r w:rsidRPr="00224B95">
              <w:rPr>
                <w:rFonts w:ascii="Arial" w:eastAsia="Times New Roman" w:hAnsi="Arial" w:cs="Arial"/>
                <w:b/>
                <w:bCs/>
                <w:color w:val="000000" w:themeColor="text1"/>
                <w:sz w:val="18"/>
                <w:szCs w:val="18"/>
                <w:lang w:eastAsia="sl-SI"/>
              </w:rPr>
              <w:t>Skupaj</w:t>
            </w:r>
          </w:p>
        </w:tc>
        <w:tc>
          <w:tcPr>
            <w:tcW w:w="569" w:type="pct"/>
            <w:tcBorders>
              <w:top w:val="nil"/>
              <w:left w:val="nil"/>
              <w:bottom w:val="single" w:sz="4" w:space="0" w:color="auto"/>
              <w:right w:val="single" w:sz="4" w:space="0" w:color="auto"/>
            </w:tcBorders>
            <w:shd w:val="clear" w:color="auto" w:fill="F2F2F2" w:themeFill="background1" w:themeFillShade="F2"/>
            <w:noWrap/>
            <w:vAlign w:val="center"/>
            <w:hideMark/>
          </w:tcPr>
          <w:p w14:paraId="3F98C2B3" w14:textId="77777777" w:rsidR="00224B95" w:rsidRPr="00224B95" w:rsidRDefault="00224B95" w:rsidP="00224B95">
            <w:pPr>
              <w:spacing w:after="0" w:line="240" w:lineRule="auto"/>
              <w:jc w:val="right"/>
              <w:rPr>
                <w:rFonts w:ascii="Arial" w:eastAsia="Times New Roman" w:hAnsi="Arial" w:cs="Arial"/>
                <w:b/>
                <w:bCs/>
                <w:color w:val="000000" w:themeColor="text1"/>
                <w:sz w:val="18"/>
                <w:szCs w:val="18"/>
                <w:lang w:eastAsia="sl-SI"/>
              </w:rPr>
            </w:pPr>
            <w:r w:rsidRPr="00224B95">
              <w:rPr>
                <w:rFonts w:ascii="Arial" w:eastAsia="Times New Roman" w:hAnsi="Arial" w:cs="Arial"/>
                <w:b/>
                <w:bCs/>
                <w:color w:val="000000" w:themeColor="text1"/>
                <w:sz w:val="18"/>
                <w:szCs w:val="18"/>
                <w:lang w:eastAsia="sl-SI"/>
              </w:rPr>
              <w:t>16.780</w:t>
            </w:r>
          </w:p>
        </w:tc>
        <w:tc>
          <w:tcPr>
            <w:tcW w:w="867" w:type="pct"/>
            <w:tcBorders>
              <w:top w:val="nil"/>
              <w:left w:val="nil"/>
              <w:bottom w:val="single" w:sz="4" w:space="0" w:color="auto"/>
              <w:right w:val="single" w:sz="4" w:space="0" w:color="auto"/>
            </w:tcBorders>
            <w:shd w:val="clear" w:color="auto" w:fill="F2F2F2" w:themeFill="background1" w:themeFillShade="F2"/>
            <w:noWrap/>
            <w:vAlign w:val="center"/>
            <w:hideMark/>
          </w:tcPr>
          <w:p w14:paraId="62722105" w14:textId="77777777" w:rsidR="00224B95" w:rsidRPr="00224B95" w:rsidRDefault="00224B95" w:rsidP="00224B95">
            <w:pPr>
              <w:spacing w:after="0" w:line="240" w:lineRule="auto"/>
              <w:jc w:val="right"/>
              <w:rPr>
                <w:rFonts w:ascii="Arial" w:eastAsia="Times New Roman" w:hAnsi="Arial" w:cs="Arial"/>
                <w:b/>
                <w:bCs/>
                <w:color w:val="000000" w:themeColor="text1"/>
                <w:sz w:val="18"/>
                <w:szCs w:val="18"/>
                <w:lang w:eastAsia="sl-SI"/>
              </w:rPr>
            </w:pPr>
            <w:r w:rsidRPr="00224B95">
              <w:rPr>
                <w:rFonts w:ascii="Arial" w:eastAsia="Times New Roman" w:hAnsi="Arial" w:cs="Arial"/>
                <w:b/>
                <w:bCs/>
                <w:color w:val="000000" w:themeColor="text1"/>
                <w:sz w:val="18"/>
                <w:szCs w:val="18"/>
                <w:lang w:eastAsia="sl-SI"/>
              </w:rPr>
              <w:t>5.218.980.380</w:t>
            </w:r>
          </w:p>
        </w:tc>
      </w:tr>
    </w:tbl>
    <w:p w14:paraId="3C9610DC" w14:textId="64119BB1" w:rsidR="002C18B8" w:rsidRPr="00224B95" w:rsidRDefault="002C18B8" w:rsidP="004A613D">
      <w:pPr>
        <w:spacing w:after="0" w:line="240" w:lineRule="auto"/>
        <w:jc w:val="center"/>
        <w:rPr>
          <w:rFonts w:ascii="Arial" w:hAnsi="Arial" w:cs="Arial"/>
          <w:sz w:val="18"/>
        </w:rPr>
      </w:pPr>
    </w:p>
    <w:p w14:paraId="718BA743" w14:textId="4B875FBC" w:rsidR="00180D5C" w:rsidRPr="00224B95" w:rsidRDefault="00180D5C" w:rsidP="004A613D">
      <w:pPr>
        <w:spacing w:after="0" w:line="240" w:lineRule="auto"/>
        <w:jc w:val="center"/>
        <w:rPr>
          <w:rFonts w:ascii="Arial" w:hAnsi="Arial" w:cs="Arial"/>
          <w:sz w:val="18"/>
        </w:rPr>
      </w:pPr>
      <w:r w:rsidRPr="00224B95">
        <w:rPr>
          <w:rFonts w:ascii="Arial" w:hAnsi="Arial" w:cs="Arial"/>
          <w:sz w:val="18"/>
        </w:rPr>
        <w:t>Vir: Statistični podatki o javni</w:t>
      </w:r>
      <w:r w:rsidR="00815600" w:rsidRPr="00224B95">
        <w:rPr>
          <w:rFonts w:ascii="Arial" w:hAnsi="Arial" w:cs="Arial"/>
          <w:sz w:val="18"/>
        </w:rPr>
        <w:t>h naročilih, oddanih v letu 20</w:t>
      </w:r>
      <w:r w:rsidR="002C18B8" w:rsidRPr="00224B95">
        <w:rPr>
          <w:rFonts w:ascii="Arial" w:hAnsi="Arial" w:cs="Arial"/>
          <w:sz w:val="18"/>
        </w:rPr>
        <w:t>2</w:t>
      </w:r>
      <w:r w:rsidR="00224B95" w:rsidRPr="00224B95">
        <w:rPr>
          <w:rFonts w:ascii="Arial" w:hAnsi="Arial" w:cs="Arial"/>
          <w:sz w:val="18"/>
        </w:rPr>
        <w:t>2</w:t>
      </w:r>
      <w:r w:rsidR="00B0329F" w:rsidRPr="00224B95">
        <w:rPr>
          <w:rFonts w:ascii="Arial" w:hAnsi="Arial" w:cs="Arial"/>
          <w:sz w:val="18"/>
        </w:rPr>
        <w:t>.</w:t>
      </w:r>
    </w:p>
    <w:p w14:paraId="51DE5BC6" w14:textId="77777777" w:rsidR="0036792C" w:rsidRPr="00BF7302" w:rsidRDefault="0036792C" w:rsidP="004A613D">
      <w:pPr>
        <w:spacing w:after="0" w:line="240" w:lineRule="auto"/>
        <w:jc w:val="center"/>
        <w:rPr>
          <w:rFonts w:ascii="Arial" w:hAnsi="Arial" w:cs="Arial"/>
          <w:sz w:val="18"/>
          <w:highlight w:val="yellow"/>
        </w:rPr>
      </w:pPr>
    </w:p>
    <w:p w14:paraId="517EB067" w14:textId="77777777" w:rsidR="00B11580" w:rsidRPr="0050706B" w:rsidRDefault="00B11580" w:rsidP="00854405">
      <w:pPr>
        <w:pStyle w:val="ZADEVA"/>
        <w:jc w:val="both"/>
        <w:rPr>
          <w:rFonts w:cs="Arial"/>
          <w:b w:val="0"/>
          <w:szCs w:val="20"/>
          <w:lang w:val="sl-SI"/>
        </w:rPr>
      </w:pPr>
    </w:p>
    <w:p w14:paraId="04424626" w14:textId="6B6D6893" w:rsidR="001C6865" w:rsidRPr="0050706B" w:rsidRDefault="001C6865" w:rsidP="001C6865">
      <w:pPr>
        <w:pStyle w:val="Naslov3"/>
        <w:rPr>
          <w:rFonts w:ascii="Arial" w:hAnsi="Arial" w:cs="Arial"/>
          <w:sz w:val="22"/>
          <w:szCs w:val="22"/>
        </w:rPr>
      </w:pPr>
      <w:bookmarkStart w:id="40" w:name="_Toc141864072"/>
      <w:r w:rsidRPr="0050706B">
        <w:rPr>
          <w:rFonts w:ascii="Arial" w:hAnsi="Arial" w:cs="Arial"/>
          <w:sz w:val="22"/>
          <w:szCs w:val="22"/>
        </w:rPr>
        <w:t>2.</w:t>
      </w:r>
      <w:r w:rsidR="00FA2740" w:rsidRPr="0050706B">
        <w:rPr>
          <w:rFonts w:ascii="Arial" w:hAnsi="Arial" w:cs="Arial"/>
          <w:sz w:val="22"/>
          <w:szCs w:val="22"/>
        </w:rPr>
        <w:t>6</w:t>
      </w:r>
      <w:r w:rsidRPr="0050706B">
        <w:rPr>
          <w:rFonts w:ascii="Arial" w:hAnsi="Arial" w:cs="Arial"/>
          <w:sz w:val="22"/>
          <w:szCs w:val="22"/>
        </w:rPr>
        <w:t>.5 Izločanje ponudnikov</w:t>
      </w:r>
      <w:bookmarkEnd w:id="40"/>
      <w:r w:rsidR="00B90B8D" w:rsidRPr="0050706B">
        <w:rPr>
          <w:rFonts w:ascii="Arial" w:hAnsi="Arial" w:cs="Arial"/>
          <w:sz w:val="22"/>
          <w:szCs w:val="22"/>
        </w:rPr>
        <w:t xml:space="preserve"> </w:t>
      </w:r>
    </w:p>
    <w:p w14:paraId="7D89D467" w14:textId="77777777" w:rsidR="00B11580" w:rsidRPr="0050706B" w:rsidRDefault="00B11580" w:rsidP="00854405">
      <w:pPr>
        <w:pStyle w:val="ZADEVA"/>
        <w:jc w:val="both"/>
        <w:rPr>
          <w:rFonts w:cs="Arial"/>
          <w:b w:val="0"/>
          <w:szCs w:val="20"/>
          <w:lang w:val="sl-SI"/>
        </w:rPr>
      </w:pPr>
    </w:p>
    <w:p w14:paraId="07E4984A" w14:textId="5EF67138" w:rsidR="000B0538" w:rsidRPr="00BF7302" w:rsidRDefault="000B0538" w:rsidP="000B0538">
      <w:pPr>
        <w:spacing w:line="360" w:lineRule="auto"/>
        <w:jc w:val="both"/>
        <w:rPr>
          <w:rFonts w:ascii="Arial" w:hAnsi="Arial" w:cs="Arial"/>
          <w:sz w:val="20"/>
          <w:szCs w:val="20"/>
          <w:highlight w:val="yellow"/>
        </w:rPr>
      </w:pPr>
      <w:r w:rsidRPr="0050706B">
        <w:rPr>
          <w:rFonts w:ascii="Arial" w:hAnsi="Arial" w:cs="Arial"/>
          <w:sz w:val="20"/>
          <w:szCs w:val="20"/>
        </w:rPr>
        <w:t xml:space="preserve">Naročniki so v skladu z </w:t>
      </w:r>
      <w:proofErr w:type="spellStart"/>
      <w:r w:rsidRPr="0050706B">
        <w:rPr>
          <w:rFonts w:ascii="Arial" w:hAnsi="Arial" w:cs="Arial"/>
          <w:sz w:val="20"/>
          <w:szCs w:val="20"/>
        </w:rPr>
        <w:t>javnonaročniško</w:t>
      </w:r>
      <w:proofErr w:type="spellEnd"/>
      <w:r w:rsidRPr="0050706B">
        <w:rPr>
          <w:rFonts w:ascii="Arial" w:hAnsi="Arial" w:cs="Arial"/>
          <w:sz w:val="20"/>
          <w:szCs w:val="20"/>
        </w:rPr>
        <w:t xml:space="preserve"> zakonodajo iz postopka javnega naročanja </w:t>
      </w:r>
      <w:r w:rsidR="00F92565" w:rsidRPr="0050706B">
        <w:rPr>
          <w:rFonts w:ascii="Arial" w:hAnsi="Arial" w:cs="Arial"/>
          <w:sz w:val="20"/>
          <w:szCs w:val="20"/>
        </w:rPr>
        <w:t xml:space="preserve">pri </w:t>
      </w:r>
      <w:r w:rsidR="0050706B" w:rsidRPr="0050706B">
        <w:rPr>
          <w:rFonts w:ascii="Arial" w:hAnsi="Arial" w:cs="Arial"/>
          <w:sz w:val="20"/>
          <w:szCs w:val="20"/>
        </w:rPr>
        <w:t>62</w:t>
      </w:r>
      <w:r w:rsidR="001107AD" w:rsidRPr="0050706B">
        <w:rPr>
          <w:rFonts w:ascii="Arial" w:hAnsi="Arial" w:cs="Arial"/>
          <w:sz w:val="20"/>
          <w:szCs w:val="20"/>
        </w:rPr>
        <w:t xml:space="preserve"> javnih naročilih </w:t>
      </w:r>
      <w:r w:rsidRPr="00DF1072">
        <w:rPr>
          <w:rFonts w:ascii="Arial" w:hAnsi="Arial" w:cs="Arial"/>
          <w:sz w:val="20"/>
          <w:szCs w:val="20"/>
        </w:rPr>
        <w:t xml:space="preserve">izločili </w:t>
      </w:r>
      <w:r w:rsidR="0050706B" w:rsidRPr="00DF1072">
        <w:rPr>
          <w:rFonts w:ascii="Arial" w:hAnsi="Arial" w:cs="Arial"/>
          <w:sz w:val="20"/>
          <w:szCs w:val="20"/>
        </w:rPr>
        <w:t>94</w:t>
      </w:r>
      <w:r w:rsidRPr="00DF1072">
        <w:rPr>
          <w:rFonts w:ascii="Arial" w:hAnsi="Arial" w:cs="Arial"/>
          <w:sz w:val="20"/>
          <w:szCs w:val="20"/>
        </w:rPr>
        <w:t xml:space="preserve"> </w:t>
      </w:r>
      <w:r w:rsidR="001107AD" w:rsidRPr="00DF1072">
        <w:rPr>
          <w:rFonts w:ascii="Arial" w:hAnsi="Arial" w:cs="Arial"/>
          <w:sz w:val="20"/>
          <w:szCs w:val="20"/>
        </w:rPr>
        <w:t>ponudnikov</w:t>
      </w:r>
      <w:r w:rsidRPr="00DF1072">
        <w:rPr>
          <w:rFonts w:ascii="Arial" w:hAnsi="Arial" w:cs="Arial"/>
          <w:sz w:val="20"/>
          <w:szCs w:val="20"/>
        </w:rPr>
        <w:t xml:space="preserve">, ker so bili ti ali njihovi zakoniti zastopniki pravnomočno obsojeni za </w:t>
      </w:r>
      <w:r w:rsidRPr="00DF1072">
        <w:rPr>
          <w:rFonts w:ascii="Arial" w:hAnsi="Arial" w:cs="Arial"/>
          <w:color w:val="000000" w:themeColor="text1"/>
          <w:sz w:val="20"/>
          <w:szCs w:val="20"/>
        </w:rPr>
        <w:t xml:space="preserve">kazniva dejanja. </w:t>
      </w:r>
      <w:r w:rsidR="001107AD" w:rsidRPr="00DF1072">
        <w:rPr>
          <w:rFonts w:ascii="Arial" w:hAnsi="Arial" w:cs="Arial"/>
          <w:color w:val="000000" w:themeColor="text1"/>
          <w:sz w:val="20"/>
          <w:szCs w:val="20"/>
        </w:rPr>
        <w:t xml:space="preserve">Največ gospodarskih subjektov je bilo izločenih pri izvedbi </w:t>
      </w:r>
      <w:r w:rsidR="00DF1072" w:rsidRPr="00DF1072">
        <w:rPr>
          <w:rFonts w:ascii="Arial" w:hAnsi="Arial" w:cs="Arial"/>
          <w:color w:val="000000" w:themeColor="text1"/>
          <w:sz w:val="20"/>
          <w:szCs w:val="20"/>
        </w:rPr>
        <w:t>postopka naročila male vrednosti</w:t>
      </w:r>
      <w:r w:rsidR="001107AD" w:rsidRPr="00DF1072">
        <w:rPr>
          <w:rFonts w:ascii="Arial" w:hAnsi="Arial" w:cs="Arial"/>
          <w:color w:val="000000" w:themeColor="text1"/>
          <w:sz w:val="20"/>
          <w:szCs w:val="20"/>
        </w:rPr>
        <w:t xml:space="preserve"> za naročanje </w:t>
      </w:r>
      <w:r w:rsidR="00DF1072" w:rsidRPr="00DF1072">
        <w:rPr>
          <w:rFonts w:ascii="Arial" w:hAnsi="Arial" w:cs="Arial"/>
          <w:color w:val="000000" w:themeColor="text1"/>
          <w:sz w:val="20"/>
          <w:szCs w:val="20"/>
        </w:rPr>
        <w:t>gradenj</w:t>
      </w:r>
      <w:r w:rsidR="001107AD" w:rsidRPr="00DF1072">
        <w:rPr>
          <w:rFonts w:ascii="Arial" w:hAnsi="Arial" w:cs="Arial"/>
          <w:color w:val="000000" w:themeColor="text1"/>
          <w:sz w:val="20"/>
          <w:szCs w:val="20"/>
        </w:rPr>
        <w:t xml:space="preserve"> </w:t>
      </w:r>
      <w:r w:rsidR="003420F0" w:rsidRPr="00DF1072">
        <w:rPr>
          <w:rFonts w:ascii="Arial" w:hAnsi="Arial" w:cs="Arial"/>
          <w:color w:val="000000" w:themeColor="text1"/>
          <w:sz w:val="20"/>
          <w:szCs w:val="20"/>
        </w:rPr>
        <w:t xml:space="preserve">na </w:t>
      </w:r>
      <w:r w:rsidR="001107AD" w:rsidRPr="00DF1072">
        <w:rPr>
          <w:rFonts w:ascii="Arial" w:hAnsi="Arial" w:cs="Arial"/>
          <w:color w:val="000000" w:themeColor="text1"/>
          <w:sz w:val="20"/>
          <w:szCs w:val="20"/>
        </w:rPr>
        <w:t>sploš</w:t>
      </w:r>
      <w:r w:rsidR="006C2244" w:rsidRPr="00DF1072">
        <w:rPr>
          <w:rFonts w:ascii="Arial" w:hAnsi="Arial" w:cs="Arial"/>
          <w:color w:val="000000" w:themeColor="text1"/>
          <w:sz w:val="20"/>
          <w:szCs w:val="20"/>
        </w:rPr>
        <w:t xml:space="preserve">nem področju, kjer je </w:t>
      </w:r>
      <w:r w:rsidR="004E1AA3" w:rsidRPr="00DF1072">
        <w:rPr>
          <w:rFonts w:ascii="Arial" w:hAnsi="Arial" w:cs="Arial"/>
          <w:color w:val="000000" w:themeColor="text1"/>
          <w:sz w:val="20"/>
          <w:szCs w:val="20"/>
        </w:rPr>
        <w:t xml:space="preserve">bilo pri </w:t>
      </w:r>
      <w:r w:rsidR="00DF1072" w:rsidRPr="00DF1072">
        <w:rPr>
          <w:rFonts w:ascii="Arial" w:hAnsi="Arial" w:cs="Arial"/>
          <w:color w:val="000000" w:themeColor="text1"/>
          <w:sz w:val="20"/>
          <w:szCs w:val="20"/>
        </w:rPr>
        <w:t>enem naročilu</w:t>
      </w:r>
      <w:r w:rsidR="001107AD" w:rsidRPr="00DF1072">
        <w:rPr>
          <w:rFonts w:ascii="Arial" w:hAnsi="Arial" w:cs="Arial"/>
          <w:color w:val="000000" w:themeColor="text1"/>
          <w:sz w:val="20"/>
          <w:szCs w:val="20"/>
        </w:rPr>
        <w:t xml:space="preserve"> izločen</w:t>
      </w:r>
      <w:r w:rsidR="004E1AA3" w:rsidRPr="00DF1072">
        <w:rPr>
          <w:rFonts w:ascii="Arial" w:hAnsi="Arial" w:cs="Arial"/>
          <w:color w:val="000000" w:themeColor="text1"/>
          <w:sz w:val="20"/>
          <w:szCs w:val="20"/>
        </w:rPr>
        <w:t>ih</w:t>
      </w:r>
      <w:r w:rsidR="001107AD" w:rsidRPr="00DF1072">
        <w:rPr>
          <w:rFonts w:ascii="Arial" w:hAnsi="Arial" w:cs="Arial"/>
          <w:color w:val="000000" w:themeColor="text1"/>
          <w:sz w:val="20"/>
          <w:szCs w:val="20"/>
        </w:rPr>
        <w:t xml:space="preserve"> </w:t>
      </w:r>
      <w:r w:rsidR="00DF1072" w:rsidRPr="00DF1072">
        <w:rPr>
          <w:rFonts w:ascii="Arial" w:hAnsi="Arial" w:cs="Arial"/>
          <w:color w:val="000000" w:themeColor="text1"/>
          <w:sz w:val="20"/>
          <w:szCs w:val="20"/>
        </w:rPr>
        <w:t>8</w:t>
      </w:r>
      <w:r w:rsidR="004E1AA3" w:rsidRPr="00DF1072">
        <w:rPr>
          <w:rFonts w:ascii="Arial" w:hAnsi="Arial" w:cs="Arial"/>
          <w:color w:val="000000" w:themeColor="text1"/>
          <w:sz w:val="20"/>
          <w:szCs w:val="20"/>
        </w:rPr>
        <w:t xml:space="preserve"> ponudnikov</w:t>
      </w:r>
      <w:r w:rsidR="001107AD" w:rsidRPr="00DF1072">
        <w:rPr>
          <w:rFonts w:ascii="Arial" w:hAnsi="Arial" w:cs="Arial"/>
          <w:color w:val="000000" w:themeColor="text1"/>
          <w:sz w:val="20"/>
          <w:szCs w:val="20"/>
        </w:rPr>
        <w:t xml:space="preserve">. </w:t>
      </w:r>
    </w:p>
    <w:p w14:paraId="08B3D719" w14:textId="3CB9F3AE" w:rsidR="00FD0DD3" w:rsidRPr="00DF1072" w:rsidRDefault="00B37E65" w:rsidP="00A4539E">
      <w:pPr>
        <w:spacing w:before="120" w:after="120" w:line="240" w:lineRule="auto"/>
        <w:jc w:val="both"/>
        <w:rPr>
          <w:rFonts w:ascii="Arial" w:hAnsi="Arial" w:cs="Arial"/>
          <w:sz w:val="18"/>
        </w:rPr>
      </w:pPr>
      <w:r w:rsidRPr="00DF1072">
        <w:rPr>
          <w:rFonts w:ascii="Arial" w:hAnsi="Arial" w:cs="Arial"/>
          <w:sz w:val="20"/>
        </w:rPr>
        <w:t>Preglednica </w:t>
      </w:r>
      <w:r w:rsidR="00EA747F">
        <w:rPr>
          <w:rFonts w:ascii="Arial" w:hAnsi="Arial" w:cs="Arial"/>
          <w:sz w:val="20"/>
        </w:rPr>
        <w:t>39</w:t>
      </w:r>
      <w:r w:rsidRPr="00DF1072">
        <w:rPr>
          <w:rFonts w:ascii="Arial" w:hAnsi="Arial" w:cs="Arial"/>
          <w:sz w:val="20"/>
        </w:rPr>
        <w:t xml:space="preserve">: </w:t>
      </w:r>
      <w:r w:rsidR="0046668F" w:rsidRPr="00DF1072">
        <w:rPr>
          <w:rFonts w:ascii="Arial" w:hAnsi="Arial" w:cs="Arial"/>
          <w:sz w:val="20"/>
        </w:rPr>
        <w:t>P</w:t>
      </w:r>
      <w:r w:rsidRPr="00DF1072">
        <w:rPr>
          <w:rFonts w:ascii="Arial" w:hAnsi="Arial" w:cs="Arial"/>
          <w:sz w:val="20"/>
        </w:rPr>
        <w:t>onudniki</w:t>
      </w:r>
      <w:r w:rsidR="0046668F" w:rsidRPr="00DF1072">
        <w:rPr>
          <w:rFonts w:ascii="Arial" w:hAnsi="Arial" w:cs="Arial"/>
          <w:sz w:val="20"/>
        </w:rPr>
        <w:t>,</w:t>
      </w:r>
      <w:r w:rsidRPr="00DF1072">
        <w:rPr>
          <w:rFonts w:ascii="Arial" w:hAnsi="Arial" w:cs="Arial"/>
          <w:sz w:val="20"/>
        </w:rPr>
        <w:t xml:space="preserve"> </w:t>
      </w:r>
      <w:r w:rsidR="0046668F" w:rsidRPr="00DF1072">
        <w:rPr>
          <w:rFonts w:ascii="Arial" w:hAnsi="Arial" w:cs="Arial"/>
          <w:sz w:val="20"/>
        </w:rPr>
        <w:t xml:space="preserve">izločeni </w:t>
      </w:r>
      <w:r w:rsidRPr="00DF1072">
        <w:rPr>
          <w:rFonts w:ascii="Arial" w:hAnsi="Arial" w:cs="Arial"/>
          <w:sz w:val="20"/>
        </w:rPr>
        <w:t>zaradi pravnomočne kazenske obsodbe</w:t>
      </w:r>
      <w:r w:rsidR="00A659FB" w:rsidRPr="00DF1072">
        <w:rPr>
          <w:rFonts w:ascii="Arial" w:hAnsi="Arial" w:cs="Arial"/>
          <w:sz w:val="20"/>
        </w:rPr>
        <w:t>,</w:t>
      </w:r>
      <w:r w:rsidRPr="00DF1072">
        <w:rPr>
          <w:rFonts w:ascii="Arial" w:hAnsi="Arial" w:cs="Arial"/>
          <w:sz w:val="20"/>
        </w:rPr>
        <w:t xml:space="preserve"> glede na področje, predmet in vrsto postopka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2"/>
        <w:gridCol w:w="821"/>
        <w:gridCol w:w="3825"/>
        <w:gridCol w:w="993"/>
        <w:gridCol w:w="2233"/>
      </w:tblGrid>
      <w:tr w:rsidR="00DF1072" w:rsidRPr="00DF1072" w14:paraId="06A9C2EE" w14:textId="77777777" w:rsidTr="00CF664F">
        <w:trPr>
          <w:trHeight w:val="300"/>
          <w:tblHeader/>
        </w:trPr>
        <w:tc>
          <w:tcPr>
            <w:tcW w:w="710" w:type="pct"/>
            <w:shd w:val="clear" w:color="000000" w:fill="F2F2F2"/>
            <w:vAlign w:val="center"/>
            <w:hideMark/>
          </w:tcPr>
          <w:p w14:paraId="027DAC9C" w14:textId="77777777" w:rsidR="00DF1072" w:rsidRPr="00DF1072" w:rsidRDefault="00DF1072" w:rsidP="00DF1072">
            <w:pPr>
              <w:spacing w:after="0" w:line="240" w:lineRule="auto"/>
              <w:jc w:val="center"/>
              <w:rPr>
                <w:rFonts w:ascii="Arial" w:eastAsia="Times New Roman" w:hAnsi="Arial" w:cs="Arial"/>
                <w:color w:val="000000"/>
                <w:sz w:val="18"/>
                <w:szCs w:val="18"/>
                <w:lang w:eastAsia="sl-SI"/>
              </w:rPr>
            </w:pPr>
            <w:r w:rsidRPr="00DF1072">
              <w:rPr>
                <w:rFonts w:ascii="Arial" w:eastAsia="Times New Roman" w:hAnsi="Arial" w:cs="Arial"/>
                <w:color w:val="000000"/>
                <w:sz w:val="18"/>
                <w:szCs w:val="18"/>
                <w:lang w:eastAsia="sl-SI"/>
              </w:rPr>
              <w:t>Področje</w:t>
            </w:r>
          </w:p>
        </w:tc>
        <w:tc>
          <w:tcPr>
            <w:tcW w:w="447" w:type="pct"/>
            <w:shd w:val="clear" w:color="000000" w:fill="F2F2F2"/>
            <w:vAlign w:val="center"/>
            <w:hideMark/>
          </w:tcPr>
          <w:p w14:paraId="2A539CAA" w14:textId="77777777" w:rsidR="00DF1072" w:rsidRPr="00DF1072" w:rsidRDefault="00DF1072" w:rsidP="00DF1072">
            <w:pPr>
              <w:spacing w:after="0" w:line="240" w:lineRule="auto"/>
              <w:jc w:val="center"/>
              <w:rPr>
                <w:rFonts w:ascii="Arial" w:eastAsia="Times New Roman" w:hAnsi="Arial" w:cs="Arial"/>
                <w:color w:val="000000"/>
                <w:sz w:val="18"/>
                <w:szCs w:val="18"/>
                <w:lang w:eastAsia="sl-SI"/>
              </w:rPr>
            </w:pPr>
            <w:r w:rsidRPr="00DF1072">
              <w:rPr>
                <w:rFonts w:ascii="Arial" w:eastAsia="Times New Roman" w:hAnsi="Arial" w:cs="Arial"/>
                <w:color w:val="000000"/>
                <w:sz w:val="18"/>
                <w:szCs w:val="18"/>
                <w:lang w:eastAsia="sl-SI"/>
              </w:rPr>
              <w:t xml:space="preserve">Predmet </w:t>
            </w:r>
          </w:p>
        </w:tc>
        <w:tc>
          <w:tcPr>
            <w:tcW w:w="2085" w:type="pct"/>
            <w:shd w:val="clear" w:color="000000" w:fill="F2F2F2"/>
            <w:vAlign w:val="center"/>
            <w:hideMark/>
          </w:tcPr>
          <w:p w14:paraId="64ADDDE1" w14:textId="77777777" w:rsidR="00DF1072" w:rsidRPr="00DF1072" w:rsidRDefault="00DF1072" w:rsidP="00DF1072">
            <w:pPr>
              <w:spacing w:after="0" w:line="240" w:lineRule="auto"/>
              <w:jc w:val="center"/>
              <w:rPr>
                <w:rFonts w:ascii="Arial" w:eastAsia="Times New Roman" w:hAnsi="Arial" w:cs="Arial"/>
                <w:color w:val="000000"/>
                <w:sz w:val="18"/>
                <w:szCs w:val="18"/>
                <w:lang w:eastAsia="sl-SI"/>
              </w:rPr>
            </w:pPr>
            <w:r w:rsidRPr="00DF1072">
              <w:rPr>
                <w:rFonts w:ascii="Arial" w:eastAsia="Times New Roman" w:hAnsi="Arial" w:cs="Arial"/>
                <w:color w:val="000000"/>
                <w:sz w:val="18"/>
                <w:szCs w:val="18"/>
                <w:lang w:eastAsia="sl-SI"/>
              </w:rPr>
              <w:t>Vrsta postopka</w:t>
            </w:r>
          </w:p>
        </w:tc>
        <w:tc>
          <w:tcPr>
            <w:tcW w:w="541" w:type="pct"/>
            <w:shd w:val="clear" w:color="000000" w:fill="F2F2F2"/>
            <w:vAlign w:val="center"/>
            <w:hideMark/>
          </w:tcPr>
          <w:p w14:paraId="7D25F373" w14:textId="77777777" w:rsidR="00DF1072" w:rsidRPr="00DF1072" w:rsidRDefault="00DF1072" w:rsidP="00DF1072">
            <w:pPr>
              <w:spacing w:after="0" w:line="240" w:lineRule="auto"/>
              <w:jc w:val="center"/>
              <w:rPr>
                <w:rFonts w:ascii="Arial" w:eastAsia="Times New Roman" w:hAnsi="Arial" w:cs="Arial"/>
                <w:color w:val="000000"/>
                <w:sz w:val="18"/>
                <w:szCs w:val="18"/>
                <w:lang w:eastAsia="sl-SI"/>
              </w:rPr>
            </w:pPr>
            <w:r w:rsidRPr="00DF1072">
              <w:rPr>
                <w:rFonts w:ascii="Arial" w:eastAsia="Times New Roman" w:hAnsi="Arial" w:cs="Arial"/>
                <w:color w:val="000000"/>
                <w:sz w:val="18"/>
                <w:szCs w:val="18"/>
                <w:lang w:eastAsia="sl-SI"/>
              </w:rPr>
              <w:t>Št. naročil</w:t>
            </w:r>
          </w:p>
        </w:tc>
        <w:tc>
          <w:tcPr>
            <w:tcW w:w="1217" w:type="pct"/>
            <w:shd w:val="clear" w:color="000000" w:fill="F2F2F2"/>
            <w:vAlign w:val="center"/>
            <w:hideMark/>
          </w:tcPr>
          <w:p w14:paraId="33F98681" w14:textId="77777777" w:rsidR="00DF1072" w:rsidRPr="00DF1072" w:rsidRDefault="00DF1072" w:rsidP="00DF1072">
            <w:pPr>
              <w:spacing w:after="0" w:line="240" w:lineRule="auto"/>
              <w:jc w:val="center"/>
              <w:rPr>
                <w:rFonts w:ascii="Arial" w:eastAsia="Times New Roman" w:hAnsi="Arial" w:cs="Arial"/>
                <w:color w:val="000000"/>
                <w:sz w:val="18"/>
                <w:szCs w:val="18"/>
                <w:lang w:eastAsia="sl-SI"/>
              </w:rPr>
            </w:pPr>
            <w:r w:rsidRPr="00DF1072">
              <w:rPr>
                <w:rFonts w:ascii="Arial" w:eastAsia="Times New Roman" w:hAnsi="Arial" w:cs="Arial"/>
                <w:color w:val="000000"/>
                <w:sz w:val="18"/>
                <w:szCs w:val="18"/>
                <w:lang w:eastAsia="sl-SI"/>
              </w:rPr>
              <w:t>Št. izločenih ponudnikov pri posameznem naročilu</w:t>
            </w:r>
          </w:p>
        </w:tc>
      </w:tr>
      <w:tr w:rsidR="00DF1072" w:rsidRPr="00DF1072" w14:paraId="0B5DA0B2" w14:textId="77777777" w:rsidTr="00CF664F">
        <w:trPr>
          <w:trHeight w:val="300"/>
        </w:trPr>
        <w:tc>
          <w:tcPr>
            <w:tcW w:w="710" w:type="pct"/>
            <w:vMerge w:val="restart"/>
            <w:shd w:val="clear" w:color="auto" w:fill="auto"/>
            <w:vAlign w:val="center"/>
            <w:hideMark/>
          </w:tcPr>
          <w:p w14:paraId="39A7E38D" w14:textId="77777777" w:rsidR="00DF1072" w:rsidRPr="00DF1072" w:rsidRDefault="00DF1072" w:rsidP="00DF1072">
            <w:pPr>
              <w:spacing w:after="0" w:line="240" w:lineRule="auto"/>
              <w:rPr>
                <w:rFonts w:ascii="Arial" w:eastAsia="Times New Roman" w:hAnsi="Arial" w:cs="Arial"/>
                <w:color w:val="000000" w:themeColor="text1"/>
                <w:sz w:val="18"/>
                <w:szCs w:val="18"/>
                <w:lang w:eastAsia="sl-SI"/>
              </w:rPr>
            </w:pPr>
            <w:r w:rsidRPr="00DF1072">
              <w:rPr>
                <w:rFonts w:ascii="Arial" w:eastAsia="Times New Roman" w:hAnsi="Arial" w:cs="Arial"/>
                <w:color w:val="000000" w:themeColor="text1"/>
                <w:sz w:val="18"/>
                <w:szCs w:val="18"/>
                <w:lang w:eastAsia="sl-SI"/>
              </w:rPr>
              <w:t>Splošno</w:t>
            </w:r>
          </w:p>
        </w:tc>
        <w:tc>
          <w:tcPr>
            <w:tcW w:w="447" w:type="pct"/>
            <w:vMerge w:val="restart"/>
            <w:shd w:val="clear" w:color="auto" w:fill="auto"/>
            <w:vAlign w:val="center"/>
            <w:hideMark/>
          </w:tcPr>
          <w:p w14:paraId="78D16FD0" w14:textId="77777777" w:rsidR="00DF1072" w:rsidRPr="00DF1072" w:rsidRDefault="00DF1072" w:rsidP="00DF1072">
            <w:pPr>
              <w:spacing w:after="0" w:line="240" w:lineRule="auto"/>
              <w:rPr>
                <w:rFonts w:ascii="Arial" w:eastAsia="Times New Roman" w:hAnsi="Arial" w:cs="Arial"/>
                <w:color w:val="000000" w:themeColor="text1"/>
                <w:sz w:val="18"/>
                <w:szCs w:val="18"/>
                <w:lang w:eastAsia="sl-SI"/>
              </w:rPr>
            </w:pPr>
            <w:r w:rsidRPr="00DF1072">
              <w:rPr>
                <w:rFonts w:ascii="Arial" w:eastAsia="Times New Roman" w:hAnsi="Arial" w:cs="Arial"/>
                <w:color w:val="000000" w:themeColor="text1"/>
                <w:sz w:val="18"/>
                <w:szCs w:val="18"/>
                <w:lang w:eastAsia="sl-SI"/>
              </w:rPr>
              <w:t>Blago</w:t>
            </w:r>
          </w:p>
        </w:tc>
        <w:tc>
          <w:tcPr>
            <w:tcW w:w="2085" w:type="pct"/>
            <w:shd w:val="clear" w:color="auto" w:fill="auto"/>
            <w:vAlign w:val="center"/>
            <w:hideMark/>
          </w:tcPr>
          <w:p w14:paraId="15BB655E" w14:textId="77777777" w:rsidR="00DF1072" w:rsidRPr="00DF1072" w:rsidRDefault="00DF1072" w:rsidP="00DF1072">
            <w:pPr>
              <w:spacing w:after="0" w:line="240" w:lineRule="auto"/>
              <w:rPr>
                <w:rFonts w:ascii="Arial" w:eastAsia="Times New Roman" w:hAnsi="Arial" w:cs="Arial"/>
                <w:color w:val="000000" w:themeColor="text1"/>
                <w:sz w:val="18"/>
                <w:szCs w:val="18"/>
                <w:lang w:eastAsia="sl-SI"/>
              </w:rPr>
            </w:pPr>
            <w:r w:rsidRPr="00DF1072">
              <w:rPr>
                <w:rFonts w:ascii="Arial" w:eastAsia="Times New Roman" w:hAnsi="Arial" w:cs="Arial"/>
                <w:color w:val="000000" w:themeColor="text1"/>
                <w:sz w:val="18"/>
                <w:szCs w:val="18"/>
                <w:lang w:eastAsia="sl-SI"/>
              </w:rPr>
              <w:t>Odprti postopek</w:t>
            </w:r>
          </w:p>
        </w:tc>
        <w:tc>
          <w:tcPr>
            <w:tcW w:w="541" w:type="pct"/>
            <w:shd w:val="clear" w:color="auto" w:fill="auto"/>
            <w:vAlign w:val="center"/>
            <w:hideMark/>
          </w:tcPr>
          <w:p w14:paraId="512C82B7" w14:textId="77777777" w:rsidR="00DF1072" w:rsidRPr="00DF1072" w:rsidRDefault="00DF1072" w:rsidP="00DF1072">
            <w:pPr>
              <w:spacing w:after="0" w:line="240" w:lineRule="auto"/>
              <w:jc w:val="right"/>
              <w:rPr>
                <w:rFonts w:ascii="Arial" w:eastAsia="Times New Roman" w:hAnsi="Arial" w:cs="Arial"/>
                <w:color w:val="000000" w:themeColor="text1"/>
                <w:sz w:val="18"/>
                <w:szCs w:val="18"/>
                <w:lang w:eastAsia="sl-SI"/>
              </w:rPr>
            </w:pPr>
            <w:r w:rsidRPr="00DF1072">
              <w:rPr>
                <w:rFonts w:ascii="Arial" w:eastAsia="Times New Roman" w:hAnsi="Arial" w:cs="Arial"/>
                <w:color w:val="000000" w:themeColor="text1"/>
                <w:sz w:val="18"/>
                <w:szCs w:val="18"/>
                <w:lang w:eastAsia="sl-SI"/>
              </w:rPr>
              <w:t>31</w:t>
            </w:r>
          </w:p>
        </w:tc>
        <w:tc>
          <w:tcPr>
            <w:tcW w:w="1217" w:type="pct"/>
            <w:shd w:val="clear" w:color="auto" w:fill="auto"/>
            <w:vAlign w:val="center"/>
            <w:hideMark/>
          </w:tcPr>
          <w:p w14:paraId="339F8FD5" w14:textId="77777777" w:rsidR="00DF1072" w:rsidRPr="00DF1072" w:rsidRDefault="00DF1072" w:rsidP="00DF1072">
            <w:pPr>
              <w:spacing w:after="0" w:line="240" w:lineRule="auto"/>
              <w:jc w:val="right"/>
              <w:rPr>
                <w:rFonts w:ascii="Arial" w:eastAsia="Times New Roman" w:hAnsi="Arial" w:cs="Arial"/>
                <w:color w:val="000000" w:themeColor="text1"/>
                <w:sz w:val="18"/>
                <w:szCs w:val="18"/>
                <w:lang w:eastAsia="sl-SI"/>
              </w:rPr>
            </w:pPr>
            <w:r w:rsidRPr="00DF1072">
              <w:rPr>
                <w:rFonts w:ascii="Arial" w:eastAsia="Times New Roman" w:hAnsi="Arial" w:cs="Arial"/>
                <w:color w:val="000000" w:themeColor="text1"/>
                <w:sz w:val="18"/>
                <w:szCs w:val="18"/>
                <w:lang w:eastAsia="sl-SI"/>
              </w:rPr>
              <w:t>49</w:t>
            </w:r>
          </w:p>
        </w:tc>
      </w:tr>
      <w:tr w:rsidR="00DF1072" w:rsidRPr="00DF1072" w14:paraId="4B4BD537" w14:textId="77777777" w:rsidTr="00CF664F">
        <w:trPr>
          <w:trHeight w:val="300"/>
        </w:trPr>
        <w:tc>
          <w:tcPr>
            <w:tcW w:w="710" w:type="pct"/>
            <w:vMerge/>
            <w:vAlign w:val="center"/>
            <w:hideMark/>
          </w:tcPr>
          <w:p w14:paraId="21EA76A0" w14:textId="77777777" w:rsidR="00DF1072" w:rsidRPr="00DF1072" w:rsidRDefault="00DF1072" w:rsidP="00DF1072">
            <w:pPr>
              <w:spacing w:after="0" w:line="240" w:lineRule="auto"/>
              <w:rPr>
                <w:rFonts w:ascii="Arial" w:eastAsia="Times New Roman" w:hAnsi="Arial" w:cs="Arial"/>
                <w:color w:val="000000" w:themeColor="text1"/>
                <w:sz w:val="18"/>
                <w:szCs w:val="18"/>
                <w:lang w:eastAsia="sl-SI"/>
              </w:rPr>
            </w:pPr>
          </w:p>
        </w:tc>
        <w:tc>
          <w:tcPr>
            <w:tcW w:w="447" w:type="pct"/>
            <w:vMerge/>
            <w:vAlign w:val="center"/>
            <w:hideMark/>
          </w:tcPr>
          <w:p w14:paraId="3AD5A72D" w14:textId="77777777" w:rsidR="00DF1072" w:rsidRPr="00DF1072" w:rsidRDefault="00DF1072" w:rsidP="00DF1072">
            <w:pPr>
              <w:spacing w:after="0" w:line="240" w:lineRule="auto"/>
              <w:rPr>
                <w:rFonts w:ascii="Arial" w:eastAsia="Times New Roman" w:hAnsi="Arial" w:cs="Arial"/>
                <w:color w:val="000000" w:themeColor="text1"/>
                <w:sz w:val="18"/>
                <w:szCs w:val="18"/>
                <w:lang w:eastAsia="sl-SI"/>
              </w:rPr>
            </w:pPr>
          </w:p>
        </w:tc>
        <w:tc>
          <w:tcPr>
            <w:tcW w:w="2085" w:type="pct"/>
            <w:shd w:val="clear" w:color="auto" w:fill="auto"/>
            <w:vAlign w:val="center"/>
            <w:hideMark/>
          </w:tcPr>
          <w:p w14:paraId="317B3507" w14:textId="77777777" w:rsidR="00DF1072" w:rsidRPr="00DF1072" w:rsidRDefault="00DF1072" w:rsidP="00DF1072">
            <w:pPr>
              <w:spacing w:after="0" w:line="240" w:lineRule="auto"/>
              <w:rPr>
                <w:rFonts w:ascii="Arial" w:eastAsia="Times New Roman" w:hAnsi="Arial" w:cs="Arial"/>
                <w:color w:val="000000" w:themeColor="text1"/>
                <w:sz w:val="18"/>
                <w:szCs w:val="18"/>
                <w:lang w:eastAsia="sl-SI"/>
              </w:rPr>
            </w:pPr>
            <w:r w:rsidRPr="00DF1072">
              <w:rPr>
                <w:rFonts w:ascii="Arial" w:eastAsia="Times New Roman" w:hAnsi="Arial" w:cs="Arial"/>
                <w:color w:val="000000" w:themeColor="text1"/>
                <w:sz w:val="18"/>
                <w:szCs w:val="18"/>
                <w:lang w:eastAsia="sl-SI"/>
              </w:rPr>
              <w:t>Postopek naročila male vrednosti</w:t>
            </w:r>
          </w:p>
        </w:tc>
        <w:tc>
          <w:tcPr>
            <w:tcW w:w="541" w:type="pct"/>
            <w:shd w:val="clear" w:color="auto" w:fill="auto"/>
            <w:vAlign w:val="center"/>
            <w:hideMark/>
          </w:tcPr>
          <w:p w14:paraId="5EAE128D" w14:textId="77777777" w:rsidR="00DF1072" w:rsidRPr="00DF1072" w:rsidRDefault="00DF1072" w:rsidP="00DF1072">
            <w:pPr>
              <w:spacing w:after="0" w:line="240" w:lineRule="auto"/>
              <w:jc w:val="right"/>
              <w:rPr>
                <w:rFonts w:ascii="Arial" w:eastAsia="Times New Roman" w:hAnsi="Arial" w:cs="Arial"/>
                <w:color w:val="000000" w:themeColor="text1"/>
                <w:sz w:val="18"/>
                <w:szCs w:val="18"/>
                <w:lang w:eastAsia="sl-SI"/>
              </w:rPr>
            </w:pPr>
            <w:r w:rsidRPr="00DF1072">
              <w:rPr>
                <w:rFonts w:ascii="Arial" w:eastAsia="Times New Roman" w:hAnsi="Arial" w:cs="Arial"/>
                <w:color w:val="000000" w:themeColor="text1"/>
                <w:sz w:val="18"/>
                <w:szCs w:val="18"/>
                <w:lang w:eastAsia="sl-SI"/>
              </w:rPr>
              <w:t>3</w:t>
            </w:r>
          </w:p>
        </w:tc>
        <w:tc>
          <w:tcPr>
            <w:tcW w:w="1217" w:type="pct"/>
            <w:shd w:val="clear" w:color="auto" w:fill="auto"/>
            <w:vAlign w:val="center"/>
            <w:hideMark/>
          </w:tcPr>
          <w:p w14:paraId="570A903A" w14:textId="77777777" w:rsidR="00DF1072" w:rsidRPr="00DF1072" w:rsidRDefault="00DF1072" w:rsidP="00DF1072">
            <w:pPr>
              <w:spacing w:after="0" w:line="240" w:lineRule="auto"/>
              <w:jc w:val="right"/>
              <w:rPr>
                <w:rFonts w:ascii="Arial" w:eastAsia="Times New Roman" w:hAnsi="Arial" w:cs="Arial"/>
                <w:color w:val="000000" w:themeColor="text1"/>
                <w:sz w:val="18"/>
                <w:szCs w:val="18"/>
                <w:lang w:eastAsia="sl-SI"/>
              </w:rPr>
            </w:pPr>
            <w:r w:rsidRPr="00DF1072">
              <w:rPr>
                <w:rFonts w:ascii="Arial" w:eastAsia="Times New Roman" w:hAnsi="Arial" w:cs="Arial"/>
                <w:color w:val="000000" w:themeColor="text1"/>
                <w:sz w:val="18"/>
                <w:szCs w:val="18"/>
                <w:lang w:eastAsia="sl-SI"/>
              </w:rPr>
              <w:t>6</w:t>
            </w:r>
          </w:p>
        </w:tc>
      </w:tr>
      <w:tr w:rsidR="00DF1072" w:rsidRPr="00DF1072" w14:paraId="04FF8D23" w14:textId="77777777" w:rsidTr="00CF664F">
        <w:trPr>
          <w:trHeight w:val="300"/>
        </w:trPr>
        <w:tc>
          <w:tcPr>
            <w:tcW w:w="710" w:type="pct"/>
            <w:vMerge/>
            <w:vAlign w:val="center"/>
            <w:hideMark/>
          </w:tcPr>
          <w:p w14:paraId="373F7825" w14:textId="77777777" w:rsidR="00DF1072" w:rsidRPr="00DF1072" w:rsidRDefault="00DF1072" w:rsidP="00DF1072">
            <w:pPr>
              <w:spacing w:after="0" w:line="240" w:lineRule="auto"/>
              <w:rPr>
                <w:rFonts w:ascii="Arial" w:eastAsia="Times New Roman" w:hAnsi="Arial" w:cs="Arial"/>
                <w:color w:val="000000" w:themeColor="text1"/>
                <w:sz w:val="18"/>
                <w:szCs w:val="18"/>
                <w:lang w:eastAsia="sl-SI"/>
              </w:rPr>
            </w:pPr>
          </w:p>
        </w:tc>
        <w:tc>
          <w:tcPr>
            <w:tcW w:w="447" w:type="pct"/>
            <w:vMerge/>
            <w:vAlign w:val="center"/>
            <w:hideMark/>
          </w:tcPr>
          <w:p w14:paraId="18F10321" w14:textId="77777777" w:rsidR="00DF1072" w:rsidRPr="00DF1072" w:rsidRDefault="00DF1072" w:rsidP="00DF1072">
            <w:pPr>
              <w:spacing w:after="0" w:line="240" w:lineRule="auto"/>
              <w:rPr>
                <w:rFonts w:ascii="Arial" w:eastAsia="Times New Roman" w:hAnsi="Arial" w:cs="Arial"/>
                <w:color w:val="000000" w:themeColor="text1"/>
                <w:sz w:val="18"/>
                <w:szCs w:val="18"/>
                <w:lang w:eastAsia="sl-SI"/>
              </w:rPr>
            </w:pPr>
          </w:p>
        </w:tc>
        <w:tc>
          <w:tcPr>
            <w:tcW w:w="2085" w:type="pct"/>
            <w:shd w:val="clear" w:color="auto" w:fill="auto"/>
            <w:vAlign w:val="center"/>
            <w:hideMark/>
          </w:tcPr>
          <w:p w14:paraId="7111BABD" w14:textId="77777777" w:rsidR="00DF1072" w:rsidRPr="00DF1072" w:rsidRDefault="00DF1072" w:rsidP="00DF1072">
            <w:pPr>
              <w:spacing w:after="0" w:line="240" w:lineRule="auto"/>
              <w:rPr>
                <w:rFonts w:ascii="Arial" w:eastAsia="Times New Roman" w:hAnsi="Arial" w:cs="Arial"/>
                <w:color w:val="000000" w:themeColor="text1"/>
                <w:sz w:val="18"/>
                <w:szCs w:val="18"/>
                <w:lang w:eastAsia="sl-SI"/>
              </w:rPr>
            </w:pPr>
            <w:r w:rsidRPr="00DF1072">
              <w:rPr>
                <w:rFonts w:ascii="Arial" w:eastAsia="Times New Roman" w:hAnsi="Arial" w:cs="Arial"/>
                <w:color w:val="000000" w:themeColor="text1"/>
                <w:sz w:val="18"/>
                <w:szCs w:val="18"/>
                <w:lang w:eastAsia="sl-SI"/>
              </w:rPr>
              <w:t>Postopek s pogajanji brez predhodne objave</w:t>
            </w:r>
          </w:p>
        </w:tc>
        <w:tc>
          <w:tcPr>
            <w:tcW w:w="541" w:type="pct"/>
            <w:shd w:val="clear" w:color="auto" w:fill="auto"/>
            <w:vAlign w:val="center"/>
            <w:hideMark/>
          </w:tcPr>
          <w:p w14:paraId="5035D5E0" w14:textId="77777777" w:rsidR="00DF1072" w:rsidRPr="00DF1072" w:rsidRDefault="00DF1072" w:rsidP="00DF1072">
            <w:pPr>
              <w:spacing w:after="0" w:line="240" w:lineRule="auto"/>
              <w:jc w:val="right"/>
              <w:rPr>
                <w:rFonts w:ascii="Arial" w:eastAsia="Times New Roman" w:hAnsi="Arial" w:cs="Arial"/>
                <w:color w:val="000000" w:themeColor="text1"/>
                <w:sz w:val="18"/>
                <w:szCs w:val="18"/>
                <w:lang w:eastAsia="sl-SI"/>
              </w:rPr>
            </w:pPr>
            <w:r w:rsidRPr="00DF1072">
              <w:rPr>
                <w:rFonts w:ascii="Arial" w:eastAsia="Times New Roman" w:hAnsi="Arial" w:cs="Arial"/>
                <w:color w:val="000000" w:themeColor="text1"/>
                <w:sz w:val="18"/>
                <w:szCs w:val="18"/>
                <w:lang w:eastAsia="sl-SI"/>
              </w:rPr>
              <w:t>3</w:t>
            </w:r>
          </w:p>
        </w:tc>
        <w:tc>
          <w:tcPr>
            <w:tcW w:w="1217" w:type="pct"/>
            <w:shd w:val="clear" w:color="auto" w:fill="auto"/>
            <w:vAlign w:val="center"/>
            <w:hideMark/>
          </w:tcPr>
          <w:p w14:paraId="3C5ADDE6" w14:textId="77777777" w:rsidR="00DF1072" w:rsidRPr="00DF1072" w:rsidRDefault="00DF1072" w:rsidP="00DF1072">
            <w:pPr>
              <w:spacing w:after="0" w:line="240" w:lineRule="auto"/>
              <w:jc w:val="right"/>
              <w:rPr>
                <w:rFonts w:ascii="Arial" w:eastAsia="Times New Roman" w:hAnsi="Arial" w:cs="Arial"/>
                <w:color w:val="000000" w:themeColor="text1"/>
                <w:sz w:val="18"/>
                <w:szCs w:val="18"/>
                <w:lang w:eastAsia="sl-SI"/>
              </w:rPr>
            </w:pPr>
            <w:r w:rsidRPr="00DF1072">
              <w:rPr>
                <w:rFonts w:ascii="Arial" w:eastAsia="Times New Roman" w:hAnsi="Arial" w:cs="Arial"/>
                <w:color w:val="000000" w:themeColor="text1"/>
                <w:sz w:val="18"/>
                <w:szCs w:val="18"/>
                <w:lang w:eastAsia="sl-SI"/>
              </w:rPr>
              <w:t>3</w:t>
            </w:r>
          </w:p>
        </w:tc>
      </w:tr>
      <w:tr w:rsidR="00DF1072" w:rsidRPr="00DF1072" w14:paraId="6F5B50D8" w14:textId="77777777" w:rsidTr="00CF664F">
        <w:trPr>
          <w:trHeight w:val="300"/>
        </w:trPr>
        <w:tc>
          <w:tcPr>
            <w:tcW w:w="710" w:type="pct"/>
            <w:vMerge/>
            <w:vAlign w:val="center"/>
            <w:hideMark/>
          </w:tcPr>
          <w:p w14:paraId="5AD61D41" w14:textId="77777777" w:rsidR="00DF1072" w:rsidRPr="00DF1072" w:rsidRDefault="00DF1072" w:rsidP="00DF1072">
            <w:pPr>
              <w:spacing w:after="0" w:line="240" w:lineRule="auto"/>
              <w:rPr>
                <w:rFonts w:ascii="Arial" w:eastAsia="Times New Roman" w:hAnsi="Arial" w:cs="Arial"/>
                <w:color w:val="000000" w:themeColor="text1"/>
                <w:sz w:val="18"/>
                <w:szCs w:val="18"/>
                <w:lang w:eastAsia="sl-SI"/>
              </w:rPr>
            </w:pPr>
          </w:p>
        </w:tc>
        <w:tc>
          <w:tcPr>
            <w:tcW w:w="447" w:type="pct"/>
            <w:vMerge w:val="restart"/>
            <w:shd w:val="clear" w:color="auto" w:fill="auto"/>
            <w:vAlign w:val="center"/>
            <w:hideMark/>
          </w:tcPr>
          <w:p w14:paraId="632D2087" w14:textId="77777777" w:rsidR="00DF1072" w:rsidRPr="00DF1072" w:rsidRDefault="00DF1072" w:rsidP="00DF1072">
            <w:pPr>
              <w:spacing w:after="0" w:line="240" w:lineRule="auto"/>
              <w:rPr>
                <w:rFonts w:ascii="Arial" w:eastAsia="Times New Roman" w:hAnsi="Arial" w:cs="Arial"/>
                <w:color w:val="000000" w:themeColor="text1"/>
                <w:sz w:val="18"/>
                <w:szCs w:val="18"/>
                <w:lang w:eastAsia="sl-SI"/>
              </w:rPr>
            </w:pPr>
            <w:r w:rsidRPr="00DF1072">
              <w:rPr>
                <w:rFonts w:ascii="Arial" w:eastAsia="Times New Roman" w:hAnsi="Arial" w:cs="Arial"/>
                <w:color w:val="000000" w:themeColor="text1"/>
                <w:sz w:val="18"/>
                <w:szCs w:val="18"/>
                <w:lang w:eastAsia="sl-SI"/>
              </w:rPr>
              <w:t>Storitve</w:t>
            </w:r>
          </w:p>
        </w:tc>
        <w:tc>
          <w:tcPr>
            <w:tcW w:w="2085" w:type="pct"/>
            <w:shd w:val="clear" w:color="auto" w:fill="auto"/>
            <w:vAlign w:val="center"/>
            <w:hideMark/>
          </w:tcPr>
          <w:p w14:paraId="5545B3AF" w14:textId="77777777" w:rsidR="00DF1072" w:rsidRPr="00DF1072" w:rsidRDefault="00DF1072" w:rsidP="00DF1072">
            <w:pPr>
              <w:spacing w:after="0" w:line="240" w:lineRule="auto"/>
              <w:rPr>
                <w:rFonts w:ascii="Arial" w:eastAsia="Times New Roman" w:hAnsi="Arial" w:cs="Arial"/>
                <w:color w:val="000000" w:themeColor="text1"/>
                <w:sz w:val="18"/>
                <w:szCs w:val="18"/>
                <w:lang w:eastAsia="sl-SI"/>
              </w:rPr>
            </w:pPr>
            <w:r w:rsidRPr="00DF1072">
              <w:rPr>
                <w:rFonts w:ascii="Arial" w:eastAsia="Times New Roman" w:hAnsi="Arial" w:cs="Arial"/>
                <w:color w:val="000000" w:themeColor="text1"/>
                <w:sz w:val="18"/>
                <w:szCs w:val="18"/>
                <w:lang w:eastAsia="sl-SI"/>
              </w:rPr>
              <w:t>Odprti postopek</w:t>
            </w:r>
          </w:p>
        </w:tc>
        <w:tc>
          <w:tcPr>
            <w:tcW w:w="541" w:type="pct"/>
            <w:shd w:val="clear" w:color="auto" w:fill="auto"/>
            <w:vAlign w:val="center"/>
            <w:hideMark/>
          </w:tcPr>
          <w:p w14:paraId="6E0B15D7" w14:textId="77777777" w:rsidR="00DF1072" w:rsidRPr="00DF1072" w:rsidRDefault="00DF1072" w:rsidP="00DF1072">
            <w:pPr>
              <w:spacing w:after="0" w:line="240" w:lineRule="auto"/>
              <w:jc w:val="right"/>
              <w:rPr>
                <w:rFonts w:ascii="Arial" w:eastAsia="Times New Roman" w:hAnsi="Arial" w:cs="Arial"/>
                <w:color w:val="000000" w:themeColor="text1"/>
                <w:sz w:val="18"/>
                <w:szCs w:val="18"/>
                <w:lang w:eastAsia="sl-SI"/>
              </w:rPr>
            </w:pPr>
            <w:r w:rsidRPr="00DF1072">
              <w:rPr>
                <w:rFonts w:ascii="Arial" w:eastAsia="Times New Roman" w:hAnsi="Arial" w:cs="Arial"/>
                <w:color w:val="000000" w:themeColor="text1"/>
                <w:sz w:val="18"/>
                <w:szCs w:val="18"/>
                <w:lang w:eastAsia="sl-SI"/>
              </w:rPr>
              <w:t>5</w:t>
            </w:r>
          </w:p>
        </w:tc>
        <w:tc>
          <w:tcPr>
            <w:tcW w:w="1217" w:type="pct"/>
            <w:shd w:val="clear" w:color="auto" w:fill="auto"/>
            <w:vAlign w:val="center"/>
            <w:hideMark/>
          </w:tcPr>
          <w:p w14:paraId="3A51CE12" w14:textId="77777777" w:rsidR="00DF1072" w:rsidRPr="00DF1072" w:rsidRDefault="00DF1072" w:rsidP="00DF1072">
            <w:pPr>
              <w:spacing w:after="0" w:line="240" w:lineRule="auto"/>
              <w:jc w:val="right"/>
              <w:rPr>
                <w:rFonts w:ascii="Arial" w:eastAsia="Times New Roman" w:hAnsi="Arial" w:cs="Arial"/>
                <w:color w:val="000000" w:themeColor="text1"/>
                <w:sz w:val="18"/>
                <w:szCs w:val="18"/>
                <w:lang w:eastAsia="sl-SI"/>
              </w:rPr>
            </w:pPr>
            <w:r w:rsidRPr="00DF1072">
              <w:rPr>
                <w:rFonts w:ascii="Arial" w:eastAsia="Times New Roman" w:hAnsi="Arial" w:cs="Arial"/>
                <w:color w:val="000000" w:themeColor="text1"/>
                <w:sz w:val="18"/>
                <w:szCs w:val="18"/>
                <w:lang w:eastAsia="sl-SI"/>
              </w:rPr>
              <w:t>7</w:t>
            </w:r>
          </w:p>
        </w:tc>
      </w:tr>
      <w:tr w:rsidR="00DF1072" w:rsidRPr="00DF1072" w14:paraId="331BCF94" w14:textId="77777777" w:rsidTr="00CF664F">
        <w:trPr>
          <w:trHeight w:val="300"/>
        </w:trPr>
        <w:tc>
          <w:tcPr>
            <w:tcW w:w="710" w:type="pct"/>
            <w:vMerge/>
            <w:vAlign w:val="center"/>
            <w:hideMark/>
          </w:tcPr>
          <w:p w14:paraId="1D39532D" w14:textId="77777777" w:rsidR="00DF1072" w:rsidRPr="00DF1072" w:rsidRDefault="00DF1072" w:rsidP="00DF1072">
            <w:pPr>
              <w:spacing w:after="0" w:line="240" w:lineRule="auto"/>
              <w:rPr>
                <w:rFonts w:ascii="Arial" w:eastAsia="Times New Roman" w:hAnsi="Arial" w:cs="Arial"/>
                <w:color w:val="000000" w:themeColor="text1"/>
                <w:sz w:val="18"/>
                <w:szCs w:val="18"/>
                <w:lang w:eastAsia="sl-SI"/>
              </w:rPr>
            </w:pPr>
          </w:p>
        </w:tc>
        <w:tc>
          <w:tcPr>
            <w:tcW w:w="447" w:type="pct"/>
            <w:vMerge/>
            <w:vAlign w:val="center"/>
            <w:hideMark/>
          </w:tcPr>
          <w:p w14:paraId="3B389D9F" w14:textId="77777777" w:rsidR="00DF1072" w:rsidRPr="00DF1072" w:rsidRDefault="00DF1072" w:rsidP="00DF1072">
            <w:pPr>
              <w:spacing w:after="0" w:line="240" w:lineRule="auto"/>
              <w:rPr>
                <w:rFonts w:ascii="Arial" w:eastAsia="Times New Roman" w:hAnsi="Arial" w:cs="Arial"/>
                <w:color w:val="000000" w:themeColor="text1"/>
                <w:sz w:val="18"/>
                <w:szCs w:val="18"/>
                <w:lang w:eastAsia="sl-SI"/>
              </w:rPr>
            </w:pPr>
          </w:p>
        </w:tc>
        <w:tc>
          <w:tcPr>
            <w:tcW w:w="2085" w:type="pct"/>
            <w:shd w:val="clear" w:color="auto" w:fill="auto"/>
            <w:vAlign w:val="center"/>
            <w:hideMark/>
          </w:tcPr>
          <w:p w14:paraId="0603A00D" w14:textId="77777777" w:rsidR="00DF1072" w:rsidRPr="00DF1072" w:rsidRDefault="00DF1072" w:rsidP="00DF1072">
            <w:pPr>
              <w:spacing w:after="0" w:line="240" w:lineRule="auto"/>
              <w:rPr>
                <w:rFonts w:ascii="Arial" w:eastAsia="Times New Roman" w:hAnsi="Arial" w:cs="Arial"/>
                <w:color w:val="000000" w:themeColor="text1"/>
                <w:sz w:val="18"/>
                <w:szCs w:val="18"/>
                <w:lang w:eastAsia="sl-SI"/>
              </w:rPr>
            </w:pPr>
            <w:r w:rsidRPr="00DF1072">
              <w:rPr>
                <w:rFonts w:ascii="Arial" w:eastAsia="Times New Roman" w:hAnsi="Arial" w:cs="Arial"/>
                <w:color w:val="000000" w:themeColor="text1"/>
                <w:sz w:val="18"/>
                <w:szCs w:val="18"/>
                <w:lang w:eastAsia="sl-SI"/>
              </w:rPr>
              <w:t>Postopek naročila male vrednosti</w:t>
            </w:r>
          </w:p>
        </w:tc>
        <w:tc>
          <w:tcPr>
            <w:tcW w:w="541" w:type="pct"/>
            <w:shd w:val="clear" w:color="auto" w:fill="auto"/>
            <w:vAlign w:val="center"/>
            <w:hideMark/>
          </w:tcPr>
          <w:p w14:paraId="541FCA8B" w14:textId="77777777" w:rsidR="00DF1072" w:rsidRPr="00DF1072" w:rsidRDefault="00DF1072" w:rsidP="00DF1072">
            <w:pPr>
              <w:spacing w:after="0" w:line="240" w:lineRule="auto"/>
              <w:jc w:val="right"/>
              <w:rPr>
                <w:rFonts w:ascii="Arial" w:eastAsia="Times New Roman" w:hAnsi="Arial" w:cs="Arial"/>
                <w:color w:val="000000" w:themeColor="text1"/>
                <w:sz w:val="18"/>
                <w:szCs w:val="18"/>
                <w:lang w:eastAsia="sl-SI"/>
              </w:rPr>
            </w:pPr>
            <w:r w:rsidRPr="00DF1072">
              <w:rPr>
                <w:rFonts w:ascii="Arial" w:eastAsia="Times New Roman" w:hAnsi="Arial" w:cs="Arial"/>
                <w:color w:val="000000" w:themeColor="text1"/>
                <w:sz w:val="18"/>
                <w:szCs w:val="18"/>
                <w:lang w:eastAsia="sl-SI"/>
              </w:rPr>
              <w:t>3</w:t>
            </w:r>
          </w:p>
        </w:tc>
        <w:tc>
          <w:tcPr>
            <w:tcW w:w="1217" w:type="pct"/>
            <w:shd w:val="clear" w:color="auto" w:fill="auto"/>
            <w:vAlign w:val="center"/>
            <w:hideMark/>
          </w:tcPr>
          <w:p w14:paraId="62AA1CB2" w14:textId="77777777" w:rsidR="00DF1072" w:rsidRPr="00DF1072" w:rsidRDefault="00DF1072" w:rsidP="00DF1072">
            <w:pPr>
              <w:spacing w:after="0" w:line="240" w:lineRule="auto"/>
              <w:jc w:val="right"/>
              <w:rPr>
                <w:rFonts w:ascii="Arial" w:eastAsia="Times New Roman" w:hAnsi="Arial" w:cs="Arial"/>
                <w:color w:val="000000" w:themeColor="text1"/>
                <w:sz w:val="18"/>
                <w:szCs w:val="18"/>
                <w:lang w:eastAsia="sl-SI"/>
              </w:rPr>
            </w:pPr>
            <w:r w:rsidRPr="00DF1072">
              <w:rPr>
                <w:rFonts w:ascii="Arial" w:eastAsia="Times New Roman" w:hAnsi="Arial" w:cs="Arial"/>
                <w:color w:val="000000" w:themeColor="text1"/>
                <w:sz w:val="18"/>
                <w:szCs w:val="18"/>
                <w:lang w:eastAsia="sl-SI"/>
              </w:rPr>
              <w:t>3</w:t>
            </w:r>
          </w:p>
        </w:tc>
      </w:tr>
      <w:tr w:rsidR="00DF1072" w:rsidRPr="00DF1072" w14:paraId="3F0882C6" w14:textId="77777777" w:rsidTr="00CF664F">
        <w:trPr>
          <w:trHeight w:val="300"/>
        </w:trPr>
        <w:tc>
          <w:tcPr>
            <w:tcW w:w="710" w:type="pct"/>
            <w:vMerge/>
            <w:vAlign w:val="center"/>
            <w:hideMark/>
          </w:tcPr>
          <w:p w14:paraId="4CF71E5B" w14:textId="77777777" w:rsidR="00DF1072" w:rsidRPr="00DF1072" w:rsidRDefault="00DF1072" w:rsidP="00DF1072">
            <w:pPr>
              <w:spacing w:after="0" w:line="240" w:lineRule="auto"/>
              <w:rPr>
                <w:rFonts w:ascii="Arial" w:eastAsia="Times New Roman" w:hAnsi="Arial" w:cs="Arial"/>
                <w:color w:val="000000" w:themeColor="text1"/>
                <w:sz w:val="18"/>
                <w:szCs w:val="18"/>
                <w:lang w:eastAsia="sl-SI"/>
              </w:rPr>
            </w:pPr>
          </w:p>
        </w:tc>
        <w:tc>
          <w:tcPr>
            <w:tcW w:w="447" w:type="pct"/>
            <w:vMerge/>
            <w:vAlign w:val="center"/>
            <w:hideMark/>
          </w:tcPr>
          <w:p w14:paraId="3F546EBD" w14:textId="77777777" w:rsidR="00DF1072" w:rsidRPr="00DF1072" w:rsidRDefault="00DF1072" w:rsidP="00DF1072">
            <w:pPr>
              <w:spacing w:after="0" w:line="240" w:lineRule="auto"/>
              <w:rPr>
                <w:rFonts w:ascii="Arial" w:eastAsia="Times New Roman" w:hAnsi="Arial" w:cs="Arial"/>
                <w:color w:val="000000" w:themeColor="text1"/>
                <w:sz w:val="18"/>
                <w:szCs w:val="18"/>
                <w:lang w:eastAsia="sl-SI"/>
              </w:rPr>
            </w:pPr>
          </w:p>
        </w:tc>
        <w:tc>
          <w:tcPr>
            <w:tcW w:w="2085" w:type="pct"/>
            <w:shd w:val="clear" w:color="auto" w:fill="auto"/>
            <w:vAlign w:val="center"/>
            <w:hideMark/>
          </w:tcPr>
          <w:p w14:paraId="25290ECC" w14:textId="77777777" w:rsidR="00DF1072" w:rsidRPr="00DF1072" w:rsidRDefault="00DF1072" w:rsidP="00DF1072">
            <w:pPr>
              <w:spacing w:after="0" w:line="240" w:lineRule="auto"/>
              <w:rPr>
                <w:rFonts w:ascii="Arial" w:eastAsia="Times New Roman" w:hAnsi="Arial" w:cs="Arial"/>
                <w:color w:val="000000" w:themeColor="text1"/>
                <w:sz w:val="18"/>
                <w:szCs w:val="18"/>
                <w:lang w:eastAsia="sl-SI"/>
              </w:rPr>
            </w:pPr>
            <w:r w:rsidRPr="00DF1072">
              <w:rPr>
                <w:rFonts w:ascii="Arial" w:eastAsia="Times New Roman" w:hAnsi="Arial" w:cs="Arial"/>
                <w:color w:val="000000" w:themeColor="text1"/>
                <w:sz w:val="18"/>
                <w:szCs w:val="18"/>
                <w:lang w:eastAsia="sl-SI"/>
              </w:rPr>
              <w:t>Postopek s pogajanji brez predhodne objave</w:t>
            </w:r>
          </w:p>
        </w:tc>
        <w:tc>
          <w:tcPr>
            <w:tcW w:w="541" w:type="pct"/>
            <w:shd w:val="clear" w:color="auto" w:fill="auto"/>
            <w:vAlign w:val="center"/>
            <w:hideMark/>
          </w:tcPr>
          <w:p w14:paraId="33295C30" w14:textId="77777777" w:rsidR="00DF1072" w:rsidRPr="00DF1072" w:rsidRDefault="00DF1072" w:rsidP="00DF1072">
            <w:pPr>
              <w:spacing w:after="0" w:line="240" w:lineRule="auto"/>
              <w:jc w:val="right"/>
              <w:rPr>
                <w:rFonts w:ascii="Arial" w:eastAsia="Times New Roman" w:hAnsi="Arial" w:cs="Arial"/>
                <w:color w:val="000000" w:themeColor="text1"/>
                <w:sz w:val="18"/>
                <w:szCs w:val="18"/>
                <w:lang w:eastAsia="sl-SI"/>
              </w:rPr>
            </w:pPr>
            <w:r w:rsidRPr="00DF1072">
              <w:rPr>
                <w:rFonts w:ascii="Arial" w:eastAsia="Times New Roman" w:hAnsi="Arial" w:cs="Arial"/>
                <w:color w:val="000000" w:themeColor="text1"/>
                <w:sz w:val="18"/>
                <w:szCs w:val="18"/>
                <w:lang w:eastAsia="sl-SI"/>
              </w:rPr>
              <w:t>1</w:t>
            </w:r>
          </w:p>
        </w:tc>
        <w:tc>
          <w:tcPr>
            <w:tcW w:w="1217" w:type="pct"/>
            <w:shd w:val="clear" w:color="auto" w:fill="auto"/>
            <w:vAlign w:val="center"/>
            <w:hideMark/>
          </w:tcPr>
          <w:p w14:paraId="54C25A21" w14:textId="77777777" w:rsidR="00DF1072" w:rsidRPr="00DF1072" w:rsidRDefault="00DF1072" w:rsidP="00DF1072">
            <w:pPr>
              <w:spacing w:after="0" w:line="240" w:lineRule="auto"/>
              <w:jc w:val="right"/>
              <w:rPr>
                <w:rFonts w:ascii="Arial" w:eastAsia="Times New Roman" w:hAnsi="Arial" w:cs="Arial"/>
                <w:color w:val="000000" w:themeColor="text1"/>
                <w:sz w:val="18"/>
                <w:szCs w:val="18"/>
                <w:lang w:eastAsia="sl-SI"/>
              </w:rPr>
            </w:pPr>
            <w:r w:rsidRPr="00DF1072">
              <w:rPr>
                <w:rFonts w:ascii="Arial" w:eastAsia="Times New Roman" w:hAnsi="Arial" w:cs="Arial"/>
                <w:color w:val="000000" w:themeColor="text1"/>
                <w:sz w:val="18"/>
                <w:szCs w:val="18"/>
                <w:lang w:eastAsia="sl-SI"/>
              </w:rPr>
              <w:t>1</w:t>
            </w:r>
          </w:p>
        </w:tc>
      </w:tr>
      <w:tr w:rsidR="00DF1072" w:rsidRPr="00DF1072" w14:paraId="44611C25" w14:textId="77777777" w:rsidTr="00CF664F">
        <w:trPr>
          <w:trHeight w:val="300"/>
        </w:trPr>
        <w:tc>
          <w:tcPr>
            <w:tcW w:w="710" w:type="pct"/>
            <w:vMerge/>
            <w:vAlign w:val="center"/>
            <w:hideMark/>
          </w:tcPr>
          <w:p w14:paraId="448DB727" w14:textId="77777777" w:rsidR="00DF1072" w:rsidRPr="00DF1072" w:rsidRDefault="00DF1072" w:rsidP="00DF1072">
            <w:pPr>
              <w:spacing w:after="0" w:line="240" w:lineRule="auto"/>
              <w:rPr>
                <w:rFonts w:ascii="Arial" w:eastAsia="Times New Roman" w:hAnsi="Arial" w:cs="Arial"/>
                <w:color w:val="000000" w:themeColor="text1"/>
                <w:sz w:val="18"/>
                <w:szCs w:val="18"/>
                <w:lang w:eastAsia="sl-SI"/>
              </w:rPr>
            </w:pPr>
          </w:p>
        </w:tc>
        <w:tc>
          <w:tcPr>
            <w:tcW w:w="447" w:type="pct"/>
            <w:vMerge w:val="restart"/>
            <w:shd w:val="clear" w:color="auto" w:fill="auto"/>
            <w:vAlign w:val="center"/>
            <w:hideMark/>
          </w:tcPr>
          <w:p w14:paraId="0BB8291D" w14:textId="77777777" w:rsidR="00DF1072" w:rsidRPr="00DF1072" w:rsidRDefault="00DF1072" w:rsidP="00DF1072">
            <w:pPr>
              <w:spacing w:after="0" w:line="240" w:lineRule="auto"/>
              <w:rPr>
                <w:rFonts w:ascii="Arial" w:eastAsia="Times New Roman" w:hAnsi="Arial" w:cs="Arial"/>
                <w:color w:val="000000" w:themeColor="text1"/>
                <w:sz w:val="18"/>
                <w:szCs w:val="18"/>
                <w:lang w:eastAsia="sl-SI"/>
              </w:rPr>
            </w:pPr>
            <w:r w:rsidRPr="00DF1072">
              <w:rPr>
                <w:rFonts w:ascii="Arial" w:eastAsia="Times New Roman" w:hAnsi="Arial" w:cs="Arial"/>
                <w:color w:val="000000" w:themeColor="text1"/>
                <w:sz w:val="18"/>
                <w:szCs w:val="18"/>
                <w:lang w:eastAsia="sl-SI"/>
              </w:rPr>
              <w:t>Gradnje</w:t>
            </w:r>
          </w:p>
        </w:tc>
        <w:tc>
          <w:tcPr>
            <w:tcW w:w="2085" w:type="pct"/>
            <w:shd w:val="clear" w:color="auto" w:fill="auto"/>
            <w:vAlign w:val="center"/>
            <w:hideMark/>
          </w:tcPr>
          <w:p w14:paraId="330DFE20" w14:textId="77777777" w:rsidR="00DF1072" w:rsidRPr="00DF1072" w:rsidRDefault="00DF1072" w:rsidP="00DF1072">
            <w:pPr>
              <w:spacing w:after="0" w:line="240" w:lineRule="auto"/>
              <w:rPr>
                <w:rFonts w:ascii="Arial" w:eastAsia="Times New Roman" w:hAnsi="Arial" w:cs="Arial"/>
                <w:color w:val="000000" w:themeColor="text1"/>
                <w:sz w:val="18"/>
                <w:szCs w:val="18"/>
                <w:lang w:eastAsia="sl-SI"/>
              </w:rPr>
            </w:pPr>
            <w:r w:rsidRPr="00DF1072">
              <w:rPr>
                <w:rFonts w:ascii="Arial" w:eastAsia="Times New Roman" w:hAnsi="Arial" w:cs="Arial"/>
                <w:color w:val="000000" w:themeColor="text1"/>
                <w:sz w:val="18"/>
                <w:szCs w:val="18"/>
                <w:lang w:eastAsia="sl-SI"/>
              </w:rPr>
              <w:t>Odprti postopek</w:t>
            </w:r>
          </w:p>
        </w:tc>
        <w:tc>
          <w:tcPr>
            <w:tcW w:w="541" w:type="pct"/>
            <w:shd w:val="clear" w:color="auto" w:fill="auto"/>
            <w:vAlign w:val="center"/>
            <w:hideMark/>
          </w:tcPr>
          <w:p w14:paraId="3ADADB21" w14:textId="77777777" w:rsidR="00DF1072" w:rsidRPr="00DF1072" w:rsidRDefault="00DF1072" w:rsidP="00DF1072">
            <w:pPr>
              <w:spacing w:after="0" w:line="240" w:lineRule="auto"/>
              <w:jc w:val="right"/>
              <w:rPr>
                <w:rFonts w:ascii="Arial" w:eastAsia="Times New Roman" w:hAnsi="Arial" w:cs="Arial"/>
                <w:color w:val="000000" w:themeColor="text1"/>
                <w:sz w:val="18"/>
                <w:szCs w:val="18"/>
                <w:lang w:eastAsia="sl-SI"/>
              </w:rPr>
            </w:pPr>
            <w:r w:rsidRPr="00DF1072">
              <w:rPr>
                <w:rFonts w:ascii="Arial" w:eastAsia="Times New Roman" w:hAnsi="Arial" w:cs="Arial"/>
                <w:color w:val="000000" w:themeColor="text1"/>
                <w:sz w:val="18"/>
                <w:szCs w:val="18"/>
                <w:lang w:eastAsia="sl-SI"/>
              </w:rPr>
              <w:t>3</w:t>
            </w:r>
          </w:p>
        </w:tc>
        <w:tc>
          <w:tcPr>
            <w:tcW w:w="1217" w:type="pct"/>
            <w:shd w:val="clear" w:color="auto" w:fill="auto"/>
            <w:vAlign w:val="center"/>
            <w:hideMark/>
          </w:tcPr>
          <w:p w14:paraId="79156218" w14:textId="77777777" w:rsidR="00DF1072" w:rsidRPr="00DF1072" w:rsidRDefault="00DF1072" w:rsidP="00DF1072">
            <w:pPr>
              <w:spacing w:after="0" w:line="240" w:lineRule="auto"/>
              <w:jc w:val="right"/>
              <w:rPr>
                <w:rFonts w:ascii="Arial" w:eastAsia="Times New Roman" w:hAnsi="Arial" w:cs="Arial"/>
                <w:color w:val="000000" w:themeColor="text1"/>
                <w:sz w:val="18"/>
                <w:szCs w:val="18"/>
                <w:lang w:eastAsia="sl-SI"/>
              </w:rPr>
            </w:pPr>
            <w:r w:rsidRPr="00DF1072">
              <w:rPr>
                <w:rFonts w:ascii="Arial" w:eastAsia="Times New Roman" w:hAnsi="Arial" w:cs="Arial"/>
                <w:color w:val="000000" w:themeColor="text1"/>
                <w:sz w:val="18"/>
                <w:szCs w:val="18"/>
                <w:lang w:eastAsia="sl-SI"/>
              </w:rPr>
              <w:t>3</w:t>
            </w:r>
          </w:p>
        </w:tc>
      </w:tr>
      <w:tr w:rsidR="00DF1072" w:rsidRPr="00DF1072" w14:paraId="65553F22" w14:textId="77777777" w:rsidTr="00CF664F">
        <w:trPr>
          <w:trHeight w:val="300"/>
        </w:trPr>
        <w:tc>
          <w:tcPr>
            <w:tcW w:w="710" w:type="pct"/>
            <w:vMerge/>
            <w:vAlign w:val="center"/>
            <w:hideMark/>
          </w:tcPr>
          <w:p w14:paraId="5C8180CB" w14:textId="77777777" w:rsidR="00DF1072" w:rsidRPr="00DF1072" w:rsidRDefault="00DF1072" w:rsidP="00DF1072">
            <w:pPr>
              <w:spacing w:after="0" w:line="240" w:lineRule="auto"/>
              <w:rPr>
                <w:rFonts w:ascii="Arial" w:eastAsia="Times New Roman" w:hAnsi="Arial" w:cs="Arial"/>
                <w:color w:val="000000" w:themeColor="text1"/>
                <w:sz w:val="18"/>
                <w:szCs w:val="18"/>
                <w:lang w:eastAsia="sl-SI"/>
              </w:rPr>
            </w:pPr>
          </w:p>
        </w:tc>
        <w:tc>
          <w:tcPr>
            <w:tcW w:w="447" w:type="pct"/>
            <w:vMerge/>
            <w:vAlign w:val="center"/>
            <w:hideMark/>
          </w:tcPr>
          <w:p w14:paraId="6F36E547" w14:textId="77777777" w:rsidR="00DF1072" w:rsidRPr="00DF1072" w:rsidRDefault="00DF1072" w:rsidP="00DF1072">
            <w:pPr>
              <w:spacing w:after="0" w:line="240" w:lineRule="auto"/>
              <w:rPr>
                <w:rFonts w:ascii="Arial" w:eastAsia="Times New Roman" w:hAnsi="Arial" w:cs="Arial"/>
                <w:color w:val="000000" w:themeColor="text1"/>
                <w:sz w:val="18"/>
                <w:szCs w:val="18"/>
                <w:lang w:eastAsia="sl-SI"/>
              </w:rPr>
            </w:pPr>
          </w:p>
        </w:tc>
        <w:tc>
          <w:tcPr>
            <w:tcW w:w="2085" w:type="pct"/>
            <w:shd w:val="clear" w:color="auto" w:fill="auto"/>
            <w:vAlign w:val="center"/>
            <w:hideMark/>
          </w:tcPr>
          <w:p w14:paraId="2806C676" w14:textId="77777777" w:rsidR="00DF1072" w:rsidRPr="00DF1072" w:rsidRDefault="00DF1072" w:rsidP="00DF1072">
            <w:pPr>
              <w:spacing w:after="0" w:line="240" w:lineRule="auto"/>
              <w:rPr>
                <w:rFonts w:ascii="Arial" w:eastAsia="Times New Roman" w:hAnsi="Arial" w:cs="Arial"/>
                <w:color w:val="000000" w:themeColor="text1"/>
                <w:sz w:val="18"/>
                <w:szCs w:val="18"/>
                <w:lang w:eastAsia="sl-SI"/>
              </w:rPr>
            </w:pPr>
            <w:r w:rsidRPr="00DF1072">
              <w:rPr>
                <w:rFonts w:ascii="Arial" w:eastAsia="Times New Roman" w:hAnsi="Arial" w:cs="Arial"/>
                <w:color w:val="000000" w:themeColor="text1"/>
                <w:sz w:val="18"/>
                <w:szCs w:val="18"/>
                <w:lang w:eastAsia="sl-SI"/>
              </w:rPr>
              <w:t>Postopek naročila male vrednosti</w:t>
            </w:r>
          </w:p>
        </w:tc>
        <w:tc>
          <w:tcPr>
            <w:tcW w:w="541" w:type="pct"/>
            <w:shd w:val="clear" w:color="auto" w:fill="auto"/>
            <w:vAlign w:val="center"/>
            <w:hideMark/>
          </w:tcPr>
          <w:p w14:paraId="26F86579" w14:textId="77777777" w:rsidR="00DF1072" w:rsidRPr="00DF1072" w:rsidRDefault="00DF1072" w:rsidP="00DF1072">
            <w:pPr>
              <w:spacing w:after="0" w:line="240" w:lineRule="auto"/>
              <w:jc w:val="right"/>
              <w:rPr>
                <w:rFonts w:ascii="Arial" w:eastAsia="Times New Roman" w:hAnsi="Arial" w:cs="Arial"/>
                <w:color w:val="000000" w:themeColor="text1"/>
                <w:sz w:val="18"/>
                <w:szCs w:val="18"/>
                <w:lang w:eastAsia="sl-SI"/>
              </w:rPr>
            </w:pPr>
            <w:r w:rsidRPr="00DF1072">
              <w:rPr>
                <w:rFonts w:ascii="Arial" w:eastAsia="Times New Roman" w:hAnsi="Arial" w:cs="Arial"/>
                <w:color w:val="000000" w:themeColor="text1"/>
                <w:sz w:val="18"/>
                <w:szCs w:val="18"/>
                <w:lang w:eastAsia="sl-SI"/>
              </w:rPr>
              <w:t>4</w:t>
            </w:r>
          </w:p>
        </w:tc>
        <w:tc>
          <w:tcPr>
            <w:tcW w:w="1217" w:type="pct"/>
            <w:shd w:val="clear" w:color="auto" w:fill="auto"/>
            <w:vAlign w:val="center"/>
            <w:hideMark/>
          </w:tcPr>
          <w:p w14:paraId="2259AD2C" w14:textId="77777777" w:rsidR="00DF1072" w:rsidRPr="00DF1072" w:rsidRDefault="00DF1072" w:rsidP="00DF1072">
            <w:pPr>
              <w:spacing w:after="0" w:line="240" w:lineRule="auto"/>
              <w:jc w:val="right"/>
              <w:rPr>
                <w:rFonts w:ascii="Arial" w:eastAsia="Times New Roman" w:hAnsi="Arial" w:cs="Arial"/>
                <w:color w:val="000000" w:themeColor="text1"/>
                <w:sz w:val="18"/>
                <w:szCs w:val="18"/>
                <w:lang w:eastAsia="sl-SI"/>
              </w:rPr>
            </w:pPr>
            <w:r w:rsidRPr="00DF1072">
              <w:rPr>
                <w:rFonts w:ascii="Arial" w:eastAsia="Times New Roman" w:hAnsi="Arial" w:cs="Arial"/>
                <w:color w:val="000000" w:themeColor="text1"/>
                <w:sz w:val="18"/>
                <w:szCs w:val="18"/>
                <w:lang w:eastAsia="sl-SI"/>
              </w:rPr>
              <w:t>11</w:t>
            </w:r>
          </w:p>
        </w:tc>
      </w:tr>
      <w:tr w:rsidR="00DF1072" w:rsidRPr="00DF1072" w14:paraId="60ECBA41" w14:textId="77777777" w:rsidTr="00CF664F">
        <w:trPr>
          <w:trHeight w:val="300"/>
        </w:trPr>
        <w:tc>
          <w:tcPr>
            <w:tcW w:w="710" w:type="pct"/>
            <w:vMerge w:val="restart"/>
            <w:shd w:val="clear" w:color="auto" w:fill="auto"/>
            <w:vAlign w:val="center"/>
            <w:hideMark/>
          </w:tcPr>
          <w:p w14:paraId="1263E681" w14:textId="59378F81" w:rsidR="00DF1072" w:rsidRPr="00DF1072" w:rsidRDefault="00DF1072" w:rsidP="00DF1072">
            <w:pPr>
              <w:spacing w:after="0" w:line="240" w:lineRule="auto"/>
              <w:rPr>
                <w:rFonts w:ascii="Arial" w:eastAsia="Times New Roman" w:hAnsi="Arial" w:cs="Arial"/>
                <w:color w:val="000000" w:themeColor="text1"/>
                <w:sz w:val="18"/>
                <w:szCs w:val="18"/>
                <w:lang w:eastAsia="sl-SI"/>
              </w:rPr>
            </w:pPr>
            <w:r w:rsidRPr="00DF1072">
              <w:rPr>
                <w:rFonts w:ascii="Arial" w:eastAsia="Times New Roman" w:hAnsi="Arial" w:cs="Arial"/>
                <w:color w:val="000000" w:themeColor="text1"/>
                <w:sz w:val="18"/>
                <w:szCs w:val="18"/>
                <w:lang w:eastAsia="sl-SI"/>
              </w:rPr>
              <w:t>Infrastruktur</w:t>
            </w:r>
            <w:r w:rsidR="00A22784">
              <w:rPr>
                <w:rFonts w:ascii="Arial" w:eastAsia="Times New Roman" w:hAnsi="Arial" w:cs="Arial"/>
                <w:color w:val="000000" w:themeColor="text1"/>
                <w:sz w:val="18"/>
                <w:szCs w:val="18"/>
                <w:lang w:eastAsia="sl-SI"/>
              </w:rPr>
              <w:t>a</w:t>
            </w:r>
          </w:p>
        </w:tc>
        <w:tc>
          <w:tcPr>
            <w:tcW w:w="447" w:type="pct"/>
            <w:vMerge w:val="restart"/>
            <w:shd w:val="clear" w:color="auto" w:fill="auto"/>
            <w:vAlign w:val="center"/>
            <w:hideMark/>
          </w:tcPr>
          <w:p w14:paraId="1D8E8C9A" w14:textId="77777777" w:rsidR="00DF1072" w:rsidRPr="00DF1072" w:rsidRDefault="00DF1072" w:rsidP="00DF1072">
            <w:pPr>
              <w:spacing w:after="0" w:line="240" w:lineRule="auto"/>
              <w:rPr>
                <w:rFonts w:ascii="Arial" w:eastAsia="Times New Roman" w:hAnsi="Arial" w:cs="Arial"/>
                <w:color w:val="000000" w:themeColor="text1"/>
                <w:sz w:val="18"/>
                <w:szCs w:val="18"/>
                <w:lang w:eastAsia="sl-SI"/>
              </w:rPr>
            </w:pPr>
            <w:r w:rsidRPr="00DF1072">
              <w:rPr>
                <w:rFonts w:ascii="Arial" w:eastAsia="Times New Roman" w:hAnsi="Arial" w:cs="Arial"/>
                <w:color w:val="000000" w:themeColor="text1"/>
                <w:sz w:val="18"/>
                <w:szCs w:val="18"/>
                <w:lang w:eastAsia="sl-SI"/>
              </w:rPr>
              <w:t>Blago</w:t>
            </w:r>
          </w:p>
        </w:tc>
        <w:tc>
          <w:tcPr>
            <w:tcW w:w="2085" w:type="pct"/>
            <w:shd w:val="clear" w:color="auto" w:fill="auto"/>
            <w:vAlign w:val="center"/>
            <w:hideMark/>
          </w:tcPr>
          <w:p w14:paraId="00B4AA18" w14:textId="77777777" w:rsidR="00DF1072" w:rsidRPr="00DF1072" w:rsidRDefault="00DF1072" w:rsidP="00DF1072">
            <w:pPr>
              <w:spacing w:after="0" w:line="240" w:lineRule="auto"/>
              <w:rPr>
                <w:rFonts w:ascii="Arial" w:eastAsia="Times New Roman" w:hAnsi="Arial" w:cs="Arial"/>
                <w:color w:val="000000" w:themeColor="text1"/>
                <w:sz w:val="18"/>
                <w:szCs w:val="18"/>
                <w:lang w:eastAsia="sl-SI"/>
              </w:rPr>
            </w:pPr>
            <w:r w:rsidRPr="00DF1072">
              <w:rPr>
                <w:rFonts w:ascii="Arial" w:eastAsia="Times New Roman" w:hAnsi="Arial" w:cs="Arial"/>
                <w:color w:val="000000" w:themeColor="text1"/>
                <w:sz w:val="18"/>
                <w:szCs w:val="18"/>
                <w:lang w:eastAsia="sl-SI"/>
              </w:rPr>
              <w:t>Odprti postopek</w:t>
            </w:r>
          </w:p>
        </w:tc>
        <w:tc>
          <w:tcPr>
            <w:tcW w:w="541" w:type="pct"/>
            <w:shd w:val="clear" w:color="auto" w:fill="auto"/>
            <w:vAlign w:val="center"/>
            <w:hideMark/>
          </w:tcPr>
          <w:p w14:paraId="2DEE0C66" w14:textId="77777777" w:rsidR="00DF1072" w:rsidRPr="00DF1072" w:rsidRDefault="00DF1072" w:rsidP="00DF1072">
            <w:pPr>
              <w:spacing w:after="0" w:line="240" w:lineRule="auto"/>
              <w:jc w:val="right"/>
              <w:rPr>
                <w:rFonts w:ascii="Arial" w:eastAsia="Times New Roman" w:hAnsi="Arial" w:cs="Arial"/>
                <w:color w:val="000000" w:themeColor="text1"/>
                <w:sz w:val="18"/>
                <w:szCs w:val="18"/>
                <w:lang w:eastAsia="sl-SI"/>
              </w:rPr>
            </w:pPr>
            <w:r w:rsidRPr="00DF1072">
              <w:rPr>
                <w:rFonts w:ascii="Arial" w:eastAsia="Times New Roman" w:hAnsi="Arial" w:cs="Arial"/>
                <w:color w:val="000000" w:themeColor="text1"/>
                <w:sz w:val="18"/>
                <w:szCs w:val="18"/>
                <w:lang w:eastAsia="sl-SI"/>
              </w:rPr>
              <w:t>1</w:t>
            </w:r>
          </w:p>
        </w:tc>
        <w:tc>
          <w:tcPr>
            <w:tcW w:w="1217" w:type="pct"/>
            <w:shd w:val="clear" w:color="auto" w:fill="auto"/>
            <w:vAlign w:val="center"/>
            <w:hideMark/>
          </w:tcPr>
          <w:p w14:paraId="205E68F1" w14:textId="77777777" w:rsidR="00DF1072" w:rsidRPr="00DF1072" w:rsidRDefault="00DF1072" w:rsidP="00DF1072">
            <w:pPr>
              <w:spacing w:after="0" w:line="240" w:lineRule="auto"/>
              <w:jc w:val="right"/>
              <w:rPr>
                <w:rFonts w:ascii="Arial" w:eastAsia="Times New Roman" w:hAnsi="Arial" w:cs="Arial"/>
                <w:color w:val="000000" w:themeColor="text1"/>
                <w:sz w:val="18"/>
                <w:szCs w:val="18"/>
                <w:lang w:eastAsia="sl-SI"/>
              </w:rPr>
            </w:pPr>
            <w:r w:rsidRPr="00DF1072">
              <w:rPr>
                <w:rFonts w:ascii="Arial" w:eastAsia="Times New Roman" w:hAnsi="Arial" w:cs="Arial"/>
                <w:color w:val="000000" w:themeColor="text1"/>
                <w:sz w:val="18"/>
                <w:szCs w:val="18"/>
                <w:lang w:eastAsia="sl-SI"/>
              </w:rPr>
              <w:t>1</w:t>
            </w:r>
          </w:p>
        </w:tc>
      </w:tr>
      <w:tr w:rsidR="00DF1072" w:rsidRPr="00DF1072" w14:paraId="19526C83" w14:textId="77777777" w:rsidTr="00CF664F">
        <w:trPr>
          <w:trHeight w:val="300"/>
        </w:trPr>
        <w:tc>
          <w:tcPr>
            <w:tcW w:w="710" w:type="pct"/>
            <w:vMerge/>
            <w:vAlign w:val="center"/>
            <w:hideMark/>
          </w:tcPr>
          <w:p w14:paraId="74B249DB" w14:textId="77777777" w:rsidR="00DF1072" w:rsidRPr="00DF1072" w:rsidRDefault="00DF1072" w:rsidP="00DF1072">
            <w:pPr>
              <w:spacing w:after="0" w:line="240" w:lineRule="auto"/>
              <w:rPr>
                <w:rFonts w:ascii="Arial" w:eastAsia="Times New Roman" w:hAnsi="Arial" w:cs="Arial"/>
                <w:color w:val="000000" w:themeColor="text1"/>
                <w:sz w:val="18"/>
                <w:szCs w:val="18"/>
                <w:lang w:eastAsia="sl-SI"/>
              </w:rPr>
            </w:pPr>
          </w:p>
        </w:tc>
        <w:tc>
          <w:tcPr>
            <w:tcW w:w="447" w:type="pct"/>
            <w:vMerge/>
            <w:vAlign w:val="center"/>
            <w:hideMark/>
          </w:tcPr>
          <w:p w14:paraId="76C850D7" w14:textId="77777777" w:rsidR="00DF1072" w:rsidRPr="00DF1072" w:rsidRDefault="00DF1072" w:rsidP="00DF1072">
            <w:pPr>
              <w:spacing w:after="0" w:line="240" w:lineRule="auto"/>
              <w:rPr>
                <w:rFonts w:ascii="Arial" w:eastAsia="Times New Roman" w:hAnsi="Arial" w:cs="Arial"/>
                <w:color w:val="000000" w:themeColor="text1"/>
                <w:sz w:val="18"/>
                <w:szCs w:val="18"/>
                <w:lang w:eastAsia="sl-SI"/>
              </w:rPr>
            </w:pPr>
          </w:p>
        </w:tc>
        <w:tc>
          <w:tcPr>
            <w:tcW w:w="2085" w:type="pct"/>
            <w:shd w:val="clear" w:color="auto" w:fill="auto"/>
            <w:vAlign w:val="center"/>
            <w:hideMark/>
          </w:tcPr>
          <w:p w14:paraId="7DD232BA" w14:textId="77777777" w:rsidR="00DF1072" w:rsidRPr="00DF1072" w:rsidRDefault="00DF1072" w:rsidP="00DF1072">
            <w:pPr>
              <w:spacing w:after="0" w:line="240" w:lineRule="auto"/>
              <w:rPr>
                <w:rFonts w:ascii="Arial" w:eastAsia="Times New Roman" w:hAnsi="Arial" w:cs="Arial"/>
                <w:color w:val="000000" w:themeColor="text1"/>
                <w:sz w:val="18"/>
                <w:szCs w:val="18"/>
                <w:lang w:eastAsia="sl-SI"/>
              </w:rPr>
            </w:pPr>
            <w:r w:rsidRPr="00DF1072">
              <w:rPr>
                <w:rFonts w:ascii="Arial" w:eastAsia="Times New Roman" w:hAnsi="Arial" w:cs="Arial"/>
                <w:color w:val="000000" w:themeColor="text1"/>
                <w:sz w:val="18"/>
                <w:szCs w:val="18"/>
                <w:lang w:eastAsia="sl-SI"/>
              </w:rPr>
              <w:t>Postopek naročila male vrednosti</w:t>
            </w:r>
          </w:p>
        </w:tc>
        <w:tc>
          <w:tcPr>
            <w:tcW w:w="541" w:type="pct"/>
            <w:shd w:val="clear" w:color="auto" w:fill="auto"/>
            <w:vAlign w:val="center"/>
            <w:hideMark/>
          </w:tcPr>
          <w:p w14:paraId="03F0F5B2" w14:textId="77777777" w:rsidR="00DF1072" w:rsidRPr="00DF1072" w:rsidRDefault="00DF1072" w:rsidP="00DF1072">
            <w:pPr>
              <w:spacing w:after="0" w:line="240" w:lineRule="auto"/>
              <w:jc w:val="right"/>
              <w:rPr>
                <w:rFonts w:ascii="Arial" w:eastAsia="Times New Roman" w:hAnsi="Arial" w:cs="Arial"/>
                <w:color w:val="000000" w:themeColor="text1"/>
                <w:sz w:val="18"/>
                <w:szCs w:val="18"/>
                <w:lang w:eastAsia="sl-SI"/>
              </w:rPr>
            </w:pPr>
            <w:r w:rsidRPr="00DF1072">
              <w:rPr>
                <w:rFonts w:ascii="Arial" w:eastAsia="Times New Roman" w:hAnsi="Arial" w:cs="Arial"/>
                <w:color w:val="000000" w:themeColor="text1"/>
                <w:sz w:val="18"/>
                <w:szCs w:val="18"/>
                <w:lang w:eastAsia="sl-SI"/>
              </w:rPr>
              <w:t>3</w:t>
            </w:r>
          </w:p>
        </w:tc>
        <w:tc>
          <w:tcPr>
            <w:tcW w:w="1217" w:type="pct"/>
            <w:shd w:val="clear" w:color="auto" w:fill="auto"/>
            <w:vAlign w:val="center"/>
            <w:hideMark/>
          </w:tcPr>
          <w:p w14:paraId="4E0E6556" w14:textId="77777777" w:rsidR="00DF1072" w:rsidRPr="00DF1072" w:rsidRDefault="00DF1072" w:rsidP="00DF1072">
            <w:pPr>
              <w:spacing w:after="0" w:line="240" w:lineRule="auto"/>
              <w:jc w:val="right"/>
              <w:rPr>
                <w:rFonts w:ascii="Arial" w:eastAsia="Times New Roman" w:hAnsi="Arial" w:cs="Arial"/>
                <w:color w:val="000000" w:themeColor="text1"/>
                <w:sz w:val="18"/>
                <w:szCs w:val="18"/>
                <w:lang w:eastAsia="sl-SI"/>
              </w:rPr>
            </w:pPr>
            <w:r w:rsidRPr="00DF1072">
              <w:rPr>
                <w:rFonts w:ascii="Arial" w:eastAsia="Times New Roman" w:hAnsi="Arial" w:cs="Arial"/>
                <w:color w:val="000000" w:themeColor="text1"/>
                <w:sz w:val="18"/>
                <w:szCs w:val="18"/>
                <w:lang w:eastAsia="sl-SI"/>
              </w:rPr>
              <w:t>5</w:t>
            </w:r>
          </w:p>
        </w:tc>
      </w:tr>
      <w:tr w:rsidR="00DF1072" w:rsidRPr="00DF1072" w14:paraId="7286150D" w14:textId="77777777" w:rsidTr="00CF664F">
        <w:trPr>
          <w:trHeight w:val="300"/>
        </w:trPr>
        <w:tc>
          <w:tcPr>
            <w:tcW w:w="710" w:type="pct"/>
            <w:vMerge/>
            <w:vAlign w:val="center"/>
            <w:hideMark/>
          </w:tcPr>
          <w:p w14:paraId="0A199005" w14:textId="77777777" w:rsidR="00DF1072" w:rsidRPr="00DF1072" w:rsidRDefault="00DF1072" w:rsidP="00DF1072">
            <w:pPr>
              <w:spacing w:after="0" w:line="240" w:lineRule="auto"/>
              <w:rPr>
                <w:rFonts w:ascii="Arial" w:eastAsia="Times New Roman" w:hAnsi="Arial" w:cs="Arial"/>
                <w:color w:val="000000" w:themeColor="text1"/>
                <w:sz w:val="18"/>
                <w:szCs w:val="18"/>
                <w:lang w:eastAsia="sl-SI"/>
              </w:rPr>
            </w:pPr>
          </w:p>
        </w:tc>
        <w:tc>
          <w:tcPr>
            <w:tcW w:w="447" w:type="pct"/>
            <w:vMerge w:val="restart"/>
            <w:shd w:val="clear" w:color="auto" w:fill="auto"/>
            <w:vAlign w:val="center"/>
            <w:hideMark/>
          </w:tcPr>
          <w:p w14:paraId="11B6CCA9" w14:textId="77777777" w:rsidR="00DF1072" w:rsidRPr="00DF1072" w:rsidRDefault="00DF1072" w:rsidP="00DF1072">
            <w:pPr>
              <w:spacing w:after="0" w:line="240" w:lineRule="auto"/>
              <w:rPr>
                <w:rFonts w:ascii="Arial" w:eastAsia="Times New Roman" w:hAnsi="Arial" w:cs="Arial"/>
                <w:color w:val="000000" w:themeColor="text1"/>
                <w:sz w:val="18"/>
                <w:szCs w:val="18"/>
                <w:lang w:eastAsia="sl-SI"/>
              </w:rPr>
            </w:pPr>
            <w:r w:rsidRPr="00DF1072">
              <w:rPr>
                <w:rFonts w:ascii="Arial" w:eastAsia="Times New Roman" w:hAnsi="Arial" w:cs="Arial"/>
                <w:color w:val="000000" w:themeColor="text1"/>
                <w:sz w:val="18"/>
                <w:szCs w:val="18"/>
                <w:lang w:eastAsia="sl-SI"/>
              </w:rPr>
              <w:t>Storitve</w:t>
            </w:r>
          </w:p>
        </w:tc>
        <w:tc>
          <w:tcPr>
            <w:tcW w:w="2085" w:type="pct"/>
            <w:shd w:val="clear" w:color="auto" w:fill="auto"/>
            <w:vAlign w:val="center"/>
            <w:hideMark/>
          </w:tcPr>
          <w:p w14:paraId="2CD635C1" w14:textId="77777777" w:rsidR="00DF1072" w:rsidRPr="00DF1072" w:rsidRDefault="00DF1072" w:rsidP="00DF1072">
            <w:pPr>
              <w:spacing w:after="0" w:line="240" w:lineRule="auto"/>
              <w:rPr>
                <w:rFonts w:ascii="Arial" w:eastAsia="Times New Roman" w:hAnsi="Arial" w:cs="Arial"/>
                <w:color w:val="000000" w:themeColor="text1"/>
                <w:sz w:val="18"/>
                <w:szCs w:val="18"/>
                <w:lang w:eastAsia="sl-SI"/>
              </w:rPr>
            </w:pPr>
            <w:r w:rsidRPr="00DF1072">
              <w:rPr>
                <w:rFonts w:ascii="Arial" w:eastAsia="Times New Roman" w:hAnsi="Arial" w:cs="Arial"/>
                <w:color w:val="000000" w:themeColor="text1"/>
                <w:sz w:val="18"/>
                <w:szCs w:val="18"/>
                <w:lang w:eastAsia="sl-SI"/>
              </w:rPr>
              <w:t>Postopek naročila male vrednosti</w:t>
            </w:r>
          </w:p>
        </w:tc>
        <w:tc>
          <w:tcPr>
            <w:tcW w:w="541" w:type="pct"/>
            <w:shd w:val="clear" w:color="auto" w:fill="auto"/>
            <w:vAlign w:val="center"/>
            <w:hideMark/>
          </w:tcPr>
          <w:p w14:paraId="30D8F618" w14:textId="77777777" w:rsidR="00DF1072" w:rsidRPr="00DF1072" w:rsidRDefault="00DF1072" w:rsidP="00DF1072">
            <w:pPr>
              <w:spacing w:after="0" w:line="240" w:lineRule="auto"/>
              <w:jc w:val="right"/>
              <w:rPr>
                <w:rFonts w:ascii="Arial" w:eastAsia="Times New Roman" w:hAnsi="Arial" w:cs="Arial"/>
                <w:color w:val="000000" w:themeColor="text1"/>
                <w:sz w:val="18"/>
                <w:szCs w:val="18"/>
                <w:lang w:eastAsia="sl-SI"/>
              </w:rPr>
            </w:pPr>
            <w:r w:rsidRPr="00DF1072">
              <w:rPr>
                <w:rFonts w:ascii="Arial" w:eastAsia="Times New Roman" w:hAnsi="Arial" w:cs="Arial"/>
                <w:color w:val="000000" w:themeColor="text1"/>
                <w:sz w:val="18"/>
                <w:szCs w:val="18"/>
                <w:lang w:eastAsia="sl-SI"/>
              </w:rPr>
              <w:t>4</w:t>
            </w:r>
          </w:p>
        </w:tc>
        <w:tc>
          <w:tcPr>
            <w:tcW w:w="1217" w:type="pct"/>
            <w:shd w:val="clear" w:color="auto" w:fill="auto"/>
            <w:vAlign w:val="center"/>
            <w:hideMark/>
          </w:tcPr>
          <w:p w14:paraId="0E65CD6A" w14:textId="77777777" w:rsidR="00DF1072" w:rsidRPr="00DF1072" w:rsidRDefault="00DF1072" w:rsidP="00DF1072">
            <w:pPr>
              <w:spacing w:after="0" w:line="240" w:lineRule="auto"/>
              <w:jc w:val="right"/>
              <w:rPr>
                <w:rFonts w:ascii="Arial" w:eastAsia="Times New Roman" w:hAnsi="Arial" w:cs="Arial"/>
                <w:color w:val="000000" w:themeColor="text1"/>
                <w:sz w:val="18"/>
                <w:szCs w:val="18"/>
                <w:lang w:eastAsia="sl-SI"/>
              </w:rPr>
            </w:pPr>
            <w:r w:rsidRPr="00DF1072">
              <w:rPr>
                <w:rFonts w:ascii="Arial" w:eastAsia="Times New Roman" w:hAnsi="Arial" w:cs="Arial"/>
                <w:color w:val="000000" w:themeColor="text1"/>
                <w:sz w:val="18"/>
                <w:szCs w:val="18"/>
                <w:lang w:eastAsia="sl-SI"/>
              </w:rPr>
              <w:t>4</w:t>
            </w:r>
          </w:p>
        </w:tc>
      </w:tr>
      <w:tr w:rsidR="00DF1072" w:rsidRPr="00DF1072" w14:paraId="5834E2BC" w14:textId="77777777" w:rsidTr="00CF664F">
        <w:trPr>
          <w:trHeight w:val="300"/>
        </w:trPr>
        <w:tc>
          <w:tcPr>
            <w:tcW w:w="710" w:type="pct"/>
            <w:vMerge/>
            <w:vAlign w:val="center"/>
            <w:hideMark/>
          </w:tcPr>
          <w:p w14:paraId="1CE280BF" w14:textId="77777777" w:rsidR="00DF1072" w:rsidRPr="00DF1072" w:rsidRDefault="00DF1072" w:rsidP="00DF1072">
            <w:pPr>
              <w:spacing w:after="0" w:line="240" w:lineRule="auto"/>
              <w:rPr>
                <w:rFonts w:ascii="Arial" w:eastAsia="Times New Roman" w:hAnsi="Arial" w:cs="Arial"/>
                <w:color w:val="000000" w:themeColor="text1"/>
                <w:sz w:val="18"/>
                <w:szCs w:val="18"/>
                <w:lang w:eastAsia="sl-SI"/>
              </w:rPr>
            </w:pPr>
          </w:p>
        </w:tc>
        <w:tc>
          <w:tcPr>
            <w:tcW w:w="447" w:type="pct"/>
            <w:vMerge/>
            <w:vAlign w:val="center"/>
            <w:hideMark/>
          </w:tcPr>
          <w:p w14:paraId="3871DDF4" w14:textId="77777777" w:rsidR="00DF1072" w:rsidRPr="00DF1072" w:rsidRDefault="00DF1072" w:rsidP="00DF1072">
            <w:pPr>
              <w:spacing w:after="0" w:line="240" w:lineRule="auto"/>
              <w:rPr>
                <w:rFonts w:ascii="Arial" w:eastAsia="Times New Roman" w:hAnsi="Arial" w:cs="Arial"/>
                <w:color w:val="000000" w:themeColor="text1"/>
                <w:sz w:val="18"/>
                <w:szCs w:val="18"/>
                <w:lang w:eastAsia="sl-SI"/>
              </w:rPr>
            </w:pPr>
          </w:p>
        </w:tc>
        <w:tc>
          <w:tcPr>
            <w:tcW w:w="2085" w:type="pct"/>
            <w:shd w:val="clear" w:color="auto" w:fill="auto"/>
            <w:vAlign w:val="center"/>
            <w:hideMark/>
          </w:tcPr>
          <w:p w14:paraId="035CA6D2" w14:textId="77777777" w:rsidR="00DF1072" w:rsidRPr="00DF1072" w:rsidRDefault="00DF1072" w:rsidP="00DF1072">
            <w:pPr>
              <w:spacing w:after="0" w:line="240" w:lineRule="auto"/>
              <w:rPr>
                <w:rFonts w:ascii="Arial" w:eastAsia="Times New Roman" w:hAnsi="Arial" w:cs="Arial"/>
                <w:color w:val="000000" w:themeColor="text1"/>
                <w:sz w:val="18"/>
                <w:szCs w:val="18"/>
                <w:lang w:eastAsia="sl-SI"/>
              </w:rPr>
            </w:pPr>
            <w:r w:rsidRPr="00DF1072">
              <w:rPr>
                <w:rFonts w:ascii="Arial" w:eastAsia="Times New Roman" w:hAnsi="Arial" w:cs="Arial"/>
                <w:color w:val="000000" w:themeColor="text1"/>
                <w:sz w:val="18"/>
                <w:szCs w:val="18"/>
                <w:lang w:eastAsia="sl-SI"/>
              </w:rPr>
              <w:t>Postopek s pogajanji po predhodni objavi</w:t>
            </w:r>
          </w:p>
        </w:tc>
        <w:tc>
          <w:tcPr>
            <w:tcW w:w="541" w:type="pct"/>
            <w:shd w:val="clear" w:color="auto" w:fill="auto"/>
            <w:vAlign w:val="center"/>
            <w:hideMark/>
          </w:tcPr>
          <w:p w14:paraId="14787D37" w14:textId="77777777" w:rsidR="00DF1072" w:rsidRPr="00DF1072" w:rsidRDefault="00DF1072" w:rsidP="00DF1072">
            <w:pPr>
              <w:spacing w:after="0" w:line="240" w:lineRule="auto"/>
              <w:jc w:val="right"/>
              <w:rPr>
                <w:rFonts w:ascii="Arial" w:eastAsia="Times New Roman" w:hAnsi="Arial" w:cs="Arial"/>
                <w:color w:val="000000" w:themeColor="text1"/>
                <w:sz w:val="18"/>
                <w:szCs w:val="18"/>
                <w:lang w:eastAsia="sl-SI"/>
              </w:rPr>
            </w:pPr>
            <w:r w:rsidRPr="00DF1072">
              <w:rPr>
                <w:rFonts w:ascii="Arial" w:eastAsia="Times New Roman" w:hAnsi="Arial" w:cs="Arial"/>
                <w:color w:val="000000" w:themeColor="text1"/>
                <w:sz w:val="18"/>
                <w:szCs w:val="18"/>
                <w:lang w:eastAsia="sl-SI"/>
              </w:rPr>
              <w:t>1</w:t>
            </w:r>
          </w:p>
        </w:tc>
        <w:tc>
          <w:tcPr>
            <w:tcW w:w="1217" w:type="pct"/>
            <w:shd w:val="clear" w:color="auto" w:fill="auto"/>
            <w:vAlign w:val="center"/>
            <w:hideMark/>
          </w:tcPr>
          <w:p w14:paraId="6D685FEC" w14:textId="77777777" w:rsidR="00DF1072" w:rsidRPr="00DF1072" w:rsidRDefault="00DF1072" w:rsidP="00DF1072">
            <w:pPr>
              <w:spacing w:after="0" w:line="240" w:lineRule="auto"/>
              <w:jc w:val="right"/>
              <w:rPr>
                <w:rFonts w:ascii="Arial" w:eastAsia="Times New Roman" w:hAnsi="Arial" w:cs="Arial"/>
                <w:color w:val="000000" w:themeColor="text1"/>
                <w:sz w:val="18"/>
                <w:szCs w:val="18"/>
                <w:lang w:eastAsia="sl-SI"/>
              </w:rPr>
            </w:pPr>
            <w:r w:rsidRPr="00DF1072">
              <w:rPr>
                <w:rFonts w:ascii="Arial" w:eastAsia="Times New Roman" w:hAnsi="Arial" w:cs="Arial"/>
                <w:color w:val="000000" w:themeColor="text1"/>
                <w:sz w:val="18"/>
                <w:szCs w:val="18"/>
                <w:lang w:eastAsia="sl-SI"/>
              </w:rPr>
              <w:t>1</w:t>
            </w:r>
          </w:p>
        </w:tc>
      </w:tr>
    </w:tbl>
    <w:p w14:paraId="64C87AB0" w14:textId="237D99F3" w:rsidR="00FD0DD3" w:rsidRPr="00DF1072" w:rsidRDefault="00FD0DD3" w:rsidP="004A613D">
      <w:pPr>
        <w:spacing w:after="0" w:line="240" w:lineRule="auto"/>
        <w:jc w:val="center"/>
        <w:rPr>
          <w:rFonts w:ascii="Arial" w:hAnsi="Arial" w:cs="Arial"/>
          <w:sz w:val="18"/>
        </w:rPr>
      </w:pPr>
    </w:p>
    <w:p w14:paraId="5615E034" w14:textId="69CA9B2F" w:rsidR="00B37E65" w:rsidRPr="00DF1072" w:rsidRDefault="00B37E65" w:rsidP="004A613D">
      <w:pPr>
        <w:spacing w:after="0" w:line="240" w:lineRule="auto"/>
        <w:jc w:val="center"/>
        <w:rPr>
          <w:rFonts w:ascii="Arial" w:hAnsi="Arial" w:cs="Arial"/>
          <w:sz w:val="18"/>
        </w:rPr>
      </w:pPr>
      <w:r w:rsidRPr="00DF1072">
        <w:rPr>
          <w:rFonts w:ascii="Arial" w:hAnsi="Arial" w:cs="Arial"/>
          <w:sz w:val="18"/>
        </w:rPr>
        <w:t>Vir: Statistični podatki o javni</w:t>
      </w:r>
      <w:r w:rsidR="00612CAA" w:rsidRPr="00DF1072">
        <w:rPr>
          <w:rFonts w:ascii="Arial" w:hAnsi="Arial" w:cs="Arial"/>
          <w:sz w:val="18"/>
        </w:rPr>
        <w:t>h naročilih, oddanih v letu 20</w:t>
      </w:r>
      <w:r w:rsidR="00FD0DD3" w:rsidRPr="00DF1072">
        <w:rPr>
          <w:rFonts w:ascii="Arial" w:hAnsi="Arial" w:cs="Arial"/>
          <w:sz w:val="18"/>
        </w:rPr>
        <w:t>2</w:t>
      </w:r>
      <w:r w:rsidR="00DF1072" w:rsidRPr="00DF1072">
        <w:rPr>
          <w:rFonts w:ascii="Arial" w:hAnsi="Arial" w:cs="Arial"/>
          <w:sz w:val="18"/>
        </w:rPr>
        <w:t>2</w:t>
      </w:r>
      <w:r w:rsidR="00B0329F" w:rsidRPr="00DF1072">
        <w:rPr>
          <w:rFonts w:ascii="Arial" w:hAnsi="Arial" w:cs="Arial"/>
          <w:sz w:val="18"/>
        </w:rPr>
        <w:t>.</w:t>
      </w:r>
    </w:p>
    <w:p w14:paraId="0311CD31" w14:textId="77777777" w:rsidR="00DF1072" w:rsidRPr="00BF7302" w:rsidRDefault="00DF1072" w:rsidP="004A613D">
      <w:pPr>
        <w:spacing w:after="0" w:line="240" w:lineRule="auto"/>
        <w:jc w:val="center"/>
        <w:rPr>
          <w:rFonts w:ascii="Arial" w:hAnsi="Arial" w:cs="Arial"/>
          <w:sz w:val="18"/>
          <w:highlight w:val="yellow"/>
        </w:rPr>
      </w:pPr>
    </w:p>
    <w:p w14:paraId="5EEDB018" w14:textId="60EA2EB7" w:rsidR="00B905EB" w:rsidRPr="00A801CE" w:rsidRDefault="00B905EB" w:rsidP="00B905EB">
      <w:pPr>
        <w:pStyle w:val="Naslov2"/>
        <w:rPr>
          <w:rFonts w:ascii="Arial" w:hAnsi="Arial" w:cs="Arial"/>
          <w:szCs w:val="20"/>
        </w:rPr>
      </w:pPr>
      <w:bookmarkStart w:id="41" w:name="_Toc141864073"/>
      <w:r w:rsidRPr="00A801CE">
        <w:rPr>
          <w:rFonts w:ascii="Arial" w:hAnsi="Arial" w:cs="Arial"/>
          <w:sz w:val="22"/>
          <w:szCs w:val="22"/>
        </w:rPr>
        <w:t>2.</w:t>
      </w:r>
      <w:r w:rsidR="00FA2740" w:rsidRPr="00A801CE">
        <w:rPr>
          <w:rFonts w:ascii="Arial" w:hAnsi="Arial" w:cs="Arial"/>
          <w:sz w:val="22"/>
          <w:szCs w:val="22"/>
        </w:rPr>
        <w:t>7</w:t>
      </w:r>
      <w:r w:rsidRPr="00A801CE">
        <w:rPr>
          <w:rFonts w:ascii="Arial" w:hAnsi="Arial" w:cs="Arial"/>
          <w:sz w:val="22"/>
          <w:szCs w:val="22"/>
        </w:rPr>
        <w:t xml:space="preserve"> Največji naročniki, najuspešnejši ponudniki in največja naročila</w:t>
      </w:r>
      <w:bookmarkEnd w:id="41"/>
    </w:p>
    <w:p w14:paraId="0032DAC2" w14:textId="01ECD0C1" w:rsidR="00CB617D" w:rsidRPr="00A801CE" w:rsidRDefault="00CB617D" w:rsidP="004611B6">
      <w:pPr>
        <w:pStyle w:val="ZADEVA"/>
        <w:ind w:left="0" w:firstLine="0"/>
        <w:jc w:val="both"/>
        <w:rPr>
          <w:rFonts w:cs="Arial"/>
          <w:b w:val="0"/>
          <w:szCs w:val="20"/>
          <w:lang w:val="sl-SI"/>
        </w:rPr>
      </w:pPr>
    </w:p>
    <w:p w14:paraId="34CA974B" w14:textId="028C94BC" w:rsidR="00A25CC2" w:rsidRPr="00A801CE" w:rsidRDefault="00A25CC2" w:rsidP="00A25CC2">
      <w:pPr>
        <w:pStyle w:val="Naslov3"/>
        <w:rPr>
          <w:rFonts w:ascii="Arial" w:hAnsi="Arial" w:cs="Arial"/>
          <w:sz w:val="22"/>
          <w:szCs w:val="22"/>
        </w:rPr>
      </w:pPr>
      <w:bookmarkStart w:id="42" w:name="_Toc141864074"/>
      <w:r w:rsidRPr="00A801CE">
        <w:rPr>
          <w:rFonts w:ascii="Arial" w:hAnsi="Arial" w:cs="Arial"/>
          <w:sz w:val="22"/>
          <w:szCs w:val="22"/>
        </w:rPr>
        <w:t>2.</w:t>
      </w:r>
      <w:r w:rsidR="00FA2740" w:rsidRPr="00A801CE">
        <w:rPr>
          <w:rFonts w:ascii="Arial" w:hAnsi="Arial" w:cs="Arial"/>
          <w:sz w:val="22"/>
          <w:szCs w:val="22"/>
        </w:rPr>
        <w:t>7</w:t>
      </w:r>
      <w:r w:rsidRPr="00A801CE">
        <w:rPr>
          <w:rFonts w:ascii="Arial" w:hAnsi="Arial" w:cs="Arial"/>
          <w:sz w:val="22"/>
          <w:szCs w:val="22"/>
        </w:rPr>
        <w:t>.1 Naročniki z največjo vrednostjo oddanih naročil v letu 20</w:t>
      </w:r>
      <w:r w:rsidR="004D43C6" w:rsidRPr="00A801CE">
        <w:rPr>
          <w:rFonts w:ascii="Arial" w:hAnsi="Arial" w:cs="Arial"/>
          <w:sz w:val="22"/>
          <w:szCs w:val="22"/>
        </w:rPr>
        <w:t>2</w:t>
      </w:r>
      <w:r w:rsidR="00A801CE" w:rsidRPr="00A801CE">
        <w:rPr>
          <w:rFonts w:ascii="Arial" w:hAnsi="Arial" w:cs="Arial"/>
          <w:sz w:val="22"/>
          <w:szCs w:val="22"/>
        </w:rPr>
        <w:t>2</w:t>
      </w:r>
      <w:bookmarkEnd w:id="42"/>
    </w:p>
    <w:p w14:paraId="5B1AF42F" w14:textId="77777777" w:rsidR="00B905EB" w:rsidRPr="00A801CE" w:rsidRDefault="00B905EB" w:rsidP="00854405">
      <w:pPr>
        <w:pStyle w:val="ZADEVA"/>
        <w:jc w:val="both"/>
        <w:rPr>
          <w:rFonts w:cs="Arial"/>
          <w:b w:val="0"/>
          <w:szCs w:val="20"/>
          <w:lang w:val="sl-SI"/>
        </w:rPr>
      </w:pPr>
    </w:p>
    <w:p w14:paraId="7A191C28" w14:textId="06BDC5ED" w:rsidR="00867E45" w:rsidRPr="00A801CE" w:rsidRDefault="00711BE8" w:rsidP="00E800C2">
      <w:pPr>
        <w:spacing w:line="360" w:lineRule="auto"/>
        <w:jc w:val="both"/>
        <w:rPr>
          <w:rFonts w:ascii="Arial" w:hAnsi="Arial" w:cs="Arial"/>
          <w:sz w:val="20"/>
          <w:szCs w:val="20"/>
        </w:rPr>
      </w:pPr>
      <w:r w:rsidRPr="00A801CE">
        <w:rPr>
          <w:rFonts w:ascii="Arial" w:hAnsi="Arial" w:cs="Arial"/>
          <w:sz w:val="20"/>
          <w:szCs w:val="20"/>
        </w:rPr>
        <w:t>Leta</w:t>
      </w:r>
      <w:r w:rsidR="002A5FF5" w:rsidRPr="00A801CE">
        <w:rPr>
          <w:rFonts w:ascii="Arial" w:hAnsi="Arial" w:cs="Arial"/>
          <w:sz w:val="20"/>
          <w:szCs w:val="20"/>
        </w:rPr>
        <w:t xml:space="preserve"> 20</w:t>
      </w:r>
      <w:r w:rsidR="004D43C6" w:rsidRPr="00A801CE">
        <w:rPr>
          <w:rFonts w:ascii="Arial" w:hAnsi="Arial" w:cs="Arial"/>
          <w:sz w:val="20"/>
          <w:szCs w:val="20"/>
        </w:rPr>
        <w:t>2</w:t>
      </w:r>
      <w:r w:rsidR="00A801CE" w:rsidRPr="00A801CE">
        <w:rPr>
          <w:rFonts w:ascii="Arial" w:hAnsi="Arial" w:cs="Arial"/>
          <w:sz w:val="20"/>
          <w:szCs w:val="20"/>
        </w:rPr>
        <w:t>2</w:t>
      </w:r>
      <w:r w:rsidR="00F83DD4" w:rsidRPr="00A801CE">
        <w:rPr>
          <w:rFonts w:ascii="Arial" w:hAnsi="Arial" w:cs="Arial"/>
          <w:sz w:val="20"/>
          <w:szCs w:val="20"/>
        </w:rPr>
        <w:t xml:space="preserve"> so največ sredstev za blago, storitve oziroma gradnje namenili </w:t>
      </w:r>
      <w:r w:rsidR="00A801CE" w:rsidRPr="00A801CE">
        <w:rPr>
          <w:rFonts w:ascii="Arial" w:hAnsi="Arial" w:cs="Arial"/>
          <w:sz w:val="20"/>
          <w:szCs w:val="20"/>
        </w:rPr>
        <w:t xml:space="preserve">Direkcija Republike Slovenije za infrastrukturo, Koroška lekarna in Družba za avtoceste v Republiki Sloveniji </w:t>
      </w:r>
      <w:proofErr w:type="spellStart"/>
      <w:r w:rsidR="00A801CE" w:rsidRPr="00A801CE">
        <w:rPr>
          <w:rFonts w:ascii="Arial" w:hAnsi="Arial" w:cs="Arial"/>
          <w:sz w:val="20"/>
          <w:szCs w:val="20"/>
        </w:rPr>
        <w:t>d.d</w:t>
      </w:r>
      <w:proofErr w:type="spellEnd"/>
      <w:r w:rsidR="00A801CE" w:rsidRPr="00A801CE">
        <w:rPr>
          <w:rFonts w:ascii="Arial" w:hAnsi="Arial" w:cs="Arial"/>
          <w:sz w:val="20"/>
          <w:szCs w:val="20"/>
        </w:rPr>
        <w:t>.</w:t>
      </w:r>
    </w:p>
    <w:p w14:paraId="70125AFD" w14:textId="40D23E4C" w:rsidR="00F83DD4" w:rsidRPr="00A801CE" w:rsidRDefault="00F83DD4" w:rsidP="007F5593">
      <w:pPr>
        <w:spacing w:after="0" w:line="360" w:lineRule="auto"/>
        <w:jc w:val="both"/>
        <w:rPr>
          <w:rFonts w:ascii="Arial" w:hAnsi="Arial" w:cs="Arial"/>
          <w:sz w:val="20"/>
        </w:rPr>
      </w:pPr>
      <w:r w:rsidRPr="00A801CE">
        <w:rPr>
          <w:rFonts w:ascii="Arial" w:hAnsi="Arial" w:cs="Arial"/>
          <w:sz w:val="20"/>
        </w:rPr>
        <w:t xml:space="preserve">Preglednica </w:t>
      </w:r>
      <w:r w:rsidR="00EA747F">
        <w:rPr>
          <w:rFonts w:ascii="Arial" w:hAnsi="Arial" w:cs="Arial"/>
          <w:sz w:val="20"/>
        </w:rPr>
        <w:t>40</w:t>
      </w:r>
      <w:r w:rsidRPr="00A801CE">
        <w:rPr>
          <w:rFonts w:ascii="Arial" w:hAnsi="Arial" w:cs="Arial"/>
          <w:sz w:val="20"/>
        </w:rPr>
        <w:t xml:space="preserve">: </w:t>
      </w:r>
      <w:r w:rsidR="00252272" w:rsidRPr="00A801CE">
        <w:rPr>
          <w:rFonts w:ascii="Arial" w:hAnsi="Arial" w:cs="Arial"/>
          <w:sz w:val="20"/>
        </w:rPr>
        <w:t>Petnajst</w:t>
      </w:r>
      <w:r w:rsidRPr="00A801CE">
        <w:rPr>
          <w:rFonts w:ascii="Arial" w:hAnsi="Arial" w:cs="Arial"/>
          <w:sz w:val="20"/>
        </w:rPr>
        <w:t xml:space="preserve"> naročnikov z največjo vredno</w:t>
      </w:r>
      <w:r w:rsidR="009C708C" w:rsidRPr="00A801CE">
        <w:rPr>
          <w:rFonts w:ascii="Arial" w:hAnsi="Arial" w:cs="Arial"/>
          <w:sz w:val="20"/>
        </w:rPr>
        <w:t>stjo oddanih naročil v letu 20</w:t>
      </w:r>
      <w:r w:rsidR="0058576E" w:rsidRPr="00A801CE">
        <w:rPr>
          <w:rFonts w:ascii="Arial" w:hAnsi="Arial" w:cs="Arial"/>
          <w:sz w:val="20"/>
        </w:rPr>
        <w:t>2</w:t>
      </w:r>
      <w:r w:rsidR="00A801CE" w:rsidRPr="00A801CE">
        <w:rPr>
          <w:rFonts w:ascii="Arial" w:hAnsi="Arial" w:cs="Arial"/>
          <w:sz w:val="20"/>
        </w:rPr>
        <w:t>2</w:t>
      </w:r>
    </w:p>
    <w:tbl>
      <w:tblPr>
        <w:tblW w:w="5000" w:type="pct"/>
        <w:tblCellMar>
          <w:left w:w="70" w:type="dxa"/>
          <w:right w:w="70" w:type="dxa"/>
        </w:tblCellMar>
        <w:tblLook w:val="04A0" w:firstRow="1" w:lastRow="0" w:firstColumn="1" w:lastColumn="0" w:noHBand="0" w:noVBand="1"/>
      </w:tblPr>
      <w:tblGrid>
        <w:gridCol w:w="549"/>
        <w:gridCol w:w="7183"/>
        <w:gridCol w:w="1442"/>
      </w:tblGrid>
      <w:tr w:rsidR="00A801CE" w:rsidRPr="00A801CE" w14:paraId="3C51CBDF" w14:textId="77777777" w:rsidTr="00A801CE">
        <w:trPr>
          <w:trHeight w:val="300"/>
        </w:trPr>
        <w:tc>
          <w:tcPr>
            <w:tcW w:w="299"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5E94EA73" w14:textId="77777777" w:rsidR="00A801CE" w:rsidRPr="00A801CE" w:rsidRDefault="00A801CE" w:rsidP="007F5593">
            <w:pPr>
              <w:spacing w:after="0" w:line="240" w:lineRule="auto"/>
              <w:jc w:val="center"/>
              <w:rPr>
                <w:rFonts w:ascii="Arial" w:eastAsia="Times New Roman" w:hAnsi="Arial" w:cs="Arial"/>
                <w:color w:val="000000"/>
                <w:sz w:val="18"/>
                <w:szCs w:val="18"/>
                <w:lang w:eastAsia="sl-SI"/>
              </w:rPr>
            </w:pPr>
            <w:proofErr w:type="spellStart"/>
            <w:r w:rsidRPr="00A801CE">
              <w:rPr>
                <w:rFonts w:ascii="Arial" w:eastAsia="Times New Roman" w:hAnsi="Arial" w:cs="Arial"/>
                <w:color w:val="000000"/>
                <w:sz w:val="18"/>
                <w:szCs w:val="18"/>
                <w:lang w:eastAsia="sl-SI"/>
              </w:rPr>
              <w:t>Zap</w:t>
            </w:r>
            <w:proofErr w:type="spellEnd"/>
            <w:r w:rsidRPr="00A801CE">
              <w:rPr>
                <w:rFonts w:ascii="Arial" w:eastAsia="Times New Roman" w:hAnsi="Arial" w:cs="Arial"/>
                <w:color w:val="000000"/>
                <w:sz w:val="18"/>
                <w:szCs w:val="18"/>
                <w:lang w:eastAsia="sl-SI"/>
              </w:rPr>
              <w:t xml:space="preserve">. št. </w:t>
            </w:r>
          </w:p>
        </w:tc>
        <w:tc>
          <w:tcPr>
            <w:tcW w:w="3915" w:type="pct"/>
            <w:tcBorders>
              <w:top w:val="single" w:sz="4" w:space="0" w:color="auto"/>
              <w:left w:val="nil"/>
              <w:bottom w:val="single" w:sz="4" w:space="0" w:color="auto"/>
              <w:right w:val="single" w:sz="4" w:space="0" w:color="auto"/>
            </w:tcBorders>
            <w:shd w:val="clear" w:color="000000" w:fill="F2F2F2"/>
            <w:vAlign w:val="center"/>
            <w:hideMark/>
          </w:tcPr>
          <w:p w14:paraId="11F31E83" w14:textId="77777777" w:rsidR="00A801CE" w:rsidRPr="00A801CE" w:rsidRDefault="00A801CE" w:rsidP="007F5593">
            <w:pPr>
              <w:spacing w:after="0" w:line="240" w:lineRule="auto"/>
              <w:jc w:val="center"/>
              <w:rPr>
                <w:rFonts w:ascii="Arial" w:eastAsia="Times New Roman" w:hAnsi="Arial" w:cs="Arial"/>
                <w:color w:val="000000"/>
                <w:sz w:val="18"/>
                <w:szCs w:val="18"/>
                <w:lang w:eastAsia="sl-SI"/>
              </w:rPr>
            </w:pPr>
            <w:r w:rsidRPr="00A801CE">
              <w:rPr>
                <w:rFonts w:ascii="Arial" w:eastAsia="Times New Roman" w:hAnsi="Arial" w:cs="Arial"/>
                <w:color w:val="000000"/>
                <w:sz w:val="18"/>
                <w:szCs w:val="18"/>
                <w:lang w:eastAsia="sl-SI"/>
              </w:rPr>
              <w:t>Naročnik</w:t>
            </w:r>
          </w:p>
        </w:tc>
        <w:tc>
          <w:tcPr>
            <w:tcW w:w="786" w:type="pct"/>
            <w:tcBorders>
              <w:top w:val="single" w:sz="4" w:space="0" w:color="auto"/>
              <w:left w:val="nil"/>
              <w:bottom w:val="single" w:sz="4" w:space="0" w:color="auto"/>
              <w:right w:val="single" w:sz="4" w:space="0" w:color="auto"/>
            </w:tcBorders>
            <w:shd w:val="clear" w:color="000000" w:fill="F2F2F2"/>
            <w:vAlign w:val="center"/>
            <w:hideMark/>
          </w:tcPr>
          <w:p w14:paraId="36E64E2C" w14:textId="77777777" w:rsidR="00A801CE" w:rsidRPr="00A801CE" w:rsidRDefault="00A801CE" w:rsidP="007F5593">
            <w:pPr>
              <w:spacing w:after="0" w:line="240" w:lineRule="auto"/>
              <w:jc w:val="center"/>
              <w:rPr>
                <w:rFonts w:ascii="Arial" w:eastAsia="Times New Roman" w:hAnsi="Arial" w:cs="Arial"/>
                <w:color w:val="000000"/>
                <w:sz w:val="18"/>
                <w:szCs w:val="18"/>
                <w:lang w:eastAsia="sl-SI"/>
              </w:rPr>
            </w:pPr>
            <w:r w:rsidRPr="00A801CE">
              <w:rPr>
                <w:rFonts w:ascii="Arial" w:eastAsia="Times New Roman" w:hAnsi="Arial" w:cs="Arial"/>
                <w:color w:val="000000"/>
                <w:sz w:val="18"/>
                <w:szCs w:val="18"/>
                <w:lang w:eastAsia="sl-SI"/>
              </w:rPr>
              <w:t>Pogodbena vrednost</w:t>
            </w:r>
          </w:p>
        </w:tc>
      </w:tr>
      <w:tr w:rsidR="00A801CE" w:rsidRPr="00A801CE" w14:paraId="584BC4E2" w14:textId="77777777" w:rsidTr="00A801CE">
        <w:trPr>
          <w:trHeight w:val="300"/>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2906F458" w14:textId="77777777" w:rsidR="00A801CE" w:rsidRPr="00A801CE" w:rsidRDefault="00A801CE" w:rsidP="007F5593">
            <w:pPr>
              <w:spacing w:after="0" w:line="240" w:lineRule="auto"/>
              <w:rPr>
                <w:rFonts w:ascii="Arial" w:eastAsia="Times New Roman" w:hAnsi="Arial" w:cs="Arial"/>
                <w:color w:val="000000" w:themeColor="text1"/>
                <w:sz w:val="18"/>
                <w:szCs w:val="18"/>
                <w:lang w:eastAsia="sl-SI"/>
              </w:rPr>
            </w:pPr>
            <w:r w:rsidRPr="00A801CE">
              <w:rPr>
                <w:rFonts w:ascii="Arial" w:eastAsia="Times New Roman" w:hAnsi="Arial" w:cs="Arial"/>
                <w:color w:val="000000" w:themeColor="text1"/>
                <w:sz w:val="18"/>
                <w:szCs w:val="18"/>
                <w:lang w:eastAsia="sl-SI"/>
              </w:rPr>
              <w:t>1</w:t>
            </w:r>
          </w:p>
        </w:tc>
        <w:tc>
          <w:tcPr>
            <w:tcW w:w="3915" w:type="pct"/>
            <w:tcBorders>
              <w:top w:val="nil"/>
              <w:left w:val="nil"/>
              <w:bottom w:val="single" w:sz="4" w:space="0" w:color="auto"/>
              <w:right w:val="single" w:sz="4" w:space="0" w:color="auto"/>
            </w:tcBorders>
            <w:shd w:val="clear" w:color="auto" w:fill="auto"/>
            <w:vAlign w:val="center"/>
            <w:hideMark/>
          </w:tcPr>
          <w:p w14:paraId="0AD88EA4" w14:textId="77777777" w:rsidR="00A801CE" w:rsidRPr="00A801CE" w:rsidRDefault="00A801CE" w:rsidP="007F5593">
            <w:pPr>
              <w:spacing w:after="0" w:line="240" w:lineRule="auto"/>
              <w:rPr>
                <w:rFonts w:ascii="Arial" w:eastAsia="Times New Roman" w:hAnsi="Arial" w:cs="Arial"/>
                <w:color w:val="000000" w:themeColor="text1"/>
                <w:sz w:val="18"/>
                <w:szCs w:val="18"/>
                <w:lang w:eastAsia="sl-SI"/>
              </w:rPr>
            </w:pPr>
            <w:r w:rsidRPr="00A801CE">
              <w:rPr>
                <w:rFonts w:ascii="Arial" w:eastAsia="Times New Roman" w:hAnsi="Arial" w:cs="Arial"/>
                <w:color w:val="000000" w:themeColor="text1"/>
                <w:sz w:val="18"/>
                <w:szCs w:val="18"/>
                <w:lang w:eastAsia="sl-SI"/>
              </w:rPr>
              <w:t>MINISTRSTVO ZA INFRASTRUKTURO, DIREKCIJA REPUBLIKE SLOVENIJE ZA INFRASTRUKTURO</w:t>
            </w:r>
          </w:p>
        </w:tc>
        <w:tc>
          <w:tcPr>
            <w:tcW w:w="786" w:type="pct"/>
            <w:tcBorders>
              <w:top w:val="nil"/>
              <w:left w:val="nil"/>
              <w:bottom w:val="single" w:sz="4" w:space="0" w:color="auto"/>
              <w:right w:val="single" w:sz="4" w:space="0" w:color="auto"/>
            </w:tcBorders>
            <w:shd w:val="clear" w:color="auto" w:fill="auto"/>
            <w:vAlign w:val="center"/>
            <w:hideMark/>
          </w:tcPr>
          <w:p w14:paraId="30E4E5AC" w14:textId="77777777" w:rsidR="00A801CE" w:rsidRPr="00A801CE" w:rsidRDefault="00A801CE" w:rsidP="007F5593">
            <w:pPr>
              <w:spacing w:after="0" w:line="240" w:lineRule="auto"/>
              <w:jc w:val="right"/>
              <w:rPr>
                <w:rFonts w:ascii="Arial" w:eastAsia="Times New Roman" w:hAnsi="Arial" w:cs="Arial"/>
                <w:color w:val="000000" w:themeColor="text1"/>
                <w:sz w:val="18"/>
                <w:szCs w:val="18"/>
                <w:lang w:eastAsia="sl-SI"/>
              </w:rPr>
            </w:pPr>
            <w:r w:rsidRPr="00A801CE">
              <w:rPr>
                <w:rFonts w:ascii="Arial" w:eastAsia="Times New Roman" w:hAnsi="Arial" w:cs="Arial"/>
                <w:color w:val="000000" w:themeColor="text1"/>
                <w:sz w:val="18"/>
                <w:szCs w:val="18"/>
                <w:lang w:eastAsia="sl-SI"/>
              </w:rPr>
              <w:t>1.078.289.975</w:t>
            </w:r>
          </w:p>
        </w:tc>
      </w:tr>
      <w:tr w:rsidR="00A801CE" w:rsidRPr="00A801CE" w14:paraId="0709D128" w14:textId="77777777" w:rsidTr="00A801CE">
        <w:trPr>
          <w:trHeight w:val="300"/>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6DCD044A" w14:textId="77777777" w:rsidR="00A801CE" w:rsidRPr="00A801CE" w:rsidRDefault="00A801CE" w:rsidP="00A801CE">
            <w:pPr>
              <w:spacing w:after="0" w:line="240" w:lineRule="auto"/>
              <w:rPr>
                <w:rFonts w:ascii="Arial" w:eastAsia="Times New Roman" w:hAnsi="Arial" w:cs="Arial"/>
                <w:color w:val="000000" w:themeColor="text1"/>
                <w:sz w:val="18"/>
                <w:szCs w:val="18"/>
                <w:lang w:eastAsia="sl-SI"/>
              </w:rPr>
            </w:pPr>
            <w:r w:rsidRPr="00A801CE">
              <w:rPr>
                <w:rFonts w:ascii="Arial" w:eastAsia="Times New Roman" w:hAnsi="Arial" w:cs="Arial"/>
                <w:color w:val="000000" w:themeColor="text1"/>
                <w:sz w:val="18"/>
                <w:szCs w:val="18"/>
                <w:lang w:eastAsia="sl-SI"/>
              </w:rPr>
              <w:t>2</w:t>
            </w:r>
          </w:p>
        </w:tc>
        <w:tc>
          <w:tcPr>
            <w:tcW w:w="3915" w:type="pct"/>
            <w:tcBorders>
              <w:top w:val="nil"/>
              <w:left w:val="nil"/>
              <w:bottom w:val="single" w:sz="4" w:space="0" w:color="auto"/>
              <w:right w:val="single" w:sz="4" w:space="0" w:color="auto"/>
            </w:tcBorders>
            <w:shd w:val="clear" w:color="auto" w:fill="auto"/>
            <w:vAlign w:val="center"/>
            <w:hideMark/>
          </w:tcPr>
          <w:p w14:paraId="6D2A8430" w14:textId="77777777" w:rsidR="00A801CE" w:rsidRPr="00A801CE" w:rsidRDefault="00A801CE" w:rsidP="00A801CE">
            <w:pPr>
              <w:spacing w:after="0" w:line="240" w:lineRule="auto"/>
              <w:rPr>
                <w:rFonts w:ascii="Arial" w:eastAsia="Times New Roman" w:hAnsi="Arial" w:cs="Arial"/>
                <w:color w:val="000000" w:themeColor="text1"/>
                <w:sz w:val="18"/>
                <w:szCs w:val="18"/>
                <w:lang w:eastAsia="sl-SI"/>
              </w:rPr>
            </w:pPr>
            <w:r w:rsidRPr="00A801CE">
              <w:rPr>
                <w:rFonts w:ascii="Arial" w:eastAsia="Times New Roman" w:hAnsi="Arial" w:cs="Arial"/>
                <w:color w:val="000000" w:themeColor="text1"/>
                <w:sz w:val="18"/>
                <w:szCs w:val="18"/>
                <w:lang w:eastAsia="sl-SI"/>
              </w:rPr>
              <w:t>KOROŠKA LEKARNA</w:t>
            </w:r>
          </w:p>
        </w:tc>
        <w:tc>
          <w:tcPr>
            <w:tcW w:w="786" w:type="pct"/>
            <w:tcBorders>
              <w:top w:val="nil"/>
              <w:left w:val="nil"/>
              <w:bottom w:val="single" w:sz="4" w:space="0" w:color="auto"/>
              <w:right w:val="single" w:sz="4" w:space="0" w:color="auto"/>
            </w:tcBorders>
            <w:shd w:val="clear" w:color="auto" w:fill="auto"/>
            <w:vAlign w:val="center"/>
            <w:hideMark/>
          </w:tcPr>
          <w:p w14:paraId="131E28A4" w14:textId="77777777" w:rsidR="00A801CE" w:rsidRPr="00A801CE" w:rsidRDefault="00A801CE" w:rsidP="00A801CE">
            <w:pPr>
              <w:spacing w:after="0" w:line="240" w:lineRule="auto"/>
              <w:jc w:val="right"/>
              <w:rPr>
                <w:rFonts w:ascii="Arial" w:eastAsia="Times New Roman" w:hAnsi="Arial" w:cs="Arial"/>
                <w:color w:val="000000" w:themeColor="text1"/>
                <w:sz w:val="18"/>
                <w:szCs w:val="18"/>
                <w:lang w:eastAsia="sl-SI"/>
              </w:rPr>
            </w:pPr>
            <w:r w:rsidRPr="00A801CE">
              <w:rPr>
                <w:rFonts w:ascii="Arial" w:eastAsia="Times New Roman" w:hAnsi="Arial" w:cs="Arial"/>
                <w:color w:val="000000" w:themeColor="text1"/>
                <w:sz w:val="18"/>
                <w:szCs w:val="18"/>
                <w:lang w:eastAsia="sl-SI"/>
              </w:rPr>
              <w:t>244.150.199</w:t>
            </w:r>
          </w:p>
        </w:tc>
      </w:tr>
      <w:tr w:rsidR="00A801CE" w:rsidRPr="00A801CE" w14:paraId="43FC8976" w14:textId="77777777" w:rsidTr="00A801CE">
        <w:trPr>
          <w:trHeight w:val="300"/>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1EA99A24" w14:textId="77777777" w:rsidR="00A801CE" w:rsidRPr="00A801CE" w:rsidRDefault="00A801CE" w:rsidP="00A801CE">
            <w:pPr>
              <w:spacing w:after="0" w:line="240" w:lineRule="auto"/>
              <w:rPr>
                <w:rFonts w:ascii="Arial" w:eastAsia="Times New Roman" w:hAnsi="Arial" w:cs="Arial"/>
                <w:color w:val="000000" w:themeColor="text1"/>
                <w:sz w:val="18"/>
                <w:szCs w:val="18"/>
                <w:lang w:eastAsia="sl-SI"/>
              </w:rPr>
            </w:pPr>
            <w:r w:rsidRPr="00A801CE">
              <w:rPr>
                <w:rFonts w:ascii="Arial" w:eastAsia="Times New Roman" w:hAnsi="Arial" w:cs="Arial"/>
                <w:color w:val="000000" w:themeColor="text1"/>
                <w:sz w:val="18"/>
                <w:szCs w:val="18"/>
                <w:lang w:eastAsia="sl-SI"/>
              </w:rPr>
              <w:t>3</w:t>
            </w:r>
          </w:p>
        </w:tc>
        <w:tc>
          <w:tcPr>
            <w:tcW w:w="3915" w:type="pct"/>
            <w:tcBorders>
              <w:top w:val="nil"/>
              <w:left w:val="nil"/>
              <w:bottom w:val="single" w:sz="4" w:space="0" w:color="auto"/>
              <w:right w:val="single" w:sz="4" w:space="0" w:color="auto"/>
            </w:tcBorders>
            <w:shd w:val="clear" w:color="auto" w:fill="auto"/>
            <w:vAlign w:val="center"/>
            <w:hideMark/>
          </w:tcPr>
          <w:p w14:paraId="6B8B09CD" w14:textId="77777777" w:rsidR="00A801CE" w:rsidRPr="00A801CE" w:rsidRDefault="00A801CE" w:rsidP="00A801CE">
            <w:pPr>
              <w:spacing w:after="0" w:line="240" w:lineRule="auto"/>
              <w:rPr>
                <w:rFonts w:ascii="Arial" w:eastAsia="Times New Roman" w:hAnsi="Arial" w:cs="Arial"/>
                <w:color w:val="000000" w:themeColor="text1"/>
                <w:sz w:val="18"/>
                <w:szCs w:val="18"/>
                <w:lang w:eastAsia="sl-SI"/>
              </w:rPr>
            </w:pPr>
            <w:r w:rsidRPr="00A801CE">
              <w:rPr>
                <w:rFonts w:ascii="Arial" w:eastAsia="Times New Roman" w:hAnsi="Arial" w:cs="Arial"/>
                <w:color w:val="000000" w:themeColor="text1"/>
                <w:sz w:val="18"/>
                <w:szCs w:val="18"/>
                <w:lang w:eastAsia="sl-SI"/>
              </w:rPr>
              <w:t>DRUŽBA ZA AVTOCESTE V REPUBLIKI SLOVENIJI D.D.</w:t>
            </w:r>
          </w:p>
        </w:tc>
        <w:tc>
          <w:tcPr>
            <w:tcW w:w="786" w:type="pct"/>
            <w:tcBorders>
              <w:top w:val="nil"/>
              <w:left w:val="nil"/>
              <w:bottom w:val="single" w:sz="4" w:space="0" w:color="auto"/>
              <w:right w:val="single" w:sz="4" w:space="0" w:color="auto"/>
            </w:tcBorders>
            <w:shd w:val="clear" w:color="auto" w:fill="auto"/>
            <w:vAlign w:val="center"/>
            <w:hideMark/>
          </w:tcPr>
          <w:p w14:paraId="5003FC8D" w14:textId="77777777" w:rsidR="00A801CE" w:rsidRPr="00A801CE" w:rsidRDefault="00A801CE" w:rsidP="00A801CE">
            <w:pPr>
              <w:spacing w:after="0" w:line="240" w:lineRule="auto"/>
              <w:jc w:val="right"/>
              <w:rPr>
                <w:rFonts w:ascii="Arial" w:eastAsia="Times New Roman" w:hAnsi="Arial" w:cs="Arial"/>
                <w:color w:val="000000" w:themeColor="text1"/>
                <w:sz w:val="18"/>
                <w:szCs w:val="18"/>
                <w:lang w:eastAsia="sl-SI"/>
              </w:rPr>
            </w:pPr>
            <w:r w:rsidRPr="00A801CE">
              <w:rPr>
                <w:rFonts w:ascii="Arial" w:eastAsia="Times New Roman" w:hAnsi="Arial" w:cs="Arial"/>
                <w:color w:val="000000" w:themeColor="text1"/>
                <w:sz w:val="18"/>
                <w:szCs w:val="18"/>
                <w:lang w:eastAsia="sl-SI"/>
              </w:rPr>
              <w:t>224.932.148</w:t>
            </w:r>
          </w:p>
        </w:tc>
      </w:tr>
      <w:tr w:rsidR="00A801CE" w:rsidRPr="00A801CE" w14:paraId="79F0EE91" w14:textId="77777777" w:rsidTr="00A801CE">
        <w:trPr>
          <w:trHeight w:val="300"/>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4A323E58" w14:textId="77777777" w:rsidR="00A801CE" w:rsidRPr="00A801CE" w:rsidRDefault="00A801CE" w:rsidP="00A801CE">
            <w:pPr>
              <w:spacing w:after="0" w:line="240" w:lineRule="auto"/>
              <w:rPr>
                <w:rFonts w:ascii="Arial" w:eastAsia="Times New Roman" w:hAnsi="Arial" w:cs="Arial"/>
                <w:color w:val="000000" w:themeColor="text1"/>
                <w:sz w:val="18"/>
                <w:szCs w:val="18"/>
                <w:lang w:eastAsia="sl-SI"/>
              </w:rPr>
            </w:pPr>
            <w:r w:rsidRPr="00A801CE">
              <w:rPr>
                <w:rFonts w:ascii="Arial" w:eastAsia="Times New Roman" w:hAnsi="Arial" w:cs="Arial"/>
                <w:color w:val="000000" w:themeColor="text1"/>
                <w:sz w:val="18"/>
                <w:szCs w:val="18"/>
                <w:lang w:eastAsia="sl-SI"/>
              </w:rPr>
              <w:t>4</w:t>
            </w:r>
          </w:p>
        </w:tc>
        <w:tc>
          <w:tcPr>
            <w:tcW w:w="3915" w:type="pct"/>
            <w:tcBorders>
              <w:top w:val="nil"/>
              <w:left w:val="nil"/>
              <w:bottom w:val="single" w:sz="4" w:space="0" w:color="auto"/>
              <w:right w:val="single" w:sz="4" w:space="0" w:color="auto"/>
            </w:tcBorders>
            <w:shd w:val="clear" w:color="auto" w:fill="auto"/>
            <w:vAlign w:val="center"/>
            <w:hideMark/>
          </w:tcPr>
          <w:p w14:paraId="048EA4F1" w14:textId="126501F7" w:rsidR="00A801CE" w:rsidRPr="00A801CE" w:rsidRDefault="00A801CE" w:rsidP="00A801CE">
            <w:pPr>
              <w:spacing w:after="0" w:line="240" w:lineRule="auto"/>
              <w:rPr>
                <w:rFonts w:ascii="Arial" w:eastAsia="Times New Roman" w:hAnsi="Arial" w:cs="Arial"/>
                <w:color w:val="000000" w:themeColor="text1"/>
                <w:sz w:val="18"/>
                <w:szCs w:val="18"/>
                <w:lang w:eastAsia="sl-SI"/>
              </w:rPr>
            </w:pPr>
            <w:r w:rsidRPr="00A801CE">
              <w:rPr>
                <w:rFonts w:ascii="Arial" w:eastAsia="Times New Roman" w:hAnsi="Arial" w:cs="Arial"/>
                <w:color w:val="000000" w:themeColor="text1"/>
                <w:sz w:val="18"/>
                <w:szCs w:val="18"/>
                <w:lang w:eastAsia="sl-SI"/>
              </w:rPr>
              <w:t xml:space="preserve">LUKA KOPER, </w:t>
            </w:r>
            <w:r w:rsidR="00934EFD">
              <w:rPr>
                <w:rFonts w:ascii="Arial" w:eastAsia="Times New Roman" w:hAnsi="Arial" w:cs="Arial"/>
                <w:color w:val="000000" w:themeColor="text1"/>
                <w:sz w:val="18"/>
                <w:szCs w:val="18"/>
                <w:lang w:eastAsia="sl-SI"/>
              </w:rPr>
              <w:t xml:space="preserve">d. d. </w:t>
            </w:r>
          </w:p>
        </w:tc>
        <w:tc>
          <w:tcPr>
            <w:tcW w:w="786" w:type="pct"/>
            <w:tcBorders>
              <w:top w:val="nil"/>
              <w:left w:val="nil"/>
              <w:bottom w:val="single" w:sz="4" w:space="0" w:color="auto"/>
              <w:right w:val="single" w:sz="4" w:space="0" w:color="auto"/>
            </w:tcBorders>
            <w:shd w:val="clear" w:color="auto" w:fill="auto"/>
            <w:vAlign w:val="center"/>
            <w:hideMark/>
          </w:tcPr>
          <w:p w14:paraId="6F5A6566" w14:textId="77777777" w:rsidR="00A801CE" w:rsidRPr="00A801CE" w:rsidRDefault="00A801CE" w:rsidP="00A801CE">
            <w:pPr>
              <w:spacing w:after="0" w:line="240" w:lineRule="auto"/>
              <w:jc w:val="right"/>
              <w:rPr>
                <w:rFonts w:ascii="Arial" w:eastAsia="Times New Roman" w:hAnsi="Arial" w:cs="Arial"/>
                <w:color w:val="000000" w:themeColor="text1"/>
                <w:sz w:val="18"/>
                <w:szCs w:val="18"/>
                <w:lang w:eastAsia="sl-SI"/>
              </w:rPr>
            </w:pPr>
            <w:r w:rsidRPr="00A801CE">
              <w:rPr>
                <w:rFonts w:ascii="Arial" w:eastAsia="Times New Roman" w:hAnsi="Arial" w:cs="Arial"/>
                <w:color w:val="000000" w:themeColor="text1"/>
                <w:sz w:val="18"/>
                <w:szCs w:val="18"/>
                <w:lang w:eastAsia="sl-SI"/>
              </w:rPr>
              <w:t>222.771.926</w:t>
            </w:r>
          </w:p>
        </w:tc>
      </w:tr>
      <w:tr w:rsidR="00A801CE" w:rsidRPr="00A801CE" w14:paraId="2390A91D" w14:textId="77777777" w:rsidTr="00A801CE">
        <w:trPr>
          <w:trHeight w:val="300"/>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2AFD1BE6" w14:textId="77777777" w:rsidR="00A801CE" w:rsidRPr="00A801CE" w:rsidRDefault="00A801CE" w:rsidP="00A801CE">
            <w:pPr>
              <w:spacing w:after="0" w:line="240" w:lineRule="auto"/>
              <w:rPr>
                <w:rFonts w:ascii="Arial" w:eastAsia="Times New Roman" w:hAnsi="Arial" w:cs="Arial"/>
                <w:color w:val="000000" w:themeColor="text1"/>
                <w:sz w:val="18"/>
                <w:szCs w:val="18"/>
                <w:lang w:eastAsia="sl-SI"/>
              </w:rPr>
            </w:pPr>
            <w:r w:rsidRPr="00A801CE">
              <w:rPr>
                <w:rFonts w:ascii="Arial" w:eastAsia="Times New Roman" w:hAnsi="Arial" w:cs="Arial"/>
                <w:color w:val="000000" w:themeColor="text1"/>
                <w:sz w:val="18"/>
                <w:szCs w:val="18"/>
                <w:lang w:eastAsia="sl-SI"/>
              </w:rPr>
              <w:t>5</w:t>
            </w:r>
          </w:p>
        </w:tc>
        <w:tc>
          <w:tcPr>
            <w:tcW w:w="3915" w:type="pct"/>
            <w:tcBorders>
              <w:top w:val="nil"/>
              <w:left w:val="nil"/>
              <w:bottom w:val="single" w:sz="4" w:space="0" w:color="auto"/>
              <w:right w:val="single" w:sz="4" w:space="0" w:color="auto"/>
            </w:tcBorders>
            <w:shd w:val="clear" w:color="auto" w:fill="auto"/>
            <w:vAlign w:val="center"/>
            <w:hideMark/>
          </w:tcPr>
          <w:p w14:paraId="4B241DB2" w14:textId="77777777" w:rsidR="00A801CE" w:rsidRPr="00A801CE" w:rsidRDefault="00A801CE" w:rsidP="00A801CE">
            <w:pPr>
              <w:spacing w:after="0" w:line="240" w:lineRule="auto"/>
              <w:rPr>
                <w:rFonts w:ascii="Arial" w:eastAsia="Times New Roman" w:hAnsi="Arial" w:cs="Arial"/>
                <w:color w:val="000000" w:themeColor="text1"/>
                <w:sz w:val="18"/>
                <w:szCs w:val="18"/>
                <w:lang w:eastAsia="sl-SI"/>
              </w:rPr>
            </w:pPr>
            <w:r w:rsidRPr="00A801CE">
              <w:rPr>
                <w:rFonts w:ascii="Arial" w:eastAsia="Times New Roman" w:hAnsi="Arial" w:cs="Arial"/>
                <w:color w:val="000000" w:themeColor="text1"/>
                <w:sz w:val="18"/>
                <w:szCs w:val="18"/>
                <w:lang w:eastAsia="sl-SI"/>
              </w:rPr>
              <w:t>MINISTRSTVO ZA OBRAMBO</w:t>
            </w:r>
          </w:p>
        </w:tc>
        <w:tc>
          <w:tcPr>
            <w:tcW w:w="786" w:type="pct"/>
            <w:tcBorders>
              <w:top w:val="nil"/>
              <w:left w:val="nil"/>
              <w:bottom w:val="single" w:sz="4" w:space="0" w:color="auto"/>
              <w:right w:val="single" w:sz="4" w:space="0" w:color="auto"/>
            </w:tcBorders>
            <w:shd w:val="clear" w:color="auto" w:fill="auto"/>
            <w:vAlign w:val="center"/>
            <w:hideMark/>
          </w:tcPr>
          <w:p w14:paraId="43941905" w14:textId="77777777" w:rsidR="00A801CE" w:rsidRPr="00A801CE" w:rsidRDefault="00A801CE" w:rsidP="00A801CE">
            <w:pPr>
              <w:spacing w:after="0" w:line="240" w:lineRule="auto"/>
              <w:jc w:val="right"/>
              <w:rPr>
                <w:rFonts w:ascii="Arial" w:eastAsia="Times New Roman" w:hAnsi="Arial" w:cs="Arial"/>
                <w:color w:val="000000" w:themeColor="text1"/>
                <w:sz w:val="18"/>
                <w:szCs w:val="18"/>
                <w:lang w:eastAsia="sl-SI"/>
              </w:rPr>
            </w:pPr>
            <w:r w:rsidRPr="00A801CE">
              <w:rPr>
                <w:rFonts w:ascii="Arial" w:eastAsia="Times New Roman" w:hAnsi="Arial" w:cs="Arial"/>
                <w:color w:val="000000" w:themeColor="text1"/>
                <w:sz w:val="18"/>
                <w:szCs w:val="18"/>
                <w:lang w:eastAsia="sl-SI"/>
              </w:rPr>
              <w:t>176.513.099</w:t>
            </w:r>
          </w:p>
        </w:tc>
      </w:tr>
      <w:tr w:rsidR="00A801CE" w:rsidRPr="00A801CE" w14:paraId="5E3D1C6B" w14:textId="77777777" w:rsidTr="00A801CE">
        <w:trPr>
          <w:trHeight w:val="300"/>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7FB47E45" w14:textId="77777777" w:rsidR="00A801CE" w:rsidRPr="00A801CE" w:rsidRDefault="00A801CE" w:rsidP="00A801CE">
            <w:pPr>
              <w:spacing w:after="0" w:line="240" w:lineRule="auto"/>
              <w:rPr>
                <w:rFonts w:ascii="Arial" w:eastAsia="Times New Roman" w:hAnsi="Arial" w:cs="Arial"/>
                <w:color w:val="000000" w:themeColor="text1"/>
                <w:sz w:val="18"/>
                <w:szCs w:val="18"/>
                <w:lang w:eastAsia="sl-SI"/>
              </w:rPr>
            </w:pPr>
            <w:r w:rsidRPr="00A801CE">
              <w:rPr>
                <w:rFonts w:ascii="Arial" w:eastAsia="Times New Roman" w:hAnsi="Arial" w:cs="Arial"/>
                <w:color w:val="000000" w:themeColor="text1"/>
                <w:sz w:val="18"/>
                <w:szCs w:val="18"/>
                <w:lang w:eastAsia="sl-SI"/>
              </w:rPr>
              <w:t>6</w:t>
            </w:r>
          </w:p>
        </w:tc>
        <w:tc>
          <w:tcPr>
            <w:tcW w:w="3915" w:type="pct"/>
            <w:tcBorders>
              <w:top w:val="nil"/>
              <w:left w:val="nil"/>
              <w:bottom w:val="single" w:sz="4" w:space="0" w:color="auto"/>
              <w:right w:val="single" w:sz="4" w:space="0" w:color="auto"/>
            </w:tcBorders>
            <w:shd w:val="clear" w:color="auto" w:fill="auto"/>
            <w:vAlign w:val="center"/>
            <w:hideMark/>
          </w:tcPr>
          <w:p w14:paraId="4A5D1ADF" w14:textId="77777777" w:rsidR="00A801CE" w:rsidRPr="00A801CE" w:rsidRDefault="00A801CE" w:rsidP="00A801CE">
            <w:pPr>
              <w:spacing w:after="0" w:line="240" w:lineRule="auto"/>
              <w:rPr>
                <w:rFonts w:ascii="Arial" w:eastAsia="Times New Roman" w:hAnsi="Arial" w:cs="Arial"/>
                <w:color w:val="000000" w:themeColor="text1"/>
                <w:sz w:val="18"/>
                <w:szCs w:val="18"/>
                <w:lang w:eastAsia="sl-SI"/>
              </w:rPr>
            </w:pPr>
            <w:r w:rsidRPr="00A801CE">
              <w:rPr>
                <w:rFonts w:ascii="Arial" w:eastAsia="Times New Roman" w:hAnsi="Arial" w:cs="Arial"/>
                <w:color w:val="000000" w:themeColor="text1"/>
                <w:sz w:val="18"/>
                <w:szCs w:val="18"/>
                <w:lang w:eastAsia="sl-SI"/>
              </w:rPr>
              <w:t>UNIVERZITETNI KLINIČNI CENTER LJUBLJANA</w:t>
            </w:r>
          </w:p>
        </w:tc>
        <w:tc>
          <w:tcPr>
            <w:tcW w:w="786" w:type="pct"/>
            <w:tcBorders>
              <w:top w:val="nil"/>
              <w:left w:val="nil"/>
              <w:bottom w:val="single" w:sz="4" w:space="0" w:color="auto"/>
              <w:right w:val="single" w:sz="4" w:space="0" w:color="auto"/>
            </w:tcBorders>
            <w:shd w:val="clear" w:color="auto" w:fill="auto"/>
            <w:vAlign w:val="center"/>
            <w:hideMark/>
          </w:tcPr>
          <w:p w14:paraId="70DCB5F3" w14:textId="77777777" w:rsidR="00A801CE" w:rsidRPr="00A801CE" w:rsidRDefault="00A801CE" w:rsidP="00A801CE">
            <w:pPr>
              <w:spacing w:after="0" w:line="240" w:lineRule="auto"/>
              <w:jc w:val="right"/>
              <w:rPr>
                <w:rFonts w:ascii="Arial" w:eastAsia="Times New Roman" w:hAnsi="Arial" w:cs="Arial"/>
                <w:color w:val="000000" w:themeColor="text1"/>
                <w:sz w:val="18"/>
                <w:szCs w:val="18"/>
                <w:lang w:eastAsia="sl-SI"/>
              </w:rPr>
            </w:pPr>
            <w:r w:rsidRPr="00A801CE">
              <w:rPr>
                <w:rFonts w:ascii="Arial" w:eastAsia="Times New Roman" w:hAnsi="Arial" w:cs="Arial"/>
                <w:color w:val="000000" w:themeColor="text1"/>
                <w:sz w:val="18"/>
                <w:szCs w:val="18"/>
                <w:lang w:eastAsia="sl-SI"/>
              </w:rPr>
              <w:t>158.705.690</w:t>
            </w:r>
          </w:p>
        </w:tc>
      </w:tr>
      <w:tr w:rsidR="00A801CE" w:rsidRPr="00A801CE" w14:paraId="33F2D25B" w14:textId="77777777" w:rsidTr="00A801CE">
        <w:trPr>
          <w:trHeight w:val="300"/>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6978197F" w14:textId="77777777" w:rsidR="00A801CE" w:rsidRPr="00A801CE" w:rsidRDefault="00A801CE" w:rsidP="00A801CE">
            <w:pPr>
              <w:spacing w:after="0" w:line="240" w:lineRule="auto"/>
              <w:rPr>
                <w:rFonts w:ascii="Arial" w:eastAsia="Times New Roman" w:hAnsi="Arial" w:cs="Arial"/>
                <w:color w:val="000000" w:themeColor="text1"/>
                <w:sz w:val="18"/>
                <w:szCs w:val="18"/>
                <w:lang w:eastAsia="sl-SI"/>
              </w:rPr>
            </w:pPr>
            <w:r w:rsidRPr="00A801CE">
              <w:rPr>
                <w:rFonts w:ascii="Arial" w:eastAsia="Times New Roman" w:hAnsi="Arial" w:cs="Arial"/>
                <w:color w:val="000000" w:themeColor="text1"/>
                <w:sz w:val="18"/>
                <w:szCs w:val="18"/>
                <w:lang w:eastAsia="sl-SI"/>
              </w:rPr>
              <w:t>7</w:t>
            </w:r>
          </w:p>
        </w:tc>
        <w:tc>
          <w:tcPr>
            <w:tcW w:w="3915" w:type="pct"/>
            <w:tcBorders>
              <w:top w:val="nil"/>
              <w:left w:val="nil"/>
              <w:bottom w:val="single" w:sz="4" w:space="0" w:color="auto"/>
              <w:right w:val="single" w:sz="4" w:space="0" w:color="auto"/>
            </w:tcBorders>
            <w:shd w:val="clear" w:color="auto" w:fill="auto"/>
            <w:vAlign w:val="center"/>
            <w:hideMark/>
          </w:tcPr>
          <w:p w14:paraId="3F771B2B" w14:textId="77777777" w:rsidR="00A801CE" w:rsidRPr="00A801CE" w:rsidRDefault="00A801CE" w:rsidP="00A801CE">
            <w:pPr>
              <w:spacing w:after="0" w:line="240" w:lineRule="auto"/>
              <w:rPr>
                <w:rFonts w:ascii="Arial" w:eastAsia="Times New Roman" w:hAnsi="Arial" w:cs="Arial"/>
                <w:color w:val="000000" w:themeColor="text1"/>
                <w:sz w:val="18"/>
                <w:szCs w:val="18"/>
                <w:lang w:eastAsia="sl-SI"/>
              </w:rPr>
            </w:pPr>
            <w:r w:rsidRPr="00A801CE">
              <w:rPr>
                <w:rFonts w:ascii="Arial" w:eastAsia="Times New Roman" w:hAnsi="Arial" w:cs="Arial"/>
                <w:color w:val="000000" w:themeColor="text1"/>
                <w:sz w:val="18"/>
                <w:szCs w:val="18"/>
                <w:lang w:eastAsia="sl-SI"/>
              </w:rPr>
              <w:t>UNIVERZITETNI KLINIČNI CENTER MARIBOR</w:t>
            </w:r>
          </w:p>
        </w:tc>
        <w:tc>
          <w:tcPr>
            <w:tcW w:w="786" w:type="pct"/>
            <w:tcBorders>
              <w:top w:val="nil"/>
              <w:left w:val="nil"/>
              <w:bottom w:val="single" w:sz="4" w:space="0" w:color="auto"/>
              <w:right w:val="single" w:sz="4" w:space="0" w:color="auto"/>
            </w:tcBorders>
            <w:shd w:val="clear" w:color="auto" w:fill="auto"/>
            <w:vAlign w:val="center"/>
            <w:hideMark/>
          </w:tcPr>
          <w:p w14:paraId="575A0807" w14:textId="77777777" w:rsidR="00A801CE" w:rsidRPr="00A801CE" w:rsidRDefault="00A801CE" w:rsidP="00A801CE">
            <w:pPr>
              <w:spacing w:after="0" w:line="240" w:lineRule="auto"/>
              <w:jc w:val="right"/>
              <w:rPr>
                <w:rFonts w:ascii="Arial" w:eastAsia="Times New Roman" w:hAnsi="Arial" w:cs="Arial"/>
                <w:color w:val="000000" w:themeColor="text1"/>
                <w:sz w:val="18"/>
                <w:szCs w:val="18"/>
                <w:lang w:eastAsia="sl-SI"/>
              </w:rPr>
            </w:pPr>
            <w:r w:rsidRPr="00A801CE">
              <w:rPr>
                <w:rFonts w:ascii="Arial" w:eastAsia="Times New Roman" w:hAnsi="Arial" w:cs="Arial"/>
                <w:color w:val="000000" w:themeColor="text1"/>
                <w:sz w:val="18"/>
                <w:szCs w:val="18"/>
                <w:lang w:eastAsia="sl-SI"/>
              </w:rPr>
              <w:t>139.987.432</w:t>
            </w:r>
          </w:p>
        </w:tc>
      </w:tr>
      <w:tr w:rsidR="00A801CE" w:rsidRPr="00A801CE" w14:paraId="4724D143" w14:textId="77777777" w:rsidTr="00A801CE">
        <w:trPr>
          <w:trHeight w:val="300"/>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057CB06C" w14:textId="77777777" w:rsidR="00A801CE" w:rsidRPr="00A801CE" w:rsidRDefault="00A801CE" w:rsidP="00A801CE">
            <w:pPr>
              <w:spacing w:after="0" w:line="240" w:lineRule="auto"/>
              <w:rPr>
                <w:rFonts w:ascii="Arial" w:eastAsia="Times New Roman" w:hAnsi="Arial" w:cs="Arial"/>
                <w:color w:val="000000" w:themeColor="text1"/>
                <w:sz w:val="18"/>
                <w:szCs w:val="18"/>
                <w:lang w:eastAsia="sl-SI"/>
              </w:rPr>
            </w:pPr>
            <w:r w:rsidRPr="00A801CE">
              <w:rPr>
                <w:rFonts w:ascii="Arial" w:eastAsia="Times New Roman" w:hAnsi="Arial" w:cs="Arial"/>
                <w:color w:val="000000" w:themeColor="text1"/>
                <w:sz w:val="18"/>
                <w:szCs w:val="18"/>
                <w:lang w:eastAsia="sl-SI"/>
              </w:rPr>
              <w:t>8</w:t>
            </w:r>
          </w:p>
        </w:tc>
        <w:tc>
          <w:tcPr>
            <w:tcW w:w="3915" w:type="pct"/>
            <w:tcBorders>
              <w:top w:val="nil"/>
              <w:left w:val="nil"/>
              <w:bottom w:val="single" w:sz="4" w:space="0" w:color="auto"/>
              <w:right w:val="single" w:sz="4" w:space="0" w:color="auto"/>
            </w:tcBorders>
            <w:shd w:val="clear" w:color="auto" w:fill="auto"/>
            <w:vAlign w:val="center"/>
            <w:hideMark/>
          </w:tcPr>
          <w:p w14:paraId="1B88DE07" w14:textId="77777777" w:rsidR="00A801CE" w:rsidRPr="00A801CE" w:rsidRDefault="00A801CE" w:rsidP="00A801CE">
            <w:pPr>
              <w:spacing w:after="0" w:line="240" w:lineRule="auto"/>
              <w:rPr>
                <w:rFonts w:ascii="Arial" w:eastAsia="Times New Roman" w:hAnsi="Arial" w:cs="Arial"/>
                <w:color w:val="000000" w:themeColor="text1"/>
                <w:sz w:val="18"/>
                <w:szCs w:val="18"/>
                <w:lang w:eastAsia="sl-SI"/>
              </w:rPr>
            </w:pPr>
            <w:r w:rsidRPr="00A801CE">
              <w:rPr>
                <w:rFonts w:ascii="Arial" w:eastAsia="Times New Roman" w:hAnsi="Arial" w:cs="Arial"/>
                <w:color w:val="000000" w:themeColor="text1"/>
                <w:sz w:val="18"/>
                <w:szCs w:val="18"/>
                <w:lang w:eastAsia="sl-SI"/>
              </w:rPr>
              <w:t>MESTNA OBČINA LJUBLJANA</w:t>
            </w:r>
          </w:p>
        </w:tc>
        <w:tc>
          <w:tcPr>
            <w:tcW w:w="786" w:type="pct"/>
            <w:tcBorders>
              <w:top w:val="nil"/>
              <w:left w:val="nil"/>
              <w:bottom w:val="single" w:sz="4" w:space="0" w:color="auto"/>
              <w:right w:val="single" w:sz="4" w:space="0" w:color="auto"/>
            </w:tcBorders>
            <w:shd w:val="clear" w:color="auto" w:fill="auto"/>
            <w:vAlign w:val="center"/>
            <w:hideMark/>
          </w:tcPr>
          <w:p w14:paraId="6CBA6E42" w14:textId="77777777" w:rsidR="00A801CE" w:rsidRPr="00A801CE" w:rsidRDefault="00A801CE" w:rsidP="00A801CE">
            <w:pPr>
              <w:spacing w:after="0" w:line="240" w:lineRule="auto"/>
              <w:jc w:val="right"/>
              <w:rPr>
                <w:rFonts w:ascii="Arial" w:eastAsia="Times New Roman" w:hAnsi="Arial" w:cs="Arial"/>
                <w:color w:val="000000" w:themeColor="text1"/>
                <w:sz w:val="18"/>
                <w:szCs w:val="18"/>
                <w:lang w:eastAsia="sl-SI"/>
              </w:rPr>
            </w:pPr>
            <w:r w:rsidRPr="00A801CE">
              <w:rPr>
                <w:rFonts w:ascii="Arial" w:eastAsia="Times New Roman" w:hAnsi="Arial" w:cs="Arial"/>
                <w:color w:val="000000" w:themeColor="text1"/>
                <w:sz w:val="18"/>
                <w:szCs w:val="18"/>
                <w:lang w:eastAsia="sl-SI"/>
              </w:rPr>
              <w:t>121.537.487</w:t>
            </w:r>
          </w:p>
        </w:tc>
      </w:tr>
      <w:tr w:rsidR="00A801CE" w:rsidRPr="00A801CE" w14:paraId="212ED358" w14:textId="77777777" w:rsidTr="00A801CE">
        <w:trPr>
          <w:trHeight w:val="300"/>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6A7CD7C5" w14:textId="77777777" w:rsidR="00A801CE" w:rsidRPr="00A801CE" w:rsidRDefault="00A801CE" w:rsidP="00A801CE">
            <w:pPr>
              <w:spacing w:after="0" w:line="240" w:lineRule="auto"/>
              <w:rPr>
                <w:rFonts w:ascii="Arial" w:eastAsia="Times New Roman" w:hAnsi="Arial" w:cs="Arial"/>
                <w:color w:val="000000" w:themeColor="text1"/>
                <w:sz w:val="18"/>
                <w:szCs w:val="18"/>
                <w:lang w:eastAsia="sl-SI"/>
              </w:rPr>
            </w:pPr>
            <w:r w:rsidRPr="00A801CE">
              <w:rPr>
                <w:rFonts w:ascii="Arial" w:eastAsia="Times New Roman" w:hAnsi="Arial" w:cs="Arial"/>
                <w:color w:val="000000" w:themeColor="text1"/>
                <w:sz w:val="18"/>
                <w:szCs w:val="18"/>
                <w:lang w:eastAsia="sl-SI"/>
              </w:rPr>
              <w:t>9</w:t>
            </w:r>
          </w:p>
        </w:tc>
        <w:tc>
          <w:tcPr>
            <w:tcW w:w="3915" w:type="pct"/>
            <w:tcBorders>
              <w:top w:val="nil"/>
              <w:left w:val="nil"/>
              <w:bottom w:val="single" w:sz="4" w:space="0" w:color="auto"/>
              <w:right w:val="single" w:sz="4" w:space="0" w:color="auto"/>
            </w:tcBorders>
            <w:shd w:val="clear" w:color="auto" w:fill="auto"/>
            <w:vAlign w:val="center"/>
            <w:hideMark/>
          </w:tcPr>
          <w:p w14:paraId="526E9800" w14:textId="77777777" w:rsidR="00A801CE" w:rsidRPr="00A801CE" w:rsidRDefault="00A801CE" w:rsidP="00A801CE">
            <w:pPr>
              <w:spacing w:after="0" w:line="240" w:lineRule="auto"/>
              <w:rPr>
                <w:rFonts w:ascii="Arial" w:eastAsia="Times New Roman" w:hAnsi="Arial" w:cs="Arial"/>
                <w:color w:val="000000" w:themeColor="text1"/>
                <w:sz w:val="18"/>
                <w:szCs w:val="18"/>
                <w:lang w:eastAsia="sl-SI"/>
              </w:rPr>
            </w:pPr>
            <w:r w:rsidRPr="00A801CE">
              <w:rPr>
                <w:rFonts w:ascii="Arial" w:eastAsia="Times New Roman" w:hAnsi="Arial" w:cs="Arial"/>
                <w:color w:val="000000" w:themeColor="text1"/>
                <w:sz w:val="18"/>
                <w:szCs w:val="18"/>
                <w:lang w:eastAsia="sl-SI"/>
              </w:rPr>
              <w:t xml:space="preserve">TERMOELEKTRARNA ŠOŠTANJ </w:t>
            </w:r>
            <w:proofErr w:type="spellStart"/>
            <w:r w:rsidRPr="00A801CE">
              <w:rPr>
                <w:rFonts w:ascii="Arial" w:eastAsia="Times New Roman" w:hAnsi="Arial" w:cs="Arial"/>
                <w:color w:val="000000" w:themeColor="text1"/>
                <w:sz w:val="18"/>
                <w:szCs w:val="18"/>
                <w:lang w:eastAsia="sl-SI"/>
              </w:rPr>
              <w:t>d.o.o</w:t>
            </w:r>
            <w:proofErr w:type="spellEnd"/>
            <w:r w:rsidRPr="00A801CE">
              <w:rPr>
                <w:rFonts w:ascii="Arial" w:eastAsia="Times New Roman" w:hAnsi="Arial" w:cs="Arial"/>
                <w:color w:val="000000" w:themeColor="text1"/>
                <w:sz w:val="18"/>
                <w:szCs w:val="18"/>
                <w:lang w:eastAsia="sl-SI"/>
              </w:rPr>
              <w:t>.</w:t>
            </w:r>
          </w:p>
        </w:tc>
        <w:tc>
          <w:tcPr>
            <w:tcW w:w="786" w:type="pct"/>
            <w:tcBorders>
              <w:top w:val="nil"/>
              <w:left w:val="nil"/>
              <w:bottom w:val="single" w:sz="4" w:space="0" w:color="auto"/>
              <w:right w:val="single" w:sz="4" w:space="0" w:color="auto"/>
            </w:tcBorders>
            <w:shd w:val="clear" w:color="auto" w:fill="auto"/>
            <w:vAlign w:val="center"/>
            <w:hideMark/>
          </w:tcPr>
          <w:p w14:paraId="77CA265E" w14:textId="77777777" w:rsidR="00A801CE" w:rsidRPr="00A801CE" w:rsidRDefault="00A801CE" w:rsidP="00A801CE">
            <w:pPr>
              <w:spacing w:after="0" w:line="240" w:lineRule="auto"/>
              <w:jc w:val="right"/>
              <w:rPr>
                <w:rFonts w:ascii="Arial" w:eastAsia="Times New Roman" w:hAnsi="Arial" w:cs="Arial"/>
                <w:color w:val="000000" w:themeColor="text1"/>
                <w:sz w:val="18"/>
                <w:szCs w:val="18"/>
                <w:lang w:eastAsia="sl-SI"/>
              </w:rPr>
            </w:pPr>
            <w:r w:rsidRPr="00A801CE">
              <w:rPr>
                <w:rFonts w:ascii="Arial" w:eastAsia="Times New Roman" w:hAnsi="Arial" w:cs="Arial"/>
                <w:color w:val="000000" w:themeColor="text1"/>
                <w:sz w:val="18"/>
                <w:szCs w:val="18"/>
                <w:lang w:eastAsia="sl-SI"/>
              </w:rPr>
              <w:t>119.764.534</w:t>
            </w:r>
          </w:p>
        </w:tc>
      </w:tr>
      <w:tr w:rsidR="00A801CE" w:rsidRPr="00A801CE" w14:paraId="5D1DF969" w14:textId="77777777" w:rsidTr="00A801CE">
        <w:trPr>
          <w:trHeight w:val="300"/>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1C6E9FBA" w14:textId="77777777" w:rsidR="00A801CE" w:rsidRPr="00A801CE" w:rsidRDefault="00A801CE" w:rsidP="00A801CE">
            <w:pPr>
              <w:spacing w:after="0" w:line="240" w:lineRule="auto"/>
              <w:rPr>
                <w:rFonts w:ascii="Arial" w:eastAsia="Times New Roman" w:hAnsi="Arial" w:cs="Arial"/>
                <w:color w:val="000000" w:themeColor="text1"/>
                <w:sz w:val="18"/>
                <w:szCs w:val="18"/>
                <w:lang w:eastAsia="sl-SI"/>
              </w:rPr>
            </w:pPr>
            <w:r w:rsidRPr="00A801CE">
              <w:rPr>
                <w:rFonts w:ascii="Arial" w:eastAsia="Times New Roman" w:hAnsi="Arial" w:cs="Arial"/>
                <w:color w:val="000000" w:themeColor="text1"/>
                <w:sz w:val="18"/>
                <w:szCs w:val="18"/>
                <w:lang w:eastAsia="sl-SI"/>
              </w:rPr>
              <w:t>10</w:t>
            </w:r>
          </w:p>
        </w:tc>
        <w:tc>
          <w:tcPr>
            <w:tcW w:w="3915" w:type="pct"/>
            <w:tcBorders>
              <w:top w:val="nil"/>
              <w:left w:val="nil"/>
              <w:bottom w:val="single" w:sz="4" w:space="0" w:color="auto"/>
              <w:right w:val="single" w:sz="4" w:space="0" w:color="auto"/>
            </w:tcBorders>
            <w:shd w:val="clear" w:color="auto" w:fill="auto"/>
            <w:vAlign w:val="center"/>
            <w:hideMark/>
          </w:tcPr>
          <w:p w14:paraId="5AF2645B" w14:textId="77777777" w:rsidR="00A801CE" w:rsidRPr="00A801CE" w:rsidRDefault="00A801CE" w:rsidP="00A801CE">
            <w:pPr>
              <w:spacing w:after="0" w:line="240" w:lineRule="auto"/>
              <w:rPr>
                <w:rFonts w:ascii="Arial" w:eastAsia="Times New Roman" w:hAnsi="Arial" w:cs="Arial"/>
                <w:color w:val="000000" w:themeColor="text1"/>
                <w:sz w:val="18"/>
                <w:szCs w:val="18"/>
                <w:lang w:eastAsia="sl-SI"/>
              </w:rPr>
            </w:pPr>
            <w:r w:rsidRPr="00A801CE">
              <w:rPr>
                <w:rFonts w:ascii="Arial" w:eastAsia="Times New Roman" w:hAnsi="Arial" w:cs="Arial"/>
                <w:color w:val="000000" w:themeColor="text1"/>
                <w:sz w:val="18"/>
                <w:szCs w:val="18"/>
                <w:lang w:eastAsia="sl-SI"/>
              </w:rPr>
              <w:t>MINISTRSTVO ZA NOTRANJE ZADEVE</w:t>
            </w:r>
          </w:p>
        </w:tc>
        <w:tc>
          <w:tcPr>
            <w:tcW w:w="786" w:type="pct"/>
            <w:tcBorders>
              <w:top w:val="nil"/>
              <w:left w:val="nil"/>
              <w:bottom w:val="single" w:sz="4" w:space="0" w:color="auto"/>
              <w:right w:val="single" w:sz="4" w:space="0" w:color="auto"/>
            </w:tcBorders>
            <w:shd w:val="clear" w:color="auto" w:fill="auto"/>
            <w:vAlign w:val="center"/>
            <w:hideMark/>
          </w:tcPr>
          <w:p w14:paraId="2000E355" w14:textId="77777777" w:rsidR="00A801CE" w:rsidRPr="00A801CE" w:rsidRDefault="00A801CE" w:rsidP="00A801CE">
            <w:pPr>
              <w:spacing w:after="0" w:line="240" w:lineRule="auto"/>
              <w:jc w:val="right"/>
              <w:rPr>
                <w:rFonts w:ascii="Arial" w:eastAsia="Times New Roman" w:hAnsi="Arial" w:cs="Arial"/>
                <w:color w:val="000000" w:themeColor="text1"/>
                <w:sz w:val="18"/>
                <w:szCs w:val="18"/>
                <w:lang w:eastAsia="sl-SI"/>
              </w:rPr>
            </w:pPr>
            <w:r w:rsidRPr="00A801CE">
              <w:rPr>
                <w:rFonts w:ascii="Arial" w:eastAsia="Times New Roman" w:hAnsi="Arial" w:cs="Arial"/>
                <w:color w:val="000000" w:themeColor="text1"/>
                <w:sz w:val="18"/>
                <w:szCs w:val="18"/>
                <w:lang w:eastAsia="sl-SI"/>
              </w:rPr>
              <w:t>82.098.172</w:t>
            </w:r>
          </w:p>
        </w:tc>
      </w:tr>
      <w:tr w:rsidR="00A801CE" w:rsidRPr="00A801CE" w14:paraId="0C1E8CEC" w14:textId="77777777" w:rsidTr="00A801CE">
        <w:trPr>
          <w:trHeight w:val="300"/>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61F62090" w14:textId="77777777" w:rsidR="00A801CE" w:rsidRPr="00A801CE" w:rsidRDefault="00A801CE" w:rsidP="00A801CE">
            <w:pPr>
              <w:spacing w:after="0" w:line="240" w:lineRule="auto"/>
              <w:rPr>
                <w:rFonts w:ascii="Arial" w:eastAsia="Times New Roman" w:hAnsi="Arial" w:cs="Arial"/>
                <w:color w:val="000000" w:themeColor="text1"/>
                <w:sz w:val="18"/>
                <w:szCs w:val="18"/>
                <w:lang w:eastAsia="sl-SI"/>
              </w:rPr>
            </w:pPr>
            <w:r w:rsidRPr="00A801CE">
              <w:rPr>
                <w:rFonts w:ascii="Arial" w:eastAsia="Times New Roman" w:hAnsi="Arial" w:cs="Arial"/>
                <w:color w:val="000000" w:themeColor="text1"/>
                <w:sz w:val="18"/>
                <w:szCs w:val="18"/>
                <w:lang w:eastAsia="sl-SI"/>
              </w:rPr>
              <w:t>11</w:t>
            </w:r>
          </w:p>
        </w:tc>
        <w:tc>
          <w:tcPr>
            <w:tcW w:w="3915" w:type="pct"/>
            <w:tcBorders>
              <w:top w:val="nil"/>
              <w:left w:val="nil"/>
              <w:bottom w:val="single" w:sz="4" w:space="0" w:color="auto"/>
              <w:right w:val="single" w:sz="4" w:space="0" w:color="auto"/>
            </w:tcBorders>
            <w:shd w:val="clear" w:color="auto" w:fill="auto"/>
            <w:vAlign w:val="center"/>
            <w:hideMark/>
          </w:tcPr>
          <w:p w14:paraId="3A4C11F9" w14:textId="15D46D15" w:rsidR="00A801CE" w:rsidRPr="00A801CE" w:rsidRDefault="00A801CE" w:rsidP="00A801CE">
            <w:pPr>
              <w:spacing w:after="0" w:line="240" w:lineRule="auto"/>
              <w:rPr>
                <w:rFonts w:ascii="Arial" w:eastAsia="Times New Roman" w:hAnsi="Arial" w:cs="Arial"/>
                <w:color w:val="000000" w:themeColor="text1"/>
                <w:sz w:val="18"/>
                <w:szCs w:val="18"/>
                <w:lang w:eastAsia="sl-SI"/>
              </w:rPr>
            </w:pPr>
            <w:r w:rsidRPr="00A801CE">
              <w:rPr>
                <w:rFonts w:ascii="Arial" w:eastAsia="Times New Roman" w:hAnsi="Arial" w:cs="Arial"/>
                <w:color w:val="000000" w:themeColor="text1"/>
                <w:sz w:val="18"/>
                <w:szCs w:val="18"/>
                <w:lang w:eastAsia="sl-SI"/>
              </w:rPr>
              <w:t>LL GROSIST</w:t>
            </w:r>
            <w:r w:rsidR="00934EFD">
              <w:rPr>
                <w:rFonts w:ascii="Arial" w:eastAsia="Times New Roman" w:hAnsi="Arial" w:cs="Arial"/>
                <w:color w:val="000000" w:themeColor="text1"/>
                <w:sz w:val="18"/>
                <w:szCs w:val="18"/>
                <w:lang w:eastAsia="sl-SI"/>
              </w:rPr>
              <w:t xml:space="preserve">, </w:t>
            </w:r>
            <w:proofErr w:type="spellStart"/>
            <w:r w:rsidRPr="00A801CE">
              <w:rPr>
                <w:rFonts w:ascii="Arial" w:eastAsia="Times New Roman" w:hAnsi="Arial" w:cs="Arial"/>
                <w:color w:val="000000" w:themeColor="text1"/>
                <w:sz w:val="18"/>
                <w:szCs w:val="18"/>
                <w:lang w:eastAsia="sl-SI"/>
              </w:rPr>
              <w:t>d.o.o</w:t>
            </w:r>
            <w:proofErr w:type="spellEnd"/>
            <w:r w:rsidRPr="00A801CE">
              <w:rPr>
                <w:rFonts w:ascii="Arial" w:eastAsia="Times New Roman" w:hAnsi="Arial" w:cs="Arial"/>
                <w:color w:val="000000" w:themeColor="text1"/>
                <w:sz w:val="18"/>
                <w:szCs w:val="18"/>
                <w:lang w:eastAsia="sl-SI"/>
              </w:rPr>
              <w:t>.</w:t>
            </w:r>
          </w:p>
        </w:tc>
        <w:tc>
          <w:tcPr>
            <w:tcW w:w="786" w:type="pct"/>
            <w:tcBorders>
              <w:top w:val="nil"/>
              <w:left w:val="nil"/>
              <w:bottom w:val="single" w:sz="4" w:space="0" w:color="auto"/>
              <w:right w:val="single" w:sz="4" w:space="0" w:color="auto"/>
            </w:tcBorders>
            <w:shd w:val="clear" w:color="auto" w:fill="auto"/>
            <w:vAlign w:val="center"/>
            <w:hideMark/>
          </w:tcPr>
          <w:p w14:paraId="135A593F" w14:textId="77777777" w:rsidR="00A801CE" w:rsidRPr="00A801CE" w:rsidRDefault="00A801CE" w:rsidP="00A801CE">
            <w:pPr>
              <w:spacing w:after="0" w:line="240" w:lineRule="auto"/>
              <w:jc w:val="right"/>
              <w:rPr>
                <w:rFonts w:ascii="Arial" w:eastAsia="Times New Roman" w:hAnsi="Arial" w:cs="Arial"/>
                <w:color w:val="000000" w:themeColor="text1"/>
                <w:sz w:val="18"/>
                <w:szCs w:val="18"/>
                <w:lang w:eastAsia="sl-SI"/>
              </w:rPr>
            </w:pPr>
            <w:r w:rsidRPr="00A801CE">
              <w:rPr>
                <w:rFonts w:ascii="Arial" w:eastAsia="Times New Roman" w:hAnsi="Arial" w:cs="Arial"/>
                <w:color w:val="000000" w:themeColor="text1"/>
                <w:sz w:val="18"/>
                <w:szCs w:val="18"/>
                <w:lang w:eastAsia="sl-SI"/>
              </w:rPr>
              <w:t>74.429.400</w:t>
            </w:r>
          </w:p>
        </w:tc>
      </w:tr>
      <w:tr w:rsidR="00A801CE" w:rsidRPr="00A801CE" w14:paraId="1C2561EF" w14:textId="77777777" w:rsidTr="00A801CE">
        <w:trPr>
          <w:trHeight w:val="300"/>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0B10F4B5" w14:textId="77777777" w:rsidR="00A801CE" w:rsidRPr="00A801CE" w:rsidRDefault="00A801CE" w:rsidP="00A801CE">
            <w:pPr>
              <w:spacing w:after="0" w:line="240" w:lineRule="auto"/>
              <w:rPr>
                <w:rFonts w:ascii="Arial" w:eastAsia="Times New Roman" w:hAnsi="Arial" w:cs="Arial"/>
                <w:color w:val="000000" w:themeColor="text1"/>
                <w:sz w:val="18"/>
                <w:szCs w:val="18"/>
                <w:lang w:eastAsia="sl-SI"/>
              </w:rPr>
            </w:pPr>
            <w:r w:rsidRPr="00A801CE">
              <w:rPr>
                <w:rFonts w:ascii="Arial" w:eastAsia="Times New Roman" w:hAnsi="Arial" w:cs="Arial"/>
                <w:color w:val="000000" w:themeColor="text1"/>
                <w:sz w:val="18"/>
                <w:szCs w:val="18"/>
                <w:lang w:eastAsia="sl-SI"/>
              </w:rPr>
              <w:t>12</w:t>
            </w:r>
          </w:p>
        </w:tc>
        <w:tc>
          <w:tcPr>
            <w:tcW w:w="3915" w:type="pct"/>
            <w:tcBorders>
              <w:top w:val="nil"/>
              <w:left w:val="nil"/>
              <w:bottom w:val="single" w:sz="4" w:space="0" w:color="auto"/>
              <w:right w:val="single" w:sz="4" w:space="0" w:color="auto"/>
            </w:tcBorders>
            <w:shd w:val="clear" w:color="auto" w:fill="auto"/>
            <w:vAlign w:val="center"/>
            <w:hideMark/>
          </w:tcPr>
          <w:p w14:paraId="2488755C" w14:textId="77777777" w:rsidR="00A801CE" w:rsidRPr="00A801CE" w:rsidRDefault="00A801CE" w:rsidP="00A801CE">
            <w:pPr>
              <w:spacing w:after="0" w:line="240" w:lineRule="auto"/>
              <w:rPr>
                <w:rFonts w:ascii="Arial" w:eastAsia="Times New Roman" w:hAnsi="Arial" w:cs="Arial"/>
                <w:color w:val="000000" w:themeColor="text1"/>
                <w:sz w:val="18"/>
                <w:szCs w:val="18"/>
                <w:lang w:eastAsia="sl-SI"/>
              </w:rPr>
            </w:pPr>
            <w:r w:rsidRPr="00A801CE">
              <w:rPr>
                <w:rFonts w:ascii="Arial" w:eastAsia="Times New Roman" w:hAnsi="Arial" w:cs="Arial"/>
                <w:color w:val="000000" w:themeColor="text1"/>
                <w:sz w:val="18"/>
                <w:szCs w:val="18"/>
                <w:lang w:eastAsia="sl-SI"/>
              </w:rPr>
              <w:t>MINISTRSTVO ZA PRAVOSODJE</w:t>
            </w:r>
          </w:p>
        </w:tc>
        <w:tc>
          <w:tcPr>
            <w:tcW w:w="786" w:type="pct"/>
            <w:tcBorders>
              <w:top w:val="nil"/>
              <w:left w:val="nil"/>
              <w:bottom w:val="single" w:sz="4" w:space="0" w:color="auto"/>
              <w:right w:val="single" w:sz="4" w:space="0" w:color="auto"/>
            </w:tcBorders>
            <w:shd w:val="clear" w:color="auto" w:fill="auto"/>
            <w:vAlign w:val="center"/>
            <w:hideMark/>
          </w:tcPr>
          <w:p w14:paraId="220B0757" w14:textId="77777777" w:rsidR="00A801CE" w:rsidRPr="00A801CE" w:rsidRDefault="00A801CE" w:rsidP="00A801CE">
            <w:pPr>
              <w:spacing w:after="0" w:line="240" w:lineRule="auto"/>
              <w:jc w:val="right"/>
              <w:rPr>
                <w:rFonts w:ascii="Arial" w:eastAsia="Times New Roman" w:hAnsi="Arial" w:cs="Arial"/>
                <w:color w:val="000000" w:themeColor="text1"/>
                <w:sz w:val="18"/>
                <w:szCs w:val="18"/>
                <w:lang w:eastAsia="sl-SI"/>
              </w:rPr>
            </w:pPr>
            <w:r w:rsidRPr="00A801CE">
              <w:rPr>
                <w:rFonts w:ascii="Arial" w:eastAsia="Times New Roman" w:hAnsi="Arial" w:cs="Arial"/>
                <w:color w:val="000000" w:themeColor="text1"/>
                <w:sz w:val="18"/>
                <w:szCs w:val="18"/>
                <w:lang w:eastAsia="sl-SI"/>
              </w:rPr>
              <w:t>67.082.672</w:t>
            </w:r>
          </w:p>
        </w:tc>
      </w:tr>
      <w:tr w:rsidR="00A801CE" w:rsidRPr="00A801CE" w14:paraId="0EA6D926" w14:textId="77777777" w:rsidTr="00A801CE">
        <w:trPr>
          <w:trHeight w:val="300"/>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612AD2AE" w14:textId="77777777" w:rsidR="00A801CE" w:rsidRPr="00A801CE" w:rsidRDefault="00A801CE" w:rsidP="00A801CE">
            <w:pPr>
              <w:spacing w:after="0" w:line="240" w:lineRule="auto"/>
              <w:rPr>
                <w:rFonts w:ascii="Arial" w:eastAsia="Times New Roman" w:hAnsi="Arial" w:cs="Arial"/>
                <w:color w:val="000000" w:themeColor="text1"/>
                <w:sz w:val="18"/>
                <w:szCs w:val="18"/>
                <w:lang w:eastAsia="sl-SI"/>
              </w:rPr>
            </w:pPr>
            <w:r w:rsidRPr="00A801CE">
              <w:rPr>
                <w:rFonts w:ascii="Arial" w:eastAsia="Times New Roman" w:hAnsi="Arial" w:cs="Arial"/>
                <w:color w:val="000000" w:themeColor="text1"/>
                <w:sz w:val="18"/>
                <w:szCs w:val="18"/>
                <w:lang w:eastAsia="sl-SI"/>
              </w:rPr>
              <w:t>13</w:t>
            </w:r>
          </w:p>
        </w:tc>
        <w:tc>
          <w:tcPr>
            <w:tcW w:w="3915" w:type="pct"/>
            <w:tcBorders>
              <w:top w:val="nil"/>
              <w:left w:val="nil"/>
              <w:bottom w:val="single" w:sz="4" w:space="0" w:color="auto"/>
              <w:right w:val="single" w:sz="4" w:space="0" w:color="auto"/>
            </w:tcBorders>
            <w:shd w:val="clear" w:color="auto" w:fill="auto"/>
            <w:vAlign w:val="center"/>
            <w:hideMark/>
          </w:tcPr>
          <w:p w14:paraId="42E15AA4" w14:textId="77777777" w:rsidR="00A801CE" w:rsidRPr="00A801CE" w:rsidRDefault="00A801CE" w:rsidP="00A801CE">
            <w:pPr>
              <w:spacing w:after="0" w:line="240" w:lineRule="auto"/>
              <w:rPr>
                <w:rFonts w:ascii="Arial" w:eastAsia="Times New Roman" w:hAnsi="Arial" w:cs="Arial"/>
                <w:color w:val="000000" w:themeColor="text1"/>
                <w:sz w:val="18"/>
                <w:szCs w:val="18"/>
                <w:lang w:eastAsia="sl-SI"/>
              </w:rPr>
            </w:pPr>
            <w:r w:rsidRPr="00A801CE">
              <w:rPr>
                <w:rFonts w:ascii="Arial" w:eastAsia="Times New Roman" w:hAnsi="Arial" w:cs="Arial"/>
                <w:color w:val="000000" w:themeColor="text1"/>
                <w:sz w:val="18"/>
                <w:szCs w:val="18"/>
                <w:lang w:eastAsia="sl-SI"/>
              </w:rPr>
              <w:t xml:space="preserve">JAVNO PODJETJE ENERGETIKA LJUBLJANA </w:t>
            </w:r>
            <w:proofErr w:type="spellStart"/>
            <w:r w:rsidRPr="00A801CE">
              <w:rPr>
                <w:rFonts w:ascii="Arial" w:eastAsia="Times New Roman" w:hAnsi="Arial" w:cs="Arial"/>
                <w:color w:val="000000" w:themeColor="text1"/>
                <w:sz w:val="18"/>
                <w:szCs w:val="18"/>
                <w:lang w:eastAsia="sl-SI"/>
              </w:rPr>
              <w:t>d.o.o</w:t>
            </w:r>
            <w:proofErr w:type="spellEnd"/>
            <w:r w:rsidRPr="00A801CE">
              <w:rPr>
                <w:rFonts w:ascii="Arial" w:eastAsia="Times New Roman" w:hAnsi="Arial" w:cs="Arial"/>
                <w:color w:val="000000" w:themeColor="text1"/>
                <w:sz w:val="18"/>
                <w:szCs w:val="18"/>
                <w:lang w:eastAsia="sl-SI"/>
              </w:rPr>
              <w:t>.</w:t>
            </w:r>
          </w:p>
        </w:tc>
        <w:tc>
          <w:tcPr>
            <w:tcW w:w="786" w:type="pct"/>
            <w:tcBorders>
              <w:top w:val="nil"/>
              <w:left w:val="nil"/>
              <w:bottom w:val="single" w:sz="4" w:space="0" w:color="auto"/>
              <w:right w:val="single" w:sz="4" w:space="0" w:color="auto"/>
            </w:tcBorders>
            <w:shd w:val="clear" w:color="auto" w:fill="auto"/>
            <w:vAlign w:val="center"/>
            <w:hideMark/>
          </w:tcPr>
          <w:p w14:paraId="5A5F21F7" w14:textId="77777777" w:rsidR="00A801CE" w:rsidRPr="00A801CE" w:rsidRDefault="00A801CE" w:rsidP="00A801CE">
            <w:pPr>
              <w:spacing w:after="0" w:line="240" w:lineRule="auto"/>
              <w:jc w:val="right"/>
              <w:rPr>
                <w:rFonts w:ascii="Arial" w:eastAsia="Times New Roman" w:hAnsi="Arial" w:cs="Arial"/>
                <w:color w:val="000000" w:themeColor="text1"/>
                <w:sz w:val="18"/>
                <w:szCs w:val="18"/>
                <w:lang w:eastAsia="sl-SI"/>
              </w:rPr>
            </w:pPr>
            <w:r w:rsidRPr="00A801CE">
              <w:rPr>
                <w:rFonts w:ascii="Arial" w:eastAsia="Times New Roman" w:hAnsi="Arial" w:cs="Arial"/>
                <w:color w:val="000000" w:themeColor="text1"/>
                <w:sz w:val="18"/>
                <w:szCs w:val="18"/>
                <w:lang w:eastAsia="sl-SI"/>
              </w:rPr>
              <w:t>57.498.926</w:t>
            </w:r>
          </w:p>
        </w:tc>
      </w:tr>
      <w:tr w:rsidR="00A801CE" w:rsidRPr="00A801CE" w14:paraId="05CD81E3" w14:textId="77777777" w:rsidTr="00A801CE">
        <w:trPr>
          <w:trHeight w:val="300"/>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31E5472B" w14:textId="77777777" w:rsidR="00A801CE" w:rsidRPr="00A801CE" w:rsidRDefault="00A801CE" w:rsidP="00A801CE">
            <w:pPr>
              <w:spacing w:after="0" w:line="240" w:lineRule="auto"/>
              <w:rPr>
                <w:rFonts w:ascii="Arial" w:eastAsia="Times New Roman" w:hAnsi="Arial" w:cs="Arial"/>
                <w:color w:val="000000" w:themeColor="text1"/>
                <w:sz w:val="18"/>
                <w:szCs w:val="18"/>
                <w:lang w:eastAsia="sl-SI"/>
              </w:rPr>
            </w:pPr>
            <w:r w:rsidRPr="00A801CE">
              <w:rPr>
                <w:rFonts w:ascii="Arial" w:eastAsia="Times New Roman" w:hAnsi="Arial" w:cs="Arial"/>
                <w:color w:val="000000" w:themeColor="text1"/>
                <w:sz w:val="18"/>
                <w:szCs w:val="18"/>
                <w:lang w:eastAsia="sl-SI"/>
              </w:rPr>
              <w:t>14</w:t>
            </w:r>
          </w:p>
        </w:tc>
        <w:tc>
          <w:tcPr>
            <w:tcW w:w="3915" w:type="pct"/>
            <w:tcBorders>
              <w:top w:val="nil"/>
              <w:left w:val="nil"/>
              <w:bottom w:val="single" w:sz="4" w:space="0" w:color="auto"/>
              <w:right w:val="single" w:sz="4" w:space="0" w:color="auto"/>
            </w:tcBorders>
            <w:shd w:val="clear" w:color="auto" w:fill="auto"/>
            <w:vAlign w:val="center"/>
            <w:hideMark/>
          </w:tcPr>
          <w:p w14:paraId="43E81796" w14:textId="77777777" w:rsidR="00A801CE" w:rsidRPr="00A801CE" w:rsidRDefault="00A801CE" w:rsidP="00A801CE">
            <w:pPr>
              <w:spacing w:after="0" w:line="240" w:lineRule="auto"/>
              <w:rPr>
                <w:rFonts w:ascii="Arial" w:eastAsia="Times New Roman" w:hAnsi="Arial" w:cs="Arial"/>
                <w:color w:val="000000" w:themeColor="text1"/>
                <w:sz w:val="18"/>
                <w:szCs w:val="18"/>
                <w:lang w:eastAsia="sl-SI"/>
              </w:rPr>
            </w:pPr>
            <w:r w:rsidRPr="00A801CE">
              <w:rPr>
                <w:rFonts w:ascii="Arial" w:eastAsia="Times New Roman" w:hAnsi="Arial" w:cs="Arial"/>
                <w:color w:val="000000" w:themeColor="text1"/>
                <w:sz w:val="18"/>
                <w:szCs w:val="18"/>
                <w:lang w:eastAsia="sl-SI"/>
              </w:rPr>
              <w:t>UNIVERZA V LJUBLJANI, MEDICINSKA FAKULTETA</w:t>
            </w:r>
          </w:p>
        </w:tc>
        <w:tc>
          <w:tcPr>
            <w:tcW w:w="786" w:type="pct"/>
            <w:tcBorders>
              <w:top w:val="nil"/>
              <w:left w:val="nil"/>
              <w:bottom w:val="single" w:sz="4" w:space="0" w:color="auto"/>
              <w:right w:val="single" w:sz="4" w:space="0" w:color="auto"/>
            </w:tcBorders>
            <w:shd w:val="clear" w:color="auto" w:fill="auto"/>
            <w:vAlign w:val="center"/>
            <w:hideMark/>
          </w:tcPr>
          <w:p w14:paraId="39DD9C9A" w14:textId="77777777" w:rsidR="00A801CE" w:rsidRPr="00A801CE" w:rsidRDefault="00A801CE" w:rsidP="00A801CE">
            <w:pPr>
              <w:spacing w:after="0" w:line="240" w:lineRule="auto"/>
              <w:jc w:val="right"/>
              <w:rPr>
                <w:rFonts w:ascii="Arial" w:eastAsia="Times New Roman" w:hAnsi="Arial" w:cs="Arial"/>
                <w:color w:val="000000" w:themeColor="text1"/>
                <w:sz w:val="18"/>
                <w:szCs w:val="18"/>
                <w:lang w:eastAsia="sl-SI"/>
              </w:rPr>
            </w:pPr>
            <w:r w:rsidRPr="00A801CE">
              <w:rPr>
                <w:rFonts w:ascii="Arial" w:eastAsia="Times New Roman" w:hAnsi="Arial" w:cs="Arial"/>
                <w:color w:val="000000" w:themeColor="text1"/>
                <w:sz w:val="18"/>
                <w:szCs w:val="18"/>
                <w:lang w:eastAsia="sl-SI"/>
              </w:rPr>
              <w:t>52.399.932</w:t>
            </w:r>
          </w:p>
        </w:tc>
      </w:tr>
      <w:tr w:rsidR="00A801CE" w:rsidRPr="00A801CE" w14:paraId="49425C29" w14:textId="77777777" w:rsidTr="00A801CE">
        <w:trPr>
          <w:trHeight w:val="300"/>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37FC8EF2" w14:textId="77777777" w:rsidR="00A801CE" w:rsidRPr="00A801CE" w:rsidRDefault="00A801CE" w:rsidP="00A801CE">
            <w:pPr>
              <w:spacing w:after="0" w:line="240" w:lineRule="auto"/>
              <w:rPr>
                <w:rFonts w:ascii="Arial" w:eastAsia="Times New Roman" w:hAnsi="Arial" w:cs="Arial"/>
                <w:color w:val="000000" w:themeColor="text1"/>
                <w:sz w:val="18"/>
                <w:szCs w:val="18"/>
                <w:lang w:eastAsia="sl-SI"/>
              </w:rPr>
            </w:pPr>
            <w:r w:rsidRPr="00A801CE">
              <w:rPr>
                <w:rFonts w:ascii="Arial" w:eastAsia="Times New Roman" w:hAnsi="Arial" w:cs="Arial"/>
                <w:color w:val="000000" w:themeColor="text1"/>
                <w:sz w:val="18"/>
                <w:szCs w:val="18"/>
                <w:lang w:eastAsia="sl-SI"/>
              </w:rPr>
              <w:t>15</w:t>
            </w:r>
          </w:p>
        </w:tc>
        <w:tc>
          <w:tcPr>
            <w:tcW w:w="3915" w:type="pct"/>
            <w:tcBorders>
              <w:top w:val="nil"/>
              <w:left w:val="nil"/>
              <w:bottom w:val="single" w:sz="4" w:space="0" w:color="auto"/>
              <w:right w:val="single" w:sz="4" w:space="0" w:color="auto"/>
            </w:tcBorders>
            <w:shd w:val="clear" w:color="auto" w:fill="auto"/>
            <w:vAlign w:val="center"/>
            <w:hideMark/>
          </w:tcPr>
          <w:p w14:paraId="6F04BD91" w14:textId="409612F7" w:rsidR="00A801CE" w:rsidRPr="00A801CE" w:rsidRDefault="00A801CE" w:rsidP="00A801CE">
            <w:pPr>
              <w:spacing w:after="0" w:line="240" w:lineRule="auto"/>
              <w:rPr>
                <w:rFonts w:ascii="Arial" w:eastAsia="Times New Roman" w:hAnsi="Arial" w:cs="Arial"/>
                <w:color w:val="000000" w:themeColor="text1"/>
                <w:sz w:val="18"/>
                <w:szCs w:val="18"/>
                <w:lang w:eastAsia="sl-SI"/>
              </w:rPr>
            </w:pPr>
            <w:r w:rsidRPr="00A801CE">
              <w:rPr>
                <w:rFonts w:ascii="Arial" w:eastAsia="Times New Roman" w:hAnsi="Arial" w:cs="Arial"/>
                <w:color w:val="000000" w:themeColor="text1"/>
                <w:sz w:val="18"/>
                <w:szCs w:val="18"/>
                <w:lang w:eastAsia="sl-SI"/>
              </w:rPr>
              <w:t xml:space="preserve">PLINOVODI, </w:t>
            </w:r>
            <w:proofErr w:type="spellStart"/>
            <w:r w:rsidRPr="00A801CE">
              <w:rPr>
                <w:rFonts w:ascii="Arial" w:eastAsia="Times New Roman" w:hAnsi="Arial" w:cs="Arial"/>
                <w:color w:val="000000" w:themeColor="text1"/>
                <w:sz w:val="18"/>
                <w:szCs w:val="18"/>
                <w:lang w:eastAsia="sl-SI"/>
              </w:rPr>
              <w:t>d.o</w:t>
            </w:r>
            <w:r w:rsidR="006E154A">
              <w:rPr>
                <w:rFonts w:ascii="Arial" w:eastAsia="Times New Roman" w:hAnsi="Arial" w:cs="Arial"/>
                <w:color w:val="000000" w:themeColor="text1"/>
                <w:sz w:val="18"/>
                <w:szCs w:val="18"/>
                <w:lang w:eastAsia="sl-SI"/>
              </w:rPr>
              <w:t>.</w:t>
            </w:r>
            <w:r w:rsidRPr="00A801CE">
              <w:rPr>
                <w:rFonts w:ascii="Arial" w:eastAsia="Times New Roman" w:hAnsi="Arial" w:cs="Arial"/>
                <w:color w:val="000000" w:themeColor="text1"/>
                <w:sz w:val="18"/>
                <w:szCs w:val="18"/>
                <w:lang w:eastAsia="sl-SI"/>
              </w:rPr>
              <w:t>o</w:t>
            </w:r>
            <w:proofErr w:type="spellEnd"/>
            <w:r w:rsidRPr="00A801CE">
              <w:rPr>
                <w:rFonts w:ascii="Arial" w:eastAsia="Times New Roman" w:hAnsi="Arial" w:cs="Arial"/>
                <w:color w:val="000000" w:themeColor="text1"/>
                <w:sz w:val="18"/>
                <w:szCs w:val="18"/>
                <w:lang w:eastAsia="sl-SI"/>
              </w:rPr>
              <w:t>.</w:t>
            </w:r>
          </w:p>
        </w:tc>
        <w:tc>
          <w:tcPr>
            <w:tcW w:w="786" w:type="pct"/>
            <w:tcBorders>
              <w:top w:val="nil"/>
              <w:left w:val="nil"/>
              <w:bottom w:val="single" w:sz="4" w:space="0" w:color="auto"/>
              <w:right w:val="single" w:sz="4" w:space="0" w:color="auto"/>
            </w:tcBorders>
            <w:shd w:val="clear" w:color="auto" w:fill="auto"/>
            <w:vAlign w:val="center"/>
            <w:hideMark/>
          </w:tcPr>
          <w:p w14:paraId="23E953D8" w14:textId="77777777" w:rsidR="00A801CE" w:rsidRPr="00A801CE" w:rsidRDefault="00A801CE" w:rsidP="00A801CE">
            <w:pPr>
              <w:spacing w:after="0" w:line="240" w:lineRule="auto"/>
              <w:jc w:val="right"/>
              <w:rPr>
                <w:rFonts w:ascii="Arial" w:eastAsia="Times New Roman" w:hAnsi="Arial" w:cs="Arial"/>
                <w:color w:val="000000" w:themeColor="text1"/>
                <w:sz w:val="18"/>
                <w:szCs w:val="18"/>
                <w:lang w:eastAsia="sl-SI"/>
              </w:rPr>
            </w:pPr>
            <w:r w:rsidRPr="00A801CE">
              <w:rPr>
                <w:rFonts w:ascii="Arial" w:eastAsia="Times New Roman" w:hAnsi="Arial" w:cs="Arial"/>
                <w:color w:val="000000" w:themeColor="text1"/>
                <w:sz w:val="18"/>
                <w:szCs w:val="18"/>
                <w:lang w:eastAsia="sl-SI"/>
              </w:rPr>
              <w:t>50.889.417</w:t>
            </w:r>
          </w:p>
        </w:tc>
      </w:tr>
    </w:tbl>
    <w:p w14:paraId="661F4739" w14:textId="77777777" w:rsidR="0058576E" w:rsidRPr="00A801CE" w:rsidRDefault="0058576E" w:rsidP="004A613D">
      <w:pPr>
        <w:spacing w:after="0" w:line="240" w:lineRule="auto"/>
        <w:jc w:val="center"/>
        <w:rPr>
          <w:rFonts w:ascii="Arial" w:hAnsi="Arial" w:cs="Arial"/>
          <w:sz w:val="18"/>
        </w:rPr>
      </w:pPr>
    </w:p>
    <w:p w14:paraId="00AD530E" w14:textId="5A9BCEDF" w:rsidR="00B905EB" w:rsidRPr="00A801CE" w:rsidRDefault="00F83DD4" w:rsidP="004A613D">
      <w:pPr>
        <w:spacing w:after="0" w:line="240" w:lineRule="auto"/>
        <w:jc w:val="center"/>
        <w:rPr>
          <w:rFonts w:ascii="Arial" w:hAnsi="Arial" w:cs="Arial"/>
          <w:sz w:val="18"/>
        </w:rPr>
      </w:pPr>
      <w:r w:rsidRPr="00A801CE">
        <w:rPr>
          <w:rFonts w:ascii="Arial" w:hAnsi="Arial" w:cs="Arial"/>
          <w:sz w:val="18"/>
        </w:rPr>
        <w:t>Vir: Statistični podatki o javni</w:t>
      </w:r>
      <w:r w:rsidR="009C708C" w:rsidRPr="00A801CE">
        <w:rPr>
          <w:rFonts w:ascii="Arial" w:hAnsi="Arial" w:cs="Arial"/>
          <w:sz w:val="18"/>
        </w:rPr>
        <w:t>h naročilih, oddanih v letu 20</w:t>
      </w:r>
      <w:r w:rsidR="004D43C6" w:rsidRPr="00A801CE">
        <w:rPr>
          <w:rFonts w:ascii="Arial" w:hAnsi="Arial" w:cs="Arial"/>
          <w:sz w:val="18"/>
        </w:rPr>
        <w:t>2</w:t>
      </w:r>
      <w:r w:rsidR="00A801CE" w:rsidRPr="00A801CE">
        <w:rPr>
          <w:rFonts w:ascii="Arial" w:hAnsi="Arial" w:cs="Arial"/>
          <w:sz w:val="18"/>
        </w:rPr>
        <w:t>2</w:t>
      </w:r>
      <w:r w:rsidR="00B0329F" w:rsidRPr="00A801CE">
        <w:rPr>
          <w:rFonts w:ascii="Arial" w:hAnsi="Arial" w:cs="Arial"/>
          <w:sz w:val="18"/>
        </w:rPr>
        <w:t>.</w:t>
      </w:r>
    </w:p>
    <w:p w14:paraId="2546BF2A" w14:textId="40E37859" w:rsidR="00B45EE0" w:rsidRPr="00BF7302" w:rsidRDefault="00B45EE0" w:rsidP="004A613D">
      <w:pPr>
        <w:spacing w:after="0" w:line="240" w:lineRule="auto"/>
        <w:jc w:val="center"/>
        <w:rPr>
          <w:rFonts w:ascii="Arial" w:hAnsi="Arial" w:cs="Arial"/>
          <w:sz w:val="18"/>
          <w:highlight w:val="yellow"/>
        </w:rPr>
      </w:pPr>
    </w:p>
    <w:p w14:paraId="718CD342" w14:textId="77777777" w:rsidR="004E69E6" w:rsidRPr="00934EFD" w:rsidRDefault="004E69E6" w:rsidP="004A613D">
      <w:pPr>
        <w:spacing w:after="0" w:line="240" w:lineRule="auto"/>
        <w:jc w:val="center"/>
        <w:rPr>
          <w:rFonts w:ascii="Arial" w:hAnsi="Arial" w:cs="Arial"/>
          <w:sz w:val="18"/>
        </w:rPr>
      </w:pPr>
    </w:p>
    <w:p w14:paraId="6B5F179C" w14:textId="687C4C84" w:rsidR="004A21A3" w:rsidRPr="00934EFD" w:rsidRDefault="004A21A3" w:rsidP="004A21A3">
      <w:pPr>
        <w:pStyle w:val="Naslov3"/>
        <w:rPr>
          <w:rFonts w:ascii="Arial" w:hAnsi="Arial" w:cs="Arial"/>
          <w:sz w:val="22"/>
          <w:szCs w:val="22"/>
        </w:rPr>
      </w:pPr>
      <w:bookmarkStart w:id="43" w:name="_Toc141864075"/>
      <w:r w:rsidRPr="00934EFD">
        <w:rPr>
          <w:rFonts w:ascii="Arial" w:hAnsi="Arial" w:cs="Arial"/>
          <w:sz w:val="22"/>
          <w:szCs w:val="22"/>
        </w:rPr>
        <w:t>2.</w:t>
      </w:r>
      <w:r w:rsidR="00FA2740" w:rsidRPr="00934EFD">
        <w:rPr>
          <w:rFonts w:ascii="Arial" w:hAnsi="Arial" w:cs="Arial"/>
          <w:sz w:val="22"/>
          <w:szCs w:val="22"/>
        </w:rPr>
        <w:t>7</w:t>
      </w:r>
      <w:r w:rsidRPr="00934EFD">
        <w:rPr>
          <w:rFonts w:ascii="Arial" w:hAnsi="Arial" w:cs="Arial"/>
          <w:sz w:val="22"/>
          <w:szCs w:val="22"/>
        </w:rPr>
        <w:t xml:space="preserve">.2 </w:t>
      </w:r>
      <w:r w:rsidR="00252272" w:rsidRPr="00934EFD">
        <w:rPr>
          <w:rFonts w:ascii="Arial" w:hAnsi="Arial" w:cs="Arial"/>
          <w:sz w:val="22"/>
          <w:szCs w:val="22"/>
        </w:rPr>
        <w:t>Ponudniki</w:t>
      </w:r>
      <w:r w:rsidRPr="00934EFD">
        <w:rPr>
          <w:rFonts w:ascii="Arial" w:hAnsi="Arial" w:cs="Arial"/>
          <w:sz w:val="22"/>
          <w:szCs w:val="22"/>
        </w:rPr>
        <w:t xml:space="preserve"> z največjo vrednostjo oddanih naročil v letu 20</w:t>
      </w:r>
      <w:r w:rsidR="001A32BB" w:rsidRPr="00934EFD">
        <w:rPr>
          <w:rFonts w:ascii="Arial" w:hAnsi="Arial" w:cs="Arial"/>
          <w:sz w:val="22"/>
          <w:szCs w:val="22"/>
        </w:rPr>
        <w:t>2</w:t>
      </w:r>
      <w:r w:rsidR="00934EFD" w:rsidRPr="00934EFD">
        <w:rPr>
          <w:rFonts w:ascii="Arial" w:hAnsi="Arial" w:cs="Arial"/>
          <w:sz w:val="22"/>
          <w:szCs w:val="22"/>
        </w:rPr>
        <w:t>2</w:t>
      </w:r>
      <w:bookmarkEnd w:id="43"/>
    </w:p>
    <w:p w14:paraId="3A19BDA3" w14:textId="77777777" w:rsidR="00B905EB" w:rsidRPr="00934EFD" w:rsidRDefault="00B905EB" w:rsidP="00854405">
      <w:pPr>
        <w:pStyle w:val="ZADEVA"/>
        <w:jc w:val="both"/>
        <w:rPr>
          <w:rFonts w:cs="Arial"/>
          <w:b w:val="0"/>
          <w:szCs w:val="20"/>
          <w:lang w:val="sl-SI"/>
        </w:rPr>
      </w:pPr>
    </w:p>
    <w:p w14:paraId="1FFFE294" w14:textId="6BEEC6B1" w:rsidR="00F83DD4" w:rsidRPr="00934EFD" w:rsidRDefault="00711BE8" w:rsidP="00252272">
      <w:pPr>
        <w:spacing w:line="360" w:lineRule="auto"/>
        <w:jc w:val="both"/>
        <w:rPr>
          <w:rFonts w:ascii="Arial" w:hAnsi="Arial" w:cs="Arial"/>
          <w:b/>
          <w:i/>
          <w:sz w:val="20"/>
          <w:szCs w:val="20"/>
          <w:lang w:eastAsia="sl-SI"/>
        </w:rPr>
      </w:pPr>
      <w:r w:rsidRPr="00934EFD">
        <w:rPr>
          <w:rFonts w:ascii="Arial" w:hAnsi="Arial" w:cs="Arial"/>
          <w:sz w:val="20"/>
          <w:szCs w:val="20"/>
        </w:rPr>
        <w:t>Leta</w:t>
      </w:r>
      <w:r w:rsidR="0007470C" w:rsidRPr="00934EFD">
        <w:rPr>
          <w:rFonts w:ascii="Arial" w:hAnsi="Arial" w:cs="Arial"/>
          <w:sz w:val="20"/>
          <w:szCs w:val="20"/>
        </w:rPr>
        <w:t xml:space="preserve"> 20</w:t>
      </w:r>
      <w:r w:rsidR="001A32BB" w:rsidRPr="00934EFD">
        <w:rPr>
          <w:rFonts w:ascii="Arial" w:hAnsi="Arial" w:cs="Arial"/>
          <w:sz w:val="20"/>
          <w:szCs w:val="20"/>
        </w:rPr>
        <w:t>2</w:t>
      </w:r>
      <w:r w:rsidR="00934EFD" w:rsidRPr="00934EFD">
        <w:rPr>
          <w:rFonts w:ascii="Arial" w:hAnsi="Arial" w:cs="Arial"/>
          <w:sz w:val="20"/>
          <w:szCs w:val="20"/>
        </w:rPr>
        <w:t>2</w:t>
      </w:r>
      <w:r w:rsidR="00252272" w:rsidRPr="00934EFD">
        <w:rPr>
          <w:rFonts w:ascii="Arial" w:hAnsi="Arial" w:cs="Arial"/>
          <w:sz w:val="20"/>
          <w:szCs w:val="20"/>
        </w:rPr>
        <w:t xml:space="preserve"> je bilo </w:t>
      </w:r>
      <w:r w:rsidR="00F37A5E" w:rsidRPr="00934EFD">
        <w:rPr>
          <w:rFonts w:ascii="Arial" w:hAnsi="Arial" w:cs="Arial"/>
          <w:sz w:val="20"/>
          <w:szCs w:val="20"/>
        </w:rPr>
        <w:t>d</w:t>
      </w:r>
      <w:r w:rsidR="00934EFD" w:rsidRPr="00934EFD">
        <w:rPr>
          <w:rFonts w:ascii="Arial" w:hAnsi="Arial" w:cs="Arial"/>
          <w:sz w:val="20"/>
          <w:szCs w:val="20"/>
        </w:rPr>
        <w:t>eset</w:t>
      </w:r>
      <w:r w:rsidR="00252272" w:rsidRPr="00934EFD">
        <w:rPr>
          <w:rFonts w:ascii="Arial" w:hAnsi="Arial" w:cs="Arial"/>
          <w:sz w:val="20"/>
          <w:szCs w:val="20"/>
        </w:rPr>
        <w:t xml:space="preserve"> ponudnikov, ki so po vrednosti pridobili največ javnih naročil</w:t>
      </w:r>
      <w:r w:rsidR="00934EFD" w:rsidRPr="00934EFD">
        <w:rPr>
          <w:rFonts w:ascii="Arial" w:hAnsi="Arial" w:cs="Arial"/>
          <w:sz w:val="20"/>
          <w:szCs w:val="20"/>
        </w:rPr>
        <w:t>,</w:t>
      </w:r>
      <w:r w:rsidR="00252272" w:rsidRPr="00934EFD">
        <w:rPr>
          <w:rFonts w:ascii="Arial" w:hAnsi="Arial" w:cs="Arial"/>
          <w:sz w:val="20"/>
          <w:szCs w:val="20"/>
        </w:rPr>
        <w:t xml:space="preserve"> iz Slovenije</w:t>
      </w:r>
      <w:r w:rsidR="00934EFD" w:rsidRPr="00934EFD">
        <w:rPr>
          <w:rFonts w:ascii="Arial" w:hAnsi="Arial" w:cs="Arial"/>
          <w:sz w:val="20"/>
          <w:szCs w:val="20"/>
        </w:rPr>
        <w:t>.</w:t>
      </w:r>
    </w:p>
    <w:p w14:paraId="78FEC648" w14:textId="77777777" w:rsidR="00C72E29" w:rsidRDefault="00C72E29">
      <w:pPr>
        <w:rPr>
          <w:rFonts w:ascii="Arial" w:hAnsi="Arial" w:cs="Arial"/>
          <w:sz w:val="20"/>
        </w:rPr>
      </w:pPr>
      <w:r>
        <w:rPr>
          <w:rFonts w:ascii="Arial" w:hAnsi="Arial" w:cs="Arial"/>
          <w:sz w:val="20"/>
        </w:rPr>
        <w:br w:type="page"/>
      </w:r>
    </w:p>
    <w:p w14:paraId="36A40E0D" w14:textId="7879F025" w:rsidR="00F83DD4" w:rsidRPr="00934EFD" w:rsidRDefault="00F83DD4" w:rsidP="0096196E">
      <w:pPr>
        <w:rPr>
          <w:rFonts w:ascii="Arial" w:hAnsi="Arial" w:cs="Arial"/>
          <w:sz w:val="20"/>
        </w:rPr>
      </w:pPr>
      <w:r w:rsidRPr="00934EFD">
        <w:rPr>
          <w:rFonts w:ascii="Arial" w:hAnsi="Arial" w:cs="Arial"/>
          <w:sz w:val="20"/>
        </w:rPr>
        <w:lastRenderedPageBreak/>
        <w:t xml:space="preserve">Preglednica </w:t>
      </w:r>
      <w:r w:rsidR="00512F52" w:rsidRPr="00934EFD">
        <w:rPr>
          <w:rFonts w:ascii="Arial" w:hAnsi="Arial" w:cs="Arial"/>
          <w:sz w:val="20"/>
        </w:rPr>
        <w:t>4</w:t>
      </w:r>
      <w:r w:rsidR="00EA747F">
        <w:rPr>
          <w:rFonts w:ascii="Arial" w:hAnsi="Arial" w:cs="Arial"/>
          <w:sz w:val="20"/>
        </w:rPr>
        <w:t>1</w:t>
      </w:r>
      <w:r w:rsidR="007A4AEF" w:rsidRPr="00934EFD">
        <w:rPr>
          <w:rFonts w:ascii="Arial" w:hAnsi="Arial" w:cs="Arial"/>
          <w:sz w:val="20"/>
        </w:rPr>
        <w:t>: Deset ponudnikov s skupno</w:t>
      </w:r>
      <w:r w:rsidRPr="00934EFD">
        <w:rPr>
          <w:rFonts w:ascii="Arial" w:hAnsi="Arial" w:cs="Arial"/>
          <w:sz w:val="20"/>
        </w:rPr>
        <w:t xml:space="preserve"> največjo vrednostj</w:t>
      </w:r>
      <w:r w:rsidR="003C5EDA" w:rsidRPr="00934EFD">
        <w:rPr>
          <w:rFonts w:ascii="Arial" w:hAnsi="Arial" w:cs="Arial"/>
          <w:sz w:val="20"/>
        </w:rPr>
        <w:t>o dodeljenih naročil v letu 20</w:t>
      </w:r>
      <w:r w:rsidR="001A32BB" w:rsidRPr="00934EFD">
        <w:rPr>
          <w:rFonts w:ascii="Arial" w:hAnsi="Arial" w:cs="Arial"/>
          <w:sz w:val="20"/>
        </w:rPr>
        <w:t>2</w:t>
      </w:r>
      <w:r w:rsidR="00934EFD" w:rsidRPr="00934EFD">
        <w:rPr>
          <w:rFonts w:ascii="Arial" w:hAnsi="Arial" w:cs="Arial"/>
          <w:sz w:val="20"/>
        </w:rPr>
        <w:t>2</w:t>
      </w:r>
    </w:p>
    <w:tbl>
      <w:tblPr>
        <w:tblW w:w="5000" w:type="pct"/>
        <w:tblCellMar>
          <w:left w:w="70" w:type="dxa"/>
          <w:right w:w="70" w:type="dxa"/>
        </w:tblCellMar>
        <w:tblLook w:val="04A0" w:firstRow="1" w:lastRow="0" w:firstColumn="1" w:lastColumn="0" w:noHBand="0" w:noVBand="1"/>
      </w:tblPr>
      <w:tblGrid>
        <w:gridCol w:w="501"/>
        <w:gridCol w:w="7482"/>
        <w:gridCol w:w="1191"/>
      </w:tblGrid>
      <w:tr w:rsidR="00934EFD" w:rsidRPr="00934EFD" w14:paraId="57BB45F1" w14:textId="77777777" w:rsidTr="00934EFD">
        <w:trPr>
          <w:trHeight w:val="300"/>
        </w:trPr>
        <w:tc>
          <w:tcPr>
            <w:tcW w:w="251"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044B86CB" w14:textId="77777777" w:rsidR="00934EFD" w:rsidRPr="00934EFD" w:rsidRDefault="00934EFD" w:rsidP="00934EFD">
            <w:pPr>
              <w:spacing w:after="0" w:line="240" w:lineRule="auto"/>
              <w:rPr>
                <w:rFonts w:ascii="Arial" w:eastAsia="Times New Roman" w:hAnsi="Arial" w:cs="Arial"/>
                <w:color w:val="000000"/>
                <w:sz w:val="18"/>
                <w:szCs w:val="18"/>
                <w:lang w:eastAsia="sl-SI"/>
              </w:rPr>
            </w:pPr>
            <w:proofErr w:type="spellStart"/>
            <w:r w:rsidRPr="00934EFD">
              <w:rPr>
                <w:rFonts w:ascii="Arial" w:eastAsia="Times New Roman" w:hAnsi="Arial" w:cs="Arial"/>
                <w:color w:val="000000"/>
                <w:sz w:val="18"/>
                <w:szCs w:val="18"/>
                <w:lang w:eastAsia="sl-SI"/>
              </w:rPr>
              <w:t>Zap</w:t>
            </w:r>
            <w:proofErr w:type="spellEnd"/>
            <w:r w:rsidRPr="00934EFD">
              <w:rPr>
                <w:rFonts w:ascii="Arial" w:eastAsia="Times New Roman" w:hAnsi="Arial" w:cs="Arial"/>
                <w:color w:val="000000"/>
                <w:sz w:val="18"/>
                <w:szCs w:val="18"/>
                <w:lang w:eastAsia="sl-SI"/>
              </w:rPr>
              <w:t xml:space="preserve">. št. </w:t>
            </w:r>
          </w:p>
        </w:tc>
        <w:tc>
          <w:tcPr>
            <w:tcW w:w="4089" w:type="pct"/>
            <w:tcBorders>
              <w:top w:val="single" w:sz="4" w:space="0" w:color="auto"/>
              <w:left w:val="nil"/>
              <w:bottom w:val="single" w:sz="4" w:space="0" w:color="auto"/>
              <w:right w:val="single" w:sz="4" w:space="0" w:color="auto"/>
            </w:tcBorders>
            <w:shd w:val="clear" w:color="000000" w:fill="F2F2F2"/>
            <w:noWrap/>
            <w:vAlign w:val="center"/>
            <w:hideMark/>
          </w:tcPr>
          <w:p w14:paraId="607ED11E" w14:textId="77777777" w:rsidR="00934EFD" w:rsidRPr="00934EFD" w:rsidRDefault="00934EFD" w:rsidP="00934EFD">
            <w:pPr>
              <w:spacing w:after="0" w:line="240" w:lineRule="auto"/>
              <w:jc w:val="center"/>
              <w:rPr>
                <w:rFonts w:ascii="Arial" w:eastAsia="Times New Roman" w:hAnsi="Arial" w:cs="Arial"/>
                <w:color w:val="000000"/>
                <w:sz w:val="18"/>
                <w:szCs w:val="18"/>
                <w:lang w:eastAsia="sl-SI"/>
              </w:rPr>
            </w:pPr>
            <w:r w:rsidRPr="00934EFD">
              <w:rPr>
                <w:rFonts w:ascii="Arial" w:eastAsia="Times New Roman" w:hAnsi="Arial" w:cs="Arial"/>
                <w:color w:val="000000"/>
                <w:sz w:val="18"/>
                <w:szCs w:val="18"/>
                <w:lang w:eastAsia="sl-SI"/>
              </w:rPr>
              <w:t>Ponudnik</w:t>
            </w:r>
          </w:p>
        </w:tc>
        <w:tc>
          <w:tcPr>
            <w:tcW w:w="660" w:type="pct"/>
            <w:tcBorders>
              <w:top w:val="single" w:sz="4" w:space="0" w:color="auto"/>
              <w:left w:val="nil"/>
              <w:bottom w:val="single" w:sz="4" w:space="0" w:color="auto"/>
              <w:right w:val="single" w:sz="4" w:space="0" w:color="auto"/>
            </w:tcBorders>
            <w:shd w:val="clear" w:color="000000" w:fill="F2F2F2"/>
            <w:vAlign w:val="center"/>
            <w:hideMark/>
          </w:tcPr>
          <w:p w14:paraId="7C294EA7" w14:textId="77777777" w:rsidR="00934EFD" w:rsidRPr="00934EFD" w:rsidRDefault="00934EFD" w:rsidP="00934EFD">
            <w:pPr>
              <w:spacing w:after="0" w:line="240" w:lineRule="auto"/>
              <w:jc w:val="center"/>
              <w:rPr>
                <w:rFonts w:ascii="Arial" w:eastAsia="Times New Roman" w:hAnsi="Arial" w:cs="Arial"/>
                <w:color w:val="000000"/>
                <w:sz w:val="18"/>
                <w:szCs w:val="18"/>
                <w:lang w:eastAsia="sl-SI"/>
              </w:rPr>
            </w:pPr>
            <w:r w:rsidRPr="00934EFD">
              <w:rPr>
                <w:rFonts w:ascii="Arial" w:eastAsia="Times New Roman" w:hAnsi="Arial" w:cs="Arial"/>
                <w:color w:val="000000"/>
                <w:sz w:val="18"/>
                <w:szCs w:val="18"/>
                <w:lang w:eastAsia="sl-SI"/>
              </w:rPr>
              <w:t>Pogodbena vrednost</w:t>
            </w:r>
          </w:p>
        </w:tc>
      </w:tr>
      <w:tr w:rsidR="00934EFD" w:rsidRPr="00934EFD" w14:paraId="2D13BB0C" w14:textId="77777777" w:rsidTr="00934EF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46771055" w14:textId="77777777" w:rsidR="00934EFD" w:rsidRPr="00934EFD" w:rsidRDefault="00934EFD" w:rsidP="00934EFD">
            <w:pPr>
              <w:spacing w:after="0" w:line="240" w:lineRule="auto"/>
              <w:rPr>
                <w:rFonts w:ascii="Arial" w:eastAsia="Times New Roman" w:hAnsi="Arial" w:cs="Arial"/>
                <w:color w:val="000000" w:themeColor="text1"/>
                <w:sz w:val="18"/>
                <w:szCs w:val="18"/>
                <w:lang w:eastAsia="sl-SI"/>
              </w:rPr>
            </w:pPr>
            <w:r w:rsidRPr="00934EFD">
              <w:rPr>
                <w:rFonts w:ascii="Arial" w:eastAsia="Times New Roman" w:hAnsi="Arial" w:cs="Arial"/>
                <w:color w:val="000000" w:themeColor="text1"/>
                <w:sz w:val="18"/>
                <w:szCs w:val="18"/>
                <w:lang w:eastAsia="sl-SI"/>
              </w:rPr>
              <w:t>1</w:t>
            </w:r>
          </w:p>
        </w:tc>
        <w:tc>
          <w:tcPr>
            <w:tcW w:w="4089" w:type="pct"/>
            <w:tcBorders>
              <w:top w:val="nil"/>
              <w:left w:val="nil"/>
              <w:bottom w:val="single" w:sz="4" w:space="0" w:color="auto"/>
              <w:right w:val="single" w:sz="4" w:space="0" w:color="auto"/>
            </w:tcBorders>
            <w:shd w:val="clear" w:color="auto" w:fill="auto"/>
            <w:vAlign w:val="center"/>
            <w:hideMark/>
          </w:tcPr>
          <w:p w14:paraId="60BA684A" w14:textId="77777777" w:rsidR="00934EFD" w:rsidRPr="00934EFD" w:rsidRDefault="00934EFD" w:rsidP="00934EFD">
            <w:pPr>
              <w:spacing w:after="0" w:line="240" w:lineRule="auto"/>
              <w:rPr>
                <w:rFonts w:ascii="Arial" w:eastAsia="Times New Roman" w:hAnsi="Arial" w:cs="Arial"/>
                <w:color w:val="000000" w:themeColor="text1"/>
                <w:sz w:val="18"/>
                <w:szCs w:val="18"/>
                <w:lang w:eastAsia="sl-SI"/>
              </w:rPr>
            </w:pPr>
            <w:r w:rsidRPr="00934EFD">
              <w:rPr>
                <w:rFonts w:ascii="Arial" w:eastAsia="Times New Roman" w:hAnsi="Arial" w:cs="Arial"/>
                <w:color w:val="000000" w:themeColor="text1"/>
                <w:sz w:val="18"/>
                <w:szCs w:val="18"/>
                <w:lang w:eastAsia="sl-SI"/>
              </w:rPr>
              <w:t xml:space="preserve">CGP, družba za gradbeništvo, inženiring, proizvodnjo in vzdrževanje cest, </w:t>
            </w:r>
            <w:proofErr w:type="spellStart"/>
            <w:r w:rsidRPr="00934EFD">
              <w:rPr>
                <w:rFonts w:ascii="Arial" w:eastAsia="Times New Roman" w:hAnsi="Arial" w:cs="Arial"/>
                <w:color w:val="000000" w:themeColor="text1"/>
                <w:sz w:val="18"/>
                <w:szCs w:val="18"/>
                <w:lang w:eastAsia="sl-SI"/>
              </w:rPr>
              <w:t>d.d</w:t>
            </w:r>
            <w:proofErr w:type="spellEnd"/>
            <w:r w:rsidRPr="00934EFD">
              <w:rPr>
                <w:rFonts w:ascii="Arial" w:eastAsia="Times New Roman" w:hAnsi="Arial" w:cs="Arial"/>
                <w:color w:val="000000" w:themeColor="text1"/>
                <w:sz w:val="18"/>
                <w:szCs w:val="18"/>
                <w:lang w:eastAsia="sl-SI"/>
              </w:rPr>
              <w:t>.</w:t>
            </w:r>
          </w:p>
        </w:tc>
        <w:tc>
          <w:tcPr>
            <w:tcW w:w="660" w:type="pct"/>
            <w:tcBorders>
              <w:top w:val="nil"/>
              <w:left w:val="nil"/>
              <w:bottom w:val="single" w:sz="4" w:space="0" w:color="auto"/>
              <w:right w:val="single" w:sz="4" w:space="0" w:color="auto"/>
            </w:tcBorders>
            <w:shd w:val="clear" w:color="auto" w:fill="auto"/>
            <w:vAlign w:val="center"/>
            <w:hideMark/>
          </w:tcPr>
          <w:p w14:paraId="6A3FCFCC" w14:textId="77777777" w:rsidR="00934EFD" w:rsidRPr="00934EFD" w:rsidRDefault="00934EFD" w:rsidP="00934EFD">
            <w:pPr>
              <w:spacing w:after="0" w:line="240" w:lineRule="auto"/>
              <w:jc w:val="right"/>
              <w:rPr>
                <w:rFonts w:ascii="Arial" w:eastAsia="Times New Roman" w:hAnsi="Arial" w:cs="Arial"/>
                <w:color w:val="000000" w:themeColor="text1"/>
                <w:sz w:val="18"/>
                <w:szCs w:val="18"/>
                <w:lang w:eastAsia="sl-SI"/>
              </w:rPr>
            </w:pPr>
            <w:r w:rsidRPr="00934EFD">
              <w:rPr>
                <w:rFonts w:ascii="Arial" w:eastAsia="Times New Roman" w:hAnsi="Arial" w:cs="Arial"/>
                <w:color w:val="000000" w:themeColor="text1"/>
                <w:sz w:val="18"/>
                <w:szCs w:val="18"/>
                <w:lang w:eastAsia="sl-SI"/>
              </w:rPr>
              <w:t>268.835.823</w:t>
            </w:r>
          </w:p>
        </w:tc>
      </w:tr>
      <w:tr w:rsidR="00934EFD" w:rsidRPr="00934EFD" w14:paraId="27C85376" w14:textId="77777777" w:rsidTr="00934EF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68FB9173" w14:textId="77777777" w:rsidR="00934EFD" w:rsidRPr="00934EFD" w:rsidRDefault="00934EFD" w:rsidP="00934EFD">
            <w:pPr>
              <w:spacing w:after="0" w:line="240" w:lineRule="auto"/>
              <w:rPr>
                <w:rFonts w:ascii="Arial" w:eastAsia="Times New Roman" w:hAnsi="Arial" w:cs="Arial"/>
                <w:color w:val="000000" w:themeColor="text1"/>
                <w:sz w:val="18"/>
                <w:szCs w:val="18"/>
                <w:lang w:eastAsia="sl-SI"/>
              </w:rPr>
            </w:pPr>
            <w:r w:rsidRPr="00934EFD">
              <w:rPr>
                <w:rFonts w:ascii="Arial" w:eastAsia="Times New Roman" w:hAnsi="Arial" w:cs="Arial"/>
                <w:color w:val="000000" w:themeColor="text1"/>
                <w:sz w:val="18"/>
                <w:szCs w:val="18"/>
                <w:lang w:eastAsia="sl-SI"/>
              </w:rPr>
              <w:t>2</w:t>
            </w:r>
          </w:p>
        </w:tc>
        <w:tc>
          <w:tcPr>
            <w:tcW w:w="4089" w:type="pct"/>
            <w:tcBorders>
              <w:top w:val="nil"/>
              <w:left w:val="nil"/>
              <w:bottom w:val="single" w:sz="4" w:space="0" w:color="auto"/>
              <w:right w:val="single" w:sz="4" w:space="0" w:color="auto"/>
            </w:tcBorders>
            <w:shd w:val="clear" w:color="auto" w:fill="auto"/>
            <w:vAlign w:val="center"/>
            <w:hideMark/>
          </w:tcPr>
          <w:p w14:paraId="1607DDAB" w14:textId="39CFA0FB" w:rsidR="00934EFD" w:rsidRPr="00934EFD" w:rsidRDefault="00934EFD" w:rsidP="00934EFD">
            <w:pPr>
              <w:spacing w:after="0" w:line="240" w:lineRule="auto"/>
              <w:rPr>
                <w:rFonts w:ascii="Arial" w:eastAsia="Times New Roman" w:hAnsi="Arial" w:cs="Arial"/>
                <w:color w:val="000000" w:themeColor="text1"/>
                <w:sz w:val="18"/>
                <w:szCs w:val="18"/>
                <w:lang w:eastAsia="sl-SI"/>
              </w:rPr>
            </w:pPr>
            <w:r w:rsidRPr="00934EFD">
              <w:rPr>
                <w:rFonts w:ascii="Arial" w:eastAsia="Times New Roman" w:hAnsi="Arial" w:cs="Arial"/>
                <w:color w:val="000000" w:themeColor="text1"/>
                <w:sz w:val="18"/>
                <w:szCs w:val="18"/>
                <w:lang w:eastAsia="sl-SI"/>
              </w:rPr>
              <w:t>GORENJSKA GRADBENA DRUŽBA</w:t>
            </w:r>
            <w:r>
              <w:rPr>
                <w:rFonts w:ascii="Arial" w:eastAsia="Times New Roman" w:hAnsi="Arial" w:cs="Arial"/>
                <w:color w:val="000000" w:themeColor="text1"/>
                <w:sz w:val="18"/>
                <w:szCs w:val="18"/>
                <w:lang w:eastAsia="sl-SI"/>
              </w:rPr>
              <w:t>,</w:t>
            </w:r>
            <w:r w:rsidRPr="00934EFD">
              <w:rPr>
                <w:rFonts w:ascii="Arial" w:eastAsia="Times New Roman" w:hAnsi="Arial" w:cs="Arial"/>
                <w:color w:val="000000" w:themeColor="text1"/>
                <w:sz w:val="18"/>
                <w:szCs w:val="18"/>
                <w:lang w:eastAsia="sl-SI"/>
              </w:rPr>
              <w:t xml:space="preserve"> </w:t>
            </w:r>
            <w:proofErr w:type="spellStart"/>
            <w:r w:rsidRPr="00934EFD">
              <w:rPr>
                <w:rFonts w:ascii="Arial" w:eastAsia="Times New Roman" w:hAnsi="Arial" w:cs="Arial"/>
                <w:color w:val="000000" w:themeColor="text1"/>
                <w:sz w:val="18"/>
                <w:szCs w:val="18"/>
                <w:lang w:eastAsia="sl-SI"/>
              </w:rPr>
              <w:t>d.d</w:t>
            </w:r>
            <w:proofErr w:type="spellEnd"/>
            <w:r w:rsidRPr="00934EFD">
              <w:rPr>
                <w:rFonts w:ascii="Arial" w:eastAsia="Times New Roman" w:hAnsi="Arial" w:cs="Arial"/>
                <w:color w:val="000000" w:themeColor="text1"/>
                <w:sz w:val="18"/>
                <w:szCs w:val="18"/>
                <w:lang w:eastAsia="sl-SI"/>
              </w:rPr>
              <w:t>.</w:t>
            </w:r>
          </w:p>
        </w:tc>
        <w:tc>
          <w:tcPr>
            <w:tcW w:w="660" w:type="pct"/>
            <w:tcBorders>
              <w:top w:val="nil"/>
              <w:left w:val="nil"/>
              <w:bottom w:val="single" w:sz="4" w:space="0" w:color="auto"/>
              <w:right w:val="single" w:sz="4" w:space="0" w:color="auto"/>
            </w:tcBorders>
            <w:shd w:val="clear" w:color="auto" w:fill="auto"/>
            <w:vAlign w:val="center"/>
            <w:hideMark/>
          </w:tcPr>
          <w:p w14:paraId="46CFAA62" w14:textId="77777777" w:rsidR="00934EFD" w:rsidRPr="00934EFD" w:rsidRDefault="00934EFD" w:rsidP="00934EFD">
            <w:pPr>
              <w:spacing w:after="0" w:line="240" w:lineRule="auto"/>
              <w:jc w:val="right"/>
              <w:rPr>
                <w:rFonts w:ascii="Arial" w:eastAsia="Times New Roman" w:hAnsi="Arial" w:cs="Arial"/>
                <w:color w:val="000000" w:themeColor="text1"/>
                <w:sz w:val="18"/>
                <w:szCs w:val="18"/>
                <w:lang w:eastAsia="sl-SI"/>
              </w:rPr>
            </w:pPr>
            <w:r w:rsidRPr="00934EFD">
              <w:rPr>
                <w:rFonts w:ascii="Arial" w:eastAsia="Times New Roman" w:hAnsi="Arial" w:cs="Arial"/>
                <w:color w:val="000000" w:themeColor="text1"/>
                <w:sz w:val="18"/>
                <w:szCs w:val="18"/>
                <w:lang w:eastAsia="sl-SI"/>
              </w:rPr>
              <w:t>248.243.146</w:t>
            </w:r>
          </w:p>
        </w:tc>
      </w:tr>
      <w:tr w:rsidR="00934EFD" w:rsidRPr="00934EFD" w14:paraId="350E616F" w14:textId="77777777" w:rsidTr="00934EF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4B3691E2" w14:textId="77777777" w:rsidR="00934EFD" w:rsidRPr="00934EFD" w:rsidRDefault="00934EFD" w:rsidP="00934EFD">
            <w:pPr>
              <w:spacing w:after="0" w:line="240" w:lineRule="auto"/>
              <w:rPr>
                <w:rFonts w:ascii="Arial" w:eastAsia="Times New Roman" w:hAnsi="Arial" w:cs="Arial"/>
                <w:color w:val="000000" w:themeColor="text1"/>
                <w:sz w:val="18"/>
                <w:szCs w:val="18"/>
                <w:lang w:eastAsia="sl-SI"/>
              </w:rPr>
            </w:pPr>
            <w:r w:rsidRPr="00934EFD">
              <w:rPr>
                <w:rFonts w:ascii="Arial" w:eastAsia="Times New Roman" w:hAnsi="Arial" w:cs="Arial"/>
                <w:color w:val="000000" w:themeColor="text1"/>
                <w:sz w:val="18"/>
                <w:szCs w:val="18"/>
                <w:lang w:eastAsia="sl-SI"/>
              </w:rPr>
              <w:t>3</w:t>
            </w:r>
          </w:p>
        </w:tc>
        <w:tc>
          <w:tcPr>
            <w:tcW w:w="4089" w:type="pct"/>
            <w:tcBorders>
              <w:top w:val="nil"/>
              <w:left w:val="nil"/>
              <w:bottom w:val="single" w:sz="4" w:space="0" w:color="auto"/>
              <w:right w:val="single" w:sz="4" w:space="0" w:color="auto"/>
            </w:tcBorders>
            <w:shd w:val="clear" w:color="auto" w:fill="auto"/>
            <w:vAlign w:val="center"/>
            <w:hideMark/>
          </w:tcPr>
          <w:p w14:paraId="078777E7" w14:textId="6D5F82A4" w:rsidR="00934EFD" w:rsidRPr="00934EFD" w:rsidRDefault="00934EFD" w:rsidP="00934EFD">
            <w:pPr>
              <w:spacing w:after="0" w:line="240" w:lineRule="auto"/>
              <w:rPr>
                <w:rFonts w:ascii="Arial" w:eastAsia="Times New Roman" w:hAnsi="Arial" w:cs="Arial"/>
                <w:color w:val="000000" w:themeColor="text1"/>
                <w:sz w:val="18"/>
                <w:szCs w:val="18"/>
                <w:lang w:eastAsia="sl-SI"/>
              </w:rPr>
            </w:pPr>
            <w:r w:rsidRPr="00934EFD">
              <w:rPr>
                <w:rFonts w:ascii="Arial" w:eastAsia="Times New Roman" w:hAnsi="Arial" w:cs="Arial"/>
                <w:color w:val="000000" w:themeColor="text1"/>
                <w:sz w:val="18"/>
                <w:szCs w:val="18"/>
                <w:lang w:eastAsia="sl-SI"/>
              </w:rPr>
              <w:t xml:space="preserve">SALUS, </w:t>
            </w:r>
            <w:proofErr w:type="spellStart"/>
            <w:r w:rsidRPr="00934EFD">
              <w:rPr>
                <w:rFonts w:ascii="Arial" w:eastAsia="Times New Roman" w:hAnsi="Arial" w:cs="Arial"/>
                <w:color w:val="000000" w:themeColor="text1"/>
                <w:sz w:val="18"/>
                <w:szCs w:val="18"/>
                <w:lang w:eastAsia="sl-SI"/>
              </w:rPr>
              <w:t>d.o.o</w:t>
            </w:r>
            <w:proofErr w:type="spellEnd"/>
            <w:r w:rsidRPr="00934EFD">
              <w:rPr>
                <w:rFonts w:ascii="Arial" w:eastAsia="Times New Roman" w:hAnsi="Arial" w:cs="Arial"/>
                <w:color w:val="000000" w:themeColor="text1"/>
                <w:sz w:val="18"/>
                <w:szCs w:val="18"/>
                <w:lang w:eastAsia="sl-SI"/>
              </w:rPr>
              <w:t>.</w:t>
            </w:r>
          </w:p>
        </w:tc>
        <w:tc>
          <w:tcPr>
            <w:tcW w:w="660" w:type="pct"/>
            <w:tcBorders>
              <w:top w:val="nil"/>
              <w:left w:val="nil"/>
              <w:bottom w:val="single" w:sz="4" w:space="0" w:color="auto"/>
              <w:right w:val="single" w:sz="4" w:space="0" w:color="auto"/>
            </w:tcBorders>
            <w:shd w:val="clear" w:color="auto" w:fill="auto"/>
            <w:vAlign w:val="center"/>
            <w:hideMark/>
          </w:tcPr>
          <w:p w14:paraId="730F8280" w14:textId="77777777" w:rsidR="00934EFD" w:rsidRPr="00934EFD" w:rsidRDefault="00934EFD" w:rsidP="00934EFD">
            <w:pPr>
              <w:spacing w:after="0" w:line="240" w:lineRule="auto"/>
              <w:jc w:val="right"/>
              <w:rPr>
                <w:rFonts w:ascii="Arial" w:eastAsia="Times New Roman" w:hAnsi="Arial" w:cs="Arial"/>
                <w:color w:val="000000" w:themeColor="text1"/>
                <w:sz w:val="18"/>
                <w:szCs w:val="18"/>
                <w:lang w:eastAsia="sl-SI"/>
              </w:rPr>
            </w:pPr>
            <w:r w:rsidRPr="00934EFD">
              <w:rPr>
                <w:rFonts w:ascii="Arial" w:eastAsia="Times New Roman" w:hAnsi="Arial" w:cs="Arial"/>
                <w:color w:val="000000" w:themeColor="text1"/>
                <w:sz w:val="18"/>
                <w:szCs w:val="18"/>
                <w:lang w:eastAsia="sl-SI"/>
              </w:rPr>
              <w:t>175.434.209</w:t>
            </w:r>
          </w:p>
        </w:tc>
      </w:tr>
      <w:tr w:rsidR="00934EFD" w:rsidRPr="00934EFD" w14:paraId="115F3B58" w14:textId="77777777" w:rsidTr="00934EF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03BCBFC3" w14:textId="77777777" w:rsidR="00934EFD" w:rsidRPr="00934EFD" w:rsidRDefault="00934EFD" w:rsidP="00934EFD">
            <w:pPr>
              <w:spacing w:after="0" w:line="240" w:lineRule="auto"/>
              <w:rPr>
                <w:rFonts w:ascii="Arial" w:eastAsia="Times New Roman" w:hAnsi="Arial" w:cs="Arial"/>
                <w:color w:val="000000" w:themeColor="text1"/>
                <w:sz w:val="18"/>
                <w:szCs w:val="18"/>
                <w:lang w:eastAsia="sl-SI"/>
              </w:rPr>
            </w:pPr>
            <w:r w:rsidRPr="00934EFD">
              <w:rPr>
                <w:rFonts w:ascii="Arial" w:eastAsia="Times New Roman" w:hAnsi="Arial" w:cs="Arial"/>
                <w:color w:val="000000" w:themeColor="text1"/>
                <w:sz w:val="18"/>
                <w:szCs w:val="18"/>
                <w:lang w:eastAsia="sl-SI"/>
              </w:rPr>
              <w:t>4</w:t>
            </w:r>
          </w:p>
        </w:tc>
        <w:tc>
          <w:tcPr>
            <w:tcW w:w="4089" w:type="pct"/>
            <w:tcBorders>
              <w:top w:val="nil"/>
              <w:left w:val="nil"/>
              <w:bottom w:val="single" w:sz="4" w:space="0" w:color="auto"/>
              <w:right w:val="single" w:sz="4" w:space="0" w:color="auto"/>
            </w:tcBorders>
            <w:shd w:val="clear" w:color="auto" w:fill="auto"/>
            <w:vAlign w:val="center"/>
            <w:hideMark/>
          </w:tcPr>
          <w:p w14:paraId="7B15468C" w14:textId="1979C3E1" w:rsidR="00934EFD" w:rsidRPr="00934EFD" w:rsidRDefault="006E154A" w:rsidP="00934EFD">
            <w:pPr>
              <w:spacing w:after="0" w:line="240" w:lineRule="auto"/>
              <w:rPr>
                <w:rFonts w:ascii="Arial" w:eastAsia="Times New Roman" w:hAnsi="Arial" w:cs="Arial"/>
                <w:color w:val="000000" w:themeColor="text1"/>
                <w:sz w:val="18"/>
                <w:szCs w:val="18"/>
                <w:lang w:eastAsia="sl-SI"/>
              </w:rPr>
            </w:pPr>
            <w:r w:rsidRPr="00934EFD">
              <w:rPr>
                <w:rFonts w:ascii="Arial" w:eastAsia="Times New Roman" w:hAnsi="Arial" w:cs="Arial"/>
                <w:color w:val="000000" w:themeColor="text1"/>
                <w:sz w:val="18"/>
                <w:szCs w:val="18"/>
                <w:lang w:eastAsia="sl-SI"/>
              </w:rPr>
              <w:t>KEMOFARMACIJA</w:t>
            </w:r>
            <w:r w:rsidR="00934EFD" w:rsidRPr="00934EFD">
              <w:rPr>
                <w:rFonts w:ascii="Arial" w:eastAsia="Times New Roman" w:hAnsi="Arial" w:cs="Arial"/>
                <w:color w:val="000000" w:themeColor="text1"/>
                <w:sz w:val="18"/>
                <w:szCs w:val="18"/>
                <w:lang w:eastAsia="sl-SI"/>
              </w:rPr>
              <w:t xml:space="preserve">, </w:t>
            </w:r>
            <w:proofErr w:type="spellStart"/>
            <w:r w:rsidR="00934EFD" w:rsidRPr="00934EFD">
              <w:rPr>
                <w:rFonts w:ascii="Arial" w:eastAsia="Times New Roman" w:hAnsi="Arial" w:cs="Arial"/>
                <w:color w:val="000000" w:themeColor="text1"/>
                <w:sz w:val="18"/>
                <w:szCs w:val="18"/>
                <w:lang w:eastAsia="sl-SI"/>
              </w:rPr>
              <w:t>d.d</w:t>
            </w:r>
            <w:proofErr w:type="spellEnd"/>
            <w:r w:rsidR="00934EFD" w:rsidRPr="00934EFD">
              <w:rPr>
                <w:rFonts w:ascii="Arial" w:eastAsia="Times New Roman" w:hAnsi="Arial" w:cs="Arial"/>
                <w:color w:val="000000" w:themeColor="text1"/>
                <w:sz w:val="18"/>
                <w:szCs w:val="18"/>
                <w:lang w:eastAsia="sl-SI"/>
              </w:rPr>
              <w:t>.</w:t>
            </w:r>
          </w:p>
        </w:tc>
        <w:tc>
          <w:tcPr>
            <w:tcW w:w="660" w:type="pct"/>
            <w:tcBorders>
              <w:top w:val="nil"/>
              <w:left w:val="nil"/>
              <w:bottom w:val="single" w:sz="4" w:space="0" w:color="auto"/>
              <w:right w:val="single" w:sz="4" w:space="0" w:color="auto"/>
            </w:tcBorders>
            <w:shd w:val="clear" w:color="auto" w:fill="auto"/>
            <w:vAlign w:val="center"/>
            <w:hideMark/>
          </w:tcPr>
          <w:p w14:paraId="7A40573A" w14:textId="77777777" w:rsidR="00934EFD" w:rsidRPr="00934EFD" w:rsidRDefault="00934EFD" w:rsidP="00934EFD">
            <w:pPr>
              <w:spacing w:after="0" w:line="240" w:lineRule="auto"/>
              <w:jc w:val="right"/>
              <w:rPr>
                <w:rFonts w:ascii="Arial" w:eastAsia="Times New Roman" w:hAnsi="Arial" w:cs="Arial"/>
                <w:color w:val="000000" w:themeColor="text1"/>
                <w:sz w:val="18"/>
                <w:szCs w:val="18"/>
                <w:lang w:eastAsia="sl-SI"/>
              </w:rPr>
            </w:pPr>
            <w:r w:rsidRPr="00934EFD">
              <w:rPr>
                <w:rFonts w:ascii="Arial" w:eastAsia="Times New Roman" w:hAnsi="Arial" w:cs="Arial"/>
                <w:color w:val="000000" w:themeColor="text1"/>
                <w:sz w:val="18"/>
                <w:szCs w:val="18"/>
                <w:lang w:eastAsia="sl-SI"/>
              </w:rPr>
              <w:t>165.577.851</w:t>
            </w:r>
          </w:p>
        </w:tc>
      </w:tr>
      <w:tr w:rsidR="00934EFD" w:rsidRPr="00934EFD" w14:paraId="0BDFECA9" w14:textId="77777777" w:rsidTr="00934EF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0D744868" w14:textId="77777777" w:rsidR="00934EFD" w:rsidRPr="00934EFD" w:rsidRDefault="00934EFD" w:rsidP="00934EFD">
            <w:pPr>
              <w:spacing w:after="0" w:line="240" w:lineRule="auto"/>
              <w:rPr>
                <w:rFonts w:ascii="Arial" w:eastAsia="Times New Roman" w:hAnsi="Arial" w:cs="Arial"/>
                <w:color w:val="000000" w:themeColor="text1"/>
                <w:sz w:val="18"/>
                <w:szCs w:val="18"/>
                <w:lang w:eastAsia="sl-SI"/>
              </w:rPr>
            </w:pPr>
            <w:r w:rsidRPr="00934EFD">
              <w:rPr>
                <w:rFonts w:ascii="Arial" w:eastAsia="Times New Roman" w:hAnsi="Arial" w:cs="Arial"/>
                <w:color w:val="000000" w:themeColor="text1"/>
                <w:sz w:val="18"/>
                <w:szCs w:val="18"/>
                <w:lang w:eastAsia="sl-SI"/>
              </w:rPr>
              <w:t>5</w:t>
            </w:r>
          </w:p>
        </w:tc>
        <w:tc>
          <w:tcPr>
            <w:tcW w:w="4089" w:type="pct"/>
            <w:tcBorders>
              <w:top w:val="nil"/>
              <w:left w:val="nil"/>
              <w:bottom w:val="single" w:sz="4" w:space="0" w:color="auto"/>
              <w:right w:val="single" w:sz="4" w:space="0" w:color="auto"/>
            </w:tcBorders>
            <w:shd w:val="clear" w:color="auto" w:fill="auto"/>
            <w:vAlign w:val="center"/>
            <w:hideMark/>
          </w:tcPr>
          <w:p w14:paraId="410A826A" w14:textId="77777777" w:rsidR="00934EFD" w:rsidRPr="00934EFD" w:rsidRDefault="00934EFD" w:rsidP="00934EFD">
            <w:pPr>
              <w:spacing w:after="0" w:line="240" w:lineRule="auto"/>
              <w:rPr>
                <w:rFonts w:ascii="Arial" w:eastAsia="Times New Roman" w:hAnsi="Arial" w:cs="Arial"/>
                <w:color w:val="000000" w:themeColor="text1"/>
                <w:sz w:val="18"/>
                <w:szCs w:val="18"/>
                <w:lang w:eastAsia="sl-SI"/>
              </w:rPr>
            </w:pPr>
            <w:r w:rsidRPr="00934EFD">
              <w:rPr>
                <w:rFonts w:ascii="Arial" w:eastAsia="Times New Roman" w:hAnsi="Arial" w:cs="Arial"/>
                <w:color w:val="000000" w:themeColor="text1"/>
                <w:sz w:val="18"/>
                <w:szCs w:val="18"/>
                <w:lang w:eastAsia="sl-SI"/>
              </w:rPr>
              <w:t xml:space="preserve">VOC CELJE, vzdrževanje in obnova cest </w:t>
            </w:r>
            <w:proofErr w:type="spellStart"/>
            <w:r w:rsidRPr="00934EFD">
              <w:rPr>
                <w:rFonts w:ascii="Arial" w:eastAsia="Times New Roman" w:hAnsi="Arial" w:cs="Arial"/>
                <w:color w:val="000000" w:themeColor="text1"/>
                <w:sz w:val="18"/>
                <w:szCs w:val="18"/>
                <w:lang w:eastAsia="sl-SI"/>
              </w:rPr>
              <w:t>d.o.o</w:t>
            </w:r>
            <w:proofErr w:type="spellEnd"/>
            <w:r w:rsidRPr="00934EFD">
              <w:rPr>
                <w:rFonts w:ascii="Arial" w:eastAsia="Times New Roman" w:hAnsi="Arial" w:cs="Arial"/>
                <w:color w:val="000000" w:themeColor="text1"/>
                <w:sz w:val="18"/>
                <w:szCs w:val="18"/>
                <w:lang w:eastAsia="sl-SI"/>
              </w:rPr>
              <w:t>.</w:t>
            </w:r>
          </w:p>
        </w:tc>
        <w:tc>
          <w:tcPr>
            <w:tcW w:w="660" w:type="pct"/>
            <w:tcBorders>
              <w:top w:val="nil"/>
              <w:left w:val="nil"/>
              <w:bottom w:val="single" w:sz="4" w:space="0" w:color="auto"/>
              <w:right w:val="single" w:sz="4" w:space="0" w:color="auto"/>
            </w:tcBorders>
            <w:shd w:val="clear" w:color="auto" w:fill="auto"/>
            <w:vAlign w:val="center"/>
            <w:hideMark/>
          </w:tcPr>
          <w:p w14:paraId="4B3A0508" w14:textId="77777777" w:rsidR="00934EFD" w:rsidRPr="00934EFD" w:rsidRDefault="00934EFD" w:rsidP="00934EFD">
            <w:pPr>
              <w:spacing w:after="0" w:line="240" w:lineRule="auto"/>
              <w:jc w:val="right"/>
              <w:rPr>
                <w:rFonts w:ascii="Arial" w:eastAsia="Times New Roman" w:hAnsi="Arial" w:cs="Arial"/>
                <w:color w:val="000000" w:themeColor="text1"/>
                <w:sz w:val="18"/>
                <w:szCs w:val="18"/>
                <w:lang w:eastAsia="sl-SI"/>
              </w:rPr>
            </w:pPr>
            <w:r w:rsidRPr="00934EFD">
              <w:rPr>
                <w:rFonts w:ascii="Arial" w:eastAsia="Times New Roman" w:hAnsi="Arial" w:cs="Arial"/>
                <w:color w:val="000000" w:themeColor="text1"/>
                <w:sz w:val="18"/>
                <w:szCs w:val="18"/>
                <w:lang w:eastAsia="sl-SI"/>
              </w:rPr>
              <w:t>151.622.846</w:t>
            </w:r>
          </w:p>
        </w:tc>
      </w:tr>
      <w:tr w:rsidR="00934EFD" w:rsidRPr="00934EFD" w14:paraId="0AB79B11" w14:textId="77777777" w:rsidTr="00934EF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2886C053" w14:textId="77777777" w:rsidR="00934EFD" w:rsidRPr="00934EFD" w:rsidRDefault="00934EFD" w:rsidP="00934EFD">
            <w:pPr>
              <w:spacing w:after="0" w:line="240" w:lineRule="auto"/>
              <w:rPr>
                <w:rFonts w:ascii="Arial" w:eastAsia="Times New Roman" w:hAnsi="Arial" w:cs="Arial"/>
                <w:color w:val="000000" w:themeColor="text1"/>
                <w:sz w:val="18"/>
                <w:szCs w:val="18"/>
                <w:lang w:eastAsia="sl-SI"/>
              </w:rPr>
            </w:pPr>
            <w:r w:rsidRPr="00934EFD">
              <w:rPr>
                <w:rFonts w:ascii="Arial" w:eastAsia="Times New Roman" w:hAnsi="Arial" w:cs="Arial"/>
                <w:color w:val="000000" w:themeColor="text1"/>
                <w:sz w:val="18"/>
                <w:szCs w:val="18"/>
                <w:lang w:eastAsia="sl-SI"/>
              </w:rPr>
              <w:t>6</w:t>
            </w:r>
          </w:p>
        </w:tc>
        <w:tc>
          <w:tcPr>
            <w:tcW w:w="4089" w:type="pct"/>
            <w:tcBorders>
              <w:top w:val="nil"/>
              <w:left w:val="nil"/>
              <w:bottom w:val="single" w:sz="4" w:space="0" w:color="auto"/>
              <w:right w:val="single" w:sz="4" w:space="0" w:color="auto"/>
            </w:tcBorders>
            <w:shd w:val="clear" w:color="auto" w:fill="auto"/>
            <w:vAlign w:val="center"/>
            <w:hideMark/>
          </w:tcPr>
          <w:p w14:paraId="548CFB14" w14:textId="77777777" w:rsidR="00934EFD" w:rsidRPr="00934EFD" w:rsidRDefault="00934EFD" w:rsidP="00934EFD">
            <w:pPr>
              <w:spacing w:after="0" w:line="240" w:lineRule="auto"/>
              <w:rPr>
                <w:rFonts w:ascii="Arial" w:eastAsia="Times New Roman" w:hAnsi="Arial" w:cs="Arial"/>
                <w:color w:val="000000" w:themeColor="text1"/>
                <w:sz w:val="18"/>
                <w:szCs w:val="18"/>
                <w:lang w:eastAsia="sl-SI"/>
              </w:rPr>
            </w:pPr>
            <w:r w:rsidRPr="00934EFD">
              <w:rPr>
                <w:rFonts w:ascii="Arial" w:eastAsia="Times New Roman" w:hAnsi="Arial" w:cs="Arial"/>
                <w:color w:val="000000" w:themeColor="text1"/>
                <w:sz w:val="18"/>
                <w:szCs w:val="18"/>
                <w:lang w:eastAsia="sl-SI"/>
              </w:rPr>
              <w:t xml:space="preserve">KOLEKTOR KOLING Inženiring, instalacije, proizvodnja </w:t>
            </w:r>
            <w:proofErr w:type="spellStart"/>
            <w:r w:rsidRPr="00934EFD">
              <w:rPr>
                <w:rFonts w:ascii="Arial" w:eastAsia="Times New Roman" w:hAnsi="Arial" w:cs="Arial"/>
                <w:color w:val="000000" w:themeColor="text1"/>
                <w:sz w:val="18"/>
                <w:szCs w:val="18"/>
                <w:lang w:eastAsia="sl-SI"/>
              </w:rPr>
              <w:t>d.o.o</w:t>
            </w:r>
            <w:proofErr w:type="spellEnd"/>
            <w:r w:rsidRPr="00934EFD">
              <w:rPr>
                <w:rFonts w:ascii="Arial" w:eastAsia="Times New Roman" w:hAnsi="Arial" w:cs="Arial"/>
                <w:color w:val="000000" w:themeColor="text1"/>
                <w:sz w:val="18"/>
                <w:szCs w:val="18"/>
                <w:lang w:eastAsia="sl-SI"/>
              </w:rPr>
              <w:t>.</w:t>
            </w:r>
          </w:p>
        </w:tc>
        <w:tc>
          <w:tcPr>
            <w:tcW w:w="660" w:type="pct"/>
            <w:tcBorders>
              <w:top w:val="nil"/>
              <w:left w:val="nil"/>
              <w:bottom w:val="single" w:sz="4" w:space="0" w:color="auto"/>
              <w:right w:val="single" w:sz="4" w:space="0" w:color="auto"/>
            </w:tcBorders>
            <w:shd w:val="clear" w:color="auto" w:fill="auto"/>
            <w:vAlign w:val="center"/>
            <w:hideMark/>
          </w:tcPr>
          <w:p w14:paraId="3F8920AE" w14:textId="77777777" w:rsidR="00934EFD" w:rsidRPr="00934EFD" w:rsidRDefault="00934EFD" w:rsidP="00934EFD">
            <w:pPr>
              <w:spacing w:after="0" w:line="240" w:lineRule="auto"/>
              <w:jc w:val="right"/>
              <w:rPr>
                <w:rFonts w:ascii="Arial" w:eastAsia="Times New Roman" w:hAnsi="Arial" w:cs="Arial"/>
                <w:color w:val="000000" w:themeColor="text1"/>
                <w:sz w:val="18"/>
                <w:szCs w:val="18"/>
                <w:lang w:eastAsia="sl-SI"/>
              </w:rPr>
            </w:pPr>
            <w:r w:rsidRPr="00934EFD">
              <w:rPr>
                <w:rFonts w:ascii="Arial" w:eastAsia="Times New Roman" w:hAnsi="Arial" w:cs="Arial"/>
                <w:color w:val="000000" w:themeColor="text1"/>
                <w:sz w:val="18"/>
                <w:szCs w:val="18"/>
                <w:lang w:eastAsia="sl-SI"/>
              </w:rPr>
              <w:t>150.001.278</w:t>
            </w:r>
          </w:p>
        </w:tc>
      </w:tr>
      <w:tr w:rsidR="00934EFD" w:rsidRPr="00934EFD" w14:paraId="718C0350" w14:textId="77777777" w:rsidTr="00934EF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40C48536" w14:textId="77777777" w:rsidR="00934EFD" w:rsidRPr="00934EFD" w:rsidRDefault="00934EFD" w:rsidP="00934EFD">
            <w:pPr>
              <w:spacing w:after="0" w:line="240" w:lineRule="auto"/>
              <w:rPr>
                <w:rFonts w:ascii="Arial" w:eastAsia="Times New Roman" w:hAnsi="Arial" w:cs="Arial"/>
                <w:color w:val="000000" w:themeColor="text1"/>
                <w:sz w:val="18"/>
                <w:szCs w:val="18"/>
                <w:lang w:eastAsia="sl-SI"/>
              </w:rPr>
            </w:pPr>
            <w:r w:rsidRPr="00934EFD">
              <w:rPr>
                <w:rFonts w:ascii="Arial" w:eastAsia="Times New Roman" w:hAnsi="Arial" w:cs="Arial"/>
                <w:color w:val="000000" w:themeColor="text1"/>
                <w:sz w:val="18"/>
                <w:szCs w:val="18"/>
                <w:lang w:eastAsia="sl-SI"/>
              </w:rPr>
              <w:t>7</w:t>
            </w:r>
          </w:p>
        </w:tc>
        <w:tc>
          <w:tcPr>
            <w:tcW w:w="4089" w:type="pct"/>
            <w:tcBorders>
              <w:top w:val="nil"/>
              <w:left w:val="nil"/>
              <w:bottom w:val="single" w:sz="4" w:space="0" w:color="auto"/>
              <w:right w:val="single" w:sz="4" w:space="0" w:color="auto"/>
            </w:tcBorders>
            <w:shd w:val="clear" w:color="auto" w:fill="auto"/>
            <w:vAlign w:val="center"/>
            <w:hideMark/>
          </w:tcPr>
          <w:p w14:paraId="4E373EA2" w14:textId="63E5F8DC" w:rsidR="00934EFD" w:rsidRPr="00934EFD" w:rsidRDefault="00934EFD" w:rsidP="00934EFD">
            <w:pPr>
              <w:spacing w:after="0" w:line="240" w:lineRule="auto"/>
              <w:rPr>
                <w:rFonts w:ascii="Arial" w:eastAsia="Times New Roman" w:hAnsi="Arial" w:cs="Arial"/>
                <w:color w:val="000000" w:themeColor="text1"/>
                <w:sz w:val="18"/>
                <w:szCs w:val="18"/>
                <w:lang w:eastAsia="sl-SI"/>
              </w:rPr>
            </w:pPr>
            <w:r w:rsidRPr="00934EFD">
              <w:rPr>
                <w:rFonts w:ascii="Arial" w:eastAsia="Times New Roman" w:hAnsi="Arial" w:cs="Arial"/>
                <w:color w:val="000000" w:themeColor="text1"/>
                <w:sz w:val="18"/>
                <w:szCs w:val="18"/>
                <w:lang w:eastAsia="sl-SI"/>
              </w:rPr>
              <w:t xml:space="preserve">POMGRAD </w:t>
            </w:r>
            <w:r w:rsidR="00A22784">
              <w:rPr>
                <w:rFonts w:ascii="Arial" w:eastAsia="Times New Roman" w:hAnsi="Arial" w:cs="Arial"/>
                <w:color w:val="000000" w:themeColor="text1"/>
                <w:sz w:val="18"/>
                <w:szCs w:val="18"/>
                <w:lang w:eastAsia="sl-SI"/>
              </w:rPr>
              <w:t>–</w:t>
            </w:r>
            <w:r w:rsidRPr="00934EFD">
              <w:rPr>
                <w:rFonts w:ascii="Arial" w:eastAsia="Times New Roman" w:hAnsi="Arial" w:cs="Arial"/>
                <w:color w:val="000000" w:themeColor="text1"/>
                <w:sz w:val="18"/>
                <w:szCs w:val="18"/>
                <w:lang w:eastAsia="sl-SI"/>
              </w:rPr>
              <w:t xml:space="preserve"> CESTNO PODJETJE, družba za vzdrževanje in gradnjo cest </w:t>
            </w:r>
            <w:proofErr w:type="spellStart"/>
            <w:r w:rsidRPr="00934EFD">
              <w:rPr>
                <w:rFonts w:ascii="Arial" w:eastAsia="Times New Roman" w:hAnsi="Arial" w:cs="Arial"/>
                <w:color w:val="000000" w:themeColor="text1"/>
                <w:sz w:val="18"/>
                <w:szCs w:val="18"/>
                <w:lang w:eastAsia="sl-SI"/>
              </w:rPr>
              <w:t>d.d</w:t>
            </w:r>
            <w:proofErr w:type="spellEnd"/>
            <w:r w:rsidRPr="00934EFD">
              <w:rPr>
                <w:rFonts w:ascii="Arial" w:eastAsia="Times New Roman" w:hAnsi="Arial" w:cs="Arial"/>
                <w:color w:val="000000" w:themeColor="text1"/>
                <w:sz w:val="18"/>
                <w:szCs w:val="18"/>
                <w:lang w:eastAsia="sl-SI"/>
              </w:rPr>
              <w:t>.</w:t>
            </w:r>
          </w:p>
        </w:tc>
        <w:tc>
          <w:tcPr>
            <w:tcW w:w="660" w:type="pct"/>
            <w:tcBorders>
              <w:top w:val="nil"/>
              <w:left w:val="nil"/>
              <w:bottom w:val="single" w:sz="4" w:space="0" w:color="auto"/>
              <w:right w:val="single" w:sz="4" w:space="0" w:color="auto"/>
            </w:tcBorders>
            <w:shd w:val="clear" w:color="auto" w:fill="auto"/>
            <w:vAlign w:val="center"/>
            <w:hideMark/>
          </w:tcPr>
          <w:p w14:paraId="386ABAC6" w14:textId="77777777" w:rsidR="00934EFD" w:rsidRPr="00934EFD" w:rsidRDefault="00934EFD" w:rsidP="00934EFD">
            <w:pPr>
              <w:spacing w:after="0" w:line="240" w:lineRule="auto"/>
              <w:jc w:val="right"/>
              <w:rPr>
                <w:rFonts w:ascii="Arial" w:eastAsia="Times New Roman" w:hAnsi="Arial" w:cs="Arial"/>
                <w:color w:val="000000" w:themeColor="text1"/>
                <w:sz w:val="18"/>
                <w:szCs w:val="18"/>
                <w:lang w:eastAsia="sl-SI"/>
              </w:rPr>
            </w:pPr>
            <w:r w:rsidRPr="00934EFD">
              <w:rPr>
                <w:rFonts w:ascii="Arial" w:eastAsia="Times New Roman" w:hAnsi="Arial" w:cs="Arial"/>
                <w:color w:val="000000" w:themeColor="text1"/>
                <w:sz w:val="18"/>
                <w:szCs w:val="18"/>
                <w:lang w:eastAsia="sl-SI"/>
              </w:rPr>
              <w:t>133.457.529</w:t>
            </w:r>
          </w:p>
        </w:tc>
      </w:tr>
      <w:tr w:rsidR="00934EFD" w:rsidRPr="00934EFD" w14:paraId="6124B7AF" w14:textId="77777777" w:rsidTr="00934EF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2367F58C" w14:textId="77777777" w:rsidR="00934EFD" w:rsidRPr="00934EFD" w:rsidRDefault="00934EFD" w:rsidP="00934EFD">
            <w:pPr>
              <w:spacing w:after="0" w:line="240" w:lineRule="auto"/>
              <w:rPr>
                <w:rFonts w:ascii="Arial" w:eastAsia="Times New Roman" w:hAnsi="Arial" w:cs="Arial"/>
                <w:color w:val="000000" w:themeColor="text1"/>
                <w:sz w:val="18"/>
                <w:szCs w:val="18"/>
                <w:lang w:eastAsia="sl-SI"/>
              </w:rPr>
            </w:pPr>
            <w:r w:rsidRPr="00934EFD">
              <w:rPr>
                <w:rFonts w:ascii="Arial" w:eastAsia="Times New Roman" w:hAnsi="Arial" w:cs="Arial"/>
                <w:color w:val="000000" w:themeColor="text1"/>
                <w:sz w:val="18"/>
                <w:szCs w:val="18"/>
                <w:lang w:eastAsia="sl-SI"/>
              </w:rPr>
              <w:t>8</w:t>
            </w:r>
          </w:p>
        </w:tc>
        <w:tc>
          <w:tcPr>
            <w:tcW w:w="4089" w:type="pct"/>
            <w:tcBorders>
              <w:top w:val="nil"/>
              <w:left w:val="nil"/>
              <w:bottom w:val="single" w:sz="4" w:space="0" w:color="auto"/>
              <w:right w:val="single" w:sz="4" w:space="0" w:color="auto"/>
            </w:tcBorders>
            <w:shd w:val="clear" w:color="auto" w:fill="auto"/>
            <w:vAlign w:val="center"/>
            <w:hideMark/>
          </w:tcPr>
          <w:p w14:paraId="6643BB79" w14:textId="690B0C79" w:rsidR="00934EFD" w:rsidRPr="00934EFD" w:rsidRDefault="00934EFD" w:rsidP="00934EFD">
            <w:pPr>
              <w:spacing w:after="0" w:line="240" w:lineRule="auto"/>
              <w:rPr>
                <w:rFonts w:ascii="Arial" w:eastAsia="Times New Roman" w:hAnsi="Arial" w:cs="Arial"/>
                <w:color w:val="000000" w:themeColor="text1"/>
                <w:sz w:val="18"/>
                <w:szCs w:val="18"/>
                <w:lang w:eastAsia="sl-SI"/>
              </w:rPr>
            </w:pPr>
            <w:r w:rsidRPr="00934EFD">
              <w:rPr>
                <w:rFonts w:ascii="Arial" w:eastAsia="Times New Roman" w:hAnsi="Arial" w:cs="Arial"/>
                <w:color w:val="000000" w:themeColor="text1"/>
                <w:sz w:val="18"/>
                <w:szCs w:val="18"/>
                <w:lang w:eastAsia="sl-SI"/>
              </w:rPr>
              <w:t xml:space="preserve">KOLEKTOR CESTNO PODJETJE NOVA GORICA, </w:t>
            </w:r>
            <w:proofErr w:type="spellStart"/>
            <w:r w:rsidRPr="00934EFD">
              <w:rPr>
                <w:rFonts w:ascii="Arial" w:eastAsia="Times New Roman" w:hAnsi="Arial" w:cs="Arial"/>
                <w:color w:val="000000" w:themeColor="text1"/>
                <w:sz w:val="18"/>
                <w:szCs w:val="18"/>
                <w:lang w:eastAsia="sl-SI"/>
              </w:rPr>
              <w:t>d.o.o</w:t>
            </w:r>
            <w:proofErr w:type="spellEnd"/>
            <w:r w:rsidRPr="00934EFD">
              <w:rPr>
                <w:rFonts w:ascii="Arial" w:eastAsia="Times New Roman" w:hAnsi="Arial" w:cs="Arial"/>
                <w:color w:val="000000" w:themeColor="text1"/>
                <w:sz w:val="18"/>
                <w:szCs w:val="18"/>
                <w:lang w:eastAsia="sl-SI"/>
              </w:rPr>
              <w:t>.</w:t>
            </w:r>
          </w:p>
        </w:tc>
        <w:tc>
          <w:tcPr>
            <w:tcW w:w="660" w:type="pct"/>
            <w:tcBorders>
              <w:top w:val="nil"/>
              <w:left w:val="nil"/>
              <w:bottom w:val="single" w:sz="4" w:space="0" w:color="auto"/>
              <w:right w:val="single" w:sz="4" w:space="0" w:color="auto"/>
            </w:tcBorders>
            <w:shd w:val="clear" w:color="auto" w:fill="auto"/>
            <w:vAlign w:val="center"/>
            <w:hideMark/>
          </w:tcPr>
          <w:p w14:paraId="4F7BF2F6" w14:textId="77777777" w:rsidR="00934EFD" w:rsidRPr="00934EFD" w:rsidRDefault="00934EFD" w:rsidP="00934EFD">
            <w:pPr>
              <w:spacing w:after="0" w:line="240" w:lineRule="auto"/>
              <w:jc w:val="right"/>
              <w:rPr>
                <w:rFonts w:ascii="Arial" w:eastAsia="Times New Roman" w:hAnsi="Arial" w:cs="Arial"/>
                <w:color w:val="000000" w:themeColor="text1"/>
                <w:sz w:val="18"/>
                <w:szCs w:val="18"/>
                <w:lang w:eastAsia="sl-SI"/>
              </w:rPr>
            </w:pPr>
            <w:r w:rsidRPr="00934EFD">
              <w:rPr>
                <w:rFonts w:ascii="Arial" w:eastAsia="Times New Roman" w:hAnsi="Arial" w:cs="Arial"/>
                <w:color w:val="000000" w:themeColor="text1"/>
                <w:sz w:val="18"/>
                <w:szCs w:val="18"/>
                <w:lang w:eastAsia="sl-SI"/>
              </w:rPr>
              <w:t>117.980.088</w:t>
            </w:r>
          </w:p>
        </w:tc>
      </w:tr>
      <w:tr w:rsidR="00934EFD" w:rsidRPr="00934EFD" w14:paraId="29B4A0AB" w14:textId="77777777" w:rsidTr="00934EF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58A79920" w14:textId="77777777" w:rsidR="00934EFD" w:rsidRPr="00934EFD" w:rsidRDefault="00934EFD" w:rsidP="00934EFD">
            <w:pPr>
              <w:spacing w:after="0" w:line="240" w:lineRule="auto"/>
              <w:rPr>
                <w:rFonts w:ascii="Arial" w:eastAsia="Times New Roman" w:hAnsi="Arial" w:cs="Arial"/>
                <w:color w:val="000000" w:themeColor="text1"/>
                <w:sz w:val="18"/>
                <w:szCs w:val="18"/>
                <w:lang w:eastAsia="sl-SI"/>
              </w:rPr>
            </w:pPr>
            <w:r w:rsidRPr="00934EFD">
              <w:rPr>
                <w:rFonts w:ascii="Arial" w:eastAsia="Times New Roman" w:hAnsi="Arial" w:cs="Arial"/>
                <w:color w:val="000000" w:themeColor="text1"/>
                <w:sz w:val="18"/>
                <w:szCs w:val="18"/>
                <w:lang w:eastAsia="sl-SI"/>
              </w:rPr>
              <w:t>9</w:t>
            </w:r>
          </w:p>
        </w:tc>
        <w:tc>
          <w:tcPr>
            <w:tcW w:w="4089" w:type="pct"/>
            <w:tcBorders>
              <w:top w:val="nil"/>
              <w:left w:val="nil"/>
              <w:bottom w:val="single" w:sz="4" w:space="0" w:color="auto"/>
              <w:right w:val="single" w:sz="4" w:space="0" w:color="auto"/>
            </w:tcBorders>
            <w:shd w:val="clear" w:color="auto" w:fill="auto"/>
            <w:vAlign w:val="center"/>
            <w:hideMark/>
          </w:tcPr>
          <w:p w14:paraId="30AA57B0" w14:textId="77777777" w:rsidR="00934EFD" w:rsidRPr="00934EFD" w:rsidRDefault="00934EFD" w:rsidP="00934EFD">
            <w:pPr>
              <w:spacing w:after="0" w:line="240" w:lineRule="auto"/>
              <w:rPr>
                <w:rFonts w:ascii="Arial" w:eastAsia="Times New Roman" w:hAnsi="Arial" w:cs="Arial"/>
                <w:color w:val="000000" w:themeColor="text1"/>
                <w:sz w:val="18"/>
                <w:szCs w:val="18"/>
                <w:lang w:eastAsia="sl-SI"/>
              </w:rPr>
            </w:pPr>
            <w:r w:rsidRPr="00934EFD">
              <w:rPr>
                <w:rFonts w:ascii="Arial" w:eastAsia="Times New Roman" w:hAnsi="Arial" w:cs="Arial"/>
                <w:color w:val="000000" w:themeColor="text1"/>
                <w:sz w:val="18"/>
                <w:szCs w:val="18"/>
                <w:lang w:eastAsia="sl-SI"/>
              </w:rPr>
              <w:t xml:space="preserve">PETROL, Slovenska energetska družba, </w:t>
            </w:r>
            <w:proofErr w:type="spellStart"/>
            <w:r w:rsidRPr="00934EFD">
              <w:rPr>
                <w:rFonts w:ascii="Arial" w:eastAsia="Times New Roman" w:hAnsi="Arial" w:cs="Arial"/>
                <w:color w:val="000000" w:themeColor="text1"/>
                <w:sz w:val="18"/>
                <w:szCs w:val="18"/>
                <w:lang w:eastAsia="sl-SI"/>
              </w:rPr>
              <w:t>d.d</w:t>
            </w:r>
            <w:proofErr w:type="spellEnd"/>
            <w:r w:rsidRPr="00934EFD">
              <w:rPr>
                <w:rFonts w:ascii="Arial" w:eastAsia="Times New Roman" w:hAnsi="Arial" w:cs="Arial"/>
                <w:color w:val="000000" w:themeColor="text1"/>
                <w:sz w:val="18"/>
                <w:szCs w:val="18"/>
                <w:lang w:eastAsia="sl-SI"/>
              </w:rPr>
              <w:t>., Ljubljana</w:t>
            </w:r>
          </w:p>
        </w:tc>
        <w:tc>
          <w:tcPr>
            <w:tcW w:w="660" w:type="pct"/>
            <w:tcBorders>
              <w:top w:val="nil"/>
              <w:left w:val="nil"/>
              <w:bottom w:val="single" w:sz="4" w:space="0" w:color="auto"/>
              <w:right w:val="single" w:sz="4" w:space="0" w:color="auto"/>
            </w:tcBorders>
            <w:shd w:val="clear" w:color="auto" w:fill="auto"/>
            <w:vAlign w:val="center"/>
            <w:hideMark/>
          </w:tcPr>
          <w:p w14:paraId="11F2C678" w14:textId="77777777" w:rsidR="00934EFD" w:rsidRPr="00934EFD" w:rsidRDefault="00934EFD" w:rsidP="00934EFD">
            <w:pPr>
              <w:spacing w:after="0" w:line="240" w:lineRule="auto"/>
              <w:jc w:val="right"/>
              <w:rPr>
                <w:rFonts w:ascii="Arial" w:eastAsia="Times New Roman" w:hAnsi="Arial" w:cs="Arial"/>
                <w:color w:val="000000" w:themeColor="text1"/>
                <w:sz w:val="18"/>
                <w:szCs w:val="18"/>
                <w:lang w:eastAsia="sl-SI"/>
              </w:rPr>
            </w:pPr>
            <w:r w:rsidRPr="00934EFD">
              <w:rPr>
                <w:rFonts w:ascii="Arial" w:eastAsia="Times New Roman" w:hAnsi="Arial" w:cs="Arial"/>
                <w:color w:val="000000" w:themeColor="text1"/>
                <w:sz w:val="18"/>
                <w:szCs w:val="18"/>
                <w:lang w:eastAsia="sl-SI"/>
              </w:rPr>
              <w:t>104.648.954</w:t>
            </w:r>
          </w:p>
        </w:tc>
      </w:tr>
      <w:tr w:rsidR="00934EFD" w:rsidRPr="00934EFD" w14:paraId="71632A1A" w14:textId="77777777" w:rsidTr="00934EFD">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11848702" w14:textId="77777777" w:rsidR="00934EFD" w:rsidRPr="00934EFD" w:rsidRDefault="00934EFD" w:rsidP="00934EFD">
            <w:pPr>
              <w:spacing w:after="0" w:line="240" w:lineRule="auto"/>
              <w:rPr>
                <w:rFonts w:ascii="Arial" w:eastAsia="Times New Roman" w:hAnsi="Arial" w:cs="Arial"/>
                <w:color w:val="000000" w:themeColor="text1"/>
                <w:sz w:val="18"/>
                <w:szCs w:val="18"/>
                <w:lang w:eastAsia="sl-SI"/>
              </w:rPr>
            </w:pPr>
            <w:r w:rsidRPr="00934EFD">
              <w:rPr>
                <w:rFonts w:ascii="Arial" w:eastAsia="Times New Roman" w:hAnsi="Arial" w:cs="Arial"/>
                <w:color w:val="000000" w:themeColor="text1"/>
                <w:sz w:val="18"/>
                <w:szCs w:val="18"/>
                <w:lang w:eastAsia="sl-SI"/>
              </w:rPr>
              <w:t>10</w:t>
            </w:r>
          </w:p>
        </w:tc>
        <w:tc>
          <w:tcPr>
            <w:tcW w:w="4089" w:type="pct"/>
            <w:tcBorders>
              <w:top w:val="nil"/>
              <w:left w:val="nil"/>
              <w:bottom w:val="single" w:sz="4" w:space="0" w:color="auto"/>
              <w:right w:val="single" w:sz="4" w:space="0" w:color="auto"/>
            </w:tcBorders>
            <w:shd w:val="clear" w:color="auto" w:fill="auto"/>
            <w:vAlign w:val="center"/>
            <w:hideMark/>
          </w:tcPr>
          <w:p w14:paraId="243C04C3" w14:textId="77777777" w:rsidR="00934EFD" w:rsidRPr="00934EFD" w:rsidRDefault="00934EFD" w:rsidP="00934EFD">
            <w:pPr>
              <w:spacing w:after="0" w:line="240" w:lineRule="auto"/>
              <w:rPr>
                <w:rFonts w:ascii="Arial" w:eastAsia="Times New Roman" w:hAnsi="Arial" w:cs="Arial"/>
                <w:color w:val="000000" w:themeColor="text1"/>
                <w:sz w:val="18"/>
                <w:szCs w:val="18"/>
                <w:lang w:eastAsia="sl-SI"/>
              </w:rPr>
            </w:pPr>
            <w:r w:rsidRPr="00934EFD">
              <w:rPr>
                <w:rFonts w:ascii="Arial" w:eastAsia="Times New Roman" w:hAnsi="Arial" w:cs="Arial"/>
                <w:color w:val="000000" w:themeColor="text1"/>
                <w:sz w:val="18"/>
                <w:szCs w:val="18"/>
                <w:lang w:eastAsia="sl-SI"/>
              </w:rPr>
              <w:t xml:space="preserve">MAKRO 5 GRADNJE, izgradnja objektov, </w:t>
            </w:r>
            <w:proofErr w:type="spellStart"/>
            <w:r w:rsidRPr="00934EFD">
              <w:rPr>
                <w:rFonts w:ascii="Arial" w:eastAsia="Times New Roman" w:hAnsi="Arial" w:cs="Arial"/>
                <w:color w:val="000000" w:themeColor="text1"/>
                <w:sz w:val="18"/>
                <w:szCs w:val="18"/>
                <w:lang w:eastAsia="sl-SI"/>
              </w:rPr>
              <w:t>d.o.o</w:t>
            </w:r>
            <w:proofErr w:type="spellEnd"/>
            <w:r w:rsidRPr="00934EFD">
              <w:rPr>
                <w:rFonts w:ascii="Arial" w:eastAsia="Times New Roman" w:hAnsi="Arial" w:cs="Arial"/>
                <w:color w:val="000000" w:themeColor="text1"/>
                <w:sz w:val="18"/>
                <w:szCs w:val="18"/>
                <w:lang w:eastAsia="sl-SI"/>
              </w:rPr>
              <w:t>.</w:t>
            </w:r>
          </w:p>
        </w:tc>
        <w:tc>
          <w:tcPr>
            <w:tcW w:w="660" w:type="pct"/>
            <w:tcBorders>
              <w:top w:val="nil"/>
              <w:left w:val="nil"/>
              <w:bottom w:val="single" w:sz="4" w:space="0" w:color="auto"/>
              <w:right w:val="single" w:sz="4" w:space="0" w:color="auto"/>
            </w:tcBorders>
            <w:shd w:val="clear" w:color="auto" w:fill="auto"/>
            <w:vAlign w:val="center"/>
            <w:hideMark/>
          </w:tcPr>
          <w:p w14:paraId="2D8F66B0" w14:textId="77777777" w:rsidR="00934EFD" w:rsidRPr="00934EFD" w:rsidRDefault="00934EFD" w:rsidP="00934EFD">
            <w:pPr>
              <w:spacing w:after="0" w:line="240" w:lineRule="auto"/>
              <w:jc w:val="right"/>
              <w:rPr>
                <w:rFonts w:ascii="Arial" w:eastAsia="Times New Roman" w:hAnsi="Arial" w:cs="Arial"/>
                <w:color w:val="000000" w:themeColor="text1"/>
                <w:sz w:val="18"/>
                <w:szCs w:val="18"/>
                <w:lang w:eastAsia="sl-SI"/>
              </w:rPr>
            </w:pPr>
            <w:r w:rsidRPr="00934EFD">
              <w:rPr>
                <w:rFonts w:ascii="Arial" w:eastAsia="Times New Roman" w:hAnsi="Arial" w:cs="Arial"/>
                <w:color w:val="000000" w:themeColor="text1"/>
                <w:sz w:val="18"/>
                <w:szCs w:val="18"/>
                <w:lang w:eastAsia="sl-SI"/>
              </w:rPr>
              <w:t>102.482.246</w:t>
            </w:r>
          </w:p>
        </w:tc>
      </w:tr>
    </w:tbl>
    <w:p w14:paraId="5EC8BE95" w14:textId="77777777" w:rsidR="00D06862" w:rsidRPr="006E154A" w:rsidRDefault="00D06862" w:rsidP="004A613D">
      <w:pPr>
        <w:spacing w:after="0" w:line="240" w:lineRule="auto"/>
        <w:jc w:val="center"/>
        <w:rPr>
          <w:rFonts w:ascii="Arial" w:hAnsi="Arial" w:cs="Arial"/>
          <w:sz w:val="18"/>
        </w:rPr>
      </w:pPr>
    </w:p>
    <w:p w14:paraId="37107AAA" w14:textId="268A0403" w:rsidR="00F83DD4" w:rsidRPr="006E154A" w:rsidRDefault="00F83DD4" w:rsidP="004A613D">
      <w:pPr>
        <w:spacing w:after="0" w:line="240" w:lineRule="auto"/>
        <w:jc w:val="center"/>
        <w:rPr>
          <w:rFonts w:ascii="Arial" w:hAnsi="Arial" w:cs="Arial"/>
          <w:sz w:val="18"/>
        </w:rPr>
      </w:pPr>
      <w:r w:rsidRPr="006E154A">
        <w:rPr>
          <w:rFonts w:ascii="Arial" w:hAnsi="Arial" w:cs="Arial"/>
          <w:sz w:val="18"/>
        </w:rPr>
        <w:t>Vir: Statistični podatki o javni</w:t>
      </w:r>
      <w:r w:rsidR="003C5EDA" w:rsidRPr="006E154A">
        <w:rPr>
          <w:rFonts w:ascii="Arial" w:hAnsi="Arial" w:cs="Arial"/>
          <w:sz w:val="18"/>
        </w:rPr>
        <w:t>h naročilih, oddanih v letu 20</w:t>
      </w:r>
      <w:r w:rsidR="001A32BB" w:rsidRPr="006E154A">
        <w:rPr>
          <w:rFonts w:ascii="Arial" w:hAnsi="Arial" w:cs="Arial"/>
          <w:sz w:val="18"/>
        </w:rPr>
        <w:t>2</w:t>
      </w:r>
      <w:r w:rsidR="00934EFD" w:rsidRPr="006E154A">
        <w:rPr>
          <w:rFonts w:ascii="Arial" w:hAnsi="Arial" w:cs="Arial"/>
          <w:sz w:val="18"/>
        </w:rPr>
        <w:t>2</w:t>
      </w:r>
      <w:r w:rsidR="00B0329F" w:rsidRPr="006E154A">
        <w:rPr>
          <w:rFonts w:ascii="Arial" w:hAnsi="Arial" w:cs="Arial"/>
          <w:sz w:val="18"/>
        </w:rPr>
        <w:t>.</w:t>
      </w:r>
    </w:p>
    <w:p w14:paraId="13CB571C" w14:textId="4DF14980" w:rsidR="004A21A3" w:rsidRPr="006E154A" w:rsidRDefault="004A21A3" w:rsidP="000110D0">
      <w:pPr>
        <w:pStyle w:val="Naslov3"/>
        <w:spacing w:before="360"/>
        <w:rPr>
          <w:rFonts w:ascii="Arial" w:hAnsi="Arial" w:cs="Arial"/>
          <w:sz w:val="22"/>
          <w:szCs w:val="22"/>
        </w:rPr>
      </w:pPr>
      <w:bookmarkStart w:id="44" w:name="_Toc141864076"/>
      <w:r w:rsidRPr="006E154A">
        <w:rPr>
          <w:rFonts w:ascii="Arial" w:hAnsi="Arial" w:cs="Arial"/>
          <w:sz w:val="22"/>
          <w:szCs w:val="22"/>
        </w:rPr>
        <w:t>2.</w:t>
      </w:r>
      <w:r w:rsidR="00FA2740" w:rsidRPr="006E154A">
        <w:rPr>
          <w:rFonts w:ascii="Arial" w:hAnsi="Arial" w:cs="Arial"/>
          <w:sz w:val="22"/>
          <w:szCs w:val="22"/>
        </w:rPr>
        <w:t>7</w:t>
      </w:r>
      <w:r w:rsidRPr="006E154A">
        <w:rPr>
          <w:rFonts w:ascii="Arial" w:hAnsi="Arial" w:cs="Arial"/>
          <w:sz w:val="22"/>
          <w:szCs w:val="22"/>
        </w:rPr>
        <w:t>.3 Največja oddana naročila v letu 20</w:t>
      </w:r>
      <w:r w:rsidR="000C1FF7" w:rsidRPr="006E154A">
        <w:rPr>
          <w:rFonts w:ascii="Arial" w:hAnsi="Arial" w:cs="Arial"/>
          <w:sz w:val="22"/>
          <w:szCs w:val="22"/>
        </w:rPr>
        <w:t>2</w:t>
      </w:r>
      <w:r w:rsidR="006E154A" w:rsidRPr="006E154A">
        <w:rPr>
          <w:rFonts w:ascii="Arial" w:hAnsi="Arial" w:cs="Arial"/>
          <w:sz w:val="22"/>
          <w:szCs w:val="22"/>
        </w:rPr>
        <w:t>2</w:t>
      </w:r>
      <w:bookmarkEnd w:id="44"/>
    </w:p>
    <w:p w14:paraId="7AD99ACB" w14:textId="77777777" w:rsidR="004A21A3" w:rsidRPr="006E154A" w:rsidRDefault="004A21A3" w:rsidP="00854405">
      <w:pPr>
        <w:pStyle w:val="ZADEVA"/>
        <w:jc w:val="both"/>
        <w:rPr>
          <w:rFonts w:cs="Arial"/>
          <w:b w:val="0"/>
          <w:szCs w:val="20"/>
          <w:lang w:val="sl-SI"/>
        </w:rPr>
      </w:pPr>
    </w:p>
    <w:p w14:paraId="30B78E93" w14:textId="06A30CE6" w:rsidR="009155CC" w:rsidRPr="0028555C" w:rsidRDefault="009155CC" w:rsidP="00AC44FC">
      <w:pPr>
        <w:spacing w:line="360" w:lineRule="auto"/>
        <w:jc w:val="both"/>
        <w:rPr>
          <w:rFonts w:ascii="Arial" w:hAnsi="Arial" w:cs="Arial"/>
          <w:sz w:val="20"/>
          <w:szCs w:val="20"/>
          <w:lang w:eastAsia="sl-SI"/>
        </w:rPr>
      </w:pPr>
      <w:r w:rsidRPr="006E154A">
        <w:rPr>
          <w:rFonts w:ascii="Arial" w:hAnsi="Arial" w:cs="Arial"/>
          <w:sz w:val="20"/>
          <w:szCs w:val="20"/>
          <w:lang w:eastAsia="sl-SI"/>
        </w:rPr>
        <w:t xml:space="preserve">Iz statističnih podatkov </w:t>
      </w:r>
      <w:r w:rsidR="001E6D56" w:rsidRPr="006E154A">
        <w:rPr>
          <w:rFonts w:ascii="Arial" w:hAnsi="Arial" w:cs="Arial"/>
          <w:sz w:val="20"/>
          <w:szCs w:val="20"/>
          <w:lang w:eastAsia="sl-SI"/>
        </w:rPr>
        <w:t>izhaja</w:t>
      </w:r>
      <w:r w:rsidRPr="006E154A">
        <w:rPr>
          <w:rFonts w:ascii="Arial" w:hAnsi="Arial" w:cs="Arial"/>
          <w:sz w:val="20"/>
          <w:szCs w:val="20"/>
          <w:lang w:eastAsia="sl-SI"/>
        </w:rPr>
        <w:t>, da 15 največjih</w:t>
      </w:r>
      <w:r w:rsidR="003F5C42" w:rsidRPr="006E154A">
        <w:rPr>
          <w:rFonts w:ascii="Arial" w:hAnsi="Arial" w:cs="Arial"/>
          <w:sz w:val="20"/>
          <w:szCs w:val="20"/>
          <w:lang w:eastAsia="sl-SI"/>
        </w:rPr>
        <w:t xml:space="preserve"> javnih</w:t>
      </w:r>
      <w:r w:rsidR="002C0EF5" w:rsidRPr="006E154A">
        <w:rPr>
          <w:rFonts w:ascii="Arial" w:hAnsi="Arial" w:cs="Arial"/>
          <w:sz w:val="20"/>
          <w:szCs w:val="20"/>
          <w:lang w:eastAsia="sl-SI"/>
        </w:rPr>
        <w:t xml:space="preserve"> naročil v letu 20</w:t>
      </w:r>
      <w:r w:rsidR="000C1FF7" w:rsidRPr="006E154A">
        <w:rPr>
          <w:rFonts w:ascii="Arial" w:hAnsi="Arial" w:cs="Arial"/>
          <w:sz w:val="20"/>
          <w:szCs w:val="20"/>
          <w:lang w:eastAsia="sl-SI"/>
        </w:rPr>
        <w:t>2</w:t>
      </w:r>
      <w:r w:rsidR="006E154A" w:rsidRPr="006E154A">
        <w:rPr>
          <w:rFonts w:ascii="Arial" w:hAnsi="Arial" w:cs="Arial"/>
          <w:sz w:val="20"/>
          <w:szCs w:val="20"/>
          <w:lang w:eastAsia="sl-SI"/>
        </w:rPr>
        <w:t>2</w:t>
      </w:r>
      <w:r w:rsidRPr="006E154A">
        <w:rPr>
          <w:rFonts w:ascii="Arial" w:hAnsi="Arial" w:cs="Arial"/>
          <w:sz w:val="20"/>
          <w:szCs w:val="20"/>
          <w:lang w:eastAsia="sl-SI"/>
        </w:rPr>
        <w:t xml:space="preserve"> po vrednosti obsega</w:t>
      </w:r>
      <w:r w:rsidR="00524531" w:rsidRPr="006E154A">
        <w:rPr>
          <w:rFonts w:ascii="Arial" w:hAnsi="Arial" w:cs="Arial"/>
          <w:sz w:val="20"/>
          <w:szCs w:val="20"/>
          <w:lang w:eastAsia="sl-SI"/>
        </w:rPr>
        <w:t xml:space="preserve"> </w:t>
      </w:r>
      <w:r w:rsidR="006E154A" w:rsidRPr="006E154A">
        <w:rPr>
          <w:rFonts w:ascii="Arial" w:hAnsi="Arial" w:cs="Arial"/>
          <w:sz w:val="20"/>
          <w:szCs w:val="20"/>
          <w:lang w:eastAsia="sl-SI"/>
        </w:rPr>
        <w:t>slabo petino</w:t>
      </w:r>
      <w:r w:rsidRPr="006E154A">
        <w:rPr>
          <w:rFonts w:ascii="Arial" w:hAnsi="Arial" w:cs="Arial"/>
          <w:sz w:val="20"/>
          <w:szCs w:val="20"/>
          <w:lang w:eastAsia="sl-SI"/>
        </w:rPr>
        <w:t xml:space="preserve"> (</w:t>
      </w:r>
      <w:r w:rsidR="006E154A" w:rsidRPr="006E154A">
        <w:rPr>
          <w:rFonts w:ascii="Arial" w:hAnsi="Arial" w:cs="Arial"/>
          <w:sz w:val="20"/>
          <w:szCs w:val="20"/>
          <w:lang w:eastAsia="sl-SI"/>
        </w:rPr>
        <w:t>18,97</w:t>
      </w:r>
      <w:r w:rsidR="00B0329F" w:rsidRPr="006E154A">
        <w:rPr>
          <w:rFonts w:ascii="Arial" w:hAnsi="Arial" w:cs="Arial"/>
          <w:sz w:val="20"/>
          <w:szCs w:val="20"/>
          <w:lang w:eastAsia="sl-SI"/>
        </w:rPr>
        <w:t> </w:t>
      </w:r>
      <w:r w:rsidR="00AC0027">
        <w:rPr>
          <w:rFonts w:ascii="Arial" w:hAnsi="Arial" w:cs="Arial"/>
          <w:sz w:val="20"/>
          <w:szCs w:val="20"/>
          <w:lang w:eastAsia="sl-SI"/>
        </w:rPr>
        <w:t>odstotka</w:t>
      </w:r>
      <w:r w:rsidRPr="006E154A">
        <w:rPr>
          <w:rFonts w:ascii="Arial" w:hAnsi="Arial" w:cs="Arial"/>
          <w:sz w:val="20"/>
          <w:szCs w:val="20"/>
          <w:lang w:eastAsia="sl-SI"/>
        </w:rPr>
        <w:t xml:space="preserve">) vseh </w:t>
      </w:r>
      <w:r w:rsidR="003F5C42" w:rsidRPr="006E154A">
        <w:rPr>
          <w:rFonts w:ascii="Arial" w:hAnsi="Arial" w:cs="Arial"/>
          <w:sz w:val="20"/>
          <w:szCs w:val="20"/>
          <w:lang w:eastAsia="sl-SI"/>
        </w:rPr>
        <w:t xml:space="preserve">javnih </w:t>
      </w:r>
      <w:r w:rsidRPr="006E154A">
        <w:rPr>
          <w:rFonts w:ascii="Arial" w:hAnsi="Arial" w:cs="Arial"/>
          <w:sz w:val="20"/>
          <w:szCs w:val="20"/>
          <w:lang w:eastAsia="sl-SI"/>
        </w:rPr>
        <w:t xml:space="preserve">naročil, ki so jih naročniki objavili na portalu javnih naročil in v Uradnem listu </w:t>
      </w:r>
      <w:r w:rsidRPr="0028555C">
        <w:rPr>
          <w:rFonts w:ascii="Arial" w:hAnsi="Arial" w:cs="Arial"/>
          <w:sz w:val="20"/>
          <w:szCs w:val="20"/>
          <w:lang w:eastAsia="sl-SI"/>
        </w:rPr>
        <w:t>Evropske unije</w:t>
      </w:r>
      <w:r w:rsidR="002E1FC4" w:rsidRPr="0028555C">
        <w:rPr>
          <w:rFonts w:ascii="Arial" w:hAnsi="Arial" w:cs="Arial"/>
          <w:sz w:val="20"/>
          <w:szCs w:val="20"/>
          <w:lang w:eastAsia="sl-SI"/>
        </w:rPr>
        <w:t xml:space="preserve">. </w:t>
      </w:r>
      <w:r w:rsidR="006E154A" w:rsidRPr="0028555C">
        <w:rPr>
          <w:rFonts w:ascii="Arial" w:hAnsi="Arial" w:cs="Arial"/>
          <w:sz w:val="20"/>
          <w:szCs w:val="20"/>
          <w:lang w:eastAsia="sl-SI"/>
        </w:rPr>
        <w:t>Enajst</w:t>
      </w:r>
      <w:r w:rsidR="00FA2E18" w:rsidRPr="0028555C">
        <w:rPr>
          <w:rFonts w:ascii="Arial" w:hAnsi="Arial" w:cs="Arial"/>
          <w:sz w:val="20"/>
          <w:szCs w:val="20"/>
          <w:lang w:eastAsia="sl-SI"/>
        </w:rPr>
        <w:t xml:space="preserve"> j</w:t>
      </w:r>
      <w:r w:rsidR="003F5C42" w:rsidRPr="0028555C">
        <w:rPr>
          <w:rFonts w:ascii="Arial" w:hAnsi="Arial" w:cs="Arial"/>
          <w:sz w:val="20"/>
          <w:szCs w:val="20"/>
          <w:lang w:eastAsia="sl-SI"/>
        </w:rPr>
        <w:t xml:space="preserve">avnih </w:t>
      </w:r>
      <w:r w:rsidRPr="0028555C">
        <w:rPr>
          <w:rFonts w:ascii="Arial" w:hAnsi="Arial" w:cs="Arial"/>
          <w:sz w:val="20"/>
          <w:szCs w:val="20"/>
          <w:lang w:eastAsia="sl-SI"/>
        </w:rPr>
        <w:t>naročil je bilo oddanih na splošnem,</w:t>
      </w:r>
      <w:r w:rsidR="000E4796" w:rsidRPr="0028555C">
        <w:rPr>
          <w:rFonts w:ascii="Arial" w:hAnsi="Arial" w:cs="Arial"/>
          <w:sz w:val="20"/>
          <w:szCs w:val="20"/>
          <w:lang w:eastAsia="sl-SI"/>
        </w:rPr>
        <w:t xml:space="preserve"> </w:t>
      </w:r>
      <w:r w:rsidR="006E154A" w:rsidRPr="0028555C">
        <w:rPr>
          <w:rFonts w:ascii="Arial" w:hAnsi="Arial" w:cs="Arial"/>
          <w:sz w:val="20"/>
          <w:szCs w:val="20"/>
          <w:lang w:eastAsia="sl-SI"/>
        </w:rPr>
        <w:t>štiri</w:t>
      </w:r>
      <w:r w:rsidR="002E1FC4" w:rsidRPr="0028555C">
        <w:rPr>
          <w:rFonts w:ascii="Arial" w:hAnsi="Arial" w:cs="Arial"/>
          <w:sz w:val="20"/>
          <w:szCs w:val="20"/>
          <w:lang w:eastAsia="sl-SI"/>
        </w:rPr>
        <w:t xml:space="preserve"> pa</w:t>
      </w:r>
      <w:r w:rsidRPr="0028555C">
        <w:rPr>
          <w:rFonts w:ascii="Arial" w:hAnsi="Arial" w:cs="Arial"/>
          <w:sz w:val="20"/>
          <w:szCs w:val="20"/>
          <w:lang w:eastAsia="sl-SI"/>
        </w:rPr>
        <w:t xml:space="preserve"> na infrastrukturnem</w:t>
      </w:r>
      <w:r w:rsidR="000E4796" w:rsidRPr="0028555C">
        <w:rPr>
          <w:rFonts w:ascii="Arial" w:hAnsi="Arial" w:cs="Arial"/>
          <w:sz w:val="20"/>
          <w:szCs w:val="20"/>
          <w:lang w:eastAsia="sl-SI"/>
        </w:rPr>
        <w:t xml:space="preserve"> </w:t>
      </w:r>
      <w:r w:rsidR="002E1FC4" w:rsidRPr="0028555C">
        <w:rPr>
          <w:rFonts w:ascii="Arial" w:hAnsi="Arial" w:cs="Arial"/>
          <w:sz w:val="20"/>
          <w:szCs w:val="20"/>
          <w:lang w:eastAsia="sl-SI"/>
        </w:rPr>
        <w:t>področju</w:t>
      </w:r>
      <w:r w:rsidRPr="0028555C">
        <w:rPr>
          <w:rFonts w:ascii="Arial" w:hAnsi="Arial" w:cs="Arial"/>
          <w:sz w:val="20"/>
          <w:szCs w:val="20"/>
          <w:lang w:eastAsia="sl-SI"/>
        </w:rPr>
        <w:t xml:space="preserve">. Prevladovalo je naročanje </w:t>
      </w:r>
      <w:r w:rsidR="006E154A" w:rsidRPr="0028555C">
        <w:rPr>
          <w:rFonts w:ascii="Arial" w:hAnsi="Arial" w:cs="Arial"/>
          <w:sz w:val="20"/>
          <w:szCs w:val="20"/>
          <w:lang w:eastAsia="sl-SI"/>
        </w:rPr>
        <w:t xml:space="preserve">storitev (11 javnih naročil), naročanje gradenj (3 javna naročila), preostalo naročilo </w:t>
      </w:r>
      <w:r w:rsidR="00013C26" w:rsidRPr="0028555C">
        <w:rPr>
          <w:rFonts w:ascii="Arial" w:hAnsi="Arial" w:cs="Arial"/>
          <w:sz w:val="20"/>
          <w:szCs w:val="20"/>
          <w:lang w:eastAsia="sl-SI"/>
        </w:rPr>
        <w:t>p</w:t>
      </w:r>
      <w:r w:rsidR="006E154A" w:rsidRPr="0028555C">
        <w:rPr>
          <w:rFonts w:ascii="Arial" w:hAnsi="Arial" w:cs="Arial"/>
          <w:sz w:val="20"/>
          <w:szCs w:val="20"/>
          <w:lang w:eastAsia="sl-SI"/>
        </w:rPr>
        <w:t xml:space="preserve">a je bilo naročilo blaga. </w:t>
      </w:r>
    </w:p>
    <w:p w14:paraId="7B5A3D2B" w14:textId="3BC562B5" w:rsidR="003F5C42" w:rsidRPr="0028555C" w:rsidRDefault="003F5C42" w:rsidP="008A61FD">
      <w:pPr>
        <w:spacing w:before="120" w:after="120" w:line="240" w:lineRule="auto"/>
        <w:jc w:val="both"/>
        <w:rPr>
          <w:rFonts w:ascii="Arial" w:hAnsi="Arial" w:cs="Arial"/>
          <w:sz w:val="20"/>
        </w:rPr>
      </w:pPr>
      <w:r w:rsidRPr="0028555C">
        <w:rPr>
          <w:rFonts w:ascii="Arial" w:hAnsi="Arial" w:cs="Arial"/>
          <w:sz w:val="20"/>
        </w:rPr>
        <w:t xml:space="preserve">Preglednica </w:t>
      </w:r>
      <w:r w:rsidR="00512F52" w:rsidRPr="0028555C">
        <w:rPr>
          <w:rFonts w:ascii="Arial" w:hAnsi="Arial" w:cs="Arial"/>
          <w:sz w:val="20"/>
        </w:rPr>
        <w:t>4</w:t>
      </w:r>
      <w:r w:rsidR="00EA747F">
        <w:rPr>
          <w:rFonts w:ascii="Arial" w:hAnsi="Arial" w:cs="Arial"/>
          <w:sz w:val="20"/>
        </w:rPr>
        <w:t>2</w:t>
      </w:r>
      <w:r w:rsidRPr="0028555C">
        <w:rPr>
          <w:rFonts w:ascii="Arial" w:hAnsi="Arial" w:cs="Arial"/>
          <w:sz w:val="20"/>
        </w:rPr>
        <w:t>: Petnaj</w:t>
      </w:r>
      <w:r w:rsidR="001D1611" w:rsidRPr="0028555C">
        <w:rPr>
          <w:rFonts w:ascii="Arial" w:hAnsi="Arial" w:cs="Arial"/>
          <w:sz w:val="20"/>
        </w:rPr>
        <w:t>st največjih naročil v letu 20</w:t>
      </w:r>
      <w:r w:rsidR="000C1FF7" w:rsidRPr="0028555C">
        <w:rPr>
          <w:rFonts w:ascii="Arial" w:hAnsi="Arial" w:cs="Arial"/>
          <w:sz w:val="20"/>
        </w:rPr>
        <w:t>2</w:t>
      </w:r>
      <w:r w:rsidR="006E154A" w:rsidRPr="0028555C">
        <w:rPr>
          <w:rFonts w:ascii="Arial" w:hAnsi="Arial" w:cs="Arial"/>
          <w:sz w:val="20"/>
        </w:rPr>
        <w:t>2</w:t>
      </w:r>
    </w:p>
    <w:tbl>
      <w:tblPr>
        <w:tblW w:w="5000" w:type="pct"/>
        <w:tblCellMar>
          <w:left w:w="70" w:type="dxa"/>
          <w:right w:w="70" w:type="dxa"/>
        </w:tblCellMar>
        <w:tblLook w:val="04A0" w:firstRow="1" w:lastRow="0" w:firstColumn="1" w:lastColumn="0" w:noHBand="0" w:noVBand="1"/>
      </w:tblPr>
      <w:tblGrid>
        <w:gridCol w:w="501"/>
        <w:gridCol w:w="2106"/>
        <w:gridCol w:w="4605"/>
        <w:gridCol w:w="821"/>
        <w:gridCol w:w="1141"/>
      </w:tblGrid>
      <w:tr w:rsidR="0028555C" w:rsidRPr="006E154A" w14:paraId="5AAA0AC3" w14:textId="77777777" w:rsidTr="00C72E29">
        <w:trPr>
          <w:trHeight w:val="300"/>
        </w:trPr>
        <w:tc>
          <w:tcPr>
            <w:tcW w:w="27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3CBB6798" w14:textId="77777777" w:rsidR="006E154A" w:rsidRPr="006E154A" w:rsidRDefault="006E154A" w:rsidP="006E154A">
            <w:pPr>
              <w:spacing w:after="0" w:line="240" w:lineRule="auto"/>
              <w:jc w:val="center"/>
              <w:rPr>
                <w:rFonts w:ascii="Arial" w:eastAsia="Times New Roman" w:hAnsi="Arial" w:cs="Arial"/>
                <w:color w:val="000000"/>
                <w:sz w:val="18"/>
                <w:szCs w:val="18"/>
                <w:lang w:eastAsia="sl-SI"/>
              </w:rPr>
            </w:pPr>
            <w:proofErr w:type="spellStart"/>
            <w:r w:rsidRPr="006E154A">
              <w:rPr>
                <w:rFonts w:ascii="Arial" w:eastAsia="Times New Roman" w:hAnsi="Arial" w:cs="Arial"/>
                <w:color w:val="000000"/>
                <w:sz w:val="18"/>
                <w:szCs w:val="18"/>
                <w:lang w:eastAsia="sl-SI"/>
              </w:rPr>
              <w:t>Zap</w:t>
            </w:r>
            <w:proofErr w:type="spellEnd"/>
            <w:r w:rsidRPr="006E154A">
              <w:rPr>
                <w:rFonts w:ascii="Arial" w:eastAsia="Times New Roman" w:hAnsi="Arial" w:cs="Arial"/>
                <w:color w:val="000000"/>
                <w:sz w:val="18"/>
                <w:szCs w:val="18"/>
                <w:lang w:eastAsia="sl-SI"/>
              </w:rPr>
              <w:t xml:space="preserve">. št. </w:t>
            </w:r>
          </w:p>
        </w:tc>
        <w:tc>
          <w:tcPr>
            <w:tcW w:w="1148" w:type="pct"/>
            <w:tcBorders>
              <w:top w:val="single" w:sz="4" w:space="0" w:color="auto"/>
              <w:left w:val="nil"/>
              <w:bottom w:val="single" w:sz="4" w:space="0" w:color="auto"/>
              <w:right w:val="single" w:sz="4" w:space="0" w:color="auto"/>
            </w:tcBorders>
            <w:shd w:val="clear" w:color="000000" w:fill="F2F2F2"/>
            <w:vAlign w:val="center"/>
            <w:hideMark/>
          </w:tcPr>
          <w:p w14:paraId="7C81FBCC" w14:textId="77777777" w:rsidR="006E154A" w:rsidRPr="006E154A" w:rsidRDefault="006E154A" w:rsidP="006E154A">
            <w:pPr>
              <w:spacing w:after="0" w:line="240" w:lineRule="auto"/>
              <w:jc w:val="center"/>
              <w:rPr>
                <w:rFonts w:ascii="Arial" w:eastAsia="Times New Roman" w:hAnsi="Arial" w:cs="Arial"/>
                <w:color w:val="000000"/>
                <w:sz w:val="18"/>
                <w:szCs w:val="18"/>
                <w:lang w:eastAsia="sl-SI"/>
              </w:rPr>
            </w:pPr>
            <w:r w:rsidRPr="006E154A">
              <w:rPr>
                <w:rFonts w:ascii="Arial" w:eastAsia="Times New Roman" w:hAnsi="Arial" w:cs="Arial"/>
                <w:color w:val="000000"/>
                <w:sz w:val="18"/>
                <w:szCs w:val="18"/>
                <w:lang w:eastAsia="sl-SI"/>
              </w:rPr>
              <w:t>Naročnik</w:t>
            </w:r>
          </w:p>
        </w:tc>
        <w:tc>
          <w:tcPr>
            <w:tcW w:w="2509" w:type="pct"/>
            <w:tcBorders>
              <w:top w:val="single" w:sz="4" w:space="0" w:color="auto"/>
              <w:left w:val="nil"/>
              <w:bottom w:val="single" w:sz="4" w:space="0" w:color="auto"/>
              <w:right w:val="single" w:sz="4" w:space="0" w:color="auto"/>
            </w:tcBorders>
            <w:shd w:val="clear" w:color="000000" w:fill="F2F2F2"/>
            <w:vAlign w:val="center"/>
            <w:hideMark/>
          </w:tcPr>
          <w:p w14:paraId="21A5A930" w14:textId="77777777" w:rsidR="006E154A" w:rsidRPr="006E154A" w:rsidRDefault="006E154A" w:rsidP="006E154A">
            <w:pPr>
              <w:spacing w:after="0" w:line="240" w:lineRule="auto"/>
              <w:rPr>
                <w:rFonts w:ascii="Arial" w:eastAsia="Times New Roman" w:hAnsi="Arial" w:cs="Arial"/>
                <w:color w:val="000000"/>
                <w:sz w:val="18"/>
                <w:szCs w:val="18"/>
                <w:lang w:eastAsia="sl-SI"/>
              </w:rPr>
            </w:pPr>
            <w:r w:rsidRPr="006E154A">
              <w:rPr>
                <w:rFonts w:ascii="Arial" w:eastAsia="Times New Roman" w:hAnsi="Arial" w:cs="Arial"/>
                <w:color w:val="000000"/>
                <w:sz w:val="18"/>
                <w:szCs w:val="18"/>
                <w:lang w:eastAsia="sl-SI"/>
              </w:rPr>
              <w:t>Ponudnik</w:t>
            </w:r>
          </w:p>
        </w:tc>
        <w:tc>
          <w:tcPr>
            <w:tcW w:w="447" w:type="pct"/>
            <w:tcBorders>
              <w:top w:val="single" w:sz="4" w:space="0" w:color="auto"/>
              <w:left w:val="nil"/>
              <w:bottom w:val="single" w:sz="4" w:space="0" w:color="auto"/>
              <w:right w:val="single" w:sz="4" w:space="0" w:color="auto"/>
            </w:tcBorders>
            <w:shd w:val="clear" w:color="000000" w:fill="F2F2F2"/>
            <w:vAlign w:val="center"/>
            <w:hideMark/>
          </w:tcPr>
          <w:p w14:paraId="6B585573" w14:textId="77777777" w:rsidR="006E154A" w:rsidRPr="006E154A" w:rsidRDefault="006E154A" w:rsidP="006E154A">
            <w:pPr>
              <w:spacing w:after="0" w:line="240" w:lineRule="auto"/>
              <w:jc w:val="center"/>
              <w:rPr>
                <w:rFonts w:ascii="Arial" w:eastAsia="Times New Roman" w:hAnsi="Arial" w:cs="Arial"/>
                <w:color w:val="000000"/>
                <w:sz w:val="18"/>
                <w:szCs w:val="18"/>
                <w:lang w:eastAsia="sl-SI"/>
              </w:rPr>
            </w:pPr>
            <w:r w:rsidRPr="006E154A">
              <w:rPr>
                <w:rFonts w:ascii="Arial" w:eastAsia="Times New Roman" w:hAnsi="Arial" w:cs="Arial"/>
                <w:color w:val="000000"/>
                <w:sz w:val="18"/>
                <w:szCs w:val="18"/>
                <w:lang w:eastAsia="sl-SI"/>
              </w:rPr>
              <w:t>Predmet</w:t>
            </w:r>
          </w:p>
        </w:tc>
        <w:tc>
          <w:tcPr>
            <w:tcW w:w="622" w:type="pct"/>
            <w:tcBorders>
              <w:top w:val="single" w:sz="4" w:space="0" w:color="auto"/>
              <w:left w:val="nil"/>
              <w:bottom w:val="single" w:sz="4" w:space="0" w:color="auto"/>
              <w:right w:val="single" w:sz="4" w:space="0" w:color="auto"/>
            </w:tcBorders>
            <w:shd w:val="clear" w:color="000000" w:fill="F2F2F2"/>
            <w:vAlign w:val="center"/>
            <w:hideMark/>
          </w:tcPr>
          <w:p w14:paraId="36D313C4" w14:textId="77777777" w:rsidR="006E154A" w:rsidRPr="006E154A" w:rsidRDefault="006E154A" w:rsidP="006E154A">
            <w:pPr>
              <w:spacing w:after="0" w:line="240" w:lineRule="auto"/>
              <w:jc w:val="center"/>
              <w:rPr>
                <w:rFonts w:ascii="Arial" w:eastAsia="Times New Roman" w:hAnsi="Arial" w:cs="Arial"/>
                <w:color w:val="000000"/>
                <w:sz w:val="18"/>
                <w:szCs w:val="18"/>
                <w:lang w:eastAsia="sl-SI"/>
              </w:rPr>
            </w:pPr>
            <w:r w:rsidRPr="006E154A">
              <w:rPr>
                <w:rFonts w:ascii="Arial" w:eastAsia="Times New Roman" w:hAnsi="Arial" w:cs="Arial"/>
                <w:color w:val="000000"/>
                <w:sz w:val="18"/>
                <w:szCs w:val="18"/>
                <w:lang w:eastAsia="sl-SI"/>
              </w:rPr>
              <w:t>Pogodbena vrednost</w:t>
            </w:r>
          </w:p>
        </w:tc>
      </w:tr>
      <w:tr w:rsidR="006E154A" w:rsidRPr="006E154A" w14:paraId="1F2AED75" w14:textId="77777777" w:rsidTr="00C72E29">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6BBC65" w14:textId="77777777" w:rsidR="006E154A" w:rsidRPr="006E154A" w:rsidRDefault="006E154A" w:rsidP="006E154A">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1</w:t>
            </w:r>
          </w:p>
        </w:tc>
        <w:tc>
          <w:tcPr>
            <w:tcW w:w="1148" w:type="pct"/>
            <w:tcBorders>
              <w:top w:val="nil"/>
              <w:left w:val="nil"/>
              <w:bottom w:val="single" w:sz="4" w:space="0" w:color="auto"/>
              <w:right w:val="single" w:sz="4" w:space="0" w:color="auto"/>
            </w:tcBorders>
            <w:shd w:val="clear" w:color="auto" w:fill="auto"/>
            <w:vAlign w:val="center"/>
            <w:hideMark/>
          </w:tcPr>
          <w:p w14:paraId="68275B8F" w14:textId="6C652519" w:rsidR="006E154A" w:rsidRPr="006E154A" w:rsidRDefault="006E154A" w:rsidP="006E154A">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 xml:space="preserve">DIREKCIJA </w:t>
            </w:r>
            <w:r w:rsidR="00007116" w:rsidRPr="0028555C">
              <w:rPr>
                <w:rFonts w:ascii="Arial" w:eastAsia="Times New Roman" w:hAnsi="Arial" w:cs="Arial"/>
                <w:color w:val="000000" w:themeColor="text1"/>
                <w:sz w:val="18"/>
                <w:szCs w:val="18"/>
                <w:lang w:eastAsia="sl-SI"/>
              </w:rPr>
              <w:t>RS</w:t>
            </w:r>
            <w:r w:rsidR="00007116" w:rsidRPr="006E154A">
              <w:rPr>
                <w:rFonts w:ascii="Arial" w:eastAsia="Times New Roman" w:hAnsi="Arial" w:cs="Arial"/>
                <w:color w:val="000000" w:themeColor="text1"/>
                <w:sz w:val="18"/>
                <w:szCs w:val="18"/>
                <w:lang w:eastAsia="sl-SI"/>
              </w:rPr>
              <w:t xml:space="preserve"> </w:t>
            </w:r>
            <w:r w:rsidRPr="006E154A">
              <w:rPr>
                <w:rFonts w:ascii="Arial" w:eastAsia="Times New Roman" w:hAnsi="Arial" w:cs="Arial"/>
                <w:color w:val="000000" w:themeColor="text1"/>
                <w:sz w:val="18"/>
                <w:szCs w:val="18"/>
                <w:lang w:eastAsia="sl-SI"/>
              </w:rPr>
              <w:t>ZA INFRASTRUKTURO</w:t>
            </w:r>
          </w:p>
        </w:tc>
        <w:tc>
          <w:tcPr>
            <w:tcW w:w="2509" w:type="pct"/>
            <w:tcBorders>
              <w:top w:val="nil"/>
              <w:left w:val="nil"/>
              <w:bottom w:val="single" w:sz="4" w:space="0" w:color="auto"/>
              <w:right w:val="single" w:sz="4" w:space="0" w:color="auto"/>
            </w:tcBorders>
            <w:shd w:val="clear" w:color="auto" w:fill="auto"/>
            <w:vAlign w:val="center"/>
            <w:hideMark/>
          </w:tcPr>
          <w:p w14:paraId="48F07A3B" w14:textId="77777777" w:rsidR="006E154A" w:rsidRPr="006E154A" w:rsidRDefault="006E154A" w:rsidP="006E154A">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 xml:space="preserve">CGP, družba za gradbeništvo, inženiring, proizvodnjo in vzdrževanje cest, </w:t>
            </w:r>
            <w:proofErr w:type="spellStart"/>
            <w:r w:rsidRPr="006E154A">
              <w:rPr>
                <w:rFonts w:ascii="Arial" w:eastAsia="Times New Roman" w:hAnsi="Arial" w:cs="Arial"/>
                <w:color w:val="000000" w:themeColor="text1"/>
                <w:sz w:val="18"/>
                <w:szCs w:val="18"/>
                <w:lang w:eastAsia="sl-SI"/>
              </w:rPr>
              <w:t>d.d</w:t>
            </w:r>
            <w:proofErr w:type="spellEnd"/>
            <w:r w:rsidRPr="006E154A">
              <w:rPr>
                <w:rFonts w:ascii="Arial" w:eastAsia="Times New Roman" w:hAnsi="Arial" w:cs="Arial"/>
                <w:color w:val="000000" w:themeColor="text1"/>
                <w:sz w:val="18"/>
                <w:szCs w:val="18"/>
                <w:lang w:eastAsia="sl-SI"/>
              </w:rPr>
              <w:t>.</w:t>
            </w:r>
          </w:p>
        </w:tc>
        <w:tc>
          <w:tcPr>
            <w:tcW w:w="447" w:type="pct"/>
            <w:tcBorders>
              <w:top w:val="nil"/>
              <w:left w:val="nil"/>
              <w:bottom w:val="single" w:sz="4" w:space="0" w:color="auto"/>
              <w:right w:val="single" w:sz="4" w:space="0" w:color="auto"/>
            </w:tcBorders>
            <w:shd w:val="clear" w:color="auto" w:fill="auto"/>
            <w:vAlign w:val="center"/>
            <w:hideMark/>
          </w:tcPr>
          <w:p w14:paraId="4C8DF7E2" w14:textId="77777777" w:rsidR="006E154A" w:rsidRPr="006E154A" w:rsidRDefault="006E154A" w:rsidP="007F5593">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Storitve</w:t>
            </w:r>
          </w:p>
        </w:tc>
        <w:tc>
          <w:tcPr>
            <w:tcW w:w="622" w:type="pct"/>
            <w:tcBorders>
              <w:top w:val="nil"/>
              <w:left w:val="nil"/>
              <w:bottom w:val="single" w:sz="4" w:space="0" w:color="auto"/>
              <w:right w:val="single" w:sz="4" w:space="0" w:color="auto"/>
            </w:tcBorders>
            <w:shd w:val="clear" w:color="auto" w:fill="auto"/>
            <w:vAlign w:val="center"/>
            <w:hideMark/>
          </w:tcPr>
          <w:p w14:paraId="7D6B79C1" w14:textId="77777777" w:rsidR="006E154A" w:rsidRPr="006E154A" w:rsidRDefault="006E154A" w:rsidP="006E154A">
            <w:pPr>
              <w:spacing w:after="0" w:line="240" w:lineRule="auto"/>
              <w:jc w:val="right"/>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112.438.656</w:t>
            </w:r>
          </w:p>
        </w:tc>
      </w:tr>
      <w:tr w:rsidR="006E154A" w:rsidRPr="006E154A" w14:paraId="42FAFEEC" w14:textId="77777777" w:rsidTr="00C72E29">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E45D39" w14:textId="77777777" w:rsidR="006E154A" w:rsidRPr="006E154A" w:rsidRDefault="006E154A" w:rsidP="006E154A">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2</w:t>
            </w:r>
          </w:p>
        </w:tc>
        <w:tc>
          <w:tcPr>
            <w:tcW w:w="1148" w:type="pct"/>
            <w:tcBorders>
              <w:top w:val="nil"/>
              <w:left w:val="nil"/>
              <w:bottom w:val="single" w:sz="4" w:space="0" w:color="auto"/>
              <w:right w:val="single" w:sz="4" w:space="0" w:color="auto"/>
            </w:tcBorders>
            <w:shd w:val="clear" w:color="auto" w:fill="auto"/>
            <w:vAlign w:val="center"/>
            <w:hideMark/>
          </w:tcPr>
          <w:p w14:paraId="6FD924A1" w14:textId="1C1068B1" w:rsidR="006E154A" w:rsidRPr="006E154A" w:rsidRDefault="006E154A" w:rsidP="006E154A">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 xml:space="preserve">DIREKCIJA </w:t>
            </w:r>
            <w:r w:rsidR="00007116" w:rsidRPr="0028555C">
              <w:rPr>
                <w:rFonts w:ascii="Arial" w:eastAsia="Times New Roman" w:hAnsi="Arial" w:cs="Arial"/>
                <w:color w:val="000000" w:themeColor="text1"/>
                <w:sz w:val="18"/>
                <w:szCs w:val="18"/>
                <w:lang w:eastAsia="sl-SI"/>
              </w:rPr>
              <w:t>RS</w:t>
            </w:r>
            <w:r w:rsidRPr="006E154A">
              <w:rPr>
                <w:rFonts w:ascii="Arial" w:eastAsia="Times New Roman" w:hAnsi="Arial" w:cs="Arial"/>
                <w:color w:val="000000" w:themeColor="text1"/>
                <w:sz w:val="18"/>
                <w:szCs w:val="18"/>
                <w:lang w:eastAsia="sl-SI"/>
              </w:rPr>
              <w:t xml:space="preserve"> ZA INFRASTRUKTURO</w:t>
            </w:r>
          </w:p>
        </w:tc>
        <w:tc>
          <w:tcPr>
            <w:tcW w:w="2509" w:type="pct"/>
            <w:tcBorders>
              <w:top w:val="nil"/>
              <w:left w:val="nil"/>
              <w:bottom w:val="single" w:sz="4" w:space="0" w:color="auto"/>
              <w:right w:val="single" w:sz="4" w:space="0" w:color="auto"/>
            </w:tcBorders>
            <w:shd w:val="clear" w:color="auto" w:fill="auto"/>
            <w:vAlign w:val="center"/>
            <w:hideMark/>
          </w:tcPr>
          <w:p w14:paraId="785F14EB" w14:textId="77777777" w:rsidR="006E154A" w:rsidRPr="006E154A" w:rsidRDefault="006E154A" w:rsidP="006E154A">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 xml:space="preserve">GORENJSKA GRADBENA DRUŽBA, projektiranje, inženiring, gradnja in vzdrževanje objektov visoke in nizke gradnje </w:t>
            </w:r>
            <w:proofErr w:type="spellStart"/>
            <w:r w:rsidRPr="006E154A">
              <w:rPr>
                <w:rFonts w:ascii="Arial" w:eastAsia="Times New Roman" w:hAnsi="Arial" w:cs="Arial"/>
                <w:color w:val="000000" w:themeColor="text1"/>
                <w:sz w:val="18"/>
                <w:szCs w:val="18"/>
                <w:lang w:eastAsia="sl-SI"/>
              </w:rPr>
              <w:t>d.d</w:t>
            </w:r>
            <w:proofErr w:type="spellEnd"/>
            <w:r w:rsidRPr="006E154A">
              <w:rPr>
                <w:rFonts w:ascii="Arial" w:eastAsia="Times New Roman" w:hAnsi="Arial" w:cs="Arial"/>
                <w:color w:val="000000" w:themeColor="text1"/>
                <w:sz w:val="18"/>
                <w:szCs w:val="18"/>
                <w:lang w:eastAsia="sl-SI"/>
              </w:rPr>
              <w:t>.</w:t>
            </w:r>
          </w:p>
        </w:tc>
        <w:tc>
          <w:tcPr>
            <w:tcW w:w="447" w:type="pct"/>
            <w:tcBorders>
              <w:top w:val="nil"/>
              <w:left w:val="nil"/>
              <w:bottom w:val="single" w:sz="4" w:space="0" w:color="auto"/>
              <w:right w:val="single" w:sz="4" w:space="0" w:color="auto"/>
            </w:tcBorders>
            <w:shd w:val="clear" w:color="auto" w:fill="auto"/>
            <w:vAlign w:val="center"/>
            <w:hideMark/>
          </w:tcPr>
          <w:p w14:paraId="72B272E1" w14:textId="77777777" w:rsidR="006E154A" w:rsidRPr="006E154A" w:rsidRDefault="006E154A" w:rsidP="007F5593">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Storitve</w:t>
            </w:r>
          </w:p>
        </w:tc>
        <w:tc>
          <w:tcPr>
            <w:tcW w:w="622" w:type="pct"/>
            <w:tcBorders>
              <w:top w:val="nil"/>
              <w:left w:val="nil"/>
              <w:bottom w:val="single" w:sz="4" w:space="0" w:color="auto"/>
              <w:right w:val="single" w:sz="4" w:space="0" w:color="auto"/>
            </w:tcBorders>
            <w:shd w:val="clear" w:color="auto" w:fill="auto"/>
            <w:vAlign w:val="center"/>
            <w:hideMark/>
          </w:tcPr>
          <w:p w14:paraId="42EE1727" w14:textId="77777777" w:rsidR="006E154A" w:rsidRPr="006E154A" w:rsidRDefault="006E154A" w:rsidP="006E154A">
            <w:pPr>
              <w:spacing w:after="0" w:line="240" w:lineRule="auto"/>
              <w:jc w:val="right"/>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103.143.980</w:t>
            </w:r>
          </w:p>
        </w:tc>
      </w:tr>
      <w:tr w:rsidR="006E154A" w:rsidRPr="006E154A" w14:paraId="27B5D068" w14:textId="77777777" w:rsidTr="00C72E29">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126FB6" w14:textId="77777777" w:rsidR="006E154A" w:rsidRPr="006E154A" w:rsidRDefault="006E154A" w:rsidP="006E154A">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3</w:t>
            </w:r>
          </w:p>
        </w:tc>
        <w:tc>
          <w:tcPr>
            <w:tcW w:w="1148" w:type="pct"/>
            <w:tcBorders>
              <w:top w:val="nil"/>
              <w:left w:val="nil"/>
              <w:bottom w:val="single" w:sz="4" w:space="0" w:color="auto"/>
              <w:right w:val="single" w:sz="4" w:space="0" w:color="auto"/>
            </w:tcBorders>
            <w:shd w:val="clear" w:color="auto" w:fill="auto"/>
            <w:vAlign w:val="center"/>
            <w:hideMark/>
          </w:tcPr>
          <w:p w14:paraId="08547A01" w14:textId="1FE2191C" w:rsidR="006E154A" w:rsidRPr="006E154A" w:rsidRDefault="006E154A" w:rsidP="006E154A">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 xml:space="preserve">DIREKCIJA </w:t>
            </w:r>
            <w:r w:rsidR="00007116" w:rsidRPr="0028555C">
              <w:rPr>
                <w:rFonts w:ascii="Arial" w:eastAsia="Times New Roman" w:hAnsi="Arial" w:cs="Arial"/>
                <w:color w:val="000000" w:themeColor="text1"/>
                <w:sz w:val="18"/>
                <w:szCs w:val="18"/>
                <w:lang w:eastAsia="sl-SI"/>
              </w:rPr>
              <w:t>RS</w:t>
            </w:r>
            <w:r w:rsidR="00007116" w:rsidRPr="006E154A">
              <w:rPr>
                <w:rFonts w:ascii="Arial" w:eastAsia="Times New Roman" w:hAnsi="Arial" w:cs="Arial"/>
                <w:color w:val="000000" w:themeColor="text1"/>
                <w:sz w:val="18"/>
                <w:szCs w:val="18"/>
                <w:lang w:eastAsia="sl-SI"/>
              </w:rPr>
              <w:t xml:space="preserve"> </w:t>
            </w:r>
            <w:r w:rsidRPr="006E154A">
              <w:rPr>
                <w:rFonts w:ascii="Arial" w:eastAsia="Times New Roman" w:hAnsi="Arial" w:cs="Arial"/>
                <w:color w:val="000000" w:themeColor="text1"/>
                <w:sz w:val="18"/>
                <w:szCs w:val="18"/>
                <w:lang w:eastAsia="sl-SI"/>
              </w:rPr>
              <w:t>ZA INFRASTRUKTURO</w:t>
            </w:r>
          </w:p>
        </w:tc>
        <w:tc>
          <w:tcPr>
            <w:tcW w:w="2509" w:type="pct"/>
            <w:tcBorders>
              <w:top w:val="nil"/>
              <w:left w:val="nil"/>
              <w:bottom w:val="single" w:sz="4" w:space="0" w:color="auto"/>
              <w:right w:val="single" w:sz="4" w:space="0" w:color="auto"/>
            </w:tcBorders>
            <w:shd w:val="clear" w:color="auto" w:fill="auto"/>
            <w:vAlign w:val="center"/>
            <w:hideMark/>
          </w:tcPr>
          <w:p w14:paraId="2BD92685" w14:textId="77777777" w:rsidR="006E154A" w:rsidRPr="006E154A" w:rsidRDefault="006E154A" w:rsidP="006E154A">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 xml:space="preserve">VOC CELJE, vzdrževanje in obnova cest </w:t>
            </w:r>
            <w:proofErr w:type="spellStart"/>
            <w:r w:rsidRPr="006E154A">
              <w:rPr>
                <w:rFonts w:ascii="Arial" w:eastAsia="Times New Roman" w:hAnsi="Arial" w:cs="Arial"/>
                <w:color w:val="000000" w:themeColor="text1"/>
                <w:sz w:val="18"/>
                <w:szCs w:val="18"/>
                <w:lang w:eastAsia="sl-SI"/>
              </w:rPr>
              <w:t>d.o.o</w:t>
            </w:r>
            <w:proofErr w:type="spellEnd"/>
            <w:r w:rsidRPr="006E154A">
              <w:rPr>
                <w:rFonts w:ascii="Arial" w:eastAsia="Times New Roman" w:hAnsi="Arial" w:cs="Arial"/>
                <w:color w:val="000000" w:themeColor="text1"/>
                <w:sz w:val="18"/>
                <w:szCs w:val="18"/>
                <w:lang w:eastAsia="sl-SI"/>
              </w:rPr>
              <w:t>.</w:t>
            </w:r>
          </w:p>
        </w:tc>
        <w:tc>
          <w:tcPr>
            <w:tcW w:w="447" w:type="pct"/>
            <w:tcBorders>
              <w:top w:val="nil"/>
              <w:left w:val="nil"/>
              <w:bottom w:val="single" w:sz="4" w:space="0" w:color="auto"/>
              <w:right w:val="single" w:sz="4" w:space="0" w:color="auto"/>
            </w:tcBorders>
            <w:shd w:val="clear" w:color="auto" w:fill="auto"/>
            <w:vAlign w:val="center"/>
            <w:hideMark/>
          </w:tcPr>
          <w:p w14:paraId="44A791F6" w14:textId="77777777" w:rsidR="006E154A" w:rsidRPr="006E154A" w:rsidRDefault="006E154A" w:rsidP="007F5593">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Storitve</w:t>
            </w:r>
          </w:p>
        </w:tc>
        <w:tc>
          <w:tcPr>
            <w:tcW w:w="622" w:type="pct"/>
            <w:tcBorders>
              <w:top w:val="nil"/>
              <w:left w:val="nil"/>
              <w:bottom w:val="single" w:sz="4" w:space="0" w:color="auto"/>
              <w:right w:val="single" w:sz="4" w:space="0" w:color="auto"/>
            </w:tcBorders>
            <w:shd w:val="clear" w:color="auto" w:fill="auto"/>
            <w:vAlign w:val="center"/>
            <w:hideMark/>
          </w:tcPr>
          <w:p w14:paraId="6B975571" w14:textId="77777777" w:rsidR="006E154A" w:rsidRPr="006E154A" w:rsidRDefault="006E154A" w:rsidP="006E154A">
            <w:pPr>
              <w:spacing w:after="0" w:line="240" w:lineRule="auto"/>
              <w:jc w:val="right"/>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81.631.472</w:t>
            </w:r>
          </w:p>
        </w:tc>
      </w:tr>
      <w:tr w:rsidR="006E154A" w:rsidRPr="006E154A" w14:paraId="021DF1D0" w14:textId="77777777" w:rsidTr="00C72E29">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508DF1B" w14:textId="77777777" w:rsidR="006E154A" w:rsidRPr="006E154A" w:rsidRDefault="006E154A" w:rsidP="006E154A">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4</w:t>
            </w:r>
          </w:p>
        </w:tc>
        <w:tc>
          <w:tcPr>
            <w:tcW w:w="1148" w:type="pct"/>
            <w:tcBorders>
              <w:top w:val="nil"/>
              <w:left w:val="nil"/>
              <w:bottom w:val="single" w:sz="4" w:space="0" w:color="auto"/>
              <w:right w:val="single" w:sz="4" w:space="0" w:color="auto"/>
            </w:tcBorders>
            <w:shd w:val="clear" w:color="auto" w:fill="auto"/>
            <w:vAlign w:val="center"/>
            <w:hideMark/>
          </w:tcPr>
          <w:p w14:paraId="4063C090" w14:textId="4FA81C77" w:rsidR="006E154A" w:rsidRPr="006E154A" w:rsidRDefault="006E154A" w:rsidP="006E154A">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 xml:space="preserve">DIREKCIJA </w:t>
            </w:r>
            <w:r w:rsidR="00007116" w:rsidRPr="0028555C">
              <w:rPr>
                <w:rFonts w:ascii="Arial" w:eastAsia="Times New Roman" w:hAnsi="Arial" w:cs="Arial"/>
                <w:color w:val="000000" w:themeColor="text1"/>
                <w:sz w:val="18"/>
                <w:szCs w:val="18"/>
                <w:lang w:eastAsia="sl-SI"/>
              </w:rPr>
              <w:t>RS</w:t>
            </w:r>
            <w:r w:rsidR="00007116" w:rsidRPr="006E154A">
              <w:rPr>
                <w:rFonts w:ascii="Arial" w:eastAsia="Times New Roman" w:hAnsi="Arial" w:cs="Arial"/>
                <w:color w:val="000000" w:themeColor="text1"/>
                <w:sz w:val="18"/>
                <w:szCs w:val="18"/>
                <w:lang w:eastAsia="sl-SI"/>
              </w:rPr>
              <w:t xml:space="preserve"> </w:t>
            </w:r>
            <w:r w:rsidRPr="006E154A">
              <w:rPr>
                <w:rFonts w:ascii="Arial" w:eastAsia="Times New Roman" w:hAnsi="Arial" w:cs="Arial"/>
                <w:color w:val="000000" w:themeColor="text1"/>
                <w:sz w:val="18"/>
                <w:szCs w:val="18"/>
                <w:lang w:eastAsia="sl-SI"/>
              </w:rPr>
              <w:t>ZA INFRASTRUKTURO</w:t>
            </w:r>
          </w:p>
        </w:tc>
        <w:tc>
          <w:tcPr>
            <w:tcW w:w="2509" w:type="pct"/>
            <w:tcBorders>
              <w:top w:val="nil"/>
              <w:left w:val="nil"/>
              <w:bottom w:val="single" w:sz="4" w:space="0" w:color="auto"/>
              <w:right w:val="single" w:sz="4" w:space="0" w:color="auto"/>
            </w:tcBorders>
            <w:shd w:val="clear" w:color="auto" w:fill="auto"/>
            <w:vAlign w:val="center"/>
            <w:hideMark/>
          </w:tcPr>
          <w:p w14:paraId="4DDF1F2A" w14:textId="77777777" w:rsidR="006E154A" w:rsidRPr="006E154A" w:rsidRDefault="006E154A" w:rsidP="006E154A">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 xml:space="preserve">POMGRAD - CESTNO PODJETJE, družba za vzdrževanje in gradnjo cest </w:t>
            </w:r>
            <w:proofErr w:type="spellStart"/>
            <w:r w:rsidRPr="006E154A">
              <w:rPr>
                <w:rFonts w:ascii="Arial" w:eastAsia="Times New Roman" w:hAnsi="Arial" w:cs="Arial"/>
                <w:color w:val="000000" w:themeColor="text1"/>
                <w:sz w:val="18"/>
                <w:szCs w:val="18"/>
                <w:lang w:eastAsia="sl-SI"/>
              </w:rPr>
              <w:t>d.d</w:t>
            </w:r>
            <w:proofErr w:type="spellEnd"/>
            <w:r w:rsidRPr="006E154A">
              <w:rPr>
                <w:rFonts w:ascii="Arial" w:eastAsia="Times New Roman" w:hAnsi="Arial" w:cs="Arial"/>
                <w:color w:val="000000" w:themeColor="text1"/>
                <w:sz w:val="18"/>
                <w:szCs w:val="18"/>
                <w:lang w:eastAsia="sl-SI"/>
              </w:rPr>
              <w:t>.</w:t>
            </w:r>
          </w:p>
        </w:tc>
        <w:tc>
          <w:tcPr>
            <w:tcW w:w="447" w:type="pct"/>
            <w:tcBorders>
              <w:top w:val="nil"/>
              <w:left w:val="nil"/>
              <w:bottom w:val="single" w:sz="4" w:space="0" w:color="auto"/>
              <w:right w:val="single" w:sz="4" w:space="0" w:color="auto"/>
            </w:tcBorders>
            <w:shd w:val="clear" w:color="auto" w:fill="auto"/>
            <w:vAlign w:val="center"/>
            <w:hideMark/>
          </w:tcPr>
          <w:p w14:paraId="03BB79B6" w14:textId="77777777" w:rsidR="006E154A" w:rsidRPr="006E154A" w:rsidRDefault="006E154A" w:rsidP="007F5593">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Storitve</w:t>
            </w:r>
          </w:p>
        </w:tc>
        <w:tc>
          <w:tcPr>
            <w:tcW w:w="622" w:type="pct"/>
            <w:tcBorders>
              <w:top w:val="nil"/>
              <w:left w:val="nil"/>
              <w:bottom w:val="single" w:sz="4" w:space="0" w:color="auto"/>
              <w:right w:val="single" w:sz="4" w:space="0" w:color="auto"/>
            </w:tcBorders>
            <w:shd w:val="clear" w:color="auto" w:fill="auto"/>
            <w:vAlign w:val="center"/>
            <w:hideMark/>
          </w:tcPr>
          <w:p w14:paraId="4A38DA5D" w14:textId="77777777" w:rsidR="006E154A" w:rsidRPr="006E154A" w:rsidRDefault="006E154A" w:rsidP="006E154A">
            <w:pPr>
              <w:spacing w:after="0" w:line="240" w:lineRule="auto"/>
              <w:jc w:val="right"/>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81.288.798</w:t>
            </w:r>
          </w:p>
        </w:tc>
      </w:tr>
      <w:tr w:rsidR="006E154A" w:rsidRPr="006E154A" w14:paraId="70388BE3" w14:textId="77777777" w:rsidTr="00C72E29">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D26BBD" w14:textId="77777777" w:rsidR="006E154A" w:rsidRPr="006E154A" w:rsidRDefault="006E154A" w:rsidP="006E154A">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5</w:t>
            </w:r>
          </w:p>
        </w:tc>
        <w:tc>
          <w:tcPr>
            <w:tcW w:w="1148" w:type="pct"/>
            <w:tcBorders>
              <w:top w:val="nil"/>
              <w:left w:val="nil"/>
              <w:bottom w:val="single" w:sz="4" w:space="0" w:color="auto"/>
              <w:right w:val="single" w:sz="4" w:space="0" w:color="auto"/>
            </w:tcBorders>
            <w:shd w:val="clear" w:color="auto" w:fill="auto"/>
            <w:vAlign w:val="center"/>
            <w:hideMark/>
          </w:tcPr>
          <w:p w14:paraId="107C0DD4" w14:textId="3D694A3D" w:rsidR="006E154A" w:rsidRPr="006E154A" w:rsidRDefault="006E154A" w:rsidP="006E154A">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 xml:space="preserve">DIREKCIJA </w:t>
            </w:r>
            <w:r w:rsidR="00007116" w:rsidRPr="0028555C">
              <w:rPr>
                <w:rFonts w:ascii="Arial" w:eastAsia="Times New Roman" w:hAnsi="Arial" w:cs="Arial"/>
                <w:color w:val="000000" w:themeColor="text1"/>
                <w:sz w:val="18"/>
                <w:szCs w:val="18"/>
                <w:lang w:eastAsia="sl-SI"/>
              </w:rPr>
              <w:t>RS</w:t>
            </w:r>
            <w:r w:rsidR="00007116" w:rsidRPr="006E154A">
              <w:rPr>
                <w:rFonts w:ascii="Arial" w:eastAsia="Times New Roman" w:hAnsi="Arial" w:cs="Arial"/>
                <w:color w:val="000000" w:themeColor="text1"/>
                <w:sz w:val="18"/>
                <w:szCs w:val="18"/>
                <w:lang w:eastAsia="sl-SI"/>
              </w:rPr>
              <w:t xml:space="preserve"> </w:t>
            </w:r>
            <w:r w:rsidRPr="006E154A">
              <w:rPr>
                <w:rFonts w:ascii="Arial" w:eastAsia="Times New Roman" w:hAnsi="Arial" w:cs="Arial"/>
                <w:color w:val="000000" w:themeColor="text1"/>
                <w:sz w:val="18"/>
                <w:szCs w:val="18"/>
                <w:lang w:eastAsia="sl-SI"/>
              </w:rPr>
              <w:t>ZA INFRASTRUKTURO</w:t>
            </w:r>
          </w:p>
        </w:tc>
        <w:tc>
          <w:tcPr>
            <w:tcW w:w="2509" w:type="pct"/>
            <w:tcBorders>
              <w:top w:val="nil"/>
              <w:left w:val="nil"/>
              <w:bottom w:val="single" w:sz="4" w:space="0" w:color="auto"/>
              <w:right w:val="single" w:sz="4" w:space="0" w:color="auto"/>
            </w:tcBorders>
            <w:shd w:val="clear" w:color="auto" w:fill="auto"/>
            <w:vAlign w:val="center"/>
            <w:hideMark/>
          </w:tcPr>
          <w:p w14:paraId="022B322B" w14:textId="77777777" w:rsidR="006E154A" w:rsidRPr="006E154A" w:rsidRDefault="006E154A" w:rsidP="006E154A">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 xml:space="preserve">KOLEKTOR KOLING Inženiring, instalacije, proizvodnja </w:t>
            </w:r>
            <w:proofErr w:type="spellStart"/>
            <w:r w:rsidRPr="006E154A">
              <w:rPr>
                <w:rFonts w:ascii="Arial" w:eastAsia="Times New Roman" w:hAnsi="Arial" w:cs="Arial"/>
                <w:color w:val="000000" w:themeColor="text1"/>
                <w:sz w:val="18"/>
                <w:szCs w:val="18"/>
                <w:lang w:eastAsia="sl-SI"/>
              </w:rPr>
              <w:t>d.o.o</w:t>
            </w:r>
            <w:proofErr w:type="spellEnd"/>
            <w:r w:rsidRPr="006E154A">
              <w:rPr>
                <w:rFonts w:ascii="Arial" w:eastAsia="Times New Roman" w:hAnsi="Arial" w:cs="Arial"/>
                <w:color w:val="000000" w:themeColor="text1"/>
                <w:sz w:val="18"/>
                <w:szCs w:val="18"/>
                <w:lang w:eastAsia="sl-SI"/>
              </w:rPr>
              <w:t>.</w:t>
            </w:r>
          </w:p>
        </w:tc>
        <w:tc>
          <w:tcPr>
            <w:tcW w:w="447" w:type="pct"/>
            <w:tcBorders>
              <w:top w:val="nil"/>
              <w:left w:val="nil"/>
              <w:bottom w:val="single" w:sz="4" w:space="0" w:color="auto"/>
              <w:right w:val="single" w:sz="4" w:space="0" w:color="auto"/>
            </w:tcBorders>
            <w:shd w:val="clear" w:color="auto" w:fill="auto"/>
            <w:vAlign w:val="center"/>
            <w:hideMark/>
          </w:tcPr>
          <w:p w14:paraId="4E305F48" w14:textId="77777777" w:rsidR="006E154A" w:rsidRPr="006E154A" w:rsidRDefault="006E154A" w:rsidP="007F5593">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Gradnje</w:t>
            </w:r>
          </w:p>
        </w:tc>
        <w:tc>
          <w:tcPr>
            <w:tcW w:w="622" w:type="pct"/>
            <w:tcBorders>
              <w:top w:val="nil"/>
              <w:left w:val="nil"/>
              <w:bottom w:val="single" w:sz="4" w:space="0" w:color="auto"/>
              <w:right w:val="single" w:sz="4" w:space="0" w:color="auto"/>
            </w:tcBorders>
            <w:shd w:val="clear" w:color="auto" w:fill="auto"/>
            <w:vAlign w:val="center"/>
            <w:hideMark/>
          </w:tcPr>
          <w:p w14:paraId="30C427D3" w14:textId="77777777" w:rsidR="006E154A" w:rsidRPr="006E154A" w:rsidRDefault="006E154A" w:rsidP="006E154A">
            <w:pPr>
              <w:spacing w:after="0" w:line="240" w:lineRule="auto"/>
              <w:jc w:val="right"/>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78.792.975</w:t>
            </w:r>
          </w:p>
        </w:tc>
      </w:tr>
      <w:tr w:rsidR="006E154A" w:rsidRPr="006E154A" w14:paraId="12BFC645" w14:textId="77777777" w:rsidTr="00C72E29">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5B732F" w14:textId="77777777" w:rsidR="006E154A" w:rsidRPr="006E154A" w:rsidRDefault="006E154A" w:rsidP="006E154A">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6</w:t>
            </w:r>
          </w:p>
        </w:tc>
        <w:tc>
          <w:tcPr>
            <w:tcW w:w="1148" w:type="pct"/>
            <w:tcBorders>
              <w:top w:val="nil"/>
              <w:left w:val="nil"/>
              <w:bottom w:val="single" w:sz="4" w:space="0" w:color="auto"/>
              <w:right w:val="single" w:sz="4" w:space="0" w:color="auto"/>
            </w:tcBorders>
            <w:shd w:val="clear" w:color="auto" w:fill="auto"/>
            <w:vAlign w:val="center"/>
            <w:hideMark/>
          </w:tcPr>
          <w:p w14:paraId="035EA553" w14:textId="0D984450" w:rsidR="006E154A" w:rsidRPr="006E154A" w:rsidRDefault="006E154A" w:rsidP="006E154A">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 xml:space="preserve">DIREKCIJA </w:t>
            </w:r>
            <w:r w:rsidR="00007116" w:rsidRPr="0028555C">
              <w:rPr>
                <w:rFonts w:ascii="Arial" w:eastAsia="Times New Roman" w:hAnsi="Arial" w:cs="Arial"/>
                <w:color w:val="000000" w:themeColor="text1"/>
                <w:sz w:val="18"/>
                <w:szCs w:val="18"/>
                <w:lang w:eastAsia="sl-SI"/>
              </w:rPr>
              <w:t>RS</w:t>
            </w:r>
            <w:r w:rsidR="00007116" w:rsidRPr="006E154A">
              <w:rPr>
                <w:rFonts w:ascii="Arial" w:eastAsia="Times New Roman" w:hAnsi="Arial" w:cs="Arial"/>
                <w:color w:val="000000" w:themeColor="text1"/>
                <w:sz w:val="18"/>
                <w:szCs w:val="18"/>
                <w:lang w:eastAsia="sl-SI"/>
              </w:rPr>
              <w:t xml:space="preserve"> </w:t>
            </w:r>
            <w:r w:rsidRPr="006E154A">
              <w:rPr>
                <w:rFonts w:ascii="Arial" w:eastAsia="Times New Roman" w:hAnsi="Arial" w:cs="Arial"/>
                <w:color w:val="000000" w:themeColor="text1"/>
                <w:sz w:val="18"/>
                <w:szCs w:val="18"/>
                <w:lang w:eastAsia="sl-SI"/>
              </w:rPr>
              <w:t>ZA INFRASTRUKTURO</w:t>
            </w:r>
          </w:p>
        </w:tc>
        <w:tc>
          <w:tcPr>
            <w:tcW w:w="2509" w:type="pct"/>
            <w:tcBorders>
              <w:top w:val="nil"/>
              <w:left w:val="nil"/>
              <w:bottom w:val="single" w:sz="4" w:space="0" w:color="auto"/>
              <w:right w:val="single" w:sz="4" w:space="0" w:color="auto"/>
            </w:tcBorders>
            <w:shd w:val="clear" w:color="auto" w:fill="auto"/>
            <w:vAlign w:val="center"/>
            <w:hideMark/>
          </w:tcPr>
          <w:p w14:paraId="60F90D0F" w14:textId="77777777" w:rsidR="006E154A" w:rsidRPr="006E154A" w:rsidRDefault="006E154A" w:rsidP="006E154A">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 xml:space="preserve">KOLEKTOR CESTNO PODJETJE NOVA GORICA, Družba za vzdrževanje in gradnjo cest, </w:t>
            </w:r>
            <w:proofErr w:type="spellStart"/>
            <w:r w:rsidRPr="006E154A">
              <w:rPr>
                <w:rFonts w:ascii="Arial" w:eastAsia="Times New Roman" w:hAnsi="Arial" w:cs="Arial"/>
                <w:color w:val="000000" w:themeColor="text1"/>
                <w:sz w:val="18"/>
                <w:szCs w:val="18"/>
                <w:lang w:eastAsia="sl-SI"/>
              </w:rPr>
              <w:t>d.o.o</w:t>
            </w:r>
            <w:proofErr w:type="spellEnd"/>
            <w:r w:rsidRPr="006E154A">
              <w:rPr>
                <w:rFonts w:ascii="Arial" w:eastAsia="Times New Roman" w:hAnsi="Arial" w:cs="Arial"/>
                <w:color w:val="000000" w:themeColor="text1"/>
                <w:sz w:val="18"/>
                <w:szCs w:val="18"/>
                <w:lang w:eastAsia="sl-SI"/>
              </w:rPr>
              <w:t>.</w:t>
            </w:r>
          </w:p>
        </w:tc>
        <w:tc>
          <w:tcPr>
            <w:tcW w:w="447" w:type="pct"/>
            <w:tcBorders>
              <w:top w:val="nil"/>
              <w:left w:val="nil"/>
              <w:bottom w:val="single" w:sz="4" w:space="0" w:color="auto"/>
              <w:right w:val="single" w:sz="4" w:space="0" w:color="auto"/>
            </w:tcBorders>
            <w:shd w:val="clear" w:color="auto" w:fill="auto"/>
            <w:vAlign w:val="center"/>
            <w:hideMark/>
          </w:tcPr>
          <w:p w14:paraId="4D76E339" w14:textId="77777777" w:rsidR="006E154A" w:rsidRPr="006E154A" w:rsidRDefault="006E154A" w:rsidP="007F5593">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Storitve</w:t>
            </w:r>
          </w:p>
        </w:tc>
        <w:tc>
          <w:tcPr>
            <w:tcW w:w="622" w:type="pct"/>
            <w:tcBorders>
              <w:top w:val="nil"/>
              <w:left w:val="nil"/>
              <w:bottom w:val="single" w:sz="4" w:space="0" w:color="auto"/>
              <w:right w:val="single" w:sz="4" w:space="0" w:color="auto"/>
            </w:tcBorders>
            <w:shd w:val="clear" w:color="auto" w:fill="auto"/>
            <w:vAlign w:val="center"/>
            <w:hideMark/>
          </w:tcPr>
          <w:p w14:paraId="64F7D553" w14:textId="77777777" w:rsidR="006E154A" w:rsidRPr="006E154A" w:rsidRDefault="006E154A" w:rsidP="006E154A">
            <w:pPr>
              <w:spacing w:after="0" w:line="240" w:lineRule="auto"/>
              <w:jc w:val="right"/>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77.799.620</w:t>
            </w:r>
          </w:p>
        </w:tc>
      </w:tr>
      <w:tr w:rsidR="006E154A" w:rsidRPr="006E154A" w14:paraId="7AF33324" w14:textId="77777777" w:rsidTr="00C72E29">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25F4DE" w14:textId="77777777" w:rsidR="006E154A" w:rsidRPr="006E154A" w:rsidRDefault="006E154A" w:rsidP="006E154A">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7</w:t>
            </w:r>
          </w:p>
        </w:tc>
        <w:tc>
          <w:tcPr>
            <w:tcW w:w="1148" w:type="pct"/>
            <w:tcBorders>
              <w:top w:val="nil"/>
              <w:left w:val="nil"/>
              <w:bottom w:val="single" w:sz="4" w:space="0" w:color="auto"/>
              <w:right w:val="single" w:sz="4" w:space="0" w:color="auto"/>
            </w:tcBorders>
            <w:shd w:val="clear" w:color="auto" w:fill="auto"/>
            <w:vAlign w:val="center"/>
            <w:hideMark/>
          </w:tcPr>
          <w:p w14:paraId="652FE481" w14:textId="5B760C3C" w:rsidR="006E154A" w:rsidRPr="006E154A" w:rsidRDefault="006E154A" w:rsidP="006E154A">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 xml:space="preserve">DIREKCIJA </w:t>
            </w:r>
            <w:r w:rsidR="00007116" w:rsidRPr="0028555C">
              <w:rPr>
                <w:rFonts w:ascii="Arial" w:eastAsia="Times New Roman" w:hAnsi="Arial" w:cs="Arial"/>
                <w:color w:val="000000" w:themeColor="text1"/>
                <w:sz w:val="18"/>
                <w:szCs w:val="18"/>
                <w:lang w:eastAsia="sl-SI"/>
              </w:rPr>
              <w:t>RS</w:t>
            </w:r>
            <w:r w:rsidR="00007116" w:rsidRPr="006E154A">
              <w:rPr>
                <w:rFonts w:ascii="Arial" w:eastAsia="Times New Roman" w:hAnsi="Arial" w:cs="Arial"/>
                <w:color w:val="000000" w:themeColor="text1"/>
                <w:sz w:val="18"/>
                <w:szCs w:val="18"/>
                <w:lang w:eastAsia="sl-SI"/>
              </w:rPr>
              <w:t xml:space="preserve"> </w:t>
            </w:r>
            <w:r w:rsidRPr="006E154A">
              <w:rPr>
                <w:rFonts w:ascii="Arial" w:eastAsia="Times New Roman" w:hAnsi="Arial" w:cs="Arial"/>
                <w:color w:val="000000" w:themeColor="text1"/>
                <w:sz w:val="18"/>
                <w:szCs w:val="18"/>
                <w:lang w:eastAsia="sl-SI"/>
              </w:rPr>
              <w:t>ZA INFRASTRUKTURO</w:t>
            </w:r>
          </w:p>
        </w:tc>
        <w:tc>
          <w:tcPr>
            <w:tcW w:w="2509" w:type="pct"/>
            <w:tcBorders>
              <w:top w:val="nil"/>
              <w:left w:val="nil"/>
              <w:bottom w:val="single" w:sz="4" w:space="0" w:color="auto"/>
              <w:right w:val="single" w:sz="4" w:space="0" w:color="auto"/>
            </w:tcBorders>
            <w:shd w:val="clear" w:color="auto" w:fill="auto"/>
            <w:vAlign w:val="center"/>
            <w:hideMark/>
          </w:tcPr>
          <w:p w14:paraId="795E0C5D" w14:textId="77777777" w:rsidR="006E154A" w:rsidRPr="006E154A" w:rsidRDefault="006E154A" w:rsidP="006E154A">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 xml:space="preserve">CPK, </w:t>
            </w:r>
            <w:proofErr w:type="spellStart"/>
            <w:r w:rsidRPr="006E154A">
              <w:rPr>
                <w:rFonts w:ascii="Arial" w:eastAsia="Times New Roman" w:hAnsi="Arial" w:cs="Arial"/>
                <w:color w:val="000000" w:themeColor="text1"/>
                <w:sz w:val="18"/>
                <w:szCs w:val="18"/>
                <w:lang w:eastAsia="sl-SI"/>
              </w:rPr>
              <w:t>d.d</w:t>
            </w:r>
            <w:proofErr w:type="spellEnd"/>
            <w:r w:rsidRPr="006E154A">
              <w:rPr>
                <w:rFonts w:ascii="Arial" w:eastAsia="Times New Roman" w:hAnsi="Arial" w:cs="Arial"/>
                <w:color w:val="000000" w:themeColor="text1"/>
                <w:sz w:val="18"/>
                <w:szCs w:val="18"/>
                <w:lang w:eastAsia="sl-SI"/>
              </w:rPr>
              <w:t>., družba za vzdrževanje cest, gradbeništvo in druge poslovne storitve</w:t>
            </w:r>
          </w:p>
        </w:tc>
        <w:tc>
          <w:tcPr>
            <w:tcW w:w="447" w:type="pct"/>
            <w:tcBorders>
              <w:top w:val="nil"/>
              <w:left w:val="nil"/>
              <w:bottom w:val="single" w:sz="4" w:space="0" w:color="auto"/>
              <w:right w:val="single" w:sz="4" w:space="0" w:color="auto"/>
            </w:tcBorders>
            <w:shd w:val="clear" w:color="auto" w:fill="auto"/>
            <w:vAlign w:val="center"/>
            <w:hideMark/>
          </w:tcPr>
          <w:p w14:paraId="280D5462" w14:textId="77777777" w:rsidR="006E154A" w:rsidRPr="006E154A" w:rsidRDefault="006E154A" w:rsidP="007F5593">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Storitve</w:t>
            </w:r>
          </w:p>
        </w:tc>
        <w:tc>
          <w:tcPr>
            <w:tcW w:w="622" w:type="pct"/>
            <w:tcBorders>
              <w:top w:val="nil"/>
              <w:left w:val="nil"/>
              <w:bottom w:val="single" w:sz="4" w:space="0" w:color="auto"/>
              <w:right w:val="single" w:sz="4" w:space="0" w:color="auto"/>
            </w:tcBorders>
            <w:shd w:val="clear" w:color="auto" w:fill="auto"/>
            <w:vAlign w:val="center"/>
            <w:hideMark/>
          </w:tcPr>
          <w:p w14:paraId="226AEC2D" w14:textId="77777777" w:rsidR="006E154A" w:rsidRPr="006E154A" w:rsidRDefault="006E154A" w:rsidP="006E154A">
            <w:pPr>
              <w:spacing w:after="0" w:line="240" w:lineRule="auto"/>
              <w:jc w:val="right"/>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67.722.295</w:t>
            </w:r>
          </w:p>
        </w:tc>
      </w:tr>
      <w:tr w:rsidR="006E154A" w:rsidRPr="006E154A" w14:paraId="5ECF142F" w14:textId="77777777" w:rsidTr="00C72E29">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FDE024" w14:textId="77777777" w:rsidR="006E154A" w:rsidRPr="006E154A" w:rsidRDefault="006E154A" w:rsidP="006E154A">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8</w:t>
            </w:r>
          </w:p>
        </w:tc>
        <w:tc>
          <w:tcPr>
            <w:tcW w:w="1148" w:type="pct"/>
            <w:tcBorders>
              <w:top w:val="nil"/>
              <w:left w:val="nil"/>
              <w:bottom w:val="single" w:sz="4" w:space="0" w:color="auto"/>
              <w:right w:val="single" w:sz="4" w:space="0" w:color="auto"/>
            </w:tcBorders>
            <w:shd w:val="clear" w:color="auto" w:fill="auto"/>
            <w:vAlign w:val="center"/>
            <w:hideMark/>
          </w:tcPr>
          <w:p w14:paraId="4C8CACDA" w14:textId="0AD7CABC" w:rsidR="006E154A" w:rsidRPr="006E154A" w:rsidRDefault="006E154A" w:rsidP="006E154A">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 xml:space="preserve">DIREKCIJA </w:t>
            </w:r>
            <w:r w:rsidR="00E853C2" w:rsidRPr="0028555C">
              <w:rPr>
                <w:rFonts w:ascii="Arial" w:eastAsia="Times New Roman" w:hAnsi="Arial" w:cs="Arial"/>
                <w:color w:val="000000" w:themeColor="text1"/>
                <w:sz w:val="18"/>
                <w:szCs w:val="18"/>
                <w:lang w:eastAsia="sl-SI"/>
              </w:rPr>
              <w:t>RS</w:t>
            </w:r>
            <w:r w:rsidR="00E853C2" w:rsidRPr="006E154A">
              <w:rPr>
                <w:rFonts w:ascii="Arial" w:eastAsia="Times New Roman" w:hAnsi="Arial" w:cs="Arial"/>
                <w:color w:val="000000" w:themeColor="text1"/>
                <w:sz w:val="18"/>
                <w:szCs w:val="18"/>
                <w:lang w:eastAsia="sl-SI"/>
              </w:rPr>
              <w:t xml:space="preserve"> </w:t>
            </w:r>
            <w:r w:rsidRPr="006E154A">
              <w:rPr>
                <w:rFonts w:ascii="Arial" w:eastAsia="Times New Roman" w:hAnsi="Arial" w:cs="Arial"/>
                <w:color w:val="000000" w:themeColor="text1"/>
                <w:sz w:val="18"/>
                <w:szCs w:val="18"/>
                <w:lang w:eastAsia="sl-SI"/>
              </w:rPr>
              <w:t>ZA INFRASTRUKTURO</w:t>
            </w:r>
          </w:p>
        </w:tc>
        <w:tc>
          <w:tcPr>
            <w:tcW w:w="2509" w:type="pct"/>
            <w:tcBorders>
              <w:top w:val="nil"/>
              <w:left w:val="nil"/>
              <w:bottom w:val="single" w:sz="4" w:space="0" w:color="auto"/>
              <w:right w:val="single" w:sz="4" w:space="0" w:color="auto"/>
            </w:tcBorders>
            <w:shd w:val="clear" w:color="auto" w:fill="auto"/>
            <w:vAlign w:val="center"/>
            <w:hideMark/>
          </w:tcPr>
          <w:p w14:paraId="4BD016FD" w14:textId="77777777" w:rsidR="006E154A" w:rsidRPr="006E154A" w:rsidRDefault="006E154A" w:rsidP="006E154A">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 xml:space="preserve">GORENJSKA GRADBENA DRUŽBA, projektiranje, inženiring, gradnja in vzdrževanje objektov visoke in nizke gradnje </w:t>
            </w:r>
            <w:proofErr w:type="spellStart"/>
            <w:r w:rsidRPr="006E154A">
              <w:rPr>
                <w:rFonts w:ascii="Arial" w:eastAsia="Times New Roman" w:hAnsi="Arial" w:cs="Arial"/>
                <w:color w:val="000000" w:themeColor="text1"/>
                <w:sz w:val="18"/>
                <w:szCs w:val="18"/>
                <w:lang w:eastAsia="sl-SI"/>
              </w:rPr>
              <w:t>d.d</w:t>
            </w:r>
            <w:proofErr w:type="spellEnd"/>
            <w:r w:rsidRPr="006E154A">
              <w:rPr>
                <w:rFonts w:ascii="Arial" w:eastAsia="Times New Roman" w:hAnsi="Arial" w:cs="Arial"/>
                <w:color w:val="000000" w:themeColor="text1"/>
                <w:sz w:val="18"/>
                <w:szCs w:val="18"/>
                <w:lang w:eastAsia="sl-SI"/>
              </w:rPr>
              <w:t>.</w:t>
            </w:r>
          </w:p>
        </w:tc>
        <w:tc>
          <w:tcPr>
            <w:tcW w:w="447" w:type="pct"/>
            <w:tcBorders>
              <w:top w:val="nil"/>
              <w:left w:val="nil"/>
              <w:bottom w:val="single" w:sz="4" w:space="0" w:color="auto"/>
              <w:right w:val="single" w:sz="4" w:space="0" w:color="auto"/>
            </w:tcBorders>
            <w:shd w:val="clear" w:color="auto" w:fill="auto"/>
            <w:vAlign w:val="center"/>
            <w:hideMark/>
          </w:tcPr>
          <w:p w14:paraId="090EC20D" w14:textId="77777777" w:rsidR="006E154A" w:rsidRPr="006E154A" w:rsidRDefault="006E154A" w:rsidP="007F5593">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Storitve</w:t>
            </w:r>
          </w:p>
        </w:tc>
        <w:tc>
          <w:tcPr>
            <w:tcW w:w="622" w:type="pct"/>
            <w:tcBorders>
              <w:top w:val="nil"/>
              <w:left w:val="nil"/>
              <w:bottom w:val="single" w:sz="4" w:space="0" w:color="auto"/>
              <w:right w:val="single" w:sz="4" w:space="0" w:color="auto"/>
            </w:tcBorders>
            <w:shd w:val="clear" w:color="auto" w:fill="auto"/>
            <w:vAlign w:val="center"/>
            <w:hideMark/>
          </w:tcPr>
          <w:p w14:paraId="163733E8" w14:textId="77777777" w:rsidR="006E154A" w:rsidRPr="006E154A" w:rsidRDefault="006E154A" w:rsidP="006E154A">
            <w:pPr>
              <w:spacing w:after="0" w:line="240" w:lineRule="auto"/>
              <w:jc w:val="right"/>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63.690.238</w:t>
            </w:r>
          </w:p>
        </w:tc>
      </w:tr>
      <w:tr w:rsidR="006E154A" w:rsidRPr="006E154A" w14:paraId="1100355E" w14:textId="77777777" w:rsidTr="00C72E29">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464529" w14:textId="77777777" w:rsidR="006E154A" w:rsidRPr="006E154A" w:rsidRDefault="006E154A" w:rsidP="006E154A">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9</w:t>
            </w:r>
          </w:p>
        </w:tc>
        <w:tc>
          <w:tcPr>
            <w:tcW w:w="1148" w:type="pct"/>
            <w:tcBorders>
              <w:top w:val="nil"/>
              <w:left w:val="nil"/>
              <w:bottom w:val="single" w:sz="4" w:space="0" w:color="auto"/>
              <w:right w:val="single" w:sz="4" w:space="0" w:color="auto"/>
            </w:tcBorders>
            <w:shd w:val="clear" w:color="auto" w:fill="auto"/>
            <w:vAlign w:val="center"/>
            <w:hideMark/>
          </w:tcPr>
          <w:p w14:paraId="27D819ED" w14:textId="77777777" w:rsidR="006E154A" w:rsidRPr="006E154A" w:rsidRDefault="006E154A" w:rsidP="006E154A">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MINISTRSTVO ZA PRAVOSODJE</w:t>
            </w:r>
          </w:p>
        </w:tc>
        <w:tc>
          <w:tcPr>
            <w:tcW w:w="2509" w:type="pct"/>
            <w:tcBorders>
              <w:top w:val="nil"/>
              <w:left w:val="nil"/>
              <w:bottom w:val="single" w:sz="4" w:space="0" w:color="auto"/>
              <w:right w:val="single" w:sz="4" w:space="0" w:color="auto"/>
            </w:tcBorders>
            <w:shd w:val="clear" w:color="auto" w:fill="auto"/>
            <w:vAlign w:val="center"/>
            <w:hideMark/>
          </w:tcPr>
          <w:p w14:paraId="28675F62" w14:textId="77777777" w:rsidR="006E154A" w:rsidRPr="006E154A" w:rsidRDefault="006E154A" w:rsidP="006E154A">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 xml:space="preserve">CGP, družba za gradbeništvo, inženiring, proizvodnjo in vzdrževanje cest, </w:t>
            </w:r>
            <w:proofErr w:type="spellStart"/>
            <w:r w:rsidRPr="006E154A">
              <w:rPr>
                <w:rFonts w:ascii="Arial" w:eastAsia="Times New Roman" w:hAnsi="Arial" w:cs="Arial"/>
                <w:color w:val="000000" w:themeColor="text1"/>
                <w:sz w:val="18"/>
                <w:szCs w:val="18"/>
                <w:lang w:eastAsia="sl-SI"/>
              </w:rPr>
              <w:t>d.d</w:t>
            </w:r>
            <w:proofErr w:type="spellEnd"/>
            <w:r w:rsidRPr="006E154A">
              <w:rPr>
                <w:rFonts w:ascii="Arial" w:eastAsia="Times New Roman" w:hAnsi="Arial" w:cs="Arial"/>
                <w:color w:val="000000" w:themeColor="text1"/>
                <w:sz w:val="18"/>
                <w:szCs w:val="18"/>
                <w:lang w:eastAsia="sl-SI"/>
              </w:rPr>
              <w:t>.</w:t>
            </w:r>
          </w:p>
        </w:tc>
        <w:tc>
          <w:tcPr>
            <w:tcW w:w="447" w:type="pct"/>
            <w:tcBorders>
              <w:top w:val="nil"/>
              <w:left w:val="nil"/>
              <w:bottom w:val="single" w:sz="4" w:space="0" w:color="auto"/>
              <w:right w:val="single" w:sz="4" w:space="0" w:color="auto"/>
            </w:tcBorders>
            <w:shd w:val="clear" w:color="auto" w:fill="auto"/>
            <w:vAlign w:val="center"/>
            <w:hideMark/>
          </w:tcPr>
          <w:p w14:paraId="20C2F49E" w14:textId="77777777" w:rsidR="006E154A" w:rsidRPr="006E154A" w:rsidRDefault="006E154A" w:rsidP="007F5593">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Gradnje</w:t>
            </w:r>
          </w:p>
        </w:tc>
        <w:tc>
          <w:tcPr>
            <w:tcW w:w="622" w:type="pct"/>
            <w:tcBorders>
              <w:top w:val="nil"/>
              <w:left w:val="nil"/>
              <w:bottom w:val="single" w:sz="4" w:space="0" w:color="auto"/>
              <w:right w:val="single" w:sz="4" w:space="0" w:color="auto"/>
            </w:tcBorders>
            <w:shd w:val="clear" w:color="auto" w:fill="auto"/>
            <w:vAlign w:val="center"/>
            <w:hideMark/>
          </w:tcPr>
          <w:p w14:paraId="722F05D8" w14:textId="77777777" w:rsidR="006E154A" w:rsidRPr="006E154A" w:rsidRDefault="006E154A" w:rsidP="006E154A">
            <w:pPr>
              <w:spacing w:after="0" w:line="240" w:lineRule="auto"/>
              <w:jc w:val="right"/>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59.820.794</w:t>
            </w:r>
          </w:p>
        </w:tc>
      </w:tr>
      <w:tr w:rsidR="006E154A" w:rsidRPr="006E154A" w14:paraId="10C52895" w14:textId="77777777" w:rsidTr="00C72E29">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0C2167" w14:textId="77777777" w:rsidR="006E154A" w:rsidRPr="006E154A" w:rsidRDefault="006E154A" w:rsidP="006E154A">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10</w:t>
            </w:r>
          </w:p>
        </w:tc>
        <w:tc>
          <w:tcPr>
            <w:tcW w:w="1148" w:type="pct"/>
            <w:tcBorders>
              <w:top w:val="nil"/>
              <w:left w:val="nil"/>
              <w:bottom w:val="single" w:sz="4" w:space="0" w:color="auto"/>
              <w:right w:val="single" w:sz="4" w:space="0" w:color="auto"/>
            </w:tcBorders>
            <w:shd w:val="clear" w:color="auto" w:fill="auto"/>
            <w:vAlign w:val="center"/>
            <w:hideMark/>
          </w:tcPr>
          <w:p w14:paraId="7C6A467A" w14:textId="77777777" w:rsidR="006E154A" w:rsidRPr="006E154A" w:rsidRDefault="006E154A" w:rsidP="006E154A">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 xml:space="preserve">TERMOELEKTRARNA ŠOŠTANJ </w:t>
            </w:r>
            <w:proofErr w:type="spellStart"/>
            <w:r w:rsidRPr="006E154A">
              <w:rPr>
                <w:rFonts w:ascii="Arial" w:eastAsia="Times New Roman" w:hAnsi="Arial" w:cs="Arial"/>
                <w:color w:val="000000" w:themeColor="text1"/>
                <w:sz w:val="18"/>
                <w:szCs w:val="18"/>
                <w:lang w:eastAsia="sl-SI"/>
              </w:rPr>
              <w:t>d.o.o</w:t>
            </w:r>
            <w:proofErr w:type="spellEnd"/>
            <w:r w:rsidRPr="006E154A">
              <w:rPr>
                <w:rFonts w:ascii="Arial" w:eastAsia="Times New Roman" w:hAnsi="Arial" w:cs="Arial"/>
                <w:color w:val="000000" w:themeColor="text1"/>
                <w:sz w:val="18"/>
                <w:szCs w:val="18"/>
                <w:lang w:eastAsia="sl-SI"/>
              </w:rPr>
              <w:t>.</w:t>
            </w:r>
          </w:p>
        </w:tc>
        <w:tc>
          <w:tcPr>
            <w:tcW w:w="2509" w:type="pct"/>
            <w:tcBorders>
              <w:top w:val="nil"/>
              <w:left w:val="nil"/>
              <w:bottom w:val="single" w:sz="4" w:space="0" w:color="auto"/>
              <w:right w:val="single" w:sz="4" w:space="0" w:color="auto"/>
            </w:tcBorders>
            <w:shd w:val="clear" w:color="auto" w:fill="auto"/>
            <w:vAlign w:val="center"/>
            <w:hideMark/>
          </w:tcPr>
          <w:p w14:paraId="141EC343" w14:textId="77777777" w:rsidR="006E154A" w:rsidRPr="006E154A" w:rsidRDefault="006E154A" w:rsidP="006E154A">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 xml:space="preserve">APNENEC </w:t>
            </w:r>
            <w:proofErr w:type="spellStart"/>
            <w:r w:rsidRPr="006E154A">
              <w:rPr>
                <w:rFonts w:ascii="Arial" w:eastAsia="Times New Roman" w:hAnsi="Arial" w:cs="Arial"/>
                <w:color w:val="000000" w:themeColor="text1"/>
                <w:sz w:val="18"/>
                <w:szCs w:val="18"/>
                <w:lang w:eastAsia="sl-SI"/>
              </w:rPr>
              <w:t>d.o.o</w:t>
            </w:r>
            <w:proofErr w:type="spellEnd"/>
            <w:r w:rsidRPr="006E154A">
              <w:rPr>
                <w:rFonts w:ascii="Arial" w:eastAsia="Times New Roman" w:hAnsi="Arial" w:cs="Arial"/>
                <w:color w:val="000000" w:themeColor="text1"/>
                <w:sz w:val="18"/>
                <w:szCs w:val="18"/>
                <w:lang w:eastAsia="sl-SI"/>
              </w:rPr>
              <w:t>., Proizvodnja apnenčeve moke</w:t>
            </w:r>
          </w:p>
        </w:tc>
        <w:tc>
          <w:tcPr>
            <w:tcW w:w="447" w:type="pct"/>
            <w:tcBorders>
              <w:top w:val="nil"/>
              <w:left w:val="nil"/>
              <w:bottom w:val="single" w:sz="4" w:space="0" w:color="auto"/>
              <w:right w:val="single" w:sz="4" w:space="0" w:color="auto"/>
            </w:tcBorders>
            <w:shd w:val="clear" w:color="auto" w:fill="auto"/>
            <w:vAlign w:val="center"/>
            <w:hideMark/>
          </w:tcPr>
          <w:p w14:paraId="7B35AE70" w14:textId="77777777" w:rsidR="006E154A" w:rsidRPr="006E154A" w:rsidRDefault="006E154A" w:rsidP="007F5593">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Blago</w:t>
            </w:r>
          </w:p>
        </w:tc>
        <w:tc>
          <w:tcPr>
            <w:tcW w:w="622" w:type="pct"/>
            <w:tcBorders>
              <w:top w:val="nil"/>
              <w:left w:val="nil"/>
              <w:bottom w:val="single" w:sz="4" w:space="0" w:color="auto"/>
              <w:right w:val="single" w:sz="4" w:space="0" w:color="auto"/>
            </w:tcBorders>
            <w:shd w:val="clear" w:color="auto" w:fill="auto"/>
            <w:vAlign w:val="center"/>
            <w:hideMark/>
          </w:tcPr>
          <w:p w14:paraId="5571FB5E" w14:textId="77777777" w:rsidR="006E154A" w:rsidRPr="006E154A" w:rsidRDefault="006E154A" w:rsidP="006E154A">
            <w:pPr>
              <w:spacing w:after="0" w:line="240" w:lineRule="auto"/>
              <w:jc w:val="right"/>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58.744.000</w:t>
            </w:r>
          </w:p>
        </w:tc>
      </w:tr>
      <w:tr w:rsidR="006E154A" w:rsidRPr="006E154A" w14:paraId="3B5E02ED" w14:textId="77777777" w:rsidTr="00C72E29">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6B29106" w14:textId="77777777" w:rsidR="006E154A" w:rsidRPr="006E154A" w:rsidRDefault="006E154A" w:rsidP="006E154A">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11</w:t>
            </w:r>
          </w:p>
        </w:tc>
        <w:tc>
          <w:tcPr>
            <w:tcW w:w="1148" w:type="pct"/>
            <w:tcBorders>
              <w:top w:val="nil"/>
              <w:left w:val="nil"/>
              <w:bottom w:val="single" w:sz="4" w:space="0" w:color="auto"/>
              <w:right w:val="single" w:sz="4" w:space="0" w:color="auto"/>
            </w:tcBorders>
            <w:shd w:val="clear" w:color="auto" w:fill="auto"/>
            <w:vAlign w:val="center"/>
            <w:hideMark/>
          </w:tcPr>
          <w:p w14:paraId="3B729C86" w14:textId="77777777" w:rsidR="006E154A" w:rsidRPr="006E154A" w:rsidRDefault="006E154A" w:rsidP="006E154A">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LUKA KOPER, pristaniški in logistični sistem, delniška družba</w:t>
            </w:r>
          </w:p>
        </w:tc>
        <w:tc>
          <w:tcPr>
            <w:tcW w:w="2509" w:type="pct"/>
            <w:tcBorders>
              <w:top w:val="nil"/>
              <w:left w:val="nil"/>
              <w:bottom w:val="single" w:sz="4" w:space="0" w:color="auto"/>
              <w:right w:val="single" w:sz="4" w:space="0" w:color="auto"/>
            </w:tcBorders>
            <w:shd w:val="clear" w:color="auto" w:fill="auto"/>
            <w:vAlign w:val="center"/>
            <w:hideMark/>
          </w:tcPr>
          <w:p w14:paraId="36EB9892" w14:textId="77777777" w:rsidR="006E154A" w:rsidRPr="006E154A" w:rsidRDefault="006E154A" w:rsidP="006E154A">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 xml:space="preserve">NO PROBLEM 2017, agencija za posredovanje delovne sile, </w:t>
            </w:r>
            <w:proofErr w:type="spellStart"/>
            <w:r w:rsidRPr="006E154A">
              <w:rPr>
                <w:rFonts w:ascii="Arial" w:eastAsia="Times New Roman" w:hAnsi="Arial" w:cs="Arial"/>
                <w:color w:val="000000" w:themeColor="text1"/>
                <w:sz w:val="18"/>
                <w:szCs w:val="18"/>
                <w:lang w:eastAsia="sl-SI"/>
              </w:rPr>
              <w:t>d.o.o</w:t>
            </w:r>
            <w:proofErr w:type="spellEnd"/>
            <w:r w:rsidRPr="006E154A">
              <w:rPr>
                <w:rFonts w:ascii="Arial" w:eastAsia="Times New Roman" w:hAnsi="Arial" w:cs="Arial"/>
                <w:color w:val="000000" w:themeColor="text1"/>
                <w:sz w:val="18"/>
                <w:szCs w:val="18"/>
                <w:lang w:eastAsia="sl-SI"/>
              </w:rPr>
              <w:t>.</w:t>
            </w:r>
          </w:p>
        </w:tc>
        <w:tc>
          <w:tcPr>
            <w:tcW w:w="447" w:type="pct"/>
            <w:tcBorders>
              <w:top w:val="nil"/>
              <w:left w:val="nil"/>
              <w:bottom w:val="single" w:sz="4" w:space="0" w:color="auto"/>
              <w:right w:val="single" w:sz="4" w:space="0" w:color="auto"/>
            </w:tcBorders>
            <w:shd w:val="clear" w:color="auto" w:fill="auto"/>
            <w:vAlign w:val="center"/>
            <w:hideMark/>
          </w:tcPr>
          <w:p w14:paraId="0748F55B" w14:textId="77777777" w:rsidR="006E154A" w:rsidRPr="006E154A" w:rsidRDefault="006E154A" w:rsidP="007F5593">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Storitve</w:t>
            </w:r>
          </w:p>
        </w:tc>
        <w:tc>
          <w:tcPr>
            <w:tcW w:w="622" w:type="pct"/>
            <w:tcBorders>
              <w:top w:val="nil"/>
              <w:left w:val="nil"/>
              <w:bottom w:val="single" w:sz="4" w:space="0" w:color="auto"/>
              <w:right w:val="single" w:sz="4" w:space="0" w:color="auto"/>
            </w:tcBorders>
            <w:shd w:val="clear" w:color="auto" w:fill="auto"/>
            <w:vAlign w:val="center"/>
            <w:hideMark/>
          </w:tcPr>
          <w:p w14:paraId="14F94F25" w14:textId="77777777" w:rsidR="006E154A" w:rsidRPr="006E154A" w:rsidRDefault="006E154A" w:rsidP="006E154A">
            <w:pPr>
              <w:spacing w:after="0" w:line="240" w:lineRule="auto"/>
              <w:jc w:val="right"/>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55.176.000</w:t>
            </w:r>
          </w:p>
        </w:tc>
      </w:tr>
      <w:tr w:rsidR="006E154A" w:rsidRPr="006E154A" w14:paraId="630BFB54" w14:textId="77777777" w:rsidTr="00C72E29">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A318B0" w14:textId="77777777" w:rsidR="006E154A" w:rsidRPr="006E154A" w:rsidRDefault="006E154A" w:rsidP="006E154A">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12</w:t>
            </w:r>
          </w:p>
        </w:tc>
        <w:tc>
          <w:tcPr>
            <w:tcW w:w="1148" w:type="pct"/>
            <w:tcBorders>
              <w:top w:val="nil"/>
              <w:left w:val="nil"/>
              <w:bottom w:val="single" w:sz="4" w:space="0" w:color="auto"/>
              <w:right w:val="single" w:sz="4" w:space="0" w:color="auto"/>
            </w:tcBorders>
            <w:shd w:val="clear" w:color="auto" w:fill="auto"/>
            <w:vAlign w:val="center"/>
            <w:hideMark/>
          </w:tcPr>
          <w:p w14:paraId="2BF6E291" w14:textId="77777777" w:rsidR="006E154A" w:rsidRPr="006E154A" w:rsidRDefault="006E154A" w:rsidP="006E154A">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LUKA KOPER, pristaniški in logistični sistem, delniška družba</w:t>
            </w:r>
          </w:p>
        </w:tc>
        <w:tc>
          <w:tcPr>
            <w:tcW w:w="2509" w:type="pct"/>
            <w:tcBorders>
              <w:top w:val="nil"/>
              <w:left w:val="nil"/>
              <w:bottom w:val="single" w:sz="4" w:space="0" w:color="auto"/>
              <w:right w:val="single" w:sz="4" w:space="0" w:color="auto"/>
            </w:tcBorders>
            <w:shd w:val="clear" w:color="auto" w:fill="auto"/>
            <w:vAlign w:val="center"/>
            <w:hideMark/>
          </w:tcPr>
          <w:p w14:paraId="395EAB38" w14:textId="77777777" w:rsidR="006E154A" w:rsidRPr="006E154A" w:rsidRDefault="006E154A" w:rsidP="006E154A">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 xml:space="preserve">WORKFORCE, Kadrovske storitve, </w:t>
            </w:r>
            <w:proofErr w:type="spellStart"/>
            <w:r w:rsidRPr="006E154A">
              <w:rPr>
                <w:rFonts w:ascii="Arial" w:eastAsia="Times New Roman" w:hAnsi="Arial" w:cs="Arial"/>
                <w:color w:val="000000" w:themeColor="text1"/>
                <w:sz w:val="18"/>
                <w:szCs w:val="18"/>
                <w:lang w:eastAsia="sl-SI"/>
              </w:rPr>
              <w:t>d.o.o</w:t>
            </w:r>
            <w:proofErr w:type="spellEnd"/>
            <w:r w:rsidRPr="006E154A">
              <w:rPr>
                <w:rFonts w:ascii="Arial" w:eastAsia="Times New Roman" w:hAnsi="Arial" w:cs="Arial"/>
                <w:color w:val="000000" w:themeColor="text1"/>
                <w:sz w:val="18"/>
                <w:szCs w:val="18"/>
                <w:lang w:eastAsia="sl-SI"/>
              </w:rPr>
              <w:t>.</w:t>
            </w:r>
          </w:p>
        </w:tc>
        <w:tc>
          <w:tcPr>
            <w:tcW w:w="447" w:type="pct"/>
            <w:tcBorders>
              <w:top w:val="nil"/>
              <w:left w:val="nil"/>
              <w:bottom w:val="single" w:sz="4" w:space="0" w:color="auto"/>
              <w:right w:val="single" w:sz="4" w:space="0" w:color="auto"/>
            </w:tcBorders>
            <w:shd w:val="clear" w:color="auto" w:fill="auto"/>
            <w:vAlign w:val="center"/>
            <w:hideMark/>
          </w:tcPr>
          <w:p w14:paraId="7FDB5550" w14:textId="77777777" w:rsidR="006E154A" w:rsidRPr="006E154A" w:rsidRDefault="006E154A" w:rsidP="007F5593">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Storitve</w:t>
            </w:r>
          </w:p>
        </w:tc>
        <w:tc>
          <w:tcPr>
            <w:tcW w:w="622" w:type="pct"/>
            <w:tcBorders>
              <w:top w:val="nil"/>
              <w:left w:val="nil"/>
              <w:bottom w:val="single" w:sz="4" w:space="0" w:color="auto"/>
              <w:right w:val="single" w:sz="4" w:space="0" w:color="auto"/>
            </w:tcBorders>
            <w:shd w:val="clear" w:color="auto" w:fill="auto"/>
            <w:vAlign w:val="center"/>
            <w:hideMark/>
          </w:tcPr>
          <w:p w14:paraId="1C64D354" w14:textId="77777777" w:rsidR="006E154A" w:rsidRPr="006E154A" w:rsidRDefault="006E154A" w:rsidP="006E154A">
            <w:pPr>
              <w:spacing w:after="0" w:line="240" w:lineRule="auto"/>
              <w:jc w:val="right"/>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52.212.000</w:t>
            </w:r>
          </w:p>
        </w:tc>
      </w:tr>
    </w:tbl>
    <w:p w14:paraId="704946FC" w14:textId="2EBA1BD0" w:rsidR="00C72E29" w:rsidRDefault="00C72E29" w:rsidP="000110D0">
      <w:pPr>
        <w:spacing w:after="0" w:line="240" w:lineRule="auto"/>
      </w:pPr>
    </w:p>
    <w:tbl>
      <w:tblPr>
        <w:tblW w:w="5000" w:type="pct"/>
        <w:tblCellMar>
          <w:left w:w="70" w:type="dxa"/>
          <w:right w:w="70" w:type="dxa"/>
        </w:tblCellMar>
        <w:tblLook w:val="04A0" w:firstRow="1" w:lastRow="0" w:firstColumn="1" w:lastColumn="0" w:noHBand="0" w:noVBand="1"/>
      </w:tblPr>
      <w:tblGrid>
        <w:gridCol w:w="501"/>
        <w:gridCol w:w="2106"/>
        <w:gridCol w:w="4605"/>
        <w:gridCol w:w="821"/>
        <w:gridCol w:w="1141"/>
      </w:tblGrid>
      <w:tr w:rsidR="00C72E29" w:rsidRPr="006E154A" w14:paraId="6A061229" w14:textId="77777777" w:rsidTr="00C72E29">
        <w:trPr>
          <w:trHeight w:val="300"/>
        </w:trPr>
        <w:tc>
          <w:tcPr>
            <w:tcW w:w="27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086A6B16" w14:textId="05F3AD3A" w:rsidR="00C72E29" w:rsidRPr="006E154A" w:rsidRDefault="00C72E29" w:rsidP="009F7B6D">
            <w:pPr>
              <w:spacing w:after="0" w:line="240" w:lineRule="auto"/>
              <w:jc w:val="center"/>
              <w:rPr>
                <w:rFonts w:ascii="Arial" w:eastAsia="Times New Roman" w:hAnsi="Arial" w:cs="Arial"/>
                <w:color w:val="000000"/>
                <w:sz w:val="18"/>
                <w:szCs w:val="18"/>
                <w:lang w:eastAsia="sl-SI"/>
              </w:rPr>
            </w:pPr>
            <w:proofErr w:type="spellStart"/>
            <w:r w:rsidRPr="006E154A">
              <w:rPr>
                <w:rFonts w:ascii="Arial" w:eastAsia="Times New Roman" w:hAnsi="Arial" w:cs="Arial"/>
                <w:color w:val="000000"/>
                <w:sz w:val="18"/>
                <w:szCs w:val="18"/>
                <w:lang w:eastAsia="sl-SI"/>
              </w:rPr>
              <w:t>Zap</w:t>
            </w:r>
            <w:proofErr w:type="spellEnd"/>
            <w:r w:rsidRPr="006E154A">
              <w:rPr>
                <w:rFonts w:ascii="Arial" w:eastAsia="Times New Roman" w:hAnsi="Arial" w:cs="Arial"/>
                <w:color w:val="000000"/>
                <w:sz w:val="18"/>
                <w:szCs w:val="18"/>
                <w:lang w:eastAsia="sl-SI"/>
              </w:rPr>
              <w:t xml:space="preserve">. št. </w:t>
            </w:r>
          </w:p>
        </w:tc>
        <w:tc>
          <w:tcPr>
            <w:tcW w:w="1148" w:type="pct"/>
            <w:tcBorders>
              <w:top w:val="single" w:sz="4" w:space="0" w:color="auto"/>
              <w:left w:val="nil"/>
              <w:bottom w:val="single" w:sz="4" w:space="0" w:color="auto"/>
              <w:right w:val="single" w:sz="4" w:space="0" w:color="auto"/>
            </w:tcBorders>
            <w:shd w:val="clear" w:color="000000" w:fill="F2F2F2"/>
            <w:vAlign w:val="center"/>
            <w:hideMark/>
          </w:tcPr>
          <w:p w14:paraId="759AE390" w14:textId="77777777" w:rsidR="00C72E29" w:rsidRPr="006E154A" w:rsidRDefault="00C72E29" w:rsidP="009F7B6D">
            <w:pPr>
              <w:spacing w:after="0" w:line="240" w:lineRule="auto"/>
              <w:jc w:val="center"/>
              <w:rPr>
                <w:rFonts w:ascii="Arial" w:eastAsia="Times New Roman" w:hAnsi="Arial" w:cs="Arial"/>
                <w:color w:val="000000"/>
                <w:sz w:val="18"/>
                <w:szCs w:val="18"/>
                <w:lang w:eastAsia="sl-SI"/>
              </w:rPr>
            </w:pPr>
            <w:r w:rsidRPr="006E154A">
              <w:rPr>
                <w:rFonts w:ascii="Arial" w:eastAsia="Times New Roman" w:hAnsi="Arial" w:cs="Arial"/>
                <w:color w:val="000000"/>
                <w:sz w:val="18"/>
                <w:szCs w:val="18"/>
                <w:lang w:eastAsia="sl-SI"/>
              </w:rPr>
              <w:t>Naročnik</w:t>
            </w:r>
          </w:p>
        </w:tc>
        <w:tc>
          <w:tcPr>
            <w:tcW w:w="2509" w:type="pct"/>
            <w:tcBorders>
              <w:top w:val="single" w:sz="4" w:space="0" w:color="auto"/>
              <w:left w:val="nil"/>
              <w:bottom w:val="single" w:sz="4" w:space="0" w:color="auto"/>
              <w:right w:val="single" w:sz="4" w:space="0" w:color="auto"/>
            </w:tcBorders>
            <w:shd w:val="clear" w:color="000000" w:fill="F2F2F2"/>
            <w:vAlign w:val="center"/>
            <w:hideMark/>
          </w:tcPr>
          <w:p w14:paraId="52190177" w14:textId="77777777" w:rsidR="00C72E29" w:rsidRPr="006E154A" w:rsidRDefault="00C72E29" w:rsidP="009F7B6D">
            <w:pPr>
              <w:spacing w:after="0" w:line="240" w:lineRule="auto"/>
              <w:rPr>
                <w:rFonts w:ascii="Arial" w:eastAsia="Times New Roman" w:hAnsi="Arial" w:cs="Arial"/>
                <w:color w:val="000000"/>
                <w:sz w:val="18"/>
                <w:szCs w:val="18"/>
                <w:lang w:eastAsia="sl-SI"/>
              </w:rPr>
            </w:pPr>
            <w:r w:rsidRPr="006E154A">
              <w:rPr>
                <w:rFonts w:ascii="Arial" w:eastAsia="Times New Roman" w:hAnsi="Arial" w:cs="Arial"/>
                <w:color w:val="000000"/>
                <w:sz w:val="18"/>
                <w:szCs w:val="18"/>
                <w:lang w:eastAsia="sl-SI"/>
              </w:rPr>
              <w:t>Ponudnik</w:t>
            </w:r>
          </w:p>
        </w:tc>
        <w:tc>
          <w:tcPr>
            <w:tcW w:w="447" w:type="pct"/>
            <w:tcBorders>
              <w:top w:val="single" w:sz="4" w:space="0" w:color="auto"/>
              <w:left w:val="nil"/>
              <w:bottom w:val="single" w:sz="4" w:space="0" w:color="auto"/>
              <w:right w:val="single" w:sz="4" w:space="0" w:color="auto"/>
            </w:tcBorders>
            <w:shd w:val="clear" w:color="000000" w:fill="F2F2F2"/>
            <w:vAlign w:val="center"/>
            <w:hideMark/>
          </w:tcPr>
          <w:p w14:paraId="245A0E05" w14:textId="77777777" w:rsidR="00C72E29" w:rsidRPr="006E154A" w:rsidRDefault="00C72E29" w:rsidP="009F7B6D">
            <w:pPr>
              <w:spacing w:after="0" w:line="240" w:lineRule="auto"/>
              <w:jc w:val="center"/>
              <w:rPr>
                <w:rFonts w:ascii="Arial" w:eastAsia="Times New Roman" w:hAnsi="Arial" w:cs="Arial"/>
                <w:color w:val="000000"/>
                <w:sz w:val="18"/>
                <w:szCs w:val="18"/>
                <w:lang w:eastAsia="sl-SI"/>
              </w:rPr>
            </w:pPr>
            <w:r w:rsidRPr="006E154A">
              <w:rPr>
                <w:rFonts w:ascii="Arial" w:eastAsia="Times New Roman" w:hAnsi="Arial" w:cs="Arial"/>
                <w:color w:val="000000"/>
                <w:sz w:val="18"/>
                <w:szCs w:val="18"/>
                <w:lang w:eastAsia="sl-SI"/>
              </w:rPr>
              <w:t>Predmet</w:t>
            </w:r>
          </w:p>
        </w:tc>
        <w:tc>
          <w:tcPr>
            <w:tcW w:w="622" w:type="pct"/>
            <w:tcBorders>
              <w:top w:val="single" w:sz="4" w:space="0" w:color="auto"/>
              <w:left w:val="nil"/>
              <w:bottom w:val="single" w:sz="4" w:space="0" w:color="auto"/>
              <w:right w:val="single" w:sz="4" w:space="0" w:color="auto"/>
            </w:tcBorders>
            <w:shd w:val="clear" w:color="000000" w:fill="F2F2F2"/>
            <w:vAlign w:val="center"/>
            <w:hideMark/>
          </w:tcPr>
          <w:p w14:paraId="2DD89CDA" w14:textId="77777777" w:rsidR="00C72E29" w:rsidRPr="006E154A" w:rsidRDefault="00C72E29" w:rsidP="009F7B6D">
            <w:pPr>
              <w:spacing w:after="0" w:line="240" w:lineRule="auto"/>
              <w:jc w:val="center"/>
              <w:rPr>
                <w:rFonts w:ascii="Arial" w:eastAsia="Times New Roman" w:hAnsi="Arial" w:cs="Arial"/>
                <w:color w:val="000000"/>
                <w:sz w:val="18"/>
                <w:szCs w:val="18"/>
                <w:lang w:eastAsia="sl-SI"/>
              </w:rPr>
            </w:pPr>
            <w:r w:rsidRPr="006E154A">
              <w:rPr>
                <w:rFonts w:ascii="Arial" w:eastAsia="Times New Roman" w:hAnsi="Arial" w:cs="Arial"/>
                <w:color w:val="000000"/>
                <w:sz w:val="18"/>
                <w:szCs w:val="18"/>
                <w:lang w:eastAsia="sl-SI"/>
              </w:rPr>
              <w:t>Pogodbena vrednost</w:t>
            </w:r>
          </w:p>
        </w:tc>
      </w:tr>
      <w:tr w:rsidR="006E154A" w:rsidRPr="006E154A" w14:paraId="00F1865F" w14:textId="77777777" w:rsidTr="00C72E29">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B5C019" w14:textId="77777777" w:rsidR="006E154A" w:rsidRPr="006E154A" w:rsidRDefault="006E154A" w:rsidP="006E154A">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13</w:t>
            </w:r>
          </w:p>
        </w:tc>
        <w:tc>
          <w:tcPr>
            <w:tcW w:w="1148" w:type="pct"/>
            <w:tcBorders>
              <w:top w:val="nil"/>
              <w:left w:val="nil"/>
              <w:bottom w:val="single" w:sz="4" w:space="0" w:color="auto"/>
              <w:right w:val="single" w:sz="4" w:space="0" w:color="auto"/>
            </w:tcBorders>
            <w:shd w:val="clear" w:color="auto" w:fill="auto"/>
            <w:vAlign w:val="center"/>
            <w:hideMark/>
          </w:tcPr>
          <w:p w14:paraId="20975F38" w14:textId="62BA1B9B" w:rsidR="006E154A" w:rsidRPr="006E154A" w:rsidRDefault="006E154A" w:rsidP="006E154A">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 xml:space="preserve">DIREKCIJA </w:t>
            </w:r>
            <w:r w:rsidR="00E853C2" w:rsidRPr="0028555C">
              <w:rPr>
                <w:rFonts w:ascii="Arial" w:eastAsia="Times New Roman" w:hAnsi="Arial" w:cs="Arial"/>
                <w:color w:val="000000" w:themeColor="text1"/>
                <w:sz w:val="18"/>
                <w:szCs w:val="18"/>
                <w:lang w:eastAsia="sl-SI"/>
              </w:rPr>
              <w:t>RS</w:t>
            </w:r>
            <w:r w:rsidR="00E853C2" w:rsidRPr="006E154A">
              <w:rPr>
                <w:rFonts w:ascii="Arial" w:eastAsia="Times New Roman" w:hAnsi="Arial" w:cs="Arial"/>
                <w:color w:val="000000" w:themeColor="text1"/>
                <w:sz w:val="18"/>
                <w:szCs w:val="18"/>
                <w:lang w:eastAsia="sl-SI"/>
              </w:rPr>
              <w:t xml:space="preserve"> </w:t>
            </w:r>
            <w:r w:rsidRPr="006E154A">
              <w:rPr>
                <w:rFonts w:ascii="Arial" w:eastAsia="Times New Roman" w:hAnsi="Arial" w:cs="Arial"/>
                <w:color w:val="000000" w:themeColor="text1"/>
                <w:sz w:val="18"/>
                <w:szCs w:val="18"/>
                <w:lang w:eastAsia="sl-SI"/>
              </w:rPr>
              <w:t>ZA INFRASTRUKTURO</w:t>
            </w:r>
          </w:p>
        </w:tc>
        <w:tc>
          <w:tcPr>
            <w:tcW w:w="2509" w:type="pct"/>
            <w:tcBorders>
              <w:top w:val="nil"/>
              <w:left w:val="nil"/>
              <w:bottom w:val="single" w:sz="4" w:space="0" w:color="auto"/>
              <w:right w:val="single" w:sz="4" w:space="0" w:color="auto"/>
            </w:tcBorders>
            <w:shd w:val="clear" w:color="auto" w:fill="auto"/>
            <w:vAlign w:val="center"/>
            <w:hideMark/>
          </w:tcPr>
          <w:p w14:paraId="6A2C9C8A" w14:textId="2E442EEC" w:rsidR="006E154A" w:rsidRPr="006E154A" w:rsidRDefault="006E154A" w:rsidP="006E154A">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 xml:space="preserve">POMGRAD </w:t>
            </w:r>
            <w:r w:rsidR="00A22784">
              <w:rPr>
                <w:rFonts w:ascii="Arial" w:eastAsia="Times New Roman" w:hAnsi="Arial" w:cs="Arial"/>
                <w:color w:val="000000" w:themeColor="text1"/>
                <w:sz w:val="18"/>
                <w:szCs w:val="18"/>
                <w:lang w:eastAsia="sl-SI"/>
              </w:rPr>
              <w:t>–</w:t>
            </w:r>
            <w:r w:rsidRPr="006E154A">
              <w:rPr>
                <w:rFonts w:ascii="Arial" w:eastAsia="Times New Roman" w:hAnsi="Arial" w:cs="Arial"/>
                <w:color w:val="000000" w:themeColor="text1"/>
                <w:sz w:val="18"/>
                <w:szCs w:val="18"/>
                <w:lang w:eastAsia="sl-SI"/>
              </w:rPr>
              <w:t xml:space="preserve"> CESTNO PODJETJE, družba za vzdrževanje in gradnjo cest </w:t>
            </w:r>
            <w:proofErr w:type="spellStart"/>
            <w:r w:rsidRPr="006E154A">
              <w:rPr>
                <w:rFonts w:ascii="Arial" w:eastAsia="Times New Roman" w:hAnsi="Arial" w:cs="Arial"/>
                <w:color w:val="000000" w:themeColor="text1"/>
                <w:sz w:val="18"/>
                <w:szCs w:val="18"/>
                <w:lang w:eastAsia="sl-SI"/>
              </w:rPr>
              <w:t>d.d</w:t>
            </w:r>
            <w:proofErr w:type="spellEnd"/>
            <w:r w:rsidRPr="006E154A">
              <w:rPr>
                <w:rFonts w:ascii="Arial" w:eastAsia="Times New Roman" w:hAnsi="Arial" w:cs="Arial"/>
                <w:color w:val="000000" w:themeColor="text1"/>
                <w:sz w:val="18"/>
                <w:szCs w:val="18"/>
                <w:lang w:eastAsia="sl-SI"/>
              </w:rPr>
              <w:t>.</w:t>
            </w:r>
          </w:p>
        </w:tc>
        <w:tc>
          <w:tcPr>
            <w:tcW w:w="447" w:type="pct"/>
            <w:tcBorders>
              <w:top w:val="nil"/>
              <w:left w:val="nil"/>
              <w:bottom w:val="single" w:sz="4" w:space="0" w:color="auto"/>
              <w:right w:val="single" w:sz="4" w:space="0" w:color="auto"/>
            </w:tcBorders>
            <w:shd w:val="clear" w:color="auto" w:fill="auto"/>
            <w:vAlign w:val="center"/>
            <w:hideMark/>
          </w:tcPr>
          <w:p w14:paraId="4C7E58FC" w14:textId="77777777" w:rsidR="006E154A" w:rsidRPr="006E154A" w:rsidRDefault="006E154A" w:rsidP="007F5593">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Storitve</w:t>
            </w:r>
          </w:p>
        </w:tc>
        <w:tc>
          <w:tcPr>
            <w:tcW w:w="622" w:type="pct"/>
            <w:tcBorders>
              <w:top w:val="nil"/>
              <w:left w:val="nil"/>
              <w:bottom w:val="single" w:sz="4" w:space="0" w:color="auto"/>
              <w:right w:val="single" w:sz="4" w:space="0" w:color="auto"/>
            </w:tcBorders>
            <w:shd w:val="clear" w:color="auto" w:fill="auto"/>
            <w:vAlign w:val="center"/>
            <w:hideMark/>
          </w:tcPr>
          <w:p w14:paraId="2628A93E" w14:textId="77777777" w:rsidR="006E154A" w:rsidRPr="006E154A" w:rsidRDefault="006E154A" w:rsidP="006E154A">
            <w:pPr>
              <w:spacing w:after="0" w:line="240" w:lineRule="auto"/>
              <w:jc w:val="right"/>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49.321.346</w:t>
            </w:r>
          </w:p>
        </w:tc>
      </w:tr>
      <w:tr w:rsidR="006E154A" w:rsidRPr="006E154A" w14:paraId="27FA5511" w14:textId="77777777" w:rsidTr="00C72E29">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BC8BA1" w14:textId="77777777" w:rsidR="006E154A" w:rsidRPr="006E154A" w:rsidRDefault="006E154A" w:rsidP="006E154A">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14</w:t>
            </w:r>
          </w:p>
        </w:tc>
        <w:tc>
          <w:tcPr>
            <w:tcW w:w="1148" w:type="pct"/>
            <w:tcBorders>
              <w:top w:val="nil"/>
              <w:left w:val="nil"/>
              <w:bottom w:val="single" w:sz="4" w:space="0" w:color="auto"/>
              <w:right w:val="single" w:sz="4" w:space="0" w:color="auto"/>
            </w:tcBorders>
            <w:shd w:val="clear" w:color="auto" w:fill="auto"/>
            <w:vAlign w:val="center"/>
            <w:hideMark/>
          </w:tcPr>
          <w:p w14:paraId="78458444" w14:textId="77777777" w:rsidR="006E154A" w:rsidRPr="006E154A" w:rsidRDefault="006E154A" w:rsidP="006E154A">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MESTNA OBČINA LJUBLJANA</w:t>
            </w:r>
          </w:p>
        </w:tc>
        <w:tc>
          <w:tcPr>
            <w:tcW w:w="2509" w:type="pct"/>
            <w:tcBorders>
              <w:top w:val="nil"/>
              <w:left w:val="nil"/>
              <w:bottom w:val="single" w:sz="4" w:space="0" w:color="auto"/>
              <w:right w:val="single" w:sz="4" w:space="0" w:color="auto"/>
            </w:tcBorders>
            <w:shd w:val="clear" w:color="auto" w:fill="auto"/>
            <w:vAlign w:val="center"/>
            <w:hideMark/>
          </w:tcPr>
          <w:p w14:paraId="1DF015C6" w14:textId="77777777" w:rsidR="006E154A" w:rsidRPr="006E154A" w:rsidRDefault="006E154A" w:rsidP="006E154A">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 xml:space="preserve">MAKRO 5 GRADNJE, izgradnja objektov, </w:t>
            </w:r>
            <w:proofErr w:type="spellStart"/>
            <w:r w:rsidRPr="006E154A">
              <w:rPr>
                <w:rFonts w:ascii="Arial" w:eastAsia="Times New Roman" w:hAnsi="Arial" w:cs="Arial"/>
                <w:color w:val="000000" w:themeColor="text1"/>
                <w:sz w:val="18"/>
                <w:szCs w:val="18"/>
                <w:lang w:eastAsia="sl-SI"/>
              </w:rPr>
              <w:t>d.o.o</w:t>
            </w:r>
            <w:proofErr w:type="spellEnd"/>
            <w:r w:rsidRPr="006E154A">
              <w:rPr>
                <w:rFonts w:ascii="Arial" w:eastAsia="Times New Roman" w:hAnsi="Arial" w:cs="Arial"/>
                <w:color w:val="000000" w:themeColor="text1"/>
                <w:sz w:val="18"/>
                <w:szCs w:val="18"/>
                <w:lang w:eastAsia="sl-SI"/>
              </w:rPr>
              <w:t>.</w:t>
            </w:r>
          </w:p>
        </w:tc>
        <w:tc>
          <w:tcPr>
            <w:tcW w:w="447" w:type="pct"/>
            <w:tcBorders>
              <w:top w:val="nil"/>
              <w:left w:val="nil"/>
              <w:bottom w:val="single" w:sz="4" w:space="0" w:color="auto"/>
              <w:right w:val="single" w:sz="4" w:space="0" w:color="auto"/>
            </w:tcBorders>
            <w:shd w:val="clear" w:color="auto" w:fill="auto"/>
            <w:vAlign w:val="center"/>
            <w:hideMark/>
          </w:tcPr>
          <w:p w14:paraId="1E800427" w14:textId="77777777" w:rsidR="006E154A" w:rsidRPr="006E154A" w:rsidRDefault="006E154A" w:rsidP="007F5593">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Gradnje</w:t>
            </w:r>
          </w:p>
        </w:tc>
        <w:tc>
          <w:tcPr>
            <w:tcW w:w="622" w:type="pct"/>
            <w:tcBorders>
              <w:top w:val="nil"/>
              <w:left w:val="nil"/>
              <w:bottom w:val="single" w:sz="4" w:space="0" w:color="auto"/>
              <w:right w:val="single" w:sz="4" w:space="0" w:color="auto"/>
            </w:tcBorders>
            <w:shd w:val="clear" w:color="auto" w:fill="auto"/>
            <w:vAlign w:val="center"/>
            <w:hideMark/>
          </w:tcPr>
          <w:p w14:paraId="302C20FD" w14:textId="77777777" w:rsidR="006E154A" w:rsidRPr="006E154A" w:rsidRDefault="006E154A" w:rsidP="006E154A">
            <w:pPr>
              <w:spacing w:after="0" w:line="240" w:lineRule="auto"/>
              <w:jc w:val="right"/>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43.497.801</w:t>
            </w:r>
          </w:p>
        </w:tc>
      </w:tr>
      <w:tr w:rsidR="006E154A" w:rsidRPr="006E154A" w14:paraId="1B328798" w14:textId="77777777" w:rsidTr="00C72E29">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9E27C5" w14:textId="77777777" w:rsidR="006E154A" w:rsidRPr="006E154A" w:rsidRDefault="006E154A" w:rsidP="006E154A">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15</w:t>
            </w:r>
          </w:p>
        </w:tc>
        <w:tc>
          <w:tcPr>
            <w:tcW w:w="1148" w:type="pct"/>
            <w:tcBorders>
              <w:top w:val="nil"/>
              <w:left w:val="nil"/>
              <w:bottom w:val="single" w:sz="4" w:space="0" w:color="auto"/>
              <w:right w:val="single" w:sz="4" w:space="0" w:color="auto"/>
            </w:tcBorders>
            <w:shd w:val="clear" w:color="auto" w:fill="auto"/>
            <w:vAlign w:val="center"/>
            <w:hideMark/>
          </w:tcPr>
          <w:p w14:paraId="53688C0E" w14:textId="77777777" w:rsidR="006E154A" w:rsidRPr="006E154A" w:rsidRDefault="006E154A" w:rsidP="006E154A">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 xml:space="preserve">TERMOELEKTRARNA ŠOŠTANJ </w:t>
            </w:r>
            <w:proofErr w:type="spellStart"/>
            <w:r w:rsidRPr="006E154A">
              <w:rPr>
                <w:rFonts w:ascii="Arial" w:eastAsia="Times New Roman" w:hAnsi="Arial" w:cs="Arial"/>
                <w:color w:val="000000" w:themeColor="text1"/>
                <w:sz w:val="18"/>
                <w:szCs w:val="18"/>
                <w:lang w:eastAsia="sl-SI"/>
              </w:rPr>
              <w:t>d.o.o</w:t>
            </w:r>
            <w:proofErr w:type="spellEnd"/>
            <w:r w:rsidRPr="006E154A">
              <w:rPr>
                <w:rFonts w:ascii="Arial" w:eastAsia="Times New Roman" w:hAnsi="Arial" w:cs="Arial"/>
                <w:color w:val="000000" w:themeColor="text1"/>
                <w:sz w:val="18"/>
                <w:szCs w:val="18"/>
                <w:lang w:eastAsia="sl-SI"/>
              </w:rPr>
              <w:t>.</w:t>
            </w:r>
          </w:p>
        </w:tc>
        <w:tc>
          <w:tcPr>
            <w:tcW w:w="2509" w:type="pct"/>
            <w:tcBorders>
              <w:top w:val="nil"/>
              <w:left w:val="nil"/>
              <w:bottom w:val="single" w:sz="4" w:space="0" w:color="auto"/>
              <w:right w:val="single" w:sz="4" w:space="0" w:color="auto"/>
            </w:tcBorders>
            <w:shd w:val="clear" w:color="auto" w:fill="auto"/>
            <w:vAlign w:val="center"/>
            <w:hideMark/>
          </w:tcPr>
          <w:p w14:paraId="6CD1C69B" w14:textId="77777777" w:rsidR="006E154A" w:rsidRPr="006E154A" w:rsidRDefault="006E154A" w:rsidP="006E154A">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 xml:space="preserve">GE STEAM </w:t>
            </w:r>
            <w:proofErr w:type="spellStart"/>
            <w:r w:rsidRPr="006E154A">
              <w:rPr>
                <w:rFonts w:ascii="Arial" w:eastAsia="Times New Roman" w:hAnsi="Arial" w:cs="Arial"/>
                <w:color w:val="000000" w:themeColor="text1"/>
                <w:sz w:val="18"/>
                <w:szCs w:val="18"/>
                <w:lang w:eastAsia="sl-SI"/>
              </w:rPr>
              <w:t>Power</w:t>
            </w:r>
            <w:proofErr w:type="spellEnd"/>
            <w:r w:rsidRPr="006E154A">
              <w:rPr>
                <w:rFonts w:ascii="Arial" w:eastAsia="Times New Roman" w:hAnsi="Arial" w:cs="Arial"/>
                <w:color w:val="000000" w:themeColor="text1"/>
                <w:sz w:val="18"/>
                <w:szCs w:val="18"/>
                <w:lang w:eastAsia="sl-SI"/>
              </w:rPr>
              <w:t xml:space="preserve"> </w:t>
            </w:r>
            <w:proofErr w:type="spellStart"/>
            <w:r w:rsidRPr="006E154A">
              <w:rPr>
                <w:rFonts w:ascii="Arial" w:eastAsia="Times New Roman" w:hAnsi="Arial" w:cs="Arial"/>
                <w:color w:val="000000" w:themeColor="text1"/>
                <w:sz w:val="18"/>
                <w:szCs w:val="18"/>
                <w:lang w:eastAsia="sl-SI"/>
              </w:rPr>
              <w:t>Services</w:t>
            </w:r>
            <w:proofErr w:type="spellEnd"/>
            <w:r w:rsidRPr="006E154A">
              <w:rPr>
                <w:rFonts w:ascii="Arial" w:eastAsia="Times New Roman" w:hAnsi="Arial" w:cs="Arial"/>
                <w:color w:val="000000" w:themeColor="text1"/>
                <w:sz w:val="18"/>
                <w:szCs w:val="18"/>
                <w:lang w:eastAsia="sl-SI"/>
              </w:rPr>
              <w:t xml:space="preserve"> </w:t>
            </w:r>
            <w:proofErr w:type="spellStart"/>
            <w:r w:rsidRPr="006E154A">
              <w:rPr>
                <w:rFonts w:ascii="Arial" w:eastAsia="Times New Roman" w:hAnsi="Arial" w:cs="Arial"/>
                <w:color w:val="000000" w:themeColor="text1"/>
                <w:sz w:val="18"/>
                <w:szCs w:val="18"/>
                <w:lang w:eastAsia="sl-SI"/>
              </w:rPr>
              <w:t>Switzerland</w:t>
            </w:r>
            <w:proofErr w:type="spellEnd"/>
            <w:r w:rsidRPr="006E154A">
              <w:rPr>
                <w:rFonts w:ascii="Arial" w:eastAsia="Times New Roman" w:hAnsi="Arial" w:cs="Arial"/>
                <w:color w:val="000000" w:themeColor="text1"/>
                <w:sz w:val="18"/>
                <w:szCs w:val="18"/>
                <w:lang w:eastAsia="sl-SI"/>
              </w:rPr>
              <w:t xml:space="preserve"> </w:t>
            </w:r>
            <w:proofErr w:type="spellStart"/>
            <w:r w:rsidRPr="006E154A">
              <w:rPr>
                <w:rFonts w:ascii="Arial" w:eastAsia="Times New Roman" w:hAnsi="Arial" w:cs="Arial"/>
                <w:color w:val="000000" w:themeColor="text1"/>
                <w:sz w:val="18"/>
                <w:szCs w:val="18"/>
                <w:lang w:eastAsia="sl-SI"/>
              </w:rPr>
              <w:t>GmbH</w:t>
            </w:r>
            <w:proofErr w:type="spellEnd"/>
          </w:p>
        </w:tc>
        <w:tc>
          <w:tcPr>
            <w:tcW w:w="447" w:type="pct"/>
            <w:tcBorders>
              <w:top w:val="nil"/>
              <w:left w:val="nil"/>
              <w:bottom w:val="single" w:sz="4" w:space="0" w:color="auto"/>
              <w:right w:val="single" w:sz="4" w:space="0" w:color="auto"/>
            </w:tcBorders>
            <w:shd w:val="clear" w:color="auto" w:fill="auto"/>
            <w:vAlign w:val="center"/>
            <w:hideMark/>
          </w:tcPr>
          <w:p w14:paraId="46BD1A20" w14:textId="77777777" w:rsidR="006E154A" w:rsidRPr="006E154A" w:rsidRDefault="006E154A" w:rsidP="007F5593">
            <w:pPr>
              <w:spacing w:after="0" w:line="240" w:lineRule="auto"/>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Storitve</w:t>
            </w:r>
          </w:p>
        </w:tc>
        <w:tc>
          <w:tcPr>
            <w:tcW w:w="622" w:type="pct"/>
            <w:tcBorders>
              <w:top w:val="nil"/>
              <w:left w:val="nil"/>
              <w:bottom w:val="single" w:sz="4" w:space="0" w:color="auto"/>
              <w:right w:val="single" w:sz="4" w:space="0" w:color="auto"/>
            </w:tcBorders>
            <w:shd w:val="clear" w:color="auto" w:fill="auto"/>
            <w:vAlign w:val="center"/>
            <w:hideMark/>
          </w:tcPr>
          <w:p w14:paraId="5FA0142A" w14:textId="77777777" w:rsidR="006E154A" w:rsidRPr="006E154A" w:rsidRDefault="006E154A" w:rsidP="006E154A">
            <w:pPr>
              <w:spacing w:after="0" w:line="240" w:lineRule="auto"/>
              <w:jc w:val="right"/>
              <w:rPr>
                <w:rFonts w:ascii="Arial" w:eastAsia="Times New Roman" w:hAnsi="Arial" w:cs="Arial"/>
                <w:color w:val="000000" w:themeColor="text1"/>
                <w:sz w:val="18"/>
                <w:szCs w:val="18"/>
                <w:lang w:eastAsia="sl-SI"/>
              </w:rPr>
            </w:pPr>
            <w:r w:rsidRPr="006E154A">
              <w:rPr>
                <w:rFonts w:ascii="Arial" w:eastAsia="Times New Roman" w:hAnsi="Arial" w:cs="Arial"/>
                <w:color w:val="000000" w:themeColor="text1"/>
                <w:sz w:val="18"/>
                <w:szCs w:val="18"/>
                <w:lang w:eastAsia="sl-SI"/>
              </w:rPr>
              <w:t>42.100.000</w:t>
            </w:r>
          </w:p>
        </w:tc>
      </w:tr>
    </w:tbl>
    <w:p w14:paraId="3B11A7C5" w14:textId="77777777" w:rsidR="000C1FF7" w:rsidRPr="0028555C" w:rsidRDefault="000C1FF7" w:rsidP="00013C26">
      <w:pPr>
        <w:pStyle w:val="ZADEVA"/>
        <w:spacing w:line="240" w:lineRule="auto"/>
        <w:jc w:val="both"/>
        <w:rPr>
          <w:rFonts w:cs="Arial"/>
          <w:b w:val="0"/>
          <w:szCs w:val="20"/>
          <w:lang w:val="sl-SI"/>
        </w:rPr>
      </w:pPr>
    </w:p>
    <w:p w14:paraId="22651557" w14:textId="16662927" w:rsidR="004E69E6" w:rsidRPr="0028555C" w:rsidRDefault="00F83DD4" w:rsidP="000110D0">
      <w:pPr>
        <w:spacing w:after="120" w:line="240" w:lineRule="auto"/>
        <w:jc w:val="center"/>
        <w:rPr>
          <w:rFonts w:ascii="Arial" w:hAnsi="Arial" w:cs="Arial"/>
          <w:sz w:val="18"/>
        </w:rPr>
      </w:pPr>
      <w:r w:rsidRPr="0028555C">
        <w:rPr>
          <w:rFonts w:ascii="Arial" w:hAnsi="Arial" w:cs="Arial"/>
          <w:sz w:val="18"/>
        </w:rPr>
        <w:t>Vir: Statistični podatki o javni</w:t>
      </w:r>
      <w:r w:rsidR="001D1611" w:rsidRPr="0028555C">
        <w:rPr>
          <w:rFonts w:ascii="Arial" w:hAnsi="Arial" w:cs="Arial"/>
          <w:sz w:val="18"/>
        </w:rPr>
        <w:t>h naročilih, oddanih v letu 20</w:t>
      </w:r>
      <w:r w:rsidR="000C1FF7" w:rsidRPr="0028555C">
        <w:rPr>
          <w:rFonts w:ascii="Arial" w:hAnsi="Arial" w:cs="Arial"/>
          <w:sz w:val="18"/>
        </w:rPr>
        <w:t>2</w:t>
      </w:r>
      <w:r w:rsidR="006E154A" w:rsidRPr="0028555C">
        <w:rPr>
          <w:rFonts w:ascii="Arial" w:hAnsi="Arial" w:cs="Arial"/>
          <w:sz w:val="18"/>
        </w:rPr>
        <w:t>2</w:t>
      </w:r>
      <w:r w:rsidR="00427811" w:rsidRPr="0028555C">
        <w:rPr>
          <w:rFonts w:ascii="Arial" w:hAnsi="Arial" w:cs="Arial"/>
          <w:sz w:val="18"/>
        </w:rPr>
        <w:t>.</w:t>
      </w:r>
    </w:p>
    <w:p w14:paraId="3B59456F" w14:textId="77777777" w:rsidR="00EF4A55" w:rsidRPr="00BF7302" w:rsidRDefault="00EF4A55" w:rsidP="00EF4A55">
      <w:pPr>
        <w:spacing w:after="0" w:line="240" w:lineRule="auto"/>
        <w:jc w:val="center"/>
        <w:rPr>
          <w:rFonts w:ascii="Arial" w:hAnsi="Arial" w:cs="Arial"/>
          <w:sz w:val="18"/>
          <w:highlight w:val="yellow"/>
        </w:rPr>
      </w:pPr>
    </w:p>
    <w:p w14:paraId="071F0064" w14:textId="74C17A91" w:rsidR="00806D8E" w:rsidRPr="007F5593" w:rsidRDefault="00806D8E" w:rsidP="00D94701">
      <w:pPr>
        <w:pStyle w:val="Naslov2"/>
        <w:spacing w:before="0" w:line="240" w:lineRule="auto"/>
        <w:rPr>
          <w:rFonts w:ascii="Arial" w:hAnsi="Arial" w:cs="Arial"/>
          <w:szCs w:val="20"/>
        </w:rPr>
      </w:pPr>
      <w:bookmarkStart w:id="45" w:name="_Toc141864077"/>
      <w:r w:rsidRPr="007F5593">
        <w:rPr>
          <w:rFonts w:ascii="Arial" w:hAnsi="Arial" w:cs="Arial"/>
          <w:sz w:val="22"/>
          <w:szCs w:val="22"/>
        </w:rPr>
        <w:t>2.</w:t>
      </w:r>
      <w:r w:rsidR="00FA2740" w:rsidRPr="007F5593">
        <w:rPr>
          <w:rFonts w:ascii="Arial" w:hAnsi="Arial" w:cs="Arial"/>
          <w:sz w:val="22"/>
          <w:szCs w:val="22"/>
        </w:rPr>
        <w:t>8</w:t>
      </w:r>
      <w:r w:rsidRPr="007F5593">
        <w:rPr>
          <w:rFonts w:ascii="Arial" w:hAnsi="Arial" w:cs="Arial"/>
          <w:sz w:val="22"/>
          <w:szCs w:val="22"/>
        </w:rPr>
        <w:t xml:space="preserve"> Naročila, </w:t>
      </w:r>
      <w:r w:rsidR="00B90B8D" w:rsidRPr="007F5593">
        <w:rPr>
          <w:rFonts w:ascii="Arial" w:hAnsi="Arial" w:cs="Arial"/>
          <w:sz w:val="22"/>
          <w:szCs w:val="22"/>
        </w:rPr>
        <w:t>(</w:t>
      </w:r>
      <w:r w:rsidRPr="007F5593">
        <w:rPr>
          <w:rFonts w:ascii="Arial" w:hAnsi="Arial" w:cs="Arial"/>
          <w:sz w:val="22"/>
          <w:szCs w:val="22"/>
        </w:rPr>
        <w:t>so</w:t>
      </w:r>
      <w:r w:rsidR="00B90B8D" w:rsidRPr="007F5593">
        <w:rPr>
          <w:rFonts w:ascii="Arial" w:hAnsi="Arial" w:cs="Arial"/>
          <w:sz w:val="22"/>
          <w:szCs w:val="22"/>
        </w:rPr>
        <w:t>)</w:t>
      </w:r>
      <w:r w:rsidRPr="007F5593">
        <w:rPr>
          <w:rFonts w:ascii="Arial" w:hAnsi="Arial" w:cs="Arial"/>
          <w:sz w:val="22"/>
          <w:szCs w:val="22"/>
        </w:rPr>
        <w:t>financirana s sredstvi Evropske unije</w:t>
      </w:r>
      <w:bookmarkEnd w:id="45"/>
      <w:r w:rsidR="00B90B8D" w:rsidRPr="007F5593">
        <w:rPr>
          <w:rFonts w:ascii="Arial" w:hAnsi="Arial" w:cs="Arial"/>
          <w:sz w:val="22"/>
          <w:szCs w:val="22"/>
        </w:rPr>
        <w:t xml:space="preserve"> </w:t>
      </w:r>
    </w:p>
    <w:p w14:paraId="4B5EC35C" w14:textId="77777777" w:rsidR="004A21A3" w:rsidRPr="007F5593" w:rsidRDefault="004A21A3" w:rsidP="00854405">
      <w:pPr>
        <w:pStyle w:val="ZADEVA"/>
        <w:jc w:val="both"/>
        <w:rPr>
          <w:rFonts w:cs="Arial"/>
          <w:b w:val="0"/>
          <w:szCs w:val="20"/>
          <w:lang w:val="sl-SI"/>
        </w:rPr>
      </w:pPr>
    </w:p>
    <w:p w14:paraId="3DD53D69" w14:textId="61083027" w:rsidR="003F5C42" w:rsidRPr="007F5593" w:rsidRDefault="002B74A3" w:rsidP="006359DE">
      <w:pPr>
        <w:spacing w:line="360" w:lineRule="auto"/>
        <w:jc w:val="both"/>
        <w:rPr>
          <w:rFonts w:ascii="Arial" w:eastAsia="Times New Roman" w:hAnsi="Arial" w:cs="Arial"/>
          <w:color w:val="000000"/>
          <w:sz w:val="20"/>
          <w:szCs w:val="20"/>
          <w:lang w:eastAsia="sl-SI"/>
        </w:rPr>
      </w:pPr>
      <w:r w:rsidRPr="007F5593">
        <w:rPr>
          <w:rFonts w:ascii="Arial" w:hAnsi="Arial" w:cs="Arial"/>
          <w:sz w:val="20"/>
          <w:szCs w:val="20"/>
          <w:lang w:eastAsia="sl-SI"/>
        </w:rPr>
        <w:t>Leta</w:t>
      </w:r>
      <w:r w:rsidR="00CF29C9" w:rsidRPr="007F5593">
        <w:rPr>
          <w:rFonts w:ascii="Arial" w:hAnsi="Arial" w:cs="Arial"/>
          <w:sz w:val="20"/>
          <w:szCs w:val="20"/>
          <w:lang w:eastAsia="sl-SI"/>
        </w:rPr>
        <w:t xml:space="preserve"> 20</w:t>
      </w:r>
      <w:r w:rsidR="001472BF" w:rsidRPr="007F5593">
        <w:rPr>
          <w:rFonts w:ascii="Arial" w:hAnsi="Arial" w:cs="Arial"/>
          <w:sz w:val="20"/>
          <w:szCs w:val="20"/>
          <w:lang w:eastAsia="sl-SI"/>
        </w:rPr>
        <w:t>2</w:t>
      </w:r>
      <w:r w:rsidR="007F5593" w:rsidRPr="007F5593">
        <w:rPr>
          <w:rFonts w:ascii="Arial" w:hAnsi="Arial" w:cs="Arial"/>
          <w:sz w:val="20"/>
          <w:szCs w:val="20"/>
          <w:lang w:eastAsia="sl-SI"/>
        </w:rPr>
        <w:t>2</w:t>
      </w:r>
      <w:r w:rsidR="005954B6" w:rsidRPr="007F5593">
        <w:rPr>
          <w:rFonts w:ascii="Arial" w:hAnsi="Arial" w:cs="Arial"/>
          <w:sz w:val="20"/>
          <w:szCs w:val="20"/>
          <w:lang w:eastAsia="sl-SI"/>
        </w:rPr>
        <w:t xml:space="preserve"> </w:t>
      </w:r>
      <w:r w:rsidR="0017040B" w:rsidRPr="007F5593">
        <w:rPr>
          <w:rFonts w:ascii="Arial" w:hAnsi="Arial" w:cs="Arial"/>
          <w:sz w:val="20"/>
          <w:szCs w:val="20"/>
          <w:lang w:eastAsia="sl-SI"/>
        </w:rPr>
        <w:t xml:space="preserve">je bilo oddanih </w:t>
      </w:r>
      <w:r w:rsidR="00501040" w:rsidRPr="007F5593">
        <w:rPr>
          <w:rFonts w:ascii="Arial" w:hAnsi="Arial" w:cs="Arial"/>
          <w:sz w:val="20"/>
          <w:szCs w:val="20"/>
          <w:lang w:eastAsia="sl-SI"/>
        </w:rPr>
        <w:t>9</w:t>
      </w:r>
      <w:r w:rsidR="007F5593" w:rsidRPr="007F5593">
        <w:rPr>
          <w:rFonts w:ascii="Arial" w:hAnsi="Arial" w:cs="Arial"/>
          <w:sz w:val="20"/>
          <w:szCs w:val="20"/>
          <w:lang w:eastAsia="sl-SI"/>
        </w:rPr>
        <w:t>04</w:t>
      </w:r>
      <w:r w:rsidR="0017040B" w:rsidRPr="007F5593">
        <w:rPr>
          <w:rFonts w:ascii="Arial" w:hAnsi="Arial" w:cs="Arial"/>
          <w:sz w:val="20"/>
          <w:szCs w:val="20"/>
          <w:lang w:eastAsia="sl-SI"/>
        </w:rPr>
        <w:t xml:space="preserve"> naročil,</w:t>
      </w:r>
      <w:r w:rsidR="003F5C42" w:rsidRPr="007F5593">
        <w:rPr>
          <w:rFonts w:ascii="Arial" w:hAnsi="Arial" w:cs="Arial"/>
          <w:sz w:val="20"/>
          <w:szCs w:val="20"/>
          <w:lang w:eastAsia="sl-SI"/>
        </w:rPr>
        <w:t xml:space="preserve"> ki </w:t>
      </w:r>
      <w:r w:rsidRPr="007F5593">
        <w:rPr>
          <w:rFonts w:ascii="Arial" w:hAnsi="Arial" w:cs="Arial"/>
          <w:sz w:val="20"/>
          <w:szCs w:val="20"/>
          <w:lang w:eastAsia="sl-SI"/>
        </w:rPr>
        <w:t>s</w:t>
      </w:r>
      <w:r w:rsidR="0017040B" w:rsidRPr="007F5593">
        <w:rPr>
          <w:rFonts w:ascii="Arial" w:hAnsi="Arial" w:cs="Arial"/>
          <w:sz w:val="20"/>
          <w:szCs w:val="20"/>
          <w:lang w:eastAsia="sl-SI"/>
        </w:rPr>
        <w:t>o</w:t>
      </w:r>
      <w:r w:rsidRPr="007F5593">
        <w:rPr>
          <w:rFonts w:ascii="Arial" w:hAnsi="Arial" w:cs="Arial"/>
          <w:sz w:val="20"/>
          <w:szCs w:val="20"/>
          <w:lang w:eastAsia="sl-SI"/>
        </w:rPr>
        <w:t xml:space="preserve"> </w:t>
      </w:r>
      <w:r w:rsidR="003F5C42" w:rsidRPr="007F5593">
        <w:rPr>
          <w:rFonts w:ascii="Arial" w:hAnsi="Arial" w:cs="Arial"/>
          <w:sz w:val="20"/>
          <w:szCs w:val="20"/>
          <w:lang w:eastAsia="sl-SI"/>
        </w:rPr>
        <w:t>bila (so)</w:t>
      </w:r>
      <w:r w:rsidRPr="007F5593">
        <w:rPr>
          <w:rFonts w:ascii="Arial" w:hAnsi="Arial" w:cs="Arial"/>
          <w:sz w:val="20"/>
          <w:szCs w:val="20"/>
          <w:lang w:eastAsia="sl-SI"/>
        </w:rPr>
        <w:t>financiran</w:t>
      </w:r>
      <w:r w:rsidR="00B35EB2" w:rsidRPr="007F5593">
        <w:rPr>
          <w:rFonts w:ascii="Arial" w:hAnsi="Arial" w:cs="Arial"/>
          <w:sz w:val="20"/>
          <w:szCs w:val="20"/>
          <w:lang w:eastAsia="sl-SI"/>
        </w:rPr>
        <w:t>a</w:t>
      </w:r>
      <w:r w:rsidRPr="007F5593">
        <w:rPr>
          <w:rFonts w:ascii="Arial" w:hAnsi="Arial" w:cs="Arial"/>
          <w:sz w:val="20"/>
          <w:szCs w:val="20"/>
          <w:lang w:eastAsia="sl-SI"/>
        </w:rPr>
        <w:t xml:space="preserve"> </w:t>
      </w:r>
      <w:r w:rsidR="003F5C42" w:rsidRPr="007F5593">
        <w:rPr>
          <w:rFonts w:ascii="Arial" w:hAnsi="Arial" w:cs="Arial"/>
          <w:sz w:val="20"/>
          <w:szCs w:val="20"/>
          <w:lang w:eastAsia="sl-SI"/>
        </w:rPr>
        <w:t xml:space="preserve">s sredstvi Evropske unije iz različnih skladov in programov. Vrednost oddanih naročil je bila </w:t>
      </w:r>
      <w:bookmarkStart w:id="46" w:name="OLE_LINK2"/>
      <w:r w:rsidR="007F5593" w:rsidRPr="007F5593">
        <w:rPr>
          <w:rFonts w:ascii="Arial" w:hAnsi="Arial" w:cs="Arial"/>
          <w:sz w:val="20"/>
          <w:szCs w:val="20"/>
          <w:lang w:eastAsia="sl-SI"/>
        </w:rPr>
        <w:t xml:space="preserve">711.711.015 </w:t>
      </w:r>
      <w:bookmarkEnd w:id="46"/>
      <w:r w:rsidR="003F5C42" w:rsidRPr="007F5593">
        <w:rPr>
          <w:rFonts w:ascii="Arial" w:hAnsi="Arial" w:cs="Arial"/>
          <w:sz w:val="20"/>
          <w:szCs w:val="20"/>
          <w:lang w:eastAsia="sl-SI"/>
        </w:rPr>
        <w:t>evrov.</w:t>
      </w:r>
    </w:p>
    <w:p w14:paraId="38A1A9C8" w14:textId="5F5889A2" w:rsidR="003F5C42" w:rsidRPr="007F5593" w:rsidRDefault="003F5C42" w:rsidP="003F5C42">
      <w:pPr>
        <w:spacing w:line="360" w:lineRule="auto"/>
        <w:jc w:val="both"/>
        <w:rPr>
          <w:rFonts w:ascii="Arial" w:hAnsi="Arial" w:cs="Arial"/>
          <w:sz w:val="20"/>
          <w:szCs w:val="20"/>
          <w:lang w:eastAsia="sl-SI"/>
        </w:rPr>
      </w:pPr>
      <w:r w:rsidRPr="007F5593">
        <w:rPr>
          <w:rFonts w:ascii="Arial" w:hAnsi="Arial" w:cs="Arial"/>
          <w:sz w:val="20"/>
          <w:szCs w:val="20"/>
          <w:lang w:eastAsia="sl-SI"/>
        </w:rPr>
        <w:t xml:space="preserve">Največ </w:t>
      </w:r>
      <w:r w:rsidR="0046317B" w:rsidRPr="007F5593">
        <w:rPr>
          <w:rFonts w:ascii="Arial" w:hAnsi="Arial" w:cs="Arial"/>
          <w:sz w:val="20"/>
          <w:szCs w:val="20"/>
          <w:lang w:eastAsia="sl-SI"/>
        </w:rPr>
        <w:t>javni</w:t>
      </w:r>
      <w:r w:rsidR="00B16993" w:rsidRPr="007F5593">
        <w:rPr>
          <w:rFonts w:ascii="Arial" w:hAnsi="Arial" w:cs="Arial"/>
          <w:sz w:val="20"/>
          <w:szCs w:val="20"/>
          <w:lang w:eastAsia="sl-SI"/>
        </w:rPr>
        <w:t>h</w:t>
      </w:r>
      <w:r w:rsidR="0046317B" w:rsidRPr="007F5593">
        <w:rPr>
          <w:rFonts w:ascii="Arial" w:hAnsi="Arial" w:cs="Arial"/>
          <w:sz w:val="20"/>
          <w:szCs w:val="20"/>
          <w:lang w:eastAsia="sl-SI"/>
        </w:rPr>
        <w:t xml:space="preserve"> </w:t>
      </w:r>
      <w:r w:rsidRPr="007F5593">
        <w:rPr>
          <w:rFonts w:ascii="Arial" w:hAnsi="Arial" w:cs="Arial"/>
          <w:sz w:val="20"/>
          <w:szCs w:val="20"/>
          <w:lang w:eastAsia="sl-SI"/>
        </w:rPr>
        <w:t xml:space="preserve">naročil po številu in vrednosti </w:t>
      </w:r>
      <w:r w:rsidR="007F5593" w:rsidRPr="007F5593">
        <w:rPr>
          <w:rFonts w:ascii="Arial" w:hAnsi="Arial" w:cs="Arial"/>
          <w:sz w:val="20"/>
          <w:szCs w:val="20"/>
          <w:lang w:eastAsia="sl-SI"/>
        </w:rPr>
        <w:t>so oddali javni zavodi</w:t>
      </w:r>
      <w:r w:rsidR="00F30D93" w:rsidRPr="007F5593">
        <w:rPr>
          <w:rFonts w:ascii="Arial" w:hAnsi="Arial" w:cs="Arial"/>
          <w:sz w:val="20"/>
          <w:szCs w:val="20"/>
          <w:lang w:eastAsia="sl-SI"/>
        </w:rPr>
        <w:t xml:space="preserve">, in sicer </w:t>
      </w:r>
      <w:r w:rsidR="00035931" w:rsidRPr="007F5593">
        <w:rPr>
          <w:rFonts w:ascii="Arial" w:hAnsi="Arial" w:cs="Arial"/>
          <w:sz w:val="20"/>
          <w:szCs w:val="20"/>
          <w:lang w:eastAsia="sl-SI"/>
        </w:rPr>
        <w:t>3</w:t>
      </w:r>
      <w:r w:rsidR="007F5593" w:rsidRPr="007F5593">
        <w:rPr>
          <w:rFonts w:ascii="Arial" w:hAnsi="Arial" w:cs="Arial"/>
          <w:sz w:val="20"/>
          <w:szCs w:val="20"/>
          <w:lang w:eastAsia="sl-SI"/>
        </w:rPr>
        <w:t>61</w:t>
      </w:r>
      <w:r w:rsidRPr="007F5593">
        <w:rPr>
          <w:rFonts w:ascii="Arial" w:hAnsi="Arial" w:cs="Arial"/>
          <w:sz w:val="20"/>
          <w:szCs w:val="20"/>
          <w:lang w:eastAsia="sl-SI"/>
        </w:rPr>
        <w:t xml:space="preserve"> naročil v skupni vrednosti </w:t>
      </w:r>
      <w:r w:rsidR="007F5593" w:rsidRPr="007F5593">
        <w:rPr>
          <w:rFonts w:ascii="Arial" w:hAnsi="Arial" w:cs="Arial"/>
          <w:sz w:val="20"/>
          <w:szCs w:val="20"/>
          <w:lang w:eastAsia="sl-SI"/>
        </w:rPr>
        <w:t xml:space="preserve">195.354.579 </w:t>
      </w:r>
      <w:r w:rsidRPr="007F5593">
        <w:rPr>
          <w:rFonts w:ascii="Arial" w:hAnsi="Arial" w:cs="Arial"/>
          <w:sz w:val="20"/>
          <w:szCs w:val="20"/>
          <w:lang w:eastAsia="sl-SI"/>
        </w:rPr>
        <w:t xml:space="preserve">evrov. </w:t>
      </w:r>
      <w:r w:rsidR="0046317B" w:rsidRPr="007F5593">
        <w:rPr>
          <w:rFonts w:ascii="Arial" w:hAnsi="Arial" w:cs="Arial"/>
          <w:sz w:val="20"/>
          <w:szCs w:val="20"/>
          <w:lang w:eastAsia="sl-SI"/>
        </w:rPr>
        <w:t xml:space="preserve">V spodnji preglednici so </w:t>
      </w:r>
      <w:r w:rsidR="00A22784">
        <w:rPr>
          <w:rFonts w:ascii="Arial" w:hAnsi="Arial" w:cs="Arial"/>
          <w:sz w:val="20"/>
          <w:szCs w:val="20"/>
          <w:lang w:eastAsia="sl-SI"/>
        </w:rPr>
        <w:t>navedeni</w:t>
      </w:r>
      <w:r w:rsidR="0046317B" w:rsidRPr="007F5593">
        <w:rPr>
          <w:rFonts w:ascii="Arial" w:hAnsi="Arial" w:cs="Arial"/>
          <w:sz w:val="20"/>
          <w:szCs w:val="20"/>
          <w:lang w:eastAsia="sl-SI"/>
        </w:rPr>
        <w:t xml:space="preserve"> podatki o številu, vrednosti oddanih javnih naročil, (so)financiranih s </w:t>
      </w:r>
      <w:r w:rsidRPr="007F5593">
        <w:rPr>
          <w:rFonts w:ascii="Arial" w:hAnsi="Arial" w:cs="Arial"/>
          <w:sz w:val="20"/>
          <w:szCs w:val="20"/>
          <w:lang w:eastAsia="sl-SI"/>
        </w:rPr>
        <w:t>sredstvi Evropske unije</w:t>
      </w:r>
      <w:r w:rsidR="001E6D56" w:rsidRPr="007F5593">
        <w:rPr>
          <w:rFonts w:ascii="Arial" w:hAnsi="Arial" w:cs="Arial"/>
          <w:sz w:val="20"/>
          <w:szCs w:val="20"/>
          <w:lang w:eastAsia="sl-SI"/>
        </w:rPr>
        <w:t>,</w:t>
      </w:r>
      <w:r w:rsidR="0046317B" w:rsidRPr="007F5593">
        <w:rPr>
          <w:rFonts w:ascii="Arial" w:hAnsi="Arial" w:cs="Arial"/>
          <w:sz w:val="20"/>
          <w:szCs w:val="20"/>
          <w:lang w:eastAsia="sl-SI"/>
        </w:rPr>
        <w:t xml:space="preserve"> </w:t>
      </w:r>
      <w:r w:rsidR="001E6D56" w:rsidRPr="007F5593">
        <w:rPr>
          <w:rFonts w:ascii="Arial" w:hAnsi="Arial" w:cs="Arial"/>
          <w:sz w:val="20"/>
          <w:szCs w:val="20"/>
          <w:lang w:eastAsia="sl-SI"/>
        </w:rPr>
        <w:t>in</w:t>
      </w:r>
      <w:r w:rsidR="0046317B" w:rsidRPr="007F5593">
        <w:rPr>
          <w:rFonts w:ascii="Arial" w:hAnsi="Arial" w:cs="Arial"/>
          <w:sz w:val="20"/>
          <w:szCs w:val="20"/>
          <w:lang w:eastAsia="sl-SI"/>
        </w:rPr>
        <w:t xml:space="preserve"> njihovi deleži v vrednosti vseh oddanih javnih naročil </w:t>
      </w:r>
      <w:r w:rsidR="001E6D56" w:rsidRPr="007F5593">
        <w:rPr>
          <w:rFonts w:ascii="Arial" w:hAnsi="Arial" w:cs="Arial"/>
          <w:sz w:val="20"/>
          <w:szCs w:val="20"/>
          <w:lang w:eastAsia="sl-SI"/>
        </w:rPr>
        <w:t>v okviru posamezne</w:t>
      </w:r>
      <w:r w:rsidR="00A9062B" w:rsidRPr="007F5593">
        <w:rPr>
          <w:rFonts w:ascii="Arial" w:hAnsi="Arial" w:cs="Arial"/>
          <w:sz w:val="20"/>
          <w:szCs w:val="20"/>
          <w:lang w:eastAsia="sl-SI"/>
        </w:rPr>
        <w:t xml:space="preserve"> </w:t>
      </w:r>
      <w:r w:rsidR="0046317B" w:rsidRPr="007F5593">
        <w:rPr>
          <w:rFonts w:ascii="Arial" w:hAnsi="Arial" w:cs="Arial"/>
          <w:sz w:val="20"/>
          <w:szCs w:val="20"/>
          <w:lang w:eastAsia="sl-SI"/>
        </w:rPr>
        <w:t>kategorije naročnika.</w:t>
      </w:r>
    </w:p>
    <w:p w14:paraId="2CFB1FD2" w14:textId="74845B7F" w:rsidR="003F5C42" w:rsidRPr="007F5593" w:rsidRDefault="003F5C42" w:rsidP="008A61FD">
      <w:pPr>
        <w:spacing w:before="120" w:after="120" w:line="240" w:lineRule="auto"/>
        <w:jc w:val="both"/>
        <w:rPr>
          <w:rFonts w:ascii="Arial" w:hAnsi="Arial" w:cs="Arial"/>
          <w:sz w:val="20"/>
        </w:rPr>
      </w:pPr>
      <w:r w:rsidRPr="007F5593">
        <w:rPr>
          <w:rFonts w:ascii="Arial" w:hAnsi="Arial" w:cs="Arial"/>
          <w:sz w:val="20"/>
        </w:rPr>
        <w:t xml:space="preserve">Preglednica </w:t>
      </w:r>
      <w:r w:rsidR="00512F52" w:rsidRPr="007F5593">
        <w:rPr>
          <w:rFonts w:ascii="Arial" w:hAnsi="Arial" w:cs="Arial"/>
          <w:sz w:val="20"/>
        </w:rPr>
        <w:t>4</w:t>
      </w:r>
      <w:r w:rsidR="00EA747F">
        <w:rPr>
          <w:rFonts w:ascii="Arial" w:hAnsi="Arial" w:cs="Arial"/>
          <w:sz w:val="20"/>
        </w:rPr>
        <w:t>3</w:t>
      </w:r>
      <w:r w:rsidRPr="007F5593">
        <w:rPr>
          <w:rFonts w:ascii="Arial" w:hAnsi="Arial" w:cs="Arial"/>
          <w:sz w:val="20"/>
        </w:rPr>
        <w:t xml:space="preserve">: </w:t>
      </w:r>
      <w:r w:rsidR="0046317B" w:rsidRPr="007F5593">
        <w:rPr>
          <w:rFonts w:ascii="Arial" w:hAnsi="Arial" w:cs="Arial"/>
          <w:sz w:val="20"/>
        </w:rPr>
        <w:t>Število javnih naročil</w:t>
      </w:r>
      <w:r w:rsidR="00D6524D" w:rsidRPr="007F5593">
        <w:rPr>
          <w:rFonts w:ascii="Arial" w:hAnsi="Arial" w:cs="Arial"/>
          <w:sz w:val="20"/>
        </w:rPr>
        <w:t>,</w:t>
      </w:r>
      <w:r w:rsidR="0046317B" w:rsidRPr="007F5593">
        <w:rPr>
          <w:rFonts w:ascii="Arial" w:hAnsi="Arial" w:cs="Arial"/>
          <w:sz w:val="20"/>
        </w:rPr>
        <w:t xml:space="preserve"> (so)financiranih</w:t>
      </w:r>
      <w:r w:rsidRPr="007F5593">
        <w:rPr>
          <w:rFonts w:ascii="Arial" w:hAnsi="Arial" w:cs="Arial"/>
          <w:sz w:val="20"/>
        </w:rPr>
        <w:t xml:space="preserve"> s sredstvi Evropske unije, </w:t>
      </w:r>
      <w:r w:rsidR="0046317B" w:rsidRPr="007F5593">
        <w:rPr>
          <w:rFonts w:ascii="Arial" w:hAnsi="Arial" w:cs="Arial"/>
          <w:sz w:val="20"/>
        </w:rPr>
        <w:t xml:space="preserve">njihova vrednost in delež v vrednosti vseh javnih naročil </w:t>
      </w:r>
      <w:r w:rsidR="00422CFD" w:rsidRPr="007F5593">
        <w:rPr>
          <w:rFonts w:ascii="Arial" w:hAnsi="Arial" w:cs="Arial"/>
          <w:sz w:val="20"/>
        </w:rPr>
        <w:t xml:space="preserve">v okviru posamezne </w:t>
      </w:r>
      <w:r w:rsidR="00615E69" w:rsidRPr="007F5593">
        <w:rPr>
          <w:rFonts w:ascii="Arial" w:hAnsi="Arial" w:cs="Arial"/>
          <w:sz w:val="20"/>
        </w:rPr>
        <w:t>kategorije</w:t>
      </w:r>
      <w:r w:rsidR="00A15487" w:rsidRPr="007F5593">
        <w:rPr>
          <w:rFonts w:ascii="Arial" w:hAnsi="Arial" w:cs="Arial"/>
          <w:sz w:val="20"/>
        </w:rPr>
        <w:t xml:space="preserve"> naročnika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1"/>
        <w:gridCol w:w="671"/>
        <w:gridCol w:w="1141"/>
        <w:gridCol w:w="2043"/>
        <w:gridCol w:w="1918"/>
      </w:tblGrid>
      <w:tr w:rsidR="007F5593" w:rsidRPr="007F5593" w14:paraId="333A8C28" w14:textId="77777777" w:rsidTr="0096100B">
        <w:trPr>
          <w:trHeight w:val="300"/>
        </w:trPr>
        <w:tc>
          <w:tcPr>
            <w:tcW w:w="1974" w:type="pct"/>
            <w:shd w:val="clear" w:color="000000" w:fill="F2F2F2"/>
            <w:vAlign w:val="center"/>
            <w:hideMark/>
          </w:tcPr>
          <w:p w14:paraId="091AB536" w14:textId="55AD4B27" w:rsidR="007F5593" w:rsidRPr="007F5593" w:rsidRDefault="007F5593" w:rsidP="007F5593">
            <w:pPr>
              <w:spacing w:after="0" w:line="240" w:lineRule="auto"/>
              <w:jc w:val="center"/>
              <w:rPr>
                <w:rFonts w:ascii="Arial" w:eastAsia="Times New Roman" w:hAnsi="Arial" w:cs="Arial"/>
                <w:color w:val="000000"/>
                <w:sz w:val="18"/>
                <w:szCs w:val="18"/>
                <w:lang w:eastAsia="sl-SI"/>
              </w:rPr>
            </w:pPr>
            <w:r w:rsidRPr="007F5593">
              <w:rPr>
                <w:rFonts w:ascii="Arial" w:eastAsia="Times New Roman" w:hAnsi="Arial" w:cs="Arial"/>
                <w:color w:val="000000"/>
                <w:sz w:val="18"/>
                <w:szCs w:val="18"/>
                <w:lang w:eastAsia="sl-SI"/>
              </w:rPr>
              <w:t>Kategorija naročnika</w:t>
            </w:r>
          </w:p>
        </w:tc>
        <w:tc>
          <w:tcPr>
            <w:tcW w:w="209" w:type="pct"/>
            <w:shd w:val="clear" w:color="000000" w:fill="F2F2F2"/>
            <w:vAlign w:val="center"/>
            <w:hideMark/>
          </w:tcPr>
          <w:p w14:paraId="60A698AE" w14:textId="77777777" w:rsidR="007F5593" w:rsidRPr="007F5593" w:rsidRDefault="007F5593" w:rsidP="007F5593">
            <w:pPr>
              <w:spacing w:after="0" w:line="240" w:lineRule="auto"/>
              <w:jc w:val="center"/>
              <w:rPr>
                <w:rFonts w:ascii="Arial" w:eastAsia="Times New Roman" w:hAnsi="Arial" w:cs="Arial"/>
                <w:color w:val="000000"/>
                <w:sz w:val="18"/>
                <w:szCs w:val="18"/>
                <w:lang w:eastAsia="sl-SI"/>
              </w:rPr>
            </w:pPr>
            <w:r w:rsidRPr="007F5593">
              <w:rPr>
                <w:rFonts w:ascii="Arial" w:eastAsia="Times New Roman" w:hAnsi="Arial" w:cs="Arial"/>
                <w:color w:val="000000"/>
                <w:sz w:val="18"/>
                <w:szCs w:val="18"/>
                <w:lang w:eastAsia="sl-SI"/>
              </w:rPr>
              <w:t>Št. naročil</w:t>
            </w:r>
          </w:p>
        </w:tc>
        <w:tc>
          <w:tcPr>
            <w:tcW w:w="417" w:type="pct"/>
            <w:shd w:val="clear" w:color="000000" w:fill="F2F2F2"/>
            <w:vAlign w:val="center"/>
            <w:hideMark/>
          </w:tcPr>
          <w:p w14:paraId="723C30A9" w14:textId="77777777" w:rsidR="007F5593" w:rsidRPr="007F5593" w:rsidRDefault="007F5593" w:rsidP="007F5593">
            <w:pPr>
              <w:spacing w:after="0" w:line="240" w:lineRule="auto"/>
              <w:jc w:val="center"/>
              <w:rPr>
                <w:rFonts w:ascii="Arial" w:eastAsia="Times New Roman" w:hAnsi="Arial" w:cs="Arial"/>
                <w:color w:val="000000"/>
                <w:sz w:val="18"/>
                <w:szCs w:val="18"/>
                <w:lang w:eastAsia="sl-SI"/>
              </w:rPr>
            </w:pPr>
            <w:r w:rsidRPr="007F5593">
              <w:rPr>
                <w:rFonts w:ascii="Arial" w:eastAsia="Times New Roman" w:hAnsi="Arial" w:cs="Arial"/>
                <w:color w:val="000000"/>
                <w:sz w:val="18"/>
                <w:szCs w:val="18"/>
                <w:lang w:eastAsia="sl-SI"/>
              </w:rPr>
              <w:t>Pogodbena vrednost</w:t>
            </w:r>
          </w:p>
        </w:tc>
        <w:tc>
          <w:tcPr>
            <w:tcW w:w="1234" w:type="pct"/>
            <w:shd w:val="clear" w:color="000000" w:fill="F2F2F2"/>
            <w:vAlign w:val="center"/>
            <w:hideMark/>
          </w:tcPr>
          <w:p w14:paraId="0A23C15A" w14:textId="16FC58A6" w:rsidR="007F5593" w:rsidRPr="007F5593" w:rsidRDefault="007F5593" w:rsidP="007F5593">
            <w:pPr>
              <w:spacing w:after="0" w:line="240" w:lineRule="auto"/>
              <w:jc w:val="center"/>
              <w:rPr>
                <w:rFonts w:ascii="Arial" w:eastAsia="Times New Roman" w:hAnsi="Arial" w:cs="Arial"/>
                <w:color w:val="000000"/>
                <w:sz w:val="18"/>
                <w:szCs w:val="18"/>
                <w:lang w:eastAsia="sl-SI"/>
              </w:rPr>
            </w:pPr>
            <w:r w:rsidRPr="007F5593">
              <w:rPr>
                <w:rFonts w:ascii="Arial" w:eastAsia="Times New Roman" w:hAnsi="Arial" w:cs="Arial"/>
                <w:color w:val="000000"/>
                <w:sz w:val="18"/>
                <w:szCs w:val="18"/>
                <w:lang w:eastAsia="sl-SI"/>
              </w:rPr>
              <w:t>Delež št. naročil v št. vseh naročil glede na kategorijo naročnika</w:t>
            </w:r>
          </w:p>
        </w:tc>
        <w:tc>
          <w:tcPr>
            <w:tcW w:w="1166" w:type="pct"/>
            <w:shd w:val="clear" w:color="000000" w:fill="F2F2F2"/>
            <w:vAlign w:val="center"/>
            <w:hideMark/>
          </w:tcPr>
          <w:p w14:paraId="18BD5A36" w14:textId="78AE2C18" w:rsidR="007F5593" w:rsidRPr="007F5593" w:rsidRDefault="007F5593" w:rsidP="007F5593">
            <w:pPr>
              <w:spacing w:after="0" w:line="240" w:lineRule="auto"/>
              <w:jc w:val="center"/>
              <w:rPr>
                <w:rFonts w:ascii="Arial" w:eastAsia="Times New Roman" w:hAnsi="Arial" w:cs="Arial"/>
                <w:color w:val="000000"/>
                <w:sz w:val="18"/>
                <w:szCs w:val="18"/>
                <w:lang w:eastAsia="sl-SI"/>
              </w:rPr>
            </w:pPr>
            <w:r w:rsidRPr="007F5593">
              <w:rPr>
                <w:rFonts w:ascii="Arial" w:eastAsia="Times New Roman" w:hAnsi="Arial" w:cs="Arial"/>
                <w:color w:val="000000"/>
                <w:sz w:val="18"/>
                <w:szCs w:val="18"/>
                <w:lang w:eastAsia="sl-SI"/>
              </w:rPr>
              <w:t>Delež v vrednosti vseh naročil glede na kategorijo naročnika</w:t>
            </w:r>
          </w:p>
        </w:tc>
      </w:tr>
      <w:tr w:rsidR="007F5593" w:rsidRPr="007F5593" w14:paraId="72EF9EA2" w14:textId="77777777" w:rsidTr="000110D0">
        <w:trPr>
          <w:trHeight w:hRule="exact" w:val="284"/>
        </w:trPr>
        <w:tc>
          <w:tcPr>
            <w:tcW w:w="1974" w:type="pct"/>
            <w:shd w:val="clear" w:color="auto" w:fill="auto"/>
            <w:vAlign w:val="center"/>
            <w:hideMark/>
          </w:tcPr>
          <w:p w14:paraId="681F9965" w14:textId="048A274C" w:rsidR="007F5593" w:rsidRPr="007F5593" w:rsidRDefault="007F5593" w:rsidP="007F5593">
            <w:pPr>
              <w:spacing w:after="0" w:line="240" w:lineRule="auto"/>
              <w:rPr>
                <w:rFonts w:ascii="Arial" w:eastAsia="Times New Roman" w:hAnsi="Arial" w:cs="Arial"/>
                <w:color w:val="000000" w:themeColor="text1"/>
                <w:sz w:val="18"/>
                <w:szCs w:val="18"/>
                <w:lang w:eastAsia="sl-SI"/>
              </w:rPr>
            </w:pPr>
            <w:r w:rsidRPr="007F5593">
              <w:rPr>
                <w:rFonts w:ascii="Arial" w:eastAsia="Times New Roman" w:hAnsi="Arial" w:cs="Arial"/>
                <w:color w:val="000000" w:themeColor="text1"/>
                <w:sz w:val="18"/>
                <w:szCs w:val="18"/>
                <w:lang w:eastAsia="sl-SI"/>
              </w:rPr>
              <w:t xml:space="preserve">Organi </w:t>
            </w:r>
            <w:r w:rsidR="00007116">
              <w:rPr>
                <w:rFonts w:ascii="Arial" w:eastAsia="Times New Roman" w:hAnsi="Arial" w:cs="Arial"/>
                <w:color w:val="000000" w:themeColor="text1"/>
                <w:sz w:val="18"/>
                <w:szCs w:val="18"/>
                <w:lang w:eastAsia="sl-SI"/>
              </w:rPr>
              <w:t>Republike Slovenije</w:t>
            </w:r>
          </w:p>
        </w:tc>
        <w:tc>
          <w:tcPr>
            <w:tcW w:w="209" w:type="pct"/>
            <w:shd w:val="clear" w:color="auto" w:fill="auto"/>
            <w:vAlign w:val="center"/>
            <w:hideMark/>
          </w:tcPr>
          <w:p w14:paraId="1F4CA0BE" w14:textId="77777777" w:rsidR="007F5593" w:rsidRPr="007F5593" w:rsidRDefault="007F5593" w:rsidP="007F5593">
            <w:pPr>
              <w:spacing w:after="0" w:line="240" w:lineRule="auto"/>
              <w:jc w:val="right"/>
              <w:rPr>
                <w:rFonts w:ascii="Arial" w:eastAsia="Times New Roman" w:hAnsi="Arial" w:cs="Arial"/>
                <w:color w:val="000000" w:themeColor="text1"/>
                <w:sz w:val="18"/>
                <w:szCs w:val="18"/>
                <w:lang w:eastAsia="sl-SI"/>
              </w:rPr>
            </w:pPr>
            <w:r w:rsidRPr="007F5593">
              <w:rPr>
                <w:rFonts w:ascii="Arial" w:eastAsia="Times New Roman" w:hAnsi="Arial" w:cs="Arial"/>
                <w:color w:val="000000" w:themeColor="text1"/>
                <w:sz w:val="18"/>
                <w:szCs w:val="18"/>
                <w:lang w:eastAsia="sl-SI"/>
              </w:rPr>
              <w:t>203</w:t>
            </w:r>
          </w:p>
        </w:tc>
        <w:tc>
          <w:tcPr>
            <w:tcW w:w="417" w:type="pct"/>
            <w:shd w:val="clear" w:color="auto" w:fill="auto"/>
            <w:vAlign w:val="center"/>
            <w:hideMark/>
          </w:tcPr>
          <w:p w14:paraId="59BF65D3" w14:textId="77777777" w:rsidR="007F5593" w:rsidRPr="007F5593" w:rsidRDefault="007F5593" w:rsidP="007F5593">
            <w:pPr>
              <w:spacing w:after="0" w:line="240" w:lineRule="auto"/>
              <w:jc w:val="right"/>
              <w:rPr>
                <w:rFonts w:ascii="Arial" w:eastAsia="Times New Roman" w:hAnsi="Arial" w:cs="Arial"/>
                <w:color w:val="000000" w:themeColor="text1"/>
                <w:sz w:val="18"/>
                <w:szCs w:val="18"/>
                <w:lang w:eastAsia="sl-SI"/>
              </w:rPr>
            </w:pPr>
            <w:r w:rsidRPr="007F5593">
              <w:rPr>
                <w:rFonts w:ascii="Arial" w:eastAsia="Times New Roman" w:hAnsi="Arial" w:cs="Arial"/>
                <w:color w:val="000000" w:themeColor="text1"/>
                <w:sz w:val="18"/>
                <w:szCs w:val="18"/>
                <w:lang w:eastAsia="sl-SI"/>
              </w:rPr>
              <w:t>288.563.494</w:t>
            </w:r>
          </w:p>
        </w:tc>
        <w:tc>
          <w:tcPr>
            <w:tcW w:w="1234" w:type="pct"/>
            <w:shd w:val="clear" w:color="auto" w:fill="auto"/>
            <w:noWrap/>
            <w:vAlign w:val="center"/>
            <w:hideMark/>
          </w:tcPr>
          <w:p w14:paraId="1EB23076" w14:textId="571EA9B7" w:rsidR="007F5593" w:rsidRPr="007F5593" w:rsidRDefault="007F5593" w:rsidP="007F5593">
            <w:pPr>
              <w:spacing w:after="0" w:line="240" w:lineRule="auto"/>
              <w:jc w:val="right"/>
              <w:rPr>
                <w:rFonts w:ascii="Arial" w:eastAsia="Times New Roman" w:hAnsi="Arial" w:cs="Arial"/>
                <w:color w:val="000000" w:themeColor="text1"/>
                <w:sz w:val="18"/>
                <w:szCs w:val="18"/>
                <w:lang w:eastAsia="sl-SI"/>
              </w:rPr>
            </w:pPr>
            <w:r w:rsidRPr="007F5593">
              <w:rPr>
                <w:rFonts w:ascii="Arial" w:eastAsia="Times New Roman" w:hAnsi="Arial" w:cs="Arial"/>
                <w:color w:val="000000" w:themeColor="text1"/>
                <w:sz w:val="18"/>
                <w:szCs w:val="18"/>
                <w:lang w:eastAsia="sl-SI"/>
              </w:rPr>
              <w:t>11,15 %</w:t>
            </w:r>
          </w:p>
        </w:tc>
        <w:tc>
          <w:tcPr>
            <w:tcW w:w="1166" w:type="pct"/>
            <w:shd w:val="clear" w:color="auto" w:fill="auto"/>
            <w:noWrap/>
            <w:vAlign w:val="center"/>
            <w:hideMark/>
          </w:tcPr>
          <w:p w14:paraId="34F9EC6B" w14:textId="6EF3A99D" w:rsidR="007F5593" w:rsidRPr="007F5593" w:rsidRDefault="007F5593" w:rsidP="007F5593">
            <w:pPr>
              <w:spacing w:after="0" w:line="240" w:lineRule="auto"/>
              <w:jc w:val="right"/>
              <w:rPr>
                <w:rFonts w:ascii="Arial" w:eastAsia="Times New Roman" w:hAnsi="Arial" w:cs="Arial"/>
                <w:color w:val="000000" w:themeColor="text1"/>
                <w:sz w:val="18"/>
                <w:szCs w:val="18"/>
                <w:lang w:eastAsia="sl-SI"/>
              </w:rPr>
            </w:pPr>
            <w:r w:rsidRPr="007F5593">
              <w:rPr>
                <w:rFonts w:ascii="Arial" w:eastAsia="Times New Roman" w:hAnsi="Arial" w:cs="Arial"/>
                <w:color w:val="000000" w:themeColor="text1"/>
                <w:sz w:val="18"/>
                <w:szCs w:val="18"/>
                <w:lang w:eastAsia="sl-SI"/>
              </w:rPr>
              <w:t>17,96 %</w:t>
            </w:r>
          </w:p>
        </w:tc>
      </w:tr>
      <w:tr w:rsidR="007F5593" w:rsidRPr="007F5593" w14:paraId="2193CF70" w14:textId="77777777" w:rsidTr="000110D0">
        <w:trPr>
          <w:trHeight w:hRule="exact" w:val="284"/>
        </w:trPr>
        <w:tc>
          <w:tcPr>
            <w:tcW w:w="1974" w:type="pct"/>
            <w:shd w:val="clear" w:color="auto" w:fill="auto"/>
            <w:vAlign w:val="center"/>
            <w:hideMark/>
          </w:tcPr>
          <w:p w14:paraId="6DA59DEA" w14:textId="77777777" w:rsidR="007F5593" w:rsidRPr="007F5593" w:rsidRDefault="007F5593" w:rsidP="007F5593">
            <w:pPr>
              <w:spacing w:after="0" w:line="240" w:lineRule="auto"/>
              <w:rPr>
                <w:rFonts w:ascii="Arial" w:eastAsia="Times New Roman" w:hAnsi="Arial" w:cs="Arial"/>
                <w:color w:val="000000" w:themeColor="text1"/>
                <w:sz w:val="18"/>
                <w:szCs w:val="18"/>
                <w:lang w:eastAsia="sl-SI"/>
              </w:rPr>
            </w:pPr>
            <w:r w:rsidRPr="007F5593">
              <w:rPr>
                <w:rFonts w:ascii="Arial" w:eastAsia="Times New Roman" w:hAnsi="Arial" w:cs="Arial"/>
                <w:color w:val="000000" w:themeColor="text1"/>
                <w:sz w:val="18"/>
                <w:szCs w:val="18"/>
                <w:lang w:eastAsia="sl-SI"/>
              </w:rPr>
              <w:t>Samoupravne lokalne skupnosti</w:t>
            </w:r>
          </w:p>
        </w:tc>
        <w:tc>
          <w:tcPr>
            <w:tcW w:w="209" w:type="pct"/>
            <w:shd w:val="clear" w:color="auto" w:fill="auto"/>
            <w:vAlign w:val="center"/>
            <w:hideMark/>
          </w:tcPr>
          <w:p w14:paraId="05A81DF6" w14:textId="77777777" w:rsidR="007F5593" w:rsidRPr="007F5593" w:rsidRDefault="007F5593" w:rsidP="007F5593">
            <w:pPr>
              <w:spacing w:after="0" w:line="240" w:lineRule="auto"/>
              <w:jc w:val="right"/>
              <w:rPr>
                <w:rFonts w:ascii="Arial" w:eastAsia="Times New Roman" w:hAnsi="Arial" w:cs="Arial"/>
                <w:color w:val="000000" w:themeColor="text1"/>
                <w:sz w:val="18"/>
                <w:szCs w:val="18"/>
                <w:lang w:eastAsia="sl-SI"/>
              </w:rPr>
            </w:pPr>
            <w:r w:rsidRPr="007F5593">
              <w:rPr>
                <w:rFonts w:ascii="Arial" w:eastAsia="Times New Roman" w:hAnsi="Arial" w:cs="Arial"/>
                <w:color w:val="000000" w:themeColor="text1"/>
                <w:sz w:val="18"/>
                <w:szCs w:val="18"/>
                <w:lang w:eastAsia="sl-SI"/>
              </w:rPr>
              <w:t>225</w:t>
            </w:r>
          </w:p>
        </w:tc>
        <w:tc>
          <w:tcPr>
            <w:tcW w:w="417" w:type="pct"/>
            <w:shd w:val="clear" w:color="auto" w:fill="auto"/>
            <w:vAlign w:val="center"/>
            <w:hideMark/>
          </w:tcPr>
          <w:p w14:paraId="1D9214E6" w14:textId="77777777" w:rsidR="007F5593" w:rsidRPr="007F5593" w:rsidRDefault="007F5593" w:rsidP="007F5593">
            <w:pPr>
              <w:spacing w:after="0" w:line="240" w:lineRule="auto"/>
              <w:jc w:val="right"/>
              <w:rPr>
                <w:rFonts w:ascii="Arial" w:eastAsia="Times New Roman" w:hAnsi="Arial" w:cs="Arial"/>
                <w:color w:val="000000" w:themeColor="text1"/>
                <w:sz w:val="18"/>
                <w:szCs w:val="18"/>
                <w:lang w:eastAsia="sl-SI"/>
              </w:rPr>
            </w:pPr>
            <w:r w:rsidRPr="007F5593">
              <w:rPr>
                <w:rFonts w:ascii="Arial" w:eastAsia="Times New Roman" w:hAnsi="Arial" w:cs="Arial"/>
                <w:color w:val="000000" w:themeColor="text1"/>
                <w:sz w:val="18"/>
                <w:szCs w:val="18"/>
                <w:lang w:eastAsia="sl-SI"/>
              </w:rPr>
              <w:t>181.910.093</w:t>
            </w:r>
          </w:p>
        </w:tc>
        <w:tc>
          <w:tcPr>
            <w:tcW w:w="1234" w:type="pct"/>
            <w:shd w:val="clear" w:color="auto" w:fill="auto"/>
            <w:noWrap/>
            <w:vAlign w:val="center"/>
            <w:hideMark/>
          </w:tcPr>
          <w:p w14:paraId="08388DAE" w14:textId="4E61A7CC" w:rsidR="007F5593" w:rsidRPr="007F5593" w:rsidRDefault="007F5593" w:rsidP="007F5593">
            <w:pPr>
              <w:spacing w:after="0" w:line="240" w:lineRule="auto"/>
              <w:jc w:val="right"/>
              <w:rPr>
                <w:rFonts w:ascii="Arial" w:eastAsia="Times New Roman" w:hAnsi="Arial" w:cs="Arial"/>
                <w:color w:val="000000" w:themeColor="text1"/>
                <w:sz w:val="18"/>
                <w:szCs w:val="18"/>
                <w:lang w:eastAsia="sl-SI"/>
              </w:rPr>
            </w:pPr>
            <w:r w:rsidRPr="007F5593">
              <w:rPr>
                <w:rFonts w:ascii="Arial" w:eastAsia="Times New Roman" w:hAnsi="Arial" w:cs="Arial"/>
                <w:color w:val="000000" w:themeColor="text1"/>
                <w:sz w:val="18"/>
                <w:szCs w:val="18"/>
                <w:lang w:eastAsia="sl-SI"/>
              </w:rPr>
              <w:t>13,58 %</w:t>
            </w:r>
          </w:p>
        </w:tc>
        <w:tc>
          <w:tcPr>
            <w:tcW w:w="1166" w:type="pct"/>
            <w:shd w:val="clear" w:color="auto" w:fill="auto"/>
            <w:noWrap/>
            <w:vAlign w:val="center"/>
            <w:hideMark/>
          </w:tcPr>
          <w:p w14:paraId="7CA002AE" w14:textId="14BEEC8A" w:rsidR="007F5593" w:rsidRPr="007F5593" w:rsidRDefault="007F5593" w:rsidP="007F5593">
            <w:pPr>
              <w:spacing w:after="0" w:line="240" w:lineRule="auto"/>
              <w:jc w:val="right"/>
              <w:rPr>
                <w:rFonts w:ascii="Arial" w:eastAsia="Times New Roman" w:hAnsi="Arial" w:cs="Arial"/>
                <w:color w:val="000000" w:themeColor="text1"/>
                <w:sz w:val="18"/>
                <w:szCs w:val="18"/>
                <w:lang w:eastAsia="sl-SI"/>
              </w:rPr>
            </w:pPr>
            <w:r w:rsidRPr="007F5593">
              <w:rPr>
                <w:rFonts w:ascii="Arial" w:eastAsia="Times New Roman" w:hAnsi="Arial" w:cs="Arial"/>
                <w:color w:val="000000" w:themeColor="text1"/>
                <w:sz w:val="18"/>
                <w:szCs w:val="18"/>
                <w:lang w:eastAsia="sl-SI"/>
              </w:rPr>
              <w:t>23,32 %</w:t>
            </w:r>
          </w:p>
        </w:tc>
      </w:tr>
      <w:tr w:rsidR="007F5593" w:rsidRPr="007F5593" w14:paraId="46370195" w14:textId="77777777" w:rsidTr="000110D0">
        <w:trPr>
          <w:trHeight w:hRule="exact" w:val="284"/>
        </w:trPr>
        <w:tc>
          <w:tcPr>
            <w:tcW w:w="1974" w:type="pct"/>
            <w:shd w:val="clear" w:color="auto" w:fill="auto"/>
            <w:vAlign w:val="center"/>
            <w:hideMark/>
          </w:tcPr>
          <w:p w14:paraId="3E89C9D7" w14:textId="76A314B0" w:rsidR="007F5593" w:rsidRPr="007F5593" w:rsidRDefault="007F5593" w:rsidP="007F5593">
            <w:pPr>
              <w:spacing w:after="0" w:line="240" w:lineRule="auto"/>
              <w:rPr>
                <w:rFonts w:ascii="Arial" w:eastAsia="Times New Roman" w:hAnsi="Arial" w:cs="Arial"/>
                <w:color w:val="000000" w:themeColor="text1"/>
                <w:sz w:val="18"/>
                <w:szCs w:val="18"/>
                <w:lang w:eastAsia="sl-SI"/>
              </w:rPr>
            </w:pPr>
            <w:r w:rsidRPr="007F5593">
              <w:rPr>
                <w:rFonts w:ascii="Arial" w:eastAsia="Times New Roman" w:hAnsi="Arial" w:cs="Arial"/>
                <w:color w:val="000000" w:themeColor="text1"/>
                <w:sz w:val="18"/>
                <w:szCs w:val="18"/>
                <w:lang w:eastAsia="sl-SI"/>
              </w:rPr>
              <w:t>Javni skladi</w:t>
            </w:r>
          </w:p>
        </w:tc>
        <w:tc>
          <w:tcPr>
            <w:tcW w:w="209" w:type="pct"/>
            <w:shd w:val="clear" w:color="auto" w:fill="auto"/>
            <w:vAlign w:val="center"/>
            <w:hideMark/>
          </w:tcPr>
          <w:p w14:paraId="471101E4" w14:textId="77777777" w:rsidR="007F5593" w:rsidRPr="007F5593" w:rsidRDefault="007F5593" w:rsidP="007F5593">
            <w:pPr>
              <w:spacing w:after="0" w:line="240" w:lineRule="auto"/>
              <w:jc w:val="right"/>
              <w:rPr>
                <w:rFonts w:ascii="Arial" w:eastAsia="Times New Roman" w:hAnsi="Arial" w:cs="Arial"/>
                <w:color w:val="000000" w:themeColor="text1"/>
                <w:sz w:val="18"/>
                <w:szCs w:val="18"/>
                <w:lang w:eastAsia="sl-SI"/>
              </w:rPr>
            </w:pPr>
            <w:r w:rsidRPr="007F5593">
              <w:rPr>
                <w:rFonts w:ascii="Arial" w:eastAsia="Times New Roman" w:hAnsi="Arial" w:cs="Arial"/>
                <w:color w:val="000000" w:themeColor="text1"/>
                <w:sz w:val="18"/>
                <w:szCs w:val="18"/>
                <w:lang w:eastAsia="sl-SI"/>
              </w:rPr>
              <w:t>9</w:t>
            </w:r>
          </w:p>
        </w:tc>
        <w:tc>
          <w:tcPr>
            <w:tcW w:w="417" w:type="pct"/>
            <w:shd w:val="clear" w:color="auto" w:fill="auto"/>
            <w:vAlign w:val="center"/>
            <w:hideMark/>
          </w:tcPr>
          <w:p w14:paraId="728257EC" w14:textId="77777777" w:rsidR="007F5593" w:rsidRPr="007F5593" w:rsidRDefault="007F5593" w:rsidP="007F5593">
            <w:pPr>
              <w:spacing w:after="0" w:line="240" w:lineRule="auto"/>
              <w:jc w:val="right"/>
              <w:rPr>
                <w:rFonts w:ascii="Arial" w:eastAsia="Times New Roman" w:hAnsi="Arial" w:cs="Arial"/>
                <w:color w:val="000000" w:themeColor="text1"/>
                <w:sz w:val="18"/>
                <w:szCs w:val="18"/>
                <w:lang w:eastAsia="sl-SI"/>
              </w:rPr>
            </w:pPr>
            <w:r w:rsidRPr="007F5593">
              <w:rPr>
                <w:rFonts w:ascii="Arial" w:eastAsia="Times New Roman" w:hAnsi="Arial" w:cs="Arial"/>
                <w:color w:val="000000" w:themeColor="text1"/>
                <w:sz w:val="18"/>
                <w:szCs w:val="18"/>
                <w:lang w:eastAsia="sl-SI"/>
              </w:rPr>
              <w:t>15.271.257</w:t>
            </w:r>
          </w:p>
        </w:tc>
        <w:tc>
          <w:tcPr>
            <w:tcW w:w="1234" w:type="pct"/>
            <w:shd w:val="clear" w:color="auto" w:fill="auto"/>
            <w:noWrap/>
            <w:vAlign w:val="center"/>
            <w:hideMark/>
          </w:tcPr>
          <w:p w14:paraId="0D73FF9C" w14:textId="136F208B" w:rsidR="007F5593" w:rsidRPr="007F5593" w:rsidRDefault="007F5593" w:rsidP="007F5593">
            <w:pPr>
              <w:spacing w:after="0" w:line="240" w:lineRule="auto"/>
              <w:jc w:val="right"/>
              <w:rPr>
                <w:rFonts w:ascii="Arial" w:eastAsia="Times New Roman" w:hAnsi="Arial" w:cs="Arial"/>
                <w:color w:val="000000" w:themeColor="text1"/>
                <w:sz w:val="18"/>
                <w:szCs w:val="18"/>
                <w:lang w:eastAsia="sl-SI"/>
              </w:rPr>
            </w:pPr>
            <w:r w:rsidRPr="007F5593">
              <w:rPr>
                <w:rFonts w:ascii="Arial" w:eastAsia="Times New Roman" w:hAnsi="Arial" w:cs="Arial"/>
                <w:color w:val="000000" w:themeColor="text1"/>
                <w:sz w:val="18"/>
                <w:szCs w:val="18"/>
                <w:lang w:eastAsia="sl-SI"/>
              </w:rPr>
              <w:t>15,79 %</w:t>
            </w:r>
          </w:p>
        </w:tc>
        <w:tc>
          <w:tcPr>
            <w:tcW w:w="1166" w:type="pct"/>
            <w:shd w:val="clear" w:color="auto" w:fill="auto"/>
            <w:noWrap/>
            <w:vAlign w:val="center"/>
            <w:hideMark/>
          </w:tcPr>
          <w:p w14:paraId="3621B55A" w14:textId="7B853163" w:rsidR="007F5593" w:rsidRPr="007F5593" w:rsidRDefault="007F5593" w:rsidP="007F5593">
            <w:pPr>
              <w:spacing w:after="0" w:line="240" w:lineRule="auto"/>
              <w:jc w:val="right"/>
              <w:rPr>
                <w:rFonts w:ascii="Arial" w:eastAsia="Times New Roman" w:hAnsi="Arial" w:cs="Arial"/>
                <w:color w:val="000000" w:themeColor="text1"/>
                <w:sz w:val="18"/>
                <w:szCs w:val="18"/>
                <w:lang w:eastAsia="sl-SI"/>
              </w:rPr>
            </w:pPr>
            <w:r w:rsidRPr="007F5593">
              <w:rPr>
                <w:rFonts w:ascii="Arial" w:eastAsia="Times New Roman" w:hAnsi="Arial" w:cs="Arial"/>
                <w:color w:val="000000" w:themeColor="text1"/>
                <w:sz w:val="18"/>
                <w:szCs w:val="18"/>
                <w:lang w:eastAsia="sl-SI"/>
              </w:rPr>
              <w:t>25,33 %</w:t>
            </w:r>
          </w:p>
        </w:tc>
      </w:tr>
      <w:tr w:rsidR="007F5593" w:rsidRPr="007F5593" w14:paraId="51C0B75E" w14:textId="77777777" w:rsidTr="000110D0">
        <w:trPr>
          <w:trHeight w:hRule="exact" w:val="284"/>
        </w:trPr>
        <w:tc>
          <w:tcPr>
            <w:tcW w:w="1974" w:type="pct"/>
            <w:shd w:val="clear" w:color="auto" w:fill="auto"/>
            <w:vAlign w:val="center"/>
            <w:hideMark/>
          </w:tcPr>
          <w:p w14:paraId="47447A55" w14:textId="49A25D10" w:rsidR="007F5593" w:rsidRPr="007F5593" w:rsidRDefault="007F5593" w:rsidP="007F5593">
            <w:pPr>
              <w:spacing w:after="0" w:line="240" w:lineRule="auto"/>
              <w:rPr>
                <w:rFonts w:ascii="Arial" w:eastAsia="Times New Roman" w:hAnsi="Arial" w:cs="Arial"/>
                <w:color w:val="000000" w:themeColor="text1"/>
                <w:sz w:val="18"/>
                <w:szCs w:val="18"/>
                <w:lang w:eastAsia="sl-SI"/>
              </w:rPr>
            </w:pPr>
            <w:r w:rsidRPr="007F5593">
              <w:rPr>
                <w:rFonts w:ascii="Arial" w:eastAsia="Times New Roman" w:hAnsi="Arial" w:cs="Arial"/>
                <w:color w:val="000000" w:themeColor="text1"/>
                <w:sz w:val="18"/>
                <w:szCs w:val="18"/>
                <w:lang w:eastAsia="sl-SI"/>
              </w:rPr>
              <w:t>Javne agencije</w:t>
            </w:r>
          </w:p>
        </w:tc>
        <w:tc>
          <w:tcPr>
            <w:tcW w:w="209" w:type="pct"/>
            <w:shd w:val="clear" w:color="auto" w:fill="auto"/>
            <w:vAlign w:val="center"/>
            <w:hideMark/>
          </w:tcPr>
          <w:p w14:paraId="2915FA7A" w14:textId="77777777" w:rsidR="007F5593" w:rsidRPr="007F5593" w:rsidRDefault="007F5593" w:rsidP="007F5593">
            <w:pPr>
              <w:spacing w:after="0" w:line="240" w:lineRule="auto"/>
              <w:jc w:val="right"/>
              <w:rPr>
                <w:rFonts w:ascii="Arial" w:eastAsia="Times New Roman" w:hAnsi="Arial" w:cs="Arial"/>
                <w:color w:val="000000" w:themeColor="text1"/>
                <w:sz w:val="18"/>
                <w:szCs w:val="18"/>
                <w:lang w:eastAsia="sl-SI"/>
              </w:rPr>
            </w:pPr>
            <w:r w:rsidRPr="007F5593">
              <w:rPr>
                <w:rFonts w:ascii="Arial" w:eastAsia="Times New Roman" w:hAnsi="Arial" w:cs="Arial"/>
                <w:color w:val="000000" w:themeColor="text1"/>
                <w:sz w:val="18"/>
                <w:szCs w:val="18"/>
                <w:lang w:eastAsia="sl-SI"/>
              </w:rPr>
              <w:t>5</w:t>
            </w:r>
          </w:p>
        </w:tc>
        <w:tc>
          <w:tcPr>
            <w:tcW w:w="417" w:type="pct"/>
            <w:shd w:val="clear" w:color="auto" w:fill="auto"/>
            <w:vAlign w:val="center"/>
            <w:hideMark/>
          </w:tcPr>
          <w:p w14:paraId="4B36EDDD" w14:textId="77777777" w:rsidR="007F5593" w:rsidRPr="007F5593" w:rsidRDefault="007F5593" w:rsidP="007F5593">
            <w:pPr>
              <w:spacing w:after="0" w:line="240" w:lineRule="auto"/>
              <w:jc w:val="right"/>
              <w:rPr>
                <w:rFonts w:ascii="Arial" w:eastAsia="Times New Roman" w:hAnsi="Arial" w:cs="Arial"/>
                <w:color w:val="000000" w:themeColor="text1"/>
                <w:sz w:val="18"/>
                <w:szCs w:val="18"/>
                <w:lang w:eastAsia="sl-SI"/>
              </w:rPr>
            </w:pPr>
            <w:r w:rsidRPr="007F5593">
              <w:rPr>
                <w:rFonts w:ascii="Arial" w:eastAsia="Times New Roman" w:hAnsi="Arial" w:cs="Arial"/>
                <w:color w:val="000000" w:themeColor="text1"/>
                <w:sz w:val="18"/>
                <w:szCs w:val="18"/>
                <w:lang w:eastAsia="sl-SI"/>
              </w:rPr>
              <w:t>765.076</w:t>
            </w:r>
          </w:p>
        </w:tc>
        <w:tc>
          <w:tcPr>
            <w:tcW w:w="1234" w:type="pct"/>
            <w:shd w:val="clear" w:color="auto" w:fill="auto"/>
            <w:noWrap/>
            <w:vAlign w:val="center"/>
            <w:hideMark/>
          </w:tcPr>
          <w:p w14:paraId="1550256F" w14:textId="29402966" w:rsidR="007F5593" w:rsidRPr="007F5593" w:rsidRDefault="007F5593" w:rsidP="007F5593">
            <w:pPr>
              <w:spacing w:after="0" w:line="240" w:lineRule="auto"/>
              <w:jc w:val="right"/>
              <w:rPr>
                <w:rFonts w:ascii="Arial" w:eastAsia="Times New Roman" w:hAnsi="Arial" w:cs="Arial"/>
                <w:color w:val="000000" w:themeColor="text1"/>
                <w:sz w:val="18"/>
                <w:szCs w:val="18"/>
                <w:lang w:eastAsia="sl-SI"/>
              </w:rPr>
            </w:pPr>
            <w:r w:rsidRPr="007F5593">
              <w:rPr>
                <w:rFonts w:ascii="Arial" w:eastAsia="Times New Roman" w:hAnsi="Arial" w:cs="Arial"/>
                <w:color w:val="000000" w:themeColor="text1"/>
                <w:sz w:val="18"/>
                <w:szCs w:val="18"/>
                <w:lang w:eastAsia="sl-SI"/>
              </w:rPr>
              <w:t>5,38 %</w:t>
            </w:r>
          </w:p>
        </w:tc>
        <w:tc>
          <w:tcPr>
            <w:tcW w:w="1166" w:type="pct"/>
            <w:shd w:val="clear" w:color="auto" w:fill="auto"/>
            <w:noWrap/>
            <w:vAlign w:val="center"/>
            <w:hideMark/>
          </w:tcPr>
          <w:p w14:paraId="3EB8C740" w14:textId="3FC49934" w:rsidR="007F5593" w:rsidRPr="007F5593" w:rsidRDefault="007F5593" w:rsidP="007F5593">
            <w:pPr>
              <w:spacing w:after="0" w:line="240" w:lineRule="auto"/>
              <w:jc w:val="right"/>
              <w:rPr>
                <w:rFonts w:ascii="Arial" w:eastAsia="Times New Roman" w:hAnsi="Arial" w:cs="Arial"/>
                <w:color w:val="000000" w:themeColor="text1"/>
                <w:sz w:val="18"/>
                <w:szCs w:val="18"/>
                <w:lang w:eastAsia="sl-SI"/>
              </w:rPr>
            </w:pPr>
            <w:r w:rsidRPr="007F5593">
              <w:rPr>
                <w:rFonts w:ascii="Arial" w:eastAsia="Times New Roman" w:hAnsi="Arial" w:cs="Arial"/>
                <w:color w:val="000000" w:themeColor="text1"/>
                <w:sz w:val="18"/>
                <w:szCs w:val="18"/>
                <w:lang w:eastAsia="sl-SI"/>
              </w:rPr>
              <w:t>6,67 %</w:t>
            </w:r>
          </w:p>
        </w:tc>
      </w:tr>
      <w:tr w:rsidR="007F5593" w:rsidRPr="007F5593" w14:paraId="709636A6" w14:textId="77777777" w:rsidTr="000110D0">
        <w:trPr>
          <w:trHeight w:hRule="exact" w:val="284"/>
        </w:trPr>
        <w:tc>
          <w:tcPr>
            <w:tcW w:w="1974" w:type="pct"/>
            <w:shd w:val="clear" w:color="auto" w:fill="auto"/>
            <w:vAlign w:val="center"/>
            <w:hideMark/>
          </w:tcPr>
          <w:p w14:paraId="6947782C" w14:textId="445BE9C8" w:rsidR="007F5593" w:rsidRPr="007F5593" w:rsidRDefault="007F5593" w:rsidP="007F5593">
            <w:pPr>
              <w:spacing w:after="0" w:line="240" w:lineRule="auto"/>
              <w:rPr>
                <w:rFonts w:ascii="Arial" w:eastAsia="Times New Roman" w:hAnsi="Arial" w:cs="Arial"/>
                <w:color w:val="000000" w:themeColor="text1"/>
                <w:sz w:val="18"/>
                <w:szCs w:val="18"/>
                <w:lang w:eastAsia="sl-SI"/>
              </w:rPr>
            </w:pPr>
            <w:r w:rsidRPr="007F5593">
              <w:rPr>
                <w:rFonts w:ascii="Arial" w:eastAsia="Times New Roman" w:hAnsi="Arial" w:cs="Arial"/>
                <w:color w:val="000000" w:themeColor="text1"/>
                <w:sz w:val="18"/>
                <w:szCs w:val="18"/>
                <w:lang w:eastAsia="sl-SI"/>
              </w:rPr>
              <w:t>Javni zavodi</w:t>
            </w:r>
          </w:p>
        </w:tc>
        <w:tc>
          <w:tcPr>
            <w:tcW w:w="209" w:type="pct"/>
            <w:shd w:val="clear" w:color="auto" w:fill="auto"/>
            <w:vAlign w:val="center"/>
            <w:hideMark/>
          </w:tcPr>
          <w:p w14:paraId="75DA26D1" w14:textId="77777777" w:rsidR="007F5593" w:rsidRPr="007F5593" w:rsidRDefault="007F5593" w:rsidP="007F5593">
            <w:pPr>
              <w:spacing w:after="0" w:line="240" w:lineRule="auto"/>
              <w:jc w:val="right"/>
              <w:rPr>
                <w:rFonts w:ascii="Arial" w:eastAsia="Times New Roman" w:hAnsi="Arial" w:cs="Arial"/>
                <w:color w:val="000000" w:themeColor="text1"/>
                <w:sz w:val="18"/>
                <w:szCs w:val="18"/>
                <w:lang w:eastAsia="sl-SI"/>
              </w:rPr>
            </w:pPr>
            <w:r w:rsidRPr="007F5593">
              <w:rPr>
                <w:rFonts w:ascii="Arial" w:eastAsia="Times New Roman" w:hAnsi="Arial" w:cs="Arial"/>
                <w:color w:val="000000" w:themeColor="text1"/>
                <w:sz w:val="18"/>
                <w:szCs w:val="18"/>
                <w:lang w:eastAsia="sl-SI"/>
              </w:rPr>
              <w:t>361</w:t>
            </w:r>
          </w:p>
        </w:tc>
        <w:tc>
          <w:tcPr>
            <w:tcW w:w="417" w:type="pct"/>
            <w:shd w:val="clear" w:color="auto" w:fill="auto"/>
            <w:vAlign w:val="center"/>
            <w:hideMark/>
          </w:tcPr>
          <w:p w14:paraId="4D102346" w14:textId="77777777" w:rsidR="007F5593" w:rsidRPr="007F5593" w:rsidRDefault="007F5593" w:rsidP="007F5593">
            <w:pPr>
              <w:spacing w:after="0" w:line="240" w:lineRule="auto"/>
              <w:jc w:val="right"/>
              <w:rPr>
                <w:rFonts w:ascii="Arial" w:eastAsia="Times New Roman" w:hAnsi="Arial" w:cs="Arial"/>
                <w:color w:val="000000" w:themeColor="text1"/>
                <w:sz w:val="18"/>
                <w:szCs w:val="18"/>
                <w:lang w:eastAsia="sl-SI"/>
              </w:rPr>
            </w:pPr>
            <w:r w:rsidRPr="007F5593">
              <w:rPr>
                <w:rFonts w:ascii="Arial" w:eastAsia="Times New Roman" w:hAnsi="Arial" w:cs="Arial"/>
                <w:color w:val="000000" w:themeColor="text1"/>
                <w:sz w:val="18"/>
                <w:szCs w:val="18"/>
                <w:lang w:eastAsia="sl-SI"/>
              </w:rPr>
              <w:t>195.354.579</w:t>
            </w:r>
          </w:p>
        </w:tc>
        <w:tc>
          <w:tcPr>
            <w:tcW w:w="1234" w:type="pct"/>
            <w:shd w:val="clear" w:color="auto" w:fill="auto"/>
            <w:noWrap/>
            <w:vAlign w:val="center"/>
            <w:hideMark/>
          </w:tcPr>
          <w:p w14:paraId="7F261E4D" w14:textId="1D80EAAD" w:rsidR="007F5593" w:rsidRPr="007F5593" w:rsidRDefault="007F5593" w:rsidP="007F5593">
            <w:pPr>
              <w:spacing w:after="0" w:line="240" w:lineRule="auto"/>
              <w:jc w:val="right"/>
              <w:rPr>
                <w:rFonts w:ascii="Arial" w:eastAsia="Times New Roman" w:hAnsi="Arial" w:cs="Arial"/>
                <w:color w:val="000000" w:themeColor="text1"/>
                <w:sz w:val="18"/>
                <w:szCs w:val="18"/>
                <w:lang w:eastAsia="sl-SI"/>
              </w:rPr>
            </w:pPr>
            <w:r w:rsidRPr="007F5593">
              <w:rPr>
                <w:rFonts w:ascii="Arial" w:eastAsia="Times New Roman" w:hAnsi="Arial" w:cs="Arial"/>
                <w:color w:val="000000" w:themeColor="text1"/>
                <w:sz w:val="18"/>
                <w:szCs w:val="18"/>
                <w:lang w:eastAsia="sl-SI"/>
              </w:rPr>
              <w:t>3,56 %</w:t>
            </w:r>
          </w:p>
        </w:tc>
        <w:tc>
          <w:tcPr>
            <w:tcW w:w="1166" w:type="pct"/>
            <w:shd w:val="clear" w:color="auto" w:fill="auto"/>
            <w:noWrap/>
            <w:vAlign w:val="center"/>
            <w:hideMark/>
          </w:tcPr>
          <w:p w14:paraId="7465630F" w14:textId="74362BA4" w:rsidR="007F5593" w:rsidRPr="007F5593" w:rsidRDefault="007F5593" w:rsidP="007F5593">
            <w:pPr>
              <w:spacing w:after="0" w:line="240" w:lineRule="auto"/>
              <w:jc w:val="right"/>
              <w:rPr>
                <w:rFonts w:ascii="Arial" w:eastAsia="Times New Roman" w:hAnsi="Arial" w:cs="Arial"/>
                <w:color w:val="000000" w:themeColor="text1"/>
                <w:sz w:val="18"/>
                <w:szCs w:val="18"/>
                <w:lang w:eastAsia="sl-SI"/>
              </w:rPr>
            </w:pPr>
            <w:r w:rsidRPr="007F5593">
              <w:rPr>
                <w:rFonts w:ascii="Arial" w:eastAsia="Times New Roman" w:hAnsi="Arial" w:cs="Arial"/>
                <w:color w:val="000000" w:themeColor="text1"/>
                <w:sz w:val="18"/>
                <w:szCs w:val="18"/>
                <w:lang w:eastAsia="sl-SI"/>
              </w:rPr>
              <w:t>13,33 %</w:t>
            </w:r>
          </w:p>
        </w:tc>
      </w:tr>
      <w:tr w:rsidR="007F5593" w:rsidRPr="007F5593" w14:paraId="7EB028D3" w14:textId="77777777" w:rsidTr="000110D0">
        <w:trPr>
          <w:trHeight w:hRule="exact" w:val="284"/>
        </w:trPr>
        <w:tc>
          <w:tcPr>
            <w:tcW w:w="1974" w:type="pct"/>
            <w:shd w:val="clear" w:color="auto" w:fill="auto"/>
            <w:vAlign w:val="center"/>
            <w:hideMark/>
          </w:tcPr>
          <w:p w14:paraId="4DBB766A" w14:textId="3211DFEF" w:rsidR="007F5593" w:rsidRPr="007F5593" w:rsidRDefault="007F5593" w:rsidP="007F5593">
            <w:pPr>
              <w:spacing w:after="0" w:line="240" w:lineRule="auto"/>
              <w:rPr>
                <w:rFonts w:ascii="Arial" w:eastAsia="Times New Roman" w:hAnsi="Arial" w:cs="Arial"/>
                <w:color w:val="000000" w:themeColor="text1"/>
                <w:sz w:val="18"/>
                <w:szCs w:val="18"/>
                <w:lang w:eastAsia="sl-SI"/>
              </w:rPr>
            </w:pPr>
            <w:r w:rsidRPr="007F5593">
              <w:rPr>
                <w:rFonts w:ascii="Arial" w:eastAsia="Times New Roman" w:hAnsi="Arial" w:cs="Arial"/>
                <w:color w:val="000000" w:themeColor="text1"/>
                <w:sz w:val="18"/>
                <w:szCs w:val="18"/>
                <w:lang w:eastAsia="sl-SI"/>
              </w:rPr>
              <w:t>Javni gospodarski zavodi</w:t>
            </w:r>
          </w:p>
        </w:tc>
        <w:tc>
          <w:tcPr>
            <w:tcW w:w="209" w:type="pct"/>
            <w:shd w:val="clear" w:color="auto" w:fill="auto"/>
            <w:vAlign w:val="center"/>
            <w:hideMark/>
          </w:tcPr>
          <w:p w14:paraId="2BBAA0F1" w14:textId="77777777" w:rsidR="007F5593" w:rsidRPr="007F5593" w:rsidRDefault="007F5593" w:rsidP="007F5593">
            <w:pPr>
              <w:spacing w:after="0" w:line="240" w:lineRule="auto"/>
              <w:jc w:val="right"/>
              <w:rPr>
                <w:rFonts w:ascii="Arial" w:eastAsia="Times New Roman" w:hAnsi="Arial" w:cs="Arial"/>
                <w:color w:val="000000" w:themeColor="text1"/>
                <w:sz w:val="18"/>
                <w:szCs w:val="18"/>
                <w:lang w:eastAsia="sl-SI"/>
              </w:rPr>
            </w:pPr>
            <w:r w:rsidRPr="007F5593">
              <w:rPr>
                <w:rFonts w:ascii="Arial" w:eastAsia="Times New Roman" w:hAnsi="Arial" w:cs="Arial"/>
                <w:color w:val="000000" w:themeColor="text1"/>
                <w:sz w:val="18"/>
                <w:szCs w:val="18"/>
                <w:lang w:eastAsia="sl-SI"/>
              </w:rPr>
              <w:t>1</w:t>
            </w:r>
          </w:p>
        </w:tc>
        <w:tc>
          <w:tcPr>
            <w:tcW w:w="417" w:type="pct"/>
            <w:shd w:val="clear" w:color="auto" w:fill="auto"/>
            <w:vAlign w:val="center"/>
            <w:hideMark/>
          </w:tcPr>
          <w:p w14:paraId="31BD0EA0" w14:textId="77777777" w:rsidR="007F5593" w:rsidRPr="007F5593" w:rsidRDefault="007F5593" w:rsidP="007F5593">
            <w:pPr>
              <w:spacing w:after="0" w:line="240" w:lineRule="auto"/>
              <w:jc w:val="right"/>
              <w:rPr>
                <w:rFonts w:ascii="Arial" w:eastAsia="Times New Roman" w:hAnsi="Arial" w:cs="Arial"/>
                <w:color w:val="000000" w:themeColor="text1"/>
                <w:sz w:val="18"/>
                <w:szCs w:val="18"/>
                <w:lang w:eastAsia="sl-SI"/>
              </w:rPr>
            </w:pPr>
            <w:r w:rsidRPr="007F5593">
              <w:rPr>
                <w:rFonts w:ascii="Arial" w:eastAsia="Times New Roman" w:hAnsi="Arial" w:cs="Arial"/>
                <w:color w:val="000000" w:themeColor="text1"/>
                <w:sz w:val="18"/>
                <w:szCs w:val="18"/>
                <w:lang w:eastAsia="sl-SI"/>
              </w:rPr>
              <w:t>59.228</w:t>
            </w:r>
          </w:p>
        </w:tc>
        <w:tc>
          <w:tcPr>
            <w:tcW w:w="1234" w:type="pct"/>
            <w:shd w:val="clear" w:color="auto" w:fill="auto"/>
            <w:noWrap/>
            <w:vAlign w:val="center"/>
            <w:hideMark/>
          </w:tcPr>
          <w:p w14:paraId="3CE6D822" w14:textId="75B7A04C" w:rsidR="007F5593" w:rsidRPr="007F5593" w:rsidRDefault="007F5593" w:rsidP="007F5593">
            <w:pPr>
              <w:spacing w:after="0" w:line="240" w:lineRule="auto"/>
              <w:jc w:val="right"/>
              <w:rPr>
                <w:rFonts w:ascii="Arial" w:eastAsia="Times New Roman" w:hAnsi="Arial" w:cs="Arial"/>
                <w:color w:val="000000" w:themeColor="text1"/>
                <w:sz w:val="18"/>
                <w:szCs w:val="18"/>
                <w:lang w:eastAsia="sl-SI"/>
              </w:rPr>
            </w:pPr>
            <w:r w:rsidRPr="007F5593">
              <w:rPr>
                <w:rFonts w:ascii="Arial" w:eastAsia="Times New Roman" w:hAnsi="Arial" w:cs="Arial"/>
                <w:color w:val="000000" w:themeColor="text1"/>
                <w:sz w:val="18"/>
                <w:szCs w:val="18"/>
                <w:lang w:eastAsia="sl-SI"/>
              </w:rPr>
              <w:t>0,68 %</w:t>
            </w:r>
          </w:p>
        </w:tc>
        <w:tc>
          <w:tcPr>
            <w:tcW w:w="1166" w:type="pct"/>
            <w:shd w:val="clear" w:color="auto" w:fill="auto"/>
            <w:noWrap/>
            <w:vAlign w:val="center"/>
            <w:hideMark/>
          </w:tcPr>
          <w:p w14:paraId="7EFE592E" w14:textId="5D3524EB" w:rsidR="007F5593" w:rsidRPr="007F5593" w:rsidRDefault="007F5593" w:rsidP="007F5593">
            <w:pPr>
              <w:spacing w:after="0" w:line="240" w:lineRule="auto"/>
              <w:jc w:val="right"/>
              <w:rPr>
                <w:rFonts w:ascii="Arial" w:eastAsia="Times New Roman" w:hAnsi="Arial" w:cs="Arial"/>
                <w:color w:val="000000" w:themeColor="text1"/>
                <w:sz w:val="18"/>
                <w:szCs w:val="18"/>
                <w:lang w:eastAsia="sl-SI"/>
              </w:rPr>
            </w:pPr>
            <w:r w:rsidRPr="007F5593">
              <w:rPr>
                <w:rFonts w:ascii="Arial" w:eastAsia="Times New Roman" w:hAnsi="Arial" w:cs="Arial"/>
                <w:color w:val="000000" w:themeColor="text1"/>
                <w:sz w:val="18"/>
                <w:szCs w:val="18"/>
                <w:lang w:eastAsia="sl-SI"/>
              </w:rPr>
              <w:t>0,55 %</w:t>
            </w:r>
          </w:p>
        </w:tc>
      </w:tr>
      <w:tr w:rsidR="007F5593" w:rsidRPr="007F5593" w14:paraId="55C19AF0" w14:textId="77777777" w:rsidTr="0096100B">
        <w:trPr>
          <w:trHeight w:val="300"/>
        </w:trPr>
        <w:tc>
          <w:tcPr>
            <w:tcW w:w="1974" w:type="pct"/>
            <w:shd w:val="clear" w:color="auto" w:fill="auto"/>
            <w:vAlign w:val="center"/>
            <w:hideMark/>
          </w:tcPr>
          <w:p w14:paraId="471B353E" w14:textId="77777777" w:rsidR="007F5593" w:rsidRPr="007F5593" w:rsidRDefault="007F5593" w:rsidP="007F5593">
            <w:pPr>
              <w:spacing w:after="0" w:line="240" w:lineRule="auto"/>
              <w:rPr>
                <w:rFonts w:ascii="Arial" w:eastAsia="Times New Roman" w:hAnsi="Arial" w:cs="Arial"/>
                <w:color w:val="000000" w:themeColor="text1"/>
                <w:sz w:val="18"/>
                <w:szCs w:val="18"/>
                <w:lang w:eastAsia="sl-SI"/>
              </w:rPr>
            </w:pPr>
            <w:r w:rsidRPr="007F5593">
              <w:rPr>
                <w:rFonts w:ascii="Arial" w:eastAsia="Times New Roman" w:hAnsi="Arial" w:cs="Arial"/>
                <w:color w:val="000000" w:themeColor="text1"/>
                <w:sz w:val="18"/>
                <w:szCs w:val="18"/>
                <w:lang w:eastAsia="sl-SI"/>
              </w:rPr>
              <w:t xml:space="preserve">Drugi naročniki (osebe javnega prava, javna podjetja, subjekt s posebnimi infrastrukturnimi pravicami) </w:t>
            </w:r>
          </w:p>
        </w:tc>
        <w:tc>
          <w:tcPr>
            <w:tcW w:w="209" w:type="pct"/>
            <w:shd w:val="clear" w:color="auto" w:fill="auto"/>
            <w:vAlign w:val="center"/>
            <w:hideMark/>
          </w:tcPr>
          <w:p w14:paraId="79D65879" w14:textId="77777777" w:rsidR="007F5593" w:rsidRPr="007F5593" w:rsidRDefault="007F5593" w:rsidP="007F5593">
            <w:pPr>
              <w:spacing w:after="0" w:line="240" w:lineRule="auto"/>
              <w:jc w:val="right"/>
              <w:rPr>
                <w:rFonts w:ascii="Arial" w:eastAsia="Times New Roman" w:hAnsi="Arial" w:cs="Arial"/>
                <w:color w:val="000000" w:themeColor="text1"/>
                <w:sz w:val="18"/>
                <w:szCs w:val="18"/>
                <w:lang w:eastAsia="sl-SI"/>
              </w:rPr>
            </w:pPr>
            <w:r w:rsidRPr="007F5593">
              <w:rPr>
                <w:rFonts w:ascii="Arial" w:eastAsia="Times New Roman" w:hAnsi="Arial" w:cs="Arial"/>
                <w:color w:val="000000" w:themeColor="text1"/>
                <w:sz w:val="18"/>
                <w:szCs w:val="18"/>
                <w:lang w:eastAsia="sl-SI"/>
              </w:rPr>
              <w:t>39</w:t>
            </w:r>
          </w:p>
        </w:tc>
        <w:tc>
          <w:tcPr>
            <w:tcW w:w="417" w:type="pct"/>
            <w:shd w:val="clear" w:color="auto" w:fill="auto"/>
            <w:vAlign w:val="center"/>
            <w:hideMark/>
          </w:tcPr>
          <w:p w14:paraId="2F0D08B4" w14:textId="77777777" w:rsidR="007F5593" w:rsidRPr="007F5593" w:rsidRDefault="007F5593" w:rsidP="007F5593">
            <w:pPr>
              <w:spacing w:after="0" w:line="240" w:lineRule="auto"/>
              <w:jc w:val="right"/>
              <w:rPr>
                <w:rFonts w:ascii="Arial" w:eastAsia="Times New Roman" w:hAnsi="Arial" w:cs="Arial"/>
                <w:color w:val="000000" w:themeColor="text1"/>
                <w:sz w:val="18"/>
                <w:szCs w:val="18"/>
                <w:lang w:eastAsia="sl-SI"/>
              </w:rPr>
            </w:pPr>
            <w:r w:rsidRPr="007F5593">
              <w:rPr>
                <w:rFonts w:ascii="Arial" w:eastAsia="Times New Roman" w:hAnsi="Arial" w:cs="Arial"/>
                <w:color w:val="000000" w:themeColor="text1"/>
                <w:sz w:val="18"/>
                <w:szCs w:val="18"/>
                <w:lang w:eastAsia="sl-SI"/>
              </w:rPr>
              <w:t>16.349.659</w:t>
            </w:r>
          </w:p>
        </w:tc>
        <w:tc>
          <w:tcPr>
            <w:tcW w:w="1234" w:type="pct"/>
            <w:shd w:val="clear" w:color="auto" w:fill="auto"/>
            <w:noWrap/>
            <w:vAlign w:val="center"/>
            <w:hideMark/>
          </w:tcPr>
          <w:p w14:paraId="2213A6DA" w14:textId="208D7F51" w:rsidR="007F5593" w:rsidRPr="007F5593" w:rsidRDefault="007F5593" w:rsidP="007F5593">
            <w:pPr>
              <w:spacing w:after="0" w:line="240" w:lineRule="auto"/>
              <w:jc w:val="right"/>
              <w:rPr>
                <w:rFonts w:ascii="Arial" w:eastAsia="Times New Roman" w:hAnsi="Arial" w:cs="Arial"/>
                <w:color w:val="000000" w:themeColor="text1"/>
                <w:sz w:val="18"/>
                <w:szCs w:val="18"/>
                <w:lang w:eastAsia="sl-SI"/>
              </w:rPr>
            </w:pPr>
            <w:r w:rsidRPr="007F5593">
              <w:rPr>
                <w:rFonts w:ascii="Arial" w:eastAsia="Times New Roman" w:hAnsi="Arial" w:cs="Arial"/>
                <w:color w:val="000000" w:themeColor="text1"/>
                <w:sz w:val="18"/>
                <w:szCs w:val="18"/>
                <w:lang w:eastAsia="sl-SI"/>
              </w:rPr>
              <w:t>1,23 %</w:t>
            </w:r>
          </w:p>
        </w:tc>
        <w:tc>
          <w:tcPr>
            <w:tcW w:w="1166" w:type="pct"/>
            <w:shd w:val="clear" w:color="auto" w:fill="auto"/>
            <w:noWrap/>
            <w:vAlign w:val="center"/>
            <w:hideMark/>
          </w:tcPr>
          <w:p w14:paraId="66F4BB48" w14:textId="5AD62C67" w:rsidR="007F5593" w:rsidRPr="007F5593" w:rsidRDefault="007F5593" w:rsidP="007F5593">
            <w:pPr>
              <w:spacing w:after="0" w:line="240" w:lineRule="auto"/>
              <w:jc w:val="right"/>
              <w:rPr>
                <w:rFonts w:ascii="Arial" w:eastAsia="Times New Roman" w:hAnsi="Arial" w:cs="Arial"/>
                <w:color w:val="000000" w:themeColor="text1"/>
                <w:sz w:val="18"/>
                <w:szCs w:val="18"/>
                <w:lang w:eastAsia="sl-SI"/>
              </w:rPr>
            </w:pPr>
            <w:r w:rsidRPr="007F5593">
              <w:rPr>
                <w:rFonts w:ascii="Arial" w:eastAsia="Times New Roman" w:hAnsi="Arial" w:cs="Arial"/>
                <w:color w:val="000000" w:themeColor="text1"/>
                <w:sz w:val="18"/>
                <w:szCs w:val="18"/>
                <w:lang w:eastAsia="sl-SI"/>
              </w:rPr>
              <w:t>1,19 %</w:t>
            </w:r>
          </w:p>
        </w:tc>
      </w:tr>
      <w:tr w:rsidR="007F5593" w:rsidRPr="007F5593" w14:paraId="5F8873B9" w14:textId="77777777" w:rsidTr="000110D0">
        <w:trPr>
          <w:trHeight w:hRule="exact" w:val="284"/>
        </w:trPr>
        <w:tc>
          <w:tcPr>
            <w:tcW w:w="1974" w:type="pct"/>
            <w:shd w:val="clear" w:color="auto" w:fill="auto"/>
            <w:vAlign w:val="center"/>
            <w:hideMark/>
          </w:tcPr>
          <w:p w14:paraId="7F61C499" w14:textId="52C7BF0A" w:rsidR="007F5593" w:rsidRPr="007F5593" w:rsidRDefault="00A22784" w:rsidP="007F5593">
            <w:pPr>
              <w:spacing w:after="0" w:line="240" w:lineRule="auto"/>
              <w:rPr>
                <w:rFonts w:ascii="Arial" w:eastAsia="Times New Roman" w:hAnsi="Arial" w:cs="Arial"/>
                <w:color w:val="000000" w:themeColor="text1"/>
                <w:sz w:val="18"/>
                <w:szCs w:val="18"/>
                <w:lang w:eastAsia="sl-SI"/>
              </w:rPr>
            </w:pPr>
            <w:r>
              <w:rPr>
                <w:rFonts w:ascii="Arial" w:eastAsia="Times New Roman" w:hAnsi="Arial" w:cs="Arial"/>
                <w:color w:val="000000" w:themeColor="text1"/>
                <w:sz w:val="18"/>
                <w:szCs w:val="18"/>
                <w:lang w:eastAsia="sl-SI"/>
              </w:rPr>
              <w:t>Drugi</w:t>
            </w:r>
            <w:r w:rsidR="007F5593" w:rsidRPr="007F5593">
              <w:rPr>
                <w:rFonts w:ascii="Arial" w:eastAsia="Times New Roman" w:hAnsi="Arial" w:cs="Arial"/>
                <w:color w:val="000000" w:themeColor="text1"/>
                <w:sz w:val="18"/>
                <w:szCs w:val="18"/>
                <w:lang w:eastAsia="sl-SI"/>
              </w:rPr>
              <w:t xml:space="preserve"> subjekti</w:t>
            </w:r>
          </w:p>
        </w:tc>
        <w:tc>
          <w:tcPr>
            <w:tcW w:w="209" w:type="pct"/>
            <w:shd w:val="clear" w:color="auto" w:fill="auto"/>
            <w:vAlign w:val="center"/>
            <w:hideMark/>
          </w:tcPr>
          <w:p w14:paraId="64C0127F" w14:textId="77777777" w:rsidR="007F5593" w:rsidRPr="007F5593" w:rsidRDefault="007F5593" w:rsidP="007F5593">
            <w:pPr>
              <w:spacing w:after="0" w:line="240" w:lineRule="auto"/>
              <w:jc w:val="right"/>
              <w:rPr>
                <w:rFonts w:ascii="Arial" w:eastAsia="Times New Roman" w:hAnsi="Arial" w:cs="Arial"/>
                <w:color w:val="000000" w:themeColor="text1"/>
                <w:sz w:val="18"/>
                <w:szCs w:val="18"/>
                <w:lang w:eastAsia="sl-SI"/>
              </w:rPr>
            </w:pPr>
            <w:r w:rsidRPr="007F5593">
              <w:rPr>
                <w:rFonts w:ascii="Arial" w:eastAsia="Times New Roman" w:hAnsi="Arial" w:cs="Arial"/>
                <w:color w:val="000000" w:themeColor="text1"/>
                <w:sz w:val="18"/>
                <w:szCs w:val="18"/>
                <w:lang w:eastAsia="sl-SI"/>
              </w:rPr>
              <w:t>61</w:t>
            </w:r>
          </w:p>
        </w:tc>
        <w:tc>
          <w:tcPr>
            <w:tcW w:w="417" w:type="pct"/>
            <w:shd w:val="clear" w:color="auto" w:fill="auto"/>
            <w:vAlign w:val="center"/>
            <w:hideMark/>
          </w:tcPr>
          <w:p w14:paraId="37928826" w14:textId="77777777" w:rsidR="007F5593" w:rsidRPr="007F5593" w:rsidRDefault="007F5593" w:rsidP="007F5593">
            <w:pPr>
              <w:spacing w:after="0" w:line="240" w:lineRule="auto"/>
              <w:jc w:val="right"/>
              <w:rPr>
                <w:rFonts w:ascii="Arial" w:eastAsia="Times New Roman" w:hAnsi="Arial" w:cs="Arial"/>
                <w:color w:val="000000" w:themeColor="text1"/>
                <w:sz w:val="18"/>
                <w:szCs w:val="18"/>
                <w:lang w:eastAsia="sl-SI"/>
              </w:rPr>
            </w:pPr>
            <w:r w:rsidRPr="007F5593">
              <w:rPr>
                <w:rFonts w:ascii="Arial" w:eastAsia="Times New Roman" w:hAnsi="Arial" w:cs="Arial"/>
                <w:color w:val="000000" w:themeColor="text1"/>
                <w:sz w:val="18"/>
                <w:szCs w:val="18"/>
                <w:lang w:eastAsia="sl-SI"/>
              </w:rPr>
              <w:t>13.437.629</w:t>
            </w:r>
          </w:p>
        </w:tc>
        <w:tc>
          <w:tcPr>
            <w:tcW w:w="1234" w:type="pct"/>
            <w:shd w:val="clear" w:color="auto" w:fill="auto"/>
            <w:noWrap/>
            <w:vAlign w:val="center"/>
            <w:hideMark/>
          </w:tcPr>
          <w:p w14:paraId="0B7DF6DF" w14:textId="6F5A1C11" w:rsidR="007F5593" w:rsidRPr="007F5593" w:rsidRDefault="007F5593" w:rsidP="007F5593">
            <w:pPr>
              <w:spacing w:after="0" w:line="240" w:lineRule="auto"/>
              <w:jc w:val="right"/>
              <w:rPr>
                <w:rFonts w:ascii="Arial" w:eastAsia="Times New Roman" w:hAnsi="Arial" w:cs="Arial"/>
                <w:color w:val="000000" w:themeColor="text1"/>
                <w:sz w:val="18"/>
                <w:szCs w:val="18"/>
                <w:lang w:eastAsia="sl-SI"/>
              </w:rPr>
            </w:pPr>
            <w:r w:rsidRPr="007F5593">
              <w:rPr>
                <w:rFonts w:ascii="Arial" w:eastAsia="Times New Roman" w:hAnsi="Arial" w:cs="Arial"/>
                <w:color w:val="000000" w:themeColor="text1"/>
                <w:sz w:val="18"/>
                <w:szCs w:val="18"/>
                <w:lang w:eastAsia="sl-SI"/>
              </w:rPr>
              <w:t>42,36 %</w:t>
            </w:r>
          </w:p>
        </w:tc>
        <w:tc>
          <w:tcPr>
            <w:tcW w:w="1166" w:type="pct"/>
            <w:shd w:val="clear" w:color="auto" w:fill="auto"/>
            <w:noWrap/>
            <w:vAlign w:val="center"/>
            <w:hideMark/>
          </w:tcPr>
          <w:p w14:paraId="7A746D0D" w14:textId="65724DDF" w:rsidR="007F5593" w:rsidRPr="007F5593" w:rsidRDefault="007F5593" w:rsidP="007F5593">
            <w:pPr>
              <w:spacing w:after="0" w:line="240" w:lineRule="auto"/>
              <w:jc w:val="right"/>
              <w:rPr>
                <w:rFonts w:ascii="Arial" w:eastAsia="Times New Roman" w:hAnsi="Arial" w:cs="Arial"/>
                <w:color w:val="000000" w:themeColor="text1"/>
                <w:sz w:val="18"/>
                <w:szCs w:val="18"/>
                <w:lang w:eastAsia="sl-SI"/>
              </w:rPr>
            </w:pPr>
            <w:r w:rsidRPr="007F5593">
              <w:rPr>
                <w:rFonts w:ascii="Arial" w:eastAsia="Times New Roman" w:hAnsi="Arial" w:cs="Arial"/>
                <w:color w:val="000000" w:themeColor="text1"/>
                <w:sz w:val="18"/>
                <w:szCs w:val="18"/>
                <w:lang w:eastAsia="sl-SI"/>
              </w:rPr>
              <w:t>12,49 %</w:t>
            </w:r>
          </w:p>
        </w:tc>
      </w:tr>
    </w:tbl>
    <w:p w14:paraId="009EA269" w14:textId="60C94413" w:rsidR="001472BF" w:rsidRPr="007F5593" w:rsidRDefault="001472BF" w:rsidP="001472BF">
      <w:pPr>
        <w:spacing w:after="0" w:line="240" w:lineRule="auto"/>
        <w:jc w:val="both"/>
        <w:rPr>
          <w:rFonts w:ascii="Arial" w:hAnsi="Arial" w:cs="Arial"/>
          <w:sz w:val="20"/>
        </w:rPr>
      </w:pPr>
    </w:p>
    <w:p w14:paraId="3852EB52" w14:textId="3588AB41" w:rsidR="004E69E6" w:rsidRPr="00BC373F" w:rsidRDefault="003F5C42" w:rsidP="004E69E6">
      <w:pPr>
        <w:spacing w:after="0" w:line="240" w:lineRule="auto"/>
        <w:jc w:val="center"/>
        <w:rPr>
          <w:rFonts w:ascii="Arial" w:hAnsi="Arial" w:cs="Arial"/>
          <w:sz w:val="18"/>
        </w:rPr>
      </w:pPr>
      <w:r w:rsidRPr="00BC373F">
        <w:rPr>
          <w:rFonts w:ascii="Arial" w:hAnsi="Arial" w:cs="Arial"/>
          <w:sz w:val="18"/>
        </w:rPr>
        <w:t>Vir: Statistični podatki o javni</w:t>
      </w:r>
      <w:r w:rsidR="00F30D93" w:rsidRPr="00BC373F">
        <w:rPr>
          <w:rFonts w:ascii="Arial" w:hAnsi="Arial" w:cs="Arial"/>
          <w:sz w:val="18"/>
        </w:rPr>
        <w:t>h naročilih, oddanih v letu 20</w:t>
      </w:r>
      <w:r w:rsidR="001472BF" w:rsidRPr="00BC373F">
        <w:rPr>
          <w:rFonts w:ascii="Arial" w:hAnsi="Arial" w:cs="Arial"/>
          <w:sz w:val="18"/>
        </w:rPr>
        <w:t>2</w:t>
      </w:r>
      <w:r w:rsidR="007F5593" w:rsidRPr="00BC373F">
        <w:rPr>
          <w:rFonts w:ascii="Arial" w:hAnsi="Arial" w:cs="Arial"/>
          <w:sz w:val="18"/>
        </w:rPr>
        <w:t>2</w:t>
      </w:r>
      <w:r w:rsidR="00427811" w:rsidRPr="00BC373F">
        <w:rPr>
          <w:rFonts w:ascii="Arial" w:hAnsi="Arial" w:cs="Arial"/>
          <w:sz w:val="18"/>
        </w:rPr>
        <w:t>.</w:t>
      </w:r>
    </w:p>
    <w:p w14:paraId="4D0469B1" w14:textId="77777777" w:rsidR="004E69E6" w:rsidRPr="00BC373F" w:rsidRDefault="004E69E6" w:rsidP="004E69E6">
      <w:pPr>
        <w:spacing w:after="0" w:line="240" w:lineRule="auto"/>
        <w:jc w:val="center"/>
        <w:rPr>
          <w:rFonts w:ascii="Arial" w:hAnsi="Arial" w:cs="Arial"/>
          <w:sz w:val="18"/>
        </w:rPr>
      </w:pPr>
    </w:p>
    <w:p w14:paraId="6ED887A6" w14:textId="0ACC785D" w:rsidR="003F5C42" w:rsidRPr="00BC373F" w:rsidRDefault="00422CFD" w:rsidP="00E913F2">
      <w:pPr>
        <w:spacing w:line="360" w:lineRule="auto"/>
        <w:jc w:val="both"/>
        <w:rPr>
          <w:rFonts w:ascii="Arial" w:eastAsia="Times New Roman" w:hAnsi="Arial" w:cs="Arial"/>
          <w:color w:val="000000"/>
          <w:sz w:val="20"/>
          <w:szCs w:val="20"/>
          <w:lang w:eastAsia="sl-SI"/>
        </w:rPr>
      </w:pPr>
      <w:r w:rsidRPr="00BC373F">
        <w:rPr>
          <w:rFonts w:ascii="Arial" w:hAnsi="Arial" w:cs="Arial"/>
          <w:sz w:val="20"/>
          <w:szCs w:val="20"/>
          <w:lang w:eastAsia="sl-SI"/>
        </w:rPr>
        <w:t>Med</w:t>
      </w:r>
      <w:r w:rsidR="003F5C42" w:rsidRPr="00BC373F">
        <w:rPr>
          <w:rFonts w:ascii="Arial" w:hAnsi="Arial" w:cs="Arial"/>
          <w:sz w:val="20"/>
          <w:szCs w:val="20"/>
          <w:lang w:eastAsia="sl-SI"/>
        </w:rPr>
        <w:t xml:space="preserve"> naročil</w:t>
      </w:r>
      <w:r w:rsidRPr="00BC373F">
        <w:rPr>
          <w:rFonts w:ascii="Arial" w:hAnsi="Arial" w:cs="Arial"/>
          <w:sz w:val="20"/>
          <w:szCs w:val="20"/>
          <w:lang w:eastAsia="sl-SI"/>
        </w:rPr>
        <w:t>i</w:t>
      </w:r>
      <w:r w:rsidR="003F5C42" w:rsidRPr="00BC373F">
        <w:rPr>
          <w:rFonts w:ascii="Arial" w:hAnsi="Arial" w:cs="Arial"/>
          <w:sz w:val="20"/>
          <w:szCs w:val="20"/>
          <w:lang w:eastAsia="sl-SI"/>
        </w:rPr>
        <w:t>, (so)financirani</w:t>
      </w:r>
      <w:r w:rsidRPr="00BC373F">
        <w:rPr>
          <w:rFonts w:ascii="Arial" w:hAnsi="Arial" w:cs="Arial"/>
          <w:sz w:val="20"/>
          <w:szCs w:val="20"/>
          <w:lang w:eastAsia="sl-SI"/>
        </w:rPr>
        <w:t>mi</w:t>
      </w:r>
      <w:r w:rsidR="003F5C42" w:rsidRPr="00BC373F">
        <w:rPr>
          <w:rFonts w:ascii="Arial" w:hAnsi="Arial" w:cs="Arial"/>
          <w:sz w:val="20"/>
          <w:szCs w:val="20"/>
          <w:lang w:eastAsia="sl-SI"/>
        </w:rPr>
        <w:t xml:space="preserve"> s sredstvi Evropske unije, so naročniki vrednostno oddali največ </w:t>
      </w:r>
      <w:r w:rsidR="0046317B" w:rsidRPr="00BC373F">
        <w:rPr>
          <w:rFonts w:ascii="Arial" w:hAnsi="Arial" w:cs="Arial"/>
          <w:sz w:val="20"/>
          <w:szCs w:val="20"/>
          <w:lang w:eastAsia="sl-SI"/>
        </w:rPr>
        <w:t xml:space="preserve">javnih </w:t>
      </w:r>
      <w:r w:rsidR="003F5C42" w:rsidRPr="00BC373F">
        <w:rPr>
          <w:rFonts w:ascii="Arial" w:hAnsi="Arial" w:cs="Arial"/>
          <w:sz w:val="20"/>
          <w:szCs w:val="20"/>
          <w:lang w:eastAsia="sl-SI"/>
        </w:rPr>
        <w:t>naročil gradenj</w:t>
      </w:r>
      <w:r w:rsidR="00E913F2" w:rsidRPr="00BC373F">
        <w:rPr>
          <w:rFonts w:ascii="Arial" w:hAnsi="Arial" w:cs="Arial"/>
          <w:sz w:val="20"/>
          <w:szCs w:val="20"/>
          <w:lang w:eastAsia="sl-SI"/>
        </w:rPr>
        <w:t xml:space="preserve">, in sicer </w:t>
      </w:r>
      <w:r w:rsidR="00BC373F" w:rsidRPr="00BC373F">
        <w:rPr>
          <w:rFonts w:ascii="Arial" w:hAnsi="Arial" w:cs="Arial"/>
          <w:sz w:val="20"/>
          <w:szCs w:val="20"/>
          <w:lang w:eastAsia="sl-SI"/>
        </w:rPr>
        <w:t>242</w:t>
      </w:r>
      <w:r w:rsidR="003F5C42" w:rsidRPr="00BC373F">
        <w:rPr>
          <w:rFonts w:ascii="Arial" w:hAnsi="Arial" w:cs="Arial"/>
          <w:sz w:val="20"/>
          <w:szCs w:val="20"/>
          <w:lang w:eastAsia="sl-SI"/>
        </w:rPr>
        <w:t xml:space="preserve"> v vrednosti </w:t>
      </w:r>
      <w:r w:rsidR="00BC373F" w:rsidRPr="00BC373F">
        <w:rPr>
          <w:rFonts w:ascii="Arial" w:hAnsi="Arial" w:cs="Arial"/>
          <w:sz w:val="20"/>
          <w:szCs w:val="20"/>
          <w:lang w:eastAsia="sl-SI"/>
        </w:rPr>
        <w:t xml:space="preserve">563.152.001 </w:t>
      </w:r>
      <w:r w:rsidR="003F5C42" w:rsidRPr="00BC373F">
        <w:rPr>
          <w:rFonts w:ascii="Arial" w:hAnsi="Arial" w:cs="Arial"/>
          <w:sz w:val="20"/>
          <w:szCs w:val="20"/>
          <w:lang w:eastAsia="sl-SI"/>
        </w:rPr>
        <w:t>e</w:t>
      </w:r>
      <w:r w:rsidR="00E913F2" w:rsidRPr="00BC373F">
        <w:rPr>
          <w:rFonts w:ascii="Arial" w:hAnsi="Arial" w:cs="Arial"/>
          <w:sz w:val="20"/>
          <w:szCs w:val="20"/>
          <w:lang w:eastAsia="sl-SI"/>
        </w:rPr>
        <w:t>vrov</w:t>
      </w:r>
      <w:r w:rsidR="00450D38" w:rsidRPr="00BC373F">
        <w:rPr>
          <w:rFonts w:ascii="Arial" w:hAnsi="Arial" w:cs="Arial"/>
          <w:sz w:val="20"/>
          <w:szCs w:val="20"/>
          <w:lang w:eastAsia="sl-SI"/>
        </w:rPr>
        <w:t>,</w:t>
      </w:r>
      <w:r w:rsidRPr="00BC373F">
        <w:rPr>
          <w:rFonts w:ascii="Arial" w:hAnsi="Arial" w:cs="Arial"/>
          <w:sz w:val="20"/>
          <w:szCs w:val="20"/>
          <w:lang w:eastAsia="sl-SI"/>
        </w:rPr>
        <w:t xml:space="preserve"> in </w:t>
      </w:r>
      <w:r w:rsidR="00BC373F" w:rsidRPr="00BC373F">
        <w:rPr>
          <w:rFonts w:ascii="Arial" w:hAnsi="Arial" w:cs="Arial"/>
          <w:sz w:val="20"/>
          <w:szCs w:val="20"/>
          <w:lang w:eastAsia="sl-SI"/>
        </w:rPr>
        <w:t>402</w:t>
      </w:r>
      <w:r w:rsidR="003F5C42" w:rsidRPr="00BC373F">
        <w:rPr>
          <w:rFonts w:ascii="Arial" w:hAnsi="Arial" w:cs="Arial"/>
          <w:sz w:val="20"/>
          <w:szCs w:val="20"/>
          <w:lang w:eastAsia="sl-SI"/>
        </w:rPr>
        <w:t xml:space="preserve"> </w:t>
      </w:r>
      <w:r w:rsidR="0046317B" w:rsidRPr="00BC373F">
        <w:rPr>
          <w:rFonts w:ascii="Arial" w:hAnsi="Arial" w:cs="Arial"/>
          <w:sz w:val="20"/>
          <w:szCs w:val="20"/>
          <w:lang w:eastAsia="sl-SI"/>
        </w:rPr>
        <w:t xml:space="preserve">javnih </w:t>
      </w:r>
      <w:r w:rsidR="003F5C42" w:rsidRPr="00BC373F">
        <w:rPr>
          <w:rFonts w:ascii="Arial" w:hAnsi="Arial" w:cs="Arial"/>
          <w:sz w:val="20"/>
          <w:szCs w:val="20"/>
          <w:lang w:eastAsia="sl-SI"/>
        </w:rPr>
        <w:t xml:space="preserve">naročil </w:t>
      </w:r>
      <w:r w:rsidR="00C00CF1" w:rsidRPr="00BC373F">
        <w:rPr>
          <w:rFonts w:ascii="Arial" w:hAnsi="Arial" w:cs="Arial"/>
          <w:sz w:val="20"/>
          <w:szCs w:val="20"/>
          <w:lang w:eastAsia="sl-SI"/>
        </w:rPr>
        <w:t>blaga</w:t>
      </w:r>
      <w:r w:rsidR="003F5C42" w:rsidRPr="00BC373F">
        <w:rPr>
          <w:rFonts w:ascii="Arial" w:hAnsi="Arial" w:cs="Arial"/>
          <w:sz w:val="20"/>
          <w:szCs w:val="20"/>
          <w:lang w:eastAsia="sl-SI"/>
        </w:rPr>
        <w:t xml:space="preserve"> v vrednosti </w:t>
      </w:r>
      <w:r w:rsidR="00BC373F" w:rsidRPr="00BC373F">
        <w:rPr>
          <w:rFonts w:ascii="Arial" w:hAnsi="Arial" w:cs="Arial"/>
          <w:sz w:val="20"/>
          <w:szCs w:val="20"/>
          <w:lang w:eastAsia="sl-SI"/>
        </w:rPr>
        <w:t xml:space="preserve">78.054.645 </w:t>
      </w:r>
      <w:r w:rsidR="003F5C42" w:rsidRPr="00BC373F">
        <w:rPr>
          <w:rFonts w:ascii="Arial" w:hAnsi="Arial" w:cs="Arial"/>
          <w:sz w:val="20"/>
          <w:szCs w:val="20"/>
          <w:lang w:eastAsia="sl-SI"/>
        </w:rPr>
        <w:t xml:space="preserve">evrov. Vrednostno najmanj je bilo </w:t>
      </w:r>
      <w:r w:rsidR="0046317B" w:rsidRPr="00BC373F">
        <w:rPr>
          <w:rFonts w:ascii="Arial" w:hAnsi="Arial" w:cs="Arial"/>
          <w:sz w:val="20"/>
          <w:szCs w:val="20"/>
          <w:lang w:eastAsia="sl-SI"/>
        </w:rPr>
        <w:t xml:space="preserve">javnih </w:t>
      </w:r>
      <w:r w:rsidR="003F5C42" w:rsidRPr="00BC373F">
        <w:rPr>
          <w:rFonts w:ascii="Arial" w:hAnsi="Arial" w:cs="Arial"/>
          <w:sz w:val="20"/>
          <w:szCs w:val="20"/>
          <w:lang w:eastAsia="sl-SI"/>
        </w:rPr>
        <w:t xml:space="preserve">naročil </w:t>
      </w:r>
      <w:r w:rsidR="00C00CF1" w:rsidRPr="00BC373F">
        <w:rPr>
          <w:rFonts w:ascii="Arial" w:hAnsi="Arial" w:cs="Arial"/>
          <w:sz w:val="20"/>
          <w:szCs w:val="20"/>
          <w:lang w:eastAsia="sl-SI"/>
        </w:rPr>
        <w:t>storitev</w:t>
      </w:r>
      <w:r w:rsidR="00E913F2" w:rsidRPr="00BC373F">
        <w:rPr>
          <w:rFonts w:ascii="Arial" w:hAnsi="Arial" w:cs="Arial"/>
          <w:sz w:val="20"/>
          <w:szCs w:val="20"/>
          <w:lang w:eastAsia="sl-SI"/>
        </w:rPr>
        <w:t xml:space="preserve">, saj so naročniki oddali </w:t>
      </w:r>
      <w:r w:rsidR="00BC373F" w:rsidRPr="00BC373F">
        <w:rPr>
          <w:rFonts w:ascii="Arial" w:hAnsi="Arial" w:cs="Arial"/>
          <w:sz w:val="20"/>
          <w:szCs w:val="20"/>
          <w:lang w:eastAsia="sl-SI"/>
        </w:rPr>
        <w:t>260</w:t>
      </w:r>
      <w:r w:rsidR="003F5C42" w:rsidRPr="00BC373F">
        <w:rPr>
          <w:rFonts w:ascii="Arial" w:hAnsi="Arial" w:cs="Arial"/>
          <w:sz w:val="20"/>
          <w:szCs w:val="20"/>
          <w:lang w:eastAsia="sl-SI"/>
        </w:rPr>
        <w:t xml:space="preserve"> naročil s pogodbeno vrednostjo </w:t>
      </w:r>
      <w:r w:rsidR="00BC373F" w:rsidRPr="00BC373F">
        <w:rPr>
          <w:rFonts w:ascii="Arial" w:hAnsi="Arial" w:cs="Arial"/>
          <w:sz w:val="20"/>
          <w:szCs w:val="20"/>
          <w:lang w:eastAsia="sl-SI"/>
        </w:rPr>
        <w:t xml:space="preserve">70.504.369 </w:t>
      </w:r>
      <w:r w:rsidR="003F5C42" w:rsidRPr="00BC373F">
        <w:rPr>
          <w:rFonts w:ascii="Arial" w:hAnsi="Arial" w:cs="Arial"/>
          <w:sz w:val="20"/>
          <w:szCs w:val="20"/>
          <w:lang w:eastAsia="sl-SI"/>
        </w:rPr>
        <w:t>evrov.</w:t>
      </w:r>
    </w:p>
    <w:p w14:paraId="03D8E451" w14:textId="4DD39C6F" w:rsidR="003F5C42" w:rsidRPr="00BC373F" w:rsidRDefault="003F5C42" w:rsidP="008A61FD">
      <w:pPr>
        <w:spacing w:before="120" w:after="120" w:line="240" w:lineRule="auto"/>
        <w:jc w:val="both"/>
        <w:rPr>
          <w:rFonts w:ascii="Arial" w:hAnsi="Arial" w:cs="Arial"/>
          <w:sz w:val="20"/>
        </w:rPr>
      </w:pPr>
      <w:r w:rsidRPr="00BC373F">
        <w:rPr>
          <w:rFonts w:ascii="Arial" w:hAnsi="Arial" w:cs="Arial"/>
          <w:sz w:val="20"/>
        </w:rPr>
        <w:t xml:space="preserve">Preglednica </w:t>
      </w:r>
      <w:r w:rsidR="00512F52" w:rsidRPr="00BC373F">
        <w:rPr>
          <w:rFonts w:ascii="Arial" w:hAnsi="Arial" w:cs="Arial"/>
          <w:sz w:val="20"/>
        </w:rPr>
        <w:t>4</w:t>
      </w:r>
      <w:r w:rsidR="00EA747F">
        <w:rPr>
          <w:rFonts w:ascii="Arial" w:hAnsi="Arial" w:cs="Arial"/>
          <w:sz w:val="20"/>
        </w:rPr>
        <w:t>4</w:t>
      </w:r>
      <w:r w:rsidRPr="00BC373F">
        <w:rPr>
          <w:rFonts w:ascii="Arial" w:hAnsi="Arial" w:cs="Arial"/>
          <w:sz w:val="20"/>
        </w:rPr>
        <w:t>: Javna naročila, (so</w:t>
      </w:r>
      <w:r w:rsidR="0046317B" w:rsidRPr="00BC373F">
        <w:rPr>
          <w:rFonts w:ascii="Arial" w:hAnsi="Arial" w:cs="Arial"/>
          <w:sz w:val="20"/>
        </w:rPr>
        <w:t>)</w:t>
      </w:r>
      <w:r w:rsidRPr="00BC373F">
        <w:rPr>
          <w:rFonts w:ascii="Arial" w:hAnsi="Arial" w:cs="Arial"/>
          <w:sz w:val="20"/>
        </w:rPr>
        <w:t>financirana s sredstvi Evropske unije, po predmetu naročanja</w:t>
      </w:r>
    </w:p>
    <w:tbl>
      <w:tblPr>
        <w:tblW w:w="5260" w:type="dxa"/>
        <w:jc w:val="center"/>
        <w:tblCellMar>
          <w:left w:w="70" w:type="dxa"/>
          <w:right w:w="70" w:type="dxa"/>
        </w:tblCellMar>
        <w:tblLook w:val="04A0" w:firstRow="1" w:lastRow="0" w:firstColumn="1" w:lastColumn="0" w:noHBand="0" w:noVBand="1"/>
      </w:tblPr>
      <w:tblGrid>
        <w:gridCol w:w="960"/>
        <w:gridCol w:w="960"/>
        <w:gridCol w:w="1400"/>
        <w:gridCol w:w="980"/>
        <w:gridCol w:w="960"/>
      </w:tblGrid>
      <w:tr w:rsidR="00C00CF1" w:rsidRPr="00BC373F" w14:paraId="79330572" w14:textId="77777777" w:rsidTr="00CD447F">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DA357C" w14:textId="77777777" w:rsidR="00C00CF1" w:rsidRPr="00BC373F" w:rsidRDefault="00C00CF1" w:rsidP="00C00CF1">
            <w:pPr>
              <w:spacing w:after="0" w:line="240" w:lineRule="auto"/>
              <w:jc w:val="center"/>
              <w:rPr>
                <w:rFonts w:ascii="Arial" w:eastAsia="Times New Roman" w:hAnsi="Arial" w:cs="Arial"/>
                <w:color w:val="000000"/>
                <w:sz w:val="18"/>
                <w:szCs w:val="18"/>
                <w:lang w:eastAsia="sl-SI"/>
              </w:rPr>
            </w:pPr>
            <w:r w:rsidRPr="00BC373F">
              <w:rPr>
                <w:rFonts w:ascii="Arial" w:eastAsia="Times New Roman" w:hAnsi="Arial" w:cs="Arial"/>
                <w:color w:val="000000"/>
                <w:sz w:val="18"/>
                <w:szCs w:val="18"/>
                <w:lang w:eastAsia="sl-SI"/>
              </w:rPr>
              <w:t>Predmet</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4428E77" w14:textId="77777777" w:rsidR="00C00CF1" w:rsidRPr="00BC373F" w:rsidRDefault="00C00CF1" w:rsidP="00C00CF1">
            <w:pPr>
              <w:spacing w:after="0" w:line="240" w:lineRule="auto"/>
              <w:jc w:val="center"/>
              <w:rPr>
                <w:rFonts w:ascii="Arial" w:eastAsia="Times New Roman" w:hAnsi="Arial" w:cs="Arial"/>
                <w:color w:val="000000"/>
                <w:sz w:val="18"/>
                <w:szCs w:val="18"/>
                <w:lang w:eastAsia="sl-SI"/>
              </w:rPr>
            </w:pPr>
            <w:r w:rsidRPr="00BC373F">
              <w:rPr>
                <w:rFonts w:ascii="Arial" w:eastAsia="Times New Roman" w:hAnsi="Arial" w:cs="Arial"/>
                <w:color w:val="000000"/>
                <w:sz w:val="18"/>
                <w:szCs w:val="18"/>
                <w:lang w:eastAsia="sl-SI"/>
              </w:rPr>
              <w:t>Št. naročil</w:t>
            </w:r>
          </w:p>
        </w:tc>
        <w:tc>
          <w:tcPr>
            <w:tcW w:w="140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86062D0" w14:textId="77777777" w:rsidR="00C00CF1" w:rsidRPr="00BC373F" w:rsidRDefault="00C00CF1" w:rsidP="00C00CF1">
            <w:pPr>
              <w:spacing w:after="0" w:line="240" w:lineRule="auto"/>
              <w:jc w:val="center"/>
              <w:rPr>
                <w:rFonts w:ascii="Arial" w:eastAsia="Times New Roman" w:hAnsi="Arial" w:cs="Arial"/>
                <w:color w:val="000000"/>
                <w:sz w:val="18"/>
                <w:szCs w:val="18"/>
                <w:lang w:eastAsia="sl-SI"/>
              </w:rPr>
            </w:pPr>
            <w:r w:rsidRPr="00BC373F">
              <w:rPr>
                <w:rFonts w:ascii="Arial" w:eastAsia="Times New Roman" w:hAnsi="Arial" w:cs="Arial"/>
                <w:color w:val="000000"/>
                <w:sz w:val="18"/>
                <w:szCs w:val="18"/>
                <w:lang w:eastAsia="sl-SI"/>
              </w:rPr>
              <w:t>Pogodbena vrednost</w:t>
            </w:r>
          </w:p>
        </w:tc>
        <w:tc>
          <w:tcPr>
            <w:tcW w:w="98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4BBC1DE" w14:textId="77777777" w:rsidR="00C00CF1" w:rsidRPr="00BC373F" w:rsidRDefault="00C00CF1" w:rsidP="00C00CF1">
            <w:pPr>
              <w:spacing w:after="0" w:line="240" w:lineRule="auto"/>
              <w:jc w:val="center"/>
              <w:rPr>
                <w:rFonts w:ascii="Arial" w:eastAsia="Times New Roman" w:hAnsi="Arial" w:cs="Arial"/>
                <w:color w:val="000000"/>
                <w:sz w:val="18"/>
                <w:szCs w:val="18"/>
                <w:lang w:eastAsia="sl-SI"/>
              </w:rPr>
            </w:pPr>
            <w:r w:rsidRPr="00BC373F">
              <w:rPr>
                <w:rFonts w:ascii="Arial" w:eastAsia="Times New Roman" w:hAnsi="Arial" w:cs="Arial"/>
                <w:color w:val="000000"/>
                <w:sz w:val="18"/>
                <w:szCs w:val="18"/>
                <w:lang w:eastAsia="sl-SI"/>
              </w:rPr>
              <w:t>Delež v št. naročil</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209489A" w14:textId="77777777" w:rsidR="00C00CF1" w:rsidRPr="00BC373F" w:rsidRDefault="00C00CF1" w:rsidP="00C00CF1">
            <w:pPr>
              <w:spacing w:after="0" w:line="240" w:lineRule="auto"/>
              <w:jc w:val="center"/>
              <w:rPr>
                <w:rFonts w:ascii="Arial" w:eastAsia="Times New Roman" w:hAnsi="Arial" w:cs="Arial"/>
                <w:color w:val="000000"/>
                <w:sz w:val="18"/>
                <w:szCs w:val="18"/>
                <w:lang w:eastAsia="sl-SI"/>
              </w:rPr>
            </w:pPr>
            <w:r w:rsidRPr="00BC373F">
              <w:rPr>
                <w:rFonts w:ascii="Arial" w:eastAsia="Times New Roman" w:hAnsi="Arial" w:cs="Arial"/>
                <w:color w:val="000000"/>
                <w:sz w:val="18"/>
                <w:szCs w:val="18"/>
                <w:lang w:eastAsia="sl-SI"/>
              </w:rPr>
              <w:t>Delež v vrednosti</w:t>
            </w:r>
          </w:p>
        </w:tc>
      </w:tr>
      <w:tr w:rsidR="00BC373F" w:rsidRPr="00BC373F" w14:paraId="0DD1AB23" w14:textId="77777777" w:rsidTr="00BC373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64EDE3" w14:textId="77777777" w:rsidR="00BC373F" w:rsidRPr="00BC373F" w:rsidRDefault="00BC373F" w:rsidP="00BC373F">
            <w:pPr>
              <w:spacing w:after="0" w:line="240" w:lineRule="auto"/>
              <w:jc w:val="both"/>
              <w:rPr>
                <w:rFonts w:ascii="Arial" w:eastAsia="Times New Roman" w:hAnsi="Arial" w:cs="Arial"/>
                <w:color w:val="000000"/>
                <w:sz w:val="18"/>
                <w:szCs w:val="18"/>
                <w:lang w:eastAsia="sl-SI"/>
              </w:rPr>
            </w:pPr>
            <w:r w:rsidRPr="00BC373F">
              <w:rPr>
                <w:rFonts w:ascii="Arial" w:eastAsia="Times New Roman" w:hAnsi="Arial" w:cs="Arial"/>
                <w:color w:val="000000"/>
                <w:sz w:val="18"/>
                <w:szCs w:val="18"/>
                <w:lang w:eastAsia="sl-SI"/>
              </w:rPr>
              <w:t xml:space="preserve">Blago </w:t>
            </w:r>
          </w:p>
        </w:tc>
        <w:tc>
          <w:tcPr>
            <w:tcW w:w="960" w:type="dxa"/>
            <w:tcBorders>
              <w:top w:val="nil"/>
              <w:left w:val="nil"/>
              <w:bottom w:val="single" w:sz="4" w:space="0" w:color="auto"/>
              <w:right w:val="single" w:sz="4" w:space="0" w:color="auto"/>
            </w:tcBorders>
            <w:shd w:val="clear" w:color="auto" w:fill="auto"/>
            <w:vAlign w:val="center"/>
            <w:hideMark/>
          </w:tcPr>
          <w:p w14:paraId="7C06E086" w14:textId="5D474BC9" w:rsidR="00BC373F" w:rsidRPr="00BC373F" w:rsidRDefault="00BC373F" w:rsidP="00BC373F">
            <w:pPr>
              <w:spacing w:after="0" w:line="240" w:lineRule="auto"/>
              <w:jc w:val="right"/>
              <w:rPr>
                <w:rFonts w:ascii="Arial" w:eastAsia="Times New Roman" w:hAnsi="Arial" w:cs="Arial"/>
                <w:color w:val="000000" w:themeColor="text1"/>
                <w:sz w:val="18"/>
                <w:szCs w:val="18"/>
                <w:lang w:eastAsia="sl-SI"/>
              </w:rPr>
            </w:pPr>
            <w:r w:rsidRPr="00BC373F">
              <w:rPr>
                <w:rFonts w:ascii="Arial" w:eastAsia="Times New Roman" w:hAnsi="Arial" w:cs="Arial"/>
                <w:color w:val="000000" w:themeColor="text1"/>
                <w:sz w:val="18"/>
                <w:szCs w:val="18"/>
                <w:lang w:eastAsia="sl-SI"/>
              </w:rPr>
              <w:t>402</w:t>
            </w:r>
          </w:p>
        </w:tc>
        <w:tc>
          <w:tcPr>
            <w:tcW w:w="1400" w:type="dxa"/>
            <w:tcBorders>
              <w:top w:val="nil"/>
              <w:left w:val="nil"/>
              <w:bottom w:val="single" w:sz="4" w:space="0" w:color="auto"/>
              <w:right w:val="single" w:sz="4" w:space="0" w:color="auto"/>
            </w:tcBorders>
            <w:shd w:val="clear" w:color="auto" w:fill="auto"/>
            <w:vAlign w:val="center"/>
            <w:hideMark/>
          </w:tcPr>
          <w:p w14:paraId="2EE06453" w14:textId="31234B60" w:rsidR="00BC373F" w:rsidRPr="00BC373F" w:rsidRDefault="00BC373F" w:rsidP="00BC373F">
            <w:pPr>
              <w:spacing w:after="0" w:line="240" w:lineRule="auto"/>
              <w:jc w:val="right"/>
              <w:rPr>
                <w:rFonts w:ascii="Arial" w:eastAsia="Times New Roman" w:hAnsi="Arial" w:cs="Arial"/>
                <w:color w:val="000000" w:themeColor="text1"/>
                <w:sz w:val="18"/>
                <w:szCs w:val="18"/>
                <w:lang w:eastAsia="sl-SI"/>
              </w:rPr>
            </w:pPr>
            <w:r w:rsidRPr="00BC373F">
              <w:rPr>
                <w:rFonts w:ascii="Arial" w:eastAsia="Times New Roman" w:hAnsi="Arial" w:cs="Arial"/>
                <w:color w:val="000000" w:themeColor="text1"/>
                <w:sz w:val="18"/>
                <w:szCs w:val="18"/>
                <w:lang w:eastAsia="sl-SI"/>
              </w:rPr>
              <w:t>78.054.645</w:t>
            </w:r>
          </w:p>
        </w:tc>
        <w:tc>
          <w:tcPr>
            <w:tcW w:w="980" w:type="dxa"/>
            <w:tcBorders>
              <w:top w:val="nil"/>
              <w:left w:val="nil"/>
              <w:bottom w:val="single" w:sz="4" w:space="0" w:color="auto"/>
              <w:right w:val="single" w:sz="4" w:space="0" w:color="auto"/>
            </w:tcBorders>
            <w:shd w:val="clear" w:color="auto" w:fill="auto"/>
            <w:vAlign w:val="center"/>
            <w:hideMark/>
          </w:tcPr>
          <w:p w14:paraId="71759080" w14:textId="0A5464C7" w:rsidR="00BC373F" w:rsidRPr="00BC373F" w:rsidRDefault="00BC373F" w:rsidP="00BC373F">
            <w:pPr>
              <w:spacing w:after="0" w:line="240" w:lineRule="auto"/>
              <w:jc w:val="right"/>
              <w:rPr>
                <w:rFonts w:ascii="Arial" w:eastAsia="Times New Roman" w:hAnsi="Arial" w:cs="Arial"/>
                <w:color w:val="000000" w:themeColor="text1"/>
                <w:sz w:val="18"/>
                <w:szCs w:val="18"/>
                <w:lang w:eastAsia="sl-SI"/>
              </w:rPr>
            </w:pPr>
            <w:r w:rsidRPr="00BC373F">
              <w:rPr>
                <w:rFonts w:ascii="Arial" w:eastAsia="Times New Roman" w:hAnsi="Arial" w:cs="Arial"/>
                <w:color w:val="000000" w:themeColor="text1"/>
                <w:sz w:val="18"/>
                <w:szCs w:val="18"/>
                <w:lang w:eastAsia="sl-SI"/>
              </w:rPr>
              <w:t>44,47 %</w:t>
            </w:r>
          </w:p>
        </w:tc>
        <w:tc>
          <w:tcPr>
            <w:tcW w:w="960" w:type="dxa"/>
            <w:tcBorders>
              <w:top w:val="nil"/>
              <w:left w:val="nil"/>
              <w:bottom w:val="single" w:sz="4" w:space="0" w:color="auto"/>
              <w:right w:val="single" w:sz="4" w:space="0" w:color="auto"/>
            </w:tcBorders>
            <w:shd w:val="clear" w:color="auto" w:fill="auto"/>
            <w:vAlign w:val="center"/>
            <w:hideMark/>
          </w:tcPr>
          <w:p w14:paraId="46358239" w14:textId="0781F577" w:rsidR="00BC373F" w:rsidRPr="00BC373F" w:rsidRDefault="00BC373F" w:rsidP="00BC373F">
            <w:pPr>
              <w:spacing w:after="0" w:line="240" w:lineRule="auto"/>
              <w:jc w:val="right"/>
              <w:rPr>
                <w:rFonts w:ascii="Arial" w:eastAsia="Times New Roman" w:hAnsi="Arial" w:cs="Arial"/>
                <w:color w:val="000000" w:themeColor="text1"/>
                <w:sz w:val="18"/>
                <w:szCs w:val="18"/>
                <w:lang w:eastAsia="sl-SI"/>
              </w:rPr>
            </w:pPr>
            <w:r w:rsidRPr="00BC373F">
              <w:rPr>
                <w:rFonts w:ascii="Arial" w:eastAsia="Times New Roman" w:hAnsi="Arial" w:cs="Arial"/>
                <w:color w:val="000000" w:themeColor="text1"/>
                <w:sz w:val="18"/>
                <w:szCs w:val="18"/>
                <w:lang w:eastAsia="sl-SI"/>
              </w:rPr>
              <w:t>10,97 %</w:t>
            </w:r>
          </w:p>
        </w:tc>
      </w:tr>
      <w:tr w:rsidR="00BC373F" w:rsidRPr="00BC373F" w14:paraId="0A775DDF" w14:textId="77777777" w:rsidTr="00BC373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9F1CCE" w14:textId="77777777" w:rsidR="00BC373F" w:rsidRPr="00BC373F" w:rsidRDefault="00BC373F" w:rsidP="00BC373F">
            <w:pPr>
              <w:spacing w:after="0" w:line="240" w:lineRule="auto"/>
              <w:jc w:val="both"/>
              <w:rPr>
                <w:rFonts w:ascii="Arial" w:eastAsia="Times New Roman" w:hAnsi="Arial" w:cs="Arial"/>
                <w:color w:val="000000"/>
                <w:sz w:val="18"/>
                <w:szCs w:val="18"/>
                <w:lang w:eastAsia="sl-SI"/>
              </w:rPr>
            </w:pPr>
            <w:r w:rsidRPr="00BC373F">
              <w:rPr>
                <w:rFonts w:ascii="Arial" w:eastAsia="Times New Roman" w:hAnsi="Arial" w:cs="Arial"/>
                <w:color w:val="000000"/>
                <w:sz w:val="18"/>
                <w:szCs w:val="18"/>
                <w:lang w:eastAsia="sl-SI"/>
              </w:rPr>
              <w:t>Storitve</w:t>
            </w:r>
          </w:p>
        </w:tc>
        <w:tc>
          <w:tcPr>
            <w:tcW w:w="960" w:type="dxa"/>
            <w:tcBorders>
              <w:top w:val="nil"/>
              <w:left w:val="nil"/>
              <w:bottom w:val="single" w:sz="4" w:space="0" w:color="auto"/>
              <w:right w:val="single" w:sz="4" w:space="0" w:color="auto"/>
            </w:tcBorders>
            <w:shd w:val="clear" w:color="auto" w:fill="auto"/>
            <w:vAlign w:val="center"/>
            <w:hideMark/>
          </w:tcPr>
          <w:p w14:paraId="5620E26D" w14:textId="12543E55" w:rsidR="00BC373F" w:rsidRPr="00BC373F" w:rsidRDefault="00BC373F" w:rsidP="00BC373F">
            <w:pPr>
              <w:spacing w:after="0" w:line="240" w:lineRule="auto"/>
              <w:jc w:val="right"/>
              <w:rPr>
                <w:rFonts w:ascii="Arial" w:eastAsia="Times New Roman" w:hAnsi="Arial" w:cs="Arial"/>
                <w:color w:val="000000" w:themeColor="text1"/>
                <w:sz w:val="18"/>
                <w:szCs w:val="18"/>
                <w:lang w:eastAsia="sl-SI"/>
              </w:rPr>
            </w:pPr>
            <w:r w:rsidRPr="00BC373F">
              <w:rPr>
                <w:rFonts w:ascii="Arial" w:eastAsia="Times New Roman" w:hAnsi="Arial" w:cs="Arial"/>
                <w:color w:val="000000" w:themeColor="text1"/>
                <w:sz w:val="18"/>
                <w:szCs w:val="18"/>
                <w:lang w:eastAsia="sl-SI"/>
              </w:rPr>
              <w:t>260</w:t>
            </w:r>
          </w:p>
        </w:tc>
        <w:tc>
          <w:tcPr>
            <w:tcW w:w="1400" w:type="dxa"/>
            <w:tcBorders>
              <w:top w:val="nil"/>
              <w:left w:val="nil"/>
              <w:bottom w:val="single" w:sz="4" w:space="0" w:color="auto"/>
              <w:right w:val="single" w:sz="4" w:space="0" w:color="auto"/>
            </w:tcBorders>
            <w:shd w:val="clear" w:color="auto" w:fill="auto"/>
            <w:vAlign w:val="center"/>
            <w:hideMark/>
          </w:tcPr>
          <w:p w14:paraId="469B5666" w14:textId="12784C02" w:rsidR="00BC373F" w:rsidRPr="00BC373F" w:rsidRDefault="00BC373F" w:rsidP="00BC373F">
            <w:pPr>
              <w:spacing w:after="0" w:line="240" w:lineRule="auto"/>
              <w:jc w:val="right"/>
              <w:rPr>
                <w:rFonts w:ascii="Arial" w:eastAsia="Times New Roman" w:hAnsi="Arial" w:cs="Arial"/>
                <w:color w:val="000000" w:themeColor="text1"/>
                <w:sz w:val="18"/>
                <w:szCs w:val="18"/>
                <w:lang w:eastAsia="sl-SI"/>
              </w:rPr>
            </w:pPr>
            <w:r w:rsidRPr="00BC373F">
              <w:rPr>
                <w:rFonts w:ascii="Arial" w:eastAsia="Times New Roman" w:hAnsi="Arial" w:cs="Arial"/>
                <w:color w:val="000000" w:themeColor="text1"/>
                <w:sz w:val="18"/>
                <w:szCs w:val="18"/>
                <w:lang w:eastAsia="sl-SI"/>
              </w:rPr>
              <w:t>70.504.369</w:t>
            </w:r>
          </w:p>
        </w:tc>
        <w:tc>
          <w:tcPr>
            <w:tcW w:w="980" w:type="dxa"/>
            <w:tcBorders>
              <w:top w:val="nil"/>
              <w:left w:val="nil"/>
              <w:bottom w:val="single" w:sz="4" w:space="0" w:color="auto"/>
              <w:right w:val="single" w:sz="4" w:space="0" w:color="auto"/>
            </w:tcBorders>
            <w:shd w:val="clear" w:color="auto" w:fill="auto"/>
            <w:vAlign w:val="center"/>
            <w:hideMark/>
          </w:tcPr>
          <w:p w14:paraId="504E68FC" w14:textId="62AADA24" w:rsidR="00BC373F" w:rsidRPr="00BC373F" w:rsidRDefault="00BC373F" w:rsidP="00BC373F">
            <w:pPr>
              <w:spacing w:after="0" w:line="240" w:lineRule="auto"/>
              <w:jc w:val="right"/>
              <w:rPr>
                <w:rFonts w:ascii="Arial" w:eastAsia="Times New Roman" w:hAnsi="Arial" w:cs="Arial"/>
                <w:color w:val="000000" w:themeColor="text1"/>
                <w:sz w:val="18"/>
                <w:szCs w:val="18"/>
                <w:lang w:eastAsia="sl-SI"/>
              </w:rPr>
            </w:pPr>
            <w:r w:rsidRPr="00BC373F">
              <w:rPr>
                <w:rFonts w:ascii="Arial" w:eastAsia="Times New Roman" w:hAnsi="Arial" w:cs="Arial"/>
                <w:color w:val="000000" w:themeColor="text1"/>
                <w:sz w:val="18"/>
                <w:szCs w:val="18"/>
                <w:lang w:eastAsia="sl-SI"/>
              </w:rPr>
              <w:t>28,76 %</w:t>
            </w:r>
          </w:p>
        </w:tc>
        <w:tc>
          <w:tcPr>
            <w:tcW w:w="960" w:type="dxa"/>
            <w:tcBorders>
              <w:top w:val="nil"/>
              <w:left w:val="nil"/>
              <w:bottom w:val="single" w:sz="4" w:space="0" w:color="auto"/>
              <w:right w:val="single" w:sz="4" w:space="0" w:color="auto"/>
            </w:tcBorders>
            <w:shd w:val="clear" w:color="auto" w:fill="auto"/>
            <w:vAlign w:val="center"/>
            <w:hideMark/>
          </w:tcPr>
          <w:p w14:paraId="6B1E74E5" w14:textId="1FB29074" w:rsidR="00BC373F" w:rsidRPr="00BC373F" w:rsidRDefault="00BC373F" w:rsidP="00BC373F">
            <w:pPr>
              <w:spacing w:after="0" w:line="240" w:lineRule="auto"/>
              <w:jc w:val="right"/>
              <w:rPr>
                <w:rFonts w:ascii="Arial" w:eastAsia="Times New Roman" w:hAnsi="Arial" w:cs="Arial"/>
                <w:color w:val="000000" w:themeColor="text1"/>
                <w:sz w:val="18"/>
                <w:szCs w:val="18"/>
                <w:lang w:eastAsia="sl-SI"/>
              </w:rPr>
            </w:pPr>
            <w:r w:rsidRPr="00BC373F">
              <w:rPr>
                <w:rFonts w:ascii="Arial" w:eastAsia="Times New Roman" w:hAnsi="Arial" w:cs="Arial"/>
                <w:color w:val="000000" w:themeColor="text1"/>
                <w:sz w:val="18"/>
                <w:szCs w:val="18"/>
                <w:lang w:eastAsia="sl-SI"/>
              </w:rPr>
              <w:t>9,91 %</w:t>
            </w:r>
          </w:p>
        </w:tc>
      </w:tr>
      <w:tr w:rsidR="00BC373F" w:rsidRPr="00BC373F" w14:paraId="0B4B2198" w14:textId="77777777" w:rsidTr="00BC373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58DE0C" w14:textId="77777777" w:rsidR="00BC373F" w:rsidRPr="00BC373F" w:rsidRDefault="00BC373F" w:rsidP="00BC373F">
            <w:pPr>
              <w:spacing w:after="0" w:line="240" w:lineRule="auto"/>
              <w:jc w:val="both"/>
              <w:rPr>
                <w:rFonts w:ascii="Arial" w:eastAsia="Times New Roman" w:hAnsi="Arial" w:cs="Arial"/>
                <w:color w:val="000000"/>
                <w:sz w:val="18"/>
                <w:szCs w:val="18"/>
                <w:lang w:eastAsia="sl-SI"/>
              </w:rPr>
            </w:pPr>
            <w:r w:rsidRPr="00BC373F">
              <w:rPr>
                <w:rFonts w:ascii="Arial" w:eastAsia="Times New Roman" w:hAnsi="Arial" w:cs="Arial"/>
                <w:color w:val="000000"/>
                <w:sz w:val="18"/>
                <w:szCs w:val="18"/>
                <w:lang w:eastAsia="sl-SI"/>
              </w:rPr>
              <w:t>Gradnje</w:t>
            </w:r>
          </w:p>
        </w:tc>
        <w:tc>
          <w:tcPr>
            <w:tcW w:w="960" w:type="dxa"/>
            <w:tcBorders>
              <w:top w:val="nil"/>
              <w:left w:val="nil"/>
              <w:bottom w:val="single" w:sz="4" w:space="0" w:color="auto"/>
              <w:right w:val="single" w:sz="4" w:space="0" w:color="auto"/>
            </w:tcBorders>
            <w:shd w:val="clear" w:color="auto" w:fill="auto"/>
            <w:vAlign w:val="center"/>
            <w:hideMark/>
          </w:tcPr>
          <w:p w14:paraId="0C4B4861" w14:textId="15AC97E0" w:rsidR="00BC373F" w:rsidRPr="00BC373F" w:rsidRDefault="00BC373F" w:rsidP="00BC373F">
            <w:pPr>
              <w:spacing w:after="0" w:line="240" w:lineRule="auto"/>
              <w:jc w:val="right"/>
              <w:rPr>
                <w:rFonts w:ascii="Arial" w:eastAsia="Times New Roman" w:hAnsi="Arial" w:cs="Arial"/>
                <w:color w:val="000000" w:themeColor="text1"/>
                <w:sz w:val="18"/>
                <w:szCs w:val="18"/>
                <w:lang w:eastAsia="sl-SI"/>
              </w:rPr>
            </w:pPr>
            <w:r w:rsidRPr="00BC373F">
              <w:rPr>
                <w:rFonts w:ascii="Arial" w:eastAsia="Times New Roman" w:hAnsi="Arial" w:cs="Arial"/>
                <w:color w:val="000000" w:themeColor="text1"/>
                <w:sz w:val="18"/>
                <w:szCs w:val="18"/>
                <w:lang w:eastAsia="sl-SI"/>
              </w:rPr>
              <w:t>242</w:t>
            </w:r>
          </w:p>
        </w:tc>
        <w:tc>
          <w:tcPr>
            <w:tcW w:w="1400" w:type="dxa"/>
            <w:tcBorders>
              <w:top w:val="nil"/>
              <w:left w:val="nil"/>
              <w:bottom w:val="single" w:sz="4" w:space="0" w:color="auto"/>
              <w:right w:val="single" w:sz="4" w:space="0" w:color="auto"/>
            </w:tcBorders>
            <w:shd w:val="clear" w:color="auto" w:fill="auto"/>
            <w:vAlign w:val="center"/>
            <w:hideMark/>
          </w:tcPr>
          <w:p w14:paraId="3F2478CC" w14:textId="73762FD4" w:rsidR="00BC373F" w:rsidRPr="00BC373F" w:rsidRDefault="00BC373F" w:rsidP="00BC373F">
            <w:pPr>
              <w:spacing w:after="0" w:line="240" w:lineRule="auto"/>
              <w:jc w:val="right"/>
              <w:rPr>
                <w:rFonts w:ascii="Arial" w:eastAsia="Times New Roman" w:hAnsi="Arial" w:cs="Arial"/>
                <w:color w:val="000000" w:themeColor="text1"/>
                <w:sz w:val="18"/>
                <w:szCs w:val="18"/>
                <w:lang w:eastAsia="sl-SI"/>
              </w:rPr>
            </w:pPr>
            <w:r w:rsidRPr="00BC373F">
              <w:rPr>
                <w:rFonts w:ascii="Arial" w:eastAsia="Times New Roman" w:hAnsi="Arial" w:cs="Arial"/>
                <w:color w:val="000000" w:themeColor="text1"/>
                <w:sz w:val="18"/>
                <w:szCs w:val="18"/>
                <w:lang w:eastAsia="sl-SI"/>
              </w:rPr>
              <w:t>563.152.001</w:t>
            </w:r>
          </w:p>
        </w:tc>
        <w:tc>
          <w:tcPr>
            <w:tcW w:w="980" w:type="dxa"/>
            <w:tcBorders>
              <w:top w:val="nil"/>
              <w:left w:val="nil"/>
              <w:bottom w:val="single" w:sz="4" w:space="0" w:color="auto"/>
              <w:right w:val="single" w:sz="4" w:space="0" w:color="auto"/>
            </w:tcBorders>
            <w:shd w:val="clear" w:color="auto" w:fill="auto"/>
            <w:vAlign w:val="center"/>
            <w:hideMark/>
          </w:tcPr>
          <w:p w14:paraId="753AEF7D" w14:textId="4F7F8B97" w:rsidR="00BC373F" w:rsidRPr="00BC373F" w:rsidRDefault="00BC373F" w:rsidP="00BC373F">
            <w:pPr>
              <w:spacing w:after="0" w:line="240" w:lineRule="auto"/>
              <w:jc w:val="right"/>
              <w:rPr>
                <w:rFonts w:ascii="Arial" w:eastAsia="Times New Roman" w:hAnsi="Arial" w:cs="Arial"/>
                <w:color w:val="000000" w:themeColor="text1"/>
                <w:sz w:val="18"/>
                <w:szCs w:val="18"/>
                <w:lang w:eastAsia="sl-SI"/>
              </w:rPr>
            </w:pPr>
            <w:r w:rsidRPr="00BC373F">
              <w:rPr>
                <w:rFonts w:ascii="Arial" w:eastAsia="Times New Roman" w:hAnsi="Arial" w:cs="Arial"/>
                <w:color w:val="000000" w:themeColor="text1"/>
                <w:sz w:val="18"/>
                <w:szCs w:val="18"/>
                <w:lang w:eastAsia="sl-SI"/>
              </w:rPr>
              <w:t>26,77 %</w:t>
            </w:r>
          </w:p>
        </w:tc>
        <w:tc>
          <w:tcPr>
            <w:tcW w:w="960" w:type="dxa"/>
            <w:tcBorders>
              <w:top w:val="nil"/>
              <w:left w:val="nil"/>
              <w:bottom w:val="single" w:sz="4" w:space="0" w:color="auto"/>
              <w:right w:val="single" w:sz="4" w:space="0" w:color="auto"/>
            </w:tcBorders>
            <w:shd w:val="clear" w:color="auto" w:fill="auto"/>
            <w:vAlign w:val="center"/>
            <w:hideMark/>
          </w:tcPr>
          <w:p w14:paraId="71029641" w14:textId="205C6ACA" w:rsidR="00BC373F" w:rsidRPr="00BC373F" w:rsidRDefault="00BC373F" w:rsidP="00BC373F">
            <w:pPr>
              <w:spacing w:after="0" w:line="240" w:lineRule="auto"/>
              <w:jc w:val="right"/>
              <w:rPr>
                <w:rFonts w:ascii="Arial" w:eastAsia="Times New Roman" w:hAnsi="Arial" w:cs="Arial"/>
                <w:color w:val="000000" w:themeColor="text1"/>
                <w:sz w:val="18"/>
                <w:szCs w:val="18"/>
                <w:lang w:eastAsia="sl-SI"/>
              </w:rPr>
            </w:pPr>
            <w:r w:rsidRPr="00BC373F">
              <w:rPr>
                <w:rFonts w:ascii="Arial" w:eastAsia="Times New Roman" w:hAnsi="Arial" w:cs="Arial"/>
                <w:color w:val="000000" w:themeColor="text1"/>
                <w:sz w:val="18"/>
                <w:szCs w:val="18"/>
                <w:lang w:eastAsia="sl-SI"/>
              </w:rPr>
              <w:t>79,13 %</w:t>
            </w:r>
          </w:p>
        </w:tc>
      </w:tr>
      <w:tr w:rsidR="00BC373F" w:rsidRPr="00BC373F" w14:paraId="08623C82" w14:textId="77777777" w:rsidTr="00BC373F">
        <w:trPr>
          <w:trHeight w:val="255"/>
          <w:jc w:val="center"/>
        </w:trPr>
        <w:tc>
          <w:tcPr>
            <w:tcW w:w="96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C547FEF" w14:textId="77777777" w:rsidR="00BC373F" w:rsidRPr="00BC373F" w:rsidRDefault="00BC373F" w:rsidP="00BC373F">
            <w:pPr>
              <w:spacing w:after="0" w:line="240" w:lineRule="auto"/>
              <w:jc w:val="both"/>
              <w:rPr>
                <w:rFonts w:ascii="Arial" w:eastAsia="Times New Roman" w:hAnsi="Arial" w:cs="Arial"/>
                <w:b/>
                <w:bCs/>
                <w:color w:val="000000"/>
                <w:sz w:val="18"/>
                <w:szCs w:val="18"/>
                <w:lang w:eastAsia="sl-SI"/>
              </w:rPr>
            </w:pPr>
            <w:r w:rsidRPr="00BC373F">
              <w:rPr>
                <w:rFonts w:ascii="Arial" w:eastAsia="Times New Roman" w:hAnsi="Arial" w:cs="Arial"/>
                <w:b/>
                <w:bCs/>
                <w:color w:val="000000"/>
                <w:sz w:val="18"/>
                <w:szCs w:val="18"/>
                <w:lang w:eastAsia="sl-SI"/>
              </w:rPr>
              <w:t xml:space="preserve">Skupaj </w:t>
            </w:r>
          </w:p>
        </w:tc>
        <w:tc>
          <w:tcPr>
            <w:tcW w:w="960" w:type="dxa"/>
            <w:tcBorders>
              <w:top w:val="nil"/>
              <w:left w:val="nil"/>
              <w:bottom w:val="single" w:sz="4" w:space="0" w:color="auto"/>
              <w:right w:val="single" w:sz="4" w:space="0" w:color="auto"/>
            </w:tcBorders>
            <w:shd w:val="clear" w:color="auto" w:fill="F2F2F2" w:themeFill="background1" w:themeFillShade="F2"/>
            <w:vAlign w:val="center"/>
            <w:hideMark/>
          </w:tcPr>
          <w:p w14:paraId="30BCEB1C" w14:textId="5526AA45" w:rsidR="00BC373F" w:rsidRPr="00BC373F" w:rsidRDefault="00BC373F" w:rsidP="00BC373F">
            <w:pPr>
              <w:spacing w:after="0" w:line="240" w:lineRule="auto"/>
              <w:jc w:val="right"/>
              <w:rPr>
                <w:rFonts w:ascii="Arial" w:eastAsia="Times New Roman" w:hAnsi="Arial" w:cs="Arial"/>
                <w:b/>
                <w:bCs/>
                <w:color w:val="000000" w:themeColor="text1"/>
                <w:sz w:val="18"/>
                <w:szCs w:val="18"/>
                <w:lang w:eastAsia="sl-SI"/>
              </w:rPr>
            </w:pPr>
            <w:r w:rsidRPr="00BC373F">
              <w:rPr>
                <w:rFonts w:ascii="Arial" w:eastAsia="Times New Roman" w:hAnsi="Arial" w:cs="Arial"/>
                <w:b/>
                <w:bCs/>
                <w:color w:val="000000" w:themeColor="text1"/>
                <w:sz w:val="18"/>
                <w:szCs w:val="18"/>
                <w:lang w:eastAsia="sl-SI"/>
              </w:rPr>
              <w:t>904</w:t>
            </w:r>
          </w:p>
        </w:tc>
        <w:tc>
          <w:tcPr>
            <w:tcW w:w="1400" w:type="dxa"/>
            <w:tcBorders>
              <w:top w:val="nil"/>
              <w:left w:val="nil"/>
              <w:bottom w:val="single" w:sz="4" w:space="0" w:color="auto"/>
              <w:right w:val="single" w:sz="4" w:space="0" w:color="auto"/>
            </w:tcBorders>
            <w:shd w:val="clear" w:color="auto" w:fill="F2F2F2" w:themeFill="background1" w:themeFillShade="F2"/>
            <w:vAlign w:val="center"/>
            <w:hideMark/>
          </w:tcPr>
          <w:p w14:paraId="5A94719A" w14:textId="24ACF103" w:rsidR="00BC373F" w:rsidRPr="00BC373F" w:rsidRDefault="00BC373F" w:rsidP="00BC373F">
            <w:pPr>
              <w:spacing w:after="0" w:line="240" w:lineRule="auto"/>
              <w:jc w:val="right"/>
              <w:rPr>
                <w:rFonts w:ascii="Arial" w:eastAsia="Times New Roman" w:hAnsi="Arial" w:cs="Arial"/>
                <w:b/>
                <w:bCs/>
                <w:color w:val="000000" w:themeColor="text1"/>
                <w:sz w:val="18"/>
                <w:szCs w:val="18"/>
                <w:lang w:eastAsia="sl-SI"/>
              </w:rPr>
            </w:pPr>
            <w:r w:rsidRPr="00BC373F">
              <w:rPr>
                <w:rFonts w:ascii="Arial" w:eastAsia="Times New Roman" w:hAnsi="Arial" w:cs="Arial"/>
                <w:b/>
                <w:bCs/>
                <w:color w:val="000000" w:themeColor="text1"/>
                <w:sz w:val="18"/>
                <w:szCs w:val="18"/>
                <w:lang w:eastAsia="sl-SI"/>
              </w:rPr>
              <w:t>711.711.015</w:t>
            </w:r>
          </w:p>
        </w:tc>
        <w:tc>
          <w:tcPr>
            <w:tcW w:w="980" w:type="dxa"/>
            <w:tcBorders>
              <w:top w:val="nil"/>
              <w:left w:val="nil"/>
              <w:bottom w:val="single" w:sz="4" w:space="0" w:color="auto"/>
              <w:right w:val="single" w:sz="4" w:space="0" w:color="auto"/>
            </w:tcBorders>
            <w:shd w:val="clear" w:color="auto" w:fill="F2F2F2" w:themeFill="background1" w:themeFillShade="F2"/>
            <w:vAlign w:val="center"/>
            <w:hideMark/>
          </w:tcPr>
          <w:p w14:paraId="0BD71862" w14:textId="6B1B0B00" w:rsidR="00BC373F" w:rsidRPr="00BC373F" w:rsidRDefault="00BC373F" w:rsidP="00BC373F">
            <w:pPr>
              <w:spacing w:after="0" w:line="240" w:lineRule="auto"/>
              <w:jc w:val="right"/>
              <w:rPr>
                <w:rFonts w:ascii="Arial" w:eastAsia="Times New Roman" w:hAnsi="Arial" w:cs="Arial"/>
                <w:b/>
                <w:bCs/>
                <w:color w:val="000000" w:themeColor="text1"/>
                <w:sz w:val="18"/>
                <w:szCs w:val="18"/>
                <w:lang w:eastAsia="sl-SI"/>
              </w:rPr>
            </w:pPr>
            <w:r w:rsidRPr="00BC373F">
              <w:rPr>
                <w:rFonts w:ascii="Arial" w:eastAsia="Times New Roman" w:hAnsi="Arial" w:cs="Arial"/>
                <w:b/>
                <w:bCs/>
                <w:color w:val="000000" w:themeColor="text1"/>
                <w:sz w:val="18"/>
                <w:szCs w:val="18"/>
                <w:lang w:eastAsia="sl-SI"/>
              </w:rPr>
              <w:t>100,00 %</w:t>
            </w:r>
          </w:p>
        </w:tc>
        <w:tc>
          <w:tcPr>
            <w:tcW w:w="960" w:type="dxa"/>
            <w:tcBorders>
              <w:top w:val="nil"/>
              <w:left w:val="nil"/>
              <w:bottom w:val="single" w:sz="4" w:space="0" w:color="auto"/>
              <w:right w:val="single" w:sz="4" w:space="0" w:color="auto"/>
            </w:tcBorders>
            <w:shd w:val="clear" w:color="auto" w:fill="F2F2F2" w:themeFill="background1" w:themeFillShade="F2"/>
            <w:vAlign w:val="center"/>
            <w:hideMark/>
          </w:tcPr>
          <w:p w14:paraId="55CF2F9B" w14:textId="14798726" w:rsidR="00BC373F" w:rsidRPr="00BC373F" w:rsidRDefault="00BC373F" w:rsidP="00BC373F">
            <w:pPr>
              <w:spacing w:after="0" w:line="240" w:lineRule="auto"/>
              <w:jc w:val="right"/>
              <w:rPr>
                <w:rFonts w:ascii="Arial" w:eastAsia="Times New Roman" w:hAnsi="Arial" w:cs="Arial"/>
                <w:b/>
                <w:bCs/>
                <w:color w:val="000000" w:themeColor="text1"/>
                <w:sz w:val="18"/>
                <w:szCs w:val="18"/>
                <w:lang w:eastAsia="sl-SI"/>
              </w:rPr>
            </w:pPr>
            <w:r w:rsidRPr="00BC373F">
              <w:rPr>
                <w:rFonts w:ascii="Arial" w:eastAsia="Times New Roman" w:hAnsi="Arial" w:cs="Arial"/>
                <w:b/>
                <w:bCs/>
                <w:color w:val="000000" w:themeColor="text1"/>
                <w:sz w:val="18"/>
                <w:szCs w:val="18"/>
                <w:lang w:eastAsia="sl-SI"/>
              </w:rPr>
              <w:t>100,00 %</w:t>
            </w:r>
          </w:p>
        </w:tc>
      </w:tr>
    </w:tbl>
    <w:p w14:paraId="10B268B4" w14:textId="77777777" w:rsidR="004A613D" w:rsidRPr="00BC373F" w:rsidRDefault="004A613D" w:rsidP="004A613D">
      <w:pPr>
        <w:spacing w:after="0" w:line="240" w:lineRule="auto"/>
        <w:jc w:val="center"/>
        <w:rPr>
          <w:rFonts w:ascii="Arial" w:hAnsi="Arial" w:cs="Arial"/>
          <w:sz w:val="18"/>
        </w:rPr>
      </w:pPr>
    </w:p>
    <w:p w14:paraId="20E41A96" w14:textId="04249428" w:rsidR="00782528" w:rsidRPr="00BC373F" w:rsidRDefault="00782528" w:rsidP="004A613D">
      <w:pPr>
        <w:spacing w:after="0" w:line="240" w:lineRule="auto"/>
        <w:jc w:val="center"/>
        <w:rPr>
          <w:rFonts w:ascii="Arial" w:hAnsi="Arial" w:cs="Arial"/>
          <w:sz w:val="18"/>
        </w:rPr>
      </w:pPr>
      <w:r w:rsidRPr="00BC373F">
        <w:rPr>
          <w:rFonts w:ascii="Arial" w:hAnsi="Arial" w:cs="Arial"/>
          <w:sz w:val="18"/>
        </w:rPr>
        <w:t>Vir: Statistični podatki o javni</w:t>
      </w:r>
      <w:r w:rsidR="00E913F2" w:rsidRPr="00BC373F">
        <w:rPr>
          <w:rFonts w:ascii="Arial" w:hAnsi="Arial" w:cs="Arial"/>
          <w:sz w:val="18"/>
        </w:rPr>
        <w:t>h naročilih, oddanih v letu 20</w:t>
      </w:r>
      <w:r w:rsidR="00C00CF1" w:rsidRPr="00BC373F">
        <w:rPr>
          <w:rFonts w:ascii="Arial" w:hAnsi="Arial" w:cs="Arial"/>
          <w:sz w:val="18"/>
        </w:rPr>
        <w:t>2</w:t>
      </w:r>
      <w:r w:rsidR="00BC373F" w:rsidRPr="00BC373F">
        <w:rPr>
          <w:rFonts w:ascii="Arial" w:hAnsi="Arial" w:cs="Arial"/>
          <w:sz w:val="18"/>
        </w:rPr>
        <w:t>2</w:t>
      </w:r>
      <w:r w:rsidR="00427811" w:rsidRPr="00BC373F">
        <w:rPr>
          <w:rFonts w:ascii="Arial" w:hAnsi="Arial" w:cs="Arial"/>
          <w:sz w:val="18"/>
        </w:rPr>
        <w:t>.</w:t>
      </w:r>
    </w:p>
    <w:p w14:paraId="0B9177FC" w14:textId="77777777" w:rsidR="003A1D36" w:rsidRPr="00BF7302" w:rsidRDefault="003A1D36" w:rsidP="004A613D">
      <w:pPr>
        <w:spacing w:after="0" w:line="240" w:lineRule="auto"/>
        <w:jc w:val="center"/>
        <w:rPr>
          <w:rFonts w:ascii="Arial" w:hAnsi="Arial" w:cs="Arial"/>
          <w:sz w:val="18"/>
          <w:highlight w:val="yellow"/>
        </w:rPr>
      </w:pPr>
    </w:p>
    <w:p w14:paraId="0A3926D8" w14:textId="39AAF60B" w:rsidR="003F5C42" w:rsidRPr="00C00BE3" w:rsidRDefault="00BB4C01" w:rsidP="003F5C42">
      <w:pPr>
        <w:pStyle w:val="Standard"/>
        <w:spacing w:line="360" w:lineRule="auto"/>
        <w:rPr>
          <w:rFonts w:cs="Arial"/>
          <w:color w:val="000000" w:themeColor="text1"/>
          <w:sz w:val="20"/>
          <w:szCs w:val="20"/>
          <w:lang w:eastAsia="sl-SI"/>
        </w:rPr>
      </w:pPr>
      <w:r w:rsidRPr="00C00BE3">
        <w:rPr>
          <w:rFonts w:cs="Arial"/>
          <w:color w:val="000000" w:themeColor="text1"/>
          <w:sz w:val="20"/>
          <w:szCs w:val="20"/>
          <w:lang w:eastAsia="sl-SI"/>
        </w:rPr>
        <w:t xml:space="preserve">Največjo vrednost naročil so </w:t>
      </w:r>
      <w:r w:rsidR="003F5C42" w:rsidRPr="00C00BE3">
        <w:rPr>
          <w:rFonts w:cs="Arial"/>
          <w:color w:val="000000" w:themeColor="text1"/>
          <w:sz w:val="20"/>
          <w:szCs w:val="20"/>
          <w:lang w:eastAsia="sl-SI"/>
        </w:rPr>
        <w:t>naročniki oddali z uporabo odprtega postopka</w:t>
      </w:r>
      <w:r w:rsidR="003D3D5C" w:rsidRPr="00C00BE3">
        <w:rPr>
          <w:rFonts w:cs="Arial"/>
          <w:color w:val="000000" w:themeColor="text1"/>
          <w:sz w:val="20"/>
          <w:szCs w:val="20"/>
          <w:lang w:eastAsia="sl-SI"/>
        </w:rPr>
        <w:t xml:space="preserve">, in sicer </w:t>
      </w:r>
      <w:r w:rsidR="00C00BE3" w:rsidRPr="00C00BE3">
        <w:rPr>
          <w:rFonts w:cs="Arial"/>
          <w:color w:val="000000" w:themeColor="text1"/>
          <w:sz w:val="20"/>
          <w:szCs w:val="20"/>
          <w:lang w:eastAsia="sl-SI"/>
        </w:rPr>
        <w:t>460</w:t>
      </w:r>
      <w:r w:rsidR="003F5C42" w:rsidRPr="00C00BE3">
        <w:rPr>
          <w:rFonts w:cs="Arial"/>
          <w:color w:val="000000" w:themeColor="text1"/>
          <w:sz w:val="20"/>
          <w:szCs w:val="20"/>
          <w:lang w:eastAsia="sl-SI"/>
        </w:rPr>
        <w:t xml:space="preserve"> naročil v vrednosti </w:t>
      </w:r>
      <w:r w:rsidR="00C00BE3" w:rsidRPr="00C00BE3">
        <w:rPr>
          <w:rFonts w:cs="Arial"/>
          <w:color w:val="000000" w:themeColor="text1"/>
          <w:sz w:val="20"/>
          <w:szCs w:val="20"/>
          <w:lang w:eastAsia="sl-SI"/>
        </w:rPr>
        <w:t xml:space="preserve">424.287.772 </w:t>
      </w:r>
      <w:r w:rsidR="003F5C42" w:rsidRPr="00C00BE3">
        <w:rPr>
          <w:rFonts w:cs="Arial"/>
          <w:color w:val="000000" w:themeColor="text1"/>
          <w:sz w:val="20"/>
          <w:szCs w:val="20"/>
          <w:lang w:eastAsia="sl-SI"/>
        </w:rPr>
        <w:t xml:space="preserve">evrov, kar je </w:t>
      </w:r>
      <w:r w:rsidR="00C00BE3" w:rsidRPr="00C00BE3">
        <w:rPr>
          <w:rFonts w:cs="Arial"/>
          <w:color w:val="000000" w:themeColor="text1"/>
          <w:sz w:val="20"/>
          <w:szCs w:val="20"/>
          <w:lang w:eastAsia="sl-SI"/>
        </w:rPr>
        <w:t xml:space="preserve">59,62 </w:t>
      </w:r>
      <w:r w:rsidR="00AC0027">
        <w:rPr>
          <w:rFonts w:cs="Arial"/>
          <w:color w:val="000000" w:themeColor="text1"/>
          <w:sz w:val="20"/>
          <w:szCs w:val="20"/>
          <w:lang w:eastAsia="sl-SI"/>
        </w:rPr>
        <w:t>odstotka</w:t>
      </w:r>
      <w:r w:rsidR="003F5C42" w:rsidRPr="00C00BE3">
        <w:rPr>
          <w:rFonts w:cs="Arial"/>
          <w:color w:val="000000" w:themeColor="text1"/>
          <w:sz w:val="20"/>
          <w:szCs w:val="20"/>
          <w:lang w:eastAsia="sl-SI"/>
        </w:rPr>
        <w:t xml:space="preserve"> vrednosti naročil, </w:t>
      </w:r>
      <w:r w:rsidR="0009505B" w:rsidRPr="00C00BE3">
        <w:rPr>
          <w:rFonts w:cs="Arial"/>
          <w:color w:val="000000" w:themeColor="text1"/>
          <w:sz w:val="20"/>
          <w:szCs w:val="20"/>
          <w:lang w:eastAsia="sl-SI"/>
        </w:rPr>
        <w:t>(</w:t>
      </w:r>
      <w:r w:rsidR="003F5C42" w:rsidRPr="00C00BE3">
        <w:rPr>
          <w:rFonts w:cs="Arial"/>
          <w:color w:val="000000" w:themeColor="text1"/>
          <w:sz w:val="20"/>
          <w:szCs w:val="20"/>
          <w:lang w:eastAsia="sl-SI"/>
        </w:rPr>
        <w:t>so</w:t>
      </w:r>
      <w:r w:rsidR="0009505B" w:rsidRPr="00C00BE3">
        <w:rPr>
          <w:rFonts w:cs="Arial"/>
          <w:color w:val="000000" w:themeColor="text1"/>
          <w:sz w:val="20"/>
          <w:szCs w:val="20"/>
          <w:lang w:eastAsia="sl-SI"/>
        </w:rPr>
        <w:t>)</w:t>
      </w:r>
      <w:r w:rsidR="003F5C42" w:rsidRPr="00C00BE3">
        <w:rPr>
          <w:rFonts w:cs="Arial"/>
          <w:color w:val="000000" w:themeColor="text1"/>
          <w:sz w:val="20"/>
          <w:szCs w:val="20"/>
          <w:lang w:eastAsia="sl-SI"/>
        </w:rPr>
        <w:t>financiranih s sredstvi Evropske unije.</w:t>
      </w:r>
    </w:p>
    <w:p w14:paraId="3C45611F" w14:textId="118DA1E3" w:rsidR="003F5C42" w:rsidRPr="00C00BE3" w:rsidRDefault="003F5C42" w:rsidP="00701C10">
      <w:pPr>
        <w:spacing w:before="120" w:after="120" w:line="240" w:lineRule="auto"/>
        <w:jc w:val="both"/>
        <w:rPr>
          <w:rFonts w:ascii="Arial" w:hAnsi="Arial" w:cs="Arial"/>
          <w:sz w:val="20"/>
        </w:rPr>
      </w:pPr>
      <w:r w:rsidRPr="00C00BE3">
        <w:rPr>
          <w:rFonts w:ascii="Arial" w:hAnsi="Arial" w:cs="Arial"/>
          <w:sz w:val="20"/>
        </w:rPr>
        <w:t xml:space="preserve">Preglednica </w:t>
      </w:r>
      <w:r w:rsidR="00512F52" w:rsidRPr="00C00BE3">
        <w:rPr>
          <w:rFonts w:ascii="Arial" w:hAnsi="Arial" w:cs="Arial"/>
          <w:sz w:val="20"/>
        </w:rPr>
        <w:t>4</w:t>
      </w:r>
      <w:r w:rsidR="00EA747F">
        <w:rPr>
          <w:rFonts w:ascii="Arial" w:hAnsi="Arial" w:cs="Arial"/>
          <w:sz w:val="20"/>
        </w:rPr>
        <w:t>5</w:t>
      </w:r>
      <w:r w:rsidRPr="00C00BE3">
        <w:rPr>
          <w:rFonts w:ascii="Arial" w:hAnsi="Arial" w:cs="Arial"/>
          <w:sz w:val="20"/>
        </w:rPr>
        <w:t xml:space="preserve">: Javna naročila, </w:t>
      </w:r>
      <w:r w:rsidR="0009505B" w:rsidRPr="00C00BE3">
        <w:rPr>
          <w:rFonts w:ascii="Arial" w:hAnsi="Arial" w:cs="Arial"/>
          <w:sz w:val="20"/>
        </w:rPr>
        <w:t>(</w:t>
      </w:r>
      <w:r w:rsidRPr="00C00BE3">
        <w:rPr>
          <w:rFonts w:ascii="Arial" w:hAnsi="Arial" w:cs="Arial"/>
          <w:sz w:val="20"/>
        </w:rPr>
        <w:t>so</w:t>
      </w:r>
      <w:r w:rsidR="0009505B" w:rsidRPr="00C00BE3">
        <w:rPr>
          <w:rFonts w:ascii="Arial" w:hAnsi="Arial" w:cs="Arial"/>
          <w:sz w:val="20"/>
        </w:rPr>
        <w:t>)</w:t>
      </w:r>
      <w:r w:rsidRPr="00C00BE3">
        <w:rPr>
          <w:rFonts w:ascii="Arial" w:hAnsi="Arial" w:cs="Arial"/>
          <w:sz w:val="20"/>
        </w:rPr>
        <w:t>financirana s sredstvi Evropske unije, po vrsti postopka</w:t>
      </w:r>
    </w:p>
    <w:tbl>
      <w:tblPr>
        <w:tblW w:w="9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20"/>
        <w:gridCol w:w="960"/>
        <w:gridCol w:w="1292"/>
        <w:gridCol w:w="960"/>
        <w:gridCol w:w="960"/>
      </w:tblGrid>
      <w:tr w:rsidR="00503D37" w:rsidRPr="00C00BE3" w14:paraId="7742B08B" w14:textId="77777777" w:rsidTr="00C00BE3">
        <w:trPr>
          <w:trHeight w:val="255"/>
        </w:trPr>
        <w:tc>
          <w:tcPr>
            <w:tcW w:w="5220" w:type="dxa"/>
            <w:shd w:val="clear" w:color="auto" w:fill="F2F2F2" w:themeFill="background1" w:themeFillShade="F2"/>
            <w:vAlign w:val="center"/>
            <w:hideMark/>
          </w:tcPr>
          <w:p w14:paraId="074D7848" w14:textId="77777777" w:rsidR="00503D37" w:rsidRPr="00C00BE3" w:rsidRDefault="00503D37" w:rsidP="00503D37">
            <w:pPr>
              <w:spacing w:after="0" w:line="240" w:lineRule="auto"/>
              <w:jc w:val="center"/>
              <w:rPr>
                <w:rFonts w:ascii="Arial" w:eastAsia="Times New Roman" w:hAnsi="Arial" w:cs="Arial"/>
                <w:color w:val="000000"/>
                <w:sz w:val="18"/>
                <w:szCs w:val="18"/>
                <w:lang w:eastAsia="sl-SI"/>
              </w:rPr>
            </w:pPr>
            <w:r w:rsidRPr="00C00BE3">
              <w:rPr>
                <w:rFonts w:ascii="Arial" w:eastAsia="Times New Roman" w:hAnsi="Arial" w:cs="Arial"/>
                <w:color w:val="000000"/>
                <w:sz w:val="18"/>
                <w:szCs w:val="18"/>
                <w:lang w:eastAsia="sl-SI"/>
              </w:rPr>
              <w:t>Vrsta postopka</w:t>
            </w:r>
          </w:p>
        </w:tc>
        <w:tc>
          <w:tcPr>
            <w:tcW w:w="960" w:type="dxa"/>
            <w:shd w:val="clear" w:color="auto" w:fill="F2F2F2" w:themeFill="background1" w:themeFillShade="F2"/>
            <w:vAlign w:val="center"/>
            <w:hideMark/>
          </w:tcPr>
          <w:p w14:paraId="420C1DE0" w14:textId="77777777" w:rsidR="00503D37" w:rsidRPr="00C00BE3" w:rsidRDefault="00503D37" w:rsidP="00503D37">
            <w:pPr>
              <w:spacing w:after="0" w:line="240" w:lineRule="auto"/>
              <w:jc w:val="center"/>
              <w:rPr>
                <w:rFonts w:ascii="Arial" w:eastAsia="Times New Roman" w:hAnsi="Arial" w:cs="Arial"/>
                <w:color w:val="000000"/>
                <w:sz w:val="18"/>
                <w:szCs w:val="18"/>
                <w:lang w:eastAsia="sl-SI"/>
              </w:rPr>
            </w:pPr>
            <w:r w:rsidRPr="00C00BE3">
              <w:rPr>
                <w:rFonts w:ascii="Arial" w:eastAsia="Times New Roman" w:hAnsi="Arial" w:cs="Arial"/>
                <w:color w:val="000000"/>
                <w:sz w:val="18"/>
                <w:szCs w:val="18"/>
                <w:lang w:eastAsia="sl-SI"/>
              </w:rPr>
              <w:t>Št. naročil</w:t>
            </w:r>
          </w:p>
        </w:tc>
        <w:tc>
          <w:tcPr>
            <w:tcW w:w="1292" w:type="dxa"/>
            <w:shd w:val="clear" w:color="auto" w:fill="F2F2F2" w:themeFill="background1" w:themeFillShade="F2"/>
            <w:vAlign w:val="center"/>
            <w:hideMark/>
          </w:tcPr>
          <w:p w14:paraId="65E2EB4C" w14:textId="77777777" w:rsidR="00503D37" w:rsidRPr="00C00BE3" w:rsidRDefault="00503D37" w:rsidP="00503D37">
            <w:pPr>
              <w:spacing w:after="0" w:line="240" w:lineRule="auto"/>
              <w:jc w:val="center"/>
              <w:rPr>
                <w:rFonts w:ascii="Arial" w:eastAsia="Times New Roman" w:hAnsi="Arial" w:cs="Arial"/>
                <w:color w:val="000000"/>
                <w:sz w:val="18"/>
                <w:szCs w:val="18"/>
                <w:lang w:eastAsia="sl-SI"/>
              </w:rPr>
            </w:pPr>
            <w:r w:rsidRPr="00C00BE3">
              <w:rPr>
                <w:rFonts w:ascii="Arial" w:eastAsia="Times New Roman" w:hAnsi="Arial" w:cs="Arial"/>
                <w:color w:val="000000"/>
                <w:sz w:val="18"/>
                <w:szCs w:val="18"/>
                <w:lang w:eastAsia="sl-SI"/>
              </w:rPr>
              <w:t>Pogodbena vrednost</w:t>
            </w:r>
          </w:p>
        </w:tc>
        <w:tc>
          <w:tcPr>
            <w:tcW w:w="960" w:type="dxa"/>
            <w:shd w:val="clear" w:color="auto" w:fill="F2F2F2" w:themeFill="background1" w:themeFillShade="F2"/>
            <w:vAlign w:val="center"/>
            <w:hideMark/>
          </w:tcPr>
          <w:p w14:paraId="4D69A30B" w14:textId="77777777" w:rsidR="00503D37" w:rsidRPr="00C00BE3" w:rsidRDefault="00503D37" w:rsidP="00503D37">
            <w:pPr>
              <w:spacing w:after="0" w:line="240" w:lineRule="auto"/>
              <w:jc w:val="center"/>
              <w:rPr>
                <w:rFonts w:ascii="Arial" w:eastAsia="Times New Roman" w:hAnsi="Arial" w:cs="Arial"/>
                <w:color w:val="000000"/>
                <w:sz w:val="18"/>
                <w:szCs w:val="18"/>
                <w:lang w:eastAsia="sl-SI"/>
              </w:rPr>
            </w:pPr>
            <w:r w:rsidRPr="00C00BE3">
              <w:rPr>
                <w:rFonts w:ascii="Arial" w:eastAsia="Times New Roman" w:hAnsi="Arial" w:cs="Arial"/>
                <w:color w:val="000000"/>
                <w:sz w:val="18"/>
                <w:szCs w:val="18"/>
                <w:lang w:eastAsia="sl-SI"/>
              </w:rPr>
              <w:t>Delež v št. naročil</w:t>
            </w:r>
          </w:p>
        </w:tc>
        <w:tc>
          <w:tcPr>
            <w:tcW w:w="960" w:type="dxa"/>
            <w:shd w:val="clear" w:color="auto" w:fill="F2F2F2" w:themeFill="background1" w:themeFillShade="F2"/>
            <w:vAlign w:val="center"/>
            <w:hideMark/>
          </w:tcPr>
          <w:p w14:paraId="68A0AE11" w14:textId="77777777" w:rsidR="00503D37" w:rsidRPr="00C00BE3" w:rsidRDefault="00503D37" w:rsidP="00503D37">
            <w:pPr>
              <w:spacing w:after="0" w:line="240" w:lineRule="auto"/>
              <w:jc w:val="center"/>
              <w:rPr>
                <w:rFonts w:ascii="Arial" w:eastAsia="Times New Roman" w:hAnsi="Arial" w:cs="Arial"/>
                <w:color w:val="000000"/>
                <w:sz w:val="18"/>
                <w:szCs w:val="18"/>
                <w:lang w:eastAsia="sl-SI"/>
              </w:rPr>
            </w:pPr>
            <w:r w:rsidRPr="00C00BE3">
              <w:rPr>
                <w:rFonts w:ascii="Arial" w:eastAsia="Times New Roman" w:hAnsi="Arial" w:cs="Arial"/>
                <w:color w:val="000000"/>
                <w:sz w:val="18"/>
                <w:szCs w:val="18"/>
                <w:lang w:eastAsia="sl-SI"/>
              </w:rPr>
              <w:t>Delež v vrednosti</w:t>
            </w:r>
          </w:p>
        </w:tc>
      </w:tr>
      <w:tr w:rsidR="00C00BE3" w:rsidRPr="00C00BE3" w14:paraId="6A612EF5" w14:textId="77777777" w:rsidTr="00C00BE3">
        <w:trPr>
          <w:trHeight w:val="255"/>
        </w:trPr>
        <w:tc>
          <w:tcPr>
            <w:tcW w:w="5220" w:type="dxa"/>
            <w:shd w:val="clear" w:color="auto" w:fill="auto"/>
            <w:vAlign w:val="center"/>
            <w:hideMark/>
          </w:tcPr>
          <w:p w14:paraId="547BB3B0" w14:textId="43818C1C" w:rsidR="00C00BE3" w:rsidRPr="00C00BE3" w:rsidRDefault="00C00BE3" w:rsidP="00C00BE3">
            <w:pPr>
              <w:spacing w:after="0" w:line="240" w:lineRule="auto"/>
              <w:rPr>
                <w:rFonts w:ascii="Arial" w:eastAsia="Times New Roman" w:hAnsi="Arial" w:cs="Arial"/>
                <w:color w:val="000000"/>
                <w:sz w:val="18"/>
                <w:szCs w:val="18"/>
                <w:lang w:eastAsia="sl-SI"/>
              </w:rPr>
            </w:pPr>
            <w:r w:rsidRPr="00C00BE3">
              <w:rPr>
                <w:rFonts w:ascii="Arial" w:eastAsia="Times New Roman" w:hAnsi="Arial" w:cs="Arial"/>
                <w:color w:val="000000"/>
                <w:sz w:val="18"/>
                <w:szCs w:val="18"/>
                <w:lang w:eastAsia="sl-SI"/>
              </w:rPr>
              <w:t>Konkurenčni dialog</w:t>
            </w:r>
          </w:p>
        </w:tc>
        <w:tc>
          <w:tcPr>
            <w:tcW w:w="960" w:type="dxa"/>
            <w:shd w:val="clear" w:color="auto" w:fill="auto"/>
            <w:vAlign w:val="center"/>
            <w:hideMark/>
          </w:tcPr>
          <w:p w14:paraId="28A9560F" w14:textId="0FB98E25" w:rsidR="00C00BE3" w:rsidRPr="00C00BE3" w:rsidRDefault="00C00BE3" w:rsidP="00C00BE3">
            <w:pPr>
              <w:spacing w:after="0" w:line="240" w:lineRule="auto"/>
              <w:jc w:val="right"/>
              <w:rPr>
                <w:rFonts w:ascii="Arial" w:eastAsia="Times New Roman" w:hAnsi="Arial" w:cs="Arial"/>
                <w:color w:val="000000" w:themeColor="text1"/>
                <w:sz w:val="18"/>
                <w:szCs w:val="18"/>
                <w:lang w:eastAsia="sl-SI"/>
              </w:rPr>
            </w:pPr>
            <w:r w:rsidRPr="00C00BE3">
              <w:rPr>
                <w:rFonts w:ascii="Arial" w:eastAsia="Times New Roman" w:hAnsi="Arial" w:cs="Arial"/>
                <w:color w:val="000000" w:themeColor="text1"/>
                <w:sz w:val="18"/>
                <w:szCs w:val="18"/>
                <w:lang w:eastAsia="sl-SI"/>
              </w:rPr>
              <w:t>4</w:t>
            </w:r>
          </w:p>
        </w:tc>
        <w:tc>
          <w:tcPr>
            <w:tcW w:w="1292" w:type="dxa"/>
            <w:shd w:val="clear" w:color="auto" w:fill="auto"/>
            <w:vAlign w:val="center"/>
            <w:hideMark/>
          </w:tcPr>
          <w:p w14:paraId="03573F3E" w14:textId="70261A8C" w:rsidR="00C00BE3" w:rsidRPr="00C00BE3" w:rsidRDefault="00C00BE3" w:rsidP="00C00BE3">
            <w:pPr>
              <w:spacing w:after="0" w:line="240" w:lineRule="auto"/>
              <w:jc w:val="right"/>
              <w:rPr>
                <w:rFonts w:ascii="Arial" w:eastAsia="Times New Roman" w:hAnsi="Arial" w:cs="Arial"/>
                <w:color w:val="000000" w:themeColor="text1"/>
                <w:sz w:val="18"/>
                <w:szCs w:val="18"/>
                <w:lang w:eastAsia="sl-SI"/>
              </w:rPr>
            </w:pPr>
            <w:r w:rsidRPr="00C00BE3">
              <w:rPr>
                <w:rFonts w:ascii="Arial" w:eastAsia="Times New Roman" w:hAnsi="Arial" w:cs="Arial"/>
                <w:color w:val="000000" w:themeColor="text1"/>
                <w:sz w:val="18"/>
                <w:szCs w:val="18"/>
                <w:lang w:eastAsia="sl-SI"/>
              </w:rPr>
              <w:t>2.502.212</w:t>
            </w:r>
          </w:p>
        </w:tc>
        <w:tc>
          <w:tcPr>
            <w:tcW w:w="960" w:type="dxa"/>
            <w:shd w:val="clear" w:color="auto" w:fill="auto"/>
            <w:noWrap/>
            <w:vAlign w:val="center"/>
            <w:hideMark/>
          </w:tcPr>
          <w:p w14:paraId="4521CD11" w14:textId="2E5FE0A9" w:rsidR="00C00BE3" w:rsidRPr="00C00BE3" w:rsidRDefault="00C00BE3" w:rsidP="00C00BE3">
            <w:pPr>
              <w:spacing w:after="0" w:line="240" w:lineRule="auto"/>
              <w:jc w:val="right"/>
              <w:rPr>
                <w:rFonts w:ascii="Arial" w:eastAsia="Times New Roman" w:hAnsi="Arial" w:cs="Arial"/>
                <w:color w:val="000000" w:themeColor="text1"/>
                <w:sz w:val="18"/>
                <w:szCs w:val="18"/>
                <w:lang w:eastAsia="sl-SI"/>
              </w:rPr>
            </w:pPr>
            <w:r w:rsidRPr="00C00BE3">
              <w:rPr>
                <w:rFonts w:ascii="Arial" w:eastAsia="Times New Roman" w:hAnsi="Arial" w:cs="Arial"/>
                <w:color w:val="000000" w:themeColor="text1"/>
                <w:sz w:val="18"/>
                <w:szCs w:val="18"/>
                <w:lang w:eastAsia="sl-SI"/>
              </w:rPr>
              <w:t>0,44 %</w:t>
            </w:r>
          </w:p>
        </w:tc>
        <w:tc>
          <w:tcPr>
            <w:tcW w:w="960" w:type="dxa"/>
            <w:shd w:val="clear" w:color="auto" w:fill="auto"/>
            <w:noWrap/>
            <w:vAlign w:val="center"/>
            <w:hideMark/>
          </w:tcPr>
          <w:p w14:paraId="3CC4F113" w14:textId="5AFE3CED" w:rsidR="00C00BE3" w:rsidRPr="00C00BE3" w:rsidRDefault="00C00BE3" w:rsidP="00C00BE3">
            <w:pPr>
              <w:spacing w:after="0" w:line="240" w:lineRule="auto"/>
              <w:jc w:val="right"/>
              <w:rPr>
                <w:rFonts w:ascii="Arial" w:eastAsia="Times New Roman" w:hAnsi="Arial" w:cs="Arial"/>
                <w:color w:val="000000" w:themeColor="text1"/>
                <w:sz w:val="18"/>
                <w:szCs w:val="18"/>
                <w:lang w:eastAsia="sl-SI"/>
              </w:rPr>
            </w:pPr>
            <w:r w:rsidRPr="00C00BE3">
              <w:rPr>
                <w:rFonts w:ascii="Arial" w:eastAsia="Times New Roman" w:hAnsi="Arial" w:cs="Arial"/>
                <w:color w:val="000000" w:themeColor="text1"/>
                <w:sz w:val="18"/>
                <w:szCs w:val="18"/>
                <w:lang w:eastAsia="sl-SI"/>
              </w:rPr>
              <w:t>0,35 %</w:t>
            </w:r>
          </w:p>
        </w:tc>
      </w:tr>
      <w:tr w:rsidR="00C00BE3" w:rsidRPr="00C00BE3" w14:paraId="66AD5F25" w14:textId="77777777" w:rsidTr="00C00BE3">
        <w:trPr>
          <w:trHeight w:val="255"/>
        </w:trPr>
        <w:tc>
          <w:tcPr>
            <w:tcW w:w="5220" w:type="dxa"/>
            <w:shd w:val="clear" w:color="auto" w:fill="auto"/>
            <w:vAlign w:val="center"/>
            <w:hideMark/>
          </w:tcPr>
          <w:p w14:paraId="2D534AAA" w14:textId="0EDABDA2" w:rsidR="00C00BE3" w:rsidRPr="00C00BE3" w:rsidRDefault="00C00BE3" w:rsidP="00C00BE3">
            <w:pPr>
              <w:spacing w:after="0" w:line="240" w:lineRule="auto"/>
              <w:rPr>
                <w:rFonts w:ascii="Arial" w:eastAsia="Times New Roman" w:hAnsi="Arial" w:cs="Arial"/>
                <w:color w:val="000000"/>
                <w:sz w:val="18"/>
                <w:szCs w:val="18"/>
                <w:lang w:eastAsia="sl-SI"/>
              </w:rPr>
            </w:pPr>
            <w:r w:rsidRPr="00C00BE3">
              <w:rPr>
                <w:rFonts w:ascii="Arial" w:eastAsia="Times New Roman" w:hAnsi="Arial" w:cs="Arial"/>
                <w:color w:val="000000"/>
                <w:sz w:val="18"/>
                <w:szCs w:val="18"/>
                <w:lang w:eastAsia="sl-SI"/>
              </w:rPr>
              <w:t>Konkurenčni postopek s pogajanji</w:t>
            </w:r>
          </w:p>
        </w:tc>
        <w:tc>
          <w:tcPr>
            <w:tcW w:w="960" w:type="dxa"/>
            <w:shd w:val="clear" w:color="auto" w:fill="auto"/>
            <w:vAlign w:val="center"/>
            <w:hideMark/>
          </w:tcPr>
          <w:p w14:paraId="6F64378B" w14:textId="2ADA8FB6" w:rsidR="00C00BE3" w:rsidRPr="00C00BE3" w:rsidRDefault="00C00BE3" w:rsidP="00C00BE3">
            <w:pPr>
              <w:spacing w:after="0" w:line="240" w:lineRule="auto"/>
              <w:jc w:val="right"/>
              <w:rPr>
                <w:rFonts w:ascii="Arial" w:eastAsia="Times New Roman" w:hAnsi="Arial" w:cs="Arial"/>
                <w:color w:val="000000" w:themeColor="text1"/>
                <w:sz w:val="18"/>
                <w:szCs w:val="18"/>
                <w:lang w:eastAsia="sl-SI"/>
              </w:rPr>
            </w:pPr>
            <w:r w:rsidRPr="00C00BE3">
              <w:rPr>
                <w:rFonts w:ascii="Arial" w:eastAsia="Times New Roman" w:hAnsi="Arial" w:cs="Arial"/>
                <w:color w:val="000000" w:themeColor="text1"/>
                <w:sz w:val="18"/>
                <w:szCs w:val="18"/>
                <w:lang w:eastAsia="sl-SI"/>
              </w:rPr>
              <w:t>40</w:t>
            </w:r>
          </w:p>
        </w:tc>
        <w:tc>
          <w:tcPr>
            <w:tcW w:w="1292" w:type="dxa"/>
            <w:shd w:val="clear" w:color="auto" w:fill="auto"/>
            <w:vAlign w:val="center"/>
            <w:hideMark/>
          </w:tcPr>
          <w:p w14:paraId="72B3BCE3" w14:textId="1DCBA6DA" w:rsidR="00C00BE3" w:rsidRPr="00C00BE3" w:rsidRDefault="00C00BE3" w:rsidP="00C00BE3">
            <w:pPr>
              <w:spacing w:after="0" w:line="240" w:lineRule="auto"/>
              <w:jc w:val="right"/>
              <w:rPr>
                <w:rFonts w:ascii="Arial" w:eastAsia="Times New Roman" w:hAnsi="Arial" w:cs="Arial"/>
                <w:color w:val="000000" w:themeColor="text1"/>
                <w:sz w:val="18"/>
                <w:szCs w:val="18"/>
                <w:lang w:eastAsia="sl-SI"/>
              </w:rPr>
            </w:pPr>
            <w:r w:rsidRPr="00C00BE3">
              <w:rPr>
                <w:rFonts w:ascii="Arial" w:eastAsia="Times New Roman" w:hAnsi="Arial" w:cs="Arial"/>
                <w:color w:val="000000" w:themeColor="text1"/>
                <w:sz w:val="18"/>
                <w:szCs w:val="18"/>
                <w:lang w:eastAsia="sl-SI"/>
              </w:rPr>
              <w:t>165.938.980</w:t>
            </w:r>
          </w:p>
        </w:tc>
        <w:tc>
          <w:tcPr>
            <w:tcW w:w="960" w:type="dxa"/>
            <w:shd w:val="clear" w:color="auto" w:fill="auto"/>
            <w:noWrap/>
            <w:vAlign w:val="center"/>
            <w:hideMark/>
          </w:tcPr>
          <w:p w14:paraId="74625828" w14:textId="2F3A763B" w:rsidR="00C00BE3" w:rsidRPr="00C00BE3" w:rsidRDefault="00C00BE3" w:rsidP="00C00BE3">
            <w:pPr>
              <w:spacing w:after="0" w:line="240" w:lineRule="auto"/>
              <w:jc w:val="right"/>
              <w:rPr>
                <w:rFonts w:ascii="Arial" w:eastAsia="Times New Roman" w:hAnsi="Arial" w:cs="Arial"/>
                <w:color w:val="000000" w:themeColor="text1"/>
                <w:sz w:val="18"/>
                <w:szCs w:val="18"/>
                <w:lang w:eastAsia="sl-SI"/>
              </w:rPr>
            </w:pPr>
            <w:r w:rsidRPr="00C00BE3">
              <w:rPr>
                <w:rFonts w:ascii="Arial" w:eastAsia="Times New Roman" w:hAnsi="Arial" w:cs="Arial"/>
                <w:color w:val="000000" w:themeColor="text1"/>
                <w:sz w:val="18"/>
                <w:szCs w:val="18"/>
                <w:lang w:eastAsia="sl-SI"/>
              </w:rPr>
              <w:t>4,42 %</w:t>
            </w:r>
          </w:p>
        </w:tc>
        <w:tc>
          <w:tcPr>
            <w:tcW w:w="960" w:type="dxa"/>
            <w:shd w:val="clear" w:color="auto" w:fill="auto"/>
            <w:noWrap/>
            <w:vAlign w:val="center"/>
            <w:hideMark/>
          </w:tcPr>
          <w:p w14:paraId="7BDCF4EF" w14:textId="66742DFB" w:rsidR="00C00BE3" w:rsidRPr="00C00BE3" w:rsidRDefault="00C00BE3" w:rsidP="00C00BE3">
            <w:pPr>
              <w:spacing w:after="0" w:line="240" w:lineRule="auto"/>
              <w:jc w:val="right"/>
              <w:rPr>
                <w:rFonts w:ascii="Arial" w:eastAsia="Times New Roman" w:hAnsi="Arial" w:cs="Arial"/>
                <w:color w:val="000000" w:themeColor="text1"/>
                <w:sz w:val="18"/>
                <w:szCs w:val="18"/>
                <w:lang w:eastAsia="sl-SI"/>
              </w:rPr>
            </w:pPr>
            <w:r w:rsidRPr="00C00BE3">
              <w:rPr>
                <w:rFonts w:ascii="Arial" w:eastAsia="Times New Roman" w:hAnsi="Arial" w:cs="Arial"/>
                <w:color w:val="000000" w:themeColor="text1"/>
                <w:sz w:val="18"/>
                <w:szCs w:val="18"/>
                <w:lang w:eastAsia="sl-SI"/>
              </w:rPr>
              <w:t>23,32 %</w:t>
            </w:r>
          </w:p>
        </w:tc>
      </w:tr>
      <w:tr w:rsidR="00C00BE3" w:rsidRPr="00C00BE3" w14:paraId="67373BCF" w14:textId="77777777" w:rsidTr="00C00BE3">
        <w:trPr>
          <w:trHeight w:val="255"/>
        </w:trPr>
        <w:tc>
          <w:tcPr>
            <w:tcW w:w="5220" w:type="dxa"/>
            <w:shd w:val="clear" w:color="auto" w:fill="auto"/>
            <w:vAlign w:val="center"/>
            <w:hideMark/>
          </w:tcPr>
          <w:p w14:paraId="2428050E" w14:textId="20476F8B" w:rsidR="00C00BE3" w:rsidRPr="00C00BE3" w:rsidRDefault="00C00BE3" w:rsidP="00C00BE3">
            <w:pPr>
              <w:spacing w:after="0" w:line="240" w:lineRule="auto"/>
              <w:rPr>
                <w:rFonts w:ascii="Arial" w:eastAsia="Times New Roman" w:hAnsi="Arial" w:cs="Arial"/>
                <w:color w:val="000000"/>
                <w:sz w:val="18"/>
                <w:szCs w:val="18"/>
                <w:lang w:eastAsia="sl-SI"/>
              </w:rPr>
            </w:pPr>
            <w:r w:rsidRPr="00C00BE3">
              <w:rPr>
                <w:rFonts w:ascii="Arial" w:eastAsia="Times New Roman" w:hAnsi="Arial" w:cs="Arial"/>
                <w:color w:val="000000"/>
                <w:sz w:val="18"/>
                <w:szCs w:val="18"/>
                <w:lang w:eastAsia="sl-SI"/>
              </w:rPr>
              <w:t>Odprti postopek</w:t>
            </w:r>
          </w:p>
        </w:tc>
        <w:tc>
          <w:tcPr>
            <w:tcW w:w="960" w:type="dxa"/>
            <w:shd w:val="clear" w:color="auto" w:fill="auto"/>
            <w:vAlign w:val="center"/>
            <w:hideMark/>
          </w:tcPr>
          <w:p w14:paraId="2E56B22B" w14:textId="0325F681" w:rsidR="00C00BE3" w:rsidRPr="00C00BE3" w:rsidRDefault="00C00BE3" w:rsidP="00C00BE3">
            <w:pPr>
              <w:spacing w:after="0" w:line="240" w:lineRule="auto"/>
              <w:jc w:val="right"/>
              <w:rPr>
                <w:rFonts w:ascii="Arial" w:eastAsia="Times New Roman" w:hAnsi="Arial" w:cs="Arial"/>
                <w:color w:val="000000" w:themeColor="text1"/>
                <w:sz w:val="18"/>
                <w:szCs w:val="18"/>
                <w:lang w:eastAsia="sl-SI"/>
              </w:rPr>
            </w:pPr>
            <w:r w:rsidRPr="00C00BE3">
              <w:rPr>
                <w:rFonts w:ascii="Arial" w:eastAsia="Times New Roman" w:hAnsi="Arial" w:cs="Arial"/>
                <w:color w:val="000000" w:themeColor="text1"/>
                <w:sz w:val="18"/>
                <w:szCs w:val="18"/>
                <w:lang w:eastAsia="sl-SI"/>
              </w:rPr>
              <w:t>460</w:t>
            </w:r>
          </w:p>
        </w:tc>
        <w:tc>
          <w:tcPr>
            <w:tcW w:w="1292" w:type="dxa"/>
            <w:shd w:val="clear" w:color="auto" w:fill="auto"/>
            <w:vAlign w:val="center"/>
            <w:hideMark/>
          </w:tcPr>
          <w:p w14:paraId="4EFDEB6B" w14:textId="3F677425" w:rsidR="00C00BE3" w:rsidRPr="00C00BE3" w:rsidRDefault="00C00BE3" w:rsidP="00C00BE3">
            <w:pPr>
              <w:spacing w:after="0" w:line="240" w:lineRule="auto"/>
              <w:jc w:val="right"/>
              <w:rPr>
                <w:rFonts w:ascii="Arial" w:eastAsia="Times New Roman" w:hAnsi="Arial" w:cs="Arial"/>
                <w:color w:val="000000" w:themeColor="text1"/>
                <w:sz w:val="18"/>
                <w:szCs w:val="18"/>
                <w:lang w:eastAsia="sl-SI"/>
              </w:rPr>
            </w:pPr>
            <w:r w:rsidRPr="00C00BE3">
              <w:rPr>
                <w:rFonts w:ascii="Arial" w:eastAsia="Times New Roman" w:hAnsi="Arial" w:cs="Arial"/>
                <w:color w:val="000000" w:themeColor="text1"/>
                <w:sz w:val="18"/>
                <w:szCs w:val="18"/>
                <w:lang w:eastAsia="sl-SI"/>
              </w:rPr>
              <w:t>424.287.772</w:t>
            </w:r>
          </w:p>
        </w:tc>
        <w:tc>
          <w:tcPr>
            <w:tcW w:w="960" w:type="dxa"/>
            <w:shd w:val="clear" w:color="auto" w:fill="auto"/>
            <w:noWrap/>
            <w:vAlign w:val="center"/>
            <w:hideMark/>
          </w:tcPr>
          <w:p w14:paraId="7E3D52DD" w14:textId="70D6902B" w:rsidR="00C00BE3" w:rsidRPr="00C00BE3" w:rsidRDefault="00C00BE3" w:rsidP="00C00BE3">
            <w:pPr>
              <w:spacing w:after="0" w:line="240" w:lineRule="auto"/>
              <w:jc w:val="right"/>
              <w:rPr>
                <w:rFonts w:ascii="Arial" w:eastAsia="Times New Roman" w:hAnsi="Arial" w:cs="Arial"/>
                <w:color w:val="000000" w:themeColor="text1"/>
                <w:sz w:val="18"/>
                <w:szCs w:val="18"/>
                <w:lang w:eastAsia="sl-SI"/>
              </w:rPr>
            </w:pPr>
            <w:r w:rsidRPr="00C00BE3">
              <w:rPr>
                <w:rFonts w:ascii="Arial" w:eastAsia="Times New Roman" w:hAnsi="Arial" w:cs="Arial"/>
                <w:color w:val="000000" w:themeColor="text1"/>
                <w:sz w:val="18"/>
                <w:szCs w:val="18"/>
                <w:lang w:eastAsia="sl-SI"/>
              </w:rPr>
              <w:t>50,88 %</w:t>
            </w:r>
          </w:p>
        </w:tc>
        <w:tc>
          <w:tcPr>
            <w:tcW w:w="960" w:type="dxa"/>
            <w:shd w:val="clear" w:color="auto" w:fill="auto"/>
            <w:noWrap/>
            <w:vAlign w:val="center"/>
            <w:hideMark/>
          </w:tcPr>
          <w:p w14:paraId="11A0F72D" w14:textId="1214E6E1" w:rsidR="00C00BE3" w:rsidRPr="00C00BE3" w:rsidRDefault="00C00BE3" w:rsidP="00C00BE3">
            <w:pPr>
              <w:spacing w:after="0" w:line="240" w:lineRule="auto"/>
              <w:jc w:val="right"/>
              <w:rPr>
                <w:rFonts w:ascii="Arial" w:eastAsia="Times New Roman" w:hAnsi="Arial" w:cs="Arial"/>
                <w:color w:val="000000" w:themeColor="text1"/>
                <w:sz w:val="18"/>
                <w:szCs w:val="18"/>
                <w:lang w:eastAsia="sl-SI"/>
              </w:rPr>
            </w:pPr>
            <w:r w:rsidRPr="00C00BE3">
              <w:rPr>
                <w:rFonts w:ascii="Arial" w:eastAsia="Times New Roman" w:hAnsi="Arial" w:cs="Arial"/>
                <w:color w:val="000000" w:themeColor="text1"/>
                <w:sz w:val="18"/>
                <w:szCs w:val="18"/>
                <w:lang w:eastAsia="sl-SI"/>
              </w:rPr>
              <w:t>59,62 %</w:t>
            </w:r>
          </w:p>
        </w:tc>
      </w:tr>
      <w:tr w:rsidR="00C00BE3" w:rsidRPr="00C00BE3" w14:paraId="2A76F7BE" w14:textId="77777777" w:rsidTr="00C00BE3">
        <w:trPr>
          <w:trHeight w:val="255"/>
        </w:trPr>
        <w:tc>
          <w:tcPr>
            <w:tcW w:w="5220" w:type="dxa"/>
            <w:shd w:val="clear" w:color="auto" w:fill="auto"/>
            <w:vAlign w:val="center"/>
            <w:hideMark/>
          </w:tcPr>
          <w:p w14:paraId="4CFE5275" w14:textId="5667D4A5" w:rsidR="00C00BE3" w:rsidRPr="00C00BE3" w:rsidRDefault="00C00BE3" w:rsidP="00C00BE3">
            <w:pPr>
              <w:spacing w:after="0" w:line="240" w:lineRule="auto"/>
              <w:rPr>
                <w:rFonts w:ascii="Arial" w:eastAsia="Times New Roman" w:hAnsi="Arial" w:cs="Arial"/>
                <w:color w:val="000000"/>
                <w:sz w:val="18"/>
                <w:szCs w:val="18"/>
                <w:lang w:eastAsia="sl-SI"/>
              </w:rPr>
            </w:pPr>
            <w:r w:rsidRPr="00C00BE3">
              <w:rPr>
                <w:rFonts w:ascii="Arial" w:eastAsia="Times New Roman" w:hAnsi="Arial" w:cs="Arial"/>
                <w:color w:val="000000"/>
                <w:sz w:val="18"/>
                <w:szCs w:val="18"/>
                <w:lang w:eastAsia="sl-SI"/>
              </w:rPr>
              <w:t>Omejeni postopek</w:t>
            </w:r>
          </w:p>
        </w:tc>
        <w:tc>
          <w:tcPr>
            <w:tcW w:w="960" w:type="dxa"/>
            <w:shd w:val="clear" w:color="auto" w:fill="auto"/>
            <w:vAlign w:val="center"/>
            <w:hideMark/>
          </w:tcPr>
          <w:p w14:paraId="53AE3FAC" w14:textId="4DDD3A7B" w:rsidR="00C00BE3" w:rsidRPr="00C00BE3" w:rsidRDefault="00C00BE3" w:rsidP="00C00BE3">
            <w:pPr>
              <w:spacing w:after="0" w:line="240" w:lineRule="auto"/>
              <w:jc w:val="right"/>
              <w:rPr>
                <w:rFonts w:ascii="Arial" w:eastAsia="Times New Roman" w:hAnsi="Arial" w:cs="Arial"/>
                <w:color w:val="000000" w:themeColor="text1"/>
                <w:sz w:val="18"/>
                <w:szCs w:val="18"/>
                <w:lang w:eastAsia="sl-SI"/>
              </w:rPr>
            </w:pPr>
            <w:r w:rsidRPr="00C00BE3">
              <w:rPr>
                <w:rFonts w:ascii="Arial" w:eastAsia="Times New Roman" w:hAnsi="Arial" w:cs="Arial"/>
                <w:color w:val="000000" w:themeColor="text1"/>
                <w:sz w:val="18"/>
                <w:szCs w:val="18"/>
                <w:lang w:eastAsia="sl-SI"/>
              </w:rPr>
              <w:t>1</w:t>
            </w:r>
          </w:p>
        </w:tc>
        <w:tc>
          <w:tcPr>
            <w:tcW w:w="1292" w:type="dxa"/>
            <w:shd w:val="clear" w:color="auto" w:fill="auto"/>
            <w:vAlign w:val="center"/>
            <w:hideMark/>
          </w:tcPr>
          <w:p w14:paraId="5ECD9C46" w14:textId="58DA7F85" w:rsidR="00C00BE3" w:rsidRPr="00C00BE3" w:rsidRDefault="00C00BE3" w:rsidP="00C00BE3">
            <w:pPr>
              <w:spacing w:after="0" w:line="240" w:lineRule="auto"/>
              <w:jc w:val="right"/>
              <w:rPr>
                <w:rFonts w:ascii="Arial" w:eastAsia="Times New Roman" w:hAnsi="Arial" w:cs="Arial"/>
                <w:color w:val="000000" w:themeColor="text1"/>
                <w:sz w:val="18"/>
                <w:szCs w:val="18"/>
                <w:lang w:eastAsia="sl-SI"/>
              </w:rPr>
            </w:pPr>
            <w:r w:rsidRPr="00C00BE3">
              <w:rPr>
                <w:rFonts w:ascii="Arial" w:eastAsia="Times New Roman" w:hAnsi="Arial" w:cs="Arial"/>
                <w:color w:val="000000" w:themeColor="text1"/>
                <w:sz w:val="18"/>
                <w:szCs w:val="18"/>
                <w:lang w:eastAsia="sl-SI"/>
              </w:rPr>
              <w:t>2.894.504</w:t>
            </w:r>
          </w:p>
        </w:tc>
        <w:tc>
          <w:tcPr>
            <w:tcW w:w="960" w:type="dxa"/>
            <w:shd w:val="clear" w:color="auto" w:fill="auto"/>
            <w:noWrap/>
            <w:vAlign w:val="center"/>
            <w:hideMark/>
          </w:tcPr>
          <w:p w14:paraId="10F10DC3" w14:textId="7265C08C" w:rsidR="00C00BE3" w:rsidRPr="00C00BE3" w:rsidRDefault="00C00BE3" w:rsidP="00C00BE3">
            <w:pPr>
              <w:spacing w:after="0" w:line="240" w:lineRule="auto"/>
              <w:jc w:val="right"/>
              <w:rPr>
                <w:rFonts w:ascii="Arial" w:eastAsia="Times New Roman" w:hAnsi="Arial" w:cs="Arial"/>
                <w:color w:val="000000" w:themeColor="text1"/>
                <w:sz w:val="18"/>
                <w:szCs w:val="18"/>
                <w:lang w:eastAsia="sl-SI"/>
              </w:rPr>
            </w:pPr>
            <w:r w:rsidRPr="00C00BE3">
              <w:rPr>
                <w:rFonts w:ascii="Arial" w:eastAsia="Times New Roman" w:hAnsi="Arial" w:cs="Arial"/>
                <w:color w:val="000000" w:themeColor="text1"/>
                <w:sz w:val="18"/>
                <w:szCs w:val="18"/>
                <w:lang w:eastAsia="sl-SI"/>
              </w:rPr>
              <w:t>0,11 %</w:t>
            </w:r>
          </w:p>
        </w:tc>
        <w:tc>
          <w:tcPr>
            <w:tcW w:w="960" w:type="dxa"/>
            <w:shd w:val="clear" w:color="auto" w:fill="auto"/>
            <w:noWrap/>
            <w:vAlign w:val="center"/>
            <w:hideMark/>
          </w:tcPr>
          <w:p w14:paraId="0AA9ADA3" w14:textId="46EA0068" w:rsidR="00C00BE3" w:rsidRPr="00C00BE3" w:rsidRDefault="00C00BE3" w:rsidP="00C00BE3">
            <w:pPr>
              <w:spacing w:after="0" w:line="240" w:lineRule="auto"/>
              <w:jc w:val="right"/>
              <w:rPr>
                <w:rFonts w:ascii="Arial" w:eastAsia="Times New Roman" w:hAnsi="Arial" w:cs="Arial"/>
                <w:color w:val="000000" w:themeColor="text1"/>
                <w:sz w:val="18"/>
                <w:szCs w:val="18"/>
                <w:lang w:eastAsia="sl-SI"/>
              </w:rPr>
            </w:pPr>
            <w:r w:rsidRPr="00C00BE3">
              <w:rPr>
                <w:rFonts w:ascii="Arial" w:eastAsia="Times New Roman" w:hAnsi="Arial" w:cs="Arial"/>
                <w:color w:val="000000" w:themeColor="text1"/>
                <w:sz w:val="18"/>
                <w:szCs w:val="18"/>
                <w:lang w:eastAsia="sl-SI"/>
              </w:rPr>
              <w:t>0,41 %</w:t>
            </w:r>
          </w:p>
        </w:tc>
      </w:tr>
      <w:tr w:rsidR="00C00BE3" w:rsidRPr="00C00BE3" w14:paraId="617726C3" w14:textId="77777777" w:rsidTr="00C00BE3">
        <w:trPr>
          <w:trHeight w:val="255"/>
        </w:trPr>
        <w:tc>
          <w:tcPr>
            <w:tcW w:w="5220" w:type="dxa"/>
            <w:shd w:val="clear" w:color="auto" w:fill="auto"/>
            <w:vAlign w:val="center"/>
            <w:hideMark/>
          </w:tcPr>
          <w:p w14:paraId="1EA8B7ED" w14:textId="39198965" w:rsidR="00C00BE3" w:rsidRPr="00C00BE3" w:rsidRDefault="00C00BE3" w:rsidP="00C00BE3">
            <w:pPr>
              <w:spacing w:after="0" w:line="240" w:lineRule="auto"/>
              <w:rPr>
                <w:rFonts w:ascii="Arial" w:eastAsia="Times New Roman" w:hAnsi="Arial" w:cs="Arial"/>
                <w:color w:val="000000"/>
                <w:sz w:val="18"/>
                <w:szCs w:val="18"/>
                <w:lang w:eastAsia="sl-SI"/>
              </w:rPr>
            </w:pPr>
            <w:r w:rsidRPr="00C00BE3">
              <w:rPr>
                <w:rFonts w:ascii="Arial" w:eastAsia="Times New Roman" w:hAnsi="Arial" w:cs="Arial"/>
                <w:color w:val="000000"/>
                <w:sz w:val="18"/>
                <w:szCs w:val="18"/>
                <w:lang w:eastAsia="sl-SI"/>
              </w:rPr>
              <w:t>Postopek naročila male vrednosti</w:t>
            </w:r>
          </w:p>
        </w:tc>
        <w:tc>
          <w:tcPr>
            <w:tcW w:w="960" w:type="dxa"/>
            <w:shd w:val="clear" w:color="auto" w:fill="auto"/>
            <w:vAlign w:val="center"/>
            <w:hideMark/>
          </w:tcPr>
          <w:p w14:paraId="49A4CDFF" w14:textId="0AB5A5A3" w:rsidR="00C00BE3" w:rsidRPr="00C00BE3" w:rsidRDefault="00C00BE3" w:rsidP="00C00BE3">
            <w:pPr>
              <w:spacing w:after="0" w:line="240" w:lineRule="auto"/>
              <w:jc w:val="right"/>
              <w:rPr>
                <w:rFonts w:ascii="Arial" w:eastAsia="Times New Roman" w:hAnsi="Arial" w:cs="Arial"/>
                <w:color w:val="000000" w:themeColor="text1"/>
                <w:sz w:val="18"/>
                <w:szCs w:val="18"/>
                <w:lang w:eastAsia="sl-SI"/>
              </w:rPr>
            </w:pPr>
            <w:r w:rsidRPr="00C00BE3">
              <w:rPr>
                <w:rFonts w:ascii="Arial" w:eastAsia="Times New Roman" w:hAnsi="Arial" w:cs="Arial"/>
                <w:color w:val="000000" w:themeColor="text1"/>
                <w:sz w:val="18"/>
                <w:szCs w:val="18"/>
                <w:lang w:eastAsia="sl-SI"/>
              </w:rPr>
              <w:t>361</w:t>
            </w:r>
          </w:p>
        </w:tc>
        <w:tc>
          <w:tcPr>
            <w:tcW w:w="1292" w:type="dxa"/>
            <w:shd w:val="clear" w:color="auto" w:fill="auto"/>
            <w:vAlign w:val="center"/>
            <w:hideMark/>
          </w:tcPr>
          <w:p w14:paraId="527F93BD" w14:textId="1A5A7363" w:rsidR="00C00BE3" w:rsidRPr="00C00BE3" w:rsidRDefault="00C00BE3" w:rsidP="00C00BE3">
            <w:pPr>
              <w:spacing w:after="0" w:line="240" w:lineRule="auto"/>
              <w:jc w:val="right"/>
              <w:rPr>
                <w:rFonts w:ascii="Arial" w:eastAsia="Times New Roman" w:hAnsi="Arial" w:cs="Arial"/>
                <w:color w:val="000000" w:themeColor="text1"/>
                <w:sz w:val="18"/>
                <w:szCs w:val="18"/>
                <w:lang w:eastAsia="sl-SI"/>
              </w:rPr>
            </w:pPr>
            <w:r w:rsidRPr="00C00BE3">
              <w:rPr>
                <w:rFonts w:ascii="Arial" w:eastAsia="Times New Roman" w:hAnsi="Arial" w:cs="Arial"/>
                <w:color w:val="000000" w:themeColor="text1"/>
                <w:sz w:val="18"/>
                <w:szCs w:val="18"/>
                <w:lang w:eastAsia="sl-SI"/>
              </w:rPr>
              <w:t>102.852.206</w:t>
            </w:r>
          </w:p>
        </w:tc>
        <w:tc>
          <w:tcPr>
            <w:tcW w:w="960" w:type="dxa"/>
            <w:shd w:val="clear" w:color="auto" w:fill="auto"/>
            <w:noWrap/>
            <w:vAlign w:val="center"/>
            <w:hideMark/>
          </w:tcPr>
          <w:p w14:paraId="0353AD47" w14:textId="4498AFAC" w:rsidR="00C00BE3" w:rsidRPr="00C00BE3" w:rsidRDefault="00C00BE3" w:rsidP="00C00BE3">
            <w:pPr>
              <w:spacing w:after="0" w:line="240" w:lineRule="auto"/>
              <w:jc w:val="right"/>
              <w:rPr>
                <w:rFonts w:ascii="Arial" w:eastAsia="Times New Roman" w:hAnsi="Arial" w:cs="Arial"/>
                <w:color w:val="000000" w:themeColor="text1"/>
                <w:sz w:val="18"/>
                <w:szCs w:val="18"/>
                <w:lang w:eastAsia="sl-SI"/>
              </w:rPr>
            </w:pPr>
            <w:r w:rsidRPr="00C00BE3">
              <w:rPr>
                <w:rFonts w:ascii="Arial" w:eastAsia="Times New Roman" w:hAnsi="Arial" w:cs="Arial"/>
                <w:color w:val="000000" w:themeColor="text1"/>
                <w:sz w:val="18"/>
                <w:szCs w:val="18"/>
                <w:lang w:eastAsia="sl-SI"/>
              </w:rPr>
              <w:t>39,93 %</w:t>
            </w:r>
          </w:p>
        </w:tc>
        <w:tc>
          <w:tcPr>
            <w:tcW w:w="960" w:type="dxa"/>
            <w:shd w:val="clear" w:color="auto" w:fill="auto"/>
            <w:noWrap/>
            <w:vAlign w:val="center"/>
            <w:hideMark/>
          </w:tcPr>
          <w:p w14:paraId="3C2B3AAF" w14:textId="1A1E783D" w:rsidR="00C00BE3" w:rsidRPr="00C00BE3" w:rsidRDefault="00C00BE3" w:rsidP="00C00BE3">
            <w:pPr>
              <w:spacing w:after="0" w:line="240" w:lineRule="auto"/>
              <w:jc w:val="right"/>
              <w:rPr>
                <w:rFonts w:ascii="Arial" w:eastAsia="Times New Roman" w:hAnsi="Arial" w:cs="Arial"/>
                <w:color w:val="000000" w:themeColor="text1"/>
                <w:sz w:val="18"/>
                <w:szCs w:val="18"/>
                <w:lang w:eastAsia="sl-SI"/>
              </w:rPr>
            </w:pPr>
            <w:r w:rsidRPr="00C00BE3">
              <w:rPr>
                <w:rFonts w:ascii="Arial" w:eastAsia="Times New Roman" w:hAnsi="Arial" w:cs="Arial"/>
                <w:color w:val="000000" w:themeColor="text1"/>
                <w:sz w:val="18"/>
                <w:szCs w:val="18"/>
                <w:lang w:eastAsia="sl-SI"/>
              </w:rPr>
              <w:t>14,45 %</w:t>
            </w:r>
          </w:p>
        </w:tc>
      </w:tr>
      <w:tr w:rsidR="00C00BE3" w:rsidRPr="00C00BE3" w14:paraId="270296EB" w14:textId="77777777" w:rsidTr="00C00BE3">
        <w:trPr>
          <w:trHeight w:val="255"/>
        </w:trPr>
        <w:tc>
          <w:tcPr>
            <w:tcW w:w="5220" w:type="dxa"/>
            <w:shd w:val="clear" w:color="auto" w:fill="auto"/>
            <w:noWrap/>
            <w:vAlign w:val="center"/>
            <w:hideMark/>
          </w:tcPr>
          <w:p w14:paraId="2D3E8D49" w14:textId="00A91E4F" w:rsidR="00C00BE3" w:rsidRPr="00C00BE3" w:rsidRDefault="00C00BE3" w:rsidP="00C00BE3">
            <w:pPr>
              <w:spacing w:after="0" w:line="240" w:lineRule="auto"/>
              <w:rPr>
                <w:rFonts w:ascii="Arial" w:eastAsia="Times New Roman" w:hAnsi="Arial" w:cs="Arial"/>
                <w:color w:val="000000"/>
                <w:sz w:val="18"/>
                <w:szCs w:val="18"/>
                <w:lang w:eastAsia="sl-SI"/>
              </w:rPr>
            </w:pPr>
            <w:r w:rsidRPr="00C00BE3">
              <w:rPr>
                <w:rFonts w:ascii="Arial" w:eastAsia="Times New Roman" w:hAnsi="Arial" w:cs="Arial"/>
                <w:color w:val="000000"/>
                <w:sz w:val="18"/>
                <w:szCs w:val="18"/>
                <w:lang w:eastAsia="sl-SI"/>
              </w:rPr>
              <w:t>Postopek s pogajanji brez predhodne objave</w:t>
            </w:r>
          </w:p>
        </w:tc>
        <w:tc>
          <w:tcPr>
            <w:tcW w:w="960" w:type="dxa"/>
            <w:shd w:val="clear" w:color="auto" w:fill="auto"/>
            <w:vAlign w:val="center"/>
            <w:hideMark/>
          </w:tcPr>
          <w:p w14:paraId="53BF0395" w14:textId="0827A349" w:rsidR="00C00BE3" w:rsidRPr="00C00BE3" w:rsidRDefault="00C00BE3" w:rsidP="00C00BE3">
            <w:pPr>
              <w:spacing w:after="0" w:line="240" w:lineRule="auto"/>
              <w:jc w:val="right"/>
              <w:rPr>
                <w:rFonts w:ascii="Arial" w:eastAsia="Times New Roman" w:hAnsi="Arial" w:cs="Arial"/>
                <w:color w:val="000000" w:themeColor="text1"/>
                <w:sz w:val="18"/>
                <w:szCs w:val="18"/>
                <w:lang w:eastAsia="sl-SI"/>
              </w:rPr>
            </w:pPr>
            <w:r w:rsidRPr="00C00BE3">
              <w:rPr>
                <w:rFonts w:ascii="Arial" w:eastAsia="Times New Roman" w:hAnsi="Arial" w:cs="Arial"/>
                <w:color w:val="000000" w:themeColor="text1"/>
                <w:sz w:val="18"/>
                <w:szCs w:val="18"/>
                <w:lang w:eastAsia="sl-SI"/>
              </w:rPr>
              <w:t>38</w:t>
            </w:r>
          </w:p>
        </w:tc>
        <w:tc>
          <w:tcPr>
            <w:tcW w:w="1292" w:type="dxa"/>
            <w:shd w:val="clear" w:color="auto" w:fill="auto"/>
            <w:vAlign w:val="center"/>
            <w:hideMark/>
          </w:tcPr>
          <w:p w14:paraId="61F951B4" w14:textId="3B070A9B" w:rsidR="00C00BE3" w:rsidRPr="00C00BE3" w:rsidRDefault="00C00BE3" w:rsidP="00C00BE3">
            <w:pPr>
              <w:spacing w:after="0" w:line="240" w:lineRule="auto"/>
              <w:jc w:val="right"/>
              <w:rPr>
                <w:rFonts w:ascii="Arial" w:eastAsia="Times New Roman" w:hAnsi="Arial" w:cs="Arial"/>
                <w:color w:val="000000" w:themeColor="text1"/>
                <w:sz w:val="18"/>
                <w:szCs w:val="18"/>
                <w:lang w:eastAsia="sl-SI"/>
              </w:rPr>
            </w:pPr>
            <w:r w:rsidRPr="00C00BE3">
              <w:rPr>
                <w:rFonts w:ascii="Arial" w:eastAsia="Times New Roman" w:hAnsi="Arial" w:cs="Arial"/>
                <w:color w:val="000000" w:themeColor="text1"/>
                <w:sz w:val="18"/>
                <w:szCs w:val="18"/>
                <w:lang w:eastAsia="sl-SI"/>
              </w:rPr>
              <w:t>13.235.341</w:t>
            </w:r>
          </w:p>
        </w:tc>
        <w:tc>
          <w:tcPr>
            <w:tcW w:w="960" w:type="dxa"/>
            <w:shd w:val="clear" w:color="auto" w:fill="auto"/>
            <w:noWrap/>
            <w:vAlign w:val="center"/>
            <w:hideMark/>
          </w:tcPr>
          <w:p w14:paraId="34C059C8" w14:textId="30983A38" w:rsidR="00C00BE3" w:rsidRPr="00C00BE3" w:rsidRDefault="00C00BE3" w:rsidP="00C00BE3">
            <w:pPr>
              <w:spacing w:after="0" w:line="240" w:lineRule="auto"/>
              <w:jc w:val="right"/>
              <w:rPr>
                <w:rFonts w:ascii="Arial" w:eastAsia="Times New Roman" w:hAnsi="Arial" w:cs="Arial"/>
                <w:color w:val="000000" w:themeColor="text1"/>
                <w:sz w:val="18"/>
                <w:szCs w:val="18"/>
                <w:lang w:eastAsia="sl-SI"/>
              </w:rPr>
            </w:pPr>
            <w:r w:rsidRPr="00C00BE3">
              <w:rPr>
                <w:rFonts w:ascii="Arial" w:eastAsia="Times New Roman" w:hAnsi="Arial" w:cs="Arial"/>
                <w:color w:val="000000" w:themeColor="text1"/>
                <w:sz w:val="18"/>
                <w:szCs w:val="18"/>
                <w:lang w:eastAsia="sl-SI"/>
              </w:rPr>
              <w:t>4,20 %</w:t>
            </w:r>
          </w:p>
        </w:tc>
        <w:tc>
          <w:tcPr>
            <w:tcW w:w="960" w:type="dxa"/>
            <w:shd w:val="clear" w:color="auto" w:fill="auto"/>
            <w:noWrap/>
            <w:vAlign w:val="center"/>
            <w:hideMark/>
          </w:tcPr>
          <w:p w14:paraId="52411D01" w14:textId="1DF78990" w:rsidR="00C00BE3" w:rsidRPr="00C00BE3" w:rsidRDefault="00C00BE3" w:rsidP="00C00BE3">
            <w:pPr>
              <w:spacing w:after="0" w:line="240" w:lineRule="auto"/>
              <w:jc w:val="right"/>
              <w:rPr>
                <w:rFonts w:ascii="Arial" w:eastAsia="Times New Roman" w:hAnsi="Arial" w:cs="Arial"/>
                <w:color w:val="000000" w:themeColor="text1"/>
                <w:sz w:val="18"/>
                <w:szCs w:val="18"/>
                <w:lang w:eastAsia="sl-SI"/>
              </w:rPr>
            </w:pPr>
            <w:r w:rsidRPr="00C00BE3">
              <w:rPr>
                <w:rFonts w:ascii="Arial" w:eastAsia="Times New Roman" w:hAnsi="Arial" w:cs="Arial"/>
                <w:color w:val="000000" w:themeColor="text1"/>
                <w:sz w:val="18"/>
                <w:szCs w:val="18"/>
                <w:lang w:eastAsia="sl-SI"/>
              </w:rPr>
              <w:t>1,86 %</w:t>
            </w:r>
          </w:p>
        </w:tc>
      </w:tr>
      <w:tr w:rsidR="00C00BE3" w:rsidRPr="00C00BE3" w14:paraId="3E6BCA55" w14:textId="77777777" w:rsidTr="00C00BE3">
        <w:trPr>
          <w:trHeight w:val="255"/>
        </w:trPr>
        <w:tc>
          <w:tcPr>
            <w:tcW w:w="5220" w:type="dxa"/>
            <w:shd w:val="clear" w:color="auto" w:fill="F2F2F2" w:themeFill="background1" w:themeFillShade="F2"/>
            <w:vAlign w:val="center"/>
            <w:hideMark/>
          </w:tcPr>
          <w:p w14:paraId="296469E6" w14:textId="77777777" w:rsidR="00C00BE3" w:rsidRPr="00C00BE3" w:rsidRDefault="00C00BE3" w:rsidP="00C00BE3">
            <w:pPr>
              <w:spacing w:after="0" w:line="240" w:lineRule="auto"/>
              <w:rPr>
                <w:rFonts w:ascii="Arial" w:eastAsia="Times New Roman" w:hAnsi="Arial" w:cs="Arial"/>
                <w:b/>
                <w:bCs/>
                <w:color w:val="000000"/>
                <w:sz w:val="18"/>
                <w:szCs w:val="18"/>
                <w:lang w:eastAsia="sl-SI"/>
              </w:rPr>
            </w:pPr>
            <w:r w:rsidRPr="00C00BE3">
              <w:rPr>
                <w:rFonts w:ascii="Arial" w:eastAsia="Times New Roman" w:hAnsi="Arial" w:cs="Arial"/>
                <w:b/>
                <w:bCs/>
                <w:color w:val="000000"/>
                <w:sz w:val="18"/>
                <w:szCs w:val="18"/>
                <w:lang w:eastAsia="sl-SI"/>
              </w:rPr>
              <w:t>Skupaj</w:t>
            </w:r>
          </w:p>
        </w:tc>
        <w:tc>
          <w:tcPr>
            <w:tcW w:w="960" w:type="dxa"/>
            <w:shd w:val="clear" w:color="auto" w:fill="F2F2F2" w:themeFill="background1" w:themeFillShade="F2"/>
            <w:noWrap/>
            <w:vAlign w:val="center"/>
            <w:hideMark/>
          </w:tcPr>
          <w:p w14:paraId="0C3F5CB2" w14:textId="00BAB904" w:rsidR="00C00BE3" w:rsidRPr="00C00BE3" w:rsidRDefault="00C00BE3" w:rsidP="00C00BE3">
            <w:pPr>
              <w:spacing w:after="0" w:line="240" w:lineRule="auto"/>
              <w:jc w:val="right"/>
              <w:rPr>
                <w:rFonts w:ascii="Arial" w:eastAsia="Times New Roman" w:hAnsi="Arial" w:cs="Arial"/>
                <w:b/>
                <w:bCs/>
                <w:color w:val="000000" w:themeColor="text1"/>
                <w:sz w:val="18"/>
                <w:szCs w:val="18"/>
                <w:lang w:eastAsia="sl-SI"/>
              </w:rPr>
            </w:pPr>
            <w:r w:rsidRPr="00C00BE3">
              <w:rPr>
                <w:rFonts w:ascii="Arial" w:eastAsia="Times New Roman" w:hAnsi="Arial" w:cs="Arial"/>
                <w:b/>
                <w:bCs/>
                <w:color w:val="000000" w:themeColor="text1"/>
                <w:sz w:val="18"/>
                <w:szCs w:val="18"/>
                <w:lang w:eastAsia="sl-SI"/>
              </w:rPr>
              <w:t>904</w:t>
            </w:r>
          </w:p>
        </w:tc>
        <w:tc>
          <w:tcPr>
            <w:tcW w:w="1292" w:type="dxa"/>
            <w:shd w:val="clear" w:color="auto" w:fill="F2F2F2" w:themeFill="background1" w:themeFillShade="F2"/>
            <w:noWrap/>
            <w:vAlign w:val="center"/>
            <w:hideMark/>
          </w:tcPr>
          <w:p w14:paraId="75D3DEB8" w14:textId="5E0A0749" w:rsidR="00C00BE3" w:rsidRPr="00C00BE3" w:rsidRDefault="00C00BE3" w:rsidP="00C00BE3">
            <w:pPr>
              <w:spacing w:after="0" w:line="240" w:lineRule="auto"/>
              <w:jc w:val="right"/>
              <w:rPr>
                <w:rFonts w:ascii="Arial" w:eastAsia="Times New Roman" w:hAnsi="Arial" w:cs="Arial"/>
                <w:b/>
                <w:bCs/>
                <w:color w:val="000000" w:themeColor="text1"/>
                <w:sz w:val="18"/>
                <w:szCs w:val="18"/>
                <w:lang w:eastAsia="sl-SI"/>
              </w:rPr>
            </w:pPr>
            <w:r w:rsidRPr="00C00BE3">
              <w:rPr>
                <w:rFonts w:ascii="Arial" w:eastAsia="Times New Roman" w:hAnsi="Arial" w:cs="Arial"/>
                <w:b/>
                <w:bCs/>
                <w:color w:val="000000" w:themeColor="text1"/>
                <w:sz w:val="18"/>
                <w:szCs w:val="18"/>
                <w:lang w:eastAsia="sl-SI"/>
              </w:rPr>
              <w:t>711.711.015</w:t>
            </w:r>
          </w:p>
        </w:tc>
        <w:tc>
          <w:tcPr>
            <w:tcW w:w="960" w:type="dxa"/>
            <w:shd w:val="clear" w:color="auto" w:fill="F2F2F2" w:themeFill="background1" w:themeFillShade="F2"/>
            <w:noWrap/>
            <w:vAlign w:val="center"/>
            <w:hideMark/>
          </w:tcPr>
          <w:p w14:paraId="5C1432AD" w14:textId="521BDADB" w:rsidR="00C00BE3" w:rsidRPr="00C00BE3" w:rsidRDefault="00C00BE3" w:rsidP="00C00BE3">
            <w:pPr>
              <w:spacing w:after="0" w:line="240" w:lineRule="auto"/>
              <w:jc w:val="right"/>
              <w:rPr>
                <w:rFonts w:ascii="Arial" w:eastAsia="Times New Roman" w:hAnsi="Arial" w:cs="Arial"/>
                <w:b/>
                <w:bCs/>
                <w:color w:val="000000" w:themeColor="text1"/>
                <w:sz w:val="18"/>
                <w:szCs w:val="18"/>
                <w:lang w:eastAsia="sl-SI"/>
              </w:rPr>
            </w:pPr>
            <w:r w:rsidRPr="00C00BE3">
              <w:rPr>
                <w:rFonts w:ascii="Arial" w:eastAsia="Times New Roman" w:hAnsi="Arial" w:cs="Arial"/>
                <w:b/>
                <w:bCs/>
                <w:color w:val="000000" w:themeColor="text1"/>
                <w:sz w:val="18"/>
                <w:szCs w:val="18"/>
                <w:lang w:eastAsia="sl-SI"/>
              </w:rPr>
              <w:t>100,00 %</w:t>
            </w:r>
          </w:p>
        </w:tc>
        <w:tc>
          <w:tcPr>
            <w:tcW w:w="960" w:type="dxa"/>
            <w:shd w:val="clear" w:color="auto" w:fill="F2F2F2" w:themeFill="background1" w:themeFillShade="F2"/>
            <w:noWrap/>
            <w:vAlign w:val="center"/>
            <w:hideMark/>
          </w:tcPr>
          <w:p w14:paraId="0DE8FE2D" w14:textId="0D7A7825" w:rsidR="00C00BE3" w:rsidRPr="00C00BE3" w:rsidRDefault="00C00BE3" w:rsidP="00C00BE3">
            <w:pPr>
              <w:spacing w:after="0" w:line="240" w:lineRule="auto"/>
              <w:jc w:val="right"/>
              <w:rPr>
                <w:rFonts w:ascii="Arial" w:eastAsia="Times New Roman" w:hAnsi="Arial" w:cs="Arial"/>
                <w:b/>
                <w:bCs/>
                <w:color w:val="000000" w:themeColor="text1"/>
                <w:sz w:val="18"/>
                <w:szCs w:val="18"/>
                <w:lang w:eastAsia="sl-SI"/>
              </w:rPr>
            </w:pPr>
            <w:r w:rsidRPr="00C00BE3">
              <w:rPr>
                <w:rFonts w:ascii="Arial" w:eastAsia="Times New Roman" w:hAnsi="Arial" w:cs="Arial"/>
                <w:b/>
                <w:bCs/>
                <w:color w:val="000000" w:themeColor="text1"/>
                <w:sz w:val="18"/>
                <w:szCs w:val="18"/>
                <w:lang w:eastAsia="sl-SI"/>
              </w:rPr>
              <w:t>100,00 %</w:t>
            </w:r>
          </w:p>
        </w:tc>
      </w:tr>
    </w:tbl>
    <w:p w14:paraId="74C7F74E" w14:textId="77777777" w:rsidR="00503D37" w:rsidRPr="00C00BE3" w:rsidRDefault="00503D37" w:rsidP="004A613D">
      <w:pPr>
        <w:spacing w:after="0" w:line="240" w:lineRule="auto"/>
        <w:jc w:val="center"/>
        <w:rPr>
          <w:rFonts w:ascii="Arial" w:hAnsi="Arial" w:cs="Arial"/>
          <w:sz w:val="18"/>
        </w:rPr>
      </w:pPr>
    </w:p>
    <w:p w14:paraId="7A148D8D" w14:textId="0F4EA907" w:rsidR="003F5C42" w:rsidRPr="00AF6C62" w:rsidRDefault="003F5C42" w:rsidP="0001172F">
      <w:pPr>
        <w:spacing w:after="240" w:line="240" w:lineRule="auto"/>
        <w:jc w:val="center"/>
        <w:rPr>
          <w:rFonts w:ascii="Arial" w:hAnsi="Arial" w:cs="Arial"/>
          <w:sz w:val="18"/>
        </w:rPr>
      </w:pPr>
      <w:r w:rsidRPr="00AF6C62">
        <w:rPr>
          <w:rFonts w:ascii="Arial" w:hAnsi="Arial" w:cs="Arial"/>
          <w:sz w:val="18"/>
        </w:rPr>
        <w:t>Vir: Statistični podatki o javnih naročilih, oddanih</w:t>
      </w:r>
      <w:r w:rsidR="003D3D5C" w:rsidRPr="00AF6C62">
        <w:rPr>
          <w:rFonts w:ascii="Arial" w:hAnsi="Arial" w:cs="Arial"/>
          <w:sz w:val="18"/>
        </w:rPr>
        <w:t xml:space="preserve"> v letu 20</w:t>
      </w:r>
      <w:r w:rsidR="00C34099" w:rsidRPr="00AF6C62">
        <w:rPr>
          <w:rFonts w:ascii="Arial" w:hAnsi="Arial" w:cs="Arial"/>
          <w:sz w:val="18"/>
        </w:rPr>
        <w:t>2</w:t>
      </w:r>
      <w:r w:rsidR="00C00BE3" w:rsidRPr="00AF6C62">
        <w:rPr>
          <w:rFonts w:ascii="Arial" w:hAnsi="Arial" w:cs="Arial"/>
          <w:sz w:val="18"/>
        </w:rPr>
        <w:t>2</w:t>
      </w:r>
      <w:r w:rsidR="00427811" w:rsidRPr="00AF6C62">
        <w:rPr>
          <w:rFonts w:ascii="Arial" w:hAnsi="Arial" w:cs="Arial"/>
          <w:sz w:val="18"/>
        </w:rPr>
        <w:t>.</w:t>
      </w:r>
    </w:p>
    <w:p w14:paraId="000653B3" w14:textId="6D174D5A" w:rsidR="00A6598C" w:rsidRPr="00AF6C62" w:rsidRDefault="002B74A3" w:rsidP="009B1F9D">
      <w:pPr>
        <w:spacing w:before="120" w:after="120" w:line="360" w:lineRule="auto"/>
        <w:jc w:val="both"/>
        <w:rPr>
          <w:rFonts w:ascii="Arial" w:hAnsi="Arial" w:cs="Arial"/>
          <w:sz w:val="20"/>
          <w:szCs w:val="20"/>
          <w:lang w:eastAsia="sl-SI"/>
        </w:rPr>
      </w:pPr>
      <w:r w:rsidRPr="00AF6C62">
        <w:rPr>
          <w:rFonts w:ascii="Arial" w:hAnsi="Arial" w:cs="Arial"/>
          <w:sz w:val="20"/>
          <w:szCs w:val="20"/>
          <w:lang w:eastAsia="sl-SI"/>
        </w:rPr>
        <w:t>Leta</w:t>
      </w:r>
      <w:r w:rsidR="009B1F9D" w:rsidRPr="00AF6C62">
        <w:rPr>
          <w:rFonts w:ascii="Arial" w:hAnsi="Arial" w:cs="Arial"/>
          <w:sz w:val="20"/>
          <w:szCs w:val="20"/>
          <w:lang w:eastAsia="sl-SI"/>
        </w:rPr>
        <w:t xml:space="preserve"> 20</w:t>
      </w:r>
      <w:r w:rsidR="00C33EE6" w:rsidRPr="00AF6C62">
        <w:rPr>
          <w:rFonts w:ascii="Arial" w:hAnsi="Arial" w:cs="Arial"/>
          <w:sz w:val="20"/>
          <w:szCs w:val="20"/>
          <w:lang w:eastAsia="sl-SI"/>
        </w:rPr>
        <w:t>2</w:t>
      </w:r>
      <w:r w:rsidR="00AF6C62" w:rsidRPr="00AF6C62">
        <w:rPr>
          <w:rFonts w:ascii="Arial" w:hAnsi="Arial" w:cs="Arial"/>
          <w:sz w:val="20"/>
          <w:szCs w:val="20"/>
          <w:lang w:eastAsia="sl-SI"/>
        </w:rPr>
        <w:t>2</w:t>
      </w:r>
      <w:r w:rsidR="009B1F9D" w:rsidRPr="00AF6C62">
        <w:rPr>
          <w:rFonts w:ascii="Arial" w:hAnsi="Arial" w:cs="Arial"/>
          <w:sz w:val="20"/>
          <w:szCs w:val="20"/>
          <w:lang w:eastAsia="sl-SI"/>
        </w:rPr>
        <w:t xml:space="preserve"> </w:t>
      </w:r>
      <w:r w:rsidR="00325434" w:rsidRPr="00AF6C62">
        <w:rPr>
          <w:rFonts w:ascii="Arial" w:hAnsi="Arial" w:cs="Arial"/>
          <w:sz w:val="20"/>
          <w:szCs w:val="20"/>
          <w:lang w:eastAsia="sl-SI"/>
        </w:rPr>
        <w:t xml:space="preserve">so bile </w:t>
      </w:r>
      <w:r w:rsidR="009B1F9D" w:rsidRPr="00AF6C62">
        <w:rPr>
          <w:rFonts w:ascii="Arial" w:hAnsi="Arial" w:cs="Arial"/>
          <w:sz w:val="20"/>
          <w:szCs w:val="20"/>
          <w:lang w:eastAsia="sl-SI"/>
        </w:rPr>
        <w:t xml:space="preserve">pogodbene vrednosti pri javnih naročilih, (so)financiranih s sredstvi Evropske unije, </w:t>
      </w:r>
      <w:r w:rsidR="00AF6C62" w:rsidRPr="00AF6C62">
        <w:rPr>
          <w:rFonts w:ascii="Arial" w:hAnsi="Arial" w:cs="Arial"/>
          <w:sz w:val="20"/>
          <w:szCs w:val="20"/>
          <w:lang w:eastAsia="sl-SI"/>
        </w:rPr>
        <w:t>nižje</w:t>
      </w:r>
      <w:r w:rsidR="00E52825" w:rsidRPr="00AF6C62">
        <w:rPr>
          <w:rFonts w:ascii="Arial" w:hAnsi="Arial" w:cs="Arial"/>
          <w:sz w:val="20"/>
          <w:szCs w:val="20"/>
          <w:lang w:eastAsia="sl-SI"/>
        </w:rPr>
        <w:t xml:space="preserve"> kot v </w:t>
      </w:r>
      <w:r w:rsidR="00AF6C62" w:rsidRPr="00AF6C62">
        <w:rPr>
          <w:rFonts w:ascii="Arial" w:hAnsi="Arial" w:cs="Arial"/>
          <w:sz w:val="20"/>
          <w:szCs w:val="20"/>
          <w:lang w:eastAsia="sl-SI"/>
        </w:rPr>
        <w:t>pre</w:t>
      </w:r>
      <w:r w:rsidR="00A22784">
        <w:rPr>
          <w:rFonts w:ascii="Arial" w:hAnsi="Arial" w:cs="Arial"/>
          <w:sz w:val="20"/>
          <w:szCs w:val="20"/>
          <w:lang w:eastAsia="sl-SI"/>
        </w:rPr>
        <w:t>jšnjem</w:t>
      </w:r>
      <w:r w:rsidR="00AF6C62" w:rsidRPr="00AF6C62">
        <w:rPr>
          <w:rFonts w:ascii="Arial" w:hAnsi="Arial" w:cs="Arial"/>
          <w:sz w:val="20"/>
          <w:szCs w:val="20"/>
          <w:lang w:eastAsia="sl-SI"/>
        </w:rPr>
        <w:t xml:space="preserve"> letu.</w:t>
      </w:r>
    </w:p>
    <w:p w14:paraId="3F68A792" w14:textId="60AEBB5E" w:rsidR="003F5C42" w:rsidRPr="003E400A" w:rsidRDefault="003F5C42" w:rsidP="00701C10">
      <w:pPr>
        <w:spacing w:before="120" w:after="120" w:line="240" w:lineRule="auto"/>
        <w:jc w:val="both"/>
        <w:rPr>
          <w:rFonts w:ascii="Arial" w:hAnsi="Arial" w:cs="Arial"/>
          <w:sz w:val="20"/>
        </w:rPr>
      </w:pPr>
      <w:r w:rsidRPr="003E400A">
        <w:rPr>
          <w:rFonts w:ascii="Arial" w:hAnsi="Arial" w:cs="Arial"/>
          <w:sz w:val="20"/>
        </w:rPr>
        <w:t xml:space="preserve">Preglednica </w:t>
      </w:r>
      <w:r w:rsidR="00512F52" w:rsidRPr="003E400A">
        <w:rPr>
          <w:rFonts w:ascii="Arial" w:hAnsi="Arial" w:cs="Arial"/>
          <w:sz w:val="20"/>
        </w:rPr>
        <w:t>4</w:t>
      </w:r>
      <w:r w:rsidR="00EA747F">
        <w:rPr>
          <w:rFonts w:ascii="Arial" w:hAnsi="Arial" w:cs="Arial"/>
          <w:sz w:val="20"/>
        </w:rPr>
        <w:t>6</w:t>
      </w:r>
      <w:r w:rsidRPr="003E400A">
        <w:rPr>
          <w:rFonts w:ascii="Arial" w:hAnsi="Arial" w:cs="Arial"/>
          <w:sz w:val="20"/>
        </w:rPr>
        <w:t xml:space="preserve">: Javna naročila, (so)financirana s sredstvi Evropske unije, v </w:t>
      </w:r>
      <w:r w:rsidR="00D126AA" w:rsidRPr="003E400A">
        <w:rPr>
          <w:rFonts w:ascii="Arial" w:hAnsi="Arial" w:cs="Arial"/>
          <w:sz w:val="20"/>
        </w:rPr>
        <w:t xml:space="preserve">letih </w:t>
      </w:r>
      <w:r w:rsidR="00013C26" w:rsidRPr="003E400A">
        <w:rPr>
          <w:rFonts w:ascii="Arial" w:hAnsi="Arial" w:cs="Arial"/>
          <w:sz w:val="18"/>
        </w:rPr>
        <w:t>2012</w:t>
      </w:r>
      <w:r w:rsidR="00013C26" w:rsidRPr="003E400A">
        <w:rPr>
          <w:rFonts w:ascii="Arial" w:eastAsia="Times New Roman" w:hAnsi="Arial" w:cs="Arial"/>
          <w:color w:val="000000"/>
          <w:sz w:val="18"/>
          <w:szCs w:val="18"/>
          <w:lang w:eastAsia="sl-SI"/>
        </w:rPr>
        <w:sym w:font="Symbol" w:char="F02D"/>
      </w:r>
      <w:r w:rsidR="00013C26" w:rsidRPr="003E400A">
        <w:rPr>
          <w:rFonts w:ascii="Arial" w:hAnsi="Arial" w:cs="Arial"/>
          <w:sz w:val="18"/>
        </w:rPr>
        <w:t>202</w:t>
      </w:r>
      <w:r w:rsidR="003E400A" w:rsidRPr="003E400A">
        <w:rPr>
          <w:rFonts w:ascii="Arial" w:hAnsi="Arial" w:cs="Arial"/>
          <w:sz w:val="18"/>
        </w:rPr>
        <w:t>2</w:t>
      </w:r>
    </w:p>
    <w:tbl>
      <w:tblPr>
        <w:tblW w:w="4820" w:type="dxa"/>
        <w:jc w:val="center"/>
        <w:tblCellMar>
          <w:left w:w="70" w:type="dxa"/>
          <w:right w:w="70" w:type="dxa"/>
        </w:tblCellMar>
        <w:tblLook w:val="04A0" w:firstRow="1" w:lastRow="0" w:firstColumn="1" w:lastColumn="0" w:noHBand="0" w:noVBand="1"/>
      </w:tblPr>
      <w:tblGrid>
        <w:gridCol w:w="2620"/>
        <w:gridCol w:w="2200"/>
      </w:tblGrid>
      <w:tr w:rsidR="00C37684" w:rsidRPr="003E400A" w14:paraId="031695EB" w14:textId="77777777" w:rsidTr="00CD447F">
        <w:trPr>
          <w:trHeight w:val="255"/>
          <w:tblHeader/>
          <w:jc w:val="center"/>
        </w:trPr>
        <w:tc>
          <w:tcPr>
            <w:tcW w:w="2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2C2C89" w14:textId="77777777" w:rsidR="00C37684" w:rsidRPr="003E400A" w:rsidRDefault="00C37684" w:rsidP="00C37684">
            <w:pPr>
              <w:spacing w:after="0" w:line="240" w:lineRule="auto"/>
              <w:jc w:val="center"/>
              <w:rPr>
                <w:rFonts w:ascii="Arial" w:eastAsia="Times New Roman" w:hAnsi="Arial" w:cs="Arial"/>
                <w:color w:val="000000"/>
                <w:sz w:val="18"/>
                <w:szCs w:val="18"/>
                <w:lang w:eastAsia="sl-SI"/>
              </w:rPr>
            </w:pPr>
            <w:r w:rsidRPr="003E400A">
              <w:rPr>
                <w:rFonts w:ascii="Arial" w:eastAsia="Times New Roman" w:hAnsi="Arial" w:cs="Arial"/>
                <w:color w:val="000000"/>
                <w:sz w:val="18"/>
                <w:szCs w:val="18"/>
                <w:lang w:eastAsia="sl-SI"/>
              </w:rPr>
              <w:t>Leto</w:t>
            </w:r>
          </w:p>
        </w:tc>
        <w:tc>
          <w:tcPr>
            <w:tcW w:w="220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3B57357" w14:textId="77777777" w:rsidR="00C37684" w:rsidRPr="003E400A" w:rsidRDefault="00C37684" w:rsidP="00C37684">
            <w:pPr>
              <w:spacing w:after="0" w:line="240" w:lineRule="auto"/>
              <w:jc w:val="center"/>
              <w:rPr>
                <w:rFonts w:ascii="Arial" w:eastAsia="Times New Roman" w:hAnsi="Arial" w:cs="Arial"/>
                <w:color w:val="000000"/>
                <w:sz w:val="18"/>
                <w:szCs w:val="18"/>
                <w:lang w:eastAsia="sl-SI"/>
              </w:rPr>
            </w:pPr>
            <w:r w:rsidRPr="003E400A">
              <w:rPr>
                <w:rFonts w:ascii="Arial" w:eastAsia="Times New Roman" w:hAnsi="Arial" w:cs="Arial"/>
                <w:color w:val="000000"/>
                <w:sz w:val="18"/>
                <w:szCs w:val="18"/>
                <w:lang w:eastAsia="sl-SI"/>
              </w:rPr>
              <w:t>Pogodbena vrednost</w:t>
            </w:r>
          </w:p>
        </w:tc>
      </w:tr>
      <w:tr w:rsidR="00C37684" w:rsidRPr="003E400A" w14:paraId="670FDF45" w14:textId="77777777" w:rsidTr="001A5099">
        <w:trPr>
          <w:trHeight w:val="255"/>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14820C86" w14:textId="77777777" w:rsidR="00C37684" w:rsidRPr="003E400A" w:rsidRDefault="00C37684" w:rsidP="00C37684">
            <w:pPr>
              <w:spacing w:after="0" w:line="240" w:lineRule="auto"/>
              <w:jc w:val="center"/>
              <w:rPr>
                <w:rFonts w:ascii="Arial" w:eastAsia="Times New Roman" w:hAnsi="Arial" w:cs="Arial"/>
                <w:color w:val="000000"/>
                <w:sz w:val="18"/>
                <w:szCs w:val="18"/>
                <w:lang w:eastAsia="sl-SI"/>
              </w:rPr>
            </w:pPr>
            <w:r w:rsidRPr="003E400A">
              <w:rPr>
                <w:rFonts w:ascii="Arial" w:eastAsia="Times New Roman" w:hAnsi="Arial" w:cs="Arial"/>
                <w:color w:val="000000"/>
                <w:sz w:val="18"/>
                <w:szCs w:val="18"/>
                <w:lang w:eastAsia="sl-SI"/>
              </w:rPr>
              <w:t>2012</w:t>
            </w:r>
          </w:p>
        </w:tc>
        <w:tc>
          <w:tcPr>
            <w:tcW w:w="2200" w:type="dxa"/>
            <w:tcBorders>
              <w:top w:val="nil"/>
              <w:left w:val="nil"/>
              <w:bottom w:val="single" w:sz="4" w:space="0" w:color="auto"/>
              <w:right w:val="single" w:sz="4" w:space="0" w:color="auto"/>
            </w:tcBorders>
            <w:shd w:val="clear" w:color="auto" w:fill="auto"/>
            <w:noWrap/>
            <w:vAlign w:val="center"/>
            <w:hideMark/>
          </w:tcPr>
          <w:p w14:paraId="5C273457" w14:textId="77777777" w:rsidR="00C37684" w:rsidRPr="003E400A" w:rsidRDefault="00C37684" w:rsidP="00C37684">
            <w:pPr>
              <w:spacing w:after="0" w:line="240" w:lineRule="auto"/>
              <w:jc w:val="right"/>
              <w:rPr>
                <w:rFonts w:ascii="Arial" w:eastAsia="Times New Roman" w:hAnsi="Arial" w:cs="Arial"/>
                <w:color w:val="000000"/>
                <w:sz w:val="18"/>
                <w:szCs w:val="18"/>
                <w:lang w:eastAsia="sl-SI"/>
              </w:rPr>
            </w:pPr>
            <w:r w:rsidRPr="003E400A">
              <w:rPr>
                <w:rFonts w:ascii="Arial" w:eastAsia="Times New Roman" w:hAnsi="Arial" w:cs="Arial"/>
                <w:color w:val="000000"/>
                <w:sz w:val="18"/>
                <w:szCs w:val="18"/>
                <w:lang w:eastAsia="sl-SI"/>
              </w:rPr>
              <w:t>633.505.237</w:t>
            </w:r>
          </w:p>
        </w:tc>
      </w:tr>
      <w:tr w:rsidR="00C37684" w:rsidRPr="003E400A" w14:paraId="010ED150" w14:textId="77777777" w:rsidTr="001A5099">
        <w:trPr>
          <w:trHeight w:val="255"/>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66F548F5" w14:textId="77777777" w:rsidR="00C37684" w:rsidRPr="003E400A" w:rsidRDefault="00C37684" w:rsidP="00C37684">
            <w:pPr>
              <w:spacing w:after="0" w:line="240" w:lineRule="auto"/>
              <w:jc w:val="center"/>
              <w:rPr>
                <w:rFonts w:ascii="Arial" w:eastAsia="Times New Roman" w:hAnsi="Arial" w:cs="Arial"/>
                <w:color w:val="000000"/>
                <w:sz w:val="18"/>
                <w:szCs w:val="18"/>
                <w:lang w:eastAsia="sl-SI"/>
              </w:rPr>
            </w:pPr>
            <w:r w:rsidRPr="003E400A">
              <w:rPr>
                <w:rFonts w:ascii="Arial" w:eastAsia="Times New Roman" w:hAnsi="Arial" w:cs="Arial"/>
                <w:color w:val="000000"/>
                <w:sz w:val="18"/>
                <w:szCs w:val="18"/>
                <w:lang w:eastAsia="sl-SI"/>
              </w:rPr>
              <w:t>2013</w:t>
            </w:r>
          </w:p>
        </w:tc>
        <w:tc>
          <w:tcPr>
            <w:tcW w:w="2200" w:type="dxa"/>
            <w:tcBorders>
              <w:top w:val="nil"/>
              <w:left w:val="nil"/>
              <w:bottom w:val="single" w:sz="4" w:space="0" w:color="auto"/>
              <w:right w:val="single" w:sz="4" w:space="0" w:color="auto"/>
            </w:tcBorders>
            <w:shd w:val="clear" w:color="auto" w:fill="auto"/>
            <w:noWrap/>
            <w:vAlign w:val="center"/>
            <w:hideMark/>
          </w:tcPr>
          <w:p w14:paraId="6AFCD89C" w14:textId="77777777" w:rsidR="00C37684" w:rsidRPr="003E400A" w:rsidRDefault="00C37684" w:rsidP="00C37684">
            <w:pPr>
              <w:spacing w:after="0" w:line="240" w:lineRule="auto"/>
              <w:jc w:val="right"/>
              <w:rPr>
                <w:rFonts w:ascii="Arial" w:eastAsia="Times New Roman" w:hAnsi="Arial" w:cs="Arial"/>
                <w:color w:val="000000"/>
                <w:sz w:val="18"/>
                <w:szCs w:val="18"/>
                <w:lang w:eastAsia="sl-SI"/>
              </w:rPr>
            </w:pPr>
            <w:r w:rsidRPr="003E400A">
              <w:rPr>
                <w:rFonts w:ascii="Arial" w:eastAsia="Times New Roman" w:hAnsi="Arial" w:cs="Arial"/>
                <w:color w:val="000000"/>
                <w:sz w:val="18"/>
                <w:szCs w:val="18"/>
                <w:lang w:eastAsia="sl-SI"/>
              </w:rPr>
              <w:t>1.510.376.463</w:t>
            </w:r>
          </w:p>
        </w:tc>
      </w:tr>
      <w:tr w:rsidR="00C37684" w:rsidRPr="003E400A" w14:paraId="44F7B2C7" w14:textId="77777777" w:rsidTr="001A5099">
        <w:trPr>
          <w:trHeight w:val="255"/>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30808843" w14:textId="77777777" w:rsidR="00C37684" w:rsidRPr="003E400A" w:rsidRDefault="00C37684" w:rsidP="00C37684">
            <w:pPr>
              <w:spacing w:after="0" w:line="240" w:lineRule="auto"/>
              <w:jc w:val="center"/>
              <w:rPr>
                <w:rFonts w:ascii="Arial" w:eastAsia="Times New Roman" w:hAnsi="Arial" w:cs="Arial"/>
                <w:color w:val="000000"/>
                <w:sz w:val="18"/>
                <w:szCs w:val="18"/>
                <w:lang w:eastAsia="sl-SI"/>
              </w:rPr>
            </w:pPr>
            <w:r w:rsidRPr="003E400A">
              <w:rPr>
                <w:rFonts w:ascii="Arial" w:eastAsia="Times New Roman" w:hAnsi="Arial" w:cs="Arial"/>
                <w:color w:val="000000"/>
                <w:sz w:val="18"/>
                <w:szCs w:val="18"/>
                <w:lang w:eastAsia="sl-SI"/>
              </w:rPr>
              <w:t>2014</w:t>
            </w:r>
          </w:p>
        </w:tc>
        <w:tc>
          <w:tcPr>
            <w:tcW w:w="2200" w:type="dxa"/>
            <w:tcBorders>
              <w:top w:val="nil"/>
              <w:left w:val="nil"/>
              <w:bottom w:val="single" w:sz="4" w:space="0" w:color="auto"/>
              <w:right w:val="single" w:sz="4" w:space="0" w:color="auto"/>
            </w:tcBorders>
            <w:shd w:val="clear" w:color="auto" w:fill="auto"/>
            <w:vAlign w:val="center"/>
            <w:hideMark/>
          </w:tcPr>
          <w:p w14:paraId="4DF82D89" w14:textId="77777777" w:rsidR="00C37684" w:rsidRPr="003E400A" w:rsidRDefault="00C37684" w:rsidP="00C37684">
            <w:pPr>
              <w:spacing w:after="0" w:line="240" w:lineRule="auto"/>
              <w:jc w:val="right"/>
              <w:rPr>
                <w:rFonts w:ascii="Arial" w:eastAsia="Times New Roman" w:hAnsi="Arial" w:cs="Arial"/>
                <w:color w:val="000000"/>
                <w:sz w:val="18"/>
                <w:szCs w:val="18"/>
                <w:lang w:eastAsia="sl-SI"/>
              </w:rPr>
            </w:pPr>
            <w:r w:rsidRPr="003E400A">
              <w:rPr>
                <w:rFonts w:ascii="Arial" w:eastAsia="Times New Roman" w:hAnsi="Arial" w:cs="Arial"/>
                <w:color w:val="000000"/>
                <w:sz w:val="18"/>
                <w:szCs w:val="18"/>
                <w:lang w:eastAsia="sl-SI"/>
              </w:rPr>
              <w:t>621.366.346</w:t>
            </w:r>
          </w:p>
        </w:tc>
      </w:tr>
      <w:tr w:rsidR="00C37684" w:rsidRPr="003E400A" w14:paraId="75DE387A" w14:textId="77777777" w:rsidTr="001A5099">
        <w:trPr>
          <w:trHeight w:val="255"/>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6D9261E5" w14:textId="77777777" w:rsidR="00C37684" w:rsidRPr="003E400A" w:rsidRDefault="00C37684" w:rsidP="00C37684">
            <w:pPr>
              <w:spacing w:after="0" w:line="240" w:lineRule="auto"/>
              <w:jc w:val="center"/>
              <w:rPr>
                <w:rFonts w:ascii="Arial" w:eastAsia="Times New Roman" w:hAnsi="Arial" w:cs="Arial"/>
                <w:color w:val="000000"/>
                <w:sz w:val="18"/>
                <w:szCs w:val="18"/>
                <w:lang w:eastAsia="sl-SI"/>
              </w:rPr>
            </w:pPr>
            <w:r w:rsidRPr="003E400A">
              <w:rPr>
                <w:rFonts w:ascii="Arial" w:eastAsia="Times New Roman" w:hAnsi="Arial" w:cs="Arial"/>
                <w:color w:val="000000"/>
                <w:sz w:val="18"/>
                <w:szCs w:val="18"/>
                <w:lang w:eastAsia="sl-SI"/>
              </w:rPr>
              <w:t>2015</w:t>
            </w:r>
          </w:p>
        </w:tc>
        <w:tc>
          <w:tcPr>
            <w:tcW w:w="2200" w:type="dxa"/>
            <w:tcBorders>
              <w:top w:val="nil"/>
              <w:left w:val="nil"/>
              <w:bottom w:val="single" w:sz="4" w:space="0" w:color="auto"/>
              <w:right w:val="single" w:sz="4" w:space="0" w:color="auto"/>
            </w:tcBorders>
            <w:shd w:val="clear" w:color="auto" w:fill="auto"/>
            <w:vAlign w:val="center"/>
            <w:hideMark/>
          </w:tcPr>
          <w:p w14:paraId="23C273B9" w14:textId="77777777" w:rsidR="00C37684" w:rsidRPr="003E400A" w:rsidRDefault="00C37684" w:rsidP="00C37684">
            <w:pPr>
              <w:spacing w:after="0" w:line="240" w:lineRule="auto"/>
              <w:jc w:val="right"/>
              <w:rPr>
                <w:rFonts w:ascii="Arial" w:eastAsia="Times New Roman" w:hAnsi="Arial" w:cs="Arial"/>
                <w:color w:val="000000"/>
                <w:sz w:val="18"/>
                <w:szCs w:val="18"/>
                <w:lang w:eastAsia="sl-SI"/>
              </w:rPr>
            </w:pPr>
            <w:r w:rsidRPr="003E400A">
              <w:rPr>
                <w:rFonts w:ascii="Arial" w:eastAsia="Times New Roman" w:hAnsi="Arial" w:cs="Arial"/>
                <w:color w:val="000000"/>
                <w:sz w:val="18"/>
                <w:szCs w:val="18"/>
                <w:lang w:eastAsia="sl-SI"/>
              </w:rPr>
              <w:t>270.467.037</w:t>
            </w:r>
          </w:p>
        </w:tc>
      </w:tr>
      <w:tr w:rsidR="00C37684" w:rsidRPr="003E400A" w14:paraId="5C3BC2BC" w14:textId="77777777" w:rsidTr="001A5099">
        <w:trPr>
          <w:trHeight w:val="255"/>
          <w:jc w:val="center"/>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989F8" w14:textId="77777777" w:rsidR="00C37684" w:rsidRPr="003E400A" w:rsidRDefault="00C37684" w:rsidP="00C37684">
            <w:pPr>
              <w:spacing w:after="0" w:line="240" w:lineRule="auto"/>
              <w:jc w:val="center"/>
              <w:rPr>
                <w:rFonts w:ascii="Arial" w:eastAsia="Times New Roman" w:hAnsi="Arial" w:cs="Arial"/>
                <w:color w:val="000000"/>
                <w:sz w:val="18"/>
                <w:szCs w:val="18"/>
                <w:lang w:eastAsia="sl-SI"/>
              </w:rPr>
            </w:pPr>
            <w:r w:rsidRPr="003E400A">
              <w:rPr>
                <w:rFonts w:ascii="Arial" w:eastAsia="Times New Roman" w:hAnsi="Arial" w:cs="Arial"/>
                <w:color w:val="000000"/>
                <w:sz w:val="18"/>
                <w:szCs w:val="18"/>
                <w:lang w:eastAsia="sl-SI"/>
              </w:rPr>
              <w:t>2016</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799ECD6D" w14:textId="77777777" w:rsidR="00C37684" w:rsidRPr="003E400A" w:rsidRDefault="00C37684" w:rsidP="00C37684">
            <w:pPr>
              <w:spacing w:after="0" w:line="240" w:lineRule="auto"/>
              <w:jc w:val="right"/>
              <w:rPr>
                <w:rFonts w:ascii="Arial" w:eastAsia="Times New Roman" w:hAnsi="Arial" w:cs="Arial"/>
                <w:color w:val="000000"/>
                <w:sz w:val="18"/>
                <w:szCs w:val="18"/>
                <w:lang w:eastAsia="sl-SI"/>
              </w:rPr>
            </w:pPr>
            <w:r w:rsidRPr="003E400A">
              <w:rPr>
                <w:rFonts w:ascii="Arial" w:eastAsia="Times New Roman" w:hAnsi="Arial" w:cs="Arial"/>
                <w:color w:val="000000"/>
                <w:sz w:val="18"/>
                <w:szCs w:val="18"/>
                <w:lang w:eastAsia="sl-SI"/>
              </w:rPr>
              <w:t>132.491.958</w:t>
            </w:r>
          </w:p>
        </w:tc>
      </w:tr>
      <w:tr w:rsidR="000C19F4" w:rsidRPr="003E400A" w14:paraId="2F929590" w14:textId="77777777" w:rsidTr="001A5099">
        <w:trPr>
          <w:trHeight w:val="255"/>
          <w:jc w:val="center"/>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57FBCF12" w14:textId="507CAC93" w:rsidR="000C19F4" w:rsidRPr="003E400A" w:rsidRDefault="000C19F4" w:rsidP="000C19F4">
            <w:pPr>
              <w:spacing w:after="0" w:line="240" w:lineRule="auto"/>
              <w:jc w:val="center"/>
              <w:rPr>
                <w:rFonts w:ascii="Arial" w:eastAsia="Times New Roman" w:hAnsi="Arial" w:cs="Arial"/>
                <w:color w:val="000000"/>
                <w:sz w:val="18"/>
                <w:szCs w:val="18"/>
                <w:lang w:eastAsia="sl-SI"/>
              </w:rPr>
            </w:pPr>
            <w:r w:rsidRPr="003E400A">
              <w:rPr>
                <w:rFonts w:ascii="Arial" w:eastAsia="Times New Roman" w:hAnsi="Arial" w:cs="Arial"/>
                <w:color w:val="000000"/>
                <w:sz w:val="18"/>
                <w:szCs w:val="18"/>
                <w:lang w:eastAsia="sl-SI"/>
              </w:rPr>
              <w:t>2017</w:t>
            </w:r>
          </w:p>
        </w:tc>
        <w:tc>
          <w:tcPr>
            <w:tcW w:w="2200" w:type="dxa"/>
            <w:tcBorders>
              <w:top w:val="single" w:sz="4" w:space="0" w:color="auto"/>
              <w:left w:val="nil"/>
              <w:bottom w:val="single" w:sz="4" w:space="0" w:color="auto"/>
              <w:right w:val="single" w:sz="4" w:space="0" w:color="auto"/>
            </w:tcBorders>
            <w:shd w:val="clear" w:color="auto" w:fill="auto"/>
            <w:vAlign w:val="center"/>
          </w:tcPr>
          <w:p w14:paraId="7243D6C1" w14:textId="39A14791" w:rsidR="000C19F4" w:rsidRPr="003E400A" w:rsidRDefault="000C19F4" w:rsidP="000C19F4">
            <w:pPr>
              <w:spacing w:after="0" w:line="240" w:lineRule="auto"/>
              <w:jc w:val="right"/>
              <w:rPr>
                <w:rFonts w:ascii="Arial" w:eastAsia="Times New Roman" w:hAnsi="Arial" w:cs="Arial"/>
                <w:color w:val="000000"/>
                <w:sz w:val="18"/>
                <w:szCs w:val="18"/>
                <w:lang w:eastAsia="sl-SI"/>
              </w:rPr>
            </w:pPr>
            <w:r w:rsidRPr="003E400A">
              <w:rPr>
                <w:rFonts w:ascii="Arial" w:hAnsi="Arial" w:cs="Arial"/>
                <w:color w:val="000000"/>
                <w:sz w:val="18"/>
                <w:szCs w:val="18"/>
              </w:rPr>
              <w:t>238.429.978</w:t>
            </w:r>
          </w:p>
        </w:tc>
      </w:tr>
      <w:tr w:rsidR="009F5906" w:rsidRPr="003E400A" w14:paraId="6B174003" w14:textId="77777777" w:rsidTr="001A5099">
        <w:trPr>
          <w:trHeight w:val="255"/>
          <w:jc w:val="center"/>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6EFE391F" w14:textId="60D26D0B" w:rsidR="009F5906" w:rsidRPr="003E400A" w:rsidRDefault="009F5906" w:rsidP="000C19F4">
            <w:pPr>
              <w:spacing w:after="0" w:line="240" w:lineRule="auto"/>
              <w:jc w:val="center"/>
              <w:rPr>
                <w:rFonts w:ascii="Arial" w:eastAsia="Times New Roman" w:hAnsi="Arial" w:cs="Arial"/>
                <w:color w:val="000000"/>
                <w:sz w:val="18"/>
                <w:szCs w:val="18"/>
                <w:lang w:eastAsia="sl-SI"/>
              </w:rPr>
            </w:pPr>
            <w:r w:rsidRPr="003E400A">
              <w:rPr>
                <w:rFonts w:ascii="Arial" w:eastAsia="Times New Roman" w:hAnsi="Arial" w:cs="Arial"/>
                <w:color w:val="000000"/>
                <w:sz w:val="18"/>
                <w:szCs w:val="18"/>
                <w:lang w:eastAsia="sl-SI"/>
              </w:rPr>
              <w:t>2018</w:t>
            </w:r>
          </w:p>
        </w:tc>
        <w:tc>
          <w:tcPr>
            <w:tcW w:w="2200" w:type="dxa"/>
            <w:tcBorders>
              <w:top w:val="single" w:sz="4" w:space="0" w:color="auto"/>
              <w:left w:val="nil"/>
              <w:bottom w:val="single" w:sz="4" w:space="0" w:color="auto"/>
              <w:right w:val="single" w:sz="4" w:space="0" w:color="auto"/>
            </w:tcBorders>
            <w:shd w:val="clear" w:color="auto" w:fill="auto"/>
            <w:vAlign w:val="center"/>
          </w:tcPr>
          <w:p w14:paraId="29E25658" w14:textId="7C2B798A" w:rsidR="009F5906" w:rsidRPr="003E400A" w:rsidRDefault="009F5906" w:rsidP="000C19F4">
            <w:pPr>
              <w:spacing w:after="0" w:line="240" w:lineRule="auto"/>
              <w:jc w:val="right"/>
              <w:rPr>
                <w:rFonts w:ascii="Arial" w:hAnsi="Arial" w:cs="Arial"/>
                <w:color w:val="000000"/>
                <w:sz w:val="18"/>
                <w:szCs w:val="18"/>
              </w:rPr>
            </w:pPr>
            <w:r w:rsidRPr="003E400A">
              <w:rPr>
                <w:rFonts w:ascii="Arial" w:hAnsi="Arial" w:cs="Arial"/>
                <w:sz w:val="18"/>
                <w:szCs w:val="18"/>
                <w:lang w:eastAsia="sl-SI"/>
              </w:rPr>
              <w:t>354.663.683</w:t>
            </w:r>
          </w:p>
        </w:tc>
      </w:tr>
      <w:tr w:rsidR="003D1A6A" w:rsidRPr="003E400A" w14:paraId="662AB4E1" w14:textId="77777777" w:rsidTr="001A5099">
        <w:trPr>
          <w:trHeight w:val="255"/>
          <w:jc w:val="center"/>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245D5699" w14:textId="4B244724" w:rsidR="003D1A6A" w:rsidRPr="003E400A" w:rsidRDefault="003D1A6A" w:rsidP="000C19F4">
            <w:pPr>
              <w:spacing w:after="0" w:line="240" w:lineRule="auto"/>
              <w:jc w:val="center"/>
              <w:rPr>
                <w:rFonts w:ascii="Arial" w:eastAsia="Times New Roman" w:hAnsi="Arial" w:cs="Arial"/>
                <w:color w:val="000000"/>
                <w:sz w:val="18"/>
                <w:szCs w:val="18"/>
                <w:lang w:eastAsia="sl-SI"/>
              </w:rPr>
            </w:pPr>
            <w:r w:rsidRPr="003E400A">
              <w:rPr>
                <w:rFonts w:ascii="Arial" w:eastAsia="Times New Roman" w:hAnsi="Arial" w:cs="Arial"/>
                <w:color w:val="000000"/>
                <w:sz w:val="18"/>
                <w:szCs w:val="18"/>
                <w:lang w:eastAsia="sl-SI"/>
              </w:rPr>
              <w:t>2019</w:t>
            </w:r>
          </w:p>
        </w:tc>
        <w:tc>
          <w:tcPr>
            <w:tcW w:w="2200" w:type="dxa"/>
            <w:tcBorders>
              <w:top w:val="single" w:sz="4" w:space="0" w:color="auto"/>
              <w:left w:val="nil"/>
              <w:bottom w:val="single" w:sz="4" w:space="0" w:color="auto"/>
              <w:right w:val="single" w:sz="4" w:space="0" w:color="auto"/>
            </w:tcBorders>
            <w:shd w:val="clear" w:color="auto" w:fill="auto"/>
            <w:vAlign w:val="center"/>
          </w:tcPr>
          <w:p w14:paraId="2BD003B3" w14:textId="08EBEB52" w:rsidR="003D1A6A" w:rsidRPr="003E400A" w:rsidRDefault="003D1A6A" w:rsidP="000C19F4">
            <w:pPr>
              <w:spacing w:after="0" w:line="240" w:lineRule="auto"/>
              <w:jc w:val="right"/>
              <w:rPr>
                <w:rFonts w:ascii="Arial" w:hAnsi="Arial" w:cs="Arial"/>
                <w:sz w:val="18"/>
                <w:szCs w:val="18"/>
                <w:lang w:eastAsia="sl-SI"/>
              </w:rPr>
            </w:pPr>
            <w:r w:rsidRPr="003E400A">
              <w:rPr>
                <w:rFonts w:ascii="Arial" w:hAnsi="Arial" w:cs="Arial"/>
                <w:sz w:val="18"/>
                <w:szCs w:val="18"/>
                <w:lang w:eastAsia="sl-SI"/>
              </w:rPr>
              <w:t>568.378.373</w:t>
            </w:r>
          </w:p>
        </w:tc>
      </w:tr>
      <w:tr w:rsidR="00C33EE6" w:rsidRPr="003E400A" w14:paraId="1E3366E5" w14:textId="77777777" w:rsidTr="001A5099">
        <w:trPr>
          <w:trHeight w:val="255"/>
          <w:jc w:val="center"/>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20378ECA" w14:textId="2786B1CF" w:rsidR="00C33EE6" w:rsidRPr="003E400A" w:rsidRDefault="00C33EE6" w:rsidP="000C19F4">
            <w:pPr>
              <w:spacing w:after="0" w:line="240" w:lineRule="auto"/>
              <w:jc w:val="center"/>
              <w:rPr>
                <w:rFonts w:ascii="Arial" w:eastAsia="Times New Roman" w:hAnsi="Arial" w:cs="Arial"/>
                <w:color w:val="000000"/>
                <w:sz w:val="18"/>
                <w:szCs w:val="18"/>
                <w:lang w:eastAsia="sl-SI"/>
              </w:rPr>
            </w:pPr>
            <w:r w:rsidRPr="003E400A">
              <w:rPr>
                <w:rFonts w:ascii="Arial" w:eastAsia="Times New Roman" w:hAnsi="Arial" w:cs="Arial"/>
                <w:color w:val="000000"/>
                <w:sz w:val="18"/>
                <w:szCs w:val="18"/>
                <w:lang w:eastAsia="sl-SI"/>
              </w:rPr>
              <w:t>2020</w:t>
            </w:r>
          </w:p>
        </w:tc>
        <w:tc>
          <w:tcPr>
            <w:tcW w:w="2200" w:type="dxa"/>
            <w:tcBorders>
              <w:top w:val="single" w:sz="4" w:space="0" w:color="auto"/>
              <w:left w:val="nil"/>
              <w:bottom w:val="single" w:sz="4" w:space="0" w:color="auto"/>
              <w:right w:val="single" w:sz="4" w:space="0" w:color="auto"/>
            </w:tcBorders>
            <w:shd w:val="clear" w:color="auto" w:fill="auto"/>
            <w:vAlign w:val="center"/>
          </w:tcPr>
          <w:p w14:paraId="0E6D9D2C" w14:textId="54D189B6" w:rsidR="00C33EE6" w:rsidRPr="003E400A" w:rsidRDefault="00C33EE6" w:rsidP="000C19F4">
            <w:pPr>
              <w:spacing w:after="0" w:line="240" w:lineRule="auto"/>
              <w:jc w:val="right"/>
              <w:rPr>
                <w:rFonts w:ascii="Arial" w:hAnsi="Arial" w:cs="Arial"/>
                <w:sz w:val="18"/>
                <w:szCs w:val="18"/>
                <w:lang w:eastAsia="sl-SI"/>
              </w:rPr>
            </w:pPr>
            <w:r w:rsidRPr="003E400A">
              <w:rPr>
                <w:rFonts w:ascii="Arial" w:hAnsi="Arial" w:cs="Arial"/>
                <w:sz w:val="18"/>
                <w:szCs w:val="18"/>
                <w:lang w:eastAsia="sl-SI"/>
              </w:rPr>
              <w:t>573.256.737</w:t>
            </w:r>
          </w:p>
        </w:tc>
      </w:tr>
      <w:tr w:rsidR="00562D70" w:rsidRPr="003E400A" w14:paraId="6B476EF1" w14:textId="77777777" w:rsidTr="001A5099">
        <w:trPr>
          <w:trHeight w:val="255"/>
          <w:jc w:val="center"/>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736CF91F" w14:textId="3F35821F" w:rsidR="00562D70" w:rsidRPr="003E400A" w:rsidRDefault="00562D70" w:rsidP="000C19F4">
            <w:pPr>
              <w:spacing w:after="0" w:line="240" w:lineRule="auto"/>
              <w:jc w:val="center"/>
              <w:rPr>
                <w:rFonts w:ascii="Arial" w:eastAsia="Times New Roman" w:hAnsi="Arial" w:cs="Arial"/>
                <w:color w:val="000000"/>
                <w:sz w:val="18"/>
                <w:szCs w:val="18"/>
                <w:lang w:eastAsia="sl-SI"/>
              </w:rPr>
            </w:pPr>
            <w:r w:rsidRPr="003E400A">
              <w:rPr>
                <w:rFonts w:ascii="Arial" w:eastAsia="Times New Roman" w:hAnsi="Arial" w:cs="Arial"/>
                <w:color w:val="000000"/>
                <w:sz w:val="18"/>
                <w:szCs w:val="18"/>
                <w:lang w:eastAsia="sl-SI"/>
              </w:rPr>
              <w:t>2021</w:t>
            </w:r>
          </w:p>
        </w:tc>
        <w:tc>
          <w:tcPr>
            <w:tcW w:w="2200" w:type="dxa"/>
            <w:tcBorders>
              <w:top w:val="single" w:sz="4" w:space="0" w:color="auto"/>
              <w:left w:val="nil"/>
              <w:bottom w:val="single" w:sz="4" w:space="0" w:color="auto"/>
              <w:right w:val="single" w:sz="4" w:space="0" w:color="auto"/>
            </w:tcBorders>
            <w:shd w:val="clear" w:color="auto" w:fill="auto"/>
            <w:vAlign w:val="center"/>
          </w:tcPr>
          <w:p w14:paraId="369E203C" w14:textId="7ED439F6" w:rsidR="00562D70" w:rsidRPr="003E400A" w:rsidRDefault="00562D70" w:rsidP="000C19F4">
            <w:pPr>
              <w:spacing w:after="0" w:line="240" w:lineRule="auto"/>
              <w:jc w:val="right"/>
              <w:rPr>
                <w:rFonts w:ascii="Arial" w:hAnsi="Arial" w:cs="Arial"/>
                <w:sz w:val="18"/>
                <w:szCs w:val="18"/>
                <w:lang w:eastAsia="sl-SI"/>
              </w:rPr>
            </w:pPr>
            <w:r w:rsidRPr="003E400A">
              <w:rPr>
                <w:rFonts w:ascii="Arial" w:hAnsi="Arial" w:cs="Arial"/>
                <w:sz w:val="18"/>
                <w:szCs w:val="18"/>
                <w:lang w:eastAsia="sl-SI"/>
              </w:rPr>
              <w:t>1.474.851.478</w:t>
            </w:r>
          </w:p>
        </w:tc>
      </w:tr>
      <w:tr w:rsidR="003E400A" w:rsidRPr="003E400A" w14:paraId="53680F27" w14:textId="77777777" w:rsidTr="001A5099">
        <w:trPr>
          <w:trHeight w:val="255"/>
          <w:jc w:val="center"/>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077948D9" w14:textId="638218E5" w:rsidR="003E400A" w:rsidRPr="003E400A" w:rsidRDefault="003E400A" w:rsidP="000C19F4">
            <w:pPr>
              <w:spacing w:after="0" w:line="240" w:lineRule="auto"/>
              <w:jc w:val="center"/>
              <w:rPr>
                <w:rFonts w:ascii="Arial" w:eastAsia="Times New Roman" w:hAnsi="Arial" w:cs="Arial"/>
                <w:color w:val="000000"/>
                <w:sz w:val="18"/>
                <w:szCs w:val="18"/>
                <w:lang w:eastAsia="sl-SI"/>
              </w:rPr>
            </w:pPr>
            <w:r w:rsidRPr="003E400A">
              <w:rPr>
                <w:rFonts w:ascii="Arial" w:eastAsia="Times New Roman" w:hAnsi="Arial" w:cs="Arial"/>
                <w:color w:val="000000"/>
                <w:sz w:val="18"/>
                <w:szCs w:val="18"/>
                <w:lang w:eastAsia="sl-SI"/>
              </w:rPr>
              <w:t>2022</w:t>
            </w:r>
          </w:p>
        </w:tc>
        <w:tc>
          <w:tcPr>
            <w:tcW w:w="2200" w:type="dxa"/>
            <w:tcBorders>
              <w:top w:val="single" w:sz="4" w:space="0" w:color="auto"/>
              <w:left w:val="nil"/>
              <w:bottom w:val="single" w:sz="4" w:space="0" w:color="auto"/>
              <w:right w:val="single" w:sz="4" w:space="0" w:color="auto"/>
            </w:tcBorders>
            <w:shd w:val="clear" w:color="auto" w:fill="auto"/>
            <w:vAlign w:val="center"/>
          </w:tcPr>
          <w:p w14:paraId="52EC6EEB" w14:textId="57AF1B23" w:rsidR="003E400A" w:rsidRPr="003E400A" w:rsidRDefault="003E400A" w:rsidP="000C19F4">
            <w:pPr>
              <w:spacing w:after="0" w:line="240" w:lineRule="auto"/>
              <w:jc w:val="right"/>
              <w:rPr>
                <w:rFonts w:ascii="Arial" w:hAnsi="Arial" w:cs="Arial"/>
                <w:sz w:val="18"/>
                <w:szCs w:val="18"/>
                <w:lang w:eastAsia="sl-SI"/>
              </w:rPr>
            </w:pPr>
            <w:r w:rsidRPr="003E400A">
              <w:rPr>
                <w:rFonts w:ascii="Arial" w:hAnsi="Arial" w:cs="Arial"/>
                <w:sz w:val="18"/>
                <w:szCs w:val="18"/>
                <w:lang w:eastAsia="sl-SI"/>
              </w:rPr>
              <w:t>711.711.015</w:t>
            </w:r>
          </w:p>
        </w:tc>
      </w:tr>
    </w:tbl>
    <w:p w14:paraId="5FBFBE33" w14:textId="77777777" w:rsidR="004A613D" w:rsidRPr="003E400A" w:rsidRDefault="004A613D" w:rsidP="004A613D">
      <w:pPr>
        <w:spacing w:after="0" w:line="240" w:lineRule="auto"/>
        <w:jc w:val="center"/>
        <w:rPr>
          <w:rFonts w:ascii="Arial" w:hAnsi="Arial" w:cs="Arial"/>
          <w:sz w:val="18"/>
        </w:rPr>
      </w:pPr>
    </w:p>
    <w:p w14:paraId="358CC245" w14:textId="643D096E" w:rsidR="004A613D" w:rsidRPr="003E400A" w:rsidRDefault="00C37684" w:rsidP="00EF4A55">
      <w:pPr>
        <w:spacing w:after="120" w:line="240" w:lineRule="auto"/>
        <w:jc w:val="center"/>
        <w:rPr>
          <w:rFonts w:ascii="Arial" w:hAnsi="Arial" w:cs="Arial"/>
          <w:sz w:val="18"/>
        </w:rPr>
      </w:pPr>
      <w:r w:rsidRPr="003E400A">
        <w:rPr>
          <w:rFonts w:ascii="Arial" w:hAnsi="Arial" w:cs="Arial"/>
          <w:sz w:val="18"/>
        </w:rPr>
        <w:t xml:space="preserve">Vir: Statistični podatki o javnih naročilih, oddanih v </w:t>
      </w:r>
      <w:r w:rsidR="000C19F4" w:rsidRPr="003E400A">
        <w:rPr>
          <w:rFonts w:ascii="Arial" w:hAnsi="Arial" w:cs="Arial"/>
          <w:sz w:val="18"/>
        </w:rPr>
        <w:t>letih 2012</w:t>
      </w:r>
      <w:r w:rsidR="002B74A3" w:rsidRPr="003E400A">
        <w:rPr>
          <w:rFonts w:ascii="Arial" w:eastAsia="Times New Roman" w:hAnsi="Arial" w:cs="Arial"/>
          <w:color w:val="000000"/>
          <w:sz w:val="18"/>
          <w:szCs w:val="18"/>
          <w:lang w:eastAsia="sl-SI"/>
        </w:rPr>
        <w:sym w:font="Symbol" w:char="F02D"/>
      </w:r>
      <w:r w:rsidR="000C19F4" w:rsidRPr="003E400A">
        <w:rPr>
          <w:rFonts w:ascii="Arial" w:hAnsi="Arial" w:cs="Arial"/>
          <w:sz w:val="18"/>
        </w:rPr>
        <w:t>20</w:t>
      </w:r>
      <w:r w:rsidR="00C33EE6" w:rsidRPr="003E400A">
        <w:rPr>
          <w:rFonts w:ascii="Arial" w:hAnsi="Arial" w:cs="Arial"/>
          <w:sz w:val="18"/>
        </w:rPr>
        <w:t>2</w:t>
      </w:r>
      <w:r w:rsidR="003E400A" w:rsidRPr="003E400A">
        <w:rPr>
          <w:rFonts w:ascii="Arial" w:hAnsi="Arial" w:cs="Arial"/>
          <w:sz w:val="18"/>
        </w:rPr>
        <w:t>2</w:t>
      </w:r>
      <w:r w:rsidR="00427811" w:rsidRPr="003E400A">
        <w:rPr>
          <w:rFonts w:ascii="Arial" w:hAnsi="Arial" w:cs="Arial"/>
          <w:sz w:val="18"/>
        </w:rPr>
        <w:t>.</w:t>
      </w:r>
    </w:p>
    <w:p w14:paraId="3BB4DA5B" w14:textId="77777777" w:rsidR="004E33EF" w:rsidRPr="00B92AAD" w:rsidRDefault="004E33EF" w:rsidP="004A613D">
      <w:pPr>
        <w:spacing w:after="0" w:line="240" w:lineRule="auto"/>
        <w:jc w:val="center"/>
        <w:rPr>
          <w:rFonts w:ascii="Arial" w:hAnsi="Arial" w:cs="Arial"/>
          <w:sz w:val="18"/>
        </w:rPr>
      </w:pPr>
    </w:p>
    <w:p w14:paraId="4C97B8D1" w14:textId="40064965" w:rsidR="00806D8E" w:rsidRPr="00B92AAD" w:rsidRDefault="00806D8E" w:rsidP="00806D8E">
      <w:pPr>
        <w:pStyle w:val="Naslov2"/>
        <w:rPr>
          <w:rFonts w:ascii="Arial" w:hAnsi="Arial" w:cs="Arial"/>
          <w:szCs w:val="20"/>
        </w:rPr>
      </w:pPr>
      <w:bookmarkStart w:id="47" w:name="_Toc141864078"/>
      <w:r w:rsidRPr="00B92AAD">
        <w:rPr>
          <w:rFonts w:ascii="Arial" w:hAnsi="Arial" w:cs="Arial"/>
          <w:sz w:val="22"/>
          <w:szCs w:val="22"/>
        </w:rPr>
        <w:t>2.</w:t>
      </w:r>
      <w:r w:rsidR="00FA2740" w:rsidRPr="00B92AAD">
        <w:rPr>
          <w:rFonts w:ascii="Arial" w:hAnsi="Arial" w:cs="Arial"/>
          <w:sz w:val="22"/>
          <w:szCs w:val="22"/>
        </w:rPr>
        <w:t>9</w:t>
      </w:r>
      <w:r w:rsidRPr="00B92AAD">
        <w:rPr>
          <w:rFonts w:ascii="Arial" w:hAnsi="Arial" w:cs="Arial"/>
          <w:sz w:val="22"/>
          <w:szCs w:val="22"/>
        </w:rPr>
        <w:t xml:space="preserve"> </w:t>
      </w:r>
      <w:r w:rsidR="00731C4D" w:rsidRPr="00B92AAD">
        <w:rPr>
          <w:rFonts w:ascii="Arial" w:hAnsi="Arial" w:cs="Arial"/>
          <w:sz w:val="22"/>
          <w:szCs w:val="22"/>
        </w:rPr>
        <w:t xml:space="preserve">Zeleno in </w:t>
      </w:r>
      <w:r w:rsidRPr="00B92AAD">
        <w:rPr>
          <w:rFonts w:ascii="Arial" w:hAnsi="Arial" w:cs="Arial"/>
          <w:sz w:val="22"/>
          <w:szCs w:val="22"/>
        </w:rPr>
        <w:t xml:space="preserve">družbeno odgovorno </w:t>
      </w:r>
      <w:r w:rsidR="00731C4D" w:rsidRPr="00B92AAD">
        <w:rPr>
          <w:rFonts w:ascii="Arial" w:hAnsi="Arial" w:cs="Arial"/>
          <w:sz w:val="22"/>
          <w:szCs w:val="22"/>
        </w:rPr>
        <w:t xml:space="preserve">javno </w:t>
      </w:r>
      <w:r w:rsidRPr="00B92AAD">
        <w:rPr>
          <w:rFonts w:ascii="Arial" w:hAnsi="Arial" w:cs="Arial"/>
          <w:sz w:val="22"/>
          <w:szCs w:val="22"/>
        </w:rPr>
        <w:t>naročanje</w:t>
      </w:r>
      <w:bookmarkEnd w:id="47"/>
    </w:p>
    <w:p w14:paraId="739A19B7" w14:textId="77777777" w:rsidR="00B905EB" w:rsidRPr="00B92AAD" w:rsidRDefault="00B905EB" w:rsidP="00854405">
      <w:pPr>
        <w:pStyle w:val="ZADEVA"/>
        <w:jc w:val="both"/>
        <w:rPr>
          <w:rFonts w:cs="Arial"/>
          <w:b w:val="0"/>
          <w:szCs w:val="20"/>
          <w:lang w:val="sl-SI"/>
        </w:rPr>
      </w:pPr>
    </w:p>
    <w:p w14:paraId="26737AF5" w14:textId="2680529E" w:rsidR="00575CFA" w:rsidRPr="00B92AAD" w:rsidRDefault="00575CFA" w:rsidP="00575CFA">
      <w:pPr>
        <w:pStyle w:val="Naslov2"/>
        <w:rPr>
          <w:rFonts w:ascii="Arial" w:hAnsi="Arial" w:cs="Arial"/>
          <w:szCs w:val="20"/>
        </w:rPr>
      </w:pPr>
      <w:bookmarkStart w:id="48" w:name="_Toc141864079"/>
      <w:r w:rsidRPr="00B92AAD">
        <w:rPr>
          <w:rFonts w:ascii="Arial" w:hAnsi="Arial" w:cs="Arial"/>
          <w:sz w:val="22"/>
          <w:szCs w:val="22"/>
        </w:rPr>
        <w:t>2.</w:t>
      </w:r>
      <w:r w:rsidR="00FA2740" w:rsidRPr="00B92AAD">
        <w:rPr>
          <w:rFonts w:ascii="Arial" w:hAnsi="Arial" w:cs="Arial"/>
          <w:sz w:val="22"/>
          <w:szCs w:val="22"/>
        </w:rPr>
        <w:t>9</w:t>
      </w:r>
      <w:r w:rsidR="00731C4D" w:rsidRPr="00B92AAD">
        <w:rPr>
          <w:rFonts w:ascii="Arial" w:hAnsi="Arial" w:cs="Arial"/>
          <w:sz w:val="22"/>
          <w:szCs w:val="22"/>
        </w:rPr>
        <w:t>.1</w:t>
      </w:r>
      <w:r w:rsidRPr="00B92AAD">
        <w:rPr>
          <w:rFonts w:ascii="Arial" w:hAnsi="Arial" w:cs="Arial"/>
          <w:sz w:val="22"/>
          <w:szCs w:val="22"/>
        </w:rPr>
        <w:t xml:space="preserve"> Zeleno javno naročanje</w:t>
      </w:r>
      <w:bookmarkEnd w:id="48"/>
    </w:p>
    <w:p w14:paraId="3740D103" w14:textId="77777777" w:rsidR="00806D8E" w:rsidRPr="00B92AAD" w:rsidRDefault="00806D8E" w:rsidP="00854405">
      <w:pPr>
        <w:pStyle w:val="ZADEVA"/>
        <w:jc w:val="both"/>
        <w:rPr>
          <w:rFonts w:cs="Arial"/>
          <w:b w:val="0"/>
          <w:szCs w:val="20"/>
          <w:lang w:val="sl-SI"/>
        </w:rPr>
      </w:pPr>
    </w:p>
    <w:p w14:paraId="7EA41C9F" w14:textId="7EB3E783" w:rsidR="00F742E4" w:rsidRPr="00F65A6E" w:rsidRDefault="00F742E4" w:rsidP="00F742E4">
      <w:pPr>
        <w:spacing w:line="360" w:lineRule="auto"/>
        <w:jc w:val="both"/>
        <w:rPr>
          <w:rFonts w:ascii="Arial" w:hAnsi="Arial" w:cs="Arial"/>
          <w:color w:val="000000" w:themeColor="text1"/>
          <w:sz w:val="20"/>
          <w:szCs w:val="20"/>
          <w:lang w:eastAsia="sl-SI"/>
        </w:rPr>
      </w:pPr>
      <w:r w:rsidRPr="00B92AAD">
        <w:rPr>
          <w:rFonts w:ascii="Arial" w:hAnsi="Arial" w:cs="Arial"/>
          <w:color w:val="000000" w:themeColor="text1"/>
          <w:sz w:val="20"/>
          <w:szCs w:val="20"/>
          <w:lang w:eastAsia="sl-SI"/>
        </w:rPr>
        <w:t xml:space="preserve">Zeleno javno naročanje je naročanje, pri katerem naročnik po ZJN-3 naroča blago, storitve ali gradnje, ki imajo v primerjavi z običajnim blagom, storitvami in gradnjami v celotnem obdobju njihovega trajanja manjši vpliv na okolje </w:t>
      </w:r>
      <w:r w:rsidR="00427811" w:rsidRPr="00B92AAD">
        <w:rPr>
          <w:rFonts w:ascii="Arial" w:hAnsi="Arial" w:cs="Arial"/>
          <w:color w:val="000000" w:themeColor="text1"/>
          <w:sz w:val="20"/>
          <w:szCs w:val="20"/>
          <w:lang w:eastAsia="sl-SI"/>
        </w:rPr>
        <w:t xml:space="preserve">ter </w:t>
      </w:r>
      <w:r w:rsidRPr="00B92AAD">
        <w:rPr>
          <w:rFonts w:ascii="Arial" w:hAnsi="Arial" w:cs="Arial"/>
          <w:color w:val="000000" w:themeColor="text1"/>
          <w:sz w:val="20"/>
          <w:szCs w:val="20"/>
          <w:lang w:eastAsia="sl-SI"/>
        </w:rPr>
        <w:t>enako ali boljšo funkcionalnost. Uredba o zelenem javnem naročanju (</w:t>
      </w:r>
      <w:r w:rsidR="00B90937" w:rsidRPr="00B92AAD">
        <w:rPr>
          <w:rFonts w:ascii="Arial" w:hAnsi="Arial" w:cs="Arial"/>
          <w:color w:val="000000" w:themeColor="text1"/>
          <w:sz w:val="20"/>
          <w:szCs w:val="20"/>
          <w:lang w:eastAsia="sl-SI"/>
        </w:rPr>
        <w:t>Uradni list RS, št. 51/17, 64/19 in 121/21</w:t>
      </w:r>
      <w:r w:rsidRPr="00B92AAD">
        <w:rPr>
          <w:rFonts w:ascii="Arial" w:hAnsi="Arial" w:cs="Arial"/>
          <w:color w:val="000000" w:themeColor="text1"/>
          <w:sz w:val="20"/>
          <w:szCs w:val="20"/>
          <w:lang w:eastAsia="sl-SI"/>
        </w:rPr>
        <w:t xml:space="preserve">; </w:t>
      </w:r>
      <w:r w:rsidR="00601649" w:rsidRPr="00B92AAD">
        <w:rPr>
          <w:rFonts w:ascii="Arial" w:hAnsi="Arial" w:cs="Arial"/>
          <w:color w:val="000000" w:themeColor="text1"/>
          <w:sz w:val="20"/>
          <w:szCs w:val="20"/>
          <w:lang w:eastAsia="sl-SI"/>
        </w:rPr>
        <w:t xml:space="preserve">v nadaljnjem besedilu: </w:t>
      </w:r>
      <w:r w:rsidR="007F5D9D">
        <w:rPr>
          <w:rFonts w:ascii="Arial" w:hAnsi="Arial" w:cs="Arial"/>
          <w:color w:val="000000" w:themeColor="text1"/>
          <w:sz w:val="20"/>
          <w:szCs w:val="20"/>
          <w:lang w:eastAsia="sl-SI"/>
        </w:rPr>
        <w:t>U</w:t>
      </w:r>
      <w:r w:rsidRPr="00B92AAD">
        <w:rPr>
          <w:rFonts w:ascii="Arial" w:hAnsi="Arial" w:cs="Arial"/>
          <w:color w:val="000000" w:themeColor="text1"/>
          <w:sz w:val="20"/>
          <w:szCs w:val="20"/>
          <w:lang w:eastAsia="sl-SI"/>
        </w:rPr>
        <w:t xml:space="preserve">redba o </w:t>
      </w:r>
      <w:proofErr w:type="spellStart"/>
      <w:r w:rsidRPr="00B92AAD">
        <w:rPr>
          <w:rFonts w:ascii="Arial" w:hAnsi="Arial" w:cs="Arial"/>
          <w:color w:val="000000" w:themeColor="text1"/>
          <w:sz w:val="20"/>
          <w:szCs w:val="20"/>
          <w:lang w:eastAsia="sl-SI"/>
        </w:rPr>
        <w:t>ZeJN</w:t>
      </w:r>
      <w:proofErr w:type="spellEnd"/>
      <w:r w:rsidRPr="00B92AAD">
        <w:rPr>
          <w:rFonts w:ascii="Arial" w:hAnsi="Arial" w:cs="Arial"/>
          <w:color w:val="000000" w:themeColor="text1"/>
          <w:sz w:val="20"/>
          <w:szCs w:val="20"/>
          <w:lang w:eastAsia="sl-SI"/>
        </w:rPr>
        <w:t>) določa 2</w:t>
      </w:r>
      <w:r w:rsidR="00B90937" w:rsidRPr="00B92AAD">
        <w:rPr>
          <w:rFonts w:ascii="Arial" w:hAnsi="Arial" w:cs="Arial"/>
          <w:color w:val="000000" w:themeColor="text1"/>
          <w:sz w:val="20"/>
          <w:szCs w:val="20"/>
          <w:lang w:eastAsia="sl-SI"/>
        </w:rPr>
        <w:t>2</w:t>
      </w:r>
      <w:r w:rsidRPr="00B92AAD">
        <w:rPr>
          <w:rFonts w:ascii="Arial" w:hAnsi="Arial" w:cs="Arial"/>
          <w:color w:val="000000" w:themeColor="text1"/>
          <w:sz w:val="20"/>
          <w:szCs w:val="20"/>
          <w:lang w:eastAsia="sl-SI"/>
        </w:rPr>
        <w:t xml:space="preserve"> predmetov zelenega javnega naročanja, pri katerih je zeleno javno naročanje obvezno. Uredba o </w:t>
      </w:r>
      <w:proofErr w:type="spellStart"/>
      <w:r w:rsidRPr="00B92AAD">
        <w:rPr>
          <w:rFonts w:ascii="Arial" w:hAnsi="Arial" w:cs="Arial"/>
          <w:color w:val="000000" w:themeColor="text1"/>
          <w:sz w:val="20"/>
          <w:szCs w:val="20"/>
          <w:lang w:eastAsia="sl-SI"/>
        </w:rPr>
        <w:t>ZeJN</w:t>
      </w:r>
      <w:proofErr w:type="spellEnd"/>
      <w:r w:rsidRPr="00B92AAD">
        <w:rPr>
          <w:rFonts w:ascii="Arial" w:hAnsi="Arial" w:cs="Arial"/>
          <w:color w:val="000000" w:themeColor="text1"/>
          <w:sz w:val="20"/>
          <w:szCs w:val="20"/>
          <w:lang w:eastAsia="sl-SI"/>
        </w:rPr>
        <w:t xml:space="preserve"> določa cilje za posamezne predmete pri vsakokratni oddaji naročila, ki jih morajo naročniki izpolniti ob oddaji posameznega zelenega javnega naročila. </w:t>
      </w:r>
      <w:proofErr w:type="spellStart"/>
      <w:r w:rsidRPr="00B92AAD">
        <w:rPr>
          <w:rFonts w:ascii="Arial" w:hAnsi="Arial" w:cs="Arial"/>
          <w:color w:val="000000" w:themeColor="text1"/>
          <w:sz w:val="20"/>
          <w:szCs w:val="20"/>
          <w:lang w:eastAsia="sl-SI"/>
        </w:rPr>
        <w:t>Okoljske</w:t>
      </w:r>
      <w:proofErr w:type="spellEnd"/>
      <w:r w:rsidRPr="00B92AAD">
        <w:rPr>
          <w:rFonts w:ascii="Arial" w:hAnsi="Arial" w:cs="Arial"/>
          <w:color w:val="000000" w:themeColor="text1"/>
          <w:sz w:val="20"/>
          <w:szCs w:val="20"/>
          <w:lang w:eastAsia="sl-SI"/>
        </w:rPr>
        <w:t xml:space="preserve"> zahteve lahko naročniki v postopek javnega naročila vključijo na več načinov</w:t>
      </w:r>
      <w:r w:rsidR="00FC1B91" w:rsidRPr="00B92AAD">
        <w:rPr>
          <w:rFonts w:ascii="Arial" w:hAnsi="Arial" w:cs="Arial"/>
          <w:color w:val="000000" w:themeColor="text1"/>
          <w:sz w:val="20"/>
          <w:szCs w:val="20"/>
          <w:lang w:eastAsia="sl-SI"/>
        </w:rPr>
        <w:t>:</w:t>
      </w:r>
      <w:r w:rsidRPr="00B92AAD">
        <w:rPr>
          <w:rFonts w:ascii="Arial" w:hAnsi="Arial" w:cs="Arial"/>
          <w:color w:val="000000" w:themeColor="text1"/>
          <w:sz w:val="20"/>
          <w:szCs w:val="20"/>
          <w:lang w:eastAsia="sl-SI"/>
        </w:rPr>
        <w:t xml:space="preserve"> kot tehnične specifikacije, razlog za izključitev, pogoj za sodelovanje, merilo za </w:t>
      </w:r>
      <w:r w:rsidRPr="00B92AAD">
        <w:rPr>
          <w:rFonts w:ascii="Arial" w:hAnsi="Arial" w:cs="Arial"/>
          <w:color w:val="000000" w:themeColor="text1"/>
          <w:sz w:val="20"/>
          <w:szCs w:val="20"/>
          <w:lang w:eastAsia="sl-SI"/>
        </w:rPr>
        <w:lastRenderedPageBreak/>
        <w:t xml:space="preserve">oddajo javnega naročila ali </w:t>
      </w:r>
      <w:r w:rsidR="00FC1B91" w:rsidRPr="00B92AAD">
        <w:rPr>
          <w:rFonts w:ascii="Arial" w:hAnsi="Arial" w:cs="Arial"/>
          <w:color w:val="000000" w:themeColor="text1"/>
          <w:sz w:val="20"/>
          <w:szCs w:val="20"/>
          <w:lang w:eastAsia="sl-SI"/>
        </w:rPr>
        <w:t xml:space="preserve">kot </w:t>
      </w:r>
      <w:r w:rsidRPr="00B92AAD">
        <w:rPr>
          <w:rFonts w:ascii="Arial" w:hAnsi="Arial" w:cs="Arial"/>
          <w:color w:val="000000" w:themeColor="text1"/>
          <w:sz w:val="20"/>
          <w:szCs w:val="20"/>
          <w:lang w:eastAsia="sl-SI"/>
        </w:rPr>
        <w:t xml:space="preserve">posebno pogodbeno določilo. Naročniki </w:t>
      </w:r>
      <w:r w:rsidR="00A22784">
        <w:rPr>
          <w:rFonts w:ascii="Arial" w:hAnsi="Arial" w:cs="Arial"/>
          <w:color w:val="000000" w:themeColor="text1"/>
          <w:sz w:val="20"/>
          <w:szCs w:val="20"/>
          <w:lang w:eastAsia="sl-SI"/>
        </w:rPr>
        <w:t xml:space="preserve">lahko </w:t>
      </w:r>
      <w:r w:rsidRPr="00B92AAD">
        <w:rPr>
          <w:rFonts w:ascii="Arial" w:hAnsi="Arial" w:cs="Arial"/>
          <w:color w:val="000000" w:themeColor="text1"/>
          <w:sz w:val="20"/>
          <w:szCs w:val="20"/>
          <w:lang w:eastAsia="sl-SI"/>
        </w:rPr>
        <w:t xml:space="preserve">pri posameznem naročilu </w:t>
      </w:r>
      <w:proofErr w:type="spellStart"/>
      <w:r w:rsidRPr="00F65A6E">
        <w:rPr>
          <w:rFonts w:ascii="Arial" w:hAnsi="Arial" w:cs="Arial"/>
          <w:color w:val="000000" w:themeColor="text1"/>
          <w:sz w:val="20"/>
          <w:szCs w:val="20"/>
          <w:lang w:eastAsia="sl-SI"/>
        </w:rPr>
        <w:t>okoljske</w:t>
      </w:r>
      <w:proofErr w:type="spellEnd"/>
      <w:r w:rsidRPr="00F65A6E">
        <w:rPr>
          <w:rFonts w:ascii="Arial" w:hAnsi="Arial" w:cs="Arial"/>
          <w:color w:val="000000" w:themeColor="text1"/>
          <w:sz w:val="20"/>
          <w:szCs w:val="20"/>
          <w:lang w:eastAsia="sl-SI"/>
        </w:rPr>
        <w:t xml:space="preserve"> zahteve vključijo na navedeni način ali </w:t>
      </w:r>
      <w:r w:rsidR="00FC1B91" w:rsidRPr="00F65A6E">
        <w:rPr>
          <w:rFonts w:ascii="Arial" w:hAnsi="Arial" w:cs="Arial"/>
          <w:color w:val="000000" w:themeColor="text1"/>
          <w:sz w:val="20"/>
          <w:szCs w:val="20"/>
          <w:lang w:eastAsia="sl-SI"/>
        </w:rPr>
        <w:t xml:space="preserve">na </w:t>
      </w:r>
      <w:r w:rsidRPr="00F65A6E">
        <w:rPr>
          <w:rFonts w:ascii="Arial" w:hAnsi="Arial" w:cs="Arial"/>
          <w:color w:val="000000" w:themeColor="text1"/>
          <w:sz w:val="20"/>
          <w:szCs w:val="20"/>
          <w:lang w:eastAsia="sl-SI"/>
        </w:rPr>
        <w:t>več navedenih načinov.</w:t>
      </w:r>
    </w:p>
    <w:p w14:paraId="78EAEE47" w14:textId="2C9C1252" w:rsidR="00F742E4" w:rsidRPr="00BF7302" w:rsidRDefault="002B74A3" w:rsidP="00F742E4">
      <w:pPr>
        <w:spacing w:line="360" w:lineRule="auto"/>
        <w:jc w:val="both"/>
        <w:rPr>
          <w:rFonts w:ascii="Arial" w:hAnsi="Arial" w:cs="Arial"/>
          <w:color w:val="000000" w:themeColor="text1"/>
          <w:sz w:val="20"/>
          <w:szCs w:val="20"/>
          <w:highlight w:val="yellow"/>
          <w:lang w:eastAsia="sl-SI"/>
        </w:rPr>
      </w:pPr>
      <w:r w:rsidRPr="00F65A6E">
        <w:rPr>
          <w:rFonts w:ascii="Arial" w:hAnsi="Arial" w:cs="Arial"/>
          <w:color w:val="000000" w:themeColor="text1"/>
          <w:sz w:val="20"/>
          <w:szCs w:val="20"/>
          <w:lang w:eastAsia="sl-SI"/>
        </w:rPr>
        <w:t>Leta</w:t>
      </w:r>
      <w:r w:rsidR="00F742E4" w:rsidRPr="00F65A6E">
        <w:rPr>
          <w:rFonts w:ascii="Arial" w:hAnsi="Arial" w:cs="Arial"/>
          <w:color w:val="000000" w:themeColor="text1"/>
          <w:sz w:val="20"/>
          <w:szCs w:val="20"/>
          <w:lang w:eastAsia="sl-SI"/>
        </w:rPr>
        <w:t xml:space="preserve"> 20</w:t>
      </w:r>
      <w:r w:rsidR="001A40F0" w:rsidRPr="00F65A6E">
        <w:rPr>
          <w:rFonts w:ascii="Arial" w:hAnsi="Arial" w:cs="Arial"/>
          <w:color w:val="000000" w:themeColor="text1"/>
          <w:sz w:val="20"/>
          <w:szCs w:val="20"/>
          <w:lang w:eastAsia="sl-SI"/>
        </w:rPr>
        <w:t>2</w:t>
      </w:r>
      <w:r w:rsidR="00F65A6E" w:rsidRPr="00F65A6E">
        <w:rPr>
          <w:rFonts w:ascii="Arial" w:hAnsi="Arial" w:cs="Arial"/>
          <w:color w:val="000000" w:themeColor="text1"/>
          <w:sz w:val="20"/>
          <w:szCs w:val="20"/>
          <w:lang w:eastAsia="sl-SI"/>
        </w:rPr>
        <w:t>2</w:t>
      </w:r>
      <w:r w:rsidR="00F742E4" w:rsidRPr="00F65A6E">
        <w:rPr>
          <w:rFonts w:ascii="Arial" w:hAnsi="Arial" w:cs="Arial"/>
          <w:color w:val="000000" w:themeColor="text1"/>
          <w:sz w:val="20"/>
          <w:szCs w:val="20"/>
          <w:lang w:eastAsia="sl-SI"/>
        </w:rPr>
        <w:t xml:space="preserve"> so naročniki oddali 1</w:t>
      </w:r>
      <w:r w:rsidR="000605E6" w:rsidRPr="00F65A6E">
        <w:rPr>
          <w:rFonts w:ascii="Arial" w:hAnsi="Arial" w:cs="Arial"/>
          <w:color w:val="000000" w:themeColor="text1"/>
          <w:sz w:val="20"/>
          <w:szCs w:val="20"/>
          <w:lang w:eastAsia="sl-SI"/>
        </w:rPr>
        <w:t>7.</w:t>
      </w:r>
      <w:r w:rsidR="00F65A6E" w:rsidRPr="00F65A6E">
        <w:rPr>
          <w:rFonts w:ascii="Arial" w:hAnsi="Arial" w:cs="Arial"/>
          <w:color w:val="000000" w:themeColor="text1"/>
          <w:sz w:val="20"/>
          <w:szCs w:val="20"/>
          <w:lang w:eastAsia="sl-SI"/>
        </w:rPr>
        <w:t>244</w:t>
      </w:r>
      <w:r w:rsidR="00F742E4" w:rsidRPr="00F65A6E">
        <w:rPr>
          <w:rFonts w:ascii="Arial" w:hAnsi="Arial" w:cs="Arial"/>
          <w:color w:val="000000" w:themeColor="text1"/>
          <w:sz w:val="20"/>
          <w:szCs w:val="20"/>
          <w:lang w:eastAsia="sl-SI"/>
        </w:rPr>
        <w:t xml:space="preserve"> naročil v vrednosti </w:t>
      </w:r>
      <w:r w:rsidR="00F65A6E" w:rsidRPr="00F65A6E">
        <w:rPr>
          <w:rFonts w:ascii="Arial" w:hAnsi="Arial" w:cs="Arial"/>
          <w:color w:val="000000" w:themeColor="text1"/>
          <w:sz w:val="20"/>
          <w:szCs w:val="20"/>
          <w:lang w:eastAsia="sl-SI"/>
        </w:rPr>
        <w:t xml:space="preserve">5.417.105.902 </w:t>
      </w:r>
      <w:r w:rsidR="00F742E4" w:rsidRPr="00F65A6E">
        <w:rPr>
          <w:rFonts w:ascii="Arial" w:hAnsi="Arial" w:cs="Arial"/>
          <w:color w:val="000000" w:themeColor="text1"/>
          <w:sz w:val="20"/>
          <w:szCs w:val="20"/>
          <w:lang w:eastAsia="sl-SI"/>
        </w:rPr>
        <w:t xml:space="preserve">evrov. Najmanj en </w:t>
      </w:r>
      <w:proofErr w:type="spellStart"/>
      <w:r w:rsidR="00F742E4" w:rsidRPr="00F65A6E">
        <w:rPr>
          <w:rFonts w:ascii="Arial" w:hAnsi="Arial" w:cs="Arial"/>
          <w:color w:val="000000" w:themeColor="text1"/>
          <w:sz w:val="20"/>
          <w:szCs w:val="20"/>
          <w:lang w:eastAsia="sl-SI"/>
        </w:rPr>
        <w:t>okoljski</w:t>
      </w:r>
      <w:proofErr w:type="spellEnd"/>
      <w:r w:rsidR="00F742E4" w:rsidRPr="00F65A6E">
        <w:rPr>
          <w:rFonts w:ascii="Arial" w:hAnsi="Arial" w:cs="Arial"/>
          <w:color w:val="000000" w:themeColor="text1"/>
          <w:sz w:val="20"/>
          <w:szCs w:val="20"/>
          <w:lang w:eastAsia="sl-SI"/>
        </w:rPr>
        <w:t xml:space="preserve"> vidik </w:t>
      </w:r>
      <w:r w:rsidR="00F742E4" w:rsidRPr="00E5304C">
        <w:rPr>
          <w:rFonts w:ascii="Arial" w:hAnsi="Arial" w:cs="Arial"/>
          <w:color w:val="000000" w:themeColor="text1"/>
          <w:sz w:val="20"/>
          <w:szCs w:val="20"/>
          <w:lang w:eastAsia="sl-SI"/>
        </w:rPr>
        <w:t xml:space="preserve">so vključili v </w:t>
      </w:r>
      <w:r w:rsidR="000605E6" w:rsidRPr="00E5304C">
        <w:rPr>
          <w:rFonts w:ascii="Arial" w:hAnsi="Arial" w:cs="Arial"/>
          <w:color w:val="000000" w:themeColor="text1"/>
          <w:sz w:val="20"/>
          <w:szCs w:val="20"/>
          <w:lang w:eastAsia="sl-SI"/>
        </w:rPr>
        <w:t>5</w:t>
      </w:r>
      <w:r w:rsidR="00F65A6E" w:rsidRPr="00E5304C">
        <w:rPr>
          <w:rFonts w:ascii="Arial" w:hAnsi="Arial" w:cs="Arial"/>
          <w:color w:val="000000" w:themeColor="text1"/>
          <w:sz w:val="20"/>
          <w:szCs w:val="20"/>
          <w:lang w:eastAsia="sl-SI"/>
        </w:rPr>
        <w:t>162</w:t>
      </w:r>
      <w:r w:rsidR="00F742E4" w:rsidRPr="00E5304C">
        <w:rPr>
          <w:rFonts w:ascii="Arial" w:hAnsi="Arial" w:cs="Arial"/>
          <w:color w:val="000000" w:themeColor="text1"/>
          <w:sz w:val="20"/>
          <w:szCs w:val="20"/>
          <w:lang w:eastAsia="sl-SI"/>
        </w:rPr>
        <w:t xml:space="preserve"> naročilih, kar pomeni </w:t>
      </w:r>
      <w:r w:rsidR="00F65A6E" w:rsidRPr="00E5304C">
        <w:rPr>
          <w:rFonts w:ascii="Arial" w:hAnsi="Arial" w:cs="Arial"/>
          <w:color w:val="000000" w:themeColor="text1"/>
          <w:sz w:val="20"/>
          <w:szCs w:val="20"/>
          <w:lang w:eastAsia="sl-SI"/>
        </w:rPr>
        <w:t>29,97</w:t>
      </w:r>
      <w:r w:rsidR="00427811" w:rsidRPr="00E5304C">
        <w:rPr>
          <w:rFonts w:ascii="Arial" w:hAnsi="Arial" w:cs="Arial"/>
          <w:color w:val="000000" w:themeColor="text1"/>
          <w:sz w:val="20"/>
          <w:szCs w:val="20"/>
          <w:lang w:eastAsia="sl-SI"/>
        </w:rPr>
        <w:t> </w:t>
      </w:r>
      <w:r w:rsidR="00AC0027">
        <w:rPr>
          <w:rFonts w:ascii="Arial" w:hAnsi="Arial" w:cs="Arial"/>
          <w:color w:val="000000" w:themeColor="text1"/>
          <w:sz w:val="20"/>
          <w:szCs w:val="20"/>
          <w:lang w:eastAsia="sl-SI"/>
        </w:rPr>
        <w:t>odstotka</w:t>
      </w:r>
      <w:r w:rsidR="00F742E4" w:rsidRPr="00E5304C">
        <w:rPr>
          <w:rFonts w:ascii="Arial" w:hAnsi="Arial" w:cs="Arial"/>
          <w:color w:val="000000" w:themeColor="text1"/>
          <w:sz w:val="20"/>
          <w:szCs w:val="20"/>
          <w:lang w:eastAsia="sl-SI"/>
        </w:rPr>
        <w:t xml:space="preserve"> vseh oddanih naročil v tem letu. Vrednost teh naročil je </w:t>
      </w:r>
      <w:r w:rsidR="00F65A6E" w:rsidRPr="00E5304C">
        <w:rPr>
          <w:rFonts w:ascii="Arial" w:hAnsi="Arial" w:cs="Arial"/>
          <w:color w:val="000000" w:themeColor="text1"/>
          <w:sz w:val="20"/>
          <w:szCs w:val="20"/>
          <w:lang w:eastAsia="sl-SI"/>
        </w:rPr>
        <w:t xml:space="preserve">1.422.738.797 </w:t>
      </w:r>
      <w:r w:rsidR="00F742E4" w:rsidRPr="00E5304C">
        <w:rPr>
          <w:rFonts w:ascii="Arial" w:hAnsi="Arial" w:cs="Arial"/>
          <w:color w:val="000000" w:themeColor="text1"/>
          <w:sz w:val="20"/>
          <w:szCs w:val="20"/>
          <w:lang w:eastAsia="sl-SI"/>
        </w:rPr>
        <w:t xml:space="preserve">evrov, kar pomeni </w:t>
      </w:r>
      <w:r w:rsidR="00F65A6E" w:rsidRPr="00E5304C">
        <w:rPr>
          <w:rFonts w:ascii="Arial" w:hAnsi="Arial" w:cs="Arial"/>
          <w:color w:val="000000" w:themeColor="text1"/>
          <w:sz w:val="20"/>
          <w:szCs w:val="20"/>
          <w:lang w:eastAsia="sl-SI"/>
        </w:rPr>
        <w:t>26,26</w:t>
      </w:r>
      <w:r w:rsidR="00F742E4" w:rsidRPr="00E5304C">
        <w:rPr>
          <w:rFonts w:ascii="Arial" w:hAnsi="Arial" w:cs="Arial"/>
          <w:color w:val="000000" w:themeColor="text1"/>
          <w:sz w:val="20"/>
          <w:szCs w:val="20"/>
          <w:lang w:eastAsia="sl-SI"/>
        </w:rPr>
        <w:t xml:space="preserve">-odstotni delež. </w:t>
      </w:r>
      <w:r w:rsidR="003B5ED3" w:rsidRPr="00E5304C">
        <w:rPr>
          <w:rFonts w:ascii="Arial" w:hAnsi="Arial" w:cs="Arial"/>
          <w:color w:val="000000" w:themeColor="text1"/>
          <w:sz w:val="20"/>
          <w:szCs w:val="20"/>
          <w:lang w:eastAsia="sl-SI"/>
        </w:rPr>
        <w:t>V primerjavi z letom 20</w:t>
      </w:r>
      <w:r w:rsidR="000605E6" w:rsidRPr="00E5304C">
        <w:rPr>
          <w:rFonts w:ascii="Arial" w:hAnsi="Arial" w:cs="Arial"/>
          <w:color w:val="000000" w:themeColor="text1"/>
          <w:sz w:val="20"/>
          <w:szCs w:val="20"/>
          <w:lang w:eastAsia="sl-SI"/>
        </w:rPr>
        <w:t>2</w:t>
      </w:r>
      <w:r w:rsidR="00DE5851" w:rsidRPr="00E5304C">
        <w:rPr>
          <w:rFonts w:ascii="Arial" w:hAnsi="Arial" w:cs="Arial"/>
          <w:color w:val="000000" w:themeColor="text1"/>
          <w:sz w:val="20"/>
          <w:szCs w:val="20"/>
          <w:lang w:eastAsia="sl-SI"/>
        </w:rPr>
        <w:t>1</w:t>
      </w:r>
      <w:r w:rsidR="003B5ED3" w:rsidRPr="00E5304C">
        <w:rPr>
          <w:rFonts w:ascii="Arial" w:hAnsi="Arial" w:cs="Arial"/>
          <w:color w:val="000000" w:themeColor="text1"/>
          <w:sz w:val="20"/>
          <w:szCs w:val="20"/>
          <w:lang w:eastAsia="sl-SI"/>
        </w:rPr>
        <w:t xml:space="preserve"> </w:t>
      </w:r>
      <w:r w:rsidR="00FC1B91" w:rsidRPr="00E5304C">
        <w:rPr>
          <w:rFonts w:ascii="Arial" w:hAnsi="Arial" w:cs="Arial"/>
          <w:color w:val="000000" w:themeColor="text1"/>
          <w:sz w:val="20"/>
          <w:szCs w:val="20"/>
          <w:lang w:eastAsia="sl-SI"/>
        </w:rPr>
        <w:t xml:space="preserve">sta </w:t>
      </w:r>
      <w:r w:rsidR="003B5ED3" w:rsidRPr="00E5304C">
        <w:rPr>
          <w:rFonts w:ascii="Arial" w:hAnsi="Arial" w:cs="Arial"/>
          <w:color w:val="000000" w:themeColor="text1"/>
          <w:sz w:val="20"/>
          <w:szCs w:val="20"/>
          <w:lang w:eastAsia="sl-SI"/>
        </w:rPr>
        <w:t>opazn</w:t>
      </w:r>
      <w:r w:rsidR="00C42744" w:rsidRPr="00E5304C">
        <w:rPr>
          <w:rFonts w:ascii="Arial" w:hAnsi="Arial" w:cs="Arial"/>
          <w:color w:val="000000" w:themeColor="text1"/>
          <w:sz w:val="20"/>
          <w:szCs w:val="20"/>
          <w:lang w:eastAsia="sl-SI"/>
        </w:rPr>
        <w:t>i</w:t>
      </w:r>
      <w:r w:rsidR="003B5ED3" w:rsidRPr="00E5304C">
        <w:rPr>
          <w:rFonts w:ascii="Arial" w:hAnsi="Arial" w:cs="Arial"/>
          <w:color w:val="000000" w:themeColor="text1"/>
          <w:sz w:val="20"/>
          <w:szCs w:val="20"/>
          <w:lang w:eastAsia="sl-SI"/>
        </w:rPr>
        <w:t xml:space="preserve"> </w:t>
      </w:r>
      <w:r w:rsidR="00E5304C" w:rsidRPr="00E5304C">
        <w:rPr>
          <w:rFonts w:ascii="Arial" w:hAnsi="Arial" w:cs="Arial"/>
          <w:color w:val="000000" w:themeColor="text1"/>
          <w:sz w:val="20"/>
          <w:szCs w:val="20"/>
          <w:lang w:eastAsia="sl-SI"/>
        </w:rPr>
        <w:t>zmanjšanje</w:t>
      </w:r>
      <w:r w:rsidR="003B5ED3" w:rsidRPr="00E5304C">
        <w:rPr>
          <w:rFonts w:ascii="Arial" w:hAnsi="Arial" w:cs="Arial"/>
          <w:color w:val="000000" w:themeColor="text1"/>
          <w:sz w:val="20"/>
          <w:szCs w:val="20"/>
          <w:lang w:eastAsia="sl-SI"/>
        </w:rPr>
        <w:t xml:space="preserve"> števila naročil z vključenimi </w:t>
      </w:r>
      <w:proofErr w:type="spellStart"/>
      <w:r w:rsidR="003B5ED3" w:rsidRPr="00E5304C">
        <w:rPr>
          <w:rFonts w:ascii="Arial" w:hAnsi="Arial" w:cs="Arial"/>
          <w:color w:val="000000" w:themeColor="text1"/>
          <w:sz w:val="20"/>
          <w:szCs w:val="20"/>
          <w:lang w:eastAsia="sl-SI"/>
        </w:rPr>
        <w:t>okoljskimi</w:t>
      </w:r>
      <w:proofErr w:type="spellEnd"/>
      <w:r w:rsidR="003B5ED3" w:rsidRPr="00E5304C">
        <w:rPr>
          <w:rFonts w:ascii="Arial" w:hAnsi="Arial" w:cs="Arial"/>
          <w:color w:val="000000" w:themeColor="text1"/>
          <w:sz w:val="20"/>
          <w:szCs w:val="20"/>
          <w:lang w:eastAsia="sl-SI"/>
        </w:rPr>
        <w:t xml:space="preserve"> vidiki za </w:t>
      </w:r>
      <w:r w:rsidR="00E5304C" w:rsidRPr="00E5304C">
        <w:rPr>
          <w:rFonts w:ascii="Arial" w:hAnsi="Arial" w:cs="Arial"/>
          <w:color w:val="000000" w:themeColor="text1"/>
          <w:sz w:val="20"/>
          <w:szCs w:val="20"/>
          <w:lang w:eastAsia="sl-SI"/>
        </w:rPr>
        <w:t>7,23</w:t>
      </w:r>
      <w:r w:rsidR="00613D20">
        <w:rPr>
          <w:rFonts w:ascii="Arial" w:hAnsi="Arial" w:cs="Arial"/>
          <w:color w:val="000000" w:themeColor="text1"/>
          <w:sz w:val="20"/>
          <w:szCs w:val="20"/>
          <w:lang w:eastAsia="sl-SI"/>
        </w:rPr>
        <w:t xml:space="preserve"> </w:t>
      </w:r>
      <w:r w:rsidR="00AC0027">
        <w:rPr>
          <w:rFonts w:ascii="Arial" w:hAnsi="Arial" w:cs="Arial"/>
          <w:color w:val="000000" w:themeColor="text1"/>
          <w:sz w:val="20"/>
          <w:szCs w:val="20"/>
          <w:lang w:eastAsia="sl-SI"/>
        </w:rPr>
        <w:t>odstotka</w:t>
      </w:r>
      <w:r w:rsidR="003B5ED3" w:rsidRPr="00E5304C">
        <w:rPr>
          <w:rFonts w:ascii="Arial" w:hAnsi="Arial" w:cs="Arial"/>
          <w:color w:val="000000" w:themeColor="text1"/>
          <w:sz w:val="20"/>
          <w:szCs w:val="20"/>
          <w:lang w:eastAsia="sl-SI"/>
        </w:rPr>
        <w:t xml:space="preserve"> in</w:t>
      </w:r>
      <w:r w:rsidR="00F52298" w:rsidRPr="00E5304C">
        <w:rPr>
          <w:rFonts w:ascii="Arial" w:hAnsi="Arial" w:cs="Arial"/>
          <w:color w:val="000000" w:themeColor="text1"/>
          <w:sz w:val="20"/>
          <w:szCs w:val="20"/>
          <w:lang w:eastAsia="sl-SI"/>
        </w:rPr>
        <w:t xml:space="preserve"> </w:t>
      </w:r>
      <w:r w:rsidR="00E5304C" w:rsidRPr="00E5304C">
        <w:rPr>
          <w:rFonts w:ascii="Arial" w:hAnsi="Arial" w:cs="Arial"/>
          <w:color w:val="000000" w:themeColor="text1"/>
          <w:sz w:val="20"/>
          <w:szCs w:val="20"/>
          <w:lang w:eastAsia="sl-SI"/>
        </w:rPr>
        <w:t>povečanje</w:t>
      </w:r>
      <w:r w:rsidR="003B5ED3" w:rsidRPr="00E5304C">
        <w:rPr>
          <w:rFonts w:ascii="Arial" w:hAnsi="Arial" w:cs="Arial"/>
          <w:color w:val="000000" w:themeColor="text1"/>
          <w:sz w:val="20"/>
          <w:szCs w:val="20"/>
          <w:lang w:eastAsia="sl-SI"/>
        </w:rPr>
        <w:t xml:space="preserve"> vrednosti za </w:t>
      </w:r>
      <w:r w:rsidR="00E5304C" w:rsidRPr="00E5304C">
        <w:rPr>
          <w:rFonts w:ascii="Arial" w:hAnsi="Arial" w:cs="Arial"/>
          <w:color w:val="000000" w:themeColor="text1"/>
          <w:sz w:val="20"/>
          <w:szCs w:val="20"/>
          <w:lang w:eastAsia="sl-SI"/>
        </w:rPr>
        <w:t xml:space="preserve">42,87 </w:t>
      </w:r>
      <w:r w:rsidR="00AC0027">
        <w:rPr>
          <w:rFonts w:ascii="Arial" w:hAnsi="Arial" w:cs="Arial"/>
          <w:color w:val="000000" w:themeColor="text1"/>
          <w:sz w:val="20"/>
          <w:szCs w:val="20"/>
          <w:lang w:eastAsia="sl-SI"/>
        </w:rPr>
        <w:t>odstotka</w:t>
      </w:r>
      <w:r w:rsidR="003B5ED3" w:rsidRPr="00E5304C">
        <w:rPr>
          <w:rFonts w:ascii="Arial" w:hAnsi="Arial" w:cs="Arial"/>
          <w:color w:val="000000" w:themeColor="text1"/>
          <w:sz w:val="20"/>
          <w:szCs w:val="20"/>
          <w:lang w:eastAsia="sl-SI"/>
        </w:rPr>
        <w:t>.</w:t>
      </w:r>
    </w:p>
    <w:p w14:paraId="2258E16D" w14:textId="536ED6BB" w:rsidR="00F742E4" w:rsidRPr="00E86FC6" w:rsidRDefault="00F742E4" w:rsidP="00F742E4">
      <w:pPr>
        <w:spacing w:line="360" w:lineRule="auto"/>
        <w:jc w:val="both"/>
        <w:rPr>
          <w:rFonts w:ascii="Arial" w:hAnsi="Arial" w:cs="Arial"/>
          <w:color w:val="000000" w:themeColor="text1"/>
          <w:sz w:val="20"/>
          <w:szCs w:val="20"/>
          <w:lang w:eastAsia="sl-SI"/>
        </w:rPr>
      </w:pPr>
      <w:r w:rsidRPr="00E86FC6">
        <w:rPr>
          <w:rFonts w:ascii="Arial" w:hAnsi="Arial" w:cs="Arial"/>
          <w:color w:val="000000" w:themeColor="text1"/>
          <w:sz w:val="20"/>
          <w:szCs w:val="20"/>
          <w:lang w:eastAsia="sl-SI"/>
        </w:rPr>
        <w:t xml:space="preserve">Med temi je bilo </w:t>
      </w:r>
      <w:r w:rsidRPr="00F914C3">
        <w:rPr>
          <w:rFonts w:ascii="Arial" w:hAnsi="Arial" w:cs="Arial"/>
          <w:color w:val="000000" w:themeColor="text1"/>
          <w:sz w:val="20"/>
          <w:szCs w:val="20"/>
          <w:lang w:eastAsia="sl-SI"/>
        </w:rPr>
        <w:t xml:space="preserve">oddanih </w:t>
      </w:r>
      <w:r w:rsidR="00E86FC6" w:rsidRPr="00F914C3">
        <w:rPr>
          <w:rFonts w:ascii="Arial" w:hAnsi="Arial" w:cs="Arial"/>
          <w:color w:val="000000" w:themeColor="text1"/>
          <w:sz w:val="20"/>
          <w:szCs w:val="20"/>
          <w:lang w:eastAsia="sl-SI"/>
        </w:rPr>
        <w:t>3942</w:t>
      </w:r>
      <w:r w:rsidRPr="00F914C3">
        <w:rPr>
          <w:rFonts w:ascii="Arial" w:hAnsi="Arial" w:cs="Arial"/>
          <w:color w:val="000000" w:themeColor="text1"/>
          <w:sz w:val="20"/>
          <w:szCs w:val="20"/>
          <w:lang w:eastAsia="sl-SI"/>
        </w:rPr>
        <w:t xml:space="preserve"> naročil, za katere </w:t>
      </w:r>
      <w:proofErr w:type="spellStart"/>
      <w:r w:rsidRPr="00F914C3">
        <w:rPr>
          <w:rFonts w:ascii="Arial" w:hAnsi="Arial" w:cs="Arial"/>
          <w:color w:val="000000" w:themeColor="text1"/>
          <w:sz w:val="20"/>
          <w:szCs w:val="20"/>
          <w:lang w:eastAsia="sl-SI"/>
        </w:rPr>
        <w:t>okoljske</w:t>
      </w:r>
      <w:proofErr w:type="spellEnd"/>
      <w:r w:rsidRPr="00F914C3">
        <w:rPr>
          <w:rFonts w:ascii="Arial" w:hAnsi="Arial" w:cs="Arial"/>
          <w:color w:val="000000" w:themeColor="text1"/>
          <w:sz w:val="20"/>
          <w:szCs w:val="20"/>
          <w:lang w:eastAsia="sl-SI"/>
        </w:rPr>
        <w:t xml:space="preserve"> zahteve določa </w:t>
      </w:r>
      <w:r w:rsidR="00A22784">
        <w:rPr>
          <w:rFonts w:ascii="Arial" w:hAnsi="Arial" w:cs="Arial"/>
          <w:color w:val="000000" w:themeColor="text1"/>
          <w:sz w:val="20"/>
          <w:szCs w:val="20"/>
          <w:lang w:eastAsia="sl-SI"/>
        </w:rPr>
        <w:t>u</w:t>
      </w:r>
      <w:r w:rsidRPr="00F914C3">
        <w:rPr>
          <w:rFonts w:ascii="Arial" w:hAnsi="Arial" w:cs="Arial"/>
          <w:color w:val="000000" w:themeColor="text1"/>
          <w:sz w:val="20"/>
          <w:szCs w:val="20"/>
          <w:lang w:eastAsia="sl-SI"/>
        </w:rPr>
        <w:t xml:space="preserve">redba o </w:t>
      </w:r>
      <w:proofErr w:type="spellStart"/>
      <w:r w:rsidRPr="00F914C3">
        <w:rPr>
          <w:rFonts w:ascii="Arial" w:hAnsi="Arial" w:cs="Arial"/>
          <w:color w:val="000000" w:themeColor="text1"/>
          <w:sz w:val="20"/>
          <w:szCs w:val="20"/>
          <w:lang w:eastAsia="sl-SI"/>
        </w:rPr>
        <w:t>ZeJN</w:t>
      </w:r>
      <w:proofErr w:type="spellEnd"/>
      <w:r w:rsidRPr="00F914C3">
        <w:rPr>
          <w:rFonts w:ascii="Arial" w:hAnsi="Arial" w:cs="Arial"/>
          <w:color w:val="000000" w:themeColor="text1"/>
          <w:sz w:val="20"/>
          <w:szCs w:val="20"/>
          <w:lang w:eastAsia="sl-SI"/>
        </w:rPr>
        <w:t xml:space="preserve">, v vrednosti </w:t>
      </w:r>
      <w:r w:rsidR="00E86FC6" w:rsidRPr="00F914C3">
        <w:rPr>
          <w:rFonts w:ascii="Arial" w:hAnsi="Arial" w:cs="Arial"/>
          <w:color w:val="000000" w:themeColor="text1"/>
          <w:sz w:val="20"/>
          <w:szCs w:val="20"/>
          <w:lang w:eastAsia="sl-SI"/>
        </w:rPr>
        <w:t xml:space="preserve">710.729.287 </w:t>
      </w:r>
      <w:r w:rsidRPr="00F914C3">
        <w:rPr>
          <w:rFonts w:ascii="Arial" w:hAnsi="Arial" w:cs="Arial"/>
          <w:color w:val="000000" w:themeColor="text1"/>
          <w:sz w:val="20"/>
          <w:szCs w:val="20"/>
          <w:lang w:eastAsia="sl-SI"/>
        </w:rPr>
        <w:t xml:space="preserve">evrov. Delež teh pomeni </w:t>
      </w:r>
      <w:r w:rsidR="00A76F83" w:rsidRPr="00F914C3">
        <w:rPr>
          <w:rFonts w:ascii="Arial" w:hAnsi="Arial" w:cs="Arial"/>
          <w:color w:val="000000" w:themeColor="text1"/>
          <w:sz w:val="20"/>
          <w:szCs w:val="20"/>
          <w:lang w:eastAsia="sl-SI"/>
        </w:rPr>
        <w:t>2</w:t>
      </w:r>
      <w:r w:rsidR="00F914C3" w:rsidRPr="00F914C3">
        <w:rPr>
          <w:rFonts w:ascii="Arial" w:hAnsi="Arial" w:cs="Arial"/>
          <w:color w:val="000000" w:themeColor="text1"/>
          <w:sz w:val="20"/>
          <w:szCs w:val="20"/>
          <w:lang w:eastAsia="sl-SI"/>
        </w:rPr>
        <w:t>2,89</w:t>
      </w:r>
      <w:r w:rsidR="00427811" w:rsidRPr="00F914C3">
        <w:rPr>
          <w:rFonts w:ascii="Arial" w:hAnsi="Arial" w:cs="Arial"/>
          <w:color w:val="000000" w:themeColor="text1"/>
          <w:sz w:val="20"/>
          <w:szCs w:val="20"/>
          <w:lang w:eastAsia="sl-SI"/>
        </w:rPr>
        <w:t> </w:t>
      </w:r>
      <w:r w:rsidR="00AC0027">
        <w:rPr>
          <w:rFonts w:ascii="Arial" w:hAnsi="Arial" w:cs="Arial"/>
          <w:color w:val="000000" w:themeColor="text1"/>
          <w:sz w:val="20"/>
          <w:szCs w:val="20"/>
          <w:lang w:eastAsia="sl-SI"/>
        </w:rPr>
        <w:t>odstotka</w:t>
      </w:r>
      <w:r w:rsidRPr="00F914C3">
        <w:rPr>
          <w:rFonts w:ascii="Arial" w:hAnsi="Arial" w:cs="Arial"/>
          <w:color w:val="000000" w:themeColor="text1"/>
          <w:sz w:val="20"/>
          <w:szCs w:val="20"/>
          <w:lang w:eastAsia="sl-SI"/>
        </w:rPr>
        <w:t xml:space="preserve"> v številu in </w:t>
      </w:r>
      <w:r w:rsidR="00A76F83" w:rsidRPr="00F914C3">
        <w:rPr>
          <w:rFonts w:ascii="Arial" w:hAnsi="Arial" w:cs="Arial"/>
          <w:color w:val="000000" w:themeColor="text1"/>
          <w:sz w:val="20"/>
          <w:szCs w:val="20"/>
          <w:lang w:eastAsia="sl-SI"/>
        </w:rPr>
        <w:t>1</w:t>
      </w:r>
      <w:r w:rsidR="00F914C3" w:rsidRPr="00F914C3">
        <w:rPr>
          <w:rFonts w:ascii="Arial" w:hAnsi="Arial" w:cs="Arial"/>
          <w:color w:val="000000" w:themeColor="text1"/>
          <w:sz w:val="20"/>
          <w:szCs w:val="20"/>
          <w:lang w:eastAsia="sl-SI"/>
        </w:rPr>
        <w:t>3,12</w:t>
      </w:r>
      <w:r w:rsidR="00427811" w:rsidRPr="00F914C3">
        <w:rPr>
          <w:rFonts w:ascii="Arial" w:hAnsi="Arial" w:cs="Arial"/>
          <w:color w:val="000000" w:themeColor="text1"/>
          <w:sz w:val="20"/>
          <w:szCs w:val="20"/>
          <w:lang w:eastAsia="sl-SI"/>
        </w:rPr>
        <w:t> </w:t>
      </w:r>
      <w:r w:rsidR="00AC0027">
        <w:rPr>
          <w:rFonts w:ascii="Arial" w:hAnsi="Arial" w:cs="Arial"/>
          <w:color w:val="000000" w:themeColor="text1"/>
          <w:sz w:val="20"/>
          <w:szCs w:val="20"/>
          <w:lang w:eastAsia="sl-SI"/>
        </w:rPr>
        <w:t>odstotka</w:t>
      </w:r>
      <w:r w:rsidRPr="00F914C3">
        <w:rPr>
          <w:rFonts w:ascii="Arial" w:hAnsi="Arial" w:cs="Arial"/>
          <w:color w:val="000000" w:themeColor="text1"/>
          <w:sz w:val="20"/>
          <w:szCs w:val="20"/>
          <w:lang w:eastAsia="sl-SI"/>
        </w:rPr>
        <w:t xml:space="preserve"> v vrednosti vseh oddanih naročil v letu 20</w:t>
      </w:r>
      <w:r w:rsidR="00232215" w:rsidRPr="00F914C3">
        <w:rPr>
          <w:rFonts w:ascii="Arial" w:hAnsi="Arial" w:cs="Arial"/>
          <w:color w:val="000000" w:themeColor="text1"/>
          <w:sz w:val="20"/>
          <w:szCs w:val="20"/>
          <w:lang w:eastAsia="sl-SI"/>
        </w:rPr>
        <w:t>2</w:t>
      </w:r>
      <w:r w:rsidR="00E86FC6" w:rsidRPr="00F914C3">
        <w:rPr>
          <w:rFonts w:ascii="Arial" w:hAnsi="Arial" w:cs="Arial"/>
          <w:color w:val="000000" w:themeColor="text1"/>
          <w:sz w:val="20"/>
          <w:szCs w:val="20"/>
          <w:lang w:eastAsia="sl-SI"/>
        </w:rPr>
        <w:t>2</w:t>
      </w:r>
      <w:r w:rsidRPr="00F914C3">
        <w:rPr>
          <w:rFonts w:ascii="Arial" w:hAnsi="Arial" w:cs="Arial"/>
          <w:color w:val="000000" w:themeColor="text1"/>
          <w:sz w:val="20"/>
          <w:szCs w:val="20"/>
          <w:lang w:eastAsia="sl-SI"/>
        </w:rPr>
        <w:t>. V preostalih</w:t>
      </w:r>
      <w:r w:rsidRPr="00E86FC6">
        <w:rPr>
          <w:rFonts w:ascii="Arial" w:hAnsi="Arial" w:cs="Arial"/>
          <w:color w:val="000000" w:themeColor="text1"/>
          <w:sz w:val="20"/>
          <w:szCs w:val="20"/>
          <w:lang w:eastAsia="sl-SI"/>
        </w:rPr>
        <w:t xml:space="preserve"> </w:t>
      </w:r>
      <w:r w:rsidR="00E86FC6" w:rsidRPr="00E86FC6">
        <w:rPr>
          <w:rFonts w:ascii="Arial" w:hAnsi="Arial" w:cs="Arial"/>
          <w:color w:val="000000" w:themeColor="text1"/>
          <w:sz w:val="20"/>
          <w:szCs w:val="20"/>
          <w:lang w:eastAsia="sl-SI"/>
        </w:rPr>
        <w:t>1220</w:t>
      </w:r>
      <w:r w:rsidRPr="00E86FC6">
        <w:rPr>
          <w:rFonts w:ascii="Arial" w:hAnsi="Arial" w:cs="Arial"/>
          <w:color w:val="000000" w:themeColor="text1"/>
          <w:sz w:val="20"/>
          <w:szCs w:val="20"/>
          <w:lang w:eastAsia="sl-SI"/>
        </w:rPr>
        <w:t xml:space="preserve"> naročilih v vrednosti </w:t>
      </w:r>
      <w:r w:rsidR="00E86FC6" w:rsidRPr="00E86FC6">
        <w:rPr>
          <w:rFonts w:ascii="Arial" w:hAnsi="Arial" w:cs="Arial"/>
          <w:color w:val="000000" w:themeColor="text1"/>
          <w:sz w:val="20"/>
          <w:szCs w:val="20"/>
          <w:lang w:eastAsia="sl-SI"/>
        </w:rPr>
        <w:t xml:space="preserve">712.009.510 </w:t>
      </w:r>
      <w:r w:rsidRPr="00E86FC6">
        <w:rPr>
          <w:rFonts w:ascii="Arial" w:hAnsi="Arial" w:cs="Arial"/>
          <w:color w:val="000000" w:themeColor="text1"/>
          <w:sz w:val="20"/>
          <w:szCs w:val="20"/>
          <w:lang w:eastAsia="sl-SI"/>
        </w:rPr>
        <w:t xml:space="preserve">evrov so naročniki </w:t>
      </w:r>
      <w:proofErr w:type="spellStart"/>
      <w:r w:rsidRPr="00E86FC6">
        <w:rPr>
          <w:rFonts w:ascii="Arial" w:hAnsi="Arial" w:cs="Arial"/>
          <w:color w:val="000000" w:themeColor="text1"/>
          <w:sz w:val="20"/>
          <w:szCs w:val="20"/>
          <w:lang w:eastAsia="sl-SI"/>
        </w:rPr>
        <w:t>okoljski</w:t>
      </w:r>
      <w:proofErr w:type="spellEnd"/>
      <w:r w:rsidRPr="00E86FC6">
        <w:rPr>
          <w:rFonts w:ascii="Arial" w:hAnsi="Arial" w:cs="Arial"/>
          <w:color w:val="000000" w:themeColor="text1"/>
          <w:sz w:val="20"/>
          <w:szCs w:val="20"/>
          <w:lang w:eastAsia="sl-SI"/>
        </w:rPr>
        <w:t xml:space="preserve"> vidik upoštevali </w:t>
      </w:r>
      <w:r w:rsidRPr="00F914C3">
        <w:rPr>
          <w:rFonts w:ascii="Arial" w:hAnsi="Arial" w:cs="Arial"/>
          <w:color w:val="000000" w:themeColor="text1"/>
          <w:sz w:val="20"/>
          <w:szCs w:val="20"/>
          <w:lang w:eastAsia="sl-SI"/>
        </w:rPr>
        <w:t>prostovoljno, kar je</w:t>
      </w:r>
      <w:r w:rsidR="00F914C3" w:rsidRPr="00F914C3">
        <w:rPr>
          <w:rFonts w:ascii="Arial" w:hAnsi="Arial" w:cs="Arial"/>
          <w:color w:val="000000" w:themeColor="text1"/>
          <w:sz w:val="20"/>
          <w:szCs w:val="20"/>
          <w:lang w:eastAsia="sl-SI"/>
        </w:rPr>
        <w:t xml:space="preserve"> 7,08</w:t>
      </w:r>
      <w:r w:rsidR="005D5B62" w:rsidRPr="00F914C3">
        <w:rPr>
          <w:rFonts w:ascii="Arial" w:hAnsi="Arial" w:cs="Arial"/>
          <w:color w:val="000000" w:themeColor="text1"/>
          <w:sz w:val="20"/>
          <w:szCs w:val="20"/>
          <w:lang w:eastAsia="sl-SI"/>
        </w:rPr>
        <w:t> </w:t>
      </w:r>
      <w:r w:rsidR="00AC0027">
        <w:rPr>
          <w:rFonts w:ascii="Arial" w:hAnsi="Arial" w:cs="Arial"/>
          <w:color w:val="000000" w:themeColor="text1"/>
          <w:sz w:val="20"/>
          <w:szCs w:val="20"/>
          <w:lang w:eastAsia="sl-SI"/>
        </w:rPr>
        <w:t>odstotka</w:t>
      </w:r>
      <w:r w:rsidR="00FA0EF9" w:rsidRPr="00F914C3">
        <w:rPr>
          <w:rFonts w:ascii="Arial" w:hAnsi="Arial" w:cs="Arial"/>
          <w:color w:val="000000" w:themeColor="text1"/>
          <w:sz w:val="20"/>
          <w:szCs w:val="20"/>
          <w:lang w:eastAsia="sl-SI"/>
        </w:rPr>
        <w:t xml:space="preserve"> </w:t>
      </w:r>
      <w:r w:rsidRPr="00F914C3">
        <w:rPr>
          <w:rFonts w:ascii="Arial" w:hAnsi="Arial" w:cs="Arial"/>
          <w:color w:val="000000" w:themeColor="text1"/>
          <w:sz w:val="20"/>
          <w:szCs w:val="20"/>
          <w:lang w:eastAsia="sl-SI"/>
        </w:rPr>
        <w:t xml:space="preserve">vseh naročil </w:t>
      </w:r>
      <w:r w:rsidR="006767B5" w:rsidRPr="00F914C3">
        <w:rPr>
          <w:rFonts w:ascii="Arial" w:hAnsi="Arial" w:cs="Arial"/>
          <w:color w:val="000000" w:themeColor="text1"/>
          <w:sz w:val="20"/>
          <w:szCs w:val="20"/>
          <w:lang w:eastAsia="sl-SI"/>
        </w:rPr>
        <w:t xml:space="preserve">in </w:t>
      </w:r>
      <w:r w:rsidR="00F914C3" w:rsidRPr="00F914C3">
        <w:rPr>
          <w:rFonts w:ascii="Arial" w:hAnsi="Arial" w:cs="Arial"/>
          <w:color w:val="000000" w:themeColor="text1"/>
          <w:sz w:val="20"/>
          <w:szCs w:val="20"/>
          <w:lang w:eastAsia="sl-SI"/>
        </w:rPr>
        <w:t>13,14</w:t>
      </w:r>
      <w:r w:rsidR="005D5B62" w:rsidRPr="00F914C3">
        <w:rPr>
          <w:rFonts w:ascii="Arial" w:hAnsi="Arial" w:cs="Arial"/>
          <w:color w:val="000000" w:themeColor="text1"/>
          <w:sz w:val="20"/>
          <w:szCs w:val="20"/>
          <w:lang w:eastAsia="sl-SI"/>
        </w:rPr>
        <w:t> </w:t>
      </w:r>
      <w:r w:rsidR="00AC0027">
        <w:rPr>
          <w:rFonts w:ascii="Arial" w:hAnsi="Arial" w:cs="Arial"/>
          <w:color w:val="000000" w:themeColor="text1"/>
          <w:sz w:val="20"/>
          <w:szCs w:val="20"/>
          <w:lang w:eastAsia="sl-SI"/>
        </w:rPr>
        <w:t>odstotka</w:t>
      </w:r>
      <w:r w:rsidR="00FA0EF9" w:rsidRPr="00F914C3">
        <w:rPr>
          <w:rFonts w:ascii="Arial" w:hAnsi="Arial" w:cs="Arial"/>
          <w:color w:val="000000" w:themeColor="text1"/>
          <w:sz w:val="20"/>
          <w:szCs w:val="20"/>
          <w:lang w:eastAsia="sl-SI"/>
        </w:rPr>
        <w:t xml:space="preserve"> </w:t>
      </w:r>
      <w:r w:rsidRPr="00F914C3">
        <w:rPr>
          <w:rFonts w:ascii="Arial" w:hAnsi="Arial" w:cs="Arial"/>
          <w:color w:val="000000" w:themeColor="text1"/>
          <w:sz w:val="20"/>
          <w:szCs w:val="20"/>
          <w:lang w:eastAsia="sl-SI"/>
        </w:rPr>
        <w:t>vrednosti vseh</w:t>
      </w:r>
      <w:r w:rsidRPr="00E86FC6">
        <w:rPr>
          <w:rFonts w:ascii="Arial" w:hAnsi="Arial" w:cs="Arial"/>
          <w:color w:val="000000" w:themeColor="text1"/>
          <w:sz w:val="20"/>
          <w:szCs w:val="20"/>
          <w:lang w:eastAsia="sl-SI"/>
        </w:rPr>
        <w:t xml:space="preserve"> oddanih naročil v letu 20</w:t>
      </w:r>
      <w:r w:rsidR="00232215" w:rsidRPr="00E86FC6">
        <w:rPr>
          <w:rFonts w:ascii="Arial" w:hAnsi="Arial" w:cs="Arial"/>
          <w:color w:val="000000" w:themeColor="text1"/>
          <w:sz w:val="20"/>
          <w:szCs w:val="20"/>
          <w:lang w:eastAsia="sl-SI"/>
        </w:rPr>
        <w:t>2</w:t>
      </w:r>
      <w:r w:rsidR="00E86FC6" w:rsidRPr="00E86FC6">
        <w:rPr>
          <w:rFonts w:ascii="Arial" w:hAnsi="Arial" w:cs="Arial"/>
          <w:color w:val="000000" w:themeColor="text1"/>
          <w:sz w:val="20"/>
          <w:szCs w:val="20"/>
          <w:lang w:eastAsia="sl-SI"/>
        </w:rPr>
        <w:t>2</w:t>
      </w:r>
      <w:r w:rsidRPr="00E86FC6">
        <w:rPr>
          <w:rFonts w:ascii="Arial" w:hAnsi="Arial" w:cs="Arial"/>
          <w:color w:val="000000" w:themeColor="text1"/>
          <w:sz w:val="20"/>
          <w:szCs w:val="20"/>
          <w:lang w:eastAsia="sl-SI"/>
        </w:rPr>
        <w:t>.</w:t>
      </w:r>
    </w:p>
    <w:p w14:paraId="3E7F5F24" w14:textId="68E91CC1" w:rsidR="008C1A77" w:rsidRPr="00E86FC6" w:rsidRDefault="008C1A77" w:rsidP="008C1A77">
      <w:pPr>
        <w:spacing w:line="360" w:lineRule="auto"/>
        <w:jc w:val="both"/>
        <w:rPr>
          <w:rFonts w:ascii="Arial" w:hAnsi="Arial" w:cs="Arial"/>
          <w:color w:val="000000" w:themeColor="text1"/>
          <w:sz w:val="20"/>
          <w:szCs w:val="20"/>
        </w:rPr>
      </w:pPr>
      <w:r w:rsidRPr="00E86FC6">
        <w:rPr>
          <w:rFonts w:ascii="Arial" w:hAnsi="Arial" w:cs="Arial"/>
          <w:color w:val="000000" w:themeColor="text1"/>
          <w:sz w:val="20"/>
          <w:szCs w:val="20"/>
        </w:rPr>
        <w:t xml:space="preserve">Iz statističnih podatkov izhaja, da naročniki v </w:t>
      </w:r>
      <w:r w:rsidR="00E86FC6" w:rsidRPr="00E86FC6">
        <w:rPr>
          <w:rFonts w:ascii="Arial" w:hAnsi="Arial" w:cs="Arial"/>
          <w:color w:val="000000" w:themeColor="text1"/>
          <w:sz w:val="20"/>
          <w:szCs w:val="20"/>
        </w:rPr>
        <w:t>1418</w:t>
      </w:r>
      <w:r w:rsidRPr="00E86FC6">
        <w:rPr>
          <w:rFonts w:ascii="Arial" w:hAnsi="Arial" w:cs="Arial"/>
          <w:color w:val="000000" w:themeColor="text1"/>
          <w:sz w:val="20"/>
          <w:szCs w:val="20"/>
        </w:rPr>
        <w:t xml:space="preserve"> naročilih v vrednosti </w:t>
      </w:r>
      <w:r w:rsidR="00E86FC6" w:rsidRPr="00E86FC6">
        <w:rPr>
          <w:rFonts w:ascii="Arial" w:hAnsi="Arial" w:cs="Arial"/>
          <w:color w:val="000000" w:themeColor="text1"/>
          <w:sz w:val="20"/>
          <w:szCs w:val="20"/>
        </w:rPr>
        <w:t xml:space="preserve">381.124.543 </w:t>
      </w:r>
      <w:r w:rsidRPr="00E86FC6">
        <w:rPr>
          <w:rFonts w:ascii="Arial" w:hAnsi="Arial" w:cs="Arial"/>
          <w:color w:val="000000" w:themeColor="text1"/>
          <w:sz w:val="20"/>
          <w:szCs w:val="20"/>
        </w:rPr>
        <w:t xml:space="preserve">evrov, kjer predmet naročanja </w:t>
      </w:r>
      <w:r w:rsidR="00FC1B91" w:rsidRPr="00E86FC6">
        <w:rPr>
          <w:rFonts w:ascii="Arial" w:hAnsi="Arial" w:cs="Arial"/>
          <w:color w:val="000000" w:themeColor="text1"/>
          <w:sz w:val="20"/>
          <w:szCs w:val="20"/>
        </w:rPr>
        <w:t xml:space="preserve">pomeni </w:t>
      </w:r>
      <w:r w:rsidRPr="00E86FC6">
        <w:rPr>
          <w:rFonts w:ascii="Arial" w:hAnsi="Arial" w:cs="Arial"/>
          <w:color w:val="000000" w:themeColor="text1"/>
          <w:sz w:val="20"/>
          <w:szCs w:val="20"/>
        </w:rPr>
        <w:t xml:space="preserve">vsaj enega </w:t>
      </w:r>
      <w:r w:rsidR="005D5B62" w:rsidRPr="00E86FC6">
        <w:rPr>
          <w:rFonts w:ascii="Arial" w:hAnsi="Arial" w:cs="Arial"/>
          <w:color w:val="000000" w:themeColor="text1"/>
          <w:sz w:val="20"/>
          <w:szCs w:val="20"/>
        </w:rPr>
        <w:t xml:space="preserve">od </w:t>
      </w:r>
      <w:r w:rsidRPr="00E86FC6">
        <w:rPr>
          <w:rFonts w:ascii="Arial" w:hAnsi="Arial" w:cs="Arial"/>
          <w:color w:val="000000" w:themeColor="text1"/>
          <w:sz w:val="20"/>
          <w:szCs w:val="20"/>
        </w:rPr>
        <w:t xml:space="preserve">predmetov zelenega javnega naročanja, niso vključili nobenega </w:t>
      </w:r>
      <w:proofErr w:type="spellStart"/>
      <w:r w:rsidRPr="00E86FC6">
        <w:rPr>
          <w:rFonts w:ascii="Arial" w:hAnsi="Arial" w:cs="Arial"/>
          <w:color w:val="000000" w:themeColor="text1"/>
          <w:sz w:val="20"/>
          <w:szCs w:val="20"/>
        </w:rPr>
        <w:t>okoljskega</w:t>
      </w:r>
      <w:proofErr w:type="spellEnd"/>
      <w:r w:rsidRPr="00E86FC6">
        <w:rPr>
          <w:rFonts w:ascii="Arial" w:hAnsi="Arial" w:cs="Arial"/>
          <w:color w:val="000000" w:themeColor="text1"/>
          <w:sz w:val="20"/>
          <w:szCs w:val="20"/>
        </w:rPr>
        <w:t xml:space="preserve"> vidika. </w:t>
      </w:r>
    </w:p>
    <w:p w14:paraId="3B83B9CC" w14:textId="66DF9216" w:rsidR="00F742E4" w:rsidRPr="00F65A6E" w:rsidRDefault="008C1A77" w:rsidP="008C1A77">
      <w:pPr>
        <w:spacing w:line="360" w:lineRule="auto"/>
        <w:jc w:val="both"/>
        <w:rPr>
          <w:rFonts w:ascii="Arial" w:hAnsi="Arial" w:cs="Arial"/>
          <w:color w:val="000000" w:themeColor="text1"/>
          <w:sz w:val="20"/>
          <w:szCs w:val="20"/>
          <w:lang w:eastAsia="sl-SI"/>
        </w:rPr>
      </w:pPr>
      <w:r w:rsidRPr="00F65A6E">
        <w:rPr>
          <w:rFonts w:ascii="Arial" w:hAnsi="Arial" w:cs="Arial"/>
          <w:sz w:val="20"/>
          <w:szCs w:val="20"/>
        </w:rPr>
        <w:t>Največji delež zelenih naročil v vseh naročilih glede na področje je na splošnem področju, kjer zelena naročila</w:t>
      </w:r>
      <w:r w:rsidR="00E44BEE" w:rsidRPr="00F65A6E">
        <w:rPr>
          <w:rFonts w:ascii="Arial" w:hAnsi="Arial" w:cs="Arial"/>
          <w:sz w:val="20"/>
          <w:szCs w:val="20"/>
        </w:rPr>
        <w:t xml:space="preserve"> </w:t>
      </w:r>
      <w:r w:rsidR="001D3DD9">
        <w:rPr>
          <w:rFonts w:ascii="Arial" w:hAnsi="Arial" w:cs="Arial"/>
          <w:sz w:val="20"/>
          <w:szCs w:val="20"/>
        </w:rPr>
        <w:t>zavzemajo</w:t>
      </w:r>
      <w:r w:rsidRPr="00F65A6E">
        <w:rPr>
          <w:rFonts w:ascii="Arial" w:hAnsi="Arial" w:cs="Arial"/>
          <w:sz w:val="20"/>
          <w:szCs w:val="20"/>
        </w:rPr>
        <w:t xml:space="preserve"> </w:t>
      </w:r>
      <w:r w:rsidR="00F65A6E" w:rsidRPr="00F65A6E">
        <w:rPr>
          <w:rFonts w:ascii="Arial" w:hAnsi="Arial" w:cs="Arial"/>
          <w:sz w:val="20"/>
          <w:szCs w:val="20"/>
        </w:rPr>
        <w:t>slabo</w:t>
      </w:r>
      <w:r w:rsidRPr="00F65A6E">
        <w:rPr>
          <w:rFonts w:ascii="Arial" w:hAnsi="Arial" w:cs="Arial"/>
          <w:sz w:val="20"/>
          <w:szCs w:val="20"/>
        </w:rPr>
        <w:t xml:space="preserve"> </w:t>
      </w:r>
      <w:r w:rsidR="00191A12" w:rsidRPr="00F65A6E">
        <w:rPr>
          <w:rFonts w:ascii="Arial" w:hAnsi="Arial" w:cs="Arial"/>
          <w:sz w:val="20"/>
          <w:szCs w:val="20"/>
        </w:rPr>
        <w:t>tretjin</w:t>
      </w:r>
      <w:r w:rsidR="00E44BEE" w:rsidRPr="00F65A6E">
        <w:rPr>
          <w:rFonts w:ascii="Arial" w:hAnsi="Arial" w:cs="Arial"/>
          <w:sz w:val="20"/>
          <w:szCs w:val="20"/>
        </w:rPr>
        <w:t>o</w:t>
      </w:r>
      <w:r w:rsidRPr="00F65A6E">
        <w:rPr>
          <w:rFonts w:ascii="Arial" w:hAnsi="Arial" w:cs="Arial"/>
          <w:sz w:val="20"/>
          <w:szCs w:val="20"/>
        </w:rPr>
        <w:t xml:space="preserve"> vseh oddanih naročil na tem področju. Prav tako je na splošnem področju največji delež zelenih naročil po vrednosti vseh naročil glede na področje.</w:t>
      </w:r>
    </w:p>
    <w:p w14:paraId="23B0AD6E" w14:textId="660DDAFF" w:rsidR="00F83DD4" w:rsidRPr="00F65A6E" w:rsidRDefault="00F83DD4" w:rsidP="00701C10">
      <w:pPr>
        <w:spacing w:before="120" w:after="120" w:line="240" w:lineRule="auto"/>
        <w:jc w:val="both"/>
        <w:rPr>
          <w:rFonts w:ascii="Arial" w:hAnsi="Arial" w:cs="Arial"/>
          <w:sz w:val="20"/>
        </w:rPr>
      </w:pPr>
      <w:r w:rsidRPr="00F65A6E">
        <w:rPr>
          <w:rFonts w:ascii="Arial" w:hAnsi="Arial" w:cs="Arial"/>
          <w:sz w:val="20"/>
        </w:rPr>
        <w:t xml:space="preserve">Preglednica </w:t>
      </w:r>
      <w:r w:rsidR="00512F52" w:rsidRPr="00F65A6E">
        <w:rPr>
          <w:rFonts w:ascii="Arial" w:hAnsi="Arial" w:cs="Arial"/>
          <w:sz w:val="20"/>
        </w:rPr>
        <w:t>4</w:t>
      </w:r>
      <w:r w:rsidR="00EA747F">
        <w:rPr>
          <w:rFonts w:ascii="Arial" w:hAnsi="Arial" w:cs="Arial"/>
          <w:sz w:val="20"/>
        </w:rPr>
        <w:t>7</w:t>
      </w:r>
      <w:r w:rsidRPr="00F65A6E">
        <w:rPr>
          <w:rFonts w:ascii="Arial" w:hAnsi="Arial" w:cs="Arial"/>
          <w:sz w:val="20"/>
        </w:rPr>
        <w:t>: Število in vrednosti ter deleži zelenih naročil glede na področje</w:t>
      </w:r>
      <w:r w:rsidR="00B4367F" w:rsidRPr="00F65A6E">
        <w:rPr>
          <w:rFonts w:ascii="Arial" w:hAnsi="Arial" w:cs="Arial"/>
          <w:sz w:val="20"/>
        </w:rPr>
        <w:t xml:space="preserve"> naročanja</w:t>
      </w:r>
    </w:p>
    <w:tbl>
      <w:tblPr>
        <w:tblW w:w="7652" w:type="dxa"/>
        <w:jc w:val="center"/>
        <w:tblCellMar>
          <w:left w:w="70" w:type="dxa"/>
          <w:right w:w="70" w:type="dxa"/>
        </w:tblCellMar>
        <w:tblLook w:val="04A0" w:firstRow="1" w:lastRow="0" w:firstColumn="1" w:lastColumn="0" w:noHBand="0" w:noVBand="1"/>
      </w:tblPr>
      <w:tblGrid>
        <w:gridCol w:w="1413"/>
        <w:gridCol w:w="1332"/>
        <w:gridCol w:w="1503"/>
        <w:gridCol w:w="1701"/>
        <w:gridCol w:w="1703"/>
      </w:tblGrid>
      <w:tr w:rsidR="00503D37" w:rsidRPr="00F65A6E" w14:paraId="72986040" w14:textId="77777777" w:rsidTr="00A46615">
        <w:trPr>
          <w:trHeight w:val="255"/>
          <w:jc w:val="center"/>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B4F1D8" w14:textId="77777777" w:rsidR="00503D37" w:rsidRPr="00F65A6E" w:rsidRDefault="00503D37" w:rsidP="00503D37">
            <w:pPr>
              <w:spacing w:after="0" w:line="240" w:lineRule="auto"/>
              <w:jc w:val="center"/>
              <w:rPr>
                <w:rFonts w:ascii="Arial" w:eastAsia="Times New Roman" w:hAnsi="Arial" w:cs="Arial"/>
                <w:color w:val="000000"/>
                <w:sz w:val="18"/>
                <w:szCs w:val="18"/>
                <w:lang w:eastAsia="sl-SI"/>
              </w:rPr>
            </w:pPr>
            <w:r w:rsidRPr="00F65A6E">
              <w:rPr>
                <w:rFonts w:ascii="Arial" w:eastAsia="Times New Roman" w:hAnsi="Arial" w:cs="Arial"/>
                <w:color w:val="000000"/>
                <w:sz w:val="18"/>
                <w:szCs w:val="18"/>
                <w:lang w:eastAsia="sl-SI"/>
              </w:rPr>
              <w:t xml:space="preserve">Področje </w:t>
            </w:r>
          </w:p>
        </w:tc>
        <w:tc>
          <w:tcPr>
            <w:tcW w:w="133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FAEE573" w14:textId="77777777" w:rsidR="00503D37" w:rsidRPr="00F65A6E" w:rsidRDefault="00503D37" w:rsidP="00503D37">
            <w:pPr>
              <w:spacing w:after="0" w:line="240" w:lineRule="auto"/>
              <w:jc w:val="center"/>
              <w:rPr>
                <w:rFonts w:ascii="Arial" w:eastAsia="Times New Roman" w:hAnsi="Arial" w:cs="Arial"/>
                <w:color w:val="000000"/>
                <w:sz w:val="18"/>
                <w:szCs w:val="18"/>
                <w:lang w:eastAsia="sl-SI"/>
              </w:rPr>
            </w:pPr>
            <w:r w:rsidRPr="00F65A6E">
              <w:rPr>
                <w:rFonts w:ascii="Arial" w:eastAsia="Times New Roman" w:hAnsi="Arial" w:cs="Arial"/>
                <w:color w:val="000000"/>
                <w:sz w:val="18"/>
                <w:szCs w:val="18"/>
                <w:lang w:eastAsia="sl-SI"/>
              </w:rPr>
              <w:t>Št. zelenih naročil</w:t>
            </w:r>
          </w:p>
        </w:tc>
        <w:tc>
          <w:tcPr>
            <w:tcW w:w="150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3A561E3" w14:textId="77777777" w:rsidR="00503D37" w:rsidRPr="00F65A6E" w:rsidRDefault="00503D37" w:rsidP="00503D37">
            <w:pPr>
              <w:spacing w:after="0" w:line="240" w:lineRule="auto"/>
              <w:jc w:val="center"/>
              <w:rPr>
                <w:rFonts w:ascii="Arial" w:eastAsia="Times New Roman" w:hAnsi="Arial" w:cs="Arial"/>
                <w:color w:val="000000"/>
                <w:sz w:val="18"/>
                <w:szCs w:val="18"/>
                <w:lang w:eastAsia="sl-SI"/>
              </w:rPr>
            </w:pPr>
            <w:r w:rsidRPr="00F65A6E">
              <w:rPr>
                <w:rFonts w:ascii="Arial" w:eastAsia="Times New Roman" w:hAnsi="Arial" w:cs="Arial"/>
                <w:color w:val="000000"/>
                <w:sz w:val="18"/>
                <w:szCs w:val="18"/>
                <w:lang w:eastAsia="sl-SI"/>
              </w:rPr>
              <w:t>Pogodbena vrednost</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AA93E12" w14:textId="77777777" w:rsidR="00503D37" w:rsidRPr="00F65A6E" w:rsidRDefault="00503D37" w:rsidP="00503D37">
            <w:pPr>
              <w:spacing w:after="0" w:line="240" w:lineRule="auto"/>
              <w:jc w:val="center"/>
              <w:rPr>
                <w:rFonts w:ascii="Arial" w:eastAsia="Times New Roman" w:hAnsi="Arial" w:cs="Arial"/>
                <w:color w:val="000000"/>
                <w:sz w:val="18"/>
                <w:szCs w:val="18"/>
                <w:lang w:eastAsia="sl-SI"/>
              </w:rPr>
            </w:pPr>
            <w:r w:rsidRPr="00F65A6E">
              <w:rPr>
                <w:rFonts w:ascii="Arial" w:eastAsia="Times New Roman" w:hAnsi="Arial" w:cs="Arial"/>
                <w:color w:val="000000"/>
                <w:sz w:val="18"/>
                <w:szCs w:val="18"/>
                <w:lang w:eastAsia="sl-SI"/>
              </w:rPr>
              <w:t>Delež v št. naročil na istem področju</w:t>
            </w:r>
          </w:p>
        </w:tc>
        <w:tc>
          <w:tcPr>
            <w:tcW w:w="170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9BF1514" w14:textId="77777777" w:rsidR="00503D37" w:rsidRPr="00F65A6E" w:rsidRDefault="00503D37" w:rsidP="00503D37">
            <w:pPr>
              <w:spacing w:after="0" w:line="240" w:lineRule="auto"/>
              <w:jc w:val="center"/>
              <w:rPr>
                <w:rFonts w:ascii="Arial" w:eastAsia="Times New Roman" w:hAnsi="Arial" w:cs="Arial"/>
                <w:color w:val="000000"/>
                <w:sz w:val="18"/>
                <w:szCs w:val="18"/>
                <w:lang w:eastAsia="sl-SI"/>
              </w:rPr>
            </w:pPr>
            <w:r w:rsidRPr="00F65A6E">
              <w:rPr>
                <w:rFonts w:ascii="Arial" w:eastAsia="Times New Roman" w:hAnsi="Arial" w:cs="Arial"/>
                <w:color w:val="000000"/>
                <w:sz w:val="18"/>
                <w:szCs w:val="18"/>
                <w:lang w:eastAsia="sl-SI"/>
              </w:rPr>
              <w:t>Delež v vrednosti na istem področju</w:t>
            </w:r>
          </w:p>
        </w:tc>
      </w:tr>
      <w:tr w:rsidR="00F65A6E" w:rsidRPr="00F65A6E" w14:paraId="5B9DC6F6" w14:textId="77777777" w:rsidTr="00F65A6E">
        <w:trPr>
          <w:trHeight w:val="25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AB17C19" w14:textId="77777777" w:rsidR="00F65A6E" w:rsidRPr="00F65A6E" w:rsidRDefault="00F65A6E" w:rsidP="00F65A6E">
            <w:pPr>
              <w:spacing w:after="0" w:line="240" w:lineRule="auto"/>
              <w:jc w:val="both"/>
              <w:rPr>
                <w:rFonts w:ascii="Arial" w:eastAsia="Times New Roman" w:hAnsi="Arial" w:cs="Arial"/>
                <w:color w:val="000000"/>
                <w:sz w:val="18"/>
                <w:szCs w:val="18"/>
                <w:lang w:eastAsia="sl-SI"/>
              </w:rPr>
            </w:pPr>
            <w:r w:rsidRPr="00F65A6E">
              <w:rPr>
                <w:rFonts w:ascii="Arial" w:eastAsia="Times New Roman" w:hAnsi="Arial" w:cs="Arial"/>
                <w:color w:val="000000"/>
                <w:sz w:val="18"/>
                <w:szCs w:val="18"/>
                <w:lang w:eastAsia="sl-SI"/>
              </w:rPr>
              <w:t>Splošno</w:t>
            </w:r>
          </w:p>
        </w:tc>
        <w:tc>
          <w:tcPr>
            <w:tcW w:w="1332" w:type="dxa"/>
            <w:tcBorders>
              <w:top w:val="nil"/>
              <w:left w:val="nil"/>
              <w:bottom w:val="single" w:sz="4" w:space="0" w:color="auto"/>
              <w:right w:val="single" w:sz="4" w:space="0" w:color="auto"/>
            </w:tcBorders>
            <w:shd w:val="clear" w:color="auto" w:fill="auto"/>
            <w:vAlign w:val="center"/>
            <w:hideMark/>
          </w:tcPr>
          <w:p w14:paraId="65F2A6DE" w14:textId="2E766949" w:rsidR="00F65A6E" w:rsidRPr="00F65A6E" w:rsidRDefault="00F65A6E" w:rsidP="00F65A6E">
            <w:pPr>
              <w:spacing w:after="0" w:line="240" w:lineRule="auto"/>
              <w:jc w:val="right"/>
              <w:rPr>
                <w:rFonts w:ascii="Arial" w:eastAsia="Times New Roman" w:hAnsi="Arial" w:cs="Arial"/>
                <w:color w:val="000000"/>
                <w:sz w:val="18"/>
                <w:szCs w:val="18"/>
                <w:lang w:eastAsia="sl-SI"/>
              </w:rPr>
            </w:pPr>
            <w:r w:rsidRPr="00F65A6E">
              <w:rPr>
                <w:rFonts w:ascii="Arial" w:eastAsia="Times New Roman" w:hAnsi="Arial" w:cs="Arial"/>
                <w:color w:val="000000"/>
                <w:sz w:val="18"/>
                <w:szCs w:val="18"/>
                <w:lang w:eastAsia="sl-SI"/>
              </w:rPr>
              <w:t>4.944</w:t>
            </w:r>
          </w:p>
        </w:tc>
        <w:tc>
          <w:tcPr>
            <w:tcW w:w="1503" w:type="dxa"/>
            <w:tcBorders>
              <w:top w:val="nil"/>
              <w:left w:val="nil"/>
              <w:bottom w:val="single" w:sz="4" w:space="0" w:color="auto"/>
              <w:right w:val="single" w:sz="4" w:space="0" w:color="auto"/>
            </w:tcBorders>
            <w:shd w:val="clear" w:color="auto" w:fill="auto"/>
            <w:vAlign w:val="center"/>
            <w:hideMark/>
          </w:tcPr>
          <w:p w14:paraId="28F8800C" w14:textId="37EDB175" w:rsidR="00F65A6E" w:rsidRPr="00F65A6E" w:rsidRDefault="00F65A6E" w:rsidP="00F65A6E">
            <w:pPr>
              <w:spacing w:after="0" w:line="240" w:lineRule="auto"/>
              <w:jc w:val="right"/>
              <w:rPr>
                <w:rFonts w:ascii="Arial" w:eastAsia="Times New Roman" w:hAnsi="Arial" w:cs="Arial"/>
                <w:color w:val="000000"/>
                <w:sz w:val="18"/>
                <w:szCs w:val="18"/>
                <w:lang w:eastAsia="sl-SI"/>
              </w:rPr>
            </w:pPr>
            <w:r w:rsidRPr="00F65A6E">
              <w:rPr>
                <w:rFonts w:ascii="Arial" w:eastAsia="Times New Roman" w:hAnsi="Arial" w:cs="Arial"/>
                <w:color w:val="000000"/>
                <w:sz w:val="18"/>
                <w:szCs w:val="18"/>
                <w:lang w:eastAsia="sl-SI"/>
              </w:rPr>
              <w:t>1.355.454.162</w:t>
            </w:r>
          </w:p>
        </w:tc>
        <w:tc>
          <w:tcPr>
            <w:tcW w:w="1701" w:type="dxa"/>
            <w:tcBorders>
              <w:top w:val="nil"/>
              <w:left w:val="nil"/>
              <w:bottom w:val="single" w:sz="4" w:space="0" w:color="auto"/>
              <w:right w:val="single" w:sz="4" w:space="0" w:color="auto"/>
            </w:tcBorders>
            <w:shd w:val="clear" w:color="auto" w:fill="auto"/>
            <w:vAlign w:val="center"/>
            <w:hideMark/>
          </w:tcPr>
          <w:p w14:paraId="60550754" w14:textId="31B23C27" w:rsidR="00F65A6E" w:rsidRPr="00F65A6E" w:rsidRDefault="00F65A6E" w:rsidP="00F65A6E">
            <w:pPr>
              <w:spacing w:after="0" w:line="240" w:lineRule="auto"/>
              <w:jc w:val="right"/>
              <w:rPr>
                <w:rFonts w:ascii="Arial" w:eastAsia="Times New Roman" w:hAnsi="Arial" w:cs="Arial"/>
                <w:color w:val="000000"/>
                <w:sz w:val="18"/>
                <w:szCs w:val="18"/>
                <w:lang w:eastAsia="sl-SI"/>
              </w:rPr>
            </w:pPr>
            <w:r w:rsidRPr="00F65A6E">
              <w:rPr>
                <w:rFonts w:ascii="Arial" w:eastAsia="Times New Roman" w:hAnsi="Arial" w:cs="Arial"/>
                <w:color w:val="000000"/>
                <w:sz w:val="18"/>
                <w:szCs w:val="18"/>
                <w:lang w:eastAsia="sl-SI"/>
              </w:rPr>
              <w:t>32,27 %</w:t>
            </w:r>
          </w:p>
        </w:tc>
        <w:tc>
          <w:tcPr>
            <w:tcW w:w="1703" w:type="dxa"/>
            <w:tcBorders>
              <w:top w:val="nil"/>
              <w:left w:val="nil"/>
              <w:bottom w:val="single" w:sz="4" w:space="0" w:color="auto"/>
              <w:right w:val="single" w:sz="4" w:space="0" w:color="auto"/>
            </w:tcBorders>
            <w:shd w:val="clear" w:color="auto" w:fill="auto"/>
            <w:vAlign w:val="center"/>
            <w:hideMark/>
          </w:tcPr>
          <w:p w14:paraId="3906F97B" w14:textId="62E81776" w:rsidR="00F65A6E" w:rsidRPr="00F65A6E" w:rsidRDefault="00F65A6E" w:rsidP="00F65A6E">
            <w:pPr>
              <w:spacing w:after="0" w:line="240" w:lineRule="auto"/>
              <w:jc w:val="right"/>
              <w:rPr>
                <w:rFonts w:ascii="Arial" w:eastAsia="Times New Roman" w:hAnsi="Arial" w:cs="Arial"/>
                <w:color w:val="000000"/>
                <w:sz w:val="18"/>
                <w:szCs w:val="18"/>
                <w:lang w:eastAsia="sl-SI"/>
              </w:rPr>
            </w:pPr>
            <w:r w:rsidRPr="00F65A6E">
              <w:rPr>
                <w:rFonts w:ascii="Arial" w:eastAsia="Times New Roman" w:hAnsi="Arial" w:cs="Arial"/>
                <w:color w:val="000000"/>
                <w:sz w:val="18"/>
                <w:szCs w:val="18"/>
                <w:lang w:eastAsia="sl-SI"/>
              </w:rPr>
              <w:t>30,05 %</w:t>
            </w:r>
          </w:p>
        </w:tc>
      </w:tr>
      <w:tr w:rsidR="00F65A6E" w:rsidRPr="00F65A6E" w14:paraId="1B0EDDAB" w14:textId="77777777" w:rsidTr="00F65A6E">
        <w:trPr>
          <w:trHeight w:val="25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EE6BF0E" w14:textId="77777777" w:rsidR="00F65A6E" w:rsidRPr="00F65A6E" w:rsidRDefault="00F65A6E" w:rsidP="00F65A6E">
            <w:pPr>
              <w:spacing w:after="0" w:line="240" w:lineRule="auto"/>
              <w:jc w:val="both"/>
              <w:rPr>
                <w:rFonts w:ascii="Arial" w:eastAsia="Times New Roman" w:hAnsi="Arial" w:cs="Arial"/>
                <w:color w:val="000000"/>
                <w:sz w:val="18"/>
                <w:szCs w:val="18"/>
                <w:lang w:eastAsia="sl-SI"/>
              </w:rPr>
            </w:pPr>
            <w:r w:rsidRPr="00F65A6E">
              <w:rPr>
                <w:rFonts w:ascii="Arial" w:eastAsia="Times New Roman" w:hAnsi="Arial" w:cs="Arial"/>
                <w:color w:val="000000"/>
                <w:sz w:val="18"/>
                <w:szCs w:val="18"/>
                <w:lang w:eastAsia="sl-SI"/>
              </w:rPr>
              <w:t>Infrastrukturno</w:t>
            </w:r>
          </w:p>
        </w:tc>
        <w:tc>
          <w:tcPr>
            <w:tcW w:w="1332" w:type="dxa"/>
            <w:tcBorders>
              <w:top w:val="nil"/>
              <w:left w:val="nil"/>
              <w:bottom w:val="single" w:sz="4" w:space="0" w:color="auto"/>
              <w:right w:val="single" w:sz="4" w:space="0" w:color="auto"/>
            </w:tcBorders>
            <w:shd w:val="clear" w:color="auto" w:fill="auto"/>
            <w:vAlign w:val="center"/>
            <w:hideMark/>
          </w:tcPr>
          <w:p w14:paraId="053C6750" w14:textId="6ABAA31F" w:rsidR="00F65A6E" w:rsidRPr="00F65A6E" w:rsidRDefault="00F65A6E" w:rsidP="00F65A6E">
            <w:pPr>
              <w:spacing w:after="0" w:line="240" w:lineRule="auto"/>
              <w:jc w:val="right"/>
              <w:rPr>
                <w:rFonts w:ascii="Arial" w:eastAsia="Times New Roman" w:hAnsi="Arial" w:cs="Arial"/>
                <w:color w:val="000000"/>
                <w:sz w:val="18"/>
                <w:szCs w:val="18"/>
                <w:lang w:eastAsia="sl-SI"/>
              </w:rPr>
            </w:pPr>
            <w:r w:rsidRPr="00F65A6E">
              <w:rPr>
                <w:rFonts w:ascii="Arial" w:eastAsia="Times New Roman" w:hAnsi="Arial" w:cs="Arial"/>
                <w:color w:val="000000"/>
                <w:sz w:val="18"/>
                <w:szCs w:val="18"/>
                <w:lang w:eastAsia="sl-SI"/>
              </w:rPr>
              <w:t>218</w:t>
            </w:r>
          </w:p>
        </w:tc>
        <w:tc>
          <w:tcPr>
            <w:tcW w:w="1503" w:type="dxa"/>
            <w:tcBorders>
              <w:top w:val="nil"/>
              <w:left w:val="nil"/>
              <w:bottom w:val="single" w:sz="4" w:space="0" w:color="auto"/>
              <w:right w:val="single" w:sz="4" w:space="0" w:color="auto"/>
            </w:tcBorders>
            <w:shd w:val="clear" w:color="auto" w:fill="auto"/>
            <w:vAlign w:val="center"/>
            <w:hideMark/>
          </w:tcPr>
          <w:p w14:paraId="795418C3" w14:textId="4303519C" w:rsidR="00F65A6E" w:rsidRPr="00F65A6E" w:rsidRDefault="00F65A6E" w:rsidP="00F65A6E">
            <w:pPr>
              <w:spacing w:after="0" w:line="240" w:lineRule="auto"/>
              <w:jc w:val="right"/>
              <w:rPr>
                <w:rFonts w:ascii="Arial" w:eastAsia="Times New Roman" w:hAnsi="Arial" w:cs="Arial"/>
                <w:color w:val="000000"/>
                <w:sz w:val="18"/>
                <w:szCs w:val="18"/>
                <w:lang w:eastAsia="sl-SI"/>
              </w:rPr>
            </w:pPr>
            <w:r w:rsidRPr="00F65A6E">
              <w:rPr>
                <w:rFonts w:ascii="Arial" w:eastAsia="Times New Roman" w:hAnsi="Arial" w:cs="Arial"/>
                <w:color w:val="000000"/>
                <w:sz w:val="18"/>
                <w:szCs w:val="18"/>
                <w:lang w:eastAsia="sl-SI"/>
              </w:rPr>
              <w:t>67.284.635</w:t>
            </w:r>
          </w:p>
        </w:tc>
        <w:tc>
          <w:tcPr>
            <w:tcW w:w="1701" w:type="dxa"/>
            <w:tcBorders>
              <w:top w:val="nil"/>
              <w:left w:val="nil"/>
              <w:bottom w:val="single" w:sz="4" w:space="0" w:color="auto"/>
              <w:right w:val="single" w:sz="4" w:space="0" w:color="auto"/>
            </w:tcBorders>
            <w:shd w:val="clear" w:color="auto" w:fill="auto"/>
            <w:vAlign w:val="center"/>
            <w:hideMark/>
          </w:tcPr>
          <w:p w14:paraId="2A46F397" w14:textId="1DBA6E6D" w:rsidR="00F65A6E" w:rsidRPr="00F65A6E" w:rsidRDefault="00F65A6E" w:rsidP="00F65A6E">
            <w:pPr>
              <w:spacing w:after="0" w:line="240" w:lineRule="auto"/>
              <w:jc w:val="right"/>
              <w:rPr>
                <w:rFonts w:ascii="Arial" w:eastAsia="Times New Roman" w:hAnsi="Arial" w:cs="Arial"/>
                <w:color w:val="000000"/>
                <w:sz w:val="18"/>
                <w:szCs w:val="18"/>
                <w:lang w:eastAsia="sl-SI"/>
              </w:rPr>
            </w:pPr>
            <w:r w:rsidRPr="00F65A6E">
              <w:rPr>
                <w:rFonts w:ascii="Arial" w:eastAsia="Times New Roman" w:hAnsi="Arial" w:cs="Arial"/>
                <w:color w:val="000000"/>
                <w:sz w:val="18"/>
                <w:szCs w:val="18"/>
                <w:lang w:eastAsia="sl-SI"/>
              </w:rPr>
              <w:t>12,15 %</w:t>
            </w:r>
          </w:p>
        </w:tc>
        <w:tc>
          <w:tcPr>
            <w:tcW w:w="1703" w:type="dxa"/>
            <w:tcBorders>
              <w:top w:val="nil"/>
              <w:left w:val="nil"/>
              <w:bottom w:val="single" w:sz="4" w:space="0" w:color="auto"/>
              <w:right w:val="single" w:sz="4" w:space="0" w:color="auto"/>
            </w:tcBorders>
            <w:shd w:val="clear" w:color="auto" w:fill="auto"/>
            <w:vAlign w:val="center"/>
            <w:hideMark/>
          </w:tcPr>
          <w:p w14:paraId="7EFBC058" w14:textId="7CD8FF93" w:rsidR="00F65A6E" w:rsidRPr="00F65A6E" w:rsidRDefault="00F65A6E" w:rsidP="00F65A6E">
            <w:pPr>
              <w:spacing w:after="0" w:line="240" w:lineRule="auto"/>
              <w:jc w:val="right"/>
              <w:rPr>
                <w:rFonts w:ascii="Arial" w:eastAsia="Times New Roman" w:hAnsi="Arial" w:cs="Arial"/>
                <w:color w:val="000000"/>
                <w:sz w:val="18"/>
                <w:szCs w:val="18"/>
                <w:lang w:eastAsia="sl-SI"/>
              </w:rPr>
            </w:pPr>
            <w:r w:rsidRPr="00F65A6E">
              <w:rPr>
                <w:rFonts w:ascii="Arial" w:eastAsia="Times New Roman" w:hAnsi="Arial" w:cs="Arial"/>
                <w:color w:val="000000"/>
                <w:sz w:val="18"/>
                <w:szCs w:val="18"/>
                <w:lang w:eastAsia="sl-SI"/>
              </w:rPr>
              <w:t>7,91 %</w:t>
            </w:r>
          </w:p>
        </w:tc>
      </w:tr>
      <w:tr w:rsidR="00F65A6E" w:rsidRPr="00F65A6E" w14:paraId="0942D665" w14:textId="77777777" w:rsidTr="00F65A6E">
        <w:trPr>
          <w:trHeight w:val="25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45A999A" w14:textId="77777777" w:rsidR="00F65A6E" w:rsidRPr="00F65A6E" w:rsidRDefault="00F65A6E" w:rsidP="00F65A6E">
            <w:pPr>
              <w:spacing w:after="0" w:line="240" w:lineRule="auto"/>
              <w:jc w:val="both"/>
              <w:rPr>
                <w:rFonts w:ascii="Arial" w:eastAsia="Times New Roman" w:hAnsi="Arial" w:cs="Arial"/>
                <w:color w:val="000000"/>
                <w:sz w:val="18"/>
                <w:szCs w:val="18"/>
                <w:lang w:eastAsia="sl-SI"/>
              </w:rPr>
            </w:pPr>
            <w:r w:rsidRPr="00F65A6E">
              <w:rPr>
                <w:rFonts w:ascii="Arial" w:eastAsia="Times New Roman" w:hAnsi="Arial" w:cs="Arial"/>
                <w:color w:val="000000"/>
                <w:sz w:val="18"/>
                <w:szCs w:val="18"/>
                <w:lang w:eastAsia="sl-SI"/>
              </w:rPr>
              <w:t>Obrambno</w:t>
            </w:r>
          </w:p>
        </w:tc>
        <w:tc>
          <w:tcPr>
            <w:tcW w:w="1332" w:type="dxa"/>
            <w:tcBorders>
              <w:top w:val="nil"/>
              <w:left w:val="nil"/>
              <w:bottom w:val="single" w:sz="4" w:space="0" w:color="auto"/>
              <w:right w:val="single" w:sz="4" w:space="0" w:color="auto"/>
            </w:tcBorders>
            <w:shd w:val="clear" w:color="auto" w:fill="auto"/>
            <w:vAlign w:val="center"/>
            <w:hideMark/>
          </w:tcPr>
          <w:p w14:paraId="42C3706D" w14:textId="56CEA3F3" w:rsidR="00F65A6E" w:rsidRPr="00F65A6E" w:rsidRDefault="00F65A6E" w:rsidP="00F65A6E">
            <w:pPr>
              <w:spacing w:after="0" w:line="240" w:lineRule="auto"/>
              <w:jc w:val="right"/>
              <w:rPr>
                <w:rFonts w:ascii="Arial" w:eastAsia="Times New Roman" w:hAnsi="Arial" w:cs="Arial"/>
                <w:color w:val="000000"/>
                <w:sz w:val="18"/>
                <w:szCs w:val="18"/>
                <w:lang w:eastAsia="sl-SI"/>
              </w:rPr>
            </w:pPr>
            <w:r w:rsidRPr="00F65A6E">
              <w:rPr>
                <w:rFonts w:ascii="Arial" w:eastAsia="Times New Roman" w:hAnsi="Arial" w:cs="Arial"/>
                <w:color w:val="000000"/>
                <w:sz w:val="18"/>
                <w:szCs w:val="18"/>
                <w:lang w:eastAsia="sl-SI"/>
              </w:rPr>
              <w:t>0</w:t>
            </w:r>
          </w:p>
        </w:tc>
        <w:tc>
          <w:tcPr>
            <w:tcW w:w="1503" w:type="dxa"/>
            <w:tcBorders>
              <w:top w:val="nil"/>
              <w:left w:val="nil"/>
              <w:bottom w:val="single" w:sz="4" w:space="0" w:color="auto"/>
              <w:right w:val="single" w:sz="4" w:space="0" w:color="auto"/>
            </w:tcBorders>
            <w:shd w:val="clear" w:color="auto" w:fill="auto"/>
            <w:vAlign w:val="center"/>
            <w:hideMark/>
          </w:tcPr>
          <w:p w14:paraId="5EBCEA60" w14:textId="23C5CFFB" w:rsidR="00F65A6E" w:rsidRPr="00F65A6E" w:rsidRDefault="00F65A6E" w:rsidP="00F65A6E">
            <w:pPr>
              <w:spacing w:after="0" w:line="240" w:lineRule="auto"/>
              <w:jc w:val="right"/>
              <w:rPr>
                <w:rFonts w:ascii="Arial" w:eastAsia="Times New Roman" w:hAnsi="Arial" w:cs="Arial"/>
                <w:color w:val="000000"/>
                <w:sz w:val="18"/>
                <w:szCs w:val="18"/>
                <w:lang w:eastAsia="sl-SI"/>
              </w:rPr>
            </w:pPr>
            <w:r w:rsidRPr="00F65A6E">
              <w:rPr>
                <w:rFonts w:ascii="Arial" w:eastAsia="Times New Roman" w:hAnsi="Arial" w:cs="Arial"/>
                <w:color w:val="000000"/>
                <w:sz w:val="18"/>
                <w:szCs w:val="18"/>
                <w:lang w:eastAsia="sl-SI"/>
              </w:rPr>
              <w:t>0</w:t>
            </w:r>
          </w:p>
        </w:tc>
        <w:tc>
          <w:tcPr>
            <w:tcW w:w="1701" w:type="dxa"/>
            <w:tcBorders>
              <w:top w:val="nil"/>
              <w:left w:val="nil"/>
              <w:bottom w:val="single" w:sz="4" w:space="0" w:color="auto"/>
              <w:right w:val="single" w:sz="4" w:space="0" w:color="auto"/>
            </w:tcBorders>
            <w:shd w:val="clear" w:color="auto" w:fill="auto"/>
            <w:vAlign w:val="center"/>
            <w:hideMark/>
          </w:tcPr>
          <w:p w14:paraId="10784A7B" w14:textId="142AFF4D" w:rsidR="00F65A6E" w:rsidRPr="00F65A6E" w:rsidRDefault="00F65A6E" w:rsidP="00F65A6E">
            <w:pPr>
              <w:spacing w:after="0" w:line="240" w:lineRule="auto"/>
              <w:jc w:val="right"/>
              <w:rPr>
                <w:rFonts w:ascii="Arial" w:eastAsia="Times New Roman" w:hAnsi="Arial" w:cs="Arial"/>
                <w:color w:val="000000"/>
                <w:sz w:val="18"/>
                <w:szCs w:val="18"/>
                <w:lang w:eastAsia="sl-SI"/>
              </w:rPr>
            </w:pPr>
            <w:r w:rsidRPr="00F65A6E">
              <w:rPr>
                <w:rFonts w:ascii="Arial" w:eastAsia="Times New Roman" w:hAnsi="Arial" w:cs="Arial"/>
                <w:color w:val="000000"/>
                <w:sz w:val="18"/>
                <w:szCs w:val="18"/>
                <w:lang w:eastAsia="sl-SI"/>
              </w:rPr>
              <w:t>0,00 %</w:t>
            </w:r>
          </w:p>
        </w:tc>
        <w:tc>
          <w:tcPr>
            <w:tcW w:w="1703" w:type="dxa"/>
            <w:tcBorders>
              <w:top w:val="nil"/>
              <w:left w:val="nil"/>
              <w:bottom w:val="single" w:sz="4" w:space="0" w:color="auto"/>
              <w:right w:val="single" w:sz="4" w:space="0" w:color="auto"/>
            </w:tcBorders>
            <w:shd w:val="clear" w:color="auto" w:fill="auto"/>
            <w:vAlign w:val="center"/>
            <w:hideMark/>
          </w:tcPr>
          <w:p w14:paraId="71CE0FD8" w14:textId="2BD1B851" w:rsidR="00F65A6E" w:rsidRPr="00F65A6E" w:rsidRDefault="00F65A6E" w:rsidP="00F65A6E">
            <w:pPr>
              <w:spacing w:after="0" w:line="240" w:lineRule="auto"/>
              <w:jc w:val="right"/>
              <w:rPr>
                <w:rFonts w:ascii="Arial" w:eastAsia="Times New Roman" w:hAnsi="Arial" w:cs="Arial"/>
                <w:color w:val="000000"/>
                <w:sz w:val="18"/>
                <w:szCs w:val="18"/>
                <w:lang w:eastAsia="sl-SI"/>
              </w:rPr>
            </w:pPr>
            <w:r w:rsidRPr="00F65A6E">
              <w:rPr>
                <w:rFonts w:ascii="Arial" w:eastAsia="Times New Roman" w:hAnsi="Arial" w:cs="Arial"/>
                <w:color w:val="000000"/>
                <w:sz w:val="18"/>
                <w:szCs w:val="18"/>
                <w:lang w:eastAsia="sl-SI"/>
              </w:rPr>
              <w:t>0,00 %</w:t>
            </w:r>
          </w:p>
        </w:tc>
      </w:tr>
      <w:tr w:rsidR="00F65A6E" w:rsidRPr="00F65A6E" w14:paraId="36F91196" w14:textId="77777777" w:rsidTr="00F65A6E">
        <w:trPr>
          <w:trHeight w:val="255"/>
          <w:jc w:val="center"/>
        </w:trPr>
        <w:tc>
          <w:tcPr>
            <w:tcW w:w="1413"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4279D28" w14:textId="77777777" w:rsidR="00F65A6E" w:rsidRPr="00F65A6E" w:rsidRDefault="00F65A6E" w:rsidP="00F65A6E">
            <w:pPr>
              <w:spacing w:after="0" w:line="240" w:lineRule="auto"/>
              <w:jc w:val="both"/>
              <w:rPr>
                <w:rFonts w:ascii="Arial" w:eastAsia="Times New Roman" w:hAnsi="Arial" w:cs="Arial"/>
                <w:b/>
                <w:bCs/>
                <w:color w:val="000000"/>
                <w:sz w:val="18"/>
                <w:szCs w:val="18"/>
                <w:lang w:eastAsia="sl-SI"/>
              </w:rPr>
            </w:pPr>
            <w:r w:rsidRPr="00F65A6E">
              <w:rPr>
                <w:rFonts w:ascii="Arial" w:eastAsia="Times New Roman" w:hAnsi="Arial" w:cs="Arial"/>
                <w:b/>
                <w:bCs/>
                <w:color w:val="000000"/>
                <w:sz w:val="18"/>
                <w:szCs w:val="18"/>
                <w:lang w:eastAsia="sl-SI"/>
              </w:rPr>
              <w:t>Skupaj</w:t>
            </w:r>
          </w:p>
        </w:tc>
        <w:tc>
          <w:tcPr>
            <w:tcW w:w="1332" w:type="dxa"/>
            <w:tcBorders>
              <w:top w:val="nil"/>
              <w:left w:val="nil"/>
              <w:bottom w:val="single" w:sz="4" w:space="0" w:color="auto"/>
              <w:right w:val="single" w:sz="4" w:space="0" w:color="auto"/>
            </w:tcBorders>
            <w:shd w:val="clear" w:color="auto" w:fill="F2F2F2" w:themeFill="background1" w:themeFillShade="F2"/>
            <w:vAlign w:val="center"/>
            <w:hideMark/>
          </w:tcPr>
          <w:p w14:paraId="5EC4F7C6" w14:textId="08105DCF" w:rsidR="00F65A6E" w:rsidRPr="00F65A6E" w:rsidRDefault="00F65A6E" w:rsidP="00F65A6E">
            <w:pPr>
              <w:spacing w:after="0" w:line="240" w:lineRule="auto"/>
              <w:jc w:val="right"/>
              <w:rPr>
                <w:rFonts w:ascii="Arial" w:eastAsia="Times New Roman" w:hAnsi="Arial" w:cs="Arial"/>
                <w:b/>
                <w:bCs/>
                <w:color w:val="000000"/>
                <w:sz w:val="18"/>
                <w:szCs w:val="18"/>
                <w:lang w:eastAsia="sl-SI"/>
              </w:rPr>
            </w:pPr>
            <w:r w:rsidRPr="00F65A6E">
              <w:rPr>
                <w:rFonts w:ascii="Arial" w:eastAsia="Times New Roman" w:hAnsi="Arial" w:cs="Arial"/>
                <w:b/>
                <w:bCs/>
                <w:color w:val="000000"/>
                <w:sz w:val="18"/>
                <w:szCs w:val="18"/>
                <w:lang w:eastAsia="sl-SI"/>
              </w:rPr>
              <w:t>5.162</w:t>
            </w:r>
          </w:p>
        </w:tc>
        <w:tc>
          <w:tcPr>
            <w:tcW w:w="1503" w:type="dxa"/>
            <w:tcBorders>
              <w:top w:val="nil"/>
              <w:left w:val="nil"/>
              <w:bottom w:val="single" w:sz="4" w:space="0" w:color="auto"/>
              <w:right w:val="single" w:sz="4" w:space="0" w:color="auto"/>
            </w:tcBorders>
            <w:shd w:val="clear" w:color="auto" w:fill="F2F2F2" w:themeFill="background1" w:themeFillShade="F2"/>
            <w:vAlign w:val="center"/>
            <w:hideMark/>
          </w:tcPr>
          <w:p w14:paraId="45624484" w14:textId="43002559" w:rsidR="00F65A6E" w:rsidRPr="00F65A6E" w:rsidRDefault="00F65A6E" w:rsidP="00F65A6E">
            <w:pPr>
              <w:spacing w:after="0" w:line="240" w:lineRule="auto"/>
              <w:jc w:val="right"/>
              <w:rPr>
                <w:rFonts w:ascii="Arial" w:eastAsia="Times New Roman" w:hAnsi="Arial" w:cs="Arial"/>
                <w:b/>
                <w:bCs/>
                <w:color w:val="000000"/>
                <w:sz w:val="18"/>
                <w:szCs w:val="18"/>
                <w:lang w:eastAsia="sl-SI"/>
              </w:rPr>
            </w:pPr>
            <w:r w:rsidRPr="00F65A6E">
              <w:rPr>
                <w:rFonts w:ascii="Arial" w:eastAsia="Times New Roman" w:hAnsi="Arial" w:cs="Arial"/>
                <w:b/>
                <w:bCs/>
                <w:color w:val="000000"/>
                <w:sz w:val="18"/>
                <w:szCs w:val="18"/>
                <w:lang w:eastAsia="sl-SI"/>
              </w:rPr>
              <w:t>1.422.738.797</w:t>
            </w:r>
          </w:p>
        </w:tc>
        <w:tc>
          <w:tcPr>
            <w:tcW w:w="1701" w:type="dxa"/>
            <w:tcBorders>
              <w:top w:val="nil"/>
              <w:left w:val="nil"/>
              <w:bottom w:val="single" w:sz="4" w:space="0" w:color="auto"/>
              <w:right w:val="single" w:sz="4" w:space="0" w:color="auto"/>
            </w:tcBorders>
            <w:shd w:val="clear" w:color="auto" w:fill="F2F2F2" w:themeFill="background1" w:themeFillShade="F2"/>
            <w:vAlign w:val="center"/>
            <w:hideMark/>
          </w:tcPr>
          <w:p w14:paraId="65EB50C5" w14:textId="5090ED2F" w:rsidR="00F65A6E" w:rsidRPr="00F65A6E" w:rsidRDefault="00F65A6E" w:rsidP="00F65A6E">
            <w:pPr>
              <w:spacing w:after="0" w:line="240" w:lineRule="auto"/>
              <w:jc w:val="right"/>
              <w:rPr>
                <w:rFonts w:ascii="Arial" w:eastAsia="Times New Roman" w:hAnsi="Arial" w:cs="Arial"/>
                <w:b/>
                <w:bCs/>
                <w:color w:val="000000"/>
                <w:sz w:val="18"/>
                <w:szCs w:val="18"/>
                <w:lang w:eastAsia="sl-SI"/>
              </w:rPr>
            </w:pPr>
            <w:r w:rsidRPr="00F65A6E">
              <w:rPr>
                <w:rFonts w:ascii="Arial" w:eastAsia="Times New Roman" w:hAnsi="Arial" w:cs="Arial"/>
                <w:b/>
                <w:bCs/>
                <w:color w:val="000000"/>
                <w:sz w:val="18"/>
                <w:szCs w:val="18"/>
                <w:lang w:eastAsia="sl-SI"/>
              </w:rPr>
              <w:t>29,97 %</w:t>
            </w:r>
          </w:p>
        </w:tc>
        <w:tc>
          <w:tcPr>
            <w:tcW w:w="1703" w:type="dxa"/>
            <w:tcBorders>
              <w:top w:val="nil"/>
              <w:left w:val="nil"/>
              <w:bottom w:val="single" w:sz="4" w:space="0" w:color="auto"/>
              <w:right w:val="single" w:sz="4" w:space="0" w:color="auto"/>
            </w:tcBorders>
            <w:shd w:val="clear" w:color="auto" w:fill="F2F2F2" w:themeFill="background1" w:themeFillShade="F2"/>
            <w:vAlign w:val="center"/>
            <w:hideMark/>
          </w:tcPr>
          <w:p w14:paraId="0F868716" w14:textId="2798D677" w:rsidR="00F65A6E" w:rsidRPr="00F65A6E" w:rsidRDefault="00F65A6E" w:rsidP="00F65A6E">
            <w:pPr>
              <w:spacing w:after="0" w:line="240" w:lineRule="auto"/>
              <w:jc w:val="right"/>
              <w:rPr>
                <w:rFonts w:ascii="Arial" w:eastAsia="Times New Roman" w:hAnsi="Arial" w:cs="Arial"/>
                <w:b/>
                <w:bCs/>
                <w:color w:val="000000"/>
                <w:sz w:val="18"/>
                <w:szCs w:val="18"/>
                <w:lang w:eastAsia="sl-SI"/>
              </w:rPr>
            </w:pPr>
            <w:r w:rsidRPr="00F65A6E">
              <w:rPr>
                <w:rFonts w:ascii="Arial" w:eastAsia="Times New Roman" w:hAnsi="Arial" w:cs="Arial"/>
                <w:b/>
                <w:bCs/>
                <w:color w:val="000000"/>
                <w:sz w:val="18"/>
                <w:szCs w:val="18"/>
                <w:lang w:eastAsia="sl-SI"/>
              </w:rPr>
              <w:t>26,26 %</w:t>
            </w:r>
          </w:p>
        </w:tc>
      </w:tr>
    </w:tbl>
    <w:p w14:paraId="65204603" w14:textId="222ACFD6" w:rsidR="00503D37" w:rsidRPr="00F65A6E" w:rsidRDefault="00503D37" w:rsidP="00503D37">
      <w:pPr>
        <w:spacing w:after="0" w:line="240" w:lineRule="auto"/>
        <w:jc w:val="both"/>
        <w:rPr>
          <w:rFonts w:ascii="Arial" w:hAnsi="Arial" w:cs="Arial"/>
          <w:sz w:val="20"/>
        </w:rPr>
      </w:pPr>
    </w:p>
    <w:p w14:paraId="5BED9C84" w14:textId="290ADC50" w:rsidR="00F83DD4" w:rsidRPr="00F65A6E" w:rsidRDefault="00F83DD4" w:rsidP="004A613D">
      <w:pPr>
        <w:spacing w:after="0" w:line="240" w:lineRule="auto"/>
        <w:jc w:val="center"/>
        <w:rPr>
          <w:rFonts w:ascii="Arial" w:hAnsi="Arial" w:cs="Arial"/>
          <w:sz w:val="18"/>
        </w:rPr>
      </w:pPr>
      <w:r w:rsidRPr="00F65A6E">
        <w:rPr>
          <w:rFonts w:ascii="Arial" w:hAnsi="Arial" w:cs="Arial"/>
          <w:sz w:val="18"/>
        </w:rPr>
        <w:t>Vir: Statistični podatki o javni</w:t>
      </w:r>
      <w:r w:rsidR="00141C15" w:rsidRPr="00F65A6E">
        <w:rPr>
          <w:rFonts w:ascii="Arial" w:hAnsi="Arial" w:cs="Arial"/>
          <w:sz w:val="18"/>
        </w:rPr>
        <w:t>h naročilih, oddanih v letu 20</w:t>
      </w:r>
      <w:r w:rsidR="00503D37" w:rsidRPr="00F65A6E">
        <w:rPr>
          <w:rFonts w:ascii="Arial" w:hAnsi="Arial" w:cs="Arial"/>
          <w:sz w:val="18"/>
        </w:rPr>
        <w:t>2</w:t>
      </w:r>
      <w:r w:rsidR="00F65A6E" w:rsidRPr="00F65A6E">
        <w:rPr>
          <w:rFonts w:ascii="Arial" w:hAnsi="Arial" w:cs="Arial"/>
          <w:sz w:val="18"/>
        </w:rPr>
        <w:t>2</w:t>
      </w:r>
      <w:r w:rsidR="005D5B62" w:rsidRPr="00F65A6E">
        <w:rPr>
          <w:rFonts w:ascii="Arial" w:hAnsi="Arial" w:cs="Arial"/>
          <w:sz w:val="18"/>
        </w:rPr>
        <w:t>.</w:t>
      </w:r>
    </w:p>
    <w:p w14:paraId="7CED62E6" w14:textId="77777777" w:rsidR="0001172F" w:rsidRPr="00BF7302" w:rsidRDefault="0001172F" w:rsidP="0001172F">
      <w:pPr>
        <w:spacing w:after="0" w:line="240" w:lineRule="auto"/>
        <w:jc w:val="both"/>
        <w:rPr>
          <w:rFonts w:ascii="Arial" w:hAnsi="Arial" w:cs="Arial"/>
          <w:bCs/>
          <w:sz w:val="20"/>
          <w:szCs w:val="20"/>
          <w:highlight w:val="yellow"/>
        </w:rPr>
      </w:pPr>
    </w:p>
    <w:p w14:paraId="459A5DC0" w14:textId="5BE50B3F" w:rsidR="00F83DD4" w:rsidRPr="00F65A6E" w:rsidRDefault="00F83DD4" w:rsidP="00F83DD4">
      <w:pPr>
        <w:spacing w:line="360" w:lineRule="auto"/>
        <w:jc w:val="both"/>
        <w:rPr>
          <w:rFonts w:ascii="Arial" w:hAnsi="Arial" w:cs="Arial"/>
          <w:bCs/>
          <w:sz w:val="20"/>
          <w:szCs w:val="20"/>
        </w:rPr>
      </w:pPr>
      <w:r w:rsidRPr="00F65A6E">
        <w:rPr>
          <w:rFonts w:ascii="Arial" w:hAnsi="Arial" w:cs="Arial"/>
          <w:bCs/>
          <w:sz w:val="20"/>
          <w:szCs w:val="20"/>
        </w:rPr>
        <w:t>Glede na predmet naročanja je največji de</w:t>
      </w:r>
      <w:r w:rsidR="00E01FC9" w:rsidRPr="00F65A6E">
        <w:rPr>
          <w:rFonts w:ascii="Arial" w:hAnsi="Arial" w:cs="Arial"/>
          <w:bCs/>
          <w:sz w:val="20"/>
          <w:szCs w:val="20"/>
        </w:rPr>
        <w:t>lež zelenih naročil po številu</w:t>
      </w:r>
      <w:r w:rsidR="00BB4C01" w:rsidRPr="00F65A6E">
        <w:rPr>
          <w:rFonts w:ascii="Arial" w:hAnsi="Arial" w:cs="Arial"/>
          <w:bCs/>
          <w:sz w:val="20"/>
          <w:szCs w:val="20"/>
        </w:rPr>
        <w:t xml:space="preserve"> pri naročilih blaga</w:t>
      </w:r>
      <w:r w:rsidRPr="00F65A6E">
        <w:rPr>
          <w:rFonts w:ascii="Arial" w:hAnsi="Arial" w:cs="Arial"/>
          <w:bCs/>
          <w:sz w:val="20"/>
          <w:szCs w:val="20"/>
        </w:rPr>
        <w:t xml:space="preserve">, </w:t>
      </w:r>
      <w:r w:rsidR="00E01FC9" w:rsidRPr="00F65A6E">
        <w:rPr>
          <w:rFonts w:ascii="Arial" w:hAnsi="Arial" w:cs="Arial"/>
          <w:bCs/>
          <w:sz w:val="20"/>
          <w:szCs w:val="20"/>
        </w:rPr>
        <w:t xml:space="preserve">po vrednosti pa pri naročilih gradenj, </w:t>
      </w:r>
      <w:r w:rsidRPr="00F65A6E">
        <w:rPr>
          <w:rFonts w:ascii="Arial" w:hAnsi="Arial" w:cs="Arial"/>
          <w:bCs/>
          <w:sz w:val="20"/>
          <w:szCs w:val="20"/>
        </w:rPr>
        <w:t xml:space="preserve">kar </w:t>
      </w:r>
      <w:r w:rsidR="00325434" w:rsidRPr="00F65A6E">
        <w:rPr>
          <w:rFonts w:ascii="Arial" w:hAnsi="Arial" w:cs="Arial"/>
          <w:bCs/>
          <w:sz w:val="20"/>
          <w:szCs w:val="20"/>
        </w:rPr>
        <w:t>prikazuje</w:t>
      </w:r>
      <w:r w:rsidRPr="00F65A6E">
        <w:rPr>
          <w:rFonts w:ascii="Arial" w:hAnsi="Arial" w:cs="Arial"/>
          <w:bCs/>
          <w:sz w:val="20"/>
          <w:szCs w:val="20"/>
        </w:rPr>
        <w:t xml:space="preserve"> spodnj</w:t>
      </w:r>
      <w:r w:rsidR="00325434" w:rsidRPr="00F65A6E">
        <w:rPr>
          <w:rFonts w:ascii="Arial" w:hAnsi="Arial" w:cs="Arial"/>
          <w:bCs/>
          <w:sz w:val="20"/>
          <w:szCs w:val="20"/>
        </w:rPr>
        <w:t>a</w:t>
      </w:r>
      <w:r w:rsidRPr="00F65A6E">
        <w:rPr>
          <w:rFonts w:ascii="Arial" w:hAnsi="Arial" w:cs="Arial"/>
          <w:bCs/>
          <w:sz w:val="20"/>
          <w:szCs w:val="20"/>
        </w:rPr>
        <w:t xml:space="preserve"> preglednic</w:t>
      </w:r>
      <w:r w:rsidR="00325434" w:rsidRPr="00F65A6E">
        <w:rPr>
          <w:rFonts w:ascii="Arial" w:hAnsi="Arial" w:cs="Arial"/>
          <w:bCs/>
          <w:sz w:val="20"/>
          <w:szCs w:val="20"/>
        </w:rPr>
        <w:t>a</w:t>
      </w:r>
      <w:r w:rsidRPr="00F65A6E">
        <w:rPr>
          <w:rFonts w:ascii="Arial" w:hAnsi="Arial" w:cs="Arial"/>
          <w:bCs/>
          <w:sz w:val="20"/>
          <w:szCs w:val="20"/>
        </w:rPr>
        <w:t>.</w:t>
      </w:r>
    </w:p>
    <w:p w14:paraId="4E0B7ADF" w14:textId="130EC649" w:rsidR="00F83DD4" w:rsidRPr="00F65A6E" w:rsidRDefault="00F83DD4" w:rsidP="00701C10">
      <w:pPr>
        <w:spacing w:before="120" w:after="120" w:line="240" w:lineRule="auto"/>
        <w:jc w:val="both"/>
        <w:rPr>
          <w:rFonts w:ascii="Arial" w:hAnsi="Arial" w:cs="Arial"/>
          <w:sz w:val="20"/>
        </w:rPr>
      </w:pPr>
      <w:r w:rsidRPr="00F65A6E">
        <w:rPr>
          <w:rFonts w:ascii="Arial" w:hAnsi="Arial" w:cs="Arial"/>
          <w:sz w:val="20"/>
        </w:rPr>
        <w:t xml:space="preserve">Preglednica </w:t>
      </w:r>
      <w:r w:rsidR="00512F52" w:rsidRPr="00F65A6E">
        <w:rPr>
          <w:rFonts w:ascii="Arial" w:hAnsi="Arial" w:cs="Arial"/>
          <w:sz w:val="20"/>
        </w:rPr>
        <w:t>4</w:t>
      </w:r>
      <w:r w:rsidR="00EA747F">
        <w:rPr>
          <w:rFonts w:ascii="Arial" w:hAnsi="Arial" w:cs="Arial"/>
          <w:sz w:val="20"/>
        </w:rPr>
        <w:t>8</w:t>
      </w:r>
      <w:r w:rsidRPr="00F65A6E">
        <w:rPr>
          <w:rFonts w:ascii="Arial" w:hAnsi="Arial" w:cs="Arial"/>
          <w:sz w:val="20"/>
        </w:rPr>
        <w:t>: Število in vrednosti ter deleži zelenih naročil glede na predmet</w:t>
      </w:r>
      <w:r w:rsidR="000F2B07" w:rsidRPr="00F65A6E">
        <w:rPr>
          <w:rFonts w:ascii="Arial" w:hAnsi="Arial" w:cs="Arial"/>
          <w:sz w:val="20"/>
        </w:rPr>
        <w:t xml:space="preserve"> naročanja</w:t>
      </w:r>
    </w:p>
    <w:tbl>
      <w:tblPr>
        <w:tblW w:w="7673" w:type="dxa"/>
        <w:jc w:val="center"/>
        <w:tblCellMar>
          <w:left w:w="70" w:type="dxa"/>
          <w:right w:w="70" w:type="dxa"/>
        </w:tblCellMar>
        <w:tblLook w:val="04A0" w:firstRow="1" w:lastRow="0" w:firstColumn="1" w:lastColumn="0" w:noHBand="0" w:noVBand="1"/>
      </w:tblPr>
      <w:tblGrid>
        <w:gridCol w:w="1413"/>
        <w:gridCol w:w="1276"/>
        <w:gridCol w:w="1559"/>
        <w:gridCol w:w="1701"/>
        <w:gridCol w:w="1724"/>
      </w:tblGrid>
      <w:tr w:rsidR="00E84A0B" w:rsidRPr="00F65A6E" w14:paraId="172C8440" w14:textId="77777777" w:rsidTr="00A46615">
        <w:trPr>
          <w:trHeight w:val="255"/>
          <w:jc w:val="center"/>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7EA5C7" w14:textId="77777777" w:rsidR="00E84A0B" w:rsidRPr="00F65A6E" w:rsidRDefault="00E84A0B" w:rsidP="00E84A0B">
            <w:pPr>
              <w:spacing w:after="0" w:line="240" w:lineRule="auto"/>
              <w:jc w:val="center"/>
              <w:rPr>
                <w:rFonts w:ascii="Arial" w:eastAsia="Times New Roman" w:hAnsi="Arial" w:cs="Arial"/>
                <w:color w:val="000000"/>
                <w:sz w:val="18"/>
                <w:szCs w:val="18"/>
                <w:lang w:eastAsia="sl-SI"/>
              </w:rPr>
            </w:pPr>
            <w:r w:rsidRPr="00F65A6E">
              <w:rPr>
                <w:rFonts w:ascii="Arial" w:eastAsia="Times New Roman" w:hAnsi="Arial" w:cs="Arial"/>
                <w:color w:val="000000"/>
                <w:sz w:val="18"/>
                <w:szCs w:val="18"/>
                <w:lang w:eastAsia="sl-SI"/>
              </w:rPr>
              <w:t xml:space="preserve">Predmet </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AA6E00" w14:textId="77777777" w:rsidR="00E84A0B" w:rsidRPr="00F65A6E" w:rsidRDefault="00E84A0B" w:rsidP="00E84A0B">
            <w:pPr>
              <w:spacing w:after="0" w:line="240" w:lineRule="auto"/>
              <w:jc w:val="center"/>
              <w:rPr>
                <w:rFonts w:ascii="Arial" w:eastAsia="Times New Roman" w:hAnsi="Arial" w:cs="Arial"/>
                <w:color w:val="000000"/>
                <w:sz w:val="18"/>
                <w:szCs w:val="18"/>
                <w:lang w:eastAsia="sl-SI"/>
              </w:rPr>
            </w:pPr>
            <w:r w:rsidRPr="00F65A6E">
              <w:rPr>
                <w:rFonts w:ascii="Arial" w:eastAsia="Times New Roman" w:hAnsi="Arial" w:cs="Arial"/>
                <w:color w:val="000000"/>
                <w:sz w:val="18"/>
                <w:szCs w:val="18"/>
                <w:lang w:eastAsia="sl-SI"/>
              </w:rPr>
              <w:t>Št. zelenih naročil</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14AE45F" w14:textId="77777777" w:rsidR="00E84A0B" w:rsidRPr="00F65A6E" w:rsidRDefault="00E84A0B" w:rsidP="00E84A0B">
            <w:pPr>
              <w:spacing w:after="0" w:line="240" w:lineRule="auto"/>
              <w:jc w:val="center"/>
              <w:rPr>
                <w:rFonts w:ascii="Arial" w:eastAsia="Times New Roman" w:hAnsi="Arial" w:cs="Arial"/>
                <w:color w:val="000000"/>
                <w:sz w:val="18"/>
                <w:szCs w:val="18"/>
                <w:lang w:eastAsia="sl-SI"/>
              </w:rPr>
            </w:pPr>
            <w:r w:rsidRPr="00F65A6E">
              <w:rPr>
                <w:rFonts w:ascii="Arial" w:eastAsia="Times New Roman" w:hAnsi="Arial" w:cs="Arial"/>
                <w:color w:val="000000"/>
                <w:sz w:val="18"/>
                <w:szCs w:val="18"/>
                <w:lang w:eastAsia="sl-SI"/>
              </w:rPr>
              <w:t>Pogodbena vrednost</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127D96B" w14:textId="77777777" w:rsidR="00E84A0B" w:rsidRPr="00F65A6E" w:rsidRDefault="00E84A0B" w:rsidP="00E84A0B">
            <w:pPr>
              <w:spacing w:after="0" w:line="240" w:lineRule="auto"/>
              <w:jc w:val="center"/>
              <w:rPr>
                <w:rFonts w:ascii="Arial" w:eastAsia="Times New Roman" w:hAnsi="Arial" w:cs="Arial"/>
                <w:color w:val="000000"/>
                <w:sz w:val="18"/>
                <w:szCs w:val="18"/>
                <w:lang w:eastAsia="sl-SI"/>
              </w:rPr>
            </w:pPr>
            <w:r w:rsidRPr="00F65A6E">
              <w:rPr>
                <w:rFonts w:ascii="Arial" w:eastAsia="Times New Roman" w:hAnsi="Arial" w:cs="Arial"/>
                <w:color w:val="000000"/>
                <w:sz w:val="18"/>
                <w:szCs w:val="18"/>
                <w:lang w:eastAsia="sl-SI"/>
              </w:rPr>
              <w:t>Delež v št. naročil</w:t>
            </w:r>
          </w:p>
        </w:tc>
        <w:tc>
          <w:tcPr>
            <w:tcW w:w="17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0CCAD99" w14:textId="77777777" w:rsidR="00E84A0B" w:rsidRPr="00F65A6E" w:rsidRDefault="00E84A0B" w:rsidP="00E84A0B">
            <w:pPr>
              <w:spacing w:after="0" w:line="240" w:lineRule="auto"/>
              <w:jc w:val="center"/>
              <w:rPr>
                <w:rFonts w:ascii="Arial" w:eastAsia="Times New Roman" w:hAnsi="Arial" w:cs="Arial"/>
                <w:color w:val="000000"/>
                <w:sz w:val="18"/>
                <w:szCs w:val="18"/>
                <w:lang w:eastAsia="sl-SI"/>
              </w:rPr>
            </w:pPr>
            <w:r w:rsidRPr="00F65A6E">
              <w:rPr>
                <w:rFonts w:ascii="Arial" w:eastAsia="Times New Roman" w:hAnsi="Arial" w:cs="Arial"/>
                <w:color w:val="000000"/>
                <w:sz w:val="18"/>
                <w:szCs w:val="18"/>
                <w:lang w:eastAsia="sl-SI"/>
              </w:rPr>
              <w:t xml:space="preserve">Delež v vrednosti </w:t>
            </w:r>
          </w:p>
        </w:tc>
      </w:tr>
      <w:tr w:rsidR="00F65A6E" w:rsidRPr="00F65A6E" w14:paraId="532838B7" w14:textId="77777777" w:rsidTr="00F65A6E">
        <w:trPr>
          <w:trHeight w:val="25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1DA5189" w14:textId="77777777" w:rsidR="00F65A6E" w:rsidRPr="00F65A6E" w:rsidRDefault="00F65A6E" w:rsidP="00F65A6E">
            <w:pPr>
              <w:spacing w:after="0" w:line="240" w:lineRule="auto"/>
              <w:jc w:val="both"/>
              <w:rPr>
                <w:rFonts w:ascii="Arial" w:eastAsia="Times New Roman" w:hAnsi="Arial" w:cs="Arial"/>
                <w:color w:val="000000"/>
                <w:sz w:val="18"/>
                <w:szCs w:val="18"/>
                <w:lang w:eastAsia="sl-SI"/>
              </w:rPr>
            </w:pPr>
            <w:r w:rsidRPr="00F65A6E">
              <w:rPr>
                <w:rFonts w:ascii="Arial" w:eastAsia="Times New Roman" w:hAnsi="Arial" w:cs="Arial"/>
                <w:color w:val="000000"/>
                <w:sz w:val="18"/>
                <w:szCs w:val="18"/>
                <w:lang w:eastAsia="sl-SI"/>
              </w:rPr>
              <w:t>Blago</w:t>
            </w:r>
          </w:p>
        </w:tc>
        <w:tc>
          <w:tcPr>
            <w:tcW w:w="1276" w:type="dxa"/>
            <w:tcBorders>
              <w:top w:val="nil"/>
              <w:left w:val="nil"/>
              <w:bottom w:val="single" w:sz="4" w:space="0" w:color="auto"/>
              <w:right w:val="single" w:sz="4" w:space="0" w:color="auto"/>
            </w:tcBorders>
            <w:shd w:val="clear" w:color="auto" w:fill="auto"/>
            <w:vAlign w:val="center"/>
            <w:hideMark/>
          </w:tcPr>
          <w:p w14:paraId="4F76B6C8" w14:textId="4F874596" w:rsidR="00F65A6E" w:rsidRPr="00F65A6E" w:rsidRDefault="00F65A6E" w:rsidP="00F65A6E">
            <w:pPr>
              <w:spacing w:after="0" w:line="240" w:lineRule="auto"/>
              <w:jc w:val="right"/>
              <w:rPr>
                <w:rFonts w:ascii="Arial" w:eastAsia="Times New Roman" w:hAnsi="Arial" w:cs="Arial"/>
                <w:color w:val="000000"/>
                <w:sz w:val="18"/>
                <w:szCs w:val="18"/>
                <w:lang w:eastAsia="sl-SI"/>
              </w:rPr>
            </w:pPr>
            <w:r w:rsidRPr="00F65A6E">
              <w:rPr>
                <w:rFonts w:ascii="Arial" w:eastAsia="Times New Roman" w:hAnsi="Arial" w:cs="Arial"/>
                <w:color w:val="000000"/>
                <w:sz w:val="18"/>
                <w:szCs w:val="18"/>
                <w:lang w:eastAsia="sl-SI"/>
              </w:rPr>
              <w:t>3.936</w:t>
            </w:r>
          </w:p>
        </w:tc>
        <w:tc>
          <w:tcPr>
            <w:tcW w:w="1559" w:type="dxa"/>
            <w:tcBorders>
              <w:top w:val="nil"/>
              <w:left w:val="nil"/>
              <w:bottom w:val="single" w:sz="4" w:space="0" w:color="auto"/>
              <w:right w:val="single" w:sz="4" w:space="0" w:color="auto"/>
            </w:tcBorders>
            <w:shd w:val="clear" w:color="auto" w:fill="auto"/>
            <w:vAlign w:val="center"/>
            <w:hideMark/>
          </w:tcPr>
          <w:p w14:paraId="184EF179" w14:textId="7E904AEE" w:rsidR="00F65A6E" w:rsidRPr="00F65A6E" w:rsidRDefault="00F65A6E" w:rsidP="00F65A6E">
            <w:pPr>
              <w:spacing w:after="0" w:line="240" w:lineRule="auto"/>
              <w:jc w:val="right"/>
              <w:rPr>
                <w:rFonts w:ascii="Arial" w:eastAsia="Times New Roman" w:hAnsi="Arial" w:cs="Arial"/>
                <w:color w:val="000000"/>
                <w:sz w:val="18"/>
                <w:szCs w:val="18"/>
                <w:lang w:eastAsia="sl-SI"/>
              </w:rPr>
            </w:pPr>
            <w:r w:rsidRPr="00F65A6E">
              <w:rPr>
                <w:rFonts w:ascii="Arial" w:eastAsia="Times New Roman" w:hAnsi="Arial" w:cs="Arial"/>
                <w:color w:val="000000"/>
                <w:sz w:val="18"/>
                <w:szCs w:val="18"/>
                <w:lang w:eastAsia="sl-SI"/>
              </w:rPr>
              <w:t>279.644.224</w:t>
            </w:r>
          </w:p>
        </w:tc>
        <w:tc>
          <w:tcPr>
            <w:tcW w:w="1701" w:type="dxa"/>
            <w:tcBorders>
              <w:top w:val="nil"/>
              <w:left w:val="nil"/>
              <w:bottom w:val="single" w:sz="4" w:space="0" w:color="auto"/>
              <w:right w:val="single" w:sz="4" w:space="0" w:color="auto"/>
            </w:tcBorders>
            <w:shd w:val="clear" w:color="auto" w:fill="auto"/>
            <w:vAlign w:val="center"/>
            <w:hideMark/>
          </w:tcPr>
          <w:p w14:paraId="27926821" w14:textId="3355D89E" w:rsidR="00F65A6E" w:rsidRPr="00F65A6E" w:rsidRDefault="00F65A6E" w:rsidP="00F65A6E">
            <w:pPr>
              <w:spacing w:after="0" w:line="240" w:lineRule="auto"/>
              <w:jc w:val="right"/>
              <w:rPr>
                <w:rFonts w:ascii="Arial" w:eastAsia="Times New Roman" w:hAnsi="Arial" w:cs="Arial"/>
                <w:color w:val="000000"/>
                <w:sz w:val="18"/>
                <w:szCs w:val="18"/>
                <w:lang w:eastAsia="sl-SI"/>
              </w:rPr>
            </w:pPr>
            <w:r w:rsidRPr="00F65A6E">
              <w:rPr>
                <w:rFonts w:ascii="Arial" w:eastAsia="Times New Roman" w:hAnsi="Arial" w:cs="Arial"/>
                <w:color w:val="000000"/>
                <w:sz w:val="18"/>
                <w:szCs w:val="18"/>
                <w:lang w:eastAsia="sl-SI"/>
              </w:rPr>
              <w:t>76,25 %</w:t>
            </w:r>
          </w:p>
        </w:tc>
        <w:tc>
          <w:tcPr>
            <w:tcW w:w="1724" w:type="dxa"/>
            <w:tcBorders>
              <w:top w:val="nil"/>
              <w:left w:val="nil"/>
              <w:bottom w:val="single" w:sz="4" w:space="0" w:color="auto"/>
              <w:right w:val="single" w:sz="4" w:space="0" w:color="auto"/>
            </w:tcBorders>
            <w:shd w:val="clear" w:color="auto" w:fill="auto"/>
            <w:vAlign w:val="center"/>
            <w:hideMark/>
          </w:tcPr>
          <w:p w14:paraId="36B1842B" w14:textId="0B9A0DB1" w:rsidR="00F65A6E" w:rsidRPr="00F65A6E" w:rsidRDefault="00F65A6E" w:rsidP="00F65A6E">
            <w:pPr>
              <w:spacing w:after="0" w:line="240" w:lineRule="auto"/>
              <w:jc w:val="right"/>
              <w:rPr>
                <w:rFonts w:ascii="Arial" w:eastAsia="Times New Roman" w:hAnsi="Arial" w:cs="Arial"/>
                <w:color w:val="000000"/>
                <w:sz w:val="18"/>
                <w:szCs w:val="18"/>
                <w:lang w:eastAsia="sl-SI"/>
              </w:rPr>
            </w:pPr>
            <w:r w:rsidRPr="00F65A6E">
              <w:rPr>
                <w:rFonts w:ascii="Arial" w:eastAsia="Times New Roman" w:hAnsi="Arial" w:cs="Arial"/>
                <w:color w:val="000000"/>
                <w:sz w:val="18"/>
                <w:szCs w:val="18"/>
                <w:lang w:eastAsia="sl-SI"/>
              </w:rPr>
              <w:t>19,66 %</w:t>
            </w:r>
          </w:p>
        </w:tc>
      </w:tr>
      <w:tr w:rsidR="00F65A6E" w:rsidRPr="00F65A6E" w14:paraId="39538CDE" w14:textId="77777777" w:rsidTr="00F65A6E">
        <w:trPr>
          <w:trHeight w:val="25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914AF2E" w14:textId="77777777" w:rsidR="00F65A6E" w:rsidRPr="00F65A6E" w:rsidRDefault="00F65A6E" w:rsidP="00F65A6E">
            <w:pPr>
              <w:spacing w:after="0" w:line="240" w:lineRule="auto"/>
              <w:jc w:val="both"/>
              <w:rPr>
                <w:rFonts w:ascii="Arial" w:eastAsia="Times New Roman" w:hAnsi="Arial" w:cs="Arial"/>
                <w:color w:val="000000"/>
                <w:sz w:val="18"/>
                <w:szCs w:val="18"/>
                <w:lang w:eastAsia="sl-SI"/>
              </w:rPr>
            </w:pPr>
            <w:r w:rsidRPr="00F65A6E">
              <w:rPr>
                <w:rFonts w:ascii="Arial" w:eastAsia="Times New Roman" w:hAnsi="Arial" w:cs="Arial"/>
                <w:color w:val="000000"/>
                <w:sz w:val="18"/>
                <w:szCs w:val="18"/>
                <w:lang w:eastAsia="sl-SI"/>
              </w:rPr>
              <w:t>Storitve</w:t>
            </w:r>
          </w:p>
        </w:tc>
        <w:tc>
          <w:tcPr>
            <w:tcW w:w="1276" w:type="dxa"/>
            <w:tcBorders>
              <w:top w:val="nil"/>
              <w:left w:val="nil"/>
              <w:bottom w:val="single" w:sz="4" w:space="0" w:color="auto"/>
              <w:right w:val="single" w:sz="4" w:space="0" w:color="auto"/>
            </w:tcBorders>
            <w:shd w:val="clear" w:color="auto" w:fill="auto"/>
            <w:vAlign w:val="center"/>
            <w:hideMark/>
          </w:tcPr>
          <w:p w14:paraId="3991445D" w14:textId="06F967CA" w:rsidR="00F65A6E" w:rsidRPr="00F65A6E" w:rsidRDefault="00F65A6E" w:rsidP="00F65A6E">
            <w:pPr>
              <w:spacing w:after="0" w:line="240" w:lineRule="auto"/>
              <w:jc w:val="right"/>
              <w:rPr>
                <w:rFonts w:ascii="Arial" w:eastAsia="Times New Roman" w:hAnsi="Arial" w:cs="Arial"/>
                <w:color w:val="000000"/>
                <w:sz w:val="18"/>
                <w:szCs w:val="18"/>
                <w:lang w:eastAsia="sl-SI"/>
              </w:rPr>
            </w:pPr>
            <w:r w:rsidRPr="00F65A6E">
              <w:rPr>
                <w:rFonts w:ascii="Arial" w:eastAsia="Times New Roman" w:hAnsi="Arial" w:cs="Arial"/>
                <w:color w:val="000000"/>
                <w:sz w:val="18"/>
                <w:szCs w:val="18"/>
                <w:lang w:eastAsia="sl-SI"/>
              </w:rPr>
              <w:t>569</w:t>
            </w:r>
          </w:p>
        </w:tc>
        <w:tc>
          <w:tcPr>
            <w:tcW w:w="1559" w:type="dxa"/>
            <w:tcBorders>
              <w:top w:val="nil"/>
              <w:left w:val="nil"/>
              <w:bottom w:val="single" w:sz="4" w:space="0" w:color="auto"/>
              <w:right w:val="single" w:sz="4" w:space="0" w:color="auto"/>
            </w:tcBorders>
            <w:shd w:val="clear" w:color="auto" w:fill="auto"/>
            <w:vAlign w:val="center"/>
            <w:hideMark/>
          </w:tcPr>
          <w:p w14:paraId="14F876A9" w14:textId="4F7974F4" w:rsidR="00F65A6E" w:rsidRPr="00F65A6E" w:rsidRDefault="00F65A6E" w:rsidP="00F65A6E">
            <w:pPr>
              <w:spacing w:after="0" w:line="240" w:lineRule="auto"/>
              <w:jc w:val="right"/>
              <w:rPr>
                <w:rFonts w:ascii="Arial" w:eastAsia="Times New Roman" w:hAnsi="Arial" w:cs="Arial"/>
                <w:color w:val="000000"/>
                <w:sz w:val="18"/>
                <w:szCs w:val="18"/>
                <w:lang w:eastAsia="sl-SI"/>
              </w:rPr>
            </w:pPr>
            <w:r w:rsidRPr="00F65A6E">
              <w:rPr>
                <w:rFonts w:ascii="Arial" w:eastAsia="Times New Roman" w:hAnsi="Arial" w:cs="Arial"/>
                <w:color w:val="000000"/>
                <w:sz w:val="18"/>
                <w:szCs w:val="18"/>
                <w:lang w:eastAsia="sl-SI"/>
              </w:rPr>
              <w:t>156.097.975</w:t>
            </w:r>
          </w:p>
        </w:tc>
        <w:tc>
          <w:tcPr>
            <w:tcW w:w="1701" w:type="dxa"/>
            <w:tcBorders>
              <w:top w:val="nil"/>
              <w:left w:val="nil"/>
              <w:bottom w:val="single" w:sz="4" w:space="0" w:color="auto"/>
              <w:right w:val="single" w:sz="4" w:space="0" w:color="auto"/>
            </w:tcBorders>
            <w:shd w:val="clear" w:color="auto" w:fill="auto"/>
            <w:vAlign w:val="center"/>
            <w:hideMark/>
          </w:tcPr>
          <w:p w14:paraId="1AECE0D4" w14:textId="7F63F8A4" w:rsidR="00F65A6E" w:rsidRPr="00F65A6E" w:rsidRDefault="00F65A6E" w:rsidP="00F65A6E">
            <w:pPr>
              <w:spacing w:after="0" w:line="240" w:lineRule="auto"/>
              <w:jc w:val="right"/>
              <w:rPr>
                <w:rFonts w:ascii="Arial" w:eastAsia="Times New Roman" w:hAnsi="Arial" w:cs="Arial"/>
                <w:color w:val="000000"/>
                <w:sz w:val="18"/>
                <w:szCs w:val="18"/>
                <w:lang w:eastAsia="sl-SI"/>
              </w:rPr>
            </w:pPr>
            <w:r w:rsidRPr="00F65A6E">
              <w:rPr>
                <w:rFonts w:ascii="Arial" w:eastAsia="Times New Roman" w:hAnsi="Arial" w:cs="Arial"/>
                <w:color w:val="000000"/>
                <w:sz w:val="18"/>
                <w:szCs w:val="18"/>
                <w:lang w:eastAsia="sl-SI"/>
              </w:rPr>
              <w:t>11,02 %</w:t>
            </w:r>
          </w:p>
        </w:tc>
        <w:tc>
          <w:tcPr>
            <w:tcW w:w="1724" w:type="dxa"/>
            <w:tcBorders>
              <w:top w:val="nil"/>
              <w:left w:val="nil"/>
              <w:bottom w:val="single" w:sz="4" w:space="0" w:color="auto"/>
              <w:right w:val="single" w:sz="4" w:space="0" w:color="auto"/>
            </w:tcBorders>
            <w:shd w:val="clear" w:color="auto" w:fill="auto"/>
            <w:vAlign w:val="center"/>
            <w:hideMark/>
          </w:tcPr>
          <w:p w14:paraId="0C79D7AC" w14:textId="300C05CF" w:rsidR="00F65A6E" w:rsidRPr="00F65A6E" w:rsidRDefault="00F65A6E" w:rsidP="00F65A6E">
            <w:pPr>
              <w:spacing w:after="0" w:line="240" w:lineRule="auto"/>
              <w:jc w:val="right"/>
              <w:rPr>
                <w:rFonts w:ascii="Arial" w:eastAsia="Times New Roman" w:hAnsi="Arial" w:cs="Arial"/>
                <w:color w:val="000000"/>
                <w:sz w:val="18"/>
                <w:szCs w:val="18"/>
                <w:lang w:eastAsia="sl-SI"/>
              </w:rPr>
            </w:pPr>
            <w:r w:rsidRPr="00F65A6E">
              <w:rPr>
                <w:rFonts w:ascii="Arial" w:eastAsia="Times New Roman" w:hAnsi="Arial" w:cs="Arial"/>
                <w:color w:val="000000"/>
                <w:sz w:val="18"/>
                <w:szCs w:val="18"/>
                <w:lang w:eastAsia="sl-SI"/>
              </w:rPr>
              <w:t>10,97 %</w:t>
            </w:r>
          </w:p>
        </w:tc>
      </w:tr>
      <w:tr w:rsidR="00F65A6E" w:rsidRPr="00F65A6E" w14:paraId="2D1163BD" w14:textId="77777777" w:rsidTr="00F65A6E">
        <w:trPr>
          <w:trHeight w:val="25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5500101" w14:textId="77777777" w:rsidR="00F65A6E" w:rsidRPr="00F65A6E" w:rsidRDefault="00F65A6E" w:rsidP="00F65A6E">
            <w:pPr>
              <w:spacing w:after="0" w:line="240" w:lineRule="auto"/>
              <w:jc w:val="both"/>
              <w:rPr>
                <w:rFonts w:ascii="Arial" w:eastAsia="Times New Roman" w:hAnsi="Arial" w:cs="Arial"/>
                <w:color w:val="000000"/>
                <w:sz w:val="18"/>
                <w:szCs w:val="18"/>
                <w:lang w:eastAsia="sl-SI"/>
              </w:rPr>
            </w:pPr>
            <w:r w:rsidRPr="00F65A6E">
              <w:rPr>
                <w:rFonts w:ascii="Arial" w:eastAsia="Times New Roman" w:hAnsi="Arial" w:cs="Arial"/>
                <w:color w:val="000000"/>
                <w:sz w:val="18"/>
                <w:szCs w:val="18"/>
                <w:lang w:eastAsia="sl-SI"/>
              </w:rPr>
              <w:t>Gradnje</w:t>
            </w:r>
          </w:p>
        </w:tc>
        <w:tc>
          <w:tcPr>
            <w:tcW w:w="1276" w:type="dxa"/>
            <w:tcBorders>
              <w:top w:val="nil"/>
              <w:left w:val="nil"/>
              <w:bottom w:val="single" w:sz="4" w:space="0" w:color="auto"/>
              <w:right w:val="single" w:sz="4" w:space="0" w:color="auto"/>
            </w:tcBorders>
            <w:shd w:val="clear" w:color="auto" w:fill="auto"/>
            <w:vAlign w:val="center"/>
            <w:hideMark/>
          </w:tcPr>
          <w:p w14:paraId="794373D4" w14:textId="4A292A96" w:rsidR="00F65A6E" w:rsidRPr="00F65A6E" w:rsidRDefault="00F65A6E" w:rsidP="00F65A6E">
            <w:pPr>
              <w:spacing w:after="0" w:line="240" w:lineRule="auto"/>
              <w:jc w:val="right"/>
              <w:rPr>
                <w:rFonts w:ascii="Arial" w:eastAsia="Times New Roman" w:hAnsi="Arial" w:cs="Arial"/>
                <w:color w:val="000000"/>
                <w:sz w:val="18"/>
                <w:szCs w:val="18"/>
                <w:lang w:eastAsia="sl-SI"/>
              </w:rPr>
            </w:pPr>
            <w:r w:rsidRPr="00F65A6E">
              <w:rPr>
                <w:rFonts w:ascii="Arial" w:eastAsia="Times New Roman" w:hAnsi="Arial" w:cs="Arial"/>
                <w:color w:val="000000"/>
                <w:sz w:val="18"/>
                <w:szCs w:val="18"/>
                <w:lang w:eastAsia="sl-SI"/>
              </w:rPr>
              <w:t>657</w:t>
            </w:r>
          </w:p>
        </w:tc>
        <w:tc>
          <w:tcPr>
            <w:tcW w:w="1559" w:type="dxa"/>
            <w:tcBorders>
              <w:top w:val="nil"/>
              <w:left w:val="nil"/>
              <w:bottom w:val="single" w:sz="4" w:space="0" w:color="auto"/>
              <w:right w:val="single" w:sz="4" w:space="0" w:color="auto"/>
            </w:tcBorders>
            <w:shd w:val="clear" w:color="auto" w:fill="auto"/>
            <w:vAlign w:val="center"/>
            <w:hideMark/>
          </w:tcPr>
          <w:p w14:paraId="2BBF7E82" w14:textId="28090015" w:rsidR="00F65A6E" w:rsidRPr="00F65A6E" w:rsidRDefault="00F65A6E" w:rsidP="00F65A6E">
            <w:pPr>
              <w:spacing w:after="0" w:line="240" w:lineRule="auto"/>
              <w:jc w:val="right"/>
              <w:rPr>
                <w:rFonts w:ascii="Arial" w:eastAsia="Times New Roman" w:hAnsi="Arial" w:cs="Arial"/>
                <w:color w:val="000000"/>
                <w:sz w:val="18"/>
                <w:szCs w:val="18"/>
                <w:lang w:eastAsia="sl-SI"/>
              </w:rPr>
            </w:pPr>
            <w:r w:rsidRPr="00F65A6E">
              <w:rPr>
                <w:rFonts w:ascii="Arial" w:eastAsia="Times New Roman" w:hAnsi="Arial" w:cs="Arial"/>
                <w:color w:val="000000"/>
                <w:sz w:val="18"/>
                <w:szCs w:val="18"/>
                <w:lang w:eastAsia="sl-SI"/>
              </w:rPr>
              <w:t>986.996.598</w:t>
            </w:r>
          </w:p>
        </w:tc>
        <w:tc>
          <w:tcPr>
            <w:tcW w:w="1701" w:type="dxa"/>
            <w:tcBorders>
              <w:top w:val="nil"/>
              <w:left w:val="nil"/>
              <w:bottom w:val="single" w:sz="4" w:space="0" w:color="auto"/>
              <w:right w:val="single" w:sz="4" w:space="0" w:color="auto"/>
            </w:tcBorders>
            <w:shd w:val="clear" w:color="auto" w:fill="auto"/>
            <w:vAlign w:val="center"/>
            <w:hideMark/>
          </w:tcPr>
          <w:p w14:paraId="6C6509AE" w14:textId="3946A437" w:rsidR="00F65A6E" w:rsidRPr="00F65A6E" w:rsidRDefault="00F65A6E" w:rsidP="00F65A6E">
            <w:pPr>
              <w:spacing w:after="0" w:line="240" w:lineRule="auto"/>
              <w:jc w:val="right"/>
              <w:rPr>
                <w:rFonts w:ascii="Arial" w:eastAsia="Times New Roman" w:hAnsi="Arial" w:cs="Arial"/>
                <w:color w:val="000000"/>
                <w:sz w:val="18"/>
                <w:szCs w:val="18"/>
                <w:lang w:eastAsia="sl-SI"/>
              </w:rPr>
            </w:pPr>
            <w:r w:rsidRPr="00F65A6E">
              <w:rPr>
                <w:rFonts w:ascii="Arial" w:eastAsia="Times New Roman" w:hAnsi="Arial" w:cs="Arial"/>
                <w:color w:val="000000"/>
                <w:sz w:val="18"/>
                <w:szCs w:val="18"/>
                <w:lang w:eastAsia="sl-SI"/>
              </w:rPr>
              <w:t>12,73 %</w:t>
            </w:r>
          </w:p>
        </w:tc>
        <w:tc>
          <w:tcPr>
            <w:tcW w:w="1724" w:type="dxa"/>
            <w:tcBorders>
              <w:top w:val="nil"/>
              <w:left w:val="nil"/>
              <w:bottom w:val="single" w:sz="4" w:space="0" w:color="auto"/>
              <w:right w:val="single" w:sz="4" w:space="0" w:color="auto"/>
            </w:tcBorders>
            <w:shd w:val="clear" w:color="auto" w:fill="auto"/>
            <w:vAlign w:val="center"/>
            <w:hideMark/>
          </w:tcPr>
          <w:p w14:paraId="7B314AD9" w14:textId="5847AD1D" w:rsidR="00F65A6E" w:rsidRPr="00F65A6E" w:rsidRDefault="00F65A6E" w:rsidP="00F65A6E">
            <w:pPr>
              <w:spacing w:after="0" w:line="240" w:lineRule="auto"/>
              <w:jc w:val="right"/>
              <w:rPr>
                <w:rFonts w:ascii="Arial" w:eastAsia="Times New Roman" w:hAnsi="Arial" w:cs="Arial"/>
                <w:color w:val="000000"/>
                <w:sz w:val="18"/>
                <w:szCs w:val="18"/>
                <w:lang w:eastAsia="sl-SI"/>
              </w:rPr>
            </w:pPr>
            <w:r w:rsidRPr="00F65A6E">
              <w:rPr>
                <w:rFonts w:ascii="Arial" w:eastAsia="Times New Roman" w:hAnsi="Arial" w:cs="Arial"/>
                <w:color w:val="000000"/>
                <w:sz w:val="18"/>
                <w:szCs w:val="18"/>
                <w:lang w:eastAsia="sl-SI"/>
              </w:rPr>
              <w:t>69,37 %</w:t>
            </w:r>
          </w:p>
        </w:tc>
      </w:tr>
      <w:tr w:rsidR="00F65A6E" w:rsidRPr="00F65A6E" w14:paraId="0ABFA43D" w14:textId="77777777" w:rsidTr="00F65A6E">
        <w:trPr>
          <w:trHeight w:val="255"/>
          <w:jc w:val="center"/>
        </w:trPr>
        <w:tc>
          <w:tcPr>
            <w:tcW w:w="1413"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F2C1BB6" w14:textId="77777777" w:rsidR="00F65A6E" w:rsidRPr="00F65A6E" w:rsidRDefault="00F65A6E" w:rsidP="00F65A6E">
            <w:pPr>
              <w:spacing w:after="0" w:line="240" w:lineRule="auto"/>
              <w:jc w:val="both"/>
              <w:rPr>
                <w:rFonts w:ascii="Arial" w:eastAsia="Times New Roman" w:hAnsi="Arial" w:cs="Arial"/>
                <w:b/>
                <w:bCs/>
                <w:color w:val="000000"/>
                <w:sz w:val="18"/>
                <w:szCs w:val="18"/>
                <w:lang w:eastAsia="sl-SI"/>
              </w:rPr>
            </w:pPr>
            <w:r w:rsidRPr="00F65A6E">
              <w:rPr>
                <w:rFonts w:ascii="Arial" w:eastAsia="Times New Roman" w:hAnsi="Arial" w:cs="Arial"/>
                <w:b/>
                <w:bCs/>
                <w:color w:val="000000"/>
                <w:sz w:val="18"/>
                <w:szCs w:val="18"/>
                <w:lang w:eastAsia="sl-SI"/>
              </w:rPr>
              <w:t>Skupaj</w:t>
            </w:r>
          </w:p>
        </w:tc>
        <w:tc>
          <w:tcPr>
            <w:tcW w:w="1276" w:type="dxa"/>
            <w:tcBorders>
              <w:top w:val="nil"/>
              <w:left w:val="nil"/>
              <w:bottom w:val="single" w:sz="4" w:space="0" w:color="auto"/>
              <w:right w:val="single" w:sz="4" w:space="0" w:color="auto"/>
            </w:tcBorders>
            <w:shd w:val="clear" w:color="auto" w:fill="F2F2F2" w:themeFill="background1" w:themeFillShade="F2"/>
            <w:vAlign w:val="center"/>
            <w:hideMark/>
          </w:tcPr>
          <w:p w14:paraId="2A2FC4A0" w14:textId="78BD0E31" w:rsidR="00F65A6E" w:rsidRPr="00F65A6E" w:rsidRDefault="00F65A6E" w:rsidP="00F65A6E">
            <w:pPr>
              <w:spacing w:after="0" w:line="240" w:lineRule="auto"/>
              <w:jc w:val="right"/>
              <w:rPr>
                <w:rFonts w:ascii="Arial" w:eastAsia="Times New Roman" w:hAnsi="Arial" w:cs="Arial"/>
                <w:b/>
                <w:bCs/>
                <w:color w:val="000000"/>
                <w:sz w:val="18"/>
                <w:szCs w:val="18"/>
                <w:lang w:eastAsia="sl-SI"/>
              </w:rPr>
            </w:pPr>
            <w:r w:rsidRPr="00F65A6E">
              <w:rPr>
                <w:rFonts w:ascii="Arial" w:eastAsia="Times New Roman" w:hAnsi="Arial" w:cs="Arial"/>
                <w:b/>
                <w:bCs/>
                <w:color w:val="000000"/>
                <w:sz w:val="18"/>
                <w:szCs w:val="18"/>
                <w:lang w:eastAsia="sl-SI"/>
              </w:rPr>
              <w:t>5.162</w:t>
            </w:r>
          </w:p>
        </w:tc>
        <w:tc>
          <w:tcPr>
            <w:tcW w:w="1559" w:type="dxa"/>
            <w:tcBorders>
              <w:top w:val="nil"/>
              <w:left w:val="nil"/>
              <w:bottom w:val="single" w:sz="4" w:space="0" w:color="auto"/>
              <w:right w:val="single" w:sz="4" w:space="0" w:color="auto"/>
            </w:tcBorders>
            <w:shd w:val="clear" w:color="auto" w:fill="F2F2F2" w:themeFill="background1" w:themeFillShade="F2"/>
            <w:vAlign w:val="center"/>
            <w:hideMark/>
          </w:tcPr>
          <w:p w14:paraId="0596E7C0" w14:textId="4458DB60" w:rsidR="00F65A6E" w:rsidRPr="00F65A6E" w:rsidRDefault="00F65A6E" w:rsidP="00F65A6E">
            <w:pPr>
              <w:spacing w:after="0" w:line="240" w:lineRule="auto"/>
              <w:jc w:val="right"/>
              <w:rPr>
                <w:rFonts w:ascii="Arial" w:eastAsia="Times New Roman" w:hAnsi="Arial" w:cs="Arial"/>
                <w:b/>
                <w:bCs/>
                <w:color w:val="000000"/>
                <w:sz w:val="18"/>
                <w:szCs w:val="18"/>
                <w:lang w:eastAsia="sl-SI"/>
              </w:rPr>
            </w:pPr>
            <w:r w:rsidRPr="00F65A6E">
              <w:rPr>
                <w:rFonts w:ascii="Arial" w:eastAsia="Times New Roman" w:hAnsi="Arial" w:cs="Arial"/>
                <w:b/>
                <w:bCs/>
                <w:color w:val="000000"/>
                <w:sz w:val="18"/>
                <w:szCs w:val="18"/>
                <w:lang w:eastAsia="sl-SI"/>
              </w:rPr>
              <w:t>1.422.738.797</w:t>
            </w:r>
          </w:p>
        </w:tc>
        <w:tc>
          <w:tcPr>
            <w:tcW w:w="1701" w:type="dxa"/>
            <w:tcBorders>
              <w:top w:val="nil"/>
              <w:left w:val="nil"/>
              <w:bottom w:val="single" w:sz="4" w:space="0" w:color="auto"/>
              <w:right w:val="single" w:sz="4" w:space="0" w:color="auto"/>
            </w:tcBorders>
            <w:shd w:val="clear" w:color="auto" w:fill="F2F2F2" w:themeFill="background1" w:themeFillShade="F2"/>
            <w:vAlign w:val="center"/>
            <w:hideMark/>
          </w:tcPr>
          <w:p w14:paraId="09455804" w14:textId="6616968A" w:rsidR="00F65A6E" w:rsidRPr="00F65A6E" w:rsidRDefault="00F65A6E" w:rsidP="00F65A6E">
            <w:pPr>
              <w:spacing w:after="0" w:line="240" w:lineRule="auto"/>
              <w:jc w:val="right"/>
              <w:rPr>
                <w:rFonts w:ascii="Arial" w:eastAsia="Times New Roman" w:hAnsi="Arial" w:cs="Arial"/>
                <w:b/>
                <w:bCs/>
                <w:color w:val="000000"/>
                <w:sz w:val="18"/>
                <w:szCs w:val="18"/>
                <w:lang w:eastAsia="sl-SI"/>
              </w:rPr>
            </w:pPr>
            <w:r w:rsidRPr="00F65A6E">
              <w:rPr>
                <w:rFonts w:ascii="Arial" w:eastAsia="Times New Roman" w:hAnsi="Arial" w:cs="Arial"/>
                <w:b/>
                <w:bCs/>
                <w:color w:val="000000"/>
                <w:sz w:val="18"/>
                <w:szCs w:val="18"/>
                <w:lang w:eastAsia="sl-SI"/>
              </w:rPr>
              <w:t>100,00 %</w:t>
            </w:r>
          </w:p>
        </w:tc>
        <w:tc>
          <w:tcPr>
            <w:tcW w:w="1724" w:type="dxa"/>
            <w:tcBorders>
              <w:top w:val="nil"/>
              <w:left w:val="nil"/>
              <w:bottom w:val="single" w:sz="4" w:space="0" w:color="auto"/>
              <w:right w:val="single" w:sz="4" w:space="0" w:color="auto"/>
            </w:tcBorders>
            <w:shd w:val="clear" w:color="auto" w:fill="F2F2F2" w:themeFill="background1" w:themeFillShade="F2"/>
            <w:vAlign w:val="center"/>
            <w:hideMark/>
          </w:tcPr>
          <w:p w14:paraId="444E4BD3" w14:textId="50C92659" w:rsidR="00F65A6E" w:rsidRPr="00F65A6E" w:rsidRDefault="00F65A6E" w:rsidP="00F65A6E">
            <w:pPr>
              <w:spacing w:after="0" w:line="240" w:lineRule="auto"/>
              <w:jc w:val="right"/>
              <w:rPr>
                <w:rFonts w:ascii="Arial" w:eastAsia="Times New Roman" w:hAnsi="Arial" w:cs="Arial"/>
                <w:b/>
                <w:bCs/>
                <w:color w:val="000000"/>
                <w:sz w:val="18"/>
                <w:szCs w:val="18"/>
                <w:lang w:eastAsia="sl-SI"/>
              </w:rPr>
            </w:pPr>
            <w:r w:rsidRPr="00F65A6E">
              <w:rPr>
                <w:rFonts w:ascii="Arial" w:eastAsia="Times New Roman" w:hAnsi="Arial" w:cs="Arial"/>
                <w:b/>
                <w:bCs/>
                <w:color w:val="000000"/>
                <w:sz w:val="18"/>
                <w:szCs w:val="18"/>
                <w:lang w:eastAsia="sl-SI"/>
              </w:rPr>
              <w:t>100,00 %</w:t>
            </w:r>
          </w:p>
        </w:tc>
      </w:tr>
    </w:tbl>
    <w:p w14:paraId="178A829E" w14:textId="77777777" w:rsidR="00BB4C01" w:rsidRPr="00F65A6E" w:rsidRDefault="00BB4C01" w:rsidP="004A613D">
      <w:pPr>
        <w:spacing w:after="0" w:line="240" w:lineRule="auto"/>
        <w:jc w:val="center"/>
        <w:rPr>
          <w:rFonts w:ascii="Arial" w:hAnsi="Arial" w:cs="Arial"/>
          <w:sz w:val="18"/>
        </w:rPr>
      </w:pPr>
    </w:p>
    <w:p w14:paraId="02E7D9E2" w14:textId="20B943E4" w:rsidR="00F83DD4" w:rsidRPr="00F65A6E" w:rsidRDefault="00F83DD4" w:rsidP="004A613D">
      <w:pPr>
        <w:spacing w:after="0" w:line="240" w:lineRule="auto"/>
        <w:jc w:val="center"/>
        <w:rPr>
          <w:rFonts w:ascii="Arial" w:hAnsi="Arial" w:cs="Arial"/>
          <w:sz w:val="18"/>
        </w:rPr>
      </w:pPr>
      <w:r w:rsidRPr="00F65A6E">
        <w:rPr>
          <w:rFonts w:ascii="Arial" w:hAnsi="Arial" w:cs="Arial"/>
          <w:sz w:val="18"/>
        </w:rPr>
        <w:t>Vir: Statistični podatki o javni</w:t>
      </w:r>
      <w:r w:rsidR="00E01FC9" w:rsidRPr="00F65A6E">
        <w:rPr>
          <w:rFonts w:ascii="Arial" w:hAnsi="Arial" w:cs="Arial"/>
          <w:sz w:val="18"/>
        </w:rPr>
        <w:t>h naročilih, oddanih v letu 20</w:t>
      </w:r>
      <w:r w:rsidR="00E84A0B" w:rsidRPr="00F65A6E">
        <w:rPr>
          <w:rFonts w:ascii="Arial" w:hAnsi="Arial" w:cs="Arial"/>
          <w:sz w:val="18"/>
        </w:rPr>
        <w:t>2</w:t>
      </w:r>
      <w:r w:rsidR="00F65A6E" w:rsidRPr="00F65A6E">
        <w:rPr>
          <w:rFonts w:ascii="Arial" w:hAnsi="Arial" w:cs="Arial"/>
          <w:sz w:val="18"/>
        </w:rPr>
        <w:t>2</w:t>
      </w:r>
      <w:r w:rsidR="005D5B62" w:rsidRPr="00F65A6E">
        <w:rPr>
          <w:rFonts w:ascii="Arial" w:hAnsi="Arial" w:cs="Arial"/>
          <w:sz w:val="18"/>
        </w:rPr>
        <w:t>.</w:t>
      </w:r>
    </w:p>
    <w:p w14:paraId="700349DE" w14:textId="77777777" w:rsidR="00474678" w:rsidRPr="00432EA5" w:rsidRDefault="00474678" w:rsidP="0001172F">
      <w:pPr>
        <w:spacing w:after="0" w:line="240" w:lineRule="auto"/>
        <w:jc w:val="both"/>
        <w:rPr>
          <w:rFonts w:ascii="Arial" w:hAnsi="Arial" w:cs="Arial"/>
          <w:sz w:val="20"/>
          <w:szCs w:val="20"/>
        </w:rPr>
      </w:pPr>
    </w:p>
    <w:p w14:paraId="7ECE5C7A" w14:textId="0586100B" w:rsidR="00FD1E71" w:rsidRPr="00B560DD" w:rsidRDefault="002B74A3" w:rsidP="00FD1E71">
      <w:pPr>
        <w:spacing w:line="360" w:lineRule="auto"/>
        <w:jc w:val="both"/>
        <w:rPr>
          <w:rFonts w:ascii="Arial" w:hAnsi="Arial" w:cs="Arial"/>
          <w:sz w:val="20"/>
          <w:szCs w:val="20"/>
        </w:rPr>
      </w:pPr>
      <w:r w:rsidRPr="00432EA5">
        <w:rPr>
          <w:rFonts w:ascii="Arial" w:hAnsi="Arial" w:cs="Arial"/>
          <w:sz w:val="20"/>
          <w:szCs w:val="20"/>
        </w:rPr>
        <w:t>Leta</w:t>
      </w:r>
      <w:r w:rsidR="00FD1E71" w:rsidRPr="00432EA5">
        <w:rPr>
          <w:rFonts w:ascii="Arial" w:hAnsi="Arial" w:cs="Arial"/>
          <w:sz w:val="20"/>
          <w:szCs w:val="20"/>
        </w:rPr>
        <w:t xml:space="preserve"> 20</w:t>
      </w:r>
      <w:r w:rsidR="002D713E" w:rsidRPr="00432EA5">
        <w:rPr>
          <w:rFonts w:ascii="Arial" w:hAnsi="Arial" w:cs="Arial"/>
          <w:sz w:val="20"/>
          <w:szCs w:val="20"/>
        </w:rPr>
        <w:t>2</w:t>
      </w:r>
      <w:r w:rsidR="00432EA5" w:rsidRPr="00432EA5">
        <w:rPr>
          <w:rFonts w:ascii="Arial" w:hAnsi="Arial" w:cs="Arial"/>
          <w:sz w:val="20"/>
          <w:szCs w:val="20"/>
        </w:rPr>
        <w:t>2</w:t>
      </w:r>
      <w:r w:rsidR="00FD1E71" w:rsidRPr="00432EA5">
        <w:rPr>
          <w:rFonts w:ascii="Arial" w:hAnsi="Arial" w:cs="Arial"/>
          <w:sz w:val="20"/>
          <w:szCs w:val="20"/>
        </w:rPr>
        <w:t xml:space="preserve"> so naročniki </w:t>
      </w:r>
      <w:proofErr w:type="spellStart"/>
      <w:r w:rsidR="00FD1E71" w:rsidRPr="00432EA5">
        <w:rPr>
          <w:rFonts w:ascii="Arial" w:hAnsi="Arial" w:cs="Arial"/>
          <w:sz w:val="20"/>
          <w:szCs w:val="20"/>
        </w:rPr>
        <w:t>okoljske</w:t>
      </w:r>
      <w:proofErr w:type="spellEnd"/>
      <w:r w:rsidR="00FD1E71" w:rsidRPr="00432EA5">
        <w:rPr>
          <w:rFonts w:ascii="Arial" w:hAnsi="Arial" w:cs="Arial"/>
          <w:sz w:val="20"/>
          <w:szCs w:val="20"/>
        </w:rPr>
        <w:t xml:space="preserve"> zahteve najpogosteje </w:t>
      </w:r>
      <w:r w:rsidR="00854B81" w:rsidRPr="00432EA5">
        <w:rPr>
          <w:rFonts w:ascii="Arial" w:hAnsi="Arial" w:cs="Arial"/>
          <w:sz w:val="20"/>
          <w:szCs w:val="20"/>
        </w:rPr>
        <w:t xml:space="preserve">umeščali </w:t>
      </w:r>
      <w:r w:rsidR="00FD1E71" w:rsidRPr="00432EA5">
        <w:rPr>
          <w:rFonts w:ascii="Arial" w:hAnsi="Arial" w:cs="Arial"/>
          <w:sz w:val="20"/>
          <w:szCs w:val="20"/>
        </w:rPr>
        <w:t xml:space="preserve">med tehnične specifikacije, in sicer pri </w:t>
      </w:r>
      <w:r w:rsidR="0019260C" w:rsidRPr="00B560DD">
        <w:rPr>
          <w:rFonts w:ascii="Arial" w:hAnsi="Arial" w:cs="Arial"/>
          <w:sz w:val="20"/>
          <w:szCs w:val="20"/>
        </w:rPr>
        <w:t>3</w:t>
      </w:r>
      <w:r w:rsidR="00432EA5" w:rsidRPr="00B560DD">
        <w:rPr>
          <w:rFonts w:ascii="Arial" w:hAnsi="Arial" w:cs="Arial"/>
          <w:sz w:val="20"/>
          <w:szCs w:val="20"/>
        </w:rPr>
        <w:t>228</w:t>
      </w:r>
      <w:r w:rsidR="00FD1E71" w:rsidRPr="00B560DD">
        <w:rPr>
          <w:rFonts w:ascii="Arial" w:hAnsi="Arial" w:cs="Arial"/>
          <w:sz w:val="20"/>
          <w:szCs w:val="20"/>
        </w:rPr>
        <w:t xml:space="preserve"> naročilih, kar pomeni, da so bile te zahteve </w:t>
      </w:r>
      <w:r w:rsidR="00854B81" w:rsidRPr="00B560DD">
        <w:rPr>
          <w:rFonts w:ascii="Arial" w:hAnsi="Arial" w:cs="Arial"/>
          <w:sz w:val="20"/>
          <w:szCs w:val="20"/>
        </w:rPr>
        <w:t xml:space="preserve">upoštevane </w:t>
      </w:r>
      <w:r w:rsidR="00FD1E71" w:rsidRPr="00B560DD">
        <w:rPr>
          <w:rFonts w:ascii="Arial" w:hAnsi="Arial" w:cs="Arial"/>
          <w:sz w:val="20"/>
          <w:szCs w:val="20"/>
        </w:rPr>
        <w:t xml:space="preserve">v </w:t>
      </w:r>
      <w:r w:rsidR="00432EA5" w:rsidRPr="00B560DD">
        <w:rPr>
          <w:rFonts w:ascii="Arial" w:hAnsi="Arial" w:cs="Arial"/>
          <w:sz w:val="20"/>
          <w:szCs w:val="20"/>
        </w:rPr>
        <w:t>slabih</w:t>
      </w:r>
      <w:r w:rsidR="00FD1E71" w:rsidRPr="00B560DD">
        <w:rPr>
          <w:rFonts w:ascii="Arial" w:hAnsi="Arial" w:cs="Arial"/>
          <w:sz w:val="20"/>
          <w:szCs w:val="20"/>
        </w:rPr>
        <w:t xml:space="preserve"> dve</w:t>
      </w:r>
      <w:r w:rsidR="00854B81" w:rsidRPr="00B560DD">
        <w:rPr>
          <w:rFonts w:ascii="Arial" w:hAnsi="Arial" w:cs="Arial"/>
          <w:sz w:val="20"/>
          <w:szCs w:val="20"/>
        </w:rPr>
        <w:t>h</w:t>
      </w:r>
      <w:r w:rsidR="00FD1E71" w:rsidRPr="00B560DD">
        <w:rPr>
          <w:rFonts w:ascii="Arial" w:hAnsi="Arial" w:cs="Arial"/>
          <w:sz w:val="20"/>
          <w:szCs w:val="20"/>
        </w:rPr>
        <w:t xml:space="preserve"> tretjin</w:t>
      </w:r>
      <w:r w:rsidR="00854B81" w:rsidRPr="00B560DD">
        <w:rPr>
          <w:rFonts w:ascii="Arial" w:hAnsi="Arial" w:cs="Arial"/>
          <w:sz w:val="20"/>
          <w:szCs w:val="20"/>
        </w:rPr>
        <w:t>ah</w:t>
      </w:r>
      <w:r w:rsidR="00FD1E71" w:rsidRPr="00B560DD">
        <w:rPr>
          <w:rFonts w:ascii="Arial" w:hAnsi="Arial" w:cs="Arial"/>
          <w:sz w:val="20"/>
          <w:szCs w:val="20"/>
        </w:rPr>
        <w:t xml:space="preserve"> naročil. </w:t>
      </w:r>
      <w:proofErr w:type="spellStart"/>
      <w:r w:rsidR="00FD1E71" w:rsidRPr="00B560DD">
        <w:rPr>
          <w:rFonts w:ascii="Arial" w:hAnsi="Arial" w:cs="Arial"/>
          <w:sz w:val="20"/>
          <w:szCs w:val="20"/>
        </w:rPr>
        <w:t>Okoljske</w:t>
      </w:r>
      <w:proofErr w:type="spellEnd"/>
      <w:r w:rsidR="00FD1E71" w:rsidRPr="00B560DD">
        <w:rPr>
          <w:rFonts w:ascii="Arial" w:hAnsi="Arial" w:cs="Arial"/>
          <w:sz w:val="20"/>
          <w:szCs w:val="20"/>
        </w:rPr>
        <w:t xml:space="preserve"> </w:t>
      </w:r>
      <w:r w:rsidR="00FD1E71" w:rsidRPr="00B560DD">
        <w:rPr>
          <w:rFonts w:ascii="Arial" w:hAnsi="Arial" w:cs="Arial"/>
          <w:sz w:val="20"/>
          <w:szCs w:val="20"/>
        </w:rPr>
        <w:lastRenderedPageBreak/>
        <w:t>vidike so</w:t>
      </w:r>
      <w:r w:rsidR="005D5B62" w:rsidRPr="00B560DD">
        <w:rPr>
          <w:rFonts w:ascii="Arial" w:hAnsi="Arial" w:cs="Arial"/>
          <w:sz w:val="20"/>
          <w:szCs w:val="20"/>
        </w:rPr>
        <w:t xml:space="preserve"> pri</w:t>
      </w:r>
      <w:r w:rsidR="00FD1E71" w:rsidRPr="00B560DD">
        <w:rPr>
          <w:rFonts w:ascii="Arial" w:hAnsi="Arial" w:cs="Arial"/>
          <w:sz w:val="20"/>
          <w:szCs w:val="20"/>
        </w:rPr>
        <w:t xml:space="preserve"> </w:t>
      </w:r>
      <w:r w:rsidR="00432EA5" w:rsidRPr="00B560DD">
        <w:rPr>
          <w:rFonts w:ascii="Arial" w:hAnsi="Arial" w:cs="Arial"/>
          <w:sz w:val="20"/>
          <w:szCs w:val="20"/>
        </w:rPr>
        <w:t>merilih za oddajo</w:t>
      </w:r>
      <w:r w:rsidR="00FD1E71" w:rsidRPr="00B560DD">
        <w:rPr>
          <w:rFonts w:ascii="Arial" w:hAnsi="Arial" w:cs="Arial"/>
          <w:sz w:val="20"/>
          <w:szCs w:val="20"/>
        </w:rPr>
        <w:t xml:space="preserve"> naročniki upoštevali v </w:t>
      </w:r>
      <w:r w:rsidR="0019260C" w:rsidRPr="00B560DD">
        <w:rPr>
          <w:rFonts w:ascii="Arial" w:hAnsi="Arial" w:cs="Arial"/>
          <w:sz w:val="20"/>
          <w:szCs w:val="20"/>
        </w:rPr>
        <w:t>2</w:t>
      </w:r>
      <w:r w:rsidR="00B560DD" w:rsidRPr="00B560DD">
        <w:rPr>
          <w:rFonts w:ascii="Arial" w:hAnsi="Arial" w:cs="Arial"/>
          <w:sz w:val="20"/>
          <w:szCs w:val="20"/>
        </w:rPr>
        <w:t>203</w:t>
      </w:r>
      <w:r w:rsidR="00FD1E71" w:rsidRPr="00B560DD">
        <w:rPr>
          <w:rFonts w:ascii="Arial" w:hAnsi="Arial" w:cs="Arial"/>
          <w:sz w:val="20"/>
          <w:szCs w:val="20"/>
        </w:rPr>
        <w:t xml:space="preserve"> naročilih, kar pomeni, da so bile te zahteve </w:t>
      </w:r>
      <w:r w:rsidR="00854B81" w:rsidRPr="00B560DD">
        <w:rPr>
          <w:rFonts w:ascii="Arial" w:hAnsi="Arial" w:cs="Arial"/>
          <w:sz w:val="20"/>
          <w:szCs w:val="20"/>
        </w:rPr>
        <w:t xml:space="preserve">upoštevane </w:t>
      </w:r>
      <w:r w:rsidR="00FD1E71" w:rsidRPr="00B560DD">
        <w:rPr>
          <w:rFonts w:ascii="Arial" w:hAnsi="Arial" w:cs="Arial"/>
          <w:sz w:val="20"/>
          <w:szCs w:val="20"/>
        </w:rPr>
        <w:t xml:space="preserve">v </w:t>
      </w:r>
      <w:r w:rsidR="00B560DD" w:rsidRPr="00B560DD">
        <w:rPr>
          <w:rFonts w:ascii="Arial" w:hAnsi="Arial" w:cs="Arial"/>
          <w:sz w:val="20"/>
          <w:szCs w:val="20"/>
        </w:rPr>
        <w:t>slabi polovici</w:t>
      </w:r>
      <w:r w:rsidR="00FD1E71" w:rsidRPr="00B560DD">
        <w:rPr>
          <w:rFonts w:ascii="Arial" w:hAnsi="Arial" w:cs="Arial"/>
          <w:sz w:val="20"/>
          <w:szCs w:val="20"/>
        </w:rPr>
        <w:t xml:space="preserve"> vseh zelenih naročil.</w:t>
      </w:r>
    </w:p>
    <w:p w14:paraId="4DBEA53D" w14:textId="6AF8EC3E" w:rsidR="00FD1E71" w:rsidRPr="00B560DD" w:rsidRDefault="00FD1E71" w:rsidP="00FD1E71">
      <w:pPr>
        <w:spacing w:line="360" w:lineRule="auto"/>
        <w:jc w:val="both"/>
        <w:rPr>
          <w:rFonts w:ascii="Arial" w:hAnsi="Arial" w:cs="Arial"/>
          <w:sz w:val="20"/>
          <w:szCs w:val="20"/>
        </w:rPr>
      </w:pPr>
      <w:r w:rsidRPr="00B560DD">
        <w:rPr>
          <w:rFonts w:ascii="Arial" w:hAnsi="Arial" w:cs="Arial"/>
          <w:sz w:val="20"/>
          <w:szCs w:val="20"/>
        </w:rPr>
        <w:t xml:space="preserve">Pri </w:t>
      </w:r>
      <w:r w:rsidR="002D713E" w:rsidRPr="00B560DD">
        <w:rPr>
          <w:rFonts w:ascii="Arial" w:hAnsi="Arial" w:cs="Arial"/>
          <w:sz w:val="20"/>
          <w:szCs w:val="20"/>
        </w:rPr>
        <w:t>55</w:t>
      </w:r>
      <w:r w:rsidR="00B560DD" w:rsidRPr="00B560DD">
        <w:rPr>
          <w:rFonts w:ascii="Arial" w:hAnsi="Arial" w:cs="Arial"/>
          <w:sz w:val="20"/>
          <w:szCs w:val="20"/>
        </w:rPr>
        <w:t>4</w:t>
      </w:r>
      <w:r w:rsidR="002D713E" w:rsidRPr="00B560DD">
        <w:rPr>
          <w:rFonts w:ascii="Arial" w:hAnsi="Arial" w:cs="Arial"/>
          <w:sz w:val="20"/>
          <w:szCs w:val="20"/>
        </w:rPr>
        <w:t xml:space="preserve"> </w:t>
      </w:r>
      <w:r w:rsidRPr="00B560DD">
        <w:rPr>
          <w:rFonts w:ascii="Arial" w:hAnsi="Arial" w:cs="Arial"/>
          <w:sz w:val="20"/>
          <w:szCs w:val="20"/>
        </w:rPr>
        <w:t xml:space="preserve">naročilih so naročniki </w:t>
      </w:r>
      <w:proofErr w:type="spellStart"/>
      <w:r w:rsidRPr="00B560DD">
        <w:rPr>
          <w:rFonts w:ascii="Arial" w:hAnsi="Arial" w:cs="Arial"/>
          <w:sz w:val="20"/>
          <w:szCs w:val="20"/>
        </w:rPr>
        <w:t>okoljske</w:t>
      </w:r>
      <w:proofErr w:type="spellEnd"/>
      <w:r w:rsidRPr="00B560DD">
        <w:rPr>
          <w:rFonts w:ascii="Arial" w:hAnsi="Arial" w:cs="Arial"/>
          <w:sz w:val="20"/>
          <w:szCs w:val="20"/>
        </w:rPr>
        <w:t xml:space="preserve"> zahteve </w:t>
      </w:r>
      <w:r w:rsidR="00854B81" w:rsidRPr="00B560DD">
        <w:rPr>
          <w:rFonts w:ascii="Arial" w:hAnsi="Arial" w:cs="Arial"/>
          <w:sz w:val="20"/>
          <w:szCs w:val="20"/>
        </w:rPr>
        <w:t xml:space="preserve">uvrstili </w:t>
      </w:r>
      <w:r w:rsidRPr="00B560DD">
        <w:rPr>
          <w:rFonts w:ascii="Arial" w:hAnsi="Arial" w:cs="Arial"/>
          <w:sz w:val="20"/>
          <w:szCs w:val="20"/>
        </w:rPr>
        <w:t xml:space="preserve">med tehnične specifikacije, merila za izbiro, </w:t>
      </w:r>
      <w:r w:rsidR="001D3DD9">
        <w:rPr>
          <w:rFonts w:ascii="Arial" w:hAnsi="Arial" w:cs="Arial"/>
          <w:sz w:val="20"/>
          <w:szCs w:val="20"/>
        </w:rPr>
        <w:t xml:space="preserve">med </w:t>
      </w:r>
      <w:r w:rsidRPr="00B560DD">
        <w:rPr>
          <w:rFonts w:ascii="Arial" w:hAnsi="Arial" w:cs="Arial"/>
          <w:sz w:val="20"/>
          <w:szCs w:val="20"/>
        </w:rPr>
        <w:t>pogoje za ugotavljanje sposobnosti</w:t>
      </w:r>
      <w:r w:rsidR="002D713E" w:rsidRPr="00B560DD">
        <w:rPr>
          <w:rFonts w:ascii="Arial" w:hAnsi="Arial" w:cs="Arial"/>
          <w:sz w:val="20"/>
          <w:szCs w:val="20"/>
        </w:rPr>
        <w:t>,</w:t>
      </w:r>
      <w:r w:rsidRPr="00B560DD">
        <w:rPr>
          <w:rFonts w:ascii="Arial" w:hAnsi="Arial" w:cs="Arial"/>
          <w:sz w:val="20"/>
          <w:szCs w:val="20"/>
        </w:rPr>
        <w:t xml:space="preserve"> </w:t>
      </w:r>
      <w:r w:rsidR="001D3DD9">
        <w:rPr>
          <w:rFonts w:ascii="Arial" w:hAnsi="Arial" w:cs="Arial"/>
          <w:sz w:val="20"/>
          <w:szCs w:val="20"/>
        </w:rPr>
        <w:t xml:space="preserve">med </w:t>
      </w:r>
      <w:r w:rsidRPr="00B560DD">
        <w:rPr>
          <w:rFonts w:ascii="Arial" w:hAnsi="Arial" w:cs="Arial"/>
          <w:sz w:val="20"/>
          <w:szCs w:val="20"/>
        </w:rPr>
        <w:t>pogodbena določila</w:t>
      </w:r>
      <w:r w:rsidR="002D713E" w:rsidRPr="00B560DD">
        <w:rPr>
          <w:rFonts w:ascii="Arial" w:hAnsi="Arial" w:cs="Arial"/>
          <w:sz w:val="20"/>
          <w:szCs w:val="20"/>
        </w:rPr>
        <w:t xml:space="preserve"> in razloge za izključitev</w:t>
      </w:r>
      <w:r w:rsidRPr="00B560DD">
        <w:rPr>
          <w:rFonts w:ascii="Arial" w:hAnsi="Arial" w:cs="Arial"/>
          <w:sz w:val="20"/>
          <w:szCs w:val="20"/>
        </w:rPr>
        <w:t xml:space="preserve">. </w:t>
      </w:r>
    </w:p>
    <w:p w14:paraId="25D5E4D0" w14:textId="757CAB48" w:rsidR="00FD1E71" w:rsidRPr="00432EA5" w:rsidRDefault="00FD1E71" w:rsidP="00FD1E71">
      <w:pPr>
        <w:spacing w:before="120" w:after="120" w:line="240" w:lineRule="auto"/>
        <w:jc w:val="both"/>
        <w:rPr>
          <w:rFonts w:ascii="Arial" w:hAnsi="Arial" w:cs="Arial"/>
          <w:sz w:val="20"/>
        </w:rPr>
      </w:pPr>
      <w:r w:rsidRPr="00432EA5">
        <w:rPr>
          <w:rFonts w:ascii="Arial" w:hAnsi="Arial" w:cs="Arial"/>
          <w:sz w:val="20"/>
        </w:rPr>
        <w:t>Preglednica </w:t>
      </w:r>
      <w:r w:rsidR="00EA747F">
        <w:rPr>
          <w:rFonts w:ascii="Arial" w:hAnsi="Arial" w:cs="Arial"/>
          <w:sz w:val="20"/>
        </w:rPr>
        <w:t>49</w:t>
      </w:r>
      <w:r w:rsidRPr="00432EA5">
        <w:rPr>
          <w:rFonts w:ascii="Arial" w:hAnsi="Arial" w:cs="Arial"/>
          <w:sz w:val="20"/>
        </w:rPr>
        <w:t xml:space="preserve">: Način vključitve </w:t>
      </w:r>
      <w:proofErr w:type="spellStart"/>
      <w:r w:rsidRPr="00432EA5">
        <w:rPr>
          <w:rFonts w:ascii="Arial" w:hAnsi="Arial" w:cs="Arial"/>
          <w:sz w:val="20"/>
        </w:rPr>
        <w:t>okoljskih</w:t>
      </w:r>
      <w:proofErr w:type="spellEnd"/>
      <w:r w:rsidRPr="00432EA5">
        <w:rPr>
          <w:rFonts w:ascii="Arial" w:hAnsi="Arial" w:cs="Arial"/>
          <w:sz w:val="20"/>
        </w:rPr>
        <w:t xml:space="preserve"> zahtev </w:t>
      </w:r>
      <w:r w:rsidR="006A68C7">
        <w:rPr>
          <w:rFonts w:ascii="Arial" w:hAnsi="Arial" w:cs="Arial"/>
          <w:sz w:val="20"/>
        </w:rPr>
        <w:t>v</w:t>
      </w:r>
      <w:r w:rsidRPr="00432EA5">
        <w:rPr>
          <w:rFonts w:ascii="Arial" w:hAnsi="Arial" w:cs="Arial"/>
          <w:sz w:val="20"/>
        </w:rPr>
        <w:t xml:space="preserve"> javn</w:t>
      </w:r>
      <w:r w:rsidR="006A68C7">
        <w:rPr>
          <w:rFonts w:ascii="Arial" w:hAnsi="Arial" w:cs="Arial"/>
          <w:sz w:val="20"/>
        </w:rPr>
        <w:t>a</w:t>
      </w:r>
      <w:r w:rsidRPr="00432EA5">
        <w:rPr>
          <w:rFonts w:ascii="Arial" w:hAnsi="Arial" w:cs="Arial"/>
          <w:sz w:val="20"/>
        </w:rPr>
        <w:t xml:space="preserve"> naročil</w:t>
      </w:r>
      <w:r w:rsidR="006A68C7">
        <w:rPr>
          <w:rFonts w:ascii="Arial" w:hAnsi="Arial" w:cs="Arial"/>
          <w:sz w:val="20"/>
        </w:rPr>
        <w:t>a</w:t>
      </w:r>
      <w:r w:rsidRPr="00432EA5">
        <w:rPr>
          <w:rFonts w:ascii="Arial" w:hAnsi="Arial" w:cs="Arial"/>
          <w:sz w:val="20"/>
        </w:rPr>
        <w:t>, oddan</w:t>
      </w:r>
      <w:r w:rsidR="006A68C7">
        <w:rPr>
          <w:rFonts w:ascii="Arial" w:hAnsi="Arial" w:cs="Arial"/>
          <w:sz w:val="20"/>
        </w:rPr>
        <w:t>a</w:t>
      </w:r>
      <w:r w:rsidRPr="00432EA5">
        <w:rPr>
          <w:rFonts w:ascii="Arial" w:hAnsi="Arial" w:cs="Arial"/>
          <w:sz w:val="20"/>
        </w:rPr>
        <w:t xml:space="preserve"> v letu 20</w:t>
      </w:r>
      <w:r w:rsidR="002D713E" w:rsidRPr="00432EA5">
        <w:rPr>
          <w:rFonts w:ascii="Arial" w:hAnsi="Arial" w:cs="Arial"/>
          <w:sz w:val="20"/>
        </w:rPr>
        <w:t>2</w:t>
      </w:r>
      <w:r w:rsidR="00796389" w:rsidRPr="00432EA5">
        <w:rPr>
          <w:rFonts w:ascii="Arial" w:hAnsi="Arial" w:cs="Arial"/>
          <w:sz w:val="20"/>
        </w:rPr>
        <w:t>2</w:t>
      </w:r>
    </w:p>
    <w:tbl>
      <w:tblPr>
        <w:tblW w:w="8775" w:type="dxa"/>
        <w:jc w:val="center"/>
        <w:tblCellMar>
          <w:left w:w="70" w:type="dxa"/>
          <w:right w:w="70" w:type="dxa"/>
        </w:tblCellMar>
        <w:tblLook w:val="04A0" w:firstRow="1" w:lastRow="0" w:firstColumn="1" w:lastColumn="0" w:noHBand="0" w:noVBand="1"/>
      </w:tblPr>
      <w:tblGrid>
        <w:gridCol w:w="3256"/>
        <w:gridCol w:w="1092"/>
        <w:gridCol w:w="1542"/>
        <w:gridCol w:w="1335"/>
        <w:gridCol w:w="1550"/>
      </w:tblGrid>
      <w:tr w:rsidR="002D713E" w:rsidRPr="00432EA5" w14:paraId="0B24B84F" w14:textId="77777777" w:rsidTr="00CD447F">
        <w:trPr>
          <w:trHeight w:val="255"/>
          <w:jc w:val="center"/>
        </w:trPr>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E4D130" w14:textId="77777777" w:rsidR="002D713E" w:rsidRPr="00432EA5" w:rsidRDefault="002D713E" w:rsidP="002D713E">
            <w:pPr>
              <w:spacing w:after="0" w:line="240" w:lineRule="auto"/>
              <w:jc w:val="center"/>
              <w:rPr>
                <w:rFonts w:ascii="Arial" w:eastAsia="Times New Roman" w:hAnsi="Arial" w:cs="Arial"/>
                <w:color w:val="000000"/>
                <w:sz w:val="18"/>
                <w:szCs w:val="18"/>
                <w:lang w:eastAsia="sl-SI"/>
              </w:rPr>
            </w:pPr>
            <w:r w:rsidRPr="00432EA5">
              <w:rPr>
                <w:rFonts w:ascii="Arial" w:eastAsia="Times New Roman" w:hAnsi="Arial" w:cs="Arial"/>
                <w:color w:val="000000"/>
                <w:sz w:val="18"/>
                <w:szCs w:val="18"/>
                <w:lang w:eastAsia="sl-SI"/>
              </w:rPr>
              <w:t xml:space="preserve">Način vključevanja </w:t>
            </w:r>
            <w:proofErr w:type="spellStart"/>
            <w:r w:rsidRPr="00432EA5">
              <w:rPr>
                <w:rFonts w:ascii="Arial" w:eastAsia="Times New Roman" w:hAnsi="Arial" w:cs="Arial"/>
                <w:color w:val="000000"/>
                <w:sz w:val="18"/>
                <w:szCs w:val="18"/>
                <w:lang w:eastAsia="sl-SI"/>
              </w:rPr>
              <w:t>okoljskih</w:t>
            </w:r>
            <w:proofErr w:type="spellEnd"/>
            <w:r w:rsidRPr="00432EA5">
              <w:rPr>
                <w:rFonts w:ascii="Arial" w:eastAsia="Times New Roman" w:hAnsi="Arial" w:cs="Arial"/>
                <w:color w:val="000000"/>
                <w:sz w:val="18"/>
                <w:szCs w:val="18"/>
                <w:lang w:eastAsia="sl-SI"/>
              </w:rPr>
              <w:t xml:space="preserve"> vidikov v javno naročanje</w:t>
            </w:r>
          </w:p>
        </w:tc>
        <w:tc>
          <w:tcPr>
            <w:tcW w:w="109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B39C64C" w14:textId="77777777" w:rsidR="002D713E" w:rsidRPr="00432EA5" w:rsidRDefault="002D713E" w:rsidP="002D713E">
            <w:pPr>
              <w:spacing w:after="0" w:line="240" w:lineRule="auto"/>
              <w:jc w:val="center"/>
              <w:rPr>
                <w:rFonts w:ascii="Arial" w:eastAsia="Times New Roman" w:hAnsi="Arial" w:cs="Arial"/>
                <w:color w:val="000000"/>
                <w:sz w:val="18"/>
                <w:szCs w:val="18"/>
                <w:lang w:eastAsia="sl-SI"/>
              </w:rPr>
            </w:pPr>
            <w:r w:rsidRPr="00432EA5">
              <w:rPr>
                <w:rFonts w:ascii="Arial" w:eastAsia="Times New Roman" w:hAnsi="Arial" w:cs="Arial"/>
                <w:color w:val="000000"/>
                <w:sz w:val="18"/>
                <w:szCs w:val="18"/>
                <w:lang w:eastAsia="sl-SI"/>
              </w:rPr>
              <w:t>Št. zelenih naročil</w:t>
            </w:r>
          </w:p>
        </w:tc>
        <w:tc>
          <w:tcPr>
            <w:tcW w:w="154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27943B9" w14:textId="77777777" w:rsidR="002D713E" w:rsidRPr="00432EA5" w:rsidRDefault="002D713E" w:rsidP="002D713E">
            <w:pPr>
              <w:spacing w:after="0" w:line="240" w:lineRule="auto"/>
              <w:jc w:val="center"/>
              <w:rPr>
                <w:rFonts w:ascii="Arial" w:eastAsia="Times New Roman" w:hAnsi="Arial" w:cs="Arial"/>
                <w:color w:val="000000"/>
                <w:sz w:val="18"/>
                <w:szCs w:val="18"/>
                <w:lang w:eastAsia="sl-SI"/>
              </w:rPr>
            </w:pPr>
            <w:r w:rsidRPr="00432EA5">
              <w:rPr>
                <w:rFonts w:ascii="Arial" w:eastAsia="Times New Roman" w:hAnsi="Arial" w:cs="Arial"/>
                <w:color w:val="000000"/>
                <w:sz w:val="18"/>
                <w:szCs w:val="18"/>
                <w:lang w:eastAsia="sl-SI"/>
              </w:rPr>
              <w:t>Pogodbena vrednost</w:t>
            </w:r>
          </w:p>
        </w:tc>
        <w:tc>
          <w:tcPr>
            <w:tcW w:w="133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12802A0" w14:textId="77777777" w:rsidR="002D713E" w:rsidRPr="00432EA5" w:rsidRDefault="002D713E" w:rsidP="002D713E">
            <w:pPr>
              <w:spacing w:after="0" w:line="240" w:lineRule="auto"/>
              <w:jc w:val="center"/>
              <w:rPr>
                <w:rFonts w:ascii="Arial" w:eastAsia="Times New Roman" w:hAnsi="Arial" w:cs="Arial"/>
                <w:color w:val="000000"/>
                <w:sz w:val="18"/>
                <w:szCs w:val="18"/>
                <w:lang w:eastAsia="sl-SI"/>
              </w:rPr>
            </w:pPr>
            <w:r w:rsidRPr="00432EA5">
              <w:rPr>
                <w:rFonts w:ascii="Arial" w:eastAsia="Times New Roman" w:hAnsi="Arial" w:cs="Arial"/>
                <w:color w:val="000000"/>
                <w:sz w:val="18"/>
                <w:szCs w:val="18"/>
                <w:lang w:eastAsia="sl-SI"/>
              </w:rPr>
              <w:t>Delež v št. zelenih naročil</w:t>
            </w:r>
          </w:p>
        </w:tc>
        <w:tc>
          <w:tcPr>
            <w:tcW w:w="155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6F975AF" w14:textId="77777777" w:rsidR="002D713E" w:rsidRPr="00432EA5" w:rsidRDefault="002D713E" w:rsidP="002D713E">
            <w:pPr>
              <w:spacing w:after="0" w:line="240" w:lineRule="auto"/>
              <w:jc w:val="center"/>
              <w:rPr>
                <w:rFonts w:ascii="Arial" w:eastAsia="Times New Roman" w:hAnsi="Arial" w:cs="Arial"/>
                <w:color w:val="000000"/>
                <w:sz w:val="18"/>
                <w:szCs w:val="18"/>
                <w:lang w:eastAsia="sl-SI"/>
              </w:rPr>
            </w:pPr>
            <w:r w:rsidRPr="00432EA5">
              <w:rPr>
                <w:rFonts w:ascii="Arial" w:eastAsia="Times New Roman" w:hAnsi="Arial" w:cs="Arial"/>
                <w:color w:val="000000"/>
                <w:sz w:val="18"/>
                <w:szCs w:val="18"/>
                <w:lang w:eastAsia="sl-SI"/>
              </w:rPr>
              <w:t>Delež v vrednosti zelenih naročil</w:t>
            </w:r>
          </w:p>
        </w:tc>
      </w:tr>
      <w:tr w:rsidR="00432EA5" w:rsidRPr="00432EA5" w14:paraId="59E13095" w14:textId="77777777" w:rsidTr="00432EA5">
        <w:trPr>
          <w:trHeight w:val="255"/>
          <w:jc w:val="center"/>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ABF5A3C" w14:textId="77777777" w:rsidR="00432EA5" w:rsidRPr="00432EA5" w:rsidRDefault="00432EA5" w:rsidP="00432EA5">
            <w:pPr>
              <w:spacing w:after="0" w:line="240" w:lineRule="auto"/>
              <w:jc w:val="both"/>
              <w:rPr>
                <w:rFonts w:ascii="Arial" w:eastAsia="Times New Roman" w:hAnsi="Arial" w:cs="Arial"/>
                <w:color w:val="000000"/>
                <w:sz w:val="18"/>
                <w:szCs w:val="18"/>
                <w:lang w:eastAsia="sl-SI"/>
              </w:rPr>
            </w:pPr>
            <w:r w:rsidRPr="00432EA5">
              <w:rPr>
                <w:rFonts w:ascii="Arial" w:eastAsia="Times New Roman" w:hAnsi="Arial" w:cs="Arial"/>
                <w:color w:val="000000"/>
                <w:sz w:val="18"/>
                <w:szCs w:val="18"/>
                <w:lang w:eastAsia="sl-SI"/>
              </w:rPr>
              <w:t>Tehnične specifikacije</w:t>
            </w:r>
          </w:p>
        </w:tc>
        <w:tc>
          <w:tcPr>
            <w:tcW w:w="1092" w:type="dxa"/>
            <w:tcBorders>
              <w:top w:val="nil"/>
              <w:left w:val="nil"/>
              <w:bottom w:val="single" w:sz="4" w:space="0" w:color="auto"/>
              <w:right w:val="single" w:sz="4" w:space="0" w:color="auto"/>
            </w:tcBorders>
            <w:shd w:val="clear" w:color="auto" w:fill="auto"/>
            <w:vAlign w:val="center"/>
          </w:tcPr>
          <w:p w14:paraId="39F577BB" w14:textId="6676FBDD" w:rsidR="00432EA5" w:rsidRPr="00432EA5" w:rsidRDefault="00432EA5" w:rsidP="00432EA5">
            <w:pPr>
              <w:spacing w:after="0" w:line="240" w:lineRule="auto"/>
              <w:jc w:val="right"/>
              <w:rPr>
                <w:rFonts w:ascii="Arial" w:eastAsia="Times New Roman" w:hAnsi="Arial" w:cs="Arial"/>
                <w:color w:val="000000"/>
                <w:sz w:val="18"/>
                <w:szCs w:val="18"/>
                <w:lang w:eastAsia="sl-SI"/>
              </w:rPr>
            </w:pPr>
            <w:r w:rsidRPr="00432EA5">
              <w:rPr>
                <w:rFonts w:ascii="Arial" w:eastAsia="Times New Roman" w:hAnsi="Arial" w:cs="Arial"/>
                <w:color w:val="000000"/>
                <w:sz w:val="18"/>
                <w:szCs w:val="18"/>
                <w:lang w:eastAsia="sl-SI"/>
              </w:rPr>
              <w:t>3.228</w:t>
            </w:r>
          </w:p>
        </w:tc>
        <w:tc>
          <w:tcPr>
            <w:tcW w:w="1542" w:type="dxa"/>
            <w:tcBorders>
              <w:top w:val="nil"/>
              <w:left w:val="nil"/>
              <w:bottom w:val="single" w:sz="4" w:space="0" w:color="auto"/>
              <w:right w:val="single" w:sz="4" w:space="0" w:color="auto"/>
            </w:tcBorders>
            <w:shd w:val="clear" w:color="auto" w:fill="auto"/>
            <w:vAlign w:val="center"/>
          </w:tcPr>
          <w:p w14:paraId="18FF02CC" w14:textId="7686D3D9" w:rsidR="00432EA5" w:rsidRPr="00432EA5" w:rsidRDefault="00432EA5" w:rsidP="00432EA5">
            <w:pPr>
              <w:spacing w:after="0" w:line="240" w:lineRule="auto"/>
              <w:jc w:val="right"/>
              <w:rPr>
                <w:rFonts w:ascii="Arial" w:eastAsia="Times New Roman" w:hAnsi="Arial" w:cs="Arial"/>
                <w:color w:val="000000"/>
                <w:sz w:val="18"/>
                <w:szCs w:val="18"/>
                <w:lang w:eastAsia="sl-SI"/>
              </w:rPr>
            </w:pPr>
            <w:r w:rsidRPr="00432EA5">
              <w:rPr>
                <w:rFonts w:ascii="Arial" w:eastAsia="Times New Roman" w:hAnsi="Arial" w:cs="Arial"/>
                <w:color w:val="000000"/>
                <w:sz w:val="18"/>
                <w:szCs w:val="18"/>
                <w:lang w:eastAsia="sl-SI"/>
              </w:rPr>
              <w:t>967.776.478</w:t>
            </w:r>
          </w:p>
        </w:tc>
        <w:tc>
          <w:tcPr>
            <w:tcW w:w="1335" w:type="dxa"/>
            <w:tcBorders>
              <w:top w:val="nil"/>
              <w:left w:val="nil"/>
              <w:bottom w:val="single" w:sz="4" w:space="0" w:color="auto"/>
              <w:right w:val="single" w:sz="4" w:space="0" w:color="auto"/>
            </w:tcBorders>
            <w:shd w:val="clear" w:color="auto" w:fill="auto"/>
            <w:vAlign w:val="center"/>
            <w:hideMark/>
          </w:tcPr>
          <w:p w14:paraId="0A1B18FD" w14:textId="35062CCD" w:rsidR="00432EA5" w:rsidRPr="00432EA5" w:rsidRDefault="00432EA5" w:rsidP="00432EA5">
            <w:pPr>
              <w:spacing w:after="0" w:line="240" w:lineRule="auto"/>
              <w:jc w:val="right"/>
              <w:rPr>
                <w:rFonts w:ascii="Arial" w:eastAsia="Times New Roman" w:hAnsi="Arial" w:cs="Arial"/>
                <w:color w:val="000000"/>
                <w:sz w:val="18"/>
                <w:szCs w:val="18"/>
                <w:lang w:eastAsia="sl-SI"/>
              </w:rPr>
            </w:pPr>
            <w:r w:rsidRPr="00432EA5">
              <w:rPr>
                <w:rFonts w:ascii="Arial" w:eastAsia="Times New Roman" w:hAnsi="Arial" w:cs="Arial"/>
                <w:color w:val="000000"/>
                <w:sz w:val="18"/>
                <w:szCs w:val="18"/>
                <w:lang w:eastAsia="sl-SI"/>
              </w:rPr>
              <w:t>62,53 %</w:t>
            </w:r>
          </w:p>
        </w:tc>
        <w:tc>
          <w:tcPr>
            <w:tcW w:w="1550" w:type="dxa"/>
            <w:tcBorders>
              <w:top w:val="nil"/>
              <w:left w:val="nil"/>
              <w:bottom w:val="single" w:sz="4" w:space="0" w:color="auto"/>
              <w:right w:val="single" w:sz="4" w:space="0" w:color="auto"/>
            </w:tcBorders>
            <w:shd w:val="clear" w:color="auto" w:fill="auto"/>
            <w:vAlign w:val="center"/>
            <w:hideMark/>
          </w:tcPr>
          <w:p w14:paraId="4C9A6352" w14:textId="035E6628" w:rsidR="00432EA5" w:rsidRPr="00432EA5" w:rsidRDefault="00432EA5" w:rsidP="00432EA5">
            <w:pPr>
              <w:spacing w:after="0" w:line="240" w:lineRule="auto"/>
              <w:jc w:val="right"/>
              <w:rPr>
                <w:rFonts w:ascii="Arial" w:eastAsia="Times New Roman" w:hAnsi="Arial" w:cs="Arial"/>
                <w:color w:val="000000"/>
                <w:sz w:val="18"/>
                <w:szCs w:val="18"/>
                <w:lang w:eastAsia="sl-SI"/>
              </w:rPr>
            </w:pPr>
            <w:r w:rsidRPr="00432EA5">
              <w:rPr>
                <w:rFonts w:ascii="Arial" w:eastAsia="Times New Roman" w:hAnsi="Arial" w:cs="Arial"/>
                <w:color w:val="000000"/>
                <w:sz w:val="18"/>
                <w:szCs w:val="18"/>
                <w:lang w:eastAsia="sl-SI"/>
              </w:rPr>
              <w:t>68,02 %</w:t>
            </w:r>
          </w:p>
        </w:tc>
      </w:tr>
      <w:tr w:rsidR="00432EA5" w:rsidRPr="00432EA5" w14:paraId="58D65F39" w14:textId="77777777" w:rsidTr="00432EA5">
        <w:trPr>
          <w:trHeight w:val="255"/>
          <w:jc w:val="center"/>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F119E45" w14:textId="77777777" w:rsidR="00432EA5" w:rsidRPr="00432EA5" w:rsidRDefault="00432EA5" w:rsidP="00432EA5">
            <w:pPr>
              <w:spacing w:after="0" w:line="240" w:lineRule="auto"/>
              <w:jc w:val="both"/>
              <w:rPr>
                <w:rFonts w:ascii="Arial" w:eastAsia="Times New Roman" w:hAnsi="Arial" w:cs="Arial"/>
                <w:color w:val="000000"/>
                <w:sz w:val="18"/>
                <w:szCs w:val="18"/>
                <w:lang w:eastAsia="sl-SI"/>
              </w:rPr>
            </w:pPr>
            <w:r w:rsidRPr="00432EA5">
              <w:rPr>
                <w:rFonts w:ascii="Arial" w:eastAsia="Times New Roman" w:hAnsi="Arial" w:cs="Arial"/>
                <w:color w:val="000000"/>
                <w:sz w:val="18"/>
                <w:szCs w:val="18"/>
                <w:lang w:eastAsia="sl-SI"/>
              </w:rPr>
              <w:t xml:space="preserve">Merila za oddajo javnega naročila </w:t>
            </w:r>
          </w:p>
        </w:tc>
        <w:tc>
          <w:tcPr>
            <w:tcW w:w="1092" w:type="dxa"/>
            <w:tcBorders>
              <w:top w:val="nil"/>
              <w:left w:val="nil"/>
              <w:bottom w:val="single" w:sz="4" w:space="0" w:color="auto"/>
              <w:right w:val="single" w:sz="4" w:space="0" w:color="auto"/>
            </w:tcBorders>
            <w:shd w:val="clear" w:color="auto" w:fill="auto"/>
            <w:vAlign w:val="center"/>
          </w:tcPr>
          <w:p w14:paraId="51F1843F" w14:textId="4A86755E" w:rsidR="00432EA5" w:rsidRPr="00432EA5" w:rsidRDefault="00432EA5" w:rsidP="00432EA5">
            <w:pPr>
              <w:spacing w:after="0" w:line="240" w:lineRule="auto"/>
              <w:jc w:val="right"/>
              <w:rPr>
                <w:rFonts w:ascii="Arial" w:eastAsia="Times New Roman" w:hAnsi="Arial" w:cs="Arial"/>
                <w:color w:val="000000"/>
                <w:sz w:val="18"/>
                <w:szCs w:val="18"/>
                <w:lang w:eastAsia="sl-SI"/>
              </w:rPr>
            </w:pPr>
            <w:r w:rsidRPr="00432EA5">
              <w:rPr>
                <w:rFonts w:ascii="Arial" w:eastAsia="Times New Roman" w:hAnsi="Arial" w:cs="Arial"/>
                <w:color w:val="000000"/>
                <w:sz w:val="18"/>
                <w:szCs w:val="18"/>
                <w:lang w:eastAsia="sl-SI"/>
              </w:rPr>
              <w:t>2.203</w:t>
            </w:r>
          </w:p>
        </w:tc>
        <w:tc>
          <w:tcPr>
            <w:tcW w:w="1542" w:type="dxa"/>
            <w:tcBorders>
              <w:top w:val="nil"/>
              <w:left w:val="nil"/>
              <w:bottom w:val="single" w:sz="4" w:space="0" w:color="auto"/>
              <w:right w:val="single" w:sz="4" w:space="0" w:color="auto"/>
            </w:tcBorders>
            <w:shd w:val="clear" w:color="auto" w:fill="auto"/>
            <w:vAlign w:val="center"/>
          </w:tcPr>
          <w:p w14:paraId="396B5428" w14:textId="0BB484B5" w:rsidR="00432EA5" w:rsidRPr="00432EA5" w:rsidRDefault="00432EA5" w:rsidP="00432EA5">
            <w:pPr>
              <w:spacing w:after="0" w:line="240" w:lineRule="auto"/>
              <w:jc w:val="right"/>
              <w:rPr>
                <w:rFonts w:ascii="Arial" w:eastAsia="Times New Roman" w:hAnsi="Arial" w:cs="Arial"/>
                <w:color w:val="000000"/>
                <w:sz w:val="18"/>
                <w:szCs w:val="18"/>
                <w:lang w:eastAsia="sl-SI"/>
              </w:rPr>
            </w:pPr>
            <w:r w:rsidRPr="00432EA5">
              <w:rPr>
                <w:rFonts w:ascii="Arial" w:eastAsia="Times New Roman" w:hAnsi="Arial" w:cs="Arial"/>
                <w:color w:val="000000"/>
                <w:sz w:val="18"/>
                <w:szCs w:val="18"/>
                <w:lang w:eastAsia="sl-SI"/>
              </w:rPr>
              <w:t>140.659.218</w:t>
            </w:r>
          </w:p>
        </w:tc>
        <w:tc>
          <w:tcPr>
            <w:tcW w:w="1335" w:type="dxa"/>
            <w:tcBorders>
              <w:top w:val="nil"/>
              <w:left w:val="nil"/>
              <w:bottom w:val="single" w:sz="4" w:space="0" w:color="auto"/>
              <w:right w:val="single" w:sz="4" w:space="0" w:color="auto"/>
            </w:tcBorders>
            <w:shd w:val="clear" w:color="auto" w:fill="auto"/>
            <w:vAlign w:val="center"/>
            <w:hideMark/>
          </w:tcPr>
          <w:p w14:paraId="65885241" w14:textId="48F18DA3" w:rsidR="00432EA5" w:rsidRPr="00432EA5" w:rsidRDefault="00432EA5" w:rsidP="00432EA5">
            <w:pPr>
              <w:spacing w:after="0" w:line="240" w:lineRule="auto"/>
              <w:jc w:val="right"/>
              <w:rPr>
                <w:rFonts w:ascii="Arial" w:eastAsia="Times New Roman" w:hAnsi="Arial" w:cs="Arial"/>
                <w:color w:val="000000"/>
                <w:sz w:val="18"/>
                <w:szCs w:val="18"/>
                <w:lang w:eastAsia="sl-SI"/>
              </w:rPr>
            </w:pPr>
            <w:r w:rsidRPr="00432EA5">
              <w:rPr>
                <w:rFonts w:ascii="Arial" w:eastAsia="Times New Roman" w:hAnsi="Arial" w:cs="Arial"/>
                <w:color w:val="000000"/>
                <w:sz w:val="18"/>
                <w:szCs w:val="18"/>
                <w:lang w:eastAsia="sl-SI"/>
              </w:rPr>
              <w:t>42,68 %</w:t>
            </w:r>
          </w:p>
        </w:tc>
        <w:tc>
          <w:tcPr>
            <w:tcW w:w="1550" w:type="dxa"/>
            <w:tcBorders>
              <w:top w:val="nil"/>
              <w:left w:val="nil"/>
              <w:bottom w:val="single" w:sz="4" w:space="0" w:color="auto"/>
              <w:right w:val="single" w:sz="4" w:space="0" w:color="auto"/>
            </w:tcBorders>
            <w:shd w:val="clear" w:color="auto" w:fill="auto"/>
            <w:vAlign w:val="center"/>
            <w:hideMark/>
          </w:tcPr>
          <w:p w14:paraId="39C86BA5" w14:textId="5781B67D" w:rsidR="00432EA5" w:rsidRPr="00432EA5" w:rsidRDefault="00432EA5" w:rsidP="00432EA5">
            <w:pPr>
              <w:spacing w:after="0" w:line="240" w:lineRule="auto"/>
              <w:jc w:val="right"/>
              <w:rPr>
                <w:rFonts w:ascii="Arial" w:eastAsia="Times New Roman" w:hAnsi="Arial" w:cs="Arial"/>
                <w:color w:val="000000"/>
                <w:sz w:val="18"/>
                <w:szCs w:val="18"/>
                <w:lang w:eastAsia="sl-SI"/>
              </w:rPr>
            </w:pPr>
            <w:r w:rsidRPr="00432EA5">
              <w:rPr>
                <w:rFonts w:ascii="Arial" w:eastAsia="Times New Roman" w:hAnsi="Arial" w:cs="Arial"/>
                <w:color w:val="000000"/>
                <w:sz w:val="18"/>
                <w:szCs w:val="18"/>
                <w:lang w:eastAsia="sl-SI"/>
              </w:rPr>
              <w:t>9,89 %</w:t>
            </w:r>
          </w:p>
        </w:tc>
      </w:tr>
      <w:tr w:rsidR="00432EA5" w:rsidRPr="00432EA5" w14:paraId="1BC6D577" w14:textId="77777777" w:rsidTr="00432EA5">
        <w:trPr>
          <w:trHeight w:val="255"/>
          <w:jc w:val="center"/>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30FF615" w14:textId="77777777" w:rsidR="00432EA5" w:rsidRPr="00432EA5" w:rsidRDefault="00432EA5" w:rsidP="00432EA5">
            <w:pPr>
              <w:spacing w:after="0" w:line="240" w:lineRule="auto"/>
              <w:jc w:val="both"/>
              <w:rPr>
                <w:rFonts w:ascii="Arial" w:eastAsia="Times New Roman" w:hAnsi="Arial" w:cs="Arial"/>
                <w:color w:val="000000"/>
                <w:sz w:val="18"/>
                <w:szCs w:val="18"/>
                <w:lang w:eastAsia="sl-SI"/>
              </w:rPr>
            </w:pPr>
            <w:r w:rsidRPr="00432EA5">
              <w:rPr>
                <w:rFonts w:ascii="Arial" w:eastAsia="Times New Roman" w:hAnsi="Arial" w:cs="Arial"/>
                <w:color w:val="000000"/>
                <w:sz w:val="18"/>
                <w:szCs w:val="18"/>
                <w:lang w:eastAsia="sl-SI"/>
              </w:rPr>
              <w:t>Pogoji za sodelovanje</w:t>
            </w:r>
          </w:p>
        </w:tc>
        <w:tc>
          <w:tcPr>
            <w:tcW w:w="1092" w:type="dxa"/>
            <w:tcBorders>
              <w:top w:val="nil"/>
              <w:left w:val="nil"/>
              <w:bottom w:val="single" w:sz="4" w:space="0" w:color="auto"/>
              <w:right w:val="single" w:sz="4" w:space="0" w:color="auto"/>
            </w:tcBorders>
            <w:shd w:val="clear" w:color="auto" w:fill="auto"/>
            <w:vAlign w:val="center"/>
          </w:tcPr>
          <w:p w14:paraId="06605E72" w14:textId="2B2501CC" w:rsidR="00432EA5" w:rsidRPr="00432EA5" w:rsidRDefault="00432EA5" w:rsidP="00432EA5">
            <w:pPr>
              <w:spacing w:after="0" w:line="240" w:lineRule="auto"/>
              <w:jc w:val="right"/>
              <w:rPr>
                <w:rFonts w:ascii="Arial" w:eastAsia="Times New Roman" w:hAnsi="Arial" w:cs="Arial"/>
                <w:color w:val="000000"/>
                <w:sz w:val="18"/>
                <w:szCs w:val="18"/>
                <w:lang w:eastAsia="sl-SI"/>
              </w:rPr>
            </w:pPr>
            <w:r w:rsidRPr="00432EA5">
              <w:rPr>
                <w:rFonts w:ascii="Arial" w:eastAsia="Times New Roman" w:hAnsi="Arial" w:cs="Arial"/>
                <w:color w:val="000000"/>
                <w:sz w:val="18"/>
                <w:szCs w:val="18"/>
                <w:lang w:eastAsia="sl-SI"/>
              </w:rPr>
              <w:t>1.764</w:t>
            </w:r>
          </w:p>
        </w:tc>
        <w:tc>
          <w:tcPr>
            <w:tcW w:w="1542" w:type="dxa"/>
            <w:tcBorders>
              <w:top w:val="nil"/>
              <w:left w:val="nil"/>
              <w:bottom w:val="single" w:sz="4" w:space="0" w:color="auto"/>
              <w:right w:val="single" w:sz="4" w:space="0" w:color="auto"/>
            </w:tcBorders>
            <w:shd w:val="clear" w:color="auto" w:fill="auto"/>
            <w:vAlign w:val="center"/>
          </w:tcPr>
          <w:p w14:paraId="3A13F496" w14:textId="1E1414C9" w:rsidR="00432EA5" w:rsidRPr="00432EA5" w:rsidRDefault="00AA2042" w:rsidP="00432EA5">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w:t>
            </w:r>
            <w:r w:rsidR="00432EA5" w:rsidRPr="00432EA5">
              <w:rPr>
                <w:rFonts w:ascii="Arial" w:eastAsia="Times New Roman" w:hAnsi="Arial" w:cs="Arial"/>
                <w:color w:val="000000"/>
                <w:sz w:val="18"/>
                <w:szCs w:val="18"/>
                <w:lang w:eastAsia="sl-SI"/>
              </w:rPr>
              <w:t>63.344.797</w:t>
            </w:r>
          </w:p>
        </w:tc>
        <w:tc>
          <w:tcPr>
            <w:tcW w:w="1335" w:type="dxa"/>
            <w:tcBorders>
              <w:top w:val="nil"/>
              <w:left w:val="nil"/>
              <w:bottom w:val="single" w:sz="4" w:space="0" w:color="auto"/>
              <w:right w:val="single" w:sz="4" w:space="0" w:color="auto"/>
            </w:tcBorders>
            <w:shd w:val="clear" w:color="auto" w:fill="auto"/>
            <w:vAlign w:val="center"/>
            <w:hideMark/>
          </w:tcPr>
          <w:p w14:paraId="2A9AE8AC" w14:textId="75D39166" w:rsidR="00432EA5" w:rsidRPr="00432EA5" w:rsidRDefault="00432EA5" w:rsidP="00432EA5">
            <w:pPr>
              <w:spacing w:after="0" w:line="240" w:lineRule="auto"/>
              <w:jc w:val="right"/>
              <w:rPr>
                <w:rFonts w:ascii="Arial" w:eastAsia="Times New Roman" w:hAnsi="Arial" w:cs="Arial"/>
                <w:color w:val="000000"/>
                <w:sz w:val="18"/>
                <w:szCs w:val="18"/>
                <w:lang w:eastAsia="sl-SI"/>
              </w:rPr>
            </w:pPr>
            <w:r w:rsidRPr="00432EA5">
              <w:rPr>
                <w:rFonts w:ascii="Arial" w:eastAsia="Times New Roman" w:hAnsi="Arial" w:cs="Arial"/>
                <w:color w:val="000000"/>
                <w:sz w:val="18"/>
                <w:szCs w:val="18"/>
                <w:lang w:eastAsia="sl-SI"/>
              </w:rPr>
              <w:t>34,17 %</w:t>
            </w:r>
          </w:p>
        </w:tc>
        <w:tc>
          <w:tcPr>
            <w:tcW w:w="1550" w:type="dxa"/>
            <w:tcBorders>
              <w:top w:val="nil"/>
              <w:left w:val="nil"/>
              <w:bottom w:val="single" w:sz="4" w:space="0" w:color="auto"/>
              <w:right w:val="single" w:sz="4" w:space="0" w:color="auto"/>
            </w:tcBorders>
            <w:shd w:val="clear" w:color="auto" w:fill="auto"/>
            <w:vAlign w:val="center"/>
            <w:hideMark/>
          </w:tcPr>
          <w:p w14:paraId="13DCE195" w14:textId="62B95A2D" w:rsidR="00432EA5" w:rsidRPr="00432EA5" w:rsidRDefault="00AA2042" w:rsidP="00432EA5">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32,57</w:t>
            </w:r>
            <w:r w:rsidR="00432EA5" w:rsidRPr="00432EA5">
              <w:rPr>
                <w:rFonts w:ascii="Arial" w:eastAsia="Times New Roman" w:hAnsi="Arial" w:cs="Arial"/>
                <w:color w:val="000000"/>
                <w:sz w:val="18"/>
                <w:szCs w:val="18"/>
                <w:lang w:eastAsia="sl-SI"/>
              </w:rPr>
              <w:t xml:space="preserve"> %</w:t>
            </w:r>
          </w:p>
        </w:tc>
      </w:tr>
      <w:tr w:rsidR="00432EA5" w:rsidRPr="00432EA5" w14:paraId="37BE0E23" w14:textId="77777777" w:rsidTr="00432EA5">
        <w:trPr>
          <w:trHeight w:val="255"/>
          <w:jc w:val="center"/>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5F802E2" w14:textId="77777777" w:rsidR="00432EA5" w:rsidRPr="00432EA5" w:rsidRDefault="00432EA5" w:rsidP="00432EA5">
            <w:pPr>
              <w:spacing w:after="0" w:line="240" w:lineRule="auto"/>
              <w:rPr>
                <w:rFonts w:ascii="Arial" w:eastAsia="Times New Roman" w:hAnsi="Arial" w:cs="Arial"/>
                <w:color w:val="000000"/>
                <w:sz w:val="18"/>
                <w:szCs w:val="18"/>
                <w:lang w:eastAsia="sl-SI"/>
              </w:rPr>
            </w:pPr>
            <w:r w:rsidRPr="00432EA5">
              <w:rPr>
                <w:rFonts w:ascii="Arial" w:eastAsia="Times New Roman" w:hAnsi="Arial" w:cs="Arial"/>
                <w:color w:val="000000"/>
                <w:sz w:val="18"/>
                <w:szCs w:val="18"/>
                <w:lang w:eastAsia="sl-SI"/>
              </w:rPr>
              <w:t>Pogodbena določila iz obligacijskega razmerja</w:t>
            </w:r>
          </w:p>
        </w:tc>
        <w:tc>
          <w:tcPr>
            <w:tcW w:w="1092" w:type="dxa"/>
            <w:tcBorders>
              <w:top w:val="nil"/>
              <w:left w:val="nil"/>
              <w:bottom w:val="single" w:sz="4" w:space="0" w:color="auto"/>
              <w:right w:val="single" w:sz="4" w:space="0" w:color="auto"/>
            </w:tcBorders>
            <w:shd w:val="clear" w:color="auto" w:fill="auto"/>
            <w:vAlign w:val="center"/>
          </w:tcPr>
          <w:p w14:paraId="06936AFA" w14:textId="7D2069C2" w:rsidR="00432EA5" w:rsidRPr="00432EA5" w:rsidRDefault="00432EA5" w:rsidP="00432EA5">
            <w:pPr>
              <w:spacing w:after="0" w:line="240" w:lineRule="auto"/>
              <w:jc w:val="right"/>
              <w:rPr>
                <w:rFonts w:ascii="Arial" w:eastAsia="Times New Roman" w:hAnsi="Arial" w:cs="Arial"/>
                <w:color w:val="000000"/>
                <w:sz w:val="18"/>
                <w:szCs w:val="18"/>
                <w:lang w:eastAsia="sl-SI"/>
              </w:rPr>
            </w:pPr>
            <w:r w:rsidRPr="00432EA5">
              <w:rPr>
                <w:rFonts w:ascii="Arial" w:eastAsia="Times New Roman" w:hAnsi="Arial" w:cs="Arial"/>
                <w:color w:val="000000"/>
                <w:sz w:val="18"/>
                <w:szCs w:val="18"/>
                <w:lang w:eastAsia="sl-SI"/>
              </w:rPr>
              <w:t>1.776</w:t>
            </w:r>
          </w:p>
        </w:tc>
        <w:tc>
          <w:tcPr>
            <w:tcW w:w="1542" w:type="dxa"/>
            <w:tcBorders>
              <w:top w:val="nil"/>
              <w:left w:val="nil"/>
              <w:bottom w:val="single" w:sz="4" w:space="0" w:color="auto"/>
              <w:right w:val="single" w:sz="4" w:space="0" w:color="auto"/>
            </w:tcBorders>
            <w:shd w:val="clear" w:color="auto" w:fill="auto"/>
            <w:vAlign w:val="center"/>
          </w:tcPr>
          <w:p w14:paraId="607BA840" w14:textId="6B6A95E3" w:rsidR="00432EA5" w:rsidRPr="00432EA5" w:rsidRDefault="00432EA5" w:rsidP="00432EA5">
            <w:pPr>
              <w:spacing w:after="0" w:line="240" w:lineRule="auto"/>
              <w:jc w:val="right"/>
              <w:rPr>
                <w:rFonts w:ascii="Arial" w:eastAsia="Times New Roman" w:hAnsi="Arial" w:cs="Arial"/>
                <w:color w:val="000000"/>
                <w:sz w:val="18"/>
                <w:szCs w:val="18"/>
                <w:lang w:eastAsia="sl-SI"/>
              </w:rPr>
            </w:pPr>
            <w:r w:rsidRPr="00432EA5">
              <w:rPr>
                <w:rFonts w:ascii="Arial" w:eastAsia="Times New Roman" w:hAnsi="Arial" w:cs="Arial"/>
                <w:color w:val="000000"/>
                <w:sz w:val="18"/>
                <w:szCs w:val="18"/>
                <w:lang w:eastAsia="sl-SI"/>
              </w:rPr>
              <w:t>258.936.132</w:t>
            </w:r>
          </w:p>
        </w:tc>
        <w:tc>
          <w:tcPr>
            <w:tcW w:w="1335" w:type="dxa"/>
            <w:tcBorders>
              <w:top w:val="nil"/>
              <w:left w:val="nil"/>
              <w:bottom w:val="single" w:sz="4" w:space="0" w:color="auto"/>
              <w:right w:val="single" w:sz="4" w:space="0" w:color="auto"/>
            </w:tcBorders>
            <w:shd w:val="clear" w:color="auto" w:fill="auto"/>
            <w:vAlign w:val="center"/>
            <w:hideMark/>
          </w:tcPr>
          <w:p w14:paraId="02F27845" w14:textId="507DDCDB" w:rsidR="00432EA5" w:rsidRPr="00432EA5" w:rsidRDefault="00432EA5" w:rsidP="00432EA5">
            <w:pPr>
              <w:spacing w:after="0" w:line="240" w:lineRule="auto"/>
              <w:jc w:val="right"/>
              <w:rPr>
                <w:rFonts w:ascii="Arial" w:eastAsia="Times New Roman" w:hAnsi="Arial" w:cs="Arial"/>
                <w:color w:val="000000"/>
                <w:sz w:val="18"/>
                <w:szCs w:val="18"/>
                <w:lang w:eastAsia="sl-SI"/>
              </w:rPr>
            </w:pPr>
            <w:r w:rsidRPr="00432EA5">
              <w:rPr>
                <w:rFonts w:ascii="Arial" w:eastAsia="Times New Roman" w:hAnsi="Arial" w:cs="Arial"/>
                <w:color w:val="000000"/>
                <w:sz w:val="18"/>
                <w:szCs w:val="18"/>
                <w:lang w:eastAsia="sl-SI"/>
              </w:rPr>
              <w:t>34,41 %</w:t>
            </w:r>
          </w:p>
        </w:tc>
        <w:tc>
          <w:tcPr>
            <w:tcW w:w="1550" w:type="dxa"/>
            <w:tcBorders>
              <w:top w:val="nil"/>
              <w:left w:val="nil"/>
              <w:bottom w:val="single" w:sz="4" w:space="0" w:color="auto"/>
              <w:right w:val="single" w:sz="4" w:space="0" w:color="auto"/>
            </w:tcBorders>
            <w:shd w:val="clear" w:color="auto" w:fill="auto"/>
            <w:vAlign w:val="center"/>
            <w:hideMark/>
          </w:tcPr>
          <w:p w14:paraId="2AFC9A74" w14:textId="6C054054" w:rsidR="00432EA5" w:rsidRPr="00432EA5" w:rsidRDefault="00432EA5" w:rsidP="00432EA5">
            <w:pPr>
              <w:spacing w:after="0" w:line="240" w:lineRule="auto"/>
              <w:jc w:val="right"/>
              <w:rPr>
                <w:rFonts w:ascii="Arial" w:eastAsia="Times New Roman" w:hAnsi="Arial" w:cs="Arial"/>
                <w:color w:val="000000"/>
                <w:sz w:val="18"/>
                <w:szCs w:val="18"/>
                <w:lang w:eastAsia="sl-SI"/>
              </w:rPr>
            </w:pPr>
            <w:r w:rsidRPr="00432EA5">
              <w:rPr>
                <w:rFonts w:ascii="Arial" w:eastAsia="Times New Roman" w:hAnsi="Arial" w:cs="Arial"/>
                <w:color w:val="000000"/>
                <w:sz w:val="18"/>
                <w:szCs w:val="18"/>
                <w:lang w:eastAsia="sl-SI"/>
              </w:rPr>
              <w:t>18,20 %</w:t>
            </w:r>
          </w:p>
        </w:tc>
      </w:tr>
      <w:tr w:rsidR="00432EA5" w:rsidRPr="00432EA5" w14:paraId="075A9044" w14:textId="77777777" w:rsidTr="00432EA5">
        <w:trPr>
          <w:trHeight w:val="255"/>
          <w:jc w:val="center"/>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13135D3" w14:textId="77777777" w:rsidR="00432EA5" w:rsidRPr="00432EA5" w:rsidRDefault="00432EA5" w:rsidP="00432EA5">
            <w:pPr>
              <w:spacing w:after="0" w:line="240" w:lineRule="auto"/>
              <w:rPr>
                <w:rFonts w:ascii="Arial" w:eastAsia="Times New Roman" w:hAnsi="Arial" w:cs="Arial"/>
                <w:color w:val="000000"/>
                <w:sz w:val="18"/>
                <w:szCs w:val="18"/>
                <w:lang w:eastAsia="sl-SI"/>
              </w:rPr>
            </w:pPr>
            <w:r w:rsidRPr="00432EA5">
              <w:rPr>
                <w:rFonts w:ascii="Arial" w:eastAsia="Times New Roman" w:hAnsi="Arial" w:cs="Arial"/>
                <w:color w:val="000000"/>
                <w:sz w:val="18"/>
                <w:szCs w:val="18"/>
                <w:lang w:eastAsia="sl-SI"/>
              </w:rPr>
              <w:t>Razlogi za izključitev</w:t>
            </w:r>
          </w:p>
        </w:tc>
        <w:tc>
          <w:tcPr>
            <w:tcW w:w="1092" w:type="dxa"/>
            <w:tcBorders>
              <w:top w:val="nil"/>
              <w:left w:val="nil"/>
              <w:bottom w:val="single" w:sz="4" w:space="0" w:color="auto"/>
              <w:right w:val="single" w:sz="4" w:space="0" w:color="auto"/>
            </w:tcBorders>
            <w:shd w:val="clear" w:color="auto" w:fill="auto"/>
            <w:vAlign w:val="center"/>
          </w:tcPr>
          <w:p w14:paraId="27EAA2B7" w14:textId="403A6E7D" w:rsidR="00432EA5" w:rsidRPr="00432EA5" w:rsidRDefault="00432EA5" w:rsidP="00432EA5">
            <w:pPr>
              <w:spacing w:after="0" w:line="240" w:lineRule="auto"/>
              <w:jc w:val="right"/>
              <w:rPr>
                <w:rFonts w:ascii="Arial" w:eastAsia="Times New Roman" w:hAnsi="Arial" w:cs="Arial"/>
                <w:color w:val="000000"/>
                <w:sz w:val="18"/>
                <w:szCs w:val="18"/>
                <w:lang w:eastAsia="sl-SI"/>
              </w:rPr>
            </w:pPr>
            <w:r w:rsidRPr="00432EA5">
              <w:rPr>
                <w:rFonts w:ascii="Arial" w:eastAsia="Times New Roman" w:hAnsi="Arial" w:cs="Arial"/>
                <w:color w:val="000000"/>
                <w:sz w:val="18"/>
                <w:szCs w:val="18"/>
                <w:lang w:eastAsia="sl-SI"/>
              </w:rPr>
              <w:t>927</w:t>
            </w:r>
          </w:p>
        </w:tc>
        <w:tc>
          <w:tcPr>
            <w:tcW w:w="1542" w:type="dxa"/>
            <w:tcBorders>
              <w:top w:val="nil"/>
              <w:left w:val="nil"/>
              <w:bottom w:val="single" w:sz="4" w:space="0" w:color="auto"/>
              <w:right w:val="single" w:sz="4" w:space="0" w:color="auto"/>
            </w:tcBorders>
            <w:shd w:val="clear" w:color="auto" w:fill="auto"/>
            <w:vAlign w:val="center"/>
          </w:tcPr>
          <w:p w14:paraId="6F710FC2" w14:textId="197E860A" w:rsidR="00432EA5" w:rsidRPr="00432EA5" w:rsidRDefault="00432EA5" w:rsidP="00432EA5">
            <w:pPr>
              <w:spacing w:after="0" w:line="240" w:lineRule="auto"/>
              <w:jc w:val="right"/>
              <w:rPr>
                <w:rFonts w:ascii="Arial" w:eastAsia="Times New Roman" w:hAnsi="Arial" w:cs="Arial"/>
                <w:color w:val="000000"/>
                <w:sz w:val="18"/>
                <w:szCs w:val="18"/>
                <w:lang w:eastAsia="sl-SI"/>
              </w:rPr>
            </w:pPr>
            <w:r w:rsidRPr="00432EA5">
              <w:rPr>
                <w:rFonts w:ascii="Arial" w:eastAsia="Times New Roman" w:hAnsi="Arial" w:cs="Arial"/>
                <w:color w:val="000000"/>
                <w:sz w:val="18"/>
                <w:szCs w:val="18"/>
                <w:lang w:eastAsia="sl-SI"/>
              </w:rPr>
              <w:t>43.138.393</w:t>
            </w:r>
          </w:p>
        </w:tc>
        <w:tc>
          <w:tcPr>
            <w:tcW w:w="1335" w:type="dxa"/>
            <w:tcBorders>
              <w:top w:val="nil"/>
              <w:left w:val="nil"/>
              <w:bottom w:val="single" w:sz="4" w:space="0" w:color="auto"/>
              <w:right w:val="single" w:sz="4" w:space="0" w:color="auto"/>
            </w:tcBorders>
            <w:shd w:val="clear" w:color="auto" w:fill="auto"/>
            <w:vAlign w:val="center"/>
            <w:hideMark/>
          </w:tcPr>
          <w:p w14:paraId="5F76780A" w14:textId="078E9F7E" w:rsidR="00432EA5" w:rsidRPr="00432EA5" w:rsidRDefault="00432EA5" w:rsidP="00432EA5">
            <w:pPr>
              <w:spacing w:after="0" w:line="240" w:lineRule="auto"/>
              <w:jc w:val="right"/>
              <w:rPr>
                <w:rFonts w:ascii="Arial" w:eastAsia="Times New Roman" w:hAnsi="Arial" w:cs="Arial"/>
                <w:color w:val="000000"/>
                <w:sz w:val="18"/>
                <w:szCs w:val="18"/>
                <w:lang w:eastAsia="sl-SI"/>
              </w:rPr>
            </w:pPr>
            <w:r w:rsidRPr="00432EA5">
              <w:rPr>
                <w:rFonts w:ascii="Arial" w:eastAsia="Times New Roman" w:hAnsi="Arial" w:cs="Arial"/>
                <w:color w:val="000000"/>
                <w:sz w:val="18"/>
                <w:szCs w:val="18"/>
                <w:lang w:eastAsia="sl-SI"/>
              </w:rPr>
              <w:t>17,96 %</w:t>
            </w:r>
          </w:p>
        </w:tc>
        <w:tc>
          <w:tcPr>
            <w:tcW w:w="1550" w:type="dxa"/>
            <w:tcBorders>
              <w:top w:val="nil"/>
              <w:left w:val="nil"/>
              <w:bottom w:val="single" w:sz="4" w:space="0" w:color="auto"/>
              <w:right w:val="single" w:sz="4" w:space="0" w:color="auto"/>
            </w:tcBorders>
            <w:shd w:val="clear" w:color="auto" w:fill="auto"/>
            <w:vAlign w:val="center"/>
            <w:hideMark/>
          </w:tcPr>
          <w:p w14:paraId="5EE80D7E" w14:textId="2081C1E4" w:rsidR="00432EA5" w:rsidRPr="00432EA5" w:rsidRDefault="00432EA5" w:rsidP="00432EA5">
            <w:pPr>
              <w:spacing w:after="0" w:line="240" w:lineRule="auto"/>
              <w:jc w:val="right"/>
              <w:rPr>
                <w:rFonts w:ascii="Arial" w:eastAsia="Times New Roman" w:hAnsi="Arial" w:cs="Arial"/>
                <w:color w:val="000000"/>
                <w:sz w:val="18"/>
                <w:szCs w:val="18"/>
                <w:lang w:eastAsia="sl-SI"/>
              </w:rPr>
            </w:pPr>
            <w:r w:rsidRPr="00432EA5">
              <w:rPr>
                <w:rFonts w:ascii="Arial" w:eastAsia="Times New Roman" w:hAnsi="Arial" w:cs="Arial"/>
                <w:color w:val="000000"/>
                <w:sz w:val="18"/>
                <w:szCs w:val="18"/>
                <w:lang w:eastAsia="sl-SI"/>
              </w:rPr>
              <w:t>3,03 %</w:t>
            </w:r>
          </w:p>
        </w:tc>
      </w:tr>
      <w:tr w:rsidR="00432EA5" w:rsidRPr="00432EA5" w14:paraId="7CE1F492" w14:textId="77777777" w:rsidTr="00432EA5">
        <w:trPr>
          <w:trHeight w:val="255"/>
          <w:jc w:val="center"/>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85D2CFD" w14:textId="77777777" w:rsidR="00432EA5" w:rsidRPr="00432EA5" w:rsidRDefault="00432EA5" w:rsidP="00432EA5">
            <w:pPr>
              <w:spacing w:after="0" w:line="240" w:lineRule="auto"/>
              <w:jc w:val="both"/>
              <w:rPr>
                <w:rFonts w:ascii="Arial" w:eastAsia="Times New Roman" w:hAnsi="Arial" w:cs="Arial"/>
                <w:color w:val="000000"/>
                <w:sz w:val="18"/>
                <w:szCs w:val="18"/>
                <w:lang w:eastAsia="sl-SI"/>
              </w:rPr>
            </w:pPr>
            <w:r w:rsidRPr="00432EA5">
              <w:rPr>
                <w:rFonts w:ascii="Arial" w:eastAsia="Times New Roman" w:hAnsi="Arial" w:cs="Arial"/>
                <w:color w:val="000000"/>
                <w:sz w:val="18"/>
                <w:szCs w:val="18"/>
                <w:lang w:eastAsia="sl-SI"/>
              </w:rPr>
              <w:t>Drugo</w:t>
            </w:r>
          </w:p>
        </w:tc>
        <w:tc>
          <w:tcPr>
            <w:tcW w:w="1092" w:type="dxa"/>
            <w:tcBorders>
              <w:top w:val="nil"/>
              <w:left w:val="nil"/>
              <w:bottom w:val="single" w:sz="4" w:space="0" w:color="auto"/>
              <w:right w:val="single" w:sz="4" w:space="0" w:color="auto"/>
            </w:tcBorders>
            <w:shd w:val="clear" w:color="auto" w:fill="auto"/>
            <w:vAlign w:val="center"/>
          </w:tcPr>
          <w:p w14:paraId="6993A6CC" w14:textId="0F993383" w:rsidR="00432EA5" w:rsidRPr="00432EA5" w:rsidRDefault="00432EA5" w:rsidP="00432EA5">
            <w:pPr>
              <w:spacing w:after="0" w:line="240" w:lineRule="auto"/>
              <w:jc w:val="right"/>
              <w:rPr>
                <w:rFonts w:ascii="Arial" w:eastAsia="Times New Roman" w:hAnsi="Arial" w:cs="Arial"/>
                <w:color w:val="000000"/>
                <w:sz w:val="18"/>
                <w:szCs w:val="18"/>
                <w:lang w:eastAsia="sl-SI"/>
              </w:rPr>
            </w:pPr>
            <w:r w:rsidRPr="00432EA5">
              <w:rPr>
                <w:rFonts w:ascii="Arial" w:eastAsia="Times New Roman" w:hAnsi="Arial" w:cs="Arial"/>
                <w:color w:val="000000"/>
                <w:sz w:val="18"/>
                <w:szCs w:val="18"/>
                <w:lang w:eastAsia="sl-SI"/>
              </w:rPr>
              <w:t>44</w:t>
            </w:r>
          </w:p>
        </w:tc>
        <w:tc>
          <w:tcPr>
            <w:tcW w:w="1542" w:type="dxa"/>
            <w:tcBorders>
              <w:top w:val="nil"/>
              <w:left w:val="nil"/>
              <w:bottom w:val="single" w:sz="4" w:space="0" w:color="auto"/>
              <w:right w:val="single" w:sz="4" w:space="0" w:color="auto"/>
            </w:tcBorders>
            <w:shd w:val="clear" w:color="auto" w:fill="auto"/>
            <w:vAlign w:val="center"/>
          </w:tcPr>
          <w:p w14:paraId="6072C57C" w14:textId="341CC21C" w:rsidR="00432EA5" w:rsidRPr="00432EA5" w:rsidRDefault="00432EA5" w:rsidP="00432EA5">
            <w:pPr>
              <w:spacing w:after="0" w:line="240" w:lineRule="auto"/>
              <w:jc w:val="right"/>
              <w:rPr>
                <w:rFonts w:ascii="Arial" w:eastAsia="Times New Roman" w:hAnsi="Arial" w:cs="Arial"/>
                <w:color w:val="000000"/>
                <w:sz w:val="18"/>
                <w:szCs w:val="18"/>
                <w:lang w:eastAsia="sl-SI"/>
              </w:rPr>
            </w:pPr>
            <w:r w:rsidRPr="00432EA5">
              <w:rPr>
                <w:rFonts w:ascii="Arial" w:eastAsia="Times New Roman" w:hAnsi="Arial" w:cs="Arial"/>
                <w:color w:val="000000"/>
                <w:sz w:val="18"/>
                <w:szCs w:val="18"/>
                <w:lang w:eastAsia="sl-SI"/>
              </w:rPr>
              <w:t>21.943.337</w:t>
            </w:r>
          </w:p>
        </w:tc>
        <w:tc>
          <w:tcPr>
            <w:tcW w:w="1335" w:type="dxa"/>
            <w:tcBorders>
              <w:top w:val="nil"/>
              <w:left w:val="nil"/>
              <w:bottom w:val="single" w:sz="4" w:space="0" w:color="auto"/>
              <w:right w:val="single" w:sz="4" w:space="0" w:color="auto"/>
            </w:tcBorders>
            <w:shd w:val="clear" w:color="auto" w:fill="auto"/>
            <w:vAlign w:val="center"/>
            <w:hideMark/>
          </w:tcPr>
          <w:p w14:paraId="2E0F1D09" w14:textId="058967C3" w:rsidR="00432EA5" w:rsidRPr="00432EA5" w:rsidRDefault="00432EA5" w:rsidP="00432EA5">
            <w:pPr>
              <w:spacing w:after="0" w:line="240" w:lineRule="auto"/>
              <w:jc w:val="right"/>
              <w:rPr>
                <w:rFonts w:ascii="Arial" w:eastAsia="Times New Roman" w:hAnsi="Arial" w:cs="Arial"/>
                <w:color w:val="000000"/>
                <w:sz w:val="18"/>
                <w:szCs w:val="18"/>
                <w:lang w:eastAsia="sl-SI"/>
              </w:rPr>
            </w:pPr>
            <w:r w:rsidRPr="00432EA5">
              <w:rPr>
                <w:rFonts w:ascii="Arial" w:eastAsia="Times New Roman" w:hAnsi="Arial" w:cs="Arial"/>
                <w:color w:val="000000"/>
                <w:sz w:val="18"/>
                <w:szCs w:val="18"/>
                <w:lang w:eastAsia="sl-SI"/>
              </w:rPr>
              <w:t>0,85 %</w:t>
            </w:r>
          </w:p>
        </w:tc>
        <w:tc>
          <w:tcPr>
            <w:tcW w:w="1550" w:type="dxa"/>
            <w:tcBorders>
              <w:top w:val="nil"/>
              <w:left w:val="nil"/>
              <w:bottom w:val="single" w:sz="4" w:space="0" w:color="auto"/>
              <w:right w:val="single" w:sz="4" w:space="0" w:color="auto"/>
            </w:tcBorders>
            <w:shd w:val="clear" w:color="auto" w:fill="auto"/>
            <w:vAlign w:val="center"/>
            <w:hideMark/>
          </w:tcPr>
          <w:p w14:paraId="14D9A6D5" w14:textId="2CF8068B" w:rsidR="00432EA5" w:rsidRPr="00432EA5" w:rsidRDefault="00432EA5" w:rsidP="00432EA5">
            <w:pPr>
              <w:spacing w:after="0" w:line="240" w:lineRule="auto"/>
              <w:jc w:val="right"/>
              <w:rPr>
                <w:rFonts w:ascii="Arial" w:eastAsia="Times New Roman" w:hAnsi="Arial" w:cs="Arial"/>
                <w:color w:val="000000"/>
                <w:sz w:val="18"/>
                <w:szCs w:val="18"/>
                <w:lang w:eastAsia="sl-SI"/>
              </w:rPr>
            </w:pPr>
            <w:r w:rsidRPr="00432EA5">
              <w:rPr>
                <w:rFonts w:ascii="Arial" w:eastAsia="Times New Roman" w:hAnsi="Arial" w:cs="Arial"/>
                <w:color w:val="000000"/>
                <w:sz w:val="18"/>
                <w:szCs w:val="18"/>
                <w:lang w:eastAsia="sl-SI"/>
              </w:rPr>
              <w:t>1,54 %</w:t>
            </w:r>
          </w:p>
        </w:tc>
      </w:tr>
    </w:tbl>
    <w:p w14:paraId="600D8FE7" w14:textId="77777777" w:rsidR="00FD1E71" w:rsidRPr="00432EA5" w:rsidRDefault="00FD1E71" w:rsidP="00FD1E71">
      <w:pPr>
        <w:spacing w:after="0" w:line="240" w:lineRule="auto"/>
        <w:jc w:val="center"/>
        <w:rPr>
          <w:rFonts w:ascii="Arial" w:hAnsi="Arial" w:cs="Arial"/>
          <w:sz w:val="18"/>
        </w:rPr>
      </w:pPr>
    </w:p>
    <w:p w14:paraId="035678C6" w14:textId="46D2A247" w:rsidR="00FD1E71" w:rsidRPr="00432EA5" w:rsidRDefault="00FD1E71" w:rsidP="00FD1E71">
      <w:pPr>
        <w:spacing w:after="240" w:line="240" w:lineRule="auto"/>
        <w:jc w:val="center"/>
        <w:rPr>
          <w:rFonts w:ascii="Arial" w:hAnsi="Arial" w:cs="Arial"/>
          <w:sz w:val="18"/>
        </w:rPr>
      </w:pPr>
      <w:r w:rsidRPr="00432EA5">
        <w:rPr>
          <w:rFonts w:ascii="Arial" w:hAnsi="Arial" w:cs="Arial"/>
          <w:sz w:val="18"/>
        </w:rPr>
        <w:t>Vir: Statistični podatki o javnih naročilih, oddanih v letu 20</w:t>
      </w:r>
      <w:r w:rsidR="002D713E" w:rsidRPr="00432EA5">
        <w:rPr>
          <w:rFonts w:ascii="Arial" w:hAnsi="Arial" w:cs="Arial"/>
          <w:sz w:val="18"/>
        </w:rPr>
        <w:t>2</w:t>
      </w:r>
      <w:r w:rsidR="00796389" w:rsidRPr="00432EA5">
        <w:rPr>
          <w:rFonts w:ascii="Arial" w:hAnsi="Arial" w:cs="Arial"/>
          <w:sz w:val="18"/>
        </w:rPr>
        <w:t>2</w:t>
      </w:r>
      <w:r w:rsidR="005D5B62" w:rsidRPr="00432EA5">
        <w:rPr>
          <w:rFonts w:ascii="Arial" w:hAnsi="Arial" w:cs="Arial"/>
          <w:sz w:val="18"/>
        </w:rPr>
        <w:t>.</w:t>
      </w:r>
    </w:p>
    <w:p w14:paraId="5AFE8C23" w14:textId="23AC5307" w:rsidR="00AB5280" w:rsidRPr="001B397B" w:rsidRDefault="00AB5280" w:rsidP="00AB5280">
      <w:pPr>
        <w:spacing w:line="360" w:lineRule="auto"/>
        <w:jc w:val="both"/>
        <w:rPr>
          <w:rFonts w:ascii="Arial" w:hAnsi="Arial" w:cs="Arial"/>
          <w:color w:val="000000" w:themeColor="text1"/>
          <w:sz w:val="20"/>
          <w:szCs w:val="20"/>
        </w:rPr>
      </w:pPr>
      <w:r w:rsidRPr="001B397B">
        <w:rPr>
          <w:rFonts w:ascii="Arial" w:hAnsi="Arial" w:cs="Arial"/>
          <w:color w:val="000000" w:themeColor="text1"/>
          <w:sz w:val="20"/>
          <w:szCs w:val="20"/>
        </w:rPr>
        <w:t xml:space="preserve">Največ naročil, pri katerih je bil upoštevan </w:t>
      </w:r>
      <w:proofErr w:type="spellStart"/>
      <w:r w:rsidRPr="001B397B">
        <w:rPr>
          <w:rFonts w:ascii="Arial" w:hAnsi="Arial" w:cs="Arial"/>
          <w:color w:val="000000" w:themeColor="text1"/>
          <w:sz w:val="20"/>
          <w:szCs w:val="20"/>
        </w:rPr>
        <w:t>okoljski</w:t>
      </w:r>
      <w:proofErr w:type="spellEnd"/>
      <w:r w:rsidRPr="001B397B">
        <w:rPr>
          <w:rFonts w:ascii="Arial" w:hAnsi="Arial" w:cs="Arial"/>
          <w:color w:val="000000" w:themeColor="text1"/>
          <w:sz w:val="20"/>
          <w:szCs w:val="20"/>
        </w:rPr>
        <w:t xml:space="preserve"> vidik, so od</w:t>
      </w:r>
      <w:r w:rsidR="00CE15B6" w:rsidRPr="001B397B">
        <w:rPr>
          <w:rFonts w:ascii="Arial" w:hAnsi="Arial" w:cs="Arial"/>
          <w:color w:val="000000" w:themeColor="text1"/>
          <w:sz w:val="20"/>
          <w:szCs w:val="20"/>
        </w:rPr>
        <w:t xml:space="preserve">dali javni zavodi, in sicer </w:t>
      </w:r>
      <w:r w:rsidR="001B397B" w:rsidRPr="001B397B">
        <w:rPr>
          <w:rFonts w:ascii="Arial" w:hAnsi="Arial" w:cs="Arial"/>
          <w:color w:val="000000" w:themeColor="text1"/>
          <w:sz w:val="20"/>
          <w:szCs w:val="20"/>
        </w:rPr>
        <w:t>3711</w:t>
      </w:r>
      <w:r w:rsidRPr="001B397B">
        <w:rPr>
          <w:rFonts w:ascii="Arial" w:hAnsi="Arial" w:cs="Arial"/>
          <w:color w:val="000000" w:themeColor="text1"/>
          <w:sz w:val="20"/>
          <w:szCs w:val="20"/>
        </w:rPr>
        <w:t xml:space="preserve"> naročil v vrednosti </w:t>
      </w:r>
      <w:r w:rsidR="001B397B" w:rsidRPr="001B397B">
        <w:rPr>
          <w:rFonts w:ascii="Arial" w:hAnsi="Arial" w:cs="Arial"/>
          <w:color w:val="000000" w:themeColor="text1"/>
          <w:sz w:val="20"/>
          <w:szCs w:val="20"/>
        </w:rPr>
        <w:t xml:space="preserve">409.317.847 </w:t>
      </w:r>
      <w:r w:rsidRPr="001B397B">
        <w:rPr>
          <w:rFonts w:ascii="Arial" w:hAnsi="Arial" w:cs="Arial"/>
          <w:color w:val="000000" w:themeColor="text1"/>
          <w:sz w:val="20"/>
          <w:szCs w:val="20"/>
        </w:rPr>
        <w:t>evrov</w:t>
      </w:r>
      <w:r w:rsidR="00325434" w:rsidRPr="001B397B">
        <w:rPr>
          <w:rFonts w:ascii="Arial" w:hAnsi="Arial" w:cs="Arial"/>
          <w:color w:val="000000" w:themeColor="text1"/>
          <w:sz w:val="20"/>
          <w:szCs w:val="20"/>
        </w:rPr>
        <w:t>,</w:t>
      </w:r>
      <w:r w:rsidR="00FA0EF9" w:rsidRPr="001B397B">
        <w:rPr>
          <w:rFonts w:ascii="Arial" w:hAnsi="Arial" w:cs="Arial"/>
          <w:color w:val="000000" w:themeColor="text1"/>
          <w:sz w:val="20"/>
          <w:szCs w:val="20"/>
        </w:rPr>
        <w:t xml:space="preserve"> </w:t>
      </w:r>
      <w:r w:rsidRPr="001B397B">
        <w:rPr>
          <w:rFonts w:ascii="Arial" w:hAnsi="Arial" w:cs="Arial"/>
          <w:color w:val="000000" w:themeColor="text1"/>
          <w:sz w:val="20"/>
          <w:szCs w:val="20"/>
        </w:rPr>
        <w:t>sam</w:t>
      </w:r>
      <w:r w:rsidR="00CE15B6" w:rsidRPr="001B397B">
        <w:rPr>
          <w:rFonts w:ascii="Arial" w:hAnsi="Arial" w:cs="Arial"/>
          <w:color w:val="000000" w:themeColor="text1"/>
          <w:sz w:val="20"/>
          <w:szCs w:val="20"/>
        </w:rPr>
        <w:t xml:space="preserve">oupravne lokalne skupnosti s </w:t>
      </w:r>
      <w:r w:rsidR="001B397B" w:rsidRPr="001B397B">
        <w:rPr>
          <w:rFonts w:ascii="Arial" w:hAnsi="Arial" w:cs="Arial"/>
          <w:color w:val="000000" w:themeColor="text1"/>
          <w:sz w:val="20"/>
          <w:szCs w:val="20"/>
        </w:rPr>
        <w:t>640</w:t>
      </w:r>
      <w:r w:rsidRPr="001B397B">
        <w:rPr>
          <w:rFonts w:ascii="Arial" w:hAnsi="Arial" w:cs="Arial"/>
          <w:color w:val="000000" w:themeColor="text1"/>
          <w:sz w:val="20"/>
          <w:szCs w:val="20"/>
        </w:rPr>
        <w:t xml:space="preserve"> naročili v vrednosti </w:t>
      </w:r>
      <w:r w:rsidR="001B397B" w:rsidRPr="001B397B">
        <w:rPr>
          <w:rFonts w:ascii="Arial" w:hAnsi="Arial" w:cs="Arial"/>
          <w:color w:val="000000" w:themeColor="text1"/>
          <w:sz w:val="20"/>
          <w:szCs w:val="20"/>
        </w:rPr>
        <w:t xml:space="preserve">427.460.729 </w:t>
      </w:r>
      <w:r w:rsidRPr="001B397B">
        <w:rPr>
          <w:rFonts w:ascii="Arial" w:hAnsi="Arial" w:cs="Arial"/>
          <w:color w:val="000000" w:themeColor="text1"/>
          <w:sz w:val="20"/>
          <w:szCs w:val="20"/>
        </w:rPr>
        <w:t>evrov in drugi naročniki (osebe javnega prava, javna podjetja, subjekt s posebnimi in</w:t>
      </w:r>
      <w:r w:rsidR="00CE15B6" w:rsidRPr="001B397B">
        <w:rPr>
          <w:rFonts w:ascii="Arial" w:hAnsi="Arial" w:cs="Arial"/>
          <w:color w:val="000000" w:themeColor="text1"/>
          <w:sz w:val="20"/>
          <w:szCs w:val="20"/>
        </w:rPr>
        <w:t xml:space="preserve">frastrukturnimi pravicami) s </w:t>
      </w:r>
      <w:r w:rsidR="006A7F10" w:rsidRPr="001B397B">
        <w:rPr>
          <w:rFonts w:ascii="Arial" w:hAnsi="Arial" w:cs="Arial"/>
          <w:color w:val="000000" w:themeColor="text1"/>
          <w:sz w:val="20"/>
          <w:szCs w:val="20"/>
        </w:rPr>
        <w:t>4</w:t>
      </w:r>
      <w:r w:rsidR="001B397B" w:rsidRPr="001B397B">
        <w:rPr>
          <w:rFonts w:ascii="Arial" w:hAnsi="Arial" w:cs="Arial"/>
          <w:color w:val="000000" w:themeColor="text1"/>
          <w:sz w:val="20"/>
          <w:szCs w:val="20"/>
        </w:rPr>
        <w:t>72</w:t>
      </w:r>
      <w:r w:rsidRPr="001B397B">
        <w:rPr>
          <w:rFonts w:ascii="Arial" w:hAnsi="Arial" w:cs="Arial"/>
          <w:color w:val="000000" w:themeColor="text1"/>
          <w:sz w:val="20"/>
          <w:szCs w:val="20"/>
        </w:rPr>
        <w:t xml:space="preserve"> naročili v vrednosti </w:t>
      </w:r>
      <w:r w:rsidR="001B397B" w:rsidRPr="001B397B">
        <w:rPr>
          <w:rFonts w:ascii="Arial" w:hAnsi="Arial" w:cs="Arial"/>
          <w:color w:val="000000" w:themeColor="text1"/>
          <w:sz w:val="20"/>
          <w:szCs w:val="20"/>
        </w:rPr>
        <w:t xml:space="preserve">294.420.003 </w:t>
      </w:r>
      <w:r w:rsidRPr="001B397B">
        <w:rPr>
          <w:rFonts w:ascii="Arial" w:hAnsi="Arial" w:cs="Arial"/>
          <w:color w:val="000000" w:themeColor="text1"/>
          <w:sz w:val="20"/>
          <w:szCs w:val="20"/>
        </w:rPr>
        <w:t>evrov. Organi R</w:t>
      </w:r>
      <w:r w:rsidR="00CE15B6" w:rsidRPr="001B397B">
        <w:rPr>
          <w:rFonts w:ascii="Arial" w:hAnsi="Arial" w:cs="Arial"/>
          <w:color w:val="000000" w:themeColor="text1"/>
          <w:sz w:val="20"/>
          <w:szCs w:val="20"/>
        </w:rPr>
        <w:t xml:space="preserve">epublike Slovenije so oddali </w:t>
      </w:r>
      <w:r w:rsidR="001B397B" w:rsidRPr="001B397B">
        <w:rPr>
          <w:rFonts w:ascii="Arial" w:hAnsi="Arial" w:cs="Arial"/>
          <w:color w:val="000000" w:themeColor="text1"/>
          <w:sz w:val="20"/>
          <w:szCs w:val="20"/>
        </w:rPr>
        <w:t>260</w:t>
      </w:r>
      <w:r w:rsidRPr="001B397B">
        <w:rPr>
          <w:rFonts w:ascii="Arial" w:hAnsi="Arial" w:cs="Arial"/>
          <w:color w:val="000000" w:themeColor="text1"/>
          <w:sz w:val="20"/>
          <w:szCs w:val="20"/>
        </w:rPr>
        <w:t xml:space="preserve"> zelenih naročil v vrednosti </w:t>
      </w:r>
      <w:r w:rsidR="001B397B" w:rsidRPr="001B397B">
        <w:rPr>
          <w:rFonts w:ascii="Arial" w:hAnsi="Arial" w:cs="Arial"/>
          <w:color w:val="000000" w:themeColor="text1"/>
          <w:sz w:val="20"/>
          <w:szCs w:val="20"/>
        </w:rPr>
        <w:t xml:space="preserve">258.467.323 </w:t>
      </w:r>
      <w:r w:rsidRPr="001B397B">
        <w:rPr>
          <w:rFonts w:ascii="Arial" w:hAnsi="Arial" w:cs="Arial"/>
          <w:color w:val="000000" w:themeColor="text1"/>
          <w:sz w:val="20"/>
          <w:szCs w:val="20"/>
        </w:rPr>
        <w:t>evrov.</w:t>
      </w:r>
    </w:p>
    <w:p w14:paraId="70552238" w14:textId="2D8627D4" w:rsidR="00F513C9" w:rsidRPr="001B397B" w:rsidRDefault="002B74A3" w:rsidP="00CA253A">
      <w:pPr>
        <w:spacing w:line="360" w:lineRule="auto"/>
        <w:jc w:val="both"/>
        <w:rPr>
          <w:rFonts w:ascii="Arial" w:hAnsi="Arial" w:cs="Arial"/>
          <w:sz w:val="20"/>
          <w:szCs w:val="20"/>
        </w:rPr>
      </w:pPr>
      <w:r w:rsidRPr="001B397B">
        <w:rPr>
          <w:rFonts w:ascii="Arial" w:hAnsi="Arial" w:cs="Arial"/>
          <w:sz w:val="20"/>
          <w:szCs w:val="20"/>
        </w:rPr>
        <w:t>Leta</w:t>
      </w:r>
      <w:r w:rsidR="006E455E" w:rsidRPr="001B397B">
        <w:rPr>
          <w:rFonts w:ascii="Arial" w:hAnsi="Arial" w:cs="Arial"/>
          <w:sz w:val="20"/>
          <w:szCs w:val="20"/>
        </w:rPr>
        <w:t xml:space="preserve"> 20</w:t>
      </w:r>
      <w:r w:rsidR="00053D94" w:rsidRPr="001B397B">
        <w:rPr>
          <w:rFonts w:ascii="Arial" w:hAnsi="Arial" w:cs="Arial"/>
          <w:sz w:val="20"/>
          <w:szCs w:val="20"/>
        </w:rPr>
        <w:t>2</w:t>
      </w:r>
      <w:r w:rsidR="001B397B" w:rsidRPr="001B397B">
        <w:rPr>
          <w:rFonts w:ascii="Arial" w:hAnsi="Arial" w:cs="Arial"/>
          <w:sz w:val="20"/>
          <w:szCs w:val="20"/>
        </w:rPr>
        <w:t>2</w:t>
      </w:r>
      <w:r w:rsidR="006C0EB0" w:rsidRPr="001B397B">
        <w:rPr>
          <w:rFonts w:ascii="Arial" w:hAnsi="Arial" w:cs="Arial"/>
          <w:sz w:val="20"/>
          <w:szCs w:val="20"/>
        </w:rPr>
        <w:t xml:space="preserve"> je največ naročnikov, ki so oddali vsaj eno naročilo </w:t>
      </w:r>
      <w:r w:rsidR="00617E9A" w:rsidRPr="001B397B">
        <w:rPr>
          <w:rFonts w:ascii="Arial" w:hAnsi="Arial" w:cs="Arial"/>
          <w:sz w:val="20"/>
          <w:szCs w:val="20"/>
        </w:rPr>
        <w:t xml:space="preserve">z vključenimi </w:t>
      </w:r>
      <w:proofErr w:type="spellStart"/>
      <w:r w:rsidR="00617E9A" w:rsidRPr="001B397B">
        <w:rPr>
          <w:rFonts w:ascii="Arial" w:hAnsi="Arial" w:cs="Arial"/>
          <w:sz w:val="20"/>
          <w:szCs w:val="20"/>
        </w:rPr>
        <w:t>okoljskimi</w:t>
      </w:r>
      <w:proofErr w:type="spellEnd"/>
      <w:r w:rsidR="00617E9A" w:rsidRPr="001B397B">
        <w:rPr>
          <w:rFonts w:ascii="Arial" w:hAnsi="Arial" w:cs="Arial"/>
          <w:sz w:val="20"/>
          <w:szCs w:val="20"/>
        </w:rPr>
        <w:t xml:space="preserve"> vidiki</w:t>
      </w:r>
      <w:r w:rsidR="00410FB1" w:rsidRPr="001B397B">
        <w:rPr>
          <w:rFonts w:ascii="Arial" w:hAnsi="Arial" w:cs="Arial"/>
          <w:sz w:val="20"/>
          <w:szCs w:val="20"/>
        </w:rPr>
        <w:t>,</w:t>
      </w:r>
      <w:r w:rsidR="00617E9A" w:rsidRPr="001B397B">
        <w:rPr>
          <w:rFonts w:ascii="Arial" w:hAnsi="Arial" w:cs="Arial"/>
          <w:sz w:val="20"/>
          <w:szCs w:val="20"/>
        </w:rPr>
        <w:t xml:space="preserve"> </w:t>
      </w:r>
      <w:r w:rsidR="006C0EB0" w:rsidRPr="001B397B">
        <w:rPr>
          <w:rFonts w:ascii="Arial" w:hAnsi="Arial" w:cs="Arial"/>
          <w:sz w:val="20"/>
          <w:szCs w:val="20"/>
        </w:rPr>
        <w:t xml:space="preserve">iz </w:t>
      </w:r>
      <w:r w:rsidR="00325434" w:rsidRPr="001B397B">
        <w:rPr>
          <w:rFonts w:ascii="Arial" w:hAnsi="Arial" w:cs="Arial"/>
          <w:sz w:val="20"/>
          <w:szCs w:val="20"/>
        </w:rPr>
        <w:t>skupine</w:t>
      </w:r>
      <w:r w:rsidR="006C0EB0" w:rsidRPr="001B397B">
        <w:rPr>
          <w:rFonts w:ascii="Arial" w:hAnsi="Arial" w:cs="Arial"/>
          <w:sz w:val="20"/>
          <w:szCs w:val="20"/>
        </w:rPr>
        <w:t xml:space="preserve"> javni zavodi</w:t>
      </w:r>
      <w:r w:rsidR="006E455E" w:rsidRPr="001B397B">
        <w:rPr>
          <w:rFonts w:ascii="Arial" w:hAnsi="Arial" w:cs="Arial"/>
          <w:sz w:val="20"/>
          <w:szCs w:val="20"/>
        </w:rPr>
        <w:t xml:space="preserve">, in sicer </w:t>
      </w:r>
      <w:r w:rsidR="00053D94" w:rsidRPr="001B397B">
        <w:rPr>
          <w:rFonts w:ascii="Arial" w:hAnsi="Arial" w:cs="Arial"/>
          <w:sz w:val="20"/>
          <w:szCs w:val="20"/>
        </w:rPr>
        <w:t>3</w:t>
      </w:r>
      <w:r w:rsidR="001B397B" w:rsidRPr="001B397B">
        <w:rPr>
          <w:rFonts w:ascii="Arial" w:hAnsi="Arial" w:cs="Arial"/>
          <w:sz w:val="20"/>
          <w:szCs w:val="20"/>
        </w:rPr>
        <w:t>25</w:t>
      </w:r>
      <w:r w:rsidR="006C0EB0" w:rsidRPr="001B397B">
        <w:rPr>
          <w:rFonts w:ascii="Arial" w:hAnsi="Arial" w:cs="Arial"/>
          <w:sz w:val="20"/>
          <w:szCs w:val="20"/>
        </w:rPr>
        <w:t xml:space="preserve">. V tej </w:t>
      </w:r>
      <w:r w:rsidR="00301627" w:rsidRPr="001B397B">
        <w:rPr>
          <w:rFonts w:ascii="Arial" w:hAnsi="Arial" w:cs="Arial"/>
          <w:sz w:val="20"/>
          <w:szCs w:val="20"/>
        </w:rPr>
        <w:t>skupini</w:t>
      </w:r>
      <w:r w:rsidR="006C0EB0" w:rsidRPr="001B397B">
        <w:rPr>
          <w:rFonts w:ascii="Arial" w:hAnsi="Arial" w:cs="Arial"/>
          <w:sz w:val="20"/>
          <w:szCs w:val="20"/>
        </w:rPr>
        <w:t xml:space="preserve"> je </w:t>
      </w:r>
      <w:r w:rsidR="00617E9A" w:rsidRPr="001B397B">
        <w:rPr>
          <w:rFonts w:ascii="Arial" w:hAnsi="Arial" w:cs="Arial"/>
          <w:sz w:val="20"/>
          <w:szCs w:val="20"/>
        </w:rPr>
        <w:t xml:space="preserve">tudi </w:t>
      </w:r>
      <w:r w:rsidR="006E455E" w:rsidRPr="001B397B">
        <w:rPr>
          <w:rFonts w:ascii="Arial" w:hAnsi="Arial" w:cs="Arial"/>
          <w:sz w:val="20"/>
          <w:szCs w:val="20"/>
        </w:rPr>
        <w:t>1</w:t>
      </w:r>
      <w:r w:rsidR="001B397B" w:rsidRPr="001B397B">
        <w:rPr>
          <w:rFonts w:ascii="Arial" w:hAnsi="Arial" w:cs="Arial"/>
          <w:sz w:val="20"/>
          <w:szCs w:val="20"/>
        </w:rPr>
        <w:t>58</w:t>
      </w:r>
      <w:r w:rsidR="006C0EB0" w:rsidRPr="001B397B">
        <w:rPr>
          <w:rFonts w:ascii="Arial" w:hAnsi="Arial" w:cs="Arial"/>
          <w:sz w:val="20"/>
          <w:szCs w:val="20"/>
        </w:rPr>
        <w:t xml:space="preserve"> naročnikov, ki so oddali vsaj eno naročilo, vendar </w:t>
      </w:r>
      <w:r w:rsidR="00617E9A" w:rsidRPr="001B397B">
        <w:rPr>
          <w:rFonts w:ascii="Arial" w:hAnsi="Arial" w:cs="Arial"/>
          <w:sz w:val="20"/>
          <w:szCs w:val="20"/>
        </w:rPr>
        <w:t xml:space="preserve">v nobenem niso bili upoštevani </w:t>
      </w:r>
      <w:proofErr w:type="spellStart"/>
      <w:r w:rsidR="00617E9A" w:rsidRPr="001B397B">
        <w:rPr>
          <w:rFonts w:ascii="Arial" w:hAnsi="Arial" w:cs="Arial"/>
          <w:sz w:val="20"/>
          <w:szCs w:val="20"/>
        </w:rPr>
        <w:t>okoljski</w:t>
      </w:r>
      <w:proofErr w:type="spellEnd"/>
      <w:r w:rsidR="00617E9A" w:rsidRPr="001B397B">
        <w:rPr>
          <w:rFonts w:ascii="Arial" w:hAnsi="Arial" w:cs="Arial"/>
          <w:sz w:val="20"/>
          <w:szCs w:val="20"/>
        </w:rPr>
        <w:t xml:space="preserve"> vidiki.</w:t>
      </w:r>
      <w:r w:rsidR="006C0EB0" w:rsidRPr="001B397B">
        <w:rPr>
          <w:rFonts w:ascii="Arial" w:hAnsi="Arial" w:cs="Arial"/>
          <w:sz w:val="20"/>
          <w:szCs w:val="20"/>
        </w:rPr>
        <w:t xml:space="preserve"> </w:t>
      </w:r>
    </w:p>
    <w:p w14:paraId="445CE4C6" w14:textId="28946379" w:rsidR="00F83DD4" w:rsidRPr="001B397B" w:rsidRDefault="00F83DD4" w:rsidP="00701C10">
      <w:pPr>
        <w:spacing w:before="120" w:after="120" w:line="240" w:lineRule="auto"/>
        <w:jc w:val="both"/>
        <w:rPr>
          <w:rFonts w:ascii="Arial" w:hAnsi="Arial" w:cs="Arial"/>
          <w:sz w:val="20"/>
        </w:rPr>
      </w:pPr>
      <w:r w:rsidRPr="001B397B">
        <w:rPr>
          <w:rFonts w:ascii="Arial" w:hAnsi="Arial" w:cs="Arial"/>
          <w:sz w:val="20"/>
        </w:rPr>
        <w:t>Preglednica </w:t>
      </w:r>
      <w:r w:rsidR="00212872" w:rsidRPr="001B397B">
        <w:rPr>
          <w:rFonts w:ascii="Arial" w:hAnsi="Arial" w:cs="Arial"/>
          <w:sz w:val="20"/>
        </w:rPr>
        <w:t>5</w:t>
      </w:r>
      <w:r w:rsidR="00EA747F">
        <w:rPr>
          <w:rFonts w:ascii="Arial" w:hAnsi="Arial" w:cs="Arial"/>
          <w:sz w:val="20"/>
        </w:rPr>
        <w:t>0</w:t>
      </w:r>
      <w:r w:rsidRPr="001B397B">
        <w:rPr>
          <w:rFonts w:ascii="Arial" w:hAnsi="Arial" w:cs="Arial"/>
          <w:sz w:val="20"/>
        </w:rPr>
        <w:t xml:space="preserve">: Število naročnikov z oddanimi </w:t>
      </w:r>
      <w:r w:rsidR="00617E9A" w:rsidRPr="001B397B">
        <w:rPr>
          <w:rFonts w:ascii="Arial" w:hAnsi="Arial" w:cs="Arial"/>
          <w:sz w:val="20"/>
        </w:rPr>
        <w:t xml:space="preserve">naročili z upoštevanimi </w:t>
      </w:r>
      <w:proofErr w:type="spellStart"/>
      <w:r w:rsidR="00617E9A" w:rsidRPr="001B397B">
        <w:rPr>
          <w:rFonts w:ascii="Arial" w:hAnsi="Arial" w:cs="Arial"/>
          <w:sz w:val="20"/>
        </w:rPr>
        <w:t>okoljskimi</w:t>
      </w:r>
      <w:proofErr w:type="spellEnd"/>
      <w:r w:rsidR="00617E9A" w:rsidRPr="001B397B">
        <w:rPr>
          <w:rFonts w:ascii="Arial" w:hAnsi="Arial" w:cs="Arial"/>
          <w:sz w:val="20"/>
        </w:rPr>
        <w:t xml:space="preserve"> vidiki</w:t>
      </w:r>
      <w:r w:rsidRPr="001B397B">
        <w:rPr>
          <w:rFonts w:ascii="Arial" w:hAnsi="Arial" w:cs="Arial"/>
          <w:sz w:val="20"/>
        </w:rPr>
        <w:t xml:space="preserve"> glede na</w:t>
      </w:r>
      <w:r w:rsidR="009D69AF" w:rsidRPr="001B397B">
        <w:rPr>
          <w:rFonts w:ascii="Arial" w:hAnsi="Arial" w:cs="Arial"/>
          <w:sz w:val="20"/>
        </w:rPr>
        <w:t xml:space="preserve"> </w:t>
      </w:r>
      <w:r w:rsidR="00272F8F" w:rsidRPr="001B397B">
        <w:rPr>
          <w:rFonts w:ascii="Arial" w:hAnsi="Arial" w:cs="Arial"/>
          <w:sz w:val="20"/>
        </w:rPr>
        <w:t>kategorij</w:t>
      </w:r>
      <w:r w:rsidR="00301627" w:rsidRPr="001B397B">
        <w:rPr>
          <w:rFonts w:ascii="Arial" w:hAnsi="Arial" w:cs="Arial"/>
          <w:sz w:val="20"/>
        </w:rPr>
        <w:t>o</w:t>
      </w:r>
      <w:r w:rsidRPr="001B397B">
        <w:rPr>
          <w:rFonts w:ascii="Arial" w:hAnsi="Arial" w:cs="Arial"/>
          <w:sz w:val="20"/>
        </w:rPr>
        <w:t xml:space="preserve"> naročnika</w:t>
      </w:r>
    </w:p>
    <w:tbl>
      <w:tblPr>
        <w:tblW w:w="8359" w:type="dxa"/>
        <w:jc w:val="center"/>
        <w:tblCellMar>
          <w:left w:w="70" w:type="dxa"/>
          <w:right w:w="70" w:type="dxa"/>
        </w:tblCellMar>
        <w:tblLook w:val="04A0" w:firstRow="1" w:lastRow="0" w:firstColumn="1" w:lastColumn="0" w:noHBand="0" w:noVBand="1"/>
      </w:tblPr>
      <w:tblGrid>
        <w:gridCol w:w="4445"/>
        <w:gridCol w:w="1787"/>
        <w:gridCol w:w="2127"/>
      </w:tblGrid>
      <w:tr w:rsidR="009D76BE" w:rsidRPr="001B397B" w14:paraId="1E023FDD" w14:textId="77777777" w:rsidTr="00CD447F">
        <w:trPr>
          <w:trHeight w:val="255"/>
          <w:jc w:val="center"/>
        </w:trPr>
        <w:tc>
          <w:tcPr>
            <w:tcW w:w="44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43F3BD" w14:textId="4FE84277" w:rsidR="009D76BE" w:rsidRPr="001B397B" w:rsidRDefault="009D76BE" w:rsidP="009D76BE">
            <w:pPr>
              <w:spacing w:after="0" w:line="240" w:lineRule="auto"/>
              <w:jc w:val="center"/>
              <w:rPr>
                <w:rFonts w:ascii="Arial" w:eastAsia="Times New Roman" w:hAnsi="Arial" w:cs="Arial"/>
                <w:color w:val="000000"/>
                <w:sz w:val="18"/>
                <w:szCs w:val="18"/>
                <w:lang w:eastAsia="sl-SI"/>
              </w:rPr>
            </w:pPr>
            <w:r w:rsidRPr="001B397B">
              <w:rPr>
                <w:rFonts w:ascii="Arial" w:eastAsia="Times New Roman" w:hAnsi="Arial" w:cs="Arial"/>
                <w:color w:val="000000"/>
                <w:sz w:val="18"/>
                <w:szCs w:val="18"/>
                <w:lang w:eastAsia="sl-SI"/>
              </w:rPr>
              <w:t>Kategorija naročnika</w:t>
            </w:r>
          </w:p>
        </w:tc>
        <w:tc>
          <w:tcPr>
            <w:tcW w:w="178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4EA7539" w14:textId="77777777" w:rsidR="009D76BE" w:rsidRPr="001B397B" w:rsidRDefault="009D76BE" w:rsidP="009D76BE">
            <w:pPr>
              <w:spacing w:after="0" w:line="240" w:lineRule="auto"/>
              <w:jc w:val="center"/>
              <w:rPr>
                <w:rFonts w:ascii="Arial" w:eastAsia="Times New Roman" w:hAnsi="Arial" w:cs="Arial"/>
                <w:color w:val="000000"/>
                <w:sz w:val="18"/>
                <w:szCs w:val="18"/>
                <w:lang w:eastAsia="sl-SI"/>
              </w:rPr>
            </w:pPr>
            <w:r w:rsidRPr="001B397B">
              <w:rPr>
                <w:rFonts w:ascii="Arial" w:eastAsia="Times New Roman" w:hAnsi="Arial" w:cs="Arial"/>
                <w:color w:val="000000"/>
                <w:sz w:val="18"/>
                <w:szCs w:val="18"/>
                <w:lang w:eastAsia="sl-SI"/>
              </w:rPr>
              <w:t>Št. naročnikov, ki so oddali vsaj eno zeleno naročilo</w:t>
            </w:r>
          </w:p>
        </w:tc>
        <w:tc>
          <w:tcPr>
            <w:tcW w:w="212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19FE432" w14:textId="311F5339" w:rsidR="009D76BE" w:rsidRPr="001B397B" w:rsidRDefault="009D76BE" w:rsidP="009D76BE">
            <w:pPr>
              <w:spacing w:after="0" w:line="240" w:lineRule="auto"/>
              <w:jc w:val="center"/>
              <w:rPr>
                <w:rFonts w:ascii="Arial" w:eastAsia="Times New Roman" w:hAnsi="Arial" w:cs="Arial"/>
                <w:color w:val="000000"/>
                <w:sz w:val="18"/>
                <w:szCs w:val="18"/>
                <w:lang w:eastAsia="sl-SI"/>
              </w:rPr>
            </w:pPr>
            <w:r w:rsidRPr="001B397B">
              <w:rPr>
                <w:rFonts w:ascii="Arial" w:eastAsia="Times New Roman" w:hAnsi="Arial" w:cs="Arial"/>
                <w:color w:val="000000"/>
                <w:sz w:val="18"/>
                <w:szCs w:val="18"/>
                <w:lang w:eastAsia="sl-SI"/>
              </w:rPr>
              <w:t xml:space="preserve">Št. naročnikov, ki so oddali vsaj eno naročilo, </w:t>
            </w:r>
            <w:r w:rsidR="007B25B7" w:rsidRPr="001B397B">
              <w:rPr>
                <w:rFonts w:ascii="Arial" w:eastAsia="Times New Roman" w:hAnsi="Arial" w:cs="Arial"/>
                <w:color w:val="000000"/>
                <w:sz w:val="18"/>
                <w:szCs w:val="18"/>
                <w:lang w:eastAsia="sl-SI"/>
              </w:rPr>
              <w:t xml:space="preserve">vendar </w:t>
            </w:r>
            <w:r w:rsidRPr="001B397B">
              <w:rPr>
                <w:rFonts w:ascii="Arial" w:eastAsia="Times New Roman" w:hAnsi="Arial" w:cs="Arial"/>
                <w:color w:val="000000"/>
                <w:sz w:val="18"/>
                <w:szCs w:val="18"/>
                <w:lang w:eastAsia="sl-SI"/>
              </w:rPr>
              <w:t>nobeno ni bilo zeleno</w:t>
            </w:r>
          </w:p>
        </w:tc>
      </w:tr>
      <w:tr w:rsidR="001B397B" w:rsidRPr="001B397B" w14:paraId="74ED934C" w14:textId="77777777" w:rsidTr="001B397B">
        <w:trPr>
          <w:trHeight w:val="255"/>
          <w:jc w:val="center"/>
        </w:trPr>
        <w:tc>
          <w:tcPr>
            <w:tcW w:w="4445" w:type="dxa"/>
            <w:tcBorders>
              <w:top w:val="nil"/>
              <w:left w:val="single" w:sz="4" w:space="0" w:color="auto"/>
              <w:bottom w:val="single" w:sz="4" w:space="0" w:color="auto"/>
              <w:right w:val="single" w:sz="4" w:space="0" w:color="auto"/>
            </w:tcBorders>
            <w:shd w:val="clear" w:color="auto" w:fill="auto"/>
            <w:vAlign w:val="center"/>
            <w:hideMark/>
          </w:tcPr>
          <w:p w14:paraId="5758B1C3" w14:textId="2B1C2251" w:rsidR="001B397B" w:rsidRPr="001B397B" w:rsidRDefault="001B397B" w:rsidP="001B397B">
            <w:pPr>
              <w:spacing w:after="0" w:line="240" w:lineRule="auto"/>
              <w:jc w:val="both"/>
              <w:rPr>
                <w:rFonts w:ascii="Arial" w:eastAsia="Times New Roman" w:hAnsi="Arial" w:cs="Arial"/>
                <w:color w:val="000000"/>
                <w:sz w:val="18"/>
                <w:szCs w:val="18"/>
                <w:lang w:eastAsia="sl-SI"/>
              </w:rPr>
            </w:pPr>
            <w:r w:rsidRPr="001B397B">
              <w:rPr>
                <w:rFonts w:ascii="Arial" w:eastAsia="Times New Roman" w:hAnsi="Arial" w:cs="Arial"/>
                <w:color w:val="000000"/>
                <w:sz w:val="18"/>
                <w:szCs w:val="18"/>
                <w:lang w:eastAsia="sl-SI"/>
              </w:rPr>
              <w:t xml:space="preserve">Organi </w:t>
            </w:r>
            <w:r w:rsidR="00007116">
              <w:rPr>
                <w:rFonts w:ascii="Arial" w:eastAsia="Times New Roman" w:hAnsi="Arial" w:cs="Arial"/>
                <w:color w:val="000000"/>
                <w:sz w:val="18"/>
                <w:szCs w:val="18"/>
                <w:lang w:eastAsia="sl-SI"/>
              </w:rPr>
              <w:t>Republike Slovenije</w:t>
            </w:r>
          </w:p>
        </w:tc>
        <w:tc>
          <w:tcPr>
            <w:tcW w:w="1787" w:type="dxa"/>
            <w:tcBorders>
              <w:top w:val="nil"/>
              <w:left w:val="nil"/>
              <w:bottom w:val="single" w:sz="4" w:space="0" w:color="auto"/>
              <w:right w:val="single" w:sz="4" w:space="0" w:color="auto"/>
            </w:tcBorders>
            <w:shd w:val="clear" w:color="auto" w:fill="auto"/>
            <w:vAlign w:val="center"/>
            <w:hideMark/>
          </w:tcPr>
          <w:p w14:paraId="00A873B0" w14:textId="1490B974" w:rsidR="001B397B" w:rsidRPr="001B397B" w:rsidRDefault="001B397B" w:rsidP="001B397B">
            <w:pPr>
              <w:spacing w:after="0" w:line="240" w:lineRule="auto"/>
              <w:jc w:val="right"/>
              <w:rPr>
                <w:rFonts w:ascii="Arial" w:eastAsia="Times New Roman" w:hAnsi="Arial" w:cs="Arial"/>
                <w:color w:val="000000"/>
                <w:sz w:val="18"/>
                <w:szCs w:val="18"/>
                <w:lang w:eastAsia="sl-SI"/>
              </w:rPr>
            </w:pPr>
            <w:r w:rsidRPr="001B397B">
              <w:rPr>
                <w:rFonts w:ascii="Arial" w:eastAsia="Times New Roman" w:hAnsi="Arial" w:cs="Arial"/>
                <w:color w:val="000000"/>
                <w:sz w:val="18"/>
                <w:szCs w:val="18"/>
                <w:lang w:eastAsia="sl-SI"/>
              </w:rPr>
              <w:t>30</w:t>
            </w:r>
          </w:p>
        </w:tc>
        <w:tc>
          <w:tcPr>
            <w:tcW w:w="2127" w:type="dxa"/>
            <w:tcBorders>
              <w:top w:val="nil"/>
              <w:left w:val="nil"/>
              <w:bottom w:val="single" w:sz="4" w:space="0" w:color="auto"/>
              <w:right w:val="single" w:sz="4" w:space="0" w:color="auto"/>
            </w:tcBorders>
            <w:shd w:val="clear" w:color="auto" w:fill="auto"/>
            <w:vAlign w:val="center"/>
            <w:hideMark/>
          </w:tcPr>
          <w:p w14:paraId="596AE55A" w14:textId="303C8073" w:rsidR="001B397B" w:rsidRPr="001B397B" w:rsidRDefault="001B397B" w:rsidP="001B397B">
            <w:pPr>
              <w:spacing w:after="0" w:line="240" w:lineRule="auto"/>
              <w:jc w:val="right"/>
              <w:rPr>
                <w:rFonts w:ascii="Arial" w:eastAsia="Times New Roman" w:hAnsi="Arial" w:cs="Arial"/>
                <w:color w:val="000000"/>
                <w:sz w:val="18"/>
                <w:szCs w:val="18"/>
                <w:lang w:eastAsia="sl-SI"/>
              </w:rPr>
            </w:pPr>
            <w:r w:rsidRPr="001B397B">
              <w:rPr>
                <w:rFonts w:ascii="Arial" w:eastAsia="Times New Roman" w:hAnsi="Arial" w:cs="Arial"/>
                <w:color w:val="000000"/>
                <w:sz w:val="18"/>
                <w:szCs w:val="18"/>
                <w:lang w:eastAsia="sl-SI"/>
              </w:rPr>
              <w:t>27</w:t>
            </w:r>
          </w:p>
        </w:tc>
      </w:tr>
      <w:tr w:rsidR="001B397B" w:rsidRPr="001B397B" w14:paraId="3EA818A7" w14:textId="77777777" w:rsidTr="001B397B">
        <w:trPr>
          <w:trHeight w:val="255"/>
          <w:jc w:val="center"/>
        </w:trPr>
        <w:tc>
          <w:tcPr>
            <w:tcW w:w="4445" w:type="dxa"/>
            <w:tcBorders>
              <w:top w:val="nil"/>
              <w:left w:val="single" w:sz="4" w:space="0" w:color="auto"/>
              <w:bottom w:val="single" w:sz="4" w:space="0" w:color="auto"/>
              <w:right w:val="single" w:sz="4" w:space="0" w:color="auto"/>
            </w:tcBorders>
            <w:shd w:val="clear" w:color="auto" w:fill="auto"/>
            <w:vAlign w:val="center"/>
            <w:hideMark/>
          </w:tcPr>
          <w:p w14:paraId="5938BB9A" w14:textId="77777777" w:rsidR="001B397B" w:rsidRPr="001B397B" w:rsidRDefault="001B397B" w:rsidP="001B397B">
            <w:pPr>
              <w:spacing w:after="0" w:line="240" w:lineRule="auto"/>
              <w:jc w:val="both"/>
              <w:rPr>
                <w:rFonts w:ascii="Arial" w:eastAsia="Times New Roman" w:hAnsi="Arial" w:cs="Arial"/>
                <w:color w:val="000000"/>
                <w:sz w:val="18"/>
                <w:szCs w:val="18"/>
                <w:lang w:eastAsia="sl-SI"/>
              </w:rPr>
            </w:pPr>
            <w:r w:rsidRPr="001B397B">
              <w:rPr>
                <w:rFonts w:ascii="Arial" w:eastAsia="Times New Roman" w:hAnsi="Arial" w:cs="Arial"/>
                <w:color w:val="000000"/>
                <w:sz w:val="18"/>
                <w:szCs w:val="18"/>
                <w:lang w:eastAsia="sl-SI"/>
              </w:rPr>
              <w:t>Samoupravne lokalne skupnosti</w:t>
            </w:r>
          </w:p>
        </w:tc>
        <w:tc>
          <w:tcPr>
            <w:tcW w:w="1787" w:type="dxa"/>
            <w:tcBorders>
              <w:top w:val="nil"/>
              <w:left w:val="nil"/>
              <w:bottom w:val="single" w:sz="4" w:space="0" w:color="auto"/>
              <w:right w:val="single" w:sz="4" w:space="0" w:color="auto"/>
            </w:tcBorders>
            <w:shd w:val="clear" w:color="auto" w:fill="auto"/>
            <w:vAlign w:val="center"/>
            <w:hideMark/>
          </w:tcPr>
          <w:p w14:paraId="7081D97C" w14:textId="73C205E9" w:rsidR="001B397B" w:rsidRPr="001B397B" w:rsidRDefault="001B397B" w:rsidP="001B397B">
            <w:pPr>
              <w:spacing w:after="0" w:line="240" w:lineRule="auto"/>
              <w:jc w:val="right"/>
              <w:rPr>
                <w:rFonts w:ascii="Arial" w:eastAsia="Times New Roman" w:hAnsi="Arial" w:cs="Arial"/>
                <w:color w:val="000000"/>
                <w:sz w:val="18"/>
                <w:szCs w:val="18"/>
                <w:lang w:eastAsia="sl-SI"/>
              </w:rPr>
            </w:pPr>
            <w:r w:rsidRPr="001B397B">
              <w:rPr>
                <w:rFonts w:ascii="Arial" w:eastAsia="Times New Roman" w:hAnsi="Arial" w:cs="Arial"/>
                <w:color w:val="000000"/>
                <w:sz w:val="18"/>
                <w:szCs w:val="18"/>
                <w:lang w:eastAsia="sl-SI"/>
              </w:rPr>
              <w:t>137</w:t>
            </w:r>
          </w:p>
        </w:tc>
        <w:tc>
          <w:tcPr>
            <w:tcW w:w="2127" w:type="dxa"/>
            <w:tcBorders>
              <w:top w:val="nil"/>
              <w:left w:val="nil"/>
              <w:bottom w:val="single" w:sz="4" w:space="0" w:color="auto"/>
              <w:right w:val="single" w:sz="4" w:space="0" w:color="auto"/>
            </w:tcBorders>
            <w:shd w:val="clear" w:color="auto" w:fill="auto"/>
            <w:vAlign w:val="center"/>
            <w:hideMark/>
          </w:tcPr>
          <w:p w14:paraId="40816262" w14:textId="765E9E00" w:rsidR="001B397B" w:rsidRPr="001B397B" w:rsidRDefault="001B397B" w:rsidP="001B397B">
            <w:pPr>
              <w:spacing w:after="0" w:line="240" w:lineRule="auto"/>
              <w:jc w:val="right"/>
              <w:rPr>
                <w:rFonts w:ascii="Arial" w:eastAsia="Times New Roman" w:hAnsi="Arial" w:cs="Arial"/>
                <w:color w:val="000000"/>
                <w:sz w:val="18"/>
                <w:szCs w:val="18"/>
                <w:lang w:eastAsia="sl-SI"/>
              </w:rPr>
            </w:pPr>
            <w:r w:rsidRPr="001B397B">
              <w:rPr>
                <w:rFonts w:ascii="Arial" w:eastAsia="Times New Roman" w:hAnsi="Arial" w:cs="Arial"/>
                <w:color w:val="000000"/>
                <w:sz w:val="18"/>
                <w:szCs w:val="18"/>
                <w:lang w:eastAsia="sl-SI"/>
              </w:rPr>
              <w:t>57</w:t>
            </w:r>
          </w:p>
        </w:tc>
      </w:tr>
      <w:tr w:rsidR="001B397B" w:rsidRPr="001B397B" w14:paraId="72028FD0" w14:textId="77777777" w:rsidTr="001B397B">
        <w:trPr>
          <w:trHeight w:val="255"/>
          <w:jc w:val="center"/>
        </w:trPr>
        <w:tc>
          <w:tcPr>
            <w:tcW w:w="4445" w:type="dxa"/>
            <w:tcBorders>
              <w:top w:val="nil"/>
              <w:left w:val="single" w:sz="4" w:space="0" w:color="auto"/>
              <w:bottom w:val="single" w:sz="4" w:space="0" w:color="auto"/>
              <w:right w:val="single" w:sz="4" w:space="0" w:color="auto"/>
            </w:tcBorders>
            <w:shd w:val="clear" w:color="auto" w:fill="auto"/>
            <w:vAlign w:val="center"/>
            <w:hideMark/>
          </w:tcPr>
          <w:p w14:paraId="51C68A58" w14:textId="77777777" w:rsidR="001B397B" w:rsidRPr="001B397B" w:rsidRDefault="001B397B" w:rsidP="001B397B">
            <w:pPr>
              <w:spacing w:after="0" w:line="240" w:lineRule="auto"/>
              <w:jc w:val="both"/>
              <w:rPr>
                <w:rFonts w:ascii="Arial" w:eastAsia="Times New Roman" w:hAnsi="Arial" w:cs="Arial"/>
                <w:color w:val="000000"/>
                <w:sz w:val="18"/>
                <w:szCs w:val="18"/>
                <w:lang w:eastAsia="sl-SI"/>
              </w:rPr>
            </w:pPr>
            <w:r w:rsidRPr="001B397B">
              <w:rPr>
                <w:rFonts w:ascii="Arial" w:eastAsia="Times New Roman" w:hAnsi="Arial" w:cs="Arial"/>
                <w:color w:val="000000"/>
                <w:sz w:val="18"/>
                <w:szCs w:val="18"/>
                <w:lang w:eastAsia="sl-SI"/>
              </w:rPr>
              <w:t>Javni skladi</w:t>
            </w:r>
          </w:p>
        </w:tc>
        <w:tc>
          <w:tcPr>
            <w:tcW w:w="1787" w:type="dxa"/>
            <w:tcBorders>
              <w:top w:val="nil"/>
              <w:left w:val="nil"/>
              <w:bottom w:val="single" w:sz="4" w:space="0" w:color="auto"/>
              <w:right w:val="single" w:sz="4" w:space="0" w:color="auto"/>
            </w:tcBorders>
            <w:shd w:val="clear" w:color="auto" w:fill="auto"/>
            <w:vAlign w:val="center"/>
            <w:hideMark/>
          </w:tcPr>
          <w:p w14:paraId="48B63D57" w14:textId="7110EB57" w:rsidR="001B397B" w:rsidRPr="001B397B" w:rsidRDefault="001B397B" w:rsidP="001B397B">
            <w:pPr>
              <w:spacing w:after="0" w:line="240" w:lineRule="auto"/>
              <w:jc w:val="right"/>
              <w:rPr>
                <w:rFonts w:ascii="Arial" w:eastAsia="Times New Roman" w:hAnsi="Arial" w:cs="Arial"/>
                <w:color w:val="000000"/>
                <w:sz w:val="18"/>
                <w:szCs w:val="18"/>
                <w:lang w:eastAsia="sl-SI"/>
              </w:rPr>
            </w:pPr>
            <w:r w:rsidRPr="001B397B">
              <w:rPr>
                <w:rFonts w:ascii="Arial" w:eastAsia="Times New Roman" w:hAnsi="Arial" w:cs="Arial"/>
                <w:color w:val="000000"/>
                <w:sz w:val="18"/>
                <w:szCs w:val="18"/>
                <w:lang w:eastAsia="sl-SI"/>
              </w:rPr>
              <w:t>3</w:t>
            </w:r>
          </w:p>
        </w:tc>
        <w:tc>
          <w:tcPr>
            <w:tcW w:w="2127" w:type="dxa"/>
            <w:tcBorders>
              <w:top w:val="nil"/>
              <w:left w:val="nil"/>
              <w:bottom w:val="single" w:sz="4" w:space="0" w:color="auto"/>
              <w:right w:val="single" w:sz="4" w:space="0" w:color="auto"/>
            </w:tcBorders>
            <w:shd w:val="clear" w:color="auto" w:fill="auto"/>
            <w:vAlign w:val="center"/>
            <w:hideMark/>
          </w:tcPr>
          <w:p w14:paraId="125C179D" w14:textId="058A9B02" w:rsidR="001B397B" w:rsidRPr="001B397B" w:rsidRDefault="001B397B" w:rsidP="001B397B">
            <w:pPr>
              <w:spacing w:after="0" w:line="240" w:lineRule="auto"/>
              <w:jc w:val="right"/>
              <w:rPr>
                <w:rFonts w:ascii="Arial" w:eastAsia="Times New Roman" w:hAnsi="Arial" w:cs="Arial"/>
                <w:color w:val="000000"/>
                <w:sz w:val="18"/>
                <w:szCs w:val="18"/>
                <w:lang w:eastAsia="sl-SI"/>
              </w:rPr>
            </w:pPr>
            <w:r w:rsidRPr="001B397B">
              <w:rPr>
                <w:rFonts w:ascii="Arial" w:eastAsia="Times New Roman" w:hAnsi="Arial" w:cs="Arial"/>
                <w:color w:val="000000"/>
                <w:sz w:val="18"/>
                <w:szCs w:val="18"/>
                <w:lang w:eastAsia="sl-SI"/>
              </w:rPr>
              <w:t>4</w:t>
            </w:r>
          </w:p>
        </w:tc>
      </w:tr>
      <w:tr w:rsidR="001B397B" w:rsidRPr="001B397B" w14:paraId="5D44F762" w14:textId="77777777" w:rsidTr="001B397B">
        <w:trPr>
          <w:trHeight w:val="255"/>
          <w:jc w:val="center"/>
        </w:trPr>
        <w:tc>
          <w:tcPr>
            <w:tcW w:w="4445" w:type="dxa"/>
            <w:tcBorders>
              <w:top w:val="nil"/>
              <w:left w:val="single" w:sz="4" w:space="0" w:color="auto"/>
              <w:bottom w:val="single" w:sz="4" w:space="0" w:color="auto"/>
              <w:right w:val="single" w:sz="4" w:space="0" w:color="auto"/>
            </w:tcBorders>
            <w:shd w:val="clear" w:color="auto" w:fill="auto"/>
            <w:vAlign w:val="center"/>
            <w:hideMark/>
          </w:tcPr>
          <w:p w14:paraId="67541E17" w14:textId="77777777" w:rsidR="001B397B" w:rsidRPr="001B397B" w:rsidRDefault="001B397B" w:rsidP="001B397B">
            <w:pPr>
              <w:spacing w:after="0" w:line="240" w:lineRule="auto"/>
              <w:jc w:val="both"/>
              <w:rPr>
                <w:rFonts w:ascii="Arial" w:eastAsia="Times New Roman" w:hAnsi="Arial" w:cs="Arial"/>
                <w:color w:val="000000"/>
                <w:sz w:val="18"/>
                <w:szCs w:val="18"/>
                <w:lang w:eastAsia="sl-SI"/>
              </w:rPr>
            </w:pPr>
            <w:r w:rsidRPr="001B397B">
              <w:rPr>
                <w:rFonts w:ascii="Arial" w:eastAsia="Times New Roman" w:hAnsi="Arial" w:cs="Arial"/>
                <w:color w:val="000000"/>
                <w:sz w:val="18"/>
                <w:szCs w:val="18"/>
                <w:lang w:eastAsia="sl-SI"/>
              </w:rPr>
              <w:t>Javne agencije</w:t>
            </w:r>
          </w:p>
        </w:tc>
        <w:tc>
          <w:tcPr>
            <w:tcW w:w="1787" w:type="dxa"/>
            <w:tcBorders>
              <w:top w:val="nil"/>
              <w:left w:val="nil"/>
              <w:bottom w:val="single" w:sz="4" w:space="0" w:color="auto"/>
              <w:right w:val="single" w:sz="4" w:space="0" w:color="auto"/>
            </w:tcBorders>
            <w:shd w:val="clear" w:color="auto" w:fill="auto"/>
            <w:vAlign w:val="center"/>
            <w:hideMark/>
          </w:tcPr>
          <w:p w14:paraId="21133831" w14:textId="67183D77" w:rsidR="001B397B" w:rsidRPr="001B397B" w:rsidRDefault="001B397B" w:rsidP="001B397B">
            <w:pPr>
              <w:spacing w:after="0" w:line="240" w:lineRule="auto"/>
              <w:jc w:val="right"/>
              <w:rPr>
                <w:rFonts w:ascii="Arial" w:eastAsia="Times New Roman" w:hAnsi="Arial" w:cs="Arial"/>
                <w:color w:val="000000"/>
                <w:sz w:val="18"/>
                <w:szCs w:val="18"/>
                <w:lang w:eastAsia="sl-SI"/>
              </w:rPr>
            </w:pPr>
            <w:r w:rsidRPr="001B397B">
              <w:rPr>
                <w:rFonts w:ascii="Arial" w:eastAsia="Times New Roman" w:hAnsi="Arial" w:cs="Arial"/>
                <w:color w:val="000000"/>
                <w:sz w:val="18"/>
                <w:szCs w:val="18"/>
                <w:lang w:eastAsia="sl-SI"/>
              </w:rPr>
              <w:t>5</w:t>
            </w:r>
          </w:p>
        </w:tc>
        <w:tc>
          <w:tcPr>
            <w:tcW w:w="2127" w:type="dxa"/>
            <w:tcBorders>
              <w:top w:val="nil"/>
              <w:left w:val="nil"/>
              <w:bottom w:val="single" w:sz="4" w:space="0" w:color="auto"/>
              <w:right w:val="single" w:sz="4" w:space="0" w:color="auto"/>
            </w:tcBorders>
            <w:shd w:val="clear" w:color="auto" w:fill="auto"/>
            <w:vAlign w:val="center"/>
            <w:hideMark/>
          </w:tcPr>
          <w:p w14:paraId="795F6F7D" w14:textId="320D18AC" w:rsidR="001B397B" w:rsidRPr="001B397B" w:rsidRDefault="001B397B" w:rsidP="001B397B">
            <w:pPr>
              <w:spacing w:after="0" w:line="240" w:lineRule="auto"/>
              <w:jc w:val="right"/>
              <w:rPr>
                <w:rFonts w:ascii="Arial" w:eastAsia="Times New Roman" w:hAnsi="Arial" w:cs="Arial"/>
                <w:color w:val="000000"/>
                <w:sz w:val="18"/>
                <w:szCs w:val="18"/>
                <w:lang w:eastAsia="sl-SI"/>
              </w:rPr>
            </w:pPr>
            <w:r w:rsidRPr="001B397B">
              <w:rPr>
                <w:rFonts w:ascii="Arial" w:eastAsia="Times New Roman" w:hAnsi="Arial" w:cs="Arial"/>
                <w:color w:val="000000"/>
                <w:sz w:val="18"/>
                <w:szCs w:val="18"/>
                <w:lang w:eastAsia="sl-SI"/>
              </w:rPr>
              <w:t>7</w:t>
            </w:r>
          </w:p>
        </w:tc>
      </w:tr>
      <w:tr w:rsidR="001B397B" w:rsidRPr="001B397B" w14:paraId="653DEBC3" w14:textId="77777777" w:rsidTr="001B397B">
        <w:trPr>
          <w:trHeight w:val="255"/>
          <w:jc w:val="center"/>
        </w:trPr>
        <w:tc>
          <w:tcPr>
            <w:tcW w:w="4445" w:type="dxa"/>
            <w:tcBorders>
              <w:top w:val="nil"/>
              <w:left w:val="single" w:sz="4" w:space="0" w:color="auto"/>
              <w:bottom w:val="single" w:sz="4" w:space="0" w:color="auto"/>
              <w:right w:val="single" w:sz="4" w:space="0" w:color="auto"/>
            </w:tcBorders>
            <w:shd w:val="clear" w:color="auto" w:fill="auto"/>
            <w:vAlign w:val="center"/>
            <w:hideMark/>
          </w:tcPr>
          <w:p w14:paraId="39D356E0" w14:textId="77777777" w:rsidR="001B397B" w:rsidRPr="001B397B" w:rsidRDefault="001B397B" w:rsidP="001B397B">
            <w:pPr>
              <w:spacing w:after="0" w:line="240" w:lineRule="auto"/>
              <w:jc w:val="both"/>
              <w:rPr>
                <w:rFonts w:ascii="Arial" w:eastAsia="Times New Roman" w:hAnsi="Arial" w:cs="Arial"/>
                <w:color w:val="000000"/>
                <w:sz w:val="18"/>
                <w:szCs w:val="18"/>
                <w:lang w:eastAsia="sl-SI"/>
              </w:rPr>
            </w:pPr>
            <w:r w:rsidRPr="001B397B">
              <w:rPr>
                <w:rFonts w:ascii="Arial" w:eastAsia="Times New Roman" w:hAnsi="Arial" w:cs="Arial"/>
                <w:color w:val="000000"/>
                <w:sz w:val="18"/>
                <w:szCs w:val="18"/>
                <w:lang w:eastAsia="sl-SI"/>
              </w:rPr>
              <w:t>Javni zavodi</w:t>
            </w:r>
          </w:p>
        </w:tc>
        <w:tc>
          <w:tcPr>
            <w:tcW w:w="1787" w:type="dxa"/>
            <w:tcBorders>
              <w:top w:val="nil"/>
              <w:left w:val="nil"/>
              <w:bottom w:val="single" w:sz="4" w:space="0" w:color="auto"/>
              <w:right w:val="single" w:sz="4" w:space="0" w:color="auto"/>
            </w:tcBorders>
            <w:shd w:val="clear" w:color="auto" w:fill="auto"/>
            <w:vAlign w:val="center"/>
            <w:hideMark/>
          </w:tcPr>
          <w:p w14:paraId="7BB894E8" w14:textId="603F79AE" w:rsidR="001B397B" w:rsidRPr="001B397B" w:rsidRDefault="001B397B" w:rsidP="001B397B">
            <w:pPr>
              <w:spacing w:after="0" w:line="240" w:lineRule="auto"/>
              <w:jc w:val="right"/>
              <w:rPr>
                <w:rFonts w:ascii="Arial" w:eastAsia="Times New Roman" w:hAnsi="Arial" w:cs="Arial"/>
                <w:color w:val="000000"/>
                <w:sz w:val="18"/>
                <w:szCs w:val="18"/>
                <w:lang w:eastAsia="sl-SI"/>
              </w:rPr>
            </w:pPr>
            <w:r w:rsidRPr="001B397B">
              <w:rPr>
                <w:rFonts w:ascii="Arial" w:eastAsia="Times New Roman" w:hAnsi="Arial" w:cs="Arial"/>
                <w:color w:val="000000"/>
                <w:sz w:val="18"/>
                <w:szCs w:val="18"/>
                <w:lang w:eastAsia="sl-SI"/>
              </w:rPr>
              <w:t>325</w:t>
            </w:r>
          </w:p>
        </w:tc>
        <w:tc>
          <w:tcPr>
            <w:tcW w:w="2127" w:type="dxa"/>
            <w:tcBorders>
              <w:top w:val="nil"/>
              <w:left w:val="nil"/>
              <w:bottom w:val="single" w:sz="4" w:space="0" w:color="auto"/>
              <w:right w:val="single" w:sz="4" w:space="0" w:color="auto"/>
            </w:tcBorders>
            <w:shd w:val="clear" w:color="auto" w:fill="auto"/>
            <w:vAlign w:val="center"/>
            <w:hideMark/>
          </w:tcPr>
          <w:p w14:paraId="733577B2" w14:textId="12BBDB82" w:rsidR="001B397B" w:rsidRPr="001B397B" w:rsidRDefault="001B397B" w:rsidP="001B397B">
            <w:pPr>
              <w:spacing w:after="0" w:line="240" w:lineRule="auto"/>
              <w:jc w:val="right"/>
              <w:rPr>
                <w:rFonts w:ascii="Arial" w:eastAsia="Times New Roman" w:hAnsi="Arial" w:cs="Arial"/>
                <w:color w:val="000000"/>
                <w:sz w:val="18"/>
                <w:szCs w:val="18"/>
                <w:lang w:eastAsia="sl-SI"/>
              </w:rPr>
            </w:pPr>
            <w:r w:rsidRPr="001B397B">
              <w:rPr>
                <w:rFonts w:ascii="Arial" w:eastAsia="Times New Roman" w:hAnsi="Arial" w:cs="Arial"/>
                <w:color w:val="000000"/>
                <w:sz w:val="18"/>
                <w:szCs w:val="18"/>
                <w:lang w:eastAsia="sl-SI"/>
              </w:rPr>
              <w:t>158</w:t>
            </w:r>
          </w:p>
        </w:tc>
      </w:tr>
      <w:tr w:rsidR="001B397B" w:rsidRPr="001B397B" w14:paraId="46E0FC55" w14:textId="77777777" w:rsidTr="001B397B">
        <w:trPr>
          <w:trHeight w:val="255"/>
          <w:jc w:val="center"/>
        </w:trPr>
        <w:tc>
          <w:tcPr>
            <w:tcW w:w="4445" w:type="dxa"/>
            <w:tcBorders>
              <w:top w:val="nil"/>
              <w:left w:val="single" w:sz="4" w:space="0" w:color="auto"/>
              <w:bottom w:val="single" w:sz="4" w:space="0" w:color="auto"/>
              <w:right w:val="single" w:sz="4" w:space="0" w:color="auto"/>
            </w:tcBorders>
            <w:shd w:val="clear" w:color="auto" w:fill="auto"/>
            <w:vAlign w:val="center"/>
            <w:hideMark/>
          </w:tcPr>
          <w:p w14:paraId="138A7AAC" w14:textId="77777777" w:rsidR="001B397B" w:rsidRPr="001B397B" w:rsidRDefault="001B397B" w:rsidP="001B397B">
            <w:pPr>
              <w:spacing w:after="0" w:line="240" w:lineRule="auto"/>
              <w:jc w:val="both"/>
              <w:rPr>
                <w:rFonts w:ascii="Arial" w:eastAsia="Times New Roman" w:hAnsi="Arial" w:cs="Arial"/>
                <w:color w:val="000000"/>
                <w:sz w:val="18"/>
                <w:szCs w:val="18"/>
                <w:lang w:eastAsia="sl-SI"/>
              </w:rPr>
            </w:pPr>
            <w:r w:rsidRPr="001B397B">
              <w:rPr>
                <w:rFonts w:ascii="Arial" w:eastAsia="Times New Roman" w:hAnsi="Arial" w:cs="Arial"/>
                <w:color w:val="000000"/>
                <w:sz w:val="18"/>
                <w:szCs w:val="18"/>
                <w:lang w:eastAsia="sl-SI"/>
              </w:rPr>
              <w:t>Javni gospodarski zavodi</w:t>
            </w:r>
          </w:p>
        </w:tc>
        <w:tc>
          <w:tcPr>
            <w:tcW w:w="1787" w:type="dxa"/>
            <w:tcBorders>
              <w:top w:val="nil"/>
              <w:left w:val="nil"/>
              <w:bottom w:val="single" w:sz="4" w:space="0" w:color="auto"/>
              <w:right w:val="single" w:sz="4" w:space="0" w:color="auto"/>
            </w:tcBorders>
            <w:shd w:val="clear" w:color="auto" w:fill="auto"/>
            <w:vAlign w:val="center"/>
            <w:hideMark/>
          </w:tcPr>
          <w:p w14:paraId="4290E25D" w14:textId="764F2A16" w:rsidR="001B397B" w:rsidRPr="001B397B" w:rsidRDefault="001B397B" w:rsidP="001B397B">
            <w:pPr>
              <w:spacing w:after="0" w:line="240" w:lineRule="auto"/>
              <w:jc w:val="right"/>
              <w:rPr>
                <w:rFonts w:ascii="Arial" w:eastAsia="Times New Roman" w:hAnsi="Arial" w:cs="Arial"/>
                <w:color w:val="000000"/>
                <w:sz w:val="18"/>
                <w:szCs w:val="18"/>
                <w:lang w:eastAsia="sl-SI"/>
              </w:rPr>
            </w:pPr>
            <w:r w:rsidRPr="001B397B">
              <w:rPr>
                <w:rFonts w:ascii="Arial" w:eastAsia="Times New Roman" w:hAnsi="Arial" w:cs="Arial"/>
                <w:color w:val="000000"/>
                <w:sz w:val="18"/>
                <w:szCs w:val="18"/>
                <w:lang w:eastAsia="sl-SI"/>
              </w:rPr>
              <w:t>7</w:t>
            </w:r>
          </w:p>
        </w:tc>
        <w:tc>
          <w:tcPr>
            <w:tcW w:w="2127" w:type="dxa"/>
            <w:tcBorders>
              <w:top w:val="nil"/>
              <w:left w:val="nil"/>
              <w:bottom w:val="single" w:sz="4" w:space="0" w:color="auto"/>
              <w:right w:val="single" w:sz="4" w:space="0" w:color="auto"/>
            </w:tcBorders>
            <w:shd w:val="clear" w:color="auto" w:fill="auto"/>
            <w:vAlign w:val="center"/>
            <w:hideMark/>
          </w:tcPr>
          <w:p w14:paraId="4B48E75F" w14:textId="0A10BA97" w:rsidR="001B397B" w:rsidRPr="001B397B" w:rsidRDefault="001B397B" w:rsidP="001B397B">
            <w:pPr>
              <w:spacing w:after="0" w:line="240" w:lineRule="auto"/>
              <w:jc w:val="right"/>
              <w:rPr>
                <w:rFonts w:ascii="Arial" w:eastAsia="Times New Roman" w:hAnsi="Arial" w:cs="Arial"/>
                <w:color w:val="000000"/>
                <w:sz w:val="18"/>
                <w:szCs w:val="18"/>
                <w:lang w:eastAsia="sl-SI"/>
              </w:rPr>
            </w:pPr>
            <w:r w:rsidRPr="001B397B">
              <w:rPr>
                <w:rFonts w:ascii="Arial" w:eastAsia="Times New Roman" w:hAnsi="Arial" w:cs="Arial"/>
                <w:color w:val="000000"/>
                <w:sz w:val="18"/>
                <w:szCs w:val="18"/>
                <w:lang w:eastAsia="sl-SI"/>
              </w:rPr>
              <w:t>6</w:t>
            </w:r>
          </w:p>
        </w:tc>
      </w:tr>
      <w:tr w:rsidR="001B397B" w:rsidRPr="001B397B" w14:paraId="11B94175" w14:textId="77777777" w:rsidTr="001B397B">
        <w:trPr>
          <w:trHeight w:val="255"/>
          <w:jc w:val="center"/>
        </w:trPr>
        <w:tc>
          <w:tcPr>
            <w:tcW w:w="4445" w:type="dxa"/>
            <w:tcBorders>
              <w:top w:val="nil"/>
              <w:left w:val="single" w:sz="4" w:space="0" w:color="auto"/>
              <w:bottom w:val="single" w:sz="4" w:space="0" w:color="auto"/>
              <w:right w:val="single" w:sz="4" w:space="0" w:color="auto"/>
            </w:tcBorders>
            <w:shd w:val="clear" w:color="auto" w:fill="auto"/>
            <w:vAlign w:val="center"/>
            <w:hideMark/>
          </w:tcPr>
          <w:p w14:paraId="403D1408" w14:textId="77777777" w:rsidR="001B397B" w:rsidRPr="001B397B" w:rsidRDefault="001B397B" w:rsidP="001B397B">
            <w:pPr>
              <w:spacing w:after="0" w:line="240" w:lineRule="auto"/>
              <w:rPr>
                <w:rFonts w:ascii="Arial" w:eastAsia="Times New Roman" w:hAnsi="Arial" w:cs="Arial"/>
                <w:color w:val="000000"/>
                <w:sz w:val="18"/>
                <w:szCs w:val="18"/>
                <w:lang w:eastAsia="sl-SI"/>
              </w:rPr>
            </w:pPr>
            <w:r w:rsidRPr="001B397B">
              <w:rPr>
                <w:rFonts w:ascii="Arial" w:eastAsia="Times New Roman" w:hAnsi="Arial" w:cs="Arial"/>
                <w:color w:val="000000"/>
                <w:sz w:val="18"/>
                <w:szCs w:val="18"/>
                <w:lang w:eastAsia="sl-SI"/>
              </w:rPr>
              <w:t>Drugi naročniki (osebe javnega prava, javna podjetja, subjekt s posebnimi infrastrukturnimi pravicami)</w:t>
            </w:r>
          </w:p>
        </w:tc>
        <w:tc>
          <w:tcPr>
            <w:tcW w:w="1787" w:type="dxa"/>
            <w:tcBorders>
              <w:top w:val="nil"/>
              <w:left w:val="nil"/>
              <w:bottom w:val="single" w:sz="4" w:space="0" w:color="auto"/>
              <w:right w:val="single" w:sz="4" w:space="0" w:color="auto"/>
            </w:tcBorders>
            <w:shd w:val="clear" w:color="auto" w:fill="auto"/>
            <w:vAlign w:val="center"/>
            <w:hideMark/>
          </w:tcPr>
          <w:p w14:paraId="023657DE" w14:textId="0829DDA3" w:rsidR="001B397B" w:rsidRPr="001B397B" w:rsidRDefault="001B397B" w:rsidP="001B397B">
            <w:pPr>
              <w:spacing w:after="0" w:line="240" w:lineRule="auto"/>
              <w:jc w:val="right"/>
              <w:rPr>
                <w:rFonts w:ascii="Arial" w:eastAsia="Times New Roman" w:hAnsi="Arial" w:cs="Arial"/>
                <w:color w:val="000000"/>
                <w:sz w:val="18"/>
                <w:szCs w:val="18"/>
                <w:lang w:eastAsia="sl-SI"/>
              </w:rPr>
            </w:pPr>
            <w:r w:rsidRPr="001B397B">
              <w:rPr>
                <w:rFonts w:ascii="Arial" w:eastAsia="Times New Roman" w:hAnsi="Arial" w:cs="Arial"/>
                <w:color w:val="000000"/>
                <w:sz w:val="18"/>
                <w:szCs w:val="18"/>
                <w:lang w:eastAsia="sl-SI"/>
              </w:rPr>
              <w:t>67</w:t>
            </w:r>
          </w:p>
        </w:tc>
        <w:tc>
          <w:tcPr>
            <w:tcW w:w="2127" w:type="dxa"/>
            <w:tcBorders>
              <w:top w:val="nil"/>
              <w:left w:val="nil"/>
              <w:bottom w:val="single" w:sz="4" w:space="0" w:color="auto"/>
              <w:right w:val="single" w:sz="4" w:space="0" w:color="auto"/>
            </w:tcBorders>
            <w:shd w:val="clear" w:color="auto" w:fill="auto"/>
            <w:vAlign w:val="center"/>
            <w:hideMark/>
          </w:tcPr>
          <w:p w14:paraId="79D594C5" w14:textId="3ADB4810" w:rsidR="001B397B" w:rsidRPr="001B397B" w:rsidRDefault="001B397B" w:rsidP="001B397B">
            <w:pPr>
              <w:spacing w:after="0" w:line="240" w:lineRule="auto"/>
              <w:jc w:val="right"/>
              <w:rPr>
                <w:rFonts w:ascii="Arial" w:eastAsia="Times New Roman" w:hAnsi="Arial" w:cs="Arial"/>
                <w:color w:val="000000"/>
                <w:sz w:val="18"/>
                <w:szCs w:val="18"/>
                <w:lang w:eastAsia="sl-SI"/>
              </w:rPr>
            </w:pPr>
            <w:r w:rsidRPr="001B397B">
              <w:rPr>
                <w:rFonts w:ascii="Arial" w:eastAsia="Times New Roman" w:hAnsi="Arial" w:cs="Arial"/>
                <w:color w:val="000000"/>
                <w:sz w:val="18"/>
                <w:szCs w:val="18"/>
                <w:lang w:eastAsia="sl-SI"/>
              </w:rPr>
              <w:t>62</w:t>
            </w:r>
          </w:p>
        </w:tc>
      </w:tr>
      <w:tr w:rsidR="001B397B" w:rsidRPr="001B397B" w14:paraId="507AE806" w14:textId="77777777" w:rsidTr="001B397B">
        <w:trPr>
          <w:trHeight w:val="255"/>
          <w:jc w:val="center"/>
        </w:trPr>
        <w:tc>
          <w:tcPr>
            <w:tcW w:w="4445" w:type="dxa"/>
            <w:tcBorders>
              <w:top w:val="nil"/>
              <w:left w:val="single" w:sz="4" w:space="0" w:color="auto"/>
              <w:bottom w:val="single" w:sz="4" w:space="0" w:color="auto"/>
              <w:right w:val="single" w:sz="4" w:space="0" w:color="auto"/>
            </w:tcBorders>
            <w:shd w:val="clear" w:color="auto" w:fill="auto"/>
            <w:vAlign w:val="center"/>
            <w:hideMark/>
          </w:tcPr>
          <w:p w14:paraId="0B10E1AD" w14:textId="049F4586" w:rsidR="001B397B" w:rsidRPr="001B397B" w:rsidRDefault="006A68C7" w:rsidP="001B397B">
            <w:pPr>
              <w:spacing w:after="0" w:line="240" w:lineRule="auto"/>
              <w:jc w:val="both"/>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Drugi</w:t>
            </w:r>
            <w:r w:rsidR="001B397B" w:rsidRPr="001B397B">
              <w:rPr>
                <w:rFonts w:ascii="Arial" w:eastAsia="Times New Roman" w:hAnsi="Arial" w:cs="Arial"/>
                <w:color w:val="000000"/>
                <w:sz w:val="18"/>
                <w:szCs w:val="18"/>
                <w:lang w:eastAsia="sl-SI"/>
              </w:rPr>
              <w:t xml:space="preserve"> subjekti</w:t>
            </w:r>
          </w:p>
        </w:tc>
        <w:tc>
          <w:tcPr>
            <w:tcW w:w="1787" w:type="dxa"/>
            <w:tcBorders>
              <w:top w:val="nil"/>
              <w:left w:val="nil"/>
              <w:bottom w:val="single" w:sz="4" w:space="0" w:color="auto"/>
              <w:right w:val="single" w:sz="4" w:space="0" w:color="auto"/>
            </w:tcBorders>
            <w:shd w:val="clear" w:color="auto" w:fill="auto"/>
            <w:vAlign w:val="center"/>
            <w:hideMark/>
          </w:tcPr>
          <w:p w14:paraId="21AE57DB" w14:textId="301D8972" w:rsidR="001B397B" w:rsidRPr="001B397B" w:rsidRDefault="001B397B" w:rsidP="001B397B">
            <w:pPr>
              <w:spacing w:after="0" w:line="240" w:lineRule="auto"/>
              <w:jc w:val="right"/>
              <w:rPr>
                <w:rFonts w:ascii="Arial" w:eastAsia="Times New Roman" w:hAnsi="Arial" w:cs="Arial"/>
                <w:color w:val="000000"/>
                <w:sz w:val="18"/>
                <w:szCs w:val="18"/>
                <w:lang w:eastAsia="sl-SI"/>
              </w:rPr>
            </w:pPr>
            <w:r w:rsidRPr="001B397B">
              <w:rPr>
                <w:rFonts w:ascii="Arial" w:eastAsia="Times New Roman" w:hAnsi="Arial" w:cs="Arial"/>
                <w:color w:val="000000"/>
                <w:sz w:val="18"/>
                <w:szCs w:val="18"/>
                <w:lang w:eastAsia="sl-SI"/>
              </w:rPr>
              <w:t>18</w:t>
            </w:r>
          </w:p>
        </w:tc>
        <w:tc>
          <w:tcPr>
            <w:tcW w:w="2127" w:type="dxa"/>
            <w:tcBorders>
              <w:top w:val="nil"/>
              <w:left w:val="nil"/>
              <w:bottom w:val="single" w:sz="4" w:space="0" w:color="auto"/>
              <w:right w:val="single" w:sz="4" w:space="0" w:color="auto"/>
            </w:tcBorders>
            <w:shd w:val="clear" w:color="auto" w:fill="auto"/>
            <w:vAlign w:val="center"/>
            <w:hideMark/>
          </w:tcPr>
          <w:p w14:paraId="386D3444" w14:textId="02C54138" w:rsidR="001B397B" w:rsidRPr="001B397B" w:rsidRDefault="001B397B" w:rsidP="001B397B">
            <w:pPr>
              <w:spacing w:after="0" w:line="240" w:lineRule="auto"/>
              <w:jc w:val="right"/>
              <w:rPr>
                <w:rFonts w:ascii="Arial" w:eastAsia="Times New Roman" w:hAnsi="Arial" w:cs="Arial"/>
                <w:color w:val="000000"/>
                <w:sz w:val="18"/>
                <w:szCs w:val="18"/>
                <w:lang w:eastAsia="sl-SI"/>
              </w:rPr>
            </w:pPr>
            <w:r w:rsidRPr="001B397B">
              <w:rPr>
                <w:rFonts w:ascii="Arial" w:eastAsia="Times New Roman" w:hAnsi="Arial" w:cs="Arial"/>
                <w:color w:val="000000"/>
                <w:sz w:val="18"/>
                <w:szCs w:val="18"/>
                <w:lang w:eastAsia="sl-SI"/>
              </w:rPr>
              <w:t>30</w:t>
            </w:r>
          </w:p>
        </w:tc>
      </w:tr>
      <w:tr w:rsidR="001B397B" w:rsidRPr="001B397B" w14:paraId="28E1CA27" w14:textId="77777777" w:rsidTr="001B397B">
        <w:trPr>
          <w:trHeight w:val="255"/>
          <w:jc w:val="center"/>
        </w:trPr>
        <w:tc>
          <w:tcPr>
            <w:tcW w:w="4445"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624076C" w14:textId="77777777" w:rsidR="001B397B" w:rsidRPr="001B397B" w:rsidRDefault="001B397B" w:rsidP="001B397B">
            <w:pPr>
              <w:spacing w:after="0" w:line="240" w:lineRule="auto"/>
              <w:jc w:val="both"/>
              <w:rPr>
                <w:rFonts w:ascii="Arial" w:eastAsia="Times New Roman" w:hAnsi="Arial" w:cs="Arial"/>
                <w:b/>
                <w:bCs/>
                <w:color w:val="000000"/>
                <w:sz w:val="18"/>
                <w:szCs w:val="18"/>
                <w:lang w:eastAsia="sl-SI"/>
              </w:rPr>
            </w:pPr>
            <w:r w:rsidRPr="001B397B">
              <w:rPr>
                <w:rFonts w:ascii="Arial" w:eastAsia="Times New Roman" w:hAnsi="Arial" w:cs="Arial"/>
                <w:b/>
                <w:bCs/>
                <w:color w:val="000000"/>
                <w:sz w:val="18"/>
                <w:szCs w:val="18"/>
                <w:lang w:eastAsia="sl-SI"/>
              </w:rPr>
              <w:t>Skupaj</w:t>
            </w:r>
          </w:p>
        </w:tc>
        <w:tc>
          <w:tcPr>
            <w:tcW w:w="1787" w:type="dxa"/>
            <w:tcBorders>
              <w:top w:val="nil"/>
              <w:left w:val="nil"/>
              <w:bottom w:val="single" w:sz="4" w:space="0" w:color="auto"/>
              <w:right w:val="single" w:sz="4" w:space="0" w:color="auto"/>
            </w:tcBorders>
            <w:shd w:val="clear" w:color="auto" w:fill="F2F2F2" w:themeFill="background1" w:themeFillShade="F2"/>
            <w:vAlign w:val="center"/>
            <w:hideMark/>
          </w:tcPr>
          <w:p w14:paraId="7F3D7A85" w14:textId="316FE2AD" w:rsidR="001B397B" w:rsidRPr="001B397B" w:rsidRDefault="001B397B" w:rsidP="001B397B">
            <w:pPr>
              <w:spacing w:after="0" w:line="240" w:lineRule="auto"/>
              <w:jc w:val="right"/>
              <w:rPr>
                <w:rFonts w:ascii="Arial" w:eastAsia="Times New Roman" w:hAnsi="Arial" w:cs="Arial"/>
                <w:b/>
                <w:bCs/>
                <w:color w:val="000000"/>
                <w:sz w:val="18"/>
                <w:szCs w:val="18"/>
                <w:lang w:eastAsia="sl-SI"/>
              </w:rPr>
            </w:pPr>
            <w:r w:rsidRPr="001B397B">
              <w:rPr>
                <w:rFonts w:ascii="Arial" w:eastAsia="Times New Roman" w:hAnsi="Arial" w:cs="Arial"/>
                <w:b/>
                <w:bCs/>
                <w:color w:val="000000"/>
                <w:sz w:val="18"/>
                <w:szCs w:val="18"/>
                <w:lang w:eastAsia="sl-SI"/>
              </w:rPr>
              <w:t>592</w:t>
            </w:r>
          </w:p>
        </w:tc>
        <w:tc>
          <w:tcPr>
            <w:tcW w:w="2127" w:type="dxa"/>
            <w:tcBorders>
              <w:top w:val="nil"/>
              <w:left w:val="nil"/>
              <w:bottom w:val="single" w:sz="4" w:space="0" w:color="auto"/>
              <w:right w:val="single" w:sz="4" w:space="0" w:color="auto"/>
            </w:tcBorders>
            <w:shd w:val="clear" w:color="auto" w:fill="F2F2F2" w:themeFill="background1" w:themeFillShade="F2"/>
            <w:vAlign w:val="center"/>
            <w:hideMark/>
          </w:tcPr>
          <w:p w14:paraId="74923AAC" w14:textId="5EFA5B06" w:rsidR="001B397B" w:rsidRPr="001B397B" w:rsidRDefault="001B397B" w:rsidP="001B397B">
            <w:pPr>
              <w:spacing w:after="0" w:line="240" w:lineRule="auto"/>
              <w:jc w:val="right"/>
              <w:rPr>
                <w:rFonts w:ascii="Arial" w:eastAsia="Times New Roman" w:hAnsi="Arial" w:cs="Arial"/>
                <w:b/>
                <w:bCs/>
                <w:color w:val="000000"/>
                <w:sz w:val="18"/>
                <w:szCs w:val="18"/>
                <w:lang w:eastAsia="sl-SI"/>
              </w:rPr>
            </w:pPr>
            <w:r w:rsidRPr="001B397B">
              <w:rPr>
                <w:rFonts w:ascii="Arial" w:eastAsia="Times New Roman" w:hAnsi="Arial" w:cs="Arial"/>
                <w:b/>
                <w:bCs/>
                <w:color w:val="000000"/>
                <w:sz w:val="18"/>
                <w:szCs w:val="18"/>
                <w:lang w:eastAsia="sl-SI"/>
              </w:rPr>
              <w:t>351</w:t>
            </w:r>
          </w:p>
        </w:tc>
      </w:tr>
    </w:tbl>
    <w:p w14:paraId="13FC6F2D" w14:textId="5641CA24" w:rsidR="009D76BE" w:rsidRPr="001B397B" w:rsidRDefault="009D76BE" w:rsidP="009D76BE">
      <w:pPr>
        <w:spacing w:after="0" w:line="240" w:lineRule="auto"/>
        <w:jc w:val="both"/>
        <w:rPr>
          <w:rFonts w:ascii="Arial" w:hAnsi="Arial" w:cs="Arial"/>
          <w:sz w:val="20"/>
        </w:rPr>
      </w:pPr>
    </w:p>
    <w:p w14:paraId="5618DBF3" w14:textId="4106209D" w:rsidR="00915080" w:rsidRPr="001B397B" w:rsidRDefault="00881EA7" w:rsidP="004E44C4">
      <w:pPr>
        <w:spacing w:after="240" w:line="240" w:lineRule="auto"/>
        <w:jc w:val="center"/>
        <w:rPr>
          <w:rFonts w:ascii="Arial" w:hAnsi="Arial" w:cs="Arial"/>
          <w:sz w:val="18"/>
        </w:rPr>
      </w:pPr>
      <w:r w:rsidRPr="001B397B">
        <w:rPr>
          <w:rFonts w:ascii="Arial" w:hAnsi="Arial" w:cs="Arial"/>
          <w:sz w:val="18"/>
        </w:rPr>
        <w:t xml:space="preserve">Vir: Statistični podatki o javnih </w:t>
      </w:r>
      <w:r w:rsidR="003B3059" w:rsidRPr="001B397B">
        <w:rPr>
          <w:rFonts w:ascii="Arial" w:hAnsi="Arial" w:cs="Arial"/>
          <w:sz w:val="18"/>
        </w:rPr>
        <w:t>naročilih, oddanih v letu 20</w:t>
      </w:r>
      <w:r w:rsidR="00543332" w:rsidRPr="001B397B">
        <w:rPr>
          <w:rFonts w:ascii="Arial" w:hAnsi="Arial" w:cs="Arial"/>
          <w:sz w:val="18"/>
        </w:rPr>
        <w:t>2</w:t>
      </w:r>
      <w:r w:rsidR="001B397B" w:rsidRPr="001B397B">
        <w:rPr>
          <w:rFonts w:ascii="Arial" w:hAnsi="Arial" w:cs="Arial"/>
          <w:sz w:val="18"/>
        </w:rPr>
        <w:t>2</w:t>
      </w:r>
      <w:r w:rsidR="007B25B7" w:rsidRPr="001B397B">
        <w:rPr>
          <w:rFonts w:ascii="Arial" w:hAnsi="Arial" w:cs="Arial"/>
          <w:sz w:val="18"/>
        </w:rPr>
        <w:t>.</w:t>
      </w:r>
    </w:p>
    <w:p w14:paraId="25718E17" w14:textId="77777777" w:rsidR="00EF4A55" w:rsidRPr="00364460" w:rsidRDefault="00EF4A55" w:rsidP="00EF4A55">
      <w:pPr>
        <w:spacing w:after="0" w:line="240" w:lineRule="auto"/>
        <w:jc w:val="center"/>
        <w:rPr>
          <w:rFonts w:ascii="Arial" w:hAnsi="Arial" w:cs="Arial"/>
          <w:sz w:val="18"/>
        </w:rPr>
      </w:pPr>
    </w:p>
    <w:p w14:paraId="5A1B82CF" w14:textId="77777777" w:rsidR="001C4E20" w:rsidRDefault="001C4E20">
      <w:pPr>
        <w:rPr>
          <w:rFonts w:ascii="Arial" w:eastAsiaTheme="majorEastAsia" w:hAnsi="Arial" w:cs="Arial"/>
          <w:color w:val="2F5496" w:themeColor="accent1" w:themeShade="BF"/>
        </w:rPr>
      </w:pPr>
      <w:bookmarkStart w:id="49" w:name="_Toc141864080"/>
      <w:r>
        <w:rPr>
          <w:rFonts w:ascii="Arial" w:hAnsi="Arial" w:cs="Arial"/>
        </w:rPr>
        <w:br w:type="page"/>
      </w:r>
    </w:p>
    <w:p w14:paraId="7005FBBF" w14:textId="0685E7D5" w:rsidR="005C6424" w:rsidRPr="00364460" w:rsidRDefault="005C6424" w:rsidP="005C6424">
      <w:pPr>
        <w:pStyle w:val="Naslov2"/>
        <w:rPr>
          <w:rFonts w:ascii="Arial" w:hAnsi="Arial" w:cs="Arial"/>
          <w:szCs w:val="20"/>
        </w:rPr>
      </w:pPr>
      <w:r w:rsidRPr="00364460">
        <w:rPr>
          <w:rFonts w:ascii="Arial" w:hAnsi="Arial" w:cs="Arial"/>
          <w:sz w:val="22"/>
          <w:szCs w:val="22"/>
        </w:rPr>
        <w:lastRenderedPageBreak/>
        <w:t>2.</w:t>
      </w:r>
      <w:r w:rsidR="00FA2740" w:rsidRPr="00364460">
        <w:rPr>
          <w:rFonts w:ascii="Arial" w:hAnsi="Arial" w:cs="Arial"/>
          <w:sz w:val="22"/>
          <w:szCs w:val="22"/>
        </w:rPr>
        <w:t>9</w:t>
      </w:r>
      <w:r w:rsidRPr="00364460">
        <w:rPr>
          <w:rFonts w:ascii="Arial" w:hAnsi="Arial" w:cs="Arial"/>
          <w:sz w:val="22"/>
          <w:szCs w:val="22"/>
        </w:rPr>
        <w:t>.</w:t>
      </w:r>
      <w:r w:rsidR="00731C4D" w:rsidRPr="00364460">
        <w:rPr>
          <w:rFonts w:ascii="Arial" w:hAnsi="Arial" w:cs="Arial"/>
          <w:sz w:val="22"/>
          <w:szCs w:val="22"/>
        </w:rPr>
        <w:t>2</w:t>
      </w:r>
      <w:r w:rsidRPr="00364460">
        <w:rPr>
          <w:rFonts w:ascii="Arial" w:hAnsi="Arial" w:cs="Arial"/>
          <w:sz w:val="22"/>
          <w:szCs w:val="22"/>
        </w:rPr>
        <w:t xml:space="preserve"> </w:t>
      </w:r>
      <w:r w:rsidR="004B2D1D" w:rsidRPr="00364460">
        <w:rPr>
          <w:rFonts w:ascii="Arial" w:hAnsi="Arial" w:cs="Arial"/>
          <w:sz w:val="22"/>
          <w:szCs w:val="22"/>
        </w:rPr>
        <w:t>Družbeno odgovorno javno naročanje</w:t>
      </w:r>
      <w:bookmarkEnd w:id="49"/>
      <w:r w:rsidR="00731C4D" w:rsidRPr="00364460">
        <w:rPr>
          <w:rFonts w:ascii="Arial" w:hAnsi="Arial" w:cs="Arial"/>
          <w:sz w:val="22"/>
          <w:szCs w:val="22"/>
        </w:rPr>
        <w:t xml:space="preserve"> </w:t>
      </w:r>
    </w:p>
    <w:p w14:paraId="3097B843" w14:textId="77777777" w:rsidR="00806D8E" w:rsidRPr="00364460" w:rsidRDefault="00806D8E" w:rsidP="00854405">
      <w:pPr>
        <w:pStyle w:val="ZADEVA"/>
        <w:jc w:val="both"/>
        <w:rPr>
          <w:rFonts w:cs="Arial"/>
          <w:b w:val="0"/>
          <w:szCs w:val="20"/>
          <w:lang w:val="sl-SI"/>
        </w:rPr>
      </w:pPr>
    </w:p>
    <w:p w14:paraId="237BB04D" w14:textId="2E9360C8" w:rsidR="007F3DED" w:rsidRPr="00E96996" w:rsidRDefault="005522FF" w:rsidP="007F3DED">
      <w:pPr>
        <w:spacing w:line="360" w:lineRule="auto"/>
        <w:jc w:val="both"/>
        <w:rPr>
          <w:rFonts w:ascii="Arial" w:hAnsi="Arial" w:cs="Arial"/>
          <w:color w:val="000000" w:themeColor="text1"/>
          <w:sz w:val="20"/>
          <w:szCs w:val="20"/>
        </w:rPr>
      </w:pPr>
      <w:r w:rsidRPr="00364460">
        <w:rPr>
          <w:rFonts w:ascii="Arial" w:hAnsi="Arial" w:cs="Arial"/>
          <w:sz w:val="20"/>
          <w:szCs w:val="20"/>
        </w:rPr>
        <w:t>Leta</w:t>
      </w:r>
      <w:r w:rsidR="00341176" w:rsidRPr="00364460">
        <w:rPr>
          <w:rFonts w:ascii="Arial" w:hAnsi="Arial" w:cs="Arial"/>
          <w:sz w:val="20"/>
          <w:szCs w:val="20"/>
        </w:rPr>
        <w:t xml:space="preserve"> 20</w:t>
      </w:r>
      <w:r w:rsidR="00AA19C5" w:rsidRPr="00364460">
        <w:rPr>
          <w:rFonts w:ascii="Arial" w:hAnsi="Arial" w:cs="Arial"/>
          <w:sz w:val="20"/>
          <w:szCs w:val="20"/>
        </w:rPr>
        <w:t>2</w:t>
      </w:r>
      <w:r w:rsidR="00364460" w:rsidRPr="00364460">
        <w:rPr>
          <w:rFonts w:ascii="Arial" w:hAnsi="Arial" w:cs="Arial"/>
          <w:sz w:val="20"/>
          <w:szCs w:val="20"/>
        </w:rPr>
        <w:t>2</w:t>
      </w:r>
      <w:r w:rsidR="00341176" w:rsidRPr="00364460">
        <w:rPr>
          <w:rFonts w:ascii="Arial" w:hAnsi="Arial" w:cs="Arial"/>
          <w:sz w:val="20"/>
          <w:szCs w:val="20"/>
        </w:rPr>
        <w:t xml:space="preserve"> je bilo oddanih </w:t>
      </w:r>
      <w:r w:rsidR="00AA19C5" w:rsidRPr="00364460">
        <w:rPr>
          <w:rFonts w:ascii="Arial" w:hAnsi="Arial" w:cs="Arial"/>
          <w:sz w:val="20"/>
          <w:szCs w:val="20"/>
        </w:rPr>
        <w:t>2</w:t>
      </w:r>
      <w:r w:rsidR="00364460" w:rsidRPr="00364460">
        <w:rPr>
          <w:rFonts w:ascii="Arial" w:hAnsi="Arial" w:cs="Arial"/>
          <w:sz w:val="20"/>
          <w:szCs w:val="20"/>
        </w:rPr>
        <w:t>151</w:t>
      </w:r>
      <w:r w:rsidR="007F3DED" w:rsidRPr="00364460">
        <w:rPr>
          <w:rFonts w:ascii="Arial" w:hAnsi="Arial" w:cs="Arial"/>
          <w:sz w:val="20"/>
          <w:szCs w:val="20"/>
        </w:rPr>
        <w:t xml:space="preserve"> naročil v vrednosti </w:t>
      </w:r>
      <w:r w:rsidR="00364460" w:rsidRPr="00364460">
        <w:rPr>
          <w:rFonts w:ascii="Arial" w:hAnsi="Arial" w:cs="Arial"/>
          <w:sz w:val="20"/>
          <w:szCs w:val="20"/>
        </w:rPr>
        <w:t xml:space="preserve">589.961.301 </w:t>
      </w:r>
      <w:r w:rsidR="007F3DED" w:rsidRPr="00364460">
        <w:rPr>
          <w:rFonts w:ascii="Arial" w:hAnsi="Arial" w:cs="Arial"/>
          <w:sz w:val="20"/>
          <w:szCs w:val="20"/>
        </w:rPr>
        <w:t>evrov, v katerih so bili upoštevani socialni vidiki oziroma zahteve</w:t>
      </w:r>
      <w:r w:rsidR="007F3DED" w:rsidRPr="00364460">
        <w:rPr>
          <w:rFonts w:ascii="Arial" w:hAnsi="Arial" w:cs="Arial"/>
          <w:color w:val="000000" w:themeColor="text1"/>
          <w:sz w:val="20"/>
          <w:szCs w:val="20"/>
        </w:rPr>
        <w:t xml:space="preserve">. Delež teh </w:t>
      </w:r>
      <w:r w:rsidR="00410FB1" w:rsidRPr="00364460">
        <w:rPr>
          <w:rFonts w:ascii="Arial" w:hAnsi="Arial" w:cs="Arial"/>
          <w:color w:val="000000" w:themeColor="text1"/>
          <w:sz w:val="20"/>
          <w:szCs w:val="20"/>
        </w:rPr>
        <w:t xml:space="preserve">je </w:t>
      </w:r>
      <w:r w:rsidR="006712AE" w:rsidRPr="00364460">
        <w:rPr>
          <w:rFonts w:ascii="Arial" w:hAnsi="Arial" w:cs="Arial"/>
          <w:color w:val="000000" w:themeColor="text1"/>
          <w:sz w:val="20"/>
          <w:szCs w:val="20"/>
        </w:rPr>
        <w:t>1</w:t>
      </w:r>
      <w:r w:rsidR="00364460" w:rsidRPr="00364460">
        <w:rPr>
          <w:rFonts w:ascii="Arial" w:hAnsi="Arial" w:cs="Arial"/>
          <w:color w:val="000000" w:themeColor="text1"/>
          <w:sz w:val="20"/>
          <w:szCs w:val="20"/>
        </w:rPr>
        <w:t>2,49</w:t>
      </w:r>
      <w:r w:rsidR="007B25B7" w:rsidRPr="00364460">
        <w:rPr>
          <w:rFonts w:ascii="Arial" w:hAnsi="Arial" w:cs="Arial"/>
          <w:color w:val="000000" w:themeColor="text1"/>
          <w:sz w:val="20"/>
          <w:szCs w:val="20"/>
        </w:rPr>
        <w:t> </w:t>
      </w:r>
      <w:r w:rsidR="00AC0027">
        <w:rPr>
          <w:rFonts w:ascii="Arial" w:hAnsi="Arial" w:cs="Arial"/>
          <w:color w:val="000000" w:themeColor="text1"/>
          <w:sz w:val="20"/>
          <w:szCs w:val="20"/>
        </w:rPr>
        <w:t>odstotka</w:t>
      </w:r>
      <w:r w:rsidR="00A96351" w:rsidRPr="00364460">
        <w:rPr>
          <w:rFonts w:ascii="Arial" w:hAnsi="Arial" w:cs="Arial"/>
          <w:color w:val="000000" w:themeColor="text1"/>
          <w:sz w:val="20"/>
          <w:szCs w:val="20"/>
        </w:rPr>
        <w:t xml:space="preserve"> v številu vseh naročil in </w:t>
      </w:r>
      <w:r w:rsidR="00364460" w:rsidRPr="00364460">
        <w:rPr>
          <w:rFonts w:ascii="Arial" w:hAnsi="Arial" w:cs="Arial"/>
          <w:color w:val="000000" w:themeColor="text1"/>
          <w:sz w:val="20"/>
          <w:szCs w:val="20"/>
        </w:rPr>
        <w:t>10,89</w:t>
      </w:r>
      <w:r w:rsidR="007B25B7" w:rsidRPr="00364460">
        <w:rPr>
          <w:rFonts w:ascii="Arial" w:hAnsi="Arial" w:cs="Arial"/>
          <w:color w:val="000000" w:themeColor="text1"/>
          <w:sz w:val="20"/>
          <w:szCs w:val="20"/>
        </w:rPr>
        <w:t> </w:t>
      </w:r>
      <w:r w:rsidR="00AC0027">
        <w:rPr>
          <w:rFonts w:ascii="Arial" w:hAnsi="Arial" w:cs="Arial"/>
          <w:color w:val="000000" w:themeColor="text1"/>
          <w:sz w:val="20"/>
          <w:szCs w:val="20"/>
        </w:rPr>
        <w:t>odstotka</w:t>
      </w:r>
      <w:r w:rsidR="007F3DED" w:rsidRPr="00364460">
        <w:rPr>
          <w:rFonts w:ascii="Arial" w:hAnsi="Arial" w:cs="Arial"/>
          <w:color w:val="000000" w:themeColor="text1"/>
          <w:sz w:val="20"/>
          <w:szCs w:val="20"/>
        </w:rPr>
        <w:t xml:space="preserve"> v vr</w:t>
      </w:r>
      <w:r w:rsidR="00A96351" w:rsidRPr="00364460">
        <w:rPr>
          <w:rFonts w:ascii="Arial" w:hAnsi="Arial" w:cs="Arial"/>
          <w:color w:val="000000" w:themeColor="text1"/>
          <w:sz w:val="20"/>
          <w:szCs w:val="20"/>
        </w:rPr>
        <w:t xml:space="preserve">ednosti vseh naročil v </w:t>
      </w:r>
      <w:r w:rsidR="00A96351" w:rsidRPr="00E96996">
        <w:rPr>
          <w:rFonts w:ascii="Arial" w:hAnsi="Arial" w:cs="Arial"/>
          <w:color w:val="000000" w:themeColor="text1"/>
          <w:sz w:val="20"/>
          <w:szCs w:val="20"/>
        </w:rPr>
        <w:t>letu 20</w:t>
      </w:r>
      <w:r w:rsidR="00AA19C5" w:rsidRPr="00E96996">
        <w:rPr>
          <w:rFonts w:ascii="Arial" w:hAnsi="Arial" w:cs="Arial"/>
          <w:color w:val="000000" w:themeColor="text1"/>
          <w:sz w:val="20"/>
          <w:szCs w:val="20"/>
        </w:rPr>
        <w:t>2</w:t>
      </w:r>
      <w:r w:rsidR="00364460" w:rsidRPr="00E96996">
        <w:rPr>
          <w:rFonts w:ascii="Arial" w:hAnsi="Arial" w:cs="Arial"/>
          <w:color w:val="000000" w:themeColor="text1"/>
          <w:sz w:val="20"/>
          <w:szCs w:val="20"/>
        </w:rPr>
        <w:t>2</w:t>
      </w:r>
      <w:r w:rsidR="007F3DED" w:rsidRPr="00E96996">
        <w:rPr>
          <w:rFonts w:ascii="Arial" w:hAnsi="Arial" w:cs="Arial"/>
          <w:color w:val="000000" w:themeColor="text1"/>
          <w:sz w:val="20"/>
          <w:szCs w:val="20"/>
        </w:rPr>
        <w:t>.</w:t>
      </w:r>
    </w:p>
    <w:p w14:paraId="33E6299B" w14:textId="5523262A" w:rsidR="00F513C9" w:rsidRPr="00E96996" w:rsidRDefault="007F3DED" w:rsidP="00F513C9">
      <w:pPr>
        <w:spacing w:line="360" w:lineRule="auto"/>
        <w:jc w:val="both"/>
        <w:rPr>
          <w:rFonts w:ascii="Arial" w:hAnsi="Arial" w:cs="Arial"/>
          <w:sz w:val="20"/>
          <w:szCs w:val="20"/>
          <w:lang w:eastAsia="sl-SI"/>
        </w:rPr>
      </w:pPr>
      <w:r w:rsidRPr="00E96996">
        <w:rPr>
          <w:rFonts w:ascii="Arial" w:hAnsi="Arial" w:cs="Arial"/>
          <w:sz w:val="20"/>
          <w:szCs w:val="20"/>
        </w:rPr>
        <w:t>Javni zavodi so oddali največ</w:t>
      </w:r>
      <w:r w:rsidR="006E3F05" w:rsidRPr="00E96996">
        <w:rPr>
          <w:rFonts w:ascii="Arial" w:hAnsi="Arial" w:cs="Arial"/>
          <w:sz w:val="20"/>
          <w:szCs w:val="20"/>
        </w:rPr>
        <w:t xml:space="preserve"> tovrstnih naročil, in sicer </w:t>
      </w:r>
      <w:r w:rsidR="00AA19C5" w:rsidRPr="00E96996">
        <w:rPr>
          <w:rFonts w:ascii="Arial" w:hAnsi="Arial" w:cs="Arial"/>
          <w:sz w:val="20"/>
          <w:szCs w:val="20"/>
        </w:rPr>
        <w:t>1</w:t>
      </w:r>
      <w:r w:rsidR="00E96996" w:rsidRPr="00E96996">
        <w:rPr>
          <w:rFonts w:ascii="Arial" w:hAnsi="Arial" w:cs="Arial"/>
          <w:sz w:val="20"/>
          <w:szCs w:val="20"/>
        </w:rPr>
        <w:t>002</w:t>
      </w:r>
      <w:r w:rsidR="00301627" w:rsidRPr="00E96996">
        <w:rPr>
          <w:rFonts w:ascii="Arial" w:hAnsi="Arial" w:cs="Arial"/>
          <w:sz w:val="20"/>
          <w:szCs w:val="20"/>
        </w:rPr>
        <w:t xml:space="preserve"> v</w:t>
      </w:r>
      <w:r w:rsidRPr="00E96996">
        <w:rPr>
          <w:rFonts w:ascii="Arial" w:hAnsi="Arial" w:cs="Arial"/>
          <w:sz w:val="20"/>
          <w:szCs w:val="20"/>
        </w:rPr>
        <w:t xml:space="preserve"> vrednost</w:t>
      </w:r>
      <w:r w:rsidR="00301627" w:rsidRPr="00E96996">
        <w:rPr>
          <w:rFonts w:ascii="Arial" w:hAnsi="Arial" w:cs="Arial"/>
          <w:sz w:val="20"/>
          <w:szCs w:val="20"/>
        </w:rPr>
        <w:t>i</w:t>
      </w:r>
      <w:r w:rsidR="006E4504" w:rsidRPr="00E96996">
        <w:rPr>
          <w:rFonts w:ascii="Arial" w:hAnsi="Arial" w:cs="Arial"/>
          <w:sz w:val="20"/>
          <w:szCs w:val="20"/>
        </w:rPr>
        <w:t xml:space="preserve"> </w:t>
      </w:r>
      <w:r w:rsidR="00E96996" w:rsidRPr="00E96996">
        <w:rPr>
          <w:rFonts w:ascii="Arial" w:hAnsi="Arial" w:cs="Arial"/>
          <w:sz w:val="20"/>
          <w:szCs w:val="20"/>
        </w:rPr>
        <w:t xml:space="preserve">157.862.013 </w:t>
      </w:r>
      <w:r w:rsidRPr="00E96996">
        <w:rPr>
          <w:rFonts w:ascii="Arial" w:hAnsi="Arial" w:cs="Arial"/>
          <w:sz w:val="20"/>
          <w:szCs w:val="20"/>
        </w:rPr>
        <w:t xml:space="preserve">evrov. Po vrednosti so največ naročil oddali </w:t>
      </w:r>
      <w:r w:rsidRPr="00E96996">
        <w:rPr>
          <w:rFonts w:ascii="Arial" w:hAnsi="Arial" w:cs="Arial"/>
          <w:sz w:val="20"/>
          <w:szCs w:val="20"/>
          <w:lang w:eastAsia="sl-SI"/>
        </w:rPr>
        <w:t>drugi naročniki (osebe javnega prava, javna podjetja, subjekt s posebnimi infrastruk</w:t>
      </w:r>
      <w:r w:rsidR="006E3F05" w:rsidRPr="00E96996">
        <w:rPr>
          <w:rFonts w:ascii="Arial" w:hAnsi="Arial" w:cs="Arial"/>
          <w:sz w:val="20"/>
          <w:szCs w:val="20"/>
          <w:lang w:eastAsia="sl-SI"/>
        </w:rPr>
        <w:t xml:space="preserve">turnimi pravicami), in sicer </w:t>
      </w:r>
      <w:r w:rsidR="00302CAF" w:rsidRPr="00E96996">
        <w:rPr>
          <w:rFonts w:ascii="Arial" w:hAnsi="Arial" w:cs="Arial"/>
          <w:sz w:val="20"/>
          <w:szCs w:val="20"/>
          <w:lang w:eastAsia="sl-SI"/>
        </w:rPr>
        <w:t>6</w:t>
      </w:r>
      <w:r w:rsidR="00E96996" w:rsidRPr="00E96996">
        <w:rPr>
          <w:rFonts w:ascii="Arial" w:hAnsi="Arial" w:cs="Arial"/>
          <w:sz w:val="20"/>
          <w:szCs w:val="20"/>
          <w:lang w:eastAsia="sl-SI"/>
        </w:rPr>
        <w:t>75</w:t>
      </w:r>
      <w:r w:rsidRPr="00E96996">
        <w:rPr>
          <w:rFonts w:ascii="Arial" w:hAnsi="Arial" w:cs="Arial"/>
          <w:sz w:val="20"/>
          <w:szCs w:val="20"/>
          <w:lang w:eastAsia="sl-SI"/>
        </w:rPr>
        <w:t xml:space="preserve"> naročil v vrednosti </w:t>
      </w:r>
      <w:r w:rsidR="00E96996" w:rsidRPr="00E96996">
        <w:rPr>
          <w:rFonts w:ascii="Arial" w:hAnsi="Arial" w:cs="Arial"/>
          <w:sz w:val="20"/>
          <w:szCs w:val="20"/>
          <w:lang w:eastAsia="sl-SI"/>
        </w:rPr>
        <w:t xml:space="preserve">206.362.030 </w:t>
      </w:r>
      <w:r w:rsidRPr="00E96996">
        <w:rPr>
          <w:rFonts w:ascii="Arial" w:hAnsi="Arial" w:cs="Arial"/>
          <w:color w:val="000000"/>
          <w:sz w:val="20"/>
          <w:szCs w:val="20"/>
        </w:rPr>
        <w:t xml:space="preserve">evrov. </w:t>
      </w:r>
      <w:r w:rsidRPr="00E96996">
        <w:rPr>
          <w:rFonts w:ascii="Arial" w:hAnsi="Arial" w:cs="Arial"/>
          <w:sz w:val="20"/>
          <w:szCs w:val="20"/>
        </w:rPr>
        <w:t>Delež števila naročil in pogodbene vrednosti glede na kategorijo naročnika je prikazan v spodnji preglednici.</w:t>
      </w:r>
      <w:r w:rsidR="00F83DD4" w:rsidRPr="00E96996">
        <w:rPr>
          <w:rFonts w:ascii="Arial" w:hAnsi="Arial" w:cs="Arial"/>
          <w:sz w:val="20"/>
          <w:szCs w:val="20"/>
          <w:lang w:eastAsia="sl-SI"/>
        </w:rPr>
        <w:t xml:space="preserve"> </w:t>
      </w:r>
    </w:p>
    <w:p w14:paraId="61AC407B" w14:textId="49B6F539" w:rsidR="007F3DED" w:rsidRPr="00913EEE" w:rsidRDefault="00F83DD4" w:rsidP="00376E7F">
      <w:pPr>
        <w:spacing w:before="120" w:after="120" w:line="240" w:lineRule="auto"/>
        <w:jc w:val="both"/>
        <w:rPr>
          <w:rFonts w:ascii="Arial" w:hAnsi="Arial" w:cs="Arial"/>
        </w:rPr>
      </w:pPr>
      <w:r w:rsidRPr="00913EEE">
        <w:rPr>
          <w:rFonts w:ascii="Arial" w:hAnsi="Arial" w:cs="Arial"/>
          <w:sz w:val="20"/>
        </w:rPr>
        <w:t>Preglednica </w:t>
      </w:r>
      <w:r w:rsidR="00512F52" w:rsidRPr="00913EEE">
        <w:rPr>
          <w:rFonts w:ascii="Arial" w:hAnsi="Arial" w:cs="Arial"/>
          <w:sz w:val="20"/>
        </w:rPr>
        <w:t>5</w:t>
      </w:r>
      <w:r w:rsidR="00EA747F">
        <w:rPr>
          <w:rFonts w:ascii="Arial" w:hAnsi="Arial" w:cs="Arial"/>
          <w:sz w:val="20"/>
        </w:rPr>
        <w:t>1</w:t>
      </w:r>
      <w:r w:rsidRPr="00913EEE">
        <w:rPr>
          <w:rFonts w:ascii="Arial" w:hAnsi="Arial" w:cs="Arial"/>
          <w:sz w:val="20"/>
        </w:rPr>
        <w:t xml:space="preserve">: </w:t>
      </w:r>
      <w:r w:rsidR="00F513C9" w:rsidRPr="00913EEE">
        <w:rPr>
          <w:rFonts w:ascii="Arial" w:hAnsi="Arial" w:cs="Arial"/>
          <w:sz w:val="20"/>
        </w:rPr>
        <w:t>Število in vrednosti ter deleži naročil z upoštevanimi socialnimi vidiki glede na kategorijo naročnika</w:t>
      </w:r>
    </w:p>
    <w:tbl>
      <w:tblPr>
        <w:tblW w:w="8784" w:type="dxa"/>
        <w:jc w:val="center"/>
        <w:tblCellMar>
          <w:left w:w="70" w:type="dxa"/>
          <w:right w:w="70" w:type="dxa"/>
        </w:tblCellMar>
        <w:tblLook w:val="04A0" w:firstRow="1" w:lastRow="0" w:firstColumn="1" w:lastColumn="0" w:noHBand="0" w:noVBand="1"/>
      </w:tblPr>
      <w:tblGrid>
        <w:gridCol w:w="3964"/>
        <w:gridCol w:w="844"/>
        <w:gridCol w:w="1283"/>
        <w:gridCol w:w="992"/>
        <w:gridCol w:w="1701"/>
      </w:tblGrid>
      <w:tr w:rsidR="00AA19C5" w:rsidRPr="00913EEE" w14:paraId="554D26DE" w14:textId="77777777" w:rsidTr="00E96996">
        <w:trPr>
          <w:trHeight w:val="255"/>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5A1EF0" w14:textId="013B9682" w:rsidR="00AA19C5" w:rsidRPr="00913EEE" w:rsidRDefault="00AA19C5" w:rsidP="00AA19C5">
            <w:pPr>
              <w:spacing w:after="0" w:line="240" w:lineRule="auto"/>
              <w:jc w:val="center"/>
              <w:rPr>
                <w:rFonts w:ascii="Arial" w:eastAsia="Times New Roman" w:hAnsi="Arial" w:cs="Arial"/>
                <w:color w:val="000000"/>
                <w:sz w:val="18"/>
                <w:szCs w:val="18"/>
                <w:lang w:eastAsia="sl-SI"/>
              </w:rPr>
            </w:pPr>
            <w:r w:rsidRPr="00913EEE">
              <w:rPr>
                <w:rFonts w:ascii="Arial" w:eastAsia="Times New Roman" w:hAnsi="Arial" w:cs="Arial"/>
                <w:color w:val="000000"/>
                <w:sz w:val="18"/>
                <w:szCs w:val="18"/>
                <w:lang w:eastAsia="sl-SI"/>
              </w:rPr>
              <w:t>Kategorija naročnika</w:t>
            </w:r>
          </w:p>
        </w:tc>
        <w:tc>
          <w:tcPr>
            <w:tcW w:w="84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261AEA2" w14:textId="77777777" w:rsidR="00AA19C5" w:rsidRPr="00913EEE" w:rsidRDefault="00AA19C5" w:rsidP="00AA19C5">
            <w:pPr>
              <w:spacing w:after="0" w:line="240" w:lineRule="auto"/>
              <w:jc w:val="center"/>
              <w:rPr>
                <w:rFonts w:ascii="Arial" w:eastAsia="Times New Roman" w:hAnsi="Arial" w:cs="Arial"/>
                <w:color w:val="000000"/>
                <w:sz w:val="18"/>
                <w:szCs w:val="18"/>
                <w:lang w:eastAsia="sl-SI"/>
              </w:rPr>
            </w:pPr>
            <w:r w:rsidRPr="00913EEE">
              <w:rPr>
                <w:rFonts w:ascii="Arial" w:eastAsia="Times New Roman" w:hAnsi="Arial" w:cs="Arial"/>
                <w:color w:val="000000"/>
                <w:sz w:val="18"/>
                <w:szCs w:val="18"/>
                <w:lang w:eastAsia="sl-SI"/>
              </w:rPr>
              <w:t>Št. naročil</w:t>
            </w:r>
          </w:p>
        </w:tc>
        <w:tc>
          <w:tcPr>
            <w:tcW w:w="128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87567B3" w14:textId="77777777" w:rsidR="00AA19C5" w:rsidRPr="00913EEE" w:rsidRDefault="00AA19C5" w:rsidP="00AA19C5">
            <w:pPr>
              <w:spacing w:after="0" w:line="240" w:lineRule="auto"/>
              <w:jc w:val="center"/>
              <w:rPr>
                <w:rFonts w:ascii="Arial" w:eastAsia="Times New Roman" w:hAnsi="Arial" w:cs="Arial"/>
                <w:color w:val="000000"/>
                <w:sz w:val="18"/>
                <w:szCs w:val="18"/>
                <w:lang w:eastAsia="sl-SI"/>
              </w:rPr>
            </w:pPr>
            <w:r w:rsidRPr="00913EEE">
              <w:rPr>
                <w:rFonts w:ascii="Arial" w:eastAsia="Times New Roman" w:hAnsi="Arial" w:cs="Arial"/>
                <w:color w:val="000000"/>
                <w:sz w:val="18"/>
                <w:szCs w:val="18"/>
                <w:lang w:eastAsia="sl-SI"/>
              </w:rPr>
              <w:t>Pogodbena vrednost</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B1818C4" w14:textId="77777777" w:rsidR="00AA19C5" w:rsidRPr="00913EEE" w:rsidRDefault="00AA19C5" w:rsidP="00AA19C5">
            <w:pPr>
              <w:spacing w:after="0" w:line="240" w:lineRule="auto"/>
              <w:jc w:val="center"/>
              <w:rPr>
                <w:rFonts w:ascii="Arial" w:eastAsia="Times New Roman" w:hAnsi="Arial" w:cs="Arial"/>
                <w:color w:val="000000"/>
                <w:sz w:val="18"/>
                <w:szCs w:val="18"/>
                <w:lang w:eastAsia="sl-SI"/>
              </w:rPr>
            </w:pPr>
            <w:r w:rsidRPr="00913EEE">
              <w:rPr>
                <w:rFonts w:ascii="Arial" w:eastAsia="Times New Roman" w:hAnsi="Arial" w:cs="Arial"/>
                <w:color w:val="000000"/>
                <w:sz w:val="18"/>
                <w:szCs w:val="18"/>
                <w:lang w:eastAsia="sl-SI"/>
              </w:rPr>
              <w:t xml:space="preserve">Delež v št. vseh naročil </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67AEFC5" w14:textId="77777777" w:rsidR="00AA19C5" w:rsidRPr="00913EEE" w:rsidRDefault="00AA19C5" w:rsidP="00AA19C5">
            <w:pPr>
              <w:spacing w:after="0" w:line="240" w:lineRule="auto"/>
              <w:jc w:val="center"/>
              <w:rPr>
                <w:rFonts w:ascii="Arial" w:eastAsia="Times New Roman" w:hAnsi="Arial" w:cs="Arial"/>
                <w:color w:val="000000"/>
                <w:sz w:val="18"/>
                <w:szCs w:val="18"/>
                <w:lang w:eastAsia="sl-SI"/>
              </w:rPr>
            </w:pPr>
            <w:r w:rsidRPr="00913EEE">
              <w:rPr>
                <w:rFonts w:ascii="Arial" w:eastAsia="Times New Roman" w:hAnsi="Arial" w:cs="Arial"/>
                <w:color w:val="000000"/>
                <w:sz w:val="18"/>
                <w:szCs w:val="18"/>
                <w:lang w:eastAsia="sl-SI"/>
              </w:rPr>
              <w:t>Delež v vrednosti vseh naročil</w:t>
            </w:r>
          </w:p>
        </w:tc>
      </w:tr>
      <w:tr w:rsidR="00913EEE" w:rsidRPr="00913EEE" w14:paraId="3EDDDC9E" w14:textId="77777777" w:rsidTr="00E96996">
        <w:trPr>
          <w:trHeight w:val="255"/>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0BD8E55F" w14:textId="3D9A5A75" w:rsidR="00913EEE" w:rsidRPr="00913EEE" w:rsidRDefault="00913EEE" w:rsidP="00913EEE">
            <w:pPr>
              <w:spacing w:after="0" w:line="240" w:lineRule="auto"/>
              <w:rPr>
                <w:rFonts w:ascii="Arial" w:eastAsia="Times New Roman" w:hAnsi="Arial" w:cs="Arial"/>
                <w:color w:val="000000"/>
                <w:sz w:val="18"/>
                <w:szCs w:val="18"/>
                <w:lang w:eastAsia="sl-SI"/>
              </w:rPr>
            </w:pPr>
            <w:r w:rsidRPr="00913EEE">
              <w:rPr>
                <w:rFonts w:ascii="Arial" w:eastAsia="Times New Roman" w:hAnsi="Arial" w:cs="Arial"/>
                <w:color w:val="000000"/>
                <w:sz w:val="18"/>
                <w:szCs w:val="18"/>
                <w:lang w:eastAsia="sl-SI"/>
              </w:rPr>
              <w:t xml:space="preserve">Organi </w:t>
            </w:r>
            <w:r w:rsidR="00007116">
              <w:rPr>
                <w:rFonts w:ascii="Arial" w:eastAsia="Times New Roman" w:hAnsi="Arial" w:cs="Arial"/>
                <w:color w:val="000000"/>
                <w:sz w:val="18"/>
                <w:szCs w:val="18"/>
                <w:lang w:eastAsia="sl-SI"/>
              </w:rPr>
              <w:t>Republike Slovenije</w:t>
            </w:r>
          </w:p>
        </w:tc>
        <w:tc>
          <w:tcPr>
            <w:tcW w:w="844" w:type="dxa"/>
            <w:tcBorders>
              <w:top w:val="nil"/>
              <w:left w:val="nil"/>
              <w:bottom w:val="single" w:sz="4" w:space="0" w:color="auto"/>
              <w:right w:val="single" w:sz="4" w:space="0" w:color="auto"/>
            </w:tcBorders>
            <w:shd w:val="clear" w:color="auto" w:fill="auto"/>
            <w:vAlign w:val="center"/>
            <w:hideMark/>
          </w:tcPr>
          <w:p w14:paraId="1AE4355F" w14:textId="3DBF616F" w:rsidR="00913EEE" w:rsidRPr="00913EEE" w:rsidRDefault="00913EEE" w:rsidP="00E96996">
            <w:pPr>
              <w:spacing w:after="0" w:line="240" w:lineRule="auto"/>
              <w:jc w:val="right"/>
              <w:rPr>
                <w:rFonts w:ascii="Arial" w:eastAsia="Times New Roman" w:hAnsi="Arial" w:cs="Arial"/>
                <w:color w:val="000000"/>
                <w:sz w:val="18"/>
                <w:szCs w:val="18"/>
                <w:lang w:eastAsia="sl-SI"/>
              </w:rPr>
            </w:pPr>
            <w:r w:rsidRPr="00913EEE">
              <w:rPr>
                <w:rFonts w:ascii="Arial" w:eastAsia="Times New Roman" w:hAnsi="Arial" w:cs="Arial"/>
                <w:color w:val="000000"/>
                <w:sz w:val="18"/>
                <w:szCs w:val="18"/>
                <w:lang w:eastAsia="sl-SI"/>
              </w:rPr>
              <w:t>115</w:t>
            </w:r>
          </w:p>
        </w:tc>
        <w:tc>
          <w:tcPr>
            <w:tcW w:w="1283" w:type="dxa"/>
            <w:tcBorders>
              <w:top w:val="nil"/>
              <w:left w:val="nil"/>
              <w:bottom w:val="single" w:sz="4" w:space="0" w:color="auto"/>
              <w:right w:val="single" w:sz="4" w:space="0" w:color="auto"/>
            </w:tcBorders>
            <w:shd w:val="clear" w:color="auto" w:fill="auto"/>
            <w:vAlign w:val="center"/>
            <w:hideMark/>
          </w:tcPr>
          <w:p w14:paraId="3FE03868" w14:textId="7703751A" w:rsidR="00913EEE" w:rsidRPr="00913EEE" w:rsidRDefault="00913EEE" w:rsidP="00E96996">
            <w:pPr>
              <w:spacing w:after="0" w:line="240" w:lineRule="auto"/>
              <w:jc w:val="right"/>
              <w:rPr>
                <w:rFonts w:ascii="Arial" w:eastAsia="Times New Roman" w:hAnsi="Arial" w:cs="Arial"/>
                <w:color w:val="000000"/>
                <w:sz w:val="18"/>
                <w:szCs w:val="18"/>
                <w:lang w:eastAsia="sl-SI"/>
              </w:rPr>
            </w:pPr>
            <w:r w:rsidRPr="00913EEE">
              <w:rPr>
                <w:rFonts w:ascii="Arial" w:eastAsia="Times New Roman" w:hAnsi="Arial" w:cs="Arial"/>
                <w:color w:val="000000"/>
                <w:sz w:val="18"/>
                <w:szCs w:val="18"/>
                <w:lang w:eastAsia="sl-SI"/>
              </w:rPr>
              <w:t>36.082.558</w:t>
            </w:r>
          </w:p>
        </w:tc>
        <w:tc>
          <w:tcPr>
            <w:tcW w:w="992" w:type="dxa"/>
            <w:tcBorders>
              <w:top w:val="nil"/>
              <w:left w:val="nil"/>
              <w:bottom w:val="single" w:sz="4" w:space="0" w:color="auto"/>
              <w:right w:val="single" w:sz="4" w:space="0" w:color="auto"/>
            </w:tcBorders>
            <w:shd w:val="clear" w:color="auto" w:fill="auto"/>
            <w:noWrap/>
            <w:vAlign w:val="center"/>
            <w:hideMark/>
          </w:tcPr>
          <w:p w14:paraId="17E0BEC8" w14:textId="67E49BE3" w:rsidR="00913EEE" w:rsidRPr="00913EEE" w:rsidRDefault="00913EEE" w:rsidP="00E96996">
            <w:pPr>
              <w:spacing w:after="0" w:line="240" w:lineRule="auto"/>
              <w:jc w:val="right"/>
              <w:rPr>
                <w:rFonts w:ascii="Arial" w:eastAsia="Times New Roman" w:hAnsi="Arial" w:cs="Arial"/>
                <w:color w:val="000000"/>
                <w:sz w:val="18"/>
                <w:szCs w:val="18"/>
                <w:lang w:eastAsia="sl-SI"/>
              </w:rPr>
            </w:pPr>
            <w:r w:rsidRPr="00913EEE">
              <w:rPr>
                <w:rFonts w:ascii="Arial" w:eastAsia="Times New Roman" w:hAnsi="Arial" w:cs="Arial"/>
                <w:color w:val="000000"/>
                <w:sz w:val="18"/>
                <w:szCs w:val="18"/>
                <w:lang w:eastAsia="sl-SI"/>
              </w:rPr>
              <w:t>5,35 %</w:t>
            </w:r>
          </w:p>
        </w:tc>
        <w:tc>
          <w:tcPr>
            <w:tcW w:w="1701" w:type="dxa"/>
            <w:tcBorders>
              <w:top w:val="nil"/>
              <w:left w:val="nil"/>
              <w:bottom w:val="single" w:sz="4" w:space="0" w:color="auto"/>
              <w:right w:val="single" w:sz="4" w:space="0" w:color="auto"/>
            </w:tcBorders>
            <w:shd w:val="clear" w:color="auto" w:fill="auto"/>
            <w:noWrap/>
            <w:vAlign w:val="center"/>
            <w:hideMark/>
          </w:tcPr>
          <w:p w14:paraId="2403BFB2" w14:textId="28B6231C" w:rsidR="00913EEE" w:rsidRPr="00913EEE" w:rsidRDefault="00913EEE" w:rsidP="00E96996">
            <w:pPr>
              <w:spacing w:after="0" w:line="240" w:lineRule="auto"/>
              <w:jc w:val="right"/>
              <w:rPr>
                <w:rFonts w:ascii="Arial" w:eastAsia="Times New Roman" w:hAnsi="Arial" w:cs="Arial"/>
                <w:color w:val="000000"/>
                <w:sz w:val="18"/>
                <w:szCs w:val="18"/>
                <w:lang w:eastAsia="sl-SI"/>
              </w:rPr>
            </w:pPr>
            <w:r w:rsidRPr="00913EEE">
              <w:rPr>
                <w:rFonts w:ascii="Arial" w:eastAsia="Times New Roman" w:hAnsi="Arial" w:cs="Arial"/>
                <w:color w:val="000000"/>
                <w:sz w:val="18"/>
                <w:szCs w:val="18"/>
                <w:lang w:eastAsia="sl-SI"/>
              </w:rPr>
              <w:t>6,12 %</w:t>
            </w:r>
          </w:p>
        </w:tc>
      </w:tr>
      <w:tr w:rsidR="00913EEE" w:rsidRPr="00913EEE" w14:paraId="074B8B48" w14:textId="77777777" w:rsidTr="00E96996">
        <w:trPr>
          <w:trHeight w:val="255"/>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606561C7" w14:textId="77777777" w:rsidR="00913EEE" w:rsidRPr="00913EEE" w:rsidRDefault="00913EEE" w:rsidP="00913EEE">
            <w:pPr>
              <w:spacing w:after="0" w:line="240" w:lineRule="auto"/>
              <w:rPr>
                <w:rFonts w:ascii="Arial" w:eastAsia="Times New Roman" w:hAnsi="Arial" w:cs="Arial"/>
                <w:color w:val="000000"/>
                <w:sz w:val="18"/>
                <w:szCs w:val="18"/>
                <w:lang w:eastAsia="sl-SI"/>
              </w:rPr>
            </w:pPr>
            <w:r w:rsidRPr="00913EEE">
              <w:rPr>
                <w:rFonts w:ascii="Arial" w:eastAsia="Times New Roman" w:hAnsi="Arial" w:cs="Arial"/>
                <w:color w:val="000000"/>
                <w:sz w:val="18"/>
                <w:szCs w:val="18"/>
                <w:lang w:eastAsia="sl-SI"/>
              </w:rPr>
              <w:t>Samoupravne lokalne skupnosti</w:t>
            </w:r>
          </w:p>
        </w:tc>
        <w:tc>
          <w:tcPr>
            <w:tcW w:w="844" w:type="dxa"/>
            <w:tcBorders>
              <w:top w:val="nil"/>
              <w:left w:val="nil"/>
              <w:bottom w:val="single" w:sz="4" w:space="0" w:color="auto"/>
              <w:right w:val="single" w:sz="4" w:space="0" w:color="auto"/>
            </w:tcBorders>
            <w:shd w:val="clear" w:color="auto" w:fill="auto"/>
            <w:vAlign w:val="center"/>
            <w:hideMark/>
          </w:tcPr>
          <w:p w14:paraId="2C64FAF7" w14:textId="5AA5F5F3" w:rsidR="00913EEE" w:rsidRPr="00913EEE" w:rsidRDefault="00913EEE" w:rsidP="00E96996">
            <w:pPr>
              <w:spacing w:after="0" w:line="240" w:lineRule="auto"/>
              <w:jc w:val="right"/>
              <w:rPr>
                <w:rFonts w:ascii="Arial" w:eastAsia="Times New Roman" w:hAnsi="Arial" w:cs="Arial"/>
                <w:color w:val="000000"/>
                <w:sz w:val="18"/>
                <w:szCs w:val="18"/>
                <w:lang w:eastAsia="sl-SI"/>
              </w:rPr>
            </w:pPr>
            <w:r w:rsidRPr="00913EEE">
              <w:rPr>
                <w:rFonts w:ascii="Arial" w:eastAsia="Times New Roman" w:hAnsi="Arial" w:cs="Arial"/>
                <w:color w:val="000000"/>
                <w:sz w:val="18"/>
                <w:szCs w:val="18"/>
                <w:lang w:eastAsia="sl-SI"/>
              </w:rPr>
              <w:t>302</w:t>
            </w:r>
          </w:p>
        </w:tc>
        <w:tc>
          <w:tcPr>
            <w:tcW w:w="1283" w:type="dxa"/>
            <w:tcBorders>
              <w:top w:val="nil"/>
              <w:left w:val="nil"/>
              <w:bottom w:val="single" w:sz="4" w:space="0" w:color="auto"/>
              <w:right w:val="single" w:sz="4" w:space="0" w:color="auto"/>
            </w:tcBorders>
            <w:shd w:val="clear" w:color="auto" w:fill="auto"/>
            <w:vAlign w:val="center"/>
            <w:hideMark/>
          </w:tcPr>
          <w:p w14:paraId="38FCB03F" w14:textId="48C786DF" w:rsidR="00913EEE" w:rsidRPr="00913EEE" w:rsidRDefault="00913EEE" w:rsidP="00E96996">
            <w:pPr>
              <w:spacing w:after="0" w:line="240" w:lineRule="auto"/>
              <w:jc w:val="right"/>
              <w:rPr>
                <w:rFonts w:ascii="Arial" w:eastAsia="Times New Roman" w:hAnsi="Arial" w:cs="Arial"/>
                <w:color w:val="000000"/>
                <w:sz w:val="18"/>
                <w:szCs w:val="18"/>
                <w:lang w:eastAsia="sl-SI"/>
              </w:rPr>
            </w:pPr>
            <w:r w:rsidRPr="00913EEE">
              <w:rPr>
                <w:rFonts w:ascii="Arial" w:eastAsia="Times New Roman" w:hAnsi="Arial" w:cs="Arial"/>
                <w:color w:val="000000"/>
                <w:sz w:val="18"/>
                <w:szCs w:val="18"/>
                <w:lang w:eastAsia="sl-SI"/>
              </w:rPr>
              <w:t>141.368.427</w:t>
            </w:r>
          </w:p>
        </w:tc>
        <w:tc>
          <w:tcPr>
            <w:tcW w:w="992" w:type="dxa"/>
            <w:tcBorders>
              <w:top w:val="nil"/>
              <w:left w:val="nil"/>
              <w:bottom w:val="single" w:sz="4" w:space="0" w:color="auto"/>
              <w:right w:val="single" w:sz="4" w:space="0" w:color="auto"/>
            </w:tcBorders>
            <w:shd w:val="clear" w:color="auto" w:fill="auto"/>
            <w:noWrap/>
            <w:vAlign w:val="center"/>
            <w:hideMark/>
          </w:tcPr>
          <w:p w14:paraId="5102248C" w14:textId="483D49A0" w:rsidR="00913EEE" w:rsidRPr="00913EEE" w:rsidRDefault="00913EEE" w:rsidP="00E96996">
            <w:pPr>
              <w:spacing w:after="0" w:line="240" w:lineRule="auto"/>
              <w:jc w:val="right"/>
              <w:rPr>
                <w:rFonts w:ascii="Arial" w:eastAsia="Times New Roman" w:hAnsi="Arial" w:cs="Arial"/>
                <w:color w:val="000000"/>
                <w:sz w:val="18"/>
                <w:szCs w:val="18"/>
                <w:lang w:eastAsia="sl-SI"/>
              </w:rPr>
            </w:pPr>
            <w:r w:rsidRPr="00913EEE">
              <w:rPr>
                <w:rFonts w:ascii="Arial" w:eastAsia="Times New Roman" w:hAnsi="Arial" w:cs="Arial"/>
                <w:color w:val="000000"/>
                <w:sz w:val="18"/>
                <w:szCs w:val="18"/>
                <w:lang w:eastAsia="sl-SI"/>
              </w:rPr>
              <w:t>14,04 %</w:t>
            </w:r>
          </w:p>
        </w:tc>
        <w:tc>
          <w:tcPr>
            <w:tcW w:w="1701" w:type="dxa"/>
            <w:tcBorders>
              <w:top w:val="nil"/>
              <w:left w:val="nil"/>
              <w:bottom w:val="single" w:sz="4" w:space="0" w:color="auto"/>
              <w:right w:val="single" w:sz="4" w:space="0" w:color="auto"/>
            </w:tcBorders>
            <w:shd w:val="clear" w:color="auto" w:fill="auto"/>
            <w:noWrap/>
            <w:vAlign w:val="center"/>
            <w:hideMark/>
          </w:tcPr>
          <w:p w14:paraId="5A40E985" w14:textId="6E6DA4F6" w:rsidR="00913EEE" w:rsidRPr="00913EEE" w:rsidRDefault="00913EEE" w:rsidP="00E96996">
            <w:pPr>
              <w:spacing w:after="0" w:line="240" w:lineRule="auto"/>
              <w:jc w:val="right"/>
              <w:rPr>
                <w:rFonts w:ascii="Arial" w:eastAsia="Times New Roman" w:hAnsi="Arial" w:cs="Arial"/>
                <w:color w:val="000000"/>
                <w:sz w:val="18"/>
                <w:szCs w:val="18"/>
                <w:lang w:eastAsia="sl-SI"/>
              </w:rPr>
            </w:pPr>
            <w:r w:rsidRPr="00913EEE">
              <w:rPr>
                <w:rFonts w:ascii="Arial" w:eastAsia="Times New Roman" w:hAnsi="Arial" w:cs="Arial"/>
                <w:color w:val="000000"/>
                <w:sz w:val="18"/>
                <w:szCs w:val="18"/>
                <w:lang w:eastAsia="sl-SI"/>
              </w:rPr>
              <w:t>23,96 %</w:t>
            </w:r>
          </w:p>
        </w:tc>
      </w:tr>
      <w:tr w:rsidR="00913EEE" w:rsidRPr="00913EEE" w14:paraId="0A90FF31" w14:textId="77777777" w:rsidTr="00E96996">
        <w:trPr>
          <w:trHeight w:val="255"/>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782AF536" w14:textId="77777777" w:rsidR="00913EEE" w:rsidRPr="00913EEE" w:rsidRDefault="00913EEE" w:rsidP="00913EEE">
            <w:pPr>
              <w:spacing w:after="0" w:line="240" w:lineRule="auto"/>
              <w:rPr>
                <w:rFonts w:ascii="Arial" w:eastAsia="Times New Roman" w:hAnsi="Arial" w:cs="Arial"/>
                <w:color w:val="000000"/>
                <w:sz w:val="18"/>
                <w:szCs w:val="18"/>
                <w:lang w:eastAsia="sl-SI"/>
              </w:rPr>
            </w:pPr>
            <w:r w:rsidRPr="00913EEE">
              <w:rPr>
                <w:rFonts w:ascii="Arial" w:eastAsia="Times New Roman" w:hAnsi="Arial" w:cs="Arial"/>
                <w:color w:val="000000"/>
                <w:sz w:val="18"/>
                <w:szCs w:val="18"/>
                <w:lang w:eastAsia="sl-SI"/>
              </w:rPr>
              <w:t>Javni skladi</w:t>
            </w:r>
          </w:p>
        </w:tc>
        <w:tc>
          <w:tcPr>
            <w:tcW w:w="844" w:type="dxa"/>
            <w:tcBorders>
              <w:top w:val="nil"/>
              <w:left w:val="nil"/>
              <w:bottom w:val="single" w:sz="4" w:space="0" w:color="auto"/>
              <w:right w:val="single" w:sz="4" w:space="0" w:color="auto"/>
            </w:tcBorders>
            <w:shd w:val="clear" w:color="auto" w:fill="auto"/>
            <w:vAlign w:val="center"/>
            <w:hideMark/>
          </w:tcPr>
          <w:p w14:paraId="230E1154" w14:textId="56946905" w:rsidR="00913EEE" w:rsidRPr="00913EEE" w:rsidRDefault="00913EEE" w:rsidP="00E96996">
            <w:pPr>
              <w:spacing w:after="0" w:line="240" w:lineRule="auto"/>
              <w:jc w:val="right"/>
              <w:rPr>
                <w:rFonts w:ascii="Arial" w:eastAsia="Times New Roman" w:hAnsi="Arial" w:cs="Arial"/>
                <w:color w:val="000000"/>
                <w:sz w:val="18"/>
                <w:szCs w:val="18"/>
                <w:lang w:eastAsia="sl-SI"/>
              </w:rPr>
            </w:pPr>
            <w:r w:rsidRPr="00913EEE">
              <w:rPr>
                <w:rFonts w:ascii="Arial" w:eastAsia="Times New Roman" w:hAnsi="Arial" w:cs="Arial"/>
                <w:color w:val="000000"/>
                <w:sz w:val="18"/>
                <w:szCs w:val="18"/>
                <w:lang w:eastAsia="sl-SI"/>
              </w:rPr>
              <w:t>31</w:t>
            </w:r>
          </w:p>
        </w:tc>
        <w:tc>
          <w:tcPr>
            <w:tcW w:w="1283" w:type="dxa"/>
            <w:tcBorders>
              <w:top w:val="nil"/>
              <w:left w:val="nil"/>
              <w:bottom w:val="single" w:sz="4" w:space="0" w:color="auto"/>
              <w:right w:val="single" w:sz="4" w:space="0" w:color="auto"/>
            </w:tcBorders>
            <w:shd w:val="clear" w:color="auto" w:fill="auto"/>
            <w:vAlign w:val="center"/>
            <w:hideMark/>
          </w:tcPr>
          <w:p w14:paraId="6DBB8EF7" w14:textId="56D524D5" w:rsidR="00913EEE" w:rsidRPr="00913EEE" w:rsidRDefault="00913EEE" w:rsidP="00E96996">
            <w:pPr>
              <w:spacing w:after="0" w:line="240" w:lineRule="auto"/>
              <w:jc w:val="right"/>
              <w:rPr>
                <w:rFonts w:ascii="Arial" w:eastAsia="Times New Roman" w:hAnsi="Arial" w:cs="Arial"/>
                <w:color w:val="000000"/>
                <w:sz w:val="18"/>
                <w:szCs w:val="18"/>
                <w:lang w:eastAsia="sl-SI"/>
              </w:rPr>
            </w:pPr>
            <w:r w:rsidRPr="00913EEE">
              <w:rPr>
                <w:rFonts w:ascii="Arial" w:eastAsia="Times New Roman" w:hAnsi="Arial" w:cs="Arial"/>
                <w:color w:val="000000"/>
                <w:sz w:val="18"/>
                <w:szCs w:val="18"/>
                <w:lang w:eastAsia="sl-SI"/>
              </w:rPr>
              <w:t>42.672.201</w:t>
            </w:r>
          </w:p>
        </w:tc>
        <w:tc>
          <w:tcPr>
            <w:tcW w:w="992" w:type="dxa"/>
            <w:tcBorders>
              <w:top w:val="nil"/>
              <w:left w:val="nil"/>
              <w:bottom w:val="single" w:sz="4" w:space="0" w:color="auto"/>
              <w:right w:val="single" w:sz="4" w:space="0" w:color="auto"/>
            </w:tcBorders>
            <w:shd w:val="clear" w:color="auto" w:fill="auto"/>
            <w:noWrap/>
            <w:vAlign w:val="center"/>
            <w:hideMark/>
          </w:tcPr>
          <w:p w14:paraId="4F68968F" w14:textId="723E6A1F" w:rsidR="00913EEE" w:rsidRPr="00913EEE" w:rsidRDefault="00913EEE" w:rsidP="00E96996">
            <w:pPr>
              <w:spacing w:after="0" w:line="240" w:lineRule="auto"/>
              <w:jc w:val="right"/>
              <w:rPr>
                <w:rFonts w:ascii="Arial" w:eastAsia="Times New Roman" w:hAnsi="Arial" w:cs="Arial"/>
                <w:color w:val="000000"/>
                <w:sz w:val="18"/>
                <w:szCs w:val="18"/>
                <w:lang w:eastAsia="sl-SI"/>
              </w:rPr>
            </w:pPr>
            <w:r w:rsidRPr="00913EEE">
              <w:rPr>
                <w:rFonts w:ascii="Arial" w:eastAsia="Times New Roman" w:hAnsi="Arial" w:cs="Arial"/>
                <w:color w:val="000000"/>
                <w:sz w:val="18"/>
                <w:szCs w:val="18"/>
                <w:lang w:eastAsia="sl-SI"/>
              </w:rPr>
              <w:t>1,44 %</w:t>
            </w:r>
          </w:p>
        </w:tc>
        <w:tc>
          <w:tcPr>
            <w:tcW w:w="1701" w:type="dxa"/>
            <w:tcBorders>
              <w:top w:val="nil"/>
              <w:left w:val="nil"/>
              <w:bottom w:val="single" w:sz="4" w:space="0" w:color="auto"/>
              <w:right w:val="single" w:sz="4" w:space="0" w:color="auto"/>
            </w:tcBorders>
            <w:shd w:val="clear" w:color="auto" w:fill="auto"/>
            <w:noWrap/>
            <w:vAlign w:val="center"/>
            <w:hideMark/>
          </w:tcPr>
          <w:p w14:paraId="7A64DD76" w14:textId="7F5E6F9E" w:rsidR="00913EEE" w:rsidRPr="00913EEE" w:rsidRDefault="00913EEE" w:rsidP="00E96996">
            <w:pPr>
              <w:spacing w:after="0" w:line="240" w:lineRule="auto"/>
              <w:jc w:val="right"/>
              <w:rPr>
                <w:rFonts w:ascii="Arial" w:eastAsia="Times New Roman" w:hAnsi="Arial" w:cs="Arial"/>
                <w:color w:val="000000"/>
                <w:sz w:val="18"/>
                <w:szCs w:val="18"/>
                <w:lang w:eastAsia="sl-SI"/>
              </w:rPr>
            </w:pPr>
            <w:r w:rsidRPr="00913EEE">
              <w:rPr>
                <w:rFonts w:ascii="Arial" w:eastAsia="Times New Roman" w:hAnsi="Arial" w:cs="Arial"/>
                <w:color w:val="000000"/>
                <w:sz w:val="18"/>
                <w:szCs w:val="18"/>
                <w:lang w:eastAsia="sl-SI"/>
              </w:rPr>
              <w:t>7,23 %</w:t>
            </w:r>
          </w:p>
        </w:tc>
      </w:tr>
      <w:tr w:rsidR="00913EEE" w:rsidRPr="00913EEE" w14:paraId="16CF60D9" w14:textId="77777777" w:rsidTr="00E96996">
        <w:trPr>
          <w:trHeight w:val="255"/>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3D9E6FA0" w14:textId="77777777" w:rsidR="00913EEE" w:rsidRPr="00913EEE" w:rsidRDefault="00913EEE" w:rsidP="00913EEE">
            <w:pPr>
              <w:spacing w:after="0" w:line="240" w:lineRule="auto"/>
              <w:rPr>
                <w:rFonts w:ascii="Arial" w:eastAsia="Times New Roman" w:hAnsi="Arial" w:cs="Arial"/>
                <w:color w:val="000000"/>
                <w:sz w:val="18"/>
                <w:szCs w:val="18"/>
                <w:lang w:eastAsia="sl-SI"/>
              </w:rPr>
            </w:pPr>
            <w:r w:rsidRPr="00913EEE">
              <w:rPr>
                <w:rFonts w:ascii="Arial" w:eastAsia="Times New Roman" w:hAnsi="Arial" w:cs="Arial"/>
                <w:color w:val="000000"/>
                <w:sz w:val="18"/>
                <w:szCs w:val="18"/>
                <w:lang w:eastAsia="sl-SI"/>
              </w:rPr>
              <w:t>Javni zavodi</w:t>
            </w:r>
          </w:p>
        </w:tc>
        <w:tc>
          <w:tcPr>
            <w:tcW w:w="844" w:type="dxa"/>
            <w:tcBorders>
              <w:top w:val="nil"/>
              <w:left w:val="nil"/>
              <w:bottom w:val="single" w:sz="4" w:space="0" w:color="auto"/>
              <w:right w:val="single" w:sz="4" w:space="0" w:color="auto"/>
            </w:tcBorders>
            <w:shd w:val="clear" w:color="auto" w:fill="auto"/>
            <w:vAlign w:val="center"/>
            <w:hideMark/>
          </w:tcPr>
          <w:p w14:paraId="022D1E47" w14:textId="6259DC22" w:rsidR="00913EEE" w:rsidRPr="00913EEE" w:rsidRDefault="00913EEE" w:rsidP="00E96996">
            <w:pPr>
              <w:spacing w:after="0" w:line="240" w:lineRule="auto"/>
              <w:jc w:val="right"/>
              <w:rPr>
                <w:rFonts w:ascii="Arial" w:eastAsia="Times New Roman" w:hAnsi="Arial" w:cs="Arial"/>
                <w:color w:val="000000"/>
                <w:sz w:val="18"/>
                <w:szCs w:val="18"/>
                <w:lang w:eastAsia="sl-SI"/>
              </w:rPr>
            </w:pPr>
            <w:r w:rsidRPr="00913EEE">
              <w:rPr>
                <w:rFonts w:ascii="Arial" w:eastAsia="Times New Roman" w:hAnsi="Arial" w:cs="Arial"/>
                <w:color w:val="000000"/>
                <w:sz w:val="18"/>
                <w:szCs w:val="18"/>
                <w:lang w:eastAsia="sl-SI"/>
              </w:rPr>
              <w:t>1.002</w:t>
            </w:r>
          </w:p>
        </w:tc>
        <w:tc>
          <w:tcPr>
            <w:tcW w:w="1283" w:type="dxa"/>
            <w:tcBorders>
              <w:top w:val="nil"/>
              <w:left w:val="nil"/>
              <w:bottom w:val="single" w:sz="4" w:space="0" w:color="auto"/>
              <w:right w:val="single" w:sz="4" w:space="0" w:color="auto"/>
            </w:tcBorders>
            <w:shd w:val="clear" w:color="auto" w:fill="auto"/>
            <w:vAlign w:val="center"/>
            <w:hideMark/>
          </w:tcPr>
          <w:p w14:paraId="17EF3268" w14:textId="5130B06F" w:rsidR="00913EEE" w:rsidRPr="00913EEE" w:rsidRDefault="00913EEE" w:rsidP="00E96996">
            <w:pPr>
              <w:spacing w:after="0" w:line="240" w:lineRule="auto"/>
              <w:jc w:val="right"/>
              <w:rPr>
                <w:rFonts w:ascii="Arial" w:eastAsia="Times New Roman" w:hAnsi="Arial" w:cs="Arial"/>
                <w:color w:val="000000"/>
                <w:sz w:val="18"/>
                <w:szCs w:val="18"/>
                <w:lang w:eastAsia="sl-SI"/>
              </w:rPr>
            </w:pPr>
            <w:r w:rsidRPr="00913EEE">
              <w:rPr>
                <w:rFonts w:ascii="Arial" w:eastAsia="Times New Roman" w:hAnsi="Arial" w:cs="Arial"/>
                <w:color w:val="000000"/>
                <w:sz w:val="18"/>
                <w:szCs w:val="18"/>
                <w:lang w:eastAsia="sl-SI"/>
              </w:rPr>
              <w:t>157.862.013</w:t>
            </w:r>
          </w:p>
        </w:tc>
        <w:tc>
          <w:tcPr>
            <w:tcW w:w="992" w:type="dxa"/>
            <w:tcBorders>
              <w:top w:val="nil"/>
              <w:left w:val="nil"/>
              <w:bottom w:val="single" w:sz="4" w:space="0" w:color="auto"/>
              <w:right w:val="single" w:sz="4" w:space="0" w:color="auto"/>
            </w:tcBorders>
            <w:shd w:val="clear" w:color="auto" w:fill="auto"/>
            <w:noWrap/>
            <w:vAlign w:val="center"/>
            <w:hideMark/>
          </w:tcPr>
          <w:p w14:paraId="4E6D847E" w14:textId="5F7A0FC9" w:rsidR="00913EEE" w:rsidRPr="00913EEE" w:rsidRDefault="00913EEE" w:rsidP="00E96996">
            <w:pPr>
              <w:spacing w:after="0" w:line="240" w:lineRule="auto"/>
              <w:jc w:val="right"/>
              <w:rPr>
                <w:rFonts w:ascii="Arial" w:eastAsia="Times New Roman" w:hAnsi="Arial" w:cs="Arial"/>
                <w:color w:val="000000"/>
                <w:sz w:val="18"/>
                <w:szCs w:val="18"/>
                <w:lang w:eastAsia="sl-SI"/>
              </w:rPr>
            </w:pPr>
            <w:r w:rsidRPr="00913EEE">
              <w:rPr>
                <w:rFonts w:ascii="Arial" w:eastAsia="Times New Roman" w:hAnsi="Arial" w:cs="Arial"/>
                <w:color w:val="000000"/>
                <w:sz w:val="18"/>
                <w:szCs w:val="18"/>
                <w:lang w:eastAsia="sl-SI"/>
              </w:rPr>
              <w:t>46,58 %</w:t>
            </w:r>
          </w:p>
        </w:tc>
        <w:tc>
          <w:tcPr>
            <w:tcW w:w="1701" w:type="dxa"/>
            <w:tcBorders>
              <w:top w:val="nil"/>
              <w:left w:val="nil"/>
              <w:bottom w:val="single" w:sz="4" w:space="0" w:color="auto"/>
              <w:right w:val="single" w:sz="4" w:space="0" w:color="auto"/>
            </w:tcBorders>
            <w:shd w:val="clear" w:color="auto" w:fill="auto"/>
            <w:noWrap/>
            <w:vAlign w:val="center"/>
            <w:hideMark/>
          </w:tcPr>
          <w:p w14:paraId="5A80B5E8" w14:textId="64ED0325" w:rsidR="00913EEE" w:rsidRPr="00913EEE" w:rsidRDefault="00913EEE" w:rsidP="00E96996">
            <w:pPr>
              <w:spacing w:after="0" w:line="240" w:lineRule="auto"/>
              <w:jc w:val="right"/>
              <w:rPr>
                <w:rFonts w:ascii="Arial" w:eastAsia="Times New Roman" w:hAnsi="Arial" w:cs="Arial"/>
                <w:color w:val="000000"/>
                <w:sz w:val="18"/>
                <w:szCs w:val="18"/>
                <w:lang w:eastAsia="sl-SI"/>
              </w:rPr>
            </w:pPr>
            <w:r w:rsidRPr="00913EEE">
              <w:rPr>
                <w:rFonts w:ascii="Arial" w:eastAsia="Times New Roman" w:hAnsi="Arial" w:cs="Arial"/>
                <w:color w:val="000000"/>
                <w:sz w:val="18"/>
                <w:szCs w:val="18"/>
                <w:lang w:eastAsia="sl-SI"/>
              </w:rPr>
              <w:t>26,76 %</w:t>
            </w:r>
          </w:p>
        </w:tc>
      </w:tr>
      <w:tr w:rsidR="00913EEE" w:rsidRPr="00913EEE" w14:paraId="115A8592" w14:textId="77777777" w:rsidTr="00E96996">
        <w:trPr>
          <w:trHeight w:val="255"/>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2CC316F6" w14:textId="77777777" w:rsidR="00913EEE" w:rsidRPr="00913EEE" w:rsidRDefault="00913EEE" w:rsidP="00913EEE">
            <w:pPr>
              <w:spacing w:after="0" w:line="240" w:lineRule="auto"/>
              <w:rPr>
                <w:rFonts w:ascii="Arial" w:eastAsia="Times New Roman" w:hAnsi="Arial" w:cs="Arial"/>
                <w:color w:val="000000"/>
                <w:sz w:val="18"/>
                <w:szCs w:val="18"/>
                <w:lang w:eastAsia="sl-SI"/>
              </w:rPr>
            </w:pPr>
            <w:r w:rsidRPr="00913EEE">
              <w:rPr>
                <w:rFonts w:ascii="Arial" w:eastAsia="Times New Roman" w:hAnsi="Arial" w:cs="Arial"/>
                <w:color w:val="000000"/>
                <w:sz w:val="18"/>
                <w:szCs w:val="18"/>
                <w:lang w:eastAsia="sl-SI"/>
              </w:rPr>
              <w:t>Javni gospodarski zavodi</w:t>
            </w:r>
          </w:p>
        </w:tc>
        <w:tc>
          <w:tcPr>
            <w:tcW w:w="844" w:type="dxa"/>
            <w:tcBorders>
              <w:top w:val="nil"/>
              <w:left w:val="nil"/>
              <w:bottom w:val="single" w:sz="4" w:space="0" w:color="auto"/>
              <w:right w:val="single" w:sz="4" w:space="0" w:color="auto"/>
            </w:tcBorders>
            <w:shd w:val="clear" w:color="auto" w:fill="auto"/>
            <w:vAlign w:val="center"/>
            <w:hideMark/>
          </w:tcPr>
          <w:p w14:paraId="5354A2B3" w14:textId="147BA40C" w:rsidR="00913EEE" w:rsidRPr="00913EEE" w:rsidRDefault="00913EEE" w:rsidP="00E96996">
            <w:pPr>
              <w:spacing w:after="0" w:line="240" w:lineRule="auto"/>
              <w:jc w:val="right"/>
              <w:rPr>
                <w:rFonts w:ascii="Arial" w:eastAsia="Times New Roman" w:hAnsi="Arial" w:cs="Arial"/>
                <w:color w:val="000000"/>
                <w:sz w:val="18"/>
                <w:szCs w:val="18"/>
                <w:lang w:eastAsia="sl-SI"/>
              </w:rPr>
            </w:pPr>
            <w:r w:rsidRPr="00913EEE">
              <w:rPr>
                <w:rFonts w:ascii="Arial" w:eastAsia="Times New Roman" w:hAnsi="Arial" w:cs="Arial"/>
                <w:color w:val="000000"/>
                <w:sz w:val="18"/>
                <w:szCs w:val="18"/>
                <w:lang w:eastAsia="sl-SI"/>
              </w:rPr>
              <w:t>3</w:t>
            </w:r>
          </w:p>
        </w:tc>
        <w:tc>
          <w:tcPr>
            <w:tcW w:w="1283" w:type="dxa"/>
            <w:tcBorders>
              <w:top w:val="nil"/>
              <w:left w:val="nil"/>
              <w:bottom w:val="single" w:sz="4" w:space="0" w:color="auto"/>
              <w:right w:val="single" w:sz="4" w:space="0" w:color="auto"/>
            </w:tcBorders>
            <w:shd w:val="clear" w:color="auto" w:fill="auto"/>
            <w:vAlign w:val="center"/>
            <w:hideMark/>
          </w:tcPr>
          <w:p w14:paraId="70F283DE" w14:textId="5291E676" w:rsidR="00913EEE" w:rsidRPr="00913EEE" w:rsidRDefault="00913EEE" w:rsidP="00E96996">
            <w:pPr>
              <w:spacing w:after="0" w:line="240" w:lineRule="auto"/>
              <w:jc w:val="right"/>
              <w:rPr>
                <w:rFonts w:ascii="Arial" w:eastAsia="Times New Roman" w:hAnsi="Arial" w:cs="Arial"/>
                <w:color w:val="000000"/>
                <w:sz w:val="18"/>
                <w:szCs w:val="18"/>
                <w:lang w:eastAsia="sl-SI"/>
              </w:rPr>
            </w:pPr>
            <w:r w:rsidRPr="00913EEE">
              <w:rPr>
                <w:rFonts w:ascii="Arial" w:eastAsia="Times New Roman" w:hAnsi="Arial" w:cs="Arial"/>
                <w:color w:val="000000"/>
                <w:sz w:val="18"/>
                <w:szCs w:val="18"/>
                <w:lang w:eastAsia="sl-SI"/>
              </w:rPr>
              <w:t>606.300</w:t>
            </w:r>
          </w:p>
        </w:tc>
        <w:tc>
          <w:tcPr>
            <w:tcW w:w="992" w:type="dxa"/>
            <w:tcBorders>
              <w:top w:val="nil"/>
              <w:left w:val="nil"/>
              <w:bottom w:val="single" w:sz="4" w:space="0" w:color="auto"/>
              <w:right w:val="single" w:sz="4" w:space="0" w:color="auto"/>
            </w:tcBorders>
            <w:shd w:val="clear" w:color="auto" w:fill="auto"/>
            <w:noWrap/>
            <w:vAlign w:val="center"/>
            <w:hideMark/>
          </w:tcPr>
          <w:p w14:paraId="22B9C97F" w14:textId="68BC7AD8" w:rsidR="00913EEE" w:rsidRPr="00913EEE" w:rsidRDefault="00913EEE" w:rsidP="00E96996">
            <w:pPr>
              <w:spacing w:after="0" w:line="240" w:lineRule="auto"/>
              <w:jc w:val="right"/>
              <w:rPr>
                <w:rFonts w:ascii="Arial" w:eastAsia="Times New Roman" w:hAnsi="Arial" w:cs="Arial"/>
                <w:color w:val="000000"/>
                <w:sz w:val="18"/>
                <w:szCs w:val="18"/>
                <w:lang w:eastAsia="sl-SI"/>
              </w:rPr>
            </w:pPr>
            <w:r w:rsidRPr="00913EEE">
              <w:rPr>
                <w:rFonts w:ascii="Arial" w:eastAsia="Times New Roman" w:hAnsi="Arial" w:cs="Arial"/>
                <w:color w:val="000000"/>
                <w:sz w:val="18"/>
                <w:szCs w:val="18"/>
                <w:lang w:eastAsia="sl-SI"/>
              </w:rPr>
              <w:t>0,14 %</w:t>
            </w:r>
          </w:p>
        </w:tc>
        <w:tc>
          <w:tcPr>
            <w:tcW w:w="1701" w:type="dxa"/>
            <w:tcBorders>
              <w:top w:val="nil"/>
              <w:left w:val="nil"/>
              <w:bottom w:val="single" w:sz="4" w:space="0" w:color="auto"/>
              <w:right w:val="single" w:sz="4" w:space="0" w:color="auto"/>
            </w:tcBorders>
            <w:shd w:val="clear" w:color="auto" w:fill="auto"/>
            <w:noWrap/>
            <w:vAlign w:val="center"/>
            <w:hideMark/>
          </w:tcPr>
          <w:p w14:paraId="4C73CBB4" w14:textId="739EA14B" w:rsidR="00913EEE" w:rsidRPr="00913EEE" w:rsidRDefault="00913EEE" w:rsidP="00E96996">
            <w:pPr>
              <w:spacing w:after="0" w:line="240" w:lineRule="auto"/>
              <w:jc w:val="right"/>
              <w:rPr>
                <w:rFonts w:ascii="Arial" w:eastAsia="Times New Roman" w:hAnsi="Arial" w:cs="Arial"/>
                <w:color w:val="000000"/>
                <w:sz w:val="18"/>
                <w:szCs w:val="18"/>
                <w:lang w:eastAsia="sl-SI"/>
              </w:rPr>
            </w:pPr>
            <w:r w:rsidRPr="00913EEE">
              <w:rPr>
                <w:rFonts w:ascii="Arial" w:eastAsia="Times New Roman" w:hAnsi="Arial" w:cs="Arial"/>
                <w:color w:val="000000"/>
                <w:sz w:val="18"/>
                <w:szCs w:val="18"/>
                <w:lang w:eastAsia="sl-SI"/>
              </w:rPr>
              <w:t>0,10 %</w:t>
            </w:r>
          </w:p>
        </w:tc>
      </w:tr>
      <w:tr w:rsidR="00913EEE" w:rsidRPr="00913EEE" w14:paraId="306F65E8" w14:textId="77777777" w:rsidTr="00E96996">
        <w:trPr>
          <w:trHeight w:val="255"/>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58C2E8F6" w14:textId="107C725E" w:rsidR="00913EEE" w:rsidRPr="00913EEE" w:rsidRDefault="00913EEE" w:rsidP="00913EEE">
            <w:pPr>
              <w:spacing w:after="0" w:line="240" w:lineRule="auto"/>
              <w:rPr>
                <w:rFonts w:ascii="Arial" w:eastAsia="Times New Roman" w:hAnsi="Arial" w:cs="Arial"/>
                <w:color w:val="000000"/>
                <w:sz w:val="18"/>
                <w:szCs w:val="18"/>
                <w:lang w:eastAsia="sl-SI"/>
              </w:rPr>
            </w:pPr>
            <w:bookmarkStart w:id="50" w:name="_Hlk106096411"/>
            <w:r w:rsidRPr="00913EEE">
              <w:rPr>
                <w:rFonts w:ascii="Arial" w:eastAsia="Times New Roman" w:hAnsi="Arial" w:cs="Arial"/>
                <w:color w:val="000000"/>
                <w:sz w:val="18"/>
                <w:szCs w:val="18"/>
                <w:lang w:eastAsia="sl-SI"/>
              </w:rPr>
              <w:t>Drugi naročniki (osebe javnega prava, javna podjetja, subjekt s posebnimi infrastrukturnimi pravicami)</w:t>
            </w:r>
            <w:bookmarkEnd w:id="50"/>
          </w:p>
        </w:tc>
        <w:tc>
          <w:tcPr>
            <w:tcW w:w="844" w:type="dxa"/>
            <w:tcBorders>
              <w:top w:val="nil"/>
              <w:left w:val="nil"/>
              <w:bottom w:val="single" w:sz="4" w:space="0" w:color="auto"/>
              <w:right w:val="single" w:sz="4" w:space="0" w:color="auto"/>
            </w:tcBorders>
            <w:shd w:val="clear" w:color="auto" w:fill="auto"/>
            <w:vAlign w:val="center"/>
            <w:hideMark/>
          </w:tcPr>
          <w:p w14:paraId="487004AD" w14:textId="77BBA095" w:rsidR="00913EEE" w:rsidRPr="00913EEE" w:rsidRDefault="00913EEE" w:rsidP="00E96996">
            <w:pPr>
              <w:spacing w:after="0" w:line="240" w:lineRule="auto"/>
              <w:jc w:val="right"/>
              <w:rPr>
                <w:rFonts w:ascii="Arial" w:eastAsia="Times New Roman" w:hAnsi="Arial" w:cs="Arial"/>
                <w:color w:val="000000"/>
                <w:sz w:val="18"/>
                <w:szCs w:val="18"/>
                <w:lang w:eastAsia="sl-SI"/>
              </w:rPr>
            </w:pPr>
            <w:r w:rsidRPr="00913EEE">
              <w:rPr>
                <w:rFonts w:ascii="Arial" w:eastAsia="Times New Roman" w:hAnsi="Arial" w:cs="Arial"/>
                <w:color w:val="000000"/>
                <w:sz w:val="18"/>
                <w:szCs w:val="18"/>
                <w:lang w:eastAsia="sl-SI"/>
              </w:rPr>
              <w:t>675</w:t>
            </w:r>
          </w:p>
        </w:tc>
        <w:tc>
          <w:tcPr>
            <w:tcW w:w="1283" w:type="dxa"/>
            <w:tcBorders>
              <w:top w:val="nil"/>
              <w:left w:val="nil"/>
              <w:bottom w:val="single" w:sz="4" w:space="0" w:color="auto"/>
              <w:right w:val="single" w:sz="4" w:space="0" w:color="auto"/>
            </w:tcBorders>
            <w:shd w:val="clear" w:color="auto" w:fill="auto"/>
            <w:vAlign w:val="center"/>
            <w:hideMark/>
          </w:tcPr>
          <w:p w14:paraId="0C703C7D" w14:textId="18DE2069" w:rsidR="00913EEE" w:rsidRPr="00913EEE" w:rsidRDefault="00913EEE" w:rsidP="00E96996">
            <w:pPr>
              <w:spacing w:after="0" w:line="240" w:lineRule="auto"/>
              <w:jc w:val="right"/>
              <w:rPr>
                <w:rFonts w:ascii="Arial" w:eastAsia="Times New Roman" w:hAnsi="Arial" w:cs="Arial"/>
                <w:color w:val="000000"/>
                <w:sz w:val="18"/>
                <w:szCs w:val="18"/>
                <w:lang w:eastAsia="sl-SI"/>
              </w:rPr>
            </w:pPr>
            <w:r w:rsidRPr="00913EEE">
              <w:rPr>
                <w:rFonts w:ascii="Arial" w:eastAsia="Times New Roman" w:hAnsi="Arial" w:cs="Arial"/>
                <w:color w:val="000000"/>
                <w:sz w:val="18"/>
                <w:szCs w:val="18"/>
                <w:lang w:eastAsia="sl-SI"/>
              </w:rPr>
              <w:t>206.362.030</w:t>
            </w:r>
          </w:p>
        </w:tc>
        <w:tc>
          <w:tcPr>
            <w:tcW w:w="992" w:type="dxa"/>
            <w:tcBorders>
              <w:top w:val="nil"/>
              <w:left w:val="nil"/>
              <w:bottom w:val="single" w:sz="4" w:space="0" w:color="auto"/>
              <w:right w:val="single" w:sz="4" w:space="0" w:color="auto"/>
            </w:tcBorders>
            <w:shd w:val="clear" w:color="auto" w:fill="auto"/>
            <w:noWrap/>
            <w:vAlign w:val="center"/>
            <w:hideMark/>
          </w:tcPr>
          <w:p w14:paraId="48CD4081" w14:textId="21C18EBB" w:rsidR="00913EEE" w:rsidRPr="00913EEE" w:rsidRDefault="00913EEE" w:rsidP="00E96996">
            <w:pPr>
              <w:spacing w:after="0" w:line="240" w:lineRule="auto"/>
              <w:jc w:val="right"/>
              <w:rPr>
                <w:rFonts w:ascii="Arial" w:eastAsia="Times New Roman" w:hAnsi="Arial" w:cs="Arial"/>
                <w:color w:val="000000"/>
                <w:sz w:val="18"/>
                <w:szCs w:val="18"/>
                <w:lang w:eastAsia="sl-SI"/>
              </w:rPr>
            </w:pPr>
            <w:r w:rsidRPr="00913EEE">
              <w:rPr>
                <w:rFonts w:ascii="Arial" w:eastAsia="Times New Roman" w:hAnsi="Arial" w:cs="Arial"/>
                <w:color w:val="000000"/>
                <w:sz w:val="18"/>
                <w:szCs w:val="18"/>
                <w:lang w:eastAsia="sl-SI"/>
              </w:rPr>
              <w:t>31,38 %</w:t>
            </w:r>
          </w:p>
        </w:tc>
        <w:tc>
          <w:tcPr>
            <w:tcW w:w="1701" w:type="dxa"/>
            <w:tcBorders>
              <w:top w:val="nil"/>
              <w:left w:val="nil"/>
              <w:bottom w:val="single" w:sz="4" w:space="0" w:color="auto"/>
              <w:right w:val="single" w:sz="4" w:space="0" w:color="auto"/>
            </w:tcBorders>
            <w:shd w:val="clear" w:color="auto" w:fill="auto"/>
            <w:noWrap/>
            <w:vAlign w:val="center"/>
            <w:hideMark/>
          </w:tcPr>
          <w:p w14:paraId="05307E71" w14:textId="279EA7F1" w:rsidR="00913EEE" w:rsidRPr="00913EEE" w:rsidRDefault="00913EEE" w:rsidP="00E96996">
            <w:pPr>
              <w:spacing w:after="0" w:line="240" w:lineRule="auto"/>
              <w:jc w:val="right"/>
              <w:rPr>
                <w:rFonts w:ascii="Arial" w:eastAsia="Times New Roman" w:hAnsi="Arial" w:cs="Arial"/>
                <w:color w:val="000000"/>
                <w:sz w:val="18"/>
                <w:szCs w:val="18"/>
                <w:lang w:eastAsia="sl-SI"/>
              </w:rPr>
            </w:pPr>
            <w:r w:rsidRPr="00913EEE">
              <w:rPr>
                <w:rFonts w:ascii="Arial" w:eastAsia="Times New Roman" w:hAnsi="Arial" w:cs="Arial"/>
                <w:color w:val="000000"/>
                <w:sz w:val="18"/>
                <w:szCs w:val="18"/>
                <w:lang w:eastAsia="sl-SI"/>
              </w:rPr>
              <w:t>34,98 %</w:t>
            </w:r>
          </w:p>
        </w:tc>
      </w:tr>
      <w:tr w:rsidR="00913EEE" w:rsidRPr="00913EEE" w14:paraId="79EEA805" w14:textId="77777777" w:rsidTr="00E96996">
        <w:trPr>
          <w:trHeight w:val="255"/>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3CA5393E" w14:textId="0973017E" w:rsidR="00913EEE" w:rsidRPr="00913EEE" w:rsidRDefault="00AD4CC7" w:rsidP="00913EEE">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Drugi</w:t>
            </w:r>
            <w:r w:rsidR="00913EEE" w:rsidRPr="00913EEE">
              <w:rPr>
                <w:rFonts w:ascii="Arial" w:eastAsia="Times New Roman" w:hAnsi="Arial" w:cs="Arial"/>
                <w:color w:val="000000"/>
                <w:sz w:val="18"/>
                <w:szCs w:val="18"/>
                <w:lang w:eastAsia="sl-SI"/>
              </w:rPr>
              <w:t xml:space="preserve"> subjekti</w:t>
            </w:r>
          </w:p>
        </w:tc>
        <w:tc>
          <w:tcPr>
            <w:tcW w:w="844" w:type="dxa"/>
            <w:tcBorders>
              <w:top w:val="nil"/>
              <w:left w:val="nil"/>
              <w:bottom w:val="single" w:sz="4" w:space="0" w:color="auto"/>
              <w:right w:val="single" w:sz="4" w:space="0" w:color="auto"/>
            </w:tcBorders>
            <w:shd w:val="clear" w:color="auto" w:fill="auto"/>
            <w:vAlign w:val="center"/>
            <w:hideMark/>
          </w:tcPr>
          <w:p w14:paraId="2991CFB3" w14:textId="7629D7A8" w:rsidR="00913EEE" w:rsidRPr="00913EEE" w:rsidRDefault="00913EEE" w:rsidP="00E96996">
            <w:pPr>
              <w:spacing w:after="0" w:line="240" w:lineRule="auto"/>
              <w:jc w:val="right"/>
              <w:rPr>
                <w:rFonts w:ascii="Arial" w:eastAsia="Times New Roman" w:hAnsi="Arial" w:cs="Arial"/>
                <w:color w:val="000000"/>
                <w:sz w:val="18"/>
                <w:szCs w:val="18"/>
                <w:lang w:eastAsia="sl-SI"/>
              </w:rPr>
            </w:pPr>
            <w:r w:rsidRPr="00913EEE">
              <w:rPr>
                <w:rFonts w:ascii="Arial" w:eastAsia="Times New Roman" w:hAnsi="Arial" w:cs="Arial"/>
                <w:color w:val="000000"/>
                <w:sz w:val="18"/>
                <w:szCs w:val="18"/>
                <w:lang w:eastAsia="sl-SI"/>
              </w:rPr>
              <w:t>23</w:t>
            </w:r>
          </w:p>
        </w:tc>
        <w:tc>
          <w:tcPr>
            <w:tcW w:w="1283" w:type="dxa"/>
            <w:tcBorders>
              <w:top w:val="nil"/>
              <w:left w:val="nil"/>
              <w:bottom w:val="single" w:sz="4" w:space="0" w:color="auto"/>
              <w:right w:val="single" w:sz="4" w:space="0" w:color="auto"/>
            </w:tcBorders>
            <w:shd w:val="clear" w:color="auto" w:fill="auto"/>
            <w:vAlign w:val="center"/>
            <w:hideMark/>
          </w:tcPr>
          <w:p w14:paraId="59D9C724" w14:textId="37286CAE" w:rsidR="00913EEE" w:rsidRPr="00913EEE" w:rsidRDefault="00913EEE" w:rsidP="00E96996">
            <w:pPr>
              <w:spacing w:after="0" w:line="240" w:lineRule="auto"/>
              <w:jc w:val="right"/>
              <w:rPr>
                <w:rFonts w:ascii="Arial" w:eastAsia="Times New Roman" w:hAnsi="Arial" w:cs="Arial"/>
                <w:color w:val="000000"/>
                <w:sz w:val="18"/>
                <w:szCs w:val="18"/>
                <w:lang w:eastAsia="sl-SI"/>
              </w:rPr>
            </w:pPr>
            <w:r w:rsidRPr="00913EEE">
              <w:rPr>
                <w:rFonts w:ascii="Arial" w:eastAsia="Times New Roman" w:hAnsi="Arial" w:cs="Arial"/>
                <w:color w:val="000000"/>
                <w:sz w:val="18"/>
                <w:szCs w:val="18"/>
                <w:lang w:eastAsia="sl-SI"/>
              </w:rPr>
              <w:t>5.007.772</w:t>
            </w:r>
          </w:p>
        </w:tc>
        <w:tc>
          <w:tcPr>
            <w:tcW w:w="992" w:type="dxa"/>
            <w:tcBorders>
              <w:top w:val="nil"/>
              <w:left w:val="nil"/>
              <w:bottom w:val="single" w:sz="4" w:space="0" w:color="auto"/>
              <w:right w:val="single" w:sz="4" w:space="0" w:color="auto"/>
            </w:tcBorders>
            <w:shd w:val="clear" w:color="auto" w:fill="auto"/>
            <w:noWrap/>
            <w:vAlign w:val="center"/>
            <w:hideMark/>
          </w:tcPr>
          <w:p w14:paraId="12B98400" w14:textId="198D62BE" w:rsidR="00913EEE" w:rsidRPr="00913EEE" w:rsidRDefault="00913EEE" w:rsidP="00E96996">
            <w:pPr>
              <w:spacing w:after="0" w:line="240" w:lineRule="auto"/>
              <w:jc w:val="right"/>
              <w:rPr>
                <w:rFonts w:ascii="Arial" w:eastAsia="Times New Roman" w:hAnsi="Arial" w:cs="Arial"/>
                <w:color w:val="000000"/>
                <w:sz w:val="18"/>
                <w:szCs w:val="18"/>
                <w:lang w:eastAsia="sl-SI"/>
              </w:rPr>
            </w:pPr>
            <w:r w:rsidRPr="00913EEE">
              <w:rPr>
                <w:rFonts w:ascii="Arial" w:eastAsia="Times New Roman" w:hAnsi="Arial" w:cs="Arial"/>
                <w:color w:val="000000"/>
                <w:sz w:val="18"/>
                <w:szCs w:val="18"/>
                <w:lang w:eastAsia="sl-SI"/>
              </w:rPr>
              <w:t>1,07 %</w:t>
            </w:r>
          </w:p>
        </w:tc>
        <w:tc>
          <w:tcPr>
            <w:tcW w:w="1701" w:type="dxa"/>
            <w:tcBorders>
              <w:top w:val="nil"/>
              <w:left w:val="nil"/>
              <w:bottom w:val="single" w:sz="4" w:space="0" w:color="auto"/>
              <w:right w:val="single" w:sz="4" w:space="0" w:color="auto"/>
            </w:tcBorders>
            <w:shd w:val="clear" w:color="auto" w:fill="auto"/>
            <w:noWrap/>
            <w:vAlign w:val="center"/>
            <w:hideMark/>
          </w:tcPr>
          <w:p w14:paraId="7209B842" w14:textId="0C9D9F65" w:rsidR="00913EEE" w:rsidRPr="00913EEE" w:rsidRDefault="00913EEE" w:rsidP="00E96996">
            <w:pPr>
              <w:spacing w:after="0" w:line="240" w:lineRule="auto"/>
              <w:jc w:val="right"/>
              <w:rPr>
                <w:rFonts w:ascii="Arial" w:eastAsia="Times New Roman" w:hAnsi="Arial" w:cs="Arial"/>
                <w:color w:val="000000"/>
                <w:sz w:val="18"/>
                <w:szCs w:val="18"/>
                <w:lang w:eastAsia="sl-SI"/>
              </w:rPr>
            </w:pPr>
            <w:r w:rsidRPr="00913EEE">
              <w:rPr>
                <w:rFonts w:ascii="Arial" w:eastAsia="Times New Roman" w:hAnsi="Arial" w:cs="Arial"/>
                <w:color w:val="000000"/>
                <w:sz w:val="18"/>
                <w:szCs w:val="18"/>
                <w:lang w:eastAsia="sl-SI"/>
              </w:rPr>
              <w:t>0,85 %</w:t>
            </w:r>
          </w:p>
        </w:tc>
      </w:tr>
      <w:tr w:rsidR="00913EEE" w:rsidRPr="00913EEE" w14:paraId="3B8E3C5F" w14:textId="77777777" w:rsidTr="00E96996">
        <w:trPr>
          <w:trHeight w:val="255"/>
          <w:jc w:val="center"/>
        </w:trPr>
        <w:tc>
          <w:tcPr>
            <w:tcW w:w="3964"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3B0C552" w14:textId="77777777" w:rsidR="00913EEE" w:rsidRPr="00913EEE" w:rsidRDefault="00913EEE" w:rsidP="00913EEE">
            <w:pPr>
              <w:spacing w:after="0" w:line="240" w:lineRule="auto"/>
              <w:rPr>
                <w:rFonts w:ascii="Arial" w:eastAsia="Times New Roman" w:hAnsi="Arial" w:cs="Arial"/>
                <w:b/>
                <w:bCs/>
                <w:color w:val="000000"/>
                <w:sz w:val="18"/>
                <w:szCs w:val="18"/>
                <w:lang w:eastAsia="sl-SI"/>
              </w:rPr>
            </w:pPr>
            <w:r w:rsidRPr="00913EEE">
              <w:rPr>
                <w:rFonts w:ascii="Arial" w:eastAsia="Times New Roman" w:hAnsi="Arial" w:cs="Arial"/>
                <w:b/>
                <w:bCs/>
                <w:color w:val="000000"/>
                <w:sz w:val="18"/>
                <w:szCs w:val="18"/>
                <w:lang w:eastAsia="sl-SI"/>
              </w:rPr>
              <w:t>Skupaj</w:t>
            </w:r>
          </w:p>
        </w:tc>
        <w:tc>
          <w:tcPr>
            <w:tcW w:w="844" w:type="dxa"/>
            <w:tcBorders>
              <w:top w:val="nil"/>
              <w:left w:val="nil"/>
              <w:bottom w:val="single" w:sz="4" w:space="0" w:color="auto"/>
              <w:right w:val="single" w:sz="4" w:space="0" w:color="auto"/>
            </w:tcBorders>
            <w:shd w:val="clear" w:color="auto" w:fill="F2F2F2" w:themeFill="background1" w:themeFillShade="F2"/>
            <w:vAlign w:val="center"/>
            <w:hideMark/>
          </w:tcPr>
          <w:p w14:paraId="3F8EBE38" w14:textId="0EFBFBE6" w:rsidR="00913EEE" w:rsidRPr="00913EEE" w:rsidRDefault="00913EEE" w:rsidP="00E96996">
            <w:pPr>
              <w:spacing w:after="0" w:line="240" w:lineRule="auto"/>
              <w:jc w:val="right"/>
              <w:rPr>
                <w:rFonts w:ascii="Arial" w:eastAsia="Times New Roman" w:hAnsi="Arial" w:cs="Arial"/>
                <w:b/>
                <w:bCs/>
                <w:color w:val="000000"/>
                <w:sz w:val="18"/>
                <w:szCs w:val="18"/>
                <w:lang w:eastAsia="sl-SI"/>
              </w:rPr>
            </w:pPr>
            <w:r w:rsidRPr="00913EEE">
              <w:rPr>
                <w:rFonts w:ascii="Arial" w:eastAsia="Times New Roman" w:hAnsi="Arial" w:cs="Arial"/>
                <w:b/>
                <w:bCs/>
                <w:color w:val="000000"/>
                <w:sz w:val="18"/>
                <w:szCs w:val="18"/>
                <w:lang w:eastAsia="sl-SI"/>
              </w:rPr>
              <w:t>2.151</w:t>
            </w:r>
          </w:p>
        </w:tc>
        <w:tc>
          <w:tcPr>
            <w:tcW w:w="1283" w:type="dxa"/>
            <w:tcBorders>
              <w:top w:val="nil"/>
              <w:left w:val="nil"/>
              <w:bottom w:val="single" w:sz="4" w:space="0" w:color="auto"/>
              <w:right w:val="single" w:sz="4" w:space="0" w:color="auto"/>
            </w:tcBorders>
            <w:shd w:val="clear" w:color="auto" w:fill="F2F2F2" w:themeFill="background1" w:themeFillShade="F2"/>
            <w:vAlign w:val="center"/>
            <w:hideMark/>
          </w:tcPr>
          <w:p w14:paraId="6224459B" w14:textId="0B3E47A7" w:rsidR="00913EEE" w:rsidRPr="00913EEE" w:rsidRDefault="00913EEE" w:rsidP="00E96996">
            <w:pPr>
              <w:spacing w:after="0" w:line="240" w:lineRule="auto"/>
              <w:jc w:val="right"/>
              <w:rPr>
                <w:rFonts w:ascii="Arial" w:eastAsia="Times New Roman" w:hAnsi="Arial" w:cs="Arial"/>
                <w:b/>
                <w:bCs/>
                <w:color w:val="000000"/>
                <w:sz w:val="18"/>
                <w:szCs w:val="18"/>
                <w:lang w:eastAsia="sl-SI"/>
              </w:rPr>
            </w:pPr>
            <w:r w:rsidRPr="00913EEE">
              <w:rPr>
                <w:rFonts w:ascii="Arial" w:eastAsia="Times New Roman" w:hAnsi="Arial" w:cs="Arial"/>
                <w:b/>
                <w:bCs/>
                <w:color w:val="000000"/>
                <w:sz w:val="18"/>
                <w:szCs w:val="18"/>
                <w:lang w:eastAsia="sl-SI"/>
              </w:rPr>
              <w:t>589.961.301</w:t>
            </w:r>
          </w:p>
        </w:tc>
        <w:tc>
          <w:tcPr>
            <w:tcW w:w="992" w:type="dxa"/>
            <w:tcBorders>
              <w:top w:val="nil"/>
              <w:left w:val="nil"/>
              <w:bottom w:val="single" w:sz="4" w:space="0" w:color="auto"/>
              <w:right w:val="single" w:sz="4" w:space="0" w:color="auto"/>
            </w:tcBorders>
            <w:shd w:val="clear" w:color="auto" w:fill="F2F2F2" w:themeFill="background1" w:themeFillShade="F2"/>
            <w:vAlign w:val="center"/>
            <w:hideMark/>
          </w:tcPr>
          <w:p w14:paraId="248F2E4A" w14:textId="6011DF73" w:rsidR="00913EEE" w:rsidRPr="00913EEE" w:rsidRDefault="00913EEE" w:rsidP="00E96996">
            <w:pPr>
              <w:spacing w:after="0" w:line="240" w:lineRule="auto"/>
              <w:jc w:val="right"/>
              <w:rPr>
                <w:rFonts w:ascii="Arial" w:eastAsia="Times New Roman" w:hAnsi="Arial" w:cs="Arial"/>
                <w:b/>
                <w:bCs/>
                <w:color w:val="000000"/>
                <w:sz w:val="18"/>
                <w:szCs w:val="18"/>
                <w:lang w:eastAsia="sl-SI"/>
              </w:rPr>
            </w:pPr>
            <w:r w:rsidRPr="00913EEE">
              <w:rPr>
                <w:rFonts w:ascii="Arial" w:eastAsia="Times New Roman" w:hAnsi="Arial" w:cs="Arial"/>
                <w:b/>
                <w:bCs/>
                <w:color w:val="000000"/>
                <w:sz w:val="18"/>
                <w:szCs w:val="18"/>
                <w:lang w:eastAsia="sl-SI"/>
              </w:rPr>
              <w:t>100,00 %</w:t>
            </w:r>
          </w:p>
        </w:tc>
        <w:tc>
          <w:tcPr>
            <w:tcW w:w="1701" w:type="dxa"/>
            <w:tcBorders>
              <w:top w:val="nil"/>
              <w:left w:val="nil"/>
              <w:bottom w:val="single" w:sz="4" w:space="0" w:color="auto"/>
              <w:right w:val="single" w:sz="4" w:space="0" w:color="auto"/>
            </w:tcBorders>
            <w:shd w:val="clear" w:color="auto" w:fill="F2F2F2" w:themeFill="background1" w:themeFillShade="F2"/>
            <w:vAlign w:val="center"/>
            <w:hideMark/>
          </w:tcPr>
          <w:p w14:paraId="23EFA4B3" w14:textId="15F8AD2D" w:rsidR="00913EEE" w:rsidRPr="00913EEE" w:rsidRDefault="00913EEE" w:rsidP="00E96996">
            <w:pPr>
              <w:spacing w:after="0" w:line="240" w:lineRule="auto"/>
              <w:jc w:val="right"/>
              <w:rPr>
                <w:rFonts w:ascii="Arial" w:eastAsia="Times New Roman" w:hAnsi="Arial" w:cs="Arial"/>
                <w:b/>
                <w:bCs/>
                <w:color w:val="000000"/>
                <w:sz w:val="18"/>
                <w:szCs w:val="18"/>
                <w:lang w:eastAsia="sl-SI"/>
              </w:rPr>
            </w:pPr>
            <w:r w:rsidRPr="00913EEE">
              <w:rPr>
                <w:rFonts w:ascii="Arial" w:eastAsia="Times New Roman" w:hAnsi="Arial" w:cs="Arial"/>
                <w:b/>
                <w:bCs/>
                <w:color w:val="000000"/>
                <w:sz w:val="18"/>
                <w:szCs w:val="18"/>
                <w:lang w:eastAsia="sl-SI"/>
              </w:rPr>
              <w:t>100,00 %</w:t>
            </w:r>
          </w:p>
        </w:tc>
      </w:tr>
    </w:tbl>
    <w:p w14:paraId="7DC8C67E" w14:textId="77777777" w:rsidR="00AA19C5" w:rsidRPr="00913EEE" w:rsidRDefault="00AA19C5" w:rsidP="00376E7F">
      <w:pPr>
        <w:spacing w:after="0" w:line="240" w:lineRule="auto"/>
        <w:jc w:val="center"/>
        <w:rPr>
          <w:rFonts w:ascii="Arial" w:hAnsi="Arial" w:cs="Arial"/>
          <w:sz w:val="18"/>
        </w:rPr>
      </w:pPr>
    </w:p>
    <w:p w14:paraId="2720FA8A" w14:textId="093C3B0A" w:rsidR="00F83DD4" w:rsidRPr="00913EEE" w:rsidRDefault="00F83DD4" w:rsidP="00701C10">
      <w:pPr>
        <w:spacing w:after="240" w:line="240" w:lineRule="auto"/>
        <w:jc w:val="center"/>
        <w:rPr>
          <w:rFonts w:ascii="Arial" w:hAnsi="Arial" w:cs="Arial"/>
          <w:sz w:val="18"/>
        </w:rPr>
      </w:pPr>
      <w:r w:rsidRPr="00913EEE">
        <w:rPr>
          <w:rFonts w:ascii="Arial" w:hAnsi="Arial" w:cs="Arial"/>
          <w:sz w:val="18"/>
        </w:rPr>
        <w:t>Vir: Statistični podatki o javni</w:t>
      </w:r>
      <w:r w:rsidR="00F20CC1" w:rsidRPr="00913EEE">
        <w:rPr>
          <w:rFonts w:ascii="Arial" w:hAnsi="Arial" w:cs="Arial"/>
          <w:sz w:val="18"/>
        </w:rPr>
        <w:t>h naročilih, oddanih v letu 20</w:t>
      </w:r>
      <w:r w:rsidR="00376E7F" w:rsidRPr="00913EEE">
        <w:rPr>
          <w:rFonts w:ascii="Arial" w:hAnsi="Arial" w:cs="Arial"/>
          <w:sz w:val="18"/>
        </w:rPr>
        <w:t>2</w:t>
      </w:r>
      <w:r w:rsidR="00913EEE" w:rsidRPr="00913EEE">
        <w:rPr>
          <w:rFonts w:ascii="Arial" w:hAnsi="Arial" w:cs="Arial"/>
          <w:sz w:val="18"/>
        </w:rPr>
        <w:t>2</w:t>
      </w:r>
      <w:r w:rsidR="007B25B7" w:rsidRPr="00913EEE">
        <w:rPr>
          <w:rFonts w:ascii="Arial" w:hAnsi="Arial" w:cs="Arial"/>
          <w:sz w:val="18"/>
        </w:rPr>
        <w:t>.</w:t>
      </w:r>
    </w:p>
    <w:p w14:paraId="6E5F5A21" w14:textId="462AE951" w:rsidR="007F3DED" w:rsidRPr="00506261" w:rsidRDefault="007F3DED" w:rsidP="007F3DED">
      <w:pPr>
        <w:spacing w:line="360" w:lineRule="auto"/>
        <w:jc w:val="both"/>
        <w:rPr>
          <w:rFonts w:ascii="Arial" w:hAnsi="Arial" w:cs="Arial"/>
          <w:sz w:val="20"/>
          <w:szCs w:val="20"/>
        </w:rPr>
      </w:pPr>
      <w:r w:rsidRPr="00506261">
        <w:rPr>
          <w:rFonts w:ascii="Arial" w:hAnsi="Arial" w:cs="Arial"/>
          <w:sz w:val="20"/>
          <w:szCs w:val="20"/>
        </w:rPr>
        <w:t xml:space="preserve">Iz statističnih podatkov </w:t>
      </w:r>
      <w:r w:rsidR="00164E3D" w:rsidRPr="00506261">
        <w:rPr>
          <w:rFonts w:ascii="Arial" w:hAnsi="Arial" w:cs="Arial"/>
          <w:sz w:val="20"/>
          <w:szCs w:val="20"/>
        </w:rPr>
        <w:t>izhaja</w:t>
      </w:r>
      <w:r w:rsidRPr="00506261">
        <w:rPr>
          <w:rFonts w:ascii="Arial" w:hAnsi="Arial" w:cs="Arial"/>
          <w:sz w:val="20"/>
          <w:szCs w:val="20"/>
        </w:rPr>
        <w:t xml:space="preserve">, da so naročniki socialne vidike upoštevali pri </w:t>
      </w:r>
      <w:r w:rsidR="00041B68" w:rsidRPr="00506261">
        <w:rPr>
          <w:rFonts w:ascii="Arial" w:hAnsi="Arial" w:cs="Arial"/>
          <w:sz w:val="20"/>
          <w:szCs w:val="20"/>
        </w:rPr>
        <w:t>1</w:t>
      </w:r>
      <w:r w:rsidR="00506261" w:rsidRPr="00506261">
        <w:rPr>
          <w:rFonts w:ascii="Arial" w:hAnsi="Arial" w:cs="Arial"/>
          <w:sz w:val="20"/>
          <w:szCs w:val="20"/>
        </w:rPr>
        <w:t>852</w:t>
      </w:r>
      <w:r w:rsidRPr="00506261">
        <w:rPr>
          <w:rFonts w:ascii="Arial" w:hAnsi="Arial" w:cs="Arial"/>
          <w:sz w:val="20"/>
          <w:szCs w:val="20"/>
        </w:rPr>
        <w:t xml:space="preserve"> naročilih na splošnem področju v vrednosti </w:t>
      </w:r>
      <w:r w:rsidR="00506261" w:rsidRPr="00506261">
        <w:rPr>
          <w:rFonts w:ascii="Arial" w:hAnsi="Arial" w:cs="Arial"/>
          <w:sz w:val="20"/>
          <w:szCs w:val="20"/>
        </w:rPr>
        <w:t xml:space="preserve">461.689.577 </w:t>
      </w:r>
      <w:r w:rsidR="000B67CB" w:rsidRPr="00506261">
        <w:rPr>
          <w:rFonts w:ascii="Arial" w:hAnsi="Arial" w:cs="Arial"/>
          <w:sz w:val="20"/>
          <w:szCs w:val="20"/>
        </w:rPr>
        <w:t xml:space="preserve">evrov in </w:t>
      </w:r>
      <w:r w:rsidR="00301627" w:rsidRPr="00506261">
        <w:rPr>
          <w:rFonts w:ascii="Arial" w:hAnsi="Arial" w:cs="Arial"/>
          <w:sz w:val="20"/>
          <w:szCs w:val="20"/>
        </w:rPr>
        <w:t>pri</w:t>
      </w:r>
      <w:r w:rsidR="000B67CB" w:rsidRPr="00506261">
        <w:rPr>
          <w:rFonts w:ascii="Arial" w:hAnsi="Arial" w:cs="Arial"/>
          <w:sz w:val="20"/>
          <w:szCs w:val="20"/>
        </w:rPr>
        <w:t xml:space="preserve"> </w:t>
      </w:r>
      <w:r w:rsidR="00506261" w:rsidRPr="00506261">
        <w:rPr>
          <w:rFonts w:ascii="Arial" w:hAnsi="Arial" w:cs="Arial"/>
          <w:sz w:val="20"/>
          <w:szCs w:val="20"/>
        </w:rPr>
        <w:t>299</w:t>
      </w:r>
      <w:r w:rsidRPr="00506261">
        <w:rPr>
          <w:rFonts w:ascii="Arial" w:hAnsi="Arial" w:cs="Arial"/>
          <w:sz w:val="20"/>
          <w:szCs w:val="20"/>
        </w:rPr>
        <w:t xml:space="preserve"> naročilih na infrastrukturnem področju v vrednosti </w:t>
      </w:r>
      <w:r w:rsidR="00506261" w:rsidRPr="00506261">
        <w:rPr>
          <w:rFonts w:ascii="Arial" w:hAnsi="Arial" w:cs="Arial"/>
          <w:sz w:val="20"/>
          <w:szCs w:val="20"/>
        </w:rPr>
        <w:t xml:space="preserve">128.271.724 </w:t>
      </w:r>
      <w:r w:rsidRPr="00506261">
        <w:rPr>
          <w:rFonts w:ascii="Arial" w:hAnsi="Arial" w:cs="Arial"/>
          <w:sz w:val="20"/>
          <w:szCs w:val="20"/>
        </w:rPr>
        <w:t>evrov.</w:t>
      </w:r>
    </w:p>
    <w:p w14:paraId="027F9514" w14:textId="4FB1089D" w:rsidR="00F83DD4" w:rsidRPr="00506261" w:rsidRDefault="00F83DD4" w:rsidP="00701C10">
      <w:pPr>
        <w:spacing w:before="120" w:after="120" w:line="240" w:lineRule="auto"/>
        <w:jc w:val="both"/>
        <w:rPr>
          <w:rFonts w:ascii="Arial" w:hAnsi="Arial" w:cs="Arial"/>
          <w:sz w:val="20"/>
        </w:rPr>
      </w:pPr>
      <w:r w:rsidRPr="00506261">
        <w:rPr>
          <w:rFonts w:ascii="Arial" w:hAnsi="Arial" w:cs="Arial"/>
          <w:sz w:val="20"/>
        </w:rPr>
        <w:t xml:space="preserve">Preglednica </w:t>
      </w:r>
      <w:r w:rsidR="00512F52" w:rsidRPr="00506261">
        <w:rPr>
          <w:rFonts w:ascii="Arial" w:hAnsi="Arial" w:cs="Arial"/>
          <w:sz w:val="20"/>
        </w:rPr>
        <w:t>5</w:t>
      </w:r>
      <w:r w:rsidR="00EA747F">
        <w:rPr>
          <w:rFonts w:ascii="Arial" w:hAnsi="Arial" w:cs="Arial"/>
          <w:sz w:val="20"/>
        </w:rPr>
        <w:t>2</w:t>
      </w:r>
      <w:r w:rsidRPr="00506261">
        <w:rPr>
          <w:rFonts w:ascii="Arial" w:hAnsi="Arial" w:cs="Arial"/>
          <w:sz w:val="20"/>
        </w:rPr>
        <w:t>: Število in vrednosti ter deleži naročil z upoštevanimi socialnimi vidiki glede na področje</w:t>
      </w:r>
      <w:r w:rsidR="00807FCE" w:rsidRPr="00506261">
        <w:rPr>
          <w:rFonts w:ascii="Arial" w:hAnsi="Arial" w:cs="Arial"/>
          <w:sz w:val="20"/>
        </w:rPr>
        <w:t xml:space="preserve"> naročanja</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00"/>
        <w:gridCol w:w="960"/>
        <w:gridCol w:w="1780"/>
        <w:gridCol w:w="1380"/>
        <w:gridCol w:w="1380"/>
      </w:tblGrid>
      <w:tr w:rsidR="006B05B1" w:rsidRPr="00BF7302" w14:paraId="11E42788" w14:textId="77777777" w:rsidTr="00B71903">
        <w:trPr>
          <w:trHeight w:val="255"/>
          <w:jc w:val="center"/>
        </w:trPr>
        <w:tc>
          <w:tcPr>
            <w:tcW w:w="2300" w:type="dxa"/>
            <w:shd w:val="clear" w:color="auto" w:fill="F2F2F2" w:themeFill="background1" w:themeFillShade="F2"/>
            <w:vAlign w:val="center"/>
            <w:hideMark/>
          </w:tcPr>
          <w:p w14:paraId="6400F2A1" w14:textId="77777777" w:rsidR="006B05B1" w:rsidRPr="00506261" w:rsidRDefault="006B05B1" w:rsidP="006B05B1">
            <w:pPr>
              <w:spacing w:after="0" w:line="240" w:lineRule="auto"/>
              <w:jc w:val="center"/>
              <w:rPr>
                <w:rFonts w:ascii="Arial" w:eastAsia="Times New Roman" w:hAnsi="Arial" w:cs="Arial"/>
                <w:color w:val="000000"/>
                <w:sz w:val="18"/>
                <w:szCs w:val="18"/>
                <w:lang w:eastAsia="sl-SI"/>
              </w:rPr>
            </w:pPr>
            <w:r w:rsidRPr="00506261">
              <w:rPr>
                <w:rFonts w:ascii="Arial" w:eastAsia="Times New Roman" w:hAnsi="Arial" w:cs="Arial"/>
                <w:color w:val="000000"/>
                <w:sz w:val="18"/>
                <w:szCs w:val="18"/>
                <w:lang w:eastAsia="sl-SI"/>
              </w:rPr>
              <w:t>Področje</w:t>
            </w:r>
          </w:p>
        </w:tc>
        <w:tc>
          <w:tcPr>
            <w:tcW w:w="960" w:type="dxa"/>
            <w:shd w:val="clear" w:color="auto" w:fill="F2F2F2" w:themeFill="background1" w:themeFillShade="F2"/>
            <w:vAlign w:val="center"/>
            <w:hideMark/>
          </w:tcPr>
          <w:p w14:paraId="13690513" w14:textId="77777777" w:rsidR="006B05B1" w:rsidRPr="00506261" w:rsidRDefault="006B05B1" w:rsidP="006B05B1">
            <w:pPr>
              <w:spacing w:after="0" w:line="240" w:lineRule="auto"/>
              <w:jc w:val="center"/>
              <w:rPr>
                <w:rFonts w:ascii="Arial" w:eastAsia="Times New Roman" w:hAnsi="Arial" w:cs="Arial"/>
                <w:color w:val="000000"/>
                <w:sz w:val="18"/>
                <w:szCs w:val="18"/>
                <w:lang w:eastAsia="sl-SI"/>
              </w:rPr>
            </w:pPr>
            <w:r w:rsidRPr="00506261">
              <w:rPr>
                <w:rFonts w:ascii="Arial" w:eastAsia="Times New Roman" w:hAnsi="Arial" w:cs="Arial"/>
                <w:color w:val="000000"/>
                <w:sz w:val="18"/>
                <w:szCs w:val="18"/>
                <w:lang w:eastAsia="sl-SI"/>
              </w:rPr>
              <w:t xml:space="preserve">Št. naročil </w:t>
            </w:r>
          </w:p>
        </w:tc>
        <w:tc>
          <w:tcPr>
            <w:tcW w:w="1780" w:type="dxa"/>
            <w:shd w:val="clear" w:color="auto" w:fill="F2F2F2" w:themeFill="background1" w:themeFillShade="F2"/>
            <w:vAlign w:val="center"/>
            <w:hideMark/>
          </w:tcPr>
          <w:p w14:paraId="3EF463AC" w14:textId="77777777" w:rsidR="006B05B1" w:rsidRPr="00506261" w:rsidRDefault="006B05B1" w:rsidP="006B05B1">
            <w:pPr>
              <w:spacing w:after="0" w:line="240" w:lineRule="auto"/>
              <w:jc w:val="center"/>
              <w:rPr>
                <w:rFonts w:ascii="Arial" w:eastAsia="Times New Roman" w:hAnsi="Arial" w:cs="Arial"/>
                <w:color w:val="000000"/>
                <w:sz w:val="18"/>
                <w:szCs w:val="18"/>
                <w:lang w:eastAsia="sl-SI"/>
              </w:rPr>
            </w:pPr>
            <w:r w:rsidRPr="00506261">
              <w:rPr>
                <w:rFonts w:ascii="Arial" w:eastAsia="Times New Roman" w:hAnsi="Arial" w:cs="Arial"/>
                <w:color w:val="000000"/>
                <w:sz w:val="18"/>
                <w:szCs w:val="18"/>
                <w:lang w:eastAsia="sl-SI"/>
              </w:rPr>
              <w:t>Pogodbena vrednost</w:t>
            </w:r>
          </w:p>
        </w:tc>
        <w:tc>
          <w:tcPr>
            <w:tcW w:w="1380" w:type="dxa"/>
            <w:shd w:val="clear" w:color="auto" w:fill="F2F2F2" w:themeFill="background1" w:themeFillShade="F2"/>
            <w:vAlign w:val="center"/>
            <w:hideMark/>
          </w:tcPr>
          <w:p w14:paraId="40A0990C" w14:textId="77777777" w:rsidR="006B05B1" w:rsidRPr="00C15AD7" w:rsidRDefault="006B05B1" w:rsidP="006B05B1">
            <w:pPr>
              <w:spacing w:after="0" w:line="240" w:lineRule="auto"/>
              <w:jc w:val="center"/>
              <w:rPr>
                <w:rFonts w:ascii="Arial" w:eastAsia="Times New Roman" w:hAnsi="Arial" w:cs="Arial"/>
                <w:color w:val="000000"/>
                <w:sz w:val="18"/>
                <w:szCs w:val="18"/>
                <w:lang w:eastAsia="sl-SI"/>
              </w:rPr>
            </w:pPr>
            <w:r w:rsidRPr="00C15AD7">
              <w:rPr>
                <w:rFonts w:ascii="Arial" w:eastAsia="Times New Roman" w:hAnsi="Arial" w:cs="Arial"/>
                <w:color w:val="000000"/>
                <w:sz w:val="18"/>
                <w:szCs w:val="18"/>
                <w:lang w:eastAsia="sl-SI"/>
              </w:rPr>
              <w:t>Delež v št. naročil na istem področju</w:t>
            </w:r>
          </w:p>
        </w:tc>
        <w:tc>
          <w:tcPr>
            <w:tcW w:w="1380" w:type="dxa"/>
            <w:shd w:val="clear" w:color="auto" w:fill="F2F2F2" w:themeFill="background1" w:themeFillShade="F2"/>
            <w:vAlign w:val="center"/>
            <w:hideMark/>
          </w:tcPr>
          <w:p w14:paraId="6C1C39D9" w14:textId="77777777" w:rsidR="006B05B1" w:rsidRPr="00C15AD7" w:rsidRDefault="006B05B1" w:rsidP="006B05B1">
            <w:pPr>
              <w:spacing w:after="0" w:line="240" w:lineRule="auto"/>
              <w:jc w:val="center"/>
              <w:rPr>
                <w:rFonts w:ascii="Arial" w:eastAsia="Times New Roman" w:hAnsi="Arial" w:cs="Arial"/>
                <w:color w:val="000000"/>
                <w:sz w:val="18"/>
                <w:szCs w:val="18"/>
                <w:lang w:eastAsia="sl-SI"/>
              </w:rPr>
            </w:pPr>
            <w:r w:rsidRPr="00C15AD7">
              <w:rPr>
                <w:rFonts w:ascii="Arial" w:eastAsia="Times New Roman" w:hAnsi="Arial" w:cs="Arial"/>
                <w:color w:val="000000"/>
                <w:sz w:val="18"/>
                <w:szCs w:val="18"/>
                <w:lang w:eastAsia="sl-SI"/>
              </w:rPr>
              <w:t>Delež v vrednosti na istem področju</w:t>
            </w:r>
          </w:p>
        </w:tc>
      </w:tr>
      <w:tr w:rsidR="00C15AD7" w:rsidRPr="00BF7302" w14:paraId="60CAA745" w14:textId="77777777" w:rsidTr="00C15AD7">
        <w:trPr>
          <w:trHeight w:val="255"/>
          <w:jc w:val="center"/>
        </w:trPr>
        <w:tc>
          <w:tcPr>
            <w:tcW w:w="2300" w:type="dxa"/>
            <w:shd w:val="clear" w:color="auto" w:fill="auto"/>
            <w:vAlign w:val="center"/>
            <w:hideMark/>
          </w:tcPr>
          <w:p w14:paraId="78CD3CE2" w14:textId="77777777" w:rsidR="00C15AD7" w:rsidRPr="00506261" w:rsidRDefault="00C15AD7" w:rsidP="00C15AD7">
            <w:pPr>
              <w:spacing w:after="0" w:line="240" w:lineRule="auto"/>
              <w:jc w:val="both"/>
              <w:rPr>
                <w:rFonts w:ascii="Arial" w:eastAsia="Times New Roman" w:hAnsi="Arial" w:cs="Arial"/>
                <w:color w:val="000000"/>
                <w:sz w:val="18"/>
                <w:szCs w:val="18"/>
                <w:lang w:eastAsia="sl-SI"/>
              </w:rPr>
            </w:pPr>
            <w:r w:rsidRPr="00506261">
              <w:rPr>
                <w:rFonts w:ascii="Arial" w:eastAsia="Times New Roman" w:hAnsi="Arial" w:cs="Arial"/>
                <w:color w:val="000000"/>
                <w:sz w:val="18"/>
                <w:szCs w:val="18"/>
                <w:lang w:eastAsia="sl-SI"/>
              </w:rPr>
              <w:t>Splošno</w:t>
            </w:r>
          </w:p>
        </w:tc>
        <w:tc>
          <w:tcPr>
            <w:tcW w:w="960" w:type="dxa"/>
            <w:shd w:val="clear" w:color="auto" w:fill="auto"/>
            <w:vAlign w:val="center"/>
            <w:hideMark/>
          </w:tcPr>
          <w:p w14:paraId="74A597F2" w14:textId="314659F5" w:rsidR="00C15AD7" w:rsidRPr="00506261" w:rsidRDefault="00C15AD7" w:rsidP="00C15AD7">
            <w:pPr>
              <w:spacing w:after="0" w:line="240" w:lineRule="auto"/>
              <w:jc w:val="right"/>
              <w:rPr>
                <w:rFonts w:ascii="Arial" w:eastAsia="Times New Roman" w:hAnsi="Arial" w:cs="Arial"/>
                <w:color w:val="000000"/>
                <w:sz w:val="18"/>
                <w:szCs w:val="18"/>
                <w:lang w:eastAsia="sl-SI"/>
              </w:rPr>
            </w:pPr>
            <w:r w:rsidRPr="00506261">
              <w:rPr>
                <w:rFonts w:ascii="Arial" w:eastAsia="Times New Roman" w:hAnsi="Arial" w:cs="Arial"/>
                <w:color w:val="000000"/>
                <w:sz w:val="18"/>
                <w:szCs w:val="18"/>
                <w:lang w:eastAsia="sl-SI"/>
              </w:rPr>
              <w:t>1.852</w:t>
            </w:r>
          </w:p>
        </w:tc>
        <w:tc>
          <w:tcPr>
            <w:tcW w:w="1780" w:type="dxa"/>
            <w:shd w:val="clear" w:color="auto" w:fill="auto"/>
            <w:vAlign w:val="center"/>
            <w:hideMark/>
          </w:tcPr>
          <w:p w14:paraId="0FC303D9" w14:textId="5A12D418" w:rsidR="00C15AD7" w:rsidRPr="00506261" w:rsidRDefault="00C15AD7" w:rsidP="00C15AD7">
            <w:pPr>
              <w:spacing w:after="0" w:line="240" w:lineRule="auto"/>
              <w:jc w:val="right"/>
              <w:rPr>
                <w:rFonts w:ascii="Arial" w:eastAsia="Times New Roman" w:hAnsi="Arial" w:cs="Arial"/>
                <w:color w:val="000000"/>
                <w:sz w:val="18"/>
                <w:szCs w:val="18"/>
                <w:lang w:eastAsia="sl-SI"/>
              </w:rPr>
            </w:pPr>
            <w:r w:rsidRPr="00506261">
              <w:rPr>
                <w:rFonts w:ascii="Arial" w:eastAsia="Times New Roman" w:hAnsi="Arial" w:cs="Arial"/>
                <w:color w:val="000000"/>
                <w:sz w:val="18"/>
                <w:szCs w:val="18"/>
                <w:lang w:eastAsia="sl-SI"/>
              </w:rPr>
              <w:t>461.689.577</w:t>
            </w:r>
          </w:p>
        </w:tc>
        <w:tc>
          <w:tcPr>
            <w:tcW w:w="1380" w:type="dxa"/>
            <w:shd w:val="clear" w:color="auto" w:fill="auto"/>
            <w:vAlign w:val="center"/>
            <w:hideMark/>
          </w:tcPr>
          <w:p w14:paraId="477742B8" w14:textId="6919FEA1" w:rsidR="00C15AD7" w:rsidRPr="00C15AD7" w:rsidRDefault="00C15AD7" w:rsidP="00C15AD7">
            <w:pPr>
              <w:spacing w:after="0" w:line="240" w:lineRule="auto"/>
              <w:jc w:val="right"/>
              <w:rPr>
                <w:rFonts w:ascii="Arial" w:eastAsia="Times New Roman" w:hAnsi="Arial" w:cs="Arial"/>
                <w:color w:val="000000"/>
                <w:sz w:val="18"/>
                <w:szCs w:val="18"/>
                <w:lang w:eastAsia="sl-SI"/>
              </w:rPr>
            </w:pPr>
            <w:r w:rsidRPr="00C15AD7">
              <w:rPr>
                <w:rFonts w:ascii="Arial" w:eastAsia="Times New Roman" w:hAnsi="Arial" w:cs="Arial"/>
                <w:color w:val="000000"/>
                <w:sz w:val="18"/>
                <w:szCs w:val="18"/>
                <w:lang w:eastAsia="sl-SI"/>
              </w:rPr>
              <w:t>12,09</w:t>
            </w:r>
            <w:r>
              <w:rPr>
                <w:rFonts w:ascii="Arial" w:eastAsia="Times New Roman" w:hAnsi="Arial" w:cs="Arial"/>
                <w:color w:val="000000"/>
                <w:sz w:val="18"/>
                <w:szCs w:val="18"/>
                <w:lang w:eastAsia="sl-SI"/>
              </w:rPr>
              <w:t xml:space="preserve"> </w:t>
            </w:r>
            <w:r w:rsidRPr="00C15AD7">
              <w:rPr>
                <w:rFonts w:ascii="Arial" w:eastAsia="Times New Roman" w:hAnsi="Arial" w:cs="Arial"/>
                <w:color w:val="000000"/>
                <w:sz w:val="18"/>
                <w:szCs w:val="18"/>
                <w:lang w:eastAsia="sl-SI"/>
              </w:rPr>
              <w:t>%</w:t>
            </w:r>
          </w:p>
        </w:tc>
        <w:tc>
          <w:tcPr>
            <w:tcW w:w="1380" w:type="dxa"/>
            <w:shd w:val="clear" w:color="auto" w:fill="auto"/>
            <w:vAlign w:val="center"/>
            <w:hideMark/>
          </w:tcPr>
          <w:p w14:paraId="45477119" w14:textId="62E001C6" w:rsidR="00C15AD7" w:rsidRPr="00C15AD7" w:rsidRDefault="00C15AD7" w:rsidP="00C15AD7">
            <w:pPr>
              <w:spacing w:after="0" w:line="240" w:lineRule="auto"/>
              <w:jc w:val="right"/>
              <w:rPr>
                <w:rFonts w:ascii="Arial" w:eastAsia="Times New Roman" w:hAnsi="Arial" w:cs="Arial"/>
                <w:color w:val="000000"/>
                <w:sz w:val="18"/>
                <w:szCs w:val="18"/>
                <w:lang w:eastAsia="sl-SI"/>
              </w:rPr>
            </w:pPr>
            <w:r w:rsidRPr="00C15AD7">
              <w:rPr>
                <w:rFonts w:ascii="Arial" w:eastAsia="Times New Roman" w:hAnsi="Arial" w:cs="Arial"/>
                <w:color w:val="000000"/>
                <w:sz w:val="18"/>
                <w:szCs w:val="18"/>
                <w:lang w:eastAsia="sl-SI"/>
              </w:rPr>
              <w:t>10,24</w:t>
            </w:r>
            <w:r>
              <w:rPr>
                <w:rFonts w:ascii="Arial" w:eastAsia="Times New Roman" w:hAnsi="Arial" w:cs="Arial"/>
                <w:color w:val="000000"/>
                <w:sz w:val="18"/>
                <w:szCs w:val="18"/>
                <w:lang w:eastAsia="sl-SI"/>
              </w:rPr>
              <w:t xml:space="preserve"> </w:t>
            </w:r>
            <w:r w:rsidRPr="00C15AD7">
              <w:rPr>
                <w:rFonts w:ascii="Arial" w:eastAsia="Times New Roman" w:hAnsi="Arial" w:cs="Arial"/>
                <w:color w:val="000000"/>
                <w:sz w:val="18"/>
                <w:szCs w:val="18"/>
                <w:lang w:eastAsia="sl-SI"/>
              </w:rPr>
              <w:t>%</w:t>
            </w:r>
          </w:p>
        </w:tc>
      </w:tr>
      <w:tr w:rsidR="00C15AD7" w:rsidRPr="00BF7302" w14:paraId="317E7F13" w14:textId="77777777" w:rsidTr="00C15AD7">
        <w:trPr>
          <w:trHeight w:val="255"/>
          <w:jc w:val="center"/>
        </w:trPr>
        <w:tc>
          <w:tcPr>
            <w:tcW w:w="2300" w:type="dxa"/>
            <w:shd w:val="clear" w:color="auto" w:fill="auto"/>
            <w:vAlign w:val="center"/>
            <w:hideMark/>
          </w:tcPr>
          <w:p w14:paraId="597FDE14" w14:textId="43B7C445" w:rsidR="00C15AD7" w:rsidRPr="00506261" w:rsidRDefault="00C15AD7" w:rsidP="00C15AD7">
            <w:pPr>
              <w:spacing w:after="0" w:line="240" w:lineRule="auto"/>
              <w:jc w:val="both"/>
              <w:rPr>
                <w:rFonts w:ascii="Arial" w:eastAsia="Times New Roman" w:hAnsi="Arial" w:cs="Arial"/>
                <w:color w:val="000000"/>
                <w:sz w:val="18"/>
                <w:szCs w:val="18"/>
                <w:lang w:eastAsia="sl-SI"/>
              </w:rPr>
            </w:pPr>
            <w:r w:rsidRPr="00506261">
              <w:rPr>
                <w:rFonts w:ascii="Arial" w:eastAsia="Times New Roman" w:hAnsi="Arial" w:cs="Arial"/>
                <w:color w:val="000000"/>
                <w:sz w:val="18"/>
                <w:szCs w:val="18"/>
                <w:lang w:eastAsia="sl-SI"/>
              </w:rPr>
              <w:t>Infrastrukturno</w:t>
            </w:r>
          </w:p>
        </w:tc>
        <w:tc>
          <w:tcPr>
            <w:tcW w:w="960" w:type="dxa"/>
            <w:shd w:val="clear" w:color="auto" w:fill="auto"/>
            <w:vAlign w:val="center"/>
            <w:hideMark/>
          </w:tcPr>
          <w:p w14:paraId="19778135" w14:textId="2E2008EE" w:rsidR="00C15AD7" w:rsidRPr="00506261" w:rsidRDefault="00C15AD7" w:rsidP="00C15AD7">
            <w:pPr>
              <w:spacing w:after="0" w:line="240" w:lineRule="auto"/>
              <w:jc w:val="right"/>
              <w:rPr>
                <w:rFonts w:ascii="Arial" w:eastAsia="Times New Roman" w:hAnsi="Arial" w:cs="Arial"/>
                <w:color w:val="000000"/>
                <w:sz w:val="18"/>
                <w:szCs w:val="18"/>
                <w:lang w:eastAsia="sl-SI"/>
              </w:rPr>
            </w:pPr>
            <w:r w:rsidRPr="00506261">
              <w:rPr>
                <w:rFonts w:ascii="Arial" w:eastAsia="Times New Roman" w:hAnsi="Arial" w:cs="Arial"/>
                <w:color w:val="000000"/>
                <w:sz w:val="18"/>
                <w:szCs w:val="18"/>
                <w:lang w:eastAsia="sl-SI"/>
              </w:rPr>
              <w:t>299</w:t>
            </w:r>
          </w:p>
        </w:tc>
        <w:tc>
          <w:tcPr>
            <w:tcW w:w="1780" w:type="dxa"/>
            <w:shd w:val="clear" w:color="auto" w:fill="auto"/>
            <w:vAlign w:val="center"/>
            <w:hideMark/>
          </w:tcPr>
          <w:p w14:paraId="18A47CDD" w14:textId="033964D7" w:rsidR="00C15AD7" w:rsidRPr="00506261" w:rsidRDefault="00C15AD7" w:rsidP="00C15AD7">
            <w:pPr>
              <w:spacing w:after="0" w:line="240" w:lineRule="auto"/>
              <w:jc w:val="right"/>
              <w:rPr>
                <w:rFonts w:ascii="Arial" w:eastAsia="Times New Roman" w:hAnsi="Arial" w:cs="Arial"/>
                <w:color w:val="000000"/>
                <w:sz w:val="18"/>
                <w:szCs w:val="18"/>
                <w:lang w:eastAsia="sl-SI"/>
              </w:rPr>
            </w:pPr>
            <w:r w:rsidRPr="00506261">
              <w:rPr>
                <w:rFonts w:ascii="Arial" w:eastAsia="Times New Roman" w:hAnsi="Arial" w:cs="Arial"/>
                <w:color w:val="000000"/>
                <w:sz w:val="18"/>
                <w:szCs w:val="18"/>
                <w:lang w:eastAsia="sl-SI"/>
              </w:rPr>
              <w:t>128.271.724</w:t>
            </w:r>
          </w:p>
        </w:tc>
        <w:tc>
          <w:tcPr>
            <w:tcW w:w="1380" w:type="dxa"/>
            <w:shd w:val="clear" w:color="auto" w:fill="auto"/>
            <w:vAlign w:val="center"/>
            <w:hideMark/>
          </w:tcPr>
          <w:p w14:paraId="7956DD02" w14:textId="254A59A8" w:rsidR="00C15AD7" w:rsidRPr="00C15AD7" w:rsidRDefault="00C15AD7" w:rsidP="00C15AD7">
            <w:pPr>
              <w:spacing w:after="0" w:line="240" w:lineRule="auto"/>
              <w:jc w:val="right"/>
              <w:rPr>
                <w:rFonts w:ascii="Arial" w:eastAsia="Times New Roman" w:hAnsi="Arial" w:cs="Arial"/>
                <w:color w:val="000000"/>
                <w:sz w:val="18"/>
                <w:szCs w:val="18"/>
                <w:lang w:eastAsia="sl-SI"/>
              </w:rPr>
            </w:pPr>
            <w:r w:rsidRPr="00C15AD7">
              <w:rPr>
                <w:rFonts w:ascii="Arial" w:eastAsia="Times New Roman" w:hAnsi="Arial" w:cs="Arial"/>
                <w:color w:val="000000"/>
                <w:sz w:val="18"/>
                <w:szCs w:val="18"/>
                <w:lang w:eastAsia="sl-SI"/>
              </w:rPr>
              <w:t>16,67</w:t>
            </w:r>
            <w:r>
              <w:rPr>
                <w:rFonts w:ascii="Arial" w:eastAsia="Times New Roman" w:hAnsi="Arial" w:cs="Arial"/>
                <w:color w:val="000000"/>
                <w:sz w:val="18"/>
                <w:szCs w:val="18"/>
                <w:lang w:eastAsia="sl-SI"/>
              </w:rPr>
              <w:t xml:space="preserve"> </w:t>
            </w:r>
            <w:r w:rsidRPr="00C15AD7">
              <w:rPr>
                <w:rFonts w:ascii="Arial" w:eastAsia="Times New Roman" w:hAnsi="Arial" w:cs="Arial"/>
                <w:color w:val="000000"/>
                <w:sz w:val="18"/>
                <w:szCs w:val="18"/>
                <w:lang w:eastAsia="sl-SI"/>
              </w:rPr>
              <w:t>%</w:t>
            </w:r>
          </w:p>
        </w:tc>
        <w:tc>
          <w:tcPr>
            <w:tcW w:w="1380" w:type="dxa"/>
            <w:shd w:val="clear" w:color="auto" w:fill="auto"/>
            <w:vAlign w:val="center"/>
            <w:hideMark/>
          </w:tcPr>
          <w:p w14:paraId="146994CF" w14:textId="46B0F9FF" w:rsidR="00C15AD7" w:rsidRPr="00C15AD7" w:rsidRDefault="00C15AD7" w:rsidP="00C15AD7">
            <w:pPr>
              <w:spacing w:after="0" w:line="240" w:lineRule="auto"/>
              <w:jc w:val="right"/>
              <w:rPr>
                <w:rFonts w:ascii="Arial" w:eastAsia="Times New Roman" w:hAnsi="Arial" w:cs="Arial"/>
                <w:color w:val="000000"/>
                <w:sz w:val="18"/>
                <w:szCs w:val="18"/>
                <w:lang w:eastAsia="sl-SI"/>
              </w:rPr>
            </w:pPr>
            <w:r w:rsidRPr="00C15AD7">
              <w:rPr>
                <w:rFonts w:ascii="Arial" w:eastAsia="Times New Roman" w:hAnsi="Arial" w:cs="Arial"/>
                <w:color w:val="000000"/>
                <w:sz w:val="18"/>
                <w:szCs w:val="18"/>
                <w:lang w:eastAsia="sl-SI"/>
              </w:rPr>
              <w:t>15,08</w:t>
            </w:r>
            <w:r>
              <w:rPr>
                <w:rFonts w:ascii="Arial" w:eastAsia="Times New Roman" w:hAnsi="Arial" w:cs="Arial"/>
                <w:color w:val="000000"/>
                <w:sz w:val="18"/>
                <w:szCs w:val="18"/>
                <w:lang w:eastAsia="sl-SI"/>
              </w:rPr>
              <w:t xml:space="preserve"> </w:t>
            </w:r>
            <w:r w:rsidRPr="00C15AD7">
              <w:rPr>
                <w:rFonts w:ascii="Arial" w:eastAsia="Times New Roman" w:hAnsi="Arial" w:cs="Arial"/>
                <w:color w:val="000000"/>
                <w:sz w:val="18"/>
                <w:szCs w:val="18"/>
                <w:lang w:eastAsia="sl-SI"/>
              </w:rPr>
              <w:t>%</w:t>
            </w:r>
          </w:p>
        </w:tc>
      </w:tr>
      <w:tr w:rsidR="00C15AD7" w:rsidRPr="00BF7302" w14:paraId="4AF2CA15" w14:textId="77777777" w:rsidTr="00C15AD7">
        <w:trPr>
          <w:trHeight w:val="255"/>
          <w:jc w:val="center"/>
        </w:trPr>
        <w:tc>
          <w:tcPr>
            <w:tcW w:w="2300" w:type="dxa"/>
            <w:shd w:val="clear" w:color="auto" w:fill="auto"/>
            <w:vAlign w:val="center"/>
            <w:hideMark/>
          </w:tcPr>
          <w:p w14:paraId="5CDDC661" w14:textId="7BF1614E" w:rsidR="00C15AD7" w:rsidRPr="00506261" w:rsidRDefault="00C15AD7" w:rsidP="00C15AD7">
            <w:pPr>
              <w:spacing w:after="0" w:line="240" w:lineRule="auto"/>
              <w:jc w:val="both"/>
              <w:rPr>
                <w:rFonts w:ascii="Arial" w:eastAsia="Times New Roman" w:hAnsi="Arial" w:cs="Arial"/>
                <w:color w:val="000000"/>
                <w:sz w:val="18"/>
                <w:szCs w:val="18"/>
                <w:lang w:eastAsia="sl-SI"/>
              </w:rPr>
            </w:pPr>
            <w:r w:rsidRPr="00506261">
              <w:rPr>
                <w:rFonts w:ascii="Arial" w:eastAsia="Times New Roman" w:hAnsi="Arial" w:cs="Arial"/>
                <w:color w:val="000000"/>
                <w:sz w:val="18"/>
                <w:szCs w:val="18"/>
                <w:lang w:eastAsia="sl-SI"/>
              </w:rPr>
              <w:t>Obrambno</w:t>
            </w:r>
          </w:p>
        </w:tc>
        <w:tc>
          <w:tcPr>
            <w:tcW w:w="960" w:type="dxa"/>
            <w:shd w:val="clear" w:color="auto" w:fill="auto"/>
            <w:vAlign w:val="center"/>
            <w:hideMark/>
          </w:tcPr>
          <w:p w14:paraId="43106635" w14:textId="27E98C6D" w:rsidR="00C15AD7" w:rsidRPr="00506261" w:rsidRDefault="00C15AD7" w:rsidP="00C15AD7">
            <w:pPr>
              <w:spacing w:after="0" w:line="240" w:lineRule="auto"/>
              <w:jc w:val="right"/>
              <w:rPr>
                <w:rFonts w:ascii="Arial" w:eastAsia="Times New Roman" w:hAnsi="Arial" w:cs="Arial"/>
                <w:color w:val="000000"/>
                <w:sz w:val="18"/>
                <w:szCs w:val="18"/>
                <w:lang w:eastAsia="sl-SI"/>
              </w:rPr>
            </w:pPr>
            <w:r w:rsidRPr="00506261">
              <w:rPr>
                <w:rFonts w:ascii="Arial" w:eastAsia="Times New Roman" w:hAnsi="Arial" w:cs="Arial"/>
                <w:color w:val="000000"/>
                <w:sz w:val="18"/>
                <w:szCs w:val="18"/>
                <w:lang w:eastAsia="sl-SI"/>
              </w:rPr>
              <w:t>0</w:t>
            </w:r>
          </w:p>
        </w:tc>
        <w:tc>
          <w:tcPr>
            <w:tcW w:w="1780" w:type="dxa"/>
            <w:shd w:val="clear" w:color="auto" w:fill="auto"/>
            <w:vAlign w:val="center"/>
            <w:hideMark/>
          </w:tcPr>
          <w:p w14:paraId="672DD977" w14:textId="7E199420" w:rsidR="00C15AD7" w:rsidRPr="00506261" w:rsidRDefault="00C15AD7" w:rsidP="00C15AD7">
            <w:pPr>
              <w:spacing w:after="0" w:line="240" w:lineRule="auto"/>
              <w:jc w:val="right"/>
              <w:rPr>
                <w:rFonts w:ascii="Arial" w:eastAsia="Times New Roman" w:hAnsi="Arial" w:cs="Arial"/>
                <w:color w:val="000000"/>
                <w:sz w:val="18"/>
                <w:szCs w:val="18"/>
                <w:lang w:eastAsia="sl-SI"/>
              </w:rPr>
            </w:pPr>
            <w:r w:rsidRPr="00506261">
              <w:rPr>
                <w:rFonts w:ascii="Arial" w:eastAsia="Times New Roman" w:hAnsi="Arial" w:cs="Arial"/>
                <w:color w:val="000000"/>
                <w:sz w:val="18"/>
                <w:szCs w:val="18"/>
                <w:lang w:eastAsia="sl-SI"/>
              </w:rPr>
              <w:t>0</w:t>
            </w:r>
          </w:p>
        </w:tc>
        <w:tc>
          <w:tcPr>
            <w:tcW w:w="1380" w:type="dxa"/>
            <w:shd w:val="clear" w:color="auto" w:fill="auto"/>
            <w:vAlign w:val="center"/>
            <w:hideMark/>
          </w:tcPr>
          <w:p w14:paraId="64FC9EBE" w14:textId="305E3C7A" w:rsidR="00C15AD7" w:rsidRPr="00C15AD7" w:rsidRDefault="00C15AD7" w:rsidP="00C15AD7">
            <w:pPr>
              <w:spacing w:after="0" w:line="240" w:lineRule="auto"/>
              <w:jc w:val="right"/>
              <w:rPr>
                <w:rFonts w:ascii="Arial" w:eastAsia="Times New Roman" w:hAnsi="Arial" w:cs="Arial"/>
                <w:color w:val="000000"/>
                <w:sz w:val="18"/>
                <w:szCs w:val="18"/>
                <w:lang w:eastAsia="sl-SI"/>
              </w:rPr>
            </w:pPr>
            <w:r w:rsidRPr="00C15AD7">
              <w:rPr>
                <w:rFonts w:ascii="Arial" w:eastAsia="Times New Roman" w:hAnsi="Arial" w:cs="Arial"/>
                <w:color w:val="000000"/>
                <w:sz w:val="18"/>
                <w:szCs w:val="18"/>
                <w:lang w:eastAsia="sl-SI"/>
              </w:rPr>
              <w:t>0,00</w:t>
            </w:r>
            <w:r>
              <w:rPr>
                <w:rFonts w:ascii="Arial" w:eastAsia="Times New Roman" w:hAnsi="Arial" w:cs="Arial"/>
                <w:color w:val="000000"/>
                <w:sz w:val="18"/>
                <w:szCs w:val="18"/>
                <w:lang w:eastAsia="sl-SI"/>
              </w:rPr>
              <w:t xml:space="preserve"> </w:t>
            </w:r>
            <w:r w:rsidRPr="00C15AD7">
              <w:rPr>
                <w:rFonts w:ascii="Arial" w:eastAsia="Times New Roman" w:hAnsi="Arial" w:cs="Arial"/>
                <w:color w:val="000000"/>
                <w:sz w:val="18"/>
                <w:szCs w:val="18"/>
                <w:lang w:eastAsia="sl-SI"/>
              </w:rPr>
              <w:t>%</w:t>
            </w:r>
          </w:p>
        </w:tc>
        <w:tc>
          <w:tcPr>
            <w:tcW w:w="1380" w:type="dxa"/>
            <w:shd w:val="clear" w:color="auto" w:fill="auto"/>
            <w:vAlign w:val="center"/>
            <w:hideMark/>
          </w:tcPr>
          <w:p w14:paraId="4A62CA2C" w14:textId="0E738927" w:rsidR="00C15AD7" w:rsidRPr="00C15AD7" w:rsidRDefault="00C15AD7" w:rsidP="00C15AD7">
            <w:pPr>
              <w:spacing w:after="0" w:line="240" w:lineRule="auto"/>
              <w:jc w:val="right"/>
              <w:rPr>
                <w:rFonts w:ascii="Arial" w:eastAsia="Times New Roman" w:hAnsi="Arial" w:cs="Arial"/>
                <w:color w:val="000000"/>
                <w:sz w:val="18"/>
                <w:szCs w:val="18"/>
                <w:lang w:eastAsia="sl-SI"/>
              </w:rPr>
            </w:pPr>
            <w:r w:rsidRPr="00C15AD7">
              <w:rPr>
                <w:rFonts w:ascii="Arial" w:eastAsia="Times New Roman" w:hAnsi="Arial" w:cs="Arial"/>
                <w:color w:val="000000"/>
                <w:sz w:val="18"/>
                <w:szCs w:val="18"/>
                <w:lang w:eastAsia="sl-SI"/>
              </w:rPr>
              <w:t>0,00</w:t>
            </w:r>
            <w:r>
              <w:rPr>
                <w:rFonts w:ascii="Arial" w:eastAsia="Times New Roman" w:hAnsi="Arial" w:cs="Arial"/>
                <w:color w:val="000000"/>
                <w:sz w:val="18"/>
                <w:szCs w:val="18"/>
                <w:lang w:eastAsia="sl-SI"/>
              </w:rPr>
              <w:t xml:space="preserve"> </w:t>
            </w:r>
            <w:r w:rsidRPr="00C15AD7">
              <w:rPr>
                <w:rFonts w:ascii="Arial" w:eastAsia="Times New Roman" w:hAnsi="Arial" w:cs="Arial"/>
                <w:color w:val="000000"/>
                <w:sz w:val="18"/>
                <w:szCs w:val="18"/>
                <w:lang w:eastAsia="sl-SI"/>
              </w:rPr>
              <w:t>%</w:t>
            </w:r>
          </w:p>
        </w:tc>
      </w:tr>
      <w:tr w:rsidR="00C15AD7" w:rsidRPr="00BF7302" w14:paraId="79BA93C5" w14:textId="77777777" w:rsidTr="00C15AD7">
        <w:trPr>
          <w:trHeight w:val="255"/>
          <w:jc w:val="center"/>
        </w:trPr>
        <w:tc>
          <w:tcPr>
            <w:tcW w:w="2300" w:type="dxa"/>
            <w:shd w:val="clear" w:color="auto" w:fill="F2F2F2" w:themeFill="background1" w:themeFillShade="F2"/>
            <w:vAlign w:val="center"/>
            <w:hideMark/>
          </w:tcPr>
          <w:p w14:paraId="5F3F6823" w14:textId="77777777" w:rsidR="00C15AD7" w:rsidRPr="00506261" w:rsidRDefault="00C15AD7" w:rsidP="00C15AD7">
            <w:pPr>
              <w:spacing w:after="0" w:line="240" w:lineRule="auto"/>
              <w:jc w:val="both"/>
              <w:rPr>
                <w:rFonts w:ascii="Arial" w:eastAsia="Times New Roman" w:hAnsi="Arial" w:cs="Arial"/>
                <w:b/>
                <w:bCs/>
                <w:color w:val="000000"/>
                <w:sz w:val="18"/>
                <w:szCs w:val="18"/>
                <w:lang w:eastAsia="sl-SI"/>
              </w:rPr>
            </w:pPr>
            <w:r w:rsidRPr="00506261">
              <w:rPr>
                <w:rFonts w:ascii="Arial" w:eastAsia="Times New Roman" w:hAnsi="Arial" w:cs="Arial"/>
                <w:b/>
                <w:bCs/>
                <w:color w:val="000000"/>
                <w:sz w:val="18"/>
                <w:szCs w:val="18"/>
                <w:lang w:eastAsia="sl-SI"/>
              </w:rPr>
              <w:t>Skupaj</w:t>
            </w:r>
          </w:p>
        </w:tc>
        <w:tc>
          <w:tcPr>
            <w:tcW w:w="960" w:type="dxa"/>
            <w:shd w:val="clear" w:color="auto" w:fill="F2F2F2" w:themeFill="background1" w:themeFillShade="F2"/>
            <w:vAlign w:val="center"/>
            <w:hideMark/>
          </w:tcPr>
          <w:p w14:paraId="1E8ADEC2" w14:textId="66691AF6" w:rsidR="00C15AD7" w:rsidRPr="00506261" w:rsidRDefault="00C15AD7" w:rsidP="00C15AD7">
            <w:pPr>
              <w:spacing w:after="0" w:line="240" w:lineRule="auto"/>
              <w:jc w:val="right"/>
              <w:rPr>
                <w:rFonts w:ascii="Arial" w:eastAsia="Times New Roman" w:hAnsi="Arial" w:cs="Arial"/>
                <w:b/>
                <w:bCs/>
                <w:color w:val="000000"/>
                <w:sz w:val="18"/>
                <w:szCs w:val="18"/>
                <w:lang w:eastAsia="sl-SI"/>
              </w:rPr>
            </w:pPr>
            <w:r w:rsidRPr="00506261">
              <w:rPr>
                <w:rFonts w:ascii="Arial" w:eastAsia="Times New Roman" w:hAnsi="Arial" w:cs="Arial"/>
                <w:b/>
                <w:bCs/>
                <w:color w:val="000000"/>
                <w:sz w:val="18"/>
                <w:szCs w:val="18"/>
                <w:lang w:eastAsia="sl-SI"/>
              </w:rPr>
              <w:t>2.151</w:t>
            </w:r>
          </w:p>
        </w:tc>
        <w:tc>
          <w:tcPr>
            <w:tcW w:w="1780" w:type="dxa"/>
            <w:shd w:val="clear" w:color="auto" w:fill="F2F2F2" w:themeFill="background1" w:themeFillShade="F2"/>
            <w:vAlign w:val="center"/>
            <w:hideMark/>
          </w:tcPr>
          <w:p w14:paraId="50907C5C" w14:textId="49C285D7" w:rsidR="00C15AD7" w:rsidRPr="00506261" w:rsidRDefault="00C15AD7" w:rsidP="00C15AD7">
            <w:pPr>
              <w:spacing w:after="0" w:line="240" w:lineRule="auto"/>
              <w:jc w:val="right"/>
              <w:rPr>
                <w:rFonts w:ascii="Arial" w:eastAsia="Times New Roman" w:hAnsi="Arial" w:cs="Arial"/>
                <w:b/>
                <w:bCs/>
                <w:color w:val="000000"/>
                <w:sz w:val="18"/>
                <w:szCs w:val="18"/>
                <w:lang w:eastAsia="sl-SI"/>
              </w:rPr>
            </w:pPr>
            <w:r w:rsidRPr="00506261">
              <w:rPr>
                <w:rFonts w:ascii="Arial" w:eastAsia="Times New Roman" w:hAnsi="Arial" w:cs="Arial"/>
                <w:b/>
                <w:bCs/>
                <w:color w:val="000000"/>
                <w:sz w:val="18"/>
                <w:szCs w:val="18"/>
                <w:lang w:eastAsia="sl-SI"/>
              </w:rPr>
              <w:t>589.961.301</w:t>
            </w:r>
          </w:p>
        </w:tc>
        <w:tc>
          <w:tcPr>
            <w:tcW w:w="1380" w:type="dxa"/>
            <w:shd w:val="clear" w:color="auto" w:fill="F2F2F2" w:themeFill="background1" w:themeFillShade="F2"/>
            <w:vAlign w:val="center"/>
            <w:hideMark/>
          </w:tcPr>
          <w:p w14:paraId="51FFC4FD" w14:textId="2A42E1DF" w:rsidR="00C15AD7" w:rsidRPr="00C15AD7" w:rsidRDefault="00C15AD7" w:rsidP="00C15AD7">
            <w:pPr>
              <w:spacing w:after="0" w:line="240" w:lineRule="auto"/>
              <w:jc w:val="right"/>
              <w:rPr>
                <w:rFonts w:ascii="Arial" w:eastAsia="Times New Roman" w:hAnsi="Arial" w:cs="Arial"/>
                <w:b/>
                <w:bCs/>
                <w:color w:val="000000"/>
                <w:sz w:val="18"/>
                <w:szCs w:val="18"/>
                <w:lang w:eastAsia="sl-SI"/>
              </w:rPr>
            </w:pPr>
            <w:r w:rsidRPr="00C15AD7">
              <w:rPr>
                <w:rFonts w:ascii="Arial" w:eastAsia="Times New Roman" w:hAnsi="Arial" w:cs="Arial"/>
                <w:b/>
                <w:bCs/>
                <w:color w:val="000000"/>
                <w:sz w:val="18"/>
                <w:szCs w:val="18"/>
                <w:lang w:eastAsia="sl-SI"/>
              </w:rPr>
              <w:t>12,49 %</w:t>
            </w:r>
          </w:p>
        </w:tc>
        <w:tc>
          <w:tcPr>
            <w:tcW w:w="1380" w:type="dxa"/>
            <w:shd w:val="clear" w:color="auto" w:fill="F2F2F2" w:themeFill="background1" w:themeFillShade="F2"/>
            <w:vAlign w:val="center"/>
            <w:hideMark/>
          </w:tcPr>
          <w:p w14:paraId="5C350981" w14:textId="016144A9" w:rsidR="00C15AD7" w:rsidRPr="00C15AD7" w:rsidRDefault="00C15AD7" w:rsidP="00C15AD7">
            <w:pPr>
              <w:spacing w:after="0" w:line="240" w:lineRule="auto"/>
              <w:jc w:val="right"/>
              <w:rPr>
                <w:rFonts w:ascii="Arial" w:eastAsia="Times New Roman" w:hAnsi="Arial" w:cs="Arial"/>
                <w:b/>
                <w:bCs/>
                <w:color w:val="000000"/>
                <w:sz w:val="18"/>
                <w:szCs w:val="18"/>
                <w:lang w:eastAsia="sl-SI"/>
              </w:rPr>
            </w:pPr>
            <w:r w:rsidRPr="00C15AD7">
              <w:rPr>
                <w:rFonts w:ascii="Arial" w:eastAsia="Times New Roman" w:hAnsi="Arial" w:cs="Arial"/>
                <w:b/>
                <w:bCs/>
                <w:color w:val="000000"/>
                <w:sz w:val="18"/>
                <w:szCs w:val="18"/>
                <w:lang w:eastAsia="sl-SI"/>
              </w:rPr>
              <w:t>10,89 %</w:t>
            </w:r>
          </w:p>
        </w:tc>
      </w:tr>
    </w:tbl>
    <w:p w14:paraId="507B282D" w14:textId="657F5B9C" w:rsidR="004A613D" w:rsidRPr="00506261" w:rsidRDefault="004A613D" w:rsidP="004A613D">
      <w:pPr>
        <w:spacing w:after="0" w:line="240" w:lineRule="auto"/>
        <w:jc w:val="center"/>
        <w:rPr>
          <w:rFonts w:ascii="Arial" w:hAnsi="Arial" w:cs="Arial"/>
          <w:sz w:val="18"/>
        </w:rPr>
      </w:pPr>
    </w:p>
    <w:p w14:paraId="75952EB9" w14:textId="6C8E893F" w:rsidR="00F83DD4" w:rsidRPr="00506261" w:rsidRDefault="00F83DD4" w:rsidP="004A613D">
      <w:pPr>
        <w:spacing w:after="0" w:line="240" w:lineRule="auto"/>
        <w:jc w:val="center"/>
        <w:rPr>
          <w:rFonts w:ascii="Arial" w:hAnsi="Arial" w:cs="Arial"/>
          <w:sz w:val="18"/>
        </w:rPr>
      </w:pPr>
      <w:r w:rsidRPr="00506261">
        <w:rPr>
          <w:rFonts w:ascii="Arial" w:hAnsi="Arial" w:cs="Arial"/>
          <w:sz w:val="18"/>
        </w:rPr>
        <w:t>Vir: Statistični podatki o javnih naročilih, oddanih v letu 20</w:t>
      </w:r>
      <w:r w:rsidR="00CF14F4" w:rsidRPr="00506261">
        <w:rPr>
          <w:rFonts w:ascii="Arial" w:hAnsi="Arial" w:cs="Arial"/>
          <w:sz w:val="18"/>
        </w:rPr>
        <w:t>2</w:t>
      </w:r>
      <w:r w:rsidR="00506261" w:rsidRPr="00506261">
        <w:rPr>
          <w:rFonts w:ascii="Arial" w:hAnsi="Arial" w:cs="Arial"/>
          <w:sz w:val="18"/>
        </w:rPr>
        <w:t>2</w:t>
      </w:r>
      <w:r w:rsidR="007B25B7" w:rsidRPr="00506261">
        <w:rPr>
          <w:rFonts w:ascii="Arial" w:hAnsi="Arial" w:cs="Arial"/>
          <w:sz w:val="18"/>
        </w:rPr>
        <w:t>.</w:t>
      </w:r>
    </w:p>
    <w:p w14:paraId="63AD0122" w14:textId="7C31795D" w:rsidR="004A613D" w:rsidRPr="00BF7302" w:rsidRDefault="004A613D" w:rsidP="00EF4A55">
      <w:pPr>
        <w:spacing w:after="120" w:line="240" w:lineRule="auto"/>
        <w:jc w:val="both"/>
        <w:rPr>
          <w:rFonts w:ascii="Arial" w:hAnsi="Arial" w:cs="Arial"/>
          <w:sz w:val="20"/>
          <w:szCs w:val="20"/>
          <w:highlight w:val="yellow"/>
        </w:rPr>
      </w:pPr>
    </w:p>
    <w:p w14:paraId="7F39B48D" w14:textId="0257E4E4" w:rsidR="00F513C9" w:rsidRPr="00D11D01" w:rsidRDefault="00F83DD4" w:rsidP="00F513C9">
      <w:pPr>
        <w:spacing w:line="360" w:lineRule="auto"/>
        <w:jc w:val="both"/>
        <w:rPr>
          <w:rFonts w:ascii="Arial" w:hAnsi="Arial" w:cs="Arial"/>
          <w:sz w:val="20"/>
          <w:szCs w:val="20"/>
        </w:rPr>
      </w:pPr>
      <w:r w:rsidRPr="00D11D01">
        <w:rPr>
          <w:rFonts w:ascii="Arial" w:hAnsi="Arial" w:cs="Arial"/>
          <w:sz w:val="20"/>
          <w:szCs w:val="20"/>
        </w:rPr>
        <w:t xml:space="preserve">Naročniki so socialne vidike upoštevali </w:t>
      </w:r>
      <w:r w:rsidR="004F0828" w:rsidRPr="00D11D01">
        <w:rPr>
          <w:rFonts w:ascii="Arial" w:hAnsi="Arial" w:cs="Arial"/>
          <w:sz w:val="20"/>
          <w:szCs w:val="20"/>
        </w:rPr>
        <w:t>pri</w:t>
      </w:r>
      <w:r w:rsidR="00415E9F" w:rsidRPr="00D11D01">
        <w:rPr>
          <w:rFonts w:ascii="Arial" w:hAnsi="Arial" w:cs="Arial"/>
          <w:sz w:val="20"/>
          <w:szCs w:val="20"/>
        </w:rPr>
        <w:t xml:space="preserve"> </w:t>
      </w:r>
      <w:r w:rsidR="00D4238E" w:rsidRPr="00D11D01">
        <w:rPr>
          <w:rFonts w:ascii="Arial" w:hAnsi="Arial" w:cs="Arial"/>
          <w:sz w:val="20"/>
          <w:szCs w:val="20"/>
        </w:rPr>
        <w:t xml:space="preserve">razlogih za izključitev, </w:t>
      </w:r>
      <w:r w:rsidR="00AA14EC">
        <w:rPr>
          <w:rFonts w:ascii="Arial" w:hAnsi="Arial" w:cs="Arial"/>
          <w:sz w:val="20"/>
          <w:szCs w:val="20"/>
        </w:rPr>
        <w:t xml:space="preserve">pri </w:t>
      </w:r>
      <w:r w:rsidR="00B216DF" w:rsidRPr="00D11D01">
        <w:rPr>
          <w:rFonts w:ascii="Arial" w:hAnsi="Arial" w:cs="Arial"/>
          <w:sz w:val="20"/>
          <w:szCs w:val="20"/>
        </w:rPr>
        <w:t xml:space="preserve">tehničnih </w:t>
      </w:r>
      <w:r w:rsidRPr="00D11D01">
        <w:rPr>
          <w:rFonts w:ascii="Arial" w:hAnsi="Arial" w:cs="Arial"/>
          <w:sz w:val="20"/>
          <w:szCs w:val="20"/>
        </w:rPr>
        <w:t>specifikacijah, merilih, pogodbi in pogojih za priznanje sposobnosti oziroma na drug način. Pri posameznem naročilu so lahko socialne vidike upoštevali na en</w:t>
      </w:r>
      <w:r w:rsidR="00A558B6" w:rsidRPr="00D11D01">
        <w:rPr>
          <w:rFonts w:ascii="Arial" w:hAnsi="Arial" w:cs="Arial"/>
          <w:sz w:val="20"/>
          <w:szCs w:val="20"/>
        </w:rPr>
        <w:t>ega</w:t>
      </w:r>
      <w:r w:rsidRPr="00D11D01">
        <w:rPr>
          <w:rFonts w:ascii="Arial" w:hAnsi="Arial" w:cs="Arial"/>
          <w:sz w:val="20"/>
          <w:szCs w:val="20"/>
        </w:rPr>
        <w:t xml:space="preserve"> ali več načinov. Največkrat so jih upoštevali v </w:t>
      </w:r>
      <w:r w:rsidR="00254501" w:rsidRPr="00D11D01">
        <w:rPr>
          <w:rFonts w:ascii="Arial" w:eastAsia="Times New Roman" w:hAnsi="Arial" w:cs="Arial"/>
          <w:color w:val="000000"/>
          <w:sz w:val="20"/>
          <w:szCs w:val="20"/>
          <w:lang w:eastAsia="sl-SI"/>
        </w:rPr>
        <w:t>pogodbenih določilih iz obligacijskega razmerja</w:t>
      </w:r>
      <w:r w:rsidRPr="00D11D01">
        <w:rPr>
          <w:rFonts w:ascii="Arial" w:hAnsi="Arial" w:cs="Arial"/>
          <w:sz w:val="20"/>
          <w:szCs w:val="20"/>
        </w:rPr>
        <w:t xml:space="preserve">, in sicer </w:t>
      </w:r>
      <w:r w:rsidR="00B438B8" w:rsidRPr="00D11D01">
        <w:rPr>
          <w:rFonts w:ascii="Arial" w:hAnsi="Arial" w:cs="Arial"/>
          <w:sz w:val="20"/>
          <w:szCs w:val="20"/>
        </w:rPr>
        <w:t>pri</w:t>
      </w:r>
      <w:r w:rsidR="00415E9F" w:rsidRPr="00D11D01">
        <w:rPr>
          <w:rFonts w:ascii="Arial" w:hAnsi="Arial" w:cs="Arial"/>
          <w:sz w:val="20"/>
          <w:szCs w:val="20"/>
        </w:rPr>
        <w:t xml:space="preserve"> </w:t>
      </w:r>
      <w:r w:rsidR="002808FB" w:rsidRPr="00D11D01">
        <w:rPr>
          <w:rFonts w:ascii="Arial" w:hAnsi="Arial" w:cs="Arial"/>
          <w:sz w:val="20"/>
          <w:szCs w:val="20"/>
        </w:rPr>
        <w:t>1</w:t>
      </w:r>
      <w:r w:rsidR="00851FC7" w:rsidRPr="00D11D01">
        <w:rPr>
          <w:rFonts w:ascii="Arial" w:hAnsi="Arial" w:cs="Arial"/>
          <w:sz w:val="20"/>
          <w:szCs w:val="20"/>
        </w:rPr>
        <w:t>2</w:t>
      </w:r>
      <w:r w:rsidR="00B216DF" w:rsidRPr="00D11D01">
        <w:rPr>
          <w:rFonts w:ascii="Arial" w:hAnsi="Arial" w:cs="Arial"/>
          <w:sz w:val="20"/>
          <w:szCs w:val="20"/>
        </w:rPr>
        <w:t>54</w:t>
      </w:r>
      <w:r w:rsidR="002808FB" w:rsidRPr="00D11D01">
        <w:rPr>
          <w:rFonts w:ascii="Arial" w:hAnsi="Arial" w:cs="Arial"/>
          <w:sz w:val="20"/>
          <w:szCs w:val="20"/>
        </w:rPr>
        <w:t xml:space="preserve"> n</w:t>
      </w:r>
      <w:r w:rsidR="009B2527" w:rsidRPr="00D11D01">
        <w:rPr>
          <w:rFonts w:ascii="Arial" w:hAnsi="Arial" w:cs="Arial"/>
          <w:sz w:val="20"/>
          <w:szCs w:val="20"/>
        </w:rPr>
        <w:t>aročilih</w:t>
      </w:r>
      <w:r w:rsidRPr="00D11D01">
        <w:rPr>
          <w:rFonts w:ascii="Arial" w:hAnsi="Arial" w:cs="Arial"/>
          <w:sz w:val="20"/>
          <w:szCs w:val="20"/>
        </w:rPr>
        <w:t>.</w:t>
      </w:r>
      <w:r w:rsidR="00F513C9" w:rsidRPr="00D11D01">
        <w:rPr>
          <w:rFonts w:ascii="Arial" w:hAnsi="Arial" w:cs="Arial"/>
          <w:sz w:val="20"/>
          <w:szCs w:val="20"/>
        </w:rPr>
        <w:t xml:space="preserve"> </w:t>
      </w:r>
    </w:p>
    <w:p w14:paraId="1E8CE2A4" w14:textId="77777777" w:rsidR="00C72E29" w:rsidRDefault="00C72E29">
      <w:pPr>
        <w:rPr>
          <w:rFonts w:ascii="Arial" w:hAnsi="Arial" w:cs="Arial"/>
          <w:sz w:val="20"/>
        </w:rPr>
      </w:pPr>
      <w:r>
        <w:rPr>
          <w:rFonts w:ascii="Arial" w:hAnsi="Arial" w:cs="Arial"/>
          <w:sz w:val="20"/>
        </w:rPr>
        <w:br w:type="page"/>
      </w:r>
    </w:p>
    <w:p w14:paraId="4A414EA7" w14:textId="29A448E3" w:rsidR="00F83DD4" w:rsidRPr="00B216DF" w:rsidRDefault="00F83DD4" w:rsidP="00701C10">
      <w:pPr>
        <w:spacing w:before="120" w:after="120" w:line="240" w:lineRule="auto"/>
        <w:jc w:val="both"/>
        <w:rPr>
          <w:rFonts w:ascii="Arial" w:hAnsi="Arial" w:cs="Arial"/>
          <w:sz w:val="20"/>
        </w:rPr>
      </w:pPr>
      <w:r w:rsidRPr="00B216DF">
        <w:rPr>
          <w:rFonts w:ascii="Arial" w:hAnsi="Arial" w:cs="Arial"/>
          <w:sz w:val="20"/>
        </w:rPr>
        <w:lastRenderedPageBreak/>
        <w:t>Preglednica </w:t>
      </w:r>
      <w:r w:rsidR="00512F52" w:rsidRPr="00B216DF">
        <w:rPr>
          <w:rFonts w:ascii="Arial" w:hAnsi="Arial" w:cs="Arial"/>
          <w:sz w:val="20"/>
        </w:rPr>
        <w:t>5</w:t>
      </w:r>
      <w:r w:rsidR="00EA747F">
        <w:rPr>
          <w:rFonts w:ascii="Arial" w:hAnsi="Arial" w:cs="Arial"/>
          <w:sz w:val="20"/>
        </w:rPr>
        <w:t>3</w:t>
      </w:r>
      <w:r w:rsidRPr="00B216DF">
        <w:rPr>
          <w:rFonts w:ascii="Arial" w:hAnsi="Arial" w:cs="Arial"/>
          <w:sz w:val="20"/>
        </w:rPr>
        <w:t>: Število in vrednost glede na način upoštevanja socialnih vidikov</w:t>
      </w:r>
    </w:p>
    <w:tbl>
      <w:tblPr>
        <w:tblW w:w="5000" w:type="pct"/>
        <w:jc w:val="center"/>
        <w:tblCellMar>
          <w:left w:w="70" w:type="dxa"/>
          <w:right w:w="70" w:type="dxa"/>
        </w:tblCellMar>
        <w:tblLook w:val="04A0" w:firstRow="1" w:lastRow="0" w:firstColumn="1" w:lastColumn="0" w:noHBand="0" w:noVBand="1"/>
      </w:tblPr>
      <w:tblGrid>
        <w:gridCol w:w="3269"/>
        <w:gridCol w:w="910"/>
        <w:gridCol w:w="1453"/>
        <w:gridCol w:w="1771"/>
        <w:gridCol w:w="1771"/>
      </w:tblGrid>
      <w:tr w:rsidR="002808FB" w:rsidRPr="00BF7302" w14:paraId="178905B6" w14:textId="77777777" w:rsidTr="00D94FAF">
        <w:trPr>
          <w:trHeight w:val="255"/>
          <w:jc w:val="center"/>
        </w:trPr>
        <w:tc>
          <w:tcPr>
            <w:tcW w:w="17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ECA7D6" w14:textId="77777777" w:rsidR="002808FB" w:rsidRPr="00B216DF" w:rsidRDefault="002808FB" w:rsidP="002808FB">
            <w:pPr>
              <w:spacing w:after="0" w:line="240" w:lineRule="auto"/>
              <w:jc w:val="center"/>
              <w:rPr>
                <w:rFonts w:ascii="Arial" w:eastAsia="Times New Roman" w:hAnsi="Arial" w:cs="Arial"/>
                <w:color w:val="000000"/>
                <w:sz w:val="18"/>
                <w:szCs w:val="18"/>
                <w:lang w:eastAsia="sl-SI"/>
              </w:rPr>
            </w:pPr>
            <w:r w:rsidRPr="00B216DF">
              <w:rPr>
                <w:rFonts w:ascii="Arial" w:eastAsia="Times New Roman" w:hAnsi="Arial" w:cs="Arial"/>
                <w:color w:val="000000"/>
                <w:sz w:val="18"/>
                <w:szCs w:val="18"/>
                <w:lang w:eastAsia="sl-SI"/>
              </w:rPr>
              <w:t>Način upoštevanja socialnih vidikov pri javnem naročanju</w:t>
            </w:r>
          </w:p>
        </w:tc>
        <w:tc>
          <w:tcPr>
            <w:tcW w:w="49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EEFAAF6" w14:textId="77777777" w:rsidR="002808FB" w:rsidRPr="00B216DF" w:rsidRDefault="002808FB" w:rsidP="002808FB">
            <w:pPr>
              <w:spacing w:after="0" w:line="240" w:lineRule="auto"/>
              <w:jc w:val="center"/>
              <w:rPr>
                <w:rFonts w:ascii="Arial" w:eastAsia="Times New Roman" w:hAnsi="Arial" w:cs="Arial"/>
                <w:color w:val="000000"/>
                <w:sz w:val="18"/>
                <w:szCs w:val="18"/>
                <w:lang w:eastAsia="sl-SI"/>
              </w:rPr>
            </w:pPr>
            <w:r w:rsidRPr="00B216DF">
              <w:rPr>
                <w:rFonts w:ascii="Arial" w:eastAsia="Times New Roman" w:hAnsi="Arial" w:cs="Arial"/>
                <w:color w:val="000000"/>
                <w:sz w:val="18"/>
                <w:szCs w:val="18"/>
                <w:lang w:eastAsia="sl-SI"/>
              </w:rPr>
              <w:t xml:space="preserve">Št. naročil </w:t>
            </w:r>
          </w:p>
        </w:tc>
        <w:tc>
          <w:tcPr>
            <w:tcW w:w="79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B7E809F" w14:textId="77777777" w:rsidR="002808FB" w:rsidRPr="00B216DF" w:rsidRDefault="002808FB" w:rsidP="002808FB">
            <w:pPr>
              <w:spacing w:after="0" w:line="240" w:lineRule="auto"/>
              <w:jc w:val="center"/>
              <w:rPr>
                <w:rFonts w:ascii="Arial" w:eastAsia="Times New Roman" w:hAnsi="Arial" w:cs="Arial"/>
                <w:color w:val="000000"/>
                <w:sz w:val="18"/>
                <w:szCs w:val="18"/>
                <w:lang w:eastAsia="sl-SI"/>
              </w:rPr>
            </w:pPr>
            <w:r w:rsidRPr="00B216DF">
              <w:rPr>
                <w:rFonts w:ascii="Arial" w:eastAsia="Times New Roman" w:hAnsi="Arial" w:cs="Arial"/>
                <w:color w:val="000000"/>
                <w:sz w:val="18"/>
                <w:szCs w:val="18"/>
                <w:lang w:eastAsia="sl-SI"/>
              </w:rPr>
              <w:t>Pogodbena vrednost</w:t>
            </w:r>
          </w:p>
        </w:tc>
        <w:tc>
          <w:tcPr>
            <w:tcW w:w="96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F194B20" w14:textId="77777777" w:rsidR="002808FB" w:rsidRPr="00D11D01" w:rsidRDefault="002808FB" w:rsidP="002808FB">
            <w:pPr>
              <w:spacing w:after="0" w:line="240" w:lineRule="auto"/>
              <w:jc w:val="center"/>
              <w:rPr>
                <w:rFonts w:ascii="Arial" w:eastAsia="Times New Roman" w:hAnsi="Arial" w:cs="Arial"/>
                <w:color w:val="000000"/>
                <w:sz w:val="18"/>
                <w:szCs w:val="18"/>
                <w:lang w:eastAsia="sl-SI"/>
              </w:rPr>
            </w:pPr>
            <w:r w:rsidRPr="00D11D01">
              <w:rPr>
                <w:rFonts w:ascii="Arial" w:eastAsia="Times New Roman" w:hAnsi="Arial" w:cs="Arial"/>
                <w:color w:val="000000"/>
                <w:sz w:val="18"/>
                <w:szCs w:val="18"/>
                <w:lang w:eastAsia="sl-SI"/>
              </w:rPr>
              <w:t>Delež v številu naročil (socialni vidiki)</w:t>
            </w:r>
          </w:p>
        </w:tc>
        <w:tc>
          <w:tcPr>
            <w:tcW w:w="96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863CBAA" w14:textId="77777777" w:rsidR="002808FB" w:rsidRPr="00D11D01" w:rsidRDefault="002808FB" w:rsidP="002808FB">
            <w:pPr>
              <w:spacing w:after="0" w:line="240" w:lineRule="auto"/>
              <w:jc w:val="center"/>
              <w:rPr>
                <w:rFonts w:ascii="Arial" w:eastAsia="Times New Roman" w:hAnsi="Arial" w:cs="Arial"/>
                <w:color w:val="000000"/>
                <w:sz w:val="18"/>
                <w:szCs w:val="18"/>
                <w:lang w:eastAsia="sl-SI"/>
              </w:rPr>
            </w:pPr>
            <w:r w:rsidRPr="00D11D01">
              <w:rPr>
                <w:rFonts w:ascii="Arial" w:eastAsia="Times New Roman" w:hAnsi="Arial" w:cs="Arial"/>
                <w:color w:val="000000"/>
                <w:sz w:val="18"/>
                <w:szCs w:val="18"/>
                <w:lang w:eastAsia="sl-SI"/>
              </w:rPr>
              <w:t>Delež v vrednosti naročil (socialni vidiki)</w:t>
            </w:r>
          </w:p>
        </w:tc>
      </w:tr>
      <w:tr w:rsidR="00D11D01" w:rsidRPr="00BF7302" w14:paraId="3E2A5ED3" w14:textId="77777777" w:rsidTr="00D94FAF">
        <w:trPr>
          <w:trHeight w:val="255"/>
          <w:jc w:val="center"/>
        </w:trPr>
        <w:tc>
          <w:tcPr>
            <w:tcW w:w="1781" w:type="pct"/>
            <w:tcBorders>
              <w:top w:val="nil"/>
              <w:left w:val="single" w:sz="4" w:space="0" w:color="auto"/>
              <w:bottom w:val="single" w:sz="4" w:space="0" w:color="auto"/>
              <w:right w:val="single" w:sz="4" w:space="0" w:color="auto"/>
            </w:tcBorders>
            <w:shd w:val="clear" w:color="auto" w:fill="auto"/>
            <w:vAlign w:val="center"/>
            <w:hideMark/>
          </w:tcPr>
          <w:p w14:paraId="7EACDF7F" w14:textId="77777777" w:rsidR="00D11D01" w:rsidRPr="00B216DF" w:rsidRDefault="00D11D01" w:rsidP="00D11D01">
            <w:pPr>
              <w:spacing w:after="0" w:line="240" w:lineRule="auto"/>
              <w:rPr>
                <w:rFonts w:ascii="Arial" w:eastAsia="Times New Roman" w:hAnsi="Arial" w:cs="Arial"/>
                <w:color w:val="000000"/>
                <w:sz w:val="18"/>
                <w:szCs w:val="18"/>
                <w:lang w:eastAsia="sl-SI"/>
              </w:rPr>
            </w:pPr>
            <w:r w:rsidRPr="00B216DF">
              <w:rPr>
                <w:rFonts w:ascii="Arial" w:eastAsia="Times New Roman" w:hAnsi="Arial" w:cs="Arial"/>
                <w:color w:val="000000"/>
                <w:sz w:val="18"/>
                <w:szCs w:val="18"/>
                <w:lang w:eastAsia="sl-SI"/>
              </w:rPr>
              <w:t>Tehnične specifikacije</w:t>
            </w:r>
          </w:p>
        </w:tc>
        <w:tc>
          <w:tcPr>
            <w:tcW w:w="496" w:type="pct"/>
            <w:tcBorders>
              <w:top w:val="nil"/>
              <w:left w:val="nil"/>
              <w:bottom w:val="single" w:sz="4" w:space="0" w:color="auto"/>
              <w:right w:val="single" w:sz="4" w:space="0" w:color="auto"/>
            </w:tcBorders>
            <w:shd w:val="clear" w:color="auto" w:fill="auto"/>
            <w:vAlign w:val="center"/>
            <w:hideMark/>
          </w:tcPr>
          <w:p w14:paraId="4906F6CF" w14:textId="22EDC349" w:rsidR="00D11D01" w:rsidRPr="00B216DF" w:rsidRDefault="00D11D01" w:rsidP="00D11D01">
            <w:pPr>
              <w:spacing w:after="0" w:line="240" w:lineRule="auto"/>
              <w:jc w:val="right"/>
              <w:rPr>
                <w:rFonts w:ascii="Arial" w:eastAsia="Times New Roman" w:hAnsi="Arial" w:cs="Arial"/>
                <w:color w:val="000000"/>
                <w:sz w:val="18"/>
                <w:szCs w:val="18"/>
                <w:lang w:eastAsia="sl-SI"/>
              </w:rPr>
            </w:pPr>
            <w:r w:rsidRPr="00B216DF">
              <w:rPr>
                <w:rFonts w:ascii="Arial" w:eastAsia="Times New Roman" w:hAnsi="Arial" w:cs="Arial"/>
                <w:color w:val="000000"/>
                <w:sz w:val="18"/>
                <w:szCs w:val="18"/>
                <w:lang w:eastAsia="sl-SI"/>
              </w:rPr>
              <w:t>70</w:t>
            </w:r>
          </w:p>
        </w:tc>
        <w:tc>
          <w:tcPr>
            <w:tcW w:w="792" w:type="pct"/>
            <w:tcBorders>
              <w:top w:val="nil"/>
              <w:left w:val="nil"/>
              <w:bottom w:val="single" w:sz="4" w:space="0" w:color="auto"/>
              <w:right w:val="single" w:sz="4" w:space="0" w:color="auto"/>
            </w:tcBorders>
            <w:shd w:val="clear" w:color="auto" w:fill="auto"/>
            <w:vAlign w:val="center"/>
            <w:hideMark/>
          </w:tcPr>
          <w:p w14:paraId="2B373DCA" w14:textId="1BB037C1" w:rsidR="00D11D01" w:rsidRPr="00B216DF" w:rsidRDefault="00D11D01" w:rsidP="00D11D01">
            <w:pPr>
              <w:spacing w:after="0" w:line="240" w:lineRule="auto"/>
              <w:jc w:val="right"/>
              <w:rPr>
                <w:rFonts w:ascii="Arial" w:eastAsia="Times New Roman" w:hAnsi="Arial" w:cs="Arial"/>
                <w:color w:val="000000"/>
                <w:sz w:val="18"/>
                <w:szCs w:val="18"/>
                <w:lang w:eastAsia="sl-SI"/>
              </w:rPr>
            </w:pPr>
            <w:r w:rsidRPr="00B216DF">
              <w:rPr>
                <w:rFonts w:ascii="Arial" w:eastAsia="Times New Roman" w:hAnsi="Arial" w:cs="Arial"/>
                <w:color w:val="000000"/>
                <w:sz w:val="18"/>
                <w:szCs w:val="18"/>
                <w:lang w:eastAsia="sl-SI"/>
              </w:rPr>
              <w:t>16.702.065</w:t>
            </w:r>
          </w:p>
        </w:tc>
        <w:tc>
          <w:tcPr>
            <w:tcW w:w="965" w:type="pct"/>
            <w:tcBorders>
              <w:top w:val="nil"/>
              <w:left w:val="nil"/>
              <w:bottom w:val="single" w:sz="4" w:space="0" w:color="auto"/>
              <w:right w:val="single" w:sz="4" w:space="0" w:color="auto"/>
            </w:tcBorders>
            <w:shd w:val="clear" w:color="auto" w:fill="auto"/>
            <w:vAlign w:val="center"/>
            <w:hideMark/>
          </w:tcPr>
          <w:p w14:paraId="014A3904" w14:textId="0E1469E2" w:rsidR="00D11D01" w:rsidRPr="00D11D01" w:rsidRDefault="00D11D01" w:rsidP="00D11D01">
            <w:pPr>
              <w:spacing w:after="0" w:line="240" w:lineRule="auto"/>
              <w:jc w:val="right"/>
              <w:rPr>
                <w:rFonts w:ascii="Arial" w:eastAsia="Times New Roman" w:hAnsi="Arial" w:cs="Arial"/>
                <w:color w:val="000000"/>
                <w:sz w:val="18"/>
                <w:szCs w:val="18"/>
                <w:lang w:eastAsia="sl-SI"/>
              </w:rPr>
            </w:pPr>
            <w:r w:rsidRPr="00D11D01">
              <w:rPr>
                <w:rFonts w:ascii="Arial" w:eastAsia="Times New Roman" w:hAnsi="Arial" w:cs="Arial"/>
                <w:color w:val="000000"/>
                <w:sz w:val="18"/>
                <w:szCs w:val="18"/>
                <w:lang w:eastAsia="sl-SI"/>
              </w:rPr>
              <w:t>3,25</w:t>
            </w:r>
            <w:r>
              <w:rPr>
                <w:rFonts w:ascii="Arial" w:eastAsia="Times New Roman" w:hAnsi="Arial" w:cs="Arial"/>
                <w:color w:val="000000"/>
                <w:sz w:val="18"/>
                <w:szCs w:val="18"/>
                <w:lang w:eastAsia="sl-SI"/>
              </w:rPr>
              <w:t xml:space="preserve"> </w:t>
            </w:r>
            <w:r w:rsidRPr="00D11D01">
              <w:rPr>
                <w:rFonts w:ascii="Arial" w:eastAsia="Times New Roman" w:hAnsi="Arial" w:cs="Arial"/>
                <w:color w:val="000000"/>
                <w:sz w:val="18"/>
                <w:szCs w:val="18"/>
                <w:lang w:eastAsia="sl-SI"/>
              </w:rPr>
              <w:t>%</w:t>
            </w:r>
          </w:p>
        </w:tc>
        <w:tc>
          <w:tcPr>
            <w:tcW w:w="965" w:type="pct"/>
            <w:tcBorders>
              <w:top w:val="nil"/>
              <w:left w:val="nil"/>
              <w:bottom w:val="single" w:sz="4" w:space="0" w:color="auto"/>
              <w:right w:val="single" w:sz="4" w:space="0" w:color="auto"/>
            </w:tcBorders>
            <w:shd w:val="clear" w:color="auto" w:fill="auto"/>
            <w:vAlign w:val="center"/>
            <w:hideMark/>
          </w:tcPr>
          <w:p w14:paraId="1779FEA3" w14:textId="06C4658B" w:rsidR="00D11D01" w:rsidRPr="00D11D01" w:rsidRDefault="00D11D01" w:rsidP="00D11D01">
            <w:pPr>
              <w:spacing w:after="0" w:line="240" w:lineRule="auto"/>
              <w:jc w:val="right"/>
              <w:rPr>
                <w:rFonts w:ascii="Arial" w:eastAsia="Times New Roman" w:hAnsi="Arial" w:cs="Arial"/>
                <w:color w:val="000000"/>
                <w:sz w:val="18"/>
                <w:szCs w:val="18"/>
                <w:lang w:eastAsia="sl-SI"/>
              </w:rPr>
            </w:pPr>
            <w:r w:rsidRPr="00D11D01">
              <w:rPr>
                <w:rFonts w:ascii="Arial" w:eastAsia="Times New Roman" w:hAnsi="Arial" w:cs="Arial"/>
                <w:color w:val="000000"/>
                <w:sz w:val="18"/>
                <w:szCs w:val="18"/>
                <w:lang w:eastAsia="sl-SI"/>
              </w:rPr>
              <w:t>2,83</w:t>
            </w:r>
            <w:r>
              <w:rPr>
                <w:rFonts w:ascii="Arial" w:eastAsia="Times New Roman" w:hAnsi="Arial" w:cs="Arial"/>
                <w:color w:val="000000"/>
                <w:sz w:val="18"/>
                <w:szCs w:val="18"/>
                <w:lang w:eastAsia="sl-SI"/>
              </w:rPr>
              <w:t xml:space="preserve"> </w:t>
            </w:r>
            <w:r w:rsidRPr="00D11D01">
              <w:rPr>
                <w:rFonts w:ascii="Arial" w:eastAsia="Times New Roman" w:hAnsi="Arial" w:cs="Arial"/>
                <w:color w:val="000000"/>
                <w:sz w:val="18"/>
                <w:szCs w:val="18"/>
                <w:lang w:eastAsia="sl-SI"/>
              </w:rPr>
              <w:t>%</w:t>
            </w:r>
          </w:p>
        </w:tc>
      </w:tr>
      <w:tr w:rsidR="00D11D01" w:rsidRPr="00BF7302" w14:paraId="087A9937" w14:textId="77777777" w:rsidTr="00D94FAF">
        <w:trPr>
          <w:trHeight w:val="255"/>
          <w:jc w:val="center"/>
        </w:trPr>
        <w:tc>
          <w:tcPr>
            <w:tcW w:w="1781" w:type="pct"/>
            <w:tcBorders>
              <w:top w:val="nil"/>
              <w:left w:val="single" w:sz="4" w:space="0" w:color="auto"/>
              <w:bottom w:val="single" w:sz="4" w:space="0" w:color="auto"/>
              <w:right w:val="single" w:sz="4" w:space="0" w:color="auto"/>
            </w:tcBorders>
            <w:shd w:val="clear" w:color="auto" w:fill="auto"/>
            <w:vAlign w:val="center"/>
            <w:hideMark/>
          </w:tcPr>
          <w:p w14:paraId="7A849F0D" w14:textId="77777777" w:rsidR="00D11D01" w:rsidRPr="00B216DF" w:rsidRDefault="00D11D01" w:rsidP="00D11D01">
            <w:pPr>
              <w:spacing w:after="0" w:line="240" w:lineRule="auto"/>
              <w:rPr>
                <w:rFonts w:ascii="Arial" w:eastAsia="Times New Roman" w:hAnsi="Arial" w:cs="Arial"/>
                <w:color w:val="000000"/>
                <w:sz w:val="18"/>
                <w:szCs w:val="18"/>
                <w:lang w:eastAsia="sl-SI"/>
              </w:rPr>
            </w:pPr>
            <w:r w:rsidRPr="00B216DF">
              <w:rPr>
                <w:rFonts w:ascii="Arial" w:eastAsia="Times New Roman" w:hAnsi="Arial" w:cs="Arial"/>
                <w:color w:val="000000"/>
                <w:sz w:val="18"/>
                <w:szCs w:val="18"/>
                <w:lang w:eastAsia="sl-SI"/>
              </w:rPr>
              <w:t xml:space="preserve">Merila za oddajo javnega naročila </w:t>
            </w:r>
          </w:p>
        </w:tc>
        <w:tc>
          <w:tcPr>
            <w:tcW w:w="496" w:type="pct"/>
            <w:tcBorders>
              <w:top w:val="nil"/>
              <w:left w:val="nil"/>
              <w:bottom w:val="single" w:sz="4" w:space="0" w:color="auto"/>
              <w:right w:val="single" w:sz="4" w:space="0" w:color="auto"/>
            </w:tcBorders>
            <w:shd w:val="clear" w:color="auto" w:fill="auto"/>
            <w:vAlign w:val="center"/>
            <w:hideMark/>
          </w:tcPr>
          <w:p w14:paraId="4CD6A883" w14:textId="7AAFC797" w:rsidR="00D11D01" w:rsidRPr="00B216DF" w:rsidRDefault="00D11D01" w:rsidP="00D11D01">
            <w:pPr>
              <w:spacing w:after="0" w:line="240" w:lineRule="auto"/>
              <w:jc w:val="right"/>
              <w:rPr>
                <w:rFonts w:ascii="Arial" w:eastAsia="Times New Roman" w:hAnsi="Arial" w:cs="Arial"/>
                <w:color w:val="000000"/>
                <w:sz w:val="18"/>
                <w:szCs w:val="18"/>
                <w:lang w:eastAsia="sl-SI"/>
              </w:rPr>
            </w:pPr>
            <w:r w:rsidRPr="00B216DF">
              <w:rPr>
                <w:rFonts w:ascii="Arial" w:eastAsia="Times New Roman" w:hAnsi="Arial" w:cs="Arial"/>
                <w:color w:val="000000"/>
                <w:sz w:val="18"/>
                <w:szCs w:val="18"/>
                <w:lang w:eastAsia="sl-SI"/>
              </w:rPr>
              <w:t>298</w:t>
            </w:r>
          </w:p>
        </w:tc>
        <w:tc>
          <w:tcPr>
            <w:tcW w:w="792" w:type="pct"/>
            <w:tcBorders>
              <w:top w:val="nil"/>
              <w:left w:val="nil"/>
              <w:bottom w:val="single" w:sz="4" w:space="0" w:color="auto"/>
              <w:right w:val="single" w:sz="4" w:space="0" w:color="auto"/>
            </w:tcBorders>
            <w:shd w:val="clear" w:color="auto" w:fill="auto"/>
            <w:vAlign w:val="center"/>
            <w:hideMark/>
          </w:tcPr>
          <w:p w14:paraId="620B8DEB" w14:textId="633C7BA2" w:rsidR="00D11D01" w:rsidRPr="00B216DF" w:rsidRDefault="00D11D01" w:rsidP="00D11D01">
            <w:pPr>
              <w:spacing w:after="0" w:line="240" w:lineRule="auto"/>
              <w:jc w:val="right"/>
              <w:rPr>
                <w:rFonts w:ascii="Arial" w:eastAsia="Times New Roman" w:hAnsi="Arial" w:cs="Arial"/>
                <w:color w:val="000000"/>
                <w:sz w:val="18"/>
                <w:szCs w:val="18"/>
                <w:lang w:eastAsia="sl-SI"/>
              </w:rPr>
            </w:pPr>
            <w:r w:rsidRPr="00B216DF">
              <w:rPr>
                <w:rFonts w:ascii="Arial" w:eastAsia="Times New Roman" w:hAnsi="Arial" w:cs="Arial"/>
                <w:color w:val="000000"/>
                <w:sz w:val="18"/>
                <w:szCs w:val="18"/>
                <w:lang w:eastAsia="sl-SI"/>
              </w:rPr>
              <w:t>53.815.376</w:t>
            </w:r>
          </w:p>
        </w:tc>
        <w:tc>
          <w:tcPr>
            <w:tcW w:w="965" w:type="pct"/>
            <w:tcBorders>
              <w:top w:val="nil"/>
              <w:left w:val="nil"/>
              <w:bottom w:val="single" w:sz="4" w:space="0" w:color="auto"/>
              <w:right w:val="single" w:sz="4" w:space="0" w:color="auto"/>
            </w:tcBorders>
            <w:shd w:val="clear" w:color="auto" w:fill="auto"/>
            <w:vAlign w:val="center"/>
            <w:hideMark/>
          </w:tcPr>
          <w:p w14:paraId="70505286" w14:textId="402EC7BC" w:rsidR="00D11D01" w:rsidRPr="00D11D01" w:rsidRDefault="00D11D01" w:rsidP="00D11D01">
            <w:pPr>
              <w:spacing w:after="0" w:line="240" w:lineRule="auto"/>
              <w:jc w:val="right"/>
              <w:rPr>
                <w:rFonts w:ascii="Arial" w:eastAsia="Times New Roman" w:hAnsi="Arial" w:cs="Arial"/>
                <w:color w:val="000000"/>
                <w:sz w:val="18"/>
                <w:szCs w:val="18"/>
                <w:lang w:eastAsia="sl-SI"/>
              </w:rPr>
            </w:pPr>
            <w:r w:rsidRPr="00D11D01">
              <w:rPr>
                <w:rFonts w:ascii="Arial" w:eastAsia="Times New Roman" w:hAnsi="Arial" w:cs="Arial"/>
                <w:color w:val="000000"/>
                <w:sz w:val="18"/>
                <w:szCs w:val="18"/>
                <w:lang w:eastAsia="sl-SI"/>
              </w:rPr>
              <w:t>13,85</w:t>
            </w:r>
            <w:r>
              <w:rPr>
                <w:rFonts w:ascii="Arial" w:eastAsia="Times New Roman" w:hAnsi="Arial" w:cs="Arial"/>
                <w:color w:val="000000"/>
                <w:sz w:val="18"/>
                <w:szCs w:val="18"/>
                <w:lang w:eastAsia="sl-SI"/>
              </w:rPr>
              <w:t xml:space="preserve"> </w:t>
            </w:r>
            <w:r w:rsidRPr="00D11D01">
              <w:rPr>
                <w:rFonts w:ascii="Arial" w:eastAsia="Times New Roman" w:hAnsi="Arial" w:cs="Arial"/>
                <w:color w:val="000000"/>
                <w:sz w:val="18"/>
                <w:szCs w:val="18"/>
                <w:lang w:eastAsia="sl-SI"/>
              </w:rPr>
              <w:t>%</w:t>
            </w:r>
          </w:p>
        </w:tc>
        <w:tc>
          <w:tcPr>
            <w:tcW w:w="965" w:type="pct"/>
            <w:tcBorders>
              <w:top w:val="nil"/>
              <w:left w:val="nil"/>
              <w:bottom w:val="single" w:sz="4" w:space="0" w:color="auto"/>
              <w:right w:val="single" w:sz="4" w:space="0" w:color="auto"/>
            </w:tcBorders>
            <w:shd w:val="clear" w:color="auto" w:fill="auto"/>
            <w:vAlign w:val="center"/>
            <w:hideMark/>
          </w:tcPr>
          <w:p w14:paraId="547ADCEF" w14:textId="377849D5" w:rsidR="00D11D01" w:rsidRPr="00D11D01" w:rsidRDefault="00D11D01" w:rsidP="00D11D01">
            <w:pPr>
              <w:spacing w:after="0" w:line="240" w:lineRule="auto"/>
              <w:jc w:val="right"/>
              <w:rPr>
                <w:rFonts w:ascii="Arial" w:eastAsia="Times New Roman" w:hAnsi="Arial" w:cs="Arial"/>
                <w:color w:val="000000"/>
                <w:sz w:val="18"/>
                <w:szCs w:val="18"/>
                <w:lang w:eastAsia="sl-SI"/>
              </w:rPr>
            </w:pPr>
            <w:r w:rsidRPr="00D11D01">
              <w:rPr>
                <w:rFonts w:ascii="Arial" w:eastAsia="Times New Roman" w:hAnsi="Arial" w:cs="Arial"/>
                <w:color w:val="000000"/>
                <w:sz w:val="18"/>
                <w:szCs w:val="18"/>
                <w:lang w:eastAsia="sl-SI"/>
              </w:rPr>
              <w:t>9,12</w:t>
            </w:r>
            <w:r>
              <w:rPr>
                <w:rFonts w:ascii="Arial" w:eastAsia="Times New Roman" w:hAnsi="Arial" w:cs="Arial"/>
                <w:color w:val="000000"/>
                <w:sz w:val="18"/>
                <w:szCs w:val="18"/>
                <w:lang w:eastAsia="sl-SI"/>
              </w:rPr>
              <w:t xml:space="preserve"> </w:t>
            </w:r>
            <w:r w:rsidRPr="00D11D01">
              <w:rPr>
                <w:rFonts w:ascii="Arial" w:eastAsia="Times New Roman" w:hAnsi="Arial" w:cs="Arial"/>
                <w:color w:val="000000"/>
                <w:sz w:val="18"/>
                <w:szCs w:val="18"/>
                <w:lang w:eastAsia="sl-SI"/>
              </w:rPr>
              <w:t>%</w:t>
            </w:r>
          </w:p>
        </w:tc>
      </w:tr>
      <w:tr w:rsidR="00D11D01" w:rsidRPr="00BF7302" w14:paraId="3149641A" w14:textId="77777777" w:rsidTr="00D94FAF">
        <w:trPr>
          <w:trHeight w:val="255"/>
          <w:jc w:val="center"/>
        </w:trPr>
        <w:tc>
          <w:tcPr>
            <w:tcW w:w="1781" w:type="pct"/>
            <w:tcBorders>
              <w:top w:val="nil"/>
              <w:left w:val="single" w:sz="4" w:space="0" w:color="auto"/>
              <w:bottom w:val="single" w:sz="4" w:space="0" w:color="auto"/>
              <w:right w:val="single" w:sz="4" w:space="0" w:color="auto"/>
            </w:tcBorders>
            <w:shd w:val="clear" w:color="auto" w:fill="auto"/>
            <w:vAlign w:val="center"/>
            <w:hideMark/>
          </w:tcPr>
          <w:p w14:paraId="62548508" w14:textId="77777777" w:rsidR="00D11D01" w:rsidRPr="00B216DF" w:rsidRDefault="00D11D01" w:rsidP="00D11D01">
            <w:pPr>
              <w:spacing w:after="0" w:line="240" w:lineRule="auto"/>
              <w:rPr>
                <w:rFonts w:ascii="Arial" w:eastAsia="Times New Roman" w:hAnsi="Arial" w:cs="Arial"/>
                <w:color w:val="000000"/>
                <w:sz w:val="18"/>
                <w:szCs w:val="18"/>
                <w:lang w:eastAsia="sl-SI"/>
              </w:rPr>
            </w:pPr>
            <w:r w:rsidRPr="00B216DF">
              <w:rPr>
                <w:rFonts w:ascii="Arial" w:eastAsia="Times New Roman" w:hAnsi="Arial" w:cs="Arial"/>
                <w:color w:val="000000"/>
                <w:sz w:val="18"/>
                <w:szCs w:val="18"/>
                <w:lang w:eastAsia="sl-SI"/>
              </w:rPr>
              <w:t>Pogoji za sodelovanje</w:t>
            </w:r>
          </w:p>
        </w:tc>
        <w:tc>
          <w:tcPr>
            <w:tcW w:w="496" w:type="pct"/>
            <w:tcBorders>
              <w:top w:val="nil"/>
              <w:left w:val="nil"/>
              <w:bottom w:val="single" w:sz="4" w:space="0" w:color="auto"/>
              <w:right w:val="single" w:sz="4" w:space="0" w:color="auto"/>
            </w:tcBorders>
            <w:shd w:val="clear" w:color="auto" w:fill="auto"/>
            <w:vAlign w:val="center"/>
            <w:hideMark/>
          </w:tcPr>
          <w:p w14:paraId="5F806AA2" w14:textId="08F1F444" w:rsidR="00D11D01" w:rsidRPr="00B216DF" w:rsidRDefault="00D11D01" w:rsidP="00D11D01">
            <w:pPr>
              <w:spacing w:after="0" w:line="240" w:lineRule="auto"/>
              <w:jc w:val="right"/>
              <w:rPr>
                <w:rFonts w:ascii="Arial" w:eastAsia="Times New Roman" w:hAnsi="Arial" w:cs="Arial"/>
                <w:color w:val="000000"/>
                <w:sz w:val="18"/>
                <w:szCs w:val="18"/>
                <w:lang w:eastAsia="sl-SI"/>
              </w:rPr>
            </w:pPr>
            <w:r w:rsidRPr="00B216DF">
              <w:rPr>
                <w:rFonts w:ascii="Arial" w:eastAsia="Times New Roman" w:hAnsi="Arial" w:cs="Arial"/>
                <w:color w:val="000000"/>
                <w:sz w:val="18"/>
                <w:szCs w:val="18"/>
                <w:lang w:eastAsia="sl-SI"/>
              </w:rPr>
              <w:t>593</w:t>
            </w:r>
          </w:p>
        </w:tc>
        <w:tc>
          <w:tcPr>
            <w:tcW w:w="792" w:type="pct"/>
            <w:tcBorders>
              <w:top w:val="nil"/>
              <w:left w:val="nil"/>
              <w:bottom w:val="single" w:sz="4" w:space="0" w:color="auto"/>
              <w:right w:val="single" w:sz="4" w:space="0" w:color="auto"/>
            </w:tcBorders>
            <w:shd w:val="clear" w:color="auto" w:fill="auto"/>
            <w:vAlign w:val="center"/>
            <w:hideMark/>
          </w:tcPr>
          <w:p w14:paraId="5C87A3D0" w14:textId="6D1D7208" w:rsidR="00D11D01" w:rsidRPr="00B216DF" w:rsidRDefault="00D11D01" w:rsidP="00D11D01">
            <w:pPr>
              <w:spacing w:after="0" w:line="240" w:lineRule="auto"/>
              <w:jc w:val="right"/>
              <w:rPr>
                <w:rFonts w:ascii="Arial" w:eastAsia="Times New Roman" w:hAnsi="Arial" w:cs="Arial"/>
                <w:color w:val="000000"/>
                <w:sz w:val="18"/>
                <w:szCs w:val="18"/>
                <w:lang w:eastAsia="sl-SI"/>
              </w:rPr>
            </w:pPr>
            <w:r w:rsidRPr="00B216DF">
              <w:rPr>
                <w:rFonts w:ascii="Arial" w:eastAsia="Times New Roman" w:hAnsi="Arial" w:cs="Arial"/>
                <w:color w:val="000000"/>
                <w:sz w:val="18"/>
                <w:szCs w:val="18"/>
                <w:lang w:eastAsia="sl-SI"/>
              </w:rPr>
              <w:t>145.444.712</w:t>
            </w:r>
          </w:p>
        </w:tc>
        <w:tc>
          <w:tcPr>
            <w:tcW w:w="965" w:type="pct"/>
            <w:tcBorders>
              <w:top w:val="nil"/>
              <w:left w:val="nil"/>
              <w:bottom w:val="single" w:sz="4" w:space="0" w:color="auto"/>
              <w:right w:val="single" w:sz="4" w:space="0" w:color="auto"/>
            </w:tcBorders>
            <w:shd w:val="clear" w:color="auto" w:fill="auto"/>
            <w:vAlign w:val="center"/>
            <w:hideMark/>
          </w:tcPr>
          <w:p w14:paraId="5AA45008" w14:textId="5DB15FD2" w:rsidR="00D11D01" w:rsidRPr="00D11D01" w:rsidRDefault="00D11D01" w:rsidP="00D11D01">
            <w:pPr>
              <w:spacing w:after="0" w:line="240" w:lineRule="auto"/>
              <w:jc w:val="right"/>
              <w:rPr>
                <w:rFonts w:ascii="Arial" w:eastAsia="Times New Roman" w:hAnsi="Arial" w:cs="Arial"/>
                <w:color w:val="000000"/>
                <w:sz w:val="18"/>
                <w:szCs w:val="18"/>
                <w:lang w:eastAsia="sl-SI"/>
              </w:rPr>
            </w:pPr>
            <w:r w:rsidRPr="00D11D01">
              <w:rPr>
                <w:rFonts w:ascii="Arial" w:eastAsia="Times New Roman" w:hAnsi="Arial" w:cs="Arial"/>
                <w:color w:val="000000"/>
                <w:sz w:val="18"/>
                <w:szCs w:val="18"/>
                <w:lang w:eastAsia="sl-SI"/>
              </w:rPr>
              <w:t>27,57</w:t>
            </w:r>
            <w:r>
              <w:rPr>
                <w:rFonts w:ascii="Arial" w:eastAsia="Times New Roman" w:hAnsi="Arial" w:cs="Arial"/>
                <w:color w:val="000000"/>
                <w:sz w:val="18"/>
                <w:szCs w:val="18"/>
                <w:lang w:eastAsia="sl-SI"/>
              </w:rPr>
              <w:t xml:space="preserve"> </w:t>
            </w:r>
            <w:r w:rsidRPr="00D11D01">
              <w:rPr>
                <w:rFonts w:ascii="Arial" w:eastAsia="Times New Roman" w:hAnsi="Arial" w:cs="Arial"/>
                <w:color w:val="000000"/>
                <w:sz w:val="18"/>
                <w:szCs w:val="18"/>
                <w:lang w:eastAsia="sl-SI"/>
              </w:rPr>
              <w:t>%</w:t>
            </w:r>
          </w:p>
        </w:tc>
        <w:tc>
          <w:tcPr>
            <w:tcW w:w="965" w:type="pct"/>
            <w:tcBorders>
              <w:top w:val="nil"/>
              <w:left w:val="nil"/>
              <w:bottom w:val="single" w:sz="4" w:space="0" w:color="auto"/>
              <w:right w:val="single" w:sz="4" w:space="0" w:color="auto"/>
            </w:tcBorders>
            <w:shd w:val="clear" w:color="auto" w:fill="auto"/>
            <w:vAlign w:val="center"/>
            <w:hideMark/>
          </w:tcPr>
          <w:p w14:paraId="6C9F2B34" w14:textId="1CB53D08" w:rsidR="00D11D01" w:rsidRPr="00D11D01" w:rsidRDefault="00D11D01" w:rsidP="00D11D01">
            <w:pPr>
              <w:spacing w:after="0" w:line="240" w:lineRule="auto"/>
              <w:jc w:val="right"/>
              <w:rPr>
                <w:rFonts w:ascii="Arial" w:eastAsia="Times New Roman" w:hAnsi="Arial" w:cs="Arial"/>
                <w:color w:val="000000"/>
                <w:sz w:val="18"/>
                <w:szCs w:val="18"/>
                <w:lang w:eastAsia="sl-SI"/>
              </w:rPr>
            </w:pPr>
            <w:r w:rsidRPr="00D11D01">
              <w:rPr>
                <w:rFonts w:ascii="Arial" w:eastAsia="Times New Roman" w:hAnsi="Arial" w:cs="Arial"/>
                <w:color w:val="000000"/>
                <w:sz w:val="18"/>
                <w:szCs w:val="18"/>
                <w:lang w:eastAsia="sl-SI"/>
              </w:rPr>
              <w:t>24,65</w:t>
            </w:r>
            <w:r>
              <w:rPr>
                <w:rFonts w:ascii="Arial" w:eastAsia="Times New Roman" w:hAnsi="Arial" w:cs="Arial"/>
                <w:color w:val="000000"/>
                <w:sz w:val="18"/>
                <w:szCs w:val="18"/>
                <w:lang w:eastAsia="sl-SI"/>
              </w:rPr>
              <w:t xml:space="preserve"> </w:t>
            </w:r>
            <w:r w:rsidRPr="00D11D01">
              <w:rPr>
                <w:rFonts w:ascii="Arial" w:eastAsia="Times New Roman" w:hAnsi="Arial" w:cs="Arial"/>
                <w:color w:val="000000"/>
                <w:sz w:val="18"/>
                <w:szCs w:val="18"/>
                <w:lang w:eastAsia="sl-SI"/>
              </w:rPr>
              <w:t>%</w:t>
            </w:r>
          </w:p>
        </w:tc>
      </w:tr>
      <w:tr w:rsidR="00D11D01" w:rsidRPr="00BF7302" w14:paraId="32941B24" w14:textId="77777777" w:rsidTr="00D94FAF">
        <w:trPr>
          <w:trHeight w:val="255"/>
          <w:jc w:val="center"/>
        </w:trPr>
        <w:tc>
          <w:tcPr>
            <w:tcW w:w="1781" w:type="pct"/>
            <w:tcBorders>
              <w:top w:val="nil"/>
              <w:left w:val="single" w:sz="4" w:space="0" w:color="auto"/>
              <w:bottom w:val="single" w:sz="4" w:space="0" w:color="auto"/>
              <w:right w:val="single" w:sz="4" w:space="0" w:color="auto"/>
            </w:tcBorders>
            <w:shd w:val="clear" w:color="auto" w:fill="auto"/>
            <w:vAlign w:val="center"/>
            <w:hideMark/>
          </w:tcPr>
          <w:p w14:paraId="6791F6CF" w14:textId="77777777" w:rsidR="00D11D01" w:rsidRPr="00B216DF" w:rsidRDefault="00D11D01" w:rsidP="00D11D01">
            <w:pPr>
              <w:spacing w:after="0" w:line="240" w:lineRule="auto"/>
              <w:rPr>
                <w:rFonts w:ascii="Arial" w:eastAsia="Times New Roman" w:hAnsi="Arial" w:cs="Arial"/>
                <w:color w:val="000000"/>
                <w:sz w:val="18"/>
                <w:szCs w:val="18"/>
                <w:lang w:eastAsia="sl-SI"/>
              </w:rPr>
            </w:pPr>
            <w:r w:rsidRPr="00B216DF">
              <w:rPr>
                <w:rFonts w:ascii="Arial" w:eastAsia="Times New Roman" w:hAnsi="Arial" w:cs="Arial"/>
                <w:color w:val="000000"/>
                <w:sz w:val="18"/>
                <w:szCs w:val="18"/>
                <w:lang w:eastAsia="sl-SI"/>
              </w:rPr>
              <w:t>Pogodbena določila iz obligacijskega razmerja</w:t>
            </w:r>
          </w:p>
        </w:tc>
        <w:tc>
          <w:tcPr>
            <w:tcW w:w="496" w:type="pct"/>
            <w:tcBorders>
              <w:top w:val="nil"/>
              <w:left w:val="nil"/>
              <w:bottom w:val="single" w:sz="4" w:space="0" w:color="auto"/>
              <w:right w:val="single" w:sz="4" w:space="0" w:color="auto"/>
            </w:tcBorders>
            <w:shd w:val="clear" w:color="auto" w:fill="auto"/>
            <w:vAlign w:val="center"/>
            <w:hideMark/>
          </w:tcPr>
          <w:p w14:paraId="65B65A55" w14:textId="7DBC79A5" w:rsidR="00D11D01" w:rsidRPr="00B216DF" w:rsidRDefault="00D11D01" w:rsidP="00D11D01">
            <w:pPr>
              <w:spacing w:after="0" w:line="240" w:lineRule="auto"/>
              <w:jc w:val="right"/>
              <w:rPr>
                <w:rFonts w:ascii="Arial" w:eastAsia="Times New Roman" w:hAnsi="Arial" w:cs="Arial"/>
                <w:color w:val="000000"/>
                <w:sz w:val="18"/>
                <w:szCs w:val="18"/>
                <w:lang w:eastAsia="sl-SI"/>
              </w:rPr>
            </w:pPr>
            <w:r w:rsidRPr="00B216DF">
              <w:rPr>
                <w:rFonts w:ascii="Arial" w:eastAsia="Times New Roman" w:hAnsi="Arial" w:cs="Arial"/>
                <w:color w:val="000000"/>
                <w:sz w:val="18"/>
                <w:szCs w:val="18"/>
                <w:lang w:eastAsia="sl-SI"/>
              </w:rPr>
              <w:t>1.254</w:t>
            </w:r>
          </w:p>
        </w:tc>
        <w:tc>
          <w:tcPr>
            <w:tcW w:w="792" w:type="pct"/>
            <w:tcBorders>
              <w:top w:val="nil"/>
              <w:left w:val="nil"/>
              <w:bottom w:val="single" w:sz="4" w:space="0" w:color="auto"/>
              <w:right w:val="single" w:sz="4" w:space="0" w:color="auto"/>
            </w:tcBorders>
            <w:shd w:val="clear" w:color="auto" w:fill="auto"/>
            <w:vAlign w:val="center"/>
            <w:hideMark/>
          </w:tcPr>
          <w:p w14:paraId="1FB467BE" w14:textId="40DAB356" w:rsidR="00D11D01" w:rsidRPr="00B216DF" w:rsidRDefault="00D11D01" w:rsidP="00D11D01">
            <w:pPr>
              <w:spacing w:after="0" w:line="240" w:lineRule="auto"/>
              <w:jc w:val="right"/>
              <w:rPr>
                <w:rFonts w:ascii="Arial" w:eastAsia="Times New Roman" w:hAnsi="Arial" w:cs="Arial"/>
                <w:color w:val="000000"/>
                <w:sz w:val="18"/>
                <w:szCs w:val="18"/>
                <w:lang w:eastAsia="sl-SI"/>
              </w:rPr>
            </w:pPr>
            <w:r w:rsidRPr="00B216DF">
              <w:rPr>
                <w:rFonts w:ascii="Arial" w:eastAsia="Times New Roman" w:hAnsi="Arial" w:cs="Arial"/>
                <w:color w:val="000000"/>
                <w:sz w:val="18"/>
                <w:szCs w:val="18"/>
                <w:lang w:eastAsia="sl-SI"/>
              </w:rPr>
              <w:t>425.633.217</w:t>
            </w:r>
          </w:p>
        </w:tc>
        <w:tc>
          <w:tcPr>
            <w:tcW w:w="965" w:type="pct"/>
            <w:tcBorders>
              <w:top w:val="nil"/>
              <w:left w:val="nil"/>
              <w:bottom w:val="single" w:sz="4" w:space="0" w:color="auto"/>
              <w:right w:val="single" w:sz="4" w:space="0" w:color="auto"/>
            </w:tcBorders>
            <w:shd w:val="clear" w:color="auto" w:fill="auto"/>
            <w:vAlign w:val="center"/>
            <w:hideMark/>
          </w:tcPr>
          <w:p w14:paraId="66FC96F9" w14:textId="78B5E409" w:rsidR="00D11D01" w:rsidRPr="00D11D01" w:rsidRDefault="00D11D01" w:rsidP="00D11D01">
            <w:pPr>
              <w:spacing w:after="0" w:line="240" w:lineRule="auto"/>
              <w:jc w:val="right"/>
              <w:rPr>
                <w:rFonts w:ascii="Arial" w:eastAsia="Times New Roman" w:hAnsi="Arial" w:cs="Arial"/>
                <w:color w:val="000000"/>
                <w:sz w:val="18"/>
                <w:szCs w:val="18"/>
                <w:lang w:eastAsia="sl-SI"/>
              </w:rPr>
            </w:pPr>
            <w:r w:rsidRPr="00D11D01">
              <w:rPr>
                <w:rFonts w:ascii="Arial" w:eastAsia="Times New Roman" w:hAnsi="Arial" w:cs="Arial"/>
                <w:color w:val="000000"/>
                <w:sz w:val="18"/>
                <w:szCs w:val="18"/>
                <w:lang w:eastAsia="sl-SI"/>
              </w:rPr>
              <w:t>58,30</w:t>
            </w:r>
            <w:r>
              <w:rPr>
                <w:rFonts w:ascii="Arial" w:eastAsia="Times New Roman" w:hAnsi="Arial" w:cs="Arial"/>
                <w:color w:val="000000"/>
                <w:sz w:val="18"/>
                <w:szCs w:val="18"/>
                <w:lang w:eastAsia="sl-SI"/>
              </w:rPr>
              <w:t xml:space="preserve"> </w:t>
            </w:r>
            <w:r w:rsidRPr="00D11D01">
              <w:rPr>
                <w:rFonts w:ascii="Arial" w:eastAsia="Times New Roman" w:hAnsi="Arial" w:cs="Arial"/>
                <w:color w:val="000000"/>
                <w:sz w:val="18"/>
                <w:szCs w:val="18"/>
                <w:lang w:eastAsia="sl-SI"/>
              </w:rPr>
              <w:t>%</w:t>
            </w:r>
          </w:p>
        </w:tc>
        <w:tc>
          <w:tcPr>
            <w:tcW w:w="965" w:type="pct"/>
            <w:tcBorders>
              <w:top w:val="nil"/>
              <w:left w:val="nil"/>
              <w:bottom w:val="single" w:sz="4" w:space="0" w:color="auto"/>
              <w:right w:val="single" w:sz="4" w:space="0" w:color="auto"/>
            </w:tcBorders>
            <w:shd w:val="clear" w:color="auto" w:fill="auto"/>
            <w:vAlign w:val="center"/>
            <w:hideMark/>
          </w:tcPr>
          <w:p w14:paraId="0338BC15" w14:textId="6FF32EC6" w:rsidR="00D11D01" w:rsidRPr="00D11D01" w:rsidRDefault="00D11D01" w:rsidP="00D11D01">
            <w:pPr>
              <w:spacing w:after="0" w:line="240" w:lineRule="auto"/>
              <w:jc w:val="right"/>
              <w:rPr>
                <w:rFonts w:ascii="Arial" w:eastAsia="Times New Roman" w:hAnsi="Arial" w:cs="Arial"/>
                <w:color w:val="000000"/>
                <w:sz w:val="18"/>
                <w:szCs w:val="18"/>
                <w:lang w:eastAsia="sl-SI"/>
              </w:rPr>
            </w:pPr>
            <w:r w:rsidRPr="00D11D01">
              <w:rPr>
                <w:rFonts w:ascii="Arial" w:eastAsia="Times New Roman" w:hAnsi="Arial" w:cs="Arial"/>
                <w:color w:val="000000"/>
                <w:sz w:val="18"/>
                <w:szCs w:val="18"/>
                <w:lang w:eastAsia="sl-SI"/>
              </w:rPr>
              <w:t>72,15</w:t>
            </w:r>
            <w:r>
              <w:rPr>
                <w:rFonts w:ascii="Arial" w:eastAsia="Times New Roman" w:hAnsi="Arial" w:cs="Arial"/>
                <w:color w:val="000000"/>
                <w:sz w:val="18"/>
                <w:szCs w:val="18"/>
                <w:lang w:eastAsia="sl-SI"/>
              </w:rPr>
              <w:t xml:space="preserve"> </w:t>
            </w:r>
            <w:r w:rsidRPr="00D11D01">
              <w:rPr>
                <w:rFonts w:ascii="Arial" w:eastAsia="Times New Roman" w:hAnsi="Arial" w:cs="Arial"/>
                <w:color w:val="000000"/>
                <w:sz w:val="18"/>
                <w:szCs w:val="18"/>
                <w:lang w:eastAsia="sl-SI"/>
              </w:rPr>
              <w:t>%</w:t>
            </w:r>
          </w:p>
        </w:tc>
      </w:tr>
      <w:tr w:rsidR="00D11D01" w:rsidRPr="00BF7302" w14:paraId="49DE59D3" w14:textId="77777777" w:rsidTr="00D94FAF">
        <w:trPr>
          <w:trHeight w:val="255"/>
          <w:jc w:val="center"/>
        </w:trPr>
        <w:tc>
          <w:tcPr>
            <w:tcW w:w="1781" w:type="pct"/>
            <w:tcBorders>
              <w:top w:val="nil"/>
              <w:left w:val="single" w:sz="4" w:space="0" w:color="auto"/>
              <w:bottom w:val="single" w:sz="4" w:space="0" w:color="auto"/>
              <w:right w:val="single" w:sz="4" w:space="0" w:color="auto"/>
            </w:tcBorders>
            <w:shd w:val="clear" w:color="auto" w:fill="auto"/>
            <w:vAlign w:val="center"/>
            <w:hideMark/>
          </w:tcPr>
          <w:p w14:paraId="76E1FFAE" w14:textId="77777777" w:rsidR="00D11D01" w:rsidRPr="00B216DF" w:rsidRDefault="00D11D01" w:rsidP="00D11D01">
            <w:pPr>
              <w:spacing w:after="0" w:line="240" w:lineRule="auto"/>
              <w:rPr>
                <w:rFonts w:ascii="Arial" w:eastAsia="Times New Roman" w:hAnsi="Arial" w:cs="Arial"/>
                <w:color w:val="000000"/>
                <w:sz w:val="18"/>
                <w:szCs w:val="18"/>
                <w:lang w:eastAsia="sl-SI"/>
              </w:rPr>
            </w:pPr>
            <w:r w:rsidRPr="00B216DF">
              <w:rPr>
                <w:rFonts w:ascii="Arial" w:eastAsia="Times New Roman" w:hAnsi="Arial" w:cs="Arial"/>
                <w:color w:val="000000"/>
                <w:sz w:val="18"/>
                <w:szCs w:val="18"/>
                <w:lang w:eastAsia="sl-SI"/>
              </w:rPr>
              <w:t>Razlogi za izključitev</w:t>
            </w:r>
          </w:p>
        </w:tc>
        <w:tc>
          <w:tcPr>
            <w:tcW w:w="496" w:type="pct"/>
            <w:tcBorders>
              <w:top w:val="nil"/>
              <w:left w:val="nil"/>
              <w:bottom w:val="single" w:sz="4" w:space="0" w:color="auto"/>
              <w:right w:val="single" w:sz="4" w:space="0" w:color="auto"/>
            </w:tcBorders>
            <w:shd w:val="clear" w:color="auto" w:fill="auto"/>
            <w:vAlign w:val="center"/>
            <w:hideMark/>
          </w:tcPr>
          <w:p w14:paraId="571AB19E" w14:textId="13C45124" w:rsidR="00D11D01" w:rsidRPr="00B216DF" w:rsidRDefault="00D11D01" w:rsidP="00D11D01">
            <w:pPr>
              <w:spacing w:after="0" w:line="240" w:lineRule="auto"/>
              <w:jc w:val="right"/>
              <w:rPr>
                <w:rFonts w:ascii="Arial" w:eastAsia="Times New Roman" w:hAnsi="Arial" w:cs="Arial"/>
                <w:color w:val="000000"/>
                <w:sz w:val="18"/>
                <w:szCs w:val="18"/>
                <w:lang w:eastAsia="sl-SI"/>
              </w:rPr>
            </w:pPr>
            <w:r w:rsidRPr="00B216DF">
              <w:rPr>
                <w:rFonts w:ascii="Arial" w:eastAsia="Times New Roman" w:hAnsi="Arial" w:cs="Arial"/>
                <w:color w:val="000000"/>
                <w:sz w:val="18"/>
                <w:szCs w:val="18"/>
                <w:lang w:eastAsia="sl-SI"/>
              </w:rPr>
              <w:t>458</w:t>
            </w:r>
          </w:p>
        </w:tc>
        <w:tc>
          <w:tcPr>
            <w:tcW w:w="792" w:type="pct"/>
            <w:tcBorders>
              <w:top w:val="nil"/>
              <w:left w:val="nil"/>
              <w:bottom w:val="single" w:sz="4" w:space="0" w:color="auto"/>
              <w:right w:val="single" w:sz="4" w:space="0" w:color="auto"/>
            </w:tcBorders>
            <w:shd w:val="clear" w:color="auto" w:fill="auto"/>
            <w:vAlign w:val="center"/>
            <w:hideMark/>
          </w:tcPr>
          <w:p w14:paraId="361CDA88" w14:textId="7BE9D963" w:rsidR="00D11D01" w:rsidRPr="00B216DF" w:rsidRDefault="00D11D01" w:rsidP="00D11D01">
            <w:pPr>
              <w:spacing w:after="0" w:line="240" w:lineRule="auto"/>
              <w:jc w:val="right"/>
              <w:rPr>
                <w:rFonts w:ascii="Arial" w:eastAsia="Times New Roman" w:hAnsi="Arial" w:cs="Arial"/>
                <w:color w:val="000000"/>
                <w:sz w:val="18"/>
                <w:szCs w:val="18"/>
                <w:lang w:eastAsia="sl-SI"/>
              </w:rPr>
            </w:pPr>
            <w:r w:rsidRPr="00B216DF">
              <w:rPr>
                <w:rFonts w:ascii="Arial" w:eastAsia="Times New Roman" w:hAnsi="Arial" w:cs="Arial"/>
                <w:color w:val="000000"/>
                <w:sz w:val="18"/>
                <w:szCs w:val="18"/>
                <w:lang w:eastAsia="sl-SI"/>
              </w:rPr>
              <w:t>153.916.723</w:t>
            </w:r>
          </w:p>
        </w:tc>
        <w:tc>
          <w:tcPr>
            <w:tcW w:w="965" w:type="pct"/>
            <w:tcBorders>
              <w:top w:val="nil"/>
              <w:left w:val="nil"/>
              <w:bottom w:val="single" w:sz="4" w:space="0" w:color="auto"/>
              <w:right w:val="single" w:sz="4" w:space="0" w:color="auto"/>
            </w:tcBorders>
            <w:shd w:val="clear" w:color="auto" w:fill="auto"/>
            <w:vAlign w:val="center"/>
            <w:hideMark/>
          </w:tcPr>
          <w:p w14:paraId="0BF86EF9" w14:textId="74FA2AEC" w:rsidR="00D11D01" w:rsidRPr="00D11D01" w:rsidRDefault="00D11D01" w:rsidP="00D11D01">
            <w:pPr>
              <w:spacing w:after="0" w:line="240" w:lineRule="auto"/>
              <w:jc w:val="right"/>
              <w:rPr>
                <w:rFonts w:ascii="Arial" w:eastAsia="Times New Roman" w:hAnsi="Arial" w:cs="Arial"/>
                <w:color w:val="000000"/>
                <w:sz w:val="18"/>
                <w:szCs w:val="18"/>
                <w:lang w:eastAsia="sl-SI"/>
              </w:rPr>
            </w:pPr>
            <w:r w:rsidRPr="00D11D01">
              <w:rPr>
                <w:rFonts w:ascii="Arial" w:eastAsia="Times New Roman" w:hAnsi="Arial" w:cs="Arial"/>
                <w:color w:val="000000"/>
                <w:sz w:val="18"/>
                <w:szCs w:val="18"/>
                <w:lang w:eastAsia="sl-SI"/>
              </w:rPr>
              <w:t>21,29</w:t>
            </w:r>
            <w:r>
              <w:rPr>
                <w:rFonts w:ascii="Arial" w:eastAsia="Times New Roman" w:hAnsi="Arial" w:cs="Arial"/>
                <w:color w:val="000000"/>
                <w:sz w:val="18"/>
                <w:szCs w:val="18"/>
                <w:lang w:eastAsia="sl-SI"/>
              </w:rPr>
              <w:t xml:space="preserve"> </w:t>
            </w:r>
            <w:r w:rsidRPr="00D11D01">
              <w:rPr>
                <w:rFonts w:ascii="Arial" w:eastAsia="Times New Roman" w:hAnsi="Arial" w:cs="Arial"/>
                <w:color w:val="000000"/>
                <w:sz w:val="18"/>
                <w:szCs w:val="18"/>
                <w:lang w:eastAsia="sl-SI"/>
              </w:rPr>
              <w:t>%</w:t>
            </w:r>
          </w:p>
        </w:tc>
        <w:tc>
          <w:tcPr>
            <w:tcW w:w="965" w:type="pct"/>
            <w:tcBorders>
              <w:top w:val="nil"/>
              <w:left w:val="nil"/>
              <w:bottom w:val="single" w:sz="4" w:space="0" w:color="auto"/>
              <w:right w:val="single" w:sz="4" w:space="0" w:color="auto"/>
            </w:tcBorders>
            <w:shd w:val="clear" w:color="auto" w:fill="auto"/>
            <w:vAlign w:val="center"/>
            <w:hideMark/>
          </w:tcPr>
          <w:p w14:paraId="54C5F895" w14:textId="5F565E16" w:rsidR="00D11D01" w:rsidRPr="00D11D01" w:rsidRDefault="00D11D01" w:rsidP="00D11D01">
            <w:pPr>
              <w:spacing w:after="0" w:line="240" w:lineRule="auto"/>
              <w:jc w:val="right"/>
              <w:rPr>
                <w:rFonts w:ascii="Arial" w:eastAsia="Times New Roman" w:hAnsi="Arial" w:cs="Arial"/>
                <w:color w:val="000000"/>
                <w:sz w:val="18"/>
                <w:szCs w:val="18"/>
                <w:lang w:eastAsia="sl-SI"/>
              </w:rPr>
            </w:pPr>
            <w:r w:rsidRPr="00D11D01">
              <w:rPr>
                <w:rFonts w:ascii="Arial" w:eastAsia="Times New Roman" w:hAnsi="Arial" w:cs="Arial"/>
                <w:color w:val="000000"/>
                <w:sz w:val="18"/>
                <w:szCs w:val="18"/>
                <w:lang w:eastAsia="sl-SI"/>
              </w:rPr>
              <w:t>26,09</w:t>
            </w:r>
            <w:r>
              <w:rPr>
                <w:rFonts w:ascii="Arial" w:eastAsia="Times New Roman" w:hAnsi="Arial" w:cs="Arial"/>
                <w:color w:val="000000"/>
                <w:sz w:val="18"/>
                <w:szCs w:val="18"/>
                <w:lang w:eastAsia="sl-SI"/>
              </w:rPr>
              <w:t xml:space="preserve"> </w:t>
            </w:r>
            <w:r w:rsidRPr="00D11D01">
              <w:rPr>
                <w:rFonts w:ascii="Arial" w:eastAsia="Times New Roman" w:hAnsi="Arial" w:cs="Arial"/>
                <w:color w:val="000000"/>
                <w:sz w:val="18"/>
                <w:szCs w:val="18"/>
                <w:lang w:eastAsia="sl-SI"/>
              </w:rPr>
              <w:t>%</w:t>
            </w:r>
          </w:p>
        </w:tc>
      </w:tr>
      <w:tr w:rsidR="00D11D01" w:rsidRPr="00BF7302" w14:paraId="644CE6CD" w14:textId="77777777" w:rsidTr="00D94FAF">
        <w:trPr>
          <w:trHeight w:val="255"/>
          <w:jc w:val="center"/>
        </w:trPr>
        <w:tc>
          <w:tcPr>
            <w:tcW w:w="1781" w:type="pct"/>
            <w:tcBorders>
              <w:top w:val="nil"/>
              <w:left w:val="single" w:sz="4" w:space="0" w:color="auto"/>
              <w:bottom w:val="single" w:sz="4" w:space="0" w:color="auto"/>
              <w:right w:val="single" w:sz="4" w:space="0" w:color="auto"/>
            </w:tcBorders>
            <w:shd w:val="clear" w:color="auto" w:fill="auto"/>
            <w:vAlign w:val="center"/>
            <w:hideMark/>
          </w:tcPr>
          <w:p w14:paraId="7228CA7E" w14:textId="77777777" w:rsidR="00D11D01" w:rsidRPr="00B216DF" w:rsidRDefault="00D11D01" w:rsidP="00D11D01">
            <w:pPr>
              <w:spacing w:after="0" w:line="240" w:lineRule="auto"/>
              <w:rPr>
                <w:rFonts w:ascii="Arial" w:eastAsia="Times New Roman" w:hAnsi="Arial" w:cs="Arial"/>
                <w:color w:val="000000"/>
                <w:sz w:val="18"/>
                <w:szCs w:val="18"/>
                <w:lang w:eastAsia="sl-SI"/>
              </w:rPr>
            </w:pPr>
            <w:r w:rsidRPr="00B216DF">
              <w:rPr>
                <w:rFonts w:ascii="Arial" w:eastAsia="Times New Roman" w:hAnsi="Arial" w:cs="Arial"/>
                <w:color w:val="000000"/>
                <w:sz w:val="18"/>
                <w:szCs w:val="18"/>
                <w:lang w:eastAsia="sl-SI"/>
              </w:rPr>
              <w:t>Drugo</w:t>
            </w:r>
          </w:p>
        </w:tc>
        <w:tc>
          <w:tcPr>
            <w:tcW w:w="496" w:type="pct"/>
            <w:tcBorders>
              <w:top w:val="nil"/>
              <w:left w:val="nil"/>
              <w:bottom w:val="single" w:sz="4" w:space="0" w:color="auto"/>
              <w:right w:val="single" w:sz="4" w:space="0" w:color="auto"/>
            </w:tcBorders>
            <w:shd w:val="clear" w:color="auto" w:fill="auto"/>
            <w:vAlign w:val="center"/>
            <w:hideMark/>
          </w:tcPr>
          <w:p w14:paraId="21ED319F" w14:textId="0352547B" w:rsidR="00D11D01" w:rsidRPr="00B216DF" w:rsidRDefault="00D11D01" w:rsidP="00D11D01">
            <w:pPr>
              <w:spacing w:after="0" w:line="240" w:lineRule="auto"/>
              <w:jc w:val="right"/>
              <w:rPr>
                <w:rFonts w:ascii="Arial" w:eastAsia="Times New Roman" w:hAnsi="Arial" w:cs="Arial"/>
                <w:color w:val="000000"/>
                <w:sz w:val="18"/>
                <w:szCs w:val="18"/>
                <w:lang w:eastAsia="sl-SI"/>
              </w:rPr>
            </w:pPr>
            <w:r w:rsidRPr="00B216DF">
              <w:rPr>
                <w:rFonts w:ascii="Arial" w:eastAsia="Times New Roman" w:hAnsi="Arial" w:cs="Arial"/>
                <w:color w:val="000000"/>
                <w:sz w:val="18"/>
                <w:szCs w:val="18"/>
                <w:lang w:eastAsia="sl-SI"/>
              </w:rPr>
              <w:t>3</w:t>
            </w:r>
          </w:p>
        </w:tc>
        <w:tc>
          <w:tcPr>
            <w:tcW w:w="792" w:type="pct"/>
            <w:tcBorders>
              <w:top w:val="nil"/>
              <w:left w:val="nil"/>
              <w:bottom w:val="single" w:sz="4" w:space="0" w:color="auto"/>
              <w:right w:val="single" w:sz="4" w:space="0" w:color="auto"/>
            </w:tcBorders>
            <w:shd w:val="clear" w:color="auto" w:fill="auto"/>
            <w:vAlign w:val="center"/>
            <w:hideMark/>
          </w:tcPr>
          <w:p w14:paraId="23955F54" w14:textId="7BBBB038" w:rsidR="00D11D01" w:rsidRPr="00B216DF" w:rsidRDefault="00D11D01" w:rsidP="00D11D01">
            <w:pPr>
              <w:spacing w:after="0" w:line="240" w:lineRule="auto"/>
              <w:jc w:val="right"/>
              <w:rPr>
                <w:rFonts w:ascii="Arial" w:eastAsia="Times New Roman" w:hAnsi="Arial" w:cs="Arial"/>
                <w:color w:val="000000"/>
                <w:sz w:val="18"/>
                <w:szCs w:val="18"/>
                <w:lang w:eastAsia="sl-SI"/>
              </w:rPr>
            </w:pPr>
            <w:r w:rsidRPr="00B216DF">
              <w:rPr>
                <w:rFonts w:ascii="Arial" w:eastAsia="Times New Roman" w:hAnsi="Arial" w:cs="Arial"/>
                <w:color w:val="000000"/>
                <w:sz w:val="18"/>
                <w:szCs w:val="18"/>
                <w:lang w:eastAsia="sl-SI"/>
              </w:rPr>
              <w:t>2.183.422</w:t>
            </w:r>
          </w:p>
        </w:tc>
        <w:tc>
          <w:tcPr>
            <w:tcW w:w="965" w:type="pct"/>
            <w:tcBorders>
              <w:top w:val="nil"/>
              <w:left w:val="nil"/>
              <w:bottom w:val="single" w:sz="4" w:space="0" w:color="auto"/>
              <w:right w:val="single" w:sz="4" w:space="0" w:color="auto"/>
            </w:tcBorders>
            <w:shd w:val="clear" w:color="auto" w:fill="auto"/>
            <w:vAlign w:val="center"/>
            <w:hideMark/>
          </w:tcPr>
          <w:p w14:paraId="3476E6B1" w14:textId="3C4D911A" w:rsidR="00D11D01" w:rsidRPr="00D11D01" w:rsidRDefault="00D11D01" w:rsidP="00D11D01">
            <w:pPr>
              <w:spacing w:after="0" w:line="240" w:lineRule="auto"/>
              <w:jc w:val="right"/>
              <w:rPr>
                <w:rFonts w:ascii="Arial" w:eastAsia="Times New Roman" w:hAnsi="Arial" w:cs="Arial"/>
                <w:color w:val="000000"/>
                <w:sz w:val="18"/>
                <w:szCs w:val="18"/>
                <w:lang w:eastAsia="sl-SI"/>
              </w:rPr>
            </w:pPr>
            <w:r w:rsidRPr="00D11D01">
              <w:rPr>
                <w:rFonts w:ascii="Arial" w:eastAsia="Times New Roman" w:hAnsi="Arial" w:cs="Arial"/>
                <w:color w:val="000000"/>
                <w:sz w:val="18"/>
                <w:szCs w:val="18"/>
                <w:lang w:eastAsia="sl-SI"/>
              </w:rPr>
              <w:t>0,14</w:t>
            </w:r>
            <w:r>
              <w:rPr>
                <w:rFonts w:ascii="Arial" w:eastAsia="Times New Roman" w:hAnsi="Arial" w:cs="Arial"/>
                <w:color w:val="000000"/>
                <w:sz w:val="18"/>
                <w:szCs w:val="18"/>
                <w:lang w:eastAsia="sl-SI"/>
              </w:rPr>
              <w:t xml:space="preserve"> </w:t>
            </w:r>
            <w:r w:rsidRPr="00D11D01">
              <w:rPr>
                <w:rFonts w:ascii="Arial" w:eastAsia="Times New Roman" w:hAnsi="Arial" w:cs="Arial"/>
                <w:color w:val="000000"/>
                <w:sz w:val="18"/>
                <w:szCs w:val="18"/>
                <w:lang w:eastAsia="sl-SI"/>
              </w:rPr>
              <w:t>%</w:t>
            </w:r>
          </w:p>
        </w:tc>
        <w:tc>
          <w:tcPr>
            <w:tcW w:w="965" w:type="pct"/>
            <w:tcBorders>
              <w:top w:val="nil"/>
              <w:left w:val="nil"/>
              <w:bottom w:val="single" w:sz="4" w:space="0" w:color="auto"/>
              <w:right w:val="single" w:sz="4" w:space="0" w:color="auto"/>
            </w:tcBorders>
            <w:shd w:val="clear" w:color="auto" w:fill="auto"/>
            <w:vAlign w:val="center"/>
            <w:hideMark/>
          </w:tcPr>
          <w:p w14:paraId="507CF196" w14:textId="0F644B16" w:rsidR="00D11D01" w:rsidRPr="00D11D01" w:rsidRDefault="00D11D01" w:rsidP="00D11D01">
            <w:pPr>
              <w:spacing w:after="0" w:line="240" w:lineRule="auto"/>
              <w:jc w:val="right"/>
              <w:rPr>
                <w:rFonts w:ascii="Arial" w:eastAsia="Times New Roman" w:hAnsi="Arial" w:cs="Arial"/>
                <w:color w:val="000000"/>
                <w:sz w:val="18"/>
                <w:szCs w:val="18"/>
                <w:lang w:eastAsia="sl-SI"/>
              </w:rPr>
            </w:pPr>
            <w:r w:rsidRPr="00D11D01">
              <w:rPr>
                <w:rFonts w:ascii="Arial" w:eastAsia="Times New Roman" w:hAnsi="Arial" w:cs="Arial"/>
                <w:color w:val="000000"/>
                <w:sz w:val="18"/>
                <w:szCs w:val="18"/>
                <w:lang w:eastAsia="sl-SI"/>
              </w:rPr>
              <w:t>0,37</w:t>
            </w:r>
            <w:r>
              <w:rPr>
                <w:rFonts w:ascii="Arial" w:eastAsia="Times New Roman" w:hAnsi="Arial" w:cs="Arial"/>
                <w:color w:val="000000"/>
                <w:sz w:val="18"/>
                <w:szCs w:val="18"/>
                <w:lang w:eastAsia="sl-SI"/>
              </w:rPr>
              <w:t xml:space="preserve"> </w:t>
            </w:r>
            <w:r w:rsidRPr="00D11D01">
              <w:rPr>
                <w:rFonts w:ascii="Arial" w:eastAsia="Times New Roman" w:hAnsi="Arial" w:cs="Arial"/>
                <w:color w:val="000000"/>
                <w:sz w:val="18"/>
                <w:szCs w:val="18"/>
                <w:lang w:eastAsia="sl-SI"/>
              </w:rPr>
              <w:t>%</w:t>
            </w:r>
          </w:p>
        </w:tc>
      </w:tr>
    </w:tbl>
    <w:p w14:paraId="0D58F257" w14:textId="77777777" w:rsidR="00731C4D" w:rsidRPr="00BF7302" w:rsidRDefault="00731C4D" w:rsidP="004A613D">
      <w:pPr>
        <w:spacing w:after="0" w:line="240" w:lineRule="auto"/>
        <w:jc w:val="center"/>
        <w:rPr>
          <w:rFonts w:ascii="Arial" w:hAnsi="Arial" w:cs="Arial"/>
          <w:sz w:val="20"/>
          <w:szCs w:val="20"/>
          <w:highlight w:val="yellow"/>
        </w:rPr>
      </w:pPr>
    </w:p>
    <w:p w14:paraId="7752BBEF" w14:textId="244904FD" w:rsidR="00F83DD4" w:rsidRPr="00B216DF" w:rsidRDefault="00F83DD4" w:rsidP="004A613D">
      <w:pPr>
        <w:spacing w:after="0" w:line="240" w:lineRule="auto"/>
        <w:jc w:val="center"/>
        <w:rPr>
          <w:rFonts w:ascii="Arial" w:hAnsi="Arial" w:cs="Arial"/>
          <w:sz w:val="18"/>
        </w:rPr>
      </w:pPr>
      <w:r w:rsidRPr="00B216DF">
        <w:rPr>
          <w:rFonts w:ascii="Arial" w:hAnsi="Arial" w:cs="Arial"/>
          <w:sz w:val="18"/>
        </w:rPr>
        <w:t>Vir: Statistični podatki o javni</w:t>
      </w:r>
      <w:r w:rsidR="00BB63A6" w:rsidRPr="00B216DF">
        <w:rPr>
          <w:rFonts w:ascii="Arial" w:hAnsi="Arial" w:cs="Arial"/>
          <w:sz w:val="18"/>
        </w:rPr>
        <w:t>h naročilih, oddanih v letu 20</w:t>
      </w:r>
      <w:r w:rsidR="002808FB" w:rsidRPr="00B216DF">
        <w:rPr>
          <w:rFonts w:ascii="Arial" w:hAnsi="Arial" w:cs="Arial"/>
          <w:sz w:val="18"/>
        </w:rPr>
        <w:t>2</w:t>
      </w:r>
      <w:r w:rsidR="00B216DF" w:rsidRPr="00B216DF">
        <w:rPr>
          <w:rFonts w:ascii="Arial" w:hAnsi="Arial" w:cs="Arial"/>
          <w:sz w:val="18"/>
        </w:rPr>
        <w:t>2</w:t>
      </w:r>
      <w:r w:rsidR="007B25B7" w:rsidRPr="00B216DF">
        <w:rPr>
          <w:rFonts w:ascii="Arial" w:hAnsi="Arial" w:cs="Arial"/>
          <w:sz w:val="18"/>
        </w:rPr>
        <w:t>.</w:t>
      </w:r>
    </w:p>
    <w:p w14:paraId="224513A5" w14:textId="77777777" w:rsidR="004A613D" w:rsidRPr="00435AA5" w:rsidRDefault="004A613D" w:rsidP="00807FCE">
      <w:pPr>
        <w:spacing w:after="0" w:line="360" w:lineRule="auto"/>
        <w:jc w:val="both"/>
        <w:rPr>
          <w:rFonts w:ascii="Arial" w:hAnsi="Arial" w:cs="Arial"/>
          <w:sz w:val="20"/>
          <w:szCs w:val="20"/>
        </w:rPr>
      </w:pPr>
    </w:p>
    <w:p w14:paraId="3C00A547" w14:textId="284621C8" w:rsidR="00F83DD4" w:rsidRPr="00435AA5" w:rsidRDefault="00F83DD4" w:rsidP="00F83DD4">
      <w:pPr>
        <w:spacing w:line="360" w:lineRule="auto"/>
        <w:jc w:val="both"/>
        <w:rPr>
          <w:rFonts w:ascii="Arial" w:hAnsi="Arial" w:cs="Arial"/>
          <w:color w:val="000000" w:themeColor="text1"/>
          <w:sz w:val="20"/>
          <w:szCs w:val="20"/>
        </w:rPr>
      </w:pPr>
      <w:r w:rsidRPr="00435AA5">
        <w:rPr>
          <w:rFonts w:ascii="Arial" w:hAnsi="Arial" w:cs="Arial"/>
          <w:color w:val="000000" w:themeColor="text1"/>
          <w:sz w:val="20"/>
          <w:szCs w:val="20"/>
        </w:rPr>
        <w:t xml:space="preserve">Med naročili, v katerih </w:t>
      </w:r>
      <w:r w:rsidR="00E5190B" w:rsidRPr="00435AA5">
        <w:rPr>
          <w:rFonts w:ascii="Arial" w:hAnsi="Arial" w:cs="Arial"/>
          <w:color w:val="000000" w:themeColor="text1"/>
          <w:sz w:val="20"/>
          <w:szCs w:val="20"/>
        </w:rPr>
        <w:t xml:space="preserve">so bili </w:t>
      </w:r>
      <w:r w:rsidR="005522FF" w:rsidRPr="00435AA5">
        <w:rPr>
          <w:rFonts w:ascii="Arial" w:hAnsi="Arial" w:cs="Arial"/>
          <w:color w:val="000000" w:themeColor="text1"/>
          <w:sz w:val="20"/>
          <w:szCs w:val="20"/>
        </w:rPr>
        <w:t>leta</w:t>
      </w:r>
      <w:r w:rsidR="00E5190B" w:rsidRPr="00435AA5">
        <w:rPr>
          <w:rFonts w:ascii="Arial" w:hAnsi="Arial" w:cs="Arial"/>
          <w:color w:val="000000" w:themeColor="text1"/>
          <w:sz w:val="20"/>
          <w:szCs w:val="20"/>
        </w:rPr>
        <w:t xml:space="preserve"> 20</w:t>
      </w:r>
      <w:r w:rsidR="002808FB" w:rsidRPr="00435AA5">
        <w:rPr>
          <w:rFonts w:ascii="Arial" w:hAnsi="Arial" w:cs="Arial"/>
          <w:color w:val="000000" w:themeColor="text1"/>
          <w:sz w:val="20"/>
          <w:szCs w:val="20"/>
        </w:rPr>
        <w:t>2</w:t>
      </w:r>
      <w:r w:rsidR="0061248B" w:rsidRPr="00435AA5">
        <w:rPr>
          <w:rFonts w:ascii="Arial" w:hAnsi="Arial" w:cs="Arial"/>
          <w:color w:val="000000" w:themeColor="text1"/>
          <w:sz w:val="20"/>
          <w:szCs w:val="20"/>
        </w:rPr>
        <w:t>2</w:t>
      </w:r>
      <w:r w:rsidRPr="00435AA5">
        <w:rPr>
          <w:rFonts w:ascii="Arial" w:hAnsi="Arial" w:cs="Arial"/>
          <w:color w:val="000000" w:themeColor="text1"/>
          <w:sz w:val="20"/>
          <w:szCs w:val="20"/>
        </w:rPr>
        <w:t xml:space="preserve"> upoštevani socialni vidiki, so naročniki najpogosteje uporabili </w:t>
      </w:r>
      <w:r w:rsidR="0061248B" w:rsidRPr="00435AA5">
        <w:rPr>
          <w:rFonts w:ascii="Arial" w:hAnsi="Arial" w:cs="Arial"/>
          <w:color w:val="000000" w:themeColor="text1"/>
          <w:sz w:val="20"/>
          <w:szCs w:val="20"/>
        </w:rPr>
        <w:t>postopek naročila male vrednosti</w:t>
      </w:r>
      <w:r w:rsidRPr="00435AA5">
        <w:rPr>
          <w:rFonts w:ascii="Arial" w:hAnsi="Arial" w:cs="Arial"/>
          <w:color w:val="000000" w:themeColor="text1"/>
          <w:sz w:val="20"/>
          <w:szCs w:val="20"/>
        </w:rPr>
        <w:t xml:space="preserve">, in sicer </w:t>
      </w:r>
      <w:r w:rsidR="00B438B8" w:rsidRPr="00435AA5">
        <w:rPr>
          <w:rFonts w:ascii="Arial" w:hAnsi="Arial" w:cs="Arial"/>
          <w:color w:val="000000" w:themeColor="text1"/>
          <w:sz w:val="20"/>
          <w:szCs w:val="20"/>
        </w:rPr>
        <w:t>v</w:t>
      </w:r>
      <w:r w:rsidRPr="00435AA5">
        <w:rPr>
          <w:rFonts w:ascii="Arial" w:hAnsi="Arial" w:cs="Arial"/>
          <w:color w:val="000000" w:themeColor="text1"/>
          <w:sz w:val="20"/>
          <w:szCs w:val="20"/>
        </w:rPr>
        <w:t xml:space="preserve"> </w:t>
      </w:r>
      <w:r w:rsidR="00435AA5" w:rsidRPr="00435AA5">
        <w:rPr>
          <w:rFonts w:ascii="Arial" w:hAnsi="Arial" w:cs="Arial"/>
          <w:color w:val="000000" w:themeColor="text1"/>
          <w:sz w:val="20"/>
          <w:szCs w:val="20"/>
        </w:rPr>
        <w:t>989</w:t>
      </w:r>
      <w:r w:rsidRPr="00435AA5">
        <w:rPr>
          <w:rFonts w:ascii="Arial" w:hAnsi="Arial" w:cs="Arial"/>
          <w:color w:val="000000" w:themeColor="text1"/>
          <w:sz w:val="20"/>
          <w:szCs w:val="20"/>
        </w:rPr>
        <w:t xml:space="preserve"> naročil</w:t>
      </w:r>
      <w:r w:rsidR="00B438B8" w:rsidRPr="00435AA5">
        <w:rPr>
          <w:rFonts w:ascii="Arial" w:hAnsi="Arial" w:cs="Arial"/>
          <w:color w:val="000000" w:themeColor="text1"/>
          <w:sz w:val="20"/>
          <w:szCs w:val="20"/>
        </w:rPr>
        <w:t>ih</w:t>
      </w:r>
      <w:r w:rsidRPr="00435AA5">
        <w:rPr>
          <w:rFonts w:ascii="Arial" w:hAnsi="Arial" w:cs="Arial"/>
          <w:color w:val="000000" w:themeColor="text1"/>
          <w:sz w:val="20"/>
          <w:szCs w:val="20"/>
        </w:rPr>
        <w:t xml:space="preserve"> v vrednosti</w:t>
      </w:r>
      <w:r w:rsidR="00E5190B" w:rsidRPr="00435AA5">
        <w:rPr>
          <w:rFonts w:ascii="Arial" w:hAnsi="Arial" w:cs="Arial"/>
          <w:color w:val="000000" w:themeColor="text1"/>
          <w:sz w:val="20"/>
          <w:szCs w:val="20"/>
        </w:rPr>
        <w:t xml:space="preserve"> </w:t>
      </w:r>
      <w:r w:rsidR="00435AA5" w:rsidRPr="00435AA5">
        <w:rPr>
          <w:rFonts w:ascii="Arial" w:hAnsi="Arial" w:cs="Arial"/>
          <w:color w:val="000000" w:themeColor="text1"/>
          <w:sz w:val="20"/>
          <w:szCs w:val="20"/>
        </w:rPr>
        <w:t xml:space="preserve">124.333.320 </w:t>
      </w:r>
      <w:r w:rsidRPr="00435AA5">
        <w:rPr>
          <w:rFonts w:ascii="Arial" w:hAnsi="Arial" w:cs="Arial"/>
          <w:color w:val="000000" w:themeColor="text1"/>
          <w:sz w:val="20"/>
          <w:szCs w:val="20"/>
        </w:rPr>
        <w:t xml:space="preserve">evrov. </w:t>
      </w:r>
    </w:p>
    <w:p w14:paraId="7FD16C88" w14:textId="0794996B" w:rsidR="00F83DD4" w:rsidRPr="0061248B" w:rsidRDefault="00F83DD4" w:rsidP="00701C10">
      <w:pPr>
        <w:spacing w:before="120" w:after="120" w:line="240" w:lineRule="auto"/>
        <w:jc w:val="both"/>
        <w:rPr>
          <w:rFonts w:ascii="Arial" w:hAnsi="Arial" w:cs="Arial"/>
          <w:sz w:val="20"/>
        </w:rPr>
      </w:pPr>
      <w:r w:rsidRPr="0061248B">
        <w:rPr>
          <w:rFonts w:ascii="Arial" w:hAnsi="Arial" w:cs="Arial"/>
          <w:sz w:val="20"/>
        </w:rPr>
        <w:t xml:space="preserve">Preglednica </w:t>
      </w:r>
      <w:r w:rsidR="00512F52" w:rsidRPr="0061248B">
        <w:rPr>
          <w:rFonts w:ascii="Arial" w:hAnsi="Arial" w:cs="Arial"/>
          <w:sz w:val="20"/>
        </w:rPr>
        <w:t>5</w:t>
      </w:r>
      <w:r w:rsidR="00EA747F">
        <w:rPr>
          <w:rFonts w:ascii="Arial" w:hAnsi="Arial" w:cs="Arial"/>
          <w:sz w:val="20"/>
        </w:rPr>
        <w:t>4</w:t>
      </w:r>
      <w:r w:rsidRPr="0061248B">
        <w:rPr>
          <w:rFonts w:ascii="Arial" w:hAnsi="Arial" w:cs="Arial"/>
          <w:sz w:val="20"/>
        </w:rPr>
        <w:t>: Vrste postopkov, v katerih so bili upoštev</w:t>
      </w:r>
      <w:r w:rsidR="00AD5FD8" w:rsidRPr="0061248B">
        <w:rPr>
          <w:rFonts w:ascii="Arial" w:hAnsi="Arial" w:cs="Arial"/>
          <w:sz w:val="20"/>
        </w:rPr>
        <w:t>a</w:t>
      </w:r>
      <w:r w:rsidRPr="0061248B">
        <w:rPr>
          <w:rFonts w:ascii="Arial" w:hAnsi="Arial" w:cs="Arial"/>
          <w:sz w:val="20"/>
        </w:rPr>
        <w:t>ni socialni vidiki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3"/>
        <w:gridCol w:w="1842"/>
        <w:gridCol w:w="2659"/>
      </w:tblGrid>
      <w:tr w:rsidR="00153ACA" w:rsidRPr="0061248B" w14:paraId="7EC69A39" w14:textId="77777777" w:rsidTr="00153ACA">
        <w:trPr>
          <w:trHeight w:val="313"/>
          <w:tblHeader/>
        </w:trPr>
        <w:tc>
          <w:tcPr>
            <w:tcW w:w="2547" w:type="pct"/>
            <w:shd w:val="clear" w:color="000000" w:fill="F2F2F2"/>
            <w:vAlign w:val="center"/>
            <w:hideMark/>
          </w:tcPr>
          <w:p w14:paraId="1F48B470" w14:textId="77777777" w:rsidR="0061248B" w:rsidRPr="0061248B" w:rsidRDefault="0061248B" w:rsidP="0061248B">
            <w:pPr>
              <w:spacing w:after="0" w:line="240" w:lineRule="auto"/>
              <w:jc w:val="center"/>
              <w:rPr>
                <w:rFonts w:ascii="Arial" w:eastAsia="Times New Roman" w:hAnsi="Arial" w:cs="Arial"/>
                <w:color w:val="000000"/>
                <w:sz w:val="18"/>
                <w:szCs w:val="18"/>
                <w:lang w:eastAsia="sl-SI"/>
              </w:rPr>
            </w:pPr>
            <w:r w:rsidRPr="0061248B">
              <w:rPr>
                <w:rFonts w:ascii="Arial" w:eastAsia="Times New Roman" w:hAnsi="Arial" w:cs="Arial"/>
                <w:color w:val="000000"/>
                <w:sz w:val="18"/>
                <w:szCs w:val="18"/>
                <w:lang w:eastAsia="sl-SI"/>
              </w:rPr>
              <w:t>Vrsta postopka</w:t>
            </w:r>
          </w:p>
        </w:tc>
        <w:tc>
          <w:tcPr>
            <w:tcW w:w="1004" w:type="pct"/>
            <w:shd w:val="clear" w:color="000000" w:fill="F2F2F2"/>
            <w:vAlign w:val="center"/>
            <w:hideMark/>
          </w:tcPr>
          <w:p w14:paraId="433EFE0F" w14:textId="77777777" w:rsidR="0061248B" w:rsidRPr="0061248B" w:rsidRDefault="0061248B" w:rsidP="0061248B">
            <w:pPr>
              <w:spacing w:after="0" w:line="240" w:lineRule="auto"/>
              <w:jc w:val="center"/>
              <w:rPr>
                <w:rFonts w:ascii="Arial" w:eastAsia="Times New Roman" w:hAnsi="Arial" w:cs="Arial"/>
                <w:color w:val="000000"/>
                <w:sz w:val="18"/>
                <w:szCs w:val="18"/>
                <w:lang w:eastAsia="sl-SI"/>
              </w:rPr>
            </w:pPr>
            <w:r w:rsidRPr="0061248B">
              <w:rPr>
                <w:rFonts w:ascii="Arial" w:eastAsia="Times New Roman" w:hAnsi="Arial" w:cs="Arial"/>
                <w:color w:val="000000"/>
                <w:sz w:val="18"/>
                <w:szCs w:val="18"/>
                <w:lang w:eastAsia="sl-SI"/>
              </w:rPr>
              <w:t>Št. naročil</w:t>
            </w:r>
          </w:p>
        </w:tc>
        <w:tc>
          <w:tcPr>
            <w:tcW w:w="1449" w:type="pct"/>
            <w:shd w:val="clear" w:color="000000" w:fill="F2F2F2"/>
            <w:vAlign w:val="center"/>
            <w:hideMark/>
          </w:tcPr>
          <w:p w14:paraId="62A56954" w14:textId="77777777" w:rsidR="0061248B" w:rsidRPr="0061248B" w:rsidRDefault="0061248B" w:rsidP="0061248B">
            <w:pPr>
              <w:spacing w:after="0" w:line="240" w:lineRule="auto"/>
              <w:jc w:val="center"/>
              <w:rPr>
                <w:rFonts w:ascii="Arial" w:eastAsia="Times New Roman" w:hAnsi="Arial" w:cs="Arial"/>
                <w:color w:val="000000"/>
                <w:sz w:val="18"/>
                <w:szCs w:val="18"/>
                <w:lang w:eastAsia="sl-SI"/>
              </w:rPr>
            </w:pPr>
            <w:r w:rsidRPr="0061248B">
              <w:rPr>
                <w:rFonts w:ascii="Arial" w:eastAsia="Times New Roman" w:hAnsi="Arial" w:cs="Arial"/>
                <w:color w:val="000000"/>
                <w:sz w:val="18"/>
                <w:szCs w:val="18"/>
                <w:lang w:eastAsia="sl-SI"/>
              </w:rPr>
              <w:t xml:space="preserve">Pogodbena vrednost </w:t>
            </w:r>
          </w:p>
        </w:tc>
      </w:tr>
      <w:tr w:rsidR="00153ACA" w:rsidRPr="0061248B" w14:paraId="0488F3DF" w14:textId="77777777" w:rsidTr="00153ACA">
        <w:trPr>
          <w:trHeight w:val="300"/>
        </w:trPr>
        <w:tc>
          <w:tcPr>
            <w:tcW w:w="2547" w:type="pct"/>
            <w:shd w:val="clear" w:color="auto" w:fill="auto"/>
            <w:noWrap/>
            <w:vAlign w:val="center"/>
            <w:hideMark/>
          </w:tcPr>
          <w:p w14:paraId="24176D54" w14:textId="77777777" w:rsidR="0061248B" w:rsidRPr="0061248B" w:rsidRDefault="0061248B" w:rsidP="0061248B">
            <w:pPr>
              <w:spacing w:after="0" w:line="240" w:lineRule="auto"/>
              <w:rPr>
                <w:rFonts w:ascii="Arial" w:eastAsia="Times New Roman" w:hAnsi="Arial" w:cs="Arial"/>
                <w:color w:val="000000"/>
                <w:sz w:val="18"/>
                <w:szCs w:val="18"/>
                <w:lang w:eastAsia="sl-SI"/>
              </w:rPr>
            </w:pPr>
            <w:r w:rsidRPr="0061248B">
              <w:rPr>
                <w:rFonts w:ascii="Arial" w:eastAsia="Times New Roman" w:hAnsi="Arial" w:cs="Arial"/>
                <w:color w:val="000000"/>
                <w:sz w:val="18"/>
                <w:szCs w:val="18"/>
                <w:lang w:eastAsia="sl-SI"/>
              </w:rPr>
              <w:t>Konkurenčni dialog</w:t>
            </w:r>
          </w:p>
        </w:tc>
        <w:tc>
          <w:tcPr>
            <w:tcW w:w="1004" w:type="pct"/>
            <w:shd w:val="clear" w:color="auto" w:fill="auto"/>
            <w:noWrap/>
            <w:vAlign w:val="center"/>
            <w:hideMark/>
          </w:tcPr>
          <w:p w14:paraId="31C9E34B" w14:textId="77777777" w:rsidR="0061248B" w:rsidRPr="0061248B" w:rsidRDefault="0061248B" w:rsidP="0061248B">
            <w:pPr>
              <w:spacing w:after="0" w:line="240" w:lineRule="auto"/>
              <w:jc w:val="right"/>
              <w:rPr>
                <w:rFonts w:ascii="Arial" w:eastAsia="Times New Roman" w:hAnsi="Arial" w:cs="Arial"/>
                <w:color w:val="000000"/>
                <w:sz w:val="18"/>
                <w:szCs w:val="18"/>
                <w:lang w:eastAsia="sl-SI"/>
              </w:rPr>
            </w:pPr>
            <w:r w:rsidRPr="0061248B">
              <w:rPr>
                <w:rFonts w:ascii="Arial" w:eastAsia="Times New Roman" w:hAnsi="Arial" w:cs="Arial"/>
                <w:color w:val="000000"/>
                <w:sz w:val="18"/>
                <w:szCs w:val="18"/>
                <w:lang w:eastAsia="sl-SI"/>
              </w:rPr>
              <w:t>15</w:t>
            </w:r>
          </w:p>
        </w:tc>
        <w:tc>
          <w:tcPr>
            <w:tcW w:w="1449" w:type="pct"/>
            <w:shd w:val="clear" w:color="auto" w:fill="auto"/>
            <w:noWrap/>
            <w:vAlign w:val="center"/>
            <w:hideMark/>
          </w:tcPr>
          <w:p w14:paraId="29217B6E" w14:textId="77777777" w:rsidR="0061248B" w:rsidRPr="0061248B" w:rsidRDefault="0061248B" w:rsidP="0061248B">
            <w:pPr>
              <w:spacing w:after="0" w:line="240" w:lineRule="auto"/>
              <w:jc w:val="right"/>
              <w:rPr>
                <w:rFonts w:ascii="Arial" w:eastAsia="Times New Roman" w:hAnsi="Arial" w:cs="Arial"/>
                <w:color w:val="000000"/>
                <w:sz w:val="18"/>
                <w:szCs w:val="18"/>
                <w:lang w:eastAsia="sl-SI"/>
              </w:rPr>
            </w:pPr>
            <w:r w:rsidRPr="0061248B">
              <w:rPr>
                <w:rFonts w:ascii="Arial" w:eastAsia="Times New Roman" w:hAnsi="Arial" w:cs="Arial"/>
                <w:color w:val="000000"/>
                <w:sz w:val="18"/>
                <w:szCs w:val="18"/>
                <w:lang w:eastAsia="sl-SI"/>
              </w:rPr>
              <w:t>3.533.640</w:t>
            </w:r>
          </w:p>
        </w:tc>
      </w:tr>
      <w:tr w:rsidR="00153ACA" w:rsidRPr="0061248B" w14:paraId="534193AB" w14:textId="77777777" w:rsidTr="00153ACA">
        <w:trPr>
          <w:trHeight w:val="300"/>
        </w:trPr>
        <w:tc>
          <w:tcPr>
            <w:tcW w:w="2547" w:type="pct"/>
            <w:shd w:val="clear" w:color="auto" w:fill="auto"/>
            <w:noWrap/>
            <w:vAlign w:val="center"/>
            <w:hideMark/>
          </w:tcPr>
          <w:p w14:paraId="15005B60" w14:textId="77777777" w:rsidR="0061248B" w:rsidRPr="0061248B" w:rsidRDefault="0061248B" w:rsidP="0061248B">
            <w:pPr>
              <w:spacing w:after="0" w:line="240" w:lineRule="auto"/>
              <w:rPr>
                <w:rFonts w:ascii="Arial" w:eastAsia="Times New Roman" w:hAnsi="Arial" w:cs="Arial"/>
                <w:color w:val="000000"/>
                <w:sz w:val="18"/>
                <w:szCs w:val="18"/>
                <w:lang w:eastAsia="sl-SI"/>
              </w:rPr>
            </w:pPr>
            <w:r w:rsidRPr="0061248B">
              <w:rPr>
                <w:rFonts w:ascii="Arial" w:eastAsia="Times New Roman" w:hAnsi="Arial" w:cs="Arial"/>
                <w:color w:val="000000"/>
                <w:sz w:val="18"/>
                <w:szCs w:val="18"/>
                <w:lang w:eastAsia="sl-SI"/>
              </w:rPr>
              <w:t>Konkurenčni postopek s pogajanji</w:t>
            </w:r>
          </w:p>
        </w:tc>
        <w:tc>
          <w:tcPr>
            <w:tcW w:w="1004" w:type="pct"/>
            <w:shd w:val="clear" w:color="auto" w:fill="auto"/>
            <w:noWrap/>
            <w:vAlign w:val="center"/>
            <w:hideMark/>
          </w:tcPr>
          <w:p w14:paraId="49BE2F8A" w14:textId="77777777" w:rsidR="0061248B" w:rsidRPr="0061248B" w:rsidRDefault="0061248B" w:rsidP="0061248B">
            <w:pPr>
              <w:spacing w:after="0" w:line="240" w:lineRule="auto"/>
              <w:jc w:val="right"/>
              <w:rPr>
                <w:rFonts w:ascii="Arial" w:eastAsia="Times New Roman" w:hAnsi="Arial" w:cs="Arial"/>
                <w:color w:val="000000"/>
                <w:sz w:val="18"/>
                <w:szCs w:val="18"/>
                <w:lang w:eastAsia="sl-SI"/>
              </w:rPr>
            </w:pPr>
            <w:r w:rsidRPr="0061248B">
              <w:rPr>
                <w:rFonts w:ascii="Arial" w:eastAsia="Times New Roman" w:hAnsi="Arial" w:cs="Arial"/>
                <w:color w:val="000000"/>
                <w:sz w:val="18"/>
                <w:szCs w:val="18"/>
                <w:lang w:eastAsia="sl-SI"/>
              </w:rPr>
              <w:t>53</w:t>
            </w:r>
          </w:p>
        </w:tc>
        <w:tc>
          <w:tcPr>
            <w:tcW w:w="1449" w:type="pct"/>
            <w:shd w:val="clear" w:color="auto" w:fill="auto"/>
            <w:noWrap/>
            <w:vAlign w:val="center"/>
            <w:hideMark/>
          </w:tcPr>
          <w:p w14:paraId="2032ADC8" w14:textId="77777777" w:rsidR="0061248B" w:rsidRPr="0061248B" w:rsidRDefault="0061248B" w:rsidP="0061248B">
            <w:pPr>
              <w:spacing w:after="0" w:line="240" w:lineRule="auto"/>
              <w:jc w:val="right"/>
              <w:rPr>
                <w:rFonts w:ascii="Arial" w:eastAsia="Times New Roman" w:hAnsi="Arial" w:cs="Arial"/>
                <w:color w:val="000000"/>
                <w:sz w:val="18"/>
                <w:szCs w:val="18"/>
                <w:lang w:eastAsia="sl-SI"/>
              </w:rPr>
            </w:pPr>
            <w:r w:rsidRPr="0061248B">
              <w:rPr>
                <w:rFonts w:ascii="Arial" w:eastAsia="Times New Roman" w:hAnsi="Arial" w:cs="Arial"/>
                <w:color w:val="000000"/>
                <w:sz w:val="18"/>
                <w:szCs w:val="18"/>
                <w:lang w:eastAsia="sl-SI"/>
              </w:rPr>
              <w:t>115.315.619</w:t>
            </w:r>
          </w:p>
        </w:tc>
      </w:tr>
      <w:tr w:rsidR="00153ACA" w:rsidRPr="0061248B" w14:paraId="6085E30A" w14:textId="77777777" w:rsidTr="00153ACA">
        <w:trPr>
          <w:trHeight w:val="300"/>
        </w:trPr>
        <w:tc>
          <w:tcPr>
            <w:tcW w:w="2547" w:type="pct"/>
            <w:shd w:val="clear" w:color="auto" w:fill="auto"/>
            <w:noWrap/>
            <w:vAlign w:val="center"/>
            <w:hideMark/>
          </w:tcPr>
          <w:p w14:paraId="15CAE1F0" w14:textId="77777777" w:rsidR="0061248B" w:rsidRPr="0061248B" w:rsidRDefault="0061248B" w:rsidP="0061248B">
            <w:pPr>
              <w:spacing w:after="0" w:line="240" w:lineRule="auto"/>
              <w:rPr>
                <w:rFonts w:ascii="Arial" w:eastAsia="Times New Roman" w:hAnsi="Arial" w:cs="Arial"/>
                <w:color w:val="000000"/>
                <w:sz w:val="18"/>
                <w:szCs w:val="18"/>
                <w:lang w:eastAsia="sl-SI"/>
              </w:rPr>
            </w:pPr>
            <w:r w:rsidRPr="0061248B">
              <w:rPr>
                <w:rFonts w:ascii="Arial" w:eastAsia="Times New Roman" w:hAnsi="Arial" w:cs="Arial"/>
                <w:color w:val="000000"/>
                <w:sz w:val="18"/>
                <w:szCs w:val="18"/>
                <w:lang w:eastAsia="sl-SI"/>
              </w:rPr>
              <w:t>Odprti postopek</w:t>
            </w:r>
          </w:p>
        </w:tc>
        <w:tc>
          <w:tcPr>
            <w:tcW w:w="1004" w:type="pct"/>
            <w:shd w:val="clear" w:color="auto" w:fill="auto"/>
            <w:noWrap/>
            <w:vAlign w:val="center"/>
            <w:hideMark/>
          </w:tcPr>
          <w:p w14:paraId="234A6D5C" w14:textId="77777777" w:rsidR="0061248B" w:rsidRPr="0061248B" w:rsidRDefault="0061248B" w:rsidP="0061248B">
            <w:pPr>
              <w:spacing w:after="0" w:line="240" w:lineRule="auto"/>
              <w:jc w:val="right"/>
              <w:rPr>
                <w:rFonts w:ascii="Arial" w:eastAsia="Times New Roman" w:hAnsi="Arial" w:cs="Arial"/>
                <w:color w:val="000000"/>
                <w:sz w:val="18"/>
                <w:szCs w:val="18"/>
                <w:lang w:eastAsia="sl-SI"/>
              </w:rPr>
            </w:pPr>
            <w:r w:rsidRPr="0061248B">
              <w:rPr>
                <w:rFonts w:ascii="Arial" w:eastAsia="Times New Roman" w:hAnsi="Arial" w:cs="Arial"/>
                <w:color w:val="000000"/>
                <w:sz w:val="18"/>
                <w:szCs w:val="18"/>
                <w:lang w:eastAsia="sl-SI"/>
              </w:rPr>
              <w:t>938</w:t>
            </w:r>
          </w:p>
        </w:tc>
        <w:tc>
          <w:tcPr>
            <w:tcW w:w="1449" w:type="pct"/>
            <w:shd w:val="clear" w:color="auto" w:fill="auto"/>
            <w:noWrap/>
            <w:vAlign w:val="center"/>
            <w:hideMark/>
          </w:tcPr>
          <w:p w14:paraId="79522C99" w14:textId="77777777" w:rsidR="0061248B" w:rsidRPr="0061248B" w:rsidRDefault="0061248B" w:rsidP="0061248B">
            <w:pPr>
              <w:spacing w:after="0" w:line="240" w:lineRule="auto"/>
              <w:jc w:val="right"/>
              <w:rPr>
                <w:rFonts w:ascii="Arial" w:eastAsia="Times New Roman" w:hAnsi="Arial" w:cs="Arial"/>
                <w:color w:val="000000"/>
                <w:sz w:val="18"/>
                <w:szCs w:val="18"/>
                <w:lang w:eastAsia="sl-SI"/>
              </w:rPr>
            </w:pPr>
            <w:r w:rsidRPr="0061248B">
              <w:rPr>
                <w:rFonts w:ascii="Arial" w:eastAsia="Times New Roman" w:hAnsi="Arial" w:cs="Arial"/>
                <w:color w:val="000000"/>
                <w:sz w:val="18"/>
                <w:szCs w:val="18"/>
                <w:lang w:eastAsia="sl-SI"/>
              </w:rPr>
              <w:t>255.657.463</w:t>
            </w:r>
          </w:p>
        </w:tc>
      </w:tr>
      <w:tr w:rsidR="00153ACA" w:rsidRPr="0061248B" w14:paraId="7318A3C9" w14:textId="77777777" w:rsidTr="00153ACA">
        <w:trPr>
          <w:trHeight w:val="300"/>
        </w:trPr>
        <w:tc>
          <w:tcPr>
            <w:tcW w:w="2547" w:type="pct"/>
            <w:shd w:val="clear" w:color="auto" w:fill="auto"/>
            <w:noWrap/>
            <w:vAlign w:val="center"/>
            <w:hideMark/>
          </w:tcPr>
          <w:p w14:paraId="0B63E169" w14:textId="77777777" w:rsidR="0061248B" w:rsidRPr="0061248B" w:rsidRDefault="0061248B" w:rsidP="0061248B">
            <w:pPr>
              <w:spacing w:after="0" w:line="240" w:lineRule="auto"/>
              <w:rPr>
                <w:rFonts w:ascii="Arial" w:eastAsia="Times New Roman" w:hAnsi="Arial" w:cs="Arial"/>
                <w:color w:val="000000"/>
                <w:sz w:val="18"/>
                <w:szCs w:val="18"/>
                <w:lang w:eastAsia="sl-SI"/>
              </w:rPr>
            </w:pPr>
            <w:r w:rsidRPr="0061248B">
              <w:rPr>
                <w:rFonts w:ascii="Arial" w:eastAsia="Times New Roman" w:hAnsi="Arial" w:cs="Arial"/>
                <w:color w:val="000000"/>
                <w:sz w:val="18"/>
                <w:szCs w:val="18"/>
                <w:lang w:eastAsia="sl-SI"/>
              </w:rPr>
              <w:t>Omejeni postopek</w:t>
            </w:r>
          </w:p>
        </w:tc>
        <w:tc>
          <w:tcPr>
            <w:tcW w:w="1004" w:type="pct"/>
            <w:shd w:val="clear" w:color="auto" w:fill="auto"/>
            <w:noWrap/>
            <w:vAlign w:val="center"/>
            <w:hideMark/>
          </w:tcPr>
          <w:p w14:paraId="11CB2668" w14:textId="77777777" w:rsidR="0061248B" w:rsidRPr="0061248B" w:rsidRDefault="0061248B" w:rsidP="0061248B">
            <w:pPr>
              <w:spacing w:after="0" w:line="240" w:lineRule="auto"/>
              <w:jc w:val="right"/>
              <w:rPr>
                <w:rFonts w:ascii="Arial" w:eastAsia="Times New Roman" w:hAnsi="Arial" w:cs="Arial"/>
                <w:color w:val="000000"/>
                <w:sz w:val="18"/>
                <w:szCs w:val="18"/>
                <w:lang w:eastAsia="sl-SI"/>
              </w:rPr>
            </w:pPr>
            <w:r w:rsidRPr="0061248B">
              <w:rPr>
                <w:rFonts w:ascii="Arial" w:eastAsia="Times New Roman" w:hAnsi="Arial" w:cs="Arial"/>
                <w:color w:val="000000"/>
                <w:sz w:val="18"/>
                <w:szCs w:val="18"/>
                <w:lang w:eastAsia="sl-SI"/>
              </w:rPr>
              <w:t>3</w:t>
            </w:r>
          </w:p>
        </w:tc>
        <w:tc>
          <w:tcPr>
            <w:tcW w:w="1449" w:type="pct"/>
            <w:shd w:val="clear" w:color="auto" w:fill="auto"/>
            <w:noWrap/>
            <w:vAlign w:val="center"/>
            <w:hideMark/>
          </w:tcPr>
          <w:p w14:paraId="398D0C2B" w14:textId="77777777" w:rsidR="0061248B" w:rsidRPr="0061248B" w:rsidRDefault="0061248B" w:rsidP="0061248B">
            <w:pPr>
              <w:spacing w:after="0" w:line="240" w:lineRule="auto"/>
              <w:jc w:val="right"/>
              <w:rPr>
                <w:rFonts w:ascii="Arial" w:eastAsia="Times New Roman" w:hAnsi="Arial" w:cs="Arial"/>
                <w:color w:val="000000"/>
                <w:sz w:val="18"/>
                <w:szCs w:val="18"/>
                <w:lang w:eastAsia="sl-SI"/>
              </w:rPr>
            </w:pPr>
            <w:r w:rsidRPr="0061248B">
              <w:rPr>
                <w:rFonts w:ascii="Arial" w:eastAsia="Times New Roman" w:hAnsi="Arial" w:cs="Arial"/>
                <w:color w:val="000000"/>
                <w:sz w:val="18"/>
                <w:szCs w:val="18"/>
                <w:lang w:eastAsia="sl-SI"/>
              </w:rPr>
              <w:t>2.751.325</w:t>
            </w:r>
          </w:p>
        </w:tc>
      </w:tr>
      <w:tr w:rsidR="00153ACA" w:rsidRPr="0061248B" w14:paraId="6612B0D7" w14:textId="77777777" w:rsidTr="00153ACA">
        <w:trPr>
          <w:trHeight w:val="300"/>
        </w:trPr>
        <w:tc>
          <w:tcPr>
            <w:tcW w:w="2547" w:type="pct"/>
            <w:shd w:val="clear" w:color="auto" w:fill="auto"/>
            <w:noWrap/>
            <w:vAlign w:val="center"/>
            <w:hideMark/>
          </w:tcPr>
          <w:p w14:paraId="135051E1" w14:textId="77777777" w:rsidR="0061248B" w:rsidRPr="0061248B" w:rsidRDefault="0061248B" w:rsidP="0061248B">
            <w:pPr>
              <w:spacing w:after="0" w:line="240" w:lineRule="auto"/>
              <w:rPr>
                <w:rFonts w:ascii="Arial" w:eastAsia="Times New Roman" w:hAnsi="Arial" w:cs="Arial"/>
                <w:color w:val="000000"/>
                <w:sz w:val="18"/>
                <w:szCs w:val="18"/>
                <w:lang w:eastAsia="sl-SI"/>
              </w:rPr>
            </w:pPr>
            <w:r w:rsidRPr="0061248B">
              <w:rPr>
                <w:rFonts w:ascii="Arial" w:eastAsia="Times New Roman" w:hAnsi="Arial" w:cs="Arial"/>
                <w:color w:val="000000"/>
                <w:sz w:val="18"/>
                <w:szCs w:val="18"/>
                <w:lang w:eastAsia="sl-SI"/>
              </w:rPr>
              <w:t>Postopek naročila male vrednosti</w:t>
            </w:r>
          </w:p>
        </w:tc>
        <w:tc>
          <w:tcPr>
            <w:tcW w:w="1004" w:type="pct"/>
            <w:shd w:val="clear" w:color="auto" w:fill="auto"/>
            <w:noWrap/>
            <w:vAlign w:val="center"/>
            <w:hideMark/>
          </w:tcPr>
          <w:p w14:paraId="0B61E1F5" w14:textId="77777777" w:rsidR="0061248B" w:rsidRPr="0061248B" w:rsidRDefault="0061248B" w:rsidP="0061248B">
            <w:pPr>
              <w:spacing w:after="0" w:line="240" w:lineRule="auto"/>
              <w:jc w:val="right"/>
              <w:rPr>
                <w:rFonts w:ascii="Arial" w:eastAsia="Times New Roman" w:hAnsi="Arial" w:cs="Arial"/>
                <w:color w:val="000000"/>
                <w:sz w:val="18"/>
                <w:szCs w:val="18"/>
                <w:lang w:eastAsia="sl-SI"/>
              </w:rPr>
            </w:pPr>
            <w:r w:rsidRPr="0061248B">
              <w:rPr>
                <w:rFonts w:ascii="Arial" w:eastAsia="Times New Roman" w:hAnsi="Arial" w:cs="Arial"/>
                <w:color w:val="000000"/>
                <w:sz w:val="18"/>
                <w:szCs w:val="18"/>
                <w:lang w:eastAsia="sl-SI"/>
              </w:rPr>
              <w:t>989</w:t>
            </w:r>
          </w:p>
        </w:tc>
        <w:tc>
          <w:tcPr>
            <w:tcW w:w="1449" w:type="pct"/>
            <w:shd w:val="clear" w:color="auto" w:fill="auto"/>
            <w:noWrap/>
            <w:vAlign w:val="center"/>
            <w:hideMark/>
          </w:tcPr>
          <w:p w14:paraId="452636D7" w14:textId="77777777" w:rsidR="0061248B" w:rsidRPr="0061248B" w:rsidRDefault="0061248B" w:rsidP="0061248B">
            <w:pPr>
              <w:spacing w:after="0" w:line="240" w:lineRule="auto"/>
              <w:jc w:val="right"/>
              <w:rPr>
                <w:rFonts w:ascii="Arial" w:eastAsia="Times New Roman" w:hAnsi="Arial" w:cs="Arial"/>
                <w:color w:val="000000"/>
                <w:sz w:val="18"/>
                <w:szCs w:val="18"/>
                <w:lang w:eastAsia="sl-SI"/>
              </w:rPr>
            </w:pPr>
            <w:r w:rsidRPr="0061248B">
              <w:rPr>
                <w:rFonts w:ascii="Arial" w:eastAsia="Times New Roman" w:hAnsi="Arial" w:cs="Arial"/>
                <w:color w:val="000000"/>
                <w:sz w:val="18"/>
                <w:szCs w:val="18"/>
                <w:lang w:eastAsia="sl-SI"/>
              </w:rPr>
              <w:t>124.333.320</w:t>
            </w:r>
          </w:p>
        </w:tc>
      </w:tr>
      <w:tr w:rsidR="00153ACA" w:rsidRPr="0061248B" w14:paraId="712D49A4" w14:textId="77777777" w:rsidTr="00153ACA">
        <w:trPr>
          <w:trHeight w:val="300"/>
        </w:trPr>
        <w:tc>
          <w:tcPr>
            <w:tcW w:w="2547" w:type="pct"/>
            <w:shd w:val="clear" w:color="auto" w:fill="auto"/>
            <w:noWrap/>
            <w:vAlign w:val="center"/>
            <w:hideMark/>
          </w:tcPr>
          <w:p w14:paraId="76172708" w14:textId="77777777" w:rsidR="0061248B" w:rsidRPr="0061248B" w:rsidRDefault="0061248B" w:rsidP="0061248B">
            <w:pPr>
              <w:spacing w:after="0" w:line="240" w:lineRule="auto"/>
              <w:rPr>
                <w:rFonts w:ascii="Arial" w:eastAsia="Times New Roman" w:hAnsi="Arial" w:cs="Arial"/>
                <w:color w:val="000000"/>
                <w:sz w:val="18"/>
                <w:szCs w:val="18"/>
                <w:lang w:eastAsia="sl-SI"/>
              </w:rPr>
            </w:pPr>
            <w:r w:rsidRPr="0061248B">
              <w:rPr>
                <w:rFonts w:ascii="Arial" w:eastAsia="Times New Roman" w:hAnsi="Arial" w:cs="Arial"/>
                <w:color w:val="000000"/>
                <w:sz w:val="18"/>
                <w:szCs w:val="18"/>
                <w:lang w:eastAsia="sl-SI"/>
              </w:rPr>
              <w:t>Postopek s pogajanji brez predhodne objave</w:t>
            </w:r>
          </w:p>
        </w:tc>
        <w:tc>
          <w:tcPr>
            <w:tcW w:w="1004" w:type="pct"/>
            <w:shd w:val="clear" w:color="auto" w:fill="auto"/>
            <w:noWrap/>
            <w:vAlign w:val="center"/>
            <w:hideMark/>
          </w:tcPr>
          <w:p w14:paraId="71415291" w14:textId="77777777" w:rsidR="0061248B" w:rsidRPr="0061248B" w:rsidRDefault="0061248B" w:rsidP="0061248B">
            <w:pPr>
              <w:spacing w:after="0" w:line="240" w:lineRule="auto"/>
              <w:jc w:val="right"/>
              <w:rPr>
                <w:rFonts w:ascii="Arial" w:eastAsia="Times New Roman" w:hAnsi="Arial" w:cs="Arial"/>
                <w:color w:val="000000"/>
                <w:sz w:val="18"/>
                <w:szCs w:val="18"/>
                <w:lang w:eastAsia="sl-SI"/>
              </w:rPr>
            </w:pPr>
            <w:r w:rsidRPr="0061248B">
              <w:rPr>
                <w:rFonts w:ascii="Arial" w:eastAsia="Times New Roman" w:hAnsi="Arial" w:cs="Arial"/>
                <w:color w:val="000000"/>
                <w:sz w:val="18"/>
                <w:szCs w:val="18"/>
                <w:lang w:eastAsia="sl-SI"/>
              </w:rPr>
              <w:t>101</w:t>
            </w:r>
          </w:p>
        </w:tc>
        <w:tc>
          <w:tcPr>
            <w:tcW w:w="1449" w:type="pct"/>
            <w:shd w:val="clear" w:color="auto" w:fill="auto"/>
            <w:noWrap/>
            <w:vAlign w:val="center"/>
            <w:hideMark/>
          </w:tcPr>
          <w:p w14:paraId="72097DD5" w14:textId="77777777" w:rsidR="0061248B" w:rsidRPr="0061248B" w:rsidRDefault="0061248B" w:rsidP="0061248B">
            <w:pPr>
              <w:spacing w:after="0" w:line="240" w:lineRule="auto"/>
              <w:jc w:val="right"/>
              <w:rPr>
                <w:rFonts w:ascii="Arial" w:eastAsia="Times New Roman" w:hAnsi="Arial" w:cs="Arial"/>
                <w:color w:val="000000"/>
                <w:sz w:val="18"/>
                <w:szCs w:val="18"/>
                <w:lang w:eastAsia="sl-SI"/>
              </w:rPr>
            </w:pPr>
            <w:r w:rsidRPr="0061248B">
              <w:rPr>
                <w:rFonts w:ascii="Arial" w:eastAsia="Times New Roman" w:hAnsi="Arial" w:cs="Arial"/>
                <w:color w:val="000000"/>
                <w:sz w:val="18"/>
                <w:szCs w:val="18"/>
                <w:lang w:eastAsia="sl-SI"/>
              </w:rPr>
              <w:t>30.167.871</w:t>
            </w:r>
          </w:p>
        </w:tc>
      </w:tr>
      <w:tr w:rsidR="00153ACA" w:rsidRPr="0061248B" w14:paraId="4259156F" w14:textId="77777777" w:rsidTr="00153ACA">
        <w:trPr>
          <w:trHeight w:val="300"/>
        </w:trPr>
        <w:tc>
          <w:tcPr>
            <w:tcW w:w="2547" w:type="pct"/>
            <w:shd w:val="clear" w:color="auto" w:fill="auto"/>
            <w:noWrap/>
            <w:vAlign w:val="center"/>
            <w:hideMark/>
          </w:tcPr>
          <w:p w14:paraId="716EFCC1" w14:textId="77777777" w:rsidR="0061248B" w:rsidRPr="0061248B" w:rsidRDefault="0061248B" w:rsidP="0061248B">
            <w:pPr>
              <w:spacing w:after="0" w:line="240" w:lineRule="auto"/>
              <w:rPr>
                <w:rFonts w:ascii="Arial" w:eastAsia="Times New Roman" w:hAnsi="Arial" w:cs="Arial"/>
                <w:color w:val="000000"/>
                <w:sz w:val="18"/>
                <w:szCs w:val="18"/>
                <w:lang w:eastAsia="sl-SI"/>
              </w:rPr>
            </w:pPr>
            <w:r w:rsidRPr="0061248B">
              <w:rPr>
                <w:rFonts w:ascii="Arial" w:eastAsia="Times New Roman" w:hAnsi="Arial" w:cs="Arial"/>
                <w:color w:val="000000"/>
                <w:sz w:val="18"/>
                <w:szCs w:val="18"/>
                <w:lang w:eastAsia="sl-SI"/>
              </w:rPr>
              <w:t>Postopek s pogajanji po predhodni objavi</w:t>
            </w:r>
          </w:p>
        </w:tc>
        <w:tc>
          <w:tcPr>
            <w:tcW w:w="1004" w:type="pct"/>
            <w:shd w:val="clear" w:color="auto" w:fill="auto"/>
            <w:noWrap/>
            <w:vAlign w:val="center"/>
            <w:hideMark/>
          </w:tcPr>
          <w:p w14:paraId="49E372C5" w14:textId="77777777" w:rsidR="0061248B" w:rsidRPr="0061248B" w:rsidRDefault="0061248B" w:rsidP="0061248B">
            <w:pPr>
              <w:spacing w:after="0" w:line="240" w:lineRule="auto"/>
              <w:jc w:val="right"/>
              <w:rPr>
                <w:rFonts w:ascii="Arial" w:eastAsia="Times New Roman" w:hAnsi="Arial" w:cs="Arial"/>
                <w:color w:val="000000"/>
                <w:sz w:val="18"/>
                <w:szCs w:val="18"/>
                <w:lang w:eastAsia="sl-SI"/>
              </w:rPr>
            </w:pPr>
            <w:r w:rsidRPr="0061248B">
              <w:rPr>
                <w:rFonts w:ascii="Arial" w:eastAsia="Times New Roman" w:hAnsi="Arial" w:cs="Arial"/>
                <w:color w:val="000000"/>
                <w:sz w:val="18"/>
                <w:szCs w:val="18"/>
                <w:lang w:eastAsia="sl-SI"/>
              </w:rPr>
              <w:t>52</w:t>
            </w:r>
          </w:p>
        </w:tc>
        <w:tc>
          <w:tcPr>
            <w:tcW w:w="1449" w:type="pct"/>
            <w:shd w:val="clear" w:color="auto" w:fill="auto"/>
            <w:noWrap/>
            <w:vAlign w:val="center"/>
            <w:hideMark/>
          </w:tcPr>
          <w:p w14:paraId="35B6D6BE" w14:textId="77777777" w:rsidR="0061248B" w:rsidRPr="0061248B" w:rsidRDefault="0061248B" w:rsidP="0061248B">
            <w:pPr>
              <w:spacing w:after="0" w:line="240" w:lineRule="auto"/>
              <w:jc w:val="right"/>
              <w:rPr>
                <w:rFonts w:ascii="Arial" w:eastAsia="Times New Roman" w:hAnsi="Arial" w:cs="Arial"/>
                <w:color w:val="000000"/>
                <w:sz w:val="18"/>
                <w:szCs w:val="18"/>
                <w:lang w:eastAsia="sl-SI"/>
              </w:rPr>
            </w:pPr>
            <w:r w:rsidRPr="0061248B">
              <w:rPr>
                <w:rFonts w:ascii="Arial" w:eastAsia="Times New Roman" w:hAnsi="Arial" w:cs="Arial"/>
                <w:color w:val="000000"/>
                <w:sz w:val="18"/>
                <w:szCs w:val="18"/>
                <w:lang w:eastAsia="sl-SI"/>
              </w:rPr>
              <w:t>58.202.063</w:t>
            </w:r>
          </w:p>
        </w:tc>
      </w:tr>
      <w:tr w:rsidR="00153ACA" w:rsidRPr="0061248B" w14:paraId="774D0F5F" w14:textId="77777777" w:rsidTr="00D94FAF">
        <w:trPr>
          <w:trHeight w:val="300"/>
        </w:trPr>
        <w:tc>
          <w:tcPr>
            <w:tcW w:w="2547" w:type="pct"/>
            <w:shd w:val="clear" w:color="auto" w:fill="F2F2F2" w:themeFill="background1" w:themeFillShade="F2"/>
            <w:noWrap/>
            <w:vAlign w:val="center"/>
            <w:hideMark/>
          </w:tcPr>
          <w:p w14:paraId="6E981811" w14:textId="77777777" w:rsidR="0061248B" w:rsidRPr="00D94FAF" w:rsidRDefault="0061248B" w:rsidP="0061248B">
            <w:pPr>
              <w:spacing w:after="0" w:line="240" w:lineRule="auto"/>
              <w:rPr>
                <w:rFonts w:ascii="Arial" w:eastAsia="Times New Roman" w:hAnsi="Arial" w:cs="Arial"/>
                <w:b/>
                <w:bCs/>
                <w:color w:val="000000"/>
                <w:sz w:val="18"/>
                <w:szCs w:val="18"/>
                <w:lang w:eastAsia="sl-SI"/>
              </w:rPr>
            </w:pPr>
            <w:r w:rsidRPr="00D94FAF">
              <w:rPr>
                <w:rFonts w:ascii="Arial" w:eastAsia="Times New Roman" w:hAnsi="Arial" w:cs="Arial"/>
                <w:b/>
                <w:bCs/>
                <w:color w:val="000000"/>
                <w:sz w:val="18"/>
                <w:szCs w:val="18"/>
                <w:lang w:eastAsia="sl-SI"/>
              </w:rPr>
              <w:t>Skupaj</w:t>
            </w:r>
          </w:p>
        </w:tc>
        <w:tc>
          <w:tcPr>
            <w:tcW w:w="1004" w:type="pct"/>
            <w:shd w:val="clear" w:color="auto" w:fill="F2F2F2" w:themeFill="background1" w:themeFillShade="F2"/>
            <w:noWrap/>
            <w:vAlign w:val="center"/>
            <w:hideMark/>
          </w:tcPr>
          <w:p w14:paraId="5BE02EB9" w14:textId="77777777" w:rsidR="0061248B" w:rsidRPr="00D94FAF" w:rsidRDefault="0061248B" w:rsidP="0061248B">
            <w:pPr>
              <w:spacing w:after="0" w:line="240" w:lineRule="auto"/>
              <w:jc w:val="right"/>
              <w:rPr>
                <w:rFonts w:ascii="Arial" w:eastAsia="Times New Roman" w:hAnsi="Arial" w:cs="Arial"/>
                <w:b/>
                <w:bCs/>
                <w:color w:val="000000"/>
                <w:sz w:val="18"/>
                <w:szCs w:val="18"/>
                <w:lang w:eastAsia="sl-SI"/>
              </w:rPr>
            </w:pPr>
            <w:r w:rsidRPr="00D94FAF">
              <w:rPr>
                <w:rFonts w:ascii="Arial" w:eastAsia="Times New Roman" w:hAnsi="Arial" w:cs="Arial"/>
                <w:b/>
                <w:bCs/>
                <w:color w:val="000000"/>
                <w:sz w:val="18"/>
                <w:szCs w:val="18"/>
                <w:lang w:eastAsia="sl-SI"/>
              </w:rPr>
              <w:t>2.151</w:t>
            </w:r>
          </w:p>
        </w:tc>
        <w:tc>
          <w:tcPr>
            <w:tcW w:w="1449" w:type="pct"/>
            <w:shd w:val="clear" w:color="auto" w:fill="F2F2F2" w:themeFill="background1" w:themeFillShade="F2"/>
            <w:noWrap/>
            <w:vAlign w:val="center"/>
            <w:hideMark/>
          </w:tcPr>
          <w:p w14:paraId="426D546F" w14:textId="77777777" w:rsidR="0061248B" w:rsidRPr="00D94FAF" w:rsidRDefault="0061248B" w:rsidP="0061248B">
            <w:pPr>
              <w:spacing w:after="0" w:line="240" w:lineRule="auto"/>
              <w:jc w:val="right"/>
              <w:rPr>
                <w:rFonts w:ascii="Arial" w:eastAsia="Times New Roman" w:hAnsi="Arial" w:cs="Arial"/>
                <w:b/>
                <w:bCs/>
                <w:color w:val="000000"/>
                <w:sz w:val="18"/>
                <w:szCs w:val="18"/>
                <w:lang w:eastAsia="sl-SI"/>
              </w:rPr>
            </w:pPr>
            <w:r w:rsidRPr="00D94FAF">
              <w:rPr>
                <w:rFonts w:ascii="Arial" w:eastAsia="Times New Roman" w:hAnsi="Arial" w:cs="Arial"/>
                <w:b/>
                <w:bCs/>
                <w:color w:val="000000"/>
                <w:sz w:val="18"/>
                <w:szCs w:val="18"/>
                <w:lang w:eastAsia="sl-SI"/>
              </w:rPr>
              <w:t>589.961.301</w:t>
            </w:r>
          </w:p>
        </w:tc>
      </w:tr>
    </w:tbl>
    <w:p w14:paraId="58662D3A" w14:textId="77777777" w:rsidR="002808FB" w:rsidRPr="0061248B" w:rsidRDefault="002808FB" w:rsidP="004A613D">
      <w:pPr>
        <w:spacing w:after="0" w:line="240" w:lineRule="auto"/>
        <w:jc w:val="center"/>
        <w:rPr>
          <w:rFonts w:ascii="Arial" w:hAnsi="Arial" w:cs="Arial"/>
          <w:sz w:val="18"/>
        </w:rPr>
      </w:pPr>
    </w:p>
    <w:p w14:paraId="6BF2A174" w14:textId="0BE7CF4D" w:rsidR="00F83DD4" w:rsidRPr="0061248B" w:rsidRDefault="00F83DD4" w:rsidP="004A613D">
      <w:pPr>
        <w:spacing w:after="0" w:line="240" w:lineRule="auto"/>
        <w:jc w:val="center"/>
        <w:rPr>
          <w:rFonts w:ascii="Arial" w:hAnsi="Arial" w:cs="Arial"/>
          <w:sz w:val="18"/>
        </w:rPr>
      </w:pPr>
      <w:r w:rsidRPr="0061248B">
        <w:rPr>
          <w:rFonts w:ascii="Arial" w:hAnsi="Arial" w:cs="Arial"/>
          <w:sz w:val="18"/>
        </w:rPr>
        <w:t>Vir: Statistični podatki o javni</w:t>
      </w:r>
      <w:r w:rsidR="00D53E93" w:rsidRPr="0061248B">
        <w:rPr>
          <w:rFonts w:ascii="Arial" w:hAnsi="Arial" w:cs="Arial"/>
          <w:sz w:val="18"/>
        </w:rPr>
        <w:t>h naročilih, oddanih v letu 20</w:t>
      </w:r>
      <w:r w:rsidR="002808FB" w:rsidRPr="0061248B">
        <w:rPr>
          <w:rFonts w:ascii="Arial" w:hAnsi="Arial" w:cs="Arial"/>
          <w:sz w:val="18"/>
        </w:rPr>
        <w:t>2</w:t>
      </w:r>
      <w:r w:rsidR="0061248B" w:rsidRPr="0061248B">
        <w:rPr>
          <w:rFonts w:ascii="Arial" w:hAnsi="Arial" w:cs="Arial"/>
          <w:sz w:val="18"/>
        </w:rPr>
        <w:t>2</w:t>
      </w:r>
      <w:r w:rsidR="007B25B7" w:rsidRPr="0061248B">
        <w:rPr>
          <w:rFonts w:ascii="Arial" w:hAnsi="Arial" w:cs="Arial"/>
          <w:sz w:val="18"/>
        </w:rPr>
        <w:t>.</w:t>
      </w:r>
    </w:p>
    <w:p w14:paraId="51A9F405" w14:textId="527A7C05" w:rsidR="00121807" w:rsidRPr="00BF7302" w:rsidRDefault="00121807">
      <w:pPr>
        <w:rPr>
          <w:rFonts w:ascii="Arial" w:eastAsiaTheme="majorEastAsia" w:hAnsi="Arial" w:cs="Arial"/>
          <w:color w:val="2F5496" w:themeColor="accent1" w:themeShade="BF"/>
          <w:highlight w:val="yellow"/>
        </w:rPr>
      </w:pPr>
    </w:p>
    <w:p w14:paraId="60A6DA8B" w14:textId="5A0D7763" w:rsidR="006341A4" w:rsidRPr="00AF6C62" w:rsidRDefault="006341A4" w:rsidP="006341A4">
      <w:pPr>
        <w:pStyle w:val="Naslov2"/>
        <w:rPr>
          <w:rFonts w:ascii="Arial" w:hAnsi="Arial" w:cs="Arial"/>
          <w:szCs w:val="20"/>
        </w:rPr>
      </w:pPr>
      <w:bookmarkStart w:id="51" w:name="_Toc141864081"/>
      <w:r w:rsidRPr="00AF6C62">
        <w:rPr>
          <w:rFonts w:ascii="Arial" w:hAnsi="Arial" w:cs="Arial"/>
          <w:sz w:val="22"/>
          <w:szCs w:val="22"/>
        </w:rPr>
        <w:t>2.1</w:t>
      </w:r>
      <w:r w:rsidR="00FA2740" w:rsidRPr="00AF6C62">
        <w:rPr>
          <w:rFonts w:ascii="Arial" w:hAnsi="Arial" w:cs="Arial"/>
          <w:sz w:val="22"/>
          <w:szCs w:val="22"/>
        </w:rPr>
        <w:t>0</w:t>
      </w:r>
      <w:r w:rsidRPr="00AF6C62">
        <w:rPr>
          <w:rFonts w:ascii="Arial" w:hAnsi="Arial" w:cs="Arial"/>
          <w:sz w:val="22"/>
          <w:szCs w:val="22"/>
        </w:rPr>
        <w:t xml:space="preserve"> Evidenčna naročila</w:t>
      </w:r>
      <w:bookmarkEnd w:id="51"/>
    </w:p>
    <w:p w14:paraId="7C1AF802" w14:textId="41E223D5" w:rsidR="006341A4" w:rsidRPr="00BF7302" w:rsidRDefault="006341A4" w:rsidP="00854405">
      <w:pPr>
        <w:pStyle w:val="ZADEVA"/>
        <w:jc w:val="both"/>
        <w:rPr>
          <w:rFonts w:cs="Arial"/>
          <w:b w:val="0"/>
          <w:szCs w:val="20"/>
          <w:highlight w:val="yellow"/>
          <w:lang w:val="sl-SI"/>
        </w:rPr>
      </w:pPr>
    </w:p>
    <w:p w14:paraId="0D0C61D7" w14:textId="77777777" w:rsidR="00AF6C62" w:rsidRPr="00BE7BFC" w:rsidRDefault="00AF6C62" w:rsidP="00AF6C62">
      <w:pPr>
        <w:spacing w:line="360" w:lineRule="auto"/>
        <w:jc w:val="both"/>
        <w:rPr>
          <w:rFonts w:ascii="Arial" w:eastAsia="Times New Roman" w:hAnsi="Arial" w:cs="Arial"/>
          <w:color w:val="000000"/>
          <w:sz w:val="20"/>
          <w:szCs w:val="20"/>
          <w:lang w:eastAsia="sl-SI"/>
        </w:rPr>
      </w:pPr>
      <w:r w:rsidRPr="00BE7BFC">
        <w:rPr>
          <w:rFonts w:ascii="Arial" w:hAnsi="Arial" w:cs="Arial"/>
          <w:bCs/>
          <w:sz w:val="20"/>
          <w:szCs w:val="20"/>
        </w:rPr>
        <w:t>Podatke o evidenčnih naročilih v letu 2022 je sporočilo 2083 naročnikov. Skupno število evidenčnih naročil v letu 2022 je bilo 1.082.656 v vrednosti 1.436.796.005</w:t>
      </w:r>
      <w:r w:rsidRPr="00BE7BFC">
        <w:rPr>
          <w:rFonts w:ascii="Arial" w:eastAsia="Times New Roman" w:hAnsi="Arial" w:cs="Arial"/>
          <w:color w:val="000000"/>
          <w:sz w:val="20"/>
          <w:szCs w:val="20"/>
          <w:lang w:eastAsia="sl-SI"/>
        </w:rPr>
        <w:t xml:space="preserve"> </w:t>
      </w:r>
      <w:r w:rsidRPr="00BE7BFC">
        <w:rPr>
          <w:rFonts w:ascii="Arial" w:hAnsi="Arial" w:cs="Arial"/>
          <w:bCs/>
          <w:sz w:val="20"/>
          <w:szCs w:val="20"/>
        </w:rPr>
        <w:t xml:space="preserve">evrov. </w:t>
      </w:r>
    </w:p>
    <w:p w14:paraId="2F122D4E" w14:textId="2C1BE4F7" w:rsidR="00AF6C62" w:rsidRPr="00AF6C62" w:rsidRDefault="00AF6C62" w:rsidP="00AF6C62">
      <w:pPr>
        <w:tabs>
          <w:tab w:val="left" w:pos="567"/>
          <w:tab w:val="left" w:pos="993"/>
        </w:tabs>
        <w:spacing w:line="360" w:lineRule="auto"/>
        <w:jc w:val="both"/>
        <w:rPr>
          <w:rFonts w:ascii="Arial" w:hAnsi="Arial" w:cs="Arial"/>
          <w:bCs/>
          <w:sz w:val="20"/>
          <w:szCs w:val="20"/>
        </w:rPr>
      </w:pPr>
      <w:r w:rsidRPr="00550EDE">
        <w:rPr>
          <w:rFonts w:ascii="Arial" w:hAnsi="Arial" w:cs="Arial"/>
          <w:bCs/>
          <w:sz w:val="20"/>
          <w:szCs w:val="20"/>
        </w:rPr>
        <w:t xml:space="preserve">V primerjavi z letom 2021 se je povečalo število evidenčnih naročil za 7,77 </w:t>
      </w:r>
      <w:r w:rsidR="00AC0027">
        <w:rPr>
          <w:rFonts w:ascii="Arial" w:hAnsi="Arial" w:cs="Arial"/>
          <w:bCs/>
          <w:sz w:val="20"/>
          <w:szCs w:val="20"/>
        </w:rPr>
        <w:t>odstotka</w:t>
      </w:r>
      <w:r w:rsidRPr="00550EDE">
        <w:rPr>
          <w:rFonts w:ascii="Arial" w:hAnsi="Arial" w:cs="Arial"/>
          <w:bCs/>
          <w:sz w:val="20"/>
          <w:szCs w:val="20"/>
        </w:rPr>
        <w:t xml:space="preserve">, skupna vrednost evidenčnih </w:t>
      </w:r>
      <w:r w:rsidRPr="00AF6C62">
        <w:rPr>
          <w:rFonts w:ascii="Arial" w:hAnsi="Arial" w:cs="Arial"/>
          <w:bCs/>
          <w:sz w:val="20"/>
          <w:szCs w:val="20"/>
        </w:rPr>
        <w:t xml:space="preserve">naročil se je povečala za 15,15 </w:t>
      </w:r>
      <w:r w:rsidR="00AC0027">
        <w:rPr>
          <w:rFonts w:ascii="Arial" w:hAnsi="Arial" w:cs="Arial"/>
          <w:bCs/>
          <w:sz w:val="20"/>
          <w:szCs w:val="20"/>
        </w:rPr>
        <w:t>odstotka</w:t>
      </w:r>
      <w:r w:rsidRPr="00AF6C62">
        <w:rPr>
          <w:rFonts w:ascii="Arial" w:hAnsi="Arial" w:cs="Arial"/>
          <w:bCs/>
          <w:sz w:val="20"/>
          <w:szCs w:val="20"/>
        </w:rPr>
        <w:t xml:space="preserve">, povprečna vrednost evidenčnega naročila pa za 6,84 </w:t>
      </w:r>
      <w:r w:rsidR="00AC0027">
        <w:rPr>
          <w:rFonts w:ascii="Arial" w:hAnsi="Arial" w:cs="Arial"/>
          <w:bCs/>
          <w:sz w:val="20"/>
          <w:szCs w:val="20"/>
        </w:rPr>
        <w:t>odstotka</w:t>
      </w:r>
      <w:r w:rsidRPr="00AF6C62">
        <w:rPr>
          <w:rFonts w:ascii="Arial" w:hAnsi="Arial" w:cs="Arial"/>
          <w:bCs/>
          <w:sz w:val="20"/>
          <w:szCs w:val="20"/>
        </w:rPr>
        <w:t>.</w:t>
      </w:r>
    </w:p>
    <w:p w14:paraId="771D71C9" w14:textId="396CB368" w:rsidR="0093150A" w:rsidRPr="00AF6C62" w:rsidRDefault="0093150A" w:rsidP="0093150A">
      <w:pPr>
        <w:rPr>
          <w:rFonts w:ascii="Arial" w:hAnsi="Arial" w:cs="Arial"/>
          <w:sz w:val="20"/>
        </w:rPr>
      </w:pPr>
      <w:r w:rsidRPr="00AF6C62">
        <w:rPr>
          <w:rFonts w:ascii="Arial" w:hAnsi="Arial" w:cs="Arial"/>
          <w:sz w:val="20"/>
        </w:rPr>
        <w:t>Pre</w:t>
      </w:r>
      <w:r w:rsidR="004B0127" w:rsidRPr="00AF6C62">
        <w:rPr>
          <w:rFonts w:ascii="Arial" w:hAnsi="Arial" w:cs="Arial"/>
          <w:sz w:val="20"/>
        </w:rPr>
        <w:t xml:space="preserve">glednica </w:t>
      </w:r>
      <w:r w:rsidR="00EA747F">
        <w:rPr>
          <w:rFonts w:ascii="Arial" w:hAnsi="Arial" w:cs="Arial"/>
          <w:sz w:val="20"/>
        </w:rPr>
        <w:t>55</w:t>
      </w:r>
      <w:r w:rsidRPr="00AF6C62">
        <w:rPr>
          <w:rFonts w:ascii="Arial" w:hAnsi="Arial" w:cs="Arial"/>
          <w:sz w:val="20"/>
        </w:rPr>
        <w:t>: Vrednost, število in povprečna vrednost evidenčnih naročil v letih</w:t>
      </w:r>
      <w:r w:rsidR="00F32B68" w:rsidRPr="00AF6C62">
        <w:rPr>
          <w:rFonts w:ascii="Arial" w:hAnsi="Arial" w:cs="Arial"/>
          <w:sz w:val="20"/>
        </w:rPr>
        <w:t xml:space="preserve"> </w:t>
      </w:r>
      <w:r w:rsidR="00212872" w:rsidRPr="00AF6C62">
        <w:rPr>
          <w:rFonts w:ascii="Arial" w:hAnsi="Arial" w:cs="Arial"/>
          <w:color w:val="000000" w:themeColor="text1"/>
          <w:sz w:val="20"/>
        </w:rPr>
        <w:t>201</w:t>
      </w:r>
      <w:r w:rsidR="00AF6C62" w:rsidRPr="00AF6C62">
        <w:rPr>
          <w:rFonts w:ascii="Arial" w:hAnsi="Arial" w:cs="Arial"/>
          <w:color w:val="000000" w:themeColor="text1"/>
          <w:sz w:val="20"/>
        </w:rPr>
        <w:t>7</w:t>
      </w:r>
      <w:r w:rsidR="00212872" w:rsidRPr="00AF6C62">
        <w:rPr>
          <w:rFonts w:ascii="Arial" w:hAnsi="Arial" w:cs="Arial"/>
          <w:color w:val="000000" w:themeColor="text1"/>
          <w:sz w:val="20"/>
        </w:rPr>
        <w:t>–202</w:t>
      </w:r>
      <w:r w:rsidR="0065642C">
        <w:rPr>
          <w:rFonts w:ascii="Arial" w:hAnsi="Arial" w:cs="Arial"/>
          <w:color w:val="000000" w:themeColor="text1"/>
          <w:sz w:val="20"/>
        </w:rPr>
        <w:t>2</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10"/>
        <w:gridCol w:w="1310"/>
        <w:gridCol w:w="1311"/>
        <w:gridCol w:w="1310"/>
        <w:gridCol w:w="1311"/>
        <w:gridCol w:w="1311"/>
        <w:gridCol w:w="1311"/>
      </w:tblGrid>
      <w:tr w:rsidR="00AF6C62" w:rsidRPr="00AF6C62" w14:paraId="1989BC00" w14:textId="5E46343D" w:rsidTr="009078DD">
        <w:trPr>
          <w:trHeight w:val="255"/>
          <w:jc w:val="center"/>
        </w:trPr>
        <w:tc>
          <w:tcPr>
            <w:tcW w:w="1310" w:type="dxa"/>
            <w:shd w:val="clear" w:color="auto" w:fill="F2F2F2" w:themeFill="background1" w:themeFillShade="F2"/>
            <w:noWrap/>
            <w:vAlign w:val="center"/>
            <w:hideMark/>
          </w:tcPr>
          <w:p w14:paraId="4D249447" w14:textId="77777777" w:rsidR="00AF6C62" w:rsidRPr="00AF6C62" w:rsidRDefault="00AF6C62" w:rsidP="00AF6C62">
            <w:pPr>
              <w:spacing w:after="0" w:line="240" w:lineRule="auto"/>
              <w:jc w:val="both"/>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 </w:t>
            </w:r>
          </w:p>
        </w:tc>
        <w:tc>
          <w:tcPr>
            <w:tcW w:w="1310" w:type="dxa"/>
            <w:shd w:val="clear" w:color="auto" w:fill="F2F2F2" w:themeFill="background1" w:themeFillShade="F2"/>
            <w:noWrap/>
            <w:vAlign w:val="center"/>
            <w:hideMark/>
          </w:tcPr>
          <w:p w14:paraId="014C9A0E" w14:textId="77777777" w:rsidR="00AF6C62" w:rsidRPr="00AF6C62" w:rsidRDefault="00AF6C62" w:rsidP="00AF6C62">
            <w:pPr>
              <w:spacing w:after="0" w:line="240" w:lineRule="auto"/>
              <w:jc w:val="center"/>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Leto 2017</w:t>
            </w:r>
          </w:p>
        </w:tc>
        <w:tc>
          <w:tcPr>
            <w:tcW w:w="1311" w:type="dxa"/>
            <w:shd w:val="clear" w:color="auto" w:fill="F2F2F2" w:themeFill="background1" w:themeFillShade="F2"/>
            <w:vAlign w:val="center"/>
            <w:hideMark/>
          </w:tcPr>
          <w:p w14:paraId="72BEB112" w14:textId="77777777" w:rsidR="00AF6C62" w:rsidRPr="00AF6C62" w:rsidRDefault="00AF6C62" w:rsidP="00AF6C62">
            <w:pPr>
              <w:spacing w:after="0" w:line="240" w:lineRule="auto"/>
              <w:jc w:val="center"/>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Leto 2018</w:t>
            </w:r>
          </w:p>
        </w:tc>
        <w:tc>
          <w:tcPr>
            <w:tcW w:w="1310" w:type="dxa"/>
            <w:shd w:val="clear" w:color="auto" w:fill="F2F2F2" w:themeFill="background1" w:themeFillShade="F2"/>
            <w:vAlign w:val="center"/>
            <w:hideMark/>
          </w:tcPr>
          <w:p w14:paraId="189C0344" w14:textId="77777777" w:rsidR="00AF6C62" w:rsidRPr="00AF6C62" w:rsidRDefault="00AF6C62" w:rsidP="00AF6C62">
            <w:pPr>
              <w:spacing w:after="0" w:line="240" w:lineRule="auto"/>
              <w:jc w:val="center"/>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Leto 2019</w:t>
            </w:r>
          </w:p>
        </w:tc>
        <w:tc>
          <w:tcPr>
            <w:tcW w:w="1311" w:type="dxa"/>
            <w:shd w:val="clear" w:color="auto" w:fill="F2F2F2" w:themeFill="background1" w:themeFillShade="F2"/>
            <w:noWrap/>
            <w:vAlign w:val="center"/>
            <w:hideMark/>
          </w:tcPr>
          <w:p w14:paraId="34361328" w14:textId="77777777" w:rsidR="00AF6C62" w:rsidRPr="00AF6C62" w:rsidRDefault="00AF6C62" w:rsidP="00AF6C62">
            <w:pPr>
              <w:spacing w:after="0" w:line="240" w:lineRule="auto"/>
              <w:jc w:val="center"/>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Leto 2020</w:t>
            </w:r>
          </w:p>
        </w:tc>
        <w:tc>
          <w:tcPr>
            <w:tcW w:w="1311" w:type="dxa"/>
            <w:shd w:val="clear" w:color="auto" w:fill="F2F2F2" w:themeFill="background1" w:themeFillShade="F2"/>
            <w:vAlign w:val="center"/>
          </w:tcPr>
          <w:p w14:paraId="303DD115" w14:textId="3BD990DB" w:rsidR="00AF6C62" w:rsidRPr="00AF6C62" w:rsidRDefault="00AF6C62" w:rsidP="009078DD">
            <w:pPr>
              <w:spacing w:after="0" w:line="240" w:lineRule="auto"/>
              <w:jc w:val="center"/>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Leto 2021</w:t>
            </w:r>
          </w:p>
        </w:tc>
        <w:tc>
          <w:tcPr>
            <w:tcW w:w="1311" w:type="dxa"/>
            <w:shd w:val="clear" w:color="auto" w:fill="F2F2F2" w:themeFill="background1" w:themeFillShade="F2"/>
            <w:vAlign w:val="center"/>
          </w:tcPr>
          <w:p w14:paraId="464EFE9F" w14:textId="3F2FD70F" w:rsidR="00AF6C62" w:rsidRPr="00AF6C62" w:rsidRDefault="00AF6C62" w:rsidP="009078DD">
            <w:pPr>
              <w:spacing w:after="0" w:line="240" w:lineRule="auto"/>
              <w:jc w:val="center"/>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Leto 2022</w:t>
            </w:r>
          </w:p>
        </w:tc>
      </w:tr>
      <w:tr w:rsidR="00AF6C62" w:rsidRPr="00AF6C62" w14:paraId="77D6E244" w14:textId="5F8AFA45" w:rsidTr="002E2ADA">
        <w:trPr>
          <w:trHeight w:val="255"/>
          <w:jc w:val="center"/>
        </w:trPr>
        <w:tc>
          <w:tcPr>
            <w:tcW w:w="1310" w:type="dxa"/>
            <w:shd w:val="clear" w:color="auto" w:fill="auto"/>
            <w:noWrap/>
            <w:vAlign w:val="center"/>
            <w:hideMark/>
          </w:tcPr>
          <w:p w14:paraId="53FE1701" w14:textId="77777777" w:rsidR="00AF6C62" w:rsidRPr="00AF6C62" w:rsidRDefault="00AF6C62" w:rsidP="00AF6C62">
            <w:pPr>
              <w:spacing w:after="0" w:line="240" w:lineRule="auto"/>
              <w:jc w:val="both"/>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Število naročil</w:t>
            </w:r>
          </w:p>
        </w:tc>
        <w:tc>
          <w:tcPr>
            <w:tcW w:w="1310" w:type="dxa"/>
            <w:shd w:val="clear" w:color="auto" w:fill="auto"/>
            <w:noWrap/>
            <w:vAlign w:val="center"/>
            <w:hideMark/>
          </w:tcPr>
          <w:p w14:paraId="3EE2E8A7" w14:textId="77777777" w:rsidR="00AF6C62" w:rsidRPr="00AF6C62" w:rsidRDefault="00AF6C62" w:rsidP="00AF6C62">
            <w:pPr>
              <w:spacing w:after="0" w:line="240" w:lineRule="auto"/>
              <w:jc w:val="right"/>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1.042.452</w:t>
            </w:r>
          </w:p>
        </w:tc>
        <w:tc>
          <w:tcPr>
            <w:tcW w:w="1311" w:type="dxa"/>
            <w:shd w:val="clear" w:color="auto" w:fill="auto"/>
            <w:vAlign w:val="center"/>
            <w:hideMark/>
          </w:tcPr>
          <w:p w14:paraId="2204212B" w14:textId="77777777" w:rsidR="00AF6C62" w:rsidRPr="00AF6C62" w:rsidRDefault="00AF6C62" w:rsidP="00AF6C62">
            <w:pPr>
              <w:spacing w:after="0" w:line="240" w:lineRule="auto"/>
              <w:jc w:val="right"/>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1.052.365</w:t>
            </w:r>
          </w:p>
        </w:tc>
        <w:tc>
          <w:tcPr>
            <w:tcW w:w="1310" w:type="dxa"/>
            <w:shd w:val="clear" w:color="auto" w:fill="auto"/>
            <w:vAlign w:val="center"/>
            <w:hideMark/>
          </w:tcPr>
          <w:p w14:paraId="13792193" w14:textId="77777777" w:rsidR="00AF6C62" w:rsidRPr="00AF6C62" w:rsidRDefault="00AF6C62" w:rsidP="00AF6C62">
            <w:pPr>
              <w:spacing w:after="0" w:line="240" w:lineRule="auto"/>
              <w:jc w:val="right"/>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1.062.405</w:t>
            </w:r>
          </w:p>
        </w:tc>
        <w:tc>
          <w:tcPr>
            <w:tcW w:w="1311" w:type="dxa"/>
            <w:shd w:val="clear" w:color="auto" w:fill="auto"/>
            <w:noWrap/>
            <w:vAlign w:val="center"/>
            <w:hideMark/>
          </w:tcPr>
          <w:p w14:paraId="2909CBA9" w14:textId="77777777" w:rsidR="00AF6C62" w:rsidRPr="00AF6C62" w:rsidRDefault="00AF6C62" w:rsidP="00AF6C62">
            <w:pPr>
              <w:spacing w:after="0" w:line="240" w:lineRule="auto"/>
              <w:jc w:val="right"/>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897.133</w:t>
            </w:r>
          </w:p>
        </w:tc>
        <w:tc>
          <w:tcPr>
            <w:tcW w:w="1311" w:type="dxa"/>
            <w:vAlign w:val="center"/>
          </w:tcPr>
          <w:p w14:paraId="42F4C563" w14:textId="6A8784AC" w:rsidR="00AF6C62" w:rsidRPr="00AF6C62" w:rsidRDefault="00AF6C62" w:rsidP="00AF6C62">
            <w:pPr>
              <w:spacing w:after="0" w:line="240" w:lineRule="auto"/>
              <w:jc w:val="right"/>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1.004.600</w:t>
            </w:r>
          </w:p>
        </w:tc>
        <w:tc>
          <w:tcPr>
            <w:tcW w:w="1311" w:type="dxa"/>
            <w:vAlign w:val="center"/>
          </w:tcPr>
          <w:p w14:paraId="71B0011B" w14:textId="295A3437" w:rsidR="00AF6C62" w:rsidRPr="00AF6C62" w:rsidRDefault="00AF6C62" w:rsidP="00AF6C62">
            <w:pPr>
              <w:spacing w:after="0" w:line="240" w:lineRule="auto"/>
              <w:jc w:val="right"/>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1.082.656</w:t>
            </w:r>
          </w:p>
        </w:tc>
      </w:tr>
      <w:tr w:rsidR="00AF6C62" w:rsidRPr="00AF6C62" w14:paraId="5B355333" w14:textId="08275310" w:rsidTr="002E2ADA">
        <w:trPr>
          <w:trHeight w:val="255"/>
          <w:jc w:val="center"/>
        </w:trPr>
        <w:tc>
          <w:tcPr>
            <w:tcW w:w="1310" w:type="dxa"/>
            <w:shd w:val="clear" w:color="auto" w:fill="auto"/>
            <w:noWrap/>
            <w:vAlign w:val="center"/>
            <w:hideMark/>
          </w:tcPr>
          <w:p w14:paraId="09B33CAC" w14:textId="77777777" w:rsidR="00AF6C62" w:rsidRPr="00AF6C62" w:rsidRDefault="00AF6C62" w:rsidP="00AF6C62">
            <w:pPr>
              <w:spacing w:after="0" w:line="240" w:lineRule="auto"/>
              <w:jc w:val="both"/>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Pogodbena vrednost</w:t>
            </w:r>
          </w:p>
        </w:tc>
        <w:tc>
          <w:tcPr>
            <w:tcW w:w="1310" w:type="dxa"/>
            <w:shd w:val="clear" w:color="auto" w:fill="auto"/>
            <w:noWrap/>
            <w:vAlign w:val="center"/>
            <w:hideMark/>
          </w:tcPr>
          <w:p w14:paraId="320DD57F" w14:textId="77777777" w:rsidR="00AF6C62" w:rsidRPr="00AF6C62" w:rsidRDefault="00AF6C62" w:rsidP="00AF6C62">
            <w:pPr>
              <w:spacing w:after="0" w:line="240" w:lineRule="auto"/>
              <w:jc w:val="right"/>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972.510.343</w:t>
            </w:r>
          </w:p>
        </w:tc>
        <w:tc>
          <w:tcPr>
            <w:tcW w:w="1311" w:type="dxa"/>
            <w:shd w:val="clear" w:color="auto" w:fill="auto"/>
            <w:vAlign w:val="center"/>
            <w:hideMark/>
          </w:tcPr>
          <w:p w14:paraId="57C44632" w14:textId="77777777" w:rsidR="00AF6C62" w:rsidRPr="00AF6C62" w:rsidRDefault="00AF6C62" w:rsidP="00AF6C62">
            <w:pPr>
              <w:spacing w:after="0" w:line="240" w:lineRule="auto"/>
              <w:jc w:val="right"/>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1.007.513.578</w:t>
            </w:r>
          </w:p>
        </w:tc>
        <w:tc>
          <w:tcPr>
            <w:tcW w:w="1310" w:type="dxa"/>
            <w:shd w:val="clear" w:color="auto" w:fill="auto"/>
            <w:vAlign w:val="center"/>
            <w:hideMark/>
          </w:tcPr>
          <w:p w14:paraId="1FC5DCEF" w14:textId="77777777" w:rsidR="00AF6C62" w:rsidRPr="00AF6C62" w:rsidRDefault="00AF6C62" w:rsidP="00AF6C62">
            <w:pPr>
              <w:spacing w:after="0" w:line="240" w:lineRule="auto"/>
              <w:jc w:val="right"/>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1.032.255.312</w:t>
            </w:r>
          </w:p>
        </w:tc>
        <w:tc>
          <w:tcPr>
            <w:tcW w:w="1311" w:type="dxa"/>
            <w:shd w:val="clear" w:color="auto" w:fill="auto"/>
            <w:noWrap/>
            <w:vAlign w:val="center"/>
            <w:hideMark/>
          </w:tcPr>
          <w:p w14:paraId="04B97E77" w14:textId="77777777" w:rsidR="00AF6C62" w:rsidRPr="00AF6C62" w:rsidRDefault="00AF6C62" w:rsidP="00AF6C62">
            <w:pPr>
              <w:spacing w:after="0" w:line="240" w:lineRule="auto"/>
              <w:jc w:val="right"/>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1.071.471.718</w:t>
            </w:r>
          </w:p>
        </w:tc>
        <w:tc>
          <w:tcPr>
            <w:tcW w:w="1311" w:type="dxa"/>
            <w:vAlign w:val="center"/>
          </w:tcPr>
          <w:p w14:paraId="517B0007" w14:textId="4D5BAD76" w:rsidR="00AF6C62" w:rsidRPr="00AF6C62" w:rsidRDefault="00AF6C62" w:rsidP="00AF6C62">
            <w:pPr>
              <w:spacing w:after="0" w:line="240" w:lineRule="auto"/>
              <w:jc w:val="right"/>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1.247.795.009</w:t>
            </w:r>
          </w:p>
        </w:tc>
        <w:tc>
          <w:tcPr>
            <w:tcW w:w="1311" w:type="dxa"/>
            <w:vAlign w:val="center"/>
          </w:tcPr>
          <w:p w14:paraId="67AA2FCD" w14:textId="0491ECB0" w:rsidR="00AF6C62" w:rsidRPr="00AF6C62" w:rsidRDefault="00AF6C62" w:rsidP="00AF6C62">
            <w:pPr>
              <w:spacing w:after="0" w:line="240" w:lineRule="auto"/>
              <w:jc w:val="right"/>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1.436.796.005</w:t>
            </w:r>
          </w:p>
        </w:tc>
      </w:tr>
      <w:tr w:rsidR="00AF6C62" w:rsidRPr="00AF6C62" w14:paraId="42ACD820" w14:textId="06F8C503" w:rsidTr="002E2ADA">
        <w:trPr>
          <w:trHeight w:val="255"/>
          <w:jc w:val="center"/>
        </w:trPr>
        <w:tc>
          <w:tcPr>
            <w:tcW w:w="1310" w:type="dxa"/>
            <w:shd w:val="clear" w:color="auto" w:fill="auto"/>
            <w:noWrap/>
            <w:vAlign w:val="center"/>
            <w:hideMark/>
          </w:tcPr>
          <w:p w14:paraId="27C5BFAB" w14:textId="77777777" w:rsidR="00AF6C62" w:rsidRPr="00AF6C62" w:rsidRDefault="00AF6C62" w:rsidP="00AF6C62">
            <w:pPr>
              <w:spacing w:after="0" w:line="240" w:lineRule="auto"/>
              <w:jc w:val="both"/>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Povprečna vrednost naročila</w:t>
            </w:r>
          </w:p>
        </w:tc>
        <w:tc>
          <w:tcPr>
            <w:tcW w:w="1310" w:type="dxa"/>
            <w:shd w:val="clear" w:color="auto" w:fill="auto"/>
            <w:noWrap/>
            <w:vAlign w:val="center"/>
            <w:hideMark/>
          </w:tcPr>
          <w:p w14:paraId="4056DD9B" w14:textId="77777777" w:rsidR="00AF6C62" w:rsidRPr="00AF6C62" w:rsidRDefault="00AF6C62" w:rsidP="00AF6C62">
            <w:pPr>
              <w:spacing w:after="0" w:line="240" w:lineRule="auto"/>
              <w:jc w:val="right"/>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933</w:t>
            </w:r>
          </w:p>
        </w:tc>
        <w:tc>
          <w:tcPr>
            <w:tcW w:w="1311" w:type="dxa"/>
            <w:shd w:val="clear" w:color="auto" w:fill="auto"/>
            <w:vAlign w:val="center"/>
            <w:hideMark/>
          </w:tcPr>
          <w:p w14:paraId="5F806CF5" w14:textId="77777777" w:rsidR="00AF6C62" w:rsidRPr="00AF6C62" w:rsidRDefault="00AF6C62" w:rsidP="00AF6C62">
            <w:pPr>
              <w:spacing w:after="0" w:line="240" w:lineRule="auto"/>
              <w:jc w:val="right"/>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957</w:t>
            </w:r>
          </w:p>
        </w:tc>
        <w:tc>
          <w:tcPr>
            <w:tcW w:w="1310" w:type="dxa"/>
            <w:shd w:val="clear" w:color="auto" w:fill="auto"/>
            <w:vAlign w:val="center"/>
            <w:hideMark/>
          </w:tcPr>
          <w:p w14:paraId="5CE0D130" w14:textId="77777777" w:rsidR="00AF6C62" w:rsidRPr="00AF6C62" w:rsidRDefault="00AF6C62" w:rsidP="00AF6C62">
            <w:pPr>
              <w:spacing w:after="0" w:line="240" w:lineRule="auto"/>
              <w:jc w:val="right"/>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972</w:t>
            </w:r>
          </w:p>
        </w:tc>
        <w:tc>
          <w:tcPr>
            <w:tcW w:w="1311" w:type="dxa"/>
            <w:shd w:val="clear" w:color="auto" w:fill="auto"/>
            <w:noWrap/>
            <w:vAlign w:val="center"/>
            <w:hideMark/>
          </w:tcPr>
          <w:p w14:paraId="37C604A4" w14:textId="77777777" w:rsidR="00AF6C62" w:rsidRPr="00AF6C62" w:rsidRDefault="00AF6C62" w:rsidP="00AF6C62">
            <w:pPr>
              <w:spacing w:after="0" w:line="240" w:lineRule="auto"/>
              <w:jc w:val="right"/>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1.194</w:t>
            </w:r>
          </w:p>
        </w:tc>
        <w:tc>
          <w:tcPr>
            <w:tcW w:w="1311" w:type="dxa"/>
            <w:vAlign w:val="center"/>
          </w:tcPr>
          <w:p w14:paraId="472CD74B" w14:textId="367520DC" w:rsidR="00AF6C62" w:rsidRPr="00AF6C62" w:rsidRDefault="00AF6C62" w:rsidP="00AF6C62">
            <w:pPr>
              <w:spacing w:after="0" w:line="240" w:lineRule="auto"/>
              <w:jc w:val="right"/>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1.242</w:t>
            </w:r>
          </w:p>
        </w:tc>
        <w:tc>
          <w:tcPr>
            <w:tcW w:w="1311" w:type="dxa"/>
            <w:vAlign w:val="center"/>
          </w:tcPr>
          <w:p w14:paraId="10AAA908" w14:textId="6D31D315" w:rsidR="00AF6C62" w:rsidRPr="00AF6C62" w:rsidRDefault="00AF6C62" w:rsidP="00AF6C62">
            <w:pPr>
              <w:spacing w:after="0" w:line="240" w:lineRule="auto"/>
              <w:jc w:val="right"/>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1.327</w:t>
            </w:r>
          </w:p>
        </w:tc>
      </w:tr>
    </w:tbl>
    <w:p w14:paraId="29020837" w14:textId="77777777" w:rsidR="0093150A" w:rsidRPr="00AF6C62" w:rsidRDefault="0093150A" w:rsidP="0093150A">
      <w:pPr>
        <w:spacing w:after="0" w:line="240" w:lineRule="auto"/>
        <w:jc w:val="center"/>
        <w:rPr>
          <w:rFonts w:ascii="Arial" w:hAnsi="Arial" w:cs="Arial"/>
          <w:noProof/>
          <w:sz w:val="20"/>
          <w:szCs w:val="20"/>
          <w:lang w:eastAsia="sl-SI"/>
        </w:rPr>
      </w:pPr>
    </w:p>
    <w:p w14:paraId="3E106957" w14:textId="088421EE" w:rsidR="0093150A" w:rsidRPr="00AF6C62" w:rsidRDefault="0093150A" w:rsidP="004404F0">
      <w:pPr>
        <w:spacing w:after="240" w:line="240" w:lineRule="auto"/>
        <w:jc w:val="center"/>
        <w:rPr>
          <w:rFonts w:ascii="Arial" w:hAnsi="Arial" w:cs="Arial"/>
          <w:sz w:val="18"/>
          <w:szCs w:val="18"/>
        </w:rPr>
      </w:pPr>
      <w:r w:rsidRPr="00AF6C62">
        <w:rPr>
          <w:rFonts w:ascii="Arial" w:hAnsi="Arial" w:cs="Arial"/>
          <w:sz w:val="18"/>
          <w:szCs w:val="18"/>
        </w:rPr>
        <w:t xml:space="preserve">Vir: Statistični podatki o javnih naročilih, oddanih v letih </w:t>
      </w:r>
      <w:r w:rsidR="00212872" w:rsidRPr="00AF6C62">
        <w:rPr>
          <w:rFonts w:ascii="Arial" w:hAnsi="Arial" w:cs="Arial"/>
          <w:color w:val="000000" w:themeColor="text1"/>
          <w:sz w:val="18"/>
          <w:szCs w:val="18"/>
        </w:rPr>
        <w:t>201</w:t>
      </w:r>
      <w:r w:rsidR="00AF6C62" w:rsidRPr="00AF6C62">
        <w:rPr>
          <w:rFonts w:ascii="Arial" w:hAnsi="Arial" w:cs="Arial"/>
          <w:color w:val="000000" w:themeColor="text1"/>
          <w:sz w:val="18"/>
          <w:szCs w:val="18"/>
        </w:rPr>
        <w:t>7</w:t>
      </w:r>
      <w:r w:rsidR="00212872" w:rsidRPr="00AF6C62">
        <w:rPr>
          <w:rFonts w:ascii="Arial" w:hAnsi="Arial" w:cs="Arial"/>
          <w:color w:val="000000" w:themeColor="text1"/>
          <w:sz w:val="18"/>
          <w:szCs w:val="18"/>
        </w:rPr>
        <w:t>–202</w:t>
      </w:r>
      <w:r w:rsidR="00AF6C62" w:rsidRPr="00AF6C62">
        <w:rPr>
          <w:rFonts w:ascii="Arial" w:hAnsi="Arial" w:cs="Arial"/>
          <w:color w:val="000000" w:themeColor="text1"/>
          <w:sz w:val="18"/>
          <w:szCs w:val="18"/>
        </w:rPr>
        <w:t>2</w:t>
      </w:r>
      <w:r w:rsidR="007B25B7" w:rsidRPr="00AF6C62">
        <w:rPr>
          <w:rFonts w:ascii="Arial" w:hAnsi="Arial" w:cs="Arial"/>
          <w:color w:val="000000" w:themeColor="text1"/>
          <w:sz w:val="18"/>
          <w:szCs w:val="18"/>
        </w:rPr>
        <w:t>.</w:t>
      </w:r>
    </w:p>
    <w:p w14:paraId="33122AFD" w14:textId="6B42CD02" w:rsidR="00315538" w:rsidRPr="00AF6C62" w:rsidRDefault="00315538" w:rsidP="00315538">
      <w:pPr>
        <w:tabs>
          <w:tab w:val="left" w:pos="567"/>
          <w:tab w:val="left" w:pos="993"/>
        </w:tabs>
        <w:spacing w:line="360" w:lineRule="auto"/>
        <w:jc w:val="both"/>
        <w:rPr>
          <w:rFonts w:ascii="Arial" w:hAnsi="Arial" w:cs="Arial"/>
          <w:bCs/>
          <w:sz w:val="20"/>
          <w:szCs w:val="20"/>
        </w:rPr>
      </w:pPr>
      <w:r w:rsidRPr="00AF6C62">
        <w:rPr>
          <w:rFonts w:ascii="Arial" w:hAnsi="Arial" w:cs="Arial"/>
          <w:bCs/>
          <w:sz w:val="20"/>
          <w:szCs w:val="20"/>
        </w:rPr>
        <w:lastRenderedPageBreak/>
        <w:t xml:space="preserve">Iz preglednice </w:t>
      </w:r>
      <w:r w:rsidR="00512F52" w:rsidRPr="00AF6C62">
        <w:rPr>
          <w:rFonts w:ascii="Arial" w:hAnsi="Arial" w:cs="Arial"/>
          <w:bCs/>
          <w:sz w:val="20"/>
          <w:szCs w:val="20"/>
        </w:rPr>
        <w:t>5</w:t>
      </w:r>
      <w:r w:rsidR="00EA747F">
        <w:rPr>
          <w:rFonts w:ascii="Arial" w:hAnsi="Arial" w:cs="Arial"/>
          <w:bCs/>
          <w:sz w:val="20"/>
          <w:szCs w:val="20"/>
        </w:rPr>
        <w:t>6</w:t>
      </w:r>
      <w:r w:rsidRPr="00AF6C62">
        <w:rPr>
          <w:rFonts w:ascii="Arial" w:hAnsi="Arial" w:cs="Arial"/>
          <w:bCs/>
          <w:sz w:val="20"/>
          <w:szCs w:val="20"/>
        </w:rPr>
        <w:t xml:space="preserve"> izhaja, da so naročniki po številu in vrednosti največ evidenčnih naročil oddali na splošnem in najmanj na obrambnem področju.</w:t>
      </w:r>
    </w:p>
    <w:p w14:paraId="7A821060" w14:textId="40119AF0" w:rsidR="0093150A" w:rsidRPr="00AF6C62" w:rsidRDefault="004B0127" w:rsidP="00DA241A">
      <w:pPr>
        <w:tabs>
          <w:tab w:val="left" w:pos="567"/>
          <w:tab w:val="left" w:pos="993"/>
        </w:tabs>
        <w:spacing w:line="360" w:lineRule="auto"/>
        <w:jc w:val="both"/>
        <w:rPr>
          <w:rFonts w:ascii="Arial" w:hAnsi="Arial" w:cs="Arial"/>
          <w:sz w:val="20"/>
        </w:rPr>
      </w:pPr>
      <w:r w:rsidRPr="00AF6C62">
        <w:rPr>
          <w:rFonts w:ascii="Arial" w:hAnsi="Arial" w:cs="Arial"/>
          <w:sz w:val="20"/>
        </w:rPr>
        <w:t xml:space="preserve">Preglednica </w:t>
      </w:r>
      <w:r w:rsidR="00EA747F">
        <w:rPr>
          <w:rFonts w:ascii="Arial" w:hAnsi="Arial" w:cs="Arial"/>
          <w:sz w:val="20"/>
        </w:rPr>
        <w:t>56</w:t>
      </w:r>
      <w:r w:rsidR="0093150A" w:rsidRPr="00AF6C62">
        <w:rPr>
          <w:rFonts w:ascii="Arial" w:hAnsi="Arial" w:cs="Arial"/>
          <w:sz w:val="20"/>
        </w:rPr>
        <w:t>: Vrednost, število in deleži evidenčnih naročil po področj</w:t>
      </w:r>
      <w:r w:rsidR="00DB6DE7" w:rsidRPr="00AF6C62">
        <w:rPr>
          <w:rFonts w:ascii="Arial" w:hAnsi="Arial" w:cs="Arial"/>
          <w:sz w:val="20"/>
        </w:rPr>
        <w:t>ih</w:t>
      </w:r>
      <w:r w:rsidR="0093150A" w:rsidRPr="00AF6C62">
        <w:rPr>
          <w:rFonts w:ascii="Arial" w:hAnsi="Arial" w:cs="Arial"/>
          <w:sz w:val="20"/>
        </w:rPr>
        <w:t xml:space="preserve"> naročanja</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1276"/>
        <w:gridCol w:w="1559"/>
        <w:gridCol w:w="1276"/>
        <w:gridCol w:w="1417"/>
      </w:tblGrid>
      <w:tr w:rsidR="00F517FD" w:rsidRPr="00AF6C62" w14:paraId="1E7B697D" w14:textId="77777777" w:rsidTr="009F76B3">
        <w:trPr>
          <w:trHeight w:val="255"/>
          <w:jc w:val="center"/>
        </w:trPr>
        <w:tc>
          <w:tcPr>
            <w:tcW w:w="1838" w:type="dxa"/>
            <w:shd w:val="clear" w:color="auto" w:fill="F2F2F2" w:themeFill="background1" w:themeFillShade="F2"/>
            <w:vAlign w:val="center"/>
            <w:hideMark/>
          </w:tcPr>
          <w:p w14:paraId="2B6983E4" w14:textId="77777777" w:rsidR="00F32B68" w:rsidRPr="00AF6C62" w:rsidRDefault="00F32B68" w:rsidP="00F32B68">
            <w:pPr>
              <w:spacing w:after="0" w:line="240" w:lineRule="auto"/>
              <w:jc w:val="center"/>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Področje</w:t>
            </w:r>
          </w:p>
        </w:tc>
        <w:tc>
          <w:tcPr>
            <w:tcW w:w="1276" w:type="dxa"/>
            <w:shd w:val="clear" w:color="auto" w:fill="F2F2F2" w:themeFill="background1" w:themeFillShade="F2"/>
            <w:vAlign w:val="center"/>
            <w:hideMark/>
          </w:tcPr>
          <w:p w14:paraId="09F57994" w14:textId="77777777" w:rsidR="00F32B68" w:rsidRPr="00AF6C62" w:rsidRDefault="00F32B68" w:rsidP="00F32B68">
            <w:pPr>
              <w:spacing w:after="0" w:line="240" w:lineRule="auto"/>
              <w:jc w:val="center"/>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Št. naročil</w:t>
            </w:r>
          </w:p>
        </w:tc>
        <w:tc>
          <w:tcPr>
            <w:tcW w:w="1559" w:type="dxa"/>
            <w:shd w:val="clear" w:color="auto" w:fill="F2F2F2" w:themeFill="background1" w:themeFillShade="F2"/>
            <w:vAlign w:val="center"/>
            <w:hideMark/>
          </w:tcPr>
          <w:p w14:paraId="2945DBA3" w14:textId="77777777" w:rsidR="00F32B68" w:rsidRPr="00AF6C62" w:rsidRDefault="00F32B68" w:rsidP="00F32B68">
            <w:pPr>
              <w:spacing w:after="0" w:line="240" w:lineRule="auto"/>
              <w:jc w:val="center"/>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Pogodbena vrednost</w:t>
            </w:r>
          </w:p>
        </w:tc>
        <w:tc>
          <w:tcPr>
            <w:tcW w:w="1276" w:type="dxa"/>
            <w:shd w:val="clear" w:color="auto" w:fill="F2F2F2" w:themeFill="background1" w:themeFillShade="F2"/>
            <w:vAlign w:val="center"/>
            <w:hideMark/>
          </w:tcPr>
          <w:p w14:paraId="7807D0E1" w14:textId="77777777" w:rsidR="00F32B68" w:rsidRPr="00AF6C62" w:rsidRDefault="00F32B68" w:rsidP="00F32B68">
            <w:pPr>
              <w:spacing w:after="0" w:line="240" w:lineRule="auto"/>
              <w:jc w:val="center"/>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Delež v št. naročil</w:t>
            </w:r>
          </w:p>
        </w:tc>
        <w:tc>
          <w:tcPr>
            <w:tcW w:w="1417" w:type="dxa"/>
            <w:shd w:val="clear" w:color="auto" w:fill="F2F2F2" w:themeFill="background1" w:themeFillShade="F2"/>
            <w:vAlign w:val="center"/>
            <w:hideMark/>
          </w:tcPr>
          <w:p w14:paraId="5EE551AE" w14:textId="77777777" w:rsidR="00F32B68" w:rsidRPr="00AF6C62" w:rsidRDefault="00F32B68" w:rsidP="00F32B68">
            <w:pPr>
              <w:spacing w:after="0" w:line="240" w:lineRule="auto"/>
              <w:jc w:val="center"/>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Delež v vrednosti</w:t>
            </w:r>
          </w:p>
        </w:tc>
      </w:tr>
      <w:tr w:rsidR="00AF6C62" w:rsidRPr="00AF6C62" w14:paraId="11C9539D" w14:textId="77777777" w:rsidTr="009F76B3">
        <w:trPr>
          <w:trHeight w:val="255"/>
          <w:jc w:val="center"/>
        </w:trPr>
        <w:tc>
          <w:tcPr>
            <w:tcW w:w="1838" w:type="dxa"/>
            <w:shd w:val="clear" w:color="auto" w:fill="auto"/>
            <w:vAlign w:val="center"/>
            <w:hideMark/>
          </w:tcPr>
          <w:p w14:paraId="7F8A9BC0" w14:textId="77777777" w:rsidR="00AF6C62" w:rsidRPr="00AF6C62" w:rsidRDefault="00AF6C62" w:rsidP="00AF6C62">
            <w:pPr>
              <w:spacing w:after="0" w:line="240" w:lineRule="auto"/>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Splošno</w:t>
            </w:r>
          </w:p>
        </w:tc>
        <w:tc>
          <w:tcPr>
            <w:tcW w:w="1276" w:type="dxa"/>
            <w:shd w:val="clear" w:color="auto" w:fill="auto"/>
            <w:vAlign w:val="center"/>
            <w:hideMark/>
          </w:tcPr>
          <w:p w14:paraId="03860F90" w14:textId="318643C0" w:rsidR="00AF6C62" w:rsidRPr="00AF6C62" w:rsidRDefault="00AF6C62" w:rsidP="00AF6C62">
            <w:pPr>
              <w:spacing w:after="0" w:line="240" w:lineRule="auto"/>
              <w:jc w:val="right"/>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998.490</w:t>
            </w:r>
          </w:p>
        </w:tc>
        <w:tc>
          <w:tcPr>
            <w:tcW w:w="1559" w:type="dxa"/>
            <w:shd w:val="clear" w:color="auto" w:fill="auto"/>
            <w:vAlign w:val="center"/>
            <w:hideMark/>
          </w:tcPr>
          <w:p w14:paraId="490FAFB3" w14:textId="213A4485" w:rsidR="00AF6C62" w:rsidRPr="00AF6C62" w:rsidRDefault="00AF6C62" w:rsidP="00AF6C62">
            <w:pPr>
              <w:spacing w:after="0" w:line="240" w:lineRule="auto"/>
              <w:jc w:val="right"/>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1.202.834.543</w:t>
            </w:r>
          </w:p>
        </w:tc>
        <w:tc>
          <w:tcPr>
            <w:tcW w:w="1276" w:type="dxa"/>
            <w:shd w:val="clear" w:color="auto" w:fill="auto"/>
            <w:noWrap/>
            <w:vAlign w:val="center"/>
            <w:hideMark/>
          </w:tcPr>
          <w:p w14:paraId="79D43C31" w14:textId="25DC130A" w:rsidR="00AF6C62" w:rsidRPr="00AF6C62" w:rsidRDefault="00AF6C62" w:rsidP="00AF6C62">
            <w:pPr>
              <w:spacing w:after="0" w:line="240" w:lineRule="auto"/>
              <w:jc w:val="right"/>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92,23 %</w:t>
            </w:r>
          </w:p>
        </w:tc>
        <w:tc>
          <w:tcPr>
            <w:tcW w:w="1417" w:type="dxa"/>
            <w:shd w:val="clear" w:color="auto" w:fill="auto"/>
            <w:noWrap/>
            <w:vAlign w:val="center"/>
            <w:hideMark/>
          </w:tcPr>
          <w:p w14:paraId="5E161FA8" w14:textId="6EB11268" w:rsidR="00AF6C62" w:rsidRPr="00AF6C62" w:rsidRDefault="00AF6C62" w:rsidP="00AF6C62">
            <w:pPr>
              <w:spacing w:after="0" w:line="240" w:lineRule="auto"/>
              <w:jc w:val="right"/>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83,72 %</w:t>
            </w:r>
          </w:p>
        </w:tc>
      </w:tr>
      <w:tr w:rsidR="00AF6C62" w:rsidRPr="00AF6C62" w14:paraId="0D37130D" w14:textId="77777777" w:rsidTr="009F76B3">
        <w:trPr>
          <w:trHeight w:val="255"/>
          <w:jc w:val="center"/>
        </w:trPr>
        <w:tc>
          <w:tcPr>
            <w:tcW w:w="1838" w:type="dxa"/>
            <w:shd w:val="clear" w:color="auto" w:fill="auto"/>
            <w:vAlign w:val="center"/>
            <w:hideMark/>
          </w:tcPr>
          <w:p w14:paraId="739970DE" w14:textId="01C0346F" w:rsidR="00AF6C62" w:rsidRPr="00AF6C62" w:rsidRDefault="00AF6C62" w:rsidP="00AF6C62">
            <w:pPr>
              <w:spacing w:after="0" w:line="240" w:lineRule="auto"/>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Infrastrukturno</w:t>
            </w:r>
          </w:p>
        </w:tc>
        <w:tc>
          <w:tcPr>
            <w:tcW w:w="1276" w:type="dxa"/>
            <w:shd w:val="clear" w:color="auto" w:fill="auto"/>
            <w:vAlign w:val="center"/>
            <w:hideMark/>
          </w:tcPr>
          <w:p w14:paraId="608BF5C0" w14:textId="417475C8" w:rsidR="00AF6C62" w:rsidRPr="00AF6C62" w:rsidRDefault="00AF6C62" w:rsidP="00AF6C62">
            <w:pPr>
              <w:spacing w:after="0" w:line="240" w:lineRule="auto"/>
              <w:jc w:val="right"/>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84.152</w:t>
            </w:r>
          </w:p>
        </w:tc>
        <w:tc>
          <w:tcPr>
            <w:tcW w:w="1559" w:type="dxa"/>
            <w:shd w:val="clear" w:color="auto" w:fill="auto"/>
            <w:vAlign w:val="center"/>
            <w:hideMark/>
          </w:tcPr>
          <w:p w14:paraId="745F9F63" w14:textId="7CB9B72E" w:rsidR="00AF6C62" w:rsidRPr="00AF6C62" w:rsidRDefault="00AF6C62" w:rsidP="00AF6C62">
            <w:pPr>
              <w:spacing w:after="0" w:line="240" w:lineRule="auto"/>
              <w:jc w:val="right"/>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233.615.391</w:t>
            </w:r>
          </w:p>
        </w:tc>
        <w:tc>
          <w:tcPr>
            <w:tcW w:w="1276" w:type="dxa"/>
            <w:shd w:val="clear" w:color="auto" w:fill="auto"/>
            <w:noWrap/>
            <w:vAlign w:val="center"/>
            <w:hideMark/>
          </w:tcPr>
          <w:p w14:paraId="13729499" w14:textId="75B7E200" w:rsidR="00AF6C62" w:rsidRPr="00AF6C62" w:rsidRDefault="00AF6C62" w:rsidP="00AF6C62">
            <w:pPr>
              <w:spacing w:after="0" w:line="240" w:lineRule="auto"/>
              <w:jc w:val="right"/>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7,77 %</w:t>
            </w:r>
          </w:p>
        </w:tc>
        <w:tc>
          <w:tcPr>
            <w:tcW w:w="1417" w:type="dxa"/>
            <w:shd w:val="clear" w:color="auto" w:fill="auto"/>
            <w:noWrap/>
            <w:vAlign w:val="center"/>
            <w:hideMark/>
          </w:tcPr>
          <w:p w14:paraId="2DBB8055" w14:textId="273F2EB6" w:rsidR="00AF6C62" w:rsidRPr="00AF6C62" w:rsidRDefault="00AF6C62" w:rsidP="00AF6C62">
            <w:pPr>
              <w:spacing w:after="0" w:line="240" w:lineRule="auto"/>
              <w:jc w:val="right"/>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16,26 %</w:t>
            </w:r>
          </w:p>
        </w:tc>
      </w:tr>
      <w:tr w:rsidR="00AF6C62" w:rsidRPr="00AF6C62" w14:paraId="1748F8A6" w14:textId="77777777" w:rsidTr="009F76B3">
        <w:trPr>
          <w:trHeight w:val="255"/>
          <w:jc w:val="center"/>
        </w:trPr>
        <w:tc>
          <w:tcPr>
            <w:tcW w:w="1838" w:type="dxa"/>
            <w:shd w:val="clear" w:color="auto" w:fill="auto"/>
            <w:vAlign w:val="center"/>
            <w:hideMark/>
          </w:tcPr>
          <w:p w14:paraId="14E288DB" w14:textId="762EF028" w:rsidR="00AF6C62" w:rsidRPr="00AF6C62" w:rsidRDefault="00AF6C62" w:rsidP="00AF6C62">
            <w:pPr>
              <w:spacing w:after="0" w:line="240" w:lineRule="auto"/>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Obrambno</w:t>
            </w:r>
          </w:p>
        </w:tc>
        <w:tc>
          <w:tcPr>
            <w:tcW w:w="1276" w:type="dxa"/>
            <w:shd w:val="clear" w:color="auto" w:fill="auto"/>
            <w:vAlign w:val="center"/>
            <w:hideMark/>
          </w:tcPr>
          <w:p w14:paraId="51A8F6B3" w14:textId="33D91639" w:rsidR="00AF6C62" w:rsidRPr="00AF6C62" w:rsidRDefault="00AF6C62" w:rsidP="00AF6C62">
            <w:pPr>
              <w:spacing w:after="0" w:line="240" w:lineRule="auto"/>
              <w:jc w:val="right"/>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14</w:t>
            </w:r>
          </w:p>
        </w:tc>
        <w:tc>
          <w:tcPr>
            <w:tcW w:w="1559" w:type="dxa"/>
            <w:shd w:val="clear" w:color="auto" w:fill="auto"/>
            <w:vAlign w:val="center"/>
            <w:hideMark/>
          </w:tcPr>
          <w:p w14:paraId="5A0D1342" w14:textId="00086DB9" w:rsidR="00AF6C62" w:rsidRPr="00AF6C62" w:rsidRDefault="00AF6C62" w:rsidP="00AF6C62">
            <w:pPr>
              <w:spacing w:after="0" w:line="240" w:lineRule="auto"/>
              <w:jc w:val="right"/>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346.071</w:t>
            </w:r>
          </w:p>
        </w:tc>
        <w:tc>
          <w:tcPr>
            <w:tcW w:w="1276" w:type="dxa"/>
            <w:shd w:val="clear" w:color="auto" w:fill="auto"/>
            <w:noWrap/>
            <w:vAlign w:val="center"/>
            <w:hideMark/>
          </w:tcPr>
          <w:p w14:paraId="42A8A9D6" w14:textId="084B9AE7" w:rsidR="00AF6C62" w:rsidRPr="00AF6C62" w:rsidRDefault="00AF6C62" w:rsidP="00AF6C62">
            <w:pPr>
              <w:spacing w:after="0" w:line="240" w:lineRule="auto"/>
              <w:jc w:val="right"/>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0,00 %</w:t>
            </w:r>
          </w:p>
        </w:tc>
        <w:tc>
          <w:tcPr>
            <w:tcW w:w="1417" w:type="dxa"/>
            <w:shd w:val="clear" w:color="auto" w:fill="auto"/>
            <w:noWrap/>
            <w:vAlign w:val="center"/>
            <w:hideMark/>
          </w:tcPr>
          <w:p w14:paraId="5B884EEE" w14:textId="3A3DF86D" w:rsidR="00AF6C62" w:rsidRPr="00AF6C62" w:rsidRDefault="00AF6C62" w:rsidP="00AF6C62">
            <w:pPr>
              <w:spacing w:after="0" w:line="240" w:lineRule="auto"/>
              <w:jc w:val="right"/>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0,02 %</w:t>
            </w:r>
          </w:p>
        </w:tc>
      </w:tr>
      <w:tr w:rsidR="00AF6C62" w:rsidRPr="00AF6C62" w14:paraId="2123E853" w14:textId="77777777" w:rsidTr="009F76B3">
        <w:trPr>
          <w:trHeight w:val="255"/>
          <w:jc w:val="center"/>
        </w:trPr>
        <w:tc>
          <w:tcPr>
            <w:tcW w:w="1838" w:type="dxa"/>
            <w:shd w:val="clear" w:color="auto" w:fill="F2F2F2" w:themeFill="background1" w:themeFillShade="F2"/>
            <w:vAlign w:val="center"/>
            <w:hideMark/>
          </w:tcPr>
          <w:p w14:paraId="6577B944" w14:textId="77777777" w:rsidR="00AF6C62" w:rsidRPr="00AF6C62" w:rsidRDefault="00AF6C62" w:rsidP="00AF6C62">
            <w:pPr>
              <w:spacing w:after="0" w:line="240" w:lineRule="auto"/>
              <w:jc w:val="both"/>
              <w:rPr>
                <w:rFonts w:ascii="Arial" w:eastAsia="Times New Roman" w:hAnsi="Arial" w:cs="Arial"/>
                <w:b/>
                <w:bCs/>
                <w:color w:val="000000"/>
                <w:sz w:val="18"/>
                <w:szCs w:val="18"/>
                <w:lang w:eastAsia="sl-SI"/>
              </w:rPr>
            </w:pPr>
            <w:r w:rsidRPr="00AF6C62">
              <w:rPr>
                <w:rFonts w:ascii="Arial" w:eastAsia="Times New Roman" w:hAnsi="Arial" w:cs="Arial"/>
                <w:b/>
                <w:bCs/>
                <w:color w:val="000000"/>
                <w:sz w:val="18"/>
                <w:szCs w:val="18"/>
                <w:lang w:eastAsia="sl-SI"/>
              </w:rPr>
              <w:t>Skupaj</w:t>
            </w:r>
          </w:p>
        </w:tc>
        <w:tc>
          <w:tcPr>
            <w:tcW w:w="1276" w:type="dxa"/>
            <w:shd w:val="clear" w:color="auto" w:fill="F2F2F2" w:themeFill="background1" w:themeFillShade="F2"/>
            <w:noWrap/>
            <w:vAlign w:val="center"/>
            <w:hideMark/>
          </w:tcPr>
          <w:p w14:paraId="3D0B520D" w14:textId="4B82D018" w:rsidR="00AF6C62" w:rsidRPr="00AF6C62" w:rsidRDefault="00AF6C62" w:rsidP="00AF6C62">
            <w:pPr>
              <w:spacing w:after="0" w:line="240" w:lineRule="auto"/>
              <w:jc w:val="right"/>
              <w:rPr>
                <w:rFonts w:ascii="Arial" w:eastAsia="Times New Roman" w:hAnsi="Arial" w:cs="Arial"/>
                <w:b/>
                <w:bCs/>
                <w:color w:val="000000"/>
                <w:sz w:val="18"/>
                <w:szCs w:val="18"/>
                <w:lang w:eastAsia="sl-SI"/>
              </w:rPr>
            </w:pPr>
            <w:r w:rsidRPr="00AF6C62">
              <w:rPr>
                <w:rFonts w:ascii="Arial" w:eastAsia="Times New Roman" w:hAnsi="Arial" w:cs="Arial"/>
                <w:b/>
                <w:bCs/>
                <w:color w:val="000000"/>
                <w:sz w:val="18"/>
                <w:szCs w:val="18"/>
                <w:lang w:eastAsia="sl-SI"/>
              </w:rPr>
              <w:t>1.082.656</w:t>
            </w:r>
          </w:p>
        </w:tc>
        <w:tc>
          <w:tcPr>
            <w:tcW w:w="1559" w:type="dxa"/>
            <w:shd w:val="clear" w:color="auto" w:fill="F2F2F2" w:themeFill="background1" w:themeFillShade="F2"/>
            <w:noWrap/>
            <w:vAlign w:val="center"/>
            <w:hideMark/>
          </w:tcPr>
          <w:p w14:paraId="76578939" w14:textId="6DC2FFD4" w:rsidR="00AF6C62" w:rsidRPr="00AF6C62" w:rsidRDefault="00AF6C62" w:rsidP="00AF6C62">
            <w:pPr>
              <w:spacing w:after="0" w:line="240" w:lineRule="auto"/>
              <w:jc w:val="right"/>
              <w:rPr>
                <w:rFonts w:ascii="Arial" w:eastAsia="Times New Roman" w:hAnsi="Arial" w:cs="Arial"/>
                <w:b/>
                <w:bCs/>
                <w:color w:val="000000"/>
                <w:sz w:val="18"/>
                <w:szCs w:val="18"/>
                <w:lang w:eastAsia="sl-SI"/>
              </w:rPr>
            </w:pPr>
            <w:r w:rsidRPr="00AF6C62">
              <w:rPr>
                <w:rFonts w:ascii="Arial" w:eastAsia="Times New Roman" w:hAnsi="Arial" w:cs="Arial"/>
                <w:b/>
                <w:bCs/>
                <w:color w:val="000000"/>
                <w:sz w:val="18"/>
                <w:szCs w:val="18"/>
                <w:lang w:eastAsia="sl-SI"/>
              </w:rPr>
              <w:t>1.436.796.005</w:t>
            </w:r>
          </w:p>
        </w:tc>
        <w:tc>
          <w:tcPr>
            <w:tcW w:w="1276" w:type="dxa"/>
            <w:shd w:val="clear" w:color="auto" w:fill="F2F2F2" w:themeFill="background1" w:themeFillShade="F2"/>
            <w:noWrap/>
            <w:vAlign w:val="center"/>
            <w:hideMark/>
          </w:tcPr>
          <w:p w14:paraId="17383B02" w14:textId="000EB67B" w:rsidR="00AF6C62" w:rsidRPr="00AF6C62" w:rsidRDefault="00AF6C62" w:rsidP="00AF6C62">
            <w:pPr>
              <w:spacing w:after="0" w:line="240" w:lineRule="auto"/>
              <w:jc w:val="right"/>
              <w:rPr>
                <w:rFonts w:ascii="Arial" w:eastAsia="Times New Roman" w:hAnsi="Arial" w:cs="Arial"/>
                <w:b/>
                <w:bCs/>
                <w:color w:val="000000"/>
                <w:sz w:val="18"/>
                <w:szCs w:val="18"/>
                <w:lang w:eastAsia="sl-SI"/>
              </w:rPr>
            </w:pPr>
            <w:r w:rsidRPr="00AF6C62">
              <w:rPr>
                <w:rFonts w:ascii="Arial" w:eastAsia="Times New Roman" w:hAnsi="Arial" w:cs="Arial"/>
                <w:b/>
                <w:bCs/>
                <w:color w:val="000000"/>
                <w:sz w:val="18"/>
                <w:szCs w:val="18"/>
                <w:lang w:eastAsia="sl-SI"/>
              </w:rPr>
              <w:t>100,00 %</w:t>
            </w:r>
          </w:p>
        </w:tc>
        <w:tc>
          <w:tcPr>
            <w:tcW w:w="1417" w:type="dxa"/>
            <w:shd w:val="clear" w:color="auto" w:fill="F2F2F2" w:themeFill="background1" w:themeFillShade="F2"/>
            <w:noWrap/>
            <w:vAlign w:val="center"/>
            <w:hideMark/>
          </w:tcPr>
          <w:p w14:paraId="633C7365" w14:textId="4664B60D" w:rsidR="00AF6C62" w:rsidRPr="00AF6C62" w:rsidRDefault="00AF6C62" w:rsidP="00AF6C62">
            <w:pPr>
              <w:spacing w:after="0" w:line="240" w:lineRule="auto"/>
              <w:jc w:val="right"/>
              <w:rPr>
                <w:rFonts w:ascii="Arial" w:eastAsia="Times New Roman" w:hAnsi="Arial" w:cs="Arial"/>
                <w:b/>
                <w:bCs/>
                <w:color w:val="000000"/>
                <w:sz w:val="18"/>
                <w:szCs w:val="18"/>
                <w:lang w:eastAsia="sl-SI"/>
              </w:rPr>
            </w:pPr>
            <w:r w:rsidRPr="00AF6C62">
              <w:rPr>
                <w:rFonts w:ascii="Arial" w:eastAsia="Times New Roman" w:hAnsi="Arial" w:cs="Arial"/>
                <w:b/>
                <w:bCs/>
                <w:color w:val="000000"/>
                <w:sz w:val="18"/>
                <w:szCs w:val="18"/>
                <w:lang w:eastAsia="sl-SI"/>
              </w:rPr>
              <w:t>100,00 %</w:t>
            </w:r>
          </w:p>
        </w:tc>
      </w:tr>
    </w:tbl>
    <w:p w14:paraId="1AE62ABA" w14:textId="77777777" w:rsidR="0093150A" w:rsidRPr="00AF6C62" w:rsidRDefault="0093150A" w:rsidP="0093150A">
      <w:pPr>
        <w:spacing w:after="0" w:line="240" w:lineRule="auto"/>
        <w:jc w:val="center"/>
        <w:rPr>
          <w:rFonts w:ascii="Arial" w:hAnsi="Arial" w:cs="Arial"/>
          <w:sz w:val="18"/>
        </w:rPr>
      </w:pPr>
    </w:p>
    <w:p w14:paraId="0B01F352" w14:textId="1F212B30" w:rsidR="0093150A" w:rsidRPr="00AF6C62" w:rsidRDefault="0093150A" w:rsidP="0093150A">
      <w:pPr>
        <w:spacing w:after="0" w:line="240" w:lineRule="auto"/>
        <w:jc w:val="center"/>
        <w:rPr>
          <w:rFonts w:ascii="Arial" w:hAnsi="Arial" w:cs="Arial"/>
          <w:sz w:val="18"/>
        </w:rPr>
      </w:pPr>
      <w:r w:rsidRPr="00AF6C62">
        <w:rPr>
          <w:rFonts w:ascii="Arial" w:hAnsi="Arial" w:cs="Arial"/>
          <w:sz w:val="18"/>
        </w:rPr>
        <w:t>Vir: Statistični podatki o javnih naročilih, oddanih v letu 20</w:t>
      </w:r>
      <w:r w:rsidR="009D4C4E" w:rsidRPr="00AF6C62">
        <w:rPr>
          <w:rFonts w:ascii="Arial" w:hAnsi="Arial" w:cs="Arial"/>
          <w:sz w:val="18"/>
        </w:rPr>
        <w:t>2</w:t>
      </w:r>
      <w:r w:rsidR="00AF6C62" w:rsidRPr="00AF6C62">
        <w:rPr>
          <w:rFonts w:ascii="Arial" w:hAnsi="Arial" w:cs="Arial"/>
          <w:sz w:val="18"/>
        </w:rPr>
        <w:t>2</w:t>
      </w:r>
      <w:r w:rsidR="007B25B7" w:rsidRPr="00AF6C62">
        <w:rPr>
          <w:rFonts w:ascii="Arial" w:hAnsi="Arial" w:cs="Arial"/>
          <w:sz w:val="18"/>
        </w:rPr>
        <w:t>.</w:t>
      </w:r>
    </w:p>
    <w:p w14:paraId="64E04AC8" w14:textId="77777777" w:rsidR="0093150A" w:rsidRPr="00BF7302" w:rsidRDefault="0093150A" w:rsidP="0093150A">
      <w:pPr>
        <w:tabs>
          <w:tab w:val="left" w:pos="567"/>
          <w:tab w:val="left" w:pos="993"/>
        </w:tabs>
        <w:spacing w:after="0" w:line="360" w:lineRule="auto"/>
        <w:jc w:val="both"/>
        <w:rPr>
          <w:rFonts w:ascii="Arial" w:hAnsi="Arial" w:cs="Arial"/>
          <w:sz w:val="20"/>
          <w:szCs w:val="20"/>
          <w:highlight w:val="yellow"/>
          <w:lang w:eastAsia="sl-SI"/>
        </w:rPr>
      </w:pPr>
    </w:p>
    <w:p w14:paraId="6C6C9E3E" w14:textId="77777777" w:rsidR="00AF6C62" w:rsidRPr="00AF6C62" w:rsidRDefault="00AF6C62" w:rsidP="00AF6C62">
      <w:pPr>
        <w:tabs>
          <w:tab w:val="left" w:pos="567"/>
          <w:tab w:val="left" w:pos="993"/>
        </w:tabs>
        <w:spacing w:line="360" w:lineRule="auto"/>
        <w:jc w:val="both"/>
        <w:rPr>
          <w:rFonts w:ascii="Arial" w:hAnsi="Arial" w:cs="Arial"/>
          <w:sz w:val="20"/>
          <w:szCs w:val="20"/>
          <w:lang w:eastAsia="sl-SI"/>
        </w:rPr>
      </w:pPr>
      <w:r w:rsidRPr="00AF6C62">
        <w:rPr>
          <w:rFonts w:ascii="Arial" w:hAnsi="Arial" w:cs="Arial"/>
          <w:sz w:val="20"/>
          <w:szCs w:val="20"/>
          <w:lang w:eastAsia="sl-SI"/>
        </w:rPr>
        <w:t xml:space="preserve">Glede na predmet naročanja dobra polovica naročil blaga znaša dobro tretjino vrednosti vseh evidenčnih naročil. </w:t>
      </w:r>
    </w:p>
    <w:p w14:paraId="027DB221" w14:textId="62B49D3E" w:rsidR="00315538" w:rsidRPr="00AF6C62" w:rsidRDefault="00315538" w:rsidP="00315538">
      <w:pPr>
        <w:spacing w:before="120" w:after="120" w:line="240" w:lineRule="auto"/>
        <w:jc w:val="both"/>
        <w:rPr>
          <w:rFonts w:ascii="Arial" w:hAnsi="Arial" w:cs="Arial"/>
          <w:sz w:val="20"/>
        </w:rPr>
      </w:pPr>
      <w:r w:rsidRPr="00AF6C62">
        <w:rPr>
          <w:rFonts w:ascii="Arial" w:hAnsi="Arial" w:cs="Arial"/>
          <w:sz w:val="20"/>
        </w:rPr>
        <w:t xml:space="preserve">Preglednica </w:t>
      </w:r>
      <w:r w:rsidR="00512F52" w:rsidRPr="00AF6C62">
        <w:rPr>
          <w:rFonts w:ascii="Arial" w:hAnsi="Arial" w:cs="Arial"/>
          <w:sz w:val="20"/>
        </w:rPr>
        <w:t>5</w:t>
      </w:r>
      <w:r w:rsidR="00EA747F">
        <w:rPr>
          <w:rFonts w:ascii="Arial" w:hAnsi="Arial" w:cs="Arial"/>
          <w:sz w:val="20"/>
        </w:rPr>
        <w:t>7</w:t>
      </w:r>
      <w:r w:rsidRPr="00AF6C62">
        <w:rPr>
          <w:rFonts w:ascii="Arial" w:hAnsi="Arial" w:cs="Arial"/>
          <w:sz w:val="20"/>
        </w:rPr>
        <w:t>: Vrednost, število in deleži evidenčnih naročil po predmetu naročanja</w:t>
      </w:r>
    </w:p>
    <w:tbl>
      <w:tblPr>
        <w:tblW w:w="7118" w:type="dxa"/>
        <w:jc w:val="center"/>
        <w:tblCellMar>
          <w:left w:w="70" w:type="dxa"/>
          <w:right w:w="70" w:type="dxa"/>
        </w:tblCellMar>
        <w:tblLook w:val="04A0" w:firstRow="1" w:lastRow="0" w:firstColumn="1" w:lastColumn="0" w:noHBand="0" w:noVBand="1"/>
      </w:tblPr>
      <w:tblGrid>
        <w:gridCol w:w="1701"/>
        <w:gridCol w:w="1271"/>
        <w:gridCol w:w="1559"/>
        <w:gridCol w:w="1281"/>
        <w:gridCol w:w="1306"/>
      </w:tblGrid>
      <w:tr w:rsidR="00F517FD" w:rsidRPr="00AF6C62" w14:paraId="59C14A9C" w14:textId="77777777" w:rsidTr="00CD447F">
        <w:trPr>
          <w:trHeight w:val="255"/>
          <w:jc w:val="center"/>
        </w:trPr>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10FC46" w14:textId="77777777" w:rsidR="00F517FD" w:rsidRPr="00AF6C62" w:rsidRDefault="00F517FD" w:rsidP="00F517FD">
            <w:pPr>
              <w:spacing w:after="0" w:line="240" w:lineRule="auto"/>
              <w:jc w:val="center"/>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 xml:space="preserve">Predmet </w:t>
            </w:r>
          </w:p>
        </w:tc>
        <w:tc>
          <w:tcPr>
            <w:tcW w:w="127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4AACBD1" w14:textId="77777777" w:rsidR="00F517FD" w:rsidRPr="00AF6C62" w:rsidRDefault="00F517FD" w:rsidP="00F517FD">
            <w:pPr>
              <w:spacing w:after="0" w:line="240" w:lineRule="auto"/>
              <w:jc w:val="center"/>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Št. naročil</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759E837" w14:textId="77777777" w:rsidR="00F517FD" w:rsidRPr="00AF6C62" w:rsidRDefault="00F517FD" w:rsidP="00F517FD">
            <w:pPr>
              <w:spacing w:after="0" w:line="240" w:lineRule="auto"/>
              <w:jc w:val="center"/>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Pogodbena vrednost</w:t>
            </w:r>
          </w:p>
        </w:tc>
        <w:tc>
          <w:tcPr>
            <w:tcW w:w="128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F2E7745" w14:textId="77777777" w:rsidR="00F517FD" w:rsidRPr="00AF6C62" w:rsidRDefault="00F517FD" w:rsidP="00F517FD">
            <w:pPr>
              <w:spacing w:after="0" w:line="240" w:lineRule="auto"/>
              <w:jc w:val="center"/>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Delež v št. naročil</w:t>
            </w:r>
          </w:p>
        </w:tc>
        <w:tc>
          <w:tcPr>
            <w:tcW w:w="130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4A2847C" w14:textId="77777777" w:rsidR="00F517FD" w:rsidRPr="00AF6C62" w:rsidRDefault="00F517FD" w:rsidP="00F517FD">
            <w:pPr>
              <w:spacing w:after="0" w:line="240" w:lineRule="auto"/>
              <w:jc w:val="center"/>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Delež v vrednosti</w:t>
            </w:r>
          </w:p>
        </w:tc>
      </w:tr>
      <w:tr w:rsidR="00AF6C62" w:rsidRPr="00AF6C62" w14:paraId="0DB9EE5F" w14:textId="77777777" w:rsidTr="00AF6C62">
        <w:trPr>
          <w:trHeight w:val="255"/>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67581A09" w14:textId="77777777" w:rsidR="00AF6C62" w:rsidRPr="00AF6C62" w:rsidRDefault="00AF6C62" w:rsidP="00AF6C62">
            <w:pPr>
              <w:spacing w:after="0" w:line="240" w:lineRule="auto"/>
              <w:jc w:val="both"/>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Blago</w:t>
            </w:r>
          </w:p>
        </w:tc>
        <w:tc>
          <w:tcPr>
            <w:tcW w:w="1271" w:type="dxa"/>
            <w:tcBorders>
              <w:top w:val="nil"/>
              <w:left w:val="nil"/>
              <w:bottom w:val="single" w:sz="4" w:space="0" w:color="auto"/>
              <w:right w:val="single" w:sz="4" w:space="0" w:color="auto"/>
            </w:tcBorders>
            <w:shd w:val="clear" w:color="auto" w:fill="auto"/>
            <w:vAlign w:val="center"/>
            <w:hideMark/>
          </w:tcPr>
          <w:p w14:paraId="39EBC388" w14:textId="755B7A28" w:rsidR="00AF6C62" w:rsidRPr="00AF6C62" w:rsidRDefault="00AF6C62" w:rsidP="00AF6C62">
            <w:pPr>
              <w:spacing w:after="0" w:line="240" w:lineRule="auto"/>
              <w:jc w:val="right"/>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549.410</w:t>
            </w:r>
          </w:p>
        </w:tc>
        <w:tc>
          <w:tcPr>
            <w:tcW w:w="1559" w:type="dxa"/>
            <w:tcBorders>
              <w:top w:val="nil"/>
              <w:left w:val="nil"/>
              <w:bottom w:val="single" w:sz="4" w:space="0" w:color="auto"/>
              <w:right w:val="single" w:sz="4" w:space="0" w:color="auto"/>
            </w:tcBorders>
            <w:shd w:val="clear" w:color="auto" w:fill="auto"/>
            <w:vAlign w:val="center"/>
            <w:hideMark/>
          </w:tcPr>
          <w:p w14:paraId="24B90057" w14:textId="73F06D56" w:rsidR="00AF6C62" w:rsidRPr="00AF6C62" w:rsidRDefault="00AF6C62" w:rsidP="00AF6C62">
            <w:pPr>
              <w:spacing w:after="0" w:line="240" w:lineRule="auto"/>
              <w:jc w:val="right"/>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509.725.436</w:t>
            </w:r>
          </w:p>
        </w:tc>
        <w:tc>
          <w:tcPr>
            <w:tcW w:w="1281" w:type="dxa"/>
            <w:tcBorders>
              <w:top w:val="nil"/>
              <w:left w:val="nil"/>
              <w:bottom w:val="single" w:sz="4" w:space="0" w:color="auto"/>
              <w:right w:val="single" w:sz="4" w:space="0" w:color="auto"/>
            </w:tcBorders>
            <w:shd w:val="clear" w:color="auto" w:fill="auto"/>
            <w:noWrap/>
            <w:vAlign w:val="center"/>
            <w:hideMark/>
          </w:tcPr>
          <w:p w14:paraId="684ECB77" w14:textId="276A4818" w:rsidR="00AF6C62" w:rsidRPr="00AF6C62" w:rsidRDefault="00AF6C62" w:rsidP="00AF6C62">
            <w:pPr>
              <w:spacing w:after="0" w:line="240" w:lineRule="auto"/>
              <w:jc w:val="right"/>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50,75 %</w:t>
            </w:r>
          </w:p>
        </w:tc>
        <w:tc>
          <w:tcPr>
            <w:tcW w:w="1306" w:type="dxa"/>
            <w:tcBorders>
              <w:top w:val="nil"/>
              <w:left w:val="nil"/>
              <w:bottom w:val="single" w:sz="4" w:space="0" w:color="auto"/>
              <w:right w:val="single" w:sz="4" w:space="0" w:color="auto"/>
            </w:tcBorders>
            <w:shd w:val="clear" w:color="auto" w:fill="auto"/>
            <w:noWrap/>
            <w:vAlign w:val="center"/>
            <w:hideMark/>
          </w:tcPr>
          <w:p w14:paraId="31E08779" w14:textId="01D05B11" w:rsidR="00AF6C62" w:rsidRPr="00AF6C62" w:rsidRDefault="00AF6C62" w:rsidP="00AF6C62">
            <w:pPr>
              <w:spacing w:after="0" w:line="240" w:lineRule="auto"/>
              <w:jc w:val="right"/>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35,48 %</w:t>
            </w:r>
          </w:p>
        </w:tc>
      </w:tr>
      <w:tr w:rsidR="00AF6C62" w:rsidRPr="00AF6C62" w14:paraId="0412BFD2" w14:textId="77777777" w:rsidTr="00AF6C62">
        <w:trPr>
          <w:trHeight w:val="255"/>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30FA7BF1" w14:textId="77777777" w:rsidR="00AF6C62" w:rsidRPr="00AF6C62" w:rsidRDefault="00AF6C62" w:rsidP="00AF6C62">
            <w:pPr>
              <w:spacing w:after="0" w:line="240" w:lineRule="auto"/>
              <w:jc w:val="both"/>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Storitve</w:t>
            </w:r>
          </w:p>
        </w:tc>
        <w:tc>
          <w:tcPr>
            <w:tcW w:w="1271" w:type="dxa"/>
            <w:tcBorders>
              <w:top w:val="nil"/>
              <w:left w:val="nil"/>
              <w:bottom w:val="single" w:sz="4" w:space="0" w:color="auto"/>
              <w:right w:val="single" w:sz="4" w:space="0" w:color="auto"/>
            </w:tcBorders>
            <w:shd w:val="clear" w:color="auto" w:fill="auto"/>
            <w:vAlign w:val="center"/>
            <w:hideMark/>
          </w:tcPr>
          <w:p w14:paraId="1471A6B1" w14:textId="56D61998" w:rsidR="00AF6C62" w:rsidRPr="00AF6C62" w:rsidRDefault="00AF6C62" w:rsidP="00AF6C62">
            <w:pPr>
              <w:spacing w:after="0" w:line="240" w:lineRule="auto"/>
              <w:jc w:val="right"/>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517.516</w:t>
            </w:r>
          </w:p>
        </w:tc>
        <w:tc>
          <w:tcPr>
            <w:tcW w:w="1559" w:type="dxa"/>
            <w:tcBorders>
              <w:top w:val="nil"/>
              <w:left w:val="nil"/>
              <w:bottom w:val="single" w:sz="4" w:space="0" w:color="auto"/>
              <w:right w:val="single" w:sz="4" w:space="0" w:color="auto"/>
            </w:tcBorders>
            <w:shd w:val="clear" w:color="auto" w:fill="auto"/>
            <w:vAlign w:val="center"/>
            <w:hideMark/>
          </w:tcPr>
          <w:p w14:paraId="67149B7B" w14:textId="26137385" w:rsidR="00AF6C62" w:rsidRPr="00AF6C62" w:rsidRDefault="00AF6C62" w:rsidP="00AF6C62">
            <w:pPr>
              <w:spacing w:after="0" w:line="240" w:lineRule="auto"/>
              <w:jc w:val="right"/>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752.368.877</w:t>
            </w:r>
          </w:p>
        </w:tc>
        <w:tc>
          <w:tcPr>
            <w:tcW w:w="1281" w:type="dxa"/>
            <w:tcBorders>
              <w:top w:val="nil"/>
              <w:left w:val="nil"/>
              <w:bottom w:val="single" w:sz="4" w:space="0" w:color="auto"/>
              <w:right w:val="single" w:sz="4" w:space="0" w:color="auto"/>
            </w:tcBorders>
            <w:shd w:val="clear" w:color="auto" w:fill="auto"/>
            <w:noWrap/>
            <w:vAlign w:val="center"/>
            <w:hideMark/>
          </w:tcPr>
          <w:p w14:paraId="1C9DACF4" w14:textId="5FC6DAFF" w:rsidR="00AF6C62" w:rsidRPr="00AF6C62" w:rsidRDefault="00AF6C62" w:rsidP="00AF6C62">
            <w:pPr>
              <w:spacing w:after="0" w:line="240" w:lineRule="auto"/>
              <w:jc w:val="right"/>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47,80 %</w:t>
            </w:r>
          </w:p>
        </w:tc>
        <w:tc>
          <w:tcPr>
            <w:tcW w:w="1306" w:type="dxa"/>
            <w:tcBorders>
              <w:top w:val="nil"/>
              <w:left w:val="nil"/>
              <w:bottom w:val="single" w:sz="4" w:space="0" w:color="auto"/>
              <w:right w:val="single" w:sz="4" w:space="0" w:color="auto"/>
            </w:tcBorders>
            <w:shd w:val="clear" w:color="auto" w:fill="auto"/>
            <w:noWrap/>
            <w:vAlign w:val="center"/>
            <w:hideMark/>
          </w:tcPr>
          <w:p w14:paraId="6800DC5D" w14:textId="3D74A213" w:rsidR="00AF6C62" w:rsidRPr="00AF6C62" w:rsidRDefault="00AF6C62" w:rsidP="00AF6C62">
            <w:pPr>
              <w:spacing w:after="0" w:line="240" w:lineRule="auto"/>
              <w:jc w:val="right"/>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52,36 %</w:t>
            </w:r>
          </w:p>
        </w:tc>
      </w:tr>
      <w:tr w:rsidR="00AF6C62" w:rsidRPr="00AF6C62" w14:paraId="0461B9C0" w14:textId="77777777" w:rsidTr="00AF6C62">
        <w:trPr>
          <w:trHeight w:val="255"/>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5E557B35" w14:textId="77777777" w:rsidR="00AF6C62" w:rsidRPr="00AF6C62" w:rsidRDefault="00AF6C62" w:rsidP="00AF6C62">
            <w:pPr>
              <w:spacing w:after="0" w:line="240" w:lineRule="auto"/>
              <w:jc w:val="both"/>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Gradnje</w:t>
            </w:r>
          </w:p>
        </w:tc>
        <w:tc>
          <w:tcPr>
            <w:tcW w:w="1271" w:type="dxa"/>
            <w:tcBorders>
              <w:top w:val="nil"/>
              <w:left w:val="nil"/>
              <w:bottom w:val="single" w:sz="4" w:space="0" w:color="auto"/>
              <w:right w:val="single" w:sz="4" w:space="0" w:color="auto"/>
            </w:tcBorders>
            <w:shd w:val="clear" w:color="auto" w:fill="auto"/>
            <w:vAlign w:val="center"/>
            <w:hideMark/>
          </w:tcPr>
          <w:p w14:paraId="106488A2" w14:textId="7BB8C63F" w:rsidR="00AF6C62" w:rsidRPr="00AF6C62" w:rsidRDefault="00AF6C62" w:rsidP="00AF6C62">
            <w:pPr>
              <w:spacing w:after="0" w:line="240" w:lineRule="auto"/>
              <w:jc w:val="right"/>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15.730</w:t>
            </w:r>
          </w:p>
        </w:tc>
        <w:tc>
          <w:tcPr>
            <w:tcW w:w="1559" w:type="dxa"/>
            <w:tcBorders>
              <w:top w:val="nil"/>
              <w:left w:val="nil"/>
              <w:bottom w:val="single" w:sz="4" w:space="0" w:color="auto"/>
              <w:right w:val="single" w:sz="4" w:space="0" w:color="auto"/>
            </w:tcBorders>
            <w:shd w:val="clear" w:color="auto" w:fill="auto"/>
            <w:vAlign w:val="center"/>
            <w:hideMark/>
          </w:tcPr>
          <w:p w14:paraId="7BDA634C" w14:textId="1063F9EA" w:rsidR="00AF6C62" w:rsidRPr="00AF6C62" w:rsidRDefault="00AF6C62" w:rsidP="00AF6C62">
            <w:pPr>
              <w:spacing w:after="0" w:line="240" w:lineRule="auto"/>
              <w:jc w:val="right"/>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174.701.692</w:t>
            </w:r>
          </w:p>
        </w:tc>
        <w:tc>
          <w:tcPr>
            <w:tcW w:w="1281" w:type="dxa"/>
            <w:tcBorders>
              <w:top w:val="nil"/>
              <w:left w:val="nil"/>
              <w:bottom w:val="single" w:sz="4" w:space="0" w:color="auto"/>
              <w:right w:val="single" w:sz="4" w:space="0" w:color="auto"/>
            </w:tcBorders>
            <w:shd w:val="clear" w:color="auto" w:fill="auto"/>
            <w:noWrap/>
            <w:vAlign w:val="center"/>
            <w:hideMark/>
          </w:tcPr>
          <w:p w14:paraId="04206083" w14:textId="08214D7F" w:rsidR="00AF6C62" w:rsidRPr="00AF6C62" w:rsidRDefault="00AF6C62" w:rsidP="00AF6C62">
            <w:pPr>
              <w:spacing w:after="0" w:line="240" w:lineRule="auto"/>
              <w:jc w:val="right"/>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1,45 %</w:t>
            </w:r>
          </w:p>
        </w:tc>
        <w:tc>
          <w:tcPr>
            <w:tcW w:w="1306" w:type="dxa"/>
            <w:tcBorders>
              <w:top w:val="nil"/>
              <w:left w:val="nil"/>
              <w:bottom w:val="single" w:sz="4" w:space="0" w:color="auto"/>
              <w:right w:val="single" w:sz="4" w:space="0" w:color="auto"/>
            </w:tcBorders>
            <w:shd w:val="clear" w:color="auto" w:fill="auto"/>
            <w:noWrap/>
            <w:vAlign w:val="center"/>
            <w:hideMark/>
          </w:tcPr>
          <w:p w14:paraId="6923257A" w14:textId="1768B154" w:rsidR="00AF6C62" w:rsidRPr="00AF6C62" w:rsidRDefault="00AF6C62" w:rsidP="00AF6C62">
            <w:pPr>
              <w:spacing w:after="0" w:line="240" w:lineRule="auto"/>
              <w:jc w:val="right"/>
              <w:rPr>
                <w:rFonts w:ascii="Arial" w:eastAsia="Times New Roman" w:hAnsi="Arial" w:cs="Arial"/>
                <w:color w:val="000000"/>
                <w:sz w:val="18"/>
                <w:szCs w:val="18"/>
                <w:lang w:eastAsia="sl-SI"/>
              </w:rPr>
            </w:pPr>
            <w:r w:rsidRPr="00AF6C62">
              <w:rPr>
                <w:rFonts w:ascii="Arial" w:eastAsia="Times New Roman" w:hAnsi="Arial" w:cs="Arial"/>
                <w:color w:val="000000"/>
                <w:sz w:val="18"/>
                <w:szCs w:val="18"/>
                <w:lang w:eastAsia="sl-SI"/>
              </w:rPr>
              <w:t>12,16 %</w:t>
            </w:r>
          </w:p>
        </w:tc>
      </w:tr>
      <w:tr w:rsidR="00AF6C62" w:rsidRPr="00AF6C62" w14:paraId="1BF7552F" w14:textId="77777777" w:rsidTr="00AF6C62">
        <w:trPr>
          <w:trHeight w:val="255"/>
          <w:jc w:val="center"/>
        </w:trPr>
        <w:tc>
          <w:tcPr>
            <w:tcW w:w="1701"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41FBAF7" w14:textId="77777777" w:rsidR="00AF6C62" w:rsidRPr="00AF6C62" w:rsidRDefault="00AF6C62" w:rsidP="00AF6C62">
            <w:pPr>
              <w:spacing w:after="0" w:line="240" w:lineRule="auto"/>
              <w:jc w:val="both"/>
              <w:rPr>
                <w:rFonts w:ascii="Arial" w:eastAsia="Times New Roman" w:hAnsi="Arial" w:cs="Arial"/>
                <w:b/>
                <w:bCs/>
                <w:color w:val="000000"/>
                <w:sz w:val="18"/>
                <w:szCs w:val="18"/>
                <w:lang w:eastAsia="sl-SI"/>
              </w:rPr>
            </w:pPr>
            <w:r w:rsidRPr="00AF6C62">
              <w:rPr>
                <w:rFonts w:ascii="Arial" w:eastAsia="Times New Roman" w:hAnsi="Arial" w:cs="Arial"/>
                <w:b/>
                <w:bCs/>
                <w:color w:val="000000"/>
                <w:sz w:val="18"/>
                <w:szCs w:val="18"/>
                <w:lang w:eastAsia="sl-SI"/>
              </w:rPr>
              <w:t>Skupaj</w:t>
            </w:r>
          </w:p>
        </w:tc>
        <w:tc>
          <w:tcPr>
            <w:tcW w:w="1271" w:type="dxa"/>
            <w:tcBorders>
              <w:top w:val="nil"/>
              <w:left w:val="nil"/>
              <w:bottom w:val="single" w:sz="4" w:space="0" w:color="auto"/>
              <w:right w:val="single" w:sz="4" w:space="0" w:color="auto"/>
            </w:tcBorders>
            <w:shd w:val="clear" w:color="auto" w:fill="F2F2F2" w:themeFill="background1" w:themeFillShade="F2"/>
            <w:noWrap/>
            <w:vAlign w:val="center"/>
            <w:hideMark/>
          </w:tcPr>
          <w:p w14:paraId="405462C2" w14:textId="722C0802" w:rsidR="00AF6C62" w:rsidRPr="00AF6C62" w:rsidRDefault="00AF6C62" w:rsidP="00AF6C62">
            <w:pPr>
              <w:spacing w:after="0" w:line="240" w:lineRule="auto"/>
              <w:jc w:val="right"/>
              <w:rPr>
                <w:rFonts w:ascii="Arial" w:eastAsia="Times New Roman" w:hAnsi="Arial" w:cs="Arial"/>
                <w:b/>
                <w:bCs/>
                <w:color w:val="000000"/>
                <w:sz w:val="18"/>
                <w:szCs w:val="18"/>
                <w:lang w:eastAsia="sl-SI"/>
              </w:rPr>
            </w:pPr>
            <w:r w:rsidRPr="00AF6C62">
              <w:rPr>
                <w:rFonts w:ascii="Arial" w:eastAsia="Times New Roman" w:hAnsi="Arial" w:cs="Arial"/>
                <w:b/>
                <w:bCs/>
                <w:color w:val="000000"/>
                <w:sz w:val="18"/>
                <w:szCs w:val="18"/>
                <w:lang w:eastAsia="sl-SI"/>
              </w:rPr>
              <w:t>1.082.656</w:t>
            </w:r>
          </w:p>
        </w:tc>
        <w:tc>
          <w:tcPr>
            <w:tcW w:w="1559" w:type="dxa"/>
            <w:tcBorders>
              <w:top w:val="nil"/>
              <w:left w:val="nil"/>
              <w:bottom w:val="single" w:sz="4" w:space="0" w:color="auto"/>
              <w:right w:val="single" w:sz="4" w:space="0" w:color="auto"/>
            </w:tcBorders>
            <w:shd w:val="clear" w:color="auto" w:fill="F2F2F2" w:themeFill="background1" w:themeFillShade="F2"/>
            <w:noWrap/>
            <w:vAlign w:val="center"/>
            <w:hideMark/>
          </w:tcPr>
          <w:p w14:paraId="005D7BD4" w14:textId="0669F474" w:rsidR="00AF6C62" w:rsidRPr="00AF6C62" w:rsidRDefault="00AF6C62" w:rsidP="00AF6C62">
            <w:pPr>
              <w:spacing w:after="0" w:line="240" w:lineRule="auto"/>
              <w:jc w:val="right"/>
              <w:rPr>
                <w:rFonts w:ascii="Arial" w:eastAsia="Times New Roman" w:hAnsi="Arial" w:cs="Arial"/>
                <w:b/>
                <w:bCs/>
                <w:color w:val="000000"/>
                <w:sz w:val="18"/>
                <w:szCs w:val="18"/>
                <w:lang w:eastAsia="sl-SI"/>
              </w:rPr>
            </w:pPr>
            <w:r w:rsidRPr="00AF6C62">
              <w:rPr>
                <w:rFonts w:ascii="Arial" w:eastAsia="Times New Roman" w:hAnsi="Arial" w:cs="Arial"/>
                <w:b/>
                <w:bCs/>
                <w:color w:val="000000"/>
                <w:sz w:val="18"/>
                <w:szCs w:val="18"/>
                <w:lang w:eastAsia="sl-SI"/>
              </w:rPr>
              <w:t>1.436.796.005</w:t>
            </w:r>
          </w:p>
        </w:tc>
        <w:tc>
          <w:tcPr>
            <w:tcW w:w="1281" w:type="dxa"/>
            <w:tcBorders>
              <w:top w:val="nil"/>
              <w:left w:val="nil"/>
              <w:bottom w:val="single" w:sz="4" w:space="0" w:color="auto"/>
              <w:right w:val="single" w:sz="4" w:space="0" w:color="auto"/>
            </w:tcBorders>
            <w:shd w:val="clear" w:color="auto" w:fill="F2F2F2" w:themeFill="background1" w:themeFillShade="F2"/>
            <w:noWrap/>
            <w:vAlign w:val="center"/>
            <w:hideMark/>
          </w:tcPr>
          <w:p w14:paraId="1D643535" w14:textId="3917A47F" w:rsidR="00AF6C62" w:rsidRPr="00AF6C62" w:rsidRDefault="00AF6C62" w:rsidP="00AF6C62">
            <w:pPr>
              <w:spacing w:after="0" w:line="240" w:lineRule="auto"/>
              <w:jc w:val="right"/>
              <w:rPr>
                <w:rFonts w:ascii="Arial" w:eastAsia="Times New Roman" w:hAnsi="Arial" w:cs="Arial"/>
                <w:b/>
                <w:bCs/>
                <w:color w:val="000000"/>
                <w:sz w:val="18"/>
                <w:szCs w:val="18"/>
                <w:lang w:eastAsia="sl-SI"/>
              </w:rPr>
            </w:pPr>
            <w:r w:rsidRPr="00AF6C62">
              <w:rPr>
                <w:rFonts w:ascii="Arial" w:eastAsia="Times New Roman" w:hAnsi="Arial" w:cs="Arial"/>
                <w:b/>
                <w:bCs/>
                <w:color w:val="000000"/>
                <w:sz w:val="18"/>
                <w:szCs w:val="18"/>
                <w:lang w:eastAsia="sl-SI"/>
              </w:rPr>
              <w:t>100,00 %</w:t>
            </w:r>
          </w:p>
        </w:tc>
        <w:tc>
          <w:tcPr>
            <w:tcW w:w="1306" w:type="dxa"/>
            <w:tcBorders>
              <w:top w:val="nil"/>
              <w:left w:val="nil"/>
              <w:bottom w:val="single" w:sz="4" w:space="0" w:color="auto"/>
              <w:right w:val="single" w:sz="4" w:space="0" w:color="auto"/>
            </w:tcBorders>
            <w:shd w:val="clear" w:color="auto" w:fill="F2F2F2" w:themeFill="background1" w:themeFillShade="F2"/>
            <w:noWrap/>
            <w:vAlign w:val="center"/>
            <w:hideMark/>
          </w:tcPr>
          <w:p w14:paraId="2859E6C8" w14:textId="52B181EF" w:rsidR="00AF6C62" w:rsidRPr="00AF6C62" w:rsidRDefault="00AF6C62" w:rsidP="00AF6C62">
            <w:pPr>
              <w:spacing w:after="0" w:line="240" w:lineRule="auto"/>
              <w:jc w:val="right"/>
              <w:rPr>
                <w:rFonts w:ascii="Arial" w:eastAsia="Times New Roman" w:hAnsi="Arial" w:cs="Arial"/>
                <w:b/>
                <w:bCs/>
                <w:color w:val="000000"/>
                <w:sz w:val="18"/>
                <w:szCs w:val="18"/>
                <w:lang w:eastAsia="sl-SI"/>
              </w:rPr>
            </w:pPr>
            <w:r w:rsidRPr="00AF6C62">
              <w:rPr>
                <w:rFonts w:ascii="Arial" w:eastAsia="Times New Roman" w:hAnsi="Arial" w:cs="Arial"/>
                <w:b/>
                <w:bCs/>
                <w:color w:val="000000"/>
                <w:sz w:val="18"/>
                <w:szCs w:val="18"/>
                <w:lang w:eastAsia="sl-SI"/>
              </w:rPr>
              <w:t>100,00 %</w:t>
            </w:r>
          </w:p>
        </w:tc>
      </w:tr>
    </w:tbl>
    <w:p w14:paraId="3B23648A" w14:textId="77777777" w:rsidR="00F517FD" w:rsidRPr="00AF6C62" w:rsidRDefault="00F517FD" w:rsidP="00315538">
      <w:pPr>
        <w:spacing w:after="0" w:line="240" w:lineRule="auto"/>
        <w:jc w:val="center"/>
        <w:rPr>
          <w:rFonts w:ascii="Arial" w:hAnsi="Arial" w:cs="Arial"/>
          <w:noProof/>
          <w:sz w:val="20"/>
          <w:szCs w:val="20"/>
          <w:lang w:eastAsia="sl-SI"/>
        </w:rPr>
      </w:pPr>
    </w:p>
    <w:p w14:paraId="3A0F5B70" w14:textId="2608AE0F" w:rsidR="00315538" w:rsidRPr="00AF6C62" w:rsidRDefault="00315538" w:rsidP="00315538">
      <w:pPr>
        <w:spacing w:after="0" w:line="360" w:lineRule="auto"/>
        <w:jc w:val="center"/>
        <w:rPr>
          <w:rFonts w:ascii="Arial" w:hAnsi="Arial" w:cs="Arial"/>
          <w:sz w:val="18"/>
        </w:rPr>
      </w:pPr>
      <w:r w:rsidRPr="00AF6C62">
        <w:rPr>
          <w:rFonts w:ascii="Arial" w:hAnsi="Arial" w:cs="Arial"/>
          <w:sz w:val="18"/>
        </w:rPr>
        <w:t>Vir: Statistični podatki o javnih naročilih, oddanih v letu 20</w:t>
      </w:r>
      <w:r w:rsidR="00F517FD" w:rsidRPr="00AF6C62">
        <w:rPr>
          <w:rFonts w:ascii="Arial" w:hAnsi="Arial" w:cs="Arial"/>
          <w:sz w:val="18"/>
        </w:rPr>
        <w:t>2</w:t>
      </w:r>
      <w:r w:rsidR="00AF6C62" w:rsidRPr="00AF6C62">
        <w:rPr>
          <w:rFonts w:ascii="Arial" w:hAnsi="Arial" w:cs="Arial"/>
          <w:sz w:val="18"/>
        </w:rPr>
        <w:t>2</w:t>
      </w:r>
      <w:r w:rsidR="007B25B7" w:rsidRPr="00AF6C62">
        <w:rPr>
          <w:rFonts w:ascii="Arial" w:hAnsi="Arial" w:cs="Arial"/>
          <w:sz w:val="18"/>
        </w:rPr>
        <w:t>.</w:t>
      </w:r>
    </w:p>
    <w:p w14:paraId="1D60AAC5" w14:textId="77777777" w:rsidR="00AF6C62" w:rsidRDefault="00AF6C62" w:rsidP="00AF6C62">
      <w:pPr>
        <w:spacing w:line="360" w:lineRule="auto"/>
        <w:jc w:val="both"/>
        <w:rPr>
          <w:rFonts w:ascii="Arial" w:hAnsi="Arial" w:cs="Arial"/>
          <w:sz w:val="20"/>
          <w:szCs w:val="20"/>
          <w:lang w:eastAsia="sl-SI"/>
        </w:rPr>
      </w:pPr>
    </w:p>
    <w:p w14:paraId="1BC296E5" w14:textId="78B37CEC" w:rsidR="00094557" w:rsidRPr="00AF6C62" w:rsidRDefault="00AF6C62" w:rsidP="00AF6C62">
      <w:pPr>
        <w:spacing w:line="360" w:lineRule="auto"/>
        <w:jc w:val="both"/>
        <w:rPr>
          <w:rFonts w:ascii="Arial" w:eastAsia="Times New Roman" w:hAnsi="Arial" w:cs="Arial"/>
          <w:color w:val="000000"/>
          <w:sz w:val="20"/>
          <w:szCs w:val="20"/>
          <w:lang w:eastAsia="sl-SI"/>
        </w:rPr>
      </w:pPr>
      <w:r w:rsidRPr="00DF62A4">
        <w:rPr>
          <w:rFonts w:ascii="Arial" w:hAnsi="Arial" w:cs="Arial"/>
          <w:sz w:val="20"/>
          <w:szCs w:val="20"/>
          <w:lang w:eastAsia="sl-SI"/>
        </w:rPr>
        <w:t xml:space="preserve">Leta 2022 so po vrednosti največ evidenčnih naročil oddali: </w:t>
      </w:r>
      <w:r w:rsidRPr="00DF62A4">
        <w:rPr>
          <w:rFonts w:ascii="Arial" w:eastAsia="Times New Roman" w:hAnsi="Arial" w:cs="Arial"/>
          <w:color w:val="000000"/>
          <w:sz w:val="20"/>
          <w:szCs w:val="20"/>
          <w:lang w:eastAsia="sl-SI"/>
        </w:rPr>
        <w:t xml:space="preserve">Univerzitetni klinični center Ljubljana (84.394 naročil v vrednosti 106.009.968 evrov), </w:t>
      </w:r>
      <w:proofErr w:type="spellStart"/>
      <w:r w:rsidRPr="00DF62A4">
        <w:rPr>
          <w:rFonts w:ascii="Arial" w:eastAsia="Times New Roman" w:hAnsi="Arial" w:cs="Arial"/>
          <w:color w:val="000000"/>
          <w:sz w:val="20"/>
          <w:szCs w:val="20"/>
          <w:lang w:eastAsia="sl-SI"/>
        </w:rPr>
        <w:t>Fraport</w:t>
      </w:r>
      <w:proofErr w:type="spellEnd"/>
      <w:r w:rsidRPr="00DF62A4">
        <w:rPr>
          <w:rFonts w:ascii="Arial" w:eastAsia="Times New Roman" w:hAnsi="Arial" w:cs="Arial"/>
          <w:color w:val="000000"/>
          <w:sz w:val="20"/>
          <w:szCs w:val="20"/>
          <w:lang w:eastAsia="sl-SI"/>
        </w:rPr>
        <w:t xml:space="preserve"> Slovenija, upravljanje letališč, </w:t>
      </w:r>
      <w:proofErr w:type="spellStart"/>
      <w:r w:rsidRPr="00DF62A4">
        <w:rPr>
          <w:rFonts w:ascii="Arial" w:eastAsia="Times New Roman" w:hAnsi="Arial" w:cs="Arial"/>
          <w:color w:val="000000"/>
          <w:sz w:val="20"/>
          <w:szCs w:val="20"/>
          <w:lang w:eastAsia="sl-SI"/>
        </w:rPr>
        <w:t>d.o.o</w:t>
      </w:r>
      <w:proofErr w:type="spellEnd"/>
      <w:r w:rsidRPr="00DF62A4">
        <w:rPr>
          <w:rFonts w:ascii="Arial" w:eastAsia="Times New Roman" w:hAnsi="Arial" w:cs="Arial"/>
          <w:color w:val="000000"/>
          <w:sz w:val="20"/>
          <w:szCs w:val="20"/>
          <w:lang w:eastAsia="sl-SI"/>
        </w:rPr>
        <w:t>. (4233 naročil v vrednosti 48.954.462 evrov</w:t>
      </w:r>
      <w:r w:rsidRPr="00FA5051">
        <w:rPr>
          <w:rFonts w:ascii="Arial" w:eastAsia="Times New Roman" w:hAnsi="Arial" w:cs="Arial"/>
          <w:color w:val="000000"/>
          <w:sz w:val="20"/>
          <w:szCs w:val="20"/>
          <w:lang w:eastAsia="sl-SI"/>
        </w:rPr>
        <w:t>), Direkcija RS za infrastrukturo (1203 naročil v vrednosti 17.085.369 evrov), Mestna občina Ljubljana (3062 naročil v vrednosti 14.840.242 evrov) in Ministrstvo za notranje zadeve Policija (2.179 naročil v vrednosti 13.595.451 evrov).</w:t>
      </w:r>
      <w:r>
        <w:rPr>
          <w:rFonts w:ascii="Arial" w:eastAsia="Times New Roman" w:hAnsi="Arial" w:cs="Arial"/>
          <w:color w:val="000000"/>
          <w:sz w:val="20"/>
          <w:szCs w:val="20"/>
          <w:lang w:eastAsia="sl-SI"/>
        </w:rPr>
        <w:t xml:space="preserve"> </w:t>
      </w:r>
    </w:p>
    <w:p w14:paraId="6015A716" w14:textId="7AB53668" w:rsidR="006341A4" w:rsidRPr="00AF6C62" w:rsidRDefault="006341A4" w:rsidP="006341A4">
      <w:pPr>
        <w:pStyle w:val="Naslov2"/>
        <w:rPr>
          <w:rFonts w:ascii="Arial" w:hAnsi="Arial" w:cs="Arial"/>
          <w:szCs w:val="20"/>
        </w:rPr>
      </w:pPr>
      <w:bookmarkStart w:id="52" w:name="_Toc141864082"/>
      <w:r w:rsidRPr="00AF6C62">
        <w:rPr>
          <w:rFonts w:ascii="Arial" w:hAnsi="Arial" w:cs="Arial"/>
          <w:sz w:val="22"/>
          <w:szCs w:val="22"/>
        </w:rPr>
        <w:t>2.1</w:t>
      </w:r>
      <w:r w:rsidR="00FA2740" w:rsidRPr="00AF6C62">
        <w:rPr>
          <w:rFonts w:ascii="Arial" w:hAnsi="Arial" w:cs="Arial"/>
          <w:sz w:val="22"/>
          <w:szCs w:val="22"/>
        </w:rPr>
        <w:t>1</w:t>
      </w:r>
      <w:r w:rsidRPr="00AF6C62">
        <w:rPr>
          <w:rFonts w:ascii="Arial" w:hAnsi="Arial" w:cs="Arial"/>
          <w:sz w:val="22"/>
          <w:szCs w:val="22"/>
        </w:rPr>
        <w:t xml:space="preserve"> Javni natečaji</w:t>
      </w:r>
      <w:bookmarkEnd w:id="52"/>
    </w:p>
    <w:p w14:paraId="39B7DA1F" w14:textId="77777777" w:rsidR="006341A4" w:rsidRPr="00AF6C62" w:rsidRDefault="006341A4" w:rsidP="00854405">
      <w:pPr>
        <w:pStyle w:val="ZADEVA"/>
        <w:jc w:val="both"/>
        <w:rPr>
          <w:rFonts w:cs="Arial"/>
          <w:b w:val="0"/>
          <w:szCs w:val="20"/>
          <w:lang w:val="sl-SI"/>
        </w:rPr>
      </w:pPr>
    </w:p>
    <w:p w14:paraId="5D37BD03" w14:textId="565C894E" w:rsidR="006341A4" w:rsidRPr="006207FF" w:rsidRDefault="005522FF" w:rsidP="00A7513D">
      <w:pPr>
        <w:spacing w:line="360" w:lineRule="auto"/>
        <w:jc w:val="both"/>
        <w:rPr>
          <w:rFonts w:ascii="Arial" w:hAnsi="Arial" w:cs="Arial"/>
          <w:sz w:val="20"/>
          <w:szCs w:val="20"/>
          <w:lang w:eastAsia="sl-SI"/>
        </w:rPr>
      </w:pPr>
      <w:r w:rsidRPr="00AF6C62">
        <w:rPr>
          <w:rFonts w:ascii="Arial" w:hAnsi="Arial" w:cs="Arial"/>
          <w:sz w:val="20"/>
          <w:szCs w:val="20"/>
          <w:lang w:eastAsia="sl-SI"/>
        </w:rPr>
        <w:t>Leta</w:t>
      </w:r>
      <w:r w:rsidR="00F30D5E" w:rsidRPr="00AF6C62">
        <w:rPr>
          <w:rFonts w:ascii="Arial" w:hAnsi="Arial" w:cs="Arial"/>
          <w:sz w:val="20"/>
          <w:szCs w:val="20"/>
          <w:lang w:eastAsia="sl-SI"/>
        </w:rPr>
        <w:t xml:space="preserve"> 20</w:t>
      </w:r>
      <w:r w:rsidR="00967B8D" w:rsidRPr="00AF6C62">
        <w:rPr>
          <w:rFonts w:ascii="Arial" w:hAnsi="Arial" w:cs="Arial"/>
          <w:sz w:val="20"/>
          <w:szCs w:val="20"/>
          <w:lang w:eastAsia="sl-SI"/>
        </w:rPr>
        <w:t>2</w:t>
      </w:r>
      <w:r w:rsidR="00AF6C62" w:rsidRPr="00AF6C62">
        <w:rPr>
          <w:rFonts w:ascii="Arial" w:hAnsi="Arial" w:cs="Arial"/>
          <w:sz w:val="20"/>
          <w:szCs w:val="20"/>
          <w:lang w:eastAsia="sl-SI"/>
        </w:rPr>
        <w:t>2</w:t>
      </w:r>
      <w:r w:rsidR="0045098C" w:rsidRPr="00AF6C62">
        <w:rPr>
          <w:rFonts w:ascii="Arial" w:hAnsi="Arial" w:cs="Arial"/>
          <w:sz w:val="20"/>
          <w:szCs w:val="20"/>
          <w:lang w:eastAsia="sl-SI"/>
        </w:rPr>
        <w:t xml:space="preserve"> so naročniki izvedli </w:t>
      </w:r>
      <w:r w:rsidR="00AF6C62" w:rsidRPr="00AF6C62">
        <w:rPr>
          <w:rFonts w:ascii="Arial" w:hAnsi="Arial" w:cs="Arial"/>
          <w:sz w:val="20"/>
          <w:szCs w:val="20"/>
          <w:lang w:eastAsia="sl-SI"/>
        </w:rPr>
        <w:t>osemnajst</w:t>
      </w:r>
      <w:r w:rsidR="00A7513D" w:rsidRPr="00AF6C62">
        <w:rPr>
          <w:rFonts w:ascii="Arial" w:hAnsi="Arial" w:cs="Arial"/>
          <w:sz w:val="20"/>
          <w:szCs w:val="20"/>
          <w:lang w:eastAsia="sl-SI"/>
        </w:rPr>
        <w:t xml:space="preserve"> javnih</w:t>
      </w:r>
      <w:r w:rsidR="0045098C" w:rsidRPr="00AF6C62">
        <w:rPr>
          <w:rFonts w:ascii="Arial" w:hAnsi="Arial" w:cs="Arial"/>
          <w:sz w:val="20"/>
          <w:szCs w:val="20"/>
          <w:lang w:eastAsia="sl-SI"/>
        </w:rPr>
        <w:t xml:space="preserve"> </w:t>
      </w:r>
      <w:r w:rsidR="0045098C" w:rsidRPr="006207FF">
        <w:rPr>
          <w:rFonts w:ascii="Arial" w:hAnsi="Arial" w:cs="Arial"/>
          <w:sz w:val="20"/>
          <w:szCs w:val="20"/>
          <w:lang w:eastAsia="sl-SI"/>
        </w:rPr>
        <w:t xml:space="preserve">natečajev. </w:t>
      </w:r>
      <w:r w:rsidR="006207FF" w:rsidRPr="006207FF">
        <w:rPr>
          <w:rFonts w:ascii="Arial" w:hAnsi="Arial" w:cs="Arial"/>
          <w:sz w:val="20"/>
          <w:szCs w:val="20"/>
          <w:lang w:eastAsia="sl-SI"/>
        </w:rPr>
        <w:t xml:space="preserve">Deset so jih izvedli </w:t>
      </w:r>
      <w:r w:rsidR="00881E08" w:rsidRPr="006207FF">
        <w:rPr>
          <w:rFonts w:ascii="Arial" w:hAnsi="Arial" w:cs="Arial"/>
          <w:sz w:val="20"/>
          <w:szCs w:val="20"/>
          <w:lang w:eastAsia="sl-SI"/>
        </w:rPr>
        <w:t xml:space="preserve">organi samoupravnih </w:t>
      </w:r>
      <w:r w:rsidR="001F6C83" w:rsidRPr="006207FF">
        <w:rPr>
          <w:rFonts w:ascii="Arial" w:hAnsi="Arial" w:cs="Arial"/>
          <w:sz w:val="20"/>
          <w:szCs w:val="20"/>
          <w:lang w:eastAsia="sl-SI"/>
        </w:rPr>
        <w:t>lokalnih</w:t>
      </w:r>
      <w:r w:rsidR="00881E08" w:rsidRPr="006207FF">
        <w:rPr>
          <w:rFonts w:ascii="Arial" w:hAnsi="Arial" w:cs="Arial"/>
          <w:sz w:val="20"/>
          <w:szCs w:val="20"/>
          <w:lang w:eastAsia="sl-SI"/>
        </w:rPr>
        <w:t xml:space="preserve"> skupnosti,</w:t>
      </w:r>
      <w:r w:rsidR="006207FF" w:rsidRPr="006207FF">
        <w:rPr>
          <w:rFonts w:ascii="Arial" w:hAnsi="Arial" w:cs="Arial"/>
          <w:sz w:val="20"/>
          <w:szCs w:val="20"/>
          <w:lang w:eastAsia="sl-SI"/>
        </w:rPr>
        <w:t xml:space="preserve"> štiri javne natečaje so izvedli </w:t>
      </w:r>
      <w:r w:rsidR="00881E08" w:rsidRPr="006207FF">
        <w:rPr>
          <w:rFonts w:ascii="Arial" w:hAnsi="Arial" w:cs="Arial"/>
          <w:sz w:val="20"/>
          <w:szCs w:val="20"/>
          <w:lang w:eastAsia="sl-SI"/>
        </w:rPr>
        <w:t xml:space="preserve">javni </w:t>
      </w:r>
      <w:r w:rsidR="006207FF" w:rsidRPr="006207FF">
        <w:rPr>
          <w:rFonts w:ascii="Arial" w:hAnsi="Arial" w:cs="Arial"/>
          <w:sz w:val="20"/>
          <w:szCs w:val="20"/>
          <w:lang w:eastAsia="sl-SI"/>
        </w:rPr>
        <w:t>zavodi, dva javna natečaja</w:t>
      </w:r>
      <w:r w:rsidR="001F6C83" w:rsidRPr="006207FF">
        <w:rPr>
          <w:rFonts w:ascii="Arial" w:hAnsi="Arial" w:cs="Arial"/>
          <w:sz w:val="20"/>
          <w:szCs w:val="20"/>
          <w:lang w:eastAsia="sl-SI"/>
        </w:rPr>
        <w:t xml:space="preserve"> </w:t>
      </w:r>
      <w:r w:rsidR="00881E08" w:rsidRPr="006207FF">
        <w:rPr>
          <w:rFonts w:ascii="Arial" w:hAnsi="Arial" w:cs="Arial"/>
          <w:sz w:val="20"/>
          <w:szCs w:val="20"/>
          <w:lang w:eastAsia="sl-SI"/>
        </w:rPr>
        <w:t xml:space="preserve">drugi naročniki (osebe javnega prava, javna podjetja, subjekt s posebnimi infrastrukturnimi pravicami) </w:t>
      </w:r>
      <w:r w:rsidR="00653B9C">
        <w:rPr>
          <w:rFonts w:ascii="Arial" w:hAnsi="Arial" w:cs="Arial"/>
          <w:sz w:val="20"/>
          <w:szCs w:val="20"/>
          <w:lang w:eastAsia="sl-SI"/>
        </w:rPr>
        <w:t>ter</w:t>
      </w:r>
      <w:r w:rsidR="006207FF" w:rsidRPr="006207FF">
        <w:rPr>
          <w:rFonts w:ascii="Arial" w:hAnsi="Arial" w:cs="Arial"/>
          <w:sz w:val="20"/>
          <w:szCs w:val="20"/>
          <w:lang w:eastAsia="sl-SI"/>
        </w:rPr>
        <w:t xml:space="preserve"> javna agencija </w:t>
      </w:r>
      <w:r w:rsidR="00653B9C">
        <w:rPr>
          <w:rFonts w:ascii="Arial" w:hAnsi="Arial" w:cs="Arial"/>
          <w:sz w:val="20"/>
          <w:szCs w:val="20"/>
          <w:lang w:eastAsia="sl-SI"/>
        </w:rPr>
        <w:t>in</w:t>
      </w:r>
      <w:r w:rsidR="006207FF" w:rsidRPr="006207FF">
        <w:rPr>
          <w:rFonts w:ascii="Arial" w:hAnsi="Arial" w:cs="Arial"/>
          <w:sz w:val="20"/>
          <w:szCs w:val="20"/>
          <w:lang w:eastAsia="sl-SI"/>
        </w:rPr>
        <w:t xml:space="preserve"> javni sklad vsak po enega. </w:t>
      </w:r>
      <w:r w:rsidR="00881E08" w:rsidRPr="006207FF">
        <w:rPr>
          <w:rFonts w:ascii="Arial" w:hAnsi="Arial" w:cs="Arial"/>
          <w:sz w:val="20"/>
          <w:szCs w:val="20"/>
          <w:lang w:eastAsia="sl-SI"/>
        </w:rPr>
        <w:t xml:space="preserve"> </w:t>
      </w:r>
    </w:p>
    <w:p w14:paraId="2FB9A456" w14:textId="702C5B51" w:rsidR="00EE60C3" w:rsidRPr="006207FF" w:rsidRDefault="006C0EB0" w:rsidP="00EE60C3">
      <w:pPr>
        <w:spacing w:line="360" w:lineRule="auto"/>
        <w:jc w:val="both"/>
        <w:rPr>
          <w:rFonts w:ascii="Arial" w:eastAsia="Times New Roman" w:hAnsi="Arial" w:cs="Arial"/>
          <w:color w:val="000000"/>
          <w:sz w:val="20"/>
          <w:szCs w:val="20"/>
          <w:lang w:eastAsia="sl-SI"/>
        </w:rPr>
      </w:pPr>
      <w:r w:rsidRPr="006207FF">
        <w:rPr>
          <w:rFonts w:ascii="Arial" w:hAnsi="Arial" w:cs="Arial"/>
          <w:sz w:val="20"/>
          <w:szCs w:val="20"/>
          <w:lang w:eastAsia="sl-SI"/>
        </w:rPr>
        <w:t xml:space="preserve">Predmet javnega natečaja so bile </w:t>
      </w:r>
      <w:r w:rsidR="00EE60C3" w:rsidRPr="006207FF">
        <w:rPr>
          <w:rFonts w:ascii="Arial" w:hAnsi="Arial" w:cs="Arial"/>
          <w:sz w:val="20"/>
          <w:szCs w:val="20"/>
          <w:lang w:eastAsia="sl-SI"/>
        </w:rPr>
        <w:t xml:space="preserve">v </w:t>
      </w:r>
      <w:r w:rsidR="006207FF" w:rsidRPr="006207FF">
        <w:rPr>
          <w:rFonts w:ascii="Arial" w:hAnsi="Arial" w:cs="Arial"/>
          <w:sz w:val="20"/>
          <w:szCs w:val="20"/>
          <w:lang w:eastAsia="sl-SI"/>
        </w:rPr>
        <w:t>sedemnajstih</w:t>
      </w:r>
      <w:r w:rsidRPr="006207FF">
        <w:rPr>
          <w:rFonts w:ascii="Arial" w:hAnsi="Arial" w:cs="Arial"/>
          <w:sz w:val="20"/>
          <w:szCs w:val="20"/>
          <w:lang w:eastAsia="sl-SI"/>
        </w:rPr>
        <w:t xml:space="preserve"> primerih arhitekturne, gradben</w:t>
      </w:r>
      <w:r w:rsidR="00974C8A" w:rsidRPr="006207FF">
        <w:rPr>
          <w:rFonts w:ascii="Arial" w:hAnsi="Arial" w:cs="Arial"/>
          <w:sz w:val="20"/>
          <w:szCs w:val="20"/>
          <w:lang w:eastAsia="sl-SI"/>
        </w:rPr>
        <w:t>iške,</w:t>
      </w:r>
      <w:r w:rsidRPr="006207FF">
        <w:rPr>
          <w:rFonts w:ascii="Arial" w:hAnsi="Arial" w:cs="Arial"/>
          <w:sz w:val="20"/>
          <w:szCs w:val="20"/>
          <w:lang w:eastAsia="sl-SI"/>
        </w:rPr>
        <w:t xml:space="preserve"> inženirske </w:t>
      </w:r>
      <w:r w:rsidR="00974C8A" w:rsidRPr="006207FF">
        <w:rPr>
          <w:rFonts w:ascii="Arial" w:hAnsi="Arial" w:cs="Arial"/>
          <w:sz w:val="20"/>
          <w:szCs w:val="20"/>
          <w:lang w:eastAsia="sl-SI"/>
        </w:rPr>
        <w:t xml:space="preserve">in inšpekcijske </w:t>
      </w:r>
      <w:r w:rsidRPr="006207FF">
        <w:rPr>
          <w:rFonts w:ascii="Arial" w:hAnsi="Arial" w:cs="Arial"/>
          <w:sz w:val="20"/>
          <w:szCs w:val="20"/>
          <w:lang w:eastAsia="sl-SI"/>
        </w:rPr>
        <w:t>storitve</w:t>
      </w:r>
      <w:r w:rsidR="006207FF" w:rsidRPr="006207FF">
        <w:rPr>
          <w:rFonts w:ascii="Arial" w:hAnsi="Arial" w:cs="Arial"/>
          <w:sz w:val="20"/>
          <w:szCs w:val="20"/>
          <w:lang w:eastAsia="sl-SI"/>
        </w:rPr>
        <w:t xml:space="preserve"> ter v enem primeru poslovne storitve: pravo, trženje, svetovanje, zaposlovanje, tiskanje in varnost</w:t>
      </w:r>
      <w:r w:rsidR="002B3E22" w:rsidRPr="006207FF">
        <w:rPr>
          <w:rFonts w:ascii="Arial" w:hAnsi="Arial" w:cs="Arial"/>
          <w:sz w:val="20"/>
          <w:szCs w:val="20"/>
          <w:lang w:eastAsia="sl-SI"/>
        </w:rPr>
        <w:t>.</w:t>
      </w:r>
    </w:p>
    <w:p w14:paraId="768E8BE3" w14:textId="67B57353" w:rsidR="00137086" w:rsidRPr="00BF7302" w:rsidRDefault="00137086">
      <w:pPr>
        <w:rPr>
          <w:rFonts w:ascii="Arial" w:hAnsi="Arial" w:cs="Arial"/>
          <w:sz w:val="20"/>
          <w:szCs w:val="20"/>
          <w:highlight w:val="yellow"/>
          <w:lang w:eastAsia="sl-SI"/>
        </w:rPr>
      </w:pPr>
      <w:r w:rsidRPr="00BF7302">
        <w:rPr>
          <w:rFonts w:ascii="Arial" w:hAnsi="Arial" w:cs="Arial"/>
          <w:sz w:val="20"/>
          <w:szCs w:val="20"/>
          <w:highlight w:val="yellow"/>
          <w:lang w:eastAsia="sl-SI"/>
        </w:rPr>
        <w:br w:type="page"/>
      </w:r>
    </w:p>
    <w:p w14:paraId="61331E98" w14:textId="77777777" w:rsidR="00662735" w:rsidRPr="006207FF" w:rsidRDefault="00662735" w:rsidP="00662735">
      <w:pPr>
        <w:pStyle w:val="Naslov1"/>
        <w:rPr>
          <w:rFonts w:ascii="Arial" w:hAnsi="Arial" w:cs="Arial"/>
          <w:b/>
          <w:sz w:val="22"/>
          <w:szCs w:val="22"/>
        </w:rPr>
      </w:pPr>
      <w:bookmarkStart w:id="53" w:name="_Toc141864083"/>
      <w:bookmarkStart w:id="54" w:name="_Hlk77840539"/>
      <w:r w:rsidRPr="006207FF">
        <w:rPr>
          <w:rFonts w:ascii="Arial" w:hAnsi="Arial" w:cs="Arial"/>
          <w:b/>
          <w:sz w:val="22"/>
          <w:szCs w:val="22"/>
        </w:rPr>
        <w:lastRenderedPageBreak/>
        <w:t>Izhodišča in pravne podlage</w:t>
      </w:r>
      <w:bookmarkEnd w:id="53"/>
    </w:p>
    <w:p w14:paraId="078F829E" w14:textId="77777777" w:rsidR="002C1179" w:rsidRPr="006207FF" w:rsidRDefault="002C1179" w:rsidP="002C1179">
      <w:pPr>
        <w:spacing w:line="276" w:lineRule="auto"/>
        <w:jc w:val="both"/>
        <w:rPr>
          <w:rStyle w:val="Naslov2Znak"/>
          <w:rFonts w:ascii="Arial" w:hAnsi="Arial" w:cs="Arial"/>
          <w:b/>
          <w:color w:val="auto"/>
          <w:sz w:val="20"/>
          <w:szCs w:val="20"/>
        </w:rPr>
      </w:pPr>
    </w:p>
    <w:p w14:paraId="3E6A4D59" w14:textId="6E44C622" w:rsidR="00C13751" w:rsidRPr="006207FF" w:rsidRDefault="00C13751" w:rsidP="00C13751">
      <w:pPr>
        <w:spacing w:line="360" w:lineRule="auto"/>
        <w:jc w:val="both"/>
        <w:rPr>
          <w:rFonts w:ascii="Arial" w:hAnsi="Arial" w:cs="Arial"/>
          <w:sz w:val="20"/>
          <w:szCs w:val="20"/>
        </w:rPr>
      </w:pPr>
      <w:r w:rsidRPr="006207FF">
        <w:rPr>
          <w:rFonts w:ascii="Arial" w:hAnsi="Arial" w:cs="Arial"/>
          <w:sz w:val="20"/>
          <w:szCs w:val="20"/>
        </w:rPr>
        <w:t>Ministrstvo za javno upravo v skladu z ZJN-3 in ZJNPOV pripravi statistično poročilo, in sicer na podlagi podatkov o oddanih javnih naročilih v pre</w:t>
      </w:r>
      <w:r w:rsidR="00653B9C">
        <w:rPr>
          <w:rFonts w:ascii="Arial" w:hAnsi="Arial" w:cs="Arial"/>
          <w:sz w:val="20"/>
          <w:szCs w:val="20"/>
        </w:rPr>
        <w:t>jšnjem</w:t>
      </w:r>
      <w:r w:rsidRPr="006207FF">
        <w:rPr>
          <w:rFonts w:ascii="Arial" w:hAnsi="Arial" w:cs="Arial"/>
          <w:sz w:val="20"/>
          <w:szCs w:val="20"/>
        </w:rPr>
        <w:t xml:space="preserve"> letu, ki se zajemajo neposredno iz obvestil o oddaji naročil, objavljenih na portalu javnih naročil oziroma sporočenih Ministrstvu za javno upravo s posebn</w:t>
      </w:r>
      <w:r w:rsidR="002179B3" w:rsidRPr="006207FF">
        <w:rPr>
          <w:rFonts w:ascii="Arial" w:hAnsi="Arial" w:cs="Arial"/>
          <w:sz w:val="20"/>
          <w:szCs w:val="20"/>
        </w:rPr>
        <w:t>im</w:t>
      </w:r>
      <w:r w:rsidRPr="006207FF">
        <w:rPr>
          <w:rFonts w:ascii="Arial" w:hAnsi="Arial" w:cs="Arial"/>
          <w:sz w:val="20"/>
          <w:szCs w:val="20"/>
        </w:rPr>
        <w:t xml:space="preserve"> </w:t>
      </w:r>
      <w:r w:rsidR="002179B3" w:rsidRPr="006207FF">
        <w:rPr>
          <w:rFonts w:ascii="Arial" w:hAnsi="Arial" w:cs="Arial"/>
          <w:sz w:val="20"/>
          <w:szCs w:val="20"/>
        </w:rPr>
        <w:t>namenskim programom (</w:t>
      </w:r>
      <w:r w:rsidRPr="006207FF">
        <w:rPr>
          <w:rFonts w:ascii="Arial" w:hAnsi="Arial" w:cs="Arial"/>
          <w:sz w:val="20"/>
          <w:szCs w:val="20"/>
        </w:rPr>
        <w:t>aplikacijo</w:t>
      </w:r>
      <w:r w:rsidR="002179B3" w:rsidRPr="006207FF">
        <w:rPr>
          <w:rFonts w:ascii="Arial" w:hAnsi="Arial" w:cs="Arial"/>
          <w:sz w:val="20"/>
          <w:szCs w:val="20"/>
        </w:rPr>
        <w:t>)</w:t>
      </w:r>
      <w:r w:rsidRPr="006207FF">
        <w:rPr>
          <w:rFonts w:ascii="Arial" w:hAnsi="Arial" w:cs="Arial"/>
          <w:sz w:val="20"/>
          <w:szCs w:val="20"/>
        </w:rPr>
        <w:t xml:space="preserve"> na portalu javnih naročil. Tako </w:t>
      </w:r>
      <w:r w:rsidR="00475740" w:rsidRPr="006207FF">
        <w:rPr>
          <w:rFonts w:ascii="Arial" w:hAnsi="Arial" w:cs="Arial"/>
          <w:sz w:val="20"/>
          <w:szCs w:val="20"/>
        </w:rPr>
        <w:t>Ministrstvo za javno upravo</w:t>
      </w:r>
      <w:r w:rsidRPr="006207FF">
        <w:rPr>
          <w:rFonts w:ascii="Arial" w:hAnsi="Arial" w:cs="Arial"/>
          <w:sz w:val="20"/>
          <w:szCs w:val="20"/>
        </w:rPr>
        <w:t xml:space="preserve"> spremlja stanje na področju javnega naročanja ter na podlagi analize pripravlja sistemske in zakonodajne spremembe tega področja. Statistična analiza o javnih naročilih je pomemben vir informacij o poslovanju posameznih naročnikov, </w:t>
      </w:r>
      <w:proofErr w:type="spellStart"/>
      <w:r w:rsidRPr="006207FF">
        <w:rPr>
          <w:rFonts w:ascii="Arial" w:hAnsi="Arial" w:cs="Arial"/>
          <w:sz w:val="20"/>
          <w:szCs w:val="20"/>
        </w:rPr>
        <w:t>javnonaročniških</w:t>
      </w:r>
      <w:proofErr w:type="spellEnd"/>
      <w:r w:rsidRPr="006207FF">
        <w:rPr>
          <w:rFonts w:ascii="Arial" w:hAnsi="Arial" w:cs="Arial"/>
          <w:sz w:val="20"/>
          <w:szCs w:val="20"/>
        </w:rPr>
        <w:t xml:space="preserve"> </w:t>
      </w:r>
      <w:r w:rsidR="002179B3" w:rsidRPr="006207FF">
        <w:rPr>
          <w:rFonts w:ascii="Arial" w:hAnsi="Arial" w:cs="Arial"/>
          <w:sz w:val="20"/>
          <w:szCs w:val="20"/>
        </w:rPr>
        <w:t>vzorcih sprememb (</w:t>
      </w:r>
      <w:r w:rsidRPr="006207FF">
        <w:rPr>
          <w:rFonts w:ascii="Arial" w:hAnsi="Arial" w:cs="Arial"/>
          <w:sz w:val="20"/>
          <w:szCs w:val="20"/>
        </w:rPr>
        <w:t>trendih</w:t>
      </w:r>
      <w:r w:rsidR="002179B3" w:rsidRPr="006207FF">
        <w:rPr>
          <w:rFonts w:ascii="Arial" w:hAnsi="Arial" w:cs="Arial"/>
          <w:sz w:val="20"/>
          <w:szCs w:val="20"/>
        </w:rPr>
        <w:t>)</w:t>
      </w:r>
      <w:r w:rsidRPr="006207FF">
        <w:rPr>
          <w:rFonts w:ascii="Arial" w:hAnsi="Arial" w:cs="Arial"/>
          <w:sz w:val="20"/>
          <w:szCs w:val="20"/>
        </w:rPr>
        <w:t xml:space="preserve"> in pomanjkljivostih, ki nastanejo zaradi morebitne </w:t>
      </w:r>
      <w:r w:rsidR="001D6A61">
        <w:rPr>
          <w:rFonts w:ascii="Arial" w:hAnsi="Arial" w:cs="Arial"/>
          <w:sz w:val="20"/>
          <w:szCs w:val="20"/>
        </w:rPr>
        <w:t>neustrezno</w:t>
      </w:r>
      <w:r w:rsidRPr="006207FF">
        <w:rPr>
          <w:rFonts w:ascii="Arial" w:hAnsi="Arial" w:cs="Arial"/>
          <w:sz w:val="20"/>
          <w:szCs w:val="20"/>
        </w:rPr>
        <w:t xml:space="preserve"> urejene zakonodaje oziroma neprimerne prakse. </w:t>
      </w:r>
    </w:p>
    <w:p w14:paraId="507127C9" w14:textId="4BE2CBC5" w:rsidR="00DE2690" w:rsidRPr="00DE2690" w:rsidRDefault="00C13751" w:rsidP="00DE2690">
      <w:pPr>
        <w:spacing w:line="360" w:lineRule="auto"/>
        <w:jc w:val="both"/>
        <w:rPr>
          <w:rFonts w:ascii="Arial" w:hAnsi="Arial" w:cs="Arial"/>
          <w:sz w:val="20"/>
          <w:szCs w:val="20"/>
        </w:rPr>
      </w:pPr>
      <w:r w:rsidRPr="00DE2690">
        <w:rPr>
          <w:rFonts w:ascii="Arial" w:hAnsi="Arial" w:cs="Arial"/>
          <w:sz w:val="20"/>
          <w:szCs w:val="20"/>
        </w:rPr>
        <w:t>Statistično poročilo temelji na analizi podatkov, ki so bili zajeti neposredno iz obvestil o oddaji naročil, objavljenih na portalu javnih naročil oziroma sporočenih Ministrstvu za javno upravo z uporabo posebne</w:t>
      </w:r>
      <w:r w:rsidR="005A2D74" w:rsidRPr="00DE2690">
        <w:rPr>
          <w:rFonts w:ascii="Arial" w:hAnsi="Arial" w:cs="Arial"/>
          <w:sz w:val="20"/>
          <w:szCs w:val="20"/>
        </w:rPr>
        <w:t>ga namenskega programa (</w:t>
      </w:r>
      <w:r w:rsidRPr="00DE2690">
        <w:rPr>
          <w:rFonts w:ascii="Arial" w:hAnsi="Arial" w:cs="Arial"/>
          <w:sz w:val="20"/>
          <w:szCs w:val="20"/>
        </w:rPr>
        <w:t>aplikacije</w:t>
      </w:r>
      <w:r w:rsidR="005A2D74" w:rsidRPr="00DE2690">
        <w:rPr>
          <w:rFonts w:ascii="Arial" w:hAnsi="Arial" w:cs="Arial"/>
          <w:sz w:val="20"/>
          <w:szCs w:val="20"/>
        </w:rPr>
        <w:t>)</w:t>
      </w:r>
      <w:r w:rsidRPr="00DE2690">
        <w:rPr>
          <w:rFonts w:ascii="Arial" w:hAnsi="Arial" w:cs="Arial"/>
          <w:sz w:val="20"/>
          <w:szCs w:val="20"/>
        </w:rPr>
        <w:t xml:space="preserve"> na portalu javnih naročil. Skupino obveznih statističnih podatkov določata </w:t>
      </w:r>
      <w:bookmarkStart w:id="55" w:name="f10n"/>
      <w:bookmarkEnd w:id="55"/>
      <w:r w:rsidRPr="00DE2690">
        <w:rPr>
          <w:rFonts w:ascii="Arial" w:hAnsi="Arial" w:cs="Arial"/>
          <w:sz w:val="20"/>
          <w:szCs w:val="20"/>
        </w:rPr>
        <w:t xml:space="preserve">Pravilnik o vrstah in načinu zbiranja podatkov za letno statistično poročilo o oddanih javnih naročilih (Uradni list RS, št. 39/16) </w:t>
      </w:r>
      <w:r w:rsidR="00946DEB" w:rsidRPr="00DE2690">
        <w:rPr>
          <w:rFonts w:ascii="Arial" w:hAnsi="Arial" w:cs="Arial"/>
          <w:sz w:val="20"/>
          <w:szCs w:val="20"/>
        </w:rPr>
        <w:t xml:space="preserve">ter </w:t>
      </w:r>
      <w:r w:rsidRPr="00DE2690">
        <w:rPr>
          <w:rFonts w:ascii="Arial" w:hAnsi="Arial" w:cs="Arial"/>
          <w:sz w:val="20"/>
          <w:szCs w:val="20"/>
        </w:rPr>
        <w:t>Pravilnik o vrstah podatkov o oddanih javnih naročilih v preteklem letu na podlagi Zakona o javnem naročanju na področju obrambe in varnosti ter načinu njihovega zbiranja (Uradni list RS, št. 57/13, 3/15 in 71/16).</w:t>
      </w:r>
    </w:p>
    <w:p w14:paraId="60068C34" w14:textId="5C9463A7" w:rsidR="00C13751" w:rsidRPr="00DE2690" w:rsidRDefault="00C13751" w:rsidP="00DE2690">
      <w:pPr>
        <w:spacing w:line="360" w:lineRule="auto"/>
        <w:jc w:val="both"/>
        <w:rPr>
          <w:rFonts w:ascii="Arial" w:hAnsi="Arial" w:cs="Arial"/>
          <w:sz w:val="20"/>
          <w:szCs w:val="20"/>
        </w:rPr>
      </w:pPr>
      <w:r w:rsidRPr="00DE2690">
        <w:rPr>
          <w:rFonts w:ascii="Arial" w:hAnsi="Arial" w:cs="Arial"/>
          <w:sz w:val="20"/>
          <w:szCs w:val="20"/>
        </w:rPr>
        <w:t>Glede na navedeno to poročilo zajema naročila, oddana v skladu z ZJN-3 in ZJNPOV.</w:t>
      </w:r>
    </w:p>
    <w:p w14:paraId="3468AA9A" w14:textId="7CC99E79" w:rsidR="00C13751" w:rsidRPr="006207FF" w:rsidRDefault="00C13751" w:rsidP="00C13751">
      <w:pPr>
        <w:spacing w:line="360" w:lineRule="auto"/>
        <w:jc w:val="both"/>
        <w:rPr>
          <w:rFonts w:ascii="Arial" w:hAnsi="Arial" w:cs="Arial"/>
          <w:sz w:val="20"/>
          <w:szCs w:val="20"/>
        </w:rPr>
      </w:pPr>
      <w:r w:rsidRPr="006207FF">
        <w:rPr>
          <w:rFonts w:ascii="Arial" w:hAnsi="Arial" w:cs="Arial"/>
          <w:sz w:val="20"/>
          <w:szCs w:val="20"/>
        </w:rPr>
        <w:t>V primerjavi s pre</w:t>
      </w:r>
      <w:r w:rsidR="00653B9C">
        <w:rPr>
          <w:rFonts w:ascii="Arial" w:hAnsi="Arial" w:cs="Arial"/>
          <w:sz w:val="20"/>
          <w:szCs w:val="20"/>
        </w:rPr>
        <w:t>jšnjimi</w:t>
      </w:r>
      <w:r w:rsidRPr="006207FF">
        <w:rPr>
          <w:rFonts w:ascii="Arial" w:hAnsi="Arial" w:cs="Arial"/>
          <w:sz w:val="20"/>
          <w:szCs w:val="20"/>
        </w:rPr>
        <w:t xml:space="preserve"> letnimi poročili o oddanih javnih naročilih je od leta 2016 pri pripravi poročil uporabljenih nekaj drugačnih izhodišč, ki </w:t>
      </w:r>
      <w:r w:rsidR="002179B3" w:rsidRPr="006207FF">
        <w:rPr>
          <w:rFonts w:ascii="Arial" w:hAnsi="Arial" w:cs="Arial"/>
          <w:sz w:val="20"/>
          <w:szCs w:val="20"/>
        </w:rPr>
        <w:t xml:space="preserve">jih navajamo </w:t>
      </w:r>
      <w:r w:rsidRPr="006207FF">
        <w:rPr>
          <w:rFonts w:ascii="Arial" w:hAnsi="Arial" w:cs="Arial"/>
          <w:sz w:val="20"/>
          <w:szCs w:val="20"/>
        </w:rPr>
        <w:t>v nadaljevanju. Zato določeni podatki in izračuni niso primerljivi s podatki iz prejšnjih let, vključno s poročilom iz leta 2015.</w:t>
      </w:r>
    </w:p>
    <w:p w14:paraId="2E65A0CD" w14:textId="037EE760" w:rsidR="00C13751" w:rsidRPr="000F6BC7" w:rsidRDefault="00C13751" w:rsidP="00C13751">
      <w:pPr>
        <w:spacing w:line="360" w:lineRule="auto"/>
        <w:jc w:val="both"/>
        <w:rPr>
          <w:rFonts w:ascii="Arial" w:hAnsi="Arial" w:cs="Arial"/>
          <w:sz w:val="20"/>
          <w:szCs w:val="20"/>
        </w:rPr>
      </w:pPr>
      <w:r w:rsidRPr="006207FF">
        <w:rPr>
          <w:rFonts w:ascii="Arial" w:hAnsi="Arial" w:cs="Arial"/>
          <w:sz w:val="20"/>
          <w:szCs w:val="20"/>
        </w:rPr>
        <w:t xml:space="preserve">V tem poročilu so zajeta vsa javna naročila, ki so bila </w:t>
      </w:r>
      <w:r w:rsidR="00653B9C">
        <w:rPr>
          <w:rFonts w:ascii="Arial" w:hAnsi="Arial" w:cs="Arial"/>
          <w:sz w:val="20"/>
          <w:szCs w:val="20"/>
        </w:rPr>
        <w:t>po</w:t>
      </w:r>
      <w:r w:rsidRPr="006207FF">
        <w:rPr>
          <w:rFonts w:ascii="Arial" w:hAnsi="Arial" w:cs="Arial"/>
          <w:sz w:val="20"/>
          <w:szCs w:val="20"/>
        </w:rPr>
        <w:t xml:space="preserve"> navedb</w:t>
      </w:r>
      <w:r w:rsidR="00653B9C">
        <w:rPr>
          <w:rFonts w:ascii="Arial" w:hAnsi="Arial" w:cs="Arial"/>
          <w:sz w:val="20"/>
          <w:szCs w:val="20"/>
        </w:rPr>
        <w:t>ah</w:t>
      </w:r>
      <w:r w:rsidRPr="006207FF">
        <w:rPr>
          <w:rFonts w:ascii="Arial" w:hAnsi="Arial" w:cs="Arial"/>
          <w:sz w:val="20"/>
          <w:szCs w:val="20"/>
        </w:rPr>
        <w:t xml:space="preserve"> naročnikov oddana </w:t>
      </w:r>
      <w:r w:rsidR="005522FF" w:rsidRPr="006207FF">
        <w:rPr>
          <w:rFonts w:ascii="Arial" w:hAnsi="Arial" w:cs="Arial"/>
          <w:sz w:val="20"/>
          <w:szCs w:val="20"/>
        </w:rPr>
        <w:t>leta</w:t>
      </w:r>
      <w:r w:rsidRPr="006207FF">
        <w:rPr>
          <w:rFonts w:ascii="Arial" w:hAnsi="Arial" w:cs="Arial"/>
          <w:sz w:val="20"/>
          <w:szCs w:val="20"/>
        </w:rPr>
        <w:t xml:space="preserve"> 20</w:t>
      </w:r>
      <w:r w:rsidR="00E83FAC" w:rsidRPr="006207FF">
        <w:rPr>
          <w:rFonts w:ascii="Arial" w:hAnsi="Arial" w:cs="Arial"/>
          <w:sz w:val="20"/>
          <w:szCs w:val="20"/>
        </w:rPr>
        <w:t>2</w:t>
      </w:r>
      <w:r w:rsidR="0040411A">
        <w:rPr>
          <w:rFonts w:ascii="Arial" w:hAnsi="Arial" w:cs="Arial"/>
          <w:sz w:val="20"/>
          <w:szCs w:val="20"/>
        </w:rPr>
        <w:t>2</w:t>
      </w:r>
      <w:r w:rsidRPr="006207FF">
        <w:rPr>
          <w:rFonts w:ascii="Arial" w:hAnsi="Arial" w:cs="Arial"/>
          <w:sz w:val="20"/>
          <w:szCs w:val="20"/>
        </w:rPr>
        <w:t>. Pri tem so bila v poročilo o javnih naročilih, oddanih v letu 20</w:t>
      </w:r>
      <w:r w:rsidR="00E83FAC" w:rsidRPr="006207FF">
        <w:rPr>
          <w:rFonts w:ascii="Arial" w:hAnsi="Arial" w:cs="Arial"/>
          <w:sz w:val="20"/>
          <w:szCs w:val="20"/>
        </w:rPr>
        <w:t>2</w:t>
      </w:r>
      <w:r w:rsidR="0040411A">
        <w:rPr>
          <w:rFonts w:ascii="Arial" w:hAnsi="Arial" w:cs="Arial"/>
          <w:sz w:val="20"/>
          <w:szCs w:val="20"/>
        </w:rPr>
        <w:t>2</w:t>
      </w:r>
      <w:r w:rsidRPr="006207FF">
        <w:rPr>
          <w:rFonts w:ascii="Arial" w:hAnsi="Arial" w:cs="Arial"/>
          <w:sz w:val="20"/>
          <w:szCs w:val="20"/>
        </w:rPr>
        <w:t xml:space="preserve">, vključena vsa naročila, oddana v </w:t>
      </w:r>
      <w:r w:rsidRPr="000F6BC7">
        <w:rPr>
          <w:rFonts w:ascii="Arial" w:hAnsi="Arial" w:cs="Arial"/>
          <w:sz w:val="20"/>
          <w:szCs w:val="20"/>
        </w:rPr>
        <w:t xml:space="preserve">postopku javnega naročanja, če je bilo naročilo (sklop postopka) oddano </w:t>
      </w:r>
      <w:r w:rsidR="002179B3" w:rsidRPr="000F6BC7">
        <w:rPr>
          <w:rFonts w:ascii="Arial" w:hAnsi="Arial" w:cs="Arial"/>
          <w:sz w:val="20"/>
          <w:szCs w:val="20"/>
        </w:rPr>
        <w:t xml:space="preserve">najpozneje </w:t>
      </w:r>
      <w:r w:rsidR="005522FF" w:rsidRPr="000F6BC7">
        <w:rPr>
          <w:rFonts w:ascii="Arial" w:hAnsi="Arial" w:cs="Arial"/>
          <w:sz w:val="20"/>
          <w:szCs w:val="20"/>
        </w:rPr>
        <w:t>leta</w:t>
      </w:r>
      <w:r w:rsidRPr="000F6BC7">
        <w:rPr>
          <w:rFonts w:ascii="Arial" w:hAnsi="Arial" w:cs="Arial"/>
          <w:sz w:val="20"/>
          <w:szCs w:val="20"/>
        </w:rPr>
        <w:t xml:space="preserve"> 20</w:t>
      </w:r>
      <w:r w:rsidR="00E83FAC" w:rsidRPr="000F6BC7">
        <w:rPr>
          <w:rFonts w:ascii="Arial" w:hAnsi="Arial" w:cs="Arial"/>
          <w:sz w:val="20"/>
          <w:szCs w:val="20"/>
        </w:rPr>
        <w:t>2</w:t>
      </w:r>
      <w:r w:rsidR="0040411A">
        <w:rPr>
          <w:rFonts w:ascii="Arial" w:hAnsi="Arial" w:cs="Arial"/>
          <w:sz w:val="20"/>
          <w:szCs w:val="20"/>
        </w:rPr>
        <w:t>2</w:t>
      </w:r>
      <w:r w:rsidRPr="000F6BC7">
        <w:rPr>
          <w:rFonts w:ascii="Arial" w:hAnsi="Arial" w:cs="Arial"/>
          <w:sz w:val="20"/>
          <w:szCs w:val="20"/>
        </w:rPr>
        <w:t xml:space="preserve">, in sicer ne glede na datum objave obvestila o oddaji naročila. </w:t>
      </w:r>
    </w:p>
    <w:p w14:paraId="0BD69D8F" w14:textId="4311E004" w:rsidR="00C13751" w:rsidRPr="000F6BC7" w:rsidRDefault="00C13751" w:rsidP="00C13751">
      <w:pPr>
        <w:spacing w:line="360" w:lineRule="auto"/>
        <w:jc w:val="both"/>
        <w:rPr>
          <w:rFonts w:ascii="Arial" w:hAnsi="Arial" w:cs="Arial"/>
          <w:sz w:val="20"/>
          <w:szCs w:val="20"/>
        </w:rPr>
      </w:pPr>
      <w:r w:rsidRPr="000F6BC7">
        <w:rPr>
          <w:rFonts w:ascii="Arial" w:hAnsi="Arial" w:cs="Arial"/>
          <w:sz w:val="20"/>
          <w:szCs w:val="20"/>
        </w:rPr>
        <w:t xml:space="preserve">V poročilu se </w:t>
      </w:r>
      <w:r w:rsidR="0037106B" w:rsidRPr="000F6BC7">
        <w:rPr>
          <w:rFonts w:ascii="Arial" w:hAnsi="Arial" w:cs="Arial"/>
          <w:sz w:val="20"/>
          <w:szCs w:val="20"/>
        </w:rPr>
        <w:t>izraz</w:t>
      </w:r>
      <w:r w:rsidRPr="000F6BC7">
        <w:rPr>
          <w:rFonts w:ascii="Arial" w:hAnsi="Arial" w:cs="Arial"/>
          <w:sz w:val="20"/>
          <w:szCs w:val="20"/>
        </w:rPr>
        <w:t xml:space="preserve"> postopek javnega naročanja uporablja za postopek, ki ga je naročnik izvedel v skladu z zakonom, </w:t>
      </w:r>
      <w:r w:rsidR="0037106B" w:rsidRPr="000F6BC7">
        <w:rPr>
          <w:rFonts w:ascii="Arial" w:hAnsi="Arial" w:cs="Arial"/>
          <w:sz w:val="20"/>
          <w:szCs w:val="20"/>
        </w:rPr>
        <w:t>izraz</w:t>
      </w:r>
      <w:r w:rsidRPr="000F6BC7">
        <w:rPr>
          <w:rFonts w:ascii="Arial" w:hAnsi="Arial" w:cs="Arial"/>
          <w:sz w:val="20"/>
          <w:szCs w:val="20"/>
        </w:rPr>
        <w:t xml:space="preserve"> naročilo pa se uporablja za sklop postopka. Če je bil v postopku oblikovan le en sklop, se šteje, da je bilo z njim oddano eno naročilo; če je bilo v postopku oblikovanih več sklopov, se šteje, da je bilo v njem oddanih toliko naročil, kolikor je bilo sklopov, in sicer ne glede na to, ali je bilo več sklopov oddanih istemu ponudniku. </w:t>
      </w:r>
    </w:p>
    <w:p w14:paraId="43673C8F" w14:textId="178D7CE7" w:rsidR="00C13751" w:rsidRPr="006207FF" w:rsidRDefault="00C13751" w:rsidP="00C13751">
      <w:pPr>
        <w:spacing w:line="360" w:lineRule="auto"/>
        <w:jc w:val="both"/>
        <w:rPr>
          <w:rFonts w:ascii="Arial" w:hAnsi="Arial" w:cs="Arial"/>
          <w:sz w:val="20"/>
          <w:szCs w:val="20"/>
        </w:rPr>
      </w:pPr>
      <w:r w:rsidRPr="006207FF">
        <w:rPr>
          <w:rFonts w:ascii="Arial" w:hAnsi="Arial" w:cs="Arial"/>
          <w:sz w:val="20"/>
          <w:szCs w:val="20"/>
        </w:rPr>
        <w:t>Javni natečaji so v poročilu prikazan</w:t>
      </w:r>
      <w:r w:rsidR="009D69AF" w:rsidRPr="006207FF">
        <w:rPr>
          <w:rFonts w:ascii="Arial" w:hAnsi="Arial" w:cs="Arial"/>
          <w:sz w:val="20"/>
          <w:szCs w:val="20"/>
        </w:rPr>
        <w:t>i</w:t>
      </w:r>
      <w:r w:rsidRPr="006207FF">
        <w:rPr>
          <w:rFonts w:ascii="Arial" w:hAnsi="Arial" w:cs="Arial"/>
          <w:sz w:val="20"/>
          <w:szCs w:val="20"/>
        </w:rPr>
        <w:t xml:space="preserve"> v samostojnih poglavjih, v </w:t>
      </w:r>
      <w:r w:rsidR="0037106B" w:rsidRPr="006207FF">
        <w:rPr>
          <w:rFonts w:ascii="Arial" w:hAnsi="Arial" w:cs="Arial"/>
          <w:sz w:val="20"/>
          <w:szCs w:val="20"/>
        </w:rPr>
        <w:t>drugih</w:t>
      </w:r>
      <w:r w:rsidRPr="006207FF">
        <w:rPr>
          <w:rFonts w:ascii="Arial" w:hAnsi="Arial" w:cs="Arial"/>
          <w:sz w:val="20"/>
          <w:szCs w:val="20"/>
        </w:rPr>
        <w:t xml:space="preserve"> poglavjih pa niso </w:t>
      </w:r>
      <w:r w:rsidR="005522FF" w:rsidRPr="006207FF">
        <w:rPr>
          <w:rFonts w:ascii="Arial" w:hAnsi="Arial" w:cs="Arial"/>
          <w:sz w:val="20"/>
          <w:szCs w:val="20"/>
        </w:rPr>
        <w:t xml:space="preserve">vključeni </w:t>
      </w:r>
      <w:r w:rsidRPr="006207FF">
        <w:rPr>
          <w:rFonts w:ascii="Arial" w:hAnsi="Arial" w:cs="Arial"/>
          <w:sz w:val="20"/>
          <w:szCs w:val="20"/>
        </w:rPr>
        <w:t xml:space="preserve">v analizo. </w:t>
      </w:r>
    </w:p>
    <w:p w14:paraId="6A8B09F8" w14:textId="79697694" w:rsidR="00C13751" w:rsidRPr="006207FF" w:rsidRDefault="00C13751" w:rsidP="00C13751">
      <w:pPr>
        <w:pStyle w:val="Standard"/>
        <w:spacing w:line="360" w:lineRule="auto"/>
        <w:rPr>
          <w:rFonts w:cs="Arial"/>
          <w:sz w:val="20"/>
          <w:szCs w:val="20"/>
        </w:rPr>
      </w:pPr>
      <w:r w:rsidRPr="006207FF">
        <w:rPr>
          <w:rFonts w:cs="Arial"/>
          <w:sz w:val="20"/>
          <w:szCs w:val="20"/>
        </w:rPr>
        <w:t>V poročilu so</w:t>
      </w:r>
      <w:r w:rsidR="0037106B" w:rsidRPr="006207FF">
        <w:rPr>
          <w:rFonts w:cs="Arial"/>
          <w:sz w:val="20"/>
          <w:szCs w:val="20"/>
        </w:rPr>
        <w:t xml:space="preserve"> navedeni</w:t>
      </w:r>
      <w:r w:rsidRPr="006207FF">
        <w:rPr>
          <w:rFonts w:cs="Arial"/>
          <w:sz w:val="20"/>
          <w:szCs w:val="20"/>
        </w:rPr>
        <w:t xml:space="preserve"> tudi postopki, ki niso obravnavani glede na zakon, v skladu s katerim so bili oddani oziroma izvedeni, temveč glede na področje javnega naročanja, in sicer se kot:</w:t>
      </w:r>
    </w:p>
    <w:p w14:paraId="730A6EFE" w14:textId="77777777" w:rsidR="00C13751" w:rsidRPr="006207FF" w:rsidRDefault="00C13751" w:rsidP="00C13751">
      <w:pPr>
        <w:pStyle w:val="Standard"/>
        <w:numPr>
          <w:ilvl w:val="0"/>
          <w:numId w:val="24"/>
        </w:numPr>
        <w:spacing w:line="360" w:lineRule="auto"/>
        <w:textAlignment w:val="auto"/>
        <w:rPr>
          <w:rFonts w:cs="Arial"/>
          <w:sz w:val="20"/>
          <w:szCs w:val="20"/>
        </w:rPr>
      </w:pPr>
      <w:r w:rsidRPr="006207FF">
        <w:rPr>
          <w:rFonts w:cs="Arial"/>
          <w:sz w:val="20"/>
          <w:szCs w:val="20"/>
        </w:rPr>
        <w:t>naročila na splošnem področju štejejo naročila, oddana v skladu z določili ZJN-3 za naročila na splošnem področju;</w:t>
      </w:r>
    </w:p>
    <w:p w14:paraId="725108CC" w14:textId="77777777" w:rsidR="00C13751" w:rsidRPr="006207FF" w:rsidRDefault="00C13751" w:rsidP="00C13751">
      <w:pPr>
        <w:pStyle w:val="Standard"/>
        <w:numPr>
          <w:ilvl w:val="0"/>
          <w:numId w:val="24"/>
        </w:numPr>
        <w:spacing w:line="360" w:lineRule="auto"/>
        <w:textAlignment w:val="auto"/>
        <w:rPr>
          <w:rFonts w:cs="Arial"/>
          <w:sz w:val="20"/>
          <w:szCs w:val="20"/>
        </w:rPr>
      </w:pPr>
      <w:r w:rsidRPr="006207FF">
        <w:rPr>
          <w:rFonts w:cs="Arial"/>
          <w:sz w:val="20"/>
          <w:szCs w:val="20"/>
        </w:rPr>
        <w:lastRenderedPageBreak/>
        <w:t>naročila na infrastrukturnem področju štejejo naročila, oddana v skladu z določili ZJN-3 za naročila na infrastrukturnem področju;</w:t>
      </w:r>
    </w:p>
    <w:p w14:paraId="29CB6422" w14:textId="77777777" w:rsidR="00C13751" w:rsidRPr="006207FF" w:rsidRDefault="00C13751" w:rsidP="00C13751">
      <w:pPr>
        <w:pStyle w:val="Standard"/>
        <w:numPr>
          <w:ilvl w:val="0"/>
          <w:numId w:val="24"/>
        </w:numPr>
        <w:spacing w:line="360" w:lineRule="auto"/>
        <w:textAlignment w:val="auto"/>
        <w:rPr>
          <w:rFonts w:cs="Arial"/>
          <w:sz w:val="20"/>
          <w:szCs w:val="20"/>
        </w:rPr>
      </w:pPr>
      <w:r w:rsidRPr="006207FF">
        <w:rPr>
          <w:rFonts w:cs="Arial"/>
          <w:sz w:val="20"/>
          <w:szCs w:val="20"/>
        </w:rPr>
        <w:t>naročila na obrambnem področju štejejo naročila, oddana v skladu z določili ZJNPOV.</w:t>
      </w:r>
    </w:p>
    <w:p w14:paraId="28270E2A" w14:textId="77777777" w:rsidR="00DC0F5C" w:rsidRPr="006207FF" w:rsidRDefault="00DC0F5C" w:rsidP="00C13751">
      <w:pPr>
        <w:spacing w:line="360" w:lineRule="auto"/>
        <w:jc w:val="both"/>
        <w:rPr>
          <w:rFonts w:ascii="Arial" w:hAnsi="Arial" w:cs="Arial"/>
          <w:sz w:val="20"/>
          <w:szCs w:val="20"/>
        </w:rPr>
      </w:pPr>
    </w:p>
    <w:p w14:paraId="302D15EC" w14:textId="52B1097B" w:rsidR="00C13751" w:rsidRPr="006207FF" w:rsidRDefault="00C13751" w:rsidP="00C13751">
      <w:pPr>
        <w:spacing w:line="360" w:lineRule="auto"/>
        <w:jc w:val="both"/>
        <w:rPr>
          <w:rFonts w:ascii="Arial" w:hAnsi="Arial" w:cs="Arial"/>
          <w:sz w:val="20"/>
          <w:szCs w:val="20"/>
        </w:rPr>
      </w:pPr>
      <w:r w:rsidRPr="006207FF">
        <w:rPr>
          <w:rFonts w:ascii="Arial" w:hAnsi="Arial" w:cs="Arial"/>
          <w:sz w:val="20"/>
          <w:szCs w:val="20"/>
        </w:rPr>
        <w:t xml:space="preserve">Pri izračunu deleža javnih naročil v BDP in odhodkih proračuna so upoštevana evidenčna naročila in tista, za katera je bilo obvestilo o oddaji naročila objavljeno na portalu javnih naročil (tudi naročila, ki se nanašajo na sklenitev okvirnega sporazuma), </w:t>
      </w:r>
      <w:r w:rsidR="00653B9C">
        <w:rPr>
          <w:rFonts w:ascii="Arial" w:hAnsi="Arial" w:cs="Arial"/>
          <w:sz w:val="20"/>
          <w:szCs w:val="20"/>
        </w:rPr>
        <w:t>razen</w:t>
      </w:r>
      <w:r w:rsidRPr="006207FF">
        <w:rPr>
          <w:rFonts w:ascii="Arial" w:hAnsi="Arial" w:cs="Arial"/>
          <w:sz w:val="20"/>
          <w:szCs w:val="20"/>
        </w:rPr>
        <w:t xml:space="preserve"> javnih natečajev in posameznih naročil, oddanih na podlagi sklenjenih okvirnih sporazumov. </w:t>
      </w:r>
    </w:p>
    <w:p w14:paraId="4CAECD2F" w14:textId="01D8899E" w:rsidR="00C13751" w:rsidRPr="006207FF" w:rsidRDefault="00C13751" w:rsidP="00C13751">
      <w:pPr>
        <w:spacing w:line="360" w:lineRule="auto"/>
        <w:jc w:val="both"/>
        <w:rPr>
          <w:rFonts w:ascii="Arial" w:hAnsi="Arial" w:cs="Arial"/>
          <w:sz w:val="20"/>
          <w:szCs w:val="20"/>
        </w:rPr>
      </w:pPr>
      <w:r w:rsidRPr="006207FF">
        <w:rPr>
          <w:rFonts w:ascii="Arial" w:hAnsi="Arial" w:cs="Arial"/>
          <w:sz w:val="20"/>
          <w:szCs w:val="20"/>
        </w:rPr>
        <w:t>V poročilu uporablj</w:t>
      </w:r>
      <w:r w:rsidR="0037106B" w:rsidRPr="006207FF">
        <w:rPr>
          <w:rFonts w:ascii="Arial" w:hAnsi="Arial" w:cs="Arial"/>
          <w:sz w:val="20"/>
          <w:szCs w:val="20"/>
        </w:rPr>
        <w:t>eni</w:t>
      </w:r>
      <w:r w:rsidRPr="006207FF">
        <w:rPr>
          <w:rFonts w:ascii="Arial" w:hAnsi="Arial" w:cs="Arial"/>
          <w:sz w:val="20"/>
          <w:szCs w:val="20"/>
        </w:rPr>
        <w:t xml:space="preserve"> </w:t>
      </w:r>
      <w:r w:rsidR="0037106B" w:rsidRPr="006207FF">
        <w:rPr>
          <w:rFonts w:ascii="Arial" w:hAnsi="Arial" w:cs="Arial"/>
          <w:sz w:val="20"/>
          <w:szCs w:val="20"/>
        </w:rPr>
        <w:t>izraz</w:t>
      </w:r>
      <w:r w:rsidRPr="006207FF">
        <w:rPr>
          <w:rFonts w:ascii="Arial" w:hAnsi="Arial" w:cs="Arial"/>
          <w:sz w:val="20"/>
          <w:szCs w:val="20"/>
        </w:rPr>
        <w:t xml:space="preserve"> nep</w:t>
      </w:r>
      <w:r w:rsidR="0037106B" w:rsidRPr="006207FF">
        <w:rPr>
          <w:rFonts w:ascii="Arial" w:hAnsi="Arial" w:cs="Arial"/>
          <w:sz w:val="20"/>
          <w:szCs w:val="20"/>
        </w:rPr>
        <w:t>rednostne</w:t>
      </w:r>
      <w:r w:rsidRPr="006207FF">
        <w:rPr>
          <w:rFonts w:ascii="Arial" w:hAnsi="Arial" w:cs="Arial"/>
          <w:sz w:val="20"/>
          <w:szCs w:val="20"/>
        </w:rPr>
        <w:t xml:space="preserve"> storitve</w:t>
      </w:r>
      <w:r w:rsidR="0034008E" w:rsidRPr="006207FF">
        <w:rPr>
          <w:rFonts w:ascii="Arial" w:hAnsi="Arial" w:cs="Arial"/>
          <w:sz w:val="20"/>
          <w:szCs w:val="20"/>
        </w:rPr>
        <w:t xml:space="preserve"> </w:t>
      </w:r>
      <w:r w:rsidRPr="006207FF">
        <w:rPr>
          <w:rFonts w:ascii="Arial" w:hAnsi="Arial" w:cs="Arial"/>
          <w:sz w:val="20"/>
          <w:szCs w:val="20"/>
        </w:rPr>
        <w:t>zajema socialne in druge posebne s</w:t>
      </w:r>
      <w:r w:rsidR="00ED0DC0" w:rsidRPr="006207FF">
        <w:rPr>
          <w:rFonts w:ascii="Arial" w:hAnsi="Arial" w:cs="Arial"/>
          <w:sz w:val="20"/>
          <w:szCs w:val="20"/>
        </w:rPr>
        <w:t>toritve, ki jih ureja ZJN-3.</w:t>
      </w:r>
    </w:p>
    <w:p w14:paraId="690264BB" w14:textId="3B0C26D9" w:rsidR="00C13751" w:rsidRPr="006207FF" w:rsidRDefault="0037106B" w:rsidP="00C13751">
      <w:pPr>
        <w:spacing w:line="360" w:lineRule="auto"/>
        <w:jc w:val="both"/>
        <w:rPr>
          <w:rFonts w:ascii="Arial" w:hAnsi="Arial" w:cs="Arial"/>
          <w:sz w:val="20"/>
          <w:szCs w:val="20"/>
        </w:rPr>
      </w:pPr>
      <w:r w:rsidRPr="006207FF">
        <w:rPr>
          <w:rFonts w:ascii="Arial" w:hAnsi="Arial" w:cs="Arial"/>
          <w:sz w:val="20"/>
          <w:szCs w:val="20"/>
        </w:rPr>
        <w:t>V</w:t>
      </w:r>
      <w:r w:rsidR="00C13751" w:rsidRPr="006207FF">
        <w:rPr>
          <w:rFonts w:ascii="Arial" w:hAnsi="Arial" w:cs="Arial"/>
          <w:sz w:val="20"/>
          <w:szCs w:val="20"/>
        </w:rPr>
        <w:t xml:space="preserve"> t</w:t>
      </w:r>
      <w:r w:rsidRPr="006207FF">
        <w:rPr>
          <w:rFonts w:ascii="Arial" w:hAnsi="Arial" w:cs="Arial"/>
          <w:sz w:val="20"/>
          <w:szCs w:val="20"/>
        </w:rPr>
        <w:t>em</w:t>
      </w:r>
      <w:r w:rsidR="00C13751" w:rsidRPr="006207FF">
        <w:rPr>
          <w:rFonts w:ascii="Arial" w:hAnsi="Arial" w:cs="Arial"/>
          <w:sz w:val="20"/>
          <w:szCs w:val="20"/>
        </w:rPr>
        <w:t xml:space="preserve"> poročil</w:t>
      </w:r>
      <w:r w:rsidRPr="006207FF">
        <w:rPr>
          <w:rFonts w:ascii="Arial" w:hAnsi="Arial" w:cs="Arial"/>
          <w:sz w:val="20"/>
          <w:szCs w:val="20"/>
        </w:rPr>
        <w:t>u</w:t>
      </w:r>
      <w:r w:rsidR="00C13751" w:rsidRPr="006207FF">
        <w:rPr>
          <w:rFonts w:ascii="Arial" w:hAnsi="Arial" w:cs="Arial"/>
          <w:sz w:val="20"/>
          <w:szCs w:val="20"/>
        </w:rPr>
        <w:t xml:space="preserve"> se za javna naročila pod mejno vrednostjo</w:t>
      </w:r>
      <w:r w:rsidR="00601649" w:rsidRPr="006207FF">
        <w:rPr>
          <w:rFonts w:ascii="Arial" w:hAnsi="Arial" w:cs="Arial"/>
          <w:sz w:val="20"/>
          <w:szCs w:val="20"/>
        </w:rPr>
        <w:t xml:space="preserve"> za uporabo zakona</w:t>
      </w:r>
      <w:r w:rsidR="00C13751" w:rsidRPr="006207FF">
        <w:rPr>
          <w:rFonts w:ascii="Arial" w:hAnsi="Arial" w:cs="Arial"/>
          <w:sz w:val="20"/>
          <w:szCs w:val="20"/>
        </w:rPr>
        <w:t xml:space="preserve">, tj. za naročila, za </w:t>
      </w:r>
      <w:r w:rsidR="005A2D74" w:rsidRPr="006207FF">
        <w:rPr>
          <w:rFonts w:ascii="Arial" w:hAnsi="Arial" w:cs="Arial"/>
          <w:sz w:val="20"/>
          <w:szCs w:val="20"/>
        </w:rPr>
        <w:t xml:space="preserve">katerih </w:t>
      </w:r>
      <w:r w:rsidR="00C13751" w:rsidRPr="006207FF">
        <w:rPr>
          <w:rFonts w:ascii="Arial" w:hAnsi="Arial" w:cs="Arial"/>
          <w:sz w:val="20"/>
          <w:szCs w:val="20"/>
        </w:rPr>
        <w:t xml:space="preserve">oddajo naročniku zaradi njihove nizke vrednosti ni treba izvesti postopka javnega naročanja po zakonu, uporablja izraz evidenčna naročila. </w:t>
      </w:r>
    </w:p>
    <w:p w14:paraId="1BDF3FEA" w14:textId="01EB3E97" w:rsidR="00C13751" w:rsidRPr="0096100B" w:rsidRDefault="00C13751" w:rsidP="00C13751">
      <w:pPr>
        <w:spacing w:line="360" w:lineRule="auto"/>
        <w:jc w:val="both"/>
        <w:rPr>
          <w:rFonts w:ascii="Arial" w:hAnsi="Arial" w:cs="Arial"/>
          <w:sz w:val="20"/>
          <w:szCs w:val="20"/>
        </w:rPr>
      </w:pPr>
      <w:r w:rsidRPr="0096100B">
        <w:rPr>
          <w:rFonts w:ascii="Arial" w:hAnsi="Arial" w:cs="Arial"/>
          <w:sz w:val="20"/>
          <w:szCs w:val="20"/>
        </w:rPr>
        <w:t>To so naročila, ki so bila oddana na podlagi ZJN-3 in katerih vrednost je nižja od:</w:t>
      </w:r>
    </w:p>
    <w:p w14:paraId="5EA3AFA6" w14:textId="77777777" w:rsidR="00C13751" w:rsidRPr="0096100B" w:rsidRDefault="00C13751" w:rsidP="00C13751">
      <w:pPr>
        <w:spacing w:line="360" w:lineRule="auto"/>
        <w:jc w:val="both"/>
        <w:rPr>
          <w:rFonts w:ascii="Arial" w:hAnsi="Arial" w:cs="Arial"/>
          <w:sz w:val="20"/>
          <w:szCs w:val="20"/>
        </w:rPr>
      </w:pPr>
      <w:r w:rsidRPr="0096100B">
        <w:rPr>
          <w:rFonts w:ascii="Arial" w:hAnsi="Arial" w:cs="Arial"/>
          <w:sz w:val="20"/>
          <w:szCs w:val="20"/>
        </w:rPr>
        <w:t>a)     na splošnem področju:</w:t>
      </w:r>
    </w:p>
    <w:p w14:paraId="4896639F" w14:textId="292D9EAE" w:rsidR="00C13751" w:rsidRPr="0096100B" w:rsidRDefault="00FF6916" w:rsidP="004D1B3A">
      <w:pPr>
        <w:pStyle w:val="Odstavekseznama"/>
        <w:numPr>
          <w:ilvl w:val="0"/>
          <w:numId w:val="25"/>
        </w:numPr>
        <w:spacing w:line="360" w:lineRule="auto"/>
        <w:rPr>
          <w:rFonts w:cs="Arial"/>
          <w:sz w:val="20"/>
          <w:szCs w:val="20"/>
        </w:rPr>
      </w:pPr>
      <w:r w:rsidRPr="0096100B">
        <w:rPr>
          <w:rFonts w:cs="Arial"/>
          <w:sz w:val="20"/>
          <w:szCs w:val="20"/>
        </w:rPr>
        <w:t>4</w:t>
      </w:r>
      <w:r w:rsidR="00C13751" w:rsidRPr="0096100B">
        <w:rPr>
          <w:rFonts w:cs="Arial"/>
          <w:sz w:val="20"/>
          <w:szCs w:val="20"/>
        </w:rPr>
        <w:t>0.000 e</w:t>
      </w:r>
      <w:r w:rsidR="0037106B" w:rsidRPr="0096100B">
        <w:rPr>
          <w:rFonts w:cs="Arial"/>
          <w:sz w:val="20"/>
          <w:szCs w:val="20"/>
        </w:rPr>
        <w:t>v</w:t>
      </w:r>
      <w:r w:rsidR="00C13751" w:rsidRPr="0096100B">
        <w:rPr>
          <w:rFonts w:cs="Arial"/>
          <w:sz w:val="20"/>
          <w:szCs w:val="20"/>
        </w:rPr>
        <w:t>rov za javno naročilo blaga ali storitev ali projektni natečaj</w:t>
      </w:r>
      <w:r w:rsidR="002C4281" w:rsidRPr="0096100B">
        <w:rPr>
          <w:rFonts w:cs="Arial"/>
          <w:sz w:val="20"/>
          <w:szCs w:val="20"/>
        </w:rPr>
        <w:t>,</w:t>
      </w:r>
    </w:p>
    <w:p w14:paraId="4C78AF51" w14:textId="167C8D36" w:rsidR="00C13751" w:rsidRPr="0096100B" w:rsidRDefault="00FF6916" w:rsidP="004D1B3A">
      <w:pPr>
        <w:pStyle w:val="Odstavekseznama"/>
        <w:numPr>
          <w:ilvl w:val="0"/>
          <w:numId w:val="25"/>
        </w:numPr>
        <w:spacing w:line="360" w:lineRule="auto"/>
        <w:rPr>
          <w:rFonts w:cs="Arial"/>
          <w:sz w:val="20"/>
          <w:szCs w:val="20"/>
        </w:rPr>
      </w:pPr>
      <w:r w:rsidRPr="0096100B">
        <w:rPr>
          <w:rFonts w:cs="Arial"/>
          <w:sz w:val="20"/>
          <w:szCs w:val="20"/>
        </w:rPr>
        <w:t>8</w:t>
      </w:r>
      <w:r w:rsidR="00C13751" w:rsidRPr="0096100B">
        <w:rPr>
          <w:rFonts w:cs="Arial"/>
          <w:sz w:val="20"/>
          <w:szCs w:val="20"/>
        </w:rPr>
        <w:t>0.000 e</w:t>
      </w:r>
      <w:r w:rsidR="0037106B" w:rsidRPr="0096100B">
        <w:rPr>
          <w:rFonts w:cs="Arial"/>
          <w:sz w:val="20"/>
          <w:szCs w:val="20"/>
        </w:rPr>
        <w:t>v</w:t>
      </w:r>
      <w:r w:rsidR="00C13751" w:rsidRPr="0096100B">
        <w:rPr>
          <w:rFonts w:cs="Arial"/>
          <w:sz w:val="20"/>
          <w:szCs w:val="20"/>
        </w:rPr>
        <w:t>rov za javno naročilo graden</w:t>
      </w:r>
      <w:r w:rsidR="00CF664F" w:rsidRPr="0096100B">
        <w:rPr>
          <w:rFonts w:cs="Arial"/>
          <w:sz w:val="20"/>
          <w:szCs w:val="20"/>
        </w:rPr>
        <w:t>j</w:t>
      </w:r>
      <w:r w:rsidR="002C4281" w:rsidRPr="0096100B">
        <w:rPr>
          <w:rFonts w:cs="Arial"/>
          <w:sz w:val="20"/>
          <w:szCs w:val="20"/>
        </w:rPr>
        <w:t>,</w:t>
      </w:r>
    </w:p>
    <w:p w14:paraId="4CEA8720" w14:textId="4C0743C5" w:rsidR="00C13751" w:rsidRPr="008D7986" w:rsidRDefault="00C13751" w:rsidP="009F7B6D">
      <w:pPr>
        <w:pStyle w:val="Odstavekseznama"/>
        <w:numPr>
          <w:ilvl w:val="0"/>
          <w:numId w:val="25"/>
        </w:numPr>
        <w:spacing w:line="360" w:lineRule="auto"/>
        <w:rPr>
          <w:rFonts w:cs="Arial"/>
          <w:sz w:val="20"/>
          <w:szCs w:val="20"/>
        </w:rPr>
      </w:pPr>
      <w:r w:rsidRPr="008D7986">
        <w:rPr>
          <w:rFonts w:cs="Arial"/>
          <w:sz w:val="20"/>
          <w:szCs w:val="20"/>
        </w:rPr>
        <w:t>750.000 e</w:t>
      </w:r>
      <w:r w:rsidR="0037106B" w:rsidRPr="008D7986">
        <w:rPr>
          <w:rFonts w:cs="Arial"/>
          <w:sz w:val="20"/>
          <w:szCs w:val="20"/>
        </w:rPr>
        <w:t>v</w:t>
      </w:r>
      <w:r w:rsidRPr="008D7986">
        <w:rPr>
          <w:rFonts w:cs="Arial"/>
          <w:sz w:val="20"/>
          <w:szCs w:val="20"/>
        </w:rPr>
        <w:t xml:space="preserve">rov za javno naročilo storitev, ki jih določata </w:t>
      </w:r>
      <w:r w:rsidR="0037106B" w:rsidRPr="008D7986">
        <w:rPr>
          <w:rFonts w:cs="Arial"/>
          <w:sz w:val="20"/>
          <w:szCs w:val="20"/>
        </w:rPr>
        <w:t>p</w:t>
      </w:r>
      <w:r w:rsidRPr="008D7986">
        <w:rPr>
          <w:rFonts w:cs="Arial"/>
          <w:sz w:val="20"/>
          <w:szCs w:val="20"/>
        </w:rPr>
        <w:t xml:space="preserve">riloga XIV Direktive 2014/24/EU in </w:t>
      </w:r>
      <w:r w:rsidR="0037106B" w:rsidRPr="008D7986">
        <w:rPr>
          <w:rFonts w:cs="Arial"/>
          <w:sz w:val="20"/>
          <w:szCs w:val="20"/>
        </w:rPr>
        <w:t>p</w:t>
      </w:r>
      <w:r w:rsidRPr="008D7986">
        <w:rPr>
          <w:rFonts w:cs="Arial"/>
          <w:sz w:val="20"/>
          <w:szCs w:val="20"/>
        </w:rPr>
        <w:t xml:space="preserve">riloga XVII Direktive 2014/25/EU (v nadaljnjem besedilu: socialne in druge posebne storitve), </w:t>
      </w:r>
      <w:r w:rsidR="008D7986" w:rsidRPr="008D7986">
        <w:rPr>
          <w:rFonts w:cs="Arial"/>
          <w:sz w:val="20"/>
          <w:szCs w:val="20"/>
        </w:rPr>
        <w:t>razen storitev, zajetih s kodami CPV 79713000-5, 79100000-5, 79110000-8, 79111000-5, 79112000-2, 79112100-3 in 79140000-7</w:t>
      </w:r>
      <w:r w:rsidR="0037106B" w:rsidRPr="008D7986">
        <w:rPr>
          <w:rFonts w:cs="Arial"/>
          <w:sz w:val="20"/>
          <w:szCs w:val="20"/>
        </w:rPr>
        <w:t>;</w:t>
      </w:r>
    </w:p>
    <w:p w14:paraId="251DE4EA" w14:textId="77777777" w:rsidR="00D04A5F" w:rsidRPr="0096100B" w:rsidRDefault="00D04A5F" w:rsidP="00D04A5F">
      <w:pPr>
        <w:pStyle w:val="Odstavekseznama"/>
        <w:spacing w:line="360" w:lineRule="auto"/>
        <w:rPr>
          <w:rFonts w:cs="Arial"/>
          <w:sz w:val="20"/>
          <w:szCs w:val="20"/>
        </w:rPr>
      </w:pPr>
    </w:p>
    <w:p w14:paraId="5C4EA227" w14:textId="77777777" w:rsidR="00C13751" w:rsidRPr="0096100B" w:rsidRDefault="00C13751" w:rsidP="00C13751">
      <w:pPr>
        <w:spacing w:line="360" w:lineRule="auto"/>
        <w:jc w:val="both"/>
        <w:rPr>
          <w:rFonts w:ascii="Arial" w:hAnsi="Arial" w:cs="Arial"/>
          <w:sz w:val="20"/>
          <w:szCs w:val="20"/>
        </w:rPr>
      </w:pPr>
      <w:r w:rsidRPr="0096100B">
        <w:rPr>
          <w:rFonts w:ascii="Arial" w:hAnsi="Arial" w:cs="Arial"/>
          <w:sz w:val="20"/>
          <w:szCs w:val="20"/>
        </w:rPr>
        <w:t>b)     na infrastrukturnem področju:</w:t>
      </w:r>
    </w:p>
    <w:p w14:paraId="4FAF8F9A" w14:textId="26391FEE" w:rsidR="00C13751" w:rsidRPr="0096100B" w:rsidRDefault="00C13751" w:rsidP="00C0460E">
      <w:pPr>
        <w:pStyle w:val="Odstavekseznama"/>
        <w:numPr>
          <w:ilvl w:val="0"/>
          <w:numId w:val="25"/>
        </w:numPr>
        <w:spacing w:line="360" w:lineRule="auto"/>
        <w:rPr>
          <w:rFonts w:cs="Arial"/>
          <w:sz w:val="20"/>
          <w:szCs w:val="20"/>
        </w:rPr>
      </w:pPr>
      <w:r w:rsidRPr="0096100B">
        <w:rPr>
          <w:rFonts w:cs="Arial"/>
          <w:sz w:val="20"/>
          <w:szCs w:val="20"/>
        </w:rPr>
        <w:t>50.000 e</w:t>
      </w:r>
      <w:r w:rsidR="00DD3892" w:rsidRPr="0096100B">
        <w:rPr>
          <w:rFonts w:cs="Arial"/>
          <w:sz w:val="20"/>
          <w:szCs w:val="20"/>
        </w:rPr>
        <w:t>v</w:t>
      </w:r>
      <w:r w:rsidRPr="0096100B">
        <w:rPr>
          <w:rFonts w:cs="Arial"/>
          <w:sz w:val="20"/>
          <w:szCs w:val="20"/>
        </w:rPr>
        <w:t>rov za javno naročilo blaga ali storitev ali projektni natečaj</w:t>
      </w:r>
      <w:r w:rsidR="002C4281" w:rsidRPr="0096100B">
        <w:rPr>
          <w:rFonts w:cs="Arial"/>
          <w:sz w:val="20"/>
          <w:szCs w:val="20"/>
        </w:rPr>
        <w:t>,</w:t>
      </w:r>
    </w:p>
    <w:p w14:paraId="1D24F431" w14:textId="788AAB59" w:rsidR="00C13751" w:rsidRPr="0096100B" w:rsidRDefault="00C13751" w:rsidP="00C0460E">
      <w:pPr>
        <w:pStyle w:val="Odstavekseznama"/>
        <w:numPr>
          <w:ilvl w:val="0"/>
          <w:numId w:val="25"/>
        </w:numPr>
        <w:spacing w:line="360" w:lineRule="auto"/>
        <w:rPr>
          <w:rFonts w:cs="Arial"/>
          <w:sz w:val="20"/>
          <w:szCs w:val="20"/>
        </w:rPr>
      </w:pPr>
      <w:r w:rsidRPr="0096100B">
        <w:rPr>
          <w:rFonts w:cs="Arial"/>
          <w:sz w:val="20"/>
          <w:szCs w:val="20"/>
        </w:rPr>
        <w:t>100.000 e</w:t>
      </w:r>
      <w:r w:rsidR="00DD3892" w:rsidRPr="0096100B">
        <w:rPr>
          <w:rFonts w:cs="Arial"/>
          <w:sz w:val="20"/>
          <w:szCs w:val="20"/>
        </w:rPr>
        <w:t>v</w:t>
      </w:r>
      <w:r w:rsidRPr="0096100B">
        <w:rPr>
          <w:rFonts w:cs="Arial"/>
          <w:sz w:val="20"/>
          <w:szCs w:val="20"/>
        </w:rPr>
        <w:t>rov za javno naročilo gradenj</w:t>
      </w:r>
      <w:r w:rsidR="002C4281" w:rsidRPr="0096100B">
        <w:rPr>
          <w:rFonts w:cs="Arial"/>
          <w:sz w:val="20"/>
          <w:szCs w:val="20"/>
        </w:rPr>
        <w:t>,</w:t>
      </w:r>
    </w:p>
    <w:p w14:paraId="2DB8CF33" w14:textId="3476C591" w:rsidR="00C13751" w:rsidRPr="0096100B" w:rsidRDefault="00C13751" w:rsidP="00C0460E">
      <w:pPr>
        <w:pStyle w:val="Odstavekseznama"/>
        <w:numPr>
          <w:ilvl w:val="0"/>
          <w:numId w:val="25"/>
        </w:numPr>
        <w:spacing w:line="360" w:lineRule="auto"/>
        <w:rPr>
          <w:rFonts w:cs="Arial"/>
          <w:sz w:val="20"/>
          <w:szCs w:val="20"/>
        </w:rPr>
      </w:pPr>
      <w:r w:rsidRPr="0096100B">
        <w:rPr>
          <w:rFonts w:cs="Arial"/>
          <w:sz w:val="20"/>
          <w:szCs w:val="20"/>
        </w:rPr>
        <w:t xml:space="preserve">1.000.000 </w:t>
      </w:r>
      <w:r w:rsidR="008D7986" w:rsidRPr="0096100B">
        <w:rPr>
          <w:rFonts w:cs="Arial"/>
          <w:sz w:val="20"/>
          <w:szCs w:val="20"/>
        </w:rPr>
        <w:t>evrov za javno naročilo socialnih in drugih posebnih storitev, razen storitev, zajetih s kod</w:t>
      </w:r>
      <w:r w:rsidR="008D7986">
        <w:rPr>
          <w:rFonts w:cs="Arial"/>
          <w:sz w:val="20"/>
          <w:szCs w:val="20"/>
        </w:rPr>
        <w:t>ami</w:t>
      </w:r>
      <w:r w:rsidR="008D7986" w:rsidRPr="0096100B">
        <w:rPr>
          <w:rFonts w:cs="Arial"/>
          <w:sz w:val="20"/>
          <w:szCs w:val="20"/>
        </w:rPr>
        <w:t xml:space="preserve"> CPV 79713000-5</w:t>
      </w:r>
      <w:r w:rsidR="008D7986">
        <w:rPr>
          <w:rFonts w:cs="Arial"/>
          <w:sz w:val="20"/>
          <w:szCs w:val="20"/>
        </w:rPr>
        <w:t xml:space="preserve">, </w:t>
      </w:r>
      <w:r w:rsidR="008D7986" w:rsidRPr="005822C8">
        <w:rPr>
          <w:rFonts w:cs="Arial"/>
          <w:sz w:val="20"/>
          <w:szCs w:val="20"/>
        </w:rPr>
        <w:t>79100000-5, 79110000-8, 79111000-5, 79112000-2, 79112100-3 in 79140000-7</w:t>
      </w:r>
      <w:r w:rsidR="00DD3892" w:rsidRPr="0096100B">
        <w:rPr>
          <w:rFonts w:cs="Arial"/>
          <w:sz w:val="20"/>
          <w:szCs w:val="20"/>
        </w:rPr>
        <w:t>;</w:t>
      </w:r>
    </w:p>
    <w:p w14:paraId="08047693" w14:textId="77777777" w:rsidR="00C0460E" w:rsidRPr="0096100B" w:rsidRDefault="00C0460E" w:rsidP="00C0460E">
      <w:pPr>
        <w:spacing w:after="0" w:line="240" w:lineRule="auto"/>
        <w:jc w:val="both"/>
        <w:rPr>
          <w:rFonts w:ascii="Arial" w:hAnsi="Arial" w:cs="Arial"/>
          <w:sz w:val="20"/>
          <w:szCs w:val="20"/>
        </w:rPr>
      </w:pPr>
    </w:p>
    <w:p w14:paraId="25F19160" w14:textId="613D4ECA" w:rsidR="00C13751" w:rsidRPr="0096100B" w:rsidRDefault="00DD3892" w:rsidP="00C13751">
      <w:pPr>
        <w:spacing w:line="360" w:lineRule="auto"/>
        <w:jc w:val="both"/>
        <w:rPr>
          <w:rFonts w:ascii="Arial" w:hAnsi="Arial" w:cs="Arial"/>
          <w:sz w:val="20"/>
          <w:szCs w:val="20"/>
        </w:rPr>
      </w:pPr>
      <w:r w:rsidRPr="0096100B">
        <w:rPr>
          <w:rFonts w:ascii="Arial" w:hAnsi="Arial" w:cs="Arial"/>
          <w:sz w:val="20"/>
          <w:szCs w:val="20"/>
        </w:rPr>
        <w:t>t</w:t>
      </w:r>
      <w:r w:rsidR="00C13751" w:rsidRPr="0096100B">
        <w:rPr>
          <w:rFonts w:ascii="Arial" w:hAnsi="Arial" w:cs="Arial"/>
          <w:sz w:val="20"/>
          <w:szCs w:val="20"/>
        </w:rPr>
        <w:t>er naročila, ki so bila oddana na podlagi ZJNPOV in katerih vrednost je nižja od:</w:t>
      </w:r>
    </w:p>
    <w:p w14:paraId="3F62CC0B" w14:textId="2D4F80E1" w:rsidR="00C13751" w:rsidRPr="0096100B" w:rsidRDefault="00C13751" w:rsidP="00C0460E">
      <w:pPr>
        <w:pStyle w:val="Odstavekseznama"/>
        <w:numPr>
          <w:ilvl w:val="0"/>
          <w:numId w:val="37"/>
        </w:numPr>
        <w:spacing w:line="360" w:lineRule="auto"/>
        <w:rPr>
          <w:rFonts w:cs="Arial"/>
          <w:sz w:val="20"/>
          <w:szCs w:val="20"/>
        </w:rPr>
      </w:pPr>
      <w:r w:rsidRPr="0096100B">
        <w:rPr>
          <w:rFonts w:cs="Arial"/>
          <w:sz w:val="20"/>
          <w:szCs w:val="20"/>
        </w:rPr>
        <w:t>40.000 e</w:t>
      </w:r>
      <w:r w:rsidR="00DD3892" w:rsidRPr="0096100B">
        <w:rPr>
          <w:rFonts w:cs="Arial"/>
          <w:sz w:val="20"/>
          <w:szCs w:val="20"/>
        </w:rPr>
        <w:t>v</w:t>
      </w:r>
      <w:r w:rsidRPr="0096100B">
        <w:rPr>
          <w:rFonts w:cs="Arial"/>
          <w:sz w:val="20"/>
          <w:szCs w:val="20"/>
        </w:rPr>
        <w:t>rov pri naročanju blaga ali storitev,</w:t>
      </w:r>
    </w:p>
    <w:p w14:paraId="4C3A965D" w14:textId="03C7576C" w:rsidR="00C13751" w:rsidRPr="0096100B" w:rsidRDefault="00C13751" w:rsidP="00C0460E">
      <w:pPr>
        <w:pStyle w:val="Odstavekseznama"/>
        <w:numPr>
          <w:ilvl w:val="0"/>
          <w:numId w:val="37"/>
        </w:numPr>
        <w:spacing w:line="360" w:lineRule="auto"/>
        <w:rPr>
          <w:rFonts w:cs="Arial"/>
          <w:sz w:val="20"/>
          <w:szCs w:val="20"/>
        </w:rPr>
      </w:pPr>
      <w:r w:rsidRPr="0096100B">
        <w:rPr>
          <w:rFonts w:cs="Arial"/>
          <w:sz w:val="20"/>
          <w:szCs w:val="20"/>
        </w:rPr>
        <w:t>80.000 e</w:t>
      </w:r>
      <w:r w:rsidR="00DD3892" w:rsidRPr="0096100B">
        <w:rPr>
          <w:rFonts w:cs="Arial"/>
          <w:sz w:val="20"/>
          <w:szCs w:val="20"/>
        </w:rPr>
        <w:t>v</w:t>
      </w:r>
      <w:r w:rsidRPr="0096100B">
        <w:rPr>
          <w:rFonts w:cs="Arial"/>
          <w:sz w:val="20"/>
          <w:szCs w:val="20"/>
        </w:rPr>
        <w:t>rov pri naročanju gradenj.</w:t>
      </w:r>
    </w:p>
    <w:p w14:paraId="117182CF" w14:textId="77777777" w:rsidR="004F63F5" w:rsidRPr="0096100B" w:rsidRDefault="004F63F5" w:rsidP="004F63F5">
      <w:pPr>
        <w:pStyle w:val="Odstavekseznama"/>
        <w:spacing w:line="360" w:lineRule="auto"/>
        <w:ind w:left="360"/>
        <w:rPr>
          <w:rFonts w:cs="Arial"/>
          <w:sz w:val="20"/>
          <w:szCs w:val="20"/>
        </w:rPr>
      </w:pPr>
    </w:p>
    <w:p w14:paraId="7EA75BDA" w14:textId="1B4FE1A3" w:rsidR="00C13751" w:rsidRPr="006207FF" w:rsidRDefault="00C13751" w:rsidP="00C13751">
      <w:pPr>
        <w:spacing w:line="360" w:lineRule="auto"/>
        <w:jc w:val="both"/>
        <w:rPr>
          <w:rFonts w:ascii="Arial" w:hAnsi="Arial" w:cs="Arial"/>
          <w:sz w:val="20"/>
          <w:szCs w:val="20"/>
        </w:rPr>
      </w:pPr>
      <w:r w:rsidRPr="006207FF">
        <w:rPr>
          <w:rFonts w:ascii="Arial" w:hAnsi="Arial" w:cs="Arial"/>
          <w:sz w:val="20"/>
          <w:szCs w:val="20"/>
        </w:rPr>
        <w:t xml:space="preserve">Pri tem </w:t>
      </w:r>
      <w:r w:rsidR="003E7F7D">
        <w:rPr>
          <w:rFonts w:ascii="Arial" w:hAnsi="Arial" w:cs="Arial"/>
          <w:sz w:val="20"/>
          <w:szCs w:val="20"/>
        </w:rPr>
        <w:t xml:space="preserve">se </w:t>
      </w:r>
      <w:r w:rsidRPr="006207FF">
        <w:rPr>
          <w:rFonts w:ascii="Arial" w:hAnsi="Arial" w:cs="Arial"/>
          <w:sz w:val="20"/>
          <w:szCs w:val="20"/>
        </w:rPr>
        <w:t>ne glede na navedene vrednosti</w:t>
      </w:r>
      <w:r w:rsidR="003E7F7D">
        <w:rPr>
          <w:rFonts w:ascii="Arial" w:hAnsi="Arial" w:cs="Arial"/>
          <w:sz w:val="20"/>
          <w:szCs w:val="20"/>
        </w:rPr>
        <w:t xml:space="preserve"> za</w:t>
      </w:r>
      <w:r w:rsidRPr="006207FF">
        <w:rPr>
          <w:rFonts w:ascii="Arial" w:hAnsi="Arial" w:cs="Arial"/>
          <w:sz w:val="20"/>
          <w:szCs w:val="20"/>
        </w:rPr>
        <w:t xml:space="preserve"> evidenčna naročila štejejo tudi naročila, oddana po </w:t>
      </w:r>
      <w:r w:rsidR="001F27C4" w:rsidRPr="006207FF">
        <w:rPr>
          <w:rFonts w:ascii="Arial" w:hAnsi="Arial" w:cs="Arial"/>
          <w:sz w:val="20"/>
          <w:szCs w:val="20"/>
        </w:rPr>
        <w:t>tako imenovanem</w:t>
      </w:r>
      <w:r w:rsidRPr="006207FF">
        <w:rPr>
          <w:rFonts w:ascii="Arial" w:hAnsi="Arial" w:cs="Arial"/>
          <w:sz w:val="20"/>
          <w:szCs w:val="20"/>
        </w:rPr>
        <w:t xml:space="preserve"> načelu kratkih verig</w:t>
      </w:r>
      <w:r w:rsidR="004D5CA4">
        <w:rPr>
          <w:rFonts w:ascii="Arial" w:hAnsi="Arial" w:cs="Arial"/>
          <w:sz w:val="20"/>
          <w:szCs w:val="20"/>
        </w:rPr>
        <w:t xml:space="preserve"> </w:t>
      </w:r>
      <w:r w:rsidR="00324207">
        <w:rPr>
          <w:rFonts w:ascii="Arial" w:hAnsi="Arial" w:cs="Arial"/>
          <w:sz w:val="20"/>
          <w:szCs w:val="20"/>
        </w:rPr>
        <w:t>oziroma</w:t>
      </w:r>
      <w:r w:rsidR="004D5CA4">
        <w:rPr>
          <w:rFonts w:ascii="Arial" w:hAnsi="Arial" w:cs="Arial"/>
          <w:sz w:val="20"/>
          <w:szCs w:val="20"/>
        </w:rPr>
        <w:t xml:space="preserve"> kot izločeni sklopi</w:t>
      </w:r>
      <w:r w:rsidRPr="006207FF">
        <w:rPr>
          <w:rFonts w:ascii="Arial" w:hAnsi="Arial" w:cs="Arial"/>
          <w:sz w:val="20"/>
          <w:szCs w:val="20"/>
        </w:rPr>
        <w:t>.</w:t>
      </w:r>
      <w:r w:rsidRPr="006207FF">
        <w:rPr>
          <w:rStyle w:val="Sprotnaopomba-sklic"/>
          <w:rFonts w:ascii="Arial" w:hAnsi="Arial" w:cs="Arial"/>
          <w:sz w:val="20"/>
          <w:szCs w:val="20"/>
        </w:rPr>
        <w:footnoteReference w:id="5"/>
      </w:r>
    </w:p>
    <w:p w14:paraId="757BB3E0" w14:textId="4921F364" w:rsidR="00C13751" w:rsidRPr="006207FF" w:rsidRDefault="00C13751" w:rsidP="00C13751">
      <w:pPr>
        <w:spacing w:line="360" w:lineRule="auto"/>
        <w:jc w:val="both"/>
        <w:rPr>
          <w:rFonts w:ascii="Arial" w:hAnsi="Arial" w:cs="Arial"/>
          <w:sz w:val="20"/>
          <w:szCs w:val="20"/>
        </w:rPr>
      </w:pPr>
      <w:r w:rsidRPr="006207FF">
        <w:rPr>
          <w:rFonts w:ascii="Arial" w:hAnsi="Arial" w:cs="Arial"/>
          <w:sz w:val="20"/>
          <w:szCs w:val="20"/>
        </w:rPr>
        <w:lastRenderedPageBreak/>
        <w:t xml:space="preserve">Vse </w:t>
      </w:r>
      <w:r w:rsidRPr="0096100B">
        <w:rPr>
          <w:rFonts w:ascii="Arial" w:hAnsi="Arial" w:cs="Arial"/>
          <w:sz w:val="20"/>
          <w:szCs w:val="20"/>
        </w:rPr>
        <w:t>denarne vrednosti, navedene v poročilu, so vrednosti brez davka na dodano vrednost (DDV) v evrih, razen denarnih vrednosti v točk</w:t>
      </w:r>
      <w:r w:rsidR="00164E3D" w:rsidRPr="0096100B">
        <w:rPr>
          <w:rFonts w:ascii="Arial" w:hAnsi="Arial" w:cs="Arial"/>
          <w:sz w:val="20"/>
          <w:szCs w:val="20"/>
        </w:rPr>
        <w:t>ah</w:t>
      </w:r>
      <w:r w:rsidRPr="0096100B">
        <w:rPr>
          <w:rFonts w:ascii="Arial" w:hAnsi="Arial" w:cs="Arial"/>
          <w:sz w:val="20"/>
          <w:szCs w:val="20"/>
        </w:rPr>
        <w:t xml:space="preserve"> 2.1.1 in 2.1.2, </w:t>
      </w:r>
      <w:r w:rsidR="002C4281" w:rsidRPr="0096100B">
        <w:rPr>
          <w:rFonts w:ascii="Arial" w:hAnsi="Arial" w:cs="Arial"/>
          <w:sz w:val="20"/>
          <w:szCs w:val="20"/>
        </w:rPr>
        <w:t>pri katerih</w:t>
      </w:r>
      <w:r w:rsidR="002C4281" w:rsidRPr="006207FF">
        <w:rPr>
          <w:rFonts w:ascii="Arial" w:hAnsi="Arial" w:cs="Arial"/>
          <w:sz w:val="20"/>
          <w:szCs w:val="20"/>
        </w:rPr>
        <w:t xml:space="preserve"> </w:t>
      </w:r>
      <w:r w:rsidRPr="006207FF">
        <w:rPr>
          <w:rFonts w:ascii="Arial" w:hAnsi="Arial" w:cs="Arial"/>
          <w:sz w:val="20"/>
          <w:szCs w:val="20"/>
        </w:rPr>
        <w:t xml:space="preserve">je bila pri izračunu deleža javnih naročil v BDP in proračunu </w:t>
      </w:r>
      <w:r w:rsidR="001F27C4" w:rsidRPr="006207FF">
        <w:rPr>
          <w:rFonts w:ascii="Arial" w:hAnsi="Arial" w:cs="Arial"/>
          <w:sz w:val="20"/>
          <w:szCs w:val="20"/>
        </w:rPr>
        <w:t xml:space="preserve">ter </w:t>
      </w:r>
      <w:r w:rsidRPr="006207FF">
        <w:rPr>
          <w:rFonts w:ascii="Arial" w:hAnsi="Arial" w:cs="Arial"/>
          <w:sz w:val="20"/>
          <w:szCs w:val="20"/>
        </w:rPr>
        <w:t>odhodkih proračuna upoštevana tudi povprečna vrednost DDV, ki jo izračunava Statistični urad Republike Slovenije.</w:t>
      </w:r>
    </w:p>
    <w:p w14:paraId="25B097FB" w14:textId="5F292F06" w:rsidR="00C13751" w:rsidRPr="006207FF" w:rsidRDefault="00C13751" w:rsidP="00C13751">
      <w:pPr>
        <w:pStyle w:val="Standard"/>
        <w:spacing w:line="360" w:lineRule="auto"/>
        <w:rPr>
          <w:rFonts w:cs="Arial"/>
          <w:sz w:val="20"/>
          <w:szCs w:val="20"/>
        </w:rPr>
      </w:pPr>
      <w:r w:rsidRPr="006207FF">
        <w:rPr>
          <w:rFonts w:cs="Arial"/>
          <w:sz w:val="20"/>
          <w:szCs w:val="20"/>
        </w:rPr>
        <w:t>V tem poročilu so naročniki</w:t>
      </w:r>
      <w:r w:rsidR="00164E3D" w:rsidRPr="006207FF">
        <w:rPr>
          <w:rFonts w:cs="Arial"/>
          <w:sz w:val="20"/>
          <w:szCs w:val="20"/>
        </w:rPr>
        <w:t xml:space="preserve"> </w:t>
      </w:r>
      <w:r w:rsidRPr="006207FF">
        <w:rPr>
          <w:rFonts w:cs="Arial"/>
          <w:sz w:val="20"/>
          <w:szCs w:val="20"/>
        </w:rPr>
        <w:t xml:space="preserve">razvrščeni v osem </w:t>
      </w:r>
      <w:r w:rsidR="00164E3D" w:rsidRPr="006207FF">
        <w:rPr>
          <w:rFonts w:cs="Arial"/>
          <w:sz w:val="20"/>
          <w:szCs w:val="20"/>
        </w:rPr>
        <w:t>skupin</w:t>
      </w:r>
      <w:r w:rsidRPr="006207FF">
        <w:rPr>
          <w:rFonts w:cs="Arial"/>
          <w:sz w:val="20"/>
          <w:szCs w:val="20"/>
        </w:rPr>
        <w:t>:</w:t>
      </w:r>
    </w:p>
    <w:p w14:paraId="02C3388D" w14:textId="2139295F" w:rsidR="00C13751" w:rsidRPr="006207FF" w:rsidRDefault="00C13751" w:rsidP="00C13751">
      <w:pPr>
        <w:pStyle w:val="Standard"/>
        <w:numPr>
          <w:ilvl w:val="0"/>
          <w:numId w:val="18"/>
        </w:numPr>
        <w:spacing w:line="360" w:lineRule="auto"/>
        <w:textAlignment w:val="auto"/>
        <w:rPr>
          <w:rFonts w:cs="Arial"/>
          <w:sz w:val="20"/>
          <w:szCs w:val="20"/>
        </w:rPr>
      </w:pPr>
      <w:r w:rsidRPr="006207FF">
        <w:rPr>
          <w:rFonts w:cs="Arial"/>
          <w:sz w:val="20"/>
          <w:szCs w:val="20"/>
        </w:rPr>
        <w:t>organi R</w:t>
      </w:r>
      <w:r w:rsidR="003E7F7D">
        <w:rPr>
          <w:rFonts w:cs="Arial"/>
          <w:sz w:val="20"/>
          <w:szCs w:val="20"/>
        </w:rPr>
        <w:t>epublike Slovenije</w:t>
      </w:r>
      <w:r w:rsidRPr="006207FF">
        <w:rPr>
          <w:rFonts w:cs="Arial"/>
          <w:sz w:val="20"/>
          <w:szCs w:val="20"/>
        </w:rPr>
        <w:t xml:space="preserve">, kar </w:t>
      </w:r>
      <w:r w:rsidR="00A558B6" w:rsidRPr="006207FF">
        <w:rPr>
          <w:rFonts w:cs="Arial"/>
          <w:sz w:val="20"/>
          <w:szCs w:val="20"/>
        </w:rPr>
        <w:t xml:space="preserve">zajema </w:t>
      </w:r>
      <w:r w:rsidRPr="006207FF">
        <w:rPr>
          <w:rFonts w:cs="Arial"/>
          <w:sz w:val="20"/>
          <w:szCs w:val="20"/>
        </w:rPr>
        <w:t xml:space="preserve">centralizirano in decentralizirano raven (tj. tudi upravne enote), </w:t>
      </w:r>
    </w:p>
    <w:p w14:paraId="165D2DD3" w14:textId="77777777" w:rsidR="00C13751" w:rsidRPr="006207FF" w:rsidRDefault="00C13751" w:rsidP="00C13751">
      <w:pPr>
        <w:pStyle w:val="Standard"/>
        <w:numPr>
          <w:ilvl w:val="0"/>
          <w:numId w:val="18"/>
        </w:numPr>
        <w:spacing w:line="360" w:lineRule="auto"/>
        <w:textAlignment w:val="auto"/>
        <w:rPr>
          <w:rFonts w:cs="Arial"/>
          <w:sz w:val="20"/>
          <w:szCs w:val="20"/>
        </w:rPr>
      </w:pPr>
      <w:r w:rsidRPr="006207FF">
        <w:rPr>
          <w:rFonts w:cs="Arial"/>
          <w:sz w:val="20"/>
          <w:szCs w:val="20"/>
        </w:rPr>
        <w:t>samoupravne lokalne skupnosti,</w:t>
      </w:r>
    </w:p>
    <w:p w14:paraId="0FB3BEC4" w14:textId="77777777" w:rsidR="00C13751" w:rsidRPr="006207FF" w:rsidRDefault="00C13751" w:rsidP="00C13751">
      <w:pPr>
        <w:pStyle w:val="Standard"/>
        <w:numPr>
          <w:ilvl w:val="0"/>
          <w:numId w:val="18"/>
        </w:numPr>
        <w:spacing w:line="360" w:lineRule="auto"/>
        <w:textAlignment w:val="auto"/>
        <w:rPr>
          <w:rFonts w:cs="Arial"/>
          <w:sz w:val="20"/>
          <w:szCs w:val="20"/>
          <w:lang w:eastAsia="sl-SI"/>
        </w:rPr>
      </w:pPr>
      <w:r w:rsidRPr="006207FF">
        <w:rPr>
          <w:rFonts w:cs="Arial"/>
          <w:sz w:val="20"/>
          <w:szCs w:val="20"/>
          <w:lang w:eastAsia="sl-SI"/>
        </w:rPr>
        <w:t>javni skladi,</w:t>
      </w:r>
    </w:p>
    <w:p w14:paraId="7DAA17C7" w14:textId="77777777" w:rsidR="00C13751" w:rsidRPr="006207FF" w:rsidRDefault="00C13751" w:rsidP="00C13751">
      <w:pPr>
        <w:pStyle w:val="Standard"/>
        <w:numPr>
          <w:ilvl w:val="0"/>
          <w:numId w:val="18"/>
        </w:numPr>
        <w:spacing w:line="360" w:lineRule="auto"/>
        <w:textAlignment w:val="auto"/>
        <w:rPr>
          <w:rFonts w:cs="Arial"/>
          <w:sz w:val="20"/>
          <w:szCs w:val="20"/>
          <w:lang w:eastAsia="sl-SI"/>
        </w:rPr>
      </w:pPr>
      <w:r w:rsidRPr="006207FF">
        <w:rPr>
          <w:rFonts w:cs="Arial"/>
          <w:sz w:val="20"/>
          <w:szCs w:val="20"/>
          <w:lang w:eastAsia="sl-SI"/>
        </w:rPr>
        <w:t>javne agencije,</w:t>
      </w:r>
    </w:p>
    <w:p w14:paraId="015F1E70" w14:textId="77777777" w:rsidR="00C13751" w:rsidRPr="006207FF" w:rsidRDefault="00C13751" w:rsidP="00C13751">
      <w:pPr>
        <w:pStyle w:val="Standard"/>
        <w:numPr>
          <w:ilvl w:val="0"/>
          <w:numId w:val="18"/>
        </w:numPr>
        <w:spacing w:line="360" w:lineRule="auto"/>
        <w:textAlignment w:val="auto"/>
        <w:rPr>
          <w:rFonts w:cs="Arial"/>
          <w:sz w:val="20"/>
          <w:szCs w:val="20"/>
          <w:lang w:eastAsia="sl-SI"/>
        </w:rPr>
      </w:pPr>
      <w:r w:rsidRPr="006207FF">
        <w:rPr>
          <w:rFonts w:cs="Arial"/>
          <w:sz w:val="20"/>
          <w:szCs w:val="20"/>
          <w:lang w:eastAsia="sl-SI"/>
        </w:rPr>
        <w:t>javni zavodi,</w:t>
      </w:r>
    </w:p>
    <w:p w14:paraId="391F6CF4" w14:textId="77777777" w:rsidR="00C13751" w:rsidRPr="006207FF" w:rsidRDefault="00C13751" w:rsidP="00C13751">
      <w:pPr>
        <w:pStyle w:val="Standard"/>
        <w:numPr>
          <w:ilvl w:val="0"/>
          <w:numId w:val="18"/>
        </w:numPr>
        <w:spacing w:line="360" w:lineRule="auto"/>
        <w:textAlignment w:val="auto"/>
        <w:rPr>
          <w:rFonts w:cs="Arial"/>
          <w:sz w:val="20"/>
          <w:szCs w:val="20"/>
          <w:lang w:eastAsia="sl-SI"/>
        </w:rPr>
      </w:pPr>
      <w:r w:rsidRPr="006207FF">
        <w:rPr>
          <w:rFonts w:cs="Arial"/>
          <w:sz w:val="20"/>
          <w:szCs w:val="20"/>
          <w:lang w:eastAsia="sl-SI"/>
        </w:rPr>
        <w:t>javni gospodarski zavodi,</w:t>
      </w:r>
    </w:p>
    <w:p w14:paraId="05A3A450" w14:textId="2ED786DA" w:rsidR="00C13751" w:rsidRPr="006207FF" w:rsidRDefault="00C13751" w:rsidP="00C13751">
      <w:pPr>
        <w:pStyle w:val="Standard"/>
        <w:numPr>
          <w:ilvl w:val="0"/>
          <w:numId w:val="18"/>
        </w:numPr>
        <w:spacing w:line="360" w:lineRule="auto"/>
        <w:textAlignment w:val="auto"/>
        <w:rPr>
          <w:rFonts w:cs="Arial"/>
          <w:sz w:val="20"/>
          <w:szCs w:val="20"/>
          <w:lang w:eastAsia="sl-SI"/>
        </w:rPr>
      </w:pPr>
      <w:r w:rsidRPr="006207FF">
        <w:rPr>
          <w:rFonts w:cs="Arial"/>
          <w:sz w:val="20"/>
          <w:szCs w:val="20"/>
          <w:lang w:eastAsia="sl-SI"/>
        </w:rPr>
        <w:t xml:space="preserve">drugi naročniki, kar zajema osebe javnega prava, ki niso vključene v točke od 3 do 6, javna podjetja na infrastrukturnem področju, subjekte, ki so jim bile na infrastrukturnem področju </w:t>
      </w:r>
      <w:r w:rsidR="00A558B6" w:rsidRPr="006207FF">
        <w:rPr>
          <w:rFonts w:cs="Arial"/>
          <w:sz w:val="20"/>
          <w:szCs w:val="20"/>
          <w:lang w:eastAsia="sl-SI"/>
        </w:rPr>
        <w:t xml:space="preserve">nepregledno </w:t>
      </w:r>
      <w:r w:rsidRPr="006207FF">
        <w:rPr>
          <w:rFonts w:cs="Arial"/>
          <w:sz w:val="20"/>
          <w:szCs w:val="20"/>
          <w:lang w:eastAsia="sl-SI"/>
        </w:rPr>
        <w:t>in nekonkurenč</w:t>
      </w:r>
      <w:r w:rsidR="00DD3892" w:rsidRPr="006207FF">
        <w:rPr>
          <w:rFonts w:cs="Arial"/>
          <w:sz w:val="20"/>
          <w:szCs w:val="20"/>
          <w:lang w:eastAsia="sl-SI"/>
        </w:rPr>
        <w:t>no</w:t>
      </w:r>
      <w:r w:rsidRPr="006207FF">
        <w:rPr>
          <w:rFonts w:cs="Arial"/>
          <w:sz w:val="20"/>
          <w:szCs w:val="20"/>
          <w:lang w:eastAsia="sl-SI"/>
        </w:rPr>
        <w:t xml:space="preserve"> podeljene posebne ali izključne pravice,</w:t>
      </w:r>
    </w:p>
    <w:p w14:paraId="71E33D91" w14:textId="58232086" w:rsidR="00C13751" w:rsidRPr="006207FF" w:rsidRDefault="00942A80" w:rsidP="00C13751">
      <w:pPr>
        <w:pStyle w:val="Standard"/>
        <w:numPr>
          <w:ilvl w:val="0"/>
          <w:numId w:val="18"/>
        </w:numPr>
        <w:spacing w:line="360" w:lineRule="auto"/>
        <w:textAlignment w:val="auto"/>
        <w:rPr>
          <w:rFonts w:cs="Arial"/>
          <w:sz w:val="20"/>
          <w:szCs w:val="20"/>
        </w:rPr>
      </w:pPr>
      <w:r>
        <w:rPr>
          <w:rFonts w:cs="Arial"/>
          <w:sz w:val="20"/>
          <w:szCs w:val="20"/>
          <w:lang w:eastAsia="sl-SI"/>
        </w:rPr>
        <w:t>drugi</w:t>
      </w:r>
      <w:r w:rsidR="00C13751" w:rsidRPr="006207FF">
        <w:rPr>
          <w:rFonts w:cs="Arial"/>
          <w:sz w:val="20"/>
          <w:szCs w:val="20"/>
          <w:lang w:eastAsia="sl-SI"/>
        </w:rPr>
        <w:t xml:space="preserve"> subjekti, kar zajema </w:t>
      </w:r>
      <w:r w:rsidR="00C13751" w:rsidRPr="006207FF">
        <w:rPr>
          <w:rFonts w:cs="Arial"/>
          <w:sz w:val="20"/>
          <w:szCs w:val="20"/>
        </w:rPr>
        <w:t>gospodarske subjekte, ki so pravila javnega naročanja upoštevali v okviru določenega projekta, ker je bil ta (so)financiran z javnimi sredstvi Republike Slovenije</w:t>
      </w:r>
      <w:r w:rsidR="00DD3892" w:rsidRPr="006207FF">
        <w:rPr>
          <w:rFonts w:cs="Arial"/>
          <w:sz w:val="20"/>
          <w:szCs w:val="20"/>
        </w:rPr>
        <w:t xml:space="preserve"> </w:t>
      </w:r>
      <w:r w:rsidR="002C4281" w:rsidRPr="006207FF">
        <w:rPr>
          <w:rFonts w:cs="Arial"/>
          <w:sz w:val="20"/>
          <w:szCs w:val="20"/>
        </w:rPr>
        <w:t xml:space="preserve">ali </w:t>
      </w:r>
      <w:r w:rsidR="00C13751" w:rsidRPr="006207FF">
        <w:rPr>
          <w:rFonts w:cs="Arial"/>
          <w:sz w:val="20"/>
          <w:szCs w:val="20"/>
          <w:lang w:eastAsia="sl-SI"/>
        </w:rPr>
        <w:t>Evropske unije</w:t>
      </w:r>
      <w:r w:rsidR="00C13751" w:rsidRPr="006207FF">
        <w:rPr>
          <w:rFonts w:cs="Arial"/>
          <w:sz w:val="20"/>
          <w:szCs w:val="20"/>
        </w:rPr>
        <w:t>.</w:t>
      </w:r>
    </w:p>
    <w:p w14:paraId="35BDDFD5" w14:textId="77777777" w:rsidR="00C13751" w:rsidRPr="006207FF" w:rsidRDefault="00C13751" w:rsidP="00C13751">
      <w:pPr>
        <w:pStyle w:val="Standard"/>
        <w:spacing w:line="360" w:lineRule="auto"/>
        <w:rPr>
          <w:rFonts w:cs="Arial"/>
          <w:sz w:val="20"/>
          <w:szCs w:val="20"/>
        </w:rPr>
      </w:pPr>
    </w:p>
    <w:p w14:paraId="5040C778" w14:textId="77777777" w:rsidR="00C13751" w:rsidRPr="006207FF" w:rsidRDefault="00C13751" w:rsidP="00C13751">
      <w:pPr>
        <w:spacing w:line="360" w:lineRule="auto"/>
        <w:jc w:val="both"/>
        <w:rPr>
          <w:rFonts w:ascii="Arial" w:hAnsi="Arial" w:cs="Arial"/>
          <w:sz w:val="20"/>
          <w:szCs w:val="20"/>
        </w:rPr>
      </w:pPr>
      <w:r w:rsidRPr="006207FF">
        <w:rPr>
          <w:rFonts w:ascii="Arial" w:hAnsi="Arial" w:cs="Arial"/>
          <w:sz w:val="20"/>
          <w:szCs w:val="20"/>
        </w:rPr>
        <w:t>Analiza podatkov o naročnikih in ponudnikih temelji na davčni in matični številki posameznega subjekta.</w:t>
      </w:r>
    </w:p>
    <w:bookmarkEnd w:id="54"/>
    <w:p w14:paraId="31F19A94" w14:textId="77777777" w:rsidR="00662735" w:rsidRPr="00BF7302" w:rsidRDefault="00662735" w:rsidP="00CD56F6">
      <w:pPr>
        <w:pStyle w:val="ZADEVA"/>
        <w:spacing w:line="312" w:lineRule="auto"/>
        <w:jc w:val="both"/>
        <w:rPr>
          <w:rFonts w:cs="Arial"/>
          <w:b w:val="0"/>
          <w:szCs w:val="20"/>
          <w:highlight w:val="yellow"/>
          <w:lang w:val="sl-SI"/>
        </w:rPr>
      </w:pPr>
    </w:p>
    <w:p w14:paraId="1CC3FF74" w14:textId="77777777" w:rsidR="00662735" w:rsidRPr="00BF7302" w:rsidRDefault="00662735" w:rsidP="00CD56F6">
      <w:pPr>
        <w:pStyle w:val="ZADEVA"/>
        <w:spacing w:line="312" w:lineRule="auto"/>
        <w:jc w:val="both"/>
        <w:rPr>
          <w:rFonts w:cs="Arial"/>
          <w:b w:val="0"/>
          <w:szCs w:val="20"/>
          <w:highlight w:val="yellow"/>
          <w:lang w:val="sl-SI"/>
        </w:rPr>
      </w:pPr>
    </w:p>
    <w:p w14:paraId="602C8476" w14:textId="77777777" w:rsidR="00D048EA" w:rsidRDefault="00D048EA">
      <w:pPr>
        <w:rPr>
          <w:rFonts w:ascii="Arial" w:eastAsiaTheme="majorEastAsia" w:hAnsi="Arial" w:cs="Arial"/>
          <w:b/>
          <w:color w:val="2F5496" w:themeColor="accent1" w:themeShade="BF"/>
        </w:rPr>
      </w:pPr>
      <w:bookmarkStart w:id="56" w:name="_Toc78877469"/>
      <w:bookmarkStart w:id="57" w:name="_Toc113009135"/>
      <w:r>
        <w:rPr>
          <w:rFonts w:ascii="Arial" w:hAnsi="Arial" w:cs="Arial"/>
          <w:b/>
        </w:rPr>
        <w:br w:type="page"/>
      </w:r>
    </w:p>
    <w:p w14:paraId="7FF1C597" w14:textId="180703E1" w:rsidR="00D048EA" w:rsidRPr="001A6B42" w:rsidRDefault="00D048EA" w:rsidP="00D048EA">
      <w:pPr>
        <w:pStyle w:val="Naslov1"/>
        <w:rPr>
          <w:rFonts w:ascii="Arial" w:hAnsi="Arial" w:cs="Arial"/>
          <w:b/>
          <w:sz w:val="22"/>
          <w:szCs w:val="22"/>
        </w:rPr>
      </w:pPr>
      <w:bookmarkStart w:id="58" w:name="_Toc141864084"/>
      <w:r w:rsidRPr="001A6B42">
        <w:rPr>
          <w:rFonts w:ascii="Arial" w:hAnsi="Arial" w:cs="Arial"/>
          <w:b/>
          <w:sz w:val="22"/>
          <w:szCs w:val="22"/>
        </w:rPr>
        <w:lastRenderedPageBreak/>
        <w:t>Priloge</w:t>
      </w:r>
      <w:bookmarkEnd w:id="56"/>
      <w:bookmarkEnd w:id="57"/>
      <w:bookmarkEnd w:id="58"/>
    </w:p>
    <w:p w14:paraId="42EF4051" w14:textId="3BA60361" w:rsidR="004F2D45" w:rsidRDefault="004F2D45">
      <w:pPr>
        <w:rPr>
          <w:rFonts w:ascii="Arial" w:eastAsiaTheme="majorEastAsia" w:hAnsi="Arial" w:cs="Arial"/>
          <w:b/>
          <w:color w:val="2F5496" w:themeColor="accent1" w:themeShade="BF"/>
          <w:highlight w:val="yellow"/>
        </w:rPr>
      </w:pPr>
    </w:p>
    <w:p w14:paraId="27F65AEC" w14:textId="77777777" w:rsidR="00E3750C" w:rsidRPr="001A6B42" w:rsidRDefault="00E3750C" w:rsidP="00E3750C">
      <w:pPr>
        <w:pStyle w:val="ZADEVA"/>
        <w:spacing w:before="120" w:line="240" w:lineRule="auto"/>
        <w:jc w:val="both"/>
        <w:rPr>
          <w:rFonts w:cs="Arial"/>
          <w:b w:val="0"/>
          <w:iCs/>
          <w:szCs w:val="20"/>
          <w:lang w:val="sl-SI"/>
        </w:rPr>
      </w:pPr>
      <w:bookmarkStart w:id="59" w:name="_Toc367054474"/>
      <w:bookmarkStart w:id="60" w:name="_Toc367193247"/>
      <w:bookmarkStart w:id="61" w:name="_Toc367784261"/>
      <w:bookmarkStart w:id="62" w:name="_Toc368925705"/>
      <w:bookmarkStart w:id="63" w:name="_Toc369000988"/>
      <w:bookmarkStart w:id="64" w:name="_Toc398038705"/>
      <w:bookmarkStart w:id="65" w:name="_Toc398040184"/>
      <w:bookmarkStart w:id="66" w:name="_Toc398584422"/>
      <w:bookmarkStart w:id="67" w:name="_Toc461086442"/>
      <w:bookmarkStart w:id="68" w:name="_Toc461608814"/>
      <w:bookmarkStart w:id="69" w:name="_Toc462401233"/>
      <w:r w:rsidRPr="001A6B42">
        <w:rPr>
          <w:rFonts w:cs="Arial"/>
          <w:b w:val="0"/>
          <w:iCs/>
          <w:color w:val="000000" w:themeColor="text1"/>
          <w:szCs w:val="20"/>
          <w:lang w:val="sl-SI"/>
        </w:rPr>
        <w:t>Preglednica 5</w:t>
      </w:r>
      <w:r>
        <w:rPr>
          <w:rFonts w:cs="Arial"/>
          <w:b w:val="0"/>
          <w:iCs/>
          <w:color w:val="000000" w:themeColor="text1"/>
          <w:szCs w:val="20"/>
          <w:lang w:val="sl-SI"/>
        </w:rPr>
        <w:t>8</w:t>
      </w:r>
      <w:r w:rsidRPr="001A6B42">
        <w:rPr>
          <w:rFonts w:cs="Arial"/>
          <w:b w:val="0"/>
          <w:iCs/>
          <w:color w:val="000000" w:themeColor="text1"/>
          <w:szCs w:val="20"/>
          <w:lang w:val="sl-SI"/>
        </w:rPr>
        <w:t xml:space="preserve">: </w:t>
      </w:r>
      <w:bookmarkEnd w:id="59"/>
      <w:bookmarkEnd w:id="60"/>
      <w:r w:rsidRPr="001A6B42">
        <w:rPr>
          <w:rFonts w:cs="Arial"/>
          <w:b w:val="0"/>
          <w:iCs/>
          <w:szCs w:val="20"/>
          <w:lang w:val="sl-SI"/>
        </w:rPr>
        <w:t>Javna naročila glede na področje naročanja in vrsto postopka</w:t>
      </w:r>
      <w:bookmarkEnd w:id="61"/>
      <w:bookmarkEnd w:id="62"/>
      <w:bookmarkEnd w:id="63"/>
      <w:bookmarkEnd w:id="64"/>
      <w:bookmarkEnd w:id="65"/>
      <w:bookmarkEnd w:id="66"/>
      <w:bookmarkEnd w:id="67"/>
      <w:bookmarkEnd w:id="68"/>
      <w:bookmarkEnd w:id="69"/>
    </w:p>
    <w:p w14:paraId="310ACFCD" w14:textId="77777777" w:rsidR="00E3750C" w:rsidRPr="001A6B42" w:rsidRDefault="00E3750C" w:rsidP="00E3750C">
      <w:pPr>
        <w:pStyle w:val="ZADEVA"/>
        <w:spacing w:line="240" w:lineRule="auto"/>
        <w:jc w:val="both"/>
        <w:rPr>
          <w:rFonts w:cs="Arial"/>
          <w:b w:val="0"/>
          <w:iCs/>
          <w:szCs w:val="20"/>
          <w:lang w:val="sl-SI"/>
        </w:rPr>
      </w:pPr>
    </w:p>
    <w:tbl>
      <w:tblPr>
        <w:tblW w:w="5000" w:type="pct"/>
        <w:tblCellMar>
          <w:left w:w="70" w:type="dxa"/>
          <w:right w:w="70" w:type="dxa"/>
        </w:tblCellMar>
        <w:tblLook w:val="04A0" w:firstRow="1" w:lastRow="0" w:firstColumn="1" w:lastColumn="0" w:noHBand="0" w:noVBand="1"/>
      </w:tblPr>
      <w:tblGrid>
        <w:gridCol w:w="1302"/>
        <w:gridCol w:w="3618"/>
        <w:gridCol w:w="961"/>
        <w:gridCol w:w="1422"/>
        <w:gridCol w:w="961"/>
        <w:gridCol w:w="910"/>
      </w:tblGrid>
      <w:tr w:rsidR="00E3750C" w:rsidRPr="001A6B42" w14:paraId="355955EB" w14:textId="77777777" w:rsidTr="00047864">
        <w:trPr>
          <w:trHeight w:val="720"/>
        </w:trPr>
        <w:tc>
          <w:tcPr>
            <w:tcW w:w="70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D2AA91" w14:textId="77777777" w:rsidR="00E3750C" w:rsidRPr="001A6B42" w:rsidRDefault="00E3750C" w:rsidP="00047864">
            <w:pPr>
              <w:spacing w:after="0" w:line="240" w:lineRule="auto"/>
              <w:jc w:val="center"/>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Področje</w:t>
            </w:r>
          </w:p>
        </w:tc>
        <w:tc>
          <w:tcPr>
            <w:tcW w:w="197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E62DE7" w14:textId="77777777" w:rsidR="00E3750C" w:rsidRPr="001A6B42" w:rsidRDefault="00E3750C" w:rsidP="00047864">
            <w:pPr>
              <w:spacing w:after="0" w:line="240" w:lineRule="auto"/>
              <w:jc w:val="center"/>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Vrsta postopka</w:t>
            </w:r>
          </w:p>
        </w:tc>
        <w:tc>
          <w:tcPr>
            <w:tcW w:w="52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B7BDDB8" w14:textId="77777777" w:rsidR="00E3750C" w:rsidRPr="001A6B42" w:rsidRDefault="00E3750C" w:rsidP="00047864">
            <w:pPr>
              <w:spacing w:after="0" w:line="240" w:lineRule="auto"/>
              <w:jc w:val="center"/>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Št. postopkov</w:t>
            </w:r>
          </w:p>
        </w:tc>
        <w:tc>
          <w:tcPr>
            <w:tcW w:w="77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9F5BDC6" w14:textId="77777777" w:rsidR="00E3750C" w:rsidRPr="001A6B42" w:rsidRDefault="00E3750C" w:rsidP="00047864">
            <w:pPr>
              <w:spacing w:after="0" w:line="240" w:lineRule="auto"/>
              <w:jc w:val="center"/>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Pogodbena vrednost</w:t>
            </w:r>
          </w:p>
        </w:tc>
        <w:tc>
          <w:tcPr>
            <w:tcW w:w="52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37E3E48" w14:textId="77777777" w:rsidR="00E3750C" w:rsidRPr="001A6B42" w:rsidRDefault="00E3750C" w:rsidP="00047864">
            <w:pPr>
              <w:spacing w:after="0" w:line="240" w:lineRule="auto"/>
              <w:jc w:val="center"/>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Delež v št. postopkov</w:t>
            </w:r>
          </w:p>
        </w:tc>
        <w:tc>
          <w:tcPr>
            <w:tcW w:w="49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D281277" w14:textId="77777777" w:rsidR="00E3750C" w:rsidRPr="001A6B42" w:rsidRDefault="00E3750C" w:rsidP="00047864">
            <w:pPr>
              <w:spacing w:after="0" w:line="240" w:lineRule="auto"/>
              <w:jc w:val="center"/>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Delež v vrednosti</w:t>
            </w:r>
          </w:p>
        </w:tc>
      </w:tr>
      <w:tr w:rsidR="00E3750C" w:rsidRPr="001A6B42" w14:paraId="10717948" w14:textId="77777777" w:rsidTr="00047864">
        <w:trPr>
          <w:trHeight w:val="300"/>
        </w:trPr>
        <w:tc>
          <w:tcPr>
            <w:tcW w:w="709" w:type="pct"/>
            <w:vMerge w:val="restart"/>
            <w:tcBorders>
              <w:top w:val="nil"/>
              <w:left w:val="single" w:sz="4" w:space="0" w:color="auto"/>
              <w:bottom w:val="single" w:sz="4" w:space="0" w:color="auto"/>
              <w:right w:val="single" w:sz="4" w:space="0" w:color="auto"/>
            </w:tcBorders>
            <w:shd w:val="clear" w:color="auto" w:fill="auto"/>
            <w:vAlign w:val="center"/>
            <w:hideMark/>
          </w:tcPr>
          <w:p w14:paraId="3F41E76C" w14:textId="77777777" w:rsidR="00E3750C" w:rsidRPr="001A6B42" w:rsidRDefault="00E3750C" w:rsidP="00047864">
            <w:pPr>
              <w:spacing w:after="0" w:line="240" w:lineRule="auto"/>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Splošno</w:t>
            </w:r>
          </w:p>
        </w:tc>
        <w:tc>
          <w:tcPr>
            <w:tcW w:w="1972" w:type="pct"/>
            <w:tcBorders>
              <w:top w:val="nil"/>
              <w:left w:val="nil"/>
              <w:bottom w:val="single" w:sz="4" w:space="0" w:color="auto"/>
              <w:right w:val="single" w:sz="4" w:space="0" w:color="auto"/>
            </w:tcBorders>
            <w:shd w:val="clear" w:color="auto" w:fill="auto"/>
            <w:vAlign w:val="center"/>
            <w:hideMark/>
          </w:tcPr>
          <w:p w14:paraId="5E57E5E9" w14:textId="77777777" w:rsidR="00E3750C" w:rsidRPr="001A6B42" w:rsidRDefault="00E3750C" w:rsidP="00047864">
            <w:pPr>
              <w:spacing w:after="0" w:line="240" w:lineRule="auto"/>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Konkurenčni dialog</w:t>
            </w:r>
          </w:p>
        </w:tc>
        <w:tc>
          <w:tcPr>
            <w:tcW w:w="524" w:type="pct"/>
            <w:tcBorders>
              <w:top w:val="nil"/>
              <w:left w:val="nil"/>
              <w:bottom w:val="single" w:sz="4" w:space="0" w:color="auto"/>
              <w:right w:val="single" w:sz="4" w:space="0" w:color="auto"/>
            </w:tcBorders>
            <w:shd w:val="clear" w:color="auto" w:fill="auto"/>
            <w:vAlign w:val="center"/>
            <w:hideMark/>
          </w:tcPr>
          <w:p w14:paraId="6D1C0704"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11</w:t>
            </w:r>
          </w:p>
        </w:tc>
        <w:tc>
          <w:tcPr>
            <w:tcW w:w="775" w:type="pct"/>
            <w:tcBorders>
              <w:top w:val="nil"/>
              <w:left w:val="nil"/>
              <w:bottom w:val="single" w:sz="4" w:space="0" w:color="auto"/>
              <w:right w:val="single" w:sz="4" w:space="0" w:color="auto"/>
            </w:tcBorders>
            <w:shd w:val="clear" w:color="auto" w:fill="auto"/>
            <w:vAlign w:val="center"/>
            <w:hideMark/>
          </w:tcPr>
          <w:p w14:paraId="67460974"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23.164.816</w:t>
            </w:r>
          </w:p>
        </w:tc>
        <w:tc>
          <w:tcPr>
            <w:tcW w:w="524" w:type="pct"/>
            <w:tcBorders>
              <w:top w:val="nil"/>
              <w:left w:val="nil"/>
              <w:bottom w:val="single" w:sz="4" w:space="0" w:color="auto"/>
              <w:right w:val="single" w:sz="4" w:space="0" w:color="auto"/>
            </w:tcBorders>
            <w:shd w:val="clear" w:color="auto" w:fill="auto"/>
            <w:noWrap/>
            <w:vAlign w:val="center"/>
            <w:hideMark/>
          </w:tcPr>
          <w:p w14:paraId="04E5A1A7"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0,20</w:t>
            </w:r>
            <w:r>
              <w:rPr>
                <w:rFonts w:ascii="Arial" w:eastAsia="Times New Roman" w:hAnsi="Arial" w:cs="Arial"/>
                <w:color w:val="000000"/>
                <w:sz w:val="18"/>
                <w:szCs w:val="18"/>
                <w:lang w:eastAsia="sl-SI"/>
              </w:rPr>
              <w:t xml:space="preserve"> %</w:t>
            </w:r>
          </w:p>
        </w:tc>
        <w:tc>
          <w:tcPr>
            <w:tcW w:w="496" w:type="pct"/>
            <w:tcBorders>
              <w:top w:val="nil"/>
              <w:left w:val="nil"/>
              <w:bottom w:val="single" w:sz="4" w:space="0" w:color="auto"/>
              <w:right w:val="single" w:sz="4" w:space="0" w:color="auto"/>
            </w:tcBorders>
            <w:shd w:val="clear" w:color="auto" w:fill="auto"/>
            <w:noWrap/>
            <w:vAlign w:val="center"/>
            <w:hideMark/>
          </w:tcPr>
          <w:p w14:paraId="78773677"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0,51</w:t>
            </w:r>
            <w:r>
              <w:rPr>
                <w:rFonts w:ascii="Arial" w:eastAsia="Times New Roman" w:hAnsi="Arial" w:cs="Arial"/>
                <w:color w:val="000000"/>
                <w:sz w:val="18"/>
                <w:szCs w:val="18"/>
                <w:lang w:eastAsia="sl-SI"/>
              </w:rPr>
              <w:t xml:space="preserve"> %</w:t>
            </w:r>
          </w:p>
        </w:tc>
      </w:tr>
      <w:tr w:rsidR="00E3750C" w:rsidRPr="001A6B42" w14:paraId="0E3956AC" w14:textId="77777777" w:rsidTr="00047864">
        <w:trPr>
          <w:trHeight w:val="300"/>
        </w:trPr>
        <w:tc>
          <w:tcPr>
            <w:tcW w:w="709" w:type="pct"/>
            <w:vMerge/>
            <w:tcBorders>
              <w:top w:val="nil"/>
              <w:left w:val="single" w:sz="4" w:space="0" w:color="auto"/>
              <w:bottom w:val="single" w:sz="4" w:space="0" w:color="auto"/>
              <w:right w:val="single" w:sz="4" w:space="0" w:color="auto"/>
            </w:tcBorders>
            <w:vAlign w:val="center"/>
            <w:hideMark/>
          </w:tcPr>
          <w:p w14:paraId="6C4670FB" w14:textId="77777777" w:rsidR="00E3750C" w:rsidRPr="001A6B42" w:rsidRDefault="00E3750C" w:rsidP="00047864">
            <w:pPr>
              <w:spacing w:after="0" w:line="240" w:lineRule="auto"/>
              <w:rPr>
                <w:rFonts w:ascii="Arial" w:eastAsia="Times New Roman" w:hAnsi="Arial" w:cs="Arial"/>
                <w:color w:val="000000"/>
                <w:sz w:val="18"/>
                <w:szCs w:val="18"/>
                <w:lang w:eastAsia="sl-SI"/>
              </w:rPr>
            </w:pPr>
          </w:p>
        </w:tc>
        <w:tc>
          <w:tcPr>
            <w:tcW w:w="1972" w:type="pct"/>
            <w:tcBorders>
              <w:top w:val="nil"/>
              <w:left w:val="nil"/>
              <w:bottom w:val="single" w:sz="4" w:space="0" w:color="auto"/>
              <w:right w:val="single" w:sz="4" w:space="0" w:color="auto"/>
            </w:tcBorders>
            <w:shd w:val="clear" w:color="auto" w:fill="auto"/>
            <w:vAlign w:val="center"/>
            <w:hideMark/>
          </w:tcPr>
          <w:p w14:paraId="6569455E" w14:textId="77777777" w:rsidR="00E3750C" w:rsidRPr="001A6B42" w:rsidRDefault="00E3750C" w:rsidP="00047864">
            <w:pPr>
              <w:spacing w:after="0" w:line="240" w:lineRule="auto"/>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Konkurenčni postopek s pogajanji</w:t>
            </w:r>
          </w:p>
        </w:tc>
        <w:tc>
          <w:tcPr>
            <w:tcW w:w="524" w:type="pct"/>
            <w:tcBorders>
              <w:top w:val="nil"/>
              <w:left w:val="nil"/>
              <w:bottom w:val="single" w:sz="4" w:space="0" w:color="auto"/>
              <w:right w:val="single" w:sz="4" w:space="0" w:color="auto"/>
            </w:tcBorders>
            <w:shd w:val="clear" w:color="auto" w:fill="auto"/>
            <w:vAlign w:val="center"/>
            <w:hideMark/>
          </w:tcPr>
          <w:p w14:paraId="12970E7A"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183</w:t>
            </w:r>
          </w:p>
        </w:tc>
        <w:tc>
          <w:tcPr>
            <w:tcW w:w="775" w:type="pct"/>
            <w:tcBorders>
              <w:top w:val="nil"/>
              <w:left w:val="nil"/>
              <w:bottom w:val="single" w:sz="4" w:space="0" w:color="auto"/>
              <w:right w:val="single" w:sz="4" w:space="0" w:color="auto"/>
            </w:tcBorders>
            <w:shd w:val="clear" w:color="auto" w:fill="auto"/>
            <w:vAlign w:val="center"/>
            <w:hideMark/>
          </w:tcPr>
          <w:p w14:paraId="4813244E"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409.161.976</w:t>
            </w:r>
          </w:p>
        </w:tc>
        <w:tc>
          <w:tcPr>
            <w:tcW w:w="524" w:type="pct"/>
            <w:tcBorders>
              <w:top w:val="nil"/>
              <w:left w:val="nil"/>
              <w:bottom w:val="single" w:sz="4" w:space="0" w:color="auto"/>
              <w:right w:val="single" w:sz="4" w:space="0" w:color="auto"/>
            </w:tcBorders>
            <w:shd w:val="clear" w:color="auto" w:fill="auto"/>
            <w:noWrap/>
            <w:vAlign w:val="center"/>
            <w:hideMark/>
          </w:tcPr>
          <w:p w14:paraId="216490D7"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3,32</w:t>
            </w:r>
            <w:r>
              <w:rPr>
                <w:rFonts w:ascii="Arial" w:eastAsia="Times New Roman" w:hAnsi="Arial" w:cs="Arial"/>
                <w:color w:val="000000"/>
                <w:sz w:val="18"/>
                <w:szCs w:val="18"/>
                <w:lang w:eastAsia="sl-SI"/>
              </w:rPr>
              <w:t xml:space="preserve"> %</w:t>
            </w:r>
          </w:p>
        </w:tc>
        <w:tc>
          <w:tcPr>
            <w:tcW w:w="496" w:type="pct"/>
            <w:tcBorders>
              <w:top w:val="nil"/>
              <w:left w:val="nil"/>
              <w:bottom w:val="single" w:sz="4" w:space="0" w:color="auto"/>
              <w:right w:val="single" w:sz="4" w:space="0" w:color="auto"/>
            </w:tcBorders>
            <w:shd w:val="clear" w:color="auto" w:fill="auto"/>
            <w:noWrap/>
            <w:vAlign w:val="center"/>
            <w:hideMark/>
          </w:tcPr>
          <w:p w14:paraId="2A154D0B"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9,07</w:t>
            </w:r>
            <w:r>
              <w:rPr>
                <w:rFonts w:ascii="Arial" w:eastAsia="Times New Roman" w:hAnsi="Arial" w:cs="Arial"/>
                <w:color w:val="000000"/>
                <w:sz w:val="18"/>
                <w:szCs w:val="18"/>
                <w:lang w:eastAsia="sl-SI"/>
              </w:rPr>
              <w:t xml:space="preserve"> %</w:t>
            </w:r>
          </w:p>
        </w:tc>
      </w:tr>
      <w:tr w:rsidR="00E3750C" w:rsidRPr="001A6B42" w14:paraId="3E051C07" w14:textId="77777777" w:rsidTr="00047864">
        <w:trPr>
          <w:trHeight w:val="300"/>
        </w:trPr>
        <w:tc>
          <w:tcPr>
            <w:tcW w:w="709" w:type="pct"/>
            <w:vMerge/>
            <w:tcBorders>
              <w:top w:val="nil"/>
              <w:left w:val="single" w:sz="4" w:space="0" w:color="auto"/>
              <w:bottom w:val="single" w:sz="4" w:space="0" w:color="auto"/>
              <w:right w:val="single" w:sz="4" w:space="0" w:color="auto"/>
            </w:tcBorders>
            <w:vAlign w:val="center"/>
            <w:hideMark/>
          </w:tcPr>
          <w:p w14:paraId="48BEB663" w14:textId="77777777" w:rsidR="00E3750C" w:rsidRPr="001A6B42" w:rsidRDefault="00E3750C" w:rsidP="00047864">
            <w:pPr>
              <w:spacing w:after="0" w:line="240" w:lineRule="auto"/>
              <w:rPr>
                <w:rFonts w:ascii="Arial" w:eastAsia="Times New Roman" w:hAnsi="Arial" w:cs="Arial"/>
                <w:color w:val="000000"/>
                <w:sz w:val="18"/>
                <w:szCs w:val="18"/>
                <w:lang w:eastAsia="sl-SI"/>
              </w:rPr>
            </w:pPr>
          </w:p>
        </w:tc>
        <w:tc>
          <w:tcPr>
            <w:tcW w:w="1972" w:type="pct"/>
            <w:tcBorders>
              <w:top w:val="nil"/>
              <w:left w:val="nil"/>
              <w:bottom w:val="single" w:sz="4" w:space="0" w:color="auto"/>
              <w:right w:val="single" w:sz="4" w:space="0" w:color="auto"/>
            </w:tcBorders>
            <w:shd w:val="clear" w:color="auto" w:fill="auto"/>
            <w:vAlign w:val="center"/>
            <w:hideMark/>
          </w:tcPr>
          <w:p w14:paraId="5767CCC1" w14:textId="77777777" w:rsidR="00E3750C" w:rsidRPr="001A6B42" w:rsidRDefault="00E3750C" w:rsidP="00047864">
            <w:pPr>
              <w:spacing w:after="0" w:line="240" w:lineRule="auto"/>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Odprti postopek</w:t>
            </w:r>
          </w:p>
        </w:tc>
        <w:tc>
          <w:tcPr>
            <w:tcW w:w="524" w:type="pct"/>
            <w:tcBorders>
              <w:top w:val="nil"/>
              <w:left w:val="nil"/>
              <w:bottom w:val="single" w:sz="4" w:space="0" w:color="auto"/>
              <w:right w:val="single" w:sz="4" w:space="0" w:color="auto"/>
            </w:tcBorders>
            <w:shd w:val="clear" w:color="auto" w:fill="auto"/>
            <w:vAlign w:val="center"/>
            <w:hideMark/>
          </w:tcPr>
          <w:p w14:paraId="4426EB52"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1.804</w:t>
            </w:r>
          </w:p>
        </w:tc>
        <w:tc>
          <w:tcPr>
            <w:tcW w:w="775" w:type="pct"/>
            <w:tcBorders>
              <w:top w:val="nil"/>
              <w:left w:val="nil"/>
              <w:bottom w:val="single" w:sz="4" w:space="0" w:color="auto"/>
              <w:right w:val="single" w:sz="4" w:space="0" w:color="auto"/>
            </w:tcBorders>
            <w:shd w:val="clear" w:color="auto" w:fill="auto"/>
            <w:vAlign w:val="center"/>
            <w:hideMark/>
          </w:tcPr>
          <w:p w14:paraId="241E6F26"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3.056.370.157</w:t>
            </w:r>
          </w:p>
        </w:tc>
        <w:tc>
          <w:tcPr>
            <w:tcW w:w="524" w:type="pct"/>
            <w:tcBorders>
              <w:top w:val="nil"/>
              <w:left w:val="nil"/>
              <w:bottom w:val="single" w:sz="4" w:space="0" w:color="auto"/>
              <w:right w:val="single" w:sz="4" w:space="0" w:color="auto"/>
            </w:tcBorders>
            <w:shd w:val="clear" w:color="auto" w:fill="auto"/>
            <w:noWrap/>
            <w:vAlign w:val="center"/>
            <w:hideMark/>
          </w:tcPr>
          <w:p w14:paraId="3E9ACDC9"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32,77</w:t>
            </w:r>
            <w:r>
              <w:rPr>
                <w:rFonts w:ascii="Arial" w:eastAsia="Times New Roman" w:hAnsi="Arial" w:cs="Arial"/>
                <w:color w:val="000000"/>
                <w:sz w:val="18"/>
                <w:szCs w:val="18"/>
                <w:lang w:eastAsia="sl-SI"/>
              </w:rPr>
              <w:t xml:space="preserve"> %</w:t>
            </w:r>
          </w:p>
        </w:tc>
        <w:tc>
          <w:tcPr>
            <w:tcW w:w="496" w:type="pct"/>
            <w:tcBorders>
              <w:top w:val="nil"/>
              <w:left w:val="nil"/>
              <w:bottom w:val="single" w:sz="4" w:space="0" w:color="auto"/>
              <w:right w:val="single" w:sz="4" w:space="0" w:color="auto"/>
            </w:tcBorders>
            <w:shd w:val="clear" w:color="auto" w:fill="auto"/>
            <w:noWrap/>
            <w:vAlign w:val="center"/>
            <w:hideMark/>
          </w:tcPr>
          <w:p w14:paraId="53D56EB6"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67,76</w:t>
            </w:r>
            <w:r>
              <w:rPr>
                <w:rFonts w:ascii="Arial" w:eastAsia="Times New Roman" w:hAnsi="Arial" w:cs="Arial"/>
                <w:color w:val="000000"/>
                <w:sz w:val="18"/>
                <w:szCs w:val="18"/>
                <w:lang w:eastAsia="sl-SI"/>
              </w:rPr>
              <w:t xml:space="preserve"> %</w:t>
            </w:r>
          </w:p>
        </w:tc>
      </w:tr>
      <w:tr w:rsidR="00E3750C" w:rsidRPr="001A6B42" w14:paraId="79974C46" w14:textId="77777777" w:rsidTr="00047864">
        <w:trPr>
          <w:trHeight w:val="300"/>
        </w:trPr>
        <w:tc>
          <w:tcPr>
            <w:tcW w:w="709" w:type="pct"/>
            <w:vMerge/>
            <w:tcBorders>
              <w:top w:val="nil"/>
              <w:left w:val="single" w:sz="4" w:space="0" w:color="auto"/>
              <w:bottom w:val="single" w:sz="4" w:space="0" w:color="auto"/>
              <w:right w:val="single" w:sz="4" w:space="0" w:color="auto"/>
            </w:tcBorders>
            <w:vAlign w:val="center"/>
            <w:hideMark/>
          </w:tcPr>
          <w:p w14:paraId="6510FF33" w14:textId="77777777" w:rsidR="00E3750C" w:rsidRPr="001A6B42" w:rsidRDefault="00E3750C" w:rsidP="00047864">
            <w:pPr>
              <w:spacing w:after="0" w:line="240" w:lineRule="auto"/>
              <w:rPr>
                <w:rFonts w:ascii="Arial" w:eastAsia="Times New Roman" w:hAnsi="Arial" w:cs="Arial"/>
                <w:color w:val="000000"/>
                <w:sz w:val="18"/>
                <w:szCs w:val="18"/>
                <w:lang w:eastAsia="sl-SI"/>
              </w:rPr>
            </w:pPr>
          </w:p>
        </w:tc>
        <w:tc>
          <w:tcPr>
            <w:tcW w:w="1972" w:type="pct"/>
            <w:tcBorders>
              <w:top w:val="nil"/>
              <w:left w:val="nil"/>
              <w:bottom w:val="single" w:sz="4" w:space="0" w:color="auto"/>
              <w:right w:val="single" w:sz="4" w:space="0" w:color="auto"/>
            </w:tcBorders>
            <w:shd w:val="clear" w:color="auto" w:fill="auto"/>
            <w:vAlign w:val="center"/>
            <w:hideMark/>
          </w:tcPr>
          <w:p w14:paraId="581B2C61" w14:textId="77777777" w:rsidR="00E3750C" w:rsidRPr="001A6B42" w:rsidRDefault="00E3750C" w:rsidP="00047864">
            <w:pPr>
              <w:spacing w:after="0" w:line="240" w:lineRule="auto"/>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Omejeni postopek</w:t>
            </w:r>
          </w:p>
        </w:tc>
        <w:tc>
          <w:tcPr>
            <w:tcW w:w="524" w:type="pct"/>
            <w:tcBorders>
              <w:top w:val="nil"/>
              <w:left w:val="nil"/>
              <w:bottom w:val="single" w:sz="4" w:space="0" w:color="auto"/>
              <w:right w:val="single" w:sz="4" w:space="0" w:color="auto"/>
            </w:tcBorders>
            <w:shd w:val="clear" w:color="auto" w:fill="auto"/>
            <w:vAlign w:val="center"/>
            <w:hideMark/>
          </w:tcPr>
          <w:p w14:paraId="258271D0"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22</w:t>
            </w:r>
          </w:p>
        </w:tc>
        <w:tc>
          <w:tcPr>
            <w:tcW w:w="775" w:type="pct"/>
            <w:tcBorders>
              <w:top w:val="nil"/>
              <w:left w:val="nil"/>
              <w:bottom w:val="single" w:sz="4" w:space="0" w:color="auto"/>
              <w:right w:val="single" w:sz="4" w:space="0" w:color="auto"/>
            </w:tcBorders>
            <w:shd w:val="clear" w:color="auto" w:fill="auto"/>
            <w:vAlign w:val="center"/>
            <w:hideMark/>
          </w:tcPr>
          <w:p w14:paraId="1854F39C"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79.426.232</w:t>
            </w:r>
          </w:p>
        </w:tc>
        <w:tc>
          <w:tcPr>
            <w:tcW w:w="524" w:type="pct"/>
            <w:tcBorders>
              <w:top w:val="nil"/>
              <w:left w:val="nil"/>
              <w:bottom w:val="single" w:sz="4" w:space="0" w:color="auto"/>
              <w:right w:val="single" w:sz="4" w:space="0" w:color="auto"/>
            </w:tcBorders>
            <w:shd w:val="clear" w:color="auto" w:fill="auto"/>
            <w:noWrap/>
            <w:vAlign w:val="center"/>
            <w:hideMark/>
          </w:tcPr>
          <w:p w14:paraId="0E12603F"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0,40</w:t>
            </w:r>
            <w:r>
              <w:rPr>
                <w:rFonts w:ascii="Arial" w:eastAsia="Times New Roman" w:hAnsi="Arial" w:cs="Arial"/>
                <w:color w:val="000000"/>
                <w:sz w:val="18"/>
                <w:szCs w:val="18"/>
                <w:lang w:eastAsia="sl-SI"/>
              </w:rPr>
              <w:t xml:space="preserve"> %</w:t>
            </w:r>
          </w:p>
        </w:tc>
        <w:tc>
          <w:tcPr>
            <w:tcW w:w="496" w:type="pct"/>
            <w:tcBorders>
              <w:top w:val="nil"/>
              <w:left w:val="nil"/>
              <w:bottom w:val="single" w:sz="4" w:space="0" w:color="auto"/>
              <w:right w:val="single" w:sz="4" w:space="0" w:color="auto"/>
            </w:tcBorders>
            <w:shd w:val="clear" w:color="auto" w:fill="auto"/>
            <w:noWrap/>
            <w:vAlign w:val="center"/>
            <w:hideMark/>
          </w:tcPr>
          <w:p w14:paraId="720309AE"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1,76</w:t>
            </w:r>
            <w:r>
              <w:rPr>
                <w:rFonts w:ascii="Arial" w:eastAsia="Times New Roman" w:hAnsi="Arial" w:cs="Arial"/>
                <w:color w:val="000000"/>
                <w:sz w:val="18"/>
                <w:szCs w:val="18"/>
                <w:lang w:eastAsia="sl-SI"/>
              </w:rPr>
              <w:t xml:space="preserve"> %</w:t>
            </w:r>
          </w:p>
        </w:tc>
      </w:tr>
      <w:tr w:rsidR="00E3750C" w:rsidRPr="001A6B42" w14:paraId="7A32B99E" w14:textId="77777777" w:rsidTr="00047864">
        <w:trPr>
          <w:trHeight w:val="300"/>
        </w:trPr>
        <w:tc>
          <w:tcPr>
            <w:tcW w:w="709" w:type="pct"/>
            <w:vMerge/>
            <w:tcBorders>
              <w:top w:val="nil"/>
              <w:left w:val="single" w:sz="4" w:space="0" w:color="auto"/>
              <w:bottom w:val="single" w:sz="4" w:space="0" w:color="auto"/>
              <w:right w:val="single" w:sz="4" w:space="0" w:color="auto"/>
            </w:tcBorders>
            <w:vAlign w:val="center"/>
            <w:hideMark/>
          </w:tcPr>
          <w:p w14:paraId="3C560135" w14:textId="77777777" w:rsidR="00E3750C" w:rsidRPr="001A6B42" w:rsidRDefault="00E3750C" w:rsidP="00047864">
            <w:pPr>
              <w:spacing w:after="0" w:line="240" w:lineRule="auto"/>
              <w:rPr>
                <w:rFonts w:ascii="Arial" w:eastAsia="Times New Roman" w:hAnsi="Arial" w:cs="Arial"/>
                <w:color w:val="000000"/>
                <w:sz w:val="18"/>
                <w:szCs w:val="18"/>
                <w:lang w:eastAsia="sl-SI"/>
              </w:rPr>
            </w:pPr>
          </w:p>
        </w:tc>
        <w:tc>
          <w:tcPr>
            <w:tcW w:w="1972" w:type="pct"/>
            <w:tcBorders>
              <w:top w:val="nil"/>
              <w:left w:val="nil"/>
              <w:bottom w:val="single" w:sz="4" w:space="0" w:color="auto"/>
              <w:right w:val="single" w:sz="4" w:space="0" w:color="auto"/>
            </w:tcBorders>
            <w:shd w:val="clear" w:color="auto" w:fill="auto"/>
            <w:vAlign w:val="center"/>
            <w:hideMark/>
          </w:tcPr>
          <w:p w14:paraId="4A7917C2" w14:textId="77777777" w:rsidR="00E3750C" w:rsidRPr="001A6B42" w:rsidRDefault="00E3750C" w:rsidP="00047864">
            <w:pPr>
              <w:spacing w:after="0" w:line="240" w:lineRule="auto"/>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Postopek naročila male vrednosti</w:t>
            </w:r>
          </w:p>
        </w:tc>
        <w:tc>
          <w:tcPr>
            <w:tcW w:w="524" w:type="pct"/>
            <w:tcBorders>
              <w:top w:val="nil"/>
              <w:left w:val="nil"/>
              <w:bottom w:val="single" w:sz="4" w:space="0" w:color="auto"/>
              <w:right w:val="single" w:sz="4" w:space="0" w:color="auto"/>
            </w:tcBorders>
            <w:shd w:val="clear" w:color="auto" w:fill="auto"/>
            <w:vAlign w:val="center"/>
            <w:hideMark/>
          </w:tcPr>
          <w:p w14:paraId="22914E96"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3.047</w:t>
            </w:r>
          </w:p>
        </w:tc>
        <w:tc>
          <w:tcPr>
            <w:tcW w:w="775" w:type="pct"/>
            <w:tcBorders>
              <w:top w:val="nil"/>
              <w:left w:val="nil"/>
              <w:bottom w:val="single" w:sz="4" w:space="0" w:color="auto"/>
              <w:right w:val="single" w:sz="4" w:space="0" w:color="auto"/>
            </w:tcBorders>
            <w:shd w:val="clear" w:color="auto" w:fill="auto"/>
            <w:vAlign w:val="center"/>
            <w:hideMark/>
          </w:tcPr>
          <w:p w14:paraId="3B80938E"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740.171.598</w:t>
            </w:r>
          </w:p>
        </w:tc>
        <w:tc>
          <w:tcPr>
            <w:tcW w:w="524" w:type="pct"/>
            <w:tcBorders>
              <w:top w:val="nil"/>
              <w:left w:val="nil"/>
              <w:bottom w:val="single" w:sz="4" w:space="0" w:color="auto"/>
              <w:right w:val="single" w:sz="4" w:space="0" w:color="auto"/>
            </w:tcBorders>
            <w:shd w:val="clear" w:color="auto" w:fill="auto"/>
            <w:noWrap/>
            <w:vAlign w:val="center"/>
            <w:hideMark/>
          </w:tcPr>
          <w:p w14:paraId="4EA977DE"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55,35</w:t>
            </w:r>
            <w:r>
              <w:rPr>
                <w:rFonts w:ascii="Arial" w:eastAsia="Times New Roman" w:hAnsi="Arial" w:cs="Arial"/>
                <w:color w:val="000000"/>
                <w:sz w:val="18"/>
                <w:szCs w:val="18"/>
                <w:lang w:eastAsia="sl-SI"/>
              </w:rPr>
              <w:t xml:space="preserve"> %</w:t>
            </w:r>
          </w:p>
        </w:tc>
        <w:tc>
          <w:tcPr>
            <w:tcW w:w="496" w:type="pct"/>
            <w:tcBorders>
              <w:top w:val="nil"/>
              <w:left w:val="nil"/>
              <w:bottom w:val="single" w:sz="4" w:space="0" w:color="auto"/>
              <w:right w:val="single" w:sz="4" w:space="0" w:color="auto"/>
            </w:tcBorders>
            <w:shd w:val="clear" w:color="auto" w:fill="auto"/>
            <w:noWrap/>
            <w:vAlign w:val="center"/>
            <w:hideMark/>
          </w:tcPr>
          <w:p w14:paraId="56684BD9"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16,41</w:t>
            </w:r>
            <w:r>
              <w:rPr>
                <w:rFonts w:ascii="Arial" w:eastAsia="Times New Roman" w:hAnsi="Arial" w:cs="Arial"/>
                <w:color w:val="000000"/>
                <w:sz w:val="18"/>
                <w:szCs w:val="18"/>
                <w:lang w:eastAsia="sl-SI"/>
              </w:rPr>
              <w:t xml:space="preserve"> %</w:t>
            </w:r>
          </w:p>
        </w:tc>
      </w:tr>
      <w:tr w:rsidR="00E3750C" w:rsidRPr="001A6B42" w14:paraId="06FC7EBD" w14:textId="77777777" w:rsidTr="00047864">
        <w:trPr>
          <w:trHeight w:val="300"/>
        </w:trPr>
        <w:tc>
          <w:tcPr>
            <w:tcW w:w="709" w:type="pct"/>
            <w:vMerge/>
            <w:tcBorders>
              <w:top w:val="nil"/>
              <w:left w:val="single" w:sz="4" w:space="0" w:color="auto"/>
              <w:bottom w:val="single" w:sz="4" w:space="0" w:color="auto"/>
              <w:right w:val="single" w:sz="4" w:space="0" w:color="auto"/>
            </w:tcBorders>
            <w:vAlign w:val="center"/>
            <w:hideMark/>
          </w:tcPr>
          <w:p w14:paraId="0707D0EC" w14:textId="77777777" w:rsidR="00E3750C" w:rsidRPr="001A6B42" w:rsidRDefault="00E3750C" w:rsidP="00047864">
            <w:pPr>
              <w:spacing w:after="0" w:line="240" w:lineRule="auto"/>
              <w:rPr>
                <w:rFonts w:ascii="Arial" w:eastAsia="Times New Roman" w:hAnsi="Arial" w:cs="Arial"/>
                <w:color w:val="000000"/>
                <w:sz w:val="18"/>
                <w:szCs w:val="18"/>
                <w:lang w:eastAsia="sl-SI"/>
              </w:rPr>
            </w:pPr>
          </w:p>
        </w:tc>
        <w:tc>
          <w:tcPr>
            <w:tcW w:w="1972" w:type="pct"/>
            <w:tcBorders>
              <w:top w:val="nil"/>
              <w:left w:val="nil"/>
              <w:bottom w:val="single" w:sz="4" w:space="0" w:color="auto"/>
              <w:right w:val="single" w:sz="4" w:space="0" w:color="auto"/>
            </w:tcBorders>
            <w:shd w:val="clear" w:color="auto" w:fill="auto"/>
            <w:vAlign w:val="center"/>
            <w:hideMark/>
          </w:tcPr>
          <w:p w14:paraId="51E69E36" w14:textId="77777777" w:rsidR="00E3750C" w:rsidRPr="001A6B42" w:rsidRDefault="00E3750C" w:rsidP="00047864">
            <w:pPr>
              <w:spacing w:after="0" w:line="240" w:lineRule="auto"/>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Postopek s pogajanji brez predhodne objave</w:t>
            </w:r>
          </w:p>
        </w:tc>
        <w:tc>
          <w:tcPr>
            <w:tcW w:w="524" w:type="pct"/>
            <w:tcBorders>
              <w:top w:val="nil"/>
              <w:left w:val="nil"/>
              <w:bottom w:val="single" w:sz="4" w:space="0" w:color="auto"/>
              <w:right w:val="single" w:sz="4" w:space="0" w:color="auto"/>
            </w:tcBorders>
            <w:shd w:val="clear" w:color="auto" w:fill="auto"/>
            <w:vAlign w:val="center"/>
            <w:hideMark/>
          </w:tcPr>
          <w:p w14:paraId="17506B77"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438</w:t>
            </w:r>
          </w:p>
        </w:tc>
        <w:tc>
          <w:tcPr>
            <w:tcW w:w="775" w:type="pct"/>
            <w:tcBorders>
              <w:top w:val="nil"/>
              <w:left w:val="nil"/>
              <w:bottom w:val="single" w:sz="4" w:space="0" w:color="auto"/>
              <w:right w:val="single" w:sz="4" w:space="0" w:color="auto"/>
            </w:tcBorders>
            <w:shd w:val="clear" w:color="auto" w:fill="auto"/>
            <w:vAlign w:val="center"/>
            <w:hideMark/>
          </w:tcPr>
          <w:p w14:paraId="033772A6"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202.202.464</w:t>
            </w:r>
          </w:p>
        </w:tc>
        <w:tc>
          <w:tcPr>
            <w:tcW w:w="524" w:type="pct"/>
            <w:tcBorders>
              <w:top w:val="nil"/>
              <w:left w:val="nil"/>
              <w:bottom w:val="single" w:sz="4" w:space="0" w:color="auto"/>
              <w:right w:val="single" w:sz="4" w:space="0" w:color="auto"/>
            </w:tcBorders>
            <w:shd w:val="clear" w:color="auto" w:fill="auto"/>
            <w:noWrap/>
            <w:vAlign w:val="center"/>
            <w:hideMark/>
          </w:tcPr>
          <w:p w14:paraId="0136098C"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7,96</w:t>
            </w:r>
            <w:r>
              <w:rPr>
                <w:rFonts w:ascii="Arial" w:eastAsia="Times New Roman" w:hAnsi="Arial" w:cs="Arial"/>
                <w:color w:val="000000"/>
                <w:sz w:val="18"/>
                <w:szCs w:val="18"/>
                <w:lang w:eastAsia="sl-SI"/>
              </w:rPr>
              <w:t xml:space="preserve"> %</w:t>
            </w:r>
          </w:p>
        </w:tc>
        <w:tc>
          <w:tcPr>
            <w:tcW w:w="496" w:type="pct"/>
            <w:tcBorders>
              <w:top w:val="nil"/>
              <w:left w:val="nil"/>
              <w:bottom w:val="single" w:sz="4" w:space="0" w:color="auto"/>
              <w:right w:val="single" w:sz="4" w:space="0" w:color="auto"/>
            </w:tcBorders>
            <w:shd w:val="clear" w:color="auto" w:fill="auto"/>
            <w:noWrap/>
            <w:vAlign w:val="center"/>
            <w:hideMark/>
          </w:tcPr>
          <w:p w14:paraId="1118FF08"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4,48</w:t>
            </w:r>
            <w:r>
              <w:rPr>
                <w:rFonts w:ascii="Arial" w:eastAsia="Times New Roman" w:hAnsi="Arial" w:cs="Arial"/>
                <w:color w:val="000000"/>
                <w:sz w:val="18"/>
                <w:szCs w:val="18"/>
                <w:lang w:eastAsia="sl-SI"/>
              </w:rPr>
              <w:t xml:space="preserve"> %</w:t>
            </w:r>
          </w:p>
        </w:tc>
      </w:tr>
      <w:tr w:rsidR="00E3750C" w:rsidRPr="001A6B42" w14:paraId="7E5E64E6" w14:textId="77777777" w:rsidTr="00047864">
        <w:trPr>
          <w:trHeight w:val="300"/>
        </w:trPr>
        <w:tc>
          <w:tcPr>
            <w:tcW w:w="709" w:type="pct"/>
            <w:vMerge/>
            <w:tcBorders>
              <w:top w:val="nil"/>
              <w:left w:val="single" w:sz="4" w:space="0" w:color="auto"/>
              <w:bottom w:val="single" w:sz="4" w:space="0" w:color="auto"/>
              <w:right w:val="single" w:sz="4" w:space="0" w:color="auto"/>
            </w:tcBorders>
            <w:vAlign w:val="center"/>
            <w:hideMark/>
          </w:tcPr>
          <w:p w14:paraId="1F96DF27" w14:textId="77777777" w:rsidR="00E3750C" w:rsidRPr="001A6B42" w:rsidRDefault="00E3750C" w:rsidP="00047864">
            <w:pPr>
              <w:spacing w:after="0" w:line="240" w:lineRule="auto"/>
              <w:rPr>
                <w:rFonts w:ascii="Arial" w:eastAsia="Times New Roman" w:hAnsi="Arial" w:cs="Arial"/>
                <w:color w:val="000000"/>
                <w:sz w:val="18"/>
                <w:szCs w:val="18"/>
                <w:lang w:eastAsia="sl-SI"/>
              </w:rPr>
            </w:pPr>
          </w:p>
        </w:tc>
        <w:tc>
          <w:tcPr>
            <w:tcW w:w="1972" w:type="pct"/>
            <w:tcBorders>
              <w:top w:val="nil"/>
              <w:left w:val="nil"/>
              <w:bottom w:val="single" w:sz="4" w:space="0" w:color="auto"/>
              <w:right w:val="single" w:sz="4" w:space="0" w:color="auto"/>
            </w:tcBorders>
            <w:shd w:val="clear" w:color="auto" w:fill="auto"/>
            <w:vAlign w:val="center"/>
            <w:hideMark/>
          </w:tcPr>
          <w:p w14:paraId="79FB9391" w14:textId="77777777" w:rsidR="00E3750C" w:rsidRPr="001A6B42" w:rsidRDefault="00E3750C" w:rsidP="00047864">
            <w:pPr>
              <w:spacing w:after="0" w:line="240" w:lineRule="auto"/>
              <w:rPr>
                <w:rFonts w:ascii="Arial" w:eastAsia="Times New Roman" w:hAnsi="Arial" w:cs="Arial"/>
                <w:b/>
                <w:bCs/>
                <w:color w:val="000000"/>
                <w:sz w:val="18"/>
                <w:szCs w:val="18"/>
                <w:lang w:eastAsia="sl-SI"/>
              </w:rPr>
            </w:pPr>
            <w:r w:rsidRPr="001A6B42">
              <w:rPr>
                <w:rFonts w:ascii="Arial" w:eastAsia="Times New Roman" w:hAnsi="Arial" w:cs="Arial"/>
                <w:b/>
                <w:bCs/>
                <w:color w:val="000000"/>
                <w:sz w:val="18"/>
                <w:szCs w:val="18"/>
                <w:lang w:eastAsia="sl-SI"/>
              </w:rPr>
              <w:t>Skupaj</w:t>
            </w:r>
          </w:p>
        </w:tc>
        <w:tc>
          <w:tcPr>
            <w:tcW w:w="524" w:type="pct"/>
            <w:tcBorders>
              <w:top w:val="nil"/>
              <w:left w:val="nil"/>
              <w:bottom w:val="single" w:sz="4" w:space="0" w:color="auto"/>
              <w:right w:val="single" w:sz="4" w:space="0" w:color="auto"/>
            </w:tcBorders>
            <w:shd w:val="clear" w:color="auto" w:fill="auto"/>
            <w:vAlign w:val="center"/>
            <w:hideMark/>
          </w:tcPr>
          <w:p w14:paraId="43592121" w14:textId="77777777" w:rsidR="00E3750C" w:rsidRPr="001A6B42" w:rsidRDefault="00E3750C" w:rsidP="00047864">
            <w:pPr>
              <w:spacing w:after="0" w:line="240" w:lineRule="auto"/>
              <w:jc w:val="right"/>
              <w:rPr>
                <w:rFonts w:ascii="Arial" w:eastAsia="Times New Roman" w:hAnsi="Arial" w:cs="Arial"/>
                <w:b/>
                <w:bCs/>
                <w:color w:val="000000"/>
                <w:sz w:val="18"/>
                <w:szCs w:val="18"/>
                <w:lang w:eastAsia="sl-SI"/>
              </w:rPr>
            </w:pPr>
            <w:r w:rsidRPr="001A6B42">
              <w:rPr>
                <w:rFonts w:ascii="Arial" w:eastAsia="Times New Roman" w:hAnsi="Arial" w:cs="Arial"/>
                <w:b/>
                <w:bCs/>
                <w:color w:val="000000"/>
                <w:sz w:val="18"/>
                <w:szCs w:val="18"/>
                <w:lang w:eastAsia="sl-SI"/>
              </w:rPr>
              <w:t>5.505</w:t>
            </w:r>
          </w:p>
        </w:tc>
        <w:tc>
          <w:tcPr>
            <w:tcW w:w="775" w:type="pct"/>
            <w:tcBorders>
              <w:top w:val="nil"/>
              <w:left w:val="nil"/>
              <w:bottom w:val="single" w:sz="4" w:space="0" w:color="auto"/>
              <w:right w:val="single" w:sz="4" w:space="0" w:color="auto"/>
            </w:tcBorders>
            <w:shd w:val="clear" w:color="auto" w:fill="auto"/>
            <w:vAlign w:val="center"/>
            <w:hideMark/>
          </w:tcPr>
          <w:p w14:paraId="4D58C7C7" w14:textId="77777777" w:rsidR="00E3750C" w:rsidRPr="001A6B42" w:rsidRDefault="00E3750C" w:rsidP="00047864">
            <w:pPr>
              <w:spacing w:after="0" w:line="240" w:lineRule="auto"/>
              <w:jc w:val="right"/>
              <w:rPr>
                <w:rFonts w:ascii="Arial" w:eastAsia="Times New Roman" w:hAnsi="Arial" w:cs="Arial"/>
                <w:b/>
                <w:bCs/>
                <w:color w:val="000000"/>
                <w:sz w:val="18"/>
                <w:szCs w:val="18"/>
                <w:lang w:eastAsia="sl-SI"/>
              </w:rPr>
            </w:pPr>
            <w:r w:rsidRPr="001A6B42">
              <w:rPr>
                <w:rFonts w:ascii="Arial" w:eastAsia="Times New Roman" w:hAnsi="Arial" w:cs="Arial"/>
                <w:b/>
                <w:bCs/>
                <w:color w:val="000000"/>
                <w:sz w:val="18"/>
                <w:szCs w:val="18"/>
                <w:lang w:eastAsia="sl-SI"/>
              </w:rPr>
              <w:t>4.510.497.243</w:t>
            </w:r>
          </w:p>
        </w:tc>
        <w:tc>
          <w:tcPr>
            <w:tcW w:w="524" w:type="pct"/>
            <w:tcBorders>
              <w:top w:val="nil"/>
              <w:left w:val="nil"/>
              <w:bottom w:val="single" w:sz="4" w:space="0" w:color="auto"/>
              <w:right w:val="single" w:sz="4" w:space="0" w:color="auto"/>
            </w:tcBorders>
            <w:shd w:val="clear" w:color="auto" w:fill="auto"/>
            <w:noWrap/>
            <w:vAlign w:val="center"/>
            <w:hideMark/>
          </w:tcPr>
          <w:p w14:paraId="61F5007F" w14:textId="77777777" w:rsidR="00E3750C" w:rsidRPr="001A6B42" w:rsidRDefault="00E3750C" w:rsidP="00047864">
            <w:pPr>
              <w:spacing w:after="0" w:line="240" w:lineRule="auto"/>
              <w:jc w:val="right"/>
              <w:rPr>
                <w:rFonts w:ascii="Arial" w:eastAsia="Times New Roman" w:hAnsi="Arial" w:cs="Arial"/>
                <w:b/>
                <w:bCs/>
                <w:color w:val="000000"/>
                <w:sz w:val="18"/>
                <w:szCs w:val="18"/>
                <w:lang w:eastAsia="sl-SI"/>
              </w:rPr>
            </w:pPr>
            <w:r w:rsidRPr="001A6B42">
              <w:rPr>
                <w:rFonts w:ascii="Arial" w:eastAsia="Times New Roman" w:hAnsi="Arial" w:cs="Arial"/>
                <w:b/>
                <w:bCs/>
                <w:color w:val="000000"/>
                <w:sz w:val="18"/>
                <w:szCs w:val="18"/>
                <w:lang w:eastAsia="sl-SI"/>
              </w:rPr>
              <w:t>100,00 %</w:t>
            </w:r>
          </w:p>
        </w:tc>
        <w:tc>
          <w:tcPr>
            <w:tcW w:w="496" w:type="pct"/>
            <w:tcBorders>
              <w:top w:val="nil"/>
              <w:left w:val="nil"/>
              <w:bottom w:val="single" w:sz="4" w:space="0" w:color="auto"/>
              <w:right w:val="single" w:sz="4" w:space="0" w:color="auto"/>
            </w:tcBorders>
            <w:shd w:val="clear" w:color="auto" w:fill="auto"/>
            <w:noWrap/>
            <w:vAlign w:val="center"/>
            <w:hideMark/>
          </w:tcPr>
          <w:p w14:paraId="0F20F4DC" w14:textId="77777777" w:rsidR="00E3750C" w:rsidRPr="001A6B42" w:rsidRDefault="00E3750C" w:rsidP="00047864">
            <w:pPr>
              <w:spacing w:after="0" w:line="240" w:lineRule="auto"/>
              <w:jc w:val="right"/>
              <w:rPr>
                <w:rFonts w:ascii="Arial" w:eastAsia="Times New Roman" w:hAnsi="Arial" w:cs="Arial"/>
                <w:b/>
                <w:bCs/>
                <w:color w:val="000000"/>
                <w:sz w:val="18"/>
                <w:szCs w:val="18"/>
                <w:lang w:eastAsia="sl-SI"/>
              </w:rPr>
            </w:pPr>
            <w:r w:rsidRPr="001A6B42">
              <w:rPr>
                <w:rFonts w:ascii="Arial" w:eastAsia="Times New Roman" w:hAnsi="Arial" w:cs="Arial"/>
                <w:b/>
                <w:bCs/>
                <w:color w:val="000000"/>
                <w:sz w:val="18"/>
                <w:szCs w:val="18"/>
                <w:lang w:eastAsia="sl-SI"/>
              </w:rPr>
              <w:t>100,00 %</w:t>
            </w:r>
          </w:p>
        </w:tc>
      </w:tr>
      <w:tr w:rsidR="00E3750C" w:rsidRPr="001A6B42" w14:paraId="4A264A9C" w14:textId="77777777" w:rsidTr="00047864">
        <w:trPr>
          <w:trHeight w:val="300"/>
        </w:trPr>
        <w:tc>
          <w:tcPr>
            <w:tcW w:w="709" w:type="pct"/>
            <w:vMerge w:val="restart"/>
            <w:tcBorders>
              <w:top w:val="nil"/>
              <w:left w:val="single" w:sz="4" w:space="0" w:color="auto"/>
              <w:bottom w:val="single" w:sz="4" w:space="0" w:color="auto"/>
              <w:right w:val="single" w:sz="4" w:space="0" w:color="auto"/>
            </w:tcBorders>
            <w:shd w:val="clear" w:color="auto" w:fill="auto"/>
            <w:vAlign w:val="center"/>
            <w:hideMark/>
          </w:tcPr>
          <w:p w14:paraId="0651C89D" w14:textId="77777777" w:rsidR="00E3750C" w:rsidRPr="001A6B42" w:rsidRDefault="00E3750C" w:rsidP="00047864">
            <w:pPr>
              <w:spacing w:after="0" w:line="240" w:lineRule="auto"/>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Infrastrukturno</w:t>
            </w:r>
          </w:p>
        </w:tc>
        <w:tc>
          <w:tcPr>
            <w:tcW w:w="1972" w:type="pct"/>
            <w:tcBorders>
              <w:top w:val="nil"/>
              <w:left w:val="nil"/>
              <w:bottom w:val="single" w:sz="4" w:space="0" w:color="auto"/>
              <w:right w:val="single" w:sz="4" w:space="0" w:color="auto"/>
            </w:tcBorders>
            <w:shd w:val="clear" w:color="auto" w:fill="auto"/>
            <w:vAlign w:val="center"/>
            <w:hideMark/>
          </w:tcPr>
          <w:p w14:paraId="0A89E8A9" w14:textId="77777777" w:rsidR="00E3750C" w:rsidRPr="001A6B42" w:rsidRDefault="00E3750C" w:rsidP="00047864">
            <w:pPr>
              <w:spacing w:after="0" w:line="240" w:lineRule="auto"/>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Konkurenčni dialog</w:t>
            </w:r>
          </w:p>
        </w:tc>
        <w:tc>
          <w:tcPr>
            <w:tcW w:w="524" w:type="pct"/>
            <w:tcBorders>
              <w:top w:val="nil"/>
              <w:left w:val="nil"/>
              <w:bottom w:val="single" w:sz="4" w:space="0" w:color="auto"/>
              <w:right w:val="single" w:sz="4" w:space="0" w:color="auto"/>
            </w:tcBorders>
            <w:shd w:val="clear" w:color="auto" w:fill="auto"/>
            <w:vAlign w:val="center"/>
            <w:hideMark/>
          </w:tcPr>
          <w:p w14:paraId="67AF42A8"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18</w:t>
            </w:r>
          </w:p>
        </w:tc>
        <w:tc>
          <w:tcPr>
            <w:tcW w:w="775" w:type="pct"/>
            <w:tcBorders>
              <w:top w:val="nil"/>
              <w:left w:val="nil"/>
              <w:bottom w:val="single" w:sz="4" w:space="0" w:color="auto"/>
              <w:right w:val="single" w:sz="4" w:space="0" w:color="auto"/>
            </w:tcBorders>
            <w:shd w:val="clear" w:color="auto" w:fill="auto"/>
            <w:vAlign w:val="center"/>
            <w:hideMark/>
          </w:tcPr>
          <w:p w14:paraId="499D07C3"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25.603.672</w:t>
            </w:r>
          </w:p>
        </w:tc>
        <w:tc>
          <w:tcPr>
            <w:tcW w:w="524" w:type="pct"/>
            <w:tcBorders>
              <w:top w:val="nil"/>
              <w:left w:val="nil"/>
              <w:bottom w:val="single" w:sz="4" w:space="0" w:color="auto"/>
              <w:right w:val="single" w:sz="4" w:space="0" w:color="auto"/>
            </w:tcBorders>
            <w:shd w:val="clear" w:color="auto" w:fill="auto"/>
            <w:noWrap/>
            <w:vAlign w:val="center"/>
            <w:hideMark/>
          </w:tcPr>
          <w:p w14:paraId="283FB0CA"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1,59</w:t>
            </w:r>
            <w:r>
              <w:rPr>
                <w:rFonts w:ascii="Arial" w:eastAsia="Times New Roman" w:hAnsi="Arial" w:cs="Arial"/>
                <w:color w:val="000000"/>
                <w:sz w:val="18"/>
                <w:szCs w:val="18"/>
                <w:lang w:eastAsia="sl-SI"/>
              </w:rPr>
              <w:t xml:space="preserve"> %</w:t>
            </w:r>
          </w:p>
        </w:tc>
        <w:tc>
          <w:tcPr>
            <w:tcW w:w="496" w:type="pct"/>
            <w:tcBorders>
              <w:top w:val="nil"/>
              <w:left w:val="nil"/>
              <w:bottom w:val="single" w:sz="4" w:space="0" w:color="auto"/>
              <w:right w:val="single" w:sz="4" w:space="0" w:color="auto"/>
            </w:tcBorders>
            <w:shd w:val="clear" w:color="auto" w:fill="auto"/>
            <w:noWrap/>
            <w:vAlign w:val="center"/>
            <w:hideMark/>
          </w:tcPr>
          <w:p w14:paraId="2E6DECE8"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3,01</w:t>
            </w:r>
            <w:r>
              <w:rPr>
                <w:rFonts w:ascii="Arial" w:eastAsia="Times New Roman" w:hAnsi="Arial" w:cs="Arial"/>
                <w:color w:val="000000"/>
                <w:sz w:val="18"/>
                <w:szCs w:val="18"/>
                <w:lang w:eastAsia="sl-SI"/>
              </w:rPr>
              <w:t xml:space="preserve"> %</w:t>
            </w:r>
          </w:p>
        </w:tc>
      </w:tr>
      <w:tr w:rsidR="00E3750C" w:rsidRPr="001A6B42" w14:paraId="19BB2FBD" w14:textId="77777777" w:rsidTr="00047864">
        <w:trPr>
          <w:trHeight w:val="300"/>
        </w:trPr>
        <w:tc>
          <w:tcPr>
            <w:tcW w:w="709" w:type="pct"/>
            <w:vMerge/>
            <w:tcBorders>
              <w:top w:val="nil"/>
              <w:left w:val="single" w:sz="4" w:space="0" w:color="auto"/>
              <w:bottom w:val="single" w:sz="4" w:space="0" w:color="auto"/>
              <w:right w:val="single" w:sz="4" w:space="0" w:color="auto"/>
            </w:tcBorders>
            <w:vAlign w:val="center"/>
            <w:hideMark/>
          </w:tcPr>
          <w:p w14:paraId="3A0923B4" w14:textId="77777777" w:rsidR="00E3750C" w:rsidRPr="001A6B42" w:rsidRDefault="00E3750C" w:rsidP="00047864">
            <w:pPr>
              <w:spacing w:after="0" w:line="240" w:lineRule="auto"/>
              <w:rPr>
                <w:rFonts w:ascii="Arial" w:eastAsia="Times New Roman" w:hAnsi="Arial" w:cs="Arial"/>
                <w:color w:val="000000"/>
                <w:sz w:val="18"/>
                <w:szCs w:val="18"/>
                <w:lang w:eastAsia="sl-SI"/>
              </w:rPr>
            </w:pPr>
          </w:p>
        </w:tc>
        <w:tc>
          <w:tcPr>
            <w:tcW w:w="1972" w:type="pct"/>
            <w:tcBorders>
              <w:top w:val="nil"/>
              <w:left w:val="nil"/>
              <w:bottom w:val="single" w:sz="4" w:space="0" w:color="auto"/>
              <w:right w:val="single" w:sz="4" w:space="0" w:color="auto"/>
            </w:tcBorders>
            <w:shd w:val="clear" w:color="auto" w:fill="auto"/>
            <w:vAlign w:val="center"/>
            <w:hideMark/>
          </w:tcPr>
          <w:p w14:paraId="0BAB92DA" w14:textId="77777777" w:rsidR="00E3750C" w:rsidRPr="001A6B42" w:rsidRDefault="00E3750C" w:rsidP="00047864">
            <w:pPr>
              <w:spacing w:after="0" w:line="240" w:lineRule="auto"/>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Odprti postopek</w:t>
            </w:r>
          </w:p>
        </w:tc>
        <w:tc>
          <w:tcPr>
            <w:tcW w:w="524" w:type="pct"/>
            <w:tcBorders>
              <w:top w:val="nil"/>
              <w:left w:val="nil"/>
              <w:bottom w:val="single" w:sz="4" w:space="0" w:color="auto"/>
              <w:right w:val="single" w:sz="4" w:space="0" w:color="auto"/>
            </w:tcBorders>
            <w:shd w:val="clear" w:color="auto" w:fill="auto"/>
            <w:vAlign w:val="center"/>
            <w:hideMark/>
          </w:tcPr>
          <w:p w14:paraId="502D5C3B"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177</w:t>
            </w:r>
          </w:p>
        </w:tc>
        <w:tc>
          <w:tcPr>
            <w:tcW w:w="775" w:type="pct"/>
            <w:tcBorders>
              <w:top w:val="nil"/>
              <w:left w:val="nil"/>
              <w:bottom w:val="single" w:sz="4" w:space="0" w:color="auto"/>
              <w:right w:val="single" w:sz="4" w:space="0" w:color="auto"/>
            </w:tcBorders>
            <w:shd w:val="clear" w:color="auto" w:fill="auto"/>
            <w:vAlign w:val="center"/>
            <w:hideMark/>
          </w:tcPr>
          <w:p w14:paraId="7738359F"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371.901.732</w:t>
            </w:r>
          </w:p>
        </w:tc>
        <w:tc>
          <w:tcPr>
            <w:tcW w:w="524" w:type="pct"/>
            <w:tcBorders>
              <w:top w:val="nil"/>
              <w:left w:val="nil"/>
              <w:bottom w:val="single" w:sz="4" w:space="0" w:color="auto"/>
              <w:right w:val="single" w:sz="4" w:space="0" w:color="auto"/>
            </w:tcBorders>
            <w:shd w:val="clear" w:color="auto" w:fill="auto"/>
            <w:noWrap/>
            <w:vAlign w:val="center"/>
            <w:hideMark/>
          </w:tcPr>
          <w:p w14:paraId="426E0E12"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15,65</w:t>
            </w:r>
            <w:r>
              <w:rPr>
                <w:rFonts w:ascii="Arial" w:eastAsia="Times New Roman" w:hAnsi="Arial" w:cs="Arial"/>
                <w:color w:val="000000"/>
                <w:sz w:val="18"/>
                <w:szCs w:val="18"/>
                <w:lang w:eastAsia="sl-SI"/>
              </w:rPr>
              <w:t xml:space="preserve"> %</w:t>
            </w:r>
          </w:p>
        </w:tc>
        <w:tc>
          <w:tcPr>
            <w:tcW w:w="496" w:type="pct"/>
            <w:tcBorders>
              <w:top w:val="nil"/>
              <w:left w:val="nil"/>
              <w:bottom w:val="single" w:sz="4" w:space="0" w:color="auto"/>
              <w:right w:val="single" w:sz="4" w:space="0" w:color="auto"/>
            </w:tcBorders>
            <w:shd w:val="clear" w:color="auto" w:fill="auto"/>
            <w:noWrap/>
            <w:vAlign w:val="center"/>
            <w:hideMark/>
          </w:tcPr>
          <w:p w14:paraId="131EA561"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43,72</w:t>
            </w:r>
            <w:r>
              <w:rPr>
                <w:rFonts w:ascii="Arial" w:eastAsia="Times New Roman" w:hAnsi="Arial" w:cs="Arial"/>
                <w:color w:val="000000"/>
                <w:sz w:val="18"/>
                <w:szCs w:val="18"/>
                <w:lang w:eastAsia="sl-SI"/>
              </w:rPr>
              <w:t xml:space="preserve"> %</w:t>
            </w:r>
          </w:p>
        </w:tc>
      </w:tr>
      <w:tr w:rsidR="00E3750C" w:rsidRPr="001A6B42" w14:paraId="4E8DA357" w14:textId="77777777" w:rsidTr="00047864">
        <w:trPr>
          <w:trHeight w:val="300"/>
        </w:trPr>
        <w:tc>
          <w:tcPr>
            <w:tcW w:w="709" w:type="pct"/>
            <w:vMerge/>
            <w:tcBorders>
              <w:top w:val="nil"/>
              <w:left w:val="single" w:sz="4" w:space="0" w:color="auto"/>
              <w:bottom w:val="single" w:sz="4" w:space="0" w:color="auto"/>
              <w:right w:val="single" w:sz="4" w:space="0" w:color="auto"/>
            </w:tcBorders>
            <w:vAlign w:val="center"/>
            <w:hideMark/>
          </w:tcPr>
          <w:p w14:paraId="3D2333A9" w14:textId="77777777" w:rsidR="00E3750C" w:rsidRPr="001A6B42" w:rsidRDefault="00E3750C" w:rsidP="00047864">
            <w:pPr>
              <w:spacing w:after="0" w:line="240" w:lineRule="auto"/>
              <w:rPr>
                <w:rFonts w:ascii="Arial" w:eastAsia="Times New Roman" w:hAnsi="Arial" w:cs="Arial"/>
                <w:color w:val="000000"/>
                <w:sz w:val="18"/>
                <w:szCs w:val="18"/>
                <w:lang w:eastAsia="sl-SI"/>
              </w:rPr>
            </w:pPr>
          </w:p>
        </w:tc>
        <w:tc>
          <w:tcPr>
            <w:tcW w:w="1972" w:type="pct"/>
            <w:tcBorders>
              <w:top w:val="nil"/>
              <w:left w:val="nil"/>
              <w:bottom w:val="single" w:sz="4" w:space="0" w:color="auto"/>
              <w:right w:val="single" w:sz="4" w:space="0" w:color="auto"/>
            </w:tcBorders>
            <w:shd w:val="clear" w:color="auto" w:fill="auto"/>
            <w:vAlign w:val="center"/>
            <w:hideMark/>
          </w:tcPr>
          <w:p w14:paraId="0A81B79C" w14:textId="77777777" w:rsidR="00E3750C" w:rsidRPr="001A6B42" w:rsidRDefault="00E3750C" w:rsidP="00047864">
            <w:pPr>
              <w:spacing w:after="0" w:line="240" w:lineRule="auto"/>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Omejeni postopek</w:t>
            </w:r>
          </w:p>
        </w:tc>
        <w:tc>
          <w:tcPr>
            <w:tcW w:w="524" w:type="pct"/>
            <w:tcBorders>
              <w:top w:val="nil"/>
              <w:left w:val="nil"/>
              <w:bottom w:val="single" w:sz="4" w:space="0" w:color="auto"/>
              <w:right w:val="single" w:sz="4" w:space="0" w:color="auto"/>
            </w:tcBorders>
            <w:shd w:val="clear" w:color="auto" w:fill="auto"/>
            <w:vAlign w:val="center"/>
            <w:hideMark/>
          </w:tcPr>
          <w:p w14:paraId="2D6D8DA7"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3</w:t>
            </w:r>
          </w:p>
        </w:tc>
        <w:tc>
          <w:tcPr>
            <w:tcW w:w="775" w:type="pct"/>
            <w:tcBorders>
              <w:top w:val="nil"/>
              <w:left w:val="nil"/>
              <w:bottom w:val="single" w:sz="4" w:space="0" w:color="auto"/>
              <w:right w:val="single" w:sz="4" w:space="0" w:color="auto"/>
            </w:tcBorders>
            <w:shd w:val="clear" w:color="auto" w:fill="auto"/>
            <w:vAlign w:val="center"/>
            <w:hideMark/>
          </w:tcPr>
          <w:p w14:paraId="5EDFF910"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1.544.540</w:t>
            </w:r>
          </w:p>
        </w:tc>
        <w:tc>
          <w:tcPr>
            <w:tcW w:w="524" w:type="pct"/>
            <w:tcBorders>
              <w:top w:val="nil"/>
              <w:left w:val="nil"/>
              <w:bottom w:val="single" w:sz="4" w:space="0" w:color="auto"/>
              <w:right w:val="single" w:sz="4" w:space="0" w:color="auto"/>
            </w:tcBorders>
            <w:shd w:val="clear" w:color="auto" w:fill="auto"/>
            <w:noWrap/>
            <w:vAlign w:val="center"/>
            <w:hideMark/>
          </w:tcPr>
          <w:p w14:paraId="5162B9E5"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0,27</w:t>
            </w:r>
            <w:r>
              <w:rPr>
                <w:rFonts w:ascii="Arial" w:eastAsia="Times New Roman" w:hAnsi="Arial" w:cs="Arial"/>
                <w:color w:val="000000"/>
                <w:sz w:val="18"/>
                <w:szCs w:val="18"/>
                <w:lang w:eastAsia="sl-SI"/>
              </w:rPr>
              <w:t xml:space="preserve"> %</w:t>
            </w:r>
          </w:p>
        </w:tc>
        <w:tc>
          <w:tcPr>
            <w:tcW w:w="496" w:type="pct"/>
            <w:tcBorders>
              <w:top w:val="nil"/>
              <w:left w:val="nil"/>
              <w:bottom w:val="single" w:sz="4" w:space="0" w:color="auto"/>
              <w:right w:val="single" w:sz="4" w:space="0" w:color="auto"/>
            </w:tcBorders>
            <w:shd w:val="clear" w:color="auto" w:fill="auto"/>
            <w:noWrap/>
            <w:vAlign w:val="center"/>
            <w:hideMark/>
          </w:tcPr>
          <w:p w14:paraId="53827349"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0,18</w:t>
            </w:r>
            <w:r>
              <w:rPr>
                <w:rFonts w:ascii="Arial" w:eastAsia="Times New Roman" w:hAnsi="Arial" w:cs="Arial"/>
                <w:color w:val="000000"/>
                <w:sz w:val="18"/>
                <w:szCs w:val="18"/>
                <w:lang w:eastAsia="sl-SI"/>
              </w:rPr>
              <w:t xml:space="preserve"> %</w:t>
            </w:r>
          </w:p>
        </w:tc>
      </w:tr>
      <w:tr w:rsidR="00E3750C" w:rsidRPr="001A6B42" w14:paraId="441A9B7F" w14:textId="77777777" w:rsidTr="00047864">
        <w:trPr>
          <w:trHeight w:val="300"/>
        </w:trPr>
        <w:tc>
          <w:tcPr>
            <w:tcW w:w="709" w:type="pct"/>
            <w:vMerge/>
            <w:tcBorders>
              <w:top w:val="nil"/>
              <w:left w:val="single" w:sz="4" w:space="0" w:color="auto"/>
              <w:bottom w:val="single" w:sz="4" w:space="0" w:color="auto"/>
              <w:right w:val="single" w:sz="4" w:space="0" w:color="auto"/>
            </w:tcBorders>
            <w:vAlign w:val="center"/>
            <w:hideMark/>
          </w:tcPr>
          <w:p w14:paraId="2AC0290F" w14:textId="77777777" w:rsidR="00E3750C" w:rsidRPr="001A6B42" w:rsidRDefault="00E3750C" w:rsidP="00047864">
            <w:pPr>
              <w:spacing w:after="0" w:line="240" w:lineRule="auto"/>
              <w:rPr>
                <w:rFonts w:ascii="Arial" w:eastAsia="Times New Roman" w:hAnsi="Arial" w:cs="Arial"/>
                <w:color w:val="000000"/>
                <w:sz w:val="18"/>
                <w:szCs w:val="18"/>
                <w:lang w:eastAsia="sl-SI"/>
              </w:rPr>
            </w:pPr>
          </w:p>
        </w:tc>
        <w:tc>
          <w:tcPr>
            <w:tcW w:w="1972" w:type="pct"/>
            <w:tcBorders>
              <w:top w:val="nil"/>
              <w:left w:val="nil"/>
              <w:bottom w:val="single" w:sz="4" w:space="0" w:color="auto"/>
              <w:right w:val="single" w:sz="4" w:space="0" w:color="auto"/>
            </w:tcBorders>
            <w:shd w:val="clear" w:color="auto" w:fill="auto"/>
            <w:vAlign w:val="center"/>
            <w:hideMark/>
          </w:tcPr>
          <w:p w14:paraId="28F3DFDE" w14:textId="77777777" w:rsidR="00E3750C" w:rsidRPr="001A6B42" w:rsidRDefault="00E3750C" w:rsidP="00047864">
            <w:pPr>
              <w:spacing w:after="0" w:line="240" w:lineRule="auto"/>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Postopek naročila male vrednosti</w:t>
            </w:r>
          </w:p>
        </w:tc>
        <w:tc>
          <w:tcPr>
            <w:tcW w:w="524" w:type="pct"/>
            <w:tcBorders>
              <w:top w:val="nil"/>
              <w:left w:val="nil"/>
              <w:bottom w:val="single" w:sz="4" w:space="0" w:color="auto"/>
              <w:right w:val="single" w:sz="4" w:space="0" w:color="auto"/>
            </w:tcBorders>
            <w:shd w:val="clear" w:color="auto" w:fill="auto"/>
            <w:vAlign w:val="center"/>
            <w:hideMark/>
          </w:tcPr>
          <w:p w14:paraId="2EE02310"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630</w:t>
            </w:r>
          </w:p>
        </w:tc>
        <w:tc>
          <w:tcPr>
            <w:tcW w:w="775" w:type="pct"/>
            <w:tcBorders>
              <w:top w:val="nil"/>
              <w:left w:val="nil"/>
              <w:bottom w:val="single" w:sz="4" w:space="0" w:color="auto"/>
              <w:right w:val="single" w:sz="4" w:space="0" w:color="auto"/>
            </w:tcBorders>
            <w:shd w:val="clear" w:color="auto" w:fill="auto"/>
            <w:vAlign w:val="center"/>
            <w:hideMark/>
          </w:tcPr>
          <w:p w14:paraId="67ADE75D"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122.619.619</w:t>
            </w:r>
          </w:p>
        </w:tc>
        <w:tc>
          <w:tcPr>
            <w:tcW w:w="524" w:type="pct"/>
            <w:tcBorders>
              <w:top w:val="nil"/>
              <w:left w:val="nil"/>
              <w:bottom w:val="single" w:sz="4" w:space="0" w:color="auto"/>
              <w:right w:val="single" w:sz="4" w:space="0" w:color="auto"/>
            </w:tcBorders>
            <w:shd w:val="clear" w:color="auto" w:fill="auto"/>
            <w:noWrap/>
            <w:vAlign w:val="center"/>
            <w:hideMark/>
          </w:tcPr>
          <w:p w14:paraId="1591D0BA"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55,70</w:t>
            </w:r>
            <w:r>
              <w:rPr>
                <w:rFonts w:ascii="Arial" w:eastAsia="Times New Roman" w:hAnsi="Arial" w:cs="Arial"/>
                <w:color w:val="000000"/>
                <w:sz w:val="18"/>
                <w:szCs w:val="18"/>
                <w:lang w:eastAsia="sl-SI"/>
              </w:rPr>
              <w:t xml:space="preserve"> %</w:t>
            </w:r>
          </w:p>
        </w:tc>
        <w:tc>
          <w:tcPr>
            <w:tcW w:w="496" w:type="pct"/>
            <w:tcBorders>
              <w:top w:val="nil"/>
              <w:left w:val="nil"/>
              <w:bottom w:val="single" w:sz="4" w:space="0" w:color="auto"/>
              <w:right w:val="single" w:sz="4" w:space="0" w:color="auto"/>
            </w:tcBorders>
            <w:shd w:val="clear" w:color="auto" w:fill="auto"/>
            <w:noWrap/>
            <w:vAlign w:val="center"/>
            <w:hideMark/>
          </w:tcPr>
          <w:p w14:paraId="16011F4D"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14,41</w:t>
            </w:r>
            <w:r>
              <w:rPr>
                <w:rFonts w:ascii="Arial" w:eastAsia="Times New Roman" w:hAnsi="Arial" w:cs="Arial"/>
                <w:color w:val="000000"/>
                <w:sz w:val="18"/>
                <w:szCs w:val="18"/>
                <w:lang w:eastAsia="sl-SI"/>
              </w:rPr>
              <w:t xml:space="preserve"> %</w:t>
            </w:r>
          </w:p>
        </w:tc>
      </w:tr>
      <w:tr w:rsidR="00E3750C" w:rsidRPr="001A6B42" w14:paraId="1EA75D5C" w14:textId="77777777" w:rsidTr="00047864">
        <w:trPr>
          <w:trHeight w:val="300"/>
        </w:trPr>
        <w:tc>
          <w:tcPr>
            <w:tcW w:w="709" w:type="pct"/>
            <w:vMerge/>
            <w:tcBorders>
              <w:top w:val="nil"/>
              <w:left w:val="single" w:sz="4" w:space="0" w:color="auto"/>
              <w:bottom w:val="single" w:sz="4" w:space="0" w:color="auto"/>
              <w:right w:val="single" w:sz="4" w:space="0" w:color="auto"/>
            </w:tcBorders>
            <w:vAlign w:val="center"/>
            <w:hideMark/>
          </w:tcPr>
          <w:p w14:paraId="4BCC3EC3" w14:textId="77777777" w:rsidR="00E3750C" w:rsidRPr="001A6B42" w:rsidRDefault="00E3750C" w:rsidP="00047864">
            <w:pPr>
              <w:spacing w:after="0" w:line="240" w:lineRule="auto"/>
              <w:rPr>
                <w:rFonts w:ascii="Arial" w:eastAsia="Times New Roman" w:hAnsi="Arial" w:cs="Arial"/>
                <w:color w:val="000000"/>
                <w:sz w:val="18"/>
                <w:szCs w:val="18"/>
                <w:lang w:eastAsia="sl-SI"/>
              </w:rPr>
            </w:pPr>
          </w:p>
        </w:tc>
        <w:tc>
          <w:tcPr>
            <w:tcW w:w="1972" w:type="pct"/>
            <w:tcBorders>
              <w:top w:val="nil"/>
              <w:left w:val="nil"/>
              <w:bottom w:val="single" w:sz="4" w:space="0" w:color="auto"/>
              <w:right w:val="single" w:sz="4" w:space="0" w:color="auto"/>
            </w:tcBorders>
            <w:shd w:val="clear" w:color="auto" w:fill="auto"/>
            <w:vAlign w:val="center"/>
            <w:hideMark/>
          </w:tcPr>
          <w:p w14:paraId="7590A0B1" w14:textId="77777777" w:rsidR="00E3750C" w:rsidRPr="001A6B42" w:rsidRDefault="00E3750C" w:rsidP="00047864">
            <w:pPr>
              <w:spacing w:after="0" w:line="240" w:lineRule="auto"/>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Postopek s pogajanji brez predhodne objave</w:t>
            </w:r>
          </w:p>
        </w:tc>
        <w:tc>
          <w:tcPr>
            <w:tcW w:w="524" w:type="pct"/>
            <w:tcBorders>
              <w:top w:val="nil"/>
              <w:left w:val="nil"/>
              <w:bottom w:val="single" w:sz="4" w:space="0" w:color="auto"/>
              <w:right w:val="single" w:sz="4" w:space="0" w:color="auto"/>
            </w:tcBorders>
            <w:shd w:val="clear" w:color="auto" w:fill="auto"/>
            <w:vAlign w:val="center"/>
            <w:hideMark/>
          </w:tcPr>
          <w:p w14:paraId="4871AF0B"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160</w:t>
            </w:r>
          </w:p>
        </w:tc>
        <w:tc>
          <w:tcPr>
            <w:tcW w:w="775" w:type="pct"/>
            <w:tcBorders>
              <w:top w:val="nil"/>
              <w:left w:val="nil"/>
              <w:bottom w:val="single" w:sz="4" w:space="0" w:color="auto"/>
              <w:right w:val="single" w:sz="4" w:space="0" w:color="auto"/>
            </w:tcBorders>
            <w:shd w:val="clear" w:color="auto" w:fill="auto"/>
            <w:vAlign w:val="center"/>
            <w:hideMark/>
          </w:tcPr>
          <w:p w14:paraId="4C5525DE"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63.213.120</w:t>
            </w:r>
          </w:p>
        </w:tc>
        <w:tc>
          <w:tcPr>
            <w:tcW w:w="524" w:type="pct"/>
            <w:tcBorders>
              <w:top w:val="nil"/>
              <w:left w:val="nil"/>
              <w:bottom w:val="single" w:sz="4" w:space="0" w:color="auto"/>
              <w:right w:val="single" w:sz="4" w:space="0" w:color="auto"/>
            </w:tcBorders>
            <w:shd w:val="clear" w:color="auto" w:fill="auto"/>
            <w:noWrap/>
            <w:vAlign w:val="center"/>
            <w:hideMark/>
          </w:tcPr>
          <w:p w14:paraId="799A8C90"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14,15</w:t>
            </w:r>
            <w:r>
              <w:rPr>
                <w:rFonts w:ascii="Arial" w:eastAsia="Times New Roman" w:hAnsi="Arial" w:cs="Arial"/>
                <w:color w:val="000000"/>
                <w:sz w:val="18"/>
                <w:szCs w:val="18"/>
                <w:lang w:eastAsia="sl-SI"/>
              </w:rPr>
              <w:t xml:space="preserve"> %</w:t>
            </w:r>
          </w:p>
        </w:tc>
        <w:tc>
          <w:tcPr>
            <w:tcW w:w="496" w:type="pct"/>
            <w:tcBorders>
              <w:top w:val="nil"/>
              <w:left w:val="nil"/>
              <w:bottom w:val="single" w:sz="4" w:space="0" w:color="auto"/>
              <w:right w:val="single" w:sz="4" w:space="0" w:color="auto"/>
            </w:tcBorders>
            <w:shd w:val="clear" w:color="auto" w:fill="auto"/>
            <w:noWrap/>
            <w:vAlign w:val="center"/>
            <w:hideMark/>
          </w:tcPr>
          <w:p w14:paraId="390F6520"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7,43</w:t>
            </w:r>
            <w:r>
              <w:rPr>
                <w:rFonts w:ascii="Arial" w:eastAsia="Times New Roman" w:hAnsi="Arial" w:cs="Arial"/>
                <w:color w:val="000000"/>
                <w:sz w:val="18"/>
                <w:szCs w:val="18"/>
                <w:lang w:eastAsia="sl-SI"/>
              </w:rPr>
              <w:t xml:space="preserve"> %</w:t>
            </w:r>
          </w:p>
        </w:tc>
      </w:tr>
      <w:tr w:rsidR="00E3750C" w:rsidRPr="001A6B42" w14:paraId="457B2318" w14:textId="77777777" w:rsidTr="00047864">
        <w:trPr>
          <w:trHeight w:val="300"/>
        </w:trPr>
        <w:tc>
          <w:tcPr>
            <w:tcW w:w="709" w:type="pct"/>
            <w:vMerge/>
            <w:tcBorders>
              <w:top w:val="nil"/>
              <w:left w:val="single" w:sz="4" w:space="0" w:color="auto"/>
              <w:bottom w:val="single" w:sz="4" w:space="0" w:color="auto"/>
              <w:right w:val="single" w:sz="4" w:space="0" w:color="auto"/>
            </w:tcBorders>
            <w:vAlign w:val="center"/>
            <w:hideMark/>
          </w:tcPr>
          <w:p w14:paraId="15B55902" w14:textId="77777777" w:rsidR="00E3750C" w:rsidRPr="001A6B42" w:rsidRDefault="00E3750C" w:rsidP="00047864">
            <w:pPr>
              <w:spacing w:after="0" w:line="240" w:lineRule="auto"/>
              <w:rPr>
                <w:rFonts w:ascii="Arial" w:eastAsia="Times New Roman" w:hAnsi="Arial" w:cs="Arial"/>
                <w:color w:val="000000"/>
                <w:sz w:val="18"/>
                <w:szCs w:val="18"/>
                <w:lang w:eastAsia="sl-SI"/>
              </w:rPr>
            </w:pPr>
          </w:p>
        </w:tc>
        <w:tc>
          <w:tcPr>
            <w:tcW w:w="1972" w:type="pct"/>
            <w:tcBorders>
              <w:top w:val="nil"/>
              <w:left w:val="nil"/>
              <w:bottom w:val="single" w:sz="4" w:space="0" w:color="auto"/>
              <w:right w:val="single" w:sz="4" w:space="0" w:color="auto"/>
            </w:tcBorders>
            <w:shd w:val="clear" w:color="auto" w:fill="auto"/>
            <w:vAlign w:val="center"/>
            <w:hideMark/>
          </w:tcPr>
          <w:p w14:paraId="6924593F" w14:textId="77777777" w:rsidR="00E3750C" w:rsidRPr="001A6B42" w:rsidRDefault="00E3750C" w:rsidP="00047864">
            <w:pPr>
              <w:spacing w:after="0" w:line="240" w:lineRule="auto"/>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Postopek s pogajanji po predhodni objavi</w:t>
            </w:r>
          </w:p>
        </w:tc>
        <w:tc>
          <w:tcPr>
            <w:tcW w:w="524" w:type="pct"/>
            <w:tcBorders>
              <w:top w:val="nil"/>
              <w:left w:val="nil"/>
              <w:bottom w:val="single" w:sz="4" w:space="0" w:color="auto"/>
              <w:right w:val="single" w:sz="4" w:space="0" w:color="auto"/>
            </w:tcBorders>
            <w:shd w:val="clear" w:color="auto" w:fill="auto"/>
            <w:vAlign w:val="center"/>
            <w:hideMark/>
          </w:tcPr>
          <w:p w14:paraId="3280B694"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143</w:t>
            </w:r>
          </w:p>
        </w:tc>
        <w:tc>
          <w:tcPr>
            <w:tcW w:w="775" w:type="pct"/>
            <w:tcBorders>
              <w:top w:val="nil"/>
              <w:left w:val="nil"/>
              <w:bottom w:val="single" w:sz="4" w:space="0" w:color="auto"/>
              <w:right w:val="single" w:sz="4" w:space="0" w:color="auto"/>
            </w:tcBorders>
            <w:shd w:val="clear" w:color="auto" w:fill="auto"/>
            <w:vAlign w:val="center"/>
            <w:hideMark/>
          </w:tcPr>
          <w:p w14:paraId="0EE92CCD"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265.848.478</w:t>
            </w:r>
          </w:p>
        </w:tc>
        <w:tc>
          <w:tcPr>
            <w:tcW w:w="524" w:type="pct"/>
            <w:tcBorders>
              <w:top w:val="nil"/>
              <w:left w:val="nil"/>
              <w:bottom w:val="single" w:sz="4" w:space="0" w:color="auto"/>
              <w:right w:val="single" w:sz="4" w:space="0" w:color="auto"/>
            </w:tcBorders>
            <w:shd w:val="clear" w:color="auto" w:fill="auto"/>
            <w:noWrap/>
            <w:vAlign w:val="center"/>
            <w:hideMark/>
          </w:tcPr>
          <w:p w14:paraId="22687091"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12,64</w:t>
            </w:r>
            <w:r>
              <w:rPr>
                <w:rFonts w:ascii="Arial" w:eastAsia="Times New Roman" w:hAnsi="Arial" w:cs="Arial"/>
                <w:color w:val="000000"/>
                <w:sz w:val="18"/>
                <w:szCs w:val="18"/>
                <w:lang w:eastAsia="sl-SI"/>
              </w:rPr>
              <w:t xml:space="preserve"> %</w:t>
            </w:r>
          </w:p>
        </w:tc>
        <w:tc>
          <w:tcPr>
            <w:tcW w:w="496" w:type="pct"/>
            <w:tcBorders>
              <w:top w:val="nil"/>
              <w:left w:val="nil"/>
              <w:bottom w:val="single" w:sz="4" w:space="0" w:color="auto"/>
              <w:right w:val="single" w:sz="4" w:space="0" w:color="auto"/>
            </w:tcBorders>
            <w:shd w:val="clear" w:color="auto" w:fill="auto"/>
            <w:noWrap/>
            <w:vAlign w:val="center"/>
            <w:hideMark/>
          </w:tcPr>
          <w:p w14:paraId="1BB33814"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31,25</w:t>
            </w:r>
            <w:r>
              <w:rPr>
                <w:rFonts w:ascii="Arial" w:eastAsia="Times New Roman" w:hAnsi="Arial" w:cs="Arial"/>
                <w:color w:val="000000"/>
                <w:sz w:val="18"/>
                <w:szCs w:val="18"/>
                <w:lang w:eastAsia="sl-SI"/>
              </w:rPr>
              <w:t xml:space="preserve"> %</w:t>
            </w:r>
          </w:p>
        </w:tc>
      </w:tr>
      <w:tr w:rsidR="00E3750C" w:rsidRPr="001A6B42" w14:paraId="208B8935" w14:textId="77777777" w:rsidTr="00047864">
        <w:trPr>
          <w:trHeight w:val="300"/>
        </w:trPr>
        <w:tc>
          <w:tcPr>
            <w:tcW w:w="709" w:type="pct"/>
            <w:vMerge/>
            <w:tcBorders>
              <w:top w:val="nil"/>
              <w:left w:val="single" w:sz="4" w:space="0" w:color="auto"/>
              <w:bottom w:val="single" w:sz="4" w:space="0" w:color="auto"/>
              <w:right w:val="single" w:sz="4" w:space="0" w:color="auto"/>
            </w:tcBorders>
            <w:vAlign w:val="center"/>
            <w:hideMark/>
          </w:tcPr>
          <w:p w14:paraId="1FFE22AB" w14:textId="77777777" w:rsidR="00E3750C" w:rsidRPr="001A6B42" w:rsidRDefault="00E3750C" w:rsidP="00047864">
            <w:pPr>
              <w:spacing w:after="0" w:line="240" w:lineRule="auto"/>
              <w:rPr>
                <w:rFonts w:ascii="Arial" w:eastAsia="Times New Roman" w:hAnsi="Arial" w:cs="Arial"/>
                <w:color w:val="000000"/>
                <w:sz w:val="18"/>
                <w:szCs w:val="18"/>
                <w:lang w:eastAsia="sl-SI"/>
              </w:rPr>
            </w:pPr>
          </w:p>
        </w:tc>
        <w:tc>
          <w:tcPr>
            <w:tcW w:w="1972" w:type="pct"/>
            <w:tcBorders>
              <w:top w:val="nil"/>
              <w:left w:val="nil"/>
              <w:bottom w:val="single" w:sz="4" w:space="0" w:color="auto"/>
              <w:right w:val="single" w:sz="4" w:space="0" w:color="auto"/>
            </w:tcBorders>
            <w:shd w:val="clear" w:color="auto" w:fill="auto"/>
            <w:vAlign w:val="center"/>
            <w:hideMark/>
          </w:tcPr>
          <w:p w14:paraId="7384B084" w14:textId="77777777" w:rsidR="00E3750C" w:rsidRPr="001A6B42" w:rsidRDefault="00E3750C" w:rsidP="00047864">
            <w:pPr>
              <w:spacing w:after="0" w:line="240" w:lineRule="auto"/>
              <w:rPr>
                <w:rFonts w:ascii="Arial" w:eastAsia="Times New Roman" w:hAnsi="Arial" w:cs="Arial"/>
                <w:b/>
                <w:bCs/>
                <w:color w:val="000000"/>
                <w:sz w:val="18"/>
                <w:szCs w:val="18"/>
                <w:lang w:eastAsia="sl-SI"/>
              </w:rPr>
            </w:pPr>
            <w:r w:rsidRPr="001A6B42">
              <w:rPr>
                <w:rFonts w:ascii="Arial" w:eastAsia="Times New Roman" w:hAnsi="Arial" w:cs="Arial"/>
                <w:b/>
                <w:bCs/>
                <w:color w:val="000000"/>
                <w:sz w:val="18"/>
                <w:szCs w:val="18"/>
                <w:lang w:eastAsia="sl-SI"/>
              </w:rPr>
              <w:t>Skupaj</w:t>
            </w:r>
          </w:p>
        </w:tc>
        <w:tc>
          <w:tcPr>
            <w:tcW w:w="524" w:type="pct"/>
            <w:tcBorders>
              <w:top w:val="nil"/>
              <w:left w:val="nil"/>
              <w:bottom w:val="single" w:sz="4" w:space="0" w:color="auto"/>
              <w:right w:val="single" w:sz="4" w:space="0" w:color="auto"/>
            </w:tcBorders>
            <w:shd w:val="clear" w:color="auto" w:fill="auto"/>
            <w:vAlign w:val="center"/>
            <w:hideMark/>
          </w:tcPr>
          <w:p w14:paraId="4474B336" w14:textId="77777777" w:rsidR="00E3750C" w:rsidRPr="001A6B42" w:rsidRDefault="00E3750C" w:rsidP="00047864">
            <w:pPr>
              <w:spacing w:after="0" w:line="240" w:lineRule="auto"/>
              <w:jc w:val="right"/>
              <w:rPr>
                <w:rFonts w:ascii="Arial" w:eastAsia="Times New Roman" w:hAnsi="Arial" w:cs="Arial"/>
                <w:b/>
                <w:bCs/>
                <w:color w:val="000000"/>
                <w:sz w:val="18"/>
                <w:szCs w:val="18"/>
                <w:lang w:eastAsia="sl-SI"/>
              </w:rPr>
            </w:pPr>
            <w:r w:rsidRPr="001A6B42">
              <w:rPr>
                <w:rFonts w:ascii="Arial" w:eastAsia="Times New Roman" w:hAnsi="Arial" w:cs="Arial"/>
                <w:b/>
                <w:bCs/>
                <w:color w:val="000000"/>
                <w:sz w:val="18"/>
                <w:szCs w:val="18"/>
                <w:lang w:eastAsia="sl-SI"/>
              </w:rPr>
              <w:t>1.131</w:t>
            </w:r>
          </w:p>
        </w:tc>
        <w:tc>
          <w:tcPr>
            <w:tcW w:w="775" w:type="pct"/>
            <w:tcBorders>
              <w:top w:val="nil"/>
              <w:left w:val="nil"/>
              <w:bottom w:val="single" w:sz="4" w:space="0" w:color="auto"/>
              <w:right w:val="single" w:sz="4" w:space="0" w:color="auto"/>
            </w:tcBorders>
            <w:shd w:val="clear" w:color="auto" w:fill="auto"/>
            <w:vAlign w:val="center"/>
            <w:hideMark/>
          </w:tcPr>
          <w:p w14:paraId="4C0BF0D0" w14:textId="77777777" w:rsidR="00E3750C" w:rsidRPr="001A6B42" w:rsidRDefault="00E3750C" w:rsidP="00047864">
            <w:pPr>
              <w:spacing w:after="0" w:line="240" w:lineRule="auto"/>
              <w:jc w:val="right"/>
              <w:rPr>
                <w:rFonts w:ascii="Arial" w:eastAsia="Times New Roman" w:hAnsi="Arial" w:cs="Arial"/>
                <w:b/>
                <w:bCs/>
                <w:color w:val="000000"/>
                <w:sz w:val="18"/>
                <w:szCs w:val="18"/>
                <w:lang w:eastAsia="sl-SI"/>
              </w:rPr>
            </w:pPr>
            <w:r w:rsidRPr="001A6B42">
              <w:rPr>
                <w:rFonts w:ascii="Arial" w:eastAsia="Times New Roman" w:hAnsi="Arial" w:cs="Arial"/>
                <w:b/>
                <w:bCs/>
                <w:color w:val="000000"/>
                <w:sz w:val="18"/>
                <w:szCs w:val="18"/>
                <w:lang w:eastAsia="sl-SI"/>
              </w:rPr>
              <w:t>850.731.161</w:t>
            </w:r>
          </w:p>
        </w:tc>
        <w:tc>
          <w:tcPr>
            <w:tcW w:w="524" w:type="pct"/>
            <w:tcBorders>
              <w:top w:val="nil"/>
              <w:left w:val="nil"/>
              <w:bottom w:val="single" w:sz="4" w:space="0" w:color="auto"/>
              <w:right w:val="single" w:sz="4" w:space="0" w:color="auto"/>
            </w:tcBorders>
            <w:shd w:val="clear" w:color="auto" w:fill="auto"/>
            <w:noWrap/>
            <w:vAlign w:val="center"/>
            <w:hideMark/>
          </w:tcPr>
          <w:p w14:paraId="01223F5F" w14:textId="77777777" w:rsidR="00E3750C" w:rsidRPr="001A6B42" w:rsidRDefault="00E3750C" w:rsidP="00047864">
            <w:pPr>
              <w:spacing w:after="0" w:line="240" w:lineRule="auto"/>
              <w:jc w:val="right"/>
              <w:rPr>
                <w:rFonts w:ascii="Arial" w:eastAsia="Times New Roman" w:hAnsi="Arial" w:cs="Arial"/>
                <w:b/>
                <w:bCs/>
                <w:color w:val="000000"/>
                <w:sz w:val="18"/>
                <w:szCs w:val="18"/>
                <w:lang w:eastAsia="sl-SI"/>
              </w:rPr>
            </w:pPr>
            <w:r w:rsidRPr="001A6B42">
              <w:rPr>
                <w:rFonts w:ascii="Arial" w:eastAsia="Times New Roman" w:hAnsi="Arial" w:cs="Arial"/>
                <w:b/>
                <w:bCs/>
                <w:color w:val="000000"/>
                <w:sz w:val="18"/>
                <w:szCs w:val="18"/>
                <w:lang w:eastAsia="sl-SI"/>
              </w:rPr>
              <w:t>100,00 %</w:t>
            </w:r>
          </w:p>
        </w:tc>
        <w:tc>
          <w:tcPr>
            <w:tcW w:w="496" w:type="pct"/>
            <w:tcBorders>
              <w:top w:val="nil"/>
              <w:left w:val="nil"/>
              <w:bottom w:val="single" w:sz="4" w:space="0" w:color="auto"/>
              <w:right w:val="single" w:sz="4" w:space="0" w:color="auto"/>
            </w:tcBorders>
            <w:shd w:val="clear" w:color="auto" w:fill="auto"/>
            <w:noWrap/>
            <w:vAlign w:val="center"/>
            <w:hideMark/>
          </w:tcPr>
          <w:p w14:paraId="19E5D0E4" w14:textId="77777777" w:rsidR="00E3750C" w:rsidRPr="001A6B42" w:rsidRDefault="00E3750C" w:rsidP="00047864">
            <w:pPr>
              <w:spacing w:after="0" w:line="240" w:lineRule="auto"/>
              <w:jc w:val="right"/>
              <w:rPr>
                <w:rFonts w:ascii="Arial" w:eastAsia="Times New Roman" w:hAnsi="Arial" w:cs="Arial"/>
                <w:b/>
                <w:bCs/>
                <w:color w:val="000000"/>
                <w:sz w:val="18"/>
                <w:szCs w:val="18"/>
                <w:lang w:eastAsia="sl-SI"/>
              </w:rPr>
            </w:pPr>
            <w:r w:rsidRPr="001A6B42">
              <w:rPr>
                <w:rFonts w:ascii="Arial" w:eastAsia="Times New Roman" w:hAnsi="Arial" w:cs="Arial"/>
                <w:b/>
                <w:bCs/>
                <w:color w:val="000000"/>
                <w:sz w:val="18"/>
                <w:szCs w:val="18"/>
                <w:lang w:eastAsia="sl-SI"/>
              </w:rPr>
              <w:t>100,00 %</w:t>
            </w:r>
          </w:p>
        </w:tc>
      </w:tr>
      <w:tr w:rsidR="00E3750C" w:rsidRPr="001A6B42" w14:paraId="02FD2B03" w14:textId="77777777" w:rsidTr="00047864">
        <w:trPr>
          <w:trHeight w:val="300"/>
        </w:trPr>
        <w:tc>
          <w:tcPr>
            <w:tcW w:w="709" w:type="pct"/>
            <w:vMerge w:val="restart"/>
            <w:tcBorders>
              <w:top w:val="nil"/>
              <w:left w:val="single" w:sz="4" w:space="0" w:color="auto"/>
              <w:bottom w:val="single" w:sz="4" w:space="0" w:color="auto"/>
              <w:right w:val="single" w:sz="4" w:space="0" w:color="auto"/>
            </w:tcBorders>
            <w:shd w:val="clear" w:color="auto" w:fill="auto"/>
            <w:vAlign w:val="center"/>
            <w:hideMark/>
          </w:tcPr>
          <w:p w14:paraId="241B7515" w14:textId="77777777" w:rsidR="00E3750C" w:rsidRPr="001A6B42" w:rsidRDefault="00E3750C" w:rsidP="00047864">
            <w:pPr>
              <w:spacing w:after="0" w:line="240" w:lineRule="auto"/>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Obrambno</w:t>
            </w:r>
          </w:p>
        </w:tc>
        <w:tc>
          <w:tcPr>
            <w:tcW w:w="1972" w:type="pct"/>
            <w:tcBorders>
              <w:top w:val="nil"/>
              <w:left w:val="nil"/>
              <w:bottom w:val="single" w:sz="4" w:space="0" w:color="auto"/>
              <w:right w:val="single" w:sz="4" w:space="0" w:color="auto"/>
            </w:tcBorders>
            <w:shd w:val="clear" w:color="auto" w:fill="auto"/>
            <w:vAlign w:val="center"/>
            <w:hideMark/>
          </w:tcPr>
          <w:p w14:paraId="4C677903" w14:textId="77777777" w:rsidR="00E3750C" w:rsidRPr="001A6B42" w:rsidRDefault="00E3750C" w:rsidP="00047864">
            <w:pPr>
              <w:spacing w:after="0" w:line="240" w:lineRule="auto"/>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Postopek s pogajanji brez predhodne objave</w:t>
            </w:r>
          </w:p>
        </w:tc>
        <w:tc>
          <w:tcPr>
            <w:tcW w:w="524" w:type="pct"/>
            <w:tcBorders>
              <w:top w:val="nil"/>
              <w:left w:val="nil"/>
              <w:bottom w:val="single" w:sz="4" w:space="0" w:color="auto"/>
              <w:right w:val="single" w:sz="4" w:space="0" w:color="auto"/>
            </w:tcBorders>
            <w:shd w:val="clear" w:color="auto" w:fill="auto"/>
            <w:vAlign w:val="center"/>
            <w:hideMark/>
          </w:tcPr>
          <w:p w14:paraId="389A4A22"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40</w:t>
            </w:r>
          </w:p>
        </w:tc>
        <w:tc>
          <w:tcPr>
            <w:tcW w:w="775" w:type="pct"/>
            <w:tcBorders>
              <w:top w:val="nil"/>
              <w:left w:val="nil"/>
              <w:bottom w:val="single" w:sz="4" w:space="0" w:color="auto"/>
              <w:right w:val="single" w:sz="4" w:space="0" w:color="auto"/>
            </w:tcBorders>
            <w:shd w:val="clear" w:color="auto" w:fill="auto"/>
            <w:vAlign w:val="center"/>
            <w:hideMark/>
          </w:tcPr>
          <w:p w14:paraId="121ADB03"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21.607.483</w:t>
            </w:r>
          </w:p>
        </w:tc>
        <w:tc>
          <w:tcPr>
            <w:tcW w:w="524" w:type="pct"/>
            <w:tcBorders>
              <w:top w:val="nil"/>
              <w:left w:val="nil"/>
              <w:bottom w:val="single" w:sz="4" w:space="0" w:color="auto"/>
              <w:right w:val="single" w:sz="4" w:space="0" w:color="auto"/>
            </w:tcBorders>
            <w:shd w:val="clear" w:color="auto" w:fill="auto"/>
            <w:noWrap/>
            <w:vAlign w:val="center"/>
            <w:hideMark/>
          </w:tcPr>
          <w:p w14:paraId="2B50C1B5"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47,06</w:t>
            </w:r>
            <w:r>
              <w:rPr>
                <w:rFonts w:ascii="Arial" w:eastAsia="Times New Roman" w:hAnsi="Arial" w:cs="Arial"/>
                <w:color w:val="000000"/>
                <w:sz w:val="18"/>
                <w:szCs w:val="18"/>
                <w:lang w:eastAsia="sl-SI"/>
              </w:rPr>
              <w:t xml:space="preserve"> %</w:t>
            </w:r>
          </w:p>
        </w:tc>
        <w:tc>
          <w:tcPr>
            <w:tcW w:w="496" w:type="pct"/>
            <w:tcBorders>
              <w:top w:val="nil"/>
              <w:left w:val="nil"/>
              <w:bottom w:val="single" w:sz="4" w:space="0" w:color="auto"/>
              <w:right w:val="single" w:sz="4" w:space="0" w:color="auto"/>
            </w:tcBorders>
            <w:shd w:val="clear" w:color="auto" w:fill="auto"/>
            <w:noWrap/>
            <w:vAlign w:val="center"/>
            <w:hideMark/>
          </w:tcPr>
          <w:p w14:paraId="5423F865"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38,67</w:t>
            </w:r>
            <w:r>
              <w:rPr>
                <w:rFonts w:ascii="Arial" w:eastAsia="Times New Roman" w:hAnsi="Arial" w:cs="Arial"/>
                <w:color w:val="000000"/>
                <w:sz w:val="18"/>
                <w:szCs w:val="18"/>
                <w:lang w:eastAsia="sl-SI"/>
              </w:rPr>
              <w:t xml:space="preserve"> %</w:t>
            </w:r>
          </w:p>
        </w:tc>
      </w:tr>
      <w:tr w:rsidR="00E3750C" w:rsidRPr="001A6B42" w14:paraId="2749BFC7" w14:textId="77777777" w:rsidTr="00047864">
        <w:trPr>
          <w:trHeight w:val="300"/>
        </w:trPr>
        <w:tc>
          <w:tcPr>
            <w:tcW w:w="709" w:type="pct"/>
            <w:vMerge/>
            <w:tcBorders>
              <w:top w:val="nil"/>
              <w:left w:val="single" w:sz="4" w:space="0" w:color="auto"/>
              <w:bottom w:val="single" w:sz="4" w:space="0" w:color="auto"/>
              <w:right w:val="single" w:sz="4" w:space="0" w:color="auto"/>
            </w:tcBorders>
            <w:vAlign w:val="center"/>
            <w:hideMark/>
          </w:tcPr>
          <w:p w14:paraId="4567D048" w14:textId="77777777" w:rsidR="00E3750C" w:rsidRPr="001A6B42" w:rsidRDefault="00E3750C" w:rsidP="00047864">
            <w:pPr>
              <w:spacing w:after="0" w:line="240" w:lineRule="auto"/>
              <w:rPr>
                <w:rFonts w:ascii="Arial" w:eastAsia="Times New Roman" w:hAnsi="Arial" w:cs="Arial"/>
                <w:color w:val="000000"/>
                <w:sz w:val="18"/>
                <w:szCs w:val="18"/>
                <w:lang w:eastAsia="sl-SI"/>
              </w:rPr>
            </w:pPr>
          </w:p>
        </w:tc>
        <w:tc>
          <w:tcPr>
            <w:tcW w:w="1972" w:type="pct"/>
            <w:tcBorders>
              <w:top w:val="nil"/>
              <w:left w:val="nil"/>
              <w:bottom w:val="single" w:sz="4" w:space="0" w:color="auto"/>
              <w:right w:val="single" w:sz="4" w:space="0" w:color="auto"/>
            </w:tcBorders>
            <w:shd w:val="clear" w:color="auto" w:fill="auto"/>
            <w:vAlign w:val="center"/>
            <w:hideMark/>
          </w:tcPr>
          <w:p w14:paraId="3AAE2ADB" w14:textId="77777777" w:rsidR="00E3750C" w:rsidRPr="001A6B42" w:rsidRDefault="00E3750C" w:rsidP="00047864">
            <w:pPr>
              <w:spacing w:after="0" w:line="240" w:lineRule="auto"/>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Postopek s pogajanji po predhodni objavi</w:t>
            </w:r>
          </w:p>
        </w:tc>
        <w:tc>
          <w:tcPr>
            <w:tcW w:w="524" w:type="pct"/>
            <w:tcBorders>
              <w:top w:val="nil"/>
              <w:left w:val="nil"/>
              <w:bottom w:val="single" w:sz="4" w:space="0" w:color="auto"/>
              <w:right w:val="single" w:sz="4" w:space="0" w:color="auto"/>
            </w:tcBorders>
            <w:shd w:val="clear" w:color="auto" w:fill="auto"/>
            <w:vAlign w:val="center"/>
            <w:hideMark/>
          </w:tcPr>
          <w:p w14:paraId="46AEF617"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19</w:t>
            </w:r>
          </w:p>
        </w:tc>
        <w:tc>
          <w:tcPr>
            <w:tcW w:w="775" w:type="pct"/>
            <w:tcBorders>
              <w:top w:val="nil"/>
              <w:left w:val="nil"/>
              <w:bottom w:val="single" w:sz="4" w:space="0" w:color="auto"/>
              <w:right w:val="single" w:sz="4" w:space="0" w:color="auto"/>
            </w:tcBorders>
            <w:shd w:val="clear" w:color="auto" w:fill="auto"/>
            <w:vAlign w:val="center"/>
            <w:hideMark/>
          </w:tcPr>
          <w:p w14:paraId="4123A4BA"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28.323.173</w:t>
            </w:r>
          </w:p>
        </w:tc>
        <w:tc>
          <w:tcPr>
            <w:tcW w:w="524" w:type="pct"/>
            <w:tcBorders>
              <w:top w:val="nil"/>
              <w:left w:val="nil"/>
              <w:bottom w:val="single" w:sz="4" w:space="0" w:color="auto"/>
              <w:right w:val="single" w:sz="4" w:space="0" w:color="auto"/>
            </w:tcBorders>
            <w:shd w:val="clear" w:color="auto" w:fill="auto"/>
            <w:noWrap/>
            <w:vAlign w:val="center"/>
            <w:hideMark/>
          </w:tcPr>
          <w:p w14:paraId="0F733B48"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22,35</w:t>
            </w:r>
            <w:r>
              <w:rPr>
                <w:rFonts w:ascii="Arial" w:eastAsia="Times New Roman" w:hAnsi="Arial" w:cs="Arial"/>
                <w:color w:val="000000"/>
                <w:sz w:val="18"/>
                <w:szCs w:val="18"/>
                <w:lang w:eastAsia="sl-SI"/>
              </w:rPr>
              <w:t xml:space="preserve"> %</w:t>
            </w:r>
          </w:p>
        </w:tc>
        <w:tc>
          <w:tcPr>
            <w:tcW w:w="496" w:type="pct"/>
            <w:tcBorders>
              <w:top w:val="nil"/>
              <w:left w:val="nil"/>
              <w:bottom w:val="single" w:sz="4" w:space="0" w:color="auto"/>
              <w:right w:val="single" w:sz="4" w:space="0" w:color="auto"/>
            </w:tcBorders>
            <w:shd w:val="clear" w:color="auto" w:fill="auto"/>
            <w:noWrap/>
            <w:vAlign w:val="center"/>
            <w:hideMark/>
          </w:tcPr>
          <w:p w14:paraId="52B5E61D"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50,69</w:t>
            </w:r>
            <w:r>
              <w:rPr>
                <w:rFonts w:ascii="Arial" w:eastAsia="Times New Roman" w:hAnsi="Arial" w:cs="Arial"/>
                <w:color w:val="000000"/>
                <w:sz w:val="18"/>
                <w:szCs w:val="18"/>
                <w:lang w:eastAsia="sl-SI"/>
              </w:rPr>
              <w:t xml:space="preserve"> %</w:t>
            </w:r>
          </w:p>
        </w:tc>
      </w:tr>
      <w:tr w:rsidR="00E3750C" w:rsidRPr="001A6B42" w14:paraId="0CDD2DE6" w14:textId="77777777" w:rsidTr="00047864">
        <w:trPr>
          <w:trHeight w:val="300"/>
        </w:trPr>
        <w:tc>
          <w:tcPr>
            <w:tcW w:w="709" w:type="pct"/>
            <w:vMerge/>
            <w:tcBorders>
              <w:top w:val="nil"/>
              <w:left w:val="single" w:sz="4" w:space="0" w:color="auto"/>
              <w:bottom w:val="single" w:sz="4" w:space="0" w:color="auto"/>
              <w:right w:val="single" w:sz="4" w:space="0" w:color="auto"/>
            </w:tcBorders>
            <w:vAlign w:val="center"/>
            <w:hideMark/>
          </w:tcPr>
          <w:p w14:paraId="534EF595" w14:textId="77777777" w:rsidR="00E3750C" w:rsidRPr="001A6B42" w:rsidRDefault="00E3750C" w:rsidP="00047864">
            <w:pPr>
              <w:spacing w:after="0" w:line="240" w:lineRule="auto"/>
              <w:rPr>
                <w:rFonts w:ascii="Arial" w:eastAsia="Times New Roman" w:hAnsi="Arial" w:cs="Arial"/>
                <w:color w:val="000000"/>
                <w:sz w:val="18"/>
                <w:szCs w:val="18"/>
                <w:lang w:eastAsia="sl-SI"/>
              </w:rPr>
            </w:pPr>
          </w:p>
        </w:tc>
        <w:tc>
          <w:tcPr>
            <w:tcW w:w="1972" w:type="pct"/>
            <w:tcBorders>
              <w:top w:val="nil"/>
              <w:left w:val="nil"/>
              <w:bottom w:val="single" w:sz="4" w:space="0" w:color="auto"/>
              <w:right w:val="single" w:sz="4" w:space="0" w:color="auto"/>
            </w:tcBorders>
            <w:shd w:val="clear" w:color="auto" w:fill="auto"/>
            <w:vAlign w:val="center"/>
            <w:hideMark/>
          </w:tcPr>
          <w:p w14:paraId="17302920" w14:textId="77777777" w:rsidR="00E3750C" w:rsidRPr="001A6B42" w:rsidRDefault="00E3750C" w:rsidP="00047864">
            <w:pPr>
              <w:spacing w:after="0" w:line="240" w:lineRule="auto"/>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Postopek zbiranja ponudb po predhodni objavi</w:t>
            </w:r>
          </w:p>
        </w:tc>
        <w:tc>
          <w:tcPr>
            <w:tcW w:w="524" w:type="pct"/>
            <w:tcBorders>
              <w:top w:val="nil"/>
              <w:left w:val="nil"/>
              <w:bottom w:val="single" w:sz="4" w:space="0" w:color="auto"/>
              <w:right w:val="single" w:sz="4" w:space="0" w:color="auto"/>
            </w:tcBorders>
            <w:shd w:val="clear" w:color="auto" w:fill="auto"/>
            <w:vAlign w:val="center"/>
            <w:hideMark/>
          </w:tcPr>
          <w:p w14:paraId="2DA67BDB"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26</w:t>
            </w:r>
          </w:p>
        </w:tc>
        <w:tc>
          <w:tcPr>
            <w:tcW w:w="775" w:type="pct"/>
            <w:tcBorders>
              <w:top w:val="nil"/>
              <w:left w:val="nil"/>
              <w:bottom w:val="single" w:sz="4" w:space="0" w:color="auto"/>
              <w:right w:val="single" w:sz="4" w:space="0" w:color="auto"/>
            </w:tcBorders>
            <w:shd w:val="clear" w:color="auto" w:fill="auto"/>
            <w:vAlign w:val="center"/>
            <w:hideMark/>
          </w:tcPr>
          <w:p w14:paraId="66EA421E"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5.946.842</w:t>
            </w:r>
          </w:p>
        </w:tc>
        <w:tc>
          <w:tcPr>
            <w:tcW w:w="524" w:type="pct"/>
            <w:tcBorders>
              <w:top w:val="nil"/>
              <w:left w:val="nil"/>
              <w:bottom w:val="single" w:sz="4" w:space="0" w:color="auto"/>
              <w:right w:val="single" w:sz="4" w:space="0" w:color="auto"/>
            </w:tcBorders>
            <w:shd w:val="clear" w:color="auto" w:fill="auto"/>
            <w:noWrap/>
            <w:vAlign w:val="center"/>
            <w:hideMark/>
          </w:tcPr>
          <w:p w14:paraId="43F776A1"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30,59</w:t>
            </w:r>
            <w:r>
              <w:rPr>
                <w:rFonts w:ascii="Arial" w:eastAsia="Times New Roman" w:hAnsi="Arial" w:cs="Arial"/>
                <w:color w:val="000000"/>
                <w:sz w:val="18"/>
                <w:szCs w:val="18"/>
                <w:lang w:eastAsia="sl-SI"/>
              </w:rPr>
              <w:t xml:space="preserve"> %</w:t>
            </w:r>
          </w:p>
        </w:tc>
        <w:tc>
          <w:tcPr>
            <w:tcW w:w="496" w:type="pct"/>
            <w:tcBorders>
              <w:top w:val="nil"/>
              <w:left w:val="nil"/>
              <w:bottom w:val="single" w:sz="4" w:space="0" w:color="auto"/>
              <w:right w:val="single" w:sz="4" w:space="0" w:color="auto"/>
            </w:tcBorders>
            <w:shd w:val="clear" w:color="auto" w:fill="auto"/>
            <w:noWrap/>
            <w:vAlign w:val="center"/>
            <w:hideMark/>
          </w:tcPr>
          <w:p w14:paraId="078ED064"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r w:rsidRPr="001A6B42">
              <w:rPr>
                <w:rFonts w:ascii="Arial" w:eastAsia="Times New Roman" w:hAnsi="Arial" w:cs="Arial"/>
                <w:color w:val="000000"/>
                <w:sz w:val="18"/>
                <w:szCs w:val="18"/>
                <w:lang w:eastAsia="sl-SI"/>
              </w:rPr>
              <w:t>10,64</w:t>
            </w:r>
            <w:r>
              <w:rPr>
                <w:rFonts w:ascii="Arial" w:eastAsia="Times New Roman" w:hAnsi="Arial" w:cs="Arial"/>
                <w:color w:val="000000"/>
                <w:sz w:val="18"/>
                <w:szCs w:val="18"/>
                <w:lang w:eastAsia="sl-SI"/>
              </w:rPr>
              <w:t xml:space="preserve"> %</w:t>
            </w:r>
          </w:p>
        </w:tc>
      </w:tr>
      <w:tr w:rsidR="00E3750C" w:rsidRPr="001A6B42" w14:paraId="0370DAE4" w14:textId="77777777" w:rsidTr="00047864">
        <w:trPr>
          <w:trHeight w:val="300"/>
        </w:trPr>
        <w:tc>
          <w:tcPr>
            <w:tcW w:w="709" w:type="pct"/>
            <w:vMerge/>
            <w:tcBorders>
              <w:top w:val="nil"/>
              <w:left w:val="single" w:sz="4" w:space="0" w:color="auto"/>
              <w:bottom w:val="single" w:sz="4" w:space="0" w:color="auto"/>
              <w:right w:val="single" w:sz="4" w:space="0" w:color="auto"/>
            </w:tcBorders>
            <w:vAlign w:val="center"/>
            <w:hideMark/>
          </w:tcPr>
          <w:p w14:paraId="1C36926B" w14:textId="77777777" w:rsidR="00E3750C" w:rsidRPr="001A6B42" w:rsidRDefault="00E3750C" w:rsidP="00047864">
            <w:pPr>
              <w:spacing w:after="0" w:line="240" w:lineRule="auto"/>
              <w:rPr>
                <w:rFonts w:ascii="Arial" w:eastAsia="Times New Roman" w:hAnsi="Arial" w:cs="Arial"/>
                <w:color w:val="000000"/>
                <w:sz w:val="18"/>
                <w:szCs w:val="18"/>
                <w:lang w:eastAsia="sl-SI"/>
              </w:rPr>
            </w:pPr>
          </w:p>
        </w:tc>
        <w:tc>
          <w:tcPr>
            <w:tcW w:w="1972" w:type="pct"/>
            <w:tcBorders>
              <w:top w:val="nil"/>
              <w:left w:val="nil"/>
              <w:bottom w:val="single" w:sz="4" w:space="0" w:color="auto"/>
              <w:right w:val="single" w:sz="4" w:space="0" w:color="auto"/>
            </w:tcBorders>
            <w:shd w:val="clear" w:color="auto" w:fill="auto"/>
            <w:vAlign w:val="center"/>
            <w:hideMark/>
          </w:tcPr>
          <w:p w14:paraId="749BDFBF" w14:textId="77777777" w:rsidR="00E3750C" w:rsidRPr="001A6B42" w:rsidRDefault="00E3750C" w:rsidP="00047864">
            <w:pPr>
              <w:spacing w:after="0" w:line="240" w:lineRule="auto"/>
              <w:rPr>
                <w:rFonts w:ascii="Arial" w:eastAsia="Times New Roman" w:hAnsi="Arial" w:cs="Arial"/>
                <w:b/>
                <w:bCs/>
                <w:color w:val="000000"/>
                <w:sz w:val="18"/>
                <w:szCs w:val="18"/>
                <w:lang w:eastAsia="sl-SI"/>
              </w:rPr>
            </w:pPr>
            <w:r w:rsidRPr="001A6B42">
              <w:rPr>
                <w:rFonts w:ascii="Arial" w:eastAsia="Times New Roman" w:hAnsi="Arial" w:cs="Arial"/>
                <w:b/>
                <w:bCs/>
                <w:color w:val="000000"/>
                <w:sz w:val="18"/>
                <w:szCs w:val="18"/>
                <w:lang w:eastAsia="sl-SI"/>
              </w:rPr>
              <w:t>Skupaj</w:t>
            </w:r>
          </w:p>
        </w:tc>
        <w:tc>
          <w:tcPr>
            <w:tcW w:w="524" w:type="pct"/>
            <w:tcBorders>
              <w:top w:val="nil"/>
              <w:left w:val="nil"/>
              <w:bottom w:val="single" w:sz="4" w:space="0" w:color="auto"/>
              <w:right w:val="single" w:sz="4" w:space="0" w:color="auto"/>
            </w:tcBorders>
            <w:shd w:val="clear" w:color="auto" w:fill="auto"/>
            <w:noWrap/>
            <w:vAlign w:val="center"/>
            <w:hideMark/>
          </w:tcPr>
          <w:p w14:paraId="1AE38A2A" w14:textId="77777777" w:rsidR="00E3750C" w:rsidRPr="001A6B42" w:rsidRDefault="00E3750C" w:rsidP="00047864">
            <w:pPr>
              <w:spacing w:after="0" w:line="240" w:lineRule="auto"/>
              <w:jc w:val="right"/>
              <w:rPr>
                <w:rFonts w:ascii="Arial" w:eastAsia="Times New Roman" w:hAnsi="Arial" w:cs="Arial"/>
                <w:b/>
                <w:bCs/>
                <w:color w:val="000000"/>
                <w:sz w:val="18"/>
                <w:szCs w:val="18"/>
                <w:lang w:eastAsia="sl-SI"/>
              </w:rPr>
            </w:pPr>
            <w:r w:rsidRPr="001A6B42">
              <w:rPr>
                <w:rFonts w:ascii="Arial" w:eastAsia="Times New Roman" w:hAnsi="Arial" w:cs="Arial"/>
                <w:b/>
                <w:bCs/>
                <w:color w:val="000000"/>
                <w:sz w:val="18"/>
                <w:szCs w:val="18"/>
                <w:lang w:eastAsia="sl-SI"/>
              </w:rPr>
              <w:t>85</w:t>
            </w:r>
          </w:p>
        </w:tc>
        <w:tc>
          <w:tcPr>
            <w:tcW w:w="775" w:type="pct"/>
            <w:tcBorders>
              <w:top w:val="nil"/>
              <w:left w:val="nil"/>
              <w:bottom w:val="single" w:sz="4" w:space="0" w:color="auto"/>
              <w:right w:val="single" w:sz="4" w:space="0" w:color="auto"/>
            </w:tcBorders>
            <w:shd w:val="clear" w:color="auto" w:fill="auto"/>
            <w:noWrap/>
            <w:vAlign w:val="center"/>
            <w:hideMark/>
          </w:tcPr>
          <w:p w14:paraId="263836C4" w14:textId="77777777" w:rsidR="00E3750C" w:rsidRPr="001A6B42" w:rsidRDefault="00E3750C" w:rsidP="00047864">
            <w:pPr>
              <w:spacing w:after="0" w:line="240" w:lineRule="auto"/>
              <w:jc w:val="right"/>
              <w:rPr>
                <w:rFonts w:ascii="Arial" w:eastAsia="Times New Roman" w:hAnsi="Arial" w:cs="Arial"/>
                <w:b/>
                <w:bCs/>
                <w:color w:val="000000"/>
                <w:sz w:val="18"/>
                <w:szCs w:val="18"/>
                <w:lang w:eastAsia="sl-SI"/>
              </w:rPr>
            </w:pPr>
            <w:r w:rsidRPr="001A6B42">
              <w:rPr>
                <w:rFonts w:ascii="Arial" w:eastAsia="Times New Roman" w:hAnsi="Arial" w:cs="Arial"/>
                <w:b/>
                <w:bCs/>
                <w:color w:val="000000"/>
                <w:sz w:val="18"/>
                <w:szCs w:val="18"/>
                <w:lang w:eastAsia="sl-SI"/>
              </w:rPr>
              <w:t>55.877.498</w:t>
            </w:r>
          </w:p>
        </w:tc>
        <w:tc>
          <w:tcPr>
            <w:tcW w:w="524" w:type="pct"/>
            <w:tcBorders>
              <w:top w:val="nil"/>
              <w:left w:val="nil"/>
              <w:bottom w:val="single" w:sz="4" w:space="0" w:color="auto"/>
              <w:right w:val="single" w:sz="4" w:space="0" w:color="auto"/>
            </w:tcBorders>
            <w:shd w:val="clear" w:color="auto" w:fill="auto"/>
            <w:noWrap/>
            <w:vAlign w:val="center"/>
            <w:hideMark/>
          </w:tcPr>
          <w:p w14:paraId="5599B7F2" w14:textId="77777777" w:rsidR="00E3750C" w:rsidRPr="001A6B42" w:rsidRDefault="00E3750C" w:rsidP="00047864">
            <w:pPr>
              <w:spacing w:after="0" w:line="240" w:lineRule="auto"/>
              <w:jc w:val="right"/>
              <w:rPr>
                <w:rFonts w:ascii="Arial" w:eastAsia="Times New Roman" w:hAnsi="Arial" w:cs="Arial"/>
                <w:b/>
                <w:bCs/>
                <w:color w:val="000000"/>
                <w:sz w:val="18"/>
                <w:szCs w:val="18"/>
                <w:lang w:eastAsia="sl-SI"/>
              </w:rPr>
            </w:pPr>
            <w:r w:rsidRPr="001A6B42">
              <w:rPr>
                <w:rFonts w:ascii="Arial" w:eastAsia="Times New Roman" w:hAnsi="Arial" w:cs="Arial"/>
                <w:b/>
                <w:bCs/>
                <w:color w:val="000000"/>
                <w:sz w:val="18"/>
                <w:szCs w:val="18"/>
                <w:lang w:eastAsia="sl-SI"/>
              </w:rPr>
              <w:t>100,00 %</w:t>
            </w:r>
          </w:p>
        </w:tc>
        <w:tc>
          <w:tcPr>
            <w:tcW w:w="496" w:type="pct"/>
            <w:tcBorders>
              <w:top w:val="nil"/>
              <w:left w:val="nil"/>
              <w:bottom w:val="single" w:sz="4" w:space="0" w:color="auto"/>
              <w:right w:val="single" w:sz="4" w:space="0" w:color="auto"/>
            </w:tcBorders>
            <w:shd w:val="clear" w:color="auto" w:fill="auto"/>
            <w:noWrap/>
            <w:vAlign w:val="center"/>
            <w:hideMark/>
          </w:tcPr>
          <w:p w14:paraId="0532A858" w14:textId="77777777" w:rsidR="00E3750C" w:rsidRPr="001A6B42" w:rsidRDefault="00E3750C" w:rsidP="00047864">
            <w:pPr>
              <w:spacing w:after="0" w:line="240" w:lineRule="auto"/>
              <w:jc w:val="right"/>
              <w:rPr>
                <w:rFonts w:ascii="Arial" w:eastAsia="Times New Roman" w:hAnsi="Arial" w:cs="Arial"/>
                <w:b/>
                <w:bCs/>
                <w:color w:val="000000"/>
                <w:sz w:val="18"/>
                <w:szCs w:val="18"/>
                <w:lang w:eastAsia="sl-SI"/>
              </w:rPr>
            </w:pPr>
            <w:r w:rsidRPr="001A6B42">
              <w:rPr>
                <w:rFonts w:ascii="Arial" w:eastAsia="Times New Roman" w:hAnsi="Arial" w:cs="Arial"/>
                <w:b/>
                <w:bCs/>
                <w:color w:val="000000"/>
                <w:sz w:val="18"/>
                <w:szCs w:val="18"/>
                <w:lang w:eastAsia="sl-SI"/>
              </w:rPr>
              <w:t>100,00 %</w:t>
            </w:r>
          </w:p>
        </w:tc>
      </w:tr>
      <w:tr w:rsidR="00E3750C" w:rsidRPr="00BF7302" w14:paraId="2A76C452" w14:textId="77777777" w:rsidTr="00047864">
        <w:trPr>
          <w:trHeight w:val="371"/>
        </w:trPr>
        <w:tc>
          <w:tcPr>
            <w:tcW w:w="268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8A02AB" w14:textId="77777777" w:rsidR="00E3750C" w:rsidRPr="001A6B42" w:rsidRDefault="00E3750C" w:rsidP="00047864">
            <w:pPr>
              <w:spacing w:after="0" w:line="240" w:lineRule="auto"/>
              <w:rPr>
                <w:rFonts w:ascii="Arial" w:eastAsia="Times New Roman" w:hAnsi="Arial" w:cs="Arial"/>
                <w:b/>
                <w:bCs/>
                <w:color w:val="000000"/>
                <w:sz w:val="18"/>
                <w:szCs w:val="18"/>
                <w:lang w:eastAsia="sl-SI"/>
              </w:rPr>
            </w:pPr>
            <w:r w:rsidRPr="001A6B42">
              <w:rPr>
                <w:rFonts w:ascii="Arial" w:eastAsia="Times New Roman" w:hAnsi="Arial" w:cs="Arial"/>
                <w:b/>
                <w:bCs/>
                <w:color w:val="000000"/>
                <w:sz w:val="18"/>
                <w:szCs w:val="18"/>
                <w:lang w:eastAsia="sl-SI"/>
              </w:rPr>
              <w:t>Skupaj</w:t>
            </w:r>
          </w:p>
        </w:tc>
        <w:tc>
          <w:tcPr>
            <w:tcW w:w="524" w:type="pct"/>
            <w:tcBorders>
              <w:top w:val="nil"/>
              <w:left w:val="nil"/>
              <w:bottom w:val="single" w:sz="4" w:space="0" w:color="auto"/>
              <w:right w:val="single" w:sz="4" w:space="0" w:color="auto"/>
            </w:tcBorders>
            <w:shd w:val="clear" w:color="auto" w:fill="F2F2F2" w:themeFill="background1" w:themeFillShade="F2"/>
            <w:noWrap/>
            <w:vAlign w:val="center"/>
            <w:hideMark/>
          </w:tcPr>
          <w:p w14:paraId="1895298C" w14:textId="77777777" w:rsidR="00E3750C" w:rsidRPr="001A6B42" w:rsidRDefault="00E3750C" w:rsidP="00047864">
            <w:pPr>
              <w:spacing w:after="0" w:line="240" w:lineRule="auto"/>
              <w:jc w:val="right"/>
              <w:rPr>
                <w:rFonts w:ascii="Arial" w:eastAsia="Times New Roman" w:hAnsi="Arial" w:cs="Arial"/>
                <w:b/>
                <w:bCs/>
                <w:color w:val="000000"/>
                <w:sz w:val="18"/>
                <w:szCs w:val="18"/>
                <w:lang w:eastAsia="sl-SI"/>
              </w:rPr>
            </w:pPr>
            <w:r w:rsidRPr="001A6B42">
              <w:rPr>
                <w:rFonts w:ascii="Arial" w:eastAsia="Times New Roman" w:hAnsi="Arial" w:cs="Arial"/>
                <w:b/>
                <w:bCs/>
                <w:color w:val="000000"/>
                <w:sz w:val="18"/>
                <w:szCs w:val="18"/>
                <w:lang w:eastAsia="sl-SI"/>
              </w:rPr>
              <w:t>6.721</w:t>
            </w:r>
          </w:p>
        </w:tc>
        <w:tc>
          <w:tcPr>
            <w:tcW w:w="775" w:type="pct"/>
            <w:tcBorders>
              <w:top w:val="nil"/>
              <w:left w:val="nil"/>
              <w:bottom w:val="single" w:sz="4" w:space="0" w:color="auto"/>
              <w:right w:val="single" w:sz="4" w:space="0" w:color="auto"/>
            </w:tcBorders>
            <w:shd w:val="clear" w:color="auto" w:fill="F2F2F2" w:themeFill="background1" w:themeFillShade="F2"/>
            <w:noWrap/>
            <w:vAlign w:val="center"/>
            <w:hideMark/>
          </w:tcPr>
          <w:p w14:paraId="2D67A804" w14:textId="77777777" w:rsidR="00E3750C" w:rsidRPr="001A6B42" w:rsidRDefault="00E3750C" w:rsidP="00047864">
            <w:pPr>
              <w:spacing w:after="0" w:line="240" w:lineRule="auto"/>
              <w:jc w:val="right"/>
              <w:rPr>
                <w:rFonts w:ascii="Arial" w:eastAsia="Times New Roman" w:hAnsi="Arial" w:cs="Arial"/>
                <w:b/>
                <w:bCs/>
                <w:color w:val="000000"/>
                <w:sz w:val="18"/>
                <w:szCs w:val="18"/>
                <w:lang w:eastAsia="sl-SI"/>
              </w:rPr>
            </w:pPr>
            <w:r w:rsidRPr="001A6B42">
              <w:rPr>
                <w:rFonts w:ascii="Arial" w:eastAsia="Times New Roman" w:hAnsi="Arial" w:cs="Arial"/>
                <w:b/>
                <w:bCs/>
                <w:color w:val="000000"/>
                <w:sz w:val="18"/>
                <w:szCs w:val="18"/>
                <w:lang w:eastAsia="sl-SI"/>
              </w:rPr>
              <w:t>5.417.105.902</w:t>
            </w:r>
          </w:p>
        </w:tc>
        <w:tc>
          <w:tcPr>
            <w:tcW w:w="524" w:type="pct"/>
            <w:tcBorders>
              <w:top w:val="nil"/>
              <w:left w:val="nil"/>
              <w:bottom w:val="nil"/>
              <w:right w:val="nil"/>
            </w:tcBorders>
            <w:shd w:val="clear" w:color="auto" w:fill="auto"/>
            <w:noWrap/>
            <w:vAlign w:val="center"/>
            <w:hideMark/>
          </w:tcPr>
          <w:p w14:paraId="7CA57837"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p>
        </w:tc>
        <w:tc>
          <w:tcPr>
            <w:tcW w:w="496" w:type="pct"/>
            <w:tcBorders>
              <w:top w:val="nil"/>
              <w:left w:val="nil"/>
              <w:bottom w:val="nil"/>
              <w:right w:val="nil"/>
            </w:tcBorders>
            <w:shd w:val="clear" w:color="auto" w:fill="auto"/>
            <w:noWrap/>
            <w:vAlign w:val="center"/>
            <w:hideMark/>
          </w:tcPr>
          <w:p w14:paraId="7301E338" w14:textId="77777777" w:rsidR="00E3750C" w:rsidRPr="001A6B42" w:rsidRDefault="00E3750C" w:rsidP="00047864">
            <w:pPr>
              <w:spacing w:after="0" w:line="240" w:lineRule="auto"/>
              <w:jc w:val="right"/>
              <w:rPr>
                <w:rFonts w:ascii="Arial" w:eastAsia="Times New Roman" w:hAnsi="Arial" w:cs="Arial"/>
                <w:color w:val="000000"/>
                <w:sz w:val="18"/>
                <w:szCs w:val="18"/>
                <w:lang w:eastAsia="sl-SI"/>
              </w:rPr>
            </w:pPr>
          </w:p>
        </w:tc>
      </w:tr>
    </w:tbl>
    <w:p w14:paraId="295643B3" w14:textId="77777777" w:rsidR="00E3750C" w:rsidRPr="00BF7302" w:rsidRDefault="00E3750C" w:rsidP="00E3750C">
      <w:pPr>
        <w:pStyle w:val="ZADEVA"/>
        <w:spacing w:line="240" w:lineRule="auto"/>
        <w:jc w:val="both"/>
        <w:rPr>
          <w:rFonts w:cs="Arial"/>
          <w:b w:val="0"/>
          <w:szCs w:val="20"/>
          <w:highlight w:val="yellow"/>
          <w:lang w:val="sl-SI"/>
        </w:rPr>
      </w:pPr>
    </w:p>
    <w:p w14:paraId="6D6FEF8F" w14:textId="77777777" w:rsidR="00E3750C" w:rsidRPr="006A471C" w:rsidRDefault="00E3750C" w:rsidP="00E3750C">
      <w:pPr>
        <w:pStyle w:val="ZADEVA"/>
        <w:spacing w:before="120" w:line="240" w:lineRule="auto"/>
        <w:jc w:val="both"/>
        <w:rPr>
          <w:rFonts w:cs="Arial"/>
          <w:b w:val="0"/>
          <w:iCs/>
          <w:szCs w:val="20"/>
          <w:lang w:val="sl-SI"/>
        </w:rPr>
      </w:pPr>
      <w:r w:rsidRPr="006A471C">
        <w:rPr>
          <w:rFonts w:cs="Arial"/>
          <w:b w:val="0"/>
          <w:iCs/>
          <w:szCs w:val="20"/>
          <w:lang w:val="sl-SI"/>
        </w:rPr>
        <w:t xml:space="preserve">Preglednica </w:t>
      </w:r>
      <w:r>
        <w:rPr>
          <w:rFonts w:cs="Arial"/>
          <w:b w:val="0"/>
          <w:iCs/>
          <w:szCs w:val="20"/>
          <w:lang w:val="sl-SI"/>
        </w:rPr>
        <w:t>59</w:t>
      </w:r>
      <w:r w:rsidRPr="006A471C">
        <w:rPr>
          <w:rFonts w:cs="Arial"/>
          <w:b w:val="0"/>
          <w:iCs/>
          <w:szCs w:val="20"/>
          <w:lang w:val="sl-SI"/>
        </w:rPr>
        <w:t>: Javna naročila glede na področje, vrsto postopka in predmet naročanja</w:t>
      </w:r>
    </w:p>
    <w:p w14:paraId="7A46305D" w14:textId="77777777" w:rsidR="00E3750C" w:rsidRPr="00BF7302" w:rsidRDefault="00E3750C" w:rsidP="00E3750C">
      <w:pPr>
        <w:pStyle w:val="ZADEVA"/>
        <w:spacing w:line="240" w:lineRule="auto"/>
        <w:jc w:val="both"/>
        <w:rPr>
          <w:rFonts w:cs="Arial"/>
          <w:b w:val="0"/>
          <w:iCs/>
          <w:szCs w:val="20"/>
          <w:highlight w:val="yellow"/>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4"/>
        <w:gridCol w:w="3843"/>
        <w:gridCol w:w="984"/>
        <w:gridCol w:w="1204"/>
        <w:gridCol w:w="1799"/>
      </w:tblGrid>
      <w:tr w:rsidR="00E3750C" w:rsidRPr="006A471C" w14:paraId="3F0D5CEF" w14:textId="77777777" w:rsidTr="00047864">
        <w:trPr>
          <w:trHeight w:val="300"/>
          <w:tblHeader/>
        </w:trPr>
        <w:tc>
          <w:tcPr>
            <w:tcW w:w="734" w:type="pct"/>
            <w:shd w:val="clear" w:color="000000" w:fill="F2F2F2"/>
            <w:vAlign w:val="center"/>
            <w:hideMark/>
          </w:tcPr>
          <w:p w14:paraId="71BA63E2" w14:textId="77777777" w:rsidR="00E3750C" w:rsidRPr="006A471C" w:rsidRDefault="00E3750C" w:rsidP="00047864">
            <w:pPr>
              <w:spacing w:after="0" w:line="240" w:lineRule="auto"/>
              <w:jc w:val="center"/>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Področje</w:t>
            </w:r>
          </w:p>
        </w:tc>
        <w:tc>
          <w:tcPr>
            <w:tcW w:w="2087" w:type="pct"/>
            <w:shd w:val="clear" w:color="000000" w:fill="F2F2F2"/>
            <w:vAlign w:val="center"/>
            <w:hideMark/>
          </w:tcPr>
          <w:p w14:paraId="1696B7EF" w14:textId="77777777" w:rsidR="00E3750C" w:rsidRPr="006A471C" w:rsidRDefault="00E3750C" w:rsidP="00047864">
            <w:pPr>
              <w:spacing w:after="0" w:line="240" w:lineRule="auto"/>
              <w:jc w:val="center"/>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Vrsta postopka</w:t>
            </w:r>
          </w:p>
        </w:tc>
        <w:tc>
          <w:tcPr>
            <w:tcW w:w="538" w:type="pct"/>
            <w:shd w:val="clear" w:color="000000" w:fill="F2F2F2"/>
            <w:vAlign w:val="center"/>
            <w:hideMark/>
          </w:tcPr>
          <w:p w14:paraId="2F1B15C8" w14:textId="77777777" w:rsidR="00E3750C" w:rsidRPr="006A471C" w:rsidRDefault="00E3750C" w:rsidP="00047864">
            <w:pPr>
              <w:spacing w:after="0" w:line="240" w:lineRule="auto"/>
              <w:jc w:val="center"/>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Predmet</w:t>
            </w:r>
          </w:p>
        </w:tc>
        <w:tc>
          <w:tcPr>
            <w:tcW w:w="658" w:type="pct"/>
            <w:shd w:val="clear" w:color="000000" w:fill="F2F2F2"/>
            <w:vAlign w:val="center"/>
            <w:hideMark/>
          </w:tcPr>
          <w:p w14:paraId="3D1F57D9" w14:textId="77777777" w:rsidR="00E3750C" w:rsidRPr="006A471C" w:rsidRDefault="00E3750C" w:rsidP="00047864">
            <w:pPr>
              <w:spacing w:after="0" w:line="240" w:lineRule="auto"/>
              <w:jc w:val="center"/>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Št. postopkov</w:t>
            </w:r>
          </w:p>
        </w:tc>
        <w:tc>
          <w:tcPr>
            <w:tcW w:w="982" w:type="pct"/>
            <w:shd w:val="clear" w:color="000000" w:fill="F2F2F2"/>
            <w:vAlign w:val="center"/>
            <w:hideMark/>
          </w:tcPr>
          <w:p w14:paraId="7679F087" w14:textId="77777777" w:rsidR="00E3750C" w:rsidRPr="006A471C" w:rsidRDefault="00E3750C" w:rsidP="00047864">
            <w:pPr>
              <w:spacing w:after="0" w:line="240" w:lineRule="auto"/>
              <w:jc w:val="center"/>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Pogodbena vrednost</w:t>
            </w:r>
          </w:p>
        </w:tc>
      </w:tr>
      <w:tr w:rsidR="00E3750C" w:rsidRPr="006A471C" w14:paraId="5923B41E" w14:textId="77777777" w:rsidTr="00047864">
        <w:trPr>
          <w:trHeight w:val="300"/>
        </w:trPr>
        <w:tc>
          <w:tcPr>
            <w:tcW w:w="734" w:type="pct"/>
            <w:vMerge w:val="restart"/>
            <w:shd w:val="clear" w:color="auto" w:fill="auto"/>
            <w:noWrap/>
            <w:vAlign w:val="center"/>
            <w:hideMark/>
          </w:tcPr>
          <w:p w14:paraId="7EB31A42"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Splošno</w:t>
            </w:r>
          </w:p>
        </w:tc>
        <w:tc>
          <w:tcPr>
            <w:tcW w:w="2087" w:type="pct"/>
            <w:vMerge w:val="restart"/>
            <w:shd w:val="clear" w:color="auto" w:fill="auto"/>
            <w:noWrap/>
            <w:vAlign w:val="center"/>
            <w:hideMark/>
          </w:tcPr>
          <w:p w14:paraId="38034339"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Konkurenčni dialog</w:t>
            </w:r>
          </w:p>
        </w:tc>
        <w:tc>
          <w:tcPr>
            <w:tcW w:w="538" w:type="pct"/>
            <w:shd w:val="clear" w:color="auto" w:fill="auto"/>
            <w:noWrap/>
            <w:vAlign w:val="center"/>
            <w:hideMark/>
          </w:tcPr>
          <w:p w14:paraId="7036B540"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Blago</w:t>
            </w:r>
          </w:p>
        </w:tc>
        <w:tc>
          <w:tcPr>
            <w:tcW w:w="658" w:type="pct"/>
            <w:shd w:val="clear" w:color="auto" w:fill="auto"/>
            <w:noWrap/>
            <w:vAlign w:val="center"/>
            <w:hideMark/>
          </w:tcPr>
          <w:p w14:paraId="7DD44664"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3</w:t>
            </w:r>
          </w:p>
        </w:tc>
        <w:tc>
          <w:tcPr>
            <w:tcW w:w="982" w:type="pct"/>
            <w:shd w:val="clear" w:color="auto" w:fill="auto"/>
            <w:noWrap/>
            <w:vAlign w:val="center"/>
            <w:hideMark/>
          </w:tcPr>
          <w:p w14:paraId="539D6B21"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62.209</w:t>
            </w:r>
          </w:p>
        </w:tc>
      </w:tr>
      <w:tr w:rsidR="00E3750C" w:rsidRPr="006A471C" w14:paraId="294C0A1A" w14:textId="77777777" w:rsidTr="00047864">
        <w:trPr>
          <w:trHeight w:val="300"/>
        </w:trPr>
        <w:tc>
          <w:tcPr>
            <w:tcW w:w="734" w:type="pct"/>
            <w:vMerge/>
            <w:vAlign w:val="center"/>
            <w:hideMark/>
          </w:tcPr>
          <w:p w14:paraId="49C1C8A7"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2087" w:type="pct"/>
            <w:vMerge/>
            <w:vAlign w:val="center"/>
            <w:hideMark/>
          </w:tcPr>
          <w:p w14:paraId="2A3B7BC5"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538" w:type="pct"/>
            <w:shd w:val="clear" w:color="auto" w:fill="auto"/>
            <w:noWrap/>
            <w:vAlign w:val="center"/>
            <w:hideMark/>
          </w:tcPr>
          <w:p w14:paraId="47080AE2"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Storitve</w:t>
            </w:r>
          </w:p>
        </w:tc>
        <w:tc>
          <w:tcPr>
            <w:tcW w:w="658" w:type="pct"/>
            <w:shd w:val="clear" w:color="auto" w:fill="auto"/>
            <w:noWrap/>
            <w:vAlign w:val="center"/>
            <w:hideMark/>
          </w:tcPr>
          <w:p w14:paraId="1A966389"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8</w:t>
            </w:r>
          </w:p>
        </w:tc>
        <w:tc>
          <w:tcPr>
            <w:tcW w:w="982" w:type="pct"/>
            <w:shd w:val="clear" w:color="auto" w:fill="auto"/>
            <w:noWrap/>
            <w:vAlign w:val="center"/>
            <w:hideMark/>
          </w:tcPr>
          <w:p w14:paraId="167533AC"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23.102.607</w:t>
            </w:r>
          </w:p>
        </w:tc>
      </w:tr>
      <w:tr w:rsidR="00E3750C" w:rsidRPr="006A471C" w14:paraId="014566E6" w14:textId="77777777" w:rsidTr="00047864">
        <w:trPr>
          <w:trHeight w:val="300"/>
        </w:trPr>
        <w:tc>
          <w:tcPr>
            <w:tcW w:w="734" w:type="pct"/>
            <w:vMerge/>
            <w:vAlign w:val="center"/>
            <w:hideMark/>
          </w:tcPr>
          <w:p w14:paraId="652C5F42"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2087" w:type="pct"/>
            <w:vMerge w:val="restart"/>
            <w:shd w:val="clear" w:color="auto" w:fill="auto"/>
            <w:noWrap/>
            <w:vAlign w:val="center"/>
            <w:hideMark/>
          </w:tcPr>
          <w:p w14:paraId="724F62AE"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Konkurenčni postopek s pogajanji</w:t>
            </w:r>
          </w:p>
        </w:tc>
        <w:tc>
          <w:tcPr>
            <w:tcW w:w="538" w:type="pct"/>
            <w:shd w:val="clear" w:color="auto" w:fill="auto"/>
            <w:noWrap/>
            <w:vAlign w:val="center"/>
            <w:hideMark/>
          </w:tcPr>
          <w:p w14:paraId="6A89A924"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Blago</w:t>
            </w:r>
          </w:p>
        </w:tc>
        <w:tc>
          <w:tcPr>
            <w:tcW w:w="658" w:type="pct"/>
            <w:shd w:val="clear" w:color="auto" w:fill="auto"/>
            <w:noWrap/>
            <w:vAlign w:val="center"/>
            <w:hideMark/>
          </w:tcPr>
          <w:p w14:paraId="3E2AB4B4"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45</w:t>
            </w:r>
          </w:p>
        </w:tc>
        <w:tc>
          <w:tcPr>
            <w:tcW w:w="982" w:type="pct"/>
            <w:shd w:val="clear" w:color="auto" w:fill="auto"/>
            <w:noWrap/>
            <w:vAlign w:val="center"/>
            <w:hideMark/>
          </w:tcPr>
          <w:p w14:paraId="07632314"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17.564.697</w:t>
            </w:r>
          </w:p>
        </w:tc>
      </w:tr>
      <w:tr w:rsidR="00E3750C" w:rsidRPr="006A471C" w14:paraId="3CC224F4" w14:textId="77777777" w:rsidTr="00047864">
        <w:trPr>
          <w:trHeight w:val="300"/>
        </w:trPr>
        <w:tc>
          <w:tcPr>
            <w:tcW w:w="734" w:type="pct"/>
            <w:vMerge/>
            <w:vAlign w:val="center"/>
            <w:hideMark/>
          </w:tcPr>
          <w:p w14:paraId="5E89349C"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2087" w:type="pct"/>
            <w:vMerge/>
            <w:vAlign w:val="center"/>
            <w:hideMark/>
          </w:tcPr>
          <w:p w14:paraId="50B42135"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538" w:type="pct"/>
            <w:shd w:val="clear" w:color="auto" w:fill="auto"/>
            <w:noWrap/>
            <w:vAlign w:val="center"/>
            <w:hideMark/>
          </w:tcPr>
          <w:p w14:paraId="296AE012"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Storitve</w:t>
            </w:r>
          </w:p>
        </w:tc>
        <w:tc>
          <w:tcPr>
            <w:tcW w:w="658" w:type="pct"/>
            <w:shd w:val="clear" w:color="auto" w:fill="auto"/>
            <w:noWrap/>
            <w:vAlign w:val="center"/>
            <w:hideMark/>
          </w:tcPr>
          <w:p w14:paraId="0422E903"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47</w:t>
            </w:r>
          </w:p>
        </w:tc>
        <w:tc>
          <w:tcPr>
            <w:tcW w:w="982" w:type="pct"/>
            <w:shd w:val="clear" w:color="auto" w:fill="auto"/>
            <w:noWrap/>
            <w:vAlign w:val="center"/>
            <w:hideMark/>
          </w:tcPr>
          <w:p w14:paraId="4A51BCBB"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46.575.897</w:t>
            </w:r>
          </w:p>
        </w:tc>
      </w:tr>
      <w:tr w:rsidR="00E3750C" w:rsidRPr="006A471C" w14:paraId="2A708102" w14:textId="77777777" w:rsidTr="00047864">
        <w:trPr>
          <w:trHeight w:val="300"/>
        </w:trPr>
        <w:tc>
          <w:tcPr>
            <w:tcW w:w="734" w:type="pct"/>
            <w:vMerge/>
            <w:vAlign w:val="center"/>
            <w:hideMark/>
          </w:tcPr>
          <w:p w14:paraId="7F10885E"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2087" w:type="pct"/>
            <w:vMerge/>
            <w:vAlign w:val="center"/>
            <w:hideMark/>
          </w:tcPr>
          <w:p w14:paraId="384C7549"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538" w:type="pct"/>
            <w:shd w:val="clear" w:color="auto" w:fill="auto"/>
            <w:noWrap/>
            <w:vAlign w:val="center"/>
            <w:hideMark/>
          </w:tcPr>
          <w:p w14:paraId="683C442A"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Gradnje</w:t>
            </w:r>
          </w:p>
        </w:tc>
        <w:tc>
          <w:tcPr>
            <w:tcW w:w="658" w:type="pct"/>
            <w:shd w:val="clear" w:color="auto" w:fill="auto"/>
            <w:noWrap/>
            <w:vAlign w:val="center"/>
            <w:hideMark/>
          </w:tcPr>
          <w:p w14:paraId="6B0FE682"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91</w:t>
            </w:r>
          </w:p>
        </w:tc>
        <w:tc>
          <w:tcPr>
            <w:tcW w:w="982" w:type="pct"/>
            <w:shd w:val="clear" w:color="auto" w:fill="auto"/>
            <w:noWrap/>
            <w:vAlign w:val="center"/>
            <w:hideMark/>
          </w:tcPr>
          <w:p w14:paraId="5C0AEE9A"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345.021.382</w:t>
            </w:r>
          </w:p>
        </w:tc>
      </w:tr>
      <w:tr w:rsidR="00E3750C" w:rsidRPr="006A471C" w14:paraId="28A30F3A" w14:textId="77777777" w:rsidTr="00047864">
        <w:trPr>
          <w:trHeight w:val="300"/>
        </w:trPr>
        <w:tc>
          <w:tcPr>
            <w:tcW w:w="734" w:type="pct"/>
            <w:vMerge/>
            <w:vAlign w:val="center"/>
            <w:hideMark/>
          </w:tcPr>
          <w:p w14:paraId="3911F541"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2087" w:type="pct"/>
            <w:vMerge w:val="restart"/>
            <w:shd w:val="clear" w:color="auto" w:fill="auto"/>
            <w:noWrap/>
            <w:vAlign w:val="center"/>
            <w:hideMark/>
          </w:tcPr>
          <w:p w14:paraId="00FA9C0E"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Odprti postopek</w:t>
            </w:r>
          </w:p>
        </w:tc>
        <w:tc>
          <w:tcPr>
            <w:tcW w:w="538" w:type="pct"/>
            <w:shd w:val="clear" w:color="auto" w:fill="auto"/>
            <w:noWrap/>
            <w:vAlign w:val="center"/>
            <w:hideMark/>
          </w:tcPr>
          <w:p w14:paraId="2941659B"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Blago</w:t>
            </w:r>
          </w:p>
        </w:tc>
        <w:tc>
          <w:tcPr>
            <w:tcW w:w="658" w:type="pct"/>
            <w:shd w:val="clear" w:color="auto" w:fill="auto"/>
            <w:noWrap/>
            <w:vAlign w:val="center"/>
            <w:hideMark/>
          </w:tcPr>
          <w:p w14:paraId="4CE3BEB4"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1.002</w:t>
            </w:r>
          </w:p>
        </w:tc>
        <w:tc>
          <w:tcPr>
            <w:tcW w:w="982" w:type="pct"/>
            <w:shd w:val="clear" w:color="auto" w:fill="auto"/>
            <w:noWrap/>
            <w:vAlign w:val="center"/>
            <w:hideMark/>
          </w:tcPr>
          <w:p w14:paraId="5817EB19"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1.231.106.701</w:t>
            </w:r>
          </w:p>
        </w:tc>
      </w:tr>
      <w:tr w:rsidR="00E3750C" w:rsidRPr="006A471C" w14:paraId="70FE6E54" w14:textId="77777777" w:rsidTr="00047864">
        <w:trPr>
          <w:trHeight w:val="300"/>
        </w:trPr>
        <w:tc>
          <w:tcPr>
            <w:tcW w:w="734" w:type="pct"/>
            <w:vMerge/>
            <w:vAlign w:val="center"/>
            <w:hideMark/>
          </w:tcPr>
          <w:p w14:paraId="128BE230"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2087" w:type="pct"/>
            <w:vMerge/>
            <w:vAlign w:val="center"/>
            <w:hideMark/>
          </w:tcPr>
          <w:p w14:paraId="1B71152B"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538" w:type="pct"/>
            <w:shd w:val="clear" w:color="auto" w:fill="auto"/>
            <w:noWrap/>
            <w:vAlign w:val="center"/>
            <w:hideMark/>
          </w:tcPr>
          <w:p w14:paraId="5C45E245"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Storitve</w:t>
            </w:r>
          </w:p>
        </w:tc>
        <w:tc>
          <w:tcPr>
            <w:tcW w:w="658" w:type="pct"/>
            <w:shd w:val="clear" w:color="auto" w:fill="auto"/>
            <w:noWrap/>
            <w:vAlign w:val="center"/>
            <w:hideMark/>
          </w:tcPr>
          <w:p w14:paraId="00064E22"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628</w:t>
            </w:r>
          </w:p>
        </w:tc>
        <w:tc>
          <w:tcPr>
            <w:tcW w:w="982" w:type="pct"/>
            <w:shd w:val="clear" w:color="auto" w:fill="auto"/>
            <w:noWrap/>
            <w:vAlign w:val="center"/>
            <w:hideMark/>
          </w:tcPr>
          <w:p w14:paraId="0CF01265"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1.083.696.531</w:t>
            </w:r>
          </w:p>
        </w:tc>
      </w:tr>
      <w:tr w:rsidR="00E3750C" w:rsidRPr="006A471C" w14:paraId="15292483" w14:textId="77777777" w:rsidTr="00047864">
        <w:trPr>
          <w:trHeight w:val="300"/>
        </w:trPr>
        <w:tc>
          <w:tcPr>
            <w:tcW w:w="734" w:type="pct"/>
            <w:vMerge/>
            <w:vAlign w:val="center"/>
            <w:hideMark/>
          </w:tcPr>
          <w:p w14:paraId="6BDB7881"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2087" w:type="pct"/>
            <w:vMerge/>
            <w:vAlign w:val="center"/>
            <w:hideMark/>
          </w:tcPr>
          <w:p w14:paraId="5DAADB88"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538" w:type="pct"/>
            <w:shd w:val="clear" w:color="auto" w:fill="auto"/>
            <w:noWrap/>
            <w:vAlign w:val="center"/>
            <w:hideMark/>
          </w:tcPr>
          <w:p w14:paraId="7EB4D52E"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Gradnje</w:t>
            </w:r>
          </w:p>
        </w:tc>
        <w:tc>
          <w:tcPr>
            <w:tcW w:w="658" w:type="pct"/>
            <w:shd w:val="clear" w:color="auto" w:fill="auto"/>
            <w:noWrap/>
            <w:vAlign w:val="center"/>
            <w:hideMark/>
          </w:tcPr>
          <w:p w14:paraId="7A6351AC"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174</w:t>
            </w:r>
          </w:p>
        </w:tc>
        <w:tc>
          <w:tcPr>
            <w:tcW w:w="982" w:type="pct"/>
            <w:shd w:val="clear" w:color="auto" w:fill="auto"/>
            <w:noWrap/>
            <w:vAlign w:val="center"/>
            <w:hideMark/>
          </w:tcPr>
          <w:p w14:paraId="4F413F60"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741.566.925</w:t>
            </w:r>
          </w:p>
        </w:tc>
      </w:tr>
      <w:tr w:rsidR="00E3750C" w:rsidRPr="006A471C" w14:paraId="39E1BAE0" w14:textId="77777777" w:rsidTr="00047864">
        <w:trPr>
          <w:trHeight w:val="300"/>
        </w:trPr>
        <w:tc>
          <w:tcPr>
            <w:tcW w:w="734" w:type="pct"/>
            <w:vMerge/>
            <w:vAlign w:val="center"/>
            <w:hideMark/>
          </w:tcPr>
          <w:p w14:paraId="666A78E0"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2087" w:type="pct"/>
            <w:vMerge w:val="restart"/>
            <w:shd w:val="clear" w:color="auto" w:fill="auto"/>
            <w:noWrap/>
            <w:vAlign w:val="center"/>
            <w:hideMark/>
          </w:tcPr>
          <w:p w14:paraId="1DAC0790"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Omejeni postopek</w:t>
            </w:r>
          </w:p>
        </w:tc>
        <w:tc>
          <w:tcPr>
            <w:tcW w:w="538" w:type="pct"/>
            <w:shd w:val="clear" w:color="auto" w:fill="auto"/>
            <w:noWrap/>
            <w:vAlign w:val="center"/>
            <w:hideMark/>
          </w:tcPr>
          <w:p w14:paraId="6BAADF26"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Blago</w:t>
            </w:r>
          </w:p>
        </w:tc>
        <w:tc>
          <w:tcPr>
            <w:tcW w:w="658" w:type="pct"/>
            <w:shd w:val="clear" w:color="auto" w:fill="auto"/>
            <w:noWrap/>
            <w:vAlign w:val="center"/>
            <w:hideMark/>
          </w:tcPr>
          <w:p w14:paraId="153FABB8"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15</w:t>
            </w:r>
          </w:p>
        </w:tc>
        <w:tc>
          <w:tcPr>
            <w:tcW w:w="982" w:type="pct"/>
            <w:shd w:val="clear" w:color="auto" w:fill="auto"/>
            <w:noWrap/>
            <w:vAlign w:val="center"/>
            <w:hideMark/>
          </w:tcPr>
          <w:p w14:paraId="46AB6F82"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9.286.164</w:t>
            </w:r>
          </w:p>
        </w:tc>
      </w:tr>
      <w:tr w:rsidR="00E3750C" w:rsidRPr="006A471C" w14:paraId="3597A8AD" w14:textId="77777777" w:rsidTr="00047864">
        <w:trPr>
          <w:trHeight w:val="300"/>
        </w:trPr>
        <w:tc>
          <w:tcPr>
            <w:tcW w:w="734" w:type="pct"/>
            <w:vMerge/>
            <w:vAlign w:val="center"/>
            <w:hideMark/>
          </w:tcPr>
          <w:p w14:paraId="23CAE564"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2087" w:type="pct"/>
            <w:vMerge/>
            <w:vAlign w:val="center"/>
            <w:hideMark/>
          </w:tcPr>
          <w:p w14:paraId="39CEE1C7"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538" w:type="pct"/>
            <w:shd w:val="clear" w:color="auto" w:fill="auto"/>
            <w:noWrap/>
            <w:vAlign w:val="center"/>
            <w:hideMark/>
          </w:tcPr>
          <w:p w14:paraId="50B86ED3"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Storitve</w:t>
            </w:r>
          </w:p>
        </w:tc>
        <w:tc>
          <w:tcPr>
            <w:tcW w:w="658" w:type="pct"/>
            <w:shd w:val="clear" w:color="auto" w:fill="auto"/>
            <w:noWrap/>
            <w:vAlign w:val="center"/>
            <w:hideMark/>
          </w:tcPr>
          <w:p w14:paraId="4E808532"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3</w:t>
            </w:r>
          </w:p>
        </w:tc>
        <w:tc>
          <w:tcPr>
            <w:tcW w:w="982" w:type="pct"/>
            <w:shd w:val="clear" w:color="auto" w:fill="auto"/>
            <w:noWrap/>
            <w:vAlign w:val="center"/>
            <w:hideMark/>
          </w:tcPr>
          <w:p w14:paraId="3382A243"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536.572</w:t>
            </w:r>
          </w:p>
        </w:tc>
      </w:tr>
      <w:tr w:rsidR="00E3750C" w:rsidRPr="006A471C" w14:paraId="2BCC8E69" w14:textId="77777777" w:rsidTr="00047864">
        <w:trPr>
          <w:trHeight w:val="300"/>
        </w:trPr>
        <w:tc>
          <w:tcPr>
            <w:tcW w:w="734" w:type="pct"/>
            <w:vMerge/>
            <w:vAlign w:val="center"/>
            <w:hideMark/>
          </w:tcPr>
          <w:p w14:paraId="162EC181"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2087" w:type="pct"/>
            <w:vMerge/>
            <w:vAlign w:val="center"/>
            <w:hideMark/>
          </w:tcPr>
          <w:p w14:paraId="1AC21E60"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538" w:type="pct"/>
            <w:shd w:val="clear" w:color="auto" w:fill="auto"/>
            <w:noWrap/>
            <w:vAlign w:val="center"/>
            <w:hideMark/>
          </w:tcPr>
          <w:p w14:paraId="2413F84F"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Gradnje</w:t>
            </w:r>
          </w:p>
        </w:tc>
        <w:tc>
          <w:tcPr>
            <w:tcW w:w="658" w:type="pct"/>
            <w:shd w:val="clear" w:color="auto" w:fill="auto"/>
            <w:noWrap/>
            <w:vAlign w:val="center"/>
            <w:hideMark/>
          </w:tcPr>
          <w:p w14:paraId="2D29A15A"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4</w:t>
            </w:r>
          </w:p>
        </w:tc>
        <w:tc>
          <w:tcPr>
            <w:tcW w:w="982" w:type="pct"/>
            <w:shd w:val="clear" w:color="auto" w:fill="auto"/>
            <w:noWrap/>
            <w:vAlign w:val="center"/>
            <w:hideMark/>
          </w:tcPr>
          <w:p w14:paraId="311FCB71"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69.603.496</w:t>
            </w:r>
          </w:p>
        </w:tc>
      </w:tr>
      <w:tr w:rsidR="00E3750C" w:rsidRPr="006A471C" w14:paraId="3EB6DAF3" w14:textId="77777777" w:rsidTr="00047864">
        <w:trPr>
          <w:trHeight w:val="300"/>
        </w:trPr>
        <w:tc>
          <w:tcPr>
            <w:tcW w:w="734" w:type="pct"/>
            <w:vMerge/>
            <w:vAlign w:val="center"/>
            <w:hideMark/>
          </w:tcPr>
          <w:p w14:paraId="61801C3F"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2087" w:type="pct"/>
            <w:vMerge w:val="restart"/>
            <w:shd w:val="clear" w:color="auto" w:fill="auto"/>
            <w:noWrap/>
            <w:vAlign w:val="center"/>
            <w:hideMark/>
          </w:tcPr>
          <w:p w14:paraId="0AC88F61"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Postopek naročila male vrednosti</w:t>
            </w:r>
          </w:p>
        </w:tc>
        <w:tc>
          <w:tcPr>
            <w:tcW w:w="538" w:type="pct"/>
            <w:shd w:val="clear" w:color="auto" w:fill="auto"/>
            <w:noWrap/>
            <w:vAlign w:val="center"/>
            <w:hideMark/>
          </w:tcPr>
          <w:p w14:paraId="4B3144B2"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Blago</w:t>
            </w:r>
          </w:p>
        </w:tc>
        <w:tc>
          <w:tcPr>
            <w:tcW w:w="658" w:type="pct"/>
            <w:shd w:val="clear" w:color="auto" w:fill="auto"/>
            <w:noWrap/>
            <w:vAlign w:val="center"/>
            <w:hideMark/>
          </w:tcPr>
          <w:p w14:paraId="3C252CF1"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1.124</w:t>
            </w:r>
          </w:p>
        </w:tc>
        <w:tc>
          <w:tcPr>
            <w:tcW w:w="982" w:type="pct"/>
            <w:shd w:val="clear" w:color="auto" w:fill="auto"/>
            <w:noWrap/>
            <w:vAlign w:val="center"/>
            <w:hideMark/>
          </w:tcPr>
          <w:p w14:paraId="7939EFF1"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100.781.142</w:t>
            </w:r>
          </w:p>
        </w:tc>
      </w:tr>
      <w:tr w:rsidR="00E3750C" w:rsidRPr="006A471C" w14:paraId="66FBEE38" w14:textId="77777777" w:rsidTr="00047864">
        <w:trPr>
          <w:trHeight w:val="300"/>
        </w:trPr>
        <w:tc>
          <w:tcPr>
            <w:tcW w:w="734" w:type="pct"/>
            <w:vMerge/>
            <w:vAlign w:val="center"/>
            <w:hideMark/>
          </w:tcPr>
          <w:p w14:paraId="07FA736C"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2087" w:type="pct"/>
            <w:vMerge/>
            <w:vAlign w:val="center"/>
            <w:hideMark/>
          </w:tcPr>
          <w:p w14:paraId="2E2AB33A"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538" w:type="pct"/>
            <w:shd w:val="clear" w:color="auto" w:fill="auto"/>
            <w:noWrap/>
            <w:vAlign w:val="center"/>
            <w:hideMark/>
          </w:tcPr>
          <w:p w14:paraId="372A8C5E"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Storitve</w:t>
            </w:r>
          </w:p>
        </w:tc>
        <w:tc>
          <w:tcPr>
            <w:tcW w:w="658" w:type="pct"/>
            <w:shd w:val="clear" w:color="auto" w:fill="auto"/>
            <w:noWrap/>
            <w:vAlign w:val="center"/>
            <w:hideMark/>
          </w:tcPr>
          <w:p w14:paraId="7657B2E2"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905</w:t>
            </w:r>
          </w:p>
        </w:tc>
        <w:tc>
          <w:tcPr>
            <w:tcW w:w="982" w:type="pct"/>
            <w:shd w:val="clear" w:color="auto" w:fill="auto"/>
            <w:noWrap/>
            <w:vAlign w:val="center"/>
            <w:hideMark/>
          </w:tcPr>
          <w:p w14:paraId="1D7685E9"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85.012.924</w:t>
            </w:r>
          </w:p>
        </w:tc>
      </w:tr>
      <w:tr w:rsidR="00E3750C" w:rsidRPr="006A471C" w14:paraId="16D8906C" w14:textId="77777777" w:rsidTr="00047864">
        <w:trPr>
          <w:trHeight w:val="300"/>
        </w:trPr>
        <w:tc>
          <w:tcPr>
            <w:tcW w:w="734" w:type="pct"/>
            <w:vMerge/>
            <w:vAlign w:val="center"/>
            <w:hideMark/>
          </w:tcPr>
          <w:p w14:paraId="69EECB7C"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2087" w:type="pct"/>
            <w:vMerge/>
            <w:vAlign w:val="center"/>
            <w:hideMark/>
          </w:tcPr>
          <w:p w14:paraId="09013888"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538" w:type="pct"/>
            <w:shd w:val="clear" w:color="auto" w:fill="auto"/>
            <w:noWrap/>
            <w:vAlign w:val="center"/>
            <w:hideMark/>
          </w:tcPr>
          <w:p w14:paraId="0EE25CC7"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Gradnje</w:t>
            </w:r>
          </w:p>
        </w:tc>
        <w:tc>
          <w:tcPr>
            <w:tcW w:w="658" w:type="pct"/>
            <w:shd w:val="clear" w:color="auto" w:fill="auto"/>
            <w:noWrap/>
            <w:vAlign w:val="center"/>
            <w:hideMark/>
          </w:tcPr>
          <w:p w14:paraId="1D0DE795"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1.018</w:t>
            </w:r>
          </w:p>
        </w:tc>
        <w:tc>
          <w:tcPr>
            <w:tcW w:w="982" w:type="pct"/>
            <w:shd w:val="clear" w:color="auto" w:fill="auto"/>
            <w:noWrap/>
            <w:vAlign w:val="center"/>
            <w:hideMark/>
          </w:tcPr>
          <w:p w14:paraId="3979F5D4"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554.377.532</w:t>
            </w:r>
          </w:p>
        </w:tc>
      </w:tr>
      <w:tr w:rsidR="00E3750C" w:rsidRPr="006A471C" w14:paraId="72636D1C" w14:textId="77777777" w:rsidTr="00047864">
        <w:trPr>
          <w:trHeight w:val="300"/>
        </w:trPr>
        <w:tc>
          <w:tcPr>
            <w:tcW w:w="734" w:type="pct"/>
            <w:vMerge/>
            <w:vAlign w:val="center"/>
            <w:hideMark/>
          </w:tcPr>
          <w:p w14:paraId="0D2940E0" w14:textId="77777777" w:rsidR="00E3750C" w:rsidRPr="006A471C" w:rsidRDefault="00E3750C" w:rsidP="00047864">
            <w:pPr>
              <w:spacing w:after="0" w:line="240" w:lineRule="auto"/>
              <w:rPr>
                <w:rFonts w:ascii="Calibri" w:eastAsia="Times New Roman" w:hAnsi="Calibri" w:cs="Calibri"/>
                <w:color w:val="000000"/>
                <w:lang w:eastAsia="sl-SI"/>
              </w:rPr>
            </w:pPr>
          </w:p>
        </w:tc>
        <w:tc>
          <w:tcPr>
            <w:tcW w:w="2087" w:type="pct"/>
            <w:vMerge w:val="restart"/>
            <w:shd w:val="clear" w:color="auto" w:fill="auto"/>
            <w:noWrap/>
            <w:vAlign w:val="center"/>
            <w:hideMark/>
          </w:tcPr>
          <w:p w14:paraId="02AA895A"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Postopek s pogajanji brez predhodne objave</w:t>
            </w:r>
          </w:p>
        </w:tc>
        <w:tc>
          <w:tcPr>
            <w:tcW w:w="538" w:type="pct"/>
            <w:shd w:val="clear" w:color="auto" w:fill="auto"/>
            <w:noWrap/>
            <w:vAlign w:val="center"/>
            <w:hideMark/>
          </w:tcPr>
          <w:p w14:paraId="6363E91B"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Blago</w:t>
            </w:r>
          </w:p>
        </w:tc>
        <w:tc>
          <w:tcPr>
            <w:tcW w:w="658" w:type="pct"/>
            <w:shd w:val="clear" w:color="auto" w:fill="auto"/>
            <w:noWrap/>
            <w:vAlign w:val="center"/>
            <w:hideMark/>
          </w:tcPr>
          <w:p w14:paraId="0AF29F7C"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159</w:t>
            </w:r>
          </w:p>
        </w:tc>
        <w:tc>
          <w:tcPr>
            <w:tcW w:w="982" w:type="pct"/>
            <w:shd w:val="clear" w:color="auto" w:fill="auto"/>
            <w:noWrap/>
            <w:vAlign w:val="center"/>
            <w:hideMark/>
          </w:tcPr>
          <w:p w14:paraId="18DD0708"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70.433.567</w:t>
            </w:r>
          </w:p>
        </w:tc>
      </w:tr>
      <w:tr w:rsidR="00E3750C" w:rsidRPr="006A471C" w14:paraId="45E11995" w14:textId="77777777" w:rsidTr="00047864">
        <w:trPr>
          <w:trHeight w:val="300"/>
        </w:trPr>
        <w:tc>
          <w:tcPr>
            <w:tcW w:w="734" w:type="pct"/>
            <w:vMerge/>
            <w:vAlign w:val="center"/>
            <w:hideMark/>
          </w:tcPr>
          <w:p w14:paraId="6B5DB5A5" w14:textId="77777777" w:rsidR="00E3750C" w:rsidRPr="006A471C" w:rsidRDefault="00E3750C" w:rsidP="00047864">
            <w:pPr>
              <w:spacing w:after="0" w:line="240" w:lineRule="auto"/>
              <w:rPr>
                <w:rFonts w:ascii="Calibri" w:eastAsia="Times New Roman" w:hAnsi="Calibri" w:cs="Calibri"/>
                <w:color w:val="000000"/>
                <w:lang w:eastAsia="sl-SI"/>
              </w:rPr>
            </w:pPr>
          </w:p>
        </w:tc>
        <w:tc>
          <w:tcPr>
            <w:tcW w:w="2087" w:type="pct"/>
            <w:vMerge/>
            <w:vAlign w:val="center"/>
            <w:hideMark/>
          </w:tcPr>
          <w:p w14:paraId="050E5921"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538" w:type="pct"/>
            <w:shd w:val="clear" w:color="auto" w:fill="auto"/>
            <w:noWrap/>
            <w:vAlign w:val="center"/>
            <w:hideMark/>
          </w:tcPr>
          <w:p w14:paraId="127E06E8"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Storitve</w:t>
            </w:r>
          </w:p>
        </w:tc>
        <w:tc>
          <w:tcPr>
            <w:tcW w:w="658" w:type="pct"/>
            <w:shd w:val="clear" w:color="auto" w:fill="auto"/>
            <w:noWrap/>
            <w:vAlign w:val="center"/>
            <w:hideMark/>
          </w:tcPr>
          <w:p w14:paraId="07DBA370"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251</w:t>
            </w:r>
          </w:p>
        </w:tc>
        <w:tc>
          <w:tcPr>
            <w:tcW w:w="982" w:type="pct"/>
            <w:shd w:val="clear" w:color="auto" w:fill="auto"/>
            <w:noWrap/>
            <w:vAlign w:val="center"/>
            <w:hideMark/>
          </w:tcPr>
          <w:p w14:paraId="1019B929"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102.398.350</w:t>
            </w:r>
          </w:p>
        </w:tc>
      </w:tr>
      <w:tr w:rsidR="00E3750C" w:rsidRPr="006A471C" w14:paraId="5E3BDFB3" w14:textId="77777777" w:rsidTr="00047864">
        <w:trPr>
          <w:trHeight w:val="300"/>
        </w:trPr>
        <w:tc>
          <w:tcPr>
            <w:tcW w:w="734" w:type="pct"/>
            <w:vMerge/>
            <w:vAlign w:val="center"/>
            <w:hideMark/>
          </w:tcPr>
          <w:p w14:paraId="679F521A" w14:textId="77777777" w:rsidR="00E3750C" w:rsidRPr="006A471C" w:rsidRDefault="00E3750C" w:rsidP="00047864">
            <w:pPr>
              <w:spacing w:after="0" w:line="240" w:lineRule="auto"/>
              <w:rPr>
                <w:rFonts w:ascii="Calibri" w:eastAsia="Times New Roman" w:hAnsi="Calibri" w:cs="Calibri"/>
                <w:color w:val="000000"/>
                <w:lang w:eastAsia="sl-SI"/>
              </w:rPr>
            </w:pPr>
          </w:p>
        </w:tc>
        <w:tc>
          <w:tcPr>
            <w:tcW w:w="2087" w:type="pct"/>
            <w:vMerge/>
            <w:vAlign w:val="center"/>
            <w:hideMark/>
          </w:tcPr>
          <w:p w14:paraId="661D9BA4"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538" w:type="pct"/>
            <w:shd w:val="clear" w:color="auto" w:fill="auto"/>
            <w:noWrap/>
            <w:vAlign w:val="center"/>
            <w:hideMark/>
          </w:tcPr>
          <w:p w14:paraId="18E8C782"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Gradnje</w:t>
            </w:r>
          </w:p>
        </w:tc>
        <w:tc>
          <w:tcPr>
            <w:tcW w:w="658" w:type="pct"/>
            <w:shd w:val="clear" w:color="auto" w:fill="auto"/>
            <w:noWrap/>
            <w:vAlign w:val="center"/>
            <w:hideMark/>
          </w:tcPr>
          <w:p w14:paraId="353A9367"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28</w:t>
            </w:r>
          </w:p>
        </w:tc>
        <w:tc>
          <w:tcPr>
            <w:tcW w:w="982" w:type="pct"/>
            <w:shd w:val="clear" w:color="auto" w:fill="auto"/>
            <w:noWrap/>
            <w:vAlign w:val="center"/>
            <w:hideMark/>
          </w:tcPr>
          <w:p w14:paraId="2335B3B5"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29.370.547</w:t>
            </w:r>
          </w:p>
        </w:tc>
      </w:tr>
      <w:tr w:rsidR="00E3750C" w:rsidRPr="006A471C" w14:paraId="6CD39440" w14:textId="77777777" w:rsidTr="00047864">
        <w:trPr>
          <w:trHeight w:val="300"/>
        </w:trPr>
        <w:tc>
          <w:tcPr>
            <w:tcW w:w="734" w:type="pct"/>
            <w:vMerge w:val="restart"/>
            <w:shd w:val="clear" w:color="auto" w:fill="auto"/>
            <w:noWrap/>
            <w:vAlign w:val="center"/>
            <w:hideMark/>
          </w:tcPr>
          <w:p w14:paraId="3A01B1AA"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Infrastrukturno</w:t>
            </w:r>
          </w:p>
        </w:tc>
        <w:tc>
          <w:tcPr>
            <w:tcW w:w="2087" w:type="pct"/>
            <w:vMerge w:val="restart"/>
            <w:shd w:val="clear" w:color="auto" w:fill="auto"/>
            <w:noWrap/>
            <w:vAlign w:val="center"/>
            <w:hideMark/>
          </w:tcPr>
          <w:p w14:paraId="6E09A637"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Konkurenčni dialog</w:t>
            </w:r>
          </w:p>
        </w:tc>
        <w:tc>
          <w:tcPr>
            <w:tcW w:w="538" w:type="pct"/>
            <w:shd w:val="clear" w:color="auto" w:fill="auto"/>
            <w:noWrap/>
            <w:vAlign w:val="center"/>
            <w:hideMark/>
          </w:tcPr>
          <w:p w14:paraId="033A758F"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Blago</w:t>
            </w:r>
          </w:p>
        </w:tc>
        <w:tc>
          <w:tcPr>
            <w:tcW w:w="658" w:type="pct"/>
            <w:shd w:val="clear" w:color="auto" w:fill="auto"/>
            <w:noWrap/>
            <w:vAlign w:val="center"/>
            <w:hideMark/>
          </w:tcPr>
          <w:p w14:paraId="74BC9FE0"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9</w:t>
            </w:r>
          </w:p>
        </w:tc>
        <w:tc>
          <w:tcPr>
            <w:tcW w:w="982" w:type="pct"/>
            <w:shd w:val="clear" w:color="auto" w:fill="auto"/>
            <w:noWrap/>
            <w:vAlign w:val="center"/>
            <w:hideMark/>
          </w:tcPr>
          <w:p w14:paraId="034E45AC"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2.587.597</w:t>
            </w:r>
          </w:p>
        </w:tc>
      </w:tr>
      <w:tr w:rsidR="00E3750C" w:rsidRPr="006A471C" w14:paraId="7EC1AB12" w14:textId="77777777" w:rsidTr="00047864">
        <w:trPr>
          <w:trHeight w:val="300"/>
        </w:trPr>
        <w:tc>
          <w:tcPr>
            <w:tcW w:w="734" w:type="pct"/>
            <w:vMerge/>
            <w:vAlign w:val="center"/>
            <w:hideMark/>
          </w:tcPr>
          <w:p w14:paraId="0BEB4102"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2087" w:type="pct"/>
            <w:vMerge/>
            <w:vAlign w:val="center"/>
            <w:hideMark/>
          </w:tcPr>
          <w:p w14:paraId="5B29A78B"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538" w:type="pct"/>
            <w:shd w:val="clear" w:color="auto" w:fill="auto"/>
            <w:noWrap/>
            <w:vAlign w:val="center"/>
            <w:hideMark/>
          </w:tcPr>
          <w:p w14:paraId="680D53B7"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Storitve</w:t>
            </w:r>
          </w:p>
        </w:tc>
        <w:tc>
          <w:tcPr>
            <w:tcW w:w="658" w:type="pct"/>
            <w:shd w:val="clear" w:color="auto" w:fill="auto"/>
            <w:noWrap/>
            <w:vAlign w:val="center"/>
            <w:hideMark/>
          </w:tcPr>
          <w:p w14:paraId="6251739D"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6</w:t>
            </w:r>
          </w:p>
        </w:tc>
        <w:tc>
          <w:tcPr>
            <w:tcW w:w="982" w:type="pct"/>
            <w:shd w:val="clear" w:color="auto" w:fill="auto"/>
            <w:noWrap/>
            <w:vAlign w:val="center"/>
            <w:hideMark/>
          </w:tcPr>
          <w:p w14:paraId="69CD2998"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474.922</w:t>
            </w:r>
          </w:p>
        </w:tc>
      </w:tr>
      <w:tr w:rsidR="00E3750C" w:rsidRPr="006A471C" w14:paraId="657B1C03" w14:textId="77777777" w:rsidTr="00047864">
        <w:trPr>
          <w:trHeight w:val="300"/>
        </w:trPr>
        <w:tc>
          <w:tcPr>
            <w:tcW w:w="734" w:type="pct"/>
            <w:vMerge/>
            <w:vAlign w:val="center"/>
            <w:hideMark/>
          </w:tcPr>
          <w:p w14:paraId="66CCBF3B"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2087" w:type="pct"/>
            <w:vMerge/>
            <w:vAlign w:val="center"/>
            <w:hideMark/>
          </w:tcPr>
          <w:p w14:paraId="57D137A3"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538" w:type="pct"/>
            <w:shd w:val="clear" w:color="auto" w:fill="auto"/>
            <w:noWrap/>
            <w:vAlign w:val="center"/>
            <w:hideMark/>
          </w:tcPr>
          <w:p w14:paraId="10505610"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Gradnje</w:t>
            </w:r>
          </w:p>
        </w:tc>
        <w:tc>
          <w:tcPr>
            <w:tcW w:w="658" w:type="pct"/>
            <w:shd w:val="clear" w:color="auto" w:fill="auto"/>
            <w:noWrap/>
            <w:vAlign w:val="center"/>
            <w:hideMark/>
          </w:tcPr>
          <w:p w14:paraId="7502623A"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3</w:t>
            </w:r>
          </w:p>
        </w:tc>
        <w:tc>
          <w:tcPr>
            <w:tcW w:w="982" w:type="pct"/>
            <w:shd w:val="clear" w:color="auto" w:fill="auto"/>
            <w:noWrap/>
            <w:vAlign w:val="center"/>
            <w:hideMark/>
          </w:tcPr>
          <w:p w14:paraId="777F30AC"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22.541.153</w:t>
            </w:r>
          </w:p>
        </w:tc>
      </w:tr>
      <w:tr w:rsidR="00E3750C" w:rsidRPr="006A471C" w14:paraId="7A456B59" w14:textId="77777777" w:rsidTr="00047864">
        <w:trPr>
          <w:trHeight w:val="300"/>
        </w:trPr>
        <w:tc>
          <w:tcPr>
            <w:tcW w:w="734" w:type="pct"/>
            <w:vMerge/>
            <w:vAlign w:val="center"/>
            <w:hideMark/>
          </w:tcPr>
          <w:p w14:paraId="3EEE7DBA"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2087" w:type="pct"/>
            <w:vMerge w:val="restart"/>
            <w:shd w:val="clear" w:color="auto" w:fill="auto"/>
            <w:noWrap/>
            <w:vAlign w:val="center"/>
            <w:hideMark/>
          </w:tcPr>
          <w:p w14:paraId="5E5A0BDB"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Odprti postopek</w:t>
            </w:r>
          </w:p>
        </w:tc>
        <w:tc>
          <w:tcPr>
            <w:tcW w:w="538" w:type="pct"/>
            <w:shd w:val="clear" w:color="auto" w:fill="auto"/>
            <w:noWrap/>
            <w:vAlign w:val="center"/>
            <w:hideMark/>
          </w:tcPr>
          <w:p w14:paraId="3F85AEBE"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Blago</w:t>
            </w:r>
          </w:p>
        </w:tc>
        <w:tc>
          <w:tcPr>
            <w:tcW w:w="658" w:type="pct"/>
            <w:shd w:val="clear" w:color="auto" w:fill="auto"/>
            <w:noWrap/>
            <w:vAlign w:val="center"/>
            <w:hideMark/>
          </w:tcPr>
          <w:p w14:paraId="068D953B"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97</w:t>
            </w:r>
          </w:p>
        </w:tc>
        <w:tc>
          <w:tcPr>
            <w:tcW w:w="982" w:type="pct"/>
            <w:shd w:val="clear" w:color="auto" w:fill="auto"/>
            <w:noWrap/>
            <w:vAlign w:val="center"/>
            <w:hideMark/>
          </w:tcPr>
          <w:p w14:paraId="00A2A29F"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137.048.087</w:t>
            </w:r>
          </w:p>
        </w:tc>
      </w:tr>
      <w:tr w:rsidR="00E3750C" w:rsidRPr="006A471C" w14:paraId="642CA607" w14:textId="77777777" w:rsidTr="00047864">
        <w:trPr>
          <w:trHeight w:val="300"/>
        </w:trPr>
        <w:tc>
          <w:tcPr>
            <w:tcW w:w="734" w:type="pct"/>
            <w:vMerge/>
            <w:vAlign w:val="center"/>
            <w:hideMark/>
          </w:tcPr>
          <w:p w14:paraId="54344160"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2087" w:type="pct"/>
            <w:vMerge/>
            <w:vAlign w:val="center"/>
            <w:hideMark/>
          </w:tcPr>
          <w:p w14:paraId="73BCD19E"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538" w:type="pct"/>
            <w:shd w:val="clear" w:color="auto" w:fill="auto"/>
            <w:noWrap/>
            <w:vAlign w:val="center"/>
            <w:hideMark/>
          </w:tcPr>
          <w:p w14:paraId="2DC2A11F"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Storitve</w:t>
            </w:r>
          </w:p>
        </w:tc>
        <w:tc>
          <w:tcPr>
            <w:tcW w:w="658" w:type="pct"/>
            <w:shd w:val="clear" w:color="auto" w:fill="auto"/>
            <w:noWrap/>
            <w:vAlign w:val="center"/>
            <w:hideMark/>
          </w:tcPr>
          <w:p w14:paraId="1EABEC85"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64</w:t>
            </w:r>
          </w:p>
        </w:tc>
        <w:tc>
          <w:tcPr>
            <w:tcW w:w="982" w:type="pct"/>
            <w:shd w:val="clear" w:color="auto" w:fill="auto"/>
            <w:noWrap/>
            <w:vAlign w:val="center"/>
            <w:hideMark/>
          </w:tcPr>
          <w:p w14:paraId="449D5E04"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205.242.700</w:t>
            </w:r>
          </w:p>
        </w:tc>
      </w:tr>
      <w:tr w:rsidR="00E3750C" w:rsidRPr="006A471C" w14:paraId="31065E9C" w14:textId="77777777" w:rsidTr="00047864">
        <w:trPr>
          <w:trHeight w:val="300"/>
        </w:trPr>
        <w:tc>
          <w:tcPr>
            <w:tcW w:w="734" w:type="pct"/>
            <w:vMerge/>
            <w:vAlign w:val="center"/>
            <w:hideMark/>
          </w:tcPr>
          <w:p w14:paraId="1FEA4DEF"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2087" w:type="pct"/>
            <w:vMerge/>
            <w:vAlign w:val="center"/>
            <w:hideMark/>
          </w:tcPr>
          <w:p w14:paraId="7ABC992C"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538" w:type="pct"/>
            <w:shd w:val="clear" w:color="auto" w:fill="auto"/>
            <w:noWrap/>
            <w:vAlign w:val="center"/>
            <w:hideMark/>
          </w:tcPr>
          <w:p w14:paraId="304D1489"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Gradnje</w:t>
            </w:r>
          </w:p>
        </w:tc>
        <w:tc>
          <w:tcPr>
            <w:tcW w:w="658" w:type="pct"/>
            <w:shd w:val="clear" w:color="auto" w:fill="auto"/>
            <w:noWrap/>
            <w:vAlign w:val="center"/>
            <w:hideMark/>
          </w:tcPr>
          <w:p w14:paraId="1819A6CF"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16</w:t>
            </w:r>
          </w:p>
        </w:tc>
        <w:tc>
          <w:tcPr>
            <w:tcW w:w="982" w:type="pct"/>
            <w:shd w:val="clear" w:color="auto" w:fill="auto"/>
            <w:noWrap/>
            <w:vAlign w:val="center"/>
            <w:hideMark/>
          </w:tcPr>
          <w:p w14:paraId="2B212147"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29.610.945</w:t>
            </w:r>
          </w:p>
        </w:tc>
      </w:tr>
      <w:tr w:rsidR="00E3750C" w:rsidRPr="006A471C" w14:paraId="36F1E84D" w14:textId="77777777" w:rsidTr="00047864">
        <w:trPr>
          <w:trHeight w:val="300"/>
        </w:trPr>
        <w:tc>
          <w:tcPr>
            <w:tcW w:w="734" w:type="pct"/>
            <w:vMerge/>
            <w:vAlign w:val="center"/>
            <w:hideMark/>
          </w:tcPr>
          <w:p w14:paraId="5C685AE4"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2087" w:type="pct"/>
            <w:shd w:val="clear" w:color="auto" w:fill="auto"/>
            <w:noWrap/>
            <w:vAlign w:val="center"/>
            <w:hideMark/>
          </w:tcPr>
          <w:p w14:paraId="2A73BCF6"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Omejeni postopek</w:t>
            </w:r>
          </w:p>
        </w:tc>
        <w:tc>
          <w:tcPr>
            <w:tcW w:w="538" w:type="pct"/>
            <w:shd w:val="clear" w:color="auto" w:fill="auto"/>
            <w:noWrap/>
            <w:vAlign w:val="center"/>
            <w:hideMark/>
          </w:tcPr>
          <w:p w14:paraId="352504EE"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Blago</w:t>
            </w:r>
          </w:p>
        </w:tc>
        <w:tc>
          <w:tcPr>
            <w:tcW w:w="658" w:type="pct"/>
            <w:shd w:val="clear" w:color="auto" w:fill="auto"/>
            <w:noWrap/>
            <w:vAlign w:val="center"/>
            <w:hideMark/>
          </w:tcPr>
          <w:p w14:paraId="683AF6F3"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3</w:t>
            </w:r>
          </w:p>
        </w:tc>
        <w:tc>
          <w:tcPr>
            <w:tcW w:w="982" w:type="pct"/>
            <w:shd w:val="clear" w:color="auto" w:fill="auto"/>
            <w:noWrap/>
            <w:vAlign w:val="center"/>
            <w:hideMark/>
          </w:tcPr>
          <w:p w14:paraId="3920B5F9"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1.544.540</w:t>
            </w:r>
          </w:p>
        </w:tc>
      </w:tr>
      <w:tr w:rsidR="00E3750C" w:rsidRPr="006A471C" w14:paraId="2F2B0CC5" w14:textId="77777777" w:rsidTr="00047864">
        <w:trPr>
          <w:trHeight w:val="300"/>
        </w:trPr>
        <w:tc>
          <w:tcPr>
            <w:tcW w:w="734" w:type="pct"/>
            <w:vMerge/>
            <w:vAlign w:val="center"/>
            <w:hideMark/>
          </w:tcPr>
          <w:p w14:paraId="79699973"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2087" w:type="pct"/>
            <w:vMerge w:val="restart"/>
            <w:shd w:val="clear" w:color="auto" w:fill="auto"/>
            <w:noWrap/>
            <w:vAlign w:val="center"/>
            <w:hideMark/>
          </w:tcPr>
          <w:p w14:paraId="6330DBEB"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Postopek naročila male vrednosti</w:t>
            </w:r>
          </w:p>
        </w:tc>
        <w:tc>
          <w:tcPr>
            <w:tcW w:w="538" w:type="pct"/>
            <w:shd w:val="clear" w:color="auto" w:fill="auto"/>
            <w:noWrap/>
            <w:vAlign w:val="center"/>
            <w:hideMark/>
          </w:tcPr>
          <w:p w14:paraId="6471AC0C"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Blago</w:t>
            </w:r>
          </w:p>
        </w:tc>
        <w:tc>
          <w:tcPr>
            <w:tcW w:w="658" w:type="pct"/>
            <w:shd w:val="clear" w:color="auto" w:fill="auto"/>
            <w:noWrap/>
            <w:vAlign w:val="center"/>
            <w:hideMark/>
          </w:tcPr>
          <w:p w14:paraId="77E234DA"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309</w:t>
            </w:r>
          </w:p>
        </w:tc>
        <w:tc>
          <w:tcPr>
            <w:tcW w:w="982" w:type="pct"/>
            <w:shd w:val="clear" w:color="auto" w:fill="auto"/>
            <w:noWrap/>
            <w:vAlign w:val="center"/>
            <w:hideMark/>
          </w:tcPr>
          <w:p w14:paraId="3C128FFF"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47.326.593</w:t>
            </w:r>
          </w:p>
        </w:tc>
      </w:tr>
      <w:tr w:rsidR="00E3750C" w:rsidRPr="006A471C" w14:paraId="5E489250" w14:textId="77777777" w:rsidTr="00047864">
        <w:trPr>
          <w:trHeight w:val="300"/>
        </w:trPr>
        <w:tc>
          <w:tcPr>
            <w:tcW w:w="734" w:type="pct"/>
            <w:vMerge/>
            <w:vAlign w:val="center"/>
            <w:hideMark/>
          </w:tcPr>
          <w:p w14:paraId="2195A0F5"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2087" w:type="pct"/>
            <w:vMerge/>
            <w:vAlign w:val="center"/>
            <w:hideMark/>
          </w:tcPr>
          <w:p w14:paraId="044CA41C"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538" w:type="pct"/>
            <w:shd w:val="clear" w:color="auto" w:fill="auto"/>
            <w:noWrap/>
            <w:vAlign w:val="center"/>
            <w:hideMark/>
          </w:tcPr>
          <w:p w14:paraId="0B407621"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Storitve</w:t>
            </w:r>
          </w:p>
        </w:tc>
        <w:tc>
          <w:tcPr>
            <w:tcW w:w="658" w:type="pct"/>
            <w:shd w:val="clear" w:color="auto" w:fill="auto"/>
            <w:noWrap/>
            <w:vAlign w:val="center"/>
            <w:hideMark/>
          </w:tcPr>
          <w:p w14:paraId="43008D0E"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220</w:t>
            </w:r>
          </w:p>
        </w:tc>
        <w:tc>
          <w:tcPr>
            <w:tcW w:w="982" w:type="pct"/>
            <w:shd w:val="clear" w:color="auto" w:fill="auto"/>
            <w:noWrap/>
            <w:vAlign w:val="center"/>
            <w:hideMark/>
          </w:tcPr>
          <w:p w14:paraId="07302D5A"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34.925.199</w:t>
            </w:r>
          </w:p>
        </w:tc>
      </w:tr>
      <w:tr w:rsidR="00E3750C" w:rsidRPr="006A471C" w14:paraId="4C1BC063" w14:textId="77777777" w:rsidTr="00047864">
        <w:trPr>
          <w:trHeight w:val="300"/>
        </w:trPr>
        <w:tc>
          <w:tcPr>
            <w:tcW w:w="734" w:type="pct"/>
            <w:vMerge/>
            <w:vAlign w:val="center"/>
            <w:hideMark/>
          </w:tcPr>
          <w:p w14:paraId="2121DEE1"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2087" w:type="pct"/>
            <w:vMerge/>
            <w:vAlign w:val="center"/>
            <w:hideMark/>
          </w:tcPr>
          <w:p w14:paraId="2B703315"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538" w:type="pct"/>
            <w:shd w:val="clear" w:color="auto" w:fill="auto"/>
            <w:noWrap/>
            <w:vAlign w:val="center"/>
            <w:hideMark/>
          </w:tcPr>
          <w:p w14:paraId="0A648233"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Gradnje</w:t>
            </w:r>
          </w:p>
        </w:tc>
        <w:tc>
          <w:tcPr>
            <w:tcW w:w="658" w:type="pct"/>
            <w:shd w:val="clear" w:color="auto" w:fill="auto"/>
            <w:noWrap/>
            <w:vAlign w:val="center"/>
            <w:hideMark/>
          </w:tcPr>
          <w:p w14:paraId="4CE3A2A3"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101</w:t>
            </w:r>
          </w:p>
        </w:tc>
        <w:tc>
          <w:tcPr>
            <w:tcW w:w="982" w:type="pct"/>
            <w:shd w:val="clear" w:color="auto" w:fill="auto"/>
            <w:noWrap/>
            <w:vAlign w:val="center"/>
            <w:hideMark/>
          </w:tcPr>
          <w:p w14:paraId="53E32553"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40.367.827</w:t>
            </w:r>
          </w:p>
        </w:tc>
      </w:tr>
      <w:tr w:rsidR="00E3750C" w:rsidRPr="006A471C" w14:paraId="4E45961E" w14:textId="77777777" w:rsidTr="00047864">
        <w:trPr>
          <w:trHeight w:val="300"/>
        </w:trPr>
        <w:tc>
          <w:tcPr>
            <w:tcW w:w="734" w:type="pct"/>
            <w:vMerge/>
            <w:vAlign w:val="center"/>
            <w:hideMark/>
          </w:tcPr>
          <w:p w14:paraId="5FB06AA2"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2087" w:type="pct"/>
            <w:vMerge w:val="restart"/>
            <w:shd w:val="clear" w:color="auto" w:fill="auto"/>
            <w:noWrap/>
            <w:vAlign w:val="center"/>
            <w:hideMark/>
          </w:tcPr>
          <w:p w14:paraId="0DF7AC6F"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Postopek s pogajanji brez predhodne objave</w:t>
            </w:r>
          </w:p>
        </w:tc>
        <w:tc>
          <w:tcPr>
            <w:tcW w:w="538" w:type="pct"/>
            <w:shd w:val="clear" w:color="auto" w:fill="auto"/>
            <w:noWrap/>
            <w:vAlign w:val="center"/>
            <w:hideMark/>
          </w:tcPr>
          <w:p w14:paraId="719EE128"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Blago</w:t>
            </w:r>
          </w:p>
        </w:tc>
        <w:tc>
          <w:tcPr>
            <w:tcW w:w="658" w:type="pct"/>
            <w:shd w:val="clear" w:color="auto" w:fill="auto"/>
            <w:noWrap/>
            <w:vAlign w:val="center"/>
            <w:hideMark/>
          </w:tcPr>
          <w:p w14:paraId="7730BCA1"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92</w:t>
            </w:r>
          </w:p>
        </w:tc>
        <w:tc>
          <w:tcPr>
            <w:tcW w:w="982" w:type="pct"/>
            <w:shd w:val="clear" w:color="auto" w:fill="auto"/>
            <w:noWrap/>
            <w:vAlign w:val="center"/>
            <w:hideMark/>
          </w:tcPr>
          <w:p w14:paraId="23C16B7E"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34.791.266</w:t>
            </w:r>
          </w:p>
        </w:tc>
      </w:tr>
      <w:tr w:rsidR="00E3750C" w:rsidRPr="006A471C" w14:paraId="74F2A84F" w14:textId="77777777" w:rsidTr="00047864">
        <w:trPr>
          <w:trHeight w:val="300"/>
        </w:trPr>
        <w:tc>
          <w:tcPr>
            <w:tcW w:w="734" w:type="pct"/>
            <w:vMerge/>
            <w:vAlign w:val="center"/>
            <w:hideMark/>
          </w:tcPr>
          <w:p w14:paraId="5E9CD277"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2087" w:type="pct"/>
            <w:vMerge/>
            <w:vAlign w:val="center"/>
            <w:hideMark/>
          </w:tcPr>
          <w:p w14:paraId="414309B4"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538" w:type="pct"/>
            <w:shd w:val="clear" w:color="auto" w:fill="auto"/>
            <w:noWrap/>
            <w:vAlign w:val="center"/>
            <w:hideMark/>
          </w:tcPr>
          <w:p w14:paraId="43D81C80"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Storitve</w:t>
            </w:r>
          </w:p>
        </w:tc>
        <w:tc>
          <w:tcPr>
            <w:tcW w:w="658" w:type="pct"/>
            <w:shd w:val="clear" w:color="auto" w:fill="auto"/>
            <w:noWrap/>
            <w:vAlign w:val="center"/>
            <w:hideMark/>
          </w:tcPr>
          <w:p w14:paraId="54CA39BC"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63</w:t>
            </w:r>
          </w:p>
        </w:tc>
        <w:tc>
          <w:tcPr>
            <w:tcW w:w="982" w:type="pct"/>
            <w:shd w:val="clear" w:color="auto" w:fill="auto"/>
            <w:noWrap/>
            <w:vAlign w:val="center"/>
            <w:hideMark/>
          </w:tcPr>
          <w:p w14:paraId="6D15B5F7"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25.771.959</w:t>
            </w:r>
          </w:p>
        </w:tc>
      </w:tr>
      <w:tr w:rsidR="00E3750C" w:rsidRPr="006A471C" w14:paraId="41C5D2DC" w14:textId="77777777" w:rsidTr="00047864">
        <w:trPr>
          <w:trHeight w:val="300"/>
        </w:trPr>
        <w:tc>
          <w:tcPr>
            <w:tcW w:w="734" w:type="pct"/>
            <w:vMerge/>
            <w:vAlign w:val="center"/>
            <w:hideMark/>
          </w:tcPr>
          <w:p w14:paraId="1C2FC7FA"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2087" w:type="pct"/>
            <w:vMerge/>
            <w:vAlign w:val="center"/>
            <w:hideMark/>
          </w:tcPr>
          <w:p w14:paraId="70177D3C"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538" w:type="pct"/>
            <w:shd w:val="clear" w:color="auto" w:fill="auto"/>
            <w:noWrap/>
            <w:vAlign w:val="center"/>
            <w:hideMark/>
          </w:tcPr>
          <w:p w14:paraId="502C6892"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Gradnje</w:t>
            </w:r>
          </w:p>
        </w:tc>
        <w:tc>
          <w:tcPr>
            <w:tcW w:w="658" w:type="pct"/>
            <w:shd w:val="clear" w:color="auto" w:fill="auto"/>
            <w:noWrap/>
            <w:vAlign w:val="center"/>
            <w:hideMark/>
          </w:tcPr>
          <w:p w14:paraId="52B499F5"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5</w:t>
            </w:r>
          </w:p>
        </w:tc>
        <w:tc>
          <w:tcPr>
            <w:tcW w:w="982" w:type="pct"/>
            <w:shd w:val="clear" w:color="auto" w:fill="auto"/>
            <w:noWrap/>
            <w:vAlign w:val="center"/>
            <w:hideMark/>
          </w:tcPr>
          <w:p w14:paraId="75831B93"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2.649.895</w:t>
            </w:r>
          </w:p>
        </w:tc>
      </w:tr>
      <w:tr w:rsidR="00E3750C" w:rsidRPr="006A471C" w14:paraId="1762A892" w14:textId="77777777" w:rsidTr="00047864">
        <w:trPr>
          <w:trHeight w:val="300"/>
        </w:trPr>
        <w:tc>
          <w:tcPr>
            <w:tcW w:w="734" w:type="pct"/>
            <w:vMerge/>
            <w:vAlign w:val="center"/>
            <w:hideMark/>
          </w:tcPr>
          <w:p w14:paraId="5D371085"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2087" w:type="pct"/>
            <w:vMerge w:val="restart"/>
            <w:shd w:val="clear" w:color="auto" w:fill="auto"/>
            <w:noWrap/>
            <w:vAlign w:val="center"/>
            <w:hideMark/>
          </w:tcPr>
          <w:p w14:paraId="2481ACEA"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Postopek s pogajanji po predhodni objavi</w:t>
            </w:r>
          </w:p>
        </w:tc>
        <w:tc>
          <w:tcPr>
            <w:tcW w:w="538" w:type="pct"/>
            <w:shd w:val="clear" w:color="auto" w:fill="auto"/>
            <w:noWrap/>
            <w:vAlign w:val="center"/>
            <w:hideMark/>
          </w:tcPr>
          <w:p w14:paraId="1DD34462"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Blago</w:t>
            </w:r>
          </w:p>
        </w:tc>
        <w:tc>
          <w:tcPr>
            <w:tcW w:w="658" w:type="pct"/>
            <w:shd w:val="clear" w:color="auto" w:fill="auto"/>
            <w:noWrap/>
            <w:vAlign w:val="center"/>
            <w:hideMark/>
          </w:tcPr>
          <w:p w14:paraId="4CF31FFE"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39</w:t>
            </w:r>
          </w:p>
        </w:tc>
        <w:tc>
          <w:tcPr>
            <w:tcW w:w="982" w:type="pct"/>
            <w:shd w:val="clear" w:color="auto" w:fill="auto"/>
            <w:noWrap/>
            <w:vAlign w:val="center"/>
            <w:hideMark/>
          </w:tcPr>
          <w:p w14:paraId="261F3C8D"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127.660.381</w:t>
            </w:r>
          </w:p>
        </w:tc>
      </w:tr>
      <w:tr w:rsidR="00E3750C" w:rsidRPr="006A471C" w14:paraId="3387F9F2" w14:textId="77777777" w:rsidTr="00047864">
        <w:trPr>
          <w:trHeight w:val="300"/>
        </w:trPr>
        <w:tc>
          <w:tcPr>
            <w:tcW w:w="734" w:type="pct"/>
            <w:vMerge/>
            <w:vAlign w:val="center"/>
            <w:hideMark/>
          </w:tcPr>
          <w:p w14:paraId="3EE9971F"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2087" w:type="pct"/>
            <w:vMerge/>
            <w:vAlign w:val="center"/>
            <w:hideMark/>
          </w:tcPr>
          <w:p w14:paraId="22574EF0"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538" w:type="pct"/>
            <w:shd w:val="clear" w:color="auto" w:fill="auto"/>
            <w:noWrap/>
            <w:vAlign w:val="center"/>
            <w:hideMark/>
          </w:tcPr>
          <w:p w14:paraId="0A7C1C64"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Storitve</w:t>
            </w:r>
          </w:p>
        </w:tc>
        <w:tc>
          <w:tcPr>
            <w:tcW w:w="658" w:type="pct"/>
            <w:shd w:val="clear" w:color="auto" w:fill="auto"/>
            <w:noWrap/>
            <w:vAlign w:val="center"/>
            <w:hideMark/>
          </w:tcPr>
          <w:p w14:paraId="5659DB94"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97</w:t>
            </w:r>
          </w:p>
        </w:tc>
        <w:tc>
          <w:tcPr>
            <w:tcW w:w="982" w:type="pct"/>
            <w:shd w:val="clear" w:color="auto" w:fill="auto"/>
            <w:noWrap/>
            <w:vAlign w:val="center"/>
            <w:hideMark/>
          </w:tcPr>
          <w:p w14:paraId="50499FE5"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118.957.079</w:t>
            </w:r>
          </w:p>
        </w:tc>
      </w:tr>
      <w:tr w:rsidR="00E3750C" w:rsidRPr="006A471C" w14:paraId="5FFC1C04" w14:textId="77777777" w:rsidTr="00047864">
        <w:trPr>
          <w:trHeight w:val="300"/>
        </w:trPr>
        <w:tc>
          <w:tcPr>
            <w:tcW w:w="734" w:type="pct"/>
            <w:vMerge/>
            <w:vAlign w:val="center"/>
            <w:hideMark/>
          </w:tcPr>
          <w:p w14:paraId="028C8605"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2087" w:type="pct"/>
            <w:vMerge/>
            <w:vAlign w:val="center"/>
            <w:hideMark/>
          </w:tcPr>
          <w:p w14:paraId="63FE1DC5"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538" w:type="pct"/>
            <w:shd w:val="clear" w:color="auto" w:fill="auto"/>
            <w:noWrap/>
            <w:vAlign w:val="center"/>
            <w:hideMark/>
          </w:tcPr>
          <w:p w14:paraId="26C8F200"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Gradnje</w:t>
            </w:r>
          </w:p>
        </w:tc>
        <w:tc>
          <w:tcPr>
            <w:tcW w:w="658" w:type="pct"/>
            <w:shd w:val="clear" w:color="auto" w:fill="auto"/>
            <w:noWrap/>
            <w:vAlign w:val="center"/>
            <w:hideMark/>
          </w:tcPr>
          <w:p w14:paraId="05F8B5E8"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7</w:t>
            </w:r>
          </w:p>
        </w:tc>
        <w:tc>
          <w:tcPr>
            <w:tcW w:w="982" w:type="pct"/>
            <w:shd w:val="clear" w:color="auto" w:fill="auto"/>
            <w:noWrap/>
            <w:vAlign w:val="center"/>
            <w:hideMark/>
          </w:tcPr>
          <w:p w14:paraId="316738D5"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19.231.018</w:t>
            </w:r>
          </w:p>
        </w:tc>
      </w:tr>
      <w:tr w:rsidR="00E3750C" w:rsidRPr="006A471C" w14:paraId="7FFB603D" w14:textId="77777777" w:rsidTr="00047864">
        <w:trPr>
          <w:trHeight w:val="300"/>
        </w:trPr>
        <w:tc>
          <w:tcPr>
            <w:tcW w:w="734" w:type="pct"/>
            <w:vMerge w:val="restart"/>
            <w:shd w:val="clear" w:color="auto" w:fill="auto"/>
            <w:noWrap/>
            <w:vAlign w:val="center"/>
            <w:hideMark/>
          </w:tcPr>
          <w:p w14:paraId="65CBC115"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Obrambno</w:t>
            </w:r>
          </w:p>
        </w:tc>
        <w:tc>
          <w:tcPr>
            <w:tcW w:w="2087" w:type="pct"/>
            <w:vMerge w:val="restart"/>
            <w:shd w:val="clear" w:color="auto" w:fill="auto"/>
            <w:noWrap/>
            <w:vAlign w:val="center"/>
            <w:hideMark/>
          </w:tcPr>
          <w:p w14:paraId="54BB3797"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Postopek s pogajanji brez predhodne objave</w:t>
            </w:r>
          </w:p>
        </w:tc>
        <w:tc>
          <w:tcPr>
            <w:tcW w:w="538" w:type="pct"/>
            <w:shd w:val="clear" w:color="auto" w:fill="auto"/>
            <w:noWrap/>
            <w:vAlign w:val="center"/>
            <w:hideMark/>
          </w:tcPr>
          <w:p w14:paraId="2D508A73"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Blago</w:t>
            </w:r>
          </w:p>
        </w:tc>
        <w:tc>
          <w:tcPr>
            <w:tcW w:w="658" w:type="pct"/>
            <w:shd w:val="clear" w:color="auto" w:fill="auto"/>
            <w:noWrap/>
            <w:vAlign w:val="center"/>
            <w:hideMark/>
          </w:tcPr>
          <w:p w14:paraId="05DC3B84"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25</w:t>
            </w:r>
          </w:p>
        </w:tc>
        <w:tc>
          <w:tcPr>
            <w:tcW w:w="982" w:type="pct"/>
            <w:shd w:val="clear" w:color="auto" w:fill="auto"/>
            <w:noWrap/>
            <w:vAlign w:val="center"/>
            <w:hideMark/>
          </w:tcPr>
          <w:p w14:paraId="6CE3F358"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18.276.245</w:t>
            </w:r>
          </w:p>
        </w:tc>
      </w:tr>
      <w:tr w:rsidR="00E3750C" w:rsidRPr="006A471C" w14:paraId="264AD68E" w14:textId="77777777" w:rsidTr="00047864">
        <w:trPr>
          <w:trHeight w:val="300"/>
        </w:trPr>
        <w:tc>
          <w:tcPr>
            <w:tcW w:w="734" w:type="pct"/>
            <w:vMerge/>
            <w:vAlign w:val="center"/>
            <w:hideMark/>
          </w:tcPr>
          <w:p w14:paraId="69A80C4D" w14:textId="77777777" w:rsidR="00E3750C" w:rsidRPr="006A471C" w:rsidRDefault="00E3750C" w:rsidP="00047864">
            <w:pPr>
              <w:spacing w:after="0" w:line="240" w:lineRule="auto"/>
              <w:rPr>
                <w:rFonts w:ascii="Calibri" w:eastAsia="Times New Roman" w:hAnsi="Calibri" w:cs="Calibri"/>
                <w:color w:val="000000"/>
                <w:lang w:eastAsia="sl-SI"/>
              </w:rPr>
            </w:pPr>
          </w:p>
        </w:tc>
        <w:tc>
          <w:tcPr>
            <w:tcW w:w="2087" w:type="pct"/>
            <w:vMerge/>
            <w:vAlign w:val="center"/>
            <w:hideMark/>
          </w:tcPr>
          <w:p w14:paraId="6EECE7D2"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538" w:type="pct"/>
            <w:shd w:val="clear" w:color="auto" w:fill="auto"/>
            <w:noWrap/>
            <w:vAlign w:val="center"/>
            <w:hideMark/>
          </w:tcPr>
          <w:p w14:paraId="11865B2D"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Storitve</w:t>
            </w:r>
          </w:p>
        </w:tc>
        <w:tc>
          <w:tcPr>
            <w:tcW w:w="658" w:type="pct"/>
            <w:shd w:val="clear" w:color="auto" w:fill="auto"/>
            <w:noWrap/>
            <w:vAlign w:val="center"/>
            <w:hideMark/>
          </w:tcPr>
          <w:p w14:paraId="6A6498CC"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13</w:t>
            </w:r>
          </w:p>
        </w:tc>
        <w:tc>
          <w:tcPr>
            <w:tcW w:w="982" w:type="pct"/>
            <w:shd w:val="clear" w:color="auto" w:fill="auto"/>
            <w:noWrap/>
            <w:vAlign w:val="center"/>
            <w:hideMark/>
          </w:tcPr>
          <w:p w14:paraId="3046C6F1"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3.217.933</w:t>
            </w:r>
          </w:p>
        </w:tc>
      </w:tr>
      <w:tr w:rsidR="00E3750C" w:rsidRPr="006A471C" w14:paraId="7023DCA4" w14:textId="77777777" w:rsidTr="00047864">
        <w:trPr>
          <w:trHeight w:val="300"/>
        </w:trPr>
        <w:tc>
          <w:tcPr>
            <w:tcW w:w="734" w:type="pct"/>
            <w:vMerge/>
            <w:vAlign w:val="center"/>
            <w:hideMark/>
          </w:tcPr>
          <w:p w14:paraId="2015D89C" w14:textId="77777777" w:rsidR="00E3750C" w:rsidRPr="006A471C" w:rsidRDefault="00E3750C" w:rsidP="00047864">
            <w:pPr>
              <w:spacing w:after="0" w:line="240" w:lineRule="auto"/>
              <w:rPr>
                <w:rFonts w:ascii="Calibri" w:eastAsia="Times New Roman" w:hAnsi="Calibri" w:cs="Calibri"/>
                <w:color w:val="000000"/>
                <w:lang w:eastAsia="sl-SI"/>
              </w:rPr>
            </w:pPr>
          </w:p>
        </w:tc>
        <w:tc>
          <w:tcPr>
            <w:tcW w:w="2087" w:type="pct"/>
            <w:vMerge/>
            <w:vAlign w:val="center"/>
            <w:hideMark/>
          </w:tcPr>
          <w:p w14:paraId="0123960B"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538" w:type="pct"/>
            <w:shd w:val="clear" w:color="auto" w:fill="auto"/>
            <w:noWrap/>
            <w:vAlign w:val="center"/>
            <w:hideMark/>
          </w:tcPr>
          <w:p w14:paraId="4D3FCE68"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Gradnje</w:t>
            </w:r>
          </w:p>
        </w:tc>
        <w:tc>
          <w:tcPr>
            <w:tcW w:w="658" w:type="pct"/>
            <w:shd w:val="clear" w:color="auto" w:fill="auto"/>
            <w:noWrap/>
            <w:vAlign w:val="center"/>
            <w:hideMark/>
          </w:tcPr>
          <w:p w14:paraId="23DE3E48"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2</w:t>
            </w:r>
          </w:p>
        </w:tc>
        <w:tc>
          <w:tcPr>
            <w:tcW w:w="982" w:type="pct"/>
            <w:shd w:val="clear" w:color="auto" w:fill="auto"/>
            <w:noWrap/>
            <w:vAlign w:val="center"/>
            <w:hideMark/>
          </w:tcPr>
          <w:p w14:paraId="20080E93"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113.305</w:t>
            </w:r>
          </w:p>
        </w:tc>
      </w:tr>
      <w:tr w:rsidR="00E3750C" w:rsidRPr="006A471C" w14:paraId="0C48EDD7" w14:textId="77777777" w:rsidTr="00047864">
        <w:trPr>
          <w:trHeight w:val="300"/>
        </w:trPr>
        <w:tc>
          <w:tcPr>
            <w:tcW w:w="734" w:type="pct"/>
            <w:vMerge/>
            <w:vAlign w:val="center"/>
            <w:hideMark/>
          </w:tcPr>
          <w:p w14:paraId="2AD4651C" w14:textId="77777777" w:rsidR="00E3750C" w:rsidRPr="006A471C" w:rsidRDefault="00E3750C" w:rsidP="00047864">
            <w:pPr>
              <w:spacing w:after="0" w:line="240" w:lineRule="auto"/>
              <w:rPr>
                <w:rFonts w:ascii="Calibri" w:eastAsia="Times New Roman" w:hAnsi="Calibri" w:cs="Calibri"/>
                <w:color w:val="000000"/>
                <w:lang w:eastAsia="sl-SI"/>
              </w:rPr>
            </w:pPr>
          </w:p>
        </w:tc>
        <w:tc>
          <w:tcPr>
            <w:tcW w:w="2087" w:type="pct"/>
            <w:vMerge w:val="restart"/>
            <w:shd w:val="clear" w:color="auto" w:fill="auto"/>
            <w:noWrap/>
            <w:vAlign w:val="center"/>
            <w:hideMark/>
          </w:tcPr>
          <w:p w14:paraId="31379B72"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Postopek s pogajanji po predhodni objavi</w:t>
            </w:r>
          </w:p>
        </w:tc>
        <w:tc>
          <w:tcPr>
            <w:tcW w:w="538" w:type="pct"/>
            <w:shd w:val="clear" w:color="auto" w:fill="auto"/>
            <w:noWrap/>
            <w:vAlign w:val="center"/>
            <w:hideMark/>
          </w:tcPr>
          <w:p w14:paraId="3D5327B3"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Blago</w:t>
            </w:r>
          </w:p>
        </w:tc>
        <w:tc>
          <w:tcPr>
            <w:tcW w:w="658" w:type="pct"/>
            <w:shd w:val="clear" w:color="auto" w:fill="auto"/>
            <w:noWrap/>
            <w:vAlign w:val="center"/>
            <w:hideMark/>
          </w:tcPr>
          <w:p w14:paraId="3A26DC36"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9</w:t>
            </w:r>
          </w:p>
        </w:tc>
        <w:tc>
          <w:tcPr>
            <w:tcW w:w="982" w:type="pct"/>
            <w:shd w:val="clear" w:color="auto" w:fill="auto"/>
            <w:noWrap/>
            <w:vAlign w:val="center"/>
            <w:hideMark/>
          </w:tcPr>
          <w:p w14:paraId="7FDAE9D1"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10.462.694</w:t>
            </w:r>
          </w:p>
        </w:tc>
      </w:tr>
      <w:tr w:rsidR="00E3750C" w:rsidRPr="006A471C" w14:paraId="7082941C" w14:textId="77777777" w:rsidTr="00047864">
        <w:trPr>
          <w:trHeight w:val="300"/>
        </w:trPr>
        <w:tc>
          <w:tcPr>
            <w:tcW w:w="734" w:type="pct"/>
            <w:vMerge/>
            <w:vAlign w:val="center"/>
            <w:hideMark/>
          </w:tcPr>
          <w:p w14:paraId="64D90EC5" w14:textId="77777777" w:rsidR="00E3750C" w:rsidRPr="006A471C" w:rsidRDefault="00E3750C" w:rsidP="00047864">
            <w:pPr>
              <w:spacing w:after="0" w:line="240" w:lineRule="auto"/>
              <w:rPr>
                <w:rFonts w:ascii="Calibri" w:eastAsia="Times New Roman" w:hAnsi="Calibri" w:cs="Calibri"/>
                <w:color w:val="000000"/>
                <w:lang w:eastAsia="sl-SI"/>
              </w:rPr>
            </w:pPr>
          </w:p>
        </w:tc>
        <w:tc>
          <w:tcPr>
            <w:tcW w:w="2087" w:type="pct"/>
            <w:vMerge/>
            <w:vAlign w:val="center"/>
            <w:hideMark/>
          </w:tcPr>
          <w:p w14:paraId="76188836"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538" w:type="pct"/>
            <w:shd w:val="clear" w:color="auto" w:fill="auto"/>
            <w:noWrap/>
            <w:vAlign w:val="center"/>
            <w:hideMark/>
          </w:tcPr>
          <w:p w14:paraId="262E67FF"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Storitve</w:t>
            </w:r>
          </w:p>
        </w:tc>
        <w:tc>
          <w:tcPr>
            <w:tcW w:w="658" w:type="pct"/>
            <w:shd w:val="clear" w:color="auto" w:fill="auto"/>
            <w:noWrap/>
            <w:vAlign w:val="center"/>
            <w:hideMark/>
          </w:tcPr>
          <w:p w14:paraId="5D585629"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9</w:t>
            </w:r>
          </w:p>
        </w:tc>
        <w:tc>
          <w:tcPr>
            <w:tcW w:w="982" w:type="pct"/>
            <w:shd w:val="clear" w:color="auto" w:fill="auto"/>
            <w:noWrap/>
            <w:vAlign w:val="center"/>
            <w:hideMark/>
          </w:tcPr>
          <w:p w14:paraId="20EE4966"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12.855.656</w:t>
            </w:r>
          </w:p>
        </w:tc>
      </w:tr>
      <w:tr w:rsidR="00E3750C" w:rsidRPr="006A471C" w14:paraId="26D40392" w14:textId="77777777" w:rsidTr="00047864">
        <w:trPr>
          <w:trHeight w:val="300"/>
        </w:trPr>
        <w:tc>
          <w:tcPr>
            <w:tcW w:w="734" w:type="pct"/>
            <w:vMerge/>
            <w:vAlign w:val="center"/>
            <w:hideMark/>
          </w:tcPr>
          <w:p w14:paraId="5C78F001" w14:textId="77777777" w:rsidR="00E3750C" w:rsidRPr="006A471C" w:rsidRDefault="00E3750C" w:rsidP="00047864">
            <w:pPr>
              <w:spacing w:after="0" w:line="240" w:lineRule="auto"/>
              <w:rPr>
                <w:rFonts w:ascii="Calibri" w:eastAsia="Times New Roman" w:hAnsi="Calibri" w:cs="Calibri"/>
                <w:color w:val="000000"/>
                <w:lang w:eastAsia="sl-SI"/>
              </w:rPr>
            </w:pPr>
          </w:p>
        </w:tc>
        <w:tc>
          <w:tcPr>
            <w:tcW w:w="2087" w:type="pct"/>
            <w:vMerge/>
            <w:vAlign w:val="center"/>
            <w:hideMark/>
          </w:tcPr>
          <w:p w14:paraId="269C3DB1"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538" w:type="pct"/>
            <w:shd w:val="clear" w:color="auto" w:fill="auto"/>
            <w:noWrap/>
            <w:vAlign w:val="center"/>
            <w:hideMark/>
          </w:tcPr>
          <w:p w14:paraId="52F77548"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Gradnje</w:t>
            </w:r>
          </w:p>
        </w:tc>
        <w:tc>
          <w:tcPr>
            <w:tcW w:w="658" w:type="pct"/>
            <w:shd w:val="clear" w:color="auto" w:fill="auto"/>
            <w:noWrap/>
            <w:vAlign w:val="center"/>
            <w:hideMark/>
          </w:tcPr>
          <w:p w14:paraId="7A5B3E05"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1</w:t>
            </w:r>
          </w:p>
        </w:tc>
        <w:tc>
          <w:tcPr>
            <w:tcW w:w="982" w:type="pct"/>
            <w:shd w:val="clear" w:color="auto" w:fill="auto"/>
            <w:noWrap/>
            <w:vAlign w:val="center"/>
            <w:hideMark/>
          </w:tcPr>
          <w:p w14:paraId="1967311E"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5.004.823</w:t>
            </w:r>
          </w:p>
        </w:tc>
      </w:tr>
      <w:tr w:rsidR="00E3750C" w:rsidRPr="006A471C" w14:paraId="4F71E124" w14:textId="77777777" w:rsidTr="00047864">
        <w:trPr>
          <w:trHeight w:val="300"/>
        </w:trPr>
        <w:tc>
          <w:tcPr>
            <w:tcW w:w="734" w:type="pct"/>
            <w:vMerge/>
            <w:vAlign w:val="center"/>
            <w:hideMark/>
          </w:tcPr>
          <w:p w14:paraId="2E99D04E" w14:textId="77777777" w:rsidR="00E3750C" w:rsidRPr="006A471C" w:rsidRDefault="00E3750C" w:rsidP="00047864">
            <w:pPr>
              <w:spacing w:after="0" w:line="240" w:lineRule="auto"/>
              <w:rPr>
                <w:rFonts w:ascii="Calibri" w:eastAsia="Times New Roman" w:hAnsi="Calibri" w:cs="Calibri"/>
                <w:color w:val="000000"/>
                <w:lang w:eastAsia="sl-SI"/>
              </w:rPr>
            </w:pPr>
          </w:p>
        </w:tc>
        <w:tc>
          <w:tcPr>
            <w:tcW w:w="2087" w:type="pct"/>
            <w:vMerge w:val="restart"/>
            <w:shd w:val="clear" w:color="auto" w:fill="auto"/>
            <w:noWrap/>
            <w:vAlign w:val="center"/>
            <w:hideMark/>
          </w:tcPr>
          <w:p w14:paraId="5DD91920"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Postopek zbiranja ponudb po predhodni objavi</w:t>
            </w:r>
          </w:p>
        </w:tc>
        <w:tc>
          <w:tcPr>
            <w:tcW w:w="538" w:type="pct"/>
            <w:shd w:val="clear" w:color="auto" w:fill="auto"/>
            <w:noWrap/>
            <w:vAlign w:val="center"/>
            <w:hideMark/>
          </w:tcPr>
          <w:p w14:paraId="6CA5C3D4"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Blago</w:t>
            </w:r>
          </w:p>
        </w:tc>
        <w:tc>
          <w:tcPr>
            <w:tcW w:w="658" w:type="pct"/>
            <w:shd w:val="clear" w:color="auto" w:fill="auto"/>
            <w:noWrap/>
            <w:vAlign w:val="center"/>
            <w:hideMark/>
          </w:tcPr>
          <w:p w14:paraId="2E5688BD"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14</w:t>
            </w:r>
          </w:p>
        </w:tc>
        <w:tc>
          <w:tcPr>
            <w:tcW w:w="982" w:type="pct"/>
            <w:shd w:val="clear" w:color="auto" w:fill="auto"/>
            <w:noWrap/>
            <w:vAlign w:val="center"/>
            <w:hideMark/>
          </w:tcPr>
          <w:p w14:paraId="48C883B7"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1.841.135</w:t>
            </w:r>
          </w:p>
        </w:tc>
      </w:tr>
      <w:tr w:rsidR="00E3750C" w:rsidRPr="006A471C" w14:paraId="38C6F706" w14:textId="77777777" w:rsidTr="00047864">
        <w:trPr>
          <w:trHeight w:val="300"/>
        </w:trPr>
        <w:tc>
          <w:tcPr>
            <w:tcW w:w="734" w:type="pct"/>
            <w:vMerge/>
            <w:vAlign w:val="center"/>
            <w:hideMark/>
          </w:tcPr>
          <w:p w14:paraId="5ED6FDDD" w14:textId="77777777" w:rsidR="00E3750C" w:rsidRPr="006A471C" w:rsidRDefault="00E3750C" w:rsidP="00047864">
            <w:pPr>
              <w:spacing w:after="0" w:line="240" w:lineRule="auto"/>
              <w:rPr>
                <w:rFonts w:ascii="Calibri" w:eastAsia="Times New Roman" w:hAnsi="Calibri" w:cs="Calibri"/>
                <w:color w:val="000000"/>
                <w:lang w:eastAsia="sl-SI"/>
              </w:rPr>
            </w:pPr>
          </w:p>
        </w:tc>
        <w:tc>
          <w:tcPr>
            <w:tcW w:w="2087" w:type="pct"/>
            <w:vMerge/>
            <w:vAlign w:val="center"/>
            <w:hideMark/>
          </w:tcPr>
          <w:p w14:paraId="78D5F4AD"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538" w:type="pct"/>
            <w:shd w:val="clear" w:color="auto" w:fill="auto"/>
            <w:noWrap/>
            <w:vAlign w:val="center"/>
            <w:hideMark/>
          </w:tcPr>
          <w:p w14:paraId="4318988B"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Storitve</w:t>
            </w:r>
          </w:p>
        </w:tc>
        <w:tc>
          <w:tcPr>
            <w:tcW w:w="658" w:type="pct"/>
            <w:shd w:val="clear" w:color="auto" w:fill="auto"/>
            <w:noWrap/>
            <w:vAlign w:val="center"/>
            <w:hideMark/>
          </w:tcPr>
          <w:p w14:paraId="21A0E48A"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10</w:t>
            </w:r>
          </w:p>
        </w:tc>
        <w:tc>
          <w:tcPr>
            <w:tcW w:w="982" w:type="pct"/>
            <w:shd w:val="clear" w:color="auto" w:fill="auto"/>
            <w:noWrap/>
            <w:vAlign w:val="center"/>
            <w:hideMark/>
          </w:tcPr>
          <w:p w14:paraId="346C4605"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1.997.360</w:t>
            </w:r>
          </w:p>
        </w:tc>
      </w:tr>
      <w:tr w:rsidR="00E3750C" w:rsidRPr="006A471C" w14:paraId="0BC4A55E" w14:textId="77777777" w:rsidTr="00047864">
        <w:trPr>
          <w:trHeight w:val="300"/>
        </w:trPr>
        <w:tc>
          <w:tcPr>
            <w:tcW w:w="734" w:type="pct"/>
            <w:vMerge/>
            <w:vAlign w:val="center"/>
            <w:hideMark/>
          </w:tcPr>
          <w:p w14:paraId="43FF666A" w14:textId="77777777" w:rsidR="00E3750C" w:rsidRPr="006A471C" w:rsidRDefault="00E3750C" w:rsidP="00047864">
            <w:pPr>
              <w:spacing w:after="0" w:line="240" w:lineRule="auto"/>
              <w:rPr>
                <w:rFonts w:ascii="Calibri" w:eastAsia="Times New Roman" w:hAnsi="Calibri" w:cs="Calibri"/>
                <w:color w:val="000000"/>
                <w:lang w:eastAsia="sl-SI"/>
              </w:rPr>
            </w:pPr>
          </w:p>
        </w:tc>
        <w:tc>
          <w:tcPr>
            <w:tcW w:w="2087" w:type="pct"/>
            <w:vMerge/>
            <w:vAlign w:val="center"/>
            <w:hideMark/>
          </w:tcPr>
          <w:p w14:paraId="3808C40E" w14:textId="77777777" w:rsidR="00E3750C" w:rsidRPr="006A471C" w:rsidRDefault="00E3750C" w:rsidP="00047864">
            <w:pPr>
              <w:spacing w:after="0" w:line="240" w:lineRule="auto"/>
              <w:rPr>
                <w:rFonts w:ascii="Arial" w:eastAsia="Times New Roman" w:hAnsi="Arial" w:cs="Arial"/>
                <w:color w:val="000000"/>
                <w:sz w:val="18"/>
                <w:szCs w:val="18"/>
                <w:lang w:eastAsia="sl-SI"/>
              </w:rPr>
            </w:pPr>
          </w:p>
        </w:tc>
        <w:tc>
          <w:tcPr>
            <w:tcW w:w="538" w:type="pct"/>
            <w:shd w:val="clear" w:color="auto" w:fill="auto"/>
            <w:noWrap/>
            <w:vAlign w:val="center"/>
            <w:hideMark/>
          </w:tcPr>
          <w:p w14:paraId="435614DE" w14:textId="77777777" w:rsidR="00E3750C" w:rsidRPr="006A471C" w:rsidRDefault="00E3750C" w:rsidP="00047864">
            <w:pPr>
              <w:spacing w:after="0" w:line="240" w:lineRule="auto"/>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Gradnje</w:t>
            </w:r>
          </w:p>
        </w:tc>
        <w:tc>
          <w:tcPr>
            <w:tcW w:w="658" w:type="pct"/>
            <w:shd w:val="clear" w:color="auto" w:fill="auto"/>
            <w:noWrap/>
            <w:vAlign w:val="center"/>
            <w:hideMark/>
          </w:tcPr>
          <w:p w14:paraId="586B62F0"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2</w:t>
            </w:r>
          </w:p>
        </w:tc>
        <w:tc>
          <w:tcPr>
            <w:tcW w:w="982" w:type="pct"/>
            <w:shd w:val="clear" w:color="auto" w:fill="auto"/>
            <w:noWrap/>
            <w:vAlign w:val="center"/>
            <w:hideMark/>
          </w:tcPr>
          <w:p w14:paraId="2ABF664F" w14:textId="77777777" w:rsidR="00E3750C" w:rsidRPr="006A471C" w:rsidRDefault="00E3750C" w:rsidP="00047864">
            <w:pPr>
              <w:spacing w:after="0" w:line="240" w:lineRule="auto"/>
              <w:jc w:val="right"/>
              <w:rPr>
                <w:rFonts w:ascii="Arial" w:eastAsia="Times New Roman" w:hAnsi="Arial" w:cs="Arial"/>
                <w:color w:val="000000"/>
                <w:sz w:val="18"/>
                <w:szCs w:val="18"/>
                <w:lang w:eastAsia="sl-SI"/>
              </w:rPr>
            </w:pPr>
            <w:r w:rsidRPr="006A471C">
              <w:rPr>
                <w:rFonts w:ascii="Arial" w:eastAsia="Times New Roman" w:hAnsi="Arial" w:cs="Arial"/>
                <w:color w:val="000000"/>
                <w:sz w:val="18"/>
                <w:szCs w:val="18"/>
                <w:lang w:eastAsia="sl-SI"/>
              </w:rPr>
              <w:t>2.108.347</w:t>
            </w:r>
          </w:p>
        </w:tc>
      </w:tr>
      <w:tr w:rsidR="00E3750C" w:rsidRPr="006A471C" w14:paraId="37C2B761" w14:textId="77777777" w:rsidTr="00047864">
        <w:trPr>
          <w:trHeight w:val="300"/>
        </w:trPr>
        <w:tc>
          <w:tcPr>
            <w:tcW w:w="3359" w:type="pct"/>
            <w:gridSpan w:val="3"/>
            <w:shd w:val="clear" w:color="auto" w:fill="F2F2F2" w:themeFill="background1" w:themeFillShade="F2"/>
            <w:noWrap/>
            <w:vAlign w:val="center"/>
            <w:hideMark/>
          </w:tcPr>
          <w:p w14:paraId="1208B143" w14:textId="77777777" w:rsidR="00E3750C" w:rsidRPr="006A471C" w:rsidRDefault="00E3750C" w:rsidP="00047864">
            <w:pPr>
              <w:spacing w:after="0" w:line="240" w:lineRule="auto"/>
              <w:rPr>
                <w:rFonts w:ascii="Arial" w:eastAsia="Times New Roman" w:hAnsi="Arial" w:cs="Arial"/>
                <w:b/>
                <w:bCs/>
                <w:color w:val="000000"/>
                <w:sz w:val="18"/>
                <w:szCs w:val="18"/>
                <w:lang w:eastAsia="sl-SI"/>
              </w:rPr>
            </w:pPr>
            <w:r w:rsidRPr="006A471C">
              <w:rPr>
                <w:rFonts w:ascii="Arial" w:eastAsia="Times New Roman" w:hAnsi="Arial" w:cs="Arial"/>
                <w:b/>
                <w:bCs/>
                <w:color w:val="000000"/>
                <w:sz w:val="18"/>
                <w:szCs w:val="18"/>
                <w:lang w:eastAsia="sl-SI"/>
              </w:rPr>
              <w:t>Skupaj</w:t>
            </w:r>
          </w:p>
        </w:tc>
        <w:tc>
          <w:tcPr>
            <w:tcW w:w="658" w:type="pct"/>
            <w:shd w:val="clear" w:color="auto" w:fill="F2F2F2" w:themeFill="background1" w:themeFillShade="F2"/>
            <w:noWrap/>
            <w:vAlign w:val="center"/>
            <w:hideMark/>
          </w:tcPr>
          <w:p w14:paraId="72850DF6" w14:textId="77777777" w:rsidR="00E3750C" w:rsidRPr="006A471C" w:rsidRDefault="00E3750C" w:rsidP="00047864">
            <w:pPr>
              <w:spacing w:after="0" w:line="240" w:lineRule="auto"/>
              <w:jc w:val="right"/>
              <w:rPr>
                <w:rFonts w:ascii="Arial" w:eastAsia="Times New Roman" w:hAnsi="Arial" w:cs="Arial"/>
                <w:b/>
                <w:bCs/>
                <w:color w:val="000000"/>
                <w:sz w:val="18"/>
                <w:szCs w:val="18"/>
                <w:lang w:eastAsia="sl-SI"/>
              </w:rPr>
            </w:pPr>
            <w:r w:rsidRPr="006A471C">
              <w:rPr>
                <w:rFonts w:ascii="Arial" w:eastAsia="Times New Roman" w:hAnsi="Arial" w:cs="Arial"/>
                <w:b/>
                <w:bCs/>
                <w:color w:val="000000"/>
                <w:sz w:val="18"/>
                <w:szCs w:val="18"/>
                <w:lang w:eastAsia="sl-SI"/>
              </w:rPr>
              <w:t>6.721</w:t>
            </w:r>
          </w:p>
        </w:tc>
        <w:tc>
          <w:tcPr>
            <w:tcW w:w="982" w:type="pct"/>
            <w:shd w:val="clear" w:color="auto" w:fill="F2F2F2" w:themeFill="background1" w:themeFillShade="F2"/>
            <w:noWrap/>
            <w:vAlign w:val="center"/>
            <w:hideMark/>
          </w:tcPr>
          <w:p w14:paraId="7575802A" w14:textId="77777777" w:rsidR="00E3750C" w:rsidRPr="006A471C" w:rsidRDefault="00E3750C" w:rsidP="00047864">
            <w:pPr>
              <w:spacing w:after="0" w:line="240" w:lineRule="auto"/>
              <w:jc w:val="right"/>
              <w:rPr>
                <w:rFonts w:ascii="Arial" w:eastAsia="Times New Roman" w:hAnsi="Arial" w:cs="Arial"/>
                <w:b/>
                <w:bCs/>
                <w:color w:val="000000"/>
                <w:sz w:val="18"/>
                <w:szCs w:val="18"/>
                <w:lang w:eastAsia="sl-SI"/>
              </w:rPr>
            </w:pPr>
            <w:r w:rsidRPr="006A471C">
              <w:rPr>
                <w:rFonts w:ascii="Arial" w:eastAsia="Times New Roman" w:hAnsi="Arial" w:cs="Arial"/>
                <w:b/>
                <w:bCs/>
                <w:color w:val="000000"/>
                <w:sz w:val="18"/>
                <w:szCs w:val="18"/>
                <w:lang w:eastAsia="sl-SI"/>
              </w:rPr>
              <w:t>5.417.105.902</w:t>
            </w:r>
          </w:p>
        </w:tc>
      </w:tr>
    </w:tbl>
    <w:p w14:paraId="4401E246" w14:textId="77777777" w:rsidR="00E3750C" w:rsidRPr="000E3B8A" w:rsidRDefault="00E3750C" w:rsidP="00E3750C">
      <w:pPr>
        <w:pStyle w:val="ZADEVA"/>
        <w:spacing w:line="240" w:lineRule="auto"/>
        <w:jc w:val="both"/>
        <w:rPr>
          <w:rFonts w:cs="Arial"/>
          <w:b w:val="0"/>
          <w:iCs/>
          <w:szCs w:val="20"/>
        </w:rPr>
      </w:pPr>
    </w:p>
    <w:p w14:paraId="17526FB3" w14:textId="77777777" w:rsidR="00E3750C" w:rsidRPr="000E3B8A" w:rsidRDefault="00E3750C" w:rsidP="00E3750C">
      <w:pPr>
        <w:pStyle w:val="ZADEVA"/>
        <w:spacing w:before="120" w:line="240" w:lineRule="auto"/>
        <w:jc w:val="both"/>
        <w:rPr>
          <w:rFonts w:cs="Arial"/>
          <w:b w:val="0"/>
          <w:szCs w:val="20"/>
          <w:lang w:val="sl-SI"/>
        </w:rPr>
      </w:pPr>
      <w:r w:rsidRPr="000E3B8A">
        <w:rPr>
          <w:rFonts w:cs="Arial"/>
          <w:b w:val="0"/>
          <w:szCs w:val="20"/>
          <w:lang w:val="sl-SI"/>
        </w:rPr>
        <w:t>Preglednica 6</w:t>
      </w:r>
      <w:r>
        <w:rPr>
          <w:rFonts w:cs="Arial"/>
          <w:b w:val="0"/>
          <w:szCs w:val="20"/>
          <w:lang w:val="sl-SI"/>
        </w:rPr>
        <w:t>0</w:t>
      </w:r>
      <w:r w:rsidRPr="000E3B8A">
        <w:rPr>
          <w:rFonts w:cs="Arial"/>
          <w:b w:val="0"/>
          <w:szCs w:val="20"/>
          <w:lang w:val="sl-SI"/>
        </w:rPr>
        <w:t>: Javna naročila glede na kategorijo naročnika in predmet naročanja</w:t>
      </w:r>
    </w:p>
    <w:p w14:paraId="5093D874" w14:textId="77777777" w:rsidR="00E3750C" w:rsidRPr="00BF7302" w:rsidRDefault="00E3750C" w:rsidP="00E3750C">
      <w:pPr>
        <w:pStyle w:val="ZADEVA"/>
        <w:spacing w:line="240" w:lineRule="auto"/>
        <w:jc w:val="both"/>
        <w:rPr>
          <w:rFonts w:cs="Arial"/>
          <w:b w:val="0"/>
          <w:szCs w:val="20"/>
          <w:highlight w:val="yellow"/>
          <w:lang w:val="sl-SI"/>
        </w:rPr>
      </w:pPr>
    </w:p>
    <w:tbl>
      <w:tblPr>
        <w:tblW w:w="5000" w:type="pct"/>
        <w:tblCellMar>
          <w:left w:w="70" w:type="dxa"/>
          <w:right w:w="70" w:type="dxa"/>
        </w:tblCellMar>
        <w:tblLook w:val="04A0" w:firstRow="1" w:lastRow="0" w:firstColumn="1" w:lastColumn="0" w:noHBand="0" w:noVBand="1"/>
      </w:tblPr>
      <w:tblGrid>
        <w:gridCol w:w="951"/>
        <w:gridCol w:w="4444"/>
        <w:gridCol w:w="909"/>
        <w:gridCol w:w="909"/>
        <w:gridCol w:w="1961"/>
      </w:tblGrid>
      <w:tr w:rsidR="00E3750C" w:rsidRPr="000E3B8A" w14:paraId="3BDE93AE" w14:textId="77777777" w:rsidTr="00047864">
        <w:trPr>
          <w:trHeight w:val="480"/>
          <w:tblHeader/>
        </w:trPr>
        <w:tc>
          <w:tcPr>
            <w:tcW w:w="500"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52E3BD58" w14:textId="77777777" w:rsidR="00E3750C" w:rsidRPr="000E3B8A" w:rsidRDefault="00E3750C" w:rsidP="00047864">
            <w:pPr>
              <w:spacing w:after="0" w:line="240" w:lineRule="auto"/>
              <w:jc w:val="center"/>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Kategorija naročnika</w:t>
            </w:r>
          </w:p>
        </w:tc>
        <w:tc>
          <w:tcPr>
            <w:tcW w:w="2427" w:type="pct"/>
            <w:tcBorders>
              <w:top w:val="single" w:sz="4" w:space="0" w:color="auto"/>
              <w:left w:val="nil"/>
              <w:bottom w:val="single" w:sz="4" w:space="0" w:color="auto"/>
              <w:right w:val="single" w:sz="4" w:space="0" w:color="auto"/>
            </w:tcBorders>
            <w:shd w:val="clear" w:color="000000" w:fill="F2F2F2"/>
            <w:vAlign w:val="center"/>
            <w:hideMark/>
          </w:tcPr>
          <w:p w14:paraId="05E3C5B2" w14:textId="77777777" w:rsidR="00E3750C" w:rsidRPr="000E3B8A" w:rsidRDefault="00E3750C" w:rsidP="00047864">
            <w:pPr>
              <w:spacing w:after="0" w:line="240" w:lineRule="auto"/>
              <w:jc w:val="center"/>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Opis kategorije</w:t>
            </w:r>
          </w:p>
        </w:tc>
        <w:tc>
          <w:tcPr>
            <w:tcW w:w="500" w:type="pct"/>
            <w:tcBorders>
              <w:top w:val="single" w:sz="4" w:space="0" w:color="auto"/>
              <w:left w:val="nil"/>
              <w:bottom w:val="single" w:sz="4" w:space="0" w:color="auto"/>
              <w:right w:val="single" w:sz="4" w:space="0" w:color="auto"/>
            </w:tcBorders>
            <w:shd w:val="clear" w:color="000000" w:fill="F2F2F2"/>
            <w:vAlign w:val="center"/>
            <w:hideMark/>
          </w:tcPr>
          <w:p w14:paraId="0E23E049" w14:textId="77777777" w:rsidR="00E3750C" w:rsidRPr="000E3B8A" w:rsidRDefault="00E3750C" w:rsidP="00047864">
            <w:pPr>
              <w:spacing w:after="0" w:line="240" w:lineRule="auto"/>
              <w:jc w:val="center"/>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 xml:space="preserve">Predmet </w:t>
            </w:r>
          </w:p>
        </w:tc>
        <w:tc>
          <w:tcPr>
            <w:tcW w:w="500" w:type="pct"/>
            <w:tcBorders>
              <w:top w:val="single" w:sz="4" w:space="0" w:color="auto"/>
              <w:left w:val="nil"/>
              <w:bottom w:val="single" w:sz="4" w:space="0" w:color="auto"/>
              <w:right w:val="single" w:sz="4" w:space="0" w:color="auto"/>
            </w:tcBorders>
            <w:shd w:val="clear" w:color="000000" w:fill="F2F2F2"/>
            <w:vAlign w:val="center"/>
            <w:hideMark/>
          </w:tcPr>
          <w:p w14:paraId="116000DA" w14:textId="77777777" w:rsidR="00E3750C" w:rsidRPr="000E3B8A" w:rsidRDefault="00E3750C" w:rsidP="00047864">
            <w:pPr>
              <w:spacing w:after="0" w:line="240" w:lineRule="auto"/>
              <w:jc w:val="center"/>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Št. naročil</w:t>
            </w:r>
          </w:p>
        </w:tc>
        <w:tc>
          <w:tcPr>
            <w:tcW w:w="1073" w:type="pct"/>
            <w:tcBorders>
              <w:top w:val="single" w:sz="4" w:space="0" w:color="auto"/>
              <w:left w:val="nil"/>
              <w:bottom w:val="single" w:sz="4" w:space="0" w:color="auto"/>
              <w:right w:val="single" w:sz="4" w:space="0" w:color="auto"/>
            </w:tcBorders>
            <w:shd w:val="clear" w:color="000000" w:fill="F2F2F2"/>
            <w:vAlign w:val="center"/>
            <w:hideMark/>
          </w:tcPr>
          <w:p w14:paraId="2B0D64BE" w14:textId="77777777" w:rsidR="00E3750C" w:rsidRPr="000E3B8A" w:rsidRDefault="00E3750C" w:rsidP="00047864">
            <w:pPr>
              <w:spacing w:after="0" w:line="240" w:lineRule="auto"/>
              <w:jc w:val="center"/>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Pogodbena vrednost</w:t>
            </w:r>
          </w:p>
        </w:tc>
      </w:tr>
      <w:tr w:rsidR="00E3750C" w:rsidRPr="000E3B8A" w14:paraId="2435BC70" w14:textId="77777777" w:rsidTr="00047864">
        <w:trPr>
          <w:trHeight w:val="300"/>
        </w:trPr>
        <w:tc>
          <w:tcPr>
            <w:tcW w:w="50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4D45F10" w14:textId="77777777" w:rsidR="00E3750C" w:rsidRPr="000E3B8A" w:rsidRDefault="00E3750C" w:rsidP="00047864">
            <w:pPr>
              <w:spacing w:after="0" w:line="240" w:lineRule="auto"/>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1</w:t>
            </w:r>
          </w:p>
        </w:tc>
        <w:tc>
          <w:tcPr>
            <w:tcW w:w="2427" w:type="pct"/>
            <w:vMerge w:val="restart"/>
            <w:tcBorders>
              <w:top w:val="nil"/>
              <w:left w:val="single" w:sz="4" w:space="0" w:color="auto"/>
              <w:bottom w:val="single" w:sz="4" w:space="0" w:color="auto"/>
              <w:right w:val="single" w:sz="4" w:space="0" w:color="auto"/>
            </w:tcBorders>
            <w:shd w:val="clear" w:color="auto" w:fill="auto"/>
            <w:vAlign w:val="center"/>
            <w:hideMark/>
          </w:tcPr>
          <w:p w14:paraId="424FD562" w14:textId="77777777" w:rsidR="00E3750C" w:rsidRPr="000E3B8A" w:rsidRDefault="00E3750C" w:rsidP="00047864">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Organi Republike Slovenije</w:t>
            </w:r>
          </w:p>
        </w:tc>
        <w:tc>
          <w:tcPr>
            <w:tcW w:w="500" w:type="pct"/>
            <w:tcBorders>
              <w:top w:val="nil"/>
              <w:left w:val="nil"/>
              <w:bottom w:val="single" w:sz="4" w:space="0" w:color="auto"/>
              <w:right w:val="single" w:sz="4" w:space="0" w:color="auto"/>
            </w:tcBorders>
            <w:shd w:val="clear" w:color="auto" w:fill="auto"/>
            <w:noWrap/>
            <w:vAlign w:val="center"/>
            <w:hideMark/>
          </w:tcPr>
          <w:p w14:paraId="0BB9F203" w14:textId="77777777" w:rsidR="00E3750C" w:rsidRPr="000E3B8A" w:rsidRDefault="00E3750C" w:rsidP="00047864">
            <w:pPr>
              <w:spacing w:after="0" w:line="240" w:lineRule="auto"/>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Blago</w:t>
            </w:r>
          </w:p>
        </w:tc>
        <w:tc>
          <w:tcPr>
            <w:tcW w:w="500" w:type="pct"/>
            <w:tcBorders>
              <w:top w:val="nil"/>
              <w:left w:val="nil"/>
              <w:bottom w:val="single" w:sz="4" w:space="0" w:color="auto"/>
              <w:right w:val="single" w:sz="4" w:space="0" w:color="auto"/>
            </w:tcBorders>
            <w:shd w:val="clear" w:color="auto" w:fill="auto"/>
            <w:noWrap/>
            <w:vAlign w:val="center"/>
            <w:hideMark/>
          </w:tcPr>
          <w:p w14:paraId="778615A8"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715</w:t>
            </w:r>
          </w:p>
        </w:tc>
        <w:tc>
          <w:tcPr>
            <w:tcW w:w="1073" w:type="pct"/>
            <w:tcBorders>
              <w:top w:val="nil"/>
              <w:left w:val="nil"/>
              <w:bottom w:val="single" w:sz="4" w:space="0" w:color="auto"/>
              <w:right w:val="single" w:sz="4" w:space="0" w:color="auto"/>
            </w:tcBorders>
            <w:shd w:val="clear" w:color="auto" w:fill="auto"/>
            <w:noWrap/>
            <w:vAlign w:val="center"/>
            <w:hideMark/>
          </w:tcPr>
          <w:p w14:paraId="6DF9D38D"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210.348.716</w:t>
            </w:r>
          </w:p>
        </w:tc>
      </w:tr>
      <w:tr w:rsidR="00E3750C" w:rsidRPr="000E3B8A" w14:paraId="3FFB5515" w14:textId="77777777" w:rsidTr="00047864">
        <w:trPr>
          <w:trHeight w:val="300"/>
        </w:trPr>
        <w:tc>
          <w:tcPr>
            <w:tcW w:w="500" w:type="pct"/>
            <w:vMerge/>
            <w:tcBorders>
              <w:top w:val="nil"/>
              <w:left w:val="single" w:sz="4" w:space="0" w:color="auto"/>
              <w:bottom w:val="single" w:sz="4" w:space="0" w:color="auto"/>
              <w:right w:val="single" w:sz="4" w:space="0" w:color="auto"/>
            </w:tcBorders>
            <w:vAlign w:val="center"/>
            <w:hideMark/>
          </w:tcPr>
          <w:p w14:paraId="3C8AE409" w14:textId="77777777" w:rsidR="00E3750C" w:rsidRPr="000E3B8A" w:rsidRDefault="00E3750C" w:rsidP="00047864">
            <w:pPr>
              <w:spacing w:after="0" w:line="240" w:lineRule="auto"/>
              <w:rPr>
                <w:rFonts w:ascii="Arial" w:eastAsia="Times New Roman" w:hAnsi="Arial" w:cs="Arial"/>
                <w:color w:val="000000"/>
                <w:sz w:val="18"/>
                <w:szCs w:val="18"/>
                <w:lang w:eastAsia="sl-SI"/>
              </w:rPr>
            </w:pPr>
          </w:p>
        </w:tc>
        <w:tc>
          <w:tcPr>
            <w:tcW w:w="2427" w:type="pct"/>
            <w:vMerge/>
            <w:tcBorders>
              <w:top w:val="nil"/>
              <w:left w:val="single" w:sz="4" w:space="0" w:color="auto"/>
              <w:bottom w:val="single" w:sz="4" w:space="0" w:color="auto"/>
              <w:right w:val="single" w:sz="4" w:space="0" w:color="auto"/>
            </w:tcBorders>
            <w:vAlign w:val="center"/>
            <w:hideMark/>
          </w:tcPr>
          <w:p w14:paraId="375B14D2" w14:textId="77777777" w:rsidR="00E3750C" w:rsidRPr="000E3B8A" w:rsidRDefault="00E3750C" w:rsidP="00047864">
            <w:pPr>
              <w:spacing w:after="0" w:line="240" w:lineRule="auto"/>
              <w:rPr>
                <w:rFonts w:ascii="Arial" w:eastAsia="Times New Roman" w:hAnsi="Arial" w:cs="Arial"/>
                <w:color w:val="000000"/>
                <w:sz w:val="18"/>
                <w:szCs w:val="18"/>
                <w:lang w:eastAsia="sl-SI"/>
              </w:rPr>
            </w:pPr>
          </w:p>
        </w:tc>
        <w:tc>
          <w:tcPr>
            <w:tcW w:w="500" w:type="pct"/>
            <w:tcBorders>
              <w:top w:val="nil"/>
              <w:left w:val="nil"/>
              <w:bottom w:val="single" w:sz="4" w:space="0" w:color="auto"/>
              <w:right w:val="single" w:sz="4" w:space="0" w:color="auto"/>
            </w:tcBorders>
            <w:shd w:val="clear" w:color="auto" w:fill="auto"/>
            <w:noWrap/>
            <w:vAlign w:val="center"/>
            <w:hideMark/>
          </w:tcPr>
          <w:p w14:paraId="3C3A972D" w14:textId="77777777" w:rsidR="00E3750C" w:rsidRPr="000E3B8A" w:rsidRDefault="00E3750C" w:rsidP="00047864">
            <w:pPr>
              <w:spacing w:after="0" w:line="240" w:lineRule="auto"/>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Storitve</w:t>
            </w:r>
          </w:p>
        </w:tc>
        <w:tc>
          <w:tcPr>
            <w:tcW w:w="500" w:type="pct"/>
            <w:tcBorders>
              <w:top w:val="nil"/>
              <w:left w:val="nil"/>
              <w:bottom w:val="single" w:sz="4" w:space="0" w:color="auto"/>
              <w:right w:val="single" w:sz="4" w:space="0" w:color="auto"/>
            </w:tcBorders>
            <w:shd w:val="clear" w:color="auto" w:fill="auto"/>
            <w:noWrap/>
            <w:vAlign w:val="center"/>
            <w:hideMark/>
          </w:tcPr>
          <w:p w14:paraId="2EC67FDA"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845</w:t>
            </w:r>
          </w:p>
        </w:tc>
        <w:tc>
          <w:tcPr>
            <w:tcW w:w="1073" w:type="pct"/>
            <w:tcBorders>
              <w:top w:val="nil"/>
              <w:left w:val="nil"/>
              <w:bottom w:val="single" w:sz="4" w:space="0" w:color="auto"/>
              <w:right w:val="single" w:sz="4" w:space="0" w:color="auto"/>
            </w:tcBorders>
            <w:shd w:val="clear" w:color="auto" w:fill="auto"/>
            <w:noWrap/>
            <w:vAlign w:val="center"/>
            <w:hideMark/>
          </w:tcPr>
          <w:p w14:paraId="10239442"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841.012.379</w:t>
            </w:r>
          </w:p>
        </w:tc>
      </w:tr>
      <w:tr w:rsidR="00E3750C" w:rsidRPr="000E3B8A" w14:paraId="3B0D6972" w14:textId="77777777" w:rsidTr="00047864">
        <w:trPr>
          <w:trHeight w:val="300"/>
        </w:trPr>
        <w:tc>
          <w:tcPr>
            <w:tcW w:w="500" w:type="pct"/>
            <w:vMerge/>
            <w:tcBorders>
              <w:top w:val="nil"/>
              <w:left w:val="single" w:sz="4" w:space="0" w:color="auto"/>
              <w:bottom w:val="single" w:sz="4" w:space="0" w:color="auto"/>
              <w:right w:val="single" w:sz="4" w:space="0" w:color="auto"/>
            </w:tcBorders>
            <w:vAlign w:val="center"/>
            <w:hideMark/>
          </w:tcPr>
          <w:p w14:paraId="27FBEDCF" w14:textId="77777777" w:rsidR="00E3750C" w:rsidRPr="000E3B8A" w:rsidRDefault="00E3750C" w:rsidP="00047864">
            <w:pPr>
              <w:spacing w:after="0" w:line="240" w:lineRule="auto"/>
              <w:rPr>
                <w:rFonts w:ascii="Arial" w:eastAsia="Times New Roman" w:hAnsi="Arial" w:cs="Arial"/>
                <w:color w:val="000000"/>
                <w:sz w:val="18"/>
                <w:szCs w:val="18"/>
                <w:lang w:eastAsia="sl-SI"/>
              </w:rPr>
            </w:pPr>
          </w:p>
        </w:tc>
        <w:tc>
          <w:tcPr>
            <w:tcW w:w="2427" w:type="pct"/>
            <w:vMerge/>
            <w:tcBorders>
              <w:top w:val="nil"/>
              <w:left w:val="single" w:sz="4" w:space="0" w:color="auto"/>
              <w:bottom w:val="single" w:sz="4" w:space="0" w:color="auto"/>
              <w:right w:val="single" w:sz="4" w:space="0" w:color="auto"/>
            </w:tcBorders>
            <w:vAlign w:val="center"/>
            <w:hideMark/>
          </w:tcPr>
          <w:p w14:paraId="06DED640" w14:textId="77777777" w:rsidR="00E3750C" w:rsidRPr="000E3B8A" w:rsidRDefault="00E3750C" w:rsidP="00047864">
            <w:pPr>
              <w:spacing w:after="0" w:line="240" w:lineRule="auto"/>
              <w:rPr>
                <w:rFonts w:ascii="Arial" w:eastAsia="Times New Roman" w:hAnsi="Arial" w:cs="Arial"/>
                <w:color w:val="000000"/>
                <w:sz w:val="18"/>
                <w:szCs w:val="18"/>
                <w:lang w:eastAsia="sl-SI"/>
              </w:rPr>
            </w:pPr>
          </w:p>
        </w:tc>
        <w:tc>
          <w:tcPr>
            <w:tcW w:w="500" w:type="pct"/>
            <w:tcBorders>
              <w:top w:val="nil"/>
              <w:left w:val="nil"/>
              <w:bottom w:val="single" w:sz="4" w:space="0" w:color="auto"/>
              <w:right w:val="single" w:sz="4" w:space="0" w:color="auto"/>
            </w:tcBorders>
            <w:shd w:val="clear" w:color="auto" w:fill="auto"/>
            <w:noWrap/>
            <w:vAlign w:val="center"/>
            <w:hideMark/>
          </w:tcPr>
          <w:p w14:paraId="2DCE03A2" w14:textId="77777777" w:rsidR="00E3750C" w:rsidRPr="000E3B8A" w:rsidRDefault="00E3750C" w:rsidP="00047864">
            <w:pPr>
              <w:spacing w:after="0" w:line="240" w:lineRule="auto"/>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Gradnje</w:t>
            </w:r>
          </w:p>
        </w:tc>
        <w:tc>
          <w:tcPr>
            <w:tcW w:w="500" w:type="pct"/>
            <w:tcBorders>
              <w:top w:val="nil"/>
              <w:left w:val="nil"/>
              <w:bottom w:val="single" w:sz="4" w:space="0" w:color="auto"/>
              <w:right w:val="single" w:sz="4" w:space="0" w:color="auto"/>
            </w:tcBorders>
            <w:shd w:val="clear" w:color="auto" w:fill="auto"/>
            <w:noWrap/>
            <w:vAlign w:val="center"/>
            <w:hideMark/>
          </w:tcPr>
          <w:p w14:paraId="536E2209"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260</w:t>
            </w:r>
          </w:p>
        </w:tc>
        <w:tc>
          <w:tcPr>
            <w:tcW w:w="1073" w:type="pct"/>
            <w:tcBorders>
              <w:top w:val="nil"/>
              <w:left w:val="nil"/>
              <w:bottom w:val="single" w:sz="4" w:space="0" w:color="auto"/>
              <w:right w:val="single" w:sz="4" w:space="0" w:color="auto"/>
            </w:tcBorders>
            <w:shd w:val="clear" w:color="auto" w:fill="auto"/>
            <w:noWrap/>
            <w:vAlign w:val="center"/>
            <w:hideMark/>
          </w:tcPr>
          <w:p w14:paraId="431C9859"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555.463.141</w:t>
            </w:r>
          </w:p>
        </w:tc>
      </w:tr>
      <w:tr w:rsidR="00E3750C" w:rsidRPr="000E3B8A" w14:paraId="31BBF35B" w14:textId="77777777" w:rsidTr="00047864">
        <w:trPr>
          <w:trHeight w:val="300"/>
        </w:trPr>
        <w:tc>
          <w:tcPr>
            <w:tcW w:w="500" w:type="pct"/>
            <w:vMerge/>
            <w:tcBorders>
              <w:top w:val="nil"/>
              <w:left w:val="single" w:sz="4" w:space="0" w:color="auto"/>
              <w:bottom w:val="single" w:sz="4" w:space="0" w:color="auto"/>
              <w:right w:val="single" w:sz="4" w:space="0" w:color="auto"/>
            </w:tcBorders>
            <w:vAlign w:val="center"/>
            <w:hideMark/>
          </w:tcPr>
          <w:p w14:paraId="0C930F76" w14:textId="77777777" w:rsidR="00E3750C" w:rsidRPr="000E3B8A" w:rsidRDefault="00E3750C" w:rsidP="00047864">
            <w:pPr>
              <w:spacing w:after="0" w:line="240" w:lineRule="auto"/>
              <w:rPr>
                <w:rFonts w:ascii="Arial" w:eastAsia="Times New Roman" w:hAnsi="Arial" w:cs="Arial"/>
                <w:color w:val="000000"/>
                <w:sz w:val="18"/>
                <w:szCs w:val="18"/>
                <w:lang w:eastAsia="sl-SI"/>
              </w:rPr>
            </w:pPr>
          </w:p>
        </w:tc>
        <w:tc>
          <w:tcPr>
            <w:tcW w:w="2427" w:type="pct"/>
            <w:vMerge/>
            <w:tcBorders>
              <w:top w:val="nil"/>
              <w:left w:val="single" w:sz="4" w:space="0" w:color="auto"/>
              <w:bottom w:val="single" w:sz="4" w:space="0" w:color="auto"/>
              <w:right w:val="single" w:sz="4" w:space="0" w:color="auto"/>
            </w:tcBorders>
            <w:vAlign w:val="center"/>
            <w:hideMark/>
          </w:tcPr>
          <w:p w14:paraId="00C4DB91" w14:textId="77777777" w:rsidR="00E3750C" w:rsidRPr="000E3B8A" w:rsidRDefault="00E3750C" w:rsidP="00047864">
            <w:pPr>
              <w:spacing w:after="0" w:line="240" w:lineRule="auto"/>
              <w:rPr>
                <w:rFonts w:ascii="Arial" w:eastAsia="Times New Roman" w:hAnsi="Arial" w:cs="Arial"/>
                <w:color w:val="000000"/>
                <w:sz w:val="18"/>
                <w:szCs w:val="18"/>
                <w:lang w:eastAsia="sl-SI"/>
              </w:rPr>
            </w:pPr>
          </w:p>
        </w:tc>
        <w:tc>
          <w:tcPr>
            <w:tcW w:w="500" w:type="pct"/>
            <w:tcBorders>
              <w:top w:val="nil"/>
              <w:left w:val="nil"/>
              <w:bottom w:val="single" w:sz="4" w:space="0" w:color="auto"/>
              <w:right w:val="single" w:sz="4" w:space="0" w:color="auto"/>
            </w:tcBorders>
            <w:shd w:val="clear" w:color="auto" w:fill="auto"/>
            <w:noWrap/>
            <w:vAlign w:val="center"/>
            <w:hideMark/>
          </w:tcPr>
          <w:p w14:paraId="1B27F7E9" w14:textId="77777777" w:rsidR="00E3750C" w:rsidRPr="000E3B8A" w:rsidRDefault="00E3750C" w:rsidP="00047864">
            <w:pPr>
              <w:spacing w:after="0" w:line="240" w:lineRule="auto"/>
              <w:rPr>
                <w:rFonts w:ascii="Arial" w:eastAsia="Times New Roman" w:hAnsi="Arial" w:cs="Arial"/>
                <w:b/>
                <w:bCs/>
                <w:color w:val="000000"/>
                <w:sz w:val="18"/>
                <w:szCs w:val="18"/>
                <w:lang w:eastAsia="sl-SI"/>
              </w:rPr>
            </w:pPr>
            <w:r w:rsidRPr="000E3B8A">
              <w:rPr>
                <w:rFonts w:ascii="Arial" w:eastAsia="Times New Roman" w:hAnsi="Arial" w:cs="Arial"/>
                <w:b/>
                <w:bCs/>
                <w:color w:val="000000"/>
                <w:sz w:val="18"/>
                <w:szCs w:val="18"/>
                <w:lang w:eastAsia="sl-SI"/>
              </w:rPr>
              <w:t>Skupaj</w:t>
            </w:r>
          </w:p>
        </w:tc>
        <w:tc>
          <w:tcPr>
            <w:tcW w:w="500" w:type="pct"/>
            <w:tcBorders>
              <w:top w:val="nil"/>
              <w:left w:val="nil"/>
              <w:bottom w:val="single" w:sz="4" w:space="0" w:color="auto"/>
              <w:right w:val="single" w:sz="4" w:space="0" w:color="auto"/>
            </w:tcBorders>
            <w:shd w:val="clear" w:color="auto" w:fill="auto"/>
            <w:noWrap/>
            <w:vAlign w:val="center"/>
            <w:hideMark/>
          </w:tcPr>
          <w:p w14:paraId="675E5BE4" w14:textId="77777777" w:rsidR="00E3750C" w:rsidRPr="000E3B8A" w:rsidRDefault="00E3750C" w:rsidP="00047864">
            <w:pPr>
              <w:spacing w:after="0" w:line="240" w:lineRule="auto"/>
              <w:jc w:val="right"/>
              <w:rPr>
                <w:rFonts w:ascii="Arial" w:eastAsia="Times New Roman" w:hAnsi="Arial" w:cs="Arial"/>
                <w:b/>
                <w:bCs/>
                <w:color w:val="000000"/>
                <w:sz w:val="18"/>
                <w:szCs w:val="18"/>
                <w:lang w:eastAsia="sl-SI"/>
              </w:rPr>
            </w:pPr>
            <w:r w:rsidRPr="000E3B8A">
              <w:rPr>
                <w:rFonts w:ascii="Arial" w:eastAsia="Times New Roman" w:hAnsi="Arial" w:cs="Arial"/>
                <w:b/>
                <w:bCs/>
                <w:color w:val="000000"/>
                <w:sz w:val="18"/>
                <w:szCs w:val="18"/>
                <w:lang w:eastAsia="sl-SI"/>
              </w:rPr>
              <w:t>1.820</w:t>
            </w:r>
          </w:p>
        </w:tc>
        <w:tc>
          <w:tcPr>
            <w:tcW w:w="1073" w:type="pct"/>
            <w:tcBorders>
              <w:top w:val="nil"/>
              <w:left w:val="nil"/>
              <w:bottom w:val="single" w:sz="4" w:space="0" w:color="auto"/>
              <w:right w:val="single" w:sz="4" w:space="0" w:color="auto"/>
            </w:tcBorders>
            <w:shd w:val="clear" w:color="auto" w:fill="auto"/>
            <w:noWrap/>
            <w:vAlign w:val="center"/>
            <w:hideMark/>
          </w:tcPr>
          <w:p w14:paraId="29F832A7" w14:textId="77777777" w:rsidR="00E3750C" w:rsidRPr="000E3B8A" w:rsidRDefault="00E3750C" w:rsidP="00047864">
            <w:pPr>
              <w:spacing w:after="0" w:line="240" w:lineRule="auto"/>
              <w:jc w:val="right"/>
              <w:rPr>
                <w:rFonts w:ascii="Arial" w:eastAsia="Times New Roman" w:hAnsi="Arial" w:cs="Arial"/>
                <w:b/>
                <w:bCs/>
                <w:color w:val="000000"/>
                <w:sz w:val="18"/>
                <w:szCs w:val="18"/>
                <w:lang w:eastAsia="sl-SI"/>
              </w:rPr>
            </w:pPr>
            <w:r w:rsidRPr="000E3B8A">
              <w:rPr>
                <w:rFonts w:ascii="Arial" w:eastAsia="Times New Roman" w:hAnsi="Arial" w:cs="Arial"/>
                <w:b/>
                <w:bCs/>
                <w:color w:val="000000"/>
                <w:sz w:val="18"/>
                <w:szCs w:val="18"/>
                <w:lang w:eastAsia="sl-SI"/>
              </w:rPr>
              <w:t>1.606.824.236</w:t>
            </w:r>
          </w:p>
        </w:tc>
      </w:tr>
      <w:tr w:rsidR="00E3750C" w:rsidRPr="000E3B8A" w14:paraId="3B8108FA" w14:textId="77777777" w:rsidTr="00047864">
        <w:trPr>
          <w:trHeight w:val="300"/>
        </w:trPr>
        <w:tc>
          <w:tcPr>
            <w:tcW w:w="50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273B6DD" w14:textId="77777777" w:rsidR="00E3750C" w:rsidRPr="000E3B8A" w:rsidRDefault="00E3750C" w:rsidP="00047864">
            <w:pPr>
              <w:spacing w:after="0" w:line="240" w:lineRule="auto"/>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2</w:t>
            </w:r>
          </w:p>
        </w:tc>
        <w:tc>
          <w:tcPr>
            <w:tcW w:w="2427" w:type="pct"/>
            <w:vMerge w:val="restart"/>
            <w:tcBorders>
              <w:top w:val="nil"/>
              <w:left w:val="single" w:sz="4" w:space="0" w:color="auto"/>
              <w:bottom w:val="single" w:sz="4" w:space="0" w:color="auto"/>
              <w:right w:val="single" w:sz="4" w:space="0" w:color="auto"/>
            </w:tcBorders>
            <w:shd w:val="clear" w:color="auto" w:fill="auto"/>
            <w:vAlign w:val="center"/>
            <w:hideMark/>
          </w:tcPr>
          <w:p w14:paraId="7C3AF6BA" w14:textId="77777777" w:rsidR="00E3750C" w:rsidRPr="000E3B8A" w:rsidRDefault="00E3750C" w:rsidP="00047864">
            <w:pPr>
              <w:spacing w:after="0" w:line="240" w:lineRule="auto"/>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Organi samoupravnih lokalnih skupnosti</w:t>
            </w:r>
          </w:p>
        </w:tc>
        <w:tc>
          <w:tcPr>
            <w:tcW w:w="500" w:type="pct"/>
            <w:tcBorders>
              <w:top w:val="nil"/>
              <w:left w:val="nil"/>
              <w:bottom w:val="single" w:sz="4" w:space="0" w:color="auto"/>
              <w:right w:val="single" w:sz="4" w:space="0" w:color="auto"/>
            </w:tcBorders>
            <w:shd w:val="clear" w:color="auto" w:fill="auto"/>
            <w:noWrap/>
            <w:vAlign w:val="center"/>
            <w:hideMark/>
          </w:tcPr>
          <w:p w14:paraId="7D18317B" w14:textId="77777777" w:rsidR="00E3750C" w:rsidRPr="000E3B8A" w:rsidRDefault="00E3750C" w:rsidP="00047864">
            <w:pPr>
              <w:spacing w:after="0" w:line="240" w:lineRule="auto"/>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Blago</w:t>
            </w:r>
          </w:p>
        </w:tc>
        <w:tc>
          <w:tcPr>
            <w:tcW w:w="500" w:type="pct"/>
            <w:tcBorders>
              <w:top w:val="nil"/>
              <w:left w:val="nil"/>
              <w:bottom w:val="single" w:sz="4" w:space="0" w:color="auto"/>
              <w:right w:val="single" w:sz="4" w:space="0" w:color="auto"/>
            </w:tcBorders>
            <w:shd w:val="clear" w:color="auto" w:fill="auto"/>
            <w:noWrap/>
            <w:vAlign w:val="center"/>
            <w:hideMark/>
          </w:tcPr>
          <w:p w14:paraId="242F3BE3"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178</w:t>
            </w:r>
          </w:p>
        </w:tc>
        <w:tc>
          <w:tcPr>
            <w:tcW w:w="1073" w:type="pct"/>
            <w:tcBorders>
              <w:top w:val="nil"/>
              <w:left w:val="nil"/>
              <w:bottom w:val="single" w:sz="4" w:space="0" w:color="auto"/>
              <w:right w:val="single" w:sz="4" w:space="0" w:color="auto"/>
            </w:tcBorders>
            <w:shd w:val="clear" w:color="auto" w:fill="auto"/>
            <w:noWrap/>
            <w:vAlign w:val="center"/>
            <w:hideMark/>
          </w:tcPr>
          <w:p w14:paraId="43194536"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29.024.101</w:t>
            </w:r>
          </w:p>
        </w:tc>
      </w:tr>
      <w:tr w:rsidR="00E3750C" w:rsidRPr="000E3B8A" w14:paraId="244762DA" w14:textId="77777777" w:rsidTr="00047864">
        <w:trPr>
          <w:trHeight w:val="300"/>
        </w:trPr>
        <w:tc>
          <w:tcPr>
            <w:tcW w:w="500" w:type="pct"/>
            <w:vMerge/>
            <w:tcBorders>
              <w:top w:val="nil"/>
              <w:left w:val="single" w:sz="4" w:space="0" w:color="auto"/>
              <w:bottom w:val="single" w:sz="4" w:space="0" w:color="auto"/>
              <w:right w:val="single" w:sz="4" w:space="0" w:color="auto"/>
            </w:tcBorders>
            <w:vAlign w:val="center"/>
            <w:hideMark/>
          </w:tcPr>
          <w:p w14:paraId="604228EC" w14:textId="77777777" w:rsidR="00E3750C" w:rsidRPr="000E3B8A" w:rsidRDefault="00E3750C" w:rsidP="00047864">
            <w:pPr>
              <w:spacing w:after="0" w:line="240" w:lineRule="auto"/>
              <w:rPr>
                <w:rFonts w:ascii="Arial" w:eastAsia="Times New Roman" w:hAnsi="Arial" w:cs="Arial"/>
                <w:color w:val="000000"/>
                <w:sz w:val="18"/>
                <w:szCs w:val="18"/>
                <w:lang w:eastAsia="sl-SI"/>
              </w:rPr>
            </w:pPr>
          </w:p>
        </w:tc>
        <w:tc>
          <w:tcPr>
            <w:tcW w:w="2427" w:type="pct"/>
            <w:vMerge/>
            <w:tcBorders>
              <w:top w:val="nil"/>
              <w:left w:val="single" w:sz="4" w:space="0" w:color="auto"/>
              <w:bottom w:val="single" w:sz="4" w:space="0" w:color="auto"/>
              <w:right w:val="single" w:sz="4" w:space="0" w:color="auto"/>
            </w:tcBorders>
            <w:vAlign w:val="center"/>
            <w:hideMark/>
          </w:tcPr>
          <w:p w14:paraId="6528D839" w14:textId="77777777" w:rsidR="00E3750C" w:rsidRPr="000E3B8A" w:rsidRDefault="00E3750C" w:rsidP="00047864">
            <w:pPr>
              <w:spacing w:after="0" w:line="240" w:lineRule="auto"/>
              <w:rPr>
                <w:rFonts w:ascii="Arial" w:eastAsia="Times New Roman" w:hAnsi="Arial" w:cs="Arial"/>
                <w:color w:val="000000"/>
                <w:sz w:val="18"/>
                <w:szCs w:val="18"/>
                <w:lang w:eastAsia="sl-SI"/>
              </w:rPr>
            </w:pPr>
          </w:p>
        </w:tc>
        <w:tc>
          <w:tcPr>
            <w:tcW w:w="500" w:type="pct"/>
            <w:tcBorders>
              <w:top w:val="nil"/>
              <w:left w:val="nil"/>
              <w:bottom w:val="single" w:sz="4" w:space="0" w:color="auto"/>
              <w:right w:val="single" w:sz="4" w:space="0" w:color="auto"/>
            </w:tcBorders>
            <w:shd w:val="clear" w:color="auto" w:fill="auto"/>
            <w:noWrap/>
            <w:vAlign w:val="center"/>
            <w:hideMark/>
          </w:tcPr>
          <w:p w14:paraId="6AFBF186" w14:textId="77777777" w:rsidR="00E3750C" w:rsidRPr="000E3B8A" w:rsidRDefault="00E3750C" w:rsidP="00047864">
            <w:pPr>
              <w:spacing w:after="0" w:line="240" w:lineRule="auto"/>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Storitve</w:t>
            </w:r>
          </w:p>
        </w:tc>
        <w:tc>
          <w:tcPr>
            <w:tcW w:w="500" w:type="pct"/>
            <w:tcBorders>
              <w:top w:val="nil"/>
              <w:left w:val="nil"/>
              <w:bottom w:val="single" w:sz="4" w:space="0" w:color="auto"/>
              <w:right w:val="single" w:sz="4" w:space="0" w:color="auto"/>
            </w:tcBorders>
            <w:shd w:val="clear" w:color="auto" w:fill="auto"/>
            <w:noWrap/>
            <w:vAlign w:val="center"/>
            <w:hideMark/>
          </w:tcPr>
          <w:p w14:paraId="5E6D9452"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591</w:t>
            </w:r>
          </w:p>
        </w:tc>
        <w:tc>
          <w:tcPr>
            <w:tcW w:w="1073" w:type="pct"/>
            <w:tcBorders>
              <w:top w:val="nil"/>
              <w:left w:val="nil"/>
              <w:bottom w:val="single" w:sz="4" w:space="0" w:color="auto"/>
              <w:right w:val="single" w:sz="4" w:space="0" w:color="auto"/>
            </w:tcBorders>
            <w:shd w:val="clear" w:color="auto" w:fill="auto"/>
            <w:noWrap/>
            <w:vAlign w:val="center"/>
            <w:hideMark/>
          </w:tcPr>
          <w:p w14:paraId="2CDFE455"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108.734.107</w:t>
            </w:r>
          </w:p>
        </w:tc>
      </w:tr>
      <w:tr w:rsidR="00E3750C" w:rsidRPr="000E3B8A" w14:paraId="539723FF" w14:textId="77777777" w:rsidTr="00047864">
        <w:trPr>
          <w:trHeight w:val="300"/>
        </w:trPr>
        <w:tc>
          <w:tcPr>
            <w:tcW w:w="500" w:type="pct"/>
            <w:vMerge/>
            <w:tcBorders>
              <w:top w:val="nil"/>
              <w:left w:val="single" w:sz="4" w:space="0" w:color="auto"/>
              <w:bottom w:val="single" w:sz="4" w:space="0" w:color="auto"/>
              <w:right w:val="single" w:sz="4" w:space="0" w:color="auto"/>
            </w:tcBorders>
            <w:vAlign w:val="center"/>
            <w:hideMark/>
          </w:tcPr>
          <w:p w14:paraId="61A81418" w14:textId="77777777" w:rsidR="00E3750C" w:rsidRPr="000E3B8A" w:rsidRDefault="00E3750C" w:rsidP="00047864">
            <w:pPr>
              <w:spacing w:after="0" w:line="240" w:lineRule="auto"/>
              <w:rPr>
                <w:rFonts w:ascii="Arial" w:eastAsia="Times New Roman" w:hAnsi="Arial" w:cs="Arial"/>
                <w:color w:val="000000"/>
                <w:sz w:val="18"/>
                <w:szCs w:val="18"/>
                <w:lang w:eastAsia="sl-SI"/>
              </w:rPr>
            </w:pPr>
          </w:p>
        </w:tc>
        <w:tc>
          <w:tcPr>
            <w:tcW w:w="2427" w:type="pct"/>
            <w:vMerge/>
            <w:tcBorders>
              <w:top w:val="nil"/>
              <w:left w:val="single" w:sz="4" w:space="0" w:color="auto"/>
              <w:bottom w:val="single" w:sz="4" w:space="0" w:color="auto"/>
              <w:right w:val="single" w:sz="4" w:space="0" w:color="auto"/>
            </w:tcBorders>
            <w:vAlign w:val="center"/>
            <w:hideMark/>
          </w:tcPr>
          <w:p w14:paraId="0817C0D4" w14:textId="77777777" w:rsidR="00E3750C" w:rsidRPr="000E3B8A" w:rsidRDefault="00E3750C" w:rsidP="00047864">
            <w:pPr>
              <w:spacing w:after="0" w:line="240" w:lineRule="auto"/>
              <w:rPr>
                <w:rFonts w:ascii="Arial" w:eastAsia="Times New Roman" w:hAnsi="Arial" w:cs="Arial"/>
                <w:color w:val="000000"/>
                <w:sz w:val="18"/>
                <w:szCs w:val="18"/>
                <w:lang w:eastAsia="sl-SI"/>
              </w:rPr>
            </w:pPr>
          </w:p>
        </w:tc>
        <w:tc>
          <w:tcPr>
            <w:tcW w:w="500" w:type="pct"/>
            <w:tcBorders>
              <w:top w:val="nil"/>
              <w:left w:val="nil"/>
              <w:bottom w:val="single" w:sz="4" w:space="0" w:color="auto"/>
              <w:right w:val="single" w:sz="4" w:space="0" w:color="auto"/>
            </w:tcBorders>
            <w:shd w:val="clear" w:color="auto" w:fill="auto"/>
            <w:noWrap/>
            <w:vAlign w:val="center"/>
            <w:hideMark/>
          </w:tcPr>
          <w:p w14:paraId="124D2BE8" w14:textId="77777777" w:rsidR="00E3750C" w:rsidRPr="000E3B8A" w:rsidRDefault="00E3750C" w:rsidP="00047864">
            <w:pPr>
              <w:spacing w:after="0" w:line="240" w:lineRule="auto"/>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Gradnje</w:t>
            </w:r>
          </w:p>
        </w:tc>
        <w:tc>
          <w:tcPr>
            <w:tcW w:w="500" w:type="pct"/>
            <w:tcBorders>
              <w:top w:val="nil"/>
              <w:left w:val="nil"/>
              <w:bottom w:val="single" w:sz="4" w:space="0" w:color="auto"/>
              <w:right w:val="single" w:sz="4" w:space="0" w:color="auto"/>
            </w:tcBorders>
            <w:shd w:val="clear" w:color="auto" w:fill="auto"/>
            <w:noWrap/>
            <w:vAlign w:val="center"/>
            <w:hideMark/>
          </w:tcPr>
          <w:p w14:paraId="359A212C"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888</w:t>
            </w:r>
          </w:p>
        </w:tc>
        <w:tc>
          <w:tcPr>
            <w:tcW w:w="1073" w:type="pct"/>
            <w:tcBorders>
              <w:top w:val="nil"/>
              <w:left w:val="nil"/>
              <w:bottom w:val="single" w:sz="4" w:space="0" w:color="auto"/>
              <w:right w:val="single" w:sz="4" w:space="0" w:color="auto"/>
            </w:tcBorders>
            <w:shd w:val="clear" w:color="auto" w:fill="auto"/>
            <w:noWrap/>
            <w:vAlign w:val="center"/>
            <w:hideMark/>
          </w:tcPr>
          <w:p w14:paraId="74F7702B"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642.199.298</w:t>
            </w:r>
          </w:p>
        </w:tc>
      </w:tr>
      <w:tr w:rsidR="00E3750C" w:rsidRPr="000E3B8A" w14:paraId="49098A54" w14:textId="77777777" w:rsidTr="00047864">
        <w:trPr>
          <w:trHeight w:val="300"/>
        </w:trPr>
        <w:tc>
          <w:tcPr>
            <w:tcW w:w="500" w:type="pct"/>
            <w:vMerge/>
            <w:tcBorders>
              <w:top w:val="nil"/>
              <w:left w:val="single" w:sz="4" w:space="0" w:color="auto"/>
              <w:bottom w:val="single" w:sz="4" w:space="0" w:color="auto"/>
              <w:right w:val="single" w:sz="4" w:space="0" w:color="auto"/>
            </w:tcBorders>
            <w:vAlign w:val="center"/>
            <w:hideMark/>
          </w:tcPr>
          <w:p w14:paraId="684CC992" w14:textId="77777777" w:rsidR="00E3750C" w:rsidRPr="000E3B8A" w:rsidRDefault="00E3750C" w:rsidP="00047864">
            <w:pPr>
              <w:spacing w:after="0" w:line="240" w:lineRule="auto"/>
              <w:rPr>
                <w:rFonts w:ascii="Arial" w:eastAsia="Times New Roman" w:hAnsi="Arial" w:cs="Arial"/>
                <w:color w:val="000000"/>
                <w:sz w:val="18"/>
                <w:szCs w:val="18"/>
                <w:lang w:eastAsia="sl-SI"/>
              </w:rPr>
            </w:pPr>
          </w:p>
        </w:tc>
        <w:tc>
          <w:tcPr>
            <w:tcW w:w="2427" w:type="pct"/>
            <w:vMerge/>
            <w:tcBorders>
              <w:top w:val="nil"/>
              <w:left w:val="single" w:sz="4" w:space="0" w:color="auto"/>
              <w:bottom w:val="single" w:sz="4" w:space="0" w:color="auto"/>
              <w:right w:val="single" w:sz="4" w:space="0" w:color="auto"/>
            </w:tcBorders>
            <w:vAlign w:val="center"/>
            <w:hideMark/>
          </w:tcPr>
          <w:p w14:paraId="64DDE15E" w14:textId="77777777" w:rsidR="00E3750C" w:rsidRPr="000E3B8A" w:rsidRDefault="00E3750C" w:rsidP="00047864">
            <w:pPr>
              <w:spacing w:after="0" w:line="240" w:lineRule="auto"/>
              <w:rPr>
                <w:rFonts w:ascii="Arial" w:eastAsia="Times New Roman" w:hAnsi="Arial" w:cs="Arial"/>
                <w:color w:val="000000"/>
                <w:sz w:val="18"/>
                <w:szCs w:val="18"/>
                <w:lang w:eastAsia="sl-SI"/>
              </w:rPr>
            </w:pPr>
          </w:p>
        </w:tc>
        <w:tc>
          <w:tcPr>
            <w:tcW w:w="500" w:type="pct"/>
            <w:tcBorders>
              <w:top w:val="nil"/>
              <w:left w:val="nil"/>
              <w:bottom w:val="single" w:sz="4" w:space="0" w:color="auto"/>
              <w:right w:val="single" w:sz="4" w:space="0" w:color="auto"/>
            </w:tcBorders>
            <w:shd w:val="clear" w:color="auto" w:fill="auto"/>
            <w:noWrap/>
            <w:vAlign w:val="center"/>
            <w:hideMark/>
          </w:tcPr>
          <w:p w14:paraId="2F1BD29A" w14:textId="77777777" w:rsidR="00E3750C" w:rsidRPr="000E3B8A" w:rsidRDefault="00E3750C" w:rsidP="00047864">
            <w:pPr>
              <w:spacing w:after="0" w:line="240" w:lineRule="auto"/>
              <w:rPr>
                <w:rFonts w:ascii="Arial" w:eastAsia="Times New Roman" w:hAnsi="Arial" w:cs="Arial"/>
                <w:b/>
                <w:bCs/>
                <w:color w:val="000000"/>
                <w:sz w:val="18"/>
                <w:szCs w:val="18"/>
                <w:lang w:eastAsia="sl-SI"/>
              </w:rPr>
            </w:pPr>
            <w:r w:rsidRPr="000E3B8A">
              <w:rPr>
                <w:rFonts w:ascii="Arial" w:eastAsia="Times New Roman" w:hAnsi="Arial" w:cs="Arial"/>
                <w:b/>
                <w:bCs/>
                <w:color w:val="000000"/>
                <w:sz w:val="18"/>
                <w:szCs w:val="18"/>
                <w:lang w:eastAsia="sl-SI"/>
              </w:rPr>
              <w:t>Skupaj</w:t>
            </w:r>
          </w:p>
        </w:tc>
        <w:tc>
          <w:tcPr>
            <w:tcW w:w="500" w:type="pct"/>
            <w:tcBorders>
              <w:top w:val="nil"/>
              <w:left w:val="nil"/>
              <w:bottom w:val="single" w:sz="4" w:space="0" w:color="auto"/>
              <w:right w:val="single" w:sz="4" w:space="0" w:color="auto"/>
            </w:tcBorders>
            <w:shd w:val="clear" w:color="auto" w:fill="auto"/>
            <w:noWrap/>
            <w:vAlign w:val="center"/>
            <w:hideMark/>
          </w:tcPr>
          <w:p w14:paraId="596B36A9" w14:textId="77777777" w:rsidR="00E3750C" w:rsidRPr="000E3B8A" w:rsidRDefault="00E3750C" w:rsidP="00047864">
            <w:pPr>
              <w:spacing w:after="0" w:line="240" w:lineRule="auto"/>
              <w:jc w:val="right"/>
              <w:rPr>
                <w:rFonts w:ascii="Arial" w:eastAsia="Times New Roman" w:hAnsi="Arial" w:cs="Arial"/>
                <w:b/>
                <w:bCs/>
                <w:color w:val="000000"/>
                <w:sz w:val="18"/>
                <w:szCs w:val="18"/>
                <w:lang w:eastAsia="sl-SI"/>
              </w:rPr>
            </w:pPr>
            <w:r w:rsidRPr="000E3B8A">
              <w:rPr>
                <w:rFonts w:ascii="Arial" w:eastAsia="Times New Roman" w:hAnsi="Arial" w:cs="Arial"/>
                <w:b/>
                <w:bCs/>
                <w:color w:val="000000"/>
                <w:sz w:val="18"/>
                <w:szCs w:val="18"/>
                <w:lang w:eastAsia="sl-SI"/>
              </w:rPr>
              <w:t>1.657</w:t>
            </w:r>
          </w:p>
        </w:tc>
        <w:tc>
          <w:tcPr>
            <w:tcW w:w="1073" w:type="pct"/>
            <w:tcBorders>
              <w:top w:val="nil"/>
              <w:left w:val="nil"/>
              <w:bottom w:val="single" w:sz="4" w:space="0" w:color="auto"/>
              <w:right w:val="single" w:sz="4" w:space="0" w:color="auto"/>
            </w:tcBorders>
            <w:shd w:val="clear" w:color="auto" w:fill="auto"/>
            <w:noWrap/>
            <w:vAlign w:val="center"/>
            <w:hideMark/>
          </w:tcPr>
          <w:p w14:paraId="011CCDA3" w14:textId="77777777" w:rsidR="00E3750C" w:rsidRPr="000E3B8A" w:rsidRDefault="00E3750C" w:rsidP="00047864">
            <w:pPr>
              <w:spacing w:after="0" w:line="240" w:lineRule="auto"/>
              <w:jc w:val="right"/>
              <w:rPr>
                <w:rFonts w:ascii="Arial" w:eastAsia="Times New Roman" w:hAnsi="Arial" w:cs="Arial"/>
                <w:b/>
                <w:bCs/>
                <w:color w:val="000000"/>
                <w:sz w:val="18"/>
                <w:szCs w:val="18"/>
                <w:lang w:eastAsia="sl-SI"/>
              </w:rPr>
            </w:pPr>
            <w:r w:rsidRPr="000E3B8A">
              <w:rPr>
                <w:rFonts w:ascii="Arial" w:eastAsia="Times New Roman" w:hAnsi="Arial" w:cs="Arial"/>
                <w:b/>
                <w:bCs/>
                <w:color w:val="000000"/>
                <w:sz w:val="18"/>
                <w:szCs w:val="18"/>
                <w:lang w:eastAsia="sl-SI"/>
              </w:rPr>
              <w:t>779.957.506</w:t>
            </w:r>
          </w:p>
        </w:tc>
      </w:tr>
      <w:tr w:rsidR="00E3750C" w:rsidRPr="000E3B8A" w14:paraId="661AB252" w14:textId="77777777" w:rsidTr="00047864">
        <w:trPr>
          <w:trHeight w:val="300"/>
        </w:trPr>
        <w:tc>
          <w:tcPr>
            <w:tcW w:w="50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E0CA77D" w14:textId="77777777" w:rsidR="00E3750C" w:rsidRPr="000E3B8A" w:rsidRDefault="00E3750C" w:rsidP="00047864">
            <w:pPr>
              <w:spacing w:after="0" w:line="240" w:lineRule="auto"/>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3</w:t>
            </w:r>
          </w:p>
        </w:tc>
        <w:tc>
          <w:tcPr>
            <w:tcW w:w="2427" w:type="pct"/>
            <w:vMerge w:val="restart"/>
            <w:tcBorders>
              <w:top w:val="nil"/>
              <w:left w:val="single" w:sz="4" w:space="0" w:color="auto"/>
              <w:bottom w:val="single" w:sz="4" w:space="0" w:color="auto"/>
              <w:right w:val="single" w:sz="4" w:space="0" w:color="auto"/>
            </w:tcBorders>
            <w:shd w:val="clear" w:color="auto" w:fill="auto"/>
            <w:vAlign w:val="center"/>
            <w:hideMark/>
          </w:tcPr>
          <w:p w14:paraId="168225BA" w14:textId="77777777" w:rsidR="00E3750C" w:rsidRPr="000E3B8A" w:rsidRDefault="00E3750C" w:rsidP="00047864">
            <w:pPr>
              <w:spacing w:after="0" w:line="240" w:lineRule="auto"/>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Javni skladi</w:t>
            </w:r>
          </w:p>
        </w:tc>
        <w:tc>
          <w:tcPr>
            <w:tcW w:w="500" w:type="pct"/>
            <w:tcBorders>
              <w:top w:val="nil"/>
              <w:left w:val="nil"/>
              <w:bottom w:val="single" w:sz="4" w:space="0" w:color="auto"/>
              <w:right w:val="single" w:sz="4" w:space="0" w:color="auto"/>
            </w:tcBorders>
            <w:shd w:val="clear" w:color="auto" w:fill="auto"/>
            <w:noWrap/>
            <w:vAlign w:val="center"/>
            <w:hideMark/>
          </w:tcPr>
          <w:p w14:paraId="19EE16B5" w14:textId="77777777" w:rsidR="00E3750C" w:rsidRPr="000E3B8A" w:rsidRDefault="00E3750C" w:rsidP="00047864">
            <w:pPr>
              <w:spacing w:after="0" w:line="240" w:lineRule="auto"/>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Blago</w:t>
            </w:r>
          </w:p>
        </w:tc>
        <w:tc>
          <w:tcPr>
            <w:tcW w:w="500" w:type="pct"/>
            <w:tcBorders>
              <w:top w:val="nil"/>
              <w:left w:val="nil"/>
              <w:bottom w:val="single" w:sz="4" w:space="0" w:color="auto"/>
              <w:right w:val="single" w:sz="4" w:space="0" w:color="auto"/>
            </w:tcBorders>
            <w:shd w:val="clear" w:color="auto" w:fill="auto"/>
            <w:noWrap/>
            <w:vAlign w:val="center"/>
            <w:hideMark/>
          </w:tcPr>
          <w:p w14:paraId="5DE9D1D4"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1</w:t>
            </w:r>
          </w:p>
        </w:tc>
        <w:tc>
          <w:tcPr>
            <w:tcW w:w="1073" w:type="pct"/>
            <w:tcBorders>
              <w:top w:val="nil"/>
              <w:left w:val="nil"/>
              <w:bottom w:val="single" w:sz="4" w:space="0" w:color="auto"/>
              <w:right w:val="single" w:sz="4" w:space="0" w:color="auto"/>
            </w:tcBorders>
            <w:shd w:val="clear" w:color="auto" w:fill="auto"/>
            <w:noWrap/>
            <w:vAlign w:val="center"/>
            <w:hideMark/>
          </w:tcPr>
          <w:p w14:paraId="6E239511"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181.321</w:t>
            </w:r>
          </w:p>
        </w:tc>
      </w:tr>
      <w:tr w:rsidR="00E3750C" w:rsidRPr="000E3B8A" w14:paraId="347193D2" w14:textId="77777777" w:rsidTr="00047864">
        <w:trPr>
          <w:trHeight w:val="300"/>
        </w:trPr>
        <w:tc>
          <w:tcPr>
            <w:tcW w:w="500" w:type="pct"/>
            <w:vMerge/>
            <w:tcBorders>
              <w:top w:val="nil"/>
              <w:left w:val="single" w:sz="4" w:space="0" w:color="auto"/>
              <w:bottom w:val="single" w:sz="4" w:space="0" w:color="auto"/>
              <w:right w:val="single" w:sz="4" w:space="0" w:color="auto"/>
            </w:tcBorders>
            <w:vAlign w:val="center"/>
            <w:hideMark/>
          </w:tcPr>
          <w:p w14:paraId="2937EB74" w14:textId="77777777" w:rsidR="00E3750C" w:rsidRPr="000E3B8A" w:rsidRDefault="00E3750C" w:rsidP="00047864">
            <w:pPr>
              <w:spacing w:after="0" w:line="240" w:lineRule="auto"/>
              <w:rPr>
                <w:rFonts w:ascii="Calibri" w:eastAsia="Times New Roman" w:hAnsi="Calibri" w:cs="Calibri"/>
                <w:color w:val="000000"/>
                <w:lang w:eastAsia="sl-SI"/>
              </w:rPr>
            </w:pPr>
          </w:p>
        </w:tc>
        <w:tc>
          <w:tcPr>
            <w:tcW w:w="2427" w:type="pct"/>
            <w:vMerge/>
            <w:tcBorders>
              <w:top w:val="nil"/>
              <w:left w:val="single" w:sz="4" w:space="0" w:color="auto"/>
              <w:bottom w:val="single" w:sz="4" w:space="0" w:color="auto"/>
              <w:right w:val="single" w:sz="4" w:space="0" w:color="auto"/>
            </w:tcBorders>
            <w:vAlign w:val="center"/>
            <w:hideMark/>
          </w:tcPr>
          <w:p w14:paraId="615077B0" w14:textId="77777777" w:rsidR="00E3750C" w:rsidRPr="000E3B8A" w:rsidRDefault="00E3750C" w:rsidP="00047864">
            <w:pPr>
              <w:spacing w:after="0" w:line="240" w:lineRule="auto"/>
              <w:rPr>
                <w:rFonts w:ascii="Calibri" w:eastAsia="Times New Roman" w:hAnsi="Calibri" w:cs="Calibri"/>
                <w:color w:val="000000"/>
                <w:lang w:eastAsia="sl-SI"/>
              </w:rPr>
            </w:pPr>
          </w:p>
        </w:tc>
        <w:tc>
          <w:tcPr>
            <w:tcW w:w="500" w:type="pct"/>
            <w:tcBorders>
              <w:top w:val="nil"/>
              <w:left w:val="nil"/>
              <w:bottom w:val="single" w:sz="4" w:space="0" w:color="auto"/>
              <w:right w:val="single" w:sz="4" w:space="0" w:color="auto"/>
            </w:tcBorders>
            <w:shd w:val="clear" w:color="auto" w:fill="auto"/>
            <w:noWrap/>
            <w:vAlign w:val="center"/>
            <w:hideMark/>
          </w:tcPr>
          <w:p w14:paraId="670C7DC4" w14:textId="77777777" w:rsidR="00E3750C" w:rsidRPr="000E3B8A" w:rsidRDefault="00E3750C" w:rsidP="00047864">
            <w:pPr>
              <w:spacing w:after="0" w:line="240" w:lineRule="auto"/>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Storitve</w:t>
            </w:r>
          </w:p>
        </w:tc>
        <w:tc>
          <w:tcPr>
            <w:tcW w:w="500" w:type="pct"/>
            <w:tcBorders>
              <w:top w:val="nil"/>
              <w:left w:val="nil"/>
              <w:bottom w:val="single" w:sz="4" w:space="0" w:color="auto"/>
              <w:right w:val="single" w:sz="4" w:space="0" w:color="auto"/>
            </w:tcBorders>
            <w:shd w:val="clear" w:color="auto" w:fill="auto"/>
            <w:noWrap/>
            <w:vAlign w:val="center"/>
            <w:hideMark/>
          </w:tcPr>
          <w:p w14:paraId="6541B872"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33</w:t>
            </w:r>
          </w:p>
        </w:tc>
        <w:tc>
          <w:tcPr>
            <w:tcW w:w="1073" w:type="pct"/>
            <w:tcBorders>
              <w:top w:val="nil"/>
              <w:left w:val="nil"/>
              <w:bottom w:val="single" w:sz="4" w:space="0" w:color="auto"/>
              <w:right w:val="single" w:sz="4" w:space="0" w:color="auto"/>
            </w:tcBorders>
            <w:shd w:val="clear" w:color="auto" w:fill="auto"/>
            <w:noWrap/>
            <w:vAlign w:val="center"/>
            <w:hideMark/>
          </w:tcPr>
          <w:p w14:paraId="254DCB00"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5.901.233</w:t>
            </w:r>
          </w:p>
        </w:tc>
      </w:tr>
      <w:tr w:rsidR="00E3750C" w:rsidRPr="000E3B8A" w14:paraId="1C5E5AE5" w14:textId="77777777" w:rsidTr="00047864">
        <w:trPr>
          <w:trHeight w:val="300"/>
        </w:trPr>
        <w:tc>
          <w:tcPr>
            <w:tcW w:w="500" w:type="pct"/>
            <w:vMerge/>
            <w:tcBorders>
              <w:top w:val="nil"/>
              <w:left w:val="single" w:sz="4" w:space="0" w:color="auto"/>
              <w:bottom w:val="single" w:sz="4" w:space="0" w:color="auto"/>
              <w:right w:val="single" w:sz="4" w:space="0" w:color="auto"/>
            </w:tcBorders>
            <w:vAlign w:val="center"/>
            <w:hideMark/>
          </w:tcPr>
          <w:p w14:paraId="0440AA72" w14:textId="77777777" w:rsidR="00E3750C" w:rsidRPr="000E3B8A" w:rsidRDefault="00E3750C" w:rsidP="00047864">
            <w:pPr>
              <w:spacing w:after="0" w:line="240" w:lineRule="auto"/>
              <w:rPr>
                <w:rFonts w:ascii="Calibri" w:eastAsia="Times New Roman" w:hAnsi="Calibri" w:cs="Calibri"/>
                <w:color w:val="000000"/>
                <w:lang w:eastAsia="sl-SI"/>
              </w:rPr>
            </w:pPr>
          </w:p>
        </w:tc>
        <w:tc>
          <w:tcPr>
            <w:tcW w:w="2427" w:type="pct"/>
            <w:vMerge/>
            <w:tcBorders>
              <w:top w:val="nil"/>
              <w:left w:val="single" w:sz="4" w:space="0" w:color="auto"/>
              <w:bottom w:val="single" w:sz="4" w:space="0" w:color="auto"/>
              <w:right w:val="single" w:sz="4" w:space="0" w:color="auto"/>
            </w:tcBorders>
            <w:vAlign w:val="center"/>
            <w:hideMark/>
          </w:tcPr>
          <w:p w14:paraId="3FD79202" w14:textId="77777777" w:rsidR="00E3750C" w:rsidRPr="000E3B8A" w:rsidRDefault="00E3750C" w:rsidP="00047864">
            <w:pPr>
              <w:spacing w:after="0" w:line="240" w:lineRule="auto"/>
              <w:rPr>
                <w:rFonts w:ascii="Calibri" w:eastAsia="Times New Roman" w:hAnsi="Calibri" w:cs="Calibri"/>
                <w:color w:val="000000"/>
                <w:lang w:eastAsia="sl-SI"/>
              </w:rPr>
            </w:pPr>
          </w:p>
        </w:tc>
        <w:tc>
          <w:tcPr>
            <w:tcW w:w="500" w:type="pct"/>
            <w:tcBorders>
              <w:top w:val="nil"/>
              <w:left w:val="nil"/>
              <w:bottom w:val="single" w:sz="4" w:space="0" w:color="auto"/>
              <w:right w:val="single" w:sz="4" w:space="0" w:color="auto"/>
            </w:tcBorders>
            <w:shd w:val="clear" w:color="auto" w:fill="auto"/>
            <w:noWrap/>
            <w:vAlign w:val="center"/>
            <w:hideMark/>
          </w:tcPr>
          <w:p w14:paraId="4C093237" w14:textId="77777777" w:rsidR="00E3750C" w:rsidRPr="000E3B8A" w:rsidRDefault="00E3750C" w:rsidP="00047864">
            <w:pPr>
              <w:spacing w:after="0" w:line="240" w:lineRule="auto"/>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Gradnje</w:t>
            </w:r>
          </w:p>
        </w:tc>
        <w:tc>
          <w:tcPr>
            <w:tcW w:w="500" w:type="pct"/>
            <w:tcBorders>
              <w:top w:val="nil"/>
              <w:left w:val="nil"/>
              <w:bottom w:val="single" w:sz="4" w:space="0" w:color="auto"/>
              <w:right w:val="single" w:sz="4" w:space="0" w:color="auto"/>
            </w:tcBorders>
            <w:shd w:val="clear" w:color="auto" w:fill="auto"/>
            <w:noWrap/>
            <w:vAlign w:val="center"/>
            <w:hideMark/>
          </w:tcPr>
          <w:p w14:paraId="17D83981"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23</w:t>
            </w:r>
          </w:p>
        </w:tc>
        <w:tc>
          <w:tcPr>
            <w:tcW w:w="1073" w:type="pct"/>
            <w:tcBorders>
              <w:top w:val="nil"/>
              <w:left w:val="nil"/>
              <w:bottom w:val="single" w:sz="4" w:space="0" w:color="auto"/>
              <w:right w:val="single" w:sz="4" w:space="0" w:color="auto"/>
            </w:tcBorders>
            <w:shd w:val="clear" w:color="auto" w:fill="auto"/>
            <w:noWrap/>
            <w:vAlign w:val="center"/>
            <w:hideMark/>
          </w:tcPr>
          <w:p w14:paraId="5D22D551"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54.217.806</w:t>
            </w:r>
          </w:p>
        </w:tc>
      </w:tr>
      <w:tr w:rsidR="00E3750C" w:rsidRPr="000E3B8A" w14:paraId="245575AE" w14:textId="77777777" w:rsidTr="00047864">
        <w:trPr>
          <w:trHeight w:val="300"/>
        </w:trPr>
        <w:tc>
          <w:tcPr>
            <w:tcW w:w="500" w:type="pct"/>
            <w:vMerge/>
            <w:tcBorders>
              <w:top w:val="nil"/>
              <w:left w:val="single" w:sz="4" w:space="0" w:color="auto"/>
              <w:bottom w:val="single" w:sz="4" w:space="0" w:color="auto"/>
              <w:right w:val="single" w:sz="4" w:space="0" w:color="auto"/>
            </w:tcBorders>
            <w:vAlign w:val="center"/>
            <w:hideMark/>
          </w:tcPr>
          <w:p w14:paraId="6AD1CE31" w14:textId="77777777" w:rsidR="00E3750C" w:rsidRPr="000E3B8A" w:rsidRDefault="00E3750C" w:rsidP="00047864">
            <w:pPr>
              <w:spacing w:after="0" w:line="240" w:lineRule="auto"/>
              <w:rPr>
                <w:rFonts w:ascii="Calibri" w:eastAsia="Times New Roman" w:hAnsi="Calibri" w:cs="Calibri"/>
                <w:color w:val="000000"/>
                <w:lang w:eastAsia="sl-SI"/>
              </w:rPr>
            </w:pPr>
          </w:p>
        </w:tc>
        <w:tc>
          <w:tcPr>
            <w:tcW w:w="2427" w:type="pct"/>
            <w:vMerge/>
            <w:tcBorders>
              <w:top w:val="nil"/>
              <w:left w:val="single" w:sz="4" w:space="0" w:color="auto"/>
              <w:bottom w:val="single" w:sz="4" w:space="0" w:color="auto"/>
              <w:right w:val="single" w:sz="4" w:space="0" w:color="auto"/>
            </w:tcBorders>
            <w:vAlign w:val="center"/>
            <w:hideMark/>
          </w:tcPr>
          <w:p w14:paraId="0DE02730" w14:textId="77777777" w:rsidR="00E3750C" w:rsidRPr="000E3B8A" w:rsidRDefault="00E3750C" w:rsidP="00047864">
            <w:pPr>
              <w:spacing w:after="0" w:line="240" w:lineRule="auto"/>
              <w:rPr>
                <w:rFonts w:ascii="Calibri" w:eastAsia="Times New Roman" w:hAnsi="Calibri" w:cs="Calibri"/>
                <w:color w:val="000000"/>
                <w:lang w:eastAsia="sl-SI"/>
              </w:rPr>
            </w:pPr>
          </w:p>
        </w:tc>
        <w:tc>
          <w:tcPr>
            <w:tcW w:w="500" w:type="pct"/>
            <w:tcBorders>
              <w:top w:val="nil"/>
              <w:left w:val="nil"/>
              <w:bottom w:val="single" w:sz="4" w:space="0" w:color="auto"/>
              <w:right w:val="single" w:sz="4" w:space="0" w:color="auto"/>
            </w:tcBorders>
            <w:shd w:val="clear" w:color="auto" w:fill="auto"/>
            <w:noWrap/>
            <w:vAlign w:val="center"/>
            <w:hideMark/>
          </w:tcPr>
          <w:p w14:paraId="6B4C19CD" w14:textId="77777777" w:rsidR="00E3750C" w:rsidRPr="000E3B8A" w:rsidRDefault="00E3750C" w:rsidP="00047864">
            <w:pPr>
              <w:spacing w:after="0" w:line="240" w:lineRule="auto"/>
              <w:rPr>
                <w:rFonts w:ascii="Arial" w:eastAsia="Times New Roman" w:hAnsi="Arial" w:cs="Arial"/>
                <w:b/>
                <w:bCs/>
                <w:color w:val="000000"/>
                <w:sz w:val="18"/>
                <w:szCs w:val="18"/>
                <w:lang w:eastAsia="sl-SI"/>
              </w:rPr>
            </w:pPr>
            <w:r w:rsidRPr="000E3B8A">
              <w:rPr>
                <w:rFonts w:ascii="Arial" w:eastAsia="Times New Roman" w:hAnsi="Arial" w:cs="Arial"/>
                <w:b/>
                <w:bCs/>
                <w:color w:val="000000"/>
                <w:sz w:val="18"/>
                <w:szCs w:val="18"/>
                <w:lang w:eastAsia="sl-SI"/>
              </w:rPr>
              <w:t>Skupaj</w:t>
            </w:r>
          </w:p>
        </w:tc>
        <w:tc>
          <w:tcPr>
            <w:tcW w:w="500" w:type="pct"/>
            <w:tcBorders>
              <w:top w:val="nil"/>
              <w:left w:val="nil"/>
              <w:bottom w:val="single" w:sz="4" w:space="0" w:color="auto"/>
              <w:right w:val="single" w:sz="4" w:space="0" w:color="auto"/>
            </w:tcBorders>
            <w:shd w:val="clear" w:color="auto" w:fill="auto"/>
            <w:noWrap/>
            <w:vAlign w:val="center"/>
            <w:hideMark/>
          </w:tcPr>
          <w:p w14:paraId="6186C49B" w14:textId="77777777" w:rsidR="00E3750C" w:rsidRPr="000E3B8A" w:rsidRDefault="00E3750C" w:rsidP="00047864">
            <w:pPr>
              <w:spacing w:after="0" w:line="240" w:lineRule="auto"/>
              <w:jc w:val="right"/>
              <w:rPr>
                <w:rFonts w:ascii="Arial" w:eastAsia="Times New Roman" w:hAnsi="Arial" w:cs="Arial"/>
                <w:b/>
                <w:bCs/>
                <w:color w:val="000000"/>
                <w:sz w:val="18"/>
                <w:szCs w:val="18"/>
                <w:lang w:eastAsia="sl-SI"/>
              </w:rPr>
            </w:pPr>
            <w:r w:rsidRPr="000E3B8A">
              <w:rPr>
                <w:rFonts w:ascii="Arial" w:eastAsia="Times New Roman" w:hAnsi="Arial" w:cs="Arial"/>
                <w:b/>
                <w:bCs/>
                <w:color w:val="000000"/>
                <w:sz w:val="18"/>
                <w:szCs w:val="18"/>
                <w:lang w:eastAsia="sl-SI"/>
              </w:rPr>
              <w:t>57</w:t>
            </w:r>
          </w:p>
        </w:tc>
        <w:tc>
          <w:tcPr>
            <w:tcW w:w="1073" w:type="pct"/>
            <w:tcBorders>
              <w:top w:val="nil"/>
              <w:left w:val="nil"/>
              <w:bottom w:val="single" w:sz="4" w:space="0" w:color="auto"/>
              <w:right w:val="single" w:sz="4" w:space="0" w:color="auto"/>
            </w:tcBorders>
            <w:shd w:val="clear" w:color="auto" w:fill="auto"/>
            <w:noWrap/>
            <w:vAlign w:val="center"/>
            <w:hideMark/>
          </w:tcPr>
          <w:p w14:paraId="0A316752" w14:textId="77777777" w:rsidR="00E3750C" w:rsidRPr="000E3B8A" w:rsidRDefault="00E3750C" w:rsidP="00047864">
            <w:pPr>
              <w:spacing w:after="0" w:line="240" w:lineRule="auto"/>
              <w:jc w:val="right"/>
              <w:rPr>
                <w:rFonts w:ascii="Arial" w:eastAsia="Times New Roman" w:hAnsi="Arial" w:cs="Arial"/>
                <w:b/>
                <w:bCs/>
                <w:color w:val="000000"/>
                <w:sz w:val="18"/>
                <w:szCs w:val="18"/>
                <w:lang w:eastAsia="sl-SI"/>
              </w:rPr>
            </w:pPr>
            <w:r w:rsidRPr="000E3B8A">
              <w:rPr>
                <w:rFonts w:ascii="Arial" w:eastAsia="Times New Roman" w:hAnsi="Arial" w:cs="Arial"/>
                <w:b/>
                <w:bCs/>
                <w:color w:val="000000"/>
                <w:sz w:val="18"/>
                <w:szCs w:val="18"/>
                <w:lang w:eastAsia="sl-SI"/>
              </w:rPr>
              <w:t>60.300.360</w:t>
            </w:r>
          </w:p>
        </w:tc>
      </w:tr>
      <w:tr w:rsidR="00E3750C" w:rsidRPr="000E3B8A" w14:paraId="07B7D28A" w14:textId="77777777" w:rsidTr="00047864">
        <w:trPr>
          <w:trHeight w:val="300"/>
        </w:trPr>
        <w:tc>
          <w:tcPr>
            <w:tcW w:w="50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905339" w14:textId="77777777" w:rsidR="00E3750C" w:rsidRPr="000E3B8A" w:rsidRDefault="00E3750C" w:rsidP="00047864">
            <w:pPr>
              <w:spacing w:after="0" w:line="240" w:lineRule="auto"/>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4</w:t>
            </w:r>
          </w:p>
        </w:tc>
        <w:tc>
          <w:tcPr>
            <w:tcW w:w="2427" w:type="pct"/>
            <w:vMerge w:val="restart"/>
            <w:tcBorders>
              <w:top w:val="nil"/>
              <w:left w:val="single" w:sz="4" w:space="0" w:color="auto"/>
              <w:bottom w:val="single" w:sz="4" w:space="0" w:color="auto"/>
              <w:right w:val="single" w:sz="4" w:space="0" w:color="auto"/>
            </w:tcBorders>
            <w:shd w:val="clear" w:color="auto" w:fill="auto"/>
            <w:vAlign w:val="center"/>
            <w:hideMark/>
          </w:tcPr>
          <w:p w14:paraId="24D5A8B2" w14:textId="77777777" w:rsidR="00E3750C" w:rsidRPr="000E3B8A" w:rsidRDefault="00E3750C" w:rsidP="00047864">
            <w:pPr>
              <w:spacing w:after="0" w:line="240" w:lineRule="auto"/>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Javne agencije</w:t>
            </w:r>
          </w:p>
        </w:tc>
        <w:tc>
          <w:tcPr>
            <w:tcW w:w="500" w:type="pct"/>
            <w:tcBorders>
              <w:top w:val="nil"/>
              <w:left w:val="nil"/>
              <w:bottom w:val="single" w:sz="4" w:space="0" w:color="auto"/>
              <w:right w:val="single" w:sz="4" w:space="0" w:color="auto"/>
            </w:tcBorders>
            <w:shd w:val="clear" w:color="auto" w:fill="auto"/>
            <w:noWrap/>
            <w:vAlign w:val="center"/>
            <w:hideMark/>
          </w:tcPr>
          <w:p w14:paraId="33B57939" w14:textId="77777777" w:rsidR="00E3750C" w:rsidRPr="000E3B8A" w:rsidRDefault="00E3750C" w:rsidP="00047864">
            <w:pPr>
              <w:spacing w:after="0" w:line="240" w:lineRule="auto"/>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Blago</w:t>
            </w:r>
          </w:p>
        </w:tc>
        <w:tc>
          <w:tcPr>
            <w:tcW w:w="500" w:type="pct"/>
            <w:tcBorders>
              <w:top w:val="nil"/>
              <w:left w:val="nil"/>
              <w:bottom w:val="single" w:sz="4" w:space="0" w:color="auto"/>
              <w:right w:val="single" w:sz="4" w:space="0" w:color="auto"/>
            </w:tcBorders>
            <w:shd w:val="clear" w:color="auto" w:fill="auto"/>
            <w:noWrap/>
            <w:vAlign w:val="center"/>
            <w:hideMark/>
          </w:tcPr>
          <w:p w14:paraId="53F86143"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24</w:t>
            </w:r>
          </w:p>
        </w:tc>
        <w:tc>
          <w:tcPr>
            <w:tcW w:w="1073" w:type="pct"/>
            <w:tcBorders>
              <w:top w:val="nil"/>
              <w:left w:val="nil"/>
              <w:bottom w:val="single" w:sz="4" w:space="0" w:color="auto"/>
              <w:right w:val="single" w:sz="4" w:space="0" w:color="auto"/>
            </w:tcBorders>
            <w:shd w:val="clear" w:color="auto" w:fill="auto"/>
            <w:noWrap/>
            <w:vAlign w:val="center"/>
            <w:hideMark/>
          </w:tcPr>
          <w:p w14:paraId="7AB83435"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1.272.141</w:t>
            </w:r>
          </w:p>
        </w:tc>
      </w:tr>
      <w:tr w:rsidR="00E3750C" w:rsidRPr="000E3B8A" w14:paraId="2BD5AAA6" w14:textId="77777777" w:rsidTr="00047864">
        <w:trPr>
          <w:trHeight w:val="300"/>
        </w:trPr>
        <w:tc>
          <w:tcPr>
            <w:tcW w:w="500" w:type="pct"/>
            <w:vMerge/>
            <w:tcBorders>
              <w:top w:val="nil"/>
              <w:left w:val="single" w:sz="4" w:space="0" w:color="auto"/>
              <w:bottom w:val="single" w:sz="4" w:space="0" w:color="auto"/>
              <w:right w:val="single" w:sz="4" w:space="0" w:color="auto"/>
            </w:tcBorders>
            <w:vAlign w:val="center"/>
            <w:hideMark/>
          </w:tcPr>
          <w:p w14:paraId="3214A038" w14:textId="77777777" w:rsidR="00E3750C" w:rsidRPr="000E3B8A" w:rsidRDefault="00E3750C" w:rsidP="00047864">
            <w:pPr>
              <w:spacing w:after="0" w:line="240" w:lineRule="auto"/>
              <w:rPr>
                <w:rFonts w:ascii="Arial" w:eastAsia="Times New Roman" w:hAnsi="Arial" w:cs="Arial"/>
                <w:color w:val="000000"/>
                <w:sz w:val="18"/>
                <w:szCs w:val="18"/>
                <w:lang w:eastAsia="sl-SI"/>
              </w:rPr>
            </w:pPr>
          </w:p>
        </w:tc>
        <w:tc>
          <w:tcPr>
            <w:tcW w:w="2427" w:type="pct"/>
            <w:vMerge/>
            <w:tcBorders>
              <w:top w:val="nil"/>
              <w:left w:val="single" w:sz="4" w:space="0" w:color="auto"/>
              <w:bottom w:val="single" w:sz="4" w:space="0" w:color="auto"/>
              <w:right w:val="single" w:sz="4" w:space="0" w:color="auto"/>
            </w:tcBorders>
            <w:vAlign w:val="center"/>
            <w:hideMark/>
          </w:tcPr>
          <w:p w14:paraId="5C536500" w14:textId="77777777" w:rsidR="00E3750C" w:rsidRPr="000E3B8A" w:rsidRDefault="00E3750C" w:rsidP="00047864">
            <w:pPr>
              <w:spacing w:after="0" w:line="240" w:lineRule="auto"/>
              <w:rPr>
                <w:rFonts w:ascii="Arial" w:eastAsia="Times New Roman" w:hAnsi="Arial" w:cs="Arial"/>
                <w:color w:val="000000"/>
                <w:sz w:val="18"/>
                <w:szCs w:val="18"/>
                <w:lang w:eastAsia="sl-SI"/>
              </w:rPr>
            </w:pPr>
          </w:p>
        </w:tc>
        <w:tc>
          <w:tcPr>
            <w:tcW w:w="500" w:type="pct"/>
            <w:tcBorders>
              <w:top w:val="nil"/>
              <w:left w:val="nil"/>
              <w:bottom w:val="single" w:sz="4" w:space="0" w:color="auto"/>
              <w:right w:val="single" w:sz="4" w:space="0" w:color="auto"/>
            </w:tcBorders>
            <w:shd w:val="clear" w:color="auto" w:fill="auto"/>
            <w:noWrap/>
            <w:vAlign w:val="center"/>
            <w:hideMark/>
          </w:tcPr>
          <w:p w14:paraId="065696FB" w14:textId="77777777" w:rsidR="00E3750C" w:rsidRPr="000E3B8A" w:rsidRDefault="00E3750C" w:rsidP="00047864">
            <w:pPr>
              <w:spacing w:after="0" w:line="240" w:lineRule="auto"/>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Storitve</w:t>
            </w:r>
          </w:p>
        </w:tc>
        <w:tc>
          <w:tcPr>
            <w:tcW w:w="500" w:type="pct"/>
            <w:tcBorders>
              <w:top w:val="nil"/>
              <w:left w:val="nil"/>
              <w:bottom w:val="single" w:sz="4" w:space="0" w:color="auto"/>
              <w:right w:val="single" w:sz="4" w:space="0" w:color="auto"/>
            </w:tcBorders>
            <w:shd w:val="clear" w:color="auto" w:fill="auto"/>
            <w:noWrap/>
            <w:vAlign w:val="center"/>
            <w:hideMark/>
          </w:tcPr>
          <w:p w14:paraId="42EAD6D4"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69</w:t>
            </w:r>
          </w:p>
        </w:tc>
        <w:tc>
          <w:tcPr>
            <w:tcW w:w="1073" w:type="pct"/>
            <w:tcBorders>
              <w:top w:val="nil"/>
              <w:left w:val="nil"/>
              <w:bottom w:val="single" w:sz="4" w:space="0" w:color="auto"/>
              <w:right w:val="single" w:sz="4" w:space="0" w:color="auto"/>
            </w:tcBorders>
            <w:shd w:val="clear" w:color="auto" w:fill="auto"/>
            <w:noWrap/>
            <w:vAlign w:val="center"/>
            <w:hideMark/>
          </w:tcPr>
          <w:p w14:paraId="46404CF8"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10.205.052</w:t>
            </w:r>
          </w:p>
        </w:tc>
      </w:tr>
      <w:tr w:rsidR="00E3750C" w:rsidRPr="000E3B8A" w14:paraId="5169EC7D" w14:textId="77777777" w:rsidTr="00047864">
        <w:trPr>
          <w:trHeight w:val="300"/>
        </w:trPr>
        <w:tc>
          <w:tcPr>
            <w:tcW w:w="500" w:type="pct"/>
            <w:vMerge/>
            <w:tcBorders>
              <w:top w:val="nil"/>
              <w:left w:val="single" w:sz="4" w:space="0" w:color="auto"/>
              <w:bottom w:val="single" w:sz="4" w:space="0" w:color="auto"/>
              <w:right w:val="single" w:sz="4" w:space="0" w:color="auto"/>
            </w:tcBorders>
            <w:vAlign w:val="center"/>
            <w:hideMark/>
          </w:tcPr>
          <w:p w14:paraId="3F007301" w14:textId="77777777" w:rsidR="00E3750C" w:rsidRPr="000E3B8A" w:rsidRDefault="00E3750C" w:rsidP="00047864">
            <w:pPr>
              <w:spacing w:after="0" w:line="240" w:lineRule="auto"/>
              <w:rPr>
                <w:rFonts w:ascii="Arial" w:eastAsia="Times New Roman" w:hAnsi="Arial" w:cs="Arial"/>
                <w:color w:val="000000"/>
                <w:sz w:val="18"/>
                <w:szCs w:val="18"/>
                <w:lang w:eastAsia="sl-SI"/>
              </w:rPr>
            </w:pPr>
          </w:p>
        </w:tc>
        <w:tc>
          <w:tcPr>
            <w:tcW w:w="2427" w:type="pct"/>
            <w:vMerge/>
            <w:tcBorders>
              <w:top w:val="nil"/>
              <w:left w:val="single" w:sz="4" w:space="0" w:color="auto"/>
              <w:bottom w:val="single" w:sz="4" w:space="0" w:color="auto"/>
              <w:right w:val="single" w:sz="4" w:space="0" w:color="auto"/>
            </w:tcBorders>
            <w:vAlign w:val="center"/>
            <w:hideMark/>
          </w:tcPr>
          <w:p w14:paraId="0F48B8E5" w14:textId="77777777" w:rsidR="00E3750C" w:rsidRPr="000E3B8A" w:rsidRDefault="00E3750C" w:rsidP="00047864">
            <w:pPr>
              <w:spacing w:after="0" w:line="240" w:lineRule="auto"/>
              <w:rPr>
                <w:rFonts w:ascii="Arial" w:eastAsia="Times New Roman" w:hAnsi="Arial" w:cs="Arial"/>
                <w:color w:val="000000"/>
                <w:sz w:val="18"/>
                <w:szCs w:val="18"/>
                <w:lang w:eastAsia="sl-SI"/>
              </w:rPr>
            </w:pPr>
          </w:p>
        </w:tc>
        <w:tc>
          <w:tcPr>
            <w:tcW w:w="500" w:type="pct"/>
            <w:tcBorders>
              <w:top w:val="nil"/>
              <w:left w:val="nil"/>
              <w:bottom w:val="single" w:sz="4" w:space="0" w:color="auto"/>
              <w:right w:val="single" w:sz="4" w:space="0" w:color="auto"/>
            </w:tcBorders>
            <w:shd w:val="clear" w:color="auto" w:fill="auto"/>
            <w:noWrap/>
            <w:vAlign w:val="center"/>
            <w:hideMark/>
          </w:tcPr>
          <w:p w14:paraId="73E9E043" w14:textId="77777777" w:rsidR="00E3750C" w:rsidRPr="000E3B8A" w:rsidRDefault="00E3750C" w:rsidP="00047864">
            <w:pPr>
              <w:spacing w:after="0" w:line="240" w:lineRule="auto"/>
              <w:rPr>
                <w:rFonts w:ascii="Arial" w:eastAsia="Times New Roman" w:hAnsi="Arial" w:cs="Arial"/>
                <w:b/>
                <w:bCs/>
                <w:color w:val="000000"/>
                <w:sz w:val="18"/>
                <w:szCs w:val="18"/>
                <w:lang w:eastAsia="sl-SI"/>
              </w:rPr>
            </w:pPr>
            <w:r w:rsidRPr="000E3B8A">
              <w:rPr>
                <w:rFonts w:ascii="Arial" w:eastAsia="Times New Roman" w:hAnsi="Arial" w:cs="Arial"/>
                <w:b/>
                <w:bCs/>
                <w:color w:val="000000"/>
                <w:sz w:val="18"/>
                <w:szCs w:val="18"/>
                <w:lang w:eastAsia="sl-SI"/>
              </w:rPr>
              <w:t>Skupaj</w:t>
            </w:r>
          </w:p>
        </w:tc>
        <w:tc>
          <w:tcPr>
            <w:tcW w:w="500" w:type="pct"/>
            <w:tcBorders>
              <w:top w:val="nil"/>
              <w:left w:val="nil"/>
              <w:bottom w:val="single" w:sz="4" w:space="0" w:color="auto"/>
              <w:right w:val="single" w:sz="4" w:space="0" w:color="auto"/>
            </w:tcBorders>
            <w:shd w:val="clear" w:color="auto" w:fill="auto"/>
            <w:noWrap/>
            <w:vAlign w:val="center"/>
            <w:hideMark/>
          </w:tcPr>
          <w:p w14:paraId="6E4D5795" w14:textId="77777777" w:rsidR="00E3750C" w:rsidRPr="000E3B8A" w:rsidRDefault="00E3750C" w:rsidP="00047864">
            <w:pPr>
              <w:spacing w:after="0" w:line="240" w:lineRule="auto"/>
              <w:jc w:val="right"/>
              <w:rPr>
                <w:rFonts w:ascii="Arial" w:eastAsia="Times New Roman" w:hAnsi="Arial" w:cs="Arial"/>
                <w:b/>
                <w:bCs/>
                <w:color w:val="000000"/>
                <w:sz w:val="18"/>
                <w:szCs w:val="18"/>
                <w:lang w:eastAsia="sl-SI"/>
              </w:rPr>
            </w:pPr>
            <w:r w:rsidRPr="000E3B8A">
              <w:rPr>
                <w:rFonts w:ascii="Arial" w:eastAsia="Times New Roman" w:hAnsi="Arial" w:cs="Arial"/>
                <w:b/>
                <w:bCs/>
                <w:color w:val="000000"/>
                <w:sz w:val="18"/>
                <w:szCs w:val="18"/>
                <w:lang w:eastAsia="sl-SI"/>
              </w:rPr>
              <w:t>93</w:t>
            </w:r>
          </w:p>
        </w:tc>
        <w:tc>
          <w:tcPr>
            <w:tcW w:w="1073" w:type="pct"/>
            <w:tcBorders>
              <w:top w:val="nil"/>
              <w:left w:val="nil"/>
              <w:bottom w:val="single" w:sz="4" w:space="0" w:color="auto"/>
              <w:right w:val="single" w:sz="4" w:space="0" w:color="auto"/>
            </w:tcBorders>
            <w:shd w:val="clear" w:color="auto" w:fill="auto"/>
            <w:noWrap/>
            <w:vAlign w:val="center"/>
            <w:hideMark/>
          </w:tcPr>
          <w:p w14:paraId="2825E90A" w14:textId="77777777" w:rsidR="00E3750C" w:rsidRPr="000E3B8A" w:rsidRDefault="00E3750C" w:rsidP="00047864">
            <w:pPr>
              <w:spacing w:after="0" w:line="240" w:lineRule="auto"/>
              <w:jc w:val="right"/>
              <w:rPr>
                <w:rFonts w:ascii="Arial" w:eastAsia="Times New Roman" w:hAnsi="Arial" w:cs="Arial"/>
                <w:b/>
                <w:bCs/>
                <w:color w:val="000000"/>
                <w:sz w:val="18"/>
                <w:szCs w:val="18"/>
                <w:lang w:eastAsia="sl-SI"/>
              </w:rPr>
            </w:pPr>
            <w:r w:rsidRPr="000E3B8A">
              <w:rPr>
                <w:rFonts w:ascii="Arial" w:eastAsia="Times New Roman" w:hAnsi="Arial" w:cs="Arial"/>
                <w:b/>
                <w:bCs/>
                <w:color w:val="000000"/>
                <w:sz w:val="18"/>
                <w:szCs w:val="18"/>
                <w:lang w:eastAsia="sl-SI"/>
              </w:rPr>
              <w:t>11.477.193</w:t>
            </w:r>
          </w:p>
        </w:tc>
      </w:tr>
      <w:tr w:rsidR="00E3750C" w:rsidRPr="000E3B8A" w14:paraId="7B580CFD" w14:textId="77777777" w:rsidTr="00047864">
        <w:trPr>
          <w:trHeight w:val="300"/>
        </w:trPr>
        <w:tc>
          <w:tcPr>
            <w:tcW w:w="50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7A258AA" w14:textId="77777777" w:rsidR="00E3750C" w:rsidRPr="000E3B8A" w:rsidRDefault="00E3750C" w:rsidP="00047864">
            <w:pPr>
              <w:spacing w:after="0" w:line="240" w:lineRule="auto"/>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5</w:t>
            </w:r>
          </w:p>
        </w:tc>
        <w:tc>
          <w:tcPr>
            <w:tcW w:w="2427" w:type="pct"/>
            <w:vMerge w:val="restart"/>
            <w:tcBorders>
              <w:top w:val="nil"/>
              <w:left w:val="single" w:sz="4" w:space="0" w:color="auto"/>
              <w:bottom w:val="single" w:sz="4" w:space="0" w:color="auto"/>
              <w:right w:val="single" w:sz="4" w:space="0" w:color="auto"/>
            </w:tcBorders>
            <w:shd w:val="clear" w:color="auto" w:fill="auto"/>
            <w:vAlign w:val="center"/>
            <w:hideMark/>
          </w:tcPr>
          <w:p w14:paraId="5A30691E" w14:textId="77777777" w:rsidR="00E3750C" w:rsidRPr="000E3B8A" w:rsidRDefault="00E3750C" w:rsidP="00047864">
            <w:pPr>
              <w:spacing w:after="0" w:line="240" w:lineRule="auto"/>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Javni zavodi</w:t>
            </w:r>
          </w:p>
        </w:tc>
        <w:tc>
          <w:tcPr>
            <w:tcW w:w="500" w:type="pct"/>
            <w:tcBorders>
              <w:top w:val="nil"/>
              <w:left w:val="nil"/>
              <w:bottom w:val="single" w:sz="4" w:space="0" w:color="auto"/>
              <w:right w:val="single" w:sz="4" w:space="0" w:color="auto"/>
            </w:tcBorders>
            <w:shd w:val="clear" w:color="auto" w:fill="auto"/>
            <w:noWrap/>
            <w:vAlign w:val="center"/>
            <w:hideMark/>
          </w:tcPr>
          <w:p w14:paraId="0E3D8B4E" w14:textId="77777777" w:rsidR="00E3750C" w:rsidRPr="000E3B8A" w:rsidRDefault="00E3750C" w:rsidP="00047864">
            <w:pPr>
              <w:spacing w:after="0" w:line="240" w:lineRule="auto"/>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Blago</w:t>
            </w:r>
          </w:p>
        </w:tc>
        <w:tc>
          <w:tcPr>
            <w:tcW w:w="500" w:type="pct"/>
            <w:tcBorders>
              <w:top w:val="nil"/>
              <w:left w:val="nil"/>
              <w:bottom w:val="single" w:sz="4" w:space="0" w:color="auto"/>
              <w:right w:val="single" w:sz="4" w:space="0" w:color="auto"/>
            </w:tcBorders>
            <w:shd w:val="clear" w:color="auto" w:fill="auto"/>
            <w:noWrap/>
            <w:vAlign w:val="center"/>
            <w:hideMark/>
          </w:tcPr>
          <w:p w14:paraId="6A15D5EC"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8.762</w:t>
            </w:r>
          </w:p>
        </w:tc>
        <w:tc>
          <w:tcPr>
            <w:tcW w:w="1073" w:type="pct"/>
            <w:tcBorders>
              <w:top w:val="nil"/>
              <w:left w:val="nil"/>
              <w:bottom w:val="single" w:sz="4" w:space="0" w:color="auto"/>
              <w:right w:val="single" w:sz="4" w:space="0" w:color="auto"/>
            </w:tcBorders>
            <w:shd w:val="clear" w:color="auto" w:fill="auto"/>
            <w:noWrap/>
            <w:vAlign w:val="center"/>
            <w:hideMark/>
          </w:tcPr>
          <w:p w14:paraId="62BCAD7A"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995.186.116</w:t>
            </w:r>
          </w:p>
        </w:tc>
      </w:tr>
      <w:tr w:rsidR="00E3750C" w:rsidRPr="000E3B8A" w14:paraId="4C6593F4" w14:textId="77777777" w:rsidTr="00047864">
        <w:trPr>
          <w:trHeight w:val="300"/>
        </w:trPr>
        <w:tc>
          <w:tcPr>
            <w:tcW w:w="500" w:type="pct"/>
            <w:vMerge/>
            <w:tcBorders>
              <w:top w:val="nil"/>
              <w:left w:val="single" w:sz="4" w:space="0" w:color="auto"/>
              <w:bottom w:val="single" w:sz="4" w:space="0" w:color="auto"/>
              <w:right w:val="single" w:sz="4" w:space="0" w:color="auto"/>
            </w:tcBorders>
            <w:vAlign w:val="center"/>
            <w:hideMark/>
          </w:tcPr>
          <w:p w14:paraId="7BF746C9" w14:textId="77777777" w:rsidR="00E3750C" w:rsidRPr="000E3B8A" w:rsidRDefault="00E3750C" w:rsidP="00047864">
            <w:pPr>
              <w:spacing w:after="0" w:line="240" w:lineRule="auto"/>
              <w:rPr>
                <w:rFonts w:ascii="Arial" w:eastAsia="Times New Roman" w:hAnsi="Arial" w:cs="Arial"/>
                <w:color w:val="000000"/>
                <w:sz w:val="18"/>
                <w:szCs w:val="18"/>
                <w:lang w:eastAsia="sl-SI"/>
              </w:rPr>
            </w:pPr>
          </w:p>
        </w:tc>
        <w:tc>
          <w:tcPr>
            <w:tcW w:w="2427" w:type="pct"/>
            <w:vMerge/>
            <w:tcBorders>
              <w:top w:val="nil"/>
              <w:left w:val="single" w:sz="4" w:space="0" w:color="auto"/>
              <w:bottom w:val="single" w:sz="4" w:space="0" w:color="auto"/>
              <w:right w:val="single" w:sz="4" w:space="0" w:color="auto"/>
            </w:tcBorders>
            <w:vAlign w:val="center"/>
            <w:hideMark/>
          </w:tcPr>
          <w:p w14:paraId="5863770B" w14:textId="77777777" w:rsidR="00E3750C" w:rsidRPr="000E3B8A" w:rsidRDefault="00E3750C" w:rsidP="00047864">
            <w:pPr>
              <w:spacing w:after="0" w:line="240" w:lineRule="auto"/>
              <w:rPr>
                <w:rFonts w:ascii="Arial" w:eastAsia="Times New Roman" w:hAnsi="Arial" w:cs="Arial"/>
                <w:color w:val="000000"/>
                <w:sz w:val="18"/>
                <w:szCs w:val="18"/>
                <w:lang w:eastAsia="sl-SI"/>
              </w:rPr>
            </w:pPr>
          </w:p>
        </w:tc>
        <w:tc>
          <w:tcPr>
            <w:tcW w:w="500" w:type="pct"/>
            <w:tcBorders>
              <w:top w:val="nil"/>
              <w:left w:val="nil"/>
              <w:bottom w:val="single" w:sz="4" w:space="0" w:color="auto"/>
              <w:right w:val="single" w:sz="4" w:space="0" w:color="auto"/>
            </w:tcBorders>
            <w:shd w:val="clear" w:color="auto" w:fill="auto"/>
            <w:noWrap/>
            <w:vAlign w:val="center"/>
            <w:hideMark/>
          </w:tcPr>
          <w:p w14:paraId="7ADABBBB" w14:textId="77777777" w:rsidR="00E3750C" w:rsidRPr="000E3B8A" w:rsidRDefault="00E3750C" w:rsidP="00047864">
            <w:pPr>
              <w:spacing w:after="0" w:line="240" w:lineRule="auto"/>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Storitve</w:t>
            </w:r>
          </w:p>
        </w:tc>
        <w:tc>
          <w:tcPr>
            <w:tcW w:w="500" w:type="pct"/>
            <w:tcBorders>
              <w:top w:val="nil"/>
              <w:left w:val="nil"/>
              <w:bottom w:val="single" w:sz="4" w:space="0" w:color="auto"/>
              <w:right w:val="single" w:sz="4" w:space="0" w:color="auto"/>
            </w:tcBorders>
            <w:shd w:val="clear" w:color="auto" w:fill="auto"/>
            <w:noWrap/>
            <w:vAlign w:val="center"/>
            <w:hideMark/>
          </w:tcPr>
          <w:p w14:paraId="3460F3DD"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1.167</w:t>
            </w:r>
          </w:p>
        </w:tc>
        <w:tc>
          <w:tcPr>
            <w:tcW w:w="1073" w:type="pct"/>
            <w:tcBorders>
              <w:top w:val="nil"/>
              <w:left w:val="nil"/>
              <w:bottom w:val="single" w:sz="4" w:space="0" w:color="auto"/>
              <w:right w:val="single" w:sz="4" w:space="0" w:color="auto"/>
            </w:tcBorders>
            <w:shd w:val="clear" w:color="auto" w:fill="auto"/>
            <w:noWrap/>
            <w:vAlign w:val="center"/>
            <w:hideMark/>
          </w:tcPr>
          <w:p w14:paraId="067833BD"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208.657.722</w:t>
            </w:r>
          </w:p>
        </w:tc>
      </w:tr>
      <w:tr w:rsidR="00E3750C" w:rsidRPr="000E3B8A" w14:paraId="0A3FF89D" w14:textId="77777777" w:rsidTr="00047864">
        <w:trPr>
          <w:trHeight w:val="300"/>
        </w:trPr>
        <w:tc>
          <w:tcPr>
            <w:tcW w:w="500" w:type="pct"/>
            <w:vMerge/>
            <w:tcBorders>
              <w:top w:val="nil"/>
              <w:left w:val="single" w:sz="4" w:space="0" w:color="auto"/>
              <w:bottom w:val="single" w:sz="4" w:space="0" w:color="auto"/>
              <w:right w:val="single" w:sz="4" w:space="0" w:color="auto"/>
            </w:tcBorders>
            <w:vAlign w:val="center"/>
            <w:hideMark/>
          </w:tcPr>
          <w:p w14:paraId="6FE9DD9E" w14:textId="77777777" w:rsidR="00E3750C" w:rsidRPr="000E3B8A" w:rsidRDefault="00E3750C" w:rsidP="00047864">
            <w:pPr>
              <w:spacing w:after="0" w:line="240" w:lineRule="auto"/>
              <w:rPr>
                <w:rFonts w:ascii="Arial" w:eastAsia="Times New Roman" w:hAnsi="Arial" w:cs="Arial"/>
                <w:color w:val="000000"/>
                <w:sz w:val="18"/>
                <w:szCs w:val="18"/>
                <w:lang w:eastAsia="sl-SI"/>
              </w:rPr>
            </w:pPr>
          </w:p>
        </w:tc>
        <w:tc>
          <w:tcPr>
            <w:tcW w:w="2427" w:type="pct"/>
            <w:vMerge/>
            <w:tcBorders>
              <w:top w:val="nil"/>
              <w:left w:val="single" w:sz="4" w:space="0" w:color="auto"/>
              <w:bottom w:val="single" w:sz="4" w:space="0" w:color="auto"/>
              <w:right w:val="single" w:sz="4" w:space="0" w:color="auto"/>
            </w:tcBorders>
            <w:vAlign w:val="center"/>
            <w:hideMark/>
          </w:tcPr>
          <w:p w14:paraId="79E7D867" w14:textId="77777777" w:rsidR="00E3750C" w:rsidRPr="000E3B8A" w:rsidRDefault="00E3750C" w:rsidP="00047864">
            <w:pPr>
              <w:spacing w:after="0" w:line="240" w:lineRule="auto"/>
              <w:rPr>
                <w:rFonts w:ascii="Arial" w:eastAsia="Times New Roman" w:hAnsi="Arial" w:cs="Arial"/>
                <w:color w:val="000000"/>
                <w:sz w:val="18"/>
                <w:szCs w:val="18"/>
                <w:lang w:eastAsia="sl-SI"/>
              </w:rPr>
            </w:pPr>
          </w:p>
        </w:tc>
        <w:tc>
          <w:tcPr>
            <w:tcW w:w="500" w:type="pct"/>
            <w:tcBorders>
              <w:top w:val="nil"/>
              <w:left w:val="nil"/>
              <w:bottom w:val="single" w:sz="4" w:space="0" w:color="auto"/>
              <w:right w:val="single" w:sz="4" w:space="0" w:color="auto"/>
            </w:tcBorders>
            <w:shd w:val="clear" w:color="auto" w:fill="auto"/>
            <w:noWrap/>
            <w:vAlign w:val="center"/>
            <w:hideMark/>
          </w:tcPr>
          <w:p w14:paraId="4E65D7BC" w14:textId="77777777" w:rsidR="00E3750C" w:rsidRPr="000E3B8A" w:rsidRDefault="00E3750C" w:rsidP="00047864">
            <w:pPr>
              <w:spacing w:after="0" w:line="240" w:lineRule="auto"/>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Gradnje</w:t>
            </w:r>
          </w:p>
        </w:tc>
        <w:tc>
          <w:tcPr>
            <w:tcW w:w="500" w:type="pct"/>
            <w:tcBorders>
              <w:top w:val="nil"/>
              <w:left w:val="nil"/>
              <w:bottom w:val="single" w:sz="4" w:space="0" w:color="auto"/>
              <w:right w:val="single" w:sz="4" w:space="0" w:color="auto"/>
            </w:tcBorders>
            <w:shd w:val="clear" w:color="auto" w:fill="auto"/>
            <w:noWrap/>
            <w:vAlign w:val="center"/>
            <w:hideMark/>
          </w:tcPr>
          <w:p w14:paraId="34122BED"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217</w:t>
            </w:r>
          </w:p>
        </w:tc>
        <w:tc>
          <w:tcPr>
            <w:tcW w:w="1073" w:type="pct"/>
            <w:tcBorders>
              <w:top w:val="nil"/>
              <w:left w:val="nil"/>
              <w:bottom w:val="single" w:sz="4" w:space="0" w:color="auto"/>
              <w:right w:val="single" w:sz="4" w:space="0" w:color="auto"/>
            </w:tcBorders>
            <w:shd w:val="clear" w:color="auto" w:fill="auto"/>
            <w:noWrap/>
            <w:vAlign w:val="center"/>
            <w:hideMark/>
          </w:tcPr>
          <w:p w14:paraId="382BFAC4"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261.384.207</w:t>
            </w:r>
          </w:p>
        </w:tc>
      </w:tr>
      <w:tr w:rsidR="00E3750C" w:rsidRPr="000E3B8A" w14:paraId="6FD36652" w14:textId="77777777" w:rsidTr="00047864">
        <w:trPr>
          <w:trHeight w:val="300"/>
        </w:trPr>
        <w:tc>
          <w:tcPr>
            <w:tcW w:w="500" w:type="pct"/>
            <w:vMerge/>
            <w:tcBorders>
              <w:top w:val="nil"/>
              <w:left w:val="single" w:sz="4" w:space="0" w:color="auto"/>
              <w:bottom w:val="single" w:sz="4" w:space="0" w:color="auto"/>
              <w:right w:val="single" w:sz="4" w:space="0" w:color="auto"/>
            </w:tcBorders>
            <w:vAlign w:val="center"/>
            <w:hideMark/>
          </w:tcPr>
          <w:p w14:paraId="5331567B" w14:textId="77777777" w:rsidR="00E3750C" w:rsidRPr="000E3B8A" w:rsidRDefault="00E3750C" w:rsidP="00047864">
            <w:pPr>
              <w:spacing w:after="0" w:line="240" w:lineRule="auto"/>
              <w:rPr>
                <w:rFonts w:ascii="Arial" w:eastAsia="Times New Roman" w:hAnsi="Arial" w:cs="Arial"/>
                <w:color w:val="000000"/>
                <w:sz w:val="18"/>
                <w:szCs w:val="18"/>
                <w:lang w:eastAsia="sl-SI"/>
              </w:rPr>
            </w:pPr>
          </w:p>
        </w:tc>
        <w:tc>
          <w:tcPr>
            <w:tcW w:w="2427" w:type="pct"/>
            <w:vMerge/>
            <w:tcBorders>
              <w:top w:val="nil"/>
              <w:left w:val="single" w:sz="4" w:space="0" w:color="auto"/>
              <w:bottom w:val="single" w:sz="4" w:space="0" w:color="auto"/>
              <w:right w:val="single" w:sz="4" w:space="0" w:color="auto"/>
            </w:tcBorders>
            <w:vAlign w:val="center"/>
            <w:hideMark/>
          </w:tcPr>
          <w:p w14:paraId="26CF9669" w14:textId="77777777" w:rsidR="00E3750C" w:rsidRPr="000E3B8A" w:rsidRDefault="00E3750C" w:rsidP="00047864">
            <w:pPr>
              <w:spacing w:after="0" w:line="240" w:lineRule="auto"/>
              <w:rPr>
                <w:rFonts w:ascii="Arial" w:eastAsia="Times New Roman" w:hAnsi="Arial" w:cs="Arial"/>
                <w:color w:val="000000"/>
                <w:sz w:val="18"/>
                <w:szCs w:val="18"/>
                <w:lang w:eastAsia="sl-SI"/>
              </w:rPr>
            </w:pPr>
          </w:p>
        </w:tc>
        <w:tc>
          <w:tcPr>
            <w:tcW w:w="500" w:type="pct"/>
            <w:tcBorders>
              <w:top w:val="nil"/>
              <w:left w:val="nil"/>
              <w:bottom w:val="single" w:sz="4" w:space="0" w:color="auto"/>
              <w:right w:val="single" w:sz="4" w:space="0" w:color="auto"/>
            </w:tcBorders>
            <w:shd w:val="clear" w:color="auto" w:fill="auto"/>
            <w:noWrap/>
            <w:vAlign w:val="center"/>
            <w:hideMark/>
          </w:tcPr>
          <w:p w14:paraId="04C9F8F0" w14:textId="77777777" w:rsidR="00E3750C" w:rsidRPr="000E3B8A" w:rsidRDefault="00E3750C" w:rsidP="00047864">
            <w:pPr>
              <w:spacing w:after="0" w:line="240" w:lineRule="auto"/>
              <w:rPr>
                <w:rFonts w:ascii="Arial" w:eastAsia="Times New Roman" w:hAnsi="Arial" w:cs="Arial"/>
                <w:b/>
                <w:bCs/>
                <w:color w:val="000000"/>
                <w:sz w:val="18"/>
                <w:szCs w:val="18"/>
                <w:lang w:eastAsia="sl-SI"/>
              </w:rPr>
            </w:pPr>
            <w:r w:rsidRPr="000E3B8A">
              <w:rPr>
                <w:rFonts w:ascii="Arial" w:eastAsia="Times New Roman" w:hAnsi="Arial" w:cs="Arial"/>
                <w:b/>
                <w:bCs/>
                <w:color w:val="000000"/>
                <w:sz w:val="18"/>
                <w:szCs w:val="18"/>
                <w:lang w:eastAsia="sl-SI"/>
              </w:rPr>
              <w:t>Skupaj</w:t>
            </w:r>
          </w:p>
        </w:tc>
        <w:tc>
          <w:tcPr>
            <w:tcW w:w="500" w:type="pct"/>
            <w:tcBorders>
              <w:top w:val="nil"/>
              <w:left w:val="nil"/>
              <w:bottom w:val="single" w:sz="4" w:space="0" w:color="auto"/>
              <w:right w:val="single" w:sz="4" w:space="0" w:color="auto"/>
            </w:tcBorders>
            <w:shd w:val="clear" w:color="auto" w:fill="auto"/>
            <w:noWrap/>
            <w:vAlign w:val="center"/>
            <w:hideMark/>
          </w:tcPr>
          <w:p w14:paraId="535FCAE8" w14:textId="77777777" w:rsidR="00E3750C" w:rsidRPr="000E3B8A" w:rsidRDefault="00E3750C" w:rsidP="00047864">
            <w:pPr>
              <w:spacing w:after="0" w:line="240" w:lineRule="auto"/>
              <w:jc w:val="right"/>
              <w:rPr>
                <w:rFonts w:ascii="Arial" w:eastAsia="Times New Roman" w:hAnsi="Arial" w:cs="Arial"/>
                <w:b/>
                <w:bCs/>
                <w:color w:val="000000"/>
                <w:sz w:val="18"/>
                <w:szCs w:val="18"/>
                <w:lang w:eastAsia="sl-SI"/>
              </w:rPr>
            </w:pPr>
            <w:r w:rsidRPr="000E3B8A">
              <w:rPr>
                <w:rFonts w:ascii="Arial" w:eastAsia="Times New Roman" w:hAnsi="Arial" w:cs="Arial"/>
                <w:b/>
                <w:bCs/>
                <w:color w:val="000000"/>
                <w:sz w:val="18"/>
                <w:szCs w:val="18"/>
                <w:lang w:eastAsia="sl-SI"/>
              </w:rPr>
              <w:t>10.146</w:t>
            </w:r>
          </w:p>
        </w:tc>
        <w:tc>
          <w:tcPr>
            <w:tcW w:w="1073" w:type="pct"/>
            <w:tcBorders>
              <w:top w:val="nil"/>
              <w:left w:val="nil"/>
              <w:bottom w:val="single" w:sz="4" w:space="0" w:color="auto"/>
              <w:right w:val="single" w:sz="4" w:space="0" w:color="auto"/>
            </w:tcBorders>
            <w:shd w:val="clear" w:color="auto" w:fill="auto"/>
            <w:noWrap/>
            <w:vAlign w:val="center"/>
            <w:hideMark/>
          </w:tcPr>
          <w:p w14:paraId="1CF7F735" w14:textId="77777777" w:rsidR="00E3750C" w:rsidRPr="000E3B8A" w:rsidRDefault="00E3750C" w:rsidP="00047864">
            <w:pPr>
              <w:spacing w:after="0" w:line="240" w:lineRule="auto"/>
              <w:jc w:val="right"/>
              <w:rPr>
                <w:rFonts w:ascii="Arial" w:eastAsia="Times New Roman" w:hAnsi="Arial" w:cs="Arial"/>
                <w:b/>
                <w:bCs/>
                <w:color w:val="000000"/>
                <w:sz w:val="18"/>
                <w:szCs w:val="18"/>
                <w:lang w:eastAsia="sl-SI"/>
              </w:rPr>
            </w:pPr>
            <w:r w:rsidRPr="000E3B8A">
              <w:rPr>
                <w:rFonts w:ascii="Arial" w:eastAsia="Times New Roman" w:hAnsi="Arial" w:cs="Arial"/>
                <w:b/>
                <w:bCs/>
                <w:color w:val="000000"/>
                <w:sz w:val="18"/>
                <w:szCs w:val="18"/>
                <w:lang w:eastAsia="sl-SI"/>
              </w:rPr>
              <w:t>1.465.228.045</w:t>
            </w:r>
          </w:p>
        </w:tc>
      </w:tr>
      <w:tr w:rsidR="00E3750C" w:rsidRPr="000E3B8A" w14:paraId="71CCEDC8" w14:textId="77777777" w:rsidTr="00047864">
        <w:trPr>
          <w:trHeight w:val="300"/>
        </w:trPr>
        <w:tc>
          <w:tcPr>
            <w:tcW w:w="50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C094F3A" w14:textId="77777777" w:rsidR="00E3750C" w:rsidRPr="000E3B8A" w:rsidRDefault="00E3750C" w:rsidP="00047864">
            <w:pPr>
              <w:spacing w:after="0" w:line="240" w:lineRule="auto"/>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6</w:t>
            </w:r>
          </w:p>
        </w:tc>
        <w:tc>
          <w:tcPr>
            <w:tcW w:w="2427" w:type="pct"/>
            <w:vMerge w:val="restart"/>
            <w:tcBorders>
              <w:top w:val="nil"/>
              <w:left w:val="single" w:sz="4" w:space="0" w:color="auto"/>
              <w:bottom w:val="single" w:sz="4" w:space="0" w:color="auto"/>
              <w:right w:val="single" w:sz="4" w:space="0" w:color="auto"/>
            </w:tcBorders>
            <w:shd w:val="clear" w:color="auto" w:fill="auto"/>
            <w:vAlign w:val="center"/>
            <w:hideMark/>
          </w:tcPr>
          <w:p w14:paraId="2C312C3A" w14:textId="77777777" w:rsidR="00E3750C" w:rsidRPr="000E3B8A" w:rsidRDefault="00E3750C" w:rsidP="00047864">
            <w:pPr>
              <w:spacing w:after="0" w:line="240" w:lineRule="auto"/>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Javni gospodarski zavodi</w:t>
            </w:r>
          </w:p>
        </w:tc>
        <w:tc>
          <w:tcPr>
            <w:tcW w:w="500" w:type="pct"/>
            <w:tcBorders>
              <w:top w:val="nil"/>
              <w:left w:val="nil"/>
              <w:bottom w:val="single" w:sz="4" w:space="0" w:color="auto"/>
              <w:right w:val="single" w:sz="4" w:space="0" w:color="auto"/>
            </w:tcBorders>
            <w:shd w:val="clear" w:color="auto" w:fill="auto"/>
            <w:noWrap/>
            <w:vAlign w:val="center"/>
            <w:hideMark/>
          </w:tcPr>
          <w:p w14:paraId="757A83D6" w14:textId="77777777" w:rsidR="00E3750C" w:rsidRPr="000E3B8A" w:rsidRDefault="00E3750C" w:rsidP="00047864">
            <w:pPr>
              <w:spacing w:after="0" w:line="240" w:lineRule="auto"/>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Blago</w:t>
            </w:r>
          </w:p>
        </w:tc>
        <w:tc>
          <w:tcPr>
            <w:tcW w:w="500" w:type="pct"/>
            <w:tcBorders>
              <w:top w:val="nil"/>
              <w:left w:val="nil"/>
              <w:bottom w:val="single" w:sz="4" w:space="0" w:color="auto"/>
              <w:right w:val="single" w:sz="4" w:space="0" w:color="auto"/>
            </w:tcBorders>
            <w:shd w:val="clear" w:color="auto" w:fill="auto"/>
            <w:noWrap/>
            <w:vAlign w:val="center"/>
            <w:hideMark/>
          </w:tcPr>
          <w:p w14:paraId="78208F9E"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128</w:t>
            </w:r>
          </w:p>
        </w:tc>
        <w:tc>
          <w:tcPr>
            <w:tcW w:w="1073" w:type="pct"/>
            <w:tcBorders>
              <w:top w:val="nil"/>
              <w:left w:val="nil"/>
              <w:bottom w:val="single" w:sz="4" w:space="0" w:color="auto"/>
              <w:right w:val="single" w:sz="4" w:space="0" w:color="auto"/>
            </w:tcBorders>
            <w:shd w:val="clear" w:color="auto" w:fill="auto"/>
            <w:noWrap/>
            <w:vAlign w:val="center"/>
            <w:hideMark/>
          </w:tcPr>
          <w:p w14:paraId="14328960"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5.422.352</w:t>
            </w:r>
          </w:p>
        </w:tc>
      </w:tr>
      <w:tr w:rsidR="00E3750C" w:rsidRPr="000E3B8A" w14:paraId="2EC03A08" w14:textId="77777777" w:rsidTr="00047864">
        <w:trPr>
          <w:trHeight w:val="300"/>
        </w:trPr>
        <w:tc>
          <w:tcPr>
            <w:tcW w:w="500" w:type="pct"/>
            <w:vMerge/>
            <w:tcBorders>
              <w:top w:val="nil"/>
              <w:left w:val="single" w:sz="4" w:space="0" w:color="auto"/>
              <w:bottom w:val="single" w:sz="4" w:space="0" w:color="auto"/>
              <w:right w:val="single" w:sz="4" w:space="0" w:color="auto"/>
            </w:tcBorders>
            <w:vAlign w:val="center"/>
            <w:hideMark/>
          </w:tcPr>
          <w:p w14:paraId="5DCAFD8D" w14:textId="77777777" w:rsidR="00E3750C" w:rsidRPr="000E3B8A" w:rsidRDefault="00E3750C" w:rsidP="00047864">
            <w:pPr>
              <w:spacing w:after="0" w:line="240" w:lineRule="auto"/>
              <w:rPr>
                <w:rFonts w:ascii="Arial" w:eastAsia="Times New Roman" w:hAnsi="Arial" w:cs="Arial"/>
                <w:color w:val="000000"/>
                <w:sz w:val="18"/>
                <w:szCs w:val="18"/>
                <w:lang w:eastAsia="sl-SI"/>
              </w:rPr>
            </w:pPr>
          </w:p>
        </w:tc>
        <w:tc>
          <w:tcPr>
            <w:tcW w:w="2427" w:type="pct"/>
            <w:vMerge/>
            <w:tcBorders>
              <w:top w:val="nil"/>
              <w:left w:val="single" w:sz="4" w:space="0" w:color="auto"/>
              <w:bottom w:val="single" w:sz="4" w:space="0" w:color="auto"/>
              <w:right w:val="single" w:sz="4" w:space="0" w:color="auto"/>
            </w:tcBorders>
            <w:vAlign w:val="center"/>
            <w:hideMark/>
          </w:tcPr>
          <w:p w14:paraId="4F6DF9A4" w14:textId="77777777" w:rsidR="00E3750C" w:rsidRPr="000E3B8A" w:rsidRDefault="00E3750C" w:rsidP="00047864">
            <w:pPr>
              <w:spacing w:after="0" w:line="240" w:lineRule="auto"/>
              <w:rPr>
                <w:rFonts w:ascii="Arial" w:eastAsia="Times New Roman" w:hAnsi="Arial" w:cs="Arial"/>
                <w:color w:val="000000"/>
                <w:sz w:val="18"/>
                <w:szCs w:val="18"/>
                <w:lang w:eastAsia="sl-SI"/>
              </w:rPr>
            </w:pPr>
          </w:p>
        </w:tc>
        <w:tc>
          <w:tcPr>
            <w:tcW w:w="500" w:type="pct"/>
            <w:tcBorders>
              <w:top w:val="nil"/>
              <w:left w:val="nil"/>
              <w:bottom w:val="single" w:sz="4" w:space="0" w:color="auto"/>
              <w:right w:val="single" w:sz="4" w:space="0" w:color="auto"/>
            </w:tcBorders>
            <w:shd w:val="clear" w:color="auto" w:fill="auto"/>
            <w:noWrap/>
            <w:vAlign w:val="center"/>
            <w:hideMark/>
          </w:tcPr>
          <w:p w14:paraId="490EE63D" w14:textId="77777777" w:rsidR="00E3750C" w:rsidRPr="000E3B8A" w:rsidRDefault="00E3750C" w:rsidP="00047864">
            <w:pPr>
              <w:spacing w:after="0" w:line="240" w:lineRule="auto"/>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Storitve</w:t>
            </w:r>
          </w:p>
        </w:tc>
        <w:tc>
          <w:tcPr>
            <w:tcW w:w="500" w:type="pct"/>
            <w:tcBorders>
              <w:top w:val="nil"/>
              <w:left w:val="nil"/>
              <w:bottom w:val="single" w:sz="4" w:space="0" w:color="auto"/>
              <w:right w:val="single" w:sz="4" w:space="0" w:color="auto"/>
            </w:tcBorders>
            <w:shd w:val="clear" w:color="auto" w:fill="auto"/>
            <w:noWrap/>
            <w:vAlign w:val="center"/>
            <w:hideMark/>
          </w:tcPr>
          <w:p w14:paraId="5BA38DF2"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11</w:t>
            </w:r>
          </w:p>
        </w:tc>
        <w:tc>
          <w:tcPr>
            <w:tcW w:w="1073" w:type="pct"/>
            <w:tcBorders>
              <w:top w:val="nil"/>
              <w:left w:val="nil"/>
              <w:bottom w:val="single" w:sz="4" w:space="0" w:color="auto"/>
              <w:right w:val="single" w:sz="4" w:space="0" w:color="auto"/>
            </w:tcBorders>
            <w:shd w:val="clear" w:color="auto" w:fill="auto"/>
            <w:noWrap/>
            <w:vAlign w:val="center"/>
            <w:hideMark/>
          </w:tcPr>
          <w:p w14:paraId="2C896A50"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1.646.446</w:t>
            </w:r>
          </w:p>
        </w:tc>
      </w:tr>
      <w:tr w:rsidR="00E3750C" w:rsidRPr="000E3B8A" w14:paraId="3375272B" w14:textId="77777777" w:rsidTr="00047864">
        <w:trPr>
          <w:trHeight w:val="300"/>
        </w:trPr>
        <w:tc>
          <w:tcPr>
            <w:tcW w:w="500" w:type="pct"/>
            <w:vMerge/>
            <w:tcBorders>
              <w:top w:val="nil"/>
              <w:left w:val="single" w:sz="4" w:space="0" w:color="auto"/>
              <w:bottom w:val="single" w:sz="4" w:space="0" w:color="auto"/>
              <w:right w:val="single" w:sz="4" w:space="0" w:color="auto"/>
            </w:tcBorders>
            <w:vAlign w:val="center"/>
            <w:hideMark/>
          </w:tcPr>
          <w:p w14:paraId="1F7F1CE0" w14:textId="77777777" w:rsidR="00E3750C" w:rsidRPr="000E3B8A" w:rsidRDefault="00E3750C" w:rsidP="00047864">
            <w:pPr>
              <w:spacing w:after="0" w:line="240" w:lineRule="auto"/>
              <w:rPr>
                <w:rFonts w:ascii="Arial" w:eastAsia="Times New Roman" w:hAnsi="Arial" w:cs="Arial"/>
                <w:color w:val="000000"/>
                <w:sz w:val="18"/>
                <w:szCs w:val="18"/>
                <w:lang w:eastAsia="sl-SI"/>
              </w:rPr>
            </w:pPr>
          </w:p>
        </w:tc>
        <w:tc>
          <w:tcPr>
            <w:tcW w:w="2427" w:type="pct"/>
            <w:vMerge/>
            <w:tcBorders>
              <w:top w:val="nil"/>
              <w:left w:val="single" w:sz="4" w:space="0" w:color="auto"/>
              <w:bottom w:val="single" w:sz="4" w:space="0" w:color="auto"/>
              <w:right w:val="single" w:sz="4" w:space="0" w:color="auto"/>
            </w:tcBorders>
            <w:vAlign w:val="center"/>
            <w:hideMark/>
          </w:tcPr>
          <w:p w14:paraId="6A837A4A" w14:textId="77777777" w:rsidR="00E3750C" w:rsidRPr="000E3B8A" w:rsidRDefault="00E3750C" w:rsidP="00047864">
            <w:pPr>
              <w:spacing w:after="0" w:line="240" w:lineRule="auto"/>
              <w:rPr>
                <w:rFonts w:ascii="Arial" w:eastAsia="Times New Roman" w:hAnsi="Arial" w:cs="Arial"/>
                <w:color w:val="000000"/>
                <w:sz w:val="18"/>
                <w:szCs w:val="18"/>
                <w:lang w:eastAsia="sl-SI"/>
              </w:rPr>
            </w:pPr>
          </w:p>
        </w:tc>
        <w:tc>
          <w:tcPr>
            <w:tcW w:w="500" w:type="pct"/>
            <w:tcBorders>
              <w:top w:val="nil"/>
              <w:left w:val="nil"/>
              <w:bottom w:val="single" w:sz="4" w:space="0" w:color="auto"/>
              <w:right w:val="single" w:sz="4" w:space="0" w:color="auto"/>
            </w:tcBorders>
            <w:shd w:val="clear" w:color="auto" w:fill="auto"/>
            <w:noWrap/>
            <w:vAlign w:val="center"/>
            <w:hideMark/>
          </w:tcPr>
          <w:p w14:paraId="50F75C92" w14:textId="77777777" w:rsidR="00E3750C" w:rsidRPr="000E3B8A" w:rsidRDefault="00E3750C" w:rsidP="00047864">
            <w:pPr>
              <w:spacing w:after="0" w:line="240" w:lineRule="auto"/>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Gradnje</w:t>
            </w:r>
          </w:p>
        </w:tc>
        <w:tc>
          <w:tcPr>
            <w:tcW w:w="500" w:type="pct"/>
            <w:tcBorders>
              <w:top w:val="nil"/>
              <w:left w:val="nil"/>
              <w:bottom w:val="single" w:sz="4" w:space="0" w:color="auto"/>
              <w:right w:val="single" w:sz="4" w:space="0" w:color="auto"/>
            </w:tcBorders>
            <w:shd w:val="clear" w:color="auto" w:fill="auto"/>
            <w:noWrap/>
            <w:vAlign w:val="center"/>
            <w:hideMark/>
          </w:tcPr>
          <w:p w14:paraId="3CA73843"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8</w:t>
            </w:r>
          </w:p>
        </w:tc>
        <w:tc>
          <w:tcPr>
            <w:tcW w:w="1073" w:type="pct"/>
            <w:tcBorders>
              <w:top w:val="nil"/>
              <w:left w:val="nil"/>
              <w:bottom w:val="single" w:sz="4" w:space="0" w:color="auto"/>
              <w:right w:val="single" w:sz="4" w:space="0" w:color="auto"/>
            </w:tcBorders>
            <w:shd w:val="clear" w:color="auto" w:fill="auto"/>
            <w:noWrap/>
            <w:vAlign w:val="center"/>
            <w:hideMark/>
          </w:tcPr>
          <w:p w14:paraId="76263967"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3.624.181</w:t>
            </w:r>
          </w:p>
        </w:tc>
      </w:tr>
      <w:tr w:rsidR="00E3750C" w:rsidRPr="000E3B8A" w14:paraId="3BC79402" w14:textId="77777777" w:rsidTr="00047864">
        <w:trPr>
          <w:trHeight w:val="300"/>
        </w:trPr>
        <w:tc>
          <w:tcPr>
            <w:tcW w:w="500" w:type="pct"/>
            <w:vMerge/>
            <w:tcBorders>
              <w:top w:val="nil"/>
              <w:left w:val="single" w:sz="4" w:space="0" w:color="auto"/>
              <w:bottom w:val="single" w:sz="4" w:space="0" w:color="auto"/>
              <w:right w:val="single" w:sz="4" w:space="0" w:color="auto"/>
            </w:tcBorders>
            <w:vAlign w:val="center"/>
            <w:hideMark/>
          </w:tcPr>
          <w:p w14:paraId="306C751D" w14:textId="77777777" w:rsidR="00E3750C" w:rsidRPr="000E3B8A" w:rsidRDefault="00E3750C" w:rsidP="00047864">
            <w:pPr>
              <w:spacing w:after="0" w:line="240" w:lineRule="auto"/>
              <w:rPr>
                <w:rFonts w:ascii="Arial" w:eastAsia="Times New Roman" w:hAnsi="Arial" w:cs="Arial"/>
                <w:color w:val="000000"/>
                <w:sz w:val="18"/>
                <w:szCs w:val="18"/>
                <w:lang w:eastAsia="sl-SI"/>
              </w:rPr>
            </w:pPr>
          </w:p>
        </w:tc>
        <w:tc>
          <w:tcPr>
            <w:tcW w:w="2427" w:type="pct"/>
            <w:vMerge/>
            <w:tcBorders>
              <w:top w:val="nil"/>
              <w:left w:val="single" w:sz="4" w:space="0" w:color="auto"/>
              <w:bottom w:val="single" w:sz="4" w:space="0" w:color="auto"/>
              <w:right w:val="single" w:sz="4" w:space="0" w:color="auto"/>
            </w:tcBorders>
            <w:vAlign w:val="center"/>
            <w:hideMark/>
          </w:tcPr>
          <w:p w14:paraId="4BD5A0DE" w14:textId="77777777" w:rsidR="00E3750C" w:rsidRPr="000E3B8A" w:rsidRDefault="00E3750C" w:rsidP="00047864">
            <w:pPr>
              <w:spacing w:after="0" w:line="240" w:lineRule="auto"/>
              <w:rPr>
                <w:rFonts w:ascii="Arial" w:eastAsia="Times New Roman" w:hAnsi="Arial" w:cs="Arial"/>
                <w:color w:val="000000"/>
                <w:sz w:val="18"/>
                <w:szCs w:val="18"/>
                <w:lang w:eastAsia="sl-SI"/>
              </w:rPr>
            </w:pPr>
          </w:p>
        </w:tc>
        <w:tc>
          <w:tcPr>
            <w:tcW w:w="500" w:type="pct"/>
            <w:tcBorders>
              <w:top w:val="nil"/>
              <w:left w:val="nil"/>
              <w:bottom w:val="single" w:sz="4" w:space="0" w:color="auto"/>
              <w:right w:val="single" w:sz="4" w:space="0" w:color="auto"/>
            </w:tcBorders>
            <w:shd w:val="clear" w:color="auto" w:fill="auto"/>
            <w:noWrap/>
            <w:vAlign w:val="center"/>
            <w:hideMark/>
          </w:tcPr>
          <w:p w14:paraId="5D893B7D" w14:textId="77777777" w:rsidR="00E3750C" w:rsidRPr="000E3B8A" w:rsidRDefault="00E3750C" w:rsidP="00047864">
            <w:pPr>
              <w:spacing w:after="0" w:line="240" w:lineRule="auto"/>
              <w:rPr>
                <w:rFonts w:ascii="Arial" w:eastAsia="Times New Roman" w:hAnsi="Arial" w:cs="Arial"/>
                <w:b/>
                <w:bCs/>
                <w:color w:val="000000"/>
                <w:sz w:val="18"/>
                <w:szCs w:val="18"/>
                <w:lang w:eastAsia="sl-SI"/>
              </w:rPr>
            </w:pPr>
            <w:r w:rsidRPr="000E3B8A">
              <w:rPr>
                <w:rFonts w:ascii="Arial" w:eastAsia="Times New Roman" w:hAnsi="Arial" w:cs="Arial"/>
                <w:b/>
                <w:bCs/>
                <w:color w:val="000000"/>
                <w:sz w:val="18"/>
                <w:szCs w:val="18"/>
                <w:lang w:eastAsia="sl-SI"/>
              </w:rPr>
              <w:t>Skupaj</w:t>
            </w:r>
          </w:p>
        </w:tc>
        <w:tc>
          <w:tcPr>
            <w:tcW w:w="500" w:type="pct"/>
            <w:tcBorders>
              <w:top w:val="nil"/>
              <w:left w:val="nil"/>
              <w:bottom w:val="single" w:sz="4" w:space="0" w:color="auto"/>
              <w:right w:val="single" w:sz="4" w:space="0" w:color="auto"/>
            </w:tcBorders>
            <w:shd w:val="clear" w:color="auto" w:fill="auto"/>
            <w:noWrap/>
            <w:vAlign w:val="center"/>
            <w:hideMark/>
          </w:tcPr>
          <w:p w14:paraId="74BC1841" w14:textId="77777777" w:rsidR="00E3750C" w:rsidRPr="000E3B8A" w:rsidRDefault="00E3750C" w:rsidP="00047864">
            <w:pPr>
              <w:spacing w:after="0" w:line="240" w:lineRule="auto"/>
              <w:jc w:val="right"/>
              <w:rPr>
                <w:rFonts w:ascii="Arial" w:eastAsia="Times New Roman" w:hAnsi="Arial" w:cs="Arial"/>
                <w:b/>
                <w:bCs/>
                <w:color w:val="000000"/>
                <w:sz w:val="18"/>
                <w:szCs w:val="18"/>
                <w:lang w:eastAsia="sl-SI"/>
              </w:rPr>
            </w:pPr>
            <w:r w:rsidRPr="000E3B8A">
              <w:rPr>
                <w:rFonts w:ascii="Arial" w:eastAsia="Times New Roman" w:hAnsi="Arial" w:cs="Arial"/>
                <w:b/>
                <w:bCs/>
                <w:color w:val="000000"/>
                <w:sz w:val="18"/>
                <w:szCs w:val="18"/>
                <w:lang w:eastAsia="sl-SI"/>
              </w:rPr>
              <w:t>147</w:t>
            </w:r>
          </w:p>
        </w:tc>
        <w:tc>
          <w:tcPr>
            <w:tcW w:w="1073" w:type="pct"/>
            <w:tcBorders>
              <w:top w:val="nil"/>
              <w:left w:val="nil"/>
              <w:bottom w:val="single" w:sz="4" w:space="0" w:color="auto"/>
              <w:right w:val="single" w:sz="4" w:space="0" w:color="auto"/>
            </w:tcBorders>
            <w:shd w:val="clear" w:color="auto" w:fill="auto"/>
            <w:noWrap/>
            <w:vAlign w:val="center"/>
            <w:hideMark/>
          </w:tcPr>
          <w:p w14:paraId="6EFB5A64" w14:textId="77777777" w:rsidR="00E3750C" w:rsidRPr="000E3B8A" w:rsidRDefault="00E3750C" w:rsidP="00047864">
            <w:pPr>
              <w:spacing w:after="0" w:line="240" w:lineRule="auto"/>
              <w:jc w:val="right"/>
              <w:rPr>
                <w:rFonts w:ascii="Arial" w:eastAsia="Times New Roman" w:hAnsi="Arial" w:cs="Arial"/>
                <w:b/>
                <w:bCs/>
                <w:color w:val="000000"/>
                <w:sz w:val="18"/>
                <w:szCs w:val="18"/>
                <w:lang w:eastAsia="sl-SI"/>
              </w:rPr>
            </w:pPr>
            <w:r w:rsidRPr="000E3B8A">
              <w:rPr>
                <w:rFonts w:ascii="Arial" w:eastAsia="Times New Roman" w:hAnsi="Arial" w:cs="Arial"/>
                <w:b/>
                <w:bCs/>
                <w:color w:val="000000"/>
                <w:sz w:val="18"/>
                <w:szCs w:val="18"/>
                <w:lang w:eastAsia="sl-SI"/>
              </w:rPr>
              <w:t>10.692.979</w:t>
            </w:r>
          </w:p>
        </w:tc>
      </w:tr>
      <w:tr w:rsidR="00E3750C" w:rsidRPr="000E3B8A" w14:paraId="627E1FD4" w14:textId="77777777" w:rsidTr="00047864">
        <w:trPr>
          <w:trHeight w:val="300"/>
        </w:trPr>
        <w:tc>
          <w:tcPr>
            <w:tcW w:w="50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285D6EE" w14:textId="77777777" w:rsidR="00E3750C" w:rsidRPr="000E3B8A" w:rsidRDefault="00E3750C" w:rsidP="00047864">
            <w:pPr>
              <w:spacing w:after="0" w:line="240" w:lineRule="auto"/>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7</w:t>
            </w:r>
          </w:p>
        </w:tc>
        <w:tc>
          <w:tcPr>
            <w:tcW w:w="2427" w:type="pct"/>
            <w:vMerge w:val="restart"/>
            <w:tcBorders>
              <w:top w:val="nil"/>
              <w:left w:val="single" w:sz="4" w:space="0" w:color="auto"/>
              <w:bottom w:val="single" w:sz="4" w:space="0" w:color="auto"/>
              <w:right w:val="single" w:sz="4" w:space="0" w:color="auto"/>
            </w:tcBorders>
            <w:shd w:val="clear" w:color="auto" w:fill="auto"/>
            <w:vAlign w:val="center"/>
            <w:hideMark/>
          </w:tcPr>
          <w:p w14:paraId="1393703C" w14:textId="77777777" w:rsidR="00E3750C" w:rsidRPr="000E3B8A" w:rsidRDefault="00E3750C" w:rsidP="00047864">
            <w:pPr>
              <w:spacing w:after="0" w:line="240" w:lineRule="auto"/>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Drugi naročniki (osebe javnega prava, javna podjetja, subjekt s posebnimi infrastrukturnimi pravicami)</w:t>
            </w:r>
          </w:p>
        </w:tc>
        <w:tc>
          <w:tcPr>
            <w:tcW w:w="500" w:type="pct"/>
            <w:tcBorders>
              <w:top w:val="nil"/>
              <w:left w:val="nil"/>
              <w:bottom w:val="single" w:sz="4" w:space="0" w:color="auto"/>
              <w:right w:val="single" w:sz="4" w:space="0" w:color="auto"/>
            </w:tcBorders>
            <w:shd w:val="clear" w:color="auto" w:fill="auto"/>
            <w:noWrap/>
            <w:vAlign w:val="center"/>
            <w:hideMark/>
          </w:tcPr>
          <w:p w14:paraId="1A45665F" w14:textId="77777777" w:rsidR="00E3750C" w:rsidRPr="000E3B8A" w:rsidRDefault="00E3750C" w:rsidP="00047864">
            <w:pPr>
              <w:spacing w:after="0" w:line="240" w:lineRule="auto"/>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Blago</w:t>
            </w:r>
          </w:p>
        </w:tc>
        <w:tc>
          <w:tcPr>
            <w:tcW w:w="500" w:type="pct"/>
            <w:tcBorders>
              <w:top w:val="nil"/>
              <w:left w:val="nil"/>
              <w:bottom w:val="single" w:sz="4" w:space="0" w:color="auto"/>
              <w:right w:val="single" w:sz="4" w:space="0" w:color="auto"/>
            </w:tcBorders>
            <w:shd w:val="clear" w:color="auto" w:fill="auto"/>
            <w:noWrap/>
            <w:vAlign w:val="center"/>
            <w:hideMark/>
          </w:tcPr>
          <w:p w14:paraId="7375034E"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1.552</w:t>
            </w:r>
          </w:p>
        </w:tc>
        <w:tc>
          <w:tcPr>
            <w:tcW w:w="1073" w:type="pct"/>
            <w:tcBorders>
              <w:top w:val="nil"/>
              <w:left w:val="nil"/>
              <w:bottom w:val="single" w:sz="4" w:space="0" w:color="auto"/>
              <w:right w:val="single" w:sz="4" w:space="0" w:color="auto"/>
            </w:tcBorders>
            <w:shd w:val="clear" w:color="auto" w:fill="auto"/>
            <w:noWrap/>
            <w:vAlign w:val="center"/>
            <w:hideMark/>
          </w:tcPr>
          <w:p w14:paraId="6B0CBB66"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484.533.637</w:t>
            </w:r>
          </w:p>
        </w:tc>
      </w:tr>
      <w:tr w:rsidR="00E3750C" w:rsidRPr="000E3B8A" w14:paraId="361FB73F" w14:textId="77777777" w:rsidTr="00047864">
        <w:trPr>
          <w:trHeight w:val="300"/>
        </w:trPr>
        <w:tc>
          <w:tcPr>
            <w:tcW w:w="500" w:type="pct"/>
            <w:vMerge/>
            <w:tcBorders>
              <w:top w:val="nil"/>
              <w:left w:val="single" w:sz="4" w:space="0" w:color="auto"/>
              <w:bottom w:val="single" w:sz="4" w:space="0" w:color="auto"/>
              <w:right w:val="single" w:sz="4" w:space="0" w:color="auto"/>
            </w:tcBorders>
            <w:vAlign w:val="center"/>
            <w:hideMark/>
          </w:tcPr>
          <w:p w14:paraId="1B97F7E3" w14:textId="77777777" w:rsidR="00E3750C" w:rsidRPr="000E3B8A" w:rsidRDefault="00E3750C" w:rsidP="00047864">
            <w:pPr>
              <w:spacing w:after="0" w:line="240" w:lineRule="auto"/>
              <w:rPr>
                <w:rFonts w:ascii="Arial" w:eastAsia="Times New Roman" w:hAnsi="Arial" w:cs="Arial"/>
                <w:color w:val="000000"/>
                <w:sz w:val="18"/>
                <w:szCs w:val="18"/>
                <w:lang w:eastAsia="sl-SI"/>
              </w:rPr>
            </w:pPr>
          </w:p>
        </w:tc>
        <w:tc>
          <w:tcPr>
            <w:tcW w:w="2427" w:type="pct"/>
            <w:vMerge/>
            <w:tcBorders>
              <w:top w:val="nil"/>
              <w:left w:val="single" w:sz="4" w:space="0" w:color="auto"/>
              <w:bottom w:val="single" w:sz="4" w:space="0" w:color="auto"/>
              <w:right w:val="single" w:sz="4" w:space="0" w:color="auto"/>
            </w:tcBorders>
            <w:vAlign w:val="center"/>
            <w:hideMark/>
          </w:tcPr>
          <w:p w14:paraId="300D7A36" w14:textId="77777777" w:rsidR="00E3750C" w:rsidRPr="000E3B8A" w:rsidRDefault="00E3750C" w:rsidP="00047864">
            <w:pPr>
              <w:spacing w:after="0" w:line="240" w:lineRule="auto"/>
              <w:rPr>
                <w:rFonts w:ascii="Arial" w:eastAsia="Times New Roman" w:hAnsi="Arial" w:cs="Arial"/>
                <w:color w:val="000000"/>
                <w:sz w:val="18"/>
                <w:szCs w:val="18"/>
                <w:lang w:eastAsia="sl-SI"/>
              </w:rPr>
            </w:pPr>
          </w:p>
        </w:tc>
        <w:tc>
          <w:tcPr>
            <w:tcW w:w="500" w:type="pct"/>
            <w:tcBorders>
              <w:top w:val="nil"/>
              <w:left w:val="nil"/>
              <w:bottom w:val="single" w:sz="4" w:space="0" w:color="auto"/>
              <w:right w:val="single" w:sz="4" w:space="0" w:color="auto"/>
            </w:tcBorders>
            <w:shd w:val="clear" w:color="auto" w:fill="auto"/>
            <w:noWrap/>
            <w:vAlign w:val="center"/>
            <w:hideMark/>
          </w:tcPr>
          <w:p w14:paraId="10162CAE" w14:textId="77777777" w:rsidR="00E3750C" w:rsidRPr="000E3B8A" w:rsidRDefault="00E3750C" w:rsidP="00047864">
            <w:pPr>
              <w:spacing w:after="0" w:line="240" w:lineRule="auto"/>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Storitve</w:t>
            </w:r>
          </w:p>
        </w:tc>
        <w:tc>
          <w:tcPr>
            <w:tcW w:w="500" w:type="pct"/>
            <w:tcBorders>
              <w:top w:val="nil"/>
              <w:left w:val="nil"/>
              <w:bottom w:val="single" w:sz="4" w:space="0" w:color="auto"/>
              <w:right w:val="single" w:sz="4" w:space="0" w:color="auto"/>
            </w:tcBorders>
            <w:shd w:val="clear" w:color="auto" w:fill="auto"/>
            <w:noWrap/>
            <w:vAlign w:val="center"/>
            <w:hideMark/>
          </w:tcPr>
          <w:p w14:paraId="3DBCD87E"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1.272</w:t>
            </w:r>
          </w:p>
        </w:tc>
        <w:tc>
          <w:tcPr>
            <w:tcW w:w="1073" w:type="pct"/>
            <w:tcBorders>
              <w:top w:val="nil"/>
              <w:left w:val="nil"/>
              <w:bottom w:val="single" w:sz="4" w:space="0" w:color="auto"/>
              <w:right w:val="single" w:sz="4" w:space="0" w:color="auto"/>
            </w:tcBorders>
            <w:shd w:val="clear" w:color="auto" w:fill="auto"/>
            <w:noWrap/>
            <w:vAlign w:val="center"/>
            <w:hideMark/>
          </w:tcPr>
          <w:p w14:paraId="10CA25FB"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558.592.377</w:t>
            </w:r>
          </w:p>
        </w:tc>
      </w:tr>
      <w:tr w:rsidR="00E3750C" w:rsidRPr="000E3B8A" w14:paraId="3D6D4C6D" w14:textId="77777777" w:rsidTr="00047864">
        <w:trPr>
          <w:trHeight w:val="300"/>
        </w:trPr>
        <w:tc>
          <w:tcPr>
            <w:tcW w:w="500" w:type="pct"/>
            <w:vMerge/>
            <w:tcBorders>
              <w:top w:val="nil"/>
              <w:left w:val="single" w:sz="4" w:space="0" w:color="auto"/>
              <w:bottom w:val="single" w:sz="4" w:space="0" w:color="auto"/>
              <w:right w:val="single" w:sz="4" w:space="0" w:color="auto"/>
            </w:tcBorders>
            <w:vAlign w:val="center"/>
            <w:hideMark/>
          </w:tcPr>
          <w:p w14:paraId="79C5B40A" w14:textId="77777777" w:rsidR="00E3750C" w:rsidRPr="000E3B8A" w:rsidRDefault="00E3750C" w:rsidP="00047864">
            <w:pPr>
              <w:spacing w:after="0" w:line="240" w:lineRule="auto"/>
              <w:rPr>
                <w:rFonts w:ascii="Arial" w:eastAsia="Times New Roman" w:hAnsi="Arial" w:cs="Arial"/>
                <w:color w:val="000000"/>
                <w:sz w:val="18"/>
                <w:szCs w:val="18"/>
                <w:lang w:eastAsia="sl-SI"/>
              </w:rPr>
            </w:pPr>
          </w:p>
        </w:tc>
        <w:tc>
          <w:tcPr>
            <w:tcW w:w="2427" w:type="pct"/>
            <w:vMerge/>
            <w:tcBorders>
              <w:top w:val="nil"/>
              <w:left w:val="single" w:sz="4" w:space="0" w:color="auto"/>
              <w:bottom w:val="single" w:sz="4" w:space="0" w:color="auto"/>
              <w:right w:val="single" w:sz="4" w:space="0" w:color="auto"/>
            </w:tcBorders>
            <w:vAlign w:val="center"/>
            <w:hideMark/>
          </w:tcPr>
          <w:p w14:paraId="3098E0C4" w14:textId="77777777" w:rsidR="00E3750C" w:rsidRPr="000E3B8A" w:rsidRDefault="00E3750C" w:rsidP="00047864">
            <w:pPr>
              <w:spacing w:after="0" w:line="240" w:lineRule="auto"/>
              <w:rPr>
                <w:rFonts w:ascii="Arial" w:eastAsia="Times New Roman" w:hAnsi="Arial" w:cs="Arial"/>
                <w:color w:val="000000"/>
                <w:sz w:val="18"/>
                <w:szCs w:val="18"/>
                <w:lang w:eastAsia="sl-SI"/>
              </w:rPr>
            </w:pPr>
          </w:p>
        </w:tc>
        <w:tc>
          <w:tcPr>
            <w:tcW w:w="500" w:type="pct"/>
            <w:tcBorders>
              <w:top w:val="nil"/>
              <w:left w:val="nil"/>
              <w:bottom w:val="single" w:sz="4" w:space="0" w:color="auto"/>
              <w:right w:val="single" w:sz="4" w:space="0" w:color="auto"/>
            </w:tcBorders>
            <w:shd w:val="clear" w:color="auto" w:fill="auto"/>
            <w:noWrap/>
            <w:vAlign w:val="center"/>
            <w:hideMark/>
          </w:tcPr>
          <w:p w14:paraId="73F37FDD" w14:textId="77777777" w:rsidR="00E3750C" w:rsidRPr="000E3B8A" w:rsidRDefault="00E3750C" w:rsidP="00047864">
            <w:pPr>
              <w:spacing w:after="0" w:line="240" w:lineRule="auto"/>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Gradnje</w:t>
            </w:r>
          </w:p>
        </w:tc>
        <w:tc>
          <w:tcPr>
            <w:tcW w:w="500" w:type="pct"/>
            <w:tcBorders>
              <w:top w:val="nil"/>
              <w:left w:val="nil"/>
              <w:bottom w:val="single" w:sz="4" w:space="0" w:color="auto"/>
              <w:right w:val="single" w:sz="4" w:space="0" w:color="auto"/>
            </w:tcBorders>
            <w:shd w:val="clear" w:color="auto" w:fill="auto"/>
            <w:noWrap/>
            <w:vAlign w:val="center"/>
            <w:hideMark/>
          </w:tcPr>
          <w:p w14:paraId="5F7D381F"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336</w:t>
            </w:r>
          </w:p>
        </w:tc>
        <w:tc>
          <w:tcPr>
            <w:tcW w:w="1073" w:type="pct"/>
            <w:tcBorders>
              <w:top w:val="nil"/>
              <w:left w:val="nil"/>
              <w:bottom w:val="single" w:sz="4" w:space="0" w:color="auto"/>
              <w:right w:val="single" w:sz="4" w:space="0" w:color="auto"/>
            </w:tcBorders>
            <w:shd w:val="clear" w:color="auto" w:fill="auto"/>
            <w:noWrap/>
            <w:vAlign w:val="center"/>
            <w:hideMark/>
          </w:tcPr>
          <w:p w14:paraId="61DEDA65"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331.935.700</w:t>
            </w:r>
          </w:p>
        </w:tc>
      </w:tr>
      <w:tr w:rsidR="00E3750C" w:rsidRPr="000E3B8A" w14:paraId="3190FB0C" w14:textId="77777777" w:rsidTr="00047864">
        <w:trPr>
          <w:trHeight w:val="300"/>
        </w:trPr>
        <w:tc>
          <w:tcPr>
            <w:tcW w:w="500" w:type="pct"/>
            <w:vMerge/>
            <w:tcBorders>
              <w:top w:val="nil"/>
              <w:left w:val="single" w:sz="4" w:space="0" w:color="auto"/>
              <w:bottom w:val="single" w:sz="4" w:space="0" w:color="auto"/>
              <w:right w:val="single" w:sz="4" w:space="0" w:color="auto"/>
            </w:tcBorders>
            <w:vAlign w:val="center"/>
            <w:hideMark/>
          </w:tcPr>
          <w:p w14:paraId="2519D57B" w14:textId="77777777" w:rsidR="00E3750C" w:rsidRPr="000E3B8A" w:rsidRDefault="00E3750C" w:rsidP="00047864">
            <w:pPr>
              <w:spacing w:after="0" w:line="240" w:lineRule="auto"/>
              <w:rPr>
                <w:rFonts w:ascii="Arial" w:eastAsia="Times New Roman" w:hAnsi="Arial" w:cs="Arial"/>
                <w:color w:val="000000"/>
                <w:sz w:val="18"/>
                <w:szCs w:val="18"/>
                <w:lang w:eastAsia="sl-SI"/>
              </w:rPr>
            </w:pPr>
          </w:p>
        </w:tc>
        <w:tc>
          <w:tcPr>
            <w:tcW w:w="2427" w:type="pct"/>
            <w:vMerge/>
            <w:tcBorders>
              <w:top w:val="nil"/>
              <w:left w:val="single" w:sz="4" w:space="0" w:color="auto"/>
              <w:bottom w:val="single" w:sz="4" w:space="0" w:color="auto"/>
              <w:right w:val="single" w:sz="4" w:space="0" w:color="auto"/>
            </w:tcBorders>
            <w:vAlign w:val="center"/>
            <w:hideMark/>
          </w:tcPr>
          <w:p w14:paraId="6B1F8807" w14:textId="77777777" w:rsidR="00E3750C" w:rsidRPr="000E3B8A" w:rsidRDefault="00E3750C" w:rsidP="00047864">
            <w:pPr>
              <w:spacing w:after="0" w:line="240" w:lineRule="auto"/>
              <w:rPr>
                <w:rFonts w:ascii="Arial" w:eastAsia="Times New Roman" w:hAnsi="Arial" w:cs="Arial"/>
                <w:color w:val="000000"/>
                <w:sz w:val="18"/>
                <w:szCs w:val="18"/>
                <w:lang w:eastAsia="sl-SI"/>
              </w:rPr>
            </w:pPr>
          </w:p>
        </w:tc>
        <w:tc>
          <w:tcPr>
            <w:tcW w:w="500" w:type="pct"/>
            <w:tcBorders>
              <w:top w:val="nil"/>
              <w:left w:val="nil"/>
              <w:bottom w:val="single" w:sz="4" w:space="0" w:color="auto"/>
              <w:right w:val="single" w:sz="4" w:space="0" w:color="auto"/>
            </w:tcBorders>
            <w:shd w:val="clear" w:color="auto" w:fill="auto"/>
            <w:noWrap/>
            <w:vAlign w:val="center"/>
            <w:hideMark/>
          </w:tcPr>
          <w:p w14:paraId="33B26529" w14:textId="77777777" w:rsidR="00E3750C" w:rsidRPr="000E3B8A" w:rsidRDefault="00E3750C" w:rsidP="00047864">
            <w:pPr>
              <w:spacing w:after="0" w:line="240" w:lineRule="auto"/>
              <w:rPr>
                <w:rFonts w:ascii="Arial" w:eastAsia="Times New Roman" w:hAnsi="Arial" w:cs="Arial"/>
                <w:b/>
                <w:bCs/>
                <w:color w:val="000000"/>
                <w:sz w:val="18"/>
                <w:szCs w:val="18"/>
                <w:lang w:eastAsia="sl-SI"/>
              </w:rPr>
            </w:pPr>
            <w:r w:rsidRPr="000E3B8A">
              <w:rPr>
                <w:rFonts w:ascii="Arial" w:eastAsia="Times New Roman" w:hAnsi="Arial" w:cs="Arial"/>
                <w:b/>
                <w:bCs/>
                <w:color w:val="000000"/>
                <w:sz w:val="18"/>
                <w:szCs w:val="18"/>
                <w:lang w:eastAsia="sl-SI"/>
              </w:rPr>
              <w:t>Skupaj</w:t>
            </w:r>
          </w:p>
        </w:tc>
        <w:tc>
          <w:tcPr>
            <w:tcW w:w="500" w:type="pct"/>
            <w:tcBorders>
              <w:top w:val="nil"/>
              <w:left w:val="nil"/>
              <w:bottom w:val="single" w:sz="4" w:space="0" w:color="auto"/>
              <w:right w:val="single" w:sz="4" w:space="0" w:color="auto"/>
            </w:tcBorders>
            <w:shd w:val="clear" w:color="auto" w:fill="auto"/>
            <w:noWrap/>
            <w:vAlign w:val="center"/>
            <w:hideMark/>
          </w:tcPr>
          <w:p w14:paraId="5DDFB008" w14:textId="77777777" w:rsidR="00E3750C" w:rsidRPr="000E3B8A" w:rsidRDefault="00E3750C" w:rsidP="00047864">
            <w:pPr>
              <w:spacing w:after="0" w:line="240" w:lineRule="auto"/>
              <w:jc w:val="right"/>
              <w:rPr>
                <w:rFonts w:ascii="Arial" w:eastAsia="Times New Roman" w:hAnsi="Arial" w:cs="Arial"/>
                <w:b/>
                <w:bCs/>
                <w:color w:val="000000"/>
                <w:sz w:val="18"/>
                <w:szCs w:val="18"/>
                <w:lang w:eastAsia="sl-SI"/>
              </w:rPr>
            </w:pPr>
            <w:r w:rsidRPr="000E3B8A">
              <w:rPr>
                <w:rFonts w:ascii="Arial" w:eastAsia="Times New Roman" w:hAnsi="Arial" w:cs="Arial"/>
                <w:b/>
                <w:bCs/>
                <w:color w:val="000000"/>
                <w:sz w:val="18"/>
                <w:szCs w:val="18"/>
                <w:lang w:eastAsia="sl-SI"/>
              </w:rPr>
              <w:t>3.160</w:t>
            </w:r>
          </w:p>
        </w:tc>
        <w:tc>
          <w:tcPr>
            <w:tcW w:w="1073" w:type="pct"/>
            <w:tcBorders>
              <w:top w:val="nil"/>
              <w:left w:val="nil"/>
              <w:bottom w:val="single" w:sz="4" w:space="0" w:color="auto"/>
              <w:right w:val="single" w:sz="4" w:space="0" w:color="auto"/>
            </w:tcBorders>
            <w:shd w:val="clear" w:color="auto" w:fill="auto"/>
            <w:noWrap/>
            <w:vAlign w:val="center"/>
            <w:hideMark/>
          </w:tcPr>
          <w:p w14:paraId="69711073" w14:textId="77777777" w:rsidR="00E3750C" w:rsidRPr="000E3B8A" w:rsidRDefault="00E3750C" w:rsidP="00047864">
            <w:pPr>
              <w:spacing w:after="0" w:line="240" w:lineRule="auto"/>
              <w:jc w:val="right"/>
              <w:rPr>
                <w:rFonts w:ascii="Arial" w:eastAsia="Times New Roman" w:hAnsi="Arial" w:cs="Arial"/>
                <w:b/>
                <w:bCs/>
                <w:color w:val="000000"/>
                <w:sz w:val="18"/>
                <w:szCs w:val="18"/>
                <w:lang w:eastAsia="sl-SI"/>
              </w:rPr>
            </w:pPr>
            <w:r w:rsidRPr="000E3B8A">
              <w:rPr>
                <w:rFonts w:ascii="Arial" w:eastAsia="Times New Roman" w:hAnsi="Arial" w:cs="Arial"/>
                <w:b/>
                <w:bCs/>
                <w:color w:val="000000"/>
                <w:sz w:val="18"/>
                <w:szCs w:val="18"/>
                <w:lang w:eastAsia="sl-SI"/>
              </w:rPr>
              <w:t>1.375.061.714</w:t>
            </w:r>
          </w:p>
        </w:tc>
      </w:tr>
      <w:tr w:rsidR="00E3750C" w:rsidRPr="000E3B8A" w14:paraId="71CE80D9" w14:textId="77777777" w:rsidTr="00047864">
        <w:trPr>
          <w:trHeight w:val="300"/>
        </w:trPr>
        <w:tc>
          <w:tcPr>
            <w:tcW w:w="50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1FBCB16" w14:textId="77777777" w:rsidR="00E3750C" w:rsidRPr="000E3B8A" w:rsidRDefault="00E3750C" w:rsidP="00047864">
            <w:pPr>
              <w:spacing w:after="0" w:line="240" w:lineRule="auto"/>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8</w:t>
            </w:r>
          </w:p>
        </w:tc>
        <w:tc>
          <w:tcPr>
            <w:tcW w:w="2427" w:type="pct"/>
            <w:vMerge w:val="restart"/>
            <w:tcBorders>
              <w:top w:val="nil"/>
              <w:left w:val="single" w:sz="4" w:space="0" w:color="auto"/>
              <w:bottom w:val="single" w:sz="4" w:space="0" w:color="auto"/>
              <w:right w:val="single" w:sz="4" w:space="0" w:color="auto"/>
            </w:tcBorders>
            <w:shd w:val="clear" w:color="auto" w:fill="auto"/>
            <w:vAlign w:val="center"/>
            <w:hideMark/>
          </w:tcPr>
          <w:p w14:paraId="53AAC8A8" w14:textId="77777777" w:rsidR="00E3750C" w:rsidRPr="000E3B8A" w:rsidRDefault="00E3750C" w:rsidP="00047864">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Drugi subjekti</w:t>
            </w:r>
          </w:p>
        </w:tc>
        <w:tc>
          <w:tcPr>
            <w:tcW w:w="500" w:type="pct"/>
            <w:tcBorders>
              <w:top w:val="nil"/>
              <w:left w:val="nil"/>
              <w:bottom w:val="single" w:sz="4" w:space="0" w:color="auto"/>
              <w:right w:val="single" w:sz="4" w:space="0" w:color="auto"/>
            </w:tcBorders>
            <w:shd w:val="clear" w:color="auto" w:fill="auto"/>
            <w:noWrap/>
            <w:vAlign w:val="center"/>
            <w:hideMark/>
          </w:tcPr>
          <w:p w14:paraId="59E0C1AD" w14:textId="77777777" w:rsidR="00E3750C" w:rsidRPr="000E3B8A" w:rsidRDefault="00E3750C" w:rsidP="00047864">
            <w:pPr>
              <w:spacing w:after="0" w:line="240" w:lineRule="auto"/>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Blago</w:t>
            </w:r>
          </w:p>
        </w:tc>
        <w:tc>
          <w:tcPr>
            <w:tcW w:w="500" w:type="pct"/>
            <w:tcBorders>
              <w:top w:val="nil"/>
              <w:left w:val="nil"/>
              <w:bottom w:val="single" w:sz="4" w:space="0" w:color="auto"/>
              <w:right w:val="single" w:sz="4" w:space="0" w:color="auto"/>
            </w:tcBorders>
            <w:shd w:val="clear" w:color="auto" w:fill="auto"/>
            <w:noWrap/>
            <w:vAlign w:val="center"/>
            <w:hideMark/>
          </w:tcPr>
          <w:p w14:paraId="1E72F23A"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97</w:t>
            </w:r>
          </w:p>
        </w:tc>
        <w:tc>
          <w:tcPr>
            <w:tcW w:w="1073" w:type="pct"/>
            <w:tcBorders>
              <w:top w:val="nil"/>
              <w:left w:val="nil"/>
              <w:bottom w:val="single" w:sz="4" w:space="0" w:color="auto"/>
              <w:right w:val="single" w:sz="4" w:space="0" w:color="auto"/>
            </w:tcBorders>
            <w:shd w:val="clear" w:color="auto" w:fill="auto"/>
            <w:noWrap/>
            <w:vAlign w:val="center"/>
            <w:hideMark/>
          </w:tcPr>
          <w:p w14:paraId="3AC34F85"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84.804.634</w:t>
            </w:r>
          </w:p>
        </w:tc>
      </w:tr>
      <w:tr w:rsidR="00E3750C" w:rsidRPr="000E3B8A" w14:paraId="004049A2" w14:textId="77777777" w:rsidTr="00047864">
        <w:trPr>
          <w:trHeight w:val="300"/>
        </w:trPr>
        <w:tc>
          <w:tcPr>
            <w:tcW w:w="500" w:type="pct"/>
            <w:vMerge/>
            <w:tcBorders>
              <w:top w:val="nil"/>
              <w:left w:val="single" w:sz="4" w:space="0" w:color="auto"/>
              <w:bottom w:val="single" w:sz="4" w:space="0" w:color="auto"/>
              <w:right w:val="single" w:sz="4" w:space="0" w:color="auto"/>
            </w:tcBorders>
            <w:vAlign w:val="center"/>
            <w:hideMark/>
          </w:tcPr>
          <w:p w14:paraId="1A31F561" w14:textId="77777777" w:rsidR="00E3750C" w:rsidRPr="000E3B8A" w:rsidRDefault="00E3750C" w:rsidP="00047864">
            <w:pPr>
              <w:spacing w:after="0" w:line="240" w:lineRule="auto"/>
              <w:rPr>
                <w:rFonts w:ascii="Arial" w:eastAsia="Times New Roman" w:hAnsi="Arial" w:cs="Arial"/>
                <w:color w:val="000000"/>
                <w:sz w:val="18"/>
                <w:szCs w:val="18"/>
                <w:lang w:eastAsia="sl-SI"/>
              </w:rPr>
            </w:pPr>
          </w:p>
        </w:tc>
        <w:tc>
          <w:tcPr>
            <w:tcW w:w="2427" w:type="pct"/>
            <w:vMerge/>
            <w:tcBorders>
              <w:top w:val="nil"/>
              <w:left w:val="single" w:sz="4" w:space="0" w:color="auto"/>
              <w:bottom w:val="single" w:sz="4" w:space="0" w:color="auto"/>
              <w:right w:val="single" w:sz="4" w:space="0" w:color="auto"/>
            </w:tcBorders>
            <w:vAlign w:val="center"/>
            <w:hideMark/>
          </w:tcPr>
          <w:p w14:paraId="099F3720" w14:textId="77777777" w:rsidR="00E3750C" w:rsidRPr="000E3B8A" w:rsidRDefault="00E3750C" w:rsidP="00047864">
            <w:pPr>
              <w:spacing w:after="0" w:line="240" w:lineRule="auto"/>
              <w:rPr>
                <w:rFonts w:ascii="Arial" w:eastAsia="Times New Roman" w:hAnsi="Arial" w:cs="Arial"/>
                <w:color w:val="000000"/>
                <w:sz w:val="18"/>
                <w:szCs w:val="18"/>
                <w:lang w:eastAsia="sl-SI"/>
              </w:rPr>
            </w:pPr>
          </w:p>
        </w:tc>
        <w:tc>
          <w:tcPr>
            <w:tcW w:w="500" w:type="pct"/>
            <w:tcBorders>
              <w:top w:val="nil"/>
              <w:left w:val="nil"/>
              <w:bottom w:val="single" w:sz="4" w:space="0" w:color="auto"/>
              <w:right w:val="single" w:sz="4" w:space="0" w:color="auto"/>
            </w:tcBorders>
            <w:shd w:val="clear" w:color="auto" w:fill="auto"/>
            <w:noWrap/>
            <w:vAlign w:val="center"/>
            <w:hideMark/>
          </w:tcPr>
          <w:p w14:paraId="3C127289" w14:textId="77777777" w:rsidR="00E3750C" w:rsidRPr="000E3B8A" w:rsidRDefault="00E3750C" w:rsidP="00047864">
            <w:pPr>
              <w:spacing w:after="0" w:line="240" w:lineRule="auto"/>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Storitve</w:t>
            </w:r>
          </w:p>
        </w:tc>
        <w:tc>
          <w:tcPr>
            <w:tcW w:w="500" w:type="pct"/>
            <w:tcBorders>
              <w:top w:val="nil"/>
              <w:left w:val="nil"/>
              <w:bottom w:val="single" w:sz="4" w:space="0" w:color="auto"/>
              <w:right w:val="single" w:sz="4" w:space="0" w:color="auto"/>
            </w:tcBorders>
            <w:shd w:val="clear" w:color="auto" w:fill="auto"/>
            <w:noWrap/>
            <w:vAlign w:val="center"/>
            <w:hideMark/>
          </w:tcPr>
          <w:p w14:paraId="2AC0B62E"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24</w:t>
            </w:r>
          </w:p>
        </w:tc>
        <w:tc>
          <w:tcPr>
            <w:tcW w:w="1073" w:type="pct"/>
            <w:tcBorders>
              <w:top w:val="nil"/>
              <w:left w:val="nil"/>
              <w:bottom w:val="single" w:sz="4" w:space="0" w:color="auto"/>
              <w:right w:val="single" w:sz="4" w:space="0" w:color="auto"/>
            </w:tcBorders>
            <w:shd w:val="clear" w:color="auto" w:fill="auto"/>
            <w:noWrap/>
            <w:vAlign w:val="center"/>
            <w:hideMark/>
          </w:tcPr>
          <w:p w14:paraId="3E19D655"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10.016.373</w:t>
            </w:r>
          </w:p>
        </w:tc>
      </w:tr>
      <w:tr w:rsidR="00E3750C" w:rsidRPr="000E3B8A" w14:paraId="6BC5DE49" w14:textId="77777777" w:rsidTr="00047864">
        <w:trPr>
          <w:trHeight w:val="300"/>
        </w:trPr>
        <w:tc>
          <w:tcPr>
            <w:tcW w:w="500" w:type="pct"/>
            <w:vMerge/>
            <w:tcBorders>
              <w:top w:val="nil"/>
              <w:left w:val="single" w:sz="4" w:space="0" w:color="auto"/>
              <w:bottom w:val="single" w:sz="4" w:space="0" w:color="auto"/>
              <w:right w:val="single" w:sz="4" w:space="0" w:color="auto"/>
            </w:tcBorders>
            <w:vAlign w:val="center"/>
            <w:hideMark/>
          </w:tcPr>
          <w:p w14:paraId="3D557BA8" w14:textId="77777777" w:rsidR="00E3750C" w:rsidRPr="000E3B8A" w:rsidRDefault="00E3750C" w:rsidP="00047864">
            <w:pPr>
              <w:spacing w:after="0" w:line="240" w:lineRule="auto"/>
              <w:rPr>
                <w:rFonts w:ascii="Arial" w:eastAsia="Times New Roman" w:hAnsi="Arial" w:cs="Arial"/>
                <w:color w:val="000000"/>
                <w:sz w:val="18"/>
                <w:szCs w:val="18"/>
                <w:lang w:eastAsia="sl-SI"/>
              </w:rPr>
            </w:pPr>
          </w:p>
        </w:tc>
        <w:tc>
          <w:tcPr>
            <w:tcW w:w="2427" w:type="pct"/>
            <w:vMerge/>
            <w:tcBorders>
              <w:top w:val="nil"/>
              <w:left w:val="single" w:sz="4" w:space="0" w:color="auto"/>
              <w:bottom w:val="single" w:sz="4" w:space="0" w:color="auto"/>
              <w:right w:val="single" w:sz="4" w:space="0" w:color="auto"/>
            </w:tcBorders>
            <w:vAlign w:val="center"/>
            <w:hideMark/>
          </w:tcPr>
          <w:p w14:paraId="1375B187" w14:textId="77777777" w:rsidR="00E3750C" w:rsidRPr="000E3B8A" w:rsidRDefault="00E3750C" w:rsidP="00047864">
            <w:pPr>
              <w:spacing w:after="0" w:line="240" w:lineRule="auto"/>
              <w:rPr>
                <w:rFonts w:ascii="Arial" w:eastAsia="Times New Roman" w:hAnsi="Arial" w:cs="Arial"/>
                <w:color w:val="000000"/>
                <w:sz w:val="18"/>
                <w:szCs w:val="18"/>
                <w:lang w:eastAsia="sl-SI"/>
              </w:rPr>
            </w:pPr>
          </w:p>
        </w:tc>
        <w:tc>
          <w:tcPr>
            <w:tcW w:w="500" w:type="pct"/>
            <w:tcBorders>
              <w:top w:val="nil"/>
              <w:left w:val="nil"/>
              <w:bottom w:val="single" w:sz="4" w:space="0" w:color="auto"/>
              <w:right w:val="single" w:sz="4" w:space="0" w:color="auto"/>
            </w:tcBorders>
            <w:shd w:val="clear" w:color="auto" w:fill="auto"/>
            <w:noWrap/>
            <w:vAlign w:val="center"/>
            <w:hideMark/>
          </w:tcPr>
          <w:p w14:paraId="25285393" w14:textId="77777777" w:rsidR="00E3750C" w:rsidRPr="000E3B8A" w:rsidRDefault="00E3750C" w:rsidP="00047864">
            <w:pPr>
              <w:spacing w:after="0" w:line="240" w:lineRule="auto"/>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Gradnje</w:t>
            </w:r>
          </w:p>
        </w:tc>
        <w:tc>
          <w:tcPr>
            <w:tcW w:w="500" w:type="pct"/>
            <w:tcBorders>
              <w:top w:val="nil"/>
              <w:left w:val="nil"/>
              <w:bottom w:val="single" w:sz="4" w:space="0" w:color="auto"/>
              <w:right w:val="single" w:sz="4" w:space="0" w:color="auto"/>
            </w:tcBorders>
            <w:shd w:val="clear" w:color="auto" w:fill="auto"/>
            <w:noWrap/>
            <w:vAlign w:val="center"/>
            <w:hideMark/>
          </w:tcPr>
          <w:p w14:paraId="171AE57A"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23</w:t>
            </w:r>
          </w:p>
        </w:tc>
        <w:tc>
          <w:tcPr>
            <w:tcW w:w="1073" w:type="pct"/>
            <w:tcBorders>
              <w:top w:val="nil"/>
              <w:left w:val="nil"/>
              <w:bottom w:val="single" w:sz="4" w:space="0" w:color="auto"/>
              <w:right w:val="single" w:sz="4" w:space="0" w:color="auto"/>
            </w:tcBorders>
            <w:shd w:val="clear" w:color="auto" w:fill="auto"/>
            <w:noWrap/>
            <w:vAlign w:val="center"/>
            <w:hideMark/>
          </w:tcPr>
          <w:p w14:paraId="7DE24033"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12.742.862</w:t>
            </w:r>
          </w:p>
        </w:tc>
      </w:tr>
      <w:tr w:rsidR="00E3750C" w:rsidRPr="000E3B8A" w14:paraId="4B33DBA6" w14:textId="77777777" w:rsidTr="00047864">
        <w:trPr>
          <w:trHeight w:val="300"/>
        </w:trPr>
        <w:tc>
          <w:tcPr>
            <w:tcW w:w="500" w:type="pct"/>
            <w:vMerge/>
            <w:tcBorders>
              <w:top w:val="nil"/>
              <w:left w:val="single" w:sz="4" w:space="0" w:color="auto"/>
              <w:bottom w:val="single" w:sz="4" w:space="0" w:color="auto"/>
              <w:right w:val="single" w:sz="4" w:space="0" w:color="auto"/>
            </w:tcBorders>
            <w:vAlign w:val="center"/>
            <w:hideMark/>
          </w:tcPr>
          <w:p w14:paraId="20ED76CE" w14:textId="77777777" w:rsidR="00E3750C" w:rsidRPr="000E3B8A" w:rsidRDefault="00E3750C" w:rsidP="00047864">
            <w:pPr>
              <w:spacing w:after="0" w:line="240" w:lineRule="auto"/>
              <w:rPr>
                <w:rFonts w:ascii="Arial" w:eastAsia="Times New Roman" w:hAnsi="Arial" w:cs="Arial"/>
                <w:color w:val="000000"/>
                <w:sz w:val="18"/>
                <w:szCs w:val="18"/>
                <w:lang w:eastAsia="sl-SI"/>
              </w:rPr>
            </w:pPr>
          </w:p>
        </w:tc>
        <w:tc>
          <w:tcPr>
            <w:tcW w:w="2427" w:type="pct"/>
            <w:vMerge/>
            <w:tcBorders>
              <w:top w:val="nil"/>
              <w:left w:val="single" w:sz="4" w:space="0" w:color="auto"/>
              <w:bottom w:val="single" w:sz="4" w:space="0" w:color="auto"/>
              <w:right w:val="single" w:sz="4" w:space="0" w:color="auto"/>
            </w:tcBorders>
            <w:vAlign w:val="center"/>
            <w:hideMark/>
          </w:tcPr>
          <w:p w14:paraId="50F3800C" w14:textId="77777777" w:rsidR="00E3750C" w:rsidRPr="000E3B8A" w:rsidRDefault="00E3750C" w:rsidP="00047864">
            <w:pPr>
              <w:spacing w:after="0" w:line="240" w:lineRule="auto"/>
              <w:rPr>
                <w:rFonts w:ascii="Arial" w:eastAsia="Times New Roman" w:hAnsi="Arial" w:cs="Arial"/>
                <w:color w:val="000000"/>
                <w:sz w:val="18"/>
                <w:szCs w:val="18"/>
                <w:lang w:eastAsia="sl-SI"/>
              </w:rPr>
            </w:pPr>
          </w:p>
        </w:tc>
        <w:tc>
          <w:tcPr>
            <w:tcW w:w="500" w:type="pct"/>
            <w:tcBorders>
              <w:top w:val="nil"/>
              <w:left w:val="nil"/>
              <w:bottom w:val="single" w:sz="4" w:space="0" w:color="auto"/>
              <w:right w:val="single" w:sz="4" w:space="0" w:color="auto"/>
            </w:tcBorders>
            <w:shd w:val="clear" w:color="auto" w:fill="auto"/>
            <w:noWrap/>
            <w:vAlign w:val="center"/>
            <w:hideMark/>
          </w:tcPr>
          <w:p w14:paraId="28842394" w14:textId="77777777" w:rsidR="00E3750C" w:rsidRPr="000E3B8A" w:rsidRDefault="00E3750C" w:rsidP="00047864">
            <w:pPr>
              <w:spacing w:after="0" w:line="240" w:lineRule="auto"/>
              <w:rPr>
                <w:rFonts w:ascii="Arial" w:eastAsia="Times New Roman" w:hAnsi="Arial" w:cs="Arial"/>
                <w:b/>
                <w:bCs/>
                <w:color w:val="000000"/>
                <w:sz w:val="18"/>
                <w:szCs w:val="18"/>
                <w:lang w:eastAsia="sl-SI"/>
              </w:rPr>
            </w:pPr>
            <w:r w:rsidRPr="000E3B8A">
              <w:rPr>
                <w:rFonts w:ascii="Arial" w:eastAsia="Times New Roman" w:hAnsi="Arial" w:cs="Arial"/>
                <w:b/>
                <w:bCs/>
                <w:color w:val="000000"/>
                <w:sz w:val="18"/>
                <w:szCs w:val="18"/>
                <w:lang w:eastAsia="sl-SI"/>
              </w:rPr>
              <w:t>Skupaj</w:t>
            </w:r>
          </w:p>
        </w:tc>
        <w:tc>
          <w:tcPr>
            <w:tcW w:w="500" w:type="pct"/>
            <w:tcBorders>
              <w:top w:val="nil"/>
              <w:left w:val="nil"/>
              <w:bottom w:val="single" w:sz="4" w:space="0" w:color="auto"/>
              <w:right w:val="single" w:sz="4" w:space="0" w:color="auto"/>
            </w:tcBorders>
            <w:shd w:val="clear" w:color="auto" w:fill="auto"/>
            <w:noWrap/>
            <w:vAlign w:val="center"/>
            <w:hideMark/>
          </w:tcPr>
          <w:p w14:paraId="7055A8B9" w14:textId="77777777" w:rsidR="00E3750C" w:rsidRPr="000E3B8A" w:rsidRDefault="00E3750C" w:rsidP="00047864">
            <w:pPr>
              <w:spacing w:after="0" w:line="240" w:lineRule="auto"/>
              <w:jc w:val="right"/>
              <w:rPr>
                <w:rFonts w:ascii="Arial" w:eastAsia="Times New Roman" w:hAnsi="Arial" w:cs="Arial"/>
                <w:b/>
                <w:bCs/>
                <w:color w:val="000000"/>
                <w:sz w:val="18"/>
                <w:szCs w:val="18"/>
                <w:lang w:eastAsia="sl-SI"/>
              </w:rPr>
            </w:pPr>
            <w:r w:rsidRPr="000E3B8A">
              <w:rPr>
                <w:rFonts w:ascii="Arial" w:eastAsia="Times New Roman" w:hAnsi="Arial" w:cs="Arial"/>
                <w:b/>
                <w:bCs/>
                <w:color w:val="000000"/>
                <w:sz w:val="18"/>
                <w:szCs w:val="18"/>
                <w:lang w:eastAsia="sl-SI"/>
              </w:rPr>
              <w:t>144</w:t>
            </w:r>
          </w:p>
        </w:tc>
        <w:tc>
          <w:tcPr>
            <w:tcW w:w="1073" w:type="pct"/>
            <w:tcBorders>
              <w:top w:val="nil"/>
              <w:left w:val="nil"/>
              <w:bottom w:val="single" w:sz="4" w:space="0" w:color="auto"/>
              <w:right w:val="single" w:sz="4" w:space="0" w:color="auto"/>
            </w:tcBorders>
            <w:shd w:val="clear" w:color="auto" w:fill="auto"/>
            <w:noWrap/>
            <w:vAlign w:val="center"/>
            <w:hideMark/>
          </w:tcPr>
          <w:p w14:paraId="2136B7BF" w14:textId="77777777" w:rsidR="00E3750C" w:rsidRPr="000E3B8A" w:rsidRDefault="00E3750C" w:rsidP="00047864">
            <w:pPr>
              <w:spacing w:after="0" w:line="240" w:lineRule="auto"/>
              <w:jc w:val="right"/>
              <w:rPr>
                <w:rFonts w:ascii="Arial" w:eastAsia="Times New Roman" w:hAnsi="Arial" w:cs="Arial"/>
                <w:b/>
                <w:bCs/>
                <w:color w:val="000000"/>
                <w:sz w:val="18"/>
                <w:szCs w:val="18"/>
                <w:lang w:eastAsia="sl-SI"/>
              </w:rPr>
            </w:pPr>
            <w:r w:rsidRPr="000E3B8A">
              <w:rPr>
                <w:rFonts w:ascii="Arial" w:eastAsia="Times New Roman" w:hAnsi="Arial" w:cs="Arial"/>
                <w:b/>
                <w:bCs/>
                <w:color w:val="000000"/>
                <w:sz w:val="18"/>
                <w:szCs w:val="18"/>
                <w:lang w:eastAsia="sl-SI"/>
              </w:rPr>
              <w:t>107.563.869</w:t>
            </w:r>
          </w:p>
        </w:tc>
      </w:tr>
      <w:tr w:rsidR="00E3750C" w:rsidRPr="000E3B8A" w14:paraId="1A35ED64" w14:textId="77777777" w:rsidTr="00047864">
        <w:trPr>
          <w:trHeight w:val="300"/>
        </w:trPr>
        <w:tc>
          <w:tcPr>
            <w:tcW w:w="2927" w:type="pct"/>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F7E512A" w14:textId="77777777" w:rsidR="00E3750C" w:rsidRPr="00DB704C" w:rsidRDefault="00E3750C" w:rsidP="00047864">
            <w:pPr>
              <w:spacing w:after="0" w:line="240" w:lineRule="auto"/>
              <w:rPr>
                <w:rFonts w:ascii="Arial" w:eastAsia="Times New Roman" w:hAnsi="Arial" w:cs="Arial"/>
                <w:b/>
                <w:bCs/>
                <w:color w:val="000000"/>
                <w:sz w:val="18"/>
                <w:szCs w:val="18"/>
                <w:lang w:eastAsia="sl-SI"/>
              </w:rPr>
            </w:pPr>
            <w:r w:rsidRPr="00DB704C">
              <w:rPr>
                <w:rFonts w:ascii="Arial" w:eastAsia="Times New Roman" w:hAnsi="Arial" w:cs="Arial"/>
                <w:b/>
                <w:bCs/>
                <w:color w:val="000000"/>
                <w:sz w:val="18"/>
                <w:szCs w:val="18"/>
                <w:lang w:eastAsia="sl-SI"/>
              </w:rPr>
              <w:t>Skupaj</w:t>
            </w:r>
          </w:p>
        </w:tc>
        <w:tc>
          <w:tcPr>
            <w:tcW w:w="500" w:type="pct"/>
            <w:tcBorders>
              <w:top w:val="nil"/>
              <w:left w:val="nil"/>
              <w:bottom w:val="single" w:sz="4" w:space="0" w:color="auto"/>
              <w:right w:val="single" w:sz="4" w:space="0" w:color="auto"/>
            </w:tcBorders>
            <w:shd w:val="clear" w:color="auto" w:fill="F2F2F2" w:themeFill="background1" w:themeFillShade="F2"/>
            <w:noWrap/>
            <w:vAlign w:val="center"/>
            <w:hideMark/>
          </w:tcPr>
          <w:p w14:paraId="4BFC7446" w14:textId="77777777" w:rsidR="00E3750C" w:rsidRPr="000E3B8A" w:rsidRDefault="00E3750C" w:rsidP="00047864">
            <w:pPr>
              <w:spacing w:after="0" w:line="240" w:lineRule="auto"/>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Blago</w:t>
            </w:r>
          </w:p>
        </w:tc>
        <w:tc>
          <w:tcPr>
            <w:tcW w:w="500" w:type="pct"/>
            <w:tcBorders>
              <w:top w:val="nil"/>
              <w:left w:val="nil"/>
              <w:bottom w:val="single" w:sz="4" w:space="0" w:color="auto"/>
              <w:right w:val="single" w:sz="4" w:space="0" w:color="auto"/>
            </w:tcBorders>
            <w:shd w:val="clear" w:color="auto" w:fill="F2F2F2" w:themeFill="background1" w:themeFillShade="F2"/>
            <w:vAlign w:val="center"/>
            <w:hideMark/>
          </w:tcPr>
          <w:p w14:paraId="2F058E3A"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11.457</w:t>
            </w:r>
          </w:p>
        </w:tc>
        <w:tc>
          <w:tcPr>
            <w:tcW w:w="1073" w:type="pct"/>
            <w:tcBorders>
              <w:top w:val="nil"/>
              <w:left w:val="nil"/>
              <w:bottom w:val="single" w:sz="4" w:space="0" w:color="auto"/>
              <w:right w:val="single" w:sz="4" w:space="0" w:color="auto"/>
            </w:tcBorders>
            <w:shd w:val="clear" w:color="auto" w:fill="F2F2F2" w:themeFill="background1" w:themeFillShade="F2"/>
            <w:vAlign w:val="center"/>
            <w:hideMark/>
          </w:tcPr>
          <w:p w14:paraId="032E1706"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1.810.773.018</w:t>
            </w:r>
          </w:p>
        </w:tc>
      </w:tr>
      <w:tr w:rsidR="00E3750C" w:rsidRPr="000E3B8A" w14:paraId="38EFA8DC" w14:textId="77777777" w:rsidTr="00047864">
        <w:trPr>
          <w:trHeight w:val="300"/>
        </w:trPr>
        <w:tc>
          <w:tcPr>
            <w:tcW w:w="2927" w:type="pct"/>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E0CF41" w14:textId="77777777" w:rsidR="00E3750C" w:rsidRPr="000E3B8A" w:rsidRDefault="00E3750C" w:rsidP="00047864">
            <w:pPr>
              <w:spacing w:after="0" w:line="240" w:lineRule="auto"/>
              <w:rPr>
                <w:rFonts w:ascii="Calibri" w:eastAsia="Times New Roman" w:hAnsi="Calibri" w:cs="Calibri"/>
                <w:color w:val="000000"/>
                <w:lang w:eastAsia="sl-SI"/>
              </w:rPr>
            </w:pPr>
          </w:p>
        </w:tc>
        <w:tc>
          <w:tcPr>
            <w:tcW w:w="500" w:type="pct"/>
            <w:tcBorders>
              <w:top w:val="nil"/>
              <w:left w:val="nil"/>
              <w:bottom w:val="single" w:sz="4" w:space="0" w:color="auto"/>
              <w:right w:val="single" w:sz="4" w:space="0" w:color="auto"/>
            </w:tcBorders>
            <w:shd w:val="clear" w:color="auto" w:fill="F2F2F2" w:themeFill="background1" w:themeFillShade="F2"/>
            <w:noWrap/>
            <w:vAlign w:val="center"/>
            <w:hideMark/>
          </w:tcPr>
          <w:p w14:paraId="487BA463" w14:textId="77777777" w:rsidR="00E3750C" w:rsidRPr="000E3B8A" w:rsidRDefault="00E3750C" w:rsidP="00047864">
            <w:pPr>
              <w:spacing w:after="0" w:line="240" w:lineRule="auto"/>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Storitve</w:t>
            </w:r>
          </w:p>
        </w:tc>
        <w:tc>
          <w:tcPr>
            <w:tcW w:w="500" w:type="pct"/>
            <w:tcBorders>
              <w:top w:val="nil"/>
              <w:left w:val="nil"/>
              <w:bottom w:val="single" w:sz="4" w:space="0" w:color="auto"/>
              <w:right w:val="single" w:sz="4" w:space="0" w:color="auto"/>
            </w:tcBorders>
            <w:shd w:val="clear" w:color="auto" w:fill="F2F2F2" w:themeFill="background1" w:themeFillShade="F2"/>
            <w:vAlign w:val="center"/>
            <w:hideMark/>
          </w:tcPr>
          <w:p w14:paraId="4A5E5782"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4.012</w:t>
            </w:r>
          </w:p>
        </w:tc>
        <w:tc>
          <w:tcPr>
            <w:tcW w:w="1073" w:type="pct"/>
            <w:tcBorders>
              <w:top w:val="nil"/>
              <w:left w:val="nil"/>
              <w:bottom w:val="single" w:sz="4" w:space="0" w:color="auto"/>
              <w:right w:val="single" w:sz="4" w:space="0" w:color="auto"/>
            </w:tcBorders>
            <w:shd w:val="clear" w:color="auto" w:fill="F2F2F2" w:themeFill="background1" w:themeFillShade="F2"/>
            <w:vAlign w:val="center"/>
            <w:hideMark/>
          </w:tcPr>
          <w:p w14:paraId="2050057F"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1.744.765.689</w:t>
            </w:r>
          </w:p>
        </w:tc>
      </w:tr>
      <w:tr w:rsidR="00E3750C" w:rsidRPr="000E3B8A" w14:paraId="0CB2F615" w14:textId="77777777" w:rsidTr="00047864">
        <w:trPr>
          <w:trHeight w:val="300"/>
        </w:trPr>
        <w:tc>
          <w:tcPr>
            <w:tcW w:w="2927" w:type="pct"/>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2DE3F3" w14:textId="77777777" w:rsidR="00E3750C" w:rsidRPr="000E3B8A" w:rsidRDefault="00E3750C" w:rsidP="00047864">
            <w:pPr>
              <w:spacing w:after="0" w:line="240" w:lineRule="auto"/>
              <w:rPr>
                <w:rFonts w:ascii="Calibri" w:eastAsia="Times New Roman" w:hAnsi="Calibri" w:cs="Calibri"/>
                <w:color w:val="000000"/>
                <w:lang w:eastAsia="sl-SI"/>
              </w:rPr>
            </w:pPr>
          </w:p>
        </w:tc>
        <w:tc>
          <w:tcPr>
            <w:tcW w:w="500" w:type="pct"/>
            <w:tcBorders>
              <w:top w:val="nil"/>
              <w:left w:val="nil"/>
              <w:bottom w:val="single" w:sz="4" w:space="0" w:color="auto"/>
              <w:right w:val="single" w:sz="4" w:space="0" w:color="auto"/>
            </w:tcBorders>
            <w:shd w:val="clear" w:color="auto" w:fill="F2F2F2" w:themeFill="background1" w:themeFillShade="F2"/>
            <w:noWrap/>
            <w:vAlign w:val="center"/>
            <w:hideMark/>
          </w:tcPr>
          <w:p w14:paraId="448ECDEC" w14:textId="77777777" w:rsidR="00E3750C" w:rsidRPr="000E3B8A" w:rsidRDefault="00E3750C" w:rsidP="00047864">
            <w:pPr>
              <w:spacing w:after="0" w:line="240" w:lineRule="auto"/>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Gradnje</w:t>
            </w:r>
          </w:p>
        </w:tc>
        <w:tc>
          <w:tcPr>
            <w:tcW w:w="500" w:type="pct"/>
            <w:tcBorders>
              <w:top w:val="nil"/>
              <w:left w:val="nil"/>
              <w:bottom w:val="single" w:sz="4" w:space="0" w:color="auto"/>
              <w:right w:val="single" w:sz="4" w:space="0" w:color="auto"/>
            </w:tcBorders>
            <w:shd w:val="clear" w:color="auto" w:fill="F2F2F2" w:themeFill="background1" w:themeFillShade="F2"/>
            <w:vAlign w:val="center"/>
            <w:hideMark/>
          </w:tcPr>
          <w:p w14:paraId="357EBF1C"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1.755</w:t>
            </w:r>
          </w:p>
        </w:tc>
        <w:tc>
          <w:tcPr>
            <w:tcW w:w="1073" w:type="pct"/>
            <w:tcBorders>
              <w:top w:val="nil"/>
              <w:left w:val="nil"/>
              <w:bottom w:val="single" w:sz="4" w:space="0" w:color="auto"/>
              <w:right w:val="single" w:sz="4" w:space="0" w:color="auto"/>
            </w:tcBorders>
            <w:shd w:val="clear" w:color="auto" w:fill="F2F2F2" w:themeFill="background1" w:themeFillShade="F2"/>
            <w:vAlign w:val="center"/>
            <w:hideMark/>
          </w:tcPr>
          <w:p w14:paraId="5A766FFC" w14:textId="77777777" w:rsidR="00E3750C" w:rsidRPr="000E3B8A" w:rsidRDefault="00E3750C" w:rsidP="00047864">
            <w:pPr>
              <w:spacing w:after="0" w:line="240" w:lineRule="auto"/>
              <w:jc w:val="right"/>
              <w:rPr>
                <w:rFonts w:ascii="Arial" w:eastAsia="Times New Roman" w:hAnsi="Arial" w:cs="Arial"/>
                <w:color w:val="000000"/>
                <w:sz w:val="18"/>
                <w:szCs w:val="18"/>
                <w:lang w:eastAsia="sl-SI"/>
              </w:rPr>
            </w:pPr>
            <w:r w:rsidRPr="000E3B8A">
              <w:rPr>
                <w:rFonts w:ascii="Arial" w:eastAsia="Times New Roman" w:hAnsi="Arial" w:cs="Arial"/>
                <w:color w:val="000000"/>
                <w:sz w:val="18"/>
                <w:szCs w:val="18"/>
                <w:lang w:eastAsia="sl-SI"/>
              </w:rPr>
              <w:t>1.861.567.195</w:t>
            </w:r>
          </w:p>
        </w:tc>
      </w:tr>
      <w:tr w:rsidR="00E3750C" w:rsidRPr="000E3B8A" w14:paraId="0C33118D" w14:textId="77777777" w:rsidTr="00047864">
        <w:trPr>
          <w:trHeight w:val="300"/>
        </w:trPr>
        <w:tc>
          <w:tcPr>
            <w:tcW w:w="2927" w:type="pct"/>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974DCF" w14:textId="77777777" w:rsidR="00E3750C" w:rsidRPr="000E3B8A" w:rsidRDefault="00E3750C" w:rsidP="00047864">
            <w:pPr>
              <w:spacing w:after="0" w:line="240" w:lineRule="auto"/>
              <w:rPr>
                <w:rFonts w:ascii="Calibri" w:eastAsia="Times New Roman" w:hAnsi="Calibri" w:cs="Calibri"/>
                <w:color w:val="000000"/>
                <w:lang w:eastAsia="sl-SI"/>
              </w:rPr>
            </w:pPr>
          </w:p>
        </w:tc>
        <w:tc>
          <w:tcPr>
            <w:tcW w:w="500" w:type="pct"/>
            <w:tcBorders>
              <w:top w:val="nil"/>
              <w:left w:val="nil"/>
              <w:bottom w:val="single" w:sz="4" w:space="0" w:color="auto"/>
              <w:right w:val="single" w:sz="4" w:space="0" w:color="auto"/>
            </w:tcBorders>
            <w:shd w:val="clear" w:color="auto" w:fill="F2F2F2" w:themeFill="background1" w:themeFillShade="F2"/>
            <w:noWrap/>
            <w:vAlign w:val="center"/>
            <w:hideMark/>
          </w:tcPr>
          <w:p w14:paraId="6F90D14B" w14:textId="77777777" w:rsidR="00E3750C" w:rsidRPr="000E3B8A" w:rsidRDefault="00E3750C" w:rsidP="00047864">
            <w:pPr>
              <w:spacing w:after="0" w:line="240" w:lineRule="auto"/>
              <w:rPr>
                <w:rFonts w:ascii="Arial" w:eastAsia="Times New Roman" w:hAnsi="Arial" w:cs="Arial"/>
                <w:b/>
                <w:bCs/>
                <w:color w:val="000000"/>
                <w:sz w:val="18"/>
                <w:szCs w:val="18"/>
                <w:lang w:eastAsia="sl-SI"/>
              </w:rPr>
            </w:pPr>
            <w:r w:rsidRPr="000E3B8A">
              <w:rPr>
                <w:rFonts w:ascii="Arial" w:eastAsia="Times New Roman" w:hAnsi="Arial" w:cs="Arial"/>
                <w:b/>
                <w:bCs/>
                <w:color w:val="000000"/>
                <w:sz w:val="18"/>
                <w:szCs w:val="18"/>
                <w:lang w:eastAsia="sl-SI"/>
              </w:rPr>
              <w:t>Skupaj</w:t>
            </w:r>
          </w:p>
        </w:tc>
        <w:tc>
          <w:tcPr>
            <w:tcW w:w="500" w:type="pct"/>
            <w:tcBorders>
              <w:top w:val="nil"/>
              <w:left w:val="nil"/>
              <w:bottom w:val="single" w:sz="4" w:space="0" w:color="auto"/>
              <w:right w:val="single" w:sz="4" w:space="0" w:color="auto"/>
            </w:tcBorders>
            <w:shd w:val="clear" w:color="auto" w:fill="F2F2F2" w:themeFill="background1" w:themeFillShade="F2"/>
            <w:noWrap/>
            <w:vAlign w:val="center"/>
            <w:hideMark/>
          </w:tcPr>
          <w:p w14:paraId="21BA14F2" w14:textId="77777777" w:rsidR="00E3750C" w:rsidRPr="000E3B8A" w:rsidRDefault="00E3750C" w:rsidP="00047864">
            <w:pPr>
              <w:spacing w:after="0" w:line="240" w:lineRule="auto"/>
              <w:jc w:val="right"/>
              <w:rPr>
                <w:rFonts w:ascii="Arial" w:eastAsia="Times New Roman" w:hAnsi="Arial" w:cs="Arial"/>
                <w:b/>
                <w:bCs/>
                <w:color w:val="000000"/>
                <w:sz w:val="18"/>
                <w:szCs w:val="18"/>
                <w:lang w:eastAsia="sl-SI"/>
              </w:rPr>
            </w:pPr>
            <w:r w:rsidRPr="000E3B8A">
              <w:rPr>
                <w:rFonts w:ascii="Arial" w:eastAsia="Times New Roman" w:hAnsi="Arial" w:cs="Arial"/>
                <w:b/>
                <w:bCs/>
                <w:color w:val="000000"/>
                <w:sz w:val="18"/>
                <w:szCs w:val="18"/>
                <w:lang w:eastAsia="sl-SI"/>
              </w:rPr>
              <w:t>17.224</w:t>
            </w:r>
          </w:p>
        </w:tc>
        <w:tc>
          <w:tcPr>
            <w:tcW w:w="1073" w:type="pct"/>
            <w:tcBorders>
              <w:top w:val="nil"/>
              <w:left w:val="nil"/>
              <w:bottom w:val="single" w:sz="4" w:space="0" w:color="auto"/>
              <w:right w:val="single" w:sz="4" w:space="0" w:color="auto"/>
            </w:tcBorders>
            <w:shd w:val="clear" w:color="auto" w:fill="F2F2F2" w:themeFill="background1" w:themeFillShade="F2"/>
            <w:noWrap/>
            <w:vAlign w:val="center"/>
            <w:hideMark/>
          </w:tcPr>
          <w:p w14:paraId="7AC25490" w14:textId="77777777" w:rsidR="00E3750C" w:rsidRPr="000E3B8A" w:rsidRDefault="00E3750C" w:rsidP="00047864">
            <w:pPr>
              <w:spacing w:after="0" w:line="240" w:lineRule="auto"/>
              <w:jc w:val="right"/>
              <w:rPr>
                <w:rFonts w:ascii="Arial" w:eastAsia="Times New Roman" w:hAnsi="Arial" w:cs="Arial"/>
                <w:b/>
                <w:bCs/>
                <w:color w:val="000000"/>
                <w:sz w:val="18"/>
                <w:szCs w:val="18"/>
                <w:lang w:eastAsia="sl-SI"/>
              </w:rPr>
            </w:pPr>
            <w:r w:rsidRPr="000E3B8A">
              <w:rPr>
                <w:rFonts w:ascii="Arial" w:eastAsia="Times New Roman" w:hAnsi="Arial" w:cs="Arial"/>
                <w:b/>
                <w:bCs/>
                <w:color w:val="000000"/>
                <w:sz w:val="18"/>
                <w:szCs w:val="18"/>
                <w:lang w:eastAsia="sl-SI"/>
              </w:rPr>
              <w:t>5.417.105.902</w:t>
            </w:r>
          </w:p>
        </w:tc>
      </w:tr>
    </w:tbl>
    <w:p w14:paraId="1E34FDCE" w14:textId="77777777" w:rsidR="00E3750C" w:rsidRPr="00BF7302" w:rsidRDefault="00E3750C" w:rsidP="00E3750C">
      <w:pPr>
        <w:pStyle w:val="ZADEVA"/>
        <w:spacing w:line="240" w:lineRule="auto"/>
        <w:jc w:val="both"/>
        <w:rPr>
          <w:rFonts w:cs="Arial"/>
          <w:b w:val="0"/>
          <w:szCs w:val="20"/>
          <w:highlight w:val="yellow"/>
          <w:lang w:val="sl-SI"/>
        </w:rPr>
      </w:pPr>
    </w:p>
    <w:p w14:paraId="71F9886C" w14:textId="77777777" w:rsidR="00E3750C" w:rsidRPr="00A218AA" w:rsidRDefault="00E3750C" w:rsidP="00E3750C">
      <w:pPr>
        <w:pStyle w:val="ZADEVA"/>
        <w:spacing w:before="120" w:line="240" w:lineRule="auto"/>
        <w:jc w:val="both"/>
        <w:rPr>
          <w:rFonts w:cs="Arial"/>
          <w:b w:val="0"/>
          <w:szCs w:val="20"/>
          <w:lang w:val="sl-SI"/>
        </w:rPr>
      </w:pPr>
      <w:r w:rsidRPr="00A218AA">
        <w:rPr>
          <w:rFonts w:cs="Arial"/>
          <w:b w:val="0"/>
          <w:szCs w:val="20"/>
          <w:lang w:val="sl-SI"/>
        </w:rPr>
        <w:t>Preglednica 6</w:t>
      </w:r>
      <w:r>
        <w:rPr>
          <w:rFonts w:cs="Arial"/>
          <w:b w:val="0"/>
          <w:szCs w:val="20"/>
          <w:lang w:val="sl-SI"/>
        </w:rPr>
        <w:t>1</w:t>
      </w:r>
      <w:r w:rsidRPr="00A218AA">
        <w:rPr>
          <w:rFonts w:cs="Arial"/>
          <w:b w:val="0"/>
          <w:szCs w:val="20"/>
          <w:lang w:val="sl-SI"/>
        </w:rPr>
        <w:t>: Javna naročila glede na predmet naročanja in vrsto postopka</w:t>
      </w:r>
    </w:p>
    <w:p w14:paraId="0CF3871B" w14:textId="77777777" w:rsidR="00E3750C" w:rsidRPr="00BF7302" w:rsidRDefault="00E3750C" w:rsidP="00E3750C">
      <w:pPr>
        <w:pStyle w:val="ZADEVA"/>
        <w:spacing w:line="240" w:lineRule="auto"/>
        <w:jc w:val="both"/>
        <w:rPr>
          <w:rFonts w:cs="Arial"/>
          <w:b w:val="0"/>
          <w:szCs w:val="20"/>
          <w:highlight w:val="yellow"/>
          <w:lang w:val="sl-SI"/>
        </w:rPr>
      </w:pPr>
    </w:p>
    <w:tbl>
      <w:tblPr>
        <w:tblW w:w="8920" w:type="dxa"/>
        <w:tblCellMar>
          <w:left w:w="70" w:type="dxa"/>
          <w:right w:w="70" w:type="dxa"/>
        </w:tblCellMar>
        <w:tblLook w:val="04A0" w:firstRow="1" w:lastRow="0" w:firstColumn="1" w:lastColumn="0" w:noHBand="0" w:noVBand="1"/>
      </w:tblPr>
      <w:tblGrid>
        <w:gridCol w:w="920"/>
        <w:gridCol w:w="4560"/>
        <w:gridCol w:w="1380"/>
        <w:gridCol w:w="2060"/>
      </w:tblGrid>
      <w:tr w:rsidR="00E3750C" w:rsidRPr="00A218AA" w14:paraId="7BC14574" w14:textId="77777777" w:rsidTr="00047864">
        <w:trPr>
          <w:trHeight w:val="300"/>
          <w:tblHeader/>
        </w:trPr>
        <w:tc>
          <w:tcPr>
            <w:tcW w:w="9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592D1A0" w14:textId="77777777" w:rsidR="00E3750C" w:rsidRPr="00A218AA" w:rsidRDefault="00E3750C" w:rsidP="00047864">
            <w:pPr>
              <w:spacing w:after="0" w:line="240" w:lineRule="auto"/>
              <w:jc w:val="center"/>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Predmet</w:t>
            </w:r>
          </w:p>
        </w:tc>
        <w:tc>
          <w:tcPr>
            <w:tcW w:w="456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C80D785" w14:textId="77777777" w:rsidR="00E3750C" w:rsidRPr="00A218AA" w:rsidRDefault="00E3750C" w:rsidP="00047864">
            <w:pPr>
              <w:spacing w:after="0" w:line="240" w:lineRule="auto"/>
              <w:jc w:val="center"/>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Vrsta postopka</w:t>
            </w:r>
          </w:p>
        </w:tc>
        <w:tc>
          <w:tcPr>
            <w:tcW w:w="138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5D8CE7A" w14:textId="77777777" w:rsidR="00E3750C" w:rsidRPr="00A218AA" w:rsidRDefault="00E3750C" w:rsidP="00047864">
            <w:pPr>
              <w:spacing w:after="0" w:line="240" w:lineRule="auto"/>
              <w:jc w:val="center"/>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Št. postopkov</w:t>
            </w:r>
          </w:p>
        </w:tc>
        <w:tc>
          <w:tcPr>
            <w:tcW w:w="206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975EAE6" w14:textId="77777777" w:rsidR="00E3750C" w:rsidRPr="00A218AA" w:rsidRDefault="00E3750C" w:rsidP="00047864">
            <w:pPr>
              <w:spacing w:after="0" w:line="240" w:lineRule="auto"/>
              <w:jc w:val="center"/>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Pogodbena vrednost</w:t>
            </w:r>
          </w:p>
        </w:tc>
      </w:tr>
      <w:tr w:rsidR="00E3750C" w:rsidRPr="00A218AA" w14:paraId="21EDB8EA" w14:textId="77777777" w:rsidTr="00047864">
        <w:trPr>
          <w:trHeight w:val="300"/>
        </w:trPr>
        <w:tc>
          <w:tcPr>
            <w:tcW w:w="9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92736B" w14:textId="77777777" w:rsidR="00E3750C" w:rsidRPr="00A218AA" w:rsidRDefault="00E3750C" w:rsidP="00047864">
            <w:pPr>
              <w:spacing w:after="0" w:line="240" w:lineRule="auto"/>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Blago</w:t>
            </w:r>
          </w:p>
        </w:tc>
        <w:tc>
          <w:tcPr>
            <w:tcW w:w="4560" w:type="dxa"/>
            <w:tcBorders>
              <w:top w:val="nil"/>
              <w:left w:val="nil"/>
              <w:bottom w:val="single" w:sz="4" w:space="0" w:color="auto"/>
              <w:right w:val="single" w:sz="4" w:space="0" w:color="auto"/>
            </w:tcBorders>
            <w:shd w:val="clear" w:color="auto" w:fill="auto"/>
            <w:noWrap/>
            <w:vAlign w:val="center"/>
            <w:hideMark/>
          </w:tcPr>
          <w:p w14:paraId="4D62A883" w14:textId="77777777" w:rsidR="00E3750C" w:rsidRPr="00A218AA" w:rsidRDefault="00E3750C" w:rsidP="00047864">
            <w:pPr>
              <w:spacing w:after="0" w:line="240" w:lineRule="auto"/>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Konkurenčni dialog</w:t>
            </w:r>
          </w:p>
        </w:tc>
        <w:tc>
          <w:tcPr>
            <w:tcW w:w="1380" w:type="dxa"/>
            <w:tcBorders>
              <w:top w:val="nil"/>
              <w:left w:val="nil"/>
              <w:bottom w:val="single" w:sz="4" w:space="0" w:color="auto"/>
              <w:right w:val="single" w:sz="4" w:space="0" w:color="auto"/>
            </w:tcBorders>
            <w:shd w:val="clear" w:color="auto" w:fill="auto"/>
            <w:noWrap/>
            <w:vAlign w:val="center"/>
            <w:hideMark/>
          </w:tcPr>
          <w:p w14:paraId="5CE77EDB" w14:textId="77777777" w:rsidR="00E3750C" w:rsidRPr="00A218AA" w:rsidRDefault="00E3750C" w:rsidP="00047864">
            <w:pPr>
              <w:spacing w:after="0" w:line="240" w:lineRule="auto"/>
              <w:jc w:val="right"/>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12</w:t>
            </w:r>
          </w:p>
        </w:tc>
        <w:tc>
          <w:tcPr>
            <w:tcW w:w="2060" w:type="dxa"/>
            <w:tcBorders>
              <w:top w:val="nil"/>
              <w:left w:val="nil"/>
              <w:bottom w:val="single" w:sz="4" w:space="0" w:color="auto"/>
              <w:right w:val="single" w:sz="4" w:space="0" w:color="auto"/>
            </w:tcBorders>
            <w:shd w:val="clear" w:color="auto" w:fill="auto"/>
            <w:noWrap/>
            <w:vAlign w:val="center"/>
            <w:hideMark/>
          </w:tcPr>
          <w:p w14:paraId="37FA8C86" w14:textId="77777777" w:rsidR="00E3750C" w:rsidRPr="00A218AA" w:rsidRDefault="00E3750C" w:rsidP="00047864">
            <w:pPr>
              <w:spacing w:after="0" w:line="240" w:lineRule="auto"/>
              <w:jc w:val="right"/>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2.649.806</w:t>
            </w:r>
          </w:p>
        </w:tc>
      </w:tr>
      <w:tr w:rsidR="00E3750C" w:rsidRPr="00A218AA" w14:paraId="5CC392FD" w14:textId="77777777" w:rsidTr="00047864">
        <w:trPr>
          <w:trHeight w:val="300"/>
        </w:trPr>
        <w:tc>
          <w:tcPr>
            <w:tcW w:w="920" w:type="dxa"/>
            <w:vMerge/>
            <w:tcBorders>
              <w:top w:val="nil"/>
              <w:left w:val="single" w:sz="4" w:space="0" w:color="auto"/>
              <w:bottom w:val="single" w:sz="4" w:space="0" w:color="auto"/>
              <w:right w:val="single" w:sz="4" w:space="0" w:color="auto"/>
            </w:tcBorders>
            <w:vAlign w:val="center"/>
            <w:hideMark/>
          </w:tcPr>
          <w:p w14:paraId="37DBA061" w14:textId="77777777" w:rsidR="00E3750C" w:rsidRPr="00A218AA" w:rsidRDefault="00E3750C" w:rsidP="00047864">
            <w:pPr>
              <w:spacing w:after="0" w:line="240" w:lineRule="auto"/>
              <w:rPr>
                <w:rFonts w:ascii="Arial" w:eastAsia="Times New Roman" w:hAnsi="Arial" w:cs="Arial"/>
                <w:color w:val="000000"/>
                <w:sz w:val="18"/>
                <w:szCs w:val="18"/>
                <w:lang w:eastAsia="sl-SI"/>
              </w:rPr>
            </w:pPr>
          </w:p>
        </w:tc>
        <w:tc>
          <w:tcPr>
            <w:tcW w:w="4560" w:type="dxa"/>
            <w:tcBorders>
              <w:top w:val="nil"/>
              <w:left w:val="nil"/>
              <w:bottom w:val="single" w:sz="4" w:space="0" w:color="auto"/>
              <w:right w:val="single" w:sz="4" w:space="0" w:color="auto"/>
            </w:tcBorders>
            <w:shd w:val="clear" w:color="auto" w:fill="auto"/>
            <w:noWrap/>
            <w:vAlign w:val="center"/>
            <w:hideMark/>
          </w:tcPr>
          <w:p w14:paraId="7FA48BFD" w14:textId="77777777" w:rsidR="00E3750C" w:rsidRPr="00A218AA" w:rsidRDefault="00E3750C" w:rsidP="00047864">
            <w:pPr>
              <w:spacing w:after="0" w:line="240" w:lineRule="auto"/>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Konkurenčni postopek s pogajanji</w:t>
            </w:r>
          </w:p>
        </w:tc>
        <w:tc>
          <w:tcPr>
            <w:tcW w:w="1380" w:type="dxa"/>
            <w:tcBorders>
              <w:top w:val="nil"/>
              <w:left w:val="nil"/>
              <w:bottom w:val="single" w:sz="4" w:space="0" w:color="auto"/>
              <w:right w:val="single" w:sz="4" w:space="0" w:color="auto"/>
            </w:tcBorders>
            <w:shd w:val="clear" w:color="auto" w:fill="auto"/>
            <w:noWrap/>
            <w:vAlign w:val="center"/>
            <w:hideMark/>
          </w:tcPr>
          <w:p w14:paraId="669B788C" w14:textId="77777777" w:rsidR="00E3750C" w:rsidRPr="00A218AA" w:rsidRDefault="00E3750C" w:rsidP="00047864">
            <w:pPr>
              <w:spacing w:after="0" w:line="240" w:lineRule="auto"/>
              <w:jc w:val="right"/>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45</w:t>
            </w:r>
          </w:p>
        </w:tc>
        <w:tc>
          <w:tcPr>
            <w:tcW w:w="2060" w:type="dxa"/>
            <w:tcBorders>
              <w:top w:val="nil"/>
              <w:left w:val="nil"/>
              <w:bottom w:val="single" w:sz="4" w:space="0" w:color="auto"/>
              <w:right w:val="single" w:sz="4" w:space="0" w:color="auto"/>
            </w:tcBorders>
            <w:shd w:val="clear" w:color="auto" w:fill="auto"/>
            <w:noWrap/>
            <w:vAlign w:val="center"/>
            <w:hideMark/>
          </w:tcPr>
          <w:p w14:paraId="756C74A3" w14:textId="77777777" w:rsidR="00E3750C" w:rsidRPr="00A218AA" w:rsidRDefault="00E3750C" w:rsidP="00047864">
            <w:pPr>
              <w:spacing w:after="0" w:line="240" w:lineRule="auto"/>
              <w:jc w:val="right"/>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17.564.697</w:t>
            </w:r>
          </w:p>
        </w:tc>
      </w:tr>
      <w:tr w:rsidR="00E3750C" w:rsidRPr="00A218AA" w14:paraId="4F51A619" w14:textId="77777777" w:rsidTr="00047864">
        <w:trPr>
          <w:trHeight w:val="300"/>
        </w:trPr>
        <w:tc>
          <w:tcPr>
            <w:tcW w:w="920" w:type="dxa"/>
            <w:vMerge/>
            <w:tcBorders>
              <w:top w:val="nil"/>
              <w:left w:val="single" w:sz="4" w:space="0" w:color="auto"/>
              <w:bottom w:val="single" w:sz="4" w:space="0" w:color="auto"/>
              <w:right w:val="single" w:sz="4" w:space="0" w:color="auto"/>
            </w:tcBorders>
            <w:vAlign w:val="center"/>
            <w:hideMark/>
          </w:tcPr>
          <w:p w14:paraId="55EAE4D3" w14:textId="77777777" w:rsidR="00E3750C" w:rsidRPr="00A218AA" w:rsidRDefault="00E3750C" w:rsidP="00047864">
            <w:pPr>
              <w:spacing w:after="0" w:line="240" w:lineRule="auto"/>
              <w:rPr>
                <w:rFonts w:ascii="Arial" w:eastAsia="Times New Roman" w:hAnsi="Arial" w:cs="Arial"/>
                <w:color w:val="000000"/>
                <w:sz w:val="18"/>
                <w:szCs w:val="18"/>
                <w:lang w:eastAsia="sl-SI"/>
              </w:rPr>
            </w:pPr>
          </w:p>
        </w:tc>
        <w:tc>
          <w:tcPr>
            <w:tcW w:w="4560" w:type="dxa"/>
            <w:tcBorders>
              <w:top w:val="nil"/>
              <w:left w:val="nil"/>
              <w:bottom w:val="single" w:sz="4" w:space="0" w:color="auto"/>
              <w:right w:val="single" w:sz="4" w:space="0" w:color="auto"/>
            </w:tcBorders>
            <w:shd w:val="clear" w:color="auto" w:fill="auto"/>
            <w:noWrap/>
            <w:vAlign w:val="center"/>
            <w:hideMark/>
          </w:tcPr>
          <w:p w14:paraId="2F596897" w14:textId="77777777" w:rsidR="00E3750C" w:rsidRPr="00A218AA" w:rsidRDefault="00E3750C" w:rsidP="00047864">
            <w:pPr>
              <w:spacing w:after="0" w:line="240" w:lineRule="auto"/>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Odprti postopek</w:t>
            </w:r>
          </w:p>
        </w:tc>
        <w:tc>
          <w:tcPr>
            <w:tcW w:w="1380" w:type="dxa"/>
            <w:tcBorders>
              <w:top w:val="nil"/>
              <w:left w:val="nil"/>
              <w:bottom w:val="single" w:sz="4" w:space="0" w:color="auto"/>
              <w:right w:val="single" w:sz="4" w:space="0" w:color="auto"/>
            </w:tcBorders>
            <w:shd w:val="clear" w:color="auto" w:fill="auto"/>
            <w:noWrap/>
            <w:vAlign w:val="center"/>
            <w:hideMark/>
          </w:tcPr>
          <w:p w14:paraId="140E3EF3" w14:textId="77777777" w:rsidR="00E3750C" w:rsidRPr="00A218AA" w:rsidRDefault="00E3750C" w:rsidP="00047864">
            <w:pPr>
              <w:spacing w:after="0" w:line="240" w:lineRule="auto"/>
              <w:jc w:val="right"/>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1.099</w:t>
            </w:r>
          </w:p>
        </w:tc>
        <w:tc>
          <w:tcPr>
            <w:tcW w:w="2060" w:type="dxa"/>
            <w:tcBorders>
              <w:top w:val="nil"/>
              <w:left w:val="nil"/>
              <w:bottom w:val="single" w:sz="4" w:space="0" w:color="auto"/>
              <w:right w:val="single" w:sz="4" w:space="0" w:color="auto"/>
            </w:tcBorders>
            <w:shd w:val="clear" w:color="auto" w:fill="auto"/>
            <w:noWrap/>
            <w:vAlign w:val="center"/>
            <w:hideMark/>
          </w:tcPr>
          <w:p w14:paraId="0191BECE" w14:textId="77777777" w:rsidR="00E3750C" w:rsidRPr="00A218AA" w:rsidRDefault="00E3750C" w:rsidP="00047864">
            <w:pPr>
              <w:spacing w:after="0" w:line="240" w:lineRule="auto"/>
              <w:jc w:val="right"/>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1.368.154.788</w:t>
            </w:r>
          </w:p>
        </w:tc>
      </w:tr>
      <w:tr w:rsidR="00E3750C" w:rsidRPr="00A218AA" w14:paraId="103CBCE1" w14:textId="77777777" w:rsidTr="00047864">
        <w:trPr>
          <w:trHeight w:val="300"/>
        </w:trPr>
        <w:tc>
          <w:tcPr>
            <w:tcW w:w="920" w:type="dxa"/>
            <w:vMerge/>
            <w:tcBorders>
              <w:top w:val="nil"/>
              <w:left w:val="single" w:sz="4" w:space="0" w:color="auto"/>
              <w:bottom w:val="single" w:sz="4" w:space="0" w:color="auto"/>
              <w:right w:val="single" w:sz="4" w:space="0" w:color="auto"/>
            </w:tcBorders>
            <w:vAlign w:val="center"/>
            <w:hideMark/>
          </w:tcPr>
          <w:p w14:paraId="0A5DEEF1" w14:textId="77777777" w:rsidR="00E3750C" w:rsidRPr="00A218AA" w:rsidRDefault="00E3750C" w:rsidP="00047864">
            <w:pPr>
              <w:spacing w:after="0" w:line="240" w:lineRule="auto"/>
              <w:rPr>
                <w:rFonts w:ascii="Arial" w:eastAsia="Times New Roman" w:hAnsi="Arial" w:cs="Arial"/>
                <w:color w:val="000000"/>
                <w:sz w:val="18"/>
                <w:szCs w:val="18"/>
                <w:lang w:eastAsia="sl-SI"/>
              </w:rPr>
            </w:pPr>
          </w:p>
        </w:tc>
        <w:tc>
          <w:tcPr>
            <w:tcW w:w="4560" w:type="dxa"/>
            <w:tcBorders>
              <w:top w:val="nil"/>
              <w:left w:val="nil"/>
              <w:bottom w:val="single" w:sz="4" w:space="0" w:color="auto"/>
              <w:right w:val="single" w:sz="4" w:space="0" w:color="auto"/>
            </w:tcBorders>
            <w:shd w:val="clear" w:color="auto" w:fill="auto"/>
            <w:noWrap/>
            <w:vAlign w:val="center"/>
            <w:hideMark/>
          </w:tcPr>
          <w:p w14:paraId="50A45B08" w14:textId="77777777" w:rsidR="00E3750C" w:rsidRPr="00A218AA" w:rsidRDefault="00E3750C" w:rsidP="00047864">
            <w:pPr>
              <w:spacing w:after="0" w:line="240" w:lineRule="auto"/>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Omejeni postopek</w:t>
            </w:r>
          </w:p>
        </w:tc>
        <w:tc>
          <w:tcPr>
            <w:tcW w:w="1380" w:type="dxa"/>
            <w:tcBorders>
              <w:top w:val="nil"/>
              <w:left w:val="nil"/>
              <w:bottom w:val="single" w:sz="4" w:space="0" w:color="auto"/>
              <w:right w:val="single" w:sz="4" w:space="0" w:color="auto"/>
            </w:tcBorders>
            <w:shd w:val="clear" w:color="auto" w:fill="auto"/>
            <w:noWrap/>
            <w:vAlign w:val="center"/>
            <w:hideMark/>
          </w:tcPr>
          <w:p w14:paraId="4C4526AF" w14:textId="77777777" w:rsidR="00E3750C" w:rsidRPr="00A218AA" w:rsidRDefault="00E3750C" w:rsidP="00047864">
            <w:pPr>
              <w:spacing w:after="0" w:line="240" w:lineRule="auto"/>
              <w:jc w:val="right"/>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18</w:t>
            </w:r>
          </w:p>
        </w:tc>
        <w:tc>
          <w:tcPr>
            <w:tcW w:w="2060" w:type="dxa"/>
            <w:tcBorders>
              <w:top w:val="nil"/>
              <w:left w:val="nil"/>
              <w:bottom w:val="single" w:sz="4" w:space="0" w:color="auto"/>
              <w:right w:val="single" w:sz="4" w:space="0" w:color="auto"/>
            </w:tcBorders>
            <w:shd w:val="clear" w:color="auto" w:fill="auto"/>
            <w:noWrap/>
            <w:vAlign w:val="center"/>
            <w:hideMark/>
          </w:tcPr>
          <w:p w14:paraId="13E9ED2E" w14:textId="77777777" w:rsidR="00E3750C" w:rsidRPr="00A218AA" w:rsidRDefault="00E3750C" w:rsidP="00047864">
            <w:pPr>
              <w:spacing w:after="0" w:line="240" w:lineRule="auto"/>
              <w:jc w:val="right"/>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10.830.704</w:t>
            </w:r>
          </w:p>
        </w:tc>
      </w:tr>
      <w:tr w:rsidR="00E3750C" w:rsidRPr="00A218AA" w14:paraId="349C03D9" w14:textId="77777777" w:rsidTr="00047864">
        <w:trPr>
          <w:trHeight w:val="300"/>
        </w:trPr>
        <w:tc>
          <w:tcPr>
            <w:tcW w:w="920" w:type="dxa"/>
            <w:vMerge/>
            <w:tcBorders>
              <w:top w:val="nil"/>
              <w:left w:val="single" w:sz="4" w:space="0" w:color="auto"/>
              <w:bottom w:val="single" w:sz="4" w:space="0" w:color="auto"/>
              <w:right w:val="single" w:sz="4" w:space="0" w:color="auto"/>
            </w:tcBorders>
            <w:vAlign w:val="center"/>
            <w:hideMark/>
          </w:tcPr>
          <w:p w14:paraId="0526BBF0" w14:textId="77777777" w:rsidR="00E3750C" w:rsidRPr="00A218AA" w:rsidRDefault="00E3750C" w:rsidP="00047864">
            <w:pPr>
              <w:spacing w:after="0" w:line="240" w:lineRule="auto"/>
              <w:rPr>
                <w:rFonts w:ascii="Arial" w:eastAsia="Times New Roman" w:hAnsi="Arial" w:cs="Arial"/>
                <w:color w:val="000000"/>
                <w:sz w:val="18"/>
                <w:szCs w:val="18"/>
                <w:lang w:eastAsia="sl-SI"/>
              </w:rPr>
            </w:pPr>
          </w:p>
        </w:tc>
        <w:tc>
          <w:tcPr>
            <w:tcW w:w="4560" w:type="dxa"/>
            <w:tcBorders>
              <w:top w:val="nil"/>
              <w:left w:val="nil"/>
              <w:bottom w:val="single" w:sz="4" w:space="0" w:color="auto"/>
              <w:right w:val="single" w:sz="4" w:space="0" w:color="auto"/>
            </w:tcBorders>
            <w:shd w:val="clear" w:color="auto" w:fill="auto"/>
            <w:noWrap/>
            <w:vAlign w:val="center"/>
            <w:hideMark/>
          </w:tcPr>
          <w:p w14:paraId="3A04A281" w14:textId="77777777" w:rsidR="00E3750C" w:rsidRPr="00A218AA" w:rsidRDefault="00E3750C" w:rsidP="00047864">
            <w:pPr>
              <w:spacing w:after="0" w:line="240" w:lineRule="auto"/>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Postopek naročila male vrednosti</w:t>
            </w:r>
          </w:p>
        </w:tc>
        <w:tc>
          <w:tcPr>
            <w:tcW w:w="1380" w:type="dxa"/>
            <w:tcBorders>
              <w:top w:val="nil"/>
              <w:left w:val="nil"/>
              <w:bottom w:val="single" w:sz="4" w:space="0" w:color="auto"/>
              <w:right w:val="single" w:sz="4" w:space="0" w:color="auto"/>
            </w:tcBorders>
            <w:shd w:val="clear" w:color="auto" w:fill="auto"/>
            <w:noWrap/>
            <w:vAlign w:val="center"/>
            <w:hideMark/>
          </w:tcPr>
          <w:p w14:paraId="5EDB112B" w14:textId="77777777" w:rsidR="00E3750C" w:rsidRPr="00A218AA" w:rsidRDefault="00E3750C" w:rsidP="00047864">
            <w:pPr>
              <w:spacing w:after="0" w:line="240" w:lineRule="auto"/>
              <w:jc w:val="right"/>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1.433</w:t>
            </w:r>
          </w:p>
        </w:tc>
        <w:tc>
          <w:tcPr>
            <w:tcW w:w="2060" w:type="dxa"/>
            <w:tcBorders>
              <w:top w:val="nil"/>
              <w:left w:val="nil"/>
              <w:bottom w:val="single" w:sz="4" w:space="0" w:color="auto"/>
              <w:right w:val="single" w:sz="4" w:space="0" w:color="auto"/>
            </w:tcBorders>
            <w:shd w:val="clear" w:color="auto" w:fill="auto"/>
            <w:noWrap/>
            <w:vAlign w:val="center"/>
            <w:hideMark/>
          </w:tcPr>
          <w:p w14:paraId="152E8474" w14:textId="77777777" w:rsidR="00E3750C" w:rsidRPr="00A218AA" w:rsidRDefault="00E3750C" w:rsidP="00047864">
            <w:pPr>
              <w:spacing w:after="0" w:line="240" w:lineRule="auto"/>
              <w:jc w:val="right"/>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148.107.735</w:t>
            </w:r>
          </w:p>
        </w:tc>
      </w:tr>
      <w:tr w:rsidR="00E3750C" w:rsidRPr="00A218AA" w14:paraId="0985A45B" w14:textId="77777777" w:rsidTr="00047864">
        <w:trPr>
          <w:trHeight w:val="300"/>
        </w:trPr>
        <w:tc>
          <w:tcPr>
            <w:tcW w:w="920" w:type="dxa"/>
            <w:vMerge/>
            <w:tcBorders>
              <w:top w:val="nil"/>
              <w:left w:val="single" w:sz="4" w:space="0" w:color="auto"/>
              <w:bottom w:val="single" w:sz="4" w:space="0" w:color="auto"/>
              <w:right w:val="single" w:sz="4" w:space="0" w:color="auto"/>
            </w:tcBorders>
            <w:vAlign w:val="center"/>
            <w:hideMark/>
          </w:tcPr>
          <w:p w14:paraId="604C6E07" w14:textId="77777777" w:rsidR="00E3750C" w:rsidRPr="00A218AA" w:rsidRDefault="00E3750C" w:rsidP="00047864">
            <w:pPr>
              <w:spacing w:after="0" w:line="240" w:lineRule="auto"/>
              <w:rPr>
                <w:rFonts w:ascii="Arial" w:eastAsia="Times New Roman" w:hAnsi="Arial" w:cs="Arial"/>
                <w:color w:val="000000"/>
                <w:sz w:val="18"/>
                <w:szCs w:val="18"/>
                <w:lang w:eastAsia="sl-SI"/>
              </w:rPr>
            </w:pPr>
          </w:p>
        </w:tc>
        <w:tc>
          <w:tcPr>
            <w:tcW w:w="4560" w:type="dxa"/>
            <w:tcBorders>
              <w:top w:val="nil"/>
              <w:left w:val="nil"/>
              <w:bottom w:val="single" w:sz="4" w:space="0" w:color="auto"/>
              <w:right w:val="single" w:sz="4" w:space="0" w:color="auto"/>
            </w:tcBorders>
            <w:shd w:val="clear" w:color="auto" w:fill="auto"/>
            <w:noWrap/>
            <w:vAlign w:val="center"/>
            <w:hideMark/>
          </w:tcPr>
          <w:p w14:paraId="6F25E658" w14:textId="77777777" w:rsidR="00E3750C" w:rsidRPr="00A218AA" w:rsidRDefault="00E3750C" w:rsidP="00047864">
            <w:pPr>
              <w:spacing w:after="0" w:line="240" w:lineRule="auto"/>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Postopek s pogajanji brez predhodne objave</w:t>
            </w:r>
          </w:p>
        </w:tc>
        <w:tc>
          <w:tcPr>
            <w:tcW w:w="1380" w:type="dxa"/>
            <w:tcBorders>
              <w:top w:val="nil"/>
              <w:left w:val="nil"/>
              <w:bottom w:val="single" w:sz="4" w:space="0" w:color="auto"/>
              <w:right w:val="single" w:sz="4" w:space="0" w:color="auto"/>
            </w:tcBorders>
            <w:shd w:val="clear" w:color="auto" w:fill="auto"/>
            <w:noWrap/>
            <w:vAlign w:val="center"/>
            <w:hideMark/>
          </w:tcPr>
          <w:p w14:paraId="1C02BC13" w14:textId="77777777" w:rsidR="00E3750C" w:rsidRPr="00A218AA" w:rsidRDefault="00E3750C" w:rsidP="00047864">
            <w:pPr>
              <w:spacing w:after="0" w:line="240" w:lineRule="auto"/>
              <w:jc w:val="right"/>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276</w:t>
            </w:r>
          </w:p>
        </w:tc>
        <w:tc>
          <w:tcPr>
            <w:tcW w:w="2060" w:type="dxa"/>
            <w:tcBorders>
              <w:top w:val="nil"/>
              <w:left w:val="nil"/>
              <w:bottom w:val="single" w:sz="4" w:space="0" w:color="auto"/>
              <w:right w:val="single" w:sz="4" w:space="0" w:color="auto"/>
            </w:tcBorders>
            <w:shd w:val="clear" w:color="auto" w:fill="auto"/>
            <w:noWrap/>
            <w:vAlign w:val="center"/>
            <w:hideMark/>
          </w:tcPr>
          <w:p w14:paraId="2FF5F35B" w14:textId="77777777" w:rsidR="00E3750C" w:rsidRPr="00A218AA" w:rsidRDefault="00E3750C" w:rsidP="00047864">
            <w:pPr>
              <w:spacing w:after="0" w:line="240" w:lineRule="auto"/>
              <w:jc w:val="right"/>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123.501.078</w:t>
            </w:r>
          </w:p>
        </w:tc>
      </w:tr>
      <w:tr w:rsidR="00E3750C" w:rsidRPr="00A218AA" w14:paraId="66373152" w14:textId="77777777" w:rsidTr="00047864">
        <w:trPr>
          <w:trHeight w:val="300"/>
        </w:trPr>
        <w:tc>
          <w:tcPr>
            <w:tcW w:w="920" w:type="dxa"/>
            <w:vMerge/>
            <w:tcBorders>
              <w:top w:val="nil"/>
              <w:left w:val="single" w:sz="4" w:space="0" w:color="auto"/>
              <w:bottom w:val="single" w:sz="4" w:space="0" w:color="auto"/>
              <w:right w:val="single" w:sz="4" w:space="0" w:color="auto"/>
            </w:tcBorders>
            <w:vAlign w:val="center"/>
            <w:hideMark/>
          </w:tcPr>
          <w:p w14:paraId="66FEF6AC" w14:textId="77777777" w:rsidR="00E3750C" w:rsidRPr="00A218AA" w:rsidRDefault="00E3750C" w:rsidP="00047864">
            <w:pPr>
              <w:spacing w:after="0" w:line="240" w:lineRule="auto"/>
              <w:rPr>
                <w:rFonts w:ascii="Arial" w:eastAsia="Times New Roman" w:hAnsi="Arial" w:cs="Arial"/>
                <w:color w:val="000000"/>
                <w:sz w:val="18"/>
                <w:szCs w:val="18"/>
                <w:lang w:eastAsia="sl-SI"/>
              </w:rPr>
            </w:pPr>
          </w:p>
        </w:tc>
        <w:tc>
          <w:tcPr>
            <w:tcW w:w="4560" w:type="dxa"/>
            <w:tcBorders>
              <w:top w:val="nil"/>
              <w:left w:val="nil"/>
              <w:bottom w:val="single" w:sz="4" w:space="0" w:color="auto"/>
              <w:right w:val="single" w:sz="4" w:space="0" w:color="auto"/>
            </w:tcBorders>
            <w:shd w:val="clear" w:color="auto" w:fill="auto"/>
            <w:noWrap/>
            <w:vAlign w:val="center"/>
            <w:hideMark/>
          </w:tcPr>
          <w:p w14:paraId="5E4A067D" w14:textId="77777777" w:rsidR="00E3750C" w:rsidRPr="00A218AA" w:rsidRDefault="00E3750C" w:rsidP="00047864">
            <w:pPr>
              <w:spacing w:after="0" w:line="240" w:lineRule="auto"/>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Postopek s pogajanji po predhodni objavi</w:t>
            </w:r>
          </w:p>
        </w:tc>
        <w:tc>
          <w:tcPr>
            <w:tcW w:w="1380" w:type="dxa"/>
            <w:tcBorders>
              <w:top w:val="nil"/>
              <w:left w:val="nil"/>
              <w:bottom w:val="single" w:sz="4" w:space="0" w:color="auto"/>
              <w:right w:val="single" w:sz="4" w:space="0" w:color="auto"/>
            </w:tcBorders>
            <w:shd w:val="clear" w:color="auto" w:fill="auto"/>
            <w:noWrap/>
            <w:vAlign w:val="center"/>
            <w:hideMark/>
          </w:tcPr>
          <w:p w14:paraId="58E7D9BA" w14:textId="77777777" w:rsidR="00E3750C" w:rsidRPr="00A218AA" w:rsidRDefault="00E3750C" w:rsidP="00047864">
            <w:pPr>
              <w:spacing w:after="0" w:line="240" w:lineRule="auto"/>
              <w:jc w:val="right"/>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48</w:t>
            </w:r>
          </w:p>
        </w:tc>
        <w:tc>
          <w:tcPr>
            <w:tcW w:w="2060" w:type="dxa"/>
            <w:tcBorders>
              <w:top w:val="nil"/>
              <w:left w:val="nil"/>
              <w:bottom w:val="single" w:sz="4" w:space="0" w:color="auto"/>
              <w:right w:val="single" w:sz="4" w:space="0" w:color="auto"/>
            </w:tcBorders>
            <w:shd w:val="clear" w:color="auto" w:fill="auto"/>
            <w:noWrap/>
            <w:vAlign w:val="center"/>
            <w:hideMark/>
          </w:tcPr>
          <w:p w14:paraId="51989920" w14:textId="77777777" w:rsidR="00E3750C" w:rsidRPr="00A218AA" w:rsidRDefault="00E3750C" w:rsidP="00047864">
            <w:pPr>
              <w:spacing w:after="0" w:line="240" w:lineRule="auto"/>
              <w:jc w:val="right"/>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138.123.075</w:t>
            </w:r>
          </w:p>
        </w:tc>
      </w:tr>
      <w:tr w:rsidR="00E3750C" w:rsidRPr="00A218AA" w14:paraId="6ED9007A" w14:textId="77777777" w:rsidTr="00047864">
        <w:trPr>
          <w:trHeight w:val="300"/>
        </w:trPr>
        <w:tc>
          <w:tcPr>
            <w:tcW w:w="920" w:type="dxa"/>
            <w:vMerge/>
            <w:tcBorders>
              <w:top w:val="nil"/>
              <w:left w:val="single" w:sz="4" w:space="0" w:color="auto"/>
              <w:bottom w:val="single" w:sz="4" w:space="0" w:color="auto"/>
              <w:right w:val="single" w:sz="4" w:space="0" w:color="auto"/>
            </w:tcBorders>
            <w:vAlign w:val="center"/>
            <w:hideMark/>
          </w:tcPr>
          <w:p w14:paraId="6E6C08AD" w14:textId="77777777" w:rsidR="00E3750C" w:rsidRPr="00A218AA" w:rsidRDefault="00E3750C" w:rsidP="00047864">
            <w:pPr>
              <w:spacing w:after="0" w:line="240" w:lineRule="auto"/>
              <w:rPr>
                <w:rFonts w:ascii="Arial" w:eastAsia="Times New Roman" w:hAnsi="Arial" w:cs="Arial"/>
                <w:color w:val="000000"/>
                <w:sz w:val="18"/>
                <w:szCs w:val="18"/>
                <w:lang w:eastAsia="sl-SI"/>
              </w:rPr>
            </w:pPr>
          </w:p>
        </w:tc>
        <w:tc>
          <w:tcPr>
            <w:tcW w:w="4560" w:type="dxa"/>
            <w:tcBorders>
              <w:top w:val="nil"/>
              <w:left w:val="nil"/>
              <w:bottom w:val="single" w:sz="4" w:space="0" w:color="auto"/>
              <w:right w:val="single" w:sz="4" w:space="0" w:color="auto"/>
            </w:tcBorders>
            <w:shd w:val="clear" w:color="auto" w:fill="auto"/>
            <w:noWrap/>
            <w:vAlign w:val="center"/>
            <w:hideMark/>
          </w:tcPr>
          <w:p w14:paraId="4195D8A6" w14:textId="77777777" w:rsidR="00E3750C" w:rsidRPr="00A218AA" w:rsidRDefault="00E3750C" w:rsidP="00047864">
            <w:pPr>
              <w:spacing w:after="0" w:line="240" w:lineRule="auto"/>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Postopek zbiranja ponudb po predhodni objavi</w:t>
            </w:r>
          </w:p>
        </w:tc>
        <w:tc>
          <w:tcPr>
            <w:tcW w:w="1380" w:type="dxa"/>
            <w:tcBorders>
              <w:top w:val="nil"/>
              <w:left w:val="nil"/>
              <w:bottom w:val="single" w:sz="4" w:space="0" w:color="auto"/>
              <w:right w:val="single" w:sz="4" w:space="0" w:color="auto"/>
            </w:tcBorders>
            <w:shd w:val="clear" w:color="auto" w:fill="auto"/>
            <w:noWrap/>
            <w:vAlign w:val="center"/>
            <w:hideMark/>
          </w:tcPr>
          <w:p w14:paraId="2CA51F43" w14:textId="77777777" w:rsidR="00E3750C" w:rsidRPr="00A218AA" w:rsidRDefault="00E3750C" w:rsidP="00047864">
            <w:pPr>
              <w:spacing w:after="0" w:line="240" w:lineRule="auto"/>
              <w:jc w:val="right"/>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14</w:t>
            </w:r>
          </w:p>
        </w:tc>
        <w:tc>
          <w:tcPr>
            <w:tcW w:w="2060" w:type="dxa"/>
            <w:tcBorders>
              <w:top w:val="nil"/>
              <w:left w:val="nil"/>
              <w:bottom w:val="single" w:sz="4" w:space="0" w:color="auto"/>
              <w:right w:val="single" w:sz="4" w:space="0" w:color="auto"/>
            </w:tcBorders>
            <w:shd w:val="clear" w:color="auto" w:fill="auto"/>
            <w:noWrap/>
            <w:vAlign w:val="center"/>
            <w:hideMark/>
          </w:tcPr>
          <w:p w14:paraId="55AD27B4" w14:textId="77777777" w:rsidR="00E3750C" w:rsidRPr="00A218AA" w:rsidRDefault="00E3750C" w:rsidP="00047864">
            <w:pPr>
              <w:spacing w:after="0" w:line="240" w:lineRule="auto"/>
              <w:jc w:val="right"/>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1.841.135</w:t>
            </w:r>
          </w:p>
        </w:tc>
      </w:tr>
      <w:tr w:rsidR="00E3750C" w:rsidRPr="00A218AA" w14:paraId="1A087CD2" w14:textId="77777777" w:rsidTr="00047864">
        <w:trPr>
          <w:trHeight w:val="300"/>
        </w:trPr>
        <w:tc>
          <w:tcPr>
            <w:tcW w:w="920" w:type="dxa"/>
            <w:vMerge/>
            <w:tcBorders>
              <w:top w:val="nil"/>
              <w:left w:val="single" w:sz="4" w:space="0" w:color="auto"/>
              <w:bottom w:val="single" w:sz="4" w:space="0" w:color="auto"/>
              <w:right w:val="single" w:sz="4" w:space="0" w:color="auto"/>
            </w:tcBorders>
            <w:vAlign w:val="center"/>
            <w:hideMark/>
          </w:tcPr>
          <w:p w14:paraId="15F42B3B" w14:textId="77777777" w:rsidR="00E3750C" w:rsidRPr="00A218AA" w:rsidRDefault="00E3750C" w:rsidP="00047864">
            <w:pPr>
              <w:spacing w:after="0" w:line="240" w:lineRule="auto"/>
              <w:rPr>
                <w:rFonts w:ascii="Arial" w:eastAsia="Times New Roman" w:hAnsi="Arial" w:cs="Arial"/>
                <w:color w:val="000000"/>
                <w:sz w:val="18"/>
                <w:szCs w:val="18"/>
                <w:lang w:eastAsia="sl-SI"/>
              </w:rPr>
            </w:pPr>
          </w:p>
        </w:tc>
        <w:tc>
          <w:tcPr>
            <w:tcW w:w="4560" w:type="dxa"/>
            <w:tcBorders>
              <w:top w:val="nil"/>
              <w:left w:val="nil"/>
              <w:bottom w:val="single" w:sz="4" w:space="0" w:color="auto"/>
              <w:right w:val="single" w:sz="4" w:space="0" w:color="auto"/>
            </w:tcBorders>
            <w:shd w:val="clear" w:color="auto" w:fill="auto"/>
            <w:noWrap/>
            <w:vAlign w:val="center"/>
            <w:hideMark/>
          </w:tcPr>
          <w:p w14:paraId="532B20EB" w14:textId="77777777" w:rsidR="00E3750C" w:rsidRPr="00A218AA" w:rsidRDefault="00E3750C" w:rsidP="00047864">
            <w:pPr>
              <w:spacing w:after="0" w:line="240" w:lineRule="auto"/>
              <w:rPr>
                <w:rFonts w:ascii="Arial" w:eastAsia="Times New Roman" w:hAnsi="Arial" w:cs="Arial"/>
                <w:b/>
                <w:bCs/>
                <w:color w:val="000000"/>
                <w:sz w:val="18"/>
                <w:szCs w:val="18"/>
                <w:lang w:eastAsia="sl-SI"/>
              </w:rPr>
            </w:pPr>
            <w:r w:rsidRPr="00A218AA">
              <w:rPr>
                <w:rFonts w:ascii="Arial" w:eastAsia="Times New Roman" w:hAnsi="Arial" w:cs="Arial"/>
                <w:b/>
                <w:bCs/>
                <w:color w:val="000000"/>
                <w:sz w:val="18"/>
                <w:szCs w:val="18"/>
                <w:lang w:eastAsia="sl-SI"/>
              </w:rPr>
              <w:t>Skupaj</w:t>
            </w:r>
          </w:p>
        </w:tc>
        <w:tc>
          <w:tcPr>
            <w:tcW w:w="1380" w:type="dxa"/>
            <w:tcBorders>
              <w:top w:val="nil"/>
              <w:left w:val="nil"/>
              <w:bottom w:val="single" w:sz="4" w:space="0" w:color="auto"/>
              <w:right w:val="single" w:sz="4" w:space="0" w:color="auto"/>
            </w:tcBorders>
            <w:shd w:val="clear" w:color="auto" w:fill="auto"/>
            <w:noWrap/>
            <w:vAlign w:val="center"/>
            <w:hideMark/>
          </w:tcPr>
          <w:p w14:paraId="389AB0D6" w14:textId="77777777" w:rsidR="00E3750C" w:rsidRPr="00A218AA" w:rsidRDefault="00E3750C" w:rsidP="00047864">
            <w:pPr>
              <w:spacing w:after="0" w:line="240" w:lineRule="auto"/>
              <w:jc w:val="right"/>
              <w:rPr>
                <w:rFonts w:ascii="Arial" w:eastAsia="Times New Roman" w:hAnsi="Arial" w:cs="Arial"/>
                <w:b/>
                <w:bCs/>
                <w:color w:val="000000"/>
                <w:sz w:val="18"/>
                <w:szCs w:val="18"/>
                <w:lang w:eastAsia="sl-SI"/>
              </w:rPr>
            </w:pPr>
            <w:r w:rsidRPr="00A218AA">
              <w:rPr>
                <w:rFonts w:ascii="Arial" w:eastAsia="Times New Roman" w:hAnsi="Arial" w:cs="Arial"/>
                <w:b/>
                <w:bCs/>
                <w:color w:val="000000"/>
                <w:sz w:val="18"/>
                <w:szCs w:val="18"/>
                <w:lang w:eastAsia="sl-SI"/>
              </w:rPr>
              <w:t>2.945</w:t>
            </w:r>
          </w:p>
        </w:tc>
        <w:tc>
          <w:tcPr>
            <w:tcW w:w="2060" w:type="dxa"/>
            <w:tcBorders>
              <w:top w:val="nil"/>
              <w:left w:val="nil"/>
              <w:bottom w:val="single" w:sz="4" w:space="0" w:color="auto"/>
              <w:right w:val="single" w:sz="4" w:space="0" w:color="auto"/>
            </w:tcBorders>
            <w:shd w:val="clear" w:color="auto" w:fill="auto"/>
            <w:noWrap/>
            <w:vAlign w:val="center"/>
            <w:hideMark/>
          </w:tcPr>
          <w:p w14:paraId="217ED6F0" w14:textId="77777777" w:rsidR="00E3750C" w:rsidRPr="00A218AA" w:rsidRDefault="00E3750C" w:rsidP="00047864">
            <w:pPr>
              <w:spacing w:after="0" w:line="240" w:lineRule="auto"/>
              <w:jc w:val="right"/>
              <w:rPr>
                <w:rFonts w:ascii="Arial" w:eastAsia="Times New Roman" w:hAnsi="Arial" w:cs="Arial"/>
                <w:b/>
                <w:bCs/>
                <w:color w:val="000000"/>
                <w:sz w:val="18"/>
                <w:szCs w:val="18"/>
                <w:lang w:eastAsia="sl-SI"/>
              </w:rPr>
            </w:pPr>
            <w:r w:rsidRPr="00A218AA">
              <w:rPr>
                <w:rFonts w:ascii="Arial" w:eastAsia="Times New Roman" w:hAnsi="Arial" w:cs="Arial"/>
                <w:b/>
                <w:bCs/>
                <w:color w:val="000000"/>
                <w:sz w:val="18"/>
                <w:szCs w:val="18"/>
                <w:lang w:eastAsia="sl-SI"/>
              </w:rPr>
              <w:t>1.810.773.018</w:t>
            </w:r>
          </w:p>
        </w:tc>
      </w:tr>
      <w:tr w:rsidR="00E3750C" w:rsidRPr="00A218AA" w14:paraId="05020039" w14:textId="77777777" w:rsidTr="00047864">
        <w:trPr>
          <w:trHeight w:val="300"/>
        </w:trPr>
        <w:tc>
          <w:tcPr>
            <w:tcW w:w="9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A950A4" w14:textId="77777777" w:rsidR="00E3750C" w:rsidRPr="00A218AA" w:rsidRDefault="00E3750C" w:rsidP="00047864">
            <w:pPr>
              <w:spacing w:after="0" w:line="240" w:lineRule="auto"/>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Storitve</w:t>
            </w:r>
          </w:p>
        </w:tc>
        <w:tc>
          <w:tcPr>
            <w:tcW w:w="4560" w:type="dxa"/>
            <w:tcBorders>
              <w:top w:val="nil"/>
              <w:left w:val="nil"/>
              <w:bottom w:val="single" w:sz="4" w:space="0" w:color="auto"/>
              <w:right w:val="single" w:sz="4" w:space="0" w:color="auto"/>
            </w:tcBorders>
            <w:shd w:val="clear" w:color="auto" w:fill="auto"/>
            <w:noWrap/>
            <w:vAlign w:val="center"/>
            <w:hideMark/>
          </w:tcPr>
          <w:p w14:paraId="448780F0" w14:textId="77777777" w:rsidR="00E3750C" w:rsidRPr="00A218AA" w:rsidRDefault="00E3750C" w:rsidP="00047864">
            <w:pPr>
              <w:spacing w:after="0" w:line="240" w:lineRule="auto"/>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Konkurenčni dialog</w:t>
            </w:r>
          </w:p>
        </w:tc>
        <w:tc>
          <w:tcPr>
            <w:tcW w:w="1380" w:type="dxa"/>
            <w:tcBorders>
              <w:top w:val="nil"/>
              <w:left w:val="nil"/>
              <w:bottom w:val="single" w:sz="4" w:space="0" w:color="auto"/>
              <w:right w:val="single" w:sz="4" w:space="0" w:color="auto"/>
            </w:tcBorders>
            <w:shd w:val="clear" w:color="auto" w:fill="auto"/>
            <w:noWrap/>
            <w:vAlign w:val="center"/>
            <w:hideMark/>
          </w:tcPr>
          <w:p w14:paraId="1D6A5D78" w14:textId="77777777" w:rsidR="00E3750C" w:rsidRPr="00A218AA" w:rsidRDefault="00E3750C" w:rsidP="00047864">
            <w:pPr>
              <w:spacing w:after="0" w:line="240" w:lineRule="auto"/>
              <w:jc w:val="right"/>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14</w:t>
            </w:r>
          </w:p>
        </w:tc>
        <w:tc>
          <w:tcPr>
            <w:tcW w:w="2060" w:type="dxa"/>
            <w:tcBorders>
              <w:top w:val="nil"/>
              <w:left w:val="nil"/>
              <w:bottom w:val="single" w:sz="4" w:space="0" w:color="auto"/>
              <w:right w:val="single" w:sz="4" w:space="0" w:color="auto"/>
            </w:tcBorders>
            <w:shd w:val="clear" w:color="auto" w:fill="auto"/>
            <w:noWrap/>
            <w:vAlign w:val="center"/>
            <w:hideMark/>
          </w:tcPr>
          <w:p w14:paraId="149075C0" w14:textId="77777777" w:rsidR="00E3750C" w:rsidRPr="00A218AA" w:rsidRDefault="00E3750C" w:rsidP="00047864">
            <w:pPr>
              <w:spacing w:after="0" w:line="240" w:lineRule="auto"/>
              <w:jc w:val="right"/>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23.577.529</w:t>
            </w:r>
          </w:p>
        </w:tc>
      </w:tr>
      <w:tr w:rsidR="00E3750C" w:rsidRPr="00A218AA" w14:paraId="61541D4A" w14:textId="77777777" w:rsidTr="00047864">
        <w:trPr>
          <w:trHeight w:val="300"/>
        </w:trPr>
        <w:tc>
          <w:tcPr>
            <w:tcW w:w="920" w:type="dxa"/>
            <w:vMerge/>
            <w:tcBorders>
              <w:top w:val="nil"/>
              <w:left w:val="single" w:sz="4" w:space="0" w:color="auto"/>
              <w:bottom w:val="single" w:sz="4" w:space="0" w:color="auto"/>
              <w:right w:val="single" w:sz="4" w:space="0" w:color="auto"/>
            </w:tcBorders>
            <w:vAlign w:val="center"/>
            <w:hideMark/>
          </w:tcPr>
          <w:p w14:paraId="38CF4A66" w14:textId="77777777" w:rsidR="00E3750C" w:rsidRPr="00A218AA" w:rsidRDefault="00E3750C" w:rsidP="00047864">
            <w:pPr>
              <w:spacing w:after="0" w:line="240" w:lineRule="auto"/>
              <w:rPr>
                <w:rFonts w:ascii="Arial" w:eastAsia="Times New Roman" w:hAnsi="Arial" w:cs="Arial"/>
                <w:color w:val="000000"/>
                <w:sz w:val="18"/>
                <w:szCs w:val="18"/>
                <w:lang w:eastAsia="sl-SI"/>
              </w:rPr>
            </w:pPr>
          </w:p>
        </w:tc>
        <w:tc>
          <w:tcPr>
            <w:tcW w:w="4560" w:type="dxa"/>
            <w:tcBorders>
              <w:top w:val="nil"/>
              <w:left w:val="nil"/>
              <w:bottom w:val="single" w:sz="4" w:space="0" w:color="auto"/>
              <w:right w:val="single" w:sz="4" w:space="0" w:color="auto"/>
            </w:tcBorders>
            <w:shd w:val="clear" w:color="auto" w:fill="auto"/>
            <w:noWrap/>
            <w:vAlign w:val="center"/>
            <w:hideMark/>
          </w:tcPr>
          <w:p w14:paraId="0365EDAC" w14:textId="77777777" w:rsidR="00E3750C" w:rsidRPr="00A218AA" w:rsidRDefault="00E3750C" w:rsidP="00047864">
            <w:pPr>
              <w:spacing w:after="0" w:line="240" w:lineRule="auto"/>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Konkurenčni postopek s pogajanji</w:t>
            </w:r>
          </w:p>
        </w:tc>
        <w:tc>
          <w:tcPr>
            <w:tcW w:w="1380" w:type="dxa"/>
            <w:tcBorders>
              <w:top w:val="nil"/>
              <w:left w:val="nil"/>
              <w:bottom w:val="single" w:sz="4" w:space="0" w:color="auto"/>
              <w:right w:val="single" w:sz="4" w:space="0" w:color="auto"/>
            </w:tcBorders>
            <w:shd w:val="clear" w:color="auto" w:fill="auto"/>
            <w:noWrap/>
            <w:vAlign w:val="center"/>
            <w:hideMark/>
          </w:tcPr>
          <w:p w14:paraId="785B7EF3" w14:textId="77777777" w:rsidR="00E3750C" w:rsidRPr="00A218AA" w:rsidRDefault="00E3750C" w:rsidP="00047864">
            <w:pPr>
              <w:spacing w:after="0" w:line="240" w:lineRule="auto"/>
              <w:jc w:val="right"/>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47</w:t>
            </w:r>
          </w:p>
        </w:tc>
        <w:tc>
          <w:tcPr>
            <w:tcW w:w="2060" w:type="dxa"/>
            <w:tcBorders>
              <w:top w:val="nil"/>
              <w:left w:val="nil"/>
              <w:bottom w:val="single" w:sz="4" w:space="0" w:color="auto"/>
              <w:right w:val="single" w:sz="4" w:space="0" w:color="auto"/>
            </w:tcBorders>
            <w:shd w:val="clear" w:color="auto" w:fill="auto"/>
            <w:noWrap/>
            <w:vAlign w:val="center"/>
            <w:hideMark/>
          </w:tcPr>
          <w:p w14:paraId="69223B91" w14:textId="77777777" w:rsidR="00E3750C" w:rsidRPr="00A218AA" w:rsidRDefault="00E3750C" w:rsidP="00047864">
            <w:pPr>
              <w:spacing w:after="0" w:line="240" w:lineRule="auto"/>
              <w:jc w:val="right"/>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46.575.897</w:t>
            </w:r>
          </w:p>
        </w:tc>
      </w:tr>
      <w:tr w:rsidR="00E3750C" w:rsidRPr="00A218AA" w14:paraId="4A2077EA" w14:textId="77777777" w:rsidTr="00047864">
        <w:trPr>
          <w:trHeight w:val="300"/>
        </w:trPr>
        <w:tc>
          <w:tcPr>
            <w:tcW w:w="920" w:type="dxa"/>
            <w:vMerge/>
            <w:tcBorders>
              <w:top w:val="nil"/>
              <w:left w:val="single" w:sz="4" w:space="0" w:color="auto"/>
              <w:bottom w:val="single" w:sz="4" w:space="0" w:color="auto"/>
              <w:right w:val="single" w:sz="4" w:space="0" w:color="auto"/>
            </w:tcBorders>
            <w:vAlign w:val="center"/>
            <w:hideMark/>
          </w:tcPr>
          <w:p w14:paraId="72F48422" w14:textId="77777777" w:rsidR="00E3750C" w:rsidRPr="00A218AA" w:rsidRDefault="00E3750C" w:rsidP="00047864">
            <w:pPr>
              <w:spacing w:after="0" w:line="240" w:lineRule="auto"/>
              <w:rPr>
                <w:rFonts w:ascii="Arial" w:eastAsia="Times New Roman" w:hAnsi="Arial" w:cs="Arial"/>
                <w:color w:val="000000"/>
                <w:sz w:val="18"/>
                <w:szCs w:val="18"/>
                <w:lang w:eastAsia="sl-SI"/>
              </w:rPr>
            </w:pPr>
          </w:p>
        </w:tc>
        <w:tc>
          <w:tcPr>
            <w:tcW w:w="4560" w:type="dxa"/>
            <w:tcBorders>
              <w:top w:val="nil"/>
              <w:left w:val="nil"/>
              <w:bottom w:val="single" w:sz="4" w:space="0" w:color="auto"/>
              <w:right w:val="single" w:sz="4" w:space="0" w:color="auto"/>
            </w:tcBorders>
            <w:shd w:val="clear" w:color="auto" w:fill="auto"/>
            <w:noWrap/>
            <w:vAlign w:val="center"/>
            <w:hideMark/>
          </w:tcPr>
          <w:p w14:paraId="297E0DE7" w14:textId="77777777" w:rsidR="00E3750C" w:rsidRPr="00A218AA" w:rsidRDefault="00E3750C" w:rsidP="00047864">
            <w:pPr>
              <w:spacing w:after="0" w:line="240" w:lineRule="auto"/>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Odprti postopek</w:t>
            </w:r>
          </w:p>
        </w:tc>
        <w:tc>
          <w:tcPr>
            <w:tcW w:w="1380" w:type="dxa"/>
            <w:tcBorders>
              <w:top w:val="nil"/>
              <w:left w:val="nil"/>
              <w:bottom w:val="single" w:sz="4" w:space="0" w:color="auto"/>
              <w:right w:val="single" w:sz="4" w:space="0" w:color="auto"/>
            </w:tcBorders>
            <w:shd w:val="clear" w:color="auto" w:fill="auto"/>
            <w:noWrap/>
            <w:vAlign w:val="center"/>
            <w:hideMark/>
          </w:tcPr>
          <w:p w14:paraId="63E83301" w14:textId="77777777" w:rsidR="00E3750C" w:rsidRPr="00A218AA" w:rsidRDefault="00E3750C" w:rsidP="00047864">
            <w:pPr>
              <w:spacing w:after="0" w:line="240" w:lineRule="auto"/>
              <w:jc w:val="right"/>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692</w:t>
            </w:r>
          </w:p>
        </w:tc>
        <w:tc>
          <w:tcPr>
            <w:tcW w:w="2060" w:type="dxa"/>
            <w:tcBorders>
              <w:top w:val="nil"/>
              <w:left w:val="nil"/>
              <w:bottom w:val="single" w:sz="4" w:space="0" w:color="auto"/>
              <w:right w:val="single" w:sz="4" w:space="0" w:color="auto"/>
            </w:tcBorders>
            <w:shd w:val="clear" w:color="auto" w:fill="auto"/>
            <w:noWrap/>
            <w:vAlign w:val="center"/>
            <w:hideMark/>
          </w:tcPr>
          <w:p w14:paraId="5DF99044" w14:textId="77777777" w:rsidR="00E3750C" w:rsidRPr="00A218AA" w:rsidRDefault="00E3750C" w:rsidP="00047864">
            <w:pPr>
              <w:spacing w:after="0" w:line="240" w:lineRule="auto"/>
              <w:jc w:val="right"/>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1.288.939.231</w:t>
            </w:r>
          </w:p>
        </w:tc>
      </w:tr>
      <w:tr w:rsidR="00E3750C" w:rsidRPr="00A218AA" w14:paraId="71DE4F03" w14:textId="77777777" w:rsidTr="00047864">
        <w:trPr>
          <w:trHeight w:val="300"/>
        </w:trPr>
        <w:tc>
          <w:tcPr>
            <w:tcW w:w="920" w:type="dxa"/>
            <w:vMerge/>
            <w:tcBorders>
              <w:top w:val="nil"/>
              <w:left w:val="single" w:sz="4" w:space="0" w:color="auto"/>
              <w:bottom w:val="single" w:sz="4" w:space="0" w:color="auto"/>
              <w:right w:val="single" w:sz="4" w:space="0" w:color="auto"/>
            </w:tcBorders>
            <w:vAlign w:val="center"/>
            <w:hideMark/>
          </w:tcPr>
          <w:p w14:paraId="5AA52579" w14:textId="77777777" w:rsidR="00E3750C" w:rsidRPr="00A218AA" w:rsidRDefault="00E3750C" w:rsidP="00047864">
            <w:pPr>
              <w:spacing w:after="0" w:line="240" w:lineRule="auto"/>
              <w:rPr>
                <w:rFonts w:ascii="Arial" w:eastAsia="Times New Roman" w:hAnsi="Arial" w:cs="Arial"/>
                <w:color w:val="000000"/>
                <w:sz w:val="18"/>
                <w:szCs w:val="18"/>
                <w:lang w:eastAsia="sl-SI"/>
              </w:rPr>
            </w:pPr>
          </w:p>
        </w:tc>
        <w:tc>
          <w:tcPr>
            <w:tcW w:w="4560" w:type="dxa"/>
            <w:tcBorders>
              <w:top w:val="nil"/>
              <w:left w:val="nil"/>
              <w:bottom w:val="single" w:sz="4" w:space="0" w:color="auto"/>
              <w:right w:val="single" w:sz="4" w:space="0" w:color="auto"/>
            </w:tcBorders>
            <w:shd w:val="clear" w:color="auto" w:fill="auto"/>
            <w:noWrap/>
            <w:vAlign w:val="center"/>
            <w:hideMark/>
          </w:tcPr>
          <w:p w14:paraId="0C9B6827" w14:textId="77777777" w:rsidR="00E3750C" w:rsidRPr="00A218AA" w:rsidRDefault="00E3750C" w:rsidP="00047864">
            <w:pPr>
              <w:spacing w:after="0" w:line="240" w:lineRule="auto"/>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Omejeni postopek</w:t>
            </w:r>
          </w:p>
        </w:tc>
        <w:tc>
          <w:tcPr>
            <w:tcW w:w="1380" w:type="dxa"/>
            <w:tcBorders>
              <w:top w:val="nil"/>
              <w:left w:val="nil"/>
              <w:bottom w:val="single" w:sz="4" w:space="0" w:color="auto"/>
              <w:right w:val="single" w:sz="4" w:space="0" w:color="auto"/>
            </w:tcBorders>
            <w:shd w:val="clear" w:color="auto" w:fill="auto"/>
            <w:noWrap/>
            <w:vAlign w:val="center"/>
            <w:hideMark/>
          </w:tcPr>
          <w:p w14:paraId="40F767CD" w14:textId="77777777" w:rsidR="00E3750C" w:rsidRPr="00A218AA" w:rsidRDefault="00E3750C" w:rsidP="00047864">
            <w:pPr>
              <w:spacing w:after="0" w:line="240" w:lineRule="auto"/>
              <w:jc w:val="right"/>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3</w:t>
            </w:r>
          </w:p>
        </w:tc>
        <w:tc>
          <w:tcPr>
            <w:tcW w:w="2060" w:type="dxa"/>
            <w:tcBorders>
              <w:top w:val="nil"/>
              <w:left w:val="nil"/>
              <w:bottom w:val="single" w:sz="4" w:space="0" w:color="auto"/>
              <w:right w:val="single" w:sz="4" w:space="0" w:color="auto"/>
            </w:tcBorders>
            <w:shd w:val="clear" w:color="auto" w:fill="auto"/>
            <w:noWrap/>
            <w:vAlign w:val="center"/>
            <w:hideMark/>
          </w:tcPr>
          <w:p w14:paraId="6E55EFD2" w14:textId="77777777" w:rsidR="00E3750C" w:rsidRPr="00A218AA" w:rsidRDefault="00E3750C" w:rsidP="00047864">
            <w:pPr>
              <w:spacing w:after="0" w:line="240" w:lineRule="auto"/>
              <w:jc w:val="right"/>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536.572</w:t>
            </w:r>
          </w:p>
        </w:tc>
      </w:tr>
      <w:tr w:rsidR="00E3750C" w:rsidRPr="00A218AA" w14:paraId="1ED71217" w14:textId="77777777" w:rsidTr="00047864">
        <w:trPr>
          <w:trHeight w:val="300"/>
        </w:trPr>
        <w:tc>
          <w:tcPr>
            <w:tcW w:w="920" w:type="dxa"/>
            <w:vMerge/>
            <w:tcBorders>
              <w:top w:val="nil"/>
              <w:left w:val="single" w:sz="4" w:space="0" w:color="auto"/>
              <w:bottom w:val="single" w:sz="4" w:space="0" w:color="auto"/>
              <w:right w:val="single" w:sz="4" w:space="0" w:color="auto"/>
            </w:tcBorders>
            <w:vAlign w:val="center"/>
            <w:hideMark/>
          </w:tcPr>
          <w:p w14:paraId="788A0C84" w14:textId="77777777" w:rsidR="00E3750C" w:rsidRPr="00A218AA" w:rsidRDefault="00E3750C" w:rsidP="00047864">
            <w:pPr>
              <w:spacing w:after="0" w:line="240" w:lineRule="auto"/>
              <w:rPr>
                <w:rFonts w:ascii="Arial" w:eastAsia="Times New Roman" w:hAnsi="Arial" w:cs="Arial"/>
                <w:color w:val="000000"/>
                <w:sz w:val="18"/>
                <w:szCs w:val="18"/>
                <w:lang w:eastAsia="sl-SI"/>
              </w:rPr>
            </w:pPr>
          </w:p>
        </w:tc>
        <w:tc>
          <w:tcPr>
            <w:tcW w:w="4560" w:type="dxa"/>
            <w:tcBorders>
              <w:top w:val="nil"/>
              <w:left w:val="nil"/>
              <w:bottom w:val="single" w:sz="4" w:space="0" w:color="auto"/>
              <w:right w:val="single" w:sz="4" w:space="0" w:color="auto"/>
            </w:tcBorders>
            <w:shd w:val="clear" w:color="auto" w:fill="auto"/>
            <w:noWrap/>
            <w:vAlign w:val="center"/>
            <w:hideMark/>
          </w:tcPr>
          <w:p w14:paraId="630F097B" w14:textId="77777777" w:rsidR="00E3750C" w:rsidRPr="00A218AA" w:rsidRDefault="00E3750C" w:rsidP="00047864">
            <w:pPr>
              <w:spacing w:after="0" w:line="240" w:lineRule="auto"/>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Postopek naročila male vrednosti</w:t>
            </w:r>
          </w:p>
        </w:tc>
        <w:tc>
          <w:tcPr>
            <w:tcW w:w="1380" w:type="dxa"/>
            <w:tcBorders>
              <w:top w:val="nil"/>
              <w:left w:val="nil"/>
              <w:bottom w:val="single" w:sz="4" w:space="0" w:color="auto"/>
              <w:right w:val="single" w:sz="4" w:space="0" w:color="auto"/>
            </w:tcBorders>
            <w:shd w:val="clear" w:color="auto" w:fill="auto"/>
            <w:noWrap/>
            <w:vAlign w:val="center"/>
            <w:hideMark/>
          </w:tcPr>
          <w:p w14:paraId="52EB9251" w14:textId="77777777" w:rsidR="00E3750C" w:rsidRPr="00A218AA" w:rsidRDefault="00E3750C" w:rsidP="00047864">
            <w:pPr>
              <w:spacing w:after="0" w:line="240" w:lineRule="auto"/>
              <w:jc w:val="right"/>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1.125</w:t>
            </w:r>
          </w:p>
        </w:tc>
        <w:tc>
          <w:tcPr>
            <w:tcW w:w="2060" w:type="dxa"/>
            <w:tcBorders>
              <w:top w:val="nil"/>
              <w:left w:val="nil"/>
              <w:bottom w:val="single" w:sz="4" w:space="0" w:color="auto"/>
              <w:right w:val="single" w:sz="4" w:space="0" w:color="auto"/>
            </w:tcBorders>
            <w:shd w:val="clear" w:color="auto" w:fill="auto"/>
            <w:noWrap/>
            <w:vAlign w:val="center"/>
            <w:hideMark/>
          </w:tcPr>
          <w:p w14:paraId="32591713" w14:textId="77777777" w:rsidR="00E3750C" w:rsidRPr="00A218AA" w:rsidRDefault="00E3750C" w:rsidP="00047864">
            <w:pPr>
              <w:spacing w:after="0" w:line="240" w:lineRule="auto"/>
              <w:jc w:val="right"/>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119.938.123</w:t>
            </w:r>
          </w:p>
        </w:tc>
      </w:tr>
      <w:tr w:rsidR="00E3750C" w:rsidRPr="00A218AA" w14:paraId="54DA5E8D" w14:textId="77777777" w:rsidTr="00047864">
        <w:trPr>
          <w:trHeight w:val="300"/>
        </w:trPr>
        <w:tc>
          <w:tcPr>
            <w:tcW w:w="920" w:type="dxa"/>
            <w:vMerge/>
            <w:tcBorders>
              <w:top w:val="nil"/>
              <w:left w:val="single" w:sz="4" w:space="0" w:color="auto"/>
              <w:bottom w:val="single" w:sz="4" w:space="0" w:color="auto"/>
              <w:right w:val="single" w:sz="4" w:space="0" w:color="auto"/>
            </w:tcBorders>
            <w:vAlign w:val="center"/>
            <w:hideMark/>
          </w:tcPr>
          <w:p w14:paraId="3BDDBC32" w14:textId="77777777" w:rsidR="00E3750C" w:rsidRPr="00A218AA" w:rsidRDefault="00E3750C" w:rsidP="00047864">
            <w:pPr>
              <w:spacing w:after="0" w:line="240" w:lineRule="auto"/>
              <w:rPr>
                <w:rFonts w:ascii="Arial" w:eastAsia="Times New Roman" w:hAnsi="Arial" w:cs="Arial"/>
                <w:color w:val="000000"/>
                <w:sz w:val="18"/>
                <w:szCs w:val="18"/>
                <w:lang w:eastAsia="sl-SI"/>
              </w:rPr>
            </w:pPr>
          </w:p>
        </w:tc>
        <w:tc>
          <w:tcPr>
            <w:tcW w:w="4560" w:type="dxa"/>
            <w:tcBorders>
              <w:top w:val="nil"/>
              <w:left w:val="nil"/>
              <w:bottom w:val="single" w:sz="4" w:space="0" w:color="auto"/>
              <w:right w:val="single" w:sz="4" w:space="0" w:color="auto"/>
            </w:tcBorders>
            <w:shd w:val="clear" w:color="auto" w:fill="auto"/>
            <w:noWrap/>
            <w:vAlign w:val="center"/>
            <w:hideMark/>
          </w:tcPr>
          <w:p w14:paraId="44899AB6" w14:textId="77777777" w:rsidR="00E3750C" w:rsidRPr="00A218AA" w:rsidRDefault="00E3750C" w:rsidP="00047864">
            <w:pPr>
              <w:spacing w:after="0" w:line="240" w:lineRule="auto"/>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Postopek s pogajanji brez predhodne objave</w:t>
            </w:r>
          </w:p>
        </w:tc>
        <w:tc>
          <w:tcPr>
            <w:tcW w:w="1380" w:type="dxa"/>
            <w:tcBorders>
              <w:top w:val="nil"/>
              <w:left w:val="nil"/>
              <w:bottom w:val="single" w:sz="4" w:space="0" w:color="auto"/>
              <w:right w:val="single" w:sz="4" w:space="0" w:color="auto"/>
            </w:tcBorders>
            <w:shd w:val="clear" w:color="auto" w:fill="auto"/>
            <w:noWrap/>
            <w:vAlign w:val="center"/>
            <w:hideMark/>
          </w:tcPr>
          <w:p w14:paraId="6E011C12" w14:textId="77777777" w:rsidR="00E3750C" w:rsidRPr="00A218AA" w:rsidRDefault="00E3750C" w:rsidP="00047864">
            <w:pPr>
              <w:spacing w:after="0" w:line="240" w:lineRule="auto"/>
              <w:jc w:val="right"/>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327</w:t>
            </w:r>
          </w:p>
        </w:tc>
        <w:tc>
          <w:tcPr>
            <w:tcW w:w="2060" w:type="dxa"/>
            <w:tcBorders>
              <w:top w:val="nil"/>
              <w:left w:val="nil"/>
              <w:bottom w:val="single" w:sz="4" w:space="0" w:color="auto"/>
              <w:right w:val="single" w:sz="4" w:space="0" w:color="auto"/>
            </w:tcBorders>
            <w:shd w:val="clear" w:color="auto" w:fill="auto"/>
            <w:noWrap/>
            <w:vAlign w:val="center"/>
            <w:hideMark/>
          </w:tcPr>
          <w:p w14:paraId="3B9EC438" w14:textId="77777777" w:rsidR="00E3750C" w:rsidRPr="00A218AA" w:rsidRDefault="00E3750C" w:rsidP="00047864">
            <w:pPr>
              <w:spacing w:after="0" w:line="240" w:lineRule="auto"/>
              <w:jc w:val="right"/>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131.388.242</w:t>
            </w:r>
          </w:p>
        </w:tc>
      </w:tr>
      <w:tr w:rsidR="00E3750C" w:rsidRPr="00A218AA" w14:paraId="49C174C5" w14:textId="77777777" w:rsidTr="00047864">
        <w:trPr>
          <w:trHeight w:val="300"/>
        </w:trPr>
        <w:tc>
          <w:tcPr>
            <w:tcW w:w="920" w:type="dxa"/>
            <w:vMerge/>
            <w:tcBorders>
              <w:top w:val="nil"/>
              <w:left w:val="single" w:sz="4" w:space="0" w:color="auto"/>
              <w:bottom w:val="single" w:sz="4" w:space="0" w:color="auto"/>
              <w:right w:val="single" w:sz="4" w:space="0" w:color="auto"/>
            </w:tcBorders>
            <w:vAlign w:val="center"/>
            <w:hideMark/>
          </w:tcPr>
          <w:p w14:paraId="586A28A1" w14:textId="77777777" w:rsidR="00E3750C" w:rsidRPr="00A218AA" w:rsidRDefault="00E3750C" w:rsidP="00047864">
            <w:pPr>
              <w:spacing w:after="0" w:line="240" w:lineRule="auto"/>
              <w:rPr>
                <w:rFonts w:ascii="Arial" w:eastAsia="Times New Roman" w:hAnsi="Arial" w:cs="Arial"/>
                <w:color w:val="000000"/>
                <w:sz w:val="18"/>
                <w:szCs w:val="18"/>
                <w:lang w:eastAsia="sl-SI"/>
              </w:rPr>
            </w:pPr>
          </w:p>
        </w:tc>
        <w:tc>
          <w:tcPr>
            <w:tcW w:w="4560" w:type="dxa"/>
            <w:tcBorders>
              <w:top w:val="nil"/>
              <w:left w:val="nil"/>
              <w:bottom w:val="single" w:sz="4" w:space="0" w:color="auto"/>
              <w:right w:val="single" w:sz="4" w:space="0" w:color="auto"/>
            </w:tcBorders>
            <w:shd w:val="clear" w:color="auto" w:fill="auto"/>
            <w:noWrap/>
            <w:vAlign w:val="center"/>
            <w:hideMark/>
          </w:tcPr>
          <w:p w14:paraId="7BA5876B" w14:textId="77777777" w:rsidR="00E3750C" w:rsidRPr="00A218AA" w:rsidRDefault="00E3750C" w:rsidP="00047864">
            <w:pPr>
              <w:spacing w:after="0" w:line="240" w:lineRule="auto"/>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Postopek s pogajanji po predhodni objavi</w:t>
            </w:r>
          </w:p>
        </w:tc>
        <w:tc>
          <w:tcPr>
            <w:tcW w:w="1380" w:type="dxa"/>
            <w:tcBorders>
              <w:top w:val="nil"/>
              <w:left w:val="nil"/>
              <w:bottom w:val="single" w:sz="4" w:space="0" w:color="auto"/>
              <w:right w:val="single" w:sz="4" w:space="0" w:color="auto"/>
            </w:tcBorders>
            <w:shd w:val="clear" w:color="auto" w:fill="auto"/>
            <w:noWrap/>
            <w:vAlign w:val="center"/>
            <w:hideMark/>
          </w:tcPr>
          <w:p w14:paraId="18491965" w14:textId="77777777" w:rsidR="00E3750C" w:rsidRPr="00A218AA" w:rsidRDefault="00E3750C" w:rsidP="00047864">
            <w:pPr>
              <w:spacing w:after="0" w:line="240" w:lineRule="auto"/>
              <w:jc w:val="right"/>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106</w:t>
            </w:r>
          </w:p>
        </w:tc>
        <w:tc>
          <w:tcPr>
            <w:tcW w:w="2060" w:type="dxa"/>
            <w:tcBorders>
              <w:top w:val="nil"/>
              <w:left w:val="nil"/>
              <w:bottom w:val="single" w:sz="4" w:space="0" w:color="auto"/>
              <w:right w:val="single" w:sz="4" w:space="0" w:color="auto"/>
            </w:tcBorders>
            <w:shd w:val="clear" w:color="auto" w:fill="auto"/>
            <w:noWrap/>
            <w:vAlign w:val="center"/>
            <w:hideMark/>
          </w:tcPr>
          <w:p w14:paraId="4760058B" w14:textId="77777777" w:rsidR="00E3750C" w:rsidRPr="00A218AA" w:rsidRDefault="00E3750C" w:rsidP="00047864">
            <w:pPr>
              <w:spacing w:after="0" w:line="240" w:lineRule="auto"/>
              <w:jc w:val="right"/>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131.812.735</w:t>
            </w:r>
          </w:p>
        </w:tc>
      </w:tr>
      <w:tr w:rsidR="00E3750C" w:rsidRPr="00A218AA" w14:paraId="412325D0" w14:textId="77777777" w:rsidTr="00047864">
        <w:trPr>
          <w:trHeight w:val="300"/>
        </w:trPr>
        <w:tc>
          <w:tcPr>
            <w:tcW w:w="920" w:type="dxa"/>
            <w:vMerge/>
            <w:tcBorders>
              <w:top w:val="nil"/>
              <w:left w:val="single" w:sz="4" w:space="0" w:color="auto"/>
              <w:bottom w:val="single" w:sz="4" w:space="0" w:color="auto"/>
              <w:right w:val="single" w:sz="4" w:space="0" w:color="auto"/>
            </w:tcBorders>
            <w:vAlign w:val="center"/>
            <w:hideMark/>
          </w:tcPr>
          <w:p w14:paraId="1DA98A27" w14:textId="77777777" w:rsidR="00E3750C" w:rsidRPr="00A218AA" w:rsidRDefault="00E3750C" w:rsidP="00047864">
            <w:pPr>
              <w:spacing w:after="0" w:line="240" w:lineRule="auto"/>
              <w:rPr>
                <w:rFonts w:ascii="Arial" w:eastAsia="Times New Roman" w:hAnsi="Arial" w:cs="Arial"/>
                <w:color w:val="000000"/>
                <w:sz w:val="18"/>
                <w:szCs w:val="18"/>
                <w:lang w:eastAsia="sl-SI"/>
              </w:rPr>
            </w:pPr>
          </w:p>
        </w:tc>
        <w:tc>
          <w:tcPr>
            <w:tcW w:w="4560" w:type="dxa"/>
            <w:tcBorders>
              <w:top w:val="nil"/>
              <w:left w:val="nil"/>
              <w:bottom w:val="single" w:sz="4" w:space="0" w:color="auto"/>
              <w:right w:val="single" w:sz="4" w:space="0" w:color="auto"/>
            </w:tcBorders>
            <w:shd w:val="clear" w:color="auto" w:fill="auto"/>
            <w:noWrap/>
            <w:vAlign w:val="center"/>
            <w:hideMark/>
          </w:tcPr>
          <w:p w14:paraId="0C25B2D1" w14:textId="77777777" w:rsidR="00E3750C" w:rsidRPr="00A218AA" w:rsidRDefault="00E3750C" w:rsidP="00047864">
            <w:pPr>
              <w:spacing w:after="0" w:line="240" w:lineRule="auto"/>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Postopek zbiranja ponudb po predhodni objavi</w:t>
            </w:r>
          </w:p>
        </w:tc>
        <w:tc>
          <w:tcPr>
            <w:tcW w:w="1380" w:type="dxa"/>
            <w:tcBorders>
              <w:top w:val="nil"/>
              <w:left w:val="nil"/>
              <w:bottom w:val="single" w:sz="4" w:space="0" w:color="auto"/>
              <w:right w:val="single" w:sz="4" w:space="0" w:color="auto"/>
            </w:tcBorders>
            <w:shd w:val="clear" w:color="auto" w:fill="auto"/>
            <w:noWrap/>
            <w:vAlign w:val="center"/>
            <w:hideMark/>
          </w:tcPr>
          <w:p w14:paraId="1D49BBB1" w14:textId="77777777" w:rsidR="00E3750C" w:rsidRPr="00A218AA" w:rsidRDefault="00E3750C" w:rsidP="00047864">
            <w:pPr>
              <w:spacing w:after="0" w:line="240" w:lineRule="auto"/>
              <w:jc w:val="right"/>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10</w:t>
            </w:r>
          </w:p>
        </w:tc>
        <w:tc>
          <w:tcPr>
            <w:tcW w:w="2060" w:type="dxa"/>
            <w:tcBorders>
              <w:top w:val="nil"/>
              <w:left w:val="nil"/>
              <w:bottom w:val="single" w:sz="4" w:space="0" w:color="auto"/>
              <w:right w:val="single" w:sz="4" w:space="0" w:color="auto"/>
            </w:tcBorders>
            <w:shd w:val="clear" w:color="auto" w:fill="auto"/>
            <w:noWrap/>
            <w:vAlign w:val="center"/>
            <w:hideMark/>
          </w:tcPr>
          <w:p w14:paraId="30B23EE2" w14:textId="77777777" w:rsidR="00E3750C" w:rsidRPr="00A218AA" w:rsidRDefault="00E3750C" w:rsidP="00047864">
            <w:pPr>
              <w:spacing w:after="0" w:line="240" w:lineRule="auto"/>
              <w:jc w:val="right"/>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1.997.360</w:t>
            </w:r>
          </w:p>
        </w:tc>
      </w:tr>
      <w:tr w:rsidR="00E3750C" w:rsidRPr="00A218AA" w14:paraId="34ED8B23" w14:textId="77777777" w:rsidTr="00047864">
        <w:trPr>
          <w:trHeight w:val="300"/>
        </w:trPr>
        <w:tc>
          <w:tcPr>
            <w:tcW w:w="920" w:type="dxa"/>
            <w:vMerge/>
            <w:tcBorders>
              <w:top w:val="nil"/>
              <w:left w:val="single" w:sz="4" w:space="0" w:color="auto"/>
              <w:bottom w:val="single" w:sz="4" w:space="0" w:color="auto"/>
              <w:right w:val="single" w:sz="4" w:space="0" w:color="auto"/>
            </w:tcBorders>
            <w:vAlign w:val="center"/>
            <w:hideMark/>
          </w:tcPr>
          <w:p w14:paraId="7C6E81DD" w14:textId="77777777" w:rsidR="00E3750C" w:rsidRPr="00A218AA" w:rsidRDefault="00E3750C" w:rsidP="00047864">
            <w:pPr>
              <w:spacing w:after="0" w:line="240" w:lineRule="auto"/>
              <w:rPr>
                <w:rFonts w:ascii="Arial" w:eastAsia="Times New Roman" w:hAnsi="Arial" w:cs="Arial"/>
                <w:color w:val="000000"/>
                <w:sz w:val="18"/>
                <w:szCs w:val="18"/>
                <w:lang w:eastAsia="sl-SI"/>
              </w:rPr>
            </w:pPr>
          </w:p>
        </w:tc>
        <w:tc>
          <w:tcPr>
            <w:tcW w:w="4560" w:type="dxa"/>
            <w:tcBorders>
              <w:top w:val="nil"/>
              <w:left w:val="nil"/>
              <w:bottom w:val="single" w:sz="4" w:space="0" w:color="auto"/>
              <w:right w:val="single" w:sz="4" w:space="0" w:color="auto"/>
            </w:tcBorders>
            <w:shd w:val="clear" w:color="auto" w:fill="auto"/>
            <w:noWrap/>
            <w:vAlign w:val="center"/>
            <w:hideMark/>
          </w:tcPr>
          <w:p w14:paraId="3678EB4E" w14:textId="77777777" w:rsidR="00E3750C" w:rsidRPr="00A218AA" w:rsidRDefault="00E3750C" w:rsidP="00047864">
            <w:pPr>
              <w:spacing w:after="0" w:line="240" w:lineRule="auto"/>
              <w:rPr>
                <w:rFonts w:ascii="Arial" w:eastAsia="Times New Roman" w:hAnsi="Arial" w:cs="Arial"/>
                <w:b/>
                <w:bCs/>
                <w:color w:val="000000"/>
                <w:sz w:val="18"/>
                <w:szCs w:val="18"/>
                <w:lang w:eastAsia="sl-SI"/>
              </w:rPr>
            </w:pPr>
            <w:r w:rsidRPr="00A218AA">
              <w:rPr>
                <w:rFonts w:ascii="Arial" w:eastAsia="Times New Roman" w:hAnsi="Arial" w:cs="Arial"/>
                <w:b/>
                <w:bCs/>
                <w:color w:val="000000"/>
                <w:sz w:val="18"/>
                <w:szCs w:val="18"/>
                <w:lang w:eastAsia="sl-SI"/>
              </w:rPr>
              <w:t>Skupaj</w:t>
            </w:r>
          </w:p>
        </w:tc>
        <w:tc>
          <w:tcPr>
            <w:tcW w:w="1380" w:type="dxa"/>
            <w:tcBorders>
              <w:top w:val="nil"/>
              <w:left w:val="nil"/>
              <w:bottom w:val="single" w:sz="4" w:space="0" w:color="auto"/>
              <w:right w:val="single" w:sz="4" w:space="0" w:color="auto"/>
            </w:tcBorders>
            <w:shd w:val="clear" w:color="auto" w:fill="auto"/>
            <w:noWrap/>
            <w:vAlign w:val="center"/>
            <w:hideMark/>
          </w:tcPr>
          <w:p w14:paraId="57E7D817" w14:textId="77777777" w:rsidR="00E3750C" w:rsidRPr="00A218AA" w:rsidRDefault="00E3750C" w:rsidP="00047864">
            <w:pPr>
              <w:spacing w:after="0" w:line="240" w:lineRule="auto"/>
              <w:jc w:val="right"/>
              <w:rPr>
                <w:rFonts w:ascii="Arial" w:eastAsia="Times New Roman" w:hAnsi="Arial" w:cs="Arial"/>
                <w:b/>
                <w:bCs/>
                <w:color w:val="000000"/>
                <w:sz w:val="18"/>
                <w:szCs w:val="18"/>
                <w:lang w:eastAsia="sl-SI"/>
              </w:rPr>
            </w:pPr>
            <w:r w:rsidRPr="00A218AA">
              <w:rPr>
                <w:rFonts w:ascii="Arial" w:eastAsia="Times New Roman" w:hAnsi="Arial" w:cs="Arial"/>
                <w:b/>
                <w:bCs/>
                <w:color w:val="000000"/>
                <w:sz w:val="18"/>
                <w:szCs w:val="18"/>
                <w:lang w:eastAsia="sl-SI"/>
              </w:rPr>
              <w:t>2.324</w:t>
            </w:r>
          </w:p>
        </w:tc>
        <w:tc>
          <w:tcPr>
            <w:tcW w:w="2060" w:type="dxa"/>
            <w:tcBorders>
              <w:top w:val="nil"/>
              <w:left w:val="nil"/>
              <w:bottom w:val="single" w:sz="4" w:space="0" w:color="auto"/>
              <w:right w:val="single" w:sz="4" w:space="0" w:color="auto"/>
            </w:tcBorders>
            <w:shd w:val="clear" w:color="auto" w:fill="auto"/>
            <w:noWrap/>
            <w:vAlign w:val="center"/>
            <w:hideMark/>
          </w:tcPr>
          <w:p w14:paraId="7459D281" w14:textId="77777777" w:rsidR="00E3750C" w:rsidRPr="00A218AA" w:rsidRDefault="00E3750C" w:rsidP="00047864">
            <w:pPr>
              <w:spacing w:after="0" w:line="240" w:lineRule="auto"/>
              <w:jc w:val="right"/>
              <w:rPr>
                <w:rFonts w:ascii="Arial" w:eastAsia="Times New Roman" w:hAnsi="Arial" w:cs="Arial"/>
                <w:b/>
                <w:bCs/>
                <w:color w:val="000000"/>
                <w:sz w:val="18"/>
                <w:szCs w:val="18"/>
                <w:lang w:eastAsia="sl-SI"/>
              </w:rPr>
            </w:pPr>
            <w:r w:rsidRPr="00A218AA">
              <w:rPr>
                <w:rFonts w:ascii="Arial" w:eastAsia="Times New Roman" w:hAnsi="Arial" w:cs="Arial"/>
                <w:b/>
                <w:bCs/>
                <w:color w:val="000000"/>
                <w:sz w:val="18"/>
                <w:szCs w:val="18"/>
                <w:lang w:eastAsia="sl-SI"/>
              </w:rPr>
              <w:t>1.744.765.689</w:t>
            </w:r>
          </w:p>
        </w:tc>
      </w:tr>
      <w:tr w:rsidR="00E3750C" w:rsidRPr="00A218AA" w14:paraId="19160627" w14:textId="77777777" w:rsidTr="00047864">
        <w:trPr>
          <w:trHeight w:val="300"/>
        </w:trPr>
        <w:tc>
          <w:tcPr>
            <w:tcW w:w="9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FF8353" w14:textId="77777777" w:rsidR="00E3750C" w:rsidRPr="00A218AA" w:rsidRDefault="00E3750C" w:rsidP="00047864">
            <w:pPr>
              <w:spacing w:after="0" w:line="240" w:lineRule="auto"/>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Gradnje</w:t>
            </w:r>
          </w:p>
        </w:tc>
        <w:tc>
          <w:tcPr>
            <w:tcW w:w="4560" w:type="dxa"/>
            <w:tcBorders>
              <w:top w:val="nil"/>
              <w:left w:val="nil"/>
              <w:bottom w:val="single" w:sz="4" w:space="0" w:color="auto"/>
              <w:right w:val="single" w:sz="4" w:space="0" w:color="auto"/>
            </w:tcBorders>
            <w:shd w:val="clear" w:color="auto" w:fill="auto"/>
            <w:noWrap/>
            <w:vAlign w:val="center"/>
            <w:hideMark/>
          </w:tcPr>
          <w:p w14:paraId="405DD72D" w14:textId="77777777" w:rsidR="00E3750C" w:rsidRPr="00A218AA" w:rsidRDefault="00E3750C" w:rsidP="00047864">
            <w:pPr>
              <w:spacing w:after="0" w:line="240" w:lineRule="auto"/>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Konkurenčni dialog</w:t>
            </w:r>
          </w:p>
        </w:tc>
        <w:tc>
          <w:tcPr>
            <w:tcW w:w="1380" w:type="dxa"/>
            <w:tcBorders>
              <w:top w:val="nil"/>
              <w:left w:val="nil"/>
              <w:bottom w:val="single" w:sz="4" w:space="0" w:color="auto"/>
              <w:right w:val="single" w:sz="4" w:space="0" w:color="auto"/>
            </w:tcBorders>
            <w:shd w:val="clear" w:color="auto" w:fill="auto"/>
            <w:noWrap/>
            <w:vAlign w:val="center"/>
            <w:hideMark/>
          </w:tcPr>
          <w:p w14:paraId="6B14B2E2" w14:textId="77777777" w:rsidR="00E3750C" w:rsidRPr="00A218AA" w:rsidRDefault="00E3750C" w:rsidP="00047864">
            <w:pPr>
              <w:spacing w:after="0" w:line="240" w:lineRule="auto"/>
              <w:jc w:val="right"/>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3</w:t>
            </w:r>
          </w:p>
        </w:tc>
        <w:tc>
          <w:tcPr>
            <w:tcW w:w="2060" w:type="dxa"/>
            <w:tcBorders>
              <w:top w:val="nil"/>
              <w:left w:val="nil"/>
              <w:bottom w:val="single" w:sz="4" w:space="0" w:color="auto"/>
              <w:right w:val="single" w:sz="4" w:space="0" w:color="auto"/>
            </w:tcBorders>
            <w:shd w:val="clear" w:color="auto" w:fill="auto"/>
            <w:noWrap/>
            <w:vAlign w:val="center"/>
            <w:hideMark/>
          </w:tcPr>
          <w:p w14:paraId="141F8AA1" w14:textId="77777777" w:rsidR="00E3750C" w:rsidRPr="00A218AA" w:rsidRDefault="00E3750C" w:rsidP="00047864">
            <w:pPr>
              <w:spacing w:after="0" w:line="240" w:lineRule="auto"/>
              <w:jc w:val="right"/>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22.541.153</w:t>
            </w:r>
          </w:p>
        </w:tc>
      </w:tr>
      <w:tr w:rsidR="00E3750C" w:rsidRPr="00A218AA" w14:paraId="20C2EC5B" w14:textId="77777777" w:rsidTr="00047864">
        <w:trPr>
          <w:trHeight w:val="300"/>
        </w:trPr>
        <w:tc>
          <w:tcPr>
            <w:tcW w:w="920" w:type="dxa"/>
            <w:vMerge/>
            <w:tcBorders>
              <w:top w:val="nil"/>
              <w:left w:val="single" w:sz="4" w:space="0" w:color="auto"/>
              <w:bottom w:val="single" w:sz="4" w:space="0" w:color="auto"/>
              <w:right w:val="single" w:sz="4" w:space="0" w:color="auto"/>
            </w:tcBorders>
            <w:vAlign w:val="center"/>
            <w:hideMark/>
          </w:tcPr>
          <w:p w14:paraId="7CF6BA77" w14:textId="77777777" w:rsidR="00E3750C" w:rsidRPr="00A218AA" w:rsidRDefault="00E3750C" w:rsidP="00047864">
            <w:pPr>
              <w:spacing w:after="0" w:line="240" w:lineRule="auto"/>
              <w:rPr>
                <w:rFonts w:ascii="Arial" w:eastAsia="Times New Roman" w:hAnsi="Arial" w:cs="Arial"/>
                <w:color w:val="000000"/>
                <w:sz w:val="18"/>
                <w:szCs w:val="18"/>
                <w:lang w:eastAsia="sl-SI"/>
              </w:rPr>
            </w:pPr>
          </w:p>
        </w:tc>
        <w:tc>
          <w:tcPr>
            <w:tcW w:w="4560" w:type="dxa"/>
            <w:tcBorders>
              <w:top w:val="nil"/>
              <w:left w:val="nil"/>
              <w:bottom w:val="single" w:sz="4" w:space="0" w:color="auto"/>
              <w:right w:val="single" w:sz="4" w:space="0" w:color="auto"/>
            </w:tcBorders>
            <w:shd w:val="clear" w:color="auto" w:fill="auto"/>
            <w:noWrap/>
            <w:vAlign w:val="center"/>
            <w:hideMark/>
          </w:tcPr>
          <w:p w14:paraId="205C5F31" w14:textId="77777777" w:rsidR="00E3750C" w:rsidRPr="00A218AA" w:rsidRDefault="00E3750C" w:rsidP="00047864">
            <w:pPr>
              <w:spacing w:after="0" w:line="240" w:lineRule="auto"/>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Konkurenčni postopek s pogajanji</w:t>
            </w:r>
          </w:p>
        </w:tc>
        <w:tc>
          <w:tcPr>
            <w:tcW w:w="1380" w:type="dxa"/>
            <w:tcBorders>
              <w:top w:val="nil"/>
              <w:left w:val="nil"/>
              <w:bottom w:val="single" w:sz="4" w:space="0" w:color="auto"/>
              <w:right w:val="single" w:sz="4" w:space="0" w:color="auto"/>
            </w:tcBorders>
            <w:shd w:val="clear" w:color="auto" w:fill="auto"/>
            <w:noWrap/>
            <w:vAlign w:val="center"/>
            <w:hideMark/>
          </w:tcPr>
          <w:p w14:paraId="12BCAD4D" w14:textId="77777777" w:rsidR="00E3750C" w:rsidRPr="00A218AA" w:rsidRDefault="00E3750C" w:rsidP="00047864">
            <w:pPr>
              <w:spacing w:after="0" w:line="240" w:lineRule="auto"/>
              <w:jc w:val="right"/>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91</w:t>
            </w:r>
          </w:p>
        </w:tc>
        <w:tc>
          <w:tcPr>
            <w:tcW w:w="2060" w:type="dxa"/>
            <w:tcBorders>
              <w:top w:val="nil"/>
              <w:left w:val="nil"/>
              <w:bottom w:val="single" w:sz="4" w:space="0" w:color="auto"/>
              <w:right w:val="single" w:sz="4" w:space="0" w:color="auto"/>
            </w:tcBorders>
            <w:shd w:val="clear" w:color="auto" w:fill="auto"/>
            <w:noWrap/>
            <w:vAlign w:val="center"/>
            <w:hideMark/>
          </w:tcPr>
          <w:p w14:paraId="6B5115EC" w14:textId="77777777" w:rsidR="00E3750C" w:rsidRPr="00A218AA" w:rsidRDefault="00E3750C" w:rsidP="00047864">
            <w:pPr>
              <w:spacing w:after="0" w:line="240" w:lineRule="auto"/>
              <w:jc w:val="right"/>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345.021.382</w:t>
            </w:r>
          </w:p>
        </w:tc>
      </w:tr>
      <w:tr w:rsidR="00E3750C" w:rsidRPr="00A218AA" w14:paraId="5C5713B2" w14:textId="77777777" w:rsidTr="00047864">
        <w:trPr>
          <w:trHeight w:val="300"/>
        </w:trPr>
        <w:tc>
          <w:tcPr>
            <w:tcW w:w="920" w:type="dxa"/>
            <w:vMerge/>
            <w:tcBorders>
              <w:top w:val="nil"/>
              <w:left w:val="single" w:sz="4" w:space="0" w:color="auto"/>
              <w:bottom w:val="single" w:sz="4" w:space="0" w:color="auto"/>
              <w:right w:val="single" w:sz="4" w:space="0" w:color="auto"/>
            </w:tcBorders>
            <w:vAlign w:val="center"/>
            <w:hideMark/>
          </w:tcPr>
          <w:p w14:paraId="70F22F01" w14:textId="77777777" w:rsidR="00E3750C" w:rsidRPr="00A218AA" w:rsidRDefault="00E3750C" w:rsidP="00047864">
            <w:pPr>
              <w:spacing w:after="0" w:line="240" w:lineRule="auto"/>
              <w:rPr>
                <w:rFonts w:ascii="Arial" w:eastAsia="Times New Roman" w:hAnsi="Arial" w:cs="Arial"/>
                <w:color w:val="000000"/>
                <w:sz w:val="18"/>
                <w:szCs w:val="18"/>
                <w:lang w:eastAsia="sl-SI"/>
              </w:rPr>
            </w:pPr>
          </w:p>
        </w:tc>
        <w:tc>
          <w:tcPr>
            <w:tcW w:w="4560" w:type="dxa"/>
            <w:tcBorders>
              <w:top w:val="nil"/>
              <w:left w:val="nil"/>
              <w:bottom w:val="single" w:sz="4" w:space="0" w:color="auto"/>
              <w:right w:val="single" w:sz="4" w:space="0" w:color="auto"/>
            </w:tcBorders>
            <w:shd w:val="clear" w:color="auto" w:fill="auto"/>
            <w:noWrap/>
            <w:vAlign w:val="center"/>
            <w:hideMark/>
          </w:tcPr>
          <w:p w14:paraId="1602324D" w14:textId="77777777" w:rsidR="00E3750C" w:rsidRPr="00A218AA" w:rsidRDefault="00E3750C" w:rsidP="00047864">
            <w:pPr>
              <w:spacing w:after="0" w:line="240" w:lineRule="auto"/>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Odprti postopek</w:t>
            </w:r>
          </w:p>
        </w:tc>
        <w:tc>
          <w:tcPr>
            <w:tcW w:w="1380" w:type="dxa"/>
            <w:tcBorders>
              <w:top w:val="nil"/>
              <w:left w:val="nil"/>
              <w:bottom w:val="single" w:sz="4" w:space="0" w:color="auto"/>
              <w:right w:val="single" w:sz="4" w:space="0" w:color="auto"/>
            </w:tcBorders>
            <w:shd w:val="clear" w:color="auto" w:fill="auto"/>
            <w:noWrap/>
            <w:vAlign w:val="center"/>
            <w:hideMark/>
          </w:tcPr>
          <w:p w14:paraId="6D506E0A" w14:textId="77777777" w:rsidR="00E3750C" w:rsidRPr="00A218AA" w:rsidRDefault="00E3750C" w:rsidP="00047864">
            <w:pPr>
              <w:spacing w:after="0" w:line="240" w:lineRule="auto"/>
              <w:jc w:val="right"/>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190</w:t>
            </w:r>
          </w:p>
        </w:tc>
        <w:tc>
          <w:tcPr>
            <w:tcW w:w="2060" w:type="dxa"/>
            <w:tcBorders>
              <w:top w:val="nil"/>
              <w:left w:val="nil"/>
              <w:bottom w:val="single" w:sz="4" w:space="0" w:color="auto"/>
              <w:right w:val="single" w:sz="4" w:space="0" w:color="auto"/>
            </w:tcBorders>
            <w:shd w:val="clear" w:color="auto" w:fill="auto"/>
            <w:noWrap/>
            <w:vAlign w:val="center"/>
            <w:hideMark/>
          </w:tcPr>
          <w:p w14:paraId="419A6D12" w14:textId="77777777" w:rsidR="00E3750C" w:rsidRPr="00A218AA" w:rsidRDefault="00E3750C" w:rsidP="00047864">
            <w:pPr>
              <w:spacing w:after="0" w:line="240" w:lineRule="auto"/>
              <w:jc w:val="right"/>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771.177.870</w:t>
            </w:r>
          </w:p>
        </w:tc>
      </w:tr>
      <w:tr w:rsidR="00E3750C" w:rsidRPr="00A218AA" w14:paraId="24251DE3" w14:textId="77777777" w:rsidTr="00047864">
        <w:trPr>
          <w:trHeight w:val="300"/>
        </w:trPr>
        <w:tc>
          <w:tcPr>
            <w:tcW w:w="920" w:type="dxa"/>
            <w:vMerge/>
            <w:tcBorders>
              <w:top w:val="nil"/>
              <w:left w:val="single" w:sz="4" w:space="0" w:color="auto"/>
              <w:bottom w:val="single" w:sz="4" w:space="0" w:color="auto"/>
              <w:right w:val="single" w:sz="4" w:space="0" w:color="auto"/>
            </w:tcBorders>
            <w:vAlign w:val="center"/>
            <w:hideMark/>
          </w:tcPr>
          <w:p w14:paraId="139B6A6F" w14:textId="77777777" w:rsidR="00E3750C" w:rsidRPr="00A218AA" w:rsidRDefault="00E3750C" w:rsidP="00047864">
            <w:pPr>
              <w:spacing w:after="0" w:line="240" w:lineRule="auto"/>
              <w:rPr>
                <w:rFonts w:ascii="Arial" w:eastAsia="Times New Roman" w:hAnsi="Arial" w:cs="Arial"/>
                <w:color w:val="000000"/>
                <w:sz w:val="18"/>
                <w:szCs w:val="18"/>
                <w:lang w:eastAsia="sl-SI"/>
              </w:rPr>
            </w:pPr>
          </w:p>
        </w:tc>
        <w:tc>
          <w:tcPr>
            <w:tcW w:w="4560" w:type="dxa"/>
            <w:tcBorders>
              <w:top w:val="nil"/>
              <w:left w:val="nil"/>
              <w:bottom w:val="single" w:sz="4" w:space="0" w:color="auto"/>
              <w:right w:val="single" w:sz="4" w:space="0" w:color="auto"/>
            </w:tcBorders>
            <w:shd w:val="clear" w:color="auto" w:fill="auto"/>
            <w:noWrap/>
            <w:vAlign w:val="center"/>
            <w:hideMark/>
          </w:tcPr>
          <w:p w14:paraId="4C4EE4D6" w14:textId="77777777" w:rsidR="00E3750C" w:rsidRPr="00A218AA" w:rsidRDefault="00E3750C" w:rsidP="00047864">
            <w:pPr>
              <w:spacing w:after="0" w:line="240" w:lineRule="auto"/>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Omejeni postopek</w:t>
            </w:r>
          </w:p>
        </w:tc>
        <w:tc>
          <w:tcPr>
            <w:tcW w:w="1380" w:type="dxa"/>
            <w:tcBorders>
              <w:top w:val="nil"/>
              <w:left w:val="nil"/>
              <w:bottom w:val="single" w:sz="4" w:space="0" w:color="auto"/>
              <w:right w:val="single" w:sz="4" w:space="0" w:color="auto"/>
            </w:tcBorders>
            <w:shd w:val="clear" w:color="auto" w:fill="auto"/>
            <w:noWrap/>
            <w:vAlign w:val="center"/>
            <w:hideMark/>
          </w:tcPr>
          <w:p w14:paraId="09ADCEA5" w14:textId="77777777" w:rsidR="00E3750C" w:rsidRPr="00A218AA" w:rsidRDefault="00E3750C" w:rsidP="00047864">
            <w:pPr>
              <w:spacing w:after="0" w:line="240" w:lineRule="auto"/>
              <w:jc w:val="right"/>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4</w:t>
            </w:r>
          </w:p>
        </w:tc>
        <w:tc>
          <w:tcPr>
            <w:tcW w:w="2060" w:type="dxa"/>
            <w:tcBorders>
              <w:top w:val="nil"/>
              <w:left w:val="nil"/>
              <w:bottom w:val="single" w:sz="4" w:space="0" w:color="auto"/>
              <w:right w:val="single" w:sz="4" w:space="0" w:color="auto"/>
            </w:tcBorders>
            <w:shd w:val="clear" w:color="auto" w:fill="auto"/>
            <w:noWrap/>
            <w:vAlign w:val="center"/>
            <w:hideMark/>
          </w:tcPr>
          <w:p w14:paraId="6BDD4ECE" w14:textId="77777777" w:rsidR="00E3750C" w:rsidRPr="00A218AA" w:rsidRDefault="00E3750C" w:rsidP="00047864">
            <w:pPr>
              <w:spacing w:after="0" w:line="240" w:lineRule="auto"/>
              <w:jc w:val="right"/>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69.603.496</w:t>
            </w:r>
          </w:p>
        </w:tc>
      </w:tr>
      <w:tr w:rsidR="00E3750C" w:rsidRPr="00A218AA" w14:paraId="676053E8" w14:textId="77777777" w:rsidTr="00047864">
        <w:trPr>
          <w:trHeight w:val="300"/>
        </w:trPr>
        <w:tc>
          <w:tcPr>
            <w:tcW w:w="920" w:type="dxa"/>
            <w:vMerge/>
            <w:tcBorders>
              <w:top w:val="nil"/>
              <w:left w:val="single" w:sz="4" w:space="0" w:color="auto"/>
              <w:bottom w:val="single" w:sz="4" w:space="0" w:color="auto"/>
              <w:right w:val="single" w:sz="4" w:space="0" w:color="auto"/>
            </w:tcBorders>
            <w:vAlign w:val="center"/>
            <w:hideMark/>
          </w:tcPr>
          <w:p w14:paraId="3EF85A6B" w14:textId="77777777" w:rsidR="00E3750C" w:rsidRPr="00A218AA" w:rsidRDefault="00E3750C" w:rsidP="00047864">
            <w:pPr>
              <w:spacing w:after="0" w:line="240" w:lineRule="auto"/>
              <w:rPr>
                <w:rFonts w:ascii="Arial" w:eastAsia="Times New Roman" w:hAnsi="Arial" w:cs="Arial"/>
                <w:color w:val="000000"/>
                <w:sz w:val="18"/>
                <w:szCs w:val="18"/>
                <w:lang w:eastAsia="sl-SI"/>
              </w:rPr>
            </w:pPr>
          </w:p>
        </w:tc>
        <w:tc>
          <w:tcPr>
            <w:tcW w:w="4560" w:type="dxa"/>
            <w:tcBorders>
              <w:top w:val="nil"/>
              <w:left w:val="nil"/>
              <w:bottom w:val="single" w:sz="4" w:space="0" w:color="auto"/>
              <w:right w:val="single" w:sz="4" w:space="0" w:color="auto"/>
            </w:tcBorders>
            <w:shd w:val="clear" w:color="auto" w:fill="auto"/>
            <w:noWrap/>
            <w:vAlign w:val="center"/>
            <w:hideMark/>
          </w:tcPr>
          <w:p w14:paraId="58B18340" w14:textId="77777777" w:rsidR="00E3750C" w:rsidRPr="00A218AA" w:rsidRDefault="00E3750C" w:rsidP="00047864">
            <w:pPr>
              <w:spacing w:after="0" w:line="240" w:lineRule="auto"/>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Postopek naročila male vrednosti</w:t>
            </w:r>
          </w:p>
        </w:tc>
        <w:tc>
          <w:tcPr>
            <w:tcW w:w="1380" w:type="dxa"/>
            <w:tcBorders>
              <w:top w:val="nil"/>
              <w:left w:val="nil"/>
              <w:bottom w:val="single" w:sz="4" w:space="0" w:color="auto"/>
              <w:right w:val="single" w:sz="4" w:space="0" w:color="auto"/>
            </w:tcBorders>
            <w:shd w:val="clear" w:color="auto" w:fill="auto"/>
            <w:noWrap/>
            <w:vAlign w:val="center"/>
            <w:hideMark/>
          </w:tcPr>
          <w:p w14:paraId="2D0519EC" w14:textId="77777777" w:rsidR="00E3750C" w:rsidRPr="00A218AA" w:rsidRDefault="00E3750C" w:rsidP="00047864">
            <w:pPr>
              <w:spacing w:after="0" w:line="240" w:lineRule="auto"/>
              <w:jc w:val="right"/>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1.119</w:t>
            </w:r>
          </w:p>
        </w:tc>
        <w:tc>
          <w:tcPr>
            <w:tcW w:w="2060" w:type="dxa"/>
            <w:tcBorders>
              <w:top w:val="nil"/>
              <w:left w:val="nil"/>
              <w:bottom w:val="single" w:sz="4" w:space="0" w:color="auto"/>
              <w:right w:val="single" w:sz="4" w:space="0" w:color="auto"/>
            </w:tcBorders>
            <w:shd w:val="clear" w:color="auto" w:fill="auto"/>
            <w:noWrap/>
            <w:vAlign w:val="center"/>
            <w:hideMark/>
          </w:tcPr>
          <w:p w14:paraId="37C04D40" w14:textId="77777777" w:rsidR="00E3750C" w:rsidRPr="00A218AA" w:rsidRDefault="00E3750C" w:rsidP="00047864">
            <w:pPr>
              <w:spacing w:after="0" w:line="240" w:lineRule="auto"/>
              <w:jc w:val="right"/>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594.745.359</w:t>
            </w:r>
          </w:p>
        </w:tc>
      </w:tr>
      <w:tr w:rsidR="00E3750C" w:rsidRPr="00A218AA" w14:paraId="0A321DE3" w14:textId="77777777" w:rsidTr="00047864">
        <w:trPr>
          <w:trHeight w:val="300"/>
        </w:trPr>
        <w:tc>
          <w:tcPr>
            <w:tcW w:w="920" w:type="dxa"/>
            <w:vMerge/>
            <w:tcBorders>
              <w:top w:val="nil"/>
              <w:left w:val="single" w:sz="4" w:space="0" w:color="auto"/>
              <w:bottom w:val="single" w:sz="4" w:space="0" w:color="auto"/>
              <w:right w:val="single" w:sz="4" w:space="0" w:color="auto"/>
            </w:tcBorders>
            <w:vAlign w:val="center"/>
            <w:hideMark/>
          </w:tcPr>
          <w:p w14:paraId="757FEC4E" w14:textId="77777777" w:rsidR="00E3750C" w:rsidRPr="00A218AA" w:rsidRDefault="00E3750C" w:rsidP="00047864">
            <w:pPr>
              <w:spacing w:after="0" w:line="240" w:lineRule="auto"/>
              <w:rPr>
                <w:rFonts w:ascii="Arial" w:eastAsia="Times New Roman" w:hAnsi="Arial" w:cs="Arial"/>
                <w:color w:val="000000"/>
                <w:sz w:val="18"/>
                <w:szCs w:val="18"/>
                <w:lang w:eastAsia="sl-SI"/>
              </w:rPr>
            </w:pPr>
          </w:p>
        </w:tc>
        <w:tc>
          <w:tcPr>
            <w:tcW w:w="4560" w:type="dxa"/>
            <w:tcBorders>
              <w:top w:val="nil"/>
              <w:left w:val="nil"/>
              <w:bottom w:val="single" w:sz="4" w:space="0" w:color="auto"/>
              <w:right w:val="single" w:sz="4" w:space="0" w:color="auto"/>
            </w:tcBorders>
            <w:shd w:val="clear" w:color="auto" w:fill="auto"/>
            <w:noWrap/>
            <w:vAlign w:val="center"/>
            <w:hideMark/>
          </w:tcPr>
          <w:p w14:paraId="4799644C" w14:textId="77777777" w:rsidR="00E3750C" w:rsidRPr="00A218AA" w:rsidRDefault="00E3750C" w:rsidP="00047864">
            <w:pPr>
              <w:spacing w:after="0" w:line="240" w:lineRule="auto"/>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Postopek s pogajanji brez predhodne objave</w:t>
            </w:r>
          </w:p>
        </w:tc>
        <w:tc>
          <w:tcPr>
            <w:tcW w:w="1380" w:type="dxa"/>
            <w:tcBorders>
              <w:top w:val="nil"/>
              <w:left w:val="nil"/>
              <w:bottom w:val="single" w:sz="4" w:space="0" w:color="auto"/>
              <w:right w:val="single" w:sz="4" w:space="0" w:color="auto"/>
            </w:tcBorders>
            <w:shd w:val="clear" w:color="auto" w:fill="auto"/>
            <w:noWrap/>
            <w:vAlign w:val="center"/>
            <w:hideMark/>
          </w:tcPr>
          <w:p w14:paraId="62A98A1B" w14:textId="77777777" w:rsidR="00E3750C" w:rsidRPr="00A218AA" w:rsidRDefault="00E3750C" w:rsidP="00047864">
            <w:pPr>
              <w:spacing w:after="0" w:line="240" w:lineRule="auto"/>
              <w:jc w:val="right"/>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35</w:t>
            </w:r>
          </w:p>
        </w:tc>
        <w:tc>
          <w:tcPr>
            <w:tcW w:w="2060" w:type="dxa"/>
            <w:tcBorders>
              <w:top w:val="nil"/>
              <w:left w:val="nil"/>
              <w:bottom w:val="single" w:sz="4" w:space="0" w:color="auto"/>
              <w:right w:val="single" w:sz="4" w:space="0" w:color="auto"/>
            </w:tcBorders>
            <w:shd w:val="clear" w:color="auto" w:fill="auto"/>
            <w:noWrap/>
            <w:vAlign w:val="center"/>
            <w:hideMark/>
          </w:tcPr>
          <w:p w14:paraId="1D240720" w14:textId="77777777" w:rsidR="00E3750C" w:rsidRPr="00A218AA" w:rsidRDefault="00E3750C" w:rsidP="00047864">
            <w:pPr>
              <w:spacing w:after="0" w:line="240" w:lineRule="auto"/>
              <w:jc w:val="right"/>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32.133.747</w:t>
            </w:r>
          </w:p>
        </w:tc>
      </w:tr>
      <w:tr w:rsidR="00E3750C" w:rsidRPr="00A218AA" w14:paraId="2E3B6660" w14:textId="77777777" w:rsidTr="00047864">
        <w:trPr>
          <w:trHeight w:val="300"/>
        </w:trPr>
        <w:tc>
          <w:tcPr>
            <w:tcW w:w="920" w:type="dxa"/>
            <w:vMerge/>
            <w:tcBorders>
              <w:top w:val="nil"/>
              <w:left w:val="single" w:sz="4" w:space="0" w:color="auto"/>
              <w:bottom w:val="single" w:sz="4" w:space="0" w:color="auto"/>
              <w:right w:val="single" w:sz="4" w:space="0" w:color="auto"/>
            </w:tcBorders>
            <w:vAlign w:val="center"/>
            <w:hideMark/>
          </w:tcPr>
          <w:p w14:paraId="3FB136FA" w14:textId="77777777" w:rsidR="00E3750C" w:rsidRPr="00A218AA" w:rsidRDefault="00E3750C" w:rsidP="00047864">
            <w:pPr>
              <w:spacing w:after="0" w:line="240" w:lineRule="auto"/>
              <w:rPr>
                <w:rFonts w:ascii="Arial" w:eastAsia="Times New Roman" w:hAnsi="Arial" w:cs="Arial"/>
                <w:color w:val="000000"/>
                <w:sz w:val="18"/>
                <w:szCs w:val="18"/>
                <w:lang w:eastAsia="sl-SI"/>
              </w:rPr>
            </w:pPr>
          </w:p>
        </w:tc>
        <w:tc>
          <w:tcPr>
            <w:tcW w:w="4560" w:type="dxa"/>
            <w:tcBorders>
              <w:top w:val="nil"/>
              <w:left w:val="nil"/>
              <w:bottom w:val="single" w:sz="4" w:space="0" w:color="auto"/>
              <w:right w:val="single" w:sz="4" w:space="0" w:color="auto"/>
            </w:tcBorders>
            <w:shd w:val="clear" w:color="auto" w:fill="auto"/>
            <w:noWrap/>
            <w:vAlign w:val="center"/>
            <w:hideMark/>
          </w:tcPr>
          <w:p w14:paraId="0C96E06D" w14:textId="77777777" w:rsidR="00E3750C" w:rsidRPr="00A218AA" w:rsidRDefault="00E3750C" w:rsidP="00047864">
            <w:pPr>
              <w:spacing w:after="0" w:line="240" w:lineRule="auto"/>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Postopek s pogajanji po predhodni objavi</w:t>
            </w:r>
          </w:p>
        </w:tc>
        <w:tc>
          <w:tcPr>
            <w:tcW w:w="1380" w:type="dxa"/>
            <w:tcBorders>
              <w:top w:val="nil"/>
              <w:left w:val="nil"/>
              <w:bottom w:val="single" w:sz="4" w:space="0" w:color="auto"/>
              <w:right w:val="single" w:sz="4" w:space="0" w:color="auto"/>
            </w:tcBorders>
            <w:shd w:val="clear" w:color="auto" w:fill="auto"/>
            <w:noWrap/>
            <w:vAlign w:val="center"/>
            <w:hideMark/>
          </w:tcPr>
          <w:p w14:paraId="132C73A4" w14:textId="77777777" w:rsidR="00E3750C" w:rsidRPr="00A218AA" w:rsidRDefault="00E3750C" w:rsidP="00047864">
            <w:pPr>
              <w:spacing w:after="0" w:line="240" w:lineRule="auto"/>
              <w:jc w:val="right"/>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8</w:t>
            </w:r>
          </w:p>
        </w:tc>
        <w:tc>
          <w:tcPr>
            <w:tcW w:w="2060" w:type="dxa"/>
            <w:tcBorders>
              <w:top w:val="nil"/>
              <w:left w:val="nil"/>
              <w:bottom w:val="single" w:sz="4" w:space="0" w:color="auto"/>
              <w:right w:val="single" w:sz="4" w:space="0" w:color="auto"/>
            </w:tcBorders>
            <w:shd w:val="clear" w:color="auto" w:fill="auto"/>
            <w:noWrap/>
            <w:vAlign w:val="center"/>
            <w:hideMark/>
          </w:tcPr>
          <w:p w14:paraId="2B5D1D57" w14:textId="77777777" w:rsidR="00E3750C" w:rsidRPr="00A218AA" w:rsidRDefault="00E3750C" w:rsidP="00047864">
            <w:pPr>
              <w:spacing w:after="0" w:line="240" w:lineRule="auto"/>
              <w:jc w:val="right"/>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24.235.841</w:t>
            </w:r>
          </w:p>
        </w:tc>
      </w:tr>
      <w:tr w:rsidR="00E3750C" w:rsidRPr="00A218AA" w14:paraId="0D23E720" w14:textId="77777777" w:rsidTr="00047864">
        <w:trPr>
          <w:trHeight w:val="300"/>
        </w:trPr>
        <w:tc>
          <w:tcPr>
            <w:tcW w:w="920" w:type="dxa"/>
            <w:vMerge/>
            <w:tcBorders>
              <w:top w:val="nil"/>
              <w:left w:val="single" w:sz="4" w:space="0" w:color="auto"/>
              <w:bottom w:val="single" w:sz="4" w:space="0" w:color="auto"/>
              <w:right w:val="single" w:sz="4" w:space="0" w:color="auto"/>
            </w:tcBorders>
            <w:vAlign w:val="center"/>
            <w:hideMark/>
          </w:tcPr>
          <w:p w14:paraId="37D34D90" w14:textId="77777777" w:rsidR="00E3750C" w:rsidRPr="00A218AA" w:rsidRDefault="00E3750C" w:rsidP="00047864">
            <w:pPr>
              <w:spacing w:after="0" w:line="240" w:lineRule="auto"/>
              <w:rPr>
                <w:rFonts w:ascii="Arial" w:eastAsia="Times New Roman" w:hAnsi="Arial" w:cs="Arial"/>
                <w:color w:val="000000"/>
                <w:sz w:val="18"/>
                <w:szCs w:val="18"/>
                <w:lang w:eastAsia="sl-SI"/>
              </w:rPr>
            </w:pPr>
          </w:p>
        </w:tc>
        <w:tc>
          <w:tcPr>
            <w:tcW w:w="4560" w:type="dxa"/>
            <w:tcBorders>
              <w:top w:val="nil"/>
              <w:left w:val="nil"/>
              <w:bottom w:val="single" w:sz="4" w:space="0" w:color="auto"/>
              <w:right w:val="single" w:sz="4" w:space="0" w:color="auto"/>
            </w:tcBorders>
            <w:shd w:val="clear" w:color="auto" w:fill="auto"/>
            <w:noWrap/>
            <w:vAlign w:val="center"/>
            <w:hideMark/>
          </w:tcPr>
          <w:p w14:paraId="40535B3D" w14:textId="77777777" w:rsidR="00E3750C" w:rsidRPr="00A218AA" w:rsidRDefault="00E3750C" w:rsidP="00047864">
            <w:pPr>
              <w:spacing w:after="0" w:line="240" w:lineRule="auto"/>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Postopek zbiranja ponudb po predhodni objavi</w:t>
            </w:r>
          </w:p>
        </w:tc>
        <w:tc>
          <w:tcPr>
            <w:tcW w:w="1380" w:type="dxa"/>
            <w:tcBorders>
              <w:top w:val="nil"/>
              <w:left w:val="nil"/>
              <w:bottom w:val="single" w:sz="4" w:space="0" w:color="auto"/>
              <w:right w:val="single" w:sz="4" w:space="0" w:color="auto"/>
            </w:tcBorders>
            <w:shd w:val="clear" w:color="auto" w:fill="auto"/>
            <w:noWrap/>
            <w:vAlign w:val="center"/>
            <w:hideMark/>
          </w:tcPr>
          <w:p w14:paraId="58E00967" w14:textId="77777777" w:rsidR="00E3750C" w:rsidRPr="00A218AA" w:rsidRDefault="00E3750C" w:rsidP="00047864">
            <w:pPr>
              <w:spacing w:after="0" w:line="240" w:lineRule="auto"/>
              <w:jc w:val="right"/>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2</w:t>
            </w:r>
          </w:p>
        </w:tc>
        <w:tc>
          <w:tcPr>
            <w:tcW w:w="2060" w:type="dxa"/>
            <w:tcBorders>
              <w:top w:val="nil"/>
              <w:left w:val="nil"/>
              <w:bottom w:val="single" w:sz="4" w:space="0" w:color="auto"/>
              <w:right w:val="single" w:sz="4" w:space="0" w:color="auto"/>
            </w:tcBorders>
            <w:shd w:val="clear" w:color="auto" w:fill="auto"/>
            <w:noWrap/>
            <w:vAlign w:val="center"/>
            <w:hideMark/>
          </w:tcPr>
          <w:p w14:paraId="25D590E2" w14:textId="77777777" w:rsidR="00E3750C" w:rsidRPr="00A218AA" w:rsidRDefault="00E3750C" w:rsidP="00047864">
            <w:pPr>
              <w:spacing w:after="0" w:line="240" w:lineRule="auto"/>
              <w:jc w:val="right"/>
              <w:rPr>
                <w:rFonts w:ascii="Arial" w:eastAsia="Times New Roman" w:hAnsi="Arial" w:cs="Arial"/>
                <w:color w:val="000000"/>
                <w:sz w:val="18"/>
                <w:szCs w:val="18"/>
                <w:lang w:eastAsia="sl-SI"/>
              </w:rPr>
            </w:pPr>
            <w:r w:rsidRPr="00A218AA">
              <w:rPr>
                <w:rFonts w:ascii="Arial" w:eastAsia="Times New Roman" w:hAnsi="Arial" w:cs="Arial"/>
                <w:color w:val="000000"/>
                <w:sz w:val="18"/>
                <w:szCs w:val="18"/>
                <w:lang w:eastAsia="sl-SI"/>
              </w:rPr>
              <w:t>2.108.347</w:t>
            </w:r>
          </w:p>
        </w:tc>
      </w:tr>
      <w:tr w:rsidR="00E3750C" w:rsidRPr="00A218AA" w14:paraId="3563D22C" w14:textId="77777777" w:rsidTr="00047864">
        <w:trPr>
          <w:trHeight w:val="300"/>
        </w:trPr>
        <w:tc>
          <w:tcPr>
            <w:tcW w:w="920" w:type="dxa"/>
            <w:vMerge/>
            <w:tcBorders>
              <w:top w:val="nil"/>
              <w:left w:val="single" w:sz="4" w:space="0" w:color="auto"/>
              <w:bottom w:val="single" w:sz="4" w:space="0" w:color="auto"/>
              <w:right w:val="single" w:sz="4" w:space="0" w:color="auto"/>
            </w:tcBorders>
            <w:vAlign w:val="center"/>
            <w:hideMark/>
          </w:tcPr>
          <w:p w14:paraId="356672DE" w14:textId="77777777" w:rsidR="00E3750C" w:rsidRPr="00A218AA" w:rsidRDefault="00E3750C" w:rsidP="00047864">
            <w:pPr>
              <w:spacing w:after="0" w:line="240" w:lineRule="auto"/>
              <w:rPr>
                <w:rFonts w:ascii="Arial" w:eastAsia="Times New Roman" w:hAnsi="Arial" w:cs="Arial"/>
                <w:color w:val="000000"/>
                <w:sz w:val="18"/>
                <w:szCs w:val="18"/>
                <w:lang w:eastAsia="sl-SI"/>
              </w:rPr>
            </w:pPr>
          </w:p>
        </w:tc>
        <w:tc>
          <w:tcPr>
            <w:tcW w:w="4560" w:type="dxa"/>
            <w:tcBorders>
              <w:top w:val="nil"/>
              <w:left w:val="nil"/>
              <w:bottom w:val="single" w:sz="4" w:space="0" w:color="auto"/>
              <w:right w:val="single" w:sz="4" w:space="0" w:color="auto"/>
            </w:tcBorders>
            <w:shd w:val="clear" w:color="auto" w:fill="auto"/>
            <w:noWrap/>
            <w:vAlign w:val="center"/>
            <w:hideMark/>
          </w:tcPr>
          <w:p w14:paraId="365189FD" w14:textId="77777777" w:rsidR="00E3750C" w:rsidRPr="00A218AA" w:rsidRDefault="00E3750C" w:rsidP="00047864">
            <w:pPr>
              <w:spacing w:after="0" w:line="240" w:lineRule="auto"/>
              <w:rPr>
                <w:rFonts w:ascii="Arial" w:eastAsia="Times New Roman" w:hAnsi="Arial" w:cs="Arial"/>
                <w:b/>
                <w:bCs/>
                <w:color w:val="000000"/>
                <w:sz w:val="18"/>
                <w:szCs w:val="18"/>
                <w:lang w:eastAsia="sl-SI"/>
              </w:rPr>
            </w:pPr>
            <w:r w:rsidRPr="00A218AA">
              <w:rPr>
                <w:rFonts w:ascii="Arial" w:eastAsia="Times New Roman" w:hAnsi="Arial" w:cs="Arial"/>
                <w:b/>
                <w:bCs/>
                <w:color w:val="000000"/>
                <w:sz w:val="18"/>
                <w:szCs w:val="18"/>
                <w:lang w:eastAsia="sl-SI"/>
              </w:rPr>
              <w:t>Skupaj</w:t>
            </w:r>
          </w:p>
        </w:tc>
        <w:tc>
          <w:tcPr>
            <w:tcW w:w="1380" w:type="dxa"/>
            <w:tcBorders>
              <w:top w:val="nil"/>
              <w:left w:val="nil"/>
              <w:bottom w:val="single" w:sz="4" w:space="0" w:color="auto"/>
              <w:right w:val="single" w:sz="4" w:space="0" w:color="auto"/>
            </w:tcBorders>
            <w:shd w:val="clear" w:color="auto" w:fill="auto"/>
            <w:noWrap/>
            <w:vAlign w:val="center"/>
            <w:hideMark/>
          </w:tcPr>
          <w:p w14:paraId="7127727E" w14:textId="77777777" w:rsidR="00E3750C" w:rsidRPr="00A218AA" w:rsidRDefault="00E3750C" w:rsidP="00047864">
            <w:pPr>
              <w:spacing w:after="0" w:line="240" w:lineRule="auto"/>
              <w:jc w:val="right"/>
              <w:rPr>
                <w:rFonts w:ascii="Arial" w:eastAsia="Times New Roman" w:hAnsi="Arial" w:cs="Arial"/>
                <w:b/>
                <w:bCs/>
                <w:color w:val="000000"/>
                <w:sz w:val="18"/>
                <w:szCs w:val="18"/>
                <w:lang w:eastAsia="sl-SI"/>
              </w:rPr>
            </w:pPr>
            <w:r w:rsidRPr="00A218AA">
              <w:rPr>
                <w:rFonts w:ascii="Arial" w:eastAsia="Times New Roman" w:hAnsi="Arial" w:cs="Arial"/>
                <w:b/>
                <w:bCs/>
                <w:color w:val="000000"/>
                <w:sz w:val="18"/>
                <w:szCs w:val="18"/>
                <w:lang w:eastAsia="sl-SI"/>
              </w:rPr>
              <w:t>1.452</w:t>
            </w:r>
          </w:p>
        </w:tc>
        <w:tc>
          <w:tcPr>
            <w:tcW w:w="2060" w:type="dxa"/>
            <w:tcBorders>
              <w:top w:val="nil"/>
              <w:left w:val="nil"/>
              <w:bottom w:val="single" w:sz="4" w:space="0" w:color="auto"/>
              <w:right w:val="single" w:sz="4" w:space="0" w:color="auto"/>
            </w:tcBorders>
            <w:shd w:val="clear" w:color="auto" w:fill="auto"/>
            <w:noWrap/>
            <w:vAlign w:val="center"/>
            <w:hideMark/>
          </w:tcPr>
          <w:p w14:paraId="116045D6" w14:textId="77777777" w:rsidR="00E3750C" w:rsidRPr="00A218AA" w:rsidRDefault="00E3750C" w:rsidP="00047864">
            <w:pPr>
              <w:spacing w:after="0" w:line="240" w:lineRule="auto"/>
              <w:jc w:val="right"/>
              <w:rPr>
                <w:rFonts w:ascii="Arial" w:eastAsia="Times New Roman" w:hAnsi="Arial" w:cs="Arial"/>
                <w:b/>
                <w:bCs/>
                <w:color w:val="000000"/>
                <w:sz w:val="18"/>
                <w:szCs w:val="18"/>
                <w:lang w:eastAsia="sl-SI"/>
              </w:rPr>
            </w:pPr>
            <w:r w:rsidRPr="00A218AA">
              <w:rPr>
                <w:rFonts w:ascii="Arial" w:eastAsia="Times New Roman" w:hAnsi="Arial" w:cs="Arial"/>
                <w:b/>
                <w:bCs/>
                <w:color w:val="000000"/>
                <w:sz w:val="18"/>
                <w:szCs w:val="18"/>
                <w:lang w:eastAsia="sl-SI"/>
              </w:rPr>
              <w:t>1.861.567.195</w:t>
            </w:r>
          </w:p>
        </w:tc>
      </w:tr>
      <w:tr w:rsidR="00E3750C" w:rsidRPr="00A218AA" w14:paraId="1F194C7E" w14:textId="77777777" w:rsidTr="00047864">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182BB00" w14:textId="77777777" w:rsidR="00E3750C" w:rsidRPr="00A218AA" w:rsidRDefault="00E3750C" w:rsidP="00047864">
            <w:pPr>
              <w:spacing w:after="0" w:line="240" w:lineRule="auto"/>
              <w:rPr>
                <w:rFonts w:ascii="Arial" w:eastAsia="Times New Roman" w:hAnsi="Arial" w:cs="Arial"/>
                <w:b/>
                <w:bCs/>
                <w:color w:val="000000"/>
                <w:sz w:val="18"/>
                <w:szCs w:val="18"/>
                <w:lang w:eastAsia="sl-SI"/>
              </w:rPr>
            </w:pPr>
            <w:r w:rsidRPr="00A218AA">
              <w:rPr>
                <w:rFonts w:ascii="Arial" w:eastAsia="Times New Roman" w:hAnsi="Arial" w:cs="Arial"/>
                <w:b/>
                <w:bCs/>
                <w:color w:val="000000"/>
                <w:sz w:val="18"/>
                <w:szCs w:val="18"/>
                <w:lang w:eastAsia="sl-SI"/>
              </w:rPr>
              <w:t>Skupaj</w:t>
            </w:r>
          </w:p>
        </w:tc>
        <w:tc>
          <w:tcPr>
            <w:tcW w:w="1380" w:type="dxa"/>
            <w:tcBorders>
              <w:top w:val="nil"/>
              <w:left w:val="nil"/>
              <w:bottom w:val="single" w:sz="4" w:space="0" w:color="auto"/>
              <w:right w:val="single" w:sz="4" w:space="0" w:color="auto"/>
            </w:tcBorders>
            <w:shd w:val="clear" w:color="auto" w:fill="F2F2F2" w:themeFill="background1" w:themeFillShade="F2"/>
            <w:noWrap/>
            <w:vAlign w:val="center"/>
            <w:hideMark/>
          </w:tcPr>
          <w:p w14:paraId="1F4CC0C0" w14:textId="77777777" w:rsidR="00E3750C" w:rsidRPr="00A218AA" w:rsidRDefault="00E3750C" w:rsidP="00047864">
            <w:pPr>
              <w:spacing w:after="0" w:line="240" w:lineRule="auto"/>
              <w:jc w:val="right"/>
              <w:rPr>
                <w:rFonts w:ascii="Arial" w:eastAsia="Times New Roman" w:hAnsi="Arial" w:cs="Arial"/>
                <w:b/>
                <w:bCs/>
                <w:color w:val="000000"/>
                <w:sz w:val="18"/>
                <w:szCs w:val="18"/>
                <w:lang w:eastAsia="sl-SI"/>
              </w:rPr>
            </w:pPr>
            <w:r w:rsidRPr="00A218AA">
              <w:rPr>
                <w:rFonts w:ascii="Arial" w:eastAsia="Times New Roman" w:hAnsi="Arial" w:cs="Arial"/>
                <w:b/>
                <w:bCs/>
                <w:color w:val="000000"/>
                <w:sz w:val="18"/>
                <w:szCs w:val="18"/>
                <w:lang w:eastAsia="sl-SI"/>
              </w:rPr>
              <w:t>6.721</w:t>
            </w:r>
          </w:p>
        </w:tc>
        <w:tc>
          <w:tcPr>
            <w:tcW w:w="2060" w:type="dxa"/>
            <w:tcBorders>
              <w:top w:val="nil"/>
              <w:left w:val="nil"/>
              <w:bottom w:val="single" w:sz="4" w:space="0" w:color="auto"/>
              <w:right w:val="single" w:sz="4" w:space="0" w:color="auto"/>
            </w:tcBorders>
            <w:shd w:val="clear" w:color="auto" w:fill="F2F2F2" w:themeFill="background1" w:themeFillShade="F2"/>
            <w:noWrap/>
            <w:vAlign w:val="center"/>
            <w:hideMark/>
          </w:tcPr>
          <w:p w14:paraId="5E8B3FBE" w14:textId="77777777" w:rsidR="00E3750C" w:rsidRPr="00A218AA" w:rsidRDefault="00E3750C" w:rsidP="00047864">
            <w:pPr>
              <w:spacing w:after="0" w:line="240" w:lineRule="auto"/>
              <w:jc w:val="right"/>
              <w:rPr>
                <w:rFonts w:ascii="Arial" w:eastAsia="Times New Roman" w:hAnsi="Arial" w:cs="Arial"/>
                <w:b/>
                <w:bCs/>
                <w:color w:val="000000"/>
                <w:sz w:val="18"/>
                <w:szCs w:val="18"/>
                <w:lang w:eastAsia="sl-SI"/>
              </w:rPr>
            </w:pPr>
            <w:r w:rsidRPr="00A218AA">
              <w:rPr>
                <w:rFonts w:ascii="Arial" w:eastAsia="Times New Roman" w:hAnsi="Arial" w:cs="Arial"/>
                <w:b/>
                <w:bCs/>
                <w:color w:val="000000"/>
                <w:sz w:val="18"/>
                <w:szCs w:val="18"/>
                <w:lang w:eastAsia="sl-SI"/>
              </w:rPr>
              <w:t>5.417.105.902</w:t>
            </w:r>
          </w:p>
        </w:tc>
      </w:tr>
    </w:tbl>
    <w:p w14:paraId="289849E7" w14:textId="77777777" w:rsidR="00E3750C" w:rsidRPr="00BF7302" w:rsidRDefault="00E3750C" w:rsidP="00E3750C">
      <w:pPr>
        <w:spacing w:before="120" w:after="120" w:line="240" w:lineRule="auto"/>
        <w:jc w:val="both"/>
        <w:rPr>
          <w:rFonts w:ascii="Arial" w:hAnsi="Arial" w:cs="Arial"/>
          <w:sz w:val="20"/>
          <w:highlight w:val="yellow"/>
        </w:rPr>
      </w:pPr>
    </w:p>
    <w:p w14:paraId="7557EB5F" w14:textId="77777777" w:rsidR="00E3750C" w:rsidRPr="0059004B" w:rsidRDefault="00E3750C" w:rsidP="00E3750C">
      <w:pPr>
        <w:pStyle w:val="ZADEVA"/>
        <w:spacing w:before="120" w:line="240" w:lineRule="auto"/>
        <w:jc w:val="both"/>
        <w:rPr>
          <w:rFonts w:cs="Arial"/>
          <w:b w:val="0"/>
          <w:szCs w:val="20"/>
          <w:lang w:val="sl-SI"/>
        </w:rPr>
      </w:pPr>
      <w:r w:rsidRPr="0059004B">
        <w:rPr>
          <w:rFonts w:cs="Arial"/>
          <w:b w:val="0"/>
          <w:szCs w:val="20"/>
          <w:lang w:val="sl-SI"/>
        </w:rPr>
        <w:t>Preglednica 6</w:t>
      </w:r>
      <w:r>
        <w:rPr>
          <w:rFonts w:cs="Arial"/>
          <w:b w:val="0"/>
          <w:szCs w:val="20"/>
          <w:lang w:val="sl-SI"/>
        </w:rPr>
        <w:t>2</w:t>
      </w:r>
      <w:r w:rsidRPr="0059004B">
        <w:rPr>
          <w:rFonts w:cs="Arial"/>
          <w:b w:val="0"/>
          <w:szCs w:val="20"/>
          <w:lang w:val="sl-SI"/>
        </w:rPr>
        <w:t>: Evidenčna naročila v letu 2022</w:t>
      </w:r>
    </w:p>
    <w:p w14:paraId="48ED8E27" w14:textId="77777777" w:rsidR="00E3750C" w:rsidRPr="0059004B" w:rsidRDefault="00E3750C" w:rsidP="00E3750C">
      <w:pPr>
        <w:pStyle w:val="ZADEVA"/>
        <w:spacing w:line="240" w:lineRule="auto"/>
        <w:jc w:val="both"/>
        <w:rPr>
          <w:rFonts w:cs="Arial"/>
          <w:b w:val="0"/>
          <w:szCs w:val="20"/>
          <w:lang w:val="sl-SI"/>
        </w:rPr>
      </w:pPr>
    </w:p>
    <w:tbl>
      <w:tblPr>
        <w:tblW w:w="5000" w:type="pct"/>
        <w:tblCellMar>
          <w:left w:w="70" w:type="dxa"/>
          <w:right w:w="70" w:type="dxa"/>
        </w:tblCellMar>
        <w:tblLook w:val="04A0" w:firstRow="1" w:lastRow="0" w:firstColumn="1" w:lastColumn="0" w:noHBand="0" w:noVBand="1"/>
      </w:tblPr>
      <w:tblGrid>
        <w:gridCol w:w="2130"/>
        <w:gridCol w:w="1574"/>
        <w:gridCol w:w="2523"/>
        <w:gridCol w:w="2947"/>
      </w:tblGrid>
      <w:tr w:rsidR="00E3750C" w:rsidRPr="0059004B" w14:paraId="0A05E219" w14:textId="77777777" w:rsidTr="00047864">
        <w:trPr>
          <w:trHeight w:val="252"/>
        </w:trPr>
        <w:tc>
          <w:tcPr>
            <w:tcW w:w="116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C7344B5" w14:textId="77777777" w:rsidR="00E3750C" w:rsidRPr="0059004B" w:rsidRDefault="00E3750C" w:rsidP="00047864">
            <w:pPr>
              <w:spacing w:after="0" w:line="240" w:lineRule="auto"/>
              <w:jc w:val="center"/>
              <w:rPr>
                <w:rFonts w:ascii="Arial" w:eastAsia="Times New Roman" w:hAnsi="Arial" w:cs="Arial"/>
                <w:color w:val="000000"/>
                <w:sz w:val="18"/>
                <w:szCs w:val="18"/>
                <w:lang w:eastAsia="sl-SI"/>
              </w:rPr>
            </w:pPr>
            <w:r w:rsidRPr="0059004B">
              <w:rPr>
                <w:rFonts w:ascii="Arial" w:eastAsia="Times New Roman" w:hAnsi="Arial" w:cs="Arial"/>
                <w:color w:val="000000"/>
                <w:sz w:val="18"/>
                <w:szCs w:val="18"/>
                <w:lang w:eastAsia="sl-SI"/>
              </w:rPr>
              <w:t>Področje</w:t>
            </w:r>
          </w:p>
        </w:tc>
        <w:tc>
          <w:tcPr>
            <w:tcW w:w="85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D1FCC17" w14:textId="77777777" w:rsidR="00E3750C" w:rsidRPr="0059004B" w:rsidRDefault="00E3750C" w:rsidP="00047864">
            <w:pPr>
              <w:spacing w:after="0" w:line="240" w:lineRule="auto"/>
              <w:jc w:val="center"/>
              <w:rPr>
                <w:rFonts w:ascii="Arial" w:eastAsia="Times New Roman" w:hAnsi="Arial" w:cs="Arial"/>
                <w:color w:val="000000"/>
                <w:sz w:val="18"/>
                <w:szCs w:val="18"/>
                <w:lang w:eastAsia="sl-SI"/>
              </w:rPr>
            </w:pPr>
            <w:r w:rsidRPr="0059004B">
              <w:rPr>
                <w:rFonts w:ascii="Arial" w:eastAsia="Times New Roman" w:hAnsi="Arial" w:cs="Arial"/>
                <w:color w:val="000000"/>
                <w:sz w:val="18"/>
                <w:szCs w:val="18"/>
                <w:lang w:eastAsia="sl-SI"/>
              </w:rPr>
              <w:t>Predmet</w:t>
            </w:r>
          </w:p>
        </w:tc>
        <w:tc>
          <w:tcPr>
            <w:tcW w:w="137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7E55D41" w14:textId="77777777" w:rsidR="00E3750C" w:rsidRPr="0059004B" w:rsidRDefault="00E3750C" w:rsidP="00047864">
            <w:pPr>
              <w:spacing w:after="0" w:line="240" w:lineRule="auto"/>
              <w:jc w:val="center"/>
              <w:rPr>
                <w:rFonts w:ascii="Arial" w:eastAsia="Times New Roman" w:hAnsi="Arial" w:cs="Arial"/>
                <w:color w:val="000000"/>
                <w:sz w:val="18"/>
                <w:szCs w:val="18"/>
                <w:lang w:eastAsia="sl-SI"/>
              </w:rPr>
            </w:pPr>
            <w:r w:rsidRPr="0059004B">
              <w:rPr>
                <w:rFonts w:ascii="Arial" w:eastAsia="Times New Roman" w:hAnsi="Arial" w:cs="Arial"/>
                <w:color w:val="000000"/>
                <w:sz w:val="18"/>
                <w:szCs w:val="18"/>
                <w:lang w:eastAsia="sl-SI"/>
              </w:rPr>
              <w:t>Št. naročil</w:t>
            </w:r>
          </w:p>
        </w:tc>
        <w:tc>
          <w:tcPr>
            <w:tcW w:w="160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5376AB8" w14:textId="77777777" w:rsidR="00E3750C" w:rsidRPr="0059004B" w:rsidRDefault="00E3750C" w:rsidP="00047864">
            <w:pPr>
              <w:spacing w:after="0" w:line="240" w:lineRule="auto"/>
              <w:jc w:val="center"/>
              <w:rPr>
                <w:rFonts w:ascii="Arial" w:eastAsia="Times New Roman" w:hAnsi="Arial" w:cs="Arial"/>
                <w:color w:val="000000"/>
                <w:sz w:val="18"/>
                <w:szCs w:val="18"/>
                <w:lang w:eastAsia="sl-SI"/>
              </w:rPr>
            </w:pPr>
            <w:r w:rsidRPr="0059004B">
              <w:rPr>
                <w:rFonts w:ascii="Arial" w:eastAsia="Times New Roman" w:hAnsi="Arial" w:cs="Arial"/>
                <w:color w:val="000000"/>
                <w:sz w:val="18"/>
                <w:szCs w:val="18"/>
                <w:lang w:eastAsia="sl-SI"/>
              </w:rPr>
              <w:t>Pogodbena vrednost</w:t>
            </w:r>
          </w:p>
        </w:tc>
      </w:tr>
      <w:tr w:rsidR="00E3750C" w:rsidRPr="0059004B" w14:paraId="26F888D0" w14:textId="77777777" w:rsidTr="00047864">
        <w:trPr>
          <w:trHeight w:val="252"/>
        </w:trPr>
        <w:tc>
          <w:tcPr>
            <w:tcW w:w="1161" w:type="pct"/>
            <w:vMerge w:val="restart"/>
            <w:tcBorders>
              <w:top w:val="nil"/>
              <w:left w:val="single" w:sz="4" w:space="0" w:color="auto"/>
              <w:bottom w:val="single" w:sz="4" w:space="0" w:color="auto"/>
              <w:right w:val="single" w:sz="4" w:space="0" w:color="auto"/>
            </w:tcBorders>
            <w:shd w:val="clear" w:color="auto" w:fill="auto"/>
            <w:vAlign w:val="center"/>
            <w:hideMark/>
          </w:tcPr>
          <w:p w14:paraId="1EBF96FA" w14:textId="77777777" w:rsidR="00E3750C" w:rsidRPr="0059004B" w:rsidRDefault="00E3750C" w:rsidP="00047864">
            <w:pPr>
              <w:spacing w:after="0" w:line="240" w:lineRule="auto"/>
              <w:rPr>
                <w:rFonts w:ascii="Arial" w:eastAsia="Times New Roman" w:hAnsi="Arial" w:cs="Arial"/>
                <w:color w:val="000000"/>
                <w:sz w:val="18"/>
                <w:szCs w:val="18"/>
                <w:lang w:eastAsia="sl-SI"/>
              </w:rPr>
            </w:pPr>
            <w:r w:rsidRPr="0059004B">
              <w:rPr>
                <w:rFonts w:ascii="Arial" w:eastAsia="Times New Roman" w:hAnsi="Arial" w:cs="Arial"/>
                <w:color w:val="000000"/>
                <w:sz w:val="18"/>
                <w:szCs w:val="18"/>
                <w:lang w:eastAsia="sl-SI"/>
              </w:rPr>
              <w:t>Splošno</w:t>
            </w:r>
          </w:p>
        </w:tc>
        <w:tc>
          <w:tcPr>
            <w:tcW w:w="858" w:type="pct"/>
            <w:tcBorders>
              <w:top w:val="nil"/>
              <w:left w:val="nil"/>
              <w:bottom w:val="single" w:sz="4" w:space="0" w:color="auto"/>
              <w:right w:val="single" w:sz="4" w:space="0" w:color="auto"/>
            </w:tcBorders>
            <w:shd w:val="clear" w:color="auto" w:fill="auto"/>
            <w:vAlign w:val="center"/>
            <w:hideMark/>
          </w:tcPr>
          <w:p w14:paraId="370FA9A5" w14:textId="77777777" w:rsidR="00E3750C" w:rsidRPr="0059004B" w:rsidRDefault="00E3750C" w:rsidP="00047864">
            <w:pPr>
              <w:spacing w:after="0" w:line="240" w:lineRule="auto"/>
              <w:rPr>
                <w:rFonts w:ascii="Arial" w:eastAsia="Times New Roman" w:hAnsi="Arial" w:cs="Arial"/>
                <w:color w:val="000000"/>
                <w:sz w:val="18"/>
                <w:szCs w:val="18"/>
                <w:lang w:eastAsia="sl-SI"/>
              </w:rPr>
            </w:pPr>
            <w:r w:rsidRPr="0059004B">
              <w:rPr>
                <w:rFonts w:ascii="Arial" w:eastAsia="Times New Roman" w:hAnsi="Arial" w:cs="Arial"/>
                <w:color w:val="000000"/>
                <w:sz w:val="18"/>
                <w:szCs w:val="18"/>
                <w:lang w:eastAsia="sl-SI"/>
              </w:rPr>
              <w:t>Blago</w:t>
            </w:r>
          </w:p>
        </w:tc>
        <w:tc>
          <w:tcPr>
            <w:tcW w:w="1375" w:type="pct"/>
            <w:tcBorders>
              <w:top w:val="nil"/>
              <w:left w:val="nil"/>
              <w:bottom w:val="single" w:sz="4" w:space="0" w:color="auto"/>
              <w:right w:val="single" w:sz="4" w:space="0" w:color="auto"/>
            </w:tcBorders>
            <w:shd w:val="clear" w:color="auto" w:fill="auto"/>
            <w:vAlign w:val="center"/>
            <w:hideMark/>
          </w:tcPr>
          <w:p w14:paraId="6EEBFAF3" w14:textId="77777777" w:rsidR="00E3750C" w:rsidRPr="0059004B" w:rsidRDefault="00E3750C" w:rsidP="00047864">
            <w:pPr>
              <w:spacing w:after="0" w:line="240" w:lineRule="auto"/>
              <w:jc w:val="right"/>
              <w:rPr>
                <w:rFonts w:ascii="Arial" w:eastAsia="Times New Roman" w:hAnsi="Arial" w:cs="Arial"/>
                <w:color w:val="000000"/>
                <w:sz w:val="18"/>
                <w:szCs w:val="18"/>
                <w:lang w:eastAsia="sl-SI"/>
              </w:rPr>
            </w:pPr>
            <w:r w:rsidRPr="0059004B">
              <w:rPr>
                <w:rFonts w:ascii="Arial" w:eastAsia="Times New Roman" w:hAnsi="Arial" w:cs="Arial"/>
                <w:color w:val="000000"/>
                <w:sz w:val="18"/>
                <w:szCs w:val="18"/>
                <w:lang w:eastAsia="sl-SI"/>
              </w:rPr>
              <w:t>502.790</w:t>
            </w:r>
          </w:p>
        </w:tc>
        <w:tc>
          <w:tcPr>
            <w:tcW w:w="1606" w:type="pct"/>
            <w:tcBorders>
              <w:top w:val="nil"/>
              <w:left w:val="nil"/>
              <w:bottom w:val="single" w:sz="4" w:space="0" w:color="auto"/>
              <w:right w:val="single" w:sz="4" w:space="0" w:color="auto"/>
            </w:tcBorders>
            <w:shd w:val="clear" w:color="auto" w:fill="auto"/>
            <w:vAlign w:val="center"/>
            <w:hideMark/>
          </w:tcPr>
          <w:p w14:paraId="6E073E93" w14:textId="77777777" w:rsidR="00E3750C" w:rsidRPr="0059004B" w:rsidRDefault="00E3750C" w:rsidP="00047864">
            <w:pPr>
              <w:spacing w:after="0" w:line="240" w:lineRule="auto"/>
              <w:jc w:val="right"/>
              <w:rPr>
                <w:rFonts w:ascii="Arial" w:eastAsia="Times New Roman" w:hAnsi="Arial" w:cs="Arial"/>
                <w:color w:val="000000"/>
                <w:sz w:val="18"/>
                <w:szCs w:val="18"/>
                <w:lang w:eastAsia="sl-SI"/>
              </w:rPr>
            </w:pPr>
            <w:r w:rsidRPr="0059004B">
              <w:rPr>
                <w:rFonts w:ascii="Arial" w:eastAsia="Times New Roman" w:hAnsi="Arial" w:cs="Arial"/>
                <w:color w:val="000000"/>
                <w:sz w:val="18"/>
                <w:szCs w:val="18"/>
                <w:lang w:eastAsia="sl-SI"/>
              </w:rPr>
              <w:t>402.902.023</w:t>
            </w:r>
          </w:p>
        </w:tc>
      </w:tr>
      <w:tr w:rsidR="00E3750C" w:rsidRPr="0059004B" w14:paraId="00DEFEDD" w14:textId="77777777" w:rsidTr="00047864">
        <w:trPr>
          <w:trHeight w:val="252"/>
        </w:trPr>
        <w:tc>
          <w:tcPr>
            <w:tcW w:w="1161" w:type="pct"/>
            <w:vMerge/>
            <w:tcBorders>
              <w:top w:val="nil"/>
              <w:left w:val="single" w:sz="4" w:space="0" w:color="auto"/>
              <w:bottom w:val="single" w:sz="4" w:space="0" w:color="auto"/>
              <w:right w:val="single" w:sz="4" w:space="0" w:color="auto"/>
            </w:tcBorders>
            <w:vAlign w:val="center"/>
            <w:hideMark/>
          </w:tcPr>
          <w:p w14:paraId="27A54D56" w14:textId="77777777" w:rsidR="00E3750C" w:rsidRPr="0059004B" w:rsidRDefault="00E3750C" w:rsidP="00047864">
            <w:pPr>
              <w:spacing w:after="0" w:line="240" w:lineRule="auto"/>
              <w:rPr>
                <w:rFonts w:ascii="Arial" w:eastAsia="Times New Roman" w:hAnsi="Arial" w:cs="Arial"/>
                <w:color w:val="000000"/>
                <w:sz w:val="18"/>
                <w:szCs w:val="18"/>
                <w:lang w:eastAsia="sl-SI"/>
              </w:rPr>
            </w:pPr>
          </w:p>
        </w:tc>
        <w:tc>
          <w:tcPr>
            <w:tcW w:w="858" w:type="pct"/>
            <w:tcBorders>
              <w:top w:val="nil"/>
              <w:left w:val="nil"/>
              <w:bottom w:val="single" w:sz="4" w:space="0" w:color="auto"/>
              <w:right w:val="single" w:sz="4" w:space="0" w:color="auto"/>
            </w:tcBorders>
            <w:shd w:val="clear" w:color="auto" w:fill="auto"/>
            <w:vAlign w:val="center"/>
            <w:hideMark/>
          </w:tcPr>
          <w:p w14:paraId="0B949172" w14:textId="77777777" w:rsidR="00E3750C" w:rsidRPr="0059004B" w:rsidRDefault="00E3750C" w:rsidP="00047864">
            <w:pPr>
              <w:spacing w:after="0" w:line="240" w:lineRule="auto"/>
              <w:rPr>
                <w:rFonts w:ascii="Arial" w:eastAsia="Times New Roman" w:hAnsi="Arial" w:cs="Arial"/>
                <w:color w:val="000000"/>
                <w:sz w:val="18"/>
                <w:szCs w:val="18"/>
                <w:lang w:eastAsia="sl-SI"/>
              </w:rPr>
            </w:pPr>
            <w:r w:rsidRPr="0059004B">
              <w:rPr>
                <w:rFonts w:ascii="Arial" w:eastAsia="Times New Roman" w:hAnsi="Arial" w:cs="Arial"/>
                <w:color w:val="000000"/>
                <w:sz w:val="18"/>
                <w:szCs w:val="18"/>
                <w:lang w:eastAsia="sl-SI"/>
              </w:rPr>
              <w:t>Storitve</w:t>
            </w:r>
          </w:p>
        </w:tc>
        <w:tc>
          <w:tcPr>
            <w:tcW w:w="1375" w:type="pct"/>
            <w:tcBorders>
              <w:top w:val="nil"/>
              <w:left w:val="nil"/>
              <w:bottom w:val="single" w:sz="4" w:space="0" w:color="auto"/>
              <w:right w:val="single" w:sz="4" w:space="0" w:color="auto"/>
            </w:tcBorders>
            <w:shd w:val="clear" w:color="auto" w:fill="auto"/>
            <w:vAlign w:val="center"/>
            <w:hideMark/>
          </w:tcPr>
          <w:p w14:paraId="5D9C748A" w14:textId="77777777" w:rsidR="00E3750C" w:rsidRPr="0059004B" w:rsidRDefault="00E3750C" w:rsidP="00047864">
            <w:pPr>
              <w:spacing w:after="0" w:line="240" w:lineRule="auto"/>
              <w:jc w:val="right"/>
              <w:rPr>
                <w:rFonts w:ascii="Arial" w:eastAsia="Times New Roman" w:hAnsi="Arial" w:cs="Arial"/>
                <w:color w:val="000000"/>
                <w:sz w:val="18"/>
                <w:szCs w:val="18"/>
                <w:lang w:eastAsia="sl-SI"/>
              </w:rPr>
            </w:pPr>
            <w:r w:rsidRPr="0059004B">
              <w:rPr>
                <w:rFonts w:ascii="Arial" w:eastAsia="Times New Roman" w:hAnsi="Arial" w:cs="Arial"/>
                <w:color w:val="000000"/>
                <w:sz w:val="18"/>
                <w:szCs w:val="18"/>
                <w:lang w:eastAsia="sl-SI"/>
              </w:rPr>
              <w:t>482.878</w:t>
            </w:r>
          </w:p>
        </w:tc>
        <w:tc>
          <w:tcPr>
            <w:tcW w:w="1606" w:type="pct"/>
            <w:tcBorders>
              <w:top w:val="nil"/>
              <w:left w:val="nil"/>
              <w:bottom w:val="single" w:sz="4" w:space="0" w:color="auto"/>
              <w:right w:val="single" w:sz="4" w:space="0" w:color="auto"/>
            </w:tcBorders>
            <w:shd w:val="clear" w:color="auto" w:fill="auto"/>
            <w:vAlign w:val="center"/>
            <w:hideMark/>
          </w:tcPr>
          <w:p w14:paraId="562FBFD4" w14:textId="77777777" w:rsidR="00E3750C" w:rsidRPr="0059004B" w:rsidRDefault="00E3750C" w:rsidP="00047864">
            <w:pPr>
              <w:spacing w:after="0" w:line="240" w:lineRule="auto"/>
              <w:jc w:val="right"/>
              <w:rPr>
                <w:rFonts w:ascii="Arial" w:eastAsia="Times New Roman" w:hAnsi="Arial" w:cs="Arial"/>
                <w:color w:val="000000"/>
                <w:sz w:val="18"/>
                <w:szCs w:val="18"/>
                <w:lang w:eastAsia="sl-SI"/>
              </w:rPr>
            </w:pPr>
            <w:r w:rsidRPr="0059004B">
              <w:rPr>
                <w:rFonts w:ascii="Arial" w:eastAsia="Times New Roman" w:hAnsi="Arial" w:cs="Arial"/>
                <w:color w:val="000000"/>
                <w:sz w:val="18"/>
                <w:szCs w:val="18"/>
                <w:lang w:eastAsia="sl-SI"/>
              </w:rPr>
              <w:t>659.150.363</w:t>
            </w:r>
          </w:p>
        </w:tc>
      </w:tr>
      <w:tr w:rsidR="00E3750C" w:rsidRPr="0059004B" w14:paraId="1761521B" w14:textId="77777777" w:rsidTr="00047864">
        <w:trPr>
          <w:trHeight w:val="252"/>
        </w:trPr>
        <w:tc>
          <w:tcPr>
            <w:tcW w:w="1161" w:type="pct"/>
            <w:vMerge/>
            <w:tcBorders>
              <w:top w:val="nil"/>
              <w:left w:val="single" w:sz="4" w:space="0" w:color="auto"/>
              <w:bottom w:val="single" w:sz="4" w:space="0" w:color="auto"/>
              <w:right w:val="single" w:sz="4" w:space="0" w:color="auto"/>
            </w:tcBorders>
            <w:vAlign w:val="center"/>
            <w:hideMark/>
          </w:tcPr>
          <w:p w14:paraId="05E40568" w14:textId="77777777" w:rsidR="00E3750C" w:rsidRPr="0059004B" w:rsidRDefault="00E3750C" w:rsidP="00047864">
            <w:pPr>
              <w:spacing w:after="0" w:line="240" w:lineRule="auto"/>
              <w:rPr>
                <w:rFonts w:ascii="Arial" w:eastAsia="Times New Roman" w:hAnsi="Arial" w:cs="Arial"/>
                <w:color w:val="000000"/>
                <w:sz w:val="18"/>
                <w:szCs w:val="18"/>
                <w:lang w:eastAsia="sl-SI"/>
              </w:rPr>
            </w:pPr>
          </w:p>
        </w:tc>
        <w:tc>
          <w:tcPr>
            <w:tcW w:w="858" w:type="pct"/>
            <w:tcBorders>
              <w:top w:val="nil"/>
              <w:left w:val="nil"/>
              <w:bottom w:val="single" w:sz="4" w:space="0" w:color="auto"/>
              <w:right w:val="single" w:sz="4" w:space="0" w:color="auto"/>
            </w:tcBorders>
            <w:shd w:val="clear" w:color="auto" w:fill="auto"/>
            <w:vAlign w:val="center"/>
            <w:hideMark/>
          </w:tcPr>
          <w:p w14:paraId="17B02533" w14:textId="77777777" w:rsidR="00E3750C" w:rsidRPr="0059004B" w:rsidRDefault="00E3750C" w:rsidP="00047864">
            <w:pPr>
              <w:spacing w:after="0" w:line="240" w:lineRule="auto"/>
              <w:rPr>
                <w:rFonts w:ascii="Arial" w:eastAsia="Times New Roman" w:hAnsi="Arial" w:cs="Arial"/>
                <w:color w:val="000000"/>
                <w:sz w:val="18"/>
                <w:szCs w:val="18"/>
                <w:lang w:eastAsia="sl-SI"/>
              </w:rPr>
            </w:pPr>
            <w:r w:rsidRPr="0059004B">
              <w:rPr>
                <w:rFonts w:ascii="Arial" w:eastAsia="Times New Roman" w:hAnsi="Arial" w:cs="Arial"/>
                <w:color w:val="000000"/>
                <w:sz w:val="18"/>
                <w:szCs w:val="18"/>
                <w:lang w:eastAsia="sl-SI"/>
              </w:rPr>
              <w:t>Gradnje</w:t>
            </w:r>
          </w:p>
        </w:tc>
        <w:tc>
          <w:tcPr>
            <w:tcW w:w="1375" w:type="pct"/>
            <w:tcBorders>
              <w:top w:val="nil"/>
              <w:left w:val="nil"/>
              <w:bottom w:val="single" w:sz="4" w:space="0" w:color="auto"/>
              <w:right w:val="single" w:sz="4" w:space="0" w:color="auto"/>
            </w:tcBorders>
            <w:shd w:val="clear" w:color="auto" w:fill="auto"/>
            <w:vAlign w:val="center"/>
            <w:hideMark/>
          </w:tcPr>
          <w:p w14:paraId="5B8FE043" w14:textId="77777777" w:rsidR="00E3750C" w:rsidRPr="0059004B" w:rsidRDefault="00E3750C" w:rsidP="00047864">
            <w:pPr>
              <w:spacing w:after="0" w:line="240" w:lineRule="auto"/>
              <w:jc w:val="right"/>
              <w:rPr>
                <w:rFonts w:ascii="Arial" w:eastAsia="Times New Roman" w:hAnsi="Arial" w:cs="Arial"/>
                <w:color w:val="000000"/>
                <w:sz w:val="18"/>
                <w:szCs w:val="18"/>
                <w:lang w:eastAsia="sl-SI"/>
              </w:rPr>
            </w:pPr>
            <w:r w:rsidRPr="0059004B">
              <w:rPr>
                <w:rFonts w:ascii="Arial" w:eastAsia="Times New Roman" w:hAnsi="Arial" w:cs="Arial"/>
                <w:color w:val="000000"/>
                <w:sz w:val="18"/>
                <w:szCs w:val="18"/>
                <w:lang w:eastAsia="sl-SI"/>
              </w:rPr>
              <w:t>12.822</w:t>
            </w:r>
          </w:p>
        </w:tc>
        <w:tc>
          <w:tcPr>
            <w:tcW w:w="1606" w:type="pct"/>
            <w:tcBorders>
              <w:top w:val="nil"/>
              <w:left w:val="nil"/>
              <w:bottom w:val="single" w:sz="4" w:space="0" w:color="auto"/>
              <w:right w:val="single" w:sz="4" w:space="0" w:color="auto"/>
            </w:tcBorders>
            <w:shd w:val="clear" w:color="auto" w:fill="auto"/>
            <w:vAlign w:val="center"/>
            <w:hideMark/>
          </w:tcPr>
          <w:p w14:paraId="399B56E5" w14:textId="77777777" w:rsidR="00E3750C" w:rsidRPr="0059004B" w:rsidRDefault="00E3750C" w:rsidP="00047864">
            <w:pPr>
              <w:spacing w:after="0" w:line="240" w:lineRule="auto"/>
              <w:jc w:val="right"/>
              <w:rPr>
                <w:rFonts w:ascii="Arial" w:eastAsia="Times New Roman" w:hAnsi="Arial" w:cs="Arial"/>
                <w:color w:val="000000"/>
                <w:sz w:val="18"/>
                <w:szCs w:val="18"/>
                <w:lang w:eastAsia="sl-SI"/>
              </w:rPr>
            </w:pPr>
            <w:r w:rsidRPr="0059004B">
              <w:rPr>
                <w:rFonts w:ascii="Arial" w:eastAsia="Times New Roman" w:hAnsi="Arial" w:cs="Arial"/>
                <w:color w:val="000000"/>
                <w:sz w:val="18"/>
                <w:szCs w:val="18"/>
                <w:lang w:eastAsia="sl-SI"/>
              </w:rPr>
              <w:t>140.782.157</w:t>
            </w:r>
          </w:p>
        </w:tc>
      </w:tr>
      <w:tr w:rsidR="00E3750C" w:rsidRPr="0059004B" w14:paraId="6CE0180A" w14:textId="77777777" w:rsidTr="00047864">
        <w:trPr>
          <w:trHeight w:val="252"/>
        </w:trPr>
        <w:tc>
          <w:tcPr>
            <w:tcW w:w="1161" w:type="pct"/>
            <w:vMerge/>
            <w:tcBorders>
              <w:top w:val="nil"/>
              <w:left w:val="single" w:sz="4" w:space="0" w:color="auto"/>
              <w:bottom w:val="single" w:sz="4" w:space="0" w:color="auto"/>
              <w:right w:val="single" w:sz="4" w:space="0" w:color="auto"/>
            </w:tcBorders>
            <w:vAlign w:val="center"/>
            <w:hideMark/>
          </w:tcPr>
          <w:p w14:paraId="0B979128" w14:textId="77777777" w:rsidR="00E3750C" w:rsidRPr="0059004B" w:rsidRDefault="00E3750C" w:rsidP="00047864">
            <w:pPr>
              <w:spacing w:after="0" w:line="240" w:lineRule="auto"/>
              <w:rPr>
                <w:rFonts w:ascii="Arial" w:eastAsia="Times New Roman" w:hAnsi="Arial" w:cs="Arial"/>
                <w:color w:val="000000"/>
                <w:sz w:val="18"/>
                <w:szCs w:val="18"/>
                <w:lang w:eastAsia="sl-SI"/>
              </w:rPr>
            </w:pPr>
          </w:p>
        </w:tc>
        <w:tc>
          <w:tcPr>
            <w:tcW w:w="858" w:type="pct"/>
            <w:tcBorders>
              <w:top w:val="nil"/>
              <w:left w:val="nil"/>
              <w:bottom w:val="single" w:sz="4" w:space="0" w:color="auto"/>
              <w:right w:val="single" w:sz="4" w:space="0" w:color="auto"/>
            </w:tcBorders>
            <w:shd w:val="clear" w:color="auto" w:fill="auto"/>
            <w:vAlign w:val="center"/>
            <w:hideMark/>
          </w:tcPr>
          <w:p w14:paraId="50A8599D" w14:textId="77777777" w:rsidR="00E3750C" w:rsidRPr="0059004B" w:rsidRDefault="00E3750C" w:rsidP="00047864">
            <w:pPr>
              <w:spacing w:after="0" w:line="240" w:lineRule="auto"/>
              <w:rPr>
                <w:rFonts w:ascii="Arial" w:eastAsia="Times New Roman" w:hAnsi="Arial" w:cs="Arial"/>
                <w:b/>
                <w:bCs/>
                <w:color w:val="000000"/>
                <w:sz w:val="18"/>
                <w:szCs w:val="18"/>
                <w:lang w:eastAsia="sl-SI"/>
              </w:rPr>
            </w:pPr>
            <w:r w:rsidRPr="0059004B">
              <w:rPr>
                <w:rFonts w:ascii="Arial" w:eastAsia="Times New Roman" w:hAnsi="Arial" w:cs="Arial"/>
                <w:b/>
                <w:bCs/>
                <w:color w:val="000000"/>
                <w:sz w:val="18"/>
                <w:szCs w:val="18"/>
                <w:lang w:eastAsia="sl-SI"/>
              </w:rPr>
              <w:t>Skupaj</w:t>
            </w:r>
          </w:p>
        </w:tc>
        <w:tc>
          <w:tcPr>
            <w:tcW w:w="1375" w:type="pct"/>
            <w:tcBorders>
              <w:top w:val="nil"/>
              <w:left w:val="nil"/>
              <w:bottom w:val="single" w:sz="4" w:space="0" w:color="auto"/>
              <w:right w:val="single" w:sz="4" w:space="0" w:color="auto"/>
            </w:tcBorders>
            <w:shd w:val="clear" w:color="auto" w:fill="auto"/>
            <w:vAlign w:val="center"/>
            <w:hideMark/>
          </w:tcPr>
          <w:p w14:paraId="6582AAB5" w14:textId="77777777" w:rsidR="00E3750C" w:rsidRPr="0059004B" w:rsidRDefault="00E3750C" w:rsidP="00047864">
            <w:pPr>
              <w:spacing w:after="0" w:line="240" w:lineRule="auto"/>
              <w:jc w:val="right"/>
              <w:rPr>
                <w:rFonts w:ascii="Arial" w:eastAsia="Times New Roman" w:hAnsi="Arial" w:cs="Arial"/>
                <w:b/>
                <w:bCs/>
                <w:color w:val="000000"/>
                <w:sz w:val="18"/>
                <w:szCs w:val="18"/>
                <w:lang w:eastAsia="sl-SI"/>
              </w:rPr>
            </w:pPr>
            <w:r w:rsidRPr="0059004B">
              <w:rPr>
                <w:rFonts w:ascii="Arial" w:eastAsia="Times New Roman" w:hAnsi="Arial" w:cs="Arial"/>
                <w:b/>
                <w:bCs/>
                <w:color w:val="000000"/>
                <w:sz w:val="18"/>
                <w:szCs w:val="18"/>
                <w:lang w:eastAsia="sl-SI"/>
              </w:rPr>
              <w:t>998.490</w:t>
            </w:r>
          </w:p>
        </w:tc>
        <w:tc>
          <w:tcPr>
            <w:tcW w:w="1606" w:type="pct"/>
            <w:tcBorders>
              <w:top w:val="nil"/>
              <w:left w:val="nil"/>
              <w:bottom w:val="single" w:sz="4" w:space="0" w:color="auto"/>
              <w:right w:val="single" w:sz="4" w:space="0" w:color="auto"/>
            </w:tcBorders>
            <w:shd w:val="clear" w:color="auto" w:fill="auto"/>
            <w:vAlign w:val="center"/>
            <w:hideMark/>
          </w:tcPr>
          <w:p w14:paraId="60DBD751" w14:textId="77777777" w:rsidR="00E3750C" w:rsidRPr="0059004B" w:rsidRDefault="00E3750C" w:rsidP="00047864">
            <w:pPr>
              <w:spacing w:after="0" w:line="240" w:lineRule="auto"/>
              <w:jc w:val="right"/>
              <w:rPr>
                <w:rFonts w:ascii="Arial" w:eastAsia="Times New Roman" w:hAnsi="Arial" w:cs="Arial"/>
                <w:b/>
                <w:bCs/>
                <w:color w:val="000000"/>
                <w:sz w:val="18"/>
                <w:szCs w:val="18"/>
                <w:lang w:eastAsia="sl-SI"/>
              </w:rPr>
            </w:pPr>
            <w:r w:rsidRPr="0059004B">
              <w:rPr>
                <w:rFonts w:ascii="Arial" w:eastAsia="Times New Roman" w:hAnsi="Arial" w:cs="Arial"/>
                <w:b/>
                <w:bCs/>
                <w:color w:val="000000"/>
                <w:sz w:val="18"/>
                <w:szCs w:val="18"/>
                <w:lang w:eastAsia="sl-SI"/>
              </w:rPr>
              <w:t>1.202.834.543</w:t>
            </w:r>
          </w:p>
        </w:tc>
      </w:tr>
      <w:tr w:rsidR="00E3750C" w:rsidRPr="0059004B" w14:paraId="153C4D56" w14:textId="77777777" w:rsidTr="00047864">
        <w:trPr>
          <w:trHeight w:val="252"/>
        </w:trPr>
        <w:tc>
          <w:tcPr>
            <w:tcW w:w="1161" w:type="pct"/>
            <w:vMerge w:val="restart"/>
            <w:tcBorders>
              <w:top w:val="nil"/>
              <w:left w:val="single" w:sz="4" w:space="0" w:color="auto"/>
              <w:bottom w:val="single" w:sz="4" w:space="0" w:color="auto"/>
              <w:right w:val="single" w:sz="4" w:space="0" w:color="auto"/>
            </w:tcBorders>
            <w:shd w:val="clear" w:color="auto" w:fill="auto"/>
            <w:vAlign w:val="center"/>
            <w:hideMark/>
          </w:tcPr>
          <w:p w14:paraId="6C071AC3" w14:textId="77777777" w:rsidR="00E3750C" w:rsidRPr="0059004B" w:rsidRDefault="00E3750C" w:rsidP="00047864">
            <w:pPr>
              <w:spacing w:after="0" w:line="240" w:lineRule="auto"/>
              <w:rPr>
                <w:rFonts w:ascii="Arial" w:eastAsia="Times New Roman" w:hAnsi="Arial" w:cs="Arial"/>
                <w:color w:val="000000"/>
                <w:sz w:val="18"/>
                <w:szCs w:val="18"/>
                <w:lang w:eastAsia="sl-SI"/>
              </w:rPr>
            </w:pPr>
            <w:r w:rsidRPr="0059004B">
              <w:rPr>
                <w:rFonts w:ascii="Arial" w:eastAsia="Times New Roman" w:hAnsi="Arial" w:cs="Arial"/>
                <w:color w:val="000000"/>
                <w:sz w:val="18"/>
                <w:szCs w:val="18"/>
                <w:lang w:eastAsia="sl-SI"/>
              </w:rPr>
              <w:t>Infrastrukturno</w:t>
            </w:r>
          </w:p>
        </w:tc>
        <w:tc>
          <w:tcPr>
            <w:tcW w:w="858" w:type="pct"/>
            <w:tcBorders>
              <w:top w:val="nil"/>
              <w:left w:val="nil"/>
              <w:bottom w:val="single" w:sz="4" w:space="0" w:color="auto"/>
              <w:right w:val="single" w:sz="4" w:space="0" w:color="auto"/>
            </w:tcBorders>
            <w:shd w:val="clear" w:color="auto" w:fill="auto"/>
            <w:vAlign w:val="center"/>
            <w:hideMark/>
          </w:tcPr>
          <w:p w14:paraId="679A90AA" w14:textId="77777777" w:rsidR="00E3750C" w:rsidRPr="0059004B" w:rsidRDefault="00E3750C" w:rsidP="00047864">
            <w:pPr>
              <w:spacing w:after="0" w:line="240" w:lineRule="auto"/>
              <w:rPr>
                <w:rFonts w:ascii="Arial" w:eastAsia="Times New Roman" w:hAnsi="Arial" w:cs="Arial"/>
                <w:color w:val="000000"/>
                <w:sz w:val="18"/>
                <w:szCs w:val="18"/>
                <w:lang w:eastAsia="sl-SI"/>
              </w:rPr>
            </w:pPr>
            <w:r w:rsidRPr="0059004B">
              <w:rPr>
                <w:rFonts w:ascii="Arial" w:eastAsia="Times New Roman" w:hAnsi="Arial" w:cs="Arial"/>
                <w:color w:val="000000"/>
                <w:sz w:val="18"/>
                <w:szCs w:val="18"/>
                <w:lang w:eastAsia="sl-SI"/>
              </w:rPr>
              <w:t>Blago</w:t>
            </w:r>
          </w:p>
        </w:tc>
        <w:tc>
          <w:tcPr>
            <w:tcW w:w="1375" w:type="pct"/>
            <w:tcBorders>
              <w:top w:val="nil"/>
              <w:left w:val="nil"/>
              <w:bottom w:val="single" w:sz="4" w:space="0" w:color="auto"/>
              <w:right w:val="single" w:sz="4" w:space="0" w:color="auto"/>
            </w:tcBorders>
            <w:shd w:val="clear" w:color="auto" w:fill="auto"/>
            <w:vAlign w:val="center"/>
            <w:hideMark/>
          </w:tcPr>
          <w:p w14:paraId="2FACC444" w14:textId="77777777" w:rsidR="00E3750C" w:rsidRPr="0059004B" w:rsidRDefault="00E3750C" w:rsidP="00047864">
            <w:pPr>
              <w:spacing w:after="0" w:line="240" w:lineRule="auto"/>
              <w:jc w:val="right"/>
              <w:rPr>
                <w:rFonts w:ascii="Arial" w:eastAsia="Times New Roman" w:hAnsi="Arial" w:cs="Arial"/>
                <w:color w:val="000000"/>
                <w:sz w:val="18"/>
                <w:szCs w:val="18"/>
                <w:lang w:eastAsia="sl-SI"/>
              </w:rPr>
            </w:pPr>
            <w:r w:rsidRPr="0059004B">
              <w:rPr>
                <w:rFonts w:ascii="Arial" w:eastAsia="Times New Roman" w:hAnsi="Arial" w:cs="Arial"/>
                <w:color w:val="000000"/>
                <w:sz w:val="18"/>
                <w:szCs w:val="18"/>
                <w:lang w:eastAsia="sl-SI"/>
              </w:rPr>
              <w:t>46.610</w:t>
            </w:r>
          </w:p>
        </w:tc>
        <w:tc>
          <w:tcPr>
            <w:tcW w:w="1606" w:type="pct"/>
            <w:tcBorders>
              <w:top w:val="nil"/>
              <w:left w:val="nil"/>
              <w:bottom w:val="single" w:sz="4" w:space="0" w:color="auto"/>
              <w:right w:val="single" w:sz="4" w:space="0" w:color="auto"/>
            </w:tcBorders>
            <w:shd w:val="clear" w:color="auto" w:fill="auto"/>
            <w:vAlign w:val="center"/>
            <w:hideMark/>
          </w:tcPr>
          <w:p w14:paraId="11F23DDF" w14:textId="77777777" w:rsidR="00E3750C" w:rsidRPr="0059004B" w:rsidRDefault="00E3750C" w:rsidP="00047864">
            <w:pPr>
              <w:spacing w:after="0" w:line="240" w:lineRule="auto"/>
              <w:jc w:val="right"/>
              <w:rPr>
                <w:rFonts w:ascii="Arial" w:eastAsia="Times New Roman" w:hAnsi="Arial" w:cs="Arial"/>
                <w:color w:val="000000"/>
                <w:sz w:val="18"/>
                <w:szCs w:val="18"/>
                <w:lang w:eastAsia="sl-SI"/>
              </w:rPr>
            </w:pPr>
            <w:r w:rsidRPr="0059004B">
              <w:rPr>
                <w:rFonts w:ascii="Arial" w:eastAsia="Times New Roman" w:hAnsi="Arial" w:cs="Arial"/>
                <w:color w:val="000000"/>
                <w:sz w:val="18"/>
                <w:szCs w:val="18"/>
                <w:lang w:eastAsia="sl-SI"/>
              </w:rPr>
              <w:t>106.572.474</w:t>
            </w:r>
          </w:p>
        </w:tc>
      </w:tr>
      <w:tr w:rsidR="00E3750C" w:rsidRPr="0059004B" w14:paraId="2DC8526E" w14:textId="77777777" w:rsidTr="00047864">
        <w:trPr>
          <w:trHeight w:val="252"/>
        </w:trPr>
        <w:tc>
          <w:tcPr>
            <w:tcW w:w="1161" w:type="pct"/>
            <w:vMerge/>
            <w:tcBorders>
              <w:top w:val="nil"/>
              <w:left w:val="single" w:sz="4" w:space="0" w:color="auto"/>
              <w:bottom w:val="single" w:sz="4" w:space="0" w:color="auto"/>
              <w:right w:val="single" w:sz="4" w:space="0" w:color="auto"/>
            </w:tcBorders>
            <w:vAlign w:val="center"/>
            <w:hideMark/>
          </w:tcPr>
          <w:p w14:paraId="456F8DFF" w14:textId="77777777" w:rsidR="00E3750C" w:rsidRPr="0059004B" w:rsidRDefault="00E3750C" w:rsidP="00047864">
            <w:pPr>
              <w:spacing w:after="0" w:line="240" w:lineRule="auto"/>
              <w:rPr>
                <w:rFonts w:ascii="Arial" w:eastAsia="Times New Roman" w:hAnsi="Arial" w:cs="Arial"/>
                <w:color w:val="000000"/>
                <w:sz w:val="18"/>
                <w:szCs w:val="18"/>
                <w:lang w:eastAsia="sl-SI"/>
              </w:rPr>
            </w:pPr>
          </w:p>
        </w:tc>
        <w:tc>
          <w:tcPr>
            <w:tcW w:w="858" w:type="pct"/>
            <w:tcBorders>
              <w:top w:val="nil"/>
              <w:left w:val="nil"/>
              <w:bottom w:val="single" w:sz="4" w:space="0" w:color="auto"/>
              <w:right w:val="single" w:sz="4" w:space="0" w:color="auto"/>
            </w:tcBorders>
            <w:shd w:val="clear" w:color="auto" w:fill="auto"/>
            <w:vAlign w:val="center"/>
            <w:hideMark/>
          </w:tcPr>
          <w:p w14:paraId="63A73A7D" w14:textId="77777777" w:rsidR="00E3750C" w:rsidRPr="0059004B" w:rsidRDefault="00E3750C" w:rsidP="00047864">
            <w:pPr>
              <w:spacing w:after="0" w:line="240" w:lineRule="auto"/>
              <w:rPr>
                <w:rFonts w:ascii="Arial" w:eastAsia="Times New Roman" w:hAnsi="Arial" w:cs="Arial"/>
                <w:color w:val="000000"/>
                <w:sz w:val="18"/>
                <w:szCs w:val="18"/>
                <w:lang w:eastAsia="sl-SI"/>
              </w:rPr>
            </w:pPr>
            <w:r w:rsidRPr="0059004B">
              <w:rPr>
                <w:rFonts w:ascii="Arial" w:eastAsia="Times New Roman" w:hAnsi="Arial" w:cs="Arial"/>
                <w:color w:val="000000"/>
                <w:sz w:val="18"/>
                <w:szCs w:val="18"/>
                <w:lang w:eastAsia="sl-SI"/>
              </w:rPr>
              <w:t>Storitve</w:t>
            </w:r>
          </w:p>
        </w:tc>
        <w:tc>
          <w:tcPr>
            <w:tcW w:w="1375" w:type="pct"/>
            <w:tcBorders>
              <w:top w:val="nil"/>
              <w:left w:val="nil"/>
              <w:bottom w:val="single" w:sz="4" w:space="0" w:color="auto"/>
              <w:right w:val="single" w:sz="4" w:space="0" w:color="auto"/>
            </w:tcBorders>
            <w:shd w:val="clear" w:color="auto" w:fill="auto"/>
            <w:vAlign w:val="center"/>
            <w:hideMark/>
          </w:tcPr>
          <w:p w14:paraId="217BB8DC" w14:textId="77777777" w:rsidR="00E3750C" w:rsidRPr="0059004B" w:rsidRDefault="00E3750C" w:rsidP="00047864">
            <w:pPr>
              <w:spacing w:after="0" w:line="240" w:lineRule="auto"/>
              <w:jc w:val="right"/>
              <w:rPr>
                <w:rFonts w:ascii="Arial" w:eastAsia="Times New Roman" w:hAnsi="Arial" w:cs="Arial"/>
                <w:color w:val="000000"/>
                <w:sz w:val="18"/>
                <w:szCs w:val="18"/>
                <w:lang w:eastAsia="sl-SI"/>
              </w:rPr>
            </w:pPr>
            <w:r w:rsidRPr="0059004B">
              <w:rPr>
                <w:rFonts w:ascii="Arial" w:eastAsia="Times New Roman" w:hAnsi="Arial" w:cs="Arial"/>
                <w:color w:val="000000"/>
                <w:sz w:val="18"/>
                <w:szCs w:val="18"/>
                <w:lang w:eastAsia="sl-SI"/>
              </w:rPr>
              <w:t>34.634</w:t>
            </w:r>
          </w:p>
        </w:tc>
        <w:tc>
          <w:tcPr>
            <w:tcW w:w="1606" w:type="pct"/>
            <w:tcBorders>
              <w:top w:val="nil"/>
              <w:left w:val="nil"/>
              <w:bottom w:val="single" w:sz="4" w:space="0" w:color="auto"/>
              <w:right w:val="single" w:sz="4" w:space="0" w:color="auto"/>
            </w:tcBorders>
            <w:shd w:val="clear" w:color="auto" w:fill="auto"/>
            <w:vAlign w:val="center"/>
            <w:hideMark/>
          </w:tcPr>
          <w:p w14:paraId="226F9588" w14:textId="77777777" w:rsidR="00E3750C" w:rsidRPr="0059004B" w:rsidRDefault="00E3750C" w:rsidP="00047864">
            <w:pPr>
              <w:spacing w:after="0" w:line="240" w:lineRule="auto"/>
              <w:jc w:val="right"/>
              <w:rPr>
                <w:rFonts w:ascii="Arial" w:eastAsia="Times New Roman" w:hAnsi="Arial" w:cs="Arial"/>
                <w:color w:val="000000"/>
                <w:sz w:val="18"/>
                <w:szCs w:val="18"/>
                <w:lang w:eastAsia="sl-SI"/>
              </w:rPr>
            </w:pPr>
            <w:r w:rsidRPr="0059004B">
              <w:rPr>
                <w:rFonts w:ascii="Arial" w:eastAsia="Times New Roman" w:hAnsi="Arial" w:cs="Arial"/>
                <w:color w:val="000000"/>
                <w:sz w:val="18"/>
                <w:szCs w:val="18"/>
                <w:lang w:eastAsia="sl-SI"/>
              </w:rPr>
              <w:t>93.123.382</w:t>
            </w:r>
          </w:p>
        </w:tc>
      </w:tr>
      <w:tr w:rsidR="00E3750C" w:rsidRPr="0059004B" w14:paraId="65A2365D" w14:textId="77777777" w:rsidTr="00047864">
        <w:trPr>
          <w:trHeight w:val="252"/>
        </w:trPr>
        <w:tc>
          <w:tcPr>
            <w:tcW w:w="1161" w:type="pct"/>
            <w:vMerge/>
            <w:tcBorders>
              <w:top w:val="nil"/>
              <w:left w:val="single" w:sz="4" w:space="0" w:color="auto"/>
              <w:bottom w:val="single" w:sz="4" w:space="0" w:color="auto"/>
              <w:right w:val="single" w:sz="4" w:space="0" w:color="auto"/>
            </w:tcBorders>
            <w:vAlign w:val="center"/>
            <w:hideMark/>
          </w:tcPr>
          <w:p w14:paraId="790F1F7F" w14:textId="77777777" w:rsidR="00E3750C" w:rsidRPr="0059004B" w:rsidRDefault="00E3750C" w:rsidP="00047864">
            <w:pPr>
              <w:spacing w:after="0" w:line="240" w:lineRule="auto"/>
              <w:rPr>
                <w:rFonts w:ascii="Arial" w:eastAsia="Times New Roman" w:hAnsi="Arial" w:cs="Arial"/>
                <w:color w:val="000000"/>
                <w:sz w:val="18"/>
                <w:szCs w:val="18"/>
                <w:lang w:eastAsia="sl-SI"/>
              </w:rPr>
            </w:pPr>
          </w:p>
        </w:tc>
        <w:tc>
          <w:tcPr>
            <w:tcW w:w="858" w:type="pct"/>
            <w:tcBorders>
              <w:top w:val="nil"/>
              <w:left w:val="nil"/>
              <w:bottom w:val="single" w:sz="4" w:space="0" w:color="auto"/>
              <w:right w:val="single" w:sz="4" w:space="0" w:color="auto"/>
            </w:tcBorders>
            <w:shd w:val="clear" w:color="auto" w:fill="auto"/>
            <w:vAlign w:val="center"/>
            <w:hideMark/>
          </w:tcPr>
          <w:p w14:paraId="54384DA9" w14:textId="77777777" w:rsidR="00E3750C" w:rsidRPr="0059004B" w:rsidRDefault="00E3750C" w:rsidP="00047864">
            <w:pPr>
              <w:spacing w:after="0" w:line="240" w:lineRule="auto"/>
              <w:rPr>
                <w:rFonts w:ascii="Arial" w:eastAsia="Times New Roman" w:hAnsi="Arial" w:cs="Arial"/>
                <w:color w:val="000000"/>
                <w:sz w:val="18"/>
                <w:szCs w:val="18"/>
                <w:lang w:eastAsia="sl-SI"/>
              </w:rPr>
            </w:pPr>
            <w:r w:rsidRPr="0059004B">
              <w:rPr>
                <w:rFonts w:ascii="Arial" w:eastAsia="Times New Roman" w:hAnsi="Arial" w:cs="Arial"/>
                <w:color w:val="000000"/>
                <w:sz w:val="18"/>
                <w:szCs w:val="18"/>
                <w:lang w:eastAsia="sl-SI"/>
              </w:rPr>
              <w:t>Gradnje</w:t>
            </w:r>
          </w:p>
        </w:tc>
        <w:tc>
          <w:tcPr>
            <w:tcW w:w="1375" w:type="pct"/>
            <w:tcBorders>
              <w:top w:val="nil"/>
              <w:left w:val="nil"/>
              <w:bottom w:val="single" w:sz="4" w:space="0" w:color="auto"/>
              <w:right w:val="single" w:sz="4" w:space="0" w:color="auto"/>
            </w:tcBorders>
            <w:shd w:val="clear" w:color="auto" w:fill="auto"/>
            <w:vAlign w:val="center"/>
            <w:hideMark/>
          </w:tcPr>
          <w:p w14:paraId="0F08366C" w14:textId="77777777" w:rsidR="00E3750C" w:rsidRPr="0059004B" w:rsidRDefault="00E3750C" w:rsidP="00047864">
            <w:pPr>
              <w:spacing w:after="0" w:line="240" w:lineRule="auto"/>
              <w:jc w:val="right"/>
              <w:rPr>
                <w:rFonts w:ascii="Arial" w:eastAsia="Times New Roman" w:hAnsi="Arial" w:cs="Arial"/>
                <w:color w:val="000000"/>
                <w:sz w:val="18"/>
                <w:szCs w:val="18"/>
                <w:lang w:eastAsia="sl-SI"/>
              </w:rPr>
            </w:pPr>
            <w:r w:rsidRPr="0059004B">
              <w:rPr>
                <w:rFonts w:ascii="Arial" w:eastAsia="Times New Roman" w:hAnsi="Arial" w:cs="Arial"/>
                <w:color w:val="000000"/>
                <w:sz w:val="18"/>
                <w:szCs w:val="18"/>
                <w:lang w:eastAsia="sl-SI"/>
              </w:rPr>
              <w:t>2.908</w:t>
            </w:r>
          </w:p>
        </w:tc>
        <w:tc>
          <w:tcPr>
            <w:tcW w:w="1606" w:type="pct"/>
            <w:tcBorders>
              <w:top w:val="nil"/>
              <w:left w:val="nil"/>
              <w:bottom w:val="single" w:sz="4" w:space="0" w:color="auto"/>
              <w:right w:val="single" w:sz="4" w:space="0" w:color="auto"/>
            </w:tcBorders>
            <w:shd w:val="clear" w:color="auto" w:fill="auto"/>
            <w:vAlign w:val="center"/>
            <w:hideMark/>
          </w:tcPr>
          <w:p w14:paraId="491C8189" w14:textId="77777777" w:rsidR="00E3750C" w:rsidRPr="0059004B" w:rsidRDefault="00E3750C" w:rsidP="00047864">
            <w:pPr>
              <w:spacing w:after="0" w:line="240" w:lineRule="auto"/>
              <w:jc w:val="right"/>
              <w:rPr>
                <w:rFonts w:ascii="Arial" w:eastAsia="Times New Roman" w:hAnsi="Arial" w:cs="Arial"/>
                <w:color w:val="000000"/>
                <w:sz w:val="18"/>
                <w:szCs w:val="18"/>
                <w:lang w:eastAsia="sl-SI"/>
              </w:rPr>
            </w:pPr>
            <w:r w:rsidRPr="0059004B">
              <w:rPr>
                <w:rFonts w:ascii="Arial" w:eastAsia="Times New Roman" w:hAnsi="Arial" w:cs="Arial"/>
                <w:color w:val="000000"/>
                <w:sz w:val="18"/>
                <w:szCs w:val="18"/>
                <w:lang w:eastAsia="sl-SI"/>
              </w:rPr>
              <w:t>33.919.535</w:t>
            </w:r>
          </w:p>
        </w:tc>
      </w:tr>
      <w:tr w:rsidR="00E3750C" w:rsidRPr="0059004B" w14:paraId="28A1BBB8" w14:textId="77777777" w:rsidTr="00047864">
        <w:trPr>
          <w:trHeight w:val="252"/>
        </w:trPr>
        <w:tc>
          <w:tcPr>
            <w:tcW w:w="1161" w:type="pct"/>
            <w:vMerge/>
            <w:tcBorders>
              <w:top w:val="nil"/>
              <w:left w:val="single" w:sz="4" w:space="0" w:color="auto"/>
              <w:bottom w:val="single" w:sz="4" w:space="0" w:color="auto"/>
              <w:right w:val="single" w:sz="4" w:space="0" w:color="auto"/>
            </w:tcBorders>
            <w:vAlign w:val="center"/>
            <w:hideMark/>
          </w:tcPr>
          <w:p w14:paraId="1B0C8692" w14:textId="77777777" w:rsidR="00E3750C" w:rsidRPr="0059004B" w:rsidRDefault="00E3750C" w:rsidP="00047864">
            <w:pPr>
              <w:spacing w:after="0" w:line="240" w:lineRule="auto"/>
              <w:rPr>
                <w:rFonts w:ascii="Arial" w:eastAsia="Times New Roman" w:hAnsi="Arial" w:cs="Arial"/>
                <w:color w:val="000000"/>
                <w:sz w:val="18"/>
                <w:szCs w:val="18"/>
                <w:lang w:eastAsia="sl-SI"/>
              </w:rPr>
            </w:pPr>
          </w:p>
        </w:tc>
        <w:tc>
          <w:tcPr>
            <w:tcW w:w="858" w:type="pct"/>
            <w:tcBorders>
              <w:top w:val="nil"/>
              <w:left w:val="nil"/>
              <w:bottom w:val="single" w:sz="4" w:space="0" w:color="auto"/>
              <w:right w:val="single" w:sz="4" w:space="0" w:color="auto"/>
            </w:tcBorders>
            <w:shd w:val="clear" w:color="auto" w:fill="auto"/>
            <w:vAlign w:val="center"/>
            <w:hideMark/>
          </w:tcPr>
          <w:p w14:paraId="4A936163" w14:textId="77777777" w:rsidR="00E3750C" w:rsidRPr="0059004B" w:rsidRDefault="00E3750C" w:rsidP="00047864">
            <w:pPr>
              <w:spacing w:after="0" w:line="240" w:lineRule="auto"/>
              <w:rPr>
                <w:rFonts w:ascii="Arial" w:eastAsia="Times New Roman" w:hAnsi="Arial" w:cs="Arial"/>
                <w:b/>
                <w:bCs/>
                <w:color w:val="000000"/>
                <w:sz w:val="18"/>
                <w:szCs w:val="18"/>
                <w:lang w:eastAsia="sl-SI"/>
              </w:rPr>
            </w:pPr>
            <w:r w:rsidRPr="0059004B">
              <w:rPr>
                <w:rFonts w:ascii="Arial" w:eastAsia="Times New Roman" w:hAnsi="Arial" w:cs="Arial"/>
                <w:b/>
                <w:bCs/>
                <w:color w:val="000000"/>
                <w:sz w:val="18"/>
                <w:szCs w:val="18"/>
                <w:lang w:eastAsia="sl-SI"/>
              </w:rPr>
              <w:t>Skupaj</w:t>
            </w:r>
          </w:p>
        </w:tc>
        <w:tc>
          <w:tcPr>
            <w:tcW w:w="1375" w:type="pct"/>
            <w:tcBorders>
              <w:top w:val="nil"/>
              <w:left w:val="nil"/>
              <w:bottom w:val="single" w:sz="4" w:space="0" w:color="auto"/>
              <w:right w:val="single" w:sz="4" w:space="0" w:color="auto"/>
            </w:tcBorders>
            <w:shd w:val="clear" w:color="auto" w:fill="auto"/>
            <w:vAlign w:val="center"/>
            <w:hideMark/>
          </w:tcPr>
          <w:p w14:paraId="130BDE59" w14:textId="77777777" w:rsidR="00E3750C" w:rsidRPr="0059004B" w:rsidRDefault="00E3750C" w:rsidP="00047864">
            <w:pPr>
              <w:spacing w:after="0" w:line="240" w:lineRule="auto"/>
              <w:jc w:val="right"/>
              <w:rPr>
                <w:rFonts w:ascii="Arial" w:eastAsia="Times New Roman" w:hAnsi="Arial" w:cs="Arial"/>
                <w:b/>
                <w:bCs/>
                <w:color w:val="000000"/>
                <w:sz w:val="18"/>
                <w:szCs w:val="18"/>
                <w:lang w:eastAsia="sl-SI"/>
              </w:rPr>
            </w:pPr>
            <w:r w:rsidRPr="0059004B">
              <w:rPr>
                <w:rFonts w:ascii="Arial" w:eastAsia="Times New Roman" w:hAnsi="Arial" w:cs="Arial"/>
                <w:b/>
                <w:bCs/>
                <w:color w:val="000000"/>
                <w:sz w:val="18"/>
                <w:szCs w:val="18"/>
                <w:lang w:eastAsia="sl-SI"/>
              </w:rPr>
              <w:t>84.152</w:t>
            </w:r>
          </w:p>
        </w:tc>
        <w:tc>
          <w:tcPr>
            <w:tcW w:w="1606" w:type="pct"/>
            <w:tcBorders>
              <w:top w:val="nil"/>
              <w:left w:val="nil"/>
              <w:bottom w:val="single" w:sz="4" w:space="0" w:color="auto"/>
              <w:right w:val="single" w:sz="4" w:space="0" w:color="auto"/>
            </w:tcBorders>
            <w:shd w:val="clear" w:color="auto" w:fill="auto"/>
            <w:vAlign w:val="center"/>
            <w:hideMark/>
          </w:tcPr>
          <w:p w14:paraId="495DA578" w14:textId="77777777" w:rsidR="00E3750C" w:rsidRPr="0059004B" w:rsidRDefault="00E3750C" w:rsidP="00047864">
            <w:pPr>
              <w:spacing w:after="0" w:line="240" w:lineRule="auto"/>
              <w:jc w:val="right"/>
              <w:rPr>
                <w:rFonts w:ascii="Arial" w:eastAsia="Times New Roman" w:hAnsi="Arial" w:cs="Arial"/>
                <w:b/>
                <w:bCs/>
                <w:color w:val="000000"/>
                <w:sz w:val="18"/>
                <w:szCs w:val="18"/>
                <w:lang w:eastAsia="sl-SI"/>
              </w:rPr>
            </w:pPr>
            <w:r w:rsidRPr="0059004B">
              <w:rPr>
                <w:rFonts w:ascii="Arial" w:eastAsia="Times New Roman" w:hAnsi="Arial" w:cs="Arial"/>
                <w:b/>
                <w:bCs/>
                <w:color w:val="000000"/>
                <w:sz w:val="18"/>
                <w:szCs w:val="18"/>
                <w:lang w:eastAsia="sl-SI"/>
              </w:rPr>
              <w:t>233.615.391</w:t>
            </w:r>
          </w:p>
        </w:tc>
      </w:tr>
      <w:tr w:rsidR="00E3750C" w:rsidRPr="0059004B" w14:paraId="662CCE25" w14:textId="77777777" w:rsidTr="00047864">
        <w:trPr>
          <w:trHeight w:val="252"/>
        </w:trPr>
        <w:tc>
          <w:tcPr>
            <w:tcW w:w="1161" w:type="pct"/>
            <w:vMerge w:val="restart"/>
            <w:tcBorders>
              <w:top w:val="nil"/>
              <w:left w:val="single" w:sz="4" w:space="0" w:color="auto"/>
              <w:bottom w:val="single" w:sz="4" w:space="0" w:color="auto"/>
              <w:right w:val="single" w:sz="4" w:space="0" w:color="auto"/>
            </w:tcBorders>
            <w:shd w:val="clear" w:color="auto" w:fill="auto"/>
            <w:vAlign w:val="center"/>
            <w:hideMark/>
          </w:tcPr>
          <w:p w14:paraId="5FAB547D" w14:textId="77777777" w:rsidR="00E3750C" w:rsidRPr="0059004B" w:rsidRDefault="00E3750C" w:rsidP="00047864">
            <w:pPr>
              <w:spacing w:after="0" w:line="240" w:lineRule="auto"/>
              <w:rPr>
                <w:rFonts w:ascii="Arial" w:eastAsia="Times New Roman" w:hAnsi="Arial" w:cs="Arial"/>
                <w:color w:val="000000"/>
                <w:sz w:val="18"/>
                <w:szCs w:val="18"/>
                <w:lang w:eastAsia="sl-SI"/>
              </w:rPr>
            </w:pPr>
            <w:r w:rsidRPr="0059004B">
              <w:rPr>
                <w:rFonts w:ascii="Arial" w:eastAsia="Times New Roman" w:hAnsi="Arial" w:cs="Arial"/>
                <w:color w:val="000000"/>
                <w:sz w:val="18"/>
                <w:szCs w:val="18"/>
                <w:lang w:eastAsia="sl-SI"/>
              </w:rPr>
              <w:t>Obrambno</w:t>
            </w:r>
          </w:p>
        </w:tc>
        <w:tc>
          <w:tcPr>
            <w:tcW w:w="858" w:type="pct"/>
            <w:tcBorders>
              <w:top w:val="nil"/>
              <w:left w:val="nil"/>
              <w:bottom w:val="single" w:sz="4" w:space="0" w:color="auto"/>
              <w:right w:val="single" w:sz="4" w:space="0" w:color="auto"/>
            </w:tcBorders>
            <w:shd w:val="clear" w:color="auto" w:fill="auto"/>
            <w:vAlign w:val="center"/>
            <w:hideMark/>
          </w:tcPr>
          <w:p w14:paraId="4AD526A9" w14:textId="77777777" w:rsidR="00E3750C" w:rsidRPr="0059004B" w:rsidRDefault="00E3750C" w:rsidP="00047864">
            <w:pPr>
              <w:spacing w:after="0" w:line="240" w:lineRule="auto"/>
              <w:rPr>
                <w:rFonts w:ascii="Arial" w:eastAsia="Times New Roman" w:hAnsi="Arial" w:cs="Arial"/>
                <w:color w:val="000000"/>
                <w:sz w:val="18"/>
                <w:szCs w:val="18"/>
                <w:lang w:eastAsia="sl-SI"/>
              </w:rPr>
            </w:pPr>
            <w:r w:rsidRPr="0059004B">
              <w:rPr>
                <w:rFonts w:ascii="Arial" w:eastAsia="Times New Roman" w:hAnsi="Arial" w:cs="Arial"/>
                <w:color w:val="000000"/>
                <w:sz w:val="18"/>
                <w:szCs w:val="18"/>
                <w:lang w:eastAsia="sl-SI"/>
              </w:rPr>
              <w:t>Blago</w:t>
            </w:r>
          </w:p>
        </w:tc>
        <w:tc>
          <w:tcPr>
            <w:tcW w:w="1375" w:type="pct"/>
            <w:tcBorders>
              <w:top w:val="nil"/>
              <w:left w:val="nil"/>
              <w:bottom w:val="single" w:sz="4" w:space="0" w:color="auto"/>
              <w:right w:val="single" w:sz="4" w:space="0" w:color="auto"/>
            </w:tcBorders>
            <w:shd w:val="clear" w:color="auto" w:fill="auto"/>
            <w:vAlign w:val="center"/>
            <w:hideMark/>
          </w:tcPr>
          <w:p w14:paraId="6E3906C5" w14:textId="77777777" w:rsidR="00E3750C" w:rsidRPr="0059004B" w:rsidRDefault="00E3750C" w:rsidP="00047864">
            <w:pPr>
              <w:spacing w:after="0" w:line="240" w:lineRule="auto"/>
              <w:jc w:val="right"/>
              <w:rPr>
                <w:rFonts w:ascii="Arial" w:eastAsia="Times New Roman" w:hAnsi="Arial" w:cs="Arial"/>
                <w:color w:val="000000"/>
                <w:sz w:val="18"/>
                <w:szCs w:val="18"/>
                <w:lang w:eastAsia="sl-SI"/>
              </w:rPr>
            </w:pPr>
            <w:r w:rsidRPr="0059004B">
              <w:rPr>
                <w:rFonts w:ascii="Arial" w:eastAsia="Times New Roman" w:hAnsi="Arial" w:cs="Arial"/>
                <w:color w:val="000000"/>
                <w:sz w:val="18"/>
                <w:szCs w:val="18"/>
                <w:lang w:eastAsia="sl-SI"/>
              </w:rPr>
              <w:t>10</w:t>
            </w:r>
          </w:p>
        </w:tc>
        <w:tc>
          <w:tcPr>
            <w:tcW w:w="1606" w:type="pct"/>
            <w:tcBorders>
              <w:top w:val="nil"/>
              <w:left w:val="nil"/>
              <w:bottom w:val="single" w:sz="4" w:space="0" w:color="auto"/>
              <w:right w:val="single" w:sz="4" w:space="0" w:color="auto"/>
            </w:tcBorders>
            <w:shd w:val="clear" w:color="auto" w:fill="auto"/>
            <w:vAlign w:val="center"/>
            <w:hideMark/>
          </w:tcPr>
          <w:p w14:paraId="1CC5AA8E" w14:textId="77777777" w:rsidR="00E3750C" w:rsidRPr="0059004B" w:rsidRDefault="00E3750C" w:rsidP="00047864">
            <w:pPr>
              <w:spacing w:after="0" w:line="240" w:lineRule="auto"/>
              <w:jc w:val="right"/>
              <w:rPr>
                <w:rFonts w:ascii="Arial" w:eastAsia="Times New Roman" w:hAnsi="Arial" w:cs="Arial"/>
                <w:color w:val="000000"/>
                <w:sz w:val="18"/>
                <w:szCs w:val="18"/>
                <w:lang w:eastAsia="sl-SI"/>
              </w:rPr>
            </w:pPr>
            <w:r w:rsidRPr="0059004B">
              <w:rPr>
                <w:rFonts w:ascii="Arial" w:eastAsia="Times New Roman" w:hAnsi="Arial" w:cs="Arial"/>
                <w:color w:val="000000"/>
                <w:sz w:val="18"/>
                <w:szCs w:val="18"/>
                <w:lang w:eastAsia="sl-SI"/>
              </w:rPr>
              <w:t>250.939</w:t>
            </w:r>
          </w:p>
        </w:tc>
      </w:tr>
      <w:tr w:rsidR="00E3750C" w:rsidRPr="0059004B" w14:paraId="5B92537C" w14:textId="77777777" w:rsidTr="00047864">
        <w:trPr>
          <w:trHeight w:val="252"/>
        </w:trPr>
        <w:tc>
          <w:tcPr>
            <w:tcW w:w="1161" w:type="pct"/>
            <w:vMerge/>
            <w:tcBorders>
              <w:top w:val="nil"/>
              <w:left w:val="single" w:sz="4" w:space="0" w:color="auto"/>
              <w:bottom w:val="single" w:sz="4" w:space="0" w:color="auto"/>
              <w:right w:val="single" w:sz="4" w:space="0" w:color="auto"/>
            </w:tcBorders>
            <w:vAlign w:val="center"/>
            <w:hideMark/>
          </w:tcPr>
          <w:p w14:paraId="5FED42FF" w14:textId="77777777" w:rsidR="00E3750C" w:rsidRPr="0059004B" w:rsidRDefault="00E3750C" w:rsidP="00047864">
            <w:pPr>
              <w:spacing w:after="0" w:line="240" w:lineRule="auto"/>
              <w:rPr>
                <w:rFonts w:ascii="Arial" w:eastAsia="Times New Roman" w:hAnsi="Arial" w:cs="Arial"/>
                <w:color w:val="000000"/>
                <w:sz w:val="18"/>
                <w:szCs w:val="18"/>
                <w:lang w:eastAsia="sl-SI"/>
              </w:rPr>
            </w:pPr>
          </w:p>
        </w:tc>
        <w:tc>
          <w:tcPr>
            <w:tcW w:w="858" w:type="pct"/>
            <w:tcBorders>
              <w:top w:val="nil"/>
              <w:left w:val="nil"/>
              <w:bottom w:val="single" w:sz="4" w:space="0" w:color="auto"/>
              <w:right w:val="single" w:sz="4" w:space="0" w:color="auto"/>
            </w:tcBorders>
            <w:shd w:val="clear" w:color="auto" w:fill="auto"/>
            <w:vAlign w:val="center"/>
            <w:hideMark/>
          </w:tcPr>
          <w:p w14:paraId="2C301D82" w14:textId="77777777" w:rsidR="00E3750C" w:rsidRPr="0059004B" w:rsidRDefault="00E3750C" w:rsidP="00047864">
            <w:pPr>
              <w:spacing w:after="0" w:line="240" w:lineRule="auto"/>
              <w:rPr>
                <w:rFonts w:ascii="Arial" w:eastAsia="Times New Roman" w:hAnsi="Arial" w:cs="Arial"/>
                <w:color w:val="000000"/>
                <w:sz w:val="18"/>
                <w:szCs w:val="18"/>
                <w:lang w:eastAsia="sl-SI"/>
              </w:rPr>
            </w:pPr>
            <w:r w:rsidRPr="0059004B">
              <w:rPr>
                <w:rFonts w:ascii="Arial" w:eastAsia="Times New Roman" w:hAnsi="Arial" w:cs="Arial"/>
                <w:color w:val="000000"/>
                <w:sz w:val="18"/>
                <w:szCs w:val="18"/>
                <w:lang w:eastAsia="sl-SI"/>
              </w:rPr>
              <w:t>Storitve</w:t>
            </w:r>
          </w:p>
        </w:tc>
        <w:tc>
          <w:tcPr>
            <w:tcW w:w="1375" w:type="pct"/>
            <w:tcBorders>
              <w:top w:val="nil"/>
              <w:left w:val="nil"/>
              <w:bottom w:val="single" w:sz="4" w:space="0" w:color="auto"/>
              <w:right w:val="single" w:sz="4" w:space="0" w:color="auto"/>
            </w:tcBorders>
            <w:shd w:val="clear" w:color="auto" w:fill="auto"/>
            <w:vAlign w:val="center"/>
            <w:hideMark/>
          </w:tcPr>
          <w:p w14:paraId="4CE8DB25" w14:textId="77777777" w:rsidR="00E3750C" w:rsidRPr="0059004B" w:rsidRDefault="00E3750C" w:rsidP="00047864">
            <w:pPr>
              <w:spacing w:after="0" w:line="240" w:lineRule="auto"/>
              <w:jc w:val="right"/>
              <w:rPr>
                <w:rFonts w:ascii="Arial" w:eastAsia="Times New Roman" w:hAnsi="Arial" w:cs="Arial"/>
                <w:color w:val="000000"/>
                <w:sz w:val="18"/>
                <w:szCs w:val="18"/>
                <w:lang w:eastAsia="sl-SI"/>
              </w:rPr>
            </w:pPr>
            <w:r w:rsidRPr="0059004B">
              <w:rPr>
                <w:rFonts w:ascii="Arial" w:eastAsia="Times New Roman" w:hAnsi="Arial" w:cs="Arial"/>
                <w:color w:val="000000"/>
                <w:sz w:val="18"/>
                <w:szCs w:val="18"/>
                <w:lang w:eastAsia="sl-SI"/>
              </w:rPr>
              <w:t>4</w:t>
            </w:r>
          </w:p>
        </w:tc>
        <w:tc>
          <w:tcPr>
            <w:tcW w:w="1606" w:type="pct"/>
            <w:tcBorders>
              <w:top w:val="nil"/>
              <w:left w:val="nil"/>
              <w:bottom w:val="single" w:sz="4" w:space="0" w:color="auto"/>
              <w:right w:val="single" w:sz="4" w:space="0" w:color="auto"/>
            </w:tcBorders>
            <w:shd w:val="clear" w:color="auto" w:fill="auto"/>
            <w:vAlign w:val="center"/>
            <w:hideMark/>
          </w:tcPr>
          <w:p w14:paraId="1C2BE8E5" w14:textId="77777777" w:rsidR="00E3750C" w:rsidRPr="0059004B" w:rsidRDefault="00E3750C" w:rsidP="00047864">
            <w:pPr>
              <w:spacing w:after="0" w:line="240" w:lineRule="auto"/>
              <w:jc w:val="right"/>
              <w:rPr>
                <w:rFonts w:ascii="Arial" w:eastAsia="Times New Roman" w:hAnsi="Arial" w:cs="Arial"/>
                <w:color w:val="000000"/>
                <w:sz w:val="18"/>
                <w:szCs w:val="18"/>
                <w:lang w:eastAsia="sl-SI"/>
              </w:rPr>
            </w:pPr>
            <w:r w:rsidRPr="0059004B">
              <w:rPr>
                <w:rFonts w:ascii="Arial" w:eastAsia="Times New Roman" w:hAnsi="Arial" w:cs="Arial"/>
                <w:color w:val="000000"/>
                <w:sz w:val="18"/>
                <w:szCs w:val="18"/>
                <w:lang w:eastAsia="sl-SI"/>
              </w:rPr>
              <w:t>95.132</w:t>
            </w:r>
          </w:p>
        </w:tc>
      </w:tr>
      <w:tr w:rsidR="00E3750C" w:rsidRPr="0059004B" w14:paraId="57B12BAB" w14:textId="77777777" w:rsidTr="00047864">
        <w:trPr>
          <w:trHeight w:val="252"/>
        </w:trPr>
        <w:tc>
          <w:tcPr>
            <w:tcW w:w="1161" w:type="pct"/>
            <w:vMerge/>
            <w:tcBorders>
              <w:top w:val="nil"/>
              <w:left w:val="single" w:sz="4" w:space="0" w:color="auto"/>
              <w:bottom w:val="single" w:sz="4" w:space="0" w:color="auto"/>
              <w:right w:val="single" w:sz="4" w:space="0" w:color="auto"/>
            </w:tcBorders>
            <w:vAlign w:val="center"/>
            <w:hideMark/>
          </w:tcPr>
          <w:p w14:paraId="1799A207" w14:textId="77777777" w:rsidR="00E3750C" w:rsidRPr="0059004B" w:rsidRDefault="00E3750C" w:rsidP="00047864">
            <w:pPr>
              <w:spacing w:after="0" w:line="240" w:lineRule="auto"/>
              <w:rPr>
                <w:rFonts w:ascii="Arial" w:eastAsia="Times New Roman" w:hAnsi="Arial" w:cs="Arial"/>
                <w:color w:val="000000"/>
                <w:sz w:val="18"/>
                <w:szCs w:val="18"/>
                <w:lang w:eastAsia="sl-SI"/>
              </w:rPr>
            </w:pPr>
          </w:p>
        </w:tc>
        <w:tc>
          <w:tcPr>
            <w:tcW w:w="858" w:type="pct"/>
            <w:tcBorders>
              <w:top w:val="nil"/>
              <w:left w:val="nil"/>
              <w:bottom w:val="single" w:sz="4" w:space="0" w:color="auto"/>
              <w:right w:val="single" w:sz="4" w:space="0" w:color="auto"/>
            </w:tcBorders>
            <w:shd w:val="clear" w:color="auto" w:fill="auto"/>
            <w:vAlign w:val="center"/>
            <w:hideMark/>
          </w:tcPr>
          <w:p w14:paraId="7BE9A22F" w14:textId="77777777" w:rsidR="00E3750C" w:rsidRPr="0059004B" w:rsidRDefault="00E3750C" w:rsidP="00047864">
            <w:pPr>
              <w:spacing w:after="0" w:line="240" w:lineRule="auto"/>
              <w:rPr>
                <w:rFonts w:ascii="Arial" w:eastAsia="Times New Roman" w:hAnsi="Arial" w:cs="Arial"/>
                <w:color w:val="000000"/>
                <w:sz w:val="18"/>
                <w:szCs w:val="18"/>
                <w:lang w:eastAsia="sl-SI"/>
              </w:rPr>
            </w:pPr>
            <w:r w:rsidRPr="0059004B">
              <w:rPr>
                <w:rFonts w:ascii="Arial" w:eastAsia="Times New Roman" w:hAnsi="Arial" w:cs="Arial"/>
                <w:color w:val="000000"/>
                <w:sz w:val="18"/>
                <w:szCs w:val="18"/>
                <w:lang w:eastAsia="sl-SI"/>
              </w:rPr>
              <w:t>Gradnje</w:t>
            </w:r>
          </w:p>
        </w:tc>
        <w:tc>
          <w:tcPr>
            <w:tcW w:w="1375" w:type="pct"/>
            <w:tcBorders>
              <w:top w:val="nil"/>
              <w:left w:val="nil"/>
              <w:bottom w:val="single" w:sz="4" w:space="0" w:color="auto"/>
              <w:right w:val="single" w:sz="4" w:space="0" w:color="auto"/>
            </w:tcBorders>
            <w:shd w:val="clear" w:color="auto" w:fill="auto"/>
            <w:vAlign w:val="center"/>
            <w:hideMark/>
          </w:tcPr>
          <w:p w14:paraId="4CFFD564" w14:textId="77777777" w:rsidR="00E3750C" w:rsidRPr="0059004B" w:rsidRDefault="00E3750C" w:rsidP="00047864">
            <w:pPr>
              <w:spacing w:after="0" w:line="240" w:lineRule="auto"/>
              <w:jc w:val="right"/>
              <w:rPr>
                <w:rFonts w:ascii="Arial" w:eastAsia="Times New Roman" w:hAnsi="Arial" w:cs="Arial"/>
                <w:color w:val="000000"/>
                <w:sz w:val="18"/>
                <w:szCs w:val="18"/>
                <w:lang w:eastAsia="sl-SI"/>
              </w:rPr>
            </w:pPr>
            <w:r w:rsidRPr="0059004B">
              <w:rPr>
                <w:rFonts w:ascii="Arial" w:eastAsia="Times New Roman" w:hAnsi="Arial" w:cs="Arial"/>
                <w:color w:val="000000"/>
                <w:sz w:val="18"/>
                <w:szCs w:val="18"/>
                <w:lang w:eastAsia="sl-SI"/>
              </w:rPr>
              <w:t>0</w:t>
            </w:r>
          </w:p>
        </w:tc>
        <w:tc>
          <w:tcPr>
            <w:tcW w:w="1606" w:type="pct"/>
            <w:tcBorders>
              <w:top w:val="nil"/>
              <w:left w:val="nil"/>
              <w:bottom w:val="single" w:sz="4" w:space="0" w:color="auto"/>
              <w:right w:val="single" w:sz="4" w:space="0" w:color="auto"/>
            </w:tcBorders>
            <w:shd w:val="clear" w:color="auto" w:fill="auto"/>
            <w:vAlign w:val="center"/>
            <w:hideMark/>
          </w:tcPr>
          <w:p w14:paraId="0DAA41F6" w14:textId="77777777" w:rsidR="00E3750C" w:rsidRPr="0059004B" w:rsidRDefault="00E3750C" w:rsidP="00047864">
            <w:pPr>
              <w:spacing w:after="0" w:line="240" w:lineRule="auto"/>
              <w:jc w:val="right"/>
              <w:rPr>
                <w:rFonts w:ascii="Arial" w:eastAsia="Times New Roman" w:hAnsi="Arial" w:cs="Arial"/>
                <w:color w:val="000000"/>
                <w:sz w:val="18"/>
                <w:szCs w:val="18"/>
                <w:lang w:eastAsia="sl-SI"/>
              </w:rPr>
            </w:pPr>
            <w:r w:rsidRPr="0059004B">
              <w:rPr>
                <w:rFonts w:ascii="Arial" w:eastAsia="Times New Roman" w:hAnsi="Arial" w:cs="Arial"/>
                <w:color w:val="000000"/>
                <w:sz w:val="18"/>
                <w:szCs w:val="18"/>
                <w:lang w:eastAsia="sl-SI"/>
              </w:rPr>
              <w:t>0</w:t>
            </w:r>
          </w:p>
        </w:tc>
      </w:tr>
      <w:tr w:rsidR="00E3750C" w:rsidRPr="0059004B" w14:paraId="774B518E" w14:textId="77777777" w:rsidTr="00047864">
        <w:trPr>
          <w:trHeight w:val="252"/>
        </w:trPr>
        <w:tc>
          <w:tcPr>
            <w:tcW w:w="1161" w:type="pct"/>
            <w:vMerge/>
            <w:tcBorders>
              <w:top w:val="nil"/>
              <w:left w:val="single" w:sz="4" w:space="0" w:color="auto"/>
              <w:bottom w:val="single" w:sz="4" w:space="0" w:color="auto"/>
              <w:right w:val="single" w:sz="4" w:space="0" w:color="auto"/>
            </w:tcBorders>
            <w:vAlign w:val="center"/>
            <w:hideMark/>
          </w:tcPr>
          <w:p w14:paraId="42E52CE4" w14:textId="77777777" w:rsidR="00E3750C" w:rsidRPr="0059004B" w:rsidRDefault="00E3750C" w:rsidP="00047864">
            <w:pPr>
              <w:spacing w:after="0" w:line="240" w:lineRule="auto"/>
              <w:rPr>
                <w:rFonts w:ascii="Arial" w:eastAsia="Times New Roman" w:hAnsi="Arial" w:cs="Arial"/>
                <w:color w:val="000000"/>
                <w:sz w:val="18"/>
                <w:szCs w:val="18"/>
                <w:lang w:eastAsia="sl-SI"/>
              </w:rPr>
            </w:pPr>
          </w:p>
        </w:tc>
        <w:tc>
          <w:tcPr>
            <w:tcW w:w="858" w:type="pct"/>
            <w:tcBorders>
              <w:top w:val="nil"/>
              <w:left w:val="nil"/>
              <w:bottom w:val="single" w:sz="4" w:space="0" w:color="auto"/>
              <w:right w:val="single" w:sz="4" w:space="0" w:color="auto"/>
            </w:tcBorders>
            <w:shd w:val="clear" w:color="auto" w:fill="auto"/>
            <w:vAlign w:val="center"/>
            <w:hideMark/>
          </w:tcPr>
          <w:p w14:paraId="6CF804A3" w14:textId="77777777" w:rsidR="00E3750C" w:rsidRPr="0059004B" w:rsidRDefault="00E3750C" w:rsidP="00047864">
            <w:pPr>
              <w:spacing w:after="0" w:line="240" w:lineRule="auto"/>
              <w:rPr>
                <w:rFonts w:ascii="Arial" w:eastAsia="Times New Roman" w:hAnsi="Arial" w:cs="Arial"/>
                <w:b/>
                <w:bCs/>
                <w:color w:val="000000"/>
                <w:sz w:val="18"/>
                <w:szCs w:val="18"/>
                <w:lang w:eastAsia="sl-SI"/>
              </w:rPr>
            </w:pPr>
            <w:r w:rsidRPr="0059004B">
              <w:rPr>
                <w:rFonts w:ascii="Arial" w:eastAsia="Times New Roman" w:hAnsi="Arial" w:cs="Arial"/>
                <w:b/>
                <w:bCs/>
                <w:color w:val="000000"/>
                <w:sz w:val="18"/>
                <w:szCs w:val="18"/>
                <w:lang w:eastAsia="sl-SI"/>
              </w:rPr>
              <w:t>Skupaj</w:t>
            </w:r>
          </w:p>
        </w:tc>
        <w:tc>
          <w:tcPr>
            <w:tcW w:w="1375" w:type="pct"/>
            <w:tcBorders>
              <w:top w:val="nil"/>
              <w:left w:val="nil"/>
              <w:bottom w:val="single" w:sz="4" w:space="0" w:color="auto"/>
              <w:right w:val="single" w:sz="4" w:space="0" w:color="auto"/>
            </w:tcBorders>
            <w:shd w:val="clear" w:color="auto" w:fill="auto"/>
            <w:noWrap/>
            <w:vAlign w:val="center"/>
            <w:hideMark/>
          </w:tcPr>
          <w:p w14:paraId="01D6CAF1" w14:textId="77777777" w:rsidR="00E3750C" w:rsidRPr="0059004B" w:rsidRDefault="00E3750C" w:rsidP="00047864">
            <w:pPr>
              <w:spacing w:after="0" w:line="240" w:lineRule="auto"/>
              <w:jc w:val="right"/>
              <w:rPr>
                <w:rFonts w:ascii="Arial" w:eastAsia="Times New Roman" w:hAnsi="Arial" w:cs="Arial"/>
                <w:b/>
                <w:bCs/>
                <w:color w:val="000000"/>
                <w:sz w:val="18"/>
                <w:szCs w:val="18"/>
                <w:lang w:eastAsia="sl-SI"/>
              </w:rPr>
            </w:pPr>
            <w:r w:rsidRPr="0059004B">
              <w:rPr>
                <w:rFonts w:ascii="Arial" w:eastAsia="Times New Roman" w:hAnsi="Arial" w:cs="Arial"/>
                <w:b/>
                <w:bCs/>
                <w:color w:val="000000"/>
                <w:sz w:val="18"/>
                <w:szCs w:val="18"/>
                <w:lang w:eastAsia="sl-SI"/>
              </w:rPr>
              <w:t>14</w:t>
            </w:r>
          </w:p>
        </w:tc>
        <w:tc>
          <w:tcPr>
            <w:tcW w:w="1606" w:type="pct"/>
            <w:tcBorders>
              <w:top w:val="nil"/>
              <w:left w:val="nil"/>
              <w:bottom w:val="single" w:sz="4" w:space="0" w:color="auto"/>
              <w:right w:val="single" w:sz="4" w:space="0" w:color="auto"/>
            </w:tcBorders>
            <w:shd w:val="clear" w:color="auto" w:fill="auto"/>
            <w:noWrap/>
            <w:vAlign w:val="center"/>
            <w:hideMark/>
          </w:tcPr>
          <w:p w14:paraId="28343E6B" w14:textId="77777777" w:rsidR="00E3750C" w:rsidRPr="0059004B" w:rsidRDefault="00E3750C" w:rsidP="00047864">
            <w:pPr>
              <w:spacing w:after="0" w:line="240" w:lineRule="auto"/>
              <w:jc w:val="right"/>
              <w:rPr>
                <w:rFonts w:ascii="Arial" w:eastAsia="Times New Roman" w:hAnsi="Arial" w:cs="Arial"/>
                <w:b/>
                <w:bCs/>
                <w:color w:val="000000"/>
                <w:sz w:val="18"/>
                <w:szCs w:val="18"/>
                <w:lang w:eastAsia="sl-SI"/>
              </w:rPr>
            </w:pPr>
            <w:r w:rsidRPr="0059004B">
              <w:rPr>
                <w:rFonts w:ascii="Arial" w:eastAsia="Times New Roman" w:hAnsi="Arial" w:cs="Arial"/>
                <w:b/>
                <w:bCs/>
                <w:color w:val="000000"/>
                <w:sz w:val="18"/>
                <w:szCs w:val="18"/>
                <w:lang w:eastAsia="sl-SI"/>
              </w:rPr>
              <w:t>346.071</w:t>
            </w:r>
          </w:p>
        </w:tc>
      </w:tr>
      <w:tr w:rsidR="00E3750C" w:rsidRPr="00BF7302" w14:paraId="52263E83" w14:textId="77777777" w:rsidTr="00047864">
        <w:trPr>
          <w:trHeight w:val="252"/>
        </w:trPr>
        <w:tc>
          <w:tcPr>
            <w:tcW w:w="201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84BEC2" w14:textId="77777777" w:rsidR="00E3750C" w:rsidRPr="0059004B" w:rsidRDefault="00E3750C" w:rsidP="00047864">
            <w:pPr>
              <w:spacing w:after="0" w:line="240" w:lineRule="auto"/>
              <w:rPr>
                <w:rFonts w:ascii="Arial" w:eastAsia="Times New Roman" w:hAnsi="Arial" w:cs="Arial"/>
                <w:b/>
                <w:bCs/>
                <w:color w:val="000000"/>
                <w:sz w:val="18"/>
                <w:szCs w:val="18"/>
                <w:lang w:eastAsia="sl-SI"/>
              </w:rPr>
            </w:pPr>
            <w:r w:rsidRPr="0059004B">
              <w:rPr>
                <w:rFonts w:ascii="Arial" w:eastAsia="Times New Roman" w:hAnsi="Arial" w:cs="Arial"/>
                <w:b/>
                <w:bCs/>
                <w:color w:val="000000"/>
                <w:sz w:val="18"/>
                <w:szCs w:val="18"/>
                <w:lang w:eastAsia="sl-SI"/>
              </w:rPr>
              <w:t>Skupaj</w:t>
            </w:r>
          </w:p>
        </w:tc>
        <w:tc>
          <w:tcPr>
            <w:tcW w:w="1375" w:type="pct"/>
            <w:tcBorders>
              <w:top w:val="nil"/>
              <w:left w:val="nil"/>
              <w:bottom w:val="single" w:sz="4" w:space="0" w:color="auto"/>
              <w:right w:val="single" w:sz="4" w:space="0" w:color="auto"/>
            </w:tcBorders>
            <w:shd w:val="clear" w:color="auto" w:fill="F2F2F2" w:themeFill="background1" w:themeFillShade="F2"/>
            <w:noWrap/>
            <w:vAlign w:val="center"/>
            <w:hideMark/>
          </w:tcPr>
          <w:p w14:paraId="4296C9DB" w14:textId="77777777" w:rsidR="00E3750C" w:rsidRPr="0059004B" w:rsidRDefault="00E3750C" w:rsidP="00047864">
            <w:pPr>
              <w:spacing w:after="0" w:line="240" w:lineRule="auto"/>
              <w:jc w:val="right"/>
              <w:rPr>
                <w:rFonts w:ascii="Arial" w:eastAsia="Times New Roman" w:hAnsi="Arial" w:cs="Arial"/>
                <w:b/>
                <w:bCs/>
                <w:color w:val="000000"/>
                <w:sz w:val="18"/>
                <w:szCs w:val="18"/>
                <w:lang w:eastAsia="sl-SI"/>
              </w:rPr>
            </w:pPr>
            <w:r w:rsidRPr="0059004B">
              <w:rPr>
                <w:rFonts w:ascii="Arial" w:eastAsia="Times New Roman" w:hAnsi="Arial" w:cs="Arial"/>
                <w:b/>
                <w:bCs/>
                <w:color w:val="000000"/>
                <w:sz w:val="18"/>
                <w:szCs w:val="18"/>
                <w:lang w:eastAsia="sl-SI"/>
              </w:rPr>
              <w:t>1.082.656</w:t>
            </w:r>
          </w:p>
        </w:tc>
        <w:tc>
          <w:tcPr>
            <w:tcW w:w="1606" w:type="pct"/>
            <w:tcBorders>
              <w:top w:val="nil"/>
              <w:left w:val="nil"/>
              <w:bottom w:val="single" w:sz="4" w:space="0" w:color="auto"/>
              <w:right w:val="single" w:sz="4" w:space="0" w:color="auto"/>
            </w:tcBorders>
            <w:shd w:val="clear" w:color="auto" w:fill="F2F2F2" w:themeFill="background1" w:themeFillShade="F2"/>
            <w:noWrap/>
            <w:vAlign w:val="center"/>
            <w:hideMark/>
          </w:tcPr>
          <w:p w14:paraId="2DCAA4EF" w14:textId="77777777" w:rsidR="00E3750C" w:rsidRPr="0059004B" w:rsidRDefault="00E3750C" w:rsidP="00047864">
            <w:pPr>
              <w:spacing w:after="0" w:line="240" w:lineRule="auto"/>
              <w:jc w:val="right"/>
              <w:rPr>
                <w:rFonts w:ascii="Arial" w:eastAsia="Times New Roman" w:hAnsi="Arial" w:cs="Arial"/>
                <w:b/>
                <w:bCs/>
                <w:color w:val="000000"/>
                <w:sz w:val="18"/>
                <w:szCs w:val="18"/>
                <w:lang w:eastAsia="sl-SI"/>
              </w:rPr>
            </w:pPr>
            <w:r w:rsidRPr="0059004B">
              <w:rPr>
                <w:rFonts w:ascii="Arial" w:eastAsia="Times New Roman" w:hAnsi="Arial" w:cs="Arial"/>
                <w:b/>
                <w:bCs/>
                <w:color w:val="000000"/>
                <w:sz w:val="18"/>
                <w:szCs w:val="18"/>
                <w:lang w:eastAsia="sl-SI"/>
              </w:rPr>
              <w:t>1.436.796.005</w:t>
            </w:r>
          </w:p>
        </w:tc>
      </w:tr>
    </w:tbl>
    <w:p w14:paraId="203911B1" w14:textId="77777777" w:rsidR="00E3750C" w:rsidRPr="00BF7302" w:rsidRDefault="00E3750C" w:rsidP="00E3750C">
      <w:pPr>
        <w:spacing w:after="0" w:line="240" w:lineRule="auto"/>
        <w:jc w:val="both"/>
        <w:rPr>
          <w:rFonts w:ascii="Arial" w:hAnsi="Arial" w:cs="Arial"/>
          <w:sz w:val="20"/>
          <w:highlight w:val="yellow"/>
        </w:rPr>
      </w:pPr>
    </w:p>
    <w:p w14:paraId="48686E92" w14:textId="77777777" w:rsidR="00E3750C" w:rsidRPr="00E0794B" w:rsidRDefault="00E3750C" w:rsidP="00E3750C">
      <w:pPr>
        <w:spacing w:before="120" w:after="0" w:line="240" w:lineRule="auto"/>
        <w:jc w:val="both"/>
        <w:rPr>
          <w:rFonts w:ascii="Arial" w:hAnsi="Arial" w:cs="Arial"/>
          <w:sz w:val="20"/>
        </w:rPr>
      </w:pPr>
      <w:r w:rsidRPr="002A1BC5">
        <w:rPr>
          <w:rFonts w:ascii="Arial" w:hAnsi="Arial" w:cs="Arial"/>
          <w:sz w:val="20"/>
        </w:rPr>
        <w:t>Preglednica 6</w:t>
      </w:r>
      <w:r>
        <w:rPr>
          <w:rFonts w:ascii="Arial" w:hAnsi="Arial" w:cs="Arial"/>
          <w:sz w:val="20"/>
        </w:rPr>
        <w:t>3</w:t>
      </w:r>
      <w:r w:rsidRPr="002A1BC5">
        <w:rPr>
          <w:rFonts w:ascii="Arial" w:hAnsi="Arial" w:cs="Arial"/>
          <w:sz w:val="20"/>
        </w:rPr>
        <w:t>: Naročila, objavljena samo na portalu javnih naročil glede na področje in predmet naročanja</w:t>
      </w:r>
    </w:p>
    <w:p w14:paraId="6966A483" w14:textId="77777777" w:rsidR="00E3750C" w:rsidRPr="00E0794B" w:rsidRDefault="00E3750C" w:rsidP="00E3750C">
      <w:pPr>
        <w:spacing w:after="0" w:line="240" w:lineRule="auto"/>
        <w:jc w:val="both"/>
        <w:rPr>
          <w:rFonts w:ascii="Arial" w:hAnsi="Arial" w:cs="Arial"/>
          <w:sz w:val="20"/>
        </w:rPr>
      </w:pPr>
    </w:p>
    <w:tbl>
      <w:tblPr>
        <w:tblW w:w="5000" w:type="pct"/>
        <w:tblCellMar>
          <w:left w:w="70" w:type="dxa"/>
          <w:right w:w="70" w:type="dxa"/>
        </w:tblCellMar>
        <w:tblLook w:val="04A0" w:firstRow="1" w:lastRow="0" w:firstColumn="1" w:lastColumn="0" w:noHBand="0" w:noVBand="1"/>
      </w:tblPr>
      <w:tblGrid>
        <w:gridCol w:w="1555"/>
        <w:gridCol w:w="1133"/>
        <w:gridCol w:w="993"/>
        <w:gridCol w:w="1917"/>
        <w:gridCol w:w="951"/>
        <w:gridCol w:w="951"/>
        <w:gridCol w:w="802"/>
        <w:gridCol w:w="872"/>
      </w:tblGrid>
      <w:tr w:rsidR="00E3750C" w:rsidRPr="00E0794B" w14:paraId="5D088018" w14:textId="77777777" w:rsidTr="00047864">
        <w:trPr>
          <w:trHeight w:val="960"/>
          <w:tblHeader/>
        </w:trPr>
        <w:tc>
          <w:tcPr>
            <w:tcW w:w="848"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21C22EC0" w14:textId="77777777" w:rsidR="00E3750C" w:rsidRPr="00E0794B" w:rsidRDefault="00E3750C" w:rsidP="00047864">
            <w:pPr>
              <w:spacing w:after="0" w:line="240" w:lineRule="auto"/>
              <w:jc w:val="center"/>
              <w:rPr>
                <w:rFonts w:ascii="Arial" w:eastAsia="Times New Roman" w:hAnsi="Arial" w:cs="Arial"/>
                <w:color w:val="000000"/>
                <w:sz w:val="18"/>
                <w:szCs w:val="18"/>
                <w:lang w:eastAsia="sl-SI"/>
              </w:rPr>
            </w:pPr>
            <w:r w:rsidRPr="00E0794B">
              <w:rPr>
                <w:rFonts w:ascii="Arial" w:eastAsia="Times New Roman" w:hAnsi="Arial" w:cs="Arial"/>
                <w:color w:val="000000"/>
                <w:sz w:val="18"/>
                <w:szCs w:val="18"/>
                <w:lang w:eastAsia="sl-SI"/>
              </w:rPr>
              <w:t>Področje</w:t>
            </w:r>
          </w:p>
        </w:tc>
        <w:tc>
          <w:tcPr>
            <w:tcW w:w="618" w:type="pct"/>
            <w:tcBorders>
              <w:top w:val="single" w:sz="4" w:space="0" w:color="auto"/>
              <w:left w:val="nil"/>
              <w:bottom w:val="single" w:sz="4" w:space="0" w:color="auto"/>
              <w:right w:val="single" w:sz="4" w:space="0" w:color="auto"/>
            </w:tcBorders>
            <w:shd w:val="clear" w:color="000000" w:fill="F2F2F2"/>
            <w:vAlign w:val="center"/>
            <w:hideMark/>
          </w:tcPr>
          <w:p w14:paraId="31884A93" w14:textId="77777777" w:rsidR="00E3750C" w:rsidRPr="00E0794B" w:rsidRDefault="00E3750C" w:rsidP="00047864">
            <w:pPr>
              <w:spacing w:after="0" w:line="240" w:lineRule="auto"/>
              <w:jc w:val="center"/>
              <w:rPr>
                <w:rFonts w:ascii="Arial" w:eastAsia="Times New Roman" w:hAnsi="Arial" w:cs="Arial"/>
                <w:color w:val="000000"/>
                <w:sz w:val="18"/>
                <w:szCs w:val="18"/>
                <w:lang w:eastAsia="sl-SI"/>
              </w:rPr>
            </w:pPr>
            <w:r w:rsidRPr="00E0794B">
              <w:rPr>
                <w:rFonts w:ascii="Arial" w:eastAsia="Times New Roman" w:hAnsi="Arial" w:cs="Arial"/>
                <w:color w:val="000000"/>
                <w:sz w:val="18"/>
                <w:szCs w:val="18"/>
                <w:lang w:eastAsia="sl-SI"/>
              </w:rPr>
              <w:t>Predmet</w:t>
            </w:r>
          </w:p>
        </w:tc>
        <w:tc>
          <w:tcPr>
            <w:tcW w:w="541" w:type="pct"/>
            <w:tcBorders>
              <w:top w:val="single" w:sz="4" w:space="0" w:color="auto"/>
              <w:left w:val="nil"/>
              <w:bottom w:val="single" w:sz="4" w:space="0" w:color="auto"/>
              <w:right w:val="single" w:sz="4" w:space="0" w:color="auto"/>
            </w:tcBorders>
            <w:shd w:val="clear" w:color="000000" w:fill="F2F2F2"/>
            <w:vAlign w:val="center"/>
            <w:hideMark/>
          </w:tcPr>
          <w:p w14:paraId="54A1C68A" w14:textId="77777777" w:rsidR="00E3750C" w:rsidRPr="00E0794B" w:rsidRDefault="00E3750C" w:rsidP="00047864">
            <w:pPr>
              <w:spacing w:after="0" w:line="240" w:lineRule="auto"/>
              <w:jc w:val="center"/>
              <w:rPr>
                <w:rFonts w:ascii="Arial" w:eastAsia="Times New Roman" w:hAnsi="Arial" w:cs="Arial"/>
                <w:color w:val="000000"/>
                <w:sz w:val="18"/>
                <w:szCs w:val="18"/>
                <w:lang w:eastAsia="sl-SI"/>
              </w:rPr>
            </w:pPr>
            <w:r w:rsidRPr="00E0794B">
              <w:rPr>
                <w:rFonts w:ascii="Arial" w:eastAsia="Times New Roman" w:hAnsi="Arial" w:cs="Arial"/>
                <w:color w:val="000000"/>
                <w:sz w:val="18"/>
                <w:szCs w:val="18"/>
                <w:lang w:eastAsia="sl-SI"/>
              </w:rPr>
              <w:t>Št. naročil</w:t>
            </w:r>
          </w:p>
        </w:tc>
        <w:tc>
          <w:tcPr>
            <w:tcW w:w="1045" w:type="pct"/>
            <w:tcBorders>
              <w:top w:val="single" w:sz="4" w:space="0" w:color="auto"/>
              <w:left w:val="nil"/>
              <w:bottom w:val="single" w:sz="4" w:space="0" w:color="auto"/>
              <w:right w:val="single" w:sz="4" w:space="0" w:color="auto"/>
            </w:tcBorders>
            <w:shd w:val="clear" w:color="000000" w:fill="F2F2F2"/>
            <w:vAlign w:val="center"/>
            <w:hideMark/>
          </w:tcPr>
          <w:p w14:paraId="5D4A6D81" w14:textId="77777777" w:rsidR="00E3750C" w:rsidRPr="00E0794B" w:rsidRDefault="00E3750C" w:rsidP="00047864">
            <w:pPr>
              <w:spacing w:after="0" w:line="240" w:lineRule="auto"/>
              <w:jc w:val="center"/>
              <w:rPr>
                <w:rFonts w:ascii="Arial" w:eastAsia="Times New Roman" w:hAnsi="Arial" w:cs="Arial"/>
                <w:color w:val="000000"/>
                <w:sz w:val="18"/>
                <w:szCs w:val="18"/>
                <w:lang w:eastAsia="sl-SI"/>
              </w:rPr>
            </w:pPr>
            <w:r w:rsidRPr="00E0794B">
              <w:rPr>
                <w:rFonts w:ascii="Arial" w:eastAsia="Times New Roman" w:hAnsi="Arial" w:cs="Arial"/>
                <w:color w:val="000000"/>
                <w:sz w:val="18"/>
                <w:szCs w:val="18"/>
                <w:lang w:eastAsia="sl-SI"/>
              </w:rPr>
              <w:t>Pogodbena vrednost</w:t>
            </w:r>
          </w:p>
        </w:tc>
        <w:tc>
          <w:tcPr>
            <w:tcW w:w="518" w:type="pct"/>
            <w:tcBorders>
              <w:top w:val="single" w:sz="4" w:space="0" w:color="auto"/>
              <w:left w:val="nil"/>
              <w:bottom w:val="single" w:sz="4" w:space="0" w:color="auto"/>
              <w:right w:val="single" w:sz="4" w:space="0" w:color="auto"/>
            </w:tcBorders>
            <w:shd w:val="clear" w:color="000000" w:fill="F2F2F2"/>
            <w:vAlign w:val="center"/>
            <w:hideMark/>
          </w:tcPr>
          <w:p w14:paraId="0B57D1BF" w14:textId="77777777" w:rsidR="00E3750C" w:rsidRPr="00E0794B" w:rsidRDefault="00E3750C" w:rsidP="00047864">
            <w:pPr>
              <w:spacing w:after="0" w:line="240" w:lineRule="auto"/>
              <w:jc w:val="center"/>
              <w:rPr>
                <w:rFonts w:ascii="Arial" w:eastAsia="Times New Roman" w:hAnsi="Arial" w:cs="Arial"/>
                <w:color w:val="000000"/>
                <w:sz w:val="18"/>
                <w:szCs w:val="18"/>
                <w:lang w:eastAsia="sl-SI"/>
              </w:rPr>
            </w:pPr>
            <w:r w:rsidRPr="00E0794B">
              <w:rPr>
                <w:rFonts w:ascii="Arial" w:eastAsia="Times New Roman" w:hAnsi="Arial" w:cs="Arial"/>
                <w:color w:val="000000"/>
                <w:sz w:val="18"/>
                <w:szCs w:val="18"/>
                <w:lang w:eastAsia="sl-SI"/>
              </w:rPr>
              <w:t>Delež v št. istovrstnih naročil</w:t>
            </w:r>
          </w:p>
        </w:tc>
        <w:tc>
          <w:tcPr>
            <w:tcW w:w="518" w:type="pct"/>
            <w:tcBorders>
              <w:top w:val="single" w:sz="4" w:space="0" w:color="auto"/>
              <w:left w:val="nil"/>
              <w:bottom w:val="single" w:sz="4" w:space="0" w:color="auto"/>
              <w:right w:val="single" w:sz="4" w:space="0" w:color="auto"/>
            </w:tcBorders>
            <w:shd w:val="clear" w:color="000000" w:fill="F2F2F2"/>
            <w:vAlign w:val="center"/>
            <w:hideMark/>
          </w:tcPr>
          <w:p w14:paraId="431644BC" w14:textId="77777777" w:rsidR="00E3750C" w:rsidRPr="00E0794B" w:rsidRDefault="00E3750C" w:rsidP="00047864">
            <w:pPr>
              <w:spacing w:after="0" w:line="240" w:lineRule="auto"/>
              <w:jc w:val="center"/>
              <w:rPr>
                <w:rFonts w:ascii="Arial" w:eastAsia="Times New Roman" w:hAnsi="Arial" w:cs="Arial"/>
                <w:color w:val="000000"/>
                <w:sz w:val="18"/>
                <w:szCs w:val="18"/>
                <w:lang w:eastAsia="sl-SI"/>
              </w:rPr>
            </w:pPr>
            <w:r w:rsidRPr="00E0794B">
              <w:rPr>
                <w:rFonts w:ascii="Arial" w:eastAsia="Times New Roman" w:hAnsi="Arial" w:cs="Arial"/>
                <w:color w:val="000000"/>
                <w:sz w:val="18"/>
                <w:szCs w:val="18"/>
                <w:lang w:eastAsia="sl-SI"/>
              </w:rPr>
              <w:t>Delež  vrednosti istovrstnih naročil</w:t>
            </w:r>
          </w:p>
        </w:tc>
        <w:tc>
          <w:tcPr>
            <w:tcW w:w="437" w:type="pct"/>
            <w:tcBorders>
              <w:top w:val="single" w:sz="4" w:space="0" w:color="auto"/>
              <w:left w:val="nil"/>
              <w:bottom w:val="single" w:sz="4" w:space="0" w:color="auto"/>
              <w:right w:val="single" w:sz="4" w:space="0" w:color="auto"/>
            </w:tcBorders>
            <w:shd w:val="clear" w:color="000000" w:fill="F2F2F2"/>
            <w:vAlign w:val="center"/>
            <w:hideMark/>
          </w:tcPr>
          <w:p w14:paraId="4857AA8D" w14:textId="77777777" w:rsidR="00E3750C" w:rsidRPr="00E0794B" w:rsidRDefault="00E3750C" w:rsidP="00047864">
            <w:pPr>
              <w:spacing w:after="0" w:line="240" w:lineRule="auto"/>
              <w:jc w:val="center"/>
              <w:rPr>
                <w:rFonts w:ascii="Arial" w:eastAsia="Times New Roman" w:hAnsi="Arial" w:cs="Arial"/>
                <w:color w:val="000000"/>
                <w:sz w:val="18"/>
                <w:szCs w:val="18"/>
                <w:lang w:eastAsia="sl-SI"/>
              </w:rPr>
            </w:pPr>
            <w:r w:rsidRPr="00E0794B">
              <w:rPr>
                <w:rFonts w:ascii="Arial" w:eastAsia="Times New Roman" w:hAnsi="Arial" w:cs="Arial"/>
                <w:color w:val="000000"/>
                <w:sz w:val="18"/>
                <w:szCs w:val="18"/>
                <w:lang w:eastAsia="sl-SI"/>
              </w:rPr>
              <w:t>Delež v št. vseh naročil</w:t>
            </w:r>
          </w:p>
        </w:tc>
        <w:tc>
          <w:tcPr>
            <w:tcW w:w="475" w:type="pct"/>
            <w:tcBorders>
              <w:top w:val="single" w:sz="4" w:space="0" w:color="auto"/>
              <w:left w:val="nil"/>
              <w:bottom w:val="single" w:sz="4" w:space="0" w:color="auto"/>
              <w:right w:val="single" w:sz="4" w:space="0" w:color="auto"/>
            </w:tcBorders>
            <w:shd w:val="clear" w:color="000000" w:fill="F2F2F2"/>
            <w:vAlign w:val="center"/>
            <w:hideMark/>
          </w:tcPr>
          <w:p w14:paraId="6636BD49" w14:textId="77777777" w:rsidR="00E3750C" w:rsidRPr="00E0794B" w:rsidRDefault="00E3750C" w:rsidP="00047864">
            <w:pPr>
              <w:spacing w:after="0" w:line="240" w:lineRule="auto"/>
              <w:jc w:val="center"/>
              <w:rPr>
                <w:rFonts w:ascii="Arial" w:eastAsia="Times New Roman" w:hAnsi="Arial" w:cs="Arial"/>
                <w:color w:val="000000"/>
                <w:sz w:val="18"/>
                <w:szCs w:val="18"/>
                <w:lang w:eastAsia="sl-SI"/>
              </w:rPr>
            </w:pPr>
            <w:r w:rsidRPr="00E0794B">
              <w:rPr>
                <w:rFonts w:ascii="Arial" w:eastAsia="Times New Roman" w:hAnsi="Arial" w:cs="Arial"/>
                <w:color w:val="000000"/>
                <w:sz w:val="18"/>
                <w:szCs w:val="18"/>
                <w:lang w:eastAsia="sl-SI"/>
              </w:rPr>
              <w:t>Delež v vrednosti vseh naročil</w:t>
            </w:r>
          </w:p>
        </w:tc>
      </w:tr>
      <w:tr w:rsidR="00E3750C" w:rsidRPr="00E0794B" w14:paraId="65A7116A" w14:textId="77777777" w:rsidTr="00047864">
        <w:trPr>
          <w:trHeight w:val="300"/>
        </w:trPr>
        <w:tc>
          <w:tcPr>
            <w:tcW w:w="848" w:type="pct"/>
            <w:vMerge w:val="restart"/>
            <w:tcBorders>
              <w:top w:val="nil"/>
              <w:left w:val="single" w:sz="4" w:space="0" w:color="auto"/>
              <w:bottom w:val="single" w:sz="4" w:space="0" w:color="auto"/>
              <w:right w:val="single" w:sz="4" w:space="0" w:color="auto"/>
            </w:tcBorders>
            <w:shd w:val="clear" w:color="auto" w:fill="auto"/>
            <w:vAlign w:val="center"/>
            <w:hideMark/>
          </w:tcPr>
          <w:p w14:paraId="2A270C1C" w14:textId="77777777" w:rsidR="00E3750C" w:rsidRPr="00E0794B" w:rsidRDefault="00E3750C" w:rsidP="00047864">
            <w:pPr>
              <w:spacing w:after="0" w:line="240" w:lineRule="auto"/>
              <w:rPr>
                <w:rFonts w:ascii="Arial" w:eastAsia="Times New Roman" w:hAnsi="Arial" w:cs="Arial"/>
                <w:color w:val="000000"/>
                <w:sz w:val="18"/>
                <w:szCs w:val="18"/>
                <w:lang w:eastAsia="sl-SI"/>
              </w:rPr>
            </w:pPr>
            <w:r w:rsidRPr="00E0794B">
              <w:rPr>
                <w:rFonts w:ascii="Arial" w:eastAsia="Times New Roman" w:hAnsi="Arial" w:cs="Arial"/>
                <w:color w:val="000000"/>
                <w:sz w:val="18"/>
                <w:szCs w:val="18"/>
                <w:lang w:eastAsia="sl-SI"/>
              </w:rPr>
              <w:t>Splošno</w:t>
            </w:r>
          </w:p>
        </w:tc>
        <w:tc>
          <w:tcPr>
            <w:tcW w:w="618" w:type="pct"/>
            <w:tcBorders>
              <w:top w:val="nil"/>
              <w:left w:val="nil"/>
              <w:bottom w:val="single" w:sz="4" w:space="0" w:color="auto"/>
              <w:right w:val="single" w:sz="4" w:space="0" w:color="auto"/>
            </w:tcBorders>
            <w:shd w:val="clear" w:color="auto" w:fill="auto"/>
            <w:vAlign w:val="center"/>
            <w:hideMark/>
          </w:tcPr>
          <w:p w14:paraId="37085D86" w14:textId="77777777" w:rsidR="00E3750C" w:rsidRPr="00E0794B" w:rsidRDefault="00E3750C" w:rsidP="00047864">
            <w:pPr>
              <w:spacing w:after="0" w:line="240" w:lineRule="auto"/>
              <w:rPr>
                <w:rFonts w:ascii="Arial" w:eastAsia="Times New Roman" w:hAnsi="Arial" w:cs="Arial"/>
                <w:color w:val="000000"/>
                <w:sz w:val="18"/>
                <w:szCs w:val="18"/>
                <w:lang w:eastAsia="sl-SI"/>
              </w:rPr>
            </w:pPr>
            <w:r w:rsidRPr="00E0794B">
              <w:rPr>
                <w:rFonts w:ascii="Arial" w:eastAsia="Times New Roman" w:hAnsi="Arial" w:cs="Arial"/>
                <w:color w:val="000000"/>
                <w:sz w:val="18"/>
                <w:szCs w:val="18"/>
                <w:lang w:eastAsia="sl-SI"/>
              </w:rPr>
              <w:t>Blago</w:t>
            </w:r>
          </w:p>
        </w:tc>
        <w:tc>
          <w:tcPr>
            <w:tcW w:w="541" w:type="pct"/>
            <w:tcBorders>
              <w:top w:val="nil"/>
              <w:left w:val="nil"/>
              <w:bottom w:val="single" w:sz="4" w:space="0" w:color="auto"/>
              <w:right w:val="single" w:sz="4" w:space="0" w:color="auto"/>
            </w:tcBorders>
            <w:shd w:val="clear" w:color="auto" w:fill="auto"/>
            <w:vAlign w:val="center"/>
            <w:hideMark/>
          </w:tcPr>
          <w:p w14:paraId="56F89EDE" w14:textId="77777777" w:rsidR="00E3750C" w:rsidRPr="00E0794B" w:rsidRDefault="00E3750C" w:rsidP="00047864">
            <w:pPr>
              <w:spacing w:after="0" w:line="240" w:lineRule="auto"/>
              <w:jc w:val="right"/>
              <w:rPr>
                <w:rFonts w:ascii="Arial" w:eastAsia="Times New Roman" w:hAnsi="Arial" w:cs="Arial"/>
                <w:color w:val="000000"/>
                <w:sz w:val="18"/>
                <w:szCs w:val="18"/>
                <w:lang w:eastAsia="sl-SI"/>
              </w:rPr>
            </w:pPr>
            <w:r w:rsidRPr="00E0794B">
              <w:rPr>
                <w:rFonts w:ascii="Arial" w:hAnsi="Arial" w:cs="Arial"/>
                <w:sz w:val="18"/>
                <w:szCs w:val="18"/>
              </w:rPr>
              <w:t>2.683</w:t>
            </w:r>
          </w:p>
        </w:tc>
        <w:tc>
          <w:tcPr>
            <w:tcW w:w="1045" w:type="pct"/>
            <w:tcBorders>
              <w:top w:val="nil"/>
              <w:left w:val="nil"/>
              <w:bottom w:val="single" w:sz="4" w:space="0" w:color="auto"/>
              <w:right w:val="single" w:sz="4" w:space="0" w:color="auto"/>
            </w:tcBorders>
            <w:shd w:val="clear" w:color="auto" w:fill="auto"/>
            <w:vAlign w:val="center"/>
            <w:hideMark/>
          </w:tcPr>
          <w:p w14:paraId="1AF3858A" w14:textId="77777777" w:rsidR="00E3750C" w:rsidRPr="00E0794B" w:rsidRDefault="00E3750C" w:rsidP="00047864">
            <w:pPr>
              <w:spacing w:after="0" w:line="240" w:lineRule="auto"/>
              <w:jc w:val="right"/>
              <w:rPr>
                <w:rFonts w:ascii="Arial" w:eastAsia="Times New Roman" w:hAnsi="Arial" w:cs="Arial"/>
                <w:color w:val="000000"/>
                <w:sz w:val="18"/>
                <w:szCs w:val="18"/>
                <w:lang w:eastAsia="sl-SI"/>
              </w:rPr>
            </w:pPr>
            <w:r w:rsidRPr="00E0794B">
              <w:rPr>
                <w:rFonts w:ascii="Arial" w:hAnsi="Arial" w:cs="Arial"/>
                <w:sz w:val="18"/>
                <w:szCs w:val="18"/>
              </w:rPr>
              <w:t>115.428.169</w:t>
            </w:r>
          </w:p>
        </w:tc>
        <w:tc>
          <w:tcPr>
            <w:tcW w:w="518" w:type="pct"/>
            <w:tcBorders>
              <w:top w:val="nil"/>
              <w:left w:val="nil"/>
              <w:bottom w:val="single" w:sz="4" w:space="0" w:color="auto"/>
              <w:right w:val="single" w:sz="4" w:space="0" w:color="auto"/>
            </w:tcBorders>
            <w:shd w:val="clear" w:color="auto" w:fill="auto"/>
            <w:noWrap/>
            <w:vAlign w:val="center"/>
          </w:tcPr>
          <w:p w14:paraId="0B56BF46" w14:textId="77777777" w:rsidR="00E3750C" w:rsidRPr="00E0794B" w:rsidRDefault="00E3750C" w:rsidP="00047864">
            <w:pPr>
              <w:spacing w:after="0" w:line="240" w:lineRule="auto"/>
              <w:jc w:val="right"/>
              <w:rPr>
                <w:rFonts w:ascii="Arial" w:hAnsi="Arial" w:cs="Arial"/>
                <w:sz w:val="18"/>
                <w:szCs w:val="18"/>
              </w:rPr>
            </w:pPr>
            <w:r w:rsidRPr="00E0794B">
              <w:rPr>
                <w:rFonts w:ascii="Arial" w:hAnsi="Arial" w:cs="Arial"/>
                <w:sz w:val="18"/>
                <w:szCs w:val="18"/>
              </w:rPr>
              <w:t>47,45</w:t>
            </w:r>
            <w:r>
              <w:rPr>
                <w:rFonts w:ascii="Arial" w:hAnsi="Arial" w:cs="Arial"/>
                <w:sz w:val="18"/>
                <w:szCs w:val="18"/>
              </w:rPr>
              <w:t xml:space="preserve"> </w:t>
            </w:r>
            <w:r w:rsidRPr="00E0794B">
              <w:rPr>
                <w:rFonts w:ascii="Arial" w:hAnsi="Arial" w:cs="Arial"/>
                <w:sz w:val="18"/>
                <w:szCs w:val="18"/>
              </w:rPr>
              <w:t>%</w:t>
            </w:r>
          </w:p>
        </w:tc>
        <w:tc>
          <w:tcPr>
            <w:tcW w:w="518" w:type="pct"/>
            <w:tcBorders>
              <w:top w:val="nil"/>
              <w:left w:val="nil"/>
              <w:bottom w:val="single" w:sz="4" w:space="0" w:color="auto"/>
              <w:right w:val="single" w:sz="4" w:space="0" w:color="auto"/>
            </w:tcBorders>
            <w:shd w:val="clear" w:color="auto" w:fill="auto"/>
            <w:noWrap/>
            <w:vAlign w:val="center"/>
          </w:tcPr>
          <w:p w14:paraId="19F4A67E" w14:textId="77777777" w:rsidR="00E3750C" w:rsidRPr="00E0794B" w:rsidRDefault="00E3750C" w:rsidP="00047864">
            <w:pPr>
              <w:spacing w:after="0" w:line="240" w:lineRule="auto"/>
              <w:jc w:val="right"/>
              <w:rPr>
                <w:rFonts w:ascii="Arial" w:hAnsi="Arial" w:cs="Arial"/>
                <w:sz w:val="18"/>
                <w:szCs w:val="18"/>
              </w:rPr>
            </w:pPr>
            <w:r w:rsidRPr="00E0794B">
              <w:rPr>
                <w:rFonts w:ascii="Arial" w:hAnsi="Arial" w:cs="Arial"/>
                <w:sz w:val="18"/>
                <w:szCs w:val="18"/>
              </w:rPr>
              <w:t>10,86</w:t>
            </w:r>
            <w:r>
              <w:rPr>
                <w:rFonts w:ascii="Arial" w:hAnsi="Arial" w:cs="Arial"/>
                <w:sz w:val="18"/>
                <w:szCs w:val="18"/>
              </w:rPr>
              <w:t xml:space="preserve"> </w:t>
            </w:r>
            <w:r w:rsidRPr="00E0794B">
              <w:rPr>
                <w:rFonts w:ascii="Arial" w:hAnsi="Arial" w:cs="Arial"/>
                <w:sz w:val="18"/>
                <w:szCs w:val="18"/>
              </w:rPr>
              <w:t>%</w:t>
            </w:r>
          </w:p>
        </w:tc>
        <w:tc>
          <w:tcPr>
            <w:tcW w:w="437" w:type="pct"/>
            <w:tcBorders>
              <w:top w:val="nil"/>
              <w:left w:val="nil"/>
              <w:bottom w:val="single" w:sz="4" w:space="0" w:color="auto"/>
              <w:right w:val="single" w:sz="4" w:space="0" w:color="auto"/>
            </w:tcBorders>
            <w:shd w:val="clear" w:color="auto" w:fill="auto"/>
            <w:noWrap/>
            <w:vAlign w:val="center"/>
            <w:hideMark/>
          </w:tcPr>
          <w:p w14:paraId="59A3DCE1" w14:textId="77777777" w:rsidR="00E3750C" w:rsidRPr="00E0794B" w:rsidRDefault="00E3750C" w:rsidP="00047864">
            <w:pPr>
              <w:spacing w:after="0" w:line="240" w:lineRule="auto"/>
              <w:jc w:val="right"/>
              <w:rPr>
                <w:rFonts w:ascii="Arial" w:eastAsia="Times New Roman" w:hAnsi="Arial" w:cs="Arial"/>
                <w:color w:val="000000"/>
                <w:sz w:val="18"/>
                <w:szCs w:val="18"/>
                <w:lang w:eastAsia="sl-SI"/>
              </w:rPr>
            </w:pPr>
            <w:r w:rsidRPr="00E0794B">
              <w:rPr>
                <w:rFonts w:ascii="Arial" w:hAnsi="Arial" w:cs="Arial"/>
                <w:sz w:val="18"/>
                <w:szCs w:val="18"/>
              </w:rPr>
              <w:t>38,69 %</w:t>
            </w:r>
          </w:p>
        </w:tc>
        <w:tc>
          <w:tcPr>
            <w:tcW w:w="475" w:type="pct"/>
            <w:tcBorders>
              <w:top w:val="nil"/>
              <w:left w:val="nil"/>
              <w:bottom w:val="single" w:sz="4" w:space="0" w:color="auto"/>
              <w:right w:val="single" w:sz="4" w:space="0" w:color="auto"/>
            </w:tcBorders>
            <w:shd w:val="clear" w:color="auto" w:fill="auto"/>
            <w:noWrap/>
            <w:vAlign w:val="center"/>
            <w:hideMark/>
          </w:tcPr>
          <w:p w14:paraId="7E5D8AE9" w14:textId="77777777" w:rsidR="00E3750C" w:rsidRPr="00E0794B" w:rsidRDefault="00E3750C" w:rsidP="00047864">
            <w:pPr>
              <w:spacing w:after="0" w:line="240" w:lineRule="auto"/>
              <w:jc w:val="right"/>
              <w:rPr>
                <w:rFonts w:ascii="Arial" w:eastAsia="Times New Roman" w:hAnsi="Arial" w:cs="Arial"/>
                <w:color w:val="000000"/>
                <w:sz w:val="18"/>
                <w:szCs w:val="18"/>
                <w:lang w:eastAsia="sl-SI"/>
              </w:rPr>
            </w:pPr>
            <w:r w:rsidRPr="00E0794B">
              <w:rPr>
                <w:rFonts w:ascii="Arial" w:hAnsi="Arial" w:cs="Arial"/>
                <w:sz w:val="18"/>
                <w:szCs w:val="18"/>
              </w:rPr>
              <w:t>9,32 %</w:t>
            </w:r>
          </w:p>
        </w:tc>
      </w:tr>
      <w:tr w:rsidR="00E3750C" w:rsidRPr="00E0794B" w14:paraId="0CC32BA3" w14:textId="77777777" w:rsidTr="00047864">
        <w:trPr>
          <w:trHeight w:val="300"/>
        </w:trPr>
        <w:tc>
          <w:tcPr>
            <w:tcW w:w="848" w:type="pct"/>
            <w:vMerge/>
            <w:tcBorders>
              <w:top w:val="nil"/>
              <w:left w:val="single" w:sz="4" w:space="0" w:color="auto"/>
              <w:bottom w:val="single" w:sz="4" w:space="0" w:color="auto"/>
              <w:right w:val="single" w:sz="4" w:space="0" w:color="auto"/>
            </w:tcBorders>
            <w:vAlign w:val="center"/>
            <w:hideMark/>
          </w:tcPr>
          <w:p w14:paraId="55540A9D" w14:textId="77777777" w:rsidR="00E3750C" w:rsidRPr="00E0794B" w:rsidRDefault="00E3750C" w:rsidP="00047864">
            <w:pPr>
              <w:spacing w:after="0" w:line="240" w:lineRule="auto"/>
              <w:rPr>
                <w:rFonts w:ascii="Arial" w:eastAsia="Times New Roman" w:hAnsi="Arial" w:cs="Arial"/>
                <w:color w:val="000000"/>
                <w:sz w:val="18"/>
                <w:szCs w:val="18"/>
                <w:lang w:eastAsia="sl-SI"/>
              </w:rPr>
            </w:pPr>
          </w:p>
        </w:tc>
        <w:tc>
          <w:tcPr>
            <w:tcW w:w="618" w:type="pct"/>
            <w:tcBorders>
              <w:top w:val="nil"/>
              <w:left w:val="nil"/>
              <w:bottom w:val="single" w:sz="4" w:space="0" w:color="auto"/>
              <w:right w:val="single" w:sz="4" w:space="0" w:color="auto"/>
            </w:tcBorders>
            <w:shd w:val="clear" w:color="auto" w:fill="auto"/>
            <w:vAlign w:val="center"/>
            <w:hideMark/>
          </w:tcPr>
          <w:p w14:paraId="14281396" w14:textId="77777777" w:rsidR="00E3750C" w:rsidRPr="00E0794B" w:rsidRDefault="00E3750C" w:rsidP="00047864">
            <w:pPr>
              <w:spacing w:after="0" w:line="240" w:lineRule="auto"/>
              <w:rPr>
                <w:rFonts w:ascii="Arial" w:eastAsia="Times New Roman" w:hAnsi="Arial" w:cs="Arial"/>
                <w:color w:val="000000"/>
                <w:sz w:val="18"/>
                <w:szCs w:val="18"/>
                <w:lang w:eastAsia="sl-SI"/>
              </w:rPr>
            </w:pPr>
            <w:r w:rsidRPr="00E0794B">
              <w:rPr>
                <w:rFonts w:ascii="Arial" w:eastAsia="Times New Roman" w:hAnsi="Arial" w:cs="Arial"/>
                <w:color w:val="000000"/>
                <w:sz w:val="18"/>
                <w:szCs w:val="18"/>
                <w:lang w:eastAsia="sl-SI"/>
              </w:rPr>
              <w:t>Storitve</w:t>
            </w:r>
          </w:p>
        </w:tc>
        <w:tc>
          <w:tcPr>
            <w:tcW w:w="541" w:type="pct"/>
            <w:tcBorders>
              <w:top w:val="nil"/>
              <w:left w:val="nil"/>
              <w:bottom w:val="single" w:sz="4" w:space="0" w:color="auto"/>
              <w:right w:val="single" w:sz="4" w:space="0" w:color="auto"/>
            </w:tcBorders>
            <w:shd w:val="clear" w:color="auto" w:fill="auto"/>
            <w:vAlign w:val="center"/>
            <w:hideMark/>
          </w:tcPr>
          <w:p w14:paraId="60842035" w14:textId="77777777" w:rsidR="00E3750C" w:rsidRPr="00E0794B" w:rsidRDefault="00E3750C" w:rsidP="00047864">
            <w:pPr>
              <w:spacing w:after="0" w:line="240" w:lineRule="auto"/>
              <w:jc w:val="right"/>
              <w:rPr>
                <w:rFonts w:ascii="Arial" w:eastAsia="Times New Roman" w:hAnsi="Arial" w:cs="Arial"/>
                <w:color w:val="000000"/>
                <w:sz w:val="18"/>
                <w:szCs w:val="18"/>
                <w:lang w:eastAsia="sl-SI"/>
              </w:rPr>
            </w:pPr>
            <w:r w:rsidRPr="00E0794B">
              <w:rPr>
                <w:rFonts w:ascii="Arial" w:hAnsi="Arial" w:cs="Arial"/>
                <w:sz w:val="18"/>
                <w:szCs w:val="18"/>
              </w:rPr>
              <w:t>1.568</w:t>
            </w:r>
          </w:p>
        </w:tc>
        <w:tc>
          <w:tcPr>
            <w:tcW w:w="1045" w:type="pct"/>
            <w:tcBorders>
              <w:top w:val="nil"/>
              <w:left w:val="nil"/>
              <w:bottom w:val="single" w:sz="4" w:space="0" w:color="auto"/>
              <w:right w:val="single" w:sz="4" w:space="0" w:color="auto"/>
            </w:tcBorders>
            <w:shd w:val="clear" w:color="auto" w:fill="auto"/>
            <w:vAlign w:val="center"/>
            <w:hideMark/>
          </w:tcPr>
          <w:p w14:paraId="47D46C5E" w14:textId="77777777" w:rsidR="00E3750C" w:rsidRPr="00E0794B" w:rsidRDefault="00E3750C" w:rsidP="00047864">
            <w:pPr>
              <w:spacing w:after="0" w:line="240" w:lineRule="auto"/>
              <w:jc w:val="right"/>
              <w:rPr>
                <w:rFonts w:ascii="Arial" w:eastAsia="Times New Roman" w:hAnsi="Arial" w:cs="Arial"/>
                <w:color w:val="000000"/>
                <w:sz w:val="18"/>
                <w:szCs w:val="18"/>
                <w:lang w:eastAsia="sl-SI"/>
              </w:rPr>
            </w:pPr>
            <w:r w:rsidRPr="00E0794B">
              <w:rPr>
                <w:rFonts w:ascii="Arial" w:hAnsi="Arial" w:cs="Arial"/>
                <w:sz w:val="18"/>
                <w:szCs w:val="18"/>
              </w:rPr>
              <w:t>101.979.852</w:t>
            </w:r>
          </w:p>
        </w:tc>
        <w:tc>
          <w:tcPr>
            <w:tcW w:w="518" w:type="pct"/>
            <w:tcBorders>
              <w:top w:val="nil"/>
              <w:left w:val="nil"/>
              <w:bottom w:val="single" w:sz="4" w:space="0" w:color="auto"/>
              <w:right w:val="single" w:sz="4" w:space="0" w:color="auto"/>
            </w:tcBorders>
            <w:shd w:val="clear" w:color="auto" w:fill="auto"/>
            <w:noWrap/>
            <w:vAlign w:val="center"/>
          </w:tcPr>
          <w:p w14:paraId="3B4E2731" w14:textId="77777777" w:rsidR="00E3750C" w:rsidRPr="00E0794B" w:rsidRDefault="00E3750C" w:rsidP="00047864">
            <w:pPr>
              <w:spacing w:after="0" w:line="240" w:lineRule="auto"/>
              <w:jc w:val="right"/>
              <w:rPr>
                <w:rFonts w:ascii="Arial" w:hAnsi="Arial" w:cs="Arial"/>
                <w:sz w:val="18"/>
                <w:szCs w:val="18"/>
              </w:rPr>
            </w:pPr>
            <w:r w:rsidRPr="00E0794B">
              <w:rPr>
                <w:rFonts w:ascii="Arial" w:hAnsi="Arial" w:cs="Arial"/>
                <w:sz w:val="18"/>
                <w:szCs w:val="18"/>
              </w:rPr>
              <w:t>27,73</w:t>
            </w:r>
            <w:r>
              <w:rPr>
                <w:rFonts w:ascii="Arial" w:hAnsi="Arial" w:cs="Arial"/>
                <w:sz w:val="18"/>
                <w:szCs w:val="18"/>
              </w:rPr>
              <w:t xml:space="preserve"> </w:t>
            </w:r>
            <w:r w:rsidRPr="00E0794B">
              <w:rPr>
                <w:rFonts w:ascii="Arial" w:hAnsi="Arial" w:cs="Arial"/>
                <w:sz w:val="18"/>
                <w:szCs w:val="18"/>
              </w:rPr>
              <w:t>%</w:t>
            </w:r>
          </w:p>
        </w:tc>
        <w:tc>
          <w:tcPr>
            <w:tcW w:w="518" w:type="pct"/>
            <w:tcBorders>
              <w:top w:val="nil"/>
              <w:left w:val="nil"/>
              <w:bottom w:val="single" w:sz="4" w:space="0" w:color="auto"/>
              <w:right w:val="single" w:sz="4" w:space="0" w:color="auto"/>
            </w:tcBorders>
            <w:shd w:val="clear" w:color="auto" w:fill="auto"/>
            <w:noWrap/>
            <w:vAlign w:val="center"/>
          </w:tcPr>
          <w:p w14:paraId="404262DC" w14:textId="77777777" w:rsidR="00E3750C" w:rsidRPr="00E0794B" w:rsidRDefault="00E3750C" w:rsidP="00047864">
            <w:pPr>
              <w:spacing w:after="0" w:line="240" w:lineRule="auto"/>
              <w:jc w:val="right"/>
              <w:rPr>
                <w:rFonts w:ascii="Arial" w:hAnsi="Arial" w:cs="Arial"/>
                <w:sz w:val="18"/>
                <w:szCs w:val="18"/>
              </w:rPr>
            </w:pPr>
            <w:r w:rsidRPr="00E0794B">
              <w:rPr>
                <w:rFonts w:ascii="Arial" w:hAnsi="Arial" w:cs="Arial"/>
                <w:sz w:val="18"/>
                <w:szCs w:val="18"/>
              </w:rPr>
              <w:t>9,60</w:t>
            </w:r>
            <w:r>
              <w:rPr>
                <w:rFonts w:ascii="Arial" w:hAnsi="Arial" w:cs="Arial"/>
                <w:sz w:val="18"/>
                <w:szCs w:val="18"/>
              </w:rPr>
              <w:t xml:space="preserve"> </w:t>
            </w:r>
            <w:r w:rsidRPr="00E0794B">
              <w:rPr>
                <w:rFonts w:ascii="Arial" w:hAnsi="Arial" w:cs="Arial"/>
                <w:sz w:val="18"/>
                <w:szCs w:val="18"/>
              </w:rPr>
              <w:t>%</w:t>
            </w:r>
          </w:p>
        </w:tc>
        <w:tc>
          <w:tcPr>
            <w:tcW w:w="437" w:type="pct"/>
            <w:tcBorders>
              <w:top w:val="nil"/>
              <w:left w:val="nil"/>
              <w:bottom w:val="single" w:sz="4" w:space="0" w:color="auto"/>
              <w:right w:val="single" w:sz="4" w:space="0" w:color="auto"/>
            </w:tcBorders>
            <w:shd w:val="clear" w:color="auto" w:fill="auto"/>
            <w:noWrap/>
            <w:vAlign w:val="center"/>
            <w:hideMark/>
          </w:tcPr>
          <w:p w14:paraId="4DD76684" w14:textId="77777777" w:rsidR="00E3750C" w:rsidRPr="00E0794B" w:rsidRDefault="00E3750C" w:rsidP="00047864">
            <w:pPr>
              <w:spacing w:after="0" w:line="240" w:lineRule="auto"/>
              <w:jc w:val="right"/>
              <w:rPr>
                <w:rFonts w:ascii="Arial" w:eastAsia="Times New Roman" w:hAnsi="Arial" w:cs="Arial"/>
                <w:color w:val="000000"/>
                <w:sz w:val="18"/>
                <w:szCs w:val="18"/>
                <w:lang w:eastAsia="sl-SI"/>
              </w:rPr>
            </w:pPr>
            <w:r w:rsidRPr="00E0794B">
              <w:rPr>
                <w:rFonts w:ascii="Arial" w:hAnsi="Arial" w:cs="Arial"/>
                <w:sz w:val="18"/>
                <w:szCs w:val="18"/>
              </w:rPr>
              <w:t>22,61 %</w:t>
            </w:r>
          </w:p>
        </w:tc>
        <w:tc>
          <w:tcPr>
            <w:tcW w:w="475" w:type="pct"/>
            <w:tcBorders>
              <w:top w:val="nil"/>
              <w:left w:val="nil"/>
              <w:bottom w:val="single" w:sz="4" w:space="0" w:color="auto"/>
              <w:right w:val="single" w:sz="4" w:space="0" w:color="auto"/>
            </w:tcBorders>
            <w:shd w:val="clear" w:color="auto" w:fill="auto"/>
            <w:noWrap/>
            <w:vAlign w:val="center"/>
            <w:hideMark/>
          </w:tcPr>
          <w:p w14:paraId="5B84B290" w14:textId="77777777" w:rsidR="00E3750C" w:rsidRPr="00E0794B" w:rsidRDefault="00E3750C" w:rsidP="00047864">
            <w:pPr>
              <w:spacing w:after="0" w:line="240" w:lineRule="auto"/>
              <w:jc w:val="right"/>
              <w:rPr>
                <w:rFonts w:ascii="Arial" w:eastAsia="Times New Roman" w:hAnsi="Arial" w:cs="Arial"/>
                <w:color w:val="000000"/>
                <w:sz w:val="18"/>
                <w:szCs w:val="18"/>
                <w:lang w:eastAsia="sl-SI"/>
              </w:rPr>
            </w:pPr>
            <w:r w:rsidRPr="00E0794B">
              <w:rPr>
                <w:rFonts w:ascii="Arial" w:hAnsi="Arial" w:cs="Arial"/>
                <w:sz w:val="18"/>
                <w:szCs w:val="18"/>
              </w:rPr>
              <w:t>8,23 %</w:t>
            </w:r>
          </w:p>
        </w:tc>
      </w:tr>
      <w:tr w:rsidR="00E3750C" w:rsidRPr="00E0794B" w14:paraId="00E0F354" w14:textId="77777777" w:rsidTr="00047864">
        <w:trPr>
          <w:trHeight w:val="300"/>
        </w:trPr>
        <w:tc>
          <w:tcPr>
            <w:tcW w:w="848" w:type="pct"/>
            <w:vMerge/>
            <w:tcBorders>
              <w:top w:val="nil"/>
              <w:left w:val="single" w:sz="4" w:space="0" w:color="auto"/>
              <w:bottom w:val="single" w:sz="4" w:space="0" w:color="auto"/>
              <w:right w:val="single" w:sz="4" w:space="0" w:color="auto"/>
            </w:tcBorders>
            <w:vAlign w:val="center"/>
            <w:hideMark/>
          </w:tcPr>
          <w:p w14:paraId="366DC037" w14:textId="77777777" w:rsidR="00E3750C" w:rsidRPr="00E0794B" w:rsidRDefault="00E3750C" w:rsidP="00047864">
            <w:pPr>
              <w:spacing w:after="0" w:line="240" w:lineRule="auto"/>
              <w:rPr>
                <w:rFonts w:ascii="Arial" w:eastAsia="Times New Roman" w:hAnsi="Arial" w:cs="Arial"/>
                <w:color w:val="000000"/>
                <w:sz w:val="18"/>
                <w:szCs w:val="18"/>
                <w:lang w:eastAsia="sl-SI"/>
              </w:rPr>
            </w:pPr>
          </w:p>
        </w:tc>
        <w:tc>
          <w:tcPr>
            <w:tcW w:w="618" w:type="pct"/>
            <w:tcBorders>
              <w:top w:val="nil"/>
              <w:left w:val="nil"/>
              <w:bottom w:val="single" w:sz="4" w:space="0" w:color="auto"/>
              <w:right w:val="single" w:sz="4" w:space="0" w:color="auto"/>
            </w:tcBorders>
            <w:shd w:val="clear" w:color="auto" w:fill="auto"/>
            <w:vAlign w:val="center"/>
            <w:hideMark/>
          </w:tcPr>
          <w:p w14:paraId="2B73DA12" w14:textId="77777777" w:rsidR="00E3750C" w:rsidRPr="00E0794B" w:rsidRDefault="00E3750C" w:rsidP="00047864">
            <w:pPr>
              <w:spacing w:after="0" w:line="240" w:lineRule="auto"/>
              <w:rPr>
                <w:rFonts w:ascii="Arial" w:eastAsia="Times New Roman" w:hAnsi="Arial" w:cs="Arial"/>
                <w:color w:val="000000"/>
                <w:sz w:val="18"/>
                <w:szCs w:val="18"/>
                <w:lang w:eastAsia="sl-SI"/>
              </w:rPr>
            </w:pPr>
            <w:r w:rsidRPr="00E0794B">
              <w:rPr>
                <w:rFonts w:ascii="Arial" w:eastAsia="Times New Roman" w:hAnsi="Arial" w:cs="Arial"/>
                <w:color w:val="000000"/>
                <w:sz w:val="18"/>
                <w:szCs w:val="18"/>
                <w:lang w:eastAsia="sl-SI"/>
              </w:rPr>
              <w:t>Gradnje</w:t>
            </w:r>
          </w:p>
        </w:tc>
        <w:tc>
          <w:tcPr>
            <w:tcW w:w="541" w:type="pct"/>
            <w:tcBorders>
              <w:top w:val="nil"/>
              <w:left w:val="nil"/>
              <w:bottom w:val="single" w:sz="4" w:space="0" w:color="auto"/>
              <w:right w:val="single" w:sz="4" w:space="0" w:color="auto"/>
            </w:tcBorders>
            <w:shd w:val="clear" w:color="auto" w:fill="auto"/>
            <w:vAlign w:val="center"/>
            <w:hideMark/>
          </w:tcPr>
          <w:p w14:paraId="1681A115" w14:textId="77777777" w:rsidR="00E3750C" w:rsidRPr="00E0794B" w:rsidRDefault="00E3750C" w:rsidP="00047864">
            <w:pPr>
              <w:spacing w:after="0" w:line="240" w:lineRule="auto"/>
              <w:jc w:val="right"/>
              <w:rPr>
                <w:rFonts w:ascii="Arial" w:eastAsia="Times New Roman" w:hAnsi="Arial" w:cs="Arial"/>
                <w:color w:val="000000"/>
                <w:sz w:val="18"/>
                <w:szCs w:val="18"/>
                <w:lang w:eastAsia="sl-SI"/>
              </w:rPr>
            </w:pPr>
            <w:r w:rsidRPr="00E0794B">
              <w:rPr>
                <w:rFonts w:ascii="Arial" w:hAnsi="Arial" w:cs="Arial"/>
                <w:sz w:val="18"/>
                <w:szCs w:val="18"/>
              </w:rPr>
              <w:t>1.403</w:t>
            </w:r>
          </w:p>
        </w:tc>
        <w:tc>
          <w:tcPr>
            <w:tcW w:w="1045" w:type="pct"/>
            <w:tcBorders>
              <w:top w:val="nil"/>
              <w:left w:val="nil"/>
              <w:bottom w:val="single" w:sz="4" w:space="0" w:color="auto"/>
              <w:right w:val="single" w:sz="4" w:space="0" w:color="auto"/>
            </w:tcBorders>
            <w:shd w:val="clear" w:color="auto" w:fill="auto"/>
            <w:vAlign w:val="center"/>
            <w:hideMark/>
          </w:tcPr>
          <w:p w14:paraId="060D737B" w14:textId="77777777" w:rsidR="00E3750C" w:rsidRPr="00E0794B" w:rsidRDefault="00E3750C" w:rsidP="00047864">
            <w:pPr>
              <w:spacing w:after="0" w:line="240" w:lineRule="auto"/>
              <w:jc w:val="right"/>
              <w:rPr>
                <w:rFonts w:ascii="Arial" w:eastAsia="Times New Roman" w:hAnsi="Arial" w:cs="Arial"/>
                <w:color w:val="000000"/>
                <w:sz w:val="18"/>
                <w:szCs w:val="18"/>
                <w:lang w:eastAsia="sl-SI"/>
              </w:rPr>
            </w:pPr>
            <w:r w:rsidRPr="00E0794B">
              <w:rPr>
                <w:rFonts w:ascii="Arial" w:hAnsi="Arial" w:cs="Arial"/>
                <w:sz w:val="18"/>
                <w:szCs w:val="18"/>
              </w:rPr>
              <w:t>845.065.044</w:t>
            </w:r>
          </w:p>
        </w:tc>
        <w:tc>
          <w:tcPr>
            <w:tcW w:w="518" w:type="pct"/>
            <w:tcBorders>
              <w:top w:val="nil"/>
              <w:left w:val="nil"/>
              <w:bottom w:val="single" w:sz="4" w:space="0" w:color="auto"/>
              <w:right w:val="single" w:sz="4" w:space="0" w:color="auto"/>
            </w:tcBorders>
            <w:shd w:val="clear" w:color="auto" w:fill="auto"/>
            <w:noWrap/>
            <w:vAlign w:val="center"/>
          </w:tcPr>
          <w:p w14:paraId="4D13E8C9" w14:textId="77777777" w:rsidR="00E3750C" w:rsidRPr="00E0794B" w:rsidRDefault="00E3750C" w:rsidP="00047864">
            <w:pPr>
              <w:spacing w:after="0" w:line="240" w:lineRule="auto"/>
              <w:jc w:val="right"/>
              <w:rPr>
                <w:rFonts w:ascii="Arial" w:hAnsi="Arial" w:cs="Arial"/>
                <w:sz w:val="18"/>
                <w:szCs w:val="18"/>
              </w:rPr>
            </w:pPr>
            <w:r w:rsidRPr="00E0794B">
              <w:rPr>
                <w:rFonts w:ascii="Arial" w:hAnsi="Arial" w:cs="Arial"/>
                <w:sz w:val="18"/>
                <w:szCs w:val="18"/>
              </w:rPr>
              <w:t>24,81</w:t>
            </w:r>
            <w:r>
              <w:rPr>
                <w:rFonts w:ascii="Arial" w:hAnsi="Arial" w:cs="Arial"/>
                <w:sz w:val="18"/>
                <w:szCs w:val="18"/>
              </w:rPr>
              <w:t xml:space="preserve"> </w:t>
            </w:r>
            <w:r w:rsidRPr="00E0794B">
              <w:rPr>
                <w:rFonts w:ascii="Arial" w:hAnsi="Arial" w:cs="Arial"/>
                <w:sz w:val="18"/>
                <w:szCs w:val="18"/>
              </w:rPr>
              <w:t>%</w:t>
            </w:r>
          </w:p>
        </w:tc>
        <w:tc>
          <w:tcPr>
            <w:tcW w:w="518" w:type="pct"/>
            <w:tcBorders>
              <w:top w:val="nil"/>
              <w:left w:val="nil"/>
              <w:bottom w:val="single" w:sz="4" w:space="0" w:color="auto"/>
              <w:right w:val="single" w:sz="4" w:space="0" w:color="auto"/>
            </w:tcBorders>
            <w:shd w:val="clear" w:color="auto" w:fill="auto"/>
            <w:noWrap/>
            <w:vAlign w:val="center"/>
          </w:tcPr>
          <w:p w14:paraId="0FD63C37" w14:textId="77777777" w:rsidR="00E3750C" w:rsidRPr="00E0794B" w:rsidRDefault="00E3750C" w:rsidP="00047864">
            <w:pPr>
              <w:spacing w:after="0" w:line="240" w:lineRule="auto"/>
              <w:jc w:val="right"/>
              <w:rPr>
                <w:rFonts w:ascii="Arial" w:hAnsi="Arial" w:cs="Arial"/>
                <w:sz w:val="18"/>
                <w:szCs w:val="18"/>
              </w:rPr>
            </w:pPr>
            <w:r w:rsidRPr="00E0794B">
              <w:rPr>
                <w:rFonts w:ascii="Arial" w:hAnsi="Arial" w:cs="Arial"/>
                <w:sz w:val="18"/>
                <w:szCs w:val="18"/>
              </w:rPr>
              <w:t>79,54</w:t>
            </w:r>
            <w:r>
              <w:rPr>
                <w:rFonts w:ascii="Arial" w:hAnsi="Arial" w:cs="Arial"/>
                <w:sz w:val="18"/>
                <w:szCs w:val="18"/>
              </w:rPr>
              <w:t xml:space="preserve"> </w:t>
            </w:r>
            <w:r w:rsidRPr="00E0794B">
              <w:rPr>
                <w:rFonts w:ascii="Arial" w:hAnsi="Arial" w:cs="Arial"/>
                <w:sz w:val="18"/>
                <w:szCs w:val="18"/>
              </w:rPr>
              <w:t>%</w:t>
            </w:r>
          </w:p>
        </w:tc>
        <w:tc>
          <w:tcPr>
            <w:tcW w:w="437" w:type="pct"/>
            <w:tcBorders>
              <w:top w:val="nil"/>
              <w:left w:val="nil"/>
              <w:bottom w:val="single" w:sz="4" w:space="0" w:color="auto"/>
              <w:right w:val="single" w:sz="4" w:space="0" w:color="auto"/>
            </w:tcBorders>
            <w:shd w:val="clear" w:color="auto" w:fill="auto"/>
            <w:noWrap/>
            <w:vAlign w:val="center"/>
            <w:hideMark/>
          </w:tcPr>
          <w:p w14:paraId="28D0D19D" w14:textId="77777777" w:rsidR="00E3750C" w:rsidRPr="00E0794B" w:rsidRDefault="00E3750C" w:rsidP="00047864">
            <w:pPr>
              <w:spacing w:after="0" w:line="240" w:lineRule="auto"/>
              <w:jc w:val="right"/>
              <w:rPr>
                <w:rFonts w:ascii="Arial" w:eastAsia="Times New Roman" w:hAnsi="Arial" w:cs="Arial"/>
                <w:color w:val="000000"/>
                <w:sz w:val="18"/>
                <w:szCs w:val="18"/>
                <w:lang w:eastAsia="sl-SI"/>
              </w:rPr>
            </w:pPr>
            <w:r w:rsidRPr="00E0794B">
              <w:rPr>
                <w:rFonts w:ascii="Arial" w:hAnsi="Arial" w:cs="Arial"/>
                <w:sz w:val="18"/>
                <w:szCs w:val="18"/>
              </w:rPr>
              <w:t>20,23 %</w:t>
            </w:r>
          </w:p>
        </w:tc>
        <w:tc>
          <w:tcPr>
            <w:tcW w:w="475" w:type="pct"/>
            <w:tcBorders>
              <w:top w:val="nil"/>
              <w:left w:val="nil"/>
              <w:bottom w:val="single" w:sz="4" w:space="0" w:color="auto"/>
              <w:right w:val="single" w:sz="4" w:space="0" w:color="auto"/>
            </w:tcBorders>
            <w:shd w:val="clear" w:color="auto" w:fill="auto"/>
            <w:noWrap/>
            <w:vAlign w:val="center"/>
            <w:hideMark/>
          </w:tcPr>
          <w:p w14:paraId="6E064062" w14:textId="77777777" w:rsidR="00E3750C" w:rsidRPr="00E0794B" w:rsidRDefault="00E3750C" w:rsidP="00047864">
            <w:pPr>
              <w:spacing w:after="0" w:line="240" w:lineRule="auto"/>
              <w:jc w:val="right"/>
              <w:rPr>
                <w:rFonts w:ascii="Arial" w:eastAsia="Times New Roman" w:hAnsi="Arial" w:cs="Arial"/>
                <w:color w:val="000000"/>
                <w:sz w:val="18"/>
                <w:szCs w:val="18"/>
                <w:lang w:eastAsia="sl-SI"/>
              </w:rPr>
            </w:pPr>
            <w:r w:rsidRPr="00E0794B">
              <w:rPr>
                <w:rFonts w:ascii="Arial" w:hAnsi="Arial" w:cs="Arial"/>
                <w:sz w:val="18"/>
                <w:szCs w:val="18"/>
              </w:rPr>
              <w:t>68,24 %</w:t>
            </w:r>
          </w:p>
        </w:tc>
      </w:tr>
      <w:tr w:rsidR="00E3750C" w:rsidRPr="00E0794B" w14:paraId="062AE9EA" w14:textId="77777777" w:rsidTr="00047864">
        <w:trPr>
          <w:trHeight w:val="300"/>
        </w:trPr>
        <w:tc>
          <w:tcPr>
            <w:tcW w:w="848" w:type="pct"/>
            <w:vMerge/>
            <w:tcBorders>
              <w:top w:val="nil"/>
              <w:left w:val="single" w:sz="4" w:space="0" w:color="auto"/>
              <w:bottom w:val="single" w:sz="4" w:space="0" w:color="auto"/>
              <w:right w:val="single" w:sz="4" w:space="0" w:color="auto"/>
            </w:tcBorders>
            <w:vAlign w:val="center"/>
            <w:hideMark/>
          </w:tcPr>
          <w:p w14:paraId="50E39D94" w14:textId="77777777" w:rsidR="00E3750C" w:rsidRPr="00E0794B" w:rsidRDefault="00E3750C" w:rsidP="00047864">
            <w:pPr>
              <w:spacing w:after="0" w:line="240" w:lineRule="auto"/>
              <w:rPr>
                <w:rFonts w:ascii="Arial" w:eastAsia="Times New Roman" w:hAnsi="Arial" w:cs="Arial"/>
                <w:color w:val="000000"/>
                <w:sz w:val="18"/>
                <w:szCs w:val="18"/>
                <w:lang w:eastAsia="sl-SI"/>
              </w:rPr>
            </w:pPr>
          </w:p>
        </w:tc>
        <w:tc>
          <w:tcPr>
            <w:tcW w:w="618" w:type="pct"/>
            <w:tcBorders>
              <w:top w:val="nil"/>
              <w:left w:val="nil"/>
              <w:bottom w:val="single" w:sz="4" w:space="0" w:color="auto"/>
              <w:right w:val="single" w:sz="4" w:space="0" w:color="auto"/>
            </w:tcBorders>
            <w:shd w:val="clear" w:color="auto" w:fill="auto"/>
            <w:vAlign w:val="center"/>
            <w:hideMark/>
          </w:tcPr>
          <w:p w14:paraId="47211C38" w14:textId="77777777" w:rsidR="00E3750C" w:rsidRPr="00E0794B" w:rsidRDefault="00E3750C" w:rsidP="00047864">
            <w:pPr>
              <w:spacing w:after="0" w:line="240" w:lineRule="auto"/>
              <w:rPr>
                <w:rFonts w:ascii="Arial" w:eastAsia="Times New Roman" w:hAnsi="Arial" w:cs="Arial"/>
                <w:b/>
                <w:bCs/>
                <w:color w:val="000000"/>
                <w:sz w:val="18"/>
                <w:szCs w:val="18"/>
                <w:lang w:eastAsia="sl-SI"/>
              </w:rPr>
            </w:pPr>
            <w:r w:rsidRPr="00E0794B">
              <w:rPr>
                <w:rFonts w:ascii="Arial" w:eastAsia="Times New Roman" w:hAnsi="Arial" w:cs="Arial"/>
                <w:b/>
                <w:bCs/>
                <w:color w:val="000000"/>
                <w:sz w:val="18"/>
                <w:szCs w:val="18"/>
                <w:lang w:eastAsia="sl-SI"/>
              </w:rPr>
              <w:t>Skupaj</w:t>
            </w:r>
          </w:p>
        </w:tc>
        <w:tc>
          <w:tcPr>
            <w:tcW w:w="541" w:type="pct"/>
            <w:tcBorders>
              <w:top w:val="nil"/>
              <w:left w:val="nil"/>
              <w:bottom w:val="single" w:sz="4" w:space="0" w:color="auto"/>
              <w:right w:val="single" w:sz="4" w:space="0" w:color="auto"/>
            </w:tcBorders>
            <w:shd w:val="clear" w:color="auto" w:fill="auto"/>
            <w:vAlign w:val="center"/>
            <w:hideMark/>
          </w:tcPr>
          <w:p w14:paraId="5C447366" w14:textId="77777777" w:rsidR="00E3750C" w:rsidRPr="00E0794B" w:rsidRDefault="00E3750C" w:rsidP="00047864">
            <w:pPr>
              <w:spacing w:after="0" w:line="240" w:lineRule="auto"/>
              <w:jc w:val="right"/>
              <w:rPr>
                <w:rFonts w:ascii="Arial" w:eastAsia="Times New Roman" w:hAnsi="Arial" w:cs="Arial"/>
                <w:b/>
                <w:bCs/>
                <w:color w:val="000000"/>
                <w:sz w:val="18"/>
                <w:szCs w:val="18"/>
                <w:lang w:eastAsia="sl-SI"/>
              </w:rPr>
            </w:pPr>
            <w:r w:rsidRPr="00E0794B">
              <w:rPr>
                <w:rFonts w:ascii="Arial" w:hAnsi="Arial" w:cs="Arial"/>
                <w:b/>
                <w:bCs/>
                <w:sz w:val="18"/>
                <w:szCs w:val="18"/>
              </w:rPr>
              <w:t>5.654</w:t>
            </w:r>
          </w:p>
        </w:tc>
        <w:tc>
          <w:tcPr>
            <w:tcW w:w="1045" w:type="pct"/>
            <w:tcBorders>
              <w:top w:val="nil"/>
              <w:left w:val="nil"/>
              <w:bottom w:val="single" w:sz="4" w:space="0" w:color="auto"/>
              <w:right w:val="single" w:sz="4" w:space="0" w:color="auto"/>
            </w:tcBorders>
            <w:shd w:val="clear" w:color="auto" w:fill="auto"/>
            <w:vAlign w:val="center"/>
            <w:hideMark/>
          </w:tcPr>
          <w:p w14:paraId="490BEED7" w14:textId="77777777" w:rsidR="00E3750C" w:rsidRPr="00E0794B" w:rsidRDefault="00E3750C" w:rsidP="00047864">
            <w:pPr>
              <w:spacing w:after="0" w:line="240" w:lineRule="auto"/>
              <w:jc w:val="right"/>
              <w:rPr>
                <w:rFonts w:ascii="Arial" w:eastAsia="Times New Roman" w:hAnsi="Arial" w:cs="Arial"/>
                <w:b/>
                <w:bCs/>
                <w:color w:val="000000"/>
                <w:sz w:val="18"/>
                <w:szCs w:val="18"/>
                <w:lang w:eastAsia="sl-SI"/>
              </w:rPr>
            </w:pPr>
            <w:r w:rsidRPr="00E0794B">
              <w:rPr>
                <w:rFonts w:ascii="Arial" w:hAnsi="Arial" w:cs="Arial"/>
                <w:b/>
                <w:bCs/>
                <w:sz w:val="18"/>
                <w:szCs w:val="18"/>
              </w:rPr>
              <w:t>1.062.473.065</w:t>
            </w:r>
          </w:p>
        </w:tc>
        <w:tc>
          <w:tcPr>
            <w:tcW w:w="518" w:type="pct"/>
            <w:tcBorders>
              <w:top w:val="nil"/>
              <w:left w:val="nil"/>
              <w:bottom w:val="single" w:sz="4" w:space="0" w:color="auto"/>
              <w:right w:val="single" w:sz="4" w:space="0" w:color="auto"/>
            </w:tcBorders>
            <w:shd w:val="clear" w:color="auto" w:fill="auto"/>
            <w:noWrap/>
            <w:vAlign w:val="center"/>
            <w:hideMark/>
          </w:tcPr>
          <w:p w14:paraId="69D67F53" w14:textId="77777777" w:rsidR="00E3750C" w:rsidRPr="00E0794B" w:rsidRDefault="00E3750C" w:rsidP="00047864">
            <w:pPr>
              <w:spacing w:after="0" w:line="240" w:lineRule="auto"/>
              <w:jc w:val="right"/>
              <w:rPr>
                <w:rFonts w:ascii="Arial" w:hAnsi="Arial" w:cs="Arial"/>
                <w:b/>
                <w:bCs/>
                <w:sz w:val="18"/>
                <w:szCs w:val="18"/>
              </w:rPr>
            </w:pPr>
            <w:r w:rsidRPr="00E0794B">
              <w:rPr>
                <w:rFonts w:ascii="Arial" w:hAnsi="Arial" w:cs="Arial"/>
                <w:b/>
                <w:bCs/>
                <w:sz w:val="18"/>
                <w:szCs w:val="18"/>
              </w:rPr>
              <w:t>100,00</w:t>
            </w:r>
            <w:r>
              <w:rPr>
                <w:rFonts w:ascii="Arial" w:hAnsi="Arial" w:cs="Arial"/>
                <w:b/>
                <w:bCs/>
                <w:sz w:val="18"/>
                <w:szCs w:val="18"/>
              </w:rPr>
              <w:t xml:space="preserve"> </w:t>
            </w:r>
            <w:r w:rsidRPr="00E0794B">
              <w:rPr>
                <w:rFonts w:ascii="Arial" w:hAnsi="Arial" w:cs="Arial"/>
                <w:b/>
                <w:bCs/>
                <w:sz w:val="18"/>
                <w:szCs w:val="18"/>
              </w:rPr>
              <w:t>%</w:t>
            </w:r>
          </w:p>
        </w:tc>
        <w:tc>
          <w:tcPr>
            <w:tcW w:w="518" w:type="pct"/>
            <w:tcBorders>
              <w:top w:val="nil"/>
              <w:left w:val="nil"/>
              <w:bottom w:val="single" w:sz="4" w:space="0" w:color="auto"/>
              <w:right w:val="single" w:sz="4" w:space="0" w:color="auto"/>
            </w:tcBorders>
            <w:shd w:val="clear" w:color="auto" w:fill="auto"/>
            <w:noWrap/>
            <w:vAlign w:val="center"/>
            <w:hideMark/>
          </w:tcPr>
          <w:p w14:paraId="64DF8F75" w14:textId="77777777" w:rsidR="00E3750C" w:rsidRPr="00E0794B" w:rsidRDefault="00E3750C" w:rsidP="00047864">
            <w:pPr>
              <w:spacing w:after="0" w:line="240" w:lineRule="auto"/>
              <w:jc w:val="right"/>
              <w:rPr>
                <w:rFonts w:ascii="Arial" w:hAnsi="Arial" w:cs="Arial"/>
                <w:b/>
                <w:bCs/>
                <w:sz w:val="18"/>
                <w:szCs w:val="18"/>
              </w:rPr>
            </w:pPr>
            <w:r w:rsidRPr="00E0794B">
              <w:rPr>
                <w:rFonts w:ascii="Arial" w:hAnsi="Arial" w:cs="Arial"/>
                <w:b/>
                <w:bCs/>
                <w:sz w:val="18"/>
                <w:szCs w:val="18"/>
              </w:rPr>
              <w:t>100,00 %</w:t>
            </w:r>
          </w:p>
        </w:tc>
        <w:tc>
          <w:tcPr>
            <w:tcW w:w="437" w:type="pct"/>
            <w:tcBorders>
              <w:top w:val="nil"/>
              <w:left w:val="nil"/>
              <w:bottom w:val="single" w:sz="4" w:space="0" w:color="auto"/>
              <w:right w:val="single" w:sz="4" w:space="0" w:color="auto"/>
            </w:tcBorders>
            <w:shd w:val="clear" w:color="auto" w:fill="auto"/>
            <w:noWrap/>
            <w:vAlign w:val="center"/>
            <w:hideMark/>
          </w:tcPr>
          <w:p w14:paraId="6F8F6274" w14:textId="77777777" w:rsidR="00E3750C" w:rsidRPr="00E0794B" w:rsidRDefault="00E3750C" w:rsidP="00047864">
            <w:pPr>
              <w:spacing w:after="0" w:line="240" w:lineRule="auto"/>
              <w:jc w:val="right"/>
              <w:rPr>
                <w:rFonts w:ascii="Arial" w:eastAsia="Times New Roman" w:hAnsi="Arial" w:cs="Arial"/>
                <w:b/>
                <w:bCs/>
                <w:color w:val="000000"/>
                <w:sz w:val="18"/>
                <w:szCs w:val="18"/>
                <w:lang w:eastAsia="sl-SI"/>
              </w:rPr>
            </w:pPr>
            <w:r w:rsidRPr="00E0794B">
              <w:rPr>
                <w:rFonts w:ascii="Arial" w:hAnsi="Arial" w:cs="Arial"/>
                <w:b/>
                <w:bCs/>
                <w:sz w:val="18"/>
                <w:szCs w:val="18"/>
              </w:rPr>
              <w:t>81,53 %</w:t>
            </w:r>
          </w:p>
        </w:tc>
        <w:tc>
          <w:tcPr>
            <w:tcW w:w="475" w:type="pct"/>
            <w:tcBorders>
              <w:top w:val="nil"/>
              <w:left w:val="nil"/>
              <w:bottom w:val="single" w:sz="4" w:space="0" w:color="auto"/>
              <w:right w:val="single" w:sz="4" w:space="0" w:color="auto"/>
            </w:tcBorders>
            <w:shd w:val="clear" w:color="auto" w:fill="auto"/>
            <w:noWrap/>
            <w:vAlign w:val="center"/>
            <w:hideMark/>
          </w:tcPr>
          <w:p w14:paraId="6AC0EC02" w14:textId="77777777" w:rsidR="00E3750C" w:rsidRPr="00E0794B" w:rsidRDefault="00E3750C" w:rsidP="00047864">
            <w:pPr>
              <w:spacing w:after="0" w:line="240" w:lineRule="auto"/>
              <w:jc w:val="right"/>
              <w:rPr>
                <w:rFonts w:ascii="Arial" w:eastAsia="Times New Roman" w:hAnsi="Arial" w:cs="Arial"/>
                <w:b/>
                <w:bCs/>
                <w:color w:val="000000"/>
                <w:sz w:val="18"/>
                <w:szCs w:val="18"/>
                <w:lang w:eastAsia="sl-SI"/>
              </w:rPr>
            </w:pPr>
            <w:r w:rsidRPr="00E0794B">
              <w:rPr>
                <w:rFonts w:ascii="Arial" w:hAnsi="Arial" w:cs="Arial"/>
                <w:b/>
                <w:bCs/>
                <w:sz w:val="18"/>
                <w:szCs w:val="18"/>
              </w:rPr>
              <w:t>85,80 %</w:t>
            </w:r>
          </w:p>
        </w:tc>
      </w:tr>
      <w:tr w:rsidR="00E3750C" w:rsidRPr="00E0794B" w14:paraId="6480D9E1" w14:textId="77777777" w:rsidTr="00047864">
        <w:trPr>
          <w:trHeight w:val="300"/>
        </w:trPr>
        <w:tc>
          <w:tcPr>
            <w:tcW w:w="848" w:type="pct"/>
            <w:vMerge w:val="restart"/>
            <w:tcBorders>
              <w:top w:val="nil"/>
              <w:left w:val="single" w:sz="4" w:space="0" w:color="auto"/>
              <w:bottom w:val="single" w:sz="4" w:space="0" w:color="auto"/>
              <w:right w:val="single" w:sz="4" w:space="0" w:color="auto"/>
            </w:tcBorders>
            <w:shd w:val="clear" w:color="auto" w:fill="auto"/>
            <w:vAlign w:val="center"/>
            <w:hideMark/>
          </w:tcPr>
          <w:p w14:paraId="375C59AD" w14:textId="77777777" w:rsidR="00E3750C" w:rsidRPr="00E0794B" w:rsidRDefault="00E3750C" w:rsidP="00047864">
            <w:pPr>
              <w:spacing w:after="0" w:line="240" w:lineRule="auto"/>
              <w:rPr>
                <w:rFonts w:ascii="Arial" w:eastAsia="Times New Roman" w:hAnsi="Arial" w:cs="Arial"/>
                <w:color w:val="000000"/>
                <w:sz w:val="18"/>
                <w:szCs w:val="18"/>
                <w:lang w:eastAsia="sl-SI"/>
              </w:rPr>
            </w:pPr>
            <w:r w:rsidRPr="00E0794B">
              <w:rPr>
                <w:rFonts w:ascii="Arial" w:eastAsia="Times New Roman" w:hAnsi="Arial" w:cs="Arial"/>
                <w:color w:val="000000"/>
                <w:sz w:val="18"/>
                <w:szCs w:val="18"/>
                <w:lang w:eastAsia="sl-SI"/>
              </w:rPr>
              <w:t>Infrastrukturno</w:t>
            </w:r>
          </w:p>
        </w:tc>
        <w:tc>
          <w:tcPr>
            <w:tcW w:w="618" w:type="pct"/>
            <w:tcBorders>
              <w:top w:val="nil"/>
              <w:left w:val="nil"/>
              <w:bottom w:val="single" w:sz="4" w:space="0" w:color="auto"/>
              <w:right w:val="single" w:sz="4" w:space="0" w:color="auto"/>
            </w:tcBorders>
            <w:shd w:val="clear" w:color="auto" w:fill="auto"/>
            <w:vAlign w:val="center"/>
            <w:hideMark/>
          </w:tcPr>
          <w:p w14:paraId="6CE90701" w14:textId="77777777" w:rsidR="00E3750C" w:rsidRPr="00E0794B" w:rsidRDefault="00E3750C" w:rsidP="00047864">
            <w:pPr>
              <w:spacing w:after="0" w:line="240" w:lineRule="auto"/>
              <w:rPr>
                <w:rFonts w:ascii="Arial" w:eastAsia="Times New Roman" w:hAnsi="Arial" w:cs="Arial"/>
                <w:color w:val="000000"/>
                <w:sz w:val="18"/>
                <w:szCs w:val="18"/>
                <w:lang w:eastAsia="sl-SI"/>
              </w:rPr>
            </w:pPr>
            <w:r w:rsidRPr="00E0794B">
              <w:rPr>
                <w:rFonts w:ascii="Arial" w:eastAsia="Times New Roman" w:hAnsi="Arial" w:cs="Arial"/>
                <w:color w:val="000000"/>
                <w:sz w:val="18"/>
                <w:szCs w:val="18"/>
                <w:lang w:eastAsia="sl-SI"/>
              </w:rPr>
              <w:t>Blago</w:t>
            </w:r>
          </w:p>
        </w:tc>
        <w:tc>
          <w:tcPr>
            <w:tcW w:w="541" w:type="pct"/>
            <w:tcBorders>
              <w:top w:val="nil"/>
              <w:left w:val="nil"/>
              <w:bottom w:val="single" w:sz="4" w:space="0" w:color="auto"/>
              <w:right w:val="single" w:sz="4" w:space="0" w:color="auto"/>
            </w:tcBorders>
            <w:shd w:val="clear" w:color="auto" w:fill="auto"/>
            <w:vAlign w:val="center"/>
            <w:hideMark/>
          </w:tcPr>
          <w:p w14:paraId="42BEA44E" w14:textId="77777777" w:rsidR="00E3750C" w:rsidRPr="00E0794B" w:rsidRDefault="00E3750C" w:rsidP="00047864">
            <w:pPr>
              <w:spacing w:after="0" w:line="240" w:lineRule="auto"/>
              <w:jc w:val="right"/>
              <w:rPr>
                <w:rFonts w:ascii="Arial" w:eastAsia="Times New Roman" w:hAnsi="Arial" w:cs="Arial"/>
                <w:color w:val="000000"/>
                <w:sz w:val="18"/>
                <w:szCs w:val="18"/>
                <w:lang w:eastAsia="sl-SI"/>
              </w:rPr>
            </w:pPr>
            <w:r w:rsidRPr="00E0794B">
              <w:rPr>
                <w:rFonts w:ascii="Arial" w:hAnsi="Arial" w:cs="Arial"/>
                <w:sz w:val="18"/>
                <w:szCs w:val="18"/>
              </w:rPr>
              <w:t>641</w:t>
            </w:r>
          </w:p>
        </w:tc>
        <w:tc>
          <w:tcPr>
            <w:tcW w:w="1045" w:type="pct"/>
            <w:tcBorders>
              <w:top w:val="nil"/>
              <w:left w:val="nil"/>
              <w:bottom w:val="single" w:sz="4" w:space="0" w:color="auto"/>
              <w:right w:val="single" w:sz="4" w:space="0" w:color="auto"/>
            </w:tcBorders>
            <w:shd w:val="clear" w:color="auto" w:fill="auto"/>
            <w:vAlign w:val="center"/>
            <w:hideMark/>
          </w:tcPr>
          <w:p w14:paraId="26B21064" w14:textId="77777777" w:rsidR="00E3750C" w:rsidRPr="00E0794B" w:rsidRDefault="00E3750C" w:rsidP="00047864">
            <w:pPr>
              <w:spacing w:after="0" w:line="240" w:lineRule="auto"/>
              <w:jc w:val="right"/>
              <w:rPr>
                <w:rFonts w:ascii="Arial" w:eastAsia="Times New Roman" w:hAnsi="Arial" w:cs="Arial"/>
                <w:color w:val="000000"/>
                <w:sz w:val="18"/>
                <w:szCs w:val="18"/>
                <w:lang w:eastAsia="sl-SI"/>
              </w:rPr>
            </w:pPr>
            <w:r w:rsidRPr="00E0794B">
              <w:rPr>
                <w:rFonts w:ascii="Arial" w:hAnsi="Arial" w:cs="Arial"/>
                <w:sz w:val="18"/>
                <w:szCs w:val="18"/>
              </w:rPr>
              <w:t>60.896.387</w:t>
            </w:r>
          </w:p>
        </w:tc>
        <w:tc>
          <w:tcPr>
            <w:tcW w:w="518" w:type="pct"/>
            <w:tcBorders>
              <w:top w:val="nil"/>
              <w:left w:val="nil"/>
              <w:bottom w:val="single" w:sz="4" w:space="0" w:color="auto"/>
              <w:right w:val="single" w:sz="4" w:space="0" w:color="auto"/>
            </w:tcBorders>
            <w:shd w:val="clear" w:color="auto" w:fill="auto"/>
            <w:noWrap/>
            <w:vAlign w:val="center"/>
          </w:tcPr>
          <w:p w14:paraId="182B8DD1" w14:textId="77777777" w:rsidR="00E3750C" w:rsidRPr="00E0794B" w:rsidRDefault="00E3750C" w:rsidP="00047864">
            <w:pPr>
              <w:spacing w:after="0" w:line="240" w:lineRule="auto"/>
              <w:jc w:val="right"/>
              <w:rPr>
                <w:rFonts w:ascii="Arial" w:hAnsi="Arial" w:cs="Arial"/>
                <w:sz w:val="18"/>
                <w:szCs w:val="18"/>
              </w:rPr>
            </w:pPr>
            <w:r w:rsidRPr="00E0794B">
              <w:rPr>
                <w:rFonts w:ascii="Arial" w:hAnsi="Arial" w:cs="Arial"/>
                <w:sz w:val="18"/>
                <w:szCs w:val="18"/>
              </w:rPr>
              <w:t>52,50</w:t>
            </w:r>
            <w:r>
              <w:rPr>
                <w:rFonts w:ascii="Arial" w:hAnsi="Arial" w:cs="Arial"/>
                <w:sz w:val="18"/>
                <w:szCs w:val="18"/>
              </w:rPr>
              <w:t xml:space="preserve"> </w:t>
            </w:r>
            <w:r w:rsidRPr="00E0794B">
              <w:rPr>
                <w:rFonts w:ascii="Arial" w:hAnsi="Arial" w:cs="Arial"/>
                <w:sz w:val="18"/>
                <w:szCs w:val="18"/>
              </w:rPr>
              <w:t>%</w:t>
            </w:r>
          </w:p>
        </w:tc>
        <w:tc>
          <w:tcPr>
            <w:tcW w:w="518" w:type="pct"/>
            <w:tcBorders>
              <w:top w:val="nil"/>
              <w:left w:val="nil"/>
              <w:bottom w:val="single" w:sz="4" w:space="0" w:color="auto"/>
              <w:right w:val="single" w:sz="4" w:space="0" w:color="auto"/>
            </w:tcBorders>
            <w:shd w:val="clear" w:color="auto" w:fill="auto"/>
            <w:noWrap/>
            <w:vAlign w:val="center"/>
          </w:tcPr>
          <w:p w14:paraId="59EC5B53" w14:textId="77777777" w:rsidR="00E3750C" w:rsidRPr="00E0794B" w:rsidRDefault="00E3750C" w:rsidP="00047864">
            <w:pPr>
              <w:spacing w:after="0" w:line="240" w:lineRule="auto"/>
              <w:jc w:val="right"/>
              <w:rPr>
                <w:rFonts w:ascii="Arial" w:hAnsi="Arial" w:cs="Arial"/>
                <w:sz w:val="18"/>
                <w:szCs w:val="18"/>
              </w:rPr>
            </w:pPr>
            <w:r w:rsidRPr="00E0794B">
              <w:rPr>
                <w:rFonts w:ascii="Arial" w:hAnsi="Arial" w:cs="Arial"/>
                <w:sz w:val="18"/>
                <w:szCs w:val="18"/>
              </w:rPr>
              <w:t>37,58</w:t>
            </w:r>
            <w:r>
              <w:rPr>
                <w:rFonts w:ascii="Arial" w:hAnsi="Arial" w:cs="Arial"/>
                <w:sz w:val="18"/>
                <w:szCs w:val="18"/>
              </w:rPr>
              <w:t xml:space="preserve"> </w:t>
            </w:r>
            <w:r w:rsidRPr="00E0794B">
              <w:rPr>
                <w:rFonts w:ascii="Arial" w:hAnsi="Arial" w:cs="Arial"/>
                <w:sz w:val="18"/>
                <w:szCs w:val="18"/>
              </w:rPr>
              <w:t>%</w:t>
            </w:r>
          </w:p>
        </w:tc>
        <w:tc>
          <w:tcPr>
            <w:tcW w:w="437" w:type="pct"/>
            <w:tcBorders>
              <w:top w:val="nil"/>
              <w:left w:val="nil"/>
              <w:bottom w:val="single" w:sz="4" w:space="0" w:color="auto"/>
              <w:right w:val="single" w:sz="4" w:space="0" w:color="auto"/>
            </w:tcBorders>
            <w:shd w:val="clear" w:color="auto" w:fill="auto"/>
            <w:noWrap/>
            <w:vAlign w:val="center"/>
            <w:hideMark/>
          </w:tcPr>
          <w:p w14:paraId="5B78552B" w14:textId="77777777" w:rsidR="00E3750C" w:rsidRPr="00E0794B" w:rsidRDefault="00E3750C" w:rsidP="00047864">
            <w:pPr>
              <w:spacing w:after="0" w:line="240" w:lineRule="auto"/>
              <w:jc w:val="right"/>
              <w:rPr>
                <w:rFonts w:ascii="Arial" w:eastAsia="Times New Roman" w:hAnsi="Arial" w:cs="Arial"/>
                <w:color w:val="000000"/>
                <w:sz w:val="18"/>
                <w:szCs w:val="18"/>
                <w:lang w:eastAsia="sl-SI"/>
              </w:rPr>
            </w:pPr>
            <w:r w:rsidRPr="00E0794B">
              <w:rPr>
                <w:rFonts w:ascii="Arial" w:hAnsi="Arial" w:cs="Arial"/>
                <w:sz w:val="18"/>
                <w:szCs w:val="18"/>
              </w:rPr>
              <w:t>9,24 %</w:t>
            </w:r>
          </w:p>
        </w:tc>
        <w:tc>
          <w:tcPr>
            <w:tcW w:w="475" w:type="pct"/>
            <w:tcBorders>
              <w:top w:val="nil"/>
              <w:left w:val="nil"/>
              <w:bottom w:val="single" w:sz="4" w:space="0" w:color="auto"/>
              <w:right w:val="single" w:sz="4" w:space="0" w:color="auto"/>
            </w:tcBorders>
            <w:shd w:val="clear" w:color="auto" w:fill="auto"/>
            <w:noWrap/>
            <w:vAlign w:val="center"/>
            <w:hideMark/>
          </w:tcPr>
          <w:p w14:paraId="3268408B" w14:textId="77777777" w:rsidR="00E3750C" w:rsidRPr="00E0794B" w:rsidRDefault="00E3750C" w:rsidP="00047864">
            <w:pPr>
              <w:spacing w:after="0" w:line="240" w:lineRule="auto"/>
              <w:jc w:val="right"/>
              <w:rPr>
                <w:rFonts w:ascii="Arial" w:eastAsia="Times New Roman" w:hAnsi="Arial" w:cs="Arial"/>
                <w:color w:val="000000"/>
                <w:sz w:val="18"/>
                <w:szCs w:val="18"/>
                <w:lang w:eastAsia="sl-SI"/>
              </w:rPr>
            </w:pPr>
            <w:r w:rsidRPr="00E0794B">
              <w:rPr>
                <w:rFonts w:ascii="Arial" w:hAnsi="Arial" w:cs="Arial"/>
                <w:sz w:val="18"/>
                <w:szCs w:val="18"/>
              </w:rPr>
              <w:t>4,92 %</w:t>
            </w:r>
          </w:p>
        </w:tc>
      </w:tr>
      <w:tr w:rsidR="00E3750C" w:rsidRPr="00E0794B" w14:paraId="0115620F" w14:textId="77777777" w:rsidTr="00047864">
        <w:trPr>
          <w:trHeight w:val="300"/>
        </w:trPr>
        <w:tc>
          <w:tcPr>
            <w:tcW w:w="848" w:type="pct"/>
            <w:vMerge/>
            <w:tcBorders>
              <w:top w:val="nil"/>
              <w:left w:val="single" w:sz="4" w:space="0" w:color="auto"/>
              <w:bottom w:val="single" w:sz="4" w:space="0" w:color="auto"/>
              <w:right w:val="single" w:sz="4" w:space="0" w:color="auto"/>
            </w:tcBorders>
            <w:vAlign w:val="center"/>
            <w:hideMark/>
          </w:tcPr>
          <w:p w14:paraId="3E336E38" w14:textId="77777777" w:rsidR="00E3750C" w:rsidRPr="00E0794B" w:rsidRDefault="00E3750C" w:rsidP="00047864">
            <w:pPr>
              <w:spacing w:after="0" w:line="240" w:lineRule="auto"/>
              <w:rPr>
                <w:rFonts w:ascii="Arial" w:eastAsia="Times New Roman" w:hAnsi="Arial" w:cs="Arial"/>
                <w:color w:val="000000"/>
                <w:sz w:val="18"/>
                <w:szCs w:val="18"/>
                <w:lang w:eastAsia="sl-SI"/>
              </w:rPr>
            </w:pPr>
          </w:p>
        </w:tc>
        <w:tc>
          <w:tcPr>
            <w:tcW w:w="618" w:type="pct"/>
            <w:tcBorders>
              <w:top w:val="nil"/>
              <w:left w:val="nil"/>
              <w:bottom w:val="single" w:sz="4" w:space="0" w:color="auto"/>
              <w:right w:val="single" w:sz="4" w:space="0" w:color="auto"/>
            </w:tcBorders>
            <w:shd w:val="clear" w:color="auto" w:fill="auto"/>
            <w:vAlign w:val="center"/>
            <w:hideMark/>
          </w:tcPr>
          <w:p w14:paraId="5618403F" w14:textId="77777777" w:rsidR="00E3750C" w:rsidRPr="00E0794B" w:rsidRDefault="00E3750C" w:rsidP="00047864">
            <w:pPr>
              <w:spacing w:after="0" w:line="240" w:lineRule="auto"/>
              <w:rPr>
                <w:rFonts w:ascii="Arial" w:eastAsia="Times New Roman" w:hAnsi="Arial" w:cs="Arial"/>
                <w:color w:val="000000"/>
                <w:sz w:val="18"/>
                <w:szCs w:val="18"/>
                <w:lang w:eastAsia="sl-SI"/>
              </w:rPr>
            </w:pPr>
            <w:r w:rsidRPr="00E0794B">
              <w:rPr>
                <w:rFonts w:ascii="Arial" w:eastAsia="Times New Roman" w:hAnsi="Arial" w:cs="Arial"/>
                <w:color w:val="000000"/>
                <w:sz w:val="18"/>
                <w:szCs w:val="18"/>
                <w:lang w:eastAsia="sl-SI"/>
              </w:rPr>
              <w:t>Storitve</w:t>
            </w:r>
          </w:p>
        </w:tc>
        <w:tc>
          <w:tcPr>
            <w:tcW w:w="541" w:type="pct"/>
            <w:tcBorders>
              <w:top w:val="nil"/>
              <w:left w:val="nil"/>
              <w:bottom w:val="single" w:sz="4" w:space="0" w:color="auto"/>
              <w:right w:val="single" w:sz="4" w:space="0" w:color="auto"/>
            </w:tcBorders>
            <w:shd w:val="clear" w:color="auto" w:fill="auto"/>
            <w:vAlign w:val="center"/>
            <w:hideMark/>
          </w:tcPr>
          <w:p w14:paraId="7B658BEC" w14:textId="77777777" w:rsidR="00E3750C" w:rsidRPr="00E0794B" w:rsidRDefault="00E3750C" w:rsidP="00047864">
            <w:pPr>
              <w:spacing w:after="0" w:line="240" w:lineRule="auto"/>
              <w:jc w:val="right"/>
              <w:rPr>
                <w:rFonts w:ascii="Arial" w:eastAsia="Times New Roman" w:hAnsi="Arial" w:cs="Arial"/>
                <w:color w:val="000000"/>
                <w:sz w:val="18"/>
                <w:szCs w:val="18"/>
                <w:lang w:eastAsia="sl-SI"/>
              </w:rPr>
            </w:pPr>
            <w:r w:rsidRPr="00E0794B">
              <w:rPr>
                <w:rFonts w:ascii="Arial" w:hAnsi="Arial" w:cs="Arial"/>
                <w:sz w:val="18"/>
                <w:szCs w:val="18"/>
              </w:rPr>
              <w:t>390</w:t>
            </w:r>
          </w:p>
        </w:tc>
        <w:tc>
          <w:tcPr>
            <w:tcW w:w="1045" w:type="pct"/>
            <w:tcBorders>
              <w:top w:val="nil"/>
              <w:left w:val="nil"/>
              <w:bottom w:val="single" w:sz="4" w:space="0" w:color="auto"/>
              <w:right w:val="single" w:sz="4" w:space="0" w:color="auto"/>
            </w:tcBorders>
            <w:shd w:val="clear" w:color="auto" w:fill="auto"/>
            <w:vAlign w:val="center"/>
            <w:hideMark/>
          </w:tcPr>
          <w:p w14:paraId="01B5D12D" w14:textId="77777777" w:rsidR="00E3750C" w:rsidRPr="00E0794B" w:rsidRDefault="00E3750C" w:rsidP="00047864">
            <w:pPr>
              <w:spacing w:after="0" w:line="240" w:lineRule="auto"/>
              <w:jc w:val="right"/>
              <w:rPr>
                <w:rFonts w:ascii="Arial" w:eastAsia="Times New Roman" w:hAnsi="Arial" w:cs="Arial"/>
                <w:color w:val="000000"/>
                <w:sz w:val="18"/>
                <w:szCs w:val="18"/>
                <w:lang w:eastAsia="sl-SI"/>
              </w:rPr>
            </w:pPr>
            <w:r w:rsidRPr="00E0794B">
              <w:rPr>
                <w:rFonts w:ascii="Arial" w:hAnsi="Arial" w:cs="Arial"/>
                <w:sz w:val="18"/>
                <w:szCs w:val="18"/>
              </w:rPr>
              <w:t>47.322.908</w:t>
            </w:r>
          </w:p>
        </w:tc>
        <w:tc>
          <w:tcPr>
            <w:tcW w:w="518" w:type="pct"/>
            <w:tcBorders>
              <w:top w:val="nil"/>
              <w:left w:val="nil"/>
              <w:bottom w:val="single" w:sz="4" w:space="0" w:color="auto"/>
              <w:right w:val="single" w:sz="4" w:space="0" w:color="auto"/>
            </w:tcBorders>
            <w:shd w:val="clear" w:color="auto" w:fill="auto"/>
            <w:noWrap/>
            <w:vAlign w:val="center"/>
          </w:tcPr>
          <w:p w14:paraId="37266950" w14:textId="77777777" w:rsidR="00E3750C" w:rsidRPr="00E0794B" w:rsidRDefault="00E3750C" w:rsidP="00047864">
            <w:pPr>
              <w:spacing w:after="0" w:line="240" w:lineRule="auto"/>
              <w:jc w:val="right"/>
              <w:rPr>
                <w:rFonts w:ascii="Arial" w:hAnsi="Arial" w:cs="Arial"/>
                <w:sz w:val="18"/>
                <w:szCs w:val="18"/>
              </w:rPr>
            </w:pPr>
            <w:r w:rsidRPr="00E0794B">
              <w:rPr>
                <w:rFonts w:ascii="Arial" w:hAnsi="Arial" w:cs="Arial"/>
                <w:sz w:val="18"/>
                <w:szCs w:val="18"/>
              </w:rPr>
              <w:t>31,94</w:t>
            </w:r>
            <w:r>
              <w:rPr>
                <w:rFonts w:ascii="Arial" w:hAnsi="Arial" w:cs="Arial"/>
                <w:sz w:val="18"/>
                <w:szCs w:val="18"/>
              </w:rPr>
              <w:t xml:space="preserve"> </w:t>
            </w:r>
            <w:r w:rsidRPr="00E0794B">
              <w:rPr>
                <w:rFonts w:ascii="Arial" w:hAnsi="Arial" w:cs="Arial"/>
                <w:sz w:val="18"/>
                <w:szCs w:val="18"/>
              </w:rPr>
              <w:t>%</w:t>
            </w:r>
          </w:p>
        </w:tc>
        <w:tc>
          <w:tcPr>
            <w:tcW w:w="518" w:type="pct"/>
            <w:tcBorders>
              <w:top w:val="nil"/>
              <w:left w:val="nil"/>
              <w:bottom w:val="single" w:sz="4" w:space="0" w:color="auto"/>
              <w:right w:val="single" w:sz="4" w:space="0" w:color="auto"/>
            </w:tcBorders>
            <w:shd w:val="clear" w:color="auto" w:fill="auto"/>
            <w:noWrap/>
            <w:vAlign w:val="center"/>
          </w:tcPr>
          <w:p w14:paraId="57A30438" w14:textId="77777777" w:rsidR="00E3750C" w:rsidRPr="00E0794B" w:rsidRDefault="00E3750C" w:rsidP="00047864">
            <w:pPr>
              <w:spacing w:after="0" w:line="240" w:lineRule="auto"/>
              <w:jc w:val="right"/>
              <w:rPr>
                <w:rFonts w:ascii="Arial" w:hAnsi="Arial" w:cs="Arial"/>
                <w:sz w:val="18"/>
                <w:szCs w:val="18"/>
              </w:rPr>
            </w:pPr>
            <w:r w:rsidRPr="00E0794B">
              <w:rPr>
                <w:rFonts w:ascii="Arial" w:hAnsi="Arial" w:cs="Arial"/>
                <w:sz w:val="18"/>
                <w:szCs w:val="18"/>
              </w:rPr>
              <w:t>29,20</w:t>
            </w:r>
            <w:r>
              <w:rPr>
                <w:rFonts w:ascii="Arial" w:hAnsi="Arial" w:cs="Arial"/>
                <w:sz w:val="18"/>
                <w:szCs w:val="18"/>
              </w:rPr>
              <w:t xml:space="preserve"> </w:t>
            </w:r>
            <w:r w:rsidRPr="00E0794B">
              <w:rPr>
                <w:rFonts w:ascii="Arial" w:hAnsi="Arial" w:cs="Arial"/>
                <w:sz w:val="18"/>
                <w:szCs w:val="18"/>
              </w:rPr>
              <w:t>%</w:t>
            </w:r>
          </w:p>
        </w:tc>
        <w:tc>
          <w:tcPr>
            <w:tcW w:w="437" w:type="pct"/>
            <w:tcBorders>
              <w:top w:val="nil"/>
              <w:left w:val="nil"/>
              <w:bottom w:val="single" w:sz="4" w:space="0" w:color="auto"/>
              <w:right w:val="single" w:sz="4" w:space="0" w:color="auto"/>
            </w:tcBorders>
            <w:shd w:val="clear" w:color="auto" w:fill="auto"/>
            <w:noWrap/>
            <w:vAlign w:val="center"/>
            <w:hideMark/>
          </w:tcPr>
          <w:p w14:paraId="23E5C73D" w14:textId="77777777" w:rsidR="00E3750C" w:rsidRPr="00E0794B" w:rsidRDefault="00E3750C" w:rsidP="00047864">
            <w:pPr>
              <w:spacing w:after="0" w:line="240" w:lineRule="auto"/>
              <w:jc w:val="right"/>
              <w:rPr>
                <w:rFonts w:ascii="Arial" w:eastAsia="Times New Roman" w:hAnsi="Arial" w:cs="Arial"/>
                <w:color w:val="000000"/>
                <w:sz w:val="18"/>
                <w:szCs w:val="18"/>
                <w:lang w:eastAsia="sl-SI"/>
              </w:rPr>
            </w:pPr>
            <w:r w:rsidRPr="00E0794B">
              <w:rPr>
                <w:rFonts w:ascii="Arial" w:hAnsi="Arial" w:cs="Arial"/>
                <w:sz w:val="18"/>
                <w:szCs w:val="18"/>
              </w:rPr>
              <w:t>5,62 %</w:t>
            </w:r>
          </w:p>
        </w:tc>
        <w:tc>
          <w:tcPr>
            <w:tcW w:w="475" w:type="pct"/>
            <w:tcBorders>
              <w:top w:val="nil"/>
              <w:left w:val="nil"/>
              <w:bottom w:val="single" w:sz="4" w:space="0" w:color="auto"/>
              <w:right w:val="single" w:sz="4" w:space="0" w:color="auto"/>
            </w:tcBorders>
            <w:shd w:val="clear" w:color="auto" w:fill="auto"/>
            <w:noWrap/>
            <w:vAlign w:val="center"/>
            <w:hideMark/>
          </w:tcPr>
          <w:p w14:paraId="41194268" w14:textId="77777777" w:rsidR="00E3750C" w:rsidRPr="00E0794B" w:rsidRDefault="00E3750C" w:rsidP="00047864">
            <w:pPr>
              <w:spacing w:after="0" w:line="240" w:lineRule="auto"/>
              <w:jc w:val="right"/>
              <w:rPr>
                <w:rFonts w:ascii="Arial" w:eastAsia="Times New Roman" w:hAnsi="Arial" w:cs="Arial"/>
                <w:color w:val="000000"/>
                <w:sz w:val="18"/>
                <w:szCs w:val="18"/>
                <w:lang w:eastAsia="sl-SI"/>
              </w:rPr>
            </w:pPr>
            <w:r w:rsidRPr="00E0794B">
              <w:rPr>
                <w:rFonts w:ascii="Arial" w:hAnsi="Arial" w:cs="Arial"/>
                <w:sz w:val="18"/>
                <w:szCs w:val="18"/>
              </w:rPr>
              <w:t>3,82 %</w:t>
            </w:r>
          </w:p>
        </w:tc>
      </w:tr>
      <w:tr w:rsidR="00E3750C" w:rsidRPr="00E0794B" w14:paraId="63174CBC" w14:textId="77777777" w:rsidTr="00047864">
        <w:trPr>
          <w:trHeight w:val="300"/>
        </w:trPr>
        <w:tc>
          <w:tcPr>
            <w:tcW w:w="848" w:type="pct"/>
            <w:vMerge/>
            <w:tcBorders>
              <w:top w:val="nil"/>
              <w:left w:val="single" w:sz="4" w:space="0" w:color="auto"/>
              <w:bottom w:val="single" w:sz="4" w:space="0" w:color="auto"/>
              <w:right w:val="single" w:sz="4" w:space="0" w:color="auto"/>
            </w:tcBorders>
            <w:vAlign w:val="center"/>
            <w:hideMark/>
          </w:tcPr>
          <w:p w14:paraId="2C5F777F" w14:textId="77777777" w:rsidR="00E3750C" w:rsidRPr="00E0794B" w:rsidRDefault="00E3750C" w:rsidP="00047864">
            <w:pPr>
              <w:spacing w:after="0" w:line="240" w:lineRule="auto"/>
              <w:rPr>
                <w:rFonts w:ascii="Arial" w:eastAsia="Times New Roman" w:hAnsi="Arial" w:cs="Arial"/>
                <w:color w:val="000000"/>
                <w:sz w:val="18"/>
                <w:szCs w:val="18"/>
                <w:lang w:eastAsia="sl-SI"/>
              </w:rPr>
            </w:pPr>
          </w:p>
        </w:tc>
        <w:tc>
          <w:tcPr>
            <w:tcW w:w="618" w:type="pct"/>
            <w:tcBorders>
              <w:top w:val="nil"/>
              <w:left w:val="nil"/>
              <w:bottom w:val="single" w:sz="4" w:space="0" w:color="auto"/>
              <w:right w:val="single" w:sz="4" w:space="0" w:color="auto"/>
            </w:tcBorders>
            <w:shd w:val="clear" w:color="auto" w:fill="auto"/>
            <w:vAlign w:val="center"/>
            <w:hideMark/>
          </w:tcPr>
          <w:p w14:paraId="657816C2" w14:textId="77777777" w:rsidR="00E3750C" w:rsidRPr="00E0794B" w:rsidRDefault="00E3750C" w:rsidP="00047864">
            <w:pPr>
              <w:spacing w:after="0" w:line="240" w:lineRule="auto"/>
              <w:rPr>
                <w:rFonts w:ascii="Arial" w:eastAsia="Times New Roman" w:hAnsi="Arial" w:cs="Arial"/>
                <w:color w:val="000000"/>
                <w:sz w:val="18"/>
                <w:szCs w:val="18"/>
                <w:lang w:eastAsia="sl-SI"/>
              </w:rPr>
            </w:pPr>
            <w:r w:rsidRPr="00E0794B">
              <w:rPr>
                <w:rFonts w:ascii="Arial" w:eastAsia="Times New Roman" w:hAnsi="Arial" w:cs="Arial"/>
                <w:color w:val="000000"/>
                <w:sz w:val="18"/>
                <w:szCs w:val="18"/>
                <w:lang w:eastAsia="sl-SI"/>
              </w:rPr>
              <w:t>Gradnje</w:t>
            </w:r>
          </w:p>
        </w:tc>
        <w:tc>
          <w:tcPr>
            <w:tcW w:w="541" w:type="pct"/>
            <w:tcBorders>
              <w:top w:val="nil"/>
              <w:left w:val="nil"/>
              <w:bottom w:val="single" w:sz="4" w:space="0" w:color="auto"/>
              <w:right w:val="single" w:sz="4" w:space="0" w:color="auto"/>
            </w:tcBorders>
            <w:shd w:val="clear" w:color="auto" w:fill="auto"/>
            <w:vAlign w:val="center"/>
            <w:hideMark/>
          </w:tcPr>
          <w:p w14:paraId="4B0DEABA" w14:textId="77777777" w:rsidR="00E3750C" w:rsidRPr="00E0794B" w:rsidRDefault="00E3750C" w:rsidP="00047864">
            <w:pPr>
              <w:spacing w:after="0" w:line="240" w:lineRule="auto"/>
              <w:jc w:val="right"/>
              <w:rPr>
                <w:rFonts w:ascii="Arial" w:eastAsia="Times New Roman" w:hAnsi="Arial" w:cs="Arial"/>
                <w:color w:val="000000"/>
                <w:sz w:val="18"/>
                <w:szCs w:val="18"/>
                <w:lang w:eastAsia="sl-SI"/>
              </w:rPr>
            </w:pPr>
            <w:r w:rsidRPr="00E0794B">
              <w:rPr>
                <w:rFonts w:ascii="Arial" w:hAnsi="Arial" w:cs="Arial"/>
                <w:sz w:val="18"/>
                <w:szCs w:val="18"/>
              </w:rPr>
              <w:t>190</w:t>
            </w:r>
          </w:p>
        </w:tc>
        <w:tc>
          <w:tcPr>
            <w:tcW w:w="1045" w:type="pct"/>
            <w:tcBorders>
              <w:top w:val="nil"/>
              <w:left w:val="nil"/>
              <w:bottom w:val="single" w:sz="4" w:space="0" w:color="auto"/>
              <w:right w:val="single" w:sz="4" w:space="0" w:color="auto"/>
            </w:tcBorders>
            <w:shd w:val="clear" w:color="auto" w:fill="auto"/>
            <w:vAlign w:val="center"/>
            <w:hideMark/>
          </w:tcPr>
          <w:p w14:paraId="6FF2C66C" w14:textId="77777777" w:rsidR="00E3750C" w:rsidRPr="00E0794B" w:rsidRDefault="00E3750C" w:rsidP="00047864">
            <w:pPr>
              <w:spacing w:after="0" w:line="240" w:lineRule="auto"/>
              <w:jc w:val="right"/>
              <w:rPr>
                <w:rFonts w:ascii="Arial" w:eastAsia="Times New Roman" w:hAnsi="Arial" w:cs="Arial"/>
                <w:color w:val="000000"/>
                <w:sz w:val="18"/>
                <w:szCs w:val="18"/>
                <w:lang w:eastAsia="sl-SI"/>
              </w:rPr>
            </w:pPr>
            <w:r w:rsidRPr="00E0794B">
              <w:rPr>
                <w:rFonts w:ascii="Arial" w:hAnsi="Arial" w:cs="Arial"/>
                <w:sz w:val="18"/>
                <w:szCs w:val="18"/>
              </w:rPr>
              <w:t>53.842.845</w:t>
            </w:r>
          </w:p>
        </w:tc>
        <w:tc>
          <w:tcPr>
            <w:tcW w:w="518" w:type="pct"/>
            <w:tcBorders>
              <w:top w:val="nil"/>
              <w:left w:val="nil"/>
              <w:bottom w:val="single" w:sz="4" w:space="0" w:color="auto"/>
              <w:right w:val="single" w:sz="4" w:space="0" w:color="auto"/>
            </w:tcBorders>
            <w:shd w:val="clear" w:color="auto" w:fill="auto"/>
            <w:noWrap/>
            <w:vAlign w:val="center"/>
          </w:tcPr>
          <w:p w14:paraId="4FB309CE" w14:textId="77777777" w:rsidR="00E3750C" w:rsidRPr="00E0794B" w:rsidRDefault="00E3750C" w:rsidP="00047864">
            <w:pPr>
              <w:spacing w:after="0" w:line="240" w:lineRule="auto"/>
              <w:jc w:val="right"/>
              <w:rPr>
                <w:rFonts w:ascii="Arial" w:hAnsi="Arial" w:cs="Arial"/>
                <w:sz w:val="18"/>
                <w:szCs w:val="18"/>
              </w:rPr>
            </w:pPr>
            <w:r w:rsidRPr="00E0794B">
              <w:rPr>
                <w:rFonts w:ascii="Arial" w:hAnsi="Arial" w:cs="Arial"/>
                <w:sz w:val="18"/>
                <w:szCs w:val="18"/>
              </w:rPr>
              <w:t>15,56</w:t>
            </w:r>
            <w:r>
              <w:rPr>
                <w:rFonts w:ascii="Arial" w:hAnsi="Arial" w:cs="Arial"/>
                <w:sz w:val="18"/>
                <w:szCs w:val="18"/>
              </w:rPr>
              <w:t xml:space="preserve"> </w:t>
            </w:r>
            <w:r w:rsidRPr="00E0794B">
              <w:rPr>
                <w:rFonts w:ascii="Arial" w:hAnsi="Arial" w:cs="Arial"/>
                <w:sz w:val="18"/>
                <w:szCs w:val="18"/>
              </w:rPr>
              <w:t>%</w:t>
            </w:r>
          </w:p>
        </w:tc>
        <w:tc>
          <w:tcPr>
            <w:tcW w:w="518" w:type="pct"/>
            <w:tcBorders>
              <w:top w:val="nil"/>
              <w:left w:val="nil"/>
              <w:bottom w:val="single" w:sz="4" w:space="0" w:color="auto"/>
              <w:right w:val="single" w:sz="4" w:space="0" w:color="auto"/>
            </w:tcBorders>
            <w:shd w:val="clear" w:color="auto" w:fill="auto"/>
            <w:noWrap/>
            <w:vAlign w:val="center"/>
          </w:tcPr>
          <w:p w14:paraId="228C0552" w14:textId="77777777" w:rsidR="00E3750C" w:rsidRPr="00E0794B" w:rsidRDefault="00E3750C" w:rsidP="00047864">
            <w:pPr>
              <w:spacing w:after="0" w:line="240" w:lineRule="auto"/>
              <w:jc w:val="right"/>
              <w:rPr>
                <w:rFonts w:ascii="Arial" w:hAnsi="Arial" w:cs="Arial"/>
                <w:sz w:val="18"/>
                <w:szCs w:val="18"/>
              </w:rPr>
            </w:pPr>
            <w:r w:rsidRPr="00E0794B">
              <w:rPr>
                <w:rFonts w:ascii="Arial" w:hAnsi="Arial" w:cs="Arial"/>
                <w:sz w:val="18"/>
                <w:szCs w:val="18"/>
              </w:rPr>
              <w:t>33,22</w:t>
            </w:r>
            <w:r>
              <w:rPr>
                <w:rFonts w:ascii="Arial" w:hAnsi="Arial" w:cs="Arial"/>
                <w:sz w:val="18"/>
                <w:szCs w:val="18"/>
              </w:rPr>
              <w:t xml:space="preserve"> </w:t>
            </w:r>
            <w:r w:rsidRPr="00E0794B">
              <w:rPr>
                <w:rFonts w:ascii="Arial" w:hAnsi="Arial" w:cs="Arial"/>
                <w:sz w:val="18"/>
                <w:szCs w:val="18"/>
              </w:rPr>
              <w:t>%</w:t>
            </w:r>
          </w:p>
        </w:tc>
        <w:tc>
          <w:tcPr>
            <w:tcW w:w="437" w:type="pct"/>
            <w:tcBorders>
              <w:top w:val="nil"/>
              <w:left w:val="nil"/>
              <w:bottom w:val="single" w:sz="4" w:space="0" w:color="auto"/>
              <w:right w:val="single" w:sz="4" w:space="0" w:color="auto"/>
            </w:tcBorders>
            <w:shd w:val="clear" w:color="auto" w:fill="auto"/>
            <w:noWrap/>
            <w:vAlign w:val="center"/>
            <w:hideMark/>
          </w:tcPr>
          <w:p w14:paraId="70B4DA53" w14:textId="77777777" w:rsidR="00E3750C" w:rsidRPr="00E0794B" w:rsidRDefault="00E3750C" w:rsidP="00047864">
            <w:pPr>
              <w:spacing w:after="0" w:line="240" w:lineRule="auto"/>
              <w:jc w:val="right"/>
              <w:rPr>
                <w:rFonts w:ascii="Arial" w:eastAsia="Times New Roman" w:hAnsi="Arial" w:cs="Arial"/>
                <w:color w:val="000000"/>
                <w:sz w:val="18"/>
                <w:szCs w:val="18"/>
                <w:lang w:eastAsia="sl-SI"/>
              </w:rPr>
            </w:pPr>
            <w:r w:rsidRPr="00E0794B">
              <w:rPr>
                <w:rFonts w:ascii="Arial" w:hAnsi="Arial" w:cs="Arial"/>
                <w:sz w:val="18"/>
                <w:szCs w:val="18"/>
              </w:rPr>
              <w:t>2,74 %</w:t>
            </w:r>
          </w:p>
        </w:tc>
        <w:tc>
          <w:tcPr>
            <w:tcW w:w="475" w:type="pct"/>
            <w:tcBorders>
              <w:top w:val="nil"/>
              <w:left w:val="nil"/>
              <w:bottom w:val="single" w:sz="4" w:space="0" w:color="auto"/>
              <w:right w:val="single" w:sz="4" w:space="0" w:color="auto"/>
            </w:tcBorders>
            <w:shd w:val="clear" w:color="auto" w:fill="auto"/>
            <w:noWrap/>
            <w:vAlign w:val="center"/>
            <w:hideMark/>
          </w:tcPr>
          <w:p w14:paraId="6528A38D" w14:textId="77777777" w:rsidR="00E3750C" w:rsidRPr="00E0794B" w:rsidRDefault="00E3750C" w:rsidP="00047864">
            <w:pPr>
              <w:spacing w:after="0" w:line="240" w:lineRule="auto"/>
              <w:jc w:val="right"/>
              <w:rPr>
                <w:rFonts w:ascii="Arial" w:eastAsia="Times New Roman" w:hAnsi="Arial" w:cs="Arial"/>
                <w:color w:val="000000"/>
                <w:sz w:val="18"/>
                <w:szCs w:val="18"/>
                <w:lang w:eastAsia="sl-SI"/>
              </w:rPr>
            </w:pPr>
            <w:r w:rsidRPr="00E0794B">
              <w:rPr>
                <w:rFonts w:ascii="Arial" w:hAnsi="Arial" w:cs="Arial"/>
                <w:sz w:val="18"/>
                <w:szCs w:val="18"/>
              </w:rPr>
              <w:t>4,35 %</w:t>
            </w:r>
          </w:p>
        </w:tc>
      </w:tr>
      <w:tr w:rsidR="00E3750C" w:rsidRPr="00E0794B" w14:paraId="7D24771A" w14:textId="77777777" w:rsidTr="00047864">
        <w:trPr>
          <w:trHeight w:val="300"/>
        </w:trPr>
        <w:tc>
          <w:tcPr>
            <w:tcW w:w="848" w:type="pct"/>
            <w:vMerge/>
            <w:tcBorders>
              <w:top w:val="nil"/>
              <w:left w:val="single" w:sz="4" w:space="0" w:color="auto"/>
              <w:bottom w:val="single" w:sz="4" w:space="0" w:color="auto"/>
              <w:right w:val="single" w:sz="4" w:space="0" w:color="auto"/>
            </w:tcBorders>
            <w:vAlign w:val="center"/>
            <w:hideMark/>
          </w:tcPr>
          <w:p w14:paraId="0FE7B373" w14:textId="77777777" w:rsidR="00E3750C" w:rsidRPr="00E0794B" w:rsidRDefault="00E3750C" w:rsidP="00047864">
            <w:pPr>
              <w:spacing w:after="0" w:line="240" w:lineRule="auto"/>
              <w:rPr>
                <w:rFonts w:ascii="Arial" w:eastAsia="Times New Roman" w:hAnsi="Arial" w:cs="Arial"/>
                <w:color w:val="000000"/>
                <w:sz w:val="18"/>
                <w:szCs w:val="18"/>
                <w:lang w:eastAsia="sl-SI"/>
              </w:rPr>
            </w:pPr>
          </w:p>
        </w:tc>
        <w:tc>
          <w:tcPr>
            <w:tcW w:w="618" w:type="pct"/>
            <w:tcBorders>
              <w:top w:val="nil"/>
              <w:left w:val="nil"/>
              <w:bottom w:val="single" w:sz="4" w:space="0" w:color="auto"/>
              <w:right w:val="single" w:sz="4" w:space="0" w:color="auto"/>
            </w:tcBorders>
            <w:shd w:val="clear" w:color="auto" w:fill="auto"/>
            <w:vAlign w:val="center"/>
            <w:hideMark/>
          </w:tcPr>
          <w:p w14:paraId="46DBEC83" w14:textId="77777777" w:rsidR="00E3750C" w:rsidRPr="00E0794B" w:rsidRDefault="00E3750C" w:rsidP="00047864">
            <w:pPr>
              <w:spacing w:after="0" w:line="240" w:lineRule="auto"/>
              <w:rPr>
                <w:rFonts w:ascii="Arial" w:eastAsia="Times New Roman" w:hAnsi="Arial" w:cs="Arial"/>
                <w:color w:val="000000"/>
                <w:sz w:val="18"/>
                <w:szCs w:val="18"/>
                <w:lang w:eastAsia="sl-SI"/>
              </w:rPr>
            </w:pPr>
            <w:r w:rsidRPr="00E0794B">
              <w:rPr>
                <w:rFonts w:ascii="Arial" w:eastAsia="Times New Roman" w:hAnsi="Arial" w:cs="Arial"/>
                <w:b/>
                <w:bCs/>
                <w:color w:val="000000"/>
                <w:sz w:val="18"/>
                <w:szCs w:val="18"/>
                <w:lang w:eastAsia="sl-SI"/>
              </w:rPr>
              <w:t>Skupa</w:t>
            </w:r>
            <w:r w:rsidRPr="00E0794B">
              <w:rPr>
                <w:rFonts w:ascii="Arial" w:eastAsia="Times New Roman" w:hAnsi="Arial" w:cs="Arial"/>
                <w:color w:val="000000"/>
                <w:sz w:val="18"/>
                <w:szCs w:val="18"/>
                <w:lang w:eastAsia="sl-SI"/>
              </w:rPr>
              <w:t>j</w:t>
            </w:r>
          </w:p>
        </w:tc>
        <w:tc>
          <w:tcPr>
            <w:tcW w:w="541" w:type="pct"/>
            <w:tcBorders>
              <w:top w:val="nil"/>
              <w:left w:val="nil"/>
              <w:bottom w:val="single" w:sz="4" w:space="0" w:color="auto"/>
              <w:right w:val="single" w:sz="4" w:space="0" w:color="auto"/>
            </w:tcBorders>
            <w:shd w:val="clear" w:color="auto" w:fill="auto"/>
            <w:vAlign w:val="center"/>
            <w:hideMark/>
          </w:tcPr>
          <w:p w14:paraId="7E0D3E18" w14:textId="77777777" w:rsidR="00E3750C" w:rsidRPr="00E0794B" w:rsidRDefault="00E3750C" w:rsidP="00047864">
            <w:pPr>
              <w:spacing w:after="0" w:line="240" w:lineRule="auto"/>
              <w:jc w:val="right"/>
              <w:rPr>
                <w:rFonts w:ascii="Arial" w:eastAsia="Times New Roman" w:hAnsi="Arial" w:cs="Arial"/>
                <w:b/>
                <w:bCs/>
                <w:color w:val="000000"/>
                <w:sz w:val="18"/>
                <w:szCs w:val="18"/>
                <w:lang w:eastAsia="sl-SI"/>
              </w:rPr>
            </w:pPr>
            <w:r w:rsidRPr="00E0794B">
              <w:rPr>
                <w:rFonts w:ascii="Arial" w:hAnsi="Arial" w:cs="Arial"/>
                <w:b/>
                <w:bCs/>
                <w:sz w:val="18"/>
                <w:szCs w:val="18"/>
              </w:rPr>
              <w:t>1.221</w:t>
            </w:r>
          </w:p>
        </w:tc>
        <w:tc>
          <w:tcPr>
            <w:tcW w:w="1045" w:type="pct"/>
            <w:tcBorders>
              <w:top w:val="nil"/>
              <w:left w:val="nil"/>
              <w:bottom w:val="single" w:sz="4" w:space="0" w:color="auto"/>
              <w:right w:val="single" w:sz="4" w:space="0" w:color="auto"/>
            </w:tcBorders>
            <w:shd w:val="clear" w:color="auto" w:fill="auto"/>
            <w:vAlign w:val="center"/>
            <w:hideMark/>
          </w:tcPr>
          <w:p w14:paraId="5D141D1F" w14:textId="77777777" w:rsidR="00E3750C" w:rsidRPr="00E0794B" w:rsidRDefault="00E3750C" w:rsidP="00047864">
            <w:pPr>
              <w:spacing w:after="0" w:line="240" w:lineRule="auto"/>
              <w:jc w:val="right"/>
              <w:rPr>
                <w:rFonts w:ascii="Arial" w:eastAsia="Times New Roman" w:hAnsi="Arial" w:cs="Arial"/>
                <w:b/>
                <w:bCs/>
                <w:color w:val="000000"/>
                <w:sz w:val="18"/>
                <w:szCs w:val="18"/>
                <w:lang w:eastAsia="sl-SI"/>
              </w:rPr>
            </w:pPr>
            <w:r w:rsidRPr="00E0794B">
              <w:rPr>
                <w:rFonts w:ascii="Arial" w:hAnsi="Arial" w:cs="Arial"/>
                <w:b/>
                <w:bCs/>
                <w:sz w:val="18"/>
                <w:szCs w:val="18"/>
              </w:rPr>
              <w:t>162.062.140</w:t>
            </w:r>
          </w:p>
        </w:tc>
        <w:tc>
          <w:tcPr>
            <w:tcW w:w="518" w:type="pct"/>
            <w:tcBorders>
              <w:top w:val="nil"/>
              <w:left w:val="nil"/>
              <w:bottom w:val="single" w:sz="4" w:space="0" w:color="auto"/>
              <w:right w:val="single" w:sz="4" w:space="0" w:color="auto"/>
            </w:tcBorders>
            <w:shd w:val="clear" w:color="auto" w:fill="auto"/>
            <w:noWrap/>
            <w:vAlign w:val="center"/>
            <w:hideMark/>
          </w:tcPr>
          <w:p w14:paraId="67AE1895" w14:textId="77777777" w:rsidR="00E3750C" w:rsidRPr="00E0794B" w:rsidRDefault="00E3750C" w:rsidP="00047864">
            <w:pPr>
              <w:spacing w:after="0" w:line="240" w:lineRule="auto"/>
              <w:jc w:val="right"/>
              <w:rPr>
                <w:rFonts w:ascii="Arial" w:hAnsi="Arial" w:cs="Arial"/>
                <w:b/>
                <w:bCs/>
                <w:sz w:val="18"/>
                <w:szCs w:val="18"/>
              </w:rPr>
            </w:pPr>
            <w:r w:rsidRPr="00E0794B">
              <w:rPr>
                <w:rFonts w:ascii="Arial" w:hAnsi="Arial" w:cs="Arial"/>
                <w:b/>
                <w:bCs/>
                <w:sz w:val="18"/>
                <w:szCs w:val="18"/>
              </w:rPr>
              <w:t>100,00 %</w:t>
            </w:r>
          </w:p>
        </w:tc>
        <w:tc>
          <w:tcPr>
            <w:tcW w:w="518" w:type="pct"/>
            <w:tcBorders>
              <w:top w:val="nil"/>
              <w:left w:val="nil"/>
              <w:bottom w:val="single" w:sz="4" w:space="0" w:color="auto"/>
              <w:right w:val="single" w:sz="4" w:space="0" w:color="auto"/>
            </w:tcBorders>
            <w:shd w:val="clear" w:color="auto" w:fill="auto"/>
            <w:noWrap/>
            <w:vAlign w:val="center"/>
            <w:hideMark/>
          </w:tcPr>
          <w:p w14:paraId="1CF202AB" w14:textId="77777777" w:rsidR="00E3750C" w:rsidRPr="00E0794B" w:rsidRDefault="00E3750C" w:rsidP="00047864">
            <w:pPr>
              <w:spacing w:after="0" w:line="240" w:lineRule="auto"/>
              <w:jc w:val="right"/>
              <w:rPr>
                <w:rFonts w:ascii="Arial" w:hAnsi="Arial" w:cs="Arial"/>
                <w:b/>
                <w:bCs/>
                <w:sz w:val="18"/>
                <w:szCs w:val="18"/>
              </w:rPr>
            </w:pPr>
            <w:r w:rsidRPr="00E0794B">
              <w:rPr>
                <w:rFonts w:ascii="Arial" w:hAnsi="Arial" w:cs="Arial"/>
                <w:b/>
                <w:bCs/>
                <w:sz w:val="18"/>
                <w:szCs w:val="18"/>
              </w:rPr>
              <w:t>100,00 %</w:t>
            </w:r>
          </w:p>
        </w:tc>
        <w:tc>
          <w:tcPr>
            <w:tcW w:w="437" w:type="pct"/>
            <w:tcBorders>
              <w:top w:val="nil"/>
              <w:left w:val="nil"/>
              <w:bottom w:val="single" w:sz="4" w:space="0" w:color="auto"/>
              <w:right w:val="single" w:sz="4" w:space="0" w:color="auto"/>
            </w:tcBorders>
            <w:shd w:val="clear" w:color="auto" w:fill="auto"/>
            <w:noWrap/>
            <w:vAlign w:val="center"/>
            <w:hideMark/>
          </w:tcPr>
          <w:p w14:paraId="0B5D1B3D" w14:textId="77777777" w:rsidR="00E3750C" w:rsidRPr="00E0794B" w:rsidRDefault="00E3750C" w:rsidP="00047864">
            <w:pPr>
              <w:spacing w:after="0" w:line="240" w:lineRule="auto"/>
              <w:jc w:val="right"/>
              <w:rPr>
                <w:rFonts w:ascii="Arial" w:eastAsia="Times New Roman" w:hAnsi="Arial" w:cs="Arial"/>
                <w:b/>
                <w:bCs/>
                <w:color w:val="000000"/>
                <w:sz w:val="18"/>
                <w:szCs w:val="18"/>
                <w:lang w:eastAsia="sl-SI"/>
              </w:rPr>
            </w:pPr>
            <w:r w:rsidRPr="00E0794B">
              <w:rPr>
                <w:rFonts w:ascii="Arial" w:hAnsi="Arial" w:cs="Arial"/>
                <w:b/>
                <w:bCs/>
                <w:sz w:val="18"/>
                <w:szCs w:val="18"/>
              </w:rPr>
              <w:t>17,61 %</w:t>
            </w:r>
          </w:p>
        </w:tc>
        <w:tc>
          <w:tcPr>
            <w:tcW w:w="475" w:type="pct"/>
            <w:tcBorders>
              <w:top w:val="nil"/>
              <w:left w:val="nil"/>
              <w:bottom w:val="single" w:sz="4" w:space="0" w:color="auto"/>
              <w:right w:val="single" w:sz="4" w:space="0" w:color="auto"/>
            </w:tcBorders>
            <w:shd w:val="clear" w:color="auto" w:fill="auto"/>
            <w:noWrap/>
            <w:vAlign w:val="center"/>
            <w:hideMark/>
          </w:tcPr>
          <w:p w14:paraId="0DEAA0B8" w14:textId="77777777" w:rsidR="00E3750C" w:rsidRPr="00E0794B" w:rsidRDefault="00E3750C" w:rsidP="00047864">
            <w:pPr>
              <w:spacing w:after="0" w:line="240" w:lineRule="auto"/>
              <w:jc w:val="right"/>
              <w:rPr>
                <w:rFonts w:ascii="Arial" w:eastAsia="Times New Roman" w:hAnsi="Arial" w:cs="Arial"/>
                <w:b/>
                <w:bCs/>
                <w:color w:val="000000"/>
                <w:sz w:val="18"/>
                <w:szCs w:val="18"/>
                <w:lang w:eastAsia="sl-SI"/>
              </w:rPr>
            </w:pPr>
            <w:r w:rsidRPr="00E0794B">
              <w:rPr>
                <w:rFonts w:ascii="Arial" w:hAnsi="Arial" w:cs="Arial"/>
                <w:b/>
                <w:bCs/>
                <w:sz w:val="18"/>
                <w:szCs w:val="18"/>
              </w:rPr>
              <w:t>13,09 %</w:t>
            </w:r>
          </w:p>
        </w:tc>
      </w:tr>
      <w:tr w:rsidR="00E3750C" w:rsidRPr="00E0794B" w14:paraId="3C31FF35" w14:textId="77777777" w:rsidTr="00047864">
        <w:trPr>
          <w:trHeight w:val="300"/>
        </w:trPr>
        <w:tc>
          <w:tcPr>
            <w:tcW w:w="848" w:type="pct"/>
            <w:vMerge w:val="restart"/>
            <w:tcBorders>
              <w:top w:val="nil"/>
              <w:left w:val="single" w:sz="4" w:space="0" w:color="auto"/>
              <w:bottom w:val="single" w:sz="4" w:space="0" w:color="auto"/>
              <w:right w:val="single" w:sz="4" w:space="0" w:color="auto"/>
            </w:tcBorders>
            <w:shd w:val="clear" w:color="auto" w:fill="auto"/>
            <w:vAlign w:val="center"/>
            <w:hideMark/>
          </w:tcPr>
          <w:p w14:paraId="7AFA0C7D" w14:textId="77777777" w:rsidR="00E3750C" w:rsidRPr="00E0794B" w:rsidRDefault="00E3750C" w:rsidP="00047864">
            <w:pPr>
              <w:spacing w:after="0" w:line="240" w:lineRule="auto"/>
              <w:rPr>
                <w:rFonts w:ascii="Arial" w:eastAsia="Times New Roman" w:hAnsi="Arial" w:cs="Arial"/>
                <w:color w:val="000000"/>
                <w:sz w:val="18"/>
                <w:szCs w:val="18"/>
                <w:lang w:eastAsia="sl-SI"/>
              </w:rPr>
            </w:pPr>
            <w:r w:rsidRPr="00E0794B">
              <w:rPr>
                <w:rFonts w:ascii="Arial" w:eastAsia="Times New Roman" w:hAnsi="Arial" w:cs="Arial"/>
                <w:color w:val="000000"/>
                <w:sz w:val="18"/>
                <w:szCs w:val="18"/>
                <w:lang w:eastAsia="sl-SI"/>
              </w:rPr>
              <w:lastRenderedPageBreak/>
              <w:t>Obrambno</w:t>
            </w:r>
          </w:p>
        </w:tc>
        <w:tc>
          <w:tcPr>
            <w:tcW w:w="618" w:type="pct"/>
            <w:tcBorders>
              <w:top w:val="nil"/>
              <w:left w:val="nil"/>
              <w:bottom w:val="single" w:sz="4" w:space="0" w:color="auto"/>
              <w:right w:val="single" w:sz="4" w:space="0" w:color="auto"/>
            </w:tcBorders>
            <w:shd w:val="clear" w:color="auto" w:fill="auto"/>
            <w:vAlign w:val="center"/>
            <w:hideMark/>
          </w:tcPr>
          <w:p w14:paraId="65BE14EA" w14:textId="77777777" w:rsidR="00E3750C" w:rsidRPr="00E0794B" w:rsidRDefault="00E3750C" w:rsidP="00047864">
            <w:pPr>
              <w:spacing w:after="0" w:line="240" w:lineRule="auto"/>
              <w:rPr>
                <w:rFonts w:ascii="Arial" w:eastAsia="Times New Roman" w:hAnsi="Arial" w:cs="Arial"/>
                <w:color w:val="000000"/>
                <w:sz w:val="18"/>
                <w:szCs w:val="18"/>
                <w:lang w:eastAsia="sl-SI"/>
              </w:rPr>
            </w:pPr>
            <w:r w:rsidRPr="00E0794B">
              <w:rPr>
                <w:rFonts w:ascii="Arial" w:eastAsia="Times New Roman" w:hAnsi="Arial" w:cs="Arial"/>
                <w:color w:val="000000"/>
                <w:sz w:val="18"/>
                <w:szCs w:val="18"/>
                <w:lang w:eastAsia="sl-SI"/>
              </w:rPr>
              <w:t>Blago</w:t>
            </w:r>
          </w:p>
        </w:tc>
        <w:tc>
          <w:tcPr>
            <w:tcW w:w="541" w:type="pct"/>
            <w:tcBorders>
              <w:top w:val="nil"/>
              <w:left w:val="nil"/>
              <w:bottom w:val="single" w:sz="4" w:space="0" w:color="auto"/>
              <w:right w:val="single" w:sz="4" w:space="0" w:color="auto"/>
            </w:tcBorders>
            <w:shd w:val="clear" w:color="auto" w:fill="auto"/>
            <w:vAlign w:val="center"/>
            <w:hideMark/>
          </w:tcPr>
          <w:p w14:paraId="48353870" w14:textId="77777777" w:rsidR="00E3750C" w:rsidRPr="00E0794B" w:rsidRDefault="00E3750C" w:rsidP="00047864">
            <w:pPr>
              <w:spacing w:after="0" w:line="240" w:lineRule="auto"/>
              <w:jc w:val="right"/>
              <w:rPr>
                <w:rFonts w:ascii="Arial" w:eastAsia="Times New Roman" w:hAnsi="Arial" w:cs="Arial"/>
                <w:color w:val="000000"/>
                <w:sz w:val="18"/>
                <w:szCs w:val="18"/>
                <w:lang w:eastAsia="sl-SI"/>
              </w:rPr>
            </w:pPr>
            <w:r w:rsidRPr="00E0794B">
              <w:rPr>
                <w:rFonts w:ascii="Arial" w:hAnsi="Arial" w:cs="Arial"/>
                <w:sz w:val="18"/>
                <w:szCs w:val="18"/>
              </w:rPr>
              <w:t>31</w:t>
            </w:r>
          </w:p>
        </w:tc>
        <w:tc>
          <w:tcPr>
            <w:tcW w:w="1045" w:type="pct"/>
            <w:tcBorders>
              <w:top w:val="nil"/>
              <w:left w:val="nil"/>
              <w:bottom w:val="single" w:sz="4" w:space="0" w:color="auto"/>
              <w:right w:val="single" w:sz="4" w:space="0" w:color="auto"/>
            </w:tcBorders>
            <w:shd w:val="clear" w:color="auto" w:fill="auto"/>
            <w:vAlign w:val="center"/>
            <w:hideMark/>
          </w:tcPr>
          <w:p w14:paraId="3CC2FBF3" w14:textId="77777777" w:rsidR="00E3750C" w:rsidRPr="00E0794B" w:rsidRDefault="00E3750C" w:rsidP="00047864">
            <w:pPr>
              <w:spacing w:after="0" w:line="240" w:lineRule="auto"/>
              <w:jc w:val="right"/>
              <w:rPr>
                <w:rFonts w:ascii="Arial" w:eastAsia="Times New Roman" w:hAnsi="Arial" w:cs="Arial"/>
                <w:color w:val="000000"/>
                <w:sz w:val="18"/>
                <w:szCs w:val="18"/>
                <w:lang w:eastAsia="sl-SI"/>
              </w:rPr>
            </w:pPr>
            <w:r w:rsidRPr="00E0794B">
              <w:rPr>
                <w:rFonts w:ascii="Arial" w:hAnsi="Arial" w:cs="Arial"/>
                <w:sz w:val="18"/>
                <w:szCs w:val="18"/>
              </w:rPr>
              <w:t>3.216.524</w:t>
            </w:r>
          </w:p>
        </w:tc>
        <w:tc>
          <w:tcPr>
            <w:tcW w:w="518" w:type="pct"/>
            <w:tcBorders>
              <w:top w:val="nil"/>
              <w:left w:val="nil"/>
              <w:bottom w:val="single" w:sz="4" w:space="0" w:color="auto"/>
              <w:right w:val="single" w:sz="4" w:space="0" w:color="auto"/>
            </w:tcBorders>
            <w:shd w:val="clear" w:color="auto" w:fill="auto"/>
            <w:noWrap/>
            <w:vAlign w:val="center"/>
          </w:tcPr>
          <w:p w14:paraId="1F487C43" w14:textId="77777777" w:rsidR="00E3750C" w:rsidRPr="00E0794B" w:rsidRDefault="00E3750C" w:rsidP="00047864">
            <w:pPr>
              <w:spacing w:after="0" w:line="240" w:lineRule="auto"/>
              <w:jc w:val="right"/>
              <w:rPr>
                <w:rFonts w:ascii="Arial" w:hAnsi="Arial" w:cs="Arial"/>
                <w:sz w:val="18"/>
                <w:szCs w:val="18"/>
              </w:rPr>
            </w:pPr>
            <w:r w:rsidRPr="00E0794B">
              <w:rPr>
                <w:rFonts w:ascii="Arial" w:hAnsi="Arial" w:cs="Arial"/>
                <w:sz w:val="18"/>
                <w:szCs w:val="18"/>
              </w:rPr>
              <w:t>51,67</w:t>
            </w:r>
            <w:r>
              <w:rPr>
                <w:rFonts w:ascii="Arial" w:hAnsi="Arial" w:cs="Arial"/>
                <w:sz w:val="18"/>
                <w:szCs w:val="18"/>
              </w:rPr>
              <w:t xml:space="preserve"> </w:t>
            </w:r>
            <w:r w:rsidRPr="00E0794B">
              <w:rPr>
                <w:rFonts w:ascii="Arial" w:hAnsi="Arial" w:cs="Arial"/>
                <w:sz w:val="18"/>
                <w:szCs w:val="18"/>
              </w:rPr>
              <w:t>%</w:t>
            </w:r>
          </w:p>
        </w:tc>
        <w:tc>
          <w:tcPr>
            <w:tcW w:w="518" w:type="pct"/>
            <w:tcBorders>
              <w:top w:val="nil"/>
              <w:left w:val="nil"/>
              <w:bottom w:val="single" w:sz="4" w:space="0" w:color="auto"/>
              <w:right w:val="single" w:sz="4" w:space="0" w:color="auto"/>
            </w:tcBorders>
            <w:shd w:val="clear" w:color="auto" w:fill="auto"/>
            <w:noWrap/>
            <w:vAlign w:val="center"/>
          </w:tcPr>
          <w:p w14:paraId="3AD3C7CB" w14:textId="77777777" w:rsidR="00E3750C" w:rsidRPr="00E0794B" w:rsidRDefault="00E3750C" w:rsidP="00047864">
            <w:pPr>
              <w:spacing w:after="0" w:line="240" w:lineRule="auto"/>
              <w:jc w:val="right"/>
              <w:rPr>
                <w:rFonts w:ascii="Arial" w:hAnsi="Arial" w:cs="Arial"/>
                <w:sz w:val="18"/>
                <w:szCs w:val="18"/>
              </w:rPr>
            </w:pPr>
            <w:r w:rsidRPr="00E0794B">
              <w:rPr>
                <w:rFonts w:ascii="Arial" w:hAnsi="Arial" w:cs="Arial"/>
                <w:sz w:val="18"/>
                <w:szCs w:val="18"/>
              </w:rPr>
              <w:t>23,23</w:t>
            </w:r>
            <w:r>
              <w:rPr>
                <w:rFonts w:ascii="Arial" w:hAnsi="Arial" w:cs="Arial"/>
                <w:sz w:val="18"/>
                <w:szCs w:val="18"/>
              </w:rPr>
              <w:t xml:space="preserve"> </w:t>
            </w:r>
            <w:r w:rsidRPr="00E0794B">
              <w:rPr>
                <w:rFonts w:ascii="Arial" w:hAnsi="Arial" w:cs="Arial"/>
                <w:sz w:val="18"/>
                <w:szCs w:val="18"/>
              </w:rPr>
              <w:t>%</w:t>
            </w:r>
          </w:p>
        </w:tc>
        <w:tc>
          <w:tcPr>
            <w:tcW w:w="437" w:type="pct"/>
            <w:tcBorders>
              <w:top w:val="nil"/>
              <w:left w:val="nil"/>
              <w:bottom w:val="single" w:sz="4" w:space="0" w:color="auto"/>
              <w:right w:val="single" w:sz="4" w:space="0" w:color="auto"/>
            </w:tcBorders>
            <w:shd w:val="clear" w:color="auto" w:fill="auto"/>
            <w:noWrap/>
            <w:vAlign w:val="center"/>
            <w:hideMark/>
          </w:tcPr>
          <w:p w14:paraId="69A48C16" w14:textId="77777777" w:rsidR="00E3750C" w:rsidRPr="00E0794B" w:rsidRDefault="00E3750C" w:rsidP="00047864">
            <w:pPr>
              <w:spacing w:after="0" w:line="240" w:lineRule="auto"/>
              <w:jc w:val="right"/>
              <w:rPr>
                <w:rFonts w:ascii="Arial" w:eastAsia="Times New Roman" w:hAnsi="Arial" w:cs="Arial"/>
                <w:color w:val="000000"/>
                <w:sz w:val="18"/>
                <w:szCs w:val="18"/>
                <w:lang w:eastAsia="sl-SI"/>
              </w:rPr>
            </w:pPr>
            <w:r w:rsidRPr="00E0794B">
              <w:rPr>
                <w:rFonts w:ascii="Arial" w:hAnsi="Arial" w:cs="Arial"/>
                <w:sz w:val="18"/>
                <w:szCs w:val="18"/>
              </w:rPr>
              <w:t>0,45 %</w:t>
            </w:r>
          </w:p>
        </w:tc>
        <w:tc>
          <w:tcPr>
            <w:tcW w:w="475" w:type="pct"/>
            <w:tcBorders>
              <w:top w:val="nil"/>
              <w:left w:val="nil"/>
              <w:bottom w:val="single" w:sz="4" w:space="0" w:color="auto"/>
              <w:right w:val="single" w:sz="4" w:space="0" w:color="auto"/>
            </w:tcBorders>
            <w:shd w:val="clear" w:color="auto" w:fill="auto"/>
            <w:noWrap/>
            <w:vAlign w:val="center"/>
            <w:hideMark/>
          </w:tcPr>
          <w:p w14:paraId="689F23EC" w14:textId="77777777" w:rsidR="00E3750C" w:rsidRPr="00E0794B" w:rsidRDefault="00E3750C" w:rsidP="00047864">
            <w:pPr>
              <w:spacing w:after="0" w:line="240" w:lineRule="auto"/>
              <w:jc w:val="right"/>
              <w:rPr>
                <w:rFonts w:ascii="Arial" w:eastAsia="Times New Roman" w:hAnsi="Arial" w:cs="Arial"/>
                <w:color w:val="000000"/>
                <w:sz w:val="18"/>
                <w:szCs w:val="18"/>
                <w:lang w:eastAsia="sl-SI"/>
              </w:rPr>
            </w:pPr>
            <w:r w:rsidRPr="00E0794B">
              <w:rPr>
                <w:rFonts w:ascii="Arial" w:hAnsi="Arial" w:cs="Arial"/>
                <w:sz w:val="18"/>
                <w:szCs w:val="18"/>
              </w:rPr>
              <w:t>0,26 %</w:t>
            </w:r>
          </w:p>
        </w:tc>
      </w:tr>
      <w:tr w:rsidR="00E3750C" w:rsidRPr="00E0794B" w14:paraId="51B89236" w14:textId="77777777" w:rsidTr="00047864">
        <w:trPr>
          <w:trHeight w:val="300"/>
        </w:trPr>
        <w:tc>
          <w:tcPr>
            <w:tcW w:w="848" w:type="pct"/>
            <w:vMerge/>
            <w:tcBorders>
              <w:top w:val="nil"/>
              <w:left w:val="single" w:sz="4" w:space="0" w:color="auto"/>
              <w:bottom w:val="single" w:sz="4" w:space="0" w:color="auto"/>
              <w:right w:val="single" w:sz="4" w:space="0" w:color="auto"/>
            </w:tcBorders>
            <w:vAlign w:val="center"/>
            <w:hideMark/>
          </w:tcPr>
          <w:p w14:paraId="6518725D" w14:textId="77777777" w:rsidR="00E3750C" w:rsidRPr="00E0794B" w:rsidRDefault="00E3750C" w:rsidP="00047864">
            <w:pPr>
              <w:spacing w:after="0" w:line="240" w:lineRule="auto"/>
              <w:jc w:val="right"/>
              <w:rPr>
                <w:rFonts w:ascii="Arial" w:eastAsia="Times New Roman" w:hAnsi="Arial" w:cs="Arial"/>
                <w:color w:val="000000"/>
                <w:sz w:val="18"/>
                <w:szCs w:val="18"/>
                <w:lang w:eastAsia="sl-SI"/>
              </w:rPr>
            </w:pPr>
          </w:p>
        </w:tc>
        <w:tc>
          <w:tcPr>
            <w:tcW w:w="618" w:type="pct"/>
            <w:tcBorders>
              <w:top w:val="nil"/>
              <w:left w:val="nil"/>
              <w:bottom w:val="single" w:sz="4" w:space="0" w:color="auto"/>
              <w:right w:val="single" w:sz="4" w:space="0" w:color="auto"/>
            </w:tcBorders>
            <w:shd w:val="clear" w:color="auto" w:fill="auto"/>
            <w:vAlign w:val="center"/>
            <w:hideMark/>
          </w:tcPr>
          <w:p w14:paraId="75E83904" w14:textId="77777777" w:rsidR="00E3750C" w:rsidRPr="00E0794B" w:rsidRDefault="00E3750C" w:rsidP="00047864">
            <w:pPr>
              <w:spacing w:after="0" w:line="240" w:lineRule="auto"/>
              <w:rPr>
                <w:rFonts w:ascii="Arial" w:eastAsia="Times New Roman" w:hAnsi="Arial" w:cs="Arial"/>
                <w:color w:val="000000"/>
                <w:sz w:val="18"/>
                <w:szCs w:val="18"/>
                <w:lang w:eastAsia="sl-SI"/>
              </w:rPr>
            </w:pPr>
            <w:r w:rsidRPr="00E0794B">
              <w:rPr>
                <w:rFonts w:ascii="Arial" w:eastAsia="Times New Roman" w:hAnsi="Arial" w:cs="Arial"/>
                <w:color w:val="000000"/>
                <w:sz w:val="18"/>
                <w:szCs w:val="18"/>
                <w:lang w:eastAsia="sl-SI"/>
              </w:rPr>
              <w:t>Storitve</w:t>
            </w:r>
          </w:p>
        </w:tc>
        <w:tc>
          <w:tcPr>
            <w:tcW w:w="541" w:type="pct"/>
            <w:tcBorders>
              <w:top w:val="nil"/>
              <w:left w:val="nil"/>
              <w:bottom w:val="single" w:sz="4" w:space="0" w:color="auto"/>
              <w:right w:val="single" w:sz="4" w:space="0" w:color="auto"/>
            </w:tcBorders>
            <w:shd w:val="clear" w:color="auto" w:fill="auto"/>
            <w:vAlign w:val="center"/>
            <w:hideMark/>
          </w:tcPr>
          <w:p w14:paraId="68E0497C" w14:textId="77777777" w:rsidR="00E3750C" w:rsidRPr="00E0794B" w:rsidRDefault="00E3750C" w:rsidP="00047864">
            <w:pPr>
              <w:spacing w:after="0" w:line="240" w:lineRule="auto"/>
              <w:jc w:val="right"/>
              <w:rPr>
                <w:rFonts w:ascii="Arial" w:eastAsia="Times New Roman" w:hAnsi="Arial" w:cs="Arial"/>
                <w:color w:val="000000"/>
                <w:sz w:val="18"/>
                <w:szCs w:val="18"/>
                <w:lang w:eastAsia="sl-SI"/>
              </w:rPr>
            </w:pPr>
            <w:r w:rsidRPr="00E0794B">
              <w:rPr>
                <w:rFonts w:ascii="Arial" w:hAnsi="Arial" w:cs="Arial"/>
                <w:sz w:val="18"/>
                <w:szCs w:val="18"/>
              </w:rPr>
              <w:t>24</w:t>
            </w:r>
          </w:p>
        </w:tc>
        <w:tc>
          <w:tcPr>
            <w:tcW w:w="1045" w:type="pct"/>
            <w:tcBorders>
              <w:top w:val="nil"/>
              <w:left w:val="nil"/>
              <w:bottom w:val="single" w:sz="4" w:space="0" w:color="auto"/>
              <w:right w:val="single" w:sz="4" w:space="0" w:color="auto"/>
            </w:tcBorders>
            <w:shd w:val="clear" w:color="auto" w:fill="auto"/>
            <w:vAlign w:val="center"/>
            <w:hideMark/>
          </w:tcPr>
          <w:p w14:paraId="7F6FFDC6" w14:textId="77777777" w:rsidR="00E3750C" w:rsidRPr="00E0794B" w:rsidRDefault="00E3750C" w:rsidP="00047864">
            <w:pPr>
              <w:spacing w:after="0" w:line="240" w:lineRule="auto"/>
              <w:jc w:val="right"/>
              <w:rPr>
                <w:rFonts w:ascii="Arial" w:eastAsia="Times New Roman" w:hAnsi="Arial" w:cs="Arial"/>
                <w:color w:val="000000"/>
                <w:sz w:val="18"/>
                <w:szCs w:val="18"/>
                <w:lang w:eastAsia="sl-SI"/>
              </w:rPr>
            </w:pPr>
            <w:r w:rsidRPr="00E0794B">
              <w:rPr>
                <w:rFonts w:ascii="Arial" w:hAnsi="Arial" w:cs="Arial"/>
                <w:sz w:val="18"/>
                <w:szCs w:val="18"/>
              </w:rPr>
              <w:t>3.406.039</w:t>
            </w:r>
          </w:p>
        </w:tc>
        <w:tc>
          <w:tcPr>
            <w:tcW w:w="518" w:type="pct"/>
            <w:tcBorders>
              <w:top w:val="nil"/>
              <w:left w:val="nil"/>
              <w:bottom w:val="single" w:sz="4" w:space="0" w:color="auto"/>
              <w:right w:val="single" w:sz="4" w:space="0" w:color="auto"/>
            </w:tcBorders>
            <w:shd w:val="clear" w:color="auto" w:fill="auto"/>
            <w:noWrap/>
            <w:vAlign w:val="center"/>
          </w:tcPr>
          <w:p w14:paraId="06678C12" w14:textId="77777777" w:rsidR="00E3750C" w:rsidRPr="00E0794B" w:rsidRDefault="00E3750C" w:rsidP="00047864">
            <w:pPr>
              <w:spacing w:after="0" w:line="240" w:lineRule="auto"/>
              <w:jc w:val="right"/>
              <w:rPr>
                <w:rFonts w:ascii="Arial" w:hAnsi="Arial" w:cs="Arial"/>
                <w:sz w:val="18"/>
                <w:szCs w:val="18"/>
              </w:rPr>
            </w:pPr>
            <w:r w:rsidRPr="00E0794B">
              <w:rPr>
                <w:rFonts w:ascii="Arial" w:hAnsi="Arial" w:cs="Arial"/>
                <w:sz w:val="18"/>
                <w:szCs w:val="18"/>
              </w:rPr>
              <w:t>40,00</w:t>
            </w:r>
            <w:r>
              <w:rPr>
                <w:rFonts w:ascii="Arial" w:hAnsi="Arial" w:cs="Arial"/>
                <w:sz w:val="18"/>
                <w:szCs w:val="18"/>
              </w:rPr>
              <w:t xml:space="preserve"> </w:t>
            </w:r>
            <w:r w:rsidRPr="00E0794B">
              <w:rPr>
                <w:rFonts w:ascii="Arial" w:hAnsi="Arial" w:cs="Arial"/>
                <w:sz w:val="18"/>
                <w:szCs w:val="18"/>
              </w:rPr>
              <w:t>%</w:t>
            </w:r>
          </w:p>
        </w:tc>
        <w:tc>
          <w:tcPr>
            <w:tcW w:w="518" w:type="pct"/>
            <w:tcBorders>
              <w:top w:val="nil"/>
              <w:left w:val="nil"/>
              <w:bottom w:val="single" w:sz="4" w:space="0" w:color="auto"/>
              <w:right w:val="single" w:sz="4" w:space="0" w:color="auto"/>
            </w:tcBorders>
            <w:shd w:val="clear" w:color="auto" w:fill="auto"/>
            <w:noWrap/>
            <w:vAlign w:val="center"/>
          </w:tcPr>
          <w:p w14:paraId="4D753AD2" w14:textId="77777777" w:rsidR="00E3750C" w:rsidRPr="00E0794B" w:rsidRDefault="00E3750C" w:rsidP="00047864">
            <w:pPr>
              <w:spacing w:after="0" w:line="240" w:lineRule="auto"/>
              <w:jc w:val="right"/>
              <w:rPr>
                <w:rFonts w:ascii="Arial" w:hAnsi="Arial" w:cs="Arial"/>
                <w:sz w:val="18"/>
                <w:szCs w:val="18"/>
              </w:rPr>
            </w:pPr>
            <w:r w:rsidRPr="00E0794B">
              <w:rPr>
                <w:rFonts w:ascii="Arial" w:hAnsi="Arial" w:cs="Arial"/>
                <w:sz w:val="18"/>
                <w:szCs w:val="18"/>
              </w:rPr>
              <w:t>24,59</w:t>
            </w:r>
            <w:r>
              <w:rPr>
                <w:rFonts w:ascii="Arial" w:hAnsi="Arial" w:cs="Arial"/>
                <w:sz w:val="18"/>
                <w:szCs w:val="18"/>
              </w:rPr>
              <w:t xml:space="preserve"> </w:t>
            </w:r>
            <w:r w:rsidRPr="00E0794B">
              <w:rPr>
                <w:rFonts w:ascii="Arial" w:hAnsi="Arial" w:cs="Arial"/>
                <w:sz w:val="18"/>
                <w:szCs w:val="18"/>
              </w:rPr>
              <w:t>%</w:t>
            </w:r>
          </w:p>
        </w:tc>
        <w:tc>
          <w:tcPr>
            <w:tcW w:w="437" w:type="pct"/>
            <w:tcBorders>
              <w:top w:val="nil"/>
              <w:left w:val="nil"/>
              <w:bottom w:val="single" w:sz="4" w:space="0" w:color="auto"/>
              <w:right w:val="single" w:sz="4" w:space="0" w:color="auto"/>
            </w:tcBorders>
            <w:shd w:val="clear" w:color="auto" w:fill="auto"/>
            <w:noWrap/>
            <w:vAlign w:val="center"/>
            <w:hideMark/>
          </w:tcPr>
          <w:p w14:paraId="255E718B" w14:textId="77777777" w:rsidR="00E3750C" w:rsidRPr="00E0794B" w:rsidRDefault="00E3750C" w:rsidP="00047864">
            <w:pPr>
              <w:spacing w:after="0" w:line="240" w:lineRule="auto"/>
              <w:jc w:val="right"/>
              <w:rPr>
                <w:rFonts w:ascii="Arial" w:eastAsia="Times New Roman" w:hAnsi="Arial" w:cs="Arial"/>
                <w:color w:val="000000"/>
                <w:sz w:val="18"/>
                <w:szCs w:val="18"/>
                <w:lang w:eastAsia="sl-SI"/>
              </w:rPr>
            </w:pPr>
            <w:r w:rsidRPr="00E0794B">
              <w:rPr>
                <w:rFonts w:ascii="Arial" w:hAnsi="Arial" w:cs="Arial"/>
                <w:sz w:val="18"/>
                <w:szCs w:val="18"/>
              </w:rPr>
              <w:t>0,35 %</w:t>
            </w:r>
          </w:p>
        </w:tc>
        <w:tc>
          <w:tcPr>
            <w:tcW w:w="475" w:type="pct"/>
            <w:tcBorders>
              <w:top w:val="nil"/>
              <w:left w:val="nil"/>
              <w:bottom w:val="single" w:sz="4" w:space="0" w:color="auto"/>
              <w:right w:val="single" w:sz="4" w:space="0" w:color="auto"/>
            </w:tcBorders>
            <w:shd w:val="clear" w:color="auto" w:fill="auto"/>
            <w:noWrap/>
            <w:vAlign w:val="center"/>
            <w:hideMark/>
          </w:tcPr>
          <w:p w14:paraId="3336A083" w14:textId="77777777" w:rsidR="00E3750C" w:rsidRPr="00E0794B" w:rsidRDefault="00E3750C" w:rsidP="00047864">
            <w:pPr>
              <w:spacing w:after="0" w:line="240" w:lineRule="auto"/>
              <w:jc w:val="right"/>
              <w:rPr>
                <w:rFonts w:ascii="Arial" w:eastAsia="Times New Roman" w:hAnsi="Arial" w:cs="Arial"/>
                <w:color w:val="000000"/>
                <w:sz w:val="18"/>
                <w:szCs w:val="18"/>
                <w:lang w:eastAsia="sl-SI"/>
              </w:rPr>
            </w:pPr>
            <w:r w:rsidRPr="00E0794B">
              <w:rPr>
                <w:rFonts w:ascii="Arial" w:hAnsi="Arial" w:cs="Arial"/>
                <w:sz w:val="18"/>
                <w:szCs w:val="18"/>
              </w:rPr>
              <w:t>0,28 %</w:t>
            </w:r>
          </w:p>
        </w:tc>
      </w:tr>
      <w:tr w:rsidR="00E3750C" w:rsidRPr="00E0794B" w14:paraId="7D908DD0" w14:textId="77777777" w:rsidTr="00047864">
        <w:trPr>
          <w:trHeight w:val="300"/>
        </w:trPr>
        <w:tc>
          <w:tcPr>
            <w:tcW w:w="848" w:type="pct"/>
            <w:vMerge/>
            <w:tcBorders>
              <w:top w:val="nil"/>
              <w:left w:val="single" w:sz="4" w:space="0" w:color="auto"/>
              <w:bottom w:val="single" w:sz="4" w:space="0" w:color="auto"/>
              <w:right w:val="single" w:sz="4" w:space="0" w:color="auto"/>
            </w:tcBorders>
            <w:vAlign w:val="center"/>
            <w:hideMark/>
          </w:tcPr>
          <w:p w14:paraId="30CE0C8B" w14:textId="77777777" w:rsidR="00E3750C" w:rsidRPr="00E0794B" w:rsidRDefault="00E3750C" w:rsidP="00047864">
            <w:pPr>
              <w:spacing w:after="0" w:line="240" w:lineRule="auto"/>
              <w:jc w:val="right"/>
              <w:rPr>
                <w:rFonts w:ascii="Arial" w:eastAsia="Times New Roman" w:hAnsi="Arial" w:cs="Arial"/>
                <w:color w:val="000000"/>
                <w:sz w:val="18"/>
                <w:szCs w:val="18"/>
                <w:lang w:eastAsia="sl-SI"/>
              </w:rPr>
            </w:pPr>
          </w:p>
        </w:tc>
        <w:tc>
          <w:tcPr>
            <w:tcW w:w="618" w:type="pct"/>
            <w:tcBorders>
              <w:top w:val="nil"/>
              <w:left w:val="nil"/>
              <w:bottom w:val="single" w:sz="4" w:space="0" w:color="auto"/>
              <w:right w:val="single" w:sz="4" w:space="0" w:color="auto"/>
            </w:tcBorders>
            <w:shd w:val="clear" w:color="auto" w:fill="auto"/>
            <w:vAlign w:val="center"/>
            <w:hideMark/>
          </w:tcPr>
          <w:p w14:paraId="6BC3EBB0" w14:textId="77777777" w:rsidR="00E3750C" w:rsidRPr="00E0794B" w:rsidRDefault="00E3750C" w:rsidP="00047864">
            <w:pPr>
              <w:spacing w:after="0" w:line="240" w:lineRule="auto"/>
              <w:rPr>
                <w:rFonts w:ascii="Arial" w:eastAsia="Times New Roman" w:hAnsi="Arial" w:cs="Arial"/>
                <w:color w:val="000000"/>
                <w:sz w:val="18"/>
                <w:szCs w:val="18"/>
                <w:lang w:eastAsia="sl-SI"/>
              </w:rPr>
            </w:pPr>
            <w:r w:rsidRPr="00E0794B">
              <w:rPr>
                <w:rFonts w:ascii="Arial" w:eastAsia="Times New Roman" w:hAnsi="Arial" w:cs="Arial"/>
                <w:color w:val="000000"/>
                <w:sz w:val="18"/>
                <w:szCs w:val="18"/>
                <w:lang w:eastAsia="sl-SI"/>
              </w:rPr>
              <w:t>Gradnje</w:t>
            </w:r>
          </w:p>
        </w:tc>
        <w:tc>
          <w:tcPr>
            <w:tcW w:w="541" w:type="pct"/>
            <w:tcBorders>
              <w:top w:val="nil"/>
              <w:left w:val="nil"/>
              <w:bottom w:val="single" w:sz="4" w:space="0" w:color="auto"/>
              <w:right w:val="single" w:sz="4" w:space="0" w:color="auto"/>
            </w:tcBorders>
            <w:shd w:val="clear" w:color="auto" w:fill="auto"/>
            <w:vAlign w:val="center"/>
            <w:hideMark/>
          </w:tcPr>
          <w:p w14:paraId="5635ABCF" w14:textId="77777777" w:rsidR="00E3750C" w:rsidRPr="00E0794B" w:rsidRDefault="00E3750C" w:rsidP="00047864">
            <w:pPr>
              <w:spacing w:after="0" w:line="240" w:lineRule="auto"/>
              <w:jc w:val="right"/>
              <w:rPr>
                <w:rFonts w:ascii="Arial" w:eastAsia="Times New Roman" w:hAnsi="Arial" w:cs="Arial"/>
                <w:color w:val="000000"/>
                <w:sz w:val="18"/>
                <w:szCs w:val="18"/>
                <w:lang w:eastAsia="sl-SI"/>
              </w:rPr>
            </w:pPr>
            <w:r w:rsidRPr="00E0794B">
              <w:rPr>
                <w:rFonts w:ascii="Arial" w:hAnsi="Arial" w:cs="Arial"/>
                <w:sz w:val="18"/>
                <w:szCs w:val="18"/>
              </w:rPr>
              <w:t>5</w:t>
            </w:r>
          </w:p>
        </w:tc>
        <w:tc>
          <w:tcPr>
            <w:tcW w:w="1045" w:type="pct"/>
            <w:tcBorders>
              <w:top w:val="nil"/>
              <w:left w:val="nil"/>
              <w:bottom w:val="single" w:sz="4" w:space="0" w:color="auto"/>
              <w:right w:val="single" w:sz="4" w:space="0" w:color="auto"/>
            </w:tcBorders>
            <w:shd w:val="clear" w:color="auto" w:fill="auto"/>
            <w:vAlign w:val="center"/>
            <w:hideMark/>
          </w:tcPr>
          <w:p w14:paraId="640CFB30" w14:textId="77777777" w:rsidR="00E3750C" w:rsidRPr="00E0794B" w:rsidRDefault="00E3750C" w:rsidP="00047864">
            <w:pPr>
              <w:spacing w:after="0" w:line="240" w:lineRule="auto"/>
              <w:jc w:val="right"/>
              <w:rPr>
                <w:rFonts w:ascii="Arial" w:eastAsia="Times New Roman" w:hAnsi="Arial" w:cs="Arial"/>
                <w:color w:val="000000"/>
                <w:sz w:val="18"/>
                <w:szCs w:val="18"/>
                <w:lang w:eastAsia="sl-SI"/>
              </w:rPr>
            </w:pPr>
            <w:r w:rsidRPr="00E0794B">
              <w:rPr>
                <w:rFonts w:ascii="Arial" w:hAnsi="Arial" w:cs="Arial"/>
                <w:sz w:val="18"/>
                <w:szCs w:val="18"/>
              </w:rPr>
              <w:t>7.226.475</w:t>
            </w:r>
          </w:p>
        </w:tc>
        <w:tc>
          <w:tcPr>
            <w:tcW w:w="518" w:type="pct"/>
            <w:tcBorders>
              <w:top w:val="nil"/>
              <w:left w:val="nil"/>
              <w:bottom w:val="single" w:sz="4" w:space="0" w:color="auto"/>
              <w:right w:val="single" w:sz="4" w:space="0" w:color="auto"/>
            </w:tcBorders>
            <w:shd w:val="clear" w:color="auto" w:fill="auto"/>
            <w:noWrap/>
            <w:vAlign w:val="center"/>
          </w:tcPr>
          <w:p w14:paraId="610D5C38" w14:textId="77777777" w:rsidR="00E3750C" w:rsidRPr="00E0794B" w:rsidRDefault="00E3750C" w:rsidP="00047864">
            <w:pPr>
              <w:spacing w:after="0" w:line="240" w:lineRule="auto"/>
              <w:jc w:val="right"/>
              <w:rPr>
                <w:rFonts w:ascii="Arial" w:hAnsi="Arial" w:cs="Arial"/>
                <w:sz w:val="18"/>
                <w:szCs w:val="18"/>
              </w:rPr>
            </w:pPr>
            <w:r w:rsidRPr="00E0794B">
              <w:rPr>
                <w:rFonts w:ascii="Arial" w:hAnsi="Arial" w:cs="Arial"/>
                <w:sz w:val="18"/>
                <w:szCs w:val="18"/>
              </w:rPr>
              <w:t>8,33</w:t>
            </w:r>
            <w:r>
              <w:rPr>
                <w:rFonts w:ascii="Arial" w:hAnsi="Arial" w:cs="Arial"/>
                <w:sz w:val="18"/>
                <w:szCs w:val="18"/>
              </w:rPr>
              <w:t xml:space="preserve"> </w:t>
            </w:r>
            <w:r w:rsidRPr="00E0794B">
              <w:rPr>
                <w:rFonts w:ascii="Arial" w:hAnsi="Arial" w:cs="Arial"/>
                <w:sz w:val="18"/>
                <w:szCs w:val="18"/>
              </w:rPr>
              <w:t>%</w:t>
            </w:r>
          </w:p>
        </w:tc>
        <w:tc>
          <w:tcPr>
            <w:tcW w:w="518" w:type="pct"/>
            <w:tcBorders>
              <w:top w:val="nil"/>
              <w:left w:val="nil"/>
              <w:bottom w:val="single" w:sz="4" w:space="0" w:color="auto"/>
              <w:right w:val="single" w:sz="4" w:space="0" w:color="auto"/>
            </w:tcBorders>
            <w:shd w:val="clear" w:color="auto" w:fill="auto"/>
            <w:noWrap/>
            <w:vAlign w:val="center"/>
          </w:tcPr>
          <w:p w14:paraId="5897ACE1" w14:textId="77777777" w:rsidR="00E3750C" w:rsidRPr="00E0794B" w:rsidRDefault="00E3750C" w:rsidP="00047864">
            <w:pPr>
              <w:spacing w:after="0" w:line="240" w:lineRule="auto"/>
              <w:jc w:val="right"/>
              <w:rPr>
                <w:rFonts w:ascii="Arial" w:hAnsi="Arial" w:cs="Arial"/>
                <w:sz w:val="18"/>
                <w:szCs w:val="18"/>
              </w:rPr>
            </w:pPr>
            <w:r w:rsidRPr="00E0794B">
              <w:rPr>
                <w:rFonts w:ascii="Arial" w:hAnsi="Arial" w:cs="Arial"/>
                <w:sz w:val="18"/>
                <w:szCs w:val="18"/>
              </w:rPr>
              <w:t>52,18</w:t>
            </w:r>
            <w:r>
              <w:rPr>
                <w:rFonts w:ascii="Arial" w:hAnsi="Arial" w:cs="Arial"/>
                <w:sz w:val="18"/>
                <w:szCs w:val="18"/>
              </w:rPr>
              <w:t xml:space="preserve"> </w:t>
            </w:r>
            <w:r w:rsidRPr="00E0794B">
              <w:rPr>
                <w:rFonts w:ascii="Arial" w:hAnsi="Arial" w:cs="Arial"/>
                <w:sz w:val="18"/>
                <w:szCs w:val="18"/>
              </w:rPr>
              <w:t>%</w:t>
            </w:r>
          </w:p>
        </w:tc>
        <w:tc>
          <w:tcPr>
            <w:tcW w:w="437" w:type="pct"/>
            <w:tcBorders>
              <w:top w:val="nil"/>
              <w:left w:val="nil"/>
              <w:bottom w:val="single" w:sz="4" w:space="0" w:color="auto"/>
              <w:right w:val="single" w:sz="4" w:space="0" w:color="auto"/>
            </w:tcBorders>
            <w:shd w:val="clear" w:color="auto" w:fill="auto"/>
            <w:noWrap/>
            <w:vAlign w:val="center"/>
            <w:hideMark/>
          </w:tcPr>
          <w:p w14:paraId="4DD01A17" w14:textId="77777777" w:rsidR="00E3750C" w:rsidRPr="00E0794B" w:rsidRDefault="00E3750C" w:rsidP="00047864">
            <w:pPr>
              <w:spacing w:after="0" w:line="240" w:lineRule="auto"/>
              <w:jc w:val="right"/>
              <w:rPr>
                <w:rFonts w:ascii="Arial" w:eastAsia="Times New Roman" w:hAnsi="Arial" w:cs="Arial"/>
                <w:color w:val="000000"/>
                <w:sz w:val="18"/>
                <w:szCs w:val="18"/>
                <w:lang w:eastAsia="sl-SI"/>
              </w:rPr>
            </w:pPr>
            <w:r w:rsidRPr="00E0794B">
              <w:rPr>
                <w:rFonts w:ascii="Arial" w:hAnsi="Arial" w:cs="Arial"/>
                <w:sz w:val="18"/>
                <w:szCs w:val="18"/>
              </w:rPr>
              <w:t>0,07 %</w:t>
            </w:r>
          </w:p>
        </w:tc>
        <w:tc>
          <w:tcPr>
            <w:tcW w:w="475" w:type="pct"/>
            <w:tcBorders>
              <w:top w:val="nil"/>
              <w:left w:val="nil"/>
              <w:bottom w:val="single" w:sz="4" w:space="0" w:color="auto"/>
              <w:right w:val="single" w:sz="4" w:space="0" w:color="auto"/>
            </w:tcBorders>
            <w:shd w:val="clear" w:color="auto" w:fill="auto"/>
            <w:noWrap/>
            <w:vAlign w:val="center"/>
            <w:hideMark/>
          </w:tcPr>
          <w:p w14:paraId="4385C2D7" w14:textId="77777777" w:rsidR="00E3750C" w:rsidRPr="00E0794B" w:rsidRDefault="00E3750C" w:rsidP="00047864">
            <w:pPr>
              <w:spacing w:after="0" w:line="240" w:lineRule="auto"/>
              <w:jc w:val="right"/>
              <w:rPr>
                <w:rFonts w:ascii="Arial" w:eastAsia="Times New Roman" w:hAnsi="Arial" w:cs="Arial"/>
                <w:color w:val="000000"/>
                <w:sz w:val="18"/>
                <w:szCs w:val="18"/>
                <w:lang w:eastAsia="sl-SI"/>
              </w:rPr>
            </w:pPr>
            <w:r w:rsidRPr="00E0794B">
              <w:rPr>
                <w:rFonts w:ascii="Arial" w:hAnsi="Arial" w:cs="Arial"/>
                <w:sz w:val="18"/>
                <w:szCs w:val="18"/>
              </w:rPr>
              <w:t>0,58 %</w:t>
            </w:r>
          </w:p>
        </w:tc>
      </w:tr>
      <w:tr w:rsidR="00E3750C" w:rsidRPr="00E0794B" w14:paraId="773CBE63" w14:textId="77777777" w:rsidTr="00047864">
        <w:trPr>
          <w:trHeight w:val="300"/>
        </w:trPr>
        <w:tc>
          <w:tcPr>
            <w:tcW w:w="848" w:type="pct"/>
            <w:vMerge/>
            <w:tcBorders>
              <w:top w:val="nil"/>
              <w:left w:val="single" w:sz="4" w:space="0" w:color="auto"/>
              <w:bottom w:val="single" w:sz="4" w:space="0" w:color="auto"/>
              <w:right w:val="single" w:sz="4" w:space="0" w:color="auto"/>
            </w:tcBorders>
            <w:vAlign w:val="center"/>
            <w:hideMark/>
          </w:tcPr>
          <w:p w14:paraId="2D9D715B" w14:textId="77777777" w:rsidR="00E3750C" w:rsidRPr="00E0794B" w:rsidRDefault="00E3750C" w:rsidP="00047864">
            <w:pPr>
              <w:spacing w:after="0" w:line="240" w:lineRule="auto"/>
              <w:jc w:val="right"/>
              <w:rPr>
                <w:rFonts w:ascii="Arial" w:eastAsia="Times New Roman" w:hAnsi="Arial" w:cs="Arial"/>
                <w:color w:val="000000"/>
                <w:sz w:val="18"/>
                <w:szCs w:val="18"/>
                <w:lang w:eastAsia="sl-SI"/>
              </w:rPr>
            </w:pPr>
          </w:p>
        </w:tc>
        <w:tc>
          <w:tcPr>
            <w:tcW w:w="618" w:type="pct"/>
            <w:tcBorders>
              <w:top w:val="nil"/>
              <w:left w:val="nil"/>
              <w:bottom w:val="single" w:sz="4" w:space="0" w:color="auto"/>
              <w:right w:val="single" w:sz="4" w:space="0" w:color="auto"/>
            </w:tcBorders>
            <w:shd w:val="clear" w:color="auto" w:fill="auto"/>
            <w:vAlign w:val="center"/>
            <w:hideMark/>
          </w:tcPr>
          <w:p w14:paraId="0C126F3A" w14:textId="77777777" w:rsidR="00E3750C" w:rsidRPr="00E0794B" w:rsidRDefault="00E3750C" w:rsidP="00047864">
            <w:pPr>
              <w:spacing w:after="0" w:line="240" w:lineRule="auto"/>
              <w:rPr>
                <w:rFonts w:ascii="Arial" w:eastAsia="Times New Roman" w:hAnsi="Arial" w:cs="Arial"/>
                <w:b/>
                <w:bCs/>
                <w:color w:val="000000"/>
                <w:sz w:val="18"/>
                <w:szCs w:val="18"/>
                <w:lang w:eastAsia="sl-SI"/>
              </w:rPr>
            </w:pPr>
            <w:r w:rsidRPr="00E0794B">
              <w:rPr>
                <w:rFonts w:ascii="Arial" w:eastAsia="Times New Roman" w:hAnsi="Arial" w:cs="Arial"/>
                <w:b/>
                <w:bCs/>
                <w:color w:val="000000"/>
                <w:sz w:val="18"/>
                <w:szCs w:val="18"/>
                <w:lang w:eastAsia="sl-SI"/>
              </w:rPr>
              <w:t>Skupaj</w:t>
            </w:r>
          </w:p>
        </w:tc>
        <w:tc>
          <w:tcPr>
            <w:tcW w:w="541" w:type="pct"/>
            <w:tcBorders>
              <w:top w:val="nil"/>
              <w:left w:val="nil"/>
              <w:bottom w:val="single" w:sz="4" w:space="0" w:color="auto"/>
              <w:right w:val="single" w:sz="4" w:space="0" w:color="auto"/>
            </w:tcBorders>
            <w:shd w:val="clear" w:color="auto" w:fill="auto"/>
            <w:vAlign w:val="center"/>
            <w:hideMark/>
          </w:tcPr>
          <w:p w14:paraId="3A41BC44" w14:textId="77777777" w:rsidR="00E3750C" w:rsidRPr="00E0794B" w:rsidRDefault="00E3750C" w:rsidP="00047864">
            <w:pPr>
              <w:spacing w:after="0" w:line="240" w:lineRule="auto"/>
              <w:jc w:val="right"/>
              <w:rPr>
                <w:rFonts w:ascii="Arial" w:eastAsia="Times New Roman" w:hAnsi="Arial" w:cs="Arial"/>
                <w:b/>
                <w:bCs/>
                <w:color w:val="000000"/>
                <w:sz w:val="18"/>
                <w:szCs w:val="18"/>
                <w:lang w:eastAsia="sl-SI"/>
              </w:rPr>
            </w:pPr>
            <w:r w:rsidRPr="00E0794B">
              <w:rPr>
                <w:rFonts w:ascii="Arial" w:hAnsi="Arial" w:cs="Arial"/>
                <w:b/>
                <w:bCs/>
                <w:sz w:val="18"/>
                <w:szCs w:val="18"/>
              </w:rPr>
              <w:t>60</w:t>
            </w:r>
          </w:p>
        </w:tc>
        <w:tc>
          <w:tcPr>
            <w:tcW w:w="1045" w:type="pct"/>
            <w:tcBorders>
              <w:top w:val="nil"/>
              <w:left w:val="nil"/>
              <w:bottom w:val="single" w:sz="4" w:space="0" w:color="auto"/>
              <w:right w:val="single" w:sz="4" w:space="0" w:color="auto"/>
            </w:tcBorders>
            <w:shd w:val="clear" w:color="auto" w:fill="auto"/>
            <w:vAlign w:val="center"/>
            <w:hideMark/>
          </w:tcPr>
          <w:p w14:paraId="06E05F63" w14:textId="77777777" w:rsidR="00E3750C" w:rsidRPr="00E0794B" w:rsidRDefault="00E3750C" w:rsidP="00047864">
            <w:pPr>
              <w:spacing w:after="0" w:line="240" w:lineRule="auto"/>
              <w:jc w:val="right"/>
              <w:rPr>
                <w:rFonts w:ascii="Arial" w:eastAsia="Times New Roman" w:hAnsi="Arial" w:cs="Arial"/>
                <w:b/>
                <w:bCs/>
                <w:color w:val="000000"/>
                <w:sz w:val="18"/>
                <w:szCs w:val="18"/>
                <w:lang w:eastAsia="sl-SI"/>
              </w:rPr>
            </w:pPr>
            <w:r w:rsidRPr="00E0794B">
              <w:rPr>
                <w:rFonts w:ascii="Arial" w:hAnsi="Arial" w:cs="Arial"/>
                <w:b/>
                <w:bCs/>
                <w:sz w:val="18"/>
                <w:szCs w:val="18"/>
              </w:rPr>
              <w:t>13.849.038</w:t>
            </w:r>
          </w:p>
        </w:tc>
        <w:tc>
          <w:tcPr>
            <w:tcW w:w="518" w:type="pct"/>
            <w:tcBorders>
              <w:top w:val="nil"/>
              <w:left w:val="nil"/>
              <w:bottom w:val="single" w:sz="4" w:space="0" w:color="auto"/>
              <w:right w:val="single" w:sz="4" w:space="0" w:color="auto"/>
            </w:tcBorders>
            <w:shd w:val="clear" w:color="auto" w:fill="auto"/>
            <w:noWrap/>
            <w:vAlign w:val="center"/>
            <w:hideMark/>
          </w:tcPr>
          <w:p w14:paraId="68B814E8" w14:textId="77777777" w:rsidR="00E3750C" w:rsidRPr="00E0794B" w:rsidRDefault="00E3750C" w:rsidP="00047864">
            <w:pPr>
              <w:spacing w:after="0" w:line="240" w:lineRule="auto"/>
              <w:jc w:val="right"/>
              <w:rPr>
                <w:rFonts w:ascii="Arial" w:hAnsi="Arial" w:cs="Arial"/>
                <w:b/>
                <w:bCs/>
                <w:sz w:val="18"/>
                <w:szCs w:val="18"/>
              </w:rPr>
            </w:pPr>
            <w:r w:rsidRPr="00E0794B">
              <w:rPr>
                <w:rFonts w:ascii="Arial" w:hAnsi="Arial" w:cs="Arial"/>
                <w:b/>
                <w:bCs/>
                <w:sz w:val="18"/>
                <w:szCs w:val="18"/>
              </w:rPr>
              <w:t>100,00</w:t>
            </w:r>
            <w:r>
              <w:rPr>
                <w:rFonts w:ascii="Arial" w:hAnsi="Arial" w:cs="Arial"/>
                <w:b/>
                <w:bCs/>
                <w:sz w:val="18"/>
                <w:szCs w:val="18"/>
              </w:rPr>
              <w:t xml:space="preserve"> </w:t>
            </w:r>
            <w:r w:rsidRPr="00E0794B">
              <w:rPr>
                <w:rFonts w:ascii="Arial" w:hAnsi="Arial" w:cs="Arial"/>
                <w:b/>
                <w:bCs/>
                <w:sz w:val="18"/>
                <w:szCs w:val="18"/>
              </w:rPr>
              <w:t>%</w:t>
            </w:r>
          </w:p>
        </w:tc>
        <w:tc>
          <w:tcPr>
            <w:tcW w:w="518" w:type="pct"/>
            <w:tcBorders>
              <w:top w:val="nil"/>
              <w:left w:val="nil"/>
              <w:bottom w:val="single" w:sz="4" w:space="0" w:color="auto"/>
              <w:right w:val="single" w:sz="4" w:space="0" w:color="auto"/>
            </w:tcBorders>
            <w:shd w:val="clear" w:color="auto" w:fill="auto"/>
            <w:noWrap/>
            <w:vAlign w:val="center"/>
            <w:hideMark/>
          </w:tcPr>
          <w:p w14:paraId="7906EE1B" w14:textId="77777777" w:rsidR="00E3750C" w:rsidRPr="00E0794B" w:rsidRDefault="00E3750C" w:rsidP="00047864">
            <w:pPr>
              <w:spacing w:after="0" w:line="240" w:lineRule="auto"/>
              <w:jc w:val="right"/>
              <w:rPr>
                <w:rFonts w:ascii="Arial" w:hAnsi="Arial" w:cs="Arial"/>
                <w:b/>
                <w:bCs/>
                <w:sz w:val="18"/>
                <w:szCs w:val="18"/>
              </w:rPr>
            </w:pPr>
            <w:r w:rsidRPr="00E0794B">
              <w:rPr>
                <w:rFonts w:ascii="Arial" w:hAnsi="Arial" w:cs="Arial"/>
                <w:b/>
                <w:bCs/>
                <w:sz w:val="18"/>
                <w:szCs w:val="18"/>
              </w:rPr>
              <w:t>100,00 %</w:t>
            </w:r>
          </w:p>
        </w:tc>
        <w:tc>
          <w:tcPr>
            <w:tcW w:w="437" w:type="pct"/>
            <w:tcBorders>
              <w:top w:val="nil"/>
              <w:left w:val="nil"/>
              <w:bottom w:val="single" w:sz="4" w:space="0" w:color="auto"/>
              <w:right w:val="single" w:sz="4" w:space="0" w:color="auto"/>
            </w:tcBorders>
            <w:shd w:val="clear" w:color="auto" w:fill="auto"/>
            <w:noWrap/>
            <w:vAlign w:val="center"/>
            <w:hideMark/>
          </w:tcPr>
          <w:p w14:paraId="19E97C3E" w14:textId="77777777" w:rsidR="00E3750C" w:rsidRPr="00E0794B" w:rsidRDefault="00E3750C" w:rsidP="00047864">
            <w:pPr>
              <w:spacing w:after="0" w:line="240" w:lineRule="auto"/>
              <w:jc w:val="right"/>
              <w:rPr>
                <w:rFonts w:ascii="Arial" w:eastAsia="Times New Roman" w:hAnsi="Arial" w:cs="Arial"/>
                <w:b/>
                <w:bCs/>
                <w:color w:val="000000"/>
                <w:sz w:val="18"/>
                <w:szCs w:val="18"/>
                <w:lang w:eastAsia="sl-SI"/>
              </w:rPr>
            </w:pPr>
            <w:r w:rsidRPr="00E0794B">
              <w:rPr>
                <w:rFonts w:ascii="Arial" w:hAnsi="Arial" w:cs="Arial"/>
                <w:b/>
                <w:bCs/>
                <w:sz w:val="18"/>
                <w:szCs w:val="18"/>
              </w:rPr>
              <w:t>0,87 %</w:t>
            </w:r>
          </w:p>
        </w:tc>
        <w:tc>
          <w:tcPr>
            <w:tcW w:w="475" w:type="pct"/>
            <w:tcBorders>
              <w:top w:val="nil"/>
              <w:left w:val="nil"/>
              <w:bottom w:val="single" w:sz="4" w:space="0" w:color="auto"/>
              <w:right w:val="single" w:sz="4" w:space="0" w:color="auto"/>
            </w:tcBorders>
            <w:shd w:val="clear" w:color="auto" w:fill="auto"/>
            <w:noWrap/>
            <w:vAlign w:val="center"/>
            <w:hideMark/>
          </w:tcPr>
          <w:p w14:paraId="2D5028DF" w14:textId="77777777" w:rsidR="00E3750C" w:rsidRPr="00E0794B" w:rsidRDefault="00E3750C" w:rsidP="00047864">
            <w:pPr>
              <w:spacing w:after="0" w:line="240" w:lineRule="auto"/>
              <w:jc w:val="right"/>
              <w:rPr>
                <w:rFonts w:ascii="Arial" w:eastAsia="Times New Roman" w:hAnsi="Arial" w:cs="Arial"/>
                <w:b/>
                <w:bCs/>
                <w:color w:val="000000"/>
                <w:sz w:val="18"/>
                <w:szCs w:val="18"/>
                <w:lang w:eastAsia="sl-SI"/>
              </w:rPr>
            </w:pPr>
            <w:r w:rsidRPr="00E0794B">
              <w:rPr>
                <w:rFonts w:ascii="Arial" w:hAnsi="Arial" w:cs="Arial"/>
                <w:b/>
                <w:bCs/>
                <w:sz w:val="18"/>
                <w:szCs w:val="18"/>
              </w:rPr>
              <w:t>1,12 %</w:t>
            </w:r>
          </w:p>
        </w:tc>
      </w:tr>
      <w:tr w:rsidR="00E3750C" w:rsidRPr="000604FD" w14:paraId="3B5B4D9B" w14:textId="77777777" w:rsidTr="00047864">
        <w:trPr>
          <w:trHeight w:val="300"/>
        </w:trPr>
        <w:tc>
          <w:tcPr>
            <w:tcW w:w="146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60D1D3" w14:textId="77777777" w:rsidR="00E3750C" w:rsidRPr="00E0794B" w:rsidRDefault="00E3750C" w:rsidP="00047864">
            <w:pPr>
              <w:spacing w:after="0" w:line="240" w:lineRule="auto"/>
              <w:rPr>
                <w:rFonts w:ascii="Arial" w:eastAsia="Times New Roman" w:hAnsi="Arial" w:cs="Arial"/>
                <w:b/>
                <w:bCs/>
                <w:color w:val="000000"/>
                <w:sz w:val="18"/>
                <w:szCs w:val="18"/>
                <w:lang w:eastAsia="sl-SI"/>
              </w:rPr>
            </w:pPr>
            <w:r w:rsidRPr="00E0794B">
              <w:rPr>
                <w:rFonts w:ascii="Arial" w:eastAsia="Times New Roman" w:hAnsi="Arial" w:cs="Arial"/>
                <w:b/>
                <w:bCs/>
                <w:color w:val="000000"/>
                <w:sz w:val="18"/>
                <w:szCs w:val="18"/>
                <w:lang w:eastAsia="sl-SI"/>
              </w:rPr>
              <w:t>Skupaj</w:t>
            </w:r>
          </w:p>
        </w:tc>
        <w:tc>
          <w:tcPr>
            <w:tcW w:w="541" w:type="pct"/>
            <w:tcBorders>
              <w:top w:val="nil"/>
              <w:left w:val="nil"/>
              <w:bottom w:val="single" w:sz="4" w:space="0" w:color="auto"/>
              <w:right w:val="single" w:sz="4" w:space="0" w:color="auto"/>
            </w:tcBorders>
            <w:shd w:val="clear" w:color="auto" w:fill="F2F2F2" w:themeFill="background1" w:themeFillShade="F2"/>
            <w:vAlign w:val="center"/>
            <w:hideMark/>
          </w:tcPr>
          <w:p w14:paraId="4D5E8137" w14:textId="77777777" w:rsidR="00E3750C" w:rsidRPr="00E0794B" w:rsidRDefault="00E3750C" w:rsidP="00047864">
            <w:pPr>
              <w:spacing w:after="0" w:line="240" w:lineRule="auto"/>
              <w:jc w:val="right"/>
              <w:rPr>
                <w:rFonts w:ascii="Arial" w:eastAsia="Times New Roman" w:hAnsi="Arial" w:cs="Arial"/>
                <w:b/>
                <w:bCs/>
                <w:color w:val="000000"/>
                <w:sz w:val="18"/>
                <w:szCs w:val="18"/>
                <w:lang w:eastAsia="sl-SI"/>
              </w:rPr>
            </w:pPr>
            <w:r w:rsidRPr="00E0794B">
              <w:rPr>
                <w:rFonts w:ascii="Arial" w:hAnsi="Arial" w:cs="Arial"/>
                <w:b/>
                <w:bCs/>
                <w:sz w:val="18"/>
                <w:szCs w:val="18"/>
              </w:rPr>
              <w:t>6.935</w:t>
            </w:r>
          </w:p>
        </w:tc>
        <w:tc>
          <w:tcPr>
            <w:tcW w:w="1045" w:type="pct"/>
            <w:tcBorders>
              <w:top w:val="nil"/>
              <w:left w:val="nil"/>
              <w:bottom w:val="single" w:sz="4" w:space="0" w:color="auto"/>
              <w:right w:val="single" w:sz="4" w:space="0" w:color="auto"/>
            </w:tcBorders>
            <w:shd w:val="clear" w:color="auto" w:fill="F2F2F2" w:themeFill="background1" w:themeFillShade="F2"/>
            <w:vAlign w:val="center"/>
            <w:hideMark/>
          </w:tcPr>
          <w:p w14:paraId="3D8FF4AC" w14:textId="77777777" w:rsidR="00E3750C" w:rsidRPr="00E0794B" w:rsidRDefault="00E3750C" w:rsidP="00047864">
            <w:pPr>
              <w:spacing w:after="0" w:line="240" w:lineRule="auto"/>
              <w:jc w:val="right"/>
              <w:rPr>
                <w:rFonts w:ascii="Arial" w:eastAsia="Times New Roman" w:hAnsi="Arial" w:cs="Arial"/>
                <w:b/>
                <w:bCs/>
                <w:color w:val="000000"/>
                <w:sz w:val="18"/>
                <w:szCs w:val="18"/>
                <w:lang w:eastAsia="sl-SI"/>
              </w:rPr>
            </w:pPr>
            <w:r w:rsidRPr="00E0794B">
              <w:rPr>
                <w:rFonts w:ascii="Arial" w:hAnsi="Arial" w:cs="Arial"/>
                <w:b/>
                <w:bCs/>
                <w:sz w:val="18"/>
                <w:szCs w:val="18"/>
              </w:rPr>
              <w:t>1.238.384.243</w:t>
            </w:r>
          </w:p>
        </w:tc>
        <w:tc>
          <w:tcPr>
            <w:tcW w:w="518" w:type="pct"/>
            <w:tcBorders>
              <w:top w:val="nil"/>
              <w:left w:val="nil"/>
              <w:bottom w:val="nil"/>
              <w:right w:val="nil"/>
            </w:tcBorders>
            <w:shd w:val="clear" w:color="auto" w:fill="auto"/>
            <w:noWrap/>
            <w:vAlign w:val="center"/>
            <w:hideMark/>
          </w:tcPr>
          <w:p w14:paraId="56AA2E38" w14:textId="77777777" w:rsidR="00E3750C" w:rsidRPr="00E0794B" w:rsidRDefault="00E3750C" w:rsidP="00047864">
            <w:pPr>
              <w:spacing w:after="0" w:line="240" w:lineRule="auto"/>
              <w:jc w:val="right"/>
              <w:rPr>
                <w:rFonts w:ascii="Arial" w:eastAsia="Times New Roman" w:hAnsi="Arial" w:cs="Arial"/>
                <w:color w:val="000000"/>
                <w:sz w:val="18"/>
                <w:szCs w:val="18"/>
                <w:lang w:eastAsia="sl-SI"/>
              </w:rPr>
            </w:pPr>
          </w:p>
        </w:tc>
        <w:tc>
          <w:tcPr>
            <w:tcW w:w="518" w:type="pct"/>
            <w:tcBorders>
              <w:top w:val="nil"/>
              <w:left w:val="nil"/>
              <w:bottom w:val="nil"/>
              <w:right w:val="nil"/>
            </w:tcBorders>
            <w:shd w:val="clear" w:color="auto" w:fill="auto"/>
            <w:noWrap/>
            <w:vAlign w:val="center"/>
            <w:hideMark/>
          </w:tcPr>
          <w:p w14:paraId="59BBFBF9" w14:textId="77777777" w:rsidR="00E3750C" w:rsidRPr="00E0794B" w:rsidRDefault="00E3750C" w:rsidP="00047864">
            <w:pPr>
              <w:spacing w:after="0" w:line="240" w:lineRule="auto"/>
              <w:jc w:val="right"/>
              <w:rPr>
                <w:rFonts w:ascii="Arial" w:eastAsia="Times New Roman" w:hAnsi="Arial" w:cs="Arial"/>
                <w:color w:val="000000"/>
                <w:sz w:val="18"/>
                <w:szCs w:val="18"/>
                <w:lang w:eastAsia="sl-SI"/>
              </w:rPr>
            </w:pPr>
          </w:p>
        </w:tc>
        <w:tc>
          <w:tcPr>
            <w:tcW w:w="437" w:type="pct"/>
            <w:tcBorders>
              <w:top w:val="nil"/>
              <w:left w:val="nil"/>
              <w:bottom w:val="nil"/>
              <w:right w:val="nil"/>
            </w:tcBorders>
            <w:shd w:val="clear" w:color="auto" w:fill="auto"/>
            <w:noWrap/>
            <w:vAlign w:val="center"/>
            <w:hideMark/>
          </w:tcPr>
          <w:p w14:paraId="1BBE734C" w14:textId="77777777" w:rsidR="00E3750C" w:rsidRPr="00E0794B" w:rsidRDefault="00E3750C" w:rsidP="00047864">
            <w:pPr>
              <w:spacing w:after="0" w:line="240" w:lineRule="auto"/>
              <w:jc w:val="right"/>
              <w:rPr>
                <w:rFonts w:ascii="Arial" w:eastAsia="Times New Roman" w:hAnsi="Arial" w:cs="Arial"/>
                <w:color w:val="000000"/>
                <w:sz w:val="18"/>
                <w:szCs w:val="18"/>
                <w:lang w:eastAsia="sl-SI"/>
              </w:rPr>
            </w:pPr>
          </w:p>
        </w:tc>
        <w:tc>
          <w:tcPr>
            <w:tcW w:w="475" w:type="pct"/>
            <w:tcBorders>
              <w:top w:val="nil"/>
              <w:left w:val="nil"/>
              <w:bottom w:val="nil"/>
              <w:right w:val="nil"/>
            </w:tcBorders>
            <w:shd w:val="clear" w:color="auto" w:fill="auto"/>
            <w:noWrap/>
            <w:vAlign w:val="center"/>
            <w:hideMark/>
          </w:tcPr>
          <w:p w14:paraId="7459FD67" w14:textId="77777777" w:rsidR="00E3750C" w:rsidRPr="00E0794B" w:rsidRDefault="00E3750C" w:rsidP="00047864">
            <w:pPr>
              <w:spacing w:after="0" w:line="240" w:lineRule="auto"/>
              <w:jc w:val="right"/>
              <w:rPr>
                <w:rFonts w:ascii="Arial" w:eastAsia="Times New Roman" w:hAnsi="Arial" w:cs="Arial"/>
                <w:color w:val="000000"/>
                <w:sz w:val="18"/>
                <w:szCs w:val="18"/>
                <w:lang w:eastAsia="sl-SI"/>
              </w:rPr>
            </w:pPr>
          </w:p>
        </w:tc>
      </w:tr>
    </w:tbl>
    <w:p w14:paraId="38BD1072" w14:textId="77777777" w:rsidR="00E3750C" w:rsidRPr="00BF7302" w:rsidRDefault="00E3750C" w:rsidP="00E3750C">
      <w:pPr>
        <w:spacing w:after="0" w:line="240" w:lineRule="auto"/>
        <w:jc w:val="both"/>
        <w:rPr>
          <w:rFonts w:ascii="Arial" w:hAnsi="Arial" w:cs="Arial"/>
          <w:sz w:val="20"/>
          <w:highlight w:val="yellow"/>
        </w:rPr>
      </w:pPr>
    </w:p>
    <w:p w14:paraId="482CB6C9" w14:textId="77777777" w:rsidR="00E3750C" w:rsidRPr="008C2A28" w:rsidRDefault="00E3750C" w:rsidP="00E3750C">
      <w:pPr>
        <w:spacing w:before="120" w:after="0" w:line="240" w:lineRule="auto"/>
        <w:jc w:val="both"/>
        <w:rPr>
          <w:rFonts w:ascii="Arial" w:hAnsi="Arial" w:cs="Arial"/>
          <w:sz w:val="20"/>
        </w:rPr>
      </w:pPr>
      <w:r w:rsidRPr="008C2A28">
        <w:rPr>
          <w:rFonts w:ascii="Arial" w:hAnsi="Arial" w:cs="Arial"/>
          <w:sz w:val="20"/>
        </w:rPr>
        <w:t>Preglednica 6</w:t>
      </w:r>
      <w:r>
        <w:rPr>
          <w:rFonts w:ascii="Arial" w:hAnsi="Arial" w:cs="Arial"/>
          <w:sz w:val="20"/>
        </w:rPr>
        <w:t>4</w:t>
      </w:r>
      <w:r w:rsidRPr="008C2A28">
        <w:rPr>
          <w:rFonts w:ascii="Arial" w:hAnsi="Arial" w:cs="Arial"/>
          <w:sz w:val="20"/>
        </w:rPr>
        <w:t xml:space="preserve">: Naročila, objavljena samo na portalu javnih naročil glede na področje in vrsto postopka </w:t>
      </w:r>
    </w:p>
    <w:p w14:paraId="766D20E5" w14:textId="77777777" w:rsidR="00E3750C" w:rsidRPr="008C2A28" w:rsidRDefault="00E3750C" w:rsidP="00E3750C">
      <w:pPr>
        <w:spacing w:after="0" w:line="240" w:lineRule="auto"/>
        <w:jc w:val="both"/>
        <w:rPr>
          <w:rFonts w:ascii="Arial" w:hAnsi="Arial" w:cs="Arial"/>
          <w:sz w:val="20"/>
        </w:rPr>
      </w:pPr>
    </w:p>
    <w:tbl>
      <w:tblPr>
        <w:tblW w:w="5000" w:type="pct"/>
        <w:tblCellMar>
          <w:left w:w="70" w:type="dxa"/>
          <w:right w:w="70" w:type="dxa"/>
        </w:tblCellMar>
        <w:tblLook w:val="04A0" w:firstRow="1" w:lastRow="0" w:firstColumn="1" w:lastColumn="0" w:noHBand="0" w:noVBand="1"/>
      </w:tblPr>
      <w:tblGrid>
        <w:gridCol w:w="1301"/>
        <w:gridCol w:w="3878"/>
        <w:gridCol w:w="671"/>
        <w:gridCol w:w="1422"/>
        <w:gridCol w:w="951"/>
        <w:gridCol w:w="951"/>
      </w:tblGrid>
      <w:tr w:rsidR="00E3750C" w:rsidRPr="008C2A28" w14:paraId="35BE158E" w14:textId="77777777" w:rsidTr="00047864">
        <w:trPr>
          <w:trHeight w:val="960"/>
        </w:trPr>
        <w:tc>
          <w:tcPr>
            <w:tcW w:w="709"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5393F643" w14:textId="77777777" w:rsidR="00E3750C" w:rsidRPr="008C2A28" w:rsidRDefault="00E3750C" w:rsidP="00047864">
            <w:pPr>
              <w:spacing w:after="0" w:line="240" w:lineRule="auto"/>
              <w:jc w:val="center"/>
              <w:rPr>
                <w:rFonts w:ascii="Arial" w:eastAsia="Times New Roman" w:hAnsi="Arial" w:cs="Arial"/>
                <w:color w:val="000000"/>
                <w:sz w:val="18"/>
                <w:szCs w:val="18"/>
                <w:lang w:eastAsia="sl-SI"/>
              </w:rPr>
            </w:pPr>
            <w:r w:rsidRPr="008C2A28">
              <w:rPr>
                <w:rFonts w:ascii="Arial" w:eastAsia="Times New Roman" w:hAnsi="Arial" w:cs="Arial"/>
                <w:color w:val="000000"/>
                <w:sz w:val="18"/>
                <w:szCs w:val="18"/>
                <w:lang w:eastAsia="sl-SI"/>
              </w:rPr>
              <w:t>Področje</w:t>
            </w:r>
          </w:p>
        </w:tc>
        <w:tc>
          <w:tcPr>
            <w:tcW w:w="2114" w:type="pct"/>
            <w:tcBorders>
              <w:top w:val="single" w:sz="4" w:space="0" w:color="auto"/>
              <w:left w:val="nil"/>
              <w:bottom w:val="single" w:sz="4" w:space="0" w:color="auto"/>
              <w:right w:val="single" w:sz="4" w:space="0" w:color="auto"/>
            </w:tcBorders>
            <w:shd w:val="clear" w:color="000000" w:fill="F2F2F2"/>
            <w:vAlign w:val="center"/>
            <w:hideMark/>
          </w:tcPr>
          <w:p w14:paraId="6E5B58F4" w14:textId="77777777" w:rsidR="00E3750C" w:rsidRPr="008C2A28" w:rsidRDefault="00E3750C" w:rsidP="00047864">
            <w:pPr>
              <w:spacing w:after="0" w:line="240" w:lineRule="auto"/>
              <w:jc w:val="center"/>
              <w:rPr>
                <w:rFonts w:ascii="Arial" w:eastAsia="Times New Roman" w:hAnsi="Arial" w:cs="Arial"/>
                <w:color w:val="000000"/>
                <w:sz w:val="18"/>
                <w:szCs w:val="18"/>
                <w:lang w:eastAsia="sl-SI"/>
              </w:rPr>
            </w:pPr>
            <w:r w:rsidRPr="008C2A28">
              <w:rPr>
                <w:rFonts w:ascii="Arial" w:eastAsia="Times New Roman" w:hAnsi="Arial" w:cs="Arial"/>
                <w:color w:val="000000"/>
                <w:sz w:val="18"/>
                <w:szCs w:val="18"/>
                <w:lang w:eastAsia="sl-SI"/>
              </w:rPr>
              <w:t>Vrsta postopka</w:t>
            </w:r>
          </w:p>
        </w:tc>
        <w:tc>
          <w:tcPr>
            <w:tcW w:w="366" w:type="pct"/>
            <w:tcBorders>
              <w:top w:val="single" w:sz="4" w:space="0" w:color="auto"/>
              <w:left w:val="nil"/>
              <w:bottom w:val="single" w:sz="4" w:space="0" w:color="auto"/>
              <w:right w:val="single" w:sz="4" w:space="0" w:color="auto"/>
            </w:tcBorders>
            <w:shd w:val="clear" w:color="000000" w:fill="F2F2F2"/>
            <w:vAlign w:val="center"/>
            <w:hideMark/>
          </w:tcPr>
          <w:p w14:paraId="41708911" w14:textId="77777777" w:rsidR="00E3750C" w:rsidRPr="008C2A28" w:rsidRDefault="00E3750C" w:rsidP="00047864">
            <w:pPr>
              <w:spacing w:after="0" w:line="240" w:lineRule="auto"/>
              <w:jc w:val="center"/>
              <w:rPr>
                <w:rFonts w:ascii="Arial" w:eastAsia="Times New Roman" w:hAnsi="Arial" w:cs="Arial"/>
                <w:color w:val="000000"/>
                <w:sz w:val="18"/>
                <w:szCs w:val="18"/>
                <w:lang w:eastAsia="sl-SI"/>
              </w:rPr>
            </w:pPr>
            <w:r w:rsidRPr="008C2A28">
              <w:rPr>
                <w:rFonts w:ascii="Arial" w:eastAsia="Times New Roman" w:hAnsi="Arial" w:cs="Arial"/>
                <w:color w:val="000000"/>
                <w:sz w:val="18"/>
                <w:szCs w:val="18"/>
                <w:lang w:eastAsia="sl-SI"/>
              </w:rPr>
              <w:t>Št. naročil</w:t>
            </w:r>
          </w:p>
        </w:tc>
        <w:tc>
          <w:tcPr>
            <w:tcW w:w="775" w:type="pct"/>
            <w:tcBorders>
              <w:top w:val="single" w:sz="4" w:space="0" w:color="auto"/>
              <w:left w:val="nil"/>
              <w:bottom w:val="single" w:sz="4" w:space="0" w:color="auto"/>
              <w:right w:val="single" w:sz="4" w:space="0" w:color="auto"/>
            </w:tcBorders>
            <w:shd w:val="clear" w:color="000000" w:fill="F2F2F2"/>
            <w:vAlign w:val="center"/>
            <w:hideMark/>
          </w:tcPr>
          <w:p w14:paraId="154737E8" w14:textId="77777777" w:rsidR="00E3750C" w:rsidRPr="008C2A28" w:rsidRDefault="00E3750C" w:rsidP="00047864">
            <w:pPr>
              <w:spacing w:after="0" w:line="240" w:lineRule="auto"/>
              <w:jc w:val="center"/>
              <w:rPr>
                <w:rFonts w:ascii="Arial" w:eastAsia="Times New Roman" w:hAnsi="Arial" w:cs="Arial"/>
                <w:color w:val="000000"/>
                <w:sz w:val="18"/>
                <w:szCs w:val="18"/>
                <w:lang w:eastAsia="sl-SI"/>
              </w:rPr>
            </w:pPr>
            <w:r w:rsidRPr="008C2A28">
              <w:rPr>
                <w:rFonts w:ascii="Arial" w:eastAsia="Times New Roman" w:hAnsi="Arial" w:cs="Arial"/>
                <w:color w:val="000000"/>
                <w:sz w:val="18"/>
                <w:szCs w:val="18"/>
                <w:lang w:eastAsia="sl-SI"/>
              </w:rPr>
              <w:t>Pogodbena vrednost</w:t>
            </w:r>
          </w:p>
        </w:tc>
        <w:tc>
          <w:tcPr>
            <w:tcW w:w="518" w:type="pct"/>
            <w:tcBorders>
              <w:top w:val="single" w:sz="4" w:space="0" w:color="auto"/>
              <w:left w:val="nil"/>
              <w:bottom w:val="single" w:sz="4" w:space="0" w:color="auto"/>
              <w:right w:val="single" w:sz="4" w:space="0" w:color="auto"/>
            </w:tcBorders>
            <w:shd w:val="clear" w:color="000000" w:fill="F2F2F2"/>
            <w:vAlign w:val="center"/>
            <w:hideMark/>
          </w:tcPr>
          <w:p w14:paraId="683873E1" w14:textId="77777777" w:rsidR="00E3750C" w:rsidRPr="008C2A28" w:rsidRDefault="00E3750C" w:rsidP="00047864">
            <w:pPr>
              <w:spacing w:after="0" w:line="240" w:lineRule="auto"/>
              <w:jc w:val="center"/>
              <w:rPr>
                <w:rFonts w:ascii="Arial" w:eastAsia="Times New Roman" w:hAnsi="Arial" w:cs="Arial"/>
                <w:color w:val="000000"/>
                <w:sz w:val="18"/>
                <w:szCs w:val="18"/>
                <w:lang w:eastAsia="sl-SI"/>
              </w:rPr>
            </w:pPr>
            <w:r w:rsidRPr="008C2A28">
              <w:rPr>
                <w:rFonts w:ascii="Arial" w:eastAsia="Times New Roman" w:hAnsi="Arial" w:cs="Arial"/>
                <w:color w:val="000000"/>
                <w:sz w:val="18"/>
                <w:szCs w:val="18"/>
                <w:lang w:eastAsia="sl-SI"/>
              </w:rPr>
              <w:t>Delež v št. istovrstnih naročil</w:t>
            </w:r>
          </w:p>
        </w:tc>
        <w:tc>
          <w:tcPr>
            <w:tcW w:w="518" w:type="pct"/>
            <w:tcBorders>
              <w:top w:val="single" w:sz="4" w:space="0" w:color="auto"/>
              <w:left w:val="nil"/>
              <w:bottom w:val="single" w:sz="4" w:space="0" w:color="auto"/>
              <w:right w:val="single" w:sz="4" w:space="0" w:color="auto"/>
            </w:tcBorders>
            <w:shd w:val="clear" w:color="000000" w:fill="F2F2F2"/>
            <w:vAlign w:val="center"/>
            <w:hideMark/>
          </w:tcPr>
          <w:p w14:paraId="58C26C35" w14:textId="77777777" w:rsidR="00E3750C" w:rsidRPr="008C2A28" w:rsidRDefault="00E3750C" w:rsidP="00047864">
            <w:pPr>
              <w:spacing w:after="0" w:line="240" w:lineRule="auto"/>
              <w:jc w:val="center"/>
              <w:rPr>
                <w:rFonts w:ascii="Arial" w:eastAsia="Times New Roman" w:hAnsi="Arial" w:cs="Arial"/>
                <w:color w:val="000000"/>
                <w:sz w:val="18"/>
                <w:szCs w:val="18"/>
                <w:lang w:eastAsia="sl-SI"/>
              </w:rPr>
            </w:pPr>
            <w:r w:rsidRPr="008C2A28">
              <w:rPr>
                <w:rFonts w:ascii="Arial" w:eastAsia="Times New Roman" w:hAnsi="Arial" w:cs="Arial"/>
                <w:color w:val="000000"/>
                <w:sz w:val="18"/>
                <w:szCs w:val="18"/>
                <w:lang w:eastAsia="sl-SI"/>
              </w:rPr>
              <w:t>Delež  vrednosti istovrstnih naročil</w:t>
            </w:r>
          </w:p>
        </w:tc>
      </w:tr>
      <w:tr w:rsidR="00E3750C" w:rsidRPr="008C2A28" w14:paraId="61888888" w14:textId="77777777" w:rsidTr="00047864">
        <w:trPr>
          <w:trHeight w:val="300"/>
        </w:trPr>
        <w:tc>
          <w:tcPr>
            <w:tcW w:w="709" w:type="pct"/>
            <w:vMerge w:val="restart"/>
            <w:tcBorders>
              <w:top w:val="nil"/>
              <w:left w:val="single" w:sz="4" w:space="0" w:color="auto"/>
              <w:bottom w:val="single" w:sz="4" w:space="0" w:color="auto"/>
              <w:right w:val="single" w:sz="4" w:space="0" w:color="auto"/>
            </w:tcBorders>
            <w:shd w:val="clear" w:color="auto" w:fill="auto"/>
            <w:vAlign w:val="center"/>
            <w:hideMark/>
          </w:tcPr>
          <w:p w14:paraId="584DBC6E" w14:textId="77777777" w:rsidR="00E3750C" w:rsidRPr="008C2A28" w:rsidRDefault="00E3750C" w:rsidP="00047864">
            <w:pPr>
              <w:spacing w:after="0" w:line="240" w:lineRule="auto"/>
              <w:rPr>
                <w:rFonts w:ascii="Arial" w:eastAsia="Times New Roman" w:hAnsi="Arial" w:cs="Arial"/>
                <w:color w:val="000000"/>
                <w:sz w:val="18"/>
                <w:szCs w:val="18"/>
                <w:lang w:eastAsia="sl-SI"/>
              </w:rPr>
            </w:pPr>
            <w:r w:rsidRPr="008C2A28">
              <w:rPr>
                <w:rFonts w:ascii="Arial" w:eastAsia="Times New Roman" w:hAnsi="Arial" w:cs="Arial"/>
                <w:color w:val="000000"/>
                <w:sz w:val="18"/>
                <w:szCs w:val="18"/>
                <w:lang w:eastAsia="sl-SI"/>
              </w:rPr>
              <w:t>Splošno</w:t>
            </w:r>
          </w:p>
        </w:tc>
        <w:tc>
          <w:tcPr>
            <w:tcW w:w="2114" w:type="pct"/>
            <w:tcBorders>
              <w:top w:val="nil"/>
              <w:left w:val="nil"/>
              <w:bottom w:val="single" w:sz="4" w:space="0" w:color="auto"/>
              <w:right w:val="single" w:sz="4" w:space="0" w:color="auto"/>
            </w:tcBorders>
            <w:shd w:val="clear" w:color="auto" w:fill="auto"/>
            <w:vAlign w:val="center"/>
            <w:hideMark/>
          </w:tcPr>
          <w:p w14:paraId="3942AB9E" w14:textId="77777777" w:rsidR="00E3750C" w:rsidRPr="008C2A28" w:rsidRDefault="00E3750C" w:rsidP="00047864">
            <w:pPr>
              <w:spacing w:after="0" w:line="240" w:lineRule="auto"/>
              <w:rPr>
                <w:rFonts w:ascii="Arial" w:eastAsia="Times New Roman" w:hAnsi="Arial" w:cs="Arial"/>
                <w:color w:val="000000"/>
                <w:sz w:val="18"/>
                <w:szCs w:val="18"/>
                <w:lang w:eastAsia="sl-SI"/>
              </w:rPr>
            </w:pPr>
            <w:r w:rsidRPr="008C2A28">
              <w:rPr>
                <w:rFonts w:ascii="Arial" w:eastAsia="Times New Roman" w:hAnsi="Arial" w:cs="Arial"/>
                <w:color w:val="000000"/>
                <w:sz w:val="18"/>
                <w:szCs w:val="18"/>
                <w:lang w:eastAsia="sl-SI"/>
              </w:rPr>
              <w:t>Konkurenčni dialog</w:t>
            </w:r>
          </w:p>
        </w:tc>
        <w:tc>
          <w:tcPr>
            <w:tcW w:w="366" w:type="pct"/>
            <w:tcBorders>
              <w:top w:val="nil"/>
              <w:left w:val="nil"/>
              <w:bottom w:val="single" w:sz="4" w:space="0" w:color="auto"/>
              <w:right w:val="single" w:sz="4" w:space="0" w:color="auto"/>
            </w:tcBorders>
            <w:shd w:val="clear" w:color="auto" w:fill="auto"/>
            <w:vAlign w:val="center"/>
            <w:hideMark/>
          </w:tcPr>
          <w:p w14:paraId="4DBE9634"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color w:val="000000"/>
                <w:sz w:val="18"/>
                <w:szCs w:val="18"/>
              </w:rPr>
              <w:t>11</w:t>
            </w:r>
          </w:p>
        </w:tc>
        <w:tc>
          <w:tcPr>
            <w:tcW w:w="775" w:type="pct"/>
            <w:tcBorders>
              <w:top w:val="nil"/>
              <w:left w:val="nil"/>
              <w:bottom w:val="single" w:sz="4" w:space="0" w:color="auto"/>
              <w:right w:val="single" w:sz="4" w:space="0" w:color="auto"/>
            </w:tcBorders>
            <w:shd w:val="clear" w:color="auto" w:fill="auto"/>
            <w:vAlign w:val="center"/>
            <w:hideMark/>
          </w:tcPr>
          <w:p w14:paraId="23951F83"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sz w:val="18"/>
                <w:szCs w:val="18"/>
              </w:rPr>
              <w:t>62.209</w:t>
            </w:r>
          </w:p>
        </w:tc>
        <w:tc>
          <w:tcPr>
            <w:tcW w:w="518" w:type="pct"/>
            <w:tcBorders>
              <w:top w:val="nil"/>
              <w:left w:val="nil"/>
              <w:bottom w:val="single" w:sz="4" w:space="0" w:color="auto"/>
              <w:right w:val="single" w:sz="4" w:space="0" w:color="auto"/>
            </w:tcBorders>
            <w:shd w:val="clear" w:color="auto" w:fill="auto"/>
            <w:noWrap/>
            <w:vAlign w:val="center"/>
            <w:hideMark/>
          </w:tcPr>
          <w:p w14:paraId="2AE6972B"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sz w:val="18"/>
                <w:szCs w:val="18"/>
              </w:rPr>
              <w:t>0,19 %</w:t>
            </w:r>
          </w:p>
        </w:tc>
        <w:tc>
          <w:tcPr>
            <w:tcW w:w="518" w:type="pct"/>
            <w:tcBorders>
              <w:top w:val="nil"/>
              <w:left w:val="nil"/>
              <w:bottom w:val="single" w:sz="4" w:space="0" w:color="auto"/>
              <w:right w:val="single" w:sz="4" w:space="0" w:color="auto"/>
            </w:tcBorders>
            <w:shd w:val="clear" w:color="auto" w:fill="auto"/>
            <w:noWrap/>
            <w:vAlign w:val="center"/>
            <w:hideMark/>
          </w:tcPr>
          <w:p w14:paraId="6B421766"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sz w:val="18"/>
                <w:szCs w:val="18"/>
              </w:rPr>
              <w:t>0,01 %</w:t>
            </w:r>
          </w:p>
        </w:tc>
      </w:tr>
      <w:tr w:rsidR="00E3750C" w:rsidRPr="008C2A28" w14:paraId="3642EE6E" w14:textId="77777777" w:rsidTr="00047864">
        <w:trPr>
          <w:trHeight w:val="300"/>
        </w:trPr>
        <w:tc>
          <w:tcPr>
            <w:tcW w:w="709" w:type="pct"/>
            <w:vMerge/>
            <w:tcBorders>
              <w:top w:val="nil"/>
              <w:left w:val="single" w:sz="4" w:space="0" w:color="auto"/>
              <w:bottom w:val="single" w:sz="4" w:space="0" w:color="auto"/>
              <w:right w:val="single" w:sz="4" w:space="0" w:color="auto"/>
            </w:tcBorders>
            <w:vAlign w:val="center"/>
            <w:hideMark/>
          </w:tcPr>
          <w:p w14:paraId="4DEAB993" w14:textId="77777777" w:rsidR="00E3750C" w:rsidRPr="008C2A28" w:rsidRDefault="00E3750C" w:rsidP="00047864">
            <w:pPr>
              <w:spacing w:after="0" w:line="240" w:lineRule="auto"/>
              <w:rPr>
                <w:rFonts w:ascii="Arial" w:eastAsia="Times New Roman" w:hAnsi="Arial" w:cs="Arial"/>
                <w:color w:val="000000"/>
                <w:sz w:val="18"/>
                <w:szCs w:val="18"/>
                <w:lang w:eastAsia="sl-SI"/>
              </w:rPr>
            </w:pPr>
          </w:p>
        </w:tc>
        <w:tc>
          <w:tcPr>
            <w:tcW w:w="2114" w:type="pct"/>
            <w:tcBorders>
              <w:top w:val="nil"/>
              <w:left w:val="nil"/>
              <w:bottom w:val="single" w:sz="4" w:space="0" w:color="auto"/>
              <w:right w:val="single" w:sz="4" w:space="0" w:color="auto"/>
            </w:tcBorders>
            <w:shd w:val="clear" w:color="auto" w:fill="auto"/>
            <w:vAlign w:val="center"/>
            <w:hideMark/>
          </w:tcPr>
          <w:p w14:paraId="40DE1305" w14:textId="77777777" w:rsidR="00E3750C" w:rsidRPr="008C2A28" w:rsidRDefault="00E3750C" w:rsidP="00047864">
            <w:pPr>
              <w:spacing w:after="0" w:line="240" w:lineRule="auto"/>
              <w:rPr>
                <w:rFonts w:ascii="Arial" w:eastAsia="Times New Roman" w:hAnsi="Arial" w:cs="Arial"/>
                <w:color w:val="000000"/>
                <w:sz w:val="18"/>
                <w:szCs w:val="18"/>
                <w:lang w:eastAsia="sl-SI"/>
              </w:rPr>
            </w:pPr>
            <w:r w:rsidRPr="008C2A28">
              <w:rPr>
                <w:rFonts w:ascii="Arial" w:eastAsia="Times New Roman" w:hAnsi="Arial" w:cs="Arial"/>
                <w:color w:val="000000"/>
                <w:sz w:val="18"/>
                <w:szCs w:val="18"/>
                <w:lang w:eastAsia="sl-SI"/>
              </w:rPr>
              <w:t>Konkurenčni postopek s pogajanji</w:t>
            </w:r>
          </w:p>
        </w:tc>
        <w:tc>
          <w:tcPr>
            <w:tcW w:w="366" w:type="pct"/>
            <w:tcBorders>
              <w:top w:val="nil"/>
              <w:left w:val="nil"/>
              <w:bottom w:val="single" w:sz="4" w:space="0" w:color="auto"/>
              <w:right w:val="single" w:sz="4" w:space="0" w:color="auto"/>
            </w:tcBorders>
            <w:shd w:val="clear" w:color="auto" w:fill="auto"/>
            <w:vAlign w:val="center"/>
            <w:hideMark/>
          </w:tcPr>
          <w:p w14:paraId="228C7FC2"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color w:val="000000"/>
                <w:sz w:val="18"/>
                <w:szCs w:val="18"/>
              </w:rPr>
              <w:t>128</w:t>
            </w:r>
          </w:p>
        </w:tc>
        <w:tc>
          <w:tcPr>
            <w:tcW w:w="775" w:type="pct"/>
            <w:tcBorders>
              <w:top w:val="nil"/>
              <w:left w:val="nil"/>
              <w:bottom w:val="single" w:sz="4" w:space="0" w:color="auto"/>
              <w:right w:val="single" w:sz="4" w:space="0" w:color="auto"/>
            </w:tcBorders>
            <w:shd w:val="clear" w:color="auto" w:fill="auto"/>
            <w:vAlign w:val="center"/>
            <w:hideMark/>
          </w:tcPr>
          <w:p w14:paraId="030E0042"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sz w:val="18"/>
                <w:szCs w:val="18"/>
              </w:rPr>
              <w:t>96.806.479</w:t>
            </w:r>
          </w:p>
        </w:tc>
        <w:tc>
          <w:tcPr>
            <w:tcW w:w="518" w:type="pct"/>
            <w:tcBorders>
              <w:top w:val="nil"/>
              <w:left w:val="nil"/>
              <w:bottom w:val="single" w:sz="4" w:space="0" w:color="auto"/>
              <w:right w:val="single" w:sz="4" w:space="0" w:color="auto"/>
            </w:tcBorders>
            <w:shd w:val="clear" w:color="auto" w:fill="auto"/>
            <w:noWrap/>
            <w:vAlign w:val="center"/>
            <w:hideMark/>
          </w:tcPr>
          <w:p w14:paraId="4B2CA217"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sz w:val="18"/>
                <w:szCs w:val="18"/>
              </w:rPr>
              <w:t>2,26 %</w:t>
            </w:r>
          </w:p>
        </w:tc>
        <w:tc>
          <w:tcPr>
            <w:tcW w:w="518" w:type="pct"/>
            <w:tcBorders>
              <w:top w:val="nil"/>
              <w:left w:val="nil"/>
              <w:bottom w:val="single" w:sz="4" w:space="0" w:color="auto"/>
              <w:right w:val="single" w:sz="4" w:space="0" w:color="auto"/>
            </w:tcBorders>
            <w:shd w:val="clear" w:color="auto" w:fill="auto"/>
            <w:noWrap/>
            <w:vAlign w:val="center"/>
            <w:hideMark/>
          </w:tcPr>
          <w:p w14:paraId="0A533C74"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sz w:val="18"/>
                <w:szCs w:val="18"/>
              </w:rPr>
              <w:t>9,11 %</w:t>
            </w:r>
          </w:p>
        </w:tc>
      </w:tr>
      <w:tr w:rsidR="00E3750C" w:rsidRPr="008C2A28" w14:paraId="3184F338" w14:textId="77777777" w:rsidTr="00047864">
        <w:trPr>
          <w:trHeight w:val="300"/>
        </w:trPr>
        <w:tc>
          <w:tcPr>
            <w:tcW w:w="709" w:type="pct"/>
            <w:vMerge/>
            <w:tcBorders>
              <w:top w:val="nil"/>
              <w:left w:val="single" w:sz="4" w:space="0" w:color="auto"/>
              <w:bottom w:val="single" w:sz="4" w:space="0" w:color="auto"/>
              <w:right w:val="single" w:sz="4" w:space="0" w:color="auto"/>
            </w:tcBorders>
            <w:vAlign w:val="center"/>
            <w:hideMark/>
          </w:tcPr>
          <w:p w14:paraId="40C1C5F5" w14:textId="77777777" w:rsidR="00E3750C" w:rsidRPr="008C2A28" w:rsidRDefault="00E3750C" w:rsidP="00047864">
            <w:pPr>
              <w:spacing w:after="0" w:line="240" w:lineRule="auto"/>
              <w:rPr>
                <w:rFonts w:ascii="Arial" w:eastAsia="Times New Roman" w:hAnsi="Arial" w:cs="Arial"/>
                <w:color w:val="000000"/>
                <w:sz w:val="18"/>
                <w:szCs w:val="18"/>
                <w:lang w:eastAsia="sl-SI"/>
              </w:rPr>
            </w:pPr>
          </w:p>
        </w:tc>
        <w:tc>
          <w:tcPr>
            <w:tcW w:w="2114" w:type="pct"/>
            <w:tcBorders>
              <w:top w:val="nil"/>
              <w:left w:val="nil"/>
              <w:bottom w:val="single" w:sz="4" w:space="0" w:color="auto"/>
              <w:right w:val="single" w:sz="4" w:space="0" w:color="auto"/>
            </w:tcBorders>
            <w:shd w:val="clear" w:color="auto" w:fill="auto"/>
            <w:vAlign w:val="center"/>
            <w:hideMark/>
          </w:tcPr>
          <w:p w14:paraId="64D4133B" w14:textId="77777777" w:rsidR="00E3750C" w:rsidRPr="008C2A28" w:rsidRDefault="00E3750C" w:rsidP="00047864">
            <w:pPr>
              <w:spacing w:after="0" w:line="240" w:lineRule="auto"/>
              <w:rPr>
                <w:rFonts w:ascii="Arial" w:eastAsia="Times New Roman" w:hAnsi="Arial" w:cs="Arial"/>
                <w:color w:val="000000"/>
                <w:sz w:val="18"/>
                <w:szCs w:val="18"/>
                <w:lang w:eastAsia="sl-SI"/>
              </w:rPr>
            </w:pPr>
            <w:r w:rsidRPr="008C2A28">
              <w:rPr>
                <w:rFonts w:ascii="Arial" w:eastAsia="Times New Roman" w:hAnsi="Arial" w:cs="Arial"/>
                <w:color w:val="000000"/>
                <w:sz w:val="18"/>
                <w:szCs w:val="18"/>
                <w:lang w:eastAsia="sl-SI"/>
              </w:rPr>
              <w:t>Odprti postopek</w:t>
            </w:r>
          </w:p>
        </w:tc>
        <w:tc>
          <w:tcPr>
            <w:tcW w:w="366" w:type="pct"/>
            <w:tcBorders>
              <w:top w:val="nil"/>
              <w:left w:val="nil"/>
              <w:bottom w:val="single" w:sz="4" w:space="0" w:color="auto"/>
              <w:right w:val="single" w:sz="4" w:space="0" w:color="auto"/>
            </w:tcBorders>
            <w:shd w:val="clear" w:color="auto" w:fill="auto"/>
            <w:vAlign w:val="center"/>
            <w:hideMark/>
          </w:tcPr>
          <w:p w14:paraId="36F2A65C"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color w:val="000000"/>
                <w:sz w:val="18"/>
                <w:szCs w:val="18"/>
              </w:rPr>
              <w:t>221</w:t>
            </w:r>
          </w:p>
        </w:tc>
        <w:tc>
          <w:tcPr>
            <w:tcW w:w="775" w:type="pct"/>
            <w:tcBorders>
              <w:top w:val="nil"/>
              <w:left w:val="nil"/>
              <w:bottom w:val="single" w:sz="4" w:space="0" w:color="auto"/>
              <w:right w:val="single" w:sz="4" w:space="0" w:color="auto"/>
            </w:tcBorders>
            <w:shd w:val="clear" w:color="auto" w:fill="auto"/>
            <w:vAlign w:val="center"/>
            <w:hideMark/>
          </w:tcPr>
          <w:p w14:paraId="15E4EECB"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sz w:val="18"/>
                <w:szCs w:val="18"/>
              </w:rPr>
              <w:t>179.151.242</w:t>
            </w:r>
          </w:p>
        </w:tc>
        <w:tc>
          <w:tcPr>
            <w:tcW w:w="518" w:type="pct"/>
            <w:tcBorders>
              <w:top w:val="nil"/>
              <w:left w:val="nil"/>
              <w:bottom w:val="single" w:sz="4" w:space="0" w:color="auto"/>
              <w:right w:val="single" w:sz="4" w:space="0" w:color="auto"/>
            </w:tcBorders>
            <w:shd w:val="clear" w:color="auto" w:fill="auto"/>
            <w:noWrap/>
            <w:vAlign w:val="center"/>
            <w:hideMark/>
          </w:tcPr>
          <w:p w14:paraId="0AA98D48"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sz w:val="18"/>
                <w:szCs w:val="18"/>
              </w:rPr>
              <w:t>3,91 %</w:t>
            </w:r>
          </w:p>
        </w:tc>
        <w:tc>
          <w:tcPr>
            <w:tcW w:w="518" w:type="pct"/>
            <w:tcBorders>
              <w:top w:val="nil"/>
              <w:left w:val="nil"/>
              <w:bottom w:val="single" w:sz="4" w:space="0" w:color="auto"/>
              <w:right w:val="single" w:sz="4" w:space="0" w:color="auto"/>
            </w:tcBorders>
            <w:shd w:val="clear" w:color="auto" w:fill="auto"/>
            <w:noWrap/>
            <w:vAlign w:val="center"/>
            <w:hideMark/>
          </w:tcPr>
          <w:p w14:paraId="259DCB17"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sz w:val="18"/>
                <w:szCs w:val="18"/>
              </w:rPr>
              <w:t>16,86 %</w:t>
            </w:r>
          </w:p>
        </w:tc>
      </w:tr>
      <w:tr w:rsidR="00E3750C" w:rsidRPr="008C2A28" w14:paraId="3FBC1EDB" w14:textId="77777777" w:rsidTr="00047864">
        <w:trPr>
          <w:trHeight w:val="300"/>
        </w:trPr>
        <w:tc>
          <w:tcPr>
            <w:tcW w:w="709" w:type="pct"/>
            <w:vMerge/>
            <w:tcBorders>
              <w:top w:val="nil"/>
              <w:left w:val="single" w:sz="4" w:space="0" w:color="auto"/>
              <w:bottom w:val="single" w:sz="4" w:space="0" w:color="auto"/>
              <w:right w:val="single" w:sz="4" w:space="0" w:color="auto"/>
            </w:tcBorders>
            <w:vAlign w:val="center"/>
            <w:hideMark/>
          </w:tcPr>
          <w:p w14:paraId="54737838" w14:textId="77777777" w:rsidR="00E3750C" w:rsidRPr="008C2A28" w:rsidRDefault="00E3750C" w:rsidP="00047864">
            <w:pPr>
              <w:spacing w:after="0" w:line="240" w:lineRule="auto"/>
              <w:rPr>
                <w:rFonts w:ascii="Arial" w:eastAsia="Times New Roman" w:hAnsi="Arial" w:cs="Arial"/>
                <w:color w:val="000000"/>
                <w:sz w:val="18"/>
                <w:szCs w:val="18"/>
                <w:lang w:eastAsia="sl-SI"/>
              </w:rPr>
            </w:pPr>
          </w:p>
        </w:tc>
        <w:tc>
          <w:tcPr>
            <w:tcW w:w="2114" w:type="pct"/>
            <w:tcBorders>
              <w:top w:val="nil"/>
              <w:left w:val="nil"/>
              <w:bottom w:val="single" w:sz="4" w:space="0" w:color="auto"/>
              <w:right w:val="single" w:sz="4" w:space="0" w:color="auto"/>
            </w:tcBorders>
            <w:shd w:val="clear" w:color="auto" w:fill="auto"/>
            <w:vAlign w:val="center"/>
            <w:hideMark/>
          </w:tcPr>
          <w:p w14:paraId="6CD7E41E" w14:textId="77777777" w:rsidR="00E3750C" w:rsidRPr="008C2A28" w:rsidRDefault="00E3750C" w:rsidP="00047864">
            <w:pPr>
              <w:spacing w:after="0" w:line="240" w:lineRule="auto"/>
              <w:rPr>
                <w:rFonts w:ascii="Arial" w:eastAsia="Times New Roman" w:hAnsi="Arial" w:cs="Arial"/>
                <w:color w:val="000000"/>
                <w:sz w:val="18"/>
                <w:szCs w:val="18"/>
                <w:lang w:eastAsia="sl-SI"/>
              </w:rPr>
            </w:pPr>
            <w:r w:rsidRPr="008C2A28">
              <w:rPr>
                <w:rFonts w:ascii="Arial" w:eastAsia="Times New Roman" w:hAnsi="Arial" w:cs="Arial"/>
                <w:color w:val="000000"/>
                <w:sz w:val="18"/>
                <w:szCs w:val="18"/>
                <w:lang w:eastAsia="sl-SI"/>
              </w:rPr>
              <w:t>Omejeni postopek</w:t>
            </w:r>
          </w:p>
        </w:tc>
        <w:tc>
          <w:tcPr>
            <w:tcW w:w="366" w:type="pct"/>
            <w:tcBorders>
              <w:top w:val="nil"/>
              <w:left w:val="nil"/>
              <w:bottom w:val="single" w:sz="4" w:space="0" w:color="auto"/>
              <w:right w:val="single" w:sz="4" w:space="0" w:color="auto"/>
            </w:tcBorders>
            <w:shd w:val="clear" w:color="auto" w:fill="auto"/>
            <w:vAlign w:val="center"/>
            <w:hideMark/>
          </w:tcPr>
          <w:p w14:paraId="315742B1"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color w:val="000000"/>
                <w:sz w:val="18"/>
                <w:szCs w:val="18"/>
              </w:rPr>
              <w:t>9</w:t>
            </w:r>
          </w:p>
        </w:tc>
        <w:tc>
          <w:tcPr>
            <w:tcW w:w="775" w:type="pct"/>
            <w:tcBorders>
              <w:top w:val="nil"/>
              <w:left w:val="nil"/>
              <w:bottom w:val="single" w:sz="4" w:space="0" w:color="auto"/>
              <w:right w:val="single" w:sz="4" w:space="0" w:color="auto"/>
            </w:tcBorders>
            <w:shd w:val="clear" w:color="auto" w:fill="auto"/>
            <w:vAlign w:val="center"/>
            <w:hideMark/>
          </w:tcPr>
          <w:p w14:paraId="7BA65A70"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sz w:val="18"/>
                <w:szCs w:val="18"/>
              </w:rPr>
              <w:t>7.007.387</w:t>
            </w:r>
          </w:p>
        </w:tc>
        <w:tc>
          <w:tcPr>
            <w:tcW w:w="518" w:type="pct"/>
            <w:tcBorders>
              <w:top w:val="nil"/>
              <w:left w:val="nil"/>
              <w:bottom w:val="single" w:sz="4" w:space="0" w:color="auto"/>
              <w:right w:val="single" w:sz="4" w:space="0" w:color="auto"/>
            </w:tcBorders>
            <w:shd w:val="clear" w:color="auto" w:fill="auto"/>
            <w:noWrap/>
            <w:vAlign w:val="center"/>
            <w:hideMark/>
          </w:tcPr>
          <w:p w14:paraId="37E8683C"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sz w:val="18"/>
                <w:szCs w:val="18"/>
              </w:rPr>
              <w:t>0,16 %</w:t>
            </w:r>
          </w:p>
        </w:tc>
        <w:tc>
          <w:tcPr>
            <w:tcW w:w="518" w:type="pct"/>
            <w:tcBorders>
              <w:top w:val="nil"/>
              <w:left w:val="nil"/>
              <w:bottom w:val="single" w:sz="4" w:space="0" w:color="auto"/>
              <w:right w:val="single" w:sz="4" w:space="0" w:color="auto"/>
            </w:tcBorders>
            <w:shd w:val="clear" w:color="auto" w:fill="auto"/>
            <w:noWrap/>
            <w:vAlign w:val="center"/>
            <w:hideMark/>
          </w:tcPr>
          <w:p w14:paraId="69F38EDA"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sz w:val="18"/>
                <w:szCs w:val="18"/>
              </w:rPr>
              <w:t>0,66 %</w:t>
            </w:r>
          </w:p>
        </w:tc>
      </w:tr>
      <w:tr w:rsidR="00E3750C" w:rsidRPr="008C2A28" w14:paraId="0A559F3A" w14:textId="77777777" w:rsidTr="00047864">
        <w:trPr>
          <w:trHeight w:val="300"/>
        </w:trPr>
        <w:tc>
          <w:tcPr>
            <w:tcW w:w="709" w:type="pct"/>
            <w:vMerge/>
            <w:tcBorders>
              <w:top w:val="nil"/>
              <w:left w:val="single" w:sz="4" w:space="0" w:color="auto"/>
              <w:bottom w:val="single" w:sz="4" w:space="0" w:color="auto"/>
              <w:right w:val="single" w:sz="4" w:space="0" w:color="auto"/>
            </w:tcBorders>
            <w:vAlign w:val="center"/>
            <w:hideMark/>
          </w:tcPr>
          <w:p w14:paraId="2EF89359" w14:textId="77777777" w:rsidR="00E3750C" w:rsidRPr="008C2A28" w:rsidRDefault="00E3750C" w:rsidP="00047864">
            <w:pPr>
              <w:spacing w:after="0" w:line="240" w:lineRule="auto"/>
              <w:rPr>
                <w:rFonts w:ascii="Arial" w:eastAsia="Times New Roman" w:hAnsi="Arial" w:cs="Arial"/>
                <w:color w:val="000000"/>
                <w:sz w:val="18"/>
                <w:szCs w:val="18"/>
                <w:lang w:eastAsia="sl-SI"/>
              </w:rPr>
            </w:pPr>
          </w:p>
        </w:tc>
        <w:tc>
          <w:tcPr>
            <w:tcW w:w="2114" w:type="pct"/>
            <w:tcBorders>
              <w:top w:val="nil"/>
              <w:left w:val="nil"/>
              <w:bottom w:val="single" w:sz="4" w:space="0" w:color="auto"/>
              <w:right w:val="single" w:sz="4" w:space="0" w:color="auto"/>
            </w:tcBorders>
            <w:shd w:val="clear" w:color="auto" w:fill="auto"/>
            <w:vAlign w:val="center"/>
            <w:hideMark/>
          </w:tcPr>
          <w:p w14:paraId="1139845E" w14:textId="77777777" w:rsidR="00E3750C" w:rsidRPr="008C2A28" w:rsidRDefault="00E3750C" w:rsidP="00047864">
            <w:pPr>
              <w:spacing w:after="0" w:line="240" w:lineRule="auto"/>
              <w:rPr>
                <w:rFonts w:ascii="Arial" w:eastAsia="Times New Roman" w:hAnsi="Arial" w:cs="Arial"/>
                <w:color w:val="000000"/>
                <w:sz w:val="18"/>
                <w:szCs w:val="18"/>
                <w:lang w:eastAsia="sl-SI"/>
              </w:rPr>
            </w:pPr>
            <w:r w:rsidRPr="008C2A28">
              <w:rPr>
                <w:rFonts w:ascii="Arial" w:eastAsia="Times New Roman" w:hAnsi="Arial" w:cs="Arial"/>
                <w:color w:val="000000"/>
                <w:sz w:val="18"/>
                <w:szCs w:val="18"/>
                <w:lang w:eastAsia="sl-SI"/>
              </w:rPr>
              <w:t>Postopek naročila male vrednosti</w:t>
            </w:r>
          </w:p>
        </w:tc>
        <w:tc>
          <w:tcPr>
            <w:tcW w:w="366" w:type="pct"/>
            <w:tcBorders>
              <w:top w:val="nil"/>
              <w:left w:val="nil"/>
              <w:bottom w:val="single" w:sz="4" w:space="0" w:color="auto"/>
              <w:right w:val="single" w:sz="4" w:space="0" w:color="auto"/>
            </w:tcBorders>
            <w:shd w:val="clear" w:color="auto" w:fill="auto"/>
            <w:vAlign w:val="center"/>
            <w:hideMark/>
          </w:tcPr>
          <w:p w14:paraId="6697C51D"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color w:val="000000"/>
                <w:sz w:val="18"/>
                <w:szCs w:val="18"/>
              </w:rPr>
              <w:t>4.944</w:t>
            </w:r>
          </w:p>
        </w:tc>
        <w:tc>
          <w:tcPr>
            <w:tcW w:w="775" w:type="pct"/>
            <w:tcBorders>
              <w:top w:val="nil"/>
              <w:left w:val="nil"/>
              <w:bottom w:val="single" w:sz="4" w:space="0" w:color="auto"/>
              <w:right w:val="single" w:sz="4" w:space="0" w:color="auto"/>
            </w:tcBorders>
            <w:shd w:val="clear" w:color="auto" w:fill="auto"/>
            <w:vAlign w:val="center"/>
            <w:hideMark/>
          </w:tcPr>
          <w:p w14:paraId="6771E7DD"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sz w:val="18"/>
                <w:szCs w:val="18"/>
              </w:rPr>
              <w:t>740.171.598</w:t>
            </w:r>
          </w:p>
        </w:tc>
        <w:tc>
          <w:tcPr>
            <w:tcW w:w="518" w:type="pct"/>
            <w:tcBorders>
              <w:top w:val="nil"/>
              <w:left w:val="nil"/>
              <w:bottom w:val="single" w:sz="4" w:space="0" w:color="auto"/>
              <w:right w:val="single" w:sz="4" w:space="0" w:color="auto"/>
            </w:tcBorders>
            <w:shd w:val="clear" w:color="auto" w:fill="auto"/>
            <w:noWrap/>
            <w:vAlign w:val="center"/>
            <w:hideMark/>
          </w:tcPr>
          <w:p w14:paraId="17D8EC91"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sz w:val="18"/>
                <w:szCs w:val="18"/>
              </w:rPr>
              <w:t>87,44 %</w:t>
            </w:r>
          </w:p>
        </w:tc>
        <w:tc>
          <w:tcPr>
            <w:tcW w:w="518" w:type="pct"/>
            <w:tcBorders>
              <w:top w:val="nil"/>
              <w:left w:val="nil"/>
              <w:bottom w:val="single" w:sz="4" w:space="0" w:color="auto"/>
              <w:right w:val="single" w:sz="4" w:space="0" w:color="auto"/>
            </w:tcBorders>
            <w:shd w:val="clear" w:color="auto" w:fill="auto"/>
            <w:noWrap/>
            <w:vAlign w:val="center"/>
            <w:hideMark/>
          </w:tcPr>
          <w:p w14:paraId="77F84400"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sz w:val="18"/>
                <w:szCs w:val="18"/>
              </w:rPr>
              <w:t>69,66 %</w:t>
            </w:r>
          </w:p>
        </w:tc>
      </w:tr>
      <w:tr w:rsidR="00E3750C" w:rsidRPr="008C2A28" w14:paraId="75839F5B" w14:textId="77777777" w:rsidTr="00047864">
        <w:trPr>
          <w:trHeight w:val="300"/>
        </w:trPr>
        <w:tc>
          <w:tcPr>
            <w:tcW w:w="709" w:type="pct"/>
            <w:vMerge/>
            <w:tcBorders>
              <w:top w:val="nil"/>
              <w:left w:val="single" w:sz="4" w:space="0" w:color="auto"/>
              <w:bottom w:val="single" w:sz="4" w:space="0" w:color="auto"/>
              <w:right w:val="single" w:sz="4" w:space="0" w:color="auto"/>
            </w:tcBorders>
            <w:vAlign w:val="center"/>
            <w:hideMark/>
          </w:tcPr>
          <w:p w14:paraId="11CA24DA" w14:textId="77777777" w:rsidR="00E3750C" w:rsidRPr="008C2A28" w:rsidRDefault="00E3750C" w:rsidP="00047864">
            <w:pPr>
              <w:spacing w:after="0" w:line="240" w:lineRule="auto"/>
              <w:rPr>
                <w:rFonts w:ascii="Arial" w:eastAsia="Times New Roman" w:hAnsi="Arial" w:cs="Arial"/>
                <w:color w:val="000000"/>
                <w:sz w:val="18"/>
                <w:szCs w:val="18"/>
                <w:lang w:eastAsia="sl-SI"/>
              </w:rPr>
            </w:pPr>
          </w:p>
        </w:tc>
        <w:tc>
          <w:tcPr>
            <w:tcW w:w="2114" w:type="pct"/>
            <w:tcBorders>
              <w:top w:val="nil"/>
              <w:left w:val="nil"/>
              <w:bottom w:val="single" w:sz="4" w:space="0" w:color="auto"/>
              <w:right w:val="single" w:sz="4" w:space="0" w:color="auto"/>
            </w:tcBorders>
            <w:shd w:val="clear" w:color="auto" w:fill="auto"/>
            <w:vAlign w:val="center"/>
            <w:hideMark/>
          </w:tcPr>
          <w:p w14:paraId="12F47C31" w14:textId="77777777" w:rsidR="00E3750C" w:rsidRPr="008C2A28" w:rsidRDefault="00E3750C" w:rsidP="00047864">
            <w:pPr>
              <w:spacing w:after="0" w:line="240" w:lineRule="auto"/>
              <w:rPr>
                <w:rFonts w:ascii="Arial" w:eastAsia="Times New Roman" w:hAnsi="Arial" w:cs="Arial"/>
                <w:color w:val="000000"/>
                <w:sz w:val="18"/>
                <w:szCs w:val="18"/>
                <w:lang w:eastAsia="sl-SI"/>
              </w:rPr>
            </w:pPr>
            <w:r w:rsidRPr="008C2A28">
              <w:rPr>
                <w:rFonts w:ascii="Arial" w:eastAsia="Times New Roman" w:hAnsi="Arial" w:cs="Arial"/>
                <w:color w:val="000000"/>
                <w:sz w:val="18"/>
                <w:szCs w:val="18"/>
                <w:lang w:eastAsia="sl-SI"/>
              </w:rPr>
              <w:t>Postopek s pogajanji brez predhodne objave</w:t>
            </w:r>
          </w:p>
        </w:tc>
        <w:tc>
          <w:tcPr>
            <w:tcW w:w="366" w:type="pct"/>
            <w:tcBorders>
              <w:top w:val="nil"/>
              <w:left w:val="nil"/>
              <w:bottom w:val="single" w:sz="4" w:space="0" w:color="auto"/>
              <w:right w:val="single" w:sz="4" w:space="0" w:color="auto"/>
            </w:tcBorders>
            <w:shd w:val="clear" w:color="auto" w:fill="auto"/>
            <w:vAlign w:val="center"/>
            <w:hideMark/>
          </w:tcPr>
          <w:p w14:paraId="484D11BB"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color w:val="000000"/>
                <w:sz w:val="18"/>
                <w:szCs w:val="18"/>
              </w:rPr>
              <w:t>341</w:t>
            </w:r>
          </w:p>
        </w:tc>
        <w:tc>
          <w:tcPr>
            <w:tcW w:w="775" w:type="pct"/>
            <w:tcBorders>
              <w:top w:val="nil"/>
              <w:left w:val="nil"/>
              <w:bottom w:val="single" w:sz="4" w:space="0" w:color="auto"/>
              <w:right w:val="single" w:sz="4" w:space="0" w:color="auto"/>
            </w:tcBorders>
            <w:shd w:val="clear" w:color="auto" w:fill="auto"/>
            <w:vAlign w:val="center"/>
            <w:hideMark/>
          </w:tcPr>
          <w:p w14:paraId="4FAE1A09"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sz w:val="18"/>
                <w:szCs w:val="18"/>
              </w:rPr>
              <w:t>39.274.150</w:t>
            </w:r>
          </w:p>
        </w:tc>
        <w:tc>
          <w:tcPr>
            <w:tcW w:w="518" w:type="pct"/>
            <w:tcBorders>
              <w:top w:val="nil"/>
              <w:left w:val="nil"/>
              <w:bottom w:val="single" w:sz="4" w:space="0" w:color="auto"/>
              <w:right w:val="single" w:sz="4" w:space="0" w:color="auto"/>
            </w:tcBorders>
            <w:shd w:val="clear" w:color="auto" w:fill="auto"/>
            <w:noWrap/>
            <w:vAlign w:val="center"/>
            <w:hideMark/>
          </w:tcPr>
          <w:p w14:paraId="6529A2B5"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sz w:val="18"/>
                <w:szCs w:val="18"/>
              </w:rPr>
              <w:t>6,03 %</w:t>
            </w:r>
          </w:p>
        </w:tc>
        <w:tc>
          <w:tcPr>
            <w:tcW w:w="518" w:type="pct"/>
            <w:tcBorders>
              <w:top w:val="nil"/>
              <w:left w:val="nil"/>
              <w:bottom w:val="single" w:sz="4" w:space="0" w:color="auto"/>
              <w:right w:val="single" w:sz="4" w:space="0" w:color="auto"/>
            </w:tcBorders>
            <w:shd w:val="clear" w:color="auto" w:fill="auto"/>
            <w:noWrap/>
            <w:vAlign w:val="center"/>
            <w:hideMark/>
          </w:tcPr>
          <w:p w14:paraId="0953F8FC"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sz w:val="18"/>
                <w:szCs w:val="18"/>
              </w:rPr>
              <w:t>3,70 %</w:t>
            </w:r>
          </w:p>
        </w:tc>
      </w:tr>
      <w:tr w:rsidR="00E3750C" w:rsidRPr="008C2A28" w14:paraId="01CFA48B" w14:textId="77777777" w:rsidTr="00047864">
        <w:trPr>
          <w:trHeight w:val="300"/>
        </w:trPr>
        <w:tc>
          <w:tcPr>
            <w:tcW w:w="709" w:type="pct"/>
            <w:vMerge/>
            <w:tcBorders>
              <w:top w:val="nil"/>
              <w:left w:val="single" w:sz="4" w:space="0" w:color="auto"/>
              <w:bottom w:val="single" w:sz="4" w:space="0" w:color="auto"/>
              <w:right w:val="single" w:sz="4" w:space="0" w:color="auto"/>
            </w:tcBorders>
            <w:vAlign w:val="center"/>
            <w:hideMark/>
          </w:tcPr>
          <w:p w14:paraId="55854EA8" w14:textId="77777777" w:rsidR="00E3750C" w:rsidRPr="008C2A28" w:rsidRDefault="00E3750C" w:rsidP="00047864">
            <w:pPr>
              <w:spacing w:after="0" w:line="240" w:lineRule="auto"/>
              <w:rPr>
                <w:rFonts w:ascii="Arial" w:eastAsia="Times New Roman" w:hAnsi="Arial" w:cs="Arial"/>
                <w:b/>
                <w:bCs/>
                <w:color w:val="000000"/>
                <w:sz w:val="18"/>
                <w:szCs w:val="18"/>
                <w:lang w:eastAsia="sl-SI"/>
              </w:rPr>
            </w:pPr>
          </w:p>
        </w:tc>
        <w:tc>
          <w:tcPr>
            <w:tcW w:w="2114" w:type="pct"/>
            <w:tcBorders>
              <w:top w:val="nil"/>
              <w:left w:val="nil"/>
              <w:bottom w:val="single" w:sz="4" w:space="0" w:color="auto"/>
              <w:right w:val="single" w:sz="4" w:space="0" w:color="auto"/>
            </w:tcBorders>
            <w:shd w:val="clear" w:color="auto" w:fill="auto"/>
            <w:vAlign w:val="center"/>
            <w:hideMark/>
          </w:tcPr>
          <w:p w14:paraId="762772BF" w14:textId="77777777" w:rsidR="00E3750C" w:rsidRPr="008C2A28" w:rsidRDefault="00E3750C" w:rsidP="00047864">
            <w:pPr>
              <w:spacing w:after="0" w:line="240" w:lineRule="auto"/>
              <w:rPr>
                <w:rFonts w:ascii="Arial" w:eastAsia="Times New Roman" w:hAnsi="Arial" w:cs="Arial"/>
                <w:b/>
                <w:bCs/>
                <w:color w:val="000000"/>
                <w:sz w:val="18"/>
                <w:szCs w:val="18"/>
                <w:lang w:eastAsia="sl-SI"/>
              </w:rPr>
            </w:pPr>
            <w:r w:rsidRPr="008C2A28">
              <w:rPr>
                <w:rFonts w:ascii="Arial" w:eastAsia="Times New Roman" w:hAnsi="Arial" w:cs="Arial"/>
                <w:b/>
                <w:bCs/>
                <w:color w:val="000000"/>
                <w:sz w:val="18"/>
                <w:szCs w:val="18"/>
                <w:lang w:eastAsia="sl-SI"/>
              </w:rPr>
              <w:t>Skupaj</w:t>
            </w:r>
          </w:p>
        </w:tc>
        <w:tc>
          <w:tcPr>
            <w:tcW w:w="366" w:type="pct"/>
            <w:tcBorders>
              <w:top w:val="nil"/>
              <w:left w:val="nil"/>
              <w:bottom w:val="single" w:sz="4" w:space="0" w:color="auto"/>
              <w:right w:val="single" w:sz="4" w:space="0" w:color="auto"/>
            </w:tcBorders>
            <w:shd w:val="clear" w:color="auto" w:fill="auto"/>
            <w:vAlign w:val="center"/>
            <w:hideMark/>
          </w:tcPr>
          <w:p w14:paraId="626A02EB" w14:textId="77777777" w:rsidR="00E3750C" w:rsidRPr="008C2A28" w:rsidRDefault="00E3750C" w:rsidP="00047864">
            <w:pPr>
              <w:spacing w:after="0" w:line="240" w:lineRule="auto"/>
              <w:jc w:val="right"/>
              <w:rPr>
                <w:rFonts w:ascii="Arial" w:eastAsia="Times New Roman" w:hAnsi="Arial" w:cs="Arial"/>
                <w:b/>
                <w:bCs/>
                <w:color w:val="000000"/>
                <w:sz w:val="18"/>
                <w:szCs w:val="18"/>
                <w:lang w:eastAsia="sl-SI"/>
              </w:rPr>
            </w:pPr>
            <w:r w:rsidRPr="008C2A28">
              <w:rPr>
                <w:rFonts w:ascii="Arial" w:hAnsi="Arial" w:cs="Arial"/>
                <w:b/>
                <w:bCs/>
                <w:color w:val="000000"/>
                <w:sz w:val="18"/>
                <w:szCs w:val="18"/>
              </w:rPr>
              <w:t>5.654</w:t>
            </w:r>
          </w:p>
        </w:tc>
        <w:tc>
          <w:tcPr>
            <w:tcW w:w="775" w:type="pct"/>
            <w:tcBorders>
              <w:top w:val="nil"/>
              <w:left w:val="nil"/>
              <w:bottom w:val="single" w:sz="4" w:space="0" w:color="auto"/>
              <w:right w:val="single" w:sz="4" w:space="0" w:color="auto"/>
            </w:tcBorders>
            <w:shd w:val="clear" w:color="auto" w:fill="auto"/>
            <w:vAlign w:val="center"/>
            <w:hideMark/>
          </w:tcPr>
          <w:p w14:paraId="17FEE331" w14:textId="77777777" w:rsidR="00E3750C" w:rsidRPr="008C2A28" w:rsidRDefault="00E3750C" w:rsidP="00047864">
            <w:pPr>
              <w:spacing w:after="0" w:line="240" w:lineRule="auto"/>
              <w:jc w:val="right"/>
              <w:rPr>
                <w:rFonts w:ascii="Arial" w:eastAsia="Times New Roman" w:hAnsi="Arial" w:cs="Arial"/>
                <w:b/>
                <w:bCs/>
                <w:color w:val="000000"/>
                <w:sz w:val="18"/>
                <w:szCs w:val="18"/>
                <w:lang w:eastAsia="sl-SI"/>
              </w:rPr>
            </w:pPr>
            <w:r w:rsidRPr="008C2A28">
              <w:rPr>
                <w:rFonts w:ascii="Arial" w:hAnsi="Arial" w:cs="Arial"/>
                <w:b/>
                <w:bCs/>
                <w:sz w:val="18"/>
                <w:szCs w:val="18"/>
              </w:rPr>
              <w:t>1.062.473.065</w:t>
            </w:r>
          </w:p>
        </w:tc>
        <w:tc>
          <w:tcPr>
            <w:tcW w:w="518" w:type="pct"/>
            <w:tcBorders>
              <w:top w:val="nil"/>
              <w:left w:val="nil"/>
              <w:bottom w:val="single" w:sz="4" w:space="0" w:color="auto"/>
              <w:right w:val="single" w:sz="4" w:space="0" w:color="auto"/>
            </w:tcBorders>
            <w:shd w:val="clear" w:color="auto" w:fill="auto"/>
            <w:noWrap/>
            <w:vAlign w:val="center"/>
            <w:hideMark/>
          </w:tcPr>
          <w:p w14:paraId="285E7EE8" w14:textId="77777777" w:rsidR="00E3750C" w:rsidRPr="008C2A28" w:rsidRDefault="00E3750C" w:rsidP="00047864">
            <w:pPr>
              <w:spacing w:after="0" w:line="240" w:lineRule="auto"/>
              <w:jc w:val="right"/>
              <w:rPr>
                <w:rFonts w:ascii="Arial" w:eastAsia="Times New Roman" w:hAnsi="Arial" w:cs="Arial"/>
                <w:b/>
                <w:bCs/>
                <w:color w:val="000000"/>
                <w:sz w:val="18"/>
                <w:szCs w:val="18"/>
                <w:lang w:eastAsia="sl-SI"/>
              </w:rPr>
            </w:pPr>
            <w:r w:rsidRPr="008C2A28">
              <w:rPr>
                <w:rFonts w:ascii="Arial" w:eastAsia="Times New Roman" w:hAnsi="Arial" w:cs="Arial"/>
                <w:b/>
                <w:bCs/>
                <w:color w:val="000000"/>
                <w:sz w:val="18"/>
                <w:szCs w:val="18"/>
                <w:lang w:eastAsia="sl-SI"/>
              </w:rPr>
              <w:t>100,00 %</w:t>
            </w:r>
          </w:p>
        </w:tc>
        <w:tc>
          <w:tcPr>
            <w:tcW w:w="518" w:type="pct"/>
            <w:tcBorders>
              <w:top w:val="nil"/>
              <w:left w:val="nil"/>
              <w:bottom w:val="single" w:sz="4" w:space="0" w:color="auto"/>
              <w:right w:val="single" w:sz="4" w:space="0" w:color="auto"/>
            </w:tcBorders>
            <w:shd w:val="clear" w:color="auto" w:fill="auto"/>
            <w:noWrap/>
            <w:vAlign w:val="center"/>
            <w:hideMark/>
          </w:tcPr>
          <w:p w14:paraId="4C375549" w14:textId="77777777" w:rsidR="00E3750C" w:rsidRPr="008C2A28" w:rsidRDefault="00E3750C" w:rsidP="00047864">
            <w:pPr>
              <w:spacing w:after="0" w:line="240" w:lineRule="auto"/>
              <w:jc w:val="right"/>
              <w:rPr>
                <w:rFonts w:ascii="Arial" w:eastAsia="Times New Roman" w:hAnsi="Arial" w:cs="Arial"/>
                <w:b/>
                <w:bCs/>
                <w:color w:val="000000"/>
                <w:sz w:val="18"/>
                <w:szCs w:val="18"/>
                <w:lang w:eastAsia="sl-SI"/>
              </w:rPr>
            </w:pPr>
            <w:r w:rsidRPr="008C2A28">
              <w:rPr>
                <w:rFonts w:ascii="Arial" w:eastAsia="Times New Roman" w:hAnsi="Arial" w:cs="Arial"/>
                <w:b/>
                <w:bCs/>
                <w:color w:val="000000"/>
                <w:sz w:val="18"/>
                <w:szCs w:val="18"/>
                <w:lang w:eastAsia="sl-SI"/>
              </w:rPr>
              <w:t>100,00 %</w:t>
            </w:r>
          </w:p>
        </w:tc>
      </w:tr>
      <w:tr w:rsidR="00E3750C" w:rsidRPr="008C2A28" w14:paraId="3270D820" w14:textId="77777777" w:rsidTr="00047864">
        <w:trPr>
          <w:trHeight w:val="300"/>
        </w:trPr>
        <w:tc>
          <w:tcPr>
            <w:tcW w:w="709" w:type="pct"/>
            <w:vMerge w:val="restart"/>
            <w:tcBorders>
              <w:top w:val="nil"/>
              <w:left w:val="single" w:sz="4" w:space="0" w:color="auto"/>
              <w:bottom w:val="single" w:sz="4" w:space="0" w:color="auto"/>
              <w:right w:val="single" w:sz="4" w:space="0" w:color="auto"/>
            </w:tcBorders>
            <w:shd w:val="clear" w:color="auto" w:fill="auto"/>
            <w:vAlign w:val="center"/>
            <w:hideMark/>
          </w:tcPr>
          <w:p w14:paraId="15E825DE" w14:textId="77777777" w:rsidR="00E3750C" w:rsidRPr="008C2A28" w:rsidRDefault="00E3750C" w:rsidP="00047864">
            <w:pPr>
              <w:spacing w:after="0" w:line="240" w:lineRule="auto"/>
              <w:rPr>
                <w:rFonts w:ascii="Arial" w:eastAsia="Times New Roman" w:hAnsi="Arial" w:cs="Arial"/>
                <w:color w:val="000000"/>
                <w:sz w:val="18"/>
                <w:szCs w:val="18"/>
                <w:lang w:eastAsia="sl-SI"/>
              </w:rPr>
            </w:pPr>
            <w:r w:rsidRPr="008C2A28">
              <w:rPr>
                <w:rFonts w:ascii="Arial" w:eastAsia="Times New Roman" w:hAnsi="Arial" w:cs="Arial"/>
                <w:color w:val="000000"/>
                <w:sz w:val="18"/>
                <w:szCs w:val="18"/>
                <w:lang w:eastAsia="sl-SI"/>
              </w:rPr>
              <w:t>Infrastrukturno</w:t>
            </w:r>
          </w:p>
        </w:tc>
        <w:tc>
          <w:tcPr>
            <w:tcW w:w="2114" w:type="pct"/>
            <w:tcBorders>
              <w:top w:val="nil"/>
              <w:left w:val="nil"/>
              <w:bottom w:val="single" w:sz="4" w:space="0" w:color="auto"/>
              <w:right w:val="single" w:sz="4" w:space="0" w:color="auto"/>
            </w:tcBorders>
            <w:shd w:val="clear" w:color="auto" w:fill="auto"/>
            <w:vAlign w:val="center"/>
            <w:hideMark/>
          </w:tcPr>
          <w:p w14:paraId="06016010" w14:textId="77777777" w:rsidR="00E3750C" w:rsidRPr="008C2A28" w:rsidRDefault="00E3750C" w:rsidP="00047864">
            <w:pPr>
              <w:spacing w:after="0" w:line="240" w:lineRule="auto"/>
              <w:rPr>
                <w:rFonts w:ascii="Arial" w:eastAsia="Times New Roman" w:hAnsi="Arial" w:cs="Arial"/>
                <w:color w:val="000000"/>
                <w:sz w:val="18"/>
                <w:szCs w:val="18"/>
                <w:lang w:eastAsia="sl-SI"/>
              </w:rPr>
            </w:pPr>
            <w:r w:rsidRPr="008C2A28">
              <w:rPr>
                <w:rFonts w:ascii="Arial" w:eastAsia="Times New Roman" w:hAnsi="Arial" w:cs="Arial"/>
                <w:color w:val="000000"/>
                <w:sz w:val="18"/>
                <w:szCs w:val="18"/>
                <w:lang w:eastAsia="sl-SI"/>
              </w:rPr>
              <w:t>Konkurenčni dialog</w:t>
            </w:r>
          </w:p>
        </w:tc>
        <w:tc>
          <w:tcPr>
            <w:tcW w:w="366" w:type="pct"/>
            <w:tcBorders>
              <w:top w:val="nil"/>
              <w:left w:val="nil"/>
              <w:bottom w:val="single" w:sz="4" w:space="0" w:color="auto"/>
              <w:right w:val="single" w:sz="4" w:space="0" w:color="auto"/>
            </w:tcBorders>
            <w:shd w:val="clear" w:color="auto" w:fill="auto"/>
            <w:vAlign w:val="center"/>
            <w:hideMark/>
          </w:tcPr>
          <w:p w14:paraId="7DCF08F2"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color w:val="000000"/>
                <w:sz w:val="18"/>
                <w:szCs w:val="18"/>
              </w:rPr>
              <w:t>1</w:t>
            </w:r>
          </w:p>
        </w:tc>
        <w:tc>
          <w:tcPr>
            <w:tcW w:w="775" w:type="pct"/>
            <w:tcBorders>
              <w:top w:val="nil"/>
              <w:left w:val="nil"/>
              <w:bottom w:val="single" w:sz="4" w:space="0" w:color="auto"/>
              <w:right w:val="single" w:sz="4" w:space="0" w:color="auto"/>
            </w:tcBorders>
            <w:shd w:val="clear" w:color="auto" w:fill="auto"/>
            <w:vAlign w:val="center"/>
            <w:hideMark/>
          </w:tcPr>
          <w:p w14:paraId="0A972287"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sz w:val="18"/>
                <w:szCs w:val="18"/>
              </w:rPr>
              <w:t>49.421</w:t>
            </w:r>
          </w:p>
        </w:tc>
        <w:tc>
          <w:tcPr>
            <w:tcW w:w="518" w:type="pct"/>
            <w:tcBorders>
              <w:top w:val="nil"/>
              <w:left w:val="nil"/>
              <w:bottom w:val="single" w:sz="4" w:space="0" w:color="auto"/>
              <w:right w:val="single" w:sz="4" w:space="0" w:color="auto"/>
            </w:tcBorders>
            <w:shd w:val="clear" w:color="auto" w:fill="auto"/>
            <w:noWrap/>
            <w:vAlign w:val="center"/>
            <w:hideMark/>
          </w:tcPr>
          <w:p w14:paraId="63145D32"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color w:val="000000"/>
                <w:sz w:val="18"/>
                <w:szCs w:val="18"/>
              </w:rPr>
              <w:t>0,08 %</w:t>
            </w:r>
          </w:p>
        </w:tc>
        <w:tc>
          <w:tcPr>
            <w:tcW w:w="518" w:type="pct"/>
            <w:tcBorders>
              <w:top w:val="nil"/>
              <w:left w:val="nil"/>
              <w:bottom w:val="single" w:sz="4" w:space="0" w:color="auto"/>
              <w:right w:val="single" w:sz="4" w:space="0" w:color="auto"/>
            </w:tcBorders>
            <w:shd w:val="clear" w:color="auto" w:fill="auto"/>
            <w:noWrap/>
            <w:vAlign w:val="center"/>
            <w:hideMark/>
          </w:tcPr>
          <w:p w14:paraId="1F48444C"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color w:val="000000"/>
                <w:sz w:val="18"/>
                <w:szCs w:val="18"/>
              </w:rPr>
              <w:t>0,03 %</w:t>
            </w:r>
          </w:p>
        </w:tc>
      </w:tr>
      <w:tr w:rsidR="00E3750C" w:rsidRPr="008C2A28" w14:paraId="618428D4" w14:textId="77777777" w:rsidTr="00047864">
        <w:trPr>
          <w:trHeight w:val="300"/>
        </w:trPr>
        <w:tc>
          <w:tcPr>
            <w:tcW w:w="709" w:type="pct"/>
            <w:vMerge/>
            <w:tcBorders>
              <w:top w:val="nil"/>
              <w:left w:val="single" w:sz="4" w:space="0" w:color="auto"/>
              <w:bottom w:val="single" w:sz="4" w:space="0" w:color="auto"/>
              <w:right w:val="single" w:sz="4" w:space="0" w:color="auto"/>
            </w:tcBorders>
            <w:vAlign w:val="center"/>
            <w:hideMark/>
          </w:tcPr>
          <w:p w14:paraId="2E20062A" w14:textId="77777777" w:rsidR="00E3750C" w:rsidRPr="008C2A28" w:rsidRDefault="00E3750C" w:rsidP="00047864">
            <w:pPr>
              <w:spacing w:after="0" w:line="240" w:lineRule="auto"/>
              <w:rPr>
                <w:rFonts w:ascii="Arial" w:eastAsia="Times New Roman" w:hAnsi="Arial" w:cs="Arial"/>
                <w:color w:val="000000"/>
                <w:sz w:val="18"/>
                <w:szCs w:val="18"/>
                <w:lang w:eastAsia="sl-SI"/>
              </w:rPr>
            </w:pPr>
          </w:p>
        </w:tc>
        <w:tc>
          <w:tcPr>
            <w:tcW w:w="2114" w:type="pct"/>
            <w:tcBorders>
              <w:top w:val="nil"/>
              <w:left w:val="nil"/>
              <w:bottom w:val="single" w:sz="4" w:space="0" w:color="auto"/>
              <w:right w:val="single" w:sz="4" w:space="0" w:color="auto"/>
            </w:tcBorders>
            <w:shd w:val="clear" w:color="auto" w:fill="auto"/>
            <w:vAlign w:val="center"/>
            <w:hideMark/>
          </w:tcPr>
          <w:p w14:paraId="1D993820" w14:textId="77777777" w:rsidR="00E3750C" w:rsidRPr="008C2A28" w:rsidRDefault="00E3750C" w:rsidP="00047864">
            <w:pPr>
              <w:spacing w:after="0" w:line="240" w:lineRule="auto"/>
              <w:rPr>
                <w:rFonts w:ascii="Arial" w:eastAsia="Times New Roman" w:hAnsi="Arial" w:cs="Arial"/>
                <w:color w:val="000000"/>
                <w:sz w:val="18"/>
                <w:szCs w:val="18"/>
                <w:lang w:eastAsia="sl-SI"/>
              </w:rPr>
            </w:pPr>
            <w:r w:rsidRPr="008C2A28">
              <w:rPr>
                <w:rFonts w:ascii="Arial" w:eastAsia="Times New Roman" w:hAnsi="Arial" w:cs="Arial"/>
                <w:color w:val="000000"/>
                <w:sz w:val="18"/>
                <w:szCs w:val="18"/>
                <w:lang w:eastAsia="sl-SI"/>
              </w:rPr>
              <w:t>Odprti postopek</w:t>
            </w:r>
          </w:p>
        </w:tc>
        <w:tc>
          <w:tcPr>
            <w:tcW w:w="366" w:type="pct"/>
            <w:tcBorders>
              <w:top w:val="nil"/>
              <w:left w:val="nil"/>
              <w:bottom w:val="single" w:sz="4" w:space="0" w:color="auto"/>
              <w:right w:val="single" w:sz="4" w:space="0" w:color="auto"/>
            </w:tcBorders>
            <w:shd w:val="clear" w:color="auto" w:fill="auto"/>
            <w:vAlign w:val="center"/>
            <w:hideMark/>
          </w:tcPr>
          <w:p w14:paraId="1A0AE650"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color w:val="000000"/>
                <w:sz w:val="18"/>
                <w:szCs w:val="18"/>
              </w:rPr>
              <w:t>44</w:t>
            </w:r>
          </w:p>
        </w:tc>
        <w:tc>
          <w:tcPr>
            <w:tcW w:w="775" w:type="pct"/>
            <w:tcBorders>
              <w:top w:val="nil"/>
              <w:left w:val="nil"/>
              <w:bottom w:val="single" w:sz="4" w:space="0" w:color="auto"/>
              <w:right w:val="single" w:sz="4" w:space="0" w:color="auto"/>
            </w:tcBorders>
            <w:shd w:val="clear" w:color="auto" w:fill="auto"/>
            <w:vAlign w:val="center"/>
            <w:hideMark/>
          </w:tcPr>
          <w:p w14:paraId="2F3257DE"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sz w:val="18"/>
                <w:szCs w:val="18"/>
              </w:rPr>
              <w:t>12.353.718</w:t>
            </w:r>
          </w:p>
        </w:tc>
        <w:tc>
          <w:tcPr>
            <w:tcW w:w="518" w:type="pct"/>
            <w:tcBorders>
              <w:top w:val="nil"/>
              <w:left w:val="nil"/>
              <w:bottom w:val="single" w:sz="4" w:space="0" w:color="auto"/>
              <w:right w:val="single" w:sz="4" w:space="0" w:color="auto"/>
            </w:tcBorders>
            <w:shd w:val="clear" w:color="auto" w:fill="auto"/>
            <w:noWrap/>
            <w:vAlign w:val="center"/>
            <w:hideMark/>
          </w:tcPr>
          <w:p w14:paraId="39619A18"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color w:val="000000"/>
                <w:sz w:val="18"/>
                <w:szCs w:val="18"/>
              </w:rPr>
              <w:t>3,60 %</w:t>
            </w:r>
          </w:p>
        </w:tc>
        <w:tc>
          <w:tcPr>
            <w:tcW w:w="518" w:type="pct"/>
            <w:tcBorders>
              <w:top w:val="nil"/>
              <w:left w:val="nil"/>
              <w:bottom w:val="single" w:sz="4" w:space="0" w:color="auto"/>
              <w:right w:val="single" w:sz="4" w:space="0" w:color="auto"/>
            </w:tcBorders>
            <w:shd w:val="clear" w:color="auto" w:fill="auto"/>
            <w:noWrap/>
            <w:vAlign w:val="center"/>
            <w:hideMark/>
          </w:tcPr>
          <w:p w14:paraId="70615844"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color w:val="000000"/>
                <w:sz w:val="18"/>
                <w:szCs w:val="18"/>
              </w:rPr>
              <w:t>7,62 %</w:t>
            </w:r>
          </w:p>
        </w:tc>
      </w:tr>
      <w:tr w:rsidR="00E3750C" w:rsidRPr="008C2A28" w14:paraId="6980F3D2" w14:textId="77777777" w:rsidTr="00047864">
        <w:trPr>
          <w:trHeight w:val="300"/>
        </w:trPr>
        <w:tc>
          <w:tcPr>
            <w:tcW w:w="709" w:type="pct"/>
            <w:vMerge/>
            <w:tcBorders>
              <w:top w:val="nil"/>
              <w:left w:val="single" w:sz="4" w:space="0" w:color="auto"/>
              <w:bottom w:val="single" w:sz="4" w:space="0" w:color="auto"/>
              <w:right w:val="single" w:sz="4" w:space="0" w:color="auto"/>
            </w:tcBorders>
            <w:vAlign w:val="center"/>
            <w:hideMark/>
          </w:tcPr>
          <w:p w14:paraId="261F3E3C" w14:textId="77777777" w:rsidR="00E3750C" w:rsidRPr="008C2A28" w:rsidRDefault="00E3750C" w:rsidP="00047864">
            <w:pPr>
              <w:spacing w:after="0" w:line="240" w:lineRule="auto"/>
              <w:rPr>
                <w:rFonts w:ascii="Arial" w:eastAsia="Times New Roman" w:hAnsi="Arial" w:cs="Arial"/>
                <w:color w:val="000000"/>
                <w:sz w:val="18"/>
                <w:szCs w:val="18"/>
                <w:lang w:eastAsia="sl-SI"/>
              </w:rPr>
            </w:pPr>
          </w:p>
        </w:tc>
        <w:tc>
          <w:tcPr>
            <w:tcW w:w="2114" w:type="pct"/>
            <w:tcBorders>
              <w:top w:val="nil"/>
              <w:left w:val="nil"/>
              <w:bottom w:val="single" w:sz="4" w:space="0" w:color="auto"/>
              <w:right w:val="single" w:sz="4" w:space="0" w:color="auto"/>
            </w:tcBorders>
            <w:shd w:val="clear" w:color="auto" w:fill="auto"/>
            <w:vAlign w:val="center"/>
            <w:hideMark/>
          </w:tcPr>
          <w:p w14:paraId="17A348E2" w14:textId="77777777" w:rsidR="00E3750C" w:rsidRPr="008C2A28" w:rsidRDefault="00E3750C" w:rsidP="00047864">
            <w:pPr>
              <w:spacing w:after="0" w:line="240" w:lineRule="auto"/>
              <w:rPr>
                <w:rFonts w:ascii="Arial" w:eastAsia="Times New Roman" w:hAnsi="Arial" w:cs="Arial"/>
                <w:color w:val="000000"/>
                <w:sz w:val="18"/>
                <w:szCs w:val="18"/>
                <w:lang w:eastAsia="sl-SI"/>
              </w:rPr>
            </w:pPr>
            <w:r w:rsidRPr="008C2A28">
              <w:rPr>
                <w:rFonts w:ascii="Arial" w:eastAsia="Times New Roman" w:hAnsi="Arial" w:cs="Arial"/>
                <w:color w:val="000000"/>
                <w:sz w:val="18"/>
                <w:szCs w:val="18"/>
                <w:lang w:eastAsia="sl-SI"/>
              </w:rPr>
              <w:t>Omejeni postopek</w:t>
            </w:r>
          </w:p>
        </w:tc>
        <w:tc>
          <w:tcPr>
            <w:tcW w:w="366" w:type="pct"/>
            <w:tcBorders>
              <w:top w:val="nil"/>
              <w:left w:val="nil"/>
              <w:bottom w:val="single" w:sz="4" w:space="0" w:color="auto"/>
              <w:right w:val="single" w:sz="4" w:space="0" w:color="auto"/>
            </w:tcBorders>
            <w:shd w:val="clear" w:color="auto" w:fill="auto"/>
            <w:vAlign w:val="center"/>
            <w:hideMark/>
          </w:tcPr>
          <w:p w14:paraId="6E2FCBB5"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color w:val="000000"/>
                <w:sz w:val="18"/>
                <w:szCs w:val="18"/>
              </w:rPr>
              <w:t>3</w:t>
            </w:r>
          </w:p>
        </w:tc>
        <w:tc>
          <w:tcPr>
            <w:tcW w:w="775" w:type="pct"/>
            <w:tcBorders>
              <w:top w:val="nil"/>
              <w:left w:val="nil"/>
              <w:bottom w:val="single" w:sz="4" w:space="0" w:color="auto"/>
              <w:right w:val="single" w:sz="4" w:space="0" w:color="auto"/>
            </w:tcBorders>
            <w:shd w:val="clear" w:color="auto" w:fill="auto"/>
            <w:vAlign w:val="center"/>
            <w:hideMark/>
          </w:tcPr>
          <w:p w14:paraId="3AA6D524"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sz w:val="18"/>
                <w:szCs w:val="18"/>
              </w:rPr>
              <w:t>109.692</w:t>
            </w:r>
          </w:p>
        </w:tc>
        <w:tc>
          <w:tcPr>
            <w:tcW w:w="518" w:type="pct"/>
            <w:tcBorders>
              <w:top w:val="nil"/>
              <w:left w:val="nil"/>
              <w:bottom w:val="single" w:sz="4" w:space="0" w:color="auto"/>
              <w:right w:val="single" w:sz="4" w:space="0" w:color="auto"/>
            </w:tcBorders>
            <w:shd w:val="clear" w:color="auto" w:fill="auto"/>
            <w:noWrap/>
            <w:vAlign w:val="center"/>
            <w:hideMark/>
          </w:tcPr>
          <w:p w14:paraId="2D4B9F9E"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color w:val="000000"/>
                <w:sz w:val="18"/>
                <w:szCs w:val="18"/>
              </w:rPr>
              <w:t>0,25 %</w:t>
            </w:r>
          </w:p>
        </w:tc>
        <w:tc>
          <w:tcPr>
            <w:tcW w:w="518" w:type="pct"/>
            <w:tcBorders>
              <w:top w:val="nil"/>
              <w:left w:val="nil"/>
              <w:bottom w:val="single" w:sz="4" w:space="0" w:color="auto"/>
              <w:right w:val="single" w:sz="4" w:space="0" w:color="auto"/>
            </w:tcBorders>
            <w:shd w:val="clear" w:color="auto" w:fill="auto"/>
            <w:noWrap/>
            <w:vAlign w:val="center"/>
            <w:hideMark/>
          </w:tcPr>
          <w:p w14:paraId="49374C8F"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color w:val="000000"/>
                <w:sz w:val="18"/>
                <w:szCs w:val="18"/>
              </w:rPr>
              <w:t>0,07 %</w:t>
            </w:r>
          </w:p>
        </w:tc>
      </w:tr>
      <w:tr w:rsidR="00E3750C" w:rsidRPr="008C2A28" w14:paraId="45E8C085" w14:textId="77777777" w:rsidTr="00047864">
        <w:trPr>
          <w:trHeight w:val="300"/>
        </w:trPr>
        <w:tc>
          <w:tcPr>
            <w:tcW w:w="709" w:type="pct"/>
            <w:vMerge/>
            <w:tcBorders>
              <w:top w:val="nil"/>
              <w:left w:val="single" w:sz="4" w:space="0" w:color="auto"/>
              <w:bottom w:val="single" w:sz="4" w:space="0" w:color="auto"/>
              <w:right w:val="single" w:sz="4" w:space="0" w:color="auto"/>
            </w:tcBorders>
            <w:vAlign w:val="center"/>
            <w:hideMark/>
          </w:tcPr>
          <w:p w14:paraId="1316B262" w14:textId="77777777" w:rsidR="00E3750C" w:rsidRPr="008C2A28" w:rsidRDefault="00E3750C" w:rsidP="00047864">
            <w:pPr>
              <w:spacing w:after="0" w:line="240" w:lineRule="auto"/>
              <w:rPr>
                <w:rFonts w:ascii="Arial" w:eastAsia="Times New Roman" w:hAnsi="Arial" w:cs="Arial"/>
                <w:color w:val="000000"/>
                <w:sz w:val="18"/>
                <w:szCs w:val="18"/>
                <w:lang w:eastAsia="sl-SI"/>
              </w:rPr>
            </w:pPr>
          </w:p>
        </w:tc>
        <w:tc>
          <w:tcPr>
            <w:tcW w:w="2114" w:type="pct"/>
            <w:tcBorders>
              <w:top w:val="nil"/>
              <w:left w:val="nil"/>
              <w:bottom w:val="single" w:sz="4" w:space="0" w:color="auto"/>
              <w:right w:val="single" w:sz="4" w:space="0" w:color="auto"/>
            </w:tcBorders>
            <w:shd w:val="clear" w:color="auto" w:fill="auto"/>
            <w:vAlign w:val="center"/>
            <w:hideMark/>
          </w:tcPr>
          <w:p w14:paraId="68C60D13" w14:textId="77777777" w:rsidR="00E3750C" w:rsidRPr="008C2A28" w:rsidRDefault="00E3750C" w:rsidP="00047864">
            <w:pPr>
              <w:spacing w:after="0" w:line="240" w:lineRule="auto"/>
              <w:rPr>
                <w:rFonts w:ascii="Arial" w:eastAsia="Times New Roman" w:hAnsi="Arial" w:cs="Arial"/>
                <w:color w:val="000000"/>
                <w:sz w:val="18"/>
                <w:szCs w:val="18"/>
                <w:lang w:eastAsia="sl-SI"/>
              </w:rPr>
            </w:pPr>
            <w:r w:rsidRPr="008C2A28">
              <w:rPr>
                <w:rFonts w:ascii="Arial" w:eastAsia="Times New Roman" w:hAnsi="Arial" w:cs="Arial"/>
                <w:color w:val="000000"/>
                <w:sz w:val="18"/>
                <w:szCs w:val="18"/>
                <w:lang w:eastAsia="sl-SI"/>
              </w:rPr>
              <w:t>Postopek naročila male vrednosti</w:t>
            </w:r>
          </w:p>
        </w:tc>
        <w:tc>
          <w:tcPr>
            <w:tcW w:w="366" w:type="pct"/>
            <w:tcBorders>
              <w:top w:val="nil"/>
              <w:left w:val="nil"/>
              <w:bottom w:val="single" w:sz="4" w:space="0" w:color="auto"/>
              <w:right w:val="single" w:sz="4" w:space="0" w:color="auto"/>
            </w:tcBorders>
            <w:shd w:val="clear" w:color="auto" w:fill="auto"/>
            <w:vAlign w:val="center"/>
            <w:hideMark/>
          </w:tcPr>
          <w:p w14:paraId="10F089F1"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color w:val="000000"/>
                <w:sz w:val="18"/>
                <w:szCs w:val="18"/>
              </w:rPr>
              <w:t>997</w:t>
            </w:r>
          </w:p>
        </w:tc>
        <w:tc>
          <w:tcPr>
            <w:tcW w:w="775" w:type="pct"/>
            <w:tcBorders>
              <w:top w:val="nil"/>
              <w:left w:val="nil"/>
              <w:bottom w:val="single" w:sz="4" w:space="0" w:color="auto"/>
              <w:right w:val="single" w:sz="4" w:space="0" w:color="auto"/>
            </w:tcBorders>
            <w:shd w:val="clear" w:color="auto" w:fill="auto"/>
            <w:vAlign w:val="center"/>
            <w:hideMark/>
          </w:tcPr>
          <w:p w14:paraId="76E89593"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sz w:val="18"/>
                <w:szCs w:val="18"/>
              </w:rPr>
              <w:t>122.619.619</w:t>
            </w:r>
          </w:p>
        </w:tc>
        <w:tc>
          <w:tcPr>
            <w:tcW w:w="518" w:type="pct"/>
            <w:tcBorders>
              <w:top w:val="nil"/>
              <w:left w:val="nil"/>
              <w:bottom w:val="single" w:sz="4" w:space="0" w:color="auto"/>
              <w:right w:val="single" w:sz="4" w:space="0" w:color="auto"/>
            </w:tcBorders>
            <w:shd w:val="clear" w:color="auto" w:fill="auto"/>
            <w:noWrap/>
            <w:vAlign w:val="center"/>
            <w:hideMark/>
          </w:tcPr>
          <w:p w14:paraId="53BF1CFD"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color w:val="000000"/>
                <w:sz w:val="18"/>
                <w:szCs w:val="18"/>
              </w:rPr>
              <w:t>81,65 %</w:t>
            </w:r>
          </w:p>
        </w:tc>
        <w:tc>
          <w:tcPr>
            <w:tcW w:w="518" w:type="pct"/>
            <w:tcBorders>
              <w:top w:val="nil"/>
              <w:left w:val="nil"/>
              <w:bottom w:val="single" w:sz="4" w:space="0" w:color="auto"/>
              <w:right w:val="single" w:sz="4" w:space="0" w:color="auto"/>
            </w:tcBorders>
            <w:shd w:val="clear" w:color="auto" w:fill="auto"/>
            <w:noWrap/>
            <w:vAlign w:val="center"/>
            <w:hideMark/>
          </w:tcPr>
          <w:p w14:paraId="65C80806"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color w:val="000000"/>
                <w:sz w:val="18"/>
                <w:szCs w:val="18"/>
              </w:rPr>
              <w:t>75,66 %</w:t>
            </w:r>
          </w:p>
        </w:tc>
      </w:tr>
      <w:tr w:rsidR="00E3750C" w:rsidRPr="008C2A28" w14:paraId="126562AD" w14:textId="77777777" w:rsidTr="00047864">
        <w:trPr>
          <w:trHeight w:val="300"/>
        </w:trPr>
        <w:tc>
          <w:tcPr>
            <w:tcW w:w="709" w:type="pct"/>
            <w:vMerge/>
            <w:tcBorders>
              <w:top w:val="nil"/>
              <w:left w:val="single" w:sz="4" w:space="0" w:color="auto"/>
              <w:bottom w:val="single" w:sz="4" w:space="0" w:color="auto"/>
              <w:right w:val="single" w:sz="4" w:space="0" w:color="auto"/>
            </w:tcBorders>
            <w:vAlign w:val="center"/>
            <w:hideMark/>
          </w:tcPr>
          <w:p w14:paraId="0D2E8F34" w14:textId="77777777" w:rsidR="00E3750C" w:rsidRPr="008C2A28" w:rsidRDefault="00E3750C" w:rsidP="00047864">
            <w:pPr>
              <w:spacing w:after="0" w:line="240" w:lineRule="auto"/>
              <w:rPr>
                <w:rFonts w:ascii="Arial" w:eastAsia="Times New Roman" w:hAnsi="Arial" w:cs="Arial"/>
                <w:color w:val="000000"/>
                <w:sz w:val="18"/>
                <w:szCs w:val="18"/>
                <w:lang w:eastAsia="sl-SI"/>
              </w:rPr>
            </w:pPr>
          </w:p>
        </w:tc>
        <w:tc>
          <w:tcPr>
            <w:tcW w:w="2114" w:type="pct"/>
            <w:tcBorders>
              <w:top w:val="nil"/>
              <w:left w:val="nil"/>
              <w:bottom w:val="single" w:sz="4" w:space="0" w:color="auto"/>
              <w:right w:val="single" w:sz="4" w:space="0" w:color="auto"/>
            </w:tcBorders>
            <w:shd w:val="clear" w:color="auto" w:fill="auto"/>
            <w:vAlign w:val="center"/>
            <w:hideMark/>
          </w:tcPr>
          <w:p w14:paraId="4E386C0C" w14:textId="77777777" w:rsidR="00E3750C" w:rsidRPr="008C2A28" w:rsidRDefault="00E3750C" w:rsidP="00047864">
            <w:pPr>
              <w:spacing w:after="0" w:line="240" w:lineRule="auto"/>
              <w:rPr>
                <w:rFonts w:ascii="Arial" w:eastAsia="Times New Roman" w:hAnsi="Arial" w:cs="Arial"/>
                <w:color w:val="000000"/>
                <w:sz w:val="18"/>
                <w:szCs w:val="18"/>
                <w:lang w:eastAsia="sl-SI"/>
              </w:rPr>
            </w:pPr>
            <w:r w:rsidRPr="008C2A28">
              <w:rPr>
                <w:rFonts w:ascii="Arial" w:eastAsia="Times New Roman" w:hAnsi="Arial" w:cs="Arial"/>
                <w:color w:val="000000"/>
                <w:sz w:val="18"/>
                <w:szCs w:val="18"/>
                <w:lang w:eastAsia="sl-SI"/>
              </w:rPr>
              <w:t>Postopek s pogajanji brez predhodne objave</w:t>
            </w:r>
          </w:p>
        </w:tc>
        <w:tc>
          <w:tcPr>
            <w:tcW w:w="366" w:type="pct"/>
            <w:tcBorders>
              <w:top w:val="nil"/>
              <w:left w:val="nil"/>
              <w:bottom w:val="single" w:sz="4" w:space="0" w:color="auto"/>
              <w:right w:val="single" w:sz="4" w:space="0" w:color="auto"/>
            </w:tcBorders>
            <w:shd w:val="clear" w:color="auto" w:fill="auto"/>
            <w:vAlign w:val="center"/>
            <w:hideMark/>
          </w:tcPr>
          <w:p w14:paraId="6595DE00"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color w:val="000000"/>
                <w:sz w:val="18"/>
                <w:szCs w:val="18"/>
              </w:rPr>
              <w:t>135</w:t>
            </w:r>
          </w:p>
        </w:tc>
        <w:tc>
          <w:tcPr>
            <w:tcW w:w="775" w:type="pct"/>
            <w:tcBorders>
              <w:top w:val="nil"/>
              <w:left w:val="nil"/>
              <w:bottom w:val="single" w:sz="4" w:space="0" w:color="auto"/>
              <w:right w:val="single" w:sz="4" w:space="0" w:color="auto"/>
            </w:tcBorders>
            <w:shd w:val="clear" w:color="auto" w:fill="auto"/>
            <w:vAlign w:val="center"/>
            <w:hideMark/>
          </w:tcPr>
          <w:p w14:paraId="41729771"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sz w:val="18"/>
                <w:szCs w:val="18"/>
              </w:rPr>
              <w:t>21.649.739</w:t>
            </w:r>
          </w:p>
        </w:tc>
        <w:tc>
          <w:tcPr>
            <w:tcW w:w="518" w:type="pct"/>
            <w:tcBorders>
              <w:top w:val="nil"/>
              <w:left w:val="nil"/>
              <w:bottom w:val="single" w:sz="4" w:space="0" w:color="auto"/>
              <w:right w:val="single" w:sz="4" w:space="0" w:color="auto"/>
            </w:tcBorders>
            <w:shd w:val="clear" w:color="auto" w:fill="auto"/>
            <w:noWrap/>
            <w:vAlign w:val="center"/>
            <w:hideMark/>
          </w:tcPr>
          <w:p w14:paraId="6428A40A"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color w:val="000000"/>
                <w:sz w:val="18"/>
                <w:szCs w:val="18"/>
              </w:rPr>
              <w:t>11,06 %</w:t>
            </w:r>
          </w:p>
        </w:tc>
        <w:tc>
          <w:tcPr>
            <w:tcW w:w="518" w:type="pct"/>
            <w:tcBorders>
              <w:top w:val="nil"/>
              <w:left w:val="nil"/>
              <w:bottom w:val="single" w:sz="4" w:space="0" w:color="auto"/>
              <w:right w:val="single" w:sz="4" w:space="0" w:color="auto"/>
            </w:tcBorders>
            <w:shd w:val="clear" w:color="auto" w:fill="auto"/>
            <w:noWrap/>
            <w:vAlign w:val="center"/>
            <w:hideMark/>
          </w:tcPr>
          <w:p w14:paraId="0629F33F"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color w:val="000000"/>
                <w:sz w:val="18"/>
                <w:szCs w:val="18"/>
              </w:rPr>
              <w:t>13,36 %</w:t>
            </w:r>
          </w:p>
        </w:tc>
      </w:tr>
      <w:tr w:rsidR="00E3750C" w:rsidRPr="008C2A28" w14:paraId="38C953F5" w14:textId="77777777" w:rsidTr="00047864">
        <w:trPr>
          <w:trHeight w:val="300"/>
        </w:trPr>
        <w:tc>
          <w:tcPr>
            <w:tcW w:w="709" w:type="pct"/>
            <w:vMerge/>
            <w:tcBorders>
              <w:top w:val="nil"/>
              <w:left w:val="single" w:sz="4" w:space="0" w:color="auto"/>
              <w:bottom w:val="single" w:sz="4" w:space="0" w:color="auto"/>
              <w:right w:val="single" w:sz="4" w:space="0" w:color="auto"/>
            </w:tcBorders>
            <w:vAlign w:val="center"/>
            <w:hideMark/>
          </w:tcPr>
          <w:p w14:paraId="56872F75" w14:textId="77777777" w:rsidR="00E3750C" w:rsidRPr="008C2A28" w:rsidRDefault="00E3750C" w:rsidP="00047864">
            <w:pPr>
              <w:spacing w:after="0" w:line="240" w:lineRule="auto"/>
              <w:rPr>
                <w:rFonts w:ascii="Arial" w:eastAsia="Times New Roman" w:hAnsi="Arial" w:cs="Arial"/>
                <w:color w:val="000000"/>
                <w:sz w:val="18"/>
                <w:szCs w:val="18"/>
                <w:lang w:eastAsia="sl-SI"/>
              </w:rPr>
            </w:pPr>
          </w:p>
        </w:tc>
        <w:tc>
          <w:tcPr>
            <w:tcW w:w="2114" w:type="pct"/>
            <w:tcBorders>
              <w:top w:val="nil"/>
              <w:left w:val="nil"/>
              <w:bottom w:val="single" w:sz="4" w:space="0" w:color="auto"/>
              <w:right w:val="single" w:sz="4" w:space="0" w:color="auto"/>
            </w:tcBorders>
            <w:shd w:val="clear" w:color="auto" w:fill="auto"/>
            <w:vAlign w:val="center"/>
            <w:hideMark/>
          </w:tcPr>
          <w:p w14:paraId="1B348694" w14:textId="77777777" w:rsidR="00E3750C" w:rsidRPr="008C2A28" w:rsidRDefault="00E3750C" w:rsidP="00047864">
            <w:pPr>
              <w:spacing w:after="0" w:line="240" w:lineRule="auto"/>
              <w:rPr>
                <w:rFonts w:ascii="Arial" w:eastAsia="Times New Roman" w:hAnsi="Arial" w:cs="Arial"/>
                <w:color w:val="000000"/>
                <w:sz w:val="18"/>
                <w:szCs w:val="18"/>
                <w:lang w:eastAsia="sl-SI"/>
              </w:rPr>
            </w:pPr>
            <w:r w:rsidRPr="008C2A28">
              <w:rPr>
                <w:rFonts w:ascii="Arial" w:eastAsia="Times New Roman" w:hAnsi="Arial" w:cs="Arial"/>
                <w:color w:val="000000"/>
                <w:sz w:val="18"/>
                <w:szCs w:val="18"/>
                <w:lang w:eastAsia="sl-SI"/>
              </w:rPr>
              <w:t>Postopek s pogajanji po predhodni objavi</w:t>
            </w:r>
          </w:p>
        </w:tc>
        <w:tc>
          <w:tcPr>
            <w:tcW w:w="366" w:type="pct"/>
            <w:tcBorders>
              <w:top w:val="nil"/>
              <w:left w:val="nil"/>
              <w:bottom w:val="single" w:sz="4" w:space="0" w:color="auto"/>
              <w:right w:val="single" w:sz="4" w:space="0" w:color="auto"/>
            </w:tcBorders>
            <w:shd w:val="clear" w:color="auto" w:fill="auto"/>
            <w:vAlign w:val="center"/>
            <w:hideMark/>
          </w:tcPr>
          <w:p w14:paraId="491BA4E5"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color w:val="000000"/>
                <w:sz w:val="18"/>
                <w:szCs w:val="18"/>
              </w:rPr>
              <w:t>41</w:t>
            </w:r>
          </w:p>
        </w:tc>
        <w:tc>
          <w:tcPr>
            <w:tcW w:w="775" w:type="pct"/>
            <w:tcBorders>
              <w:top w:val="nil"/>
              <w:left w:val="nil"/>
              <w:bottom w:val="single" w:sz="4" w:space="0" w:color="auto"/>
              <w:right w:val="single" w:sz="4" w:space="0" w:color="auto"/>
            </w:tcBorders>
            <w:shd w:val="clear" w:color="auto" w:fill="auto"/>
            <w:vAlign w:val="center"/>
            <w:hideMark/>
          </w:tcPr>
          <w:p w14:paraId="4491C9D2"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sz w:val="18"/>
                <w:szCs w:val="18"/>
              </w:rPr>
              <w:t>5.279.951</w:t>
            </w:r>
          </w:p>
        </w:tc>
        <w:tc>
          <w:tcPr>
            <w:tcW w:w="518" w:type="pct"/>
            <w:tcBorders>
              <w:top w:val="nil"/>
              <w:left w:val="nil"/>
              <w:bottom w:val="single" w:sz="4" w:space="0" w:color="auto"/>
              <w:right w:val="single" w:sz="4" w:space="0" w:color="auto"/>
            </w:tcBorders>
            <w:shd w:val="clear" w:color="auto" w:fill="auto"/>
            <w:noWrap/>
            <w:vAlign w:val="center"/>
            <w:hideMark/>
          </w:tcPr>
          <w:p w14:paraId="27F854F5"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color w:val="000000"/>
                <w:sz w:val="18"/>
                <w:szCs w:val="18"/>
              </w:rPr>
              <w:t>3,36 %</w:t>
            </w:r>
          </w:p>
        </w:tc>
        <w:tc>
          <w:tcPr>
            <w:tcW w:w="518" w:type="pct"/>
            <w:tcBorders>
              <w:top w:val="nil"/>
              <w:left w:val="nil"/>
              <w:bottom w:val="single" w:sz="4" w:space="0" w:color="auto"/>
              <w:right w:val="single" w:sz="4" w:space="0" w:color="auto"/>
            </w:tcBorders>
            <w:shd w:val="clear" w:color="auto" w:fill="auto"/>
            <w:noWrap/>
            <w:vAlign w:val="center"/>
            <w:hideMark/>
          </w:tcPr>
          <w:p w14:paraId="7CE00268"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color w:val="000000"/>
                <w:sz w:val="18"/>
                <w:szCs w:val="18"/>
              </w:rPr>
              <w:t>3,26 %</w:t>
            </w:r>
          </w:p>
        </w:tc>
      </w:tr>
      <w:tr w:rsidR="00E3750C" w:rsidRPr="008C2A28" w14:paraId="09AD9E35" w14:textId="77777777" w:rsidTr="00047864">
        <w:trPr>
          <w:trHeight w:val="300"/>
        </w:trPr>
        <w:tc>
          <w:tcPr>
            <w:tcW w:w="709" w:type="pct"/>
            <w:vMerge/>
            <w:tcBorders>
              <w:top w:val="nil"/>
              <w:left w:val="single" w:sz="4" w:space="0" w:color="auto"/>
              <w:bottom w:val="single" w:sz="4" w:space="0" w:color="auto"/>
              <w:right w:val="single" w:sz="4" w:space="0" w:color="auto"/>
            </w:tcBorders>
            <w:vAlign w:val="center"/>
            <w:hideMark/>
          </w:tcPr>
          <w:p w14:paraId="1EA6A15E" w14:textId="77777777" w:rsidR="00E3750C" w:rsidRPr="008C2A28" w:rsidRDefault="00E3750C" w:rsidP="00047864">
            <w:pPr>
              <w:spacing w:after="0" w:line="240" w:lineRule="auto"/>
              <w:rPr>
                <w:rFonts w:ascii="Arial" w:eastAsia="Times New Roman" w:hAnsi="Arial" w:cs="Arial"/>
                <w:b/>
                <w:bCs/>
                <w:color w:val="000000"/>
                <w:sz w:val="18"/>
                <w:szCs w:val="18"/>
                <w:lang w:eastAsia="sl-SI"/>
              </w:rPr>
            </w:pPr>
          </w:p>
        </w:tc>
        <w:tc>
          <w:tcPr>
            <w:tcW w:w="2114" w:type="pct"/>
            <w:tcBorders>
              <w:top w:val="nil"/>
              <w:left w:val="nil"/>
              <w:bottom w:val="single" w:sz="4" w:space="0" w:color="auto"/>
              <w:right w:val="single" w:sz="4" w:space="0" w:color="auto"/>
            </w:tcBorders>
            <w:shd w:val="clear" w:color="auto" w:fill="auto"/>
            <w:vAlign w:val="center"/>
            <w:hideMark/>
          </w:tcPr>
          <w:p w14:paraId="798951EF" w14:textId="77777777" w:rsidR="00E3750C" w:rsidRPr="008C2A28" w:rsidRDefault="00E3750C" w:rsidP="00047864">
            <w:pPr>
              <w:spacing w:after="0" w:line="240" w:lineRule="auto"/>
              <w:rPr>
                <w:rFonts w:ascii="Arial" w:eastAsia="Times New Roman" w:hAnsi="Arial" w:cs="Arial"/>
                <w:b/>
                <w:bCs/>
                <w:color w:val="000000"/>
                <w:sz w:val="18"/>
                <w:szCs w:val="18"/>
                <w:lang w:eastAsia="sl-SI"/>
              </w:rPr>
            </w:pPr>
            <w:r w:rsidRPr="008C2A28">
              <w:rPr>
                <w:rFonts w:ascii="Arial" w:eastAsia="Times New Roman" w:hAnsi="Arial" w:cs="Arial"/>
                <w:b/>
                <w:bCs/>
                <w:color w:val="000000"/>
                <w:sz w:val="18"/>
                <w:szCs w:val="18"/>
                <w:lang w:eastAsia="sl-SI"/>
              </w:rPr>
              <w:t>Skupaj</w:t>
            </w:r>
          </w:p>
        </w:tc>
        <w:tc>
          <w:tcPr>
            <w:tcW w:w="366" w:type="pct"/>
            <w:tcBorders>
              <w:top w:val="nil"/>
              <w:left w:val="nil"/>
              <w:bottom w:val="single" w:sz="4" w:space="0" w:color="auto"/>
              <w:right w:val="single" w:sz="4" w:space="0" w:color="auto"/>
            </w:tcBorders>
            <w:shd w:val="clear" w:color="auto" w:fill="auto"/>
            <w:vAlign w:val="center"/>
            <w:hideMark/>
          </w:tcPr>
          <w:p w14:paraId="24194645" w14:textId="77777777" w:rsidR="00E3750C" w:rsidRPr="008C2A28" w:rsidRDefault="00E3750C" w:rsidP="00047864">
            <w:pPr>
              <w:spacing w:after="0" w:line="240" w:lineRule="auto"/>
              <w:jc w:val="right"/>
              <w:rPr>
                <w:rFonts w:ascii="Arial" w:eastAsia="Times New Roman" w:hAnsi="Arial" w:cs="Arial"/>
                <w:b/>
                <w:bCs/>
                <w:color w:val="000000"/>
                <w:sz w:val="18"/>
                <w:szCs w:val="18"/>
                <w:lang w:eastAsia="sl-SI"/>
              </w:rPr>
            </w:pPr>
            <w:r w:rsidRPr="008C2A28">
              <w:rPr>
                <w:rFonts w:ascii="Arial" w:hAnsi="Arial" w:cs="Arial"/>
                <w:b/>
                <w:bCs/>
                <w:color w:val="000000"/>
                <w:sz w:val="18"/>
                <w:szCs w:val="18"/>
              </w:rPr>
              <w:t>1.221</w:t>
            </w:r>
          </w:p>
        </w:tc>
        <w:tc>
          <w:tcPr>
            <w:tcW w:w="775" w:type="pct"/>
            <w:tcBorders>
              <w:top w:val="nil"/>
              <w:left w:val="nil"/>
              <w:bottom w:val="single" w:sz="4" w:space="0" w:color="auto"/>
              <w:right w:val="single" w:sz="4" w:space="0" w:color="auto"/>
            </w:tcBorders>
            <w:shd w:val="clear" w:color="auto" w:fill="auto"/>
            <w:vAlign w:val="center"/>
            <w:hideMark/>
          </w:tcPr>
          <w:p w14:paraId="78A99610" w14:textId="77777777" w:rsidR="00E3750C" w:rsidRPr="008C2A28" w:rsidRDefault="00E3750C" w:rsidP="00047864">
            <w:pPr>
              <w:spacing w:after="0" w:line="240" w:lineRule="auto"/>
              <w:jc w:val="right"/>
              <w:rPr>
                <w:rFonts w:ascii="Arial" w:eastAsia="Times New Roman" w:hAnsi="Arial" w:cs="Arial"/>
                <w:b/>
                <w:bCs/>
                <w:color w:val="000000"/>
                <w:sz w:val="18"/>
                <w:szCs w:val="18"/>
                <w:lang w:eastAsia="sl-SI"/>
              </w:rPr>
            </w:pPr>
            <w:r w:rsidRPr="008C2A28">
              <w:rPr>
                <w:rFonts w:ascii="Arial" w:hAnsi="Arial" w:cs="Arial"/>
                <w:b/>
                <w:bCs/>
                <w:sz w:val="18"/>
                <w:szCs w:val="18"/>
              </w:rPr>
              <w:t>162.062.140</w:t>
            </w:r>
          </w:p>
        </w:tc>
        <w:tc>
          <w:tcPr>
            <w:tcW w:w="518" w:type="pct"/>
            <w:tcBorders>
              <w:top w:val="nil"/>
              <w:left w:val="nil"/>
              <w:bottom w:val="single" w:sz="4" w:space="0" w:color="auto"/>
              <w:right w:val="single" w:sz="4" w:space="0" w:color="auto"/>
            </w:tcBorders>
            <w:shd w:val="clear" w:color="auto" w:fill="auto"/>
            <w:noWrap/>
            <w:vAlign w:val="center"/>
            <w:hideMark/>
          </w:tcPr>
          <w:p w14:paraId="1CEECB37" w14:textId="77777777" w:rsidR="00E3750C" w:rsidRPr="008C2A28" w:rsidRDefault="00E3750C" w:rsidP="00047864">
            <w:pPr>
              <w:spacing w:after="0" w:line="240" w:lineRule="auto"/>
              <w:jc w:val="right"/>
              <w:rPr>
                <w:rFonts w:ascii="Arial" w:eastAsia="Times New Roman" w:hAnsi="Arial" w:cs="Arial"/>
                <w:b/>
                <w:bCs/>
                <w:color w:val="000000"/>
                <w:sz w:val="18"/>
                <w:szCs w:val="18"/>
                <w:lang w:eastAsia="sl-SI"/>
              </w:rPr>
            </w:pPr>
            <w:r w:rsidRPr="008C2A28">
              <w:rPr>
                <w:rFonts w:ascii="Arial" w:eastAsia="Times New Roman" w:hAnsi="Arial" w:cs="Arial"/>
                <w:b/>
                <w:bCs/>
                <w:color w:val="000000"/>
                <w:sz w:val="18"/>
                <w:szCs w:val="18"/>
                <w:lang w:eastAsia="sl-SI"/>
              </w:rPr>
              <w:t>100,00 %</w:t>
            </w:r>
          </w:p>
        </w:tc>
        <w:tc>
          <w:tcPr>
            <w:tcW w:w="518" w:type="pct"/>
            <w:tcBorders>
              <w:top w:val="nil"/>
              <w:left w:val="nil"/>
              <w:bottom w:val="single" w:sz="4" w:space="0" w:color="auto"/>
              <w:right w:val="single" w:sz="4" w:space="0" w:color="auto"/>
            </w:tcBorders>
            <w:shd w:val="clear" w:color="auto" w:fill="auto"/>
            <w:noWrap/>
            <w:vAlign w:val="center"/>
            <w:hideMark/>
          </w:tcPr>
          <w:p w14:paraId="0FF6C9EF" w14:textId="77777777" w:rsidR="00E3750C" w:rsidRPr="008C2A28" w:rsidRDefault="00E3750C" w:rsidP="00047864">
            <w:pPr>
              <w:spacing w:after="0" w:line="240" w:lineRule="auto"/>
              <w:jc w:val="right"/>
              <w:rPr>
                <w:rFonts w:ascii="Arial" w:eastAsia="Times New Roman" w:hAnsi="Arial" w:cs="Arial"/>
                <w:b/>
                <w:bCs/>
                <w:color w:val="000000"/>
                <w:sz w:val="18"/>
                <w:szCs w:val="18"/>
                <w:lang w:eastAsia="sl-SI"/>
              </w:rPr>
            </w:pPr>
            <w:r w:rsidRPr="008C2A28">
              <w:rPr>
                <w:rFonts w:ascii="Arial" w:eastAsia="Times New Roman" w:hAnsi="Arial" w:cs="Arial"/>
                <w:b/>
                <w:bCs/>
                <w:color w:val="000000"/>
                <w:sz w:val="18"/>
                <w:szCs w:val="18"/>
                <w:lang w:eastAsia="sl-SI"/>
              </w:rPr>
              <w:t>100,00 %</w:t>
            </w:r>
          </w:p>
        </w:tc>
      </w:tr>
      <w:tr w:rsidR="00E3750C" w:rsidRPr="008C2A28" w14:paraId="58AD7D0C" w14:textId="77777777" w:rsidTr="00047864">
        <w:trPr>
          <w:trHeight w:val="300"/>
        </w:trPr>
        <w:tc>
          <w:tcPr>
            <w:tcW w:w="709" w:type="pct"/>
            <w:vMerge w:val="restart"/>
            <w:tcBorders>
              <w:top w:val="nil"/>
              <w:left w:val="single" w:sz="4" w:space="0" w:color="auto"/>
              <w:bottom w:val="single" w:sz="4" w:space="0" w:color="auto"/>
              <w:right w:val="single" w:sz="4" w:space="0" w:color="auto"/>
            </w:tcBorders>
            <w:shd w:val="clear" w:color="auto" w:fill="auto"/>
            <w:vAlign w:val="center"/>
            <w:hideMark/>
          </w:tcPr>
          <w:p w14:paraId="649B1C90" w14:textId="77777777" w:rsidR="00E3750C" w:rsidRPr="008C2A28" w:rsidRDefault="00E3750C" w:rsidP="00047864">
            <w:pPr>
              <w:spacing w:after="0" w:line="240" w:lineRule="auto"/>
              <w:rPr>
                <w:rFonts w:ascii="Arial" w:eastAsia="Times New Roman" w:hAnsi="Arial" w:cs="Arial"/>
                <w:color w:val="000000"/>
                <w:sz w:val="18"/>
                <w:szCs w:val="18"/>
                <w:lang w:eastAsia="sl-SI"/>
              </w:rPr>
            </w:pPr>
            <w:r w:rsidRPr="008C2A28">
              <w:rPr>
                <w:rFonts w:ascii="Arial" w:eastAsia="Times New Roman" w:hAnsi="Arial" w:cs="Arial"/>
                <w:color w:val="000000"/>
                <w:sz w:val="18"/>
                <w:szCs w:val="18"/>
                <w:lang w:eastAsia="sl-SI"/>
              </w:rPr>
              <w:t>Obrambno</w:t>
            </w:r>
          </w:p>
        </w:tc>
        <w:tc>
          <w:tcPr>
            <w:tcW w:w="2114" w:type="pct"/>
            <w:tcBorders>
              <w:top w:val="nil"/>
              <w:left w:val="nil"/>
              <w:bottom w:val="single" w:sz="4" w:space="0" w:color="auto"/>
              <w:right w:val="single" w:sz="4" w:space="0" w:color="auto"/>
            </w:tcBorders>
            <w:shd w:val="clear" w:color="auto" w:fill="auto"/>
            <w:vAlign w:val="center"/>
            <w:hideMark/>
          </w:tcPr>
          <w:p w14:paraId="2DA39AD4" w14:textId="77777777" w:rsidR="00E3750C" w:rsidRPr="008C2A28" w:rsidRDefault="00E3750C" w:rsidP="00047864">
            <w:pPr>
              <w:spacing w:after="0" w:line="240" w:lineRule="auto"/>
              <w:rPr>
                <w:rFonts w:ascii="Arial" w:eastAsia="Times New Roman" w:hAnsi="Arial" w:cs="Arial"/>
                <w:color w:val="000000"/>
                <w:sz w:val="18"/>
                <w:szCs w:val="18"/>
                <w:lang w:eastAsia="sl-SI"/>
              </w:rPr>
            </w:pPr>
            <w:r w:rsidRPr="008C2A28">
              <w:rPr>
                <w:rFonts w:ascii="Arial" w:eastAsia="Times New Roman" w:hAnsi="Arial" w:cs="Arial"/>
                <w:color w:val="000000"/>
                <w:sz w:val="18"/>
                <w:szCs w:val="18"/>
                <w:lang w:eastAsia="sl-SI"/>
              </w:rPr>
              <w:t>Postopek s pogajanji brez predhodne objave</w:t>
            </w:r>
          </w:p>
        </w:tc>
        <w:tc>
          <w:tcPr>
            <w:tcW w:w="366" w:type="pct"/>
            <w:tcBorders>
              <w:top w:val="nil"/>
              <w:left w:val="nil"/>
              <w:bottom w:val="single" w:sz="4" w:space="0" w:color="auto"/>
              <w:right w:val="single" w:sz="4" w:space="0" w:color="auto"/>
            </w:tcBorders>
            <w:shd w:val="clear" w:color="auto" w:fill="auto"/>
            <w:vAlign w:val="center"/>
            <w:hideMark/>
          </w:tcPr>
          <w:p w14:paraId="78777AAC"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color w:val="000000"/>
                <w:sz w:val="18"/>
                <w:szCs w:val="18"/>
              </w:rPr>
              <w:t>24</w:t>
            </w:r>
          </w:p>
        </w:tc>
        <w:tc>
          <w:tcPr>
            <w:tcW w:w="775" w:type="pct"/>
            <w:tcBorders>
              <w:top w:val="nil"/>
              <w:left w:val="nil"/>
              <w:bottom w:val="single" w:sz="4" w:space="0" w:color="auto"/>
              <w:right w:val="single" w:sz="4" w:space="0" w:color="auto"/>
            </w:tcBorders>
            <w:shd w:val="clear" w:color="auto" w:fill="auto"/>
            <w:vAlign w:val="center"/>
            <w:hideMark/>
          </w:tcPr>
          <w:p w14:paraId="1AAA1983"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sz w:val="18"/>
                <w:szCs w:val="18"/>
              </w:rPr>
              <w:t>2.772.077</w:t>
            </w:r>
          </w:p>
        </w:tc>
        <w:tc>
          <w:tcPr>
            <w:tcW w:w="518" w:type="pct"/>
            <w:tcBorders>
              <w:top w:val="nil"/>
              <w:left w:val="nil"/>
              <w:bottom w:val="single" w:sz="4" w:space="0" w:color="auto"/>
              <w:right w:val="single" w:sz="4" w:space="0" w:color="auto"/>
            </w:tcBorders>
            <w:shd w:val="clear" w:color="auto" w:fill="auto"/>
            <w:noWrap/>
            <w:vAlign w:val="center"/>
            <w:hideMark/>
          </w:tcPr>
          <w:p w14:paraId="0AA18857"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color w:val="000000"/>
                <w:sz w:val="18"/>
                <w:szCs w:val="18"/>
              </w:rPr>
              <w:t>40,00 %</w:t>
            </w:r>
          </w:p>
        </w:tc>
        <w:tc>
          <w:tcPr>
            <w:tcW w:w="518" w:type="pct"/>
            <w:tcBorders>
              <w:top w:val="nil"/>
              <w:left w:val="nil"/>
              <w:bottom w:val="single" w:sz="4" w:space="0" w:color="auto"/>
              <w:right w:val="single" w:sz="4" w:space="0" w:color="auto"/>
            </w:tcBorders>
            <w:shd w:val="clear" w:color="auto" w:fill="auto"/>
            <w:noWrap/>
            <w:vAlign w:val="center"/>
            <w:hideMark/>
          </w:tcPr>
          <w:p w14:paraId="71F82B99"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color w:val="000000"/>
                <w:sz w:val="18"/>
                <w:szCs w:val="18"/>
              </w:rPr>
              <w:t>20,02 %</w:t>
            </w:r>
          </w:p>
        </w:tc>
      </w:tr>
      <w:tr w:rsidR="00E3750C" w:rsidRPr="008C2A28" w14:paraId="2C57A733" w14:textId="77777777" w:rsidTr="00047864">
        <w:trPr>
          <w:trHeight w:val="300"/>
        </w:trPr>
        <w:tc>
          <w:tcPr>
            <w:tcW w:w="709" w:type="pct"/>
            <w:vMerge/>
            <w:tcBorders>
              <w:top w:val="nil"/>
              <w:left w:val="single" w:sz="4" w:space="0" w:color="auto"/>
              <w:bottom w:val="single" w:sz="4" w:space="0" w:color="auto"/>
              <w:right w:val="single" w:sz="4" w:space="0" w:color="auto"/>
            </w:tcBorders>
            <w:vAlign w:val="center"/>
            <w:hideMark/>
          </w:tcPr>
          <w:p w14:paraId="12A327EE" w14:textId="77777777" w:rsidR="00E3750C" w:rsidRPr="008C2A28" w:rsidRDefault="00E3750C" w:rsidP="00047864">
            <w:pPr>
              <w:spacing w:after="0" w:line="240" w:lineRule="auto"/>
              <w:outlineLvl w:val="1"/>
              <w:rPr>
                <w:rFonts w:ascii="Arial" w:eastAsia="Times New Roman" w:hAnsi="Arial" w:cs="Arial"/>
                <w:color w:val="000000"/>
                <w:sz w:val="18"/>
                <w:szCs w:val="18"/>
                <w:lang w:eastAsia="sl-SI"/>
              </w:rPr>
            </w:pPr>
          </w:p>
        </w:tc>
        <w:tc>
          <w:tcPr>
            <w:tcW w:w="2114" w:type="pct"/>
            <w:tcBorders>
              <w:top w:val="nil"/>
              <w:left w:val="nil"/>
              <w:bottom w:val="single" w:sz="4" w:space="0" w:color="auto"/>
              <w:right w:val="single" w:sz="4" w:space="0" w:color="auto"/>
            </w:tcBorders>
            <w:shd w:val="clear" w:color="auto" w:fill="auto"/>
            <w:vAlign w:val="center"/>
            <w:hideMark/>
          </w:tcPr>
          <w:p w14:paraId="183F7E86" w14:textId="77777777" w:rsidR="00E3750C" w:rsidRPr="008C2A28" w:rsidRDefault="00E3750C" w:rsidP="00047864">
            <w:pPr>
              <w:spacing w:after="0" w:line="240" w:lineRule="auto"/>
              <w:rPr>
                <w:rFonts w:ascii="Arial" w:eastAsia="Times New Roman" w:hAnsi="Arial" w:cs="Arial"/>
                <w:color w:val="000000"/>
                <w:sz w:val="18"/>
                <w:szCs w:val="18"/>
                <w:lang w:eastAsia="sl-SI"/>
              </w:rPr>
            </w:pPr>
            <w:r w:rsidRPr="008C2A28">
              <w:rPr>
                <w:rFonts w:ascii="Arial" w:eastAsia="Times New Roman" w:hAnsi="Arial" w:cs="Arial"/>
                <w:color w:val="000000"/>
                <w:sz w:val="18"/>
                <w:szCs w:val="18"/>
                <w:lang w:eastAsia="sl-SI"/>
              </w:rPr>
              <w:t>Postopek s pogajanji po predhodni objavi</w:t>
            </w:r>
          </w:p>
        </w:tc>
        <w:tc>
          <w:tcPr>
            <w:tcW w:w="366" w:type="pct"/>
            <w:tcBorders>
              <w:top w:val="nil"/>
              <w:left w:val="nil"/>
              <w:bottom w:val="single" w:sz="4" w:space="0" w:color="auto"/>
              <w:right w:val="single" w:sz="4" w:space="0" w:color="auto"/>
            </w:tcBorders>
            <w:shd w:val="clear" w:color="auto" w:fill="auto"/>
            <w:vAlign w:val="center"/>
            <w:hideMark/>
          </w:tcPr>
          <w:p w14:paraId="56E5A2D6"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color w:val="000000"/>
                <w:sz w:val="18"/>
                <w:szCs w:val="18"/>
              </w:rPr>
              <w:t>3</w:t>
            </w:r>
          </w:p>
        </w:tc>
        <w:tc>
          <w:tcPr>
            <w:tcW w:w="775" w:type="pct"/>
            <w:tcBorders>
              <w:top w:val="nil"/>
              <w:left w:val="nil"/>
              <w:bottom w:val="single" w:sz="4" w:space="0" w:color="auto"/>
              <w:right w:val="single" w:sz="4" w:space="0" w:color="auto"/>
            </w:tcBorders>
            <w:shd w:val="clear" w:color="auto" w:fill="auto"/>
            <w:vAlign w:val="center"/>
            <w:hideMark/>
          </w:tcPr>
          <w:p w14:paraId="42A4C282"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sz w:val="18"/>
                <w:szCs w:val="18"/>
              </w:rPr>
              <w:t>5.130.119</w:t>
            </w:r>
          </w:p>
        </w:tc>
        <w:tc>
          <w:tcPr>
            <w:tcW w:w="518" w:type="pct"/>
            <w:tcBorders>
              <w:top w:val="nil"/>
              <w:left w:val="nil"/>
              <w:bottom w:val="single" w:sz="4" w:space="0" w:color="auto"/>
              <w:right w:val="single" w:sz="4" w:space="0" w:color="auto"/>
            </w:tcBorders>
            <w:shd w:val="clear" w:color="auto" w:fill="auto"/>
            <w:noWrap/>
            <w:vAlign w:val="center"/>
            <w:hideMark/>
          </w:tcPr>
          <w:p w14:paraId="45C6DC1A" w14:textId="77777777" w:rsidR="00E3750C" w:rsidRPr="008C2A28" w:rsidRDefault="00E3750C" w:rsidP="00047864">
            <w:pPr>
              <w:spacing w:after="0" w:line="240" w:lineRule="auto"/>
              <w:jc w:val="right"/>
              <w:rPr>
                <w:rFonts w:ascii="Arial" w:hAnsi="Arial" w:cs="Arial"/>
                <w:color w:val="000000"/>
                <w:sz w:val="18"/>
                <w:szCs w:val="18"/>
              </w:rPr>
            </w:pPr>
            <w:r w:rsidRPr="008C2A28">
              <w:rPr>
                <w:rFonts w:ascii="Arial" w:hAnsi="Arial" w:cs="Arial"/>
                <w:color w:val="000000"/>
                <w:sz w:val="18"/>
                <w:szCs w:val="18"/>
              </w:rPr>
              <w:t>5,00 %</w:t>
            </w:r>
          </w:p>
        </w:tc>
        <w:tc>
          <w:tcPr>
            <w:tcW w:w="518" w:type="pct"/>
            <w:tcBorders>
              <w:top w:val="nil"/>
              <w:left w:val="nil"/>
              <w:bottom w:val="single" w:sz="4" w:space="0" w:color="auto"/>
              <w:right w:val="single" w:sz="4" w:space="0" w:color="auto"/>
            </w:tcBorders>
            <w:shd w:val="clear" w:color="auto" w:fill="auto"/>
            <w:noWrap/>
            <w:vAlign w:val="center"/>
            <w:hideMark/>
          </w:tcPr>
          <w:p w14:paraId="78F6BA57" w14:textId="77777777" w:rsidR="00E3750C" w:rsidRPr="008C2A28" w:rsidRDefault="00E3750C" w:rsidP="00047864">
            <w:pPr>
              <w:spacing w:after="0" w:line="240" w:lineRule="auto"/>
              <w:jc w:val="right"/>
              <w:rPr>
                <w:rFonts w:ascii="Arial" w:hAnsi="Arial" w:cs="Arial"/>
                <w:color w:val="000000"/>
                <w:sz w:val="18"/>
                <w:szCs w:val="18"/>
              </w:rPr>
            </w:pPr>
            <w:r w:rsidRPr="008C2A28">
              <w:rPr>
                <w:rFonts w:ascii="Arial" w:hAnsi="Arial" w:cs="Arial"/>
                <w:color w:val="000000"/>
                <w:sz w:val="18"/>
                <w:szCs w:val="18"/>
              </w:rPr>
              <w:t>37,04 %</w:t>
            </w:r>
          </w:p>
        </w:tc>
      </w:tr>
      <w:tr w:rsidR="00E3750C" w:rsidRPr="008C2A28" w14:paraId="211842DB" w14:textId="77777777" w:rsidTr="00047864">
        <w:trPr>
          <w:trHeight w:val="300"/>
        </w:trPr>
        <w:tc>
          <w:tcPr>
            <w:tcW w:w="709" w:type="pct"/>
            <w:vMerge/>
            <w:tcBorders>
              <w:top w:val="nil"/>
              <w:left w:val="single" w:sz="4" w:space="0" w:color="auto"/>
              <w:bottom w:val="single" w:sz="4" w:space="0" w:color="auto"/>
              <w:right w:val="single" w:sz="4" w:space="0" w:color="auto"/>
            </w:tcBorders>
            <w:vAlign w:val="center"/>
            <w:hideMark/>
          </w:tcPr>
          <w:p w14:paraId="39B6124A" w14:textId="77777777" w:rsidR="00E3750C" w:rsidRPr="008C2A28" w:rsidRDefault="00E3750C" w:rsidP="00047864">
            <w:pPr>
              <w:spacing w:after="0" w:line="240" w:lineRule="auto"/>
              <w:outlineLvl w:val="1"/>
              <w:rPr>
                <w:rFonts w:ascii="Arial" w:eastAsia="Times New Roman" w:hAnsi="Arial" w:cs="Arial"/>
                <w:color w:val="000000"/>
                <w:sz w:val="18"/>
                <w:szCs w:val="18"/>
                <w:lang w:eastAsia="sl-SI"/>
              </w:rPr>
            </w:pPr>
          </w:p>
        </w:tc>
        <w:tc>
          <w:tcPr>
            <w:tcW w:w="2114" w:type="pct"/>
            <w:tcBorders>
              <w:top w:val="nil"/>
              <w:left w:val="nil"/>
              <w:bottom w:val="single" w:sz="4" w:space="0" w:color="auto"/>
              <w:right w:val="single" w:sz="4" w:space="0" w:color="auto"/>
            </w:tcBorders>
            <w:shd w:val="clear" w:color="auto" w:fill="auto"/>
            <w:vAlign w:val="center"/>
            <w:hideMark/>
          </w:tcPr>
          <w:p w14:paraId="18E874A8" w14:textId="77777777" w:rsidR="00E3750C" w:rsidRPr="008C2A28" w:rsidRDefault="00E3750C" w:rsidP="00047864">
            <w:pPr>
              <w:spacing w:after="0" w:line="240" w:lineRule="auto"/>
              <w:rPr>
                <w:rFonts w:ascii="Arial" w:eastAsia="Times New Roman" w:hAnsi="Arial" w:cs="Arial"/>
                <w:color w:val="000000"/>
                <w:sz w:val="18"/>
                <w:szCs w:val="18"/>
                <w:lang w:eastAsia="sl-SI"/>
              </w:rPr>
            </w:pPr>
            <w:r w:rsidRPr="008C2A28">
              <w:rPr>
                <w:rFonts w:ascii="Arial" w:eastAsia="Times New Roman" w:hAnsi="Arial" w:cs="Arial"/>
                <w:color w:val="000000"/>
                <w:sz w:val="18"/>
                <w:szCs w:val="18"/>
                <w:lang w:eastAsia="sl-SI"/>
              </w:rPr>
              <w:t>Postopek zbiranja ponudb po predhodni objavi</w:t>
            </w:r>
          </w:p>
        </w:tc>
        <w:tc>
          <w:tcPr>
            <w:tcW w:w="366" w:type="pct"/>
            <w:tcBorders>
              <w:top w:val="nil"/>
              <w:left w:val="nil"/>
              <w:bottom w:val="single" w:sz="4" w:space="0" w:color="auto"/>
              <w:right w:val="single" w:sz="4" w:space="0" w:color="auto"/>
            </w:tcBorders>
            <w:shd w:val="clear" w:color="auto" w:fill="auto"/>
            <w:vAlign w:val="center"/>
            <w:hideMark/>
          </w:tcPr>
          <w:p w14:paraId="28D0075B"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color w:val="000000"/>
                <w:sz w:val="18"/>
                <w:szCs w:val="18"/>
              </w:rPr>
              <w:t>33</w:t>
            </w:r>
          </w:p>
        </w:tc>
        <w:tc>
          <w:tcPr>
            <w:tcW w:w="775" w:type="pct"/>
            <w:tcBorders>
              <w:top w:val="nil"/>
              <w:left w:val="nil"/>
              <w:bottom w:val="single" w:sz="4" w:space="0" w:color="auto"/>
              <w:right w:val="single" w:sz="4" w:space="0" w:color="auto"/>
            </w:tcBorders>
            <w:shd w:val="clear" w:color="auto" w:fill="auto"/>
            <w:vAlign w:val="center"/>
            <w:hideMark/>
          </w:tcPr>
          <w:p w14:paraId="4FB6FBFC"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r w:rsidRPr="008C2A28">
              <w:rPr>
                <w:rFonts w:ascii="Arial" w:hAnsi="Arial" w:cs="Arial"/>
                <w:sz w:val="18"/>
                <w:szCs w:val="18"/>
              </w:rPr>
              <w:t>5.946.842</w:t>
            </w:r>
          </w:p>
        </w:tc>
        <w:tc>
          <w:tcPr>
            <w:tcW w:w="518" w:type="pct"/>
            <w:tcBorders>
              <w:top w:val="nil"/>
              <w:left w:val="nil"/>
              <w:bottom w:val="single" w:sz="4" w:space="0" w:color="auto"/>
              <w:right w:val="single" w:sz="4" w:space="0" w:color="auto"/>
            </w:tcBorders>
            <w:shd w:val="clear" w:color="auto" w:fill="auto"/>
            <w:noWrap/>
            <w:vAlign w:val="center"/>
            <w:hideMark/>
          </w:tcPr>
          <w:p w14:paraId="39EDC8CA" w14:textId="77777777" w:rsidR="00E3750C" w:rsidRPr="008C2A28" w:rsidRDefault="00E3750C" w:rsidP="00047864">
            <w:pPr>
              <w:spacing w:after="0" w:line="240" w:lineRule="auto"/>
              <w:jc w:val="right"/>
              <w:rPr>
                <w:rFonts w:ascii="Arial" w:hAnsi="Arial" w:cs="Arial"/>
                <w:color w:val="000000"/>
                <w:sz w:val="18"/>
                <w:szCs w:val="18"/>
              </w:rPr>
            </w:pPr>
            <w:r w:rsidRPr="008C2A28">
              <w:rPr>
                <w:rFonts w:ascii="Arial" w:hAnsi="Arial" w:cs="Arial"/>
                <w:color w:val="000000"/>
                <w:sz w:val="18"/>
                <w:szCs w:val="18"/>
              </w:rPr>
              <w:t>55,00 %</w:t>
            </w:r>
          </w:p>
        </w:tc>
        <w:tc>
          <w:tcPr>
            <w:tcW w:w="518" w:type="pct"/>
            <w:tcBorders>
              <w:top w:val="nil"/>
              <w:left w:val="nil"/>
              <w:bottom w:val="single" w:sz="4" w:space="0" w:color="auto"/>
              <w:right w:val="single" w:sz="4" w:space="0" w:color="auto"/>
            </w:tcBorders>
            <w:shd w:val="clear" w:color="auto" w:fill="auto"/>
            <w:noWrap/>
            <w:vAlign w:val="center"/>
            <w:hideMark/>
          </w:tcPr>
          <w:p w14:paraId="723CC9D7" w14:textId="77777777" w:rsidR="00E3750C" w:rsidRPr="008C2A28" w:rsidRDefault="00E3750C" w:rsidP="00047864">
            <w:pPr>
              <w:spacing w:after="0" w:line="240" w:lineRule="auto"/>
              <w:jc w:val="right"/>
              <w:rPr>
                <w:rFonts w:ascii="Arial" w:hAnsi="Arial" w:cs="Arial"/>
                <w:color w:val="000000"/>
                <w:sz w:val="18"/>
                <w:szCs w:val="18"/>
              </w:rPr>
            </w:pPr>
            <w:r w:rsidRPr="008C2A28">
              <w:rPr>
                <w:rFonts w:ascii="Arial" w:hAnsi="Arial" w:cs="Arial"/>
                <w:color w:val="000000"/>
                <w:sz w:val="18"/>
                <w:szCs w:val="18"/>
              </w:rPr>
              <w:t>42,94 %</w:t>
            </w:r>
          </w:p>
        </w:tc>
      </w:tr>
      <w:tr w:rsidR="00E3750C" w:rsidRPr="008C2A28" w14:paraId="07F5525B" w14:textId="77777777" w:rsidTr="00047864">
        <w:trPr>
          <w:trHeight w:val="300"/>
        </w:trPr>
        <w:tc>
          <w:tcPr>
            <w:tcW w:w="709" w:type="pct"/>
            <w:vMerge/>
            <w:tcBorders>
              <w:top w:val="nil"/>
              <w:left w:val="single" w:sz="4" w:space="0" w:color="auto"/>
              <w:bottom w:val="single" w:sz="4" w:space="0" w:color="auto"/>
              <w:right w:val="single" w:sz="4" w:space="0" w:color="auto"/>
            </w:tcBorders>
            <w:vAlign w:val="center"/>
            <w:hideMark/>
          </w:tcPr>
          <w:p w14:paraId="3AC987E0" w14:textId="77777777" w:rsidR="00E3750C" w:rsidRPr="008C2A28" w:rsidRDefault="00E3750C" w:rsidP="00047864">
            <w:pPr>
              <w:spacing w:after="0" w:line="240" w:lineRule="auto"/>
              <w:outlineLvl w:val="0"/>
              <w:rPr>
                <w:rFonts w:ascii="Arial" w:eastAsia="Times New Roman" w:hAnsi="Arial" w:cs="Arial"/>
                <w:b/>
                <w:bCs/>
                <w:color w:val="000000"/>
                <w:sz w:val="18"/>
                <w:szCs w:val="18"/>
                <w:lang w:eastAsia="sl-SI"/>
              </w:rPr>
            </w:pPr>
          </w:p>
        </w:tc>
        <w:tc>
          <w:tcPr>
            <w:tcW w:w="2114" w:type="pct"/>
            <w:tcBorders>
              <w:top w:val="nil"/>
              <w:left w:val="nil"/>
              <w:bottom w:val="single" w:sz="4" w:space="0" w:color="auto"/>
              <w:right w:val="single" w:sz="4" w:space="0" w:color="auto"/>
            </w:tcBorders>
            <w:shd w:val="clear" w:color="auto" w:fill="auto"/>
            <w:vAlign w:val="center"/>
            <w:hideMark/>
          </w:tcPr>
          <w:p w14:paraId="606E7EAE" w14:textId="77777777" w:rsidR="00E3750C" w:rsidRPr="008C2A28" w:rsidRDefault="00E3750C" w:rsidP="00047864">
            <w:pPr>
              <w:spacing w:after="0" w:line="240" w:lineRule="auto"/>
              <w:rPr>
                <w:rFonts w:ascii="Arial" w:eastAsia="Times New Roman" w:hAnsi="Arial" w:cs="Arial"/>
                <w:b/>
                <w:bCs/>
                <w:color w:val="000000"/>
                <w:sz w:val="18"/>
                <w:szCs w:val="18"/>
                <w:lang w:eastAsia="sl-SI"/>
              </w:rPr>
            </w:pPr>
            <w:r w:rsidRPr="008C2A28">
              <w:rPr>
                <w:rFonts w:ascii="Arial" w:eastAsia="Times New Roman" w:hAnsi="Arial" w:cs="Arial"/>
                <w:b/>
                <w:bCs/>
                <w:color w:val="000000"/>
                <w:sz w:val="18"/>
                <w:szCs w:val="18"/>
                <w:lang w:eastAsia="sl-SI"/>
              </w:rPr>
              <w:t>Skupaj</w:t>
            </w:r>
          </w:p>
        </w:tc>
        <w:tc>
          <w:tcPr>
            <w:tcW w:w="366" w:type="pct"/>
            <w:tcBorders>
              <w:top w:val="nil"/>
              <w:left w:val="nil"/>
              <w:bottom w:val="single" w:sz="4" w:space="0" w:color="auto"/>
              <w:right w:val="single" w:sz="4" w:space="0" w:color="auto"/>
            </w:tcBorders>
            <w:shd w:val="clear" w:color="auto" w:fill="auto"/>
            <w:vAlign w:val="center"/>
            <w:hideMark/>
          </w:tcPr>
          <w:p w14:paraId="09FEBF0B" w14:textId="77777777" w:rsidR="00E3750C" w:rsidRPr="008C2A28" w:rsidRDefault="00E3750C" w:rsidP="00047864">
            <w:pPr>
              <w:spacing w:after="0" w:line="240" w:lineRule="auto"/>
              <w:jc w:val="right"/>
              <w:rPr>
                <w:rFonts w:ascii="Arial" w:eastAsia="Times New Roman" w:hAnsi="Arial" w:cs="Arial"/>
                <w:b/>
                <w:bCs/>
                <w:color w:val="000000"/>
                <w:sz w:val="18"/>
                <w:szCs w:val="18"/>
                <w:lang w:eastAsia="sl-SI"/>
              </w:rPr>
            </w:pPr>
            <w:r w:rsidRPr="008C2A28">
              <w:rPr>
                <w:rFonts w:ascii="Arial" w:hAnsi="Arial" w:cs="Arial"/>
                <w:b/>
                <w:bCs/>
                <w:color w:val="000000"/>
                <w:sz w:val="18"/>
                <w:szCs w:val="18"/>
              </w:rPr>
              <w:t>60</w:t>
            </w:r>
          </w:p>
        </w:tc>
        <w:tc>
          <w:tcPr>
            <w:tcW w:w="775" w:type="pct"/>
            <w:tcBorders>
              <w:top w:val="nil"/>
              <w:left w:val="nil"/>
              <w:bottom w:val="single" w:sz="4" w:space="0" w:color="auto"/>
              <w:right w:val="single" w:sz="4" w:space="0" w:color="auto"/>
            </w:tcBorders>
            <w:shd w:val="clear" w:color="auto" w:fill="auto"/>
            <w:vAlign w:val="center"/>
            <w:hideMark/>
          </w:tcPr>
          <w:p w14:paraId="0CF3B6B5" w14:textId="77777777" w:rsidR="00E3750C" w:rsidRPr="008C2A28" w:rsidRDefault="00E3750C" w:rsidP="00047864">
            <w:pPr>
              <w:spacing w:after="0" w:line="240" w:lineRule="auto"/>
              <w:jc w:val="right"/>
              <w:rPr>
                <w:rFonts w:ascii="Arial" w:eastAsia="Times New Roman" w:hAnsi="Arial" w:cs="Arial"/>
                <w:b/>
                <w:bCs/>
                <w:color w:val="000000"/>
                <w:sz w:val="18"/>
                <w:szCs w:val="18"/>
                <w:lang w:eastAsia="sl-SI"/>
              </w:rPr>
            </w:pPr>
            <w:r w:rsidRPr="008C2A28">
              <w:rPr>
                <w:rFonts w:ascii="Arial" w:hAnsi="Arial" w:cs="Arial"/>
                <w:b/>
                <w:bCs/>
                <w:sz w:val="18"/>
                <w:szCs w:val="18"/>
              </w:rPr>
              <w:t>13.849.038</w:t>
            </w:r>
          </w:p>
        </w:tc>
        <w:tc>
          <w:tcPr>
            <w:tcW w:w="518" w:type="pct"/>
            <w:tcBorders>
              <w:top w:val="nil"/>
              <w:left w:val="nil"/>
              <w:bottom w:val="single" w:sz="4" w:space="0" w:color="auto"/>
              <w:right w:val="single" w:sz="4" w:space="0" w:color="auto"/>
            </w:tcBorders>
            <w:shd w:val="clear" w:color="auto" w:fill="auto"/>
            <w:noWrap/>
            <w:vAlign w:val="center"/>
            <w:hideMark/>
          </w:tcPr>
          <w:p w14:paraId="7CB4E995" w14:textId="77777777" w:rsidR="00E3750C" w:rsidRPr="008C2A28" w:rsidRDefault="00E3750C" w:rsidP="00047864">
            <w:pPr>
              <w:spacing w:after="0" w:line="240" w:lineRule="auto"/>
              <w:jc w:val="right"/>
              <w:rPr>
                <w:rFonts w:ascii="Arial" w:eastAsia="Times New Roman" w:hAnsi="Arial" w:cs="Arial"/>
                <w:b/>
                <w:bCs/>
                <w:color w:val="000000"/>
                <w:sz w:val="18"/>
                <w:szCs w:val="18"/>
                <w:lang w:eastAsia="sl-SI"/>
              </w:rPr>
            </w:pPr>
            <w:r w:rsidRPr="008C2A28">
              <w:rPr>
                <w:rFonts w:ascii="Arial" w:eastAsia="Times New Roman" w:hAnsi="Arial" w:cs="Arial"/>
                <w:b/>
                <w:bCs/>
                <w:color w:val="000000"/>
                <w:sz w:val="18"/>
                <w:szCs w:val="18"/>
                <w:lang w:eastAsia="sl-SI"/>
              </w:rPr>
              <w:t>100,00 %</w:t>
            </w:r>
          </w:p>
        </w:tc>
        <w:tc>
          <w:tcPr>
            <w:tcW w:w="518" w:type="pct"/>
            <w:tcBorders>
              <w:top w:val="nil"/>
              <w:left w:val="nil"/>
              <w:bottom w:val="single" w:sz="4" w:space="0" w:color="auto"/>
              <w:right w:val="single" w:sz="4" w:space="0" w:color="auto"/>
            </w:tcBorders>
            <w:shd w:val="clear" w:color="auto" w:fill="auto"/>
            <w:noWrap/>
            <w:vAlign w:val="center"/>
            <w:hideMark/>
          </w:tcPr>
          <w:p w14:paraId="4372034C" w14:textId="77777777" w:rsidR="00E3750C" w:rsidRPr="008C2A28" w:rsidRDefault="00E3750C" w:rsidP="00047864">
            <w:pPr>
              <w:spacing w:after="0" w:line="240" w:lineRule="auto"/>
              <w:jc w:val="right"/>
              <w:rPr>
                <w:rFonts w:ascii="Arial" w:eastAsia="Times New Roman" w:hAnsi="Arial" w:cs="Arial"/>
                <w:b/>
                <w:bCs/>
                <w:color w:val="000000"/>
                <w:sz w:val="18"/>
                <w:szCs w:val="18"/>
                <w:lang w:eastAsia="sl-SI"/>
              </w:rPr>
            </w:pPr>
            <w:r w:rsidRPr="008C2A28">
              <w:rPr>
                <w:rFonts w:ascii="Arial" w:eastAsia="Times New Roman" w:hAnsi="Arial" w:cs="Arial"/>
                <w:b/>
                <w:bCs/>
                <w:color w:val="000000"/>
                <w:sz w:val="18"/>
                <w:szCs w:val="18"/>
                <w:lang w:eastAsia="sl-SI"/>
              </w:rPr>
              <w:t>100,00 %</w:t>
            </w:r>
          </w:p>
        </w:tc>
      </w:tr>
      <w:tr w:rsidR="00E3750C" w:rsidRPr="002A1BC5" w14:paraId="54DFB326" w14:textId="77777777" w:rsidTr="00047864">
        <w:trPr>
          <w:trHeight w:val="300"/>
        </w:trPr>
        <w:tc>
          <w:tcPr>
            <w:tcW w:w="282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651511" w14:textId="77777777" w:rsidR="00E3750C" w:rsidRPr="008C2A28" w:rsidRDefault="00E3750C" w:rsidP="00047864">
            <w:pPr>
              <w:spacing w:after="0" w:line="240" w:lineRule="auto"/>
              <w:rPr>
                <w:rFonts w:ascii="Arial" w:eastAsia="Times New Roman" w:hAnsi="Arial" w:cs="Arial"/>
                <w:b/>
                <w:bCs/>
                <w:color w:val="000000"/>
                <w:sz w:val="18"/>
                <w:szCs w:val="18"/>
                <w:lang w:eastAsia="sl-SI"/>
              </w:rPr>
            </w:pPr>
            <w:r w:rsidRPr="008C2A28">
              <w:rPr>
                <w:rFonts w:ascii="Arial" w:eastAsia="Times New Roman" w:hAnsi="Arial" w:cs="Arial"/>
                <w:b/>
                <w:bCs/>
                <w:color w:val="000000"/>
                <w:sz w:val="18"/>
                <w:szCs w:val="18"/>
                <w:lang w:eastAsia="sl-SI"/>
              </w:rPr>
              <w:t>Skupaj</w:t>
            </w:r>
          </w:p>
        </w:tc>
        <w:tc>
          <w:tcPr>
            <w:tcW w:w="366" w:type="pct"/>
            <w:tcBorders>
              <w:top w:val="nil"/>
              <w:left w:val="nil"/>
              <w:bottom w:val="single" w:sz="4" w:space="0" w:color="auto"/>
              <w:right w:val="single" w:sz="4" w:space="0" w:color="auto"/>
            </w:tcBorders>
            <w:shd w:val="clear" w:color="auto" w:fill="F2F2F2" w:themeFill="background1" w:themeFillShade="F2"/>
            <w:vAlign w:val="center"/>
            <w:hideMark/>
          </w:tcPr>
          <w:p w14:paraId="65E62D3A" w14:textId="77777777" w:rsidR="00E3750C" w:rsidRPr="008C2A28" w:rsidRDefault="00E3750C" w:rsidP="00047864">
            <w:pPr>
              <w:spacing w:after="0" w:line="240" w:lineRule="auto"/>
              <w:jc w:val="right"/>
              <w:rPr>
                <w:rFonts w:ascii="Arial" w:eastAsia="Times New Roman" w:hAnsi="Arial" w:cs="Arial"/>
                <w:b/>
                <w:bCs/>
                <w:color w:val="000000"/>
                <w:sz w:val="18"/>
                <w:szCs w:val="18"/>
                <w:lang w:eastAsia="sl-SI"/>
              </w:rPr>
            </w:pPr>
            <w:r w:rsidRPr="008C2A28">
              <w:rPr>
                <w:rFonts w:ascii="Arial" w:hAnsi="Arial" w:cs="Arial"/>
                <w:b/>
                <w:bCs/>
                <w:color w:val="000000"/>
                <w:sz w:val="18"/>
                <w:szCs w:val="18"/>
              </w:rPr>
              <w:t>6.935</w:t>
            </w:r>
          </w:p>
        </w:tc>
        <w:tc>
          <w:tcPr>
            <w:tcW w:w="775" w:type="pct"/>
            <w:tcBorders>
              <w:top w:val="nil"/>
              <w:left w:val="nil"/>
              <w:bottom w:val="single" w:sz="4" w:space="0" w:color="auto"/>
              <w:right w:val="single" w:sz="4" w:space="0" w:color="auto"/>
            </w:tcBorders>
            <w:shd w:val="clear" w:color="auto" w:fill="F2F2F2" w:themeFill="background1" w:themeFillShade="F2"/>
            <w:vAlign w:val="center"/>
            <w:hideMark/>
          </w:tcPr>
          <w:p w14:paraId="4A61F42B" w14:textId="77777777" w:rsidR="00E3750C" w:rsidRPr="008C2A28" w:rsidRDefault="00E3750C" w:rsidP="00047864">
            <w:pPr>
              <w:spacing w:after="0" w:line="240" w:lineRule="auto"/>
              <w:jc w:val="right"/>
              <w:rPr>
                <w:rFonts w:ascii="Arial" w:eastAsia="Times New Roman" w:hAnsi="Arial" w:cs="Arial"/>
                <w:b/>
                <w:bCs/>
                <w:color w:val="000000"/>
                <w:sz w:val="18"/>
                <w:szCs w:val="18"/>
                <w:lang w:eastAsia="sl-SI"/>
              </w:rPr>
            </w:pPr>
            <w:r w:rsidRPr="008C2A28">
              <w:rPr>
                <w:rFonts w:ascii="Arial" w:hAnsi="Arial" w:cs="Arial"/>
                <w:b/>
                <w:bCs/>
                <w:sz w:val="18"/>
                <w:szCs w:val="18"/>
              </w:rPr>
              <w:t>1.238.384.243</w:t>
            </w:r>
          </w:p>
        </w:tc>
        <w:tc>
          <w:tcPr>
            <w:tcW w:w="518" w:type="pct"/>
            <w:tcBorders>
              <w:top w:val="nil"/>
              <w:left w:val="nil"/>
              <w:bottom w:val="nil"/>
              <w:right w:val="nil"/>
            </w:tcBorders>
            <w:shd w:val="clear" w:color="auto" w:fill="auto"/>
            <w:noWrap/>
            <w:vAlign w:val="center"/>
            <w:hideMark/>
          </w:tcPr>
          <w:p w14:paraId="2AE0F741"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p>
        </w:tc>
        <w:tc>
          <w:tcPr>
            <w:tcW w:w="518" w:type="pct"/>
            <w:tcBorders>
              <w:top w:val="nil"/>
              <w:left w:val="nil"/>
              <w:bottom w:val="nil"/>
              <w:right w:val="nil"/>
            </w:tcBorders>
            <w:shd w:val="clear" w:color="auto" w:fill="auto"/>
            <w:noWrap/>
            <w:vAlign w:val="center"/>
            <w:hideMark/>
          </w:tcPr>
          <w:p w14:paraId="137A4618" w14:textId="77777777" w:rsidR="00E3750C" w:rsidRPr="008C2A28" w:rsidRDefault="00E3750C" w:rsidP="00047864">
            <w:pPr>
              <w:spacing w:after="0" w:line="240" w:lineRule="auto"/>
              <w:jc w:val="right"/>
              <w:rPr>
                <w:rFonts w:ascii="Arial" w:eastAsia="Times New Roman" w:hAnsi="Arial" w:cs="Arial"/>
                <w:color w:val="000000"/>
                <w:sz w:val="18"/>
                <w:szCs w:val="18"/>
                <w:lang w:eastAsia="sl-SI"/>
              </w:rPr>
            </w:pPr>
          </w:p>
        </w:tc>
      </w:tr>
    </w:tbl>
    <w:p w14:paraId="24E8ADFF" w14:textId="77777777" w:rsidR="00E3750C" w:rsidRPr="00BF7302" w:rsidRDefault="00E3750C" w:rsidP="00E3750C">
      <w:pPr>
        <w:spacing w:after="0" w:line="240" w:lineRule="auto"/>
        <w:jc w:val="both"/>
        <w:rPr>
          <w:rFonts w:ascii="Arial" w:hAnsi="Arial" w:cs="Arial"/>
          <w:sz w:val="20"/>
          <w:highlight w:val="yellow"/>
        </w:rPr>
      </w:pPr>
    </w:p>
    <w:p w14:paraId="0D67C66A" w14:textId="77777777" w:rsidR="00E3750C" w:rsidRPr="0049351F" w:rsidRDefault="00E3750C" w:rsidP="00E3750C">
      <w:pPr>
        <w:spacing w:before="120" w:after="0" w:line="240" w:lineRule="auto"/>
        <w:jc w:val="both"/>
        <w:rPr>
          <w:rFonts w:ascii="Arial" w:hAnsi="Arial" w:cs="Arial"/>
          <w:sz w:val="20"/>
        </w:rPr>
      </w:pPr>
      <w:r w:rsidRPr="0049351F">
        <w:rPr>
          <w:rFonts w:ascii="Arial" w:hAnsi="Arial" w:cs="Arial"/>
          <w:sz w:val="20"/>
        </w:rPr>
        <w:t>Preglednica 6</w:t>
      </w:r>
      <w:r>
        <w:rPr>
          <w:rFonts w:ascii="Arial" w:hAnsi="Arial" w:cs="Arial"/>
          <w:sz w:val="20"/>
        </w:rPr>
        <w:t>5</w:t>
      </w:r>
      <w:r w:rsidRPr="0049351F">
        <w:rPr>
          <w:rFonts w:ascii="Arial" w:hAnsi="Arial" w:cs="Arial"/>
          <w:sz w:val="20"/>
        </w:rPr>
        <w:t>: Naročila, objavljena na portalu javnih naročil in v Uradnem listu Evropske unije glede na področje in predmet naročanja</w:t>
      </w:r>
    </w:p>
    <w:p w14:paraId="61337B84" w14:textId="77777777" w:rsidR="00E3750C" w:rsidRPr="00BF7302" w:rsidRDefault="00E3750C" w:rsidP="00E3750C">
      <w:pPr>
        <w:spacing w:after="0" w:line="240" w:lineRule="auto"/>
        <w:jc w:val="both"/>
        <w:rPr>
          <w:rFonts w:ascii="Arial" w:hAnsi="Arial" w:cs="Arial"/>
          <w:sz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6"/>
        <w:gridCol w:w="1560"/>
        <w:gridCol w:w="1560"/>
        <w:gridCol w:w="2029"/>
        <w:gridCol w:w="1094"/>
        <w:gridCol w:w="1095"/>
      </w:tblGrid>
      <w:tr w:rsidR="00E3750C" w:rsidRPr="0049351F" w14:paraId="70F970C4" w14:textId="77777777" w:rsidTr="00047864">
        <w:trPr>
          <w:trHeight w:val="720"/>
          <w:tblHeader/>
        </w:trPr>
        <w:tc>
          <w:tcPr>
            <w:tcW w:w="1001" w:type="pct"/>
            <w:shd w:val="clear" w:color="000000" w:fill="F2F2F2"/>
            <w:vAlign w:val="center"/>
            <w:hideMark/>
          </w:tcPr>
          <w:p w14:paraId="0F165AD6" w14:textId="77777777" w:rsidR="00E3750C" w:rsidRPr="0049351F" w:rsidRDefault="00E3750C" w:rsidP="00047864">
            <w:pPr>
              <w:spacing w:after="0" w:line="240" w:lineRule="auto"/>
              <w:jc w:val="center"/>
              <w:rPr>
                <w:rFonts w:ascii="Arial" w:eastAsia="Times New Roman" w:hAnsi="Arial" w:cs="Arial"/>
                <w:color w:val="000000"/>
                <w:sz w:val="18"/>
                <w:szCs w:val="18"/>
                <w:lang w:eastAsia="sl-SI"/>
              </w:rPr>
            </w:pPr>
            <w:r w:rsidRPr="0049351F">
              <w:rPr>
                <w:rFonts w:ascii="Arial" w:eastAsia="Times New Roman" w:hAnsi="Arial" w:cs="Arial"/>
                <w:color w:val="000000"/>
                <w:sz w:val="18"/>
                <w:szCs w:val="18"/>
                <w:lang w:eastAsia="sl-SI"/>
              </w:rPr>
              <w:t>Področje</w:t>
            </w:r>
          </w:p>
        </w:tc>
        <w:tc>
          <w:tcPr>
            <w:tcW w:w="850" w:type="pct"/>
            <w:shd w:val="clear" w:color="000000" w:fill="F2F2F2"/>
            <w:vAlign w:val="center"/>
            <w:hideMark/>
          </w:tcPr>
          <w:p w14:paraId="67A77C16" w14:textId="77777777" w:rsidR="00E3750C" w:rsidRPr="0049351F" w:rsidRDefault="00E3750C" w:rsidP="00047864">
            <w:pPr>
              <w:spacing w:after="0" w:line="240" w:lineRule="auto"/>
              <w:jc w:val="center"/>
              <w:rPr>
                <w:rFonts w:ascii="Arial" w:eastAsia="Times New Roman" w:hAnsi="Arial" w:cs="Arial"/>
                <w:color w:val="000000"/>
                <w:sz w:val="18"/>
                <w:szCs w:val="18"/>
                <w:lang w:eastAsia="sl-SI"/>
              </w:rPr>
            </w:pPr>
            <w:r w:rsidRPr="0049351F">
              <w:rPr>
                <w:rFonts w:ascii="Arial" w:eastAsia="Times New Roman" w:hAnsi="Arial" w:cs="Arial"/>
                <w:color w:val="000000"/>
                <w:sz w:val="18"/>
                <w:szCs w:val="18"/>
                <w:lang w:eastAsia="sl-SI"/>
              </w:rPr>
              <w:t xml:space="preserve">Predmet </w:t>
            </w:r>
          </w:p>
        </w:tc>
        <w:tc>
          <w:tcPr>
            <w:tcW w:w="850" w:type="pct"/>
            <w:shd w:val="clear" w:color="000000" w:fill="F2F2F2"/>
            <w:vAlign w:val="center"/>
            <w:hideMark/>
          </w:tcPr>
          <w:p w14:paraId="1F50489D" w14:textId="77777777" w:rsidR="00E3750C" w:rsidRPr="0049351F" w:rsidRDefault="00E3750C" w:rsidP="00047864">
            <w:pPr>
              <w:spacing w:after="0" w:line="240" w:lineRule="auto"/>
              <w:jc w:val="center"/>
              <w:rPr>
                <w:rFonts w:ascii="Arial" w:eastAsia="Times New Roman" w:hAnsi="Arial" w:cs="Arial"/>
                <w:color w:val="000000"/>
                <w:sz w:val="18"/>
                <w:szCs w:val="18"/>
                <w:lang w:eastAsia="sl-SI"/>
              </w:rPr>
            </w:pPr>
            <w:r w:rsidRPr="0049351F">
              <w:rPr>
                <w:rFonts w:ascii="Arial" w:eastAsia="Times New Roman" w:hAnsi="Arial" w:cs="Arial"/>
                <w:color w:val="000000"/>
                <w:sz w:val="18"/>
                <w:szCs w:val="18"/>
                <w:lang w:eastAsia="sl-SI"/>
              </w:rPr>
              <w:t>Št. naročil</w:t>
            </w:r>
          </w:p>
        </w:tc>
        <w:tc>
          <w:tcPr>
            <w:tcW w:w="1106" w:type="pct"/>
            <w:shd w:val="clear" w:color="000000" w:fill="F2F2F2"/>
            <w:vAlign w:val="center"/>
            <w:hideMark/>
          </w:tcPr>
          <w:p w14:paraId="65FE62BC" w14:textId="77777777" w:rsidR="00E3750C" w:rsidRPr="0049351F" w:rsidRDefault="00E3750C" w:rsidP="00047864">
            <w:pPr>
              <w:spacing w:after="0" w:line="240" w:lineRule="auto"/>
              <w:jc w:val="center"/>
              <w:rPr>
                <w:rFonts w:ascii="Arial" w:eastAsia="Times New Roman" w:hAnsi="Arial" w:cs="Arial"/>
                <w:color w:val="000000"/>
                <w:sz w:val="18"/>
                <w:szCs w:val="18"/>
                <w:lang w:eastAsia="sl-SI"/>
              </w:rPr>
            </w:pPr>
            <w:r w:rsidRPr="0049351F">
              <w:rPr>
                <w:rFonts w:ascii="Arial" w:eastAsia="Times New Roman" w:hAnsi="Arial" w:cs="Arial"/>
                <w:color w:val="000000"/>
                <w:sz w:val="18"/>
                <w:szCs w:val="18"/>
                <w:lang w:eastAsia="sl-SI"/>
              </w:rPr>
              <w:t>Pogodbena vrednost</w:t>
            </w:r>
          </w:p>
        </w:tc>
        <w:tc>
          <w:tcPr>
            <w:tcW w:w="596" w:type="pct"/>
            <w:shd w:val="clear" w:color="000000" w:fill="F2F2F2"/>
            <w:vAlign w:val="center"/>
            <w:hideMark/>
          </w:tcPr>
          <w:p w14:paraId="6B1EACDF" w14:textId="77777777" w:rsidR="00E3750C" w:rsidRPr="0049351F" w:rsidRDefault="00E3750C" w:rsidP="00047864">
            <w:pPr>
              <w:spacing w:after="0" w:line="240" w:lineRule="auto"/>
              <w:jc w:val="center"/>
              <w:rPr>
                <w:rFonts w:ascii="Arial" w:eastAsia="Times New Roman" w:hAnsi="Arial" w:cs="Arial"/>
                <w:color w:val="000000"/>
                <w:sz w:val="18"/>
                <w:szCs w:val="18"/>
                <w:lang w:eastAsia="sl-SI"/>
              </w:rPr>
            </w:pPr>
            <w:r w:rsidRPr="0049351F">
              <w:rPr>
                <w:rFonts w:ascii="Arial" w:eastAsia="Times New Roman" w:hAnsi="Arial" w:cs="Arial"/>
                <w:color w:val="000000"/>
                <w:sz w:val="18"/>
                <w:szCs w:val="18"/>
                <w:lang w:eastAsia="sl-SI"/>
              </w:rPr>
              <w:t>Delež v št. naročil</w:t>
            </w:r>
          </w:p>
        </w:tc>
        <w:tc>
          <w:tcPr>
            <w:tcW w:w="596" w:type="pct"/>
            <w:shd w:val="clear" w:color="000000" w:fill="F2F2F2"/>
            <w:vAlign w:val="center"/>
            <w:hideMark/>
          </w:tcPr>
          <w:p w14:paraId="12DADA68" w14:textId="77777777" w:rsidR="00E3750C" w:rsidRPr="0049351F" w:rsidRDefault="00E3750C" w:rsidP="00047864">
            <w:pPr>
              <w:spacing w:after="0" w:line="240" w:lineRule="auto"/>
              <w:jc w:val="center"/>
              <w:rPr>
                <w:rFonts w:ascii="Arial" w:eastAsia="Times New Roman" w:hAnsi="Arial" w:cs="Arial"/>
                <w:color w:val="000000"/>
                <w:sz w:val="18"/>
                <w:szCs w:val="18"/>
                <w:lang w:eastAsia="sl-SI"/>
              </w:rPr>
            </w:pPr>
            <w:r w:rsidRPr="0049351F">
              <w:rPr>
                <w:rFonts w:ascii="Arial" w:eastAsia="Times New Roman" w:hAnsi="Arial" w:cs="Arial"/>
                <w:color w:val="000000"/>
                <w:sz w:val="18"/>
                <w:szCs w:val="18"/>
                <w:lang w:eastAsia="sl-SI"/>
              </w:rPr>
              <w:t>Delež  vrednosti naročil</w:t>
            </w:r>
          </w:p>
        </w:tc>
      </w:tr>
      <w:tr w:rsidR="00E3750C" w:rsidRPr="0049351F" w14:paraId="52AA9C66" w14:textId="77777777" w:rsidTr="00047864">
        <w:trPr>
          <w:trHeight w:val="300"/>
        </w:trPr>
        <w:tc>
          <w:tcPr>
            <w:tcW w:w="1001" w:type="pct"/>
            <w:vMerge w:val="restart"/>
            <w:shd w:val="clear" w:color="auto" w:fill="auto"/>
            <w:vAlign w:val="center"/>
            <w:hideMark/>
          </w:tcPr>
          <w:p w14:paraId="2C67F6C1" w14:textId="77777777" w:rsidR="00E3750C" w:rsidRPr="0049351F" w:rsidRDefault="00E3750C" w:rsidP="00047864">
            <w:pPr>
              <w:spacing w:after="0" w:line="240" w:lineRule="auto"/>
              <w:rPr>
                <w:rFonts w:ascii="Arial" w:eastAsia="Times New Roman" w:hAnsi="Arial" w:cs="Arial"/>
                <w:color w:val="000000"/>
                <w:sz w:val="18"/>
                <w:szCs w:val="18"/>
                <w:lang w:eastAsia="sl-SI"/>
              </w:rPr>
            </w:pPr>
            <w:r w:rsidRPr="0049351F">
              <w:rPr>
                <w:rFonts w:ascii="Arial" w:eastAsia="Times New Roman" w:hAnsi="Arial" w:cs="Arial"/>
                <w:color w:val="000000"/>
                <w:sz w:val="18"/>
                <w:szCs w:val="18"/>
                <w:lang w:eastAsia="sl-SI"/>
              </w:rPr>
              <w:t>Splošno</w:t>
            </w:r>
          </w:p>
        </w:tc>
        <w:tc>
          <w:tcPr>
            <w:tcW w:w="850" w:type="pct"/>
            <w:shd w:val="clear" w:color="auto" w:fill="auto"/>
            <w:vAlign w:val="center"/>
            <w:hideMark/>
          </w:tcPr>
          <w:p w14:paraId="2B722527" w14:textId="77777777" w:rsidR="00E3750C" w:rsidRPr="0049351F" w:rsidRDefault="00E3750C" w:rsidP="00047864">
            <w:pPr>
              <w:spacing w:after="0" w:line="240" w:lineRule="auto"/>
              <w:rPr>
                <w:rFonts w:ascii="Arial" w:eastAsia="Times New Roman" w:hAnsi="Arial" w:cs="Arial"/>
                <w:color w:val="000000"/>
                <w:sz w:val="18"/>
                <w:szCs w:val="18"/>
                <w:lang w:eastAsia="sl-SI"/>
              </w:rPr>
            </w:pPr>
            <w:r w:rsidRPr="0049351F">
              <w:rPr>
                <w:rFonts w:ascii="Arial" w:eastAsia="Times New Roman" w:hAnsi="Arial" w:cs="Arial"/>
                <w:color w:val="000000"/>
                <w:sz w:val="18"/>
                <w:szCs w:val="18"/>
                <w:lang w:eastAsia="sl-SI"/>
              </w:rPr>
              <w:t>Blago</w:t>
            </w:r>
          </w:p>
        </w:tc>
        <w:tc>
          <w:tcPr>
            <w:tcW w:w="850" w:type="pct"/>
            <w:shd w:val="clear" w:color="auto" w:fill="auto"/>
            <w:vAlign w:val="center"/>
            <w:hideMark/>
          </w:tcPr>
          <w:p w14:paraId="5508173E" w14:textId="77777777" w:rsidR="00E3750C" w:rsidRPr="0049351F" w:rsidRDefault="00E3750C" w:rsidP="00047864">
            <w:pPr>
              <w:spacing w:after="0" w:line="240" w:lineRule="auto"/>
              <w:jc w:val="right"/>
              <w:rPr>
                <w:rFonts w:ascii="Arial" w:eastAsia="Times New Roman" w:hAnsi="Arial" w:cs="Arial"/>
                <w:color w:val="000000"/>
                <w:sz w:val="18"/>
                <w:szCs w:val="18"/>
                <w:lang w:eastAsia="sl-SI"/>
              </w:rPr>
            </w:pPr>
            <w:r w:rsidRPr="0049351F">
              <w:rPr>
                <w:rFonts w:ascii="Arial" w:hAnsi="Arial" w:cs="Arial"/>
                <w:color w:val="000000"/>
                <w:sz w:val="18"/>
                <w:szCs w:val="18"/>
              </w:rPr>
              <w:t>7.734</w:t>
            </w:r>
          </w:p>
        </w:tc>
        <w:tc>
          <w:tcPr>
            <w:tcW w:w="1106" w:type="pct"/>
            <w:shd w:val="clear" w:color="auto" w:fill="auto"/>
            <w:vAlign w:val="center"/>
            <w:hideMark/>
          </w:tcPr>
          <w:p w14:paraId="327089B4" w14:textId="77777777" w:rsidR="00E3750C" w:rsidRPr="0049351F" w:rsidRDefault="00E3750C" w:rsidP="00047864">
            <w:pPr>
              <w:spacing w:after="0" w:line="240" w:lineRule="auto"/>
              <w:jc w:val="right"/>
              <w:rPr>
                <w:rFonts w:ascii="Arial" w:eastAsia="Times New Roman" w:hAnsi="Arial" w:cs="Arial"/>
                <w:color w:val="000000"/>
                <w:sz w:val="18"/>
                <w:szCs w:val="18"/>
                <w:lang w:eastAsia="sl-SI"/>
              </w:rPr>
            </w:pPr>
            <w:r w:rsidRPr="0049351F">
              <w:rPr>
                <w:rFonts w:ascii="Arial" w:hAnsi="Arial" w:cs="Arial"/>
                <w:color w:val="000000"/>
                <w:sz w:val="18"/>
                <w:szCs w:val="18"/>
              </w:rPr>
              <w:t>1.313.806.311</w:t>
            </w:r>
          </w:p>
        </w:tc>
        <w:tc>
          <w:tcPr>
            <w:tcW w:w="596" w:type="pct"/>
            <w:shd w:val="clear" w:color="auto" w:fill="auto"/>
            <w:noWrap/>
            <w:vAlign w:val="center"/>
            <w:hideMark/>
          </w:tcPr>
          <w:p w14:paraId="225F929D" w14:textId="77777777" w:rsidR="00E3750C" w:rsidRPr="0049351F" w:rsidRDefault="00E3750C" w:rsidP="00047864">
            <w:pPr>
              <w:spacing w:after="0" w:line="240" w:lineRule="auto"/>
              <w:jc w:val="right"/>
              <w:rPr>
                <w:rFonts w:ascii="Arial" w:eastAsia="Times New Roman" w:hAnsi="Arial" w:cs="Arial"/>
                <w:color w:val="000000"/>
                <w:sz w:val="18"/>
                <w:szCs w:val="18"/>
                <w:lang w:eastAsia="sl-SI"/>
              </w:rPr>
            </w:pPr>
            <w:r w:rsidRPr="0049351F">
              <w:rPr>
                <w:rFonts w:ascii="Arial" w:hAnsi="Arial" w:cs="Arial"/>
                <w:sz w:val="18"/>
                <w:szCs w:val="18"/>
              </w:rPr>
              <w:t>80,00 %</w:t>
            </w:r>
          </w:p>
        </w:tc>
        <w:tc>
          <w:tcPr>
            <w:tcW w:w="596" w:type="pct"/>
            <w:shd w:val="clear" w:color="auto" w:fill="auto"/>
            <w:noWrap/>
            <w:vAlign w:val="center"/>
            <w:hideMark/>
          </w:tcPr>
          <w:p w14:paraId="47884ACE" w14:textId="77777777" w:rsidR="00E3750C" w:rsidRPr="0049351F" w:rsidRDefault="00E3750C" w:rsidP="00047864">
            <w:pPr>
              <w:spacing w:after="0" w:line="240" w:lineRule="auto"/>
              <w:jc w:val="right"/>
              <w:rPr>
                <w:rFonts w:ascii="Arial" w:eastAsia="Times New Roman" w:hAnsi="Arial" w:cs="Arial"/>
                <w:color w:val="000000"/>
                <w:sz w:val="18"/>
                <w:szCs w:val="18"/>
                <w:lang w:eastAsia="sl-SI"/>
              </w:rPr>
            </w:pPr>
            <w:r w:rsidRPr="0049351F">
              <w:rPr>
                <w:rFonts w:ascii="Arial" w:hAnsi="Arial" w:cs="Arial"/>
                <w:sz w:val="18"/>
                <w:szCs w:val="18"/>
              </w:rPr>
              <w:t>38,10 %</w:t>
            </w:r>
          </w:p>
        </w:tc>
      </w:tr>
      <w:tr w:rsidR="00E3750C" w:rsidRPr="0049351F" w14:paraId="1192C9D5" w14:textId="77777777" w:rsidTr="00047864">
        <w:trPr>
          <w:trHeight w:val="300"/>
        </w:trPr>
        <w:tc>
          <w:tcPr>
            <w:tcW w:w="1001" w:type="pct"/>
            <w:vMerge/>
            <w:vAlign w:val="center"/>
            <w:hideMark/>
          </w:tcPr>
          <w:p w14:paraId="763ECD8B" w14:textId="77777777" w:rsidR="00E3750C" w:rsidRPr="0049351F" w:rsidRDefault="00E3750C" w:rsidP="00047864">
            <w:pPr>
              <w:spacing w:after="0" w:line="240" w:lineRule="auto"/>
              <w:rPr>
                <w:rFonts w:ascii="Arial" w:eastAsia="Times New Roman" w:hAnsi="Arial" w:cs="Arial"/>
                <w:color w:val="000000"/>
                <w:sz w:val="18"/>
                <w:szCs w:val="18"/>
                <w:lang w:eastAsia="sl-SI"/>
              </w:rPr>
            </w:pPr>
          </w:p>
        </w:tc>
        <w:tc>
          <w:tcPr>
            <w:tcW w:w="850" w:type="pct"/>
            <w:shd w:val="clear" w:color="auto" w:fill="auto"/>
            <w:vAlign w:val="center"/>
            <w:hideMark/>
          </w:tcPr>
          <w:p w14:paraId="62603B30" w14:textId="77777777" w:rsidR="00E3750C" w:rsidRPr="0049351F" w:rsidRDefault="00E3750C" w:rsidP="00047864">
            <w:pPr>
              <w:spacing w:after="0" w:line="240" w:lineRule="auto"/>
              <w:rPr>
                <w:rFonts w:ascii="Arial" w:eastAsia="Times New Roman" w:hAnsi="Arial" w:cs="Arial"/>
                <w:color w:val="000000"/>
                <w:sz w:val="18"/>
                <w:szCs w:val="18"/>
                <w:lang w:eastAsia="sl-SI"/>
              </w:rPr>
            </w:pPr>
            <w:r w:rsidRPr="0049351F">
              <w:rPr>
                <w:rFonts w:ascii="Arial" w:eastAsia="Times New Roman" w:hAnsi="Arial" w:cs="Arial"/>
                <w:color w:val="000000"/>
                <w:sz w:val="18"/>
                <w:szCs w:val="18"/>
                <w:lang w:eastAsia="sl-SI"/>
              </w:rPr>
              <w:t>Storitve</w:t>
            </w:r>
          </w:p>
        </w:tc>
        <w:tc>
          <w:tcPr>
            <w:tcW w:w="850" w:type="pct"/>
            <w:shd w:val="clear" w:color="auto" w:fill="auto"/>
            <w:vAlign w:val="center"/>
            <w:hideMark/>
          </w:tcPr>
          <w:p w14:paraId="20CB9DA5" w14:textId="77777777" w:rsidR="00E3750C" w:rsidRPr="0049351F" w:rsidRDefault="00E3750C" w:rsidP="00047864">
            <w:pPr>
              <w:spacing w:after="0" w:line="240" w:lineRule="auto"/>
              <w:jc w:val="right"/>
              <w:rPr>
                <w:rFonts w:ascii="Arial" w:eastAsia="Times New Roman" w:hAnsi="Arial" w:cs="Arial"/>
                <w:color w:val="000000"/>
                <w:sz w:val="18"/>
                <w:szCs w:val="18"/>
                <w:lang w:eastAsia="sl-SI"/>
              </w:rPr>
            </w:pPr>
            <w:r w:rsidRPr="0049351F">
              <w:rPr>
                <w:rFonts w:ascii="Arial" w:hAnsi="Arial" w:cs="Arial"/>
                <w:color w:val="000000"/>
                <w:sz w:val="18"/>
                <w:szCs w:val="18"/>
              </w:rPr>
              <w:t>1.802</w:t>
            </w:r>
          </w:p>
        </w:tc>
        <w:tc>
          <w:tcPr>
            <w:tcW w:w="1106" w:type="pct"/>
            <w:shd w:val="clear" w:color="auto" w:fill="auto"/>
            <w:vAlign w:val="center"/>
            <w:hideMark/>
          </w:tcPr>
          <w:p w14:paraId="3E6B8A6C" w14:textId="77777777" w:rsidR="00E3750C" w:rsidRPr="0049351F" w:rsidRDefault="00E3750C" w:rsidP="00047864">
            <w:pPr>
              <w:spacing w:after="0" w:line="240" w:lineRule="auto"/>
              <w:jc w:val="right"/>
              <w:rPr>
                <w:rFonts w:ascii="Arial" w:eastAsia="Times New Roman" w:hAnsi="Arial" w:cs="Arial"/>
                <w:color w:val="000000"/>
                <w:sz w:val="18"/>
                <w:szCs w:val="18"/>
                <w:lang w:eastAsia="sl-SI"/>
              </w:rPr>
            </w:pPr>
            <w:r w:rsidRPr="0049351F">
              <w:rPr>
                <w:rFonts w:ascii="Arial" w:hAnsi="Arial" w:cs="Arial"/>
                <w:color w:val="000000"/>
                <w:sz w:val="18"/>
                <w:szCs w:val="18"/>
              </w:rPr>
              <w:t>1.239.343.029</w:t>
            </w:r>
          </w:p>
        </w:tc>
        <w:tc>
          <w:tcPr>
            <w:tcW w:w="596" w:type="pct"/>
            <w:shd w:val="clear" w:color="auto" w:fill="auto"/>
            <w:noWrap/>
            <w:vAlign w:val="center"/>
            <w:hideMark/>
          </w:tcPr>
          <w:p w14:paraId="3EAA3603" w14:textId="77777777" w:rsidR="00E3750C" w:rsidRPr="0049351F" w:rsidRDefault="00E3750C" w:rsidP="00047864">
            <w:pPr>
              <w:spacing w:after="0" w:line="240" w:lineRule="auto"/>
              <w:jc w:val="right"/>
              <w:rPr>
                <w:rFonts w:ascii="Arial" w:eastAsia="Times New Roman" w:hAnsi="Arial" w:cs="Arial"/>
                <w:color w:val="000000"/>
                <w:sz w:val="18"/>
                <w:szCs w:val="18"/>
                <w:lang w:eastAsia="sl-SI"/>
              </w:rPr>
            </w:pPr>
            <w:r w:rsidRPr="0049351F">
              <w:rPr>
                <w:rFonts w:ascii="Arial" w:hAnsi="Arial" w:cs="Arial"/>
                <w:sz w:val="18"/>
                <w:szCs w:val="18"/>
              </w:rPr>
              <w:t>18,64 %</w:t>
            </w:r>
          </w:p>
        </w:tc>
        <w:tc>
          <w:tcPr>
            <w:tcW w:w="596" w:type="pct"/>
            <w:shd w:val="clear" w:color="auto" w:fill="auto"/>
            <w:noWrap/>
            <w:vAlign w:val="center"/>
            <w:hideMark/>
          </w:tcPr>
          <w:p w14:paraId="22E6F6B2" w14:textId="77777777" w:rsidR="00E3750C" w:rsidRPr="0049351F" w:rsidRDefault="00E3750C" w:rsidP="00047864">
            <w:pPr>
              <w:spacing w:after="0" w:line="240" w:lineRule="auto"/>
              <w:jc w:val="right"/>
              <w:rPr>
                <w:rFonts w:ascii="Arial" w:eastAsia="Times New Roman" w:hAnsi="Arial" w:cs="Arial"/>
                <w:color w:val="000000"/>
                <w:sz w:val="18"/>
                <w:szCs w:val="18"/>
                <w:lang w:eastAsia="sl-SI"/>
              </w:rPr>
            </w:pPr>
            <w:r w:rsidRPr="0049351F">
              <w:rPr>
                <w:rFonts w:ascii="Arial" w:hAnsi="Arial" w:cs="Arial"/>
                <w:sz w:val="18"/>
                <w:szCs w:val="18"/>
              </w:rPr>
              <w:t>35,94 %</w:t>
            </w:r>
          </w:p>
        </w:tc>
      </w:tr>
      <w:tr w:rsidR="00E3750C" w:rsidRPr="0049351F" w14:paraId="2734425D" w14:textId="77777777" w:rsidTr="00047864">
        <w:trPr>
          <w:trHeight w:val="300"/>
        </w:trPr>
        <w:tc>
          <w:tcPr>
            <w:tcW w:w="1001" w:type="pct"/>
            <w:vMerge/>
            <w:vAlign w:val="center"/>
            <w:hideMark/>
          </w:tcPr>
          <w:p w14:paraId="4755A893" w14:textId="77777777" w:rsidR="00E3750C" w:rsidRPr="0049351F" w:rsidRDefault="00E3750C" w:rsidP="00047864">
            <w:pPr>
              <w:spacing w:after="0" w:line="240" w:lineRule="auto"/>
              <w:rPr>
                <w:rFonts w:ascii="Arial" w:eastAsia="Times New Roman" w:hAnsi="Arial" w:cs="Arial"/>
                <w:color w:val="000000"/>
                <w:sz w:val="18"/>
                <w:szCs w:val="18"/>
                <w:lang w:eastAsia="sl-SI"/>
              </w:rPr>
            </w:pPr>
          </w:p>
        </w:tc>
        <w:tc>
          <w:tcPr>
            <w:tcW w:w="850" w:type="pct"/>
            <w:shd w:val="clear" w:color="auto" w:fill="auto"/>
            <w:vAlign w:val="center"/>
            <w:hideMark/>
          </w:tcPr>
          <w:p w14:paraId="3C30F215" w14:textId="77777777" w:rsidR="00E3750C" w:rsidRPr="0049351F" w:rsidRDefault="00E3750C" w:rsidP="00047864">
            <w:pPr>
              <w:spacing w:after="0" w:line="240" w:lineRule="auto"/>
              <w:rPr>
                <w:rFonts w:ascii="Arial" w:eastAsia="Times New Roman" w:hAnsi="Arial" w:cs="Arial"/>
                <w:color w:val="000000"/>
                <w:sz w:val="18"/>
                <w:szCs w:val="18"/>
                <w:lang w:eastAsia="sl-SI"/>
              </w:rPr>
            </w:pPr>
            <w:r w:rsidRPr="0049351F">
              <w:rPr>
                <w:rFonts w:ascii="Arial" w:eastAsia="Times New Roman" w:hAnsi="Arial" w:cs="Arial"/>
                <w:color w:val="000000"/>
                <w:sz w:val="18"/>
                <w:szCs w:val="18"/>
                <w:lang w:eastAsia="sl-SI"/>
              </w:rPr>
              <w:t>Gradnje</w:t>
            </w:r>
          </w:p>
        </w:tc>
        <w:tc>
          <w:tcPr>
            <w:tcW w:w="850" w:type="pct"/>
            <w:shd w:val="clear" w:color="auto" w:fill="auto"/>
            <w:vAlign w:val="center"/>
            <w:hideMark/>
          </w:tcPr>
          <w:p w14:paraId="3CC3F1EF" w14:textId="77777777" w:rsidR="00E3750C" w:rsidRPr="0049351F" w:rsidRDefault="00E3750C" w:rsidP="00047864">
            <w:pPr>
              <w:spacing w:after="0" w:line="240" w:lineRule="auto"/>
              <w:jc w:val="right"/>
              <w:rPr>
                <w:rFonts w:ascii="Arial" w:eastAsia="Times New Roman" w:hAnsi="Arial" w:cs="Arial"/>
                <w:color w:val="000000"/>
                <w:sz w:val="18"/>
                <w:szCs w:val="18"/>
                <w:lang w:eastAsia="sl-SI"/>
              </w:rPr>
            </w:pPr>
            <w:r w:rsidRPr="0049351F">
              <w:rPr>
                <w:rFonts w:ascii="Arial" w:hAnsi="Arial" w:cs="Arial"/>
                <w:color w:val="000000"/>
                <w:sz w:val="18"/>
                <w:szCs w:val="18"/>
              </w:rPr>
              <w:t>132</w:t>
            </w:r>
          </w:p>
        </w:tc>
        <w:tc>
          <w:tcPr>
            <w:tcW w:w="1106" w:type="pct"/>
            <w:shd w:val="clear" w:color="auto" w:fill="auto"/>
            <w:vAlign w:val="center"/>
            <w:hideMark/>
          </w:tcPr>
          <w:p w14:paraId="442543A7" w14:textId="77777777" w:rsidR="00E3750C" w:rsidRPr="0049351F" w:rsidRDefault="00E3750C" w:rsidP="00047864">
            <w:pPr>
              <w:spacing w:after="0" w:line="240" w:lineRule="auto"/>
              <w:jc w:val="right"/>
              <w:rPr>
                <w:rFonts w:ascii="Arial" w:eastAsia="Times New Roman" w:hAnsi="Arial" w:cs="Arial"/>
                <w:color w:val="000000"/>
                <w:sz w:val="18"/>
                <w:szCs w:val="18"/>
                <w:lang w:eastAsia="sl-SI"/>
              </w:rPr>
            </w:pPr>
            <w:r w:rsidRPr="0049351F">
              <w:rPr>
                <w:rFonts w:ascii="Arial" w:hAnsi="Arial" w:cs="Arial"/>
                <w:color w:val="000000"/>
                <w:sz w:val="18"/>
                <w:szCs w:val="18"/>
              </w:rPr>
              <w:t>894.874.838</w:t>
            </w:r>
          </w:p>
        </w:tc>
        <w:tc>
          <w:tcPr>
            <w:tcW w:w="596" w:type="pct"/>
            <w:shd w:val="clear" w:color="auto" w:fill="auto"/>
            <w:noWrap/>
            <w:vAlign w:val="center"/>
            <w:hideMark/>
          </w:tcPr>
          <w:p w14:paraId="64A131BC" w14:textId="77777777" w:rsidR="00E3750C" w:rsidRPr="0049351F" w:rsidRDefault="00E3750C" w:rsidP="00047864">
            <w:pPr>
              <w:spacing w:after="0" w:line="240" w:lineRule="auto"/>
              <w:jc w:val="right"/>
              <w:rPr>
                <w:rFonts w:ascii="Arial" w:eastAsia="Times New Roman" w:hAnsi="Arial" w:cs="Arial"/>
                <w:color w:val="000000"/>
                <w:sz w:val="18"/>
                <w:szCs w:val="18"/>
                <w:lang w:eastAsia="sl-SI"/>
              </w:rPr>
            </w:pPr>
            <w:r w:rsidRPr="0049351F">
              <w:rPr>
                <w:rFonts w:ascii="Arial" w:hAnsi="Arial" w:cs="Arial"/>
                <w:sz w:val="18"/>
                <w:szCs w:val="18"/>
              </w:rPr>
              <w:t>1,37 %</w:t>
            </w:r>
          </w:p>
        </w:tc>
        <w:tc>
          <w:tcPr>
            <w:tcW w:w="596" w:type="pct"/>
            <w:shd w:val="clear" w:color="auto" w:fill="auto"/>
            <w:noWrap/>
            <w:vAlign w:val="center"/>
            <w:hideMark/>
          </w:tcPr>
          <w:p w14:paraId="16FDF1DC" w14:textId="77777777" w:rsidR="00E3750C" w:rsidRPr="0049351F" w:rsidRDefault="00E3750C" w:rsidP="00047864">
            <w:pPr>
              <w:spacing w:after="0" w:line="240" w:lineRule="auto"/>
              <w:jc w:val="right"/>
              <w:rPr>
                <w:rFonts w:ascii="Arial" w:eastAsia="Times New Roman" w:hAnsi="Arial" w:cs="Arial"/>
                <w:color w:val="000000"/>
                <w:sz w:val="18"/>
                <w:szCs w:val="18"/>
                <w:lang w:eastAsia="sl-SI"/>
              </w:rPr>
            </w:pPr>
            <w:r w:rsidRPr="0049351F">
              <w:rPr>
                <w:rFonts w:ascii="Arial" w:hAnsi="Arial" w:cs="Arial"/>
                <w:sz w:val="18"/>
                <w:szCs w:val="18"/>
              </w:rPr>
              <w:t>25,95 %</w:t>
            </w:r>
          </w:p>
        </w:tc>
      </w:tr>
      <w:tr w:rsidR="00E3750C" w:rsidRPr="0049351F" w14:paraId="36C51E8C" w14:textId="77777777" w:rsidTr="00047864">
        <w:trPr>
          <w:trHeight w:val="300"/>
        </w:trPr>
        <w:tc>
          <w:tcPr>
            <w:tcW w:w="1001" w:type="pct"/>
            <w:vMerge/>
            <w:vAlign w:val="center"/>
            <w:hideMark/>
          </w:tcPr>
          <w:p w14:paraId="1AE2C187" w14:textId="77777777" w:rsidR="00E3750C" w:rsidRPr="0049351F" w:rsidRDefault="00E3750C" w:rsidP="00047864">
            <w:pPr>
              <w:spacing w:after="0" w:line="240" w:lineRule="auto"/>
              <w:rPr>
                <w:rFonts w:ascii="Arial" w:eastAsia="Times New Roman" w:hAnsi="Arial" w:cs="Arial"/>
                <w:color w:val="000000"/>
                <w:sz w:val="18"/>
                <w:szCs w:val="18"/>
                <w:lang w:eastAsia="sl-SI"/>
              </w:rPr>
            </w:pPr>
          </w:p>
        </w:tc>
        <w:tc>
          <w:tcPr>
            <w:tcW w:w="850" w:type="pct"/>
            <w:shd w:val="clear" w:color="auto" w:fill="auto"/>
            <w:vAlign w:val="center"/>
            <w:hideMark/>
          </w:tcPr>
          <w:p w14:paraId="0827266C" w14:textId="77777777" w:rsidR="00E3750C" w:rsidRPr="0049351F" w:rsidRDefault="00E3750C" w:rsidP="00047864">
            <w:pPr>
              <w:spacing w:after="0" w:line="240" w:lineRule="auto"/>
              <w:rPr>
                <w:rFonts w:ascii="Arial" w:eastAsia="Times New Roman" w:hAnsi="Arial" w:cs="Arial"/>
                <w:b/>
                <w:bCs/>
                <w:color w:val="000000"/>
                <w:sz w:val="18"/>
                <w:szCs w:val="18"/>
                <w:lang w:eastAsia="sl-SI"/>
              </w:rPr>
            </w:pPr>
            <w:r w:rsidRPr="0049351F">
              <w:rPr>
                <w:rFonts w:ascii="Arial" w:eastAsia="Times New Roman" w:hAnsi="Arial" w:cs="Arial"/>
                <w:b/>
                <w:bCs/>
                <w:color w:val="000000"/>
                <w:sz w:val="18"/>
                <w:szCs w:val="18"/>
                <w:lang w:eastAsia="sl-SI"/>
              </w:rPr>
              <w:t>Skupaj</w:t>
            </w:r>
          </w:p>
        </w:tc>
        <w:tc>
          <w:tcPr>
            <w:tcW w:w="850" w:type="pct"/>
            <w:shd w:val="clear" w:color="auto" w:fill="auto"/>
            <w:vAlign w:val="center"/>
            <w:hideMark/>
          </w:tcPr>
          <w:p w14:paraId="60F9B08F" w14:textId="77777777" w:rsidR="00E3750C" w:rsidRPr="0049351F" w:rsidRDefault="00E3750C" w:rsidP="00047864">
            <w:pPr>
              <w:spacing w:after="0" w:line="240" w:lineRule="auto"/>
              <w:jc w:val="right"/>
              <w:rPr>
                <w:rFonts w:ascii="Arial" w:eastAsia="Times New Roman" w:hAnsi="Arial" w:cs="Arial"/>
                <w:b/>
                <w:bCs/>
                <w:color w:val="000000"/>
                <w:sz w:val="18"/>
                <w:szCs w:val="18"/>
                <w:lang w:eastAsia="sl-SI"/>
              </w:rPr>
            </w:pPr>
            <w:r w:rsidRPr="0049351F">
              <w:rPr>
                <w:rFonts w:ascii="Arial" w:hAnsi="Arial" w:cs="Arial"/>
                <w:b/>
                <w:bCs/>
                <w:color w:val="000000"/>
                <w:sz w:val="18"/>
                <w:szCs w:val="18"/>
              </w:rPr>
              <w:t>9.668</w:t>
            </w:r>
          </w:p>
        </w:tc>
        <w:tc>
          <w:tcPr>
            <w:tcW w:w="1106" w:type="pct"/>
            <w:shd w:val="clear" w:color="auto" w:fill="auto"/>
            <w:vAlign w:val="center"/>
            <w:hideMark/>
          </w:tcPr>
          <w:p w14:paraId="65F7480C" w14:textId="77777777" w:rsidR="00E3750C" w:rsidRPr="0049351F" w:rsidRDefault="00E3750C" w:rsidP="00047864">
            <w:pPr>
              <w:spacing w:after="0" w:line="240" w:lineRule="auto"/>
              <w:jc w:val="right"/>
              <w:rPr>
                <w:rFonts w:ascii="Arial" w:eastAsia="Times New Roman" w:hAnsi="Arial" w:cs="Arial"/>
                <w:b/>
                <w:bCs/>
                <w:color w:val="000000"/>
                <w:sz w:val="18"/>
                <w:szCs w:val="18"/>
                <w:lang w:eastAsia="sl-SI"/>
              </w:rPr>
            </w:pPr>
            <w:r w:rsidRPr="0049351F">
              <w:rPr>
                <w:rFonts w:ascii="Arial" w:hAnsi="Arial" w:cs="Arial"/>
                <w:b/>
                <w:bCs/>
                <w:color w:val="000000"/>
                <w:sz w:val="18"/>
                <w:szCs w:val="18"/>
              </w:rPr>
              <w:t>3.448.024.178</w:t>
            </w:r>
          </w:p>
        </w:tc>
        <w:tc>
          <w:tcPr>
            <w:tcW w:w="596" w:type="pct"/>
            <w:shd w:val="clear" w:color="auto" w:fill="auto"/>
            <w:noWrap/>
            <w:vAlign w:val="center"/>
            <w:hideMark/>
          </w:tcPr>
          <w:p w14:paraId="5A93D5FD" w14:textId="77777777" w:rsidR="00E3750C" w:rsidRPr="0049351F" w:rsidRDefault="00E3750C" w:rsidP="00047864">
            <w:pPr>
              <w:spacing w:after="0" w:line="240" w:lineRule="auto"/>
              <w:jc w:val="right"/>
              <w:rPr>
                <w:rFonts w:ascii="Arial" w:eastAsia="Times New Roman" w:hAnsi="Arial" w:cs="Arial"/>
                <w:b/>
                <w:bCs/>
                <w:color w:val="000000"/>
                <w:sz w:val="18"/>
                <w:szCs w:val="18"/>
                <w:lang w:eastAsia="sl-SI"/>
              </w:rPr>
            </w:pPr>
            <w:r w:rsidRPr="0049351F">
              <w:rPr>
                <w:rFonts w:ascii="Arial" w:hAnsi="Arial" w:cs="Arial"/>
                <w:b/>
                <w:bCs/>
                <w:sz w:val="18"/>
                <w:szCs w:val="18"/>
              </w:rPr>
              <w:t>100,00 %</w:t>
            </w:r>
          </w:p>
        </w:tc>
        <w:tc>
          <w:tcPr>
            <w:tcW w:w="596" w:type="pct"/>
            <w:shd w:val="clear" w:color="auto" w:fill="auto"/>
            <w:noWrap/>
            <w:vAlign w:val="center"/>
            <w:hideMark/>
          </w:tcPr>
          <w:p w14:paraId="74853EBF" w14:textId="77777777" w:rsidR="00E3750C" w:rsidRPr="0049351F" w:rsidRDefault="00E3750C" w:rsidP="00047864">
            <w:pPr>
              <w:spacing w:after="0" w:line="240" w:lineRule="auto"/>
              <w:jc w:val="right"/>
              <w:rPr>
                <w:rFonts w:ascii="Arial" w:eastAsia="Times New Roman" w:hAnsi="Arial" w:cs="Arial"/>
                <w:b/>
                <w:bCs/>
                <w:color w:val="000000"/>
                <w:sz w:val="18"/>
                <w:szCs w:val="18"/>
                <w:lang w:eastAsia="sl-SI"/>
              </w:rPr>
            </w:pPr>
            <w:r w:rsidRPr="0049351F">
              <w:rPr>
                <w:rFonts w:ascii="Arial" w:hAnsi="Arial" w:cs="Arial"/>
                <w:b/>
                <w:bCs/>
                <w:sz w:val="18"/>
                <w:szCs w:val="18"/>
              </w:rPr>
              <w:t>100,00 %</w:t>
            </w:r>
          </w:p>
        </w:tc>
      </w:tr>
      <w:tr w:rsidR="00E3750C" w:rsidRPr="0049351F" w14:paraId="14891D2E" w14:textId="77777777" w:rsidTr="00047864">
        <w:trPr>
          <w:trHeight w:val="300"/>
        </w:trPr>
        <w:tc>
          <w:tcPr>
            <w:tcW w:w="1001" w:type="pct"/>
            <w:vMerge w:val="restart"/>
            <w:shd w:val="clear" w:color="auto" w:fill="auto"/>
            <w:vAlign w:val="center"/>
            <w:hideMark/>
          </w:tcPr>
          <w:p w14:paraId="4331AFC2" w14:textId="77777777" w:rsidR="00E3750C" w:rsidRPr="0049351F" w:rsidRDefault="00E3750C" w:rsidP="00047864">
            <w:pPr>
              <w:spacing w:after="0" w:line="240" w:lineRule="auto"/>
              <w:rPr>
                <w:rFonts w:ascii="Arial" w:eastAsia="Times New Roman" w:hAnsi="Arial" w:cs="Arial"/>
                <w:color w:val="000000"/>
                <w:sz w:val="18"/>
                <w:szCs w:val="18"/>
                <w:lang w:eastAsia="sl-SI"/>
              </w:rPr>
            </w:pPr>
            <w:r w:rsidRPr="0049351F">
              <w:rPr>
                <w:rFonts w:ascii="Arial" w:eastAsia="Times New Roman" w:hAnsi="Arial" w:cs="Arial"/>
                <w:color w:val="000000"/>
                <w:sz w:val="18"/>
                <w:szCs w:val="18"/>
                <w:lang w:eastAsia="sl-SI"/>
              </w:rPr>
              <w:t>Infrastrukturno</w:t>
            </w:r>
          </w:p>
        </w:tc>
        <w:tc>
          <w:tcPr>
            <w:tcW w:w="850" w:type="pct"/>
            <w:shd w:val="clear" w:color="auto" w:fill="auto"/>
            <w:vAlign w:val="center"/>
            <w:hideMark/>
          </w:tcPr>
          <w:p w14:paraId="64308994" w14:textId="77777777" w:rsidR="00E3750C" w:rsidRPr="0049351F" w:rsidRDefault="00E3750C" w:rsidP="00047864">
            <w:pPr>
              <w:spacing w:after="0" w:line="240" w:lineRule="auto"/>
              <w:rPr>
                <w:rFonts w:ascii="Arial" w:eastAsia="Times New Roman" w:hAnsi="Arial" w:cs="Arial"/>
                <w:color w:val="000000"/>
                <w:sz w:val="18"/>
                <w:szCs w:val="18"/>
                <w:lang w:eastAsia="sl-SI"/>
              </w:rPr>
            </w:pPr>
            <w:r w:rsidRPr="0049351F">
              <w:rPr>
                <w:rFonts w:ascii="Arial" w:eastAsia="Times New Roman" w:hAnsi="Arial" w:cs="Arial"/>
                <w:color w:val="000000"/>
                <w:sz w:val="18"/>
                <w:szCs w:val="18"/>
                <w:lang w:eastAsia="sl-SI"/>
              </w:rPr>
              <w:t>Blago</w:t>
            </w:r>
          </w:p>
        </w:tc>
        <w:tc>
          <w:tcPr>
            <w:tcW w:w="850" w:type="pct"/>
            <w:shd w:val="clear" w:color="auto" w:fill="auto"/>
            <w:vAlign w:val="center"/>
            <w:hideMark/>
          </w:tcPr>
          <w:p w14:paraId="351AE662" w14:textId="77777777" w:rsidR="00E3750C" w:rsidRPr="0049351F" w:rsidRDefault="00E3750C" w:rsidP="00047864">
            <w:pPr>
              <w:spacing w:after="0" w:line="240" w:lineRule="auto"/>
              <w:jc w:val="right"/>
              <w:rPr>
                <w:rFonts w:ascii="Arial" w:eastAsia="Times New Roman" w:hAnsi="Arial" w:cs="Arial"/>
                <w:color w:val="000000"/>
                <w:sz w:val="18"/>
                <w:szCs w:val="18"/>
                <w:lang w:eastAsia="sl-SI"/>
              </w:rPr>
            </w:pPr>
            <w:r w:rsidRPr="0049351F">
              <w:rPr>
                <w:rFonts w:ascii="Arial" w:hAnsi="Arial" w:cs="Arial"/>
                <w:color w:val="000000"/>
                <w:sz w:val="18"/>
                <w:szCs w:val="18"/>
              </w:rPr>
              <w:t>344</w:t>
            </w:r>
          </w:p>
        </w:tc>
        <w:tc>
          <w:tcPr>
            <w:tcW w:w="1106" w:type="pct"/>
            <w:shd w:val="clear" w:color="auto" w:fill="auto"/>
            <w:vAlign w:val="center"/>
            <w:hideMark/>
          </w:tcPr>
          <w:p w14:paraId="6404FB7E" w14:textId="77777777" w:rsidR="00E3750C" w:rsidRPr="0049351F" w:rsidRDefault="00E3750C" w:rsidP="00047864">
            <w:pPr>
              <w:spacing w:after="0" w:line="240" w:lineRule="auto"/>
              <w:jc w:val="right"/>
              <w:rPr>
                <w:rFonts w:ascii="Arial" w:eastAsia="Times New Roman" w:hAnsi="Arial" w:cs="Arial"/>
                <w:color w:val="000000"/>
                <w:sz w:val="18"/>
                <w:szCs w:val="18"/>
                <w:lang w:eastAsia="sl-SI"/>
              </w:rPr>
            </w:pPr>
            <w:r w:rsidRPr="0049351F">
              <w:rPr>
                <w:rFonts w:ascii="Arial" w:hAnsi="Arial" w:cs="Arial"/>
                <w:color w:val="000000"/>
                <w:sz w:val="18"/>
                <w:szCs w:val="18"/>
              </w:rPr>
              <w:t>290.062.077</w:t>
            </w:r>
          </w:p>
        </w:tc>
        <w:tc>
          <w:tcPr>
            <w:tcW w:w="596" w:type="pct"/>
            <w:shd w:val="clear" w:color="auto" w:fill="auto"/>
            <w:noWrap/>
            <w:vAlign w:val="center"/>
            <w:hideMark/>
          </w:tcPr>
          <w:p w14:paraId="2E30EBF6" w14:textId="77777777" w:rsidR="00E3750C" w:rsidRPr="0049351F" w:rsidRDefault="00E3750C" w:rsidP="00047864">
            <w:pPr>
              <w:spacing w:after="0" w:line="240" w:lineRule="auto"/>
              <w:jc w:val="right"/>
              <w:rPr>
                <w:rFonts w:ascii="Arial" w:eastAsia="Times New Roman" w:hAnsi="Arial" w:cs="Arial"/>
                <w:color w:val="000000"/>
                <w:sz w:val="18"/>
                <w:szCs w:val="18"/>
                <w:lang w:eastAsia="sl-SI"/>
              </w:rPr>
            </w:pPr>
            <w:r w:rsidRPr="0049351F">
              <w:rPr>
                <w:rFonts w:ascii="Arial" w:hAnsi="Arial" w:cs="Arial"/>
                <w:sz w:val="18"/>
                <w:szCs w:val="18"/>
              </w:rPr>
              <w:t>60,03 %</w:t>
            </w:r>
          </w:p>
        </w:tc>
        <w:tc>
          <w:tcPr>
            <w:tcW w:w="596" w:type="pct"/>
            <w:shd w:val="clear" w:color="auto" w:fill="auto"/>
            <w:noWrap/>
            <w:vAlign w:val="center"/>
            <w:hideMark/>
          </w:tcPr>
          <w:p w14:paraId="25D91862" w14:textId="77777777" w:rsidR="00E3750C" w:rsidRPr="0049351F" w:rsidRDefault="00E3750C" w:rsidP="00047864">
            <w:pPr>
              <w:spacing w:after="0" w:line="240" w:lineRule="auto"/>
              <w:jc w:val="right"/>
              <w:rPr>
                <w:rFonts w:ascii="Arial" w:eastAsia="Times New Roman" w:hAnsi="Arial" w:cs="Arial"/>
                <w:color w:val="000000"/>
                <w:sz w:val="18"/>
                <w:szCs w:val="18"/>
                <w:lang w:eastAsia="sl-SI"/>
              </w:rPr>
            </w:pPr>
            <w:r w:rsidRPr="0049351F">
              <w:rPr>
                <w:rFonts w:ascii="Arial" w:hAnsi="Arial" w:cs="Arial"/>
                <w:sz w:val="18"/>
                <w:szCs w:val="18"/>
              </w:rPr>
              <w:t>42,12 %</w:t>
            </w:r>
          </w:p>
        </w:tc>
      </w:tr>
      <w:tr w:rsidR="00E3750C" w:rsidRPr="0049351F" w14:paraId="52E25343" w14:textId="77777777" w:rsidTr="00047864">
        <w:trPr>
          <w:trHeight w:val="300"/>
        </w:trPr>
        <w:tc>
          <w:tcPr>
            <w:tcW w:w="1001" w:type="pct"/>
            <w:vMerge/>
            <w:vAlign w:val="center"/>
            <w:hideMark/>
          </w:tcPr>
          <w:p w14:paraId="6B311C50" w14:textId="77777777" w:rsidR="00E3750C" w:rsidRPr="0049351F" w:rsidRDefault="00E3750C" w:rsidP="00047864">
            <w:pPr>
              <w:spacing w:after="0" w:line="240" w:lineRule="auto"/>
              <w:rPr>
                <w:rFonts w:ascii="Arial" w:eastAsia="Times New Roman" w:hAnsi="Arial" w:cs="Arial"/>
                <w:color w:val="000000"/>
                <w:sz w:val="18"/>
                <w:szCs w:val="18"/>
                <w:lang w:eastAsia="sl-SI"/>
              </w:rPr>
            </w:pPr>
          </w:p>
        </w:tc>
        <w:tc>
          <w:tcPr>
            <w:tcW w:w="850" w:type="pct"/>
            <w:shd w:val="clear" w:color="auto" w:fill="auto"/>
            <w:vAlign w:val="center"/>
            <w:hideMark/>
          </w:tcPr>
          <w:p w14:paraId="56182884" w14:textId="77777777" w:rsidR="00E3750C" w:rsidRPr="0049351F" w:rsidRDefault="00E3750C" w:rsidP="00047864">
            <w:pPr>
              <w:spacing w:after="0" w:line="240" w:lineRule="auto"/>
              <w:rPr>
                <w:rFonts w:ascii="Arial" w:eastAsia="Times New Roman" w:hAnsi="Arial" w:cs="Arial"/>
                <w:color w:val="000000"/>
                <w:sz w:val="18"/>
                <w:szCs w:val="18"/>
                <w:lang w:eastAsia="sl-SI"/>
              </w:rPr>
            </w:pPr>
            <w:r w:rsidRPr="0049351F">
              <w:rPr>
                <w:rFonts w:ascii="Arial" w:eastAsia="Times New Roman" w:hAnsi="Arial" w:cs="Arial"/>
                <w:color w:val="000000"/>
                <w:sz w:val="18"/>
                <w:szCs w:val="18"/>
                <w:lang w:eastAsia="sl-SI"/>
              </w:rPr>
              <w:t>Storitve</w:t>
            </w:r>
          </w:p>
        </w:tc>
        <w:tc>
          <w:tcPr>
            <w:tcW w:w="850" w:type="pct"/>
            <w:shd w:val="clear" w:color="auto" w:fill="auto"/>
            <w:vAlign w:val="center"/>
            <w:hideMark/>
          </w:tcPr>
          <w:p w14:paraId="77D728BD" w14:textId="77777777" w:rsidR="00E3750C" w:rsidRPr="0049351F" w:rsidRDefault="00E3750C" w:rsidP="00047864">
            <w:pPr>
              <w:spacing w:after="0" w:line="240" w:lineRule="auto"/>
              <w:jc w:val="right"/>
              <w:rPr>
                <w:rFonts w:ascii="Arial" w:eastAsia="Times New Roman" w:hAnsi="Arial" w:cs="Arial"/>
                <w:color w:val="000000"/>
                <w:sz w:val="18"/>
                <w:szCs w:val="18"/>
                <w:lang w:eastAsia="sl-SI"/>
              </w:rPr>
            </w:pPr>
            <w:r w:rsidRPr="0049351F">
              <w:rPr>
                <w:rFonts w:ascii="Arial" w:hAnsi="Arial" w:cs="Arial"/>
                <w:color w:val="000000"/>
                <w:sz w:val="18"/>
                <w:szCs w:val="18"/>
              </w:rPr>
              <w:t>204</w:t>
            </w:r>
          </w:p>
        </w:tc>
        <w:tc>
          <w:tcPr>
            <w:tcW w:w="1106" w:type="pct"/>
            <w:shd w:val="clear" w:color="auto" w:fill="auto"/>
            <w:vAlign w:val="center"/>
            <w:hideMark/>
          </w:tcPr>
          <w:p w14:paraId="1442E43B" w14:textId="77777777" w:rsidR="00E3750C" w:rsidRPr="0049351F" w:rsidRDefault="00E3750C" w:rsidP="00047864">
            <w:pPr>
              <w:spacing w:after="0" w:line="240" w:lineRule="auto"/>
              <w:jc w:val="right"/>
              <w:rPr>
                <w:rFonts w:ascii="Arial" w:eastAsia="Times New Roman" w:hAnsi="Arial" w:cs="Arial"/>
                <w:color w:val="000000"/>
                <w:sz w:val="18"/>
                <w:szCs w:val="18"/>
                <w:lang w:eastAsia="sl-SI"/>
              </w:rPr>
            </w:pPr>
            <w:r w:rsidRPr="0049351F">
              <w:rPr>
                <w:rFonts w:ascii="Arial" w:hAnsi="Arial" w:cs="Arial"/>
                <w:color w:val="000000"/>
                <w:sz w:val="18"/>
                <w:szCs w:val="18"/>
              </w:rPr>
              <w:t>338.048.951</w:t>
            </w:r>
          </w:p>
        </w:tc>
        <w:tc>
          <w:tcPr>
            <w:tcW w:w="596" w:type="pct"/>
            <w:shd w:val="clear" w:color="auto" w:fill="auto"/>
            <w:noWrap/>
            <w:vAlign w:val="center"/>
            <w:hideMark/>
          </w:tcPr>
          <w:p w14:paraId="653A71CA" w14:textId="77777777" w:rsidR="00E3750C" w:rsidRPr="0049351F" w:rsidRDefault="00E3750C" w:rsidP="00047864">
            <w:pPr>
              <w:spacing w:after="0" w:line="240" w:lineRule="auto"/>
              <w:jc w:val="right"/>
              <w:rPr>
                <w:rFonts w:ascii="Arial" w:eastAsia="Times New Roman" w:hAnsi="Arial" w:cs="Arial"/>
                <w:color w:val="000000"/>
                <w:sz w:val="18"/>
                <w:szCs w:val="18"/>
                <w:lang w:eastAsia="sl-SI"/>
              </w:rPr>
            </w:pPr>
            <w:r w:rsidRPr="0049351F">
              <w:rPr>
                <w:rFonts w:ascii="Arial" w:hAnsi="Arial" w:cs="Arial"/>
                <w:sz w:val="18"/>
                <w:szCs w:val="18"/>
              </w:rPr>
              <w:t>35,60 %</w:t>
            </w:r>
          </w:p>
        </w:tc>
        <w:tc>
          <w:tcPr>
            <w:tcW w:w="596" w:type="pct"/>
            <w:shd w:val="clear" w:color="auto" w:fill="auto"/>
            <w:noWrap/>
            <w:vAlign w:val="center"/>
            <w:hideMark/>
          </w:tcPr>
          <w:p w14:paraId="0E2C41BB" w14:textId="77777777" w:rsidR="00E3750C" w:rsidRPr="0049351F" w:rsidRDefault="00E3750C" w:rsidP="00047864">
            <w:pPr>
              <w:spacing w:after="0" w:line="240" w:lineRule="auto"/>
              <w:jc w:val="right"/>
              <w:rPr>
                <w:rFonts w:ascii="Arial" w:eastAsia="Times New Roman" w:hAnsi="Arial" w:cs="Arial"/>
                <w:color w:val="000000"/>
                <w:sz w:val="18"/>
                <w:szCs w:val="18"/>
                <w:lang w:eastAsia="sl-SI"/>
              </w:rPr>
            </w:pPr>
            <w:r w:rsidRPr="0049351F">
              <w:rPr>
                <w:rFonts w:ascii="Arial" w:hAnsi="Arial" w:cs="Arial"/>
                <w:sz w:val="18"/>
                <w:szCs w:val="18"/>
              </w:rPr>
              <w:t>49,09 %</w:t>
            </w:r>
          </w:p>
        </w:tc>
      </w:tr>
      <w:tr w:rsidR="00E3750C" w:rsidRPr="0049351F" w14:paraId="3AB1ECA8" w14:textId="77777777" w:rsidTr="00047864">
        <w:trPr>
          <w:trHeight w:val="300"/>
        </w:trPr>
        <w:tc>
          <w:tcPr>
            <w:tcW w:w="1001" w:type="pct"/>
            <w:vMerge/>
            <w:vAlign w:val="center"/>
            <w:hideMark/>
          </w:tcPr>
          <w:p w14:paraId="4FA1113F" w14:textId="77777777" w:rsidR="00E3750C" w:rsidRPr="0049351F" w:rsidRDefault="00E3750C" w:rsidP="00047864">
            <w:pPr>
              <w:spacing w:after="0" w:line="240" w:lineRule="auto"/>
              <w:rPr>
                <w:rFonts w:ascii="Arial" w:eastAsia="Times New Roman" w:hAnsi="Arial" w:cs="Arial"/>
                <w:color w:val="000000"/>
                <w:sz w:val="18"/>
                <w:szCs w:val="18"/>
                <w:lang w:eastAsia="sl-SI"/>
              </w:rPr>
            </w:pPr>
          </w:p>
        </w:tc>
        <w:tc>
          <w:tcPr>
            <w:tcW w:w="850" w:type="pct"/>
            <w:shd w:val="clear" w:color="auto" w:fill="auto"/>
            <w:vAlign w:val="center"/>
            <w:hideMark/>
          </w:tcPr>
          <w:p w14:paraId="711F8AE8" w14:textId="77777777" w:rsidR="00E3750C" w:rsidRPr="0049351F" w:rsidRDefault="00E3750C" w:rsidP="00047864">
            <w:pPr>
              <w:spacing w:after="0" w:line="240" w:lineRule="auto"/>
              <w:rPr>
                <w:rFonts w:ascii="Arial" w:eastAsia="Times New Roman" w:hAnsi="Arial" w:cs="Arial"/>
                <w:color w:val="000000"/>
                <w:sz w:val="18"/>
                <w:szCs w:val="18"/>
                <w:lang w:eastAsia="sl-SI"/>
              </w:rPr>
            </w:pPr>
            <w:r w:rsidRPr="0049351F">
              <w:rPr>
                <w:rFonts w:ascii="Arial" w:eastAsia="Times New Roman" w:hAnsi="Arial" w:cs="Arial"/>
                <w:color w:val="000000"/>
                <w:sz w:val="18"/>
                <w:szCs w:val="18"/>
                <w:lang w:eastAsia="sl-SI"/>
              </w:rPr>
              <w:t>Gradnje</w:t>
            </w:r>
          </w:p>
        </w:tc>
        <w:tc>
          <w:tcPr>
            <w:tcW w:w="850" w:type="pct"/>
            <w:shd w:val="clear" w:color="auto" w:fill="auto"/>
            <w:vAlign w:val="center"/>
            <w:hideMark/>
          </w:tcPr>
          <w:p w14:paraId="6220CB22" w14:textId="77777777" w:rsidR="00E3750C" w:rsidRPr="0049351F" w:rsidRDefault="00E3750C" w:rsidP="00047864">
            <w:pPr>
              <w:spacing w:after="0" w:line="240" w:lineRule="auto"/>
              <w:jc w:val="right"/>
              <w:rPr>
                <w:rFonts w:ascii="Arial" w:eastAsia="Times New Roman" w:hAnsi="Arial" w:cs="Arial"/>
                <w:color w:val="000000"/>
                <w:sz w:val="18"/>
                <w:szCs w:val="18"/>
                <w:lang w:eastAsia="sl-SI"/>
              </w:rPr>
            </w:pPr>
            <w:r w:rsidRPr="0049351F">
              <w:rPr>
                <w:rFonts w:ascii="Arial" w:hAnsi="Arial" w:cs="Arial"/>
                <w:color w:val="000000"/>
                <w:sz w:val="18"/>
                <w:szCs w:val="18"/>
              </w:rPr>
              <w:t>25</w:t>
            </w:r>
          </w:p>
        </w:tc>
        <w:tc>
          <w:tcPr>
            <w:tcW w:w="1106" w:type="pct"/>
            <w:shd w:val="clear" w:color="auto" w:fill="auto"/>
            <w:vAlign w:val="center"/>
            <w:hideMark/>
          </w:tcPr>
          <w:p w14:paraId="1F1DC413" w14:textId="77777777" w:rsidR="00E3750C" w:rsidRPr="0049351F" w:rsidRDefault="00E3750C" w:rsidP="00047864">
            <w:pPr>
              <w:spacing w:after="0" w:line="240" w:lineRule="auto"/>
              <w:jc w:val="right"/>
              <w:rPr>
                <w:rFonts w:ascii="Arial" w:eastAsia="Times New Roman" w:hAnsi="Arial" w:cs="Arial"/>
                <w:color w:val="000000"/>
                <w:sz w:val="18"/>
                <w:szCs w:val="18"/>
                <w:lang w:eastAsia="sl-SI"/>
              </w:rPr>
            </w:pPr>
            <w:r w:rsidRPr="0049351F">
              <w:rPr>
                <w:rFonts w:ascii="Arial" w:hAnsi="Arial" w:cs="Arial"/>
                <w:color w:val="000000"/>
                <w:sz w:val="18"/>
                <w:szCs w:val="18"/>
              </w:rPr>
              <w:t>60.557.993</w:t>
            </w:r>
          </w:p>
        </w:tc>
        <w:tc>
          <w:tcPr>
            <w:tcW w:w="596" w:type="pct"/>
            <w:shd w:val="clear" w:color="auto" w:fill="auto"/>
            <w:noWrap/>
            <w:vAlign w:val="center"/>
            <w:hideMark/>
          </w:tcPr>
          <w:p w14:paraId="53F7D5E2" w14:textId="77777777" w:rsidR="00E3750C" w:rsidRPr="0049351F" w:rsidRDefault="00E3750C" w:rsidP="00047864">
            <w:pPr>
              <w:spacing w:after="0" w:line="240" w:lineRule="auto"/>
              <w:jc w:val="right"/>
              <w:rPr>
                <w:rFonts w:ascii="Arial" w:eastAsia="Times New Roman" w:hAnsi="Arial" w:cs="Arial"/>
                <w:color w:val="000000"/>
                <w:sz w:val="18"/>
                <w:szCs w:val="18"/>
                <w:lang w:eastAsia="sl-SI"/>
              </w:rPr>
            </w:pPr>
            <w:r w:rsidRPr="0049351F">
              <w:rPr>
                <w:rFonts w:ascii="Arial" w:hAnsi="Arial" w:cs="Arial"/>
                <w:sz w:val="18"/>
                <w:szCs w:val="18"/>
              </w:rPr>
              <w:t>4,36 %</w:t>
            </w:r>
          </w:p>
        </w:tc>
        <w:tc>
          <w:tcPr>
            <w:tcW w:w="596" w:type="pct"/>
            <w:shd w:val="clear" w:color="auto" w:fill="auto"/>
            <w:noWrap/>
            <w:vAlign w:val="center"/>
            <w:hideMark/>
          </w:tcPr>
          <w:p w14:paraId="65D515CB" w14:textId="77777777" w:rsidR="00E3750C" w:rsidRPr="0049351F" w:rsidRDefault="00E3750C" w:rsidP="00047864">
            <w:pPr>
              <w:spacing w:after="0" w:line="240" w:lineRule="auto"/>
              <w:jc w:val="right"/>
              <w:rPr>
                <w:rFonts w:ascii="Arial" w:eastAsia="Times New Roman" w:hAnsi="Arial" w:cs="Arial"/>
                <w:color w:val="000000"/>
                <w:sz w:val="18"/>
                <w:szCs w:val="18"/>
                <w:lang w:eastAsia="sl-SI"/>
              </w:rPr>
            </w:pPr>
            <w:r w:rsidRPr="0049351F">
              <w:rPr>
                <w:rFonts w:ascii="Arial" w:hAnsi="Arial" w:cs="Arial"/>
                <w:sz w:val="18"/>
                <w:szCs w:val="18"/>
              </w:rPr>
              <w:t>8,79 %</w:t>
            </w:r>
          </w:p>
        </w:tc>
      </w:tr>
      <w:tr w:rsidR="00E3750C" w:rsidRPr="0049351F" w14:paraId="21A6187C" w14:textId="77777777" w:rsidTr="00047864">
        <w:trPr>
          <w:trHeight w:val="300"/>
        </w:trPr>
        <w:tc>
          <w:tcPr>
            <w:tcW w:w="1001" w:type="pct"/>
            <w:vMerge/>
            <w:vAlign w:val="center"/>
            <w:hideMark/>
          </w:tcPr>
          <w:p w14:paraId="56D0AFB0" w14:textId="77777777" w:rsidR="00E3750C" w:rsidRPr="0049351F" w:rsidRDefault="00E3750C" w:rsidP="00047864">
            <w:pPr>
              <w:spacing w:after="0" w:line="240" w:lineRule="auto"/>
              <w:rPr>
                <w:rFonts w:ascii="Arial" w:eastAsia="Times New Roman" w:hAnsi="Arial" w:cs="Arial"/>
                <w:color w:val="000000"/>
                <w:sz w:val="18"/>
                <w:szCs w:val="18"/>
                <w:lang w:eastAsia="sl-SI"/>
              </w:rPr>
            </w:pPr>
          </w:p>
        </w:tc>
        <w:tc>
          <w:tcPr>
            <w:tcW w:w="850" w:type="pct"/>
            <w:shd w:val="clear" w:color="auto" w:fill="auto"/>
            <w:vAlign w:val="center"/>
            <w:hideMark/>
          </w:tcPr>
          <w:p w14:paraId="1EF0D7CB" w14:textId="77777777" w:rsidR="00E3750C" w:rsidRPr="0049351F" w:rsidRDefault="00E3750C" w:rsidP="00047864">
            <w:pPr>
              <w:spacing w:after="0" w:line="240" w:lineRule="auto"/>
              <w:rPr>
                <w:rFonts w:ascii="Arial" w:eastAsia="Times New Roman" w:hAnsi="Arial" w:cs="Arial"/>
                <w:b/>
                <w:bCs/>
                <w:color w:val="000000"/>
                <w:sz w:val="18"/>
                <w:szCs w:val="18"/>
                <w:lang w:eastAsia="sl-SI"/>
              </w:rPr>
            </w:pPr>
            <w:r w:rsidRPr="0049351F">
              <w:rPr>
                <w:rFonts w:ascii="Arial" w:eastAsia="Times New Roman" w:hAnsi="Arial" w:cs="Arial"/>
                <w:b/>
                <w:bCs/>
                <w:color w:val="000000"/>
                <w:sz w:val="18"/>
                <w:szCs w:val="18"/>
                <w:lang w:eastAsia="sl-SI"/>
              </w:rPr>
              <w:t>Skupaj</w:t>
            </w:r>
          </w:p>
        </w:tc>
        <w:tc>
          <w:tcPr>
            <w:tcW w:w="850" w:type="pct"/>
            <w:shd w:val="clear" w:color="auto" w:fill="auto"/>
            <w:vAlign w:val="center"/>
            <w:hideMark/>
          </w:tcPr>
          <w:p w14:paraId="18934CF5" w14:textId="77777777" w:rsidR="00E3750C" w:rsidRPr="0049351F" w:rsidRDefault="00E3750C" w:rsidP="00047864">
            <w:pPr>
              <w:spacing w:after="0" w:line="240" w:lineRule="auto"/>
              <w:jc w:val="right"/>
              <w:rPr>
                <w:rFonts w:ascii="Arial" w:eastAsia="Times New Roman" w:hAnsi="Arial" w:cs="Arial"/>
                <w:b/>
                <w:bCs/>
                <w:color w:val="000000"/>
                <w:sz w:val="18"/>
                <w:szCs w:val="18"/>
                <w:lang w:eastAsia="sl-SI"/>
              </w:rPr>
            </w:pPr>
            <w:r w:rsidRPr="0049351F">
              <w:rPr>
                <w:rFonts w:ascii="Arial" w:hAnsi="Arial" w:cs="Arial"/>
                <w:b/>
                <w:bCs/>
                <w:color w:val="000000"/>
                <w:sz w:val="18"/>
                <w:szCs w:val="18"/>
              </w:rPr>
              <w:t>573</w:t>
            </w:r>
          </w:p>
        </w:tc>
        <w:tc>
          <w:tcPr>
            <w:tcW w:w="1106" w:type="pct"/>
            <w:shd w:val="clear" w:color="auto" w:fill="auto"/>
            <w:vAlign w:val="center"/>
            <w:hideMark/>
          </w:tcPr>
          <w:p w14:paraId="65FC0E0C" w14:textId="77777777" w:rsidR="00E3750C" w:rsidRPr="0049351F" w:rsidRDefault="00E3750C" w:rsidP="00047864">
            <w:pPr>
              <w:spacing w:after="0" w:line="240" w:lineRule="auto"/>
              <w:jc w:val="right"/>
              <w:rPr>
                <w:rFonts w:ascii="Arial" w:eastAsia="Times New Roman" w:hAnsi="Arial" w:cs="Arial"/>
                <w:b/>
                <w:bCs/>
                <w:color w:val="000000"/>
                <w:sz w:val="18"/>
                <w:szCs w:val="18"/>
                <w:lang w:eastAsia="sl-SI"/>
              </w:rPr>
            </w:pPr>
            <w:r w:rsidRPr="0049351F">
              <w:rPr>
                <w:rFonts w:ascii="Arial" w:hAnsi="Arial" w:cs="Arial"/>
                <w:b/>
                <w:bCs/>
                <w:color w:val="000000"/>
                <w:sz w:val="18"/>
                <w:szCs w:val="18"/>
              </w:rPr>
              <w:t>688.669.021</w:t>
            </w:r>
          </w:p>
        </w:tc>
        <w:tc>
          <w:tcPr>
            <w:tcW w:w="596" w:type="pct"/>
            <w:shd w:val="clear" w:color="auto" w:fill="auto"/>
            <w:noWrap/>
            <w:vAlign w:val="center"/>
            <w:hideMark/>
          </w:tcPr>
          <w:p w14:paraId="11B3C14C" w14:textId="77777777" w:rsidR="00E3750C" w:rsidRPr="0049351F" w:rsidRDefault="00E3750C" w:rsidP="00047864">
            <w:pPr>
              <w:spacing w:after="0" w:line="240" w:lineRule="auto"/>
              <w:jc w:val="right"/>
              <w:rPr>
                <w:rFonts w:ascii="Arial" w:eastAsia="Times New Roman" w:hAnsi="Arial" w:cs="Arial"/>
                <w:b/>
                <w:bCs/>
                <w:color w:val="000000"/>
                <w:sz w:val="18"/>
                <w:szCs w:val="18"/>
                <w:lang w:eastAsia="sl-SI"/>
              </w:rPr>
            </w:pPr>
            <w:r w:rsidRPr="0049351F">
              <w:rPr>
                <w:rFonts w:ascii="Arial" w:hAnsi="Arial" w:cs="Arial"/>
                <w:b/>
                <w:bCs/>
                <w:sz w:val="18"/>
                <w:szCs w:val="18"/>
              </w:rPr>
              <w:t>100,00 %</w:t>
            </w:r>
          </w:p>
        </w:tc>
        <w:tc>
          <w:tcPr>
            <w:tcW w:w="596" w:type="pct"/>
            <w:shd w:val="clear" w:color="auto" w:fill="auto"/>
            <w:noWrap/>
            <w:vAlign w:val="center"/>
            <w:hideMark/>
          </w:tcPr>
          <w:p w14:paraId="380B3968" w14:textId="77777777" w:rsidR="00E3750C" w:rsidRPr="0049351F" w:rsidRDefault="00E3750C" w:rsidP="00047864">
            <w:pPr>
              <w:spacing w:after="0" w:line="240" w:lineRule="auto"/>
              <w:jc w:val="right"/>
              <w:rPr>
                <w:rFonts w:ascii="Arial" w:eastAsia="Times New Roman" w:hAnsi="Arial" w:cs="Arial"/>
                <w:b/>
                <w:bCs/>
                <w:color w:val="000000"/>
                <w:sz w:val="18"/>
                <w:szCs w:val="18"/>
                <w:lang w:eastAsia="sl-SI"/>
              </w:rPr>
            </w:pPr>
            <w:r w:rsidRPr="0049351F">
              <w:rPr>
                <w:rFonts w:ascii="Arial" w:hAnsi="Arial" w:cs="Arial"/>
                <w:b/>
                <w:bCs/>
                <w:sz w:val="18"/>
                <w:szCs w:val="18"/>
              </w:rPr>
              <w:t>100,00 %</w:t>
            </w:r>
          </w:p>
        </w:tc>
      </w:tr>
      <w:tr w:rsidR="00E3750C" w:rsidRPr="0049351F" w14:paraId="2F13A947" w14:textId="77777777" w:rsidTr="00047864">
        <w:trPr>
          <w:trHeight w:val="300"/>
        </w:trPr>
        <w:tc>
          <w:tcPr>
            <w:tcW w:w="1001" w:type="pct"/>
            <w:vMerge w:val="restart"/>
            <w:shd w:val="clear" w:color="auto" w:fill="auto"/>
            <w:vAlign w:val="center"/>
            <w:hideMark/>
          </w:tcPr>
          <w:p w14:paraId="7C060E62" w14:textId="77777777" w:rsidR="00E3750C" w:rsidRPr="0049351F" w:rsidRDefault="00E3750C" w:rsidP="00047864">
            <w:pPr>
              <w:spacing w:after="0" w:line="240" w:lineRule="auto"/>
              <w:rPr>
                <w:rFonts w:ascii="Arial" w:eastAsia="Times New Roman" w:hAnsi="Arial" w:cs="Arial"/>
                <w:color w:val="000000"/>
                <w:sz w:val="18"/>
                <w:szCs w:val="18"/>
                <w:lang w:eastAsia="sl-SI"/>
              </w:rPr>
            </w:pPr>
            <w:r w:rsidRPr="0049351F">
              <w:rPr>
                <w:rFonts w:ascii="Arial" w:eastAsia="Times New Roman" w:hAnsi="Arial" w:cs="Arial"/>
                <w:color w:val="000000"/>
                <w:sz w:val="18"/>
                <w:szCs w:val="18"/>
                <w:lang w:eastAsia="sl-SI"/>
              </w:rPr>
              <w:t>Obrambno</w:t>
            </w:r>
          </w:p>
        </w:tc>
        <w:tc>
          <w:tcPr>
            <w:tcW w:w="850" w:type="pct"/>
            <w:shd w:val="clear" w:color="auto" w:fill="auto"/>
            <w:vAlign w:val="center"/>
            <w:hideMark/>
          </w:tcPr>
          <w:p w14:paraId="0F62AE6E" w14:textId="77777777" w:rsidR="00E3750C" w:rsidRPr="0049351F" w:rsidRDefault="00E3750C" w:rsidP="00047864">
            <w:pPr>
              <w:spacing w:after="0" w:line="240" w:lineRule="auto"/>
              <w:rPr>
                <w:rFonts w:ascii="Arial" w:eastAsia="Times New Roman" w:hAnsi="Arial" w:cs="Arial"/>
                <w:color w:val="000000"/>
                <w:sz w:val="18"/>
                <w:szCs w:val="18"/>
                <w:lang w:eastAsia="sl-SI"/>
              </w:rPr>
            </w:pPr>
            <w:r w:rsidRPr="0049351F">
              <w:rPr>
                <w:rFonts w:ascii="Arial" w:eastAsia="Times New Roman" w:hAnsi="Arial" w:cs="Arial"/>
                <w:color w:val="000000"/>
                <w:sz w:val="18"/>
                <w:szCs w:val="18"/>
                <w:lang w:eastAsia="sl-SI"/>
              </w:rPr>
              <w:t>Blago</w:t>
            </w:r>
          </w:p>
        </w:tc>
        <w:tc>
          <w:tcPr>
            <w:tcW w:w="850" w:type="pct"/>
            <w:shd w:val="clear" w:color="auto" w:fill="auto"/>
            <w:vAlign w:val="center"/>
            <w:hideMark/>
          </w:tcPr>
          <w:p w14:paraId="57CA69EE" w14:textId="77777777" w:rsidR="00E3750C" w:rsidRPr="0049351F" w:rsidRDefault="00E3750C" w:rsidP="00047864">
            <w:pPr>
              <w:spacing w:after="0" w:line="240" w:lineRule="auto"/>
              <w:jc w:val="right"/>
              <w:rPr>
                <w:rFonts w:ascii="Arial" w:eastAsia="Times New Roman" w:hAnsi="Arial" w:cs="Arial"/>
                <w:color w:val="000000"/>
                <w:sz w:val="18"/>
                <w:szCs w:val="18"/>
                <w:lang w:eastAsia="sl-SI"/>
              </w:rPr>
            </w:pPr>
            <w:r w:rsidRPr="0049351F">
              <w:rPr>
                <w:rFonts w:ascii="Arial" w:hAnsi="Arial" w:cs="Arial"/>
                <w:color w:val="000000"/>
                <w:sz w:val="18"/>
                <w:szCs w:val="18"/>
              </w:rPr>
              <w:t>24</w:t>
            </w:r>
          </w:p>
        </w:tc>
        <w:tc>
          <w:tcPr>
            <w:tcW w:w="1106" w:type="pct"/>
            <w:shd w:val="clear" w:color="auto" w:fill="auto"/>
            <w:vAlign w:val="center"/>
            <w:hideMark/>
          </w:tcPr>
          <w:p w14:paraId="0B4EC39A" w14:textId="77777777" w:rsidR="00E3750C" w:rsidRPr="0049351F" w:rsidRDefault="00E3750C" w:rsidP="00047864">
            <w:pPr>
              <w:spacing w:after="0" w:line="240" w:lineRule="auto"/>
              <w:jc w:val="right"/>
              <w:rPr>
                <w:rFonts w:ascii="Arial" w:eastAsia="Times New Roman" w:hAnsi="Arial" w:cs="Arial"/>
                <w:color w:val="000000"/>
                <w:sz w:val="18"/>
                <w:szCs w:val="18"/>
                <w:lang w:eastAsia="sl-SI"/>
              </w:rPr>
            </w:pPr>
            <w:r w:rsidRPr="0049351F">
              <w:rPr>
                <w:rFonts w:ascii="Arial" w:hAnsi="Arial" w:cs="Arial"/>
                <w:color w:val="000000"/>
                <w:sz w:val="18"/>
                <w:szCs w:val="18"/>
              </w:rPr>
              <w:t>27.363.550</w:t>
            </w:r>
          </w:p>
        </w:tc>
        <w:tc>
          <w:tcPr>
            <w:tcW w:w="596" w:type="pct"/>
            <w:shd w:val="clear" w:color="auto" w:fill="auto"/>
            <w:noWrap/>
            <w:vAlign w:val="center"/>
            <w:hideMark/>
          </w:tcPr>
          <w:p w14:paraId="67B2B340" w14:textId="77777777" w:rsidR="00E3750C" w:rsidRPr="0049351F" w:rsidRDefault="00E3750C" w:rsidP="00047864">
            <w:pPr>
              <w:spacing w:after="0" w:line="240" w:lineRule="auto"/>
              <w:jc w:val="right"/>
              <w:rPr>
                <w:rFonts w:ascii="Arial" w:eastAsia="Times New Roman" w:hAnsi="Arial" w:cs="Arial"/>
                <w:color w:val="000000"/>
                <w:sz w:val="18"/>
                <w:szCs w:val="18"/>
                <w:lang w:eastAsia="sl-SI"/>
              </w:rPr>
            </w:pPr>
            <w:r w:rsidRPr="0049351F">
              <w:rPr>
                <w:rFonts w:ascii="Arial" w:hAnsi="Arial" w:cs="Arial"/>
                <w:sz w:val="18"/>
                <w:szCs w:val="18"/>
              </w:rPr>
              <w:t>50,00 %</w:t>
            </w:r>
          </w:p>
        </w:tc>
        <w:tc>
          <w:tcPr>
            <w:tcW w:w="596" w:type="pct"/>
            <w:shd w:val="clear" w:color="auto" w:fill="auto"/>
            <w:noWrap/>
            <w:vAlign w:val="center"/>
            <w:hideMark/>
          </w:tcPr>
          <w:p w14:paraId="4D9382F4" w14:textId="77777777" w:rsidR="00E3750C" w:rsidRPr="0049351F" w:rsidRDefault="00E3750C" w:rsidP="00047864">
            <w:pPr>
              <w:spacing w:after="0" w:line="240" w:lineRule="auto"/>
              <w:jc w:val="right"/>
              <w:rPr>
                <w:rFonts w:ascii="Arial" w:eastAsia="Times New Roman" w:hAnsi="Arial" w:cs="Arial"/>
                <w:color w:val="000000"/>
                <w:sz w:val="18"/>
                <w:szCs w:val="18"/>
                <w:lang w:eastAsia="sl-SI"/>
              </w:rPr>
            </w:pPr>
            <w:r w:rsidRPr="0049351F">
              <w:rPr>
                <w:rFonts w:ascii="Arial" w:hAnsi="Arial" w:cs="Arial"/>
                <w:sz w:val="18"/>
                <w:szCs w:val="18"/>
              </w:rPr>
              <w:t>65,11 %</w:t>
            </w:r>
          </w:p>
        </w:tc>
      </w:tr>
      <w:tr w:rsidR="00E3750C" w:rsidRPr="0049351F" w14:paraId="7ABF9B63" w14:textId="77777777" w:rsidTr="00047864">
        <w:trPr>
          <w:trHeight w:val="300"/>
        </w:trPr>
        <w:tc>
          <w:tcPr>
            <w:tcW w:w="1001" w:type="pct"/>
            <w:vMerge/>
            <w:vAlign w:val="center"/>
            <w:hideMark/>
          </w:tcPr>
          <w:p w14:paraId="2051CC15" w14:textId="77777777" w:rsidR="00E3750C" w:rsidRPr="0049351F" w:rsidRDefault="00E3750C" w:rsidP="00047864">
            <w:pPr>
              <w:spacing w:after="0" w:line="240" w:lineRule="auto"/>
              <w:rPr>
                <w:rFonts w:ascii="Arial" w:eastAsia="Times New Roman" w:hAnsi="Arial" w:cs="Arial"/>
                <w:color w:val="000000"/>
                <w:sz w:val="18"/>
                <w:szCs w:val="18"/>
                <w:lang w:eastAsia="sl-SI"/>
              </w:rPr>
            </w:pPr>
          </w:p>
        </w:tc>
        <w:tc>
          <w:tcPr>
            <w:tcW w:w="850" w:type="pct"/>
            <w:shd w:val="clear" w:color="auto" w:fill="auto"/>
            <w:vAlign w:val="center"/>
            <w:hideMark/>
          </w:tcPr>
          <w:p w14:paraId="7D0EF972" w14:textId="77777777" w:rsidR="00E3750C" w:rsidRPr="0049351F" w:rsidRDefault="00E3750C" w:rsidP="00047864">
            <w:pPr>
              <w:spacing w:after="0" w:line="240" w:lineRule="auto"/>
              <w:rPr>
                <w:rFonts w:ascii="Arial" w:eastAsia="Times New Roman" w:hAnsi="Arial" w:cs="Arial"/>
                <w:color w:val="000000"/>
                <w:sz w:val="18"/>
                <w:szCs w:val="18"/>
                <w:lang w:eastAsia="sl-SI"/>
              </w:rPr>
            </w:pPr>
            <w:r w:rsidRPr="0049351F">
              <w:rPr>
                <w:rFonts w:ascii="Arial" w:eastAsia="Times New Roman" w:hAnsi="Arial" w:cs="Arial"/>
                <w:color w:val="000000"/>
                <w:sz w:val="18"/>
                <w:szCs w:val="18"/>
                <w:lang w:eastAsia="sl-SI"/>
              </w:rPr>
              <w:t>Storitve</w:t>
            </w:r>
          </w:p>
        </w:tc>
        <w:tc>
          <w:tcPr>
            <w:tcW w:w="850" w:type="pct"/>
            <w:shd w:val="clear" w:color="auto" w:fill="auto"/>
            <w:vAlign w:val="center"/>
            <w:hideMark/>
          </w:tcPr>
          <w:p w14:paraId="428496FB" w14:textId="77777777" w:rsidR="00E3750C" w:rsidRPr="0049351F" w:rsidRDefault="00E3750C" w:rsidP="00047864">
            <w:pPr>
              <w:spacing w:after="0" w:line="240" w:lineRule="auto"/>
              <w:jc w:val="right"/>
              <w:rPr>
                <w:rFonts w:ascii="Arial" w:eastAsia="Times New Roman" w:hAnsi="Arial" w:cs="Arial"/>
                <w:color w:val="000000"/>
                <w:sz w:val="18"/>
                <w:szCs w:val="18"/>
                <w:lang w:eastAsia="sl-SI"/>
              </w:rPr>
            </w:pPr>
            <w:r w:rsidRPr="0049351F">
              <w:rPr>
                <w:rFonts w:ascii="Arial" w:hAnsi="Arial" w:cs="Arial"/>
                <w:color w:val="000000"/>
                <w:sz w:val="18"/>
                <w:szCs w:val="18"/>
              </w:rPr>
              <w:t>24</w:t>
            </w:r>
          </w:p>
        </w:tc>
        <w:tc>
          <w:tcPr>
            <w:tcW w:w="1106" w:type="pct"/>
            <w:shd w:val="clear" w:color="auto" w:fill="auto"/>
            <w:vAlign w:val="center"/>
            <w:hideMark/>
          </w:tcPr>
          <w:p w14:paraId="73A0EBBB" w14:textId="77777777" w:rsidR="00E3750C" w:rsidRPr="0049351F" w:rsidRDefault="00E3750C" w:rsidP="00047864">
            <w:pPr>
              <w:spacing w:after="0" w:line="240" w:lineRule="auto"/>
              <w:jc w:val="right"/>
              <w:rPr>
                <w:rFonts w:ascii="Arial" w:eastAsia="Times New Roman" w:hAnsi="Arial" w:cs="Arial"/>
                <w:color w:val="000000"/>
                <w:sz w:val="18"/>
                <w:szCs w:val="18"/>
                <w:lang w:eastAsia="sl-SI"/>
              </w:rPr>
            </w:pPr>
            <w:r w:rsidRPr="0049351F">
              <w:rPr>
                <w:rFonts w:ascii="Arial" w:hAnsi="Arial" w:cs="Arial"/>
                <w:color w:val="000000"/>
                <w:sz w:val="18"/>
                <w:szCs w:val="18"/>
              </w:rPr>
              <w:t>14.664.910</w:t>
            </w:r>
          </w:p>
        </w:tc>
        <w:tc>
          <w:tcPr>
            <w:tcW w:w="596" w:type="pct"/>
            <w:shd w:val="clear" w:color="auto" w:fill="auto"/>
            <w:noWrap/>
            <w:vAlign w:val="center"/>
            <w:hideMark/>
          </w:tcPr>
          <w:p w14:paraId="7F8048E2" w14:textId="77777777" w:rsidR="00E3750C" w:rsidRPr="0049351F" w:rsidRDefault="00E3750C" w:rsidP="00047864">
            <w:pPr>
              <w:spacing w:after="0" w:line="240" w:lineRule="auto"/>
              <w:jc w:val="right"/>
              <w:rPr>
                <w:rFonts w:ascii="Arial" w:eastAsia="Times New Roman" w:hAnsi="Arial" w:cs="Arial"/>
                <w:color w:val="000000"/>
                <w:sz w:val="18"/>
                <w:szCs w:val="18"/>
                <w:lang w:eastAsia="sl-SI"/>
              </w:rPr>
            </w:pPr>
            <w:r w:rsidRPr="0049351F">
              <w:rPr>
                <w:rFonts w:ascii="Arial" w:hAnsi="Arial" w:cs="Arial"/>
                <w:sz w:val="18"/>
                <w:szCs w:val="18"/>
              </w:rPr>
              <w:t>50,00 %</w:t>
            </w:r>
          </w:p>
        </w:tc>
        <w:tc>
          <w:tcPr>
            <w:tcW w:w="596" w:type="pct"/>
            <w:shd w:val="clear" w:color="auto" w:fill="auto"/>
            <w:noWrap/>
            <w:vAlign w:val="center"/>
            <w:hideMark/>
          </w:tcPr>
          <w:p w14:paraId="7779124A" w14:textId="77777777" w:rsidR="00E3750C" w:rsidRPr="0049351F" w:rsidRDefault="00E3750C" w:rsidP="00047864">
            <w:pPr>
              <w:spacing w:after="0" w:line="240" w:lineRule="auto"/>
              <w:jc w:val="right"/>
              <w:rPr>
                <w:rFonts w:ascii="Arial" w:eastAsia="Times New Roman" w:hAnsi="Arial" w:cs="Arial"/>
                <w:color w:val="000000"/>
                <w:sz w:val="18"/>
                <w:szCs w:val="18"/>
                <w:lang w:eastAsia="sl-SI"/>
              </w:rPr>
            </w:pPr>
            <w:r w:rsidRPr="0049351F">
              <w:rPr>
                <w:rFonts w:ascii="Arial" w:hAnsi="Arial" w:cs="Arial"/>
                <w:sz w:val="18"/>
                <w:szCs w:val="18"/>
              </w:rPr>
              <w:t>34,89 %</w:t>
            </w:r>
          </w:p>
        </w:tc>
      </w:tr>
      <w:tr w:rsidR="00E3750C" w:rsidRPr="0049351F" w14:paraId="1A31DB1E" w14:textId="77777777" w:rsidTr="00047864">
        <w:trPr>
          <w:trHeight w:val="300"/>
        </w:trPr>
        <w:tc>
          <w:tcPr>
            <w:tcW w:w="1001" w:type="pct"/>
            <w:vMerge/>
            <w:vAlign w:val="center"/>
            <w:hideMark/>
          </w:tcPr>
          <w:p w14:paraId="23B92492" w14:textId="77777777" w:rsidR="00E3750C" w:rsidRPr="0049351F" w:rsidRDefault="00E3750C" w:rsidP="00047864">
            <w:pPr>
              <w:spacing w:after="0" w:line="240" w:lineRule="auto"/>
              <w:rPr>
                <w:rFonts w:ascii="Arial" w:eastAsia="Times New Roman" w:hAnsi="Arial" w:cs="Arial"/>
                <w:color w:val="000000"/>
                <w:sz w:val="18"/>
                <w:szCs w:val="18"/>
                <w:lang w:eastAsia="sl-SI"/>
              </w:rPr>
            </w:pPr>
          </w:p>
        </w:tc>
        <w:tc>
          <w:tcPr>
            <w:tcW w:w="850" w:type="pct"/>
            <w:shd w:val="clear" w:color="auto" w:fill="auto"/>
            <w:vAlign w:val="center"/>
            <w:hideMark/>
          </w:tcPr>
          <w:p w14:paraId="10BCB568" w14:textId="77777777" w:rsidR="00E3750C" w:rsidRPr="0049351F" w:rsidRDefault="00E3750C" w:rsidP="00047864">
            <w:pPr>
              <w:spacing w:after="0" w:line="240" w:lineRule="auto"/>
              <w:rPr>
                <w:rFonts w:ascii="Arial" w:eastAsia="Times New Roman" w:hAnsi="Arial" w:cs="Arial"/>
                <w:b/>
                <w:bCs/>
                <w:color w:val="000000"/>
                <w:sz w:val="18"/>
                <w:szCs w:val="18"/>
                <w:lang w:eastAsia="sl-SI"/>
              </w:rPr>
            </w:pPr>
            <w:r w:rsidRPr="0049351F">
              <w:rPr>
                <w:rFonts w:ascii="Arial" w:eastAsia="Times New Roman" w:hAnsi="Arial" w:cs="Arial"/>
                <w:b/>
                <w:bCs/>
                <w:color w:val="000000"/>
                <w:sz w:val="18"/>
                <w:szCs w:val="18"/>
                <w:lang w:eastAsia="sl-SI"/>
              </w:rPr>
              <w:t>Skupaj</w:t>
            </w:r>
          </w:p>
        </w:tc>
        <w:tc>
          <w:tcPr>
            <w:tcW w:w="850" w:type="pct"/>
            <w:shd w:val="clear" w:color="auto" w:fill="auto"/>
            <w:vAlign w:val="center"/>
            <w:hideMark/>
          </w:tcPr>
          <w:p w14:paraId="32880B62" w14:textId="77777777" w:rsidR="00E3750C" w:rsidRPr="0049351F" w:rsidRDefault="00E3750C" w:rsidP="00047864">
            <w:pPr>
              <w:spacing w:after="0" w:line="240" w:lineRule="auto"/>
              <w:jc w:val="right"/>
              <w:rPr>
                <w:rFonts w:ascii="Arial" w:eastAsia="Times New Roman" w:hAnsi="Arial" w:cs="Arial"/>
                <w:b/>
                <w:bCs/>
                <w:color w:val="000000"/>
                <w:sz w:val="18"/>
                <w:szCs w:val="18"/>
                <w:lang w:eastAsia="sl-SI"/>
              </w:rPr>
            </w:pPr>
            <w:r w:rsidRPr="0049351F">
              <w:rPr>
                <w:rFonts w:ascii="Arial" w:hAnsi="Arial" w:cs="Arial"/>
                <w:b/>
                <w:bCs/>
                <w:color w:val="000000"/>
                <w:sz w:val="18"/>
                <w:szCs w:val="18"/>
              </w:rPr>
              <w:t>48</w:t>
            </w:r>
          </w:p>
        </w:tc>
        <w:tc>
          <w:tcPr>
            <w:tcW w:w="1106" w:type="pct"/>
            <w:shd w:val="clear" w:color="auto" w:fill="auto"/>
            <w:vAlign w:val="center"/>
            <w:hideMark/>
          </w:tcPr>
          <w:p w14:paraId="282975B6" w14:textId="77777777" w:rsidR="00E3750C" w:rsidRPr="0049351F" w:rsidRDefault="00E3750C" w:rsidP="00047864">
            <w:pPr>
              <w:spacing w:after="0" w:line="240" w:lineRule="auto"/>
              <w:jc w:val="right"/>
              <w:rPr>
                <w:rFonts w:ascii="Arial" w:eastAsia="Times New Roman" w:hAnsi="Arial" w:cs="Arial"/>
                <w:b/>
                <w:bCs/>
                <w:color w:val="000000"/>
                <w:sz w:val="18"/>
                <w:szCs w:val="18"/>
                <w:lang w:eastAsia="sl-SI"/>
              </w:rPr>
            </w:pPr>
            <w:r w:rsidRPr="0049351F">
              <w:rPr>
                <w:rFonts w:ascii="Arial" w:hAnsi="Arial" w:cs="Arial"/>
                <w:b/>
                <w:bCs/>
                <w:color w:val="000000"/>
                <w:sz w:val="18"/>
                <w:szCs w:val="18"/>
              </w:rPr>
              <w:t>42.028.460</w:t>
            </w:r>
          </w:p>
        </w:tc>
        <w:tc>
          <w:tcPr>
            <w:tcW w:w="596" w:type="pct"/>
            <w:shd w:val="clear" w:color="auto" w:fill="auto"/>
            <w:noWrap/>
            <w:vAlign w:val="center"/>
            <w:hideMark/>
          </w:tcPr>
          <w:p w14:paraId="5995890E" w14:textId="77777777" w:rsidR="00E3750C" w:rsidRPr="0049351F" w:rsidRDefault="00E3750C" w:rsidP="00047864">
            <w:pPr>
              <w:spacing w:after="0" w:line="240" w:lineRule="auto"/>
              <w:jc w:val="right"/>
              <w:rPr>
                <w:rFonts w:ascii="Arial" w:eastAsia="Times New Roman" w:hAnsi="Arial" w:cs="Arial"/>
                <w:b/>
                <w:bCs/>
                <w:color w:val="000000"/>
                <w:sz w:val="18"/>
                <w:szCs w:val="18"/>
                <w:lang w:eastAsia="sl-SI"/>
              </w:rPr>
            </w:pPr>
            <w:r w:rsidRPr="0049351F">
              <w:rPr>
                <w:rFonts w:ascii="Arial" w:hAnsi="Arial" w:cs="Arial"/>
                <w:b/>
                <w:bCs/>
                <w:sz w:val="18"/>
                <w:szCs w:val="18"/>
              </w:rPr>
              <w:t>100,00 %</w:t>
            </w:r>
          </w:p>
        </w:tc>
        <w:tc>
          <w:tcPr>
            <w:tcW w:w="596" w:type="pct"/>
            <w:shd w:val="clear" w:color="auto" w:fill="auto"/>
            <w:noWrap/>
            <w:vAlign w:val="center"/>
            <w:hideMark/>
          </w:tcPr>
          <w:p w14:paraId="58B7B1EE" w14:textId="77777777" w:rsidR="00E3750C" w:rsidRPr="0049351F" w:rsidRDefault="00E3750C" w:rsidP="00047864">
            <w:pPr>
              <w:spacing w:after="0" w:line="240" w:lineRule="auto"/>
              <w:jc w:val="right"/>
              <w:rPr>
                <w:rFonts w:ascii="Arial" w:eastAsia="Times New Roman" w:hAnsi="Arial" w:cs="Arial"/>
                <w:b/>
                <w:bCs/>
                <w:color w:val="000000"/>
                <w:sz w:val="18"/>
                <w:szCs w:val="18"/>
                <w:lang w:eastAsia="sl-SI"/>
              </w:rPr>
            </w:pPr>
            <w:r w:rsidRPr="0049351F">
              <w:rPr>
                <w:rFonts w:ascii="Arial" w:hAnsi="Arial" w:cs="Arial"/>
                <w:b/>
                <w:bCs/>
                <w:sz w:val="18"/>
                <w:szCs w:val="18"/>
              </w:rPr>
              <w:t>100,00 %</w:t>
            </w:r>
          </w:p>
        </w:tc>
      </w:tr>
      <w:tr w:rsidR="00E3750C" w:rsidRPr="0049351F" w14:paraId="7AA45EE5" w14:textId="77777777" w:rsidTr="00047864">
        <w:trPr>
          <w:gridAfter w:val="2"/>
          <w:wAfter w:w="1193" w:type="pct"/>
          <w:trHeight w:val="300"/>
        </w:trPr>
        <w:tc>
          <w:tcPr>
            <w:tcW w:w="1851" w:type="pct"/>
            <w:gridSpan w:val="2"/>
            <w:shd w:val="clear" w:color="auto" w:fill="F2F2F2" w:themeFill="background1" w:themeFillShade="F2"/>
            <w:vAlign w:val="center"/>
            <w:hideMark/>
          </w:tcPr>
          <w:p w14:paraId="05AFD7B5" w14:textId="77777777" w:rsidR="00E3750C" w:rsidRPr="0049351F" w:rsidRDefault="00E3750C" w:rsidP="00047864">
            <w:pPr>
              <w:spacing w:after="0" w:line="240" w:lineRule="auto"/>
              <w:rPr>
                <w:rFonts w:ascii="Arial" w:eastAsia="Times New Roman" w:hAnsi="Arial" w:cs="Arial"/>
                <w:b/>
                <w:bCs/>
                <w:color w:val="000000"/>
                <w:sz w:val="18"/>
                <w:szCs w:val="18"/>
                <w:lang w:eastAsia="sl-SI"/>
              </w:rPr>
            </w:pPr>
            <w:r w:rsidRPr="0049351F">
              <w:rPr>
                <w:rFonts w:ascii="Arial" w:eastAsia="Times New Roman" w:hAnsi="Arial" w:cs="Arial"/>
                <w:b/>
                <w:bCs/>
                <w:color w:val="000000"/>
                <w:sz w:val="18"/>
                <w:szCs w:val="18"/>
                <w:lang w:eastAsia="sl-SI"/>
              </w:rPr>
              <w:t>Skupaj</w:t>
            </w:r>
          </w:p>
        </w:tc>
        <w:tc>
          <w:tcPr>
            <w:tcW w:w="850" w:type="pct"/>
            <w:shd w:val="clear" w:color="auto" w:fill="F2F2F2" w:themeFill="background1" w:themeFillShade="F2"/>
            <w:vAlign w:val="center"/>
            <w:hideMark/>
          </w:tcPr>
          <w:p w14:paraId="45F2EB02" w14:textId="77777777" w:rsidR="00E3750C" w:rsidRPr="0049351F" w:rsidRDefault="00E3750C" w:rsidP="00047864">
            <w:pPr>
              <w:spacing w:after="0" w:line="240" w:lineRule="auto"/>
              <w:jc w:val="right"/>
              <w:rPr>
                <w:rFonts w:ascii="Arial" w:eastAsia="Times New Roman" w:hAnsi="Arial" w:cs="Arial"/>
                <w:b/>
                <w:bCs/>
                <w:color w:val="000000"/>
                <w:sz w:val="18"/>
                <w:szCs w:val="18"/>
                <w:lang w:eastAsia="sl-SI"/>
              </w:rPr>
            </w:pPr>
            <w:r w:rsidRPr="0049351F">
              <w:rPr>
                <w:rFonts w:ascii="Arial" w:hAnsi="Arial" w:cs="Arial"/>
                <w:b/>
                <w:bCs/>
                <w:color w:val="000000"/>
                <w:sz w:val="18"/>
                <w:szCs w:val="18"/>
              </w:rPr>
              <w:t>10.289</w:t>
            </w:r>
          </w:p>
        </w:tc>
        <w:tc>
          <w:tcPr>
            <w:tcW w:w="1106" w:type="pct"/>
            <w:shd w:val="clear" w:color="auto" w:fill="F2F2F2" w:themeFill="background1" w:themeFillShade="F2"/>
            <w:vAlign w:val="center"/>
            <w:hideMark/>
          </w:tcPr>
          <w:p w14:paraId="132E84AB" w14:textId="77777777" w:rsidR="00E3750C" w:rsidRPr="0049351F" w:rsidRDefault="00E3750C" w:rsidP="00047864">
            <w:pPr>
              <w:spacing w:after="0"/>
              <w:jc w:val="right"/>
              <w:rPr>
                <w:rFonts w:ascii="Arial" w:hAnsi="Arial" w:cs="Arial"/>
                <w:b/>
                <w:bCs/>
                <w:color w:val="000000"/>
                <w:sz w:val="18"/>
                <w:szCs w:val="18"/>
              </w:rPr>
            </w:pPr>
            <w:r w:rsidRPr="0049351F">
              <w:rPr>
                <w:rFonts w:ascii="Arial" w:hAnsi="Arial" w:cs="Arial"/>
                <w:b/>
                <w:bCs/>
                <w:color w:val="000000"/>
                <w:sz w:val="18"/>
                <w:szCs w:val="18"/>
              </w:rPr>
              <w:t>4.178.721.659</w:t>
            </w:r>
          </w:p>
        </w:tc>
      </w:tr>
    </w:tbl>
    <w:p w14:paraId="0ED98209" w14:textId="77777777" w:rsidR="00E3750C" w:rsidRPr="0049351F" w:rsidRDefault="00E3750C" w:rsidP="00E3750C">
      <w:pPr>
        <w:spacing w:before="120" w:after="120" w:line="240" w:lineRule="auto"/>
        <w:jc w:val="both"/>
        <w:rPr>
          <w:rFonts w:ascii="Arial" w:hAnsi="Arial" w:cs="Arial"/>
          <w:sz w:val="20"/>
        </w:rPr>
      </w:pPr>
    </w:p>
    <w:p w14:paraId="495E5D13" w14:textId="77777777" w:rsidR="00E3750C" w:rsidRPr="00D763F2" w:rsidRDefault="00E3750C" w:rsidP="00E3750C">
      <w:pPr>
        <w:spacing w:before="120" w:after="0" w:line="240" w:lineRule="auto"/>
        <w:jc w:val="both"/>
        <w:rPr>
          <w:rFonts w:ascii="Arial" w:hAnsi="Arial" w:cs="Arial"/>
          <w:sz w:val="20"/>
        </w:rPr>
      </w:pPr>
      <w:r w:rsidRPr="00D763F2">
        <w:rPr>
          <w:rFonts w:ascii="Arial" w:hAnsi="Arial" w:cs="Arial"/>
          <w:sz w:val="20"/>
        </w:rPr>
        <w:t>Preglednica 6</w:t>
      </w:r>
      <w:r>
        <w:rPr>
          <w:rFonts w:ascii="Arial" w:hAnsi="Arial" w:cs="Arial"/>
          <w:sz w:val="20"/>
        </w:rPr>
        <w:t>6</w:t>
      </w:r>
      <w:r w:rsidRPr="00D763F2">
        <w:rPr>
          <w:rFonts w:ascii="Arial" w:hAnsi="Arial" w:cs="Arial"/>
          <w:sz w:val="20"/>
        </w:rPr>
        <w:t xml:space="preserve">: Naročila, objavljena na portalu javnih naročil in v Uradnem listu Evropske unije glede na področje in vrsto postopka </w:t>
      </w:r>
    </w:p>
    <w:p w14:paraId="44257885" w14:textId="77777777" w:rsidR="00E3750C" w:rsidRPr="00D763F2" w:rsidRDefault="00E3750C" w:rsidP="00E3750C">
      <w:pPr>
        <w:spacing w:after="0" w:line="240" w:lineRule="auto"/>
        <w:jc w:val="both"/>
        <w:rPr>
          <w:rFonts w:ascii="Arial" w:hAnsi="Arial" w:cs="Arial"/>
          <w:sz w:val="20"/>
        </w:rPr>
      </w:pPr>
    </w:p>
    <w:tbl>
      <w:tblPr>
        <w:tblW w:w="5000" w:type="pct"/>
        <w:tblCellMar>
          <w:left w:w="70" w:type="dxa"/>
          <w:right w:w="70" w:type="dxa"/>
        </w:tblCellMar>
        <w:tblLook w:val="04A0" w:firstRow="1" w:lastRow="0" w:firstColumn="1" w:lastColumn="0" w:noHBand="0" w:noVBand="1"/>
      </w:tblPr>
      <w:tblGrid>
        <w:gridCol w:w="1303"/>
        <w:gridCol w:w="3726"/>
        <w:gridCol w:w="912"/>
        <w:gridCol w:w="1431"/>
        <w:gridCol w:w="901"/>
        <w:gridCol w:w="901"/>
      </w:tblGrid>
      <w:tr w:rsidR="00E3750C" w:rsidRPr="00D763F2" w14:paraId="40D29909" w14:textId="77777777" w:rsidTr="00047864">
        <w:trPr>
          <w:trHeight w:val="720"/>
        </w:trPr>
        <w:tc>
          <w:tcPr>
            <w:tcW w:w="710"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6C8D5F41" w14:textId="77777777" w:rsidR="00E3750C" w:rsidRPr="00D763F2" w:rsidRDefault="00E3750C" w:rsidP="00047864">
            <w:pPr>
              <w:spacing w:after="0" w:line="240" w:lineRule="auto"/>
              <w:jc w:val="center"/>
              <w:rPr>
                <w:rFonts w:ascii="Arial" w:eastAsia="Times New Roman" w:hAnsi="Arial" w:cs="Arial"/>
                <w:color w:val="000000"/>
                <w:sz w:val="18"/>
                <w:szCs w:val="18"/>
                <w:lang w:eastAsia="sl-SI"/>
              </w:rPr>
            </w:pPr>
            <w:r w:rsidRPr="00D763F2">
              <w:rPr>
                <w:rFonts w:ascii="Arial" w:eastAsia="Times New Roman" w:hAnsi="Arial" w:cs="Arial"/>
                <w:color w:val="000000"/>
                <w:sz w:val="18"/>
                <w:szCs w:val="18"/>
                <w:lang w:eastAsia="sl-SI"/>
              </w:rPr>
              <w:t>Področje</w:t>
            </w:r>
          </w:p>
        </w:tc>
        <w:tc>
          <w:tcPr>
            <w:tcW w:w="2031" w:type="pct"/>
            <w:tcBorders>
              <w:top w:val="single" w:sz="4" w:space="0" w:color="auto"/>
              <w:left w:val="nil"/>
              <w:bottom w:val="single" w:sz="4" w:space="0" w:color="auto"/>
              <w:right w:val="single" w:sz="4" w:space="0" w:color="auto"/>
            </w:tcBorders>
            <w:shd w:val="clear" w:color="000000" w:fill="F2F2F2"/>
            <w:vAlign w:val="center"/>
            <w:hideMark/>
          </w:tcPr>
          <w:p w14:paraId="068C31C2" w14:textId="77777777" w:rsidR="00E3750C" w:rsidRPr="00D763F2" w:rsidRDefault="00E3750C" w:rsidP="00047864">
            <w:pPr>
              <w:spacing w:after="0" w:line="240" w:lineRule="auto"/>
              <w:jc w:val="center"/>
              <w:rPr>
                <w:rFonts w:ascii="Arial" w:eastAsia="Times New Roman" w:hAnsi="Arial" w:cs="Arial"/>
                <w:color w:val="000000"/>
                <w:sz w:val="18"/>
                <w:szCs w:val="18"/>
                <w:lang w:eastAsia="sl-SI"/>
              </w:rPr>
            </w:pPr>
            <w:r w:rsidRPr="00D763F2">
              <w:rPr>
                <w:rFonts w:ascii="Arial" w:eastAsia="Times New Roman" w:hAnsi="Arial" w:cs="Arial"/>
                <w:color w:val="000000"/>
                <w:sz w:val="18"/>
                <w:szCs w:val="18"/>
                <w:lang w:eastAsia="sl-SI"/>
              </w:rPr>
              <w:t>Vrsta postopka</w:t>
            </w:r>
          </w:p>
        </w:tc>
        <w:tc>
          <w:tcPr>
            <w:tcW w:w="497" w:type="pct"/>
            <w:tcBorders>
              <w:top w:val="single" w:sz="4" w:space="0" w:color="auto"/>
              <w:left w:val="nil"/>
              <w:bottom w:val="single" w:sz="4" w:space="0" w:color="auto"/>
              <w:right w:val="single" w:sz="4" w:space="0" w:color="auto"/>
            </w:tcBorders>
            <w:shd w:val="clear" w:color="000000" w:fill="F2F2F2"/>
            <w:vAlign w:val="center"/>
            <w:hideMark/>
          </w:tcPr>
          <w:p w14:paraId="4B5D9DBE" w14:textId="77777777" w:rsidR="00E3750C" w:rsidRPr="00D763F2" w:rsidRDefault="00E3750C" w:rsidP="00047864">
            <w:pPr>
              <w:spacing w:after="0" w:line="240" w:lineRule="auto"/>
              <w:jc w:val="center"/>
              <w:rPr>
                <w:rFonts w:ascii="Arial" w:eastAsia="Times New Roman" w:hAnsi="Arial" w:cs="Arial"/>
                <w:color w:val="000000"/>
                <w:sz w:val="18"/>
                <w:szCs w:val="18"/>
                <w:lang w:eastAsia="sl-SI"/>
              </w:rPr>
            </w:pPr>
            <w:r w:rsidRPr="00D763F2">
              <w:rPr>
                <w:rFonts w:ascii="Arial" w:eastAsia="Times New Roman" w:hAnsi="Arial" w:cs="Arial"/>
                <w:color w:val="000000"/>
                <w:sz w:val="18"/>
                <w:szCs w:val="18"/>
                <w:lang w:eastAsia="sl-SI"/>
              </w:rPr>
              <w:t>Št. naročil</w:t>
            </w:r>
          </w:p>
        </w:tc>
        <w:tc>
          <w:tcPr>
            <w:tcW w:w="780" w:type="pct"/>
            <w:tcBorders>
              <w:top w:val="single" w:sz="4" w:space="0" w:color="auto"/>
              <w:left w:val="nil"/>
              <w:bottom w:val="single" w:sz="4" w:space="0" w:color="auto"/>
              <w:right w:val="single" w:sz="4" w:space="0" w:color="auto"/>
            </w:tcBorders>
            <w:shd w:val="clear" w:color="000000" w:fill="F2F2F2"/>
            <w:vAlign w:val="center"/>
            <w:hideMark/>
          </w:tcPr>
          <w:p w14:paraId="617959B0" w14:textId="77777777" w:rsidR="00E3750C" w:rsidRPr="00D763F2" w:rsidRDefault="00E3750C" w:rsidP="00047864">
            <w:pPr>
              <w:spacing w:after="0" w:line="240" w:lineRule="auto"/>
              <w:jc w:val="center"/>
              <w:rPr>
                <w:rFonts w:ascii="Arial" w:eastAsia="Times New Roman" w:hAnsi="Arial" w:cs="Arial"/>
                <w:color w:val="000000"/>
                <w:sz w:val="18"/>
                <w:szCs w:val="18"/>
                <w:lang w:eastAsia="sl-SI"/>
              </w:rPr>
            </w:pPr>
            <w:r w:rsidRPr="00D763F2">
              <w:rPr>
                <w:rFonts w:ascii="Arial" w:eastAsia="Times New Roman" w:hAnsi="Arial" w:cs="Arial"/>
                <w:color w:val="000000"/>
                <w:sz w:val="18"/>
                <w:szCs w:val="18"/>
                <w:lang w:eastAsia="sl-SI"/>
              </w:rPr>
              <w:t>Pogodbena vrednost</w:t>
            </w:r>
          </w:p>
        </w:tc>
        <w:tc>
          <w:tcPr>
            <w:tcW w:w="491" w:type="pct"/>
            <w:tcBorders>
              <w:top w:val="single" w:sz="4" w:space="0" w:color="auto"/>
              <w:left w:val="nil"/>
              <w:bottom w:val="single" w:sz="4" w:space="0" w:color="auto"/>
              <w:right w:val="single" w:sz="4" w:space="0" w:color="auto"/>
            </w:tcBorders>
            <w:shd w:val="clear" w:color="000000" w:fill="F2F2F2"/>
            <w:vAlign w:val="center"/>
            <w:hideMark/>
          </w:tcPr>
          <w:p w14:paraId="0772A2B6" w14:textId="77777777" w:rsidR="00E3750C" w:rsidRPr="00D763F2" w:rsidRDefault="00E3750C" w:rsidP="00047864">
            <w:pPr>
              <w:spacing w:after="0" w:line="240" w:lineRule="auto"/>
              <w:jc w:val="center"/>
              <w:rPr>
                <w:rFonts w:ascii="Arial" w:eastAsia="Times New Roman" w:hAnsi="Arial" w:cs="Arial"/>
                <w:color w:val="000000"/>
                <w:sz w:val="18"/>
                <w:szCs w:val="18"/>
                <w:lang w:eastAsia="sl-SI"/>
              </w:rPr>
            </w:pPr>
            <w:r w:rsidRPr="00D763F2">
              <w:rPr>
                <w:rFonts w:ascii="Arial" w:eastAsia="Times New Roman" w:hAnsi="Arial" w:cs="Arial"/>
                <w:color w:val="000000"/>
                <w:sz w:val="18"/>
                <w:szCs w:val="18"/>
                <w:lang w:eastAsia="sl-SI"/>
              </w:rPr>
              <w:t>Delež v št. naročil</w:t>
            </w:r>
          </w:p>
        </w:tc>
        <w:tc>
          <w:tcPr>
            <w:tcW w:w="491" w:type="pct"/>
            <w:tcBorders>
              <w:top w:val="single" w:sz="4" w:space="0" w:color="auto"/>
              <w:left w:val="nil"/>
              <w:bottom w:val="single" w:sz="4" w:space="0" w:color="auto"/>
              <w:right w:val="single" w:sz="4" w:space="0" w:color="auto"/>
            </w:tcBorders>
            <w:shd w:val="clear" w:color="000000" w:fill="F2F2F2"/>
            <w:vAlign w:val="center"/>
            <w:hideMark/>
          </w:tcPr>
          <w:p w14:paraId="53D8D790" w14:textId="77777777" w:rsidR="00E3750C" w:rsidRPr="00D763F2" w:rsidRDefault="00E3750C" w:rsidP="00047864">
            <w:pPr>
              <w:spacing w:after="0" w:line="240" w:lineRule="auto"/>
              <w:jc w:val="center"/>
              <w:rPr>
                <w:rFonts w:ascii="Arial" w:eastAsia="Times New Roman" w:hAnsi="Arial" w:cs="Arial"/>
                <w:color w:val="000000"/>
                <w:sz w:val="18"/>
                <w:szCs w:val="18"/>
                <w:lang w:eastAsia="sl-SI"/>
              </w:rPr>
            </w:pPr>
            <w:r w:rsidRPr="00D763F2">
              <w:rPr>
                <w:rFonts w:ascii="Arial" w:eastAsia="Times New Roman" w:hAnsi="Arial" w:cs="Arial"/>
                <w:color w:val="000000"/>
                <w:sz w:val="18"/>
                <w:szCs w:val="18"/>
                <w:lang w:eastAsia="sl-SI"/>
              </w:rPr>
              <w:t>Delež  vrednosti naročil</w:t>
            </w:r>
          </w:p>
        </w:tc>
      </w:tr>
      <w:tr w:rsidR="00E3750C" w:rsidRPr="00D763F2" w14:paraId="1F03AA4E" w14:textId="77777777" w:rsidTr="00047864">
        <w:trPr>
          <w:trHeight w:val="300"/>
        </w:trPr>
        <w:tc>
          <w:tcPr>
            <w:tcW w:w="710" w:type="pct"/>
            <w:vMerge w:val="restart"/>
            <w:tcBorders>
              <w:top w:val="nil"/>
              <w:left w:val="single" w:sz="4" w:space="0" w:color="auto"/>
              <w:bottom w:val="single" w:sz="4" w:space="0" w:color="auto"/>
              <w:right w:val="single" w:sz="4" w:space="0" w:color="auto"/>
            </w:tcBorders>
            <w:shd w:val="clear" w:color="auto" w:fill="auto"/>
            <w:vAlign w:val="center"/>
            <w:hideMark/>
          </w:tcPr>
          <w:p w14:paraId="6A45D36C" w14:textId="77777777" w:rsidR="00E3750C" w:rsidRPr="00D763F2" w:rsidRDefault="00E3750C" w:rsidP="00047864">
            <w:pPr>
              <w:spacing w:after="0" w:line="240" w:lineRule="auto"/>
              <w:rPr>
                <w:rFonts w:ascii="Arial" w:eastAsia="Times New Roman" w:hAnsi="Arial" w:cs="Arial"/>
                <w:color w:val="000000"/>
                <w:sz w:val="18"/>
                <w:szCs w:val="18"/>
                <w:lang w:eastAsia="sl-SI"/>
              </w:rPr>
            </w:pPr>
            <w:r w:rsidRPr="00D763F2">
              <w:rPr>
                <w:rFonts w:ascii="Arial" w:eastAsia="Times New Roman" w:hAnsi="Arial" w:cs="Arial"/>
                <w:color w:val="000000"/>
                <w:sz w:val="18"/>
                <w:szCs w:val="18"/>
                <w:lang w:eastAsia="sl-SI"/>
              </w:rPr>
              <w:t>Splošno</w:t>
            </w:r>
          </w:p>
        </w:tc>
        <w:tc>
          <w:tcPr>
            <w:tcW w:w="2031" w:type="pct"/>
            <w:tcBorders>
              <w:top w:val="nil"/>
              <w:left w:val="nil"/>
              <w:bottom w:val="single" w:sz="4" w:space="0" w:color="auto"/>
              <w:right w:val="single" w:sz="4" w:space="0" w:color="auto"/>
            </w:tcBorders>
            <w:shd w:val="clear" w:color="auto" w:fill="auto"/>
            <w:vAlign w:val="center"/>
            <w:hideMark/>
          </w:tcPr>
          <w:p w14:paraId="13CCB852" w14:textId="77777777" w:rsidR="00E3750C" w:rsidRPr="00D763F2" w:rsidRDefault="00E3750C" w:rsidP="00047864">
            <w:pPr>
              <w:spacing w:after="0" w:line="240" w:lineRule="auto"/>
              <w:rPr>
                <w:rFonts w:ascii="Arial" w:eastAsia="Times New Roman" w:hAnsi="Arial" w:cs="Arial"/>
                <w:color w:val="000000"/>
                <w:sz w:val="18"/>
                <w:szCs w:val="18"/>
                <w:lang w:eastAsia="sl-SI"/>
              </w:rPr>
            </w:pPr>
            <w:r w:rsidRPr="00D763F2">
              <w:rPr>
                <w:rFonts w:ascii="Arial" w:eastAsia="Times New Roman" w:hAnsi="Arial" w:cs="Arial"/>
                <w:color w:val="000000"/>
                <w:sz w:val="18"/>
                <w:szCs w:val="18"/>
                <w:lang w:eastAsia="sl-SI"/>
              </w:rPr>
              <w:t>Konkurenčni dialog</w:t>
            </w:r>
          </w:p>
        </w:tc>
        <w:tc>
          <w:tcPr>
            <w:tcW w:w="497" w:type="pct"/>
            <w:tcBorders>
              <w:top w:val="nil"/>
              <w:left w:val="nil"/>
              <w:bottom w:val="single" w:sz="4" w:space="0" w:color="auto"/>
              <w:right w:val="single" w:sz="4" w:space="0" w:color="auto"/>
            </w:tcBorders>
            <w:shd w:val="clear" w:color="auto" w:fill="auto"/>
            <w:vAlign w:val="center"/>
            <w:hideMark/>
          </w:tcPr>
          <w:p w14:paraId="2FC7CC5A" w14:textId="77777777" w:rsidR="00E3750C" w:rsidRPr="00D763F2" w:rsidRDefault="00E3750C" w:rsidP="00047864">
            <w:pPr>
              <w:spacing w:after="0" w:line="240" w:lineRule="auto"/>
              <w:jc w:val="right"/>
              <w:rPr>
                <w:rFonts w:ascii="Arial" w:eastAsia="Times New Roman" w:hAnsi="Arial" w:cs="Arial"/>
                <w:color w:val="000000"/>
                <w:sz w:val="18"/>
                <w:szCs w:val="18"/>
                <w:lang w:eastAsia="sl-SI"/>
              </w:rPr>
            </w:pPr>
            <w:r w:rsidRPr="00D763F2">
              <w:rPr>
                <w:rFonts w:ascii="Arial" w:hAnsi="Arial" w:cs="Arial"/>
                <w:color w:val="000000"/>
                <w:sz w:val="18"/>
                <w:szCs w:val="18"/>
              </w:rPr>
              <w:t>8</w:t>
            </w:r>
          </w:p>
        </w:tc>
        <w:tc>
          <w:tcPr>
            <w:tcW w:w="780" w:type="pct"/>
            <w:tcBorders>
              <w:top w:val="nil"/>
              <w:left w:val="nil"/>
              <w:bottom w:val="single" w:sz="4" w:space="0" w:color="auto"/>
              <w:right w:val="single" w:sz="4" w:space="0" w:color="auto"/>
            </w:tcBorders>
            <w:shd w:val="clear" w:color="auto" w:fill="auto"/>
            <w:vAlign w:val="center"/>
            <w:hideMark/>
          </w:tcPr>
          <w:p w14:paraId="1EF752C4" w14:textId="77777777" w:rsidR="00E3750C" w:rsidRPr="00D763F2" w:rsidRDefault="00E3750C" w:rsidP="00047864">
            <w:pPr>
              <w:spacing w:after="0" w:line="240" w:lineRule="auto"/>
              <w:jc w:val="right"/>
              <w:rPr>
                <w:rFonts w:ascii="Arial" w:eastAsia="Times New Roman" w:hAnsi="Arial" w:cs="Arial"/>
                <w:color w:val="000000"/>
                <w:sz w:val="18"/>
                <w:szCs w:val="18"/>
                <w:lang w:eastAsia="sl-SI"/>
              </w:rPr>
            </w:pPr>
            <w:r w:rsidRPr="00D763F2">
              <w:rPr>
                <w:rFonts w:ascii="Arial" w:hAnsi="Arial" w:cs="Arial"/>
                <w:color w:val="000000"/>
                <w:sz w:val="18"/>
                <w:szCs w:val="18"/>
              </w:rPr>
              <w:t>23.102.607</w:t>
            </w:r>
          </w:p>
        </w:tc>
        <w:tc>
          <w:tcPr>
            <w:tcW w:w="491" w:type="pct"/>
            <w:tcBorders>
              <w:top w:val="nil"/>
              <w:left w:val="nil"/>
              <w:bottom w:val="single" w:sz="4" w:space="0" w:color="auto"/>
              <w:right w:val="single" w:sz="4" w:space="0" w:color="auto"/>
            </w:tcBorders>
            <w:shd w:val="clear" w:color="auto" w:fill="auto"/>
            <w:noWrap/>
            <w:vAlign w:val="center"/>
            <w:hideMark/>
          </w:tcPr>
          <w:p w14:paraId="112EFA47" w14:textId="77777777" w:rsidR="00E3750C" w:rsidRPr="00D763F2" w:rsidRDefault="00E3750C" w:rsidP="00047864">
            <w:pPr>
              <w:spacing w:after="0" w:line="240" w:lineRule="auto"/>
              <w:jc w:val="right"/>
              <w:rPr>
                <w:rFonts w:ascii="Arial" w:eastAsia="Times New Roman" w:hAnsi="Arial" w:cs="Arial"/>
                <w:color w:val="000000"/>
                <w:sz w:val="18"/>
                <w:szCs w:val="18"/>
                <w:lang w:eastAsia="sl-SI"/>
              </w:rPr>
            </w:pPr>
            <w:r w:rsidRPr="00D763F2">
              <w:rPr>
                <w:rFonts w:ascii="Arial" w:hAnsi="Arial" w:cs="Arial"/>
                <w:color w:val="000000"/>
                <w:sz w:val="18"/>
                <w:szCs w:val="18"/>
              </w:rPr>
              <w:t>0,08 %</w:t>
            </w:r>
          </w:p>
        </w:tc>
        <w:tc>
          <w:tcPr>
            <w:tcW w:w="491" w:type="pct"/>
            <w:tcBorders>
              <w:top w:val="nil"/>
              <w:left w:val="nil"/>
              <w:bottom w:val="single" w:sz="4" w:space="0" w:color="auto"/>
              <w:right w:val="single" w:sz="4" w:space="0" w:color="auto"/>
            </w:tcBorders>
            <w:shd w:val="clear" w:color="auto" w:fill="auto"/>
            <w:noWrap/>
            <w:vAlign w:val="center"/>
            <w:hideMark/>
          </w:tcPr>
          <w:p w14:paraId="52443DCC" w14:textId="77777777" w:rsidR="00E3750C" w:rsidRPr="00D763F2" w:rsidRDefault="00E3750C" w:rsidP="00047864">
            <w:pPr>
              <w:spacing w:after="0" w:line="240" w:lineRule="auto"/>
              <w:jc w:val="right"/>
              <w:rPr>
                <w:rFonts w:ascii="Arial" w:eastAsia="Times New Roman" w:hAnsi="Arial" w:cs="Arial"/>
                <w:color w:val="000000"/>
                <w:sz w:val="18"/>
                <w:szCs w:val="18"/>
                <w:lang w:eastAsia="sl-SI"/>
              </w:rPr>
            </w:pPr>
            <w:r w:rsidRPr="00D763F2">
              <w:rPr>
                <w:rFonts w:ascii="Arial" w:hAnsi="Arial" w:cs="Arial"/>
                <w:color w:val="000000"/>
                <w:sz w:val="18"/>
                <w:szCs w:val="18"/>
              </w:rPr>
              <w:t>0,67 %</w:t>
            </w:r>
          </w:p>
        </w:tc>
      </w:tr>
      <w:tr w:rsidR="00E3750C" w:rsidRPr="00D763F2" w14:paraId="787235A0" w14:textId="77777777" w:rsidTr="00047864">
        <w:trPr>
          <w:trHeight w:val="300"/>
        </w:trPr>
        <w:tc>
          <w:tcPr>
            <w:tcW w:w="710" w:type="pct"/>
            <w:vMerge/>
            <w:tcBorders>
              <w:top w:val="nil"/>
              <w:left w:val="single" w:sz="4" w:space="0" w:color="auto"/>
              <w:bottom w:val="single" w:sz="4" w:space="0" w:color="auto"/>
              <w:right w:val="single" w:sz="4" w:space="0" w:color="auto"/>
            </w:tcBorders>
            <w:vAlign w:val="center"/>
            <w:hideMark/>
          </w:tcPr>
          <w:p w14:paraId="6AA93B17" w14:textId="77777777" w:rsidR="00E3750C" w:rsidRPr="00D763F2" w:rsidRDefault="00E3750C" w:rsidP="00047864">
            <w:pPr>
              <w:spacing w:after="0" w:line="240" w:lineRule="auto"/>
              <w:rPr>
                <w:rFonts w:ascii="Arial" w:eastAsia="Times New Roman" w:hAnsi="Arial" w:cs="Arial"/>
                <w:color w:val="000000"/>
                <w:sz w:val="18"/>
                <w:szCs w:val="18"/>
                <w:lang w:eastAsia="sl-SI"/>
              </w:rPr>
            </w:pPr>
          </w:p>
        </w:tc>
        <w:tc>
          <w:tcPr>
            <w:tcW w:w="2031" w:type="pct"/>
            <w:tcBorders>
              <w:top w:val="nil"/>
              <w:left w:val="nil"/>
              <w:bottom w:val="single" w:sz="4" w:space="0" w:color="auto"/>
              <w:right w:val="single" w:sz="4" w:space="0" w:color="auto"/>
            </w:tcBorders>
            <w:shd w:val="clear" w:color="auto" w:fill="auto"/>
            <w:vAlign w:val="center"/>
            <w:hideMark/>
          </w:tcPr>
          <w:p w14:paraId="794CC981" w14:textId="77777777" w:rsidR="00E3750C" w:rsidRPr="00D763F2" w:rsidRDefault="00E3750C" w:rsidP="00047864">
            <w:pPr>
              <w:spacing w:after="0" w:line="240" w:lineRule="auto"/>
              <w:rPr>
                <w:rFonts w:ascii="Arial" w:eastAsia="Times New Roman" w:hAnsi="Arial" w:cs="Arial"/>
                <w:color w:val="000000"/>
                <w:sz w:val="18"/>
                <w:szCs w:val="18"/>
                <w:lang w:eastAsia="sl-SI"/>
              </w:rPr>
            </w:pPr>
            <w:r w:rsidRPr="00D763F2">
              <w:rPr>
                <w:rFonts w:ascii="Arial" w:eastAsia="Times New Roman" w:hAnsi="Arial" w:cs="Arial"/>
                <w:color w:val="000000"/>
                <w:sz w:val="18"/>
                <w:szCs w:val="18"/>
                <w:lang w:eastAsia="sl-SI"/>
              </w:rPr>
              <w:t>Konkurenčni postopek s pogajanji</w:t>
            </w:r>
          </w:p>
        </w:tc>
        <w:tc>
          <w:tcPr>
            <w:tcW w:w="497" w:type="pct"/>
            <w:tcBorders>
              <w:top w:val="nil"/>
              <w:left w:val="nil"/>
              <w:bottom w:val="single" w:sz="4" w:space="0" w:color="auto"/>
              <w:right w:val="single" w:sz="4" w:space="0" w:color="auto"/>
            </w:tcBorders>
            <w:shd w:val="clear" w:color="auto" w:fill="auto"/>
            <w:vAlign w:val="center"/>
            <w:hideMark/>
          </w:tcPr>
          <w:p w14:paraId="11DB4623" w14:textId="77777777" w:rsidR="00E3750C" w:rsidRPr="00D763F2" w:rsidRDefault="00E3750C" w:rsidP="00047864">
            <w:pPr>
              <w:spacing w:after="0" w:line="240" w:lineRule="auto"/>
              <w:jc w:val="right"/>
              <w:rPr>
                <w:rFonts w:ascii="Arial" w:eastAsia="Times New Roman" w:hAnsi="Arial" w:cs="Arial"/>
                <w:color w:val="000000"/>
                <w:sz w:val="18"/>
                <w:szCs w:val="18"/>
                <w:lang w:eastAsia="sl-SI"/>
              </w:rPr>
            </w:pPr>
            <w:r w:rsidRPr="00D763F2">
              <w:rPr>
                <w:rFonts w:ascii="Arial" w:hAnsi="Arial" w:cs="Arial"/>
                <w:color w:val="000000"/>
                <w:sz w:val="18"/>
                <w:szCs w:val="18"/>
              </w:rPr>
              <w:t>111</w:t>
            </w:r>
          </w:p>
        </w:tc>
        <w:tc>
          <w:tcPr>
            <w:tcW w:w="780" w:type="pct"/>
            <w:tcBorders>
              <w:top w:val="nil"/>
              <w:left w:val="nil"/>
              <w:bottom w:val="single" w:sz="4" w:space="0" w:color="auto"/>
              <w:right w:val="single" w:sz="4" w:space="0" w:color="auto"/>
            </w:tcBorders>
            <w:shd w:val="clear" w:color="auto" w:fill="auto"/>
            <w:vAlign w:val="center"/>
            <w:hideMark/>
          </w:tcPr>
          <w:p w14:paraId="241E7253" w14:textId="77777777" w:rsidR="00E3750C" w:rsidRPr="00D763F2" w:rsidRDefault="00E3750C" w:rsidP="00047864">
            <w:pPr>
              <w:spacing w:after="0" w:line="240" w:lineRule="auto"/>
              <w:jc w:val="right"/>
              <w:rPr>
                <w:rFonts w:ascii="Arial" w:eastAsia="Times New Roman" w:hAnsi="Arial" w:cs="Arial"/>
                <w:color w:val="000000"/>
                <w:sz w:val="18"/>
                <w:szCs w:val="18"/>
                <w:lang w:eastAsia="sl-SI"/>
              </w:rPr>
            </w:pPr>
            <w:r w:rsidRPr="00D763F2">
              <w:rPr>
                <w:rFonts w:ascii="Arial" w:hAnsi="Arial" w:cs="Arial"/>
                <w:color w:val="000000"/>
                <w:sz w:val="18"/>
                <w:szCs w:val="18"/>
              </w:rPr>
              <w:t>312.355.497</w:t>
            </w:r>
          </w:p>
        </w:tc>
        <w:tc>
          <w:tcPr>
            <w:tcW w:w="491" w:type="pct"/>
            <w:tcBorders>
              <w:top w:val="nil"/>
              <w:left w:val="nil"/>
              <w:bottom w:val="single" w:sz="4" w:space="0" w:color="auto"/>
              <w:right w:val="single" w:sz="4" w:space="0" w:color="auto"/>
            </w:tcBorders>
            <w:shd w:val="clear" w:color="auto" w:fill="auto"/>
            <w:noWrap/>
            <w:vAlign w:val="center"/>
            <w:hideMark/>
          </w:tcPr>
          <w:p w14:paraId="3F14AA2D" w14:textId="77777777" w:rsidR="00E3750C" w:rsidRPr="00D763F2" w:rsidRDefault="00E3750C" w:rsidP="00047864">
            <w:pPr>
              <w:spacing w:after="0" w:line="240" w:lineRule="auto"/>
              <w:jc w:val="right"/>
              <w:rPr>
                <w:rFonts w:ascii="Arial" w:eastAsia="Times New Roman" w:hAnsi="Arial" w:cs="Arial"/>
                <w:color w:val="000000"/>
                <w:sz w:val="18"/>
                <w:szCs w:val="18"/>
                <w:lang w:eastAsia="sl-SI"/>
              </w:rPr>
            </w:pPr>
            <w:r w:rsidRPr="00D763F2">
              <w:rPr>
                <w:rFonts w:ascii="Arial" w:hAnsi="Arial" w:cs="Arial"/>
                <w:color w:val="000000"/>
                <w:sz w:val="18"/>
                <w:szCs w:val="18"/>
              </w:rPr>
              <w:t>1,15 %</w:t>
            </w:r>
          </w:p>
        </w:tc>
        <w:tc>
          <w:tcPr>
            <w:tcW w:w="491" w:type="pct"/>
            <w:tcBorders>
              <w:top w:val="nil"/>
              <w:left w:val="nil"/>
              <w:bottom w:val="single" w:sz="4" w:space="0" w:color="auto"/>
              <w:right w:val="single" w:sz="4" w:space="0" w:color="auto"/>
            </w:tcBorders>
            <w:shd w:val="clear" w:color="auto" w:fill="auto"/>
            <w:noWrap/>
            <w:vAlign w:val="center"/>
            <w:hideMark/>
          </w:tcPr>
          <w:p w14:paraId="16D159E4" w14:textId="77777777" w:rsidR="00E3750C" w:rsidRPr="00D763F2" w:rsidRDefault="00E3750C" w:rsidP="00047864">
            <w:pPr>
              <w:spacing w:after="0" w:line="240" w:lineRule="auto"/>
              <w:jc w:val="right"/>
              <w:rPr>
                <w:rFonts w:ascii="Arial" w:eastAsia="Times New Roman" w:hAnsi="Arial" w:cs="Arial"/>
                <w:color w:val="000000"/>
                <w:sz w:val="18"/>
                <w:szCs w:val="18"/>
                <w:lang w:eastAsia="sl-SI"/>
              </w:rPr>
            </w:pPr>
            <w:r w:rsidRPr="00D763F2">
              <w:rPr>
                <w:rFonts w:ascii="Arial" w:hAnsi="Arial" w:cs="Arial"/>
                <w:color w:val="000000"/>
                <w:sz w:val="18"/>
                <w:szCs w:val="18"/>
              </w:rPr>
              <w:t>9,06 %</w:t>
            </w:r>
          </w:p>
        </w:tc>
      </w:tr>
      <w:tr w:rsidR="00E3750C" w:rsidRPr="00D763F2" w14:paraId="7D6FA853" w14:textId="77777777" w:rsidTr="00047864">
        <w:trPr>
          <w:trHeight w:val="300"/>
        </w:trPr>
        <w:tc>
          <w:tcPr>
            <w:tcW w:w="710" w:type="pct"/>
            <w:vMerge/>
            <w:tcBorders>
              <w:top w:val="nil"/>
              <w:left w:val="single" w:sz="4" w:space="0" w:color="auto"/>
              <w:bottom w:val="single" w:sz="4" w:space="0" w:color="auto"/>
              <w:right w:val="single" w:sz="4" w:space="0" w:color="auto"/>
            </w:tcBorders>
            <w:vAlign w:val="center"/>
            <w:hideMark/>
          </w:tcPr>
          <w:p w14:paraId="508024FF" w14:textId="77777777" w:rsidR="00E3750C" w:rsidRPr="00D763F2" w:rsidRDefault="00E3750C" w:rsidP="00047864">
            <w:pPr>
              <w:spacing w:after="0" w:line="240" w:lineRule="auto"/>
              <w:rPr>
                <w:rFonts w:ascii="Arial" w:eastAsia="Times New Roman" w:hAnsi="Arial" w:cs="Arial"/>
                <w:color w:val="000000"/>
                <w:sz w:val="18"/>
                <w:szCs w:val="18"/>
                <w:lang w:eastAsia="sl-SI"/>
              </w:rPr>
            </w:pPr>
          </w:p>
        </w:tc>
        <w:tc>
          <w:tcPr>
            <w:tcW w:w="2031" w:type="pct"/>
            <w:tcBorders>
              <w:top w:val="nil"/>
              <w:left w:val="nil"/>
              <w:bottom w:val="single" w:sz="4" w:space="0" w:color="auto"/>
              <w:right w:val="single" w:sz="4" w:space="0" w:color="auto"/>
            </w:tcBorders>
            <w:shd w:val="clear" w:color="auto" w:fill="auto"/>
            <w:vAlign w:val="center"/>
            <w:hideMark/>
          </w:tcPr>
          <w:p w14:paraId="5F183DCD" w14:textId="77777777" w:rsidR="00E3750C" w:rsidRPr="00D763F2" w:rsidRDefault="00E3750C" w:rsidP="00047864">
            <w:pPr>
              <w:spacing w:after="0" w:line="240" w:lineRule="auto"/>
              <w:rPr>
                <w:rFonts w:ascii="Arial" w:eastAsia="Times New Roman" w:hAnsi="Arial" w:cs="Arial"/>
                <w:color w:val="000000"/>
                <w:sz w:val="18"/>
                <w:szCs w:val="18"/>
                <w:lang w:eastAsia="sl-SI"/>
              </w:rPr>
            </w:pPr>
            <w:r w:rsidRPr="00D763F2">
              <w:rPr>
                <w:rFonts w:ascii="Arial" w:eastAsia="Times New Roman" w:hAnsi="Arial" w:cs="Arial"/>
                <w:color w:val="000000"/>
                <w:sz w:val="18"/>
                <w:szCs w:val="18"/>
                <w:lang w:eastAsia="sl-SI"/>
              </w:rPr>
              <w:t>Odprti postopek</w:t>
            </w:r>
          </w:p>
        </w:tc>
        <w:tc>
          <w:tcPr>
            <w:tcW w:w="497" w:type="pct"/>
            <w:tcBorders>
              <w:top w:val="nil"/>
              <w:left w:val="nil"/>
              <w:bottom w:val="single" w:sz="4" w:space="0" w:color="auto"/>
              <w:right w:val="single" w:sz="4" w:space="0" w:color="auto"/>
            </w:tcBorders>
            <w:shd w:val="clear" w:color="auto" w:fill="auto"/>
            <w:vAlign w:val="center"/>
            <w:hideMark/>
          </w:tcPr>
          <w:p w14:paraId="4007C248" w14:textId="77777777" w:rsidR="00E3750C" w:rsidRPr="00D763F2" w:rsidRDefault="00E3750C" w:rsidP="00047864">
            <w:pPr>
              <w:spacing w:after="0" w:line="240" w:lineRule="auto"/>
              <w:jc w:val="right"/>
              <w:rPr>
                <w:rFonts w:ascii="Arial" w:eastAsia="Times New Roman" w:hAnsi="Arial" w:cs="Arial"/>
                <w:color w:val="000000"/>
                <w:sz w:val="18"/>
                <w:szCs w:val="18"/>
                <w:lang w:eastAsia="sl-SI"/>
              </w:rPr>
            </w:pPr>
            <w:r w:rsidRPr="00D763F2">
              <w:rPr>
                <w:rFonts w:ascii="Arial" w:hAnsi="Arial" w:cs="Arial"/>
                <w:color w:val="000000"/>
                <w:sz w:val="18"/>
                <w:szCs w:val="18"/>
              </w:rPr>
              <w:t>9.272</w:t>
            </w:r>
          </w:p>
        </w:tc>
        <w:tc>
          <w:tcPr>
            <w:tcW w:w="780" w:type="pct"/>
            <w:tcBorders>
              <w:top w:val="nil"/>
              <w:left w:val="nil"/>
              <w:bottom w:val="single" w:sz="4" w:space="0" w:color="auto"/>
              <w:right w:val="single" w:sz="4" w:space="0" w:color="auto"/>
            </w:tcBorders>
            <w:shd w:val="clear" w:color="auto" w:fill="auto"/>
            <w:vAlign w:val="center"/>
            <w:hideMark/>
          </w:tcPr>
          <w:p w14:paraId="04B511B6" w14:textId="77777777" w:rsidR="00E3750C" w:rsidRPr="00D763F2" w:rsidRDefault="00E3750C" w:rsidP="00047864">
            <w:pPr>
              <w:spacing w:after="0" w:line="240" w:lineRule="auto"/>
              <w:jc w:val="right"/>
              <w:rPr>
                <w:rFonts w:ascii="Arial" w:eastAsia="Times New Roman" w:hAnsi="Arial" w:cs="Arial"/>
                <w:color w:val="000000"/>
                <w:sz w:val="18"/>
                <w:szCs w:val="18"/>
                <w:lang w:eastAsia="sl-SI"/>
              </w:rPr>
            </w:pPr>
            <w:r w:rsidRPr="00D763F2">
              <w:rPr>
                <w:rFonts w:ascii="Arial" w:hAnsi="Arial" w:cs="Arial"/>
                <w:color w:val="000000"/>
                <w:sz w:val="18"/>
                <w:szCs w:val="18"/>
              </w:rPr>
              <w:t>2.877.218.915</w:t>
            </w:r>
          </w:p>
        </w:tc>
        <w:tc>
          <w:tcPr>
            <w:tcW w:w="491" w:type="pct"/>
            <w:tcBorders>
              <w:top w:val="nil"/>
              <w:left w:val="nil"/>
              <w:bottom w:val="single" w:sz="4" w:space="0" w:color="auto"/>
              <w:right w:val="single" w:sz="4" w:space="0" w:color="auto"/>
            </w:tcBorders>
            <w:shd w:val="clear" w:color="auto" w:fill="auto"/>
            <w:noWrap/>
            <w:vAlign w:val="center"/>
            <w:hideMark/>
          </w:tcPr>
          <w:p w14:paraId="31752685" w14:textId="77777777" w:rsidR="00E3750C" w:rsidRPr="00D763F2" w:rsidRDefault="00E3750C" w:rsidP="00047864">
            <w:pPr>
              <w:spacing w:after="0" w:line="240" w:lineRule="auto"/>
              <w:jc w:val="right"/>
              <w:rPr>
                <w:rFonts w:ascii="Arial" w:eastAsia="Times New Roman" w:hAnsi="Arial" w:cs="Arial"/>
                <w:color w:val="000000"/>
                <w:sz w:val="18"/>
                <w:szCs w:val="18"/>
                <w:lang w:eastAsia="sl-SI"/>
              </w:rPr>
            </w:pPr>
            <w:r w:rsidRPr="00D763F2">
              <w:rPr>
                <w:rFonts w:ascii="Arial" w:hAnsi="Arial" w:cs="Arial"/>
                <w:color w:val="000000"/>
                <w:sz w:val="18"/>
                <w:szCs w:val="18"/>
              </w:rPr>
              <w:t>95,90 %</w:t>
            </w:r>
          </w:p>
        </w:tc>
        <w:tc>
          <w:tcPr>
            <w:tcW w:w="491" w:type="pct"/>
            <w:tcBorders>
              <w:top w:val="nil"/>
              <w:left w:val="nil"/>
              <w:bottom w:val="single" w:sz="4" w:space="0" w:color="auto"/>
              <w:right w:val="single" w:sz="4" w:space="0" w:color="auto"/>
            </w:tcBorders>
            <w:shd w:val="clear" w:color="auto" w:fill="auto"/>
            <w:noWrap/>
            <w:vAlign w:val="center"/>
            <w:hideMark/>
          </w:tcPr>
          <w:p w14:paraId="76538704" w14:textId="77777777" w:rsidR="00E3750C" w:rsidRPr="00D763F2" w:rsidRDefault="00E3750C" w:rsidP="00047864">
            <w:pPr>
              <w:spacing w:after="0" w:line="240" w:lineRule="auto"/>
              <w:jc w:val="right"/>
              <w:rPr>
                <w:rFonts w:ascii="Arial" w:eastAsia="Times New Roman" w:hAnsi="Arial" w:cs="Arial"/>
                <w:color w:val="000000"/>
                <w:sz w:val="18"/>
                <w:szCs w:val="18"/>
                <w:lang w:eastAsia="sl-SI"/>
              </w:rPr>
            </w:pPr>
            <w:r w:rsidRPr="00D763F2">
              <w:rPr>
                <w:rFonts w:ascii="Arial" w:hAnsi="Arial" w:cs="Arial"/>
                <w:color w:val="000000"/>
                <w:sz w:val="18"/>
                <w:szCs w:val="18"/>
              </w:rPr>
              <w:t>83,45 %</w:t>
            </w:r>
          </w:p>
        </w:tc>
      </w:tr>
      <w:tr w:rsidR="00E3750C" w:rsidRPr="00D763F2" w14:paraId="00E783CF" w14:textId="77777777" w:rsidTr="00047864">
        <w:trPr>
          <w:trHeight w:val="300"/>
        </w:trPr>
        <w:tc>
          <w:tcPr>
            <w:tcW w:w="710" w:type="pct"/>
            <w:vMerge/>
            <w:tcBorders>
              <w:top w:val="nil"/>
              <w:left w:val="single" w:sz="4" w:space="0" w:color="auto"/>
              <w:bottom w:val="single" w:sz="4" w:space="0" w:color="auto"/>
              <w:right w:val="single" w:sz="4" w:space="0" w:color="auto"/>
            </w:tcBorders>
            <w:vAlign w:val="center"/>
            <w:hideMark/>
          </w:tcPr>
          <w:p w14:paraId="3F996C5E" w14:textId="77777777" w:rsidR="00E3750C" w:rsidRPr="00D763F2" w:rsidRDefault="00E3750C" w:rsidP="00047864">
            <w:pPr>
              <w:spacing w:after="0" w:line="240" w:lineRule="auto"/>
              <w:rPr>
                <w:rFonts w:ascii="Arial" w:eastAsia="Times New Roman" w:hAnsi="Arial" w:cs="Arial"/>
                <w:color w:val="000000"/>
                <w:sz w:val="18"/>
                <w:szCs w:val="18"/>
                <w:lang w:eastAsia="sl-SI"/>
              </w:rPr>
            </w:pPr>
          </w:p>
        </w:tc>
        <w:tc>
          <w:tcPr>
            <w:tcW w:w="2031" w:type="pct"/>
            <w:tcBorders>
              <w:top w:val="nil"/>
              <w:left w:val="nil"/>
              <w:bottom w:val="single" w:sz="4" w:space="0" w:color="auto"/>
              <w:right w:val="single" w:sz="4" w:space="0" w:color="auto"/>
            </w:tcBorders>
            <w:shd w:val="clear" w:color="auto" w:fill="auto"/>
            <w:vAlign w:val="center"/>
            <w:hideMark/>
          </w:tcPr>
          <w:p w14:paraId="7BDF217F" w14:textId="77777777" w:rsidR="00E3750C" w:rsidRPr="00D763F2" w:rsidRDefault="00E3750C" w:rsidP="00047864">
            <w:pPr>
              <w:spacing w:after="0" w:line="240" w:lineRule="auto"/>
              <w:rPr>
                <w:rFonts w:ascii="Arial" w:eastAsia="Times New Roman" w:hAnsi="Arial" w:cs="Arial"/>
                <w:color w:val="000000"/>
                <w:sz w:val="18"/>
                <w:szCs w:val="18"/>
                <w:lang w:eastAsia="sl-SI"/>
              </w:rPr>
            </w:pPr>
            <w:r w:rsidRPr="00D763F2">
              <w:rPr>
                <w:rFonts w:ascii="Arial" w:eastAsia="Times New Roman" w:hAnsi="Arial" w:cs="Arial"/>
                <w:color w:val="000000"/>
                <w:sz w:val="18"/>
                <w:szCs w:val="18"/>
                <w:lang w:eastAsia="sl-SI"/>
              </w:rPr>
              <w:t>Omejeni postopek</w:t>
            </w:r>
          </w:p>
        </w:tc>
        <w:tc>
          <w:tcPr>
            <w:tcW w:w="497" w:type="pct"/>
            <w:tcBorders>
              <w:top w:val="nil"/>
              <w:left w:val="nil"/>
              <w:bottom w:val="single" w:sz="4" w:space="0" w:color="auto"/>
              <w:right w:val="single" w:sz="4" w:space="0" w:color="auto"/>
            </w:tcBorders>
            <w:shd w:val="clear" w:color="auto" w:fill="auto"/>
            <w:vAlign w:val="center"/>
            <w:hideMark/>
          </w:tcPr>
          <w:p w14:paraId="3A14ECB0" w14:textId="77777777" w:rsidR="00E3750C" w:rsidRPr="00D763F2" w:rsidRDefault="00E3750C" w:rsidP="00047864">
            <w:pPr>
              <w:spacing w:after="0" w:line="240" w:lineRule="auto"/>
              <w:jc w:val="right"/>
              <w:rPr>
                <w:rFonts w:ascii="Arial" w:eastAsia="Times New Roman" w:hAnsi="Arial" w:cs="Arial"/>
                <w:color w:val="000000"/>
                <w:sz w:val="18"/>
                <w:szCs w:val="18"/>
                <w:lang w:eastAsia="sl-SI"/>
              </w:rPr>
            </w:pPr>
            <w:r w:rsidRPr="00D763F2">
              <w:rPr>
                <w:rFonts w:ascii="Arial" w:hAnsi="Arial" w:cs="Arial"/>
                <w:color w:val="000000"/>
                <w:sz w:val="18"/>
                <w:szCs w:val="18"/>
              </w:rPr>
              <w:t>37</w:t>
            </w:r>
          </w:p>
        </w:tc>
        <w:tc>
          <w:tcPr>
            <w:tcW w:w="780" w:type="pct"/>
            <w:tcBorders>
              <w:top w:val="nil"/>
              <w:left w:val="nil"/>
              <w:bottom w:val="single" w:sz="4" w:space="0" w:color="auto"/>
              <w:right w:val="single" w:sz="4" w:space="0" w:color="auto"/>
            </w:tcBorders>
            <w:shd w:val="clear" w:color="auto" w:fill="auto"/>
            <w:vAlign w:val="center"/>
            <w:hideMark/>
          </w:tcPr>
          <w:p w14:paraId="4FC8F6FA" w14:textId="77777777" w:rsidR="00E3750C" w:rsidRPr="00D763F2" w:rsidRDefault="00E3750C" w:rsidP="00047864">
            <w:pPr>
              <w:spacing w:after="0" w:line="240" w:lineRule="auto"/>
              <w:jc w:val="right"/>
              <w:rPr>
                <w:rFonts w:ascii="Arial" w:eastAsia="Times New Roman" w:hAnsi="Arial" w:cs="Arial"/>
                <w:color w:val="000000"/>
                <w:sz w:val="18"/>
                <w:szCs w:val="18"/>
                <w:lang w:eastAsia="sl-SI"/>
              </w:rPr>
            </w:pPr>
            <w:r w:rsidRPr="00D763F2">
              <w:rPr>
                <w:rFonts w:ascii="Arial" w:hAnsi="Arial" w:cs="Arial"/>
                <w:color w:val="000000"/>
                <w:sz w:val="18"/>
                <w:szCs w:val="18"/>
              </w:rPr>
              <w:t>72.418.845</w:t>
            </w:r>
          </w:p>
        </w:tc>
        <w:tc>
          <w:tcPr>
            <w:tcW w:w="491" w:type="pct"/>
            <w:tcBorders>
              <w:top w:val="nil"/>
              <w:left w:val="nil"/>
              <w:bottom w:val="single" w:sz="4" w:space="0" w:color="auto"/>
              <w:right w:val="single" w:sz="4" w:space="0" w:color="auto"/>
            </w:tcBorders>
            <w:shd w:val="clear" w:color="auto" w:fill="auto"/>
            <w:noWrap/>
            <w:vAlign w:val="center"/>
            <w:hideMark/>
          </w:tcPr>
          <w:p w14:paraId="6BB7A2E5" w14:textId="77777777" w:rsidR="00E3750C" w:rsidRPr="00D763F2" w:rsidRDefault="00E3750C" w:rsidP="00047864">
            <w:pPr>
              <w:spacing w:after="0" w:line="240" w:lineRule="auto"/>
              <w:jc w:val="right"/>
              <w:rPr>
                <w:rFonts w:ascii="Arial" w:eastAsia="Times New Roman" w:hAnsi="Arial" w:cs="Arial"/>
                <w:color w:val="000000"/>
                <w:sz w:val="18"/>
                <w:szCs w:val="18"/>
                <w:lang w:eastAsia="sl-SI"/>
              </w:rPr>
            </w:pPr>
            <w:r w:rsidRPr="00D763F2">
              <w:rPr>
                <w:rFonts w:ascii="Arial" w:hAnsi="Arial" w:cs="Arial"/>
                <w:color w:val="000000"/>
                <w:sz w:val="18"/>
                <w:szCs w:val="18"/>
              </w:rPr>
              <w:t>0,38 %</w:t>
            </w:r>
          </w:p>
        </w:tc>
        <w:tc>
          <w:tcPr>
            <w:tcW w:w="491" w:type="pct"/>
            <w:tcBorders>
              <w:top w:val="nil"/>
              <w:left w:val="nil"/>
              <w:bottom w:val="single" w:sz="4" w:space="0" w:color="auto"/>
              <w:right w:val="single" w:sz="4" w:space="0" w:color="auto"/>
            </w:tcBorders>
            <w:shd w:val="clear" w:color="auto" w:fill="auto"/>
            <w:noWrap/>
            <w:vAlign w:val="center"/>
            <w:hideMark/>
          </w:tcPr>
          <w:p w14:paraId="7EF10F5E" w14:textId="77777777" w:rsidR="00E3750C" w:rsidRPr="00D763F2" w:rsidRDefault="00E3750C" w:rsidP="00047864">
            <w:pPr>
              <w:spacing w:after="0" w:line="240" w:lineRule="auto"/>
              <w:jc w:val="right"/>
              <w:rPr>
                <w:rFonts w:ascii="Arial" w:eastAsia="Times New Roman" w:hAnsi="Arial" w:cs="Arial"/>
                <w:color w:val="000000"/>
                <w:sz w:val="18"/>
                <w:szCs w:val="18"/>
                <w:lang w:eastAsia="sl-SI"/>
              </w:rPr>
            </w:pPr>
            <w:r w:rsidRPr="00D763F2">
              <w:rPr>
                <w:rFonts w:ascii="Arial" w:hAnsi="Arial" w:cs="Arial"/>
                <w:color w:val="000000"/>
                <w:sz w:val="18"/>
                <w:szCs w:val="18"/>
              </w:rPr>
              <w:t>2,10 %</w:t>
            </w:r>
          </w:p>
        </w:tc>
      </w:tr>
      <w:tr w:rsidR="00E3750C" w:rsidRPr="00D763F2" w14:paraId="35FEB32A" w14:textId="77777777" w:rsidTr="00047864">
        <w:trPr>
          <w:trHeight w:val="300"/>
        </w:trPr>
        <w:tc>
          <w:tcPr>
            <w:tcW w:w="710" w:type="pct"/>
            <w:vMerge/>
            <w:tcBorders>
              <w:top w:val="nil"/>
              <w:left w:val="single" w:sz="4" w:space="0" w:color="auto"/>
              <w:bottom w:val="single" w:sz="4" w:space="0" w:color="auto"/>
              <w:right w:val="single" w:sz="4" w:space="0" w:color="auto"/>
            </w:tcBorders>
            <w:vAlign w:val="center"/>
            <w:hideMark/>
          </w:tcPr>
          <w:p w14:paraId="4CB85D03" w14:textId="77777777" w:rsidR="00E3750C" w:rsidRPr="00D763F2" w:rsidRDefault="00E3750C" w:rsidP="00047864">
            <w:pPr>
              <w:spacing w:after="0" w:line="240" w:lineRule="auto"/>
              <w:rPr>
                <w:rFonts w:ascii="Arial" w:eastAsia="Times New Roman" w:hAnsi="Arial" w:cs="Arial"/>
                <w:color w:val="000000"/>
                <w:sz w:val="18"/>
                <w:szCs w:val="18"/>
                <w:lang w:eastAsia="sl-SI"/>
              </w:rPr>
            </w:pPr>
          </w:p>
        </w:tc>
        <w:tc>
          <w:tcPr>
            <w:tcW w:w="2031" w:type="pct"/>
            <w:tcBorders>
              <w:top w:val="nil"/>
              <w:left w:val="nil"/>
              <w:bottom w:val="single" w:sz="4" w:space="0" w:color="auto"/>
              <w:right w:val="single" w:sz="4" w:space="0" w:color="auto"/>
            </w:tcBorders>
            <w:shd w:val="clear" w:color="auto" w:fill="auto"/>
            <w:vAlign w:val="center"/>
            <w:hideMark/>
          </w:tcPr>
          <w:p w14:paraId="57D51A80" w14:textId="77777777" w:rsidR="00E3750C" w:rsidRPr="00D763F2" w:rsidRDefault="00E3750C" w:rsidP="00047864">
            <w:pPr>
              <w:spacing w:after="0" w:line="240" w:lineRule="auto"/>
              <w:rPr>
                <w:rFonts w:ascii="Arial" w:eastAsia="Times New Roman" w:hAnsi="Arial" w:cs="Arial"/>
                <w:color w:val="000000"/>
                <w:sz w:val="18"/>
                <w:szCs w:val="18"/>
                <w:lang w:eastAsia="sl-SI"/>
              </w:rPr>
            </w:pPr>
            <w:r w:rsidRPr="00D763F2">
              <w:rPr>
                <w:rFonts w:ascii="Arial" w:eastAsia="Times New Roman" w:hAnsi="Arial" w:cs="Arial"/>
                <w:color w:val="000000"/>
                <w:sz w:val="18"/>
                <w:szCs w:val="18"/>
                <w:lang w:eastAsia="sl-SI"/>
              </w:rPr>
              <w:t>Postopek s pogajanji brez predhodne objave</w:t>
            </w:r>
          </w:p>
        </w:tc>
        <w:tc>
          <w:tcPr>
            <w:tcW w:w="497" w:type="pct"/>
            <w:tcBorders>
              <w:top w:val="nil"/>
              <w:left w:val="nil"/>
              <w:bottom w:val="single" w:sz="4" w:space="0" w:color="auto"/>
              <w:right w:val="single" w:sz="4" w:space="0" w:color="auto"/>
            </w:tcBorders>
            <w:shd w:val="clear" w:color="auto" w:fill="auto"/>
            <w:vAlign w:val="center"/>
            <w:hideMark/>
          </w:tcPr>
          <w:p w14:paraId="256680B6" w14:textId="77777777" w:rsidR="00E3750C" w:rsidRPr="00D763F2" w:rsidRDefault="00E3750C" w:rsidP="00047864">
            <w:pPr>
              <w:spacing w:after="0" w:line="240" w:lineRule="auto"/>
              <w:jc w:val="right"/>
              <w:rPr>
                <w:rFonts w:ascii="Arial" w:eastAsia="Times New Roman" w:hAnsi="Arial" w:cs="Arial"/>
                <w:color w:val="000000"/>
                <w:sz w:val="18"/>
                <w:szCs w:val="18"/>
                <w:lang w:eastAsia="sl-SI"/>
              </w:rPr>
            </w:pPr>
            <w:r w:rsidRPr="00D763F2">
              <w:rPr>
                <w:rFonts w:ascii="Arial" w:hAnsi="Arial" w:cs="Arial"/>
                <w:color w:val="000000"/>
                <w:sz w:val="18"/>
                <w:szCs w:val="18"/>
              </w:rPr>
              <w:t>240</w:t>
            </w:r>
          </w:p>
        </w:tc>
        <w:tc>
          <w:tcPr>
            <w:tcW w:w="780" w:type="pct"/>
            <w:tcBorders>
              <w:top w:val="nil"/>
              <w:left w:val="nil"/>
              <w:bottom w:val="single" w:sz="4" w:space="0" w:color="auto"/>
              <w:right w:val="single" w:sz="4" w:space="0" w:color="auto"/>
            </w:tcBorders>
            <w:shd w:val="clear" w:color="auto" w:fill="auto"/>
            <w:vAlign w:val="center"/>
            <w:hideMark/>
          </w:tcPr>
          <w:p w14:paraId="68648248" w14:textId="77777777" w:rsidR="00E3750C" w:rsidRPr="00D763F2" w:rsidRDefault="00E3750C" w:rsidP="00047864">
            <w:pPr>
              <w:spacing w:after="0" w:line="240" w:lineRule="auto"/>
              <w:jc w:val="right"/>
              <w:rPr>
                <w:rFonts w:ascii="Arial" w:eastAsia="Times New Roman" w:hAnsi="Arial" w:cs="Arial"/>
                <w:color w:val="000000"/>
                <w:sz w:val="18"/>
                <w:szCs w:val="18"/>
                <w:lang w:eastAsia="sl-SI"/>
              </w:rPr>
            </w:pPr>
            <w:r w:rsidRPr="00D763F2">
              <w:rPr>
                <w:rFonts w:ascii="Arial" w:hAnsi="Arial" w:cs="Arial"/>
                <w:color w:val="000000"/>
                <w:sz w:val="18"/>
                <w:szCs w:val="18"/>
              </w:rPr>
              <w:t>162.928.314</w:t>
            </w:r>
          </w:p>
        </w:tc>
        <w:tc>
          <w:tcPr>
            <w:tcW w:w="491" w:type="pct"/>
            <w:tcBorders>
              <w:top w:val="nil"/>
              <w:left w:val="nil"/>
              <w:bottom w:val="single" w:sz="4" w:space="0" w:color="auto"/>
              <w:right w:val="single" w:sz="4" w:space="0" w:color="auto"/>
            </w:tcBorders>
            <w:shd w:val="clear" w:color="auto" w:fill="auto"/>
            <w:noWrap/>
            <w:vAlign w:val="center"/>
            <w:hideMark/>
          </w:tcPr>
          <w:p w14:paraId="72E6FEE3" w14:textId="77777777" w:rsidR="00E3750C" w:rsidRPr="00D763F2" w:rsidRDefault="00E3750C" w:rsidP="00047864">
            <w:pPr>
              <w:spacing w:after="0" w:line="240" w:lineRule="auto"/>
              <w:jc w:val="right"/>
              <w:rPr>
                <w:rFonts w:ascii="Arial" w:eastAsia="Times New Roman" w:hAnsi="Arial" w:cs="Arial"/>
                <w:color w:val="000000"/>
                <w:sz w:val="18"/>
                <w:szCs w:val="18"/>
                <w:lang w:eastAsia="sl-SI"/>
              </w:rPr>
            </w:pPr>
            <w:r w:rsidRPr="00D763F2">
              <w:rPr>
                <w:rFonts w:ascii="Arial" w:hAnsi="Arial" w:cs="Arial"/>
                <w:color w:val="000000"/>
                <w:sz w:val="18"/>
                <w:szCs w:val="18"/>
              </w:rPr>
              <w:t>2,48 %</w:t>
            </w:r>
          </w:p>
        </w:tc>
        <w:tc>
          <w:tcPr>
            <w:tcW w:w="491" w:type="pct"/>
            <w:tcBorders>
              <w:top w:val="nil"/>
              <w:left w:val="nil"/>
              <w:bottom w:val="single" w:sz="4" w:space="0" w:color="auto"/>
              <w:right w:val="single" w:sz="4" w:space="0" w:color="auto"/>
            </w:tcBorders>
            <w:shd w:val="clear" w:color="auto" w:fill="auto"/>
            <w:noWrap/>
            <w:vAlign w:val="center"/>
            <w:hideMark/>
          </w:tcPr>
          <w:p w14:paraId="22CD3889" w14:textId="77777777" w:rsidR="00E3750C" w:rsidRPr="00D763F2" w:rsidRDefault="00E3750C" w:rsidP="00047864">
            <w:pPr>
              <w:spacing w:after="0" w:line="240" w:lineRule="auto"/>
              <w:jc w:val="right"/>
              <w:rPr>
                <w:rFonts w:ascii="Arial" w:eastAsia="Times New Roman" w:hAnsi="Arial" w:cs="Arial"/>
                <w:color w:val="000000"/>
                <w:sz w:val="18"/>
                <w:szCs w:val="18"/>
                <w:lang w:eastAsia="sl-SI"/>
              </w:rPr>
            </w:pPr>
            <w:r w:rsidRPr="00D763F2">
              <w:rPr>
                <w:rFonts w:ascii="Arial" w:hAnsi="Arial" w:cs="Arial"/>
                <w:color w:val="000000"/>
                <w:sz w:val="18"/>
                <w:szCs w:val="18"/>
              </w:rPr>
              <w:t>4,73 %</w:t>
            </w:r>
          </w:p>
        </w:tc>
      </w:tr>
      <w:tr w:rsidR="00E3750C" w:rsidRPr="00D763F2" w14:paraId="75D873D0" w14:textId="77777777" w:rsidTr="00047864">
        <w:trPr>
          <w:trHeight w:val="300"/>
        </w:trPr>
        <w:tc>
          <w:tcPr>
            <w:tcW w:w="710" w:type="pct"/>
            <w:vMerge/>
            <w:tcBorders>
              <w:top w:val="nil"/>
              <w:left w:val="single" w:sz="4" w:space="0" w:color="auto"/>
              <w:bottom w:val="single" w:sz="4" w:space="0" w:color="auto"/>
              <w:right w:val="single" w:sz="4" w:space="0" w:color="auto"/>
            </w:tcBorders>
            <w:vAlign w:val="center"/>
            <w:hideMark/>
          </w:tcPr>
          <w:p w14:paraId="072C3278" w14:textId="77777777" w:rsidR="00E3750C" w:rsidRPr="00D763F2" w:rsidRDefault="00E3750C" w:rsidP="00047864">
            <w:pPr>
              <w:spacing w:after="0" w:line="240" w:lineRule="auto"/>
              <w:rPr>
                <w:rFonts w:ascii="Arial" w:eastAsia="Times New Roman" w:hAnsi="Arial" w:cs="Arial"/>
                <w:color w:val="000000"/>
                <w:sz w:val="18"/>
                <w:szCs w:val="18"/>
                <w:lang w:eastAsia="sl-SI"/>
              </w:rPr>
            </w:pPr>
          </w:p>
        </w:tc>
        <w:tc>
          <w:tcPr>
            <w:tcW w:w="2031" w:type="pct"/>
            <w:tcBorders>
              <w:top w:val="nil"/>
              <w:left w:val="nil"/>
              <w:bottom w:val="single" w:sz="4" w:space="0" w:color="auto"/>
              <w:right w:val="single" w:sz="4" w:space="0" w:color="auto"/>
            </w:tcBorders>
            <w:shd w:val="clear" w:color="auto" w:fill="auto"/>
            <w:vAlign w:val="center"/>
            <w:hideMark/>
          </w:tcPr>
          <w:p w14:paraId="4598E1C3" w14:textId="77777777" w:rsidR="00E3750C" w:rsidRPr="00D763F2" w:rsidRDefault="00E3750C" w:rsidP="00047864">
            <w:pPr>
              <w:spacing w:after="0" w:line="240" w:lineRule="auto"/>
              <w:rPr>
                <w:rFonts w:ascii="Arial" w:eastAsia="Times New Roman" w:hAnsi="Arial" w:cs="Arial"/>
                <w:b/>
                <w:bCs/>
                <w:color w:val="000000"/>
                <w:sz w:val="18"/>
                <w:szCs w:val="18"/>
                <w:lang w:eastAsia="sl-SI"/>
              </w:rPr>
            </w:pPr>
            <w:r w:rsidRPr="00D763F2">
              <w:rPr>
                <w:rFonts w:ascii="Arial" w:eastAsia="Times New Roman" w:hAnsi="Arial" w:cs="Arial"/>
                <w:b/>
                <w:bCs/>
                <w:color w:val="000000"/>
                <w:sz w:val="18"/>
                <w:szCs w:val="18"/>
                <w:lang w:eastAsia="sl-SI"/>
              </w:rPr>
              <w:t>Skupaj</w:t>
            </w:r>
          </w:p>
        </w:tc>
        <w:tc>
          <w:tcPr>
            <w:tcW w:w="497" w:type="pct"/>
            <w:tcBorders>
              <w:top w:val="nil"/>
              <w:left w:val="nil"/>
              <w:bottom w:val="single" w:sz="4" w:space="0" w:color="auto"/>
              <w:right w:val="single" w:sz="4" w:space="0" w:color="auto"/>
            </w:tcBorders>
            <w:shd w:val="clear" w:color="auto" w:fill="auto"/>
            <w:vAlign w:val="center"/>
            <w:hideMark/>
          </w:tcPr>
          <w:p w14:paraId="1519CA36" w14:textId="77777777" w:rsidR="00E3750C" w:rsidRPr="00D763F2" w:rsidRDefault="00E3750C" w:rsidP="00047864">
            <w:pPr>
              <w:spacing w:after="0" w:line="240" w:lineRule="auto"/>
              <w:jc w:val="right"/>
              <w:rPr>
                <w:rFonts w:ascii="Arial" w:eastAsia="Times New Roman" w:hAnsi="Arial" w:cs="Arial"/>
                <w:b/>
                <w:bCs/>
                <w:color w:val="000000"/>
                <w:sz w:val="18"/>
                <w:szCs w:val="18"/>
                <w:lang w:eastAsia="sl-SI"/>
              </w:rPr>
            </w:pPr>
            <w:r w:rsidRPr="00D763F2">
              <w:rPr>
                <w:rFonts w:ascii="Arial" w:hAnsi="Arial" w:cs="Arial"/>
                <w:b/>
                <w:bCs/>
                <w:color w:val="000000"/>
                <w:sz w:val="18"/>
                <w:szCs w:val="18"/>
              </w:rPr>
              <w:t>9.668</w:t>
            </w:r>
          </w:p>
        </w:tc>
        <w:tc>
          <w:tcPr>
            <w:tcW w:w="780" w:type="pct"/>
            <w:tcBorders>
              <w:top w:val="nil"/>
              <w:left w:val="nil"/>
              <w:bottom w:val="single" w:sz="4" w:space="0" w:color="auto"/>
              <w:right w:val="single" w:sz="4" w:space="0" w:color="auto"/>
            </w:tcBorders>
            <w:shd w:val="clear" w:color="auto" w:fill="auto"/>
            <w:vAlign w:val="center"/>
            <w:hideMark/>
          </w:tcPr>
          <w:p w14:paraId="196F4154" w14:textId="77777777" w:rsidR="00E3750C" w:rsidRPr="00D763F2" w:rsidRDefault="00E3750C" w:rsidP="00047864">
            <w:pPr>
              <w:spacing w:after="0" w:line="240" w:lineRule="auto"/>
              <w:jc w:val="right"/>
              <w:rPr>
                <w:rFonts w:ascii="Arial" w:eastAsia="Times New Roman" w:hAnsi="Arial" w:cs="Arial"/>
                <w:b/>
                <w:bCs/>
                <w:color w:val="000000"/>
                <w:sz w:val="18"/>
                <w:szCs w:val="18"/>
                <w:lang w:eastAsia="sl-SI"/>
              </w:rPr>
            </w:pPr>
            <w:r w:rsidRPr="00D763F2">
              <w:rPr>
                <w:rFonts w:ascii="Arial" w:hAnsi="Arial" w:cs="Arial"/>
                <w:b/>
                <w:bCs/>
                <w:color w:val="000000"/>
                <w:sz w:val="18"/>
                <w:szCs w:val="18"/>
              </w:rPr>
              <w:t>3.448.024.178</w:t>
            </w:r>
          </w:p>
        </w:tc>
        <w:tc>
          <w:tcPr>
            <w:tcW w:w="491" w:type="pct"/>
            <w:tcBorders>
              <w:top w:val="nil"/>
              <w:left w:val="nil"/>
              <w:bottom w:val="single" w:sz="4" w:space="0" w:color="auto"/>
              <w:right w:val="single" w:sz="4" w:space="0" w:color="auto"/>
            </w:tcBorders>
            <w:shd w:val="clear" w:color="auto" w:fill="auto"/>
            <w:noWrap/>
            <w:vAlign w:val="center"/>
            <w:hideMark/>
          </w:tcPr>
          <w:p w14:paraId="5C29E079" w14:textId="77777777" w:rsidR="00E3750C" w:rsidRPr="00D763F2" w:rsidRDefault="00E3750C" w:rsidP="00047864">
            <w:pPr>
              <w:spacing w:after="0" w:line="240" w:lineRule="auto"/>
              <w:jc w:val="right"/>
              <w:rPr>
                <w:rFonts w:ascii="Arial" w:eastAsia="Times New Roman" w:hAnsi="Arial" w:cs="Arial"/>
                <w:b/>
                <w:bCs/>
                <w:color w:val="000000"/>
                <w:sz w:val="18"/>
                <w:szCs w:val="18"/>
                <w:lang w:eastAsia="sl-SI"/>
              </w:rPr>
            </w:pPr>
            <w:r w:rsidRPr="00D763F2">
              <w:rPr>
                <w:rFonts w:ascii="Arial" w:hAnsi="Arial" w:cs="Arial"/>
                <w:b/>
                <w:bCs/>
                <w:color w:val="000000"/>
                <w:sz w:val="18"/>
                <w:szCs w:val="18"/>
              </w:rPr>
              <w:t>100,00 %</w:t>
            </w:r>
          </w:p>
        </w:tc>
        <w:tc>
          <w:tcPr>
            <w:tcW w:w="491" w:type="pct"/>
            <w:tcBorders>
              <w:top w:val="nil"/>
              <w:left w:val="nil"/>
              <w:bottom w:val="single" w:sz="4" w:space="0" w:color="auto"/>
              <w:right w:val="single" w:sz="4" w:space="0" w:color="auto"/>
            </w:tcBorders>
            <w:shd w:val="clear" w:color="auto" w:fill="auto"/>
            <w:noWrap/>
            <w:vAlign w:val="center"/>
            <w:hideMark/>
          </w:tcPr>
          <w:p w14:paraId="4D955B32" w14:textId="77777777" w:rsidR="00E3750C" w:rsidRPr="00D763F2" w:rsidRDefault="00E3750C" w:rsidP="00047864">
            <w:pPr>
              <w:spacing w:after="0" w:line="240" w:lineRule="auto"/>
              <w:jc w:val="right"/>
              <w:rPr>
                <w:rFonts w:ascii="Arial" w:eastAsia="Times New Roman" w:hAnsi="Arial" w:cs="Arial"/>
                <w:b/>
                <w:bCs/>
                <w:color w:val="000000"/>
                <w:sz w:val="18"/>
                <w:szCs w:val="18"/>
                <w:lang w:eastAsia="sl-SI"/>
              </w:rPr>
            </w:pPr>
            <w:r w:rsidRPr="00D763F2">
              <w:rPr>
                <w:rFonts w:ascii="Arial" w:hAnsi="Arial" w:cs="Arial"/>
                <w:b/>
                <w:bCs/>
                <w:color w:val="000000"/>
                <w:sz w:val="18"/>
                <w:szCs w:val="18"/>
              </w:rPr>
              <w:t>100,00 %</w:t>
            </w:r>
          </w:p>
        </w:tc>
      </w:tr>
      <w:tr w:rsidR="00E3750C" w:rsidRPr="00D763F2" w14:paraId="61D8B43E" w14:textId="77777777" w:rsidTr="00047864">
        <w:trPr>
          <w:trHeight w:val="300"/>
        </w:trPr>
        <w:tc>
          <w:tcPr>
            <w:tcW w:w="710" w:type="pct"/>
            <w:vMerge w:val="restart"/>
            <w:tcBorders>
              <w:top w:val="nil"/>
              <w:left w:val="single" w:sz="4" w:space="0" w:color="auto"/>
              <w:bottom w:val="single" w:sz="4" w:space="0" w:color="auto"/>
              <w:right w:val="single" w:sz="4" w:space="0" w:color="auto"/>
            </w:tcBorders>
            <w:shd w:val="clear" w:color="auto" w:fill="auto"/>
            <w:vAlign w:val="center"/>
            <w:hideMark/>
          </w:tcPr>
          <w:p w14:paraId="0BDFECED" w14:textId="77777777" w:rsidR="00E3750C" w:rsidRPr="00D763F2" w:rsidRDefault="00E3750C" w:rsidP="00047864">
            <w:pPr>
              <w:spacing w:after="0" w:line="240" w:lineRule="auto"/>
              <w:rPr>
                <w:rFonts w:ascii="Arial" w:eastAsia="Times New Roman" w:hAnsi="Arial" w:cs="Arial"/>
                <w:color w:val="000000"/>
                <w:sz w:val="18"/>
                <w:szCs w:val="18"/>
                <w:lang w:eastAsia="sl-SI"/>
              </w:rPr>
            </w:pPr>
            <w:r w:rsidRPr="00D763F2">
              <w:rPr>
                <w:rFonts w:ascii="Arial" w:eastAsia="Times New Roman" w:hAnsi="Arial" w:cs="Arial"/>
                <w:color w:val="000000"/>
                <w:sz w:val="18"/>
                <w:szCs w:val="18"/>
                <w:lang w:eastAsia="sl-SI"/>
              </w:rPr>
              <w:t>Infrastrukturno</w:t>
            </w:r>
          </w:p>
        </w:tc>
        <w:tc>
          <w:tcPr>
            <w:tcW w:w="2031" w:type="pct"/>
            <w:tcBorders>
              <w:top w:val="nil"/>
              <w:left w:val="nil"/>
              <w:bottom w:val="single" w:sz="4" w:space="0" w:color="auto"/>
              <w:right w:val="single" w:sz="4" w:space="0" w:color="auto"/>
            </w:tcBorders>
            <w:shd w:val="clear" w:color="auto" w:fill="auto"/>
            <w:vAlign w:val="center"/>
            <w:hideMark/>
          </w:tcPr>
          <w:p w14:paraId="2890E50A" w14:textId="77777777" w:rsidR="00E3750C" w:rsidRPr="00D763F2" w:rsidRDefault="00E3750C" w:rsidP="00047864">
            <w:pPr>
              <w:spacing w:after="0" w:line="240" w:lineRule="auto"/>
              <w:rPr>
                <w:rFonts w:ascii="Arial" w:eastAsia="Times New Roman" w:hAnsi="Arial" w:cs="Arial"/>
                <w:color w:val="000000"/>
                <w:sz w:val="18"/>
                <w:szCs w:val="18"/>
                <w:lang w:eastAsia="sl-SI"/>
              </w:rPr>
            </w:pPr>
            <w:r w:rsidRPr="00D763F2">
              <w:rPr>
                <w:rFonts w:ascii="Arial" w:eastAsia="Times New Roman" w:hAnsi="Arial" w:cs="Arial"/>
                <w:color w:val="000000"/>
                <w:sz w:val="18"/>
                <w:szCs w:val="18"/>
                <w:lang w:eastAsia="sl-SI"/>
              </w:rPr>
              <w:t>Konkurenčni dialog</w:t>
            </w:r>
          </w:p>
        </w:tc>
        <w:tc>
          <w:tcPr>
            <w:tcW w:w="497" w:type="pct"/>
            <w:tcBorders>
              <w:top w:val="nil"/>
              <w:left w:val="nil"/>
              <w:bottom w:val="single" w:sz="4" w:space="0" w:color="auto"/>
              <w:right w:val="single" w:sz="4" w:space="0" w:color="auto"/>
            </w:tcBorders>
            <w:shd w:val="clear" w:color="auto" w:fill="auto"/>
            <w:vAlign w:val="center"/>
            <w:hideMark/>
          </w:tcPr>
          <w:p w14:paraId="59AF792A" w14:textId="77777777" w:rsidR="00E3750C" w:rsidRPr="00D763F2" w:rsidRDefault="00E3750C" w:rsidP="00047864">
            <w:pPr>
              <w:spacing w:after="0" w:line="240" w:lineRule="auto"/>
              <w:jc w:val="right"/>
              <w:rPr>
                <w:rFonts w:ascii="Arial" w:eastAsia="Times New Roman" w:hAnsi="Arial" w:cs="Arial"/>
                <w:color w:val="000000"/>
                <w:sz w:val="18"/>
                <w:szCs w:val="18"/>
                <w:lang w:eastAsia="sl-SI"/>
              </w:rPr>
            </w:pPr>
            <w:r w:rsidRPr="00D763F2">
              <w:rPr>
                <w:rFonts w:ascii="Arial" w:hAnsi="Arial" w:cs="Arial"/>
                <w:color w:val="000000"/>
                <w:sz w:val="18"/>
                <w:szCs w:val="18"/>
              </w:rPr>
              <w:t>21</w:t>
            </w:r>
          </w:p>
        </w:tc>
        <w:tc>
          <w:tcPr>
            <w:tcW w:w="780" w:type="pct"/>
            <w:tcBorders>
              <w:top w:val="nil"/>
              <w:left w:val="nil"/>
              <w:bottom w:val="single" w:sz="4" w:space="0" w:color="auto"/>
              <w:right w:val="single" w:sz="4" w:space="0" w:color="auto"/>
            </w:tcBorders>
            <w:shd w:val="clear" w:color="auto" w:fill="auto"/>
            <w:vAlign w:val="center"/>
            <w:hideMark/>
          </w:tcPr>
          <w:p w14:paraId="3BC81381" w14:textId="77777777" w:rsidR="00E3750C" w:rsidRPr="00D763F2" w:rsidRDefault="00E3750C" w:rsidP="00047864">
            <w:pPr>
              <w:spacing w:after="0" w:line="240" w:lineRule="auto"/>
              <w:jc w:val="right"/>
              <w:rPr>
                <w:rFonts w:ascii="Arial" w:eastAsia="Times New Roman" w:hAnsi="Arial" w:cs="Arial"/>
                <w:color w:val="000000"/>
                <w:sz w:val="18"/>
                <w:szCs w:val="18"/>
                <w:lang w:eastAsia="sl-SI"/>
              </w:rPr>
            </w:pPr>
            <w:r w:rsidRPr="00D763F2">
              <w:rPr>
                <w:rFonts w:ascii="Arial" w:hAnsi="Arial" w:cs="Arial"/>
                <w:color w:val="000000"/>
                <w:sz w:val="18"/>
                <w:szCs w:val="18"/>
              </w:rPr>
              <w:t>25.554.251</w:t>
            </w:r>
          </w:p>
        </w:tc>
        <w:tc>
          <w:tcPr>
            <w:tcW w:w="491" w:type="pct"/>
            <w:tcBorders>
              <w:top w:val="nil"/>
              <w:left w:val="nil"/>
              <w:bottom w:val="single" w:sz="4" w:space="0" w:color="auto"/>
              <w:right w:val="single" w:sz="4" w:space="0" w:color="auto"/>
            </w:tcBorders>
            <w:shd w:val="clear" w:color="auto" w:fill="auto"/>
            <w:noWrap/>
            <w:vAlign w:val="center"/>
            <w:hideMark/>
          </w:tcPr>
          <w:p w14:paraId="05A10E23" w14:textId="77777777" w:rsidR="00E3750C" w:rsidRPr="00D763F2" w:rsidRDefault="00E3750C" w:rsidP="00047864">
            <w:pPr>
              <w:spacing w:after="0" w:line="240" w:lineRule="auto"/>
              <w:jc w:val="right"/>
              <w:rPr>
                <w:rFonts w:ascii="Arial" w:eastAsia="Times New Roman" w:hAnsi="Arial" w:cs="Arial"/>
                <w:color w:val="000000"/>
                <w:sz w:val="18"/>
                <w:szCs w:val="18"/>
                <w:lang w:eastAsia="sl-SI"/>
              </w:rPr>
            </w:pPr>
            <w:r w:rsidRPr="00D763F2">
              <w:rPr>
                <w:rFonts w:ascii="Arial" w:hAnsi="Arial" w:cs="Arial"/>
                <w:color w:val="000000"/>
                <w:sz w:val="18"/>
                <w:szCs w:val="18"/>
              </w:rPr>
              <w:t>3,66 %</w:t>
            </w:r>
          </w:p>
        </w:tc>
        <w:tc>
          <w:tcPr>
            <w:tcW w:w="491" w:type="pct"/>
            <w:tcBorders>
              <w:top w:val="nil"/>
              <w:left w:val="nil"/>
              <w:bottom w:val="single" w:sz="4" w:space="0" w:color="auto"/>
              <w:right w:val="single" w:sz="4" w:space="0" w:color="auto"/>
            </w:tcBorders>
            <w:shd w:val="clear" w:color="auto" w:fill="auto"/>
            <w:noWrap/>
            <w:vAlign w:val="center"/>
            <w:hideMark/>
          </w:tcPr>
          <w:p w14:paraId="0EA81921" w14:textId="77777777" w:rsidR="00E3750C" w:rsidRPr="00D763F2" w:rsidRDefault="00E3750C" w:rsidP="00047864">
            <w:pPr>
              <w:spacing w:after="0" w:line="240" w:lineRule="auto"/>
              <w:jc w:val="right"/>
              <w:rPr>
                <w:rFonts w:ascii="Arial" w:eastAsia="Times New Roman" w:hAnsi="Arial" w:cs="Arial"/>
                <w:color w:val="000000"/>
                <w:sz w:val="18"/>
                <w:szCs w:val="18"/>
                <w:lang w:eastAsia="sl-SI"/>
              </w:rPr>
            </w:pPr>
            <w:r w:rsidRPr="00D763F2">
              <w:rPr>
                <w:rFonts w:ascii="Arial" w:hAnsi="Arial" w:cs="Arial"/>
                <w:color w:val="000000"/>
                <w:sz w:val="18"/>
                <w:szCs w:val="18"/>
              </w:rPr>
              <w:t>3,71 %</w:t>
            </w:r>
          </w:p>
        </w:tc>
      </w:tr>
      <w:tr w:rsidR="00E3750C" w:rsidRPr="00D763F2" w14:paraId="36AD218D" w14:textId="77777777" w:rsidTr="00047864">
        <w:trPr>
          <w:trHeight w:val="300"/>
        </w:trPr>
        <w:tc>
          <w:tcPr>
            <w:tcW w:w="710" w:type="pct"/>
            <w:vMerge/>
            <w:tcBorders>
              <w:top w:val="nil"/>
              <w:left w:val="single" w:sz="4" w:space="0" w:color="auto"/>
              <w:bottom w:val="single" w:sz="4" w:space="0" w:color="auto"/>
              <w:right w:val="single" w:sz="4" w:space="0" w:color="auto"/>
            </w:tcBorders>
            <w:vAlign w:val="center"/>
            <w:hideMark/>
          </w:tcPr>
          <w:p w14:paraId="5187A3A3" w14:textId="77777777" w:rsidR="00E3750C" w:rsidRPr="00D763F2" w:rsidRDefault="00E3750C" w:rsidP="00047864">
            <w:pPr>
              <w:spacing w:after="0" w:line="240" w:lineRule="auto"/>
              <w:rPr>
                <w:rFonts w:ascii="Arial" w:eastAsia="Times New Roman" w:hAnsi="Arial" w:cs="Arial"/>
                <w:color w:val="000000"/>
                <w:sz w:val="18"/>
                <w:szCs w:val="18"/>
                <w:lang w:eastAsia="sl-SI"/>
              </w:rPr>
            </w:pPr>
          </w:p>
        </w:tc>
        <w:tc>
          <w:tcPr>
            <w:tcW w:w="2031" w:type="pct"/>
            <w:tcBorders>
              <w:top w:val="nil"/>
              <w:left w:val="nil"/>
              <w:bottom w:val="single" w:sz="4" w:space="0" w:color="auto"/>
              <w:right w:val="single" w:sz="4" w:space="0" w:color="auto"/>
            </w:tcBorders>
            <w:shd w:val="clear" w:color="auto" w:fill="auto"/>
            <w:vAlign w:val="center"/>
            <w:hideMark/>
          </w:tcPr>
          <w:p w14:paraId="5B9D7A62" w14:textId="77777777" w:rsidR="00E3750C" w:rsidRPr="00D763F2" w:rsidRDefault="00E3750C" w:rsidP="00047864">
            <w:pPr>
              <w:spacing w:after="0" w:line="240" w:lineRule="auto"/>
              <w:rPr>
                <w:rFonts w:ascii="Arial" w:eastAsia="Times New Roman" w:hAnsi="Arial" w:cs="Arial"/>
                <w:color w:val="000000"/>
                <w:sz w:val="18"/>
                <w:szCs w:val="18"/>
                <w:lang w:eastAsia="sl-SI"/>
              </w:rPr>
            </w:pPr>
            <w:r w:rsidRPr="00D763F2">
              <w:rPr>
                <w:rFonts w:ascii="Arial" w:eastAsia="Times New Roman" w:hAnsi="Arial" w:cs="Arial"/>
                <w:color w:val="000000"/>
                <w:sz w:val="18"/>
                <w:szCs w:val="18"/>
                <w:lang w:eastAsia="sl-SI"/>
              </w:rPr>
              <w:t>Odprti postopek</w:t>
            </w:r>
          </w:p>
        </w:tc>
        <w:tc>
          <w:tcPr>
            <w:tcW w:w="497" w:type="pct"/>
            <w:tcBorders>
              <w:top w:val="nil"/>
              <w:left w:val="nil"/>
              <w:bottom w:val="single" w:sz="4" w:space="0" w:color="auto"/>
              <w:right w:val="single" w:sz="4" w:space="0" w:color="auto"/>
            </w:tcBorders>
            <w:shd w:val="clear" w:color="auto" w:fill="auto"/>
            <w:vAlign w:val="center"/>
            <w:hideMark/>
          </w:tcPr>
          <w:p w14:paraId="436CD718" w14:textId="77777777" w:rsidR="00E3750C" w:rsidRPr="00D763F2" w:rsidRDefault="00E3750C" w:rsidP="00047864">
            <w:pPr>
              <w:spacing w:after="0" w:line="240" w:lineRule="auto"/>
              <w:jc w:val="right"/>
              <w:rPr>
                <w:rFonts w:ascii="Arial" w:eastAsia="Times New Roman" w:hAnsi="Arial" w:cs="Arial"/>
                <w:color w:val="000000"/>
                <w:sz w:val="18"/>
                <w:szCs w:val="18"/>
                <w:lang w:eastAsia="sl-SI"/>
              </w:rPr>
            </w:pPr>
            <w:r w:rsidRPr="00D763F2">
              <w:rPr>
                <w:rFonts w:ascii="Arial" w:hAnsi="Arial" w:cs="Arial"/>
                <w:color w:val="000000"/>
                <w:sz w:val="18"/>
                <w:szCs w:val="18"/>
              </w:rPr>
              <w:t>339</w:t>
            </w:r>
          </w:p>
        </w:tc>
        <w:tc>
          <w:tcPr>
            <w:tcW w:w="780" w:type="pct"/>
            <w:tcBorders>
              <w:top w:val="nil"/>
              <w:left w:val="nil"/>
              <w:bottom w:val="single" w:sz="4" w:space="0" w:color="auto"/>
              <w:right w:val="single" w:sz="4" w:space="0" w:color="auto"/>
            </w:tcBorders>
            <w:shd w:val="clear" w:color="auto" w:fill="auto"/>
            <w:vAlign w:val="center"/>
            <w:hideMark/>
          </w:tcPr>
          <w:p w14:paraId="41849739" w14:textId="77777777" w:rsidR="00E3750C" w:rsidRPr="00D763F2" w:rsidRDefault="00E3750C" w:rsidP="00047864">
            <w:pPr>
              <w:spacing w:after="0" w:line="240" w:lineRule="auto"/>
              <w:jc w:val="right"/>
              <w:rPr>
                <w:rFonts w:ascii="Arial" w:eastAsia="Times New Roman" w:hAnsi="Arial" w:cs="Arial"/>
                <w:color w:val="000000"/>
                <w:sz w:val="18"/>
                <w:szCs w:val="18"/>
                <w:lang w:eastAsia="sl-SI"/>
              </w:rPr>
            </w:pPr>
            <w:r w:rsidRPr="00D763F2">
              <w:rPr>
                <w:rFonts w:ascii="Arial" w:hAnsi="Arial" w:cs="Arial"/>
                <w:color w:val="000000"/>
                <w:sz w:val="18"/>
                <w:szCs w:val="18"/>
              </w:rPr>
              <w:t>359.548.014</w:t>
            </w:r>
          </w:p>
        </w:tc>
        <w:tc>
          <w:tcPr>
            <w:tcW w:w="491" w:type="pct"/>
            <w:tcBorders>
              <w:top w:val="nil"/>
              <w:left w:val="nil"/>
              <w:bottom w:val="single" w:sz="4" w:space="0" w:color="auto"/>
              <w:right w:val="single" w:sz="4" w:space="0" w:color="auto"/>
            </w:tcBorders>
            <w:shd w:val="clear" w:color="auto" w:fill="auto"/>
            <w:noWrap/>
            <w:vAlign w:val="center"/>
            <w:hideMark/>
          </w:tcPr>
          <w:p w14:paraId="16AA47F1" w14:textId="77777777" w:rsidR="00E3750C" w:rsidRPr="00D763F2" w:rsidRDefault="00E3750C" w:rsidP="00047864">
            <w:pPr>
              <w:spacing w:after="0" w:line="240" w:lineRule="auto"/>
              <w:jc w:val="right"/>
              <w:rPr>
                <w:rFonts w:ascii="Arial" w:eastAsia="Times New Roman" w:hAnsi="Arial" w:cs="Arial"/>
                <w:color w:val="000000"/>
                <w:sz w:val="18"/>
                <w:szCs w:val="18"/>
                <w:lang w:eastAsia="sl-SI"/>
              </w:rPr>
            </w:pPr>
            <w:r w:rsidRPr="00D763F2">
              <w:rPr>
                <w:rFonts w:ascii="Arial" w:hAnsi="Arial" w:cs="Arial"/>
                <w:color w:val="000000"/>
                <w:sz w:val="18"/>
                <w:szCs w:val="18"/>
              </w:rPr>
              <w:t>59,16 %</w:t>
            </w:r>
          </w:p>
        </w:tc>
        <w:tc>
          <w:tcPr>
            <w:tcW w:w="491" w:type="pct"/>
            <w:tcBorders>
              <w:top w:val="nil"/>
              <w:left w:val="nil"/>
              <w:bottom w:val="single" w:sz="4" w:space="0" w:color="auto"/>
              <w:right w:val="single" w:sz="4" w:space="0" w:color="auto"/>
            </w:tcBorders>
            <w:shd w:val="clear" w:color="auto" w:fill="auto"/>
            <w:noWrap/>
            <w:vAlign w:val="center"/>
            <w:hideMark/>
          </w:tcPr>
          <w:p w14:paraId="1D96A10D" w14:textId="77777777" w:rsidR="00E3750C" w:rsidRPr="00D763F2" w:rsidRDefault="00E3750C" w:rsidP="00047864">
            <w:pPr>
              <w:spacing w:after="0" w:line="240" w:lineRule="auto"/>
              <w:jc w:val="right"/>
              <w:rPr>
                <w:rFonts w:ascii="Arial" w:eastAsia="Times New Roman" w:hAnsi="Arial" w:cs="Arial"/>
                <w:color w:val="000000"/>
                <w:sz w:val="18"/>
                <w:szCs w:val="18"/>
                <w:lang w:eastAsia="sl-SI"/>
              </w:rPr>
            </w:pPr>
            <w:r w:rsidRPr="00D763F2">
              <w:rPr>
                <w:rFonts w:ascii="Arial" w:hAnsi="Arial" w:cs="Arial"/>
                <w:color w:val="000000"/>
                <w:sz w:val="18"/>
                <w:szCs w:val="18"/>
              </w:rPr>
              <w:t>52,21 %</w:t>
            </w:r>
          </w:p>
        </w:tc>
      </w:tr>
      <w:tr w:rsidR="00E3750C" w:rsidRPr="00D763F2" w14:paraId="1527F149" w14:textId="77777777" w:rsidTr="00047864">
        <w:trPr>
          <w:trHeight w:val="300"/>
        </w:trPr>
        <w:tc>
          <w:tcPr>
            <w:tcW w:w="710" w:type="pct"/>
            <w:vMerge/>
            <w:tcBorders>
              <w:top w:val="nil"/>
              <w:left w:val="single" w:sz="4" w:space="0" w:color="auto"/>
              <w:bottom w:val="single" w:sz="4" w:space="0" w:color="auto"/>
              <w:right w:val="single" w:sz="4" w:space="0" w:color="auto"/>
            </w:tcBorders>
            <w:vAlign w:val="center"/>
            <w:hideMark/>
          </w:tcPr>
          <w:p w14:paraId="2AECF00C" w14:textId="77777777" w:rsidR="00E3750C" w:rsidRPr="00D763F2" w:rsidRDefault="00E3750C" w:rsidP="00047864">
            <w:pPr>
              <w:spacing w:after="0" w:line="240" w:lineRule="auto"/>
              <w:rPr>
                <w:rFonts w:ascii="Arial" w:eastAsia="Times New Roman" w:hAnsi="Arial" w:cs="Arial"/>
                <w:color w:val="000000"/>
                <w:sz w:val="18"/>
                <w:szCs w:val="18"/>
                <w:lang w:eastAsia="sl-SI"/>
              </w:rPr>
            </w:pPr>
          </w:p>
        </w:tc>
        <w:tc>
          <w:tcPr>
            <w:tcW w:w="2031" w:type="pct"/>
            <w:tcBorders>
              <w:top w:val="nil"/>
              <w:left w:val="nil"/>
              <w:bottom w:val="single" w:sz="4" w:space="0" w:color="auto"/>
              <w:right w:val="single" w:sz="4" w:space="0" w:color="auto"/>
            </w:tcBorders>
            <w:shd w:val="clear" w:color="auto" w:fill="auto"/>
            <w:vAlign w:val="center"/>
            <w:hideMark/>
          </w:tcPr>
          <w:p w14:paraId="5EC1BD52" w14:textId="77777777" w:rsidR="00E3750C" w:rsidRPr="00D763F2" w:rsidRDefault="00E3750C" w:rsidP="00047864">
            <w:pPr>
              <w:spacing w:after="0" w:line="240" w:lineRule="auto"/>
              <w:rPr>
                <w:rFonts w:ascii="Arial" w:eastAsia="Times New Roman" w:hAnsi="Arial" w:cs="Arial"/>
                <w:color w:val="000000"/>
                <w:sz w:val="18"/>
                <w:szCs w:val="18"/>
                <w:lang w:eastAsia="sl-SI"/>
              </w:rPr>
            </w:pPr>
            <w:r w:rsidRPr="00D763F2">
              <w:rPr>
                <w:rFonts w:ascii="Arial" w:eastAsia="Times New Roman" w:hAnsi="Arial" w:cs="Arial"/>
                <w:color w:val="000000"/>
                <w:sz w:val="18"/>
                <w:szCs w:val="18"/>
                <w:lang w:eastAsia="sl-SI"/>
              </w:rPr>
              <w:t>Omejeni postopek</w:t>
            </w:r>
          </w:p>
        </w:tc>
        <w:tc>
          <w:tcPr>
            <w:tcW w:w="497" w:type="pct"/>
            <w:tcBorders>
              <w:top w:val="nil"/>
              <w:left w:val="nil"/>
              <w:bottom w:val="single" w:sz="4" w:space="0" w:color="auto"/>
              <w:right w:val="single" w:sz="4" w:space="0" w:color="auto"/>
            </w:tcBorders>
            <w:shd w:val="clear" w:color="auto" w:fill="auto"/>
            <w:vAlign w:val="center"/>
            <w:hideMark/>
          </w:tcPr>
          <w:p w14:paraId="4988DF23" w14:textId="77777777" w:rsidR="00E3750C" w:rsidRPr="00D763F2" w:rsidRDefault="00E3750C" w:rsidP="00047864">
            <w:pPr>
              <w:spacing w:after="0" w:line="240" w:lineRule="auto"/>
              <w:jc w:val="right"/>
              <w:rPr>
                <w:rFonts w:ascii="Arial" w:eastAsia="Times New Roman" w:hAnsi="Arial" w:cs="Arial"/>
                <w:color w:val="000000"/>
                <w:sz w:val="18"/>
                <w:szCs w:val="18"/>
                <w:lang w:eastAsia="sl-SI"/>
              </w:rPr>
            </w:pPr>
            <w:r w:rsidRPr="00D763F2">
              <w:rPr>
                <w:rFonts w:ascii="Arial" w:hAnsi="Arial" w:cs="Arial"/>
                <w:color w:val="000000"/>
                <w:sz w:val="18"/>
                <w:szCs w:val="18"/>
              </w:rPr>
              <w:t>10</w:t>
            </w:r>
          </w:p>
        </w:tc>
        <w:tc>
          <w:tcPr>
            <w:tcW w:w="780" w:type="pct"/>
            <w:tcBorders>
              <w:top w:val="nil"/>
              <w:left w:val="nil"/>
              <w:bottom w:val="single" w:sz="4" w:space="0" w:color="auto"/>
              <w:right w:val="single" w:sz="4" w:space="0" w:color="auto"/>
            </w:tcBorders>
            <w:shd w:val="clear" w:color="auto" w:fill="auto"/>
            <w:vAlign w:val="center"/>
            <w:hideMark/>
          </w:tcPr>
          <w:p w14:paraId="22E50E38" w14:textId="77777777" w:rsidR="00E3750C" w:rsidRPr="00D763F2" w:rsidRDefault="00E3750C" w:rsidP="00047864">
            <w:pPr>
              <w:spacing w:after="0" w:line="240" w:lineRule="auto"/>
              <w:jc w:val="right"/>
              <w:rPr>
                <w:rFonts w:ascii="Arial" w:eastAsia="Times New Roman" w:hAnsi="Arial" w:cs="Arial"/>
                <w:color w:val="000000"/>
                <w:sz w:val="18"/>
                <w:szCs w:val="18"/>
                <w:lang w:eastAsia="sl-SI"/>
              </w:rPr>
            </w:pPr>
            <w:r w:rsidRPr="00D763F2">
              <w:rPr>
                <w:rFonts w:ascii="Arial" w:hAnsi="Arial" w:cs="Arial"/>
                <w:color w:val="000000"/>
                <w:sz w:val="18"/>
                <w:szCs w:val="18"/>
              </w:rPr>
              <w:t>1.434.848</w:t>
            </w:r>
          </w:p>
        </w:tc>
        <w:tc>
          <w:tcPr>
            <w:tcW w:w="491" w:type="pct"/>
            <w:tcBorders>
              <w:top w:val="nil"/>
              <w:left w:val="nil"/>
              <w:bottom w:val="single" w:sz="4" w:space="0" w:color="auto"/>
              <w:right w:val="single" w:sz="4" w:space="0" w:color="auto"/>
            </w:tcBorders>
            <w:shd w:val="clear" w:color="auto" w:fill="auto"/>
            <w:noWrap/>
            <w:vAlign w:val="center"/>
            <w:hideMark/>
          </w:tcPr>
          <w:p w14:paraId="485F3F47" w14:textId="77777777" w:rsidR="00E3750C" w:rsidRPr="00D763F2" w:rsidRDefault="00E3750C" w:rsidP="00047864">
            <w:pPr>
              <w:spacing w:after="0" w:line="240" w:lineRule="auto"/>
              <w:jc w:val="right"/>
              <w:rPr>
                <w:rFonts w:ascii="Arial" w:eastAsia="Times New Roman" w:hAnsi="Arial" w:cs="Arial"/>
                <w:color w:val="000000"/>
                <w:sz w:val="18"/>
                <w:szCs w:val="18"/>
                <w:lang w:eastAsia="sl-SI"/>
              </w:rPr>
            </w:pPr>
            <w:r w:rsidRPr="00D763F2">
              <w:rPr>
                <w:rFonts w:ascii="Arial" w:hAnsi="Arial" w:cs="Arial"/>
                <w:color w:val="000000"/>
                <w:sz w:val="18"/>
                <w:szCs w:val="18"/>
              </w:rPr>
              <w:t>1,75 %</w:t>
            </w:r>
          </w:p>
        </w:tc>
        <w:tc>
          <w:tcPr>
            <w:tcW w:w="491" w:type="pct"/>
            <w:tcBorders>
              <w:top w:val="nil"/>
              <w:left w:val="nil"/>
              <w:bottom w:val="single" w:sz="4" w:space="0" w:color="auto"/>
              <w:right w:val="single" w:sz="4" w:space="0" w:color="auto"/>
            </w:tcBorders>
            <w:shd w:val="clear" w:color="auto" w:fill="auto"/>
            <w:noWrap/>
            <w:vAlign w:val="center"/>
            <w:hideMark/>
          </w:tcPr>
          <w:p w14:paraId="090B64D5" w14:textId="77777777" w:rsidR="00E3750C" w:rsidRPr="00D763F2" w:rsidRDefault="00E3750C" w:rsidP="00047864">
            <w:pPr>
              <w:spacing w:after="0" w:line="240" w:lineRule="auto"/>
              <w:jc w:val="right"/>
              <w:rPr>
                <w:rFonts w:ascii="Arial" w:eastAsia="Times New Roman" w:hAnsi="Arial" w:cs="Arial"/>
                <w:color w:val="000000"/>
                <w:sz w:val="18"/>
                <w:szCs w:val="18"/>
                <w:lang w:eastAsia="sl-SI"/>
              </w:rPr>
            </w:pPr>
            <w:r w:rsidRPr="00D763F2">
              <w:rPr>
                <w:rFonts w:ascii="Arial" w:hAnsi="Arial" w:cs="Arial"/>
                <w:color w:val="000000"/>
                <w:sz w:val="18"/>
                <w:szCs w:val="18"/>
              </w:rPr>
              <w:t>0,21 %</w:t>
            </w:r>
          </w:p>
        </w:tc>
      </w:tr>
      <w:tr w:rsidR="00E3750C" w:rsidRPr="00D763F2" w14:paraId="425F7EFC" w14:textId="77777777" w:rsidTr="00047864">
        <w:trPr>
          <w:trHeight w:val="300"/>
        </w:trPr>
        <w:tc>
          <w:tcPr>
            <w:tcW w:w="710" w:type="pct"/>
            <w:vMerge/>
            <w:tcBorders>
              <w:top w:val="nil"/>
              <w:left w:val="single" w:sz="4" w:space="0" w:color="auto"/>
              <w:bottom w:val="single" w:sz="4" w:space="0" w:color="auto"/>
              <w:right w:val="single" w:sz="4" w:space="0" w:color="auto"/>
            </w:tcBorders>
            <w:vAlign w:val="center"/>
            <w:hideMark/>
          </w:tcPr>
          <w:p w14:paraId="38602FF2" w14:textId="77777777" w:rsidR="00E3750C" w:rsidRPr="00D763F2" w:rsidRDefault="00E3750C" w:rsidP="00047864">
            <w:pPr>
              <w:spacing w:after="0" w:line="240" w:lineRule="auto"/>
              <w:rPr>
                <w:rFonts w:ascii="Arial" w:eastAsia="Times New Roman" w:hAnsi="Arial" w:cs="Arial"/>
                <w:color w:val="000000"/>
                <w:sz w:val="18"/>
                <w:szCs w:val="18"/>
                <w:lang w:eastAsia="sl-SI"/>
              </w:rPr>
            </w:pPr>
          </w:p>
        </w:tc>
        <w:tc>
          <w:tcPr>
            <w:tcW w:w="2031" w:type="pct"/>
            <w:tcBorders>
              <w:top w:val="nil"/>
              <w:left w:val="nil"/>
              <w:bottom w:val="single" w:sz="4" w:space="0" w:color="auto"/>
              <w:right w:val="single" w:sz="4" w:space="0" w:color="auto"/>
            </w:tcBorders>
            <w:shd w:val="clear" w:color="auto" w:fill="auto"/>
            <w:vAlign w:val="center"/>
            <w:hideMark/>
          </w:tcPr>
          <w:p w14:paraId="5D1C3A1E" w14:textId="77777777" w:rsidR="00E3750C" w:rsidRPr="00D763F2" w:rsidRDefault="00E3750C" w:rsidP="00047864">
            <w:pPr>
              <w:spacing w:after="0" w:line="240" w:lineRule="auto"/>
              <w:rPr>
                <w:rFonts w:ascii="Arial" w:eastAsia="Times New Roman" w:hAnsi="Arial" w:cs="Arial"/>
                <w:color w:val="000000"/>
                <w:sz w:val="18"/>
                <w:szCs w:val="18"/>
                <w:lang w:eastAsia="sl-SI"/>
              </w:rPr>
            </w:pPr>
            <w:r w:rsidRPr="00D763F2">
              <w:rPr>
                <w:rFonts w:ascii="Arial" w:eastAsia="Times New Roman" w:hAnsi="Arial" w:cs="Arial"/>
                <w:color w:val="000000"/>
                <w:sz w:val="18"/>
                <w:szCs w:val="18"/>
                <w:lang w:eastAsia="sl-SI"/>
              </w:rPr>
              <w:t>Postopek s pogajanji brez predhodne objave</w:t>
            </w:r>
          </w:p>
        </w:tc>
        <w:tc>
          <w:tcPr>
            <w:tcW w:w="497" w:type="pct"/>
            <w:tcBorders>
              <w:top w:val="nil"/>
              <w:left w:val="nil"/>
              <w:bottom w:val="single" w:sz="4" w:space="0" w:color="auto"/>
              <w:right w:val="single" w:sz="4" w:space="0" w:color="auto"/>
            </w:tcBorders>
            <w:shd w:val="clear" w:color="auto" w:fill="auto"/>
            <w:vAlign w:val="center"/>
            <w:hideMark/>
          </w:tcPr>
          <w:p w14:paraId="1EEE7D9F" w14:textId="77777777" w:rsidR="00E3750C" w:rsidRPr="00D763F2" w:rsidRDefault="00E3750C" w:rsidP="00047864">
            <w:pPr>
              <w:spacing w:after="0" w:line="240" w:lineRule="auto"/>
              <w:jc w:val="right"/>
              <w:rPr>
                <w:rFonts w:ascii="Arial" w:eastAsia="Times New Roman" w:hAnsi="Arial" w:cs="Arial"/>
                <w:color w:val="000000"/>
                <w:sz w:val="18"/>
                <w:szCs w:val="18"/>
                <w:lang w:eastAsia="sl-SI"/>
              </w:rPr>
            </w:pPr>
            <w:r w:rsidRPr="00D763F2">
              <w:rPr>
                <w:rFonts w:ascii="Arial" w:hAnsi="Arial" w:cs="Arial"/>
                <w:color w:val="000000"/>
                <w:sz w:val="18"/>
                <w:szCs w:val="18"/>
              </w:rPr>
              <w:t>36</w:t>
            </w:r>
          </w:p>
        </w:tc>
        <w:tc>
          <w:tcPr>
            <w:tcW w:w="780" w:type="pct"/>
            <w:tcBorders>
              <w:top w:val="nil"/>
              <w:left w:val="nil"/>
              <w:bottom w:val="single" w:sz="4" w:space="0" w:color="auto"/>
              <w:right w:val="single" w:sz="4" w:space="0" w:color="auto"/>
            </w:tcBorders>
            <w:shd w:val="clear" w:color="auto" w:fill="auto"/>
            <w:vAlign w:val="center"/>
            <w:hideMark/>
          </w:tcPr>
          <w:p w14:paraId="3E5605BE" w14:textId="77777777" w:rsidR="00E3750C" w:rsidRPr="00D763F2" w:rsidRDefault="00E3750C" w:rsidP="00047864">
            <w:pPr>
              <w:spacing w:after="0" w:line="240" w:lineRule="auto"/>
              <w:jc w:val="right"/>
              <w:rPr>
                <w:rFonts w:ascii="Arial" w:eastAsia="Times New Roman" w:hAnsi="Arial" w:cs="Arial"/>
                <w:color w:val="000000"/>
                <w:sz w:val="18"/>
                <w:szCs w:val="18"/>
                <w:lang w:eastAsia="sl-SI"/>
              </w:rPr>
            </w:pPr>
            <w:r w:rsidRPr="00D763F2">
              <w:rPr>
                <w:rFonts w:ascii="Arial" w:hAnsi="Arial" w:cs="Arial"/>
                <w:color w:val="000000"/>
                <w:sz w:val="18"/>
                <w:szCs w:val="18"/>
              </w:rPr>
              <w:t>41.563.381</w:t>
            </w:r>
          </w:p>
        </w:tc>
        <w:tc>
          <w:tcPr>
            <w:tcW w:w="491" w:type="pct"/>
            <w:tcBorders>
              <w:top w:val="nil"/>
              <w:left w:val="nil"/>
              <w:bottom w:val="single" w:sz="4" w:space="0" w:color="auto"/>
              <w:right w:val="single" w:sz="4" w:space="0" w:color="auto"/>
            </w:tcBorders>
            <w:shd w:val="clear" w:color="auto" w:fill="auto"/>
            <w:noWrap/>
            <w:vAlign w:val="center"/>
            <w:hideMark/>
          </w:tcPr>
          <w:p w14:paraId="052720B8" w14:textId="77777777" w:rsidR="00E3750C" w:rsidRPr="00D763F2" w:rsidRDefault="00E3750C" w:rsidP="00047864">
            <w:pPr>
              <w:spacing w:after="0" w:line="240" w:lineRule="auto"/>
              <w:jc w:val="right"/>
              <w:rPr>
                <w:rFonts w:ascii="Arial" w:eastAsia="Times New Roman" w:hAnsi="Arial" w:cs="Arial"/>
                <w:color w:val="000000"/>
                <w:sz w:val="18"/>
                <w:szCs w:val="18"/>
                <w:lang w:eastAsia="sl-SI"/>
              </w:rPr>
            </w:pPr>
            <w:r w:rsidRPr="00D763F2">
              <w:rPr>
                <w:rFonts w:ascii="Arial" w:hAnsi="Arial" w:cs="Arial"/>
                <w:color w:val="000000"/>
                <w:sz w:val="18"/>
                <w:szCs w:val="18"/>
              </w:rPr>
              <w:t>6,28 %</w:t>
            </w:r>
          </w:p>
        </w:tc>
        <w:tc>
          <w:tcPr>
            <w:tcW w:w="491" w:type="pct"/>
            <w:tcBorders>
              <w:top w:val="nil"/>
              <w:left w:val="nil"/>
              <w:bottom w:val="single" w:sz="4" w:space="0" w:color="auto"/>
              <w:right w:val="single" w:sz="4" w:space="0" w:color="auto"/>
            </w:tcBorders>
            <w:shd w:val="clear" w:color="auto" w:fill="auto"/>
            <w:noWrap/>
            <w:vAlign w:val="center"/>
            <w:hideMark/>
          </w:tcPr>
          <w:p w14:paraId="491EEC63" w14:textId="77777777" w:rsidR="00E3750C" w:rsidRPr="00D763F2" w:rsidRDefault="00E3750C" w:rsidP="00047864">
            <w:pPr>
              <w:spacing w:after="0" w:line="240" w:lineRule="auto"/>
              <w:jc w:val="right"/>
              <w:rPr>
                <w:rFonts w:ascii="Arial" w:eastAsia="Times New Roman" w:hAnsi="Arial" w:cs="Arial"/>
                <w:color w:val="000000"/>
                <w:sz w:val="18"/>
                <w:szCs w:val="18"/>
                <w:lang w:eastAsia="sl-SI"/>
              </w:rPr>
            </w:pPr>
            <w:r w:rsidRPr="00D763F2">
              <w:rPr>
                <w:rFonts w:ascii="Arial" w:hAnsi="Arial" w:cs="Arial"/>
                <w:color w:val="000000"/>
                <w:sz w:val="18"/>
                <w:szCs w:val="18"/>
              </w:rPr>
              <w:t>6,04 %</w:t>
            </w:r>
          </w:p>
        </w:tc>
      </w:tr>
      <w:tr w:rsidR="00E3750C" w:rsidRPr="00D763F2" w14:paraId="20FBED83" w14:textId="77777777" w:rsidTr="00047864">
        <w:trPr>
          <w:trHeight w:val="300"/>
        </w:trPr>
        <w:tc>
          <w:tcPr>
            <w:tcW w:w="710" w:type="pct"/>
            <w:vMerge/>
            <w:tcBorders>
              <w:top w:val="nil"/>
              <w:left w:val="single" w:sz="4" w:space="0" w:color="auto"/>
              <w:bottom w:val="single" w:sz="4" w:space="0" w:color="auto"/>
              <w:right w:val="single" w:sz="4" w:space="0" w:color="auto"/>
            </w:tcBorders>
            <w:vAlign w:val="center"/>
            <w:hideMark/>
          </w:tcPr>
          <w:p w14:paraId="64976E66" w14:textId="77777777" w:rsidR="00E3750C" w:rsidRPr="00D763F2" w:rsidRDefault="00E3750C" w:rsidP="00047864">
            <w:pPr>
              <w:spacing w:after="0" w:line="240" w:lineRule="auto"/>
              <w:rPr>
                <w:rFonts w:ascii="Arial" w:eastAsia="Times New Roman" w:hAnsi="Arial" w:cs="Arial"/>
                <w:color w:val="000000"/>
                <w:sz w:val="18"/>
                <w:szCs w:val="18"/>
                <w:lang w:eastAsia="sl-SI"/>
              </w:rPr>
            </w:pPr>
          </w:p>
        </w:tc>
        <w:tc>
          <w:tcPr>
            <w:tcW w:w="2031" w:type="pct"/>
            <w:tcBorders>
              <w:top w:val="nil"/>
              <w:left w:val="nil"/>
              <w:bottom w:val="single" w:sz="4" w:space="0" w:color="auto"/>
              <w:right w:val="single" w:sz="4" w:space="0" w:color="auto"/>
            </w:tcBorders>
            <w:shd w:val="clear" w:color="auto" w:fill="auto"/>
            <w:vAlign w:val="center"/>
            <w:hideMark/>
          </w:tcPr>
          <w:p w14:paraId="20732BA1" w14:textId="77777777" w:rsidR="00E3750C" w:rsidRPr="00D763F2" w:rsidRDefault="00E3750C" w:rsidP="00047864">
            <w:pPr>
              <w:spacing w:after="0" w:line="240" w:lineRule="auto"/>
              <w:rPr>
                <w:rFonts w:ascii="Arial" w:eastAsia="Times New Roman" w:hAnsi="Arial" w:cs="Arial"/>
                <w:color w:val="000000"/>
                <w:sz w:val="18"/>
                <w:szCs w:val="18"/>
                <w:lang w:eastAsia="sl-SI"/>
              </w:rPr>
            </w:pPr>
            <w:r w:rsidRPr="00D763F2">
              <w:rPr>
                <w:rFonts w:ascii="Arial" w:eastAsia="Times New Roman" w:hAnsi="Arial" w:cs="Arial"/>
                <w:color w:val="000000"/>
                <w:sz w:val="18"/>
                <w:szCs w:val="18"/>
                <w:lang w:eastAsia="sl-SI"/>
              </w:rPr>
              <w:t>Postopek s pogajanji po predhodni objavi</w:t>
            </w:r>
          </w:p>
        </w:tc>
        <w:tc>
          <w:tcPr>
            <w:tcW w:w="497" w:type="pct"/>
            <w:tcBorders>
              <w:top w:val="nil"/>
              <w:left w:val="nil"/>
              <w:bottom w:val="single" w:sz="4" w:space="0" w:color="auto"/>
              <w:right w:val="single" w:sz="4" w:space="0" w:color="auto"/>
            </w:tcBorders>
            <w:shd w:val="clear" w:color="auto" w:fill="auto"/>
            <w:vAlign w:val="center"/>
            <w:hideMark/>
          </w:tcPr>
          <w:p w14:paraId="7D5D7A87" w14:textId="77777777" w:rsidR="00E3750C" w:rsidRPr="00D763F2" w:rsidRDefault="00E3750C" w:rsidP="00047864">
            <w:pPr>
              <w:spacing w:after="0" w:line="240" w:lineRule="auto"/>
              <w:jc w:val="right"/>
              <w:rPr>
                <w:rFonts w:ascii="Arial" w:eastAsia="Times New Roman" w:hAnsi="Arial" w:cs="Arial"/>
                <w:color w:val="000000"/>
                <w:sz w:val="18"/>
                <w:szCs w:val="18"/>
                <w:lang w:eastAsia="sl-SI"/>
              </w:rPr>
            </w:pPr>
            <w:r w:rsidRPr="00D763F2">
              <w:rPr>
                <w:rFonts w:ascii="Arial" w:hAnsi="Arial" w:cs="Arial"/>
                <w:color w:val="000000"/>
                <w:sz w:val="18"/>
                <w:szCs w:val="18"/>
              </w:rPr>
              <w:t>167</w:t>
            </w:r>
          </w:p>
        </w:tc>
        <w:tc>
          <w:tcPr>
            <w:tcW w:w="780" w:type="pct"/>
            <w:tcBorders>
              <w:top w:val="nil"/>
              <w:left w:val="nil"/>
              <w:bottom w:val="single" w:sz="4" w:space="0" w:color="auto"/>
              <w:right w:val="single" w:sz="4" w:space="0" w:color="auto"/>
            </w:tcBorders>
            <w:shd w:val="clear" w:color="auto" w:fill="auto"/>
            <w:vAlign w:val="center"/>
            <w:hideMark/>
          </w:tcPr>
          <w:p w14:paraId="06329258" w14:textId="77777777" w:rsidR="00E3750C" w:rsidRPr="00D763F2" w:rsidRDefault="00E3750C" w:rsidP="00047864">
            <w:pPr>
              <w:spacing w:after="0" w:line="240" w:lineRule="auto"/>
              <w:jc w:val="right"/>
              <w:rPr>
                <w:rFonts w:ascii="Arial" w:eastAsia="Times New Roman" w:hAnsi="Arial" w:cs="Arial"/>
                <w:color w:val="000000"/>
                <w:sz w:val="18"/>
                <w:szCs w:val="18"/>
                <w:lang w:eastAsia="sl-SI"/>
              </w:rPr>
            </w:pPr>
            <w:r w:rsidRPr="00D763F2">
              <w:rPr>
                <w:rFonts w:ascii="Arial" w:hAnsi="Arial" w:cs="Arial"/>
                <w:color w:val="000000"/>
                <w:sz w:val="18"/>
                <w:szCs w:val="18"/>
              </w:rPr>
              <w:t>260.568.527</w:t>
            </w:r>
          </w:p>
        </w:tc>
        <w:tc>
          <w:tcPr>
            <w:tcW w:w="491" w:type="pct"/>
            <w:tcBorders>
              <w:top w:val="nil"/>
              <w:left w:val="nil"/>
              <w:bottom w:val="single" w:sz="4" w:space="0" w:color="auto"/>
              <w:right w:val="single" w:sz="4" w:space="0" w:color="auto"/>
            </w:tcBorders>
            <w:shd w:val="clear" w:color="auto" w:fill="auto"/>
            <w:noWrap/>
            <w:vAlign w:val="center"/>
            <w:hideMark/>
          </w:tcPr>
          <w:p w14:paraId="5D24F2D6" w14:textId="77777777" w:rsidR="00E3750C" w:rsidRPr="00D763F2" w:rsidRDefault="00E3750C" w:rsidP="00047864">
            <w:pPr>
              <w:spacing w:after="0" w:line="240" w:lineRule="auto"/>
              <w:jc w:val="right"/>
              <w:rPr>
                <w:rFonts w:ascii="Arial" w:eastAsia="Times New Roman" w:hAnsi="Arial" w:cs="Arial"/>
                <w:color w:val="000000"/>
                <w:sz w:val="18"/>
                <w:szCs w:val="18"/>
                <w:lang w:eastAsia="sl-SI"/>
              </w:rPr>
            </w:pPr>
            <w:r w:rsidRPr="00D763F2">
              <w:rPr>
                <w:rFonts w:ascii="Arial" w:hAnsi="Arial" w:cs="Arial"/>
                <w:color w:val="000000"/>
                <w:sz w:val="18"/>
                <w:szCs w:val="18"/>
              </w:rPr>
              <w:t>29,14 %</w:t>
            </w:r>
          </w:p>
        </w:tc>
        <w:tc>
          <w:tcPr>
            <w:tcW w:w="491" w:type="pct"/>
            <w:tcBorders>
              <w:top w:val="nil"/>
              <w:left w:val="nil"/>
              <w:bottom w:val="single" w:sz="4" w:space="0" w:color="auto"/>
              <w:right w:val="single" w:sz="4" w:space="0" w:color="auto"/>
            </w:tcBorders>
            <w:shd w:val="clear" w:color="auto" w:fill="auto"/>
            <w:noWrap/>
            <w:vAlign w:val="center"/>
            <w:hideMark/>
          </w:tcPr>
          <w:p w14:paraId="6D84F6C6" w14:textId="77777777" w:rsidR="00E3750C" w:rsidRPr="00D763F2" w:rsidRDefault="00E3750C" w:rsidP="00047864">
            <w:pPr>
              <w:spacing w:after="0" w:line="240" w:lineRule="auto"/>
              <w:jc w:val="right"/>
              <w:rPr>
                <w:rFonts w:ascii="Arial" w:eastAsia="Times New Roman" w:hAnsi="Arial" w:cs="Arial"/>
                <w:color w:val="000000"/>
                <w:sz w:val="18"/>
                <w:szCs w:val="18"/>
                <w:lang w:eastAsia="sl-SI"/>
              </w:rPr>
            </w:pPr>
            <w:r w:rsidRPr="00D763F2">
              <w:rPr>
                <w:rFonts w:ascii="Arial" w:hAnsi="Arial" w:cs="Arial"/>
                <w:color w:val="000000"/>
                <w:sz w:val="18"/>
                <w:szCs w:val="18"/>
              </w:rPr>
              <w:t>37,84 %</w:t>
            </w:r>
          </w:p>
        </w:tc>
      </w:tr>
      <w:tr w:rsidR="00E3750C" w:rsidRPr="00D763F2" w14:paraId="55BA87ED" w14:textId="77777777" w:rsidTr="00047864">
        <w:trPr>
          <w:trHeight w:val="300"/>
        </w:trPr>
        <w:tc>
          <w:tcPr>
            <w:tcW w:w="710" w:type="pct"/>
            <w:vMerge/>
            <w:tcBorders>
              <w:top w:val="nil"/>
              <w:left w:val="single" w:sz="4" w:space="0" w:color="auto"/>
              <w:bottom w:val="single" w:sz="4" w:space="0" w:color="auto"/>
              <w:right w:val="single" w:sz="4" w:space="0" w:color="auto"/>
            </w:tcBorders>
            <w:vAlign w:val="center"/>
            <w:hideMark/>
          </w:tcPr>
          <w:p w14:paraId="7BD37D7F" w14:textId="77777777" w:rsidR="00E3750C" w:rsidRPr="00D763F2" w:rsidRDefault="00E3750C" w:rsidP="00047864">
            <w:pPr>
              <w:spacing w:after="0" w:line="240" w:lineRule="auto"/>
              <w:rPr>
                <w:rFonts w:ascii="Arial" w:eastAsia="Times New Roman" w:hAnsi="Arial" w:cs="Arial"/>
                <w:color w:val="000000"/>
                <w:sz w:val="18"/>
                <w:szCs w:val="18"/>
                <w:lang w:eastAsia="sl-SI"/>
              </w:rPr>
            </w:pPr>
          </w:p>
        </w:tc>
        <w:tc>
          <w:tcPr>
            <w:tcW w:w="2031" w:type="pct"/>
            <w:tcBorders>
              <w:top w:val="nil"/>
              <w:left w:val="nil"/>
              <w:bottom w:val="single" w:sz="4" w:space="0" w:color="auto"/>
              <w:right w:val="single" w:sz="4" w:space="0" w:color="auto"/>
            </w:tcBorders>
            <w:shd w:val="clear" w:color="auto" w:fill="auto"/>
            <w:vAlign w:val="center"/>
            <w:hideMark/>
          </w:tcPr>
          <w:p w14:paraId="7B827934" w14:textId="77777777" w:rsidR="00E3750C" w:rsidRPr="00D763F2" w:rsidRDefault="00E3750C" w:rsidP="00047864">
            <w:pPr>
              <w:spacing w:after="0" w:line="240" w:lineRule="auto"/>
              <w:rPr>
                <w:rFonts w:ascii="Arial" w:eastAsia="Times New Roman" w:hAnsi="Arial" w:cs="Arial"/>
                <w:b/>
                <w:bCs/>
                <w:color w:val="000000"/>
                <w:sz w:val="18"/>
                <w:szCs w:val="18"/>
                <w:lang w:eastAsia="sl-SI"/>
              </w:rPr>
            </w:pPr>
            <w:r w:rsidRPr="00D763F2">
              <w:rPr>
                <w:rFonts w:ascii="Arial" w:eastAsia="Times New Roman" w:hAnsi="Arial" w:cs="Arial"/>
                <w:b/>
                <w:bCs/>
                <w:color w:val="000000"/>
                <w:sz w:val="18"/>
                <w:szCs w:val="18"/>
                <w:lang w:eastAsia="sl-SI"/>
              </w:rPr>
              <w:t>Skupaj</w:t>
            </w:r>
          </w:p>
        </w:tc>
        <w:tc>
          <w:tcPr>
            <w:tcW w:w="497" w:type="pct"/>
            <w:tcBorders>
              <w:top w:val="nil"/>
              <w:left w:val="nil"/>
              <w:bottom w:val="single" w:sz="4" w:space="0" w:color="auto"/>
              <w:right w:val="single" w:sz="4" w:space="0" w:color="auto"/>
            </w:tcBorders>
            <w:shd w:val="clear" w:color="auto" w:fill="auto"/>
            <w:vAlign w:val="center"/>
            <w:hideMark/>
          </w:tcPr>
          <w:p w14:paraId="5770BAB2" w14:textId="77777777" w:rsidR="00E3750C" w:rsidRPr="00D763F2" w:rsidRDefault="00E3750C" w:rsidP="00047864">
            <w:pPr>
              <w:spacing w:after="0" w:line="240" w:lineRule="auto"/>
              <w:jc w:val="right"/>
              <w:rPr>
                <w:rFonts w:ascii="Arial" w:eastAsia="Times New Roman" w:hAnsi="Arial" w:cs="Arial"/>
                <w:b/>
                <w:bCs/>
                <w:color w:val="000000"/>
                <w:sz w:val="18"/>
                <w:szCs w:val="18"/>
                <w:lang w:eastAsia="sl-SI"/>
              </w:rPr>
            </w:pPr>
            <w:r w:rsidRPr="00D763F2">
              <w:rPr>
                <w:rFonts w:ascii="Arial" w:hAnsi="Arial" w:cs="Arial"/>
                <w:b/>
                <w:bCs/>
                <w:color w:val="000000"/>
                <w:sz w:val="18"/>
                <w:szCs w:val="18"/>
              </w:rPr>
              <w:t>573</w:t>
            </w:r>
          </w:p>
        </w:tc>
        <w:tc>
          <w:tcPr>
            <w:tcW w:w="780" w:type="pct"/>
            <w:tcBorders>
              <w:top w:val="nil"/>
              <w:left w:val="nil"/>
              <w:bottom w:val="single" w:sz="4" w:space="0" w:color="auto"/>
              <w:right w:val="single" w:sz="4" w:space="0" w:color="auto"/>
            </w:tcBorders>
            <w:shd w:val="clear" w:color="auto" w:fill="auto"/>
            <w:vAlign w:val="center"/>
            <w:hideMark/>
          </w:tcPr>
          <w:p w14:paraId="1AB733C8" w14:textId="77777777" w:rsidR="00E3750C" w:rsidRPr="00D763F2" w:rsidRDefault="00E3750C" w:rsidP="00047864">
            <w:pPr>
              <w:spacing w:after="0" w:line="240" w:lineRule="auto"/>
              <w:jc w:val="right"/>
              <w:rPr>
                <w:rFonts w:ascii="Arial" w:eastAsia="Times New Roman" w:hAnsi="Arial" w:cs="Arial"/>
                <w:b/>
                <w:bCs/>
                <w:color w:val="000000"/>
                <w:sz w:val="18"/>
                <w:szCs w:val="18"/>
                <w:lang w:eastAsia="sl-SI"/>
              </w:rPr>
            </w:pPr>
            <w:r w:rsidRPr="00D763F2">
              <w:rPr>
                <w:rFonts w:ascii="Arial" w:hAnsi="Arial" w:cs="Arial"/>
                <w:b/>
                <w:bCs/>
                <w:color w:val="000000"/>
                <w:sz w:val="18"/>
                <w:szCs w:val="18"/>
              </w:rPr>
              <w:t>688.669.021</w:t>
            </w:r>
          </w:p>
        </w:tc>
        <w:tc>
          <w:tcPr>
            <w:tcW w:w="491" w:type="pct"/>
            <w:tcBorders>
              <w:top w:val="nil"/>
              <w:left w:val="nil"/>
              <w:bottom w:val="single" w:sz="4" w:space="0" w:color="auto"/>
              <w:right w:val="single" w:sz="4" w:space="0" w:color="auto"/>
            </w:tcBorders>
            <w:shd w:val="clear" w:color="auto" w:fill="auto"/>
            <w:noWrap/>
            <w:vAlign w:val="center"/>
            <w:hideMark/>
          </w:tcPr>
          <w:p w14:paraId="014A2F77" w14:textId="77777777" w:rsidR="00E3750C" w:rsidRPr="00D763F2" w:rsidRDefault="00E3750C" w:rsidP="00047864">
            <w:pPr>
              <w:spacing w:after="0" w:line="240" w:lineRule="auto"/>
              <w:jc w:val="right"/>
              <w:rPr>
                <w:rFonts w:ascii="Arial" w:eastAsia="Times New Roman" w:hAnsi="Arial" w:cs="Arial"/>
                <w:b/>
                <w:bCs/>
                <w:color w:val="000000"/>
                <w:sz w:val="18"/>
                <w:szCs w:val="18"/>
                <w:lang w:eastAsia="sl-SI"/>
              </w:rPr>
            </w:pPr>
            <w:r w:rsidRPr="00D763F2">
              <w:rPr>
                <w:rFonts w:ascii="Arial" w:hAnsi="Arial" w:cs="Arial"/>
                <w:b/>
                <w:bCs/>
                <w:color w:val="000000"/>
                <w:sz w:val="18"/>
                <w:szCs w:val="18"/>
              </w:rPr>
              <w:t>100,00 %</w:t>
            </w:r>
          </w:p>
        </w:tc>
        <w:tc>
          <w:tcPr>
            <w:tcW w:w="491" w:type="pct"/>
            <w:tcBorders>
              <w:top w:val="nil"/>
              <w:left w:val="nil"/>
              <w:bottom w:val="single" w:sz="4" w:space="0" w:color="auto"/>
              <w:right w:val="single" w:sz="4" w:space="0" w:color="auto"/>
            </w:tcBorders>
            <w:shd w:val="clear" w:color="auto" w:fill="auto"/>
            <w:noWrap/>
            <w:vAlign w:val="center"/>
            <w:hideMark/>
          </w:tcPr>
          <w:p w14:paraId="160B975D" w14:textId="77777777" w:rsidR="00E3750C" w:rsidRPr="00D763F2" w:rsidRDefault="00E3750C" w:rsidP="00047864">
            <w:pPr>
              <w:spacing w:after="0" w:line="240" w:lineRule="auto"/>
              <w:jc w:val="right"/>
              <w:rPr>
                <w:rFonts w:ascii="Arial" w:eastAsia="Times New Roman" w:hAnsi="Arial" w:cs="Arial"/>
                <w:b/>
                <w:bCs/>
                <w:color w:val="000000"/>
                <w:sz w:val="18"/>
                <w:szCs w:val="18"/>
                <w:lang w:eastAsia="sl-SI"/>
              </w:rPr>
            </w:pPr>
            <w:r w:rsidRPr="00D763F2">
              <w:rPr>
                <w:rFonts w:ascii="Arial" w:hAnsi="Arial" w:cs="Arial"/>
                <w:b/>
                <w:bCs/>
                <w:color w:val="000000"/>
                <w:sz w:val="18"/>
                <w:szCs w:val="18"/>
              </w:rPr>
              <w:t>100,00 %</w:t>
            </w:r>
          </w:p>
        </w:tc>
      </w:tr>
      <w:tr w:rsidR="00E3750C" w:rsidRPr="00D763F2" w14:paraId="1CFF60E3" w14:textId="77777777" w:rsidTr="00047864">
        <w:trPr>
          <w:trHeight w:val="300"/>
        </w:trPr>
        <w:tc>
          <w:tcPr>
            <w:tcW w:w="710" w:type="pct"/>
            <w:vMerge w:val="restart"/>
            <w:tcBorders>
              <w:top w:val="nil"/>
              <w:left w:val="single" w:sz="4" w:space="0" w:color="auto"/>
              <w:bottom w:val="single" w:sz="4" w:space="0" w:color="auto"/>
              <w:right w:val="single" w:sz="4" w:space="0" w:color="auto"/>
            </w:tcBorders>
            <w:shd w:val="clear" w:color="auto" w:fill="auto"/>
            <w:vAlign w:val="center"/>
            <w:hideMark/>
          </w:tcPr>
          <w:p w14:paraId="6FFD7CD4" w14:textId="77777777" w:rsidR="00E3750C" w:rsidRPr="00D763F2" w:rsidRDefault="00E3750C" w:rsidP="00047864">
            <w:pPr>
              <w:spacing w:after="0" w:line="240" w:lineRule="auto"/>
              <w:rPr>
                <w:rFonts w:ascii="Arial" w:eastAsia="Times New Roman" w:hAnsi="Arial" w:cs="Arial"/>
                <w:color w:val="000000"/>
                <w:sz w:val="18"/>
                <w:szCs w:val="18"/>
                <w:lang w:eastAsia="sl-SI"/>
              </w:rPr>
            </w:pPr>
            <w:r w:rsidRPr="00D763F2">
              <w:rPr>
                <w:rFonts w:ascii="Arial" w:eastAsia="Times New Roman" w:hAnsi="Arial" w:cs="Arial"/>
                <w:color w:val="000000"/>
                <w:sz w:val="18"/>
                <w:szCs w:val="18"/>
                <w:lang w:eastAsia="sl-SI"/>
              </w:rPr>
              <w:t>Obrambno</w:t>
            </w:r>
          </w:p>
        </w:tc>
        <w:tc>
          <w:tcPr>
            <w:tcW w:w="2031" w:type="pct"/>
            <w:tcBorders>
              <w:top w:val="nil"/>
              <w:left w:val="nil"/>
              <w:bottom w:val="single" w:sz="4" w:space="0" w:color="auto"/>
              <w:right w:val="single" w:sz="4" w:space="0" w:color="auto"/>
            </w:tcBorders>
            <w:shd w:val="clear" w:color="auto" w:fill="auto"/>
            <w:vAlign w:val="center"/>
            <w:hideMark/>
          </w:tcPr>
          <w:p w14:paraId="6AAABE8F" w14:textId="77777777" w:rsidR="00E3750C" w:rsidRPr="00D763F2" w:rsidRDefault="00E3750C" w:rsidP="00047864">
            <w:pPr>
              <w:spacing w:after="0" w:line="240" w:lineRule="auto"/>
              <w:rPr>
                <w:rFonts w:ascii="Arial" w:eastAsia="Times New Roman" w:hAnsi="Arial" w:cs="Arial"/>
                <w:color w:val="000000"/>
                <w:sz w:val="18"/>
                <w:szCs w:val="18"/>
                <w:lang w:eastAsia="sl-SI"/>
              </w:rPr>
            </w:pPr>
            <w:r w:rsidRPr="00D763F2">
              <w:rPr>
                <w:rFonts w:ascii="Arial" w:eastAsia="Times New Roman" w:hAnsi="Arial" w:cs="Arial"/>
                <w:color w:val="000000"/>
                <w:sz w:val="18"/>
                <w:szCs w:val="18"/>
                <w:lang w:eastAsia="sl-SI"/>
              </w:rPr>
              <w:t>Postopek s pogajanji brez predhodne objave</w:t>
            </w:r>
          </w:p>
        </w:tc>
        <w:tc>
          <w:tcPr>
            <w:tcW w:w="497" w:type="pct"/>
            <w:tcBorders>
              <w:top w:val="nil"/>
              <w:left w:val="nil"/>
              <w:bottom w:val="single" w:sz="4" w:space="0" w:color="auto"/>
              <w:right w:val="single" w:sz="4" w:space="0" w:color="auto"/>
            </w:tcBorders>
            <w:shd w:val="clear" w:color="auto" w:fill="auto"/>
            <w:vAlign w:val="center"/>
            <w:hideMark/>
          </w:tcPr>
          <w:p w14:paraId="335D635E" w14:textId="77777777" w:rsidR="00E3750C" w:rsidRPr="00D763F2" w:rsidRDefault="00E3750C" w:rsidP="00047864">
            <w:pPr>
              <w:spacing w:after="0" w:line="240" w:lineRule="auto"/>
              <w:jc w:val="right"/>
              <w:rPr>
                <w:rFonts w:ascii="Arial" w:eastAsia="Times New Roman" w:hAnsi="Arial" w:cs="Arial"/>
                <w:color w:val="000000"/>
                <w:sz w:val="18"/>
                <w:szCs w:val="18"/>
                <w:lang w:eastAsia="sl-SI"/>
              </w:rPr>
            </w:pPr>
            <w:r w:rsidRPr="00D763F2">
              <w:rPr>
                <w:rFonts w:ascii="Arial" w:hAnsi="Arial" w:cs="Arial"/>
                <w:color w:val="000000"/>
                <w:sz w:val="18"/>
                <w:szCs w:val="18"/>
              </w:rPr>
              <w:t>16</w:t>
            </w:r>
          </w:p>
        </w:tc>
        <w:tc>
          <w:tcPr>
            <w:tcW w:w="780" w:type="pct"/>
            <w:tcBorders>
              <w:top w:val="nil"/>
              <w:left w:val="nil"/>
              <w:bottom w:val="single" w:sz="4" w:space="0" w:color="auto"/>
              <w:right w:val="single" w:sz="4" w:space="0" w:color="auto"/>
            </w:tcBorders>
            <w:shd w:val="clear" w:color="auto" w:fill="auto"/>
            <w:vAlign w:val="center"/>
            <w:hideMark/>
          </w:tcPr>
          <w:p w14:paraId="20B9EAD0" w14:textId="77777777" w:rsidR="00E3750C" w:rsidRPr="00D763F2" w:rsidRDefault="00E3750C" w:rsidP="00047864">
            <w:pPr>
              <w:spacing w:after="0" w:line="240" w:lineRule="auto"/>
              <w:jc w:val="right"/>
              <w:rPr>
                <w:rFonts w:ascii="Arial" w:eastAsia="Times New Roman" w:hAnsi="Arial" w:cs="Arial"/>
                <w:color w:val="000000"/>
                <w:sz w:val="18"/>
                <w:szCs w:val="18"/>
                <w:lang w:eastAsia="sl-SI"/>
              </w:rPr>
            </w:pPr>
            <w:r w:rsidRPr="00D763F2">
              <w:rPr>
                <w:rFonts w:ascii="Arial" w:hAnsi="Arial" w:cs="Arial"/>
                <w:color w:val="000000"/>
                <w:sz w:val="18"/>
                <w:szCs w:val="18"/>
              </w:rPr>
              <w:t>18.835.406</w:t>
            </w:r>
          </w:p>
        </w:tc>
        <w:tc>
          <w:tcPr>
            <w:tcW w:w="491" w:type="pct"/>
            <w:tcBorders>
              <w:top w:val="nil"/>
              <w:left w:val="nil"/>
              <w:bottom w:val="single" w:sz="4" w:space="0" w:color="auto"/>
              <w:right w:val="single" w:sz="4" w:space="0" w:color="auto"/>
            </w:tcBorders>
            <w:shd w:val="clear" w:color="auto" w:fill="auto"/>
            <w:noWrap/>
            <w:vAlign w:val="center"/>
            <w:hideMark/>
          </w:tcPr>
          <w:p w14:paraId="1771E2FD" w14:textId="77777777" w:rsidR="00E3750C" w:rsidRPr="00D763F2" w:rsidRDefault="00E3750C" w:rsidP="00047864">
            <w:pPr>
              <w:spacing w:after="0" w:line="240" w:lineRule="auto"/>
              <w:jc w:val="right"/>
              <w:rPr>
                <w:rFonts w:ascii="Arial" w:eastAsia="Times New Roman" w:hAnsi="Arial" w:cs="Arial"/>
                <w:color w:val="000000"/>
                <w:sz w:val="18"/>
                <w:szCs w:val="18"/>
                <w:lang w:eastAsia="sl-SI"/>
              </w:rPr>
            </w:pPr>
            <w:r w:rsidRPr="00D763F2">
              <w:rPr>
                <w:rFonts w:ascii="Arial" w:hAnsi="Arial" w:cs="Arial"/>
                <w:color w:val="000000"/>
                <w:sz w:val="18"/>
                <w:szCs w:val="18"/>
              </w:rPr>
              <w:t>33,33 %</w:t>
            </w:r>
          </w:p>
        </w:tc>
        <w:tc>
          <w:tcPr>
            <w:tcW w:w="491" w:type="pct"/>
            <w:tcBorders>
              <w:top w:val="nil"/>
              <w:left w:val="nil"/>
              <w:bottom w:val="single" w:sz="4" w:space="0" w:color="auto"/>
              <w:right w:val="single" w:sz="4" w:space="0" w:color="auto"/>
            </w:tcBorders>
            <w:shd w:val="clear" w:color="auto" w:fill="auto"/>
            <w:noWrap/>
            <w:vAlign w:val="center"/>
            <w:hideMark/>
          </w:tcPr>
          <w:p w14:paraId="071DCAF2" w14:textId="77777777" w:rsidR="00E3750C" w:rsidRPr="00D763F2" w:rsidRDefault="00E3750C" w:rsidP="00047864">
            <w:pPr>
              <w:spacing w:after="0" w:line="240" w:lineRule="auto"/>
              <w:jc w:val="right"/>
              <w:rPr>
                <w:rFonts w:ascii="Arial" w:eastAsia="Times New Roman" w:hAnsi="Arial" w:cs="Arial"/>
                <w:color w:val="000000"/>
                <w:sz w:val="18"/>
                <w:szCs w:val="18"/>
                <w:lang w:eastAsia="sl-SI"/>
              </w:rPr>
            </w:pPr>
            <w:r w:rsidRPr="00D763F2">
              <w:rPr>
                <w:rFonts w:ascii="Arial" w:hAnsi="Arial" w:cs="Arial"/>
                <w:color w:val="000000"/>
                <w:sz w:val="18"/>
                <w:szCs w:val="18"/>
              </w:rPr>
              <w:t>44,82 %</w:t>
            </w:r>
          </w:p>
        </w:tc>
      </w:tr>
      <w:tr w:rsidR="00E3750C" w:rsidRPr="00D763F2" w14:paraId="0F97EAEC" w14:textId="77777777" w:rsidTr="00047864">
        <w:trPr>
          <w:trHeight w:val="300"/>
        </w:trPr>
        <w:tc>
          <w:tcPr>
            <w:tcW w:w="710" w:type="pct"/>
            <w:vMerge/>
            <w:tcBorders>
              <w:top w:val="nil"/>
              <w:left w:val="single" w:sz="4" w:space="0" w:color="auto"/>
              <w:bottom w:val="single" w:sz="4" w:space="0" w:color="auto"/>
              <w:right w:val="single" w:sz="4" w:space="0" w:color="auto"/>
            </w:tcBorders>
            <w:vAlign w:val="center"/>
            <w:hideMark/>
          </w:tcPr>
          <w:p w14:paraId="0C349612" w14:textId="77777777" w:rsidR="00E3750C" w:rsidRPr="00D763F2" w:rsidRDefault="00E3750C" w:rsidP="00047864">
            <w:pPr>
              <w:spacing w:after="0" w:line="240" w:lineRule="auto"/>
              <w:rPr>
                <w:rFonts w:ascii="Arial" w:eastAsia="Times New Roman" w:hAnsi="Arial" w:cs="Arial"/>
                <w:color w:val="000000"/>
                <w:sz w:val="18"/>
                <w:szCs w:val="18"/>
                <w:lang w:eastAsia="sl-SI"/>
              </w:rPr>
            </w:pPr>
          </w:p>
        </w:tc>
        <w:tc>
          <w:tcPr>
            <w:tcW w:w="2031" w:type="pct"/>
            <w:tcBorders>
              <w:top w:val="nil"/>
              <w:left w:val="nil"/>
              <w:bottom w:val="single" w:sz="4" w:space="0" w:color="auto"/>
              <w:right w:val="single" w:sz="4" w:space="0" w:color="auto"/>
            </w:tcBorders>
            <w:shd w:val="clear" w:color="auto" w:fill="auto"/>
            <w:vAlign w:val="center"/>
            <w:hideMark/>
          </w:tcPr>
          <w:p w14:paraId="586DED74" w14:textId="77777777" w:rsidR="00E3750C" w:rsidRPr="00D763F2" w:rsidRDefault="00E3750C" w:rsidP="00047864">
            <w:pPr>
              <w:spacing w:after="0" w:line="240" w:lineRule="auto"/>
              <w:rPr>
                <w:rFonts w:ascii="Arial" w:eastAsia="Times New Roman" w:hAnsi="Arial" w:cs="Arial"/>
                <w:color w:val="000000"/>
                <w:sz w:val="18"/>
                <w:szCs w:val="18"/>
                <w:lang w:eastAsia="sl-SI"/>
              </w:rPr>
            </w:pPr>
            <w:r w:rsidRPr="00D763F2">
              <w:rPr>
                <w:rFonts w:ascii="Arial" w:eastAsia="Times New Roman" w:hAnsi="Arial" w:cs="Arial"/>
                <w:color w:val="000000"/>
                <w:sz w:val="18"/>
                <w:szCs w:val="18"/>
                <w:lang w:eastAsia="sl-SI"/>
              </w:rPr>
              <w:t>Postopek s pogajanji po predhodni objavi</w:t>
            </w:r>
          </w:p>
        </w:tc>
        <w:tc>
          <w:tcPr>
            <w:tcW w:w="497" w:type="pct"/>
            <w:tcBorders>
              <w:top w:val="nil"/>
              <w:left w:val="nil"/>
              <w:bottom w:val="single" w:sz="4" w:space="0" w:color="auto"/>
              <w:right w:val="single" w:sz="4" w:space="0" w:color="auto"/>
            </w:tcBorders>
            <w:shd w:val="clear" w:color="auto" w:fill="auto"/>
            <w:vAlign w:val="center"/>
            <w:hideMark/>
          </w:tcPr>
          <w:p w14:paraId="0C3B6ED5" w14:textId="77777777" w:rsidR="00E3750C" w:rsidRPr="00D763F2" w:rsidRDefault="00E3750C" w:rsidP="00047864">
            <w:pPr>
              <w:spacing w:after="0" w:line="240" w:lineRule="auto"/>
              <w:jc w:val="right"/>
              <w:rPr>
                <w:rFonts w:ascii="Arial" w:eastAsia="Times New Roman" w:hAnsi="Arial" w:cs="Arial"/>
                <w:color w:val="000000"/>
                <w:sz w:val="18"/>
                <w:szCs w:val="18"/>
                <w:lang w:eastAsia="sl-SI"/>
              </w:rPr>
            </w:pPr>
            <w:r w:rsidRPr="00D763F2">
              <w:rPr>
                <w:rFonts w:ascii="Arial" w:hAnsi="Arial" w:cs="Arial"/>
                <w:color w:val="000000"/>
                <w:sz w:val="18"/>
                <w:szCs w:val="18"/>
              </w:rPr>
              <w:t>32</w:t>
            </w:r>
          </w:p>
        </w:tc>
        <w:tc>
          <w:tcPr>
            <w:tcW w:w="780" w:type="pct"/>
            <w:tcBorders>
              <w:top w:val="nil"/>
              <w:left w:val="nil"/>
              <w:bottom w:val="single" w:sz="4" w:space="0" w:color="auto"/>
              <w:right w:val="single" w:sz="4" w:space="0" w:color="auto"/>
            </w:tcBorders>
            <w:shd w:val="clear" w:color="auto" w:fill="auto"/>
            <w:vAlign w:val="center"/>
            <w:hideMark/>
          </w:tcPr>
          <w:p w14:paraId="5F17A63D" w14:textId="77777777" w:rsidR="00E3750C" w:rsidRPr="00D763F2" w:rsidRDefault="00E3750C" w:rsidP="00047864">
            <w:pPr>
              <w:spacing w:after="0" w:line="240" w:lineRule="auto"/>
              <w:jc w:val="right"/>
              <w:rPr>
                <w:rFonts w:ascii="Arial" w:eastAsia="Times New Roman" w:hAnsi="Arial" w:cs="Arial"/>
                <w:color w:val="000000"/>
                <w:sz w:val="18"/>
                <w:szCs w:val="18"/>
                <w:lang w:eastAsia="sl-SI"/>
              </w:rPr>
            </w:pPr>
            <w:r w:rsidRPr="00D763F2">
              <w:rPr>
                <w:rFonts w:ascii="Arial" w:hAnsi="Arial" w:cs="Arial"/>
                <w:color w:val="000000"/>
                <w:sz w:val="18"/>
                <w:szCs w:val="18"/>
              </w:rPr>
              <w:t>23.193.054</w:t>
            </w:r>
          </w:p>
        </w:tc>
        <w:tc>
          <w:tcPr>
            <w:tcW w:w="491" w:type="pct"/>
            <w:tcBorders>
              <w:top w:val="nil"/>
              <w:left w:val="nil"/>
              <w:bottom w:val="single" w:sz="4" w:space="0" w:color="auto"/>
              <w:right w:val="single" w:sz="4" w:space="0" w:color="auto"/>
            </w:tcBorders>
            <w:shd w:val="clear" w:color="auto" w:fill="auto"/>
            <w:noWrap/>
            <w:vAlign w:val="center"/>
            <w:hideMark/>
          </w:tcPr>
          <w:p w14:paraId="2951493B" w14:textId="77777777" w:rsidR="00E3750C" w:rsidRPr="00D763F2" w:rsidRDefault="00E3750C" w:rsidP="00047864">
            <w:pPr>
              <w:spacing w:after="0" w:line="240" w:lineRule="auto"/>
              <w:jc w:val="right"/>
              <w:rPr>
                <w:rFonts w:ascii="Arial" w:eastAsia="Times New Roman" w:hAnsi="Arial" w:cs="Arial"/>
                <w:color w:val="000000"/>
                <w:sz w:val="18"/>
                <w:szCs w:val="18"/>
                <w:lang w:eastAsia="sl-SI"/>
              </w:rPr>
            </w:pPr>
            <w:r w:rsidRPr="00D763F2">
              <w:rPr>
                <w:rFonts w:ascii="Arial" w:hAnsi="Arial" w:cs="Arial"/>
                <w:color w:val="000000"/>
                <w:sz w:val="18"/>
                <w:szCs w:val="18"/>
              </w:rPr>
              <w:t>66,67 %</w:t>
            </w:r>
          </w:p>
        </w:tc>
        <w:tc>
          <w:tcPr>
            <w:tcW w:w="491" w:type="pct"/>
            <w:tcBorders>
              <w:top w:val="nil"/>
              <w:left w:val="nil"/>
              <w:bottom w:val="single" w:sz="4" w:space="0" w:color="auto"/>
              <w:right w:val="single" w:sz="4" w:space="0" w:color="auto"/>
            </w:tcBorders>
            <w:shd w:val="clear" w:color="auto" w:fill="auto"/>
            <w:noWrap/>
            <w:vAlign w:val="center"/>
            <w:hideMark/>
          </w:tcPr>
          <w:p w14:paraId="2E731275" w14:textId="77777777" w:rsidR="00E3750C" w:rsidRPr="00D763F2" w:rsidRDefault="00E3750C" w:rsidP="00047864">
            <w:pPr>
              <w:spacing w:after="0" w:line="240" w:lineRule="auto"/>
              <w:jc w:val="right"/>
              <w:rPr>
                <w:rFonts w:ascii="Arial" w:eastAsia="Times New Roman" w:hAnsi="Arial" w:cs="Arial"/>
                <w:color w:val="000000"/>
                <w:sz w:val="18"/>
                <w:szCs w:val="18"/>
                <w:lang w:eastAsia="sl-SI"/>
              </w:rPr>
            </w:pPr>
            <w:r w:rsidRPr="00D763F2">
              <w:rPr>
                <w:rFonts w:ascii="Arial" w:hAnsi="Arial" w:cs="Arial"/>
                <w:color w:val="000000"/>
                <w:sz w:val="18"/>
                <w:szCs w:val="18"/>
              </w:rPr>
              <w:t>55,18 %</w:t>
            </w:r>
          </w:p>
        </w:tc>
      </w:tr>
      <w:tr w:rsidR="00E3750C" w:rsidRPr="00D763F2" w14:paraId="389E5B75" w14:textId="77777777" w:rsidTr="00047864">
        <w:trPr>
          <w:trHeight w:val="300"/>
        </w:trPr>
        <w:tc>
          <w:tcPr>
            <w:tcW w:w="710" w:type="pct"/>
            <w:vMerge/>
            <w:tcBorders>
              <w:top w:val="nil"/>
              <w:left w:val="single" w:sz="4" w:space="0" w:color="auto"/>
              <w:bottom w:val="single" w:sz="4" w:space="0" w:color="auto"/>
              <w:right w:val="single" w:sz="4" w:space="0" w:color="auto"/>
            </w:tcBorders>
            <w:vAlign w:val="center"/>
            <w:hideMark/>
          </w:tcPr>
          <w:p w14:paraId="521C2019" w14:textId="77777777" w:rsidR="00E3750C" w:rsidRPr="00D763F2" w:rsidRDefault="00E3750C" w:rsidP="00047864">
            <w:pPr>
              <w:spacing w:after="0" w:line="240" w:lineRule="auto"/>
              <w:rPr>
                <w:rFonts w:ascii="Arial" w:eastAsia="Times New Roman" w:hAnsi="Arial" w:cs="Arial"/>
                <w:color w:val="000000"/>
                <w:sz w:val="18"/>
                <w:szCs w:val="18"/>
                <w:lang w:eastAsia="sl-SI"/>
              </w:rPr>
            </w:pPr>
          </w:p>
        </w:tc>
        <w:tc>
          <w:tcPr>
            <w:tcW w:w="2031" w:type="pct"/>
            <w:tcBorders>
              <w:top w:val="nil"/>
              <w:left w:val="nil"/>
              <w:bottom w:val="single" w:sz="4" w:space="0" w:color="auto"/>
              <w:right w:val="single" w:sz="4" w:space="0" w:color="auto"/>
            </w:tcBorders>
            <w:shd w:val="clear" w:color="auto" w:fill="auto"/>
            <w:vAlign w:val="center"/>
            <w:hideMark/>
          </w:tcPr>
          <w:p w14:paraId="1C083A0C" w14:textId="77777777" w:rsidR="00E3750C" w:rsidRPr="00D763F2" w:rsidRDefault="00E3750C" w:rsidP="00047864">
            <w:pPr>
              <w:spacing w:after="0" w:line="240" w:lineRule="auto"/>
              <w:rPr>
                <w:rFonts w:ascii="Arial" w:eastAsia="Times New Roman" w:hAnsi="Arial" w:cs="Arial"/>
                <w:b/>
                <w:bCs/>
                <w:color w:val="000000"/>
                <w:sz w:val="18"/>
                <w:szCs w:val="18"/>
                <w:lang w:eastAsia="sl-SI"/>
              </w:rPr>
            </w:pPr>
            <w:r w:rsidRPr="00D763F2">
              <w:rPr>
                <w:rFonts w:ascii="Arial" w:eastAsia="Times New Roman" w:hAnsi="Arial" w:cs="Arial"/>
                <w:b/>
                <w:bCs/>
                <w:color w:val="000000"/>
                <w:sz w:val="18"/>
                <w:szCs w:val="18"/>
                <w:lang w:eastAsia="sl-SI"/>
              </w:rPr>
              <w:t>Skupaj</w:t>
            </w:r>
          </w:p>
        </w:tc>
        <w:tc>
          <w:tcPr>
            <w:tcW w:w="497" w:type="pct"/>
            <w:tcBorders>
              <w:top w:val="nil"/>
              <w:left w:val="nil"/>
              <w:bottom w:val="single" w:sz="4" w:space="0" w:color="auto"/>
              <w:right w:val="single" w:sz="4" w:space="0" w:color="auto"/>
            </w:tcBorders>
            <w:shd w:val="clear" w:color="auto" w:fill="auto"/>
            <w:vAlign w:val="center"/>
            <w:hideMark/>
          </w:tcPr>
          <w:p w14:paraId="02A7A578" w14:textId="77777777" w:rsidR="00E3750C" w:rsidRPr="00D763F2" w:rsidRDefault="00E3750C" w:rsidP="00047864">
            <w:pPr>
              <w:spacing w:after="0" w:line="240" w:lineRule="auto"/>
              <w:jc w:val="right"/>
              <w:rPr>
                <w:rFonts w:ascii="Arial" w:eastAsia="Times New Roman" w:hAnsi="Arial" w:cs="Arial"/>
                <w:b/>
                <w:bCs/>
                <w:color w:val="000000"/>
                <w:sz w:val="18"/>
                <w:szCs w:val="18"/>
                <w:lang w:eastAsia="sl-SI"/>
              </w:rPr>
            </w:pPr>
            <w:r w:rsidRPr="00D763F2">
              <w:rPr>
                <w:rFonts w:ascii="Arial" w:hAnsi="Arial" w:cs="Arial"/>
                <w:b/>
                <w:bCs/>
                <w:color w:val="000000"/>
                <w:sz w:val="18"/>
                <w:szCs w:val="18"/>
              </w:rPr>
              <w:t>48</w:t>
            </w:r>
          </w:p>
        </w:tc>
        <w:tc>
          <w:tcPr>
            <w:tcW w:w="780" w:type="pct"/>
            <w:tcBorders>
              <w:top w:val="nil"/>
              <w:left w:val="nil"/>
              <w:bottom w:val="single" w:sz="4" w:space="0" w:color="auto"/>
              <w:right w:val="single" w:sz="4" w:space="0" w:color="auto"/>
            </w:tcBorders>
            <w:shd w:val="clear" w:color="auto" w:fill="auto"/>
            <w:vAlign w:val="center"/>
            <w:hideMark/>
          </w:tcPr>
          <w:p w14:paraId="7483AE87" w14:textId="77777777" w:rsidR="00E3750C" w:rsidRPr="00D763F2" w:rsidRDefault="00E3750C" w:rsidP="00047864">
            <w:pPr>
              <w:spacing w:after="0" w:line="240" w:lineRule="auto"/>
              <w:jc w:val="right"/>
              <w:rPr>
                <w:rFonts w:ascii="Arial" w:eastAsia="Times New Roman" w:hAnsi="Arial" w:cs="Arial"/>
                <w:b/>
                <w:bCs/>
                <w:color w:val="000000"/>
                <w:sz w:val="18"/>
                <w:szCs w:val="18"/>
                <w:lang w:eastAsia="sl-SI"/>
              </w:rPr>
            </w:pPr>
            <w:r w:rsidRPr="00D763F2">
              <w:rPr>
                <w:rFonts w:ascii="Arial" w:hAnsi="Arial" w:cs="Arial"/>
                <w:b/>
                <w:bCs/>
                <w:color w:val="000000"/>
                <w:sz w:val="18"/>
                <w:szCs w:val="18"/>
              </w:rPr>
              <w:t>42.028.460</w:t>
            </w:r>
          </w:p>
        </w:tc>
        <w:tc>
          <w:tcPr>
            <w:tcW w:w="491" w:type="pct"/>
            <w:tcBorders>
              <w:top w:val="nil"/>
              <w:left w:val="nil"/>
              <w:bottom w:val="single" w:sz="4" w:space="0" w:color="auto"/>
              <w:right w:val="single" w:sz="4" w:space="0" w:color="auto"/>
            </w:tcBorders>
            <w:shd w:val="clear" w:color="auto" w:fill="auto"/>
            <w:noWrap/>
            <w:vAlign w:val="center"/>
            <w:hideMark/>
          </w:tcPr>
          <w:p w14:paraId="7ACB6B40" w14:textId="77777777" w:rsidR="00E3750C" w:rsidRPr="00D763F2" w:rsidRDefault="00E3750C" w:rsidP="00047864">
            <w:pPr>
              <w:spacing w:after="0" w:line="240" w:lineRule="auto"/>
              <w:jc w:val="right"/>
              <w:rPr>
                <w:rFonts w:ascii="Arial" w:eastAsia="Times New Roman" w:hAnsi="Arial" w:cs="Arial"/>
                <w:b/>
                <w:bCs/>
                <w:color w:val="000000"/>
                <w:sz w:val="18"/>
                <w:szCs w:val="18"/>
                <w:lang w:eastAsia="sl-SI"/>
              </w:rPr>
            </w:pPr>
            <w:r w:rsidRPr="00D763F2">
              <w:rPr>
                <w:rFonts w:ascii="Arial" w:hAnsi="Arial" w:cs="Arial"/>
                <w:b/>
                <w:bCs/>
                <w:color w:val="000000"/>
                <w:sz w:val="18"/>
                <w:szCs w:val="18"/>
              </w:rPr>
              <w:t>100,00 %</w:t>
            </w:r>
          </w:p>
        </w:tc>
        <w:tc>
          <w:tcPr>
            <w:tcW w:w="491" w:type="pct"/>
            <w:tcBorders>
              <w:top w:val="nil"/>
              <w:left w:val="nil"/>
              <w:bottom w:val="single" w:sz="4" w:space="0" w:color="auto"/>
              <w:right w:val="single" w:sz="4" w:space="0" w:color="auto"/>
            </w:tcBorders>
            <w:shd w:val="clear" w:color="auto" w:fill="auto"/>
            <w:noWrap/>
            <w:vAlign w:val="center"/>
            <w:hideMark/>
          </w:tcPr>
          <w:p w14:paraId="68DE70E8" w14:textId="77777777" w:rsidR="00E3750C" w:rsidRPr="00D763F2" w:rsidRDefault="00E3750C" w:rsidP="00047864">
            <w:pPr>
              <w:spacing w:after="0" w:line="240" w:lineRule="auto"/>
              <w:jc w:val="right"/>
              <w:rPr>
                <w:rFonts w:ascii="Arial" w:eastAsia="Times New Roman" w:hAnsi="Arial" w:cs="Arial"/>
                <w:b/>
                <w:bCs/>
                <w:color w:val="000000"/>
                <w:sz w:val="18"/>
                <w:szCs w:val="18"/>
                <w:lang w:eastAsia="sl-SI"/>
              </w:rPr>
            </w:pPr>
            <w:r w:rsidRPr="00D763F2">
              <w:rPr>
                <w:rFonts w:ascii="Arial" w:hAnsi="Arial" w:cs="Arial"/>
                <w:b/>
                <w:bCs/>
                <w:color w:val="000000"/>
                <w:sz w:val="18"/>
                <w:szCs w:val="18"/>
              </w:rPr>
              <w:t>100,00 %</w:t>
            </w:r>
          </w:p>
        </w:tc>
      </w:tr>
      <w:tr w:rsidR="00E3750C" w:rsidRPr="00D763F2" w14:paraId="314A74C4" w14:textId="77777777" w:rsidTr="00047864">
        <w:trPr>
          <w:trHeight w:val="300"/>
        </w:trPr>
        <w:tc>
          <w:tcPr>
            <w:tcW w:w="274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2775EA" w14:textId="77777777" w:rsidR="00E3750C" w:rsidRPr="00D763F2" w:rsidRDefault="00E3750C" w:rsidP="00047864">
            <w:pPr>
              <w:spacing w:after="0" w:line="240" w:lineRule="auto"/>
              <w:rPr>
                <w:rFonts w:ascii="Arial" w:eastAsia="Times New Roman" w:hAnsi="Arial" w:cs="Arial"/>
                <w:b/>
                <w:bCs/>
                <w:color w:val="000000"/>
                <w:sz w:val="18"/>
                <w:szCs w:val="18"/>
                <w:lang w:eastAsia="sl-SI"/>
              </w:rPr>
            </w:pPr>
            <w:r w:rsidRPr="00D763F2">
              <w:rPr>
                <w:rFonts w:ascii="Arial" w:eastAsia="Times New Roman" w:hAnsi="Arial" w:cs="Arial"/>
                <w:b/>
                <w:bCs/>
                <w:color w:val="000000"/>
                <w:sz w:val="18"/>
                <w:szCs w:val="18"/>
                <w:lang w:eastAsia="sl-SI"/>
              </w:rPr>
              <w:t>Skupaj</w:t>
            </w:r>
          </w:p>
        </w:tc>
        <w:tc>
          <w:tcPr>
            <w:tcW w:w="497" w:type="pct"/>
            <w:tcBorders>
              <w:top w:val="nil"/>
              <w:left w:val="nil"/>
              <w:bottom w:val="single" w:sz="4" w:space="0" w:color="auto"/>
              <w:right w:val="single" w:sz="4" w:space="0" w:color="auto"/>
            </w:tcBorders>
            <w:shd w:val="clear" w:color="auto" w:fill="F2F2F2" w:themeFill="background1" w:themeFillShade="F2"/>
            <w:vAlign w:val="center"/>
            <w:hideMark/>
          </w:tcPr>
          <w:p w14:paraId="3AE366C1" w14:textId="77777777" w:rsidR="00E3750C" w:rsidRPr="00D763F2" w:rsidRDefault="00E3750C" w:rsidP="00047864">
            <w:pPr>
              <w:spacing w:after="0" w:line="240" w:lineRule="auto"/>
              <w:jc w:val="right"/>
              <w:rPr>
                <w:rFonts w:ascii="Arial" w:eastAsia="Times New Roman" w:hAnsi="Arial" w:cs="Arial"/>
                <w:b/>
                <w:bCs/>
                <w:color w:val="000000"/>
                <w:sz w:val="18"/>
                <w:szCs w:val="18"/>
                <w:lang w:eastAsia="sl-SI"/>
              </w:rPr>
            </w:pPr>
            <w:r w:rsidRPr="00D763F2">
              <w:rPr>
                <w:rFonts w:ascii="Arial" w:hAnsi="Arial" w:cs="Arial"/>
                <w:b/>
                <w:bCs/>
                <w:color w:val="000000"/>
                <w:sz w:val="18"/>
                <w:szCs w:val="18"/>
              </w:rPr>
              <w:t>10.289</w:t>
            </w:r>
          </w:p>
        </w:tc>
        <w:tc>
          <w:tcPr>
            <w:tcW w:w="780" w:type="pct"/>
            <w:tcBorders>
              <w:top w:val="nil"/>
              <w:left w:val="nil"/>
              <w:bottom w:val="single" w:sz="4" w:space="0" w:color="auto"/>
              <w:right w:val="single" w:sz="4" w:space="0" w:color="auto"/>
            </w:tcBorders>
            <w:shd w:val="clear" w:color="auto" w:fill="F2F2F2" w:themeFill="background1" w:themeFillShade="F2"/>
            <w:vAlign w:val="center"/>
            <w:hideMark/>
          </w:tcPr>
          <w:p w14:paraId="40E9BE4C" w14:textId="77777777" w:rsidR="00E3750C" w:rsidRPr="00D763F2" w:rsidRDefault="00E3750C" w:rsidP="00047864">
            <w:pPr>
              <w:spacing w:after="0" w:line="240" w:lineRule="auto"/>
              <w:jc w:val="right"/>
              <w:rPr>
                <w:rFonts w:ascii="Arial" w:eastAsia="Times New Roman" w:hAnsi="Arial" w:cs="Arial"/>
                <w:b/>
                <w:bCs/>
                <w:color w:val="000000"/>
                <w:sz w:val="18"/>
                <w:szCs w:val="18"/>
                <w:lang w:eastAsia="sl-SI"/>
              </w:rPr>
            </w:pPr>
            <w:r w:rsidRPr="00D763F2">
              <w:rPr>
                <w:rFonts w:ascii="Arial" w:hAnsi="Arial" w:cs="Arial"/>
                <w:b/>
                <w:bCs/>
                <w:color w:val="000000"/>
                <w:sz w:val="18"/>
                <w:szCs w:val="18"/>
              </w:rPr>
              <w:t>4.178.721.659</w:t>
            </w:r>
          </w:p>
        </w:tc>
        <w:tc>
          <w:tcPr>
            <w:tcW w:w="491" w:type="pct"/>
            <w:tcBorders>
              <w:top w:val="nil"/>
              <w:left w:val="nil"/>
              <w:bottom w:val="nil"/>
              <w:right w:val="nil"/>
            </w:tcBorders>
            <w:shd w:val="clear" w:color="auto" w:fill="auto"/>
            <w:noWrap/>
            <w:vAlign w:val="center"/>
            <w:hideMark/>
          </w:tcPr>
          <w:p w14:paraId="62364EB0" w14:textId="77777777" w:rsidR="00E3750C" w:rsidRPr="00D763F2" w:rsidRDefault="00E3750C" w:rsidP="00047864">
            <w:pPr>
              <w:spacing w:after="0" w:line="240" w:lineRule="auto"/>
              <w:jc w:val="right"/>
              <w:rPr>
                <w:rFonts w:ascii="Arial" w:eastAsia="Times New Roman" w:hAnsi="Arial" w:cs="Arial"/>
                <w:color w:val="000000"/>
                <w:sz w:val="18"/>
                <w:szCs w:val="18"/>
                <w:lang w:eastAsia="sl-SI"/>
              </w:rPr>
            </w:pPr>
          </w:p>
        </w:tc>
        <w:tc>
          <w:tcPr>
            <w:tcW w:w="491" w:type="pct"/>
            <w:tcBorders>
              <w:top w:val="nil"/>
              <w:left w:val="nil"/>
              <w:bottom w:val="nil"/>
              <w:right w:val="nil"/>
            </w:tcBorders>
            <w:shd w:val="clear" w:color="auto" w:fill="auto"/>
            <w:noWrap/>
            <w:vAlign w:val="center"/>
            <w:hideMark/>
          </w:tcPr>
          <w:p w14:paraId="5875910D" w14:textId="77777777" w:rsidR="00E3750C" w:rsidRPr="00D763F2" w:rsidRDefault="00E3750C" w:rsidP="00047864">
            <w:pPr>
              <w:spacing w:after="0" w:line="240" w:lineRule="auto"/>
              <w:jc w:val="right"/>
              <w:rPr>
                <w:rFonts w:ascii="Arial" w:eastAsia="Times New Roman" w:hAnsi="Arial" w:cs="Arial"/>
                <w:color w:val="000000"/>
                <w:sz w:val="18"/>
                <w:szCs w:val="18"/>
                <w:lang w:eastAsia="sl-SI"/>
              </w:rPr>
            </w:pPr>
          </w:p>
        </w:tc>
      </w:tr>
    </w:tbl>
    <w:p w14:paraId="106E6344" w14:textId="77777777" w:rsidR="00E3750C" w:rsidRPr="00BF7302" w:rsidRDefault="00E3750C" w:rsidP="00E3750C">
      <w:pPr>
        <w:spacing w:after="0" w:line="240" w:lineRule="auto"/>
        <w:jc w:val="both"/>
        <w:rPr>
          <w:rFonts w:ascii="Arial" w:hAnsi="Arial" w:cs="Arial"/>
          <w:sz w:val="20"/>
          <w:highlight w:val="yellow"/>
        </w:rPr>
      </w:pPr>
    </w:p>
    <w:p w14:paraId="75E2D5EE" w14:textId="77777777" w:rsidR="00E3750C" w:rsidRDefault="00E3750C" w:rsidP="00E3750C">
      <w:pPr>
        <w:spacing w:after="0" w:line="240" w:lineRule="auto"/>
        <w:jc w:val="both"/>
        <w:rPr>
          <w:rFonts w:ascii="Arial" w:hAnsi="Arial" w:cs="Arial"/>
          <w:sz w:val="20"/>
        </w:rPr>
      </w:pPr>
    </w:p>
    <w:p w14:paraId="1A360E70" w14:textId="77777777" w:rsidR="00E3750C" w:rsidRDefault="00E3750C" w:rsidP="00E3750C">
      <w:pPr>
        <w:spacing w:after="0" w:line="240" w:lineRule="auto"/>
        <w:jc w:val="both"/>
        <w:rPr>
          <w:rFonts w:ascii="Arial" w:hAnsi="Arial" w:cs="Arial"/>
          <w:sz w:val="20"/>
          <w:highlight w:val="yellow"/>
        </w:rPr>
      </w:pPr>
      <w:r w:rsidRPr="005E3C8B">
        <w:rPr>
          <w:rFonts w:ascii="Arial" w:hAnsi="Arial" w:cs="Arial"/>
          <w:sz w:val="20"/>
        </w:rPr>
        <w:t>Preglednica 6</w:t>
      </w:r>
      <w:r>
        <w:rPr>
          <w:rFonts w:ascii="Arial" w:hAnsi="Arial" w:cs="Arial"/>
          <w:sz w:val="20"/>
        </w:rPr>
        <w:t>7</w:t>
      </w:r>
      <w:r w:rsidRPr="005E3C8B">
        <w:rPr>
          <w:rFonts w:ascii="Arial" w:hAnsi="Arial" w:cs="Arial"/>
          <w:sz w:val="20"/>
        </w:rPr>
        <w:t xml:space="preserve">: Socialne in druge posebne storitve </w:t>
      </w:r>
      <w:bookmarkStart w:id="70" w:name="_Toc367784266"/>
      <w:bookmarkStart w:id="71" w:name="_Toc368925708"/>
      <w:bookmarkStart w:id="72" w:name="_Toc369000991"/>
      <w:r w:rsidRPr="005E3C8B">
        <w:rPr>
          <w:rFonts w:ascii="Arial" w:hAnsi="Arial" w:cs="Arial"/>
          <w:sz w:val="20"/>
        </w:rPr>
        <w:t>glede na kategorije storitve</w:t>
      </w:r>
    </w:p>
    <w:p w14:paraId="26D4A5A5" w14:textId="77777777" w:rsidR="00E3750C" w:rsidRDefault="00E3750C" w:rsidP="00E3750C">
      <w:pPr>
        <w:spacing w:after="0" w:line="240" w:lineRule="auto"/>
        <w:jc w:val="both"/>
        <w:rPr>
          <w:rFonts w:ascii="Arial" w:hAnsi="Arial" w:cs="Arial"/>
          <w:sz w:val="20"/>
          <w:highlight w:val="yellow"/>
        </w:rPr>
      </w:pPr>
    </w:p>
    <w:tbl>
      <w:tblPr>
        <w:tblW w:w="5000" w:type="pct"/>
        <w:tblCellMar>
          <w:left w:w="70" w:type="dxa"/>
          <w:right w:w="70" w:type="dxa"/>
        </w:tblCellMar>
        <w:tblLook w:val="04A0" w:firstRow="1" w:lastRow="0" w:firstColumn="1" w:lastColumn="0" w:noHBand="0" w:noVBand="1"/>
      </w:tblPr>
      <w:tblGrid>
        <w:gridCol w:w="4087"/>
        <w:gridCol w:w="1068"/>
        <w:gridCol w:w="1437"/>
        <w:gridCol w:w="1338"/>
        <w:gridCol w:w="1244"/>
      </w:tblGrid>
      <w:tr w:rsidR="00E3750C" w:rsidRPr="004813E0" w14:paraId="163F7661" w14:textId="77777777" w:rsidTr="00047864">
        <w:trPr>
          <w:trHeight w:val="255"/>
        </w:trPr>
        <w:tc>
          <w:tcPr>
            <w:tcW w:w="22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E3854E" w14:textId="77777777" w:rsidR="00E3750C" w:rsidRPr="004813E0" w:rsidRDefault="00E3750C" w:rsidP="00047864">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Kategorija</w:t>
            </w:r>
            <w:r w:rsidRPr="004813E0">
              <w:rPr>
                <w:rFonts w:ascii="Arial" w:eastAsia="Times New Roman" w:hAnsi="Arial" w:cs="Arial"/>
                <w:color w:val="000000"/>
                <w:sz w:val="18"/>
                <w:szCs w:val="18"/>
                <w:lang w:eastAsia="sl-SI"/>
              </w:rPr>
              <w:t xml:space="preserve"> storitve</w:t>
            </w:r>
          </w:p>
        </w:tc>
        <w:tc>
          <w:tcPr>
            <w:tcW w:w="58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17DDD6D" w14:textId="77777777" w:rsidR="00E3750C" w:rsidRPr="004813E0" w:rsidRDefault="00E3750C" w:rsidP="00047864">
            <w:pPr>
              <w:spacing w:after="0" w:line="240" w:lineRule="auto"/>
              <w:jc w:val="center"/>
              <w:rPr>
                <w:rFonts w:ascii="Arial" w:eastAsia="Times New Roman" w:hAnsi="Arial" w:cs="Arial"/>
                <w:color w:val="000000"/>
                <w:sz w:val="18"/>
                <w:szCs w:val="18"/>
                <w:lang w:eastAsia="sl-SI"/>
              </w:rPr>
            </w:pPr>
            <w:r w:rsidRPr="004813E0">
              <w:rPr>
                <w:rFonts w:ascii="Arial" w:eastAsia="Times New Roman" w:hAnsi="Arial" w:cs="Arial"/>
                <w:color w:val="000000"/>
                <w:sz w:val="18"/>
                <w:szCs w:val="18"/>
                <w:lang w:eastAsia="sl-SI"/>
              </w:rPr>
              <w:t>Št. naročil</w:t>
            </w:r>
          </w:p>
        </w:tc>
        <w:tc>
          <w:tcPr>
            <w:tcW w:w="78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4A45B23" w14:textId="77777777" w:rsidR="00E3750C" w:rsidRPr="004813E0" w:rsidRDefault="00E3750C" w:rsidP="00047864">
            <w:pPr>
              <w:spacing w:after="0" w:line="240" w:lineRule="auto"/>
              <w:jc w:val="center"/>
              <w:rPr>
                <w:rFonts w:ascii="Arial" w:eastAsia="Times New Roman" w:hAnsi="Arial" w:cs="Arial"/>
                <w:color w:val="000000"/>
                <w:sz w:val="18"/>
                <w:szCs w:val="18"/>
                <w:lang w:eastAsia="sl-SI"/>
              </w:rPr>
            </w:pPr>
            <w:r w:rsidRPr="004813E0">
              <w:rPr>
                <w:rFonts w:ascii="Arial" w:eastAsia="Times New Roman" w:hAnsi="Arial" w:cs="Arial"/>
                <w:color w:val="000000"/>
                <w:sz w:val="18"/>
                <w:szCs w:val="18"/>
                <w:lang w:eastAsia="sl-SI"/>
              </w:rPr>
              <w:t>Pogodbena vrednost</w:t>
            </w:r>
          </w:p>
        </w:tc>
        <w:tc>
          <w:tcPr>
            <w:tcW w:w="72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04944ED" w14:textId="77777777" w:rsidR="00E3750C" w:rsidRPr="004813E0" w:rsidRDefault="00E3750C" w:rsidP="00047864">
            <w:pPr>
              <w:spacing w:after="0" w:line="240" w:lineRule="auto"/>
              <w:jc w:val="center"/>
              <w:rPr>
                <w:rFonts w:ascii="Arial" w:eastAsia="Times New Roman" w:hAnsi="Arial" w:cs="Arial"/>
                <w:color w:val="000000"/>
                <w:sz w:val="18"/>
                <w:szCs w:val="18"/>
                <w:lang w:eastAsia="sl-SI"/>
              </w:rPr>
            </w:pPr>
            <w:r w:rsidRPr="004813E0">
              <w:rPr>
                <w:rFonts w:ascii="Arial" w:eastAsia="Times New Roman" w:hAnsi="Arial" w:cs="Arial"/>
                <w:color w:val="000000"/>
                <w:sz w:val="18"/>
                <w:szCs w:val="18"/>
                <w:lang w:eastAsia="sl-SI"/>
              </w:rPr>
              <w:t>Delež v št. naročil</w:t>
            </w:r>
          </w:p>
        </w:tc>
        <w:tc>
          <w:tcPr>
            <w:tcW w:w="67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5E611A2" w14:textId="77777777" w:rsidR="00E3750C" w:rsidRPr="004813E0" w:rsidRDefault="00E3750C" w:rsidP="00047864">
            <w:pPr>
              <w:spacing w:after="0" w:line="240" w:lineRule="auto"/>
              <w:jc w:val="center"/>
              <w:rPr>
                <w:rFonts w:ascii="Arial" w:eastAsia="Times New Roman" w:hAnsi="Arial" w:cs="Arial"/>
                <w:color w:val="000000"/>
                <w:sz w:val="18"/>
                <w:szCs w:val="18"/>
                <w:lang w:eastAsia="sl-SI"/>
              </w:rPr>
            </w:pPr>
            <w:r w:rsidRPr="004813E0">
              <w:rPr>
                <w:rFonts w:ascii="Arial" w:eastAsia="Times New Roman" w:hAnsi="Arial" w:cs="Arial"/>
                <w:color w:val="000000"/>
                <w:sz w:val="18"/>
                <w:szCs w:val="18"/>
                <w:lang w:eastAsia="sl-SI"/>
              </w:rPr>
              <w:t>Delež v vrednosti</w:t>
            </w:r>
          </w:p>
        </w:tc>
      </w:tr>
      <w:tr w:rsidR="00E3750C" w:rsidRPr="004813E0" w14:paraId="51E6884A" w14:textId="77777777" w:rsidTr="00047864">
        <w:trPr>
          <w:trHeight w:val="255"/>
        </w:trPr>
        <w:tc>
          <w:tcPr>
            <w:tcW w:w="2228" w:type="pct"/>
            <w:tcBorders>
              <w:top w:val="nil"/>
              <w:left w:val="single" w:sz="4" w:space="0" w:color="auto"/>
              <w:bottom w:val="single" w:sz="4" w:space="0" w:color="auto"/>
              <w:right w:val="single" w:sz="4" w:space="0" w:color="auto"/>
            </w:tcBorders>
            <w:shd w:val="clear" w:color="auto" w:fill="auto"/>
            <w:vAlign w:val="center"/>
            <w:hideMark/>
          </w:tcPr>
          <w:p w14:paraId="1BAD2AE7" w14:textId="77777777" w:rsidR="00E3750C" w:rsidRPr="004813E0" w:rsidRDefault="00E3750C" w:rsidP="00047864">
            <w:pPr>
              <w:spacing w:after="0" w:line="240" w:lineRule="auto"/>
              <w:rPr>
                <w:rFonts w:ascii="Arial" w:hAnsi="Arial" w:cs="Arial"/>
                <w:sz w:val="18"/>
                <w:szCs w:val="18"/>
              </w:rPr>
            </w:pPr>
            <w:r w:rsidRPr="004813E0">
              <w:rPr>
                <w:rFonts w:ascii="Arial" w:hAnsi="Arial" w:cs="Arial"/>
                <w:sz w:val="18"/>
                <w:szCs w:val="18"/>
              </w:rPr>
              <w:t>Poštne storitve</w:t>
            </w:r>
          </w:p>
        </w:tc>
        <w:tc>
          <w:tcPr>
            <w:tcW w:w="582" w:type="pct"/>
            <w:tcBorders>
              <w:top w:val="nil"/>
              <w:left w:val="nil"/>
              <w:bottom w:val="single" w:sz="4" w:space="0" w:color="auto"/>
              <w:right w:val="single" w:sz="4" w:space="0" w:color="auto"/>
            </w:tcBorders>
            <w:shd w:val="clear" w:color="auto" w:fill="auto"/>
            <w:vAlign w:val="center"/>
            <w:hideMark/>
          </w:tcPr>
          <w:p w14:paraId="5D539437" w14:textId="77777777" w:rsidR="00E3750C" w:rsidRPr="004813E0" w:rsidRDefault="00E3750C" w:rsidP="00047864">
            <w:pPr>
              <w:spacing w:after="0" w:line="240" w:lineRule="auto"/>
              <w:jc w:val="right"/>
              <w:rPr>
                <w:rFonts w:ascii="Arial" w:hAnsi="Arial" w:cs="Arial"/>
                <w:sz w:val="18"/>
                <w:szCs w:val="18"/>
              </w:rPr>
            </w:pPr>
            <w:r w:rsidRPr="004813E0">
              <w:rPr>
                <w:rFonts w:ascii="Arial" w:hAnsi="Arial" w:cs="Arial"/>
                <w:sz w:val="18"/>
                <w:szCs w:val="18"/>
              </w:rPr>
              <w:t>2</w:t>
            </w:r>
          </w:p>
        </w:tc>
        <w:tc>
          <w:tcPr>
            <w:tcW w:w="783" w:type="pct"/>
            <w:tcBorders>
              <w:top w:val="nil"/>
              <w:left w:val="nil"/>
              <w:bottom w:val="single" w:sz="4" w:space="0" w:color="auto"/>
              <w:right w:val="single" w:sz="4" w:space="0" w:color="auto"/>
            </w:tcBorders>
            <w:shd w:val="clear" w:color="auto" w:fill="auto"/>
            <w:vAlign w:val="center"/>
            <w:hideMark/>
          </w:tcPr>
          <w:p w14:paraId="6A69F9F0" w14:textId="77777777" w:rsidR="00E3750C" w:rsidRPr="004813E0" w:rsidRDefault="00E3750C" w:rsidP="00047864">
            <w:pPr>
              <w:spacing w:after="0" w:line="240" w:lineRule="auto"/>
              <w:jc w:val="right"/>
              <w:rPr>
                <w:rFonts w:ascii="Arial" w:hAnsi="Arial" w:cs="Arial"/>
                <w:sz w:val="18"/>
                <w:szCs w:val="18"/>
              </w:rPr>
            </w:pPr>
            <w:r w:rsidRPr="004813E0">
              <w:rPr>
                <w:rFonts w:ascii="Arial" w:hAnsi="Arial" w:cs="Arial"/>
                <w:sz w:val="18"/>
                <w:szCs w:val="18"/>
              </w:rPr>
              <w:t>477.358</w:t>
            </w:r>
          </w:p>
        </w:tc>
        <w:tc>
          <w:tcPr>
            <w:tcW w:w="729" w:type="pct"/>
            <w:tcBorders>
              <w:top w:val="nil"/>
              <w:left w:val="nil"/>
              <w:bottom w:val="single" w:sz="4" w:space="0" w:color="auto"/>
              <w:right w:val="single" w:sz="4" w:space="0" w:color="auto"/>
            </w:tcBorders>
            <w:shd w:val="clear" w:color="auto" w:fill="auto"/>
            <w:noWrap/>
            <w:vAlign w:val="center"/>
            <w:hideMark/>
          </w:tcPr>
          <w:p w14:paraId="7EA664F8" w14:textId="77777777" w:rsidR="00E3750C" w:rsidRPr="004813E0" w:rsidRDefault="00E3750C" w:rsidP="00047864">
            <w:pPr>
              <w:spacing w:after="0" w:line="240" w:lineRule="auto"/>
              <w:jc w:val="right"/>
              <w:rPr>
                <w:rFonts w:ascii="Arial" w:hAnsi="Arial" w:cs="Arial"/>
                <w:sz w:val="18"/>
                <w:szCs w:val="18"/>
              </w:rPr>
            </w:pPr>
            <w:r w:rsidRPr="004813E0">
              <w:rPr>
                <w:rFonts w:ascii="Arial" w:hAnsi="Arial" w:cs="Arial"/>
                <w:sz w:val="18"/>
                <w:szCs w:val="18"/>
              </w:rPr>
              <w:t>8,00 %</w:t>
            </w:r>
          </w:p>
        </w:tc>
        <w:tc>
          <w:tcPr>
            <w:tcW w:w="679" w:type="pct"/>
            <w:tcBorders>
              <w:top w:val="nil"/>
              <w:left w:val="nil"/>
              <w:bottom w:val="single" w:sz="4" w:space="0" w:color="auto"/>
              <w:right w:val="single" w:sz="4" w:space="0" w:color="auto"/>
            </w:tcBorders>
            <w:shd w:val="clear" w:color="auto" w:fill="auto"/>
            <w:noWrap/>
            <w:vAlign w:val="center"/>
            <w:hideMark/>
          </w:tcPr>
          <w:p w14:paraId="507C76CD" w14:textId="77777777" w:rsidR="00E3750C" w:rsidRPr="004813E0" w:rsidRDefault="00E3750C" w:rsidP="00047864">
            <w:pPr>
              <w:spacing w:after="0" w:line="240" w:lineRule="auto"/>
              <w:jc w:val="right"/>
              <w:rPr>
                <w:rFonts w:ascii="Arial" w:hAnsi="Arial" w:cs="Arial"/>
                <w:sz w:val="18"/>
                <w:szCs w:val="18"/>
              </w:rPr>
            </w:pPr>
            <w:r w:rsidRPr="004813E0">
              <w:rPr>
                <w:rFonts w:ascii="Arial" w:hAnsi="Arial" w:cs="Arial"/>
                <w:sz w:val="18"/>
                <w:szCs w:val="18"/>
              </w:rPr>
              <w:t>13,92 %</w:t>
            </w:r>
          </w:p>
        </w:tc>
      </w:tr>
      <w:tr w:rsidR="00E3750C" w:rsidRPr="004813E0" w14:paraId="5A15317C" w14:textId="77777777" w:rsidTr="00047864">
        <w:trPr>
          <w:trHeight w:val="255"/>
        </w:trPr>
        <w:tc>
          <w:tcPr>
            <w:tcW w:w="2228" w:type="pct"/>
            <w:tcBorders>
              <w:top w:val="nil"/>
              <w:left w:val="single" w:sz="4" w:space="0" w:color="auto"/>
              <w:bottom w:val="single" w:sz="4" w:space="0" w:color="auto"/>
              <w:right w:val="single" w:sz="4" w:space="0" w:color="auto"/>
            </w:tcBorders>
            <w:shd w:val="clear" w:color="auto" w:fill="auto"/>
            <w:vAlign w:val="center"/>
            <w:hideMark/>
          </w:tcPr>
          <w:p w14:paraId="1407555A" w14:textId="77777777" w:rsidR="00E3750C" w:rsidRPr="004813E0" w:rsidRDefault="00E3750C" w:rsidP="00047864">
            <w:pPr>
              <w:spacing w:after="0" w:line="240" w:lineRule="auto"/>
              <w:rPr>
                <w:rFonts w:ascii="Arial" w:hAnsi="Arial" w:cs="Arial"/>
                <w:sz w:val="18"/>
                <w:szCs w:val="18"/>
              </w:rPr>
            </w:pPr>
            <w:r w:rsidRPr="004813E0">
              <w:rPr>
                <w:rFonts w:ascii="Arial" w:hAnsi="Arial" w:cs="Arial"/>
                <w:sz w:val="18"/>
                <w:szCs w:val="18"/>
              </w:rPr>
              <w:t>Storitve hotelov in restavracij</w:t>
            </w:r>
          </w:p>
        </w:tc>
        <w:tc>
          <w:tcPr>
            <w:tcW w:w="582" w:type="pct"/>
            <w:tcBorders>
              <w:top w:val="nil"/>
              <w:left w:val="nil"/>
              <w:bottom w:val="single" w:sz="4" w:space="0" w:color="auto"/>
              <w:right w:val="single" w:sz="4" w:space="0" w:color="auto"/>
            </w:tcBorders>
            <w:shd w:val="clear" w:color="auto" w:fill="auto"/>
            <w:vAlign w:val="center"/>
            <w:hideMark/>
          </w:tcPr>
          <w:p w14:paraId="786228B2" w14:textId="77777777" w:rsidR="00E3750C" w:rsidRPr="004813E0" w:rsidRDefault="00E3750C" w:rsidP="00047864">
            <w:pPr>
              <w:spacing w:after="0" w:line="240" w:lineRule="auto"/>
              <w:jc w:val="right"/>
              <w:rPr>
                <w:rFonts w:ascii="Arial" w:hAnsi="Arial" w:cs="Arial"/>
                <w:sz w:val="18"/>
                <w:szCs w:val="18"/>
              </w:rPr>
            </w:pPr>
            <w:r w:rsidRPr="004813E0">
              <w:rPr>
                <w:rFonts w:ascii="Arial" w:hAnsi="Arial" w:cs="Arial"/>
                <w:sz w:val="18"/>
                <w:szCs w:val="18"/>
              </w:rPr>
              <w:t>1</w:t>
            </w:r>
          </w:p>
        </w:tc>
        <w:tc>
          <w:tcPr>
            <w:tcW w:w="783" w:type="pct"/>
            <w:tcBorders>
              <w:top w:val="nil"/>
              <w:left w:val="nil"/>
              <w:bottom w:val="single" w:sz="4" w:space="0" w:color="auto"/>
              <w:right w:val="single" w:sz="4" w:space="0" w:color="auto"/>
            </w:tcBorders>
            <w:shd w:val="clear" w:color="auto" w:fill="auto"/>
            <w:vAlign w:val="center"/>
            <w:hideMark/>
          </w:tcPr>
          <w:p w14:paraId="68C02E0C" w14:textId="77777777" w:rsidR="00E3750C" w:rsidRPr="004813E0" w:rsidRDefault="00E3750C" w:rsidP="00047864">
            <w:pPr>
              <w:spacing w:after="0" w:line="240" w:lineRule="auto"/>
              <w:jc w:val="right"/>
              <w:rPr>
                <w:rFonts w:ascii="Arial" w:hAnsi="Arial" w:cs="Arial"/>
                <w:sz w:val="18"/>
                <w:szCs w:val="18"/>
              </w:rPr>
            </w:pPr>
            <w:r w:rsidRPr="004813E0">
              <w:rPr>
                <w:rFonts w:ascii="Arial" w:hAnsi="Arial" w:cs="Arial"/>
                <w:sz w:val="18"/>
                <w:szCs w:val="18"/>
              </w:rPr>
              <w:t>1.347.339</w:t>
            </w:r>
          </w:p>
        </w:tc>
        <w:tc>
          <w:tcPr>
            <w:tcW w:w="729" w:type="pct"/>
            <w:tcBorders>
              <w:top w:val="nil"/>
              <w:left w:val="nil"/>
              <w:bottom w:val="single" w:sz="4" w:space="0" w:color="auto"/>
              <w:right w:val="single" w:sz="4" w:space="0" w:color="auto"/>
            </w:tcBorders>
            <w:shd w:val="clear" w:color="auto" w:fill="auto"/>
            <w:noWrap/>
            <w:vAlign w:val="center"/>
            <w:hideMark/>
          </w:tcPr>
          <w:p w14:paraId="2FB36617" w14:textId="77777777" w:rsidR="00E3750C" w:rsidRPr="004813E0" w:rsidRDefault="00E3750C" w:rsidP="00047864">
            <w:pPr>
              <w:spacing w:after="0" w:line="240" w:lineRule="auto"/>
              <w:jc w:val="right"/>
              <w:rPr>
                <w:rFonts w:ascii="Arial" w:hAnsi="Arial" w:cs="Arial"/>
                <w:sz w:val="18"/>
                <w:szCs w:val="18"/>
              </w:rPr>
            </w:pPr>
            <w:r w:rsidRPr="004813E0">
              <w:rPr>
                <w:rFonts w:ascii="Arial" w:hAnsi="Arial" w:cs="Arial"/>
                <w:sz w:val="18"/>
                <w:szCs w:val="18"/>
              </w:rPr>
              <w:t>4,00 %</w:t>
            </w:r>
          </w:p>
        </w:tc>
        <w:tc>
          <w:tcPr>
            <w:tcW w:w="679" w:type="pct"/>
            <w:tcBorders>
              <w:top w:val="nil"/>
              <w:left w:val="nil"/>
              <w:bottom w:val="single" w:sz="4" w:space="0" w:color="auto"/>
              <w:right w:val="single" w:sz="4" w:space="0" w:color="auto"/>
            </w:tcBorders>
            <w:shd w:val="clear" w:color="auto" w:fill="auto"/>
            <w:noWrap/>
            <w:vAlign w:val="center"/>
            <w:hideMark/>
          </w:tcPr>
          <w:p w14:paraId="10605122" w14:textId="77777777" w:rsidR="00E3750C" w:rsidRPr="004813E0" w:rsidRDefault="00E3750C" w:rsidP="00047864">
            <w:pPr>
              <w:spacing w:after="0" w:line="240" w:lineRule="auto"/>
              <w:jc w:val="right"/>
              <w:rPr>
                <w:rFonts w:ascii="Arial" w:hAnsi="Arial" w:cs="Arial"/>
                <w:sz w:val="18"/>
                <w:szCs w:val="18"/>
              </w:rPr>
            </w:pPr>
            <w:r w:rsidRPr="004813E0">
              <w:rPr>
                <w:rFonts w:ascii="Arial" w:hAnsi="Arial" w:cs="Arial"/>
                <w:sz w:val="18"/>
                <w:szCs w:val="18"/>
              </w:rPr>
              <w:t>39,29 %</w:t>
            </w:r>
          </w:p>
        </w:tc>
      </w:tr>
      <w:tr w:rsidR="00E3750C" w:rsidRPr="004813E0" w14:paraId="11909605" w14:textId="77777777" w:rsidTr="00047864">
        <w:trPr>
          <w:trHeight w:val="255"/>
        </w:trPr>
        <w:tc>
          <w:tcPr>
            <w:tcW w:w="2228" w:type="pct"/>
            <w:tcBorders>
              <w:top w:val="nil"/>
              <w:left w:val="single" w:sz="4" w:space="0" w:color="auto"/>
              <w:bottom w:val="single" w:sz="4" w:space="0" w:color="auto"/>
              <w:right w:val="single" w:sz="4" w:space="0" w:color="auto"/>
            </w:tcBorders>
            <w:shd w:val="clear" w:color="auto" w:fill="auto"/>
            <w:vAlign w:val="center"/>
          </w:tcPr>
          <w:p w14:paraId="7A183B5C" w14:textId="77777777" w:rsidR="00E3750C" w:rsidRPr="004813E0" w:rsidRDefault="00E3750C" w:rsidP="00047864">
            <w:pPr>
              <w:spacing w:after="0" w:line="240" w:lineRule="auto"/>
              <w:rPr>
                <w:rFonts w:ascii="Arial" w:hAnsi="Arial" w:cs="Arial"/>
                <w:sz w:val="18"/>
                <w:szCs w:val="18"/>
              </w:rPr>
            </w:pPr>
            <w:r w:rsidRPr="004813E0">
              <w:rPr>
                <w:rFonts w:ascii="Arial" w:hAnsi="Arial" w:cs="Arial"/>
                <w:sz w:val="18"/>
                <w:szCs w:val="18"/>
              </w:rPr>
              <w:t>Storitve na področju uprave, sociale, izobraževanja, zdravstva in kulture</w:t>
            </w:r>
          </w:p>
        </w:tc>
        <w:tc>
          <w:tcPr>
            <w:tcW w:w="582" w:type="pct"/>
            <w:tcBorders>
              <w:top w:val="nil"/>
              <w:left w:val="nil"/>
              <w:bottom w:val="single" w:sz="4" w:space="0" w:color="auto"/>
              <w:right w:val="single" w:sz="4" w:space="0" w:color="auto"/>
            </w:tcBorders>
            <w:shd w:val="clear" w:color="auto" w:fill="auto"/>
            <w:vAlign w:val="center"/>
          </w:tcPr>
          <w:p w14:paraId="0EAA260C" w14:textId="77777777" w:rsidR="00E3750C" w:rsidRPr="004813E0" w:rsidRDefault="00E3750C" w:rsidP="00047864">
            <w:pPr>
              <w:spacing w:after="0" w:line="240" w:lineRule="auto"/>
              <w:jc w:val="right"/>
              <w:rPr>
                <w:rFonts w:ascii="Arial" w:hAnsi="Arial" w:cs="Arial"/>
                <w:sz w:val="18"/>
                <w:szCs w:val="18"/>
              </w:rPr>
            </w:pPr>
            <w:r w:rsidRPr="004813E0">
              <w:rPr>
                <w:rFonts w:ascii="Arial" w:hAnsi="Arial" w:cs="Arial"/>
                <w:sz w:val="18"/>
                <w:szCs w:val="18"/>
              </w:rPr>
              <w:t>21</w:t>
            </w:r>
          </w:p>
        </w:tc>
        <w:tc>
          <w:tcPr>
            <w:tcW w:w="783" w:type="pct"/>
            <w:tcBorders>
              <w:top w:val="nil"/>
              <w:left w:val="nil"/>
              <w:bottom w:val="single" w:sz="4" w:space="0" w:color="auto"/>
              <w:right w:val="single" w:sz="4" w:space="0" w:color="auto"/>
            </w:tcBorders>
            <w:shd w:val="clear" w:color="auto" w:fill="auto"/>
            <w:vAlign w:val="center"/>
          </w:tcPr>
          <w:p w14:paraId="308243F2" w14:textId="77777777" w:rsidR="00E3750C" w:rsidRPr="004813E0" w:rsidRDefault="00E3750C" w:rsidP="00047864">
            <w:pPr>
              <w:spacing w:after="0" w:line="240" w:lineRule="auto"/>
              <w:jc w:val="right"/>
              <w:rPr>
                <w:rFonts w:ascii="Arial" w:hAnsi="Arial" w:cs="Arial"/>
                <w:sz w:val="18"/>
                <w:szCs w:val="18"/>
              </w:rPr>
            </w:pPr>
            <w:r w:rsidRPr="004813E0">
              <w:rPr>
                <w:rFonts w:ascii="Arial" w:hAnsi="Arial" w:cs="Arial"/>
                <w:sz w:val="18"/>
                <w:szCs w:val="18"/>
              </w:rPr>
              <w:t>1.561.966</w:t>
            </w:r>
          </w:p>
        </w:tc>
        <w:tc>
          <w:tcPr>
            <w:tcW w:w="729" w:type="pct"/>
            <w:tcBorders>
              <w:top w:val="nil"/>
              <w:left w:val="nil"/>
              <w:bottom w:val="single" w:sz="4" w:space="0" w:color="auto"/>
              <w:right w:val="single" w:sz="4" w:space="0" w:color="auto"/>
            </w:tcBorders>
            <w:shd w:val="clear" w:color="auto" w:fill="auto"/>
            <w:noWrap/>
            <w:vAlign w:val="center"/>
          </w:tcPr>
          <w:p w14:paraId="10756D7D" w14:textId="77777777" w:rsidR="00E3750C" w:rsidRPr="004813E0" w:rsidRDefault="00E3750C" w:rsidP="00047864">
            <w:pPr>
              <w:spacing w:after="0" w:line="240" w:lineRule="auto"/>
              <w:jc w:val="right"/>
              <w:rPr>
                <w:rFonts w:ascii="Arial" w:hAnsi="Arial" w:cs="Arial"/>
                <w:sz w:val="18"/>
                <w:szCs w:val="18"/>
              </w:rPr>
            </w:pPr>
            <w:r w:rsidRPr="004813E0">
              <w:rPr>
                <w:rFonts w:ascii="Arial" w:hAnsi="Arial" w:cs="Arial"/>
                <w:sz w:val="18"/>
                <w:szCs w:val="18"/>
              </w:rPr>
              <w:t>84,00 %</w:t>
            </w:r>
          </w:p>
        </w:tc>
        <w:tc>
          <w:tcPr>
            <w:tcW w:w="679" w:type="pct"/>
            <w:tcBorders>
              <w:top w:val="nil"/>
              <w:left w:val="nil"/>
              <w:bottom w:val="single" w:sz="4" w:space="0" w:color="auto"/>
              <w:right w:val="single" w:sz="4" w:space="0" w:color="auto"/>
            </w:tcBorders>
            <w:shd w:val="clear" w:color="auto" w:fill="auto"/>
            <w:noWrap/>
            <w:vAlign w:val="center"/>
          </w:tcPr>
          <w:p w14:paraId="03F60E55" w14:textId="77777777" w:rsidR="00E3750C" w:rsidRPr="004813E0" w:rsidRDefault="00E3750C" w:rsidP="00047864">
            <w:pPr>
              <w:spacing w:after="0" w:line="240" w:lineRule="auto"/>
              <w:jc w:val="right"/>
              <w:rPr>
                <w:rFonts w:ascii="Arial" w:hAnsi="Arial" w:cs="Arial"/>
                <w:sz w:val="18"/>
                <w:szCs w:val="18"/>
              </w:rPr>
            </w:pPr>
            <w:r w:rsidRPr="004813E0">
              <w:rPr>
                <w:rFonts w:ascii="Arial" w:hAnsi="Arial" w:cs="Arial"/>
                <w:sz w:val="18"/>
                <w:szCs w:val="18"/>
              </w:rPr>
              <w:t>45,55 %</w:t>
            </w:r>
          </w:p>
        </w:tc>
      </w:tr>
      <w:tr w:rsidR="00E3750C" w:rsidRPr="004813E0" w14:paraId="23EA97D2" w14:textId="77777777" w:rsidTr="00047864">
        <w:trPr>
          <w:trHeight w:val="255"/>
        </w:trPr>
        <w:tc>
          <w:tcPr>
            <w:tcW w:w="2228" w:type="pct"/>
            <w:tcBorders>
              <w:top w:val="nil"/>
              <w:left w:val="single" w:sz="4" w:space="0" w:color="auto"/>
              <w:bottom w:val="single" w:sz="4" w:space="0" w:color="auto"/>
              <w:right w:val="single" w:sz="4" w:space="0" w:color="auto"/>
            </w:tcBorders>
            <w:shd w:val="clear" w:color="auto" w:fill="auto"/>
            <w:vAlign w:val="center"/>
          </w:tcPr>
          <w:p w14:paraId="72D7E7B3" w14:textId="77777777" w:rsidR="00E3750C" w:rsidRPr="004813E0" w:rsidRDefault="00E3750C" w:rsidP="00047864">
            <w:pPr>
              <w:spacing w:after="0" w:line="240" w:lineRule="auto"/>
              <w:rPr>
                <w:rFonts w:ascii="Arial" w:hAnsi="Arial" w:cs="Arial"/>
                <w:sz w:val="18"/>
                <w:szCs w:val="18"/>
              </w:rPr>
            </w:pPr>
            <w:r w:rsidRPr="004813E0">
              <w:rPr>
                <w:rFonts w:ascii="Arial" w:hAnsi="Arial" w:cs="Arial"/>
                <w:sz w:val="18"/>
                <w:szCs w:val="18"/>
              </w:rPr>
              <w:t>Zdravstvene, socialne in sorodne storitve</w:t>
            </w:r>
          </w:p>
        </w:tc>
        <w:tc>
          <w:tcPr>
            <w:tcW w:w="582" w:type="pct"/>
            <w:tcBorders>
              <w:top w:val="nil"/>
              <w:left w:val="nil"/>
              <w:bottom w:val="single" w:sz="4" w:space="0" w:color="auto"/>
              <w:right w:val="single" w:sz="4" w:space="0" w:color="auto"/>
            </w:tcBorders>
            <w:shd w:val="clear" w:color="auto" w:fill="auto"/>
            <w:vAlign w:val="center"/>
          </w:tcPr>
          <w:p w14:paraId="5FE0AC78" w14:textId="77777777" w:rsidR="00E3750C" w:rsidRPr="004813E0" w:rsidRDefault="00E3750C" w:rsidP="00047864">
            <w:pPr>
              <w:spacing w:after="0" w:line="240" w:lineRule="auto"/>
              <w:jc w:val="right"/>
              <w:rPr>
                <w:rFonts w:ascii="Arial" w:hAnsi="Arial" w:cs="Arial"/>
                <w:sz w:val="18"/>
                <w:szCs w:val="18"/>
              </w:rPr>
            </w:pPr>
            <w:r w:rsidRPr="004813E0">
              <w:rPr>
                <w:rFonts w:ascii="Arial" w:hAnsi="Arial" w:cs="Arial"/>
                <w:sz w:val="18"/>
                <w:szCs w:val="18"/>
              </w:rPr>
              <w:t>1</w:t>
            </w:r>
          </w:p>
        </w:tc>
        <w:tc>
          <w:tcPr>
            <w:tcW w:w="783" w:type="pct"/>
            <w:tcBorders>
              <w:top w:val="nil"/>
              <w:left w:val="nil"/>
              <w:bottom w:val="single" w:sz="4" w:space="0" w:color="auto"/>
              <w:right w:val="single" w:sz="4" w:space="0" w:color="auto"/>
            </w:tcBorders>
            <w:shd w:val="clear" w:color="auto" w:fill="auto"/>
            <w:vAlign w:val="center"/>
          </w:tcPr>
          <w:p w14:paraId="49456DE8" w14:textId="77777777" w:rsidR="00E3750C" w:rsidRPr="004813E0" w:rsidRDefault="00E3750C" w:rsidP="00047864">
            <w:pPr>
              <w:spacing w:after="0" w:line="240" w:lineRule="auto"/>
              <w:jc w:val="right"/>
              <w:rPr>
                <w:rFonts w:ascii="Arial" w:hAnsi="Arial" w:cs="Arial"/>
                <w:sz w:val="18"/>
                <w:szCs w:val="18"/>
              </w:rPr>
            </w:pPr>
            <w:r w:rsidRPr="004813E0">
              <w:rPr>
                <w:rFonts w:ascii="Arial" w:hAnsi="Arial" w:cs="Arial"/>
                <w:sz w:val="18"/>
                <w:szCs w:val="18"/>
              </w:rPr>
              <w:t>42.609</w:t>
            </w:r>
          </w:p>
        </w:tc>
        <w:tc>
          <w:tcPr>
            <w:tcW w:w="729" w:type="pct"/>
            <w:tcBorders>
              <w:top w:val="nil"/>
              <w:left w:val="nil"/>
              <w:bottom w:val="single" w:sz="4" w:space="0" w:color="auto"/>
              <w:right w:val="single" w:sz="4" w:space="0" w:color="auto"/>
            </w:tcBorders>
            <w:shd w:val="clear" w:color="auto" w:fill="auto"/>
            <w:noWrap/>
            <w:vAlign w:val="center"/>
          </w:tcPr>
          <w:p w14:paraId="07962FDB" w14:textId="77777777" w:rsidR="00E3750C" w:rsidRPr="004813E0" w:rsidRDefault="00E3750C" w:rsidP="00047864">
            <w:pPr>
              <w:spacing w:after="0" w:line="240" w:lineRule="auto"/>
              <w:jc w:val="right"/>
              <w:rPr>
                <w:rFonts w:ascii="Arial" w:hAnsi="Arial" w:cs="Arial"/>
                <w:sz w:val="18"/>
                <w:szCs w:val="18"/>
              </w:rPr>
            </w:pPr>
            <w:r w:rsidRPr="004813E0">
              <w:rPr>
                <w:rFonts w:ascii="Arial" w:hAnsi="Arial" w:cs="Arial"/>
                <w:sz w:val="18"/>
                <w:szCs w:val="18"/>
              </w:rPr>
              <w:t>4,00 %</w:t>
            </w:r>
          </w:p>
        </w:tc>
        <w:tc>
          <w:tcPr>
            <w:tcW w:w="679" w:type="pct"/>
            <w:tcBorders>
              <w:top w:val="nil"/>
              <w:left w:val="nil"/>
              <w:bottom w:val="single" w:sz="4" w:space="0" w:color="auto"/>
              <w:right w:val="single" w:sz="4" w:space="0" w:color="auto"/>
            </w:tcBorders>
            <w:shd w:val="clear" w:color="auto" w:fill="auto"/>
            <w:noWrap/>
            <w:vAlign w:val="center"/>
          </w:tcPr>
          <w:p w14:paraId="27B69E7B" w14:textId="77777777" w:rsidR="00E3750C" w:rsidRPr="004813E0" w:rsidRDefault="00E3750C" w:rsidP="00047864">
            <w:pPr>
              <w:spacing w:after="0" w:line="240" w:lineRule="auto"/>
              <w:jc w:val="right"/>
              <w:rPr>
                <w:rFonts w:ascii="Arial" w:hAnsi="Arial" w:cs="Arial"/>
                <w:sz w:val="18"/>
                <w:szCs w:val="18"/>
              </w:rPr>
            </w:pPr>
            <w:r w:rsidRPr="004813E0">
              <w:rPr>
                <w:rFonts w:ascii="Arial" w:hAnsi="Arial" w:cs="Arial"/>
                <w:sz w:val="18"/>
                <w:szCs w:val="18"/>
              </w:rPr>
              <w:t>1,24 %</w:t>
            </w:r>
          </w:p>
        </w:tc>
      </w:tr>
      <w:tr w:rsidR="00E3750C" w:rsidRPr="004813E0" w14:paraId="283224F0" w14:textId="77777777" w:rsidTr="00047864">
        <w:trPr>
          <w:trHeight w:val="255"/>
        </w:trPr>
        <w:tc>
          <w:tcPr>
            <w:tcW w:w="222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9CF2389" w14:textId="77777777" w:rsidR="00E3750C" w:rsidRPr="004813E0" w:rsidRDefault="00E3750C" w:rsidP="00047864">
            <w:pPr>
              <w:spacing w:after="0" w:line="240" w:lineRule="auto"/>
              <w:rPr>
                <w:rFonts w:ascii="Arial" w:hAnsi="Arial" w:cs="Arial"/>
                <w:b/>
                <w:bCs/>
                <w:sz w:val="18"/>
                <w:szCs w:val="18"/>
              </w:rPr>
            </w:pPr>
            <w:r w:rsidRPr="004813E0">
              <w:rPr>
                <w:rFonts w:ascii="Arial" w:hAnsi="Arial" w:cs="Arial"/>
                <w:b/>
                <w:bCs/>
                <w:sz w:val="18"/>
                <w:szCs w:val="18"/>
              </w:rPr>
              <w:t>Skupaj</w:t>
            </w:r>
          </w:p>
        </w:tc>
        <w:tc>
          <w:tcPr>
            <w:tcW w:w="582" w:type="pct"/>
            <w:tcBorders>
              <w:top w:val="nil"/>
              <w:left w:val="nil"/>
              <w:bottom w:val="single" w:sz="4" w:space="0" w:color="auto"/>
              <w:right w:val="single" w:sz="4" w:space="0" w:color="auto"/>
            </w:tcBorders>
            <w:shd w:val="clear" w:color="auto" w:fill="F2F2F2" w:themeFill="background1" w:themeFillShade="F2"/>
            <w:noWrap/>
            <w:vAlign w:val="center"/>
            <w:hideMark/>
          </w:tcPr>
          <w:p w14:paraId="1A932D37" w14:textId="77777777" w:rsidR="00E3750C" w:rsidRPr="004813E0" w:rsidRDefault="00E3750C" w:rsidP="00047864">
            <w:pPr>
              <w:spacing w:after="0" w:line="240" w:lineRule="auto"/>
              <w:jc w:val="right"/>
              <w:rPr>
                <w:rFonts w:ascii="Arial" w:hAnsi="Arial" w:cs="Arial"/>
                <w:b/>
                <w:bCs/>
                <w:sz w:val="18"/>
                <w:szCs w:val="18"/>
              </w:rPr>
            </w:pPr>
            <w:r w:rsidRPr="004813E0">
              <w:rPr>
                <w:rFonts w:ascii="Arial" w:hAnsi="Arial" w:cs="Arial"/>
                <w:b/>
                <w:bCs/>
                <w:sz w:val="18"/>
                <w:szCs w:val="18"/>
              </w:rPr>
              <w:t>25</w:t>
            </w:r>
          </w:p>
        </w:tc>
        <w:tc>
          <w:tcPr>
            <w:tcW w:w="783" w:type="pct"/>
            <w:tcBorders>
              <w:top w:val="nil"/>
              <w:left w:val="nil"/>
              <w:bottom w:val="single" w:sz="4" w:space="0" w:color="auto"/>
              <w:right w:val="single" w:sz="4" w:space="0" w:color="auto"/>
            </w:tcBorders>
            <w:shd w:val="clear" w:color="auto" w:fill="F2F2F2" w:themeFill="background1" w:themeFillShade="F2"/>
            <w:noWrap/>
            <w:vAlign w:val="center"/>
            <w:hideMark/>
          </w:tcPr>
          <w:p w14:paraId="1B3A66EE" w14:textId="77777777" w:rsidR="00E3750C" w:rsidRPr="004813E0" w:rsidRDefault="00E3750C" w:rsidP="00047864">
            <w:pPr>
              <w:spacing w:after="0" w:line="240" w:lineRule="auto"/>
              <w:jc w:val="right"/>
              <w:rPr>
                <w:rFonts w:ascii="Arial" w:hAnsi="Arial" w:cs="Arial"/>
                <w:b/>
                <w:bCs/>
                <w:sz w:val="18"/>
                <w:szCs w:val="18"/>
              </w:rPr>
            </w:pPr>
            <w:r w:rsidRPr="004813E0">
              <w:rPr>
                <w:rFonts w:ascii="Arial" w:hAnsi="Arial" w:cs="Arial"/>
                <w:b/>
                <w:bCs/>
                <w:sz w:val="18"/>
                <w:szCs w:val="18"/>
              </w:rPr>
              <w:t>3.429.272</w:t>
            </w:r>
          </w:p>
        </w:tc>
        <w:tc>
          <w:tcPr>
            <w:tcW w:w="729" w:type="pct"/>
            <w:tcBorders>
              <w:top w:val="nil"/>
              <w:left w:val="nil"/>
              <w:bottom w:val="single" w:sz="4" w:space="0" w:color="auto"/>
              <w:right w:val="single" w:sz="4" w:space="0" w:color="auto"/>
            </w:tcBorders>
            <w:shd w:val="clear" w:color="auto" w:fill="F2F2F2" w:themeFill="background1" w:themeFillShade="F2"/>
            <w:noWrap/>
            <w:vAlign w:val="center"/>
            <w:hideMark/>
          </w:tcPr>
          <w:p w14:paraId="2A8B8B09" w14:textId="77777777" w:rsidR="00E3750C" w:rsidRPr="004813E0" w:rsidRDefault="00E3750C" w:rsidP="00047864">
            <w:pPr>
              <w:spacing w:after="0" w:line="240" w:lineRule="auto"/>
              <w:jc w:val="right"/>
              <w:rPr>
                <w:rFonts w:ascii="Arial" w:hAnsi="Arial" w:cs="Arial"/>
                <w:b/>
                <w:bCs/>
                <w:sz w:val="18"/>
                <w:szCs w:val="18"/>
              </w:rPr>
            </w:pPr>
            <w:r w:rsidRPr="004813E0">
              <w:rPr>
                <w:rFonts w:ascii="Arial" w:hAnsi="Arial" w:cs="Arial"/>
                <w:b/>
                <w:bCs/>
                <w:sz w:val="18"/>
                <w:szCs w:val="18"/>
              </w:rPr>
              <w:t>100,00 %</w:t>
            </w:r>
          </w:p>
        </w:tc>
        <w:tc>
          <w:tcPr>
            <w:tcW w:w="679" w:type="pct"/>
            <w:tcBorders>
              <w:top w:val="nil"/>
              <w:left w:val="nil"/>
              <w:bottom w:val="single" w:sz="4" w:space="0" w:color="auto"/>
              <w:right w:val="single" w:sz="4" w:space="0" w:color="auto"/>
            </w:tcBorders>
            <w:shd w:val="clear" w:color="auto" w:fill="F2F2F2" w:themeFill="background1" w:themeFillShade="F2"/>
            <w:noWrap/>
            <w:vAlign w:val="center"/>
            <w:hideMark/>
          </w:tcPr>
          <w:p w14:paraId="46619230" w14:textId="77777777" w:rsidR="00E3750C" w:rsidRPr="004813E0" w:rsidRDefault="00E3750C" w:rsidP="00047864">
            <w:pPr>
              <w:spacing w:after="0" w:line="240" w:lineRule="auto"/>
              <w:jc w:val="right"/>
              <w:rPr>
                <w:rFonts w:ascii="Arial" w:hAnsi="Arial" w:cs="Arial"/>
                <w:b/>
                <w:bCs/>
                <w:sz w:val="18"/>
                <w:szCs w:val="18"/>
              </w:rPr>
            </w:pPr>
            <w:r w:rsidRPr="004813E0">
              <w:rPr>
                <w:rFonts w:ascii="Arial" w:hAnsi="Arial" w:cs="Arial"/>
                <w:b/>
                <w:bCs/>
                <w:sz w:val="18"/>
                <w:szCs w:val="18"/>
              </w:rPr>
              <w:t>100,00 %</w:t>
            </w:r>
          </w:p>
        </w:tc>
      </w:tr>
    </w:tbl>
    <w:p w14:paraId="26BFDB70" w14:textId="77777777" w:rsidR="00E3750C" w:rsidRPr="00BF7302" w:rsidRDefault="00E3750C" w:rsidP="00E3750C">
      <w:pPr>
        <w:spacing w:before="120" w:after="0" w:line="240" w:lineRule="auto"/>
        <w:jc w:val="both"/>
        <w:rPr>
          <w:rFonts w:ascii="Arial" w:hAnsi="Arial" w:cs="Arial"/>
          <w:sz w:val="20"/>
          <w:highlight w:val="yellow"/>
        </w:rPr>
      </w:pPr>
    </w:p>
    <w:p w14:paraId="29521FC5" w14:textId="77777777" w:rsidR="00E3750C" w:rsidRDefault="00E3750C" w:rsidP="00E3750C">
      <w:pPr>
        <w:rPr>
          <w:rFonts w:ascii="Arial" w:hAnsi="Arial" w:cs="Arial"/>
          <w:sz w:val="20"/>
        </w:rPr>
      </w:pPr>
      <w:r>
        <w:rPr>
          <w:rFonts w:ascii="Arial" w:hAnsi="Arial" w:cs="Arial"/>
          <w:sz w:val="20"/>
        </w:rPr>
        <w:br w:type="page"/>
      </w:r>
    </w:p>
    <w:p w14:paraId="4E99985D" w14:textId="77777777" w:rsidR="00E3750C" w:rsidRPr="004028A3" w:rsidRDefault="00E3750C" w:rsidP="00E3750C">
      <w:pPr>
        <w:spacing w:before="120" w:after="0" w:line="240" w:lineRule="auto"/>
        <w:jc w:val="both"/>
        <w:rPr>
          <w:rFonts w:ascii="Arial" w:hAnsi="Arial" w:cs="Arial"/>
          <w:sz w:val="20"/>
        </w:rPr>
      </w:pPr>
      <w:r w:rsidRPr="004028A3">
        <w:rPr>
          <w:rFonts w:ascii="Arial" w:hAnsi="Arial" w:cs="Arial"/>
          <w:sz w:val="20"/>
        </w:rPr>
        <w:lastRenderedPageBreak/>
        <w:t>Preglednica 6</w:t>
      </w:r>
      <w:r>
        <w:rPr>
          <w:rFonts w:ascii="Arial" w:hAnsi="Arial" w:cs="Arial"/>
          <w:sz w:val="20"/>
        </w:rPr>
        <w:t>8</w:t>
      </w:r>
      <w:r w:rsidRPr="004028A3">
        <w:rPr>
          <w:rFonts w:ascii="Arial" w:hAnsi="Arial" w:cs="Arial"/>
          <w:sz w:val="20"/>
        </w:rPr>
        <w:t xml:space="preserve">: Socialne in druge posebne storitve glede na poreklo ponudnika in kategorije storitve </w:t>
      </w:r>
    </w:p>
    <w:p w14:paraId="757712C8" w14:textId="77777777" w:rsidR="00E3750C" w:rsidRPr="00BF7302" w:rsidRDefault="00E3750C" w:rsidP="00E3750C">
      <w:pPr>
        <w:spacing w:after="0" w:line="240" w:lineRule="auto"/>
        <w:jc w:val="both"/>
        <w:rPr>
          <w:rFonts w:ascii="Arial" w:hAnsi="Arial" w:cs="Arial"/>
          <w:sz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61"/>
        <w:gridCol w:w="975"/>
        <w:gridCol w:w="952"/>
        <w:gridCol w:w="1284"/>
        <w:gridCol w:w="1196"/>
        <w:gridCol w:w="1106"/>
      </w:tblGrid>
      <w:tr w:rsidR="00E3750C" w:rsidRPr="004813E0" w14:paraId="1A407933" w14:textId="77777777" w:rsidTr="00047864">
        <w:trPr>
          <w:trHeight w:val="255"/>
        </w:trPr>
        <w:tc>
          <w:tcPr>
            <w:tcW w:w="1995" w:type="pct"/>
            <w:shd w:val="clear" w:color="auto" w:fill="F2F2F2" w:themeFill="background1" w:themeFillShade="F2"/>
            <w:vAlign w:val="center"/>
            <w:hideMark/>
          </w:tcPr>
          <w:p w14:paraId="74186B2E" w14:textId="77777777" w:rsidR="00E3750C" w:rsidRPr="004813E0" w:rsidRDefault="00E3750C" w:rsidP="00047864">
            <w:pPr>
              <w:spacing w:after="0" w:line="240" w:lineRule="auto"/>
              <w:jc w:val="center"/>
              <w:rPr>
                <w:rFonts w:ascii="Arial" w:eastAsia="Times New Roman" w:hAnsi="Arial" w:cs="Arial"/>
                <w:color w:val="000000"/>
                <w:sz w:val="18"/>
                <w:szCs w:val="18"/>
                <w:lang w:eastAsia="sl-SI"/>
              </w:rPr>
            </w:pPr>
            <w:bookmarkStart w:id="73" w:name="_Toc398038709"/>
            <w:bookmarkStart w:id="74" w:name="_Toc398040188"/>
            <w:bookmarkStart w:id="75" w:name="_Toc398584426"/>
            <w:bookmarkStart w:id="76" w:name="_Toc461086443"/>
            <w:bookmarkStart w:id="77" w:name="_Toc461608815"/>
            <w:bookmarkStart w:id="78" w:name="_Toc462401234"/>
            <w:r>
              <w:rPr>
                <w:rFonts w:ascii="Arial" w:eastAsia="Times New Roman" w:hAnsi="Arial" w:cs="Arial"/>
                <w:color w:val="000000"/>
                <w:sz w:val="18"/>
                <w:szCs w:val="18"/>
                <w:lang w:eastAsia="sl-SI"/>
              </w:rPr>
              <w:t>Kategorija</w:t>
            </w:r>
            <w:r w:rsidRPr="004813E0">
              <w:rPr>
                <w:rFonts w:ascii="Arial" w:eastAsia="Times New Roman" w:hAnsi="Arial" w:cs="Arial"/>
                <w:color w:val="000000"/>
                <w:sz w:val="18"/>
                <w:szCs w:val="18"/>
                <w:lang w:eastAsia="sl-SI"/>
              </w:rPr>
              <w:t xml:space="preserve"> storitve</w:t>
            </w:r>
          </w:p>
        </w:tc>
        <w:tc>
          <w:tcPr>
            <w:tcW w:w="530" w:type="pct"/>
            <w:shd w:val="clear" w:color="auto" w:fill="F2F2F2" w:themeFill="background1" w:themeFillShade="F2"/>
          </w:tcPr>
          <w:p w14:paraId="67D4AC89" w14:textId="77777777" w:rsidR="00E3750C" w:rsidRPr="004813E0" w:rsidRDefault="00E3750C" w:rsidP="00047864">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Poreklo ponudnika</w:t>
            </w:r>
          </w:p>
        </w:tc>
        <w:tc>
          <w:tcPr>
            <w:tcW w:w="519" w:type="pct"/>
            <w:shd w:val="clear" w:color="auto" w:fill="F2F2F2" w:themeFill="background1" w:themeFillShade="F2"/>
            <w:vAlign w:val="center"/>
            <w:hideMark/>
          </w:tcPr>
          <w:p w14:paraId="64EBE21A" w14:textId="77777777" w:rsidR="00E3750C" w:rsidRPr="004813E0" w:rsidRDefault="00E3750C" w:rsidP="00047864">
            <w:pPr>
              <w:spacing w:after="0" w:line="240" w:lineRule="auto"/>
              <w:jc w:val="center"/>
              <w:rPr>
                <w:rFonts w:ascii="Arial" w:eastAsia="Times New Roman" w:hAnsi="Arial" w:cs="Arial"/>
                <w:color w:val="000000"/>
                <w:sz w:val="18"/>
                <w:szCs w:val="18"/>
                <w:lang w:eastAsia="sl-SI"/>
              </w:rPr>
            </w:pPr>
            <w:r w:rsidRPr="004813E0">
              <w:rPr>
                <w:rFonts w:ascii="Arial" w:eastAsia="Times New Roman" w:hAnsi="Arial" w:cs="Arial"/>
                <w:color w:val="000000"/>
                <w:sz w:val="18"/>
                <w:szCs w:val="18"/>
                <w:lang w:eastAsia="sl-SI"/>
              </w:rPr>
              <w:t>Št. naročil</w:t>
            </w:r>
          </w:p>
        </w:tc>
        <w:tc>
          <w:tcPr>
            <w:tcW w:w="700" w:type="pct"/>
            <w:shd w:val="clear" w:color="auto" w:fill="F2F2F2" w:themeFill="background1" w:themeFillShade="F2"/>
            <w:vAlign w:val="center"/>
            <w:hideMark/>
          </w:tcPr>
          <w:p w14:paraId="484DF395" w14:textId="77777777" w:rsidR="00E3750C" w:rsidRPr="004813E0" w:rsidRDefault="00E3750C" w:rsidP="00047864">
            <w:pPr>
              <w:spacing w:after="0" w:line="240" w:lineRule="auto"/>
              <w:jc w:val="center"/>
              <w:rPr>
                <w:rFonts w:ascii="Arial" w:eastAsia="Times New Roman" w:hAnsi="Arial" w:cs="Arial"/>
                <w:color w:val="000000"/>
                <w:sz w:val="18"/>
                <w:szCs w:val="18"/>
                <w:lang w:eastAsia="sl-SI"/>
              </w:rPr>
            </w:pPr>
            <w:r w:rsidRPr="004813E0">
              <w:rPr>
                <w:rFonts w:ascii="Arial" w:eastAsia="Times New Roman" w:hAnsi="Arial" w:cs="Arial"/>
                <w:color w:val="000000"/>
                <w:sz w:val="18"/>
                <w:szCs w:val="18"/>
                <w:lang w:eastAsia="sl-SI"/>
              </w:rPr>
              <w:t>Pogodbena vrednost</w:t>
            </w:r>
          </w:p>
        </w:tc>
        <w:tc>
          <w:tcPr>
            <w:tcW w:w="652" w:type="pct"/>
            <w:shd w:val="clear" w:color="auto" w:fill="F2F2F2" w:themeFill="background1" w:themeFillShade="F2"/>
            <w:vAlign w:val="center"/>
            <w:hideMark/>
          </w:tcPr>
          <w:p w14:paraId="718689CC" w14:textId="77777777" w:rsidR="00E3750C" w:rsidRPr="004813E0" w:rsidRDefault="00E3750C" w:rsidP="00047864">
            <w:pPr>
              <w:spacing w:after="0" w:line="240" w:lineRule="auto"/>
              <w:jc w:val="center"/>
              <w:rPr>
                <w:rFonts w:ascii="Arial" w:eastAsia="Times New Roman" w:hAnsi="Arial" w:cs="Arial"/>
                <w:color w:val="000000"/>
                <w:sz w:val="18"/>
                <w:szCs w:val="18"/>
                <w:lang w:eastAsia="sl-SI"/>
              </w:rPr>
            </w:pPr>
            <w:r w:rsidRPr="004813E0">
              <w:rPr>
                <w:rFonts w:ascii="Arial" w:eastAsia="Times New Roman" w:hAnsi="Arial" w:cs="Arial"/>
                <w:color w:val="000000"/>
                <w:sz w:val="18"/>
                <w:szCs w:val="18"/>
                <w:lang w:eastAsia="sl-SI"/>
              </w:rPr>
              <w:t>Delež v št. naročil</w:t>
            </w:r>
          </w:p>
        </w:tc>
        <w:tc>
          <w:tcPr>
            <w:tcW w:w="604" w:type="pct"/>
            <w:shd w:val="clear" w:color="auto" w:fill="F2F2F2" w:themeFill="background1" w:themeFillShade="F2"/>
            <w:vAlign w:val="center"/>
            <w:hideMark/>
          </w:tcPr>
          <w:p w14:paraId="51613BD0" w14:textId="77777777" w:rsidR="00E3750C" w:rsidRPr="004813E0" w:rsidRDefault="00E3750C" w:rsidP="00047864">
            <w:pPr>
              <w:spacing w:after="0" w:line="240" w:lineRule="auto"/>
              <w:jc w:val="center"/>
              <w:rPr>
                <w:rFonts w:ascii="Arial" w:eastAsia="Times New Roman" w:hAnsi="Arial" w:cs="Arial"/>
                <w:color w:val="000000"/>
                <w:sz w:val="18"/>
                <w:szCs w:val="18"/>
                <w:lang w:eastAsia="sl-SI"/>
              </w:rPr>
            </w:pPr>
            <w:r w:rsidRPr="004813E0">
              <w:rPr>
                <w:rFonts w:ascii="Arial" w:eastAsia="Times New Roman" w:hAnsi="Arial" w:cs="Arial"/>
                <w:color w:val="000000"/>
                <w:sz w:val="18"/>
                <w:szCs w:val="18"/>
                <w:lang w:eastAsia="sl-SI"/>
              </w:rPr>
              <w:t>Delež v vrednosti</w:t>
            </w:r>
          </w:p>
        </w:tc>
      </w:tr>
      <w:tr w:rsidR="00E3750C" w:rsidRPr="004813E0" w14:paraId="5B90BDEF" w14:textId="77777777" w:rsidTr="00047864">
        <w:trPr>
          <w:trHeight w:val="255"/>
        </w:trPr>
        <w:tc>
          <w:tcPr>
            <w:tcW w:w="1995" w:type="pct"/>
            <w:shd w:val="clear" w:color="auto" w:fill="auto"/>
            <w:vAlign w:val="center"/>
            <w:hideMark/>
          </w:tcPr>
          <w:p w14:paraId="36765CD0" w14:textId="77777777" w:rsidR="00E3750C" w:rsidRPr="004813E0" w:rsidRDefault="00E3750C" w:rsidP="00047864">
            <w:pPr>
              <w:spacing w:after="0" w:line="240" w:lineRule="auto"/>
              <w:rPr>
                <w:rFonts w:ascii="Arial" w:hAnsi="Arial" w:cs="Arial"/>
                <w:sz w:val="18"/>
                <w:szCs w:val="18"/>
              </w:rPr>
            </w:pPr>
            <w:r w:rsidRPr="004813E0">
              <w:rPr>
                <w:rFonts w:ascii="Arial" w:hAnsi="Arial" w:cs="Arial"/>
                <w:sz w:val="18"/>
                <w:szCs w:val="18"/>
              </w:rPr>
              <w:t>Poštne storitve</w:t>
            </w:r>
          </w:p>
        </w:tc>
        <w:tc>
          <w:tcPr>
            <w:tcW w:w="530" w:type="pct"/>
            <w:vAlign w:val="center"/>
          </w:tcPr>
          <w:p w14:paraId="75D375BF" w14:textId="77777777" w:rsidR="00E3750C" w:rsidRPr="004813E0" w:rsidRDefault="00E3750C" w:rsidP="00047864">
            <w:pPr>
              <w:spacing w:after="0" w:line="240" w:lineRule="auto"/>
              <w:rPr>
                <w:rFonts w:ascii="Arial" w:hAnsi="Arial" w:cs="Arial"/>
                <w:sz w:val="18"/>
                <w:szCs w:val="18"/>
              </w:rPr>
            </w:pPr>
            <w:r>
              <w:rPr>
                <w:rFonts w:ascii="Arial" w:hAnsi="Arial" w:cs="Arial"/>
                <w:sz w:val="18"/>
                <w:szCs w:val="18"/>
              </w:rPr>
              <w:t>Slovenija</w:t>
            </w:r>
          </w:p>
        </w:tc>
        <w:tc>
          <w:tcPr>
            <w:tcW w:w="519" w:type="pct"/>
            <w:shd w:val="clear" w:color="auto" w:fill="auto"/>
            <w:vAlign w:val="center"/>
            <w:hideMark/>
          </w:tcPr>
          <w:p w14:paraId="4C590697" w14:textId="77777777" w:rsidR="00E3750C" w:rsidRPr="004813E0" w:rsidRDefault="00E3750C" w:rsidP="00047864">
            <w:pPr>
              <w:spacing w:after="0" w:line="240" w:lineRule="auto"/>
              <w:jc w:val="right"/>
              <w:rPr>
                <w:rFonts w:ascii="Arial" w:hAnsi="Arial" w:cs="Arial"/>
                <w:sz w:val="18"/>
                <w:szCs w:val="18"/>
              </w:rPr>
            </w:pPr>
            <w:r w:rsidRPr="004813E0">
              <w:rPr>
                <w:rFonts w:ascii="Arial" w:hAnsi="Arial" w:cs="Arial"/>
                <w:sz w:val="18"/>
                <w:szCs w:val="18"/>
              </w:rPr>
              <w:t>2</w:t>
            </w:r>
          </w:p>
        </w:tc>
        <w:tc>
          <w:tcPr>
            <w:tcW w:w="700" w:type="pct"/>
            <w:shd w:val="clear" w:color="auto" w:fill="auto"/>
            <w:vAlign w:val="center"/>
            <w:hideMark/>
          </w:tcPr>
          <w:p w14:paraId="0E5E9F68" w14:textId="77777777" w:rsidR="00E3750C" w:rsidRPr="004813E0" w:rsidRDefault="00E3750C" w:rsidP="00047864">
            <w:pPr>
              <w:spacing w:after="0" w:line="240" w:lineRule="auto"/>
              <w:jc w:val="right"/>
              <w:rPr>
                <w:rFonts w:ascii="Arial" w:hAnsi="Arial" w:cs="Arial"/>
                <w:sz w:val="18"/>
                <w:szCs w:val="18"/>
              </w:rPr>
            </w:pPr>
            <w:r w:rsidRPr="004813E0">
              <w:rPr>
                <w:rFonts w:ascii="Arial" w:hAnsi="Arial" w:cs="Arial"/>
                <w:sz w:val="18"/>
                <w:szCs w:val="18"/>
              </w:rPr>
              <w:t>477.358</w:t>
            </w:r>
          </w:p>
        </w:tc>
        <w:tc>
          <w:tcPr>
            <w:tcW w:w="652" w:type="pct"/>
            <w:shd w:val="clear" w:color="auto" w:fill="auto"/>
            <w:noWrap/>
            <w:vAlign w:val="center"/>
            <w:hideMark/>
          </w:tcPr>
          <w:p w14:paraId="5F16165F" w14:textId="77777777" w:rsidR="00E3750C" w:rsidRPr="004813E0" w:rsidRDefault="00E3750C" w:rsidP="00047864">
            <w:pPr>
              <w:spacing w:after="0" w:line="240" w:lineRule="auto"/>
              <w:jc w:val="right"/>
              <w:rPr>
                <w:rFonts w:ascii="Arial" w:hAnsi="Arial" w:cs="Arial"/>
                <w:sz w:val="18"/>
                <w:szCs w:val="18"/>
              </w:rPr>
            </w:pPr>
            <w:r w:rsidRPr="004813E0">
              <w:rPr>
                <w:rFonts w:ascii="Arial" w:hAnsi="Arial" w:cs="Arial"/>
                <w:sz w:val="18"/>
                <w:szCs w:val="18"/>
              </w:rPr>
              <w:t>8,00 %</w:t>
            </w:r>
          </w:p>
        </w:tc>
        <w:tc>
          <w:tcPr>
            <w:tcW w:w="604" w:type="pct"/>
            <w:shd w:val="clear" w:color="auto" w:fill="auto"/>
            <w:noWrap/>
            <w:vAlign w:val="center"/>
            <w:hideMark/>
          </w:tcPr>
          <w:p w14:paraId="6D652030" w14:textId="77777777" w:rsidR="00E3750C" w:rsidRPr="004813E0" w:rsidRDefault="00E3750C" w:rsidP="00047864">
            <w:pPr>
              <w:spacing w:after="0" w:line="240" w:lineRule="auto"/>
              <w:jc w:val="right"/>
              <w:rPr>
                <w:rFonts w:ascii="Arial" w:hAnsi="Arial" w:cs="Arial"/>
                <w:sz w:val="18"/>
                <w:szCs w:val="18"/>
              </w:rPr>
            </w:pPr>
            <w:r w:rsidRPr="004813E0">
              <w:rPr>
                <w:rFonts w:ascii="Arial" w:hAnsi="Arial" w:cs="Arial"/>
                <w:sz w:val="18"/>
                <w:szCs w:val="18"/>
              </w:rPr>
              <w:t>13,92 %</w:t>
            </w:r>
          </w:p>
        </w:tc>
      </w:tr>
      <w:tr w:rsidR="00E3750C" w:rsidRPr="004813E0" w14:paraId="09B4A54A" w14:textId="77777777" w:rsidTr="00047864">
        <w:trPr>
          <w:trHeight w:val="255"/>
        </w:trPr>
        <w:tc>
          <w:tcPr>
            <w:tcW w:w="1995" w:type="pct"/>
            <w:shd w:val="clear" w:color="auto" w:fill="auto"/>
            <w:vAlign w:val="center"/>
            <w:hideMark/>
          </w:tcPr>
          <w:p w14:paraId="5AD35443" w14:textId="77777777" w:rsidR="00E3750C" w:rsidRPr="004813E0" w:rsidRDefault="00E3750C" w:rsidP="00047864">
            <w:pPr>
              <w:spacing w:after="0" w:line="240" w:lineRule="auto"/>
              <w:rPr>
                <w:rFonts w:ascii="Arial" w:hAnsi="Arial" w:cs="Arial"/>
                <w:sz w:val="18"/>
                <w:szCs w:val="18"/>
              </w:rPr>
            </w:pPr>
            <w:r w:rsidRPr="004813E0">
              <w:rPr>
                <w:rFonts w:ascii="Arial" w:hAnsi="Arial" w:cs="Arial"/>
                <w:sz w:val="18"/>
                <w:szCs w:val="18"/>
              </w:rPr>
              <w:t>Storitve hotelov in restavracij</w:t>
            </w:r>
          </w:p>
        </w:tc>
        <w:tc>
          <w:tcPr>
            <w:tcW w:w="530" w:type="pct"/>
            <w:vAlign w:val="center"/>
          </w:tcPr>
          <w:p w14:paraId="78547164" w14:textId="77777777" w:rsidR="00E3750C" w:rsidRPr="004813E0" w:rsidRDefault="00E3750C" w:rsidP="00047864">
            <w:pPr>
              <w:spacing w:after="0" w:line="240" w:lineRule="auto"/>
              <w:rPr>
                <w:rFonts w:ascii="Arial" w:hAnsi="Arial" w:cs="Arial"/>
                <w:sz w:val="18"/>
                <w:szCs w:val="18"/>
              </w:rPr>
            </w:pPr>
            <w:r>
              <w:rPr>
                <w:rFonts w:ascii="Arial" w:hAnsi="Arial" w:cs="Arial"/>
                <w:sz w:val="18"/>
                <w:szCs w:val="18"/>
              </w:rPr>
              <w:t>Slovenija</w:t>
            </w:r>
          </w:p>
        </w:tc>
        <w:tc>
          <w:tcPr>
            <w:tcW w:w="519" w:type="pct"/>
            <w:shd w:val="clear" w:color="auto" w:fill="auto"/>
            <w:vAlign w:val="center"/>
            <w:hideMark/>
          </w:tcPr>
          <w:p w14:paraId="5A8F0E79" w14:textId="77777777" w:rsidR="00E3750C" w:rsidRPr="004813E0" w:rsidRDefault="00E3750C" w:rsidP="00047864">
            <w:pPr>
              <w:spacing w:after="0" w:line="240" w:lineRule="auto"/>
              <w:jc w:val="right"/>
              <w:rPr>
                <w:rFonts w:ascii="Arial" w:hAnsi="Arial" w:cs="Arial"/>
                <w:sz w:val="18"/>
                <w:szCs w:val="18"/>
              </w:rPr>
            </w:pPr>
            <w:r w:rsidRPr="004813E0">
              <w:rPr>
                <w:rFonts w:ascii="Arial" w:hAnsi="Arial" w:cs="Arial"/>
                <w:sz w:val="18"/>
                <w:szCs w:val="18"/>
              </w:rPr>
              <w:t>1</w:t>
            </w:r>
          </w:p>
        </w:tc>
        <w:tc>
          <w:tcPr>
            <w:tcW w:w="700" w:type="pct"/>
            <w:shd w:val="clear" w:color="auto" w:fill="auto"/>
            <w:vAlign w:val="center"/>
            <w:hideMark/>
          </w:tcPr>
          <w:p w14:paraId="3D2B2F9E" w14:textId="77777777" w:rsidR="00E3750C" w:rsidRPr="004813E0" w:rsidRDefault="00E3750C" w:rsidP="00047864">
            <w:pPr>
              <w:spacing w:after="0" w:line="240" w:lineRule="auto"/>
              <w:jc w:val="right"/>
              <w:rPr>
                <w:rFonts w:ascii="Arial" w:hAnsi="Arial" w:cs="Arial"/>
                <w:sz w:val="18"/>
                <w:szCs w:val="18"/>
              </w:rPr>
            </w:pPr>
            <w:r w:rsidRPr="004813E0">
              <w:rPr>
                <w:rFonts w:ascii="Arial" w:hAnsi="Arial" w:cs="Arial"/>
                <w:sz w:val="18"/>
                <w:szCs w:val="18"/>
              </w:rPr>
              <w:t>1.347.339</w:t>
            </w:r>
          </w:p>
        </w:tc>
        <w:tc>
          <w:tcPr>
            <w:tcW w:w="652" w:type="pct"/>
            <w:shd w:val="clear" w:color="auto" w:fill="auto"/>
            <w:noWrap/>
            <w:vAlign w:val="center"/>
            <w:hideMark/>
          </w:tcPr>
          <w:p w14:paraId="3CCE9D4F" w14:textId="77777777" w:rsidR="00E3750C" w:rsidRPr="004813E0" w:rsidRDefault="00E3750C" w:rsidP="00047864">
            <w:pPr>
              <w:spacing w:after="0" w:line="240" w:lineRule="auto"/>
              <w:jc w:val="right"/>
              <w:rPr>
                <w:rFonts w:ascii="Arial" w:hAnsi="Arial" w:cs="Arial"/>
                <w:sz w:val="18"/>
                <w:szCs w:val="18"/>
              </w:rPr>
            </w:pPr>
            <w:r w:rsidRPr="004813E0">
              <w:rPr>
                <w:rFonts w:ascii="Arial" w:hAnsi="Arial" w:cs="Arial"/>
                <w:sz w:val="18"/>
                <w:szCs w:val="18"/>
              </w:rPr>
              <w:t>4,00 %</w:t>
            </w:r>
          </w:p>
        </w:tc>
        <w:tc>
          <w:tcPr>
            <w:tcW w:w="604" w:type="pct"/>
            <w:shd w:val="clear" w:color="auto" w:fill="auto"/>
            <w:noWrap/>
            <w:vAlign w:val="center"/>
            <w:hideMark/>
          </w:tcPr>
          <w:p w14:paraId="5D75C287" w14:textId="77777777" w:rsidR="00E3750C" w:rsidRPr="004813E0" w:rsidRDefault="00E3750C" w:rsidP="00047864">
            <w:pPr>
              <w:spacing w:after="0" w:line="240" w:lineRule="auto"/>
              <w:jc w:val="right"/>
              <w:rPr>
                <w:rFonts w:ascii="Arial" w:hAnsi="Arial" w:cs="Arial"/>
                <w:sz w:val="18"/>
                <w:szCs w:val="18"/>
              </w:rPr>
            </w:pPr>
            <w:r w:rsidRPr="004813E0">
              <w:rPr>
                <w:rFonts w:ascii="Arial" w:hAnsi="Arial" w:cs="Arial"/>
                <w:sz w:val="18"/>
                <w:szCs w:val="18"/>
              </w:rPr>
              <w:t>39,29 %</w:t>
            </w:r>
          </w:p>
        </w:tc>
      </w:tr>
      <w:tr w:rsidR="00E3750C" w:rsidRPr="004813E0" w14:paraId="2C297BD3" w14:textId="77777777" w:rsidTr="00047864">
        <w:trPr>
          <w:trHeight w:val="255"/>
        </w:trPr>
        <w:tc>
          <w:tcPr>
            <w:tcW w:w="1995" w:type="pct"/>
            <w:shd w:val="clear" w:color="auto" w:fill="auto"/>
            <w:vAlign w:val="center"/>
          </w:tcPr>
          <w:p w14:paraId="7235BF1A" w14:textId="77777777" w:rsidR="00E3750C" w:rsidRPr="004813E0" w:rsidRDefault="00E3750C" w:rsidP="00047864">
            <w:pPr>
              <w:spacing w:after="0" w:line="240" w:lineRule="auto"/>
              <w:rPr>
                <w:rFonts w:ascii="Arial" w:hAnsi="Arial" w:cs="Arial"/>
                <w:sz w:val="18"/>
                <w:szCs w:val="18"/>
              </w:rPr>
            </w:pPr>
            <w:r w:rsidRPr="004813E0">
              <w:rPr>
                <w:rFonts w:ascii="Arial" w:hAnsi="Arial" w:cs="Arial"/>
                <w:sz w:val="18"/>
                <w:szCs w:val="18"/>
              </w:rPr>
              <w:t>Storitve na področju uprave, sociale, izobraževanja, zdravstva in kulture</w:t>
            </w:r>
          </w:p>
        </w:tc>
        <w:tc>
          <w:tcPr>
            <w:tcW w:w="530" w:type="pct"/>
            <w:vAlign w:val="center"/>
          </w:tcPr>
          <w:p w14:paraId="12F143A1" w14:textId="77777777" w:rsidR="00E3750C" w:rsidRPr="004813E0" w:rsidRDefault="00E3750C" w:rsidP="00047864">
            <w:pPr>
              <w:spacing w:after="0" w:line="240" w:lineRule="auto"/>
              <w:rPr>
                <w:rFonts w:ascii="Arial" w:hAnsi="Arial" w:cs="Arial"/>
                <w:sz w:val="18"/>
                <w:szCs w:val="18"/>
              </w:rPr>
            </w:pPr>
            <w:r>
              <w:rPr>
                <w:rFonts w:ascii="Arial" w:hAnsi="Arial" w:cs="Arial"/>
                <w:sz w:val="18"/>
                <w:szCs w:val="18"/>
              </w:rPr>
              <w:t>Slovenija</w:t>
            </w:r>
          </w:p>
        </w:tc>
        <w:tc>
          <w:tcPr>
            <w:tcW w:w="519" w:type="pct"/>
            <w:shd w:val="clear" w:color="auto" w:fill="auto"/>
            <w:vAlign w:val="center"/>
          </w:tcPr>
          <w:p w14:paraId="4CBC42A4" w14:textId="77777777" w:rsidR="00E3750C" w:rsidRPr="004813E0" w:rsidRDefault="00E3750C" w:rsidP="00047864">
            <w:pPr>
              <w:spacing w:after="0" w:line="240" w:lineRule="auto"/>
              <w:jc w:val="right"/>
              <w:rPr>
                <w:rFonts w:ascii="Arial" w:hAnsi="Arial" w:cs="Arial"/>
                <w:sz w:val="18"/>
                <w:szCs w:val="18"/>
              </w:rPr>
            </w:pPr>
            <w:r w:rsidRPr="004813E0">
              <w:rPr>
                <w:rFonts w:ascii="Arial" w:hAnsi="Arial" w:cs="Arial"/>
                <w:sz w:val="18"/>
                <w:szCs w:val="18"/>
              </w:rPr>
              <w:t>21</w:t>
            </w:r>
          </w:p>
        </w:tc>
        <w:tc>
          <w:tcPr>
            <w:tcW w:w="700" w:type="pct"/>
            <w:shd w:val="clear" w:color="auto" w:fill="auto"/>
            <w:vAlign w:val="center"/>
          </w:tcPr>
          <w:p w14:paraId="6D556E88" w14:textId="77777777" w:rsidR="00E3750C" w:rsidRPr="004813E0" w:rsidRDefault="00E3750C" w:rsidP="00047864">
            <w:pPr>
              <w:spacing w:after="0" w:line="240" w:lineRule="auto"/>
              <w:jc w:val="right"/>
              <w:rPr>
                <w:rFonts w:ascii="Arial" w:hAnsi="Arial" w:cs="Arial"/>
                <w:sz w:val="18"/>
                <w:szCs w:val="18"/>
              </w:rPr>
            </w:pPr>
            <w:r w:rsidRPr="004813E0">
              <w:rPr>
                <w:rFonts w:ascii="Arial" w:hAnsi="Arial" w:cs="Arial"/>
                <w:sz w:val="18"/>
                <w:szCs w:val="18"/>
              </w:rPr>
              <w:t>1.561.966</w:t>
            </w:r>
          </w:p>
        </w:tc>
        <w:tc>
          <w:tcPr>
            <w:tcW w:w="652" w:type="pct"/>
            <w:shd w:val="clear" w:color="auto" w:fill="auto"/>
            <w:noWrap/>
            <w:vAlign w:val="center"/>
          </w:tcPr>
          <w:p w14:paraId="017E5943" w14:textId="77777777" w:rsidR="00E3750C" w:rsidRPr="004813E0" w:rsidRDefault="00E3750C" w:rsidP="00047864">
            <w:pPr>
              <w:spacing w:after="0" w:line="240" w:lineRule="auto"/>
              <w:jc w:val="right"/>
              <w:rPr>
                <w:rFonts w:ascii="Arial" w:hAnsi="Arial" w:cs="Arial"/>
                <w:sz w:val="18"/>
                <w:szCs w:val="18"/>
              </w:rPr>
            </w:pPr>
            <w:r w:rsidRPr="004813E0">
              <w:rPr>
                <w:rFonts w:ascii="Arial" w:hAnsi="Arial" w:cs="Arial"/>
                <w:sz w:val="18"/>
                <w:szCs w:val="18"/>
              </w:rPr>
              <w:t>84,00 %</w:t>
            </w:r>
          </w:p>
        </w:tc>
        <w:tc>
          <w:tcPr>
            <w:tcW w:w="604" w:type="pct"/>
            <w:shd w:val="clear" w:color="auto" w:fill="auto"/>
            <w:noWrap/>
            <w:vAlign w:val="center"/>
          </w:tcPr>
          <w:p w14:paraId="67330A92" w14:textId="77777777" w:rsidR="00E3750C" w:rsidRPr="004813E0" w:rsidRDefault="00E3750C" w:rsidP="00047864">
            <w:pPr>
              <w:spacing w:after="0" w:line="240" w:lineRule="auto"/>
              <w:jc w:val="right"/>
              <w:rPr>
                <w:rFonts w:ascii="Arial" w:hAnsi="Arial" w:cs="Arial"/>
                <w:sz w:val="18"/>
                <w:szCs w:val="18"/>
              </w:rPr>
            </w:pPr>
            <w:r w:rsidRPr="004813E0">
              <w:rPr>
                <w:rFonts w:ascii="Arial" w:hAnsi="Arial" w:cs="Arial"/>
                <w:sz w:val="18"/>
                <w:szCs w:val="18"/>
              </w:rPr>
              <w:t>45,55 %</w:t>
            </w:r>
          </w:p>
        </w:tc>
      </w:tr>
      <w:tr w:rsidR="00E3750C" w:rsidRPr="004813E0" w14:paraId="5E2F0BBC" w14:textId="77777777" w:rsidTr="00047864">
        <w:trPr>
          <w:trHeight w:val="255"/>
        </w:trPr>
        <w:tc>
          <w:tcPr>
            <w:tcW w:w="1995" w:type="pct"/>
            <w:shd w:val="clear" w:color="auto" w:fill="auto"/>
            <w:vAlign w:val="center"/>
          </w:tcPr>
          <w:p w14:paraId="4E802B76" w14:textId="77777777" w:rsidR="00E3750C" w:rsidRPr="004813E0" w:rsidRDefault="00E3750C" w:rsidP="00047864">
            <w:pPr>
              <w:spacing w:after="0" w:line="240" w:lineRule="auto"/>
              <w:rPr>
                <w:rFonts w:ascii="Arial" w:hAnsi="Arial" w:cs="Arial"/>
                <w:sz w:val="18"/>
                <w:szCs w:val="18"/>
              </w:rPr>
            </w:pPr>
            <w:r w:rsidRPr="004813E0">
              <w:rPr>
                <w:rFonts w:ascii="Arial" w:hAnsi="Arial" w:cs="Arial"/>
                <w:sz w:val="18"/>
                <w:szCs w:val="18"/>
              </w:rPr>
              <w:t>Zdravstvene, socialne in sorodne storitve</w:t>
            </w:r>
          </w:p>
        </w:tc>
        <w:tc>
          <w:tcPr>
            <w:tcW w:w="530" w:type="pct"/>
            <w:vAlign w:val="center"/>
          </w:tcPr>
          <w:p w14:paraId="26103798" w14:textId="77777777" w:rsidR="00E3750C" w:rsidRPr="004813E0" w:rsidRDefault="00E3750C" w:rsidP="00047864">
            <w:pPr>
              <w:spacing w:after="0" w:line="240" w:lineRule="auto"/>
              <w:rPr>
                <w:rFonts w:ascii="Arial" w:hAnsi="Arial" w:cs="Arial"/>
                <w:sz w:val="18"/>
                <w:szCs w:val="18"/>
              </w:rPr>
            </w:pPr>
            <w:r>
              <w:rPr>
                <w:rFonts w:ascii="Arial" w:hAnsi="Arial" w:cs="Arial"/>
                <w:sz w:val="18"/>
                <w:szCs w:val="18"/>
              </w:rPr>
              <w:t>Slovenija</w:t>
            </w:r>
          </w:p>
        </w:tc>
        <w:tc>
          <w:tcPr>
            <w:tcW w:w="519" w:type="pct"/>
            <w:shd w:val="clear" w:color="auto" w:fill="auto"/>
            <w:vAlign w:val="center"/>
          </w:tcPr>
          <w:p w14:paraId="57318102" w14:textId="77777777" w:rsidR="00E3750C" w:rsidRPr="004813E0" w:rsidRDefault="00E3750C" w:rsidP="00047864">
            <w:pPr>
              <w:spacing w:after="0" w:line="240" w:lineRule="auto"/>
              <w:jc w:val="right"/>
              <w:rPr>
                <w:rFonts w:ascii="Arial" w:hAnsi="Arial" w:cs="Arial"/>
                <w:sz w:val="18"/>
                <w:szCs w:val="18"/>
              </w:rPr>
            </w:pPr>
            <w:r w:rsidRPr="004813E0">
              <w:rPr>
                <w:rFonts w:ascii="Arial" w:hAnsi="Arial" w:cs="Arial"/>
                <w:sz w:val="18"/>
                <w:szCs w:val="18"/>
              </w:rPr>
              <w:t>1</w:t>
            </w:r>
          </w:p>
        </w:tc>
        <w:tc>
          <w:tcPr>
            <w:tcW w:w="700" w:type="pct"/>
            <w:shd w:val="clear" w:color="auto" w:fill="auto"/>
            <w:vAlign w:val="center"/>
          </w:tcPr>
          <w:p w14:paraId="212F0BCF" w14:textId="77777777" w:rsidR="00E3750C" w:rsidRPr="004813E0" w:rsidRDefault="00E3750C" w:rsidP="00047864">
            <w:pPr>
              <w:spacing w:after="0" w:line="240" w:lineRule="auto"/>
              <w:jc w:val="right"/>
              <w:rPr>
                <w:rFonts w:ascii="Arial" w:hAnsi="Arial" w:cs="Arial"/>
                <w:sz w:val="18"/>
                <w:szCs w:val="18"/>
              </w:rPr>
            </w:pPr>
            <w:r w:rsidRPr="004813E0">
              <w:rPr>
                <w:rFonts w:ascii="Arial" w:hAnsi="Arial" w:cs="Arial"/>
                <w:sz w:val="18"/>
                <w:szCs w:val="18"/>
              </w:rPr>
              <w:t>42.609</w:t>
            </w:r>
          </w:p>
        </w:tc>
        <w:tc>
          <w:tcPr>
            <w:tcW w:w="652" w:type="pct"/>
            <w:shd w:val="clear" w:color="auto" w:fill="auto"/>
            <w:noWrap/>
            <w:vAlign w:val="center"/>
          </w:tcPr>
          <w:p w14:paraId="24E4D520" w14:textId="77777777" w:rsidR="00E3750C" w:rsidRPr="004813E0" w:rsidRDefault="00E3750C" w:rsidP="00047864">
            <w:pPr>
              <w:spacing w:after="0" w:line="240" w:lineRule="auto"/>
              <w:jc w:val="right"/>
              <w:rPr>
                <w:rFonts w:ascii="Arial" w:hAnsi="Arial" w:cs="Arial"/>
                <w:sz w:val="18"/>
                <w:szCs w:val="18"/>
              </w:rPr>
            </w:pPr>
            <w:r w:rsidRPr="004813E0">
              <w:rPr>
                <w:rFonts w:ascii="Arial" w:hAnsi="Arial" w:cs="Arial"/>
                <w:sz w:val="18"/>
                <w:szCs w:val="18"/>
              </w:rPr>
              <w:t>4,00 %</w:t>
            </w:r>
          </w:p>
        </w:tc>
        <w:tc>
          <w:tcPr>
            <w:tcW w:w="604" w:type="pct"/>
            <w:shd w:val="clear" w:color="auto" w:fill="auto"/>
            <w:noWrap/>
            <w:vAlign w:val="center"/>
          </w:tcPr>
          <w:p w14:paraId="79D0E6B1" w14:textId="77777777" w:rsidR="00E3750C" w:rsidRPr="004813E0" w:rsidRDefault="00E3750C" w:rsidP="00047864">
            <w:pPr>
              <w:spacing w:after="0" w:line="240" w:lineRule="auto"/>
              <w:jc w:val="right"/>
              <w:rPr>
                <w:rFonts w:ascii="Arial" w:hAnsi="Arial" w:cs="Arial"/>
                <w:sz w:val="18"/>
                <w:szCs w:val="18"/>
              </w:rPr>
            </w:pPr>
            <w:r w:rsidRPr="004813E0">
              <w:rPr>
                <w:rFonts w:ascii="Arial" w:hAnsi="Arial" w:cs="Arial"/>
                <w:sz w:val="18"/>
                <w:szCs w:val="18"/>
              </w:rPr>
              <w:t>1,24 %</w:t>
            </w:r>
          </w:p>
        </w:tc>
      </w:tr>
      <w:tr w:rsidR="00E3750C" w:rsidRPr="004813E0" w14:paraId="50B0F679" w14:textId="77777777" w:rsidTr="00047864">
        <w:trPr>
          <w:trHeight w:val="255"/>
        </w:trPr>
        <w:tc>
          <w:tcPr>
            <w:tcW w:w="2526" w:type="pct"/>
            <w:gridSpan w:val="2"/>
            <w:shd w:val="clear" w:color="auto" w:fill="F2F2F2" w:themeFill="background1" w:themeFillShade="F2"/>
            <w:noWrap/>
            <w:vAlign w:val="center"/>
            <w:hideMark/>
          </w:tcPr>
          <w:p w14:paraId="4DE219D1" w14:textId="77777777" w:rsidR="00E3750C" w:rsidRPr="004813E0" w:rsidRDefault="00E3750C" w:rsidP="00047864">
            <w:pPr>
              <w:spacing w:after="0" w:line="240" w:lineRule="auto"/>
              <w:rPr>
                <w:rFonts w:ascii="Arial" w:hAnsi="Arial" w:cs="Arial"/>
                <w:b/>
                <w:bCs/>
                <w:sz w:val="18"/>
                <w:szCs w:val="18"/>
              </w:rPr>
            </w:pPr>
            <w:r w:rsidRPr="004813E0">
              <w:rPr>
                <w:rFonts w:ascii="Arial" w:hAnsi="Arial" w:cs="Arial"/>
                <w:b/>
                <w:bCs/>
                <w:sz w:val="18"/>
                <w:szCs w:val="18"/>
              </w:rPr>
              <w:t>Skupaj</w:t>
            </w:r>
          </w:p>
        </w:tc>
        <w:tc>
          <w:tcPr>
            <w:tcW w:w="519" w:type="pct"/>
            <w:shd w:val="clear" w:color="auto" w:fill="F2F2F2" w:themeFill="background1" w:themeFillShade="F2"/>
            <w:noWrap/>
            <w:vAlign w:val="center"/>
            <w:hideMark/>
          </w:tcPr>
          <w:p w14:paraId="76053DB1" w14:textId="77777777" w:rsidR="00E3750C" w:rsidRPr="004813E0" w:rsidRDefault="00E3750C" w:rsidP="00047864">
            <w:pPr>
              <w:spacing w:after="0" w:line="240" w:lineRule="auto"/>
              <w:jc w:val="right"/>
              <w:rPr>
                <w:rFonts w:ascii="Arial" w:hAnsi="Arial" w:cs="Arial"/>
                <w:b/>
                <w:bCs/>
                <w:sz w:val="18"/>
                <w:szCs w:val="18"/>
              </w:rPr>
            </w:pPr>
            <w:r w:rsidRPr="004813E0">
              <w:rPr>
                <w:rFonts w:ascii="Arial" w:hAnsi="Arial" w:cs="Arial"/>
                <w:b/>
                <w:bCs/>
                <w:sz w:val="18"/>
                <w:szCs w:val="18"/>
              </w:rPr>
              <w:t>25</w:t>
            </w:r>
          </w:p>
        </w:tc>
        <w:tc>
          <w:tcPr>
            <w:tcW w:w="700" w:type="pct"/>
            <w:shd w:val="clear" w:color="auto" w:fill="F2F2F2" w:themeFill="background1" w:themeFillShade="F2"/>
            <w:noWrap/>
            <w:vAlign w:val="center"/>
            <w:hideMark/>
          </w:tcPr>
          <w:p w14:paraId="421C962D" w14:textId="77777777" w:rsidR="00E3750C" w:rsidRPr="004813E0" w:rsidRDefault="00E3750C" w:rsidP="00047864">
            <w:pPr>
              <w:spacing w:after="0" w:line="240" w:lineRule="auto"/>
              <w:jc w:val="right"/>
              <w:rPr>
                <w:rFonts w:ascii="Arial" w:hAnsi="Arial" w:cs="Arial"/>
                <w:b/>
                <w:bCs/>
                <w:sz w:val="18"/>
                <w:szCs w:val="18"/>
              </w:rPr>
            </w:pPr>
            <w:r w:rsidRPr="004813E0">
              <w:rPr>
                <w:rFonts w:ascii="Arial" w:hAnsi="Arial" w:cs="Arial"/>
                <w:b/>
                <w:bCs/>
                <w:sz w:val="18"/>
                <w:szCs w:val="18"/>
              </w:rPr>
              <w:t>3.429.272</w:t>
            </w:r>
          </w:p>
        </w:tc>
        <w:tc>
          <w:tcPr>
            <w:tcW w:w="652" w:type="pct"/>
            <w:shd w:val="clear" w:color="auto" w:fill="F2F2F2" w:themeFill="background1" w:themeFillShade="F2"/>
            <w:noWrap/>
            <w:vAlign w:val="center"/>
            <w:hideMark/>
          </w:tcPr>
          <w:p w14:paraId="5DBA2552" w14:textId="77777777" w:rsidR="00E3750C" w:rsidRPr="004813E0" w:rsidRDefault="00E3750C" w:rsidP="00047864">
            <w:pPr>
              <w:spacing w:after="0" w:line="240" w:lineRule="auto"/>
              <w:jc w:val="right"/>
              <w:rPr>
                <w:rFonts w:ascii="Arial" w:hAnsi="Arial" w:cs="Arial"/>
                <w:b/>
                <w:bCs/>
                <w:sz w:val="18"/>
                <w:szCs w:val="18"/>
              </w:rPr>
            </w:pPr>
            <w:r w:rsidRPr="004813E0">
              <w:rPr>
                <w:rFonts w:ascii="Arial" w:hAnsi="Arial" w:cs="Arial"/>
                <w:b/>
                <w:bCs/>
                <w:sz w:val="18"/>
                <w:szCs w:val="18"/>
              </w:rPr>
              <w:t>100,00 %</w:t>
            </w:r>
          </w:p>
        </w:tc>
        <w:tc>
          <w:tcPr>
            <w:tcW w:w="604" w:type="pct"/>
            <w:shd w:val="clear" w:color="auto" w:fill="F2F2F2" w:themeFill="background1" w:themeFillShade="F2"/>
            <w:noWrap/>
            <w:vAlign w:val="center"/>
            <w:hideMark/>
          </w:tcPr>
          <w:p w14:paraId="4936A6FC" w14:textId="77777777" w:rsidR="00E3750C" w:rsidRPr="004813E0" w:rsidRDefault="00E3750C" w:rsidP="00047864">
            <w:pPr>
              <w:spacing w:after="0" w:line="240" w:lineRule="auto"/>
              <w:jc w:val="right"/>
              <w:rPr>
                <w:rFonts w:ascii="Arial" w:hAnsi="Arial" w:cs="Arial"/>
                <w:b/>
                <w:bCs/>
                <w:sz w:val="18"/>
                <w:szCs w:val="18"/>
              </w:rPr>
            </w:pPr>
            <w:r w:rsidRPr="004813E0">
              <w:rPr>
                <w:rFonts w:ascii="Arial" w:hAnsi="Arial" w:cs="Arial"/>
                <w:b/>
                <w:bCs/>
                <w:sz w:val="18"/>
                <w:szCs w:val="18"/>
              </w:rPr>
              <w:t>100,00 %</w:t>
            </w:r>
          </w:p>
        </w:tc>
      </w:tr>
    </w:tbl>
    <w:p w14:paraId="2FEC737F" w14:textId="77777777" w:rsidR="00E3750C" w:rsidRPr="00BF7302" w:rsidRDefault="00E3750C" w:rsidP="00E3750C">
      <w:pPr>
        <w:spacing w:before="120" w:after="120" w:line="240" w:lineRule="auto"/>
        <w:jc w:val="both"/>
        <w:rPr>
          <w:rFonts w:ascii="Arial" w:hAnsi="Arial" w:cs="Arial"/>
          <w:sz w:val="20"/>
          <w:highlight w:val="yellow"/>
        </w:rPr>
      </w:pPr>
    </w:p>
    <w:p w14:paraId="1D17AC6D" w14:textId="77777777" w:rsidR="00E3750C" w:rsidRPr="0088306B" w:rsidRDefault="00E3750C" w:rsidP="00E3750C">
      <w:pPr>
        <w:spacing w:before="120" w:after="0" w:line="240" w:lineRule="auto"/>
        <w:jc w:val="both"/>
        <w:rPr>
          <w:rFonts w:ascii="Arial" w:hAnsi="Arial" w:cs="Arial"/>
          <w:sz w:val="20"/>
        </w:rPr>
      </w:pPr>
      <w:r w:rsidRPr="0088306B">
        <w:rPr>
          <w:rFonts w:ascii="Arial" w:hAnsi="Arial" w:cs="Arial"/>
          <w:sz w:val="20"/>
        </w:rPr>
        <w:t xml:space="preserve">Preglednica </w:t>
      </w:r>
      <w:r>
        <w:rPr>
          <w:rFonts w:ascii="Arial" w:hAnsi="Arial" w:cs="Arial"/>
          <w:sz w:val="20"/>
        </w:rPr>
        <w:t>69</w:t>
      </w:r>
      <w:r w:rsidRPr="0088306B">
        <w:rPr>
          <w:rFonts w:ascii="Arial" w:hAnsi="Arial" w:cs="Arial"/>
          <w:sz w:val="20"/>
        </w:rPr>
        <w:t>: Izvedeni postopki za sklenitev okvirnega sporazuma</w:t>
      </w:r>
      <w:bookmarkEnd w:id="70"/>
      <w:bookmarkEnd w:id="71"/>
      <w:bookmarkEnd w:id="72"/>
      <w:r w:rsidRPr="0088306B">
        <w:rPr>
          <w:rFonts w:ascii="Arial" w:hAnsi="Arial" w:cs="Arial"/>
          <w:sz w:val="20"/>
        </w:rPr>
        <w:t xml:space="preserve"> glede na področje in predmet naroč</w:t>
      </w:r>
      <w:bookmarkEnd w:id="73"/>
      <w:bookmarkEnd w:id="74"/>
      <w:bookmarkEnd w:id="75"/>
      <w:bookmarkEnd w:id="76"/>
      <w:bookmarkEnd w:id="77"/>
      <w:bookmarkEnd w:id="78"/>
      <w:r w:rsidRPr="0088306B">
        <w:rPr>
          <w:rFonts w:ascii="Arial" w:hAnsi="Arial" w:cs="Arial"/>
          <w:sz w:val="20"/>
        </w:rPr>
        <w:t>anja</w:t>
      </w:r>
    </w:p>
    <w:p w14:paraId="303E8A8B" w14:textId="77777777" w:rsidR="00E3750C" w:rsidRPr="00BF7302" w:rsidRDefault="00E3750C" w:rsidP="00E3750C">
      <w:pPr>
        <w:spacing w:after="0" w:line="240" w:lineRule="auto"/>
        <w:jc w:val="both"/>
        <w:rPr>
          <w:rFonts w:ascii="Arial" w:hAnsi="Arial" w:cs="Arial"/>
          <w:sz w:val="20"/>
          <w:highlight w:val="yellow"/>
        </w:rPr>
      </w:pPr>
    </w:p>
    <w:tbl>
      <w:tblPr>
        <w:tblW w:w="5000" w:type="pct"/>
        <w:tblCellMar>
          <w:left w:w="70" w:type="dxa"/>
          <w:right w:w="70" w:type="dxa"/>
        </w:tblCellMar>
        <w:tblLook w:val="04A0" w:firstRow="1" w:lastRow="0" w:firstColumn="1" w:lastColumn="0" w:noHBand="0" w:noVBand="1"/>
      </w:tblPr>
      <w:tblGrid>
        <w:gridCol w:w="2043"/>
        <w:gridCol w:w="1220"/>
        <w:gridCol w:w="1829"/>
        <w:gridCol w:w="1352"/>
        <w:gridCol w:w="2730"/>
      </w:tblGrid>
      <w:tr w:rsidR="00E3750C" w:rsidRPr="0088306B" w14:paraId="7C1DAC44" w14:textId="77777777" w:rsidTr="00047864">
        <w:trPr>
          <w:trHeight w:val="300"/>
        </w:trPr>
        <w:tc>
          <w:tcPr>
            <w:tcW w:w="111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A55D222" w14:textId="77777777" w:rsidR="00E3750C" w:rsidRPr="0088306B" w:rsidRDefault="00E3750C" w:rsidP="00047864">
            <w:pPr>
              <w:spacing w:after="0" w:line="240" w:lineRule="auto"/>
              <w:jc w:val="center"/>
              <w:rPr>
                <w:rFonts w:ascii="Arial" w:eastAsia="Times New Roman" w:hAnsi="Arial" w:cs="Arial"/>
                <w:color w:val="000000"/>
                <w:sz w:val="18"/>
                <w:szCs w:val="18"/>
                <w:lang w:eastAsia="sl-SI"/>
              </w:rPr>
            </w:pPr>
            <w:bookmarkStart w:id="79" w:name="_Toc398038710"/>
            <w:bookmarkStart w:id="80" w:name="_Toc398040189"/>
            <w:bookmarkStart w:id="81" w:name="_Toc398584427"/>
            <w:r w:rsidRPr="0088306B">
              <w:rPr>
                <w:rFonts w:ascii="Arial" w:eastAsia="Times New Roman" w:hAnsi="Arial" w:cs="Arial"/>
                <w:color w:val="000000"/>
                <w:sz w:val="18"/>
                <w:szCs w:val="18"/>
                <w:lang w:eastAsia="sl-SI"/>
              </w:rPr>
              <w:t>Področje</w:t>
            </w:r>
          </w:p>
        </w:tc>
        <w:tc>
          <w:tcPr>
            <w:tcW w:w="66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96B41CF" w14:textId="77777777" w:rsidR="00E3750C" w:rsidRPr="0088306B" w:rsidRDefault="00E3750C" w:rsidP="00047864">
            <w:pPr>
              <w:spacing w:after="0" w:line="240" w:lineRule="auto"/>
              <w:jc w:val="center"/>
              <w:rPr>
                <w:rFonts w:ascii="Arial" w:eastAsia="Times New Roman" w:hAnsi="Arial" w:cs="Arial"/>
                <w:color w:val="000000"/>
                <w:sz w:val="18"/>
                <w:szCs w:val="18"/>
                <w:lang w:eastAsia="sl-SI"/>
              </w:rPr>
            </w:pPr>
            <w:r w:rsidRPr="0088306B">
              <w:rPr>
                <w:rFonts w:ascii="Arial" w:eastAsia="Times New Roman" w:hAnsi="Arial" w:cs="Arial"/>
                <w:color w:val="000000"/>
                <w:sz w:val="18"/>
                <w:szCs w:val="18"/>
                <w:lang w:eastAsia="sl-SI"/>
              </w:rPr>
              <w:t>Predmet</w:t>
            </w:r>
          </w:p>
        </w:tc>
        <w:tc>
          <w:tcPr>
            <w:tcW w:w="99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2C88BC6" w14:textId="77777777" w:rsidR="00E3750C" w:rsidRPr="0088306B" w:rsidRDefault="00E3750C" w:rsidP="00047864">
            <w:pPr>
              <w:spacing w:after="0" w:line="240" w:lineRule="auto"/>
              <w:jc w:val="center"/>
              <w:rPr>
                <w:rFonts w:ascii="Arial" w:eastAsia="Times New Roman" w:hAnsi="Arial" w:cs="Arial"/>
                <w:color w:val="000000"/>
                <w:sz w:val="18"/>
                <w:szCs w:val="18"/>
                <w:lang w:eastAsia="sl-SI"/>
              </w:rPr>
            </w:pPr>
            <w:r w:rsidRPr="0088306B">
              <w:rPr>
                <w:rFonts w:ascii="Arial" w:eastAsia="Times New Roman" w:hAnsi="Arial" w:cs="Arial"/>
                <w:color w:val="000000"/>
                <w:sz w:val="18"/>
                <w:szCs w:val="18"/>
                <w:lang w:eastAsia="sl-SI"/>
              </w:rPr>
              <w:t>Št. postopkov</w:t>
            </w:r>
          </w:p>
        </w:tc>
        <w:tc>
          <w:tcPr>
            <w:tcW w:w="73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2A7023A" w14:textId="77777777" w:rsidR="00E3750C" w:rsidRPr="0088306B" w:rsidRDefault="00E3750C" w:rsidP="00047864">
            <w:pPr>
              <w:spacing w:after="0" w:line="240" w:lineRule="auto"/>
              <w:jc w:val="center"/>
              <w:rPr>
                <w:rFonts w:ascii="Arial" w:eastAsia="Times New Roman" w:hAnsi="Arial" w:cs="Arial"/>
                <w:color w:val="000000"/>
                <w:sz w:val="18"/>
                <w:szCs w:val="18"/>
                <w:lang w:eastAsia="sl-SI"/>
              </w:rPr>
            </w:pPr>
            <w:r w:rsidRPr="0088306B">
              <w:rPr>
                <w:rFonts w:ascii="Arial" w:eastAsia="Times New Roman" w:hAnsi="Arial" w:cs="Arial"/>
                <w:color w:val="000000"/>
                <w:sz w:val="18"/>
                <w:szCs w:val="18"/>
                <w:lang w:eastAsia="sl-SI"/>
              </w:rPr>
              <w:t>Št. naročil</w:t>
            </w:r>
          </w:p>
        </w:tc>
        <w:tc>
          <w:tcPr>
            <w:tcW w:w="148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C0D0FA2" w14:textId="77777777" w:rsidR="00E3750C" w:rsidRPr="0088306B" w:rsidRDefault="00E3750C" w:rsidP="00047864">
            <w:pPr>
              <w:spacing w:after="0" w:line="240" w:lineRule="auto"/>
              <w:jc w:val="center"/>
              <w:rPr>
                <w:rFonts w:ascii="Arial" w:eastAsia="Times New Roman" w:hAnsi="Arial" w:cs="Arial"/>
                <w:color w:val="000000"/>
                <w:sz w:val="18"/>
                <w:szCs w:val="18"/>
                <w:lang w:eastAsia="sl-SI"/>
              </w:rPr>
            </w:pPr>
            <w:r w:rsidRPr="0088306B">
              <w:rPr>
                <w:rFonts w:ascii="Arial" w:eastAsia="Times New Roman" w:hAnsi="Arial" w:cs="Arial"/>
                <w:color w:val="000000"/>
                <w:sz w:val="18"/>
                <w:szCs w:val="18"/>
                <w:lang w:eastAsia="sl-SI"/>
              </w:rPr>
              <w:t>Pogodbena vrednost</w:t>
            </w:r>
          </w:p>
        </w:tc>
      </w:tr>
      <w:tr w:rsidR="00E3750C" w:rsidRPr="0088306B" w14:paraId="25848AD7" w14:textId="77777777" w:rsidTr="00047864">
        <w:trPr>
          <w:trHeight w:val="300"/>
        </w:trPr>
        <w:tc>
          <w:tcPr>
            <w:tcW w:w="111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966AB8F" w14:textId="77777777" w:rsidR="00E3750C" w:rsidRPr="0088306B" w:rsidRDefault="00E3750C" w:rsidP="00047864">
            <w:pPr>
              <w:spacing w:after="0" w:line="240" w:lineRule="auto"/>
              <w:rPr>
                <w:rFonts w:ascii="Arial" w:eastAsia="Times New Roman" w:hAnsi="Arial" w:cs="Arial"/>
                <w:color w:val="000000"/>
                <w:sz w:val="18"/>
                <w:szCs w:val="18"/>
                <w:lang w:eastAsia="sl-SI"/>
              </w:rPr>
            </w:pPr>
            <w:r w:rsidRPr="0088306B">
              <w:rPr>
                <w:rFonts w:ascii="Arial" w:eastAsia="Times New Roman" w:hAnsi="Arial" w:cs="Arial"/>
                <w:color w:val="000000"/>
                <w:sz w:val="18"/>
                <w:szCs w:val="18"/>
                <w:lang w:eastAsia="sl-SI"/>
              </w:rPr>
              <w:t>Splošno</w:t>
            </w:r>
          </w:p>
        </w:tc>
        <w:tc>
          <w:tcPr>
            <w:tcW w:w="665" w:type="pct"/>
            <w:tcBorders>
              <w:top w:val="nil"/>
              <w:left w:val="nil"/>
              <w:bottom w:val="single" w:sz="4" w:space="0" w:color="auto"/>
              <w:right w:val="single" w:sz="4" w:space="0" w:color="auto"/>
            </w:tcBorders>
            <w:shd w:val="clear" w:color="auto" w:fill="auto"/>
            <w:noWrap/>
            <w:vAlign w:val="center"/>
            <w:hideMark/>
          </w:tcPr>
          <w:p w14:paraId="12D0545C" w14:textId="77777777" w:rsidR="00E3750C" w:rsidRPr="0088306B" w:rsidRDefault="00E3750C" w:rsidP="00047864">
            <w:pPr>
              <w:spacing w:after="0" w:line="240" w:lineRule="auto"/>
              <w:rPr>
                <w:rFonts w:ascii="Arial" w:eastAsia="Times New Roman" w:hAnsi="Arial" w:cs="Arial"/>
                <w:color w:val="000000"/>
                <w:sz w:val="18"/>
                <w:szCs w:val="18"/>
                <w:lang w:eastAsia="sl-SI"/>
              </w:rPr>
            </w:pPr>
            <w:r w:rsidRPr="0088306B">
              <w:rPr>
                <w:rFonts w:ascii="Arial" w:eastAsia="Times New Roman" w:hAnsi="Arial" w:cs="Arial"/>
                <w:color w:val="000000"/>
                <w:sz w:val="18"/>
                <w:szCs w:val="18"/>
                <w:lang w:eastAsia="sl-SI"/>
              </w:rPr>
              <w:t>Blago</w:t>
            </w:r>
          </w:p>
        </w:tc>
        <w:tc>
          <w:tcPr>
            <w:tcW w:w="997" w:type="pct"/>
            <w:tcBorders>
              <w:top w:val="nil"/>
              <w:left w:val="nil"/>
              <w:bottom w:val="single" w:sz="4" w:space="0" w:color="auto"/>
              <w:right w:val="single" w:sz="4" w:space="0" w:color="auto"/>
            </w:tcBorders>
            <w:shd w:val="clear" w:color="auto" w:fill="auto"/>
            <w:noWrap/>
            <w:vAlign w:val="center"/>
            <w:hideMark/>
          </w:tcPr>
          <w:p w14:paraId="5D4104DE" w14:textId="77777777" w:rsidR="00E3750C" w:rsidRPr="0088306B" w:rsidRDefault="00E3750C" w:rsidP="00047864">
            <w:pPr>
              <w:spacing w:after="0" w:line="240" w:lineRule="auto"/>
              <w:jc w:val="right"/>
              <w:rPr>
                <w:rFonts w:ascii="Arial" w:eastAsia="Times New Roman" w:hAnsi="Arial" w:cs="Arial"/>
                <w:color w:val="000000"/>
                <w:sz w:val="18"/>
                <w:szCs w:val="18"/>
                <w:lang w:eastAsia="sl-SI"/>
              </w:rPr>
            </w:pPr>
            <w:r w:rsidRPr="0088306B">
              <w:rPr>
                <w:rFonts w:ascii="Arial" w:eastAsia="Times New Roman" w:hAnsi="Arial" w:cs="Arial"/>
                <w:color w:val="000000"/>
                <w:sz w:val="18"/>
                <w:szCs w:val="18"/>
                <w:lang w:eastAsia="sl-SI"/>
              </w:rPr>
              <w:t>581</w:t>
            </w:r>
          </w:p>
        </w:tc>
        <w:tc>
          <w:tcPr>
            <w:tcW w:w="737" w:type="pct"/>
            <w:tcBorders>
              <w:top w:val="nil"/>
              <w:left w:val="nil"/>
              <w:bottom w:val="single" w:sz="4" w:space="0" w:color="auto"/>
              <w:right w:val="single" w:sz="4" w:space="0" w:color="auto"/>
            </w:tcBorders>
            <w:shd w:val="clear" w:color="auto" w:fill="auto"/>
            <w:noWrap/>
            <w:vAlign w:val="center"/>
            <w:hideMark/>
          </w:tcPr>
          <w:p w14:paraId="2264A260" w14:textId="77777777" w:rsidR="00E3750C" w:rsidRPr="0088306B" w:rsidRDefault="00E3750C" w:rsidP="00047864">
            <w:pPr>
              <w:spacing w:after="0" w:line="240" w:lineRule="auto"/>
              <w:jc w:val="right"/>
              <w:rPr>
                <w:rFonts w:ascii="Arial" w:eastAsia="Times New Roman" w:hAnsi="Arial" w:cs="Arial"/>
                <w:color w:val="000000"/>
                <w:sz w:val="18"/>
                <w:szCs w:val="18"/>
                <w:lang w:eastAsia="sl-SI"/>
              </w:rPr>
            </w:pPr>
            <w:r w:rsidRPr="0088306B">
              <w:rPr>
                <w:rFonts w:ascii="Arial" w:eastAsia="Times New Roman" w:hAnsi="Arial" w:cs="Arial"/>
                <w:color w:val="000000"/>
                <w:sz w:val="18"/>
                <w:szCs w:val="18"/>
                <w:lang w:eastAsia="sl-SI"/>
              </w:rPr>
              <w:t>5.956</w:t>
            </w:r>
          </w:p>
        </w:tc>
        <w:tc>
          <w:tcPr>
            <w:tcW w:w="1488" w:type="pct"/>
            <w:tcBorders>
              <w:top w:val="nil"/>
              <w:left w:val="nil"/>
              <w:bottom w:val="single" w:sz="4" w:space="0" w:color="auto"/>
              <w:right w:val="single" w:sz="4" w:space="0" w:color="auto"/>
            </w:tcBorders>
            <w:shd w:val="clear" w:color="auto" w:fill="auto"/>
            <w:noWrap/>
            <w:vAlign w:val="center"/>
            <w:hideMark/>
          </w:tcPr>
          <w:p w14:paraId="09B5FBAB" w14:textId="77777777" w:rsidR="00E3750C" w:rsidRPr="0088306B" w:rsidRDefault="00E3750C" w:rsidP="00047864">
            <w:pPr>
              <w:spacing w:after="0" w:line="240" w:lineRule="auto"/>
              <w:jc w:val="right"/>
              <w:rPr>
                <w:rFonts w:ascii="Arial" w:eastAsia="Times New Roman" w:hAnsi="Arial" w:cs="Arial"/>
                <w:color w:val="000000"/>
                <w:sz w:val="18"/>
                <w:szCs w:val="18"/>
                <w:lang w:eastAsia="sl-SI"/>
              </w:rPr>
            </w:pPr>
            <w:r w:rsidRPr="0088306B">
              <w:rPr>
                <w:rFonts w:ascii="Arial" w:eastAsia="Times New Roman" w:hAnsi="Arial" w:cs="Arial"/>
                <w:color w:val="000000"/>
                <w:sz w:val="18"/>
                <w:szCs w:val="18"/>
                <w:lang w:eastAsia="sl-SI"/>
              </w:rPr>
              <w:t>724.203.836</w:t>
            </w:r>
          </w:p>
        </w:tc>
      </w:tr>
      <w:tr w:rsidR="00E3750C" w:rsidRPr="0088306B" w14:paraId="04D47DF6" w14:textId="77777777" w:rsidTr="00047864">
        <w:trPr>
          <w:trHeight w:val="300"/>
        </w:trPr>
        <w:tc>
          <w:tcPr>
            <w:tcW w:w="1113" w:type="pct"/>
            <w:vMerge/>
            <w:tcBorders>
              <w:top w:val="nil"/>
              <w:left w:val="single" w:sz="4" w:space="0" w:color="auto"/>
              <w:bottom w:val="single" w:sz="4" w:space="0" w:color="auto"/>
              <w:right w:val="single" w:sz="4" w:space="0" w:color="auto"/>
            </w:tcBorders>
            <w:vAlign w:val="center"/>
            <w:hideMark/>
          </w:tcPr>
          <w:p w14:paraId="68CF2B07" w14:textId="77777777" w:rsidR="00E3750C" w:rsidRPr="0088306B" w:rsidRDefault="00E3750C" w:rsidP="00047864">
            <w:pPr>
              <w:spacing w:after="0" w:line="240" w:lineRule="auto"/>
              <w:rPr>
                <w:rFonts w:ascii="Arial" w:eastAsia="Times New Roman" w:hAnsi="Arial" w:cs="Arial"/>
                <w:color w:val="000000"/>
                <w:sz w:val="18"/>
                <w:szCs w:val="18"/>
                <w:lang w:eastAsia="sl-SI"/>
              </w:rPr>
            </w:pPr>
          </w:p>
        </w:tc>
        <w:tc>
          <w:tcPr>
            <w:tcW w:w="665" w:type="pct"/>
            <w:tcBorders>
              <w:top w:val="nil"/>
              <w:left w:val="nil"/>
              <w:bottom w:val="single" w:sz="4" w:space="0" w:color="auto"/>
              <w:right w:val="single" w:sz="4" w:space="0" w:color="auto"/>
            </w:tcBorders>
            <w:shd w:val="clear" w:color="auto" w:fill="auto"/>
            <w:noWrap/>
            <w:vAlign w:val="center"/>
            <w:hideMark/>
          </w:tcPr>
          <w:p w14:paraId="6EB28BF9" w14:textId="77777777" w:rsidR="00E3750C" w:rsidRPr="0088306B" w:rsidRDefault="00E3750C" w:rsidP="00047864">
            <w:pPr>
              <w:spacing w:after="0" w:line="240" w:lineRule="auto"/>
              <w:rPr>
                <w:rFonts w:ascii="Arial" w:eastAsia="Times New Roman" w:hAnsi="Arial" w:cs="Arial"/>
                <w:color w:val="000000"/>
                <w:sz w:val="18"/>
                <w:szCs w:val="18"/>
                <w:lang w:eastAsia="sl-SI"/>
              </w:rPr>
            </w:pPr>
            <w:r w:rsidRPr="0088306B">
              <w:rPr>
                <w:rFonts w:ascii="Arial" w:eastAsia="Times New Roman" w:hAnsi="Arial" w:cs="Arial"/>
                <w:color w:val="000000"/>
                <w:sz w:val="18"/>
                <w:szCs w:val="18"/>
                <w:lang w:eastAsia="sl-SI"/>
              </w:rPr>
              <w:t>Storitve</w:t>
            </w:r>
          </w:p>
        </w:tc>
        <w:tc>
          <w:tcPr>
            <w:tcW w:w="997" w:type="pct"/>
            <w:tcBorders>
              <w:top w:val="nil"/>
              <w:left w:val="nil"/>
              <w:bottom w:val="single" w:sz="4" w:space="0" w:color="auto"/>
              <w:right w:val="single" w:sz="4" w:space="0" w:color="auto"/>
            </w:tcBorders>
            <w:shd w:val="clear" w:color="auto" w:fill="auto"/>
            <w:noWrap/>
            <w:vAlign w:val="center"/>
            <w:hideMark/>
          </w:tcPr>
          <w:p w14:paraId="52B0C6E4" w14:textId="77777777" w:rsidR="00E3750C" w:rsidRPr="0088306B" w:rsidRDefault="00E3750C" w:rsidP="00047864">
            <w:pPr>
              <w:spacing w:after="0" w:line="240" w:lineRule="auto"/>
              <w:jc w:val="right"/>
              <w:rPr>
                <w:rFonts w:ascii="Arial" w:eastAsia="Times New Roman" w:hAnsi="Arial" w:cs="Arial"/>
                <w:color w:val="000000"/>
                <w:sz w:val="18"/>
                <w:szCs w:val="18"/>
                <w:lang w:eastAsia="sl-SI"/>
              </w:rPr>
            </w:pPr>
            <w:r w:rsidRPr="0088306B">
              <w:rPr>
                <w:rFonts w:ascii="Arial" w:eastAsia="Times New Roman" w:hAnsi="Arial" w:cs="Arial"/>
                <w:color w:val="000000"/>
                <w:sz w:val="18"/>
                <w:szCs w:val="18"/>
                <w:lang w:eastAsia="sl-SI"/>
              </w:rPr>
              <w:t>229</w:t>
            </w:r>
          </w:p>
        </w:tc>
        <w:tc>
          <w:tcPr>
            <w:tcW w:w="737" w:type="pct"/>
            <w:tcBorders>
              <w:top w:val="nil"/>
              <w:left w:val="nil"/>
              <w:bottom w:val="single" w:sz="4" w:space="0" w:color="auto"/>
              <w:right w:val="single" w:sz="4" w:space="0" w:color="auto"/>
            </w:tcBorders>
            <w:shd w:val="clear" w:color="auto" w:fill="auto"/>
            <w:noWrap/>
            <w:vAlign w:val="center"/>
            <w:hideMark/>
          </w:tcPr>
          <w:p w14:paraId="62CB0758" w14:textId="77777777" w:rsidR="00E3750C" w:rsidRPr="0088306B" w:rsidRDefault="00E3750C" w:rsidP="00047864">
            <w:pPr>
              <w:spacing w:after="0" w:line="240" w:lineRule="auto"/>
              <w:jc w:val="right"/>
              <w:rPr>
                <w:rFonts w:ascii="Arial" w:eastAsia="Times New Roman" w:hAnsi="Arial" w:cs="Arial"/>
                <w:color w:val="000000"/>
                <w:sz w:val="18"/>
                <w:szCs w:val="18"/>
                <w:lang w:eastAsia="sl-SI"/>
              </w:rPr>
            </w:pPr>
            <w:r w:rsidRPr="0088306B">
              <w:rPr>
                <w:rFonts w:ascii="Arial" w:eastAsia="Times New Roman" w:hAnsi="Arial" w:cs="Arial"/>
                <w:color w:val="000000"/>
                <w:sz w:val="18"/>
                <w:szCs w:val="18"/>
                <w:lang w:eastAsia="sl-SI"/>
              </w:rPr>
              <w:t>490</w:t>
            </w:r>
          </w:p>
        </w:tc>
        <w:tc>
          <w:tcPr>
            <w:tcW w:w="1488" w:type="pct"/>
            <w:tcBorders>
              <w:top w:val="nil"/>
              <w:left w:val="nil"/>
              <w:bottom w:val="single" w:sz="4" w:space="0" w:color="auto"/>
              <w:right w:val="single" w:sz="4" w:space="0" w:color="auto"/>
            </w:tcBorders>
            <w:shd w:val="clear" w:color="auto" w:fill="auto"/>
            <w:noWrap/>
            <w:vAlign w:val="center"/>
            <w:hideMark/>
          </w:tcPr>
          <w:p w14:paraId="21E5B81A" w14:textId="77777777" w:rsidR="00E3750C" w:rsidRPr="0088306B" w:rsidRDefault="00E3750C" w:rsidP="00047864">
            <w:pPr>
              <w:spacing w:after="0" w:line="240" w:lineRule="auto"/>
              <w:jc w:val="right"/>
              <w:rPr>
                <w:rFonts w:ascii="Arial" w:eastAsia="Times New Roman" w:hAnsi="Arial" w:cs="Arial"/>
                <w:color w:val="000000"/>
                <w:sz w:val="18"/>
                <w:szCs w:val="18"/>
                <w:lang w:eastAsia="sl-SI"/>
              </w:rPr>
            </w:pPr>
            <w:r w:rsidRPr="0088306B">
              <w:rPr>
                <w:rFonts w:ascii="Arial" w:eastAsia="Times New Roman" w:hAnsi="Arial" w:cs="Arial"/>
                <w:color w:val="000000"/>
                <w:sz w:val="18"/>
                <w:szCs w:val="18"/>
                <w:lang w:eastAsia="sl-SI"/>
              </w:rPr>
              <w:t>134.956.954</w:t>
            </w:r>
          </w:p>
        </w:tc>
      </w:tr>
      <w:tr w:rsidR="00E3750C" w:rsidRPr="0088306B" w14:paraId="23086A2C" w14:textId="77777777" w:rsidTr="00047864">
        <w:trPr>
          <w:trHeight w:val="300"/>
        </w:trPr>
        <w:tc>
          <w:tcPr>
            <w:tcW w:w="1113" w:type="pct"/>
            <w:vMerge/>
            <w:tcBorders>
              <w:top w:val="nil"/>
              <w:left w:val="single" w:sz="4" w:space="0" w:color="auto"/>
              <w:bottom w:val="single" w:sz="4" w:space="0" w:color="auto"/>
              <w:right w:val="single" w:sz="4" w:space="0" w:color="auto"/>
            </w:tcBorders>
            <w:vAlign w:val="center"/>
            <w:hideMark/>
          </w:tcPr>
          <w:p w14:paraId="66F108E7" w14:textId="77777777" w:rsidR="00E3750C" w:rsidRPr="0088306B" w:rsidRDefault="00E3750C" w:rsidP="00047864">
            <w:pPr>
              <w:spacing w:after="0" w:line="240" w:lineRule="auto"/>
              <w:rPr>
                <w:rFonts w:ascii="Arial" w:eastAsia="Times New Roman" w:hAnsi="Arial" w:cs="Arial"/>
                <w:color w:val="000000"/>
                <w:sz w:val="18"/>
                <w:szCs w:val="18"/>
                <w:lang w:eastAsia="sl-SI"/>
              </w:rPr>
            </w:pPr>
          </w:p>
        </w:tc>
        <w:tc>
          <w:tcPr>
            <w:tcW w:w="665" w:type="pct"/>
            <w:tcBorders>
              <w:top w:val="nil"/>
              <w:left w:val="nil"/>
              <w:bottom w:val="single" w:sz="4" w:space="0" w:color="auto"/>
              <w:right w:val="single" w:sz="4" w:space="0" w:color="auto"/>
            </w:tcBorders>
            <w:shd w:val="clear" w:color="auto" w:fill="auto"/>
            <w:noWrap/>
            <w:vAlign w:val="center"/>
            <w:hideMark/>
          </w:tcPr>
          <w:p w14:paraId="47EF6B25" w14:textId="77777777" w:rsidR="00E3750C" w:rsidRPr="0088306B" w:rsidRDefault="00E3750C" w:rsidP="00047864">
            <w:pPr>
              <w:spacing w:after="0" w:line="240" w:lineRule="auto"/>
              <w:rPr>
                <w:rFonts w:ascii="Arial" w:eastAsia="Times New Roman" w:hAnsi="Arial" w:cs="Arial"/>
                <w:color w:val="000000"/>
                <w:sz w:val="18"/>
                <w:szCs w:val="18"/>
                <w:lang w:eastAsia="sl-SI"/>
              </w:rPr>
            </w:pPr>
            <w:r w:rsidRPr="0088306B">
              <w:rPr>
                <w:rFonts w:ascii="Arial" w:eastAsia="Times New Roman" w:hAnsi="Arial" w:cs="Arial"/>
                <w:color w:val="000000"/>
                <w:sz w:val="18"/>
                <w:szCs w:val="18"/>
                <w:lang w:eastAsia="sl-SI"/>
              </w:rPr>
              <w:t>Gradnje</w:t>
            </w:r>
          </w:p>
        </w:tc>
        <w:tc>
          <w:tcPr>
            <w:tcW w:w="997" w:type="pct"/>
            <w:tcBorders>
              <w:top w:val="nil"/>
              <w:left w:val="nil"/>
              <w:bottom w:val="single" w:sz="4" w:space="0" w:color="auto"/>
              <w:right w:val="single" w:sz="4" w:space="0" w:color="auto"/>
            </w:tcBorders>
            <w:shd w:val="clear" w:color="auto" w:fill="auto"/>
            <w:noWrap/>
            <w:vAlign w:val="center"/>
            <w:hideMark/>
          </w:tcPr>
          <w:p w14:paraId="46EE537E" w14:textId="77777777" w:rsidR="00E3750C" w:rsidRPr="0088306B" w:rsidRDefault="00E3750C" w:rsidP="00047864">
            <w:pPr>
              <w:spacing w:after="0" w:line="240" w:lineRule="auto"/>
              <w:jc w:val="right"/>
              <w:rPr>
                <w:rFonts w:ascii="Arial" w:eastAsia="Times New Roman" w:hAnsi="Arial" w:cs="Arial"/>
                <w:color w:val="000000"/>
                <w:sz w:val="18"/>
                <w:szCs w:val="18"/>
                <w:lang w:eastAsia="sl-SI"/>
              </w:rPr>
            </w:pPr>
            <w:r w:rsidRPr="0088306B">
              <w:rPr>
                <w:rFonts w:ascii="Arial" w:eastAsia="Times New Roman" w:hAnsi="Arial" w:cs="Arial"/>
                <w:color w:val="000000"/>
                <w:sz w:val="18"/>
                <w:szCs w:val="18"/>
                <w:lang w:eastAsia="sl-SI"/>
              </w:rPr>
              <w:t>24</w:t>
            </w:r>
          </w:p>
        </w:tc>
        <w:tc>
          <w:tcPr>
            <w:tcW w:w="737" w:type="pct"/>
            <w:tcBorders>
              <w:top w:val="nil"/>
              <w:left w:val="nil"/>
              <w:bottom w:val="single" w:sz="4" w:space="0" w:color="auto"/>
              <w:right w:val="single" w:sz="4" w:space="0" w:color="auto"/>
            </w:tcBorders>
            <w:shd w:val="clear" w:color="auto" w:fill="auto"/>
            <w:noWrap/>
            <w:vAlign w:val="center"/>
            <w:hideMark/>
          </w:tcPr>
          <w:p w14:paraId="4005D593" w14:textId="77777777" w:rsidR="00E3750C" w:rsidRPr="0088306B" w:rsidRDefault="00E3750C" w:rsidP="00047864">
            <w:pPr>
              <w:spacing w:after="0" w:line="240" w:lineRule="auto"/>
              <w:jc w:val="right"/>
              <w:rPr>
                <w:rFonts w:ascii="Arial" w:eastAsia="Times New Roman" w:hAnsi="Arial" w:cs="Arial"/>
                <w:color w:val="000000"/>
                <w:sz w:val="18"/>
                <w:szCs w:val="18"/>
                <w:lang w:eastAsia="sl-SI"/>
              </w:rPr>
            </w:pPr>
            <w:r w:rsidRPr="0088306B">
              <w:rPr>
                <w:rFonts w:ascii="Arial" w:eastAsia="Times New Roman" w:hAnsi="Arial" w:cs="Arial"/>
                <w:color w:val="000000"/>
                <w:sz w:val="18"/>
                <w:szCs w:val="18"/>
                <w:lang w:eastAsia="sl-SI"/>
              </w:rPr>
              <w:t>41</w:t>
            </w:r>
          </w:p>
        </w:tc>
        <w:tc>
          <w:tcPr>
            <w:tcW w:w="1488" w:type="pct"/>
            <w:tcBorders>
              <w:top w:val="nil"/>
              <w:left w:val="nil"/>
              <w:bottom w:val="single" w:sz="4" w:space="0" w:color="auto"/>
              <w:right w:val="single" w:sz="4" w:space="0" w:color="auto"/>
            </w:tcBorders>
            <w:shd w:val="clear" w:color="auto" w:fill="auto"/>
            <w:noWrap/>
            <w:vAlign w:val="center"/>
            <w:hideMark/>
          </w:tcPr>
          <w:p w14:paraId="3ADF4936" w14:textId="77777777" w:rsidR="00E3750C" w:rsidRPr="0088306B" w:rsidRDefault="00E3750C" w:rsidP="00047864">
            <w:pPr>
              <w:spacing w:after="0" w:line="240" w:lineRule="auto"/>
              <w:jc w:val="right"/>
              <w:rPr>
                <w:rFonts w:ascii="Arial" w:eastAsia="Times New Roman" w:hAnsi="Arial" w:cs="Arial"/>
                <w:color w:val="000000"/>
                <w:sz w:val="18"/>
                <w:szCs w:val="18"/>
                <w:lang w:eastAsia="sl-SI"/>
              </w:rPr>
            </w:pPr>
            <w:r w:rsidRPr="0088306B">
              <w:rPr>
                <w:rFonts w:ascii="Arial" w:eastAsia="Times New Roman" w:hAnsi="Arial" w:cs="Arial"/>
                <w:color w:val="000000"/>
                <w:sz w:val="18"/>
                <w:szCs w:val="18"/>
                <w:lang w:eastAsia="sl-SI"/>
              </w:rPr>
              <w:t>33.492.850</w:t>
            </w:r>
          </w:p>
        </w:tc>
      </w:tr>
      <w:tr w:rsidR="00E3750C" w:rsidRPr="0088306B" w14:paraId="65639057" w14:textId="77777777" w:rsidTr="00047864">
        <w:trPr>
          <w:trHeight w:val="300"/>
        </w:trPr>
        <w:tc>
          <w:tcPr>
            <w:tcW w:w="1113" w:type="pct"/>
            <w:vMerge/>
            <w:tcBorders>
              <w:top w:val="nil"/>
              <w:left w:val="single" w:sz="4" w:space="0" w:color="auto"/>
              <w:bottom w:val="single" w:sz="4" w:space="0" w:color="auto"/>
              <w:right w:val="single" w:sz="4" w:space="0" w:color="auto"/>
            </w:tcBorders>
            <w:vAlign w:val="center"/>
            <w:hideMark/>
          </w:tcPr>
          <w:p w14:paraId="14DDCD63" w14:textId="77777777" w:rsidR="00E3750C" w:rsidRPr="0088306B" w:rsidRDefault="00E3750C" w:rsidP="00047864">
            <w:pPr>
              <w:spacing w:after="0" w:line="240" w:lineRule="auto"/>
              <w:rPr>
                <w:rFonts w:ascii="Arial" w:eastAsia="Times New Roman" w:hAnsi="Arial" w:cs="Arial"/>
                <w:color w:val="000000"/>
                <w:sz w:val="18"/>
                <w:szCs w:val="18"/>
                <w:lang w:eastAsia="sl-SI"/>
              </w:rPr>
            </w:pPr>
          </w:p>
        </w:tc>
        <w:tc>
          <w:tcPr>
            <w:tcW w:w="665" w:type="pct"/>
            <w:tcBorders>
              <w:top w:val="nil"/>
              <w:left w:val="nil"/>
              <w:bottom w:val="single" w:sz="4" w:space="0" w:color="auto"/>
              <w:right w:val="single" w:sz="4" w:space="0" w:color="auto"/>
            </w:tcBorders>
            <w:shd w:val="clear" w:color="auto" w:fill="auto"/>
            <w:noWrap/>
            <w:vAlign w:val="center"/>
            <w:hideMark/>
          </w:tcPr>
          <w:p w14:paraId="1C1D19AC" w14:textId="77777777" w:rsidR="00E3750C" w:rsidRPr="0088306B" w:rsidRDefault="00E3750C" w:rsidP="00047864">
            <w:pPr>
              <w:spacing w:after="0" w:line="240" w:lineRule="auto"/>
              <w:rPr>
                <w:rFonts w:ascii="Arial" w:eastAsia="Times New Roman" w:hAnsi="Arial" w:cs="Arial"/>
                <w:b/>
                <w:bCs/>
                <w:color w:val="000000"/>
                <w:sz w:val="18"/>
                <w:szCs w:val="18"/>
                <w:lang w:eastAsia="sl-SI"/>
              </w:rPr>
            </w:pPr>
            <w:r w:rsidRPr="0088306B">
              <w:rPr>
                <w:rFonts w:ascii="Arial" w:eastAsia="Times New Roman" w:hAnsi="Arial" w:cs="Arial"/>
                <w:b/>
                <w:bCs/>
                <w:color w:val="000000"/>
                <w:sz w:val="18"/>
                <w:szCs w:val="18"/>
                <w:lang w:eastAsia="sl-SI"/>
              </w:rPr>
              <w:t>Skupaj</w:t>
            </w:r>
          </w:p>
        </w:tc>
        <w:tc>
          <w:tcPr>
            <w:tcW w:w="997" w:type="pct"/>
            <w:tcBorders>
              <w:top w:val="nil"/>
              <w:left w:val="nil"/>
              <w:bottom w:val="single" w:sz="4" w:space="0" w:color="auto"/>
              <w:right w:val="single" w:sz="4" w:space="0" w:color="auto"/>
            </w:tcBorders>
            <w:shd w:val="clear" w:color="auto" w:fill="auto"/>
            <w:noWrap/>
            <w:vAlign w:val="center"/>
            <w:hideMark/>
          </w:tcPr>
          <w:p w14:paraId="236E92A2" w14:textId="77777777" w:rsidR="00E3750C" w:rsidRPr="0088306B" w:rsidRDefault="00E3750C" w:rsidP="00047864">
            <w:pPr>
              <w:spacing w:after="0" w:line="240" w:lineRule="auto"/>
              <w:jc w:val="right"/>
              <w:rPr>
                <w:rFonts w:ascii="Arial" w:eastAsia="Times New Roman" w:hAnsi="Arial" w:cs="Arial"/>
                <w:b/>
                <w:bCs/>
                <w:color w:val="000000"/>
                <w:sz w:val="18"/>
                <w:szCs w:val="18"/>
                <w:lang w:eastAsia="sl-SI"/>
              </w:rPr>
            </w:pPr>
            <w:r w:rsidRPr="0088306B">
              <w:rPr>
                <w:rFonts w:ascii="Arial" w:eastAsia="Times New Roman" w:hAnsi="Arial" w:cs="Arial"/>
                <w:b/>
                <w:bCs/>
                <w:color w:val="000000"/>
                <w:sz w:val="18"/>
                <w:szCs w:val="18"/>
                <w:lang w:eastAsia="sl-SI"/>
              </w:rPr>
              <w:t>834</w:t>
            </w:r>
          </w:p>
        </w:tc>
        <w:tc>
          <w:tcPr>
            <w:tcW w:w="737" w:type="pct"/>
            <w:tcBorders>
              <w:top w:val="nil"/>
              <w:left w:val="nil"/>
              <w:bottom w:val="single" w:sz="4" w:space="0" w:color="auto"/>
              <w:right w:val="single" w:sz="4" w:space="0" w:color="auto"/>
            </w:tcBorders>
            <w:shd w:val="clear" w:color="auto" w:fill="auto"/>
            <w:noWrap/>
            <w:vAlign w:val="center"/>
            <w:hideMark/>
          </w:tcPr>
          <w:p w14:paraId="63FC1EB3" w14:textId="77777777" w:rsidR="00E3750C" w:rsidRPr="0088306B" w:rsidRDefault="00E3750C" w:rsidP="00047864">
            <w:pPr>
              <w:spacing w:after="0" w:line="240" w:lineRule="auto"/>
              <w:jc w:val="right"/>
              <w:rPr>
                <w:rFonts w:ascii="Arial" w:eastAsia="Times New Roman" w:hAnsi="Arial" w:cs="Arial"/>
                <w:b/>
                <w:bCs/>
                <w:color w:val="000000"/>
                <w:sz w:val="18"/>
                <w:szCs w:val="18"/>
                <w:lang w:eastAsia="sl-SI"/>
              </w:rPr>
            </w:pPr>
            <w:r w:rsidRPr="0088306B">
              <w:rPr>
                <w:rFonts w:ascii="Arial" w:eastAsia="Times New Roman" w:hAnsi="Arial" w:cs="Arial"/>
                <w:b/>
                <w:bCs/>
                <w:color w:val="000000"/>
                <w:sz w:val="18"/>
                <w:szCs w:val="18"/>
                <w:lang w:eastAsia="sl-SI"/>
              </w:rPr>
              <w:t>6.487</w:t>
            </w:r>
          </w:p>
        </w:tc>
        <w:tc>
          <w:tcPr>
            <w:tcW w:w="1488" w:type="pct"/>
            <w:tcBorders>
              <w:top w:val="nil"/>
              <w:left w:val="nil"/>
              <w:bottom w:val="single" w:sz="4" w:space="0" w:color="auto"/>
              <w:right w:val="single" w:sz="4" w:space="0" w:color="auto"/>
            </w:tcBorders>
            <w:shd w:val="clear" w:color="auto" w:fill="auto"/>
            <w:noWrap/>
            <w:vAlign w:val="center"/>
            <w:hideMark/>
          </w:tcPr>
          <w:p w14:paraId="5A32AEAA" w14:textId="77777777" w:rsidR="00E3750C" w:rsidRPr="0088306B" w:rsidRDefault="00E3750C" w:rsidP="00047864">
            <w:pPr>
              <w:spacing w:after="0" w:line="240" w:lineRule="auto"/>
              <w:jc w:val="right"/>
              <w:rPr>
                <w:rFonts w:ascii="Arial" w:eastAsia="Times New Roman" w:hAnsi="Arial" w:cs="Arial"/>
                <w:b/>
                <w:bCs/>
                <w:color w:val="000000"/>
                <w:sz w:val="18"/>
                <w:szCs w:val="18"/>
                <w:lang w:eastAsia="sl-SI"/>
              </w:rPr>
            </w:pPr>
            <w:r w:rsidRPr="0088306B">
              <w:rPr>
                <w:rFonts w:ascii="Arial" w:eastAsia="Times New Roman" w:hAnsi="Arial" w:cs="Arial"/>
                <w:b/>
                <w:bCs/>
                <w:color w:val="000000"/>
                <w:sz w:val="18"/>
                <w:szCs w:val="18"/>
                <w:lang w:eastAsia="sl-SI"/>
              </w:rPr>
              <w:t>892.653.640</w:t>
            </w:r>
          </w:p>
        </w:tc>
      </w:tr>
      <w:tr w:rsidR="00E3750C" w:rsidRPr="0088306B" w14:paraId="20205617" w14:textId="77777777" w:rsidTr="00047864">
        <w:trPr>
          <w:trHeight w:val="300"/>
        </w:trPr>
        <w:tc>
          <w:tcPr>
            <w:tcW w:w="111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7A5389E" w14:textId="77777777" w:rsidR="00E3750C" w:rsidRPr="0088306B" w:rsidRDefault="00E3750C" w:rsidP="00047864">
            <w:pPr>
              <w:spacing w:after="0" w:line="240" w:lineRule="auto"/>
              <w:rPr>
                <w:rFonts w:ascii="Arial" w:eastAsia="Times New Roman" w:hAnsi="Arial" w:cs="Arial"/>
                <w:color w:val="000000"/>
                <w:sz w:val="18"/>
                <w:szCs w:val="18"/>
                <w:lang w:eastAsia="sl-SI"/>
              </w:rPr>
            </w:pPr>
            <w:r w:rsidRPr="0088306B">
              <w:rPr>
                <w:rFonts w:ascii="Arial" w:eastAsia="Times New Roman" w:hAnsi="Arial" w:cs="Arial"/>
                <w:color w:val="000000"/>
                <w:sz w:val="18"/>
                <w:szCs w:val="18"/>
                <w:lang w:eastAsia="sl-SI"/>
              </w:rPr>
              <w:t>Infrastrukturno</w:t>
            </w:r>
          </w:p>
        </w:tc>
        <w:tc>
          <w:tcPr>
            <w:tcW w:w="665" w:type="pct"/>
            <w:tcBorders>
              <w:top w:val="nil"/>
              <w:left w:val="nil"/>
              <w:bottom w:val="single" w:sz="4" w:space="0" w:color="auto"/>
              <w:right w:val="single" w:sz="4" w:space="0" w:color="auto"/>
            </w:tcBorders>
            <w:shd w:val="clear" w:color="auto" w:fill="auto"/>
            <w:noWrap/>
            <w:vAlign w:val="center"/>
            <w:hideMark/>
          </w:tcPr>
          <w:p w14:paraId="5879C529" w14:textId="77777777" w:rsidR="00E3750C" w:rsidRPr="0088306B" w:rsidRDefault="00E3750C" w:rsidP="00047864">
            <w:pPr>
              <w:spacing w:after="0" w:line="240" w:lineRule="auto"/>
              <w:rPr>
                <w:rFonts w:ascii="Arial" w:eastAsia="Times New Roman" w:hAnsi="Arial" w:cs="Arial"/>
                <w:color w:val="000000"/>
                <w:sz w:val="18"/>
                <w:szCs w:val="18"/>
                <w:lang w:eastAsia="sl-SI"/>
              </w:rPr>
            </w:pPr>
            <w:r w:rsidRPr="0088306B">
              <w:rPr>
                <w:rFonts w:ascii="Arial" w:eastAsia="Times New Roman" w:hAnsi="Arial" w:cs="Arial"/>
                <w:color w:val="000000"/>
                <w:sz w:val="18"/>
                <w:szCs w:val="18"/>
                <w:lang w:eastAsia="sl-SI"/>
              </w:rPr>
              <w:t>Blago</w:t>
            </w:r>
          </w:p>
        </w:tc>
        <w:tc>
          <w:tcPr>
            <w:tcW w:w="997" w:type="pct"/>
            <w:tcBorders>
              <w:top w:val="nil"/>
              <w:left w:val="nil"/>
              <w:bottom w:val="single" w:sz="4" w:space="0" w:color="auto"/>
              <w:right w:val="single" w:sz="4" w:space="0" w:color="auto"/>
            </w:tcBorders>
            <w:shd w:val="clear" w:color="auto" w:fill="auto"/>
            <w:noWrap/>
            <w:vAlign w:val="center"/>
            <w:hideMark/>
          </w:tcPr>
          <w:p w14:paraId="528DA5D6" w14:textId="77777777" w:rsidR="00E3750C" w:rsidRPr="0088306B" w:rsidRDefault="00E3750C" w:rsidP="00047864">
            <w:pPr>
              <w:spacing w:after="0" w:line="240" w:lineRule="auto"/>
              <w:jc w:val="right"/>
              <w:rPr>
                <w:rFonts w:ascii="Arial" w:eastAsia="Times New Roman" w:hAnsi="Arial" w:cs="Arial"/>
                <w:color w:val="000000"/>
                <w:sz w:val="18"/>
                <w:szCs w:val="18"/>
                <w:lang w:eastAsia="sl-SI"/>
              </w:rPr>
            </w:pPr>
            <w:r w:rsidRPr="0088306B">
              <w:rPr>
                <w:rFonts w:ascii="Arial" w:eastAsia="Times New Roman" w:hAnsi="Arial" w:cs="Arial"/>
                <w:color w:val="000000"/>
                <w:sz w:val="18"/>
                <w:szCs w:val="18"/>
                <w:lang w:eastAsia="sl-SI"/>
              </w:rPr>
              <w:t>86</w:t>
            </w:r>
          </w:p>
        </w:tc>
        <w:tc>
          <w:tcPr>
            <w:tcW w:w="737" w:type="pct"/>
            <w:tcBorders>
              <w:top w:val="nil"/>
              <w:left w:val="nil"/>
              <w:bottom w:val="single" w:sz="4" w:space="0" w:color="auto"/>
              <w:right w:val="single" w:sz="4" w:space="0" w:color="auto"/>
            </w:tcBorders>
            <w:shd w:val="clear" w:color="auto" w:fill="auto"/>
            <w:noWrap/>
            <w:vAlign w:val="center"/>
            <w:hideMark/>
          </w:tcPr>
          <w:p w14:paraId="1F1FEAD2" w14:textId="77777777" w:rsidR="00E3750C" w:rsidRPr="0088306B" w:rsidRDefault="00E3750C" w:rsidP="00047864">
            <w:pPr>
              <w:spacing w:after="0" w:line="240" w:lineRule="auto"/>
              <w:jc w:val="right"/>
              <w:rPr>
                <w:rFonts w:ascii="Arial" w:eastAsia="Times New Roman" w:hAnsi="Arial" w:cs="Arial"/>
                <w:color w:val="000000"/>
                <w:sz w:val="18"/>
                <w:szCs w:val="18"/>
                <w:lang w:eastAsia="sl-SI"/>
              </w:rPr>
            </w:pPr>
            <w:r w:rsidRPr="0088306B">
              <w:rPr>
                <w:rFonts w:ascii="Arial" w:eastAsia="Times New Roman" w:hAnsi="Arial" w:cs="Arial"/>
                <w:color w:val="000000"/>
                <w:sz w:val="18"/>
                <w:szCs w:val="18"/>
                <w:lang w:eastAsia="sl-SI"/>
              </w:rPr>
              <w:t>241</w:t>
            </w:r>
          </w:p>
        </w:tc>
        <w:tc>
          <w:tcPr>
            <w:tcW w:w="1488" w:type="pct"/>
            <w:tcBorders>
              <w:top w:val="nil"/>
              <w:left w:val="nil"/>
              <w:bottom w:val="single" w:sz="4" w:space="0" w:color="auto"/>
              <w:right w:val="single" w:sz="4" w:space="0" w:color="auto"/>
            </w:tcBorders>
            <w:shd w:val="clear" w:color="auto" w:fill="auto"/>
            <w:noWrap/>
            <w:vAlign w:val="center"/>
            <w:hideMark/>
          </w:tcPr>
          <w:p w14:paraId="2680393B" w14:textId="77777777" w:rsidR="00E3750C" w:rsidRPr="0088306B" w:rsidRDefault="00E3750C" w:rsidP="00047864">
            <w:pPr>
              <w:spacing w:after="0" w:line="240" w:lineRule="auto"/>
              <w:jc w:val="right"/>
              <w:rPr>
                <w:rFonts w:ascii="Arial" w:eastAsia="Times New Roman" w:hAnsi="Arial" w:cs="Arial"/>
                <w:color w:val="000000"/>
                <w:sz w:val="18"/>
                <w:szCs w:val="18"/>
                <w:lang w:eastAsia="sl-SI"/>
              </w:rPr>
            </w:pPr>
            <w:r w:rsidRPr="0088306B">
              <w:rPr>
                <w:rFonts w:ascii="Arial" w:eastAsia="Times New Roman" w:hAnsi="Arial" w:cs="Arial"/>
                <w:color w:val="000000"/>
                <w:sz w:val="18"/>
                <w:szCs w:val="18"/>
                <w:lang w:eastAsia="sl-SI"/>
              </w:rPr>
              <w:t>141.881.118</w:t>
            </w:r>
          </w:p>
        </w:tc>
      </w:tr>
      <w:tr w:rsidR="00E3750C" w:rsidRPr="0088306B" w14:paraId="32F1C3B8" w14:textId="77777777" w:rsidTr="00047864">
        <w:trPr>
          <w:trHeight w:val="300"/>
        </w:trPr>
        <w:tc>
          <w:tcPr>
            <w:tcW w:w="1113" w:type="pct"/>
            <w:vMerge/>
            <w:tcBorders>
              <w:top w:val="nil"/>
              <w:left w:val="single" w:sz="4" w:space="0" w:color="auto"/>
              <w:bottom w:val="single" w:sz="4" w:space="0" w:color="auto"/>
              <w:right w:val="single" w:sz="4" w:space="0" w:color="auto"/>
            </w:tcBorders>
            <w:vAlign w:val="center"/>
            <w:hideMark/>
          </w:tcPr>
          <w:p w14:paraId="1393790A" w14:textId="77777777" w:rsidR="00E3750C" w:rsidRPr="0088306B" w:rsidRDefault="00E3750C" w:rsidP="00047864">
            <w:pPr>
              <w:spacing w:after="0" w:line="240" w:lineRule="auto"/>
              <w:rPr>
                <w:rFonts w:ascii="Arial" w:eastAsia="Times New Roman" w:hAnsi="Arial" w:cs="Arial"/>
                <w:color w:val="000000"/>
                <w:sz w:val="18"/>
                <w:szCs w:val="18"/>
                <w:lang w:eastAsia="sl-SI"/>
              </w:rPr>
            </w:pPr>
          </w:p>
        </w:tc>
        <w:tc>
          <w:tcPr>
            <w:tcW w:w="665" w:type="pct"/>
            <w:tcBorders>
              <w:top w:val="nil"/>
              <w:left w:val="nil"/>
              <w:bottom w:val="single" w:sz="4" w:space="0" w:color="auto"/>
              <w:right w:val="single" w:sz="4" w:space="0" w:color="auto"/>
            </w:tcBorders>
            <w:shd w:val="clear" w:color="auto" w:fill="auto"/>
            <w:noWrap/>
            <w:vAlign w:val="center"/>
            <w:hideMark/>
          </w:tcPr>
          <w:p w14:paraId="1B972F74" w14:textId="77777777" w:rsidR="00E3750C" w:rsidRPr="0088306B" w:rsidRDefault="00E3750C" w:rsidP="00047864">
            <w:pPr>
              <w:spacing w:after="0" w:line="240" w:lineRule="auto"/>
              <w:rPr>
                <w:rFonts w:ascii="Arial" w:eastAsia="Times New Roman" w:hAnsi="Arial" w:cs="Arial"/>
                <w:color w:val="000000"/>
                <w:sz w:val="18"/>
                <w:szCs w:val="18"/>
                <w:lang w:eastAsia="sl-SI"/>
              </w:rPr>
            </w:pPr>
            <w:r w:rsidRPr="0088306B">
              <w:rPr>
                <w:rFonts w:ascii="Arial" w:eastAsia="Times New Roman" w:hAnsi="Arial" w:cs="Arial"/>
                <w:color w:val="000000"/>
                <w:sz w:val="18"/>
                <w:szCs w:val="18"/>
                <w:lang w:eastAsia="sl-SI"/>
              </w:rPr>
              <w:t>Storitve</w:t>
            </w:r>
          </w:p>
        </w:tc>
        <w:tc>
          <w:tcPr>
            <w:tcW w:w="997" w:type="pct"/>
            <w:tcBorders>
              <w:top w:val="nil"/>
              <w:left w:val="nil"/>
              <w:bottom w:val="single" w:sz="4" w:space="0" w:color="auto"/>
              <w:right w:val="single" w:sz="4" w:space="0" w:color="auto"/>
            </w:tcBorders>
            <w:shd w:val="clear" w:color="auto" w:fill="auto"/>
            <w:noWrap/>
            <w:vAlign w:val="center"/>
            <w:hideMark/>
          </w:tcPr>
          <w:p w14:paraId="12043F2C" w14:textId="77777777" w:rsidR="00E3750C" w:rsidRPr="0088306B" w:rsidRDefault="00E3750C" w:rsidP="00047864">
            <w:pPr>
              <w:spacing w:after="0" w:line="240" w:lineRule="auto"/>
              <w:jc w:val="right"/>
              <w:rPr>
                <w:rFonts w:ascii="Arial" w:eastAsia="Times New Roman" w:hAnsi="Arial" w:cs="Arial"/>
                <w:color w:val="000000"/>
                <w:sz w:val="18"/>
                <w:szCs w:val="18"/>
                <w:lang w:eastAsia="sl-SI"/>
              </w:rPr>
            </w:pPr>
            <w:r w:rsidRPr="0088306B">
              <w:rPr>
                <w:rFonts w:ascii="Arial" w:eastAsia="Times New Roman" w:hAnsi="Arial" w:cs="Arial"/>
                <w:color w:val="000000"/>
                <w:sz w:val="18"/>
                <w:szCs w:val="18"/>
                <w:lang w:eastAsia="sl-SI"/>
              </w:rPr>
              <w:t>65</w:t>
            </w:r>
          </w:p>
        </w:tc>
        <w:tc>
          <w:tcPr>
            <w:tcW w:w="737" w:type="pct"/>
            <w:tcBorders>
              <w:top w:val="nil"/>
              <w:left w:val="nil"/>
              <w:bottom w:val="single" w:sz="4" w:space="0" w:color="auto"/>
              <w:right w:val="single" w:sz="4" w:space="0" w:color="auto"/>
            </w:tcBorders>
            <w:shd w:val="clear" w:color="auto" w:fill="auto"/>
            <w:noWrap/>
            <w:vAlign w:val="center"/>
            <w:hideMark/>
          </w:tcPr>
          <w:p w14:paraId="47F84025" w14:textId="77777777" w:rsidR="00E3750C" w:rsidRPr="0088306B" w:rsidRDefault="00E3750C" w:rsidP="00047864">
            <w:pPr>
              <w:spacing w:after="0" w:line="240" w:lineRule="auto"/>
              <w:jc w:val="right"/>
              <w:rPr>
                <w:rFonts w:ascii="Arial" w:eastAsia="Times New Roman" w:hAnsi="Arial" w:cs="Arial"/>
                <w:color w:val="000000"/>
                <w:sz w:val="18"/>
                <w:szCs w:val="18"/>
                <w:lang w:eastAsia="sl-SI"/>
              </w:rPr>
            </w:pPr>
            <w:r w:rsidRPr="0088306B">
              <w:rPr>
                <w:rFonts w:ascii="Arial" w:eastAsia="Times New Roman" w:hAnsi="Arial" w:cs="Arial"/>
                <w:color w:val="000000"/>
                <w:sz w:val="18"/>
                <w:szCs w:val="18"/>
                <w:lang w:eastAsia="sl-SI"/>
              </w:rPr>
              <w:t>113</w:t>
            </w:r>
          </w:p>
        </w:tc>
        <w:tc>
          <w:tcPr>
            <w:tcW w:w="1488" w:type="pct"/>
            <w:tcBorders>
              <w:top w:val="nil"/>
              <w:left w:val="nil"/>
              <w:bottom w:val="single" w:sz="4" w:space="0" w:color="auto"/>
              <w:right w:val="single" w:sz="4" w:space="0" w:color="auto"/>
            </w:tcBorders>
            <w:shd w:val="clear" w:color="auto" w:fill="auto"/>
            <w:noWrap/>
            <w:vAlign w:val="center"/>
            <w:hideMark/>
          </w:tcPr>
          <w:p w14:paraId="19C19805" w14:textId="77777777" w:rsidR="00E3750C" w:rsidRPr="0088306B" w:rsidRDefault="00E3750C" w:rsidP="00047864">
            <w:pPr>
              <w:spacing w:after="0" w:line="240" w:lineRule="auto"/>
              <w:jc w:val="right"/>
              <w:rPr>
                <w:rFonts w:ascii="Arial" w:eastAsia="Times New Roman" w:hAnsi="Arial" w:cs="Arial"/>
                <w:color w:val="000000"/>
                <w:sz w:val="18"/>
                <w:szCs w:val="18"/>
                <w:lang w:eastAsia="sl-SI"/>
              </w:rPr>
            </w:pPr>
            <w:r w:rsidRPr="0088306B">
              <w:rPr>
                <w:rFonts w:ascii="Arial" w:eastAsia="Times New Roman" w:hAnsi="Arial" w:cs="Arial"/>
                <w:color w:val="000000"/>
                <w:sz w:val="18"/>
                <w:szCs w:val="18"/>
                <w:lang w:eastAsia="sl-SI"/>
              </w:rPr>
              <w:t>41.525.537</w:t>
            </w:r>
          </w:p>
        </w:tc>
      </w:tr>
      <w:tr w:rsidR="00E3750C" w:rsidRPr="0088306B" w14:paraId="70901F2A" w14:textId="77777777" w:rsidTr="00047864">
        <w:trPr>
          <w:trHeight w:val="300"/>
        </w:trPr>
        <w:tc>
          <w:tcPr>
            <w:tcW w:w="1113" w:type="pct"/>
            <w:vMerge/>
            <w:tcBorders>
              <w:top w:val="nil"/>
              <w:left w:val="single" w:sz="4" w:space="0" w:color="auto"/>
              <w:bottom w:val="single" w:sz="4" w:space="0" w:color="auto"/>
              <w:right w:val="single" w:sz="4" w:space="0" w:color="auto"/>
            </w:tcBorders>
            <w:vAlign w:val="center"/>
            <w:hideMark/>
          </w:tcPr>
          <w:p w14:paraId="7FEE43C1" w14:textId="77777777" w:rsidR="00E3750C" w:rsidRPr="0088306B" w:rsidRDefault="00E3750C" w:rsidP="00047864">
            <w:pPr>
              <w:spacing w:after="0" w:line="240" w:lineRule="auto"/>
              <w:rPr>
                <w:rFonts w:ascii="Arial" w:eastAsia="Times New Roman" w:hAnsi="Arial" w:cs="Arial"/>
                <w:color w:val="000000"/>
                <w:sz w:val="18"/>
                <w:szCs w:val="18"/>
                <w:lang w:eastAsia="sl-SI"/>
              </w:rPr>
            </w:pPr>
          </w:p>
        </w:tc>
        <w:tc>
          <w:tcPr>
            <w:tcW w:w="665" w:type="pct"/>
            <w:tcBorders>
              <w:top w:val="nil"/>
              <w:left w:val="nil"/>
              <w:bottom w:val="single" w:sz="4" w:space="0" w:color="auto"/>
              <w:right w:val="single" w:sz="4" w:space="0" w:color="auto"/>
            </w:tcBorders>
            <w:shd w:val="clear" w:color="auto" w:fill="auto"/>
            <w:noWrap/>
            <w:vAlign w:val="center"/>
            <w:hideMark/>
          </w:tcPr>
          <w:p w14:paraId="72AA421D" w14:textId="77777777" w:rsidR="00E3750C" w:rsidRPr="0088306B" w:rsidRDefault="00E3750C" w:rsidP="00047864">
            <w:pPr>
              <w:spacing w:after="0" w:line="240" w:lineRule="auto"/>
              <w:rPr>
                <w:rFonts w:ascii="Arial" w:eastAsia="Times New Roman" w:hAnsi="Arial" w:cs="Arial"/>
                <w:color w:val="000000"/>
                <w:sz w:val="18"/>
                <w:szCs w:val="18"/>
                <w:lang w:eastAsia="sl-SI"/>
              </w:rPr>
            </w:pPr>
            <w:r w:rsidRPr="0088306B">
              <w:rPr>
                <w:rFonts w:ascii="Arial" w:eastAsia="Times New Roman" w:hAnsi="Arial" w:cs="Arial"/>
                <w:color w:val="000000"/>
                <w:sz w:val="18"/>
                <w:szCs w:val="18"/>
                <w:lang w:eastAsia="sl-SI"/>
              </w:rPr>
              <w:t>Gradnje</w:t>
            </w:r>
          </w:p>
        </w:tc>
        <w:tc>
          <w:tcPr>
            <w:tcW w:w="997" w:type="pct"/>
            <w:tcBorders>
              <w:top w:val="nil"/>
              <w:left w:val="nil"/>
              <w:bottom w:val="single" w:sz="4" w:space="0" w:color="auto"/>
              <w:right w:val="single" w:sz="4" w:space="0" w:color="auto"/>
            </w:tcBorders>
            <w:shd w:val="clear" w:color="auto" w:fill="auto"/>
            <w:noWrap/>
            <w:vAlign w:val="center"/>
            <w:hideMark/>
          </w:tcPr>
          <w:p w14:paraId="08B74E3F" w14:textId="77777777" w:rsidR="00E3750C" w:rsidRPr="0088306B" w:rsidRDefault="00E3750C" w:rsidP="00047864">
            <w:pPr>
              <w:spacing w:after="0" w:line="240" w:lineRule="auto"/>
              <w:jc w:val="right"/>
              <w:rPr>
                <w:rFonts w:ascii="Arial" w:eastAsia="Times New Roman" w:hAnsi="Arial" w:cs="Arial"/>
                <w:color w:val="000000"/>
                <w:sz w:val="18"/>
                <w:szCs w:val="18"/>
                <w:lang w:eastAsia="sl-SI"/>
              </w:rPr>
            </w:pPr>
            <w:r w:rsidRPr="0088306B">
              <w:rPr>
                <w:rFonts w:ascii="Arial" w:eastAsia="Times New Roman" w:hAnsi="Arial" w:cs="Arial"/>
                <w:color w:val="000000"/>
                <w:sz w:val="18"/>
                <w:szCs w:val="18"/>
                <w:lang w:eastAsia="sl-SI"/>
              </w:rPr>
              <w:t>12</w:t>
            </w:r>
          </w:p>
        </w:tc>
        <w:tc>
          <w:tcPr>
            <w:tcW w:w="737" w:type="pct"/>
            <w:tcBorders>
              <w:top w:val="nil"/>
              <w:left w:val="nil"/>
              <w:bottom w:val="single" w:sz="4" w:space="0" w:color="auto"/>
              <w:right w:val="single" w:sz="4" w:space="0" w:color="auto"/>
            </w:tcBorders>
            <w:shd w:val="clear" w:color="auto" w:fill="auto"/>
            <w:noWrap/>
            <w:vAlign w:val="center"/>
            <w:hideMark/>
          </w:tcPr>
          <w:p w14:paraId="7B41762A" w14:textId="77777777" w:rsidR="00E3750C" w:rsidRPr="0088306B" w:rsidRDefault="00E3750C" w:rsidP="00047864">
            <w:pPr>
              <w:spacing w:after="0" w:line="240" w:lineRule="auto"/>
              <w:jc w:val="right"/>
              <w:rPr>
                <w:rFonts w:ascii="Arial" w:eastAsia="Times New Roman" w:hAnsi="Arial" w:cs="Arial"/>
                <w:color w:val="000000"/>
                <w:sz w:val="18"/>
                <w:szCs w:val="18"/>
                <w:lang w:eastAsia="sl-SI"/>
              </w:rPr>
            </w:pPr>
            <w:r w:rsidRPr="0088306B">
              <w:rPr>
                <w:rFonts w:ascii="Arial" w:eastAsia="Times New Roman" w:hAnsi="Arial" w:cs="Arial"/>
                <w:color w:val="000000"/>
                <w:sz w:val="18"/>
                <w:szCs w:val="18"/>
                <w:lang w:eastAsia="sl-SI"/>
              </w:rPr>
              <w:t>29</w:t>
            </w:r>
          </w:p>
        </w:tc>
        <w:tc>
          <w:tcPr>
            <w:tcW w:w="1488" w:type="pct"/>
            <w:tcBorders>
              <w:top w:val="nil"/>
              <w:left w:val="nil"/>
              <w:bottom w:val="single" w:sz="4" w:space="0" w:color="auto"/>
              <w:right w:val="single" w:sz="4" w:space="0" w:color="auto"/>
            </w:tcBorders>
            <w:shd w:val="clear" w:color="auto" w:fill="auto"/>
            <w:noWrap/>
            <w:vAlign w:val="center"/>
            <w:hideMark/>
          </w:tcPr>
          <w:p w14:paraId="195F1AB4" w14:textId="77777777" w:rsidR="00E3750C" w:rsidRPr="0088306B" w:rsidRDefault="00E3750C" w:rsidP="00047864">
            <w:pPr>
              <w:spacing w:after="0" w:line="240" w:lineRule="auto"/>
              <w:jc w:val="right"/>
              <w:rPr>
                <w:rFonts w:ascii="Arial" w:eastAsia="Times New Roman" w:hAnsi="Arial" w:cs="Arial"/>
                <w:color w:val="000000"/>
                <w:sz w:val="18"/>
                <w:szCs w:val="18"/>
                <w:lang w:eastAsia="sl-SI"/>
              </w:rPr>
            </w:pPr>
            <w:r w:rsidRPr="0088306B">
              <w:rPr>
                <w:rFonts w:ascii="Arial" w:eastAsia="Times New Roman" w:hAnsi="Arial" w:cs="Arial"/>
                <w:color w:val="000000"/>
                <w:sz w:val="18"/>
                <w:szCs w:val="18"/>
                <w:lang w:eastAsia="sl-SI"/>
              </w:rPr>
              <w:t>16.659.530</w:t>
            </w:r>
          </w:p>
        </w:tc>
      </w:tr>
      <w:tr w:rsidR="00E3750C" w:rsidRPr="0088306B" w14:paraId="2DE51B48" w14:textId="77777777" w:rsidTr="00047864">
        <w:trPr>
          <w:trHeight w:val="300"/>
        </w:trPr>
        <w:tc>
          <w:tcPr>
            <w:tcW w:w="1113" w:type="pct"/>
            <w:vMerge/>
            <w:tcBorders>
              <w:top w:val="nil"/>
              <w:left w:val="single" w:sz="4" w:space="0" w:color="auto"/>
              <w:bottom w:val="single" w:sz="4" w:space="0" w:color="auto"/>
              <w:right w:val="single" w:sz="4" w:space="0" w:color="auto"/>
            </w:tcBorders>
            <w:vAlign w:val="center"/>
            <w:hideMark/>
          </w:tcPr>
          <w:p w14:paraId="64087BCD" w14:textId="77777777" w:rsidR="00E3750C" w:rsidRPr="0088306B" w:rsidRDefault="00E3750C" w:rsidP="00047864">
            <w:pPr>
              <w:spacing w:after="0" w:line="240" w:lineRule="auto"/>
              <w:rPr>
                <w:rFonts w:ascii="Arial" w:eastAsia="Times New Roman" w:hAnsi="Arial" w:cs="Arial"/>
                <w:color w:val="000000"/>
                <w:sz w:val="18"/>
                <w:szCs w:val="18"/>
                <w:lang w:eastAsia="sl-SI"/>
              </w:rPr>
            </w:pPr>
          </w:p>
        </w:tc>
        <w:tc>
          <w:tcPr>
            <w:tcW w:w="665" w:type="pct"/>
            <w:tcBorders>
              <w:top w:val="nil"/>
              <w:left w:val="nil"/>
              <w:bottom w:val="single" w:sz="4" w:space="0" w:color="auto"/>
              <w:right w:val="single" w:sz="4" w:space="0" w:color="auto"/>
            </w:tcBorders>
            <w:shd w:val="clear" w:color="auto" w:fill="auto"/>
            <w:noWrap/>
            <w:vAlign w:val="center"/>
            <w:hideMark/>
          </w:tcPr>
          <w:p w14:paraId="348256E4" w14:textId="77777777" w:rsidR="00E3750C" w:rsidRPr="0088306B" w:rsidRDefault="00E3750C" w:rsidP="00047864">
            <w:pPr>
              <w:spacing w:after="0" w:line="240" w:lineRule="auto"/>
              <w:rPr>
                <w:rFonts w:ascii="Arial" w:eastAsia="Times New Roman" w:hAnsi="Arial" w:cs="Arial"/>
                <w:b/>
                <w:bCs/>
                <w:color w:val="000000"/>
                <w:sz w:val="18"/>
                <w:szCs w:val="18"/>
                <w:lang w:eastAsia="sl-SI"/>
              </w:rPr>
            </w:pPr>
            <w:r w:rsidRPr="0088306B">
              <w:rPr>
                <w:rFonts w:ascii="Arial" w:eastAsia="Times New Roman" w:hAnsi="Arial" w:cs="Arial"/>
                <w:b/>
                <w:bCs/>
                <w:color w:val="000000"/>
                <w:sz w:val="18"/>
                <w:szCs w:val="18"/>
                <w:lang w:eastAsia="sl-SI"/>
              </w:rPr>
              <w:t>Skupaj</w:t>
            </w:r>
          </w:p>
        </w:tc>
        <w:tc>
          <w:tcPr>
            <w:tcW w:w="997" w:type="pct"/>
            <w:tcBorders>
              <w:top w:val="nil"/>
              <w:left w:val="nil"/>
              <w:bottom w:val="single" w:sz="4" w:space="0" w:color="auto"/>
              <w:right w:val="single" w:sz="4" w:space="0" w:color="auto"/>
            </w:tcBorders>
            <w:shd w:val="clear" w:color="auto" w:fill="auto"/>
            <w:noWrap/>
            <w:vAlign w:val="center"/>
            <w:hideMark/>
          </w:tcPr>
          <w:p w14:paraId="074C467E" w14:textId="77777777" w:rsidR="00E3750C" w:rsidRPr="0088306B" w:rsidRDefault="00E3750C" w:rsidP="00047864">
            <w:pPr>
              <w:spacing w:after="0" w:line="240" w:lineRule="auto"/>
              <w:jc w:val="right"/>
              <w:rPr>
                <w:rFonts w:ascii="Arial" w:eastAsia="Times New Roman" w:hAnsi="Arial" w:cs="Arial"/>
                <w:b/>
                <w:bCs/>
                <w:color w:val="000000"/>
                <w:sz w:val="18"/>
                <w:szCs w:val="18"/>
                <w:lang w:eastAsia="sl-SI"/>
              </w:rPr>
            </w:pPr>
            <w:r w:rsidRPr="0088306B">
              <w:rPr>
                <w:rFonts w:ascii="Arial" w:eastAsia="Times New Roman" w:hAnsi="Arial" w:cs="Arial"/>
                <w:b/>
                <w:bCs/>
                <w:color w:val="000000"/>
                <w:sz w:val="18"/>
                <w:szCs w:val="18"/>
                <w:lang w:eastAsia="sl-SI"/>
              </w:rPr>
              <w:t>163</w:t>
            </w:r>
          </w:p>
        </w:tc>
        <w:tc>
          <w:tcPr>
            <w:tcW w:w="737" w:type="pct"/>
            <w:tcBorders>
              <w:top w:val="nil"/>
              <w:left w:val="nil"/>
              <w:bottom w:val="single" w:sz="4" w:space="0" w:color="auto"/>
              <w:right w:val="single" w:sz="4" w:space="0" w:color="auto"/>
            </w:tcBorders>
            <w:shd w:val="clear" w:color="auto" w:fill="auto"/>
            <w:noWrap/>
            <w:vAlign w:val="center"/>
            <w:hideMark/>
          </w:tcPr>
          <w:p w14:paraId="14390533" w14:textId="77777777" w:rsidR="00E3750C" w:rsidRPr="0088306B" w:rsidRDefault="00E3750C" w:rsidP="00047864">
            <w:pPr>
              <w:spacing w:after="0" w:line="240" w:lineRule="auto"/>
              <w:jc w:val="right"/>
              <w:rPr>
                <w:rFonts w:ascii="Arial" w:eastAsia="Times New Roman" w:hAnsi="Arial" w:cs="Arial"/>
                <w:b/>
                <w:bCs/>
                <w:color w:val="000000"/>
                <w:sz w:val="18"/>
                <w:szCs w:val="18"/>
                <w:lang w:eastAsia="sl-SI"/>
              </w:rPr>
            </w:pPr>
            <w:r w:rsidRPr="0088306B">
              <w:rPr>
                <w:rFonts w:ascii="Arial" w:eastAsia="Times New Roman" w:hAnsi="Arial" w:cs="Arial"/>
                <w:b/>
                <w:bCs/>
                <w:color w:val="000000"/>
                <w:sz w:val="18"/>
                <w:szCs w:val="18"/>
                <w:lang w:eastAsia="sl-SI"/>
              </w:rPr>
              <w:t>383</w:t>
            </w:r>
          </w:p>
        </w:tc>
        <w:tc>
          <w:tcPr>
            <w:tcW w:w="1488" w:type="pct"/>
            <w:tcBorders>
              <w:top w:val="nil"/>
              <w:left w:val="nil"/>
              <w:bottom w:val="single" w:sz="4" w:space="0" w:color="auto"/>
              <w:right w:val="single" w:sz="4" w:space="0" w:color="auto"/>
            </w:tcBorders>
            <w:shd w:val="clear" w:color="auto" w:fill="auto"/>
            <w:noWrap/>
            <w:vAlign w:val="center"/>
            <w:hideMark/>
          </w:tcPr>
          <w:p w14:paraId="6A893C8F" w14:textId="77777777" w:rsidR="00E3750C" w:rsidRPr="0088306B" w:rsidRDefault="00E3750C" w:rsidP="00047864">
            <w:pPr>
              <w:spacing w:after="0" w:line="240" w:lineRule="auto"/>
              <w:jc w:val="right"/>
              <w:rPr>
                <w:rFonts w:ascii="Arial" w:eastAsia="Times New Roman" w:hAnsi="Arial" w:cs="Arial"/>
                <w:b/>
                <w:bCs/>
                <w:color w:val="000000"/>
                <w:sz w:val="18"/>
                <w:szCs w:val="18"/>
                <w:lang w:eastAsia="sl-SI"/>
              </w:rPr>
            </w:pPr>
            <w:r w:rsidRPr="0088306B">
              <w:rPr>
                <w:rFonts w:ascii="Arial" w:eastAsia="Times New Roman" w:hAnsi="Arial" w:cs="Arial"/>
                <w:b/>
                <w:bCs/>
                <w:color w:val="000000"/>
                <w:sz w:val="18"/>
                <w:szCs w:val="18"/>
                <w:lang w:eastAsia="sl-SI"/>
              </w:rPr>
              <w:t>200.066.185</w:t>
            </w:r>
          </w:p>
        </w:tc>
      </w:tr>
      <w:tr w:rsidR="00E3750C" w:rsidRPr="0088306B" w14:paraId="1B53266C" w14:textId="77777777" w:rsidTr="00047864">
        <w:trPr>
          <w:trHeight w:val="300"/>
        </w:trPr>
        <w:tc>
          <w:tcPr>
            <w:tcW w:w="111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954711F" w14:textId="77777777" w:rsidR="00E3750C" w:rsidRPr="0088306B" w:rsidRDefault="00E3750C" w:rsidP="00047864">
            <w:pPr>
              <w:spacing w:after="0" w:line="240" w:lineRule="auto"/>
              <w:rPr>
                <w:rFonts w:ascii="Arial" w:eastAsia="Times New Roman" w:hAnsi="Arial" w:cs="Arial"/>
                <w:color w:val="000000"/>
                <w:sz w:val="18"/>
                <w:szCs w:val="18"/>
                <w:lang w:eastAsia="sl-SI"/>
              </w:rPr>
            </w:pPr>
            <w:r w:rsidRPr="0088306B">
              <w:rPr>
                <w:rFonts w:ascii="Arial" w:eastAsia="Times New Roman" w:hAnsi="Arial" w:cs="Arial"/>
                <w:color w:val="000000"/>
                <w:sz w:val="18"/>
                <w:szCs w:val="18"/>
                <w:lang w:eastAsia="sl-SI"/>
              </w:rPr>
              <w:t>Obrambno</w:t>
            </w:r>
          </w:p>
        </w:tc>
        <w:tc>
          <w:tcPr>
            <w:tcW w:w="665" w:type="pct"/>
            <w:tcBorders>
              <w:top w:val="nil"/>
              <w:left w:val="nil"/>
              <w:bottom w:val="single" w:sz="4" w:space="0" w:color="auto"/>
              <w:right w:val="single" w:sz="4" w:space="0" w:color="auto"/>
            </w:tcBorders>
            <w:shd w:val="clear" w:color="auto" w:fill="auto"/>
            <w:noWrap/>
            <w:vAlign w:val="center"/>
            <w:hideMark/>
          </w:tcPr>
          <w:p w14:paraId="4784958B" w14:textId="77777777" w:rsidR="00E3750C" w:rsidRPr="0088306B" w:rsidRDefault="00E3750C" w:rsidP="00047864">
            <w:pPr>
              <w:spacing w:after="0" w:line="240" w:lineRule="auto"/>
              <w:rPr>
                <w:rFonts w:ascii="Arial" w:eastAsia="Times New Roman" w:hAnsi="Arial" w:cs="Arial"/>
                <w:color w:val="000000"/>
                <w:sz w:val="18"/>
                <w:szCs w:val="18"/>
                <w:lang w:eastAsia="sl-SI"/>
              </w:rPr>
            </w:pPr>
            <w:r w:rsidRPr="0088306B">
              <w:rPr>
                <w:rFonts w:ascii="Arial" w:eastAsia="Times New Roman" w:hAnsi="Arial" w:cs="Arial"/>
                <w:color w:val="000000"/>
                <w:sz w:val="18"/>
                <w:szCs w:val="18"/>
                <w:lang w:eastAsia="sl-SI"/>
              </w:rPr>
              <w:t>Blago</w:t>
            </w:r>
          </w:p>
        </w:tc>
        <w:tc>
          <w:tcPr>
            <w:tcW w:w="997" w:type="pct"/>
            <w:tcBorders>
              <w:top w:val="nil"/>
              <w:left w:val="nil"/>
              <w:bottom w:val="single" w:sz="4" w:space="0" w:color="auto"/>
              <w:right w:val="single" w:sz="4" w:space="0" w:color="auto"/>
            </w:tcBorders>
            <w:shd w:val="clear" w:color="auto" w:fill="auto"/>
            <w:noWrap/>
            <w:vAlign w:val="center"/>
            <w:hideMark/>
          </w:tcPr>
          <w:p w14:paraId="4469C2D2" w14:textId="77777777" w:rsidR="00E3750C" w:rsidRPr="0088306B" w:rsidRDefault="00E3750C" w:rsidP="00047864">
            <w:pPr>
              <w:spacing w:after="0" w:line="240" w:lineRule="auto"/>
              <w:jc w:val="right"/>
              <w:rPr>
                <w:rFonts w:ascii="Arial" w:eastAsia="Times New Roman" w:hAnsi="Arial" w:cs="Arial"/>
                <w:color w:val="000000"/>
                <w:sz w:val="18"/>
                <w:szCs w:val="18"/>
                <w:lang w:eastAsia="sl-SI"/>
              </w:rPr>
            </w:pPr>
            <w:r w:rsidRPr="0088306B">
              <w:rPr>
                <w:rFonts w:ascii="Arial" w:eastAsia="Times New Roman" w:hAnsi="Arial" w:cs="Arial"/>
                <w:color w:val="000000"/>
                <w:sz w:val="18"/>
                <w:szCs w:val="18"/>
                <w:lang w:eastAsia="sl-SI"/>
              </w:rPr>
              <w:t>3</w:t>
            </w:r>
          </w:p>
        </w:tc>
        <w:tc>
          <w:tcPr>
            <w:tcW w:w="737" w:type="pct"/>
            <w:tcBorders>
              <w:top w:val="nil"/>
              <w:left w:val="nil"/>
              <w:bottom w:val="single" w:sz="4" w:space="0" w:color="auto"/>
              <w:right w:val="single" w:sz="4" w:space="0" w:color="auto"/>
            </w:tcBorders>
            <w:shd w:val="clear" w:color="auto" w:fill="auto"/>
            <w:noWrap/>
            <w:vAlign w:val="center"/>
            <w:hideMark/>
          </w:tcPr>
          <w:p w14:paraId="2863DD83" w14:textId="77777777" w:rsidR="00E3750C" w:rsidRPr="0088306B" w:rsidRDefault="00E3750C" w:rsidP="00047864">
            <w:pPr>
              <w:spacing w:after="0" w:line="240" w:lineRule="auto"/>
              <w:jc w:val="right"/>
              <w:rPr>
                <w:rFonts w:ascii="Arial" w:eastAsia="Times New Roman" w:hAnsi="Arial" w:cs="Arial"/>
                <w:color w:val="000000"/>
                <w:sz w:val="18"/>
                <w:szCs w:val="18"/>
                <w:lang w:eastAsia="sl-SI"/>
              </w:rPr>
            </w:pPr>
            <w:r w:rsidRPr="0088306B">
              <w:rPr>
                <w:rFonts w:ascii="Arial" w:eastAsia="Times New Roman" w:hAnsi="Arial" w:cs="Arial"/>
                <w:color w:val="000000"/>
                <w:sz w:val="18"/>
                <w:szCs w:val="18"/>
                <w:lang w:eastAsia="sl-SI"/>
              </w:rPr>
              <w:t>5</w:t>
            </w:r>
          </w:p>
        </w:tc>
        <w:tc>
          <w:tcPr>
            <w:tcW w:w="1488" w:type="pct"/>
            <w:tcBorders>
              <w:top w:val="nil"/>
              <w:left w:val="nil"/>
              <w:bottom w:val="single" w:sz="4" w:space="0" w:color="auto"/>
              <w:right w:val="single" w:sz="4" w:space="0" w:color="auto"/>
            </w:tcBorders>
            <w:shd w:val="clear" w:color="auto" w:fill="auto"/>
            <w:noWrap/>
            <w:vAlign w:val="center"/>
            <w:hideMark/>
          </w:tcPr>
          <w:p w14:paraId="1A35C1A9" w14:textId="77777777" w:rsidR="00E3750C" w:rsidRPr="0088306B" w:rsidRDefault="00E3750C" w:rsidP="00047864">
            <w:pPr>
              <w:spacing w:after="0" w:line="240" w:lineRule="auto"/>
              <w:jc w:val="right"/>
              <w:rPr>
                <w:rFonts w:ascii="Arial" w:eastAsia="Times New Roman" w:hAnsi="Arial" w:cs="Arial"/>
                <w:color w:val="000000"/>
                <w:sz w:val="18"/>
                <w:szCs w:val="18"/>
                <w:lang w:eastAsia="sl-SI"/>
              </w:rPr>
            </w:pPr>
            <w:r w:rsidRPr="0088306B">
              <w:rPr>
                <w:rFonts w:ascii="Arial" w:eastAsia="Times New Roman" w:hAnsi="Arial" w:cs="Arial"/>
                <w:color w:val="000000"/>
                <w:sz w:val="18"/>
                <w:szCs w:val="18"/>
                <w:lang w:eastAsia="sl-SI"/>
              </w:rPr>
              <w:t>1.635.480</w:t>
            </w:r>
          </w:p>
        </w:tc>
      </w:tr>
      <w:tr w:rsidR="00E3750C" w:rsidRPr="0088306B" w14:paraId="7040120E" w14:textId="77777777" w:rsidTr="00047864">
        <w:trPr>
          <w:trHeight w:val="300"/>
        </w:trPr>
        <w:tc>
          <w:tcPr>
            <w:tcW w:w="1113" w:type="pct"/>
            <w:vMerge/>
            <w:tcBorders>
              <w:top w:val="nil"/>
              <w:left w:val="single" w:sz="4" w:space="0" w:color="auto"/>
              <w:bottom w:val="single" w:sz="4" w:space="0" w:color="auto"/>
              <w:right w:val="single" w:sz="4" w:space="0" w:color="auto"/>
            </w:tcBorders>
            <w:vAlign w:val="center"/>
            <w:hideMark/>
          </w:tcPr>
          <w:p w14:paraId="5FF5AF49" w14:textId="77777777" w:rsidR="00E3750C" w:rsidRPr="0088306B" w:rsidRDefault="00E3750C" w:rsidP="00047864">
            <w:pPr>
              <w:spacing w:after="0" w:line="240" w:lineRule="auto"/>
              <w:rPr>
                <w:rFonts w:ascii="Arial" w:eastAsia="Times New Roman" w:hAnsi="Arial" w:cs="Arial"/>
                <w:color w:val="000000"/>
                <w:sz w:val="18"/>
                <w:szCs w:val="18"/>
                <w:lang w:eastAsia="sl-SI"/>
              </w:rPr>
            </w:pPr>
          </w:p>
        </w:tc>
        <w:tc>
          <w:tcPr>
            <w:tcW w:w="665" w:type="pct"/>
            <w:tcBorders>
              <w:top w:val="nil"/>
              <w:left w:val="nil"/>
              <w:bottom w:val="single" w:sz="4" w:space="0" w:color="auto"/>
              <w:right w:val="single" w:sz="4" w:space="0" w:color="auto"/>
            </w:tcBorders>
            <w:shd w:val="clear" w:color="auto" w:fill="auto"/>
            <w:noWrap/>
            <w:vAlign w:val="center"/>
            <w:hideMark/>
          </w:tcPr>
          <w:p w14:paraId="6F526A3E" w14:textId="77777777" w:rsidR="00E3750C" w:rsidRPr="0088306B" w:rsidRDefault="00E3750C" w:rsidP="00047864">
            <w:pPr>
              <w:spacing w:after="0" w:line="240" w:lineRule="auto"/>
              <w:rPr>
                <w:rFonts w:ascii="Arial" w:eastAsia="Times New Roman" w:hAnsi="Arial" w:cs="Arial"/>
                <w:b/>
                <w:bCs/>
                <w:color w:val="000000"/>
                <w:sz w:val="18"/>
                <w:szCs w:val="18"/>
                <w:lang w:eastAsia="sl-SI"/>
              </w:rPr>
            </w:pPr>
            <w:r w:rsidRPr="0088306B">
              <w:rPr>
                <w:rFonts w:ascii="Arial" w:eastAsia="Times New Roman" w:hAnsi="Arial" w:cs="Arial"/>
                <w:b/>
                <w:bCs/>
                <w:color w:val="000000"/>
                <w:sz w:val="18"/>
                <w:szCs w:val="18"/>
                <w:lang w:eastAsia="sl-SI"/>
              </w:rPr>
              <w:t>Skupaj</w:t>
            </w:r>
          </w:p>
        </w:tc>
        <w:tc>
          <w:tcPr>
            <w:tcW w:w="997" w:type="pct"/>
            <w:tcBorders>
              <w:top w:val="nil"/>
              <w:left w:val="nil"/>
              <w:bottom w:val="single" w:sz="4" w:space="0" w:color="auto"/>
              <w:right w:val="single" w:sz="4" w:space="0" w:color="auto"/>
            </w:tcBorders>
            <w:shd w:val="clear" w:color="auto" w:fill="auto"/>
            <w:noWrap/>
            <w:vAlign w:val="center"/>
            <w:hideMark/>
          </w:tcPr>
          <w:p w14:paraId="47C2CDD9" w14:textId="77777777" w:rsidR="00E3750C" w:rsidRPr="0088306B" w:rsidRDefault="00E3750C" w:rsidP="00047864">
            <w:pPr>
              <w:spacing w:after="0" w:line="240" w:lineRule="auto"/>
              <w:jc w:val="right"/>
              <w:rPr>
                <w:rFonts w:ascii="Arial" w:eastAsia="Times New Roman" w:hAnsi="Arial" w:cs="Arial"/>
                <w:b/>
                <w:bCs/>
                <w:color w:val="000000"/>
                <w:sz w:val="18"/>
                <w:szCs w:val="18"/>
                <w:lang w:eastAsia="sl-SI"/>
              </w:rPr>
            </w:pPr>
            <w:r w:rsidRPr="0088306B">
              <w:rPr>
                <w:rFonts w:ascii="Arial" w:eastAsia="Times New Roman" w:hAnsi="Arial" w:cs="Arial"/>
                <w:b/>
                <w:bCs/>
                <w:color w:val="000000"/>
                <w:sz w:val="18"/>
                <w:szCs w:val="18"/>
                <w:lang w:eastAsia="sl-SI"/>
              </w:rPr>
              <w:t>3</w:t>
            </w:r>
          </w:p>
        </w:tc>
        <w:tc>
          <w:tcPr>
            <w:tcW w:w="737" w:type="pct"/>
            <w:tcBorders>
              <w:top w:val="nil"/>
              <w:left w:val="nil"/>
              <w:bottom w:val="single" w:sz="4" w:space="0" w:color="auto"/>
              <w:right w:val="single" w:sz="4" w:space="0" w:color="auto"/>
            </w:tcBorders>
            <w:shd w:val="clear" w:color="auto" w:fill="auto"/>
            <w:noWrap/>
            <w:vAlign w:val="center"/>
            <w:hideMark/>
          </w:tcPr>
          <w:p w14:paraId="175FEB74" w14:textId="77777777" w:rsidR="00E3750C" w:rsidRPr="0088306B" w:rsidRDefault="00E3750C" w:rsidP="00047864">
            <w:pPr>
              <w:spacing w:after="0" w:line="240" w:lineRule="auto"/>
              <w:jc w:val="right"/>
              <w:rPr>
                <w:rFonts w:ascii="Arial" w:eastAsia="Times New Roman" w:hAnsi="Arial" w:cs="Arial"/>
                <w:b/>
                <w:bCs/>
                <w:color w:val="000000"/>
                <w:sz w:val="18"/>
                <w:szCs w:val="18"/>
                <w:lang w:eastAsia="sl-SI"/>
              </w:rPr>
            </w:pPr>
            <w:r w:rsidRPr="0088306B">
              <w:rPr>
                <w:rFonts w:ascii="Arial" w:eastAsia="Times New Roman" w:hAnsi="Arial" w:cs="Arial"/>
                <w:b/>
                <w:bCs/>
                <w:color w:val="000000"/>
                <w:sz w:val="18"/>
                <w:szCs w:val="18"/>
                <w:lang w:eastAsia="sl-SI"/>
              </w:rPr>
              <w:t>5</w:t>
            </w:r>
          </w:p>
        </w:tc>
        <w:tc>
          <w:tcPr>
            <w:tcW w:w="1488" w:type="pct"/>
            <w:tcBorders>
              <w:top w:val="nil"/>
              <w:left w:val="nil"/>
              <w:bottom w:val="single" w:sz="4" w:space="0" w:color="auto"/>
              <w:right w:val="single" w:sz="4" w:space="0" w:color="auto"/>
            </w:tcBorders>
            <w:shd w:val="clear" w:color="auto" w:fill="auto"/>
            <w:noWrap/>
            <w:vAlign w:val="center"/>
            <w:hideMark/>
          </w:tcPr>
          <w:p w14:paraId="55D89103" w14:textId="77777777" w:rsidR="00E3750C" w:rsidRPr="0088306B" w:rsidRDefault="00E3750C" w:rsidP="00047864">
            <w:pPr>
              <w:spacing w:after="0" w:line="240" w:lineRule="auto"/>
              <w:jc w:val="right"/>
              <w:rPr>
                <w:rFonts w:ascii="Arial" w:eastAsia="Times New Roman" w:hAnsi="Arial" w:cs="Arial"/>
                <w:b/>
                <w:bCs/>
                <w:color w:val="000000"/>
                <w:sz w:val="18"/>
                <w:szCs w:val="18"/>
                <w:lang w:eastAsia="sl-SI"/>
              </w:rPr>
            </w:pPr>
            <w:r w:rsidRPr="0088306B">
              <w:rPr>
                <w:rFonts w:ascii="Arial" w:eastAsia="Times New Roman" w:hAnsi="Arial" w:cs="Arial"/>
                <w:b/>
                <w:bCs/>
                <w:color w:val="000000"/>
                <w:sz w:val="18"/>
                <w:szCs w:val="18"/>
                <w:lang w:eastAsia="sl-SI"/>
              </w:rPr>
              <w:t>1.635.480</w:t>
            </w:r>
          </w:p>
        </w:tc>
      </w:tr>
      <w:tr w:rsidR="00E3750C" w:rsidRPr="0088306B" w14:paraId="22854637" w14:textId="77777777" w:rsidTr="00047864">
        <w:trPr>
          <w:trHeight w:val="300"/>
        </w:trPr>
        <w:tc>
          <w:tcPr>
            <w:tcW w:w="177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501877D" w14:textId="77777777" w:rsidR="00E3750C" w:rsidRPr="0088306B" w:rsidRDefault="00E3750C" w:rsidP="00047864">
            <w:pPr>
              <w:spacing w:after="0" w:line="240" w:lineRule="auto"/>
              <w:rPr>
                <w:rFonts w:ascii="Arial" w:eastAsia="Times New Roman" w:hAnsi="Arial" w:cs="Arial"/>
                <w:b/>
                <w:bCs/>
                <w:color w:val="000000"/>
                <w:sz w:val="18"/>
                <w:szCs w:val="18"/>
                <w:lang w:eastAsia="sl-SI"/>
              </w:rPr>
            </w:pPr>
            <w:r w:rsidRPr="0088306B">
              <w:rPr>
                <w:rFonts w:ascii="Arial" w:eastAsia="Times New Roman" w:hAnsi="Arial" w:cs="Arial"/>
                <w:b/>
                <w:bCs/>
                <w:color w:val="000000"/>
                <w:sz w:val="18"/>
                <w:szCs w:val="18"/>
                <w:lang w:eastAsia="sl-SI"/>
              </w:rPr>
              <w:t>Skupaj</w:t>
            </w:r>
          </w:p>
        </w:tc>
        <w:tc>
          <w:tcPr>
            <w:tcW w:w="997" w:type="pct"/>
            <w:tcBorders>
              <w:top w:val="nil"/>
              <w:left w:val="nil"/>
              <w:bottom w:val="single" w:sz="4" w:space="0" w:color="auto"/>
              <w:right w:val="single" w:sz="4" w:space="0" w:color="auto"/>
            </w:tcBorders>
            <w:shd w:val="clear" w:color="auto" w:fill="F2F2F2" w:themeFill="background1" w:themeFillShade="F2"/>
            <w:noWrap/>
            <w:vAlign w:val="center"/>
            <w:hideMark/>
          </w:tcPr>
          <w:p w14:paraId="06B7AF8A" w14:textId="77777777" w:rsidR="00E3750C" w:rsidRPr="0088306B" w:rsidRDefault="00E3750C" w:rsidP="00047864">
            <w:pPr>
              <w:spacing w:after="0" w:line="240" w:lineRule="auto"/>
              <w:jc w:val="right"/>
              <w:rPr>
                <w:rFonts w:ascii="Arial" w:eastAsia="Times New Roman" w:hAnsi="Arial" w:cs="Arial"/>
                <w:b/>
                <w:bCs/>
                <w:color w:val="000000"/>
                <w:sz w:val="18"/>
                <w:szCs w:val="18"/>
                <w:lang w:eastAsia="sl-SI"/>
              </w:rPr>
            </w:pPr>
            <w:r w:rsidRPr="0088306B">
              <w:rPr>
                <w:rFonts w:ascii="Arial" w:eastAsia="Times New Roman" w:hAnsi="Arial" w:cs="Arial"/>
                <w:b/>
                <w:bCs/>
                <w:color w:val="000000"/>
                <w:sz w:val="18"/>
                <w:szCs w:val="18"/>
                <w:lang w:eastAsia="sl-SI"/>
              </w:rPr>
              <w:t>1.000</w:t>
            </w:r>
          </w:p>
        </w:tc>
        <w:tc>
          <w:tcPr>
            <w:tcW w:w="737" w:type="pct"/>
            <w:tcBorders>
              <w:top w:val="nil"/>
              <w:left w:val="nil"/>
              <w:bottom w:val="single" w:sz="4" w:space="0" w:color="auto"/>
              <w:right w:val="single" w:sz="4" w:space="0" w:color="auto"/>
            </w:tcBorders>
            <w:shd w:val="clear" w:color="auto" w:fill="F2F2F2" w:themeFill="background1" w:themeFillShade="F2"/>
            <w:noWrap/>
            <w:vAlign w:val="center"/>
            <w:hideMark/>
          </w:tcPr>
          <w:p w14:paraId="4FD5EE8A" w14:textId="77777777" w:rsidR="00E3750C" w:rsidRPr="0088306B" w:rsidRDefault="00E3750C" w:rsidP="00047864">
            <w:pPr>
              <w:spacing w:after="0" w:line="240" w:lineRule="auto"/>
              <w:jc w:val="right"/>
              <w:rPr>
                <w:rFonts w:ascii="Arial" w:eastAsia="Times New Roman" w:hAnsi="Arial" w:cs="Arial"/>
                <w:b/>
                <w:bCs/>
                <w:color w:val="000000"/>
                <w:sz w:val="18"/>
                <w:szCs w:val="18"/>
                <w:lang w:eastAsia="sl-SI"/>
              </w:rPr>
            </w:pPr>
            <w:r w:rsidRPr="0088306B">
              <w:rPr>
                <w:rFonts w:ascii="Arial" w:eastAsia="Times New Roman" w:hAnsi="Arial" w:cs="Arial"/>
                <w:b/>
                <w:bCs/>
                <w:color w:val="000000"/>
                <w:sz w:val="18"/>
                <w:szCs w:val="18"/>
                <w:lang w:eastAsia="sl-SI"/>
              </w:rPr>
              <w:t>6.875</w:t>
            </w:r>
          </w:p>
        </w:tc>
        <w:tc>
          <w:tcPr>
            <w:tcW w:w="1488" w:type="pct"/>
            <w:tcBorders>
              <w:top w:val="nil"/>
              <w:left w:val="nil"/>
              <w:bottom w:val="single" w:sz="4" w:space="0" w:color="auto"/>
              <w:right w:val="single" w:sz="4" w:space="0" w:color="auto"/>
            </w:tcBorders>
            <w:shd w:val="clear" w:color="auto" w:fill="F2F2F2" w:themeFill="background1" w:themeFillShade="F2"/>
            <w:noWrap/>
            <w:vAlign w:val="center"/>
            <w:hideMark/>
          </w:tcPr>
          <w:p w14:paraId="5D2D00D1" w14:textId="77777777" w:rsidR="00E3750C" w:rsidRPr="0088306B" w:rsidRDefault="00E3750C" w:rsidP="00047864">
            <w:pPr>
              <w:spacing w:after="0" w:line="240" w:lineRule="auto"/>
              <w:jc w:val="right"/>
              <w:rPr>
                <w:rFonts w:ascii="Arial" w:eastAsia="Times New Roman" w:hAnsi="Arial" w:cs="Arial"/>
                <w:b/>
                <w:bCs/>
                <w:color w:val="000000"/>
                <w:sz w:val="18"/>
                <w:szCs w:val="18"/>
                <w:lang w:eastAsia="sl-SI"/>
              </w:rPr>
            </w:pPr>
            <w:r w:rsidRPr="0088306B">
              <w:rPr>
                <w:rFonts w:ascii="Arial" w:eastAsia="Times New Roman" w:hAnsi="Arial" w:cs="Arial"/>
                <w:b/>
                <w:bCs/>
                <w:color w:val="000000"/>
                <w:sz w:val="18"/>
                <w:szCs w:val="18"/>
                <w:lang w:eastAsia="sl-SI"/>
              </w:rPr>
              <w:t>1.094.355.305</w:t>
            </w:r>
          </w:p>
        </w:tc>
      </w:tr>
    </w:tbl>
    <w:p w14:paraId="6DE38238" w14:textId="77777777" w:rsidR="00E3750C" w:rsidRPr="00BF7302" w:rsidRDefault="00E3750C" w:rsidP="00E3750C">
      <w:pPr>
        <w:spacing w:after="0" w:line="240" w:lineRule="auto"/>
        <w:jc w:val="both"/>
        <w:rPr>
          <w:rFonts w:ascii="Arial" w:hAnsi="Arial" w:cs="Arial"/>
          <w:sz w:val="20"/>
          <w:highlight w:val="yellow"/>
        </w:rPr>
      </w:pPr>
    </w:p>
    <w:p w14:paraId="4C07A12B" w14:textId="77777777" w:rsidR="00E3750C" w:rsidRPr="004E2CE0" w:rsidRDefault="00E3750C" w:rsidP="00E3750C">
      <w:pPr>
        <w:spacing w:before="120" w:after="0" w:line="240" w:lineRule="auto"/>
        <w:jc w:val="both"/>
        <w:rPr>
          <w:rFonts w:ascii="Arial" w:hAnsi="Arial" w:cs="Arial"/>
          <w:sz w:val="20"/>
        </w:rPr>
      </w:pPr>
      <w:r w:rsidRPr="004E2CE0">
        <w:rPr>
          <w:rFonts w:ascii="Arial" w:hAnsi="Arial" w:cs="Arial"/>
          <w:sz w:val="20"/>
        </w:rPr>
        <w:t>Preglednica 7</w:t>
      </w:r>
      <w:r>
        <w:rPr>
          <w:rFonts w:ascii="Arial" w:hAnsi="Arial" w:cs="Arial"/>
          <w:sz w:val="20"/>
        </w:rPr>
        <w:t>0</w:t>
      </w:r>
      <w:r w:rsidRPr="004E2CE0">
        <w:rPr>
          <w:rFonts w:ascii="Arial" w:hAnsi="Arial" w:cs="Arial"/>
          <w:sz w:val="20"/>
        </w:rPr>
        <w:t>: Izvedeni postopki za sklenitev okvirnega sporazuma glede na področje in vrsto postopka</w:t>
      </w:r>
      <w:bookmarkEnd w:id="79"/>
      <w:bookmarkEnd w:id="80"/>
      <w:bookmarkEnd w:id="81"/>
    </w:p>
    <w:p w14:paraId="5BBECE27" w14:textId="77777777" w:rsidR="00E3750C" w:rsidRPr="00BF7302" w:rsidRDefault="00E3750C" w:rsidP="00E3750C">
      <w:pPr>
        <w:spacing w:after="0" w:line="240" w:lineRule="auto"/>
        <w:jc w:val="both"/>
        <w:rPr>
          <w:rFonts w:ascii="Arial" w:hAnsi="Arial" w:cs="Arial"/>
          <w:sz w:val="20"/>
          <w:highlight w:val="yellow"/>
        </w:rPr>
      </w:pPr>
    </w:p>
    <w:tbl>
      <w:tblPr>
        <w:tblW w:w="5000" w:type="pct"/>
        <w:tblCellMar>
          <w:left w:w="70" w:type="dxa"/>
          <w:right w:w="70" w:type="dxa"/>
        </w:tblCellMar>
        <w:tblLook w:val="04A0" w:firstRow="1" w:lastRow="0" w:firstColumn="1" w:lastColumn="0" w:noHBand="0" w:noVBand="1"/>
      </w:tblPr>
      <w:tblGrid>
        <w:gridCol w:w="1356"/>
        <w:gridCol w:w="3827"/>
        <w:gridCol w:w="1231"/>
        <w:gridCol w:w="941"/>
        <w:gridCol w:w="1819"/>
      </w:tblGrid>
      <w:tr w:rsidR="00E3750C" w:rsidRPr="004E2CE0" w14:paraId="5BCB8782" w14:textId="77777777" w:rsidTr="00047864">
        <w:trPr>
          <w:trHeight w:val="300"/>
        </w:trPr>
        <w:tc>
          <w:tcPr>
            <w:tcW w:w="74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1F79EB6" w14:textId="77777777" w:rsidR="00E3750C" w:rsidRPr="004E2CE0" w:rsidRDefault="00E3750C" w:rsidP="00047864">
            <w:pPr>
              <w:spacing w:after="0" w:line="240" w:lineRule="auto"/>
              <w:jc w:val="center"/>
              <w:rPr>
                <w:rFonts w:ascii="Arial" w:eastAsia="Times New Roman" w:hAnsi="Arial" w:cs="Arial"/>
                <w:color w:val="000000"/>
                <w:sz w:val="18"/>
                <w:szCs w:val="18"/>
                <w:lang w:eastAsia="sl-SI"/>
              </w:rPr>
            </w:pPr>
            <w:bookmarkStart w:id="82" w:name="_Toc398038711"/>
            <w:bookmarkStart w:id="83" w:name="_Toc398040190"/>
            <w:bookmarkStart w:id="84" w:name="_Toc398584428"/>
            <w:bookmarkStart w:id="85" w:name="_Toc461086444"/>
            <w:bookmarkStart w:id="86" w:name="_Toc461608816"/>
            <w:bookmarkStart w:id="87" w:name="_Toc462401235"/>
            <w:r w:rsidRPr="004E2CE0">
              <w:rPr>
                <w:rFonts w:ascii="Arial" w:eastAsia="Times New Roman" w:hAnsi="Arial" w:cs="Arial"/>
                <w:color w:val="000000"/>
                <w:sz w:val="18"/>
                <w:szCs w:val="18"/>
                <w:lang w:eastAsia="sl-SI"/>
              </w:rPr>
              <w:t>Področje</w:t>
            </w:r>
          </w:p>
        </w:tc>
        <w:tc>
          <w:tcPr>
            <w:tcW w:w="209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3907F36" w14:textId="77777777" w:rsidR="00E3750C" w:rsidRPr="004E2CE0" w:rsidRDefault="00E3750C" w:rsidP="00047864">
            <w:pPr>
              <w:spacing w:after="0" w:line="240" w:lineRule="auto"/>
              <w:jc w:val="center"/>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Vrsta postopka</w:t>
            </w:r>
          </w:p>
        </w:tc>
        <w:tc>
          <w:tcPr>
            <w:tcW w:w="66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96D2550" w14:textId="77777777" w:rsidR="00E3750C" w:rsidRPr="004E2CE0" w:rsidRDefault="00E3750C" w:rsidP="00047864">
            <w:pPr>
              <w:spacing w:after="0" w:line="240" w:lineRule="auto"/>
              <w:jc w:val="center"/>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Št. postopkov</w:t>
            </w:r>
          </w:p>
        </w:tc>
        <w:tc>
          <w:tcPr>
            <w:tcW w:w="49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B3D6114" w14:textId="77777777" w:rsidR="00E3750C" w:rsidRPr="004E2CE0" w:rsidRDefault="00E3750C" w:rsidP="00047864">
            <w:pPr>
              <w:spacing w:after="0" w:line="240" w:lineRule="auto"/>
              <w:jc w:val="center"/>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Št. naročil</w:t>
            </w:r>
          </w:p>
        </w:tc>
        <w:tc>
          <w:tcPr>
            <w:tcW w:w="99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CC20F24" w14:textId="77777777" w:rsidR="00E3750C" w:rsidRPr="004E2CE0" w:rsidRDefault="00E3750C" w:rsidP="00047864">
            <w:pPr>
              <w:spacing w:after="0" w:line="240" w:lineRule="auto"/>
              <w:jc w:val="center"/>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Pogodbena vrednost</w:t>
            </w:r>
          </w:p>
        </w:tc>
      </w:tr>
      <w:tr w:rsidR="00E3750C" w:rsidRPr="004E2CE0" w14:paraId="367C80C6" w14:textId="77777777" w:rsidTr="00047864">
        <w:trPr>
          <w:trHeight w:val="300"/>
        </w:trPr>
        <w:tc>
          <w:tcPr>
            <w:tcW w:w="74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A1A5F3E" w14:textId="77777777" w:rsidR="00E3750C" w:rsidRPr="004E2CE0" w:rsidRDefault="00E3750C" w:rsidP="00047864">
            <w:pPr>
              <w:spacing w:after="0" w:line="240" w:lineRule="auto"/>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Splošno</w:t>
            </w:r>
          </w:p>
        </w:tc>
        <w:tc>
          <w:tcPr>
            <w:tcW w:w="2093" w:type="pct"/>
            <w:tcBorders>
              <w:top w:val="nil"/>
              <w:left w:val="nil"/>
              <w:bottom w:val="single" w:sz="4" w:space="0" w:color="auto"/>
              <w:right w:val="single" w:sz="4" w:space="0" w:color="auto"/>
            </w:tcBorders>
            <w:shd w:val="clear" w:color="auto" w:fill="auto"/>
            <w:noWrap/>
            <w:vAlign w:val="center"/>
            <w:hideMark/>
          </w:tcPr>
          <w:p w14:paraId="50C49F45" w14:textId="77777777" w:rsidR="00E3750C" w:rsidRPr="004E2CE0" w:rsidRDefault="00E3750C" w:rsidP="00047864">
            <w:pPr>
              <w:spacing w:after="0" w:line="240" w:lineRule="auto"/>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Konkurenčni dialog</w:t>
            </w:r>
          </w:p>
        </w:tc>
        <w:tc>
          <w:tcPr>
            <w:tcW w:w="669" w:type="pct"/>
            <w:tcBorders>
              <w:top w:val="nil"/>
              <w:left w:val="nil"/>
              <w:bottom w:val="single" w:sz="4" w:space="0" w:color="auto"/>
              <w:right w:val="single" w:sz="4" w:space="0" w:color="auto"/>
            </w:tcBorders>
            <w:shd w:val="clear" w:color="auto" w:fill="auto"/>
            <w:noWrap/>
            <w:vAlign w:val="center"/>
            <w:hideMark/>
          </w:tcPr>
          <w:p w14:paraId="221EFA6D" w14:textId="77777777" w:rsidR="00E3750C" w:rsidRPr="004E2CE0" w:rsidRDefault="00E3750C" w:rsidP="00047864">
            <w:pPr>
              <w:spacing w:after="0" w:line="240" w:lineRule="auto"/>
              <w:jc w:val="right"/>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3</w:t>
            </w:r>
          </w:p>
        </w:tc>
        <w:tc>
          <w:tcPr>
            <w:tcW w:w="494" w:type="pct"/>
            <w:tcBorders>
              <w:top w:val="nil"/>
              <w:left w:val="nil"/>
              <w:bottom w:val="single" w:sz="4" w:space="0" w:color="auto"/>
              <w:right w:val="single" w:sz="4" w:space="0" w:color="auto"/>
            </w:tcBorders>
            <w:shd w:val="clear" w:color="auto" w:fill="auto"/>
            <w:noWrap/>
            <w:vAlign w:val="center"/>
            <w:hideMark/>
          </w:tcPr>
          <w:p w14:paraId="1979F1B4" w14:textId="77777777" w:rsidR="00E3750C" w:rsidRPr="004E2CE0" w:rsidRDefault="00E3750C" w:rsidP="00047864">
            <w:pPr>
              <w:spacing w:after="0" w:line="240" w:lineRule="auto"/>
              <w:jc w:val="right"/>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11</w:t>
            </w:r>
          </w:p>
        </w:tc>
        <w:tc>
          <w:tcPr>
            <w:tcW w:w="998" w:type="pct"/>
            <w:tcBorders>
              <w:top w:val="nil"/>
              <w:left w:val="nil"/>
              <w:bottom w:val="single" w:sz="4" w:space="0" w:color="auto"/>
              <w:right w:val="single" w:sz="4" w:space="0" w:color="auto"/>
            </w:tcBorders>
            <w:shd w:val="clear" w:color="auto" w:fill="auto"/>
            <w:noWrap/>
            <w:vAlign w:val="center"/>
            <w:hideMark/>
          </w:tcPr>
          <w:p w14:paraId="763A5284" w14:textId="77777777" w:rsidR="00E3750C" w:rsidRPr="004E2CE0" w:rsidRDefault="00E3750C" w:rsidP="00047864">
            <w:pPr>
              <w:spacing w:after="0" w:line="240" w:lineRule="auto"/>
              <w:jc w:val="right"/>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62.209</w:t>
            </w:r>
          </w:p>
        </w:tc>
      </w:tr>
      <w:tr w:rsidR="00E3750C" w:rsidRPr="004E2CE0" w14:paraId="2F646295" w14:textId="77777777" w:rsidTr="00047864">
        <w:trPr>
          <w:trHeight w:val="300"/>
        </w:trPr>
        <w:tc>
          <w:tcPr>
            <w:tcW w:w="746" w:type="pct"/>
            <w:vMerge/>
            <w:tcBorders>
              <w:top w:val="nil"/>
              <w:left w:val="single" w:sz="4" w:space="0" w:color="auto"/>
              <w:bottom w:val="single" w:sz="4" w:space="0" w:color="auto"/>
              <w:right w:val="single" w:sz="4" w:space="0" w:color="auto"/>
            </w:tcBorders>
            <w:vAlign w:val="center"/>
            <w:hideMark/>
          </w:tcPr>
          <w:p w14:paraId="6164F848" w14:textId="77777777" w:rsidR="00E3750C" w:rsidRPr="004E2CE0" w:rsidRDefault="00E3750C" w:rsidP="00047864">
            <w:pPr>
              <w:spacing w:after="0" w:line="240" w:lineRule="auto"/>
              <w:rPr>
                <w:rFonts w:ascii="Arial" w:eastAsia="Times New Roman" w:hAnsi="Arial" w:cs="Arial"/>
                <w:color w:val="000000"/>
                <w:sz w:val="18"/>
                <w:szCs w:val="18"/>
                <w:lang w:eastAsia="sl-SI"/>
              </w:rPr>
            </w:pPr>
          </w:p>
        </w:tc>
        <w:tc>
          <w:tcPr>
            <w:tcW w:w="2093" w:type="pct"/>
            <w:tcBorders>
              <w:top w:val="nil"/>
              <w:left w:val="nil"/>
              <w:bottom w:val="single" w:sz="4" w:space="0" w:color="auto"/>
              <w:right w:val="single" w:sz="4" w:space="0" w:color="auto"/>
            </w:tcBorders>
            <w:shd w:val="clear" w:color="auto" w:fill="auto"/>
            <w:noWrap/>
            <w:vAlign w:val="center"/>
            <w:hideMark/>
          </w:tcPr>
          <w:p w14:paraId="7995BF84" w14:textId="77777777" w:rsidR="00E3750C" w:rsidRPr="004E2CE0" w:rsidRDefault="00E3750C" w:rsidP="00047864">
            <w:pPr>
              <w:spacing w:after="0" w:line="240" w:lineRule="auto"/>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Konkurenčni postopek s pogajanji</w:t>
            </w:r>
          </w:p>
        </w:tc>
        <w:tc>
          <w:tcPr>
            <w:tcW w:w="669" w:type="pct"/>
            <w:tcBorders>
              <w:top w:val="nil"/>
              <w:left w:val="nil"/>
              <w:bottom w:val="single" w:sz="4" w:space="0" w:color="auto"/>
              <w:right w:val="single" w:sz="4" w:space="0" w:color="auto"/>
            </w:tcBorders>
            <w:shd w:val="clear" w:color="auto" w:fill="auto"/>
            <w:noWrap/>
            <w:vAlign w:val="center"/>
            <w:hideMark/>
          </w:tcPr>
          <w:p w14:paraId="00E1113C" w14:textId="77777777" w:rsidR="00E3750C" w:rsidRPr="004E2CE0" w:rsidRDefault="00E3750C" w:rsidP="00047864">
            <w:pPr>
              <w:spacing w:after="0" w:line="240" w:lineRule="auto"/>
              <w:jc w:val="right"/>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10</w:t>
            </w:r>
          </w:p>
        </w:tc>
        <w:tc>
          <w:tcPr>
            <w:tcW w:w="494" w:type="pct"/>
            <w:tcBorders>
              <w:top w:val="nil"/>
              <w:left w:val="nil"/>
              <w:bottom w:val="single" w:sz="4" w:space="0" w:color="auto"/>
              <w:right w:val="single" w:sz="4" w:space="0" w:color="auto"/>
            </w:tcBorders>
            <w:shd w:val="clear" w:color="auto" w:fill="auto"/>
            <w:noWrap/>
            <w:vAlign w:val="center"/>
            <w:hideMark/>
          </w:tcPr>
          <w:p w14:paraId="555EDC06" w14:textId="77777777" w:rsidR="00E3750C" w:rsidRPr="004E2CE0" w:rsidRDefault="00E3750C" w:rsidP="00047864">
            <w:pPr>
              <w:spacing w:after="0" w:line="240" w:lineRule="auto"/>
              <w:jc w:val="right"/>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25</w:t>
            </w:r>
          </w:p>
        </w:tc>
        <w:tc>
          <w:tcPr>
            <w:tcW w:w="998" w:type="pct"/>
            <w:tcBorders>
              <w:top w:val="nil"/>
              <w:left w:val="nil"/>
              <w:bottom w:val="single" w:sz="4" w:space="0" w:color="auto"/>
              <w:right w:val="single" w:sz="4" w:space="0" w:color="auto"/>
            </w:tcBorders>
            <w:shd w:val="clear" w:color="auto" w:fill="auto"/>
            <w:noWrap/>
            <w:vAlign w:val="center"/>
            <w:hideMark/>
          </w:tcPr>
          <w:p w14:paraId="332BB8FC" w14:textId="77777777" w:rsidR="00E3750C" w:rsidRPr="004E2CE0" w:rsidRDefault="00E3750C" w:rsidP="00047864">
            <w:pPr>
              <w:spacing w:after="0" w:line="240" w:lineRule="auto"/>
              <w:jc w:val="right"/>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1.762.720</w:t>
            </w:r>
          </w:p>
        </w:tc>
      </w:tr>
      <w:tr w:rsidR="00E3750C" w:rsidRPr="004E2CE0" w14:paraId="1F198826" w14:textId="77777777" w:rsidTr="00047864">
        <w:trPr>
          <w:trHeight w:val="300"/>
        </w:trPr>
        <w:tc>
          <w:tcPr>
            <w:tcW w:w="746" w:type="pct"/>
            <w:vMerge/>
            <w:tcBorders>
              <w:top w:val="nil"/>
              <w:left w:val="single" w:sz="4" w:space="0" w:color="auto"/>
              <w:bottom w:val="single" w:sz="4" w:space="0" w:color="auto"/>
              <w:right w:val="single" w:sz="4" w:space="0" w:color="auto"/>
            </w:tcBorders>
            <w:vAlign w:val="center"/>
            <w:hideMark/>
          </w:tcPr>
          <w:p w14:paraId="3926A919" w14:textId="77777777" w:rsidR="00E3750C" w:rsidRPr="004E2CE0" w:rsidRDefault="00E3750C" w:rsidP="00047864">
            <w:pPr>
              <w:spacing w:after="0" w:line="240" w:lineRule="auto"/>
              <w:rPr>
                <w:rFonts w:ascii="Arial" w:eastAsia="Times New Roman" w:hAnsi="Arial" w:cs="Arial"/>
                <w:color w:val="000000"/>
                <w:sz w:val="18"/>
                <w:szCs w:val="18"/>
                <w:lang w:eastAsia="sl-SI"/>
              </w:rPr>
            </w:pPr>
          </w:p>
        </w:tc>
        <w:tc>
          <w:tcPr>
            <w:tcW w:w="2093" w:type="pct"/>
            <w:tcBorders>
              <w:top w:val="nil"/>
              <w:left w:val="nil"/>
              <w:bottom w:val="single" w:sz="4" w:space="0" w:color="auto"/>
              <w:right w:val="single" w:sz="4" w:space="0" w:color="auto"/>
            </w:tcBorders>
            <w:shd w:val="clear" w:color="auto" w:fill="auto"/>
            <w:noWrap/>
            <w:vAlign w:val="center"/>
            <w:hideMark/>
          </w:tcPr>
          <w:p w14:paraId="1B31FC0D" w14:textId="77777777" w:rsidR="00E3750C" w:rsidRPr="004E2CE0" w:rsidRDefault="00E3750C" w:rsidP="00047864">
            <w:pPr>
              <w:spacing w:after="0" w:line="240" w:lineRule="auto"/>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Odprti postopek</w:t>
            </w:r>
          </w:p>
        </w:tc>
        <w:tc>
          <w:tcPr>
            <w:tcW w:w="669" w:type="pct"/>
            <w:tcBorders>
              <w:top w:val="nil"/>
              <w:left w:val="nil"/>
              <w:bottom w:val="single" w:sz="4" w:space="0" w:color="auto"/>
              <w:right w:val="single" w:sz="4" w:space="0" w:color="auto"/>
            </w:tcBorders>
            <w:shd w:val="clear" w:color="auto" w:fill="auto"/>
            <w:noWrap/>
            <w:vAlign w:val="center"/>
            <w:hideMark/>
          </w:tcPr>
          <w:p w14:paraId="679F3BA3" w14:textId="77777777" w:rsidR="00E3750C" w:rsidRPr="004E2CE0" w:rsidRDefault="00E3750C" w:rsidP="00047864">
            <w:pPr>
              <w:spacing w:after="0" w:line="240" w:lineRule="auto"/>
              <w:jc w:val="right"/>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461</w:t>
            </w:r>
          </w:p>
        </w:tc>
        <w:tc>
          <w:tcPr>
            <w:tcW w:w="494" w:type="pct"/>
            <w:tcBorders>
              <w:top w:val="nil"/>
              <w:left w:val="nil"/>
              <w:bottom w:val="single" w:sz="4" w:space="0" w:color="auto"/>
              <w:right w:val="single" w:sz="4" w:space="0" w:color="auto"/>
            </w:tcBorders>
            <w:shd w:val="clear" w:color="auto" w:fill="auto"/>
            <w:noWrap/>
            <w:vAlign w:val="center"/>
            <w:hideMark/>
          </w:tcPr>
          <w:p w14:paraId="62BFCFE7" w14:textId="77777777" w:rsidR="00E3750C" w:rsidRPr="004E2CE0" w:rsidRDefault="00E3750C" w:rsidP="00047864">
            <w:pPr>
              <w:spacing w:after="0" w:line="240" w:lineRule="auto"/>
              <w:jc w:val="right"/>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5.302</w:t>
            </w:r>
          </w:p>
        </w:tc>
        <w:tc>
          <w:tcPr>
            <w:tcW w:w="998" w:type="pct"/>
            <w:tcBorders>
              <w:top w:val="nil"/>
              <w:left w:val="nil"/>
              <w:bottom w:val="single" w:sz="4" w:space="0" w:color="auto"/>
              <w:right w:val="single" w:sz="4" w:space="0" w:color="auto"/>
            </w:tcBorders>
            <w:shd w:val="clear" w:color="auto" w:fill="auto"/>
            <w:noWrap/>
            <w:vAlign w:val="center"/>
            <w:hideMark/>
          </w:tcPr>
          <w:p w14:paraId="7397BC23" w14:textId="77777777" w:rsidR="00E3750C" w:rsidRPr="004E2CE0" w:rsidRDefault="00E3750C" w:rsidP="00047864">
            <w:pPr>
              <w:spacing w:after="0" w:line="240" w:lineRule="auto"/>
              <w:jc w:val="right"/>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811.194.965</w:t>
            </w:r>
          </w:p>
        </w:tc>
      </w:tr>
      <w:tr w:rsidR="00E3750C" w:rsidRPr="004E2CE0" w14:paraId="2D14494B" w14:textId="77777777" w:rsidTr="00047864">
        <w:trPr>
          <w:trHeight w:val="300"/>
        </w:trPr>
        <w:tc>
          <w:tcPr>
            <w:tcW w:w="746" w:type="pct"/>
            <w:vMerge/>
            <w:tcBorders>
              <w:top w:val="nil"/>
              <w:left w:val="single" w:sz="4" w:space="0" w:color="auto"/>
              <w:bottom w:val="single" w:sz="4" w:space="0" w:color="auto"/>
              <w:right w:val="single" w:sz="4" w:space="0" w:color="auto"/>
            </w:tcBorders>
            <w:vAlign w:val="center"/>
            <w:hideMark/>
          </w:tcPr>
          <w:p w14:paraId="3188CFFB" w14:textId="77777777" w:rsidR="00E3750C" w:rsidRPr="004E2CE0" w:rsidRDefault="00E3750C" w:rsidP="00047864">
            <w:pPr>
              <w:spacing w:after="0" w:line="240" w:lineRule="auto"/>
              <w:rPr>
                <w:rFonts w:ascii="Arial" w:eastAsia="Times New Roman" w:hAnsi="Arial" w:cs="Arial"/>
                <w:color w:val="000000"/>
                <w:sz w:val="18"/>
                <w:szCs w:val="18"/>
                <w:lang w:eastAsia="sl-SI"/>
              </w:rPr>
            </w:pPr>
          </w:p>
        </w:tc>
        <w:tc>
          <w:tcPr>
            <w:tcW w:w="2093" w:type="pct"/>
            <w:tcBorders>
              <w:top w:val="nil"/>
              <w:left w:val="nil"/>
              <w:bottom w:val="single" w:sz="4" w:space="0" w:color="auto"/>
              <w:right w:val="single" w:sz="4" w:space="0" w:color="auto"/>
            </w:tcBorders>
            <w:shd w:val="clear" w:color="auto" w:fill="auto"/>
            <w:noWrap/>
            <w:vAlign w:val="center"/>
            <w:hideMark/>
          </w:tcPr>
          <w:p w14:paraId="689F902C" w14:textId="77777777" w:rsidR="00E3750C" w:rsidRPr="004E2CE0" w:rsidRDefault="00E3750C" w:rsidP="00047864">
            <w:pPr>
              <w:spacing w:after="0" w:line="240" w:lineRule="auto"/>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Omejeni postopek</w:t>
            </w:r>
          </w:p>
        </w:tc>
        <w:tc>
          <w:tcPr>
            <w:tcW w:w="669" w:type="pct"/>
            <w:tcBorders>
              <w:top w:val="nil"/>
              <w:left w:val="nil"/>
              <w:bottom w:val="single" w:sz="4" w:space="0" w:color="auto"/>
              <w:right w:val="single" w:sz="4" w:space="0" w:color="auto"/>
            </w:tcBorders>
            <w:shd w:val="clear" w:color="auto" w:fill="auto"/>
            <w:noWrap/>
            <w:vAlign w:val="center"/>
            <w:hideMark/>
          </w:tcPr>
          <w:p w14:paraId="4C6AC678" w14:textId="77777777" w:rsidR="00E3750C" w:rsidRPr="004E2CE0" w:rsidRDefault="00E3750C" w:rsidP="00047864">
            <w:pPr>
              <w:spacing w:after="0" w:line="240" w:lineRule="auto"/>
              <w:jc w:val="right"/>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5</w:t>
            </w:r>
          </w:p>
        </w:tc>
        <w:tc>
          <w:tcPr>
            <w:tcW w:w="494" w:type="pct"/>
            <w:tcBorders>
              <w:top w:val="nil"/>
              <w:left w:val="nil"/>
              <w:bottom w:val="single" w:sz="4" w:space="0" w:color="auto"/>
              <w:right w:val="single" w:sz="4" w:space="0" w:color="auto"/>
            </w:tcBorders>
            <w:shd w:val="clear" w:color="auto" w:fill="auto"/>
            <w:noWrap/>
            <w:vAlign w:val="center"/>
            <w:hideMark/>
          </w:tcPr>
          <w:p w14:paraId="374CC54F" w14:textId="77777777" w:rsidR="00E3750C" w:rsidRPr="004E2CE0" w:rsidRDefault="00E3750C" w:rsidP="00047864">
            <w:pPr>
              <w:spacing w:after="0" w:line="240" w:lineRule="auto"/>
              <w:jc w:val="right"/>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18</w:t>
            </w:r>
          </w:p>
        </w:tc>
        <w:tc>
          <w:tcPr>
            <w:tcW w:w="998" w:type="pct"/>
            <w:tcBorders>
              <w:top w:val="nil"/>
              <w:left w:val="nil"/>
              <w:bottom w:val="single" w:sz="4" w:space="0" w:color="auto"/>
              <w:right w:val="single" w:sz="4" w:space="0" w:color="auto"/>
            </w:tcBorders>
            <w:shd w:val="clear" w:color="auto" w:fill="auto"/>
            <w:noWrap/>
            <w:vAlign w:val="center"/>
            <w:hideMark/>
          </w:tcPr>
          <w:p w14:paraId="173A27C4" w14:textId="77777777" w:rsidR="00E3750C" w:rsidRPr="004E2CE0" w:rsidRDefault="00E3750C" w:rsidP="00047864">
            <w:pPr>
              <w:spacing w:after="0" w:line="240" w:lineRule="auto"/>
              <w:jc w:val="right"/>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5.840.000</w:t>
            </w:r>
          </w:p>
        </w:tc>
      </w:tr>
      <w:tr w:rsidR="00E3750C" w:rsidRPr="004E2CE0" w14:paraId="3DE0C641" w14:textId="77777777" w:rsidTr="00047864">
        <w:trPr>
          <w:trHeight w:val="300"/>
        </w:trPr>
        <w:tc>
          <w:tcPr>
            <w:tcW w:w="746" w:type="pct"/>
            <w:vMerge/>
            <w:tcBorders>
              <w:top w:val="nil"/>
              <w:left w:val="single" w:sz="4" w:space="0" w:color="auto"/>
              <w:bottom w:val="single" w:sz="4" w:space="0" w:color="auto"/>
              <w:right w:val="single" w:sz="4" w:space="0" w:color="auto"/>
            </w:tcBorders>
            <w:vAlign w:val="center"/>
            <w:hideMark/>
          </w:tcPr>
          <w:p w14:paraId="7E4C99D5" w14:textId="77777777" w:rsidR="00E3750C" w:rsidRPr="004E2CE0" w:rsidRDefault="00E3750C" w:rsidP="00047864">
            <w:pPr>
              <w:spacing w:after="0" w:line="240" w:lineRule="auto"/>
              <w:rPr>
                <w:rFonts w:ascii="Arial" w:eastAsia="Times New Roman" w:hAnsi="Arial" w:cs="Arial"/>
                <w:color w:val="000000"/>
                <w:sz w:val="18"/>
                <w:szCs w:val="18"/>
                <w:lang w:eastAsia="sl-SI"/>
              </w:rPr>
            </w:pPr>
          </w:p>
        </w:tc>
        <w:tc>
          <w:tcPr>
            <w:tcW w:w="2093" w:type="pct"/>
            <w:tcBorders>
              <w:top w:val="nil"/>
              <w:left w:val="nil"/>
              <w:bottom w:val="single" w:sz="4" w:space="0" w:color="auto"/>
              <w:right w:val="single" w:sz="4" w:space="0" w:color="auto"/>
            </w:tcBorders>
            <w:shd w:val="clear" w:color="auto" w:fill="auto"/>
            <w:noWrap/>
            <w:vAlign w:val="center"/>
            <w:hideMark/>
          </w:tcPr>
          <w:p w14:paraId="5BB68D8B" w14:textId="77777777" w:rsidR="00E3750C" w:rsidRPr="004E2CE0" w:rsidRDefault="00E3750C" w:rsidP="00047864">
            <w:pPr>
              <w:spacing w:after="0" w:line="240" w:lineRule="auto"/>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Postopek naročila male vrednosti</w:t>
            </w:r>
          </w:p>
        </w:tc>
        <w:tc>
          <w:tcPr>
            <w:tcW w:w="669" w:type="pct"/>
            <w:tcBorders>
              <w:top w:val="nil"/>
              <w:left w:val="nil"/>
              <w:bottom w:val="single" w:sz="4" w:space="0" w:color="auto"/>
              <w:right w:val="single" w:sz="4" w:space="0" w:color="auto"/>
            </w:tcBorders>
            <w:shd w:val="clear" w:color="auto" w:fill="auto"/>
            <w:noWrap/>
            <w:vAlign w:val="center"/>
            <w:hideMark/>
          </w:tcPr>
          <w:p w14:paraId="0560EF6E" w14:textId="77777777" w:rsidR="00E3750C" w:rsidRPr="004E2CE0" w:rsidRDefault="00E3750C" w:rsidP="00047864">
            <w:pPr>
              <w:spacing w:after="0" w:line="240" w:lineRule="auto"/>
              <w:jc w:val="right"/>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319</w:t>
            </w:r>
          </w:p>
        </w:tc>
        <w:tc>
          <w:tcPr>
            <w:tcW w:w="494" w:type="pct"/>
            <w:tcBorders>
              <w:top w:val="nil"/>
              <w:left w:val="nil"/>
              <w:bottom w:val="single" w:sz="4" w:space="0" w:color="auto"/>
              <w:right w:val="single" w:sz="4" w:space="0" w:color="auto"/>
            </w:tcBorders>
            <w:shd w:val="clear" w:color="auto" w:fill="auto"/>
            <w:noWrap/>
            <w:vAlign w:val="center"/>
            <w:hideMark/>
          </w:tcPr>
          <w:p w14:paraId="72CE11F2" w14:textId="77777777" w:rsidR="00E3750C" w:rsidRPr="004E2CE0" w:rsidRDefault="00E3750C" w:rsidP="00047864">
            <w:pPr>
              <w:spacing w:after="0" w:line="240" w:lineRule="auto"/>
              <w:jc w:val="right"/>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1.047</w:t>
            </w:r>
          </w:p>
        </w:tc>
        <w:tc>
          <w:tcPr>
            <w:tcW w:w="998" w:type="pct"/>
            <w:tcBorders>
              <w:top w:val="nil"/>
              <w:left w:val="nil"/>
              <w:bottom w:val="single" w:sz="4" w:space="0" w:color="auto"/>
              <w:right w:val="single" w:sz="4" w:space="0" w:color="auto"/>
            </w:tcBorders>
            <w:shd w:val="clear" w:color="auto" w:fill="auto"/>
            <w:noWrap/>
            <w:vAlign w:val="center"/>
            <w:hideMark/>
          </w:tcPr>
          <w:p w14:paraId="66935996" w14:textId="77777777" w:rsidR="00E3750C" w:rsidRPr="004E2CE0" w:rsidRDefault="00E3750C" w:rsidP="00047864">
            <w:pPr>
              <w:spacing w:after="0" w:line="240" w:lineRule="auto"/>
              <w:jc w:val="right"/>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44.444.977</w:t>
            </w:r>
          </w:p>
        </w:tc>
      </w:tr>
      <w:tr w:rsidR="00E3750C" w:rsidRPr="004E2CE0" w14:paraId="0E17AD5F" w14:textId="77777777" w:rsidTr="00047864">
        <w:trPr>
          <w:trHeight w:val="300"/>
        </w:trPr>
        <w:tc>
          <w:tcPr>
            <w:tcW w:w="746" w:type="pct"/>
            <w:vMerge/>
            <w:tcBorders>
              <w:top w:val="nil"/>
              <w:left w:val="single" w:sz="4" w:space="0" w:color="auto"/>
              <w:bottom w:val="single" w:sz="4" w:space="0" w:color="auto"/>
              <w:right w:val="single" w:sz="4" w:space="0" w:color="auto"/>
            </w:tcBorders>
            <w:vAlign w:val="center"/>
            <w:hideMark/>
          </w:tcPr>
          <w:p w14:paraId="732281A1" w14:textId="77777777" w:rsidR="00E3750C" w:rsidRPr="004E2CE0" w:rsidRDefault="00E3750C" w:rsidP="00047864">
            <w:pPr>
              <w:spacing w:after="0" w:line="240" w:lineRule="auto"/>
              <w:rPr>
                <w:rFonts w:ascii="Arial" w:eastAsia="Times New Roman" w:hAnsi="Arial" w:cs="Arial"/>
                <w:color w:val="000000"/>
                <w:sz w:val="18"/>
                <w:szCs w:val="18"/>
                <w:lang w:eastAsia="sl-SI"/>
              </w:rPr>
            </w:pPr>
          </w:p>
        </w:tc>
        <w:tc>
          <w:tcPr>
            <w:tcW w:w="2093" w:type="pct"/>
            <w:tcBorders>
              <w:top w:val="nil"/>
              <w:left w:val="nil"/>
              <w:bottom w:val="single" w:sz="4" w:space="0" w:color="auto"/>
              <w:right w:val="single" w:sz="4" w:space="0" w:color="auto"/>
            </w:tcBorders>
            <w:shd w:val="clear" w:color="auto" w:fill="auto"/>
            <w:noWrap/>
            <w:vAlign w:val="center"/>
            <w:hideMark/>
          </w:tcPr>
          <w:p w14:paraId="0DD3EB69" w14:textId="77777777" w:rsidR="00E3750C" w:rsidRPr="004E2CE0" w:rsidRDefault="00E3750C" w:rsidP="00047864">
            <w:pPr>
              <w:spacing w:after="0" w:line="240" w:lineRule="auto"/>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Postopek s pogajanji brez predhodne objave</w:t>
            </w:r>
          </w:p>
        </w:tc>
        <w:tc>
          <w:tcPr>
            <w:tcW w:w="669" w:type="pct"/>
            <w:tcBorders>
              <w:top w:val="nil"/>
              <w:left w:val="nil"/>
              <w:bottom w:val="single" w:sz="4" w:space="0" w:color="auto"/>
              <w:right w:val="single" w:sz="4" w:space="0" w:color="auto"/>
            </w:tcBorders>
            <w:shd w:val="clear" w:color="auto" w:fill="auto"/>
            <w:noWrap/>
            <w:vAlign w:val="center"/>
            <w:hideMark/>
          </w:tcPr>
          <w:p w14:paraId="15FAE09B" w14:textId="77777777" w:rsidR="00E3750C" w:rsidRPr="004E2CE0" w:rsidRDefault="00E3750C" w:rsidP="00047864">
            <w:pPr>
              <w:spacing w:after="0" w:line="240" w:lineRule="auto"/>
              <w:jc w:val="right"/>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36</w:t>
            </w:r>
          </w:p>
        </w:tc>
        <w:tc>
          <w:tcPr>
            <w:tcW w:w="494" w:type="pct"/>
            <w:tcBorders>
              <w:top w:val="nil"/>
              <w:left w:val="nil"/>
              <w:bottom w:val="single" w:sz="4" w:space="0" w:color="auto"/>
              <w:right w:val="single" w:sz="4" w:space="0" w:color="auto"/>
            </w:tcBorders>
            <w:shd w:val="clear" w:color="auto" w:fill="auto"/>
            <w:noWrap/>
            <w:vAlign w:val="center"/>
            <w:hideMark/>
          </w:tcPr>
          <w:p w14:paraId="54875C65" w14:textId="77777777" w:rsidR="00E3750C" w:rsidRPr="004E2CE0" w:rsidRDefault="00E3750C" w:rsidP="00047864">
            <w:pPr>
              <w:spacing w:after="0" w:line="240" w:lineRule="auto"/>
              <w:jc w:val="right"/>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84</w:t>
            </w:r>
          </w:p>
        </w:tc>
        <w:tc>
          <w:tcPr>
            <w:tcW w:w="998" w:type="pct"/>
            <w:tcBorders>
              <w:top w:val="nil"/>
              <w:left w:val="nil"/>
              <w:bottom w:val="single" w:sz="4" w:space="0" w:color="auto"/>
              <w:right w:val="single" w:sz="4" w:space="0" w:color="auto"/>
            </w:tcBorders>
            <w:shd w:val="clear" w:color="auto" w:fill="auto"/>
            <w:noWrap/>
            <w:vAlign w:val="center"/>
            <w:hideMark/>
          </w:tcPr>
          <w:p w14:paraId="67F07079" w14:textId="77777777" w:rsidR="00E3750C" w:rsidRPr="004E2CE0" w:rsidRDefault="00E3750C" w:rsidP="00047864">
            <w:pPr>
              <w:spacing w:after="0" w:line="240" w:lineRule="auto"/>
              <w:jc w:val="right"/>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29.348.769</w:t>
            </w:r>
          </w:p>
        </w:tc>
      </w:tr>
      <w:tr w:rsidR="00E3750C" w:rsidRPr="004E2CE0" w14:paraId="3168526A" w14:textId="77777777" w:rsidTr="00047864">
        <w:trPr>
          <w:trHeight w:val="300"/>
        </w:trPr>
        <w:tc>
          <w:tcPr>
            <w:tcW w:w="746" w:type="pct"/>
            <w:vMerge/>
            <w:tcBorders>
              <w:top w:val="nil"/>
              <w:left w:val="single" w:sz="4" w:space="0" w:color="auto"/>
              <w:bottom w:val="single" w:sz="4" w:space="0" w:color="auto"/>
              <w:right w:val="single" w:sz="4" w:space="0" w:color="auto"/>
            </w:tcBorders>
            <w:vAlign w:val="center"/>
            <w:hideMark/>
          </w:tcPr>
          <w:p w14:paraId="3D62E011" w14:textId="77777777" w:rsidR="00E3750C" w:rsidRPr="004E2CE0" w:rsidRDefault="00E3750C" w:rsidP="00047864">
            <w:pPr>
              <w:spacing w:after="0" w:line="240" w:lineRule="auto"/>
              <w:rPr>
                <w:rFonts w:ascii="Arial" w:eastAsia="Times New Roman" w:hAnsi="Arial" w:cs="Arial"/>
                <w:color w:val="000000"/>
                <w:sz w:val="18"/>
                <w:szCs w:val="18"/>
                <w:lang w:eastAsia="sl-SI"/>
              </w:rPr>
            </w:pPr>
          </w:p>
        </w:tc>
        <w:tc>
          <w:tcPr>
            <w:tcW w:w="2093" w:type="pct"/>
            <w:tcBorders>
              <w:top w:val="nil"/>
              <w:left w:val="nil"/>
              <w:bottom w:val="single" w:sz="4" w:space="0" w:color="auto"/>
              <w:right w:val="single" w:sz="4" w:space="0" w:color="auto"/>
            </w:tcBorders>
            <w:shd w:val="clear" w:color="auto" w:fill="auto"/>
            <w:noWrap/>
            <w:vAlign w:val="center"/>
            <w:hideMark/>
          </w:tcPr>
          <w:p w14:paraId="153ABBC1" w14:textId="77777777" w:rsidR="00E3750C" w:rsidRPr="004E2CE0" w:rsidRDefault="00E3750C" w:rsidP="00047864">
            <w:pPr>
              <w:spacing w:after="0" w:line="240" w:lineRule="auto"/>
              <w:rPr>
                <w:rFonts w:ascii="Arial" w:eastAsia="Times New Roman" w:hAnsi="Arial" w:cs="Arial"/>
                <w:b/>
                <w:bCs/>
                <w:color w:val="000000"/>
                <w:sz w:val="18"/>
                <w:szCs w:val="18"/>
                <w:lang w:eastAsia="sl-SI"/>
              </w:rPr>
            </w:pPr>
            <w:r w:rsidRPr="004E2CE0">
              <w:rPr>
                <w:rFonts w:ascii="Arial" w:eastAsia="Times New Roman" w:hAnsi="Arial" w:cs="Arial"/>
                <w:b/>
                <w:bCs/>
                <w:color w:val="000000"/>
                <w:sz w:val="18"/>
                <w:szCs w:val="18"/>
                <w:lang w:eastAsia="sl-SI"/>
              </w:rPr>
              <w:t>Skupaj</w:t>
            </w:r>
          </w:p>
        </w:tc>
        <w:tc>
          <w:tcPr>
            <w:tcW w:w="669" w:type="pct"/>
            <w:tcBorders>
              <w:top w:val="nil"/>
              <w:left w:val="nil"/>
              <w:bottom w:val="single" w:sz="4" w:space="0" w:color="auto"/>
              <w:right w:val="single" w:sz="4" w:space="0" w:color="auto"/>
            </w:tcBorders>
            <w:shd w:val="clear" w:color="auto" w:fill="auto"/>
            <w:noWrap/>
            <w:vAlign w:val="center"/>
            <w:hideMark/>
          </w:tcPr>
          <w:p w14:paraId="09418AD9" w14:textId="77777777" w:rsidR="00E3750C" w:rsidRPr="004E2CE0" w:rsidRDefault="00E3750C" w:rsidP="00047864">
            <w:pPr>
              <w:spacing w:after="0" w:line="240" w:lineRule="auto"/>
              <w:jc w:val="right"/>
              <w:rPr>
                <w:rFonts w:ascii="Arial" w:eastAsia="Times New Roman" w:hAnsi="Arial" w:cs="Arial"/>
                <w:b/>
                <w:bCs/>
                <w:color w:val="000000"/>
                <w:sz w:val="18"/>
                <w:szCs w:val="18"/>
                <w:lang w:eastAsia="sl-SI"/>
              </w:rPr>
            </w:pPr>
            <w:r w:rsidRPr="004E2CE0">
              <w:rPr>
                <w:rFonts w:ascii="Arial" w:eastAsia="Times New Roman" w:hAnsi="Arial" w:cs="Arial"/>
                <w:b/>
                <w:bCs/>
                <w:color w:val="000000"/>
                <w:sz w:val="18"/>
                <w:szCs w:val="18"/>
                <w:lang w:eastAsia="sl-SI"/>
              </w:rPr>
              <w:t>834</w:t>
            </w:r>
          </w:p>
        </w:tc>
        <w:tc>
          <w:tcPr>
            <w:tcW w:w="494" w:type="pct"/>
            <w:tcBorders>
              <w:top w:val="nil"/>
              <w:left w:val="nil"/>
              <w:bottom w:val="single" w:sz="4" w:space="0" w:color="auto"/>
              <w:right w:val="single" w:sz="4" w:space="0" w:color="auto"/>
            </w:tcBorders>
            <w:shd w:val="clear" w:color="auto" w:fill="auto"/>
            <w:noWrap/>
            <w:vAlign w:val="center"/>
            <w:hideMark/>
          </w:tcPr>
          <w:p w14:paraId="32784EFF" w14:textId="77777777" w:rsidR="00E3750C" w:rsidRPr="004E2CE0" w:rsidRDefault="00E3750C" w:rsidP="00047864">
            <w:pPr>
              <w:spacing w:after="0" w:line="240" w:lineRule="auto"/>
              <w:jc w:val="right"/>
              <w:rPr>
                <w:rFonts w:ascii="Arial" w:eastAsia="Times New Roman" w:hAnsi="Arial" w:cs="Arial"/>
                <w:b/>
                <w:bCs/>
                <w:color w:val="000000"/>
                <w:sz w:val="18"/>
                <w:szCs w:val="18"/>
                <w:lang w:eastAsia="sl-SI"/>
              </w:rPr>
            </w:pPr>
            <w:r w:rsidRPr="004E2CE0">
              <w:rPr>
                <w:rFonts w:ascii="Arial" w:eastAsia="Times New Roman" w:hAnsi="Arial" w:cs="Arial"/>
                <w:b/>
                <w:bCs/>
                <w:color w:val="000000"/>
                <w:sz w:val="18"/>
                <w:szCs w:val="18"/>
                <w:lang w:eastAsia="sl-SI"/>
              </w:rPr>
              <w:t>6.487</w:t>
            </w:r>
          </w:p>
        </w:tc>
        <w:tc>
          <w:tcPr>
            <w:tcW w:w="998" w:type="pct"/>
            <w:tcBorders>
              <w:top w:val="nil"/>
              <w:left w:val="nil"/>
              <w:bottom w:val="single" w:sz="4" w:space="0" w:color="auto"/>
              <w:right w:val="single" w:sz="4" w:space="0" w:color="auto"/>
            </w:tcBorders>
            <w:shd w:val="clear" w:color="auto" w:fill="auto"/>
            <w:noWrap/>
            <w:vAlign w:val="center"/>
            <w:hideMark/>
          </w:tcPr>
          <w:p w14:paraId="4C7B4DE6" w14:textId="77777777" w:rsidR="00E3750C" w:rsidRPr="004E2CE0" w:rsidRDefault="00E3750C" w:rsidP="00047864">
            <w:pPr>
              <w:spacing w:after="0" w:line="240" w:lineRule="auto"/>
              <w:jc w:val="right"/>
              <w:rPr>
                <w:rFonts w:ascii="Arial" w:eastAsia="Times New Roman" w:hAnsi="Arial" w:cs="Arial"/>
                <w:b/>
                <w:bCs/>
                <w:color w:val="000000"/>
                <w:sz w:val="18"/>
                <w:szCs w:val="18"/>
                <w:lang w:eastAsia="sl-SI"/>
              </w:rPr>
            </w:pPr>
            <w:r w:rsidRPr="004E2CE0">
              <w:rPr>
                <w:rFonts w:ascii="Arial" w:eastAsia="Times New Roman" w:hAnsi="Arial" w:cs="Arial"/>
                <w:b/>
                <w:bCs/>
                <w:color w:val="000000"/>
                <w:sz w:val="18"/>
                <w:szCs w:val="18"/>
                <w:lang w:eastAsia="sl-SI"/>
              </w:rPr>
              <w:t>892.653.640</w:t>
            </w:r>
          </w:p>
        </w:tc>
      </w:tr>
      <w:tr w:rsidR="00E3750C" w:rsidRPr="004E2CE0" w14:paraId="4F99ACA3" w14:textId="77777777" w:rsidTr="00047864">
        <w:trPr>
          <w:trHeight w:val="300"/>
        </w:trPr>
        <w:tc>
          <w:tcPr>
            <w:tcW w:w="74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A2E6887" w14:textId="77777777" w:rsidR="00E3750C" w:rsidRPr="004E2CE0" w:rsidRDefault="00E3750C" w:rsidP="00047864">
            <w:pPr>
              <w:spacing w:after="0" w:line="240" w:lineRule="auto"/>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Infrastrukturno</w:t>
            </w:r>
          </w:p>
        </w:tc>
        <w:tc>
          <w:tcPr>
            <w:tcW w:w="2093" w:type="pct"/>
            <w:tcBorders>
              <w:top w:val="nil"/>
              <w:left w:val="nil"/>
              <w:bottom w:val="single" w:sz="4" w:space="0" w:color="auto"/>
              <w:right w:val="single" w:sz="4" w:space="0" w:color="auto"/>
            </w:tcBorders>
            <w:shd w:val="clear" w:color="auto" w:fill="auto"/>
            <w:noWrap/>
            <w:vAlign w:val="center"/>
            <w:hideMark/>
          </w:tcPr>
          <w:p w14:paraId="316CC97A" w14:textId="77777777" w:rsidR="00E3750C" w:rsidRPr="004E2CE0" w:rsidRDefault="00E3750C" w:rsidP="00047864">
            <w:pPr>
              <w:spacing w:after="0" w:line="240" w:lineRule="auto"/>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Odprti postopek</w:t>
            </w:r>
          </w:p>
        </w:tc>
        <w:tc>
          <w:tcPr>
            <w:tcW w:w="669" w:type="pct"/>
            <w:tcBorders>
              <w:top w:val="nil"/>
              <w:left w:val="nil"/>
              <w:bottom w:val="single" w:sz="4" w:space="0" w:color="auto"/>
              <w:right w:val="single" w:sz="4" w:space="0" w:color="auto"/>
            </w:tcBorders>
            <w:shd w:val="clear" w:color="auto" w:fill="auto"/>
            <w:noWrap/>
            <w:vAlign w:val="center"/>
            <w:hideMark/>
          </w:tcPr>
          <w:p w14:paraId="357A1D45" w14:textId="77777777" w:rsidR="00E3750C" w:rsidRPr="004E2CE0" w:rsidRDefault="00E3750C" w:rsidP="00047864">
            <w:pPr>
              <w:spacing w:after="0" w:line="240" w:lineRule="auto"/>
              <w:jc w:val="right"/>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31</w:t>
            </w:r>
          </w:p>
        </w:tc>
        <w:tc>
          <w:tcPr>
            <w:tcW w:w="494" w:type="pct"/>
            <w:tcBorders>
              <w:top w:val="nil"/>
              <w:left w:val="nil"/>
              <w:bottom w:val="single" w:sz="4" w:space="0" w:color="auto"/>
              <w:right w:val="single" w:sz="4" w:space="0" w:color="auto"/>
            </w:tcBorders>
            <w:shd w:val="clear" w:color="auto" w:fill="auto"/>
            <w:noWrap/>
            <w:vAlign w:val="center"/>
            <w:hideMark/>
          </w:tcPr>
          <w:p w14:paraId="28C1B2A4" w14:textId="77777777" w:rsidR="00E3750C" w:rsidRPr="004E2CE0" w:rsidRDefault="00E3750C" w:rsidP="00047864">
            <w:pPr>
              <w:spacing w:after="0" w:line="240" w:lineRule="auto"/>
              <w:jc w:val="right"/>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120</w:t>
            </w:r>
          </w:p>
        </w:tc>
        <w:tc>
          <w:tcPr>
            <w:tcW w:w="998" w:type="pct"/>
            <w:tcBorders>
              <w:top w:val="nil"/>
              <w:left w:val="nil"/>
              <w:bottom w:val="single" w:sz="4" w:space="0" w:color="auto"/>
              <w:right w:val="single" w:sz="4" w:space="0" w:color="auto"/>
            </w:tcBorders>
            <w:shd w:val="clear" w:color="auto" w:fill="auto"/>
            <w:noWrap/>
            <w:vAlign w:val="center"/>
            <w:hideMark/>
          </w:tcPr>
          <w:p w14:paraId="29EEF780" w14:textId="77777777" w:rsidR="00E3750C" w:rsidRPr="004E2CE0" w:rsidRDefault="00E3750C" w:rsidP="00047864">
            <w:pPr>
              <w:spacing w:after="0" w:line="240" w:lineRule="auto"/>
              <w:jc w:val="right"/>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71.537.350</w:t>
            </w:r>
          </w:p>
        </w:tc>
      </w:tr>
      <w:tr w:rsidR="00E3750C" w:rsidRPr="004E2CE0" w14:paraId="03315CF2" w14:textId="77777777" w:rsidTr="00047864">
        <w:trPr>
          <w:trHeight w:val="300"/>
        </w:trPr>
        <w:tc>
          <w:tcPr>
            <w:tcW w:w="746" w:type="pct"/>
            <w:vMerge/>
            <w:tcBorders>
              <w:top w:val="nil"/>
              <w:left w:val="single" w:sz="4" w:space="0" w:color="auto"/>
              <w:bottom w:val="single" w:sz="4" w:space="0" w:color="auto"/>
              <w:right w:val="single" w:sz="4" w:space="0" w:color="auto"/>
            </w:tcBorders>
            <w:vAlign w:val="center"/>
            <w:hideMark/>
          </w:tcPr>
          <w:p w14:paraId="5580B976" w14:textId="77777777" w:rsidR="00E3750C" w:rsidRPr="004E2CE0" w:rsidRDefault="00E3750C" w:rsidP="00047864">
            <w:pPr>
              <w:spacing w:after="0" w:line="240" w:lineRule="auto"/>
              <w:rPr>
                <w:rFonts w:ascii="Arial" w:eastAsia="Times New Roman" w:hAnsi="Arial" w:cs="Arial"/>
                <w:color w:val="000000"/>
                <w:sz w:val="18"/>
                <w:szCs w:val="18"/>
                <w:lang w:eastAsia="sl-SI"/>
              </w:rPr>
            </w:pPr>
          </w:p>
        </w:tc>
        <w:tc>
          <w:tcPr>
            <w:tcW w:w="2093" w:type="pct"/>
            <w:tcBorders>
              <w:top w:val="nil"/>
              <w:left w:val="nil"/>
              <w:bottom w:val="single" w:sz="4" w:space="0" w:color="auto"/>
              <w:right w:val="single" w:sz="4" w:space="0" w:color="auto"/>
            </w:tcBorders>
            <w:shd w:val="clear" w:color="auto" w:fill="auto"/>
            <w:noWrap/>
            <w:vAlign w:val="center"/>
            <w:hideMark/>
          </w:tcPr>
          <w:p w14:paraId="4657D250" w14:textId="77777777" w:rsidR="00E3750C" w:rsidRPr="004E2CE0" w:rsidRDefault="00E3750C" w:rsidP="00047864">
            <w:pPr>
              <w:spacing w:after="0" w:line="240" w:lineRule="auto"/>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Omejeni postopek</w:t>
            </w:r>
          </w:p>
        </w:tc>
        <w:tc>
          <w:tcPr>
            <w:tcW w:w="669" w:type="pct"/>
            <w:tcBorders>
              <w:top w:val="nil"/>
              <w:left w:val="nil"/>
              <w:bottom w:val="single" w:sz="4" w:space="0" w:color="auto"/>
              <w:right w:val="single" w:sz="4" w:space="0" w:color="auto"/>
            </w:tcBorders>
            <w:shd w:val="clear" w:color="auto" w:fill="auto"/>
            <w:noWrap/>
            <w:vAlign w:val="center"/>
            <w:hideMark/>
          </w:tcPr>
          <w:p w14:paraId="322C16DD" w14:textId="77777777" w:rsidR="00E3750C" w:rsidRPr="004E2CE0" w:rsidRDefault="00E3750C" w:rsidP="00047864">
            <w:pPr>
              <w:spacing w:after="0" w:line="240" w:lineRule="auto"/>
              <w:jc w:val="right"/>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1</w:t>
            </w:r>
          </w:p>
        </w:tc>
        <w:tc>
          <w:tcPr>
            <w:tcW w:w="494" w:type="pct"/>
            <w:tcBorders>
              <w:top w:val="nil"/>
              <w:left w:val="nil"/>
              <w:bottom w:val="single" w:sz="4" w:space="0" w:color="auto"/>
              <w:right w:val="single" w:sz="4" w:space="0" w:color="auto"/>
            </w:tcBorders>
            <w:shd w:val="clear" w:color="auto" w:fill="auto"/>
            <w:noWrap/>
            <w:vAlign w:val="center"/>
            <w:hideMark/>
          </w:tcPr>
          <w:p w14:paraId="6075E0EB" w14:textId="77777777" w:rsidR="00E3750C" w:rsidRPr="004E2CE0" w:rsidRDefault="00E3750C" w:rsidP="00047864">
            <w:pPr>
              <w:spacing w:after="0" w:line="240" w:lineRule="auto"/>
              <w:jc w:val="right"/>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9</w:t>
            </w:r>
          </w:p>
        </w:tc>
        <w:tc>
          <w:tcPr>
            <w:tcW w:w="998" w:type="pct"/>
            <w:tcBorders>
              <w:top w:val="nil"/>
              <w:left w:val="nil"/>
              <w:bottom w:val="single" w:sz="4" w:space="0" w:color="auto"/>
              <w:right w:val="single" w:sz="4" w:space="0" w:color="auto"/>
            </w:tcBorders>
            <w:shd w:val="clear" w:color="auto" w:fill="auto"/>
            <w:noWrap/>
            <w:vAlign w:val="center"/>
            <w:hideMark/>
          </w:tcPr>
          <w:p w14:paraId="25427FE6" w14:textId="77777777" w:rsidR="00E3750C" w:rsidRPr="004E2CE0" w:rsidRDefault="00E3750C" w:rsidP="00047864">
            <w:pPr>
              <w:spacing w:after="0" w:line="240" w:lineRule="auto"/>
              <w:jc w:val="right"/>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1.380.000</w:t>
            </w:r>
          </w:p>
        </w:tc>
      </w:tr>
      <w:tr w:rsidR="00E3750C" w:rsidRPr="004E2CE0" w14:paraId="16D7B404" w14:textId="77777777" w:rsidTr="00047864">
        <w:trPr>
          <w:trHeight w:val="300"/>
        </w:trPr>
        <w:tc>
          <w:tcPr>
            <w:tcW w:w="746" w:type="pct"/>
            <w:vMerge/>
            <w:tcBorders>
              <w:top w:val="nil"/>
              <w:left w:val="single" w:sz="4" w:space="0" w:color="auto"/>
              <w:bottom w:val="single" w:sz="4" w:space="0" w:color="auto"/>
              <w:right w:val="single" w:sz="4" w:space="0" w:color="auto"/>
            </w:tcBorders>
            <w:vAlign w:val="center"/>
            <w:hideMark/>
          </w:tcPr>
          <w:p w14:paraId="17C760D8" w14:textId="77777777" w:rsidR="00E3750C" w:rsidRPr="004E2CE0" w:rsidRDefault="00E3750C" w:rsidP="00047864">
            <w:pPr>
              <w:spacing w:after="0" w:line="240" w:lineRule="auto"/>
              <w:rPr>
                <w:rFonts w:ascii="Arial" w:eastAsia="Times New Roman" w:hAnsi="Arial" w:cs="Arial"/>
                <w:color w:val="000000"/>
                <w:sz w:val="18"/>
                <w:szCs w:val="18"/>
                <w:lang w:eastAsia="sl-SI"/>
              </w:rPr>
            </w:pPr>
          </w:p>
        </w:tc>
        <w:tc>
          <w:tcPr>
            <w:tcW w:w="2093" w:type="pct"/>
            <w:tcBorders>
              <w:top w:val="nil"/>
              <w:left w:val="nil"/>
              <w:bottom w:val="single" w:sz="4" w:space="0" w:color="auto"/>
              <w:right w:val="single" w:sz="4" w:space="0" w:color="auto"/>
            </w:tcBorders>
            <w:shd w:val="clear" w:color="auto" w:fill="auto"/>
            <w:noWrap/>
            <w:vAlign w:val="center"/>
            <w:hideMark/>
          </w:tcPr>
          <w:p w14:paraId="56DB0966" w14:textId="77777777" w:rsidR="00E3750C" w:rsidRPr="004E2CE0" w:rsidRDefault="00E3750C" w:rsidP="00047864">
            <w:pPr>
              <w:spacing w:after="0" w:line="240" w:lineRule="auto"/>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Postopek naročila male vrednosti</w:t>
            </w:r>
          </w:p>
        </w:tc>
        <w:tc>
          <w:tcPr>
            <w:tcW w:w="669" w:type="pct"/>
            <w:tcBorders>
              <w:top w:val="nil"/>
              <w:left w:val="nil"/>
              <w:bottom w:val="single" w:sz="4" w:space="0" w:color="auto"/>
              <w:right w:val="single" w:sz="4" w:space="0" w:color="auto"/>
            </w:tcBorders>
            <w:shd w:val="clear" w:color="auto" w:fill="auto"/>
            <w:noWrap/>
            <w:vAlign w:val="center"/>
            <w:hideMark/>
          </w:tcPr>
          <w:p w14:paraId="2C04711D" w14:textId="77777777" w:rsidR="00E3750C" w:rsidRPr="004E2CE0" w:rsidRDefault="00E3750C" w:rsidP="00047864">
            <w:pPr>
              <w:spacing w:after="0" w:line="240" w:lineRule="auto"/>
              <w:jc w:val="right"/>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101</w:t>
            </w:r>
          </w:p>
        </w:tc>
        <w:tc>
          <w:tcPr>
            <w:tcW w:w="494" w:type="pct"/>
            <w:tcBorders>
              <w:top w:val="nil"/>
              <w:left w:val="nil"/>
              <w:bottom w:val="single" w:sz="4" w:space="0" w:color="auto"/>
              <w:right w:val="single" w:sz="4" w:space="0" w:color="auto"/>
            </w:tcBorders>
            <w:shd w:val="clear" w:color="auto" w:fill="auto"/>
            <w:noWrap/>
            <w:vAlign w:val="center"/>
            <w:hideMark/>
          </w:tcPr>
          <w:p w14:paraId="41741DF5" w14:textId="77777777" w:rsidR="00E3750C" w:rsidRPr="004E2CE0" w:rsidRDefault="00E3750C" w:rsidP="00047864">
            <w:pPr>
              <w:spacing w:after="0" w:line="240" w:lineRule="auto"/>
              <w:jc w:val="right"/>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209</w:t>
            </w:r>
          </w:p>
        </w:tc>
        <w:tc>
          <w:tcPr>
            <w:tcW w:w="998" w:type="pct"/>
            <w:tcBorders>
              <w:top w:val="nil"/>
              <w:left w:val="nil"/>
              <w:bottom w:val="single" w:sz="4" w:space="0" w:color="auto"/>
              <w:right w:val="single" w:sz="4" w:space="0" w:color="auto"/>
            </w:tcBorders>
            <w:shd w:val="clear" w:color="auto" w:fill="auto"/>
            <w:noWrap/>
            <w:vAlign w:val="center"/>
            <w:hideMark/>
          </w:tcPr>
          <w:p w14:paraId="1EAE113B" w14:textId="77777777" w:rsidR="00E3750C" w:rsidRPr="004E2CE0" w:rsidRDefault="00E3750C" w:rsidP="00047864">
            <w:pPr>
              <w:spacing w:after="0" w:line="240" w:lineRule="auto"/>
              <w:jc w:val="right"/>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18.768.559</w:t>
            </w:r>
          </w:p>
        </w:tc>
      </w:tr>
      <w:tr w:rsidR="00E3750C" w:rsidRPr="004E2CE0" w14:paraId="6773962C" w14:textId="77777777" w:rsidTr="00047864">
        <w:trPr>
          <w:trHeight w:val="300"/>
        </w:trPr>
        <w:tc>
          <w:tcPr>
            <w:tcW w:w="746" w:type="pct"/>
            <w:vMerge/>
            <w:tcBorders>
              <w:top w:val="nil"/>
              <w:left w:val="single" w:sz="4" w:space="0" w:color="auto"/>
              <w:bottom w:val="single" w:sz="4" w:space="0" w:color="auto"/>
              <w:right w:val="single" w:sz="4" w:space="0" w:color="auto"/>
            </w:tcBorders>
            <w:vAlign w:val="center"/>
            <w:hideMark/>
          </w:tcPr>
          <w:p w14:paraId="6C21BE0A" w14:textId="77777777" w:rsidR="00E3750C" w:rsidRPr="004E2CE0" w:rsidRDefault="00E3750C" w:rsidP="00047864">
            <w:pPr>
              <w:spacing w:after="0" w:line="240" w:lineRule="auto"/>
              <w:rPr>
                <w:rFonts w:ascii="Arial" w:eastAsia="Times New Roman" w:hAnsi="Arial" w:cs="Arial"/>
                <w:color w:val="000000"/>
                <w:sz w:val="18"/>
                <w:szCs w:val="18"/>
                <w:lang w:eastAsia="sl-SI"/>
              </w:rPr>
            </w:pPr>
          </w:p>
        </w:tc>
        <w:tc>
          <w:tcPr>
            <w:tcW w:w="2093" w:type="pct"/>
            <w:tcBorders>
              <w:top w:val="nil"/>
              <w:left w:val="nil"/>
              <w:bottom w:val="single" w:sz="4" w:space="0" w:color="auto"/>
              <w:right w:val="single" w:sz="4" w:space="0" w:color="auto"/>
            </w:tcBorders>
            <w:shd w:val="clear" w:color="auto" w:fill="auto"/>
            <w:noWrap/>
            <w:vAlign w:val="center"/>
            <w:hideMark/>
          </w:tcPr>
          <w:p w14:paraId="65847580" w14:textId="77777777" w:rsidR="00E3750C" w:rsidRPr="004E2CE0" w:rsidRDefault="00E3750C" w:rsidP="00047864">
            <w:pPr>
              <w:spacing w:after="0" w:line="240" w:lineRule="auto"/>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Postopek s pogajanji brez predhodne objave</w:t>
            </w:r>
          </w:p>
        </w:tc>
        <w:tc>
          <w:tcPr>
            <w:tcW w:w="669" w:type="pct"/>
            <w:tcBorders>
              <w:top w:val="nil"/>
              <w:left w:val="nil"/>
              <w:bottom w:val="single" w:sz="4" w:space="0" w:color="auto"/>
              <w:right w:val="single" w:sz="4" w:space="0" w:color="auto"/>
            </w:tcBorders>
            <w:shd w:val="clear" w:color="auto" w:fill="auto"/>
            <w:noWrap/>
            <w:vAlign w:val="center"/>
            <w:hideMark/>
          </w:tcPr>
          <w:p w14:paraId="259C90AF" w14:textId="77777777" w:rsidR="00E3750C" w:rsidRPr="004E2CE0" w:rsidRDefault="00E3750C" w:rsidP="00047864">
            <w:pPr>
              <w:spacing w:after="0" w:line="240" w:lineRule="auto"/>
              <w:jc w:val="right"/>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8</w:t>
            </w:r>
          </w:p>
        </w:tc>
        <w:tc>
          <w:tcPr>
            <w:tcW w:w="494" w:type="pct"/>
            <w:tcBorders>
              <w:top w:val="nil"/>
              <w:left w:val="nil"/>
              <w:bottom w:val="single" w:sz="4" w:space="0" w:color="auto"/>
              <w:right w:val="single" w:sz="4" w:space="0" w:color="auto"/>
            </w:tcBorders>
            <w:shd w:val="clear" w:color="auto" w:fill="auto"/>
            <w:noWrap/>
            <w:vAlign w:val="center"/>
            <w:hideMark/>
          </w:tcPr>
          <w:p w14:paraId="0267539C" w14:textId="77777777" w:rsidR="00E3750C" w:rsidRPr="004E2CE0" w:rsidRDefault="00E3750C" w:rsidP="00047864">
            <w:pPr>
              <w:spacing w:after="0" w:line="240" w:lineRule="auto"/>
              <w:jc w:val="right"/>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11</w:t>
            </w:r>
          </w:p>
        </w:tc>
        <w:tc>
          <w:tcPr>
            <w:tcW w:w="998" w:type="pct"/>
            <w:tcBorders>
              <w:top w:val="nil"/>
              <w:left w:val="nil"/>
              <w:bottom w:val="single" w:sz="4" w:space="0" w:color="auto"/>
              <w:right w:val="single" w:sz="4" w:space="0" w:color="auto"/>
            </w:tcBorders>
            <w:shd w:val="clear" w:color="auto" w:fill="auto"/>
            <w:noWrap/>
            <w:vAlign w:val="center"/>
            <w:hideMark/>
          </w:tcPr>
          <w:p w14:paraId="50FF2677" w14:textId="77777777" w:rsidR="00E3750C" w:rsidRPr="004E2CE0" w:rsidRDefault="00E3750C" w:rsidP="00047864">
            <w:pPr>
              <w:spacing w:after="0" w:line="240" w:lineRule="auto"/>
              <w:jc w:val="right"/>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13.128.729</w:t>
            </w:r>
          </w:p>
        </w:tc>
      </w:tr>
      <w:tr w:rsidR="00E3750C" w:rsidRPr="004E2CE0" w14:paraId="50DC8F06" w14:textId="77777777" w:rsidTr="00047864">
        <w:trPr>
          <w:trHeight w:val="300"/>
        </w:trPr>
        <w:tc>
          <w:tcPr>
            <w:tcW w:w="746" w:type="pct"/>
            <w:vMerge/>
            <w:tcBorders>
              <w:top w:val="nil"/>
              <w:left w:val="single" w:sz="4" w:space="0" w:color="auto"/>
              <w:bottom w:val="single" w:sz="4" w:space="0" w:color="auto"/>
              <w:right w:val="single" w:sz="4" w:space="0" w:color="auto"/>
            </w:tcBorders>
            <w:vAlign w:val="center"/>
            <w:hideMark/>
          </w:tcPr>
          <w:p w14:paraId="5854F8E3" w14:textId="77777777" w:rsidR="00E3750C" w:rsidRPr="004E2CE0" w:rsidRDefault="00E3750C" w:rsidP="00047864">
            <w:pPr>
              <w:spacing w:after="0" w:line="240" w:lineRule="auto"/>
              <w:rPr>
                <w:rFonts w:ascii="Arial" w:eastAsia="Times New Roman" w:hAnsi="Arial" w:cs="Arial"/>
                <w:color w:val="000000"/>
                <w:sz w:val="18"/>
                <w:szCs w:val="18"/>
                <w:lang w:eastAsia="sl-SI"/>
              </w:rPr>
            </w:pPr>
          </w:p>
        </w:tc>
        <w:tc>
          <w:tcPr>
            <w:tcW w:w="2093" w:type="pct"/>
            <w:tcBorders>
              <w:top w:val="nil"/>
              <w:left w:val="nil"/>
              <w:bottom w:val="single" w:sz="4" w:space="0" w:color="auto"/>
              <w:right w:val="single" w:sz="4" w:space="0" w:color="auto"/>
            </w:tcBorders>
            <w:shd w:val="clear" w:color="auto" w:fill="auto"/>
            <w:noWrap/>
            <w:vAlign w:val="center"/>
            <w:hideMark/>
          </w:tcPr>
          <w:p w14:paraId="4EDD13AD" w14:textId="77777777" w:rsidR="00E3750C" w:rsidRPr="004E2CE0" w:rsidRDefault="00E3750C" w:rsidP="00047864">
            <w:pPr>
              <w:spacing w:after="0" w:line="240" w:lineRule="auto"/>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Postopek s pogajanji po predhodni objavi</w:t>
            </w:r>
          </w:p>
        </w:tc>
        <w:tc>
          <w:tcPr>
            <w:tcW w:w="669" w:type="pct"/>
            <w:tcBorders>
              <w:top w:val="nil"/>
              <w:left w:val="nil"/>
              <w:bottom w:val="single" w:sz="4" w:space="0" w:color="auto"/>
              <w:right w:val="single" w:sz="4" w:space="0" w:color="auto"/>
            </w:tcBorders>
            <w:shd w:val="clear" w:color="auto" w:fill="auto"/>
            <w:noWrap/>
            <w:vAlign w:val="center"/>
            <w:hideMark/>
          </w:tcPr>
          <w:p w14:paraId="1248AD51" w14:textId="77777777" w:rsidR="00E3750C" w:rsidRPr="004E2CE0" w:rsidRDefault="00E3750C" w:rsidP="00047864">
            <w:pPr>
              <w:spacing w:after="0" w:line="240" w:lineRule="auto"/>
              <w:jc w:val="right"/>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22</w:t>
            </w:r>
          </w:p>
        </w:tc>
        <w:tc>
          <w:tcPr>
            <w:tcW w:w="494" w:type="pct"/>
            <w:tcBorders>
              <w:top w:val="nil"/>
              <w:left w:val="nil"/>
              <w:bottom w:val="single" w:sz="4" w:space="0" w:color="auto"/>
              <w:right w:val="single" w:sz="4" w:space="0" w:color="auto"/>
            </w:tcBorders>
            <w:shd w:val="clear" w:color="auto" w:fill="auto"/>
            <w:noWrap/>
            <w:vAlign w:val="center"/>
            <w:hideMark/>
          </w:tcPr>
          <w:p w14:paraId="092DAB42" w14:textId="77777777" w:rsidR="00E3750C" w:rsidRPr="004E2CE0" w:rsidRDefault="00E3750C" w:rsidP="00047864">
            <w:pPr>
              <w:spacing w:after="0" w:line="240" w:lineRule="auto"/>
              <w:jc w:val="right"/>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34</w:t>
            </w:r>
          </w:p>
        </w:tc>
        <w:tc>
          <w:tcPr>
            <w:tcW w:w="998" w:type="pct"/>
            <w:tcBorders>
              <w:top w:val="nil"/>
              <w:left w:val="nil"/>
              <w:bottom w:val="single" w:sz="4" w:space="0" w:color="auto"/>
              <w:right w:val="single" w:sz="4" w:space="0" w:color="auto"/>
            </w:tcBorders>
            <w:shd w:val="clear" w:color="auto" w:fill="auto"/>
            <w:noWrap/>
            <w:vAlign w:val="center"/>
            <w:hideMark/>
          </w:tcPr>
          <w:p w14:paraId="380FCA9C" w14:textId="77777777" w:rsidR="00E3750C" w:rsidRPr="004E2CE0" w:rsidRDefault="00E3750C" w:rsidP="00047864">
            <w:pPr>
              <w:spacing w:after="0" w:line="240" w:lineRule="auto"/>
              <w:jc w:val="right"/>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95.251.547</w:t>
            </w:r>
          </w:p>
        </w:tc>
      </w:tr>
      <w:tr w:rsidR="00E3750C" w:rsidRPr="004E2CE0" w14:paraId="7A00A53C" w14:textId="77777777" w:rsidTr="00047864">
        <w:trPr>
          <w:trHeight w:val="300"/>
        </w:trPr>
        <w:tc>
          <w:tcPr>
            <w:tcW w:w="746" w:type="pct"/>
            <w:vMerge/>
            <w:tcBorders>
              <w:top w:val="nil"/>
              <w:left w:val="single" w:sz="4" w:space="0" w:color="auto"/>
              <w:bottom w:val="single" w:sz="4" w:space="0" w:color="auto"/>
              <w:right w:val="single" w:sz="4" w:space="0" w:color="auto"/>
            </w:tcBorders>
            <w:vAlign w:val="center"/>
            <w:hideMark/>
          </w:tcPr>
          <w:p w14:paraId="3867B68B" w14:textId="77777777" w:rsidR="00E3750C" w:rsidRPr="004E2CE0" w:rsidRDefault="00E3750C" w:rsidP="00047864">
            <w:pPr>
              <w:spacing w:after="0" w:line="240" w:lineRule="auto"/>
              <w:rPr>
                <w:rFonts w:ascii="Arial" w:eastAsia="Times New Roman" w:hAnsi="Arial" w:cs="Arial"/>
                <w:color w:val="000000"/>
                <w:sz w:val="18"/>
                <w:szCs w:val="18"/>
                <w:lang w:eastAsia="sl-SI"/>
              </w:rPr>
            </w:pPr>
          </w:p>
        </w:tc>
        <w:tc>
          <w:tcPr>
            <w:tcW w:w="2093" w:type="pct"/>
            <w:tcBorders>
              <w:top w:val="nil"/>
              <w:left w:val="nil"/>
              <w:bottom w:val="single" w:sz="4" w:space="0" w:color="auto"/>
              <w:right w:val="single" w:sz="4" w:space="0" w:color="auto"/>
            </w:tcBorders>
            <w:shd w:val="clear" w:color="auto" w:fill="auto"/>
            <w:noWrap/>
            <w:vAlign w:val="center"/>
            <w:hideMark/>
          </w:tcPr>
          <w:p w14:paraId="7DD2B268" w14:textId="77777777" w:rsidR="00E3750C" w:rsidRPr="004E2CE0" w:rsidRDefault="00E3750C" w:rsidP="00047864">
            <w:pPr>
              <w:spacing w:after="0" w:line="240" w:lineRule="auto"/>
              <w:rPr>
                <w:rFonts w:ascii="Arial" w:eastAsia="Times New Roman" w:hAnsi="Arial" w:cs="Arial"/>
                <w:b/>
                <w:bCs/>
                <w:color w:val="000000"/>
                <w:sz w:val="18"/>
                <w:szCs w:val="18"/>
                <w:lang w:eastAsia="sl-SI"/>
              </w:rPr>
            </w:pPr>
            <w:r w:rsidRPr="004E2CE0">
              <w:rPr>
                <w:rFonts w:ascii="Arial" w:eastAsia="Times New Roman" w:hAnsi="Arial" w:cs="Arial"/>
                <w:b/>
                <w:bCs/>
                <w:color w:val="000000"/>
                <w:sz w:val="18"/>
                <w:szCs w:val="18"/>
                <w:lang w:eastAsia="sl-SI"/>
              </w:rPr>
              <w:t>Skupaj</w:t>
            </w:r>
          </w:p>
        </w:tc>
        <w:tc>
          <w:tcPr>
            <w:tcW w:w="669" w:type="pct"/>
            <w:tcBorders>
              <w:top w:val="nil"/>
              <w:left w:val="nil"/>
              <w:bottom w:val="single" w:sz="4" w:space="0" w:color="auto"/>
              <w:right w:val="single" w:sz="4" w:space="0" w:color="auto"/>
            </w:tcBorders>
            <w:shd w:val="clear" w:color="auto" w:fill="auto"/>
            <w:noWrap/>
            <w:vAlign w:val="center"/>
            <w:hideMark/>
          </w:tcPr>
          <w:p w14:paraId="17133DAA" w14:textId="77777777" w:rsidR="00E3750C" w:rsidRPr="004E2CE0" w:rsidRDefault="00E3750C" w:rsidP="00047864">
            <w:pPr>
              <w:spacing w:after="0" w:line="240" w:lineRule="auto"/>
              <w:jc w:val="right"/>
              <w:rPr>
                <w:rFonts w:ascii="Arial" w:eastAsia="Times New Roman" w:hAnsi="Arial" w:cs="Arial"/>
                <w:b/>
                <w:bCs/>
                <w:color w:val="000000"/>
                <w:sz w:val="18"/>
                <w:szCs w:val="18"/>
                <w:lang w:eastAsia="sl-SI"/>
              </w:rPr>
            </w:pPr>
            <w:r w:rsidRPr="004E2CE0">
              <w:rPr>
                <w:rFonts w:ascii="Arial" w:eastAsia="Times New Roman" w:hAnsi="Arial" w:cs="Arial"/>
                <w:b/>
                <w:bCs/>
                <w:color w:val="000000"/>
                <w:sz w:val="18"/>
                <w:szCs w:val="18"/>
                <w:lang w:eastAsia="sl-SI"/>
              </w:rPr>
              <w:t>163</w:t>
            </w:r>
          </w:p>
        </w:tc>
        <w:tc>
          <w:tcPr>
            <w:tcW w:w="494" w:type="pct"/>
            <w:tcBorders>
              <w:top w:val="nil"/>
              <w:left w:val="nil"/>
              <w:bottom w:val="single" w:sz="4" w:space="0" w:color="auto"/>
              <w:right w:val="single" w:sz="4" w:space="0" w:color="auto"/>
            </w:tcBorders>
            <w:shd w:val="clear" w:color="auto" w:fill="auto"/>
            <w:noWrap/>
            <w:vAlign w:val="center"/>
            <w:hideMark/>
          </w:tcPr>
          <w:p w14:paraId="58315C3A" w14:textId="77777777" w:rsidR="00E3750C" w:rsidRPr="004E2CE0" w:rsidRDefault="00E3750C" w:rsidP="00047864">
            <w:pPr>
              <w:spacing w:after="0" w:line="240" w:lineRule="auto"/>
              <w:jc w:val="right"/>
              <w:rPr>
                <w:rFonts w:ascii="Arial" w:eastAsia="Times New Roman" w:hAnsi="Arial" w:cs="Arial"/>
                <w:b/>
                <w:bCs/>
                <w:color w:val="000000"/>
                <w:sz w:val="18"/>
                <w:szCs w:val="18"/>
                <w:lang w:eastAsia="sl-SI"/>
              </w:rPr>
            </w:pPr>
            <w:r w:rsidRPr="004E2CE0">
              <w:rPr>
                <w:rFonts w:ascii="Arial" w:eastAsia="Times New Roman" w:hAnsi="Arial" w:cs="Arial"/>
                <w:b/>
                <w:bCs/>
                <w:color w:val="000000"/>
                <w:sz w:val="18"/>
                <w:szCs w:val="18"/>
                <w:lang w:eastAsia="sl-SI"/>
              </w:rPr>
              <w:t>383</w:t>
            </w:r>
          </w:p>
        </w:tc>
        <w:tc>
          <w:tcPr>
            <w:tcW w:w="998" w:type="pct"/>
            <w:tcBorders>
              <w:top w:val="nil"/>
              <w:left w:val="nil"/>
              <w:bottom w:val="single" w:sz="4" w:space="0" w:color="auto"/>
              <w:right w:val="single" w:sz="4" w:space="0" w:color="auto"/>
            </w:tcBorders>
            <w:shd w:val="clear" w:color="auto" w:fill="auto"/>
            <w:noWrap/>
            <w:vAlign w:val="center"/>
            <w:hideMark/>
          </w:tcPr>
          <w:p w14:paraId="78AC031F" w14:textId="77777777" w:rsidR="00E3750C" w:rsidRPr="004E2CE0" w:rsidRDefault="00E3750C" w:rsidP="00047864">
            <w:pPr>
              <w:spacing w:after="0" w:line="240" w:lineRule="auto"/>
              <w:jc w:val="right"/>
              <w:rPr>
                <w:rFonts w:ascii="Arial" w:eastAsia="Times New Roman" w:hAnsi="Arial" w:cs="Arial"/>
                <w:b/>
                <w:bCs/>
                <w:color w:val="000000"/>
                <w:sz w:val="18"/>
                <w:szCs w:val="18"/>
                <w:lang w:eastAsia="sl-SI"/>
              </w:rPr>
            </w:pPr>
            <w:r w:rsidRPr="004E2CE0">
              <w:rPr>
                <w:rFonts w:ascii="Arial" w:eastAsia="Times New Roman" w:hAnsi="Arial" w:cs="Arial"/>
                <w:b/>
                <w:bCs/>
                <w:color w:val="000000"/>
                <w:sz w:val="18"/>
                <w:szCs w:val="18"/>
                <w:lang w:eastAsia="sl-SI"/>
              </w:rPr>
              <w:t>200.066.185</w:t>
            </w:r>
          </w:p>
        </w:tc>
      </w:tr>
      <w:tr w:rsidR="00E3750C" w:rsidRPr="004E2CE0" w14:paraId="30BF8A43" w14:textId="77777777" w:rsidTr="00047864">
        <w:trPr>
          <w:trHeight w:val="300"/>
        </w:trPr>
        <w:tc>
          <w:tcPr>
            <w:tcW w:w="74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5CFDB12" w14:textId="77777777" w:rsidR="00E3750C" w:rsidRPr="004E2CE0" w:rsidRDefault="00E3750C" w:rsidP="00047864">
            <w:pPr>
              <w:spacing w:after="0" w:line="240" w:lineRule="auto"/>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Obrambno</w:t>
            </w:r>
          </w:p>
        </w:tc>
        <w:tc>
          <w:tcPr>
            <w:tcW w:w="2093" w:type="pct"/>
            <w:tcBorders>
              <w:top w:val="nil"/>
              <w:left w:val="nil"/>
              <w:bottom w:val="single" w:sz="4" w:space="0" w:color="auto"/>
              <w:right w:val="single" w:sz="4" w:space="0" w:color="auto"/>
            </w:tcBorders>
            <w:shd w:val="clear" w:color="auto" w:fill="auto"/>
            <w:noWrap/>
            <w:vAlign w:val="center"/>
            <w:hideMark/>
          </w:tcPr>
          <w:p w14:paraId="12140727" w14:textId="77777777" w:rsidR="00E3750C" w:rsidRPr="004E2CE0" w:rsidRDefault="00E3750C" w:rsidP="00047864">
            <w:pPr>
              <w:spacing w:after="0" w:line="240" w:lineRule="auto"/>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Postopek s pogajanji brez predhodne objave</w:t>
            </w:r>
          </w:p>
        </w:tc>
        <w:tc>
          <w:tcPr>
            <w:tcW w:w="669" w:type="pct"/>
            <w:tcBorders>
              <w:top w:val="nil"/>
              <w:left w:val="nil"/>
              <w:bottom w:val="single" w:sz="4" w:space="0" w:color="auto"/>
              <w:right w:val="single" w:sz="4" w:space="0" w:color="auto"/>
            </w:tcBorders>
            <w:shd w:val="clear" w:color="auto" w:fill="auto"/>
            <w:noWrap/>
            <w:vAlign w:val="center"/>
            <w:hideMark/>
          </w:tcPr>
          <w:p w14:paraId="25630CD4" w14:textId="77777777" w:rsidR="00E3750C" w:rsidRPr="004E2CE0" w:rsidRDefault="00E3750C" w:rsidP="00047864">
            <w:pPr>
              <w:spacing w:after="0" w:line="240" w:lineRule="auto"/>
              <w:jc w:val="right"/>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2</w:t>
            </w:r>
          </w:p>
        </w:tc>
        <w:tc>
          <w:tcPr>
            <w:tcW w:w="494" w:type="pct"/>
            <w:tcBorders>
              <w:top w:val="nil"/>
              <w:left w:val="nil"/>
              <w:bottom w:val="single" w:sz="4" w:space="0" w:color="auto"/>
              <w:right w:val="single" w:sz="4" w:space="0" w:color="auto"/>
            </w:tcBorders>
            <w:shd w:val="clear" w:color="auto" w:fill="auto"/>
            <w:noWrap/>
            <w:vAlign w:val="center"/>
            <w:hideMark/>
          </w:tcPr>
          <w:p w14:paraId="63EFFA8E" w14:textId="77777777" w:rsidR="00E3750C" w:rsidRPr="004E2CE0" w:rsidRDefault="00E3750C" w:rsidP="00047864">
            <w:pPr>
              <w:spacing w:after="0" w:line="240" w:lineRule="auto"/>
              <w:jc w:val="right"/>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2</w:t>
            </w:r>
          </w:p>
        </w:tc>
        <w:tc>
          <w:tcPr>
            <w:tcW w:w="998" w:type="pct"/>
            <w:tcBorders>
              <w:top w:val="nil"/>
              <w:left w:val="nil"/>
              <w:bottom w:val="single" w:sz="4" w:space="0" w:color="auto"/>
              <w:right w:val="single" w:sz="4" w:space="0" w:color="auto"/>
            </w:tcBorders>
            <w:shd w:val="clear" w:color="auto" w:fill="auto"/>
            <w:noWrap/>
            <w:vAlign w:val="center"/>
            <w:hideMark/>
          </w:tcPr>
          <w:p w14:paraId="086BF5C0" w14:textId="77777777" w:rsidR="00E3750C" w:rsidRPr="004E2CE0" w:rsidRDefault="00E3750C" w:rsidP="00047864">
            <w:pPr>
              <w:spacing w:after="0" w:line="240" w:lineRule="auto"/>
              <w:jc w:val="right"/>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1.048.480</w:t>
            </w:r>
          </w:p>
        </w:tc>
      </w:tr>
      <w:tr w:rsidR="00E3750C" w:rsidRPr="004E2CE0" w14:paraId="79DC8CBE" w14:textId="77777777" w:rsidTr="00047864">
        <w:trPr>
          <w:trHeight w:val="300"/>
        </w:trPr>
        <w:tc>
          <w:tcPr>
            <w:tcW w:w="746" w:type="pct"/>
            <w:vMerge/>
            <w:tcBorders>
              <w:top w:val="nil"/>
              <w:left w:val="single" w:sz="4" w:space="0" w:color="auto"/>
              <w:bottom w:val="single" w:sz="4" w:space="0" w:color="auto"/>
              <w:right w:val="single" w:sz="4" w:space="0" w:color="auto"/>
            </w:tcBorders>
            <w:vAlign w:val="center"/>
            <w:hideMark/>
          </w:tcPr>
          <w:p w14:paraId="3F27F911" w14:textId="77777777" w:rsidR="00E3750C" w:rsidRPr="004E2CE0" w:rsidRDefault="00E3750C" w:rsidP="00047864">
            <w:pPr>
              <w:spacing w:after="0" w:line="240" w:lineRule="auto"/>
              <w:rPr>
                <w:rFonts w:ascii="Arial" w:eastAsia="Times New Roman" w:hAnsi="Arial" w:cs="Arial"/>
                <w:color w:val="000000"/>
                <w:sz w:val="18"/>
                <w:szCs w:val="18"/>
                <w:lang w:eastAsia="sl-SI"/>
              </w:rPr>
            </w:pPr>
          </w:p>
        </w:tc>
        <w:tc>
          <w:tcPr>
            <w:tcW w:w="2093" w:type="pct"/>
            <w:tcBorders>
              <w:top w:val="nil"/>
              <w:left w:val="nil"/>
              <w:bottom w:val="single" w:sz="4" w:space="0" w:color="auto"/>
              <w:right w:val="single" w:sz="4" w:space="0" w:color="auto"/>
            </w:tcBorders>
            <w:shd w:val="clear" w:color="auto" w:fill="auto"/>
            <w:noWrap/>
            <w:vAlign w:val="center"/>
            <w:hideMark/>
          </w:tcPr>
          <w:p w14:paraId="7B8ADB03" w14:textId="77777777" w:rsidR="00E3750C" w:rsidRPr="004E2CE0" w:rsidRDefault="00E3750C" w:rsidP="00047864">
            <w:pPr>
              <w:spacing w:after="0" w:line="240" w:lineRule="auto"/>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Postopek s pogajanji po predhodni objavi</w:t>
            </w:r>
          </w:p>
        </w:tc>
        <w:tc>
          <w:tcPr>
            <w:tcW w:w="669" w:type="pct"/>
            <w:tcBorders>
              <w:top w:val="nil"/>
              <w:left w:val="nil"/>
              <w:bottom w:val="single" w:sz="4" w:space="0" w:color="auto"/>
              <w:right w:val="single" w:sz="4" w:space="0" w:color="auto"/>
            </w:tcBorders>
            <w:shd w:val="clear" w:color="auto" w:fill="auto"/>
            <w:noWrap/>
            <w:vAlign w:val="center"/>
            <w:hideMark/>
          </w:tcPr>
          <w:p w14:paraId="1900FA21" w14:textId="77777777" w:rsidR="00E3750C" w:rsidRPr="004E2CE0" w:rsidRDefault="00E3750C" w:rsidP="00047864">
            <w:pPr>
              <w:spacing w:after="0" w:line="240" w:lineRule="auto"/>
              <w:jc w:val="right"/>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1</w:t>
            </w:r>
          </w:p>
        </w:tc>
        <w:tc>
          <w:tcPr>
            <w:tcW w:w="494" w:type="pct"/>
            <w:tcBorders>
              <w:top w:val="nil"/>
              <w:left w:val="nil"/>
              <w:bottom w:val="single" w:sz="4" w:space="0" w:color="auto"/>
              <w:right w:val="single" w:sz="4" w:space="0" w:color="auto"/>
            </w:tcBorders>
            <w:shd w:val="clear" w:color="auto" w:fill="auto"/>
            <w:noWrap/>
            <w:vAlign w:val="center"/>
            <w:hideMark/>
          </w:tcPr>
          <w:p w14:paraId="5588772A" w14:textId="77777777" w:rsidR="00E3750C" w:rsidRPr="004E2CE0" w:rsidRDefault="00E3750C" w:rsidP="00047864">
            <w:pPr>
              <w:spacing w:after="0" w:line="240" w:lineRule="auto"/>
              <w:jc w:val="right"/>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3</w:t>
            </w:r>
          </w:p>
        </w:tc>
        <w:tc>
          <w:tcPr>
            <w:tcW w:w="998" w:type="pct"/>
            <w:tcBorders>
              <w:top w:val="nil"/>
              <w:left w:val="nil"/>
              <w:bottom w:val="single" w:sz="4" w:space="0" w:color="auto"/>
              <w:right w:val="single" w:sz="4" w:space="0" w:color="auto"/>
            </w:tcBorders>
            <w:shd w:val="clear" w:color="auto" w:fill="auto"/>
            <w:noWrap/>
            <w:vAlign w:val="center"/>
            <w:hideMark/>
          </w:tcPr>
          <w:p w14:paraId="6F50626B" w14:textId="77777777" w:rsidR="00E3750C" w:rsidRPr="004E2CE0" w:rsidRDefault="00E3750C" w:rsidP="00047864">
            <w:pPr>
              <w:spacing w:after="0" w:line="240" w:lineRule="auto"/>
              <w:jc w:val="right"/>
              <w:rPr>
                <w:rFonts w:ascii="Arial" w:eastAsia="Times New Roman" w:hAnsi="Arial" w:cs="Arial"/>
                <w:color w:val="000000"/>
                <w:sz w:val="18"/>
                <w:szCs w:val="18"/>
                <w:lang w:eastAsia="sl-SI"/>
              </w:rPr>
            </w:pPr>
            <w:r w:rsidRPr="004E2CE0">
              <w:rPr>
                <w:rFonts w:ascii="Arial" w:eastAsia="Times New Roman" w:hAnsi="Arial" w:cs="Arial"/>
                <w:color w:val="000000"/>
                <w:sz w:val="18"/>
                <w:szCs w:val="18"/>
                <w:lang w:eastAsia="sl-SI"/>
              </w:rPr>
              <w:t>587.000</w:t>
            </w:r>
          </w:p>
        </w:tc>
      </w:tr>
      <w:tr w:rsidR="00E3750C" w:rsidRPr="004E2CE0" w14:paraId="3C9FB138" w14:textId="77777777" w:rsidTr="00047864">
        <w:trPr>
          <w:trHeight w:val="300"/>
        </w:trPr>
        <w:tc>
          <w:tcPr>
            <w:tcW w:w="746" w:type="pct"/>
            <w:vMerge/>
            <w:tcBorders>
              <w:top w:val="nil"/>
              <w:left w:val="single" w:sz="4" w:space="0" w:color="auto"/>
              <w:bottom w:val="single" w:sz="4" w:space="0" w:color="auto"/>
              <w:right w:val="single" w:sz="4" w:space="0" w:color="auto"/>
            </w:tcBorders>
            <w:vAlign w:val="center"/>
            <w:hideMark/>
          </w:tcPr>
          <w:p w14:paraId="1D104831" w14:textId="77777777" w:rsidR="00E3750C" w:rsidRPr="004E2CE0" w:rsidRDefault="00E3750C" w:rsidP="00047864">
            <w:pPr>
              <w:spacing w:after="0" w:line="240" w:lineRule="auto"/>
              <w:rPr>
                <w:rFonts w:ascii="Arial" w:eastAsia="Times New Roman" w:hAnsi="Arial" w:cs="Arial"/>
                <w:color w:val="000000"/>
                <w:sz w:val="18"/>
                <w:szCs w:val="18"/>
                <w:lang w:eastAsia="sl-SI"/>
              </w:rPr>
            </w:pPr>
          </w:p>
        </w:tc>
        <w:tc>
          <w:tcPr>
            <w:tcW w:w="2093" w:type="pct"/>
            <w:tcBorders>
              <w:top w:val="nil"/>
              <w:left w:val="nil"/>
              <w:bottom w:val="single" w:sz="4" w:space="0" w:color="auto"/>
              <w:right w:val="single" w:sz="4" w:space="0" w:color="auto"/>
            </w:tcBorders>
            <w:shd w:val="clear" w:color="auto" w:fill="auto"/>
            <w:noWrap/>
            <w:vAlign w:val="center"/>
            <w:hideMark/>
          </w:tcPr>
          <w:p w14:paraId="14AE3A53" w14:textId="77777777" w:rsidR="00E3750C" w:rsidRPr="004E2CE0" w:rsidRDefault="00E3750C" w:rsidP="00047864">
            <w:pPr>
              <w:spacing w:after="0" w:line="240" w:lineRule="auto"/>
              <w:rPr>
                <w:rFonts w:ascii="Arial" w:eastAsia="Times New Roman" w:hAnsi="Arial" w:cs="Arial"/>
                <w:b/>
                <w:bCs/>
                <w:color w:val="000000"/>
                <w:sz w:val="18"/>
                <w:szCs w:val="18"/>
                <w:lang w:eastAsia="sl-SI"/>
              </w:rPr>
            </w:pPr>
            <w:r w:rsidRPr="004E2CE0">
              <w:rPr>
                <w:rFonts w:ascii="Arial" w:eastAsia="Times New Roman" w:hAnsi="Arial" w:cs="Arial"/>
                <w:b/>
                <w:bCs/>
                <w:color w:val="000000"/>
                <w:sz w:val="18"/>
                <w:szCs w:val="18"/>
                <w:lang w:eastAsia="sl-SI"/>
              </w:rPr>
              <w:t>Skupaj</w:t>
            </w:r>
          </w:p>
        </w:tc>
        <w:tc>
          <w:tcPr>
            <w:tcW w:w="669" w:type="pct"/>
            <w:tcBorders>
              <w:top w:val="nil"/>
              <w:left w:val="nil"/>
              <w:bottom w:val="single" w:sz="4" w:space="0" w:color="auto"/>
              <w:right w:val="single" w:sz="4" w:space="0" w:color="auto"/>
            </w:tcBorders>
            <w:shd w:val="clear" w:color="auto" w:fill="auto"/>
            <w:noWrap/>
            <w:vAlign w:val="center"/>
            <w:hideMark/>
          </w:tcPr>
          <w:p w14:paraId="7B00304E" w14:textId="77777777" w:rsidR="00E3750C" w:rsidRPr="004E2CE0" w:rsidRDefault="00E3750C" w:rsidP="00047864">
            <w:pPr>
              <w:spacing w:after="0" w:line="240" w:lineRule="auto"/>
              <w:jc w:val="right"/>
              <w:rPr>
                <w:rFonts w:ascii="Arial" w:eastAsia="Times New Roman" w:hAnsi="Arial" w:cs="Arial"/>
                <w:b/>
                <w:bCs/>
                <w:color w:val="000000"/>
                <w:sz w:val="18"/>
                <w:szCs w:val="18"/>
                <w:lang w:eastAsia="sl-SI"/>
              </w:rPr>
            </w:pPr>
            <w:r w:rsidRPr="004E2CE0">
              <w:rPr>
                <w:rFonts w:ascii="Arial" w:eastAsia="Times New Roman" w:hAnsi="Arial" w:cs="Arial"/>
                <w:b/>
                <w:bCs/>
                <w:color w:val="000000"/>
                <w:sz w:val="18"/>
                <w:szCs w:val="18"/>
                <w:lang w:eastAsia="sl-SI"/>
              </w:rPr>
              <w:t>3</w:t>
            </w:r>
          </w:p>
        </w:tc>
        <w:tc>
          <w:tcPr>
            <w:tcW w:w="494" w:type="pct"/>
            <w:tcBorders>
              <w:top w:val="nil"/>
              <w:left w:val="nil"/>
              <w:bottom w:val="single" w:sz="4" w:space="0" w:color="auto"/>
              <w:right w:val="single" w:sz="4" w:space="0" w:color="auto"/>
            </w:tcBorders>
            <w:shd w:val="clear" w:color="auto" w:fill="auto"/>
            <w:noWrap/>
            <w:vAlign w:val="center"/>
            <w:hideMark/>
          </w:tcPr>
          <w:p w14:paraId="514A1C57" w14:textId="77777777" w:rsidR="00E3750C" w:rsidRPr="004E2CE0" w:rsidRDefault="00E3750C" w:rsidP="00047864">
            <w:pPr>
              <w:spacing w:after="0" w:line="240" w:lineRule="auto"/>
              <w:jc w:val="right"/>
              <w:rPr>
                <w:rFonts w:ascii="Arial" w:eastAsia="Times New Roman" w:hAnsi="Arial" w:cs="Arial"/>
                <w:b/>
                <w:bCs/>
                <w:color w:val="000000"/>
                <w:sz w:val="18"/>
                <w:szCs w:val="18"/>
                <w:lang w:eastAsia="sl-SI"/>
              </w:rPr>
            </w:pPr>
            <w:r w:rsidRPr="004E2CE0">
              <w:rPr>
                <w:rFonts w:ascii="Arial" w:eastAsia="Times New Roman" w:hAnsi="Arial" w:cs="Arial"/>
                <w:b/>
                <w:bCs/>
                <w:color w:val="000000"/>
                <w:sz w:val="18"/>
                <w:szCs w:val="18"/>
                <w:lang w:eastAsia="sl-SI"/>
              </w:rPr>
              <w:t>5</w:t>
            </w:r>
          </w:p>
        </w:tc>
        <w:tc>
          <w:tcPr>
            <w:tcW w:w="998" w:type="pct"/>
            <w:tcBorders>
              <w:top w:val="nil"/>
              <w:left w:val="nil"/>
              <w:bottom w:val="single" w:sz="4" w:space="0" w:color="auto"/>
              <w:right w:val="single" w:sz="4" w:space="0" w:color="auto"/>
            </w:tcBorders>
            <w:shd w:val="clear" w:color="auto" w:fill="auto"/>
            <w:noWrap/>
            <w:vAlign w:val="center"/>
            <w:hideMark/>
          </w:tcPr>
          <w:p w14:paraId="232E2720" w14:textId="77777777" w:rsidR="00E3750C" w:rsidRPr="004E2CE0" w:rsidRDefault="00E3750C" w:rsidP="00047864">
            <w:pPr>
              <w:spacing w:after="0" w:line="240" w:lineRule="auto"/>
              <w:jc w:val="right"/>
              <w:rPr>
                <w:rFonts w:ascii="Arial" w:eastAsia="Times New Roman" w:hAnsi="Arial" w:cs="Arial"/>
                <w:b/>
                <w:bCs/>
                <w:color w:val="000000"/>
                <w:sz w:val="18"/>
                <w:szCs w:val="18"/>
                <w:lang w:eastAsia="sl-SI"/>
              </w:rPr>
            </w:pPr>
            <w:r w:rsidRPr="004E2CE0">
              <w:rPr>
                <w:rFonts w:ascii="Arial" w:eastAsia="Times New Roman" w:hAnsi="Arial" w:cs="Arial"/>
                <w:b/>
                <w:bCs/>
                <w:color w:val="000000"/>
                <w:sz w:val="18"/>
                <w:szCs w:val="18"/>
                <w:lang w:eastAsia="sl-SI"/>
              </w:rPr>
              <w:t>1.635.480</w:t>
            </w:r>
          </w:p>
        </w:tc>
      </w:tr>
      <w:tr w:rsidR="00E3750C" w:rsidRPr="004E2CE0" w14:paraId="53B65B30" w14:textId="77777777" w:rsidTr="00047864">
        <w:trPr>
          <w:trHeight w:val="300"/>
        </w:trPr>
        <w:tc>
          <w:tcPr>
            <w:tcW w:w="283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55E8CD5" w14:textId="77777777" w:rsidR="00E3750C" w:rsidRPr="004E2CE0" w:rsidRDefault="00E3750C" w:rsidP="00047864">
            <w:pPr>
              <w:spacing w:after="0" w:line="240" w:lineRule="auto"/>
              <w:rPr>
                <w:rFonts w:ascii="Arial" w:eastAsia="Times New Roman" w:hAnsi="Arial" w:cs="Arial"/>
                <w:b/>
                <w:bCs/>
                <w:color w:val="000000"/>
                <w:sz w:val="18"/>
                <w:szCs w:val="18"/>
                <w:lang w:eastAsia="sl-SI"/>
              </w:rPr>
            </w:pPr>
            <w:r w:rsidRPr="004E2CE0">
              <w:rPr>
                <w:rFonts w:ascii="Arial" w:eastAsia="Times New Roman" w:hAnsi="Arial" w:cs="Arial"/>
                <w:b/>
                <w:bCs/>
                <w:color w:val="000000"/>
                <w:sz w:val="18"/>
                <w:szCs w:val="18"/>
                <w:lang w:eastAsia="sl-SI"/>
              </w:rPr>
              <w:t>Skupaj</w:t>
            </w:r>
          </w:p>
        </w:tc>
        <w:tc>
          <w:tcPr>
            <w:tcW w:w="669" w:type="pct"/>
            <w:tcBorders>
              <w:top w:val="nil"/>
              <w:left w:val="nil"/>
              <w:bottom w:val="single" w:sz="4" w:space="0" w:color="auto"/>
              <w:right w:val="single" w:sz="4" w:space="0" w:color="auto"/>
            </w:tcBorders>
            <w:shd w:val="clear" w:color="auto" w:fill="F2F2F2" w:themeFill="background1" w:themeFillShade="F2"/>
            <w:noWrap/>
            <w:vAlign w:val="center"/>
            <w:hideMark/>
          </w:tcPr>
          <w:p w14:paraId="274D98E7" w14:textId="77777777" w:rsidR="00E3750C" w:rsidRPr="004E2CE0" w:rsidRDefault="00E3750C" w:rsidP="00047864">
            <w:pPr>
              <w:spacing w:after="0" w:line="240" w:lineRule="auto"/>
              <w:jc w:val="right"/>
              <w:rPr>
                <w:rFonts w:ascii="Arial" w:eastAsia="Times New Roman" w:hAnsi="Arial" w:cs="Arial"/>
                <w:b/>
                <w:bCs/>
                <w:color w:val="000000"/>
                <w:sz w:val="18"/>
                <w:szCs w:val="18"/>
                <w:lang w:eastAsia="sl-SI"/>
              </w:rPr>
            </w:pPr>
            <w:r w:rsidRPr="004E2CE0">
              <w:rPr>
                <w:rFonts w:ascii="Arial" w:eastAsia="Times New Roman" w:hAnsi="Arial" w:cs="Arial"/>
                <w:b/>
                <w:bCs/>
                <w:color w:val="000000"/>
                <w:sz w:val="18"/>
                <w:szCs w:val="18"/>
                <w:lang w:eastAsia="sl-SI"/>
              </w:rPr>
              <w:t>1.000</w:t>
            </w:r>
          </w:p>
        </w:tc>
        <w:tc>
          <w:tcPr>
            <w:tcW w:w="494" w:type="pct"/>
            <w:tcBorders>
              <w:top w:val="nil"/>
              <w:left w:val="nil"/>
              <w:bottom w:val="single" w:sz="4" w:space="0" w:color="auto"/>
              <w:right w:val="single" w:sz="4" w:space="0" w:color="auto"/>
            </w:tcBorders>
            <w:shd w:val="clear" w:color="auto" w:fill="F2F2F2" w:themeFill="background1" w:themeFillShade="F2"/>
            <w:noWrap/>
            <w:vAlign w:val="center"/>
            <w:hideMark/>
          </w:tcPr>
          <w:p w14:paraId="66EFA15E" w14:textId="77777777" w:rsidR="00E3750C" w:rsidRPr="004E2CE0" w:rsidRDefault="00E3750C" w:rsidP="00047864">
            <w:pPr>
              <w:spacing w:after="0" w:line="240" w:lineRule="auto"/>
              <w:jc w:val="right"/>
              <w:rPr>
                <w:rFonts w:ascii="Arial" w:eastAsia="Times New Roman" w:hAnsi="Arial" w:cs="Arial"/>
                <w:b/>
                <w:bCs/>
                <w:color w:val="000000"/>
                <w:sz w:val="18"/>
                <w:szCs w:val="18"/>
                <w:lang w:eastAsia="sl-SI"/>
              </w:rPr>
            </w:pPr>
            <w:r w:rsidRPr="004E2CE0">
              <w:rPr>
                <w:rFonts w:ascii="Arial" w:eastAsia="Times New Roman" w:hAnsi="Arial" w:cs="Arial"/>
                <w:b/>
                <w:bCs/>
                <w:color w:val="000000"/>
                <w:sz w:val="18"/>
                <w:szCs w:val="18"/>
                <w:lang w:eastAsia="sl-SI"/>
              </w:rPr>
              <w:t>6.875</w:t>
            </w:r>
          </w:p>
        </w:tc>
        <w:tc>
          <w:tcPr>
            <w:tcW w:w="998" w:type="pct"/>
            <w:tcBorders>
              <w:top w:val="nil"/>
              <w:left w:val="nil"/>
              <w:bottom w:val="single" w:sz="4" w:space="0" w:color="auto"/>
              <w:right w:val="single" w:sz="4" w:space="0" w:color="auto"/>
            </w:tcBorders>
            <w:shd w:val="clear" w:color="auto" w:fill="F2F2F2" w:themeFill="background1" w:themeFillShade="F2"/>
            <w:noWrap/>
            <w:vAlign w:val="center"/>
            <w:hideMark/>
          </w:tcPr>
          <w:p w14:paraId="120E8FFB" w14:textId="77777777" w:rsidR="00E3750C" w:rsidRPr="004E2CE0" w:rsidRDefault="00E3750C" w:rsidP="00047864">
            <w:pPr>
              <w:spacing w:after="0" w:line="240" w:lineRule="auto"/>
              <w:jc w:val="right"/>
              <w:rPr>
                <w:rFonts w:ascii="Arial" w:eastAsia="Times New Roman" w:hAnsi="Arial" w:cs="Arial"/>
                <w:b/>
                <w:bCs/>
                <w:color w:val="000000"/>
                <w:sz w:val="18"/>
                <w:szCs w:val="18"/>
                <w:lang w:eastAsia="sl-SI"/>
              </w:rPr>
            </w:pPr>
            <w:r w:rsidRPr="004E2CE0">
              <w:rPr>
                <w:rFonts w:ascii="Arial" w:eastAsia="Times New Roman" w:hAnsi="Arial" w:cs="Arial"/>
                <w:b/>
                <w:bCs/>
                <w:color w:val="000000"/>
                <w:sz w:val="18"/>
                <w:szCs w:val="18"/>
                <w:lang w:eastAsia="sl-SI"/>
              </w:rPr>
              <w:t>1.094.355.305</w:t>
            </w:r>
          </w:p>
        </w:tc>
      </w:tr>
    </w:tbl>
    <w:p w14:paraId="15D51376" w14:textId="77777777" w:rsidR="00E3750C" w:rsidRPr="00BF7302" w:rsidRDefault="00E3750C" w:rsidP="00E3750C">
      <w:pPr>
        <w:spacing w:after="0" w:line="240" w:lineRule="auto"/>
        <w:jc w:val="both"/>
        <w:rPr>
          <w:rFonts w:ascii="Arial" w:hAnsi="Arial" w:cs="Arial"/>
          <w:sz w:val="20"/>
          <w:highlight w:val="yellow"/>
        </w:rPr>
      </w:pPr>
    </w:p>
    <w:p w14:paraId="2A58533C" w14:textId="77777777" w:rsidR="00E3750C" w:rsidRPr="007D1EF3" w:rsidRDefault="00E3750C" w:rsidP="00E3750C">
      <w:pPr>
        <w:spacing w:before="120" w:after="0" w:line="240" w:lineRule="auto"/>
        <w:jc w:val="both"/>
        <w:rPr>
          <w:rFonts w:ascii="Arial" w:hAnsi="Arial" w:cs="Arial"/>
          <w:sz w:val="20"/>
        </w:rPr>
      </w:pPr>
      <w:r w:rsidRPr="007D1EF3">
        <w:rPr>
          <w:rFonts w:ascii="Arial" w:hAnsi="Arial" w:cs="Arial"/>
          <w:sz w:val="20"/>
        </w:rPr>
        <w:lastRenderedPageBreak/>
        <w:t>Preglednica 7</w:t>
      </w:r>
      <w:r>
        <w:rPr>
          <w:rFonts w:ascii="Arial" w:hAnsi="Arial" w:cs="Arial"/>
          <w:sz w:val="20"/>
        </w:rPr>
        <w:t>1</w:t>
      </w:r>
      <w:r w:rsidRPr="007D1EF3">
        <w:rPr>
          <w:rFonts w:ascii="Arial" w:hAnsi="Arial" w:cs="Arial"/>
          <w:sz w:val="20"/>
        </w:rPr>
        <w:t>: Izvedeni postopki za sklenitev okvirnega sporazuma glede na kategorijo naročnika in vrsto pogodbe</w:t>
      </w:r>
      <w:bookmarkEnd w:id="82"/>
      <w:bookmarkEnd w:id="83"/>
      <w:bookmarkEnd w:id="84"/>
      <w:bookmarkEnd w:id="85"/>
      <w:bookmarkEnd w:id="86"/>
      <w:bookmarkEnd w:id="87"/>
    </w:p>
    <w:p w14:paraId="197DF592" w14:textId="77777777" w:rsidR="00E3750C" w:rsidRPr="007D1EF3" w:rsidRDefault="00E3750C" w:rsidP="00E3750C">
      <w:pPr>
        <w:spacing w:after="0" w:line="240" w:lineRule="auto"/>
        <w:jc w:val="both"/>
        <w:rPr>
          <w:rFonts w:ascii="Arial" w:hAnsi="Arial" w:cs="Arial"/>
          <w:sz w:val="20"/>
        </w:rPr>
      </w:pP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72"/>
        <w:gridCol w:w="1186"/>
        <w:gridCol w:w="1350"/>
        <w:gridCol w:w="2356"/>
      </w:tblGrid>
      <w:tr w:rsidR="00E3750C" w:rsidRPr="007D1EF3" w14:paraId="6D7EFB1F" w14:textId="77777777" w:rsidTr="00047864">
        <w:trPr>
          <w:trHeight w:val="255"/>
        </w:trPr>
        <w:tc>
          <w:tcPr>
            <w:tcW w:w="4172" w:type="dxa"/>
            <w:vMerge w:val="restart"/>
            <w:shd w:val="clear" w:color="auto" w:fill="F2F2F2" w:themeFill="background1" w:themeFillShade="F2"/>
            <w:vAlign w:val="center"/>
            <w:hideMark/>
          </w:tcPr>
          <w:p w14:paraId="1042B48A" w14:textId="77777777" w:rsidR="00E3750C" w:rsidRPr="007D1EF3" w:rsidRDefault="00E3750C" w:rsidP="00047864">
            <w:pPr>
              <w:spacing w:after="0" w:line="240" w:lineRule="auto"/>
              <w:jc w:val="center"/>
              <w:rPr>
                <w:rFonts w:ascii="Arial" w:eastAsia="Times New Roman" w:hAnsi="Arial" w:cs="Arial"/>
                <w:color w:val="000000"/>
                <w:sz w:val="18"/>
                <w:szCs w:val="18"/>
                <w:lang w:eastAsia="sl-SI"/>
              </w:rPr>
            </w:pPr>
            <w:r w:rsidRPr="007D1EF3">
              <w:rPr>
                <w:rFonts w:ascii="Arial" w:eastAsia="Times New Roman" w:hAnsi="Arial" w:cs="Arial"/>
                <w:color w:val="000000"/>
                <w:sz w:val="18"/>
                <w:szCs w:val="18"/>
                <w:lang w:eastAsia="sl-SI"/>
              </w:rPr>
              <w:t>Kategorija naročnika</w:t>
            </w:r>
          </w:p>
        </w:tc>
        <w:tc>
          <w:tcPr>
            <w:tcW w:w="2536" w:type="dxa"/>
            <w:gridSpan w:val="2"/>
            <w:shd w:val="clear" w:color="auto" w:fill="F2F2F2" w:themeFill="background1" w:themeFillShade="F2"/>
            <w:vAlign w:val="center"/>
            <w:hideMark/>
          </w:tcPr>
          <w:p w14:paraId="6A14C515" w14:textId="77777777" w:rsidR="00E3750C" w:rsidRPr="007D1EF3" w:rsidRDefault="00E3750C" w:rsidP="00047864">
            <w:pPr>
              <w:spacing w:after="0" w:line="240" w:lineRule="auto"/>
              <w:jc w:val="center"/>
              <w:rPr>
                <w:rFonts w:ascii="Arial" w:eastAsia="Times New Roman" w:hAnsi="Arial" w:cs="Arial"/>
                <w:color w:val="000000"/>
                <w:sz w:val="18"/>
                <w:szCs w:val="18"/>
                <w:lang w:eastAsia="sl-SI"/>
              </w:rPr>
            </w:pPr>
            <w:r w:rsidRPr="007D1EF3">
              <w:rPr>
                <w:rFonts w:ascii="Arial" w:eastAsia="Times New Roman" w:hAnsi="Arial" w:cs="Arial"/>
                <w:color w:val="000000"/>
                <w:sz w:val="18"/>
                <w:szCs w:val="18"/>
                <w:lang w:eastAsia="sl-SI"/>
              </w:rPr>
              <w:t>Št. postopkov</w:t>
            </w:r>
          </w:p>
        </w:tc>
        <w:tc>
          <w:tcPr>
            <w:tcW w:w="2356" w:type="dxa"/>
            <w:vMerge w:val="restart"/>
            <w:shd w:val="clear" w:color="auto" w:fill="F2F2F2" w:themeFill="background1" w:themeFillShade="F2"/>
            <w:vAlign w:val="center"/>
            <w:hideMark/>
          </w:tcPr>
          <w:p w14:paraId="39D9A440" w14:textId="77777777" w:rsidR="00E3750C" w:rsidRPr="007D1EF3" w:rsidRDefault="00E3750C" w:rsidP="00047864">
            <w:pPr>
              <w:spacing w:after="0" w:line="240" w:lineRule="auto"/>
              <w:jc w:val="center"/>
              <w:rPr>
                <w:rFonts w:ascii="Arial" w:eastAsia="Times New Roman" w:hAnsi="Arial" w:cs="Arial"/>
                <w:color w:val="000000"/>
                <w:sz w:val="18"/>
                <w:szCs w:val="18"/>
                <w:lang w:eastAsia="sl-SI"/>
              </w:rPr>
            </w:pPr>
            <w:r w:rsidRPr="007D1EF3">
              <w:rPr>
                <w:rFonts w:ascii="Arial" w:eastAsia="Times New Roman" w:hAnsi="Arial" w:cs="Arial"/>
                <w:color w:val="000000"/>
                <w:sz w:val="18"/>
                <w:szCs w:val="18"/>
                <w:lang w:eastAsia="sl-SI"/>
              </w:rPr>
              <w:t>Delež okvirnih sporazumov v vseh postopkih, ki so jih izvedli naročniki te kategorije</w:t>
            </w:r>
          </w:p>
        </w:tc>
      </w:tr>
      <w:tr w:rsidR="00E3750C" w:rsidRPr="007D1EF3" w14:paraId="367E1CF2" w14:textId="77777777" w:rsidTr="00047864">
        <w:trPr>
          <w:trHeight w:val="255"/>
        </w:trPr>
        <w:tc>
          <w:tcPr>
            <w:tcW w:w="4172" w:type="dxa"/>
            <w:vMerge/>
            <w:vAlign w:val="center"/>
            <w:hideMark/>
          </w:tcPr>
          <w:p w14:paraId="3B74C63A" w14:textId="77777777" w:rsidR="00E3750C" w:rsidRPr="007D1EF3" w:rsidRDefault="00E3750C" w:rsidP="00047864">
            <w:pPr>
              <w:spacing w:after="0" w:line="240" w:lineRule="auto"/>
              <w:rPr>
                <w:rFonts w:ascii="Arial" w:eastAsia="Times New Roman" w:hAnsi="Arial" w:cs="Arial"/>
                <w:color w:val="000000"/>
                <w:sz w:val="18"/>
                <w:szCs w:val="18"/>
                <w:lang w:eastAsia="sl-SI"/>
              </w:rPr>
            </w:pPr>
          </w:p>
        </w:tc>
        <w:tc>
          <w:tcPr>
            <w:tcW w:w="1186" w:type="dxa"/>
            <w:shd w:val="clear" w:color="000000" w:fill="EDEDED"/>
            <w:vAlign w:val="center"/>
            <w:hideMark/>
          </w:tcPr>
          <w:p w14:paraId="09E5838E" w14:textId="77777777" w:rsidR="00E3750C" w:rsidRPr="007D1EF3" w:rsidRDefault="00E3750C" w:rsidP="00047864">
            <w:pPr>
              <w:spacing w:after="0" w:line="240" w:lineRule="auto"/>
              <w:jc w:val="center"/>
              <w:rPr>
                <w:rFonts w:ascii="Arial" w:eastAsia="Times New Roman" w:hAnsi="Arial" w:cs="Arial"/>
                <w:color w:val="000000"/>
                <w:sz w:val="18"/>
                <w:szCs w:val="18"/>
                <w:lang w:eastAsia="sl-SI"/>
              </w:rPr>
            </w:pPr>
            <w:r w:rsidRPr="007D1EF3">
              <w:rPr>
                <w:rFonts w:ascii="Arial" w:eastAsia="Times New Roman" w:hAnsi="Arial" w:cs="Arial"/>
                <w:color w:val="000000"/>
                <w:sz w:val="18"/>
                <w:szCs w:val="18"/>
                <w:lang w:eastAsia="sl-SI"/>
              </w:rPr>
              <w:t>Sklenitev okvirnega sporazuma</w:t>
            </w:r>
          </w:p>
        </w:tc>
        <w:tc>
          <w:tcPr>
            <w:tcW w:w="1350" w:type="dxa"/>
            <w:shd w:val="clear" w:color="000000" w:fill="EDEDED"/>
            <w:vAlign w:val="center"/>
            <w:hideMark/>
          </w:tcPr>
          <w:p w14:paraId="44F481F4" w14:textId="77777777" w:rsidR="00E3750C" w:rsidRPr="007D1EF3" w:rsidRDefault="00E3750C" w:rsidP="00047864">
            <w:pPr>
              <w:spacing w:after="0" w:line="240" w:lineRule="auto"/>
              <w:jc w:val="center"/>
              <w:rPr>
                <w:rFonts w:ascii="Arial" w:eastAsia="Times New Roman" w:hAnsi="Arial" w:cs="Arial"/>
                <w:color w:val="000000"/>
                <w:sz w:val="18"/>
                <w:szCs w:val="18"/>
                <w:lang w:eastAsia="sl-SI"/>
              </w:rPr>
            </w:pPr>
            <w:r w:rsidRPr="007D1EF3">
              <w:rPr>
                <w:rFonts w:ascii="Arial" w:eastAsia="Times New Roman" w:hAnsi="Arial" w:cs="Arial"/>
                <w:color w:val="000000"/>
                <w:sz w:val="18"/>
                <w:szCs w:val="18"/>
                <w:lang w:eastAsia="sl-SI"/>
              </w:rPr>
              <w:t>Sklenitev običajne odplačne pogodbe</w:t>
            </w:r>
          </w:p>
        </w:tc>
        <w:tc>
          <w:tcPr>
            <w:tcW w:w="2356" w:type="dxa"/>
            <w:vMerge/>
            <w:vAlign w:val="center"/>
            <w:hideMark/>
          </w:tcPr>
          <w:p w14:paraId="732A3D49" w14:textId="77777777" w:rsidR="00E3750C" w:rsidRPr="007D1EF3" w:rsidRDefault="00E3750C" w:rsidP="00047864">
            <w:pPr>
              <w:spacing w:after="0" w:line="240" w:lineRule="auto"/>
              <w:rPr>
                <w:rFonts w:ascii="Arial" w:eastAsia="Times New Roman" w:hAnsi="Arial" w:cs="Arial"/>
                <w:color w:val="000000"/>
                <w:sz w:val="18"/>
                <w:szCs w:val="18"/>
                <w:lang w:eastAsia="sl-SI"/>
              </w:rPr>
            </w:pPr>
          </w:p>
        </w:tc>
      </w:tr>
      <w:tr w:rsidR="00E3750C" w:rsidRPr="007D1EF3" w14:paraId="162A8CFE" w14:textId="77777777" w:rsidTr="00047864">
        <w:trPr>
          <w:trHeight w:val="255"/>
        </w:trPr>
        <w:tc>
          <w:tcPr>
            <w:tcW w:w="4172" w:type="dxa"/>
            <w:shd w:val="clear" w:color="auto" w:fill="auto"/>
            <w:vAlign w:val="center"/>
            <w:hideMark/>
          </w:tcPr>
          <w:p w14:paraId="1F293A78" w14:textId="77777777" w:rsidR="00E3750C" w:rsidRPr="007D1EF3" w:rsidRDefault="00E3750C" w:rsidP="00047864">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Organi Republike Slovenije</w:t>
            </w:r>
          </w:p>
        </w:tc>
        <w:tc>
          <w:tcPr>
            <w:tcW w:w="1186" w:type="dxa"/>
            <w:shd w:val="clear" w:color="auto" w:fill="auto"/>
            <w:noWrap/>
            <w:vAlign w:val="center"/>
            <w:hideMark/>
          </w:tcPr>
          <w:p w14:paraId="0BB4DD2C" w14:textId="77777777" w:rsidR="00E3750C" w:rsidRPr="007D1EF3" w:rsidRDefault="00E3750C" w:rsidP="00047864">
            <w:pPr>
              <w:spacing w:after="0" w:line="240" w:lineRule="auto"/>
              <w:jc w:val="right"/>
              <w:rPr>
                <w:rFonts w:ascii="Arial" w:eastAsia="Times New Roman" w:hAnsi="Arial" w:cs="Arial"/>
                <w:color w:val="000000"/>
                <w:sz w:val="18"/>
                <w:szCs w:val="18"/>
                <w:lang w:eastAsia="sl-SI"/>
              </w:rPr>
            </w:pPr>
            <w:r w:rsidRPr="007D1EF3">
              <w:rPr>
                <w:rFonts w:ascii="Arial" w:hAnsi="Arial" w:cs="Arial"/>
                <w:color w:val="000000"/>
                <w:sz w:val="18"/>
                <w:szCs w:val="18"/>
              </w:rPr>
              <w:t>31</w:t>
            </w:r>
          </w:p>
        </w:tc>
        <w:tc>
          <w:tcPr>
            <w:tcW w:w="1350" w:type="dxa"/>
            <w:shd w:val="clear" w:color="auto" w:fill="auto"/>
            <w:vAlign w:val="center"/>
            <w:hideMark/>
          </w:tcPr>
          <w:p w14:paraId="349590B7" w14:textId="77777777" w:rsidR="00E3750C" w:rsidRPr="007D1EF3" w:rsidRDefault="00E3750C" w:rsidP="00047864">
            <w:pPr>
              <w:spacing w:after="0" w:line="240" w:lineRule="auto"/>
              <w:jc w:val="right"/>
              <w:rPr>
                <w:rFonts w:ascii="Arial" w:eastAsia="Times New Roman" w:hAnsi="Arial" w:cs="Arial"/>
                <w:color w:val="000000"/>
                <w:sz w:val="18"/>
                <w:szCs w:val="18"/>
                <w:lang w:eastAsia="sl-SI"/>
              </w:rPr>
            </w:pPr>
            <w:r w:rsidRPr="007D1EF3">
              <w:rPr>
                <w:rFonts w:ascii="Arial" w:hAnsi="Arial" w:cs="Arial"/>
                <w:color w:val="000000"/>
                <w:sz w:val="18"/>
                <w:szCs w:val="18"/>
              </w:rPr>
              <w:t>992</w:t>
            </w:r>
          </w:p>
        </w:tc>
        <w:tc>
          <w:tcPr>
            <w:tcW w:w="2356" w:type="dxa"/>
            <w:shd w:val="clear" w:color="auto" w:fill="auto"/>
            <w:noWrap/>
            <w:vAlign w:val="center"/>
            <w:hideMark/>
          </w:tcPr>
          <w:p w14:paraId="68DD8B01" w14:textId="77777777" w:rsidR="00E3750C" w:rsidRPr="007D1EF3" w:rsidRDefault="00E3750C" w:rsidP="00047864">
            <w:pPr>
              <w:spacing w:after="0" w:line="240" w:lineRule="auto"/>
              <w:jc w:val="right"/>
              <w:rPr>
                <w:rFonts w:ascii="Arial" w:hAnsi="Arial" w:cs="Arial"/>
                <w:color w:val="000000"/>
                <w:sz w:val="18"/>
                <w:szCs w:val="18"/>
              </w:rPr>
            </w:pPr>
            <w:r w:rsidRPr="007D1EF3">
              <w:rPr>
                <w:rFonts w:ascii="Arial" w:hAnsi="Arial" w:cs="Arial"/>
                <w:color w:val="000000"/>
                <w:sz w:val="18"/>
                <w:szCs w:val="18"/>
              </w:rPr>
              <w:t>3,03</w:t>
            </w:r>
            <w:r>
              <w:rPr>
                <w:rFonts w:ascii="Arial" w:hAnsi="Arial" w:cs="Arial"/>
                <w:color w:val="000000"/>
                <w:sz w:val="18"/>
                <w:szCs w:val="18"/>
              </w:rPr>
              <w:t xml:space="preserve"> </w:t>
            </w:r>
            <w:r w:rsidRPr="007D1EF3">
              <w:rPr>
                <w:rFonts w:ascii="Arial" w:hAnsi="Arial" w:cs="Arial"/>
                <w:color w:val="000000"/>
                <w:sz w:val="18"/>
                <w:szCs w:val="18"/>
              </w:rPr>
              <w:t>%</w:t>
            </w:r>
          </w:p>
        </w:tc>
      </w:tr>
      <w:tr w:rsidR="00E3750C" w:rsidRPr="007D1EF3" w14:paraId="393C68D2" w14:textId="77777777" w:rsidTr="00047864">
        <w:trPr>
          <w:trHeight w:val="255"/>
        </w:trPr>
        <w:tc>
          <w:tcPr>
            <w:tcW w:w="4172" w:type="dxa"/>
            <w:shd w:val="clear" w:color="auto" w:fill="auto"/>
            <w:vAlign w:val="center"/>
            <w:hideMark/>
          </w:tcPr>
          <w:p w14:paraId="796FA7C3" w14:textId="77777777" w:rsidR="00E3750C" w:rsidRPr="007D1EF3" w:rsidRDefault="00E3750C" w:rsidP="00047864">
            <w:pPr>
              <w:spacing w:after="0" w:line="240" w:lineRule="auto"/>
              <w:rPr>
                <w:rFonts w:ascii="Arial" w:eastAsia="Times New Roman" w:hAnsi="Arial" w:cs="Arial"/>
                <w:color w:val="000000"/>
                <w:sz w:val="18"/>
                <w:szCs w:val="18"/>
                <w:lang w:eastAsia="sl-SI"/>
              </w:rPr>
            </w:pPr>
            <w:r w:rsidRPr="007D1EF3">
              <w:rPr>
                <w:rFonts w:ascii="Arial" w:eastAsia="Times New Roman" w:hAnsi="Arial" w:cs="Arial"/>
                <w:color w:val="000000"/>
                <w:sz w:val="18"/>
                <w:szCs w:val="18"/>
                <w:lang w:eastAsia="sl-SI"/>
              </w:rPr>
              <w:t>Samoupravne lokalne skupnosti</w:t>
            </w:r>
          </w:p>
        </w:tc>
        <w:tc>
          <w:tcPr>
            <w:tcW w:w="1186" w:type="dxa"/>
            <w:shd w:val="clear" w:color="auto" w:fill="auto"/>
            <w:vAlign w:val="center"/>
            <w:hideMark/>
          </w:tcPr>
          <w:p w14:paraId="4B83EC95" w14:textId="77777777" w:rsidR="00E3750C" w:rsidRPr="007D1EF3" w:rsidRDefault="00E3750C" w:rsidP="00047864">
            <w:pPr>
              <w:spacing w:after="0" w:line="240" w:lineRule="auto"/>
              <w:jc w:val="right"/>
              <w:rPr>
                <w:rFonts w:ascii="Arial" w:eastAsia="Times New Roman" w:hAnsi="Arial" w:cs="Arial"/>
                <w:color w:val="000000"/>
                <w:sz w:val="18"/>
                <w:szCs w:val="18"/>
                <w:lang w:eastAsia="sl-SI"/>
              </w:rPr>
            </w:pPr>
            <w:r w:rsidRPr="007D1EF3">
              <w:rPr>
                <w:rFonts w:ascii="Arial" w:hAnsi="Arial" w:cs="Arial"/>
                <w:color w:val="000000"/>
                <w:sz w:val="18"/>
                <w:szCs w:val="18"/>
              </w:rPr>
              <w:t>43</w:t>
            </w:r>
          </w:p>
        </w:tc>
        <w:tc>
          <w:tcPr>
            <w:tcW w:w="1350" w:type="dxa"/>
            <w:shd w:val="clear" w:color="auto" w:fill="auto"/>
            <w:vAlign w:val="center"/>
            <w:hideMark/>
          </w:tcPr>
          <w:p w14:paraId="1F17FD01" w14:textId="77777777" w:rsidR="00E3750C" w:rsidRPr="007D1EF3" w:rsidRDefault="00E3750C" w:rsidP="00047864">
            <w:pPr>
              <w:spacing w:after="0" w:line="240" w:lineRule="auto"/>
              <w:jc w:val="right"/>
              <w:rPr>
                <w:rFonts w:ascii="Arial" w:eastAsia="Times New Roman" w:hAnsi="Arial" w:cs="Arial"/>
                <w:color w:val="000000"/>
                <w:sz w:val="18"/>
                <w:szCs w:val="18"/>
                <w:lang w:eastAsia="sl-SI"/>
              </w:rPr>
            </w:pPr>
            <w:r w:rsidRPr="007D1EF3">
              <w:rPr>
                <w:rFonts w:ascii="Arial" w:hAnsi="Arial" w:cs="Arial"/>
                <w:color w:val="000000"/>
                <w:sz w:val="18"/>
                <w:szCs w:val="18"/>
              </w:rPr>
              <w:t>1.228</w:t>
            </w:r>
          </w:p>
        </w:tc>
        <w:tc>
          <w:tcPr>
            <w:tcW w:w="2356" w:type="dxa"/>
            <w:shd w:val="clear" w:color="auto" w:fill="auto"/>
            <w:noWrap/>
            <w:vAlign w:val="center"/>
            <w:hideMark/>
          </w:tcPr>
          <w:p w14:paraId="7651BFEA" w14:textId="77777777" w:rsidR="00E3750C" w:rsidRPr="007D1EF3" w:rsidRDefault="00E3750C" w:rsidP="00047864">
            <w:pPr>
              <w:spacing w:after="0" w:line="240" w:lineRule="auto"/>
              <w:jc w:val="right"/>
              <w:rPr>
                <w:rFonts w:ascii="Arial" w:hAnsi="Arial" w:cs="Arial"/>
                <w:color w:val="000000"/>
                <w:sz w:val="18"/>
                <w:szCs w:val="18"/>
              </w:rPr>
            </w:pPr>
            <w:r w:rsidRPr="007D1EF3">
              <w:rPr>
                <w:rFonts w:ascii="Arial" w:hAnsi="Arial" w:cs="Arial"/>
                <w:color w:val="000000"/>
                <w:sz w:val="18"/>
                <w:szCs w:val="18"/>
              </w:rPr>
              <w:t>3,38</w:t>
            </w:r>
            <w:r>
              <w:rPr>
                <w:rFonts w:ascii="Arial" w:hAnsi="Arial" w:cs="Arial"/>
                <w:color w:val="000000"/>
                <w:sz w:val="18"/>
                <w:szCs w:val="18"/>
              </w:rPr>
              <w:t xml:space="preserve"> </w:t>
            </w:r>
            <w:r w:rsidRPr="007D1EF3">
              <w:rPr>
                <w:rFonts w:ascii="Arial" w:hAnsi="Arial" w:cs="Arial"/>
                <w:color w:val="000000"/>
                <w:sz w:val="18"/>
                <w:szCs w:val="18"/>
              </w:rPr>
              <w:t>%</w:t>
            </w:r>
          </w:p>
        </w:tc>
      </w:tr>
      <w:tr w:rsidR="00E3750C" w:rsidRPr="007D1EF3" w14:paraId="7C485095" w14:textId="77777777" w:rsidTr="00047864">
        <w:trPr>
          <w:trHeight w:val="255"/>
        </w:trPr>
        <w:tc>
          <w:tcPr>
            <w:tcW w:w="4172" w:type="dxa"/>
            <w:shd w:val="clear" w:color="auto" w:fill="auto"/>
            <w:vAlign w:val="center"/>
            <w:hideMark/>
          </w:tcPr>
          <w:p w14:paraId="5D8E2105" w14:textId="77777777" w:rsidR="00E3750C" w:rsidRPr="007D1EF3" w:rsidRDefault="00E3750C" w:rsidP="00047864">
            <w:pPr>
              <w:spacing w:after="0" w:line="240" w:lineRule="auto"/>
              <w:rPr>
                <w:rFonts w:ascii="Arial" w:eastAsia="Times New Roman" w:hAnsi="Arial" w:cs="Arial"/>
                <w:color w:val="000000"/>
                <w:sz w:val="18"/>
                <w:szCs w:val="18"/>
                <w:lang w:eastAsia="sl-SI"/>
              </w:rPr>
            </w:pPr>
            <w:r w:rsidRPr="007D1EF3">
              <w:rPr>
                <w:rFonts w:ascii="Arial" w:eastAsia="Times New Roman" w:hAnsi="Arial" w:cs="Arial"/>
                <w:color w:val="000000"/>
                <w:sz w:val="18"/>
                <w:szCs w:val="18"/>
                <w:lang w:eastAsia="sl-SI"/>
              </w:rPr>
              <w:t>Javni skladi</w:t>
            </w:r>
          </w:p>
        </w:tc>
        <w:tc>
          <w:tcPr>
            <w:tcW w:w="1186" w:type="dxa"/>
            <w:shd w:val="clear" w:color="auto" w:fill="auto"/>
            <w:vAlign w:val="center"/>
            <w:hideMark/>
          </w:tcPr>
          <w:p w14:paraId="3095A9C3" w14:textId="77777777" w:rsidR="00E3750C" w:rsidRPr="007D1EF3" w:rsidRDefault="00E3750C" w:rsidP="00047864">
            <w:pPr>
              <w:spacing w:after="0" w:line="240" w:lineRule="auto"/>
              <w:jc w:val="right"/>
              <w:rPr>
                <w:rFonts w:ascii="Arial" w:eastAsia="Times New Roman" w:hAnsi="Arial" w:cs="Arial"/>
                <w:color w:val="000000"/>
                <w:sz w:val="18"/>
                <w:szCs w:val="18"/>
                <w:lang w:eastAsia="sl-SI"/>
              </w:rPr>
            </w:pPr>
            <w:r w:rsidRPr="007D1EF3">
              <w:rPr>
                <w:rFonts w:ascii="Arial" w:hAnsi="Arial" w:cs="Arial"/>
                <w:color w:val="000000"/>
                <w:sz w:val="18"/>
                <w:szCs w:val="18"/>
              </w:rPr>
              <w:t>3</w:t>
            </w:r>
          </w:p>
        </w:tc>
        <w:tc>
          <w:tcPr>
            <w:tcW w:w="1350" w:type="dxa"/>
            <w:shd w:val="clear" w:color="auto" w:fill="auto"/>
            <w:vAlign w:val="center"/>
            <w:hideMark/>
          </w:tcPr>
          <w:p w14:paraId="789E7BB9" w14:textId="77777777" w:rsidR="00E3750C" w:rsidRPr="007D1EF3" w:rsidRDefault="00E3750C" w:rsidP="00047864">
            <w:pPr>
              <w:spacing w:after="0" w:line="240" w:lineRule="auto"/>
              <w:jc w:val="right"/>
              <w:rPr>
                <w:rFonts w:ascii="Arial" w:eastAsia="Times New Roman" w:hAnsi="Arial" w:cs="Arial"/>
                <w:color w:val="000000"/>
                <w:sz w:val="18"/>
                <w:szCs w:val="18"/>
                <w:lang w:eastAsia="sl-SI"/>
              </w:rPr>
            </w:pPr>
            <w:r w:rsidRPr="007D1EF3">
              <w:rPr>
                <w:rFonts w:ascii="Arial" w:hAnsi="Arial" w:cs="Arial"/>
                <w:color w:val="000000"/>
                <w:sz w:val="18"/>
                <w:szCs w:val="18"/>
              </w:rPr>
              <w:t>38</w:t>
            </w:r>
          </w:p>
        </w:tc>
        <w:tc>
          <w:tcPr>
            <w:tcW w:w="2356" w:type="dxa"/>
            <w:shd w:val="clear" w:color="auto" w:fill="auto"/>
            <w:noWrap/>
            <w:vAlign w:val="center"/>
            <w:hideMark/>
          </w:tcPr>
          <w:p w14:paraId="72FD58E5" w14:textId="77777777" w:rsidR="00E3750C" w:rsidRPr="007D1EF3" w:rsidRDefault="00E3750C" w:rsidP="00047864">
            <w:pPr>
              <w:spacing w:after="0" w:line="240" w:lineRule="auto"/>
              <w:jc w:val="right"/>
              <w:rPr>
                <w:rFonts w:ascii="Arial" w:hAnsi="Arial" w:cs="Arial"/>
                <w:color w:val="000000"/>
                <w:sz w:val="18"/>
                <w:szCs w:val="18"/>
              </w:rPr>
            </w:pPr>
            <w:r w:rsidRPr="007D1EF3">
              <w:rPr>
                <w:rFonts w:ascii="Arial" w:hAnsi="Arial" w:cs="Arial"/>
                <w:color w:val="000000"/>
                <w:sz w:val="18"/>
                <w:szCs w:val="18"/>
              </w:rPr>
              <w:t>7,32</w:t>
            </w:r>
            <w:r>
              <w:rPr>
                <w:rFonts w:ascii="Arial" w:hAnsi="Arial" w:cs="Arial"/>
                <w:color w:val="000000"/>
                <w:sz w:val="18"/>
                <w:szCs w:val="18"/>
              </w:rPr>
              <w:t xml:space="preserve"> </w:t>
            </w:r>
            <w:r w:rsidRPr="007D1EF3">
              <w:rPr>
                <w:rFonts w:ascii="Arial" w:hAnsi="Arial" w:cs="Arial"/>
                <w:color w:val="000000"/>
                <w:sz w:val="18"/>
                <w:szCs w:val="18"/>
              </w:rPr>
              <w:t>%</w:t>
            </w:r>
          </w:p>
        </w:tc>
      </w:tr>
      <w:tr w:rsidR="00E3750C" w:rsidRPr="007D1EF3" w14:paraId="2860BBFE" w14:textId="77777777" w:rsidTr="00047864">
        <w:trPr>
          <w:trHeight w:val="255"/>
        </w:trPr>
        <w:tc>
          <w:tcPr>
            <w:tcW w:w="4172" w:type="dxa"/>
            <w:shd w:val="clear" w:color="auto" w:fill="auto"/>
            <w:vAlign w:val="center"/>
            <w:hideMark/>
          </w:tcPr>
          <w:p w14:paraId="7D486D05" w14:textId="77777777" w:rsidR="00E3750C" w:rsidRPr="007D1EF3" w:rsidRDefault="00E3750C" w:rsidP="00047864">
            <w:pPr>
              <w:spacing w:after="0" w:line="240" w:lineRule="auto"/>
              <w:rPr>
                <w:rFonts w:ascii="Arial" w:eastAsia="Times New Roman" w:hAnsi="Arial" w:cs="Arial"/>
                <w:color w:val="000000"/>
                <w:sz w:val="18"/>
                <w:szCs w:val="18"/>
                <w:lang w:eastAsia="sl-SI"/>
              </w:rPr>
            </w:pPr>
            <w:r w:rsidRPr="007D1EF3">
              <w:rPr>
                <w:rFonts w:ascii="Arial" w:eastAsia="Times New Roman" w:hAnsi="Arial" w:cs="Arial"/>
                <w:color w:val="000000"/>
                <w:sz w:val="18"/>
                <w:szCs w:val="18"/>
                <w:lang w:eastAsia="sl-SI"/>
              </w:rPr>
              <w:t>Javne agencije</w:t>
            </w:r>
          </w:p>
        </w:tc>
        <w:tc>
          <w:tcPr>
            <w:tcW w:w="1186" w:type="dxa"/>
            <w:shd w:val="clear" w:color="auto" w:fill="auto"/>
            <w:vAlign w:val="center"/>
            <w:hideMark/>
          </w:tcPr>
          <w:p w14:paraId="5E8B539F" w14:textId="77777777" w:rsidR="00E3750C" w:rsidRPr="007D1EF3" w:rsidRDefault="00E3750C" w:rsidP="00047864">
            <w:pPr>
              <w:spacing w:after="0" w:line="240" w:lineRule="auto"/>
              <w:jc w:val="right"/>
              <w:rPr>
                <w:rFonts w:ascii="Arial" w:eastAsia="Times New Roman" w:hAnsi="Arial" w:cs="Arial"/>
                <w:color w:val="000000"/>
                <w:sz w:val="18"/>
                <w:szCs w:val="18"/>
                <w:lang w:eastAsia="sl-SI"/>
              </w:rPr>
            </w:pPr>
            <w:r w:rsidRPr="007D1EF3">
              <w:rPr>
                <w:rFonts w:ascii="Arial" w:hAnsi="Arial" w:cs="Arial"/>
                <w:color w:val="000000"/>
                <w:sz w:val="18"/>
                <w:szCs w:val="18"/>
              </w:rPr>
              <w:t>7</w:t>
            </w:r>
          </w:p>
        </w:tc>
        <w:tc>
          <w:tcPr>
            <w:tcW w:w="1350" w:type="dxa"/>
            <w:shd w:val="clear" w:color="auto" w:fill="auto"/>
            <w:vAlign w:val="center"/>
            <w:hideMark/>
          </w:tcPr>
          <w:p w14:paraId="2213EFE0" w14:textId="77777777" w:rsidR="00E3750C" w:rsidRPr="007D1EF3" w:rsidRDefault="00E3750C" w:rsidP="00047864">
            <w:pPr>
              <w:spacing w:after="0" w:line="240" w:lineRule="auto"/>
              <w:jc w:val="right"/>
              <w:rPr>
                <w:rFonts w:ascii="Arial" w:eastAsia="Times New Roman" w:hAnsi="Arial" w:cs="Arial"/>
                <w:color w:val="000000"/>
                <w:sz w:val="18"/>
                <w:szCs w:val="18"/>
                <w:lang w:eastAsia="sl-SI"/>
              </w:rPr>
            </w:pPr>
            <w:r w:rsidRPr="007D1EF3">
              <w:rPr>
                <w:rFonts w:ascii="Arial" w:hAnsi="Arial" w:cs="Arial"/>
                <w:color w:val="000000"/>
                <w:sz w:val="18"/>
                <w:szCs w:val="18"/>
              </w:rPr>
              <w:t>57</w:t>
            </w:r>
          </w:p>
        </w:tc>
        <w:tc>
          <w:tcPr>
            <w:tcW w:w="2356" w:type="dxa"/>
            <w:shd w:val="clear" w:color="auto" w:fill="auto"/>
            <w:noWrap/>
            <w:vAlign w:val="center"/>
            <w:hideMark/>
          </w:tcPr>
          <w:p w14:paraId="71E63A8A" w14:textId="77777777" w:rsidR="00E3750C" w:rsidRPr="007D1EF3" w:rsidRDefault="00E3750C" w:rsidP="00047864">
            <w:pPr>
              <w:spacing w:after="0" w:line="240" w:lineRule="auto"/>
              <w:jc w:val="right"/>
              <w:rPr>
                <w:rFonts w:ascii="Arial" w:hAnsi="Arial" w:cs="Arial"/>
                <w:color w:val="000000"/>
                <w:sz w:val="18"/>
                <w:szCs w:val="18"/>
              </w:rPr>
            </w:pPr>
            <w:r w:rsidRPr="007D1EF3">
              <w:rPr>
                <w:rFonts w:ascii="Arial" w:hAnsi="Arial" w:cs="Arial"/>
                <w:color w:val="000000"/>
                <w:sz w:val="18"/>
                <w:szCs w:val="18"/>
              </w:rPr>
              <w:t>10,94</w:t>
            </w:r>
            <w:r>
              <w:rPr>
                <w:rFonts w:ascii="Arial" w:hAnsi="Arial" w:cs="Arial"/>
                <w:color w:val="000000"/>
                <w:sz w:val="18"/>
                <w:szCs w:val="18"/>
              </w:rPr>
              <w:t xml:space="preserve"> </w:t>
            </w:r>
            <w:r w:rsidRPr="007D1EF3">
              <w:rPr>
                <w:rFonts w:ascii="Arial" w:hAnsi="Arial" w:cs="Arial"/>
                <w:color w:val="000000"/>
                <w:sz w:val="18"/>
                <w:szCs w:val="18"/>
              </w:rPr>
              <w:t>%</w:t>
            </w:r>
          </w:p>
        </w:tc>
      </w:tr>
      <w:tr w:rsidR="00E3750C" w:rsidRPr="007D1EF3" w14:paraId="7C16DB90" w14:textId="77777777" w:rsidTr="00047864">
        <w:trPr>
          <w:trHeight w:val="255"/>
        </w:trPr>
        <w:tc>
          <w:tcPr>
            <w:tcW w:w="4172" w:type="dxa"/>
            <w:shd w:val="clear" w:color="auto" w:fill="auto"/>
            <w:vAlign w:val="center"/>
            <w:hideMark/>
          </w:tcPr>
          <w:p w14:paraId="2218BC7E" w14:textId="77777777" w:rsidR="00E3750C" w:rsidRPr="007D1EF3" w:rsidRDefault="00E3750C" w:rsidP="00047864">
            <w:pPr>
              <w:spacing w:after="0" w:line="240" w:lineRule="auto"/>
              <w:rPr>
                <w:rFonts w:ascii="Arial" w:eastAsia="Times New Roman" w:hAnsi="Arial" w:cs="Arial"/>
                <w:color w:val="000000"/>
                <w:sz w:val="18"/>
                <w:szCs w:val="18"/>
                <w:lang w:eastAsia="sl-SI"/>
              </w:rPr>
            </w:pPr>
            <w:r w:rsidRPr="007D1EF3">
              <w:rPr>
                <w:rFonts w:ascii="Arial" w:eastAsia="Times New Roman" w:hAnsi="Arial" w:cs="Arial"/>
                <w:color w:val="000000"/>
                <w:sz w:val="18"/>
                <w:szCs w:val="18"/>
                <w:lang w:eastAsia="sl-SI"/>
              </w:rPr>
              <w:t>Javni zavodi</w:t>
            </w:r>
          </w:p>
        </w:tc>
        <w:tc>
          <w:tcPr>
            <w:tcW w:w="1186" w:type="dxa"/>
            <w:shd w:val="clear" w:color="auto" w:fill="auto"/>
            <w:vAlign w:val="center"/>
            <w:hideMark/>
          </w:tcPr>
          <w:p w14:paraId="2A03F09C" w14:textId="77777777" w:rsidR="00E3750C" w:rsidRPr="007D1EF3" w:rsidRDefault="00E3750C" w:rsidP="00047864">
            <w:pPr>
              <w:spacing w:after="0" w:line="240" w:lineRule="auto"/>
              <w:jc w:val="right"/>
              <w:rPr>
                <w:rFonts w:ascii="Arial" w:eastAsia="Times New Roman" w:hAnsi="Arial" w:cs="Arial"/>
                <w:color w:val="000000"/>
                <w:sz w:val="18"/>
                <w:szCs w:val="18"/>
                <w:lang w:eastAsia="sl-SI"/>
              </w:rPr>
            </w:pPr>
            <w:r w:rsidRPr="007D1EF3">
              <w:rPr>
                <w:rFonts w:ascii="Arial" w:hAnsi="Arial" w:cs="Arial"/>
                <w:color w:val="000000"/>
                <w:sz w:val="18"/>
                <w:szCs w:val="18"/>
              </w:rPr>
              <w:t>549</w:t>
            </w:r>
          </w:p>
        </w:tc>
        <w:tc>
          <w:tcPr>
            <w:tcW w:w="1350" w:type="dxa"/>
            <w:shd w:val="clear" w:color="auto" w:fill="auto"/>
            <w:vAlign w:val="center"/>
            <w:hideMark/>
          </w:tcPr>
          <w:p w14:paraId="74326B68" w14:textId="77777777" w:rsidR="00E3750C" w:rsidRPr="007D1EF3" w:rsidRDefault="00E3750C" w:rsidP="00047864">
            <w:pPr>
              <w:spacing w:after="0" w:line="240" w:lineRule="auto"/>
              <w:jc w:val="right"/>
              <w:rPr>
                <w:rFonts w:ascii="Arial" w:eastAsia="Times New Roman" w:hAnsi="Arial" w:cs="Arial"/>
                <w:color w:val="000000"/>
                <w:sz w:val="18"/>
                <w:szCs w:val="18"/>
                <w:lang w:eastAsia="sl-SI"/>
              </w:rPr>
            </w:pPr>
            <w:r w:rsidRPr="007D1EF3">
              <w:rPr>
                <w:rFonts w:ascii="Arial" w:hAnsi="Arial" w:cs="Arial"/>
                <w:color w:val="000000"/>
                <w:sz w:val="18"/>
                <w:szCs w:val="18"/>
              </w:rPr>
              <w:t>1.728</w:t>
            </w:r>
          </w:p>
        </w:tc>
        <w:tc>
          <w:tcPr>
            <w:tcW w:w="2356" w:type="dxa"/>
            <w:shd w:val="clear" w:color="auto" w:fill="auto"/>
            <w:noWrap/>
            <w:vAlign w:val="center"/>
            <w:hideMark/>
          </w:tcPr>
          <w:p w14:paraId="4D4F73B6" w14:textId="77777777" w:rsidR="00E3750C" w:rsidRPr="007D1EF3" w:rsidRDefault="00E3750C" w:rsidP="00047864">
            <w:pPr>
              <w:spacing w:after="0" w:line="240" w:lineRule="auto"/>
              <w:jc w:val="right"/>
              <w:rPr>
                <w:rFonts w:ascii="Arial" w:hAnsi="Arial" w:cs="Arial"/>
                <w:color w:val="000000"/>
                <w:sz w:val="18"/>
                <w:szCs w:val="18"/>
              </w:rPr>
            </w:pPr>
            <w:r w:rsidRPr="007D1EF3">
              <w:rPr>
                <w:rFonts w:ascii="Arial" w:hAnsi="Arial" w:cs="Arial"/>
                <w:color w:val="000000"/>
                <w:sz w:val="18"/>
                <w:szCs w:val="18"/>
              </w:rPr>
              <w:t>24,11</w:t>
            </w:r>
            <w:r>
              <w:rPr>
                <w:rFonts w:ascii="Arial" w:hAnsi="Arial" w:cs="Arial"/>
                <w:color w:val="000000"/>
                <w:sz w:val="18"/>
                <w:szCs w:val="18"/>
              </w:rPr>
              <w:t xml:space="preserve"> </w:t>
            </w:r>
            <w:r w:rsidRPr="007D1EF3">
              <w:rPr>
                <w:rFonts w:ascii="Arial" w:hAnsi="Arial" w:cs="Arial"/>
                <w:color w:val="000000"/>
                <w:sz w:val="18"/>
                <w:szCs w:val="18"/>
              </w:rPr>
              <w:t>%</w:t>
            </w:r>
          </w:p>
        </w:tc>
      </w:tr>
      <w:tr w:rsidR="00E3750C" w:rsidRPr="007D1EF3" w14:paraId="49929873" w14:textId="77777777" w:rsidTr="00047864">
        <w:trPr>
          <w:trHeight w:val="255"/>
        </w:trPr>
        <w:tc>
          <w:tcPr>
            <w:tcW w:w="4172" w:type="dxa"/>
            <w:shd w:val="clear" w:color="auto" w:fill="auto"/>
            <w:vAlign w:val="center"/>
            <w:hideMark/>
          </w:tcPr>
          <w:p w14:paraId="13F22A56" w14:textId="77777777" w:rsidR="00E3750C" w:rsidRPr="007D1EF3" w:rsidRDefault="00E3750C" w:rsidP="00047864">
            <w:pPr>
              <w:spacing w:after="0" w:line="240" w:lineRule="auto"/>
              <w:rPr>
                <w:rFonts w:ascii="Arial" w:eastAsia="Times New Roman" w:hAnsi="Arial" w:cs="Arial"/>
                <w:color w:val="000000"/>
                <w:sz w:val="18"/>
                <w:szCs w:val="18"/>
                <w:lang w:eastAsia="sl-SI"/>
              </w:rPr>
            </w:pPr>
            <w:r w:rsidRPr="007D1EF3">
              <w:rPr>
                <w:rFonts w:ascii="Arial" w:eastAsia="Times New Roman" w:hAnsi="Arial" w:cs="Arial"/>
                <w:color w:val="000000"/>
                <w:sz w:val="18"/>
                <w:szCs w:val="18"/>
                <w:lang w:eastAsia="sl-SI"/>
              </w:rPr>
              <w:t>Javni gospodarski zavodi</w:t>
            </w:r>
          </w:p>
        </w:tc>
        <w:tc>
          <w:tcPr>
            <w:tcW w:w="1186" w:type="dxa"/>
            <w:shd w:val="clear" w:color="auto" w:fill="auto"/>
            <w:vAlign w:val="center"/>
            <w:hideMark/>
          </w:tcPr>
          <w:p w14:paraId="4C4EE501" w14:textId="77777777" w:rsidR="00E3750C" w:rsidRPr="007D1EF3" w:rsidRDefault="00E3750C" w:rsidP="00047864">
            <w:pPr>
              <w:spacing w:after="0" w:line="240" w:lineRule="auto"/>
              <w:jc w:val="right"/>
              <w:rPr>
                <w:rFonts w:ascii="Arial" w:eastAsia="Times New Roman" w:hAnsi="Arial" w:cs="Arial"/>
                <w:color w:val="000000"/>
                <w:sz w:val="18"/>
                <w:szCs w:val="18"/>
                <w:lang w:eastAsia="sl-SI"/>
              </w:rPr>
            </w:pPr>
            <w:r w:rsidRPr="007D1EF3">
              <w:rPr>
                <w:rFonts w:ascii="Arial" w:hAnsi="Arial" w:cs="Arial"/>
                <w:color w:val="000000"/>
                <w:sz w:val="18"/>
                <w:szCs w:val="18"/>
              </w:rPr>
              <w:t>11</w:t>
            </w:r>
          </w:p>
        </w:tc>
        <w:tc>
          <w:tcPr>
            <w:tcW w:w="1350" w:type="dxa"/>
            <w:shd w:val="clear" w:color="auto" w:fill="auto"/>
            <w:vAlign w:val="center"/>
            <w:hideMark/>
          </w:tcPr>
          <w:p w14:paraId="09B4474F" w14:textId="77777777" w:rsidR="00E3750C" w:rsidRPr="007D1EF3" w:rsidRDefault="00E3750C" w:rsidP="00047864">
            <w:pPr>
              <w:spacing w:after="0" w:line="240" w:lineRule="auto"/>
              <w:jc w:val="right"/>
              <w:rPr>
                <w:rFonts w:ascii="Arial" w:eastAsia="Times New Roman" w:hAnsi="Arial" w:cs="Arial"/>
                <w:color w:val="000000"/>
                <w:sz w:val="18"/>
                <w:szCs w:val="18"/>
                <w:lang w:eastAsia="sl-SI"/>
              </w:rPr>
            </w:pPr>
            <w:r w:rsidRPr="007D1EF3">
              <w:rPr>
                <w:rFonts w:ascii="Arial" w:hAnsi="Arial" w:cs="Arial"/>
                <w:color w:val="000000"/>
                <w:sz w:val="18"/>
                <w:szCs w:val="18"/>
              </w:rPr>
              <w:t>27</w:t>
            </w:r>
          </w:p>
        </w:tc>
        <w:tc>
          <w:tcPr>
            <w:tcW w:w="2356" w:type="dxa"/>
            <w:shd w:val="clear" w:color="auto" w:fill="auto"/>
            <w:noWrap/>
            <w:vAlign w:val="center"/>
            <w:hideMark/>
          </w:tcPr>
          <w:p w14:paraId="64206369" w14:textId="77777777" w:rsidR="00E3750C" w:rsidRPr="007D1EF3" w:rsidRDefault="00E3750C" w:rsidP="00047864">
            <w:pPr>
              <w:spacing w:after="0" w:line="240" w:lineRule="auto"/>
              <w:jc w:val="right"/>
              <w:rPr>
                <w:rFonts w:ascii="Arial" w:hAnsi="Arial" w:cs="Arial"/>
                <w:color w:val="000000"/>
                <w:sz w:val="18"/>
                <w:szCs w:val="18"/>
              </w:rPr>
            </w:pPr>
            <w:r w:rsidRPr="007D1EF3">
              <w:rPr>
                <w:rFonts w:ascii="Arial" w:hAnsi="Arial" w:cs="Arial"/>
                <w:color w:val="000000"/>
                <w:sz w:val="18"/>
                <w:szCs w:val="18"/>
              </w:rPr>
              <w:t>28,95</w:t>
            </w:r>
            <w:r>
              <w:rPr>
                <w:rFonts w:ascii="Arial" w:hAnsi="Arial" w:cs="Arial"/>
                <w:color w:val="000000"/>
                <w:sz w:val="18"/>
                <w:szCs w:val="18"/>
              </w:rPr>
              <w:t xml:space="preserve"> </w:t>
            </w:r>
            <w:r w:rsidRPr="007D1EF3">
              <w:rPr>
                <w:rFonts w:ascii="Arial" w:hAnsi="Arial" w:cs="Arial"/>
                <w:color w:val="000000"/>
                <w:sz w:val="18"/>
                <w:szCs w:val="18"/>
              </w:rPr>
              <w:t>%</w:t>
            </w:r>
          </w:p>
        </w:tc>
      </w:tr>
      <w:tr w:rsidR="00E3750C" w:rsidRPr="007D1EF3" w14:paraId="2DF786FD" w14:textId="77777777" w:rsidTr="00047864">
        <w:trPr>
          <w:trHeight w:val="255"/>
        </w:trPr>
        <w:tc>
          <w:tcPr>
            <w:tcW w:w="4172" w:type="dxa"/>
            <w:shd w:val="clear" w:color="auto" w:fill="auto"/>
            <w:vAlign w:val="center"/>
          </w:tcPr>
          <w:p w14:paraId="17EF3D6F" w14:textId="77777777" w:rsidR="00E3750C" w:rsidRPr="007D1EF3" w:rsidRDefault="00E3750C" w:rsidP="00047864">
            <w:pPr>
              <w:spacing w:after="0" w:line="240" w:lineRule="auto"/>
              <w:rPr>
                <w:rFonts w:ascii="Arial" w:eastAsia="Times New Roman" w:hAnsi="Arial" w:cs="Arial"/>
                <w:color w:val="000000"/>
                <w:sz w:val="18"/>
                <w:szCs w:val="18"/>
                <w:lang w:eastAsia="sl-SI"/>
              </w:rPr>
            </w:pPr>
            <w:r w:rsidRPr="007D1EF3">
              <w:rPr>
                <w:rFonts w:ascii="Arial" w:eastAsia="Times New Roman" w:hAnsi="Arial" w:cs="Arial"/>
                <w:color w:val="000000"/>
                <w:sz w:val="18"/>
                <w:szCs w:val="18"/>
                <w:lang w:eastAsia="sl-SI"/>
              </w:rPr>
              <w:t xml:space="preserve">Drugi naročniki (osebe javnega prava, javna podjetja, subjekt s posebnimi infrastrukturnimi pravicami) </w:t>
            </w:r>
          </w:p>
        </w:tc>
        <w:tc>
          <w:tcPr>
            <w:tcW w:w="1186" w:type="dxa"/>
            <w:shd w:val="clear" w:color="auto" w:fill="auto"/>
            <w:vAlign w:val="center"/>
          </w:tcPr>
          <w:p w14:paraId="50149401" w14:textId="77777777" w:rsidR="00E3750C" w:rsidRPr="007D1EF3" w:rsidRDefault="00E3750C" w:rsidP="00047864">
            <w:pPr>
              <w:spacing w:after="0" w:line="240" w:lineRule="auto"/>
              <w:jc w:val="right"/>
              <w:rPr>
                <w:rFonts w:ascii="Arial" w:eastAsia="Times New Roman" w:hAnsi="Arial" w:cs="Arial"/>
                <w:color w:val="000000"/>
                <w:sz w:val="18"/>
                <w:szCs w:val="18"/>
                <w:lang w:eastAsia="sl-SI"/>
              </w:rPr>
            </w:pPr>
            <w:r w:rsidRPr="007D1EF3">
              <w:rPr>
                <w:rFonts w:ascii="Arial" w:hAnsi="Arial" w:cs="Arial"/>
                <w:color w:val="000000"/>
                <w:sz w:val="18"/>
                <w:szCs w:val="18"/>
              </w:rPr>
              <w:t>351</w:t>
            </w:r>
          </w:p>
        </w:tc>
        <w:tc>
          <w:tcPr>
            <w:tcW w:w="1350" w:type="dxa"/>
            <w:shd w:val="clear" w:color="auto" w:fill="auto"/>
            <w:vAlign w:val="center"/>
          </w:tcPr>
          <w:p w14:paraId="407ECB8C" w14:textId="77777777" w:rsidR="00E3750C" w:rsidRPr="007D1EF3" w:rsidRDefault="00E3750C" w:rsidP="00047864">
            <w:pPr>
              <w:spacing w:after="0" w:line="240" w:lineRule="auto"/>
              <w:jc w:val="right"/>
              <w:rPr>
                <w:rFonts w:ascii="Arial" w:eastAsia="Times New Roman" w:hAnsi="Arial" w:cs="Arial"/>
                <w:color w:val="000000"/>
                <w:sz w:val="18"/>
                <w:szCs w:val="18"/>
                <w:lang w:eastAsia="sl-SI"/>
              </w:rPr>
            </w:pPr>
            <w:r w:rsidRPr="007D1EF3">
              <w:rPr>
                <w:rFonts w:ascii="Arial" w:hAnsi="Arial" w:cs="Arial"/>
                <w:color w:val="000000"/>
                <w:sz w:val="18"/>
                <w:szCs w:val="18"/>
              </w:rPr>
              <w:t>1.573</w:t>
            </w:r>
          </w:p>
        </w:tc>
        <w:tc>
          <w:tcPr>
            <w:tcW w:w="2356" w:type="dxa"/>
            <w:shd w:val="clear" w:color="auto" w:fill="auto"/>
            <w:noWrap/>
            <w:vAlign w:val="center"/>
          </w:tcPr>
          <w:p w14:paraId="5B5383E3" w14:textId="77777777" w:rsidR="00E3750C" w:rsidRPr="007D1EF3" w:rsidRDefault="00E3750C" w:rsidP="00047864">
            <w:pPr>
              <w:spacing w:after="0" w:line="240" w:lineRule="auto"/>
              <w:jc w:val="right"/>
              <w:rPr>
                <w:rFonts w:ascii="Arial" w:hAnsi="Arial" w:cs="Arial"/>
                <w:color w:val="000000"/>
                <w:sz w:val="18"/>
                <w:szCs w:val="18"/>
              </w:rPr>
            </w:pPr>
            <w:r w:rsidRPr="007D1EF3">
              <w:rPr>
                <w:rFonts w:ascii="Arial" w:hAnsi="Arial" w:cs="Arial"/>
                <w:color w:val="000000"/>
                <w:sz w:val="18"/>
                <w:szCs w:val="18"/>
              </w:rPr>
              <w:t>18,24</w:t>
            </w:r>
            <w:r>
              <w:rPr>
                <w:rFonts w:ascii="Arial" w:hAnsi="Arial" w:cs="Arial"/>
                <w:color w:val="000000"/>
                <w:sz w:val="18"/>
                <w:szCs w:val="18"/>
              </w:rPr>
              <w:t xml:space="preserve"> </w:t>
            </w:r>
            <w:r w:rsidRPr="007D1EF3">
              <w:rPr>
                <w:rFonts w:ascii="Arial" w:hAnsi="Arial" w:cs="Arial"/>
                <w:color w:val="000000"/>
                <w:sz w:val="18"/>
                <w:szCs w:val="18"/>
              </w:rPr>
              <w:t>%</w:t>
            </w:r>
          </w:p>
        </w:tc>
      </w:tr>
      <w:tr w:rsidR="00E3750C" w:rsidRPr="007D1EF3" w14:paraId="6CE28435" w14:textId="77777777" w:rsidTr="00047864">
        <w:trPr>
          <w:trHeight w:val="255"/>
        </w:trPr>
        <w:tc>
          <w:tcPr>
            <w:tcW w:w="4172" w:type="dxa"/>
            <w:shd w:val="clear" w:color="auto" w:fill="auto"/>
            <w:vAlign w:val="center"/>
          </w:tcPr>
          <w:p w14:paraId="0C02647E" w14:textId="77777777" w:rsidR="00E3750C" w:rsidRPr="007D1EF3" w:rsidRDefault="00E3750C" w:rsidP="00047864">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Drugi subjekti</w:t>
            </w:r>
          </w:p>
        </w:tc>
        <w:tc>
          <w:tcPr>
            <w:tcW w:w="1186" w:type="dxa"/>
            <w:shd w:val="clear" w:color="auto" w:fill="auto"/>
            <w:vAlign w:val="center"/>
          </w:tcPr>
          <w:p w14:paraId="52D5DB50" w14:textId="77777777" w:rsidR="00E3750C" w:rsidRPr="007D1EF3" w:rsidRDefault="00E3750C" w:rsidP="00047864">
            <w:pPr>
              <w:spacing w:after="0" w:line="240" w:lineRule="auto"/>
              <w:jc w:val="right"/>
              <w:rPr>
                <w:rFonts w:ascii="Arial" w:eastAsia="Times New Roman" w:hAnsi="Arial" w:cs="Arial"/>
                <w:color w:val="000000"/>
                <w:sz w:val="18"/>
                <w:szCs w:val="18"/>
                <w:lang w:eastAsia="sl-SI"/>
              </w:rPr>
            </w:pPr>
            <w:r w:rsidRPr="007D1EF3">
              <w:rPr>
                <w:rFonts w:ascii="Arial" w:hAnsi="Arial" w:cs="Arial"/>
                <w:color w:val="000000"/>
                <w:sz w:val="18"/>
                <w:szCs w:val="18"/>
              </w:rPr>
              <w:t>5</w:t>
            </w:r>
          </w:p>
        </w:tc>
        <w:tc>
          <w:tcPr>
            <w:tcW w:w="1350" w:type="dxa"/>
            <w:shd w:val="clear" w:color="auto" w:fill="auto"/>
            <w:vAlign w:val="center"/>
          </w:tcPr>
          <w:p w14:paraId="714B65F9" w14:textId="77777777" w:rsidR="00E3750C" w:rsidRPr="007D1EF3" w:rsidRDefault="00E3750C" w:rsidP="00047864">
            <w:pPr>
              <w:spacing w:after="0" w:line="240" w:lineRule="auto"/>
              <w:jc w:val="right"/>
              <w:rPr>
                <w:rFonts w:ascii="Arial" w:eastAsia="Times New Roman" w:hAnsi="Arial" w:cs="Arial"/>
                <w:color w:val="000000"/>
                <w:sz w:val="18"/>
                <w:szCs w:val="18"/>
                <w:lang w:eastAsia="sl-SI"/>
              </w:rPr>
            </w:pPr>
            <w:r w:rsidRPr="007D1EF3">
              <w:rPr>
                <w:rFonts w:ascii="Arial" w:hAnsi="Arial" w:cs="Arial"/>
                <w:color w:val="000000"/>
                <w:sz w:val="18"/>
                <w:szCs w:val="18"/>
              </w:rPr>
              <w:t>78</w:t>
            </w:r>
          </w:p>
        </w:tc>
        <w:tc>
          <w:tcPr>
            <w:tcW w:w="2356" w:type="dxa"/>
            <w:shd w:val="clear" w:color="auto" w:fill="auto"/>
            <w:noWrap/>
            <w:vAlign w:val="center"/>
          </w:tcPr>
          <w:p w14:paraId="74940075" w14:textId="77777777" w:rsidR="00E3750C" w:rsidRPr="007D1EF3" w:rsidRDefault="00E3750C" w:rsidP="00047864">
            <w:pPr>
              <w:spacing w:after="0" w:line="240" w:lineRule="auto"/>
              <w:jc w:val="right"/>
              <w:rPr>
                <w:rFonts w:ascii="Arial" w:hAnsi="Arial" w:cs="Arial"/>
                <w:color w:val="000000"/>
                <w:sz w:val="18"/>
                <w:szCs w:val="18"/>
              </w:rPr>
            </w:pPr>
            <w:r w:rsidRPr="007D1EF3">
              <w:rPr>
                <w:rFonts w:ascii="Arial" w:hAnsi="Arial" w:cs="Arial"/>
                <w:color w:val="000000"/>
                <w:sz w:val="18"/>
                <w:szCs w:val="18"/>
              </w:rPr>
              <w:t>6,02</w:t>
            </w:r>
            <w:r>
              <w:rPr>
                <w:rFonts w:ascii="Arial" w:hAnsi="Arial" w:cs="Arial"/>
                <w:color w:val="000000"/>
                <w:sz w:val="18"/>
                <w:szCs w:val="18"/>
              </w:rPr>
              <w:t xml:space="preserve"> </w:t>
            </w:r>
            <w:r w:rsidRPr="007D1EF3">
              <w:rPr>
                <w:rFonts w:ascii="Arial" w:hAnsi="Arial" w:cs="Arial"/>
                <w:color w:val="000000"/>
                <w:sz w:val="18"/>
                <w:szCs w:val="18"/>
              </w:rPr>
              <w:t>%</w:t>
            </w:r>
          </w:p>
        </w:tc>
      </w:tr>
      <w:tr w:rsidR="00E3750C" w:rsidRPr="007D1EF3" w14:paraId="7974E9C1" w14:textId="77777777" w:rsidTr="00047864">
        <w:trPr>
          <w:trHeight w:val="257"/>
        </w:trPr>
        <w:tc>
          <w:tcPr>
            <w:tcW w:w="4172" w:type="dxa"/>
            <w:shd w:val="clear" w:color="auto" w:fill="F2F2F2" w:themeFill="background1" w:themeFillShade="F2"/>
            <w:vAlign w:val="center"/>
          </w:tcPr>
          <w:p w14:paraId="48F6E143" w14:textId="77777777" w:rsidR="00E3750C" w:rsidRPr="007D1EF3" w:rsidRDefault="00E3750C" w:rsidP="00047864">
            <w:pPr>
              <w:spacing w:after="0" w:line="240" w:lineRule="auto"/>
              <w:rPr>
                <w:rFonts w:ascii="Arial" w:eastAsia="Times New Roman" w:hAnsi="Arial" w:cs="Arial"/>
                <w:b/>
                <w:bCs/>
                <w:color w:val="000000"/>
                <w:sz w:val="18"/>
                <w:szCs w:val="18"/>
                <w:lang w:eastAsia="sl-SI"/>
              </w:rPr>
            </w:pPr>
            <w:r w:rsidRPr="007D1EF3">
              <w:rPr>
                <w:rFonts w:ascii="Arial" w:eastAsia="Times New Roman" w:hAnsi="Arial" w:cs="Arial"/>
                <w:b/>
                <w:bCs/>
                <w:color w:val="000000"/>
                <w:sz w:val="18"/>
                <w:szCs w:val="18"/>
                <w:lang w:eastAsia="sl-SI"/>
              </w:rPr>
              <w:t>Skupaj</w:t>
            </w:r>
          </w:p>
        </w:tc>
        <w:tc>
          <w:tcPr>
            <w:tcW w:w="1186" w:type="dxa"/>
            <w:shd w:val="clear" w:color="auto" w:fill="F2F2F2" w:themeFill="background1" w:themeFillShade="F2"/>
            <w:vAlign w:val="center"/>
          </w:tcPr>
          <w:p w14:paraId="422C927E" w14:textId="77777777" w:rsidR="00E3750C" w:rsidRPr="007D1EF3" w:rsidRDefault="00E3750C" w:rsidP="00047864">
            <w:pPr>
              <w:spacing w:after="0" w:line="240" w:lineRule="auto"/>
              <w:jc w:val="right"/>
              <w:rPr>
                <w:rFonts w:ascii="Arial" w:eastAsia="Times New Roman" w:hAnsi="Arial" w:cs="Arial"/>
                <w:b/>
                <w:bCs/>
                <w:color w:val="000000"/>
                <w:sz w:val="18"/>
                <w:szCs w:val="18"/>
                <w:lang w:eastAsia="sl-SI"/>
              </w:rPr>
            </w:pPr>
            <w:r w:rsidRPr="007D1EF3">
              <w:rPr>
                <w:rFonts w:ascii="Arial" w:hAnsi="Arial" w:cs="Arial"/>
                <w:b/>
                <w:bCs/>
                <w:color w:val="000000"/>
                <w:sz w:val="18"/>
                <w:szCs w:val="18"/>
              </w:rPr>
              <w:t>1.000</w:t>
            </w:r>
          </w:p>
        </w:tc>
        <w:tc>
          <w:tcPr>
            <w:tcW w:w="1350" w:type="dxa"/>
            <w:shd w:val="clear" w:color="auto" w:fill="F2F2F2" w:themeFill="background1" w:themeFillShade="F2"/>
            <w:vAlign w:val="center"/>
          </w:tcPr>
          <w:p w14:paraId="42FCCCBB" w14:textId="77777777" w:rsidR="00E3750C" w:rsidRPr="007D1EF3" w:rsidRDefault="00E3750C" w:rsidP="00047864">
            <w:pPr>
              <w:spacing w:after="0" w:line="240" w:lineRule="auto"/>
              <w:jc w:val="right"/>
              <w:rPr>
                <w:rFonts w:ascii="Arial" w:eastAsia="Times New Roman" w:hAnsi="Arial" w:cs="Arial"/>
                <w:b/>
                <w:bCs/>
                <w:color w:val="000000"/>
                <w:sz w:val="18"/>
                <w:szCs w:val="18"/>
                <w:lang w:eastAsia="sl-SI"/>
              </w:rPr>
            </w:pPr>
            <w:r w:rsidRPr="007D1EF3">
              <w:rPr>
                <w:rFonts w:ascii="Arial" w:hAnsi="Arial" w:cs="Arial"/>
                <w:b/>
                <w:bCs/>
                <w:color w:val="000000"/>
                <w:sz w:val="18"/>
                <w:szCs w:val="18"/>
              </w:rPr>
              <w:t>5.721</w:t>
            </w:r>
          </w:p>
        </w:tc>
        <w:tc>
          <w:tcPr>
            <w:tcW w:w="2356" w:type="dxa"/>
            <w:shd w:val="clear" w:color="auto" w:fill="F2F2F2" w:themeFill="background1" w:themeFillShade="F2"/>
            <w:noWrap/>
            <w:vAlign w:val="center"/>
          </w:tcPr>
          <w:p w14:paraId="7746FD6B" w14:textId="77777777" w:rsidR="00E3750C" w:rsidRPr="007D1EF3" w:rsidRDefault="00E3750C" w:rsidP="00047864">
            <w:pPr>
              <w:spacing w:after="0" w:line="240" w:lineRule="auto"/>
              <w:jc w:val="right"/>
              <w:rPr>
                <w:rFonts w:ascii="Arial" w:hAnsi="Arial" w:cs="Arial"/>
                <w:b/>
                <w:bCs/>
                <w:color w:val="000000"/>
                <w:sz w:val="18"/>
                <w:szCs w:val="18"/>
              </w:rPr>
            </w:pPr>
            <w:r w:rsidRPr="007D1EF3">
              <w:rPr>
                <w:rFonts w:ascii="Arial" w:hAnsi="Arial" w:cs="Arial"/>
                <w:b/>
                <w:bCs/>
                <w:color w:val="000000"/>
                <w:sz w:val="18"/>
                <w:szCs w:val="18"/>
              </w:rPr>
              <w:t>14,88 %</w:t>
            </w:r>
          </w:p>
        </w:tc>
      </w:tr>
    </w:tbl>
    <w:p w14:paraId="153882EF" w14:textId="77777777" w:rsidR="00E3750C" w:rsidRPr="007D1EF3" w:rsidRDefault="00E3750C" w:rsidP="00E3750C">
      <w:pPr>
        <w:spacing w:after="0" w:line="240" w:lineRule="auto"/>
        <w:jc w:val="both"/>
        <w:rPr>
          <w:rFonts w:ascii="Arial" w:hAnsi="Arial" w:cs="Arial"/>
          <w:sz w:val="20"/>
        </w:rPr>
      </w:pPr>
    </w:p>
    <w:p w14:paraId="3403BB01" w14:textId="77777777" w:rsidR="00E3750C" w:rsidRPr="00B8723A" w:rsidRDefault="00E3750C" w:rsidP="00E3750C">
      <w:pPr>
        <w:spacing w:before="120" w:after="0" w:line="240" w:lineRule="auto"/>
        <w:jc w:val="both"/>
        <w:rPr>
          <w:rFonts w:ascii="Arial" w:hAnsi="Arial" w:cs="Arial"/>
          <w:sz w:val="20"/>
        </w:rPr>
      </w:pPr>
      <w:r w:rsidRPr="00B8723A">
        <w:rPr>
          <w:rFonts w:ascii="Arial" w:hAnsi="Arial" w:cs="Arial"/>
          <w:sz w:val="20"/>
        </w:rPr>
        <w:t>Preglednica 7</w:t>
      </w:r>
      <w:r>
        <w:rPr>
          <w:rFonts w:ascii="Arial" w:hAnsi="Arial" w:cs="Arial"/>
          <w:sz w:val="20"/>
        </w:rPr>
        <w:t>2</w:t>
      </w:r>
      <w:r w:rsidRPr="00B8723A">
        <w:rPr>
          <w:rFonts w:ascii="Arial" w:hAnsi="Arial" w:cs="Arial"/>
          <w:sz w:val="20"/>
        </w:rPr>
        <w:t>: Postopki za sklenitev okvirnega sporazuma glede na predmet naročanja po Enotnem besednjaku javnih naročil (CPV)</w:t>
      </w:r>
    </w:p>
    <w:p w14:paraId="0E29E757" w14:textId="77777777" w:rsidR="00E3750C" w:rsidRPr="00BF7302" w:rsidRDefault="00E3750C" w:rsidP="00E3750C">
      <w:pPr>
        <w:spacing w:after="0" w:line="240" w:lineRule="auto"/>
        <w:jc w:val="both"/>
        <w:rPr>
          <w:rFonts w:ascii="Arial" w:hAnsi="Arial" w:cs="Arial"/>
          <w:sz w:val="20"/>
          <w:highlight w:val="yellow"/>
        </w:rPr>
      </w:pPr>
    </w:p>
    <w:tbl>
      <w:tblPr>
        <w:tblW w:w="5000" w:type="pct"/>
        <w:tblCellMar>
          <w:left w:w="70" w:type="dxa"/>
          <w:right w:w="70" w:type="dxa"/>
        </w:tblCellMar>
        <w:tblLook w:val="04A0" w:firstRow="1" w:lastRow="0" w:firstColumn="1" w:lastColumn="0" w:noHBand="0" w:noVBand="1"/>
      </w:tblPr>
      <w:tblGrid>
        <w:gridCol w:w="821"/>
        <w:gridCol w:w="6519"/>
        <w:gridCol w:w="873"/>
        <w:gridCol w:w="961"/>
      </w:tblGrid>
      <w:tr w:rsidR="00E3750C" w:rsidRPr="00903F45" w14:paraId="5D3F26F8" w14:textId="77777777" w:rsidTr="00047864">
        <w:trPr>
          <w:trHeight w:val="300"/>
          <w:tblHeader/>
        </w:trPr>
        <w:tc>
          <w:tcPr>
            <w:tcW w:w="300"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789C9D23" w14:textId="77777777" w:rsidR="00E3750C" w:rsidRPr="00903F45" w:rsidRDefault="00E3750C" w:rsidP="00047864">
            <w:pPr>
              <w:spacing w:after="0" w:line="240" w:lineRule="auto"/>
              <w:jc w:val="center"/>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 xml:space="preserve">Predmet </w:t>
            </w:r>
          </w:p>
        </w:tc>
        <w:tc>
          <w:tcPr>
            <w:tcW w:w="3669" w:type="pct"/>
            <w:tcBorders>
              <w:top w:val="single" w:sz="4" w:space="0" w:color="auto"/>
              <w:left w:val="nil"/>
              <w:bottom w:val="single" w:sz="4" w:space="0" w:color="auto"/>
              <w:right w:val="single" w:sz="4" w:space="0" w:color="auto"/>
            </w:tcBorders>
            <w:shd w:val="clear" w:color="000000" w:fill="F2F2F2"/>
            <w:vAlign w:val="center"/>
            <w:hideMark/>
          </w:tcPr>
          <w:p w14:paraId="2B45522F" w14:textId="77777777" w:rsidR="00E3750C" w:rsidRPr="00903F45" w:rsidRDefault="00E3750C" w:rsidP="00047864">
            <w:pPr>
              <w:spacing w:after="0" w:line="240" w:lineRule="auto"/>
              <w:jc w:val="center"/>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Opis CPV oddelka</w:t>
            </w:r>
          </w:p>
        </w:tc>
        <w:tc>
          <w:tcPr>
            <w:tcW w:w="592" w:type="pct"/>
            <w:tcBorders>
              <w:top w:val="single" w:sz="4" w:space="0" w:color="auto"/>
              <w:left w:val="nil"/>
              <w:bottom w:val="single" w:sz="4" w:space="0" w:color="auto"/>
              <w:right w:val="single" w:sz="4" w:space="0" w:color="auto"/>
            </w:tcBorders>
            <w:shd w:val="clear" w:color="000000" w:fill="F2F2F2"/>
            <w:vAlign w:val="center"/>
            <w:hideMark/>
          </w:tcPr>
          <w:p w14:paraId="1D6EA254" w14:textId="77777777" w:rsidR="00E3750C" w:rsidRPr="00903F45" w:rsidRDefault="00E3750C" w:rsidP="00047864">
            <w:pPr>
              <w:spacing w:after="0" w:line="240" w:lineRule="auto"/>
              <w:jc w:val="center"/>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CPV oddelek</w:t>
            </w:r>
          </w:p>
        </w:tc>
        <w:tc>
          <w:tcPr>
            <w:tcW w:w="439" w:type="pct"/>
            <w:tcBorders>
              <w:top w:val="single" w:sz="4" w:space="0" w:color="auto"/>
              <w:left w:val="nil"/>
              <w:bottom w:val="single" w:sz="4" w:space="0" w:color="auto"/>
              <w:right w:val="single" w:sz="4" w:space="0" w:color="auto"/>
            </w:tcBorders>
            <w:shd w:val="clear" w:color="000000" w:fill="F2F2F2"/>
            <w:vAlign w:val="center"/>
            <w:hideMark/>
          </w:tcPr>
          <w:p w14:paraId="38562E68" w14:textId="77777777" w:rsidR="00E3750C" w:rsidRPr="00903F45" w:rsidRDefault="00E3750C" w:rsidP="00047864">
            <w:pPr>
              <w:spacing w:after="0" w:line="240" w:lineRule="auto"/>
              <w:jc w:val="center"/>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Št. postopkov</w:t>
            </w:r>
          </w:p>
        </w:tc>
      </w:tr>
      <w:tr w:rsidR="00E3750C" w:rsidRPr="00903F45" w14:paraId="18B54186" w14:textId="77777777" w:rsidTr="00047864">
        <w:trPr>
          <w:trHeight w:val="300"/>
        </w:trPr>
        <w:tc>
          <w:tcPr>
            <w:tcW w:w="300" w:type="pct"/>
            <w:tcBorders>
              <w:top w:val="nil"/>
              <w:left w:val="single" w:sz="4" w:space="0" w:color="auto"/>
              <w:bottom w:val="single" w:sz="4" w:space="0" w:color="auto"/>
              <w:right w:val="single" w:sz="4" w:space="0" w:color="auto"/>
            </w:tcBorders>
            <w:shd w:val="clear" w:color="auto" w:fill="auto"/>
            <w:vAlign w:val="center"/>
            <w:hideMark/>
          </w:tcPr>
          <w:p w14:paraId="5AC6D41B"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Blago</w:t>
            </w:r>
          </w:p>
        </w:tc>
        <w:tc>
          <w:tcPr>
            <w:tcW w:w="3669" w:type="pct"/>
            <w:tcBorders>
              <w:top w:val="nil"/>
              <w:left w:val="nil"/>
              <w:bottom w:val="single" w:sz="4" w:space="0" w:color="auto"/>
              <w:right w:val="single" w:sz="4" w:space="0" w:color="auto"/>
            </w:tcBorders>
            <w:shd w:val="clear" w:color="auto" w:fill="auto"/>
            <w:vAlign w:val="center"/>
            <w:hideMark/>
          </w:tcPr>
          <w:p w14:paraId="18C3EBC0"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Živila, pijače, tobačni izdelki in z njimi povezani izdelki</w:t>
            </w:r>
          </w:p>
        </w:tc>
        <w:tc>
          <w:tcPr>
            <w:tcW w:w="592" w:type="pct"/>
            <w:tcBorders>
              <w:top w:val="nil"/>
              <w:left w:val="nil"/>
              <w:bottom w:val="single" w:sz="4" w:space="0" w:color="auto"/>
              <w:right w:val="single" w:sz="4" w:space="0" w:color="auto"/>
            </w:tcBorders>
            <w:shd w:val="clear" w:color="auto" w:fill="auto"/>
            <w:noWrap/>
            <w:vAlign w:val="center"/>
            <w:hideMark/>
          </w:tcPr>
          <w:p w14:paraId="2F37D35B"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15</w:t>
            </w:r>
          </w:p>
        </w:tc>
        <w:tc>
          <w:tcPr>
            <w:tcW w:w="439" w:type="pct"/>
            <w:tcBorders>
              <w:top w:val="nil"/>
              <w:left w:val="nil"/>
              <w:bottom w:val="single" w:sz="4" w:space="0" w:color="auto"/>
              <w:right w:val="single" w:sz="4" w:space="0" w:color="auto"/>
            </w:tcBorders>
            <w:shd w:val="clear" w:color="auto" w:fill="auto"/>
            <w:vAlign w:val="center"/>
            <w:hideMark/>
          </w:tcPr>
          <w:p w14:paraId="0BB42327" w14:textId="77777777" w:rsidR="00E3750C" w:rsidRPr="00903F45" w:rsidRDefault="00E3750C" w:rsidP="00047864">
            <w:pPr>
              <w:spacing w:after="0" w:line="240" w:lineRule="auto"/>
              <w:jc w:val="right"/>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198</w:t>
            </w:r>
          </w:p>
        </w:tc>
      </w:tr>
      <w:tr w:rsidR="00E3750C" w:rsidRPr="00903F45" w14:paraId="29D0BBF2" w14:textId="77777777" w:rsidTr="00047864">
        <w:trPr>
          <w:trHeight w:val="300"/>
        </w:trPr>
        <w:tc>
          <w:tcPr>
            <w:tcW w:w="300" w:type="pct"/>
            <w:tcBorders>
              <w:top w:val="nil"/>
              <w:left w:val="single" w:sz="4" w:space="0" w:color="auto"/>
              <w:bottom w:val="single" w:sz="4" w:space="0" w:color="auto"/>
              <w:right w:val="single" w:sz="4" w:space="0" w:color="auto"/>
            </w:tcBorders>
            <w:shd w:val="clear" w:color="auto" w:fill="auto"/>
            <w:vAlign w:val="center"/>
            <w:hideMark/>
          </w:tcPr>
          <w:p w14:paraId="7C9F678D"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Blago</w:t>
            </w:r>
          </w:p>
        </w:tc>
        <w:tc>
          <w:tcPr>
            <w:tcW w:w="3669" w:type="pct"/>
            <w:tcBorders>
              <w:top w:val="nil"/>
              <w:left w:val="nil"/>
              <w:bottom w:val="single" w:sz="4" w:space="0" w:color="auto"/>
              <w:right w:val="single" w:sz="4" w:space="0" w:color="auto"/>
            </w:tcBorders>
            <w:shd w:val="clear" w:color="auto" w:fill="auto"/>
            <w:vAlign w:val="center"/>
            <w:hideMark/>
          </w:tcPr>
          <w:p w14:paraId="0A547D11"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Medicinska oprema, farmacevtski izdelki in izdelki za osebno nego</w:t>
            </w:r>
          </w:p>
        </w:tc>
        <w:tc>
          <w:tcPr>
            <w:tcW w:w="592" w:type="pct"/>
            <w:tcBorders>
              <w:top w:val="nil"/>
              <w:left w:val="nil"/>
              <w:bottom w:val="single" w:sz="4" w:space="0" w:color="auto"/>
              <w:right w:val="single" w:sz="4" w:space="0" w:color="auto"/>
            </w:tcBorders>
            <w:shd w:val="clear" w:color="auto" w:fill="auto"/>
            <w:noWrap/>
            <w:vAlign w:val="center"/>
            <w:hideMark/>
          </w:tcPr>
          <w:p w14:paraId="664EBDEE"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33</w:t>
            </w:r>
          </w:p>
        </w:tc>
        <w:tc>
          <w:tcPr>
            <w:tcW w:w="439" w:type="pct"/>
            <w:tcBorders>
              <w:top w:val="nil"/>
              <w:left w:val="nil"/>
              <w:bottom w:val="single" w:sz="4" w:space="0" w:color="auto"/>
              <w:right w:val="single" w:sz="4" w:space="0" w:color="auto"/>
            </w:tcBorders>
            <w:shd w:val="clear" w:color="auto" w:fill="auto"/>
            <w:vAlign w:val="center"/>
            <w:hideMark/>
          </w:tcPr>
          <w:p w14:paraId="75D93B9C" w14:textId="77777777" w:rsidR="00E3750C" w:rsidRPr="00903F45" w:rsidRDefault="00E3750C" w:rsidP="00047864">
            <w:pPr>
              <w:spacing w:after="0" w:line="240" w:lineRule="auto"/>
              <w:jc w:val="right"/>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189</w:t>
            </w:r>
          </w:p>
        </w:tc>
      </w:tr>
      <w:tr w:rsidR="00E3750C" w:rsidRPr="00903F45" w14:paraId="62F439A2" w14:textId="77777777" w:rsidTr="00047864">
        <w:trPr>
          <w:trHeight w:val="300"/>
        </w:trPr>
        <w:tc>
          <w:tcPr>
            <w:tcW w:w="300" w:type="pct"/>
            <w:tcBorders>
              <w:top w:val="nil"/>
              <w:left w:val="single" w:sz="4" w:space="0" w:color="auto"/>
              <w:bottom w:val="single" w:sz="4" w:space="0" w:color="auto"/>
              <w:right w:val="single" w:sz="4" w:space="0" w:color="auto"/>
            </w:tcBorders>
            <w:shd w:val="clear" w:color="auto" w:fill="auto"/>
            <w:vAlign w:val="center"/>
            <w:hideMark/>
          </w:tcPr>
          <w:p w14:paraId="47C6F886"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Storitve</w:t>
            </w:r>
          </w:p>
        </w:tc>
        <w:tc>
          <w:tcPr>
            <w:tcW w:w="3669" w:type="pct"/>
            <w:tcBorders>
              <w:top w:val="nil"/>
              <w:left w:val="nil"/>
              <w:bottom w:val="single" w:sz="4" w:space="0" w:color="auto"/>
              <w:right w:val="single" w:sz="4" w:space="0" w:color="auto"/>
            </w:tcBorders>
            <w:shd w:val="clear" w:color="auto" w:fill="auto"/>
            <w:vAlign w:val="center"/>
            <w:hideMark/>
          </w:tcPr>
          <w:p w14:paraId="3738FCB4"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Storitve popravila in vzdrževanja</w:t>
            </w:r>
          </w:p>
        </w:tc>
        <w:tc>
          <w:tcPr>
            <w:tcW w:w="592" w:type="pct"/>
            <w:tcBorders>
              <w:top w:val="nil"/>
              <w:left w:val="nil"/>
              <w:bottom w:val="single" w:sz="4" w:space="0" w:color="auto"/>
              <w:right w:val="single" w:sz="4" w:space="0" w:color="auto"/>
            </w:tcBorders>
            <w:shd w:val="clear" w:color="auto" w:fill="auto"/>
            <w:noWrap/>
            <w:vAlign w:val="center"/>
            <w:hideMark/>
          </w:tcPr>
          <w:p w14:paraId="20435EEF"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50</w:t>
            </w:r>
          </w:p>
        </w:tc>
        <w:tc>
          <w:tcPr>
            <w:tcW w:w="439" w:type="pct"/>
            <w:tcBorders>
              <w:top w:val="nil"/>
              <w:left w:val="nil"/>
              <w:bottom w:val="single" w:sz="4" w:space="0" w:color="auto"/>
              <w:right w:val="single" w:sz="4" w:space="0" w:color="auto"/>
            </w:tcBorders>
            <w:shd w:val="clear" w:color="auto" w:fill="auto"/>
            <w:vAlign w:val="center"/>
            <w:hideMark/>
          </w:tcPr>
          <w:p w14:paraId="539DAC9F" w14:textId="77777777" w:rsidR="00E3750C" w:rsidRPr="00903F45" w:rsidRDefault="00E3750C" w:rsidP="00047864">
            <w:pPr>
              <w:spacing w:after="0" w:line="240" w:lineRule="auto"/>
              <w:jc w:val="right"/>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64</w:t>
            </w:r>
          </w:p>
        </w:tc>
      </w:tr>
      <w:tr w:rsidR="00E3750C" w:rsidRPr="00903F45" w14:paraId="2E1B7E8E" w14:textId="77777777" w:rsidTr="00047864">
        <w:trPr>
          <w:trHeight w:val="300"/>
        </w:trPr>
        <w:tc>
          <w:tcPr>
            <w:tcW w:w="300" w:type="pct"/>
            <w:tcBorders>
              <w:top w:val="nil"/>
              <w:left w:val="single" w:sz="4" w:space="0" w:color="auto"/>
              <w:bottom w:val="single" w:sz="4" w:space="0" w:color="auto"/>
              <w:right w:val="single" w:sz="4" w:space="0" w:color="auto"/>
            </w:tcBorders>
            <w:shd w:val="clear" w:color="auto" w:fill="auto"/>
            <w:vAlign w:val="center"/>
            <w:hideMark/>
          </w:tcPr>
          <w:p w14:paraId="4E53EEF1"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Storitve</w:t>
            </w:r>
          </w:p>
        </w:tc>
        <w:tc>
          <w:tcPr>
            <w:tcW w:w="3669" w:type="pct"/>
            <w:tcBorders>
              <w:top w:val="nil"/>
              <w:left w:val="nil"/>
              <w:bottom w:val="single" w:sz="4" w:space="0" w:color="auto"/>
              <w:right w:val="single" w:sz="4" w:space="0" w:color="auto"/>
            </w:tcBorders>
            <w:shd w:val="clear" w:color="auto" w:fill="auto"/>
            <w:vAlign w:val="center"/>
            <w:hideMark/>
          </w:tcPr>
          <w:p w14:paraId="05026D65"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Storitve v zvezi z odplakami, odpadki, čiščenjem in okoljem</w:t>
            </w:r>
          </w:p>
        </w:tc>
        <w:tc>
          <w:tcPr>
            <w:tcW w:w="592" w:type="pct"/>
            <w:tcBorders>
              <w:top w:val="nil"/>
              <w:left w:val="nil"/>
              <w:bottom w:val="single" w:sz="4" w:space="0" w:color="auto"/>
              <w:right w:val="single" w:sz="4" w:space="0" w:color="auto"/>
            </w:tcBorders>
            <w:shd w:val="clear" w:color="auto" w:fill="auto"/>
            <w:noWrap/>
            <w:vAlign w:val="center"/>
            <w:hideMark/>
          </w:tcPr>
          <w:p w14:paraId="492B6700"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90</w:t>
            </w:r>
          </w:p>
        </w:tc>
        <w:tc>
          <w:tcPr>
            <w:tcW w:w="439" w:type="pct"/>
            <w:tcBorders>
              <w:top w:val="nil"/>
              <w:left w:val="nil"/>
              <w:bottom w:val="single" w:sz="4" w:space="0" w:color="auto"/>
              <w:right w:val="single" w:sz="4" w:space="0" w:color="auto"/>
            </w:tcBorders>
            <w:shd w:val="clear" w:color="auto" w:fill="auto"/>
            <w:vAlign w:val="center"/>
            <w:hideMark/>
          </w:tcPr>
          <w:p w14:paraId="211B4464" w14:textId="77777777" w:rsidR="00E3750C" w:rsidRPr="00903F45" w:rsidRDefault="00E3750C" w:rsidP="00047864">
            <w:pPr>
              <w:spacing w:after="0" w:line="240" w:lineRule="auto"/>
              <w:jc w:val="right"/>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58</w:t>
            </w:r>
          </w:p>
        </w:tc>
      </w:tr>
      <w:tr w:rsidR="00E3750C" w:rsidRPr="00903F45" w14:paraId="212EC419" w14:textId="77777777" w:rsidTr="00047864">
        <w:trPr>
          <w:trHeight w:val="300"/>
        </w:trPr>
        <w:tc>
          <w:tcPr>
            <w:tcW w:w="300" w:type="pct"/>
            <w:tcBorders>
              <w:top w:val="nil"/>
              <w:left w:val="single" w:sz="4" w:space="0" w:color="auto"/>
              <w:bottom w:val="single" w:sz="4" w:space="0" w:color="auto"/>
              <w:right w:val="single" w:sz="4" w:space="0" w:color="auto"/>
            </w:tcBorders>
            <w:shd w:val="clear" w:color="auto" w:fill="auto"/>
            <w:vAlign w:val="center"/>
            <w:hideMark/>
          </w:tcPr>
          <w:p w14:paraId="6FD2D956"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Blago</w:t>
            </w:r>
          </w:p>
        </w:tc>
        <w:tc>
          <w:tcPr>
            <w:tcW w:w="3669" w:type="pct"/>
            <w:tcBorders>
              <w:top w:val="nil"/>
              <w:left w:val="nil"/>
              <w:bottom w:val="single" w:sz="4" w:space="0" w:color="auto"/>
              <w:right w:val="single" w:sz="4" w:space="0" w:color="auto"/>
            </w:tcBorders>
            <w:shd w:val="clear" w:color="auto" w:fill="auto"/>
            <w:vAlign w:val="center"/>
            <w:hideMark/>
          </w:tcPr>
          <w:p w14:paraId="06E8AA96"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Naftni derivati, goriva, električna energija in drugi viri energije</w:t>
            </w:r>
          </w:p>
        </w:tc>
        <w:tc>
          <w:tcPr>
            <w:tcW w:w="592" w:type="pct"/>
            <w:tcBorders>
              <w:top w:val="nil"/>
              <w:left w:val="nil"/>
              <w:bottom w:val="single" w:sz="4" w:space="0" w:color="auto"/>
              <w:right w:val="single" w:sz="4" w:space="0" w:color="auto"/>
            </w:tcBorders>
            <w:shd w:val="clear" w:color="auto" w:fill="auto"/>
            <w:noWrap/>
            <w:vAlign w:val="center"/>
            <w:hideMark/>
          </w:tcPr>
          <w:p w14:paraId="26E4F72A"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w:t>
            </w:r>
            <w:r w:rsidRPr="00903F45">
              <w:rPr>
                <w:rFonts w:ascii="Arial" w:eastAsia="Times New Roman" w:hAnsi="Arial" w:cs="Arial"/>
                <w:color w:val="000000"/>
                <w:sz w:val="18"/>
                <w:szCs w:val="18"/>
                <w:lang w:eastAsia="sl-SI"/>
              </w:rPr>
              <w:t>9</w:t>
            </w:r>
          </w:p>
        </w:tc>
        <w:tc>
          <w:tcPr>
            <w:tcW w:w="439" w:type="pct"/>
            <w:tcBorders>
              <w:top w:val="nil"/>
              <w:left w:val="nil"/>
              <w:bottom w:val="single" w:sz="4" w:space="0" w:color="auto"/>
              <w:right w:val="single" w:sz="4" w:space="0" w:color="auto"/>
            </w:tcBorders>
            <w:shd w:val="clear" w:color="auto" w:fill="auto"/>
            <w:vAlign w:val="center"/>
            <w:hideMark/>
          </w:tcPr>
          <w:p w14:paraId="38EAC25A" w14:textId="77777777" w:rsidR="00E3750C" w:rsidRPr="00903F45" w:rsidRDefault="00E3750C" w:rsidP="00047864">
            <w:pPr>
              <w:spacing w:after="0" w:line="240" w:lineRule="auto"/>
              <w:jc w:val="right"/>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46</w:t>
            </w:r>
          </w:p>
        </w:tc>
      </w:tr>
      <w:tr w:rsidR="00E3750C" w:rsidRPr="00903F45" w14:paraId="0AA63D5F" w14:textId="77777777" w:rsidTr="00047864">
        <w:trPr>
          <w:trHeight w:val="300"/>
        </w:trPr>
        <w:tc>
          <w:tcPr>
            <w:tcW w:w="300" w:type="pct"/>
            <w:tcBorders>
              <w:top w:val="nil"/>
              <w:left w:val="single" w:sz="4" w:space="0" w:color="auto"/>
              <w:bottom w:val="single" w:sz="4" w:space="0" w:color="auto"/>
              <w:right w:val="single" w:sz="4" w:space="0" w:color="auto"/>
            </w:tcBorders>
            <w:shd w:val="clear" w:color="auto" w:fill="auto"/>
            <w:vAlign w:val="center"/>
            <w:hideMark/>
          </w:tcPr>
          <w:p w14:paraId="1A25BEE9"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Storitve</w:t>
            </w:r>
          </w:p>
        </w:tc>
        <w:tc>
          <w:tcPr>
            <w:tcW w:w="3669" w:type="pct"/>
            <w:tcBorders>
              <w:top w:val="nil"/>
              <w:left w:val="nil"/>
              <w:bottom w:val="single" w:sz="4" w:space="0" w:color="auto"/>
              <w:right w:val="single" w:sz="4" w:space="0" w:color="auto"/>
            </w:tcBorders>
            <w:shd w:val="clear" w:color="auto" w:fill="auto"/>
            <w:vAlign w:val="center"/>
            <w:hideMark/>
          </w:tcPr>
          <w:p w14:paraId="3519C397"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Poslovne storitve: pravo, trženje, svetovanje, zaposlovanje, tiskanje in varnost</w:t>
            </w:r>
          </w:p>
        </w:tc>
        <w:tc>
          <w:tcPr>
            <w:tcW w:w="592" w:type="pct"/>
            <w:tcBorders>
              <w:top w:val="nil"/>
              <w:left w:val="nil"/>
              <w:bottom w:val="single" w:sz="4" w:space="0" w:color="auto"/>
              <w:right w:val="single" w:sz="4" w:space="0" w:color="auto"/>
            </w:tcBorders>
            <w:shd w:val="clear" w:color="auto" w:fill="auto"/>
            <w:noWrap/>
            <w:vAlign w:val="center"/>
            <w:hideMark/>
          </w:tcPr>
          <w:p w14:paraId="3871549E"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79</w:t>
            </w:r>
          </w:p>
        </w:tc>
        <w:tc>
          <w:tcPr>
            <w:tcW w:w="439" w:type="pct"/>
            <w:tcBorders>
              <w:top w:val="nil"/>
              <w:left w:val="nil"/>
              <w:bottom w:val="single" w:sz="4" w:space="0" w:color="auto"/>
              <w:right w:val="single" w:sz="4" w:space="0" w:color="auto"/>
            </w:tcBorders>
            <w:shd w:val="clear" w:color="auto" w:fill="auto"/>
            <w:vAlign w:val="center"/>
            <w:hideMark/>
          </w:tcPr>
          <w:p w14:paraId="6EC8064A" w14:textId="77777777" w:rsidR="00E3750C" w:rsidRPr="00903F45" w:rsidRDefault="00E3750C" w:rsidP="00047864">
            <w:pPr>
              <w:spacing w:after="0" w:line="240" w:lineRule="auto"/>
              <w:jc w:val="right"/>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44</w:t>
            </w:r>
          </w:p>
        </w:tc>
      </w:tr>
      <w:tr w:rsidR="00E3750C" w:rsidRPr="00903F45" w14:paraId="3DD52702" w14:textId="77777777" w:rsidTr="00047864">
        <w:trPr>
          <w:trHeight w:val="300"/>
        </w:trPr>
        <w:tc>
          <w:tcPr>
            <w:tcW w:w="300" w:type="pct"/>
            <w:tcBorders>
              <w:top w:val="nil"/>
              <w:left w:val="single" w:sz="4" w:space="0" w:color="auto"/>
              <w:bottom w:val="single" w:sz="4" w:space="0" w:color="auto"/>
              <w:right w:val="single" w:sz="4" w:space="0" w:color="auto"/>
            </w:tcBorders>
            <w:shd w:val="clear" w:color="auto" w:fill="auto"/>
            <w:vAlign w:val="center"/>
            <w:hideMark/>
          </w:tcPr>
          <w:p w14:paraId="268D1BFD"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Blago</w:t>
            </w:r>
          </w:p>
        </w:tc>
        <w:tc>
          <w:tcPr>
            <w:tcW w:w="3669" w:type="pct"/>
            <w:tcBorders>
              <w:top w:val="nil"/>
              <w:left w:val="nil"/>
              <w:bottom w:val="single" w:sz="4" w:space="0" w:color="auto"/>
              <w:right w:val="single" w:sz="4" w:space="0" w:color="auto"/>
            </w:tcBorders>
            <w:shd w:val="clear" w:color="auto" w:fill="auto"/>
            <w:vAlign w:val="center"/>
            <w:hideMark/>
          </w:tcPr>
          <w:p w14:paraId="0E776E6A"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Gradbene strukture in materiali; pomožni gradbeni izdelki (razen električnih aparatov)</w:t>
            </w:r>
          </w:p>
        </w:tc>
        <w:tc>
          <w:tcPr>
            <w:tcW w:w="592" w:type="pct"/>
            <w:tcBorders>
              <w:top w:val="nil"/>
              <w:left w:val="nil"/>
              <w:bottom w:val="single" w:sz="4" w:space="0" w:color="auto"/>
              <w:right w:val="single" w:sz="4" w:space="0" w:color="auto"/>
            </w:tcBorders>
            <w:shd w:val="clear" w:color="auto" w:fill="auto"/>
            <w:noWrap/>
            <w:vAlign w:val="center"/>
            <w:hideMark/>
          </w:tcPr>
          <w:p w14:paraId="16D38026"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44</w:t>
            </w:r>
          </w:p>
        </w:tc>
        <w:tc>
          <w:tcPr>
            <w:tcW w:w="439" w:type="pct"/>
            <w:tcBorders>
              <w:top w:val="nil"/>
              <w:left w:val="nil"/>
              <w:bottom w:val="single" w:sz="4" w:space="0" w:color="auto"/>
              <w:right w:val="single" w:sz="4" w:space="0" w:color="auto"/>
            </w:tcBorders>
            <w:shd w:val="clear" w:color="auto" w:fill="auto"/>
            <w:vAlign w:val="center"/>
            <w:hideMark/>
          </w:tcPr>
          <w:p w14:paraId="4AE7E8A7" w14:textId="77777777" w:rsidR="00E3750C" w:rsidRPr="00903F45" w:rsidRDefault="00E3750C" w:rsidP="00047864">
            <w:pPr>
              <w:spacing w:after="0" w:line="240" w:lineRule="auto"/>
              <w:jc w:val="right"/>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37</w:t>
            </w:r>
          </w:p>
        </w:tc>
      </w:tr>
      <w:tr w:rsidR="00E3750C" w:rsidRPr="00903F45" w14:paraId="07D0B33B" w14:textId="77777777" w:rsidTr="00047864">
        <w:trPr>
          <w:trHeight w:val="300"/>
        </w:trPr>
        <w:tc>
          <w:tcPr>
            <w:tcW w:w="300" w:type="pct"/>
            <w:tcBorders>
              <w:top w:val="nil"/>
              <w:left w:val="single" w:sz="4" w:space="0" w:color="auto"/>
              <w:bottom w:val="single" w:sz="4" w:space="0" w:color="auto"/>
              <w:right w:val="single" w:sz="4" w:space="0" w:color="auto"/>
            </w:tcBorders>
            <w:shd w:val="clear" w:color="auto" w:fill="auto"/>
            <w:vAlign w:val="center"/>
            <w:hideMark/>
          </w:tcPr>
          <w:p w14:paraId="3546577C"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Blago</w:t>
            </w:r>
          </w:p>
        </w:tc>
        <w:tc>
          <w:tcPr>
            <w:tcW w:w="3669" w:type="pct"/>
            <w:tcBorders>
              <w:top w:val="nil"/>
              <w:left w:val="nil"/>
              <w:bottom w:val="single" w:sz="4" w:space="0" w:color="auto"/>
              <w:right w:val="single" w:sz="4" w:space="0" w:color="auto"/>
            </w:tcBorders>
            <w:shd w:val="clear" w:color="auto" w:fill="auto"/>
            <w:vAlign w:val="center"/>
            <w:hideMark/>
          </w:tcPr>
          <w:p w14:paraId="66970F21"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Pisarniški in računski stroji, oprema in potrebščine, razen pohištva in programskih paketov</w:t>
            </w:r>
          </w:p>
        </w:tc>
        <w:tc>
          <w:tcPr>
            <w:tcW w:w="592" w:type="pct"/>
            <w:tcBorders>
              <w:top w:val="nil"/>
              <w:left w:val="nil"/>
              <w:bottom w:val="single" w:sz="4" w:space="0" w:color="auto"/>
              <w:right w:val="single" w:sz="4" w:space="0" w:color="auto"/>
            </w:tcBorders>
            <w:shd w:val="clear" w:color="auto" w:fill="auto"/>
            <w:noWrap/>
            <w:vAlign w:val="center"/>
            <w:hideMark/>
          </w:tcPr>
          <w:p w14:paraId="4C2C5215"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30</w:t>
            </w:r>
          </w:p>
        </w:tc>
        <w:tc>
          <w:tcPr>
            <w:tcW w:w="439" w:type="pct"/>
            <w:tcBorders>
              <w:top w:val="nil"/>
              <w:left w:val="nil"/>
              <w:bottom w:val="single" w:sz="4" w:space="0" w:color="auto"/>
              <w:right w:val="single" w:sz="4" w:space="0" w:color="auto"/>
            </w:tcBorders>
            <w:shd w:val="clear" w:color="auto" w:fill="auto"/>
            <w:vAlign w:val="center"/>
            <w:hideMark/>
          </w:tcPr>
          <w:p w14:paraId="5B55DB73" w14:textId="77777777" w:rsidR="00E3750C" w:rsidRPr="00903F45" w:rsidRDefault="00E3750C" w:rsidP="00047864">
            <w:pPr>
              <w:spacing w:after="0" w:line="240" w:lineRule="auto"/>
              <w:jc w:val="right"/>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37</w:t>
            </w:r>
          </w:p>
        </w:tc>
      </w:tr>
      <w:tr w:rsidR="00E3750C" w:rsidRPr="00903F45" w14:paraId="79B15A08" w14:textId="77777777" w:rsidTr="00047864">
        <w:trPr>
          <w:trHeight w:val="300"/>
        </w:trPr>
        <w:tc>
          <w:tcPr>
            <w:tcW w:w="300" w:type="pct"/>
            <w:tcBorders>
              <w:top w:val="nil"/>
              <w:left w:val="single" w:sz="4" w:space="0" w:color="auto"/>
              <w:bottom w:val="single" w:sz="4" w:space="0" w:color="auto"/>
              <w:right w:val="single" w:sz="4" w:space="0" w:color="auto"/>
            </w:tcBorders>
            <w:shd w:val="clear" w:color="auto" w:fill="auto"/>
            <w:vAlign w:val="center"/>
            <w:hideMark/>
          </w:tcPr>
          <w:p w14:paraId="6C7899D9"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Gradnje</w:t>
            </w:r>
          </w:p>
        </w:tc>
        <w:tc>
          <w:tcPr>
            <w:tcW w:w="3669" w:type="pct"/>
            <w:tcBorders>
              <w:top w:val="nil"/>
              <w:left w:val="nil"/>
              <w:bottom w:val="single" w:sz="4" w:space="0" w:color="auto"/>
              <w:right w:val="single" w:sz="4" w:space="0" w:color="auto"/>
            </w:tcBorders>
            <w:shd w:val="clear" w:color="auto" w:fill="auto"/>
            <w:vAlign w:val="center"/>
            <w:hideMark/>
          </w:tcPr>
          <w:p w14:paraId="69B31B9B"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Gradbena dela</w:t>
            </w:r>
          </w:p>
        </w:tc>
        <w:tc>
          <w:tcPr>
            <w:tcW w:w="592" w:type="pct"/>
            <w:tcBorders>
              <w:top w:val="nil"/>
              <w:left w:val="nil"/>
              <w:bottom w:val="single" w:sz="4" w:space="0" w:color="auto"/>
              <w:right w:val="single" w:sz="4" w:space="0" w:color="auto"/>
            </w:tcBorders>
            <w:shd w:val="clear" w:color="auto" w:fill="auto"/>
            <w:noWrap/>
            <w:vAlign w:val="center"/>
            <w:hideMark/>
          </w:tcPr>
          <w:p w14:paraId="1736FA3A"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45</w:t>
            </w:r>
          </w:p>
        </w:tc>
        <w:tc>
          <w:tcPr>
            <w:tcW w:w="439" w:type="pct"/>
            <w:tcBorders>
              <w:top w:val="nil"/>
              <w:left w:val="nil"/>
              <w:bottom w:val="single" w:sz="4" w:space="0" w:color="auto"/>
              <w:right w:val="single" w:sz="4" w:space="0" w:color="auto"/>
            </w:tcBorders>
            <w:shd w:val="clear" w:color="auto" w:fill="auto"/>
            <w:vAlign w:val="center"/>
            <w:hideMark/>
          </w:tcPr>
          <w:p w14:paraId="332A52A5" w14:textId="77777777" w:rsidR="00E3750C" w:rsidRPr="00903F45" w:rsidRDefault="00E3750C" w:rsidP="00047864">
            <w:pPr>
              <w:spacing w:after="0" w:line="240" w:lineRule="auto"/>
              <w:jc w:val="right"/>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36</w:t>
            </w:r>
          </w:p>
        </w:tc>
      </w:tr>
      <w:tr w:rsidR="00E3750C" w:rsidRPr="00903F45" w14:paraId="296595D7" w14:textId="77777777" w:rsidTr="00047864">
        <w:trPr>
          <w:trHeight w:val="300"/>
        </w:trPr>
        <w:tc>
          <w:tcPr>
            <w:tcW w:w="300" w:type="pct"/>
            <w:tcBorders>
              <w:top w:val="nil"/>
              <w:left w:val="single" w:sz="4" w:space="0" w:color="auto"/>
              <w:bottom w:val="single" w:sz="4" w:space="0" w:color="auto"/>
              <w:right w:val="single" w:sz="4" w:space="0" w:color="auto"/>
            </w:tcBorders>
            <w:shd w:val="clear" w:color="auto" w:fill="auto"/>
            <w:vAlign w:val="center"/>
            <w:hideMark/>
          </w:tcPr>
          <w:p w14:paraId="23D7D9CC"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Blago</w:t>
            </w:r>
          </w:p>
        </w:tc>
        <w:tc>
          <w:tcPr>
            <w:tcW w:w="3669" w:type="pct"/>
            <w:tcBorders>
              <w:top w:val="nil"/>
              <w:left w:val="nil"/>
              <w:bottom w:val="single" w:sz="4" w:space="0" w:color="auto"/>
              <w:right w:val="single" w:sz="4" w:space="0" w:color="auto"/>
            </w:tcBorders>
            <w:shd w:val="clear" w:color="auto" w:fill="auto"/>
            <w:vAlign w:val="center"/>
            <w:hideMark/>
          </w:tcPr>
          <w:p w14:paraId="2ACB2860"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Prevozna sredstva in dodatni proizvodi za promet</w:t>
            </w:r>
          </w:p>
        </w:tc>
        <w:tc>
          <w:tcPr>
            <w:tcW w:w="592" w:type="pct"/>
            <w:tcBorders>
              <w:top w:val="nil"/>
              <w:left w:val="nil"/>
              <w:bottom w:val="single" w:sz="4" w:space="0" w:color="auto"/>
              <w:right w:val="single" w:sz="4" w:space="0" w:color="auto"/>
            </w:tcBorders>
            <w:shd w:val="clear" w:color="auto" w:fill="auto"/>
            <w:noWrap/>
            <w:vAlign w:val="center"/>
            <w:hideMark/>
          </w:tcPr>
          <w:p w14:paraId="4ED8A65E"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34</w:t>
            </w:r>
          </w:p>
        </w:tc>
        <w:tc>
          <w:tcPr>
            <w:tcW w:w="439" w:type="pct"/>
            <w:tcBorders>
              <w:top w:val="nil"/>
              <w:left w:val="nil"/>
              <w:bottom w:val="single" w:sz="4" w:space="0" w:color="auto"/>
              <w:right w:val="single" w:sz="4" w:space="0" w:color="auto"/>
            </w:tcBorders>
            <w:shd w:val="clear" w:color="auto" w:fill="auto"/>
            <w:vAlign w:val="center"/>
            <w:hideMark/>
          </w:tcPr>
          <w:p w14:paraId="68734687" w14:textId="77777777" w:rsidR="00E3750C" w:rsidRPr="00903F45" w:rsidRDefault="00E3750C" w:rsidP="00047864">
            <w:pPr>
              <w:spacing w:after="0" w:line="240" w:lineRule="auto"/>
              <w:jc w:val="right"/>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33</w:t>
            </w:r>
          </w:p>
        </w:tc>
      </w:tr>
      <w:tr w:rsidR="00E3750C" w:rsidRPr="00903F45" w14:paraId="21203790" w14:textId="77777777" w:rsidTr="00047864">
        <w:trPr>
          <w:trHeight w:val="300"/>
        </w:trPr>
        <w:tc>
          <w:tcPr>
            <w:tcW w:w="300" w:type="pct"/>
            <w:tcBorders>
              <w:top w:val="nil"/>
              <w:left w:val="single" w:sz="4" w:space="0" w:color="auto"/>
              <w:bottom w:val="single" w:sz="4" w:space="0" w:color="auto"/>
              <w:right w:val="single" w:sz="4" w:space="0" w:color="auto"/>
            </w:tcBorders>
            <w:shd w:val="clear" w:color="auto" w:fill="auto"/>
            <w:vAlign w:val="center"/>
            <w:hideMark/>
          </w:tcPr>
          <w:p w14:paraId="3932290E"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Storitve</w:t>
            </w:r>
          </w:p>
        </w:tc>
        <w:tc>
          <w:tcPr>
            <w:tcW w:w="3669" w:type="pct"/>
            <w:tcBorders>
              <w:top w:val="nil"/>
              <w:left w:val="nil"/>
              <w:bottom w:val="single" w:sz="4" w:space="0" w:color="auto"/>
              <w:right w:val="single" w:sz="4" w:space="0" w:color="auto"/>
            </w:tcBorders>
            <w:shd w:val="clear" w:color="auto" w:fill="auto"/>
            <w:vAlign w:val="center"/>
            <w:hideMark/>
          </w:tcPr>
          <w:p w14:paraId="545DD0A8"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Prevozne storitve (razen prevoza odpadkov)</w:t>
            </w:r>
          </w:p>
        </w:tc>
        <w:tc>
          <w:tcPr>
            <w:tcW w:w="592" w:type="pct"/>
            <w:tcBorders>
              <w:top w:val="nil"/>
              <w:left w:val="nil"/>
              <w:bottom w:val="single" w:sz="4" w:space="0" w:color="auto"/>
              <w:right w:val="single" w:sz="4" w:space="0" w:color="auto"/>
            </w:tcBorders>
            <w:shd w:val="clear" w:color="auto" w:fill="auto"/>
            <w:noWrap/>
            <w:vAlign w:val="center"/>
            <w:hideMark/>
          </w:tcPr>
          <w:p w14:paraId="2E1A9D51"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60</w:t>
            </w:r>
          </w:p>
        </w:tc>
        <w:tc>
          <w:tcPr>
            <w:tcW w:w="439" w:type="pct"/>
            <w:tcBorders>
              <w:top w:val="nil"/>
              <w:left w:val="nil"/>
              <w:bottom w:val="single" w:sz="4" w:space="0" w:color="auto"/>
              <w:right w:val="single" w:sz="4" w:space="0" w:color="auto"/>
            </w:tcBorders>
            <w:shd w:val="clear" w:color="auto" w:fill="auto"/>
            <w:vAlign w:val="center"/>
            <w:hideMark/>
          </w:tcPr>
          <w:p w14:paraId="4E11EF90" w14:textId="77777777" w:rsidR="00E3750C" w:rsidRPr="00903F45" w:rsidRDefault="00E3750C" w:rsidP="00047864">
            <w:pPr>
              <w:spacing w:after="0" w:line="240" w:lineRule="auto"/>
              <w:jc w:val="right"/>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33</w:t>
            </w:r>
          </w:p>
        </w:tc>
      </w:tr>
      <w:tr w:rsidR="00E3750C" w:rsidRPr="00903F45" w14:paraId="22B7DFFA" w14:textId="77777777" w:rsidTr="00047864">
        <w:trPr>
          <w:trHeight w:val="300"/>
        </w:trPr>
        <w:tc>
          <w:tcPr>
            <w:tcW w:w="300" w:type="pct"/>
            <w:tcBorders>
              <w:top w:val="nil"/>
              <w:left w:val="single" w:sz="4" w:space="0" w:color="auto"/>
              <w:bottom w:val="single" w:sz="4" w:space="0" w:color="auto"/>
              <w:right w:val="single" w:sz="4" w:space="0" w:color="auto"/>
            </w:tcBorders>
            <w:shd w:val="clear" w:color="auto" w:fill="auto"/>
            <w:vAlign w:val="center"/>
            <w:hideMark/>
          </w:tcPr>
          <w:p w14:paraId="6C005764"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Blago</w:t>
            </w:r>
          </w:p>
        </w:tc>
        <w:tc>
          <w:tcPr>
            <w:tcW w:w="3669" w:type="pct"/>
            <w:tcBorders>
              <w:top w:val="nil"/>
              <w:left w:val="nil"/>
              <w:bottom w:val="single" w:sz="4" w:space="0" w:color="auto"/>
              <w:right w:val="single" w:sz="4" w:space="0" w:color="auto"/>
            </w:tcBorders>
            <w:shd w:val="clear" w:color="auto" w:fill="auto"/>
            <w:vAlign w:val="center"/>
            <w:hideMark/>
          </w:tcPr>
          <w:p w14:paraId="64258D7D"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Kemični proizvodi</w:t>
            </w:r>
          </w:p>
        </w:tc>
        <w:tc>
          <w:tcPr>
            <w:tcW w:w="592" w:type="pct"/>
            <w:tcBorders>
              <w:top w:val="nil"/>
              <w:left w:val="nil"/>
              <w:bottom w:val="single" w:sz="4" w:space="0" w:color="auto"/>
              <w:right w:val="single" w:sz="4" w:space="0" w:color="auto"/>
            </w:tcBorders>
            <w:shd w:val="clear" w:color="auto" w:fill="auto"/>
            <w:noWrap/>
            <w:vAlign w:val="center"/>
            <w:hideMark/>
          </w:tcPr>
          <w:p w14:paraId="0FB1DF7C"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24</w:t>
            </w:r>
          </w:p>
        </w:tc>
        <w:tc>
          <w:tcPr>
            <w:tcW w:w="439" w:type="pct"/>
            <w:tcBorders>
              <w:top w:val="nil"/>
              <w:left w:val="nil"/>
              <w:bottom w:val="single" w:sz="4" w:space="0" w:color="auto"/>
              <w:right w:val="single" w:sz="4" w:space="0" w:color="auto"/>
            </w:tcBorders>
            <w:shd w:val="clear" w:color="auto" w:fill="auto"/>
            <w:vAlign w:val="center"/>
            <w:hideMark/>
          </w:tcPr>
          <w:p w14:paraId="35D7612E" w14:textId="77777777" w:rsidR="00E3750C" w:rsidRPr="00903F45" w:rsidRDefault="00E3750C" w:rsidP="00047864">
            <w:pPr>
              <w:spacing w:after="0" w:line="240" w:lineRule="auto"/>
              <w:jc w:val="right"/>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24</w:t>
            </w:r>
          </w:p>
        </w:tc>
      </w:tr>
      <w:tr w:rsidR="00E3750C" w:rsidRPr="00903F45" w14:paraId="55B3AD6A" w14:textId="77777777" w:rsidTr="00047864">
        <w:trPr>
          <w:trHeight w:val="300"/>
        </w:trPr>
        <w:tc>
          <w:tcPr>
            <w:tcW w:w="300" w:type="pct"/>
            <w:tcBorders>
              <w:top w:val="nil"/>
              <w:left w:val="single" w:sz="4" w:space="0" w:color="auto"/>
              <w:bottom w:val="single" w:sz="4" w:space="0" w:color="auto"/>
              <w:right w:val="single" w:sz="4" w:space="0" w:color="auto"/>
            </w:tcBorders>
            <w:shd w:val="clear" w:color="auto" w:fill="auto"/>
            <w:vAlign w:val="center"/>
            <w:hideMark/>
          </w:tcPr>
          <w:p w14:paraId="0318517E"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Blago</w:t>
            </w:r>
          </w:p>
        </w:tc>
        <w:tc>
          <w:tcPr>
            <w:tcW w:w="3669" w:type="pct"/>
            <w:tcBorders>
              <w:top w:val="nil"/>
              <w:left w:val="nil"/>
              <w:bottom w:val="single" w:sz="4" w:space="0" w:color="auto"/>
              <w:right w:val="single" w:sz="4" w:space="0" w:color="auto"/>
            </w:tcBorders>
            <w:shd w:val="clear" w:color="auto" w:fill="auto"/>
            <w:vAlign w:val="center"/>
            <w:hideMark/>
          </w:tcPr>
          <w:p w14:paraId="56FAEFD1"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Električni stroji, aparati, oprema in potrošno blago; razsvetljava</w:t>
            </w:r>
          </w:p>
        </w:tc>
        <w:tc>
          <w:tcPr>
            <w:tcW w:w="592" w:type="pct"/>
            <w:tcBorders>
              <w:top w:val="nil"/>
              <w:left w:val="nil"/>
              <w:bottom w:val="single" w:sz="4" w:space="0" w:color="auto"/>
              <w:right w:val="single" w:sz="4" w:space="0" w:color="auto"/>
            </w:tcBorders>
            <w:shd w:val="clear" w:color="auto" w:fill="auto"/>
            <w:noWrap/>
            <w:vAlign w:val="center"/>
            <w:hideMark/>
          </w:tcPr>
          <w:p w14:paraId="73CF02BC"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31</w:t>
            </w:r>
          </w:p>
        </w:tc>
        <w:tc>
          <w:tcPr>
            <w:tcW w:w="439" w:type="pct"/>
            <w:tcBorders>
              <w:top w:val="nil"/>
              <w:left w:val="nil"/>
              <w:bottom w:val="single" w:sz="4" w:space="0" w:color="auto"/>
              <w:right w:val="single" w:sz="4" w:space="0" w:color="auto"/>
            </w:tcBorders>
            <w:shd w:val="clear" w:color="auto" w:fill="auto"/>
            <w:vAlign w:val="center"/>
            <w:hideMark/>
          </w:tcPr>
          <w:p w14:paraId="67A8E706" w14:textId="77777777" w:rsidR="00E3750C" w:rsidRPr="00903F45" w:rsidRDefault="00E3750C" w:rsidP="00047864">
            <w:pPr>
              <w:spacing w:after="0" w:line="240" w:lineRule="auto"/>
              <w:jc w:val="right"/>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17</w:t>
            </w:r>
          </w:p>
        </w:tc>
      </w:tr>
      <w:tr w:rsidR="00E3750C" w:rsidRPr="00903F45" w14:paraId="357751B7" w14:textId="77777777" w:rsidTr="00047864">
        <w:trPr>
          <w:trHeight w:val="300"/>
        </w:trPr>
        <w:tc>
          <w:tcPr>
            <w:tcW w:w="300" w:type="pct"/>
            <w:tcBorders>
              <w:top w:val="nil"/>
              <w:left w:val="single" w:sz="4" w:space="0" w:color="auto"/>
              <w:bottom w:val="single" w:sz="4" w:space="0" w:color="auto"/>
              <w:right w:val="single" w:sz="4" w:space="0" w:color="auto"/>
            </w:tcBorders>
            <w:shd w:val="clear" w:color="auto" w:fill="auto"/>
            <w:vAlign w:val="center"/>
            <w:hideMark/>
          </w:tcPr>
          <w:p w14:paraId="6910AC59"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Storitve</w:t>
            </w:r>
          </w:p>
        </w:tc>
        <w:tc>
          <w:tcPr>
            <w:tcW w:w="3669" w:type="pct"/>
            <w:tcBorders>
              <w:top w:val="nil"/>
              <w:left w:val="nil"/>
              <w:bottom w:val="single" w:sz="4" w:space="0" w:color="auto"/>
              <w:right w:val="single" w:sz="4" w:space="0" w:color="auto"/>
            </w:tcBorders>
            <w:shd w:val="clear" w:color="auto" w:fill="auto"/>
            <w:vAlign w:val="center"/>
            <w:hideMark/>
          </w:tcPr>
          <w:p w14:paraId="3FB0C14D"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Arhitekturne, gradbeniške, inženirske in inšpekcijske storitve</w:t>
            </w:r>
          </w:p>
        </w:tc>
        <w:tc>
          <w:tcPr>
            <w:tcW w:w="592" w:type="pct"/>
            <w:tcBorders>
              <w:top w:val="nil"/>
              <w:left w:val="nil"/>
              <w:bottom w:val="single" w:sz="4" w:space="0" w:color="auto"/>
              <w:right w:val="single" w:sz="4" w:space="0" w:color="auto"/>
            </w:tcBorders>
            <w:shd w:val="clear" w:color="auto" w:fill="auto"/>
            <w:noWrap/>
            <w:vAlign w:val="center"/>
            <w:hideMark/>
          </w:tcPr>
          <w:p w14:paraId="7AF4812F"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71</w:t>
            </w:r>
          </w:p>
        </w:tc>
        <w:tc>
          <w:tcPr>
            <w:tcW w:w="439" w:type="pct"/>
            <w:tcBorders>
              <w:top w:val="nil"/>
              <w:left w:val="nil"/>
              <w:bottom w:val="single" w:sz="4" w:space="0" w:color="auto"/>
              <w:right w:val="single" w:sz="4" w:space="0" w:color="auto"/>
            </w:tcBorders>
            <w:shd w:val="clear" w:color="auto" w:fill="auto"/>
            <w:vAlign w:val="center"/>
            <w:hideMark/>
          </w:tcPr>
          <w:p w14:paraId="110CDC97" w14:textId="77777777" w:rsidR="00E3750C" w:rsidRPr="00903F45" w:rsidRDefault="00E3750C" w:rsidP="00047864">
            <w:pPr>
              <w:spacing w:after="0" w:line="240" w:lineRule="auto"/>
              <w:jc w:val="right"/>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17</w:t>
            </w:r>
          </w:p>
        </w:tc>
      </w:tr>
      <w:tr w:rsidR="00E3750C" w:rsidRPr="00903F45" w14:paraId="5B7391FD" w14:textId="77777777" w:rsidTr="00047864">
        <w:trPr>
          <w:trHeight w:val="300"/>
        </w:trPr>
        <w:tc>
          <w:tcPr>
            <w:tcW w:w="300" w:type="pct"/>
            <w:tcBorders>
              <w:top w:val="nil"/>
              <w:left w:val="single" w:sz="4" w:space="0" w:color="auto"/>
              <w:bottom w:val="single" w:sz="4" w:space="0" w:color="auto"/>
              <w:right w:val="single" w:sz="4" w:space="0" w:color="auto"/>
            </w:tcBorders>
            <w:shd w:val="clear" w:color="auto" w:fill="auto"/>
            <w:vAlign w:val="center"/>
            <w:hideMark/>
          </w:tcPr>
          <w:p w14:paraId="3D86B08C"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Blago</w:t>
            </w:r>
          </w:p>
        </w:tc>
        <w:tc>
          <w:tcPr>
            <w:tcW w:w="3669" w:type="pct"/>
            <w:tcBorders>
              <w:top w:val="nil"/>
              <w:left w:val="nil"/>
              <w:bottom w:val="single" w:sz="4" w:space="0" w:color="auto"/>
              <w:right w:val="single" w:sz="4" w:space="0" w:color="auto"/>
            </w:tcBorders>
            <w:shd w:val="clear" w:color="auto" w:fill="auto"/>
            <w:vAlign w:val="center"/>
            <w:hideMark/>
          </w:tcPr>
          <w:p w14:paraId="732FC73E"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Oblačila, obutev, prtljaga in pribor</w:t>
            </w:r>
          </w:p>
        </w:tc>
        <w:tc>
          <w:tcPr>
            <w:tcW w:w="592" w:type="pct"/>
            <w:tcBorders>
              <w:top w:val="nil"/>
              <w:left w:val="nil"/>
              <w:bottom w:val="single" w:sz="4" w:space="0" w:color="auto"/>
              <w:right w:val="single" w:sz="4" w:space="0" w:color="auto"/>
            </w:tcBorders>
            <w:shd w:val="clear" w:color="auto" w:fill="auto"/>
            <w:noWrap/>
            <w:vAlign w:val="center"/>
            <w:hideMark/>
          </w:tcPr>
          <w:p w14:paraId="0AFB944E"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18</w:t>
            </w:r>
          </w:p>
        </w:tc>
        <w:tc>
          <w:tcPr>
            <w:tcW w:w="439" w:type="pct"/>
            <w:tcBorders>
              <w:top w:val="nil"/>
              <w:left w:val="nil"/>
              <w:bottom w:val="single" w:sz="4" w:space="0" w:color="auto"/>
              <w:right w:val="single" w:sz="4" w:space="0" w:color="auto"/>
            </w:tcBorders>
            <w:shd w:val="clear" w:color="auto" w:fill="auto"/>
            <w:vAlign w:val="center"/>
            <w:hideMark/>
          </w:tcPr>
          <w:p w14:paraId="707534B2" w14:textId="77777777" w:rsidR="00E3750C" w:rsidRPr="00903F45" w:rsidRDefault="00E3750C" w:rsidP="00047864">
            <w:pPr>
              <w:spacing w:after="0" w:line="240" w:lineRule="auto"/>
              <w:jc w:val="right"/>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15</w:t>
            </w:r>
          </w:p>
        </w:tc>
      </w:tr>
      <w:tr w:rsidR="00E3750C" w:rsidRPr="00903F45" w14:paraId="626C88A4" w14:textId="77777777" w:rsidTr="00047864">
        <w:trPr>
          <w:trHeight w:val="300"/>
        </w:trPr>
        <w:tc>
          <w:tcPr>
            <w:tcW w:w="300" w:type="pct"/>
            <w:tcBorders>
              <w:top w:val="nil"/>
              <w:left w:val="single" w:sz="4" w:space="0" w:color="auto"/>
              <w:bottom w:val="single" w:sz="4" w:space="0" w:color="auto"/>
              <w:right w:val="single" w:sz="4" w:space="0" w:color="auto"/>
            </w:tcBorders>
            <w:shd w:val="clear" w:color="auto" w:fill="auto"/>
            <w:vAlign w:val="center"/>
            <w:hideMark/>
          </w:tcPr>
          <w:p w14:paraId="7BB48487"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Blago</w:t>
            </w:r>
          </w:p>
        </w:tc>
        <w:tc>
          <w:tcPr>
            <w:tcW w:w="3669" w:type="pct"/>
            <w:tcBorders>
              <w:top w:val="nil"/>
              <w:left w:val="nil"/>
              <w:bottom w:val="single" w:sz="4" w:space="0" w:color="auto"/>
              <w:right w:val="single" w:sz="4" w:space="0" w:color="auto"/>
            </w:tcBorders>
            <w:shd w:val="clear" w:color="auto" w:fill="auto"/>
            <w:vAlign w:val="center"/>
            <w:hideMark/>
          </w:tcPr>
          <w:p w14:paraId="574D2547"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Pohištvo (vključno s pisarniškim pohištvom), notranja oprema, gospodinjske naprave (razen svetil) in čistilna sredstva</w:t>
            </w:r>
          </w:p>
        </w:tc>
        <w:tc>
          <w:tcPr>
            <w:tcW w:w="592" w:type="pct"/>
            <w:tcBorders>
              <w:top w:val="nil"/>
              <w:left w:val="nil"/>
              <w:bottom w:val="single" w:sz="4" w:space="0" w:color="auto"/>
              <w:right w:val="single" w:sz="4" w:space="0" w:color="auto"/>
            </w:tcBorders>
            <w:shd w:val="clear" w:color="auto" w:fill="auto"/>
            <w:noWrap/>
            <w:vAlign w:val="center"/>
            <w:hideMark/>
          </w:tcPr>
          <w:p w14:paraId="459C06E9"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39</w:t>
            </w:r>
          </w:p>
        </w:tc>
        <w:tc>
          <w:tcPr>
            <w:tcW w:w="439" w:type="pct"/>
            <w:tcBorders>
              <w:top w:val="nil"/>
              <w:left w:val="nil"/>
              <w:bottom w:val="single" w:sz="4" w:space="0" w:color="auto"/>
              <w:right w:val="single" w:sz="4" w:space="0" w:color="auto"/>
            </w:tcBorders>
            <w:shd w:val="clear" w:color="auto" w:fill="auto"/>
            <w:vAlign w:val="center"/>
            <w:hideMark/>
          </w:tcPr>
          <w:p w14:paraId="0DC1E4A0" w14:textId="77777777" w:rsidR="00E3750C" w:rsidRPr="00903F45" w:rsidRDefault="00E3750C" w:rsidP="00047864">
            <w:pPr>
              <w:spacing w:after="0" w:line="240" w:lineRule="auto"/>
              <w:jc w:val="right"/>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15</w:t>
            </w:r>
          </w:p>
        </w:tc>
      </w:tr>
      <w:tr w:rsidR="00E3750C" w:rsidRPr="00903F45" w14:paraId="5F7C03AB" w14:textId="77777777" w:rsidTr="00047864">
        <w:trPr>
          <w:trHeight w:val="300"/>
        </w:trPr>
        <w:tc>
          <w:tcPr>
            <w:tcW w:w="300" w:type="pct"/>
            <w:tcBorders>
              <w:top w:val="nil"/>
              <w:left w:val="single" w:sz="4" w:space="0" w:color="auto"/>
              <w:bottom w:val="single" w:sz="4" w:space="0" w:color="auto"/>
              <w:right w:val="single" w:sz="4" w:space="0" w:color="auto"/>
            </w:tcBorders>
            <w:shd w:val="clear" w:color="auto" w:fill="auto"/>
            <w:vAlign w:val="center"/>
            <w:hideMark/>
          </w:tcPr>
          <w:p w14:paraId="78C2F675"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Storitve</w:t>
            </w:r>
          </w:p>
        </w:tc>
        <w:tc>
          <w:tcPr>
            <w:tcW w:w="3669" w:type="pct"/>
            <w:tcBorders>
              <w:top w:val="nil"/>
              <w:left w:val="nil"/>
              <w:bottom w:val="single" w:sz="4" w:space="0" w:color="auto"/>
              <w:right w:val="single" w:sz="4" w:space="0" w:color="auto"/>
            </w:tcBorders>
            <w:shd w:val="clear" w:color="auto" w:fill="auto"/>
            <w:vAlign w:val="center"/>
            <w:hideMark/>
          </w:tcPr>
          <w:p w14:paraId="6A75E282"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Storitve na področju kmetijstva, gozdarstva, hortikulture, akvakulture in čebelarstva</w:t>
            </w:r>
          </w:p>
        </w:tc>
        <w:tc>
          <w:tcPr>
            <w:tcW w:w="592" w:type="pct"/>
            <w:tcBorders>
              <w:top w:val="nil"/>
              <w:left w:val="nil"/>
              <w:bottom w:val="single" w:sz="4" w:space="0" w:color="auto"/>
              <w:right w:val="single" w:sz="4" w:space="0" w:color="auto"/>
            </w:tcBorders>
            <w:shd w:val="clear" w:color="auto" w:fill="auto"/>
            <w:noWrap/>
            <w:vAlign w:val="center"/>
            <w:hideMark/>
          </w:tcPr>
          <w:p w14:paraId="477F86BE"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77</w:t>
            </w:r>
          </w:p>
        </w:tc>
        <w:tc>
          <w:tcPr>
            <w:tcW w:w="439" w:type="pct"/>
            <w:tcBorders>
              <w:top w:val="nil"/>
              <w:left w:val="nil"/>
              <w:bottom w:val="single" w:sz="4" w:space="0" w:color="auto"/>
              <w:right w:val="single" w:sz="4" w:space="0" w:color="auto"/>
            </w:tcBorders>
            <w:shd w:val="clear" w:color="auto" w:fill="auto"/>
            <w:vAlign w:val="center"/>
            <w:hideMark/>
          </w:tcPr>
          <w:p w14:paraId="026107FC" w14:textId="77777777" w:rsidR="00E3750C" w:rsidRPr="00903F45" w:rsidRDefault="00E3750C" w:rsidP="00047864">
            <w:pPr>
              <w:spacing w:after="0" w:line="240" w:lineRule="auto"/>
              <w:jc w:val="right"/>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14</w:t>
            </w:r>
          </w:p>
        </w:tc>
      </w:tr>
      <w:tr w:rsidR="00E3750C" w:rsidRPr="00903F45" w14:paraId="680B0A9E" w14:textId="77777777" w:rsidTr="00047864">
        <w:trPr>
          <w:trHeight w:val="300"/>
        </w:trPr>
        <w:tc>
          <w:tcPr>
            <w:tcW w:w="300" w:type="pct"/>
            <w:tcBorders>
              <w:top w:val="nil"/>
              <w:left w:val="single" w:sz="4" w:space="0" w:color="auto"/>
              <w:bottom w:val="single" w:sz="4" w:space="0" w:color="auto"/>
              <w:right w:val="single" w:sz="4" w:space="0" w:color="auto"/>
            </w:tcBorders>
            <w:shd w:val="clear" w:color="auto" w:fill="auto"/>
            <w:vAlign w:val="center"/>
            <w:hideMark/>
          </w:tcPr>
          <w:p w14:paraId="33A5AF03"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Storitve</w:t>
            </w:r>
          </w:p>
        </w:tc>
        <w:tc>
          <w:tcPr>
            <w:tcW w:w="3669" w:type="pct"/>
            <w:tcBorders>
              <w:top w:val="nil"/>
              <w:left w:val="nil"/>
              <w:bottom w:val="single" w:sz="4" w:space="0" w:color="auto"/>
              <w:right w:val="single" w:sz="4" w:space="0" w:color="auto"/>
            </w:tcBorders>
            <w:shd w:val="clear" w:color="auto" w:fill="auto"/>
            <w:vAlign w:val="center"/>
            <w:hideMark/>
          </w:tcPr>
          <w:p w14:paraId="7637C22E"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Storitve informacijske tehnologije: svetovanje, razvoj programske opreme, internet in podpora</w:t>
            </w:r>
          </w:p>
        </w:tc>
        <w:tc>
          <w:tcPr>
            <w:tcW w:w="592" w:type="pct"/>
            <w:tcBorders>
              <w:top w:val="nil"/>
              <w:left w:val="nil"/>
              <w:bottom w:val="single" w:sz="4" w:space="0" w:color="auto"/>
              <w:right w:val="single" w:sz="4" w:space="0" w:color="auto"/>
            </w:tcBorders>
            <w:shd w:val="clear" w:color="auto" w:fill="auto"/>
            <w:noWrap/>
            <w:vAlign w:val="center"/>
            <w:hideMark/>
          </w:tcPr>
          <w:p w14:paraId="54215279"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72</w:t>
            </w:r>
          </w:p>
        </w:tc>
        <w:tc>
          <w:tcPr>
            <w:tcW w:w="439" w:type="pct"/>
            <w:tcBorders>
              <w:top w:val="nil"/>
              <w:left w:val="nil"/>
              <w:bottom w:val="single" w:sz="4" w:space="0" w:color="auto"/>
              <w:right w:val="single" w:sz="4" w:space="0" w:color="auto"/>
            </w:tcBorders>
            <w:shd w:val="clear" w:color="auto" w:fill="auto"/>
            <w:vAlign w:val="center"/>
            <w:hideMark/>
          </w:tcPr>
          <w:p w14:paraId="1D65DE3A" w14:textId="77777777" w:rsidR="00E3750C" w:rsidRPr="00903F45" w:rsidRDefault="00E3750C" w:rsidP="00047864">
            <w:pPr>
              <w:spacing w:after="0" w:line="240" w:lineRule="auto"/>
              <w:jc w:val="right"/>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14</w:t>
            </w:r>
          </w:p>
        </w:tc>
      </w:tr>
      <w:tr w:rsidR="00E3750C" w:rsidRPr="00903F45" w14:paraId="4AE1CB85" w14:textId="77777777" w:rsidTr="00047864">
        <w:trPr>
          <w:trHeight w:val="300"/>
        </w:trPr>
        <w:tc>
          <w:tcPr>
            <w:tcW w:w="300" w:type="pct"/>
            <w:tcBorders>
              <w:top w:val="nil"/>
              <w:left w:val="single" w:sz="4" w:space="0" w:color="auto"/>
              <w:bottom w:val="single" w:sz="4" w:space="0" w:color="auto"/>
              <w:right w:val="single" w:sz="4" w:space="0" w:color="auto"/>
            </w:tcBorders>
            <w:shd w:val="clear" w:color="auto" w:fill="auto"/>
            <w:vAlign w:val="center"/>
            <w:hideMark/>
          </w:tcPr>
          <w:p w14:paraId="0AA34E68"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Blago</w:t>
            </w:r>
          </w:p>
        </w:tc>
        <w:tc>
          <w:tcPr>
            <w:tcW w:w="3669" w:type="pct"/>
            <w:tcBorders>
              <w:top w:val="nil"/>
              <w:left w:val="nil"/>
              <w:bottom w:val="single" w:sz="4" w:space="0" w:color="auto"/>
              <w:right w:val="single" w:sz="4" w:space="0" w:color="auto"/>
            </w:tcBorders>
            <w:shd w:val="clear" w:color="auto" w:fill="auto"/>
            <w:vAlign w:val="center"/>
            <w:hideMark/>
          </w:tcPr>
          <w:p w14:paraId="36039AB0"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Varnostna, gasilska, policijska in obrambna oprema</w:t>
            </w:r>
          </w:p>
        </w:tc>
        <w:tc>
          <w:tcPr>
            <w:tcW w:w="592" w:type="pct"/>
            <w:tcBorders>
              <w:top w:val="nil"/>
              <w:left w:val="nil"/>
              <w:bottom w:val="single" w:sz="4" w:space="0" w:color="auto"/>
              <w:right w:val="single" w:sz="4" w:space="0" w:color="auto"/>
            </w:tcBorders>
            <w:shd w:val="clear" w:color="auto" w:fill="auto"/>
            <w:noWrap/>
            <w:vAlign w:val="center"/>
            <w:hideMark/>
          </w:tcPr>
          <w:p w14:paraId="4352208A"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35</w:t>
            </w:r>
          </w:p>
        </w:tc>
        <w:tc>
          <w:tcPr>
            <w:tcW w:w="439" w:type="pct"/>
            <w:tcBorders>
              <w:top w:val="nil"/>
              <w:left w:val="nil"/>
              <w:bottom w:val="single" w:sz="4" w:space="0" w:color="auto"/>
              <w:right w:val="single" w:sz="4" w:space="0" w:color="auto"/>
            </w:tcBorders>
            <w:shd w:val="clear" w:color="auto" w:fill="auto"/>
            <w:vAlign w:val="center"/>
            <w:hideMark/>
          </w:tcPr>
          <w:p w14:paraId="40B7165D" w14:textId="77777777" w:rsidR="00E3750C" w:rsidRPr="00903F45" w:rsidRDefault="00E3750C" w:rsidP="00047864">
            <w:pPr>
              <w:spacing w:after="0" w:line="240" w:lineRule="auto"/>
              <w:jc w:val="right"/>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11</w:t>
            </w:r>
          </w:p>
        </w:tc>
      </w:tr>
      <w:tr w:rsidR="00E3750C" w:rsidRPr="00903F45" w14:paraId="0280DB45" w14:textId="77777777" w:rsidTr="00047864">
        <w:trPr>
          <w:trHeight w:val="300"/>
        </w:trPr>
        <w:tc>
          <w:tcPr>
            <w:tcW w:w="300" w:type="pct"/>
            <w:tcBorders>
              <w:top w:val="nil"/>
              <w:left w:val="single" w:sz="4" w:space="0" w:color="auto"/>
              <w:bottom w:val="single" w:sz="4" w:space="0" w:color="auto"/>
              <w:right w:val="single" w:sz="4" w:space="0" w:color="auto"/>
            </w:tcBorders>
            <w:shd w:val="clear" w:color="auto" w:fill="auto"/>
            <w:vAlign w:val="center"/>
            <w:hideMark/>
          </w:tcPr>
          <w:p w14:paraId="53499012"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Storitve</w:t>
            </w:r>
          </w:p>
        </w:tc>
        <w:tc>
          <w:tcPr>
            <w:tcW w:w="3669" w:type="pct"/>
            <w:tcBorders>
              <w:top w:val="nil"/>
              <w:left w:val="nil"/>
              <w:bottom w:val="single" w:sz="4" w:space="0" w:color="auto"/>
              <w:right w:val="single" w:sz="4" w:space="0" w:color="auto"/>
            </w:tcBorders>
            <w:shd w:val="clear" w:color="auto" w:fill="auto"/>
            <w:vAlign w:val="center"/>
            <w:hideMark/>
          </w:tcPr>
          <w:p w14:paraId="4828EBD0"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Storitve na področju zdravstva in socialnega varstva</w:t>
            </w:r>
          </w:p>
        </w:tc>
        <w:tc>
          <w:tcPr>
            <w:tcW w:w="592" w:type="pct"/>
            <w:tcBorders>
              <w:top w:val="nil"/>
              <w:left w:val="nil"/>
              <w:bottom w:val="single" w:sz="4" w:space="0" w:color="auto"/>
              <w:right w:val="single" w:sz="4" w:space="0" w:color="auto"/>
            </w:tcBorders>
            <w:shd w:val="clear" w:color="auto" w:fill="auto"/>
            <w:noWrap/>
            <w:vAlign w:val="center"/>
            <w:hideMark/>
          </w:tcPr>
          <w:p w14:paraId="64EB6C44"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85</w:t>
            </w:r>
          </w:p>
        </w:tc>
        <w:tc>
          <w:tcPr>
            <w:tcW w:w="439" w:type="pct"/>
            <w:tcBorders>
              <w:top w:val="nil"/>
              <w:left w:val="nil"/>
              <w:bottom w:val="single" w:sz="4" w:space="0" w:color="auto"/>
              <w:right w:val="single" w:sz="4" w:space="0" w:color="auto"/>
            </w:tcBorders>
            <w:shd w:val="clear" w:color="auto" w:fill="auto"/>
            <w:vAlign w:val="center"/>
            <w:hideMark/>
          </w:tcPr>
          <w:p w14:paraId="36A56783" w14:textId="77777777" w:rsidR="00E3750C" w:rsidRPr="00903F45" w:rsidRDefault="00E3750C" w:rsidP="00047864">
            <w:pPr>
              <w:spacing w:after="0" w:line="240" w:lineRule="auto"/>
              <w:jc w:val="right"/>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10</w:t>
            </w:r>
          </w:p>
        </w:tc>
      </w:tr>
      <w:tr w:rsidR="00E3750C" w:rsidRPr="00903F45" w14:paraId="7F9A1C36" w14:textId="77777777" w:rsidTr="00047864">
        <w:trPr>
          <w:trHeight w:val="300"/>
        </w:trPr>
        <w:tc>
          <w:tcPr>
            <w:tcW w:w="300" w:type="pct"/>
            <w:tcBorders>
              <w:top w:val="nil"/>
              <w:left w:val="single" w:sz="4" w:space="0" w:color="auto"/>
              <w:bottom w:val="single" w:sz="4" w:space="0" w:color="auto"/>
              <w:right w:val="single" w:sz="4" w:space="0" w:color="auto"/>
            </w:tcBorders>
            <w:shd w:val="clear" w:color="auto" w:fill="auto"/>
            <w:vAlign w:val="center"/>
            <w:hideMark/>
          </w:tcPr>
          <w:p w14:paraId="24688EE8"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Blago</w:t>
            </w:r>
          </w:p>
        </w:tc>
        <w:tc>
          <w:tcPr>
            <w:tcW w:w="3669" w:type="pct"/>
            <w:tcBorders>
              <w:top w:val="nil"/>
              <w:left w:val="nil"/>
              <w:bottom w:val="single" w:sz="4" w:space="0" w:color="auto"/>
              <w:right w:val="single" w:sz="4" w:space="0" w:color="auto"/>
            </w:tcBorders>
            <w:shd w:val="clear" w:color="auto" w:fill="auto"/>
            <w:vAlign w:val="center"/>
            <w:hideMark/>
          </w:tcPr>
          <w:p w14:paraId="5A3F0D89"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Rudarstvo, navadne kovine in z njimi povezani proizvodi</w:t>
            </w:r>
          </w:p>
        </w:tc>
        <w:tc>
          <w:tcPr>
            <w:tcW w:w="592" w:type="pct"/>
            <w:tcBorders>
              <w:top w:val="nil"/>
              <w:left w:val="nil"/>
              <w:bottom w:val="single" w:sz="4" w:space="0" w:color="auto"/>
              <w:right w:val="single" w:sz="4" w:space="0" w:color="auto"/>
            </w:tcBorders>
            <w:shd w:val="clear" w:color="auto" w:fill="auto"/>
            <w:noWrap/>
            <w:vAlign w:val="center"/>
            <w:hideMark/>
          </w:tcPr>
          <w:p w14:paraId="3FF7148A"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14</w:t>
            </w:r>
          </w:p>
        </w:tc>
        <w:tc>
          <w:tcPr>
            <w:tcW w:w="439" w:type="pct"/>
            <w:tcBorders>
              <w:top w:val="nil"/>
              <w:left w:val="nil"/>
              <w:bottom w:val="single" w:sz="4" w:space="0" w:color="auto"/>
              <w:right w:val="single" w:sz="4" w:space="0" w:color="auto"/>
            </w:tcBorders>
            <w:shd w:val="clear" w:color="auto" w:fill="auto"/>
            <w:vAlign w:val="center"/>
            <w:hideMark/>
          </w:tcPr>
          <w:p w14:paraId="04DBCED3" w14:textId="77777777" w:rsidR="00E3750C" w:rsidRPr="00903F45" w:rsidRDefault="00E3750C" w:rsidP="00047864">
            <w:pPr>
              <w:spacing w:after="0" w:line="240" w:lineRule="auto"/>
              <w:jc w:val="right"/>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10</w:t>
            </w:r>
          </w:p>
        </w:tc>
      </w:tr>
      <w:tr w:rsidR="00E3750C" w:rsidRPr="00903F45" w14:paraId="67C7D960" w14:textId="77777777" w:rsidTr="00047864">
        <w:trPr>
          <w:trHeight w:val="300"/>
        </w:trPr>
        <w:tc>
          <w:tcPr>
            <w:tcW w:w="300" w:type="pct"/>
            <w:tcBorders>
              <w:top w:val="nil"/>
              <w:left w:val="single" w:sz="4" w:space="0" w:color="auto"/>
              <w:bottom w:val="single" w:sz="4" w:space="0" w:color="auto"/>
              <w:right w:val="single" w:sz="4" w:space="0" w:color="auto"/>
            </w:tcBorders>
            <w:shd w:val="clear" w:color="auto" w:fill="auto"/>
            <w:vAlign w:val="center"/>
            <w:hideMark/>
          </w:tcPr>
          <w:p w14:paraId="56394039"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Blago</w:t>
            </w:r>
          </w:p>
        </w:tc>
        <w:tc>
          <w:tcPr>
            <w:tcW w:w="3669" w:type="pct"/>
            <w:tcBorders>
              <w:top w:val="nil"/>
              <w:left w:val="nil"/>
              <w:bottom w:val="single" w:sz="4" w:space="0" w:color="auto"/>
              <w:right w:val="single" w:sz="4" w:space="0" w:color="auto"/>
            </w:tcBorders>
            <w:shd w:val="clear" w:color="auto" w:fill="auto"/>
            <w:vAlign w:val="center"/>
            <w:hideMark/>
          </w:tcPr>
          <w:p w14:paraId="6D61A73E"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Tiskano gradivo in z njim povezani izdelki</w:t>
            </w:r>
          </w:p>
        </w:tc>
        <w:tc>
          <w:tcPr>
            <w:tcW w:w="592" w:type="pct"/>
            <w:tcBorders>
              <w:top w:val="nil"/>
              <w:left w:val="nil"/>
              <w:bottom w:val="single" w:sz="4" w:space="0" w:color="auto"/>
              <w:right w:val="single" w:sz="4" w:space="0" w:color="auto"/>
            </w:tcBorders>
            <w:shd w:val="clear" w:color="auto" w:fill="auto"/>
            <w:noWrap/>
            <w:vAlign w:val="center"/>
            <w:hideMark/>
          </w:tcPr>
          <w:p w14:paraId="5659DBE0"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22</w:t>
            </w:r>
          </w:p>
        </w:tc>
        <w:tc>
          <w:tcPr>
            <w:tcW w:w="439" w:type="pct"/>
            <w:tcBorders>
              <w:top w:val="nil"/>
              <w:left w:val="nil"/>
              <w:bottom w:val="single" w:sz="4" w:space="0" w:color="auto"/>
              <w:right w:val="single" w:sz="4" w:space="0" w:color="auto"/>
            </w:tcBorders>
            <w:shd w:val="clear" w:color="auto" w:fill="auto"/>
            <w:vAlign w:val="center"/>
            <w:hideMark/>
          </w:tcPr>
          <w:p w14:paraId="5054FF02" w14:textId="77777777" w:rsidR="00E3750C" w:rsidRPr="00903F45" w:rsidRDefault="00E3750C" w:rsidP="00047864">
            <w:pPr>
              <w:spacing w:after="0" w:line="240" w:lineRule="auto"/>
              <w:jc w:val="right"/>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8</w:t>
            </w:r>
          </w:p>
        </w:tc>
      </w:tr>
      <w:tr w:rsidR="00E3750C" w:rsidRPr="00903F45" w14:paraId="27321160" w14:textId="77777777" w:rsidTr="00047864">
        <w:trPr>
          <w:trHeight w:val="300"/>
        </w:trPr>
        <w:tc>
          <w:tcPr>
            <w:tcW w:w="300" w:type="pct"/>
            <w:tcBorders>
              <w:top w:val="nil"/>
              <w:left w:val="single" w:sz="4" w:space="0" w:color="auto"/>
              <w:bottom w:val="single" w:sz="4" w:space="0" w:color="auto"/>
              <w:right w:val="single" w:sz="4" w:space="0" w:color="auto"/>
            </w:tcBorders>
            <w:shd w:val="clear" w:color="auto" w:fill="auto"/>
            <w:vAlign w:val="center"/>
            <w:hideMark/>
          </w:tcPr>
          <w:p w14:paraId="78EB160F"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Blago</w:t>
            </w:r>
          </w:p>
        </w:tc>
        <w:tc>
          <w:tcPr>
            <w:tcW w:w="3669" w:type="pct"/>
            <w:tcBorders>
              <w:top w:val="nil"/>
              <w:left w:val="nil"/>
              <w:bottom w:val="single" w:sz="4" w:space="0" w:color="auto"/>
              <w:right w:val="single" w:sz="4" w:space="0" w:color="auto"/>
            </w:tcBorders>
            <w:shd w:val="clear" w:color="auto" w:fill="auto"/>
            <w:vAlign w:val="center"/>
            <w:hideMark/>
          </w:tcPr>
          <w:p w14:paraId="6DBA23A6"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Radijski in televizijski aparati, komunikacijska, telekomunikacijska in z njimi povezana oprema</w:t>
            </w:r>
          </w:p>
        </w:tc>
        <w:tc>
          <w:tcPr>
            <w:tcW w:w="592" w:type="pct"/>
            <w:tcBorders>
              <w:top w:val="nil"/>
              <w:left w:val="nil"/>
              <w:bottom w:val="single" w:sz="4" w:space="0" w:color="auto"/>
              <w:right w:val="single" w:sz="4" w:space="0" w:color="auto"/>
            </w:tcBorders>
            <w:shd w:val="clear" w:color="auto" w:fill="auto"/>
            <w:noWrap/>
            <w:vAlign w:val="center"/>
            <w:hideMark/>
          </w:tcPr>
          <w:p w14:paraId="18F68E38"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32</w:t>
            </w:r>
          </w:p>
        </w:tc>
        <w:tc>
          <w:tcPr>
            <w:tcW w:w="439" w:type="pct"/>
            <w:tcBorders>
              <w:top w:val="nil"/>
              <w:left w:val="nil"/>
              <w:bottom w:val="single" w:sz="4" w:space="0" w:color="auto"/>
              <w:right w:val="single" w:sz="4" w:space="0" w:color="auto"/>
            </w:tcBorders>
            <w:shd w:val="clear" w:color="auto" w:fill="auto"/>
            <w:vAlign w:val="center"/>
            <w:hideMark/>
          </w:tcPr>
          <w:p w14:paraId="45BAB802" w14:textId="77777777" w:rsidR="00E3750C" w:rsidRPr="00903F45" w:rsidRDefault="00E3750C" w:rsidP="00047864">
            <w:pPr>
              <w:spacing w:after="0" w:line="240" w:lineRule="auto"/>
              <w:jc w:val="right"/>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7</w:t>
            </w:r>
          </w:p>
        </w:tc>
      </w:tr>
      <w:tr w:rsidR="00E3750C" w:rsidRPr="00903F45" w14:paraId="3168B6C3" w14:textId="77777777" w:rsidTr="00047864">
        <w:trPr>
          <w:trHeight w:val="300"/>
        </w:trPr>
        <w:tc>
          <w:tcPr>
            <w:tcW w:w="300" w:type="pct"/>
            <w:tcBorders>
              <w:top w:val="nil"/>
              <w:left w:val="single" w:sz="4" w:space="0" w:color="auto"/>
              <w:bottom w:val="single" w:sz="4" w:space="0" w:color="auto"/>
              <w:right w:val="single" w:sz="4" w:space="0" w:color="auto"/>
            </w:tcBorders>
            <w:shd w:val="clear" w:color="auto" w:fill="auto"/>
            <w:vAlign w:val="center"/>
            <w:hideMark/>
          </w:tcPr>
          <w:p w14:paraId="46D151E3"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lastRenderedPageBreak/>
              <w:t>Storitve</w:t>
            </w:r>
          </w:p>
        </w:tc>
        <w:tc>
          <w:tcPr>
            <w:tcW w:w="3669" w:type="pct"/>
            <w:tcBorders>
              <w:top w:val="nil"/>
              <w:left w:val="nil"/>
              <w:bottom w:val="single" w:sz="4" w:space="0" w:color="auto"/>
              <w:right w:val="single" w:sz="4" w:space="0" w:color="auto"/>
            </w:tcBorders>
            <w:shd w:val="clear" w:color="auto" w:fill="auto"/>
            <w:vAlign w:val="center"/>
            <w:hideMark/>
          </w:tcPr>
          <w:p w14:paraId="673F4C47"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Storitve inštalacije (razen programske opreme)</w:t>
            </w:r>
          </w:p>
        </w:tc>
        <w:tc>
          <w:tcPr>
            <w:tcW w:w="592" w:type="pct"/>
            <w:tcBorders>
              <w:top w:val="nil"/>
              <w:left w:val="nil"/>
              <w:bottom w:val="single" w:sz="4" w:space="0" w:color="auto"/>
              <w:right w:val="single" w:sz="4" w:space="0" w:color="auto"/>
            </w:tcBorders>
            <w:shd w:val="clear" w:color="auto" w:fill="auto"/>
            <w:noWrap/>
            <w:vAlign w:val="center"/>
            <w:hideMark/>
          </w:tcPr>
          <w:p w14:paraId="025E1F55"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51</w:t>
            </w:r>
          </w:p>
        </w:tc>
        <w:tc>
          <w:tcPr>
            <w:tcW w:w="439" w:type="pct"/>
            <w:tcBorders>
              <w:top w:val="nil"/>
              <w:left w:val="nil"/>
              <w:bottom w:val="single" w:sz="4" w:space="0" w:color="auto"/>
              <w:right w:val="single" w:sz="4" w:space="0" w:color="auto"/>
            </w:tcBorders>
            <w:shd w:val="clear" w:color="auto" w:fill="auto"/>
            <w:vAlign w:val="center"/>
            <w:hideMark/>
          </w:tcPr>
          <w:p w14:paraId="6FE4A3B1" w14:textId="77777777" w:rsidR="00E3750C" w:rsidRPr="00903F45" w:rsidRDefault="00E3750C" w:rsidP="00047864">
            <w:pPr>
              <w:spacing w:after="0" w:line="240" w:lineRule="auto"/>
              <w:jc w:val="right"/>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7</w:t>
            </w:r>
          </w:p>
        </w:tc>
      </w:tr>
      <w:tr w:rsidR="00E3750C" w:rsidRPr="00903F45" w14:paraId="141AE223" w14:textId="77777777" w:rsidTr="00047864">
        <w:trPr>
          <w:trHeight w:val="300"/>
        </w:trPr>
        <w:tc>
          <w:tcPr>
            <w:tcW w:w="300" w:type="pct"/>
            <w:tcBorders>
              <w:top w:val="nil"/>
              <w:left w:val="single" w:sz="4" w:space="0" w:color="auto"/>
              <w:bottom w:val="single" w:sz="4" w:space="0" w:color="auto"/>
              <w:right w:val="single" w:sz="4" w:space="0" w:color="auto"/>
            </w:tcBorders>
            <w:shd w:val="clear" w:color="auto" w:fill="auto"/>
            <w:vAlign w:val="center"/>
            <w:hideMark/>
          </w:tcPr>
          <w:p w14:paraId="1938322E"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Storitve</w:t>
            </w:r>
          </w:p>
        </w:tc>
        <w:tc>
          <w:tcPr>
            <w:tcW w:w="3669" w:type="pct"/>
            <w:tcBorders>
              <w:top w:val="nil"/>
              <w:left w:val="nil"/>
              <w:bottom w:val="single" w:sz="4" w:space="0" w:color="auto"/>
              <w:right w:val="single" w:sz="4" w:space="0" w:color="auto"/>
            </w:tcBorders>
            <w:shd w:val="clear" w:color="auto" w:fill="auto"/>
            <w:vAlign w:val="center"/>
            <w:hideMark/>
          </w:tcPr>
          <w:p w14:paraId="1BE9D24C"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Storitve na področju rekreacije, kulture in športa</w:t>
            </w:r>
          </w:p>
        </w:tc>
        <w:tc>
          <w:tcPr>
            <w:tcW w:w="592" w:type="pct"/>
            <w:tcBorders>
              <w:top w:val="nil"/>
              <w:left w:val="nil"/>
              <w:bottom w:val="single" w:sz="4" w:space="0" w:color="auto"/>
              <w:right w:val="single" w:sz="4" w:space="0" w:color="auto"/>
            </w:tcBorders>
            <w:shd w:val="clear" w:color="auto" w:fill="auto"/>
            <w:noWrap/>
            <w:vAlign w:val="center"/>
            <w:hideMark/>
          </w:tcPr>
          <w:p w14:paraId="7435814D"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92</w:t>
            </w:r>
          </w:p>
        </w:tc>
        <w:tc>
          <w:tcPr>
            <w:tcW w:w="439" w:type="pct"/>
            <w:tcBorders>
              <w:top w:val="nil"/>
              <w:left w:val="nil"/>
              <w:bottom w:val="single" w:sz="4" w:space="0" w:color="auto"/>
              <w:right w:val="single" w:sz="4" w:space="0" w:color="auto"/>
            </w:tcBorders>
            <w:shd w:val="clear" w:color="auto" w:fill="auto"/>
            <w:vAlign w:val="center"/>
            <w:hideMark/>
          </w:tcPr>
          <w:p w14:paraId="43AE630E" w14:textId="77777777" w:rsidR="00E3750C" w:rsidRPr="00903F45" w:rsidRDefault="00E3750C" w:rsidP="00047864">
            <w:pPr>
              <w:spacing w:after="0" w:line="240" w:lineRule="auto"/>
              <w:jc w:val="right"/>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6</w:t>
            </w:r>
          </w:p>
        </w:tc>
      </w:tr>
      <w:tr w:rsidR="00E3750C" w:rsidRPr="00903F45" w14:paraId="009B6326" w14:textId="77777777" w:rsidTr="00047864">
        <w:trPr>
          <w:trHeight w:val="300"/>
        </w:trPr>
        <w:tc>
          <w:tcPr>
            <w:tcW w:w="300" w:type="pct"/>
            <w:tcBorders>
              <w:top w:val="nil"/>
              <w:left w:val="single" w:sz="4" w:space="0" w:color="auto"/>
              <w:bottom w:val="single" w:sz="4" w:space="0" w:color="auto"/>
              <w:right w:val="single" w:sz="4" w:space="0" w:color="auto"/>
            </w:tcBorders>
            <w:shd w:val="clear" w:color="auto" w:fill="auto"/>
            <w:vAlign w:val="center"/>
            <w:hideMark/>
          </w:tcPr>
          <w:p w14:paraId="66620838"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Storitve</w:t>
            </w:r>
          </w:p>
        </w:tc>
        <w:tc>
          <w:tcPr>
            <w:tcW w:w="3669" w:type="pct"/>
            <w:tcBorders>
              <w:top w:val="nil"/>
              <w:left w:val="nil"/>
              <w:bottom w:val="single" w:sz="4" w:space="0" w:color="auto"/>
              <w:right w:val="single" w:sz="4" w:space="0" w:color="auto"/>
            </w:tcBorders>
            <w:shd w:val="clear" w:color="auto" w:fill="auto"/>
            <w:vAlign w:val="center"/>
            <w:hideMark/>
          </w:tcPr>
          <w:p w14:paraId="59E22C53"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Druge javne, skupne in osebne storitve</w:t>
            </w:r>
          </w:p>
        </w:tc>
        <w:tc>
          <w:tcPr>
            <w:tcW w:w="592" w:type="pct"/>
            <w:tcBorders>
              <w:top w:val="nil"/>
              <w:left w:val="nil"/>
              <w:bottom w:val="single" w:sz="4" w:space="0" w:color="auto"/>
              <w:right w:val="single" w:sz="4" w:space="0" w:color="auto"/>
            </w:tcBorders>
            <w:shd w:val="clear" w:color="auto" w:fill="auto"/>
            <w:noWrap/>
            <w:vAlign w:val="center"/>
            <w:hideMark/>
          </w:tcPr>
          <w:p w14:paraId="54CB6024"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98</w:t>
            </w:r>
          </w:p>
        </w:tc>
        <w:tc>
          <w:tcPr>
            <w:tcW w:w="439" w:type="pct"/>
            <w:tcBorders>
              <w:top w:val="nil"/>
              <w:left w:val="nil"/>
              <w:bottom w:val="single" w:sz="4" w:space="0" w:color="auto"/>
              <w:right w:val="single" w:sz="4" w:space="0" w:color="auto"/>
            </w:tcBorders>
            <w:shd w:val="clear" w:color="auto" w:fill="auto"/>
            <w:vAlign w:val="center"/>
            <w:hideMark/>
          </w:tcPr>
          <w:p w14:paraId="193425D0" w14:textId="77777777" w:rsidR="00E3750C" w:rsidRPr="00903F45" w:rsidRDefault="00E3750C" w:rsidP="00047864">
            <w:pPr>
              <w:spacing w:after="0" w:line="240" w:lineRule="auto"/>
              <w:jc w:val="right"/>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6</w:t>
            </w:r>
          </w:p>
        </w:tc>
      </w:tr>
      <w:tr w:rsidR="00E3750C" w:rsidRPr="00903F45" w14:paraId="72AA54AC" w14:textId="77777777" w:rsidTr="00047864">
        <w:trPr>
          <w:trHeight w:val="300"/>
        </w:trPr>
        <w:tc>
          <w:tcPr>
            <w:tcW w:w="300" w:type="pct"/>
            <w:tcBorders>
              <w:top w:val="nil"/>
              <w:left w:val="single" w:sz="4" w:space="0" w:color="auto"/>
              <w:bottom w:val="single" w:sz="4" w:space="0" w:color="auto"/>
              <w:right w:val="single" w:sz="4" w:space="0" w:color="auto"/>
            </w:tcBorders>
            <w:shd w:val="clear" w:color="auto" w:fill="auto"/>
            <w:vAlign w:val="center"/>
            <w:hideMark/>
          </w:tcPr>
          <w:p w14:paraId="64376053"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Blago</w:t>
            </w:r>
          </w:p>
        </w:tc>
        <w:tc>
          <w:tcPr>
            <w:tcW w:w="3669" w:type="pct"/>
            <w:tcBorders>
              <w:top w:val="nil"/>
              <w:left w:val="nil"/>
              <w:bottom w:val="single" w:sz="4" w:space="0" w:color="auto"/>
              <w:right w:val="single" w:sz="4" w:space="0" w:color="auto"/>
            </w:tcBorders>
            <w:shd w:val="clear" w:color="auto" w:fill="auto"/>
            <w:vAlign w:val="center"/>
            <w:hideMark/>
          </w:tcPr>
          <w:p w14:paraId="3B7740D9"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Industrijski stroji</w:t>
            </w:r>
          </w:p>
        </w:tc>
        <w:tc>
          <w:tcPr>
            <w:tcW w:w="592" w:type="pct"/>
            <w:tcBorders>
              <w:top w:val="nil"/>
              <w:left w:val="nil"/>
              <w:bottom w:val="single" w:sz="4" w:space="0" w:color="auto"/>
              <w:right w:val="single" w:sz="4" w:space="0" w:color="auto"/>
            </w:tcBorders>
            <w:shd w:val="clear" w:color="auto" w:fill="auto"/>
            <w:noWrap/>
            <w:vAlign w:val="center"/>
            <w:hideMark/>
          </w:tcPr>
          <w:p w14:paraId="68FF8AF6"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42</w:t>
            </w:r>
          </w:p>
        </w:tc>
        <w:tc>
          <w:tcPr>
            <w:tcW w:w="439" w:type="pct"/>
            <w:tcBorders>
              <w:top w:val="nil"/>
              <w:left w:val="nil"/>
              <w:bottom w:val="single" w:sz="4" w:space="0" w:color="auto"/>
              <w:right w:val="single" w:sz="4" w:space="0" w:color="auto"/>
            </w:tcBorders>
            <w:shd w:val="clear" w:color="auto" w:fill="auto"/>
            <w:vAlign w:val="center"/>
            <w:hideMark/>
          </w:tcPr>
          <w:p w14:paraId="2E83002C" w14:textId="77777777" w:rsidR="00E3750C" w:rsidRPr="00903F45" w:rsidRDefault="00E3750C" w:rsidP="00047864">
            <w:pPr>
              <w:spacing w:after="0" w:line="240" w:lineRule="auto"/>
              <w:jc w:val="right"/>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6</w:t>
            </w:r>
          </w:p>
        </w:tc>
      </w:tr>
      <w:tr w:rsidR="00E3750C" w:rsidRPr="00903F45" w14:paraId="2110EF05" w14:textId="77777777" w:rsidTr="00047864">
        <w:trPr>
          <w:trHeight w:val="300"/>
        </w:trPr>
        <w:tc>
          <w:tcPr>
            <w:tcW w:w="300" w:type="pct"/>
            <w:tcBorders>
              <w:top w:val="nil"/>
              <w:left w:val="single" w:sz="4" w:space="0" w:color="auto"/>
              <w:bottom w:val="single" w:sz="4" w:space="0" w:color="auto"/>
              <w:right w:val="single" w:sz="4" w:space="0" w:color="auto"/>
            </w:tcBorders>
            <w:shd w:val="clear" w:color="auto" w:fill="auto"/>
            <w:vAlign w:val="center"/>
            <w:hideMark/>
          </w:tcPr>
          <w:p w14:paraId="0B7F4FA3"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Blago</w:t>
            </w:r>
          </w:p>
        </w:tc>
        <w:tc>
          <w:tcPr>
            <w:tcW w:w="3669" w:type="pct"/>
            <w:tcBorders>
              <w:top w:val="nil"/>
              <w:left w:val="nil"/>
              <w:bottom w:val="single" w:sz="4" w:space="0" w:color="auto"/>
              <w:right w:val="single" w:sz="4" w:space="0" w:color="auto"/>
            </w:tcBorders>
            <w:shd w:val="clear" w:color="auto" w:fill="auto"/>
            <w:vAlign w:val="center"/>
            <w:hideMark/>
          </w:tcPr>
          <w:p w14:paraId="2E1ECB26"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Laboratorijska, optična in precizna oprema (razen očal)</w:t>
            </w:r>
          </w:p>
        </w:tc>
        <w:tc>
          <w:tcPr>
            <w:tcW w:w="592" w:type="pct"/>
            <w:tcBorders>
              <w:top w:val="nil"/>
              <w:left w:val="nil"/>
              <w:bottom w:val="single" w:sz="4" w:space="0" w:color="auto"/>
              <w:right w:val="single" w:sz="4" w:space="0" w:color="auto"/>
            </w:tcBorders>
            <w:shd w:val="clear" w:color="auto" w:fill="auto"/>
            <w:noWrap/>
            <w:vAlign w:val="center"/>
            <w:hideMark/>
          </w:tcPr>
          <w:p w14:paraId="6E644DB7"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38</w:t>
            </w:r>
          </w:p>
        </w:tc>
        <w:tc>
          <w:tcPr>
            <w:tcW w:w="439" w:type="pct"/>
            <w:tcBorders>
              <w:top w:val="nil"/>
              <w:left w:val="nil"/>
              <w:bottom w:val="single" w:sz="4" w:space="0" w:color="auto"/>
              <w:right w:val="single" w:sz="4" w:space="0" w:color="auto"/>
            </w:tcBorders>
            <w:shd w:val="clear" w:color="auto" w:fill="auto"/>
            <w:vAlign w:val="center"/>
            <w:hideMark/>
          </w:tcPr>
          <w:p w14:paraId="19064850" w14:textId="77777777" w:rsidR="00E3750C" w:rsidRPr="00903F45" w:rsidRDefault="00E3750C" w:rsidP="00047864">
            <w:pPr>
              <w:spacing w:after="0" w:line="240" w:lineRule="auto"/>
              <w:jc w:val="right"/>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6</w:t>
            </w:r>
          </w:p>
        </w:tc>
      </w:tr>
      <w:tr w:rsidR="00E3750C" w:rsidRPr="00903F45" w14:paraId="689C2CC4" w14:textId="77777777" w:rsidTr="00047864">
        <w:trPr>
          <w:trHeight w:val="300"/>
        </w:trPr>
        <w:tc>
          <w:tcPr>
            <w:tcW w:w="300" w:type="pct"/>
            <w:tcBorders>
              <w:top w:val="nil"/>
              <w:left w:val="single" w:sz="4" w:space="0" w:color="auto"/>
              <w:bottom w:val="single" w:sz="4" w:space="0" w:color="auto"/>
              <w:right w:val="single" w:sz="4" w:space="0" w:color="auto"/>
            </w:tcBorders>
            <w:shd w:val="clear" w:color="auto" w:fill="auto"/>
            <w:vAlign w:val="center"/>
            <w:hideMark/>
          </w:tcPr>
          <w:p w14:paraId="21AE5102"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Storitve</w:t>
            </w:r>
          </w:p>
        </w:tc>
        <w:tc>
          <w:tcPr>
            <w:tcW w:w="3669" w:type="pct"/>
            <w:tcBorders>
              <w:top w:val="nil"/>
              <w:left w:val="nil"/>
              <w:bottom w:val="single" w:sz="4" w:space="0" w:color="auto"/>
              <w:right w:val="single" w:sz="4" w:space="0" w:color="auto"/>
            </w:tcBorders>
            <w:shd w:val="clear" w:color="auto" w:fill="auto"/>
            <w:vAlign w:val="center"/>
            <w:hideMark/>
          </w:tcPr>
          <w:p w14:paraId="37668A6D"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Poštne in telekomunikacijske storitve</w:t>
            </w:r>
          </w:p>
        </w:tc>
        <w:tc>
          <w:tcPr>
            <w:tcW w:w="592" w:type="pct"/>
            <w:tcBorders>
              <w:top w:val="nil"/>
              <w:left w:val="nil"/>
              <w:bottom w:val="single" w:sz="4" w:space="0" w:color="auto"/>
              <w:right w:val="single" w:sz="4" w:space="0" w:color="auto"/>
            </w:tcBorders>
            <w:shd w:val="clear" w:color="auto" w:fill="auto"/>
            <w:noWrap/>
            <w:vAlign w:val="center"/>
            <w:hideMark/>
          </w:tcPr>
          <w:p w14:paraId="73D9431F"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64</w:t>
            </w:r>
          </w:p>
        </w:tc>
        <w:tc>
          <w:tcPr>
            <w:tcW w:w="439" w:type="pct"/>
            <w:tcBorders>
              <w:top w:val="nil"/>
              <w:left w:val="nil"/>
              <w:bottom w:val="single" w:sz="4" w:space="0" w:color="auto"/>
              <w:right w:val="single" w:sz="4" w:space="0" w:color="auto"/>
            </w:tcBorders>
            <w:shd w:val="clear" w:color="auto" w:fill="auto"/>
            <w:vAlign w:val="center"/>
            <w:hideMark/>
          </w:tcPr>
          <w:p w14:paraId="70F1000F" w14:textId="77777777" w:rsidR="00E3750C" w:rsidRPr="00903F45" w:rsidRDefault="00E3750C" w:rsidP="00047864">
            <w:pPr>
              <w:spacing w:after="0" w:line="240" w:lineRule="auto"/>
              <w:jc w:val="right"/>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6</w:t>
            </w:r>
          </w:p>
        </w:tc>
      </w:tr>
      <w:tr w:rsidR="00E3750C" w:rsidRPr="00903F45" w14:paraId="613A818E" w14:textId="77777777" w:rsidTr="00047864">
        <w:trPr>
          <w:trHeight w:val="300"/>
        </w:trPr>
        <w:tc>
          <w:tcPr>
            <w:tcW w:w="300" w:type="pct"/>
            <w:tcBorders>
              <w:top w:val="nil"/>
              <w:left w:val="single" w:sz="4" w:space="0" w:color="auto"/>
              <w:bottom w:val="single" w:sz="4" w:space="0" w:color="auto"/>
              <w:right w:val="single" w:sz="4" w:space="0" w:color="auto"/>
            </w:tcBorders>
            <w:shd w:val="clear" w:color="auto" w:fill="auto"/>
            <w:vAlign w:val="center"/>
            <w:hideMark/>
          </w:tcPr>
          <w:p w14:paraId="4A6E5C01"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Blago</w:t>
            </w:r>
          </w:p>
        </w:tc>
        <w:tc>
          <w:tcPr>
            <w:tcW w:w="3669" w:type="pct"/>
            <w:tcBorders>
              <w:top w:val="nil"/>
              <w:left w:val="nil"/>
              <w:bottom w:val="single" w:sz="4" w:space="0" w:color="auto"/>
              <w:right w:val="single" w:sz="4" w:space="0" w:color="auto"/>
            </w:tcBorders>
            <w:shd w:val="clear" w:color="auto" w:fill="auto"/>
            <w:vAlign w:val="center"/>
            <w:hideMark/>
          </w:tcPr>
          <w:p w14:paraId="06CC756C"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Kmetijski, ribiški, gozdarski in z njimi povezani proizvodi</w:t>
            </w:r>
          </w:p>
        </w:tc>
        <w:tc>
          <w:tcPr>
            <w:tcW w:w="592" w:type="pct"/>
            <w:tcBorders>
              <w:top w:val="nil"/>
              <w:left w:val="nil"/>
              <w:bottom w:val="single" w:sz="4" w:space="0" w:color="auto"/>
              <w:right w:val="single" w:sz="4" w:space="0" w:color="auto"/>
            </w:tcBorders>
            <w:shd w:val="clear" w:color="auto" w:fill="auto"/>
            <w:noWrap/>
            <w:vAlign w:val="center"/>
            <w:hideMark/>
          </w:tcPr>
          <w:p w14:paraId="6CC168A7"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w:t>
            </w:r>
            <w:r w:rsidRPr="00903F45">
              <w:rPr>
                <w:rFonts w:ascii="Arial" w:eastAsia="Times New Roman" w:hAnsi="Arial" w:cs="Arial"/>
                <w:color w:val="000000"/>
                <w:sz w:val="18"/>
                <w:szCs w:val="18"/>
                <w:lang w:eastAsia="sl-SI"/>
              </w:rPr>
              <w:t>3</w:t>
            </w:r>
          </w:p>
        </w:tc>
        <w:tc>
          <w:tcPr>
            <w:tcW w:w="439" w:type="pct"/>
            <w:tcBorders>
              <w:top w:val="nil"/>
              <w:left w:val="nil"/>
              <w:bottom w:val="single" w:sz="4" w:space="0" w:color="auto"/>
              <w:right w:val="single" w:sz="4" w:space="0" w:color="auto"/>
            </w:tcBorders>
            <w:shd w:val="clear" w:color="auto" w:fill="auto"/>
            <w:vAlign w:val="center"/>
            <w:hideMark/>
          </w:tcPr>
          <w:p w14:paraId="52D8C641" w14:textId="77777777" w:rsidR="00E3750C" w:rsidRPr="00903F45" w:rsidRDefault="00E3750C" w:rsidP="00047864">
            <w:pPr>
              <w:spacing w:after="0" w:line="240" w:lineRule="auto"/>
              <w:jc w:val="right"/>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5</w:t>
            </w:r>
          </w:p>
        </w:tc>
      </w:tr>
      <w:tr w:rsidR="00E3750C" w:rsidRPr="00903F45" w14:paraId="4E9D1A43" w14:textId="77777777" w:rsidTr="00047864">
        <w:trPr>
          <w:trHeight w:val="300"/>
        </w:trPr>
        <w:tc>
          <w:tcPr>
            <w:tcW w:w="300" w:type="pct"/>
            <w:tcBorders>
              <w:top w:val="nil"/>
              <w:left w:val="single" w:sz="4" w:space="0" w:color="auto"/>
              <w:bottom w:val="single" w:sz="4" w:space="0" w:color="auto"/>
              <w:right w:val="single" w:sz="4" w:space="0" w:color="auto"/>
            </w:tcBorders>
            <w:shd w:val="clear" w:color="auto" w:fill="auto"/>
            <w:vAlign w:val="center"/>
            <w:hideMark/>
          </w:tcPr>
          <w:p w14:paraId="1C890B8A"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Storitve</w:t>
            </w:r>
          </w:p>
        </w:tc>
        <w:tc>
          <w:tcPr>
            <w:tcW w:w="3669" w:type="pct"/>
            <w:tcBorders>
              <w:top w:val="nil"/>
              <w:left w:val="nil"/>
              <w:bottom w:val="single" w:sz="4" w:space="0" w:color="auto"/>
              <w:right w:val="single" w:sz="4" w:space="0" w:color="auto"/>
            </w:tcBorders>
            <w:shd w:val="clear" w:color="auto" w:fill="auto"/>
            <w:vAlign w:val="center"/>
            <w:hideMark/>
          </w:tcPr>
          <w:p w14:paraId="508C76A3"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Podporne in pomožne prevozne storitve; storitve potovalnih agencij</w:t>
            </w:r>
          </w:p>
        </w:tc>
        <w:tc>
          <w:tcPr>
            <w:tcW w:w="592" w:type="pct"/>
            <w:tcBorders>
              <w:top w:val="nil"/>
              <w:left w:val="nil"/>
              <w:bottom w:val="single" w:sz="4" w:space="0" w:color="auto"/>
              <w:right w:val="single" w:sz="4" w:space="0" w:color="auto"/>
            </w:tcBorders>
            <w:shd w:val="clear" w:color="auto" w:fill="auto"/>
            <w:noWrap/>
            <w:vAlign w:val="center"/>
            <w:hideMark/>
          </w:tcPr>
          <w:p w14:paraId="37B02C53"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63</w:t>
            </w:r>
          </w:p>
        </w:tc>
        <w:tc>
          <w:tcPr>
            <w:tcW w:w="439" w:type="pct"/>
            <w:tcBorders>
              <w:top w:val="nil"/>
              <w:left w:val="nil"/>
              <w:bottom w:val="single" w:sz="4" w:space="0" w:color="auto"/>
              <w:right w:val="single" w:sz="4" w:space="0" w:color="auto"/>
            </w:tcBorders>
            <w:shd w:val="clear" w:color="auto" w:fill="auto"/>
            <w:vAlign w:val="center"/>
            <w:hideMark/>
          </w:tcPr>
          <w:p w14:paraId="7CA12F36" w14:textId="77777777" w:rsidR="00E3750C" w:rsidRPr="00903F45" w:rsidRDefault="00E3750C" w:rsidP="00047864">
            <w:pPr>
              <w:spacing w:after="0" w:line="240" w:lineRule="auto"/>
              <w:jc w:val="right"/>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5</w:t>
            </w:r>
          </w:p>
        </w:tc>
      </w:tr>
      <w:tr w:rsidR="00E3750C" w:rsidRPr="00903F45" w14:paraId="6694717C" w14:textId="77777777" w:rsidTr="00047864">
        <w:trPr>
          <w:trHeight w:val="300"/>
        </w:trPr>
        <w:tc>
          <w:tcPr>
            <w:tcW w:w="300" w:type="pct"/>
            <w:tcBorders>
              <w:top w:val="nil"/>
              <w:left w:val="single" w:sz="4" w:space="0" w:color="auto"/>
              <w:bottom w:val="single" w:sz="4" w:space="0" w:color="auto"/>
              <w:right w:val="single" w:sz="4" w:space="0" w:color="auto"/>
            </w:tcBorders>
            <w:shd w:val="clear" w:color="auto" w:fill="auto"/>
            <w:vAlign w:val="center"/>
            <w:hideMark/>
          </w:tcPr>
          <w:p w14:paraId="7C0548B0"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Blago</w:t>
            </w:r>
          </w:p>
        </w:tc>
        <w:tc>
          <w:tcPr>
            <w:tcW w:w="3669" w:type="pct"/>
            <w:tcBorders>
              <w:top w:val="nil"/>
              <w:left w:val="nil"/>
              <w:bottom w:val="single" w:sz="4" w:space="0" w:color="auto"/>
              <w:right w:val="single" w:sz="4" w:space="0" w:color="auto"/>
            </w:tcBorders>
            <w:shd w:val="clear" w:color="auto" w:fill="auto"/>
            <w:vAlign w:val="center"/>
            <w:hideMark/>
          </w:tcPr>
          <w:p w14:paraId="71C28BA9"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Programski paketi in informacijski sistemi</w:t>
            </w:r>
          </w:p>
        </w:tc>
        <w:tc>
          <w:tcPr>
            <w:tcW w:w="592" w:type="pct"/>
            <w:tcBorders>
              <w:top w:val="nil"/>
              <w:left w:val="nil"/>
              <w:bottom w:val="single" w:sz="4" w:space="0" w:color="auto"/>
              <w:right w:val="single" w:sz="4" w:space="0" w:color="auto"/>
            </w:tcBorders>
            <w:shd w:val="clear" w:color="auto" w:fill="auto"/>
            <w:noWrap/>
            <w:vAlign w:val="center"/>
            <w:hideMark/>
          </w:tcPr>
          <w:p w14:paraId="4F74B8D2"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48</w:t>
            </w:r>
          </w:p>
        </w:tc>
        <w:tc>
          <w:tcPr>
            <w:tcW w:w="439" w:type="pct"/>
            <w:tcBorders>
              <w:top w:val="nil"/>
              <w:left w:val="nil"/>
              <w:bottom w:val="single" w:sz="4" w:space="0" w:color="auto"/>
              <w:right w:val="single" w:sz="4" w:space="0" w:color="auto"/>
            </w:tcBorders>
            <w:shd w:val="clear" w:color="auto" w:fill="auto"/>
            <w:vAlign w:val="center"/>
            <w:hideMark/>
          </w:tcPr>
          <w:p w14:paraId="4BE335D1" w14:textId="77777777" w:rsidR="00E3750C" w:rsidRPr="00903F45" w:rsidRDefault="00E3750C" w:rsidP="00047864">
            <w:pPr>
              <w:spacing w:after="0" w:line="240" w:lineRule="auto"/>
              <w:jc w:val="right"/>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3</w:t>
            </w:r>
          </w:p>
        </w:tc>
      </w:tr>
      <w:tr w:rsidR="00E3750C" w:rsidRPr="00903F45" w14:paraId="57070DB6" w14:textId="77777777" w:rsidTr="00047864">
        <w:trPr>
          <w:trHeight w:val="300"/>
        </w:trPr>
        <w:tc>
          <w:tcPr>
            <w:tcW w:w="300" w:type="pct"/>
            <w:tcBorders>
              <w:top w:val="nil"/>
              <w:left w:val="single" w:sz="4" w:space="0" w:color="auto"/>
              <w:bottom w:val="single" w:sz="4" w:space="0" w:color="auto"/>
              <w:right w:val="single" w:sz="4" w:space="0" w:color="auto"/>
            </w:tcBorders>
            <w:shd w:val="clear" w:color="auto" w:fill="auto"/>
            <w:vAlign w:val="center"/>
            <w:hideMark/>
          </w:tcPr>
          <w:p w14:paraId="67D284BA"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Storitve</w:t>
            </w:r>
          </w:p>
        </w:tc>
        <w:tc>
          <w:tcPr>
            <w:tcW w:w="3669" w:type="pct"/>
            <w:tcBorders>
              <w:top w:val="nil"/>
              <w:left w:val="nil"/>
              <w:bottom w:val="single" w:sz="4" w:space="0" w:color="auto"/>
              <w:right w:val="single" w:sz="4" w:space="0" w:color="auto"/>
            </w:tcBorders>
            <w:shd w:val="clear" w:color="auto" w:fill="auto"/>
            <w:vAlign w:val="center"/>
            <w:hideMark/>
          </w:tcPr>
          <w:p w14:paraId="123AB5E1"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Finančne in zavarovalniške storitve</w:t>
            </w:r>
          </w:p>
        </w:tc>
        <w:tc>
          <w:tcPr>
            <w:tcW w:w="592" w:type="pct"/>
            <w:tcBorders>
              <w:top w:val="nil"/>
              <w:left w:val="nil"/>
              <w:bottom w:val="single" w:sz="4" w:space="0" w:color="auto"/>
              <w:right w:val="single" w:sz="4" w:space="0" w:color="auto"/>
            </w:tcBorders>
            <w:shd w:val="clear" w:color="auto" w:fill="auto"/>
            <w:noWrap/>
            <w:vAlign w:val="center"/>
            <w:hideMark/>
          </w:tcPr>
          <w:p w14:paraId="71603833"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66</w:t>
            </w:r>
          </w:p>
        </w:tc>
        <w:tc>
          <w:tcPr>
            <w:tcW w:w="439" w:type="pct"/>
            <w:tcBorders>
              <w:top w:val="nil"/>
              <w:left w:val="nil"/>
              <w:bottom w:val="single" w:sz="4" w:space="0" w:color="auto"/>
              <w:right w:val="single" w:sz="4" w:space="0" w:color="auto"/>
            </w:tcBorders>
            <w:shd w:val="clear" w:color="auto" w:fill="auto"/>
            <w:vAlign w:val="center"/>
            <w:hideMark/>
          </w:tcPr>
          <w:p w14:paraId="1358F6F7" w14:textId="77777777" w:rsidR="00E3750C" w:rsidRPr="00903F45" w:rsidRDefault="00E3750C" w:rsidP="00047864">
            <w:pPr>
              <w:spacing w:after="0" w:line="240" w:lineRule="auto"/>
              <w:jc w:val="right"/>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3</w:t>
            </w:r>
          </w:p>
        </w:tc>
      </w:tr>
      <w:tr w:rsidR="00E3750C" w:rsidRPr="00903F45" w14:paraId="3991606D" w14:textId="77777777" w:rsidTr="00047864">
        <w:trPr>
          <w:trHeight w:val="300"/>
        </w:trPr>
        <w:tc>
          <w:tcPr>
            <w:tcW w:w="300" w:type="pct"/>
            <w:tcBorders>
              <w:top w:val="nil"/>
              <w:left w:val="single" w:sz="4" w:space="0" w:color="auto"/>
              <w:bottom w:val="single" w:sz="4" w:space="0" w:color="auto"/>
              <w:right w:val="single" w:sz="4" w:space="0" w:color="auto"/>
            </w:tcBorders>
            <w:shd w:val="clear" w:color="auto" w:fill="auto"/>
            <w:vAlign w:val="center"/>
            <w:hideMark/>
          </w:tcPr>
          <w:p w14:paraId="44A5F0DC"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Storitve</w:t>
            </w:r>
          </w:p>
        </w:tc>
        <w:tc>
          <w:tcPr>
            <w:tcW w:w="3669" w:type="pct"/>
            <w:tcBorders>
              <w:top w:val="nil"/>
              <w:left w:val="nil"/>
              <w:bottom w:val="single" w:sz="4" w:space="0" w:color="auto"/>
              <w:right w:val="single" w:sz="4" w:space="0" w:color="auto"/>
            </w:tcBorders>
            <w:shd w:val="clear" w:color="auto" w:fill="auto"/>
            <w:vAlign w:val="center"/>
            <w:hideMark/>
          </w:tcPr>
          <w:p w14:paraId="2D15F76C"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Gospodarske javne službe</w:t>
            </w:r>
          </w:p>
        </w:tc>
        <w:tc>
          <w:tcPr>
            <w:tcW w:w="592" w:type="pct"/>
            <w:tcBorders>
              <w:top w:val="nil"/>
              <w:left w:val="nil"/>
              <w:bottom w:val="single" w:sz="4" w:space="0" w:color="auto"/>
              <w:right w:val="single" w:sz="4" w:space="0" w:color="auto"/>
            </w:tcBorders>
            <w:shd w:val="clear" w:color="auto" w:fill="auto"/>
            <w:noWrap/>
            <w:vAlign w:val="center"/>
            <w:hideMark/>
          </w:tcPr>
          <w:p w14:paraId="3EC1B95C"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65</w:t>
            </w:r>
          </w:p>
        </w:tc>
        <w:tc>
          <w:tcPr>
            <w:tcW w:w="439" w:type="pct"/>
            <w:tcBorders>
              <w:top w:val="nil"/>
              <w:left w:val="nil"/>
              <w:bottom w:val="single" w:sz="4" w:space="0" w:color="auto"/>
              <w:right w:val="single" w:sz="4" w:space="0" w:color="auto"/>
            </w:tcBorders>
            <w:shd w:val="clear" w:color="auto" w:fill="auto"/>
            <w:vAlign w:val="center"/>
            <w:hideMark/>
          </w:tcPr>
          <w:p w14:paraId="28F0D112" w14:textId="77777777" w:rsidR="00E3750C" w:rsidRPr="00903F45" w:rsidRDefault="00E3750C" w:rsidP="00047864">
            <w:pPr>
              <w:spacing w:after="0" w:line="240" w:lineRule="auto"/>
              <w:jc w:val="right"/>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3</w:t>
            </w:r>
          </w:p>
        </w:tc>
      </w:tr>
      <w:tr w:rsidR="00E3750C" w:rsidRPr="00903F45" w14:paraId="721867D4" w14:textId="77777777" w:rsidTr="00047864">
        <w:trPr>
          <w:trHeight w:val="300"/>
        </w:trPr>
        <w:tc>
          <w:tcPr>
            <w:tcW w:w="300" w:type="pct"/>
            <w:tcBorders>
              <w:top w:val="nil"/>
              <w:left w:val="single" w:sz="4" w:space="0" w:color="auto"/>
              <w:bottom w:val="single" w:sz="4" w:space="0" w:color="auto"/>
              <w:right w:val="single" w:sz="4" w:space="0" w:color="auto"/>
            </w:tcBorders>
            <w:shd w:val="clear" w:color="auto" w:fill="auto"/>
            <w:vAlign w:val="center"/>
            <w:hideMark/>
          </w:tcPr>
          <w:p w14:paraId="192D1AFA"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Storitve</w:t>
            </w:r>
          </w:p>
        </w:tc>
        <w:tc>
          <w:tcPr>
            <w:tcW w:w="3669" w:type="pct"/>
            <w:tcBorders>
              <w:top w:val="nil"/>
              <w:left w:val="nil"/>
              <w:bottom w:val="single" w:sz="4" w:space="0" w:color="auto"/>
              <w:right w:val="single" w:sz="4" w:space="0" w:color="auto"/>
            </w:tcBorders>
            <w:shd w:val="clear" w:color="auto" w:fill="auto"/>
            <w:vAlign w:val="center"/>
            <w:hideMark/>
          </w:tcPr>
          <w:p w14:paraId="7270B971"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Storitve poslovanja z nepremičninami</w:t>
            </w:r>
          </w:p>
        </w:tc>
        <w:tc>
          <w:tcPr>
            <w:tcW w:w="592" w:type="pct"/>
            <w:tcBorders>
              <w:top w:val="nil"/>
              <w:left w:val="nil"/>
              <w:bottom w:val="single" w:sz="4" w:space="0" w:color="auto"/>
              <w:right w:val="single" w:sz="4" w:space="0" w:color="auto"/>
            </w:tcBorders>
            <w:shd w:val="clear" w:color="auto" w:fill="auto"/>
            <w:noWrap/>
            <w:vAlign w:val="center"/>
            <w:hideMark/>
          </w:tcPr>
          <w:p w14:paraId="69870EF9"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70</w:t>
            </w:r>
          </w:p>
        </w:tc>
        <w:tc>
          <w:tcPr>
            <w:tcW w:w="439" w:type="pct"/>
            <w:tcBorders>
              <w:top w:val="nil"/>
              <w:left w:val="nil"/>
              <w:bottom w:val="single" w:sz="4" w:space="0" w:color="auto"/>
              <w:right w:val="single" w:sz="4" w:space="0" w:color="auto"/>
            </w:tcBorders>
            <w:shd w:val="clear" w:color="auto" w:fill="auto"/>
            <w:vAlign w:val="center"/>
            <w:hideMark/>
          </w:tcPr>
          <w:p w14:paraId="7D564816" w14:textId="77777777" w:rsidR="00E3750C" w:rsidRPr="00903F45" w:rsidRDefault="00E3750C" w:rsidP="00047864">
            <w:pPr>
              <w:spacing w:after="0" w:line="240" w:lineRule="auto"/>
              <w:jc w:val="right"/>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1</w:t>
            </w:r>
          </w:p>
        </w:tc>
      </w:tr>
      <w:tr w:rsidR="00E3750C" w:rsidRPr="00903F45" w14:paraId="05F51EAD" w14:textId="77777777" w:rsidTr="00047864">
        <w:trPr>
          <w:trHeight w:val="300"/>
        </w:trPr>
        <w:tc>
          <w:tcPr>
            <w:tcW w:w="300" w:type="pct"/>
            <w:tcBorders>
              <w:top w:val="nil"/>
              <w:left w:val="single" w:sz="4" w:space="0" w:color="auto"/>
              <w:bottom w:val="single" w:sz="4" w:space="0" w:color="auto"/>
              <w:right w:val="single" w:sz="4" w:space="0" w:color="auto"/>
            </w:tcBorders>
            <w:shd w:val="clear" w:color="auto" w:fill="auto"/>
            <w:vAlign w:val="center"/>
            <w:hideMark/>
          </w:tcPr>
          <w:p w14:paraId="2D542953"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Blago</w:t>
            </w:r>
          </w:p>
        </w:tc>
        <w:tc>
          <w:tcPr>
            <w:tcW w:w="3669" w:type="pct"/>
            <w:tcBorders>
              <w:top w:val="nil"/>
              <w:left w:val="nil"/>
              <w:bottom w:val="single" w:sz="4" w:space="0" w:color="auto"/>
              <w:right w:val="single" w:sz="4" w:space="0" w:color="auto"/>
            </w:tcBorders>
            <w:shd w:val="clear" w:color="auto" w:fill="auto"/>
            <w:vAlign w:val="center"/>
            <w:hideMark/>
          </w:tcPr>
          <w:p w14:paraId="10C231FE"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Zbrana in očiščena voda</w:t>
            </w:r>
          </w:p>
        </w:tc>
        <w:tc>
          <w:tcPr>
            <w:tcW w:w="592" w:type="pct"/>
            <w:tcBorders>
              <w:top w:val="nil"/>
              <w:left w:val="nil"/>
              <w:bottom w:val="single" w:sz="4" w:space="0" w:color="auto"/>
              <w:right w:val="single" w:sz="4" w:space="0" w:color="auto"/>
            </w:tcBorders>
            <w:shd w:val="clear" w:color="auto" w:fill="auto"/>
            <w:noWrap/>
            <w:vAlign w:val="center"/>
            <w:hideMark/>
          </w:tcPr>
          <w:p w14:paraId="050492C7"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41</w:t>
            </w:r>
          </w:p>
        </w:tc>
        <w:tc>
          <w:tcPr>
            <w:tcW w:w="439" w:type="pct"/>
            <w:tcBorders>
              <w:top w:val="nil"/>
              <w:left w:val="nil"/>
              <w:bottom w:val="single" w:sz="4" w:space="0" w:color="auto"/>
              <w:right w:val="single" w:sz="4" w:space="0" w:color="auto"/>
            </w:tcBorders>
            <w:shd w:val="clear" w:color="auto" w:fill="auto"/>
            <w:vAlign w:val="center"/>
            <w:hideMark/>
          </w:tcPr>
          <w:p w14:paraId="1B7F83EF" w14:textId="77777777" w:rsidR="00E3750C" w:rsidRPr="00903F45" w:rsidRDefault="00E3750C" w:rsidP="00047864">
            <w:pPr>
              <w:spacing w:after="0" w:line="240" w:lineRule="auto"/>
              <w:jc w:val="right"/>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1</w:t>
            </w:r>
          </w:p>
        </w:tc>
      </w:tr>
      <w:tr w:rsidR="00E3750C" w:rsidRPr="00903F45" w14:paraId="36A28A15" w14:textId="77777777" w:rsidTr="00047864">
        <w:trPr>
          <w:trHeight w:val="300"/>
        </w:trPr>
        <w:tc>
          <w:tcPr>
            <w:tcW w:w="300" w:type="pct"/>
            <w:tcBorders>
              <w:top w:val="nil"/>
              <w:left w:val="single" w:sz="4" w:space="0" w:color="auto"/>
              <w:bottom w:val="single" w:sz="4" w:space="0" w:color="auto"/>
              <w:right w:val="single" w:sz="4" w:space="0" w:color="auto"/>
            </w:tcBorders>
            <w:shd w:val="clear" w:color="auto" w:fill="auto"/>
            <w:vAlign w:val="center"/>
            <w:hideMark/>
          </w:tcPr>
          <w:p w14:paraId="27A684D4"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Storitve</w:t>
            </w:r>
          </w:p>
        </w:tc>
        <w:tc>
          <w:tcPr>
            <w:tcW w:w="3669" w:type="pct"/>
            <w:tcBorders>
              <w:top w:val="nil"/>
              <w:left w:val="nil"/>
              <w:bottom w:val="single" w:sz="4" w:space="0" w:color="auto"/>
              <w:right w:val="single" w:sz="4" w:space="0" w:color="auto"/>
            </w:tcBorders>
            <w:shd w:val="clear" w:color="auto" w:fill="auto"/>
            <w:vAlign w:val="center"/>
            <w:hideMark/>
          </w:tcPr>
          <w:p w14:paraId="3A427269"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Storitve na področju raziskav in razvoja ter s tem povezane svetovalne storitve</w:t>
            </w:r>
          </w:p>
        </w:tc>
        <w:tc>
          <w:tcPr>
            <w:tcW w:w="592" w:type="pct"/>
            <w:tcBorders>
              <w:top w:val="nil"/>
              <w:left w:val="nil"/>
              <w:bottom w:val="single" w:sz="4" w:space="0" w:color="auto"/>
              <w:right w:val="single" w:sz="4" w:space="0" w:color="auto"/>
            </w:tcBorders>
            <w:shd w:val="clear" w:color="auto" w:fill="auto"/>
            <w:noWrap/>
            <w:vAlign w:val="center"/>
            <w:hideMark/>
          </w:tcPr>
          <w:p w14:paraId="222C053B"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73</w:t>
            </w:r>
          </w:p>
        </w:tc>
        <w:tc>
          <w:tcPr>
            <w:tcW w:w="439" w:type="pct"/>
            <w:tcBorders>
              <w:top w:val="nil"/>
              <w:left w:val="nil"/>
              <w:bottom w:val="single" w:sz="4" w:space="0" w:color="auto"/>
              <w:right w:val="single" w:sz="4" w:space="0" w:color="auto"/>
            </w:tcBorders>
            <w:shd w:val="clear" w:color="auto" w:fill="auto"/>
            <w:vAlign w:val="center"/>
            <w:hideMark/>
          </w:tcPr>
          <w:p w14:paraId="0DD16F2B" w14:textId="77777777" w:rsidR="00E3750C" w:rsidRPr="00903F45" w:rsidRDefault="00E3750C" w:rsidP="00047864">
            <w:pPr>
              <w:spacing w:after="0" w:line="240" w:lineRule="auto"/>
              <w:jc w:val="right"/>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1</w:t>
            </w:r>
          </w:p>
        </w:tc>
      </w:tr>
      <w:tr w:rsidR="00E3750C" w:rsidRPr="00903F45" w14:paraId="1BD439B3" w14:textId="77777777" w:rsidTr="00047864">
        <w:trPr>
          <w:trHeight w:val="300"/>
        </w:trPr>
        <w:tc>
          <w:tcPr>
            <w:tcW w:w="300" w:type="pct"/>
            <w:tcBorders>
              <w:top w:val="nil"/>
              <w:left w:val="single" w:sz="4" w:space="0" w:color="auto"/>
              <w:bottom w:val="single" w:sz="4" w:space="0" w:color="auto"/>
              <w:right w:val="single" w:sz="4" w:space="0" w:color="auto"/>
            </w:tcBorders>
            <w:shd w:val="clear" w:color="auto" w:fill="auto"/>
            <w:vAlign w:val="center"/>
            <w:hideMark/>
          </w:tcPr>
          <w:p w14:paraId="149809B8"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Storitve</w:t>
            </w:r>
          </w:p>
        </w:tc>
        <w:tc>
          <w:tcPr>
            <w:tcW w:w="3669" w:type="pct"/>
            <w:tcBorders>
              <w:top w:val="nil"/>
              <w:left w:val="nil"/>
              <w:bottom w:val="single" w:sz="4" w:space="0" w:color="auto"/>
              <w:right w:val="single" w:sz="4" w:space="0" w:color="auto"/>
            </w:tcBorders>
            <w:shd w:val="clear" w:color="auto" w:fill="auto"/>
            <w:vAlign w:val="center"/>
            <w:hideMark/>
          </w:tcPr>
          <w:p w14:paraId="27B99344"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Storitve, povezane z industrijo nafte in zemeljskega plina</w:t>
            </w:r>
          </w:p>
        </w:tc>
        <w:tc>
          <w:tcPr>
            <w:tcW w:w="592" w:type="pct"/>
            <w:tcBorders>
              <w:top w:val="nil"/>
              <w:left w:val="nil"/>
              <w:bottom w:val="single" w:sz="4" w:space="0" w:color="auto"/>
              <w:right w:val="single" w:sz="4" w:space="0" w:color="auto"/>
            </w:tcBorders>
            <w:shd w:val="clear" w:color="auto" w:fill="auto"/>
            <w:noWrap/>
            <w:vAlign w:val="center"/>
            <w:hideMark/>
          </w:tcPr>
          <w:p w14:paraId="15534CC1"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76</w:t>
            </w:r>
          </w:p>
        </w:tc>
        <w:tc>
          <w:tcPr>
            <w:tcW w:w="439" w:type="pct"/>
            <w:tcBorders>
              <w:top w:val="nil"/>
              <w:left w:val="nil"/>
              <w:bottom w:val="single" w:sz="4" w:space="0" w:color="auto"/>
              <w:right w:val="single" w:sz="4" w:space="0" w:color="auto"/>
            </w:tcBorders>
            <w:shd w:val="clear" w:color="auto" w:fill="auto"/>
            <w:vAlign w:val="center"/>
            <w:hideMark/>
          </w:tcPr>
          <w:p w14:paraId="37B452AB" w14:textId="77777777" w:rsidR="00E3750C" w:rsidRPr="00903F45" w:rsidRDefault="00E3750C" w:rsidP="00047864">
            <w:pPr>
              <w:spacing w:after="0" w:line="240" w:lineRule="auto"/>
              <w:jc w:val="right"/>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1</w:t>
            </w:r>
          </w:p>
        </w:tc>
      </w:tr>
      <w:tr w:rsidR="00E3750C" w:rsidRPr="00903F45" w14:paraId="6B41B9B6" w14:textId="77777777" w:rsidTr="00047864">
        <w:trPr>
          <w:trHeight w:val="300"/>
        </w:trPr>
        <w:tc>
          <w:tcPr>
            <w:tcW w:w="300" w:type="pct"/>
            <w:tcBorders>
              <w:top w:val="nil"/>
              <w:left w:val="single" w:sz="4" w:space="0" w:color="auto"/>
              <w:bottom w:val="single" w:sz="4" w:space="0" w:color="auto"/>
              <w:right w:val="single" w:sz="4" w:space="0" w:color="auto"/>
            </w:tcBorders>
            <w:shd w:val="clear" w:color="auto" w:fill="auto"/>
            <w:vAlign w:val="center"/>
            <w:hideMark/>
          </w:tcPr>
          <w:p w14:paraId="37B637C2"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Blago</w:t>
            </w:r>
          </w:p>
        </w:tc>
        <w:tc>
          <w:tcPr>
            <w:tcW w:w="3669" w:type="pct"/>
            <w:tcBorders>
              <w:top w:val="nil"/>
              <w:left w:val="nil"/>
              <w:bottom w:val="single" w:sz="4" w:space="0" w:color="auto"/>
              <w:right w:val="single" w:sz="4" w:space="0" w:color="auto"/>
            </w:tcBorders>
            <w:shd w:val="clear" w:color="auto" w:fill="auto"/>
            <w:vAlign w:val="center"/>
            <w:hideMark/>
          </w:tcPr>
          <w:p w14:paraId="6485DC00"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Rudarska, kamnoseška in gradbena oprema</w:t>
            </w:r>
          </w:p>
        </w:tc>
        <w:tc>
          <w:tcPr>
            <w:tcW w:w="592" w:type="pct"/>
            <w:tcBorders>
              <w:top w:val="nil"/>
              <w:left w:val="nil"/>
              <w:bottom w:val="single" w:sz="4" w:space="0" w:color="auto"/>
              <w:right w:val="single" w:sz="4" w:space="0" w:color="auto"/>
            </w:tcBorders>
            <w:shd w:val="clear" w:color="auto" w:fill="auto"/>
            <w:noWrap/>
            <w:vAlign w:val="center"/>
            <w:hideMark/>
          </w:tcPr>
          <w:p w14:paraId="7E55D39F"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43</w:t>
            </w:r>
          </w:p>
        </w:tc>
        <w:tc>
          <w:tcPr>
            <w:tcW w:w="439" w:type="pct"/>
            <w:tcBorders>
              <w:top w:val="nil"/>
              <w:left w:val="nil"/>
              <w:bottom w:val="single" w:sz="4" w:space="0" w:color="auto"/>
              <w:right w:val="single" w:sz="4" w:space="0" w:color="auto"/>
            </w:tcBorders>
            <w:shd w:val="clear" w:color="auto" w:fill="auto"/>
            <w:vAlign w:val="center"/>
            <w:hideMark/>
          </w:tcPr>
          <w:p w14:paraId="3DA482FB" w14:textId="77777777" w:rsidR="00E3750C" w:rsidRPr="00903F45" w:rsidRDefault="00E3750C" w:rsidP="00047864">
            <w:pPr>
              <w:spacing w:after="0" w:line="240" w:lineRule="auto"/>
              <w:jc w:val="right"/>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1</w:t>
            </w:r>
          </w:p>
        </w:tc>
      </w:tr>
      <w:tr w:rsidR="00E3750C" w:rsidRPr="00903F45" w14:paraId="14303131" w14:textId="77777777" w:rsidTr="00047864">
        <w:trPr>
          <w:trHeight w:val="300"/>
        </w:trPr>
        <w:tc>
          <w:tcPr>
            <w:tcW w:w="300" w:type="pct"/>
            <w:tcBorders>
              <w:top w:val="nil"/>
              <w:left w:val="single" w:sz="4" w:space="0" w:color="auto"/>
              <w:bottom w:val="single" w:sz="4" w:space="0" w:color="auto"/>
              <w:right w:val="single" w:sz="4" w:space="0" w:color="auto"/>
            </w:tcBorders>
            <w:shd w:val="clear" w:color="auto" w:fill="auto"/>
            <w:vAlign w:val="center"/>
            <w:hideMark/>
          </w:tcPr>
          <w:p w14:paraId="537E75D9"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Blago</w:t>
            </w:r>
          </w:p>
        </w:tc>
        <w:tc>
          <w:tcPr>
            <w:tcW w:w="3669" w:type="pct"/>
            <w:tcBorders>
              <w:top w:val="nil"/>
              <w:left w:val="nil"/>
              <w:bottom w:val="single" w:sz="4" w:space="0" w:color="auto"/>
              <w:right w:val="single" w:sz="4" w:space="0" w:color="auto"/>
            </w:tcBorders>
            <w:shd w:val="clear" w:color="auto" w:fill="auto"/>
            <w:vAlign w:val="center"/>
            <w:hideMark/>
          </w:tcPr>
          <w:p w14:paraId="357BF40D"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Glasbila, športni izdelki, igre, igrače, ročna dela, umetniški materiali in dodatki</w:t>
            </w:r>
          </w:p>
        </w:tc>
        <w:tc>
          <w:tcPr>
            <w:tcW w:w="592" w:type="pct"/>
            <w:tcBorders>
              <w:top w:val="nil"/>
              <w:left w:val="nil"/>
              <w:bottom w:val="single" w:sz="4" w:space="0" w:color="auto"/>
              <w:right w:val="single" w:sz="4" w:space="0" w:color="auto"/>
            </w:tcBorders>
            <w:shd w:val="clear" w:color="auto" w:fill="auto"/>
            <w:noWrap/>
            <w:vAlign w:val="center"/>
            <w:hideMark/>
          </w:tcPr>
          <w:p w14:paraId="6F4E77FA"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37</w:t>
            </w:r>
          </w:p>
        </w:tc>
        <w:tc>
          <w:tcPr>
            <w:tcW w:w="439" w:type="pct"/>
            <w:tcBorders>
              <w:top w:val="nil"/>
              <w:left w:val="nil"/>
              <w:bottom w:val="single" w:sz="4" w:space="0" w:color="auto"/>
              <w:right w:val="single" w:sz="4" w:space="0" w:color="auto"/>
            </w:tcBorders>
            <w:shd w:val="clear" w:color="auto" w:fill="auto"/>
            <w:vAlign w:val="center"/>
            <w:hideMark/>
          </w:tcPr>
          <w:p w14:paraId="305DA92F" w14:textId="77777777" w:rsidR="00E3750C" w:rsidRPr="00903F45" w:rsidRDefault="00E3750C" w:rsidP="00047864">
            <w:pPr>
              <w:spacing w:after="0" w:line="240" w:lineRule="auto"/>
              <w:jc w:val="right"/>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1</w:t>
            </w:r>
          </w:p>
        </w:tc>
      </w:tr>
      <w:tr w:rsidR="00E3750C" w:rsidRPr="00903F45" w14:paraId="5791FB83" w14:textId="77777777" w:rsidTr="00047864">
        <w:trPr>
          <w:trHeight w:val="300"/>
        </w:trPr>
        <w:tc>
          <w:tcPr>
            <w:tcW w:w="300" w:type="pct"/>
            <w:tcBorders>
              <w:top w:val="nil"/>
              <w:left w:val="single" w:sz="4" w:space="0" w:color="auto"/>
              <w:bottom w:val="single" w:sz="4" w:space="0" w:color="auto"/>
              <w:right w:val="single" w:sz="4" w:space="0" w:color="auto"/>
            </w:tcBorders>
            <w:shd w:val="clear" w:color="auto" w:fill="auto"/>
            <w:vAlign w:val="center"/>
            <w:hideMark/>
          </w:tcPr>
          <w:p w14:paraId="17DBD25C"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Storitve</w:t>
            </w:r>
          </w:p>
        </w:tc>
        <w:tc>
          <w:tcPr>
            <w:tcW w:w="3669" w:type="pct"/>
            <w:tcBorders>
              <w:top w:val="nil"/>
              <w:left w:val="nil"/>
              <w:bottom w:val="single" w:sz="4" w:space="0" w:color="auto"/>
              <w:right w:val="single" w:sz="4" w:space="0" w:color="auto"/>
            </w:tcBorders>
            <w:shd w:val="clear" w:color="auto" w:fill="auto"/>
            <w:vAlign w:val="center"/>
            <w:hideMark/>
          </w:tcPr>
          <w:p w14:paraId="6721D7AE"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Storitve hotelov, restavracij in trgovine na drobno</w:t>
            </w:r>
          </w:p>
        </w:tc>
        <w:tc>
          <w:tcPr>
            <w:tcW w:w="592" w:type="pct"/>
            <w:tcBorders>
              <w:top w:val="nil"/>
              <w:left w:val="nil"/>
              <w:bottom w:val="single" w:sz="4" w:space="0" w:color="auto"/>
              <w:right w:val="single" w:sz="4" w:space="0" w:color="auto"/>
            </w:tcBorders>
            <w:shd w:val="clear" w:color="auto" w:fill="auto"/>
            <w:noWrap/>
            <w:vAlign w:val="center"/>
            <w:hideMark/>
          </w:tcPr>
          <w:p w14:paraId="185C1A43" w14:textId="77777777" w:rsidR="00E3750C" w:rsidRPr="00903F45" w:rsidRDefault="00E3750C" w:rsidP="00047864">
            <w:pPr>
              <w:spacing w:after="0" w:line="240" w:lineRule="auto"/>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55</w:t>
            </w:r>
          </w:p>
        </w:tc>
        <w:tc>
          <w:tcPr>
            <w:tcW w:w="439" w:type="pct"/>
            <w:tcBorders>
              <w:top w:val="nil"/>
              <w:left w:val="nil"/>
              <w:bottom w:val="single" w:sz="4" w:space="0" w:color="auto"/>
              <w:right w:val="single" w:sz="4" w:space="0" w:color="auto"/>
            </w:tcBorders>
            <w:shd w:val="clear" w:color="auto" w:fill="auto"/>
            <w:vAlign w:val="center"/>
            <w:hideMark/>
          </w:tcPr>
          <w:p w14:paraId="20682CF8" w14:textId="77777777" w:rsidR="00E3750C" w:rsidRPr="00903F45" w:rsidRDefault="00E3750C" w:rsidP="00047864">
            <w:pPr>
              <w:spacing w:after="0" w:line="240" w:lineRule="auto"/>
              <w:jc w:val="right"/>
              <w:rPr>
                <w:rFonts w:ascii="Arial" w:eastAsia="Times New Roman" w:hAnsi="Arial" w:cs="Arial"/>
                <w:color w:val="000000"/>
                <w:sz w:val="18"/>
                <w:szCs w:val="18"/>
                <w:lang w:eastAsia="sl-SI"/>
              </w:rPr>
            </w:pPr>
            <w:r w:rsidRPr="00903F45">
              <w:rPr>
                <w:rFonts w:ascii="Arial" w:eastAsia="Times New Roman" w:hAnsi="Arial" w:cs="Arial"/>
                <w:color w:val="000000"/>
                <w:sz w:val="18"/>
                <w:szCs w:val="18"/>
                <w:lang w:eastAsia="sl-SI"/>
              </w:rPr>
              <w:t>1</w:t>
            </w:r>
          </w:p>
        </w:tc>
      </w:tr>
    </w:tbl>
    <w:p w14:paraId="166AAD21" w14:textId="77777777" w:rsidR="00E3750C" w:rsidRPr="00AD1B06" w:rsidRDefault="00E3750C" w:rsidP="00E3750C">
      <w:pPr>
        <w:spacing w:after="0" w:line="240" w:lineRule="auto"/>
        <w:jc w:val="both"/>
        <w:rPr>
          <w:rFonts w:ascii="Arial" w:hAnsi="Arial" w:cs="Arial"/>
          <w:sz w:val="20"/>
        </w:rPr>
      </w:pPr>
    </w:p>
    <w:p w14:paraId="15808AFB" w14:textId="77777777" w:rsidR="00E3750C" w:rsidRPr="00AD1B06" w:rsidRDefault="00E3750C" w:rsidP="00E3750C">
      <w:pPr>
        <w:spacing w:before="120" w:after="0" w:line="240" w:lineRule="auto"/>
        <w:jc w:val="both"/>
        <w:rPr>
          <w:rFonts w:ascii="Arial" w:hAnsi="Arial" w:cs="Arial"/>
          <w:sz w:val="20"/>
        </w:rPr>
      </w:pPr>
      <w:r w:rsidRPr="00AD1B06">
        <w:rPr>
          <w:rFonts w:ascii="Arial" w:hAnsi="Arial" w:cs="Arial"/>
          <w:sz w:val="20"/>
        </w:rPr>
        <w:t>Preglednica 7</w:t>
      </w:r>
      <w:r>
        <w:rPr>
          <w:rFonts w:ascii="Arial" w:hAnsi="Arial" w:cs="Arial"/>
          <w:sz w:val="20"/>
        </w:rPr>
        <w:t>3</w:t>
      </w:r>
      <w:r w:rsidRPr="00AD1B06">
        <w:rPr>
          <w:rFonts w:ascii="Arial" w:hAnsi="Arial" w:cs="Arial"/>
          <w:sz w:val="20"/>
        </w:rPr>
        <w:t xml:space="preserve">: Javna naročila na splošnem področju, glede na predmet naročanja po Enotnem besednjaku javnih naročil (CPV) </w:t>
      </w:r>
    </w:p>
    <w:p w14:paraId="7F60774D" w14:textId="77777777" w:rsidR="00E3750C" w:rsidRPr="00BF7302" w:rsidRDefault="00E3750C" w:rsidP="00E3750C">
      <w:pPr>
        <w:spacing w:after="0" w:line="240" w:lineRule="auto"/>
        <w:jc w:val="both"/>
        <w:rPr>
          <w:rFonts w:ascii="Arial" w:hAnsi="Arial" w:cs="Arial"/>
          <w:sz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20"/>
        <w:gridCol w:w="771"/>
        <w:gridCol w:w="691"/>
        <w:gridCol w:w="1490"/>
        <w:gridCol w:w="901"/>
        <w:gridCol w:w="901"/>
      </w:tblGrid>
      <w:tr w:rsidR="00E3750C" w:rsidRPr="00AD1B06" w14:paraId="23879D94" w14:textId="77777777" w:rsidTr="00047864">
        <w:trPr>
          <w:trHeight w:val="480"/>
          <w:tblHeader/>
        </w:trPr>
        <w:tc>
          <w:tcPr>
            <w:tcW w:w="2635" w:type="pct"/>
            <w:shd w:val="clear" w:color="000000" w:fill="F2F2F2"/>
            <w:vAlign w:val="center"/>
            <w:hideMark/>
          </w:tcPr>
          <w:p w14:paraId="32CDC70D" w14:textId="77777777" w:rsidR="00E3750C" w:rsidRPr="00AD1B06" w:rsidRDefault="00E3750C" w:rsidP="00047864">
            <w:pPr>
              <w:spacing w:after="0" w:line="240" w:lineRule="auto"/>
              <w:jc w:val="center"/>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Opis CPV oddelka</w:t>
            </w:r>
          </w:p>
        </w:tc>
        <w:tc>
          <w:tcPr>
            <w:tcW w:w="275" w:type="pct"/>
            <w:shd w:val="clear" w:color="000000" w:fill="F2F2F2"/>
            <w:vAlign w:val="center"/>
            <w:hideMark/>
          </w:tcPr>
          <w:p w14:paraId="1B59FDCA" w14:textId="77777777" w:rsidR="00E3750C" w:rsidRPr="00AD1B06" w:rsidRDefault="00E3750C" w:rsidP="00047864">
            <w:pPr>
              <w:spacing w:after="0" w:line="240" w:lineRule="auto"/>
              <w:jc w:val="center"/>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CPV oddelek</w:t>
            </w:r>
          </w:p>
        </w:tc>
        <w:tc>
          <w:tcPr>
            <w:tcW w:w="442" w:type="pct"/>
            <w:shd w:val="clear" w:color="000000" w:fill="F2F2F2"/>
            <w:vAlign w:val="center"/>
            <w:hideMark/>
          </w:tcPr>
          <w:p w14:paraId="6669ED78" w14:textId="77777777" w:rsidR="00E3750C" w:rsidRPr="00AD1B06" w:rsidRDefault="00E3750C" w:rsidP="00047864">
            <w:pPr>
              <w:spacing w:after="0" w:line="240" w:lineRule="auto"/>
              <w:jc w:val="center"/>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Št. naročil</w:t>
            </w:r>
          </w:p>
        </w:tc>
        <w:tc>
          <w:tcPr>
            <w:tcW w:w="1201" w:type="pct"/>
            <w:shd w:val="clear" w:color="000000" w:fill="F2F2F2"/>
            <w:vAlign w:val="center"/>
            <w:hideMark/>
          </w:tcPr>
          <w:p w14:paraId="08C8128D" w14:textId="77777777" w:rsidR="00E3750C" w:rsidRPr="00AD1B06" w:rsidRDefault="00E3750C" w:rsidP="00047864">
            <w:pPr>
              <w:spacing w:after="0" w:line="240" w:lineRule="auto"/>
              <w:jc w:val="center"/>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Pogodbena vrednost</w:t>
            </w:r>
          </w:p>
        </w:tc>
        <w:tc>
          <w:tcPr>
            <w:tcW w:w="223" w:type="pct"/>
            <w:shd w:val="clear" w:color="000000" w:fill="F2F2F2"/>
            <w:vAlign w:val="center"/>
            <w:hideMark/>
          </w:tcPr>
          <w:p w14:paraId="7E7C6BA8" w14:textId="77777777" w:rsidR="00E3750C" w:rsidRPr="00AD1B06" w:rsidRDefault="00E3750C" w:rsidP="00047864">
            <w:pPr>
              <w:spacing w:after="0" w:line="240" w:lineRule="auto"/>
              <w:jc w:val="center"/>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Delež v št. naročil</w:t>
            </w:r>
          </w:p>
        </w:tc>
        <w:tc>
          <w:tcPr>
            <w:tcW w:w="223" w:type="pct"/>
            <w:shd w:val="clear" w:color="000000" w:fill="F2F2F2"/>
            <w:vAlign w:val="center"/>
            <w:hideMark/>
          </w:tcPr>
          <w:p w14:paraId="063B1454" w14:textId="77777777" w:rsidR="00E3750C" w:rsidRPr="00AD1B06" w:rsidRDefault="00E3750C" w:rsidP="00047864">
            <w:pPr>
              <w:spacing w:after="0" w:line="240" w:lineRule="auto"/>
              <w:jc w:val="center"/>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Delež v vrednosti</w:t>
            </w:r>
          </w:p>
        </w:tc>
      </w:tr>
      <w:tr w:rsidR="00E3750C" w:rsidRPr="00AD1B06" w14:paraId="429CB53F" w14:textId="77777777" w:rsidTr="00047864">
        <w:trPr>
          <w:trHeight w:val="300"/>
        </w:trPr>
        <w:tc>
          <w:tcPr>
            <w:tcW w:w="2635" w:type="pct"/>
            <w:shd w:val="clear" w:color="auto" w:fill="auto"/>
            <w:vAlign w:val="center"/>
            <w:hideMark/>
          </w:tcPr>
          <w:p w14:paraId="24B5000C"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Kmetijski, ribiški, gozdarski in z njimi povezani proizvodi</w:t>
            </w:r>
          </w:p>
        </w:tc>
        <w:tc>
          <w:tcPr>
            <w:tcW w:w="275" w:type="pct"/>
            <w:shd w:val="clear" w:color="auto" w:fill="auto"/>
            <w:vAlign w:val="center"/>
            <w:hideMark/>
          </w:tcPr>
          <w:p w14:paraId="4ECF9890"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03</w:t>
            </w:r>
          </w:p>
        </w:tc>
        <w:tc>
          <w:tcPr>
            <w:tcW w:w="442" w:type="pct"/>
            <w:shd w:val="clear" w:color="auto" w:fill="auto"/>
            <w:vAlign w:val="center"/>
            <w:hideMark/>
          </w:tcPr>
          <w:p w14:paraId="0D1C9BBD"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63</w:t>
            </w:r>
          </w:p>
        </w:tc>
        <w:tc>
          <w:tcPr>
            <w:tcW w:w="1201" w:type="pct"/>
            <w:shd w:val="clear" w:color="auto" w:fill="auto"/>
            <w:vAlign w:val="center"/>
            <w:hideMark/>
          </w:tcPr>
          <w:p w14:paraId="1D8F69D2"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4.680.861</w:t>
            </w:r>
          </w:p>
        </w:tc>
        <w:tc>
          <w:tcPr>
            <w:tcW w:w="223" w:type="pct"/>
            <w:shd w:val="clear" w:color="auto" w:fill="auto"/>
            <w:noWrap/>
            <w:vAlign w:val="center"/>
            <w:hideMark/>
          </w:tcPr>
          <w:p w14:paraId="21DB4DB2"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0,41</w:t>
            </w:r>
            <w:r>
              <w:rPr>
                <w:rFonts w:ascii="Arial" w:eastAsia="Times New Roman" w:hAnsi="Arial" w:cs="Arial"/>
                <w:color w:val="000000"/>
                <w:sz w:val="18"/>
                <w:szCs w:val="18"/>
                <w:lang w:eastAsia="sl-SI"/>
              </w:rPr>
              <w:t xml:space="preserve"> %</w:t>
            </w:r>
          </w:p>
        </w:tc>
        <w:tc>
          <w:tcPr>
            <w:tcW w:w="223" w:type="pct"/>
            <w:shd w:val="clear" w:color="auto" w:fill="auto"/>
            <w:noWrap/>
            <w:vAlign w:val="center"/>
            <w:hideMark/>
          </w:tcPr>
          <w:p w14:paraId="7540662D"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0,10</w:t>
            </w:r>
            <w:r>
              <w:rPr>
                <w:rFonts w:ascii="Arial" w:eastAsia="Times New Roman" w:hAnsi="Arial" w:cs="Arial"/>
                <w:color w:val="000000"/>
                <w:sz w:val="18"/>
                <w:szCs w:val="18"/>
                <w:lang w:eastAsia="sl-SI"/>
              </w:rPr>
              <w:t xml:space="preserve"> %</w:t>
            </w:r>
          </w:p>
        </w:tc>
      </w:tr>
      <w:tr w:rsidR="00E3750C" w:rsidRPr="00AD1B06" w14:paraId="5F6164E3" w14:textId="77777777" w:rsidTr="00047864">
        <w:trPr>
          <w:trHeight w:val="300"/>
        </w:trPr>
        <w:tc>
          <w:tcPr>
            <w:tcW w:w="2635" w:type="pct"/>
            <w:shd w:val="clear" w:color="auto" w:fill="auto"/>
            <w:vAlign w:val="center"/>
            <w:hideMark/>
          </w:tcPr>
          <w:p w14:paraId="10E2171E"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Naftni derivati, goriva, električna energija in drugi viri energije</w:t>
            </w:r>
          </w:p>
        </w:tc>
        <w:tc>
          <w:tcPr>
            <w:tcW w:w="275" w:type="pct"/>
            <w:shd w:val="clear" w:color="auto" w:fill="auto"/>
            <w:vAlign w:val="center"/>
            <w:hideMark/>
          </w:tcPr>
          <w:p w14:paraId="4C9D9C96"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09</w:t>
            </w:r>
          </w:p>
        </w:tc>
        <w:tc>
          <w:tcPr>
            <w:tcW w:w="442" w:type="pct"/>
            <w:shd w:val="clear" w:color="auto" w:fill="auto"/>
            <w:vAlign w:val="center"/>
            <w:hideMark/>
          </w:tcPr>
          <w:p w14:paraId="558CF34B"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199</w:t>
            </w:r>
          </w:p>
        </w:tc>
        <w:tc>
          <w:tcPr>
            <w:tcW w:w="1201" w:type="pct"/>
            <w:shd w:val="clear" w:color="auto" w:fill="auto"/>
            <w:vAlign w:val="center"/>
            <w:hideMark/>
          </w:tcPr>
          <w:p w14:paraId="1B5E650E"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131.643.612</w:t>
            </w:r>
          </w:p>
        </w:tc>
        <w:tc>
          <w:tcPr>
            <w:tcW w:w="223" w:type="pct"/>
            <w:shd w:val="clear" w:color="auto" w:fill="auto"/>
            <w:noWrap/>
            <w:vAlign w:val="center"/>
            <w:hideMark/>
          </w:tcPr>
          <w:p w14:paraId="0F5797A4"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1,30</w:t>
            </w:r>
            <w:r>
              <w:rPr>
                <w:rFonts w:ascii="Arial" w:eastAsia="Times New Roman" w:hAnsi="Arial" w:cs="Arial"/>
                <w:color w:val="000000"/>
                <w:sz w:val="18"/>
                <w:szCs w:val="18"/>
                <w:lang w:eastAsia="sl-SI"/>
              </w:rPr>
              <w:t xml:space="preserve"> %</w:t>
            </w:r>
          </w:p>
        </w:tc>
        <w:tc>
          <w:tcPr>
            <w:tcW w:w="223" w:type="pct"/>
            <w:shd w:val="clear" w:color="auto" w:fill="auto"/>
            <w:noWrap/>
            <w:vAlign w:val="center"/>
            <w:hideMark/>
          </w:tcPr>
          <w:p w14:paraId="2E6121FB"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2,92</w:t>
            </w:r>
            <w:r>
              <w:rPr>
                <w:rFonts w:ascii="Arial" w:eastAsia="Times New Roman" w:hAnsi="Arial" w:cs="Arial"/>
                <w:color w:val="000000"/>
                <w:sz w:val="18"/>
                <w:szCs w:val="18"/>
                <w:lang w:eastAsia="sl-SI"/>
              </w:rPr>
              <w:t xml:space="preserve"> %</w:t>
            </w:r>
          </w:p>
        </w:tc>
      </w:tr>
      <w:tr w:rsidR="00E3750C" w:rsidRPr="00AD1B06" w14:paraId="7E5E1981" w14:textId="77777777" w:rsidTr="00047864">
        <w:trPr>
          <w:trHeight w:val="300"/>
        </w:trPr>
        <w:tc>
          <w:tcPr>
            <w:tcW w:w="2635" w:type="pct"/>
            <w:shd w:val="clear" w:color="auto" w:fill="auto"/>
            <w:vAlign w:val="center"/>
            <w:hideMark/>
          </w:tcPr>
          <w:p w14:paraId="366835FA"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Rudarstvo, navadne kovine in z njimi povezani proizvodi</w:t>
            </w:r>
          </w:p>
        </w:tc>
        <w:tc>
          <w:tcPr>
            <w:tcW w:w="275" w:type="pct"/>
            <w:shd w:val="clear" w:color="auto" w:fill="auto"/>
            <w:vAlign w:val="center"/>
            <w:hideMark/>
          </w:tcPr>
          <w:p w14:paraId="56EB85AB"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14</w:t>
            </w:r>
          </w:p>
        </w:tc>
        <w:tc>
          <w:tcPr>
            <w:tcW w:w="442" w:type="pct"/>
            <w:shd w:val="clear" w:color="auto" w:fill="auto"/>
            <w:vAlign w:val="center"/>
            <w:hideMark/>
          </w:tcPr>
          <w:p w14:paraId="2473E6C3"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27</w:t>
            </w:r>
          </w:p>
        </w:tc>
        <w:tc>
          <w:tcPr>
            <w:tcW w:w="1201" w:type="pct"/>
            <w:shd w:val="clear" w:color="auto" w:fill="auto"/>
            <w:vAlign w:val="center"/>
            <w:hideMark/>
          </w:tcPr>
          <w:p w14:paraId="0D688110"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1.472.910</w:t>
            </w:r>
          </w:p>
        </w:tc>
        <w:tc>
          <w:tcPr>
            <w:tcW w:w="223" w:type="pct"/>
            <w:shd w:val="clear" w:color="auto" w:fill="auto"/>
            <w:noWrap/>
            <w:vAlign w:val="center"/>
            <w:hideMark/>
          </w:tcPr>
          <w:p w14:paraId="7D2BFB74"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0,18</w:t>
            </w:r>
            <w:r>
              <w:rPr>
                <w:rFonts w:ascii="Arial" w:eastAsia="Times New Roman" w:hAnsi="Arial" w:cs="Arial"/>
                <w:color w:val="000000"/>
                <w:sz w:val="18"/>
                <w:szCs w:val="18"/>
                <w:lang w:eastAsia="sl-SI"/>
              </w:rPr>
              <w:t xml:space="preserve"> %</w:t>
            </w:r>
          </w:p>
        </w:tc>
        <w:tc>
          <w:tcPr>
            <w:tcW w:w="223" w:type="pct"/>
            <w:shd w:val="clear" w:color="auto" w:fill="auto"/>
            <w:noWrap/>
            <w:vAlign w:val="center"/>
            <w:hideMark/>
          </w:tcPr>
          <w:p w14:paraId="1B5A9DA2"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r>
      <w:tr w:rsidR="00E3750C" w:rsidRPr="00AD1B06" w14:paraId="3A3AADB8" w14:textId="77777777" w:rsidTr="00047864">
        <w:trPr>
          <w:trHeight w:val="300"/>
        </w:trPr>
        <w:tc>
          <w:tcPr>
            <w:tcW w:w="2635" w:type="pct"/>
            <w:shd w:val="clear" w:color="auto" w:fill="auto"/>
            <w:vAlign w:val="center"/>
            <w:hideMark/>
          </w:tcPr>
          <w:p w14:paraId="7B0558E7"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Živila, pijače, tobačni izdelki in z njimi povezani izdelki</w:t>
            </w:r>
          </w:p>
        </w:tc>
        <w:tc>
          <w:tcPr>
            <w:tcW w:w="275" w:type="pct"/>
            <w:shd w:val="clear" w:color="auto" w:fill="auto"/>
            <w:vAlign w:val="center"/>
            <w:hideMark/>
          </w:tcPr>
          <w:p w14:paraId="17309D9E"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15</w:t>
            </w:r>
          </w:p>
        </w:tc>
        <w:tc>
          <w:tcPr>
            <w:tcW w:w="442" w:type="pct"/>
            <w:shd w:val="clear" w:color="auto" w:fill="auto"/>
            <w:vAlign w:val="center"/>
            <w:hideMark/>
          </w:tcPr>
          <w:p w14:paraId="3F1B6814"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3.520</w:t>
            </w:r>
          </w:p>
        </w:tc>
        <w:tc>
          <w:tcPr>
            <w:tcW w:w="1201" w:type="pct"/>
            <w:shd w:val="clear" w:color="auto" w:fill="auto"/>
            <w:vAlign w:val="center"/>
            <w:hideMark/>
          </w:tcPr>
          <w:p w14:paraId="19748B27"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99.557.636</w:t>
            </w:r>
          </w:p>
        </w:tc>
        <w:tc>
          <w:tcPr>
            <w:tcW w:w="223" w:type="pct"/>
            <w:shd w:val="clear" w:color="auto" w:fill="auto"/>
            <w:noWrap/>
            <w:vAlign w:val="center"/>
            <w:hideMark/>
          </w:tcPr>
          <w:p w14:paraId="270B2060"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22,97</w:t>
            </w:r>
            <w:r>
              <w:rPr>
                <w:rFonts w:ascii="Arial" w:eastAsia="Times New Roman" w:hAnsi="Arial" w:cs="Arial"/>
                <w:color w:val="000000"/>
                <w:sz w:val="18"/>
                <w:szCs w:val="18"/>
                <w:lang w:eastAsia="sl-SI"/>
              </w:rPr>
              <w:t xml:space="preserve"> %</w:t>
            </w:r>
          </w:p>
        </w:tc>
        <w:tc>
          <w:tcPr>
            <w:tcW w:w="223" w:type="pct"/>
            <w:shd w:val="clear" w:color="auto" w:fill="auto"/>
            <w:noWrap/>
            <w:vAlign w:val="center"/>
            <w:hideMark/>
          </w:tcPr>
          <w:p w14:paraId="70E5C81B"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2,21</w:t>
            </w:r>
            <w:r>
              <w:rPr>
                <w:rFonts w:ascii="Arial" w:eastAsia="Times New Roman" w:hAnsi="Arial" w:cs="Arial"/>
                <w:color w:val="000000"/>
                <w:sz w:val="18"/>
                <w:szCs w:val="18"/>
                <w:lang w:eastAsia="sl-SI"/>
              </w:rPr>
              <w:t xml:space="preserve"> %</w:t>
            </w:r>
          </w:p>
        </w:tc>
      </w:tr>
      <w:tr w:rsidR="00E3750C" w:rsidRPr="00AD1B06" w14:paraId="21FF9001" w14:textId="77777777" w:rsidTr="00047864">
        <w:trPr>
          <w:trHeight w:val="300"/>
        </w:trPr>
        <w:tc>
          <w:tcPr>
            <w:tcW w:w="2635" w:type="pct"/>
            <w:shd w:val="clear" w:color="auto" w:fill="auto"/>
            <w:vAlign w:val="center"/>
            <w:hideMark/>
          </w:tcPr>
          <w:p w14:paraId="782733B2"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Kmetijski stroji</w:t>
            </w:r>
          </w:p>
        </w:tc>
        <w:tc>
          <w:tcPr>
            <w:tcW w:w="275" w:type="pct"/>
            <w:shd w:val="clear" w:color="auto" w:fill="auto"/>
            <w:vAlign w:val="center"/>
            <w:hideMark/>
          </w:tcPr>
          <w:p w14:paraId="12F73B4A"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16</w:t>
            </w:r>
          </w:p>
        </w:tc>
        <w:tc>
          <w:tcPr>
            <w:tcW w:w="442" w:type="pct"/>
            <w:shd w:val="clear" w:color="auto" w:fill="auto"/>
            <w:vAlign w:val="center"/>
            <w:hideMark/>
          </w:tcPr>
          <w:p w14:paraId="31AA30AB"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34</w:t>
            </w:r>
          </w:p>
        </w:tc>
        <w:tc>
          <w:tcPr>
            <w:tcW w:w="1201" w:type="pct"/>
            <w:shd w:val="clear" w:color="auto" w:fill="auto"/>
            <w:vAlign w:val="center"/>
            <w:hideMark/>
          </w:tcPr>
          <w:p w14:paraId="6919DF18"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7.389.664</w:t>
            </w:r>
          </w:p>
        </w:tc>
        <w:tc>
          <w:tcPr>
            <w:tcW w:w="223" w:type="pct"/>
            <w:shd w:val="clear" w:color="auto" w:fill="auto"/>
            <w:noWrap/>
            <w:vAlign w:val="center"/>
            <w:hideMark/>
          </w:tcPr>
          <w:p w14:paraId="209086CB"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0,22</w:t>
            </w:r>
            <w:r>
              <w:rPr>
                <w:rFonts w:ascii="Arial" w:eastAsia="Times New Roman" w:hAnsi="Arial" w:cs="Arial"/>
                <w:color w:val="000000"/>
                <w:sz w:val="18"/>
                <w:szCs w:val="18"/>
                <w:lang w:eastAsia="sl-SI"/>
              </w:rPr>
              <w:t xml:space="preserve"> %</w:t>
            </w:r>
          </w:p>
        </w:tc>
        <w:tc>
          <w:tcPr>
            <w:tcW w:w="223" w:type="pct"/>
            <w:shd w:val="clear" w:color="auto" w:fill="auto"/>
            <w:noWrap/>
            <w:vAlign w:val="center"/>
            <w:hideMark/>
          </w:tcPr>
          <w:p w14:paraId="638FE2E0"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0,16</w:t>
            </w:r>
            <w:r>
              <w:rPr>
                <w:rFonts w:ascii="Arial" w:eastAsia="Times New Roman" w:hAnsi="Arial" w:cs="Arial"/>
                <w:color w:val="000000"/>
                <w:sz w:val="18"/>
                <w:szCs w:val="18"/>
                <w:lang w:eastAsia="sl-SI"/>
              </w:rPr>
              <w:t xml:space="preserve"> %</w:t>
            </w:r>
          </w:p>
        </w:tc>
      </w:tr>
      <w:tr w:rsidR="00E3750C" w:rsidRPr="00AD1B06" w14:paraId="215358D9" w14:textId="77777777" w:rsidTr="00047864">
        <w:trPr>
          <w:trHeight w:val="300"/>
        </w:trPr>
        <w:tc>
          <w:tcPr>
            <w:tcW w:w="2635" w:type="pct"/>
            <w:shd w:val="clear" w:color="auto" w:fill="auto"/>
            <w:vAlign w:val="center"/>
            <w:hideMark/>
          </w:tcPr>
          <w:p w14:paraId="64444E07"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Oblačila, obutev, prtljaga in pribor</w:t>
            </w:r>
          </w:p>
        </w:tc>
        <w:tc>
          <w:tcPr>
            <w:tcW w:w="275" w:type="pct"/>
            <w:shd w:val="clear" w:color="auto" w:fill="auto"/>
            <w:vAlign w:val="center"/>
            <w:hideMark/>
          </w:tcPr>
          <w:p w14:paraId="2B725051"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18</w:t>
            </w:r>
          </w:p>
        </w:tc>
        <w:tc>
          <w:tcPr>
            <w:tcW w:w="442" w:type="pct"/>
            <w:shd w:val="clear" w:color="auto" w:fill="auto"/>
            <w:vAlign w:val="center"/>
            <w:hideMark/>
          </w:tcPr>
          <w:p w14:paraId="5B7FEADF"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111</w:t>
            </w:r>
          </w:p>
        </w:tc>
        <w:tc>
          <w:tcPr>
            <w:tcW w:w="1201" w:type="pct"/>
            <w:shd w:val="clear" w:color="auto" w:fill="auto"/>
            <w:vAlign w:val="center"/>
            <w:hideMark/>
          </w:tcPr>
          <w:p w14:paraId="556256BC"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7.776.522</w:t>
            </w:r>
          </w:p>
        </w:tc>
        <w:tc>
          <w:tcPr>
            <w:tcW w:w="223" w:type="pct"/>
            <w:shd w:val="clear" w:color="auto" w:fill="auto"/>
            <w:noWrap/>
            <w:vAlign w:val="center"/>
            <w:hideMark/>
          </w:tcPr>
          <w:p w14:paraId="38A64F73"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0,72</w:t>
            </w:r>
            <w:r>
              <w:rPr>
                <w:rFonts w:ascii="Arial" w:eastAsia="Times New Roman" w:hAnsi="Arial" w:cs="Arial"/>
                <w:color w:val="000000"/>
                <w:sz w:val="18"/>
                <w:szCs w:val="18"/>
                <w:lang w:eastAsia="sl-SI"/>
              </w:rPr>
              <w:t xml:space="preserve"> %</w:t>
            </w:r>
          </w:p>
        </w:tc>
        <w:tc>
          <w:tcPr>
            <w:tcW w:w="223" w:type="pct"/>
            <w:shd w:val="clear" w:color="auto" w:fill="auto"/>
            <w:noWrap/>
            <w:vAlign w:val="center"/>
            <w:hideMark/>
          </w:tcPr>
          <w:p w14:paraId="5F42D0DB"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0,17</w:t>
            </w:r>
            <w:r>
              <w:rPr>
                <w:rFonts w:ascii="Arial" w:eastAsia="Times New Roman" w:hAnsi="Arial" w:cs="Arial"/>
                <w:color w:val="000000"/>
                <w:sz w:val="18"/>
                <w:szCs w:val="18"/>
                <w:lang w:eastAsia="sl-SI"/>
              </w:rPr>
              <w:t xml:space="preserve"> %</w:t>
            </w:r>
          </w:p>
        </w:tc>
      </w:tr>
      <w:tr w:rsidR="00E3750C" w:rsidRPr="00AD1B06" w14:paraId="0928FD8E" w14:textId="77777777" w:rsidTr="00047864">
        <w:trPr>
          <w:trHeight w:val="300"/>
        </w:trPr>
        <w:tc>
          <w:tcPr>
            <w:tcW w:w="2635" w:type="pct"/>
            <w:shd w:val="clear" w:color="auto" w:fill="auto"/>
            <w:vAlign w:val="center"/>
            <w:hideMark/>
          </w:tcPr>
          <w:p w14:paraId="158436E8"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Usnjeni in tekstilni materiali, plastični in gumijasti materiali</w:t>
            </w:r>
          </w:p>
        </w:tc>
        <w:tc>
          <w:tcPr>
            <w:tcW w:w="275" w:type="pct"/>
            <w:shd w:val="clear" w:color="auto" w:fill="auto"/>
            <w:vAlign w:val="center"/>
            <w:hideMark/>
          </w:tcPr>
          <w:p w14:paraId="0C3B0CFE"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19</w:t>
            </w:r>
          </w:p>
        </w:tc>
        <w:tc>
          <w:tcPr>
            <w:tcW w:w="442" w:type="pct"/>
            <w:shd w:val="clear" w:color="auto" w:fill="auto"/>
            <w:vAlign w:val="center"/>
            <w:hideMark/>
          </w:tcPr>
          <w:p w14:paraId="506E3447"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24</w:t>
            </w:r>
          </w:p>
        </w:tc>
        <w:tc>
          <w:tcPr>
            <w:tcW w:w="1201" w:type="pct"/>
            <w:shd w:val="clear" w:color="auto" w:fill="auto"/>
            <w:vAlign w:val="center"/>
            <w:hideMark/>
          </w:tcPr>
          <w:p w14:paraId="2ED876FD"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2.263.402</w:t>
            </w:r>
          </w:p>
        </w:tc>
        <w:tc>
          <w:tcPr>
            <w:tcW w:w="223" w:type="pct"/>
            <w:shd w:val="clear" w:color="auto" w:fill="auto"/>
            <w:noWrap/>
            <w:vAlign w:val="center"/>
            <w:hideMark/>
          </w:tcPr>
          <w:p w14:paraId="415990AA"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0,16</w:t>
            </w:r>
            <w:r>
              <w:rPr>
                <w:rFonts w:ascii="Arial" w:eastAsia="Times New Roman" w:hAnsi="Arial" w:cs="Arial"/>
                <w:color w:val="000000"/>
                <w:sz w:val="18"/>
                <w:szCs w:val="18"/>
                <w:lang w:eastAsia="sl-SI"/>
              </w:rPr>
              <w:t xml:space="preserve"> %</w:t>
            </w:r>
          </w:p>
        </w:tc>
        <w:tc>
          <w:tcPr>
            <w:tcW w:w="223" w:type="pct"/>
            <w:shd w:val="clear" w:color="auto" w:fill="auto"/>
            <w:noWrap/>
            <w:vAlign w:val="center"/>
            <w:hideMark/>
          </w:tcPr>
          <w:p w14:paraId="240FB1E9"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0,05</w:t>
            </w:r>
            <w:r>
              <w:rPr>
                <w:rFonts w:ascii="Arial" w:eastAsia="Times New Roman" w:hAnsi="Arial" w:cs="Arial"/>
                <w:color w:val="000000"/>
                <w:sz w:val="18"/>
                <w:szCs w:val="18"/>
                <w:lang w:eastAsia="sl-SI"/>
              </w:rPr>
              <w:t xml:space="preserve"> %</w:t>
            </w:r>
          </w:p>
        </w:tc>
      </w:tr>
      <w:tr w:rsidR="00E3750C" w:rsidRPr="00AD1B06" w14:paraId="626A3308" w14:textId="77777777" w:rsidTr="00047864">
        <w:trPr>
          <w:trHeight w:val="300"/>
        </w:trPr>
        <w:tc>
          <w:tcPr>
            <w:tcW w:w="2635" w:type="pct"/>
            <w:shd w:val="clear" w:color="auto" w:fill="auto"/>
            <w:vAlign w:val="center"/>
            <w:hideMark/>
          </w:tcPr>
          <w:p w14:paraId="0493F620"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Tiskano gradivo in z njim povezani izdelki</w:t>
            </w:r>
          </w:p>
        </w:tc>
        <w:tc>
          <w:tcPr>
            <w:tcW w:w="275" w:type="pct"/>
            <w:shd w:val="clear" w:color="auto" w:fill="auto"/>
            <w:vAlign w:val="center"/>
            <w:hideMark/>
          </w:tcPr>
          <w:p w14:paraId="3B55CC51"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22</w:t>
            </w:r>
          </w:p>
        </w:tc>
        <w:tc>
          <w:tcPr>
            <w:tcW w:w="442" w:type="pct"/>
            <w:shd w:val="clear" w:color="auto" w:fill="auto"/>
            <w:vAlign w:val="center"/>
            <w:hideMark/>
          </w:tcPr>
          <w:p w14:paraId="658C1D16"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80</w:t>
            </w:r>
          </w:p>
        </w:tc>
        <w:tc>
          <w:tcPr>
            <w:tcW w:w="1201" w:type="pct"/>
            <w:shd w:val="clear" w:color="auto" w:fill="auto"/>
            <w:vAlign w:val="center"/>
            <w:hideMark/>
          </w:tcPr>
          <w:p w14:paraId="4B44B0C7"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6.209.270</w:t>
            </w:r>
          </w:p>
        </w:tc>
        <w:tc>
          <w:tcPr>
            <w:tcW w:w="223" w:type="pct"/>
            <w:shd w:val="clear" w:color="auto" w:fill="auto"/>
            <w:noWrap/>
            <w:vAlign w:val="center"/>
            <w:hideMark/>
          </w:tcPr>
          <w:p w14:paraId="253EAFB1"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0,52</w:t>
            </w:r>
            <w:r>
              <w:rPr>
                <w:rFonts w:ascii="Arial" w:eastAsia="Times New Roman" w:hAnsi="Arial" w:cs="Arial"/>
                <w:color w:val="000000"/>
                <w:sz w:val="18"/>
                <w:szCs w:val="18"/>
                <w:lang w:eastAsia="sl-SI"/>
              </w:rPr>
              <w:t xml:space="preserve"> %</w:t>
            </w:r>
          </w:p>
        </w:tc>
        <w:tc>
          <w:tcPr>
            <w:tcW w:w="223" w:type="pct"/>
            <w:shd w:val="clear" w:color="auto" w:fill="auto"/>
            <w:noWrap/>
            <w:vAlign w:val="center"/>
            <w:hideMark/>
          </w:tcPr>
          <w:p w14:paraId="70E6D444"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0,14</w:t>
            </w:r>
            <w:r>
              <w:rPr>
                <w:rFonts w:ascii="Arial" w:eastAsia="Times New Roman" w:hAnsi="Arial" w:cs="Arial"/>
                <w:color w:val="000000"/>
                <w:sz w:val="18"/>
                <w:szCs w:val="18"/>
                <w:lang w:eastAsia="sl-SI"/>
              </w:rPr>
              <w:t xml:space="preserve"> %</w:t>
            </w:r>
          </w:p>
        </w:tc>
      </w:tr>
      <w:tr w:rsidR="00E3750C" w:rsidRPr="00AD1B06" w14:paraId="709BB9AA" w14:textId="77777777" w:rsidTr="00047864">
        <w:trPr>
          <w:trHeight w:val="300"/>
        </w:trPr>
        <w:tc>
          <w:tcPr>
            <w:tcW w:w="2635" w:type="pct"/>
            <w:shd w:val="clear" w:color="auto" w:fill="auto"/>
            <w:vAlign w:val="center"/>
            <w:hideMark/>
          </w:tcPr>
          <w:p w14:paraId="1F349D57"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Kemični proizvodi</w:t>
            </w:r>
          </w:p>
        </w:tc>
        <w:tc>
          <w:tcPr>
            <w:tcW w:w="275" w:type="pct"/>
            <w:shd w:val="clear" w:color="auto" w:fill="auto"/>
            <w:vAlign w:val="center"/>
            <w:hideMark/>
          </w:tcPr>
          <w:p w14:paraId="4084C781"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24</w:t>
            </w:r>
          </w:p>
        </w:tc>
        <w:tc>
          <w:tcPr>
            <w:tcW w:w="442" w:type="pct"/>
            <w:shd w:val="clear" w:color="auto" w:fill="auto"/>
            <w:vAlign w:val="center"/>
            <w:hideMark/>
          </w:tcPr>
          <w:p w14:paraId="40E682D8"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96</w:t>
            </w:r>
          </w:p>
        </w:tc>
        <w:tc>
          <w:tcPr>
            <w:tcW w:w="1201" w:type="pct"/>
            <w:shd w:val="clear" w:color="auto" w:fill="auto"/>
            <w:vAlign w:val="center"/>
            <w:hideMark/>
          </w:tcPr>
          <w:p w14:paraId="66367048"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8.617.401</w:t>
            </w:r>
          </w:p>
        </w:tc>
        <w:tc>
          <w:tcPr>
            <w:tcW w:w="223" w:type="pct"/>
            <w:shd w:val="clear" w:color="auto" w:fill="auto"/>
            <w:noWrap/>
            <w:vAlign w:val="center"/>
            <w:hideMark/>
          </w:tcPr>
          <w:p w14:paraId="517E75DD"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0,63</w:t>
            </w:r>
            <w:r>
              <w:rPr>
                <w:rFonts w:ascii="Arial" w:eastAsia="Times New Roman" w:hAnsi="Arial" w:cs="Arial"/>
                <w:color w:val="000000"/>
                <w:sz w:val="18"/>
                <w:szCs w:val="18"/>
                <w:lang w:eastAsia="sl-SI"/>
              </w:rPr>
              <w:t xml:space="preserve"> %</w:t>
            </w:r>
          </w:p>
        </w:tc>
        <w:tc>
          <w:tcPr>
            <w:tcW w:w="223" w:type="pct"/>
            <w:shd w:val="clear" w:color="auto" w:fill="auto"/>
            <w:noWrap/>
            <w:vAlign w:val="center"/>
            <w:hideMark/>
          </w:tcPr>
          <w:p w14:paraId="7B7C74DA"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0,19</w:t>
            </w:r>
            <w:r>
              <w:rPr>
                <w:rFonts w:ascii="Arial" w:eastAsia="Times New Roman" w:hAnsi="Arial" w:cs="Arial"/>
                <w:color w:val="000000"/>
                <w:sz w:val="18"/>
                <w:szCs w:val="18"/>
                <w:lang w:eastAsia="sl-SI"/>
              </w:rPr>
              <w:t xml:space="preserve"> %</w:t>
            </w:r>
          </w:p>
        </w:tc>
      </w:tr>
      <w:tr w:rsidR="00E3750C" w:rsidRPr="00AD1B06" w14:paraId="7071CA35" w14:textId="77777777" w:rsidTr="00047864">
        <w:trPr>
          <w:trHeight w:val="300"/>
        </w:trPr>
        <w:tc>
          <w:tcPr>
            <w:tcW w:w="2635" w:type="pct"/>
            <w:shd w:val="clear" w:color="auto" w:fill="auto"/>
            <w:vAlign w:val="center"/>
            <w:hideMark/>
          </w:tcPr>
          <w:p w14:paraId="212EB34F"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Pisarniški in računski stroji, oprema in potrebščine, razen pohištva in programskih paketov</w:t>
            </w:r>
          </w:p>
        </w:tc>
        <w:tc>
          <w:tcPr>
            <w:tcW w:w="275" w:type="pct"/>
            <w:shd w:val="clear" w:color="auto" w:fill="auto"/>
            <w:vAlign w:val="center"/>
            <w:hideMark/>
          </w:tcPr>
          <w:p w14:paraId="17A19D9E"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30</w:t>
            </w:r>
          </w:p>
        </w:tc>
        <w:tc>
          <w:tcPr>
            <w:tcW w:w="442" w:type="pct"/>
            <w:shd w:val="clear" w:color="auto" w:fill="auto"/>
            <w:vAlign w:val="center"/>
            <w:hideMark/>
          </w:tcPr>
          <w:p w14:paraId="2E28678E"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339</w:t>
            </w:r>
          </w:p>
        </w:tc>
        <w:tc>
          <w:tcPr>
            <w:tcW w:w="1201" w:type="pct"/>
            <w:shd w:val="clear" w:color="auto" w:fill="auto"/>
            <w:vAlign w:val="center"/>
            <w:hideMark/>
          </w:tcPr>
          <w:p w14:paraId="5F196C0E"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33.056.005</w:t>
            </w:r>
          </w:p>
        </w:tc>
        <w:tc>
          <w:tcPr>
            <w:tcW w:w="223" w:type="pct"/>
            <w:shd w:val="clear" w:color="auto" w:fill="auto"/>
            <w:noWrap/>
            <w:vAlign w:val="center"/>
            <w:hideMark/>
          </w:tcPr>
          <w:p w14:paraId="6D533B23"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2,21</w:t>
            </w:r>
            <w:r>
              <w:rPr>
                <w:rFonts w:ascii="Arial" w:eastAsia="Times New Roman" w:hAnsi="Arial" w:cs="Arial"/>
                <w:color w:val="000000"/>
                <w:sz w:val="18"/>
                <w:szCs w:val="18"/>
                <w:lang w:eastAsia="sl-SI"/>
              </w:rPr>
              <w:t xml:space="preserve"> %</w:t>
            </w:r>
          </w:p>
        </w:tc>
        <w:tc>
          <w:tcPr>
            <w:tcW w:w="223" w:type="pct"/>
            <w:shd w:val="clear" w:color="auto" w:fill="auto"/>
            <w:noWrap/>
            <w:vAlign w:val="center"/>
            <w:hideMark/>
          </w:tcPr>
          <w:p w14:paraId="2D1096B1"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0,73</w:t>
            </w:r>
            <w:r>
              <w:rPr>
                <w:rFonts w:ascii="Arial" w:eastAsia="Times New Roman" w:hAnsi="Arial" w:cs="Arial"/>
                <w:color w:val="000000"/>
                <w:sz w:val="18"/>
                <w:szCs w:val="18"/>
                <w:lang w:eastAsia="sl-SI"/>
              </w:rPr>
              <w:t xml:space="preserve"> %</w:t>
            </w:r>
          </w:p>
        </w:tc>
      </w:tr>
      <w:tr w:rsidR="00E3750C" w:rsidRPr="00AD1B06" w14:paraId="0E8AD4E4" w14:textId="77777777" w:rsidTr="00047864">
        <w:trPr>
          <w:trHeight w:val="300"/>
        </w:trPr>
        <w:tc>
          <w:tcPr>
            <w:tcW w:w="2635" w:type="pct"/>
            <w:shd w:val="clear" w:color="auto" w:fill="auto"/>
            <w:vAlign w:val="center"/>
            <w:hideMark/>
          </w:tcPr>
          <w:p w14:paraId="58673F26"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Električni stroji, aparati, oprema in potrošno blago; razsvetljava</w:t>
            </w:r>
          </w:p>
        </w:tc>
        <w:tc>
          <w:tcPr>
            <w:tcW w:w="275" w:type="pct"/>
            <w:shd w:val="clear" w:color="auto" w:fill="auto"/>
            <w:vAlign w:val="center"/>
            <w:hideMark/>
          </w:tcPr>
          <w:p w14:paraId="0BEE843A"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31</w:t>
            </w:r>
          </w:p>
        </w:tc>
        <w:tc>
          <w:tcPr>
            <w:tcW w:w="442" w:type="pct"/>
            <w:shd w:val="clear" w:color="auto" w:fill="auto"/>
            <w:vAlign w:val="center"/>
            <w:hideMark/>
          </w:tcPr>
          <w:p w14:paraId="58535C5E"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83</w:t>
            </w:r>
          </w:p>
        </w:tc>
        <w:tc>
          <w:tcPr>
            <w:tcW w:w="1201" w:type="pct"/>
            <w:shd w:val="clear" w:color="auto" w:fill="auto"/>
            <w:vAlign w:val="center"/>
            <w:hideMark/>
          </w:tcPr>
          <w:p w14:paraId="110B5DF0"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6.924.651</w:t>
            </w:r>
          </w:p>
        </w:tc>
        <w:tc>
          <w:tcPr>
            <w:tcW w:w="223" w:type="pct"/>
            <w:shd w:val="clear" w:color="auto" w:fill="auto"/>
            <w:noWrap/>
            <w:vAlign w:val="center"/>
            <w:hideMark/>
          </w:tcPr>
          <w:p w14:paraId="7C1F8737"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0,54</w:t>
            </w:r>
            <w:r>
              <w:rPr>
                <w:rFonts w:ascii="Arial" w:eastAsia="Times New Roman" w:hAnsi="Arial" w:cs="Arial"/>
                <w:color w:val="000000"/>
                <w:sz w:val="18"/>
                <w:szCs w:val="18"/>
                <w:lang w:eastAsia="sl-SI"/>
              </w:rPr>
              <w:t xml:space="preserve"> %</w:t>
            </w:r>
          </w:p>
        </w:tc>
        <w:tc>
          <w:tcPr>
            <w:tcW w:w="223" w:type="pct"/>
            <w:shd w:val="clear" w:color="auto" w:fill="auto"/>
            <w:noWrap/>
            <w:vAlign w:val="center"/>
            <w:hideMark/>
          </w:tcPr>
          <w:p w14:paraId="609350AD"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0,15</w:t>
            </w:r>
            <w:r>
              <w:rPr>
                <w:rFonts w:ascii="Arial" w:eastAsia="Times New Roman" w:hAnsi="Arial" w:cs="Arial"/>
                <w:color w:val="000000"/>
                <w:sz w:val="18"/>
                <w:szCs w:val="18"/>
                <w:lang w:eastAsia="sl-SI"/>
              </w:rPr>
              <w:t xml:space="preserve"> %</w:t>
            </w:r>
          </w:p>
        </w:tc>
      </w:tr>
      <w:tr w:rsidR="00E3750C" w:rsidRPr="00AD1B06" w14:paraId="68BF9AED" w14:textId="77777777" w:rsidTr="00047864">
        <w:trPr>
          <w:trHeight w:val="300"/>
        </w:trPr>
        <w:tc>
          <w:tcPr>
            <w:tcW w:w="2635" w:type="pct"/>
            <w:shd w:val="clear" w:color="auto" w:fill="auto"/>
            <w:vAlign w:val="center"/>
            <w:hideMark/>
          </w:tcPr>
          <w:p w14:paraId="7F15F2B6"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Radijski in televizijski aparati, komunikacijska, telekomunikacijska in z njimi povezana oprema</w:t>
            </w:r>
          </w:p>
        </w:tc>
        <w:tc>
          <w:tcPr>
            <w:tcW w:w="275" w:type="pct"/>
            <w:shd w:val="clear" w:color="auto" w:fill="auto"/>
            <w:vAlign w:val="center"/>
            <w:hideMark/>
          </w:tcPr>
          <w:p w14:paraId="080D1FB0"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32</w:t>
            </w:r>
          </w:p>
        </w:tc>
        <w:tc>
          <w:tcPr>
            <w:tcW w:w="442" w:type="pct"/>
            <w:shd w:val="clear" w:color="auto" w:fill="auto"/>
            <w:vAlign w:val="center"/>
            <w:hideMark/>
          </w:tcPr>
          <w:p w14:paraId="7A85683E"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81</w:t>
            </w:r>
          </w:p>
        </w:tc>
        <w:tc>
          <w:tcPr>
            <w:tcW w:w="1201" w:type="pct"/>
            <w:shd w:val="clear" w:color="auto" w:fill="auto"/>
            <w:vAlign w:val="center"/>
            <w:hideMark/>
          </w:tcPr>
          <w:p w14:paraId="6AFD1366"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19.859.749</w:t>
            </w:r>
          </w:p>
        </w:tc>
        <w:tc>
          <w:tcPr>
            <w:tcW w:w="223" w:type="pct"/>
            <w:shd w:val="clear" w:color="auto" w:fill="auto"/>
            <w:noWrap/>
            <w:vAlign w:val="center"/>
            <w:hideMark/>
          </w:tcPr>
          <w:p w14:paraId="09DE1A15"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0,53</w:t>
            </w:r>
            <w:r>
              <w:rPr>
                <w:rFonts w:ascii="Arial" w:eastAsia="Times New Roman" w:hAnsi="Arial" w:cs="Arial"/>
                <w:color w:val="000000"/>
                <w:sz w:val="18"/>
                <w:szCs w:val="18"/>
                <w:lang w:eastAsia="sl-SI"/>
              </w:rPr>
              <w:t xml:space="preserve"> %</w:t>
            </w:r>
          </w:p>
        </w:tc>
        <w:tc>
          <w:tcPr>
            <w:tcW w:w="223" w:type="pct"/>
            <w:shd w:val="clear" w:color="auto" w:fill="auto"/>
            <w:noWrap/>
            <w:vAlign w:val="center"/>
            <w:hideMark/>
          </w:tcPr>
          <w:p w14:paraId="289B4C01"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0,44</w:t>
            </w:r>
            <w:r>
              <w:rPr>
                <w:rFonts w:ascii="Arial" w:eastAsia="Times New Roman" w:hAnsi="Arial" w:cs="Arial"/>
                <w:color w:val="000000"/>
                <w:sz w:val="18"/>
                <w:szCs w:val="18"/>
                <w:lang w:eastAsia="sl-SI"/>
              </w:rPr>
              <w:t xml:space="preserve"> %</w:t>
            </w:r>
          </w:p>
        </w:tc>
      </w:tr>
      <w:tr w:rsidR="00E3750C" w:rsidRPr="00AD1B06" w14:paraId="04D18DFC" w14:textId="77777777" w:rsidTr="00047864">
        <w:trPr>
          <w:trHeight w:val="300"/>
        </w:trPr>
        <w:tc>
          <w:tcPr>
            <w:tcW w:w="2635" w:type="pct"/>
            <w:shd w:val="clear" w:color="auto" w:fill="auto"/>
            <w:vAlign w:val="center"/>
            <w:hideMark/>
          </w:tcPr>
          <w:p w14:paraId="19A76AC3"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Medicinska oprema, farmacevtski izdelki in izdelki za osebno nego</w:t>
            </w:r>
          </w:p>
        </w:tc>
        <w:tc>
          <w:tcPr>
            <w:tcW w:w="275" w:type="pct"/>
            <w:shd w:val="clear" w:color="auto" w:fill="auto"/>
            <w:vAlign w:val="center"/>
            <w:hideMark/>
          </w:tcPr>
          <w:p w14:paraId="46B78D90"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33</w:t>
            </w:r>
          </w:p>
        </w:tc>
        <w:tc>
          <w:tcPr>
            <w:tcW w:w="442" w:type="pct"/>
            <w:shd w:val="clear" w:color="auto" w:fill="auto"/>
            <w:vAlign w:val="center"/>
            <w:hideMark/>
          </w:tcPr>
          <w:p w14:paraId="0ABE952C"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4.104</w:t>
            </w:r>
          </w:p>
        </w:tc>
        <w:tc>
          <w:tcPr>
            <w:tcW w:w="1201" w:type="pct"/>
            <w:shd w:val="clear" w:color="auto" w:fill="auto"/>
            <w:vAlign w:val="center"/>
            <w:hideMark/>
          </w:tcPr>
          <w:p w14:paraId="4C6D73E1"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775.459.389</w:t>
            </w:r>
          </w:p>
        </w:tc>
        <w:tc>
          <w:tcPr>
            <w:tcW w:w="223" w:type="pct"/>
            <w:shd w:val="clear" w:color="auto" w:fill="auto"/>
            <w:noWrap/>
            <w:vAlign w:val="center"/>
            <w:hideMark/>
          </w:tcPr>
          <w:p w14:paraId="1E034FBD"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26,79</w:t>
            </w:r>
            <w:r>
              <w:rPr>
                <w:rFonts w:ascii="Arial" w:eastAsia="Times New Roman" w:hAnsi="Arial" w:cs="Arial"/>
                <w:color w:val="000000"/>
                <w:sz w:val="18"/>
                <w:szCs w:val="18"/>
                <w:lang w:eastAsia="sl-SI"/>
              </w:rPr>
              <w:t xml:space="preserve"> %</w:t>
            </w:r>
          </w:p>
        </w:tc>
        <w:tc>
          <w:tcPr>
            <w:tcW w:w="223" w:type="pct"/>
            <w:shd w:val="clear" w:color="auto" w:fill="auto"/>
            <w:noWrap/>
            <w:vAlign w:val="center"/>
            <w:hideMark/>
          </w:tcPr>
          <w:p w14:paraId="0016C6B4"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17,19</w:t>
            </w:r>
            <w:r>
              <w:rPr>
                <w:rFonts w:ascii="Arial" w:eastAsia="Times New Roman" w:hAnsi="Arial" w:cs="Arial"/>
                <w:color w:val="000000"/>
                <w:sz w:val="18"/>
                <w:szCs w:val="18"/>
                <w:lang w:eastAsia="sl-SI"/>
              </w:rPr>
              <w:t xml:space="preserve"> %</w:t>
            </w:r>
          </w:p>
        </w:tc>
      </w:tr>
      <w:tr w:rsidR="00E3750C" w:rsidRPr="00AD1B06" w14:paraId="12CACF71" w14:textId="77777777" w:rsidTr="00047864">
        <w:trPr>
          <w:trHeight w:val="300"/>
        </w:trPr>
        <w:tc>
          <w:tcPr>
            <w:tcW w:w="2635" w:type="pct"/>
            <w:shd w:val="clear" w:color="auto" w:fill="auto"/>
            <w:vAlign w:val="center"/>
            <w:hideMark/>
          </w:tcPr>
          <w:p w14:paraId="76409E90"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Prevozna sredstva in dodatni proizvodi za promet</w:t>
            </w:r>
          </w:p>
        </w:tc>
        <w:tc>
          <w:tcPr>
            <w:tcW w:w="275" w:type="pct"/>
            <w:shd w:val="clear" w:color="auto" w:fill="auto"/>
            <w:vAlign w:val="center"/>
            <w:hideMark/>
          </w:tcPr>
          <w:p w14:paraId="280FF3A4"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34</w:t>
            </w:r>
          </w:p>
        </w:tc>
        <w:tc>
          <w:tcPr>
            <w:tcW w:w="442" w:type="pct"/>
            <w:shd w:val="clear" w:color="auto" w:fill="auto"/>
            <w:vAlign w:val="center"/>
            <w:hideMark/>
          </w:tcPr>
          <w:p w14:paraId="0702AFA0"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476</w:t>
            </w:r>
          </w:p>
        </w:tc>
        <w:tc>
          <w:tcPr>
            <w:tcW w:w="1201" w:type="pct"/>
            <w:shd w:val="clear" w:color="auto" w:fill="auto"/>
            <w:vAlign w:val="center"/>
            <w:hideMark/>
          </w:tcPr>
          <w:p w14:paraId="0D1846D3"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144.329.214</w:t>
            </w:r>
          </w:p>
        </w:tc>
        <w:tc>
          <w:tcPr>
            <w:tcW w:w="223" w:type="pct"/>
            <w:shd w:val="clear" w:color="auto" w:fill="auto"/>
            <w:noWrap/>
            <w:vAlign w:val="center"/>
            <w:hideMark/>
          </w:tcPr>
          <w:p w14:paraId="7761BAE1"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3,11</w:t>
            </w:r>
            <w:r>
              <w:rPr>
                <w:rFonts w:ascii="Arial" w:eastAsia="Times New Roman" w:hAnsi="Arial" w:cs="Arial"/>
                <w:color w:val="000000"/>
                <w:sz w:val="18"/>
                <w:szCs w:val="18"/>
                <w:lang w:eastAsia="sl-SI"/>
              </w:rPr>
              <w:t xml:space="preserve"> %</w:t>
            </w:r>
          </w:p>
        </w:tc>
        <w:tc>
          <w:tcPr>
            <w:tcW w:w="223" w:type="pct"/>
            <w:shd w:val="clear" w:color="auto" w:fill="auto"/>
            <w:noWrap/>
            <w:vAlign w:val="center"/>
            <w:hideMark/>
          </w:tcPr>
          <w:p w14:paraId="7B4B4CB6"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3,20</w:t>
            </w:r>
            <w:r>
              <w:rPr>
                <w:rFonts w:ascii="Arial" w:eastAsia="Times New Roman" w:hAnsi="Arial" w:cs="Arial"/>
                <w:color w:val="000000"/>
                <w:sz w:val="18"/>
                <w:szCs w:val="18"/>
                <w:lang w:eastAsia="sl-SI"/>
              </w:rPr>
              <w:t xml:space="preserve"> %</w:t>
            </w:r>
          </w:p>
        </w:tc>
      </w:tr>
      <w:tr w:rsidR="00E3750C" w:rsidRPr="00AD1B06" w14:paraId="631293AA" w14:textId="77777777" w:rsidTr="00047864">
        <w:trPr>
          <w:trHeight w:val="300"/>
        </w:trPr>
        <w:tc>
          <w:tcPr>
            <w:tcW w:w="2635" w:type="pct"/>
            <w:shd w:val="clear" w:color="auto" w:fill="auto"/>
            <w:vAlign w:val="center"/>
            <w:hideMark/>
          </w:tcPr>
          <w:p w14:paraId="0984D621"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Varnostna, gasilska, policijska in obrambna oprema</w:t>
            </w:r>
          </w:p>
        </w:tc>
        <w:tc>
          <w:tcPr>
            <w:tcW w:w="275" w:type="pct"/>
            <w:shd w:val="clear" w:color="auto" w:fill="auto"/>
            <w:vAlign w:val="center"/>
            <w:hideMark/>
          </w:tcPr>
          <w:p w14:paraId="48176CAE"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35</w:t>
            </w:r>
          </w:p>
        </w:tc>
        <w:tc>
          <w:tcPr>
            <w:tcW w:w="442" w:type="pct"/>
            <w:shd w:val="clear" w:color="auto" w:fill="auto"/>
            <w:vAlign w:val="center"/>
            <w:hideMark/>
          </w:tcPr>
          <w:p w14:paraId="45B12DFF"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109</w:t>
            </w:r>
          </w:p>
        </w:tc>
        <w:tc>
          <w:tcPr>
            <w:tcW w:w="1201" w:type="pct"/>
            <w:shd w:val="clear" w:color="auto" w:fill="auto"/>
            <w:vAlign w:val="center"/>
            <w:hideMark/>
          </w:tcPr>
          <w:p w14:paraId="393E60DC"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39.619.922</w:t>
            </w:r>
          </w:p>
        </w:tc>
        <w:tc>
          <w:tcPr>
            <w:tcW w:w="223" w:type="pct"/>
            <w:shd w:val="clear" w:color="auto" w:fill="auto"/>
            <w:noWrap/>
            <w:vAlign w:val="center"/>
            <w:hideMark/>
          </w:tcPr>
          <w:p w14:paraId="2916ADDE"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0,71</w:t>
            </w:r>
            <w:r>
              <w:rPr>
                <w:rFonts w:ascii="Arial" w:eastAsia="Times New Roman" w:hAnsi="Arial" w:cs="Arial"/>
                <w:color w:val="000000"/>
                <w:sz w:val="18"/>
                <w:szCs w:val="18"/>
                <w:lang w:eastAsia="sl-SI"/>
              </w:rPr>
              <w:t xml:space="preserve"> %</w:t>
            </w:r>
          </w:p>
        </w:tc>
        <w:tc>
          <w:tcPr>
            <w:tcW w:w="223" w:type="pct"/>
            <w:shd w:val="clear" w:color="auto" w:fill="auto"/>
            <w:noWrap/>
            <w:vAlign w:val="center"/>
            <w:hideMark/>
          </w:tcPr>
          <w:p w14:paraId="6618DE3C"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0,88</w:t>
            </w:r>
            <w:r>
              <w:rPr>
                <w:rFonts w:ascii="Arial" w:eastAsia="Times New Roman" w:hAnsi="Arial" w:cs="Arial"/>
                <w:color w:val="000000"/>
                <w:sz w:val="18"/>
                <w:szCs w:val="18"/>
                <w:lang w:eastAsia="sl-SI"/>
              </w:rPr>
              <w:t xml:space="preserve"> %</w:t>
            </w:r>
          </w:p>
        </w:tc>
      </w:tr>
      <w:tr w:rsidR="00E3750C" w:rsidRPr="00AD1B06" w14:paraId="4FBA602B" w14:textId="77777777" w:rsidTr="00047864">
        <w:trPr>
          <w:trHeight w:val="300"/>
        </w:trPr>
        <w:tc>
          <w:tcPr>
            <w:tcW w:w="2635" w:type="pct"/>
            <w:shd w:val="clear" w:color="auto" w:fill="auto"/>
            <w:vAlign w:val="center"/>
            <w:hideMark/>
          </w:tcPr>
          <w:p w14:paraId="5AB7C1DD"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Glasbila, športni izdelki, igre, igrače, ročna dela, umetniški materiali in dodatki</w:t>
            </w:r>
          </w:p>
        </w:tc>
        <w:tc>
          <w:tcPr>
            <w:tcW w:w="275" w:type="pct"/>
            <w:shd w:val="clear" w:color="auto" w:fill="auto"/>
            <w:vAlign w:val="center"/>
            <w:hideMark/>
          </w:tcPr>
          <w:p w14:paraId="569524B5"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37</w:t>
            </w:r>
          </w:p>
        </w:tc>
        <w:tc>
          <w:tcPr>
            <w:tcW w:w="442" w:type="pct"/>
            <w:shd w:val="clear" w:color="auto" w:fill="auto"/>
            <w:vAlign w:val="center"/>
            <w:hideMark/>
          </w:tcPr>
          <w:p w14:paraId="32AE2366"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46</w:t>
            </w:r>
          </w:p>
        </w:tc>
        <w:tc>
          <w:tcPr>
            <w:tcW w:w="1201" w:type="pct"/>
            <w:shd w:val="clear" w:color="auto" w:fill="auto"/>
            <w:vAlign w:val="center"/>
            <w:hideMark/>
          </w:tcPr>
          <w:p w14:paraId="5D90CC41"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4.653.006</w:t>
            </w:r>
          </w:p>
        </w:tc>
        <w:tc>
          <w:tcPr>
            <w:tcW w:w="223" w:type="pct"/>
            <w:shd w:val="clear" w:color="auto" w:fill="auto"/>
            <w:noWrap/>
            <w:vAlign w:val="center"/>
            <w:hideMark/>
          </w:tcPr>
          <w:p w14:paraId="16F8CF67"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0,30</w:t>
            </w:r>
            <w:r>
              <w:rPr>
                <w:rFonts w:ascii="Arial" w:eastAsia="Times New Roman" w:hAnsi="Arial" w:cs="Arial"/>
                <w:color w:val="000000"/>
                <w:sz w:val="18"/>
                <w:szCs w:val="18"/>
                <w:lang w:eastAsia="sl-SI"/>
              </w:rPr>
              <w:t xml:space="preserve"> %</w:t>
            </w:r>
          </w:p>
        </w:tc>
        <w:tc>
          <w:tcPr>
            <w:tcW w:w="223" w:type="pct"/>
            <w:shd w:val="clear" w:color="auto" w:fill="auto"/>
            <w:noWrap/>
            <w:vAlign w:val="center"/>
            <w:hideMark/>
          </w:tcPr>
          <w:p w14:paraId="62396A92"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0,10</w:t>
            </w:r>
            <w:r>
              <w:rPr>
                <w:rFonts w:ascii="Arial" w:eastAsia="Times New Roman" w:hAnsi="Arial" w:cs="Arial"/>
                <w:color w:val="000000"/>
                <w:sz w:val="18"/>
                <w:szCs w:val="18"/>
                <w:lang w:eastAsia="sl-SI"/>
              </w:rPr>
              <w:t xml:space="preserve"> %</w:t>
            </w:r>
          </w:p>
        </w:tc>
      </w:tr>
      <w:tr w:rsidR="00E3750C" w:rsidRPr="00AD1B06" w14:paraId="705AA183" w14:textId="77777777" w:rsidTr="00047864">
        <w:trPr>
          <w:trHeight w:val="300"/>
        </w:trPr>
        <w:tc>
          <w:tcPr>
            <w:tcW w:w="2635" w:type="pct"/>
            <w:shd w:val="clear" w:color="auto" w:fill="auto"/>
            <w:vAlign w:val="center"/>
            <w:hideMark/>
          </w:tcPr>
          <w:p w14:paraId="3C083880"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lastRenderedPageBreak/>
              <w:t>Laboratorijska, optična in precizna oprema (razen očal)</w:t>
            </w:r>
          </w:p>
        </w:tc>
        <w:tc>
          <w:tcPr>
            <w:tcW w:w="275" w:type="pct"/>
            <w:shd w:val="clear" w:color="auto" w:fill="auto"/>
            <w:vAlign w:val="center"/>
            <w:hideMark/>
          </w:tcPr>
          <w:p w14:paraId="226C490A"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38</w:t>
            </w:r>
          </w:p>
        </w:tc>
        <w:tc>
          <w:tcPr>
            <w:tcW w:w="442" w:type="pct"/>
            <w:shd w:val="clear" w:color="auto" w:fill="auto"/>
            <w:vAlign w:val="center"/>
            <w:hideMark/>
          </w:tcPr>
          <w:p w14:paraId="2F3AC380"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333</w:t>
            </w:r>
          </w:p>
        </w:tc>
        <w:tc>
          <w:tcPr>
            <w:tcW w:w="1201" w:type="pct"/>
            <w:shd w:val="clear" w:color="auto" w:fill="auto"/>
            <w:vAlign w:val="center"/>
            <w:hideMark/>
          </w:tcPr>
          <w:p w14:paraId="7C6AC82F"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38.813.627</w:t>
            </w:r>
          </w:p>
        </w:tc>
        <w:tc>
          <w:tcPr>
            <w:tcW w:w="223" w:type="pct"/>
            <w:shd w:val="clear" w:color="auto" w:fill="auto"/>
            <w:noWrap/>
            <w:vAlign w:val="center"/>
            <w:hideMark/>
          </w:tcPr>
          <w:p w14:paraId="278EA63E"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2,17</w:t>
            </w:r>
            <w:r>
              <w:rPr>
                <w:rFonts w:ascii="Arial" w:eastAsia="Times New Roman" w:hAnsi="Arial" w:cs="Arial"/>
                <w:color w:val="000000"/>
                <w:sz w:val="18"/>
                <w:szCs w:val="18"/>
                <w:lang w:eastAsia="sl-SI"/>
              </w:rPr>
              <w:t xml:space="preserve"> %</w:t>
            </w:r>
          </w:p>
        </w:tc>
        <w:tc>
          <w:tcPr>
            <w:tcW w:w="223" w:type="pct"/>
            <w:shd w:val="clear" w:color="auto" w:fill="auto"/>
            <w:noWrap/>
            <w:vAlign w:val="center"/>
            <w:hideMark/>
          </w:tcPr>
          <w:p w14:paraId="268C530B"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0,86</w:t>
            </w:r>
            <w:r>
              <w:rPr>
                <w:rFonts w:ascii="Arial" w:eastAsia="Times New Roman" w:hAnsi="Arial" w:cs="Arial"/>
                <w:color w:val="000000"/>
                <w:sz w:val="18"/>
                <w:szCs w:val="18"/>
                <w:lang w:eastAsia="sl-SI"/>
              </w:rPr>
              <w:t xml:space="preserve"> %</w:t>
            </w:r>
          </w:p>
        </w:tc>
      </w:tr>
      <w:tr w:rsidR="00E3750C" w:rsidRPr="00AD1B06" w14:paraId="212F9E38" w14:textId="77777777" w:rsidTr="00047864">
        <w:trPr>
          <w:trHeight w:val="300"/>
        </w:trPr>
        <w:tc>
          <w:tcPr>
            <w:tcW w:w="2635" w:type="pct"/>
            <w:shd w:val="clear" w:color="auto" w:fill="auto"/>
            <w:vAlign w:val="center"/>
            <w:hideMark/>
          </w:tcPr>
          <w:p w14:paraId="5FF31A98"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Pohištvo (vključno s pisarniškim pohištvom), notranja oprema, gospodinjske naprave (razen svetil) in čistilna sredstva</w:t>
            </w:r>
          </w:p>
        </w:tc>
        <w:tc>
          <w:tcPr>
            <w:tcW w:w="275" w:type="pct"/>
            <w:shd w:val="clear" w:color="auto" w:fill="auto"/>
            <w:vAlign w:val="center"/>
            <w:hideMark/>
          </w:tcPr>
          <w:p w14:paraId="0C502ABD"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39</w:t>
            </w:r>
          </w:p>
        </w:tc>
        <w:tc>
          <w:tcPr>
            <w:tcW w:w="442" w:type="pct"/>
            <w:shd w:val="clear" w:color="auto" w:fill="auto"/>
            <w:vAlign w:val="center"/>
            <w:hideMark/>
          </w:tcPr>
          <w:p w14:paraId="7A844F40"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313</w:t>
            </w:r>
          </w:p>
        </w:tc>
        <w:tc>
          <w:tcPr>
            <w:tcW w:w="1201" w:type="pct"/>
            <w:shd w:val="clear" w:color="auto" w:fill="auto"/>
            <w:vAlign w:val="center"/>
            <w:hideMark/>
          </w:tcPr>
          <w:p w14:paraId="40E14C1A"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29.750.171</w:t>
            </w:r>
          </w:p>
        </w:tc>
        <w:tc>
          <w:tcPr>
            <w:tcW w:w="223" w:type="pct"/>
            <w:shd w:val="clear" w:color="auto" w:fill="auto"/>
            <w:noWrap/>
            <w:vAlign w:val="center"/>
            <w:hideMark/>
          </w:tcPr>
          <w:p w14:paraId="1E31530B"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2,04</w:t>
            </w:r>
            <w:r>
              <w:rPr>
                <w:rFonts w:ascii="Arial" w:eastAsia="Times New Roman" w:hAnsi="Arial" w:cs="Arial"/>
                <w:color w:val="000000"/>
                <w:sz w:val="18"/>
                <w:szCs w:val="18"/>
                <w:lang w:eastAsia="sl-SI"/>
              </w:rPr>
              <w:t xml:space="preserve"> %</w:t>
            </w:r>
          </w:p>
        </w:tc>
        <w:tc>
          <w:tcPr>
            <w:tcW w:w="223" w:type="pct"/>
            <w:shd w:val="clear" w:color="auto" w:fill="auto"/>
            <w:noWrap/>
            <w:vAlign w:val="center"/>
            <w:hideMark/>
          </w:tcPr>
          <w:p w14:paraId="654B9F6A"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0,66</w:t>
            </w:r>
            <w:r>
              <w:rPr>
                <w:rFonts w:ascii="Arial" w:eastAsia="Times New Roman" w:hAnsi="Arial" w:cs="Arial"/>
                <w:color w:val="000000"/>
                <w:sz w:val="18"/>
                <w:szCs w:val="18"/>
                <w:lang w:eastAsia="sl-SI"/>
              </w:rPr>
              <w:t xml:space="preserve"> %</w:t>
            </w:r>
          </w:p>
        </w:tc>
      </w:tr>
      <w:tr w:rsidR="00E3750C" w:rsidRPr="00AD1B06" w14:paraId="75E222C3" w14:textId="77777777" w:rsidTr="00047864">
        <w:trPr>
          <w:trHeight w:val="300"/>
        </w:trPr>
        <w:tc>
          <w:tcPr>
            <w:tcW w:w="2635" w:type="pct"/>
            <w:shd w:val="clear" w:color="auto" w:fill="auto"/>
            <w:vAlign w:val="center"/>
            <w:hideMark/>
          </w:tcPr>
          <w:p w14:paraId="3AD595B9"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Zbrana in očiščena voda</w:t>
            </w:r>
          </w:p>
        </w:tc>
        <w:tc>
          <w:tcPr>
            <w:tcW w:w="275" w:type="pct"/>
            <w:shd w:val="clear" w:color="auto" w:fill="auto"/>
            <w:vAlign w:val="center"/>
            <w:hideMark/>
          </w:tcPr>
          <w:p w14:paraId="2EDDA9B5"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41</w:t>
            </w:r>
          </w:p>
        </w:tc>
        <w:tc>
          <w:tcPr>
            <w:tcW w:w="442" w:type="pct"/>
            <w:shd w:val="clear" w:color="auto" w:fill="auto"/>
            <w:vAlign w:val="center"/>
            <w:hideMark/>
          </w:tcPr>
          <w:p w14:paraId="08C453E2"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2</w:t>
            </w:r>
          </w:p>
        </w:tc>
        <w:tc>
          <w:tcPr>
            <w:tcW w:w="1201" w:type="pct"/>
            <w:shd w:val="clear" w:color="auto" w:fill="auto"/>
            <w:vAlign w:val="center"/>
            <w:hideMark/>
          </w:tcPr>
          <w:p w14:paraId="6ED2B162"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130.272</w:t>
            </w:r>
          </w:p>
        </w:tc>
        <w:tc>
          <w:tcPr>
            <w:tcW w:w="223" w:type="pct"/>
            <w:shd w:val="clear" w:color="auto" w:fill="auto"/>
            <w:noWrap/>
            <w:vAlign w:val="center"/>
            <w:hideMark/>
          </w:tcPr>
          <w:p w14:paraId="23EBE3DB"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223" w:type="pct"/>
            <w:shd w:val="clear" w:color="auto" w:fill="auto"/>
            <w:noWrap/>
            <w:vAlign w:val="center"/>
            <w:hideMark/>
          </w:tcPr>
          <w:p w14:paraId="2B9107BA"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0,00</w:t>
            </w:r>
            <w:r>
              <w:rPr>
                <w:rFonts w:ascii="Arial" w:eastAsia="Times New Roman" w:hAnsi="Arial" w:cs="Arial"/>
                <w:color w:val="000000"/>
                <w:sz w:val="18"/>
                <w:szCs w:val="18"/>
                <w:lang w:eastAsia="sl-SI"/>
              </w:rPr>
              <w:t xml:space="preserve"> %</w:t>
            </w:r>
          </w:p>
        </w:tc>
      </w:tr>
      <w:tr w:rsidR="00E3750C" w:rsidRPr="00AD1B06" w14:paraId="06A500D3" w14:textId="77777777" w:rsidTr="00047864">
        <w:trPr>
          <w:trHeight w:val="300"/>
        </w:trPr>
        <w:tc>
          <w:tcPr>
            <w:tcW w:w="2635" w:type="pct"/>
            <w:shd w:val="clear" w:color="auto" w:fill="auto"/>
            <w:vAlign w:val="center"/>
            <w:hideMark/>
          </w:tcPr>
          <w:p w14:paraId="7F5C9BE1"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Industrijski stroji</w:t>
            </w:r>
          </w:p>
        </w:tc>
        <w:tc>
          <w:tcPr>
            <w:tcW w:w="275" w:type="pct"/>
            <w:shd w:val="clear" w:color="auto" w:fill="auto"/>
            <w:vAlign w:val="center"/>
            <w:hideMark/>
          </w:tcPr>
          <w:p w14:paraId="1ED50F7C"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42</w:t>
            </w:r>
          </w:p>
        </w:tc>
        <w:tc>
          <w:tcPr>
            <w:tcW w:w="442" w:type="pct"/>
            <w:shd w:val="clear" w:color="auto" w:fill="auto"/>
            <w:vAlign w:val="center"/>
            <w:hideMark/>
          </w:tcPr>
          <w:p w14:paraId="6EBFCE8D"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96</w:t>
            </w:r>
          </w:p>
        </w:tc>
        <w:tc>
          <w:tcPr>
            <w:tcW w:w="1201" w:type="pct"/>
            <w:shd w:val="clear" w:color="auto" w:fill="auto"/>
            <w:vAlign w:val="center"/>
            <w:hideMark/>
          </w:tcPr>
          <w:p w14:paraId="4F63F481"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17.379.961</w:t>
            </w:r>
          </w:p>
        </w:tc>
        <w:tc>
          <w:tcPr>
            <w:tcW w:w="223" w:type="pct"/>
            <w:shd w:val="clear" w:color="auto" w:fill="auto"/>
            <w:noWrap/>
            <w:vAlign w:val="center"/>
            <w:hideMark/>
          </w:tcPr>
          <w:p w14:paraId="48A7C750"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0,63</w:t>
            </w:r>
            <w:r>
              <w:rPr>
                <w:rFonts w:ascii="Arial" w:eastAsia="Times New Roman" w:hAnsi="Arial" w:cs="Arial"/>
                <w:color w:val="000000"/>
                <w:sz w:val="18"/>
                <w:szCs w:val="18"/>
                <w:lang w:eastAsia="sl-SI"/>
              </w:rPr>
              <w:t xml:space="preserve"> %</w:t>
            </w:r>
          </w:p>
        </w:tc>
        <w:tc>
          <w:tcPr>
            <w:tcW w:w="223" w:type="pct"/>
            <w:shd w:val="clear" w:color="auto" w:fill="auto"/>
            <w:noWrap/>
            <w:vAlign w:val="center"/>
            <w:hideMark/>
          </w:tcPr>
          <w:p w14:paraId="679628B8"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0,39</w:t>
            </w:r>
            <w:r>
              <w:rPr>
                <w:rFonts w:ascii="Arial" w:eastAsia="Times New Roman" w:hAnsi="Arial" w:cs="Arial"/>
                <w:color w:val="000000"/>
                <w:sz w:val="18"/>
                <w:szCs w:val="18"/>
                <w:lang w:eastAsia="sl-SI"/>
              </w:rPr>
              <w:t xml:space="preserve"> %</w:t>
            </w:r>
          </w:p>
        </w:tc>
      </w:tr>
      <w:tr w:rsidR="00E3750C" w:rsidRPr="00AD1B06" w14:paraId="1FECBC6D" w14:textId="77777777" w:rsidTr="00047864">
        <w:trPr>
          <w:trHeight w:val="300"/>
        </w:trPr>
        <w:tc>
          <w:tcPr>
            <w:tcW w:w="2635" w:type="pct"/>
            <w:shd w:val="clear" w:color="auto" w:fill="auto"/>
            <w:vAlign w:val="center"/>
            <w:hideMark/>
          </w:tcPr>
          <w:p w14:paraId="031D5A4D"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Rudarska, kamnoseška in gradbena oprema</w:t>
            </w:r>
          </w:p>
        </w:tc>
        <w:tc>
          <w:tcPr>
            <w:tcW w:w="275" w:type="pct"/>
            <w:shd w:val="clear" w:color="auto" w:fill="auto"/>
            <w:vAlign w:val="center"/>
            <w:hideMark/>
          </w:tcPr>
          <w:p w14:paraId="181DDF91"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43</w:t>
            </w:r>
          </w:p>
        </w:tc>
        <w:tc>
          <w:tcPr>
            <w:tcW w:w="442" w:type="pct"/>
            <w:shd w:val="clear" w:color="auto" w:fill="auto"/>
            <w:vAlign w:val="center"/>
            <w:hideMark/>
          </w:tcPr>
          <w:p w14:paraId="4D167BDE"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19</w:t>
            </w:r>
          </w:p>
        </w:tc>
        <w:tc>
          <w:tcPr>
            <w:tcW w:w="1201" w:type="pct"/>
            <w:shd w:val="clear" w:color="auto" w:fill="auto"/>
            <w:vAlign w:val="center"/>
            <w:hideMark/>
          </w:tcPr>
          <w:p w14:paraId="729ADB59"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2.120.659</w:t>
            </w:r>
          </w:p>
        </w:tc>
        <w:tc>
          <w:tcPr>
            <w:tcW w:w="223" w:type="pct"/>
            <w:shd w:val="clear" w:color="auto" w:fill="auto"/>
            <w:noWrap/>
            <w:vAlign w:val="center"/>
            <w:hideMark/>
          </w:tcPr>
          <w:p w14:paraId="39DDCE28"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0,12</w:t>
            </w:r>
            <w:r>
              <w:rPr>
                <w:rFonts w:ascii="Arial" w:eastAsia="Times New Roman" w:hAnsi="Arial" w:cs="Arial"/>
                <w:color w:val="000000"/>
                <w:sz w:val="18"/>
                <w:szCs w:val="18"/>
                <w:lang w:eastAsia="sl-SI"/>
              </w:rPr>
              <w:t xml:space="preserve"> %</w:t>
            </w:r>
          </w:p>
        </w:tc>
        <w:tc>
          <w:tcPr>
            <w:tcW w:w="223" w:type="pct"/>
            <w:shd w:val="clear" w:color="auto" w:fill="auto"/>
            <w:noWrap/>
            <w:vAlign w:val="center"/>
            <w:hideMark/>
          </w:tcPr>
          <w:p w14:paraId="0D3AB2DF"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0,05</w:t>
            </w:r>
            <w:r>
              <w:rPr>
                <w:rFonts w:ascii="Arial" w:eastAsia="Times New Roman" w:hAnsi="Arial" w:cs="Arial"/>
                <w:color w:val="000000"/>
                <w:sz w:val="18"/>
                <w:szCs w:val="18"/>
                <w:lang w:eastAsia="sl-SI"/>
              </w:rPr>
              <w:t xml:space="preserve"> %</w:t>
            </w:r>
          </w:p>
        </w:tc>
      </w:tr>
      <w:tr w:rsidR="00E3750C" w:rsidRPr="00AD1B06" w14:paraId="756C45D2" w14:textId="77777777" w:rsidTr="00047864">
        <w:trPr>
          <w:trHeight w:val="300"/>
        </w:trPr>
        <w:tc>
          <w:tcPr>
            <w:tcW w:w="2635" w:type="pct"/>
            <w:shd w:val="clear" w:color="auto" w:fill="auto"/>
            <w:vAlign w:val="center"/>
            <w:hideMark/>
          </w:tcPr>
          <w:p w14:paraId="580569E7"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Gradbene strukture in materiali; pomožni gradbeni izdelki (razen električnih aparatov)</w:t>
            </w:r>
          </w:p>
        </w:tc>
        <w:tc>
          <w:tcPr>
            <w:tcW w:w="275" w:type="pct"/>
            <w:shd w:val="clear" w:color="auto" w:fill="auto"/>
            <w:vAlign w:val="center"/>
            <w:hideMark/>
          </w:tcPr>
          <w:p w14:paraId="62BCA79F"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44</w:t>
            </w:r>
          </w:p>
        </w:tc>
        <w:tc>
          <w:tcPr>
            <w:tcW w:w="442" w:type="pct"/>
            <w:shd w:val="clear" w:color="auto" w:fill="auto"/>
            <w:vAlign w:val="center"/>
            <w:hideMark/>
          </w:tcPr>
          <w:p w14:paraId="7A775D65"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96</w:t>
            </w:r>
          </w:p>
        </w:tc>
        <w:tc>
          <w:tcPr>
            <w:tcW w:w="1201" w:type="pct"/>
            <w:shd w:val="clear" w:color="auto" w:fill="auto"/>
            <w:vAlign w:val="center"/>
            <w:hideMark/>
          </w:tcPr>
          <w:p w14:paraId="5046D557"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14.288.058</w:t>
            </w:r>
          </w:p>
        </w:tc>
        <w:tc>
          <w:tcPr>
            <w:tcW w:w="223" w:type="pct"/>
            <w:shd w:val="clear" w:color="auto" w:fill="auto"/>
            <w:noWrap/>
            <w:vAlign w:val="center"/>
            <w:hideMark/>
          </w:tcPr>
          <w:p w14:paraId="487348F1"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0,63</w:t>
            </w:r>
            <w:r>
              <w:rPr>
                <w:rFonts w:ascii="Arial" w:eastAsia="Times New Roman" w:hAnsi="Arial" w:cs="Arial"/>
                <w:color w:val="000000"/>
                <w:sz w:val="18"/>
                <w:szCs w:val="18"/>
                <w:lang w:eastAsia="sl-SI"/>
              </w:rPr>
              <w:t xml:space="preserve"> %</w:t>
            </w:r>
          </w:p>
        </w:tc>
        <w:tc>
          <w:tcPr>
            <w:tcW w:w="223" w:type="pct"/>
            <w:shd w:val="clear" w:color="auto" w:fill="auto"/>
            <w:noWrap/>
            <w:vAlign w:val="center"/>
            <w:hideMark/>
          </w:tcPr>
          <w:p w14:paraId="09C21354"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0,32</w:t>
            </w:r>
            <w:r>
              <w:rPr>
                <w:rFonts w:ascii="Arial" w:eastAsia="Times New Roman" w:hAnsi="Arial" w:cs="Arial"/>
                <w:color w:val="000000"/>
                <w:sz w:val="18"/>
                <w:szCs w:val="18"/>
                <w:lang w:eastAsia="sl-SI"/>
              </w:rPr>
              <w:t xml:space="preserve"> %</w:t>
            </w:r>
          </w:p>
        </w:tc>
      </w:tr>
      <w:tr w:rsidR="00E3750C" w:rsidRPr="00AD1B06" w14:paraId="0EF45CF1" w14:textId="77777777" w:rsidTr="00047864">
        <w:trPr>
          <w:trHeight w:val="300"/>
        </w:trPr>
        <w:tc>
          <w:tcPr>
            <w:tcW w:w="2635" w:type="pct"/>
            <w:shd w:val="clear" w:color="auto" w:fill="auto"/>
            <w:vAlign w:val="center"/>
            <w:hideMark/>
          </w:tcPr>
          <w:p w14:paraId="55BF6DFE"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Gradbena dela</w:t>
            </w:r>
          </w:p>
        </w:tc>
        <w:tc>
          <w:tcPr>
            <w:tcW w:w="275" w:type="pct"/>
            <w:shd w:val="clear" w:color="auto" w:fill="auto"/>
            <w:vAlign w:val="center"/>
            <w:hideMark/>
          </w:tcPr>
          <w:p w14:paraId="2BEB87E9"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45</w:t>
            </w:r>
          </w:p>
        </w:tc>
        <w:tc>
          <w:tcPr>
            <w:tcW w:w="442" w:type="pct"/>
            <w:shd w:val="clear" w:color="auto" w:fill="auto"/>
            <w:vAlign w:val="center"/>
            <w:hideMark/>
          </w:tcPr>
          <w:p w14:paraId="05C9B8EF"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1.535</w:t>
            </w:r>
          </w:p>
        </w:tc>
        <w:tc>
          <w:tcPr>
            <w:tcW w:w="1201" w:type="pct"/>
            <w:shd w:val="clear" w:color="auto" w:fill="auto"/>
            <w:vAlign w:val="center"/>
            <w:hideMark/>
          </w:tcPr>
          <w:p w14:paraId="26C860A6"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1.739.939.882</w:t>
            </w:r>
          </w:p>
        </w:tc>
        <w:tc>
          <w:tcPr>
            <w:tcW w:w="223" w:type="pct"/>
            <w:shd w:val="clear" w:color="auto" w:fill="auto"/>
            <w:noWrap/>
            <w:vAlign w:val="center"/>
            <w:hideMark/>
          </w:tcPr>
          <w:p w14:paraId="70308024"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10,02</w:t>
            </w:r>
            <w:r>
              <w:rPr>
                <w:rFonts w:ascii="Arial" w:eastAsia="Times New Roman" w:hAnsi="Arial" w:cs="Arial"/>
                <w:color w:val="000000"/>
                <w:sz w:val="18"/>
                <w:szCs w:val="18"/>
                <w:lang w:eastAsia="sl-SI"/>
              </w:rPr>
              <w:t xml:space="preserve"> %</w:t>
            </w:r>
          </w:p>
        </w:tc>
        <w:tc>
          <w:tcPr>
            <w:tcW w:w="223" w:type="pct"/>
            <w:shd w:val="clear" w:color="auto" w:fill="auto"/>
            <w:noWrap/>
            <w:vAlign w:val="center"/>
            <w:hideMark/>
          </w:tcPr>
          <w:p w14:paraId="0FB0DBFE"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38,58</w:t>
            </w:r>
            <w:r>
              <w:rPr>
                <w:rFonts w:ascii="Arial" w:eastAsia="Times New Roman" w:hAnsi="Arial" w:cs="Arial"/>
                <w:color w:val="000000"/>
                <w:sz w:val="18"/>
                <w:szCs w:val="18"/>
                <w:lang w:eastAsia="sl-SI"/>
              </w:rPr>
              <w:t xml:space="preserve"> %</w:t>
            </w:r>
          </w:p>
        </w:tc>
      </w:tr>
      <w:tr w:rsidR="00E3750C" w:rsidRPr="00AD1B06" w14:paraId="681E7E96" w14:textId="77777777" w:rsidTr="00047864">
        <w:trPr>
          <w:trHeight w:val="300"/>
        </w:trPr>
        <w:tc>
          <w:tcPr>
            <w:tcW w:w="2635" w:type="pct"/>
            <w:shd w:val="clear" w:color="auto" w:fill="auto"/>
            <w:vAlign w:val="center"/>
            <w:hideMark/>
          </w:tcPr>
          <w:p w14:paraId="4F9E4FD5"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Programski paketi in informacijski sistemi</w:t>
            </w:r>
          </w:p>
        </w:tc>
        <w:tc>
          <w:tcPr>
            <w:tcW w:w="275" w:type="pct"/>
            <w:shd w:val="clear" w:color="auto" w:fill="auto"/>
            <w:vAlign w:val="center"/>
            <w:hideMark/>
          </w:tcPr>
          <w:p w14:paraId="076986C2"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48</w:t>
            </w:r>
          </w:p>
        </w:tc>
        <w:tc>
          <w:tcPr>
            <w:tcW w:w="442" w:type="pct"/>
            <w:shd w:val="clear" w:color="auto" w:fill="auto"/>
            <w:vAlign w:val="center"/>
            <w:hideMark/>
          </w:tcPr>
          <w:p w14:paraId="766374EC"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166</w:t>
            </w:r>
          </w:p>
        </w:tc>
        <w:tc>
          <w:tcPr>
            <w:tcW w:w="1201" w:type="pct"/>
            <w:shd w:val="clear" w:color="auto" w:fill="auto"/>
            <w:vAlign w:val="center"/>
            <w:hideMark/>
          </w:tcPr>
          <w:p w14:paraId="608987A1"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33.238.518</w:t>
            </w:r>
          </w:p>
        </w:tc>
        <w:tc>
          <w:tcPr>
            <w:tcW w:w="223" w:type="pct"/>
            <w:shd w:val="clear" w:color="auto" w:fill="auto"/>
            <w:noWrap/>
            <w:vAlign w:val="center"/>
            <w:hideMark/>
          </w:tcPr>
          <w:p w14:paraId="17251C1C"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1,08</w:t>
            </w:r>
            <w:r>
              <w:rPr>
                <w:rFonts w:ascii="Arial" w:eastAsia="Times New Roman" w:hAnsi="Arial" w:cs="Arial"/>
                <w:color w:val="000000"/>
                <w:sz w:val="18"/>
                <w:szCs w:val="18"/>
                <w:lang w:eastAsia="sl-SI"/>
              </w:rPr>
              <w:t xml:space="preserve"> %</w:t>
            </w:r>
          </w:p>
        </w:tc>
        <w:tc>
          <w:tcPr>
            <w:tcW w:w="223" w:type="pct"/>
            <w:shd w:val="clear" w:color="auto" w:fill="auto"/>
            <w:noWrap/>
            <w:vAlign w:val="center"/>
            <w:hideMark/>
          </w:tcPr>
          <w:p w14:paraId="05B411E0"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0,74</w:t>
            </w:r>
            <w:r>
              <w:rPr>
                <w:rFonts w:ascii="Arial" w:eastAsia="Times New Roman" w:hAnsi="Arial" w:cs="Arial"/>
                <w:color w:val="000000"/>
                <w:sz w:val="18"/>
                <w:szCs w:val="18"/>
                <w:lang w:eastAsia="sl-SI"/>
              </w:rPr>
              <w:t xml:space="preserve"> %</w:t>
            </w:r>
          </w:p>
        </w:tc>
      </w:tr>
      <w:tr w:rsidR="00E3750C" w:rsidRPr="00AD1B06" w14:paraId="02E7C6CB" w14:textId="77777777" w:rsidTr="00047864">
        <w:trPr>
          <w:trHeight w:val="300"/>
        </w:trPr>
        <w:tc>
          <w:tcPr>
            <w:tcW w:w="2635" w:type="pct"/>
            <w:shd w:val="clear" w:color="auto" w:fill="auto"/>
            <w:vAlign w:val="center"/>
            <w:hideMark/>
          </w:tcPr>
          <w:p w14:paraId="74EB33E1"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Storitve popravila in vzdrževanja</w:t>
            </w:r>
          </w:p>
        </w:tc>
        <w:tc>
          <w:tcPr>
            <w:tcW w:w="275" w:type="pct"/>
            <w:shd w:val="clear" w:color="auto" w:fill="auto"/>
            <w:vAlign w:val="center"/>
            <w:hideMark/>
          </w:tcPr>
          <w:p w14:paraId="7E323472"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50</w:t>
            </w:r>
          </w:p>
        </w:tc>
        <w:tc>
          <w:tcPr>
            <w:tcW w:w="442" w:type="pct"/>
            <w:shd w:val="clear" w:color="auto" w:fill="auto"/>
            <w:vAlign w:val="center"/>
            <w:hideMark/>
          </w:tcPr>
          <w:p w14:paraId="67130767"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599</w:t>
            </w:r>
          </w:p>
        </w:tc>
        <w:tc>
          <w:tcPr>
            <w:tcW w:w="1201" w:type="pct"/>
            <w:shd w:val="clear" w:color="auto" w:fill="auto"/>
            <w:vAlign w:val="center"/>
            <w:hideMark/>
          </w:tcPr>
          <w:p w14:paraId="600FDC59"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701.385.229</w:t>
            </w:r>
          </w:p>
        </w:tc>
        <w:tc>
          <w:tcPr>
            <w:tcW w:w="223" w:type="pct"/>
            <w:shd w:val="clear" w:color="auto" w:fill="auto"/>
            <w:noWrap/>
            <w:vAlign w:val="center"/>
            <w:hideMark/>
          </w:tcPr>
          <w:p w14:paraId="5B852BAE"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3,91</w:t>
            </w:r>
            <w:r>
              <w:rPr>
                <w:rFonts w:ascii="Arial" w:eastAsia="Times New Roman" w:hAnsi="Arial" w:cs="Arial"/>
                <w:color w:val="000000"/>
                <w:sz w:val="18"/>
                <w:szCs w:val="18"/>
                <w:lang w:eastAsia="sl-SI"/>
              </w:rPr>
              <w:t xml:space="preserve"> %</w:t>
            </w:r>
          </w:p>
        </w:tc>
        <w:tc>
          <w:tcPr>
            <w:tcW w:w="223" w:type="pct"/>
            <w:shd w:val="clear" w:color="auto" w:fill="auto"/>
            <w:noWrap/>
            <w:vAlign w:val="center"/>
            <w:hideMark/>
          </w:tcPr>
          <w:p w14:paraId="1EE99AE3"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15,55</w:t>
            </w:r>
            <w:r>
              <w:rPr>
                <w:rFonts w:ascii="Arial" w:eastAsia="Times New Roman" w:hAnsi="Arial" w:cs="Arial"/>
                <w:color w:val="000000"/>
                <w:sz w:val="18"/>
                <w:szCs w:val="18"/>
                <w:lang w:eastAsia="sl-SI"/>
              </w:rPr>
              <w:t xml:space="preserve"> %</w:t>
            </w:r>
          </w:p>
        </w:tc>
      </w:tr>
      <w:tr w:rsidR="00E3750C" w:rsidRPr="00AD1B06" w14:paraId="7B5D9298" w14:textId="77777777" w:rsidTr="00047864">
        <w:trPr>
          <w:trHeight w:val="300"/>
        </w:trPr>
        <w:tc>
          <w:tcPr>
            <w:tcW w:w="2635" w:type="pct"/>
            <w:shd w:val="clear" w:color="auto" w:fill="auto"/>
            <w:vAlign w:val="center"/>
            <w:hideMark/>
          </w:tcPr>
          <w:p w14:paraId="10C2026F"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Storitve inštalacije (razen programske opreme)</w:t>
            </w:r>
          </w:p>
        </w:tc>
        <w:tc>
          <w:tcPr>
            <w:tcW w:w="275" w:type="pct"/>
            <w:shd w:val="clear" w:color="auto" w:fill="auto"/>
            <w:vAlign w:val="center"/>
            <w:hideMark/>
          </w:tcPr>
          <w:p w14:paraId="7DE42800"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51</w:t>
            </w:r>
          </w:p>
        </w:tc>
        <w:tc>
          <w:tcPr>
            <w:tcW w:w="442" w:type="pct"/>
            <w:shd w:val="clear" w:color="auto" w:fill="auto"/>
            <w:vAlign w:val="center"/>
            <w:hideMark/>
          </w:tcPr>
          <w:p w14:paraId="34DF8A60"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11</w:t>
            </w:r>
          </w:p>
        </w:tc>
        <w:tc>
          <w:tcPr>
            <w:tcW w:w="1201" w:type="pct"/>
            <w:shd w:val="clear" w:color="auto" w:fill="auto"/>
            <w:vAlign w:val="center"/>
            <w:hideMark/>
          </w:tcPr>
          <w:p w14:paraId="7ECC60CF"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1.162.042</w:t>
            </w:r>
          </w:p>
        </w:tc>
        <w:tc>
          <w:tcPr>
            <w:tcW w:w="223" w:type="pct"/>
            <w:shd w:val="clear" w:color="auto" w:fill="auto"/>
            <w:noWrap/>
            <w:vAlign w:val="center"/>
            <w:hideMark/>
          </w:tcPr>
          <w:p w14:paraId="01AAE089"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0,07</w:t>
            </w:r>
            <w:r>
              <w:rPr>
                <w:rFonts w:ascii="Arial" w:eastAsia="Times New Roman" w:hAnsi="Arial" w:cs="Arial"/>
                <w:color w:val="000000"/>
                <w:sz w:val="18"/>
                <w:szCs w:val="18"/>
                <w:lang w:eastAsia="sl-SI"/>
              </w:rPr>
              <w:t xml:space="preserve"> %</w:t>
            </w:r>
          </w:p>
        </w:tc>
        <w:tc>
          <w:tcPr>
            <w:tcW w:w="223" w:type="pct"/>
            <w:shd w:val="clear" w:color="auto" w:fill="auto"/>
            <w:noWrap/>
            <w:vAlign w:val="center"/>
            <w:hideMark/>
          </w:tcPr>
          <w:p w14:paraId="13749AA6"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r>
      <w:tr w:rsidR="00E3750C" w:rsidRPr="00AD1B06" w14:paraId="7E3FD014" w14:textId="77777777" w:rsidTr="00047864">
        <w:trPr>
          <w:trHeight w:val="300"/>
        </w:trPr>
        <w:tc>
          <w:tcPr>
            <w:tcW w:w="2635" w:type="pct"/>
            <w:shd w:val="clear" w:color="auto" w:fill="auto"/>
            <w:vAlign w:val="center"/>
            <w:hideMark/>
          </w:tcPr>
          <w:p w14:paraId="4FCDBC37"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Storitve hotelov, restavracij in trgovine na drobno</w:t>
            </w:r>
          </w:p>
        </w:tc>
        <w:tc>
          <w:tcPr>
            <w:tcW w:w="275" w:type="pct"/>
            <w:shd w:val="clear" w:color="auto" w:fill="auto"/>
            <w:vAlign w:val="center"/>
            <w:hideMark/>
          </w:tcPr>
          <w:p w14:paraId="22BA7282"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55</w:t>
            </w:r>
          </w:p>
        </w:tc>
        <w:tc>
          <w:tcPr>
            <w:tcW w:w="442" w:type="pct"/>
            <w:shd w:val="clear" w:color="auto" w:fill="auto"/>
            <w:vAlign w:val="center"/>
            <w:hideMark/>
          </w:tcPr>
          <w:p w14:paraId="65C7A79C"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11</w:t>
            </w:r>
          </w:p>
        </w:tc>
        <w:tc>
          <w:tcPr>
            <w:tcW w:w="1201" w:type="pct"/>
            <w:shd w:val="clear" w:color="auto" w:fill="auto"/>
            <w:vAlign w:val="center"/>
            <w:hideMark/>
          </w:tcPr>
          <w:p w14:paraId="37760954"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15.483.916</w:t>
            </w:r>
          </w:p>
        </w:tc>
        <w:tc>
          <w:tcPr>
            <w:tcW w:w="223" w:type="pct"/>
            <w:shd w:val="clear" w:color="auto" w:fill="auto"/>
            <w:noWrap/>
            <w:vAlign w:val="center"/>
            <w:hideMark/>
          </w:tcPr>
          <w:p w14:paraId="4650A672"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0,07</w:t>
            </w:r>
            <w:r>
              <w:rPr>
                <w:rFonts w:ascii="Arial" w:eastAsia="Times New Roman" w:hAnsi="Arial" w:cs="Arial"/>
                <w:color w:val="000000"/>
                <w:sz w:val="18"/>
                <w:szCs w:val="18"/>
                <w:lang w:eastAsia="sl-SI"/>
              </w:rPr>
              <w:t xml:space="preserve"> %</w:t>
            </w:r>
          </w:p>
        </w:tc>
        <w:tc>
          <w:tcPr>
            <w:tcW w:w="223" w:type="pct"/>
            <w:shd w:val="clear" w:color="auto" w:fill="auto"/>
            <w:noWrap/>
            <w:vAlign w:val="center"/>
            <w:hideMark/>
          </w:tcPr>
          <w:p w14:paraId="1F0E2F78"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0,34</w:t>
            </w:r>
            <w:r>
              <w:rPr>
                <w:rFonts w:ascii="Arial" w:eastAsia="Times New Roman" w:hAnsi="Arial" w:cs="Arial"/>
                <w:color w:val="000000"/>
                <w:sz w:val="18"/>
                <w:szCs w:val="18"/>
                <w:lang w:eastAsia="sl-SI"/>
              </w:rPr>
              <w:t xml:space="preserve"> %</w:t>
            </w:r>
          </w:p>
        </w:tc>
      </w:tr>
      <w:tr w:rsidR="00E3750C" w:rsidRPr="00AD1B06" w14:paraId="708911C7" w14:textId="77777777" w:rsidTr="00047864">
        <w:trPr>
          <w:trHeight w:val="300"/>
        </w:trPr>
        <w:tc>
          <w:tcPr>
            <w:tcW w:w="2635" w:type="pct"/>
            <w:shd w:val="clear" w:color="auto" w:fill="auto"/>
            <w:vAlign w:val="center"/>
            <w:hideMark/>
          </w:tcPr>
          <w:p w14:paraId="711E8606"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Prevozne storitve (razen prevoza odpadkov)</w:t>
            </w:r>
          </w:p>
        </w:tc>
        <w:tc>
          <w:tcPr>
            <w:tcW w:w="275" w:type="pct"/>
            <w:shd w:val="clear" w:color="auto" w:fill="auto"/>
            <w:vAlign w:val="center"/>
            <w:hideMark/>
          </w:tcPr>
          <w:p w14:paraId="3B0890A3"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60</w:t>
            </w:r>
          </w:p>
        </w:tc>
        <w:tc>
          <w:tcPr>
            <w:tcW w:w="442" w:type="pct"/>
            <w:shd w:val="clear" w:color="auto" w:fill="auto"/>
            <w:vAlign w:val="center"/>
            <w:hideMark/>
          </w:tcPr>
          <w:p w14:paraId="52A18BD0"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342</w:t>
            </w:r>
          </w:p>
        </w:tc>
        <w:tc>
          <w:tcPr>
            <w:tcW w:w="1201" w:type="pct"/>
            <w:shd w:val="clear" w:color="auto" w:fill="auto"/>
            <w:vAlign w:val="center"/>
            <w:hideMark/>
          </w:tcPr>
          <w:p w14:paraId="1A7D9929"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76.657.506</w:t>
            </w:r>
          </w:p>
        </w:tc>
        <w:tc>
          <w:tcPr>
            <w:tcW w:w="223" w:type="pct"/>
            <w:shd w:val="clear" w:color="auto" w:fill="auto"/>
            <w:noWrap/>
            <w:vAlign w:val="center"/>
            <w:hideMark/>
          </w:tcPr>
          <w:p w14:paraId="5F697144"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2,23</w:t>
            </w:r>
            <w:r>
              <w:rPr>
                <w:rFonts w:ascii="Arial" w:eastAsia="Times New Roman" w:hAnsi="Arial" w:cs="Arial"/>
                <w:color w:val="000000"/>
                <w:sz w:val="18"/>
                <w:szCs w:val="18"/>
                <w:lang w:eastAsia="sl-SI"/>
              </w:rPr>
              <w:t xml:space="preserve"> %</w:t>
            </w:r>
          </w:p>
        </w:tc>
        <w:tc>
          <w:tcPr>
            <w:tcW w:w="223" w:type="pct"/>
            <w:shd w:val="clear" w:color="auto" w:fill="auto"/>
            <w:noWrap/>
            <w:vAlign w:val="center"/>
            <w:hideMark/>
          </w:tcPr>
          <w:p w14:paraId="6B2B2075"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1,70</w:t>
            </w:r>
            <w:r>
              <w:rPr>
                <w:rFonts w:ascii="Arial" w:eastAsia="Times New Roman" w:hAnsi="Arial" w:cs="Arial"/>
                <w:color w:val="000000"/>
                <w:sz w:val="18"/>
                <w:szCs w:val="18"/>
                <w:lang w:eastAsia="sl-SI"/>
              </w:rPr>
              <w:t xml:space="preserve"> %</w:t>
            </w:r>
          </w:p>
        </w:tc>
      </w:tr>
      <w:tr w:rsidR="00E3750C" w:rsidRPr="00AD1B06" w14:paraId="4AFEAFD8" w14:textId="77777777" w:rsidTr="00047864">
        <w:trPr>
          <w:trHeight w:val="300"/>
        </w:trPr>
        <w:tc>
          <w:tcPr>
            <w:tcW w:w="2635" w:type="pct"/>
            <w:shd w:val="clear" w:color="auto" w:fill="auto"/>
            <w:vAlign w:val="center"/>
            <w:hideMark/>
          </w:tcPr>
          <w:p w14:paraId="557BE113"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Podporne in pomožne prevozne storitve; storitve potovalnih agencij</w:t>
            </w:r>
          </w:p>
        </w:tc>
        <w:tc>
          <w:tcPr>
            <w:tcW w:w="275" w:type="pct"/>
            <w:shd w:val="clear" w:color="auto" w:fill="auto"/>
            <w:vAlign w:val="center"/>
            <w:hideMark/>
          </w:tcPr>
          <w:p w14:paraId="0C767165"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63</w:t>
            </w:r>
          </w:p>
        </w:tc>
        <w:tc>
          <w:tcPr>
            <w:tcW w:w="442" w:type="pct"/>
            <w:shd w:val="clear" w:color="auto" w:fill="auto"/>
            <w:vAlign w:val="center"/>
            <w:hideMark/>
          </w:tcPr>
          <w:p w14:paraId="36E8DADA"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22</w:t>
            </w:r>
          </w:p>
        </w:tc>
        <w:tc>
          <w:tcPr>
            <w:tcW w:w="1201" w:type="pct"/>
            <w:shd w:val="clear" w:color="auto" w:fill="auto"/>
            <w:vAlign w:val="center"/>
            <w:hideMark/>
          </w:tcPr>
          <w:p w14:paraId="1E20A8A7"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5.846.513</w:t>
            </w:r>
          </w:p>
        </w:tc>
        <w:tc>
          <w:tcPr>
            <w:tcW w:w="223" w:type="pct"/>
            <w:shd w:val="clear" w:color="auto" w:fill="auto"/>
            <w:noWrap/>
            <w:vAlign w:val="center"/>
            <w:hideMark/>
          </w:tcPr>
          <w:p w14:paraId="65F2BEC5"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0,14</w:t>
            </w:r>
            <w:r>
              <w:rPr>
                <w:rFonts w:ascii="Arial" w:eastAsia="Times New Roman" w:hAnsi="Arial" w:cs="Arial"/>
                <w:color w:val="000000"/>
                <w:sz w:val="18"/>
                <w:szCs w:val="18"/>
                <w:lang w:eastAsia="sl-SI"/>
              </w:rPr>
              <w:t xml:space="preserve"> %</w:t>
            </w:r>
          </w:p>
        </w:tc>
        <w:tc>
          <w:tcPr>
            <w:tcW w:w="223" w:type="pct"/>
            <w:shd w:val="clear" w:color="auto" w:fill="auto"/>
            <w:noWrap/>
            <w:vAlign w:val="center"/>
            <w:hideMark/>
          </w:tcPr>
          <w:p w14:paraId="2C8D7CEF"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0,13</w:t>
            </w:r>
            <w:r>
              <w:rPr>
                <w:rFonts w:ascii="Arial" w:eastAsia="Times New Roman" w:hAnsi="Arial" w:cs="Arial"/>
                <w:color w:val="000000"/>
                <w:sz w:val="18"/>
                <w:szCs w:val="18"/>
                <w:lang w:eastAsia="sl-SI"/>
              </w:rPr>
              <w:t xml:space="preserve"> %</w:t>
            </w:r>
          </w:p>
        </w:tc>
      </w:tr>
      <w:tr w:rsidR="00E3750C" w:rsidRPr="00AD1B06" w14:paraId="7BA1277F" w14:textId="77777777" w:rsidTr="00047864">
        <w:trPr>
          <w:trHeight w:val="300"/>
        </w:trPr>
        <w:tc>
          <w:tcPr>
            <w:tcW w:w="2635" w:type="pct"/>
            <w:shd w:val="clear" w:color="auto" w:fill="auto"/>
            <w:vAlign w:val="center"/>
            <w:hideMark/>
          </w:tcPr>
          <w:p w14:paraId="27ACD533"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Poštne in telekomunikacijske storitve</w:t>
            </w:r>
          </w:p>
        </w:tc>
        <w:tc>
          <w:tcPr>
            <w:tcW w:w="275" w:type="pct"/>
            <w:shd w:val="clear" w:color="auto" w:fill="auto"/>
            <w:vAlign w:val="center"/>
            <w:hideMark/>
          </w:tcPr>
          <w:p w14:paraId="2C7BD64D"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64</w:t>
            </w:r>
          </w:p>
        </w:tc>
        <w:tc>
          <w:tcPr>
            <w:tcW w:w="442" w:type="pct"/>
            <w:shd w:val="clear" w:color="auto" w:fill="auto"/>
            <w:vAlign w:val="center"/>
            <w:hideMark/>
          </w:tcPr>
          <w:p w14:paraId="25D91A78"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34</w:t>
            </w:r>
          </w:p>
        </w:tc>
        <w:tc>
          <w:tcPr>
            <w:tcW w:w="1201" w:type="pct"/>
            <w:shd w:val="clear" w:color="auto" w:fill="auto"/>
            <w:vAlign w:val="center"/>
            <w:hideMark/>
          </w:tcPr>
          <w:p w14:paraId="14D946E9"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10.940.754</w:t>
            </w:r>
          </w:p>
        </w:tc>
        <w:tc>
          <w:tcPr>
            <w:tcW w:w="223" w:type="pct"/>
            <w:shd w:val="clear" w:color="auto" w:fill="auto"/>
            <w:noWrap/>
            <w:vAlign w:val="center"/>
            <w:hideMark/>
          </w:tcPr>
          <w:p w14:paraId="6E821FE6"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0,22</w:t>
            </w:r>
            <w:r>
              <w:rPr>
                <w:rFonts w:ascii="Arial" w:eastAsia="Times New Roman" w:hAnsi="Arial" w:cs="Arial"/>
                <w:color w:val="000000"/>
                <w:sz w:val="18"/>
                <w:szCs w:val="18"/>
                <w:lang w:eastAsia="sl-SI"/>
              </w:rPr>
              <w:t xml:space="preserve"> %</w:t>
            </w:r>
          </w:p>
        </w:tc>
        <w:tc>
          <w:tcPr>
            <w:tcW w:w="223" w:type="pct"/>
            <w:shd w:val="clear" w:color="auto" w:fill="auto"/>
            <w:noWrap/>
            <w:vAlign w:val="center"/>
            <w:hideMark/>
          </w:tcPr>
          <w:p w14:paraId="110EB0CB"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0,24</w:t>
            </w:r>
            <w:r>
              <w:rPr>
                <w:rFonts w:ascii="Arial" w:eastAsia="Times New Roman" w:hAnsi="Arial" w:cs="Arial"/>
                <w:color w:val="000000"/>
                <w:sz w:val="18"/>
                <w:szCs w:val="18"/>
                <w:lang w:eastAsia="sl-SI"/>
              </w:rPr>
              <w:t xml:space="preserve"> %</w:t>
            </w:r>
          </w:p>
        </w:tc>
      </w:tr>
      <w:tr w:rsidR="00E3750C" w:rsidRPr="00AD1B06" w14:paraId="632CF000" w14:textId="77777777" w:rsidTr="00047864">
        <w:trPr>
          <w:trHeight w:val="300"/>
        </w:trPr>
        <w:tc>
          <w:tcPr>
            <w:tcW w:w="2635" w:type="pct"/>
            <w:shd w:val="clear" w:color="auto" w:fill="auto"/>
            <w:vAlign w:val="center"/>
            <w:hideMark/>
          </w:tcPr>
          <w:p w14:paraId="7075257A"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Gospodarske javne službe</w:t>
            </w:r>
          </w:p>
        </w:tc>
        <w:tc>
          <w:tcPr>
            <w:tcW w:w="275" w:type="pct"/>
            <w:shd w:val="clear" w:color="auto" w:fill="auto"/>
            <w:vAlign w:val="center"/>
            <w:hideMark/>
          </w:tcPr>
          <w:p w14:paraId="592B9A5A"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65</w:t>
            </w:r>
          </w:p>
        </w:tc>
        <w:tc>
          <w:tcPr>
            <w:tcW w:w="442" w:type="pct"/>
            <w:shd w:val="clear" w:color="auto" w:fill="auto"/>
            <w:vAlign w:val="center"/>
            <w:hideMark/>
          </w:tcPr>
          <w:p w14:paraId="78CD5139"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4</w:t>
            </w:r>
          </w:p>
        </w:tc>
        <w:tc>
          <w:tcPr>
            <w:tcW w:w="1201" w:type="pct"/>
            <w:shd w:val="clear" w:color="auto" w:fill="auto"/>
            <w:vAlign w:val="center"/>
            <w:hideMark/>
          </w:tcPr>
          <w:p w14:paraId="77B1F270"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344.070</w:t>
            </w:r>
          </w:p>
        </w:tc>
        <w:tc>
          <w:tcPr>
            <w:tcW w:w="223" w:type="pct"/>
            <w:shd w:val="clear" w:color="auto" w:fill="auto"/>
            <w:noWrap/>
            <w:vAlign w:val="center"/>
            <w:hideMark/>
          </w:tcPr>
          <w:p w14:paraId="00AEA0E9"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c>
          <w:tcPr>
            <w:tcW w:w="223" w:type="pct"/>
            <w:shd w:val="clear" w:color="auto" w:fill="auto"/>
            <w:noWrap/>
            <w:vAlign w:val="center"/>
            <w:hideMark/>
          </w:tcPr>
          <w:p w14:paraId="465FC59D"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r>
      <w:tr w:rsidR="00E3750C" w:rsidRPr="00AD1B06" w14:paraId="66231955" w14:textId="77777777" w:rsidTr="00047864">
        <w:trPr>
          <w:trHeight w:val="300"/>
        </w:trPr>
        <w:tc>
          <w:tcPr>
            <w:tcW w:w="2635" w:type="pct"/>
            <w:shd w:val="clear" w:color="auto" w:fill="auto"/>
            <w:vAlign w:val="center"/>
            <w:hideMark/>
          </w:tcPr>
          <w:p w14:paraId="4E001EBE"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Finančne in zavarovalniške storitve</w:t>
            </w:r>
          </w:p>
        </w:tc>
        <w:tc>
          <w:tcPr>
            <w:tcW w:w="275" w:type="pct"/>
            <w:shd w:val="clear" w:color="auto" w:fill="auto"/>
            <w:vAlign w:val="center"/>
            <w:hideMark/>
          </w:tcPr>
          <w:p w14:paraId="75A84AB1"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66</w:t>
            </w:r>
          </w:p>
        </w:tc>
        <w:tc>
          <w:tcPr>
            <w:tcW w:w="442" w:type="pct"/>
            <w:shd w:val="clear" w:color="auto" w:fill="auto"/>
            <w:vAlign w:val="center"/>
            <w:hideMark/>
          </w:tcPr>
          <w:p w14:paraId="5446692D"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126</w:t>
            </w:r>
          </w:p>
        </w:tc>
        <w:tc>
          <w:tcPr>
            <w:tcW w:w="1201" w:type="pct"/>
            <w:shd w:val="clear" w:color="auto" w:fill="auto"/>
            <w:vAlign w:val="center"/>
            <w:hideMark/>
          </w:tcPr>
          <w:p w14:paraId="2C3DCD5F"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32.113.925</w:t>
            </w:r>
          </w:p>
        </w:tc>
        <w:tc>
          <w:tcPr>
            <w:tcW w:w="223" w:type="pct"/>
            <w:shd w:val="clear" w:color="auto" w:fill="auto"/>
            <w:noWrap/>
            <w:vAlign w:val="center"/>
            <w:hideMark/>
          </w:tcPr>
          <w:p w14:paraId="59FC902C"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0,82</w:t>
            </w:r>
            <w:r>
              <w:rPr>
                <w:rFonts w:ascii="Arial" w:eastAsia="Times New Roman" w:hAnsi="Arial" w:cs="Arial"/>
                <w:color w:val="000000"/>
                <w:sz w:val="18"/>
                <w:szCs w:val="18"/>
                <w:lang w:eastAsia="sl-SI"/>
              </w:rPr>
              <w:t xml:space="preserve"> %</w:t>
            </w:r>
          </w:p>
        </w:tc>
        <w:tc>
          <w:tcPr>
            <w:tcW w:w="223" w:type="pct"/>
            <w:shd w:val="clear" w:color="auto" w:fill="auto"/>
            <w:noWrap/>
            <w:vAlign w:val="center"/>
            <w:hideMark/>
          </w:tcPr>
          <w:p w14:paraId="4933DFF2"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0,71</w:t>
            </w:r>
            <w:r>
              <w:rPr>
                <w:rFonts w:ascii="Arial" w:eastAsia="Times New Roman" w:hAnsi="Arial" w:cs="Arial"/>
                <w:color w:val="000000"/>
                <w:sz w:val="18"/>
                <w:szCs w:val="18"/>
                <w:lang w:eastAsia="sl-SI"/>
              </w:rPr>
              <w:t xml:space="preserve"> %</w:t>
            </w:r>
          </w:p>
        </w:tc>
      </w:tr>
      <w:tr w:rsidR="00E3750C" w:rsidRPr="00AD1B06" w14:paraId="619F3B96" w14:textId="77777777" w:rsidTr="00047864">
        <w:trPr>
          <w:trHeight w:val="300"/>
        </w:trPr>
        <w:tc>
          <w:tcPr>
            <w:tcW w:w="2635" w:type="pct"/>
            <w:shd w:val="clear" w:color="auto" w:fill="auto"/>
            <w:vAlign w:val="center"/>
            <w:hideMark/>
          </w:tcPr>
          <w:p w14:paraId="6B8FCA96"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Storitve poslovanja z nepremičninami</w:t>
            </w:r>
          </w:p>
        </w:tc>
        <w:tc>
          <w:tcPr>
            <w:tcW w:w="275" w:type="pct"/>
            <w:shd w:val="clear" w:color="auto" w:fill="auto"/>
            <w:vAlign w:val="center"/>
            <w:hideMark/>
          </w:tcPr>
          <w:p w14:paraId="065BCE3D"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70</w:t>
            </w:r>
          </w:p>
        </w:tc>
        <w:tc>
          <w:tcPr>
            <w:tcW w:w="442" w:type="pct"/>
            <w:shd w:val="clear" w:color="auto" w:fill="auto"/>
            <w:vAlign w:val="center"/>
            <w:hideMark/>
          </w:tcPr>
          <w:p w14:paraId="0B03A373"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23</w:t>
            </w:r>
          </w:p>
        </w:tc>
        <w:tc>
          <w:tcPr>
            <w:tcW w:w="1201" w:type="pct"/>
            <w:shd w:val="clear" w:color="auto" w:fill="auto"/>
            <w:vAlign w:val="center"/>
            <w:hideMark/>
          </w:tcPr>
          <w:p w14:paraId="25A2297A"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5.982.108</w:t>
            </w:r>
          </w:p>
        </w:tc>
        <w:tc>
          <w:tcPr>
            <w:tcW w:w="223" w:type="pct"/>
            <w:shd w:val="clear" w:color="auto" w:fill="auto"/>
            <w:noWrap/>
            <w:vAlign w:val="center"/>
            <w:hideMark/>
          </w:tcPr>
          <w:p w14:paraId="591DF7B9"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0,15</w:t>
            </w:r>
            <w:r>
              <w:rPr>
                <w:rFonts w:ascii="Arial" w:eastAsia="Times New Roman" w:hAnsi="Arial" w:cs="Arial"/>
                <w:color w:val="000000"/>
                <w:sz w:val="18"/>
                <w:szCs w:val="18"/>
                <w:lang w:eastAsia="sl-SI"/>
              </w:rPr>
              <w:t xml:space="preserve"> %</w:t>
            </w:r>
          </w:p>
        </w:tc>
        <w:tc>
          <w:tcPr>
            <w:tcW w:w="223" w:type="pct"/>
            <w:shd w:val="clear" w:color="auto" w:fill="auto"/>
            <w:noWrap/>
            <w:vAlign w:val="center"/>
            <w:hideMark/>
          </w:tcPr>
          <w:p w14:paraId="6DB55C34"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0,13</w:t>
            </w:r>
            <w:r>
              <w:rPr>
                <w:rFonts w:ascii="Arial" w:eastAsia="Times New Roman" w:hAnsi="Arial" w:cs="Arial"/>
                <w:color w:val="000000"/>
                <w:sz w:val="18"/>
                <w:szCs w:val="18"/>
                <w:lang w:eastAsia="sl-SI"/>
              </w:rPr>
              <w:t xml:space="preserve"> %</w:t>
            </w:r>
          </w:p>
        </w:tc>
      </w:tr>
      <w:tr w:rsidR="00E3750C" w:rsidRPr="00AD1B06" w14:paraId="780DB21D" w14:textId="77777777" w:rsidTr="00047864">
        <w:trPr>
          <w:trHeight w:val="300"/>
        </w:trPr>
        <w:tc>
          <w:tcPr>
            <w:tcW w:w="2635" w:type="pct"/>
            <w:shd w:val="clear" w:color="auto" w:fill="auto"/>
            <w:vAlign w:val="center"/>
            <w:hideMark/>
          </w:tcPr>
          <w:p w14:paraId="34BDDDB5"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Arhitekturne, gradbeniške, inženirske in inšpekcijske storitve</w:t>
            </w:r>
          </w:p>
        </w:tc>
        <w:tc>
          <w:tcPr>
            <w:tcW w:w="275" w:type="pct"/>
            <w:shd w:val="clear" w:color="auto" w:fill="auto"/>
            <w:vAlign w:val="center"/>
            <w:hideMark/>
          </w:tcPr>
          <w:p w14:paraId="72EF3806"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71</w:t>
            </w:r>
          </w:p>
        </w:tc>
        <w:tc>
          <w:tcPr>
            <w:tcW w:w="442" w:type="pct"/>
            <w:shd w:val="clear" w:color="auto" w:fill="auto"/>
            <w:vAlign w:val="center"/>
            <w:hideMark/>
          </w:tcPr>
          <w:p w14:paraId="5E454520"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430</w:t>
            </w:r>
          </w:p>
        </w:tc>
        <w:tc>
          <w:tcPr>
            <w:tcW w:w="1201" w:type="pct"/>
            <w:shd w:val="clear" w:color="auto" w:fill="auto"/>
            <w:vAlign w:val="center"/>
            <w:hideMark/>
          </w:tcPr>
          <w:p w14:paraId="2279BBB6"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118.931.586</w:t>
            </w:r>
          </w:p>
        </w:tc>
        <w:tc>
          <w:tcPr>
            <w:tcW w:w="223" w:type="pct"/>
            <w:shd w:val="clear" w:color="auto" w:fill="auto"/>
            <w:noWrap/>
            <w:vAlign w:val="center"/>
            <w:hideMark/>
          </w:tcPr>
          <w:p w14:paraId="3322FBDA"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2,81</w:t>
            </w:r>
            <w:r>
              <w:rPr>
                <w:rFonts w:ascii="Arial" w:eastAsia="Times New Roman" w:hAnsi="Arial" w:cs="Arial"/>
                <w:color w:val="000000"/>
                <w:sz w:val="18"/>
                <w:szCs w:val="18"/>
                <w:lang w:eastAsia="sl-SI"/>
              </w:rPr>
              <w:t xml:space="preserve"> %</w:t>
            </w:r>
          </w:p>
        </w:tc>
        <w:tc>
          <w:tcPr>
            <w:tcW w:w="223" w:type="pct"/>
            <w:shd w:val="clear" w:color="auto" w:fill="auto"/>
            <w:noWrap/>
            <w:vAlign w:val="center"/>
            <w:hideMark/>
          </w:tcPr>
          <w:p w14:paraId="60249FA7"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2,64</w:t>
            </w:r>
            <w:r>
              <w:rPr>
                <w:rFonts w:ascii="Arial" w:eastAsia="Times New Roman" w:hAnsi="Arial" w:cs="Arial"/>
                <w:color w:val="000000"/>
                <w:sz w:val="18"/>
                <w:szCs w:val="18"/>
                <w:lang w:eastAsia="sl-SI"/>
              </w:rPr>
              <w:t xml:space="preserve"> %</w:t>
            </w:r>
          </w:p>
        </w:tc>
      </w:tr>
      <w:tr w:rsidR="00E3750C" w:rsidRPr="00AD1B06" w14:paraId="70E06FB8" w14:textId="77777777" w:rsidTr="00047864">
        <w:trPr>
          <w:trHeight w:val="300"/>
        </w:trPr>
        <w:tc>
          <w:tcPr>
            <w:tcW w:w="2635" w:type="pct"/>
            <w:shd w:val="clear" w:color="auto" w:fill="auto"/>
            <w:vAlign w:val="center"/>
            <w:hideMark/>
          </w:tcPr>
          <w:p w14:paraId="40770AAE"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Storitve informacijske tehnologije: svetovanje, razvoj programske opreme, internet in podpora</w:t>
            </w:r>
          </w:p>
        </w:tc>
        <w:tc>
          <w:tcPr>
            <w:tcW w:w="275" w:type="pct"/>
            <w:shd w:val="clear" w:color="auto" w:fill="auto"/>
            <w:vAlign w:val="center"/>
            <w:hideMark/>
          </w:tcPr>
          <w:p w14:paraId="31E190B3"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72</w:t>
            </w:r>
          </w:p>
        </w:tc>
        <w:tc>
          <w:tcPr>
            <w:tcW w:w="442" w:type="pct"/>
            <w:shd w:val="clear" w:color="auto" w:fill="auto"/>
            <w:vAlign w:val="center"/>
            <w:hideMark/>
          </w:tcPr>
          <w:p w14:paraId="3578F48D"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408</w:t>
            </w:r>
          </w:p>
        </w:tc>
        <w:tc>
          <w:tcPr>
            <w:tcW w:w="1201" w:type="pct"/>
            <w:shd w:val="clear" w:color="auto" w:fill="auto"/>
            <w:vAlign w:val="center"/>
            <w:hideMark/>
          </w:tcPr>
          <w:p w14:paraId="7C4A90AC"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124.545.231</w:t>
            </w:r>
          </w:p>
        </w:tc>
        <w:tc>
          <w:tcPr>
            <w:tcW w:w="223" w:type="pct"/>
            <w:shd w:val="clear" w:color="auto" w:fill="auto"/>
            <w:noWrap/>
            <w:vAlign w:val="center"/>
            <w:hideMark/>
          </w:tcPr>
          <w:p w14:paraId="539D1350"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2,66</w:t>
            </w:r>
            <w:r>
              <w:rPr>
                <w:rFonts w:ascii="Arial" w:eastAsia="Times New Roman" w:hAnsi="Arial" w:cs="Arial"/>
                <w:color w:val="000000"/>
                <w:sz w:val="18"/>
                <w:szCs w:val="18"/>
                <w:lang w:eastAsia="sl-SI"/>
              </w:rPr>
              <w:t xml:space="preserve"> %</w:t>
            </w:r>
          </w:p>
        </w:tc>
        <w:tc>
          <w:tcPr>
            <w:tcW w:w="223" w:type="pct"/>
            <w:shd w:val="clear" w:color="auto" w:fill="auto"/>
            <w:noWrap/>
            <w:vAlign w:val="center"/>
            <w:hideMark/>
          </w:tcPr>
          <w:p w14:paraId="4BFAD594"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2,76</w:t>
            </w:r>
            <w:r>
              <w:rPr>
                <w:rFonts w:ascii="Arial" w:eastAsia="Times New Roman" w:hAnsi="Arial" w:cs="Arial"/>
                <w:color w:val="000000"/>
                <w:sz w:val="18"/>
                <w:szCs w:val="18"/>
                <w:lang w:eastAsia="sl-SI"/>
              </w:rPr>
              <w:t xml:space="preserve"> %</w:t>
            </w:r>
          </w:p>
        </w:tc>
      </w:tr>
      <w:tr w:rsidR="00E3750C" w:rsidRPr="00AD1B06" w14:paraId="26F8DD3E" w14:textId="77777777" w:rsidTr="00047864">
        <w:trPr>
          <w:trHeight w:val="300"/>
        </w:trPr>
        <w:tc>
          <w:tcPr>
            <w:tcW w:w="2635" w:type="pct"/>
            <w:shd w:val="clear" w:color="auto" w:fill="auto"/>
            <w:vAlign w:val="center"/>
            <w:hideMark/>
          </w:tcPr>
          <w:p w14:paraId="6D2AE7B1"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Storitve na področju raziskav in razvoja ter s tem povezane svetovalne storitve</w:t>
            </w:r>
          </w:p>
        </w:tc>
        <w:tc>
          <w:tcPr>
            <w:tcW w:w="275" w:type="pct"/>
            <w:shd w:val="clear" w:color="auto" w:fill="auto"/>
            <w:vAlign w:val="center"/>
            <w:hideMark/>
          </w:tcPr>
          <w:p w14:paraId="22076943"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73</w:t>
            </w:r>
          </w:p>
        </w:tc>
        <w:tc>
          <w:tcPr>
            <w:tcW w:w="442" w:type="pct"/>
            <w:shd w:val="clear" w:color="auto" w:fill="auto"/>
            <w:vAlign w:val="center"/>
            <w:hideMark/>
          </w:tcPr>
          <w:p w14:paraId="115E01D7"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18</w:t>
            </w:r>
          </w:p>
        </w:tc>
        <w:tc>
          <w:tcPr>
            <w:tcW w:w="1201" w:type="pct"/>
            <w:shd w:val="clear" w:color="auto" w:fill="auto"/>
            <w:vAlign w:val="center"/>
            <w:hideMark/>
          </w:tcPr>
          <w:p w14:paraId="5E79480E"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1.324.037</w:t>
            </w:r>
          </w:p>
        </w:tc>
        <w:tc>
          <w:tcPr>
            <w:tcW w:w="223" w:type="pct"/>
            <w:shd w:val="clear" w:color="auto" w:fill="auto"/>
            <w:noWrap/>
            <w:vAlign w:val="center"/>
            <w:hideMark/>
          </w:tcPr>
          <w:p w14:paraId="6DCE2EB4"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0,12</w:t>
            </w:r>
            <w:r>
              <w:rPr>
                <w:rFonts w:ascii="Arial" w:eastAsia="Times New Roman" w:hAnsi="Arial" w:cs="Arial"/>
                <w:color w:val="000000"/>
                <w:sz w:val="18"/>
                <w:szCs w:val="18"/>
                <w:lang w:eastAsia="sl-SI"/>
              </w:rPr>
              <w:t xml:space="preserve"> %</w:t>
            </w:r>
          </w:p>
        </w:tc>
        <w:tc>
          <w:tcPr>
            <w:tcW w:w="223" w:type="pct"/>
            <w:shd w:val="clear" w:color="auto" w:fill="auto"/>
            <w:noWrap/>
            <w:vAlign w:val="center"/>
            <w:hideMark/>
          </w:tcPr>
          <w:p w14:paraId="19E2A5A1"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r>
      <w:tr w:rsidR="00E3750C" w:rsidRPr="00AD1B06" w14:paraId="5B7769C0" w14:textId="77777777" w:rsidTr="00047864">
        <w:trPr>
          <w:trHeight w:val="300"/>
        </w:trPr>
        <w:tc>
          <w:tcPr>
            <w:tcW w:w="2635" w:type="pct"/>
            <w:shd w:val="clear" w:color="auto" w:fill="auto"/>
            <w:vAlign w:val="center"/>
            <w:hideMark/>
          </w:tcPr>
          <w:p w14:paraId="344C5F80"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Storitve uprave, obrambe in socialnega zavarovanja</w:t>
            </w:r>
          </w:p>
        </w:tc>
        <w:tc>
          <w:tcPr>
            <w:tcW w:w="275" w:type="pct"/>
            <w:shd w:val="clear" w:color="auto" w:fill="auto"/>
            <w:vAlign w:val="center"/>
            <w:hideMark/>
          </w:tcPr>
          <w:p w14:paraId="70F89261"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75</w:t>
            </w:r>
          </w:p>
        </w:tc>
        <w:tc>
          <w:tcPr>
            <w:tcW w:w="442" w:type="pct"/>
            <w:shd w:val="clear" w:color="auto" w:fill="auto"/>
            <w:vAlign w:val="center"/>
            <w:hideMark/>
          </w:tcPr>
          <w:p w14:paraId="0B148E20"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3</w:t>
            </w:r>
          </w:p>
        </w:tc>
        <w:tc>
          <w:tcPr>
            <w:tcW w:w="1201" w:type="pct"/>
            <w:shd w:val="clear" w:color="auto" w:fill="auto"/>
            <w:vAlign w:val="center"/>
            <w:hideMark/>
          </w:tcPr>
          <w:p w14:paraId="2E9D10E8"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416.390</w:t>
            </w:r>
          </w:p>
        </w:tc>
        <w:tc>
          <w:tcPr>
            <w:tcW w:w="223" w:type="pct"/>
            <w:shd w:val="clear" w:color="auto" w:fill="auto"/>
            <w:noWrap/>
            <w:vAlign w:val="center"/>
            <w:hideMark/>
          </w:tcPr>
          <w:p w14:paraId="5A9E5F5C"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223" w:type="pct"/>
            <w:shd w:val="clear" w:color="auto" w:fill="auto"/>
            <w:noWrap/>
            <w:vAlign w:val="center"/>
            <w:hideMark/>
          </w:tcPr>
          <w:p w14:paraId="08BD266A"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r>
      <w:tr w:rsidR="00E3750C" w:rsidRPr="00AD1B06" w14:paraId="23997870" w14:textId="77777777" w:rsidTr="00047864">
        <w:trPr>
          <w:trHeight w:val="300"/>
        </w:trPr>
        <w:tc>
          <w:tcPr>
            <w:tcW w:w="2635" w:type="pct"/>
            <w:shd w:val="clear" w:color="auto" w:fill="auto"/>
            <w:vAlign w:val="center"/>
            <w:hideMark/>
          </w:tcPr>
          <w:p w14:paraId="0F20E244"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Storitve, povezane z industrijo nafte in zemeljskega plina</w:t>
            </w:r>
          </w:p>
        </w:tc>
        <w:tc>
          <w:tcPr>
            <w:tcW w:w="275" w:type="pct"/>
            <w:shd w:val="clear" w:color="auto" w:fill="auto"/>
            <w:vAlign w:val="center"/>
            <w:hideMark/>
          </w:tcPr>
          <w:p w14:paraId="7B94F350"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76</w:t>
            </w:r>
          </w:p>
        </w:tc>
        <w:tc>
          <w:tcPr>
            <w:tcW w:w="442" w:type="pct"/>
            <w:shd w:val="clear" w:color="auto" w:fill="auto"/>
            <w:vAlign w:val="center"/>
            <w:hideMark/>
          </w:tcPr>
          <w:p w14:paraId="1C472F23"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1</w:t>
            </w:r>
          </w:p>
        </w:tc>
        <w:tc>
          <w:tcPr>
            <w:tcW w:w="1201" w:type="pct"/>
            <w:shd w:val="clear" w:color="auto" w:fill="auto"/>
            <w:vAlign w:val="center"/>
            <w:hideMark/>
          </w:tcPr>
          <w:p w14:paraId="71E81AEB"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439.292</w:t>
            </w:r>
          </w:p>
        </w:tc>
        <w:tc>
          <w:tcPr>
            <w:tcW w:w="223" w:type="pct"/>
            <w:shd w:val="clear" w:color="auto" w:fill="auto"/>
            <w:noWrap/>
            <w:vAlign w:val="center"/>
            <w:hideMark/>
          </w:tcPr>
          <w:p w14:paraId="705D94F7"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223" w:type="pct"/>
            <w:shd w:val="clear" w:color="auto" w:fill="auto"/>
            <w:noWrap/>
            <w:vAlign w:val="center"/>
            <w:hideMark/>
          </w:tcPr>
          <w:p w14:paraId="5128C1A3"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r>
      <w:tr w:rsidR="00E3750C" w:rsidRPr="00AD1B06" w14:paraId="0F53D9AF" w14:textId="77777777" w:rsidTr="00047864">
        <w:trPr>
          <w:trHeight w:val="300"/>
        </w:trPr>
        <w:tc>
          <w:tcPr>
            <w:tcW w:w="2635" w:type="pct"/>
            <w:shd w:val="clear" w:color="auto" w:fill="auto"/>
            <w:vAlign w:val="center"/>
            <w:hideMark/>
          </w:tcPr>
          <w:p w14:paraId="51AE1B95"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Storitve na področju kmetijstva, gozdarstva, hortikulture, akvakulture in čebelarstva</w:t>
            </w:r>
          </w:p>
        </w:tc>
        <w:tc>
          <w:tcPr>
            <w:tcW w:w="275" w:type="pct"/>
            <w:shd w:val="clear" w:color="auto" w:fill="auto"/>
            <w:vAlign w:val="center"/>
            <w:hideMark/>
          </w:tcPr>
          <w:p w14:paraId="1F64F421"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77</w:t>
            </w:r>
          </w:p>
        </w:tc>
        <w:tc>
          <w:tcPr>
            <w:tcW w:w="442" w:type="pct"/>
            <w:shd w:val="clear" w:color="auto" w:fill="auto"/>
            <w:vAlign w:val="center"/>
            <w:hideMark/>
          </w:tcPr>
          <w:p w14:paraId="7EF65706"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308</w:t>
            </w:r>
          </w:p>
        </w:tc>
        <w:tc>
          <w:tcPr>
            <w:tcW w:w="1201" w:type="pct"/>
            <w:shd w:val="clear" w:color="auto" w:fill="auto"/>
            <w:vAlign w:val="center"/>
            <w:hideMark/>
          </w:tcPr>
          <w:p w14:paraId="4B75747E"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42.278.350</w:t>
            </w:r>
          </w:p>
        </w:tc>
        <w:tc>
          <w:tcPr>
            <w:tcW w:w="223" w:type="pct"/>
            <w:shd w:val="clear" w:color="auto" w:fill="auto"/>
            <w:noWrap/>
            <w:vAlign w:val="center"/>
            <w:hideMark/>
          </w:tcPr>
          <w:p w14:paraId="7402F497"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2,01</w:t>
            </w:r>
            <w:r>
              <w:rPr>
                <w:rFonts w:ascii="Arial" w:eastAsia="Times New Roman" w:hAnsi="Arial" w:cs="Arial"/>
                <w:color w:val="000000"/>
                <w:sz w:val="18"/>
                <w:szCs w:val="18"/>
                <w:lang w:eastAsia="sl-SI"/>
              </w:rPr>
              <w:t xml:space="preserve"> %</w:t>
            </w:r>
          </w:p>
        </w:tc>
        <w:tc>
          <w:tcPr>
            <w:tcW w:w="223" w:type="pct"/>
            <w:shd w:val="clear" w:color="auto" w:fill="auto"/>
            <w:noWrap/>
            <w:vAlign w:val="center"/>
            <w:hideMark/>
          </w:tcPr>
          <w:p w14:paraId="306E377F"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0,94</w:t>
            </w:r>
            <w:r>
              <w:rPr>
                <w:rFonts w:ascii="Arial" w:eastAsia="Times New Roman" w:hAnsi="Arial" w:cs="Arial"/>
                <w:color w:val="000000"/>
                <w:sz w:val="18"/>
                <w:szCs w:val="18"/>
                <w:lang w:eastAsia="sl-SI"/>
              </w:rPr>
              <w:t xml:space="preserve"> %</w:t>
            </w:r>
          </w:p>
        </w:tc>
      </w:tr>
      <w:tr w:rsidR="00E3750C" w:rsidRPr="00AD1B06" w14:paraId="0B972531" w14:textId="77777777" w:rsidTr="00047864">
        <w:trPr>
          <w:trHeight w:val="300"/>
        </w:trPr>
        <w:tc>
          <w:tcPr>
            <w:tcW w:w="2635" w:type="pct"/>
            <w:shd w:val="clear" w:color="auto" w:fill="auto"/>
            <w:vAlign w:val="center"/>
            <w:hideMark/>
          </w:tcPr>
          <w:p w14:paraId="1ED2BA2F"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Poslovne storitve: pravo, trženje, svetovanje, zaposlovanje, tiskanje in varnost</w:t>
            </w:r>
          </w:p>
        </w:tc>
        <w:tc>
          <w:tcPr>
            <w:tcW w:w="275" w:type="pct"/>
            <w:shd w:val="clear" w:color="auto" w:fill="auto"/>
            <w:vAlign w:val="center"/>
            <w:hideMark/>
          </w:tcPr>
          <w:p w14:paraId="153D6BFA"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79</w:t>
            </w:r>
          </w:p>
        </w:tc>
        <w:tc>
          <w:tcPr>
            <w:tcW w:w="442" w:type="pct"/>
            <w:shd w:val="clear" w:color="auto" w:fill="auto"/>
            <w:vAlign w:val="center"/>
            <w:hideMark/>
          </w:tcPr>
          <w:p w14:paraId="7064138F"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311</w:t>
            </w:r>
          </w:p>
        </w:tc>
        <w:tc>
          <w:tcPr>
            <w:tcW w:w="1201" w:type="pct"/>
            <w:shd w:val="clear" w:color="auto" w:fill="auto"/>
            <w:vAlign w:val="center"/>
            <w:hideMark/>
          </w:tcPr>
          <w:p w14:paraId="4A4F4890"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58.383.605</w:t>
            </w:r>
          </w:p>
        </w:tc>
        <w:tc>
          <w:tcPr>
            <w:tcW w:w="223" w:type="pct"/>
            <w:shd w:val="clear" w:color="auto" w:fill="auto"/>
            <w:noWrap/>
            <w:vAlign w:val="center"/>
            <w:hideMark/>
          </w:tcPr>
          <w:p w14:paraId="5E9FA0A4"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2,03</w:t>
            </w:r>
            <w:r>
              <w:rPr>
                <w:rFonts w:ascii="Arial" w:eastAsia="Times New Roman" w:hAnsi="Arial" w:cs="Arial"/>
                <w:color w:val="000000"/>
                <w:sz w:val="18"/>
                <w:szCs w:val="18"/>
                <w:lang w:eastAsia="sl-SI"/>
              </w:rPr>
              <w:t xml:space="preserve"> %</w:t>
            </w:r>
          </w:p>
        </w:tc>
        <w:tc>
          <w:tcPr>
            <w:tcW w:w="223" w:type="pct"/>
            <w:shd w:val="clear" w:color="auto" w:fill="auto"/>
            <w:noWrap/>
            <w:vAlign w:val="center"/>
            <w:hideMark/>
          </w:tcPr>
          <w:p w14:paraId="2CE295BC"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1,29</w:t>
            </w:r>
            <w:r>
              <w:rPr>
                <w:rFonts w:ascii="Arial" w:eastAsia="Times New Roman" w:hAnsi="Arial" w:cs="Arial"/>
                <w:color w:val="000000"/>
                <w:sz w:val="18"/>
                <w:szCs w:val="18"/>
                <w:lang w:eastAsia="sl-SI"/>
              </w:rPr>
              <w:t xml:space="preserve"> %</w:t>
            </w:r>
          </w:p>
        </w:tc>
      </w:tr>
      <w:tr w:rsidR="00E3750C" w:rsidRPr="00AD1B06" w14:paraId="7F52A046" w14:textId="77777777" w:rsidTr="00047864">
        <w:trPr>
          <w:trHeight w:val="300"/>
        </w:trPr>
        <w:tc>
          <w:tcPr>
            <w:tcW w:w="2635" w:type="pct"/>
            <w:shd w:val="clear" w:color="auto" w:fill="auto"/>
            <w:vAlign w:val="center"/>
            <w:hideMark/>
          </w:tcPr>
          <w:p w14:paraId="407A7EC0"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Storitve izobraževanja in usposabljanja</w:t>
            </w:r>
          </w:p>
        </w:tc>
        <w:tc>
          <w:tcPr>
            <w:tcW w:w="275" w:type="pct"/>
            <w:shd w:val="clear" w:color="auto" w:fill="auto"/>
            <w:vAlign w:val="center"/>
            <w:hideMark/>
          </w:tcPr>
          <w:p w14:paraId="365D5D33"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80</w:t>
            </w:r>
          </w:p>
        </w:tc>
        <w:tc>
          <w:tcPr>
            <w:tcW w:w="442" w:type="pct"/>
            <w:shd w:val="clear" w:color="auto" w:fill="auto"/>
            <w:vAlign w:val="center"/>
            <w:hideMark/>
          </w:tcPr>
          <w:p w14:paraId="36CD3203"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9</w:t>
            </w:r>
          </w:p>
        </w:tc>
        <w:tc>
          <w:tcPr>
            <w:tcW w:w="1201" w:type="pct"/>
            <w:shd w:val="clear" w:color="auto" w:fill="auto"/>
            <w:vAlign w:val="center"/>
            <w:hideMark/>
          </w:tcPr>
          <w:p w14:paraId="790477AD"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464.330</w:t>
            </w:r>
          </w:p>
        </w:tc>
        <w:tc>
          <w:tcPr>
            <w:tcW w:w="223" w:type="pct"/>
            <w:shd w:val="clear" w:color="auto" w:fill="auto"/>
            <w:noWrap/>
            <w:vAlign w:val="center"/>
            <w:hideMark/>
          </w:tcPr>
          <w:p w14:paraId="3B7018D7"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0,06</w:t>
            </w:r>
            <w:r>
              <w:rPr>
                <w:rFonts w:ascii="Arial" w:eastAsia="Times New Roman" w:hAnsi="Arial" w:cs="Arial"/>
                <w:color w:val="000000"/>
                <w:sz w:val="18"/>
                <w:szCs w:val="18"/>
                <w:lang w:eastAsia="sl-SI"/>
              </w:rPr>
              <w:t xml:space="preserve"> %</w:t>
            </w:r>
          </w:p>
        </w:tc>
        <w:tc>
          <w:tcPr>
            <w:tcW w:w="223" w:type="pct"/>
            <w:shd w:val="clear" w:color="auto" w:fill="auto"/>
            <w:noWrap/>
            <w:vAlign w:val="center"/>
            <w:hideMark/>
          </w:tcPr>
          <w:p w14:paraId="5675C6A6"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r>
      <w:tr w:rsidR="00E3750C" w:rsidRPr="00AD1B06" w14:paraId="4C13B97F" w14:textId="77777777" w:rsidTr="00047864">
        <w:trPr>
          <w:trHeight w:val="300"/>
        </w:trPr>
        <w:tc>
          <w:tcPr>
            <w:tcW w:w="2635" w:type="pct"/>
            <w:shd w:val="clear" w:color="auto" w:fill="auto"/>
            <w:vAlign w:val="center"/>
            <w:hideMark/>
          </w:tcPr>
          <w:p w14:paraId="1FDB92B2"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Storitve na področju zdravstva in socialnega varstva</w:t>
            </w:r>
          </w:p>
        </w:tc>
        <w:tc>
          <w:tcPr>
            <w:tcW w:w="275" w:type="pct"/>
            <w:shd w:val="clear" w:color="auto" w:fill="auto"/>
            <w:vAlign w:val="center"/>
            <w:hideMark/>
          </w:tcPr>
          <w:p w14:paraId="4597747B"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85</w:t>
            </w:r>
          </w:p>
        </w:tc>
        <w:tc>
          <w:tcPr>
            <w:tcW w:w="442" w:type="pct"/>
            <w:shd w:val="clear" w:color="auto" w:fill="auto"/>
            <w:vAlign w:val="center"/>
            <w:hideMark/>
          </w:tcPr>
          <w:p w14:paraId="5E5C66E7"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74</w:t>
            </w:r>
          </w:p>
        </w:tc>
        <w:tc>
          <w:tcPr>
            <w:tcW w:w="1201" w:type="pct"/>
            <w:shd w:val="clear" w:color="auto" w:fill="auto"/>
            <w:vAlign w:val="center"/>
            <w:hideMark/>
          </w:tcPr>
          <w:p w14:paraId="19E48C0E"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22.631.295</w:t>
            </w:r>
          </w:p>
        </w:tc>
        <w:tc>
          <w:tcPr>
            <w:tcW w:w="223" w:type="pct"/>
            <w:shd w:val="clear" w:color="auto" w:fill="auto"/>
            <w:noWrap/>
            <w:vAlign w:val="center"/>
            <w:hideMark/>
          </w:tcPr>
          <w:p w14:paraId="6FDDAA48"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0,48</w:t>
            </w:r>
            <w:r>
              <w:rPr>
                <w:rFonts w:ascii="Arial" w:eastAsia="Times New Roman" w:hAnsi="Arial" w:cs="Arial"/>
                <w:color w:val="000000"/>
                <w:sz w:val="18"/>
                <w:szCs w:val="18"/>
                <w:lang w:eastAsia="sl-SI"/>
              </w:rPr>
              <w:t xml:space="preserve"> %</w:t>
            </w:r>
          </w:p>
        </w:tc>
        <w:tc>
          <w:tcPr>
            <w:tcW w:w="223" w:type="pct"/>
            <w:shd w:val="clear" w:color="auto" w:fill="auto"/>
            <w:noWrap/>
            <w:vAlign w:val="center"/>
            <w:hideMark/>
          </w:tcPr>
          <w:p w14:paraId="25DA8B03"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0,50</w:t>
            </w:r>
            <w:r>
              <w:rPr>
                <w:rFonts w:ascii="Arial" w:eastAsia="Times New Roman" w:hAnsi="Arial" w:cs="Arial"/>
                <w:color w:val="000000"/>
                <w:sz w:val="18"/>
                <w:szCs w:val="18"/>
                <w:lang w:eastAsia="sl-SI"/>
              </w:rPr>
              <w:t xml:space="preserve"> %</w:t>
            </w:r>
          </w:p>
        </w:tc>
      </w:tr>
      <w:tr w:rsidR="00E3750C" w:rsidRPr="00AD1B06" w14:paraId="276E2ED9" w14:textId="77777777" w:rsidTr="00047864">
        <w:trPr>
          <w:trHeight w:val="300"/>
        </w:trPr>
        <w:tc>
          <w:tcPr>
            <w:tcW w:w="2635" w:type="pct"/>
            <w:shd w:val="clear" w:color="auto" w:fill="auto"/>
            <w:vAlign w:val="center"/>
            <w:hideMark/>
          </w:tcPr>
          <w:p w14:paraId="2BC01AF3"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Storitve v zvezi z odplakami, odpadki, čiščenjem in okoljem</w:t>
            </w:r>
          </w:p>
        </w:tc>
        <w:tc>
          <w:tcPr>
            <w:tcW w:w="275" w:type="pct"/>
            <w:shd w:val="clear" w:color="auto" w:fill="auto"/>
            <w:vAlign w:val="center"/>
            <w:hideMark/>
          </w:tcPr>
          <w:p w14:paraId="03D69FA4"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90</w:t>
            </w:r>
          </w:p>
        </w:tc>
        <w:tc>
          <w:tcPr>
            <w:tcW w:w="442" w:type="pct"/>
            <w:shd w:val="clear" w:color="auto" w:fill="auto"/>
            <w:vAlign w:val="center"/>
            <w:hideMark/>
          </w:tcPr>
          <w:p w14:paraId="5BB7155E"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534</w:t>
            </w:r>
          </w:p>
        </w:tc>
        <w:tc>
          <w:tcPr>
            <w:tcW w:w="1201" w:type="pct"/>
            <w:shd w:val="clear" w:color="auto" w:fill="auto"/>
            <w:vAlign w:val="center"/>
            <w:hideMark/>
          </w:tcPr>
          <w:p w14:paraId="19BB993B"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113.782.238</w:t>
            </w:r>
          </w:p>
        </w:tc>
        <w:tc>
          <w:tcPr>
            <w:tcW w:w="223" w:type="pct"/>
            <w:shd w:val="clear" w:color="auto" w:fill="auto"/>
            <w:noWrap/>
            <w:vAlign w:val="center"/>
            <w:hideMark/>
          </w:tcPr>
          <w:p w14:paraId="4CF23D5B"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3,49</w:t>
            </w:r>
            <w:r>
              <w:rPr>
                <w:rFonts w:ascii="Arial" w:eastAsia="Times New Roman" w:hAnsi="Arial" w:cs="Arial"/>
                <w:color w:val="000000"/>
                <w:sz w:val="18"/>
                <w:szCs w:val="18"/>
                <w:lang w:eastAsia="sl-SI"/>
              </w:rPr>
              <w:t xml:space="preserve"> %</w:t>
            </w:r>
          </w:p>
        </w:tc>
        <w:tc>
          <w:tcPr>
            <w:tcW w:w="223" w:type="pct"/>
            <w:shd w:val="clear" w:color="auto" w:fill="auto"/>
            <w:noWrap/>
            <w:vAlign w:val="center"/>
            <w:hideMark/>
          </w:tcPr>
          <w:p w14:paraId="0428AC7F"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2,52</w:t>
            </w:r>
            <w:r>
              <w:rPr>
                <w:rFonts w:ascii="Arial" w:eastAsia="Times New Roman" w:hAnsi="Arial" w:cs="Arial"/>
                <w:color w:val="000000"/>
                <w:sz w:val="18"/>
                <w:szCs w:val="18"/>
                <w:lang w:eastAsia="sl-SI"/>
              </w:rPr>
              <w:t xml:space="preserve"> %</w:t>
            </w:r>
          </w:p>
        </w:tc>
      </w:tr>
      <w:tr w:rsidR="00E3750C" w:rsidRPr="00AD1B06" w14:paraId="3E7A2848" w14:textId="77777777" w:rsidTr="00047864">
        <w:trPr>
          <w:trHeight w:val="300"/>
        </w:trPr>
        <w:tc>
          <w:tcPr>
            <w:tcW w:w="2635" w:type="pct"/>
            <w:shd w:val="clear" w:color="auto" w:fill="auto"/>
            <w:vAlign w:val="center"/>
            <w:hideMark/>
          </w:tcPr>
          <w:p w14:paraId="490802D7"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Storitve na področju rekreacije, kulture in športa</w:t>
            </w:r>
          </w:p>
        </w:tc>
        <w:tc>
          <w:tcPr>
            <w:tcW w:w="275" w:type="pct"/>
            <w:shd w:val="clear" w:color="auto" w:fill="auto"/>
            <w:vAlign w:val="center"/>
            <w:hideMark/>
          </w:tcPr>
          <w:p w14:paraId="5361BAEF"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92</w:t>
            </w:r>
          </w:p>
        </w:tc>
        <w:tc>
          <w:tcPr>
            <w:tcW w:w="442" w:type="pct"/>
            <w:shd w:val="clear" w:color="auto" w:fill="auto"/>
            <w:vAlign w:val="center"/>
            <w:hideMark/>
          </w:tcPr>
          <w:p w14:paraId="674D51F1"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36</w:t>
            </w:r>
          </w:p>
        </w:tc>
        <w:tc>
          <w:tcPr>
            <w:tcW w:w="1201" w:type="pct"/>
            <w:shd w:val="clear" w:color="auto" w:fill="auto"/>
            <w:vAlign w:val="center"/>
            <w:hideMark/>
          </w:tcPr>
          <w:p w14:paraId="1C4D72B4"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2.596.223</w:t>
            </w:r>
          </w:p>
        </w:tc>
        <w:tc>
          <w:tcPr>
            <w:tcW w:w="223" w:type="pct"/>
            <w:shd w:val="clear" w:color="auto" w:fill="auto"/>
            <w:noWrap/>
            <w:vAlign w:val="center"/>
            <w:hideMark/>
          </w:tcPr>
          <w:p w14:paraId="6236294C"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0,23</w:t>
            </w:r>
            <w:r>
              <w:rPr>
                <w:rFonts w:ascii="Arial" w:eastAsia="Times New Roman" w:hAnsi="Arial" w:cs="Arial"/>
                <w:color w:val="000000"/>
                <w:sz w:val="18"/>
                <w:szCs w:val="18"/>
                <w:lang w:eastAsia="sl-SI"/>
              </w:rPr>
              <w:t xml:space="preserve"> %</w:t>
            </w:r>
          </w:p>
        </w:tc>
        <w:tc>
          <w:tcPr>
            <w:tcW w:w="223" w:type="pct"/>
            <w:shd w:val="clear" w:color="auto" w:fill="auto"/>
            <w:noWrap/>
            <w:vAlign w:val="center"/>
            <w:hideMark/>
          </w:tcPr>
          <w:p w14:paraId="52DB3481"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0,06</w:t>
            </w:r>
            <w:r>
              <w:rPr>
                <w:rFonts w:ascii="Arial" w:eastAsia="Times New Roman" w:hAnsi="Arial" w:cs="Arial"/>
                <w:color w:val="000000"/>
                <w:sz w:val="18"/>
                <w:szCs w:val="18"/>
                <w:lang w:eastAsia="sl-SI"/>
              </w:rPr>
              <w:t xml:space="preserve"> %</w:t>
            </w:r>
          </w:p>
        </w:tc>
      </w:tr>
      <w:tr w:rsidR="00E3750C" w:rsidRPr="00AD1B06" w14:paraId="4BFCA365" w14:textId="77777777" w:rsidTr="00047864">
        <w:trPr>
          <w:trHeight w:val="300"/>
        </w:trPr>
        <w:tc>
          <w:tcPr>
            <w:tcW w:w="2635" w:type="pct"/>
            <w:shd w:val="clear" w:color="auto" w:fill="auto"/>
            <w:vAlign w:val="center"/>
            <w:hideMark/>
          </w:tcPr>
          <w:p w14:paraId="6F682FD0"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Druge javne, skupne in osebne storitve</w:t>
            </w:r>
          </w:p>
        </w:tc>
        <w:tc>
          <w:tcPr>
            <w:tcW w:w="275" w:type="pct"/>
            <w:shd w:val="clear" w:color="auto" w:fill="auto"/>
            <w:vAlign w:val="center"/>
            <w:hideMark/>
          </w:tcPr>
          <w:p w14:paraId="0AFF40B7" w14:textId="77777777" w:rsidR="00E3750C" w:rsidRPr="00AD1B06" w:rsidRDefault="00E3750C" w:rsidP="00047864">
            <w:pPr>
              <w:spacing w:after="0" w:line="240" w:lineRule="auto"/>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98</w:t>
            </w:r>
          </w:p>
        </w:tc>
        <w:tc>
          <w:tcPr>
            <w:tcW w:w="442" w:type="pct"/>
            <w:shd w:val="clear" w:color="auto" w:fill="auto"/>
            <w:vAlign w:val="center"/>
            <w:hideMark/>
          </w:tcPr>
          <w:p w14:paraId="7D627396"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66</w:t>
            </w:r>
          </w:p>
        </w:tc>
        <w:tc>
          <w:tcPr>
            <w:tcW w:w="1201" w:type="pct"/>
            <w:shd w:val="clear" w:color="auto" w:fill="auto"/>
            <w:vAlign w:val="center"/>
            <w:hideMark/>
          </w:tcPr>
          <w:p w14:paraId="44F929CB"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5.614.241</w:t>
            </w:r>
          </w:p>
        </w:tc>
        <w:tc>
          <w:tcPr>
            <w:tcW w:w="223" w:type="pct"/>
            <w:shd w:val="clear" w:color="auto" w:fill="auto"/>
            <w:noWrap/>
            <w:vAlign w:val="center"/>
            <w:hideMark/>
          </w:tcPr>
          <w:p w14:paraId="25C52498"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0,43</w:t>
            </w:r>
            <w:r>
              <w:rPr>
                <w:rFonts w:ascii="Arial" w:eastAsia="Times New Roman" w:hAnsi="Arial" w:cs="Arial"/>
                <w:color w:val="000000"/>
                <w:sz w:val="18"/>
                <w:szCs w:val="18"/>
                <w:lang w:eastAsia="sl-SI"/>
              </w:rPr>
              <w:t xml:space="preserve"> %</w:t>
            </w:r>
          </w:p>
        </w:tc>
        <w:tc>
          <w:tcPr>
            <w:tcW w:w="223" w:type="pct"/>
            <w:shd w:val="clear" w:color="auto" w:fill="auto"/>
            <w:noWrap/>
            <w:vAlign w:val="center"/>
            <w:hideMark/>
          </w:tcPr>
          <w:p w14:paraId="17199883" w14:textId="77777777" w:rsidR="00E3750C" w:rsidRPr="00AD1B06" w:rsidRDefault="00E3750C" w:rsidP="00047864">
            <w:pPr>
              <w:spacing w:after="0" w:line="240" w:lineRule="auto"/>
              <w:jc w:val="right"/>
              <w:rPr>
                <w:rFonts w:ascii="Arial" w:eastAsia="Times New Roman" w:hAnsi="Arial" w:cs="Arial"/>
                <w:color w:val="000000"/>
                <w:sz w:val="18"/>
                <w:szCs w:val="18"/>
                <w:lang w:eastAsia="sl-SI"/>
              </w:rPr>
            </w:pPr>
            <w:r w:rsidRPr="00AD1B06">
              <w:rPr>
                <w:rFonts w:ascii="Arial" w:eastAsia="Times New Roman" w:hAnsi="Arial" w:cs="Arial"/>
                <w:color w:val="000000"/>
                <w:sz w:val="18"/>
                <w:szCs w:val="18"/>
                <w:lang w:eastAsia="sl-SI"/>
              </w:rPr>
              <w:t>0,12</w:t>
            </w:r>
            <w:r>
              <w:rPr>
                <w:rFonts w:ascii="Arial" w:eastAsia="Times New Roman" w:hAnsi="Arial" w:cs="Arial"/>
                <w:color w:val="000000"/>
                <w:sz w:val="18"/>
                <w:szCs w:val="18"/>
                <w:lang w:eastAsia="sl-SI"/>
              </w:rPr>
              <w:t xml:space="preserve"> %</w:t>
            </w:r>
          </w:p>
        </w:tc>
      </w:tr>
      <w:tr w:rsidR="00E3750C" w:rsidRPr="00AD1B06" w14:paraId="66174CEF" w14:textId="77777777" w:rsidTr="00047864">
        <w:trPr>
          <w:trHeight w:val="300"/>
        </w:trPr>
        <w:tc>
          <w:tcPr>
            <w:tcW w:w="2910" w:type="pct"/>
            <w:gridSpan w:val="2"/>
            <w:shd w:val="clear" w:color="auto" w:fill="F2F2F2" w:themeFill="background1" w:themeFillShade="F2"/>
            <w:vAlign w:val="center"/>
            <w:hideMark/>
          </w:tcPr>
          <w:p w14:paraId="3615304F" w14:textId="77777777" w:rsidR="00E3750C" w:rsidRPr="00AD1B06" w:rsidRDefault="00E3750C" w:rsidP="00047864">
            <w:pPr>
              <w:spacing w:after="0" w:line="240" w:lineRule="auto"/>
              <w:rPr>
                <w:rFonts w:ascii="Arial" w:eastAsia="Times New Roman" w:hAnsi="Arial" w:cs="Arial"/>
                <w:b/>
                <w:bCs/>
                <w:color w:val="000000"/>
                <w:sz w:val="18"/>
                <w:szCs w:val="18"/>
                <w:lang w:eastAsia="sl-SI"/>
              </w:rPr>
            </w:pPr>
            <w:r w:rsidRPr="00AD1B06">
              <w:rPr>
                <w:rFonts w:ascii="Arial" w:eastAsia="Times New Roman" w:hAnsi="Arial" w:cs="Arial"/>
                <w:b/>
                <w:bCs/>
                <w:color w:val="000000"/>
                <w:sz w:val="18"/>
                <w:szCs w:val="18"/>
                <w:lang w:eastAsia="sl-SI"/>
              </w:rPr>
              <w:t>Skupaj</w:t>
            </w:r>
          </w:p>
        </w:tc>
        <w:tc>
          <w:tcPr>
            <w:tcW w:w="442" w:type="pct"/>
            <w:shd w:val="clear" w:color="auto" w:fill="F2F2F2" w:themeFill="background1" w:themeFillShade="F2"/>
            <w:noWrap/>
            <w:vAlign w:val="center"/>
            <w:hideMark/>
          </w:tcPr>
          <w:p w14:paraId="65EB1FA3" w14:textId="77777777" w:rsidR="00E3750C" w:rsidRPr="00AD1B06" w:rsidRDefault="00E3750C" w:rsidP="00047864">
            <w:pPr>
              <w:spacing w:after="0" w:line="240" w:lineRule="auto"/>
              <w:jc w:val="right"/>
              <w:rPr>
                <w:rFonts w:ascii="Arial" w:eastAsia="Times New Roman" w:hAnsi="Arial" w:cs="Arial"/>
                <w:b/>
                <w:bCs/>
                <w:color w:val="000000"/>
                <w:sz w:val="18"/>
                <w:szCs w:val="18"/>
                <w:lang w:eastAsia="sl-SI"/>
              </w:rPr>
            </w:pPr>
            <w:r w:rsidRPr="00AD1B06">
              <w:rPr>
                <w:rFonts w:ascii="Arial" w:eastAsia="Times New Roman" w:hAnsi="Arial" w:cs="Arial"/>
                <w:b/>
                <w:bCs/>
                <w:color w:val="000000"/>
                <w:sz w:val="18"/>
                <w:szCs w:val="18"/>
                <w:lang w:eastAsia="sl-SI"/>
              </w:rPr>
              <w:t>15.322</w:t>
            </w:r>
          </w:p>
        </w:tc>
        <w:tc>
          <w:tcPr>
            <w:tcW w:w="1201" w:type="pct"/>
            <w:shd w:val="clear" w:color="auto" w:fill="F2F2F2" w:themeFill="background1" w:themeFillShade="F2"/>
            <w:noWrap/>
            <w:vAlign w:val="center"/>
            <w:hideMark/>
          </w:tcPr>
          <w:p w14:paraId="0829A15C" w14:textId="77777777" w:rsidR="00E3750C" w:rsidRPr="00AD1B06" w:rsidRDefault="00E3750C" w:rsidP="00047864">
            <w:pPr>
              <w:spacing w:after="0" w:line="240" w:lineRule="auto"/>
              <w:jc w:val="right"/>
              <w:rPr>
                <w:rFonts w:ascii="Arial" w:eastAsia="Times New Roman" w:hAnsi="Arial" w:cs="Arial"/>
                <w:b/>
                <w:bCs/>
                <w:color w:val="000000"/>
                <w:sz w:val="18"/>
                <w:szCs w:val="18"/>
                <w:lang w:eastAsia="sl-SI"/>
              </w:rPr>
            </w:pPr>
            <w:r w:rsidRPr="00AD1B06">
              <w:rPr>
                <w:rFonts w:ascii="Arial" w:eastAsia="Times New Roman" w:hAnsi="Arial" w:cs="Arial"/>
                <w:b/>
                <w:bCs/>
                <w:color w:val="000000"/>
                <w:sz w:val="18"/>
                <w:szCs w:val="18"/>
                <w:lang w:eastAsia="sl-SI"/>
              </w:rPr>
              <w:t>4.510.497.243</w:t>
            </w:r>
          </w:p>
        </w:tc>
        <w:tc>
          <w:tcPr>
            <w:tcW w:w="223" w:type="pct"/>
            <w:shd w:val="clear" w:color="auto" w:fill="F2F2F2" w:themeFill="background1" w:themeFillShade="F2"/>
            <w:noWrap/>
            <w:vAlign w:val="center"/>
            <w:hideMark/>
          </w:tcPr>
          <w:p w14:paraId="4020048A" w14:textId="77777777" w:rsidR="00E3750C" w:rsidRPr="00AD1B06" w:rsidRDefault="00E3750C" w:rsidP="00047864">
            <w:pPr>
              <w:spacing w:after="0" w:line="240" w:lineRule="auto"/>
              <w:jc w:val="right"/>
              <w:rPr>
                <w:rFonts w:ascii="Arial" w:eastAsia="Times New Roman" w:hAnsi="Arial" w:cs="Arial"/>
                <w:b/>
                <w:bCs/>
                <w:color w:val="000000"/>
                <w:sz w:val="18"/>
                <w:szCs w:val="18"/>
                <w:lang w:eastAsia="sl-SI"/>
              </w:rPr>
            </w:pPr>
            <w:r w:rsidRPr="00AD1B06">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223" w:type="pct"/>
            <w:shd w:val="clear" w:color="auto" w:fill="F2F2F2" w:themeFill="background1" w:themeFillShade="F2"/>
            <w:noWrap/>
            <w:vAlign w:val="center"/>
            <w:hideMark/>
          </w:tcPr>
          <w:p w14:paraId="275AEBDD" w14:textId="77777777" w:rsidR="00E3750C" w:rsidRPr="00AD1B06" w:rsidRDefault="00E3750C" w:rsidP="00047864">
            <w:pPr>
              <w:spacing w:after="0" w:line="240" w:lineRule="auto"/>
              <w:jc w:val="right"/>
              <w:rPr>
                <w:rFonts w:ascii="Arial" w:eastAsia="Times New Roman" w:hAnsi="Arial" w:cs="Arial"/>
                <w:b/>
                <w:bCs/>
                <w:color w:val="000000"/>
                <w:sz w:val="18"/>
                <w:szCs w:val="18"/>
                <w:lang w:eastAsia="sl-SI"/>
              </w:rPr>
            </w:pPr>
            <w:r w:rsidRPr="00AD1B06">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bl>
    <w:p w14:paraId="26EF49E3" w14:textId="77777777" w:rsidR="00E3750C" w:rsidRPr="007F3AA7" w:rsidRDefault="00E3750C" w:rsidP="00E3750C">
      <w:pPr>
        <w:spacing w:after="0" w:line="240" w:lineRule="auto"/>
        <w:jc w:val="both"/>
        <w:rPr>
          <w:rFonts w:ascii="Arial" w:hAnsi="Arial" w:cs="Arial"/>
          <w:sz w:val="20"/>
        </w:rPr>
      </w:pPr>
    </w:p>
    <w:p w14:paraId="44F253DE" w14:textId="77777777" w:rsidR="00E3750C" w:rsidRDefault="00E3750C" w:rsidP="00E3750C">
      <w:pPr>
        <w:rPr>
          <w:rFonts w:ascii="Arial" w:hAnsi="Arial" w:cs="Arial"/>
          <w:sz w:val="20"/>
        </w:rPr>
      </w:pPr>
      <w:r>
        <w:rPr>
          <w:rFonts w:ascii="Arial" w:hAnsi="Arial" w:cs="Arial"/>
          <w:sz w:val="20"/>
        </w:rPr>
        <w:br w:type="page"/>
      </w:r>
    </w:p>
    <w:p w14:paraId="1F8853A7" w14:textId="77777777" w:rsidR="00E3750C" w:rsidRPr="007F3AA7" w:rsidRDefault="00E3750C" w:rsidP="00E3750C">
      <w:pPr>
        <w:spacing w:before="120" w:after="0" w:line="240" w:lineRule="auto"/>
        <w:jc w:val="both"/>
        <w:rPr>
          <w:rFonts w:ascii="Arial" w:hAnsi="Arial" w:cs="Arial"/>
          <w:sz w:val="20"/>
        </w:rPr>
      </w:pPr>
      <w:r w:rsidRPr="007F3AA7">
        <w:rPr>
          <w:rFonts w:ascii="Arial" w:hAnsi="Arial" w:cs="Arial"/>
          <w:sz w:val="20"/>
        </w:rPr>
        <w:lastRenderedPageBreak/>
        <w:t>Preglednica 7</w:t>
      </w:r>
      <w:r>
        <w:rPr>
          <w:rFonts w:ascii="Arial" w:hAnsi="Arial" w:cs="Arial"/>
          <w:sz w:val="20"/>
        </w:rPr>
        <w:t>4</w:t>
      </w:r>
      <w:r w:rsidRPr="007F3AA7">
        <w:rPr>
          <w:rFonts w:ascii="Arial" w:hAnsi="Arial" w:cs="Arial"/>
          <w:sz w:val="20"/>
        </w:rPr>
        <w:t>: Javna naročila na infrastrukturnem področju, glede na predmet naročanja po Enotnem besednjaku javnih naročil (CPV)</w:t>
      </w:r>
    </w:p>
    <w:p w14:paraId="4BFDE5A4" w14:textId="77777777" w:rsidR="00E3750C" w:rsidRPr="00BF7302" w:rsidRDefault="00E3750C" w:rsidP="00E3750C">
      <w:pPr>
        <w:spacing w:after="0" w:line="240" w:lineRule="auto"/>
        <w:jc w:val="both"/>
        <w:rPr>
          <w:rFonts w:ascii="Arial" w:hAnsi="Arial" w:cs="Arial"/>
          <w:sz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26"/>
        <w:gridCol w:w="771"/>
        <w:gridCol w:w="671"/>
        <w:gridCol w:w="1504"/>
        <w:gridCol w:w="901"/>
        <w:gridCol w:w="901"/>
      </w:tblGrid>
      <w:tr w:rsidR="00E3750C" w:rsidRPr="007F3AA7" w14:paraId="056A97D5" w14:textId="77777777" w:rsidTr="00047864">
        <w:trPr>
          <w:trHeight w:val="480"/>
          <w:tblHeader/>
        </w:trPr>
        <w:tc>
          <w:tcPr>
            <w:tcW w:w="2550" w:type="pct"/>
            <w:shd w:val="clear" w:color="000000" w:fill="F2F2F2"/>
            <w:vAlign w:val="center"/>
            <w:hideMark/>
          </w:tcPr>
          <w:p w14:paraId="665F925A" w14:textId="77777777" w:rsidR="00E3750C" w:rsidRPr="007F3AA7" w:rsidRDefault="00E3750C" w:rsidP="00047864">
            <w:pPr>
              <w:spacing w:after="0" w:line="240" w:lineRule="auto"/>
              <w:jc w:val="center"/>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Opis CPV oddelka</w:t>
            </w:r>
          </w:p>
        </w:tc>
        <w:tc>
          <w:tcPr>
            <w:tcW w:w="428" w:type="pct"/>
            <w:shd w:val="clear" w:color="000000" w:fill="F2F2F2"/>
            <w:vAlign w:val="center"/>
            <w:hideMark/>
          </w:tcPr>
          <w:p w14:paraId="7B7E755C" w14:textId="77777777" w:rsidR="00E3750C" w:rsidRPr="007F3AA7" w:rsidRDefault="00E3750C" w:rsidP="00047864">
            <w:pPr>
              <w:spacing w:after="0" w:line="240" w:lineRule="auto"/>
              <w:jc w:val="center"/>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CPV oddelek</w:t>
            </w:r>
          </w:p>
        </w:tc>
        <w:tc>
          <w:tcPr>
            <w:tcW w:w="428" w:type="pct"/>
            <w:shd w:val="clear" w:color="000000" w:fill="F2F2F2"/>
            <w:vAlign w:val="center"/>
            <w:hideMark/>
          </w:tcPr>
          <w:p w14:paraId="3D69557D" w14:textId="77777777" w:rsidR="00E3750C" w:rsidRPr="007F3AA7" w:rsidRDefault="00E3750C" w:rsidP="00047864">
            <w:pPr>
              <w:spacing w:after="0" w:line="240" w:lineRule="auto"/>
              <w:jc w:val="center"/>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Št. naročil</w:t>
            </w:r>
          </w:p>
        </w:tc>
        <w:tc>
          <w:tcPr>
            <w:tcW w:w="1162" w:type="pct"/>
            <w:shd w:val="clear" w:color="000000" w:fill="F2F2F2"/>
            <w:vAlign w:val="center"/>
            <w:hideMark/>
          </w:tcPr>
          <w:p w14:paraId="0D017B0C" w14:textId="77777777" w:rsidR="00E3750C" w:rsidRPr="007F3AA7" w:rsidRDefault="00E3750C" w:rsidP="00047864">
            <w:pPr>
              <w:spacing w:after="0" w:line="240" w:lineRule="auto"/>
              <w:jc w:val="center"/>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Pogodbena vrednost</w:t>
            </w:r>
          </w:p>
        </w:tc>
        <w:tc>
          <w:tcPr>
            <w:tcW w:w="216" w:type="pct"/>
            <w:shd w:val="clear" w:color="000000" w:fill="F2F2F2"/>
            <w:vAlign w:val="center"/>
            <w:hideMark/>
          </w:tcPr>
          <w:p w14:paraId="0CDA3EA6" w14:textId="77777777" w:rsidR="00E3750C" w:rsidRPr="007F3AA7" w:rsidRDefault="00E3750C" w:rsidP="00047864">
            <w:pPr>
              <w:spacing w:after="0" w:line="240" w:lineRule="auto"/>
              <w:jc w:val="center"/>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Delež v št. naročil</w:t>
            </w:r>
          </w:p>
        </w:tc>
        <w:tc>
          <w:tcPr>
            <w:tcW w:w="216" w:type="pct"/>
            <w:shd w:val="clear" w:color="000000" w:fill="F2F2F2"/>
            <w:vAlign w:val="center"/>
            <w:hideMark/>
          </w:tcPr>
          <w:p w14:paraId="2BA21E21" w14:textId="77777777" w:rsidR="00E3750C" w:rsidRPr="007F3AA7" w:rsidRDefault="00E3750C" w:rsidP="00047864">
            <w:pPr>
              <w:spacing w:after="0" w:line="240" w:lineRule="auto"/>
              <w:jc w:val="center"/>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Delež v vrednosti</w:t>
            </w:r>
          </w:p>
        </w:tc>
      </w:tr>
      <w:tr w:rsidR="00E3750C" w:rsidRPr="007F3AA7" w14:paraId="5851E27B" w14:textId="77777777" w:rsidTr="00047864">
        <w:trPr>
          <w:trHeight w:val="300"/>
        </w:trPr>
        <w:tc>
          <w:tcPr>
            <w:tcW w:w="2550" w:type="pct"/>
            <w:shd w:val="clear" w:color="auto" w:fill="auto"/>
            <w:vAlign w:val="center"/>
            <w:hideMark/>
          </w:tcPr>
          <w:p w14:paraId="654F7090"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Kmetijski, ribiški, gozdarski in z njimi povezani proizvodi</w:t>
            </w:r>
          </w:p>
        </w:tc>
        <w:tc>
          <w:tcPr>
            <w:tcW w:w="428" w:type="pct"/>
            <w:shd w:val="clear" w:color="auto" w:fill="auto"/>
            <w:vAlign w:val="center"/>
            <w:hideMark/>
          </w:tcPr>
          <w:p w14:paraId="339E2845"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03</w:t>
            </w:r>
          </w:p>
        </w:tc>
        <w:tc>
          <w:tcPr>
            <w:tcW w:w="428" w:type="pct"/>
            <w:shd w:val="clear" w:color="auto" w:fill="auto"/>
            <w:vAlign w:val="center"/>
            <w:hideMark/>
          </w:tcPr>
          <w:p w14:paraId="557B9E61"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2</w:t>
            </w:r>
          </w:p>
        </w:tc>
        <w:tc>
          <w:tcPr>
            <w:tcW w:w="1162" w:type="pct"/>
            <w:shd w:val="clear" w:color="auto" w:fill="auto"/>
            <w:vAlign w:val="center"/>
            <w:hideMark/>
          </w:tcPr>
          <w:p w14:paraId="0277DBBD"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330.850</w:t>
            </w:r>
          </w:p>
        </w:tc>
        <w:tc>
          <w:tcPr>
            <w:tcW w:w="216" w:type="pct"/>
            <w:shd w:val="clear" w:color="auto" w:fill="auto"/>
            <w:noWrap/>
            <w:vAlign w:val="center"/>
            <w:hideMark/>
          </w:tcPr>
          <w:p w14:paraId="4B3595BC"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0,11</w:t>
            </w:r>
            <w:r>
              <w:rPr>
                <w:rFonts w:ascii="Arial" w:eastAsia="Times New Roman" w:hAnsi="Arial" w:cs="Arial"/>
                <w:color w:val="000000"/>
                <w:sz w:val="18"/>
                <w:szCs w:val="18"/>
                <w:lang w:eastAsia="sl-SI"/>
              </w:rPr>
              <w:t xml:space="preserve"> %</w:t>
            </w:r>
          </w:p>
        </w:tc>
        <w:tc>
          <w:tcPr>
            <w:tcW w:w="216" w:type="pct"/>
            <w:shd w:val="clear" w:color="auto" w:fill="auto"/>
            <w:noWrap/>
            <w:vAlign w:val="center"/>
            <w:hideMark/>
          </w:tcPr>
          <w:p w14:paraId="61BE305A"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0,04</w:t>
            </w:r>
            <w:r>
              <w:rPr>
                <w:rFonts w:ascii="Arial" w:eastAsia="Times New Roman" w:hAnsi="Arial" w:cs="Arial"/>
                <w:color w:val="000000"/>
                <w:sz w:val="18"/>
                <w:szCs w:val="18"/>
                <w:lang w:eastAsia="sl-SI"/>
              </w:rPr>
              <w:t xml:space="preserve"> %</w:t>
            </w:r>
          </w:p>
        </w:tc>
      </w:tr>
      <w:tr w:rsidR="00E3750C" w:rsidRPr="007F3AA7" w14:paraId="6840B1F6" w14:textId="77777777" w:rsidTr="00047864">
        <w:trPr>
          <w:trHeight w:val="300"/>
        </w:trPr>
        <w:tc>
          <w:tcPr>
            <w:tcW w:w="2550" w:type="pct"/>
            <w:shd w:val="clear" w:color="auto" w:fill="auto"/>
            <w:vAlign w:val="center"/>
            <w:hideMark/>
          </w:tcPr>
          <w:p w14:paraId="586A7734"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Naftni derivati, goriva, električna energija in drugi viri energije</w:t>
            </w:r>
          </w:p>
        </w:tc>
        <w:tc>
          <w:tcPr>
            <w:tcW w:w="428" w:type="pct"/>
            <w:shd w:val="clear" w:color="auto" w:fill="auto"/>
            <w:vAlign w:val="center"/>
            <w:hideMark/>
          </w:tcPr>
          <w:p w14:paraId="076BDCA9"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09</w:t>
            </w:r>
          </w:p>
        </w:tc>
        <w:tc>
          <w:tcPr>
            <w:tcW w:w="428" w:type="pct"/>
            <w:shd w:val="clear" w:color="auto" w:fill="auto"/>
            <w:vAlign w:val="center"/>
            <w:hideMark/>
          </w:tcPr>
          <w:p w14:paraId="4FFCFFE8"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41</w:t>
            </w:r>
          </w:p>
        </w:tc>
        <w:tc>
          <w:tcPr>
            <w:tcW w:w="1162" w:type="pct"/>
            <w:shd w:val="clear" w:color="auto" w:fill="auto"/>
            <w:vAlign w:val="center"/>
            <w:hideMark/>
          </w:tcPr>
          <w:p w14:paraId="37F2502F"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85.458.106</w:t>
            </w:r>
          </w:p>
        </w:tc>
        <w:tc>
          <w:tcPr>
            <w:tcW w:w="216" w:type="pct"/>
            <w:shd w:val="clear" w:color="auto" w:fill="auto"/>
            <w:noWrap/>
            <w:vAlign w:val="center"/>
            <w:hideMark/>
          </w:tcPr>
          <w:p w14:paraId="65FAD9F0"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2,29</w:t>
            </w:r>
            <w:r>
              <w:rPr>
                <w:rFonts w:ascii="Arial" w:eastAsia="Times New Roman" w:hAnsi="Arial" w:cs="Arial"/>
                <w:color w:val="000000"/>
                <w:sz w:val="18"/>
                <w:szCs w:val="18"/>
                <w:lang w:eastAsia="sl-SI"/>
              </w:rPr>
              <w:t xml:space="preserve"> %</w:t>
            </w:r>
          </w:p>
        </w:tc>
        <w:tc>
          <w:tcPr>
            <w:tcW w:w="216" w:type="pct"/>
            <w:shd w:val="clear" w:color="auto" w:fill="auto"/>
            <w:noWrap/>
            <w:vAlign w:val="center"/>
            <w:hideMark/>
          </w:tcPr>
          <w:p w14:paraId="6387B53C"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10,05</w:t>
            </w:r>
            <w:r>
              <w:rPr>
                <w:rFonts w:ascii="Arial" w:eastAsia="Times New Roman" w:hAnsi="Arial" w:cs="Arial"/>
                <w:color w:val="000000"/>
                <w:sz w:val="18"/>
                <w:szCs w:val="18"/>
                <w:lang w:eastAsia="sl-SI"/>
              </w:rPr>
              <w:t xml:space="preserve"> %</w:t>
            </w:r>
          </w:p>
        </w:tc>
      </w:tr>
      <w:tr w:rsidR="00E3750C" w:rsidRPr="007F3AA7" w14:paraId="5D894FC9" w14:textId="77777777" w:rsidTr="00047864">
        <w:trPr>
          <w:trHeight w:val="300"/>
        </w:trPr>
        <w:tc>
          <w:tcPr>
            <w:tcW w:w="2550" w:type="pct"/>
            <w:shd w:val="clear" w:color="auto" w:fill="auto"/>
            <w:vAlign w:val="center"/>
            <w:hideMark/>
          </w:tcPr>
          <w:p w14:paraId="14F80B2D"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Rudarstvo, navadne kovine in z njimi povezani proizvodi</w:t>
            </w:r>
          </w:p>
        </w:tc>
        <w:tc>
          <w:tcPr>
            <w:tcW w:w="428" w:type="pct"/>
            <w:shd w:val="clear" w:color="auto" w:fill="auto"/>
            <w:vAlign w:val="center"/>
            <w:hideMark/>
          </w:tcPr>
          <w:p w14:paraId="0AD18AE7"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14</w:t>
            </w:r>
          </w:p>
        </w:tc>
        <w:tc>
          <w:tcPr>
            <w:tcW w:w="428" w:type="pct"/>
            <w:shd w:val="clear" w:color="auto" w:fill="auto"/>
            <w:vAlign w:val="center"/>
            <w:hideMark/>
          </w:tcPr>
          <w:p w14:paraId="23CA7352"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8</w:t>
            </w:r>
          </w:p>
        </w:tc>
        <w:tc>
          <w:tcPr>
            <w:tcW w:w="1162" w:type="pct"/>
            <w:shd w:val="clear" w:color="auto" w:fill="auto"/>
            <w:vAlign w:val="center"/>
            <w:hideMark/>
          </w:tcPr>
          <w:p w14:paraId="28B6DB7F"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3.739.403</w:t>
            </w:r>
          </w:p>
        </w:tc>
        <w:tc>
          <w:tcPr>
            <w:tcW w:w="216" w:type="pct"/>
            <w:shd w:val="clear" w:color="auto" w:fill="auto"/>
            <w:noWrap/>
            <w:vAlign w:val="center"/>
            <w:hideMark/>
          </w:tcPr>
          <w:p w14:paraId="0A0F4E4A"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0,45</w:t>
            </w:r>
            <w:r>
              <w:rPr>
                <w:rFonts w:ascii="Arial" w:eastAsia="Times New Roman" w:hAnsi="Arial" w:cs="Arial"/>
                <w:color w:val="000000"/>
                <w:sz w:val="18"/>
                <w:szCs w:val="18"/>
                <w:lang w:eastAsia="sl-SI"/>
              </w:rPr>
              <w:t xml:space="preserve"> %</w:t>
            </w:r>
          </w:p>
        </w:tc>
        <w:tc>
          <w:tcPr>
            <w:tcW w:w="216" w:type="pct"/>
            <w:shd w:val="clear" w:color="auto" w:fill="auto"/>
            <w:noWrap/>
            <w:vAlign w:val="center"/>
            <w:hideMark/>
          </w:tcPr>
          <w:p w14:paraId="083B1460"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0,44</w:t>
            </w:r>
            <w:r>
              <w:rPr>
                <w:rFonts w:ascii="Arial" w:eastAsia="Times New Roman" w:hAnsi="Arial" w:cs="Arial"/>
                <w:color w:val="000000"/>
                <w:sz w:val="18"/>
                <w:szCs w:val="18"/>
                <w:lang w:eastAsia="sl-SI"/>
              </w:rPr>
              <w:t xml:space="preserve"> %</w:t>
            </w:r>
          </w:p>
        </w:tc>
      </w:tr>
      <w:tr w:rsidR="00E3750C" w:rsidRPr="007F3AA7" w14:paraId="287435A3" w14:textId="77777777" w:rsidTr="00047864">
        <w:trPr>
          <w:trHeight w:val="300"/>
        </w:trPr>
        <w:tc>
          <w:tcPr>
            <w:tcW w:w="2550" w:type="pct"/>
            <w:shd w:val="clear" w:color="auto" w:fill="auto"/>
            <w:vAlign w:val="center"/>
            <w:hideMark/>
          </w:tcPr>
          <w:p w14:paraId="77C6B299"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Kmetijski stroji</w:t>
            </w:r>
          </w:p>
        </w:tc>
        <w:tc>
          <w:tcPr>
            <w:tcW w:w="428" w:type="pct"/>
            <w:shd w:val="clear" w:color="auto" w:fill="auto"/>
            <w:vAlign w:val="center"/>
            <w:hideMark/>
          </w:tcPr>
          <w:p w14:paraId="1CBE9CF5"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16</w:t>
            </w:r>
          </w:p>
        </w:tc>
        <w:tc>
          <w:tcPr>
            <w:tcW w:w="428" w:type="pct"/>
            <w:shd w:val="clear" w:color="auto" w:fill="auto"/>
            <w:vAlign w:val="center"/>
            <w:hideMark/>
          </w:tcPr>
          <w:p w14:paraId="579822C4"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2</w:t>
            </w:r>
          </w:p>
        </w:tc>
        <w:tc>
          <w:tcPr>
            <w:tcW w:w="1162" w:type="pct"/>
            <w:shd w:val="clear" w:color="auto" w:fill="auto"/>
            <w:vAlign w:val="center"/>
            <w:hideMark/>
          </w:tcPr>
          <w:p w14:paraId="027AA926"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125.300</w:t>
            </w:r>
          </w:p>
        </w:tc>
        <w:tc>
          <w:tcPr>
            <w:tcW w:w="216" w:type="pct"/>
            <w:shd w:val="clear" w:color="auto" w:fill="auto"/>
            <w:noWrap/>
            <w:vAlign w:val="center"/>
            <w:hideMark/>
          </w:tcPr>
          <w:p w14:paraId="36B7D885"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0,11</w:t>
            </w:r>
            <w:r>
              <w:rPr>
                <w:rFonts w:ascii="Arial" w:eastAsia="Times New Roman" w:hAnsi="Arial" w:cs="Arial"/>
                <w:color w:val="000000"/>
                <w:sz w:val="18"/>
                <w:szCs w:val="18"/>
                <w:lang w:eastAsia="sl-SI"/>
              </w:rPr>
              <w:t xml:space="preserve"> %</w:t>
            </w:r>
          </w:p>
        </w:tc>
        <w:tc>
          <w:tcPr>
            <w:tcW w:w="216" w:type="pct"/>
            <w:shd w:val="clear" w:color="auto" w:fill="auto"/>
            <w:noWrap/>
            <w:vAlign w:val="center"/>
            <w:hideMark/>
          </w:tcPr>
          <w:p w14:paraId="45FA2542"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r>
      <w:tr w:rsidR="00E3750C" w:rsidRPr="007F3AA7" w14:paraId="7289CF55" w14:textId="77777777" w:rsidTr="00047864">
        <w:trPr>
          <w:trHeight w:val="300"/>
        </w:trPr>
        <w:tc>
          <w:tcPr>
            <w:tcW w:w="2550" w:type="pct"/>
            <w:shd w:val="clear" w:color="auto" w:fill="auto"/>
            <w:vAlign w:val="center"/>
            <w:hideMark/>
          </w:tcPr>
          <w:p w14:paraId="0D3A6DD5"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Oblačila, obutev, prtljaga in pribor</w:t>
            </w:r>
          </w:p>
        </w:tc>
        <w:tc>
          <w:tcPr>
            <w:tcW w:w="428" w:type="pct"/>
            <w:shd w:val="clear" w:color="auto" w:fill="auto"/>
            <w:vAlign w:val="center"/>
            <w:hideMark/>
          </w:tcPr>
          <w:p w14:paraId="15944006"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18</w:t>
            </w:r>
          </w:p>
        </w:tc>
        <w:tc>
          <w:tcPr>
            <w:tcW w:w="428" w:type="pct"/>
            <w:shd w:val="clear" w:color="auto" w:fill="auto"/>
            <w:vAlign w:val="center"/>
            <w:hideMark/>
          </w:tcPr>
          <w:p w14:paraId="7368F022"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39</w:t>
            </w:r>
          </w:p>
        </w:tc>
        <w:tc>
          <w:tcPr>
            <w:tcW w:w="1162" w:type="pct"/>
            <w:shd w:val="clear" w:color="auto" w:fill="auto"/>
            <w:vAlign w:val="center"/>
            <w:hideMark/>
          </w:tcPr>
          <w:p w14:paraId="1BD12CE8"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6.265.431</w:t>
            </w:r>
          </w:p>
        </w:tc>
        <w:tc>
          <w:tcPr>
            <w:tcW w:w="216" w:type="pct"/>
            <w:shd w:val="clear" w:color="auto" w:fill="auto"/>
            <w:noWrap/>
            <w:vAlign w:val="center"/>
            <w:hideMark/>
          </w:tcPr>
          <w:p w14:paraId="42B49121"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2,17</w:t>
            </w:r>
            <w:r>
              <w:rPr>
                <w:rFonts w:ascii="Arial" w:eastAsia="Times New Roman" w:hAnsi="Arial" w:cs="Arial"/>
                <w:color w:val="000000"/>
                <w:sz w:val="18"/>
                <w:szCs w:val="18"/>
                <w:lang w:eastAsia="sl-SI"/>
              </w:rPr>
              <w:t xml:space="preserve"> %</w:t>
            </w:r>
          </w:p>
        </w:tc>
        <w:tc>
          <w:tcPr>
            <w:tcW w:w="216" w:type="pct"/>
            <w:shd w:val="clear" w:color="auto" w:fill="auto"/>
            <w:noWrap/>
            <w:vAlign w:val="center"/>
            <w:hideMark/>
          </w:tcPr>
          <w:p w14:paraId="24307874"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0,74</w:t>
            </w:r>
            <w:r>
              <w:rPr>
                <w:rFonts w:ascii="Arial" w:eastAsia="Times New Roman" w:hAnsi="Arial" w:cs="Arial"/>
                <w:color w:val="000000"/>
                <w:sz w:val="18"/>
                <w:szCs w:val="18"/>
                <w:lang w:eastAsia="sl-SI"/>
              </w:rPr>
              <w:t xml:space="preserve"> %</w:t>
            </w:r>
          </w:p>
        </w:tc>
      </w:tr>
      <w:tr w:rsidR="00E3750C" w:rsidRPr="007F3AA7" w14:paraId="38A39A1E" w14:textId="77777777" w:rsidTr="00047864">
        <w:trPr>
          <w:trHeight w:val="300"/>
        </w:trPr>
        <w:tc>
          <w:tcPr>
            <w:tcW w:w="2550" w:type="pct"/>
            <w:shd w:val="clear" w:color="auto" w:fill="auto"/>
            <w:vAlign w:val="center"/>
            <w:hideMark/>
          </w:tcPr>
          <w:p w14:paraId="2BE3DDE0"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Usnjeni in tekstilni materiali, plastični in gumijasti materiali</w:t>
            </w:r>
          </w:p>
        </w:tc>
        <w:tc>
          <w:tcPr>
            <w:tcW w:w="428" w:type="pct"/>
            <w:shd w:val="clear" w:color="auto" w:fill="auto"/>
            <w:vAlign w:val="center"/>
            <w:hideMark/>
          </w:tcPr>
          <w:p w14:paraId="5FC3A6BA"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19</w:t>
            </w:r>
          </w:p>
        </w:tc>
        <w:tc>
          <w:tcPr>
            <w:tcW w:w="428" w:type="pct"/>
            <w:shd w:val="clear" w:color="auto" w:fill="auto"/>
            <w:vAlign w:val="center"/>
            <w:hideMark/>
          </w:tcPr>
          <w:p w14:paraId="6FE00AEE"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2</w:t>
            </w:r>
          </w:p>
        </w:tc>
        <w:tc>
          <w:tcPr>
            <w:tcW w:w="1162" w:type="pct"/>
            <w:shd w:val="clear" w:color="auto" w:fill="auto"/>
            <w:vAlign w:val="center"/>
            <w:hideMark/>
          </w:tcPr>
          <w:p w14:paraId="011032BE"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298.860</w:t>
            </w:r>
          </w:p>
        </w:tc>
        <w:tc>
          <w:tcPr>
            <w:tcW w:w="216" w:type="pct"/>
            <w:shd w:val="clear" w:color="auto" w:fill="auto"/>
            <w:noWrap/>
            <w:vAlign w:val="center"/>
            <w:hideMark/>
          </w:tcPr>
          <w:p w14:paraId="65775440"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0,11</w:t>
            </w:r>
            <w:r>
              <w:rPr>
                <w:rFonts w:ascii="Arial" w:eastAsia="Times New Roman" w:hAnsi="Arial" w:cs="Arial"/>
                <w:color w:val="000000"/>
                <w:sz w:val="18"/>
                <w:szCs w:val="18"/>
                <w:lang w:eastAsia="sl-SI"/>
              </w:rPr>
              <w:t xml:space="preserve"> %</w:t>
            </w:r>
          </w:p>
        </w:tc>
        <w:tc>
          <w:tcPr>
            <w:tcW w:w="216" w:type="pct"/>
            <w:shd w:val="clear" w:color="auto" w:fill="auto"/>
            <w:noWrap/>
            <w:vAlign w:val="center"/>
            <w:hideMark/>
          </w:tcPr>
          <w:p w14:paraId="2DE8020E"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0,04</w:t>
            </w:r>
            <w:r>
              <w:rPr>
                <w:rFonts w:ascii="Arial" w:eastAsia="Times New Roman" w:hAnsi="Arial" w:cs="Arial"/>
                <w:color w:val="000000"/>
                <w:sz w:val="18"/>
                <w:szCs w:val="18"/>
                <w:lang w:eastAsia="sl-SI"/>
              </w:rPr>
              <w:t xml:space="preserve"> %</w:t>
            </w:r>
          </w:p>
        </w:tc>
      </w:tr>
      <w:tr w:rsidR="00E3750C" w:rsidRPr="007F3AA7" w14:paraId="621DA2E2" w14:textId="77777777" w:rsidTr="00047864">
        <w:trPr>
          <w:trHeight w:val="300"/>
        </w:trPr>
        <w:tc>
          <w:tcPr>
            <w:tcW w:w="2550" w:type="pct"/>
            <w:shd w:val="clear" w:color="auto" w:fill="auto"/>
            <w:vAlign w:val="center"/>
            <w:hideMark/>
          </w:tcPr>
          <w:p w14:paraId="775C523A"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Tiskano gradivo in z njim povezani izdelki</w:t>
            </w:r>
          </w:p>
        </w:tc>
        <w:tc>
          <w:tcPr>
            <w:tcW w:w="428" w:type="pct"/>
            <w:shd w:val="clear" w:color="auto" w:fill="auto"/>
            <w:vAlign w:val="center"/>
            <w:hideMark/>
          </w:tcPr>
          <w:p w14:paraId="2BCB7967"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22</w:t>
            </w:r>
          </w:p>
        </w:tc>
        <w:tc>
          <w:tcPr>
            <w:tcW w:w="428" w:type="pct"/>
            <w:shd w:val="clear" w:color="auto" w:fill="auto"/>
            <w:vAlign w:val="center"/>
            <w:hideMark/>
          </w:tcPr>
          <w:p w14:paraId="37FD217C"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3</w:t>
            </w:r>
          </w:p>
        </w:tc>
        <w:tc>
          <w:tcPr>
            <w:tcW w:w="1162" w:type="pct"/>
            <w:shd w:val="clear" w:color="auto" w:fill="auto"/>
            <w:vAlign w:val="center"/>
            <w:hideMark/>
          </w:tcPr>
          <w:p w14:paraId="04FA6D50"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395.419</w:t>
            </w:r>
          </w:p>
        </w:tc>
        <w:tc>
          <w:tcPr>
            <w:tcW w:w="216" w:type="pct"/>
            <w:shd w:val="clear" w:color="auto" w:fill="auto"/>
            <w:noWrap/>
            <w:vAlign w:val="center"/>
            <w:hideMark/>
          </w:tcPr>
          <w:p w14:paraId="164052AF"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0,17</w:t>
            </w:r>
            <w:r>
              <w:rPr>
                <w:rFonts w:ascii="Arial" w:eastAsia="Times New Roman" w:hAnsi="Arial" w:cs="Arial"/>
                <w:color w:val="000000"/>
                <w:sz w:val="18"/>
                <w:szCs w:val="18"/>
                <w:lang w:eastAsia="sl-SI"/>
              </w:rPr>
              <w:t xml:space="preserve"> %</w:t>
            </w:r>
          </w:p>
        </w:tc>
        <w:tc>
          <w:tcPr>
            <w:tcW w:w="216" w:type="pct"/>
            <w:shd w:val="clear" w:color="auto" w:fill="auto"/>
            <w:noWrap/>
            <w:vAlign w:val="center"/>
            <w:hideMark/>
          </w:tcPr>
          <w:p w14:paraId="3CB0B507"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0,05</w:t>
            </w:r>
            <w:r>
              <w:rPr>
                <w:rFonts w:ascii="Arial" w:eastAsia="Times New Roman" w:hAnsi="Arial" w:cs="Arial"/>
                <w:color w:val="000000"/>
                <w:sz w:val="18"/>
                <w:szCs w:val="18"/>
                <w:lang w:eastAsia="sl-SI"/>
              </w:rPr>
              <w:t xml:space="preserve"> %</w:t>
            </w:r>
          </w:p>
        </w:tc>
      </w:tr>
      <w:tr w:rsidR="00E3750C" w:rsidRPr="007F3AA7" w14:paraId="58599F0F" w14:textId="77777777" w:rsidTr="00047864">
        <w:trPr>
          <w:trHeight w:val="300"/>
        </w:trPr>
        <w:tc>
          <w:tcPr>
            <w:tcW w:w="2550" w:type="pct"/>
            <w:shd w:val="clear" w:color="auto" w:fill="auto"/>
            <w:vAlign w:val="center"/>
            <w:hideMark/>
          </w:tcPr>
          <w:p w14:paraId="25FEB409"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Kemični proizvodi</w:t>
            </w:r>
          </w:p>
        </w:tc>
        <w:tc>
          <w:tcPr>
            <w:tcW w:w="428" w:type="pct"/>
            <w:shd w:val="clear" w:color="auto" w:fill="auto"/>
            <w:vAlign w:val="center"/>
            <w:hideMark/>
          </w:tcPr>
          <w:p w14:paraId="374D8161"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24</w:t>
            </w:r>
          </w:p>
        </w:tc>
        <w:tc>
          <w:tcPr>
            <w:tcW w:w="428" w:type="pct"/>
            <w:shd w:val="clear" w:color="auto" w:fill="auto"/>
            <w:vAlign w:val="center"/>
            <w:hideMark/>
          </w:tcPr>
          <w:p w14:paraId="33694459"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27</w:t>
            </w:r>
          </w:p>
        </w:tc>
        <w:tc>
          <w:tcPr>
            <w:tcW w:w="1162" w:type="pct"/>
            <w:shd w:val="clear" w:color="auto" w:fill="auto"/>
            <w:vAlign w:val="center"/>
            <w:hideMark/>
          </w:tcPr>
          <w:p w14:paraId="686FE990"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8.582.958</w:t>
            </w:r>
          </w:p>
        </w:tc>
        <w:tc>
          <w:tcPr>
            <w:tcW w:w="216" w:type="pct"/>
            <w:shd w:val="clear" w:color="auto" w:fill="auto"/>
            <w:noWrap/>
            <w:vAlign w:val="center"/>
            <w:hideMark/>
          </w:tcPr>
          <w:p w14:paraId="28603459"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1,51</w:t>
            </w:r>
            <w:r>
              <w:rPr>
                <w:rFonts w:ascii="Arial" w:eastAsia="Times New Roman" w:hAnsi="Arial" w:cs="Arial"/>
                <w:color w:val="000000"/>
                <w:sz w:val="18"/>
                <w:szCs w:val="18"/>
                <w:lang w:eastAsia="sl-SI"/>
              </w:rPr>
              <w:t xml:space="preserve"> %</w:t>
            </w:r>
          </w:p>
        </w:tc>
        <w:tc>
          <w:tcPr>
            <w:tcW w:w="216" w:type="pct"/>
            <w:shd w:val="clear" w:color="auto" w:fill="auto"/>
            <w:noWrap/>
            <w:vAlign w:val="center"/>
            <w:hideMark/>
          </w:tcPr>
          <w:p w14:paraId="0DC4F78D"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1,01</w:t>
            </w:r>
            <w:r>
              <w:rPr>
                <w:rFonts w:ascii="Arial" w:eastAsia="Times New Roman" w:hAnsi="Arial" w:cs="Arial"/>
                <w:color w:val="000000"/>
                <w:sz w:val="18"/>
                <w:szCs w:val="18"/>
                <w:lang w:eastAsia="sl-SI"/>
              </w:rPr>
              <w:t xml:space="preserve"> %</w:t>
            </w:r>
          </w:p>
        </w:tc>
      </w:tr>
      <w:tr w:rsidR="00E3750C" w:rsidRPr="007F3AA7" w14:paraId="5703D87F" w14:textId="77777777" w:rsidTr="00047864">
        <w:trPr>
          <w:trHeight w:val="300"/>
        </w:trPr>
        <w:tc>
          <w:tcPr>
            <w:tcW w:w="2550" w:type="pct"/>
            <w:shd w:val="clear" w:color="auto" w:fill="auto"/>
            <w:vAlign w:val="center"/>
            <w:hideMark/>
          </w:tcPr>
          <w:p w14:paraId="0137DD31"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Pisarniški in računski stroji, oprema in potrebščine, razen pohištva in programskih paketov</w:t>
            </w:r>
          </w:p>
        </w:tc>
        <w:tc>
          <w:tcPr>
            <w:tcW w:w="428" w:type="pct"/>
            <w:shd w:val="clear" w:color="auto" w:fill="auto"/>
            <w:vAlign w:val="center"/>
            <w:hideMark/>
          </w:tcPr>
          <w:p w14:paraId="572D5300"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30</w:t>
            </w:r>
          </w:p>
        </w:tc>
        <w:tc>
          <w:tcPr>
            <w:tcW w:w="428" w:type="pct"/>
            <w:shd w:val="clear" w:color="auto" w:fill="auto"/>
            <w:vAlign w:val="center"/>
            <w:hideMark/>
          </w:tcPr>
          <w:p w14:paraId="00D61BAB"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27</w:t>
            </w:r>
          </w:p>
        </w:tc>
        <w:tc>
          <w:tcPr>
            <w:tcW w:w="1162" w:type="pct"/>
            <w:shd w:val="clear" w:color="auto" w:fill="auto"/>
            <w:vAlign w:val="center"/>
            <w:hideMark/>
          </w:tcPr>
          <w:p w14:paraId="30F026F2"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8.019.854</w:t>
            </w:r>
          </w:p>
        </w:tc>
        <w:tc>
          <w:tcPr>
            <w:tcW w:w="216" w:type="pct"/>
            <w:shd w:val="clear" w:color="auto" w:fill="auto"/>
            <w:noWrap/>
            <w:vAlign w:val="center"/>
            <w:hideMark/>
          </w:tcPr>
          <w:p w14:paraId="0812D1C2"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1,51</w:t>
            </w:r>
            <w:r>
              <w:rPr>
                <w:rFonts w:ascii="Arial" w:eastAsia="Times New Roman" w:hAnsi="Arial" w:cs="Arial"/>
                <w:color w:val="000000"/>
                <w:sz w:val="18"/>
                <w:szCs w:val="18"/>
                <w:lang w:eastAsia="sl-SI"/>
              </w:rPr>
              <w:t xml:space="preserve"> %</w:t>
            </w:r>
          </w:p>
        </w:tc>
        <w:tc>
          <w:tcPr>
            <w:tcW w:w="216" w:type="pct"/>
            <w:shd w:val="clear" w:color="auto" w:fill="auto"/>
            <w:noWrap/>
            <w:vAlign w:val="center"/>
            <w:hideMark/>
          </w:tcPr>
          <w:p w14:paraId="5505B529"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0,94</w:t>
            </w:r>
            <w:r>
              <w:rPr>
                <w:rFonts w:ascii="Arial" w:eastAsia="Times New Roman" w:hAnsi="Arial" w:cs="Arial"/>
                <w:color w:val="000000"/>
                <w:sz w:val="18"/>
                <w:szCs w:val="18"/>
                <w:lang w:eastAsia="sl-SI"/>
              </w:rPr>
              <w:t xml:space="preserve"> %</w:t>
            </w:r>
          </w:p>
        </w:tc>
      </w:tr>
      <w:tr w:rsidR="00E3750C" w:rsidRPr="007F3AA7" w14:paraId="09A20A95" w14:textId="77777777" w:rsidTr="00047864">
        <w:trPr>
          <w:trHeight w:val="300"/>
        </w:trPr>
        <w:tc>
          <w:tcPr>
            <w:tcW w:w="2550" w:type="pct"/>
            <w:shd w:val="clear" w:color="auto" w:fill="auto"/>
            <w:vAlign w:val="center"/>
            <w:hideMark/>
          </w:tcPr>
          <w:p w14:paraId="49956630"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Električni stroji, aparati, oprema in potrošno blago; razsvetljava</w:t>
            </w:r>
          </w:p>
        </w:tc>
        <w:tc>
          <w:tcPr>
            <w:tcW w:w="428" w:type="pct"/>
            <w:shd w:val="clear" w:color="auto" w:fill="auto"/>
            <w:vAlign w:val="center"/>
            <w:hideMark/>
          </w:tcPr>
          <w:p w14:paraId="037E286B"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31</w:t>
            </w:r>
          </w:p>
        </w:tc>
        <w:tc>
          <w:tcPr>
            <w:tcW w:w="428" w:type="pct"/>
            <w:shd w:val="clear" w:color="auto" w:fill="auto"/>
            <w:vAlign w:val="center"/>
            <w:hideMark/>
          </w:tcPr>
          <w:p w14:paraId="19E13058"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114</w:t>
            </w:r>
          </w:p>
        </w:tc>
        <w:tc>
          <w:tcPr>
            <w:tcW w:w="1162" w:type="pct"/>
            <w:shd w:val="clear" w:color="auto" w:fill="auto"/>
            <w:vAlign w:val="center"/>
            <w:hideMark/>
          </w:tcPr>
          <w:p w14:paraId="6F085E88"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38.489.327</w:t>
            </w:r>
          </w:p>
        </w:tc>
        <w:tc>
          <w:tcPr>
            <w:tcW w:w="216" w:type="pct"/>
            <w:shd w:val="clear" w:color="auto" w:fill="auto"/>
            <w:noWrap/>
            <w:vAlign w:val="center"/>
            <w:hideMark/>
          </w:tcPr>
          <w:p w14:paraId="2F1F7AF2"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6,35</w:t>
            </w:r>
            <w:r>
              <w:rPr>
                <w:rFonts w:ascii="Arial" w:eastAsia="Times New Roman" w:hAnsi="Arial" w:cs="Arial"/>
                <w:color w:val="000000"/>
                <w:sz w:val="18"/>
                <w:szCs w:val="18"/>
                <w:lang w:eastAsia="sl-SI"/>
              </w:rPr>
              <w:t xml:space="preserve"> %</w:t>
            </w:r>
          </w:p>
        </w:tc>
        <w:tc>
          <w:tcPr>
            <w:tcW w:w="216" w:type="pct"/>
            <w:shd w:val="clear" w:color="auto" w:fill="auto"/>
            <w:noWrap/>
            <w:vAlign w:val="center"/>
            <w:hideMark/>
          </w:tcPr>
          <w:p w14:paraId="65BC7359"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4,52</w:t>
            </w:r>
            <w:r>
              <w:rPr>
                <w:rFonts w:ascii="Arial" w:eastAsia="Times New Roman" w:hAnsi="Arial" w:cs="Arial"/>
                <w:color w:val="000000"/>
                <w:sz w:val="18"/>
                <w:szCs w:val="18"/>
                <w:lang w:eastAsia="sl-SI"/>
              </w:rPr>
              <w:t xml:space="preserve"> %</w:t>
            </w:r>
          </w:p>
        </w:tc>
      </w:tr>
      <w:tr w:rsidR="00E3750C" w:rsidRPr="007F3AA7" w14:paraId="325EDAF9" w14:textId="77777777" w:rsidTr="00047864">
        <w:trPr>
          <w:trHeight w:val="300"/>
        </w:trPr>
        <w:tc>
          <w:tcPr>
            <w:tcW w:w="2550" w:type="pct"/>
            <w:shd w:val="clear" w:color="auto" w:fill="auto"/>
            <w:vAlign w:val="center"/>
            <w:hideMark/>
          </w:tcPr>
          <w:p w14:paraId="287CA32A"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Radijski in televizijski aparati, komunikacijska, telekomunikacijska in z njimi povezana oprema</w:t>
            </w:r>
          </w:p>
        </w:tc>
        <w:tc>
          <w:tcPr>
            <w:tcW w:w="428" w:type="pct"/>
            <w:shd w:val="clear" w:color="auto" w:fill="auto"/>
            <w:vAlign w:val="center"/>
            <w:hideMark/>
          </w:tcPr>
          <w:p w14:paraId="508C3C1A"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32</w:t>
            </w:r>
          </w:p>
        </w:tc>
        <w:tc>
          <w:tcPr>
            <w:tcW w:w="428" w:type="pct"/>
            <w:shd w:val="clear" w:color="auto" w:fill="auto"/>
            <w:vAlign w:val="center"/>
            <w:hideMark/>
          </w:tcPr>
          <w:p w14:paraId="2EEA93FA"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9</w:t>
            </w:r>
          </w:p>
        </w:tc>
        <w:tc>
          <w:tcPr>
            <w:tcW w:w="1162" w:type="pct"/>
            <w:shd w:val="clear" w:color="auto" w:fill="auto"/>
            <w:vAlign w:val="center"/>
            <w:hideMark/>
          </w:tcPr>
          <w:p w14:paraId="783BB230"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3.487.736</w:t>
            </w:r>
          </w:p>
        </w:tc>
        <w:tc>
          <w:tcPr>
            <w:tcW w:w="216" w:type="pct"/>
            <w:shd w:val="clear" w:color="auto" w:fill="auto"/>
            <w:noWrap/>
            <w:vAlign w:val="center"/>
            <w:hideMark/>
          </w:tcPr>
          <w:p w14:paraId="252FC982"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0,50</w:t>
            </w:r>
            <w:r>
              <w:rPr>
                <w:rFonts w:ascii="Arial" w:eastAsia="Times New Roman" w:hAnsi="Arial" w:cs="Arial"/>
                <w:color w:val="000000"/>
                <w:sz w:val="18"/>
                <w:szCs w:val="18"/>
                <w:lang w:eastAsia="sl-SI"/>
              </w:rPr>
              <w:t xml:space="preserve"> %</w:t>
            </w:r>
          </w:p>
        </w:tc>
        <w:tc>
          <w:tcPr>
            <w:tcW w:w="216" w:type="pct"/>
            <w:shd w:val="clear" w:color="auto" w:fill="auto"/>
            <w:noWrap/>
            <w:vAlign w:val="center"/>
            <w:hideMark/>
          </w:tcPr>
          <w:p w14:paraId="3552539F"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0,41</w:t>
            </w:r>
            <w:r>
              <w:rPr>
                <w:rFonts w:ascii="Arial" w:eastAsia="Times New Roman" w:hAnsi="Arial" w:cs="Arial"/>
                <w:color w:val="000000"/>
                <w:sz w:val="18"/>
                <w:szCs w:val="18"/>
                <w:lang w:eastAsia="sl-SI"/>
              </w:rPr>
              <w:t xml:space="preserve"> %</w:t>
            </w:r>
          </w:p>
        </w:tc>
      </w:tr>
      <w:tr w:rsidR="00E3750C" w:rsidRPr="007F3AA7" w14:paraId="0C58F0E5" w14:textId="77777777" w:rsidTr="00047864">
        <w:trPr>
          <w:trHeight w:val="300"/>
        </w:trPr>
        <w:tc>
          <w:tcPr>
            <w:tcW w:w="2550" w:type="pct"/>
            <w:shd w:val="clear" w:color="auto" w:fill="auto"/>
            <w:vAlign w:val="center"/>
            <w:hideMark/>
          </w:tcPr>
          <w:p w14:paraId="7C033E9F"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Medicinska oprema, farmacevtski izdelki in izdelki za osebno nego</w:t>
            </w:r>
          </w:p>
        </w:tc>
        <w:tc>
          <w:tcPr>
            <w:tcW w:w="428" w:type="pct"/>
            <w:shd w:val="clear" w:color="auto" w:fill="auto"/>
            <w:vAlign w:val="center"/>
            <w:hideMark/>
          </w:tcPr>
          <w:p w14:paraId="2386547F"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33</w:t>
            </w:r>
          </w:p>
        </w:tc>
        <w:tc>
          <w:tcPr>
            <w:tcW w:w="428" w:type="pct"/>
            <w:shd w:val="clear" w:color="auto" w:fill="auto"/>
            <w:vAlign w:val="center"/>
            <w:hideMark/>
          </w:tcPr>
          <w:p w14:paraId="736453FD"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2</w:t>
            </w:r>
          </w:p>
        </w:tc>
        <w:tc>
          <w:tcPr>
            <w:tcW w:w="1162" w:type="pct"/>
            <w:shd w:val="clear" w:color="auto" w:fill="auto"/>
            <w:vAlign w:val="center"/>
            <w:hideMark/>
          </w:tcPr>
          <w:p w14:paraId="6AF71887"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118.307</w:t>
            </w:r>
          </w:p>
        </w:tc>
        <w:tc>
          <w:tcPr>
            <w:tcW w:w="216" w:type="pct"/>
            <w:shd w:val="clear" w:color="auto" w:fill="auto"/>
            <w:noWrap/>
            <w:vAlign w:val="center"/>
            <w:hideMark/>
          </w:tcPr>
          <w:p w14:paraId="2474EA8E"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0,11</w:t>
            </w:r>
            <w:r>
              <w:rPr>
                <w:rFonts w:ascii="Arial" w:eastAsia="Times New Roman" w:hAnsi="Arial" w:cs="Arial"/>
                <w:color w:val="000000"/>
                <w:sz w:val="18"/>
                <w:szCs w:val="18"/>
                <w:lang w:eastAsia="sl-SI"/>
              </w:rPr>
              <w:t xml:space="preserve"> %</w:t>
            </w:r>
          </w:p>
        </w:tc>
        <w:tc>
          <w:tcPr>
            <w:tcW w:w="216" w:type="pct"/>
            <w:shd w:val="clear" w:color="auto" w:fill="auto"/>
            <w:noWrap/>
            <w:vAlign w:val="center"/>
            <w:hideMark/>
          </w:tcPr>
          <w:p w14:paraId="345718A3"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r>
      <w:tr w:rsidR="00E3750C" w:rsidRPr="007F3AA7" w14:paraId="2E5FC117" w14:textId="77777777" w:rsidTr="00047864">
        <w:trPr>
          <w:trHeight w:val="300"/>
        </w:trPr>
        <w:tc>
          <w:tcPr>
            <w:tcW w:w="2550" w:type="pct"/>
            <w:shd w:val="clear" w:color="auto" w:fill="auto"/>
            <w:vAlign w:val="center"/>
            <w:hideMark/>
          </w:tcPr>
          <w:p w14:paraId="4B1E4633"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Prevozna sredstva in dodatni proizvodi za promet</w:t>
            </w:r>
          </w:p>
        </w:tc>
        <w:tc>
          <w:tcPr>
            <w:tcW w:w="428" w:type="pct"/>
            <w:shd w:val="clear" w:color="auto" w:fill="auto"/>
            <w:vAlign w:val="center"/>
            <w:hideMark/>
          </w:tcPr>
          <w:p w14:paraId="6377F787"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34</w:t>
            </w:r>
          </w:p>
        </w:tc>
        <w:tc>
          <w:tcPr>
            <w:tcW w:w="428" w:type="pct"/>
            <w:shd w:val="clear" w:color="auto" w:fill="auto"/>
            <w:vAlign w:val="center"/>
            <w:hideMark/>
          </w:tcPr>
          <w:p w14:paraId="0C5FF08E"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244</w:t>
            </w:r>
          </w:p>
        </w:tc>
        <w:tc>
          <w:tcPr>
            <w:tcW w:w="1162" w:type="pct"/>
            <w:shd w:val="clear" w:color="auto" w:fill="auto"/>
            <w:vAlign w:val="center"/>
            <w:hideMark/>
          </w:tcPr>
          <w:p w14:paraId="579C2A63"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37.208.205</w:t>
            </w:r>
          </w:p>
        </w:tc>
        <w:tc>
          <w:tcPr>
            <w:tcW w:w="216" w:type="pct"/>
            <w:shd w:val="clear" w:color="auto" w:fill="auto"/>
            <w:noWrap/>
            <w:vAlign w:val="center"/>
            <w:hideMark/>
          </w:tcPr>
          <w:p w14:paraId="1D12F7A7"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13,60</w:t>
            </w:r>
            <w:r>
              <w:rPr>
                <w:rFonts w:ascii="Arial" w:eastAsia="Times New Roman" w:hAnsi="Arial" w:cs="Arial"/>
                <w:color w:val="000000"/>
                <w:sz w:val="18"/>
                <w:szCs w:val="18"/>
                <w:lang w:eastAsia="sl-SI"/>
              </w:rPr>
              <w:t xml:space="preserve"> %</w:t>
            </w:r>
          </w:p>
        </w:tc>
        <w:tc>
          <w:tcPr>
            <w:tcW w:w="216" w:type="pct"/>
            <w:shd w:val="clear" w:color="auto" w:fill="auto"/>
            <w:noWrap/>
            <w:vAlign w:val="center"/>
            <w:hideMark/>
          </w:tcPr>
          <w:p w14:paraId="7BB3736B"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4,37</w:t>
            </w:r>
            <w:r>
              <w:rPr>
                <w:rFonts w:ascii="Arial" w:eastAsia="Times New Roman" w:hAnsi="Arial" w:cs="Arial"/>
                <w:color w:val="000000"/>
                <w:sz w:val="18"/>
                <w:szCs w:val="18"/>
                <w:lang w:eastAsia="sl-SI"/>
              </w:rPr>
              <w:t xml:space="preserve"> %</w:t>
            </w:r>
          </w:p>
        </w:tc>
      </w:tr>
      <w:tr w:rsidR="00E3750C" w:rsidRPr="007F3AA7" w14:paraId="27A413B4" w14:textId="77777777" w:rsidTr="00047864">
        <w:trPr>
          <w:trHeight w:val="300"/>
        </w:trPr>
        <w:tc>
          <w:tcPr>
            <w:tcW w:w="2550" w:type="pct"/>
            <w:shd w:val="clear" w:color="auto" w:fill="auto"/>
            <w:vAlign w:val="center"/>
            <w:hideMark/>
          </w:tcPr>
          <w:p w14:paraId="2A7F5484"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Varnostna, gasilska, policijska in obrambna oprema</w:t>
            </w:r>
          </w:p>
        </w:tc>
        <w:tc>
          <w:tcPr>
            <w:tcW w:w="428" w:type="pct"/>
            <w:shd w:val="clear" w:color="auto" w:fill="auto"/>
            <w:vAlign w:val="center"/>
            <w:hideMark/>
          </w:tcPr>
          <w:p w14:paraId="71DA1887"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35</w:t>
            </w:r>
          </w:p>
        </w:tc>
        <w:tc>
          <w:tcPr>
            <w:tcW w:w="428" w:type="pct"/>
            <w:shd w:val="clear" w:color="auto" w:fill="auto"/>
            <w:vAlign w:val="center"/>
            <w:hideMark/>
          </w:tcPr>
          <w:p w14:paraId="56EBE54F"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15</w:t>
            </w:r>
          </w:p>
        </w:tc>
        <w:tc>
          <w:tcPr>
            <w:tcW w:w="1162" w:type="pct"/>
            <w:shd w:val="clear" w:color="auto" w:fill="auto"/>
            <w:vAlign w:val="center"/>
            <w:hideMark/>
          </w:tcPr>
          <w:p w14:paraId="32C8E1B0"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2.102.318</w:t>
            </w:r>
          </w:p>
        </w:tc>
        <w:tc>
          <w:tcPr>
            <w:tcW w:w="216" w:type="pct"/>
            <w:shd w:val="clear" w:color="auto" w:fill="auto"/>
            <w:noWrap/>
            <w:vAlign w:val="center"/>
            <w:hideMark/>
          </w:tcPr>
          <w:p w14:paraId="5F86FC8B"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0,84</w:t>
            </w:r>
            <w:r>
              <w:rPr>
                <w:rFonts w:ascii="Arial" w:eastAsia="Times New Roman" w:hAnsi="Arial" w:cs="Arial"/>
                <w:color w:val="000000"/>
                <w:sz w:val="18"/>
                <w:szCs w:val="18"/>
                <w:lang w:eastAsia="sl-SI"/>
              </w:rPr>
              <w:t xml:space="preserve"> %</w:t>
            </w:r>
          </w:p>
        </w:tc>
        <w:tc>
          <w:tcPr>
            <w:tcW w:w="216" w:type="pct"/>
            <w:shd w:val="clear" w:color="auto" w:fill="auto"/>
            <w:noWrap/>
            <w:vAlign w:val="center"/>
            <w:hideMark/>
          </w:tcPr>
          <w:p w14:paraId="58935801"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0,25</w:t>
            </w:r>
            <w:r>
              <w:rPr>
                <w:rFonts w:ascii="Arial" w:eastAsia="Times New Roman" w:hAnsi="Arial" w:cs="Arial"/>
                <w:color w:val="000000"/>
                <w:sz w:val="18"/>
                <w:szCs w:val="18"/>
                <w:lang w:eastAsia="sl-SI"/>
              </w:rPr>
              <w:t xml:space="preserve"> %</w:t>
            </w:r>
          </w:p>
        </w:tc>
      </w:tr>
      <w:tr w:rsidR="00E3750C" w:rsidRPr="007F3AA7" w14:paraId="1A04301B" w14:textId="77777777" w:rsidTr="00047864">
        <w:trPr>
          <w:trHeight w:val="300"/>
        </w:trPr>
        <w:tc>
          <w:tcPr>
            <w:tcW w:w="2550" w:type="pct"/>
            <w:shd w:val="clear" w:color="auto" w:fill="auto"/>
            <w:vAlign w:val="center"/>
            <w:hideMark/>
          </w:tcPr>
          <w:p w14:paraId="5C94A519"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Laboratorijska, optična in precizna oprema (razen očal)</w:t>
            </w:r>
          </w:p>
        </w:tc>
        <w:tc>
          <w:tcPr>
            <w:tcW w:w="428" w:type="pct"/>
            <w:shd w:val="clear" w:color="auto" w:fill="auto"/>
            <w:vAlign w:val="center"/>
            <w:hideMark/>
          </w:tcPr>
          <w:p w14:paraId="4D8E9F93"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38</w:t>
            </w:r>
          </w:p>
        </w:tc>
        <w:tc>
          <w:tcPr>
            <w:tcW w:w="428" w:type="pct"/>
            <w:shd w:val="clear" w:color="auto" w:fill="auto"/>
            <w:vAlign w:val="center"/>
            <w:hideMark/>
          </w:tcPr>
          <w:p w14:paraId="738CAF07"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42</w:t>
            </w:r>
          </w:p>
        </w:tc>
        <w:tc>
          <w:tcPr>
            <w:tcW w:w="1162" w:type="pct"/>
            <w:shd w:val="clear" w:color="auto" w:fill="auto"/>
            <w:vAlign w:val="center"/>
            <w:hideMark/>
          </w:tcPr>
          <w:p w14:paraId="77239D92"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15.326.405</w:t>
            </w:r>
          </w:p>
        </w:tc>
        <w:tc>
          <w:tcPr>
            <w:tcW w:w="216" w:type="pct"/>
            <w:shd w:val="clear" w:color="auto" w:fill="auto"/>
            <w:noWrap/>
            <w:vAlign w:val="center"/>
            <w:hideMark/>
          </w:tcPr>
          <w:p w14:paraId="2C60D7F6"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2,34</w:t>
            </w:r>
            <w:r>
              <w:rPr>
                <w:rFonts w:ascii="Arial" w:eastAsia="Times New Roman" w:hAnsi="Arial" w:cs="Arial"/>
                <w:color w:val="000000"/>
                <w:sz w:val="18"/>
                <w:szCs w:val="18"/>
                <w:lang w:eastAsia="sl-SI"/>
              </w:rPr>
              <w:t xml:space="preserve"> %</w:t>
            </w:r>
          </w:p>
        </w:tc>
        <w:tc>
          <w:tcPr>
            <w:tcW w:w="216" w:type="pct"/>
            <w:shd w:val="clear" w:color="auto" w:fill="auto"/>
            <w:noWrap/>
            <w:vAlign w:val="center"/>
            <w:hideMark/>
          </w:tcPr>
          <w:p w14:paraId="1A49BDD4"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1,80</w:t>
            </w:r>
            <w:r>
              <w:rPr>
                <w:rFonts w:ascii="Arial" w:eastAsia="Times New Roman" w:hAnsi="Arial" w:cs="Arial"/>
                <w:color w:val="000000"/>
                <w:sz w:val="18"/>
                <w:szCs w:val="18"/>
                <w:lang w:eastAsia="sl-SI"/>
              </w:rPr>
              <w:t xml:space="preserve"> %</w:t>
            </w:r>
          </w:p>
        </w:tc>
      </w:tr>
      <w:tr w:rsidR="00E3750C" w:rsidRPr="007F3AA7" w14:paraId="5C8D86BF" w14:textId="77777777" w:rsidTr="00047864">
        <w:trPr>
          <w:trHeight w:val="300"/>
        </w:trPr>
        <w:tc>
          <w:tcPr>
            <w:tcW w:w="2550" w:type="pct"/>
            <w:shd w:val="clear" w:color="auto" w:fill="auto"/>
            <w:vAlign w:val="center"/>
            <w:hideMark/>
          </w:tcPr>
          <w:p w14:paraId="2DB6373A"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Pohištvo (vključno s pisarniškim pohištvom), notranja oprema, gospodinjske naprave (razen svetil) in čistilna sredstva</w:t>
            </w:r>
          </w:p>
        </w:tc>
        <w:tc>
          <w:tcPr>
            <w:tcW w:w="428" w:type="pct"/>
            <w:shd w:val="clear" w:color="auto" w:fill="auto"/>
            <w:vAlign w:val="center"/>
            <w:hideMark/>
          </w:tcPr>
          <w:p w14:paraId="4271877C"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39</w:t>
            </w:r>
          </w:p>
        </w:tc>
        <w:tc>
          <w:tcPr>
            <w:tcW w:w="428" w:type="pct"/>
            <w:shd w:val="clear" w:color="auto" w:fill="auto"/>
            <w:vAlign w:val="center"/>
            <w:hideMark/>
          </w:tcPr>
          <w:p w14:paraId="18676A9A"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11</w:t>
            </w:r>
          </w:p>
        </w:tc>
        <w:tc>
          <w:tcPr>
            <w:tcW w:w="1162" w:type="pct"/>
            <w:shd w:val="clear" w:color="auto" w:fill="auto"/>
            <w:vAlign w:val="center"/>
            <w:hideMark/>
          </w:tcPr>
          <w:p w14:paraId="52716585"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2.245.326</w:t>
            </w:r>
          </w:p>
        </w:tc>
        <w:tc>
          <w:tcPr>
            <w:tcW w:w="216" w:type="pct"/>
            <w:shd w:val="clear" w:color="auto" w:fill="auto"/>
            <w:noWrap/>
            <w:vAlign w:val="center"/>
            <w:hideMark/>
          </w:tcPr>
          <w:p w14:paraId="63507568"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0,61</w:t>
            </w:r>
            <w:r>
              <w:rPr>
                <w:rFonts w:ascii="Arial" w:eastAsia="Times New Roman" w:hAnsi="Arial" w:cs="Arial"/>
                <w:color w:val="000000"/>
                <w:sz w:val="18"/>
                <w:szCs w:val="18"/>
                <w:lang w:eastAsia="sl-SI"/>
              </w:rPr>
              <w:t xml:space="preserve"> %</w:t>
            </w:r>
          </w:p>
        </w:tc>
        <w:tc>
          <w:tcPr>
            <w:tcW w:w="216" w:type="pct"/>
            <w:shd w:val="clear" w:color="auto" w:fill="auto"/>
            <w:noWrap/>
            <w:vAlign w:val="center"/>
            <w:hideMark/>
          </w:tcPr>
          <w:p w14:paraId="20B50BAC"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0,26</w:t>
            </w:r>
            <w:r>
              <w:rPr>
                <w:rFonts w:ascii="Arial" w:eastAsia="Times New Roman" w:hAnsi="Arial" w:cs="Arial"/>
                <w:color w:val="000000"/>
                <w:sz w:val="18"/>
                <w:szCs w:val="18"/>
                <w:lang w:eastAsia="sl-SI"/>
              </w:rPr>
              <w:t xml:space="preserve"> %</w:t>
            </w:r>
          </w:p>
        </w:tc>
      </w:tr>
      <w:tr w:rsidR="00E3750C" w:rsidRPr="007F3AA7" w14:paraId="6E234D6F" w14:textId="77777777" w:rsidTr="00047864">
        <w:trPr>
          <w:trHeight w:val="300"/>
        </w:trPr>
        <w:tc>
          <w:tcPr>
            <w:tcW w:w="2550" w:type="pct"/>
            <w:shd w:val="clear" w:color="auto" w:fill="auto"/>
            <w:vAlign w:val="center"/>
            <w:hideMark/>
          </w:tcPr>
          <w:p w14:paraId="3C772F3E"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Zbrana in očiščena voda</w:t>
            </w:r>
          </w:p>
        </w:tc>
        <w:tc>
          <w:tcPr>
            <w:tcW w:w="428" w:type="pct"/>
            <w:shd w:val="clear" w:color="auto" w:fill="auto"/>
            <w:vAlign w:val="center"/>
            <w:hideMark/>
          </w:tcPr>
          <w:p w14:paraId="435C3FE8"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41</w:t>
            </w:r>
          </w:p>
        </w:tc>
        <w:tc>
          <w:tcPr>
            <w:tcW w:w="428" w:type="pct"/>
            <w:shd w:val="clear" w:color="auto" w:fill="auto"/>
            <w:vAlign w:val="center"/>
            <w:hideMark/>
          </w:tcPr>
          <w:p w14:paraId="450C6DB7"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6</w:t>
            </w:r>
          </w:p>
        </w:tc>
        <w:tc>
          <w:tcPr>
            <w:tcW w:w="1162" w:type="pct"/>
            <w:shd w:val="clear" w:color="auto" w:fill="auto"/>
            <w:vAlign w:val="center"/>
            <w:hideMark/>
          </w:tcPr>
          <w:p w14:paraId="08D9D56F"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1.753.227</w:t>
            </w:r>
          </w:p>
        </w:tc>
        <w:tc>
          <w:tcPr>
            <w:tcW w:w="216" w:type="pct"/>
            <w:shd w:val="clear" w:color="auto" w:fill="auto"/>
            <w:noWrap/>
            <w:vAlign w:val="center"/>
            <w:hideMark/>
          </w:tcPr>
          <w:p w14:paraId="27DDAF89"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0,33</w:t>
            </w:r>
            <w:r>
              <w:rPr>
                <w:rFonts w:ascii="Arial" w:eastAsia="Times New Roman" w:hAnsi="Arial" w:cs="Arial"/>
                <w:color w:val="000000"/>
                <w:sz w:val="18"/>
                <w:szCs w:val="18"/>
                <w:lang w:eastAsia="sl-SI"/>
              </w:rPr>
              <w:t xml:space="preserve"> %</w:t>
            </w:r>
          </w:p>
        </w:tc>
        <w:tc>
          <w:tcPr>
            <w:tcW w:w="216" w:type="pct"/>
            <w:shd w:val="clear" w:color="auto" w:fill="auto"/>
            <w:noWrap/>
            <w:vAlign w:val="center"/>
            <w:hideMark/>
          </w:tcPr>
          <w:p w14:paraId="7EA3D4B0"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0,21</w:t>
            </w:r>
            <w:r>
              <w:rPr>
                <w:rFonts w:ascii="Arial" w:eastAsia="Times New Roman" w:hAnsi="Arial" w:cs="Arial"/>
                <w:color w:val="000000"/>
                <w:sz w:val="18"/>
                <w:szCs w:val="18"/>
                <w:lang w:eastAsia="sl-SI"/>
              </w:rPr>
              <w:t xml:space="preserve"> %</w:t>
            </w:r>
          </w:p>
        </w:tc>
      </w:tr>
      <w:tr w:rsidR="00E3750C" w:rsidRPr="007F3AA7" w14:paraId="03DD8176" w14:textId="77777777" w:rsidTr="00047864">
        <w:trPr>
          <w:trHeight w:val="300"/>
        </w:trPr>
        <w:tc>
          <w:tcPr>
            <w:tcW w:w="2550" w:type="pct"/>
            <w:shd w:val="clear" w:color="auto" w:fill="auto"/>
            <w:vAlign w:val="center"/>
            <w:hideMark/>
          </w:tcPr>
          <w:p w14:paraId="5B5E91EF"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Industrijski stroji</w:t>
            </w:r>
          </w:p>
        </w:tc>
        <w:tc>
          <w:tcPr>
            <w:tcW w:w="428" w:type="pct"/>
            <w:shd w:val="clear" w:color="auto" w:fill="auto"/>
            <w:vAlign w:val="center"/>
            <w:hideMark/>
          </w:tcPr>
          <w:p w14:paraId="56116C58"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42</w:t>
            </w:r>
          </w:p>
        </w:tc>
        <w:tc>
          <w:tcPr>
            <w:tcW w:w="428" w:type="pct"/>
            <w:shd w:val="clear" w:color="auto" w:fill="auto"/>
            <w:vAlign w:val="center"/>
            <w:hideMark/>
          </w:tcPr>
          <w:p w14:paraId="757642BC"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124</w:t>
            </w:r>
          </w:p>
        </w:tc>
        <w:tc>
          <w:tcPr>
            <w:tcW w:w="1162" w:type="pct"/>
            <w:shd w:val="clear" w:color="auto" w:fill="auto"/>
            <w:vAlign w:val="center"/>
            <w:hideMark/>
          </w:tcPr>
          <w:p w14:paraId="54EB0D2C"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31.352.648</w:t>
            </w:r>
          </w:p>
        </w:tc>
        <w:tc>
          <w:tcPr>
            <w:tcW w:w="216" w:type="pct"/>
            <w:shd w:val="clear" w:color="auto" w:fill="auto"/>
            <w:noWrap/>
            <w:vAlign w:val="center"/>
            <w:hideMark/>
          </w:tcPr>
          <w:p w14:paraId="586539F5"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6,91</w:t>
            </w:r>
            <w:r>
              <w:rPr>
                <w:rFonts w:ascii="Arial" w:eastAsia="Times New Roman" w:hAnsi="Arial" w:cs="Arial"/>
                <w:color w:val="000000"/>
                <w:sz w:val="18"/>
                <w:szCs w:val="18"/>
                <w:lang w:eastAsia="sl-SI"/>
              </w:rPr>
              <w:t xml:space="preserve"> %</w:t>
            </w:r>
          </w:p>
        </w:tc>
        <w:tc>
          <w:tcPr>
            <w:tcW w:w="216" w:type="pct"/>
            <w:shd w:val="clear" w:color="auto" w:fill="auto"/>
            <w:noWrap/>
            <w:vAlign w:val="center"/>
            <w:hideMark/>
          </w:tcPr>
          <w:p w14:paraId="3E6D5833"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3,69</w:t>
            </w:r>
            <w:r>
              <w:rPr>
                <w:rFonts w:ascii="Arial" w:eastAsia="Times New Roman" w:hAnsi="Arial" w:cs="Arial"/>
                <w:color w:val="000000"/>
                <w:sz w:val="18"/>
                <w:szCs w:val="18"/>
                <w:lang w:eastAsia="sl-SI"/>
              </w:rPr>
              <w:t xml:space="preserve"> %</w:t>
            </w:r>
          </w:p>
        </w:tc>
      </w:tr>
      <w:tr w:rsidR="00E3750C" w:rsidRPr="007F3AA7" w14:paraId="24B1F4BE" w14:textId="77777777" w:rsidTr="00047864">
        <w:trPr>
          <w:trHeight w:val="300"/>
        </w:trPr>
        <w:tc>
          <w:tcPr>
            <w:tcW w:w="2550" w:type="pct"/>
            <w:shd w:val="clear" w:color="auto" w:fill="auto"/>
            <w:vAlign w:val="center"/>
            <w:hideMark/>
          </w:tcPr>
          <w:p w14:paraId="63BC32AE"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Rudarska, kamnoseška in gradbena oprema</w:t>
            </w:r>
          </w:p>
        </w:tc>
        <w:tc>
          <w:tcPr>
            <w:tcW w:w="428" w:type="pct"/>
            <w:shd w:val="clear" w:color="auto" w:fill="auto"/>
            <w:vAlign w:val="center"/>
            <w:hideMark/>
          </w:tcPr>
          <w:p w14:paraId="45F11A7F"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43</w:t>
            </w:r>
          </w:p>
        </w:tc>
        <w:tc>
          <w:tcPr>
            <w:tcW w:w="428" w:type="pct"/>
            <w:shd w:val="clear" w:color="auto" w:fill="auto"/>
            <w:vAlign w:val="center"/>
            <w:hideMark/>
          </w:tcPr>
          <w:p w14:paraId="4D925972"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44</w:t>
            </w:r>
          </w:p>
        </w:tc>
        <w:tc>
          <w:tcPr>
            <w:tcW w:w="1162" w:type="pct"/>
            <w:shd w:val="clear" w:color="auto" w:fill="auto"/>
            <w:vAlign w:val="center"/>
            <w:hideMark/>
          </w:tcPr>
          <w:p w14:paraId="027E460E"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10.886.180</w:t>
            </w:r>
          </w:p>
        </w:tc>
        <w:tc>
          <w:tcPr>
            <w:tcW w:w="216" w:type="pct"/>
            <w:shd w:val="clear" w:color="auto" w:fill="auto"/>
            <w:noWrap/>
            <w:vAlign w:val="center"/>
            <w:hideMark/>
          </w:tcPr>
          <w:p w14:paraId="4152402E"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2,45</w:t>
            </w:r>
            <w:r>
              <w:rPr>
                <w:rFonts w:ascii="Arial" w:eastAsia="Times New Roman" w:hAnsi="Arial" w:cs="Arial"/>
                <w:color w:val="000000"/>
                <w:sz w:val="18"/>
                <w:szCs w:val="18"/>
                <w:lang w:eastAsia="sl-SI"/>
              </w:rPr>
              <w:t xml:space="preserve"> %</w:t>
            </w:r>
          </w:p>
        </w:tc>
        <w:tc>
          <w:tcPr>
            <w:tcW w:w="216" w:type="pct"/>
            <w:shd w:val="clear" w:color="auto" w:fill="auto"/>
            <w:noWrap/>
            <w:vAlign w:val="center"/>
            <w:hideMark/>
          </w:tcPr>
          <w:p w14:paraId="0B750E4A"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1,28</w:t>
            </w:r>
            <w:r>
              <w:rPr>
                <w:rFonts w:ascii="Arial" w:eastAsia="Times New Roman" w:hAnsi="Arial" w:cs="Arial"/>
                <w:color w:val="000000"/>
                <w:sz w:val="18"/>
                <w:szCs w:val="18"/>
                <w:lang w:eastAsia="sl-SI"/>
              </w:rPr>
              <w:t xml:space="preserve"> %</w:t>
            </w:r>
          </w:p>
        </w:tc>
      </w:tr>
      <w:tr w:rsidR="00E3750C" w:rsidRPr="007F3AA7" w14:paraId="6B6BB409" w14:textId="77777777" w:rsidTr="00047864">
        <w:trPr>
          <w:trHeight w:val="300"/>
        </w:trPr>
        <w:tc>
          <w:tcPr>
            <w:tcW w:w="2550" w:type="pct"/>
            <w:shd w:val="clear" w:color="auto" w:fill="auto"/>
            <w:vAlign w:val="center"/>
            <w:hideMark/>
          </w:tcPr>
          <w:p w14:paraId="5A06D7EA"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Gradbene strukture in materiali; pomožni gradbeni izdelki (razen električnih aparatov)</w:t>
            </w:r>
          </w:p>
        </w:tc>
        <w:tc>
          <w:tcPr>
            <w:tcW w:w="428" w:type="pct"/>
            <w:shd w:val="clear" w:color="auto" w:fill="auto"/>
            <w:vAlign w:val="center"/>
            <w:hideMark/>
          </w:tcPr>
          <w:p w14:paraId="5396235E"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44</w:t>
            </w:r>
          </w:p>
        </w:tc>
        <w:tc>
          <w:tcPr>
            <w:tcW w:w="428" w:type="pct"/>
            <w:shd w:val="clear" w:color="auto" w:fill="auto"/>
            <w:vAlign w:val="center"/>
            <w:hideMark/>
          </w:tcPr>
          <w:p w14:paraId="41D7B48D"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201</w:t>
            </w:r>
          </w:p>
        </w:tc>
        <w:tc>
          <w:tcPr>
            <w:tcW w:w="1162" w:type="pct"/>
            <w:shd w:val="clear" w:color="auto" w:fill="auto"/>
            <w:vAlign w:val="center"/>
            <w:hideMark/>
          </w:tcPr>
          <w:p w14:paraId="0B36522D"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81.820.483</w:t>
            </w:r>
          </w:p>
        </w:tc>
        <w:tc>
          <w:tcPr>
            <w:tcW w:w="216" w:type="pct"/>
            <w:shd w:val="clear" w:color="auto" w:fill="auto"/>
            <w:noWrap/>
            <w:vAlign w:val="center"/>
            <w:hideMark/>
          </w:tcPr>
          <w:p w14:paraId="3DFB50BB"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11,20</w:t>
            </w:r>
            <w:r>
              <w:rPr>
                <w:rFonts w:ascii="Arial" w:eastAsia="Times New Roman" w:hAnsi="Arial" w:cs="Arial"/>
                <w:color w:val="000000"/>
                <w:sz w:val="18"/>
                <w:szCs w:val="18"/>
                <w:lang w:eastAsia="sl-SI"/>
              </w:rPr>
              <w:t xml:space="preserve"> %</w:t>
            </w:r>
          </w:p>
        </w:tc>
        <w:tc>
          <w:tcPr>
            <w:tcW w:w="216" w:type="pct"/>
            <w:shd w:val="clear" w:color="auto" w:fill="auto"/>
            <w:noWrap/>
            <w:vAlign w:val="center"/>
            <w:hideMark/>
          </w:tcPr>
          <w:p w14:paraId="6D54DB3D"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9,62</w:t>
            </w:r>
            <w:r>
              <w:rPr>
                <w:rFonts w:ascii="Arial" w:eastAsia="Times New Roman" w:hAnsi="Arial" w:cs="Arial"/>
                <w:color w:val="000000"/>
                <w:sz w:val="18"/>
                <w:szCs w:val="18"/>
                <w:lang w:eastAsia="sl-SI"/>
              </w:rPr>
              <w:t xml:space="preserve"> %</w:t>
            </w:r>
          </w:p>
        </w:tc>
      </w:tr>
      <w:tr w:rsidR="00E3750C" w:rsidRPr="007F3AA7" w14:paraId="6592EE52" w14:textId="77777777" w:rsidTr="00047864">
        <w:trPr>
          <w:trHeight w:val="300"/>
        </w:trPr>
        <w:tc>
          <w:tcPr>
            <w:tcW w:w="2550" w:type="pct"/>
            <w:shd w:val="clear" w:color="auto" w:fill="auto"/>
            <w:vAlign w:val="center"/>
            <w:hideMark/>
          </w:tcPr>
          <w:p w14:paraId="1DE6A74C"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Gradbena dela</w:t>
            </w:r>
          </w:p>
        </w:tc>
        <w:tc>
          <w:tcPr>
            <w:tcW w:w="428" w:type="pct"/>
            <w:shd w:val="clear" w:color="auto" w:fill="auto"/>
            <w:vAlign w:val="center"/>
            <w:hideMark/>
          </w:tcPr>
          <w:p w14:paraId="34ACC2FC"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45</w:t>
            </w:r>
          </w:p>
        </w:tc>
        <w:tc>
          <w:tcPr>
            <w:tcW w:w="428" w:type="pct"/>
            <w:shd w:val="clear" w:color="auto" w:fill="auto"/>
            <w:vAlign w:val="center"/>
            <w:hideMark/>
          </w:tcPr>
          <w:p w14:paraId="62C1161C"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215</w:t>
            </w:r>
          </w:p>
        </w:tc>
        <w:tc>
          <w:tcPr>
            <w:tcW w:w="1162" w:type="pct"/>
            <w:shd w:val="clear" w:color="auto" w:fill="auto"/>
            <w:vAlign w:val="center"/>
            <w:hideMark/>
          </w:tcPr>
          <w:p w14:paraId="247A24D6"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114.400.838</w:t>
            </w:r>
          </w:p>
        </w:tc>
        <w:tc>
          <w:tcPr>
            <w:tcW w:w="216" w:type="pct"/>
            <w:shd w:val="clear" w:color="auto" w:fill="auto"/>
            <w:noWrap/>
            <w:vAlign w:val="center"/>
            <w:hideMark/>
          </w:tcPr>
          <w:p w14:paraId="7CE3F876"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11,98</w:t>
            </w:r>
            <w:r>
              <w:rPr>
                <w:rFonts w:ascii="Arial" w:eastAsia="Times New Roman" w:hAnsi="Arial" w:cs="Arial"/>
                <w:color w:val="000000"/>
                <w:sz w:val="18"/>
                <w:szCs w:val="18"/>
                <w:lang w:eastAsia="sl-SI"/>
              </w:rPr>
              <w:t xml:space="preserve"> %</w:t>
            </w:r>
          </w:p>
        </w:tc>
        <w:tc>
          <w:tcPr>
            <w:tcW w:w="216" w:type="pct"/>
            <w:shd w:val="clear" w:color="auto" w:fill="auto"/>
            <w:noWrap/>
            <w:vAlign w:val="center"/>
            <w:hideMark/>
          </w:tcPr>
          <w:p w14:paraId="50BFB516"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13,45</w:t>
            </w:r>
            <w:r>
              <w:rPr>
                <w:rFonts w:ascii="Arial" w:eastAsia="Times New Roman" w:hAnsi="Arial" w:cs="Arial"/>
                <w:color w:val="000000"/>
                <w:sz w:val="18"/>
                <w:szCs w:val="18"/>
                <w:lang w:eastAsia="sl-SI"/>
              </w:rPr>
              <w:t xml:space="preserve"> %</w:t>
            </w:r>
          </w:p>
        </w:tc>
      </w:tr>
      <w:tr w:rsidR="00E3750C" w:rsidRPr="007F3AA7" w14:paraId="579C04D2" w14:textId="77777777" w:rsidTr="00047864">
        <w:trPr>
          <w:trHeight w:val="300"/>
        </w:trPr>
        <w:tc>
          <w:tcPr>
            <w:tcW w:w="2550" w:type="pct"/>
            <w:shd w:val="clear" w:color="auto" w:fill="auto"/>
            <w:vAlign w:val="center"/>
            <w:hideMark/>
          </w:tcPr>
          <w:p w14:paraId="50CDBE1E"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Programski paketi in informacijski sistemi</w:t>
            </w:r>
          </w:p>
        </w:tc>
        <w:tc>
          <w:tcPr>
            <w:tcW w:w="428" w:type="pct"/>
            <w:shd w:val="clear" w:color="auto" w:fill="auto"/>
            <w:vAlign w:val="center"/>
            <w:hideMark/>
          </w:tcPr>
          <w:p w14:paraId="0003682F"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48</w:t>
            </w:r>
          </w:p>
        </w:tc>
        <w:tc>
          <w:tcPr>
            <w:tcW w:w="428" w:type="pct"/>
            <w:shd w:val="clear" w:color="auto" w:fill="auto"/>
            <w:vAlign w:val="center"/>
            <w:hideMark/>
          </w:tcPr>
          <w:p w14:paraId="1DC07A0A"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22</w:t>
            </w:r>
          </w:p>
        </w:tc>
        <w:tc>
          <w:tcPr>
            <w:tcW w:w="1162" w:type="pct"/>
            <w:shd w:val="clear" w:color="auto" w:fill="auto"/>
            <w:vAlign w:val="center"/>
            <w:hideMark/>
          </w:tcPr>
          <w:p w14:paraId="7C16967D"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12.952.121</w:t>
            </w:r>
          </w:p>
        </w:tc>
        <w:tc>
          <w:tcPr>
            <w:tcW w:w="216" w:type="pct"/>
            <w:shd w:val="clear" w:color="auto" w:fill="auto"/>
            <w:noWrap/>
            <w:vAlign w:val="center"/>
            <w:hideMark/>
          </w:tcPr>
          <w:p w14:paraId="099844AB"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1,23</w:t>
            </w:r>
            <w:r>
              <w:rPr>
                <w:rFonts w:ascii="Arial" w:eastAsia="Times New Roman" w:hAnsi="Arial" w:cs="Arial"/>
                <w:color w:val="000000"/>
                <w:sz w:val="18"/>
                <w:szCs w:val="18"/>
                <w:lang w:eastAsia="sl-SI"/>
              </w:rPr>
              <w:t xml:space="preserve"> %</w:t>
            </w:r>
          </w:p>
        </w:tc>
        <w:tc>
          <w:tcPr>
            <w:tcW w:w="216" w:type="pct"/>
            <w:shd w:val="clear" w:color="auto" w:fill="auto"/>
            <w:noWrap/>
            <w:vAlign w:val="center"/>
            <w:hideMark/>
          </w:tcPr>
          <w:p w14:paraId="318F0ABF"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1,52</w:t>
            </w:r>
            <w:r>
              <w:rPr>
                <w:rFonts w:ascii="Arial" w:eastAsia="Times New Roman" w:hAnsi="Arial" w:cs="Arial"/>
                <w:color w:val="000000"/>
                <w:sz w:val="18"/>
                <w:szCs w:val="18"/>
                <w:lang w:eastAsia="sl-SI"/>
              </w:rPr>
              <w:t xml:space="preserve"> %</w:t>
            </w:r>
          </w:p>
        </w:tc>
      </w:tr>
      <w:tr w:rsidR="00E3750C" w:rsidRPr="007F3AA7" w14:paraId="71D65727" w14:textId="77777777" w:rsidTr="00047864">
        <w:trPr>
          <w:trHeight w:val="300"/>
        </w:trPr>
        <w:tc>
          <w:tcPr>
            <w:tcW w:w="2550" w:type="pct"/>
            <w:shd w:val="clear" w:color="auto" w:fill="auto"/>
            <w:vAlign w:val="center"/>
            <w:hideMark/>
          </w:tcPr>
          <w:p w14:paraId="1771D86A"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Storitve popravila in vzdrževanja</w:t>
            </w:r>
          </w:p>
        </w:tc>
        <w:tc>
          <w:tcPr>
            <w:tcW w:w="428" w:type="pct"/>
            <w:shd w:val="clear" w:color="auto" w:fill="auto"/>
            <w:vAlign w:val="center"/>
            <w:hideMark/>
          </w:tcPr>
          <w:p w14:paraId="0588121C"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50</w:t>
            </w:r>
          </w:p>
        </w:tc>
        <w:tc>
          <w:tcPr>
            <w:tcW w:w="428" w:type="pct"/>
            <w:shd w:val="clear" w:color="auto" w:fill="auto"/>
            <w:vAlign w:val="center"/>
            <w:hideMark/>
          </w:tcPr>
          <w:p w14:paraId="502B671B"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156</w:t>
            </w:r>
          </w:p>
        </w:tc>
        <w:tc>
          <w:tcPr>
            <w:tcW w:w="1162" w:type="pct"/>
            <w:shd w:val="clear" w:color="auto" w:fill="auto"/>
            <w:vAlign w:val="center"/>
            <w:hideMark/>
          </w:tcPr>
          <w:p w14:paraId="2C1F53B9"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75.469.992</w:t>
            </w:r>
          </w:p>
        </w:tc>
        <w:tc>
          <w:tcPr>
            <w:tcW w:w="216" w:type="pct"/>
            <w:shd w:val="clear" w:color="auto" w:fill="auto"/>
            <w:noWrap/>
            <w:vAlign w:val="center"/>
            <w:hideMark/>
          </w:tcPr>
          <w:p w14:paraId="48DB9CAD"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8,70</w:t>
            </w:r>
            <w:r>
              <w:rPr>
                <w:rFonts w:ascii="Arial" w:eastAsia="Times New Roman" w:hAnsi="Arial" w:cs="Arial"/>
                <w:color w:val="000000"/>
                <w:sz w:val="18"/>
                <w:szCs w:val="18"/>
                <w:lang w:eastAsia="sl-SI"/>
              </w:rPr>
              <w:t xml:space="preserve"> %</w:t>
            </w:r>
          </w:p>
        </w:tc>
        <w:tc>
          <w:tcPr>
            <w:tcW w:w="216" w:type="pct"/>
            <w:shd w:val="clear" w:color="auto" w:fill="auto"/>
            <w:noWrap/>
            <w:vAlign w:val="center"/>
            <w:hideMark/>
          </w:tcPr>
          <w:p w14:paraId="2C1662BA"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8,87</w:t>
            </w:r>
            <w:r>
              <w:rPr>
                <w:rFonts w:ascii="Arial" w:eastAsia="Times New Roman" w:hAnsi="Arial" w:cs="Arial"/>
                <w:color w:val="000000"/>
                <w:sz w:val="18"/>
                <w:szCs w:val="18"/>
                <w:lang w:eastAsia="sl-SI"/>
              </w:rPr>
              <w:t xml:space="preserve"> %</w:t>
            </w:r>
          </w:p>
        </w:tc>
      </w:tr>
      <w:tr w:rsidR="00E3750C" w:rsidRPr="007F3AA7" w14:paraId="02D2322E" w14:textId="77777777" w:rsidTr="00047864">
        <w:trPr>
          <w:trHeight w:val="300"/>
        </w:trPr>
        <w:tc>
          <w:tcPr>
            <w:tcW w:w="2550" w:type="pct"/>
            <w:shd w:val="clear" w:color="auto" w:fill="auto"/>
            <w:vAlign w:val="center"/>
            <w:hideMark/>
          </w:tcPr>
          <w:p w14:paraId="46DA6E5A"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Storitve inštalacije (razen programske opreme)</w:t>
            </w:r>
          </w:p>
        </w:tc>
        <w:tc>
          <w:tcPr>
            <w:tcW w:w="428" w:type="pct"/>
            <w:shd w:val="clear" w:color="auto" w:fill="auto"/>
            <w:vAlign w:val="center"/>
            <w:hideMark/>
          </w:tcPr>
          <w:p w14:paraId="44C83DD9"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51</w:t>
            </w:r>
          </w:p>
        </w:tc>
        <w:tc>
          <w:tcPr>
            <w:tcW w:w="428" w:type="pct"/>
            <w:shd w:val="clear" w:color="auto" w:fill="auto"/>
            <w:vAlign w:val="center"/>
            <w:hideMark/>
          </w:tcPr>
          <w:p w14:paraId="50F98ECA"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50</w:t>
            </w:r>
          </w:p>
        </w:tc>
        <w:tc>
          <w:tcPr>
            <w:tcW w:w="1162" w:type="pct"/>
            <w:shd w:val="clear" w:color="auto" w:fill="auto"/>
            <w:vAlign w:val="center"/>
            <w:hideMark/>
          </w:tcPr>
          <w:p w14:paraId="10E7B6E0"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20.193.163</w:t>
            </w:r>
          </w:p>
        </w:tc>
        <w:tc>
          <w:tcPr>
            <w:tcW w:w="216" w:type="pct"/>
            <w:shd w:val="clear" w:color="auto" w:fill="auto"/>
            <w:noWrap/>
            <w:vAlign w:val="center"/>
            <w:hideMark/>
          </w:tcPr>
          <w:p w14:paraId="245F5A89"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2,79</w:t>
            </w:r>
            <w:r>
              <w:rPr>
                <w:rFonts w:ascii="Arial" w:eastAsia="Times New Roman" w:hAnsi="Arial" w:cs="Arial"/>
                <w:color w:val="000000"/>
                <w:sz w:val="18"/>
                <w:szCs w:val="18"/>
                <w:lang w:eastAsia="sl-SI"/>
              </w:rPr>
              <w:t xml:space="preserve"> %</w:t>
            </w:r>
          </w:p>
        </w:tc>
        <w:tc>
          <w:tcPr>
            <w:tcW w:w="216" w:type="pct"/>
            <w:shd w:val="clear" w:color="auto" w:fill="auto"/>
            <w:noWrap/>
            <w:vAlign w:val="center"/>
            <w:hideMark/>
          </w:tcPr>
          <w:p w14:paraId="79210538"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2,37</w:t>
            </w:r>
            <w:r>
              <w:rPr>
                <w:rFonts w:ascii="Arial" w:eastAsia="Times New Roman" w:hAnsi="Arial" w:cs="Arial"/>
                <w:color w:val="000000"/>
                <w:sz w:val="18"/>
                <w:szCs w:val="18"/>
                <w:lang w:eastAsia="sl-SI"/>
              </w:rPr>
              <w:t xml:space="preserve"> %</w:t>
            </w:r>
          </w:p>
        </w:tc>
      </w:tr>
      <w:tr w:rsidR="00E3750C" w:rsidRPr="007F3AA7" w14:paraId="5D04E6AE" w14:textId="77777777" w:rsidTr="00047864">
        <w:trPr>
          <w:trHeight w:val="300"/>
        </w:trPr>
        <w:tc>
          <w:tcPr>
            <w:tcW w:w="2550" w:type="pct"/>
            <w:shd w:val="clear" w:color="auto" w:fill="auto"/>
            <w:vAlign w:val="center"/>
            <w:hideMark/>
          </w:tcPr>
          <w:p w14:paraId="54DBB380"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Storitve hotelov, restavracij in trgovine na drobno</w:t>
            </w:r>
          </w:p>
        </w:tc>
        <w:tc>
          <w:tcPr>
            <w:tcW w:w="428" w:type="pct"/>
            <w:shd w:val="clear" w:color="auto" w:fill="auto"/>
            <w:vAlign w:val="center"/>
            <w:hideMark/>
          </w:tcPr>
          <w:p w14:paraId="0B821677"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55</w:t>
            </w:r>
          </w:p>
        </w:tc>
        <w:tc>
          <w:tcPr>
            <w:tcW w:w="428" w:type="pct"/>
            <w:shd w:val="clear" w:color="auto" w:fill="auto"/>
            <w:vAlign w:val="center"/>
            <w:hideMark/>
          </w:tcPr>
          <w:p w14:paraId="18A478FF"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1</w:t>
            </w:r>
          </w:p>
        </w:tc>
        <w:tc>
          <w:tcPr>
            <w:tcW w:w="1162" w:type="pct"/>
            <w:shd w:val="clear" w:color="auto" w:fill="auto"/>
            <w:vAlign w:val="center"/>
            <w:hideMark/>
          </w:tcPr>
          <w:p w14:paraId="78C29717"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1.490.027</w:t>
            </w:r>
          </w:p>
        </w:tc>
        <w:tc>
          <w:tcPr>
            <w:tcW w:w="216" w:type="pct"/>
            <w:shd w:val="clear" w:color="auto" w:fill="auto"/>
            <w:noWrap/>
            <w:vAlign w:val="center"/>
            <w:hideMark/>
          </w:tcPr>
          <w:p w14:paraId="5C2B3FFF"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0,06</w:t>
            </w:r>
            <w:r>
              <w:rPr>
                <w:rFonts w:ascii="Arial" w:eastAsia="Times New Roman" w:hAnsi="Arial" w:cs="Arial"/>
                <w:color w:val="000000"/>
                <w:sz w:val="18"/>
                <w:szCs w:val="18"/>
                <w:lang w:eastAsia="sl-SI"/>
              </w:rPr>
              <w:t xml:space="preserve"> %</w:t>
            </w:r>
          </w:p>
        </w:tc>
        <w:tc>
          <w:tcPr>
            <w:tcW w:w="216" w:type="pct"/>
            <w:shd w:val="clear" w:color="auto" w:fill="auto"/>
            <w:noWrap/>
            <w:vAlign w:val="center"/>
            <w:hideMark/>
          </w:tcPr>
          <w:p w14:paraId="0242F02F"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0,18</w:t>
            </w:r>
            <w:r>
              <w:rPr>
                <w:rFonts w:ascii="Arial" w:eastAsia="Times New Roman" w:hAnsi="Arial" w:cs="Arial"/>
                <w:color w:val="000000"/>
                <w:sz w:val="18"/>
                <w:szCs w:val="18"/>
                <w:lang w:eastAsia="sl-SI"/>
              </w:rPr>
              <w:t xml:space="preserve"> %</w:t>
            </w:r>
          </w:p>
        </w:tc>
      </w:tr>
      <w:tr w:rsidR="00E3750C" w:rsidRPr="007F3AA7" w14:paraId="65A99152" w14:textId="77777777" w:rsidTr="00047864">
        <w:trPr>
          <w:trHeight w:val="300"/>
        </w:trPr>
        <w:tc>
          <w:tcPr>
            <w:tcW w:w="2550" w:type="pct"/>
            <w:shd w:val="clear" w:color="auto" w:fill="auto"/>
            <w:vAlign w:val="center"/>
            <w:hideMark/>
          </w:tcPr>
          <w:p w14:paraId="2012967A"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Prevozne storitve (razen prevoza odpadkov)</w:t>
            </w:r>
          </w:p>
        </w:tc>
        <w:tc>
          <w:tcPr>
            <w:tcW w:w="428" w:type="pct"/>
            <w:shd w:val="clear" w:color="auto" w:fill="auto"/>
            <w:vAlign w:val="center"/>
            <w:hideMark/>
          </w:tcPr>
          <w:p w14:paraId="04239B11"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60</w:t>
            </w:r>
          </w:p>
        </w:tc>
        <w:tc>
          <w:tcPr>
            <w:tcW w:w="428" w:type="pct"/>
            <w:shd w:val="clear" w:color="auto" w:fill="auto"/>
            <w:vAlign w:val="center"/>
            <w:hideMark/>
          </w:tcPr>
          <w:p w14:paraId="65009F5C"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21</w:t>
            </w:r>
          </w:p>
        </w:tc>
        <w:tc>
          <w:tcPr>
            <w:tcW w:w="1162" w:type="pct"/>
            <w:shd w:val="clear" w:color="auto" w:fill="auto"/>
            <w:vAlign w:val="center"/>
            <w:hideMark/>
          </w:tcPr>
          <w:p w14:paraId="63EE7180"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20.067.991</w:t>
            </w:r>
          </w:p>
        </w:tc>
        <w:tc>
          <w:tcPr>
            <w:tcW w:w="216" w:type="pct"/>
            <w:shd w:val="clear" w:color="auto" w:fill="auto"/>
            <w:noWrap/>
            <w:vAlign w:val="center"/>
            <w:hideMark/>
          </w:tcPr>
          <w:p w14:paraId="4D85169D"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1,17</w:t>
            </w:r>
            <w:r>
              <w:rPr>
                <w:rFonts w:ascii="Arial" w:eastAsia="Times New Roman" w:hAnsi="Arial" w:cs="Arial"/>
                <w:color w:val="000000"/>
                <w:sz w:val="18"/>
                <w:szCs w:val="18"/>
                <w:lang w:eastAsia="sl-SI"/>
              </w:rPr>
              <w:t xml:space="preserve"> %</w:t>
            </w:r>
          </w:p>
        </w:tc>
        <w:tc>
          <w:tcPr>
            <w:tcW w:w="216" w:type="pct"/>
            <w:shd w:val="clear" w:color="auto" w:fill="auto"/>
            <w:noWrap/>
            <w:vAlign w:val="center"/>
            <w:hideMark/>
          </w:tcPr>
          <w:p w14:paraId="05C15A15"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2,36</w:t>
            </w:r>
            <w:r>
              <w:rPr>
                <w:rFonts w:ascii="Arial" w:eastAsia="Times New Roman" w:hAnsi="Arial" w:cs="Arial"/>
                <w:color w:val="000000"/>
                <w:sz w:val="18"/>
                <w:szCs w:val="18"/>
                <w:lang w:eastAsia="sl-SI"/>
              </w:rPr>
              <w:t xml:space="preserve"> %</w:t>
            </w:r>
          </w:p>
        </w:tc>
      </w:tr>
      <w:tr w:rsidR="00E3750C" w:rsidRPr="007F3AA7" w14:paraId="395DDC1C" w14:textId="77777777" w:rsidTr="00047864">
        <w:trPr>
          <w:trHeight w:val="300"/>
        </w:trPr>
        <w:tc>
          <w:tcPr>
            <w:tcW w:w="2550" w:type="pct"/>
            <w:shd w:val="clear" w:color="auto" w:fill="auto"/>
            <w:vAlign w:val="center"/>
            <w:hideMark/>
          </w:tcPr>
          <w:p w14:paraId="3538F1BF"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Podporne in pomožne prevozne storitve; storitve potovalnih agencij</w:t>
            </w:r>
          </w:p>
        </w:tc>
        <w:tc>
          <w:tcPr>
            <w:tcW w:w="428" w:type="pct"/>
            <w:shd w:val="clear" w:color="auto" w:fill="auto"/>
            <w:vAlign w:val="center"/>
            <w:hideMark/>
          </w:tcPr>
          <w:p w14:paraId="649F08FF"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63</w:t>
            </w:r>
          </w:p>
        </w:tc>
        <w:tc>
          <w:tcPr>
            <w:tcW w:w="428" w:type="pct"/>
            <w:shd w:val="clear" w:color="auto" w:fill="auto"/>
            <w:vAlign w:val="center"/>
            <w:hideMark/>
          </w:tcPr>
          <w:p w14:paraId="44290BF5"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3</w:t>
            </w:r>
          </w:p>
        </w:tc>
        <w:tc>
          <w:tcPr>
            <w:tcW w:w="1162" w:type="pct"/>
            <w:shd w:val="clear" w:color="auto" w:fill="auto"/>
            <w:vAlign w:val="center"/>
            <w:hideMark/>
          </w:tcPr>
          <w:p w14:paraId="75BC905D"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2.950.000</w:t>
            </w:r>
          </w:p>
        </w:tc>
        <w:tc>
          <w:tcPr>
            <w:tcW w:w="216" w:type="pct"/>
            <w:shd w:val="clear" w:color="auto" w:fill="auto"/>
            <w:noWrap/>
            <w:vAlign w:val="center"/>
            <w:hideMark/>
          </w:tcPr>
          <w:p w14:paraId="5DFB423C"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0,17</w:t>
            </w:r>
            <w:r>
              <w:rPr>
                <w:rFonts w:ascii="Arial" w:eastAsia="Times New Roman" w:hAnsi="Arial" w:cs="Arial"/>
                <w:color w:val="000000"/>
                <w:sz w:val="18"/>
                <w:szCs w:val="18"/>
                <w:lang w:eastAsia="sl-SI"/>
              </w:rPr>
              <w:t xml:space="preserve"> %</w:t>
            </w:r>
          </w:p>
        </w:tc>
        <w:tc>
          <w:tcPr>
            <w:tcW w:w="216" w:type="pct"/>
            <w:shd w:val="clear" w:color="auto" w:fill="auto"/>
            <w:noWrap/>
            <w:vAlign w:val="center"/>
            <w:hideMark/>
          </w:tcPr>
          <w:p w14:paraId="0B28DAC8"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0,35</w:t>
            </w:r>
            <w:r>
              <w:rPr>
                <w:rFonts w:ascii="Arial" w:eastAsia="Times New Roman" w:hAnsi="Arial" w:cs="Arial"/>
                <w:color w:val="000000"/>
                <w:sz w:val="18"/>
                <w:szCs w:val="18"/>
                <w:lang w:eastAsia="sl-SI"/>
              </w:rPr>
              <w:t xml:space="preserve"> %</w:t>
            </w:r>
          </w:p>
        </w:tc>
      </w:tr>
      <w:tr w:rsidR="00E3750C" w:rsidRPr="007F3AA7" w14:paraId="21D4F77A" w14:textId="77777777" w:rsidTr="00047864">
        <w:trPr>
          <w:trHeight w:val="300"/>
        </w:trPr>
        <w:tc>
          <w:tcPr>
            <w:tcW w:w="2550" w:type="pct"/>
            <w:shd w:val="clear" w:color="auto" w:fill="auto"/>
            <w:vAlign w:val="center"/>
            <w:hideMark/>
          </w:tcPr>
          <w:p w14:paraId="60D1F383"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Poštne in telekomunikacijske storitve</w:t>
            </w:r>
          </w:p>
        </w:tc>
        <w:tc>
          <w:tcPr>
            <w:tcW w:w="428" w:type="pct"/>
            <w:shd w:val="clear" w:color="auto" w:fill="auto"/>
            <w:vAlign w:val="center"/>
            <w:hideMark/>
          </w:tcPr>
          <w:p w14:paraId="7177E485"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64</w:t>
            </w:r>
          </w:p>
        </w:tc>
        <w:tc>
          <w:tcPr>
            <w:tcW w:w="428" w:type="pct"/>
            <w:shd w:val="clear" w:color="auto" w:fill="auto"/>
            <w:vAlign w:val="center"/>
            <w:hideMark/>
          </w:tcPr>
          <w:p w14:paraId="1F86ACCB"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5</w:t>
            </w:r>
          </w:p>
        </w:tc>
        <w:tc>
          <w:tcPr>
            <w:tcW w:w="1162" w:type="pct"/>
            <w:shd w:val="clear" w:color="auto" w:fill="auto"/>
            <w:vAlign w:val="center"/>
            <w:hideMark/>
          </w:tcPr>
          <w:p w14:paraId="0C9F9F92"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2.356.249</w:t>
            </w:r>
          </w:p>
        </w:tc>
        <w:tc>
          <w:tcPr>
            <w:tcW w:w="216" w:type="pct"/>
            <w:shd w:val="clear" w:color="auto" w:fill="auto"/>
            <w:noWrap/>
            <w:vAlign w:val="center"/>
            <w:hideMark/>
          </w:tcPr>
          <w:p w14:paraId="62B963E0"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0,28</w:t>
            </w:r>
            <w:r>
              <w:rPr>
                <w:rFonts w:ascii="Arial" w:eastAsia="Times New Roman" w:hAnsi="Arial" w:cs="Arial"/>
                <w:color w:val="000000"/>
                <w:sz w:val="18"/>
                <w:szCs w:val="18"/>
                <w:lang w:eastAsia="sl-SI"/>
              </w:rPr>
              <w:t xml:space="preserve"> %</w:t>
            </w:r>
          </w:p>
        </w:tc>
        <w:tc>
          <w:tcPr>
            <w:tcW w:w="216" w:type="pct"/>
            <w:shd w:val="clear" w:color="auto" w:fill="auto"/>
            <w:noWrap/>
            <w:vAlign w:val="center"/>
            <w:hideMark/>
          </w:tcPr>
          <w:p w14:paraId="7D397F48"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0,28</w:t>
            </w:r>
            <w:r>
              <w:rPr>
                <w:rFonts w:ascii="Arial" w:eastAsia="Times New Roman" w:hAnsi="Arial" w:cs="Arial"/>
                <w:color w:val="000000"/>
                <w:sz w:val="18"/>
                <w:szCs w:val="18"/>
                <w:lang w:eastAsia="sl-SI"/>
              </w:rPr>
              <w:t xml:space="preserve"> %</w:t>
            </w:r>
          </w:p>
        </w:tc>
      </w:tr>
      <w:tr w:rsidR="00E3750C" w:rsidRPr="007F3AA7" w14:paraId="3F98E935" w14:textId="77777777" w:rsidTr="00047864">
        <w:trPr>
          <w:trHeight w:val="300"/>
        </w:trPr>
        <w:tc>
          <w:tcPr>
            <w:tcW w:w="2550" w:type="pct"/>
            <w:shd w:val="clear" w:color="auto" w:fill="auto"/>
            <w:vAlign w:val="center"/>
            <w:hideMark/>
          </w:tcPr>
          <w:p w14:paraId="0226C2CA"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Gospodarske javne službe</w:t>
            </w:r>
          </w:p>
        </w:tc>
        <w:tc>
          <w:tcPr>
            <w:tcW w:w="428" w:type="pct"/>
            <w:shd w:val="clear" w:color="auto" w:fill="auto"/>
            <w:vAlign w:val="center"/>
            <w:hideMark/>
          </w:tcPr>
          <w:p w14:paraId="240B6D17"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65</w:t>
            </w:r>
          </w:p>
        </w:tc>
        <w:tc>
          <w:tcPr>
            <w:tcW w:w="428" w:type="pct"/>
            <w:shd w:val="clear" w:color="auto" w:fill="auto"/>
            <w:vAlign w:val="center"/>
            <w:hideMark/>
          </w:tcPr>
          <w:p w14:paraId="6564DD8D"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10</w:t>
            </w:r>
          </w:p>
        </w:tc>
        <w:tc>
          <w:tcPr>
            <w:tcW w:w="1162" w:type="pct"/>
            <w:shd w:val="clear" w:color="auto" w:fill="auto"/>
            <w:vAlign w:val="center"/>
            <w:hideMark/>
          </w:tcPr>
          <w:p w14:paraId="69946507"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2.411.930</w:t>
            </w:r>
          </w:p>
        </w:tc>
        <w:tc>
          <w:tcPr>
            <w:tcW w:w="216" w:type="pct"/>
            <w:shd w:val="clear" w:color="auto" w:fill="auto"/>
            <w:noWrap/>
            <w:vAlign w:val="center"/>
            <w:hideMark/>
          </w:tcPr>
          <w:p w14:paraId="7CF4B294"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0,56</w:t>
            </w:r>
            <w:r>
              <w:rPr>
                <w:rFonts w:ascii="Arial" w:eastAsia="Times New Roman" w:hAnsi="Arial" w:cs="Arial"/>
                <w:color w:val="000000"/>
                <w:sz w:val="18"/>
                <w:szCs w:val="18"/>
                <w:lang w:eastAsia="sl-SI"/>
              </w:rPr>
              <w:t xml:space="preserve"> %</w:t>
            </w:r>
          </w:p>
        </w:tc>
        <w:tc>
          <w:tcPr>
            <w:tcW w:w="216" w:type="pct"/>
            <w:shd w:val="clear" w:color="auto" w:fill="auto"/>
            <w:noWrap/>
            <w:vAlign w:val="center"/>
            <w:hideMark/>
          </w:tcPr>
          <w:p w14:paraId="5273CD54"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0,28</w:t>
            </w:r>
            <w:r>
              <w:rPr>
                <w:rFonts w:ascii="Arial" w:eastAsia="Times New Roman" w:hAnsi="Arial" w:cs="Arial"/>
                <w:color w:val="000000"/>
                <w:sz w:val="18"/>
                <w:szCs w:val="18"/>
                <w:lang w:eastAsia="sl-SI"/>
              </w:rPr>
              <w:t xml:space="preserve"> %</w:t>
            </w:r>
          </w:p>
        </w:tc>
      </w:tr>
      <w:tr w:rsidR="00E3750C" w:rsidRPr="007F3AA7" w14:paraId="6BDF0D06" w14:textId="77777777" w:rsidTr="00047864">
        <w:trPr>
          <w:trHeight w:val="300"/>
        </w:trPr>
        <w:tc>
          <w:tcPr>
            <w:tcW w:w="2550" w:type="pct"/>
            <w:shd w:val="clear" w:color="auto" w:fill="auto"/>
            <w:vAlign w:val="center"/>
            <w:hideMark/>
          </w:tcPr>
          <w:p w14:paraId="683759FD"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Finančne in zavarovalniške storitve</w:t>
            </w:r>
          </w:p>
        </w:tc>
        <w:tc>
          <w:tcPr>
            <w:tcW w:w="428" w:type="pct"/>
            <w:shd w:val="clear" w:color="auto" w:fill="auto"/>
            <w:vAlign w:val="center"/>
            <w:hideMark/>
          </w:tcPr>
          <w:p w14:paraId="2E84208B"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66</w:t>
            </w:r>
          </w:p>
        </w:tc>
        <w:tc>
          <w:tcPr>
            <w:tcW w:w="428" w:type="pct"/>
            <w:shd w:val="clear" w:color="auto" w:fill="auto"/>
            <w:vAlign w:val="center"/>
            <w:hideMark/>
          </w:tcPr>
          <w:p w14:paraId="1DE141F9"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23</w:t>
            </w:r>
          </w:p>
        </w:tc>
        <w:tc>
          <w:tcPr>
            <w:tcW w:w="1162" w:type="pct"/>
            <w:shd w:val="clear" w:color="auto" w:fill="auto"/>
            <w:vAlign w:val="center"/>
            <w:hideMark/>
          </w:tcPr>
          <w:p w14:paraId="65ACC040"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24.472.156</w:t>
            </w:r>
          </w:p>
        </w:tc>
        <w:tc>
          <w:tcPr>
            <w:tcW w:w="216" w:type="pct"/>
            <w:shd w:val="clear" w:color="auto" w:fill="auto"/>
            <w:noWrap/>
            <w:vAlign w:val="center"/>
            <w:hideMark/>
          </w:tcPr>
          <w:p w14:paraId="2F584C70"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1,28</w:t>
            </w:r>
            <w:r>
              <w:rPr>
                <w:rFonts w:ascii="Arial" w:eastAsia="Times New Roman" w:hAnsi="Arial" w:cs="Arial"/>
                <w:color w:val="000000"/>
                <w:sz w:val="18"/>
                <w:szCs w:val="18"/>
                <w:lang w:eastAsia="sl-SI"/>
              </w:rPr>
              <w:t xml:space="preserve"> %</w:t>
            </w:r>
          </w:p>
        </w:tc>
        <w:tc>
          <w:tcPr>
            <w:tcW w:w="216" w:type="pct"/>
            <w:shd w:val="clear" w:color="auto" w:fill="auto"/>
            <w:noWrap/>
            <w:vAlign w:val="center"/>
            <w:hideMark/>
          </w:tcPr>
          <w:p w14:paraId="697941D2"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2,88</w:t>
            </w:r>
            <w:r>
              <w:rPr>
                <w:rFonts w:ascii="Arial" w:eastAsia="Times New Roman" w:hAnsi="Arial" w:cs="Arial"/>
                <w:color w:val="000000"/>
                <w:sz w:val="18"/>
                <w:szCs w:val="18"/>
                <w:lang w:eastAsia="sl-SI"/>
              </w:rPr>
              <w:t xml:space="preserve"> %</w:t>
            </w:r>
          </w:p>
        </w:tc>
      </w:tr>
      <w:tr w:rsidR="00E3750C" w:rsidRPr="007F3AA7" w14:paraId="1E59C157" w14:textId="77777777" w:rsidTr="00047864">
        <w:trPr>
          <w:trHeight w:val="300"/>
        </w:trPr>
        <w:tc>
          <w:tcPr>
            <w:tcW w:w="2550" w:type="pct"/>
            <w:shd w:val="clear" w:color="auto" w:fill="auto"/>
            <w:vAlign w:val="center"/>
            <w:hideMark/>
          </w:tcPr>
          <w:p w14:paraId="6703830F"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Arhitekturne, gradbeniške, inženirske in inšpekcijske storitve</w:t>
            </w:r>
          </w:p>
        </w:tc>
        <w:tc>
          <w:tcPr>
            <w:tcW w:w="428" w:type="pct"/>
            <w:shd w:val="clear" w:color="auto" w:fill="auto"/>
            <w:vAlign w:val="center"/>
            <w:hideMark/>
          </w:tcPr>
          <w:p w14:paraId="0CC7B53D"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71</w:t>
            </w:r>
          </w:p>
        </w:tc>
        <w:tc>
          <w:tcPr>
            <w:tcW w:w="428" w:type="pct"/>
            <w:shd w:val="clear" w:color="auto" w:fill="auto"/>
            <w:vAlign w:val="center"/>
            <w:hideMark/>
          </w:tcPr>
          <w:p w14:paraId="64809004"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106</w:t>
            </w:r>
          </w:p>
        </w:tc>
        <w:tc>
          <w:tcPr>
            <w:tcW w:w="1162" w:type="pct"/>
            <w:shd w:val="clear" w:color="auto" w:fill="auto"/>
            <w:vAlign w:val="center"/>
            <w:hideMark/>
          </w:tcPr>
          <w:p w14:paraId="3321E5C3"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26.025.250</w:t>
            </w:r>
          </w:p>
        </w:tc>
        <w:tc>
          <w:tcPr>
            <w:tcW w:w="216" w:type="pct"/>
            <w:shd w:val="clear" w:color="auto" w:fill="auto"/>
            <w:noWrap/>
            <w:vAlign w:val="center"/>
            <w:hideMark/>
          </w:tcPr>
          <w:p w14:paraId="36782A6E"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5,91</w:t>
            </w:r>
            <w:r>
              <w:rPr>
                <w:rFonts w:ascii="Arial" w:eastAsia="Times New Roman" w:hAnsi="Arial" w:cs="Arial"/>
                <w:color w:val="000000"/>
                <w:sz w:val="18"/>
                <w:szCs w:val="18"/>
                <w:lang w:eastAsia="sl-SI"/>
              </w:rPr>
              <w:t xml:space="preserve"> %</w:t>
            </w:r>
          </w:p>
        </w:tc>
        <w:tc>
          <w:tcPr>
            <w:tcW w:w="216" w:type="pct"/>
            <w:shd w:val="clear" w:color="auto" w:fill="auto"/>
            <w:noWrap/>
            <w:vAlign w:val="center"/>
            <w:hideMark/>
          </w:tcPr>
          <w:p w14:paraId="3B008777"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3,06</w:t>
            </w:r>
            <w:r>
              <w:rPr>
                <w:rFonts w:ascii="Arial" w:eastAsia="Times New Roman" w:hAnsi="Arial" w:cs="Arial"/>
                <w:color w:val="000000"/>
                <w:sz w:val="18"/>
                <w:szCs w:val="18"/>
                <w:lang w:eastAsia="sl-SI"/>
              </w:rPr>
              <w:t xml:space="preserve"> %</w:t>
            </w:r>
          </w:p>
        </w:tc>
      </w:tr>
      <w:tr w:rsidR="00E3750C" w:rsidRPr="007F3AA7" w14:paraId="4D79E6D0" w14:textId="77777777" w:rsidTr="00047864">
        <w:trPr>
          <w:trHeight w:val="300"/>
        </w:trPr>
        <w:tc>
          <w:tcPr>
            <w:tcW w:w="2550" w:type="pct"/>
            <w:shd w:val="clear" w:color="auto" w:fill="auto"/>
            <w:vAlign w:val="center"/>
            <w:hideMark/>
          </w:tcPr>
          <w:p w14:paraId="745AE9AA"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Storitve informacijske tehnologije: svetovanje, razvoj programske opreme, internet in podpora</w:t>
            </w:r>
          </w:p>
        </w:tc>
        <w:tc>
          <w:tcPr>
            <w:tcW w:w="428" w:type="pct"/>
            <w:shd w:val="clear" w:color="auto" w:fill="auto"/>
            <w:vAlign w:val="center"/>
            <w:hideMark/>
          </w:tcPr>
          <w:p w14:paraId="5EC30E66"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72</w:t>
            </w:r>
          </w:p>
        </w:tc>
        <w:tc>
          <w:tcPr>
            <w:tcW w:w="428" w:type="pct"/>
            <w:shd w:val="clear" w:color="auto" w:fill="auto"/>
            <w:vAlign w:val="center"/>
            <w:hideMark/>
          </w:tcPr>
          <w:p w14:paraId="7C0C51C4"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49</w:t>
            </w:r>
          </w:p>
        </w:tc>
        <w:tc>
          <w:tcPr>
            <w:tcW w:w="1162" w:type="pct"/>
            <w:shd w:val="clear" w:color="auto" w:fill="auto"/>
            <w:vAlign w:val="center"/>
            <w:hideMark/>
          </w:tcPr>
          <w:p w14:paraId="7FA9CFEC"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19.398.475</w:t>
            </w:r>
          </w:p>
        </w:tc>
        <w:tc>
          <w:tcPr>
            <w:tcW w:w="216" w:type="pct"/>
            <w:shd w:val="clear" w:color="auto" w:fill="auto"/>
            <w:noWrap/>
            <w:vAlign w:val="center"/>
            <w:hideMark/>
          </w:tcPr>
          <w:p w14:paraId="309A9D87"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2,73</w:t>
            </w:r>
            <w:r>
              <w:rPr>
                <w:rFonts w:ascii="Arial" w:eastAsia="Times New Roman" w:hAnsi="Arial" w:cs="Arial"/>
                <w:color w:val="000000"/>
                <w:sz w:val="18"/>
                <w:szCs w:val="18"/>
                <w:lang w:eastAsia="sl-SI"/>
              </w:rPr>
              <w:t xml:space="preserve"> %</w:t>
            </w:r>
          </w:p>
        </w:tc>
        <w:tc>
          <w:tcPr>
            <w:tcW w:w="216" w:type="pct"/>
            <w:shd w:val="clear" w:color="auto" w:fill="auto"/>
            <w:noWrap/>
            <w:vAlign w:val="center"/>
            <w:hideMark/>
          </w:tcPr>
          <w:p w14:paraId="369A0335"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2,28</w:t>
            </w:r>
            <w:r>
              <w:rPr>
                <w:rFonts w:ascii="Arial" w:eastAsia="Times New Roman" w:hAnsi="Arial" w:cs="Arial"/>
                <w:color w:val="000000"/>
                <w:sz w:val="18"/>
                <w:szCs w:val="18"/>
                <w:lang w:eastAsia="sl-SI"/>
              </w:rPr>
              <w:t xml:space="preserve"> %</w:t>
            </w:r>
          </w:p>
        </w:tc>
      </w:tr>
      <w:tr w:rsidR="00E3750C" w:rsidRPr="007F3AA7" w14:paraId="31DCFFBC" w14:textId="77777777" w:rsidTr="00047864">
        <w:trPr>
          <w:trHeight w:val="300"/>
        </w:trPr>
        <w:tc>
          <w:tcPr>
            <w:tcW w:w="2550" w:type="pct"/>
            <w:shd w:val="clear" w:color="auto" w:fill="auto"/>
            <w:vAlign w:val="center"/>
            <w:hideMark/>
          </w:tcPr>
          <w:p w14:paraId="58989C3E"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Storitve na področju raziskav in razvoja ter s tem povezane svetovalne storitve</w:t>
            </w:r>
          </w:p>
        </w:tc>
        <w:tc>
          <w:tcPr>
            <w:tcW w:w="428" w:type="pct"/>
            <w:shd w:val="clear" w:color="auto" w:fill="auto"/>
            <w:vAlign w:val="center"/>
            <w:hideMark/>
          </w:tcPr>
          <w:p w14:paraId="71AED8D4"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73</w:t>
            </w:r>
          </w:p>
        </w:tc>
        <w:tc>
          <w:tcPr>
            <w:tcW w:w="428" w:type="pct"/>
            <w:shd w:val="clear" w:color="auto" w:fill="auto"/>
            <w:vAlign w:val="center"/>
            <w:hideMark/>
          </w:tcPr>
          <w:p w14:paraId="5BC122D8"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17</w:t>
            </w:r>
          </w:p>
        </w:tc>
        <w:tc>
          <w:tcPr>
            <w:tcW w:w="1162" w:type="pct"/>
            <w:shd w:val="clear" w:color="auto" w:fill="auto"/>
            <w:vAlign w:val="center"/>
            <w:hideMark/>
          </w:tcPr>
          <w:p w14:paraId="1B628C9E"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2.836.015</w:t>
            </w:r>
          </w:p>
        </w:tc>
        <w:tc>
          <w:tcPr>
            <w:tcW w:w="216" w:type="pct"/>
            <w:shd w:val="clear" w:color="auto" w:fill="auto"/>
            <w:noWrap/>
            <w:vAlign w:val="center"/>
            <w:hideMark/>
          </w:tcPr>
          <w:p w14:paraId="2EB93C34"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0,95</w:t>
            </w:r>
            <w:r>
              <w:rPr>
                <w:rFonts w:ascii="Arial" w:eastAsia="Times New Roman" w:hAnsi="Arial" w:cs="Arial"/>
                <w:color w:val="000000"/>
                <w:sz w:val="18"/>
                <w:szCs w:val="18"/>
                <w:lang w:eastAsia="sl-SI"/>
              </w:rPr>
              <w:t xml:space="preserve"> %</w:t>
            </w:r>
          </w:p>
        </w:tc>
        <w:tc>
          <w:tcPr>
            <w:tcW w:w="216" w:type="pct"/>
            <w:shd w:val="clear" w:color="auto" w:fill="auto"/>
            <w:noWrap/>
            <w:vAlign w:val="center"/>
            <w:hideMark/>
          </w:tcPr>
          <w:p w14:paraId="13475037"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0,33</w:t>
            </w:r>
            <w:r>
              <w:rPr>
                <w:rFonts w:ascii="Arial" w:eastAsia="Times New Roman" w:hAnsi="Arial" w:cs="Arial"/>
                <w:color w:val="000000"/>
                <w:sz w:val="18"/>
                <w:szCs w:val="18"/>
                <w:lang w:eastAsia="sl-SI"/>
              </w:rPr>
              <w:t xml:space="preserve"> %</w:t>
            </w:r>
          </w:p>
        </w:tc>
      </w:tr>
      <w:tr w:rsidR="00E3750C" w:rsidRPr="007F3AA7" w14:paraId="5D9BDDC5" w14:textId="77777777" w:rsidTr="00047864">
        <w:trPr>
          <w:trHeight w:val="300"/>
        </w:trPr>
        <w:tc>
          <w:tcPr>
            <w:tcW w:w="2550" w:type="pct"/>
            <w:shd w:val="clear" w:color="auto" w:fill="auto"/>
            <w:vAlign w:val="center"/>
            <w:hideMark/>
          </w:tcPr>
          <w:p w14:paraId="064B9A27"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Storitve uprave, obrambe in socialnega zavarovanja</w:t>
            </w:r>
          </w:p>
        </w:tc>
        <w:tc>
          <w:tcPr>
            <w:tcW w:w="428" w:type="pct"/>
            <w:shd w:val="clear" w:color="auto" w:fill="auto"/>
            <w:vAlign w:val="center"/>
            <w:hideMark/>
          </w:tcPr>
          <w:p w14:paraId="1D658F41"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75</w:t>
            </w:r>
          </w:p>
        </w:tc>
        <w:tc>
          <w:tcPr>
            <w:tcW w:w="428" w:type="pct"/>
            <w:shd w:val="clear" w:color="auto" w:fill="auto"/>
            <w:vAlign w:val="center"/>
            <w:hideMark/>
          </w:tcPr>
          <w:p w14:paraId="5C357638"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3</w:t>
            </w:r>
          </w:p>
        </w:tc>
        <w:tc>
          <w:tcPr>
            <w:tcW w:w="1162" w:type="pct"/>
            <w:shd w:val="clear" w:color="auto" w:fill="auto"/>
            <w:vAlign w:val="center"/>
            <w:hideMark/>
          </w:tcPr>
          <w:p w14:paraId="0A0538BC"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190.422</w:t>
            </w:r>
          </w:p>
        </w:tc>
        <w:tc>
          <w:tcPr>
            <w:tcW w:w="216" w:type="pct"/>
            <w:shd w:val="clear" w:color="auto" w:fill="auto"/>
            <w:noWrap/>
            <w:vAlign w:val="center"/>
            <w:hideMark/>
          </w:tcPr>
          <w:p w14:paraId="055E377A"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0,17</w:t>
            </w:r>
            <w:r>
              <w:rPr>
                <w:rFonts w:ascii="Arial" w:eastAsia="Times New Roman" w:hAnsi="Arial" w:cs="Arial"/>
                <w:color w:val="000000"/>
                <w:sz w:val="18"/>
                <w:szCs w:val="18"/>
                <w:lang w:eastAsia="sl-SI"/>
              </w:rPr>
              <w:t xml:space="preserve"> %</w:t>
            </w:r>
          </w:p>
        </w:tc>
        <w:tc>
          <w:tcPr>
            <w:tcW w:w="216" w:type="pct"/>
            <w:shd w:val="clear" w:color="auto" w:fill="auto"/>
            <w:noWrap/>
            <w:vAlign w:val="center"/>
            <w:hideMark/>
          </w:tcPr>
          <w:p w14:paraId="0A82F91F"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r>
      <w:tr w:rsidR="00E3750C" w:rsidRPr="007F3AA7" w14:paraId="7ECFEE73" w14:textId="77777777" w:rsidTr="00047864">
        <w:trPr>
          <w:trHeight w:val="300"/>
        </w:trPr>
        <w:tc>
          <w:tcPr>
            <w:tcW w:w="2550" w:type="pct"/>
            <w:shd w:val="clear" w:color="auto" w:fill="auto"/>
            <w:vAlign w:val="center"/>
            <w:hideMark/>
          </w:tcPr>
          <w:p w14:paraId="3F97C1A8"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lastRenderedPageBreak/>
              <w:t>Storitve, povezane z industrijo nafte in zemeljskega plina</w:t>
            </w:r>
          </w:p>
        </w:tc>
        <w:tc>
          <w:tcPr>
            <w:tcW w:w="428" w:type="pct"/>
            <w:shd w:val="clear" w:color="auto" w:fill="auto"/>
            <w:vAlign w:val="center"/>
            <w:hideMark/>
          </w:tcPr>
          <w:p w14:paraId="3BED23DF"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76</w:t>
            </w:r>
          </w:p>
        </w:tc>
        <w:tc>
          <w:tcPr>
            <w:tcW w:w="428" w:type="pct"/>
            <w:shd w:val="clear" w:color="auto" w:fill="auto"/>
            <w:vAlign w:val="center"/>
            <w:hideMark/>
          </w:tcPr>
          <w:p w14:paraId="1385F3B0"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1</w:t>
            </w:r>
          </w:p>
        </w:tc>
        <w:tc>
          <w:tcPr>
            <w:tcW w:w="1162" w:type="pct"/>
            <w:shd w:val="clear" w:color="auto" w:fill="auto"/>
            <w:vAlign w:val="center"/>
            <w:hideMark/>
          </w:tcPr>
          <w:p w14:paraId="14E259F7"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4.225.000</w:t>
            </w:r>
          </w:p>
        </w:tc>
        <w:tc>
          <w:tcPr>
            <w:tcW w:w="216" w:type="pct"/>
            <w:shd w:val="clear" w:color="auto" w:fill="auto"/>
            <w:noWrap/>
            <w:vAlign w:val="center"/>
            <w:hideMark/>
          </w:tcPr>
          <w:p w14:paraId="4AA226F5"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0,06</w:t>
            </w:r>
            <w:r>
              <w:rPr>
                <w:rFonts w:ascii="Arial" w:eastAsia="Times New Roman" w:hAnsi="Arial" w:cs="Arial"/>
                <w:color w:val="000000"/>
                <w:sz w:val="18"/>
                <w:szCs w:val="18"/>
                <w:lang w:eastAsia="sl-SI"/>
              </w:rPr>
              <w:t xml:space="preserve"> %</w:t>
            </w:r>
          </w:p>
        </w:tc>
        <w:tc>
          <w:tcPr>
            <w:tcW w:w="216" w:type="pct"/>
            <w:shd w:val="clear" w:color="auto" w:fill="auto"/>
            <w:noWrap/>
            <w:vAlign w:val="center"/>
            <w:hideMark/>
          </w:tcPr>
          <w:p w14:paraId="49BD50C2"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0,50</w:t>
            </w:r>
            <w:r>
              <w:rPr>
                <w:rFonts w:ascii="Arial" w:eastAsia="Times New Roman" w:hAnsi="Arial" w:cs="Arial"/>
                <w:color w:val="000000"/>
                <w:sz w:val="18"/>
                <w:szCs w:val="18"/>
                <w:lang w:eastAsia="sl-SI"/>
              </w:rPr>
              <w:t xml:space="preserve"> %</w:t>
            </w:r>
          </w:p>
        </w:tc>
      </w:tr>
      <w:tr w:rsidR="00E3750C" w:rsidRPr="007F3AA7" w14:paraId="1B6F2B2F" w14:textId="77777777" w:rsidTr="00047864">
        <w:trPr>
          <w:trHeight w:val="300"/>
        </w:trPr>
        <w:tc>
          <w:tcPr>
            <w:tcW w:w="2550" w:type="pct"/>
            <w:shd w:val="clear" w:color="auto" w:fill="auto"/>
            <w:vAlign w:val="center"/>
            <w:hideMark/>
          </w:tcPr>
          <w:p w14:paraId="09FBB907"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Storitve na področju kmetijstva, gozdarstva, hortikulture, akvakulture in čebelarstva</w:t>
            </w:r>
          </w:p>
        </w:tc>
        <w:tc>
          <w:tcPr>
            <w:tcW w:w="428" w:type="pct"/>
            <w:shd w:val="clear" w:color="auto" w:fill="auto"/>
            <w:vAlign w:val="center"/>
            <w:hideMark/>
          </w:tcPr>
          <w:p w14:paraId="18F5EFC7"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77</w:t>
            </w:r>
          </w:p>
        </w:tc>
        <w:tc>
          <w:tcPr>
            <w:tcW w:w="428" w:type="pct"/>
            <w:shd w:val="clear" w:color="auto" w:fill="auto"/>
            <w:vAlign w:val="center"/>
            <w:hideMark/>
          </w:tcPr>
          <w:p w14:paraId="2DFC5B8B"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15</w:t>
            </w:r>
          </w:p>
        </w:tc>
        <w:tc>
          <w:tcPr>
            <w:tcW w:w="1162" w:type="pct"/>
            <w:shd w:val="clear" w:color="auto" w:fill="auto"/>
            <w:vAlign w:val="center"/>
            <w:hideMark/>
          </w:tcPr>
          <w:p w14:paraId="4550AA74"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2.845.087</w:t>
            </w:r>
          </w:p>
        </w:tc>
        <w:tc>
          <w:tcPr>
            <w:tcW w:w="216" w:type="pct"/>
            <w:shd w:val="clear" w:color="auto" w:fill="auto"/>
            <w:noWrap/>
            <w:vAlign w:val="center"/>
            <w:hideMark/>
          </w:tcPr>
          <w:p w14:paraId="42A7FE81"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0,84</w:t>
            </w:r>
            <w:r>
              <w:rPr>
                <w:rFonts w:ascii="Arial" w:eastAsia="Times New Roman" w:hAnsi="Arial" w:cs="Arial"/>
                <w:color w:val="000000"/>
                <w:sz w:val="18"/>
                <w:szCs w:val="18"/>
                <w:lang w:eastAsia="sl-SI"/>
              </w:rPr>
              <w:t xml:space="preserve"> %</w:t>
            </w:r>
          </w:p>
        </w:tc>
        <w:tc>
          <w:tcPr>
            <w:tcW w:w="216" w:type="pct"/>
            <w:shd w:val="clear" w:color="auto" w:fill="auto"/>
            <w:noWrap/>
            <w:vAlign w:val="center"/>
            <w:hideMark/>
          </w:tcPr>
          <w:p w14:paraId="41DB76F3"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0,33</w:t>
            </w:r>
            <w:r>
              <w:rPr>
                <w:rFonts w:ascii="Arial" w:eastAsia="Times New Roman" w:hAnsi="Arial" w:cs="Arial"/>
                <w:color w:val="000000"/>
                <w:sz w:val="18"/>
                <w:szCs w:val="18"/>
                <w:lang w:eastAsia="sl-SI"/>
              </w:rPr>
              <w:t xml:space="preserve"> %</w:t>
            </w:r>
          </w:p>
        </w:tc>
      </w:tr>
      <w:tr w:rsidR="00E3750C" w:rsidRPr="007F3AA7" w14:paraId="3CFE0307" w14:textId="77777777" w:rsidTr="00047864">
        <w:trPr>
          <w:trHeight w:val="300"/>
        </w:trPr>
        <w:tc>
          <w:tcPr>
            <w:tcW w:w="2550" w:type="pct"/>
            <w:shd w:val="clear" w:color="auto" w:fill="auto"/>
            <w:vAlign w:val="center"/>
            <w:hideMark/>
          </w:tcPr>
          <w:p w14:paraId="12D87AED"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Poslovne storitve: pravo, trženje, svetovanje, zaposlovanje, tiskanje in varnost</w:t>
            </w:r>
          </w:p>
        </w:tc>
        <w:tc>
          <w:tcPr>
            <w:tcW w:w="428" w:type="pct"/>
            <w:shd w:val="clear" w:color="auto" w:fill="auto"/>
            <w:vAlign w:val="center"/>
            <w:hideMark/>
          </w:tcPr>
          <w:p w14:paraId="15F08934"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79</w:t>
            </w:r>
          </w:p>
        </w:tc>
        <w:tc>
          <w:tcPr>
            <w:tcW w:w="428" w:type="pct"/>
            <w:shd w:val="clear" w:color="auto" w:fill="auto"/>
            <w:vAlign w:val="center"/>
            <w:hideMark/>
          </w:tcPr>
          <w:p w14:paraId="47CC3EB8"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31</w:t>
            </w:r>
          </w:p>
        </w:tc>
        <w:tc>
          <w:tcPr>
            <w:tcW w:w="1162" w:type="pct"/>
            <w:shd w:val="clear" w:color="auto" w:fill="auto"/>
            <w:vAlign w:val="center"/>
            <w:hideMark/>
          </w:tcPr>
          <w:p w14:paraId="018F06D8"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157.423.048</w:t>
            </w:r>
          </w:p>
        </w:tc>
        <w:tc>
          <w:tcPr>
            <w:tcW w:w="216" w:type="pct"/>
            <w:shd w:val="clear" w:color="auto" w:fill="auto"/>
            <w:noWrap/>
            <w:vAlign w:val="center"/>
            <w:hideMark/>
          </w:tcPr>
          <w:p w14:paraId="67063275"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1,73</w:t>
            </w:r>
            <w:r>
              <w:rPr>
                <w:rFonts w:ascii="Arial" w:eastAsia="Times New Roman" w:hAnsi="Arial" w:cs="Arial"/>
                <w:color w:val="000000"/>
                <w:sz w:val="18"/>
                <w:szCs w:val="18"/>
                <w:lang w:eastAsia="sl-SI"/>
              </w:rPr>
              <w:t xml:space="preserve"> %</w:t>
            </w:r>
          </w:p>
        </w:tc>
        <w:tc>
          <w:tcPr>
            <w:tcW w:w="216" w:type="pct"/>
            <w:shd w:val="clear" w:color="auto" w:fill="auto"/>
            <w:noWrap/>
            <w:vAlign w:val="center"/>
            <w:hideMark/>
          </w:tcPr>
          <w:p w14:paraId="73CA8FDD"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18,50</w:t>
            </w:r>
            <w:r>
              <w:rPr>
                <w:rFonts w:ascii="Arial" w:eastAsia="Times New Roman" w:hAnsi="Arial" w:cs="Arial"/>
                <w:color w:val="000000"/>
                <w:sz w:val="18"/>
                <w:szCs w:val="18"/>
                <w:lang w:eastAsia="sl-SI"/>
              </w:rPr>
              <w:t xml:space="preserve"> %</w:t>
            </w:r>
          </w:p>
        </w:tc>
      </w:tr>
      <w:tr w:rsidR="00E3750C" w:rsidRPr="007F3AA7" w14:paraId="7247008C" w14:textId="77777777" w:rsidTr="00047864">
        <w:trPr>
          <w:trHeight w:val="300"/>
        </w:trPr>
        <w:tc>
          <w:tcPr>
            <w:tcW w:w="2550" w:type="pct"/>
            <w:shd w:val="clear" w:color="auto" w:fill="auto"/>
            <w:vAlign w:val="center"/>
            <w:hideMark/>
          </w:tcPr>
          <w:p w14:paraId="77C6F330"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Storitve na področju zdravstva in socialnega varstva</w:t>
            </w:r>
          </w:p>
        </w:tc>
        <w:tc>
          <w:tcPr>
            <w:tcW w:w="428" w:type="pct"/>
            <w:shd w:val="clear" w:color="auto" w:fill="auto"/>
            <w:vAlign w:val="center"/>
            <w:hideMark/>
          </w:tcPr>
          <w:p w14:paraId="266C7BDD"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85</w:t>
            </w:r>
          </w:p>
        </w:tc>
        <w:tc>
          <w:tcPr>
            <w:tcW w:w="428" w:type="pct"/>
            <w:shd w:val="clear" w:color="auto" w:fill="auto"/>
            <w:vAlign w:val="center"/>
            <w:hideMark/>
          </w:tcPr>
          <w:p w14:paraId="2AD897D7"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1</w:t>
            </w:r>
          </w:p>
        </w:tc>
        <w:tc>
          <w:tcPr>
            <w:tcW w:w="1162" w:type="pct"/>
            <w:shd w:val="clear" w:color="auto" w:fill="auto"/>
            <w:vAlign w:val="center"/>
            <w:hideMark/>
          </w:tcPr>
          <w:p w14:paraId="5245E2AE"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284.339</w:t>
            </w:r>
          </w:p>
        </w:tc>
        <w:tc>
          <w:tcPr>
            <w:tcW w:w="216" w:type="pct"/>
            <w:shd w:val="clear" w:color="auto" w:fill="auto"/>
            <w:noWrap/>
            <w:vAlign w:val="center"/>
            <w:hideMark/>
          </w:tcPr>
          <w:p w14:paraId="5E16034D"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0,06</w:t>
            </w:r>
            <w:r>
              <w:rPr>
                <w:rFonts w:ascii="Arial" w:eastAsia="Times New Roman" w:hAnsi="Arial" w:cs="Arial"/>
                <w:color w:val="000000"/>
                <w:sz w:val="18"/>
                <w:szCs w:val="18"/>
                <w:lang w:eastAsia="sl-SI"/>
              </w:rPr>
              <w:t xml:space="preserve"> %</w:t>
            </w:r>
          </w:p>
        </w:tc>
        <w:tc>
          <w:tcPr>
            <w:tcW w:w="216" w:type="pct"/>
            <w:shd w:val="clear" w:color="auto" w:fill="auto"/>
            <w:noWrap/>
            <w:vAlign w:val="center"/>
            <w:hideMark/>
          </w:tcPr>
          <w:p w14:paraId="0D8995DD"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r>
      <w:tr w:rsidR="00E3750C" w:rsidRPr="007F3AA7" w14:paraId="3F3D1411" w14:textId="77777777" w:rsidTr="00047864">
        <w:trPr>
          <w:trHeight w:val="300"/>
        </w:trPr>
        <w:tc>
          <w:tcPr>
            <w:tcW w:w="2550" w:type="pct"/>
            <w:shd w:val="clear" w:color="auto" w:fill="auto"/>
            <w:vAlign w:val="center"/>
            <w:hideMark/>
          </w:tcPr>
          <w:p w14:paraId="28ECDCB8"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Storitve v zvezi z odplakami, odpadki, čiščenjem in okoljem</w:t>
            </w:r>
          </w:p>
        </w:tc>
        <w:tc>
          <w:tcPr>
            <w:tcW w:w="428" w:type="pct"/>
            <w:shd w:val="clear" w:color="auto" w:fill="auto"/>
            <w:vAlign w:val="center"/>
            <w:hideMark/>
          </w:tcPr>
          <w:p w14:paraId="21DC3B03"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90</w:t>
            </w:r>
          </w:p>
        </w:tc>
        <w:tc>
          <w:tcPr>
            <w:tcW w:w="428" w:type="pct"/>
            <w:shd w:val="clear" w:color="auto" w:fill="auto"/>
            <w:vAlign w:val="center"/>
            <w:hideMark/>
          </w:tcPr>
          <w:p w14:paraId="18D0B676"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72</w:t>
            </w:r>
          </w:p>
        </w:tc>
        <w:tc>
          <w:tcPr>
            <w:tcW w:w="1162" w:type="pct"/>
            <w:shd w:val="clear" w:color="auto" w:fill="auto"/>
            <w:vAlign w:val="center"/>
            <w:hideMark/>
          </w:tcPr>
          <w:p w14:paraId="19F49494"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16.138.600</w:t>
            </w:r>
          </w:p>
        </w:tc>
        <w:tc>
          <w:tcPr>
            <w:tcW w:w="216" w:type="pct"/>
            <w:shd w:val="clear" w:color="auto" w:fill="auto"/>
            <w:noWrap/>
            <w:vAlign w:val="center"/>
            <w:hideMark/>
          </w:tcPr>
          <w:p w14:paraId="56F49EB9"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4,01</w:t>
            </w:r>
            <w:r>
              <w:rPr>
                <w:rFonts w:ascii="Arial" w:eastAsia="Times New Roman" w:hAnsi="Arial" w:cs="Arial"/>
                <w:color w:val="000000"/>
                <w:sz w:val="18"/>
                <w:szCs w:val="18"/>
                <w:lang w:eastAsia="sl-SI"/>
              </w:rPr>
              <w:t xml:space="preserve"> %</w:t>
            </w:r>
          </w:p>
        </w:tc>
        <w:tc>
          <w:tcPr>
            <w:tcW w:w="216" w:type="pct"/>
            <w:shd w:val="clear" w:color="auto" w:fill="auto"/>
            <w:noWrap/>
            <w:vAlign w:val="center"/>
            <w:hideMark/>
          </w:tcPr>
          <w:p w14:paraId="0179F873"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1,90</w:t>
            </w:r>
            <w:r>
              <w:rPr>
                <w:rFonts w:ascii="Arial" w:eastAsia="Times New Roman" w:hAnsi="Arial" w:cs="Arial"/>
                <w:color w:val="000000"/>
                <w:sz w:val="18"/>
                <w:szCs w:val="18"/>
                <w:lang w:eastAsia="sl-SI"/>
              </w:rPr>
              <w:t xml:space="preserve"> %</w:t>
            </w:r>
          </w:p>
        </w:tc>
      </w:tr>
      <w:tr w:rsidR="00E3750C" w:rsidRPr="007F3AA7" w14:paraId="3F8BBD51" w14:textId="77777777" w:rsidTr="00047864">
        <w:trPr>
          <w:trHeight w:val="300"/>
        </w:trPr>
        <w:tc>
          <w:tcPr>
            <w:tcW w:w="2550" w:type="pct"/>
            <w:shd w:val="clear" w:color="auto" w:fill="auto"/>
            <w:vAlign w:val="center"/>
            <w:hideMark/>
          </w:tcPr>
          <w:p w14:paraId="2537A42C"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Storitve na področju rekreacije, kulture in športa</w:t>
            </w:r>
          </w:p>
        </w:tc>
        <w:tc>
          <w:tcPr>
            <w:tcW w:w="428" w:type="pct"/>
            <w:shd w:val="clear" w:color="auto" w:fill="auto"/>
            <w:vAlign w:val="center"/>
            <w:hideMark/>
          </w:tcPr>
          <w:p w14:paraId="62A202AD"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92</w:t>
            </w:r>
          </w:p>
        </w:tc>
        <w:tc>
          <w:tcPr>
            <w:tcW w:w="428" w:type="pct"/>
            <w:shd w:val="clear" w:color="auto" w:fill="auto"/>
            <w:vAlign w:val="center"/>
            <w:hideMark/>
          </w:tcPr>
          <w:p w14:paraId="7C4D86C1"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2</w:t>
            </w:r>
          </w:p>
        </w:tc>
        <w:tc>
          <w:tcPr>
            <w:tcW w:w="1162" w:type="pct"/>
            <w:shd w:val="clear" w:color="auto" w:fill="auto"/>
            <w:vAlign w:val="center"/>
            <w:hideMark/>
          </w:tcPr>
          <w:p w14:paraId="45378722"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764.384</w:t>
            </w:r>
          </w:p>
        </w:tc>
        <w:tc>
          <w:tcPr>
            <w:tcW w:w="216" w:type="pct"/>
            <w:shd w:val="clear" w:color="auto" w:fill="auto"/>
            <w:noWrap/>
            <w:vAlign w:val="center"/>
            <w:hideMark/>
          </w:tcPr>
          <w:p w14:paraId="7E480847"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0,11</w:t>
            </w:r>
            <w:r>
              <w:rPr>
                <w:rFonts w:ascii="Arial" w:eastAsia="Times New Roman" w:hAnsi="Arial" w:cs="Arial"/>
                <w:color w:val="000000"/>
                <w:sz w:val="18"/>
                <w:szCs w:val="18"/>
                <w:lang w:eastAsia="sl-SI"/>
              </w:rPr>
              <w:t xml:space="preserve"> %</w:t>
            </w:r>
          </w:p>
        </w:tc>
        <w:tc>
          <w:tcPr>
            <w:tcW w:w="216" w:type="pct"/>
            <w:shd w:val="clear" w:color="auto" w:fill="auto"/>
            <w:noWrap/>
            <w:vAlign w:val="center"/>
            <w:hideMark/>
          </w:tcPr>
          <w:p w14:paraId="2C727F55"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0,09</w:t>
            </w:r>
            <w:r>
              <w:rPr>
                <w:rFonts w:ascii="Arial" w:eastAsia="Times New Roman" w:hAnsi="Arial" w:cs="Arial"/>
                <w:color w:val="000000"/>
                <w:sz w:val="18"/>
                <w:szCs w:val="18"/>
                <w:lang w:eastAsia="sl-SI"/>
              </w:rPr>
              <w:t xml:space="preserve"> %</w:t>
            </w:r>
          </w:p>
        </w:tc>
      </w:tr>
      <w:tr w:rsidR="00E3750C" w:rsidRPr="007F3AA7" w14:paraId="1C47752E" w14:textId="77777777" w:rsidTr="00047864">
        <w:trPr>
          <w:trHeight w:val="300"/>
        </w:trPr>
        <w:tc>
          <w:tcPr>
            <w:tcW w:w="2550" w:type="pct"/>
            <w:shd w:val="clear" w:color="auto" w:fill="auto"/>
            <w:vAlign w:val="center"/>
            <w:hideMark/>
          </w:tcPr>
          <w:p w14:paraId="6EEA934E"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Druge javne, skupne in osebne storitve</w:t>
            </w:r>
          </w:p>
        </w:tc>
        <w:tc>
          <w:tcPr>
            <w:tcW w:w="428" w:type="pct"/>
            <w:shd w:val="clear" w:color="auto" w:fill="auto"/>
            <w:vAlign w:val="center"/>
            <w:hideMark/>
          </w:tcPr>
          <w:p w14:paraId="38221118" w14:textId="77777777" w:rsidR="00E3750C" w:rsidRPr="007F3AA7" w:rsidRDefault="00E3750C" w:rsidP="00047864">
            <w:pPr>
              <w:spacing w:after="0" w:line="240" w:lineRule="auto"/>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98</w:t>
            </w:r>
          </w:p>
        </w:tc>
        <w:tc>
          <w:tcPr>
            <w:tcW w:w="428" w:type="pct"/>
            <w:shd w:val="clear" w:color="auto" w:fill="auto"/>
            <w:vAlign w:val="center"/>
            <w:hideMark/>
          </w:tcPr>
          <w:p w14:paraId="0DF6A601"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28</w:t>
            </w:r>
          </w:p>
        </w:tc>
        <w:tc>
          <w:tcPr>
            <w:tcW w:w="1162" w:type="pct"/>
            <w:shd w:val="clear" w:color="auto" w:fill="auto"/>
            <w:vAlign w:val="center"/>
            <w:hideMark/>
          </w:tcPr>
          <w:p w14:paraId="4A4B3780"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5.829.731</w:t>
            </w:r>
          </w:p>
        </w:tc>
        <w:tc>
          <w:tcPr>
            <w:tcW w:w="216" w:type="pct"/>
            <w:shd w:val="clear" w:color="auto" w:fill="auto"/>
            <w:noWrap/>
            <w:vAlign w:val="center"/>
            <w:hideMark/>
          </w:tcPr>
          <w:p w14:paraId="429CF9C0"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1,56</w:t>
            </w:r>
            <w:r>
              <w:rPr>
                <w:rFonts w:ascii="Arial" w:eastAsia="Times New Roman" w:hAnsi="Arial" w:cs="Arial"/>
                <w:color w:val="000000"/>
                <w:sz w:val="18"/>
                <w:szCs w:val="18"/>
                <w:lang w:eastAsia="sl-SI"/>
              </w:rPr>
              <w:t xml:space="preserve"> %</w:t>
            </w:r>
          </w:p>
        </w:tc>
        <w:tc>
          <w:tcPr>
            <w:tcW w:w="216" w:type="pct"/>
            <w:shd w:val="clear" w:color="auto" w:fill="auto"/>
            <w:noWrap/>
            <w:vAlign w:val="center"/>
            <w:hideMark/>
          </w:tcPr>
          <w:p w14:paraId="1B2602D5" w14:textId="77777777" w:rsidR="00E3750C" w:rsidRPr="007F3AA7" w:rsidRDefault="00E3750C" w:rsidP="00047864">
            <w:pPr>
              <w:spacing w:after="0" w:line="240" w:lineRule="auto"/>
              <w:jc w:val="right"/>
              <w:rPr>
                <w:rFonts w:ascii="Arial" w:eastAsia="Times New Roman" w:hAnsi="Arial" w:cs="Arial"/>
                <w:color w:val="000000"/>
                <w:sz w:val="18"/>
                <w:szCs w:val="18"/>
                <w:lang w:eastAsia="sl-SI"/>
              </w:rPr>
            </w:pPr>
            <w:r w:rsidRPr="007F3AA7">
              <w:rPr>
                <w:rFonts w:ascii="Arial" w:eastAsia="Times New Roman" w:hAnsi="Arial" w:cs="Arial"/>
                <w:color w:val="000000"/>
                <w:sz w:val="18"/>
                <w:szCs w:val="18"/>
                <w:lang w:eastAsia="sl-SI"/>
              </w:rPr>
              <w:t>0,69</w:t>
            </w:r>
            <w:r>
              <w:rPr>
                <w:rFonts w:ascii="Arial" w:eastAsia="Times New Roman" w:hAnsi="Arial" w:cs="Arial"/>
                <w:color w:val="000000"/>
                <w:sz w:val="18"/>
                <w:szCs w:val="18"/>
                <w:lang w:eastAsia="sl-SI"/>
              </w:rPr>
              <w:t xml:space="preserve"> %</w:t>
            </w:r>
          </w:p>
        </w:tc>
      </w:tr>
      <w:tr w:rsidR="00E3750C" w:rsidRPr="007F3AA7" w14:paraId="54B3BE9B" w14:textId="77777777" w:rsidTr="00047864">
        <w:trPr>
          <w:trHeight w:val="300"/>
        </w:trPr>
        <w:tc>
          <w:tcPr>
            <w:tcW w:w="2977" w:type="pct"/>
            <w:gridSpan w:val="2"/>
            <w:shd w:val="clear" w:color="auto" w:fill="F2F2F2" w:themeFill="background1" w:themeFillShade="F2"/>
            <w:noWrap/>
            <w:vAlign w:val="center"/>
            <w:hideMark/>
          </w:tcPr>
          <w:p w14:paraId="7C672A58" w14:textId="77777777" w:rsidR="00E3750C" w:rsidRPr="000C6A5F" w:rsidRDefault="00E3750C" w:rsidP="00047864">
            <w:pPr>
              <w:spacing w:after="0" w:line="240" w:lineRule="auto"/>
              <w:rPr>
                <w:rFonts w:ascii="Arial" w:eastAsia="Times New Roman" w:hAnsi="Arial" w:cs="Arial"/>
                <w:b/>
                <w:bCs/>
                <w:color w:val="000000"/>
                <w:sz w:val="18"/>
                <w:szCs w:val="18"/>
                <w:lang w:eastAsia="sl-SI"/>
              </w:rPr>
            </w:pPr>
            <w:r w:rsidRPr="000C6A5F">
              <w:rPr>
                <w:rFonts w:ascii="Arial" w:eastAsia="Times New Roman" w:hAnsi="Arial" w:cs="Arial"/>
                <w:b/>
                <w:bCs/>
                <w:color w:val="000000"/>
                <w:sz w:val="18"/>
                <w:szCs w:val="18"/>
                <w:lang w:eastAsia="sl-SI"/>
              </w:rPr>
              <w:t>Skupaj</w:t>
            </w:r>
          </w:p>
        </w:tc>
        <w:tc>
          <w:tcPr>
            <w:tcW w:w="428" w:type="pct"/>
            <w:shd w:val="clear" w:color="auto" w:fill="F2F2F2" w:themeFill="background1" w:themeFillShade="F2"/>
            <w:noWrap/>
            <w:vAlign w:val="center"/>
            <w:hideMark/>
          </w:tcPr>
          <w:p w14:paraId="1CD05A7F" w14:textId="77777777" w:rsidR="00E3750C" w:rsidRPr="000C6A5F" w:rsidRDefault="00E3750C" w:rsidP="00047864">
            <w:pPr>
              <w:spacing w:after="0" w:line="240" w:lineRule="auto"/>
              <w:jc w:val="right"/>
              <w:rPr>
                <w:rFonts w:ascii="Arial" w:eastAsia="Times New Roman" w:hAnsi="Arial" w:cs="Arial"/>
                <w:b/>
                <w:bCs/>
                <w:color w:val="000000"/>
                <w:sz w:val="18"/>
                <w:szCs w:val="18"/>
                <w:lang w:eastAsia="sl-SI"/>
              </w:rPr>
            </w:pPr>
            <w:r w:rsidRPr="000C6A5F">
              <w:rPr>
                <w:rFonts w:ascii="Arial" w:eastAsia="Times New Roman" w:hAnsi="Arial" w:cs="Arial"/>
                <w:b/>
                <w:bCs/>
                <w:color w:val="000000"/>
                <w:sz w:val="18"/>
                <w:szCs w:val="18"/>
                <w:lang w:eastAsia="sl-SI"/>
              </w:rPr>
              <w:t>1.794</w:t>
            </w:r>
          </w:p>
        </w:tc>
        <w:tc>
          <w:tcPr>
            <w:tcW w:w="1162" w:type="pct"/>
            <w:shd w:val="clear" w:color="auto" w:fill="F2F2F2" w:themeFill="background1" w:themeFillShade="F2"/>
            <w:noWrap/>
            <w:vAlign w:val="center"/>
            <w:hideMark/>
          </w:tcPr>
          <w:p w14:paraId="002C7C9A" w14:textId="77777777" w:rsidR="00E3750C" w:rsidRPr="000C6A5F" w:rsidRDefault="00E3750C" w:rsidP="00047864">
            <w:pPr>
              <w:spacing w:after="0" w:line="240" w:lineRule="auto"/>
              <w:jc w:val="right"/>
              <w:rPr>
                <w:rFonts w:ascii="Arial" w:eastAsia="Times New Roman" w:hAnsi="Arial" w:cs="Arial"/>
                <w:b/>
                <w:bCs/>
                <w:color w:val="000000"/>
                <w:sz w:val="18"/>
                <w:szCs w:val="18"/>
                <w:lang w:eastAsia="sl-SI"/>
              </w:rPr>
            </w:pPr>
            <w:r w:rsidRPr="000C6A5F">
              <w:rPr>
                <w:rFonts w:ascii="Arial" w:eastAsia="Times New Roman" w:hAnsi="Arial" w:cs="Arial"/>
                <w:b/>
                <w:bCs/>
                <w:color w:val="000000"/>
                <w:sz w:val="18"/>
                <w:szCs w:val="18"/>
                <w:lang w:eastAsia="sl-SI"/>
              </w:rPr>
              <w:t>850.731.161</w:t>
            </w:r>
          </w:p>
        </w:tc>
        <w:tc>
          <w:tcPr>
            <w:tcW w:w="216" w:type="pct"/>
            <w:shd w:val="clear" w:color="auto" w:fill="F2F2F2" w:themeFill="background1" w:themeFillShade="F2"/>
            <w:noWrap/>
            <w:vAlign w:val="center"/>
            <w:hideMark/>
          </w:tcPr>
          <w:p w14:paraId="45B4D7D8" w14:textId="77777777" w:rsidR="00E3750C" w:rsidRPr="000C6A5F" w:rsidRDefault="00E3750C" w:rsidP="00047864">
            <w:pPr>
              <w:spacing w:after="0" w:line="240" w:lineRule="auto"/>
              <w:jc w:val="right"/>
              <w:rPr>
                <w:rFonts w:ascii="Arial" w:eastAsia="Times New Roman" w:hAnsi="Arial" w:cs="Arial"/>
                <w:b/>
                <w:bCs/>
                <w:color w:val="000000"/>
                <w:sz w:val="18"/>
                <w:szCs w:val="18"/>
                <w:lang w:eastAsia="sl-SI"/>
              </w:rPr>
            </w:pPr>
            <w:r w:rsidRPr="000C6A5F">
              <w:rPr>
                <w:rFonts w:ascii="Arial" w:eastAsia="Times New Roman" w:hAnsi="Arial" w:cs="Arial"/>
                <w:b/>
                <w:bCs/>
                <w:color w:val="000000"/>
                <w:sz w:val="18"/>
                <w:szCs w:val="18"/>
                <w:lang w:eastAsia="sl-SI"/>
              </w:rPr>
              <w:t>100,00 %</w:t>
            </w:r>
          </w:p>
        </w:tc>
        <w:tc>
          <w:tcPr>
            <w:tcW w:w="216" w:type="pct"/>
            <w:shd w:val="clear" w:color="auto" w:fill="F2F2F2" w:themeFill="background1" w:themeFillShade="F2"/>
            <w:noWrap/>
            <w:vAlign w:val="center"/>
            <w:hideMark/>
          </w:tcPr>
          <w:p w14:paraId="45C94047" w14:textId="77777777" w:rsidR="00E3750C" w:rsidRPr="000C6A5F" w:rsidRDefault="00E3750C" w:rsidP="00047864">
            <w:pPr>
              <w:spacing w:after="0" w:line="240" w:lineRule="auto"/>
              <w:jc w:val="right"/>
              <w:rPr>
                <w:rFonts w:ascii="Arial" w:eastAsia="Times New Roman" w:hAnsi="Arial" w:cs="Arial"/>
                <w:b/>
                <w:bCs/>
                <w:color w:val="000000"/>
                <w:sz w:val="18"/>
                <w:szCs w:val="18"/>
                <w:lang w:eastAsia="sl-SI"/>
              </w:rPr>
            </w:pPr>
            <w:r w:rsidRPr="000C6A5F">
              <w:rPr>
                <w:rFonts w:ascii="Arial" w:eastAsia="Times New Roman" w:hAnsi="Arial" w:cs="Arial"/>
                <w:b/>
                <w:bCs/>
                <w:color w:val="000000"/>
                <w:sz w:val="18"/>
                <w:szCs w:val="18"/>
                <w:lang w:eastAsia="sl-SI"/>
              </w:rPr>
              <w:t>100,00 %</w:t>
            </w:r>
          </w:p>
        </w:tc>
      </w:tr>
    </w:tbl>
    <w:p w14:paraId="0EA41FD8" w14:textId="77777777" w:rsidR="00E3750C" w:rsidRPr="00BF7302" w:rsidRDefault="00E3750C" w:rsidP="00E3750C">
      <w:pPr>
        <w:spacing w:after="0" w:line="240" w:lineRule="auto"/>
        <w:jc w:val="right"/>
        <w:rPr>
          <w:rFonts w:ascii="Arial" w:eastAsia="Times New Roman" w:hAnsi="Arial" w:cs="Arial"/>
          <w:color w:val="000000"/>
          <w:sz w:val="18"/>
          <w:szCs w:val="18"/>
          <w:highlight w:val="yellow"/>
          <w:lang w:eastAsia="sl-SI"/>
        </w:rPr>
      </w:pPr>
    </w:p>
    <w:p w14:paraId="49666BA6" w14:textId="77777777" w:rsidR="00E3750C" w:rsidRPr="00E4405B" w:rsidRDefault="00E3750C" w:rsidP="00E3750C">
      <w:pPr>
        <w:spacing w:before="120" w:after="0" w:line="240" w:lineRule="auto"/>
        <w:rPr>
          <w:rFonts w:ascii="Arial" w:hAnsi="Arial" w:cs="Arial"/>
          <w:sz w:val="20"/>
        </w:rPr>
      </w:pPr>
      <w:r w:rsidRPr="00E4405B">
        <w:rPr>
          <w:rFonts w:ascii="Arial" w:hAnsi="Arial" w:cs="Arial"/>
          <w:sz w:val="20"/>
        </w:rPr>
        <w:t>Preglednica 7</w:t>
      </w:r>
      <w:r>
        <w:rPr>
          <w:rFonts w:ascii="Arial" w:hAnsi="Arial" w:cs="Arial"/>
          <w:sz w:val="20"/>
        </w:rPr>
        <w:t>5</w:t>
      </w:r>
      <w:r w:rsidRPr="00E4405B">
        <w:rPr>
          <w:rFonts w:ascii="Arial" w:hAnsi="Arial" w:cs="Arial"/>
          <w:sz w:val="20"/>
        </w:rPr>
        <w:t>: Javna naročila na obrambnem področju, glede na predmet naročanja po Enotnem besednjaku javnih naročil (CPV)</w:t>
      </w:r>
    </w:p>
    <w:p w14:paraId="793C9266" w14:textId="77777777" w:rsidR="00E3750C" w:rsidRPr="00BF7302" w:rsidRDefault="00E3750C" w:rsidP="00E3750C">
      <w:pPr>
        <w:spacing w:after="0"/>
        <w:rPr>
          <w:rFonts w:ascii="Arial" w:hAnsi="Arial" w:cs="Arial"/>
          <w:sz w:val="20"/>
          <w:highlight w:val="yellow"/>
        </w:rPr>
      </w:pPr>
    </w:p>
    <w:tbl>
      <w:tblPr>
        <w:tblW w:w="5000" w:type="pct"/>
        <w:tblCellMar>
          <w:left w:w="70" w:type="dxa"/>
          <w:right w:w="70" w:type="dxa"/>
        </w:tblCellMar>
        <w:tblLook w:val="04A0" w:firstRow="1" w:lastRow="0" w:firstColumn="1" w:lastColumn="0" w:noHBand="0" w:noVBand="1"/>
      </w:tblPr>
      <w:tblGrid>
        <w:gridCol w:w="3962"/>
        <w:gridCol w:w="771"/>
        <w:gridCol w:w="671"/>
        <w:gridCol w:w="1968"/>
        <w:gridCol w:w="901"/>
        <w:gridCol w:w="901"/>
      </w:tblGrid>
      <w:tr w:rsidR="00E3750C" w:rsidRPr="00E4405B" w14:paraId="21C0FDC5" w14:textId="77777777" w:rsidTr="00047864">
        <w:trPr>
          <w:trHeight w:val="480"/>
        </w:trPr>
        <w:tc>
          <w:tcPr>
            <w:tcW w:w="2285"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23C93DC1" w14:textId="77777777" w:rsidR="00E3750C" w:rsidRPr="00E4405B" w:rsidRDefault="00E3750C" w:rsidP="00047864">
            <w:pPr>
              <w:spacing w:after="0" w:line="240" w:lineRule="auto"/>
              <w:jc w:val="center"/>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Opis CPV oddelka</w:t>
            </w:r>
          </w:p>
        </w:tc>
        <w:tc>
          <w:tcPr>
            <w:tcW w:w="474" w:type="pct"/>
            <w:tcBorders>
              <w:top w:val="single" w:sz="4" w:space="0" w:color="auto"/>
              <w:left w:val="nil"/>
              <w:bottom w:val="single" w:sz="4" w:space="0" w:color="auto"/>
              <w:right w:val="single" w:sz="4" w:space="0" w:color="auto"/>
            </w:tcBorders>
            <w:shd w:val="clear" w:color="000000" w:fill="F2F2F2"/>
            <w:vAlign w:val="center"/>
            <w:hideMark/>
          </w:tcPr>
          <w:p w14:paraId="7A52E1C3" w14:textId="77777777" w:rsidR="00E3750C" w:rsidRPr="00E4405B" w:rsidRDefault="00E3750C" w:rsidP="00047864">
            <w:pPr>
              <w:spacing w:after="0" w:line="240" w:lineRule="auto"/>
              <w:jc w:val="center"/>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CPV oddelek</w:t>
            </w:r>
          </w:p>
        </w:tc>
        <w:tc>
          <w:tcPr>
            <w:tcW w:w="474" w:type="pct"/>
            <w:tcBorders>
              <w:top w:val="single" w:sz="4" w:space="0" w:color="auto"/>
              <w:left w:val="nil"/>
              <w:bottom w:val="single" w:sz="4" w:space="0" w:color="auto"/>
              <w:right w:val="single" w:sz="4" w:space="0" w:color="auto"/>
            </w:tcBorders>
            <w:shd w:val="clear" w:color="000000" w:fill="F2F2F2"/>
            <w:vAlign w:val="center"/>
            <w:hideMark/>
          </w:tcPr>
          <w:p w14:paraId="58ABEF13" w14:textId="77777777" w:rsidR="00E3750C" w:rsidRPr="00E4405B" w:rsidRDefault="00E3750C" w:rsidP="00047864">
            <w:pPr>
              <w:spacing w:after="0" w:line="240" w:lineRule="auto"/>
              <w:jc w:val="center"/>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Št. naročil</w:t>
            </w:r>
          </w:p>
        </w:tc>
        <w:tc>
          <w:tcPr>
            <w:tcW w:w="1287" w:type="pct"/>
            <w:tcBorders>
              <w:top w:val="single" w:sz="4" w:space="0" w:color="auto"/>
              <w:left w:val="nil"/>
              <w:bottom w:val="single" w:sz="4" w:space="0" w:color="auto"/>
              <w:right w:val="single" w:sz="4" w:space="0" w:color="auto"/>
            </w:tcBorders>
            <w:shd w:val="clear" w:color="000000" w:fill="F2F2F2"/>
            <w:vAlign w:val="center"/>
            <w:hideMark/>
          </w:tcPr>
          <w:p w14:paraId="56FF81D8" w14:textId="77777777" w:rsidR="00E3750C" w:rsidRPr="00E4405B" w:rsidRDefault="00E3750C" w:rsidP="00047864">
            <w:pPr>
              <w:spacing w:after="0" w:line="240" w:lineRule="auto"/>
              <w:jc w:val="center"/>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Pogodbena vrednost</w:t>
            </w:r>
          </w:p>
        </w:tc>
        <w:tc>
          <w:tcPr>
            <w:tcW w:w="240" w:type="pct"/>
            <w:tcBorders>
              <w:top w:val="single" w:sz="4" w:space="0" w:color="auto"/>
              <w:left w:val="nil"/>
              <w:bottom w:val="single" w:sz="4" w:space="0" w:color="auto"/>
              <w:right w:val="single" w:sz="4" w:space="0" w:color="auto"/>
            </w:tcBorders>
            <w:shd w:val="clear" w:color="000000" w:fill="F2F2F2"/>
            <w:vAlign w:val="center"/>
            <w:hideMark/>
          </w:tcPr>
          <w:p w14:paraId="2325226C" w14:textId="77777777" w:rsidR="00E3750C" w:rsidRPr="00E4405B" w:rsidRDefault="00E3750C" w:rsidP="00047864">
            <w:pPr>
              <w:spacing w:after="0" w:line="240" w:lineRule="auto"/>
              <w:jc w:val="center"/>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Delež v št. naročil</w:t>
            </w:r>
          </w:p>
        </w:tc>
        <w:tc>
          <w:tcPr>
            <w:tcW w:w="240" w:type="pct"/>
            <w:tcBorders>
              <w:top w:val="single" w:sz="4" w:space="0" w:color="auto"/>
              <w:left w:val="nil"/>
              <w:bottom w:val="single" w:sz="4" w:space="0" w:color="auto"/>
              <w:right w:val="single" w:sz="4" w:space="0" w:color="auto"/>
            </w:tcBorders>
            <w:shd w:val="clear" w:color="000000" w:fill="F2F2F2"/>
            <w:vAlign w:val="center"/>
            <w:hideMark/>
          </w:tcPr>
          <w:p w14:paraId="62A652BD" w14:textId="77777777" w:rsidR="00E3750C" w:rsidRPr="00E4405B" w:rsidRDefault="00E3750C" w:rsidP="00047864">
            <w:pPr>
              <w:spacing w:after="0" w:line="240" w:lineRule="auto"/>
              <w:jc w:val="center"/>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Delež v vrednosti</w:t>
            </w:r>
          </w:p>
        </w:tc>
      </w:tr>
      <w:tr w:rsidR="00E3750C" w:rsidRPr="00E4405B" w14:paraId="5F12BBA6" w14:textId="77777777" w:rsidTr="00047864">
        <w:trPr>
          <w:trHeight w:val="300"/>
        </w:trPr>
        <w:tc>
          <w:tcPr>
            <w:tcW w:w="2285" w:type="pct"/>
            <w:tcBorders>
              <w:top w:val="nil"/>
              <w:left w:val="single" w:sz="4" w:space="0" w:color="auto"/>
              <w:bottom w:val="single" w:sz="4" w:space="0" w:color="auto"/>
              <w:right w:val="single" w:sz="4" w:space="0" w:color="auto"/>
            </w:tcBorders>
            <w:shd w:val="clear" w:color="auto" w:fill="auto"/>
            <w:vAlign w:val="center"/>
            <w:hideMark/>
          </w:tcPr>
          <w:p w14:paraId="03D431A2" w14:textId="77777777" w:rsidR="00E3750C" w:rsidRPr="00E4405B" w:rsidRDefault="00E3750C" w:rsidP="00047864">
            <w:pPr>
              <w:spacing w:after="0" w:line="240" w:lineRule="auto"/>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Kemični proizvodi</w:t>
            </w:r>
          </w:p>
        </w:tc>
        <w:tc>
          <w:tcPr>
            <w:tcW w:w="474" w:type="pct"/>
            <w:tcBorders>
              <w:top w:val="nil"/>
              <w:left w:val="nil"/>
              <w:bottom w:val="single" w:sz="4" w:space="0" w:color="auto"/>
              <w:right w:val="single" w:sz="4" w:space="0" w:color="auto"/>
            </w:tcBorders>
            <w:shd w:val="clear" w:color="auto" w:fill="auto"/>
            <w:vAlign w:val="center"/>
            <w:hideMark/>
          </w:tcPr>
          <w:p w14:paraId="7E80B6C4" w14:textId="77777777" w:rsidR="00E3750C" w:rsidRPr="00E4405B" w:rsidRDefault="00E3750C" w:rsidP="00047864">
            <w:pPr>
              <w:spacing w:after="0" w:line="240" w:lineRule="auto"/>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24</w:t>
            </w:r>
          </w:p>
        </w:tc>
        <w:tc>
          <w:tcPr>
            <w:tcW w:w="474" w:type="pct"/>
            <w:tcBorders>
              <w:top w:val="nil"/>
              <w:left w:val="nil"/>
              <w:bottom w:val="single" w:sz="4" w:space="0" w:color="auto"/>
              <w:right w:val="single" w:sz="4" w:space="0" w:color="auto"/>
            </w:tcBorders>
            <w:shd w:val="clear" w:color="auto" w:fill="auto"/>
            <w:vAlign w:val="center"/>
            <w:hideMark/>
          </w:tcPr>
          <w:p w14:paraId="2AF06FC5"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1</w:t>
            </w:r>
          </w:p>
        </w:tc>
        <w:tc>
          <w:tcPr>
            <w:tcW w:w="1287" w:type="pct"/>
            <w:tcBorders>
              <w:top w:val="nil"/>
              <w:left w:val="nil"/>
              <w:bottom w:val="single" w:sz="4" w:space="0" w:color="auto"/>
              <w:right w:val="single" w:sz="4" w:space="0" w:color="auto"/>
            </w:tcBorders>
            <w:shd w:val="clear" w:color="auto" w:fill="auto"/>
            <w:vAlign w:val="center"/>
            <w:hideMark/>
          </w:tcPr>
          <w:p w14:paraId="64FCA810"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529.820</w:t>
            </w:r>
          </w:p>
        </w:tc>
        <w:tc>
          <w:tcPr>
            <w:tcW w:w="240" w:type="pct"/>
            <w:tcBorders>
              <w:top w:val="nil"/>
              <w:left w:val="nil"/>
              <w:bottom w:val="single" w:sz="4" w:space="0" w:color="auto"/>
              <w:right w:val="single" w:sz="4" w:space="0" w:color="auto"/>
            </w:tcBorders>
            <w:shd w:val="clear" w:color="auto" w:fill="auto"/>
            <w:noWrap/>
            <w:vAlign w:val="center"/>
            <w:hideMark/>
          </w:tcPr>
          <w:p w14:paraId="4BC8634D"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0,93</w:t>
            </w:r>
            <w:r>
              <w:rPr>
                <w:rFonts w:ascii="Arial" w:eastAsia="Times New Roman" w:hAnsi="Arial" w:cs="Arial"/>
                <w:color w:val="000000"/>
                <w:sz w:val="18"/>
                <w:szCs w:val="18"/>
                <w:lang w:eastAsia="sl-SI"/>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14:paraId="6196539E"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0,95</w:t>
            </w:r>
            <w:r>
              <w:rPr>
                <w:rFonts w:ascii="Arial" w:eastAsia="Times New Roman" w:hAnsi="Arial" w:cs="Arial"/>
                <w:color w:val="000000"/>
                <w:sz w:val="18"/>
                <w:szCs w:val="18"/>
                <w:lang w:eastAsia="sl-SI"/>
              </w:rPr>
              <w:t xml:space="preserve"> %</w:t>
            </w:r>
          </w:p>
        </w:tc>
      </w:tr>
      <w:tr w:rsidR="00E3750C" w:rsidRPr="00E4405B" w14:paraId="49B34BA6" w14:textId="77777777" w:rsidTr="00047864">
        <w:trPr>
          <w:trHeight w:val="300"/>
        </w:trPr>
        <w:tc>
          <w:tcPr>
            <w:tcW w:w="2285" w:type="pct"/>
            <w:tcBorders>
              <w:top w:val="nil"/>
              <w:left w:val="single" w:sz="4" w:space="0" w:color="auto"/>
              <w:bottom w:val="single" w:sz="4" w:space="0" w:color="auto"/>
              <w:right w:val="single" w:sz="4" w:space="0" w:color="auto"/>
            </w:tcBorders>
            <w:shd w:val="clear" w:color="auto" w:fill="auto"/>
            <w:vAlign w:val="center"/>
            <w:hideMark/>
          </w:tcPr>
          <w:p w14:paraId="6CB5B4AE" w14:textId="77777777" w:rsidR="00E3750C" w:rsidRPr="00E4405B" w:rsidRDefault="00E3750C" w:rsidP="00047864">
            <w:pPr>
              <w:spacing w:after="0" w:line="240" w:lineRule="auto"/>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Pisarniški in računski stroji, oprema in potrebščine, razen pohištva in programskih paketov</w:t>
            </w:r>
          </w:p>
        </w:tc>
        <w:tc>
          <w:tcPr>
            <w:tcW w:w="474" w:type="pct"/>
            <w:tcBorders>
              <w:top w:val="nil"/>
              <w:left w:val="nil"/>
              <w:bottom w:val="single" w:sz="4" w:space="0" w:color="auto"/>
              <w:right w:val="single" w:sz="4" w:space="0" w:color="auto"/>
            </w:tcBorders>
            <w:shd w:val="clear" w:color="auto" w:fill="auto"/>
            <w:vAlign w:val="center"/>
            <w:hideMark/>
          </w:tcPr>
          <w:p w14:paraId="11E16E33" w14:textId="77777777" w:rsidR="00E3750C" w:rsidRPr="00E4405B" w:rsidRDefault="00E3750C" w:rsidP="00047864">
            <w:pPr>
              <w:spacing w:after="0" w:line="240" w:lineRule="auto"/>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30</w:t>
            </w:r>
          </w:p>
        </w:tc>
        <w:tc>
          <w:tcPr>
            <w:tcW w:w="474" w:type="pct"/>
            <w:tcBorders>
              <w:top w:val="nil"/>
              <w:left w:val="nil"/>
              <w:bottom w:val="single" w:sz="4" w:space="0" w:color="auto"/>
              <w:right w:val="single" w:sz="4" w:space="0" w:color="auto"/>
            </w:tcBorders>
            <w:shd w:val="clear" w:color="auto" w:fill="auto"/>
            <w:vAlign w:val="center"/>
            <w:hideMark/>
          </w:tcPr>
          <w:p w14:paraId="104D5F17"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2</w:t>
            </w:r>
          </w:p>
        </w:tc>
        <w:tc>
          <w:tcPr>
            <w:tcW w:w="1287" w:type="pct"/>
            <w:tcBorders>
              <w:top w:val="nil"/>
              <w:left w:val="nil"/>
              <w:bottom w:val="single" w:sz="4" w:space="0" w:color="auto"/>
              <w:right w:val="single" w:sz="4" w:space="0" w:color="auto"/>
            </w:tcBorders>
            <w:shd w:val="clear" w:color="auto" w:fill="auto"/>
            <w:vAlign w:val="center"/>
            <w:hideMark/>
          </w:tcPr>
          <w:p w14:paraId="0345B08E"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577.444</w:t>
            </w:r>
          </w:p>
        </w:tc>
        <w:tc>
          <w:tcPr>
            <w:tcW w:w="240" w:type="pct"/>
            <w:tcBorders>
              <w:top w:val="nil"/>
              <w:left w:val="nil"/>
              <w:bottom w:val="single" w:sz="4" w:space="0" w:color="auto"/>
              <w:right w:val="single" w:sz="4" w:space="0" w:color="auto"/>
            </w:tcBorders>
            <w:shd w:val="clear" w:color="auto" w:fill="auto"/>
            <w:noWrap/>
            <w:vAlign w:val="center"/>
            <w:hideMark/>
          </w:tcPr>
          <w:p w14:paraId="2392D7BB"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1,85</w:t>
            </w:r>
            <w:r>
              <w:rPr>
                <w:rFonts w:ascii="Arial" w:eastAsia="Times New Roman" w:hAnsi="Arial" w:cs="Arial"/>
                <w:color w:val="000000"/>
                <w:sz w:val="18"/>
                <w:szCs w:val="18"/>
                <w:lang w:eastAsia="sl-SI"/>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14:paraId="536AF7DA"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1,03</w:t>
            </w:r>
            <w:r>
              <w:rPr>
                <w:rFonts w:ascii="Arial" w:eastAsia="Times New Roman" w:hAnsi="Arial" w:cs="Arial"/>
                <w:color w:val="000000"/>
                <w:sz w:val="18"/>
                <w:szCs w:val="18"/>
                <w:lang w:eastAsia="sl-SI"/>
              </w:rPr>
              <w:t xml:space="preserve"> %</w:t>
            </w:r>
          </w:p>
        </w:tc>
      </w:tr>
      <w:tr w:rsidR="00E3750C" w:rsidRPr="00E4405B" w14:paraId="21D76086" w14:textId="77777777" w:rsidTr="00047864">
        <w:trPr>
          <w:trHeight w:val="300"/>
        </w:trPr>
        <w:tc>
          <w:tcPr>
            <w:tcW w:w="2285" w:type="pct"/>
            <w:tcBorders>
              <w:top w:val="nil"/>
              <w:left w:val="single" w:sz="4" w:space="0" w:color="auto"/>
              <w:bottom w:val="single" w:sz="4" w:space="0" w:color="auto"/>
              <w:right w:val="single" w:sz="4" w:space="0" w:color="auto"/>
            </w:tcBorders>
            <w:shd w:val="clear" w:color="auto" w:fill="auto"/>
            <w:vAlign w:val="center"/>
            <w:hideMark/>
          </w:tcPr>
          <w:p w14:paraId="7E69F6E4" w14:textId="77777777" w:rsidR="00E3750C" w:rsidRPr="00E4405B" w:rsidRDefault="00E3750C" w:rsidP="00047864">
            <w:pPr>
              <w:spacing w:after="0" w:line="240" w:lineRule="auto"/>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Električni stroji, aparati, oprema in potrošno blago; razsvetljava</w:t>
            </w:r>
          </w:p>
        </w:tc>
        <w:tc>
          <w:tcPr>
            <w:tcW w:w="474" w:type="pct"/>
            <w:tcBorders>
              <w:top w:val="nil"/>
              <w:left w:val="nil"/>
              <w:bottom w:val="single" w:sz="4" w:space="0" w:color="auto"/>
              <w:right w:val="single" w:sz="4" w:space="0" w:color="auto"/>
            </w:tcBorders>
            <w:shd w:val="clear" w:color="auto" w:fill="auto"/>
            <w:vAlign w:val="center"/>
            <w:hideMark/>
          </w:tcPr>
          <w:p w14:paraId="423195FE" w14:textId="77777777" w:rsidR="00E3750C" w:rsidRPr="00E4405B" w:rsidRDefault="00E3750C" w:rsidP="00047864">
            <w:pPr>
              <w:spacing w:after="0" w:line="240" w:lineRule="auto"/>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31</w:t>
            </w:r>
          </w:p>
        </w:tc>
        <w:tc>
          <w:tcPr>
            <w:tcW w:w="474" w:type="pct"/>
            <w:tcBorders>
              <w:top w:val="nil"/>
              <w:left w:val="nil"/>
              <w:bottom w:val="single" w:sz="4" w:space="0" w:color="auto"/>
              <w:right w:val="single" w:sz="4" w:space="0" w:color="auto"/>
            </w:tcBorders>
            <w:shd w:val="clear" w:color="auto" w:fill="auto"/>
            <w:vAlign w:val="center"/>
            <w:hideMark/>
          </w:tcPr>
          <w:p w14:paraId="03541335"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1</w:t>
            </w:r>
          </w:p>
        </w:tc>
        <w:tc>
          <w:tcPr>
            <w:tcW w:w="1287" w:type="pct"/>
            <w:tcBorders>
              <w:top w:val="nil"/>
              <w:left w:val="nil"/>
              <w:bottom w:val="single" w:sz="4" w:space="0" w:color="auto"/>
              <w:right w:val="single" w:sz="4" w:space="0" w:color="auto"/>
            </w:tcBorders>
            <w:shd w:val="clear" w:color="auto" w:fill="auto"/>
            <w:vAlign w:val="center"/>
            <w:hideMark/>
          </w:tcPr>
          <w:p w14:paraId="4B719B3D"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500.000</w:t>
            </w:r>
          </w:p>
        </w:tc>
        <w:tc>
          <w:tcPr>
            <w:tcW w:w="240" w:type="pct"/>
            <w:tcBorders>
              <w:top w:val="nil"/>
              <w:left w:val="nil"/>
              <w:bottom w:val="single" w:sz="4" w:space="0" w:color="auto"/>
              <w:right w:val="single" w:sz="4" w:space="0" w:color="auto"/>
            </w:tcBorders>
            <w:shd w:val="clear" w:color="auto" w:fill="auto"/>
            <w:noWrap/>
            <w:vAlign w:val="center"/>
            <w:hideMark/>
          </w:tcPr>
          <w:p w14:paraId="605D5BD6"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0,93</w:t>
            </w:r>
            <w:r>
              <w:rPr>
                <w:rFonts w:ascii="Arial" w:eastAsia="Times New Roman" w:hAnsi="Arial" w:cs="Arial"/>
                <w:color w:val="000000"/>
                <w:sz w:val="18"/>
                <w:szCs w:val="18"/>
                <w:lang w:eastAsia="sl-SI"/>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14:paraId="78990811"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0,89</w:t>
            </w:r>
            <w:r>
              <w:rPr>
                <w:rFonts w:ascii="Arial" w:eastAsia="Times New Roman" w:hAnsi="Arial" w:cs="Arial"/>
                <w:color w:val="000000"/>
                <w:sz w:val="18"/>
                <w:szCs w:val="18"/>
                <w:lang w:eastAsia="sl-SI"/>
              </w:rPr>
              <w:t xml:space="preserve"> %</w:t>
            </w:r>
          </w:p>
        </w:tc>
      </w:tr>
      <w:tr w:rsidR="00E3750C" w:rsidRPr="00E4405B" w14:paraId="19F907EC" w14:textId="77777777" w:rsidTr="00047864">
        <w:trPr>
          <w:trHeight w:val="300"/>
        </w:trPr>
        <w:tc>
          <w:tcPr>
            <w:tcW w:w="2285" w:type="pct"/>
            <w:tcBorders>
              <w:top w:val="nil"/>
              <w:left w:val="single" w:sz="4" w:space="0" w:color="auto"/>
              <w:bottom w:val="single" w:sz="4" w:space="0" w:color="auto"/>
              <w:right w:val="single" w:sz="4" w:space="0" w:color="auto"/>
            </w:tcBorders>
            <w:shd w:val="clear" w:color="auto" w:fill="auto"/>
            <w:vAlign w:val="center"/>
            <w:hideMark/>
          </w:tcPr>
          <w:p w14:paraId="5E9EC154" w14:textId="77777777" w:rsidR="00E3750C" w:rsidRPr="00E4405B" w:rsidRDefault="00E3750C" w:rsidP="00047864">
            <w:pPr>
              <w:spacing w:after="0" w:line="240" w:lineRule="auto"/>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Radijski in televizijski aparati, komunikacijska, telekomunikacijska in z njimi povezana oprema</w:t>
            </w:r>
          </w:p>
        </w:tc>
        <w:tc>
          <w:tcPr>
            <w:tcW w:w="474" w:type="pct"/>
            <w:tcBorders>
              <w:top w:val="nil"/>
              <w:left w:val="nil"/>
              <w:bottom w:val="single" w:sz="4" w:space="0" w:color="auto"/>
              <w:right w:val="single" w:sz="4" w:space="0" w:color="auto"/>
            </w:tcBorders>
            <w:shd w:val="clear" w:color="auto" w:fill="auto"/>
            <w:vAlign w:val="center"/>
            <w:hideMark/>
          </w:tcPr>
          <w:p w14:paraId="0B6BACC1" w14:textId="77777777" w:rsidR="00E3750C" w:rsidRPr="00E4405B" w:rsidRDefault="00E3750C" w:rsidP="00047864">
            <w:pPr>
              <w:spacing w:after="0" w:line="240" w:lineRule="auto"/>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32</w:t>
            </w:r>
          </w:p>
        </w:tc>
        <w:tc>
          <w:tcPr>
            <w:tcW w:w="474" w:type="pct"/>
            <w:tcBorders>
              <w:top w:val="nil"/>
              <w:left w:val="nil"/>
              <w:bottom w:val="single" w:sz="4" w:space="0" w:color="auto"/>
              <w:right w:val="single" w:sz="4" w:space="0" w:color="auto"/>
            </w:tcBorders>
            <w:shd w:val="clear" w:color="auto" w:fill="auto"/>
            <w:vAlign w:val="center"/>
            <w:hideMark/>
          </w:tcPr>
          <w:p w14:paraId="3CCF178B"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3</w:t>
            </w:r>
          </w:p>
        </w:tc>
        <w:tc>
          <w:tcPr>
            <w:tcW w:w="1287" w:type="pct"/>
            <w:tcBorders>
              <w:top w:val="nil"/>
              <w:left w:val="nil"/>
              <w:bottom w:val="single" w:sz="4" w:space="0" w:color="auto"/>
              <w:right w:val="single" w:sz="4" w:space="0" w:color="auto"/>
            </w:tcBorders>
            <w:shd w:val="clear" w:color="auto" w:fill="auto"/>
            <w:vAlign w:val="center"/>
            <w:hideMark/>
          </w:tcPr>
          <w:p w14:paraId="6FC70882"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2.850.824</w:t>
            </w:r>
          </w:p>
        </w:tc>
        <w:tc>
          <w:tcPr>
            <w:tcW w:w="240" w:type="pct"/>
            <w:tcBorders>
              <w:top w:val="nil"/>
              <w:left w:val="nil"/>
              <w:bottom w:val="single" w:sz="4" w:space="0" w:color="auto"/>
              <w:right w:val="single" w:sz="4" w:space="0" w:color="auto"/>
            </w:tcBorders>
            <w:shd w:val="clear" w:color="auto" w:fill="auto"/>
            <w:noWrap/>
            <w:vAlign w:val="center"/>
            <w:hideMark/>
          </w:tcPr>
          <w:p w14:paraId="419E5B56"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2,78</w:t>
            </w:r>
            <w:r>
              <w:rPr>
                <w:rFonts w:ascii="Arial" w:eastAsia="Times New Roman" w:hAnsi="Arial" w:cs="Arial"/>
                <w:color w:val="000000"/>
                <w:sz w:val="18"/>
                <w:szCs w:val="18"/>
                <w:lang w:eastAsia="sl-SI"/>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14:paraId="7322D2AC"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5,10</w:t>
            </w:r>
            <w:r>
              <w:rPr>
                <w:rFonts w:ascii="Arial" w:eastAsia="Times New Roman" w:hAnsi="Arial" w:cs="Arial"/>
                <w:color w:val="000000"/>
                <w:sz w:val="18"/>
                <w:szCs w:val="18"/>
                <w:lang w:eastAsia="sl-SI"/>
              </w:rPr>
              <w:t xml:space="preserve"> %</w:t>
            </w:r>
          </w:p>
        </w:tc>
      </w:tr>
      <w:tr w:rsidR="00E3750C" w:rsidRPr="00E4405B" w14:paraId="7C0E4223" w14:textId="77777777" w:rsidTr="00047864">
        <w:trPr>
          <w:trHeight w:val="300"/>
        </w:trPr>
        <w:tc>
          <w:tcPr>
            <w:tcW w:w="2285" w:type="pct"/>
            <w:tcBorders>
              <w:top w:val="nil"/>
              <w:left w:val="single" w:sz="4" w:space="0" w:color="auto"/>
              <w:bottom w:val="single" w:sz="4" w:space="0" w:color="auto"/>
              <w:right w:val="single" w:sz="4" w:space="0" w:color="auto"/>
            </w:tcBorders>
            <w:shd w:val="clear" w:color="auto" w:fill="auto"/>
            <w:vAlign w:val="center"/>
            <w:hideMark/>
          </w:tcPr>
          <w:p w14:paraId="01B1B0E5" w14:textId="77777777" w:rsidR="00E3750C" w:rsidRPr="00E4405B" w:rsidRDefault="00E3750C" w:rsidP="00047864">
            <w:pPr>
              <w:spacing w:after="0" w:line="240" w:lineRule="auto"/>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Prevozna sredstva in dodatni proizvodi za promet</w:t>
            </w:r>
          </w:p>
        </w:tc>
        <w:tc>
          <w:tcPr>
            <w:tcW w:w="474" w:type="pct"/>
            <w:tcBorders>
              <w:top w:val="nil"/>
              <w:left w:val="nil"/>
              <w:bottom w:val="single" w:sz="4" w:space="0" w:color="auto"/>
              <w:right w:val="single" w:sz="4" w:space="0" w:color="auto"/>
            </w:tcBorders>
            <w:shd w:val="clear" w:color="auto" w:fill="auto"/>
            <w:vAlign w:val="center"/>
            <w:hideMark/>
          </w:tcPr>
          <w:p w14:paraId="18DBF199" w14:textId="77777777" w:rsidR="00E3750C" w:rsidRPr="00E4405B" w:rsidRDefault="00E3750C" w:rsidP="00047864">
            <w:pPr>
              <w:spacing w:after="0" w:line="240" w:lineRule="auto"/>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34</w:t>
            </w:r>
          </w:p>
        </w:tc>
        <w:tc>
          <w:tcPr>
            <w:tcW w:w="474" w:type="pct"/>
            <w:tcBorders>
              <w:top w:val="nil"/>
              <w:left w:val="nil"/>
              <w:bottom w:val="single" w:sz="4" w:space="0" w:color="auto"/>
              <w:right w:val="single" w:sz="4" w:space="0" w:color="auto"/>
            </w:tcBorders>
            <w:shd w:val="clear" w:color="auto" w:fill="auto"/>
            <w:vAlign w:val="center"/>
            <w:hideMark/>
          </w:tcPr>
          <w:p w14:paraId="48D03B19"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1</w:t>
            </w:r>
          </w:p>
        </w:tc>
        <w:tc>
          <w:tcPr>
            <w:tcW w:w="1287" w:type="pct"/>
            <w:tcBorders>
              <w:top w:val="nil"/>
              <w:left w:val="nil"/>
              <w:bottom w:val="single" w:sz="4" w:space="0" w:color="auto"/>
              <w:right w:val="single" w:sz="4" w:space="0" w:color="auto"/>
            </w:tcBorders>
            <w:shd w:val="clear" w:color="auto" w:fill="auto"/>
            <w:vAlign w:val="center"/>
            <w:hideMark/>
          </w:tcPr>
          <w:p w14:paraId="7778079E"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951.277</w:t>
            </w:r>
          </w:p>
        </w:tc>
        <w:tc>
          <w:tcPr>
            <w:tcW w:w="240" w:type="pct"/>
            <w:tcBorders>
              <w:top w:val="nil"/>
              <w:left w:val="nil"/>
              <w:bottom w:val="single" w:sz="4" w:space="0" w:color="auto"/>
              <w:right w:val="single" w:sz="4" w:space="0" w:color="auto"/>
            </w:tcBorders>
            <w:shd w:val="clear" w:color="auto" w:fill="auto"/>
            <w:noWrap/>
            <w:vAlign w:val="center"/>
            <w:hideMark/>
          </w:tcPr>
          <w:p w14:paraId="52C93AEC"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0,93</w:t>
            </w:r>
            <w:r>
              <w:rPr>
                <w:rFonts w:ascii="Arial" w:eastAsia="Times New Roman" w:hAnsi="Arial" w:cs="Arial"/>
                <w:color w:val="000000"/>
                <w:sz w:val="18"/>
                <w:szCs w:val="18"/>
                <w:lang w:eastAsia="sl-SI"/>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14:paraId="0CE659C3"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1,70</w:t>
            </w:r>
            <w:r>
              <w:rPr>
                <w:rFonts w:ascii="Arial" w:eastAsia="Times New Roman" w:hAnsi="Arial" w:cs="Arial"/>
                <w:color w:val="000000"/>
                <w:sz w:val="18"/>
                <w:szCs w:val="18"/>
                <w:lang w:eastAsia="sl-SI"/>
              </w:rPr>
              <w:t xml:space="preserve"> %</w:t>
            </w:r>
          </w:p>
        </w:tc>
      </w:tr>
      <w:tr w:rsidR="00E3750C" w:rsidRPr="00E4405B" w14:paraId="10D6391D" w14:textId="77777777" w:rsidTr="00047864">
        <w:trPr>
          <w:trHeight w:val="300"/>
        </w:trPr>
        <w:tc>
          <w:tcPr>
            <w:tcW w:w="2285" w:type="pct"/>
            <w:tcBorders>
              <w:top w:val="nil"/>
              <w:left w:val="single" w:sz="4" w:space="0" w:color="auto"/>
              <w:bottom w:val="single" w:sz="4" w:space="0" w:color="auto"/>
              <w:right w:val="single" w:sz="4" w:space="0" w:color="auto"/>
            </w:tcBorders>
            <w:shd w:val="clear" w:color="auto" w:fill="auto"/>
            <w:vAlign w:val="center"/>
            <w:hideMark/>
          </w:tcPr>
          <w:p w14:paraId="4A0C30AD" w14:textId="77777777" w:rsidR="00E3750C" w:rsidRPr="00E4405B" w:rsidRDefault="00E3750C" w:rsidP="00047864">
            <w:pPr>
              <w:spacing w:after="0" w:line="240" w:lineRule="auto"/>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Varnostna, gasilska, policijska in obrambna oprema</w:t>
            </w:r>
          </w:p>
        </w:tc>
        <w:tc>
          <w:tcPr>
            <w:tcW w:w="474" w:type="pct"/>
            <w:tcBorders>
              <w:top w:val="nil"/>
              <w:left w:val="nil"/>
              <w:bottom w:val="single" w:sz="4" w:space="0" w:color="auto"/>
              <w:right w:val="single" w:sz="4" w:space="0" w:color="auto"/>
            </w:tcBorders>
            <w:shd w:val="clear" w:color="auto" w:fill="auto"/>
            <w:vAlign w:val="center"/>
            <w:hideMark/>
          </w:tcPr>
          <w:p w14:paraId="50B42F58" w14:textId="77777777" w:rsidR="00E3750C" w:rsidRPr="00E4405B" w:rsidRDefault="00E3750C" w:rsidP="00047864">
            <w:pPr>
              <w:spacing w:after="0" w:line="240" w:lineRule="auto"/>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35</w:t>
            </w:r>
          </w:p>
        </w:tc>
        <w:tc>
          <w:tcPr>
            <w:tcW w:w="474" w:type="pct"/>
            <w:tcBorders>
              <w:top w:val="nil"/>
              <w:left w:val="nil"/>
              <w:bottom w:val="single" w:sz="4" w:space="0" w:color="auto"/>
              <w:right w:val="single" w:sz="4" w:space="0" w:color="auto"/>
            </w:tcBorders>
            <w:shd w:val="clear" w:color="auto" w:fill="auto"/>
            <w:vAlign w:val="center"/>
            <w:hideMark/>
          </w:tcPr>
          <w:p w14:paraId="2B891C49"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42</w:t>
            </w:r>
          </w:p>
        </w:tc>
        <w:tc>
          <w:tcPr>
            <w:tcW w:w="1287" w:type="pct"/>
            <w:tcBorders>
              <w:top w:val="nil"/>
              <w:left w:val="nil"/>
              <w:bottom w:val="single" w:sz="4" w:space="0" w:color="auto"/>
              <w:right w:val="single" w:sz="4" w:space="0" w:color="auto"/>
            </w:tcBorders>
            <w:shd w:val="clear" w:color="auto" w:fill="auto"/>
            <w:vAlign w:val="center"/>
            <w:hideMark/>
          </w:tcPr>
          <w:p w14:paraId="460EE3C7"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24.586.959</w:t>
            </w:r>
          </w:p>
        </w:tc>
        <w:tc>
          <w:tcPr>
            <w:tcW w:w="240" w:type="pct"/>
            <w:tcBorders>
              <w:top w:val="nil"/>
              <w:left w:val="nil"/>
              <w:bottom w:val="single" w:sz="4" w:space="0" w:color="auto"/>
              <w:right w:val="single" w:sz="4" w:space="0" w:color="auto"/>
            </w:tcBorders>
            <w:shd w:val="clear" w:color="auto" w:fill="auto"/>
            <w:noWrap/>
            <w:vAlign w:val="center"/>
            <w:hideMark/>
          </w:tcPr>
          <w:p w14:paraId="4445192B"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38,89</w:t>
            </w:r>
            <w:r>
              <w:rPr>
                <w:rFonts w:ascii="Arial" w:eastAsia="Times New Roman" w:hAnsi="Arial" w:cs="Arial"/>
                <w:color w:val="000000"/>
                <w:sz w:val="18"/>
                <w:szCs w:val="18"/>
                <w:lang w:eastAsia="sl-SI"/>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14:paraId="29E3523A"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44,00</w:t>
            </w:r>
            <w:r>
              <w:rPr>
                <w:rFonts w:ascii="Arial" w:eastAsia="Times New Roman" w:hAnsi="Arial" w:cs="Arial"/>
                <w:color w:val="000000"/>
                <w:sz w:val="18"/>
                <w:szCs w:val="18"/>
                <w:lang w:eastAsia="sl-SI"/>
              </w:rPr>
              <w:t xml:space="preserve"> %</w:t>
            </w:r>
          </w:p>
        </w:tc>
      </w:tr>
      <w:tr w:rsidR="00E3750C" w:rsidRPr="00E4405B" w14:paraId="5D81710C" w14:textId="77777777" w:rsidTr="00047864">
        <w:trPr>
          <w:trHeight w:val="300"/>
        </w:trPr>
        <w:tc>
          <w:tcPr>
            <w:tcW w:w="2285" w:type="pct"/>
            <w:tcBorders>
              <w:top w:val="nil"/>
              <w:left w:val="single" w:sz="4" w:space="0" w:color="auto"/>
              <w:bottom w:val="single" w:sz="4" w:space="0" w:color="auto"/>
              <w:right w:val="single" w:sz="4" w:space="0" w:color="auto"/>
            </w:tcBorders>
            <w:shd w:val="clear" w:color="auto" w:fill="auto"/>
            <w:vAlign w:val="center"/>
            <w:hideMark/>
          </w:tcPr>
          <w:p w14:paraId="0559D04D" w14:textId="77777777" w:rsidR="00E3750C" w:rsidRPr="00E4405B" w:rsidRDefault="00E3750C" w:rsidP="00047864">
            <w:pPr>
              <w:spacing w:after="0" w:line="240" w:lineRule="auto"/>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Gradbene strukture in materiali; pomožni gradbeni izdelki (razen električnih aparatov)</w:t>
            </w:r>
          </w:p>
        </w:tc>
        <w:tc>
          <w:tcPr>
            <w:tcW w:w="474" w:type="pct"/>
            <w:tcBorders>
              <w:top w:val="nil"/>
              <w:left w:val="nil"/>
              <w:bottom w:val="single" w:sz="4" w:space="0" w:color="auto"/>
              <w:right w:val="single" w:sz="4" w:space="0" w:color="auto"/>
            </w:tcBorders>
            <w:shd w:val="clear" w:color="auto" w:fill="auto"/>
            <w:vAlign w:val="center"/>
            <w:hideMark/>
          </w:tcPr>
          <w:p w14:paraId="6198C761" w14:textId="77777777" w:rsidR="00E3750C" w:rsidRPr="00E4405B" w:rsidRDefault="00E3750C" w:rsidP="00047864">
            <w:pPr>
              <w:spacing w:after="0" w:line="240" w:lineRule="auto"/>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44</w:t>
            </w:r>
          </w:p>
        </w:tc>
        <w:tc>
          <w:tcPr>
            <w:tcW w:w="474" w:type="pct"/>
            <w:tcBorders>
              <w:top w:val="nil"/>
              <w:left w:val="nil"/>
              <w:bottom w:val="single" w:sz="4" w:space="0" w:color="auto"/>
              <w:right w:val="single" w:sz="4" w:space="0" w:color="auto"/>
            </w:tcBorders>
            <w:shd w:val="clear" w:color="auto" w:fill="auto"/>
            <w:vAlign w:val="center"/>
            <w:hideMark/>
          </w:tcPr>
          <w:p w14:paraId="3D25B0ED"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1</w:t>
            </w:r>
          </w:p>
        </w:tc>
        <w:tc>
          <w:tcPr>
            <w:tcW w:w="1287" w:type="pct"/>
            <w:tcBorders>
              <w:top w:val="nil"/>
              <w:left w:val="nil"/>
              <w:bottom w:val="single" w:sz="4" w:space="0" w:color="auto"/>
              <w:right w:val="single" w:sz="4" w:space="0" w:color="auto"/>
            </w:tcBorders>
            <w:shd w:val="clear" w:color="auto" w:fill="auto"/>
            <w:vAlign w:val="center"/>
            <w:hideMark/>
          </w:tcPr>
          <w:p w14:paraId="6A014205"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170.200</w:t>
            </w:r>
          </w:p>
        </w:tc>
        <w:tc>
          <w:tcPr>
            <w:tcW w:w="240" w:type="pct"/>
            <w:tcBorders>
              <w:top w:val="nil"/>
              <w:left w:val="nil"/>
              <w:bottom w:val="single" w:sz="4" w:space="0" w:color="auto"/>
              <w:right w:val="single" w:sz="4" w:space="0" w:color="auto"/>
            </w:tcBorders>
            <w:shd w:val="clear" w:color="auto" w:fill="auto"/>
            <w:noWrap/>
            <w:vAlign w:val="center"/>
            <w:hideMark/>
          </w:tcPr>
          <w:p w14:paraId="4D4EB66C"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0,93</w:t>
            </w:r>
            <w:r>
              <w:rPr>
                <w:rFonts w:ascii="Arial" w:eastAsia="Times New Roman" w:hAnsi="Arial" w:cs="Arial"/>
                <w:color w:val="000000"/>
                <w:sz w:val="18"/>
                <w:szCs w:val="18"/>
                <w:lang w:eastAsia="sl-SI"/>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14:paraId="5FB929B2"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0,30</w:t>
            </w:r>
            <w:r>
              <w:rPr>
                <w:rFonts w:ascii="Arial" w:eastAsia="Times New Roman" w:hAnsi="Arial" w:cs="Arial"/>
                <w:color w:val="000000"/>
                <w:sz w:val="18"/>
                <w:szCs w:val="18"/>
                <w:lang w:eastAsia="sl-SI"/>
              </w:rPr>
              <w:t xml:space="preserve"> %</w:t>
            </w:r>
          </w:p>
        </w:tc>
      </w:tr>
      <w:tr w:rsidR="00E3750C" w:rsidRPr="00E4405B" w14:paraId="11C2CA4D" w14:textId="77777777" w:rsidTr="00047864">
        <w:trPr>
          <w:trHeight w:val="300"/>
        </w:trPr>
        <w:tc>
          <w:tcPr>
            <w:tcW w:w="2285" w:type="pct"/>
            <w:tcBorders>
              <w:top w:val="nil"/>
              <w:left w:val="single" w:sz="4" w:space="0" w:color="auto"/>
              <w:bottom w:val="single" w:sz="4" w:space="0" w:color="auto"/>
              <w:right w:val="single" w:sz="4" w:space="0" w:color="auto"/>
            </w:tcBorders>
            <w:shd w:val="clear" w:color="auto" w:fill="auto"/>
            <w:vAlign w:val="center"/>
            <w:hideMark/>
          </w:tcPr>
          <w:p w14:paraId="49DABBF7" w14:textId="77777777" w:rsidR="00E3750C" w:rsidRPr="00E4405B" w:rsidRDefault="00E3750C" w:rsidP="00047864">
            <w:pPr>
              <w:spacing w:after="0" w:line="240" w:lineRule="auto"/>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Gradbena dela</w:t>
            </w:r>
          </w:p>
        </w:tc>
        <w:tc>
          <w:tcPr>
            <w:tcW w:w="474" w:type="pct"/>
            <w:tcBorders>
              <w:top w:val="nil"/>
              <w:left w:val="nil"/>
              <w:bottom w:val="single" w:sz="4" w:space="0" w:color="auto"/>
              <w:right w:val="single" w:sz="4" w:space="0" w:color="auto"/>
            </w:tcBorders>
            <w:shd w:val="clear" w:color="auto" w:fill="auto"/>
            <w:vAlign w:val="center"/>
            <w:hideMark/>
          </w:tcPr>
          <w:p w14:paraId="6769CE11" w14:textId="77777777" w:rsidR="00E3750C" w:rsidRPr="00E4405B" w:rsidRDefault="00E3750C" w:rsidP="00047864">
            <w:pPr>
              <w:spacing w:after="0" w:line="240" w:lineRule="auto"/>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45</w:t>
            </w:r>
          </w:p>
        </w:tc>
        <w:tc>
          <w:tcPr>
            <w:tcW w:w="474" w:type="pct"/>
            <w:tcBorders>
              <w:top w:val="nil"/>
              <w:left w:val="nil"/>
              <w:bottom w:val="single" w:sz="4" w:space="0" w:color="auto"/>
              <w:right w:val="single" w:sz="4" w:space="0" w:color="auto"/>
            </w:tcBorders>
            <w:shd w:val="clear" w:color="auto" w:fill="auto"/>
            <w:vAlign w:val="center"/>
            <w:hideMark/>
          </w:tcPr>
          <w:p w14:paraId="61134C1F"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5</w:t>
            </w:r>
          </w:p>
        </w:tc>
        <w:tc>
          <w:tcPr>
            <w:tcW w:w="1287" w:type="pct"/>
            <w:tcBorders>
              <w:top w:val="nil"/>
              <w:left w:val="nil"/>
              <w:bottom w:val="single" w:sz="4" w:space="0" w:color="auto"/>
              <w:right w:val="single" w:sz="4" w:space="0" w:color="auto"/>
            </w:tcBorders>
            <w:shd w:val="clear" w:color="auto" w:fill="auto"/>
            <w:vAlign w:val="center"/>
            <w:hideMark/>
          </w:tcPr>
          <w:p w14:paraId="3C5C3B52"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7.226.475</w:t>
            </w:r>
          </w:p>
        </w:tc>
        <w:tc>
          <w:tcPr>
            <w:tcW w:w="240" w:type="pct"/>
            <w:tcBorders>
              <w:top w:val="nil"/>
              <w:left w:val="nil"/>
              <w:bottom w:val="single" w:sz="4" w:space="0" w:color="auto"/>
              <w:right w:val="single" w:sz="4" w:space="0" w:color="auto"/>
            </w:tcBorders>
            <w:shd w:val="clear" w:color="auto" w:fill="auto"/>
            <w:noWrap/>
            <w:vAlign w:val="center"/>
            <w:hideMark/>
          </w:tcPr>
          <w:p w14:paraId="395C8E82"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4,63</w:t>
            </w:r>
            <w:r>
              <w:rPr>
                <w:rFonts w:ascii="Arial" w:eastAsia="Times New Roman" w:hAnsi="Arial" w:cs="Arial"/>
                <w:color w:val="000000"/>
                <w:sz w:val="18"/>
                <w:szCs w:val="18"/>
                <w:lang w:eastAsia="sl-SI"/>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14:paraId="2ED3E346"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12,93</w:t>
            </w:r>
            <w:r>
              <w:rPr>
                <w:rFonts w:ascii="Arial" w:eastAsia="Times New Roman" w:hAnsi="Arial" w:cs="Arial"/>
                <w:color w:val="000000"/>
                <w:sz w:val="18"/>
                <w:szCs w:val="18"/>
                <w:lang w:eastAsia="sl-SI"/>
              </w:rPr>
              <w:t xml:space="preserve"> %</w:t>
            </w:r>
          </w:p>
        </w:tc>
      </w:tr>
      <w:tr w:rsidR="00E3750C" w:rsidRPr="00E4405B" w14:paraId="6E606AEC" w14:textId="77777777" w:rsidTr="00047864">
        <w:trPr>
          <w:trHeight w:val="300"/>
        </w:trPr>
        <w:tc>
          <w:tcPr>
            <w:tcW w:w="2285" w:type="pct"/>
            <w:tcBorders>
              <w:top w:val="nil"/>
              <w:left w:val="single" w:sz="4" w:space="0" w:color="auto"/>
              <w:bottom w:val="single" w:sz="4" w:space="0" w:color="auto"/>
              <w:right w:val="single" w:sz="4" w:space="0" w:color="auto"/>
            </w:tcBorders>
            <w:shd w:val="clear" w:color="auto" w:fill="auto"/>
            <w:vAlign w:val="center"/>
            <w:hideMark/>
          </w:tcPr>
          <w:p w14:paraId="78D7A597" w14:textId="77777777" w:rsidR="00E3750C" w:rsidRPr="00E4405B" w:rsidRDefault="00E3750C" w:rsidP="00047864">
            <w:pPr>
              <w:spacing w:after="0" w:line="240" w:lineRule="auto"/>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Programski paketi in informacijski sistemi</w:t>
            </w:r>
          </w:p>
        </w:tc>
        <w:tc>
          <w:tcPr>
            <w:tcW w:w="474" w:type="pct"/>
            <w:tcBorders>
              <w:top w:val="nil"/>
              <w:left w:val="nil"/>
              <w:bottom w:val="single" w:sz="4" w:space="0" w:color="auto"/>
              <w:right w:val="single" w:sz="4" w:space="0" w:color="auto"/>
            </w:tcBorders>
            <w:shd w:val="clear" w:color="auto" w:fill="auto"/>
            <w:vAlign w:val="center"/>
            <w:hideMark/>
          </w:tcPr>
          <w:p w14:paraId="03F885D9" w14:textId="77777777" w:rsidR="00E3750C" w:rsidRPr="00E4405B" w:rsidRDefault="00E3750C" w:rsidP="00047864">
            <w:pPr>
              <w:spacing w:after="0" w:line="240" w:lineRule="auto"/>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48</w:t>
            </w:r>
          </w:p>
        </w:tc>
        <w:tc>
          <w:tcPr>
            <w:tcW w:w="474" w:type="pct"/>
            <w:tcBorders>
              <w:top w:val="nil"/>
              <w:left w:val="nil"/>
              <w:bottom w:val="single" w:sz="4" w:space="0" w:color="auto"/>
              <w:right w:val="single" w:sz="4" w:space="0" w:color="auto"/>
            </w:tcBorders>
            <w:shd w:val="clear" w:color="auto" w:fill="auto"/>
            <w:vAlign w:val="center"/>
            <w:hideMark/>
          </w:tcPr>
          <w:p w14:paraId="70339033"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4</w:t>
            </w:r>
          </w:p>
        </w:tc>
        <w:tc>
          <w:tcPr>
            <w:tcW w:w="1287" w:type="pct"/>
            <w:tcBorders>
              <w:top w:val="nil"/>
              <w:left w:val="nil"/>
              <w:bottom w:val="single" w:sz="4" w:space="0" w:color="auto"/>
              <w:right w:val="single" w:sz="4" w:space="0" w:color="auto"/>
            </w:tcBorders>
            <w:shd w:val="clear" w:color="auto" w:fill="auto"/>
            <w:vAlign w:val="center"/>
            <w:hideMark/>
          </w:tcPr>
          <w:p w14:paraId="052FE17A"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413.550</w:t>
            </w:r>
          </w:p>
        </w:tc>
        <w:tc>
          <w:tcPr>
            <w:tcW w:w="240" w:type="pct"/>
            <w:tcBorders>
              <w:top w:val="nil"/>
              <w:left w:val="nil"/>
              <w:bottom w:val="single" w:sz="4" w:space="0" w:color="auto"/>
              <w:right w:val="single" w:sz="4" w:space="0" w:color="auto"/>
            </w:tcBorders>
            <w:shd w:val="clear" w:color="auto" w:fill="auto"/>
            <w:noWrap/>
            <w:vAlign w:val="center"/>
            <w:hideMark/>
          </w:tcPr>
          <w:p w14:paraId="18E9BCFF"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3,70</w:t>
            </w:r>
            <w:r>
              <w:rPr>
                <w:rFonts w:ascii="Arial" w:eastAsia="Times New Roman" w:hAnsi="Arial" w:cs="Arial"/>
                <w:color w:val="000000"/>
                <w:sz w:val="18"/>
                <w:szCs w:val="18"/>
                <w:lang w:eastAsia="sl-SI"/>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14:paraId="5A04348A"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0,74</w:t>
            </w:r>
            <w:r>
              <w:rPr>
                <w:rFonts w:ascii="Arial" w:eastAsia="Times New Roman" w:hAnsi="Arial" w:cs="Arial"/>
                <w:color w:val="000000"/>
                <w:sz w:val="18"/>
                <w:szCs w:val="18"/>
                <w:lang w:eastAsia="sl-SI"/>
              </w:rPr>
              <w:t xml:space="preserve"> %</w:t>
            </w:r>
          </w:p>
        </w:tc>
      </w:tr>
      <w:tr w:rsidR="00E3750C" w:rsidRPr="00E4405B" w14:paraId="6BCF6AE8" w14:textId="77777777" w:rsidTr="00047864">
        <w:trPr>
          <w:trHeight w:val="300"/>
        </w:trPr>
        <w:tc>
          <w:tcPr>
            <w:tcW w:w="2285" w:type="pct"/>
            <w:tcBorders>
              <w:top w:val="nil"/>
              <w:left w:val="single" w:sz="4" w:space="0" w:color="auto"/>
              <w:bottom w:val="single" w:sz="4" w:space="0" w:color="auto"/>
              <w:right w:val="single" w:sz="4" w:space="0" w:color="auto"/>
            </w:tcBorders>
            <w:shd w:val="clear" w:color="auto" w:fill="auto"/>
            <w:vAlign w:val="center"/>
            <w:hideMark/>
          </w:tcPr>
          <w:p w14:paraId="03F2C2F2" w14:textId="77777777" w:rsidR="00E3750C" w:rsidRPr="00E4405B" w:rsidRDefault="00E3750C" w:rsidP="00047864">
            <w:pPr>
              <w:spacing w:after="0" w:line="240" w:lineRule="auto"/>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Storitve popravila in vzdrževanja</w:t>
            </w:r>
          </w:p>
        </w:tc>
        <w:tc>
          <w:tcPr>
            <w:tcW w:w="474" w:type="pct"/>
            <w:tcBorders>
              <w:top w:val="nil"/>
              <w:left w:val="nil"/>
              <w:bottom w:val="single" w:sz="4" w:space="0" w:color="auto"/>
              <w:right w:val="single" w:sz="4" w:space="0" w:color="auto"/>
            </w:tcBorders>
            <w:shd w:val="clear" w:color="auto" w:fill="auto"/>
            <w:vAlign w:val="center"/>
            <w:hideMark/>
          </w:tcPr>
          <w:p w14:paraId="132D5DE9" w14:textId="77777777" w:rsidR="00E3750C" w:rsidRPr="00E4405B" w:rsidRDefault="00E3750C" w:rsidP="00047864">
            <w:pPr>
              <w:spacing w:after="0" w:line="240" w:lineRule="auto"/>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50</w:t>
            </w:r>
          </w:p>
        </w:tc>
        <w:tc>
          <w:tcPr>
            <w:tcW w:w="474" w:type="pct"/>
            <w:tcBorders>
              <w:top w:val="nil"/>
              <w:left w:val="nil"/>
              <w:bottom w:val="single" w:sz="4" w:space="0" w:color="auto"/>
              <w:right w:val="single" w:sz="4" w:space="0" w:color="auto"/>
            </w:tcBorders>
            <w:shd w:val="clear" w:color="auto" w:fill="auto"/>
            <w:vAlign w:val="center"/>
            <w:hideMark/>
          </w:tcPr>
          <w:p w14:paraId="4E787CA0"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35</w:t>
            </w:r>
          </w:p>
        </w:tc>
        <w:tc>
          <w:tcPr>
            <w:tcW w:w="1287" w:type="pct"/>
            <w:tcBorders>
              <w:top w:val="nil"/>
              <w:left w:val="nil"/>
              <w:bottom w:val="single" w:sz="4" w:space="0" w:color="auto"/>
              <w:right w:val="single" w:sz="4" w:space="0" w:color="auto"/>
            </w:tcBorders>
            <w:shd w:val="clear" w:color="auto" w:fill="auto"/>
            <w:vAlign w:val="center"/>
            <w:hideMark/>
          </w:tcPr>
          <w:p w14:paraId="7F51DCD0"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15.048.940</w:t>
            </w:r>
          </w:p>
        </w:tc>
        <w:tc>
          <w:tcPr>
            <w:tcW w:w="240" w:type="pct"/>
            <w:tcBorders>
              <w:top w:val="nil"/>
              <w:left w:val="nil"/>
              <w:bottom w:val="single" w:sz="4" w:space="0" w:color="auto"/>
              <w:right w:val="single" w:sz="4" w:space="0" w:color="auto"/>
            </w:tcBorders>
            <w:shd w:val="clear" w:color="auto" w:fill="auto"/>
            <w:noWrap/>
            <w:vAlign w:val="center"/>
            <w:hideMark/>
          </w:tcPr>
          <w:p w14:paraId="02911DD7"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32,41</w:t>
            </w:r>
            <w:r>
              <w:rPr>
                <w:rFonts w:ascii="Arial" w:eastAsia="Times New Roman" w:hAnsi="Arial" w:cs="Arial"/>
                <w:color w:val="000000"/>
                <w:sz w:val="18"/>
                <w:szCs w:val="18"/>
                <w:lang w:eastAsia="sl-SI"/>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14:paraId="14326167"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26,93</w:t>
            </w:r>
            <w:r>
              <w:rPr>
                <w:rFonts w:ascii="Arial" w:eastAsia="Times New Roman" w:hAnsi="Arial" w:cs="Arial"/>
                <w:color w:val="000000"/>
                <w:sz w:val="18"/>
                <w:szCs w:val="18"/>
                <w:lang w:eastAsia="sl-SI"/>
              </w:rPr>
              <w:t xml:space="preserve"> %</w:t>
            </w:r>
          </w:p>
        </w:tc>
      </w:tr>
      <w:tr w:rsidR="00E3750C" w:rsidRPr="00E4405B" w14:paraId="0A8611B7" w14:textId="77777777" w:rsidTr="00047864">
        <w:trPr>
          <w:trHeight w:val="300"/>
        </w:trPr>
        <w:tc>
          <w:tcPr>
            <w:tcW w:w="2285" w:type="pct"/>
            <w:tcBorders>
              <w:top w:val="nil"/>
              <w:left w:val="single" w:sz="4" w:space="0" w:color="auto"/>
              <w:bottom w:val="single" w:sz="4" w:space="0" w:color="auto"/>
              <w:right w:val="single" w:sz="4" w:space="0" w:color="auto"/>
            </w:tcBorders>
            <w:shd w:val="clear" w:color="auto" w:fill="auto"/>
            <w:vAlign w:val="center"/>
            <w:hideMark/>
          </w:tcPr>
          <w:p w14:paraId="0F4549DC" w14:textId="77777777" w:rsidR="00E3750C" w:rsidRPr="00E4405B" w:rsidRDefault="00E3750C" w:rsidP="00047864">
            <w:pPr>
              <w:spacing w:after="0" w:line="240" w:lineRule="auto"/>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Storitve inštalacije (razen programske opreme)</w:t>
            </w:r>
          </w:p>
        </w:tc>
        <w:tc>
          <w:tcPr>
            <w:tcW w:w="474" w:type="pct"/>
            <w:tcBorders>
              <w:top w:val="nil"/>
              <w:left w:val="nil"/>
              <w:bottom w:val="single" w:sz="4" w:space="0" w:color="auto"/>
              <w:right w:val="single" w:sz="4" w:space="0" w:color="auto"/>
            </w:tcBorders>
            <w:shd w:val="clear" w:color="auto" w:fill="auto"/>
            <w:vAlign w:val="center"/>
            <w:hideMark/>
          </w:tcPr>
          <w:p w14:paraId="702F2EE5" w14:textId="77777777" w:rsidR="00E3750C" w:rsidRPr="00E4405B" w:rsidRDefault="00E3750C" w:rsidP="00047864">
            <w:pPr>
              <w:spacing w:after="0" w:line="240" w:lineRule="auto"/>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51</w:t>
            </w:r>
          </w:p>
        </w:tc>
        <w:tc>
          <w:tcPr>
            <w:tcW w:w="474" w:type="pct"/>
            <w:tcBorders>
              <w:top w:val="nil"/>
              <w:left w:val="nil"/>
              <w:bottom w:val="single" w:sz="4" w:space="0" w:color="auto"/>
              <w:right w:val="single" w:sz="4" w:space="0" w:color="auto"/>
            </w:tcBorders>
            <w:shd w:val="clear" w:color="auto" w:fill="auto"/>
            <w:vAlign w:val="center"/>
            <w:hideMark/>
          </w:tcPr>
          <w:p w14:paraId="5D270D50"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1</w:t>
            </w:r>
          </w:p>
        </w:tc>
        <w:tc>
          <w:tcPr>
            <w:tcW w:w="1287" w:type="pct"/>
            <w:tcBorders>
              <w:top w:val="nil"/>
              <w:left w:val="nil"/>
              <w:bottom w:val="single" w:sz="4" w:space="0" w:color="auto"/>
              <w:right w:val="single" w:sz="4" w:space="0" w:color="auto"/>
            </w:tcBorders>
            <w:shd w:val="clear" w:color="auto" w:fill="auto"/>
            <w:vAlign w:val="center"/>
            <w:hideMark/>
          </w:tcPr>
          <w:p w14:paraId="3E36954C"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176.030</w:t>
            </w:r>
          </w:p>
        </w:tc>
        <w:tc>
          <w:tcPr>
            <w:tcW w:w="240" w:type="pct"/>
            <w:tcBorders>
              <w:top w:val="nil"/>
              <w:left w:val="nil"/>
              <w:bottom w:val="single" w:sz="4" w:space="0" w:color="auto"/>
              <w:right w:val="single" w:sz="4" w:space="0" w:color="auto"/>
            </w:tcBorders>
            <w:shd w:val="clear" w:color="auto" w:fill="auto"/>
            <w:noWrap/>
            <w:vAlign w:val="center"/>
            <w:hideMark/>
          </w:tcPr>
          <w:p w14:paraId="4F0A5947"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0,93</w:t>
            </w:r>
            <w:r>
              <w:rPr>
                <w:rFonts w:ascii="Arial" w:eastAsia="Times New Roman" w:hAnsi="Arial" w:cs="Arial"/>
                <w:color w:val="000000"/>
                <w:sz w:val="18"/>
                <w:szCs w:val="18"/>
                <w:lang w:eastAsia="sl-SI"/>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14:paraId="5B0FDC5F"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0,32</w:t>
            </w:r>
            <w:r>
              <w:rPr>
                <w:rFonts w:ascii="Arial" w:eastAsia="Times New Roman" w:hAnsi="Arial" w:cs="Arial"/>
                <w:color w:val="000000"/>
                <w:sz w:val="18"/>
                <w:szCs w:val="18"/>
                <w:lang w:eastAsia="sl-SI"/>
              </w:rPr>
              <w:t xml:space="preserve"> %</w:t>
            </w:r>
          </w:p>
        </w:tc>
      </w:tr>
      <w:tr w:rsidR="00E3750C" w:rsidRPr="00E4405B" w14:paraId="44359E2D" w14:textId="77777777" w:rsidTr="00047864">
        <w:trPr>
          <w:trHeight w:val="300"/>
        </w:trPr>
        <w:tc>
          <w:tcPr>
            <w:tcW w:w="2285" w:type="pct"/>
            <w:tcBorders>
              <w:top w:val="nil"/>
              <w:left w:val="single" w:sz="4" w:space="0" w:color="auto"/>
              <w:bottom w:val="single" w:sz="4" w:space="0" w:color="auto"/>
              <w:right w:val="single" w:sz="4" w:space="0" w:color="auto"/>
            </w:tcBorders>
            <w:shd w:val="clear" w:color="auto" w:fill="auto"/>
            <w:vAlign w:val="center"/>
            <w:hideMark/>
          </w:tcPr>
          <w:p w14:paraId="54624DDB" w14:textId="77777777" w:rsidR="00E3750C" w:rsidRPr="00E4405B" w:rsidRDefault="00E3750C" w:rsidP="00047864">
            <w:pPr>
              <w:spacing w:after="0" w:line="240" w:lineRule="auto"/>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Arhitekturne, gradbeniške, inženirske in inšpekcijske storitve</w:t>
            </w:r>
          </w:p>
        </w:tc>
        <w:tc>
          <w:tcPr>
            <w:tcW w:w="474" w:type="pct"/>
            <w:tcBorders>
              <w:top w:val="nil"/>
              <w:left w:val="nil"/>
              <w:bottom w:val="single" w:sz="4" w:space="0" w:color="auto"/>
              <w:right w:val="single" w:sz="4" w:space="0" w:color="auto"/>
            </w:tcBorders>
            <w:shd w:val="clear" w:color="auto" w:fill="auto"/>
            <w:vAlign w:val="center"/>
            <w:hideMark/>
          </w:tcPr>
          <w:p w14:paraId="5A51A31F" w14:textId="77777777" w:rsidR="00E3750C" w:rsidRPr="00E4405B" w:rsidRDefault="00E3750C" w:rsidP="00047864">
            <w:pPr>
              <w:spacing w:after="0" w:line="240" w:lineRule="auto"/>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71</w:t>
            </w:r>
          </w:p>
        </w:tc>
        <w:tc>
          <w:tcPr>
            <w:tcW w:w="474" w:type="pct"/>
            <w:tcBorders>
              <w:top w:val="nil"/>
              <w:left w:val="nil"/>
              <w:bottom w:val="single" w:sz="4" w:space="0" w:color="auto"/>
              <w:right w:val="single" w:sz="4" w:space="0" w:color="auto"/>
            </w:tcBorders>
            <w:shd w:val="clear" w:color="auto" w:fill="auto"/>
            <w:vAlign w:val="center"/>
            <w:hideMark/>
          </w:tcPr>
          <w:p w14:paraId="08EBD0EE"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3</w:t>
            </w:r>
          </w:p>
        </w:tc>
        <w:tc>
          <w:tcPr>
            <w:tcW w:w="1287" w:type="pct"/>
            <w:tcBorders>
              <w:top w:val="nil"/>
              <w:left w:val="nil"/>
              <w:bottom w:val="single" w:sz="4" w:space="0" w:color="auto"/>
              <w:right w:val="single" w:sz="4" w:space="0" w:color="auto"/>
            </w:tcBorders>
            <w:shd w:val="clear" w:color="auto" w:fill="auto"/>
            <w:vAlign w:val="center"/>
            <w:hideMark/>
          </w:tcPr>
          <w:p w14:paraId="59BAE6D1"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335.534</w:t>
            </w:r>
          </w:p>
        </w:tc>
        <w:tc>
          <w:tcPr>
            <w:tcW w:w="240" w:type="pct"/>
            <w:tcBorders>
              <w:top w:val="nil"/>
              <w:left w:val="nil"/>
              <w:bottom w:val="single" w:sz="4" w:space="0" w:color="auto"/>
              <w:right w:val="single" w:sz="4" w:space="0" w:color="auto"/>
            </w:tcBorders>
            <w:shd w:val="clear" w:color="auto" w:fill="auto"/>
            <w:noWrap/>
            <w:vAlign w:val="center"/>
            <w:hideMark/>
          </w:tcPr>
          <w:p w14:paraId="7235CE24"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2,78</w:t>
            </w:r>
            <w:r>
              <w:rPr>
                <w:rFonts w:ascii="Arial" w:eastAsia="Times New Roman" w:hAnsi="Arial" w:cs="Arial"/>
                <w:color w:val="000000"/>
                <w:sz w:val="18"/>
                <w:szCs w:val="18"/>
                <w:lang w:eastAsia="sl-SI"/>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14:paraId="153242B4"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0,60</w:t>
            </w:r>
            <w:r>
              <w:rPr>
                <w:rFonts w:ascii="Arial" w:eastAsia="Times New Roman" w:hAnsi="Arial" w:cs="Arial"/>
                <w:color w:val="000000"/>
                <w:sz w:val="18"/>
                <w:szCs w:val="18"/>
                <w:lang w:eastAsia="sl-SI"/>
              </w:rPr>
              <w:t xml:space="preserve"> %</w:t>
            </w:r>
          </w:p>
        </w:tc>
      </w:tr>
      <w:tr w:rsidR="00E3750C" w:rsidRPr="00E4405B" w14:paraId="7ABB12EB" w14:textId="77777777" w:rsidTr="00047864">
        <w:trPr>
          <w:trHeight w:val="300"/>
        </w:trPr>
        <w:tc>
          <w:tcPr>
            <w:tcW w:w="2285" w:type="pct"/>
            <w:tcBorders>
              <w:top w:val="nil"/>
              <w:left w:val="single" w:sz="4" w:space="0" w:color="auto"/>
              <w:bottom w:val="single" w:sz="4" w:space="0" w:color="auto"/>
              <w:right w:val="single" w:sz="4" w:space="0" w:color="auto"/>
            </w:tcBorders>
            <w:shd w:val="clear" w:color="auto" w:fill="auto"/>
            <w:vAlign w:val="center"/>
            <w:hideMark/>
          </w:tcPr>
          <w:p w14:paraId="5801F352" w14:textId="77777777" w:rsidR="00E3750C" w:rsidRPr="00E4405B" w:rsidRDefault="00E3750C" w:rsidP="00047864">
            <w:pPr>
              <w:spacing w:after="0" w:line="240" w:lineRule="auto"/>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Storitve informacijske tehnologije: svetovanje, razvoj programske opreme, internet in podpora</w:t>
            </w:r>
          </w:p>
        </w:tc>
        <w:tc>
          <w:tcPr>
            <w:tcW w:w="474" w:type="pct"/>
            <w:tcBorders>
              <w:top w:val="nil"/>
              <w:left w:val="nil"/>
              <w:bottom w:val="single" w:sz="4" w:space="0" w:color="auto"/>
              <w:right w:val="single" w:sz="4" w:space="0" w:color="auto"/>
            </w:tcBorders>
            <w:shd w:val="clear" w:color="auto" w:fill="auto"/>
            <w:vAlign w:val="center"/>
            <w:hideMark/>
          </w:tcPr>
          <w:p w14:paraId="5DE07BDC" w14:textId="77777777" w:rsidR="00E3750C" w:rsidRPr="00E4405B" w:rsidRDefault="00E3750C" w:rsidP="00047864">
            <w:pPr>
              <w:spacing w:after="0" w:line="240" w:lineRule="auto"/>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72</w:t>
            </w:r>
          </w:p>
        </w:tc>
        <w:tc>
          <w:tcPr>
            <w:tcW w:w="474" w:type="pct"/>
            <w:tcBorders>
              <w:top w:val="nil"/>
              <w:left w:val="nil"/>
              <w:bottom w:val="single" w:sz="4" w:space="0" w:color="auto"/>
              <w:right w:val="single" w:sz="4" w:space="0" w:color="auto"/>
            </w:tcBorders>
            <w:shd w:val="clear" w:color="auto" w:fill="auto"/>
            <w:vAlign w:val="center"/>
            <w:hideMark/>
          </w:tcPr>
          <w:p w14:paraId="07FC966B"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3</w:t>
            </w:r>
          </w:p>
        </w:tc>
        <w:tc>
          <w:tcPr>
            <w:tcW w:w="1287" w:type="pct"/>
            <w:tcBorders>
              <w:top w:val="nil"/>
              <w:left w:val="nil"/>
              <w:bottom w:val="single" w:sz="4" w:space="0" w:color="auto"/>
              <w:right w:val="single" w:sz="4" w:space="0" w:color="auto"/>
            </w:tcBorders>
            <w:shd w:val="clear" w:color="auto" w:fill="auto"/>
            <w:vAlign w:val="center"/>
            <w:hideMark/>
          </w:tcPr>
          <w:p w14:paraId="00234524"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506.578</w:t>
            </w:r>
          </w:p>
        </w:tc>
        <w:tc>
          <w:tcPr>
            <w:tcW w:w="240" w:type="pct"/>
            <w:tcBorders>
              <w:top w:val="nil"/>
              <w:left w:val="nil"/>
              <w:bottom w:val="single" w:sz="4" w:space="0" w:color="auto"/>
              <w:right w:val="single" w:sz="4" w:space="0" w:color="auto"/>
            </w:tcBorders>
            <w:shd w:val="clear" w:color="auto" w:fill="auto"/>
            <w:noWrap/>
            <w:vAlign w:val="center"/>
            <w:hideMark/>
          </w:tcPr>
          <w:p w14:paraId="64202761"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2,78</w:t>
            </w:r>
            <w:r>
              <w:rPr>
                <w:rFonts w:ascii="Arial" w:eastAsia="Times New Roman" w:hAnsi="Arial" w:cs="Arial"/>
                <w:color w:val="000000"/>
                <w:sz w:val="18"/>
                <w:szCs w:val="18"/>
                <w:lang w:eastAsia="sl-SI"/>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14:paraId="4093A203"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0,91</w:t>
            </w:r>
            <w:r>
              <w:rPr>
                <w:rFonts w:ascii="Arial" w:eastAsia="Times New Roman" w:hAnsi="Arial" w:cs="Arial"/>
                <w:color w:val="000000"/>
                <w:sz w:val="18"/>
                <w:szCs w:val="18"/>
                <w:lang w:eastAsia="sl-SI"/>
              </w:rPr>
              <w:t xml:space="preserve"> %</w:t>
            </w:r>
          </w:p>
        </w:tc>
      </w:tr>
      <w:tr w:rsidR="00E3750C" w:rsidRPr="00E4405B" w14:paraId="46FB90BC" w14:textId="77777777" w:rsidTr="00047864">
        <w:trPr>
          <w:trHeight w:val="300"/>
        </w:trPr>
        <w:tc>
          <w:tcPr>
            <w:tcW w:w="2285" w:type="pct"/>
            <w:tcBorders>
              <w:top w:val="nil"/>
              <w:left w:val="single" w:sz="4" w:space="0" w:color="auto"/>
              <w:bottom w:val="single" w:sz="4" w:space="0" w:color="auto"/>
              <w:right w:val="single" w:sz="4" w:space="0" w:color="auto"/>
            </w:tcBorders>
            <w:shd w:val="clear" w:color="auto" w:fill="auto"/>
            <w:vAlign w:val="center"/>
            <w:hideMark/>
          </w:tcPr>
          <w:p w14:paraId="75D1CCA9" w14:textId="77777777" w:rsidR="00E3750C" w:rsidRPr="00E4405B" w:rsidRDefault="00E3750C" w:rsidP="00047864">
            <w:pPr>
              <w:spacing w:after="0" w:line="240" w:lineRule="auto"/>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Storitve na področju raziskav in razvoja ter s tem povezane svetovalne storitve</w:t>
            </w:r>
          </w:p>
        </w:tc>
        <w:tc>
          <w:tcPr>
            <w:tcW w:w="474" w:type="pct"/>
            <w:tcBorders>
              <w:top w:val="nil"/>
              <w:left w:val="nil"/>
              <w:bottom w:val="single" w:sz="4" w:space="0" w:color="auto"/>
              <w:right w:val="single" w:sz="4" w:space="0" w:color="auto"/>
            </w:tcBorders>
            <w:shd w:val="clear" w:color="auto" w:fill="auto"/>
            <w:vAlign w:val="center"/>
            <w:hideMark/>
          </w:tcPr>
          <w:p w14:paraId="0CA56303" w14:textId="77777777" w:rsidR="00E3750C" w:rsidRPr="00E4405B" w:rsidRDefault="00E3750C" w:rsidP="00047864">
            <w:pPr>
              <w:spacing w:after="0" w:line="240" w:lineRule="auto"/>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73</w:t>
            </w:r>
          </w:p>
        </w:tc>
        <w:tc>
          <w:tcPr>
            <w:tcW w:w="474" w:type="pct"/>
            <w:tcBorders>
              <w:top w:val="nil"/>
              <w:left w:val="nil"/>
              <w:bottom w:val="single" w:sz="4" w:space="0" w:color="auto"/>
              <w:right w:val="single" w:sz="4" w:space="0" w:color="auto"/>
            </w:tcBorders>
            <w:shd w:val="clear" w:color="auto" w:fill="auto"/>
            <w:vAlign w:val="center"/>
            <w:hideMark/>
          </w:tcPr>
          <w:p w14:paraId="3FD4280E"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4</w:t>
            </w:r>
          </w:p>
        </w:tc>
        <w:tc>
          <w:tcPr>
            <w:tcW w:w="1287" w:type="pct"/>
            <w:tcBorders>
              <w:top w:val="nil"/>
              <w:left w:val="nil"/>
              <w:bottom w:val="single" w:sz="4" w:space="0" w:color="auto"/>
              <w:right w:val="single" w:sz="4" w:space="0" w:color="auto"/>
            </w:tcBorders>
            <w:shd w:val="clear" w:color="auto" w:fill="auto"/>
            <w:vAlign w:val="center"/>
            <w:hideMark/>
          </w:tcPr>
          <w:p w14:paraId="4911833E"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951.990</w:t>
            </w:r>
          </w:p>
        </w:tc>
        <w:tc>
          <w:tcPr>
            <w:tcW w:w="240" w:type="pct"/>
            <w:tcBorders>
              <w:top w:val="nil"/>
              <w:left w:val="nil"/>
              <w:bottom w:val="single" w:sz="4" w:space="0" w:color="auto"/>
              <w:right w:val="single" w:sz="4" w:space="0" w:color="auto"/>
            </w:tcBorders>
            <w:shd w:val="clear" w:color="auto" w:fill="auto"/>
            <w:noWrap/>
            <w:vAlign w:val="center"/>
            <w:hideMark/>
          </w:tcPr>
          <w:p w14:paraId="3FE4B96A"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3,70</w:t>
            </w:r>
            <w:r>
              <w:rPr>
                <w:rFonts w:ascii="Arial" w:eastAsia="Times New Roman" w:hAnsi="Arial" w:cs="Arial"/>
                <w:color w:val="000000"/>
                <w:sz w:val="18"/>
                <w:szCs w:val="18"/>
                <w:lang w:eastAsia="sl-SI"/>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14:paraId="44A9F3D2"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1,70</w:t>
            </w:r>
            <w:r>
              <w:rPr>
                <w:rFonts w:ascii="Arial" w:eastAsia="Times New Roman" w:hAnsi="Arial" w:cs="Arial"/>
                <w:color w:val="000000"/>
                <w:sz w:val="18"/>
                <w:szCs w:val="18"/>
                <w:lang w:eastAsia="sl-SI"/>
              </w:rPr>
              <w:t xml:space="preserve"> %</w:t>
            </w:r>
          </w:p>
        </w:tc>
      </w:tr>
      <w:tr w:rsidR="00E3750C" w:rsidRPr="00E4405B" w14:paraId="537944B9" w14:textId="77777777" w:rsidTr="00047864">
        <w:trPr>
          <w:trHeight w:val="300"/>
        </w:trPr>
        <w:tc>
          <w:tcPr>
            <w:tcW w:w="2285" w:type="pct"/>
            <w:tcBorders>
              <w:top w:val="nil"/>
              <w:left w:val="single" w:sz="4" w:space="0" w:color="auto"/>
              <w:bottom w:val="single" w:sz="4" w:space="0" w:color="auto"/>
              <w:right w:val="single" w:sz="4" w:space="0" w:color="auto"/>
            </w:tcBorders>
            <w:shd w:val="clear" w:color="auto" w:fill="auto"/>
            <w:vAlign w:val="center"/>
            <w:hideMark/>
          </w:tcPr>
          <w:p w14:paraId="3BEC6725" w14:textId="77777777" w:rsidR="00E3750C" w:rsidRPr="00E4405B" w:rsidRDefault="00E3750C" w:rsidP="00047864">
            <w:pPr>
              <w:spacing w:after="0" w:line="240" w:lineRule="auto"/>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Storitve izobraževanja in usposabljanja</w:t>
            </w:r>
          </w:p>
        </w:tc>
        <w:tc>
          <w:tcPr>
            <w:tcW w:w="474" w:type="pct"/>
            <w:tcBorders>
              <w:top w:val="nil"/>
              <w:left w:val="nil"/>
              <w:bottom w:val="single" w:sz="4" w:space="0" w:color="auto"/>
              <w:right w:val="single" w:sz="4" w:space="0" w:color="auto"/>
            </w:tcBorders>
            <w:shd w:val="clear" w:color="auto" w:fill="auto"/>
            <w:vAlign w:val="center"/>
            <w:hideMark/>
          </w:tcPr>
          <w:p w14:paraId="773DD107" w14:textId="77777777" w:rsidR="00E3750C" w:rsidRPr="00E4405B" w:rsidRDefault="00E3750C" w:rsidP="00047864">
            <w:pPr>
              <w:spacing w:after="0" w:line="240" w:lineRule="auto"/>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80</w:t>
            </w:r>
          </w:p>
        </w:tc>
        <w:tc>
          <w:tcPr>
            <w:tcW w:w="474" w:type="pct"/>
            <w:tcBorders>
              <w:top w:val="nil"/>
              <w:left w:val="nil"/>
              <w:bottom w:val="single" w:sz="4" w:space="0" w:color="auto"/>
              <w:right w:val="single" w:sz="4" w:space="0" w:color="auto"/>
            </w:tcBorders>
            <w:shd w:val="clear" w:color="auto" w:fill="auto"/>
            <w:vAlign w:val="center"/>
            <w:hideMark/>
          </w:tcPr>
          <w:p w14:paraId="1988EA8A"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2</w:t>
            </w:r>
          </w:p>
        </w:tc>
        <w:tc>
          <w:tcPr>
            <w:tcW w:w="1287" w:type="pct"/>
            <w:tcBorders>
              <w:top w:val="nil"/>
              <w:left w:val="nil"/>
              <w:bottom w:val="single" w:sz="4" w:space="0" w:color="auto"/>
              <w:right w:val="single" w:sz="4" w:space="0" w:color="auto"/>
            </w:tcBorders>
            <w:shd w:val="clear" w:color="auto" w:fill="auto"/>
            <w:vAlign w:val="center"/>
            <w:hideMark/>
          </w:tcPr>
          <w:p w14:paraId="349A6050"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1.051.877</w:t>
            </w:r>
          </w:p>
        </w:tc>
        <w:tc>
          <w:tcPr>
            <w:tcW w:w="240" w:type="pct"/>
            <w:tcBorders>
              <w:top w:val="nil"/>
              <w:left w:val="nil"/>
              <w:bottom w:val="single" w:sz="4" w:space="0" w:color="auto"/>
              <w:right w:val="single" w:sz="4" w:space="0" w:color="auto"/>
            </w:tcBorders>
            <w:shd w:val="clear" w:color="auto" w:fill="auto"/>
            <w:noWrap/>
            <w:vAlign w:val="center"/>
            <w:hideMark/>
          </w:tcPr>
          <w:p w14:paraId="216DAF09"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1,85</w:t>
            </w:r>
            <w:r>
              <w:rPr>
                <w:rFonts w:ascii="Arial" w:eastAsia="Times New Roman" w:hAnsi="Arial" w:cs="Arial"/>
                <w:color w:val="000000"/>
                <w:sz w:val="18"/>
                <w:szCs w:val="18"/>
                <w:lang w:eastAsia="sl-SI"/>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14:paraId="07E0BB2C" w14:textId="77777777" w:rsidR="00E3750C" w:rsidRPr="00E4405B" w:rsidRDefault="00E3750C" w:rsidP="00047864">
            <w:pPr>
              <w:spacing w:after="0" w:line="240" w:lineRule="auto"/>
              <w:jc w:val="right"/>
              <w:rPr>
                <w:rFonts w:ascii="Arial" w:eastAsia="Times New Roman" w:hAnsi="Arial" w:cs="Arial"/>
                <w:color w:val="000000"/>
                <w:sz w:val="18"/>
                <w:szCs w:val="18"/>
                <w:lang w:eastAsia="sl-SI"/>
              </w:rPr>
            </w:pPr>
            <w:r w:rsidRPr="00E4405B">
              <w:rPr>
                <w:rFonts w:ascii="Arial" w:eastAsia="Times New Roman" w:hAnsi="Arial" w:cs="Arial"/>
                <w:color w:val="000000"/>
                <w:sz w:val="18"/>
                <w:szCs w:val="18"/>
                <w:lang w:eastAsia="sl-SI"/>
              </w:rPr>
              <w:t>1,88</w:t>
            </w:r>
            <w:r>
              <w:rPr>
                <w:rFonts w:ascii="Arial" w:eastAsia="Times New Roman" w:hAnsi="Arial" w:cs="Arial"/>
                <w:color w:val="000000"/>
                <w:sz w:val="18"/>
                <w:szCs w:val="18"/>
                <w:lang w:eastAsia="sl-SI"/>
              </w:rPr>
              <w:t xml:space="preserve"> %</w:t>
            </w:r>
          </w:p>
        </w:tc>
      </w:tr>
      <w:tr w:rsidR="00E3750C" w:rsidRPr="00E4405B" w14:paraId="1E2B1356" w14:textId="77777777" w:rsidTr="00047864">
        <w:trPr>
          <w:trHeight w:val="300"/>
        </w:trPr>
        <w:tc>
          <w:tcPr>
            <w:tcW w:w="275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4E60D2" w14:textId="77777777" w:rsidR="00E3750C" w:rsidRPr="00E4405B" w:rsidRDefault="00E3750C" w:rsidP="00047864">
            <w:pPr>
              <w:spacing w:after="0" w:line="240" w:lineRule="auto"/>
              <w:rPr>
                <w:rFonts w:ascii="Arial" w:eastAsia="Times New Roman" w:hAnsi="Arial" w:cs="Arial"/>
                <w:b/>
                <w:bCs/>
                <w:color w:val="000000"/>
                <w:sz w:val="18"/>
                <w:szCs w:val="18"/>
                <w:lang w:eastAsia="sl-SI"/>
              </w:rPr>
            </w:pPr>
            <w:r w:rsidRPr="00E4405B">
              <w:rPr>
                <w:rFonts w:ascii="Arial" w:eastAsia="Times New Roman" w:hAnsi="Arial" w:cs="Arial"/>
                <w:b/>
                <w:bCs/>
                <w:color w:val="000000"/>
                <w:sz w:val="18"/>
                <w:szCs w:val="18"/>
                <w:lang w:eastAsia="sl-SI"/>
              </w:rPr>
              <w:t>Skupaj</w:t>
            </w:r>
          </w:p>
        </w:tc>
        <w:tc>
          <w:tcPr>
            <w:tcW w:w="474" w:type="pct"/>
            <w:tcBorders>
              <w:top w:val="nil"/>
              <w:left w:val="nil"/>
              <w:bottom w:val="single" w:sz="4" w:space="0" w:color="auto"/>
              <w:right w:val="single" w:sz="4" w:space="0" w:color="auto"/>
            </w:tcBorders>
            <w:shd w:val="clear" w:color="auto" w:fill="F2F2F2" w:themeFill="background1" w:themeFillShade="F2"/>
            <w:noWrap/>
            <w:vAlign w:val="center"/>
            <w:hideMark/>
          </w:tcPr>
          <w:p w14:paraId="4FE53C8B" w14:textId="77777777" w:rsidR="00E3750C" w:rsidRPr="00E4405B" w:rsidRDefault="00E3750C" w:rsidP="00047864">
            <w:pPr>
              <w:spacing w:after="0" w:line="240" w:lineRule="auto"/>
              <w:jc w:val="right"/>
              <w:rPr>
                <w:rFonts w:ascii="Arial" w:eastAsia="Times New Roman" w:hAnsi="Arial" w:cs="Arial"/>
                <w:b/>
                <w:bCs/>
                <w:color w:val="000000"/>
                <w:sz w:val="18"/>
                <w:szCs w:val="18"/>
                <w:lang w:eastAsia="sl-SI"/>
              </w:rPr>
            </w:pPr>
            <w:r w:rsidRPr="00E4405B">
              <w:rPr>
                <w:rFonts w:ascii="Arial" w:eastAsia="Times New Roman" w:hAnsi="Arial" w:cs="Arial"/>
                <w:b/>
                <w:bCs/>
                <w:color w:val="000000"/>
                <w:sz w:val="18"/>
                <w:szCs w:val="18"/>
                <w:lang w:eastAsia="sl-SI"/>
              </w:rPr>
              <w:t>108</w:t>
            </w:r>
          </w:p>
        </w:tc>
        <w:tc>
          <w:tcPr>
            <w:tcW w:w="1287" w:type="pct"/>
            <w:tcBorders>
              <w:top w:val="nil"/>
              <w:left w:val="nil"/>
              <w:bottom w:val="single" w:sz="4" w:space="0" w:color="auto"/>
              <w:right w:val="single" w:sz="4" w:space="0" w:color="auto"/>
            </w:tcBorders>
            <w:shd w:val="clear" w:color="auto" w:fill="F2F2F2" w:themeFill="background1" w:themeFillShade="F2"/>
            <w:noWrap/>
            <w:vAlign w:val="center"/>
            <w:hideMark/>
          </w:tcPr>
          <w:p w14:paraId="28507BD6" w14:textId="77777777" w:rsidR="00E3750C" w:rsidRPr="00E4405B" w:rsidRDefault="00E3750C" w:rsidP="00047864">
            <w:pPr>
              <w:spacing w:after="0" w:line="240" w:lineRule="auto"/>
              <w:jc w:val="right"/>
              <w:rPr>
                <w:rFonts w:ascii="Arial" w:eastAsia="Times New Roman" w:hAnsi="Arial" w:cs="Arial"/>
                <w:b/>
                <w:bCs/>
                <w:color w:val="000000"/>
                <w:sz w:val="18"/>
                <w:szCs w:val="18"/>
                <w:lang w:eastAsia="sl-SI"/>
              </w:rPr>
            </w:pPr>
            <w:r w:rsidRPr="00E4405B">
              <w:rPr>
                <w:rFonts w:ascii="Arial" w:eastAsia="Times New Roman" w:hAnsi="Arial" w:cs="Arial"/>
                <w:b/>
                <w:bCs/>
                <w:color w:val="000000"/>
                <w:sz w:val="18"/>
                <w:szCs w:val="18"/>
                <w:lang w:eastAsia="sl-SI"/>
              </w:rPr>
              <w:t>55.877.498</w:t>
            </w:r>
          </w:p>
        </w:tc>
        <w:tc>
          <w:tcPr>
            <w:tcW w:w="240" w:type="pct"/>
            <w:tcBorders>
              <w:top w:val="nil"/>
              <w:left w:val="nil"/>
              <w:bottom w:val="single" w:sz="4" w:space="0" w:color="auto"/>
              <w:right w:val="single" w:sz="4" w:space="0" w:color="auto"/>
            </w:tcBorders>
            <w:shd w:val="clear" w:color="auto" w:fill="F2F2F2" w:themeFill="background1" w:themeFillShade="F2"/>
            <w:noWrap/>
            <w:vAlign w:val="center"/>
            <w:hideMark/>
          </w:tcPr>
          <w:p w14:paraId="32AB8454" w14:textId="77777777" w:rsidR="00E3750C" w:rsidRPr="00E4405B" w:rsidRDefault="00E3750C" w:rsidP="00047864">
            <w:pPr>
              <w:spacing w:after="0" w:line="240" w:lineRule="auto"/>
              <w:jc w:val="right"/>
              <w:rPr>
                <w:rFonts w:ascii="Arial" w:eastAsia="Times New Roman" w:hAnsi="Arial" w:cs="Arial"/>
                <w:b/>
                <w:bCs/>
                <w:color w:val="000000"/>
                <w:sz w:val="18"/>
                <w:szCs w:val="18"/>
                <w:lang w:eastAsia="sl-SI"/>
              </w:rPr>
            </w:pPr>
            <w:r w:rsidRPr="00E4405B">
              <w:rPr>
                <w:rFonts w:ascii="Arial" w:eastAsia="Times New Roman" w:hAnsi="Arial" w:cs="Arial"/>
                <w:b/>
                <w:bCs/>
                <w:color w:val="000000"/>
                <w:sz w:val="18"/>
                <w:szCs w:val="18"/>
                <w:lang w:eastAsia="sl-SI"/>
              </w:rPr>
              <w:t>100,00 %</w:t>
            </w:r>
          </w:p>
        </w:tc>
        <w:tc>
          <w:tcPr>
            <w:tcW w:w="240" w:type="pct"/>
            <w:tcBorders>
              <w:top w:val="nil"/>
              <w:left w:val="nil"/>
              <w:bottom w:val="single" w:sz="4" w:space="0" w:color="auto"/>
              <w:right w:val="single" w:sz="4" w:space="0" w:color="auto"/>
            </w:tcBorders>
            <w:shd w:val="clear" w:color="auto" w:fill="F2F2F2" w:themeFill="background1" w:themeFillShade="F2"/>
            <w:noWrap/>
            <w:vAlign w:val="center"/>
            <w:hideMark/>
          </w:tcPr>
          <w:p w14:paraId="79005E35" w14:textId="77777777" w:rsidR="00E3750C" w:rsidRPr="00E4405B" w:rsidRDefault="00E3750C" w:rsidP="00047864">
            <w:pPr>
              <w:spacing w:after="0" w:line="240" w:lineRule="auto"/>
              <w:jc w:val="right"/>
              <w:rPr>
                <w:rFonts w:ascii="Arial" w:eastAsia="Times New Roman" w:hAnsi="Arial" w:cs="Arial"/>
                <w:b/>
                <w:bCs/>
                <w:color w:val="000000"/>
                <w:sz w:val="18"/>
                <w:szCs w:val="18"/>
                <w:lang w:eastAsia="sl-SI"/>
              </w:rPr>
            </w:pPr>
            <w:r w:rsidRPr="00E4405B">
              <w:rPr>
                <w:rFonts w:ascii="Arial" w:eastAsia="Times New Roman" w:hAnsi="Arial" w:cs="Arial"/>
                <w:b/>
                <w:bCs/>
                <w:color w:val="000000"/>
                <w:sz w:val="18"/>
                <w:szCs w:val="18"/>
                <w:lang w:eastAsia="sl-SI"/>
              </w:rPr>
              <w:t>100,00 %</w:t>
            </w:r>
          </w:p>
        </w:tc>
      </w:tr>
    </w:tbl>
    <w:p w14:paraId="75919C49" w14:textId="77777777" w:rsidR="00E3750C" w:rsidRPr="003346B7" w:rsidRDefault="00E3750C" w:rsidP="00E3750C">
      <w:pPr>
        <w:spacing w:before="120" w:after="120" w:line="240" w:lineRule="auto"/>
        <w:jc w:val="both"/>
        <w:rPr>
          <w:rFonts w:ascii="Arial" w:hAnsi="Arial" w:cs="Arial"/>
          <w:sz w:val="20"/>
        </w:rPr>
      </w:pPr>
    </w:p>
    <w:p w14:paraId="6E2598C0" w14:textId="77777777" w:rsidR="00E3750C" w:rsidRDefault="00E3750C" w:rsidP="00E3750C">
      <w:pPr>
        <w:rPr>
          <w:rFonts w:ascii="Arial" w:hAnsi="Arial" w:cs="Arial"/>
          <w:sz w:val="20"/>
        </w:rPr>
      </w:pPr>
      <w:r>
        <w:rPr>
          <w:rFonts w:ascii="Arial" w:hAnsi="Arial" w:cs="Arial"/>
          <w:sz w:val="20"/>
        </w:rPr>
        <w:br w:type="page"/>
      </w:r>
    </w:p>
    <w:p w14:paraId="3361DDE2" w14:textId="77777777" w:rsidR="00E3750C" w:rsidRPr="003346B7" w:rsidRDefault="00E3750C" w:rsidP="00E3750C">
      <w:pPr>
        <w:spacing w:before="120" w:after="0" w:line="240" w:lineRule="auto"/>
        <w:jc w:val="both"/>
        <w:rPr>
          <w:rFonts w:ascii="Arial" w:hAnsi="Arial" w:cs="Arial"/>
          <w:sz w:val="20"/>
        </w:rPr>
      </w:pPr>
      <w:r w:rsidRPr="003346B7">
        <w:rPr>
          <w:rFonts w:ascii="Arial" w:hAnsi="Arial" w:cs="Arial"/>
          <w:sz w:val="20"/>
        </w:rPr>
        <w:lastRenderedPageBreak/>
        <w:t>Preglednica 7</w:t>
      </w:r>
      <w:r>
        <w:rPr>
          <w:rFonts w:ascii="Arial" w:hAnsi="Arial" w:cs="Arial"/>
          <w:sz w:val="20"/>
        </w:rPr>
        <w:t>6</w:t>
      </w:r>
      <w:r w:rsidRPr="003346B7">
        <w:rPr>
          <w:rFonts w:ascii="Arial" w:hAnsi="Arial" w:cs="Arial"/>
          <w:sz w:val="20"/>
        </w:rPr>
        <w:t>: Trije največji predmeti javnega naročanja glede na vrednost po Enotnem besednjaku javnih naročil (CPV) za posamezno kategorijo naročnika</w:t>
      </w:r>
    </w:p>
    <w:p w14:paraId="4C8A02BD" w14:textId="77777777" w:rsidR="00E3750C" w:rsidRPr="00BF7302" w:rsidRDefault="00E3750C" w:rsidP="00E3750C">
      <w:pPr>
        <w:spacing w:after="0" w:line="240" w:lineRule="auto"/>
        <w:jc w:val="both"/>
        <w:rPr>
          <w:rFonts w:ascii="Arial" w:hAnsi="Arial" w:cs="Arial"/>
          <w:sz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32"/>
        <w:gridCol w:w="771"/>
        <w:gridCol w:w="3490"/>
        <w:gridCol w:w="1013"/>
        <w:gridCol w:w="2268"/>
      </w:tblGrid>
      <w:tr w:rsidR="00E3750C" w:rsidRPr="003346B7" w14:paraId="5937F3A3" w14:textId="77777777" w:rsidTr="00047864">
        <w:trPr>
          <w:trHeight w:val="300"/>
        </w:trPr>
        <w:tc>
          <w:tcPr>
            <w:tcW w:w="896" w:type="pct"/>
            <w:shd w:val="clear" w:color="000000" w:fill="F2F2F2"/>
            <w:vAlign w:val="center"/>
            <w:hideMark/>
          </w:tcPr>
          <w:p w14:paraId="6597EC1E" w14:textId="77777777" w:rsidR="00E3750C" w:rsidRPr="003346B7" w:rsidRDefault="00E3750C" w:rsidP="00047864">
            <w:pPr>
              <w:spacing w:after="0" w:line="240" w:lineRule="auto"/>
              <w:jc w:val="center"/>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Kategorija naročnika</w:t>
            </w:r>
          </w:p>
        </w:tc>
        <w:tc>
          <w:tcPr>
            <w:tcW w:w="396" w:type="pct"/>
            <w:shd w:val="clear" w:color="000000" w:fill="F2F2F2"/>
            <w:vAlign w:val="center"/>
            <w:hideMark/>
          </w:tcPr>
          <w:p w14:paraId="104A247A" w14:textId="77777777" w:rsidR="00E3750C" w:rsidRPr="003346B7" w:rsidRDefault="00E3750C" w:rsidP="00047864">
            <w:pPr>
              <w:spacing w:after="0" w:line="240" w:lineRule="auto"/>
              <w:jc w:val="center"/>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CPV oddelek</w:t>
            </w:r>
          </w:p>
        </w:tc>
        <w:tc>
          <w:tcPr>
            <w:tcW w:w="1908" w:type="pct"/>
            <w:shd w:val="clear" w:color="000000" w:fill="F2F2F2"/>
            <w:vAlign w:val="center"/>
            <w:hideMark/>
          </w:tcPr>
          <w:p w14:paraId="07660D2D" w14:textId="77777777" w:rsidR="00E3750C" w:rsidRPr="003346B7" w:rsidRDefault="00E3750C" w:rsidP="00047864">
            <w:pPr>
              <w:spacing w:after="0" w:line="240" w:lineRule="auto"/>
              <w:jc w:val="center"/>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Opis CPV oddelka</w:t>
            </w:r>
          </w:p>
        </w:tc>
        <w:tc>
          <w:tcPr>
            <w:tcW w:w="558" w:type="pct"/>
            <w:shd w:val="clear" w:color="000000" w:fill="F2F2F2"/>
            <w:vAlign w:val="center"/>
            <w:hideMark/>
          </w:tcPr>
          <w:p w14:paraId="71143B4E" w14:textId="77777777" w:rsidR="00E3750C" w:rsidRPr="003346B7" w:rsidRDefault="00E3750C" w:rsidP="00047864">
            <w:pPr>
              <w:spacing w:after="0" w:line="240" w:lineRule="auto"/>
              <w:jc w:val="center"/>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Št. naročil</w:t>
            </w:r>
          </w:p>
        </w:tc>
        <w:tc>
          <w:tcPr>
            <w:tcW w:w="1242" w:type="pct"/>
            <w:shd w:val="clear" w:color="000000" w:fill="F2F2F2"/>
            <w:vAlign w:val="center"/>
            <w:hideMark/>
          </w:tcPr>
          <w:p w14:paraId="303415E0" w14:textId="77777777" w:rsidR="00E3750C" w:rsidRPr="003346B7" w:rsidRDefault="00E3750C" w:rsidP="00047864">
            <w:pPr>
              <w:spacing w:after="0" w:line="240" w:lineRule="auto"/>
              <w:jc w:val="center"/>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Pogodbena vrednost</w:t>
            </w:r>
          </w:p>
        </w:tc>
      </w:tr>
      <w:tr w:rsidR="00E3750C" w:rsidRPr="003346B7" w14:paraId="6635B6F4" w14:textId="77777777" w:rsidTr="00047864">
        <w:trPr>
          <w:trHeight w:val="300"/>
        </w:trPr>
        <w:tc>
          <w:tcPr>
            <w:tcW w:w="896" w:type="pct"/>
            <w:vMerge w:val="restart"/>
            <w:shd w:val="clear" w:color="auto" w:fill="auto"/>
            <w:vAlign w:val="center"/>
            <w:hideMark/>
          </w:tcPr>
          <w:p w14:paraId="528A9612"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Organi Republike Slovenije</w:t>
            </w:r>
          </w:p>
        </w:tc>
        <w:tc>
          <w:tcPr>
            <w:tcW w:w="396" w:type="pct"/>
            <w:shd w:val="clear" w:color="auto" w:fill="auto"/>
            <w:vAlign w:val="center"/>
            <w:hideMark/>
          </w:tcPr>
          <w:p w14:paraId="29AC12EC"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50</w:t>
            </w:r>
          </w:p>
        </w:tc>
        <w:tc>
          <w:tcPr>
            <w:tcW w:w="1908" w:type="pct"/>
            <w:shd w:val="clear" w:color="auto" w:fill="auto"/>
            <w:vAlign w:val="center"/>
            <w:hideMark/>
          </w:tcPr>
          <w:p w14:paraId="495EAE2B"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Storitve popravila in vzdrževanja</w:t>
            </w:r>
          </w:p>
        </w:tc>
        <w:tc>
          <w:tcPr>
            <w:tcW w:w="558" w:type="pct"/>
            <w:shd w:val="clear" w:color="auto" w:fill="auto"/>
            <w:vAlign w:val="center"/>
            <w:hideMark/>
          </w:tcPr>
          <w:p w14:paraId="504C7792" w14:textId="77777777" w:rsidR="00E3750C" w:rsidRPr="003346B7" w:rsidRDefault="00E3750C" w:rsidP="00047864">
            <w:pPr>
              <w:spacing w:after="0" w:line="240" w:lineRule="auto"/>
              <w:jc w:val="right"/>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230</w:t>
            </w:r>
          </w:p>
        </w:tc>
        <w:tc>
          <w:tcPr>
            <w:tcW w:w="1242" w:type="pct"/>
            <w:shd w:val="clear" w:color="auto" w:fill="auto"/>
            <w:vAlign w:val="center"/>
            <w:hideMark/>
          </w:tcPr>
          <w:p w14:paraId="2093EE9D" w14:textId="77777777" w:rsidR="00E3750C" w:rsidRPr="003346B7" w:rsidRDefault="00E3750C" w:rsidP="00047864">
            <w:pPr>
              <w:spacing w:after="0" w:line="240" w:lineRule="auto"/>
              <w:jc w:val="right"/>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669.926.348</w:t>
            </w:r>
          </w:p>
        </w:tc>
      </w:tr>
      <w:tr w:rsidR="00E3750C" w:rsidRPr="003346B7" w14:paraId="37835952" w14:textId="77777777" w:rsidTr="00047864">
        <w:trPr>
          <w:trHeight w:val="300"/>
        </w:trPr>
        <w:tc>
          <w:tcPr>
            <w:tcW w:w="896" w:type="pct"/>
            <w:vMerge/>
            <w:vAlign w:val="center"/>
            <w:hideMark/>
          </w:tcPr>
          <w:p w14:paraId="35B89824" w14:textId="77777777" w:rsidR="00E3750C" w:rsidRPr="003346B7" w:rsidRDefault="00E3750C" w:rsidP="00047864">
            <w:pPr>
              <w:spacing w:after="0" w:line="240" w:lineRule="auto"/>
              <w:rPr>
                <w:rFonts w:ascii="Arial" w:eastAsia="Times New Roman" w:hAnsi="Arial" w:cs="Arial"/>
                <w:color w:val="000000"/>
                <w:sz w:val="18"/>
                <w:szCs w:val="18"/>
                <w:lang w:eastAsia="sl-SI"/>
              </w:rPr>
            </w:pPr>
          </w:p>
        </w:tc>
        <w:tc>
          <w:tcPr>
            <w:tcW w:w="396" w:type="pct"/>
            <w:shd w:val="clear" w:color="auto" w:fill="auto"/>
            <w:vAlign w:val="center"/>
            <w:hideMark/>
          </w:tcPr>
          <w:p w14:paraId="05B16D55"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45</w:t>
            </w:r>
          </w:p>
        </w:tc>
        <w:tc>
          <w:tcPr>
            <w:tcW w:w="1908" w:type="pct"/>
            <w:shd w:val="clear" w:color="auto" w:fill="auto"/>
            <w:vAlign w:val="center"/>
            <w:hideMark/>
          </w:tcPr>
          <w:p w14:paraId="02BBF79A"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Gradbena dela</w:t>
            </w:r>
          </w:p>
        </w:tc>
        <w:tc>
          <w:tcPr>
            <w:tcW w:w="558" w:type="pct"/>
            <w:shd w:val="clear" w:color="auto" w:fill="auto"/>
            <w:vAlign w:val="center"/>
            <w:hideMark/>
          </w:tcPr>
          <w:p w14:paraId="00167863" w14:textId="77777777" w:rsidR="00E3750C" w:rsidRPr="003346B7" w:rsidRDefault="00E3750C" w:rsidP="00047864">
            <w:pPr>
              <w:spacing w:after="0" w:line="240" w:lineRule="auto"/>
              <w:jc w:val="right"/>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260</w:t>
            </w:r>
          </w:p>
        </w:tc>
        <w:tc>
          <w:tcPr>
            <w:tcW w:w="1242" w:type="pct"/>
            <w:shd w:val="clear" w:color="auto" w:fill="auto"/>
            <w:vAlign w:val="center"/>
            <w:hideMark/>
          </w:tcPr>
          <w:p w14:paraId="79150C3C" w14:textId="77777777" w:rsidR="00E3750C" w:rsidRPr="003346B7" w:rsidRDefault="00E3750C" w:rsidP="00047864">
            <w:pPr>
              <w:spacing w:after="0" w:line="240" w:lineRule="auto"/>
              <w:jc w:val="right"/>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555.463.141</w:t>
            </w:r>
          </w:p>
        </w:tc>
      </w:tr>
      <w:tr w:rsidR="00E3750C" w:rsidRPr="003346B7" w14:paraId="083F2FE8" w14:textId="77777777" w:rsidTr="00047864">
        <w:trPr>
          <w:trHeight w:val="300"/>
        </w:trPr>
        <w:tc>
          <w:tcPr>
            <w:tcW w:w="896" w:type="pct"/>
            <w:vMerge/>
            <w:vAlign w:val="center"/>
            <w:hideMark/>
          </w:tcPr>
          <w:p w14:paraId="45066D8A" w14:textId="77777777" w:rsidR="00E3750C" w:rsidRPr="003346B7" w:rsidRDefault="00E3750C" w:rsidP="00047864">
            <w:pPr>
              <w:spacing w:after="0" w:line="240" w:lineRule="auto"/>
              <w:rPr>
                <w:rFonts w:ascii="Arial" w:eastAsia="Times New Roman" w:hAnsi="Arial" w:cs="Arial"/>
                <w:color w:val="000000"/>
                <w:sz w:val="18"/>
                <w:szCs w:val="18"/>
                <w:lang w:eastAsia="sl-SI"/>
              </w:rPr>
            </w:pPr>
          </w:p>
        </w:tc>
        <w:tc>
          <w:tcPr>
            <w:tcW w:w="396" w:type="pct"/>
            <w:shd w:val="clear" w:color="auto" w:fill="auto"/>
            <w:vAlign w:val="center"/>
            <w:hideMark/>
          </w:tcPr>
          <w:p w14:paraId="22A51D4D"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34</w:t>
            </w:r>
          </w:p>
        </w:tc>
        <w:tc>
          <w:tcPr>
            <w:tcW w:w="1908" w:type="pct"/>
            <w:shd w:val="clear" w:color="auto" w:fill="auto"/>
            <w:vAlign w:val="center"/>
            <w:hideMark/>
          </w:tcPr>
          <w:p w14:paraId="3361E878"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Prevozna sredstva in dodatni proizvodi za promet</w:t>
            </w:r>
          </w:p>
        </w:tc>
        <w:tc>
          <w:tcPr>
            <w:tcW w:w="558" w:type="pct"/>
            <w:shd w:val="clear" w:color="auto" w:fill="auto"/>
            <w:vAlign w:val="center"/>
            <w:hideMark/>
          </w:tcPr>
          <w:p w14:paraId="4E2000BC" w14:textId="77777777" w:rsidR="00E3750C" w:rsidRPr="003346B7" w:rsidRDefault="00E3750C" w:rsidP="00047864">
            <w:pPr>
              <w:spacing w:after="0" w:line="240" w:lineRule="auto"/>
              <w:jc w:val="right"/>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71</w:t>
            </w:r>
          </w:p>
        </w:tc>
        <w:tc>
          <w:tcPr>
            <w:tcW w:w="1242" w:type="pct"/>
            <w:shd w:val="clear" w:color="auto" w:fill="auto"/>
            <w:vAlign w:val="center"/>
            <w:hideMark/>
          </w:tcPr>
          <w:p w14:paraId="3CC90E87" w14:textId="77777777" w:rsidR="00E3750C" w:rsidRPr="003346B7" w:rsidRDefault="00E3750C" w:rsidP="00047864">
            <w:pPr>
              <w:spacing w:after="0" w:line="240" w:lineRule="auto"/>
              <w:jc w:val="right"/>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72.630.859</w:t>
            </w:r>
          </w:p>
        </w:tc>
      </w:tr>
      <w:tr w:rsidR="00E3750C" w:rsidRPr="003346B7" w14:paraId="62AE22BD" w14:textId="77777777" w:rsidTr="00047864">
        <w:trPr>
          <w:trHeight w:val="300"/>
        </w:trPr>
        <w:tc>
          <w:tcPr>
            <w:tcW w:w="896" w:type="pct"/>
            <w:vMerge w:val="restart"/>
            <w:shd w:val="clear" w:color="auto" w:fill="auto"/>
            <w:vAlign w:val="center"/>
            <w:hideMark/>
          </w:tcPr>
          <w:p w14:paraId="7B1D891B"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Samoupravne lokalne skupnosti</w:t>
            </w:r>
          </w:p>
        </w:tc>
        <w:tc>
          <w:tcPr>
            <w:tcW w:w="396" w:type="pct"/>
            <w:shd w:val="clear" w:color="auto" w:fill="auto"/>
            <w:vAlign w:val="center"/>
            <w:hideMark/>
          </w:tcPr>
          <w:p w14:paraId="3721C8FF"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45</w:t>
            </w:r>
          </w:p>
        </w:tc>
        <w:tc>
          <w:tcPr>
            <w:tcW w:w="1908" w:type="pct"/>
            <w:shd w:val="clear" w:color="auto" w:fill="auto"/>
            <w:vAlign w:val="center"/>
            <w:hideMark/>
          </w:tcPr>
          <w:p w14:paraId="26289F9A"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Gradbena dela</w:t>
            </w:r>
          </w:p>
        </w:tc>
        <w:tc>
          <w:tcPr>
            <w:tcW w:w="558" w:type="pct"/>
            <w:shd w:val="clear" w:color="auto" w:fill="auto"/>
            <w:vAlign w:val="center"/>
            <w:hideMark/>
          </w:tcPr>
          <w:p w14:paraId="7F7F9CED" w14:textId="77777777" w:rsidR="00E3750C" w:rsidRPr="003346B7" w:rsidRDefault="00E3750C" w:rsidP="00047864">
            <w:pPr>
              <w:spacing w:after="0" w:line="240" w:lineRule="auto"/>
              <w:jc w:val="right"/>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888</w:t>
            </w:r>
          </w:p>
        </w:tc>
        <w:tc>
          <w:tcPr>
            <w:tcW w:w="1242" w:type="pct"/>
            <w:shd w:val="clear" w:color="auto" w:fill="auto"/>
            <w:vAlign w:val="center"/>
            <w:hideMark/>
          </w:tcPr>
          <w:p w14:paraId="5DB422F6" w14:textId="77777777" w:rsidR="00E3750C" w:rsidRPr="003346B7" w:rsidRDefault="00E3750C" w:rsidP="00047864">
            <w:pPr>
              <w:spacing w:after="0" w:line="240" w:lineRule="auto"/>
              <w:jc w:val="right"/>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642.199.298</w:t>
            </w:r>
          </w:p>
        </w:tc>
      </w:tr>
      <w:tr w:rsidR="00E3750C" w:rsidRPr="003346B7" w14:paraId="46DE1E38" w14:textId="77777777" w:rsidTr="00047864">
        <w:trPr>
          <w:trHeight w:val="300"/>
        </w:trPr>
        <w:tc>
          <w:tcPr>
            <w:tcW w:w="896" w:type="pct"/>
            <w:vMerge/>
            <w:vAlign w:val="center"/>
            <w:hideMark/>
          </w:tcPr>
          <w:p w14:paraId="4D7791AA" w14:textId="77777777" w:rsidR="00E3750C" w:rsidRPr="003346B7" w:rsidRDefault="00E3750C" w:rsidP="00047864">
            <w:pPr>
              <w:spacing w:after="0" w:line="240" w:lineRule="auto"/>
              <w:rPr>
                <w:rFonts w:ascii="Arial" w:eastAsia="Times New Roman" w:hAnsi="Arial" w:cs="Arial"/>
                <w:color w:val="000000"/>
                <w:sz w:val="18"/>
                <w:szCs w:val="18"/>
                <w:lang w:eastAsia="sl-SI"/>
              </w:rPr>
            </w:pPr>
          </w:p>
        </w:tc>
        <w:tc>
          <w:tcPr>
            <w:tcW w:w="396" w:type="pct"/>
            <w:shd w:val="clear" w:color="auto" w:fill="auto"/>
            <w:vAlign w:val="center"/>
            <w:hideMark/>
          </w:tcPr>
          <w:p w14:paraId="7F1BFAE6"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60</w:t>
            </w:r>
          </w:p>
        </w:tc>
        <w:tc>
          <w:tcPr>
            <w:tcW w:w="1908" w:type="pct"/>
            <w:shd w:val="clear" w:color="auto" w:fill="auto"/>
            <w:vAlign w:val="center"/>
            <w:hideMark/>
          </w:tcPr>
          <w:p w14:paraId="6F754915"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Prevozne storitve (razen prevoza odpadkov)</w:t>
            </w:r>
          </w:p>
        </w:tc>
        <w:tc>
          <w:tcPr>
            <w:tcW w:w="558" w:type="pct"/>
            <w:shd w:val="clear" w:color="auto" w:fill="auto"/>
            <w:vAlign w:val="center"/>
            <w:hideMark/>
          </w:tcPr>
          <w:p w14:paraId="01818A77" w14:textId="77777777" w:rsidR="00E3750C" w:rsidRPr="003346B7" w:rsidRDefault="00E3750C" w:rsidP="00047864">
            <w:pPr>
              <w:spacing w:after="0" w:line="240" w:lineRule="auto"/>
              <w:jc w:val="right"/>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255</w:t>
            </w:r>
          </w:p>
        </w:tc>
        <w:tc>
          <w:tcPr>
            <w:tcW w:w="1242" w:type="pct"/>
            <w:shd w:val="clear" w:color="auto" w:fill="auto"/>
            <w:vAlign w:val="center"/>
            <w:hideMark/>
          </w:tcPr>
          <w:p w14:paraId="61A9B6FE" w14:textId="77777777" w:rsidR="00E3750C" w:rsidRPr="003346B7" w:rsidRDefault="00E3750C" w:rsidP="00047864">
            <w:pPr>
              <w:spacing w:after="0" w:line="240" w:lineRule="auto"/>
              <w:jc w:val="right"/>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52.571.881</w:t>
            </w:r>
          </w:p>
        </w:tc>
      </w:tr>
      <w:tr w:rsidR="00E3750C" w:rsidRPr="003346B7" w14:paraId="6B34AD32" w14:textId="77777777" w:rsidTr="00047864">
        <w:trPr>
          <w:trHeight w:val="300"/>
        </w:trPr>
        <w:tc>
          <w:tcPr>
            <w:tcW w:w="896" w:type="pct"/>
            <w:vMerge/>
            <w:vAlign w:val="center"/>
            <w:hideMark/>
          </w:tcPr>
          <w:p w14:paraId="523A1785" w14:textId="77777777" w:rsidR="00E3750C" w:rsidRPr="003346B7" w:rsidRDefault="00E3750C" w:rsidP="00047864">
            <w:pPr>
              <w:spacing w:after="0" w:line="240" w:lineRule="auto"/>
              <w:rPr>
                <w:rFonts w:ascii="Arial" w:eastAsia="Times New Roman" w:hAnsi="Arial" w:cs="Arial"/>
                <w:color w:val="000000"/>
                <w:sz w:val="18"/>
                <w:szCs w:val="18"/>
                <w:lang w:eastAsia="sl-SI"/>
              </w:rPr>
            </w:pPr>
          </w:p>
        </w:tc>
        <w:tc>
          <w:tcPr>
            <w:tcW w:w="396" w:type="pct"/>
            <w:shd w:val="clear" w:color="auto" w:fill="auto"/>
            <w:vAlign w:val="center"/>
            <w:hideMark/>
          </w:tcPr>
          <w:p w14:paraId="19A5269B"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71</w:t>
            </w:r>
          </w:p>
        </w:tc>
        <w:tc>
          <w:tcPr>
            <w:tcW w:w="1908" w:type="pct"/>
            <w:shd w:val="clear" w:color="auto" w:fill="auto"/>
            <w:vAlign w:val="center"/>
            <w:hideMark/>
          </w:tcPr>
          <w:p w14:paraId="6FC6C140"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Arhitekturne, gradbeniške, inženirske in inšpekcijske storitve</w:t>
            </w:r>
          </w:p>
        </w:tc>
        <w:tc>
          <w:tcPr>
            <w:tcW w:w="558" w:type="pct"/>
            <w:shd w:val="clear" w:color="auto" w:fill="auto"/>
            <w:vAlign w:val="center"/>
            <w:hideMark/>
          </w:tcPr>
          <w:p w14:paraId="36F0B640" w14:textId="77777777" w:rsidR="00E3750C" w:rsidRPr="003346B7" w:rsidRDefault="00E3750C" w:rsidP="00047864">
            <w:pPr>
              <w:spacing w:after="0" w:line="240" w:lineRule="auto"/>
              <w:jc w:val="right"/>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132</w:t>
            </w:r>
          </w:p>
        </w:tc>
        <w:tc>
          <w:tcPr>
            <w:tcW w:w="1242" w:type="pct"/>
            <w:shd w:val="clear" w:color="auto" w:fill="auto"/>
            <w:vAlign w:val="center"/>
            <w:hideMark/>
          </w:tcPr>
          <w:p w14:paraId="4B8C94C8" w14:textId="77777777" w:rsidR="00E3750C" w:rsidRPr="003346B7" w:rsidRDefault="00E3750C" w:rsidP="00047864">
            <w:pPr>
              <w:spacing w:after="0" w:line="240" w:lineRule="auto"/>
              <w:jc w:val="right"/>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19.994.595</w:t>
            </w:r>
          </w:p>
        </w:tc>
      </w:tr>
      <w:tr w:rsidR="00E3750C" w:rsidRPr="003346B7" w14:paraId="766830D0" w14:textId="77777777" w:rsidTr="00047864">
        <w:trPr>
          <w:trHeight w:val="300"/>
        </w:trPr>
        <w:tc>
          <w:tcPr>
            <w:tcW w:w="896" w:type="pct"/>
            <w:vMerge w:val="restart"/>
            <w:shd w:val="clear" w:color="auto" w:fill="auto"/>
            <w:vAlign w:val="center"/>
            <w:hideMark/>
          </w:tcPr>
          <w:p w14:paraId="5EE5509F"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Javni skladi</w:t>
            </w:r>
          </w:p>
        </w:tc>
        <w:tc>
          <w:tcPr>
            <w:tcW w:w="396" w:type="pct"/>
            <w:shd w:val="clear" w:color="auto" w:fill="auto"/>
            <w:vAlign w:val="center"/>
            <w:hideMark/>
          </w:tcPr>
          <w:p w14:paraId="1E52CE89"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45</w:t>
            </w:r>
          </w:p>
        </w:tc>
        <w:tc>
          <w:tcPr>
            <w:tcW w:w="1908" w:type="pct"/>
            <w:shd w:val="clear" w:color="auto" w:fill="auto"/>
            <w:vAlign w:val="center"/>
            <w:hideMark/>
          </w:tcPr>
          <w:p w14:paraId="69CA3163"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Gradbena dela</w:t>
            </w:r>
          </w:p>
        </w:tc>
        <w:tc>
          <w:tcPr>
            <w:tcW w:w="558" w:type="pct"/>
            <w:shd w:val="clear" w:color="auto" w:fill="auto"/>
            <w:vAlign w:val="center"/>
            <w:hideMark/>
          </w:tcPr>
          <w:p w14:paraId="0CD59815" w14:textId="77777777" w:rsidR="00E3750C" w:rsidRPr="003346B7" w:rsidRDefault="00E3750C" w:rsidP="00047864">
            <w:pPr>
              <w:spacing w:after="0" w:line="240" w:lineRule="auto"/>
              <w:jc w:val="right"/>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23</w:t>
            </w:r>
          </w:p>
        </w:tc>
        <w:tc>
          <w:tcPr>
            <w:tcW w:w="1242" w:type="pct"/>
            <w:shd w:val="clear" w:color="auto" w:fill="auto"/>
            <w:vAlign w:val="center"/>
            <w:hideMark/>
          </w:tcPr>
          <w:p w14:paraId="79380D6E" w14:textId="77777777" w:rsidR="00E3750C" w:rsidRPr="003346B7" w:rsidRDefault="00E3750C" w:rsidP="00047864">
            <w:pPr>
              <w:spacing w:after="0" w:line="240" w:lineRule="auto"/>
              <w:jc w:val="right"/>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54.217.806</w:t>
            </w:r>
          </w:p>
        </w:tc>
      </w:tr>
      <w:tr w:rsidR="00E3750C" w:rsidRPr="003346B7" w14:paraId="6A57EAA9" w14:textId="77777777" w:rsidTr="00047864">
        <w:trPr>
          <w:trHeight w:val="300"/>
        </w:trPr>
        <w:tc>
          <w:tcPr>
            <w:tcW w:w="896" w:type="pct"/>
            <w:vMerge/>
            <w:vAlign w:val="center"/>
            <w:hideMark/>
          </w:tcPr>
          <w:p w14:paraId="1625A582" w14:textId="77777777" w:rsidR="00E3750C" w:rsidRPr="003346B7" w:rsidRDefault="00E3750C" w:rsidP="00047864">
            <w:pPr>
              <w:spacing w:after="0" w:line="240" w:lineRule="auto"/>
              <w:rPr>
                <w:rFonts w:ascii="Arial" w:eastAsia="Times New Roman" w:hAnsi="Arial" w:cs="Arial"/>
                <w:color w:val="000000"/>
                <w:sz w:val="18"/>
                <w:szCs w:val="18"/>
                <w:lang w:eastAsia="sl-SI"/>
              </w:rPr>
            </w:pPr>
          </w:p>
        </w:tc>
        <w:tc>
          <w:tcPr>
            <w:tcW w:w="396" w:type="pct"/>
            <w:shd w:val="clear" w:color="auto" w:fill="auto"/>
            <w:vAlign w:val="center"/>
            <w:hideMark/>
          </w:tcPr>
          <w:p w14:paraId="3D4B2F23"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70</w:t>
            </w:r>
          </w:p>
        </w:tc>
        <w:tc>
          <w:tcPr>
            <w:tcW w:w="1908" w:type="pct"/>
            <w:shd w:val="clear" w:color="auto" w:fill="auto"/>
            <w:vAlign w:val="center"/>
            <w:hideMark/>
          </w:tcPr>
          <w:p w14:paraId="085C336D"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Storitve poslovanja z nepremičninami</w:t>
            </w:r>
          </w:p>
        </w:tc>
        <w:tc>
          <w:tcPr>
            <w:tcW w:w="558" w:type="pct"/>
            <w:shd w:val="clear" w:color="auto" w:fill="auto"/>
            <w:vAlign w:val="center"/>
            <w:hideMark/>
          </w:tcPr>
          <w:p w14:paraId="542D8AAD" w14:textId="77777777" w:rsidR="00E3750C" w:rsidRPr="003346B7" w:rsidRDefault="00E3750C" w:rsidP="00047864">
            <w:pPr>
              <w:spacing w:after="0" w:line="240" w:lineRule="auto"/>
              <w:jc w:val="right"/>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10</w:t>
            </w:r>
          </w:p>
        </w:tc>
        <w:tc>
          <w:tcPr>
            <w:tcW w:w="1242" w:type="pct"/>
            <w:shd w:val="clear" w:color="auto" w:fill="auto"/>
            <w:vAlign w:val="center"/>
            <w:hideMark/>
          </w:tcPr>
          <w:p w14:paraId="722E03E2" w14:textId="77777777" w:rsidR="00E3750C" w:rsidRPr="003346B7" w:rsidRDefault="00E3750C" w:rsidP="00047864">
            <w:pPr>
              <w:spacing w:after="0" w:line="240" w:lineRule="auto"/>
              <w:jc w:val="right"/>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3.249.983</w:t>
            </w:r>
          </w:p>
        </w:tc>
      </w:tr>
      <w:tr w:rsidR="00E3750C" w:rsidRPr="003346B7" w14:paraId="222309D7" w14:textId="77777777" w:rsidTr="00047864">
        <w:trPr>
          <w:trHeight w:val="300"/>
        </w:trPr>
        <w:tc>
          <w:tcPr>
            <w:tcW w:w="896" w:type="pct"/>
            <w:vMerge/>
            <w:vAlign w:val="center"/>
            <w:hideMark/>
          </w:tcPr>
          <w:p w14:paraId="49D25572" w14:textId="77777777" w:rsidR="00E3750C" w:rsidRPr="003346B7" w:rsidRDefault="00E3750C" w:rsidP="00047864">
            <w:pPr>
              <w:spacing w:after="0" w:line="240" w:lineRule="auto"/>
              <w:rPr>
                <w:rFonts w:ascii="Arial" w:eastAsia="Times New Roman" w:hAnsi="Arial" w:cs="Arial"/>
                <w:color w:val="000000"/>
                <w:sz w:val="18"/>
                <w:szCs w:val="18"/>
                <w:lang w:eastAsia="sl-SI"/>
              </w:rPr>
            </w:pPr>
          </w:p>
        </w:tc>
        <w:tc>
          <w:tcPr>
            <w:tcW w:w="396" w:type="pct"/>
            <w:shd w:val="clear" w:color="auto" w:fill="auto"/>
            <w:vAlign w:val="center"/>
            <w:hideMark/>
          </w:tcPr>
          <w:p w14:paraId="2524E084"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71</w:t>
            </w:r>
          </w:p>
        </w:tc>
        <w:tc>
          <w:tcPr>
            <w:tcW w:w="1908" w:type="pct"/>
            <w:shd w:val="clear" w:color="auto" w:fill="auto"/>
            <w:vAlign w:val="center"/>
            <w:hideMark/>
          </w:tcPr>
          <w:p w14:paraId="12C5E339"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Arhitekturne, gradbeniške, inženirske in inšpekcijske storitve</w:t>
            </w:r>
          </w:p>
        </w:tc>
        <w:tc>
          <w:tcPr>
            <w:tcW w:w="558" w:type="pct"/>
            <w:shd w:val="clear" w:color="auto" w:fill="auto"/>
            <w:vAlign w:val="center"/>
            <w:hideMark/>
          </w:tcPr>
          <w:p w14:paraId="4CAACF2F" w14:textId="77777777" w:rsidR="00E3750C" w:rsidRPr="003346B7" w:rsidRDefault="00E3750C" w:rsidP="00047864">
            <w:pPr>
              <w:spacing w:after="0" w:line="240" w:lineRule="auto"/>
              <w:jc w:val="right"/>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11</w:t>
            </w:r>
          </w:p>
        </w:tc>
        <w:tc>
          <w:tcPr>
            <w:tcW w:w="1242" w:type="pct"/>
            <w:shd w:val="clear" w:color="auto" w:fill="auto"/>
            <w:vAlign w:val="center"/>
            <w:hideMark/>
          </w:tcPr>
          <w:p w14:paraId="4FDB10DF" w14:textId="77777777" w:rsidR="00E3750C" w:rsidRPr="003346B7" w:rsidRDefault="00E3750C" w:rsidP="00047864">
            <w:pPr>
              <w:spacing w:after="0" w:line="240" w:lineRule="auto"/>
              <w:jc w:val="right"/>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1.409.537</w:t>
            </w:r>
          </w:p>
        </w:tc>
      </w:tr>
      <w:tr w:rsidR="00E3750C" w:rsidRPr="003346B7" w14:paraId="6288DAD4" w14:textId="77777777" w:rsidTr="00047864">
        <w:trPr>
          <w:trHeight w:val="300"/>
        </w:trPr>
        <w:tc>
          <w:tcPr>
            <w:tcW w:w="896" w:type="pct"/>
            <w:vMerge w:val="restart"/>
            <w:shd w:val="clear" w:color="auto" w:fill="auto"/>
            <w:vAlign w:val="center"/>
            <w:hideMark/>
          </w:tcPr>
          <w:p w14:paraId="353D33E1"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Javne agencije</w:t>
            </w:r>
          </w:p>
        </w:tc>
        <w:tc>
          <w:tcPr>
            <w:tcW w:w="396" w:type="pct"/>
            <w:shd w:val="clear" w:color="auto" w:fill="auto"/>
            <w:vAlign w:val="center"/>
            <w:hideMark/>
          </w:tcPr>
          <w:p w14:paraId="07FC101D"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79</w:t>
            </w:r>
          </w:p>
        </w:tc>
        <w:tc>
          <w:tcPr>
            <w:tcW w:w="1908" w:type="pct"/>
            <w:shd w:val="clear" w:color="auto" w:fill="auto"/>
            <w:vAlign w:val="center"/>
            <w:hideMark/>
          </w:tcPr>
          <w:p w14:paraId="6C02E60D"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Poslovne storitve: pravo, trženje, svetovanje, zaposlovanje, tiskanje in varnost</w:t>
            </w:r>
          </w:p>
        </w:tc>
        <w:tc>
          <w:tcPr>
            <w:tcW w:w="558" w:type="pct"/>
            <w:shd w:val="clear" w:color="auto" w:fill="auto"/>
            <w:vAlign w:val="center"/>
            <w:hideMark/>
          </w:tcPr>
          <w:p w14:paraId="46405F6F" w14:textId="77777777" w:rsidR="00E3750C" w:rsidRPr="003346B7" w:rsidRDefault="00E3750C" w:rsidP="00047864">
            <w:pPr>
              <w:spacing w:after="0" w:line="240" w:lineRule="auto"/>
              <w:jc w:val="right"/>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34</w:t>
            </w:r>
          </w:p>
        </w:tc>
        <w:tc>
          <w:tcPr>
            <w:tcW w:w="1242" w:type="pct"/>
            <w:shd w:val="clear" w:color="auto" w:fill="auto"/>
            <w:vAlign w:val="center"/>
            <w:hideMark/>
          </w:tcPr>
          <w:p w14:paraId="2E99EF94" w14:textId="77777777" w:rsidR="00E3750C" w:rsidRPr="003346B7" w:rsidRDefault="00E3750C" w:rsidP="00047864">
            <w:pPr>
              <w:spacing w:after="0" w:line="240" w:lineRule="auto"/>
              <w:jc w:val="right"/>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6.976.476</w:t>
            </w:r>
          </w:p>
        </w:tc>
      </w:tr>
      <w:tr w:rsidR="00E3750C" w:rsidRPr="003346B7" w14:paraId="049391D9" w14:textId="77777777" w:rsidTr="00047864">
        <w:trPr>
          <w:trHeight w:val="300"/>
        </w:trPr>
        <w:tc>
          <w:tcPr>
            <w:tcW w:w="896" w:type="pct"/>
            <w:vMerge/>
            <w:vAlign w:val="center"/>
            <w:hideMark/>
          </w:tcPr>
          <w:p w14:paraId="373FDD98" w14:textId="77777777" w:rsidR="00E3750C" w:rsidRPr="003346B7" w:rsidRDefault="00E3750C" w:rsidP="00047864">
            <w:pPr>
              <w:spacing w:after="0" w:line="240" w:lineRule="auto"/>
              <w:rPr>
                <w:rFonts w:ascii="Arial" w:eastAsia="Times New Roman" w:hAnsi="Arial" w:cs="Arial"/>
                <w:color w:val="000000"/>
                <w:sz w:val="18"/>
                <w:szCs w:val="18"/>
                <w:lang w:eastAsia="sl-SI"/>
              </w:rPr>
            </w:pPr>
          </w:p>
        </w:tc>
        <w:tc>
          <w:tcPr>
            <w:tcW w:w="396" w:type="pct"/>
            <w:shd w:val="clear" w:color="auto" w:fill="auto"/>
            <w:vAlign w:val="center"/>
            <w:hideMark/>
          </w:tcPr>
          <w:p w14:paraId="2824DD3F"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72</w:t>
            </w:r>
          </w:p>
        </w:tc>
        <w:tc>
          <w:tcPr>
            <w:tcW w:w="1908" w:type="pct"/>
            <w:shd w:val="clear" w:color="auto" w:fill="auto"/>
            <w:vAlign w:val="center"/>
            <w:hideMark/>
          </w:tcPr>
          <w:p w14:paraId="2948893D"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Storitve informacijske tehnologije: svetovanje, razvoj programske opreme, internet in podpora</w:t>
            </w:r>
          </w:p>
        </w:tc>
        <w:tc>
          <w:tcPr>
            <w:tcW w:w="558" w:type="pct"/>
            <w:shd w:val="clear" w:color="auto" w:fill="auto"/>
            <w:vAlign w:val="center"/>
            <w:hideMark/>
          </w:tcPr>
          <w:p w14:paraId="5EC5AA59" w14:textId="77777777" w:rsidR="00E3750C" w:rsidRPr="003346B7" w:rsidRDefault="00E3750C" w:rsidP="00047864">
            <w:pPr>
              <w:spacing w:after="0" w:line="240" w:lineRule="auto"/>
              <w:jc w:val="right"/>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20</w:t>
            </w:r>
          </w:p>
        </w:tc>
        <w:tc>
          <w:tcPr>
            <w:tcW w:w="1242" w:type="pct"/>
            <w:shd w:val="clear" w:color="auto" w:fill="auto"/>
            <w:vAlign w:val="center"/>
            <w:hideMark/>
          </w:tcPr>
          <w:p w14:paraId="6024F338" w14:textId="77777777" w:rsidR="00E3750C" w:rsidRPr="003346B7" w:rsidRDefault="00E3750C" w:rsidP="00047864">
            <w:pPr>
              <w:spacing w:after="0" w:line="240" w:lineRule="auto"/>
              <w:jc w:val="right"/>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1.942.839</w:t>
            </w:r>
          </w:p>
        </w:tc>
      </w:tr>
      <w:tr w:rsidR="00E3750C" w:rsidRPr="003346B7" w14:paraId="4ED57DD4" w14:textId="77777777" w:rsidTr="00047864">
        <w:trPr>
          <w:trHeight w:val="300"/>
        </w:trPr>
        <w:tc>
          <w:tcPr>
            <w:tcW w:w="896" w:type="pct"/>
            <w:vMerge/>
            <w:vAlign w:val="center"/>
            <w:hideMark/>
          </w:tcPr>
          <w:p w14:paraId="2C4EF7E4" w14:textId="77777777" w:rsidR="00E3750C" w:rsidRPr="003346B7" w:rsidRDefault="00E3750C" w:rsidP="00047864">
            <w:pPr>
              <w:spacing w:after="0" w:line="240" w:lineRule="auto"/>
              <w:rPr>
                <w:rFonts w:ascii="Arial" w:eastAsia="Times New Roman" w:hAnsi="Arial" w:cs="Arial"/>
                <w:color w:val="000000"/>
                <w:sz w:val="18"/>
                <w:szCs w:val="18"/>
                <w:lang w:eastAsia="sl-SI"/>
              </w:rPr>
            </w:pPr>
          </w:p>
        </w:tc>
        <w:tc>
          <w:tcPr>
            <w:tcW w:w="396" w:type="pct"/>
            <w:shd w:val="clear" w:color="auto" w:fill="auto"/>
            <w:vAlign w:val="center"/>
            <w:hideMark/>
          </w:tcPr>
          <w:p w14:paraId="6C88B94C"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30</w:t>
            </w:r>
          </w:p>
        </w:tc>
        <w:tc>
          <w:tcPr>
            <w:tcW w:w="1908" w:type="pct"/>
            <w:shd w:val="clear" w:color="auto" w:fill="auto"/>
            <w:vAlign w:val="center"/>
            <w:hideMark/>
          </w:tcPr>
          <w:p w14:paraId="54397FC9"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Pisarniški in računski stroji, oprema in potrebščine, razen pohištva in programskih paketov</w:t>
            </w:r>
          </w:p>
        </w:tc>
        <w:tc>
          <w:tcPr>
            <w:tcW w:w="558" w:type="pct"/>
            <w:shd w:val="clear" w:color="auto" w:fill="auto"/>
            <w:vAlign w:val="center"/>
            <w:hideMark/>
          </w:tcPr>
          <w:p w14:paraId="3CE82081" w14:textId="77777777" w:rsidR="00E3750C" w:rsidRPr="003346B7" w:rsidRDefault="00E3750C" w:rsidP="00047864">
            <w:pPr>
              <w:spacing w:after="0" w:line="240" w:lineRule="auto"/>
              <w:jc w:val="right"/>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13</w:t>
            </w:r>
          </w:p>
        </w:tc>
        <w:tc>
          <w:tcPr>
            <w:tcW w:w="1242" w:type="pct"/>
            <w:shd w:val="clear" w:color="auto" w:fill="auto"/>
            <w:vAlign w:val="center"/>
            <w:hideMark/>
          </w:tcPr>
          <w:p w14:paraId="3033D094" w14:textId="77777777" w:rsidR="00E3750C" w:rsidRPr="003346B7" w:rsidRDefault="00E3750C" w:rsidP="00047864">
            <w:pPr>
              <w:spacing w:after="0" w:line="240" w:lineRule="auto"/>
              <w:jc w:val="right"/>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519.899</w:t>
            </w:r>
          </w:p>
        </w:tc>
      </w:tr>
      <w:tr w:rsidR="00E3750C" w:rsidRPr="003346B7" w14:paraId="50CDE173" w14:textId="77777777" w:rsidTr="00047864">
        <w:trPr>
          <w:trHeight w:val="300"/>
        </w:trPr>
        <w:tc>
          <w:tcPr>
            <w:tcW w:w="896" w:type="pct"/>
            <w:vMerge w:val="restart"/>
            <w:shd w:val="clear" w:color="auto" w:fill="auto"/>
            <w:vAlign w:val="center"/>
            <w:hideMark/>
          </w:tcPr>
          <w:p w14:paraId="6F491377"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Javni zavodi</w:t>
            </w:r>
          </w:p>
        </w:tc>
        <w:tc>
          <w:tcPr>
            <w:tcW w:w="396" w:type="pct"/>
            <w:shd w:val="clear" w:color="auto" w:fill="auto"/>
            <w:vAlign w:val="center"/>
            <w:hideMark/>
          </w:tcPr>
          <w:p w14:paraId="617CBA2F"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33</w:t>
            </w:r>
          </w:p>
        </w:tc>
        <w:tc>
          <w:tcPr>
            <w:tcW w:w="1908" w:type="pct"/>
            <w:shd w:val="clear" w:color="auto" w:fill="auto"/>
            <w:vAlign w:val="center"/>
            <w:hideMark/>
          </w:tcPr>
          <w:p w14:paraId="08FF83F4"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Medicinska oprema, farmacevtski izdelki in izdelki za osebno nego</w:t>
            </w:r>
          </w:p>
        </w:tc>
        <w:tc>
          <w:tcPr>
            <w:tcW w:w="558" w:type="pct"/>
            <w:shd w:val="clear" w:color="auto" w:fill="auto"/>
            <w:vAlign w:val="center"/>
            <w:hideMark/>
          </w:tcPr>
          <w:p w14:paraId="4D75EA2D" w14:textId="77777777" w:rsidR="00E3750C" w:rsidRPr="003346B7" w:rsidRDefault="00E3750C" w:rsidP="00047864">
            <w:pPr>
              <w:spacing w:after="0" w:line="240" w:lineRule="auto"/>
              <w:jc w:val="right"/>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4.024</w:t>
            </w:r>
          </w:p>
        </w:tc>
        <w:tc>
          <w:tcPr>
            <w:tcW w:w="1242" w:type="pct"/>
            <w:shd w:val="clear" w:color="auto" w:fill="auto"/>
            <w:vAlign w:val="center"/>
            <w:hideMark/>
          </w:tcPr>
          <w:p w14:paraId="3FA5A593" w14:textId="77777777" w:rsidR="00E3750C" w:rsidRPr="003346B7" w:rsidRDefault="00E3750C" w:rsidP="00047864">
            <w:pPr>
              <w:spacing w:after="0" w:line="240" w:lineRule="auto"/>
              <w:jc w:val="right"/>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693.550.604</w:t>
            </w:r>
          </w:p>
        </w:tc>
      </w:tr>
      <w:tr w:rsidR="00E3750C" w:rsidRPr="003346B7" w14:paraId="06694FA9" w14:textId="77777777" w:rsidTr="00047864">
        <w:trPr>
          <w:trHeight w:val="300"/>
        </w:trPr>
        <w:tc>
          <w:tcPr>
            <w:tcW w:w="896" w:type="pct"/>
            <w:vMerge/>
            <w:vAlign w:val="center"/>
            <w:hideMark/>
          </w:tcPr>
          <w:p w14:paraId="054EEBF2" w14:textId="77777777" w:rsidR="00E3750C" w:rsidRPr="003346B7" w:rsidRDefault="00E3750C" w:rsidP="00047864">
            <w:pPr>
              <w:spacing w:after="0" w:line="240" w:lineRule="auto"/>
              <w:rPr>
                <w:rFonts w:ascii="Arial" w:eastAsia="Times New Roman" w:hAnsi="Arial" w:cs="Arial"/>
                <w:color w:val="000000"/>
                <w:sz w:val="18"/>
                <w:szCs w:val="18"/>
                <w:lang w:eastAsia="sl-SI"/>
              </w:rPr>
            </w:pPr>
          </w:p>
        </w:tc>
        <w:tc>
          <w:tcPr>
            <w:tcW w:w="396" w:type="pct"/>
            <w:shd w:val="clear" w:color="auto" w:fill="auto"/>
            <w:vAlign w:val="center"/>
            <w:hideMark/>
          </w:tcPr>
          <w:p w14:paraId="3FBE5D5C"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45</w:t>
            </w:r>
          </w:p>
        </w:tc>
        <w:tc>
          <w:tcPr>
            <w:tcW w:w="1908" w:type="pct"/>
            <w:shd w:val="clear" w:color="auto" w:fill="auto"/>
            <w:vAlign w:val="center"/>
            <w:hideMark/>
          </w:tcPr>
          <w:p w14:paraId="05105FFA"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Gradbena dela</w:t>
            </w:r>
          </w:p>
        </w:tc>
        <w:tc>
          <w:tcPr>
            <w:tcW w:w="558" w:type="pct"/>
            <w:shd w:val="clear" w:color="auto" w:fill="auto"/>
            <w:vAlign w:val="center"/>
            <w:hideMark/>
          </w:tcPr>
          <w:p w14:paraId="603EAD38" w14:textId="77777777" w:rsidR="00E3750C" w:rsidRPr="003346B7" w:rsidRDefault="00E3750C" w:rsidP="00047864">
            <w:pPr>
              <w:spacing w:after="0" w:line="240" w:lineRule="auto"/>
              <w:jc w:val="right"/>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217</w:t>
            </w:r>
          </w:p>
        </w:tc>
        <w:tc>
          <w:tcPr>
            <w:tcW w:w="1242" w:type="pct"/>
            <w:shd w:val="clear" w:color="auto" w:fill="auto"/>
            <w:vAlign w:val="center"/>
            <w:hideMark/>
          </w:tcPr>
          <w:p w14:paraId="5F882E69" w14:textId="77777777" w:rsidR="00E3750C" w:rsidRPr="003346B7" w:rsidRDefault="00E3750C" w:rsidP="00047864">
            <w:pPr>
              <w:spacing w:after="0" w:line="240" w:lineRule="auto"/>
              <w:jc w:val="right"/>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261.384.207</w:t>
            </w:r>
          </w:p>
        </w:tc>
      </w:tr>
      <w:tr w:rsidR="00E3750C" w:rsidRPr="003346B7" w14:paraId="32BCFB6D" w14:textId="77777777" w:rsidTr="00047864">
        <w:trPr>
          <w:trHeight w:val="300"/>
        </w:trPr>
        <w:tc>
          <w:tcPr>
            <w:tcW w:w="896" w:type="pct"/>
            <w:vMerge/>
            <w:vAlign w:val="center"/>
            <w:hideMark/>
          </w:tcPr>
          <w:p w14:paraId="1121ADE3" w14:textId="77777777" w:rsidR="00E3750C" w:rsidRPr="003346B7" w:rsidRDefault="00E3750C" w:rsidP="00047864">
            <w:pPr>
              <w:spacing w:after="0" w:line="240" w:lineRule="auto"/>
              <w:rPr>
                <w:rFonts w:ascii="Arial" w:eastAsia="Times New Roman" w:hAnsi="Arial" w:cs="Arial"/>
                <w:color w:val="000000"/>
                <w:sz w:val="18"/>
                <w:szCs w:val="18"/>
                <w:lang w:eastAsia="sl-SI"/>
              </w:rPr>
            </w:pPr>
          </w:p>
        </w:tc>
        <w:tc>
          <w:tcPr>
            <w:tcW w:w="396" w:type="pct"/>
            <w:shd w:val="clear" w:color="auto" w:fill="auto"/>
            <w:vAlign w:val="center"/>
            <w:hideMark/>
          </w:tcPr>
          <w:p w14:paraId="54188660"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15</w:t>
            </w:r>
          </w:p>
        </w:tc>
        <w:tc>
          <w:tcPr>
            <w:tcW w:w="1908" w:type="pct"/>
            <w:shd w:val="clear" w:color="auto" w:fill="auto"/>
            <w:vAlign w:val="center"/>
            <w:hideMark/>
          </w:tcPr>
          <w:p w14:paraId="4BE7F175"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Živila, pijače, tobačni izdelki in z njimi povezani izdelki</w:t>
            </w:r>
          </w:p>
        </w:tc>
        <w:tc>
          <w:tcPr>
            <w:tcW w:w="558" w:type="pct"/>
            <w:shd w:val="clear" w:color="auto" w:fill="auto"/>
            <w:vAlign w:val="center"/>
            <w:hideMark/>
          </w:tcPr>
          <w:p w14:paraId="1C26F484" w14:textId="77777777" w:rsidR="00E3750C" w:rsidRPr="003346B7" w:rsidRDefault="00E3750C" w:rsidP="00047864">
            <w:pPr>
              <w:spacing w:after="0" w:line="240" w:lineRule="auto"/>
              <w:jc w:val="right"/>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3.414</w:t>
            </w:r>
          </w:p>
        </w:tc>
        <w:tc>
          <w:tcPr>
            <w:tcW w:w="1242" w:type="pct"/>
            <w:shd w:val="clear" w:color="auto" w:fill="auto"/>
            <w:vAlign w:val="center"/>
            <w:hideMark/>
          </w:tcPr>
          <w:p w14:paraId="1D7F2BB8" w14:textId="77777777" w:rsidR="00E3750C" w:rsidRPr="003346B7" w:rsidRDefault="00E3750C" w:rsidP="00047864">
            <w:pPr>
              <w:spacing w:after="0" w:line="240" w:lineRule="auto"/>
              <w:jc w:val="right"/>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91.359.846</w:t>
            </w:r>
          </w:p>
        </w:tc>
      </w:tr>
      <w:tr w:rsidR="00E3750C" w:rsidRPr="003346B7" w14:paraId="6B1B7AD1" w14:textId="77777777" w:rsidTr="00047864">
        <w:trPr>
          <w:trHeight w:val="300"/>
        </w:trPr>
        <w:tc>
          <w:tcPr>
            <w:tcW w:w="896" w:type="pct"/>
            <w:vMerge w:val="restart"/>
            <w:shd w:val="clear" w:color="auto" w:fill="auto"/>
            <w:vAlign w:val="center"/>
            <w:hideMark/>
          </w:tcPr>
          <w:p w14:paraId="17064650"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Javni gospodarski zavodi</w:t>
            </w:r>
          </w:p>
        </w:tc>
        <w:tc>
          <w:tcPr>
            <w:tcW w:w="396" w:type="pct"/>
            <w:shd w:val="clear" w:color="auto" w:fill="auto"/>
            <w:vAlign w:val="center"/>
            <w:hideMark/>
          </w:tcPr>
          <w:p w14:paraId="66C42A00"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45</w:t>
            </w:r>
          </w:p>
        </w:tc>
        <w:tc>
          <w:tcPr>
            <w:tcW w:w="1908" w:type="pct"/>
            <w:shd w:val="clear" w:color="auto" w:fill="auto"/>
            <w:vAlign w:val="center"/>
            <w:hideMark/>
          </w:tcPr>
          <w:p w14:paraId="0E8C3205"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Gradbena dela</w:t>
            </w:r>
          </w:p>
        </w:tc>
        <w:tc>
          <w:tcPr>
            <w:tcW w:w="558" w:type="pct"/>
            <w:shd w:val="clear" w:color="auto" w:fill="auto"/>
            <w:vAlign w:val="center"/>
            <w:hideMark/>
          </w:tcPr>
          <w:p w14:paraId="3367B27F" w14:textId="77777777" w:rsidR="00E3750C" w:rsidRPr="003346B7" w:rsidRDefault="00E3750C" w:rsidP="00047864">
            <w:pPr>
              <w:spacing w:after="0" w:line="240" w:lineRule="auto"/>
              <w:jc w:val="right"/>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8</w:t>
            </w:r>
          </w:p>
        </w:tc>
        <w:tc>
          <w:tcPr>
            <w:tcW w:w="1242" w:type="pct"/>
            <w:shd w:val="clear" w:color="auto" w:fill="auto"/>
            <w:vAlign w:val="center"/>
            <w:hideMark/>
          </w:tcPr>
          <w:p w14:paraId="2C379352" w14:textId="77777777" w:rsidR="00E3750C" w:rsidRPr="003346B7" w:rsidRDefault="00E3750C" w:rsidP="00047864">
            <w:pPr>
              <w:spacing w:after="0" w:line="240" w:lineRule="auto"/>
              <w:jc w:val="right"/>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3.624.181</w:t>
            </w:r>
          </w:p>
        </w:tc>
      </w:tr>
      <w:tr w:rsidR="00E3750C" w:rsidRPr="003346B7" w14:paraId="44DEAC87" w14:textId="77777777" w:rsidTr="00047864">
        <w:trPr>
          <w:trHeight w:val="300"/>
        </w:trPr>
        <w:tc>
          <w:tcPr>
            <w:tcW w:w="896" w:type="pct"/>
            <w:vMerge/>
            <w:vAlign w:val="center"/>
            <w:hideMark/>
          </w:tcPr>
          <w:p w14:paraId="18438F73" w14:textId="77777777" w:rsidR="00E3750C" w:rsidRPr="003346B7" w:rsidRDefault="00E3750C" w:rsidP="00047864">
            <w:pPr>
              <w:spacing w:after="0" w:line="240" w:lineRule="auto"/>
              <w:rPr>
                <w:rFonts w:ascii="Arial" w:eastAsia="Times New Roman" w:hAnsi="Arial" w:cs="Arial"/>
                <w:color w:val="000000"/>
                <w:sz w:val="18"/>
                <w:szCs w:val="18"/>
                <w:lang w:eastAsia="sl-SI"/>
              </w:rPr>
            </w:pPr>
          </w:p>
        </w:tc>
        <w:tc>
          <w:tcPr>
            <w:tcW w:w="396" w:type="pct"/>
            <w:shd w:val="clear" w:color="auto" w:fill="auto"/>
            <w:vAlign w:val="center"/>
            <w:hideMark/>
          </w:tcPr>
          <w:p w14:paraId="72E2FB6D"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33</w:t>
            </w:r>
          </w:p>
        </w:tc>
        <w:tc>
          <w:tcPr>
            <w:tcW w:w="1908" w:type="pct"/>
            <w:shd w:val="clear" w:color="auto" w:fill="auto"/>
            <w:vAlign w:val="center"/>
            <w:hideMark/>
          </w:tcPr>
          <w:p w14:paraId="08D47DD6"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Medicinska oprema, farmacevtski izdelki in izdelki za osebno nego</w:t>
            </w:r>
          </w:p>
        </w:tc>
        <w:tc>
          <w:tcPr>
            <w:tcW w:w="558" w:type="pct"/>
            <w:shd w:val="clear" w:color="auto" w:fill="auto"/>
            <w:vAlign w:val="center"/>
            <w:hideMark/>
          </w:tcPr>
          <w:p w14:paraId="5AEC2A52" w14:textId="77777777" w:rsidR="00E3750C" w:rsidRPr="003346B7" w:rsidRDefault="00E3750C" w:rsidP="00047864">
            <w:pPr>
              <w:spacing w:after="0" w:line="240" w:lineRule="auto"/>
              <w:jc w:val="right"/>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5</w:t>
            </w:r>
          </w:p>
        </w:tc>
        <w:tc>
          <w:tcPr>
            <w:tcW w:w="1242" w:type="pct"/>
            <w:shd w:val="clear" w:color="auto" w:fill="auto"/>
            <w:vAlign w:val="center"/>
            <w:hideMark/>
          </w:tcPr>
          <w:p w14:paraId="312072BE" w14:textId="77777777" w:rsidR="00E3750C" w:rsidRPr="003346B7" w:rsidRDefault="00E3750C" w:rsidP="00047864">
            <w:pPr>
              <w:spacing w:after="0" w:line="240" w:lineRule="auto"/>
              <w:jc w:val="right"/>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2.656.452</w:t>
            </w:r>
          </w:p>
        </w:tc>
      </w:tr>
      <w:tr w:rsidR="00E3750C" w:rsidRPr="003346B7" w14:paraId="4A2C6828" w14:textId="77777777" w:rsidTr="00047864">
        <w:trPr>
          <w:trHeight w:val="300"/>
        </w:trPr>
        <w:tc>
          <w:tcPr>
            <w:tcW w:w="896" w:type="pct"/>
            <w:vMerge/>
            <w:vAlign w:val="center"/>
            <w:hideMark/>
          </w:tcPr>
          <w:p w14:paraId="2D8D9827" w14:textId="77777777" w:rsidR="00E3750C" w:rsidRPr="003346B7" w:rsidRDefault="00E3750C" w:rsidP="00047864">
            <w:pPr>
              <w:spacing w:after="0" w:line="240" w:lineRule="auto"/>
              <w:rPr>
                <w:rFonts w:ascii="Arial" w:eastAsia="Times New Roman" w:hAnsi="Arial" w:cs="Arial"/>
                <w:color w:val="000000"/>
                <w:sz w:val="18"/>
                <w:szCs w:val="18"/>
                <w:lang w:eastAsia="sl-SI"/>
              </w:rPr>
            </w:pPr>
          </w:p>
        </w:tc>
        <w:tc>
          <w:tcPr>
            <w:tcW w:w="396" w:type="pct"/>
            <w:shd w:val="clear" w:color="auto" w:fill="auto"/>
            <w:vAlign w:val="center"/>
            <w:hideMark/>
          </w:tcPr>
          <w:p w14:paraId="2C12D33B"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15</w:t>
            </w:r>
          </w:p>
        </w:tc>
        <w:tc>
          <w:tcPr>
            <w:tcW w:w="1908" w:type="pct"/>
            <w:shd w:val="clear" w:color="auto" w:fill="auto"/>
            <w:vAlign w:val="center"/>
            <w:hideMark/>
          </w:tcPr>
          <w:p w14:paraId="693E47B6"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Živila, pijače, tobačni izdelki in z njimi povezani izdelki</w:t>
            </w:r>
          </w:p>
        </w:tc>
        <w:tc>
          <w:tcPr>
            <w:tcW w:w="558" w:type="pct"/>
            <w:shd w:val="clear" w:color="auto" w:fill="auto"/>
            <w:vAlign w:val="center"/>
            <w:hideMark/>
          </w:tcPr>
          <w:p w14:paraId="155203AF" w14:textId="77777777" w:rsidR="00E3750C" w:rsidRPr="003346B7" w:rsidRDefault="00E3750C" w:rsidP="00047864">
            <w:pPr>
              <w:spacing w:after="0" w:line="240" w:lineRule="auto"/>
              <w:jc w:val="right"/>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49</w:t>
            </w:r>
          </w:p>
        </w:tc>
        <w:tc>
          <w:tcPr>
            <w:tcW w:w="1242" w:type="pct"/>
            <w:shd w:val="clear" w:color="auto" w:fill="auto"/>
            <w:vAlign w:val="center"/>
            <w:hideMark/>
          </w:tcPr>
          <w:p w14:paraId="06642001" w14:textId="77777777" w:rsidR="00E3750C" w:rsidRPr="003346B7" w:rsidRDefault="00E3750C" w:rsidP="00047864">
            <w:pPr>
              <w:spacing w:after="0" w:line="240" w:lineRule="auto"/>
              <w:jc w:val="right"/>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1.349.487</w:t>
            </w:r>
          </w:p>
        </w:tc>
      </w:tr>
      <w:tr w:rsidR="00E3750C" w:rsidRPr="003346B7" w14:paraId="36BE59A9" w14:textId="77777777" w:rsidTr="00047864">
        <w:trPr>
          <w:trHeight w:val="300"/>
        </w:trPr>
        <w:tc>
          <w:tcPr>
            <w:tcW w:w="896" w:type="pct"/>
            <w:vMerge w:val="restart"/>
            <w:shd w:val="clear" w:color="auto" w:fill="auto"/>
            <w:vAlign w:val="center"/>
            <w:hideMark/>
          </w:tcPr>
          <w:p w14:paraId="24A49D4D"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Drugi naročniki (osebe javnega prava, javna podjetja, subjekt s posebnimi infrastrukturnimi pravicami)</w:t>
            </w:r>
          </w:p>
        </w:tc>
        <w:tc>
          <w:tcPr>
            <w:tcW w:w="396" w:type="pct"/>
            <w:shd w:val="clear" w:color="auto" w:fill="auto"/>
            <w:vAlign w:val="center"/>
            <w:hideMark/>
          </w:tcPr>
          <w:p w14:paraId="5A33537C"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45</w:t>
            </w:r>
          </w:p>
        </w:tc>
        <w:tc>
          <w:tcPr>
            <w:tcW w:w="1908" w:type="pct"/>
            <w:shd w:val="clear" w:color="auto" w:fill="auto"/>
            <w:vAlign w:val="center"/>
            <w:hideMark/>
          </w:tcPr>
          <w:p w14:paraId="7E16A4F1"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Gradbena dela</w:t>
            </w:r>
          </w:p>
        </w:tc>
        <w:tc>
          <w:tcPr>
            <w:tcW w:w="558" w:type="pct"/>
            <w:shd w:val="clear" w:color="auto" w:fill="auto"/>
            <w:vAlign w:val="center"/>
            <w:hideMark/>
          </w:tcPr>
          <w:p w14:paraId="45C2BD24" w14:textId="77777777" w:rsidR="00E3750C" w:rsidRPr="003346B7" w:rsidRDefault="00E3750C" w:rsidP="00047864">
            <w:pPr>
              <w:spacing w:after="0" w:line="240" w:lineRule="auto"/>
              <w:jc w:val="right"/>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336</w:t>
            </w:r>
          </w:p>
        </w:tc>
        <w:tc>
          <w:tcPr>
            <w:tcW w:w="1242" w:type="pct"/>
            <w:shd w:val="clear" w:color="auto" w:fill="auto"/>
            <w:vAlign w:val="center"/>
            <w:hideMark/>
          </w:tcPr>
          <w:p w14:paraId="5ADEF734" w14:textId="77777777" w:rsidR="00E3750C" w:rsidRPr="003346B7" w:rsidRDefault="00E3750C" w:rsidP="00047864">
            <w:pPr>
              <w:spacing w:after="0" w:line="240" w:lineRule="auto"/>
              <w:jc w:val="right"/>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331.935.700</w:t>
            </w:r>
          </w:p>
        </w:tc>
      </w:tr>
      <w:tr w:rsidR="00E3750C" w:rsidRPr="003346B7" w14:paraId="00C88500" w14:textId="77777777" w:rsidTr="00047864">
        <w:trPr>
          <w:trHeight w:val="300"/>
        </w:trPr>
        <w:tc>
          <w:tcPr>
            <w:tcW w:w="896" w:type="pct"/>
            <w:vMerge/>
            <w:vAlign w:val="center"/>
            <w:hideMark/>
          </w:tcPr>
          <w:p w14:paraId="3F828515" w14:textId="77777777" w:rsidR="00E3750C" w:rsidRPr="003346B7" w:rsidRDefault="00E3750C" w:rsidP="00047864">
            <w:pPr>
              <w:spacing w:after="0" w:line="240" w:lineRule="auto"/>
              <w:rPr>
                <w:rFonts w:ascii="Arial" w:eastAsia="Times New Roman" w:hAnsi="Arial" w:cs="Arial"/>
                <w:color w:val="000000"/>
                <w:sz w:val="18"/>
                <w:szCs w:val="18"/>
                <w:lang w:eastAsia="sl-SI"/>
              </w:rPr>
            </w:pPr>
          </w:p>
        </w:tc>
        <w:tc>
          <w:tcPr>
            <w:tcW w:w="396" w:type="pct"/>
            <w:shd w:val="clear" w:color="auto" w:fill="auto"/>
            <w:vAlign w:val="center"/>
            <w:hideMark/>
          </w:tcPr>
          <w:p w14:paraId="0D38448F"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79</w:t>
            </w:r>
          </w:p>
        </w:tc>
        <w:tc>
          <w:tcPr>
            <w:tcW w:w="1908" w:type="pct"/>
            <w:shd w:val="clear" w:color="auto" w:fill="auto"/>
            <w:vAlign w:val="center"/>
            <w:hideMark/>
          </w:tcPr>
          <w:p w14:paraId="42AAD1D4"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Poslovne storitve: pravo, trženje, svetovanje, zaposlovanje, tiskanje in varnost</w:t>
            </w:r>
          </w:p>
        </w:tc>
        <w:tc>
          <w:tcPr>
            <w:tcW w:w="558" w:type="pct"/>
            <w:shd w:val="clear" w:color="auto" w:fill="auto"/>
            <w:vAlign w:val="center"/>
            <w:hideMark/>
          </w:tcPr>
          <w:p w14:paraId="2E408E7B" w14:textId="77777777" w:rsidR="00E3750C" w:rsidRPr="003346B7" w:rsidRDefault="00E3750C" w:rsidP="00047864">
            <w:pPr>
              <w:spacing w:after="0" w:line="240" w:lineRule="auto"/>
              <w:jc w:val="right"/>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83</w:t>
            </w:r>
          </w:p>
        </w:tc>
        <w:tc>
          <w:tcPr>
            <w:tcW w:w="1242" w:type="pct"/>
            <w:shd w:val="clear" w:color="auto" w:fill="auto"/>
            <w:vAlign w:val="center"/>
            <w:hideMark/>
          </w:tcPr>
          <w:p w14:paraId="7DA6BDB3" w14:textId="77777777" w:rsidR="00E3750C" w:rsidRPr="003346B7" w:rsidRDefault="00E3750C" w:rsidP="00047864">
            <w:pPr>
              <w:spacing w:after="0" w:line="240" w:lineRule="auto"/>
              <w:jc w:val="right"/>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171.761.063</w:t>
            </w:r>
          </w:p>
        </w:tc>
      </w:tr>
      <w:tr w:rsidR="00E3750C" w:rsidRPr="003346B7" w14:paraId="2DBC0334" w14:textId="77777777" w:rsidTr="00047864">
        <w:trPr>
          <w:trHeight w:val="300"/>
        </w:trPr>
        <w:tc>
          <w:tcPr>
            <w:tcW w:w="896" w:type="pct"/>
            <w:vMerge/>
            <w:vAlign w:val="center"/>
            <w:hideMark/>
          </w:tcPr>
          <w:p w14:paraId="27A305FA" w14:textId="77777777" w:rsidR="00E3750C" w:rsidRPr="003346B7" w:rsidRDefault="00E3750C" w:rsidP="00047864">
            <w:pPr>
              <w:spacing w:after="0" w:line="240" w:lineRule="auto"/>
              <w:rPr>
                <w:rFonts w:ascii="Arial" w:eastAsia="Times New Roman" w:hAnsi="Arial" w:cs="Arial"/>
                <w:color w:val="000000"/>
                <w:sz w:val="18"/>
                <w:szCs w:val="18"/>
                <w:lang w:eastAsia="sl-SI"/>
              </w:rPr>
            </w:pPr>
          </w:p>
        </w:tc>
        <w:tc>
          <w:tcPr>
            <w:tcW w:w="396" w:type="pct"/>
            <w:shd w:val="clear" w:color="auto" w:fill="auto"/>
            <w:vAlign w:val="center"/>
            <w:hideMark/>
          </w:tcPr>
          <w:p w14:paraId="34290B68"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09</w:t>
            </w:r>
          </w:p>
        </w:tc>
        <w:tc>
          <w:tcPr>
            <w:tcW w:w="1908" w:type="pct"/>
            <w:shd w:val="clear" w:color="auto" w:fill="auto"/>
            <w:vAlign w:val="center"/>
            <w:hideMark/>
          </w:tcPr>
          <w:p w14:paraId="25A773FB"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Naftni derivati, goriva, električna energija in drugi viri energije</w:t>
            </w:r>
          </w:p>
        </w:tc>
        <w:tc>
          <w:tcPr>
            <w:tcW w:w="558" w:type="pct"/>
            <w:shd w:val="clear" w:color="auto" w:fill="auto"/>
            <w:vAlign w:val="center"/>
            <w:hideMark/>
          </w:tcPr>
          <w:p w14:paraId="24192230" w14:textId="77777777" w:rsidR="00E3750C" w:rsidRPr="003346B7" w:rsidRDefault="00E3750C" w:rsidP="00047864">
            <w:pPr>
              <w:spacing w:after="0" w:line="240" w:lineRule="auto"/>
              <w:jc w:val="right"/>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101</w:t>
            </w:r>
          </w:p>
        </w:tc>
        <w:tc>
          <w:tcPr>
            <w:tcW w:w="1242" w:type="pct"/>
            <w:shd w:val="clear" w:color="auto" w:fill="auto"/>
            <w:vAlign w:val="center"/>
            <w:hideMark/>
          </w:tcPr>
          <w:p w14:paraId="73415DE5" w14:textId="77777777" w:rsidR="00E3750C" w:rsidRPr="003346B7" w:rsidRDefault="00E3750C" w:rsidP="00047864">
            <w:pPr>
              <w:spacing w:after="0" w:line="240" w:lineRule="auto"/>
              <w:jc w:val="right"/>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121.559.024</w:t>
            </w:r>
          </w:p>
        </w:tc>
      </w:tr>
      <w:tr w:rsidR="00E3750C" w:rsidRPr="003346B7" w14:paraId="6FFFE7A5" w14:textId="77777777" w:rsidTr="00047864">
        <w:trPr>
          <w:trHeight w:val="300"/>
        </w:trPr>
        <w:tc>
          <w:tcPr>
            <w:tcW w:w="896" w:type="pct"/>
            <w:vMerge w:val="restart"/>
            <w:shd w:val="clear" w:color="auto" w:fill="auto"/>
            <w:vAlign w:val="center"/>
            <w:hideMark/>
          </w:tcPr>
          <w:p w14:paraId="20D3BE6E"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Drugi subjekti</w:t>
            </w:r>
          </w:p>
        </w:tc>
        <w:tc>
          <w:tcPr>
            <w:tcW w:w="396" w:type="pct"/>
            <w:shd w:val="clear" w:color="auto" w:fill="auto"/>
            <w:vAlign w:val="center"/>
            <w:hideMark/>
          </w:tcPr>
          <w:p w14:paraId="763D41F2"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33</w:t>
            </w:r>
          </w:p>
        </w:tc>
        <w:tc>
          <w:tcPr>
            <w:tcW w:w="1908" w:type="pct"/>
            <w:shd w:val="clear" w:color="auto" w:fill="auto"/>
            <w:vAlign w:val="center"/>
            <w:hideMark/>
          </w:tcPr>
          <w:p w14:paraId="2717E5C4"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Medicinska oprema, farmacevtski izdelki in izdelki za osebno nego</w:t>
            </w:r>
          </w:p>
        </w:tc>
        <w:tc>
          <w:tcPr>
            <w:tcW w:w="558" w:type="pct"/>
            <w:shd w:val="clear" w:color="auto" w:fill="auto"/>
            <w:vAlign w:val="center"/>
            <w:hideMark/>
          </w:tcPr>
          <w:p w14:paraId="5AD645A0" w14:textId="77777777" w:rsidR="00E3750C" w:rsidRPr="003346B7" w:rsidRDefault="00E3750C" w:rsidP="00047864">
            <w:pPr>
              <w:spacing w:after="0" w:line="240" w:lineRule="auto"/>
              <w:jc w:val="right"/>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14</w:t>
            </w:r>
          </w:p>
        </w:tc>
        <w:tc>
          <w:tcPr>
            <w:tcW w:w="1242" w:type="pct"/>
            <w:shd w:val="clear" w:color="auto" w:fill="auto"/>
            <w:vAlign w:val="center"/>
            <w:hideMark/>
          </w:tcPr>
          <w:p w14:paraId="6939F885" w14:textId="77777777" w:rsidR="00E3750C" w:rsidRPr="003346B7" w:rsidRDefault="00E3750C" w:rsidP="00047864">
            <w:pPr>
              <w:spacing w:after="0" w:line="240" w:lineRule="auto"/>
              <w:jc w:val="right"/>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74.429.400</w:t>
            </w:r>
          </w:p>
        </w:tc>
      </w:tr>
      <w:tr w:rsidR="00E3750C" w:rsidRPr="003346B7" w14:paraId="78152A55" w14:textId="77777777" w:rsidTr="00047864">
        <w:trPr>
          <w:trHeight w:val="300"/>
        </w:trPr>
        <w:tc>
          <w:tcPr>
            <w:tcW w:w="896" w:type="pct"/>
            <w:vMerge/>
            <w:vAlign w:val="center"/>
            <w:hideMark/>
          </w:tcPr>
          <w:p w14:paraId="4766A345" w14:textId="77777777" w:rsidR="00E3750C" w:rsidRPr="003346B7" w:rsidRDefault="00E3750C" w:rsidP="00047864">
            <w:pPr>
              <w:spacing w:after="0" w:line="240" w:lineRule="auto"/>
              <w:rPr>
                <w:rFonts w:ascii="Arial" w:eastAsia="Times New Roman" w:hAnsi="Arial" w:cs="Arial"/>
                <w:color w:val="000000"/>
                <w:sz w:val="18"/>
                <w:szCs w:val="18"/>
                <w:lang w:eastAsia="sl-SI"/>
              </w:rPr>
            </w:pPr>
          </w:p>
        </w:tc>
        <w:tc>
          <w:tcPr>
            <w:tcW w:w="396" w:type="pct"/>
            <w:shd w:val="clear" w:color="auto" w:fill="auto"/>
            <w:vAlign w:val="center"/>
            <w:hideMark/>
          </w:tcPr>
          <w:p w14:paraId="4792717F"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45</w:t>
            </w:r>
          </w:p>
        </w:tc>
        <w:tc>
          <w:tcPr>
            <w:tcW w:w="1908" w:type="pct"/>
            <w:shd w:val="clear" w:color="auto" w:fill="auto"/>
            <w:vAlign w:val="center"/>
            <w:hideMark/>
          </w:tcPr>
          <w:p w14:paraId="5818F066"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Gradbena dela</w:t>
            </w:r>
          </w:p>
        </w:tc>
        <w:tc>
          <w:tcPr>
            <w:tcW w:w="558" w:type="pct"/>
            <w:shd w:val="clear" w:color="auto" w:fill="auto"/>
            <w:vAlign w:val="center"/>
            <w:hideMark/>
          </w:tcPr>
          <w:p w14:paraId="4FCB5C09" w14:textId="77777777" w:rsidR="00E3750C" w:rsidRPr="003346B7" w:rsidRDefault="00E3750C" w:rsidP="00047864">
            <w:pPr>
              <w:spacing w:after="0" w:line="240" w:lineRule="auto"/>
              <w:jc w:val="right"/>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23</w:t>
            </w:r>
          </w:p>
        </w:tc>
        <w:tc>
          <w:tcPr>
            <w:tcW w:w="1242" w:type="pct"/>
            <w:shd w:val="clear" w:color="auto" w:fill="auto"/>
            <w:vAlign w:val="center"/>
            <w:hideMark/>
          </w:tcPr>
          <w:p w14:paraId="47969D16" w14:textId="77777777" w:rsidR="00E3750C" w:rsidRPr="003346B7" w:rsidRDefault="00E3750C" w:rsidP="00047864">
            <w:pPr>
              <w:spacing w:after="0" w:line="240" w:lineRule="auto"/>
              <w:jc w:val="right"/>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12.742.862</w:t>
            </w:r>
          </w:p>
        </w:tc>
      </w:tr>
      <w:tr w:rsidR="00E3750C" w:rsidRPr="003346B7" w14:paraId="60FF5084" w14:textId="77777777" w:rsidTr="00047864">
        <w:trPr>
          <w:trHeight w:val="300"/>
        </w:trPr>
        <w:tc>
          <w:tcPr>
            <w:tcW w:w="896" w:type="pct"/>
            <w:vMerge/>
            <w:vAlign w:val="center"/>
            <w:hideMark/>
          </w:tcPr>
          <w:p w14:paraId="5F05FACF" w14:textId="77777777" w:rsidR="00E3750C" w:rsidRPr="003346B7" w:rsidRDefault="00E3750C" w:rsidP="00047864">
            <w:pPr>
              <w:spacing w:after="0" w:line="240" w:lineRule="auto"/>
              <w:rPr>
                <w:rFonts w:ascii="Arial" w:eastAsia="Times New Roman" w:hAnsi="Arial" w:cs="Arial"/>
                <w:color w:val="000000"/>
                <w:sz w:val="18"/>
                <w:szCs w:val="18"/>
                <w:lang w:eastAsia="sl-SI"/>
              </w:rPr>
            </w:pPr>
          </w:p>
        </w:tc>
        <w:tc>
          <w:tcPr>
            <w:tcW w:w="396" w:type="pct"/>
            <w:shd w:val="clear" w:color="auto" w:fill="auto"/>
            <w:vAlign w:val="center"/>
            <w:hideMark/>
          </w:tcPr>
          <w:p w14:paraId="0373C1D4"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34</w:t>
            </w:r>
          </w:p>
        </w:tc>
        <w:tc>
          <w:tcPr>
            <w:tcW w:w="1908" w:type="pct"/>
            <w:shd w:val="clear" w:color="auto" w:fill="auto"/>
            <w:vAlign w:val="center"/>
            <w:hideMark/>
          </w:tcPr>
          <w:p w14:paraId="0ADF8157" w14:textId="77777777" w:rsidR="00E3750C" w:rsidRPr="003346B7" w:rsidRDefault="00E3750C" w:rsidP="00047864">
            <w:pPr>
              <w:spacing w:after="0" w:line="240" w:lineRule="auto"/>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Prevozna sredstva in dodatni proizvodi za promet</w:t>
            </w:r>
          </w:p>
        </w:tc>
        <w:tc>
          <w:tcPr>
            <w:tcW w:w="558" w:type="pct"/>
            <w:shd w:val="clear" w:color="auto" w:fill="auto"/>
            <w:vAlign w:val="center"/>
            <w:hideMark/>
          </w:tcPr>
          <w:p w14:paraId="3B71973C" w14:textId="77777777" w:rsidR="00E3750C" w:rsidRPr="003346B7" w:rsidRDefault="00E3750C" w:rsidP="00047864">
            <w:pPr>
              <w:spacing w:after="0" w:line="240" w:lineRule="auto"/>
              <w:jc w:val="right"/>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37</w:t>
            </w:r>
          </w:p>
        </w:tc>
        <w:tc>
          <w:tcPr>
            <w:tcW w:w="1242" w:type="pct"/>
            <w:shd w:val="clear" w:color="auto" w:fill="auto"/>
            <w:vAlign w:val="center"/>
            <w:hideMark/>
          </w:tcPr>
          <w:p w14:paraId="0FC3AE38" w14:textId="77777777" w:rsidR="00E3750C" w:rsidRPr="003346B7" w:rsidRDefault="00E3750C" w:rsidP="00047864">
            <w:pPr>
              <w:spacing w:after="0" w:line="240" w:lineRule="auto"/>
              <w:jc w:val="right"/>
              <w:rPr>
                <w:rFonts w:ascii="Arial" w:eastAsia="Times New Roman" w:hAnsi="Arial" w:cs="Arial"/>
                <w:color w:val="000000"/>
                <w:sz w:val="18"/>
                <w:szCs w:val="18"/>
                <w:lang w:eastAsia="sl-SI"/>
              </w:rPr>
            </w:pPr>
            <w:r w:rsidRPr="003346B7">
              <w:rPr>
                <w:rFonts w:ascii="Arial" w:eastAsia="Times New Roman" w:hAnsi="Arial" w:cs="Arial"/>
                <w:color w:val="000000"/>
                <w:sz w:val="18"/>
                <w:szCs w:val="18"/>
                <w:lang w:eastAsia="sl-SI"/>
              </w:rPr>
              <w:t>7.145.991</w:t>
            </w:r>
          </w:p>
        </w:tc>
      </w:tr>
    </w:tbl>
    <w:p w14:paraId="3DC0BE4E" w14:textId="77777777" w:rsidR="00E3750C" w:rsidRPr="00BF7302" w:rsidRDefault="00E3750C" w:rsidP="00E3750C">
      <w:pPr>
        <w:spacing w:after="0" w:line="240" w:lineRule="auto"/>
        <w:jc w:val="right"/>
        <w:rPr>
          <w:rFonts w:ascii="Arial" w:eastAsia="Times New Roman" w:hAnsi="Arial" w:cs="Arial"/>
          <w:color w:val="000000"/>
          <w:sz w:val="18"/>
          <w:szCs w:val="18"/>
          <w:highlight w:val="yellow"/>
          <w:lang w:eastAsia="sl-SI"/>
        </w:rPr>
      </w:pPr>
    </w:p>
    <w:p w14:paraId="265194D3" w14:textId="77777777" w:rsidR="00E3750C" w:rsidRDefault="00E3750C" w:rsidP="00E3750C">
      <w:pPr>
        <w:rPr>
          <w:rFonts w:ascii="Arial" w:hAnsi="Arial" w:cs="Arial"/>
          <w:sz w:val="20"/>
        </w:rPr>
      </w:pPr>
      <w:r>
        <w:rPr>
          <w:rFonts w:ascii="Arial" w:hAnsi="Arial" w:cs="Arial"/>
          <w:sz w:val="20"/>
        </w:rPr>
        <w:br w:type="page"/>
      </w:r>
    </w:p>
    <w:p w14:paraId="22C71801" w14:textId="77777777" w:rsidR="00E3750C" w:rsidRPr="00AF1B22" w:rsidRDefault="00E3750C" w:rsidP="00E3750C">
      <w:pPr>
        <w:spacing w:before="120" w:after="0" w:line="240" w:lineRule="auto"/>
        <w:jc w:val="both"/>
        <w:rPr>
          <w:rFonts w:ascii="Arial" w:hAnsi="Arial" w:cs="Arial"/>
          <w:sz w:val="20"/>
        </w:rPr>
      </w:pPr>
      <w:r w:rsidRPr="00AF1B22">
        <w:rPr>
          <w:rFonts w:ascii="Arial" w:hAnsi="Arial" w:cs="Arial"/>
          <w:sz w:val="20"/>
        </w:rPr>
        <w:lastRenderedPageBreak/>
        <w:t>Preglednica 7</w:t>
      </w:r>
      <w:r>
        <w:rPr>
          <w:rFonts w:ascii="Arial" w:hAnsi="Arial" w:cs="Arial"/>
          <w:sz w:val="20"/>
        </w:rPr>
        <w:t>7</w:t>
      </w:r>
      <w:r w:rsidRPr="00AF1B22">
        <w:rPr>
          <w:rFonts w:ascii="Arial" w:hAnsi="Arial" w:cs="Arial"/>
          <w:sz w:val="20"/>
        </w:rPr>
        <w:t>: Trije najpogostejši predmeti javnega naročanja po Enotnem besednjaku javnih naročil (CPV) za posamezno kategorijo naročnika</w:t>
      </w:r>
    </w:p>
    <w:p w14:paraId="4AF09E6D" w14:textId="77777777" w:rsidR="00E3750C" w:rsidRPr="00BF7302" w:rsidRDefault="00E3750C" w:rsidP="00E3750C">
      <w:pPr>
        <w:spacing w:after="0" w:line="240" w:lineRule="auto"/>
        <w:jc w:val="both"/>
        <w:rPr>
          <w:rFonts w:ascii="Arial" w:hAnsi="Arial" w:cs="Arial"/>
          <w:sz w:val="20"/>
          <w:highlight w:val="yellow"/>
        </w:rPr>
      </w:pPr>
    </w:p>
    <w:tbl>
      <w:tblPr>
        <w:tblW w:w="5000" w:type="pct"/>
        <w:tblLayout w:type="fixed"/>
        <w:tblCellMar>
          <w:left w:w="70" w:type="dxa"/>
          <w:right w:w="70" w:type="dxa"/>
        </w:tblCellMar>
        <w:tblLook w:val="04A0" w:firstRow="1" w:lastRow="0" w:firstColumn="1" w:lastColumn="0" w:noHBand="0" w:noVBand="1"/>
      </w:tblPr>
      <w:tblGrid>
        <w:gridCol w:w="1555"/>
        <w:gridCol w:w="848"/>
        <w:gridCol w:w="3547"/>
        <w:gridCol w:w="991"/>
        <w:gridCol w:w="2233"/>
      </w:tblGrid>
      <w:tr w:rsidR="00E3750C" w:rsidRPr="00AF1B22" w14:paraId="52211031" w14:textId="77777777" w:rsidTr="00047864">
        <w:trPr>
          <w:trHeight w:val="300"/>
          <w:tblHeader/>
        </w:trPr>
        <w:tc>
          <w:tcPr>
            <w:tcW w:w="848"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BFAA10E" w14:textId="77777777" w:rsidR="00E3750C" w:rsidRPr="00AF1B22" w:rsidRDefault="00E3750C" w:rsidP="00047864">
            <w:pPr>
              <w:spacing w:after="0" w:line="240" w:lineRule="auto"/>
              <w:jc w:val="center"/>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Kategorija naročnika</w:t>
            </w:r>
          </w:p>
        </w:tc>
        <w:tc>
          <w:tcPr>
            <w:tcW w:w="462" w:type="pct"/>
            <w:tcBorders>
              <w:top w:val="single" w:sz="4" w:space="0" w:color="auto"/>
              <w:left w:val="nil"/>
              <w:bottom w:val="single" w:sz="4" w:space="0" w:color="auto"/>
              <w:right w:val="single" w:sz="4" w:space="0" w:color="auto"/>
            </w:tcBorders>
            <w:shd w:val="clear" w:color="000000" w:fill="F2F2F2"/>
            <w:vAlign w:val="center"/>
            <w:hideMark/>
          </w:tcPr>
          <w:p w14:paraId="29014751" w14:textId="77777777" w:rsidR="00E3750C" w:rsidRPr="00AF1B22" w:rsidRDefault="00E3750C" w:rsidP="00047864">
            <w:pPr>
              <w:spacing w:after="0" w:line="240" w:lineRule="auto"/>
              <w:jc w:val="center"/>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CPV oddelek</w:t>
            </w:r>
          </w:p>
        </w:tc>
        <w:tc>
          <w:tcPr>
            <w:tcW w:w="1933" w:type="pct"/>
            <w:tcBorders>
              <w:top w:val="single" w:sz="4" w:space="0" w:color="auto"/>
              <w:left w:val="nil"/>
              <w:bottom w:val="single" w:sz="4" w:space="0" w:color="auto"/>
              <w:right w:val="single" w:sz="4" w:space="0" w:color="auto"/>
            </w:tcBorders>
            <w:shd w:val="clear" w:color="000000" w:fill="F2F2F2"/>
            <w:vAlign w:val="center"/>
            <w:hideMark/>
          </w:tcPr>
          <w:p w14:paraId="3119AEDE" w14:textId="77777777" w:rsidR="00E3750C" w:rsidRPr="00AF1B22" w:rsidRDefault="00E3750C" w:rsidP="00047864">
            <w:pPr>
              <w:spacing w:after="0" w:line="240" w:lineRule="auto"/>
              <w:jc w:val="center"/>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Opis CPV oddelka</w:t>
            </w:r>
          </w:p>
        </w:tc>
        <w:tc>
          <w:tcPr>
            <w:tcW w:w="540" w:type="pct"/>
            <w:tcBorders>
              <w:top w:val="single" w:sz="4" w:space="0" w:color="auto"/>
              <w:left w:val="nil"/>
              <w:bottom w:val="single" w:sz="4" w:space="0" w:color="auto"/>
              <w:right w:val="single" w:sz="4" w:space="0" w:color="auto"/>
            </w:tcBorders>
            <w:shd w:val="clear" w:color="000000" w:fill="F2F2F2"/>
            <w:vAlign w:val="center"/>
            <w:hideMark/>
          </w:tcPr>
          <w:p w14:paraId="41563637" w14:textId="77777777" w:rsidR="00E3750C" w:rsidRPr="00AF1B22" w:rsidRDefault="00E3750C" w:rsidP="00047864">
            <w:pPr>
              <w:spacing w:after="0" w:line="240" w:lineRule="auto"/>
              <w:jc w:val="center"/>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Št. naročil</w:t>
            </w:r>
          </w:p>
        </w:tc>
        <w:tc>
          <w:tcPr>
            <w:tcW w:w="1217" w:type="pct"/>
            <w:tcBorders>
              <w:top w:val="single" w:sz="4" w:space="0" w:color="auto"/>
              <w:left w:val="nil"/>
              <w:bottom w:val="single" w:sz="4" w:space="0" w:color="auto"/>
              <w:right w:val="single" w:sz="4" w:space="0" w:color="auto"/>
            </w:tcBorders>
            <w:shd w:val="clear" w:color="000000" w:fill="F2F2F2"/>
            <w:vAlign w:val="center"/>
            <w:hideMark/>
          </w:tcPr>
          <w:p w14:paraId="236AC555" w14:textId="77777777" w:rsidR="00E3750C" w:rsidRPr="00AF1B22" w:rsidRDefault="00E3750C" w:rsidP="00047864">
            <w:pPr>
              <w:spacing w:after="0" w:line="240" w:lineRule="auto"/>
              <w:jc w:val="center"/>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Pogodbena vrednost</w:t>
            </w:r>
          </w:p>
        </w:tc>
      </w:tr>
      <w:tr w:rsidR="00E3750C" w:rsidRPr="00AF1B22" w14:paraId="6C79B8B6" w14:textId="77777777" w:rsidTr="00047864">
        <w:trPr>
          <w:trHeight w:val="300"/>
        </w:trPr>
        <w:tc>
          <w:tcPr>
            <w:tcW w:w="84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976F81F"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Organi Republike Slovenije</w:t>
            </w:r>
          </w:p>
        </w:tc>
        <w:tc>
          <w:tcPr>
            <w:tcW w:w="462" w:type="pct"/>
            <w:tcBorders>
              <w:top w:val="nil"/>
              <w:left w:val="nil"/>
              <w:bottom w:val="single" w:sz="4" w:space="0" w:color="auto"/>
              <w:right w:val="single" w:sz="4" w:space="0" w:color="auto"/>
            </w:tcBorders>
            <w:shd w:val="clear" w:color="auto" w:fill="auto"/>
            <w:vAlign w:val="center"/>
            <w:hideMark/>
          </w:tcPr>
          <w:p w14:paraId="4419B2AD"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45</w:t>
            </w:r>
          </w:p>
        </w:tc>
        <w:tc>
          <w:tcPr>
            <w:tcW w:w="1933" w:type="pct"/>
            <w:tcBorders>
              <w:top w:val="nil"/>
              <w:left w:val="nil"/>
              <w:bottom w:val="single" w:sz="4" w:space="0" w:color="auto"/>
              <w:right w:val="single" w:sz="4" w:space="0" w:color="auto"/>
            </w:tcBorders>
            <w:shd w:val="clear" w:color="auto" w:fill="auto"/>
            <w:vAlign w:val="center"/>
            <w:hideMark/>
          </w:tcPr>
          <w:p w14:paraId="28E86287"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Gradbena dela</w:t>
            </w:r>
          </w:p>
        </w:tc>
        <w:tc>
          <w:tcPr>
            <w:tcW w:w="540" w:type="pct"/>
            <w:tcBorders>
              <w:top w:val="nil"/>
              <w:left w:val="nil"/>
              <w:bottom w:val="single" w:sz="4" w:space="0" w:color="auto"/>
              <w:right w:val="single" w:sz="4" w:space="0" w:color="auto"/>
            </w:tcBorders>
            <w:shd w:val="clear" w:color="auto" w:fill="auto"/>
            <w:vAlign w:val="center"/>
            <w:hideMark/>
          </w:tcPr>
          <w:p w14:paraId="76189A0D" w14:textId="77777777" w:rsidR="00E3750C" w:rsidRPr="00AF1B22" w:rsidRDefault="00E3750C" w:rsidP="00047864">
            <w:pPr>
              <w:spacing w:after="0" w:line="240" w:lineRule="auto"/>
              <w:jc w:val="right"/>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260</w:t>
            </w:r>
          </w:p>
        </w:tc>
        <w:tc>
          <w:tcPr>
            <w:tcW w:w="1217" w:type="pct"/>
            <w:tcBorders>
              <w:top w:val="nil"/>
              <w:left w:val="nil"/>
              <w:bottom w:val="single" w:sz="4" w:space="0" w:color="auto"/>
              <w:right w:val="single" w:sz="4" w:space="0" w:color="auto"/>
            </w:tcBorders>
            <w:shd w:val="clear" w:color="auto" w:fill="auto"/>
            <w:vAlign w:val="center"/>
            <w:hideMark/>
          </w:tcPr>
          <w:p w14:paraId="28DAC9BA" w14:textId="77777777" w:rsidR="00E3750C" w:rsidRPr="00AF1B22" w:rsidRDefault="00E3750C" w:rsidP="00047864">
            <w:pPr>
              <w:spacing w:after="0" w:line="240" w:lineRule="auto"/>
              <w:jc w:val="right"/>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555.463.141</w:t>
            </w:r>
          </w:p>
        </w:tc>
      </w:tr>
      <w:tr w:rsidR="00E3750C" w:rsidRPr="00AF1B22" w14:paraId="4A14735E" w14:textId="77777777" w:rsidTr="00047864">
        <w:trPr>
          <w:trHeight w:val="300"/>
        </w:trPr>
        <w:tc>
          <w:tcPr>
            <w:tcW w:w="848" w:type="pct"/>
            <w:vMerge/>
            <w:tcBorders>
              <w:top w:val="nil"/>
              <w:left w:val="single" w:sz="4" w:space="0" w:color="auto"/>
              <w:bottom w:val="single" w:sz="4" w:space="0" w:color="auto"/>
              <w:right w:val="single" w:sz="4" w:space="0" w:color="auto"/>
            </w:tcBorders>
            <w:vAlign w:val="center"/>
            <w:hideMark/>
          </w:tcPr>
          <w:p w14:paraId="14B01DA6" w14:textId="77777777" w:rsidR="00E3750C" w:rsidRPr="00AF1B22" w:rsidRDefault="00E3750C" w:rsidP="00047864">
            <w:pPr>
              <w:spacing w:after="0" w:line="240" w:lineRule="auto"/>
              <w:rPr>
                <w:rFonts w:ascii="Arial" w:eastAsia="Times New Roman" w:hAnsi="Arial" w:cs="Arial"/>
                <w:color w:val="000000"/>
                <w:sz w:val="18"/>
                <w:szCs w:val="18"/>
                <w:lang w:eastAsia="sl-SI"/>
              </w:rPr>
            </w:pPr>
          </w:p>
        </w:tc>
        <w:tc>
          <w:tcPr>
            <w:tcW w:w="462" w:type="pct"/>
            <w:tcBorders>
              <w:top w:val="nil"/>
              <w:left w:val="nil"/>
              <w:bottom w:val="single" w:sz="4" w:space="0" w:color="auto"/>
              <w:right w:val="single" w:sz="4" w:space="0" w:color="auto"/>
            </w:tcBorders>
            <w:shd w:val="clear" w:color="auto" w:fill="auto"/>
            <w:vAlign w:val="center"/>
            <w:hideMark/>
          </w:tcPr>
          <w:p w14:paraId="436E22C6"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50</w:t>
            </w:r>
          </w:p>
        </w:tc>
        <w:tc>
          <w:tcPr>
            <w:tcW w:w="1933" w:type="pct"/>
            <w:tcBorders>
              <w:top w:val="nil"/>
              <w:left w:val="nil"/>
              <w:bottom w:val="single" w:sz="4" w:space="0" w:color="auto"/>
              <w:right w:val="single" w:sz="4" w:space="0" w:color="auto"/>
            </w:tcBorders>
            <w:shd w:val="clear" w:color="auto" w:fill="auto"/>
            <w:vAlign w:val="center"/>
            <w:hideMark/>
          </w:tcPr>
          <w:p w14:paraId="7338EBFB"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Storitve popravila in vzdrževanja</w:t>
            </w:r>
          </w:p>
        </w:tc>
        <w:tc>
          <w:tcPr>
            <w:tcW w:w="540" w:type="pct"/>
            <w:tcBorders>
              <w:top w:val="nil"/>
              <w:left w:val="nil"/>
              <w:bottom w:val="single" w:sz="4" w:space="0" w:color="auto"/>
              <w:right w:val="single" w:sz="4" w:space="0" w:color="auto"/>
            </w:tcBorders>
            <w:shd w:val="clear" w:color="auto" w:fill="auto"/>
            <w:vAlign w:val="center"/>
            <w:hideMark/>
          </w:tcPr>
          <w:p w14:paraId="69C1E528" w14:textId="77777777" w:rsidR="00E3750C" w:rsidRPr="00AF1B22" w:rsidRDefault="00E3750C" w:rsidP="00047864">
            <w:pPr>
              <w:spacing w:after="0" w:line="240" w:lineRule="auto"/>
              <w:jc w:val="right"/>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230</w:t>
            </w:r>
          </w:p>
        </w:tc>
        <w:tc>
          <w:tcPr>
            <w:tcW w:w="1217" w:type="pct"/>
            <w:tcBorders>
              <w:top w:val="nil"/>
              <w:left w:val="nil"/>
              <w:bottom w:val="single" w:sz="4" w:space="0" w:color="auto"/>
              <w:right w:val="single" w:sz="4" w:space="0" w:color="auto"/>
            </w:tcBorders>
            <w:shd w:val="clear" w:color="auto" w:fill="auto"/>
            <w:vAlign w:val="center"/>
            <w:hideMark/>
          </w:tcPr>
          <w:p w14:paraId="4E811BCD" w14:textId="77777777" w:rsidR="00E3750C" w:rsidRPr="00AF1B22" w:rsidRDefault="00E3750C" w:rsidP="00047864">
            <w:pPr>
              <w:spacing w:after="0" w:line="240" w:lineRule="auto"/>
              <w:jc w:val="right"/>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669.926.348</w:t>
            </w:r>
          </w:p>
        </w:tc>
      </w:tr>
      <w:tr w:rsidR="00E3750C" w:rsidRPr="00AF1B22" w14:paraId="23FA6E49" w14:textId="77777777" w:rsidTr="00047864">
        <w:trPr>
          <w:trHeight w:val="300"/>
        </w:trPr>
        <w:tc>
          <w:tcPr>
            <w:tcW w:w="848" w:type="pct"/>
            <w:vMerge/>
            <w:tcBorders>
              <w:top w:val="nil"/>
              <w:left w:val="single" w:sz="4" w:space="0" w:color="auto"/>
              <w:bottom w:val="single" w:sz="4" w:space="0" w:color="auto"/>
              <w:right w:val="single" w:sz="4" w:space="0" w:color="auto"/>
            </w:tcBorders>
            <w:vAlign w:val="center"/>
            <w:hideMark/>
          </w:tcPr>
          <w:p w14:paraId="0D9ACC92" w14:textId="77777777" w:rsidR="00E3750C" w:rsidRPr="00AF1B22" w:rsidRDefault="00E3750C" w:rsidP="00047864">
            <w:pPr>
              <w:spacing w:after="0" w:line="240" w:lineRule="auto"/>
              <w:rPr>
                <w:rFonts w:ascii="Arial" w:eastAsia="Times New Roman" w:hAnsi="Arial" w:cs="Arial"/>
                <w:color w:val="000000"/>
                <w:sz w:val="18"/>
                <w:szCs w:val="18"/>
                <w:lang w:eastAsia="sl-SI"/>
              </w:rPr>
            </w:pPr>
          </w:p>
        </w:tc>
        <w:tc>
          <w:tcPr>
            <w:tcW w:w="462" w:type="pct"/>
            <w:tcBorders>
              <w:top w:val="nil"/>
              <w:left w:val="nil"/>
              <w:bottom w:val="single" w:sz="4" w:space="0" w:color="auto"/>
              <w:right w:val="single" w:sz="4" w:space="0" w:color="auto"/>
            </w:tcBorders>
            <w:shd w:val="clear" w:color="auto" w:fill="auto"/>
            <w:vAlign w:val="center"/>
            <w:hideMark/>
          </w:tcPr>
          <w:p w14:paraId="06A6B457"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71</w:t>
            </w:r>
          </w:p>
        </w:tc>
        <w:tc>
          <w:tcPr>
            <w:tcW w:w="1933" w:type="pct"/>
            <w:tcBorders>
              <w:top w:val="nil"/>
              <w:left w:val="nil"/>
              <w:bottom w:val="single" w:sz="4" w:space="0" w:color="auto"/>
              <w:right w:val="single" w:sz="4" w:space="0" w:color="auto"/>
            </w:tcBorders>
            <w:shd w:val="clear" w:color="auto" w:fill="auto"/>
            <w:vAlign w:val="center"/>
            <w:hideMark/>
          </w:tcPr>
          <w:p w14:paraId="44612308"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Arhitekturne, gradbeniške, inženirske in inšpekcijske storitve</w:t>
            </w:r>
          </w:p>
        </w:tc>
        <w:tc>
          <w:tcPr>
            <w:tcW w:w="540" w:type="pct"/>
            <w:tcBorders>
              <w:top w:val="nil"/>
              <w:left w:val="nil"/>
              <w:bottom w:val="single" w:sz="4" w:space="0" w:color="auto"/>
              <w:right w:val="single" w:sz="4" w:space="0" w:color="auto"/>
            </w:tcBorders>
            <w:shd w:val="clear" w:color="auto" w:fill="auto"/>
            <w:vAlign w:val="center"/>
            <w:hideMark/>
          </w:tcPr>
          <w:p w14:paraId="5D89B0F0" w14:textId="77777777" w:rsidR="00E3750C" w:rsidRPr="00AF1B22" w:rsidRDefault="00E3750C" w:rsidP="00047864">
            <w:pPr>
              <w:spacing w:after="0" w:line="240" w:lineRule="auto"/>
              <w:jc w:val="right"/>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170</w:t>
            </w:r>
          </w:p>
        </w:tc>
        <w:tc>
          <w:tcPr>
            <w:tcW w:w="1217" w:type="pct"/>
            <w:tcBorders>
              <w:top w:val="nil"/>
              <w:left w:val="nil"/>
              <w:bottom w:val="single" w:sz="4" w:space="0" w:color="auto"/>
              <w:right w:val="single" w:sz="4" w:space="0" w:color="auto"/>
            </w:tcBorders>
            <w:shd w:val="clear" w:color="auto" w:fill="auto"/>
            <w:vAlign w:val="center"/>
            <w:hideMark/>
          </w:tcPr>
          <w:p w14:paraId="0655C886" w14:textId="77777777" w:rsidR="00E3750C" w:rsidRPr="00AF1B22" w:rsidRDefault="00E3750C" w:rsidP="00047864">
            <w:pPr>
              <w:spacing w:after="0" w:line="240" w:lineRule="auto"/>
              <w:jc w:val="right"/>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55.426.345</w:t>
            </w:r>
          </w:p>
        </w:tc>
      </w:tr>
      <w:tr w:rsidR="00E3750C" w:rsidRPr="00AF1B22" w14:paraId="3D92B57B" w14:textId="77777777" w:rsidTr="00047864">
        <w:trPr>
          <w:trHeight w:val="300"/>
        </w:trPr>
        <w:tc>
          <w:tcPr>
            <w:tcW w:w="84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965A36F" w14:textId="77777777" w:rsidR="00E3750C"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Samoupravne</w:t>
            </w:r>
          </w:p>
          <w:p w14:paraId="2B3BCD04"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lokalne skupnosti</w:t>
            </w:r>
          </w:p>
        </w:tc>
        <w:tc>
          <w:tcPr>
            <w:tcW w:w="462" w:type="pct"/>
            <w:tcBorders>
              <w:top w:val="nil"/>
              <w:left w:val="nil"/>
              <w:bottom w:val="single" w:sz="4" w:space="0" w:color="auto"/>
              <w:right w:val="single" w:sz="4" w:space="0" w:color="auto"/>
            </w:tcBorders>
            <w:shd w:val="clear" w:color="auto" w:fill="auto"/>
            <w:vAlign w:val="center"/>
            <w:hideMark/>
          </w:tcPr>
          <w:p w14:paraId="3034D750"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45</w:t>
            </w:r>
          </w:p>
        </w:tc>
        <w:tc>
          <w:tcPr>
            <w:tcW w:w="1933" w:type="pct"/>
            <w:tcBorders>
              <w:top w:val="nil"/>
              <w:left w:val="nil"/>
              <w:bottom w:val="single" w:sz="4" w:space="0" w:color="auto"/>
              <w:right w:val="single" w:sz="4" w:space="0" w:color="auto"/>
            </w:tcBorders>
            <w:shd w:val="clear" w:color="auto" w:fill="auto"/>
            <w:vAlign w:val="center"/>
            <w:hideMark/>
          </w:tcPr>
          <w:p w14:paraId="7634EF20"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Gradbena dela</w:t>
            </w:r>
          </w:p>
        </w:tc>
        <w:tc>
          <w:tcPr>
            <w:tcW w:w="540" w:type="pct"/>
            <w:tcBorders>
              <w:top w:val="nil"/>
              <w:left w:val="nil"/>
              <w:bottom w:val="single" w:sz="4" w:space="0" w:color="auto"/>
              <w:right w:val="single" w:sz="4" w:space="0" w:color="auto"/>
            </w:tcBorders>
            <w:shd w:val="clear" w:color="auto" w:fill="auto"/>
            <w:vAlign w:val="center"/>
            <w:hideMark/>
          </w:tcPr>
          <w:p w14:paraId="67C6A15F" w14:textId="77777777" w:rsidR="00E3750C" w:rsidRPr="00AF1B22" w:rsidRDefault="00E3750C" w:rsidP="00047864">
            <w:pPr>
              <w:spacing w:after="0" w:line="240" w:lineRule="auto"/>
              <w:jc w:val="right"/>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888</w:t>
            </w:r>
          </w:p>
        </w:tc>
        <w:tc>
          <w:tcPr>
            <w:tcW w:w="1217" w:type="pct"/>
            <w:tcBorders>
              <w:top w:val="nil"/>
              <w:left w:val="nil"/>
              <w:bottom w:val="single" w:sz="4" w:space="0" w:color="auto"/>
              <w:right w:val="single" w:sz="4" w:space="0" w:color="auto"/>
            </w:tcBorders>
            <w:shd w:val="clear" w:color="auto" w:fill="auto"/>
            <w:vAlign w:val="center"/>
            <w:hideMark/>
          </w:tcPr>
          <w:p w14:paraId="4A29B85D" w14:textId="77777777" w:rsidR="00E3750C" w:rsidRPr="00AF1B22" w:rsidRDefault="00E3750C" w:rsidP="00047864">
            <w:pPr>
              <w:spacing w:after="0" w:line="240" w:lineRule="auto"/>
              <w:jc w:val="right"/>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642.199.298</w:t>
            </w:r>
          </w:p>
        </w:tc>
      </w:tr>
      <w:tr w:rsidR="00E3750C" w:rsidRPr="00AF1B22" w14:paraId="3311B9CE" w14:textId="77777777" w:rsidTr="00047864">
        <w:trPr>
          <w:trHeight w:val="300"/>
        </w:trPr>
        <w:tc>
          <w:tcPr>
            <w:tcW w:w="848" w:type="pct"/>
            <w:vMerge/>
            <w:tcBorders>
              <w:top w:val="nil"/>
              <w:left w:val="single" w:sz="4" w:space="0" w:color="auto"/>
              <w:bottom w:val="single" w:sz="4" w:space="0" w:color="auto"/>
              <w:right w:val="single" w:sz="4" w:space="0" w:color="auto"/>
            </w:tcBorders>
            <w:vAlign w:val="center"/>
            <w:hideMark/>
          </w:tcPr>
          <w:p w14:paraId="40490687" w14:textId="77777777" w:rsidR="00E3750C" w:rsidRPr="00AF1B22" w:rsidRDefault="00E3750C" w:rsidP="00047864">
            <w:pPr>
              <w:spacing w:after="0" w:line="240" w:lineRule="auto"/>
              <w:rPr>
                <w:rFonts w:ascii="Arial" w:eastAsia="Times New Roman" w:hAnsi="Arial" w:cs="Arial"/>
                <w:color w:val="000000"/>
                <w:sz w:val="18"/>
                <w:szCs w:val="18"/>
                <w:lang w:eastAsia="sl-SI"/>
              </w:rPr>
            </w:pPr>
          </w:p>
        </w:tc>
        <w:tc>
          <w:tcPr>
            <w:tcW w:w="462" w:type="pct"/>
            <w:tcBorders>
              <w:top w:val="nil"/>
              <w:left w:val="nil"/>
              <w:bottom w:val="single" w:sz="4" w:space="0" w:color="auto"/>
              <w:right w:val="single" w:sz="4" w:space="0" w:color="auto"/>
            </w:tcBorders>
            <w:shd w:val="clear" w:color="auto" w:fill="auto"/>
            <w:vAlign w:val="center"/>
            <w:hideMark/>
          </w:tcPr>
          <w:p w14:paraId="4C8C3086"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60</w:t>
            </w:r>
          </w:p>
        </w:tc>
        <w:tc>
          <w:tcPr>
            <w:tcW w:w="1933" w:type="pct"/>
            <w:tcBorders>
              <w:top w:val="nil"/>
              <w:left w:val="nil"/>
              <w:bottom w:val="single" w:sz="4" w:space="0" w:color="auto"/>
              <w:right w:val="single" w:sz="4" w:space="0" w:color="auto"/>
            </w:tcBorders>
            <w:shd w:val="clear" w:color="auto" w:fill="auto"/>
            <w:vAlign w:val="center"/>
            <w:hideMark/>
          </w:tcPr>
          <w:p w14:paraId="392E6975"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Prevozne storitve (razen prevoza odpadkov)</w:t>
            </w:r>
          </w:p>
        </w:tc>
        <w:tc>
          <w:tcPr>
            <w:tcW w:w="540" w:type="pct"/>
            <w:tcBorders>
              <w:top w:val="nil"/>
              <w:left w:val="nil"/>
              <w:bottom w:val="single" w:sz="4" w:space="0" w:color="auto"/>
              <w:right w:val="single" w:sz="4" w:space="0" w:color="auto"/>
            </w:tcBorders>
            <w:shd w:val="clear" w:color="auto" w:fill="auto"/>
            <w:vAlign w:val="center"/>
            <w:hideMark/>
          </w:tcPr>
          <w:p w14:paraId="4490931B" w14:textId="77777777" w:rsidR="00E3750C" w:rsidRPr="00AF1B22" w:rsidRDefault="00E3750C" w:rsidP="00047864">
            <w:pPr>
              <w:spacing w:after="0" w:line="240" w:lineRule="auto"/>
              <w:jc w:val="right"/>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255</w:t>
            </w:r>
          </w:p>
        </w:tc>
        <w:tc>
          <w:tcPr>
            <w:tcW w:w="1217" w:type="pct"/>
            <w:tcBorders>
              <w:top w:val="nil"/>
              <w:left w:val="nil"/>
              <w:bottom w:val="single" w:sz="4" w:space="0" w:color="auto"/>
              <w:right w:val="single" w:sz="4" w:space="0" w:color="auto"/>
            </w:tcBorders>
            <w:shd w:val="clear" w:color="auto" w:fill="auto"/>
            <w:vAlign w:val="center"/>
            <w:hideMark/>
          </w:tcPr>
          <w:p w14:paraId="79685855" w14:textId="77777777" w:rsidR="00E3750C" w:rsidRPr="00AF1B22" w:rsidRDefault="00E3750C" w:rsidP="00047864">
            <w:pPr>
              <w:spacing w:after="0" w:line="240" w:lineRule="auto"/>
              <w:jc w:val="right"/>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52.571.881</w:t>
            </w:r>
          </w:p>
        </w:tc>
      </w:tr>
      <w:tr w:rsidR="00E3750C" w:rsidRPr="00AF1B22" w14:paraId="367F96D7" w14:textId="77777777" w:rsidTr="00047864">
        <w:trPr>
          <w:trHeight w:val="300"/>
        </w:trPr>
        <w:tc>
          <w:tcPr>
            <w:tcW w:w="848" w:type="pct"/>
            <w:vMerge/>
            <w:tcBorders>
              <w:top w:val="nil"/>
              <w:left w:val="single" w:sz="4" w:space="0" w:color="auto"/>
              <w:bottom w:val="single" w:sz="4" w:space="0" w:color="auto"/>
              <w:right w:val="single" w:sz="4" w:space="0" w:color="auto"/>
            </w:tcBorders>
            <w:vAlign w:val="center"/>
            <w:hideMark/>
          </w:tcPr>
          <w:p w14:paraId="4A11D04E" w14:textId="77777777" w:rsidR="00E3750C" w:rsidRPr="00AF1B22" w:rsidRDefault="00E3750C" w:rsidP="00047864">
            <w:pPr>
              <w:spacing w:after="0" w:line="240" w:lineRule="auto"/>
              <w:rPr>
                <w:rFonts w:ascii="Arial" w:eastAsia="Times New Roman" w:hAnsi="Arial" w:cs="Arial"/>
                <w:color w:val="000000"/>
                <w:sz w:val="18"/>
                <w:szCs w:val="18"/>
                <w:lang w:eastAsia="sl-SI"/>
              </w:rPr>
            </w:pPr>
          </w:p>
        </w:tc>
        <w:tc>
          <w:tcPr>
            <w:tcW w:w="462" w:type="pct"/>
            <w:tcBorders>
              <w:top w:val="nil"/>
              <w:left w:val="nil"/>
              <w:bottom w:val="single" w:sz="4" w:space="0" w:color="auto"/>
              <w:right w:val="single" w:sz="4" w:space="0" w:color="auto"/>
            </w:tcBorders>
            <w:shd w:val="clear" w:color="auto" w:fill="auto"/>
            <w:vAlign w:val="center"/>
            <w:hideMark/>
          </w:tcPr>
          <w:p w14:paraId="28710A38"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71</w:t>
            </w:r>
          </w:p>
        </w:tc>
        <w:tc>
          <w:tcPr>
            <w:tcW w:w="1933" w:type="pct"/>
            <w:tcBorders>
              <w:top w:val="nil"/>
              <w:left w:val="nil"/>
              <w:bottom w:val="single" w:sz="4" w:space="0" w:color="auto"/>
              <w:right w:val="single" w:sz="4" w:space="0" w:color="auto"/>
            </w:tcBorders>
            <w:shd w:val="clear" w:color="auto" w:fill="auto"/>
            <w:vAlign w:val="center"/>
            <w:hideMark/>
          </w:tcPr>
          <w:p w14:paraId="13A1BD92"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Arhitekturne, gradbeniške, inženirske in inšpekcijske storitve</w:t>
            </w:r>
          </w:p>
        </w:tc>
        <w:tc>
          <w:tcPr>
            <w:tcW w:w="540" w:type="pct"/>
            <w:tcBorders>
              <w:top w:val="nil"/>
              <w:left w:val="nil"/>
              <w:bottom w:val="single" w:sz="4" w:space="0" w:color="auto"/>
              <w:right w:val="single" w:sz="4" w:space="0" w:color="auto"/>
            </w:tcBorders>
            <w:shd w:val="clear" w:color="auto" w:fill="auto"/>
            <w:vAlign w:val="center"/>
            <w:hideMark/>
          </w:tcPr>
          <w:p w14:paraId="3EF2387F" w14:textId="77777777" w:rsidR="00E3750C" w:rsidRPr="00AF1B22" w:rsidRDefault="00E3750C" w:rsidP="00047864">
            <w:pPr>
              <w:spacing w:after="0" w:line="240" w:lineRule="auto"/>
              <w:jc w:val="right"/>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132</w:t>
            </w:r>
          </w:p>
        </w:tc>
        <w:tc>
          <w:tcPr>
            <w:tcW w:w="1217" w:type="pct"/>
            <w:tcBorders>
              <w:top w:val="nil"/>
              <w:left w:val="nil"/>
              <w:bottom w:val="single" w:sz="4" w:space="0" w:color="auto"/>
              <w:right w:val="single" w:sz="4" w:space="0" w:color="auto"/>
            </w:tcBorders>
            <w:shd w:val="clear" w:color="auto" w:fill="auto"/>
            <w:vAlign w:val="center"/>
            <w:hideMark/>
          </w:tcPr>
          <w:p w14:paraId="6D6E2B4A" w14:textId="77777777" w:rsidR="00E3750C" w:rsidRPr="00AF1B22" w:rsidRDefault="00E3750C" w:rsidP="00047864">
            <w:pPr>
              <w:spacing w:after="0" w:line="240" w:lineRule="auto"/>
              <w:jc w:val="right"/>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19.994.595</w:t>
            </w:r>
          </w:p>
        </w:tc>
      </w:tr>
      <w:tr w:rsidR="00E3750C" w:rsidRPr="00AF1B22" w14:paraId="77AB35CC" w14:textId="77777777" w:rsidTr="00047864">
        <w:trPr>
          <w:trHeight w:val="300"/>
        </w:trPr>
        <w:tc>
          <w:tcPr>
            <w:tcW w:w="84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7CA91BE"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Javni skladi</w:t>
            </w:r>
          </w:p>
        </w:tc>
        <w:tc>
          <w:tcPr>
            <w:tcW w:w="462" w:type="pct"/>
            <w:tcBorders>
              <w:top w:val="nil"/>
              <w:left w:val="nil"/>
              <w:bottom w:val="single" w:sz="4" w:space="0" w:color="auto"/>
              <w:right w:val="single" w:sz="4" w:space="0" w:color="auto"/>
            </w:tcBorders>
            <w:shd w:val="clear" w:color="auto" w:fill="auto"/>
            <w:vAlign w:val="center"/>
            <w:hideMark/>
          </w:tcPr>
          <w:p w14:paraId="1146057C"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45</w:t>
            </w:r>
          </w:p>
        </w:tc>
        <w:tc>
          <w:tcPr>
            <w:tcW w:w="1933" w:type="pct"/>
            <w:tcBorders>
              <w:top w:val="nil"/>
              <w:left w:val="nil"/>
              <w:bottom w:val="single" w:sz="4" w:space="0" w:color="auto"/>
              <w:right w:val="single" w:sz="4" w:space="0" w:color="auto"/>
            </w:tcBorders>
            <w:shd w:val="clear" w:color="auto" w:fill="auto"/>
            <w:vAlign w:val="center"/>
            <w:hideMark/>
          </w:tcPr>
          <w:p w14:paraId="464D2942"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Gradbena dela</w:t>
            </w:r>
          </w:p>
        </w:tc>
        <w:tc>
          <w:tcPr>
            <w:tcW w:w="540" w:type="pct"/>
            <w:tcBorders>
              <w:top w:val="nil"/>
              <w:left w:val="nil"/>
              <w:bottom w:val="single" w:sz="4" w:space="0" w:color="auto"/>
              <w:right w:val="single" w:sz="4" w:space="0" w:color="auto"/>
            </w:tcBorders>
            <w:shd w:val="clear" w:color="auto" w:fill="auto"/>
            <w:vAlign w:val="center"/>
            <w:hideMark/>
          </w:tcPr>
          <w:p w14:paraId="1934A032" w14:textId="77777777" w:rsidR="00E3750C" w:rsidRPr="00AF1B22" w:rsidRDefault="00E3750C" w:rsidP="00047864">
            <w:pPr>
              <w:spacing w:after="0" w:line="240" w:lineRule="auto"/>
              <w:jc w:val="right"/>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23</w:t>
            </w:r>
          </w:p>
        </w:tc>
        <w:tc>
          <w:tcPr>
            <w:tcW w:w="1217" w:type="pct"/>
            <w:tcBorders>
              <w:top w:val="nil"/>
              <w:left w:val="nil"/>
              <w:bottom w:val="single" w:sz="4" w:space="0" w:color="auto"/>
              <w:right w:val="single" w:sz="4" w:space="0" w:color="auto"/>
            </w:tcBorders>
            <w:shd w:val="clear" w:color="auto" w:fill="auto"/>
            <w:vAlign w:val="center"/>
            <w:hideMark/>
          </w:tcPr>
          <w:p w14:paraId="12F26221" w14:textId="77777777" w:rsidR="00E3750C" w:rsidRPr="00AF1B22" w:rsidRDefault="00E3750C" w:rsidP="00047864">
            <w:pPr>
              <w:spacing w:after="0" w:line="240" w:lineRule="auto"/>
              <w:jc w:val="right"/>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54.217.806</w:t>
            </w:r>
          </w:p>
        </w:tc>
      </w:tr>
      <w:tr w:rsidR="00E3750C" w:rsidRPr="00AF1B22" w14:paraId="50683E83" w14:textId="77777777" w:rsidTr="00047864">
        <w:trPr>
          <w:trHeight w:val="300"/>
        </w:trPr>
        <w:tc>
          <w:tcPr>
            <w:tcW w:w="848" w:type="pct"/>
            <w:vMerge/>
            <w:tcBorders>
              <w:top w:val="nil"/>
              <w:left w:val="single" w:sz="4" w:space="0" w:color="auto"/>
              <w:bottom w:val="single" w:sz="4" w:space="0" w:color="auto"/>
              <w:right w:val="single" w:sz="4" w:space="0" w:color="auto"/>
            </w:tcBorders>
            <w:vAlign w:val="center"/>
            <w:hideMark/>
          </w:tcPr>
          <w:p w14:paraId="7E3BBA95" w14:textId="77777777" w:rsidR="00E3750C" w:rsidRPr="00AF1B22" w:rsidRDefault="00E3750C" w:rsidP="00047864">
            <w:pPr>
              <w:spacing w:after="0" w:line="240" w:lineRule="auto"/>
              <w:rPr>
                <w:rFonts w:ascii="Arial" w:eastAsia="Times New Roman" w:hAnsi="Arial" w:cs="Arial"/>
                <w:color w:val="000000"/>
                <w:sz w:val="18"/>
                <w:szCs w:val="18"/>
                <w:lang w:eastAsia="sl-SI"/>
              </w:rPr>
            </w:pPr>
          </w:p>
        </w:tc>
        <w:tc>
          <w:tcPr>
            <w:tcW w:w="462" w:type="pct"/>
            <w:tcBorders>
              <w:top w:val="nil"/>
              <w:left w:val="nil"/>
              <w:bottom w:val="single" w:sz="4" w:space="0" w:color="auto"/>
              <w:right w:val="single" w:sz="4" w:space="0" w:color="auto"/>
            </w:tcBorders>
            <w:shd w:val="clear" w:color="auto" w:fill="auto"/>
            <w:vAlign w:val="center"/>
            <w:hideMark/>
          </w:tcPr>
          <w:p w14:paraId="5471E07C"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71</w:t>
            </w:r>
          </w:p>
        </w:tc>
        <w:tc>
          <w:tcPr>
            <w:tcW w:w="1933" w:type="pct"/>
            <w:tcBorders>
              <w:top w:val="nil"/>
              <w:left w:val="nil"/>
              <w:bottom w:val="single" w:sz="4" w:space="0" w:color="auto"/>
              <w:right w:val="single" w:sz="4" w:space="0" w:color="auto"/>
            </w:tcBorders>
            <w:shd w:val="clear" w:color="auto" w:fill="auto"/>
            <w:vAlign w:val="center"/>
            <w:hideMark/>
          </w:tcPr>
          <w:p w14:paraId="2FBDE6B7"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Arhitekturne, gradbeniške, inženirske in inšpekcijske storitve</w:t>
            </w:r>
          </w:p>
        </w:tc>
        <w:tc>
          <w:tcPr>
            <w:tcW w:w="540" w:type="pct"/>
            <w:tcBorders>
              <w:top w:val="nil"/>
              <w:left w:val="nil"/>
              <w:bottom w:val="single" w:sz="4" w:space="0" w:color="auto"/>
              <w:right w:val="single" w:sz="4" w:space="0" w:color="auto"/>
            </w:tcBorders>
            <w:shd w:val="clear" w:color="auto" w:fill="auto"/>
            <w:vAlign w:val="center"/>
            <w:hideMark/>
          </w:tcPr>
          <w:p w14:paraId="2348C303" w14:textId="77777777" w:rsidR="00E3750C" w:rsidRPr="00AF1B22" w:rsidRDefault="00E3750C" w:rsidP="00047864">
            <w:pPr>
              <w:spacing w:after="0" w:line="240" w:lineRule="auto"/>
              <w:jc w:val="right"/>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11</w:t>
            </w:r>
          </w:p>
        </w:tc>
        <w:tc>
          <w:tcPr>
            <w:tcW w:w="1217" w:type="pct"/>
            <w:tcBorders>
              <w:top w:val="nil"/>
              <w:left w:val="nil"/>
              <w:bottom w:val="single" w:sz="4" w:space="0" w:color="auto"/>
              <w:right w:val="single" w:sz="4" w:space="0" w:color="auto"/>
            </w:tcBorders>
            <w:shd w:val="clear" w:color="auto" w:fill="auto"/>
            <w:vAlign w:val="center"/>
            <w:hideMark/>
          </w:tcPr>
          <w:p w14:paraId="396E1D56" w14:textId="77777777" w:rsidR="00E3750C" w:rsidRPr="00AF1B22" w:rsidRDefault="00E3750C" w:rsidP="00047864">
            <w:pPr>
              <w:spacing w:after="0" w:line="240" w:lineRule="auto"/>
              <w:jc w:val="right"/>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1.409.537</w:t>
            </w:r>
          </w:p>
        </w:tc>
      </w:tr>
      <w:tr w:rsidR="00E3750C" w:rsidRPr="00AF1B22" w14:paraId="54AC20B2" w14:textId="77777777" w:rsidTr="00047864">
        <w:trPr>
          <w:trHeight w:val="300"/>
        </w:trPr>
        <w:tc>
          <w:tcPr>
            <w:tcW w:w="848" w:type="pct"/>
            <w:vMerge/>
            <w:tcBorders>
              <w:top w:val="nil"/>
              <w:left w:val="single" w:sz="4" w:space="0" w:color="auto"/>
              <w:bottom w:val="single" w:sz="4" w:space="0" w:color="auto"/>
              <w:right w:val="single" w:sz="4" w:space="0" w:color="auto"/>
            </w:tcBorders>
            <w:vAlign w:val="center"/>
            <w:hideMark/>
          </w:tcPr>
          <w:p w14:paraId="4A33125D" w14:textId="77777777" w:rsidR="00E3750C" w:rsidRPr="00AF1B22" w:rsidRDefault="00E3750C" w:rsidP="00047864">
            <w:pPr>
              <w:spacing w:after="0" w:line="240" w:lineRule="auto"/>
              <w:rPr>
                <w:rFonts w:ascii="Arial" w:eastAsia="Times New Roman" w:hAnsi="Arial" w:cs="Arial"/>
                <w:color w:val="000000"/>
                <w:sz w:val="18"/>
                <w:szCs w:val="18"/>
                <w:lang w:eastAsia="sl-SI"/>
              </w:rPr>
            </w:pPr>
          </w:p>
        </w:tc>
        <w:tc>
          <w:tcPr>
            <w:tcW w:w="462" w:type="pct"/>
            <w:tcBorders>
              <w:top w:val="nil"/>
              <w:left w:val="nil"/>
              <w:bottom w:val="single" w:sz="4" w:space="0" w:color="auto"/>
              <w:right w:val="single" w:sz="4" w:space="0" w:color="auto"/>
            </w:tcBorders>
            <w:shd w:val="clear" w:color="auto" w:fill="auto"/>
            <w:vAlign w:val="center"/>
            <w:hideMark/>
          </w:tcPr>
          <w:p w14:paraId="24544D68"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70</w:t>
            </w:r>
          </w:p>
        </w:tc>
        <w:tc>
          <w:tcPr>
            <w:tcW w:w="1933" w:type="pct"/>
            <w:tcBorders>
              <w:top w:val="nil"/>
              <w:left w:val="nil"/>
              <w:bottom w:val="single" w:sz="4" w:space="0" w:color="auto"/>
              <w:right w:val="single" w:sz="4" w:space="0" w:color="auto"/>
            </w:tcBorders>
            <w:shd w:val="clear" w:color="auto" w:fill="auto"/>
            <w:vAlign w:val="center"/>
            <w:hideMark/>
          </w:tcPr>
          <w:p w14:paraId="512A5D88"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Storitve poslovanja z nepremičninami</w:t>
            </w:r>
          </w:p>
        </w:tc>
        <w:tc>
          <w:tcPr>
            <w:tcW w:w="540" w:type="pct"/>
            <w:tcBorders>
              <w:top w:val="nil"/>
              <w:left w:val="nil"/>
              <w:bottom w:val="single" w:sz="4" w:space="0" w:color="auto"/>
              <w:right w:val="single" w:sz="4" w:space="0" w:color="auto"/>
            </w:tcBorders>
            <w:shd w:val="clear" w:color="auto" w:fill="auto"/>
            <w:vAlign w:val="center"/>
            <w:hideMark/>
          </w:tcPr>
          <w:p w14:paraId="61530092" w14:textId="77777777" w:rsidR="00E3750C" w:rsidRPr="00AF1B22" w:rsidRDefault="00E3750C" w:rsidP="00047864">
            <w:pPr>
              <w:spacing w:after="0" w:line="240" w:lineRule="auto"/>
              <w:jc w:val="right"/>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10</w:t>
            </w:r>
          </w:p>
        </w:tc>
        <w:tc>
          <w:tcPr>
            <w:tcW w:w="1217" w:type="pct"/>
            <w:tcBorders>
              <w:top w:val="nil"/>
              <w:left w:val="nil"/>
              <w:bottom w:val="single" w:sz="4" w:space="0" w:color="auto"/>
              <w:right w:val="single" w:sz="4" w:space="0" w:color="auto"/>
            </w:tcBorders>
            <w:shd w:val="clear" w:color="auto" w:fill="auto"/>
            <w:vAlign w:val="center"/>
            <w:hideMark/>
          </w:tcPr>
          <w:p w14:paraId="4849DCE5" w14:textId="77777777" w:rsidR="00E3750C" w:rsidRPr="00AF1B22" w:rsidRDefault="00E3750C" w:rsidP="00047864">
            <w:pPr>
              <w:spacing w:after="0" w:line="240" w:lineRule="auto"/>
              <w:jc w:val="right"/>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3.249.983</w:t>
            </w:r>
          </w:p>
        </w:tc>
      </w:tr>
      <w:tr w:rsidR="00E3750C" w:rsidRPr="00AF1B22" w14:paraId="1FF49C07" w14:textId="77777777" w:rsidTr="00047864">
        <w:trPr>
          <w:trHeight w:val="300"/>
        </w:trPr>
        <w:tc>
          <w:tcPr>
            <w:tcW w:w="84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A6F2EE5"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Javne agencije</w:t>
            </w:r>
          </w:p>
        </w:tc>
        <w:tc>
          <w:tcPr>
            <w:tcW w:w="462" w:type="pct"/>
            <w:tcBorders>
              <w:top w:val="nil"/>
              <w:left w:val="nil"/>
              <w:bottom w:val="single" w:sz="4" w:space="0" w:color="auto"/>
              <w:right w:val="single" w:sz="4" w:space="0" w:color="auto"/>
            </w:tcBorders>
            <w:shd w:val="clear" w:color="auto" w:fill="auto"/>
            <w:vAlign w:val="center"/>
            <w:hideMark/>
          </w:tcPr>
          <w:p w14:paraId="4666E60D"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79</w:t>
            </w:r>
          </w:p>
        </w:tc>
        <w:tc>
          <w:tcPr>
            <w:tcW w:w="1933" w:type="pct"/>
            <w:tcBorders>
              <w:top w:val="nil"/>
              <w:left w:val="nil"/>
              <w:bottom w:val="single" w:sz="4" w:space="0" w:color="auto"/>
              <w:right w:val="single" w:sz="4" w:space="0" w:color="auto"/>
            </w:tcBorders>
            <w:shd w:val="clear" w:color="auto" w:fill="auto"/>
            <w:vAlign w:val="center"/>
            <w:hideMark/>
          </w:tcPr>
          <w:p w14:paraId="749458E9"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Poslovne storitve: pravo, trženje, svetovanje, zaposlovanje, tiskanje in varnost</w:t>
            </w:r>
          </w:p>
        </w:tc>
        <w:tc>
          <w:tcPr>
            <w:tcW w:w="540" w:type="pct"/>
            <w:tcBorders>
              <w:top w:val="nil"/>
              <w:left w:val="nil"/>
              <w:bottom w:val="single" w:sz="4" w:space="0" w:color="auto"/>
              <w:right w:val="single" w:sz="4" w:space="0" w:color="auto"/>
            </w:tcBorders>
            <w:shd w:val="clear" w:color="auto" w:fill="auto"/>
            <w:vAlign w:val="center"/>
            <w:hideMark/>
          </w:tcPr>
          <w:p w14:paraId="7A23DAD4" w14:textId="77777777" w:rsidR="00E3750C" w:rsidRPr="00AF1B22" w:rsidRDefault="00E3750C" w:rsidP="00047864">
            <w:pPr>
              <w:spacing w:after="0" w:line="240" w:lineRule="auto"/>
              <w:jc w:val="right"/>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34</w:t>
            </w:r>
          </w:p>
        </w:tc>
        <w:tc>
          <w:tcPr>
            <w:tcW w:w="1217" w:type="pct"/>
            <w:tcBorders>
              <w:top w:val="nil"/>
              <w:left w:val="nil"/>
              <w:bottom w:val="single" w:sz="4" w:space="0" w:color="auto"/>
              <w:right w:val="single" w:sz="4" w:space="0" w:color="auto"/>
            </w:tcBorders>
            <w:shd w:val="clear" w:color="auto" w:fill="auto"/>
            <w:vAlign w:val="center"/>
            <w:hideMark/>
          </w:tcPr>
          <w:p w14:paraId="4C8EDE57" w14:textId="77777777" w:rsidR="00E3750C" w:rsidRPr="00AF1B22" w:rsidRDefault="00E3750C" w:rsidP="00047864">
            <w:pPr>
              <w:spacing w:after="0" w:line="240" w:lineRule="auto"/>
              <w:jc w:val="right"/>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6.976.476</w:t>
            </w:r>
          </w:p>
        </w:tc>
      </w:tr>
      <w:tr w:rsidR="00E3750C" w:rsidRPr="00AF1B22" w14:paraId="76B53AAE" w14:textId="77777777" w:rsidTr="00047864">
        <w:trPr>
          <w:trHeight w:val="300"/>
        </w:trPr>
        <w:tc>
          <w:tcPr>
            <w:tcW w:w="848" w:type="pct"/>
            <w:vMerge/>
            <w:tcBorders>
              <w:top w:val="nil"/>
              <w:left w:val="single" w:sz="4" w:space="0" w:color="auto"/>
              <w:bottom w:val="single" w:sz="4" w:space="0" w:color="auto"/>
              <w:right w:val="single" w:sz="4" w:space="0" w:color="auto"/>
            </w:tcBorders>
            <w:vAlign w:val="center"/>
            <w:hideMark/>
          </w:tcPr>
          <w:p w14:paraId="06128C04" w14:textId="77777777" w:rsidR="00E3750C" w:rsidRPr="00AF1B22" w:rsidRDefault="00E3750C" w:rsidP="00047864">
            <w:pPr>
              <w:spacing w:after="0" w:line="240" w:lineRule="auto"/>
              <w:rPr>
                <w:rFonts w:ascii="Arial" w:eastAsia="Times New Roman" w:hAnsi="Arial" w:cs="Arial"/>
                <w:color w:val="000000"/>
                <w:sz w:val="18"/>
                <w:szCs w:val="18"/>
                <w:lang w:eastAsia="sl-SI"/>
              </w:rPr>
            </w:pPr>
          </w:p>
        </w:tc>
        <w:tc>
          <w:tcPr>
            <w:tcW w:w="462" w:type="pct"/>
            <w:tcBorders>
              <w:top w:val="nil"/>
              <w:left w:val="nil"/>
              <w:bottom w:val="single" w:sz="4" w:space="0" w:color="auto"/>
              <w:right w:val="single" w:sz="4" w:space="0" w:color="auto"/>
            </w:tcBorders>
            <w:shd w:val="clear" w:color="auto" w:fill="auto"/>
            <w:vAlign w:val="center"/>
            <w:hideMark/>
          </w:tcPr>
          <w:p w14:paraId="10923645"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72</w:t>
            </w:r>
          </w:p>
        </w:tc>
        <w:tc>
          <w:tcPr>
            <w:tcW w:w="1933" w:type="pct"/>
            <w:tcBorders>
              <w:top w:val="nil"/>
              <w:left w:val="nil"/>
              <w:bottom w:val="single" w:sz="4" w:space="0" w:color="auto"/>
              <w:right w:val="single" w:sz="4" w:space="0" w:color="auto"/>
            </w:tcBorders>
            <w:shd w:val="clear" w:color="auto" w:fill="auto"/>
            <w:vAlign w:val="center"/>
            <w:hideMark/>
          </w:tcPr>
          <w:p w14:paraId="5438AD1D"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Storitve informacijske tehnologije: svetovanje, razvoj programske opreme, internet in podpora</w:t>
            </w:r>
          </w:p>
        </w:tc>
        <w:tc>
          <w:tcPr>
            <w:tcW w:w="540" w:type="pct"/>
            <w:tcBorders>
              <w:top w:val="nil"/>
              <w:left w:val="nil"/>
              <w:bottom w:val="single" w:sz="4" w:space="0" w:color="auto"/>
              <w:right w:val="single" w:sz="4" w:space="0" w:color="auto"/>
            </w:tcBorders>
            <w:shd w:val="clear" w:color="auto" w:fill="auto"/>
            <w:vAlign w:val="center"/>
            <w:hideMark/>
          </w:tcPr>
          <w:p w14:paraId="1D560648" w14:textId="77777777" w:rsidR="00E3750C" w:rsidRPr="00AF1B22" w:rsidRDefault="00E3750C" w:rsidP="00047864">
            <w:pPr>
              <w:spacing w:after="0" w:line="240" w:lineRule="auto"/>
              <w:jc w:val="right"/>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20</w:t>
            </w:r>
          </w:p>
        </w:tc>
        <w:tc>
          <w:tcPr>
            <w:tcW w:w="1217" w:type="pct"/>
            <w:tcBorders>
              <w:top w:val="nil"/>
              <w:left w:val="nil"/>
              <w:bottom w:val="single" w:sz="4" w:space="0" w:color="auto"/>
              <w:right w:val="single" w:sz="4" w:space="0" w:color="auto"/>
            </w:tcBorders>
            <w:shd w:val="clear" w:color="auto" w:fill="auto"/>
            <w:vAlign w:val="center"/>
            <w:hideMark/>
          </w:tcPr>
          <w:p w14:paraId="083BBC58" w14:textId="77777777" w:rsidR="00E3750C" w:rsidRPr="00AF1B22" w:rsidRDefault="00E3750C" w:rsidP="00047864">
            <w:pPr>
              <w:spacing w:after="0" w:line="240" w:lineRule="auto"/>
              <w:jc w:val="right"/>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1.942.839</w:t>
            </w:r>
          </w:p>
        </w:tc>
      </w:tr>
      <w:tr w:rsidR="00E3750C" w:rsidRPr="00AF1B22" w14:paraId="1673E18D" w14:textId="77777777" w:rsidTr="00047864">
        <w:trPr>
          <w:trHeight w:val="300"/>
        </w:trPr>
        <w:tc>
          <w:tcPr>
            <w:tcW w:w="848" w:type="pct"/>
            <w:vMerge/>
            <w:tcBorders>
              <w:top w:val="nil"/>
              <w:left w:val="single" w:sz="4" w:space="0" w:color="auto"/>
              <w:bottom w:val="single" w:sz="4" w:space="0" w:color="auto"/>
              <w:right w:val="single" w:sz="4" w:space="0" w:color="auto"/>
            </w:tcBorders>
            <w:vAlign w:val="center"/>
            <w:hideMark/>
          </w:tcPr>
          <w:p w14:paraId="219926B0" w14:textId="77777777" w:rsidR="00E3750C" w:rsidRPr="00AF1B22" w:rsidRDefault="00E3750C" w:rsidP="00047864">
            <w:pPr>
              <w:spacing w:after="0" w:line="240" w:lineRule="auto"/>
              <w:rPr>
                <w:rFonts w:ascii="Arial" w:eastAsia="Times New Roman" w:hAnsi="Arial" w:cs="Arial"/>
                <w:color w:val="000000"/>
                <w:sz w:val="18"/>
                <w:szCs w:val="18"/>
                <w:lang w:eastAsia="sl-SI"/>
              </w:rPr>
            </w:pPr>
          </w:p>
        </w:tc>
        <w:tc>
          <w:tcPr>
            <w:tcW w:w="462" w:type="pct"/>
            <w:tcBorders>
              <w:top w:val="nil"/>
              <w:left w:val="nil"/>
              <w:bottom w:val="single" w:sz="4" w:space="0" w:color="auto"/>
              <w:right w:val="single" w:sz="4" w:space="0" w:color="auto"/>
            </w:tcBorders>
            <w:shd w:val="clear" w:color="auto" w:fill="auto"/>
            <w:vAlign w:val="center"/>
            <w:hideMark/>
          </w:tcPr>
          <w:p w14:paraId="0B6E02FC"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30</w:t>
            </w:r>
          </w:p>
        </w:tc>
        <w:tc>
          <w:tcPr>
            <w:tcW w:w="1933" w:type="pct"/>
            <w:tcBorders>
              <w:top w:val="nil"/>
              <w:left w:val="nil"/>
              <w:bottom w:val="single" w:sz="4" w:space="0" w:color="auto"/>
              <w:right w:val="single" w:sz="4" w:space="0" w:color="auto"/>
            </w:tcBorders>
            <w:shd w:val="clear" w:color="auto" w:fill="auto"/>
            <w:vAlign w:val="center"/>
            <w:hideMark/>
          </w:tcPr>
          <w:p w14:paraId="1675373F"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Pisarniški in računski stroji, oprema in potrebščine, razen pohištva in programskih paketov</w:t>
            </w:r>
          </w:p>
        </w:tc>
        <w:tc>
          <w:tcPr>
            <w:tcW w:w="540" w:type="pct"/>
            <w:tcBorders>
              <w:top w:val="nil"/>
              <w:left w:val="nil"/>
              <w:bottom w:val="single" w:sz="4" w:space="0" w:color="auto"/>
              <w:right w:val="single" w:sz="4" w:space="0" w:color="auto"/>
            </w:tcBorders>
            <w:shd w:val="clear" w:color="auto" w:fill="auto"/>
            <w:vAlign w:val="center"/>
            <w:hideMark/>
          </w:tcPr>
          <w:p w14:paraId="29D51A1F" w14:textId="77777777" w:rsidR="00E3750C" w:rsidRPr="00AF1B22" w:rsidRDefault="00E3750C" w:rsidP="00047864">
            <w:pPr>
              <w:spacing w:after="0" w:line="240" w:lineRule="auto"/>
              <w:jc w:val="right"/>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13</w:t>
            </w:r>
          </w:p>
        </w:tc>
        <w:tc>
          <w:tcPr>
            <w:tcW w:w="1217" w:type="pct"/>
            <w:tcBorders>
              <w:top w:val="nil"/>
              <w:left w:val="nil"/>
              <w:bottom w:val="single" w:sz="4" w:space="0" w:color="auto"/>
              <w:right w:val="single" w:sz="4" w:space="0" w:color="auto"/>
            </w:tcBorders>
            <w:shd w:val="clear" w:color="auto" w:fill="auto"/>
            <w:vAlign w:val="center"/>
            <w:hideMark/>
          </w:tcPr>
          <w:p w14:paraId="6F57CD82" w14:textId="77777777" w:rsidR="00E3750C" w:rsidRPr="00AF1B22" w:rsidRDefault="00E3750C" w:rsidP="00047864">
            <w:pPr>
              <w:spacing w:after="0" w:line="240" w:lineRule="auto"/>
              <w:jc w:val="right"/>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519.899</w:t>
            </w:r>
          </w:p>
        </w:tc>
      </w:tr>
      <w:tr w:rsidR="00E3750C" w:rsidRPr="00AF1B22" w14:paraId="5F770360" w14:textId="77777777" w:rsidTr="00047864">
        <w:trPr>
          <w:trHeight w:val="300"/>
        </w:trPr>
        <w:tc>
          <w:tcPr>
            <w:tcW w:w="84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6A0924B"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Javni zavodi</w:t>
            </w:r>
          </w:p>
        </w:tc>
        <w:tc>
          <w:tcPr>
            <w:tcW w:w="462" w:type="pct"/>
            <w:tcBorders>
              <w:top w:val="nil"/>
              <w:left w:val="nil"/>
              <w:bottom w:val="single" w:sz="4" w:space="0" w:color="auto"/>
              <w:right w:val="single" w:sz="4" w:space="0" w:color="auto"/>
            </w:tcBorders>
            <w:shd w:val="clear" w:color="auto" w:fill="auto"/>
            <w:vAlign w:val="center"/>
            <w:hideMark/>
          </w:tcPr>
          <w:p w14:paraId="091950AB"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33</w:t>
            </w:r>
          </w:p>
        </w:tc>
        <w:tc>
          <w:tcPr>
            <w:tcW w:w="1933" w:type="pct"/>
            <w:tcBorders>
              <w:top w:val="nil"/>
              <w:left w:val="nil"/>
              <w:bottom w:val="single" w:sz="4" w:space="0" w:color="auto"/>
              <w:right w:val="single" w:sz="4" w:space="0" w:color="auto"/>
            </w:tcBorders>
            <w:shd w:val="clear" w:color="auto" w:fill="auto"/>
            <w:vAlign w:val="center"/>
            <w:hideMark/>
          </w:tcPr>
          <w:p w14:paraId="2B3868B2"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Medicinska oprema, farmacevtski izdelki in izdelki za osebno nego</w:t>
            </w:r>
          </w:p>
        </w:tc>
        <w:tc>
          <w:tcPr>
            <w:tcW w:w="540" w:type="pct"/>
            <w:tcBorders>
              <w:top w:val="nil"/>
              <w:left w:val="nil"/>
              <w:bottom w:val="single" w:sz="4" w:space="0" w:color="auto"/>
              <w:right w:val="single" w:sz="4" w:space="0" w:color="auto"/>
            </w:tcBorders>
            <w:shd w:val="clear" w:color="auto" w:fill="auto"/>
            <w:vAlign w:val="center"/>
            <w:hideMark/>
          </w:tcPr>
          <w:p w14:paraId="2E152D76" w14:textId="77777777" w:rsidR="00E3750C" w:rsidRPr="00AF1B22" w:rsidRDefault="00E3750C" w:rsidP="00047864">
            <w:pPr>
              <w:spacing w:after="0" w:line="240" w:lineRule="auto"/>
              <w:jc w:val="right"/>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4.024</w:t>
            </w:r>
          </w:p>
        </w:tc>
        <w:tc>
          <w:tcPr>
            <w:tcW w:w="1217" w:type="pct"/>
            <w:tcBorders>
              <w:top w:val="nil"/>
              <w:left w:val="nil"/>
              <w:bottom w:val="single" w:sz="4" w:space="0" w:color="auto"/>
              <w:right w:val="single" w:sz="4" w:space="0" w:color="auto"/>
            </w:tcBorders>
            <w:shd w:val="clear" w:color="auto" w:fill="auto"/>
            <w:vAlign w:val="center"/>
            <w:hideMark/>
          </w:tcPr>
          <w:p w14:paraId="7D7DD590" w14:textId="77777777" w:rsidR="00E3750C" w:rsidRPr="00AF1B22" w:rsidRDefault="00E3750C" w:rsidP="00047864">
            <w:pPr>
              <w:spacing w:after="0" w:line="240" w:lineRule="auto"/>
              <w:jc w:val="right"/>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693.550.604</w:t>
            </w:r>
          </w:p>
        </w:tc>
      </w:tr>
      <w:tr w:rsidR="00E3750C" w:rsidRPr="00AF1B22" w14:paraId="5C17BF1D" w14:textId="77777777" w:rsidTr="00047864">
        <w:trPr>
          <w:trHeight w:val="300"/>
        </w:trPr>
        <w:tc>
          <w:tcPr>
            <w:tcW w:w="848" w:type="pct"/>
            <w:vMerge/>
            <w:tcBorders>
              <w:top w:val="nil"/>
              <w:left w:val="single" w:sz="4" w:space="0" w:color="auto"/>
              <w:bottom w:val="single" w:sz="4" w:space="0" w:color="auto"/>
              <w:right w:val="single" w:sz="4" w:space="0" w:color="auto"/>
            </w:tcBorders>
            <w:vAlign w:val="center"/>
            <w:hideMark/>
          </w:tcPr>
          <w:p w14:paraId="73C962B2" w14:textId="77777777" w:rsidR="00E3750C" w:rsidRPr="00AF1B22" w:rsidRDefault="00E3750C" w:rsidP="00047864">
            <w:pPr>
              <w:spacing w:after="0" w:line="240" w:lineRule="auto"/>
              <w:rPr>
                <w:rFonts w:ascii="Arial" w:eastAsia="Times New Roman" w:hAnsi="Arial" w:cs="Arial"/>
                <w:color w:val="000000"/>
                <w:sz w:val="18"/>
                <w:szCs w:val="18"/>
                <w:lang w:eastAsia="sl-SI"/>
              </w:rPr>
            </w:pPr>
          </w:p>
        </w:tc>
        <w:tc>
          <w:tcPr>
            <w:tcW w:w="462" w:type="pct"/>
            <w:tcBorders>
              <w:top w:val="nil"/>
              <w:left w:val="nil"/>
              <w:bottom w:val="single" w:sz="4" w:space="0" w:color="auto"/>
              <w:right w:val="single" w:sz="4" w:space="0" w:color="auto"/>
            </w:tcBorders>
            <w:shd w:val="clear" w:color="auto" w:fill="auto"/>
            <w:vAlign w:val="center"/>
            <w:hideMark/>
          </w:tcPr>
          <w:p w14:paraId="0FDC4B4A"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15</w:t>
            </w:r>
          </w:p>
        </w:tc>
        <w:tc>
          <w:tcPr>
            <w:tcW w:w="1933" w:type="pct"/>
            <w:tcBorders>
              <w:top w:val="nil"/>
              <w:left w:val="nil"/>
              <w:bottom w:val="single" w:sz="4" w:space="0" w:color="auto"/>
              <w:right w:val="single" w:sz="4" w:space="0" w:color="auto"/>
            </w:tcBorders>
            <w:shd w:val="clear" w:color="auto" w:fill="auto"/>
            <w:vAlign w:val="center"/>
            <w:hideMark/>
          </w:tcPr>
          <w:p w14:paraId="11411CD8"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Živila, pijače, tobačni izdelki in z njimi povezani izdelki</w:t>
            </w:r>
          </w:p>
        </w:tc>
        <w:tc>
          <w:tcPr>
            <w:tcW w:w="540" w:type="pct"/>
            <w:tcBorders>
              <w:top w:val="nil"/>
              <w:left w:val="nil"/>
              <w:bottom w:val="single" w:sz="4" w:space="0" w:color="auto"/>
              <w:right w:val="single" w:sz="4" w:space="0" w:color="auto"/>
            </w:tcBorders>
            <w:shd w:val="clear" w:color="auto" w:fill="auto"/>
            <w:vAlign w:val="center"/>
            <w:hideMark/>
          </w:tcPr>
          <w:p w14:paraId="09FC3E79" w14:textId="77777777" w:rsidR="00E3750C" w:rsidRPr="00AF1B22" w:rsidRDefault="00E3750C" w:rsidP="00047864">
            <w:pPr>
              <w:spacing w:after="0" w:line="240" w:lineRule="auto"/>
              <w:jc w:val="right"/>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3.414</w:t>
            </w:r>
          </w:p>
        </w:tc>
        <w:tc>
          <w:tcPr>
            <w:tcW w:w="1217" w:type="pct"/>
            <w:tcBorders>
              <w:top w:val="nil"/>
              <w:left w:val="nil"/>
              <w:bottom w:val="single" w:sz="4" w:space="0" w:color="auto"/>
              <w:right w:val="single" w:sz="4" w:space="0" w:color="auto"/>
            </w:tcBorders>
            <w:shd w:val="clear" w:color="auto" w:fill="auto"/>
            <w:vAlign w:val="center"/>
            <w:hideMark/>
          </w:tcPr>
          <w:p w14:paraId="2CF55DAF" w14:textId="77777777" w:rsidR="00E3750C" w:rsidRPr="00AF1B22" w:rsidRDefault="00E3750C" w:rsidP="00047864">
            <w:pPr>
              <w:spacing w:after="0" w:line="240" w:lineRule="auto"/>
              <w:jc w:val="right"/>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91.359.846</w:t>
            </w:r>
          </w:p>
        </w:tc>
      </w:tr>
      <w:tr w:rsidR="00E3750C" w:rsidRPr="00AF1B22" w14:paraId="0B9E3248" w14:textId="77777777" w:rsidTr="00047864">
        <w:trPr>
          <w:trHeight w:val="300"/>
        </w:trPr>
        <w:tc>
          <w:tcPr>
            <w:tcW w:w="848" w:type="pct"/>
            <w:vMerge/>
            <w:tcBorders>
              <w:top w:val="nil"/>
              <w:left w:val="single" w:sz="4" w:space="0" w:color="auto"/>
              <w:bottom w:val="single" w:sz="4" w:space="0" w:color="auto"/>
              <w:right w:val="single" w:sz="4" w:space="0" w:color="auto"/>
            </w:tcBorders>
            <w:vAlign w:val="center"/>
            <w:hideMark/>
          </w:tcPr>
          <w:p w14:paraId="160BB2C0" w14:textId="77777777" w:rsidR="00E3750C" w:rsidRPr="00AF1B22" w:rsidRDefault="00E3750C" w:rsidP="00047864">
            <w:pPr>
              <w:spacing w:after="0" w:line="240" w:lineRule="auto"/>
              <w:rPr>
                <w:rFonts w:ascii="Arial" w:eastAsia="Times New Roman" w:hAnsi="Arial" w:cs="Arial"/>
                <w:color w:val="000000"/>
                <w:sz w:val="18"/>
                <w:szCs w:val="18"/>
                <w:lang w:eastAsia="sl-SI"/>
              </w:rPr>
            </w:pPr>
          </w:p>
        </w:tc>
        <w:tc>
          <w:tcPr>
            <w:tcW w:w="462" w:type="pct"/>
            <w:tcBorders>
              <w:top w:val="nil"/>
              <w:left w:val="nil"/>
              <w:bottom w:val="single" w:sz="4" w:space="0" w:color="auto"/>
              <w:right w:val="single" w:sz="4" w:space="0" w:color="auto"/>
            </w:tcBorders>
            <w:shd w:val="clear" w:color="auto" w:fill="auto"/>
            <w:vAlign w:val="center"/>
            <w:hideMark/>
          </w:tcPr>
          <w:p w14:paraId="59D522DA"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38</w:t>
            </w:r>
          </w:p>
        </w:tc>
        <w:tc>
          <w:tcPr>
            <w:tcW w:w="1933" w:type="pct"/>
            <w:tcBorders>
              <w:top w:val="nil"/>
              <w:left w:val="nil"/>
              <w:bottom w:val="single" w:sz="4" w:space="0" w:color="auto"/>
              <w:right w:val="single" w:sz="4" w:space="0" w:color="auto"/>
            </w:tcBorders>
            <w:shd w:val="clear" w:color="auto" w:fill="auto"/>
            <w:vAlign w:val="center"/>
            <w:hideMark/>
          </w:tcPr>
          <w:p w14:paraId="60A6DA63"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Laboratorijska, optična in precizna oprema (razen očal)</w:t>
            </w:r>
          </w:p>
        </w:tc>
        <w:tc>
          <w:tcPr>
            <w:tcW w:w="540" w:type="pct"/>
            <w:tcBorders>
              <w:top w:val="nil"/>
              <w:left w:val="nil"/>
              <w:bottom w:val="single" w:sz="4" w:space="0" w:color="auto"/>
              <w:right w:val="single" w:sz="4" w:space="0" w:color="auto"/>
            </w:tcBorders>
            <w:shd w:val="clear" w:color="auto" w:fill="auto"/>
            <w:vAlign w:val="center"/>
            <w:hideMark/>
          </w:tcPr>
          <w:p w14:paraId="7C14F5F5" w14:textId="77777777" w:rsidR="00E3750C" w:rsidRPr="00AF1B22" w:rsidRDefault="00E3750C" w:rsidP="00047864">
            <w:pPr>
              <w:spacing w:after="0" w:line="240" w:lineRule="auto"/>
              <w:jc w:val="right"/>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269</w:t>
            </w:r>
          </w:p>
        </w:tc>
        <w:tc>
          <w:tcPr>
            <w:tcW w:w="1217" w:type="pct"/>
            <w:tcBorders>
              <w:top w:val="nil"/>
              <w:left w:val="nil"/>
              <w:bottom w:val="single" w:sz="4" w:space="0" w:color="auto"/>
              <w:right w:val="single" w:sz="4" w:space="0" w:color="auto"/>
            </w:tcBorders>
            <w:shd w:val="clear" w:color="auto" w:fill="auto"/>
            <w:vAlign w:val="center"/>
            <w:hideMark/>
          </w:tcPr>
          <w:p w14:paraId="4B2CAAB8" w14:textId="77777777" w:rsidR="00E3750C" w:rsidRPr="00AF1B22" w:rsidRDefault="00E3750C" w:rsidP="00047864">
            <w:pPr>
              <w:spacing w:after="0" w:line="240" w:lineRule="auto"/>
              <w:jc w:val="right"/>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32.571.555</w:t>
            </w:r>
          </w:p>
        </w:tc>
      </w:tr>
      <w:tr w:rsidR="00E3750C" w:rsidRPr="00AF1B22" w14:paraId="7E08D8F5" w14:textId="77777777" w:rsidTr="00047864">
        <w:trPr>
          <w:trHeight w:val="300"/>
        </w:trPr>
        <w:tc>
          <w:tcPr>
            <w:tcW w:w="84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EFBBB0A" w14:textId="77777777" w:rsidR="00E3750C"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Javni gospodarski</w:t>
            </w:r>
          </w:p>
          <w:p w14:paraId="2A434208"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zavodi</w:t>
            </w:r>
          </w:p>
        </w:tc>
        <w:tc>
          <w:tcPr>
            <w:tcW w:w="462" w:type="pct"/>
            <w:tcBorders>
              <w:top w:val="nil"/>
              <w:left w:val="nil"/>
              <w:bottom w:val="single" w:sz="4" w:space="0" w:color="auto"/>
              <w:right w:val="single" w:sz="4" w:space="0" w:color="auto"/>
            </w:tcBorders>
            <w:shd w:val="clear" w:color="auto" w:fill="auto"/>
            <w:vAlign w:val="center"/>
            <w:hideMark/>
          </w:tcPr>
          <w:p w14:paraId="7148E6C0"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15</w:t>
            </w:r>
          </w:p>
        </w:tc>
        <w:tc>
          <w:tcPr>
            <w:tcW w:w="1933" w:type="pct"/>
            <w:tcBorders>
              <w:top w:val="nil"/>
              <w:left w:val="nil"/>
              <w:bottom w:val="single" w:sz="4" w:space="0" w:color="auto"/>
              <w:right w:val="single" w:sz="4" w:space="0" w:color="auto"/>
            </w:tcBorders>
            <w:shd w:val="clear" w:color="auto" w:fill="auto"/>
            <w:vAlign w:val="center"/>
            <w:hideMark/>
          </w:tcPr>
          <w:p w14:paraId="14C93649"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Živila, pijače, tobačni izdelki in z njimi povezani izdelki</w:t>
            </w:r>
          </w:p>
        </w:tc>
        <w:tc>
          <w:tcPr>
            <w:tcW w:w="540" w:type="pct"/>
            <w:tcBorders>
              <w:top w:val="nil"/>
              <w:left w:val="nil"/>
              <w:bottom w:val="single" w:sz="4" w:space="0" w:color="auto"/>
              <w:right w:val="single" w:sz="4" w:space="0" w:color="auto"/>
            </w:tcBorders>
            <w:shd w:val="clear" w:color="auto" w:fill="auto"/>
            <w:vAlign w:val="center"/>
            <w:hideMark/>
          </w:tcPr>
          <w:p w14:paraId="06343C9B" w14:textId="77777777" w:rsidR="00E3750C" w:rsidRPr="00AF1B22" w:rsidRDefault="00E3750C" w:rsidP="00047864">
            <w:pPr>
              <w:spacing w:after="0" w:line="240" w:lineRule="auto"/>
              <w:jc w:val="right"/>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49</w:t>
            </w:r>
          </w:p>
        </w:tc>
        <w:tc>
          <w:tcPr>
            <w:tcW w:w="1217" w:type="pct"/>
            <w:tcBorders>
              <w:top w:val="nil"/>
              <w:left w:val="nil"/>
              <w:bottom w:val="single" w:sz="4" w:space="0" w:color="auto"/>
              <w:right w:val="single" w:sz="4" w:space="0" w:color="auto"/>
            </w:tcBorders>
            <w:shd w:val="clear" w:color="auto" w:fill="auto"/>
            <w:vAlign w:val="center"/>
            <w:hideMark/>
          </w:tcPr>
          <w:p w14:paraId="1D05AE9F" w14:textId="77777777" w:rsidR="00E3750C" w:rsidRPr="00AF1B22" w:rsidRDefault="00E3750C" w:rsidP="00047864">
            <w:pPr>
              <w:spacing w:after="0" w:line="240" w:lineRule="auto"/>
              <w:jc w:val="right"/>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1.349.487</w:t>
            </w:r>
          </w:p>
        </w:tc>
      </w:tr>
      <w:tr w:rsidR="00E3750C" w:rsidRPr="00AF1B22" w14:paraId="689044A6" w14:textId="77777777" w:rsidTr="00047864">
        <w:trPr>
          <w:trHeight w:val="300"/>
        </w:trPr>
        <w:tc>
          <w:tcPr>
            <w:tcW w:w="848" w:type="pct"/>
            <w:vMerge/>
            <w:tcBorders>
              <w:top w:val="nil"/>
              <w:left w:val="single" w:sz="4" w:space="0" w:color="auto"/>
              <w:bottom w:val="single" w:sz="4" w:space="0" w:color="auto"/>
              <w:right w:val="single" w:sz="4" w:space="0" w:color="auto"/>
            </w:tcBorders>
            <w:vAlign w:val="center"/>
            <w:hideMark/>
          </w:tcPr>
          <w:p w14:paraId="34782EFC" w14:textId="77777777" w:rsidR="00E3750C" w:rsidRPr="00AF1B22" w:rsidRDefault="00E3750C" w:rsidP="00047864">
            <w:pPr>
              <w:spacing w:after="0" w:line="240" w:lineRule="auto"/>
              <w:rPr>
                <w:rFonts w:ascii="Arial" w:eastAsia="Times New Roman" w:hAnsi="Arial" w:cs="Arial"/>
                <w:color w:val="000000"/>
                <w:sz w:val="18"/>
                <w:szCs w:val="18"/>
                <w:lang w:eastAsia="sl-SI"/>
              </w:rPr>
            </w:pPr>
          </w:p>
        </w:tc>
        <w:tc>
          <w:tcPr>
            <w:tcW w:w="462" w:type="pct"/>
            <w:tcBorders>
              <w:top w:val="nil"/>
              <w:left w:val="nil"/>
              <w:bottom w:val="single" w:sz="4" w:space="0" w:color="auto"/>
              <w:right w:val="single" w:sz="4" w:space="0" w:color="auto"/>
            </w:tcBorders>
            <w:shd w:val="clear" w:color="auto" w:fill="auto"/>
            <w:vAlign w:val="center"/>
            <w:hideMark/>
          </w:tcPr>
          <w:p w14:paraId="01AF3651"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03</w:t>
            </w:r>
          </w:p>
        </w:tc>
        <w:tc>
          <w:tcPr>
            <w:tcW w:w="1933" w:type="pct"/>
            <w:tcBorders>
              <w:top w:val="nil"/>
              <w:left w:val="nil"/>
              <w:bottom w:val="single" w:sz="4" w:space="0" w:color="auto"/>
              <w:right w:val="single" w:sz="4" w:space="0" w:color="auto"/>
            </w:tcBorders>
            <w:shd w:val="clear" w:color="auto" w:fill="auto"/>
            <w:vAlign w:val="center"/>
            <w:hideMark/>
          </w:tcPr>
          <w:p w14:paraId="39C380D1"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Kmetijski, ribiški, gozdarski in z njimi povezani proizvodi</w:t>
            </w:r>
          </w:p>
        </w:tc>
        <w:tc>
          <w:tcPr>
            <w:tcW w:w="540" w:type="pct"/>
            <w:tcBorders>
              <w:top w:val="nil"/>
              <w:left w:val="nil"/>
              <w:bottom w:val="single" w:sz="4" w:space="0" w:color="auto"/>
              <w:right w:val="single" w:sz="4" w:space="0" w:color="auto"/>
            </w:tcBorders>
            <w:shd w:val="clear" w:color="auto" w:fill="auto"/>
            <w:vAlign w:val="center"/>
            <w:hideMark/>
          </w:tcPr>
          <w:p w14:paraId="1C319F08" w14:textId="77777777" w:rsidR="00E3750C" w:rsidRPr="00AF1B22" w:rsidRDefault="00E3750C" w:rsidP="00047864">
            <w:pPr>
              <w:spacing w:after="0" w:line="240" w:lineRule="auto"/>
              <w:jc w:val="right"/>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34</w:t>
            </w:r>
          </w:p>
        </w:tc>
        <w:tc>
          <w:tcPr>
            <w:tcW w:w="1217" w:type="pct"/>
            <w:tcBorders>
              <w:top w:val="nil"/>
              <w:left w:val="nil"/>
              <w:bottom w:val="single" w:sz="4" w:space="0" w:color="auto"/>
              <w:right w:val="single" w:sz="4" w:space="0" w:color="auto"/>
            </w:tcBorders>
            <w:shd w:val="clear" w:color="auto" w:fill="auto"/>
            <w:vAlign w:val="center"/>
            <w:hideMark/>
          </w:tcPr>
          <w:p w14:paraId="36AEBCDD" w14:textId="77777777" w:rsidR="00E3750C" w:rsidRPr="00AF1B22" w:rsidRDefault="00E3750C" w:rsidP="00047864">
            <w:pPr>
              <w:spacing w:after="0" w:line="240" w:lineRule="auto"/>
              <w:jc w:val="right"/>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621.468</w:t>
            </w:r>
          </w:p>
        </w:tc>
      </w:tr>
      <w:tr w:rsidR="00E3750C" w:rsidRPr="00AF1B22" w14:paraId="438A39B9" w14:textId="77777777" w:rsidTr="00047864">
        <w:trPr>
          <w:trHeight w:val="300"/>
        </w:trPr>
        <w:tc>
          <w:tcPr>
            <w:tcW w:w="848" w:type="pct"/>
            <w:vMerge/>
            <w:tcBorders>
              <w:top w:val="nil"/>
              <w:left w:val="single" w:sz="4" w:space="0" w:color="auto"/>
              <w:bottom w:val="single" w:sz="4" w:space="0" w:color="auto"/>
              <w:right w:val="single" w:sz="4" w:space="0" w:color="auto"/>
            </w:tcBorders>
            <w:vAlign w:val="center"/>
            <w:hideMark/>
          </w:tcPr>
          <w:p w14:paraId="01A67065" w14:textId="77777777" w:rsidR="00E3750C" w:rsidRPr="00AF1B22" w:rsidRDefault="00E3750C" w:rsidP="00047864">
            <w:pPr>
              <w:spacing w:after="0" w:line="240" w:lineRule="auto"/>
              <w:rPr>
                <w:rFonts w:ascii="Arial" w:eastAsia="Times New Roman" w:hAnsi="Arial" w:cs="Arial"/>
                <w:color w:val="000000"/>
                <w:sz w:val="18"/>
                <w:szCs w:val="18"/>
                <w:lang w:eastAsia="sl-SI"/>
              </w:rPr>
            </w:pPr>
          </w:p>
        </w:tc>
        <w:tc>
          <w:tcPr>
            <w:tcW w:w="462" w:type="pct"/>
            <w:tcBorders>
              <w:top w:val="nil"/>
              <w:left w:val="nil"/>
              <w:bottom w:val="single" w:sz="4" w:space="0" w:color="auto"/>
              <w:right w:val="single" w:sz="4" w:space="0" w:color="auto"/>
            </w:tcBorders>
            <w:shd w:val="clear" w:color="auto" w:fill="auto"/>
            <w:vAlign w:val="center"/>
            <w:hideMark/>
          </w:tcPr>
          <w:p w14:paraId="69328F3B"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30</w:t>
            </w:r>
          </w:p>
        </w:tc>
        <w:tc>
          <w:tcPr>
            <w:tcW w:w="1933" w:type="pct"/>
            <w:tcBorders>
              <w:top w:val="nil"/>
              <w:left w:val="nil"/>
              <w:bottom w:val="single" w:sz="4" w:space="0" w:color="auto"/>
              <w:right w:val="single" w:sz="4" w:space="0" w:color="auto"/>
            </w:tcBorders>
            <w:shd w:val="clear" w:color="auto" w:fill="auto"/>
            <w:vAlign w:val="center"/>
            <w:hideMark/>
          </w:tcPr>
          <w:p w14:paraId="53ADC1A5"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Pisarniški in računski stroji, oprema in potrebščine, razen pohištva in programskih paketov</w:t>
            </w:r>
          </w:p>
        </w:tc>
        <w:tc>
          <w:tcPr>
            <w:tcW w:w="540" w:type="pct"/>
            <w:tcBorders>
              <w:top w:val="nil"/>
              <w:left w:val="nil"/>
              <w:bottom w:val="single" w:sz="4" w:space="0" w:color="auto"/>
              <w:right w:val="single" w:sz="4" w:space="0" w:color="auto"/>
            </w:tcBorders>
            <w:shd w:val="clear" w:color="auto" w:fill="auto"/>
            <w:vAlign w:val="center"/>
            <w:hideMark/>
          </w:tcPr>
          <w:p w14:paraId="4BEABBDF" w14:textId="77777777" w:rsidR="00E3750C" w:rsidRPr="00AF1B22" w:rsidRDefault="00E3750C" w:rsidP="00047864">
            <w:pPr>
              <w:spacing w:after="0" w:line="240" w:lineRule="auto"/>
              <w:jc w:val="right"/>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18</w:t>
            </w:r>
          </w:p>
        </w:tc>
        <w:tc>
          <w:tcPr>
            <w:tcW w:w="1217" w:type="pct"/>
            <w:tcBorders>
              <w:top w:val="nil"/>
              <w:left w:val="nil"/>
              <w:bottom w:val="single" w:sz="4" w:space="0" w:color="auto"/>
              <w:right w:val="single" w:sz="4" w:space="0" w:color="auto"/>
            </w:tcBorders>
            <w:shd w:val="clear" w:color="auto" w:fill="auto"/>
            <w:vAlign w:val="center"/>
            <w:hideMark/>
          </w:tcPr>
          <w:p w14:paraId="07362731" w14:textId="77777777" w:rsidR="00E3750C" w:rsidRPr="00AF1B22" w:rsidRDefault="00E3750C" w:rsidP="00047864">
            <w:pPr>
              <w:spacing w:after="0" w:line="240" w:lineRule="auto"/>
              <w:jc w:val="right"/>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316.154</w:t>
            </w:r>
          </w:p>
        </w:tc>
      </w:tr>
      <w:tr w:rsidR="00E3750C" w:rsidRPr="00AF1B22" w14:paraId="0A579CB2" w14:textId="77777777" w:rsidTr="00047864">
        <w:trPr>
          <w:trHeight w:val="300"/>
        </w:trPr>
        <w:tc>
          <w:tcPr>
            <w:tcW w:w="848" w:type="pct"/>
            <w:vMerge w:val="restart"/>
            <w:tcBorders>
              <w:top w:val="nil"/>
              <w:left w:val="single" w:sz="4" w:space="0" w:color="auto"/>
              <w:bottom w:val="single" w:sz="4" w:space="0" w:color="auto"/>
              <w:right w:val="single" w:sz="4" w:space="0" w:color="auto"/>
            </w:tcBorders>
            <w:shd w:val="clear" w:color="auto" w:fill="auto"/>
            <w:vAlign w:val="center"/>
            <w:hideMark/>
          </w:tcPr>
          <w:p w14:paraId="28D54D84" w14:textId="77777777" w:rsidR="00E3750C"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 xml:space="preserve">Drugi naročniki </w:t>
            </w:r>
          </w:p>
          <w:p w14:paraId="1A0B9C98"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(osebe javnega prava, javna podjetja, subjekt s posebnimi infrastrukturnimi pravicami)</w:t>
            </w:r>
          </w:p>
        </w:tc>
        <w:tc>
          <w:tcPr>
            <w:tcW w:w="462" w:type="pct"/>
            <w:tcBorders>
              <w:top w:val="nil"/>
              <w:left w:val="nil"/>
              <w:bottom w:val="single" w:sz="4" w:space="0" w:color="auto"/>
              <w:right w:val="single" w:sz="4" w:space="0" w:color="auto"/>
            </w:tcBorders>
            <w:shd w:val="clear" w:color="auto" w:fill="auto"/>
            <w:vAlign w:val="center"/>
            <w:hideMark/>
          </w:tcPr>
          <w:p w14:paraId="4A832C50"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34</w:t>
            </w:r>
          </w:p>
        </w:tc>
        <w:tc>
          <w:tcPr>
            <w:tcW w:w="1933" w:type="pct"/>
            <w:tcBorders>
              <w:top w:val="nil"/>
              <w:left w:val="nil"/>
              <w:bottom w:val="single" w:sz="4" w:space="0" w:color="auto"/>
              <w:right w:val="single" w:sz="4" w:space="0" w:color="auto"/>
            </w:tcBorders>
            <w:shd w:val="clear" w:color="auto" w:fill="auto"/>
            <w:vAlign w:val="center"/>
            <w:hideMark/>
          </w:tcPr>
          <w:p w14:paraId="2547E2A3"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Prevozna sredstva in dodatni proizvodi za promet</w:t>
            </w:r>
          </w:p>
        </w:tc>
        <w:tc>
          <w:tcPr>
            <w:tcW w:w="540" w:type="pct"/>
            <w:tcBorders>
              <w:top w:val="nil"/>
              <w:left w:val="nil"/>
              <w:bottom w:val="single" w:sz="4" w:space="0" w:color="auto"/>
              <w:right w:val="single" w:sz="4" w:space="0" w:color="auto"/>
            </w:tcBorders>
            <w:shd w:val="clear" w:color="auto" w:fill="auto"/>
            <w:vAlign w:val="center"/>
            <w:hideMark/>
          </w:tcPr>
          <w:p w14:paraId="51CE5E6E" w14:textId="77777777" w:rsidR="00E3750C" w:rsidRPr="00AF1B22" w:rsidRDefault="00E3750C" w:rsidP="00047864">
            <w:pPr>
              <w:spacing w:after="0" w:line="240" w:lineRule="auto"/>
              <w:jc w:val="right"/>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463</w:t>
            </w:r>
          </w:p>
        </w:tc>
        <w:tc>
          <w:tcPr>
            <w:tcW w:w="1217" w:type="pct"/>
            <w:tcBorders>
              <w:top w:val="nil"/>
              <w:left w:val="nil"/>
              <w:bottom w:val="single" w:sz="4" w:space="0" w:color="auto"/>
              <w:right w:val="single" w:sz="4" w:space="0" w:color="auto"/>
            </w:tcBorders>
            <w:shd w:val="clear" w:color="auto" w:fill="auto"/>
            <w:vAlign w:val="center"/>
            <w:hideMark/>
          </w:tcPr>
          <w:p w14:paraId="75098C48" w14:textId="77777777" w:rsidR="00E3750C" w:rsidRPr="00AF1B22" w:rsidRDefault="00E3750C" w:rsidP="00047864">
            <w:pPr>
              <w:spacing w:after="0" w:line="240" w:lineRule="auto"/>
              <w:jc w:val="right"/>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85.945.631</w:t>
            </w:r>
          </w:p>
        </w:tc>
      </w:tr>
      <w:tr w:rsidR="00E3750C" w:rsidRPr="00AF1B22" w14:paraId="2EB0B91F" w14:textId="77777777" w:rsidTr="00047864">
        <w:trPr>
          <w:trHeight w:val="300"/>
        </w:trPr>
        <w:tc>
          <w:tcPr>
            <w:tcW w:w="848" w:type="pct"/>
            <w:vMerge/>
            <w:tcBorders>
              <w:top w:val="nil"/>
              <w:left w:val="single" w:sz="4" w:space="0" w:color="auto"/>
              <w:bottom w:val="single" w:sz="4" w:space="0" w:color="auto"/>
              <w:right w:val="single" w:sz="4" w:space="0" w:color="auto"/>
            </w:tcBorders>
            <w:vAlign w:val="center"/>
            <w:hideMark/>
          </w:tcPr>
          <w:p w14:paraId="5E2319ED" w14:textId="77777777" w:rsidR="00E3750C" w:rsidRPr="00AF1B22" w:rsidRDefault="00E3750C" w:rsidP="00047864">
            <w:pPr>
              <w:spacing w:after="0" w:line="240" w:lineRule="auto"/>
              <w:rPr>
                <w:rFonts w:ascii="Arial" w:eastAsia="Times New Roman" w:hAnsi="Arial" w:cs="Arial"/>
                <w:color w:val="000000"/>
                <w:sz w:val="18"/>
                <w:szCs w:val="18"/>
                <w:lang w:eastAsia="sl-SI"/>
              </w:rPr>
            </w:pPr>
          </w:p>
        </w:tc>
        <w:tc>
          <w:tcPr>
            <w:tcW w:w="462" w:type="pct"/>
            <w:tcBorders>
              <w:top w:val="nil"/>
              <w:left w:val="nil"/>
              <w:bottom w:val="single" w:sz="4" w:space="0" w:color="auto"/>
              <w:right w:val="single" w:sz="4" w:space="0" w:color="auto"/>
            </w:tcBorders>
            <w:shd w:val="clear" w:color="auto" w:fill="auto"/>
            <w:vAlign w:val="center"/>
            <w:hideMark/>
          </w:tcPr>
          <w:p w14:paraId="03A67AF5"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45</w:t>
            </w:r>
          </w:p>
        </w:tc>
        <w:tc>
          <w:tcPr>
            <w:tcW w:w="1933" w:type="pct"/>
            <w:tcBorders>
              <w:top w:val="nil"/>
              <w:left w:val="nil"/>
              <w:bottom w:val="single" w:sz="4" w:space="0" w:color="auto"/>
              <w:right w:val="single" w:sz="4" w:space="0" w:color="auto"/>
            </w:tcBorders>
            <w:shd w:val="clear" w:color="auto" w:fill="auto"/>
            <w:vAlign w:val="center"/>
            <w:hideMark/>
          </w:tcPr>
          <w:p w14:paraId="24C7C506"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Gradbena dela</w:t>
            </w:r>
          </w:p>
        </w:tc>
        <w:tc>
          <w:tcPr>
            <w:tcW w:w="540" w:type="pct"/>
            <w:tcBorders>
              <w:top w:val="nil"/>
              <w:left w:val="nil"/>
              <w:bottom w:val="single" w:sz="4" w:space="0" w:color="auto"/>
              <w:right w:val="single" w:sz="4" w:space="0" w:color="auto"/>
            </w:tcBorders>
            <w:shd w:val="clear" w:color="auto" w:fill="auto"/>
            <w:vAlign w:val="center"/>
            <w:hideMark/>
          </w:tcPr>
          <w:p w14:paraId="1EDE3D9D" w14:textId="77777777" w:rsidR="00E3750C" w:rsidRPr="00AF1B22" w:rsidRDefault="00E3750C" w:rsidP="00047864">
            <w:pPr>
              <w:spacing w:after="0" w:line="240" w:lineRule="auto"/>
              <w:jc w:val="right"/>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336</w:t>
            </w:r>
          </w:p>
        </w:tc>
        <w:tc>
          <w:tcPr>
            <w:tcW w:w="1217" w:type="pct"/>
            <w:tcBorders>
              <w:top w:val="nil"/>
              <w:left w:val="nil"/>
              <w:bottom w:val="single" w:sz="4" w:space="0" w:color="auto"/>
              <w:right w:val="single" w:sz="4" w:space="0" w:color="auto"/>
            </w:tcBorders>
            <w:shd w:val="clear" w:color="auto" w:fill="auto"/>
            <w:vAlign w:val="center"/>
            <w:hideMark/>
          </w:tcPr>
          <w:p w14:paraId="4EEE7FFC" w14:textId="77777777" w:rsidR="00E3750C" w:rsidRPr="00AF1B22" w:rsidRDefault="00E3750C" w:rsidP="00047864">
            <w:pPr>
              <w:spacing w:after="0" w:line="240" w:lineRule="auto"/>
              <w:jc w:val="right"/>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331.935.700</w:t>
            </w:r>
          </w:p>
        </w:tc>
      </w:tr>
      <w:tr w:rsidR="00E3750C" w:rsidRPr="00AF1B22" w14:paraId="0BF872EF" w14:textId="77777777" w:rsidTr="00047864">
        <w:trPr>
          <w:trHeight w:val="300"/>
        </w:trPr>
        <w:tc>
          <w:tcPr>
            <w:tcW w:w="848" w:type="pct"/>
            <w:vMerge/>
            <w:tcBorders>
              <w:top w:val="nil"/>
              <w:left w:val="single" w:sz="4" w:space="0" w:color="auto"/>
              <w:bottom w:val="single" w:sz="4" w:space="0" w:color="auto"/>
              <w:right w:val="single" w:sz="4" w:space="0" w:color="auto"/>
            </w:tcBorders>
            <w:vAlign w:val="center"/>
            <w:hideMark/>
          </w:tcPr>
          <w:p w14:paraId="4CBA942E" w14:textId="77777777" w:rsidR="00E3750C" w:rsidRPr="00AF1B22" w:rsidRDefault="00E3750C" w:rsidP="00047864">
            <w:pPr>
              <w:spacing w:after="0" w:line="240" w:lineRule="auto"/>
              <w:rPr>
                <w:rFonts w:ascii="Arial" w:eastAsia="Times New Roman" w:hAnsi="Arial" w:cs="Arial"/>
                <w:color w:val="000000"/>
                <w:sz w:val="18"/>
                <w:szCs w:val="18"/>
                <w:lang w:eastAsia="sl-SI"/>
              </w:rPr>
            </w:pPr>
          </w:p>
        </w:tc>
        <w:tc>
          <w:tcPr>
            <w:tcW w:w="462" w:type="pct"/>
            <w:tcBorders>
              <w:top w:val="nil"/>
              <w:left w:val="nil"/>
              <w:bottom w:val="single" w:sz="4" w:space="0" w:color="auto"/>
              <w:right w:val="single" w:sz="4" w:space="0" w:color="auto"/>
            </w:tcBorders>
            <w:shd w:val="clear" w:color="auto" w:fill="auto"/>
            <w:vAlign w:val="center"/>
            <w:hideMark/>
          </w:tcPr>
          <w:p w14:paraId="2CD39236"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90</w:t>
            </w:r>
          </w:p>
        </w:tc>
        <w:tc>
          <w:tcPr>
            <w:tcW w:w="1933" w:type="pct"/>
            <w:tcBorders>
              <w:top w:val="nil"/>
              <w:left w:val="nil"/>
              <w:bottom w:val="single" w:sz="4" w:space="0" w:color="auto"/>
              <w:right w:val="single" w:sz="4" w:space="0" w:color="auto"/>
            </w:tcBorders>
            <w:shd w:val="clear" w:color="auto" w:fill="auto"/>
            <w:vAlign w:val="center"/>
            <w:hideMark/>
          </w:tcPr>
          <w:p w14:paraId="4B9CF1DD"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Storitve v zvezi z odplakami, odpadki, čiščenjem in okoljem</w:t>
            </w:r>
          </w:p>
        </w:tc>
        <w:tc>
          <w:tcPr>
            <w:tcW w:w="540" w:type="pct"/>
            <w:tcBorders>
              <w:top w:val="nil"/>
              <w:left w:val="nil"/>
              <w:bottom w:val="single" w:sz="4" w:space="0" w:color="auto"/>
              <w:right w:val="single" w:sz="4" w:space="0" w:color="auto"/>
            </w:tcBorders>
            <w:shd w:val="clear" w:color="auto" w:fill="auto"/>
            <w:vAlign w:val="center"/>
            <w:hideMark/>
          </w:tcPr>
          <w:p w14:paraId="5EF799BA" w14:textId="77777777" w:rsidR="00E3750C" w:rsidRPr="00AF1B22" w:rsidRDefault="00E3750C" w:rsidP="00047864">
            <w:pPr>
              <w:spacing w:after="0" w:line="240" w:lineRule="auto"/>
              <w:jc w:val="right"/>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316</w:t>
            </w:r>
          </w:p>
        </w:tc>
        <w:tc>
          <w:tcPr>
            <w:tcW w:w="1217" w:type="pct"/>
            <w:tcBorders>
              <w:top w:val="nil"/>
              <w:left w:val="nil"/>
              <w:bottom w:val="single" w:sz="4" w:space="0" w:color="auto"/>
              <w:right w:val="single" w:sz="4" w:space="0" w:color="auto"/>
            </w:tcBorders>
            <w:shd w:val="clear" w:color="auto" w:fill="auto"/>
            <w:vAlign w:val="center"/>
            <w:hideMark/>
          </w:tcPr>
          <w:p w14:paraId="5BD16ABB" w14:textId="77777777" w:rsidR="00E3750C" w:rsidRPr="00AF1B22" w:rsidRDefault="00E3750C" w:rsidP="00047864">
            <w:pPr>
              <w:spacing w:after="0" w:line="240" w:lineRule="auto"/>
              <w:jc w:val="right"/>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74.196.029</w:t>
            </w:r>
          </w:p>
        </w:tc>
      </w:tr>
      <w:tr w:rsidR="00E3750C" w:rsidRPr="00AF1B22" w14:paraId="53F35807" w14:textId="77777777" w:rsidTr="00047864">
        <w:trPr>
          <w:trHeight w:val="300"/>
        </w:trPr>
        <w:tc>
          <w:tcPr>
            <w:tcW w:w="84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55DFCFC"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Drugi subjekti</w:t>
            </w:r>
          </w:p>
        </w:tc>
        <w:tc>
          <w:tcPr>
            <w:tcW w:w="462" w:type="pct"/>
            <w:tcBorders>
              <w:top w:val="nil"/>
              <w:left w:val="nil"/>
              <w:bottom w:val="single" w:sz="4" w:space="0" w:color="auto"/>
              <w:right w:val="single" w:sz="4" w:space="0" w:color="auto"/>
            </w:tcBorders>
            <w:shd w:val="clear" w:color="auto" w:fill="auto"/>
            <w:vAlign w:val="center"/>
            <w:hideMark/>
          </w:tcPr>
          <w:p w14:paraId="11BF384D"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38</w:t>
            </w:r>
          </w:p>
        </w:tc>
        <w:tc>
          <w:tcPr>
            <w:tcW w:w="1933" w:type="pct"/>
            <w:tcBorders>
              <w:top w:val="nil"/>
              <w:left w:val="nil"/>
              <w:bottom w:val="single" w:sz="4" w:space="0" w:color="auto"/>
              <w:right w:val="single" w:sz="4" w:space="0" w:color="auto"/>
            </w:tcBorders>
            <w:shd w:val="clear" w:color="auto" w:fill="auto"/>
            <w:vAlign w:val="center"/>
            <w:hideMark/>
          </w:tcPr>
          <w:p w14:paraId="6FDF92E6"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Laboratorijska, optična in precizna oprema (razen očal)</w:t>
            </w:r>
          </w:p>
        </w:tc>
        <w:tc>
          <w:tcPr>
            <w:tcW w:w="540" w:type="pct"/>
            <w:tcBorders>
              <w:top w:val="nil"/>
              <w:left w:val="nil"/>
              <w:bottom w:val="single" w:sz="4" w:space="0" w:color="auto"/>
              <w:right w:val="single" w:sz="4" w:space="0" w:color="auto"/>
            </w:tcBorders>
            <w:shd w:val="clear" w:color="auto" w:fill="auto"/>
            <w:vAlign w:val="center"/>
            <w:hideMark/>
          </w:tcPr>
          <w:p w14:paraId="6F1372D8" w14:textId="77777777" w:rsidR="00E3750C" w:rsidRPr="00AF1B22" w:rsidRDefault="00E3750C" w:rsidP="00047864">
            <w:pPr>
              <w:spacing w:after="0" w:line="240" w:lineRule="auto"/>
              <w:jc w:val="right"/>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40</w:t>
            </w:r>
          </w:p>
        </w:tc>
        <w:tc>
          <w:tcPr>
            <w:tcW w:w="1217" w:type="pct"/>
            <w:tcBorders>
              <w:top w:val="nil"/>
              <w:left w:val="nil"/>
              <w:bottom w:val="single" w:sz="4" w:space="0" w:color="auto"/>
              <w:right w:val="single" w:sz="4" w:space="0" w:color="auto"/>
            </w:tcBorders>
            <w:shd w:val="clear" w:color="auto" w:fill="auto"/>
            <w:vAlign w:val="center"/>
            <w:hideMark/>
          </w:tcPr>
          <w:p w14:paraId="5829BAE2" w14:textId="77777777" w:rsidR="00E3750C" w:rsidRPr="00AF1B22" w:rsidRDefault="00E3750C" w:rsidP="00047864">
            <w:pPr>
              <w:spacing w:after="0" w:line="240" w:lineRule="auto"/>
              <w:jc w:val="right"/>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2.665.264</w:t>
            </w:r>
          </w:p>
        </w:tc>
      </w:tr>
      <w:tr w:rsidR="00E3750C" w:rsidRPr="00AF1B22" w14:paraId="641B2DD1" w14:textId="77777777" w:rsidTr="00047864">
        <w:trPr>
          <w:trHeight w:val="300"/>
        </w:trPr>
        <w:tc>
          <w:tcPr>
            <w:tcW w:w="848" w:type="pct"/>
            <w:vMerge/>
            <w:tcBorders>
              <w:top w:val="nil"/>
              <w:left w:val="single" w:sz="4" w:space="0" w:color="auto"/>
              <w:bottom w:val="single" w:sz="4" w:space="0" w:color="auto"/>
              <w:right w:val="single" w:sz="4" w:space="0" w:color="auto"/>
            </w:tcBorders>
            <w:vAlign w:val="center"/>
            <w:hideMark/>
          </w:tcPr>
          <w:p w14:paraId="3984DBE9" w14:textId="77777777" w:rsidR="00E3750C" w:rsidRPr="00AF1B22" w:rsidRDefault="00E3750C" w:rsidP="00047864">
            <w:pPr>
              <w:spacing w:after="0" w:line="240" w:lineRule="auto"/>
              <w:rPr>
                <w:rFonts w:ascii="Arial" w:eastAsia="Times New Roman" w:hAnsi="Arial" w:cs="Arial"/>
                <w:color w:val="000000"/>
                <w:sz w:val="18"/>
                <w:szCs w:val="18"/>
                <w:lang w:eastAsia="sl-SI"/>
              </w:rPr>
            </w:pPr>
          </w:p>
        </w:tc>
        <w:tc>
          <w:tcPr>
            <w:tcW w:w="462" w:type="pct"/>
            <w:tcBorders>
              <w:top w:val="nil"/>
              <w:left w:val="nil"/>
              <w:bottom w:val="single" w:sz="4" w:space="0" w:color="auto"/>
              <w:right w:val="single" w:sz="4" w:space="0" w:color="auto"/>
            </w:tcBorders>
            <w:shd w:val="clear" w:color="auto" w:fill="auto"/>
            <w:vAlign w:val="center"/>
            <w:hideMark/>
          </w:tcPr>
          <w:p w14:paraId="38F54B8B"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34</w:t>
            </w:r>
          </w:p>
        </w:tc>
        <w:tc>
          <w:tcPr>
            <w:tcW w:w="1933" w:type="pct"/>
            <w:tcBorders>
              <w:top w:val="nil"/>
              <w:left w:val="nil"/>
              <w:bottom w:val="single" w:sz="4" w:space="0" w:color="auto"/>
              <w:right w:val="single" w:sz="4" w:space="0" w:color="auto"/>
            </w:tcBorders>
            <w:shd w:val="clear" w:color="auto" w:fill="auto"/>
            <w:vAlign w:val="center"/>
            <w:hideMark/>
          </w:tcPr>
          <w:p w14:paraId="355FDB6E"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Prevozna sredstva in dodatni proizvodi za promet</w:t>
            </w:r>
          </w:p>
        </w:tc>
        <w:tc>
          <w:tcPr>
            <w:tcW w:w="540" w:type="pct"/>
            <w:tcBorders>
              <w:top w:val="nil"/>
              <w:left w:val="nil"/>
              <w:bottom w:val="single" w:sz="4" w:space="0" w:color="auto"/>
              <w:right w:val="single" w:sz="4" w:space="0" w:color="auto"/>
            </w:tcBorders>
            <w:shd w:val="clear" w:color="auto" w:fill="auto"/>
            <w:vAlign w:val="center"/>
            <w:hideMark/>
          </w:tcPr>
          <w:p w14:paraId="3971CCD3" w14:textId="77777777" w:rsidR="00E3750C" w:rsidRPr="00AF1B22" w:rsidRDefault="00E3750C" w:rsidP="00047864">
            <w:pPr>
              <w:spacing w:after="0" w:line="240" w:lineRule="auto"/>
              <w:jc w:val="right"/>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37</w:t>
            </w:r>
          </w:p>
        </w:tc>
        <w:tc>
          <w:tcPr>
            <w:tcW w:w="1217" w:type="pct"/>
            <w:tcBorders>
              <w:top w:val="nil"/>
              <w:left w:val="nil"/>
              <w:bottom w:val="single" w:sz="4" w:space="0" w:color="auto"/>
              <w:right w:val="single" w:sz="4" w:space="0" w:color="auto"/>
            </w:tcBorders>
            <w:shd w:val="clear" w:color="auto" w:fill="auto"/>
            <w:vAlign w:val="center"/>
            <w:hideMark/>
          </w:tcPr>
          <w:p w14:paraId="5DCB8787" w14:textId="77777777" w:rsidR="00E3750C" w:rsidRPr="00AF1B22" w:rsidRDefault="00E3750C" w:rsidP="00047864">
            <w:pPr>
              <w:spacing w:after="0" w:line="240" w:lineRule="auto"/>
              <w:jc w:val="right"/>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7.145.991</w:t>
            </w:r>
          </w:p>
        </w:tc>
      </w:tr>
      <w:tr w:rsidR="00E3750C" w:rsidRPr="00AF1B22" w14:paraId="504F5E7A" w14:textId="77777777" w:rsidTr="00047864">
        <w:trPr>
          <w:trHeight w:val="300"/>
        </w:trPr>
        <w:tc>
          <w:tcPr>
            <w:tcW w:w="848" w:type="pct"/>
            <w:vMerge/>
            <w:tcBorders>
              <w:top w:val="nil"/>
              <w:left w:val="single" w:sz="4" w:space="0" w:color="auto"/>
              <w:bottom w:val="single" w:sz="4" w:space="0" w:color="auto"/>
              <w:right w:val="single" w:sz="4" w:space="0" w:color="auto"/>
            </w:tcBorders>
            <w:vAlign w:val="center"/>
            <w:hideMark/>
          </w:tcPr>
          <w:p w14:paraId="01B99AB9" w14:textId="77777777" w:rsidR="00E3750C" w:rsidRPr="00AF1B22" w:rsidRDefault="00E3750C" w:rsidP="00047864">
            <w:pPr>
              <w:spacing w:after="0" w:line="240" w:lineRule="auto"/>
              <w:rPr>
                <w:rFonts w:ascii="Arial" w:eastAsia="Times New Roman" w:hAnsi="Arial" w:cs="Arial"/>
                <w:color w:val="000000"/>
                <w:sz w:val="18"/>
                <w:szCs w:val="18"/>
                <w:lang w:eastAsia="sl-SI"/>
              </w:rPr>
            </w:pPr>
          </w:p>
        </w:tc>
        <w:tc>
          <w:tcPr>
            <w:tcW w:w="462" w:type="pct"/>
            <w:tcBorders>
              <w:top w:val="nil"/>
              <w:left w:val="nil"/>
              <w:bottom w:val="single" w:sz="4" w:space="0" w:color="auto"/>
              <w:right w:val="single" w:sz="4" w:space="0" w:color="auto"/>
            </w:tcBorders>
            <w:shd w:val="clear" w:color="auto" w:fill="auto"/>
            <w:vAlign w:val="center"/>
            <w:hideMark/>
          </w:tcPr>
          <w:p w14:paraId="48715EFB"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45</w:t>
            </w:r>
          </w:p>
        </w:tc>
        <w:tc>
          <w:tcPr>
            <w:tcW w:w="1933" w:type="pct"/>
            <w:tcBorders>
              <w:top w:val="nil"/>
              <w:left w:val="nil"/>
              <w:bottom w:val="single" w:sz="4" w:space="0" w:color="auto"/>
              <w:right w:val="single" w:sz="4" w:space="0" w:color="auto"/>
            </w:tcBorders>
            <w:shd w:val="clear" w:color="auto" w:fill="auto"/>
            <w:vAlign w:val="center"/>
            <w:hideMark/>
          </w:tcPr>
          <w:p w14:paraId="4055B0BB" w14:textId="77777777" w:rsidR="00E3750C" w:rsidRPr="00AF1B22" w:rsidRDefault="00E3750C" w:rsidP="00047864">
            <w:pPr>
              <w:spacing w:after="0" w:line="240" w:lineRule="auto"/>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Gradbena dela</w:t>
            </w:r>
          </w:p>
        </w:tc>
        <w:tc>
          <w:tcPr>
            <w:tcW w:w="540" w:type="pct"/>
            <w:tcBorders>
              <w:top w:val="nil"/>
              <w:left w:val="nil"/>
              <w:bottom w:val="single" w:sz="4" w:space="0" w:color="auto"/>
              <w:right w:val="single" w:sz="4" w:space="0" w:color="auto"/>
            </w:tcBorders>
            <w:shd w:val="clear" w:color="auto" w:fill="auto"/>
            <w:vAlign w:val="center"/>
            <w:hideMark/>
          </w:tcPr>
          <w:p w14:paraId="3269D5D8" w14:textId="77777777" w:rsidR="00E3750C" w:rsidRPr="00AF1B22" w:rsidRDefault="00E3750C" w:rsidP="00047864">
            <w:pPr>
              <w:spacing w:after="0" w:line="240" w:lineRule="auto"/>
              <w:jc w:val="right"/>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23</w:t>
            </w:r>
          </w:p>
        </w:tc>
        <w:tc>
          <w:tcPr>
            <w:tcW w:w="1217" w:type="pct"/>
            <w:tcBorders>
              <w:top w:val="nil"/>
              <w:left w:val="nil"/>
              <w:bottom w:val="single" w:sz="4" w:space="0" w:color="auto"/>
              <w:right w:val="single" w:sz="4" w:space="0" w:color="auto"/>
            </w:tcBorders>
            <w:shd w:val="clear" w:color="auto" w:fill="auto"/>
            <w:vAlign w:val="center"/>
            <w:hideMark/>
          </w:tcPr>
          <w:p w14:paraId="213D8621" w14:textId="77777777" w:rsidR="00E3750C" w:rsidRPr="00AF1B22" w:rsidRDefault="00E3750C" w:rsidP="00047864">
            <w:pPr>
              <w:spacing w:after="0" w:line="240" w:lineRule="auto"/>
              <w:jc w:val="right"/>
              <w:rPr>
                <w:rFonts w:ascii="Arial" w:eastAsia="Times New Roman" w:hAnsi="Arial" w:cs="Arial"/>
                <w:color w:val="000000"/>
                <w:sz w:val="18"/>
                <w:szCs w:val="18"/>
                <w:lang w:eastAsia="sl-SI"/>
              </w:rPr>
            </w:pPr>
            <w:r w:rsidRPr="00AF1B22">
              <w:rPr>
                <w:rFonts w:ascii="Arial" w:eastAsia="Times New Roman" w:hAnsi="Arial" w:cs="Arial"/>
                <w:color w:val="000000"/>
                <w:sz w:val="18"/>
                <w:szCs w:val="18"/>
                <w:lang w:eastAsia="sl-SI"/>
              </w:rPr>
              <w:t>12.742.862</w:t>
            </w:r>
          </w:p>
        </w:tc>
      </w:tr>
    </w:tbl>
    <w:p w14:paraId="0FE85AE5" w14:textId="77777777" w:rsidR="00E3750C" w:rsidRPr="00F71B08" w:rsidRDefault="00E3750C" w:rsidP="00E3750C"/>
    <w:p w14:paraId="5FF3BE3C" w14:textId="77777777" w:rsidR="00E3750C" w:rsidRDefault="00E3750C" w:rsidP="00E3750C">
      <w:pPr>
        <w:rPr>
          <w:rFonts w:ascii="Arial" w:hAnsi="Arial" w:cs="Arial"/>
          <w:sz w:val="20"/>
        </w:rPr>
      </w:pPr>
      <w:r>
        <w:rPr>
          <w:rFonts w:ascii="Arial" w:hAnsi="Arial" w:cs="Arial"/>
          <w:sz w:val="20"/>
        </w:rPr>
        <w:br w:type="page"/>
      </w:r>
    </w:p>
    <w:p w14:paraId="24D5E2BC" w14:textId="77777777" w:rsidR="00E3750C" w:rsidRPr="00F71B08" w:rsidRDefault="00E3750C" w:rsidP="00E3750C">
      <w:pPr>
        <w:spacing w:before="120" w:after="0" w:line="240" w:lineRule="auto"/>
        <w:jc w:val="both"/>
        <w:rPr>
          <w:rFonts w:ascii="Arial" w:hAnsi="Arial" w:cs="Arial"/>
          <w:sz w:val="20"/>
        </w:rPr>
      </w:pPr>
      <w:r w:rsidRPr="00F71B08">
        <w:rPr>
          <w:rFonts w:ascii="Arial" w:hAnsi="Arial" w:cs="Arial"/>
          <w:sz w:val="20"/>
        </w:rPr>
        <w:lastRenderedPageBreak/>
        <w:t>Preglednica 7</w:t>
      </w:r>
      <w:r>
        <w:rPr>
          <w:rFonts w:ascii="Arial" w:hAnsi="Arial" w:cs="Arial"/>
          <w:sz w:val="20"/>
        </w:rPr>
        <w:t>8</w:t>
      </w:r>
      <w:r w:rsidRPr="00F71B08">
        <w:rPr>
          <w:rFonts w:ascii="Arial" w:hAnsi="Arial" w:cs="Arial"/>
          <w:sz w:val="20"/>
        </w:rPr>
        <w:t>: Javna naročila, objavljena samo na portalu javnih naročil, glede na predmet naročanja po Enotnem besednjaku javnih naročil (CPV)</w:t>
      </w:r>
    </w:p>
    <w:p w14:paraId="3C67FF18" w14:textId="77777777" w:rsidR="00E3750C" w:rsidRPr="00BF7302" w:rsidRDefault="00E3750C" w:rsidP="00E3750C">
      <w:pPr>
        <w:spacing w:after="0" w:line="240" w:lineRule="auto"/>
        <w:jc w:val="both"/>
        <w:rPr>
          <w:rFonts w:ascii="Arial" w:hAnsi="Arial" w:cs="Arial"/>
          <w:sz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5"/>
        <w:gridCol w:w="3800"/>
        <w:gridCol w:w="850"/>
        <w:gridCol w:w="1561"/>
        <w:gridCol w:w="1038"/>
        <w:gridCol w:w="910"/>
      </w:tblGrid>
      <w:tr w:rsidR="00E3750C" w:rsidRPr="00F71B08" w14:paraId="4EE4BA30" w14:textId="77777777" w:rsidTr="00047864">
        <w:trPr>
          <w:trHeight w:val="456"/>
          <w:tblHeader/>
        </w:trPr>
        <w:tc>
          <w:tcPr>
            <w:tcW w:w="553" w:type="pct"/>
            <w:shd w:val="clear" w:color="000000" w:fill="F2F2F2"/>
            <w:vAlign w:val="center"/>
            <w:hideMark/>
          </w:tcPr>
          <w:p w14:paraId="7CB2096A" w14:textId="77777777" w:rsidR="00E3750C" w:rsidRPr="00F71B08" w:rsidRDefault="00E3750C" w:rsidP="00047864">
            <w:pPr>
              <w:spacing w:after="0" w:line="240" w:lineRule="auto"/>
              <w:jc w:val="center"/>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CPV oddelek</w:t>
            </w:r>
          </w:p>
        </w:tc>
        <w:tc>
          <w:tcPr>
            <w:tcW w:w="2071" w:type="pct"/>
            <w:shd w:val="clear" w:color="000000" w:fill="F2F2F2"/>
            <w:vAlign w:val="center"/>
            <w:hideMark/>
          </w:tcPr>
          <w:p w14:paraId="55203592" w14:textId="77777777" w:rsidR="00E3750C" w:rsidRPr="00F71B08" w:rsidRDefault="00E3750C" w:rsidP="00047864">
            <w:pPr>
              <w:spacing w:after="0" w:line="240" w:lineRule="auto"/>
              <w:jc w:val="center"/>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Opis CPV oddelka</w:t>
            </w:r>
          </w:p>
        </w:tc>
        <w:tc>
          <w:tcPr>
            <w:tcW w:w="463" w:type="pct"/>
            <w:shd w:val="clear" w:color="000000" w:fill="F2F2F2"/>
            <w:vAlign w:val="center"/>
            <w:hideMark/>
          </w:tcPr>
          <w:p w14:paraId="4FB40ADD" w14:textId="77777777" w:rsidR="00E3750C" w:rsidRPr="00F71B08" w:rsidRDefault="00E3750C" w:rsidP="00047864">
            <w:pPr>
              <w:spacing w:after="0" w:line="240" w:lineRule="auto"/>
              <w:jc w:val="center"/>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Št. naročil</w:t>
            </w:r>
          </w:p>
        </w:tc>
        <w:tc>
          <w:tcPr>
            <w:tcW w:w="851" w:type="pct"/>
            <w:shd w:val="clear" w:color="000000" w:fill="F2F2F2"/>
            <w:vAlign w:val="center"/>
            <w:hideMark/>
          </w:tcPr>
          <w:p w14:paraId="49119E8B" w14:textId="77777777" w:rsidR="00E3750C" w:rsidRPr="00F71B08" w:rsidRDefault="00E3750C" w:rsidP="00047864">
            <w:pPr>
              <w:spacing w:after="0" w:line="240" w:lineRule="auto"/>
              <w:jc w:val="center"/>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Pogodbena vrednost</w:t>
            </w:r>
          </w:p>
        </w:tc>
        <w:tc>
          <w:tcPr>
            <w:tcW w:w="566" w:type="pct"/>
            <w:shd w:val="clear" w:color="000000" w:fill="F2F2F2"/>
            <w:vAlign w:val="center"/>
            <w:hideMark/>
          </w:tcPr>
          <w:p w14:paraId="43FC27AB" w14:textId="77777777" w:rsidR="00E3750C" w:rsidRPr="00F71B08" w:rsidRDefault="00E3750C" w:rsidP="00047864">
            <w:pPr>
              <w:spacing w:after="0" w:line="240" w:lineRule="auto"/>
              <w:jc w:val="center"/>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Delež v št. naročil</w:t>
            </w:r>
          </w:p>
        </w:tc>
        <w:tc>
          <w:tcPr>
            <w:tcW w:w="496" w:type="pct"/>
            <w:shd w:val="clear" w:color="000000" w:fill="F2F2F2"/>
            <w:vAlign w:val="center"/>
            <w:hideMark/>
          </w:tcPr>
          <w:p w14:paraId="3B8A978C" w14:textId="77777777" w:rsidR="00E3750C" w:rsidRPr="00F71B08" w:rsidRDefault="00E3750C" w:rsidP="00047864">
            <w:pPr>
              <w:spacing w:after="0" w:line="240" w:lineRule="auto"/>
              <w:jc w:val="center"/>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Delež v vrednosti</w:t>
            </w:r>
          </w:p>
        </w:tc>
      </w:tr>
      <w:tr w:rsidR="00E3750C" w:rsidRPr="00F71B08" w14:paraId="1534739C" w14:textId="77777777" w:rsidTr="00047864">
        <w:trPr>
          <w:trHeight w:val="300"/>
        </w:trPr>
        <w:tc>
          <w:tcPr>
            <w:tcW w:w="553" w:type="pct"/>
            <w:shd w:val="clear" w:color="auto" w:fill="auto"/>
            <w:vAlign w:val="center"/>
            <w:hideMark/>
          </w:tcPr>
          <w:p w14:paraId="37C7A598"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03</w:t>
            </w:r>
          </w:p>
        </w:tc>
        <w:tc>
          <w:tcPr>
            <w:tcW w:w="2071" w:type="pct"/>
            <w:shd w:val="clear" w:color="auto" w:fill="auto"/>
            <w:vAlign w:val="center"/>
            <w:hideMark/>
          </w:tcPr>
          <w:p w14:paraId="0128901D"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Kmetijski, ribiški, gozdarski in z njimi povezani proizvodi</w:t>
            </w:r>
          </w:p>
        </w:tc>
        <w:tc>
          <w:tcPr>
            <w:tcW w:w="463" w:type="pct"/>
            <w:shd w:val="clear" w:color="auto" w:fill="auto"/>
            <w:vAlign w:val="center"/>
            <w:hideMark/>
          </w:tcPr>
          <w:p w14:paraId="0C2D5E7D"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4</w:t>
            </w:r>
          </w:p>
        </w:tc>
        <w:tc>
          <w:tcPr>
            <w:tcW w:w="851" w:type="pct"/>
            <w:shd w:val="clear" w:color="auto" w:fill="auto"/>
            <w:vAlign w:val="center"/>
            <w:hideMark/>
          </w:tcPr>
          <w:p w14:paraId="438E8C7F"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395.882</w:t>
            </w:r>
          </w:p>
        </w:tc>
        <w:tc>
          <w:tcPr>
            <w:tcW w:w="566" w:type="pct"/>
            <w:shd w:val="clear" w:color="auto" w:fill="auto"/>
            <w:noWrap/>
            <w:vAlign w:val="center"/>
            <w:hideMark/>
          </w:tcPr>
          <w:p w14:paraId="4EB0B41F"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0,06</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6BFAF275"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r>
      <w:tr w:rsidR="00E3750C" w:rsidRPr="00F71B08" w14:paraId="21409CB1" w14:textId="77777777" w:rsidTr="00047864">
        <w:trPr>
          <w:trHeight w:val="300"/>
        </w:trPr>
        <w:tc>
          <w:tcPr>
            <w:tcW w:w="553" w:type="pct"/>
            <w:shd w:val="clear" w:color="auto" w:fill="auto"/>
            <w:vAlign w:val="center"/>
            <w:hideMark/>
          </w:tcPr>
          <w:p w14:paraId="1843D9F4"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09</w:t>
            </w:r>
          </w:p>
        </w:tc>
        <w:tc>
          <w:tcPr>
            <w:tcW w:w="2071" w:type="pct"/>
            <w:shd w:val="clear" w:color="auto" w:fill="auto"/>
            <w:vAlign w:val="center"/>
            <w:hideMark/>
          </w:tcPr>
          <w:p w14:paraId="7E0D148B"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Naftni derivati, goriva, električna energija in drugi viri energije</w:t>
            </w:r>
          </w:p>
        </w:tc>
        <w:tc>
          <w:tcPr>
            <w:tcW w:w="463" w:type="pct"/>
            <w:shd w:val="clear" w:color="auto" w:fill="auto"/>
            <w:vAlign w:val="center"/>
            <w:hideMark/>
          </w:tcPr>
          <w:p w14:paraId="56DA0D75"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120</w:t>
            </w:r>
          </w:p>
        </w:tc>
        <w:tc>
          <w:tcPr>
            <w:tcW w:w="851" w:type="pct"/>
            <w:shd w:val="clear" w:color="auto" w:fill="auto"/>
            <w:vAlign w:val="center"/>
            <w:hideMark/>
          </w:tcPr>
          <w:p w14:paraId="0643302D"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13.473.413</w:t>
            </w:r>
          </w:p>
        </w:tc>
        <w:tc>
          <w:tcPr>
            <w:tcW w:w="566" w:type="pct"/>
            <w:shd w:val="clear" w:color="auto" w:fill="auto"/>
            <w:noWrap/>
            <w:vAlign w:val="center"/>
            <w:hideMark/>
          </w:tcPr>
          <w:p w14:paraId="5A9BECB0"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1,73</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2AD3FA93"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1,09</w:t>
            </w:r>
            <w:r>
              <w:rPr>
                <w:rFonts w:ascii="Arial" w:eastAsia="Times New Roman" w:hAnsi="Arial" w:cs="Arial"/>
                <w:color w:val="000000"/>
                <w:sz w:val="18"/>
                <w:szCs w:val="18"/>
                <w:lang w:eastAsia="sl-SI"/>
              </w:rPr>
              <w:t xml:space="preserve"> %</w:t>
            </w:r>
          </w:p>
        </w:tc>
      </w:tr>
      <w:tr w:rsidR="00E3750C" w:rsidRPr="00F71B08" w14:paraId="5A6D01D7" w14:textId="77777777" w:rsidTr="00047864">
        <w:trPr>
          <w:trHeight w:val="300"/>
        </w:trPr>
        <w:tc>
          <w:tcPr>
            <w:tcW w:w="553" w:type="pct"/>
            <w:shd w:val="clear" w:color="auto" w:fill="auto"/>
            <w:vAlign w:val="center"/>
            <w:hideMark/>
          </w:tcPr>
          <w:p w14:paraId="46C7EA1F"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14</w:t>
            </w:r>
          </w:p>
        </w:tc>
        <w:tc>
          <w:tcPr>
            <w:tcW w:w="2071" w:type="pct"/>
            <w:shd w:val="clear" w:color="auto" w:fill="auto"/>
            <w:vAlign w:val="center"/>
            <w:hideMark/>
          </w:tcPr>
          <w:p w14:paraId="7E6D8D76"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Rudarstvo, navadne kovine in z njimi povezani proizvodi</w:t>
            </w:r>
          </w:p>
        </w:tc>
        <w:tc>
          <w:tcPr>
            <w:tcW w:w="463" w:type="pct"/>
            <w:shd w:val="clear" w:color="auto" w:fill="auto"/>
            <w:vAlign w:val="center"/>
            <w:hideMark/>
          </w:tcPr>
          <w:p w14:paraId="4BD8DEC7"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26</w:t>
            </w:r>
          </w:p>
        </w:tc>
        <w:tc>
          <w:tcPr>
            <w:tcW w:w="851" w:type="pct"/>
            <w:shd w:val="clear" w:color="auto" w:fill="auto"/>
            <w:vAlign w:val="center"/>
            <w:hideMark/>
          </w:tcPr>
          <w:p w14:paraId="59E75C52"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1.607.582</w:t>
            </w:r>
          </w:p>
        </w:tc>
        <w:tc>
          <w:tcPr>
            <w:tcW w:w="566" w:type="pct"/>
            <w:shd w:val="clear" w:color="auto" w:fill="auto"/>
            <w:noWrap/>
            <w:vAlign w:val="center"/>
            <w:hideMark/>
          </w:tcPr>
          <w:p w14:paraId="1BCDA270"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0,37</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3ADD64B3"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0,13</w:t>
            </w:r>
            <w:r>
              <w:rPr>
                <w:rFonts w:ascii="Arial" w:eastAsia="Times New Roman" w:hAnsi="Arial" w:cs="Arial"/>
                <w:color w:val="000000"/>
                <w:sz w:val="18"/>
                <w:szCs w:val="18"/>
                <w:lang w:eastAsia="sl-SI"/>
              </w:rPr>
              <w:t xml:space="preserve"> %</w:t>
            </w:r>
          </w:p>
        </w:tc>
      </w:tr>
      <w:tr w:rsidR="00E3750C" w:rsidRPr="00F71B08" w14:paraId="34F4697D" w14:textId="77777777" w:rsidTr="00047864">
        <w:trPr>
          <w:trHeight w:val="300"/>
        </w:trPr>
        <w:tc>
          <w:tcPr>
            <w:tcW w:w="553" w:type="pct"/>
            <w:shd w:val="clear" w:color="auto" w:fill="auto"/>
            <w:vAlign w:val="center"/>
            <w:hideMark/>
          </w:tcPr>
          <w:p w14:paraId="22EC74A4"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15</w:t>
            </w:r>
          </w:p>
        </w:tc>
        <w:tc>
          <w:tcPr>
            <w:tcW w:w="2071" w:type="pct"/>
            <w:shd w:val="clear" w:color="auto" w:fill="auto"/>
            <w:vAlign w:val="center"/>
            <w:hideMark/>
          </w:tcPr>
          <w:p w14:paraId="644381C1"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Živila, pijače, tobačni izdelki in z njimi povezani izdelki</w:t>
            </w:r>
          </w:p>
        </w:tc>
        <w:tc>
          <w:tcPr>
            <w:tcW w:w="463" w:type="pct"/>
            <w:shd w:val="clear" w:color="auto" w:fill="auto"/>
            <w:vAlign w:val="center"/>
            <w:hideMark/>
          </w:tcPr>
          <w:p w14:paraId="0CD5C293"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531</w:t>
            </w:r>
          </w:p>
        </w:tc>
        <w:tc>
          <w:tcPr>
            <w:tcW w:w="851" w:type="pct"/>
            <w:shd w:val="clear" w:color="auto" w:fill="auto"/>
            <w:vAlign w:val="center"/>
            <w:hideMark/>
          </w:tcPr>
          <w:p w14:paraId="7F9645BC"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8.124.814</w:t>
            </w:r>
          </w:p>
        </w:tc>
        <w:tc>
          <w:tcPr>
            <w:tcW w:w="566" w:type="pct"/>
            <w:shd w:val="clear" w:color="auto" w:fill="auto"/>
            <w:noWrap/>
            <w:vAlign w:val="center"/>
            <w:hideMark/>
          </w:tcPr>
          <w:p w14:paraId="42FE3050"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7,66</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2C904002"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0,66</w:t>
            </w:r>
            <w:r>
              <w:rPr>
                <w:rFonts w:ascii="Arial" w:eastAsia="Times New Roman" w:hAnsi="Arial" w:cs="Arial"/>
                <w:color w:val="000000"/>
                <w:sz w:val="18"/>
                <w:szCs w:val="18"/>
                <w:lang w:eastAsia="sl-SI"/>
              </w:rPr>
              <w:t xml:space="preserve"> %</w:t>
            </w:r>
          </w:p>
        </w:tc>
      </w:tr>
      <w:tr w:rsidR="00E3750C" w:rsidRPr="00F71B08" w14:paraId="2DC09C74" w14:textId="77777777" w:rsidTr="00047864">
        <w:trPr>
          <w:trHeight w:val="300"/>
        </w:trPr>
        <w:tc>
          <w:tcPr>
            <w:tcW w:w="553" w:type="pct"/>
            <w:shd w:val="clear" w:color="auto" w:fill="auto"/>
            <w:vAlign w:val="center"/>
            <w:hideMark/>
          </w:tcPr>
          <w:p w14:paraId="1F7FB54E"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16</w:t>
            </w:r>
          </w:p>
        </w:tc>
        <w:tc>
          <w:tcPr>
            <w:tcW w:w="2071" w:type="pct"/>
            <w:shd w:val="clear" w:color="auto" w:fill="auto"/>
            <w:vAlign w:val="center"/>
            <w:hideMark/>
          </w:tcPr>
          <w:p w14:paraId="015B4376"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Kmetijski stroji</w:t>
            </w:r>
          </w:p>
        </w:tc>
        <w:tc>
          <w:tcPr>
            <w:tcW w:w="463" w:type="pct"/>
            <w:shd w:val="clear" w:color="auto" w:fill="auto"/>
            <w:vAlign w:val="center"/>
            <w:hideMark/>
          </w:tcPr>
          <w:p w14:paraId="2537BC58"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29</w:t>
            </w:r>
          </w:p>
        </w:tc>
        <w:tc>
          <w:tcPr>
            <w:tcW w:w="851" w:type="pct"/>
            <w:shd w:val="clear" w:color="auto" w:fill="auto"/>
            <w:vAlign w:val="center"/>
            <w:hideMark/>
          </w:tcPr>
          <w:p w14:paraId="66413177"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1.817.798</w:t>
            </w:r>
          </w:p>
        </w:tc>
        <w:tc>
          <w:tcPr>
            <w:tcW w:w="566" w:type="pct"/>
            <w:shd w:val="clear" w:color="auto" w:fill="auto"/>
            <w:noWrap/>
            <w:vAlign w:val="center"/>
            <w:hideMark/>
          </w:tcPr>
          <w:p w14:paraId="6E13A218"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0,42</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023E5E9F"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0,15</w:t>
            </w:r>
            <w:r>
              <w:rPr>
                <w:rFonts w:ascii="Arial" w:eastAsia="Times New Roman" w:hAnsi="Arial" w:cs="Arial"/>
                <w:color w:val="000000"/>
                <w:sz w:val="18"/>
                <w:szCs w:val="18"/>
                <w:lang w:eastAsia="sl-SI"/>
              </w:rPr>
              <w:t xml:space="preserve"> %</w:t>
            </w:r>
          </w:p>
        </w:tc>
      </w:tr>
      <w:tr w:rsidR="00E3750C" w:rsidRPr="00F71B08" w14:paraId="1BF133DC" w14:textId="77777777" w:rsidTr="00047864">
        <w:trPr>
          <w:trHeight w:val="300"/>
        </w:trPr>
        <w:tc>
          <w:tcPr>
            <w:tcW w:w="553" w:type="pct"/>
            <w:shd w:val="clear" w:color="auto" w:fill="auto"/>
            <w:vAlign w:val="center"/>
            <w:hideMark/>
          </w:tcPr>
          <w:p w14:paraId="513EEBCD"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18</w:t>
            </w:r>
          </w:p>
        </w:tc>
        <w:tc>
          <w:tcPr>
            <w:tcW w:w="2071" w:type="pct"/>
            <w:shd w:val="clear" w:color="auto" w:fill="auto"/>
            <w:vAlign w:val="center"/>
            <w:hideMark/>
          </w:tcPr>
          <w:p w14:paraId="75E90A43"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Oblačila, obutev, prtljaga in pribor</w:t>
            </w:r>
          </w:p>
        </w:tc>
        <w:tc>
          <w:tcPr>
            <w:tcW w:w="463" w:type="pct"/>
            <w:shd w:val="clear" w:color="auto" w:fill="auto"/>
            <w:vAlign w:val="center"/>
            <w:hideMark/>
          </w:tcPr>
          <w:p w14:paraId="083B90AC"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65</w:t>
            </w:r>
          </w:p>
        </w:tc>
        <w:tc>
          <w:tcPr>
            <w:tcW w:w="851" w:type="pct"/>
            <w:shd w:val="clear" w:color="auto" w:fill="auto"/>
            <w:vAlign w:val="center"/>
            <w:hideMark/>
          </w:tcPr>
          <w:p w14:paraId="7029D259"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3.639.222</w:t>
            </w:r>
          </w:p>
        </w:tc>
        <w:tc>
          <w:tcPr>
            <w:tcW w:w="566" w:type="pct"/>
            <w:shd w:val="clear" w:color="auto" w:fill="auto"/>
            <w:noWrap/>
            <w:vAlign w:val="center"/>
            <w:hideMark/>
          </w:tcPr>
          <w:p w14:paraId="0F77A58F"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0,94</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7C1710EC"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0,29</w:t>
            </w:r>
            <w:r>
              <w:rPr>
                <w:rFonts w:ascii="Arial" w:eastAsia="Times New Roman" w:hAnsi="Arial" w:cs="Arial"/>
                <w:color w:val="000000"/>
                <w:sz w:val="18"/>
                <w:szCs w:val="18"/>
                <w:lang w:eastAsia="sl-SI"/>
              </w:rPr>
              <w:t xml:space="preserve"> %</w:t>
            </w:r>
          </w:p>
        </w:tc>
      </w:tr>
      <w:tr w:rsidR="00E3750C" w:rsidRPr="00F71B08" w14:paraId="19E5DF54" w14:textId="77777777" w:rsidTr="00047864">
        <w:trPr>
          <w:trHeight w:val="300"/>
        </w:trPr>
        <w:tc>
          <w:tcPr>
            <w:tcW w:w="553" w:type="pct"/>
            <w:shd w:val="clear" w:color="auto" w:fill="auto"/>
            <w:vAlign w:val="center"/>
            <w:hideMark/>
          </w:tcPr>
          <w:p w14:paraId="0F5F37CC"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19</w:t>
            </w:r>
          </w:p>
        </w:tc>
        <w:tc>
          <w:tcPr>
            <w:tcW w:w="2071" w:type="pct"/>
            <w:shd w:val="clear" w:color="auto" w:fill="auto"/>
            <w:vAlign w:val="center"/>
            <w:hideMark/>
          </w:tcPr>
          <w:p w14:paraId="52EC3B6A"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Usnjeni in tekstilni materiali, plastični in gumijasti materiali</w:t>
            </w:r>
          </w:p>
        </w:tc>
        <w:tc>
          <w:tcPr>
            <w:tcW w:w="463" w:type="pct"/>
            <w:shd w:val="clear" w:color="auto" w:fill="auto"/>
            <w:vAlign w:val="center"/>
            <w:hideMark/>
          </w:tcPr>
          <w:p w14:paraId="4BB03516"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10</w:t>
            </w:r>
          </w:p>
        </w:tc>
        <w:tc>
          <w:tcPr>
            <w:tcW w:w="851" w:type="pct"/>
            <w:shd w:val="clear" w:color="auto" w:fill="auto"/>
            <w:vAlign w:val="center"/>
            <w:hideMark/>
          </w:tcPr>
          <w:p w14:paraId="41F17631"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724.496</w:t>
            </w:r>
          </w:p>
        </w:tc>
        <w:tc>
          <w:tcPr>
            <w:tcW w:w="566" w:type="pct"/>
            <w:shd w:val="clear" w:color="auto" w:fill="auto"/>
            <w:noWrap/>
            <w:vAlign w:val="center"/>
            <w:hideMark/>
          </w:tcPr>
          <w:p w14:paraId="67501089"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0,14</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059756B4"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0,06</w:t>
            </w:r>
            <w:r>
              <w:rPr>
                <w:rFonts w:ascii="Arial" w:eastAsia="Times New Roman" w:hAnsi="Arial" w:cs="Arial"/>
                <w:color w:val="000000"/>
                <w:sz w:val="18"/>
                <w:szCs w:val="18"/>
                <w:lang w:eastAsia="sl-SI"/>
              </w:rPr>
              <w:t xml:space="preserve"> %</w:t>
            </w:r>
          </w:p>
        </w:tc>
      </w:tr>
      <w:tr w:rsidR="00E3750C" w:rsidRPr="00F71B08" w14:paraId="311F575A" w14:textId="77777777" w:rsidTr="00047864">
        <w:trPr>
          <w:trHeight w:val="300"/>
        </w:trPr>
        <w:tc>
          <w:tcPr>
            <w:tcW w:w="553" w:type="pct"/>
            <w:shd w:val="clear" w:color="auto" w:fill="auto"/>
            <w:vAlign w:val="center"/>
            <w:hideMark/>
          </w:tcPr>
          <w:p w14:paraId="22B56C3D"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22</w:t>
            </w:r>
          </w:p>
        </w:tc>
        <w:tc>
          <w:tcPr>
            <w:tcW w:w="2071" w:type="pct"/>
            <w:shd w:val="clear" w:color="auto" w:fill="auto"/>
            <w:vAlign w:val="center"/>
            <w:hideMark/>
          </w:tcPr>
          <w:p w14:paraId="25062805"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Tiskano gradivo in z njim povezani izdelki</w:t>
            </w:r>
          </w:p>
        </w:tc>
        <w:tc>
          <w:tcPr>
            <w:tcW w:w="463" w:type="pct"/>
            <w:shd w:val="clear" w:color="auto" w:fill="auto"/>
            <w:vAlign w:val="center"/>
            <w:hideMark/>
          </w:tcPr>
          <w:p w14:paraId="783A02B5"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27</w:t>
            </w:r>
          </w:p>
        </w:tc>
        <w:tc>
          <w:tcPr>
            <w:tcW w:w="851" w:type="pct"/>
            <w:shd w:val="clear" w:color="auto" w:fill="auto"/>
            <w:vAlign w:val="center"/>
            <w:hideMark/>
          </w:tcPr>
          <w:p w14:paraId="6486D11D"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1.923.327</w:t>
            </w:r>
          </w:p>
        </w:tc>
        <w:tc>
          <w:tcPr>
            <w:tcW w:w="566" w:type="pct"/>
            <w:shd w:val="clear" w:color="auto" w:fill="auto"/>
            <w:noWrap/>
            <w:vAlign w:val="center"/>
            <w:hideMark/>
          </w:tcPr>
          <w:p w14:paraId="23112D03"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0,39</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64F8A002"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0,16</w:t>
            </w:r>
            <w:r>
              <w:rPr>
                <w:rFonts w:ascii="Arial" w:eastAsia="Times New Roman" w:hAnsi="Arial" w:cs="Arial"/>
                <w:color w:val="000000"/>
                <w:sz w:val="18"/>
                <w:szCs w:val="18"/>
                <w:lang w:eastAsia="sl-SI"/>
              </w:rPr>
              <w:t xml:space="preserve"> %</w:t>
            </w:r>
          </w:p>
        </w:tc>
      </w:tr>
      <w:tr w:rsidR="00E3750C" w:rsidRPr="00F71B08" w14:paraId="377F0527" w14:textId="77777777" w:rsidTr="00047864">
        <w:trPr>
          <w:trHeight w:val="300"/>
        </w:trPr>
        <w:tc>
          <w:tcPr>
            <w:tcW w:w="553" w:type="pct"/>
            <w:shd w:val="clear" w:color="auto" w:fill="auto"/>
            <w:vAlign w:val="center"/>
            <w:hideMark/>
          </w:tcPr>
          <w:p w14:paraId="1A66DD62"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24</w:t>
            </w:r>
          </w:p>
        </w:tc>
        <w:tc>
          <w:tcPr>
            <w:tcW w:w="2071" w:type="pct"/>
            <w:shd w:val="clear" w:color="auto" w:fill="auto"/>
            <w:vAlign w:val="center"/>
            <w:hideMark/>
          </w:tcPr>
          <w:p w14:paraId="7747A93A"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Kemični proizvodi</w:t>
            </w:r>
          </w:p>
        </w:tc>
        <w:tc>
          <w:tcPr>
            <w:tcW w:w="463" w:type="pct"/>
            <w:shd w:val="clear" w:color="auto" w:fill="auto"/>
            <w:vAlign w:val="center"/>
            <w:hideMark/>
          </w:tcPr>
          <w:p w14:paraId="133411DB"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61</w:t>
            </w:r>
          </w:p>
        </w:tc>
        <w:tc>
          <w:tcPr>
            <w:tcW w:w="851" w:type="pct"/>
            <w:shd w:val="clear" w:color="auto" w:fill="auto"/>
            <w:vAlign w:val="center"/>
            <w:hideMark/>
          </w:tcPr>
          <w:p w14:paraId="4F9DB4BB"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5.779.681</w:t>
            </w:r>
          </w:p>
        </w:tc>
        <w:tc>
          <w:tcPr>
            <w:tcW w:w="566" w:type="pct"/>
            <w:shd w:val="clear" w:color="auto" w:fill="auto"/>
            <w:noWrap/>
            <w:vAlign w:val="center"/>
            <w:hideMark/>
          </w:tcPr>
          <w:p w14:paraId="702B5048"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0,88</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48B3DF01"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0,47</w:t>
            </w:r>
            <w:r>
              <w:rPr>
                <w:rFonts w:ascii="Arial" w:eastAsia="Times New Roman" w:hAnsi="Arial" w:cs="Arial"/>
                <w:color w:val="000000"/>
                <w:sz w:val="18"/>
                <w:szCs w:val="18"/>
                <w:lang w:eastAsia="sl-SI"/>
              </w:rPr>
              <w:t xml:space="preserve"> %</w:t>
            </w:r>
          </w:p>
        </w:tc>
      </w:tr>
      <w:tr w:rsidR="00E3750C" w:rsidRPr="00F71B08" w14:paraId="26F00CAD" w14:textId="77777777" w:rsidTr="00047864">
        <w:trPr>
          <w:trHeight w:val="300"/>
        </w:trPr>
        <w:tc>
          <w:tcPr>
            <w:tcW w:w="553" w:type="pct"/>
            <w:shd w:val="clear" w:color="auto" w:fill="auto"/>
            <w:vAlign w:val="center"/>
            <w:hideMark/>
          </w:tcPr>
          <w:p w14:paraId="1EF57034"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30</w:t>
            </w:r>
          </w:p>
        </w:tc>
        <w:tc>
          <w:tcPr>
            <w:tcW w:w="2071" w:type="pct"/>
            <w:shd w:val="clear" w:color="auto" w:fill="auto"/>
            <w:vAlign w:val="center"/>
            <w:hideMark/>
          </w:tcPr>
          <w:p w14:paraId="48DE35DC"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Pisarniški in računski stroji, oprema in potrebščine, razen pohištva in programskih paketov</w:t>
            </w:r>
          </w:p>
        </w:tc>
        <w:tc>
          <w:tcPr>
            <w:tcW w:w="463" w:type="pct"/>
            <w:shd w:val="clear" w:color="auto" w:fill="auto"/>
            <w:vAlign w:val="center"/>
            <w:hideMark/>
          </w:tcPr>
          <w:p w14:paraId="0FC510E4"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213</w:t>
            </w:r>
          </w:p>
        </w:tc>
        <w:tc>
          <w:tcPr>
            <w:tcW w:w="851" w:type="pct"/>
            <w:shd w:val="clear" w:color="auto" w:fill="auto"/>
            <w:vAlign w:val="center"/>
            <w:hideMark/>
          </w:tcPr>
          <w:p w14:paraId="1625B7BF"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9.699.551</w:t>
            </w:r>
          </w:p>
        </w:tc>
        <w:tc>
          <w:tcPr>
            <w:tcW w:w="566" w:type="pct"/>
            <w:shd w:val="clear" w:color="auto" w:fill="auto"/>
            <w:noWrap/>
            <w:vAlign w:val="center"/>
            <w:hideMark/>
          </w:tcPr>
          <w:p w14:paraId="4006E7B7"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3,07</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63F41C56"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0,78</w:t>
            </w:r>
            <w:r>
              <w:rPr>
                <w:rFonts w:ascii="Arial" w:eastAsia="Times New Roman" w:hAnsi="Arial" w:cs="Arial"/>
                <w:color w:val="000000"/>
                <w:sz w:val="18"/>
                <w:szCs w:val="18"/>
                <w:lang w:eastAsia="sl-SI"/>
              </w:rPr>
              <w:t xml:space="preserve"> %</w:t>
            </w:r>
          </w:p>
        </w:tc>
      </w:tr>
      <w:tr w:rsidR="00E3750C" w:rsidRPr="00F71B08" w14:paraId="456DF1CE" w14:textId="77777777" w:rsidTr="00047864">
        <w:trPr>
          <w:trHeight w:val="300"/>
        </w:trPr>
        <w:tc>
          <w:tcPr>
            <w:tcW w:w="553" w:type="pct"/>
            <w:shd w:val="clear" w:color="auto" w:fill="auto"/>
            <w:vAlign w:val="center"/>
            <w:hideMark/>
          </w:tcPr>
          <w:p w14:paraId="6222FEDF"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31</w:t>
            </w:r>
          </w:p>
        </w:tc>
        <w:tc>
          <w:tcPr>
            <w:tcW w:w="2071" w:type="pct"/>
            <w:shd w:val="clear" w:color="auto" w:fill="auto"/>
            <w:vAlign w:val="center"/>
            <w:hideMark/>
          </w:tcPr>
          <w:p w14:paraId="7398896D"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Električni stroji, aparati, oprema in potrošno blago; razsvetljava</w:t>
            </w:r>
          </w:p>
        </w:tc>
        <w:tc>
          <w:tcPr>
            <w:tcW w:w="463" w:type="pct"/>
            <w:shd w:val="clear" w:color="auto" w:fill="auto"/>
            <w:vAlign w:val="center"/>
            <w:hideMark/>
          </w:tcPr>
          <w:p w14:paraId="3DDD0153"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139</w:t>
            </w:r>
          </w:p>
        </w:tc>
        <w:tc>
          <w:tcPr>
            <w:tcW w:w="851" w:type="pct"/>
            <w:shd w:val="clear" w:color="auto" w:fill="auto"/>
            <w:vAlign w:val="center"/>
            <w:hideMark/>
          </w:tcPr>
          <w:p w14:paraId="6288A830"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12.377.829</w:t>
            </w:r>
          </w:p>
        </w:tc>
        <w:tc>
          <w:tcPr>
            <w:tcW w:w="566" w:type="pct"/>
            <w:shd w:val="clear" w:color="auto" w:fill="auto"/>
            <w:noWrap/>
            <w:vAlign w:val="center"/>
            <w:hideMark/>
          </w:tcPr>
          <w:p w14:paraId="2FA92DE1"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2,00</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0851CE8F"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1,00</w:t>
            </w:r>
            <w:r>
              <w:rPr>
                <w:rFonts w:ascii="Arial" w:eastAsia="Times New Roman" w:hAnsi="Arial" w:cs="Arial"/>
                <w:color w:val="000000"/>
                <w:sz w:val="18"/>
                <w:szCs w:val="18"/>
                <w:lang w:eastAsia="sl-SI"/>
              </w:rPr>
              <w:t xml:space="preserve"> %</w:t>
            </w:r>
          </w:p>
        </w:tc>
      </w:tr>
      <w:tr w:rsidR="00E3750C" w:rsidRPr="00F71B08" w14:paraId="2C84C352" w14:textId="77777777" w:rsidTr="00047864">
        <w:trPr>
          <w:trHeight w:val="300"/>
        </w:trPr>
        <w:tc>
          <w:tcPr>
            <w:tcW w:w="553" w:type="pct"/>
            <w:shd w:val="clear" w:color="auto" w:fill="auto"/>
            <w:vAlign w:val="center"/>
            <w:hideMark/>
          </w:tcPr>
          <w:p w14:paraId="25E24BF9"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32</w:t>
            </w:r>
          </w:p>
        </w:tc>
        <w:tc>
          <w:tcPr>
            <w:tcW w:w="2071" w:type="pct"/>
            <w:shd w:val="clear" w:color="auto" w:fill="auto"/>
            <w:vAlign w:val="center"/>
            <w:hideMark/>
          </w:tcPr>
          <w:p w14:paraId="758944A7"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Radijski in televizijski aparati, komunikacijska, telekomunikacijska in z njimi povezana oprema</w:t>
            </w:r>
          </w:p>
        </w:tc>
        <w:tc>
          <w:tcPr>
            <w:tcW w:w="463" w:type="pct"/>
            <w:shd w:val="clear" w:color="auto" w:fill="auto"/>
            <w:vAlign w:val="center"/>
            <w:hideMark/>
          </w:tcPr>
          <w:p w14:paraId="2E1BB986"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46</w:t>
            </w:r>
          </w:p>
        </w:tc>
        <w:tc>
          <w:tcPr>
            <w:tcW w:w="851" w:type="pct"/>
            <w:shd w:val="clear" w:color="auto" w:fill="auto"/>
            <w:vAlign w:val="center"/>
            <w:hideMark/>
          </w:tcPr>
          <w:p w14:paraId="78A91115"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3.576.558</w:t>
            </w:r>
          </w:p>
        </w:tc>
        <w:tc>
          <w:tcPr>
            <w:tcW w:w="566" w:type="pct"/>
            <w:shd w:val="clear" w:color="auto" w:fill="auto"/>
            <w:noWrap/>
            <w:vAlign w:val="center"/>
            <w:hideMark/>
          </w:tcPr>
          <w:p w14:paraId="090156CE"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0,66</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136BE033"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0,29</w:t>
            </w:r>
            <w:r>
              <w:rPr>
                <w:rFonts w:ascii="Arial" w:eastAsia="Times New Roman" w:hAnsi="Arial" w:cs="Arial"/>
                <w:color w:val="000000"/>
                <w:sz w:val="18"/>
                <w:szCs w:val="18"/>
                <w:lang w:eastAsia="sl-SI"/>
              </w:rPr>
              <w:t xml:space="preserve"> %</w:t>
            </w:r>
          </w:p>
        </w:tc>
      </w:tr>
      <w:tr w:rsidR="00E3750C" w:rsidRPr="00F71B08" w14:paraId="655A93E0" w14:textId="77777777" w:rsidTr="00047864">
        <w:trPr>
          <w:trHeight w:val="300"/>
        </w:trPr>
        <w:tc>
          <w:tcPr>
            <w:tcW w:w="553" w:type="pct"/>
            <w:shd w:val="clear" w:color="auto" w:fill="auto"/>
            <w:vAlign w:val="center"/>
            <w:hideMark/>
          </w:tcPr>
          <w:p w14:paraId="7C45DC81"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33</w:t>
            </w:r>
          </w:p>
        </w:tc>
        <w:tc>
          <w:tcPr>
            <w:tcW w:w="2071" w:type="pct"/>
            <w:shd w:val="clear" w:color="auto" w:fill="auto"/>
            <w:vAlign w:val="center"/>
            <w:hideMark/>
          </w:tcPr>
          <w:p w14:paraId="1F293827"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Medicinska oprema, farmacevtski izdelki in izdelki za osebno nego</w:t>
            </w:r>
          </w:p>
        </w:tc>
        <w:tc>
          <w:tcPr>
            <w:tcW w:w="463" w:type="pct"/>
            <w:shd w:val="clear" w:color="auto" w:fill="auto"/>
            <w:vAlign w:val="center"/>
            <w:hideMark/>
          </w:tcPr>
          <w:p w14:paraId="0B5BEA3E"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804</w:t>
            </w:r>
          </w:p>
        </w:tc>
        <w:tc>
          <w:tcPr>
            <w:tcW w:w="851" w:type="pct"/>
            <w:shd w:val="clear" w:color="auto" w:fill="auto"/>
            <w:vAlign w:val="center"/>
            <w:hideMark/>
          </w:tcPr>
          <w:p w14:paraId="6035F73B"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26.603.628</w:t>
            </w:r>
          </w:p>
        </w:tc>
        <w:tc>
          <w:tcPr>
            <w:tcW w:w="566" w:type="pct"/>
            <w:shd w:val="clear" w:color="auto" w:fill="auto"/>
            <w:noWrap/>
            <w:vAlign w:val="center"/>
            <w:hideMark/>
          </w:tcPr>
          <w:p w14:paraId="115A80CE"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11,59</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580C27AA"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2,15</w:t>
            </w:r>
            <w:r>
              <w:rPr>
                <w:rFonts w:ascii="Arial" w:eastAsia="Times New Roman" w:hAnsi="Arial" w:cs="Arial"/>
                <w:color w:val="000000"/>
                <w:sz w:val="18"/>
                <w:szCs w:val="18"/>
                <w:lang w:eastAsia="sl-SI"/>
              </w:rPr>
              <w:t xml:space="preserve"> %</w:t>
            </w:r>
          </w:p>
        </w:tc>
      </w:tr>
      <w:tr w:rsidR="00E3750C" w:rsidRPr="00F71B08" w14:paraId="498A1B5F" w14:textId="77777777" w:rsidTr="00047864">
        <w:trPr>
          <w:trHeight w:val="300"/>
        </w:trPr>
        <w:tc>
          <w:tcPr>
            <w:tcW w:w="553" w:type="pct"/>
            <w:shd w:val="clear" w:color="auto" w:fill="auto"/>
            <w:vAlign w:val="center"/>
            <w:hideMark/>
          </w:tcPr>
          <w:p w14:paraId="5EE7E086"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34</w:t>
            </w:r>
          </w:p>
        </w:tc>
        <w:tc>
          <w:tcPr>
            <w:tcW w:w="2071" w:type="pct"/>
            <w:shd w:val="clear" w:color="auto" w:fill="auto"/>
            <w:vAlign w:val="center"/>
            <w:hideMark/>
          </w:tcPr>
          <w:p w14:paraId="009D60F5"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Prevozna sredstva in dodatni proizvodi za promet</w:t>
            </w:r>
          </w:p>
        </w:tc>
        <w:tc>
          <w:tcPr>
            <w:tcW w:w="463" w:type="pct"/>
            <w:shd w:val="clear" w:color="auto" w:fill="auto"/>
            <w:vAlign w:val="center"/>
            <w:hideMark/>
          </w:tcPr>
          <w:p w14:paraId="309D362D"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304</w:t>
            </w:r>
          </w:p>
        </w:tc>
        <w:tc>
          <w:tcPr>
            <w:tcW w:w="851" w:type="pct"/>
            <w:shd w:val="clear" w:color="auto" w:fill="auto"/>
            <w:vAlign w:val="center"/>
            <w:hideMark/>
          </w:tcPr>
          <w:p w14:paraId="1A342568"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25.211.678</w:t>
            </w:r>
          </w:p>
        </w:tc>
        <w:tc>
          <w:tcPr>
            <w:tcW w:w="566" w:type="pct"/>
            <w:shd w:val="clear" w:color="auto" w:fill="auto"/>
            <w:noWrap/>
            <w:vAlign w:val="center"/>
            <w:hideMark/>
          </w:tcPr>
          <w:p w14:paraId="5D8BC994"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4,38</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56C11D33"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2,04</w:t>
            </w:r>
            <w:r>
              <w:rPr>
                <w:rFonts w:ascii="Arial" w:eastAsia="Times New Roman" w:hAnsi="Arial" w:cs="Arial"/>
                <w:color w:val="000000"/>
                <w:sz w:val="18"/>
                <w:szCs w:val="18"/>
                <w:lang w:eastAsia="sl-SI"/>
              </w:rPr>
              <w:t xml:space="preserve"> %</w:t>
            </w:r>
          </w:p>
        </w:tc>
      </w:tr>
      <w:tr w:rsidR="00E3750C" w:rsidRPr="00F71B08" w14:paraId="00E22497" w14:textId="77777777" w:rsidTr="00047864">
        <w:trPr>
          <w:trHeight w:val="300"/>
        </w:trPr>
        <w:tc>
          <w:tcPr>
            <w:tcW w:w="553" w:type="pct"/>
            <w:shd w:val="clear" w:color="auto" w:fill="auto"/>
            <w:vAlign w:val="center"/>
            <w:hideMark/>
          </w:tcPr>
          <w:p w14:paraId="5248F04A"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35</w:t>
            </w:r>
          </w:p>
        </w:tc>
        <w:tc>
          <w:tcPr>
            <w:tcW w:w="2071" w:type="pct"/>
            <w:shd w:val="clear" w:color="auto" w:fill="auto"/>
            <w:vAlign w:val="center"/>
            <w:hideMark/>
          </w:tcPr>
          <w:p w14:paraId="53372C7C"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Varnostna, gasilska, policijska in obrambna oprema</w:t>
            </w:r>
          </w:p>
        </w:tc>
        <w:tc>
          <w:tcPr>
            <w:tcW w:w="463" w:type="pct"/>
            <w:shd w:val="clear" w:color="auto" w:fill="auto"/>
            <w:vAlign w:val="center"/>
            <w:hideMark/>
          </w:tcPr>
          <w:p w14:paraId="06B27694"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64</w:t>
            </w:r>
          </w:p>
        </w:tc>
        <w:tc>
          <w:tcPr>
            <w:tcW w:w="851" w:type="pct"/>
            <w:shd w:val="clear" w:color="auto" w:fill="auto"/>
            <w:vAlign w:val="center"/>
            <w:hideMark/>
          </w:tcPr>
          <w:p w14:paraId="077BC3F7"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4.485.312</w:t>
            </w:r>
          </w:p>
        </w:tc>
        <w:tc>
          <w:tcPr>
            <w:tcW w:w="566" w:type="pct"/>
            <w:shd w:val="clear" w:color="auto" w:fill="auto"/>
            <w:noWrap/>
            <w:vAlign w:val="center"/>
            <w:hideMark/>
          </w:tcPr>
          <w:p w14:paraId="3219970D"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0,92</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1AC489AB"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0,36</w:t>
            </w:r>
            <w:r>
              <w:rPr>
                <w:rFonts w:ascii="Arial" w:eastAsia="Times New Roman" w:hAnsi="Arial" w:cs="Arial"/>
                <w:color w:val="000000"/>
                <w:sz w:val="18"/>
                <w:szCs w:val="18"/>
                <w:lang w:eastAsia="sl-SI"/>
              </w:rPr>
              <w:t xml:space="preserve"> %</w:t>
            </w:r>
          </w:p>
        </w:tc>
      </w:tr>
      <w:tr w:rsidR="00E3750C" w:rsidRPr="00F71B08" w14:paraId="494EB6A1" w14:textId="77777777" w:rsidTr="00047864">
        <w:trPr>
          <w:trHeight w:val="300"/>
        </w:trPr>
        <w:tc>
          <w:tcPr>
            <w:tcW w:w="553" w:type="pct"/>
            <w:shd w:val="clear" w:color="auto" w:fill="auto"/>
            <w:vAlign w:val="center"/>
            <w:hideMark/>
          </w:tcPr>
          <w:p w14:paraId="7EA2628F"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37</w:t>
            </w:r>
          </w:p>
        </w:tc>
        <w:tc>
          <w:tcPr>
            <w:tcW w:w="2071" w:type="pct"/>
            <w:shd w:val="clear" w:color="auto" w:fill="auto"/>
            <w:vAlign w:val="center"/>
            <w:hideMark/>
          </w:tcPr>
          <w:p w14:paraId="36AC0083"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Glasbila, športni izdelki, igre, igrače, ročna dela, umetniški materiali in dodatki</w:t>
            </w:r>
          </w:p>
        </w:tc>
        <w:tc>
          <w:tcPr>
            <w:tcW w:w="463" w:type="pct"/>
            <w:shd w:val="clear" w:color="auto" w:fill="auto"/>
            <w:vAlign w:val="center"/>
            <w:hideMark/>
          </w:tcPr>
          <w:p w14:paraId="7F9C6AA4"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24</w:t>
            </w:r>
          </w:p>
        </w:tc>
        <w:tc>
          <w:tcPr>
            <w:tcW w:w="851" w:type="pct"/>
            <w:shd w:val="clear" w:color="auto" w:fill="auto"/>
            <w:vAlign w:val="center"/>
            <w:hideMark/>
          </w:tcPr>
          <w:p w14:paraId="2EB4199A"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1.154.968</w:t>
            </w:r>
          </w:p>
        </w:tc>
        <w:tc>
          <w:tcPr>
            <w:tcW w:w="566" w:type="pct"/>
            <w:shd w:val="clear" w:color="auto" w:fill="auto"/>
            <w:noWrap/>
            <w:vAlign w:val="center"/>
            <w:hideMark/>
          </w:tcPr>
          <w:p w14:paraId="4E4704E2"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0,35</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15932713"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0,09</w:t>
            </w:r>
            <w:r>
              <w:rPr>
                <w:rFonts w:ascii="Arial" w:eastAsia="Times New Roman" w:hAnsi="Arial" w:cs="Arial"/>
                <w:color w:val="000000"/>
                <w:sz w:val="18"/>
                <w:szCs w:val="18"/>
                <w:lang w:eastAsia="sl-SI"/>
              </w:rPr>
              <w:t xml:space="preserve"> %</w:t>
            </w:r>
          </w:p>
        </w:tc>
      </w:tr>
      <w:tr w:rsidR="00E3750C" w:rsidRPr="00F71B08" w14:paraId="79803D7F" w14:textId="77777777" w:rsidTr="00047864">
        <w:trPr>
          <w:trHeight w:val="300"/>
        </w:trPr>
        <w:tc>
          <w:tcPr>
            <w:tcW w:w="553" w:type="pct"/>
            <w:shd w:val="clear" w:color="auto" w:fill="auto"/>
            <w:vAlign w:val="center"/>
            <w:hideMark/>
          </w:tcPr>
          <w:p w14:paraId="6BC11733"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38</w:t>
            </w:r>
          </w:p>
        </w:tc>
        <w:tc>
          <w:tcPr>
            <w:tcW w:w="2071" w:type="pct"/>
            <w:shd w:val="clear" w:color="auto" w:fill="auto"/>
            <w:vAlign w:val="center"/>
            <w:hideMark/>
          </w:tcPr>
          <w:p w14:paraId="69A40220"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Laboratorijska, optična in precizna oprema (razen očal)</w:t>
            </w:r>
          </w:p>
        </w:tc>
        <w:tc>
          <w:tcPr>
            <w:tcW w:w="463" w:type="pct"/>
            <w:shd w:val="clear" w:color="auto" w:fill="auto"/>
            <w:vAlign w:val="center"/>
            <w:hideMark/>
          </w:tcPr>
          <w:p w14:paraId="53F2768B"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173</w:t>
            </w:r>
          </w:p>
        </w:tc>
        <w:tc>
          <w:tcPr>
            <w:tcW w:w="851" w:type="pct"/>
            <w:shd w:val="clear" w:color="auto" w:fill="auto"/>
            <w:vAlign w:val="center"/>
            <w:hideMark/>
          </w:tcPr>
          <w:p w14:paraId="17BA8213"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11.893.556</w:t>
            </w:r>
          </w:p>
        </w:tc>
        <w:tc>
          <w:tcPr>
            <w:tcW w:w="566" w:type="pct"/>
            <w:shd w:val="clear" w:color="auto" w:fill="auto"/>
            <w:noWrap/>
            <w:vAlign w:val="center"/>
            <w:hideMark/>
          </w:tcPr>
          <w:p w14:paraId="691CC2A1"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2,49</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0F638F61"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0,96</w:t>
            </w:r>
            <w:r>
              <w:rPr>
                <w:rFonts w:ascii="Arial" w:eastAsia="Times New Roman" w:hAnsi="Arial" w:cs="Arial"/>
                <w:color w:val="000000"/>
                <w:sz w:val="18"/>
                <w:szCs w:val="18"/>
                <w:lang w:eastAsia="sl-SI"/>
              </w:rPr>
              <w:t xml:space="preserve"> %</w:t>
            </w:r>
          </w:p>
        </w:tc>
      </w:tr>
      <w:tr w:rsidR="00E3750C" w:rsidRPr="00F71B08" w14:paraId="0EBE6029" w14:textId="77777777" w:rsidTr="00047864">
        <w:trPr>
          <w:trHeight w:val="300"/>
        </w:trPr>
        <w:tc>
          <w:tcPr>
            <w:tcW w:w="553" w:type="pct"/>
            <w:shd w:val="clear" w:color="auto" w:fill="auto"/>
            <w:vAlign w:val="center"/>
            <w:hideMark/>
          </w:tcPr>
          <w:p w14:paraId="47C4395B"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39</w:t>
            </w:r>
          </w:p>
        </w:tc>
        <w:tc>
          <w:tcPr>
            <w:tcW w:w="2071" w:type="pct"/>
            <w:shd w:val="clear" w:color="auto" w:fill="auto"/>
            <w:vAlign w:val="center"/>
            <w:hideMark/>
          </w:tcPr>
          <w:p w14:paraId="4DD93A97"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Pohištvo (vključno s pisarniškim pohištvom), notranja oprema, gospodinjske naprave (razen svetil) in čistilna sredstva</w:t>
            </w:r>
          </w:p>
        </w:tc>
        <w:tc>
          <w:tcPr>
            <w:tcW w:w="463" w:type="pct"/>
            <w:shd w:val="clear" w:color="auto" w:fill="auto"/>
            <w:vAlign w:val="center"/>
            <w:hideMark/>
          </w:tcPr>
          <w:p w14:paraId="21A9873A"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221</w:t>
            </w:r>
          </w:p>
        </w:tc>
        <w:tc>
          <w:tcPr>
            <w:tcW w:w="851" w:type="pct"/>
            <w:shd w:val="clear" w:color="auto" w:fill="auto"/>
            <w:vAlign w:val="center"/>
            <w:hideMark/>
          </w:tcPr>
          <w:p w14:paraId="7FB583C6"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8.384.879</w:t>
            </w:r>
          </w:p>
        </w:tc>
        <w:tc>
          <w:tcPr>
            <w:tcW w:w="566" w:type="pct"/>
            <w:shd w:val="clear" w:color="auto" w:fill="auto"/>
            <w:noWrap/>
            <w:vAlign w:val="center"/>
            <w:hideMark/>
          </w:tcPr>
          <w:p w14:paraId="718D3C9C"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3,19</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525B2C46"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0,68</w:t>
            </w:r>
            <w:r>
              <w:rPr>
                <w:rFonts w:ascii="Arial" w:eastAsia="Times New Roman" w:hAnsi="Arial" w:cs="Arial"/>
                <w:color w:val="000000"/>
                <w:sz w:val="18"/>
                <w:szCs w:val="18"/>
                <w:lang w:eastAsia="sl-SI"/>
              </w:rPr>
              <w:t xml:space="preserve"> %</w:t>
            </w:r>
          </w:p>
        </w:tc>
      </w:tr>
      <w:tr w:rsidR="00E3750C" w:rsidRPr="00F71B08" w14:paraId="69477BD6" w14:textId="77777777" w:rsidTr="00047864">
        <w:trPr>
          <w:trHeight w:val="300"/>
        </w:trPr>
        <w:tc>
          <w:tcPr>
            <w:tcW w:w="553" w:type="pct"/>
            <w:shd w:val="clear" w:color="auto" w:fill="auto"/>
            <w:vAlign w:val="center"/>
            <w:hideMark/>
          </w:tcPr>
          <w:p w14:paraId="387BB97F"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41</w:t>
            </w:r>
          </w:p>
        </w:tc>
        <w:tc>
          <w:tcPr>
            <w:tcW w:w="2071" w:type="pct"/>
            <w:shd w:val="clear" w:color="auto" w:fill="auto"/>
            <w:vAlign w:val="center"/>
            <w:hideMark/>
          </w:tcPr>
          <w:p w14:paraId="7D88043E"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Zbrana in očiščena voda</w:t>
            </w:r>
          </w:p>
        </w:tc>
        <w:tc>
          <w:tcPr>
            <w:tcW w:w="463" w:type="pct"/>
            <w:shd w:val="clear" w:color="auto" w:fill="auto"/>
            <w:vAlign w:val="center"/>
            <w:hideMark/>
          </w:tcPr>
          <w:p w14:paraId="6617A6D2"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7</w:t>
            </w:r>
          </w:p>
        </w:tc>
        <w:tc>
          <w:tcPr>
            <w:tcW w:w="851" w:type="pct"/>
            <w:shd w:val="clear" w:color="auto" w:fill="auto"/>
            <w:vAlign w:val="center"/>
            <w:hideMark/>
          </w:tcPr>
          <w:p w14:paraId="3467C080"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1.005.246</w:t>
            </w:r>
          </w:p>
        </w:tc>
        <w:tc>
          <w:tcPr>
            <w:tcW w:w="566" w:type="pct"/>
            <w:shd w:val="clear" w:color="auto" w:fill="auto"/>
            <w:noWrap/>
            <w:vAlign w:val="center"/>
            <w:hideMark/>
          </w:tcPr>
          <w:p w14:paraId="0B50ABCB"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0,10</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30DB548D"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0,08</w:t>
            </w:r>
            <w:r>
              <w:rPr>
                <w:rFonts w:ascii="Arial" w:eastAsia="Times New Roman" w:hAnsi="Arial" w:cs="Arial"/>
                <w:color w:val="000000"/>
                <w:sz w:val="18"/>
                <w:szCs w:val="18"/>
                <w:lang w:eastAsia="sl-SI"/>
              </w:rPr>
              <w:t xml:space="preserve"> %</w:t>
            </w:r>
          </w:p>
        </w:tc>
      </w:tr>
      <w:tr w:rsidR="00E3750C" w:rsidRPr="00F71B08" w14:paraId="16A32CC4" w14:textId="77777777" w:rsidTr="00047864">
        <w:trPr>
          <w:trHeight w:val="300"/>
        </w:trPr>
        <w:tc>
          <w:tcPr>
            <w:tcW w:w="553" w:type="pct"/>
            <w:shd w:val="clear" w:color="auto" w:fill="auto"/>
            <w:vAlign w:val="center"/>
            <w:hideMark/>
          </w:tcPr>
          <w:p w14:paraId="7666C00B"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42</w:t>
            </w:r>
          </w:p>
        </w:tc>
        <w:tc>
          <w:tcPr>
            <w:tcW w:w="2071" w:type="pct"/>
            <w:shd w:val="clear" w:color="auto" w:fill="auto"/>
            <w:vAlign w:val="center"/>
            <w:hideMark/>
          </w:tcPr>
          <w:p w14:paraId="5EE25723"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Industrijski stroji</w:t>
            </w:r>
          </w:p>
        </w:tc>
        <w:tc>
          <w:tcPr>
            <w:tcW w:w="463" w:type="pct"/>
            <w:shd w:val="clear" w:color="auto" w:fill="auto"/>
            <w:vAlign w:val="center"/>
            <w:hideMark/>
          </w:tcPr>
          <w:p w14:paraId="2C35BE58"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147</w:t>
            </w:r>
          </w:p>
        </w:tc>
        <w:tc>
          <w:tcPr>
            <w:tcW w:w="851" w:type="pct"/>
            <w:shd w:val="clear" w:color="auto" w:fill="auto"/>
            <w:vAlign w:val="center"/>
            <w:hideMark/>
          </w:tcPr>
          <w:p w14:paraId="24D40DA3"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11.057.941</w:t>
            </w:r>
          </w:p>
        </w:tc>
        <w:tc>
          <w:tcPr>
            <w:tcW w:w="566" w:type="pct"/>
            <w:shd w:val="clear" w:color="auto" w:fill="auto"/>
            <w:noWrap/>
            <w:vAlign w:val="center"/>
            <w:hideMark/>
          </w:tcPr>
          <w:p w14:paraId="761BED9E"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2,12</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2877CA93"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0,89</w:t>
            </w:r>
            <w:r>
              <w:rPr>
                <w:rFonts w:ascii="Arial" w:eastAsia="Times New Roman" w:hAnsi="Arial" w:cs="Arial"/>
                <w:color w:val="000000"/>
                <w:sz w:val="18"/>
                <w:szCs w:val="18"/>
                <w:lang w:eastAsia="sl-SI"/>
              </w:rPr>
              <w:t xml:space="preserve"> %</w:t>
            </w:r>
          </w:p>
        </w:tc>
      </w:tr>
      <w:tr w:rsidR="00E3750C" w:rsidRPr="00F71B08" w14:paraId="2DB62E90" w14:textId="77777777" w:rsidTr="00047864">
        <w:trPr>
          <w:trHeight w:val="300"/>
        </w:trPr>
        <w:tc>
          <w:tcPr>
            <w:tcW w:w="553" w:type="pct"/>
            <w:shd w:val="clear" w:color="auto" w:fill="auto"/>
            <w:vAlign w:val="center"/>
            <w:hideMark/>
          </w:tcPr>
          <w:p w14:paraId="0CF919FF"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43</w:t>
            </w:r>
          </w:p>
        </w:tc>
        <w:tc>
          <w:tcPr>
            <w:tcW w:w="2071" w:type="pct"/>
            <w:shd w:val="clear" w:color="auto" w:fill="auto"/>
            <w:vAlign w:val="center"/>
            <w:hideMark/>
          </w:tcPr>
          <w:p w14:paraId="4B67075B"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Rudarska, kamnoseška in gradbena oprema</w:t>
            </w:r>
          </w:p>
        </w:tc>
        <w:tc>
          <w:tcPr>
            <w:tcW w:w="463" w:type="pct"/>
            <w:shd w:val="clear" w:color="auto" w:fill="auto"/>
            <w:vAlign w:val="center"/>
            <w:hideMark/>
          </w:tcPr>
          <w:p w14:paraId="4A91FEFB"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48</w:t>
            </w:r>
          </w:p>
        </w:tc>
        <w:tc>
          <w:tcPr>
            <w:tcW w:w="851" w:type="pct"/>
            <w:shd w:val="clear" w:color="auto" w:fill="auto"/>
            <w:vAlign w:val="center"/>
            <w:hideMark/>
          </w:tcPr>
          <w:p w14:paraId="5DEFC39D"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6.828.246</w:t>
            </w:r>
          </w:p>
        </w:tc>
        <w:tc>
          <w:tcPr>
            <w:tcW w:w="566" w:type="pct"/>
            <w:shd w:val="clear" w:color="auto" w:fill="auto"/>
            <w:noWrap/>
            <w:vAlign w:val="center"/>
            <w:hideMark/>
          </w:tcPr>
          <w:p w14:paraId="52305578"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0,69</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234BCAF7"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0,55</w:t>
            </w:r>
            <w:r>
              <w:rPr>
                <w:rFonts w:ascii="Arial" w:eastAsia="Times New Roman" w:hAnsi="Arial" w:cs="Arial"/>
                <w:color w:val="000000"/>
                <w:sz w:val="18"/>
                <w:szCs w:val="18"/>
                <w:lang w:eastAsia="sl-SI"/>
              </w:rPr>
              <w:t xml:space="preserve"> %</w:t>
            </w:r>
          </w:p>
        </w:tc>
      </w:tr>
      <w:tr w:rsidR="00E3750C" w:rsidRPr="00F71B08" w14:paraId="739B1CD6" w14:textId="77777777" w:rsidTr="00047864">
        <w:trPr>
          <w:trHeight w:val="300"/>
        </w:trPr>
        <w:tc>
          <w:tcPr>
            <w:tcW w:w="553" w:type="pct"/>
            <w:shd w:val="clear" w:color="auto" w:fill="auto"/>
            <w:vAlign w:val="center"/>
            <w:hideMark/>
          </w:tcPr>
          <w:p w14:paraId="41251311"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44</w:t>
            </w:r>
          </w:p>
        </w:tc>
        <w:tc>
          <w:tcPr>
            <w:tcW w:w="2071" w:type="pct"/>
            <w:shd w:val="clear" w:color="auto" w:fill="auto"/>
            <w:vAlign w:val="center"/>
            <w:hideMark/>
          </w:tcPr>
          <w:p w14:paraId="46595B53"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Gradbene strukture in materiali; pomožni gradbeni izdelki (razen električnih aparatov)</w:t>
            </w:r>
          </w:p>
        </w:tc>
        <w:tc>
          <w:tcPr>
            <w:tcW w:w="463" w:type="pct"/>
            <w:shd w:val="clear" w:color="auto" w:fill="auto"/>
            <w:vAlign w:val="center"/>
            <w:hideMark/>
          </w:tcPr>
          <w:p w14:paraId="6D116B6C"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203</w:t>
            </w:r>
          </w:p>
        </w:tc>
        <w:tc>
          <w:tcPr>
            <w:tcW w:w="851" w:type="pct"/>
            <w:shd w:val="clear" w:color="auto" w:fill="auto"/>
            <w:vAlign w:val="center"/>
            <w:hideMark/>
          </w:tcPr>
          <w:p w14:paraId="5052FA21"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11.897.069</w:t>
            </w:r>
          </w:p>
        </w:tc>
        <w:tc>
          <w:tcPr>
            <w:tcW w:w="566" w:type="pct"/>
            <w:shd w:val="clear" w:color="auto" w:fill="auto"/>
            <w:noWrap/>
            <w:vAlign w:val="center"/>
            <w:hideMark/>
          </w:tcPr>
          <w:p w14:paraId="1A52B369"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2,93</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71B97A70"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0,96</w:t>
            </w:r>
            <w:r>
              <w:rPr>
                <w:rFonts w:ascii="Arial" w:eastAsia="Times New Roman" w:hAnsi="Arial" w:cs="Arial"/>
                <w:color w:val="000000"/>
                <w:sz w:val="18"/>
                <w:szCs w:val="18"/>
                <w:lang w:eastAsia="sl-SI"/>
              </w:rPr>
              <w:t xml:space="preserve"> %</w:t>
            </w:r>
          </w:p>
        </w:tc>
      </w:tr>
      <w:tr w:rsidR="00E3750C" w:rsidRPr="00F71B08" w14:paraId="0C08512D" w14:textId="77777777" w:rsidTr="00047864">
        <w:trPr>
          <w:trHeight w:val="300"/>
        </w:trPr>
        <w:tc>
          <w:tcPr>
            <w:tcW w:w="553" w:type="pct"/>
            <w:shd w:val="clear" w:color="auto" w:fill="auto"/>
            <w:vAlign w:val="center"/>
            <w:hideMark/>
          </w:tcPr>
          <w:p w14:paraId="20AE2B37"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45</w:t>
            </w:r>
          </w:p>
        </w:tc>
        <w:tc>
          <w:tcPr>
            <w:tcW w:w="2071" w:type="pct"/>
            <w:shd w:val="clear" w:color="auto" w:fill="auto"/>
            <w:vAlign w:val="center"/>
            <w:hideMark/>
          </w:tcPr>
          <w:p w14:paraId="54BC9EFE"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Gradbena dela</w:t>
            </w:r>
          </w:p>
        </w:tc>
        <w:tc>
          <w:tcPr>
            <w:tcW w:w="463" w:type="pct"/>
            <w:shd w:val="clear" w:color="auto" w:fill="auto"/>
            <w:vAlign w:val="center"/>
            <w:hideMark/>
          </w:tcPr>
          <w:p w14:paraId="632C5116"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1.598</w:t>
            </w:r>
          </w:p>
        </w:tc>
        <w:tc>
          <w:tcPr>
            <w:tcW w:w="851" w:type="pct"/>
            <w:shd w:val="clear" w:color="auto" w:fill="auto"/>
            <w:vAlign w:val="center"/>
            <w:hideMark/>
          </w:tcPr>
          <w:p w14:paraId="362F9887"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906.134.364</w:t>
            </w:r>
          </w:p>
        </w:tc>
        <w:tc>
          <w:tcPr>
            <w:tcW w:w="566" w:type="pct"/>
            <w:shd w:val="clear" w:color="auto" w:fill="auto"/>
            <w:noWrap/>
            <w:vAlign w:val="center"/>
            <w:hideMark/>
          </w:tcPr>
          <w:p w14:paraId="5AFB3D38"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23,04</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736886CD"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73,17</w:t>
            </w:r>
            <w:r>
              <w:rPr>
                <w:rFonts w:ascii="Arial" w:eastAsia="Times New Roman" w:hAnsi="Arial" w:cs="Arial"/>
                <w:color w:val="000000"/>
                <w:sz w:val="18"/>
                <w:szCs w:val="18"/>
                <w:lang w:eastAsia="sl-SI"/>
              </w:rPr>
              <w:t xml:space="preserve"> %</w:t>
            </w:r>
          </w:p>
        </w:tc>
      </w:tr>
      <w:tr w:rsidR="00E3750C" w:rsidRPr="00F71B08" w14:paraId="533D1FAA" w14:textId="77777777" w:rsidTr="00047864">
        <w:trPr>
          <w:trHeight w:val="300"/>
        </w:trPr>
        <w:tc>
          <w:tcPr>
            <w:tcW w:w="553" w:type="pct"/>
            <w:shd w:val="clear" w:color="auto" w:fill="auto"/>
            <w:vAlign w:val="center"/>
            <w:hideMark/>
          </w:tcPr>
          <w:p w14:paraId="361ED1A3"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48</w:t>
            </w:r>
          </w:p>
        </w:tc>
        <w:tc>
          <w:tcPr>
            <w:tcW w:w="2071" w:type="pct"/>
            <w:shd w:val="clear" w:color="auto" w:fill="auto"/>
            <w:vAlign w:val="center"/>
            <w:hideMark/>
          </w:tcPr>
          <w:p w14:paraId="575D2D16"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Programski paketi in informacijski sistemi</w:t>
            </w:r>
          </w:p>
        </w:tc>
        <w:tc>
          <w:tcPr>
            <w:tcW w:w="463" w:type="pct"/>
            <w:shd w:val="clear" w:color="auto" w:fill="auto"/>
            <w:vAlign w:val="center"/>
            <w:hideMark/>
          </w:tcPr>
          <w:p w14:paraId="2C977AC9"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89</w:t>
            </w:r>
          </w:p>
        </w:tc>
        <w:tc>
          <w:tcPr>
            <w:tcW w:w="851" w:type="pct"/>
            <w:shd w:val="clear" w:color="auto" w:fill="auto"/>
            <w:vAlign w:val="center"/>
            <w:hideMark/>
          </w:tcPr>
          <w:p w14:paraId="4A4E4A09"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7.878.404</w:t>
            </w:r>
          </w:p>
        </w:tc>
        <w:tc>
          <w:tcPr>
            <w:tcW w:w="566" w:type="pct"/>
            <w:shd w:val="clear" w:color="auto" w:fill="auto"/>
            <w:noWrap/>
            <w:vAlign w:val="center"/>
            <w:hideMark/>
          </w:tcPr>
          <w:p w14:paraId="387B0D04"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1,28</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63AF32CF"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0,64</w:t>
            </w:r>
            <w:r>
              <w:rPr>
                <w:rFonts w:ascii="Arial" w:eastAsia="Times New Roman" w:hAnsi="Arial" w:cs="Arial"/>
                <w:color w:val="000000"/>
                <w:sz w:val="18"/>
                <w:szCs w:val="18"/>
                <w:lang w:eastAsia="sl-SI"/>
              </w:rPr>
              <w:t xml:space="preserve"> %</w:t>
            </w:r>
          </w:p>
        </w:tc>
      </w:tr>
      <w:tr w:rsidR="00E3750C" w:rsidRPr="00F71B08" w14:paraId="1267AB28" w14:textId="77777777" w:rsidTr="00047864">
        <w:trPr>
          <w:trHeight w:val="300"/>
        </w:trPr>
        <w:tc>
          <w:tcPr>
            <w:tcW w:w="553" w:type="pct"/>
            <w:shd w:val="clear" w:color="auto" w:fill="auto"/>
            <w:vAlign w:val="center"/>
            <w:hideMark/>
          </w:tcPr>
          <w:p w14:paraId="6AF4AF3F"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50</w:t>
            </w:r>
          </w:p>
        </w:tc>
        <w:tc>
          <w:tcPr>
            <w:tcW w:w="2071" w:type="pct"/>
            <w:shd w:val="clear" w:color="auto" w:fill="auto"/>
            <w:vAlign w:val="center"/>
            <w:hideMark/>
          </w:tcPr>
          <w:p w14:paraId="47F3F2B5"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Storitve popravila in vzdrževanja</w:t>
            </w:r>
          </w:p>
        </w:tc>
        <w:tc>
          <w:tcPr>
            <w:tcW w:w="463" w:type="pct"/>
            <w:shd w:val="clear" w:color="auto" w:fill="auto"/>
            <w:vAlign w:val="center"/>
            <w:hideMark/>
          </w:tcPr>
          <w:p w14:paraId="74B2D61A"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406</w:t>
            </w:r>
          </w:p>
        </w:tc>
        <w:tc>
          <w:tcPr>
            <w:tcW w:w="851" w:type="pct"/>
            <w:shd w:val="clear" w:color="auto" w:fill="auto"/>
            <w:vAlign w:val="center"/>
            <w:hideMark/>
          </w:tcPr>
          <w:p w14:paraId="0BCCA72C"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26.829.643</w:t>
            </w:r>
          </w:p>
        </w:tc>
        <w:tc>
          <w:tcPr>
            <w:tcW w:w="566" w:type="pct"/>
            <w:shd w:val="clear" w:color="auto" w:fill="auto"/>
            <w:noWrap/>
            <w:vAlign w:val="center"/>
            <w:hideMark/>
          </w:tcPr>
          <w:p w14:paraId="4536030C"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5,85</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441FC8D0"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2,17</w:t>
            </w:r>
            <w:r>
              <w:rPr>
                <w:rFonts w:ascii="Arial" w:eastAsia="Times New Roman" w:hAnsi="Arial" w:cs="Arial"/>
                <w:color w:val="000000"/>
                <w:sz w:val="18"/>
                <w:szCs w:val="18"/>
                <w:lang w:eastAsia="sl-SI"/>
              </w:rPr>
              <w:t xml:space="preserve"> %</w:t>
            </w:r>
          </w:p>
        </w:tc>
      </w:tr>
      <w:tr w:rsidR="00E3750C" w:rsidRPr="00F71B08" w14:paraId="419DEC2A" w14:textId="77777777" w:rsidTr="00047864">
        <w:trPr>
          <w:trHeight w:val="300"/>
        </w:trPr>
        <w:tc>
          <w:tcPr>
            <w:tcW w:w="553" w:type="pct"/>
            <w:shd w:val="clear" w:color="auto" w:fill="auto"/>
            <w:vAlign w:val="center"/>
            <w:hideMark/>
          </w:tcPr>
          <w:p w14:paraId="2E1DDDF9"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51</w:t>
            </w:r>
          </w:p>
        </w:tc>
        <w:tc>
          <w:tcPr>
            <w:tcW w:w="2071" w:type="pct"/>
            <w:shd w:val="clear" w:color="auto" w:fill="auto"/>
            <w:vAlign w:val="center"/>
            <w:hideMark/>
          </w:tcPr>
          <w:p w14:paraId="4AD95506"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Storitve inštalacije (razen programske opreme)</w:t>
            </w:r>
          </w:p>
        </w:tc>
        <w:tc>
          <w:tcPr>
            <w:tcW w:w="463" w:type="pct"/>
            <w:shd w:val="clear" w:color="auto" w:fill="auto"/>
            <w:vAlign w:val="center"/>
            <w:hideMark/>
          </w:tcPr>
          <w:p w14:paraId="0E9FB088"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49</w:t>
            </w:r>
          </w:p>
        </w:tc>
        <w:tc>
          <w:tcPr>
            <w:tcW w:w="851" w:type="pct"/>
            <w:shd w:val="clear" w:color="auto" w:fill="auto"/>
            <w:vAlign w:val="center"/>
            <w:hideMark/>
          </w:tcPr>
          <w:p w14:paraId="1F4413B8"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6.331.228</w:t>
            </w:r>
          </w:p>
        </w:tc>
        <w:tc>
          <w:tcPr>
            <w:tcW w:w="566" w:type="pct"/>
            <w:shd w:val="clear" w:color="auto" w:fill="auto"/>
            <w:noWrap/>
            <w:vAlign w:val="center"/>
            <w:hideMark/>
          </w:tcPr>
          <w:p w14:paraId="11B54A2C"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0,71</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72EB22AB"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0,51</w:t>
            </w:r>
            <w:r>
              <w:rPr>
                <w:rFonts w:ascii="Arial" w:eastAsia="Times New Roman" w:hAnsi="Arial" w:cs="Arial"/>
                <w:color w:val="000000"/>
                <w:sz w:val="18"/>
                <w:szCs w:val="18"/>
                <w:lang w:eastAsia="sl-SI"/>
              </w:rPr>
              <w:t xml:space="preserve"> %</w:t>
            </w:r>
          </w:p>
        </w:tc>
      </w:tr>
      <w:tr w:rsidR="00E3750C" w:rsidRPr="00F71B08" w14:paraId="7F887955" w14:textId="77777777" w:rsidTr="00047864">
        <w:trPr>
          <w:trHeight w:val="300"/>
        </w:trPr>
        <w:tc>
          <w:tcPr>
            <w:tcW w:w="553" w:type="pct"/>
            <w:shd w:val="clear" w:color="auto" w:fill="auto"/>
            <w:vAlign w:val="center"/>
            <w:hideMark/>
          </w:tcPr>
          <w:p w14:paraId="6279CC6A"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55</w:t>
            </w:r>
          </w:p>
        </w:tc>
        <w:tc>
          <w:tcPr>
            <w:tcW w:w="2071" w:type="pct"/>
            <w:shd w:val="clear" w:color="auto" w:fill="auto"/>
            <w:vAlign w:val="center"/>
            <w:hideMark/>
          </w:tcPr>
          <w:p w14:paraId="75A3F172"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Storitve hotelov, restavracij in trgovine na drobno</w:t>
            </w:r>
          </w:p>
        </w:tc>
        <w:tc>
          <w:tcPr>
            <w:tcW w:w="463" w:type="pct"/>
            <w:shd w:val="clear" w:color="auto" w:fill="auto"/>
            <w:vAlign w:val="center"/>
            <w:hideMark/>
          </w:tcPr>
          <w:p w14:paraId="2D7294AE"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1</w:t>
            </w:r>
          </w:p>
        </w:tc>
        <w:tc>
          <w:tcPr>
            <w:tcW w:w="851" w:type="pct"/>
            <w:shd w:val="clear" w:color="auto" w:fill="auto"/>
            <w:vAlign w:val="center"/>
            <w:hideMark/>
          </w:tcPr>
          <w:p w14:paraId="1FBEB134"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83.923</w:t>
            </w:r>
          </w:p>
        </w:tc>
        <w:tc>
          <w:tcPr>
            <w:tcW w:w="566" w:type="pct"/>
            <w:shd w:val="clear" w:color="auto" w:fill="auto"/>
            <w:noWrap/>
            <w:vAlign w:val="center"/>
            <w:hideMark/>
          </w:tcPr>
          <w:p w14:paraId="71A0D122"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4183FCDD"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r>
      <w:tr w:rsidR="00E3750C" w:rsidRPr="00F71B08" w14:paraId="7F7CC552" w14:textId="77777777" w:rsidTr="00047864">
        <w:trPr>
          <w:trHeight w:val="300"/>
        </w:trPr>
        <w:tc>
          <w:tcPr>
            <w:tcW w:w="553" w:type="pct"/>
            <w:shd w:val="clear" w:color="auto" w:fill="auto"/>
            <w:vAlign w:val="center"/>
            <w:hideMark/>
          </w:tcPr>
          <w:p w14:paraId="31A3A3EC"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60</w:t>
            </w:r>
          </w:p>
        </w:tc>
        <w:tc>
          <w:tcPr>
            <w:tcW w:w="2071" w:type="pct"/>
            <w:shd w:val="clear" w:color="auto" w:fill="auto"/>
            <w:vAlign w:val="center"/>
            <w:hideMark/>
          </w:tcPr>
          <w:p w14:paraId="6DD459E4"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Prevozne storitve (razen prevoza odpadkov)</w:t>
            </w:r>
          </w:p>
        </w:tc>
        <w:tc>
          <w:tcPr>
            <w:tcW w:w="463" w:type="pct"/>
            <w:shd w:val="clear" w:color="auto" w:fill="auto"/>
            <w:vAlign w:val="center"/>
            <w:hideMark/>
          </w:tcPr>
          <w:p w14:paraId="068972C6"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121</w:t>
            </w:r>
          </w:p>
        </w:tc>
        <w:tc>
          <w:tcPr>
            <w:tcW w:w="851" w:type="pct"/>
            <w:shd w:val="clear" w:color="auto" w:fill="auto"/>
            <w:vAlign w:val="center"/>
            <w:hideMark/>
          </w:tcPr>
          <w:p w14:paraId="6204BB9E"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8.690.795</w:t>
            </w:r>
          </w:p>
        </w:tc>
        <w:tc>
          <w:tcPr>
            <w:tcW w:w="566" w:type="pct"/>
            <w:shd w:val="clear" w:color="auto" w:fill="auto"/>
            <w:noWrap/>
            <w:vAlign w:val="center"/>
            <w:hideMark/>
          </w:tcPr>
          <w:p w14:paraId="6A9E843F"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1,74</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5E445BA6"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0,70</w:t>
            </w:r>
            <w:r>
              <w:rPr>
                <w:rFonts w:ascii="Arial" w:eastAsia="Times New Roman" w:hAnsi="Arial" w:cs="Arial"/>
                <w:color w:val="000000"/>
                <w:sz w:val="18"/>
                <w:szCs w:val="18"/>
                <w:lang w:eastAsia="sl-SI"/>
              </w:rPr>
              <w:t xml:space="preserve"> %</w:t>
            </w:r>
          </w:p>
        </w:tc>
      </w:tr>
      <w:tr w:rsidR="00E3750C" w:rsidRPr="00F71B08" w14:paraId="2BA6BFA4" w14:textId="77777777" w:rsidTr="00047864">
        <w:trPr>
          <w:trHeight w:val="300"/>
        </w:trPr>
        <w:tc>
          <w:tcPr>
            <w:tcW w:w="553" w:type="pct"/>
            <w:shd w:val="clear" w:color="auto" w:fill="auto"/>
            <w:vAlign w:val="center"/>
            <w:hideMark/>
          </w:tcPr>
          <w:p w14:paraId="70AAC8B5"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63</w:t>
            </w:r>
          </w:p>
        </w:tc>
        <w:tc>
          <w:tcPr>
            <w:tcW w:w="2071" w:type="pct"/>
            <w:shd w:val="clear" w:color="auto" w:fill="auto"/>
            <w:vAlign w:val="center"/>
            <w:hideMark/>
          </w:tcPr>
          <w:p w14:paraId="62E2B393"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Podporne in pomožne prevozne storitve; storitve potovalnih agencij</w:t>
            </w:r>
          </w:p>
        </w:tc>
        <w:tc>
          <w:tcPr>
            <w:tcW w:w="463" w:type="pct"/>
            <w:shd w:val="clear" w:color="auto" w:fill="auto"/>
            <w:vAlign w:val="center"/>
            <w:hideMark/>
          </w:tcPr>
          <w:p w14:paraId="2E0FF6EE"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8</w:t>
            </w:r>
          </w:p>
        </w:tc>
        <w:tc>
          <w:tcPr>
            <w:tcW w:w="851" w:type="pct"/>
            <w:shd w:val="clear" w:color="auto" w:fill="auto"/>
            <w:vAlign w:val="center"/>
            <w:hideMark/>
          </w:tcPr>
          <w:p w14:paraId="3580CAD9"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408.378</w:t>
            </w:r>
          </w:p>
        </w:tc>
        <w:tc>
          <w:tcPr>
            <w:tcW w:w="566" w:type="pct"/>
            <w:shd w:val="clear" w:color="auto" w:fill="auto"/>
            <w:noWrap/>
            <w:vAlign w:val="center"/>
            <w:hideMark/>
          </w:tcPr>
          <w:p w14:paraId="28F2BE20"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0,12</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03749C8F"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r>
      <w:tr w:rsidR="00E3750C" w:rsidRPr="00F71B08" w14:paraId="203F6080" w14:textId="77777777" w:rsidTr="00047864">
        <w:trPr>
          <w:trHeight w:val="300"/>
        </w:trPr>
        <w:tc>
          <w:tcPr>
            <w:tcW w:w="553" w:type="pct"/>
            <w:shd w:val="clear" w:color="auto" w:fill="auto"/>
            <w:vAlign w:val="center"/>
            <w:hideMark/>
          </w:tcPr>
          <w:p w14:paraId="3712B811"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64</w:t>
            </w:r>
          </w:p>
        </w:tc>
        <w:tc>
          <w:tcPr>
            <w:tcW w:w="2071" w:type="pct"/>
            <w:shd w:val="clear" w:color="auto" w:fill="auto"/>
            <w:vAlign w:val="center"/>
            <w:hideMark/>
          </w:tcPr>
          <w:p w14:paraId="642C3492"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Poštne in telekomunikacijske storitve</w:t>
            </w:r>
          </w:p>
        </w:tc>
        <w:tc>
          <w:tcPr>
            <w:tcW w:w="463" w:type="pct"/>
            <w:shd w:val="clear" w:color="auto" w:fill="auto"/>
            <w:vAlign w:val="center"/>
            <w:hideMark/>
          </w:tcPr>
          <w:p w14:paraId="0EE9C16C"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25</w:t>
            </w:r>
          </w:p>
        </w:tc>
        <w:tc>
          <w:tcPr>
            <w:tcW w:w="851" w:type="pct"/>
            <w:shd w:val="clear" w:color="auto" w:fill="auto"/>
            <w:vAlign w:val="center"/>
            <w:hideMark/>
          </w:tcPr>
          <w:p w14:paraId="38AE13CB"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2.033.192</w:t>
            </w:r>
          </w:p>
        </w:tc>
        <w:tc>
          <w:tcPr>
            <w:tcW w:w="566" w:type="pct"/>
            <w:shd w:val="clear" w:color="auto" w:fill="auto"/>
            <w:noWrap/>
            <w:vAlign w:val="center"/>
            <w:hideMark/>
          </w:tcPr>
          <w:p w14:paraId="093A1822"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0,36</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14BC8B79"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0,16</w:t>
            </w:r>
            <w:r>
              <w:rPr>
                <w:rFonts w:ascii="Arial" w:eastAsia="Times New Roman" w:hAnsi="Arial" w:cs="Arial"/>
                <w:color w:val="000000"/>
                <w:sz w:val="18"/>
                <w:szCs w:val="18"/>
                <w:lang w:eastAsia="sl-SI"/>
              </w:rPr>
              <w:t xml:space="preserve"> %</w:t>
            </w:r>
          </w:p>
        </w:tc>
      </w:tr>
      <w:tr w:rsidR="00E3750C" w:rsidRPr="00F71B08" w14:paraId="40D86C56" w14:textId="77777777" w:rsidTr="00047864">
        <w:trPr>
          <w:trHeight w:val="300"/>
        </w:trPr>
        <w:tc>
          <w:tcPr>
            <w:tcW w:w="553" w:type="pct"/>
            <w:shd w:val="clear" w:color="auto" w:fill="auto"/>
            <w:vAlign w:val="center"/>
            <w:hideMark/>
          </w:tcPr>
          <w:p w14:paraId="3A65C32D"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65</w:t>
            </w:r>
          </w:p>
        </w:tc>
        <w:tc>
          <w:tcPr>
            <w:tcW w:w="2071" w:type="pct"/>
            <w:shd w:val="clear" w:color="auto" w:fill="auto"/>
            <w:vAlign w:val="center"/>
            <w:hideMark/>
          </w:tcPr>
          <w:p w14:paraId="6CFD636C"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Gospodarske javne službe</w:t>
            </w:r>
          </w:p>
        </w:tc>
        <w:tc>
          <w:tcPr>
            <w:tcW w:w="463" w:type="pct"/>
            <w:shd w:val="clear" w:color="auto" w:fill="auto"/>
            <w:vAlign w:val="center"/>
            <w:hideMark/>
          </w:tcPr>
          <w:p w14:paraId="4FDC0A6A"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13</w:t>
            </w:r>
          </w:p>
        </w:tc>
        <w:tc>
          <w:tcPr>
            <w:tcW w:w="851" w:type="pct"/>
            <w:shd w:val="clear" w:color="auto" w:fill="auto"/>
            <w:vAlign w:val="center"/>
            <w:hideMark/>
          </w:tcPr>
          <w:p w14:paraId="478858CD"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1.818.131</w:t>
            </w:r>
          </w:p>
        </w:tc>
        <w:tc>
          <w:tcPr>
            <w:tcW w:w="566" w:type="pct"/>
            <w:shd w:val="clear" w:color="auto" w:fill="auto"/>
            <w:noWrap/>
            <w:vAlign w:val="center"/>
            <w:hideMark/>
          </w:tcPr>
          <w:p w14:paraId="54C39793"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0,19</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6E9AB9D7"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0,15</w:t>
            </w:r>
            <w:r>
              <w:rPr>
                <w:rFonts w:ascii="Arial" w:eastAsia="Times New Roman" w:hAnsi="Arial" w:cs="Arial"/>
                <w:color w:val="000000"/>
                <w:sz w:val="18"/>
                <w:szCs w:val="18"/>
                <w:lang w:eastAsia="sl-SI"/>
              </w:rPr>
              <w:t xml:space="preserve"> %</w:t>
            </w:r>
          </w:p>
        </w:tc>
      </w:tr>
      <w:tr w:rsidR="00E3750C" w:rsidRPr="00F71B08" w14:paraId="6A4A3E31" w14:textId="77777777" w:rsidTr="00047864">
        <w:trPr>
          <w:trHeight w:val="300"/>
        </w:trPr>
        <w:tc>
          <w:tcPr>
            <w:tcW w:w="553" w:type="pct"/>
            <w:shd w:val="clear" w:color="auto" w:fill="auto"/>
            <w:vAlign w:val="center"/>
            <w:hideMark/>
          </w:tcPr>
          <w:p w14:paraId="49C0E334"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66</w:t>
            </w:r>
          </w:p>
        </w:tc>
        <w:tc>
          <w:tcPr>
            <w:tcW w:w="2071" w:type="pct"/>
            <w:shd w:val="clear" w:color="auto" w:fill="auto"/>
            <w:vAlign w:val="center"/>
            <w:hideMark/>
          </w:tcPr>
          <w:p w14:paraId="07D91211"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Finančne in zavarovalniške storitve</w:t>
            </w:r>
          </w:p>
        </w:tc>
        <w:tc>
          <w:tcPr>
            <w:tcW w:w="463" w:type="pct"/>
            <w:shd w:val="clear" w:color="auto" w:fill="auto"/>
            <w:vAlign w:val="center"/>
            <w:hideMark/>
          </w:tcPr>
          <w:p w14:paraId="2D96D74A"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46</w:t>
            </w:r>
          </w:p>
        </w:tc>
        <w:tc>
          <w:tcPr>
            <w:tcW w:w="851" w:type="pct"/>
            <w:shd w:val="clear" w:color="auto" w:fill="auto"/>
            <w:vAlign w:val="center"/>
            <w:hideMark/>
          </w:tcPr>
          <w:p w14:paraId="0ECE05CE"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5.125.745</w:t>
            </w:r>
          </w:p>
        </w:tc>
        <w:tc>
          <w:tcPr>
            <w:tcW w:w="566" w:type="pct"/>
            <w:shd w:val="clear" w:color="auto" w:fill="auto"/>
            <w:noWrap/>
            <w:vAlign w:val="center"/>
            <w:hideMark/>
          </w:tcPr>
          <w:p w14:paraId="10C17419"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0,66</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688FA8C3"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0,41</w:t>
            </w:r>
            <w:r>
              <w:rPr>
                <w:rFonts w:ascii="Arial" w:eastAsia="Times New Roman" w:hAnsi="Arial" w:cs="Arial"/>
                <w:color w:val="000000"/>
                <w:sz w:val="18"/>
                <w:szCs w:val="18"/>
                <w:lang w:eastAsia="sl-SI"/>
              </w:rPr>
              <w:t xml:space="preserve"> %</w:t>
            </w:r>
          </w:p>
        </w:tc>
      </w:tr>
      <w:tr w:rsidR="00E3750C" w:rsidRPr="00F71B08" w14:paraId="26E49D61" w14:textId="77777777" w:rsidTr="00047864">
        <w:trPr>
          <w:trHeight w:val="300"/>
        </w:trPr>
        <w:tc>
          <w:tcPr>
            <w:tcW w:w="553" w:type="pct"/>
            <w:shd w:val="clear" w:color="auto" w:fill="auto"/>
            <w:vAlign w:val="center"/>
            <w:hideMark/>
          </w:tcPr>
          <w:p w14:paraId="3D40D995"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lastRenderedPageBreak/>
              <w:t>70</w:t>
            </w:r>
          </w:p>
        </w:tc>
        <w:tc>
          <w:tcPr>
            <w:tcW w:w="2071" w:type="pct"/>
            <w:shd w:val="clear" w:color="auto" w:fill="auto"/>
            <w:vAlign w:val="center"/>
            <w:hideMark/>
          </w:tcPr>
          <w:p w14:paraId="7BE805A9"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Storitve poslovanja z nepremičninami</w:t>
            </w:r>
          </w:p>
        </w:tc>
        <w:tc>
          <w:tcPr>
            <w:tcW w:w="463" w:type="pct"/>
            <w:shd w:val="clear" w:color="auto" w:fill="auto"/>
            <w:vAlign w:val="center"/>
            <w:hideMark/>
          </w:tcPr>
          <w:p w14:paraId="0F2E311D"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9</w:t>
            </w:r>
          </w:p>
        </w:tc>
        <w:tc>
          <w:tcPr>
            <w:tcW w:w="851" w:type="pct"/>
            <w:shd w:val="clear" w:color="auto" w:fill="auto"/>
            <w:vAlign w:val="center"/>
            <w:hideMark/>
          </w:tcPr>
          <w:p w14:paraId="7A1EDDCE"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821.839</w:t>
            </w:r>
          </w:p>
        </w:tc>
        <w:tc>
          <w:tcPr>
            <w:tcW w:w="566" w:type="pct"/>
            <w:shd w:val="clear" w:color="auto" w:fill="auto"/>
            <w:noWrap/>
            <w:vAlign w:val="center"/>
            <w:hideMark/>
          </w:tcPr>
          <w:p w14:paraId="0D30117D"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0,13</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081BA063"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0,07</w:t>
            </w:r>
            <w:r>
              <w:rPr>
                <w:rFonts w:ascii="Arial" w:eastAsia="Times New Roman" w:hAnsi="Arial" w:cs="Arial"/>
                <w:color w:val="000000"/>
                <w:sz w:val="18"/>
                <w:szCs w:val="18"/>
                <w:lang w:eastAsia="sl-SI"/>
              </w:rPr>
              <w:t xml:space="preserve"> %</w:t>
            </w:r>
          </w:p>
        </w:tc>
      </w:tr>
      <w:tr w:rsidR="00E3750C" w:rsidRPr="00F71B08" w14:paraId="3AEC8242" w14:textId="77777777" w:rsidTr="00047864">
        <w:trPr>
          <w:trHeight w:val="300"/>
        </w:trPr>
        <w:tc>
          <w:tcPr>
            <w:tcW w:w="553" w:type="pct"/>
            <w:shd w:val="clear" w:color="auto" w:fill="auto"/>
            <w:vAlign w:val="center"/>
            <w:hideMark/>
          </w:tcPr>
          <w:p w14:paraId="2B765A8C"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71</w:t>
            </w:r>
          </w:p>
        </w:tc>
        <w:tc>
          <w:tcPr>
            <w:tcW w:w="2071" w:type="pct"/>
            <w:shd w:val="clear" w:color="auto" w:fill="auto"/>
            <w:vAlign w:val="center"/>
            <w:hideMark/>
          </w:tcPr>
          <w:p w14:paraId="767C6B32"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Arhitekturne, gradbeniške, inženirske in inšpekcijske storitve</w:t>
            </w:r>
          </w:p>
        </w:tc>
        <w:tc>
          <w:tcPr>
            <w:tcW w:w="463" w:type="pct"/>
            <w:shd w:val="clear" w:color="auto" w:fill="auto"/>
            <w:vAlign w:val="center"/>
            <w:hideMark/>
          </w:tcPr>
          <w:p w14:paraId="1E29622A"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311</w:t>
            </w:r>
          </w:p>
        </w:tc>
        <w:tc>
          <w:tcPr>
            <w:tcW w:w="851" w:type="pct"/>
            <w:shd w:val="clear" w:color="auto" w:fill="auto"/>
            <w:vAlign w:val="center"/>
            <w:hideMark/>
          </w:tcPr>
          <w:p w14:paraId="34A7A89F"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30.218.877</w:t>
            </w:r>
          </w:p>
        </w:tc>
        <w:tc>
          <w:tcPr>
            <w:tcW w:w="566" w:type="pct"/>
            <w:shd w:val="clear" w:color="auto" w:fill="auto"/>
            <w:noWrap/>
            <w:vAlign w:val="center"/>
            <w:hideMark/>
          </w:tcPr>
          <w:p w14:paraId="1EFC9A8E"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4,48</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5BC1F54D"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2,44</w:t>
            </w:r>
            <w:r>
              <w:rPr>
                <w:rFonts w:ascii="Arial" w:eastAsia="Times New Roman" w:hAnsi="Arial" w:cs="Arial"/>
                <w:color w:val="000000"/>
                <w:sz w:val="18"/>
                <w:szCs w:val="18"/>
                <w:lang w:eastAsia="sl-SI"/>
              </w:rPr>
              <w:t xml:space="preserve"> %</w:t>
            </w:r>
          </w:p>
        </w:tc>
      </w:tr>
      <w:tr w:rsidR="00E3750C" w:rsidRPr="00F71B08" w14:paraId="15811967" w14:textId="77777777" w:rsidTr="00047864">
        <w:trPr>
          <w:trHeight w:val="300"/>
        </w:trPr>
        <w:tc>
          <w:tcPr>
            <w:tcW w:w="553" w:type="pct"/>
            <w:shd w:val="clear" w:color="auto" w:fill="auto"/>
            <w:vAlign w:val="center"/>
            <w:hideMark/>
          </w:tcPr>
          <w:p w14:paraId="1E4DFE69"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72</w:t>
            </w:r>
          </w:p>
        </w:tc>
        <w:tc>
          <w:tcPr>
            <w:tcW w:w="2071" w:type="pct"/>
            <w:shd w:val="clear" w:color="auto" w:fill="auto"/>
            <w:vAlign w:val="center"/>
            <w:hideMark/>
          </w:tcPr>
          <w:p w14:paraId="3125D338"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Storitve informacijske tehnologije: svetovanje, razvoj programske opreme, internet in podpora</w:t>
            </w:r>
          </w:p>
        </w:tc>
        <w:tc>
          <w:tcPr>
            <w:tcW w:w="463" w:type="pct"/>
            <w:shd w:val="clear" w:color="auto" w:fill="auto"/>
            <w:vAlign w:val="center"/>
            <w:hideMark/>
          </w:tcPr>
          <w:p w14:paraId="1324D35A"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221</w:t>
            </w:r>
          </w:p>
        </w:tc>
        <w:tc>
          <w:tcPr>
            <w:tcW w:w="851" w:type="pct"/>
            <w:shd w:val="clear" w:color="auto" w:fill="auto"/>
            <w:vAlign w:val="center"/>
            <w:hideMark/>
          </w:tcPr>
          <w:p w14:paraId="06CCEC88"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20.729.116</w:t>
            </w:r>
          </w:p>
        </w:tc>
        <w:tc>
          <w:tcPr>
            <w:tcW w:w="566" w:type="pct"/>
            <w:shd w:val="clear" w:color="auto" w:fill="auto"/>
            <w:noWrap/>
            <w:vAlign w:val="center"/>
            <w:hideMark/>
          </w:tcPr>
          <w:p w14:paraId="7E9ABFCB"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3,19</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11BCDD43"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1,67</w:t>
            </w:r>
            <w:r>
              <w:rPr>
                <w:rFonts w:ascii="Arial" w:eastAsia="Times New Roman" w:hAnsi="Arial" w:cs="Arial"/>
                <w:color w:val="000000"/>
                <w:sz w:val="18"/>
                <w:szCs w:val="18"/>
                <w:lang w:eastAsia="sl-SI"/>
              </w:rPr>
              <w:t xml:space="preserve"> %</w:t>
            </w:r>
          </w:p>
        </w:tc>
      </w:tr>
      <w:tr w:rsidR="00E3750C" w:rsidRPr="00F71B08" w14:paraId="074FC07C" w14:textId="77777777" w:rsidTr="00047864">
        <w:trPr>
          <w:trHeight w:val="300"/>
        </w:trPr>
        <w:tc>
          <w:tcPr>
            <w:tcW w:w="553" w:type="pct"/>
            <w:shd w:val="clear" w:color="auto" w:fill="auto"/>
            <w:vAlign w:val="center"/>
            <w:hideMark/>
          </w:tcPr>
          <w:p w14:paraId="14B83187"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73</w:t>
            </w:r>
          </w:p>
        </w:tc>
        <w:tc>
          <w:tcPr>
            <w:tcW w:w="2071" w:type="pct"/>
            <w:shd w:val="clear" w:color="auto" w:fill="auto"/>
            <w:vAlign w:val="center"/>
            <w:hideMark/>
          </w:tcPr>
          <w:p w14:paraId="7950C8DA"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Storitve na področju raziskav in razvoja ter s tem povezane svetovalne storitve</w:t>
            </w:r>
          </w:p>
        </w:tc>
        <w:tc>
          <w:tcPr>
            <w:tcW w:w="463" w:type="pct"/>
            <w:shd w:val="clear" w:color="auto" w:fill="auto"/>
            <w:vAlign w:val="center"/>
            <w:hideMark/>
          </w:tcPr>
          <w:p w14:paraId="2B3657F8"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32</w:t>
            </w:r>
          </w:p>
        </w:tc>
        <w:tc>
          <w:tcPr>
            <w:tcW w:w="851" w:type="pct"/>
            <w:shd w:val="clear" w:color="auto" w:fill="auto"/>
            <w:vAlign w:val="center"/>
            <w:hideMark/>
          </w:tcPr>
          <w:p w14:paraId="5ED999D6"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2.738.804</w:t>
            </w:r>
          </w:p>
        </w:tc>
        <w:tc>
          <w:tcPr>
            <w:tcW w:w="566" w:type="pct"/>
            <w:shd w:val="clear" w:color="auto" w:fill="auto"/>
            <w:noWrap/>
            <w:vAlign w:val="center"/>
            <w:hideMark/>
          </w:tcPr>
          <w:p w14:paraId="5CEF914A"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0,46</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6DA5A8F5"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0,22</w:t>
            </w:r>
            <w:r>
              <w:rPr>
                <w:rFonts w:ascii="Arial" w:eastAsia="Times New Roman" w:hAnsi="Arial" w:cs="Arial"/>
                <w:color w:val="000000"/>
                <w:sz w:val="18"/>
                <w:szCs w:val="18"/>
                <w:lang w:eastAsia="sl-SI"/>
              </w:rPr>
              <w:t xml:space="preserve"> %</w:t>
            </w:r>
          </w:p>
        </w:tc>
      </w:tr>
      <w:tr w:rsidR="00E3750C" w:rsidRPr="00F71B08" w14:paraId="265303BA" w14:textId="77777777" w:rsidTr="00047864">
        <w:trPr>
          <w:trHeight w:val="300"/>
        </w:trPr>
        <w:tc>
          <w:tcPr>
            <w:tcW w:w="553" w:type="pct"/>
            <w:shd w:val="clear" w:color="auto" w:fill="auto"/>
            <w:vAlign w:val="center"/>
            <w:hideMark/>
          </w:tcPr>
          <w:p w14:paraId="199803BB"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75</w:t>
            </w:r>
          </w:p>
        </w:tc>
        <w:tc>
          <w:tcPr>
            <w:tcW w:w="2071" w:type="pct"/>
            <w:shd w:val="clear" w:color="auto" w:fill="auto"/>
            <w:vAlign w:val="center"/>
            <w:hideMark/>
          </w:tcPr>
          <w:p w14:paraId="77D3D6A0"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Storitve uprave, obrambe in socialnega zavarovanja</w:t>
            </w:r>
          </w:p>
        </w:tc>
        <w:tc>
          <w:tcPr>
            <w:tcW w:w="463" w:type="pct"/>
            <w:shd w:val="clear" w:color="auto" w:fill="auto"/>
            <w:vAlign w:val="center"/>
            <w:hideMark/>
          </w:tcPr>
          <w:p w14:paraId="14DDB316"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5</w:t>
            </w:r>
          </w:p>
        </w:tc>
        <w:tc>
          <w:tcPr>
            <w:tcW w:w="851" w:type="pct"/>
            <w:shd w:val="clear" w:color="auto" w:fill="auto"/>
            <w:vAlign w:val="center"/>
            <w:hideMark/>
          </w:tcPr>
          <w:p w14:paraId="182C0951"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330.812</w:t>
            </w:r>
          </w:p>
        </w:tc>
        <w:tc>
          <w:tcPr>
            <w:tcW w:w="566" w:type="pct"/>
            <w:shd w:val="clear" w:color="auto" w:fill="auto"/>
            <w:noWrap/>
            <w:vAlign w:val="center"/>
            <w:hideMark/>
          </w:tcPr>
          <w:p w14:paraId="6C6E3659"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0,07</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5B27F0F0"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r>
      <w:tr w:rsidR="00E3750C" w:rsidRPr="00F71B08" w14:paraId="4CC4BD49" w14:textId="77777777" w:rsidTr="00047864">
        <w:trPr>
          <w:trHeight w:val="300"/>
        </w:trPr>
        <w:tc>
          <w:tcPr>
            <w:tcW w:w="553" w:type="pct"/>
            <w:shd w:val="clear" w:color="auto" w:fill="auto"/>
            <w:vAlign w:val="center"/>
            <w:hideMark/>
          </w:tcPr>
          <w:p w14:paraId="59C2B68F"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77</w:t>
            </w:r>
          </w:p>
        </w:tc>
        <w:tc>
          <w:tcPr>
            <w:tcW w:w="2071" w:type="pct"/>
            <w:shd w:val="clear" w:color="auto" w:fill="auto"/>
            <w:vAlign w:val="center"/>
            <w:hideMark/>
          </w:tcPr>
          <w:p w14:paraId="1DE26A70"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Storitve na področju kmetijstva, gozdarstva, hortikulture, akvakulture in čebelarstva</w:t>
            </w:r>
          </w:p>
        </w:tc>
        <w:tc>
          <w:tcPr>
            <w:tcW w:w="463" w:type="pct"/>
            <w:shd w:val="clear" w:color="auto" w:fill="auto"/>
            <w:vAlign w:val="center"/>
            <w:hideMark/>
          </w:tcPr>
          <w:p w14:paraId="121A000A"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57</w:t>
            </w:r>
          </w:p>
        </w:tc>
        <w:tc>
          <w:tcPr>
            <w:tcW w:w="851" w:type="pct"/>
            <w:shd w:val="clear" w:color="auto" w:fill="auto"/>
            <w:vAlign w:val="center"/>
            <w:hideMark/>
          </w:tcPr>
          <w:p w14:paraId="0A803FB3"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3.834.829</w:t>
            </w:r>
          </w:p>
        </w:tc>
        <w:tc>
          <w:tcPr>
            <w:tcW w:w="566" w:type="pct"/>
            <w:shd w:val="clear" w:color="auto" w:fill="auto"/>
            <w:noWrap/>
            <w:vAlign w:val="center"/>
            <w:hideMark/>
          </w:tcPr>
          <w:p w14:paraId="7518751D"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0,82</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4651D77D"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0,31</w:t>
            </w:r>
            <w:r>
              <w:rPr>
                <w:rFonts w:ascii="Arial" w:eastAsia="Times New Roman" w:hAnsi="Arial" w:cs="Arial"/>
                <w:color w:val="000000"/>
                <w:sz w:val="18"/>
                <w:szCs w:val="18"/>
                <w:lang w:eastAsia="sl-SI"/>
              </w:rPr>
              <w:t xml:space="preserve"> %</w:t>
            </w:r>
          </w:p>
        </w:tc>
      </w:tr>
      <w:tr w:rsidR="00E3750C" w:rsidRPr="00F71B08" w14:paraId="40906393" w14:textId="77777777" w:rsidTr="00047864">
        <w:trPr>
          <w:trHeight w:val="300"/>
        </w:trPr>
        <w:tc>
          <w:tcPr>
            <w:tcW w:w="553" w:type="pct"/>
            <w:shd w:val="clear" w:color="auto" w:fill="auto"/>
            <w:vAlign w:val="center"/>
            <w:hideMark/>
          </w:tcPr>
          <w:p w14:paraId="329E826C"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79</w:t>
            </w:r>
          </w:p>
        </w:tc>
        <w:tc>
          <w:tcPr>
            <w:tcW w:w="2071" w:type="pct"/>
            <w:shd w:val="clear" w:color="auto" w:fill="auto"/>
            <w:vAlign w:val="center"/>
            <w:hideMark/>
          </w:tcPr>
          <w:p w14:paraId="05FE281A"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Poslovne storitve: pravo, trženje, svetovanje, zaposlovanje, tiskanje in varnost</w:t>
            </w:r>
          </w:p>
        </w:tc>
        <w:tc>
          <w:tcPr>
            <w:tcW w:w="463" w:type="pct"/>
            <w:shd w:val="clear" w:color="auto" w:fill="auto"/>
            <w:vAlign w:val="center"/>
            <w:hideMark/>
          </w:tcPr>
          <w:p w14:paraId="02553023"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224</w:t>
            </w:r>
          </w:p>
        </w:tc>
        <w:tc>
          <w:tcPr>
            <w:tcW w:w="851" w:type="pct"/>
            <w:shd w:val="clear" w:color="auto" w:fill="auto"/>
            <w:vAlign w:val="center"/>
            <w:hideMark/>
          </w:tcPr>
          <w:p w14:paraId="19245528"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12.972.511</w:t>
            </w:r>
          </w:p>
        </w:tc>
        <w:tc>
          <w:tcPr>
            <w:tcW w:w="566" w:type="pct"/>
            <w:shd w:val="clear" w:color="auto" w:fill="auto"/>
            <w:noWrap/>
            <w:vAlign w:val="center"/>
            <w:hideMark/>
          </w:tcPr>
          <w:p w14:paraId="21E399FB"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3,23</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3396F060"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1,05</w:t>
            </w:r>
            <w:r>
              <w:rPr>
                <w:rFonts w:ascii="Arial" w:eastAsia="Times New Roman" w:hAnsi="Arial" w:cs="Arial"/>
                <w:color w:val="000000"/>
                <w:sz w:val="18"/>
                <w:szCs w:val="18"/>
                <w:lang w:eastAsia="sl-SI"/>
              </w:rPr>
              <w:t xml:space="preserve"> %</w:t>
            </w:r>
          </w:p>
        </w:tc>
      </w:tr>
      <w:tr w:rsidR="00E3750C" w:rsidRPr="00F71B08" w14:paraId="22FE002C" w14:textId="77777777" w:rsidTr="00047864">
        <w:trPr>
          <w:trHeight w:val="300"/>
        </w:trPr>
        <w:tc>
          <w:tcPr>
            <w:tcW w:w="553" w:type="pct"/>
            <w:shd w:val="clear" w:color="auto" w:fill="auto"/>
            <w:vAlign w:val="center"/>
            <w:hideMark/>
          </w:tcPr>
          <w:p w14:paraId="7E48C9ED"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80</w:t>
            </w:r>
          </w:p>
        </w:tc>
        <w:tc>
          <w:tcPr>
            <w:tcW w:w="2071" w:type="pct"/>
            <w:shd w:val="clear" w:color="auto" w:fill="auto"/>
            <w:vAlign w:val="center"/>
            <w:hideMark/>
          </w:tcPr>
          <w:p w14:paraId="49778CE5"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Storitve izobraževanja in usposabljanja</w:t>
            </w:r>
          </w:p>
        </w:tc>
        <w:tc>
          <w:tcPr>
            <w:tcW w:w="463" w:type="pct"/>
            <w:shd w:val="clear" w:color="auto" w:fill="auto"/>
            <w:vAlign w:val="center"/>
            <w:hideMark/>
          </w:tcPr>
          <w:p w14:paraId="0A651A84"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9</w:t>
            </w:r>
          </w:p>
        </w:tc>
        <w:tc>
          <w:tcPr>
            <w:tcW w:w="851" w:type="pct"/>
            <w:shd w:val="clear" w:color="auto" w:fill="auto"/>
            <w:vAlign w:val="center"/>
            <w:hideMark/>
          </w:tcPr>
          <w:p w14:paraId="63B6EDF4"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547.202</w:t>
            </w:r>
          </w:p>
        </w:tc>
        <w:tc>
          <w:tcPr>
            <w:tcW w:w="566" w:type="pct"/>
            <w:shd w:val="clear" w:color="auto" w:fill="auto"/>
            <w:noWrap/>
            <w:vAlign w:val="center"/>
            <w:hideMark/>
          </w:tcPr>
          <w:p w14:paraId="7BD385B9"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0,13</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7CBE1379"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0,04</w:t>
            </w:r>
            <w:r>
              <w:rPr>
                <w:rFonts w:ascii="Arial" w:eastAsia="Times New Roman" w:hAnsi="Arial" w:cs="Arial"/>
                <w:color w:val="000000"/>
                <w:sz w:val="18"/>
                <w:szCs w:val="18"/>
                <w:lang w:eastAsia="sl-SI"/>
              </w:rPr>
              <w:t xml:space="preserve"> %</w:t>
            </w:r>
          </w:p>
        </w:tc>
      </w:tr>
      <w:tr w:rsidR="00E3750C" w:rsidRPr="00F71B08" w14:paraId="0ED64628" w14:textId="77777777" w:rsidTr="00047864">
        <w:trPr>
          <w:trHeight w:val="300"/>
        </w:trPr>
        <w:tc>
          <w:tcPr>
            <w:tcW w:w="553" w:type="pct"/>
            <w:shd w:val="clear" w:color="auto" w:fill="auto"/>
            <w:vAlign w:val="center"/>
            <w:hideMark/>
          </w:tcPr>
          <w:p w14:paraId="05594B2A"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85</w:t>
            </w:r>
          </w:p>
        </w:tc>
        <w:tc>
          <w:tcPr>
            <w:tcW w:w="2071" w:type="pct"/>
            <w:shd w:val="clear" w:color="auto" w:fill="auto"/>
            <w:vAlign w:val="center"/>
            <w:hideMark/>
          </w:tcPr>
          <w:p w14:paraId="4DA5400E"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Storitve na področju zdravstva in socialnega varstva</w:t>
            </w:r>
          </w:p>
        </w:tc>
        <w:tc>
          <w:tcPr>
            <w:tcW w:w="463" w:type="pct"/>
            <w:shd w:val="clear" w:color="auto" w:fill="auto"/>
            <w:vAlign w:val="center"/>
            <w:hideMark/>
          </w:tcPr>
          <w:p w14:paraId="579742F5"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37</w:t>
            </w:r>
          </w:p>
        </w:tc>
        <w:tc>
          <w:tcPr>
            <w:tcW w:w="851" w:type="pct"/>
            <w:shd w:val="clear" w:color="auto" w:fill="auto"/>
            <w:vAlign w:val="center"/>
            <w:hideMark/>
          </w:tcPr>
          <w:p w14:paraId="60F0A418"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2.200.297</w:t>
            </w:r>
          </w:p>
        </w:tc>
        <w:tc>
          <w:tcPr>
            <w:tcW w:w="566" w:type="pct"/>
            <w:shd w:val="clear" w:color="auto" w:fill="auto"/>
            <w:noWrap/>
            <w:vAlign w:val="center"/>
            <w:hideMark/>
          </w:tcPr>
          <w:p w14:paraId="0AD40690"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0,53</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030C6DA0"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0,18</w:t>
            </w:r>
            <w:r>
              <w:rPr>
                <w:rFonts w:ascii="Arial" w:eastAsia="Times New Roman" w:hAnsi="Arial" w:cs="Arial"/>
                <w:color w:val="000000"/>
                <w:sz w:val="18"/>
                <w:szCs w:val="18"/>
                <w:lang w:eastAsia="sl-SI"/>
              </w:rPr>
              <w:t xml:space="preserve"> %</w:t>
            </w:r>
          </w:p>
        </w:tc>
      </w:tr>
      <w:tr w:rsidR="00E3750C" w:rsidRPr="00F71B08" w14:paraId="3891ACC7" w14:textId="77777777" w:rsidTr="00047864">
        <w:trPr>
          <w:trHeight w:val="300"/>
        </w:trPr>
        <w:tc>
          <w:tcPr>
            <w:tcW w:w="553" w:type="pct"/>
            <w:shd w:val="clear" w:color="auto" w:fill="auto"/>
            <w:vAlign w:val="center"/>
            <w:hideMark/>
          </w:tcPr>
          <w:p w14:paraId="4D4E1465"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90</w:t>
            </w:r>
          </w:p>
        </w:tc>
        <w:tc>
          <w:tcPr>
            <w:tcW w:w="2071" w:type="pct"/>
            <w:shd w:val="clear" w:color="auto" w:fill="auto"/>
            <w:vAlign w:val="center"/>
            <w:hideMark/>
          </w:tcPr>
          <w:p w14:paraId="47714972"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Storitve v zvezi z odplakami, odpadki, čiščenjem in okoljem</w:t>
            </w:r>
          </w:p>
        </w:tc>
        <w:tc>
          <w:tcPr>
            <w:tcW w:w="463" w:type="pct"/>
            <w:shd w:val="clear" w:color="auto" w:fill="auto"/>
            <w:vAlign w:val="center"/>
            <w:hideMark/>
          </w:tcPr>
          <w:p w14:paraId="601B83B0"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296</w:t>
            </w:r>
          </w:p>
        </w:tc>
        <w:tc>
          <w:tcPr>
            <w:tcW w:w="851" w:type="pct"/>
            <w:shd w:val="clear" w:color="auto" w:fill="auto"/>
            <w:vAlign w:val="center"/>
            <w:hideMark/>
          </w:tcPr>
          <w:p w14:paraId="1A97D8A6"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20.109.791</w:t>
            </w:r>
          </w:p>
        </w:tc>
        <w:tc>
          <w:tcPr>
            <w:tcW w:w="566" w:type="pct"/>
            <w:shd w:val="clear" w:color="auto" w:fill="auto"/>
            <w:noWrap/>
            <w:vAlign w:val="center"/>
            <w:hideMark/>
          </w:tcPr>
          <w:p w14:paraId="4E5F0663"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4,27</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2E84D2A4"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1,62</w:t>
            </w:r>
            <w:r>
              <w:rPr>
                <w:rFonts w:ascii="Arial" w:eastAsia="Times New Roman" w:hAnsi="Arial" w:cs="Arial"/>
                <w:color w:val="000000"/>
                <w:sz w:val="18"/>
                <w:szCs w:val="18"/>
                <w:lang w:eastAsia="sl-SI"/>
              </w:rPr>
              <w:t xml:space="preserve"> %</w:t>
            </w:r>
          </w:p>
        </w:tc>
      </w:tr>
      <w:tr w:rsidR="00E3750C" w:rsidRPr="00F71B08" w14:paraId="2B4C532E" w14:textId="77777777" w:rsidTr="00047864">
        <w:trPr>
          <w:trHeight w:val="300"/>
        </w:trPr>
        <w:tc>
          <w:tcPr>
            <w:tcW w:w="553" w:type="pct"/>
            <w:shd w:val="clear" w:color="auto" w:fill="auto"/>
            <w:vAlign w:val="center"/>
            <w:hideMark/>
          </w:tcPr>
          <w:p w14:paraId="479E27E8"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92</w:t>
            </w:r>
          </w:p>
        </w:tc>
        <w:tc>
          <w:tcPr>
            <w:tcW w:w="2071" w:type="pct"/>
            <w:shd w:val="clear" w:color="auto" w:fill="auto"/>
            <w:vAlign w:val="center"/>
            <w:hideMark/>
          </w:tcPr>
          <w:p w14:paraId="196DD26A"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Storitve na področju rekreacije, kulture in športa</w:t>
            </w:r>
          </w:p>
        </w:tc>
        <w:tc>
          <w:tcPr>
            <w:tcW w:w="463" w:type="pct"/>
            <w:shd w:val="clear" w:color="auto" w:fill="auto"/>
            <w:vAlign w:val="center"/>
            <w:hideMark/>
          </w:tcPr>
          <w:p w14:paraId="252DEBE6"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33</w:t>
            </w:r>
          </w:p>
        </w:tc>
        <w:tc>
          <w:tcPr>
            <w:tcW w:w="851" w:type="pct"/>
            <w:shd w:val="clear" w:color="auto" w:fill="auto"/>
            <w:vAlign w:val="center"/>
            <w:hideMark/>
          </w:tcPr>
          <w:p w14:paraId="6DBFA3A7"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2.180.624</w:t>
            </w:r>
          </w:p>
        </w:tc>
        <w:tc>
          <w:tcPr>
            <w:tcW w:w="566" w:type="pct"/>
            <w:shd w:val="clear" w:color="auto" w:fill="auto"/>
            <w:noWrap/>
            <w:vAlign w:val="center"/>
            <w:hideMark/>
          </w:tcPr>
          <w:p w14:paraId="6BF63A59"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0,48</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60294BC3"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0,18</w:t>
            </w:r>
            <w:r>
              <w:rPr>
                <w:rFonts w:ascii="Arial" w:eastAsia="Times New Roman" w:hAnsi="Arial" w:cs="Arial"/>
                <w:color w:val="000000"/>
                <w:sz w:val="18"/>
                <w:szCs w:val="18"/>
                <w:lang w:eastAsia="sl-SI"/>
              </w:rPr>
              <w:t xml:space="preserve"> %</w:t>
            </w:r>
          </w:p>
        </w:tc>
      </w:tr>
      <w:tr w:rsidR="00E3750C" w:rsidRPr="00F71B08" w14:paraId="06A11525" w14:textId="77777777" w:rsidTr="00047864">
        <w:trPr>
          <w:trHeight w:val="300"/>
        </w:trPr>
        <w:tc>
          <w:tcPr>
            <w:tcW w:w="553" w:type="pct"/>
            <w:shd w:val="clear" w:color="auto" w:fill="auto"/>
            <w:vAlign w:val="center"/>
            <w:hideMark/>
          </w:tcPr>
          <w:p w14:paraId="2A1FCF4C"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98</w:t>
            </w:r>
          </w:p>
        </w:tc>
        <w:tc>
          <w:tcPr>
            <w:tcW w:w="2071" w:type="pct"/>
            <w:shd w:val="clear" w:color="auto" w:fill="auto"/>
            <w:vAlign w:val="center"/>
            <w:hideMark/>
          </w:tcPr>
          <w:p w14:paraId="21606A4E" w14:textId="77777777" w:rsidR="00E3750C" w:rsidRPr="00F71B08" w:rsidRDefault="00E3750C" w:rsidP="00047864">
            <w:pPr>
              <w:spacing w:after="0" w:line="240" w:lineRule="auto"/>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Druge javne, skupne in osebne storitve</w:t>
            </w:r>
          </w:p>
        </w:tc>
        <w:tc>
          <w:tcPr>
            <w:tcW w:w="463" w:type="pct"/>
            <w:shd w:val="clear" w:color="auto" w:fill="auto"/>
            <w:vAlign w:val="center"/>
            <w:hideMark/>
          </w:tcPr>
          <w:p w14:paraId="0ADB080F"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79</w:t>
            </w:r>
          </w:p>
        </w:tc>
        <w:tc>
          <w:tcPr>
            <w:tcW w:w="851" w:type="pct"/>
            <w:shd w:val="clear" w:color="auto" w:fill="auto"/>
            <w:vAlign w:val="center"/>
            <w:hideMark/>
          </w:tcPr>
          <w:p w14:paraId="0FD0D323"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4.703.062</w:t>
            </w:r>
          </w:p>
        </w:tc>
        <w:tc>
          <w:tcPr>
            <w:tcW w:w="566" w:type="pct"/>
            <w:shd w:val="clear" w:color="auto" w:fill="auto"/>
            <w:noWrap/>
            <w:vAlign w:val="center"/>
            <w:hideMark/>
          </w:tcPr>
          <w:p w14:paraId="59409538"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1,14</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1DA96554" w14:textId="77777777" w:rsidR="00E3750C" w:rsidRPr="00F71B08" w:rsidRDefault="00E3750C" w:rsidP="00047864">
            <w:pPr>
              <w:spacing w:after="0" w:line="240" w:lineRule="auto"/>
              <w:jc w:val="right"/>
              <w:rPr>
                <w:rFonts w:ascii="Arial" w:eastAsia="Times New Roman" w:hAnsi="Arial" w:cs="Arial"/>
                <w:color w:val="000000"/>
                <w:sz w:val="18"/>
                <w:szCs w:val="18"/>
                <w:lang w:eastAsia="sl-SI"/>
              </w:rPr>
            </w:pPr>
            <w:r w:rsidRPr="00F71B08">
              <w:rPr>
                <w:rFonts w:ascii="Arial" w:eastAsia="Times New Roman" w:hAnsi="Arial" w:cs="Arial"/>
                <w:color w:val="000000"/>
                <w:sz w:val="18"/>
                <w:szCs w:val="18"/>
                <w:lang w:eastAsia="sl-SI"/>
              </w:rPr>
              <w:t>0,38</w:t>
            </w:r>
            <w:r>
              <w:rPr>
                <w:rFonts w:ascii="Arial" w:eastAsia="Times New Roman" w:hAnsi="Arial" w:cs="Arial"/>
                <w:color w:val="000000"/>
                <w:sz w:val="18"/>
                <w:szCs w:val="18"/>
                <w:lang w:eastAsia="sl-SI"/>
              </w:rPr>
              <w:t xml:space="preserve"> %</w:t>
            </w:r>
          </w:p>
        </w:tc>
      </w:tr>
      <w:tr w:rsidR="00E3750C" w:rsidRPr="00F71B08" w14:paraId="2B99023F" w14:textId="77777777" w:rsidTr="00047864">
        <w:trPr>
          <w:trHeight w:val="288"/>
        </w:trPr>
        <w:tc>
          <w:tcPr>
            <w:tcW w:w="2624" w:type="pct"/>
            <w:gridSpan w:val="2"/>
            <w:shd w:val="clear" w:color="auto" w:fill="F2F2F2" w:themeFill="background1" w:themeFillShade="F2"/>
            <w:vAlign w:val="center"/>
            <w:hideMark/>
          </w:tcPr>
          <w:p w14:paraId="6CB4E6CF" w14:textId="77777777" w:rsidR="00E3750C" w:rsidRPr="00F71B08" w:rsidRDefault="00E3750C" w:rsidP="00047864">
            <w:pPr>
              <w:spacing w:after="0" w:line="240" w:lineRule="auto"/>
              <w:rPr>
                <w:rFonts w:ascii="Arial" w:eastAsia="Times New Roman" w:hAnsi="Arial" w:cs="Arial"/>
                <w:b/>
                <w:bCs/>
                <w:color w:val="000000"/>
                <w:sz w:val="18"/>
                <w:szCs w:val="18"/>
                <w:lang w:eastAsia="sl-SI"/>
              </w:rPr>
            </w:pPr>
            <w:r w:rsidRPr="00F71B08">
              <w:rPr>
                <w:rFonts w:ascii="Arial" w:eastAsia="Times New Roman" w:hAnsi="Arial" w:cs="Arial"/>
                <w:b/>
                <w:bCs/>
                <w:color w:val="000000"/>
                <w:sz w:val="18"/>
                <w:szCs w:val="18"/>
                <w:lang w:eastAsia="sl-SI"/>
              </w:rPr>
              <w:t>Skupaj</w:t>
            </w:r>
          </w:p>
        </w:tc>
        <w:tc>
          <w:tcPr>
            <w:tcW w:w="463" w:type="pct"/>
            <w:shd w:val="clear" w:color="auto" w:fill="F2F2F2" w:themeFill="background1" w:themeFillShade="F2"/>
            <w:noWrap/>
            <w:vAlign w:val="center"/>
            <w:hideMark/>
          </w:tcPr>
          <w:p w14:paraId="73078024" w14:textId="77777777" w:rsidR="00E3750C" w:rsidRPr="00F71B08" w:rsidRDefault="00E3750C" w:rsidP="00047864">
            <w:pPr>
              <w:spacing w:after="0" w:line="240" w:lineRule="auto"/>
              <w:jc w:val="right"/>
              <w:rPr>
                <w:rFonts w:ascii="Arial" w:eastAsia="Times New Roman" w:hAnsi="Arial" w:cs="Arial"/>
                <w:b/>
                <w:bCs/>
                <w:color w:val="000000"/>
                <w:sz w:val="18"/>
                <w:szCs w:val="18"/>
                <w:lang w:eastAsia="sl-SI"/>
              </w:rPr>
            </w:pPr>
            <w:r w:rsidRPr="00F71B08">
              <w:rPr>
                <w:rFonts w:ascii="Arial" w:eastAsia="Times New Roman" w:hAnsi="Arial" w:cs="Arial"/>
                <w:b/>
                <w:bCs/>
                <w:color w:val="000000"/>
                <w:sz w:val="18"/>
                <w:szCs w:val="18"/>
                <w:lang w:eastAsia="sl-SI"/>
              </w:rPr>
              <w:t>6.935</w:t>
            </w:r>
          </w:p>
        </w:tc>
        <w:tc>
          <w:tcPr>
            <w:tcW w:w="851" w:type="pct"/>
            <w:shd w:val="clear" w:color="auto" w:fill="F2F2F2" w:themeFill="background1" w:themeFillShade="F2"/>
            <w:noWrap/>
            <w:vAlign w:val="center"/>
            <w:hideMark/>
          </w:tcPr>
          <w:p w14:paraId="01CBE97B" w14:textId="77777777" w:rsidR="00E3750C" w:rsidRPr="00F71B08" w:rsidRDefault="00E3750C" w:rsidP="00047864">
            <w:pPr>
              <w:spacing w:after="0" w:line="240" w:lineRule="auto"/>
              <w:jc w:val="right"/>
              <w:rPr>
                <w:rFonts w:ascii="Arial" w:eastAsia="Times New Roman" w:hAnsi="Arial" w:cs="Arial"/>
                <w:b/>
                <w:bCs/>
                <w:color w:val="000000"/>
                <w:sz w:val="18"/>
                <w:szCs w:val="18"/>
                <w:lang w:eastAsia="sl-SI"/>
              </w:rPr>
            </w:pPr>
            <w:r w:rsidRPr="00F71B08">
              <w:rPr>
                <w:rFonts w:ascii="Arial" w:eastAsia="Times New Roman" w:hAnsi="Arial" w:cs="Arial"/>
                <w:b/>
                <w:bCs/>
                <w:color w:val="000000"/>
                <w:sz w:val="18"/>
                <w:szCs w:val="18"/>
                <w:lang w:eastAsia="sl-SI"/>
              </w:rPr>
              <w:t>1.238.384.243</w:t>
            </w:r>
          </w:p>
        </w:tc>
        <w:tc>
          <w:tcPr>
            <w:tcW w:w="566" w:type="pct"/>
            <w:shd w:val="clear" w:color="auto" w:fill="F2F2F2" w:themeFill="background1" w:themeFillShade="F2"/>
            <w:noWrap/>
            <w:vAlign w:val="center"/>
            <w:hideMark/>
          </w:tcPr>
          <w:p w14:paraId="06C8C5AA" w14:textId="77777777" w:rsidR="00E3750C" w:rsidRPr="00F71B08" w:rsidRDefault="00E3750C" w:rsidP="00047864">
            <w:pPr>
              <w:spacing w:after="0" w:line="240" w:lineRule="auto"/>
              <w:jc w:val="right"/>
              <w:rPr>
                <w:rFonts w:ascii="Arial" w:eastAsia="Times New Roman" w:hAnsi="Arial" w:cs="Arial"/>
                <w:b/>
                <w:bCs/>
                <w:color w:val="000000"/>
                <w:sz w:val="18"/>
                <w:szCs w:val="18"/>
                <w:lang w:eastAsia="sl-SI"/>
              </w:rPr>
            </w:pPr>
            <w:r w:rsidRPr="00F71B08">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496" w:type="pct"/>
            <w:shd w:val="clear" w:color="auto" w:fill="F2F2F2" w:themeFill="background1" w:themeFillShade="F2"/>
            <w:noWrap/>
            <w:vAlign w:val="center"/>
            <w:hideMark/>
          </w:tcPr>
          <w:p w14:paraId="5F53C427" w14:textId="77777777" w:rsidR="00E3750C" w:rsidRPr="00F71B08" w:rsidRDefault="00E3750C" w:rsidP="00047864">
            <w:pPr>
              <w:spacing w:after="0" w:line="240" w:lineRule="auto"/>
              <w:jc w:val="right"/>
              <w:rPr>
                <w:rFonts w:ascii="Arial" w:eastAsia="Times New Roman" w:hAnsi="Arial" w:cs="Arial"/>
                <w:b/>
                <w:bCs/>
                <w:color w:val="000000"/>
                <w:sz w:val="18"/>
                <w:szCs w:val="18"/>
                <w:lang w:eastAsia="sl-SI"/>
              </w:rPr>
            </w:pPr>
            <w:r w:rsidRPr="00F71B08">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bl>
    <w:p w14:paraId="27F7FFA2" w14:textId="77777777" w:rsidR="00E3750C" w:rsidRPr="00BF7302" w:rsidRDefault="00E3750C" w:rsidP="00E3750C">
      <w:pPr>
        <w:spacing w:before="120" w:after="120" w:line="240" w:lineRule="auto"/>
        <w:jc w:val="both"/>
        <w:rPr>
          <w:rFonts w:ascii="Arial" w:hAnsi="Arial" w:cs="Arial"/>
          <w:sz w:val="20"/>
          <w:highlight w:val="yellow"/>
        </w:rPr>
      </w:pPr>
    </w:p>
    <w:p w14:paraId="7016AE09" w14:textId="77777777" w:rsidR="00E3750C" w:rsidRPr="008323F7" w:rsidRDefault="00E3750C" w:rsidP="00E3750C">
      <w:pPr>
        <w:spacing w:before="120" w:after="0" w:line="240" w:lineRule="auto"/>
        <w:jc w:val="both"/>
        <w:rPr>
          <w:rFonts w:ascii="Arial" w:hAnsi="Arial" w:cs="Arial"/>
          <w:sz w:val="20"/>
        </w:rPr>
      </w:pPr>
      <w:r w:rsidRPr="008323F7">
        <w:rPr>
          <w:rFonts w:ascii="Arial" w:hAnsi="Arial" w:cs="Arial"/>
          <w:sz w:val="20"/>
        </w:rPr>
        <w:t xml:space="preserve">Preglednica </w:t>
      </w:r>
      <w:r>
        <w:rPr>
          <w:rFonts w:ascii="Arial" w:hAnsi="Arial" w:cs="Arial"/>
          <w:sz w:val="20"/>
        </w:rPr>
        <w:t>79</w:t>
      </w:r>
      <w:r w:rsidRPr="008323F7">
        <w:rPr>
          <w:rFonts w:ascii="Arial" w:hAnsi="Arial" w:cs="Arial"/>
          <w:sz w:val="20"/>
        </w:rPr>
        <w:t>: Javna naročila, objavljena na portalu javnih naročil in v Uradnem listu Evropske unije, glede na predmet naročanja po Enotnem besednjaku javnih naročil (CPV)</w:t>
      </w:r>
    </w:p>
    <w:p w14:paraId="311F7459" w14:textId="77777777" w:rsidR="00E3750C" w:rsidRPr="00BF7302" w:rsidRDefault="00E3750C" w:rsidP="00E3750C">
      <w:pPr>
        <w:spacing w:after="0" w:line="240" w:lineRule="auto"/>
        <w:jc w:val="both"/>
        <w:rPr>
          <w:rFonts w:ascii="Arial" w:hAnsi="Arial" w:cs="Arial"/>
          <w:sz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0"/>
        <w:gridCol w:w="3785"/>
        <w:gridCol w:w="850"/>
        <w:gridCol w:w="1561"/>
        <w:gridCol w:w="1038"/>
        <w:gridCol w:w="910"/>
      </w:tblGrid>
      <w:tr w:rsidR="00E3750C" w:rsidRPr="008323F7" w14:paraId="13378353" w14:textId="77777777" w:rsidTr="00047864">
        <w:trPr>
          <w:trHeight w:val="456"/>
          <w:tblHeader/>
        </w:trPr>
        <w:tc>
          <w:tcPr>
            <w:tcW w:w="561" w:type="pct"/>
            <w:shd w:val="clear" w:color="000000" w:fill="F2F2F2"/>
            <w:vAlign w:val="center"/>
            <w:hideMark/>
          </w:tcPr>
          <w:p w14:paraId="1EBF5586" w14:textId="77777777" w:rsidR="00E3750C" w:rsidRPr="008323F7" w:rsidRDefault="00E3750C" w:rsidP="00047864">
            <w:pPr>
              <w:spacing w:after="0" w:line="240" w:lineRule="auto"/>
              <w:jc w:val="center"/>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CPV oddelek</w:t>
            </w:r>
          </w:p>
        </w:tc>
        <w:tc>
          <w:tcPr>
            <w:tcW w:w="2063" w:type="pct"/>
            <w:shd w:val="clear" w:color="000000" w:fill="F2F2F2"/>
            <w:vAlign w:val="center"/>
            <w:hideMark/>
          </w:tcPr>
          <w:p w14:paraId="2D40AB54" w14:textId="77777777" w:rsidR="00E3750C" w:rsidRPr="008323F7" w:rsidRDefault="00E3750C" w:rsidP="00047864">
            <w:pPr>
              <w:spacing w:after="0" w:line="240" w:lineRule="auto"/>
              <w:jc w:val="center"/>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Opis CPV oddelka</w:t>
            </w:r>
          </w:p>
        </w:tc>
        <w:tc>
          <w:tcPr>
            <w:tcW w:w="463" w:type="pct"/>
            <w:shd w:val="clear" w:color="000000" w:fill="F2F2F2"/>
            <w:vAlign w:val="center"/>
            <w:hideMark/>
          </w:tcPr>
          <w:p w14:paraId="24F99174" w14:textId="77777777" w:rsidR="00E3750C" w:rsidRPr="008323F7" w:rsidRDefault="00E3750C" w:rsidP="00047864">
            <w:pPr>
              <w:spacing w:after="0" w:line="240" w:lineRule="auto"/>
              <w:jc w:val="center"/>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Št. naročil</w:t>
            </w:r>
          </w:p>
        </w:tc>
        <w:tc>
          <w:tcPr>
            <w:tcW w:w="851" w:type="pct"/>
            <w:shd w:val="clear" w:color="000000" w:fill="F2F2F2"/>
            <w:vAlign w:val="center"/>
            <w:hideMark/>
          </w:tcPr>
          <w:p w14:paraId="154DE41D" w14:textId="77777777" w:rsidR="00E3750C" w:rsidRPr="008323F7" w:rsidRDefault="00E3750C" w:rsidP="00047864">
            <w:pPr>
              <w:spacing w:after="0" w:line="240" w:lineRule="auto"/>
              <w:jc w:val="center"/>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Pogodbena vrednost</w:t>
            </w:r>
          </w:p>
        </w:tc>
        <w:tc>
          <w:tcPr>
            <w:tcW w:w="566" w:type="pct"/>
            <w:shd w:val="clear" w:color="000000" w:fill="F2F2F2"/>
            <w:vAlign w:val="center"/>
            <w:hideMark/>
          </w:tcPr>
          <w:p w14:paraId="6834DF42" w14:textId="77777777" w:rsidR="00E3750C" w:rsidRPr="008323F7" w:rsidRDefault="00E3750C" w:rsidP="00047864">
            <w:pPr>
              <w:spacing w:after="0" w:line="240" w:lineRule="auto"/>
              <w:jc w:val="center"/>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Delež v št. naročil</w:t>
            </w:r>
          </w:p>
        </w:tc>
        <w:tc>
          <w:tcPr>
            <w:tcW w:w="496" w:type="pct"/>
            <w:shd w:val="clear" w:color="000000" w:fill="F2F2F2"/>
            <w:vAlign w:val="center"/>
            <w:hideMark/>
          </w:tcPr>
          <w:p w14:paraId="4F65E60E" w14:textId="77777777" w:rsidR="00E3750C" w:rsidRPr="008323F7" w:rsidRDefault="00E3750C" w:rsidP="00047864">
            <w:pPr>
              <w:spacing w:after="0" w:line="240" w:lineRule="auto"/>
              <w:jc w:val="center"/>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Delež v vrednosti</w:t>
            </w:r>
          </w:p>
        </w:tc>
      </w:tr>
      <w:tr w:rsidR="00E3750C" w:rsidRPr="008323F7" w14:paraId="43D1CAA8" w14:textId="77777777" w:rsidTr="00047864">
        <w:trPr>
          <w:trHeight w:val="300"/>
        </w:trPr>
        <w:tc>
          <w:tcPr>
            <w:tcW w:w="561" w:type="pct"/>
            <w:shd w:val="clear" w:color="auto" w:fill="auto"/>
            <w:vAlign w:val="center"/>
            <w:hideMark/>
          </w:tcPr>
          <w:p w14:paraId="53B5D1A1"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03</w:t>
            </w:r>
          </w:p>
        </w:tc>
        <w:tc>
          <w:tcPr>
            <w:tcW w:w="2063" w:type="pct"/>
            <w:shd w:val="clear" w:color="auto" w:fill="auto"/>
            <w:vAlign w:val="center"/>
            <w:hideMark/>
          </w:tcPr>
          <w:p w14:paraId="0137FC76"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Kmetijski, ribiški, gozdarski in z njimi povezani proizvodi</w:t>
            </w:r>
          </w:p>
        </w:tc>
        <w:tc>
          <w:tcPr>
            <w:tcW w:w="463" w:type="pct"/>
            <w:shd w:val="clear" w:color="auto" w:fill="auto"/>
            <w:vAlign w:val="center"/>
            <w:hideMark/>
          </w:tcPr>
          <w:p w14:paraId="5BDCEEB7"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61</w:t>
            </w:r>
          </w:p>
        </w:tc>
        <w:tc>
          <w:tcPr>
            <w:tcW w:w="851" w:type="pct"/>
            <w:shd w:val="clear" w:color="auto" w:fill="auto"/>
            <w:vAlign w:val="center"/>
            <w:hideMark/>
          </w:tcPr>
          <w:p w14:paraId="45BED6FF"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4.615.829</w:t>
            </w:r>
          </w:p>
        </w:tc>
        <w:tc>
          <w:tcPr>
            <w:tcW w:w="566" w:type="pct"/>
            <w:shd w:val="clear" w:color="auto" w:fill="auto"/>
            <w:noWrap/>
            <w:vAlign w:val="center"/>
            <w:hideMark/>
          </w:tcPr>
          <w:p w14:paraId="454AC4E3"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0,59</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6070008B"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0,11</w:t>
            </w:r>
            <w:r>
              <w:rPr>
                <w:rFonts w:ascii="Arial" w:eastAsia="Times New Roman" w:hAnsi="Arial" w:cs="Arial"/>
                <w:color w:val="000000"/>
                <w:sz w:val="18"/>
                <w:szCs w:val="18"/>
                <w:lang w:eastAsia="sl-SI"/>
              </w:rPr>
              <w:t xml:space="preserve"> %</w:t>
            </w:r>
          </w:p>
        </w:tc>
      </w:tr>
      <w:tr w:rsidR="00E3750C" w:rsidRPr="008323F7" w14:paraId="6BADF9CC" w14:textId="77777777" w:rsidTr="00047864">
        <w:trPr>
          <w:trHeight w:val="300"/>
        </w:trPr>
        <w:tc>
          <w:tcPr>
            <w:tcW w:w="561" w:type="pct"/>
            <w:shd w:val="clear" w:color="auto" w:fill="auto"/>
            <w:vAlign w:val="center"/>
            <w:hideMark/>
          </w:tcPr>
          <w:p w14:paraId="62587A07"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09</w:t>
            </w:r>
          </w:p>
        </w:tc>
        <w:tc>
          <w:tcPr>
            <w:tcW w:w="2063" w:type="pct"/>
            <w:shd w:val="clear" w:color="auto" w:fill="auto"/>
            <w:vAlign w:val="center"/>
            <w:hideMark/>
          </w:tcPr>
          <w:p w14:paraId="774E4711"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Naftni derivati, goriva, električna energija in drugi viri energije</w:t>
            </w:r>
          </w:p>
        </w:tc>
        <w:tc>
          <w:tcPr>
            <w:tcW w:w="463" w:type="pct"/>
            <w:shd w:val="clear" w:color="auto" w:fill="auto"/>
            <w:vAlign w:val="center"/>
            <w:hideMark/>
          </w:tcPr>
          <w:p w14:paraId="11093FEE"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120</w:t>
            </w:r>
          </w:p>
        </w:tc>
        <w:tc>
          <w:tcPr>
            <w:tcW w:w="851" w:type="pct"/>
            <w:shd w:val="clear" w:color="auto" w:fill="auto"/>
            <w:vAlign w:val="center"/>
            <w:hideMark/>
          </w:tcPr>
          <w:p w14:paraId="2AE63E8A"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203.628.305</w:t>
            </w:r>
          </w:p>
        </w:tc>
        <w:tc>
          <w:tcPr>
            <w:tcW w:w="566" w:type="pct"/>
            <w:shd w:val="clear" w:color="auto" w:fill="auto"/>
            <w:noWrap/>
            <w:vAlign w:val="center"/>
            <w:hideMark/>
          </w:tcPr>
          <w:p w14:paraId="5DFA0CFF"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1,17</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5CD17CCF"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4,87</w:t>
            </w:r>
            <w:r>
              <w:rPr>
                <w:rFonts w:ascii="Arial" w:eastAsia="Times New Roman" w:hAnsi="Arial" w:cs="Arial"/>
                <w:color w:val="000000"/>
                <w:sz w:val="18"/>
                <w:szCs w:val="18"/>
                <w:lang w:eastAsia="sl-SI"/>
              </w:rPr>
              <w:t xml:space="preserve"> %</w:t>
            </w:r>
          </w:p>
        </w:tc>
      </w:tr>
      <w:tr w:rsidR="00E3750C" w:rsidRPr="008323F7" w14:paraId="0532DFFD" w14:textId="77777777" w:rsidTr="00047864">
        <w:trPr>
          <w:trHeight w:val="300"/>
        </w:trPr>
        <w:tc>
          <w:tcPr>
            <w:tcW w:w="561" w:type="pct"/>
            <w:shd w:val="clear" w:color="auto" w:fill="auto"/>
            <w:vAlign w:val="center"/>
            <w:hideMark/>
          </w:tcPr>
          <w:p w14:paraId="0C54F6D5"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14</w:t>
            </w:r>
          </w:p>
        </w:tc>
        <w:tc>
          <w:tcPr>
            <w:tcW w:w="2063" w:type="pct"/>
            <w:shd w:val="clear" w:color="auto" w:fill="auto"/>
            <w:vAlign w:val="center"/>
            <w:hideMark/>
          </w:tcPr>
          <w:p w14:paraId="328DF643"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Rudarstvo, navadne kovine in z njimi povezani proizvodi</w:t>
            </w:r>
          </w:p>
        </w:tc>
        <w:tc>
          <w:tcPr>
            <w:tcW w:w="463" w:type="pct"/>
            <w:shd w:val="clear" w:color="auto" w:fill="auto"/>
            <w:vAlign w:val="center"/>
            <w:hideMark/>
          </w:tcPr>
          <w:p w14:paraId="0B2D3A9D"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9</w:t>
            </w:r>
          </w:p>
        </w:tc>
        <w:tc>
          <w:tcPr>
            <w:tcW w:w="851" w:type="pct"/>
            <w:shd w:val="clear" w:color="auto" w:fill="auto"/>
            <w:vAlign w:val="center"/>
            <w:hideMark/>
          </w:tcPr>
          <w:p w14:paraId="612E5D71"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3.604.731</w:t>
            </w:r>
          </w:p>
        </w:tc>
        <w:tc>
          <w:tcPr>
            <w:tcW w:w="566" w:type="pct"/>
            <w:shd w:val="clear" w:color="auto" w:fill="auto"/>
            <w:noWrap/>
            <w:vAlign w:val="center"/>
            <w:hideMark/>
          </w:tcPr>
          <w:p w14:paraId="4AC3B209"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0,09</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5091D205"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0,09</w:t>
            </w:r>
            <w:r>
              <w:rPr>
                <w:rFonts w:ascii="Arial" w:eastAsia="Times New Roman" w:hAnsi="Arial" w:cs="Arial"/>
                <w:color w:val="000000"/>
                <w:sz w:val="18"/>
                <w:szCs w:val="18"/>
                <w:lang w:eastAsia="sl-SI"/>
              </w:rPr>
              <w:t xml:space="preserve"> %</w:t>
            </w:r>
          </w:p>
        </w:tc>
      </w:tr>
      <w:tr w:rsidR="00E3750C" w:rsidRPr="008323F7" w14:paraId="595D98F4" w14:textId="77777777" w:rsidTr="00047864">
        <w:trPr>
          <w:trHeight w:val="300"/>
        </w:trPr>
        <w:tc>
          <w:tcPr>
            <w:tcW w:w="561" w:type="pct"/>
            <w:shd w:val="clear" w:color="auto" w:fill="auto"/>
            <w:vAlign w:val="center"/>
            <w:hideMark/>
          </w:tcPr>
          <w:p w14:paraId="0BC79C0B"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15</w:t>
            </w:r>
          </w:p>
        </w:tc>
        <w:tc>
          <w:tcPr>
            <w:tcW w:w="2063" w:type="pct"/>
            <w:shd w:val="clear" w:color="auto" w:fill="auto"/>
            <w:vAlign w:val="center"/>
            <w:hideMark/>
          </w:tcPr>
          <w:p w14:paraId="03BA0F24"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Živila, pijače, tobačni izdelki in z njimi povezani izdelki</w:t>
            </w:r>
          </w:p>
        </w:tc>
        <w:tc>
          <w:tcPr>
            <w:tcW w:w="463" w:type="pct"/>
            <w:shd w:val="clear" w:color="auto" w:fill="auto"/>
            <w:vAlign w:val="center"/>
            <w:hideMark/>
          </w:tcPr>
          <w:p w14:paraId="13E393F3"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2.989</w:t>
            </w:r>
          </w:p>
        </w:tc>
        <w:tc>
          <w:tcPr>
            <w:tcW w:w="851" w:type="pct"/>
            <w:shd w:val="clear" w:color="auto" w:fill="auto"/>
            <w:vAlign w:val="center"/>
            <w:hideMark/>
          </w:tcPr>
          <w:p w14:paraId="1CAF89C7"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91.432.822</w:t>
            </w:r>
          </w:p>
        </w:tc>
        <w:tc>
          <w:tcPr>
            <w:tcW w:w="566" w:type="pct"/>
            <w:shd w:val="clear" w:color="auto" w:fill="auto"/>
            <w:noWrap/>
            <w:vAlign w:val="center"/>
            <w:hideMark/>
          </w:tcPr>
          <w:p w14:paraId="15454920"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29,05</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1E12FC16"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2,19</w:t>
            </w:r>
            <w:r>
              <w:rPr>
                <w:rFonts w:ascii="Arial" w:eastAsia="Times New Roman" w:hAnsi="Arial" w:cs="Arial"/>
                <w:color w:val="000000"/>
                <w:sz w:val="18"/>
                <w:szCs w:val="18"/>
                <w:lang w:eastAsia="sl-SI"/>
              </w:rPr>
              <w:t xml:space="preserve"> %</w:t>
            </w:r>
          </w:p>
        </w:tc>
      </w:tr>
      <w:tr w:rsidR="00E3750C" w:rsidRPr="008323F7" w14:paraId="678B9C47" w14:textId="77777777" w:rsidTr="00047864">
        <w:trPr>
          <w:trHeight w:val="300"/>
        </w:trPr>
        <w:tc>
          <w:tcPr>
            <w:tcW w:w="561" w:type="pct"/>
            <w:shd w:val="clear" w:color="auto" w:fill="auto"/>
            <w:vAlign w:val="center"/>
            <w:hideMark/>
          </w:tcPr>
          <w:p w14:paraId="76C1B4FC"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16</w:t>
            </w:r>
          </w:p>
        </w:tc>
        <w:tc>
          <w:tcPr>
            <w:tcW w:w="2063" w:type="pct"/>
            <w:shd w:val="clear" w:color="auto" w:fill="auto"/>
            <w:vAlign w:val="center"/>
            <w:hideMark/>
          </w:tcPr>
          <w:p w14:paraId="00491A6B"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Kmetijski stroji</w:t>
            </w:r>
          </w:p>
        </w:tc>
        <w:tc>
          <w:tcPr>
            <w:tcW w:w="463" w:type="pct"/>
            <w:shd w:val="clear" w:color="auto" w:fill="auto"/>
            <w:vAlign w:val="center"/>
            <w:hideMark/>
          </w:tcPr>
          <w:p w14:paraId="0F871985"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7</w:t>
            </w:r>
          </w:p>
        </w:tc>
        <w:tc>
          <w:tcPr>
            <w:tcW w:w="851" w:type="pct"/>
            <w:shd w:val="clear" w:color="auto" w:fill="auto"/>
            <w:vAlign w:val="center"/>
            <w:hideMark/>
          </w:tcPr>
          <w:p w14:paraId="4CEAC1F5"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5.697.166</w:t>
            </w:r>
          </w:p>
        </w:tc>
        <w:tc>
          <w:tcPr>
            <w:tcW w:w="566" w:type="pct"/>
            <w:shd w:val="clear" w:color="auto" w:fill="auto"/>
            <w:noWrap/>
            <w:vAlign w:val="center"/>
            <w:hideMark/>
          </w:tcPr>
          <w:p w14:paraId="651FB684"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0,07</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0CA9C231"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0,14</w:t>
            </w:r>
            <w:r>
              <w:rPr>
                <w:rFonts w:ascii="Arial" w:eastAsia="Times New Roman" w:hAnsi="Arial" w:cs="Arial"/>
                <w:color w:val="000000"/>
                <w:sz w:val="18"/>
                <w:szCs w:val="18"/>
                <w:lang w:eastAsia="sl-SI"/>
              </w:rPr>
              <w:t xml:space="preserve"> %</w:t>
            </w:r>
          </w:p>
        </w:tc>
      </w:tr>
      <w:tr w:rsidR="00E3750C" w:rsidRPr="008323F7" w14:paraId="495C3867" w14:textId="77777777" w:rsidTr="00047864">
        <w:trPr>
          <w:trHeight w:val="300"/>
        </w:trPr>
        <w:tc>
          <w:tcPr>
            <w:tcW w:w="561" w:type="pct"/>
            <w:shd w:val="clear" w:color="auto" w:fill="auto"/>
            <w:vAlign w:val="center"/>
            <w:hideMark/>
          </w:tcPr>
          <w:p w14:paraId="71F73EC2"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18</w:t>
            </w:r>
          </w:p>
        </w:tc>
        <w:tc>
          <w:tcPr>
            <w:tcW w:w="2063" w:type="pct"/>
            <w:shd w:val="clear" w:color="auto" w:fill="auto"/>
            <w:vAlign w:val="center"/>
            <w:hideMark/>
          </w:tcPr>
          <w:p w14:paraId="352F990E"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Oblačila, obutev, prtljaga in pribor</w:t>
            </w:r>
          </w:p>
        </w:tc>
        <w:tc>
          <w:tcPr>
            <w:tcW w:w="463" w:type="pct"/>
            <w:shd w:val="clear" w:color="auto" w:fill="auto"/>
            <w:vAlign w:val="center"/>
            <w:hideMark/>
          </w:tcPr>
          <w:p w14:paraId="7E0F7C3C"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85</w:t>
            </w:r>
          </w:p>
        </w:tc>
        <w:tc>
          <w:tcPr>
            <w:tcW w:w="851" w:type="pct"/>
            <w:shd w:val="clear" w:color="auto" w:fill="auto"/>
            <w:vAlign w:val="center"/>
            <w:hideMark/>
          </w:tcPr>
          <w:p w14:paraId="331DF4F2"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10.402.731</w:t>
            </w:r>
          </w:p>
        </w:tc>
        <w:tc>
          <w:tcPr>
            <w:tcW w:w="566" w:type="pct"/>
            <w:shd w:val="clear" w:color="auto" w:fill="auto"/>
            <w:noWrap/>
            <w:vAlign w:val="center"/>
            <w:hideMark/>
          </w:tcPr>
          <w:p w14:paraId="1F4AB82A"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0,83</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1087EB58"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0,25</w:t>
            </w:r>
            <w:r>
              <w:rPr>
                <w:rFonts w:ascii="Arial" w:eastAsia="Times New Roman" w:hAnsi="Arial" w:cs="Arial"/>
                <w:color w:val="000000"/>
                <w:sz w:val="18"/>
                <w:szCs w:val="18"/>
                <w:lang w:eastAsia="sl-SI"/>
              </w:rPr>
              <w:t xml:space="preserve"> %</w:t>
            </w:r>
          </w:p>
        </w:tc>
      </w:tr>
      <w:tr w:rsidR="00E3750C" w:rsidRPr="008323F7" w14:paraId="0E6F226F" w14:textId="77777777" w:rsidTr="00047864">
        <w:trPr>
          <w:trHeight w:val="300"/>
        </w:trPr>
        <w:tc>
          <w:tcPr>
            <w:tcW w:w="561" w:type="pct"/>
            <w:shd w:val="clear" w:color="auto" w:fill="auto"/>
            <w:vAlign w:val="center"/>
            <w:hideMark/>
          </w:tcPr>
          <w:p w14:paraId="71ECB26A"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19</w:t>
            </w:r>
          </w:p>
        </w:tc>
        <w:tc>
          <w:tcPr>
            <w:tcW w:w="2063" w:type="pct"/>
            <w:shd w:val="clear" w:color="auto" w:fill="auto"/>
            <w:vAlign w:val="center"/>
            <w:hideMark/>
          </w:tcPr>
          <w:p w14:paraId="20857509"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Usnjeni in tekstilni materiali, plastični in gumijasti materiali</w:t>
            </w:r>
          </w:p>
        </w:tc>
        <w:tc>
          <w:tcPr>
            <w:tcW w:w="463" w:type="pct"/>
            <w:shd w:val="clear" w:color="auto" w:fill="auto"/>
            <w:vAlign w:val="center"/>
            <w:hideMark/>
          </w:tcPr>
          <w:p w14:paraId="3AE79CBB"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16</w:t>
            </w:r>
          </w:p>
        </w:tc>
        <w:tc>
          <w:tcPr>
            <w:tcW w:w="851" w:type="pct"/>
            <w:shd w:val="clear" w:color="auto" w:fill="auto"/>
            <w:vAlign w:val="center"/>
            <w:hideMark/>
          </w:tcPr>
          <w:p w14:paraId="62749031"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1.837.766</w:t>
            </w:r>
          </w:p>
        </w:tc>
        <w:tc>
          <w:tcPr>
            <w:tcW w:w="566" w:type="pct"/>
            <w:shd w:val="clear" w:color="auto" w:fill="auto"/>
            <w:noWrap/>
            <w:vAlign w:val="center"/>
            <w:hideMark/>
          </w:tcPr>
          <w:p w14:paraId="2CCC94F9"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0,16</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3F7BE0E2"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0,04</w:t>
            </w:r>
            <w:r>
              <w:rPr>
                <w:rFonts w:ascii="Arial" w:eastAsia="Times New Roman" w:hAnsi="Arial" w:cs="Arial"/>
                <w:color w:val="000000"/>
                <w:sz w:val="18"/>
                <w:szCs w:val="18"/>
                <w:lang w:eastAsia="sl-SI"/>
              </w:rPr>
              <w:t xml:space="preserve"> %</w:t>
            </w:r>
          </w:p>
        </w:tc>
      </w:tr>
      <w:tr w:rsidR="00E3750C" w:rsidRPr="008323F7" w14:paraId="6F831468" w14:textId="77777777" w:rsidTr="00047864">
        <w:trPr>
          <w:trHeight w:val="300"/>
        </w:trPr>
        <w:tc>
          <w:tcPr>
            <w:tcW w:w="561" w:type="pct"/>
            <w:shd w:val="clear" w:color="auto" w:fill="auto"/>
            <w:vAlign w:val="center"/>
            <w:hideMark/>
          </w:tcPr>
          <w:p w14:paraId="5888B81E"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22</w:t>
            </w:r>
          </w:p>
        </w:tc>
        <w:tc>
          <w:tcPr>
            <w:tcW w:w="2063" w:type="pct"/>
            <w:shd w:val="clear" w:color="auto" w:fill="auto"/>
            <w:vAlign w:val="center"/>
            <w:hideMark/>
          </w:tcPr>
          <w:p w14:paraId="100C2ECB"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Tiskano gradivo in z njim povezani izdelki</w:t>
            </w:r>
          </w:p>
        </w:tc>
        <w:tc>
          <w:tcPr>
            <w:tcW w:w="463" w:type="pct"/>
            <w:shd w:val="clear" w:color="auto" w:fill="auto"/>
            <w:vAlign w:val="center"/>
            <w:hideMark/>
          </w:tcPr>
          <w:p w14:paraId="3E6BD7B2"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56</w:t>
            </w:r>
          </w:p>
        </w:tc>
        <w:tc>
          <w:tcPr>
            <w:tcW w:w="851" w:type="pct"/>
            <w:shd w:val="clear" w:color="auto" w:fill="auto"/>
            <w:vAlign w:val="center"/>
            <w:hideMark/>
          </w:tcPr>
          <w:p w14:paraId="4A3E991C"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4.681.362</w:t>
            </w:r>
          </w:p>
        </w:tc>
        <w:tc>
          <w:tcPr>
            <w:tcW w:w="566" w:type="pct"/>
            <w:shd w:val="clear" w:color="auto" w:fill="auto"/>
            <w:noWrap/>
            <w:vAlign w:val="center"/>
            <w:hideMark/>
          </w:tcPr>
          <w:p w14:paraId="5E84B205"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0,54</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23AE4468"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0,11</w:t>
            </w:r>
            <w:r>
              <w:rPr>
                <w:rFonts w:ascii="Arial" w:eastAsia="Times New Roman" w:hAnsi="Arial" w:cs="Arial"/>
                <w:color w:val="000000"/>
                <w:sz w:val="18"/>
                <w:szCs w:val="18"/>
                <w:lang w:eastAsia="sl-SI"/>
              </w:rPr>
              <w:t xml:space="preserve"> %</w:t>
            </w:r>
          </w:p>
        </w:tc>
      </w:tr>
      <w:tr w:rsidR="00E3750C" w:rsidRPr="008323F7" w14:paraId="07C0EE60" w14:textId="77777777" w:rsidTr="00047864">
        <w:trPr>
          <w:trHeight w:val="300"/>
        </w:trPr>
        <w:tc>
          <w:tcPr>
            <w:tcW w:w="561" w:type="pct"/>
            <w:shd w:val="clear" w:color="auto" w:fill="auto"/>
            <w:vAlign w:val="center"/>
            <w:hideMark/>
          </w:tcPr>
          <w:p w14:paraId="12B2D6B1"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24</w:t>
            </w:r>
          </w:p>
        </w:tc>
        <w:tc>
          <w:tcPr>
            <w:tcW w:w="2063" w:type="pct"/>
            <w:shd w:val="clear" w:color="auto" w:fill="auto"/>
            <w:vAlign w:val="center"/>
            <w:hideMark/>
          </w:tcPr>
          <w:p w14:paraId="71E2EFFB"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Kemični proizvodi</w:t>
            </w:r>
          </w:p>
        </w:tc>
        <w:tc>
          <w:tcPr>
            <w:tcW w:w="463" w:type="pct"/>
            <w:shd w:val="clear" w:color="auto" w:fill="auto"/>
            <w:vAlign w:val="center"/>
            <w:hideMark/>
          </w:tcPr>
          <w:p w14:paraId="2A1D6C6B"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63</w:t>
            </w:r>
          </w:p>
        </w:tc>
        <w:tc>
          <w:tcPr>
            <w:tcW w:w="851" w:type="pct"/>
            <w:shd w:val="clear" w:color="auto" w:fill="auto"/>
            <w:vAlign w:val="center"/>
            <w:hideMark/>
          </w:tcPr>
          <w:p w14:paraId="45D4FEA4"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11.950.498</w:t>
            </w:r>
          </w:p>
        </w:tc>
        <w:tc>
          <w:tcPr>
            <w:tcW w:w="566" w:type="pct"/>
            <w:shd w:val="clear" w:color="auto" w:fill="auto"/>
            <w:noWrap/>
            <w:vAlign w:val="center"/>
            <w:hideMark/>
          </w:tcPr>
          <w:p w14:paraId="1739B525"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0,61</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1BE6FE92"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0,29</w:t>
            </w:r>
            <w:r>
              <w:rPr>
                <w:rFonts w:ascii="Arial" w:eastAsia="Times New Roman" w:hAnsi="Arial" w:cs="Arial"/>
                <w:color w:val="000000"/>
                <w:sz w:val="18"/>
                <w:szCs w:val="18"/>
                <w:lang w:eastAsia="sl-SI"/>
              </w:rPr>
              <w:t xml:space="preserve"> %</w:t>
            </w:r>
          </w:p>
        </w:tc>
      </w:tr>
      <w:tr w:rsidR="00E3750C" w:rsidRPr="008323F7" w14:paraId="196AD6DC" w14:textId="77777777" w:rsidTr="00047864">
        <w:trPr>
          <w:trHeight w:val="300"/>
        </w:trPr>
        <w:tc>
          <w:tcPr>
            <w:tcW w:w="561" w:type="pct"/>
            <w:shd w:val="clear" w:color="auto" w:fill="auto"/>
            <w:vAlign w:val="center"/>
            <w:hideMark/>
          </w:tcPr>
          <w:p w14:paraId="0F85895B"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30</w:t>
            </w:r>
          </w:p>
        </w:tc>
        <w:tc>
          <w:tcPr>
            <w:tcW w:w="2063" w:type="pct"/>
            <w:shd w:val="clear" w:color="auto" w:fill="auto"/>
            <w:vAlign w:val="center"/>
            <w:hideMark/>
          </w:tcPr>
          <w:p w14:paraId="10F32F8B"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Pisarniški in računski stroji, oprema in potrebščine, razen pohištva in programskih paketov</w:t>
            </w:r>
          </w:p>
        </w:tc>
        <w:tc>
          <w:tcPr>
            <w:tcW w:w="463" w:type="pct"/>
            <w:shd w:val="clear" w:color="auto" w:fill="auto"/>
            <w:vAlign w:val="center"/>
            <w:hideMark/>
          </w:tcPr>
          <w:p w14:paraId="5C73A5E9"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155</w:t>
            </w:r>
          </w:p>
        </w:tc>
        <w:tc>
          <w:tcPr>
            <w:tcW w:w="851" w:type="pct"/>
            <w:shd w:val="clear" w:color="auto" w:fill="auto"/>
            <w:vAlign w:val="center"/>
            <w:hideMark/>
          </w:tcPr>
          <w:p w14:paraId="5BB0C13F"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31.953.752</w:t>
            </w:r>
          </w:p>
        </w:tc>
        <w:tc>
          <w:tcPr>
            <w:tcW w:w="566" w:type="pct"/>
            <w:shd w:val="clear" w:color="auto" w:fill="auto"/>
            <w:noWrap/>
            <w:vAlign w:val="center"/>
            <w:hideMark/>
          </w:tcPr>
          <w:p w14:paraId="26F2736B"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1,51</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3E428811"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0,76</w:t>
            </w:r>
            <w:r>
              <w:rPr>
                <w:rFonts w:ascii="Arial" w:eastAsia="Times New Roman" w:hAnsi="Arial" w:cs="Arial"/>
                <w:color w:val="000000"/>
                <w:sz w:val="18"/>
                <w:szCs w:val="18"/>
                <w:lang w:eastAsia="sl-SI"/>
              </w:rPr>
              <w:t xml:space="preserve"> %</w:t>
            </w:r>
          </w:p>
        </w:tc>
      </w:tr>
      <w:tr w:rsidR="00E3750C" w:rsidRPr="008323F7" w14:paraId="248004AA" w14:textId="77777777" w:rsidTr="00047864">
        <w:trPr>
          <w:trHeight w:val="300"/>
        </w:trPr>
        <w:tc>
          <w:tcPr>
            <w:tcW w:w="561" w:type="pct"/>
            <w:shd w:val="clear" w:color="auto" w:fill="auto"/>
            <w:vAlign w:val="center"/>
            <w:hideMark/>
          </w:tcPr>
          <w:p w14:paraId="32C171DE"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31</w:t>
            </w:r>
          </w:p>
        </w:tc>
        <w:tc>
          <w:tcPr>
            <w:tcW w:w="2063" w:type="pct"/>
            <w:shd w:val="clear" w:color="auto" w:fill="auto"/>
            <w:vAlign w:val="center"/>
            <w:hideMark/>
          </w:tcPr>
          <w:p w14:paraId="423A111D"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Električni stroji, aparati, oprema in potrošno blago; razsvetljava</w:t>
            </w:r>
          </w:p>
        </w:tc>
        <w:tc>
          <w:tcPr>
            <w:tcW w:w="463" w:type="pct"/>
            <w:shd w:val="clear" w:color="auto" w:fill="auto"/>
            <w:vAlign w:val="center"/>
            <w:hideMark/>
          </w:tcPr>
          <w:p w14:paraId="48AF599B"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59</w:t>
            </w:r>
          </w:p>
        </w:tc>
        <w:tc>
          <w:tcPr>
            <w:tcW w:w="851" w:type="pct"/>
            <w:shd w:val="clear" w:color="auto" w:fill="auto"/>
            <w:vAlign w:val="center"/>
            <w:hideMark/>
          </w:tcPr>
          <w:p w14:paraId="0A0D6182"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33.536.149</w:t>
            </w:r>
          </w:p>
        </w:tc>
        <w:tc>
          <w:tcPr>
            <w:tcW w:w="566" w:type="pct"/>
            <w:shd w:val="clear" w:color="auto" w:fill="auto"/>
            <w:noWrap/>
            <w:vAlign w:val="center"/>
            <w:hideMark/>
          </w:tcPr>
          <w:p w14:paraId="3E6275AB"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0,57</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6248F8DC"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0,80</w:t>
            </w:r>
            <w:r>
              <w:rPr>
                <w:rFonts w:ascii="Arial" w:eastAsia="Times New Roman" w:hAnsi="Arial" w:cs="Arial"/>
                <w:color w:val="000000"/>
                <w:sz w:val="18"/>
                <w:szCs w:val="18"/>
                <w:lang w:eastAsia="sl-SI"/>
              </w:rPr>
              <w:t xml:space="preserve"> %</w:t>
            </w:r>
          </w:p>
        </w:tc>
      </w:tr>
      <w:tr w:rsidR="00E3750C" w:rsidRPr="008323F7" w14:paraId="0D99DA95" w14:textId="77777777" w:rsidTr="00047864">
        <w:trPr>
          <w:trHeight w:val="300"/>
        </w:trPr>
        <w:tc>
          <w:tcPr>
            <w:tcW w:w="561" w:type="pct"/>
            <w:shd w:val="clear" w:color="auto" w:fill="auto"/>
            <w:vAlign w:val="center"/>
            <w:hideMark/>
          </w:tcPr>
          <w:p w14:paraId="5E3FA115"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32</w:t>
            </w:r>
          </w:p>
        </w:tc>
        <w:tc>
          <w:tcPr>
            <w:tcW w:w="2063" w:type="pct"/>
            <w:shd w:val="clear" w:color="auto" w:fill="auto"/>
            <w:vAlign w:val="center"/>
            <w:hideMark/>
          </w:tcPr>
          <w:p w14:paraId="4A138CBA"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Radijski in televizijski aparati, komunikacijska, telekomunikacijska in z njimi povezana oprema</w:t>
            </w:r>
          </w:p>
        </w:tc>
        <w:tc>
          <w:tcPr>
            <w:tcW w:w="463" w:type="pct"/>
            <w:shd w:val="clear" w:color="auto" w:fill="auto"/>
            <w:vAlign w:val="center"/>
            <w:hideMark/>
          </w:tcPr>
          <w:p w14:paraId="6B0A9D33"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47</w:t>
            </w:r>
          </w:p>
        </w:tc>
        <w:tc>
          <w:tcPr>
            <w:tcW w:w="851" w:type="pct"/>
            <w:shd w:val="clear" w:color="auto" w:fill="auto"/>
            <w:vAlign w:val="center"/>
            <w:hideMark/>
          </w:tcPr>
          <w:p w14:paraId="113DA15F"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22.621.751</w:t>
            </w:r>
          </w:p>
        </w:tc>
        <w:tc>
          <w:tcPr>
            <w:tcW w:w="566" w:type="pct"/>
            <w:shd w:val="clear" w:color="auto" w:fill="auto"/>
            <w:noWrap/>
            <w:vAlign w:val="center"/>
            <w:hideMark/>
          </w:tcPr>
          <w:p w14:paraId="04646619"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0,46</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1AAD837C"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0,54</w:t>
            </w:r>
            <w:r>
              <w:rPr>
                <w:rFonts w:ascii="Arial" w:eastAsia="Times New Roman" w:hAnsi="Arial" w:cs="Arial"/>
                <w:color w:val="000000"/>
                <w:sz w:val="18"/>
                <w:szCs w:val="18"/>
                <w:lang w:eastAsia="sl-SI"/>
              </w:rPr>
              <w:t xml:space="preserve"> %</w:t>
            </w:r>
          </w:p>
        </w:tc>
      </w:tr>
      <w:tr w:rsidR="00E3750C" w:rsidRPr="008323F7" w14:paraId="40C5B25D" w14:textId="77777777" w:rsidTr="00047864">
        <w:trPr>
          <w:trHeight w:val="300"/>
        </w:trPr>
        <w:tc>
          <w:tcPr>
            <w:tcW w:w="561" w:type="pct"/>
            <w:shd w:val="clear" w:color="auto" w:fill="auto"/>
            <w:vAlign w:val="center"/>
            <w:hideMark/>
          </w:tcPr>
          <w:p w14:paraId="626331E3"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33</w:t>
            </w:r>
          </w:p>
        </w:tc>
        <w:tc>
          <w:tcPr>
            <w:tcW w:w="2063" w:type="pct"/>
            <w:shd w:val="clear" w:color="auto" w:fill="auto"/>
            <w:vAlign w:val="center"/>
            <w:hideMark/>
          </w:tcPr>
          <w:p w14:paraId="127DAE4E"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Medicinska oprema, farmacevtski izdelki in izdelki za osebno nego</w:t>
            </w:r>
          </w:p>
        </w:tc>
        <w:tc>
          <w:tcPr>
            <w:tcW w:w="463" w:type="pct"/>
            <w:shd w:val="clear" w:color="auto" w:fill="auto"/>
            <w:vAlign w:val="center"/>
            <w:hideMark/>
          </w:tcPr>
          <w:p w14:paraId="7A949BD5"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3.302</w:t>
            </w:r>
          </w:p>
        </w:tc>
        <w:tc>
          <w:tcPr>
            <w:tcW w:w="851" w:type="pct"/>
            <w:shd w:val="clear" w:color="auto" w:fill="auto"/>
            <w:vAlign w:val="center"/>
            <w:hideMark/>
          </w:tcPr>
          <w:p w14:paraId="322B2EBE"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748.974.068</w:t>
            </w:r>
          </w:p>
        </w:tc>
        <w:tc>
          <w:tcPr>
            <w:tcW w:w="566" w:type="pct"/>
            <w:shd w:val="clear" w:color="auto" w:fill="auto"/>
            <w:noWrap/>
            <w:vAlign w:val="center"/>
            <w:hideMark/>
          </w:tcPr>
          <w:p w14:paraId="3DAD0C4F"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32,09</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32BE1202"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17,92</w:t>
            </w:r>
            <w:r>
              <w:rPr>
                <w:rFonts w:ascii="Arial" w:eastAsia="Times New Roman" w:hAnsi="Arial" w:cs="Arial"/>
                <w:color w:val="000000"/>
                <w:sz w:val="18"/>
                <w:szCs w:val="18"/>
                <w:lang w:eastAsia="sl-SI"/>
              </w:rPr>
              <w:t xml:space="preserve"> %</w:t>
            </w:r>
          </w:p>
        </w:tc>
      </w:tr>
      <w:tr w:rsidR="00E3750C" w:rsidRPr="008323F7" w14:paraId="3D3D75D3" w14:textId="77777777" w:rsidTr="00047864">
        <w:trPr>
          <w:trHeight w:val="300"/>
        </w:trPr>
        <w:tc>
          <w:tcPr>
            <w:tcW w:w="561" w:type="pct"/>
            <w:shd w:val="clear" w:color="auto" w:fill="auto"/>
            <w:vAlign w:val="center"/>
            <w:hideMark/>
          </w:tcPr>
          <w:p w14:paraId="7B58793E"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34</w:t>
            </w:r>
          </w:p>
        </w:tc>
        <w:tc>
          <w:tcPr>
            <w:tcW w:w="2063" w:type="pct"/>
            <w:shd w:val="clear" w:color="auto" w:fill="auto"/>
            <w:vAlign w:val="center"/>
            <w:hideMark/>
          </w:tcPr>
          <w:p w14:paraId="0C30291A"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Prevozna sredstva in dodatni proizvodi za promet</w:t>
            </w:r>
          </w:p>
        </w:tc>
        <w:tc>
          <w:tcPr>
            <w:tcW w:w="463" w:type="pct"/>
            <w:shd w:val="clear" w:color="auto" w:fill="auto"/>
            <w:vAlign w:val="center"/>
            <w:hideMark/>
          </w:tcPr>
          <w:p w14:paraId="2EA57B60"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417</w:t>
            </w:r>
          </w:p>
        </w:tc>
        <w:tc>
          <w:tcPr>
            <w:tcW w:w="851" w:type="pct"/>
            <w:shd w:val="clear" w:color="auto" w:fill="auto"/>
            <w:vAlign w:val="center"/>
            <w:hideMark/>
          </w:tcPr>
          <w:p w14:paraId="1D7ADCCE"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157.277.018</w:t>
            </w:r>
          </w:p>
        </w:tc>
        <w:tc>
          <w:tcPr>
            <w:tcW w:w="566" w:type="pct"/>
            <w:shd w:val="clear" w:color="auto" w:fill="auto"/>
            <w:noWrap/>
            <w:vAlign w:val="center"/>
            <w:hideMark/>
          </w:tcPr>
          <w:p w14:paraId="0D7596E4"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4,05</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732A6A50"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3,76</w:t>
            </w:r>
            <w:r>
              <w:rPr>
                <w:rFonts w:ascii="Arial" w:eastAsia="Times New Roman" w:hAnsi="Arial" w:cs="Arial"/>
                <w:color w:val="000000"/>
                <w:sz w:val="18"/>
                <w:szCs w:val="18"/>
                <w:lang w:eastAsia="sl-SI"/>
              </w:rPr>
              <w:t xml:space="preserve"> %</w:t>
            </w:r>
          </w:p>
        </w:tc>
      </w:tr>
      <w:tr w:rsidR="00E3750C" w:rsidRPr="008323F7" w14:paraId="462C119C" w14:textId="77777777" w:rsidTr="00047864">
        <w:trPr>
          <w:trHeight w:val="300"/>
        </w:trPr>
        <w:tc>
          <w:tcPr>
            <w:tcW w:w="561" w:type="pct"/>
            <w:shd w:val="clear" w:color="auto" w:fill="auto"/>
            <w:vAlign w:val="center"/>
            <w:hideMark/>
          </w:tcPr>
          <w:p w14:paraId="79DDF5BE"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35</w:t>
            </w:r>
          </w:p>
        </w:tc>
        <w:tc>
          <w:tcPr>
            <w:tcW w:w="2063" w:type="pct"/>
            <w:shd w:val="clear" w:color="auto" w:fill="auto"/>
            <w:vAlign w:val="center"/>
            <w:hideMark/>
          </w:tcPr>
          <w:p w14:paraId="53296EE9"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Varnostna, gasilska, policijska in obrambna oprema</w:t>
            </w:r>
          </w:p>
        </w:tc>
        <w:tc>
          <w:tcPr>
            <w:tcW w:w="463" w:type="pct"/>
            <w:shd w:val="clear" w:color="auto" w:fill="auto"/>
            <w:vAlign w:val="center"/>
            <w:hideMark/>
          </w:tcPr>
          <w:p w14:paraId="7790C844"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102</w:t>
            </w:r>
          </w:p>
        </w:tc>
        <w:tc>
          <w:tcPr>
            <w:tcW w:w="851" w:type="pct"/>
            <w:shd w:val="clear" w:color="auto" w:fill="auto"/>
            <w:vAlign w:val="center"/>
            <w:hideMark/>
          </w:tcPr>
          <w:p w14:paraId="085FE0ED"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61.823.887</w:t>
            </w:r>
          </w:p>
        </w:tc>
        <w:tc>
          <w:tcPr>
            <w:tcW w:w="566" w:type="pct"/>
            <w:shd w:val="clear" w:color="auto" w:fill="auto"/>
            <w:noWrap/>
            <w:vAlign w:val="center"/>
            <w:hideMark/>
          </w:tcPr>
          <w:p w14:paraId="6144A043"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0,99</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20C52513"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1,48</w:t>
            </w:r>
            <w:r>
              <w:rPr>
                <w:rFonts w:ascii="Arial" w:eastAsia="Times New Roman" w:hAnsi="Arial" w:cs="Arial"/>
                <w:color w:val="000000"/>
                <w:sz w:val="18"/>
                <w:szCs w:val="18"/>
                <w:lang w:eastAsia="sl-SI"/>
              </w:rPr>
              <w:t xml:space="preserve"> %</w:t>
            </w:r>
          </w:p>
        </w:tc>
      </w:tr>
      <w:tr w:rsidR="00E3750C" w:rsidRPr="008323F7" w14:paraId="010BB07F" w14:textId="77777777" w:rsidTr="00047864">
        <w:trPr>
          <w:trHeight w:val="300"/>
        </w:trPr>
        <w:tc>
          <w:tcPr>
            <w:tcW w:w="561" w:type="pct"/>
            <w:shd w:val="clear" w:color="auto" w:fill="auto"/>
            <w:vAlign w:val="center"/>
            <w:hideMark/>
          </w:tcPr>
          <w:p w14:paraId="23AC60FF"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lastRenderedPageBreak/>
              <w:t>37</w:t>
            </w:r>
          </w:p>
        </w:tc>
        <w:tc>
          <w:tcPr>
            <w:tcW w:w="2063" w:type="pct"/>
            <w:shd w:val="clear" w:color="auto" w:fill="auto"/>
            <w:vAlign w:val="center"/>
            <w:hideMark/>
          </w:tcPr>
          <w:p w14:paraId="2711C984"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Glasbila, športni izdelki, igre, igrače, ročna dela, umetniški materiali in dodatki</w:t>
            </w:r>
          </w:p>
        </w:tc>
        <w:tc>
          <w:tcPr>
            <w:tcW w:w="463" w:type="pct"/>
            <w:shd w:val="clear" w:color="auto" w:fill="auto"/>
            <w:vAlign w:val="center"/>
            <w:hideMark/>
          </w:tcPr>
          <w:p w14:paraId="706C8D3D"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22</w:t>
            </w:r>
          </w:p>
        </w:tc>
        <w:tc>
          <w:tcPr>
            <w:tcW w:w="851" w:type="pct"/>
            <w:shd w:val="clear" w:color="auto" w:fill="auto"/>
            <w:vAlign w:val="center"/>
            <w:hideMark/>
          </w:tcPr>
          <w:p w14:paraId="0F735785"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3.498.038</w:t>
            </w:r>
          </w:p>
        </w:tc>
        <w:tc>
          <w:tcPr>
            <w:tcW w:w="566" w:type="pct"/>
            <w:shd w:val="clear" w:color="auto" w:fill="auto"/>
            <w:noWrap/>
            <w:vAlign w:val="center"/>
            <w:hideMark/>
          </w:tcPr>
          <w:p w14:paraId="56F1549E"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0,21</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0348204C"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0,08</w:t>
            </w:r>
            <w:r>
              <w:rPr>
                <w:rFonts w:ascii="Arial" w:eastAsia="Times New Roman" w:hAnsi="Arial" w:cs="Arial"/>
                <w:color w:val="000000"/>
                <w:sz w:val="18"/>
                <w:szCs w:val="18"/>
                <w:lang w:eastAsia="sl-SI"/>
              </w:rPr>
              <w:t xml:space="preserve"> %</w:t>
            </w:r>
          </w:p>
        </w:tc>
      </w:tr>
      <w:tr w:rsidR="00E3750C" w:rsidRPr="008323F7" w14:paraId="47BF833C" w14:textId="77777777" w:rsidTr="00047864">
        <w:trPr>
          <w:trHeight w:val="300"/>
        </w:trPr>
        <w:tc>
          <w:tcPr>
            <w:tcW w:w="561" w:type="pct"/>
            <w:shd w:val="clear" w:color="auto" w:fill="auto"/>
            <w:vAlign w:val="center"/>
            <w:hideMark/>
          </w:tcPr>
          <w:p w14:paraId="387EA40C"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38</w:t>
            </w:r>
          </w:p>
        </w:tc>
        <w:tc>
          <w:tcPr>
            <w:tcW w:w="2063" w:type="pct"/>
            <w:shd w:val="clear" w:color="auto" w:fill="auto"/>
            <w:vAlign w:val="center"/>
            <w:hideMark/>
          </w:tcPr>
          <w:p w14:paraId="6D683BC3"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Laboratorijska, optična in precizna oprema (razen očal)</w:t>
            </w:r>
          </w:p>
        </w:tc>
        <w:tc>
          <w:tcPr>
            <w:tcW w:w="463" w:type="pct"/>
            <w:shd w:val="clear" w:color="auto" w:fill="auto"/>
            <w:vAlign w:val="center"/>
            <w:hideMark/>
          </w:tcPr>
          <w:p w14:paraId="52C9AC03"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202</w:t>
            </w:r>
          </w:p>
        </w:tc>
        <w:tc>
          <w:tcPr>
            <w:tcW w:w="851" w:type="pct"/>
            <w:shd w:val="clear" w:color="auto" w:fill="auto"/>
            <w:vAlign w:val="center"/>
            <w:hideMark/>
          </w:tcPr>
          <w:p w14:paraId="1DD8D8D1"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42.246.476</w:t>
            </w:r>
          </w:p>
        </w:tc>
        <w:tc>
          <w:tcPr>
            <w:tcW w:w="566" w:type="pct"/>
            <w:shd w:val="clear" w:color="auto" w:fill="auto"/>
            <w:noWrap/>
            <w:vAlign w:val="center"/>
            <w:hideMark/>
          </w:tcPr>
          <w:p w14:paraId="230288B8"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1,96</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3343B690"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1,01</w:t>
            </w:r>
            <w:r>
              <w:rPr>
                <w:rFonts w:ascii="Arial" w:eastAsia="Times New Roman" w:hAnsi="Arial" w:cs="Arial"/>
                <w:color w:val="000000"/>
                <w:sz w:val="18"/>
                <w:szCs w:val="18"/>
                <w:lang w:eastAsia="sl-SI"/>
              </w:rPr>
              <w:t xml:space="preserve"> %</w:t>
            </w:r>
          </w:p>
        </w:tc>
      </w:tr>
      <w:tr w:rsidR="00E3750C" w:rsidRPr="008323F7" w14:paraId="472033B4" w14:textId="77777777" w:rsidTr="00047864">
        <w:trPr>
          <w:trHeight w:val="300"/>
        </w:trPr>
        <w:tc>
          <w:tcPr>
            <w:tcW w:w="561" w:type="pct"/>
            <w:shd w:val="clear" w:color="auto" w:fill="auto"/>
            <w:vAlign w:val="center"/>
            <w:hideMark/>
          </w:tcPr>
          <w:p w14:paraId="191A753B"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39</w:t>
            </w:r>
          </w:p>
        </w:tc>
        <w:tc>
          <w:tcPr>
            <w:tcW w:w="2063" w:type="pct"/>
            <w:shd w:val="clear" w:color="auto" w:fill="auto"/>
            <w:vAlign w:val="center"/>
            <w:hideMark/>
          </w:tcPr>
          <w:p w14:paraId="27102982"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Pohištvo (vključno s pisarniškim pohištvom), notranja oprema, gospodinjske naprave (razen svetil) in čistilna sredstva</w:t>
            </w:r>
          </w:p>
        </w:tc>
        <w:tc>
          <w:tcPr>
            <w:tcW w:w="463" w:type="pct"/>
            <w:shd w:val="clear" w:color="auto" w:fill="auto"/>
            <w:vAlign w:val="center"/>
            <w:hideMark/>
          </w:tcPr>
          <w:p w14:paraId="3215283C"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103</w:t>
            </w:r>
          </w:p>
        </w:tc>
        <w:tc>
          <w:tcPr>
            <w:tcW w:w="851" w:type="pct"/>
            <w:shd w:val="clear" w:color="auto" w:fill="auto"/>
            <w:vAlign w:val="center"/>
            <w:hideMark/>
          </w:tcPr>
          <w:p w14:paraId="70B54EA0"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23.610.618</w:t>
            </w:r>
          </w:p>
        </w:tc>
        <w:tc>
          <w:tcPr>
            <w:tcW w:w="566" w:type="pct"/>
            <w:shd w:val="clear" w:color="auto" w:fill="auto"/>
            <w:noWrap/>
            <w:vAlign w:val="center"/>
            <w:hideMark/>
          </w:tcPr>
          <w:p w14:paraId="76963F3E"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1,00</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7D0515BF"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0,57</w:t>
            </w:r>
            <w:r>
              <w:rPr>
                <w:rFonts w:ascii="Arial" w:eastAsia="Times New Roman" w:hAnsi="Arial" w:cs="Arial"/>
                <w:color w:val="000000"/>
                <w:sz w:val="18"/>
                <w:szCs w:val="18"/>
                <w:lang w:eastAsia="sl-SI"/>
              </w:rPr>
              <w:t xml:space="preserve"> %</w:t>
            </w:r>
          </w:p>
        </w:tc>
      </w:tr>
      <w:tr w:rsidR="00E3750C" w:rsidRPr="008323F7" w14:paraId="2A90A42D" w14:textId="77777777" w:rsidTr="00047864">
        <w:trPr>
          <w:trHeight w:val="300"/>
        </w:trPr>
        <w:tc>
          <w:tcPr>
            <w:tcW w:w="561" w:type="pct"/>
            <w:shd w:val="clear" w:color="auto" w:fill="auto"/>
            <w:vAlign w:val="center"/>
            <w:hideMark/>
          </w:tcPr>
          <w:p w14:paraId="396C48D9"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41</w:t>
            </w:r>
          </w:p>
        </w:tc>
        <w:tc>
          <w:tcPr>
            <w:tcW w:w="2063" w:type="pct"/>
            <w:shd w:val="clear" w:color="auto" w:fill="auto"/>
            <w:vAlign w:val="center"/>
            <w:hideMark/>
          </w:tcPr>
          <w:p w14:paraId="0A33791D"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Zbrana in očiščena voda</w:t>
            </w:r>
          </w:p>
        </w:tc>
        <w:tc>
          <w:tcPr>
            <w:tcW w:w="463" w:type="pct"/>
            <w:shd w:val="clear" w:color="auto" w:fill="auto"/>
            <w:vAlign w:val="center"/>
            <w:hideMark/>
          </w:tcPr>
          <w:p w14:paraId="73B9FD90"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1</w:t>
            </w:r>
          </w:p>
        </w:tc>
        <w:tc>
          <w:tcPr>
            <w:tcW w:w="851" w:type="pct"/>
            <w:shd w:val="clear" w:color="auto" w:fill="auto"/>
            <w:vAlign w:val="center"/>
            <w:hideMark/>
          </w:tcPr>
          <w:p w14:paraId="414167B6"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878.253</w:t>
            </w:r>
          </w:p>
        </w:tc>
        <w:tc>
          <w:tcPr>
            <w:tcW w:w="566" w:type="pct"/>
            <w:shd w:val="clear" w:color="auto" w:fill="auto"/>
            <w:noWrap/>
            <w:vAlign w:val="center"/>
            <w:hideMark/>
          </w:tcPr>
          <w:p w14:paraId="05348843"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4B5C2F55"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r>
      <w:tr w:rsidR="00E3750C" w:rsidRPr="008323F7" w14:paraId="1DA5E531" w14:textId="77777777" w:rsidTr="00047864">
        <w:trPr>
          <w:trHeight w:val="300"/>
        </w:trPr>
        <w:tc>
          <w:tcPr>
            <w:tcW w:w="561" w:type="pct"/>
            <w:shd w:val="clear" w:color="auto" w:fill="auto"/>
            <w:vAlign w:val="center"/>
            <w:hideMark/>
          </w:tcPr>
          <w:p w14:paraId="09F71317"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42</w:t>
            </w:r>
          </w:p>
        </w:tc>
        <w:tc>
          <w:tcPr>
            <w:tcW w:w="2063" w:type="pct"/>
            <w:shd w:val="clear" w:color="auto" w:fill="auto"/>
            <w:vAlign w:val="center"/>
            <w:hideMark/>
          </w:tcPr>
          <w:p w14:paraId="66A40A6E"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Industrijski stroji</w:t>
            </w:r>
          </w:p>
        </w:tc>
        <w:tc>
          <w:tcPr>
            <w:tcW w:w="463" w:type="pct"/>
            <w:shd w:val="clear" w:color="auto" w:fill="auto"/>
            <w:vAlign w:val="center"/>
            <w:hideMark/>
          </w:tcPr>
          <w:p w14:paraId="3E311D31"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73</w:t>
            </w:r>
          </w:p>
        </w:tc>
        <w:tc>
          <w:tcPr>
            <w:tcW w:w="851" w:type="pct"/>
            <w:shd w:val="clear" w:color="auto" w:fill="auto"/>
            <w:vAlign w:val="center"/>
            <w:hideMark/>
          </w:tcPr>
          <w:p w14:paraId="7D39A49C"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37.674.668</w:t>
            </w:r>
          </w:p>
        </w:tc>
        <w:tc>
          <w:tcPr>
            <w:tcW w:w="566" w:type="pct"/>
            <w:shd w:val="clear" w:color="auto" w:fill="auto"/>
            <w:noWrap/>
            <w:vAlign w:val="center"/>
            <w:hideMark/>
          </w:tcPr>
          <w:p w14:paraId="276CDD46"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0,71</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16718FCA"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0,90</w:t>
            </w:r>
            <w:r>
              <w:rPr>
                <w:rFonts w:ascii="Arial" w:eastAsia="Times New Roman" w:hAnsi="Arial" w:cs="Arial"/>
                <w:color w:val="000000"/>
                <w:sz w:val="18"/>
                <w:szCs w:val="18"/>
                <w:lang w:eastAsia="sl-SI"/>
              </w:rPr>
              <w:t xml:space="preserve"> %</w:t>
            </w:r>
          </w:p>
        </w:tc>
      </w:tr>
      <w:tr w:rsidR="00E3750C" w:rsidRPr="008323F7" w14:paraId="447C4681" w14:textId="77777777" w:rsidTr="00047864">
        <w:trPr>
          <w:trHeight w:val="300"/>
        </w:trPr>
        <w:tc>
          <w:tcPr>
            <w:tcW w:w="561" w:type="pct"/>
            <w:shd w:val="clear" w:color="auto" w:fill="auto"/>
            <w:vAlign w:val="center"/>
            <w:hideMark/>
          </w:tcPr>
          <w:p w14:paraId="0056541C"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43</w:t>
            </w:r>
          </w:p>
        </w:tc>
        <w:tc>
          <w:tcPr>
            <w:tcW w:w="2063" w:type="pct"/>
            <w:shd w:val="clear" w:color="auto" w:fill="auto"/>
            <w:vAlign w:val="center"/>
            <w:hideMark/>
          </w:tcPr>
          <w:p w14:paraId="0AE55858"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Rudarska, kamnoseška in gradbena oprema</w:t>
            </w:r>
          </w:p>
        </w:tc>
        <w:tc>
          <w:tcPr>
            <w:tcW w:w="463" w:type="pct"/>
            <w:shd w:val="clear" w:color="auto" w:fill="auto"/>
            <w:vAlign w:val="center"/>
            <w:hideMark/>
          </w:tcPr>
          <w:p w14:paraId="1B7AD4DB"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15</w:t>
            </w:r>
          </w:p>
        </w:tc>
        <w:tc>
          <w:tcPr>
            <w:tcW w:w="851" w:type="pct"/>
            <w:shd w:val="clear" w:color="auto" w:fill="auto"/>
            <w:vAlign w:val="center"/>
            <w:hideMark/>
          </w:tcPr>
          <w:p w14:paraId="52448FD8"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6.178.593</w:t>
            </w:r>
          </w:p>
        </w:tc>
        <w:tc>
          <w:tcPr>
            <w:tcW w:w="566" w:type="pct"/>
            <w:shd w:val="clear" w:color="auto" w:fill="auto"/>
            <w:noWrap/>
            <w:vAlign w:val="center"/>
            <w:hideMark/>
          </w:tcPr>
          <w:p w14:paraId="2B4F2833"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0,15</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16C5FCB4"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0,15</w:t>
            </w:r>
            <w:r>
              <w:rPr>
                <w:rFonts w:ascii="Arial" w:eastAsia="Times New Roman" w:hAnsi="Arial" w:cs="Arial"/>
                <w:color w:val="000000"/>
                <w:sz w:val="18"/>
                <w:szCs w:val="18"/>
                <w:lang w:eastAsia="sl-SI"/>
              </w:rPr>
              <w:t xml:space="preserve"> %</w:t>
            </w:r>
          </w:p>
        </w:tc>
      </w:tr>
      <w:tr w:rsidR="00E3750C" w:rsidRPr="008323F7" w14:paraId="31BF7132" w14:textId="77777777" w:rsidTr="00047864">
        <w:trPr>
          <w:trHeight w:val="300"/>
        </w:trPr>
        <w:tc>
          <w:tcPr>
            <w:tcW w:w="561" w:type="pct"/>
            <w:shd w:val="clear" w:color="auto" w:fill="auto"/>
            <w:vAlign w:val="center"/>
            <w:hideMark/>
          </w:tcPr>
          <w:p w14:paraId="6EA996C8"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44</w:t>
            </w:r>
          </w:p>
        </w:tc>
        <w:tc>
          <w:tcPr>
            <w:tcW w:w="2063" w:type="pct"/>
            <w:shd w:val="clear" w:color="auto" w:fill="auto"/>
            <w:vAlign w:val="center"/>
            <w:hideMark/>
          </w:tcPr>
          <w:p w14:paraId="7B0A6147"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Gradbene strukture in materiali; pomožni gradbeni izdelki (razen električnih aparatov)</w:t>
            </w:r>
          </w:p>
        </w:tc>
        <w:tc>
          <w:tcPr>
            <w:tcW w:w="463" w:type="pct"/>
            <w:shd w:val="clear" w:color="auto" w:fill="auto"/>
            <w:vAlign w:val="center"/>
            <w:hideMark/>
          </w:tcPr>
          <w:p w14:paraId="5842CCEA"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95</w:t>
            </w:r>
          </w:p>
        </w:tc>
        <w:tc>
          <w:tcPr>
            <w:tcW w:w="851" w:type="pct"/>
            <w:shd w:val="clear" w:color="auto" w:fill="auto"/>
            <w:vAlign w:val="center"/>
            <w:hideMark/>
          </w:tcPr>
          <w:p w14:paraId="15BC0B0C"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84.381.672</w:t>
            </w:r>
          </w:p>
        </w:tc>
        <w:tc>
          <w:tcPr>
            <w:tcW w:w="566" w:type="pct"/>
            <w:shd w:val="clear" w:color="auto" w:fill="auto"/>
            <w:noWrap/>
            <w:vAlign w:val="center"/>
            <w:hideMark/>
          </w:tcPr>
          <w:p w14:paraId="6A007D42"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0,92</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2FD24C22"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2,02</w:t>
            </w:r>
            <w:r>
              <w:rPr>
                <w:rFonts w:ascii="Arial" w:eastAsia="Times New Roman" w:hAnsi="Arial" w:cs="Arial"/>
                <w:color w:val="000000"/>
                <w:sz w:val="18"/>
                <w:szCs w:val="18"/>
                <w:lang w:eastAsia="sl-SI"/>
              </w:rPr>
              <w:t xml:space="preserve"> %</w:t>
            </w:r>
          </w:p>
        </w:tc>
      </w:tr>
      <w:tr w:rsidR="00E3750C" w:rsidRPr="008323F7" w14:paraId="04558D30" w14:textId="77777777" w:rsidTr="00047864">
        <w:trPr>
          <w:trHeight w:val="300"/>
        </w:trPr>
        <w:tc>
          <w:tcPr>
            <w:tcW w:w="561" w:type="pct"/>
            <w:shd w:val="clear" w:color="auto" w:fill="auto"/>
            <w:vAlign w:val="center"/>
            <w:hideMark/>
          </w:tcPr>
          <w:p w14:paraId="18665186"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45</w:t>
            </w:r>
          </w:p>
        </w:tc>
        <w:tc>
          <w:tcPr>
            <w:tcW w:w="2063" w:type="pct"/>
            <w:shd w:val="clear" w:color="auto" w:fill="auto"/>
            <w:vAlign w:val="center"/>
            <w:hideMark/>
          </w:tcPr>
          <w:p w14:paraId="28524AA9"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Gradbena dela</w:t>
            </w:r>
          </w:p>
        </w:tc>
        <w:tc>
          <w:tcPr>
            <w:tcW w:w="463" w:type="pct"/>
            <w:shd w:val="clear" w:color="auto" w:fill="auto"/>
            <w:vAlign w:val="center"/>
            <w:hideMark/>
          </w:tcPr>
          <w:p w14:paraId="78070C15"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157</w:t>
            </w:r>
          </w:p>
        </w:tc>
        <w:tc>
          <w:tcPr>
            <w:tcW w:w="851" w:type="pct"/>
            <w:shd w:val="clear" w:color="auto" w:fill="auto"/>
            <w:vAlign w:val="center"/>
            <w:hideMark/>
          </w:tcPr>
          <w:p w14:paraId="416787E7"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955.432.831</w:t>
            </w:r>
          </w:p>
        </w:tc>
        <w:tc>
          <w:tcPr>
            <w:tcW w:w="566" w:type="pct"/>
            <w:shd w:val="clear" w:color="auto" w:fill="auto"/>
            <w:noWrap/>
            <w:vAlign w:val="center"/>
            <w:hideMark/>
          </w:tcPr>
          <w:p w14:paraId="3BD56F93"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1,53</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06263F42"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22,86</w:t>
            </w:r>
            <w:r>
              <w:rPr>
                <w:rFonts w:ascii="Arial" w:eastAsia="Times New Roman" w:hAnsi="Arial" w:cs="Arial"/>
                <w:color w:val="000000"/>
                <w:sz w:val="18"/>
                <w:szCs w:val="18"/>
                <w:lang w:eastAsia="sl-SI"/>
              </w:rPr>
              <w:t xml:space="preserve"> %</w:t>
            </w:r>
          </w:p>
        </w:tc>
      </w:tr>
      <w:tr w:rsidR="00E3750C" w:rsidRPr="008323F7" w14:paraId="310BE3B3" w14:textId="77777777" w:rsidTr="00047864">
        <w:trPr>
          <w:trHeight w:val="300"/>
        </w:trPr>
        <w:tc>
          <w:tcPr>
            <w:tcW w:w="561" w:type="pct"/>
            <w:shd w:val="clear" w:color="auto" w:fill="auto"/>
            <w:vAlign w:val="center"/>
            <w:hideMark/>
          </w:tcPr>
          <w:p w14:paraId="6116257B"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48</w:t>
            </w:r>
          </w:p>
        </w:tc>
        <w:tc>
          <w:tcPr>
            <w:tcW w:w="2063" w:type="pct"/>
            <w:shd w:val="clear" w:color="auto" w:fill="auto"/>
            <w:vAlign w:val="center"/>
            <w:hideMark/>
          </w:tcPr>
          <w:p w14:paraId="29A8BE9F"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Programski paketi in informacijski sistemi</w:t>
            </w:r>
          </w:p>
        </w:tc>
        <w:tc>
          <w:tcPr>
            <w:tcW w:w="463" w:type="pct"/>
            <w:shd w:val="clear" w:color="auto" w:fill="auto"/>
            <w:vAlign w:val="center"/>
            <w:hideMark/>
          </w:tcPr>
          <w:p w14:paraId="49A5928F"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103</w:t>
            </w:r>
          </w:p>
        </w:tc>
        <w:tc>
          <w:tcPr>
            <w:tcW w:w="851" w:type="pct"/>
            <w:shd w:val="clear" w:color="auto" w:fill="auto"/>
            <w:vAlign w:val="center"/>
            <w:hideMark/>
          </w:tcPr>
          <w:p w14:paraId="6FF445A6"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38.725.785</w:t>
            </w:r>
          </w:p>
        </w:tc>
        <w:tc>
          <w:tcPr>
            <w:tcW w:w="566" w:type="pct"/>
            <w:shd w:val="clear" w:color="auto" w:fill="auto"/>
            <w:noWrap/>
            <w:vAlign w:val="center"/>
            <w:hideMark/>
          </w:tcPr>
          <w:p w14:paraId="0920D902"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1,00</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4C31E430"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0,93</w:t>
            </w:r>
            <w:r>
              <w:rPr>
                <w:rFonts w:ascii="Arial" w:eastAsia="Times New Roman" w:hAnsi="Arial" w:cs="Arial"/>
                <w:color w:val="000000"/>
                <w:sz w:val="18"/>
                <w:szCs w:val="18"/>
                <w:lang w:eastAsia="sl-SI"/>
              </w:rPr>
              <w:t xml:space="preserve"> %</w:t>
            </w:r>
          </w:p>
        </w:tc>
      </w:tr>
      <w:tr w:rsidR="00E3750C" w:rsidRPr="008323F7" w14:paraId="5C3991F8" w14:textId="77777777" w:rsidTr="00047864">
        <w:trPr>
          <w:trHeight w:val="300"/>
        </w:trPr>
        <w:tc>
          <w:tcPr>
            <w:tcW w:w="561" w:type="pct"/>
            <w:shd w:val="clear" w:color="auto" w:fill="auto"/>
            <w:vAlign w:val="center"/>
            <w:hideMark/>
          </w:tcPr>
          <w:p w14:paraId="302B10D6"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50</w:t>
            </w:r>
          </w:p>
        </w:tc>
        <w:tc>
          <w:tcPr>
            <w:tcW w:w="2063" w:type="pct"/>
            <w:shd w:val="clear" w:color="auto" w:fill="auto"/>
            <w:vAlign w:val="center"/>
            <w:hideMark/>
          </w:tcPr>
          <w:p w14:paraId="7F31AE2A"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Storitve popravila in vzdrževanja</w:t>
            </w:r>
          </w:p>
        </w:tc>
        <w:tc>
          <w:tcPr>
            <w:tcW w:w="463" w:type="pct"/>
            <w:shd w:val="clear" w:color="auto" w:fill="auto"/>
            <w:vAlign w:val="center"/>
            <w:hideMark/>
          </w:tcPr>
          <w:p w14:paraId="2FF38BF4"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384</w:t>
            </w:r>
          </w:p>
        </w:tc>
        <w:tc>
          <w:tcPr>
            <w:tcW w:w="851" w:type="pct"/>
            <w:shd w:val="clear" w:color="auto" w:fill="auto"/>
            <w:vAlign w:val="center"/>
            <w:hideMark/>
          </w:tcPr>
          <w:p w14:paraId="2D4CCB83"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765.074.518</w:t>
            </w:r>
          </w:p>
        </w:tc>
        <w:tc>
          <w:tcPr>
            <w:tcW w:w="566" w:type="pct"/>
            <w:shd w:val="clear" w:color="auto" w:fill="auto"/>
            <w:noWrap/>
            <w:vAlign w:val="center"/>
            <w:hideMark/>
          </w:tcPr>
          <w:p w14:paraId="76281915"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3,73</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7B57392E"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18,31</w:t>
            </w:r>
            <w:r>
              <w:rPr>
                <w:rFonts w:ascii="Arial" w:eastAsia="Times New Roman" w:hAnsi="Arial" w:cs="Arial"/>
                <w:color w:val="000000"/>
                <w:sz w:val="18"/>
                <w:szCs w:val="18"/>
                <w:lang w:eastAsia="sl-SI"/>
              </w:rPr>
              <w:t xml:space="preserve"> %</w:t>
            </w:r>
          </w:p>
        </w:tc>
      </w:tr>
      <w:tr w:rsidR="00E3750C" w:rsidRPr="008323F7" w14:paraId="06C309C8" w14:textId="77777777" w:rsidTr="00047864">
        <w:trPr>
          <w:trHeight w:val="300"/>
        </w:trPr>
        <w:tc>
          <w:tcPr>
            <w:tcW w:w="561" w:type="pct"/>
            <w:shd w:val="clear" w:color="auto" w:fill="auto"/>
            <w:vAlign w:val="center"/>
            <w:hideMark/>
          </w:tcPr>
          <w:p w14:paraId="27A1C577"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51</w:t>
            </w:r>
          </w:p>
        </w:tc>
        <w:tc>
          <w:tcPr>
            <w:tcW w:w="2063" w:type="pct"/>
            <w:shd w:val="clear" w:color="auto" w:fill="auto"/>
            <w:vAlign w:val="center"/>
            <w:hideMark/>
          </w:tcPr>
          <w:p w14:paraId="04212F11"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Storitve inštalacije (razen programske opreme)</w:t>
            </w:r>
          </w:p>
        </w:tc>
        <w:tc>
          <w:tcPr>
            <w:tcW w:w="463" w:type="pct"/>
            <w:shd w:val="clear" w:color="auto" w:fill="auto"/>
            <w:vAlign w:val="center"/>
            <w:hideMark/>
          </w:tcPr>
          <w:p w14:paraId="08174192"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13</w:t>
            </w:r>
          </w:p>
        </w:tc>
        <w:tc>
          <w:tcPr>
            <w:tcW w:w="851" w:type="pct"/>
            <w:shd w:val="clear" w:color="auto" w:fill="auto"/>
            <w:vAlign w:val="center"/>
            <w:hideMark/>
          </w:tcPr>
          <w:p w14:paraId="7F3B3FD3"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15.200.007</w:t>
            </w:r>
          </w:p>
        </w:tc>
        <w:tc>
          <w:tcPr>
            <w:tcW w:w="566" w:type="pct"/>
            <w:shd w:val="clear" w:color="auto" w:fill="auto"/>
            <w:noWrap/>
            <w:vAlign w:val="center"/>
            <w:hideMark/>
          </w:tcPr>
          <w:p w14:paraId="1F0C6DED"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0,13</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3AE1E2B5"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0,36</w:t>
            </w:r>
            <w:r>
              <w:rPr>
                <w:rFonts w:ascii="Arial" w:eastAsia="Times New Roman" w:hAnsi="Arial" w:cs="Arial"/>
                <w:color w:val="000000"/>
                <w:sz w:val="18"/>
                <w:szCs w:val="18"/>
                <w:lang w:eastAsia="sl-SI"/>
              </w:rPr>
              <w:t xml:space="preserve"> %</w:t>
            </w:r>
          </w:p>
        </w:tc>
      </w:tr>
      <w:tr w:rsidR="00E3750C" w:rsidRPr="008323F7" w14:paraId="55F733F2" w14:textId="77777777" w:rsidTr="00047864">
        <w:trPr>
          <w:trHeight w:val="300"/>
        </w:trPr>
        <w:tc>
          <w:tcPr>
            <w:tcW w:w="561" w:type="pct"/>
            <w:shd w:val="clear" w:color="auto" w:fill="auto"/>
            <w:vAlign w:val="center"/>
            <w:hideMark/>
          </w:tcPr>
          <w:p w14:paraId="035AF0D6"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55</w:t>
            </w:r>
          </w:p>
        </w:tc>
        <w:tc>
          <w:tcPr>
            <w:tcW w:w="2063" w:type="pct"/>
            <w:shd w:val="clear" w:color="auto" w:fill="auto"/>
            <w:vAlign w:val="center"/>
            <w:hideMark/>
          </w:tcPr>
          <w:p w14:paraId="52D5F78A"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Storitve hotelov, restavracij in trgovine na drobno</w:t>
            </w:r>
          </w:p>
        </w:tc>
        <w:tc>
          <w:tcPr>
            <w:tcW w:w="463" w:type="pct"/>
            <w:shd w:val="clear" w:color="auto" w:fill="auto"/>
            <w:vAlign w:val="center"/>
            <w:hideMark/>
          </w:tcPr>
          <w:p w14:paraId="75865301"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11</w:t>
            </w:r>
          </w:p>
        </w:tc>
        <w:tc>
          <w:tcPr>
            <w:tcW w:w="851" w:type="pct"/>
            <w:shd w:val="clear" w:color="auto" w:fill="auto"/>
            <w:vAlign w:val="center"/>
            <w:hideMark/>
          </w:tcPr>
          <w:p w14:paraId="3D2B4074"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16.890.020</w:t>
            </w:r>
          </w:p>
        </w:tc>
        <w:tc>
          <w:tcPr>
            <w:tcW w:w="566" w:type="pct"/>
            <w:shd w:val="clear" w:color="auto" w:fill="auto"/>
            <w:noWrap/>
            <w:vAlign w:val="center"/>
            <w:hideMark/>
          </w:tcPr>
          <w:p w14:paraId="3F547BFB"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0,11</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27251DDB"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0,40</w:t>
            </w:r>
            <w:r>
              <w:rPr>
                <w:rFonts w:ascii="Arial" w:eastAsia="Times New Roman" w:hAnsi="Arial" w:cs="Arial"/>
                <w:color w:val="000000"/>
                <w:sz w:val="18"/>
                <w:szCs w:val="18"/>
                <w:lang w:eastAsia="sl-SI"/>
              </w:rPr>
              <w:t xml:space="preserve"> %</w:t>
            </w:r>
          </w:p>
        </w:tc>
      </w:tr>
      <w:tr w:rsidR="00E3750C" w:rsidRPr="008323F7" w14:paraId="7704E63B" w14:textId="77777777" w:rsidTr="00047864">
        <w:trPr>
          <w:trHeight w:val="300"/>
        </w:trPr>
        <w:tc>
          <w:tcPr>
            <w:tcW w:w="561" w:type="pct"/>
            <w:shd w:val="clear" w:color="auto" w:fill="auto"/>
            <w:vAlign w:val="center"/>
            <w:hideMark/>
          </w:tcPr>
          <w:p w14:paraId="0790BF82"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60</w:t>
            </w:r>
          </w:p>
        </w:tc>
        <w:tc>
          <w:tcPr>
            <w:tcW w:w="2063" w:type="pct"/>
            <w:shd w:val="clear" w:color="auto" w:fill="auto"/>
            <w:vAlign w:val="center"/>
            <w:hideMark/>
          </w:tcPr>
          <w:p w14:paraId="570F839D"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Prevozne storitve (razen prevoza odpadkov)</w:t>
            </w:r>
          </w:p>
        </w:tc>
        <w:tc>
          <w:tcPr>
            <w:tcW w:w="463" w:type="pct"/>
            <w:shd w:val="clear" w:color="auto" w:fill="auto"/>
            <w:vAlign w:val="center"/>
            <w:hideMark/>
          </w:tcPr>
          <w:p w14:paraId="09391061"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242</w:t>
            </w:r>
          </w:p>
        </w:tc>
        <w:tc>
          <w:tcPr>
            <w:tcW w:w="851" w:type="pct"/>
            <w:shd w:val="clear" w:color="auto" w:fill="auto"/>
            <w:vAlign w:val="center"/>
            <w:hideMark/>
          </w:tcPr>
          <w:p w14:paraId="6D3613C1"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88.034.702</w:t>
            </w:r>
          </w:p>
        </w:tc>
        <w:tc>
          <w:tcPr>
            <w:tcW w:w="566" w:type="pct"/>
            <w:shd w:val="clear" w:color="auto" w:fill="auto"/>
            <w:noWrap/>
            <w:vAlign w:val="center"/>
            <w:hideMark/>
          </w:tcPr>
          <w:p w14:paraId="4EA0CDFF"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2,35</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0A0B8549"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2,11</w:t>
            </w:r>
            <w:r>
              <w:rPr>
                <w:rFonts w:ascii="Arial" w:eastAsia="Times New Roman" w:hAnsi="Arial" w:cs="Arial"/>
                <w:color w:val="000000"/>
                <w:sz w:val="18"/>
                <w:szCs w:val="18"/>
                <w:lang w:eastAsia="sl-SI"/>
              </w:rPr>
              <w:t xml:space="preserve"> %</w:t>
            </w:r>
          </w:p>
        </w:tc>
      </w:tr>
      <w:tr w:rsidR="00E3750C" w:rsidRPr="008323F7" w14:paraId="00C92862" w14:textId="77777777" w:rsidTr="00047864">
        <w:trPr>
          <w:trHeight w:val="300"/>
        </w:trPr>
        <w:tc>
          <w:tcPr>
            <w:tcW w:w="561" w:type="pct"/>
            <w:shd w:val="clear" w:color="auto" w:fill="auto"/>
            <w:vAlign w:val="center"/>
            <w:hideMark/>
          </w:tcPr>
          <w:p w14:paraId="120165CA"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63</w:t>
            </w:r>
          </w:p>
        </w:tc>
        <w:tc>
          <w:tcPr>
            <w:tcW w:w="2063" w:type="pct"/>
            <w:shd w:val="clear" w:color="auto" w:fill="auto"/>
            <w:vAlign w:val="center"/>
            <w:hideMark/>
          </w:tcPr>
          <w:p w14:paraId="5AAAAFB4"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Podporne in pomožne prevozne storitve; storitve potovalnih agencij</w:t>
            </w:r>
          </w:p>
        </w:tc>
        <w:tc>
          <w:tcPr>
            <w:tcW w:w="463" w:type="pct"/>
            <w:shd w:val="clear" w:color="auto" w:fill="auto"/>
            <w:vAlign w:val="center"/>
            <w:hideMark/>
          </w:tcPr>
          <w:p w14:paraId="61236481"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17</w:t>
            </w:r>
          </w:p>
        </w:tc>
        <w:tc>
          <w:tcPr>
            <w:tcW w:w="851" w:type="pct"/>
            <w:shd w:val="clear" w:color="auto" w:fill="auto"/>
            <w:vAlign w:val="center"/>
            <w:hideMark/>
          </w:tcPr>
          <w:p w14:paraId="25D39A15"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8.388.135</w:t>
            </w:r>
          </w:p>
        </w:tc>
        <w:tc>
          <w:tcPr>
            <w:tcW w:w="566" w:type="pct"/>
            <w:shd w:val="clear" w:color="auto" w:fill="auto"/>
            <w:noWrap/>
            <w:vAlign w:val="center"/>
            <w:hideMark/>
          </w:tcPr>
          <w:p w14:paraId="41CADCB7"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0,17</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1E821E17"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0,20</w:t>
            </w:r>
            <w:r>
              <w:rPr>
                <w:rFonts w:ascii="Arial" w:eastAsia="Times New Roman" w:hAnsi="Arial" w:cs="Arial"/>
                <w:color w:val="000000"/>
                <w:sz w:val="18"/>
                <w:szCs w:val="18"/>
                <w:lang w:eastAsia="sl-SI"/>
              </w:rPr>
              <w:t xml:space="preserve"> %</w:t>
            </w:r>
          </w:p>
        </w:tc>
      </w:tr>
      <w:tr w:rsidR="00E3750C" w:rsidRPr="008323F7" w14:paraId="2FA29472" w14:textId="77777777" w:rsidTr="00047864">
        <w:trPr>
          <w:trHeight w:val="300"/>
        </w:trPr>
        <w:tc>
          <w:tcPr>
            <w:tcW w:w="561" w:type="pct"/>
            <w:shd w:val="clear" w:color="auto" w:fill="auto"/>
            <w:vAlign w:val="center"/>
            <w:hideMark/>
          </w:tcPr>
          <w:p w14:paraId="401EEAC7"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64</w:t>
            </w:r>
          </w:p>
        </w:tc>
        <w:tc>
          <w:tcPr>
            <w:tcW w:w="2063" w:type="pct"/>
            <w:shd w:val="clear" w:color="auto" w:fill="auto"/>
            <w:vAlign w:val="center"/>
            <w:hideMark/>
          </w:tcPr>
          <w:p w14:paraId="7D21B074"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Poštne in telekomunikacijske storitve</w:t>
            </w:r>
          </w:p>
        </w:tc>
        <w:tc>
          <w:tcPr>
            <w:tcW w:w="463" w:type="pct"/>
            <w:shd w:val="clear" w:color="auto" w:fill="auto"/>
            <w:vAlign w:val="center"/>
            <w:hideMark/>
          </w:tcPr>
          <w:p w14:paraId="107B477B"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14</w:t>
            </w:r>
          </w:p>
        </w:tc>
        <w:tc>
          <w:tcPr>
            <w:tcW w:w="851" w:type="pct"/>
            <w:shd w:val="clear" w:color="auto" w:fill="auto"/>
            <w:vAlign w:val="center"/>
            <w:hideMark/>
          </w:tcPr>
          <w:p w14:paraId="6471FE8A"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11.263.811</w:t>
            </w:r>
          </w:p>
        </w:tc>
        <w:tc>
          <w:tcPr>
            <w:tcW w:w="566" w:type="pct"/>
            <w:shd w:val="clear" w:color="auto" w:fill="auto"/>
            <w:noWrap/>
            <w:vAlign w:val="center"/>
            <w:hideMark/>
          </w:tcPr>
          <w:p w14:paraId="043EF191"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0,14</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7DC5FDB2"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0,27</w:t>
            </w:r>
            <w:r>
              <w:rPr>
                <w:rFonts w:ascii="Arial" w:eastAsia="Times New Roman" w:hAnsi="Arial" w:cs="Arial"/>
                <w:color w:val="000000"/>
                <w:sz w:val="18"/>
                <w:szCs w:val="18"/>
                <w:lang w:eastAsia="sl-SI"/>
              </w:rPr>
              <w:t xml:space="preserve"> %</w:t>
            </w:r>
          </w:p>
        </w:tc>
      </w:tr>
      <w:tr w:rsidR="00E3750C" w:rsidRPr="008323F7" w14:paraId="595F04F2" w14:textId="77777777" w:rsidTr="00047864">
        <w:trPr>
          <w:trHeight w:val="300"/>
        </w:trPr>
        <w:tc>
          <w:tcPr>
            <w:tcW w:w="561" w:type="pct"/>
            <w:shd w:val="clear" w:color="auto" w:fill="auto"/>
            <w:vAlign w:val="center"/>
            <w:hideMark/>
          </w:tcPr>
          <w:p w14:paraId="0B2599C8"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65</w:t>
            </w:r>
          </w:p>
        </w:tc>
        <w:tc>
          <w:tcPr>
            <w:tcW w:w="2063" w:type="pct"/>
            <w:shd w:val="clear" w:color="auto" w:fill="auto"/>
            <w:vAlign w:val="center"/>
            <w:hideMark/>
          </w:tcPr>
          <w:p w14:paraId="3C894242"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Gospodarske javne službe</w:t>
            </w:r>
          </w:p>
        </w:tc>
        <w:tc>
          <w:tcPr>
            <w:tcW w:w="463" w:type="pct"/>
            <w:shd w:val="clear" w:color="auto" w:fill="auto"/>
            <w:vAlign w:val="center"/>
            <w:hideMark/>
          </w:tcPr>
          <w:p w14:paraId="78BFA515"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1</w:t>
            </w:r>
          </w:p>
        </w:tc>
        <w:tc>
          <w:tcPr>
            <w:tcW w:w="851" w:type="pct"/>
            <w:shd w:val="clear" w:color="auto" w:fill="auto"/>
            <w:vAlign w:val="center"/>
            <w:hideMark/>
          </w:tcPr>
          <w:p w14:paraId="6B2CFEED"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937.869</w:t>
            </w:r>
          </w:p>
        </w:tc>
        <w:tc>
          <w:tcPr>
            <w:tcW w:w="566" w:type="pct"/>
            <w:shd w:val="clear" w:color="auto" w:fill="auto"/>
            <w:noWrap/>
            <w:vAlign w:val="center"/>
            <w:hideMark/>
          </w:tcPr>
          <w:p w14:paraId="383CC44E"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0E43C812"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r>
      <w:tr w:rsidR="00E3750C" w:rsidRPr="008323F7" w14:paraId="2FA6D40A" w14:textId="77777777" w:rsidTr="00047864">
        <w:trPr>
          <w:trHeight w:val="300"/>
        </w:trPr>
        <w:tc>
          <w:tcPr>
            <w:tcW w:w="561" w:type="pct"/>
            <w:shd w:val="clear" w:color="auto" w:fill="auto"/>
            <w:vAlign w:val="center"/>
            <w:hideMark/>
          </w:tcPr>
          <w:p w14:paraId="2D4DB0C6"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66</w:t>
            </w:r>
          </w:p>
        </w:tc>
        <w:tc>
          <w:tcPr>
            <w:tcW w:w="2063" w:type="pct"/>
            <w:shd w:val="clear" w:color="auto" w:fill="auto"/>
            <w:vAlign w:val="center"/>
            <w:hideMark/>
          </w:tcPr>
          <w:p w14:paraId="1883753F"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Finančne in zavarovalniške storitve</w:t>
            </w:r>
          </w:p>
        </w:tc>
        <w:tc>
          <w:tcPr>
            <w:tcW w:w="463" w:type="pct"/>
            <w:shd w:val="clear" w:color="auto" w:fill="auto"/>
            <w:vAlign w:val="center"/>
            <w:hideMark/>
          </w:tcPr>
          <w:p w14:paraId="0635B926"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103</w:t>
            </w:r>
          </w:p>
        </w:tc>
        <w:tc>
          <w:tcPr>
            <w:tcW w:w="851" w:type="pct"/>
            <w:shd w:val="clear" w:color="auto" w:fill="auto"/>
            <w:vAlign w:val="center"/>
            <w:hideMark/>
          </w:tcPr>
          <w:p w14:paraId="560C9050"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51.460.336</w:t>
            </w:r>
          </w:p>
        </w:tc>
        <w:tc>
          <w:tcPr>
            <w:tcW w:w="566" w:type="pct"/>
            <w:shd w:val="clear" w:color="auto" w:fill="auto"/>
            <w:noWrap/>
            <w:vAlign w:val="center"/>
            <w:hideMark/>
          </w:tcPr>
          <w:p w14:paraId="3B093F07"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1,00</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6CC3D3F2"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1,23</w:t>
            </w:r>
            <w:r>
              <w:rPr>
                <w:rFonts w:ascii="Arial" w:eastAsia="Times New Roman" w:hAnsi="Arial" w:cs="Arial"/>
                <w:color w:val="000000"/>
                <w:sz w:val="18"/>
                <w:szCs w:val="18"/>
                <w:lang w:eastAsia="sl-SI"/>
              </w:rPr>
              <w:t xml:space="preserve"> %</w:t>
            </w:r>
          </w:p>
        </w:tc>
      </w:tr>
      <w:tr w:rsidR="00E3750C" w:rsidRPr="008323F7" w14:paraId="4E6B4C93" w14:textId="77777777" w:rsidTr="00047864">
        <w:trPr>
          <w:trHeight w:val="300"/>
        </w:trPr>
        <w:tc>
          <w:tcPr>
            <w:tcW w:w="561" w:type="pct"/>
            <w:shd w:val="clear" w:color="auto" w:fill="auto"/>
            <w:vAlign w:val="center"/>
            <w:hideMark/>
          </w:tcPr>
          <w:p w14:paraId="2E21577B"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70</w:t>
            </w:r>
          </w:p>
        </w:tc>
        <w:tc>
          <w:tcPr>
            <w:tcW w:w="2063" w:type="pct"/>
            <w:shd w:val="clear" w:color="auto" w:fill="auto"/>
            <w:vAlign w:val="center"/>
            <w:hideMark/>
          </w:tcPr>
          <w:p w14:paraId="5025C6F9"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Storitve poslovanja z nepremičninami</w:t>
            </w:r>
          </w:p>
        </w:tc>
        <w:tc>
          <w:tcPr>
            <w:tcW w:w="463" w:type="pct"/>
            <w:shd w:val="clear" w:color="auto" w:fill="auto"/>
            <w:vAlign w:val="center"/>
            <w:hideMark/>
          </w:tcPr>
          <w:p w14:paraId="544F2EA0"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14</w:t>
            </w:r>
          </w:p>
        </w:tc>
        <w:tc>
          <w:tcPr>
            <w:tcW w:w="851" w:type="pct"/>
            <w:shd w:val="clear" w:color="auto" w:fill="auto"/>
            <w:vAlign w:val="center"/>
            <w:hideMark/>
          </w:tcPr>
          <w:p w14:paraId="7CBC86BD"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5.160.269</w:t>
            </w:r>
          </w:p>
        </w:tc>
        <w:tc>
          <w:tcPr>
            <w:tcW w:w="566" w:type="pct"/>
            <w:shd w:val="clear" w:color="auto" w:fill="auto"/>
            <w:noWrap/>
            <w:vAlign w:val="center"/>
            <w:hideMark/>
          </w:tcPr>
          <w:p w14:paraId="6789FFF6"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0,14</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342D7196"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0,12</w:t>
            </w:r>
            <w:r>
              <w:rPr>
                <w:rFonts w:ascii="Arial" w:eastAsia="Times New Roman" w:hAnsi="Arial" w:cs="Arial"/>
                <w:color w:val="000000"/>
                <w:sz w:val="18"/>
                <w:szCs w:val="18"/>
                <w:lang w:eastAsia="sl-SI"/>
              </w:rPr>
              <w:t xml:space="preserve"> %</w:t>
            </w:r>
          </w:p>
        </w:tc>
      </w:tr>
      <w:tr w:rsidR="00E3750C" w:rsidRPr="008323F7" w14:paraId="7B55288C" w14:textId="77777777" w:rsidTr="00047864">
        <w:trPr>
          <w:trHeight w:val="300"/>
        </w:trPr>
        <w:tc>
          <w:tcPr>
            <w:tcW w:w="561" w:type="pct"/>
            <w:shd w:val="clear" w:color="auto" w:fill="auto"/>
            <w:vAlign w:val="center"/>
            <w:hideMark/>
          </w:tcPr>
          <w:p w14:paraId="05658F61"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71</w:t>
            </w:r>
          </w:p>
        </w:tc>
        <w:tc>
          <w:tcPr>
            <w:tcW w:w="2063" w:type="pct"/>
            <w:shd w:val="clear" w:color="auto" w:fill="auto"/>
            <w:vAlign w:val="center"/>
            <w:hideMark/>
          </w:tcPr>
          <w:p w14:paraId="243A25E7"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Arhitekturne, gradbeniške, inženirske in inšpekcijske storitve</w:t>
            </w:r>
          </w:p>
        </w:tc>
        <w:tc>
          <w:tcPr>
            <w:tcW w:w="463" w:type="pct"/>
            <w:shd w:val="clear" w:color="auto" w:fill="auto"/>
            <w:vAlign w:val="center"/>
            <w:hideMark/>
          </w:tcPr>
          <w:p w14:paraId="65CCC218"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228</w:t>
            </w:r>
          </w:p>
        </w:tc>
        <w:tc>
          <w:tcPr>
            <w:tcW w:w="851" w:type="pct"/>
            <w:shd w:val="clear" w:color="auto" w:fill="auto"/>
            <w:vAlign w:val="center"/>
            <w:hideMark/>
          </w:tcPr>
          <w:p w14:paraId="7B3EEEE1"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115.073.493</w:t>
            </w:r>
          </w:p>
        </w:tc>
        <w:tc>
          <w:tcPr>
            <w:tcW w:w="566" w:type="pct"/>
            <w:shd w:val="clear" w:color="auto" w:fill="auto"/>
            <w:noWrap/>
            <w:vAlign w:val="center"/>
            <w:hideMark/>
          </w:tcPr>
          <w:p w14:paraId="385F179D"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2,22</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3319AED6"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2,75</w:t>
            </w:r>
            <w:r>
              <w:rPr>
                <w:rFonts w:ascii="Arial" w:eastAsia="Times New Roman" w:hAnsi="Arial" w:cs="Arial"/>
                <w:color w:val="000000"/>
                <w:sz w:val="18"/>
                <w:szCs w:val="18"/>
                <w:lang w:eastAsia="sl-SI"/>
              </w:rPr>
              <w:t xml:space="preserve"> %</w:t>
            </w:r>
          </w:p>
        </w:tc>
      </w:tr>
      <w:tr w:rsidR="00E3750C" w:rsidRPr="008323F7" w14:paraId="71E0FE61" w14:textId="77777777" w:rsidTr="00047864">
        <w:trPr>
          <w:trHeight w:val="300"/>
        </w:trPr>
        <w:tc>
          <w:tcPr>
            <w:tcW w:w="561" w:type="pct"/>
            <w:shd w:val="clear" w:color="auto" w:fill="auto"/>
            <w:vAlign w:val="center"/>
            <w:hideMark/>
          </w:tcPr>
          <w:p w14:paraId="0D0176C7"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72</w:t>
            </w:r>
          </w:p>
        </w:tc>
        <w:tc>
          <w:tcPr>
            <w:tcW w:w="2063" w:type="pct"/>
            <w:shd w:val="clear" w:color="auto" w:fill="auto"/>
            <w:vAlign w:val="center"/>
            <w:hideMark/>
          </w:tcPr>
          <w:p w14:paraId="0C3663C6"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Storitve informacijske tehnologije: svetovanje, razvoj programske opreme, internet in podpora</w:t>
            </w:r>
          </w:p>
        </w:tc>
        <w:tc>
          <w:tcPr>
            <w:tcW w:w="463" w:type="pct"/>
            <w:shd w:val="clear" w:color="auto" w:fill="auto"/>
            <w:vAlign w:val="center"/>
            <w:hideMark/>
          </w:tcPr>
          <w:p w14:paraId="1D9E4E3E"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239</w:t>
            </w:r>
          </w:p>
        </w:tc>
        <w:tc>
          <w:tcPr>
            <w:tcW w:w="851" w:type="pct"/>
            <w:shd w:val="clear" w:color="auto" w:fill="auto"/>
            <w:vAlign w:val="center"/>
            <w:hideMark/>
          </w:tcPr>
          <w:p w14:paraId="5D2C538C"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123.721.168</w:t>
            </w:r>
          </w:p>
        </w:tc>
        <w:tc>
          <w:tcPr>
            <w:tcW w:w="566" w:type="pct"/>
            <w:shd w:val="clear" w:color="auto" w:fill="auto"/>
            <w:noWrap/>
            <w:vAlign w:val="center"/>
            <w:hideMark/>
          </w:tcPr>
          <w:p w14:paraId="088E1674"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2,32</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4E000588"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2,96</w:t>
            </w:r>
            <w:r>
              <w:rPr>
                <w:rFonts w:ascii="Arial" w:eastAsia="Times New Roman" w:hAnsi="Arial" w:cs="Arial"/>
                <w:color w:val="000000"/>
                <w:sz w:val="18"/>
                <w:szCs w:val="18"/>
                <w:lang w:eastAsia="sl-SI"/>
              </w:rPr>
              <w:t xml:space="preserve"> %</w:t>
            </w:r>
          </w:p>
        </w:tc>
      </w:tr>
      <w:tr w:rsidR="00E3750C" w:rsidRPr="008323F7" w14:paraId="64BFEBB4" w14:textId="77777777" w:rsidTr="00047864">
        <w:trPr>
          <w:trHeight w:val="300"/>
        </w:trPr>
        <w:tc>
          <w:tcPr>
            <w:tcW w:w="561" w:type="pct"/>
            <w:shd w:val="clear" w:color="auto" w:fill="auto"/>
            <w:vAlign w:val="center"/>
            <w:hideMark/>
          </w:tcPr>
          <w:p w14:paraId="5F8BD67B"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73</w:t>
            </w:r>
          </w:p>
        </w:tc>
        <w:tc>
          <w:tcPr>
            <w:tcW w:w="2063" w:type="pct"/>
            <w:shd w:val="clear" w:color="auto" w:fill="auto"/>
            <w:vAlign w:val="center"/>
            <w:hideMark/>
          </w:tcPr>
          <w:p w14:paraId="12B027A5"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Storitve na področju raziskav in razvoja ter s tem povezane svetovalne storitve</w:t>
            </w:r>
          </w:p>
        </w:tc>
        <w:tc>
          <w:tcPr>
            <w:tcW w:w="463" w:type="pct"/>
            <w:shd w:val="clear" w:color="auto" w:fill="auto"/>
            <w:vAlign w:val="center"/>
            <w:hideMark/>
          </w:tcPr>
          <w:p w14:paraId="0AED9B31"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7</w:t>
            </w:r>
          </w:p>
        </w:tc>
        <w:tc>
          <w:tcPr>
            <w:tcW w:w="851" w:type="pct"/>
            <w:shd w:val="clear" w:color="auto" w:fill="auto"/>
            <w:vAlign w:val="center"/>
            <w:hideMark/>
          </w:tcPr>
          <w:p w14:paraId="58676DC2"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2.373.238</w:t>
            </w:r>
          </w:p>
        </w:tc>
        <w:tc>
          <w:tcPr>
            <w:tcW w:w="566" w:type="pct"/>
            <w:shd w:val="clear" w:color="auto" w:fill="auto"/>
            <w:noWrap/>
            <w:vAlign w:val="center"/>
            <w:hideMark/>
          </w:tcPr>
          <w:p w14:paraId="12EA85D8"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0,07</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4A1D6531"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0,06</w:t>
            </w:r>
            <w:r>
              <w:rPr>
                <w:rFonts w:ascii="Arial" w:eastAsia="Times New Roman" w:hAnsi="Arial" w:cs="Arial"/>
                <w:color w:val="000000"/>
                <w:sz w:val="18"/>
                <w:szCs w:val="18"/>
                <w:lang w:eastAsia="sl-SI"/>
              </w:rPr>
              <w:t xml:space="preserve"> %</w:t>
            </w:r>
          </w:p>
        </w:tc>
      </w:tr>
      <w:tr w:rsidR="00E3750C" w:rsidRPr="008323F7" w14:paraId="65071CB4" w14:textId="77777777" w:rsidTr="00047864">
        <w:trPr>
          <w:trHeight w:val="300"/>
        </w:trPr>
        <w:tc>
          <w:tcPr>
            <w:tcW w:w="561" w:type="pct"/>
            <w:shd w:val="clear" w:color="auto" w:fill="auto"/>
            <w:vAlign w:val="center"/>
            <w:hideMark/>
          </w:tcPr>
          <w:p w14:paraId="31C24F9A"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75</w:t>
            </w:r>
          </w:p>
        </w:tc>
        <w:tc>
          <w:tcPr>
            <w:tcW w:w="2063" w:type="pct"/>
            <w:shd w:val="clear" w:color="auto" w:fill="auto"/>
            <w:vAlign w:val="center"/>
            <w:hideMark/>
          </w:tcPr>
          <w:p w14:paraId="0674A06A"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Storitve uprave, obrambe in socialnega zavarovanja</w:t>
            </w:r>
          </w:p>
        </w:tc>
        <w:tc>
          <w:tcPr>
            <w:tcW w:w="463" w:type="pct"/>
            <w:shd w:val="clear" w:color="auto" w:fill="auto"/>
            <w:vAlign w:val="center"/>
            <w:hideMark/>
          </w:tcPr>
          <w:p w14:paraId="433AB157"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1</w:t>
            </w:r>
          </w:p>
        </w:tc>
        <w:tc>
          <w:tcPr>
            <w:tcW w:w="851" w:type="pct"/>
            <w:shd w:val="clear" w:color="auto" w:fill="auto"/>
            <w:vAlign w:val="center"/>
            <w:hideMark/>
          </w:tcPr>
          <w:p w14:paraId="3DB21E3D"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276.000</w:t>
            </w:r>
          </w:p>
        </w:tc>
        <w:tc>
          <w:tcPr>
            <w:tcW w:w="566" w:type="pct"/>
            <w:shd w:val="clear" w:color="auto" w:fill="auto"/>
            <w:noWrap/>
            <w:vAlign w:val="center"/>
            <w:hideMark/>
          </w:tcPr>
          <w:p w14:paraId="753ED682"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06B83CF4"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r>
      <w:tr w:rsidR="00E3750C" w:rsidRPr="008323F7" w14:paraId="70C73CF2" w14:textId="77777777" w:rsidTr="00047864">
        <w:trPr>
          <w:trHeight w:val="300"/>
        </w:trPr>
        <w:tc>
          <w:tcPr>
            <w:tcW w:w="561" w:type="pct"/>
            <w:shd w:val="clear" w:color="auto" w:fill="auto"/>
            <w:vAlign w:val="center"/>
            <w:hideMark/>
          </w:tcPr>
          <w:p w14:paraId="5CE50AD8"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76</w:t>
            </w:r>
          </w:p>
        </w:tc>
        <w:tc>
          <w:tcPr>
            <w:tcW w:w="2063" w:type="pct"/>
            <w:shd w:val="clear" w:color="auto" w:fill="auto"/>
            <w:vAlign w:val="center"/>
            <w:hideMark/>
          </w:tcPr>
          <w:p w14:paraId="59DDD80F"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Storitve, povezane z industrijo nafte in zemeljskega plina</w:t>
            </w:r>
          </w:p>
        </w:tc>
        <w:tc>
          <w:tcPr>
            <w:tcW w:w="463" w:type="pct"/>
            <w:shd w:val="clear" w:color="auto" w:fill="auto"/>
            <w:vAlign w:val="center"/>
            <w:hideMark/>
          </w:tcPr>
          <w:p w14:paraId="2EB69E41"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2</w:t>
            </w:r>
          </w:p>
        </w:tc>
        <w:tc>
          <w:tcPr>
            <w:tcW w:w="851" w:type="pct"/>
            <w:shd w:val="clear" w:color="auto" w:fill="auto"/>
            <w:vAlign w:val="center"/>
            <w:hideMark/>
          </w:tcPr>
          <w:p w14:paraId="2EE1DF2F"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4.664.292</w:t>
            </w:r>
          </w:p>
        </w:tc>
        <w:tc>
          <w:tcPr>
            <w:tcW w:w="566" w:type="pct"/>
            <w:shd w:val="clear" w:color="auto" w:fill="auto"/>
            <w:noWrap/>
            <w:vAlign w:val="center"/>
            <w:hideMark/>
          </w:tcPr>
          <w:p w14:paraId="2A3BD110"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53D01520"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0,11</w:t>
            </w:r>
            <w:r>
              <w:rPr>
                <w:rFonts w:ascii="Arial" w:eastAsia="Times New Roman" w:hAnsi="Arial" w:cs="Arial"/>
                <w:color w:val="000000"/>
                <w:sz w:val="18"/>
                <w:szCs w:val="18"/>
                <w:lang w:eastAsia="sl-SI"/>
              </w:rPr>
              <w:t xml:space="preserve"> %</w:t>
            </w:r>
          </w:p>
        </w:tc>
      </w:tr>
      <w:tr w:rsidR="00E3750C" w:rsidRPr="008323F7" w14:paraId="6F2727D6" w14:textId="77777777" w:rsidTr="00047864">
        <w:trPr>
          <w:trHeight w:val="300"/>
        </w:trPr>
        <w:tc>
          <w:tcPr>
            <w:tcW w:w="561" w:type="pct"/>
            <w:shd w:val="clear" w:color="auto" w:fill="auto"/>
            <w:vAlign w:val="center"/>
            <w:hideMark/>
          </w:tcPr>
          <w:p w14:paraId="267A0554"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77</w:t>
            </w:r>
          </w:p>
        </w:tc>
        <w:tc>
          <w:tcPr>
            <w:tcW w:w="2063" w:type="pct"/>
            <w:shd w:val="clear" w:color="auto" w:fill="auto"/>
            <w:vAlign w:val="center"/>
            <w:hideMark/>
          </w:tcPr>
          <w:p w14:paraId="322B3345"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Storitve na področju kmetijstva, gozdarstva, hortikulture, akvakulture in čebelarstva</w:t>
            </w:r>
          </w:p>
        </w:tc>
        <w:tc>
          <w:tcPr>
            <w:tcW w:w="463" w:type="pct"/>
            <w:shd w:val="clear" w:color="auto" w:fill="auto"/>
            <w:vAlign w:val="center"/>
            <w:hideMark/>
          </w:tcPr>
          <w:p w14:paraId="3E5AAA0B"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266</w:t>
            </w:r>
          </w:p>
        </w:tc>
        <w:tc>
          <w:tcPr>
            <w:tcW w:w="851" w:type="pct"/>
            <w:shd w:val="clear" w:color="auto" w:fill="auto"/>
            <w:vAlign w:val="center"/>
            <w:hideMark/>
          </w:tcPr>
          <w:p w14:paraId="373A48E1"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41.288.608</w:t>
            </w:r>
          </w:p>
        </w:tc>
        <w:tc>
          <w:tcPr>
            <w:tcW w:w="566" w:type="pct"/>
            <w:shd w:val="clear" w:color="auto" w:fill="auto"/>
            <w:noWrap/>
            <w:vAlign w:val="center"/>
            <w:hideMark/>
          </w:tcPr>
          <w:p w14:paraId="520AB442"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2,59</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7FB21D9E"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0,99</w:t>
            </w:r>
            <w:r>
              <w:rPr>
                <w:rFonts w:ascii="Arial" w:eastAsia="Times New Roman" w:hAnsi="Arial" w:cs="Arial"/>
                <w:color w:val="000000"/>
                <w:sz w:val="18"/>
                <w:szCs w:val="18"/>
                <w:lang w:eastAsia="sl-SI"/>
              </w:rPr>
              <w:t xml:space="preserve"> %</w:t>
            </w:r>
          </w:p>
        </w:tc>
      </w:tr>
      <w:tr w:rsidR="00E3750C" w:rsidRPr="008323F7" w14:paraId="0B197FD0" w14:textId="77777777" w:rsidTr="00047864">
        <w:trPr>
          <w:trHeight w:val="300"/>
        </w:trPr>
        <w:tc>
          <w:tcPr>
            <w:tcW w:w="561" w:type="pct"/>
            <w:shd w:val="clear" w:color="auto" w:fill="auto"/>
            <w:vAlign w:val="center"/>
            <w:hideMark/>
          </w:tcPr>
          <w:p w14:paraId="4C303D3E"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79</w:t>
            </w:r>
          </w:p>
        </w:tc>
        <w:tc>
          <w:tcPr>
            <w:tcW w:w="2063" w:type="pct"/>
            <w:shd w:val="clear" w:color="auto" w:fill="auto"/>
            <w:vAlign w:val="center"/>
            <w:hideMark/>
          </w:tcPr>
          <w:p w14:paraId="71AA6124"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Poslovne storitve: pravo, trženje, svetovanje, zaposlovanje, tiskanje in varnost</w:t>
            </w:r>
          </w:p>
        </w:tc>
        <w:tc>
          <w:tcPr>
            <w:tcW w:w="463" w:type="pct"/>
            <w:shd w:val="clear" w:color="auto" w:fill="auto"/>
            <w:vAlign w:val="center"/>
            <w:hideMark/>
          </w:tcPr>
          <w:p w14:paraId="305D9851"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118</w:t>
            </w:r>
          </w:p>
        </w:tc>
        <w:tc>
          <w:tcPr>
            <w:tcW w:w="851" w:type="pct"/>
            <w:shd w:val="clear" w:color="auto" w:fill="auto"/>
            <w:vAlign w:val="center"/>
            <w:hideMark/>
          </w:tcPr>
          <w:p w14:paraId="11A9272E"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202.834.142</w:t>
            </w:r>
          </w:p>
        </w:tc>
        <w:tc>
          <w:tcPr>
            <w:tcW w:w="566" w:type="pct"/>
            <w:shd w:val="clear" w:color="auto" w:fill="auto"/>
            <w:noWrap/>
            <w:vAlign w:val="center"/>
            <w:hideMark/>
          </w:tcPr>
          <w:p w14:paraId="2150DBB1"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1,15</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3608CFD2"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4,85</w:t>
            </w:r>
            <w:r>
              <w:rPr>
                <w:rFonts w:ascii="Arial" w:eastAsia="Times New Roman" w:hAnsi="Arial" w:cs="Arial"/>
                <w:color w:val="000000"/>
                <w:sz w:val="18"/>
                <w:szCs w:val="18"/>
                <w:lang w:eastAsia="sl-SI"/>
              </w:rPr>
              <w:t xml:space="preserve"> %</w:t>
            </w:r>
          </w:p>
        </w:tc>
      </w:tr>
      <w:tr w:rsidR="00E3750C" w:rsidRPr="008323F7" w14:paraId="3888E12F" w14:textId="77777777" w:rsidTr="00047864">
        <w:trPr>
          <w:trHeight w:val="300"/>
        </w:trPr>
        <w:tc>
          <w:tcPr>
            <w:tcW w:w="561" w:type="pct"/>
            <w:shd w:val="clear" w:color="auto" w:fill="auto"/>
            <w:vAlign w:val="center"/>
            <w:hideMark/>
          </w:tcPr>
          <w:p w14:paraId="6C48FDD7"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80</w:t>
            </w:r>
          </w:p>
        </w:tc>
        <w:tc>
          <w:tcPr>
            <w:tcW w:w="2063" w:type="pct"/>
            <w:shd w:val="clear" w:color="auto" w:fill="auto"/>
            <w:vAlign w:val="center"/>
            <w:hideMark/>
          </w:tcPr>
          <w:p w14:paraId="473F128C"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Storitve izobraževanja in usposabljanja</w:t>
            </w:r>
          </w:p>
        </w:tc>
        <w:tc>
          <w:tcPr>
            <w:tcW w:w="463" w:type="pct"/>
            <w:shd w:val="clear" w:color="auto" w:fill="auto"/>
            <w:vAlign w:val="center"/>
            <w:hideMark/>
          </w:tcPr>
          <w:p w14:paraId="59B75EFF"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2</w:t>
            </w:r>
          </w:p>
        </w:tc>
        <w:tc>
          <w:tcPr>
            <w:tcW w:w="851" w:type="pct"/>
            <w:shd w:val="clear" w:color="auto" w:fill="auto"/>
            <w:vAlign w:val="center"/>
            <w:hideMark/>
          </w:tcPr>
          <w:p w14:paraId="6AC44A2E"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969.005</w:t>
            </w:r>
          </w:p>
        </w:tc>
        <w:tc>
          <w:tcPr>
            <w:tcW w:w="566" w:type="pct"/>
            <w:shd w:val="clear" w:color="auto" w:fill="auto"/>
            <w:noWrap/>
            <w:vAlign w:val="center"/>
            <w:hideMark/>
          </w:tcPr>
          <w:p w14:paraId="075EB5FC"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57782DFB"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r>
      <w:tr w:rsidR="00E3750C" w:rsidRPr="008323F7" w14:paraId="60A27606" w14:textId="77777777" w:rsidTr="00047864">
        <w:trPr>
          <w:trHeight w:val="300"/>
        </w:trPr>
        <w:tc>
          <w:tcPr>
            <w:tcW w:w="561" w:type="pct"/>
            <w:shd w:val="clear" w:color="auto" w:fill="auto"/>
            <w:vAlign w:val="center"/>
            <w:hideMark/>
          </w:tcPr>
          <w:p w14:paraId="76338A3C"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85</w:t>
            </w:r>
          </w:p>
        </w:tc>
        <w:tc>
          <w:tcPr>
            <w:tcW w:w="2063" w:type="pct"/>
            <w:shd w:val="clear" w:color="auto" w:fill="auto"/>
            <w:vAlign w:val="center"/>
            <w:hideMark/>
          </w:tcPr>
          <w:p w14:paraId="324B088C"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Storitve na področju zdravstva in socialnega varstva</w:t>
            </w:r>
          </w:p>
        </w:tc>
        <w:tc>
          <w:tcPr>
            <w:tcW w:w="463" w:type="pct"/>
            <w:shd w:val="clear" w:color="auto" w:fill="auto"/>
            <w:vAlign w:val="center"/>
            <w:hideMark/>
          </w:tcPr>
          <w:p w14:paraId="0393BA4E"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38</w:t>
            </w:r>
          </w:p>
        </w:tc>
        <w:tc>
          <w:tcPr>
            <w:tcW w:w="851" w:type="pct"/>
            <w:shd w:val="clear" w:color="auto" w:fill="auto"/>
            <w:vAlign w:val="center"/>
            <w:hideMark/>
          </w:tcPr>
          <w:p w14:paraId="555EF4D6"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20.715.337</w:t>
            </w:r>
          </w:p>
        </w:tc>
        <w:tc>
          <w:tcPr>
            <w:tcW w:w="566" w:type="pct"/>
            <w:shd w:val="clear" w:color="auto" w:fill="auto"/>
            <w:noWrap/>
            <w:vAlign w:val="center"/>
            <w:hideMark/>
          </w:tcPr>
          <w:p w14:paraId="36E39FEB"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0,37</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557ABC9B"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0,50</w:t>
            </w:r>
            <w:r>
              <w:rPr>
                <w:rFonts w:ascii="Arial" w:eastAsia="Times New Roman" w:hAnsi="Arial" w:cs="Arial"/>
                <w:color w:val="000000"/>
                <w:sz w:val="18"/>
                <w:szCs w:val="18"/>
                <w:lang w:eastAsia="sl-SI"/>
              </w:rPr>
              <w:t xml:space="preserve"> %</w:t>
            </w:r>
          </w:p>
        </w:tc>
      </w:tr>
      <w:tr w:rsidR="00E3750C" w:rsidRPr="008323F7" w14:paraId="29CF0812" w14:textId="77777777" w:rsidTr="00047864">
        <w:trPr>
          <w:trHeight w:val="300"/>
        </w:trPr>
        <w:tc>
          <w:tcPr>
            <w:tcW w:w="561" w:type="pct"/>
            <w:shd w:val="clear" w:color="auto" w:fill="auto"/>
            <w:vAlign w:val="center"/>
            <w:hideMark/>
          </w:tcPr>
          <w:p w14:paraId="5396BDB6"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90</w:t>
            </w:r>
          </w:p>
        </w:tc>
        <w:tc>
          <w:tcPr>
            <w:tcW w:w="2063" w:type="pct"/>
            <w:shd w:val="clear" w:color="auto" w:fill="auto"/>
            <w:vAlign w:val="center"/>
            <w:hideMark/>
          </w:tcPr>
          <w:p w14:paraId="58F8E0C8"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Storitve v zvezi z odplakami, odpadki, čiščenjem in okoljem</w:t>
            </w:r>
          </w:p>
        </w:tc>
        <w:tc>
          <w:tcPr>
            <w:tcW w:w="463" w:type="pct"/>
            <w:shd w:val="clear" w:color="auto" w:fill="auto"/>
            <w:vAlign w:val="center"/>
            <w:hideMark/>
          </w:tcPr>
          <w:p w14:paraId="5ED4478C"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310</w:t>
            </w:r>
          </w:p>
        </w:tc>
        <w:tc>
          <w:tcPr>
            <w:tcW w:w="851" w:type="pct"/>
            <w:shd w:val="clear" w:color="auto" w:fill="auto"/>
            <w:vAlign w:val="center"/>
            <w:hideMark/>
          </w:tcPr>
          <w:p w14:paraId="10C9BF79"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109.811.047</w:t>
            </w:r>
          </w:p>
        </w:tc>
        <w:tc>
          <w:tcPr>
            <w:tcW w:w="566" w:type="pct"/>
            <w:shd w:val="clear" w:color="auto" w:fill="auto"/>
            <w:noWrap/>
            <w:vAlign w:val="center"/>
            <w:hideMark/>
          </w:tcPr>
          <w:p w14:paraId="26C330DE"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3,01</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2936790F"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2,63</w:t>
            </w:r>
            <w:r>
              <w:rPr>
                <w:rFonts w:ascii="Arial" w:eastAsia="Times New Roman" w:hAnsi="Arial" w:cs="Arial"/>
                <w:color w:val="000000"/>
                <w:sz w:val="18"/>
                <w:szCs w:val="18"/>
                <w:lang w:eastAsia="sl-SI"/>
              </w:rPr>
              <w:t xml:space="preserve"> %</w:t>
            </w:r>
          </w:p>
        </w:tc>
      </w:tr>
      <w:tr w:rsidR="00E3750C" w:rsidRPr="008323F7" w14:paraId="56401EDC" w14:textId="77777777" w:rsidTr="00047864">
        <w:trPr>
          <w:trHeight w:val="300"/>
        </w:trPr>
        <w:tc>
          <w:tcPr>
            <w:tcW w:w="561" w:type="pct"/>
            <w:shd w:val="clear" w:color="auto" w:fill="auto"/>
            <w:vAlign w:val="center"/>
            <w:hideMark/>
          </w:tcPr>
          <w:p w14:paraId="0675694B"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92</w:t>
            </w:r>
          </w:p>
        </w:tc>
        <w:tc>
          <w:tcPr>
            <w:tcW w:w="2063" w:type="pct"/>
            <w:shd w:val="clear" w:color="auto" w:fill="auto"/>
            <w:vAlign w:val="center"/>
            <w:hideMark/>
          </w:tcPr>
          <w:p w14:paraId="6155120C"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Storitve na področju rekreacije, kulture in športa</w:t>
            </w:r>
          </w:p>
        </w:tc>
        <w:tc>
          <w:tcPr>
            <w:tcW w:w="463" w:type="pct"/>
            <w:shd w:val="clear" w:color="auto" w:fill="auto"/>
            <w:vAlign w:val="center"/>
            <w:hideMark/>
          </w:tcPr>
          <w:p w14:paraId="17A25238"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5</w:t>
            </w:r>
          </w:p>
        </w:tc>
        <w:tc>
          <w:tcPr>
            <w:tcW w:w="851" w:type="pct"/>
            <w:shd w:val="clear" w:color="auto" w:fill="auto"/>
            <w:vAlign w:val="center"/>
            <w:hideMark/>
          </w:tcPr>
          <w:p w14:paraId="4938EB7C"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1.179.983</w:t>
            </w:r>
          </w:p>
        </w:tc>
        <w:tc>
          <w:tcPr>
            <w:tcW w:w="566" w:type="pct"/>
            <w:shd w:val="clear" w:color="auto" w:fill="auto"/>
            <w:noWrap/>
            <w:vAlign w:val="center"/>
            <w:hideMark/>
          </w:tcPr>
          <w:p w14:paraId="27AED648"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0,05</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795F40A6"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r>
      <w:tr w:rsidR="00E3750C" w:rsidRPr="008323F7" w14:paraId="51F6D9EA" w14:textId="77777777" w:rsidTr="00047864">
        <w:trPr>
          <w:trHeight w:val="300"/>
        </w:trPr>
        <w:tc>
          <w:tcPr>
            <w:tcW w:w="561" w:type="pct"/>
            <w:shd w:val="clear" w:color="auto" w:fill="auto"/>
            <w:vAlign w:val="center"/>
            <w:hideMark/>
          </w:tcPr>
          <w:p w14:paraId="74ECAFD1"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98</w:t>
            </w:r>
          </w:p>
        </w:tc>
        <w:tc>
          <w:tcPr>
            <w:tcW w:w="2063" w:type="pct"/>
            <w:shd w:val="clear" w:color="auto" w:fill="auto"/>
            <w:vAlign w:val="center"/>
            <w:hideMark/>
          </w:tcPr>
          <w:p w14:paraId="3721D339" w14:textId="77777777" w:rsidR="00E3750C" w:rsidRPr="008323F7" w:rsidRDefault="00E3750C" w:rsidP="00047864">
            <w:pPr>
              <w:spacing w:after="0" w:line="240" w:lineRule="auto"/>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Druge javne, skupne in osebne storitve</w:t>
            </w:r>
          </w:p>
        </w:tc>
        <w:tc>
          <w:tcPr>
            <w:tcW w:w="463" w:type="pct"/>
            <w:shd w:val="clear" w:color="auto" w:fill="auto"/>
            <w:vAlign w:val="center"/>
            <w:hideMark/>
          </w:tcPr>
          <w:p w14:paraId="27B0F392"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15</w:t>
            </w:r>
          </w:p>
        </w:tc>
        <w:tc>
          <w:tcPr>
            <w:tcW w:w="851" w:type="pct"/>
            <w:shd w:val="clear" w:color="auto" w:fill="auto"/>
            <w:vAlign w:val="center"/>
            <w:hideMark/>
          </w:tcPr>
          <w:p w14:paraId="4A7CF4EA"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6.740.910</w:t>
            </w:r>
          </w:p>
        </w:tc>
        <w:tc>
          <w:tcPr>
            <w:tcW w:w="566" w:type="pct"/>
            <w:shd w:val="clear" w:color="auto" w:fill="auto"/>
            <w:noWrap/>
            <w:vAlign w:val="center"/>
            <w:hideMark/>
          </w:tcPr>
          <w:p w14:paraId="36CC9CC9"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0,15</w:t>
            </w:r>
            <w:r>
              <w:rPr>
                <w:rFonts w:ascii="Arial" w:eastAsia="Times New Roman" w:hAnsi="Arial" w:cs="Arial"/>
                <w:color w:val="000000"/>
                <w:sz w:val="18"/>
                <w:szCs w:val="18"/>
                <w:lang w:eastAsia="sl-SI"/>
              </w:rPr>
              <w:t xml:space="preserve"> %</w:t>
            </w:r>
          </w:p>
        </w:tc>
        <w:tc>
          <w:tcPr>
            <w:tcW w:w="496" w:type="pct"/>
            <w:shd w:val="clear" w:color="auto" w:fill="auto"/>
            <w:noWrap/>
            <w:vAlign w:val="center"/>
            <w:hideMark/>
          </w:tcPr>
          <w:p w14:paraId="62A79473" w14:textId="77777777" w:rsidR="00E3750C" w:rsidRPr="008323F7" w:rsidRDefault="00E3750C" w:rsidP="00047864">
            <w:pPr>
              <w:spacing w:after="0" w:line="240" w:lineRule="auto"/>
              <w:jc w:val="right"/>
              <w:rPr>
                <w:rFonts w:ascii="Arial" w:eastAsia="Times New Roman" w:hAnsi="Arial" w:cs="Arial"/>
                <w:color w:val="000000"/>
                <w:sz w:val="18"/>
                <w:szCs w:val="18"/>
                <w:lang w:eastAsia="sl-SI"/>
              </w:rPr>
            </w:pPr>
            <w:r w:rsidRPr="008323F7">
              <w:rPr>
                <w:rFonts w:ascii="Arial" w:eastAsia="Times New Roman" w:hAnsi="Arial" w:cs="Arial"/>
                <w:color w:val="000000"/>
                <w:sz w:val="18"/>
                <w:szCs w:val="18"/>
                <w:lang w:eastAsia="sl-SI"/>
              </w:rPr>
              <w:t>0,16</w:t>
            </w:r>
            <w:r>
              <w:rPr>
                <w:rFonts w:ascii="Arial" w:eastAsia="Times New Roman" w:hAnsi="Arial" w:cs="Arial"/>
                <w:color w:val="000000"/>
                <w:sz w:val="18"/>
                <w:szCs w:val="18"/>
                <w:lang w:eastAsia="sl-SI"/>
              </w:rPr>
              <w:t xml:space="preserve"> %</w:t>
            </w:r>
          </w:p>
        </w:tc>
      </w:tr>
      <w:tr w:rsidR="00E3750C" w:rsidRPr="008323F7" w14:paraId="2127A94C" w14:textId="77777777" w:rsidTr="00047864">
        <w:trPr>
          <w:trHeight w:val="288"/>
        </w:trPr>
        <w:tc>
          <w:tcPr>
            <w:tcW w:w="2624" w:type="pct"/>
            <w:gridSpan w:val="2"/>
            <w:shd w:val="clear" w:color="auto" w:fill="F2F2F2" w:themeFill="background1" w:themeFillShade="F2"/>
            <w:vAlign w:val="center"/>
            <w:hideMark/>
          </w:tcPr>
          <w:p w14:paraId="0612D38F" w14:textId="77777777" w:rsidR="00E3750C" w:rsidRPr="008323F7" w:rsidRDefault="00E3750C" w:rsidP="00047864">
            <w:pPr>
              <w:spacing w:after="0" w:line="240" w:lineRule="auto"/>
              <w:rPr>
                <w:rFonts w:ascii="Arial" w:eastAsia="Times New Roman" w:hAnsi="Arial" w:cs="Arial"/>
                <w:b/>
                <w:bCs/>
                <w:color w:val="000000"/>
                <w:sz w:val="18"/>
                <w:szCs w:val="18"/>
                <w:lang w:eastAsia="sl-SI"/>
              </w:rPr>
            </w:pPr>
            <w:r w:rsidRPr="008323F7">
              <w:rPr>
                <w:rFonts w:ascii="Arial" w:eastAsia="Times New Roman" w:hAnsi="Arial" w:cs="Arial"/>
                <w:b/>
                <w:bCs/>
                <w:color w:val="000000"/>
                <w:sz w:val="18"/>
                <w:szCs w:val="18"/>
                <w:lang w:eastAsia="sl-SI"/>
              </w:rPr>
              <w:t>Skupaj</w:t>
            </w:r>
          </w:p>
        </w:tc>
        <w:tc>
          <w:tcPr>
            <w:tcW w:w="463" w:type="pct"/>
            <w:shd w:val="clear" w:color="auto" w:fill="F2F2F2" w:themeFill="background1" w:themeFillShade="F2"/>
            <w:noWrap/>
            <w:vAlign w:val="center"/>
            <w:hideMark/>
          </w:tcPr>
          <w:p w14:paraId="1B4AB77E" w14:textId="77777777" w:rsidR="00E3750C" w:rsidRPr="008323F7" w:rsidRDefault="00E3750C" w:rsidP="00047864">
            <w:pPr>
              <w:spacing w:after="0" w:line="240" w:lineRule="auto"/>
              <w:jc w:val="right"/>
              <w:rPr>
                <w:rFonts w:ascii="Arial" w:eastAsia="Times New Roman" w:hAnsi="Arial" w:cs="Arial"/>
                <w:b/>
                <w:bCs/>
                <w:color w:val="000000"/>
                <w:sz w:val="18"/>
                <w:szCs w:val="18"/>
                <w:lang w:eastAsia="sl-SI"/>
              </w:rPr>
            </w:pPr>
            <w:r w:rsidRPr="008323F7">
              <w:rPr>
                <w:rFonts w:ascii="Arial" w:eastAsia="Times New Roman" w:hAnsi="Arial" w:cs="Arial"/>
                <w:b/>
                <w:bCs/>
                <w:color w:val="000000"/>
                <w:sz w:val="18"/>
                <w:szCs w:val="18"/>
                <w:lang w:eastAsia="sl-SI"/>
              </w:rPr>
              <w:t>10.289</w:t>
            </w:r>
          </w:p>
        </w:tc>
        <w:tc>
          <w:tcPr>
            <w:tcW w:w="851" w:type="pct"/>
            <w:shd w:val="clear" w:color="auto" w:fill="F2F2F2" w:themeFill="background1" w:themeFillShade="F2"/>
            <w:noWrap/>
            <w:vAlign w:val="center"/>
            <w:hideMark/>
          </w:tcPr>
          <w:p w14:paraId="1C6E2C80" w14:textId="77777777" w:rsidR="00E3750C" w:rsidRPr="008323F7" w:rsidRDefault="00E3750C" w:rsidP="00047864">
            <w:pPr>
              <w:spacing w:after="0" w:line="240" w:lineRule="auto"/>
              <w:jc w:val="right"/>
              <w:rPr>
                <w:rFonts w:ascii="Arial" w:eastAsia="Times New Roman" w:hAnsi="Arial" w:cs="Arial"/>
                <w:b/>
                <w:bCs/>
                <w:color w:val="000000"/>
                <w:sz w:val="18"/>
                <w:szCs w:val="18"/>
                <w:lang w:eastAsia="sl-SI"/>
              </w:rPr>
            </w:pPr>
            <w:r w:rsidRPr="008323F7">
              <w:rPr>
                <w:rFonts w:ascii="Arial" w:eastAsia="Times New Roman" w:hAnsi="Arial" w:cs="Arial"/>
                <w:b/>
                <w:bCs/>
                <w:color w:val="000000"/>
                <w:sz w:val="18"/>
                <w:szCs w:val="18"/>
                <w:lang w:eastAsia="sl-SI"/>
              </w:rPr>
              <w:t>4.178.721.659</w:t>
            </w:r>
          </w:p>
        </w:tc>
        <w:tc>
          <w:tcPr>
            <w:tcW w:w="566" w:type="pct"/>
            <w:shd w:val="clear" w:color="auto" w:fill="F2F2F2" w:themeFill="background1" w:themeFillShade="F2"/>
            <w:noWrap/>
            <w:vAlign w:val="center"/>
            <w:hideMark/>
          </w:tcPr>
          <w:p w14:paraId="49ADE82A" w14:textId="77777777" w:rsidR="00E3750C" w:rsidRPr="008323F7" w:rsidRDefault="00E3750C" w:rsidP="00047864">
            <w:pPr>
              <w:spacing w:after="0" w:line="240" w:lineRule="auto"/>
              <w:jc w:val="right"/>
              <w:rPr>
                <w:rFonts w:ascii="Arial" w:eastAsia="Times New Roman" w:hAnsi="Arial" w:cs="Arial"/>
                <w:b/>
                <w:bCs/>
                <w:color w:val="000000"/>
                <w:sz w:val="18"/>
                <w:szCs w:val="18"/>
                <w:lang w:eastAsia="sl-SI"/>
              </w:rPr>
            </w:pPr>
            <w:r w:rsidRPr="008323F7">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496" w:type="pct"/>
            <w:shd w:val="clear" w:color="auto" w:fill="F2F2F2" w:themeFill="background1" w:themeFillShade="F2"/>
            <w:noWrap/>
            <w:vAlign w:val="center"/>
            <w:hideMark/>
          </w:tcPr>
          <w:p w14:paraId="2FB07FE8" w14:textId="77777777" w:rsidR="00E3750C" w:rsidRPr="008323F7" w:rsidRDefault="00E3750C" w:rsidP="00047864">
            <w:pPr>
              <w:spacing w:after="0" w:line="240" w:lineRule="auto"/>
              <w:jc w:val="right"/>
              <w:rPr>
                <w:rFonts w:ascii="Arial" w:eastAsia="Times New Roman" w:hAnsi="Arial" w:cs="Arial"/>
                <w:b/>
                <w:bCs/>
                <w:color w:val="000000"/>
                <w:sz w:val="18"/>
                <w:szCs w:val="18"/>
                <w:lang w:eastAsia="sl-SI"/>
              </w:rPr>
            </w:pPr>
            <w:r w:rsidRPr="008323F7">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bl>
    <w:p w14:paraId="09967D10" w14:textId="77777777" w:rsidR="00E3750C" w:rsidRPr="00BF7302" w:rsidRDefault="00E3750C" w:rsidP="00E3750C">
      <w:pPr>
        <w:spacing w:after="0" w:line="240" w:lineRule="auto"/>
        <w:jc w:val="both"/>
        <w:rPr>
          <w:rFonts w:ascii="Arial" w:hAnsi="Arial" w:cs="Arial"/>
          <w:sz w:val="20"/>
          <w:highlight w:val="yellow"/>
        </w:rPr>
      </w:pPr>
    </w:p>
    <w:p w14:paraId="6D4887FB" w14:textId="77777777" w:rsidR="00E3750C" w:rsidRDefault="00E3750C" w:rsidP="00E3750C">
      <w:pPr>
        <w:rPr>
          <w:rFonts w:ascii="Arial" w:hAnsi="Arial" w:cs="Arial"/>
          <w:sz w:val="20"/>
        </w:rPr>
      </w:pPr>
      <w:r>
        <w:rPr>
          <w:rFonts w:ascii="Arial" w:hAnsi="Arial" w:cs="Arial"/>
          <w:sz w:val="20"/>
        </w:rPr>
        <w:br w:type="page"/>
      </w:r>
    </w:p>
    <w:p w14:paraId="129598BB" w14:textId="77777777" w:rsidR="00E3750C" w:rsidRPr="003C73C9" w:rsidRDefault="00E3750C" w:rsidP="00E3750C">
      <w:pPr>
        <w:spacing w:before="120" w:after="0" w:line="240" w:lineRule="auto"/>
        <w:jc w:val="both"/>
        <w:rPr>
          <w:rFonts w:ascii="Arial" w:hAnsi="Arial" w:cs="Arial"/>
          <w:sz w:val="20"/>
        </w:rPr>
      </w:pPr>
      <w:r w:rsidRPr="003C73C9">
        <w:rPr>
          <w:rFonts w:ascii="Arial" w:hAnsi="Arial" w:cs="Arial"/>
          <w:sz w:val="20"/>
        </w:rPr>
        <w:lastRenderedPageBreak/>
        <w:t>Preglednica 8</w:t>
      </w:r>
      <w:r>
        <w:rPr>
          <w:rFonts w:ascii="Arial" w:hAnsi="Arial" w:cs="Arial"/>
          <w:sz w:val="20"/>
        </w:rPr>
        <w:t>0</w:t>
      </w:r>
      <w:r w:rsidRPr="003C73C9">
        <w:rPr>
          <w:rFonts w:ascii="Arial" w:hAnsi="Arial" w:cs="Arial"/>
          <w:sz w:val="20"/>
        </w:rPr>
        <w:t>: Javna naročila glede na predmet naročanja in merila za izbor</w:t>
      </w:r>
    </w:p>
    <w:p w14:paraId="1010EAD2" w14:textId="77777777" w:rsidR="00E3750C" w:rsidRPr="003C73C9" w:rsidRDefault="00E3750C" w:rsidP="00E3750C">
      <w:pPr>
        <w:spacing w:after="0" w:line="240" w:lineRule="auto"/>
        <w:jc w:val="both"/>
        <w:rPr>
          <w:rFonts w:ascii="Arial" w:hAnsi="Arial" w:cs="Arial"/>
          <w:sz w:val="20"/>
        </w:rPr>
      </w:pPr>
    </w:p>
    <w:tbl>
      <w:tblPr>
        <w:tblW w:w="9209" w:type="dxa"/>
        <w:tblCellMar>
          <w:left w:w="70" w:type="dxa"/>
          <w:right w:w="70" w:type="dxa"/>
        </w:tblCellMar>
        <w:tblLook w:val="04A0" w:firstRow="1" w:lastRow="0" w:firstColumn="1" w:lastColumn="0" w:noHBand="0" w:noVBand="1"/>
      </w:tblPr>
      <w:tblGrid>
        <w:gridCol w:w="959"/>
        <w:gridCol w:w="2991"/>
        <w:gridCol w:w="1134"/>
        <w:gridCol w:w="1432"/>
        <w:gridCol w:w="1276"/>
        <w:gridCol w:w="1417"/>
      </w:tblGrid>
      <w:tr w:rsidR="00E3750C" w:rsidRPr="003C73C9" w14:paraId="2490D3B2" w14:textId="77777777" w:rsidTr="00047864">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0D2632" w14:textId="77777777" w:rsidR="00E3750C" w:rsidRPr="003C73C9" w:rsidRDefault="00E3750C" w:rsidP="00047864">
            <w:pPr>
              <w:spacing w:after="0" w:line="240" w:lineRule="auto"/>
              <w:jc w:val="center"/>
              <w:rPr>
                <w:rFonts w:ascii="Arial" w:eastAsia="Times New Roman" w:hAnsi="Arial" w:cs="Arial"/>
                <w:color w:val="000000"/>
                <w:sz w:val="18"/>
                <w:szCs w:val="18"/>
                <w:lang w:eastAsia="sl-SI"/>
              </w:rPr>
            </w:pPr>
            <w:r w:rsidRPr="003C73C9">
              <w:rPr>
                <w:rFonts w:ascii="Arial" w:eastAsia="Times New Roman" w:hAnsi="Arial" w:cs="Arial"/>
                <w:color w:val="000000"/>
                <w:sz w:val="18"/>
                <w:szCs w:val="18"/>
                <w:lang w:eastAsia="sl-SI"/>
              </w:rPr>
              <w:t>Predmet</w:t>
            </w:r>
          </w:p>
        </w:tc>
        <w:tc>
          <w:tcPr>
            <w:tcW w:w="299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77F36F0" w14:textId="77777777" w:rsidR="00E3750C" w:rsidRPr="003C73C9" w:rsidRDefault="00E3750C" w:rsidP="00047864">
            <w:pPr>
              <w:spacing w:after="0" w:line="240" w:lineRule="auto"/>
              <w:jc w:val="center"/>
              <w:rPr>
                <w:rFonts w:ascii="Arial" w:eastAsia="Times New Roman" w:hAnsi="Arial" w:cs="Arial"/>
                <w:color w:val="000000"/>
                <w:sz w:val="18"/>
                <w:szCs w:val="18"/>
                <w:lang w:eastAsia="sl-SI"/>
              </w:rPr>
            </w:pPr>
            <w:r w:rsidRPr="003C73C9">
              <w:rPr>
                <w:rFonts w:ascii="Arial" w:eastAsia="Times New Roman" w:hAnsi="Arial" w:cs="Arial"/>
                <w:color w:val="000000"/>
                <w:sz w:val="18"/>
                <w:szCs w:val="18"/>
                <w:lang w:eastAsia="sl-SI"/>
              </w:rPr>
              <w:t>Merila</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66B68E2" w14:textId="77777777" w:rsidR="00E3750C" w:rsidRPr="003C73C9" w:rsidRDefault="00E3750C" w:rsidP="00047864">
            <w:pPr>
              <w:spacing w:after="0" w:line="240" w:lineRule="auto"/>
              <w:jc w:val="center"/>
              <w:rPr>
                <w:rFonts w:ascii="Arial" w:eastAsia="Times New Roman" w:hAnsi="Arial" w:cs="Arial"/>
                <w:color w:val="000000"/>
                <w:sz w:val="18"/>
                <w:szCs w:val="18"/>
                <w:lang w:eastAsia="sl-SI"/>
              </w:rPr>
            </w:pPr>
            <w:r w:rsidRPr="003C73C9">
              <w:rPr>
                <w:rFonts w:ascii="Arial" w:eastAsia="Times New Roman" w:hAnsi="Arial" w:cs="Arial"/>
                <w:color w:val="000000"/>
                <w:sz w:val="18"/>
                <w:szCs w:val="18"/>
                <w:lang w:eastAsia="sl-SI"/>
              </w:rPr>
              <w:t>Št. naročil</w:t>
            </w:r>
          </w:p>
        </w:tc>
        <w:tc>
          <w:tcPr>
            <w:tcW w:w="143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1A37BD3" w14:textId="77777777" w:rsidR="00E3750C" w:rsidRPr="003C73C9" w:rsidRDefault="00E3750C" w:rsidP="00047864">
            <w:pPr>
              <w:spacing w:after="0" w:line="240" w:lineRule="auto"/>
              <w:jc w:val="center"/>
              <w:rPr>
                <w:rFonts w:ascii="Arial" w:eastAsia="Times New Roman" w:hAnsi="Arial" w:cs="Arial"/>
                <w:color w:val="000000"/>
                <w:sz w:val="18"/>
                <w:szCs w:val="18"/>
                <w:lang w:eastAsia="sl-SI"/>
              </w:rPr>
            </w:pPr>
            <w:r w:rsidRPr="003C73C9">
              <w:rPr>
                <w:rFonts w:ascii="Arial" w:eastAsia="Times New Roman" w:hAnsi="Arial" w:cs="Arial"/>
                <w:color w:val="000000"/>
                <w:sz w:val="18"/>
                <w:szCs w:val="18"/>
                <w:lang w:eastAsia="sl-SI"/>
              </w:rPr>
              <w:t>Pogodbena vrednost</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7D1F955" w14:textId="77777777" w:rsidR="00E3750C" w:rsidRPr="003C73C9" w:rsidRDefault="00E3750C" w:rsidP="00047864">
            <w:pPr>
              <w:spacing w:after="0" w:line="240" w:lineRule="auto"/>
              <w:jc w:val="center"/>
              <w:rPr>
                <w:rFonts w:ascii="Arial" w:eastAsia="Times New Roman" w:hAnsi="Arial" w:cs="Arial"/>
                <w:color w:val="000000"/>
                <w:sz w:val="18"/>
                <w:szCs w:val="18"/>
                <w:lang w:eastAsia="sl-SI"/>
              </w:rPr>
            </w:pPr>
            <w:r w:rsidRPr="003C73C9">
              <w:rPr>
                <w:rFonts w:ascii="Arial" w:eastAsia="Times New Roman" w:hAnsi="Arial" w:cs="Arial"/>
                <w:color w:val="000000"/>
                <w:sz w:val="18"/>
                <w:szCs w:val="18"/>
                <w:lang w:eastAsia="sl-SI"/>
              </w:rPr>
              <w:t>Delež v št. istovrstnih naročil</w:t>
            </w:r>
          </w:p>
        </w:tc>
        <w:tc>
          <w:tcPr>
            <w:tcW w:w="141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D572E1C" w14:textId="77777777" w:rsidR="00E3750C" w:rsidRPr="003C73C9" w:rsidRDefault="00E3750C" w:rsidP="00047864">
            <w:pPr>
              <w:spacing w:after="0" w:line="240" w:lineRule="auto"/>
              <w:jc w:val="center"/>
              <w:rPr>
                <w:rFonts w:ascii="Arial" w:eastAsia="Times New Roman" w:hAnsi="Arial" w:cs="Arial"/>
                <w:color w:val="000000"/>
                <w:sz w:val="18"/>
                <w:szCs w:val="18"/>
                <w:lang w:eastAsia="sl-SI"/>
              </w:rPr>
            </w:pPr>
            <w:r w:rsidRPr="003C73C9">
              <w:rPr>
                <w:rFonts w:ascii="Arial" w:eastAsia="Times New Roman" w:hAnsi="Arial" w:cs="Arial"/>
                <w:color w:val="000000"/>
                <w:sz w:val="18"/>
                <w:szCs w:val="18"/>
                <w:lang w:eastAsia="sl-SI"/>
              </w:rPr>
              <w:t>Delež v vrednosti istovrstnih naročil</w:t>
            </w:r>
          </w:p>
        </w:tc>
      </w:tr>
      <w:tr w:rsidR="00E3750C" w:rsidRPr="003C73C9" w14:paraId="34A26E81" w14:textId="77777777" w:rsidTr="00047864">
        <w:trPr>
          <w:trHeight w:val="255"/>
        </w:trPr>
        <w:tc>
          <w:tcPr>
            <w:tcW w:w="959" w:type="dxa"/>
            <w:vMerge w:val="restart"/>
            <w:tcBorders>
              <w:top w:val="nil"/>
              <w:left w:val="single" w:sz="4" w:space="0" w:color="auto"/>
              <w:bottom w:val="single" w:sz="4" w:space="0" w:color="auto"/>
              <w:right w:val="single" w:sz="4" w:space="0" w:color="auto"/>
            </w:tcBorders>
            <w:shd w:val="clear" w:color="auto" w:fill="auto"/>
            <w:vAlign w:val="center"/>
            <w:hideMark/>
          </w:tcPr>
          <w:p w14:paraId="6316203D" w14:textId="77777777" w:rsidR="00E3750C" w:rsidRPr="003C73C9" w:rsidRDefault="00E3750C" w:rsidP="00047864">
            <w:pPr>
              <w:spacing w:after="0" w:line="240" w:lineRule="auto"/>
              <w:rPr>
                <w:rFonts w:ascii="Arial" w:eastAsia="Times New Roman" w:hAnsi="Arial" w:cs="Arial"/>
                <w:color w:val="000000"/>
                <w:sz w:val="18"/>
                <w:szCs w:val="18"/>
                <w:lang w:eastAsia="sl-SI"/>
              </w:rPr>
            </w:pPr>
            <w:r w:rsidRPr="003C73C9">
              <w:rPr>
                <w:rFonts w:ascii="Arial" w:eastAsia="Times New Roman" w:hAnsi="Arial" w:cs="Arial"/>
                <w:color w:val="000000"/>
                <w:sz w:val="18"/>
                <w:szCs w:val="18"/>
                <w:lang w:eastAsia="sl-SI"/>
              </w:rPr>
              <w:t>Blago</w:t>
            </w:r>
          </w:p>
        </w:tc>
        <w:tc>
          <w:tcPr>
            <w:tcW w:w="2991" w:type="dxa"/>
            <w:tcBorders>
              <w:top w:val="nil"/>
              <w:left w:val="nil"/>
              <w:bottom w:val="single" w:sz="4" w:space="0" w:color="auto"/>
              <w:right w:val="single" w:sz="4" w:space="0" w:color="auto"/>
            </w:tcBorders>
            <w:shd w:val="clear" w:color="auto" w:fill="auto"/>
            <w:vAlign w:val="center"/>
            <w:hideMark/>
          </w:tcPr>
          <w:p w14:paraId="62DFB66D" w14:textId="77777777" w:rsidR="00E3750C" w:rsidRPr="003C73C9" w:rsidRDefault="00E3750C" w:rsidP="00047864">
            <w:pPr>
              <w:spacing w:after="0" w:line="240" w:lineRule="auto"/>
              <w:rPr>
                <w:rFonts w:ascii="Arial" w:eastAsia="Times New Roman" w:hAnsi="Arial" w:cs="Arial"/>
                <w:color w:val="000000"/>
                <w:sz w:val="18"/>
                <w:szCs w:val="18"/>
                <w:lang w:eastAsia="sl-SI"/>
              </w:rPr>
            </w:pPr>
            <w:r w:rsidRPr="003C73C9">
              <w:rPr>
                <w:rFonts w:ascii="Arial" w:eastAsia="Times New Roman" w:hAnsi="Arial" w:cs="Arial"/>
                <w:color w:val="000000"/>
                <w:sz w:val="18"/>
                <w:szCs w:val="18"/>
                <w:lang w:eastAsia="sl-SI"/>
              </w:rPr>
              <w:t>Cena</w:t>
            </w:r>
          </w:p>
        </w:tc>
        <w:tc>
          <w:tcPr>
            <w:tcW w:w="1134" w:type="dxa"/>
            <w:tcBorders>
              <w:top w:val="nil"/>
              <w:left w:val="nil"/>
              <w:bottom w:val="single" w:sz="4" w:space="0" w:color="auto"/>
              <w:right w:val="single" w:sz="4" w:space="0" w:color="auto"/>
            </w:tcBorders>
            <w:shd w:val="clear" w:color="auto" w:fill="auto"/>
            <w:vAlign w:val="center"/>
            <w:hideMark/>
          </w:tcPr>
          <w:p w14:paraId="3B664D83" w14:textId="77777777" w:rsidR="00E3750C" w:rsidRPr="003C73C9" w:rsidRDefault="00E3750C" w:rsidP="00047864">
            <w:pPr>
              <w:spacing w:after="0" w:line="240" w:lineRule="auto"/>
              <w:jc w:val="right"/>
              <w:rPr>
                <w:rFonts w:ascii="Arial" w:eastAsia="Times New Roman" w:hAnsi="Arial" w:cs="Arial"/>
                <w:color w:val="000000"/>
                <w:sz w:val="18"/>
                <w:szCs w:val="18"/>
                <w:lang w:eastAsia="sl-SI"/>
              </w:rPr>
            </w:pPr>
            <w:r w:rsidRPr="003C73C9">
              <w:rPr>
                <w:rFonts w:ascii="Arial" w:hAnsi="Arial" w:cs="Arial"/>
                <w:color w:val="000000"/>
                <w:sz w:val="18"/>
                <w:szCs w:val="18"/>
              </w:rPr>
              <w:t>10.496</w:t>
            </w:r>
          </w:p>
        </w:tc>
        <w:tc>
          <w:tcPr>
            <w:tcW w:w="1432" w:type="dxa"/>
            <w:tcBorders>
              <w:top w:val="nil"/>
              <w:left w:val="nil"/>
              <w:bottom w:val="single" w:sz="4" w:space="0" w:color="auto"/>
              <w:right w:val="single" w:sz="4" w:space="0" w:color="auto"/>
            </w:tcBorders>
            <w:shd w:val="clear" w:color="auto" w:fill="auto"/>
            <w:vAlign w:val="center"/>
            <w:hideMark/>
          </w:tcPr>
          <w:p w14:paraId="5EB8733A" w14:textId="77777777" w:rsidR="00E3750C" w:rsidRPr="003C73C9" w:rsidRDefault="00E3750C" w:rsidP="00047864">
            <w:pPr>
              <w:spacing w:after="0" w:line="240" w:lineRule="auto"/>
              <w:jc w:val="right"/>
              <w:rPr>
                <w:rFonts w:ascii="Arial" w:eastAsia="Times New Roman" w:hAnsi="Arial" w:cs="Arial"/>
                <w:color w:val="000000"/>
                <w:sz w:val="18"/>
                <w:szCs w:val="18"/>
                <w:lang w:eastAsia="sl-SI"/>
              </w:rPr>
            </w:pPr>
            <w:r w:rsidRPr="003C73C9">
              <w:rPr>
                <w:rFonts w:ascii="Arial" w:hAnsi="Arial" w:cs="Arial"/>
                <w:color w:val="000000"/>
                <w:sz w:val="18"/>
                <w:szCs w:val="18"/>
              </w:rPr>
              <w:t>1.622.284.433</w:t>
            </w:r>
          </w:p>
        </w:tc>
        <w:tc>
          <w:tcPr>
            <w:tcW w:w="1276" w:type="dxa"/>
            <w:tcBorders>
              <w:top w:val="nil"/>
              <w:left w:val="nil"/>
              <w:bottom w:val="single" w:sz="4" w:space="0" w:color="auto"/>
              <w:right w:val="single" w:sz="4" w:space="0" w:color="auto"/>
            </w:tcBorders>
            <w:shd w:val="clear" w:color="auto" w:fill="auto"/>
            <w:noWrap/>
            <w:vAlign w:val="center"/>
            <w:hideMark/>
          </w:tcPr>
          <w:p w14:paraId="652973B3" w14:textId="77777777" w:rsidR="00E3750C" w:rsidRPr="003C73C9" w:rsidRDefault="00E3750C" w:rsidP="00047864">
            <w:pPr>
              <w:spacing w:after="0" w:line="240" w:lineRule="auto"/>
              <w:jc w:val="right"/>
              <w:rPr>
                <w:rFonts w:ascii="Arial" w:eastAsia="Times New Roman" w:hAnsi="Arial" w:cs="Arial"/>
                <w:color w:val="000000"/>
                <w:sz w:val="18"/>
                <w:szCs w:val="18"/>
                <w:lang w:eastAsia="sl-SI"/>
              </w:rPr>
            </w:pPr>
            <w:r w:rsidRPr="003C73C9">
              <w:rPr>
                <w:rFonts w:ascii="Arial" w:hAnsi="Arial" w:cs="Arial"/>
                <w:color w:val="000000"/>
                <w:sz w:val="18"/>
                <w:szCs w:val="18"/>
              </w:rPr>
              <w:t>91,61 %</w:t>
            </w:r>
          </w:p>
        </w:tc>
        <w:tc>
          <w:tcPr>
            <w:tcW w:w="1417" w:type="dxa"/>
            <w:tcBorders>
              <w:top w:val="nil"/>
              <w:left w:val="nil"/>
              <w:bottom w:val="single" w:sz="4" w:space="0" w:color="auto"/>
              <w:right w:val="single" w:sz="4" w:space="0" w:color="auto"/>
            </w:tcBorders>
            <w:shd w:val="clear" w:color="auto" w:fill="auto"/>
            <w:noWrap/>
            <w:vAlign w:val="center"/>
            <w:hideMark/>
          </w:tcPr>
          <w:p w14:paraId="02488EFF" w14:textId="77777777" w:rsidR="00E3750C" w:rsidRPr="003C73C9" w:rsidRDefault="00E3750C" w:rsidP="00047864">
            <w:pPr>
              <w:spacing w:after="0" w:line="240" w:lineRule="auto"/>
              <w:jc w:val="right"/>
              <w:rPr>
                <w:rFonts w:ascii="Arial" w:eastAsia="Times New Roman" w:hAnsi="Arial" w:cs="Arial"/>
                <w:color w:val="000000"/>
                <w:sz w:val="18"/>
                <w:szCs w:val="18"/>
                <w:lang w:eastAsia="sl-SI"/>
              </w:rPr>
            </w:pPr>
            <w:r w:rsidRPr="003C73C9">
              <w:rPr>
                <w:rFonts w:ascii="Arial" w:hAnsi="Arial" w:cs="Arial"/>
                <w:color w:val="000000"/>
                <w:sz w:val="18"/>
                <w:szCs w:val="18"/>
              </w:rPr>
              <w:t>89,59 %</w:t>
            </w:r>
          </w:p>
        </w:tc>
      </w:tr>
      <w:tr w:rsidR="00E3750C" w:rsidRPr="003C73C9" w14:paraId="6F91E1DF" w14:textId="77777777" w:rsidTr="00047864">
        <w:trPr>
          <w:trHeight w:val="255"/>
        </w:trPr>
        <w:tc>
          <w:tcPr>
            <w:tcW w:w="959" w:type="dxa"/>
            <w:vMerge/>
            <w:tcBorders>
              <w:top w:val="nil"/>
              <w:left w:val="single" w:sz="4" w:space="0" w:color="auto"/>
              <w:bottom w:val="single" w:sz="4" w:space="0" w:color="auto"/>
              <w:right w:val="single" w:sz="4" w:space="0" w:color="auto"/>
            </w:tcBorders>
            <w:vAlign w:val="center"/>
            <w:hideMark/>
          </w:tcPr>
          <w:p w14:paraId="5676289A" w14:textId="77777777" w:rsidR="00E3750C" w:rsidRPr="003C73C9" w:rsidRDefault="00E3750C" w:rsidP="00047864">
            <w:pPr>
              <w:spacing w:after="0" w:line="240" w:lineRule="auto"/>
              <w:rPr>
                <w:rFonts w:ascii="Arial" w:eastAsia="Times New Roman" w:hAnsi="Arial" w:cs="Arial"/>
                <w:color w:val="000000"/>
                <w:sz w:val="18"/>
                <w:szCs w:val="18"/>
                <w:lang w:eastAsia="sl-SI"/>
              </w:rPr>
            </w:pPr>
          </w:p>
        </w:tc>
        <w:tc>
          <w:tcPr>
            <w:tcW w:w="2991" w:type="dxa"/>
            <w:tcBorders>
              <w:top w:val="nil"/>
              <w:left w:val="nil"/>
              <w:bottom w:val="single" w:sz="4" w:space="0" w:color="auto"/>
              <w:right w:val="single" w:sz="4" w:space="0" w:color="auto"/>
            </w:tcBorders>
            <w:shd w:val="clear" w:color="auto" w:fill="auto"/>
            <w:vAlign w:val="center"/>
            <w:hideMark/>
          </w:tcPr>
          <w:p w14:paraId="0E006F58" w14:textId="77777777" w:rsidR="00E3750C" w:rsidRPr="003C73C9" w:rsidRDefault="00E3750C" w:rsidP="00047864">
            <w:pPr>
              <w:spacing w:after="0" w:line="240" w:lineRule="auto"/>
              <w:rPr>
                <w:rFonts w:ascii="Arial" w:eastAsia="Times New Roman" w:hAnsi="Arial" w:cs="Arial"/>
                <w:color w:val="000000"/>
                <w:sz w:val="18"/>
                <w:szCs w:val="18"/>
                <w:lang w:eastAsia="sl-SI"/>
              </w:rPr>
            </w:pPr>
            <w:r w:rsidRPr="003C73C9">
              <w:rPr>
                <w:rFonts w:ascii="Arial" w:eastAsia="Times New Roman" w:hAnsi="Arial" w:cs="Arial"/>
                <w:color w:val="000000"/>
                <w:sz w:val="18"/>
                <w:szCs w:val="18"/>
                <w:lang w:eastAsia="sl-SI"/>
              </w:rPr>
              <w:t>Ekonomsko najugodnejša ponudba</w:t>
            </w:r>
          </w:p>
        </w:tc>
        <w:tc>
          <w:tcPr>
            <w:tcW w:w="1134" w:type="dxa"/>
            <w:tcBorders>
              <w:top w:val="nil"/>
              <w:left w:val="nil"/>
              <w:bottom w:val="single" w:sz="4" w:space="0" w:color="auto"/>
              <w:right w:val="single" w:sz="4" w:space="0" w:color="auto"/>
            </w:tcBorders>
            <w:shd w:val="clear" w:color="auto" w:fill="auto"/>
            <w:vAlign w:val="center"/>
            <w:hideMark/>
          </w:tcPr>
          <w:p w14:paraId="41BC3CD0" w14:textId="77777777" w:rsidR="00E3750C" w:rsidRPr="003C73C9" w:rsidRDefault="00E3750C" w:rsidP="00047864">
            <w:pPr>
              <w:spacing w:after="0" w:line="240" w:lineRule="auto"/>
              <w:jc w:val="right"/>
              <w:rPr>
                <w:rFonts w:ascii="Arial" w:eastAsia="Times New Roman" w:hAnsi="Arial" w:cs="Arial"/>
                <w:color w:val="000000"/>
                <w:sz w:val="18"/>
                <w:szCs w:val="18"/>
                <w:lang w:eastAsia="sl-SI"/>
              </w:rPr>
            </w:pPr>
            <w:r w:rsidRPr="003C73C9">
              <w:rPr>
                <w:rFonts w:ascii="Arial" w:hAnsi="Arial" w:cs="Arial"/>
                <w:color w:val="000000"/>
                <w:sz w:val="18"/>
                <w:szCs w:val="18"/>
              </w:rPr>
              <w:t>961</w:t>
            </w:r>
          </w:p>
        </w:tc>
        <w:tc>
          <w:tcPr>
            <w:tcW w:w="1432" w:type="dxa"/>
            <w:tcBorders>
              <w:top w:val="nil"/>
              <w:left w:val="nil"/>
              <w:bottom w:val="single" w:sz="4" w:space="0" w:color="auto"/>
              <w:right w:val="single" w:sz="4" w:space="0" w:color="auto"/>
            </w:tcBorders>
            <w:shd w:val="clear" w:color="auto" w:fill="auto"/>
            <w:vAlign w:val="center"/>
            <w:hideMark/>
          </w:tcPr>
          <w:p w14:paraId="6D75DA17" w14:textId="77777777" w:rsidR="00E3750C" w:rsidRPr="003C73C9" w:rsidRDefault="00E3750C" w:rsidP="00047864">
            <w:pPr>
              <w:spacing w:after="0" w:line="240" w:lineRule="auto"/>
              <w:jc w:val="right"/>
              <w:rPr>
                <w:rFonts w:ascii="Arial" w:eastAsia="Times New Roman" w:hAnsi="Arial" w:cs="Arial"/>
                <w:color w:val="000000"/>
                <w:sz w:val="18"/>
                <w:szCs w:val="18"/>
                <w:lang w:eastAsia="sl-SI"/>
              </w:rPr>
            </w:pPr>
            <w:r w:rsidRPr="003C73C9">
              <w:rPr>
                <w:rFonts w:ascii="Arial" w:hAnsi="Arial" w:cs="Arial"/>
                <w:color w:val="000000"/>
                <w:sz w:val="18"/>
                <w:szCs w:val="18"/>
              </w:rPr>
              <w:t>188.488.585</w:t>
            </w:r>
          </w:p>
        </w:tc>
        <w:tc>
          <w:tcPr>
            <w:tcW w:w="1276" w:type="dxa"/>
            <w:tcBorders>
              <w:top w:val="nil"/>
              <w:left w:val="nil"/>
              <w:bottom w:val="single" w:sz="4" w:space="0" w:color="auto"/>
              <w:right w:val="single" w:sz="4" w:space="0" w:color="auto"/>
            </w:tcBorders>
            <w:shd w:val="clear" w:color="auto" w:fill="auto"/>
            <w:noWrap/>
            <w:vAlign w:val="center"/>
            <w:hideMark/>
          </w:tcPr>
          <w:p w14:paraId="5D3C9F16" w14:textId="77777777" w:rsidR="00E3750C" w:rsidRPr="003C73C9" w:rsidRDefault="00E3750C" w:rsidP="00047864">
            <w:pPr>
              <w:spacing w:after="0" w:line="240" w:lineRule="auto"/>
              <w:jc w:val="right"/>
              <w:rPr>
                <w:rFonts w:ascii="Arial" w:eastAsia="Times New Roman" w:hAnsi="Arial" w:cs="Arial"/>
                <w:color w:val="000000"/>
                <w:sz w:val="18"/>
                <w:szCs w:val="18"/>
                <w:lang w:eastAsia="sl-SI"/>
              </w:rPr>
            </w:pPr>
            <w:r w:rsidRPr="003C73C9">
              <w:rPr>
                <w:rFonts w:ascii="Arial" w:hAnsi="Arial" w:cs="Arial"/>
                <w:color w:val="000000"/>
                <w:sz w:val="18"/>
                <w:szCs w:val="18"/>
              </w:rPr>
              <w:t>8,39 %</w:t>
            </w:r>
          </w:p>
        </w:tc>
        <w:tc>
          <w:tcPr>
            <w:tcW w:w="1417" w:type="dxa"/>
            <w:tcBorders>
              <w:top w:val="nil"/>
              <w:left w:val="nil"/>
              <w:bottom w:val="single" w:sz="4" w:space="0" w:color="auto"/>
              <w:right w:val="single" w:sz="4" w:space="0" w:color="auto"/>
            </w:tcBorders>
            <w:shd w:val="clear" w:color="auto" w:fill="auto"/>
            <w:noWrap/>
            <w:vAlign w:val="center"/>
            <w:hideMark/>
          </w:tcPr>
          <w:p w14:paraId="79AFFD35" w14:textId="77777777" w:rsidR="00E3750C" w:rsidRPr="003C73C9" w:rsidRDefault="00E3750C" w:rsidP="00047864">
            <w:pPr>
              <w:spacing w:after="0" w:line="240" w:lineRule="auto"/>
              <w:jc w:val="right"/>
              <w:rPr>
                <w:rFonts w:ascii="Arial" w:eastAsia="Times New Roman" w:hAnsi="Arial" w:cs="Arial"/>
                <w:color w:val="000000"/>
                <w:sz w:val="18"/>
                <w:szCs w:val="18"/>
                <w:lang w:eastAsia="sl-SI"/>
              </w:rPr>
            </w:pPr>
            <w:r w:rsidRPr="003C73C9">
              <w:rPr>
                <w:rFonts w:ascii="Arial" w:hAnsi="Arial" w:cs="Arial"/>
                <w:color w:val="000000"/>
                <w:sz w:val="18"/>
                <w:szCs w:val="18"/>
              </w:rPr>
              <w:t>10,41 %</w:t>
            </w:r>
          </w:p>
        </w:tc>
      </w:tr>
      <w:tr w:rsidR="00E3750C" w:rsidRPr="003C73C9" w14:paraId="4070D69B" w14:textId="77777777" w:rsidTr="00047864">
        <w:trPr>
          <w:trHeight w:val="255"/>
        </w:trPr>
        <w:tc>
          <w:tcPr>
            <w:tcW w:w="959" w:type="dxa"/>
            <w:vMerge/>
            <w:tcBorders>
              <w:top w:val="nil"/>
              <w:left w:val="single" w:sz="4" w:space="0" w:color="auto"/>
              <w:bottom w:val="single" w:sz="4" w:space="0" w:color="auto"/>
              <w:right w:val="single" w:sz="4" w:space="0" w:color="auto"/>
            </w:tcBorders>
            <w:vAlign w:val="center"/>
            <w:hideMark/>
          </w:tcPr>
          <w:p w14:paraId="4A931F86" w14:textId="77777777" w:rsidR="00E3750C" w:rsidRPr="003C73C9" w:rsidRDefault="00E3750C" w:rsidP="00047864">
            <w:pPr>
              <w:spacing w:after="0" w:line="240" w:lineRule="auto"/>
              <w:rPr>
                <w:rFonts w:ascii="Arial" w:eastAsia="Times New Roman" w:hAnsi="Arial" w:cs="Arial"/>
                <w:color w:val="000000"/>
                <w:sz w:val="18"/>
                <w:szCs w:val="18"/>
                <w:lang w:eastAsia="sl-SI"/>
              </w:rPr>
            </w:pPr>
          </w:p>
        </w:tc>
        <w:tc>
          <w:tcPr>
            <w:tcW w:w="2991" w:type="dxa"/>
            <w:tcBorders>
              <w:top w:val="nil"/>
              <w:left w:val="nil"/>
              <w:bottom w:val="single" w:sz="4" w:space="0" w:color="auto"/>
              <w:right w:val="single" w:sz="4" w:space="0" w:color="auto"/>
            </w:tcBorders>
            <w:shd w:val="clear" w:color="auto" w:fill="auto"/>
            <w:vAlign w:val="center"/>
            <w:hideMark/>
          </w:tcPr>
          <w:p w14:paraId="092D26BC" w14:textId="77777777" w:rsidR="00E3750C" w:rsidRPr="003C73C9" w:rsidRDefault="00E3750C" w:rsidP="00047864">
            <w:pPr>
              <w:spacing w:after="0" w:line="240" w:lineRule="auto"/>
              <w:rPr>
                <w:rFonts w:ascii="Arial" w:eastAsia="Times New Roman" w:hAnsi="Arial" w:cs="Arial"/>
                <w:b/>
                <w:bCs/>
                <w:color w:val="000000"/>
                <w:sz w:val="18"/>
                <w:szCs w:val="18"/>
                <w:lang w:eastAsia="sl-SI"/>
              </w:rPr>
            </w:pPr>
            <w:r w:rsidRPr="003C73C9">
              <w:rPr>
                <w:rFonts w:ascii="Arial" w:eastAsia="Times New Roman" w:hAnsi="Arial" w:cs="Arial"/>
                <w:b/>
                <w:bCs/>
                <w:color w:val="000000"/>
                <w:sz w:val="18"/>
                <w:szCs w:val="18"/>
                <w:lang w:eastAsia="sl-SI"/>
              </w:rPr>
              <w:t>Skupaj</w:t>
            </w:r>
          </w:p>
        </w:tc>
        <w:tc>
          <w:tcPr>
            <w:tcW w:w="1134" w:type="dxa"/>
            <w:tcBorders>
              <w:top w:val="nil"/>
              <w:left w:val="nil"/>
              <w:bottom w:val="single" w:sz="4" w:space="0" w:color="auto"/>
              <w:right w:val="single" w:sz="4" w:space="0" w:color="auto"/>
            </w:tcBorders>
            <w:shd w:val="clear" w:color="auto" w:fill="auto"/>
            <w:vAlign w:val="center"/>
            <w:hideMark/>
          </w:tcPr>
          <w:p w14:paraId="24339F9D" w14:textId="77777777" w:rsidR="00E3750C" w:rsidRPr="003C73C9" w:rsidRDefault="00E3750C" w:rsidP="00047864">
            <w:pPr>
              <w:spacing w:after="0" w:line="240" w:lineRule="auto"/>
              <w:jc w:val="right"/>
              <w:rPr>
                <w:rFonts w:ascii="Arial" w:eastAsia="Times New Roman" w:hAnsi="Arial" w:cs="Arial"/>
                <w:b/>
                <w:bCs/>
                <w:color w:val="000000"/>
                <w:sz w:val="18"/>
                <w:szCs w:val="18"/>
                <w:lang w:eastAsia="sl-SI"/>
              </w:rPr>
            </w:pPr>
            <w:r w:rsidRPr="003C73C9">
              <w:rPr>
                <w:rFonts w:ascii="Arial" w:hAnsi="Arial" w:cs="Arial"/>
                <w:b/>
                <w:bCs/>
                <w:color w:val="000000"/>
                <w:sz w:val="18"/>
                <w:szCs w:val="18"/>
              </w:rPr>
              <w:t>11.457</w:t>
            </w:r>
          </w:p>
        </w:tc>
        <w:tc>
          <w:tcPr>
            <w:tcW w:w="1432" w:type="dxa"/>
            <w:tcBorders>
              <w:top w:val="nil"/>
              <w:left w:val="nil"/>
              <w:bottom w:val="single" w:sz="4" w:space="0" w:color="auto"/>
              <w:right w:val="single" w:sz="4" w:space="0" w:color="auto"/>
            </w:tcBorders>
            <w:shd w:val="clear" w:color="auto" w:fill="auto"/>
            <w:vAlign w:val="center"/>
            <w:hideMark/>
          </w:tcPr>
          <w:p w14:paraId="6B7F0F0B" w14:textId="77777777" w:rsidR="00E3750C" w:rsidRPr="003C73C9" w:rsidRDefault="00E3750C" w:rsidP="00047864">
            <w:pPr>
              <w:spacing w:after="0" w:line="240" w:lineRule="auto"/>
              <w:jc w:val="right"/>
              <w:rPr>
                <w:rFonts w:ascii="Arial" w:eastAsia="Times New Roman" w:hAnsi="Arial" w:cs="Arial"/>
                <w:b/>
                <w:bCs/>
                <w:color w:val="000000"/>
                <w:sz w:val="18"/>
                <w:szCs w:val="18"/>
                <w:lang w:eastAsia="sl-SI"/>
              </w:rPr>
            </w:pPr>
            <w:r w:rsidRPr="003C73C9">
              <w:rPr>
                <w:rFonts w:ascii="Arial" w:hAnsi="Arial" w:cs="Arial"/>
                <w:b/>
                <w:bCs/>
                <w:color w:val="000000"/>
                <w:sz w:val="18"/>
                <w:szCs w:val="18"/>
              </w:rPr>
              <w:t>1.810.773.018</w:t>
            </w:r>
          </w:p>
        </w:tc>
        <w:tc>
          <w:tcPr>
            <w:tcW w:w="1276" w:type="dxa"/>
            <w:tcBorders>
              <w:top w:val="nil"/>
              <w:left w:val="nil"/>
              <w:bottom w:val="single" w:sz="4" w:space="0" w:color="auto"/>
              <w:right w:val="single" w:sz="4" w:space="0" w:color="auto"/>
            </w:tcBorders>
            <w:shd w:val="clear" w:color="auto" w:fill="auto"/>
            <w:vAlign w:val="center"/>
            <w:hideMark/>
          </w:tcPr>
          <w:p w14:paraId="0470FE01" w14:textId="77777777" w:rsidR="00E3750C" w:rsidRPr="003C73C9" w:rsidRDefault="00E3750C" w:rsidP="00047864">
            <w:pPr>
              <w:spacing w:after="0" w:line="240" w:lineRule="auto"/>
              <w:jc w:val="right"/>
              <w:rPr>
                <w:rFonts w:ascii="Arial" w:eastAsia="Times New Roman" w:hAnsi="Arial" w:cs="Arial"/>
                <w:b/>
                <w:bCs/>
                <w:color w:val="000000"/>
                <w:sz w:val="18"/>
                <w:szCs w:val="18"/>
                <w:lang w:eastAsia="sl-SI"/>
              </w:rPr>
            </w:pPr>
            <w:r w:rsidRPr="003C73C9">
              <w:rPr>
                <w:rFonts w:ascii="Arial" w:hAnsi="Arial" w:cs="Arial"/>
                <w:b/>
                <w:bCs/>
                <w:color w:val="000000"/>
                <w:sz w:val="18"/>
                <w:szCs w:val="18"/>
              </w:rPr>
              <w:t>100,00 %</w:t>
            </w:r>
          </w:p>
        </w:tc>
        <w:tc>
          <w:tcPr>
            <w:tcW w:w="1417" w:type="dxa"/>
            <w:tcBorders>
              <w:top w:val="nil"/>
              <w:left w:val="nil"/>
              <w:bottom w:val="single" w:sz="4" w:space="0" w:color="auto"/>
              <w:right w:val="single" w:sz="4" w:space="0" w:color="auto"/>
            </w:tcBorders>
            <w:shd w:val="clear" w:color="auto" w:fill="auto"/>
            <w:vAlign w:val="center"/>
            <w:hideMark/>
          </w:tcPr>
          <w:p w14:paraId="7DCD1A24" w14:textId="77777777" w:rsidR="00E3750C" w:rsidRPr="003C73C9" w:rsidRDefault="00E3750C" w:rsidP="00047864">
            <w:pPr>
              <w:spacing w:after="0" w:line="240" w:lineRule="auto"/>
              <w:jc w:val="right"/>
              <w:rPr>
                <w:rFonts w:ascii="Arial" w:eastAsia="Times New Roman" w:hAnsi="Arial" w:cs="Arial"/>
                <w:b/>
                <w:bCs/>
                <w:color w:val="000000"/>
                <w:sz w:val="18"/>
                <w:szCs w:val="18"/>
                <w:lang w:eastAsia="sl-SI"/>
              </w:rPr>
            </w:pPr>
            <w:r w:rsidRPr="003C73C9">
              <w:rPr>
                <w:rFonts w:ascii="Arial" w:hAnsi="Arial" w:cs="Arial"/>
                <w:b/>
                <w:bCs/>
                <w:color w:val="000000"/>
                <w:sz w:val="18"/>
                <w:szCs w:val="18"/>
              </w:rPr>
              <w:t>100,00 %</w:t>
            </w:r>
          </w:p>
        </w:tc>
      </w:tr>
      <w:tr w:rsidR="00E3750C" w:rsidRPr="003C73C9" w14:paraId="743D7A50" w14:textId="77777777" w:rsidTr="00047864">
        <w:trPr>
          <w:trHeight w:val="255"/>
        </w:trPr>
        <w:tc>
          <w:tcPr>
            <w:tcW w:w="959" w:type="dxa"/>
            <w:vMerge w:val="restart"/>
            <w:tcBorders>
              <w:top w:val="nil"/>
              <w:left w:val="single" w:sz="4" w:space="0" w:color="auto"/>
              <w:bottom w:val="single" w:sz="4" w:space="0" w:color="auto"/>
              <w:right w:val="single" w:sz="4" w:space="0" w:color="auto"/>
            </w:tcBorders>
            <w:shd w:val="clear" w:color="auto" w:fill="auto"/>
            <w:vAlign w:val="center"/>
            <w:hideMark/>
          </w:tcPr>
          <w:p w14:paraId="43E5D824" w14:textId="77777777" w:rsidR="00E3750C" w:rsidRPr="003C73C9" w:rsidRDefault="00E3750C" w:rsidP="00047864">
            <w:pPr>
              <w:spacing w:after="0" w:line="240" w:lineRule="auto"/>
              <w:rPr>
                <w:rFonts w:ascii="Arial" w:eastAsia="Times New Roman" w:hAnsi="Arial" w:cs="Arial"/>
                <w:color w:val="000000"/>
                <w:sz w:val="18"/>
                <w:szCs w:val="18"/>
                <w:lang w:eastAsia="sl-SI"/>
              </w:rPr>
            </w:pPr>
            <w:r w:rsidRPr="003C73C9">
              <w:rPr>
                <w:rFonts w:ascii="Arial" w:eastAsia="Times New Roman" w:hAnsi="Arial" w:cs="Arial"/>
                <w:color w:val="000000"/>
                <w:sz w:val="18"/>
                <w:szCs w:val="18"/>
                <w:lang w:eastAsia="sl-SI"/>
              </w:rPr>
              <w:t>Storitve</w:t>
            </w:r>
          </w:p>
        </w:tc>
        <w:tc>
          <w:tcPr>
            <w:tcW w:w="2991" w:type="dxa"/>
            <w:tcBorders>
              <w:top w:val="nil"/>
              <w:left w:val="nil"/>
              <w:bottom w:val="single" w:sz="4" w:space="0" w:color="auto"/>
              <w:right w:val="single" w:sz="4" w:space="0" w:color="auto"/>
            </w:tcBorders>
            <w:shd w:val="clear" w:color="auto" w:fill="auto"/>
            <w:vAlign w:val="center"/>
            <w:hideMark/>
          </w:tcPr>
          <w:p w14:paraId="63A1C321" w14:textId="77777777" w:rsidR="00E3750C" w:rsidRPr="003C73C9" w:rsidRDefault="00E3750C" w:rsidP="00047864">
            <w:pPr>
              <w:spacing w:after="0" w:line="240" w:lineRule="auto"/>
              <w:rPr>
                <w:rFonts w:ascii="Arial" w:eastAsia="Times New Roman" w:hAnsi="Arial" w:cs="Arial"/>
                <w:color w:val="000000"/>
                <w:sz w:val="18"/>
                <w:szCs w:val="18"/>
                <w:lang w:eastAsia="sl-SI"/>
              </w:rPr>
            </w:pPr>
            <w:r w:rsidRPr="003C73C9">
              <w:rPr>
                <w:rFonts w:ascii="Arial" w:eastAsia="Times New Roman" w:hAnsi="Arial" w:cs="Arial"/>
                <w:color w:val="000000"/>
                <w:sz w:val="18"/>
                <w:szCs w:val="18"/>
                <w:lang w:eastAsia="sl-SI"/>
              </w:rPr>
              <w:t>Cena</w:t>
            </w:r>
          </w:p>
        </w:tc>
        <w:tc>
          <w:tcPr>
            <w:tcW w:w="1134" w:type="dxa"/>
            <w:tcBorders>
              <w:top w:val="nil"/>
              <w:left w:val="nil"/>
              <w:bottom w:val="single" w:sz="4" w:space="0" w:color="auto"/>
              <w:right w:val="single" w:sz="4" w:space="0" w:color="auto"/>
            </w:tcBorders>
            <w:shd w:val="clear" w:color="auto" w:fill="auto"/>
            <w:vAlign w:val="center"/>
            <w:hideMark/>
          </w:tcPr>
          <w:p w14:paraId="4FC7B1F6" w14:textId="77777777" w:rsidR="00E3750C" w:rsidRPr="003C73C9" w:rsidRDefault="00E3750C" w:rsidP="00047864">
            <w:pPr>
              <w:spacing w:after="0" w:line="240" w:lineRule="auto"/>
              <w:jc w:val="right"/>
              <w:rPr>
                <w:rFonts w:ascii="Arial" w:eastAsia="Times New Roman" w:hAnsi="Arial" w:cs="Arial"/>
                <w:color w:val="000000"/>
                <w:sz w:val="18"/>
                <w:szCs w:val="18"/>
                <w:lang w:eastAsia="sl-SI"/>
              </w:rPr>
            </w:pPr>
            <w:r w:rsidRPr="003C73C9">
              <w:rPr>
                <w:rFonts w:ascii="Arial" w:hAnsi="Arial" w:cs="Arial"/>
                <w:color w:val="000000"/>
                <w:sz w:val="18"/>
                <w:szCs w:val="18"/>
              </w:rPr>
              <w:t>3.279</w:t>
            </w:r>
          </w:p>
        </w:tc>
        <w:tc>
          <w:tcPr>
            <w:tcW w:w="1432" w:type="dxa"/>
            <w:tcBorders>
              <w:top w:val="nil"/>
              <w:left w:val="nil"/>
              <w:bottom w:val="single" w:sz="4" w:space="0" w:color="auto"/>
              <w:right w:val="single" w:sz="4" w:space="0" w:color="auto"/>
            </w:tcBorders>
            <w:shd w:val="clear" w:color="auto" w:fill="auto"/>
            <w:vAlign w:val="center"/>
            <w:hideMark/>
          </w:tcPr>
          <w:p w14:paraId="3B031690" w14:textId="77777777" w:rsidR="00E3750C" w:rsidRPr="003C73C9" w:rsidRDefault="00E3750C" w:rsidP="00047864">
            <w:pPr>
              <w:spacing w:after="0" w:line="240" w:lineRule="auto"/>
              <w:jc w:val="right"/>
              <w:rPr>
                <w:rFonts w:ascii="Arial" w:eastAsia="Times New Roman" w:hAnsi="Arial" w:cs="Arial"/>
                <w:color w:val="000000"/>
                <w:sz w:val="18"/>
                <w:szCs w:val="18"/>
                <w:lang w:eastAsia="sl-SI"/>
              </w:rPr>
            </w:pPr>
            <w:r w:rsidRPr="003C73C9">
              <w:rPr>
                <w:rFonts w:ascii="Arial" w:hAnsi="Arial" w:cs="Arial"/>
                <w:color w:val="000000"/>
                <w:sz w:val="18"/>
                <w:szCs w:val="18"/>
              </w:rPr>
              <w:t>1.544.599.299</w:t>
            </w:r>
          </w:p>
        </w:tc>
        <w:tc>
          <w:tcPr>
            <w:tcW w:w="1276" w:type="dxa"/>
            <w:tcBorders>
              <w:top w:val="nil"/>
              <w:left w:val="nil"/>
              <w:bottom w:val="single" w:sz="4" w:space="0" w:color="auto"/>
              <w:right w:val="single" w:sz="4" w:space="0" w:color="auto"/>
            </w:tcBorders>
            <w:shd w:val="clear" w:color="auto" w:fill="auto"/>
            <w:noWrap/>
            <w:vAlign w:val="center"/>
            <w:hideMark/>
          </w:tcPr>
          <w:p w14:paraId="0085773F" w14:textId="77777777" w:rsidR="00E3750C" w:rsidRPr="003C73C9" w:rsidRDefault="00E3750C" w:rsidP="00047864">
            <w:pPr>
              <w:spacing w:after="0" w:line="240" w:lineRule="auto"/>
              <w:jc w:val="right"/>
              <w:rPr>
                <w:rFonts w:ascii="Arial" w:eastAsia="Times New Roman" w:hAnsi="Arial" w:cs="Arial"/>
                <w:color w:val="000000"/>
                <w:sz w:val="18"/>
                <w:szCs w:val="18"/>
                <w:lang w:eastAsia="sl-SI"/>
              </w:rPr>
            </w:pPr>
            <w:r w:rsidRPr="003C73C9">
              <w:rPr>
                <w:rFonts w:ascii="Arial" w:hAnsi="Arial" w:cs="Arial"/>
                <w:color w:val="000000"/>
                <w:sz w:val="18"/>
                <w:szCs w:val="18"/>
              </w:rPr>
              <w:t>81,73 %</w:t>
            </w:r>
          </w:p>
        </w:tc>
        <w:tc>
          <w:tcPr>
            <w:tcW w:w="1417" w:type="dxa"/>
            <w:tcBorders>
              <w:top w:val="nil"/>
              <w:left w:val="nil"/>
              <w:bottom w:val="single" w:sz="4" w:space="0" w:color="auto"/>
              <w:right w:val="single" w:sz="4" w:space="0" w:color="auto"/>
            </w:tcBorders>
            <w:shd w:val="clear" w:color="auto" w:fill="auto"/>
            <w:noWrap/>
            <w:vAlign w:val="center"/>
            <w:hideMark/>
          </w:tcPr>
          <w:p w14:paraId="1B3C52B4" w14:textId="77777777" w:rsidR="00E3750C" w:rsidRPr="003C73C9" w:rsidRDefault="00E3750C" w:rsidP="00047864">
            <w:pPr>
              <w:spacing w:after="0" w:line="240" w:lineRule="auto"/>
              <w:jc w:val="right"/>
              <w:rPr>
                <w:rFonts w:ascii="Arial" w:eastAsia="Times New Roman" w:hAnsi="Arial" w:cs="Arial"/>
                <w:color w:val="000000"/>
                <w:sz w:val="18"/>
                <w:szCs w:val="18"/>
                <w:lang w:eastAsia="sl-SI"/>
              </w:rPr>
            </w:pPr>
            <w:r w:rsidRPr="003C73C9">
              <w:rPr>
                <w:rFonts w:ascii="Arial" w:hAnsi="Arial" w:cs="Arial"/>
                <w:color w:val="000000"/>
                <w:sz w:val="18"/>
                <w:szCs w:val="18"/>
              </w:rPr>
              <w:t>88,53 %</w:t>
            </w:r>
          </w:p>
        </w:tc>
      </w:tr>
      <w:tr w:rsidR="00E3750C" w:rsidRPr="003C73C9" w14:paraId="4C42928E" w14:textId="77777777" w:rsidTr="00047864">
        <w:trPr>
          <w:trHeight w:val="255"/>
        </w:trPr>
        <w:tc>
          <w:tcPr>
            <w:tcW w:w="959" w:type="dxa"/>
            <w:vMerge/>
            <w:tcBorders>
              <w:top w:val="nil"/>
              <w:left w:val="single" w:sz="4" w:space="0" w:color="auto"/>
              <w:bottom w:val="single" w:sz="4" w:space="0" w:color="auto"/>
              <w:right w:val="single" w:sz="4" w:space="0" w:color="auto"/>
            </w:tcBorders>
            <w:vAlign w:val="center"/>
            <w:hideMark/>
          </w:tcPr>
          <w:p w14:paraId="758A39DF" w14:textId="77777777" w:rsidR="00E3750C" w:rsidRPr="003C73C9" w:rsidRDefault="00E3750C" w:rsidP="00047864">
            <w:pPr>
              <w:spacing w:after="0" w:line="240" w:lineRule="auto"/>
              <w:rPr>
                <w:rFonts w:ascii="Arial" w:eastAsia="Times New Roman" w:hAnsi="Arial" w:cs="Arial"/>
                <w:color w:val="000000"/>
                <w:sz w:val="18"/>
                <w:szCs w:val="18"/>
                <w:lang w:eastAsia="sl-SI"/>
              </w:rPr>
            </w:pPr>
          </w:p>
        </w:tc>
        <w:tc>
          <w:tcPr>
            <w:tcW w:w="2991" w:type="dxa"/>
            <w:tcBorders>
              <w:top w:val="nil"/>
              <w:left w:val="nil"/>
              <w:bottom w:val="single" w:sz="4" w:space="0" w:color="auto"/>
              <w:right w:val="single" w:sz="4" w:space="0" w:color="auto"/>
            </w:tcBorders>
            <w:shd w:val="clear" w:color="auto" w:fill="auto"/>
            <w:vAlign w:val="center"/>
            <w:hideMark/>
          </w:tcPr>
          <w:p w14:paraId="52DB0A56" w14:textId="77777777" w:rsidR="00E3750C" w:rsidRPr="003C73C9" w:rsidRDefault="00E3750C" w:rsidP="00047864">
            <w:pPr>
              <w:spacing w:after="0" w:line="240" w:lineRule="auto"/>
              <w:rPr>
                <w:rFonts w:ascii="Arial" w:eastAsia="Times New Roman" w:hAnsi="Arial" w:cs="Arial"/>
                <w:color w:val="000000"/>
                <w:sz w:val="18"/>
                <w:szCs w:val="18"/>
                <w:lang w:eastAsia="sl-SI"/>
              </w:rPr>
            </w:pPr>
            <w:r w:rsidRPr="003C73C9">
              <w:rPr>
                <w:rFonts w:ascii="Arial" w:eastAsia="Times New Roman" w:hAnsi="Arial" w:cs="Arial"/>
                <w:color w:val="000000"/>
                <w:sz w:val="18"/>
                <w:szCs w:val="18"/>
                <w:lang w:eastAsia="sl-SI"/>
              </w:rPr>
              <w:t>Ekonomsko najugodnejša ponudba</w:t>
            </w:r>
          </w:p>
        </w:tc>
        <w:tc>
          <w:tcPr>
            <w:tcW w:w="1134" w:type="dxa"/>
            <w:tcBorders>
              <w:top w:val="nil"/>
              <w:left w:val="nil"/>
              <w:bottom w:val="single" w:sz="4" w:space="0" w:color="auto"/>
              <w:right w:val="single" w:sz="4" w:space="0" w:color="auto"/>
            </w:tcBorders>
            <w:shd w:val="clear" w:color="auto" w:fill="auto"/>
            <w:vAlign w:val="center"/>
            <w:hideMark/>
          </w:tcPr>
          <w:p w14:paraId="3828557E" w14:textId="77777777" w:rsidR="00E3750C" w:rsidRPr="003C73C9" w:rsidRDefault="00E3750C" w:rsidP="00047864">
            <w:pPr>
              <w:spacing w:after="0" w:line="240" w:lineRule="auto"/>
              <w:jc w:val="right"/>
              <w:rPr>
                <w:rFonts w:ascii="Arial" w:eastAsia="Times New Roman" w:hAnsi="Arial" w:cs="Arial"/>
                <w:color w:val="000000"/>
                <w:sz w:val="18"/>
                <w:szCs w:val="18"/>
                <w:lang w:eastAsia="sl-SI"/>
              </w:rPr>
            </w:pPr>
            <w:r w:rsidRPr="003C73C9">
              <w:rPr>
                <w:rFonts w:ascii="Arial" w:hAnsi="Arial" w:cs="Arial"/>
                <w:color w:val="000000"/>
                <w:sz w:val="18"/>
                <w:szCs w:val="18"/>
              </w:rPr>
              <w:t>733</w:t>
            </w:r>
          </w:p>
        </w:tc>
        <w:tc>
          <w:tcPr>
            <w:tcW w:w="1432" w:type="dxa"/>
            <w:tcBorders>
              <w:top w:val="nil"/>
              <w:left w:val="nil"/>
              <w:bottom w:val="single" w:sz="4" w:space="0" w:color="auto"/>
              <w:right w:val="single" w:sz="4" w:space="0" w:color="auto"/>
            </w:tcBorders>
            <w:shd w:val="clear" w:color="auto" w:fill="auto"/>
            <w:vAlign w:val="center"/>
            <w:hideMark/>
          </w:tcPr>
          <w:p w14:paraId="7E648ADA" w14:textId="77777777" w:rsidR="00E3750C" w:rsidRPr="003C73C9" w:rsidRDefault="00E3750C" w:rsidP="00047864">
            <w:pPr>
              <w:spacing w:after="0" w:line="240" w:lineRule="auto"/>
              <w:jc w:val="right"/>
              <w:rPr>
                <w:rFonts w:ascii="Arial" w:eastAsia="Times New Roman" w:hAnsi="Arial" w:cs="Arial"/>
                <w:color w:val="000000"/>
                <w:sz w:val="18"/>
                <w:szCs w:val="18"/>
                <w:lang w:eastAsia="sl-SI"/>
              </w:rPr>
            </w:pPr>
            <w:r w:rsidRPr="003C73C9">
              <w:rPr>
                <w:rFonts w:ascii="Arial" w:hAnsi="Arial" w:cs="Arial"/>
                <w:color w:val="000000"/>
                <w:sz w:val="18"/>
                <w:szCs w:val="18"/>
              </w:rPr>
              <w:t>200.166.390</w:t>
            </w:r>
          </w:p>
        </w:tc>
        <w:tc>
          <w:tcPr>
            <w:tcW w:w="1276" w:type="dxa"/>
            <w:tcBorders>
              <w:top w:val="nil"/>
              <w:left w:val="nil"/>
              <w:bottom w:val="single" w:sz="4" w:space="0" w:color="auto"/>
              <w:right w:val="single" w:sz="4" w:space="0" w:color="auto"/>
            </w:tcBorders>
            <w:shd w:val="clear" w:color="auto" w:fill="auto"/>
            <w:noWrap/>
            <w:vAlign w:val="center"/>
            <w:hideMark/>
          </w:tcPr>
          <w:p w14:paraId="722FC35B" w14:textId="77777777" w:rsidR="00E3750C" w:rsidRPr="003C73C9" w:rsidRDefault="00E3750C" w:rsidP="00047864">
            <w:pPr>
              <w:spacing w:after="0" w:line="240" w:lineRule="auto"/>
              <w:jc w:val="right"/>
              <w:rPr>
                <w:rFonts w:ascii="Arial" w:eastAsia="Times New Roman" w:hAnsi="Arial" w:cs="Arial"/>
                <w:color w:val="000000"/>
                <w:sz w:val="18"/>
                <w:szCs w:val="18"/>
                <w:lang w:eastAsia="sl-SI"/>
              </w:rPr>
            </w:pPr>
            <w:r w:rsidRPr="003C73C9">
              <w:rPr>
                <w:rFonts w:ascii="Arial" w:hAnsi="Arial" w:cs="Arial"/>
                <w:color w:val="000000"/>
                <w:sz w:val="18"/>
                <w:szCs w:val="18"/>
              </w:rPr>
              <w:t>18,27 %</w:t>
            </w:r>
          </w:p>
        </w:tc>
        <w:tc>
          <w:tcPr>
            <w:tcW w:w="1417" w:type="dxa"/>
            <w:tcBorders>
              <w:top w:val="nil"/>
              <w:left w:val="nil"/>
              <w:bottom w:val="single" w:sz="4" w:space="0" w:color="auto"/>
              <w:right w:val="single" w:sz="4" w:space="0" w:color="auto"/>
            </w:tcBorders>
            <w:shd w:val="clear" w:color="auto" w:fill="auto"/>
            <w:noWrap/>
            <w:vAlign w:val="center"/>
            <w:hideMark/>
          </w:tcPr>
          <w:p w14:paraId="2D666522" w14:textId="77777777" w:rsidR="00E3750C" w:rsidRPr="003C73C9" w:rsidRDefault="00E3750C" w:rsidP="00047864">
            <w:pPr>
              <w:spacing w:after="0" w:line="240" w:lineRule="auto"/>
              <w:jc w:val="right"/>
              <w:rPr>
                <w:rFonts w:ascii="Arial" w:eastAsia="Times New Roman" w:hAnsi="Arial" w:cs="Arial"/>
                <w:color w:val="000000"/>
                <w:sz w:val="18"/>
                <w:szCs w:val="18"/>
                <w:lang w:eastAsia="sl-SI"/>
              </w:rPr>
            </w:pPr>
            <w:r w:rsidRPr="003C73C9">
              <w:rPr>
                <w:rFonts w:ascii="Arial" w:hAnsi="Arial" w:cs="Arial"/>
                <w:color w:val="000000"/>
                <w:sz w:val="18"/>
                <w:szCs w:val="18"/>
              </w:rPr>
              <w:t>11,47 %</w:t>
            </w:r>
          </w:p>
        </w:tc>
      </w:tr>
      <w:tr w:rsidR="00E3750C" w:rsidRPr="003C73C9" w14:paraId="0C445AFB" w14:textId="77777777" w:rsidTr="00047864">
        <w:trPr>
          <w:trHeight w:val="255"/>
        </w:trPr>
        <w:tc>
          <w:tcPr>
            <w:tcW w:w="959" w:type="dxa"/>
            <w:vMerge/>
            <w:tcBorders>
              <w:top w:val="nil"/>
              <w:left w:val="single" w:sz="4" w:space="0" w:color="auto"/>
              <w:bottom w:val="single" w:sz="4" w:space="0" w:color="auto"/>
              <w:right w:val="single" w:sz="4" w:space="0" w:color="auto"/>
            </w:tcBorders>
            <w:vAlign w:val="center"/>
            <w:hideMark/>
          </w:tcPr>
          <w:p w14:paraId="30FD3D2F" w14:textId="77777777" w:rsidR="00E3750C" w:rsidRPr="003C73C9" w:rsidRDefault="00E3750C" w:rsidP="00047864">
            <w:pPr>
              <w:spacing w:after="0" w:line="240" w:lineRule="auto"/>
              <w:rPr>
                <w:rFonts w:ascii="Arial" w:eastAsia="Times New Roman" w:hAnsi="Arial" w:cs="Arial"/>
                <w:color w:val="000000"/>
                <w:sz w:val="18"/>
                <w:szCs w:val="18"/>
                <w:lang w:eastAsia="sl-SI"/>
              </w:rPr>
            </w:pPr>
          </w:p>
        </w:tc>
        <w:tc>
          <w:tcPr>
            <w:tcW w:w="2991" w:type="dxa"/>
            <w:tcBorders>
              <w:top w:val="nil"/>
              <w:left w:val="nil"/>
              <w:bottom w:val="single" w:sz="4" w:space="0" w:color="auto"/>
              <w:right w:val="single" w:sz="4" w:space="0" w:color="auto"/>
            </w:tcBorders>
            <w:shd w:val="clear" w:color="auto" w:fill="auto"/>
            <w:vAlign w:val="center"/>
            <w:hideMark/>
          </w:tcPr>
          <w:p w14:paraId="7E21079E" w14:textId="77777777" w:rsidR="00E3750C" w:rsidRPr="003C73C9" w:rsidRDefault="00E3750C" w:rsidP="00047864">
            <w:pPr>
              <w:spacing w:after="0" w:line="240" w:lineRule="auto"/>
              <w:rPr>
                <w:rFonts w:ascii="Arial" w:eastAsia="Times New Roman" w:hAnsi="Arial" w:cs="Arial"/>
                <w:b/>
                <w:bCs/>
                <w:color w:val="000000"/>
                <w:sz w:val="18"/>
                <w:szCs w:val="18"/>
                <w:lang w:eastAsia="sl-SI"/>
              </w:rPr>
            </w:pPr>
            <w:r w:rsidRPr="003C73C9">
              <w:rPr>
                <w:rFonts w:ascii="Arial" w:eastAsia="Times New Roman" w:hAnsi="Arial" w:cs="Arial"/>
                <w:b/>
                <w:bCs/>
                <w:color w:val="000000"/>
                <w:sz w:val="18"/>
                <w:szCs w:val="18"/>
                <w:lang w:eastAsia="sl-SI"/>
              </w:rPr>
              <w:t>Skupaj</w:t>
            </w:r>
          </w:p>
        </w:tc>
        <w:tc>
          <w:tcPr>
            <w:tcW w:w="1134" w:type="dxa"/>
            <w:tcBorders>
              <w:top w:val="nil"/>
              <w:left w:val="nil"/>
              <w:bottom w:val="single" w:sz="4" w:space="0" w:color="auto"/>
              <w:right w:val="single" w:sz="4" w:space="0" w:color="auto"/>
            </w:tcBorders>
            <w:shd w:val="clear" w:color="auto" w:fill="auto"/>
            <w:vAlign w:val="center"/>
            <w:hideMark/>
          </w:tcPr>
          <w:p w14:paraId="542E268B" w14:textId="77777777" w:rsidR="00E3750C" w:rsidRPr="003C73C9" w:rsidRDefault="00E3750C" w:rsidP="00047864">
            <w:pPr>
              <w:spacing w:after="0" w:line="240" w:lineRule="auto"/>
              <w:jc w:val="right"/>
              <w:rPr>
                <w:rFonts w:ascii="Arial" w:eastAsia="Times New Roman" w:hAnsi="Arial" w:cs="Arial"/>
                <w:b/>
                <w:bCs/>
                <w:color w:val="000000"/>
                <w:sz w:val="18"/>
                <w:szCs w:val="18"/>
                <w:lang w:eastAsia="sl-SI"/>
              </w:rPr>
            </w:pPr>
            <w:r w:rsidRPr="003C73C9">
              <w:rPr>
                <w:rFonts w:ascii="Arial" w:hAnsi="Arial" w:cs="Arial"/>
                <w:b/>
                <w:bCs/>
                <w:color w:val="000000"/>
                <w:sz w:val="18"/>
                <w:szCs w:val="18"/>
              </w:rPr>
              <w:t>4.012</w:t>
            </w:r>
          </w:p>
        </w:tc>
        <w:tc>
          <w:tcPr>
            <w:tcW w:w="1432" w:type="dxa"/>
            <w:tcBorders>
              <w:top w:val="nil"/>
              <w:left w:val="nil"/>
              <w:bottom w:val="single" w:sz="4" w:space="0" w:color="auto"/>
              <w:right w:val="single" w:sz="4" w:space="0" w:color="auto"/>
            </w:tcBorders>
            <w:shd w:val="clear" w:color="auto" w:fill="auto"/>
            <w:vAlign w:val="center"/>
            <w:hideMark/>
          </w:tcPr>
          <w:p w14:paraId="09897CF0" w14:textId="77777777" w:rsidR="00E3750C" w:rsidRPr="003C73C9" w:rsidRDefault="00E3750C" w:rsidP="00047864">
            <w:pPr>
              <w:spacing w:after="0" w:line="240" w:lineRule="auto"/>
              <w:jc w:val="right"/>
              <w:rPr>
                <w:rFonts w:ascii="Arial" w:eastAsia="Times New Roman" w:hAnsi="Arial" w:cs="Arial"/>
                <w:b/>
                <w:bCs/>
                <w:color w:val="000000"/>
                <w:sz w:val="18"/>
                <w:szCs w:val="18"/>
                <w:lang w:eastAsia="sl-SI"/>
              </w:rPr>
            </w:pPr>
            <w:r w:rsidRPr="003C73C9">
              <w:rPr>
                <w:rFonts w:ascii="Arial" w:hAnsi="Arial" w:cs="Arial"/>
                <w:b/>
                <w:bCs/>
                <w:color w:val="000000"/>
                <w:sz w:val="18"/>
                <w:szCs w:val="18"/>
              </w:rPr>
              <w:t>1.744.765.689</w:t>
            </w:r>
          </w:p>
        </w:tc>
        <w:tc>
          <w:tcPr>
            <w:tcW w:w="1276" w:type="dxa"/>
            <w:tcBorders>
              <w:top w:val="nil"/>
              <w:left w:val="nil"/>
              <w:bottom w:val="single" w:sz="4" w:space="0" w:color="auto"/>
              <w:right w:val="single" w:sz="4" w:space="0" w:color="auto"/>
            </w:tcBorders>
            <w:shd w:val="clear" w:color="auto" w:fill="auto"/>
            <w:vAlign w:val="center"/>
            <w:hideMark/>
          </w:tcPr>
          <w:p w14:paraId="7A8ABFE0" w14:textId="77777777" w:rsidR="00E3750C" w:rsidRPr="003C73C9" w:rsidRDefault="00E3750C" w:rsidP="00047864">
            <w:pPr>
              <w:spacing w:after="0" w:line="240" w:lineRule="auto"/>
              <w:jc w:val="right"/>
              <w:rPr>
                <w:rFonts w:ascii="Arial" w:eastAsia="Times New Roman" w:hAnsi="Arial" w:cs="Arial"/>
                <w:b/>
                <w:bCs/>
                <w:color w:val="000000"/>
                <w:sz w:val="18"/>
                <w:szCs w:val="18"/>
                <w:lang w:eastAsia="sl-SI"/>
              </w:rPr>
            </w:pPr>
            <w:r w:rsidRPr="003C73C9">
              <w:rPr>
                <w:rFonts w:ascii="Arial" w:hAnsi="Arial" w:cs="Arial"/>
                <w:b/>
                <w:bCs/>
                <w:color w:val="000000"/>
                <w:sz w:val="18"/>
                <w:szCs w:val="18"/>
              </w:rPr>
              <w:t>100,00 %</w:t>
            </w:r>
          </w:p>
        </w:tc>
        <w:tc>
          <w:tcPr>
            <w:tcW w:w="1417" w:type="dxa"/>
            <w:tcBorders>
              <w:top w:val="nil"/>
              <w:left w:val="nil"/>
              <w:bottom w:val="single" w:sz="4" w:space="0" w:color="auto"/>
              <w:right w:val="single" w:sz="4" w:space="0" w:color="auto"/>
            </w:tcBorders>
            <w:shd w:val="clear" w:color="auto" w:fill="auto"/>
            <w:vAlign w:val="center"/>
            <w:hideMark/>
          </w:tcPr>
          <w:p w14:paraId="37EFF986" w14:textId="77777777" w:rsidR="00E3750C" w:rsidRPr="003C73C9" w:rsidRDefault="00E3750C" w:rsidP="00047864">
            <w:pPr>
              <w:spacing w:after="0" w:line="240" w:lineRule="auto"/>
              <w:jc w:val="right"/>
              <w:rPr>
                <w:rFonts w:ascii="Arial" w:eastAsia="Times New Roman" w:hAnsi="Arial" w:cs="Arial"/>
                <w:b/>
                <w:bCs/>
                <w:color w:val="000000"/>
                <w:sz w:val="18"/>
                <w:szCs w:val="18"/>
                <w:lang w:eastAsia="sl-SI"/>
              </w:rPr>
            </w:pPr>
            <w:r w:rsidRPr="003C73C9">
              <w:rPr>
                <w:rFonts w:ascii="Arial" w:hAnsi="Arial" w:cs="Arial"/>
                <w:b/>
                <w:bCs/>
                <w:color w:val="000000"/>
                <w:sz w:val="18"/>
                <w:szCs w:val="18"/>
              </w:rPr>
              <w:t>100,00 %</w:t>
            </w:r>
          </w:p>
        </w:tc>
      </w:tr>
      <w:tr w:rsidR="00E3750C" w:rsidRPr="003C73C9" w14:paraId="18C76116" w14:textId="77777777" w:rsidTr="00047864">
        <w:trPr>
          <w:trHeight w:val="255"/>
        </w:trPr>
        <w:tc>
          <w:tcPr>
            <w:tcW w:w="959" w:type="dxa"/>
            <w:vMerge w:val="restart"/>
            <w:tcBorders>
              <w:top w:val="nil"/>
              <w:left w:val="single" w:sz="4" w:space="0" w:color="auto"/>
              <w:bottom w:val="single" w:sz="4" w:space="0" w:color="auto"/>
              <w:right w:val="single" w:sz="4" w:space="0" w:color="auto"/>
            </w:tcBorders>
            <w:shd w:val="clear" w:color="auto" w:fill="auto"/>
            <w:vAlign w:val="center"/>
            <w:hideMark/>
          </w:tcPr>
          <w:p w14:paraId="356305BB" w14:textId="77777777" w:rsidR="00E3750C" w:rsidRPr="003C73C9" w:rsidRDefault="00E3750C" w:rsidP="00047864">
            <w:pPr>
              <w:spacing w:after="0" w:line="240" w:lineRule="auto"/>
              <w:rPr>
                <w:rFonts w:ascii="Arial" w:eastAsia="Times New Roman" w:hAnsi="Arial" w:cs="Arial"/>
                <w:color w:val="000000"/>
                <w:sz w:val="18"/>
                <w:szCs w:val="18"/>
                <w:lang w:eastAsia="sl-SI"/>
              </w:rPr>
            </w:pPr>
            <w:r w:rsidRPr="003C73C9">
              <w:rPr>
                <w:rFonts w:ascii="Arial" w:eastAsia="Times New Roman" w:hAnsi="Arial" w:cs="Arial"/>
                <w:color w:val="000000"/>
                <w:sz w:val="18"/>
                <w:szCs w:val="18"/>
                <w:lang w:eastAsia="sl-SI"/>
              </w:rPr>
              <w:t>Gradnje</w:t>
            </w:r>
          </w:p>
        </w:tc>
        <w:tc>
          <w:tcPr>
            <w:tcW w:w="2991" w:type="dxa"/>
            <w:tcBorders>
              <w:top w:val="nil"/>
              <w:left w:val="nil"/>
              <w:bottom w:val="single" w:sz="4" w:space="0" w:color="auto"/>
              <w:right w:val="single" w:sz="4" w:space="0" w:color="auto"/>
            </w:tcBorders>
            <w:shd w:val="clear" w:color="auto" w:fill="auto"/>
            <w:vAlign w:val="center"/>
            <w:hideMark/>
          </w:tcPr>
          <w:p w14:paraId="32DFB9C4" w14:textId="77777777" w:rsidR="00E3750C" w:rsidRPr="003C73C9" w:rsidRDefault="00E3750C" w:rsidP="00047864">
            <w:pPr>
              <w:spacing w:after="0" w:line="240" w:lineRule="auto"/>
              <w:rPr>
                <w:rFonts w:ascii="Arial" w:eastAsia="Times New Roman" w:hAnsi="Arial" w:cs="Arial"/>
                <w:color w:val="000000"/>
                <w:sz w:val="18"/>
                <w:szCs w:val="18"/>
                <w:lang w:eastAsia="sl-SI"/>
              </w:rPr>
            </w:pPr>
            <w:r w:rsidRPr="003C73C9">
              <w:rPr>
                <w:rFonts w:ascii="Arial" w:eastAsia="Times New Roman" w:hAnsi="Arial" w:cs="Arial"/>
                <w:color w:val="000000"/>
                <w:sz w:val="18"/>
                <w:szCs w:val="18"/>
                <w:lang w:eastAsia="sl-SI"/>
              </w:rPr>
              <w:t>Cena</w:t>
            </w:r>
          </w:p>
        </w:tc>
        <w:tc>
          <w:tcPr>
            <w:tcW w:w="1134" w:type="dxa"/>
            <w:tcBorders>
              <w:top w:val="nil"/>
              <w:left w:val="nil"/>
              <w:bottom w:val="single" w:sz="4" w:space="0" w:color="auto"/>
              <w:right w:val="single" w:sz="4" w:space="0" w:color="auto"/>
            </w:tcBorders>
            <w:shd w:val="clear" w:color="auto" w:fill="auto"/>
            <w:vAlign w:val="center"/>
            <w:hideMark/>
          </w:tcPr>
          <w:p w14:paraId="4BE65E15" w14:textId="77777777" w:rsidR="00E3750C" w:rsidRPr="003C73C9" w:rsidRDefault="00E3750C" w:rsidP="00047864">
            <w:pPr>
              <w:spacing w:after="0" w:line="240" w:lineRule="auto"/>
              <w:jc w:val="right"/>
              <w:rPr>
                <w:rFonts w:ascii="Arial" w:eastAsia="Times New Roman" w:hAnsi="Arial" w:cs="Arial"/>
                <w:color w:val="000000"/>
                <w:sz w:val="18"/>
                <w:szCs w:val="18"/>
                <w:lang w:eastAsia="sl-SI"/>
              </w:rPr>
            </w:pPr>
            <w:r w:rsidRPr="003C73C9">
              <w:rPr>
                <w:rFonts w:ascii="Arial" w:hAnsi="Arial" w:cs="Arial"/>
                <w:color w:val="000000"/>
                <w:sz w:val="18"/>
                <w:szCs w:val="18"/>
              </w:rPr>
              <w:t>1.732</w:t>
            </w:r>
          </w:p>
        </w:tc>
        <w:tc>
          <w:tcPr>
            <w:tcW w:w="1432" w:type="dxa"/>
            <w:tcBorders>
              <w:top w:val="nil"/>
              <w:left w:val="nil"/>
              <w:bottom w:val="single" w:sz="4" w:space="0" w:color="auto"/>
              <w:right w:val="single" w:sz="4" w:space="0" w:color="auto"/>
            </w:tcBorders>
            <w:shd w:val="clear" w:color="auto" w:fill="auto"/>
            <w:vAlign w:val="center"/>
            <w:hideMark/>
          </w:tcPr>
          <w:p w14:paraId="5FB42936" w14:textId="77777777" w:rsidR="00E3750C" w:rsidRPr="003C73C9" w:rsidRDefault="00E3750C" w:rsidP="00047864">
            <w:pPr>
              <w:spacing w:after="0" w:line="240" w:lineRule="auto"/>
              <w:jc w:val="right"/>
              <w:rPr>
                <w:rFonts w:ascii="Arial" w:eastAsia="Times New Roman" w:hAnsi="Arial" w:cs="Arial"/>
                <w:color w:val="000000"/>
                <w:sz w:val="18"/>
                <w:szCs w:val="18"/>
                <w:lang w:eastAsia="sl-SI"/>
              </w:rPr>
            </w:pPr>
            <w:r w:rsidRPr="003C73C9">
              <w:rPr>
                <w:rFonts w:ascii="Arial" w:hAnsi="Arial" w:cs="Arial"/>
                <w:color w:val="000000"/>
                <w:sz w:val="18"/>
                <w:szCs w:val="18"/>
              </w:rPr>
              <w:t>1.840.104.823</w:t>
            </w:r>
          </w:p>
        </w:tc>
        <w:tc>
          <w:tcPr>
            <w:tcW w:w="1276" w:type="dxa"/>
            <w:tcBorders>
              <w:top w:val="nil"/>
              <w:left w:val="nil"/>
              <w:bottom w:val="single" w:sz="4" w:space="0" w:color="auto"/>
              <w:right w:val="single" w:sz="4" w:space="0" w:color="auto"/>
            </w:tcBorders>
            <w:shd w:val="clear" w:color="auto" w:fill="auto"/>
            <w:noWrap/>
            <w:vAlign w:val="center"/>
            <w:hideMark/>
          </w:tcPr>
          <w:p w14:paraId="1D9DF7CD" w14:textId="77777777" w:rsidR="00E3750C" w:rsidRPr="003C73C9" w:rsidRDefault="00E3750C" w:rsidP="00047864">
            <w:pPr>
              <w:spacing w:after="0" w:line="240" w:lineRule="auto"/>
              <w:jc w:val="right"/>
              <w:rPr>
                <w:rFonts w:ascii="Arial" w:eastAsia="Times New Roman" w:hAnsi="Arial" w:cs="Arial"/>
                <w:color w:val="000000"/>
                <w:sz w:val="18"/>
                <w:szCs w:val="18"/>
                <w:lang w:eastAsia="sl-SI"/>
              </w:rPr>
            </w:pPr>
            <w:r w:rsidRPr="003C73C9">
              <w:rPr>
                <w:rFonts w:ascii="Arial" w:hAnsi="Arial" w:cs="Arial"/>
                <w:color w:val="000000"/>
                <w:sz w:val="18"/>
                <w:szCs w:val="18"/>
              </w:rPr>
              <w:t>98,69 %</w:t>
            </w:r>
          </w:p>
        </w:tc>
        <w:tc>
          <w:tcPr>
            <w:tcW w:w="1417" w:type="dxa"/>
            <w:tcBorders>
              <w:top w:val="nil"/>
              <w:left w:val="nil"/>
              <w:bottom w:val="single" w:sz="4" w:space="0" w:color="auto"/>
              <w:right w:val="single" w:sz="4" w:space="0" w:color="auto"/>
            </w:tcBorders>
            <w:shd w:val="clear" w:color="auto" w:fill="auto"/>
            <w:noWrap/>
            <w:vAlign w:val="center"/>
            <w:hideMark/>
          </w:tcPr>
          <w:p w14:paraId="50383EA0" w14:textId="77777777" w:rsidR="00E3750C" w:rsidRPr="003C73C9" w:rsidRDefault="00E3750C" w:rsidP="00047864">
            <w:pPr>
              <w:spacing w:after="0" w:line="240" w:lineRule="auto"/>
              <w:jc w:val="right"/>
              <w:rPr>
                <w:rFonts w:ascii="Arial" w:eastAsia="Times New Roman" w:hAnsi="Arial" w:cs="Arial"/>
                <w:color w:val="000000"/>
                <w:sz w:val="18"/>
                <w:szCs w:val="18"/>
                <w:lang w:eastAsia="sl-SI"/>
              </w:rPr>
            </w:pPr>
            <w:r w:rsidRPr="003C73C9">
              <w:rPr>
                <w:rFonts w:ascii="Arial" w:hAnsi="Arial" w:cs="Arial"/>
                <w:color w:val="000000"/>
                <w:sz w:val="18"/>
                <w:szCs w:val="18"/>
              </w:rPr>
              <w:t>98,85 %</w:t>
            </w:r>
          </w:p>
        </w:tc>
      </w:tr>
      <w:tr w:rsidR="00E3750C" w:rsidRPr="003C73C9" w14:paraId="4C5EF35D" w14:textId="77777777" w:rsidTr="00047864">
        <w:trPr>
          <w:trHeight w:val="255"/>
        </w:trPr>
        <w:tc>
          <w:tcPr>
            <w:tcW w:w="959" w:type="dxa"/>
            <w:vMerge/>
            <w:tcBorders>
              <w:top w:val="nil"/>
              <w:left w:val="single" w:sz="4" w:space="0" w:color="auto"/>
              <w:bottom w:val="single" w:sz="4" w:space="0" w:color="auto"/>
              <w:right w:val="single" w:sz="4" w:space="0" w:color="auto"/>
            </w:tcBorders>
            <w:vAlign w:val="center"/>
            <w:hideMark/>
          </w:tcPr>
          <w:p w14:paraId="33E43E1E" w14:textId="77777777" w:rsidR="00E3750C" w:rsidRPr="003C73C9" w:rsidRDefault="00E3750C" w:rsidP="00047864">
            <w:pPr>
              <w:spacing w:after="0" w:line="240" w:lineRule="auto"/>
              <w:rPr>
                <w:rFonts w:ascii="Arial" w:eastAsia="Times New Roman" w:hAnsi="Arial" w:cs="Arial"/>
                <w:color w:val="000000"/>
                <w:sz w:val="18"/>
                <w:szCs w:val="18"/>
                <w:lang w:eastAsia="sl-SI"/>
              </w:rPr>
            </w:pPr>
          </w:p>
        </w:tc>
        <w:tc>
          <w:tcPr>
            <w:tcW w:w="2991" w:type="dxa"/>
            <w:tcBorders>
              <w:top w:val="nil"/>
              <w:left w:val="nil"/>
              <w:bottom w:val="single" w:sz="4" w:space="0" w:color="auto"/>
              <w:right w:val="single" w:sz="4" w:space="0" w:color="auto"/>
            </w:tcBorders>
            <w:shd w:val="clear" w:color="auto" w:fill="auto"/>
            <w:vAlign w:val="center"/>
            <w:hideMark/>
          </w:tcPr>
          <w:p w14:paraId="562FD66B" w14:textId="77777777" w:rsidR="00E3750C" w:rsidRPr="003C73C9" w:rsidRDefault="00E3750C" w:rsidP="00047864">
            <w:pPr>
              <w:spacing w:after="0" w:line="240" w:lineRule="auto"/>
              <w:rPr>
                <w:rFonts w:ascii="Arial" w:eastAsia="Times New Roman" w:hAnsi="Arial" w:cs="Arial"/>
                <w:color w:val="000000"/>
                <w:sz w:val="18"/>
                <w:szCs w:val="18"/>
                <w:lang w:eastAsia="sl-SI"/>
              </w:rPr>
            </w:pPr>
            <w:r w:rsidRPr="003C73C9">
              <w:rPr>
                <w:rFonts w:ascii="Arial" w:eastAsia="Times New Roman" w:hAnsi="Arial" w:cs="Arial"/>
                <w:color w:val="000000"/>
                <w:sz w:val="18"/>
                <w:szCs w:val="18"/>
                <w:lang w:eastAsia="sl-SI"/>
              </w:rPr>
              <w:t>Ekonomsko najugodnejša ponudba</w:t>
            </w:r>
          </w:p>
        </w:tc>
        <w:tc>
          <w:tcPr>
            <w:tcW w:w="1134" w:type="dxa"/>
            <w:tcBorders>
              <w:top w:val="nil"/>
              <w:left w:val="nil"/>
              <w:bottom w:val="single" w:sz="4" w:space="0" w:color="auto"/>
              <w:right w:val="single" w:sz="4" w:space="0" w:color="auto"/>
            </w:tcBorders>
            <w:shd w:val="clear" w:color="auto" w:fill="auto"/>
            <w:vAlign w:val="center"/>
            <w:hideMark/>
          </w:tcPr>
          <w:p w14:paraId="0441B8B1" w14:textId="77777777" w:rsidR="00E3750C" w:rsidRPr="003C73C9" w:rsidRDefault="00E3750C" w:rsidP="00047864">
            <w:pPr>
              <w:spacing w:after="0" w:line="240" w:lineRule="auto"/>
              <w:jc w:val="right"/>
              <w:rPr>
                <w:rFonts w:ascii="Arial" w:eastAsia="Times New Roman" w:hAnsi="Arial" w:cs="Arial"/>
                <w:color w:val="000000"/>
                <w:sz w:val="18"/>
                <w:szCs w:val="18"/>
                <w:lang w:eastAsia="sl-SI"/>
              </w:rPr>
            </w:pPr>
            <w:r w:rsidRPr="003C73C9">
              <w:rPr>
                <w:rFonts w:ascii="Arial" w:hAnsi="Arial" w:cs="Arial"/>
                <w:color w:val="000000"/>
                <w:sz w:val="18"/>
                <w:szCs w:val="18"/>
              </w:rPr>
              <w:t>23</w:t>
            </w:r>
          </w:p>
        </w:tc>
        <w:tc>
          <w:tcPr>
            <w:tcW w:w="1432" w:type="dxa"/>
            <w:tcBorders>
              <w:top w:val="nil"/>
              <w:left w:val="nil"/>
              <w:bottom w:val="single" w:sz="4" w:space="0" w:color="auto"/>
              <w:right w:val="single" w:sz="4" w:space="0" w:color="auto"/>
            </w:tcBorders>
            <w:shd w:val="clear" w:color="auto" w:fill="auto"/>
            <w:vAlign w:val="center"/>
            <w:hideMark/>
          </w:tcPr>
          <w:p w14:paraId="68570E67" w14:textId="77777777" w:rsidR="00E3750C" w:rsidRPr="003C73C9" w:rsidRDefault="00E3750C" w:rsidP="00047864">
            <w:pPr>
              <w:spacing w:after="0" w:line="240" w:lineRule="auto"/>
              <w:jc w:val="right"/>
              <w:rPr>
                <w:rFonts w:ascii="Arial" w:eastAsia="Times New Roman" w:hAnsi="Arial" w:cs="Arial"/>
                <w:color w:val="000000"/>
                <w:sz w:val="18"/>
                <w:szCs w:val="18"/>
                <w:lang w:eastAsia="sl-SI"/>
              </w:rPr>
            </w:pPr>
            <w:r w:rsidRPr="003C73C9">
              <w:rPr>
                <w:rFonts w:ascii="Arial" w:hAnsi="Arial" w:cs="Arial"/>
                <w:color w:val="000000"/>
                <w:sz w:val="18"/>
                <w:szCs w:val="18"/>
              </w:rPr>
              <w:t>21.462.372</w:t>
            </w:r>
          </w:p>
        </w:tc>
        <w:tc>
          <w:tcPr>
            <w:tcW w:w="1276" w:type="dxa"/>
            <w:tcBorders>
              <w:top w:val="nil"/>
              <w:left w:val="nil"/>
              <w:bottom w:val="single" w:sz="4" w:space="0" w:color="auto"/>
              <w:right w:val="single" w:sz="4" w:space="0" w:color="auto"/>
            </w:tcBorders>
            <w:shd w:val="clear" w:color="auto" w:fill="auto"/>
            <w:noWrap/>
            <w:vAlign w:val="center"/>
            <w:hideMark/>
          </w:tcPr>
          <w:p w14:paraId="6ED076C8" w14:textId="77777777" w:rsidR="00E3750C" w:rsidRPr="003C73C9" w:rsidRDefault="00E3750C" w:rsidP="00047864">
            <w:pPr>
              <w:spacing w:after="0" w:line="240" w:lineRule="auto"/>
              <w:jc w:val="right"/>
              <w:rPr>
                <w:rFonts w:ascii="Arial" w:eastAsia="Times New Roman" w:hAnsi="Arial" w:cs="Arial"/>
                <w:color w:val="000000"/>
                <w:sz w:val="18"/>
                <w:szCs w:val="18"/>
                <w:lang w:eastAsia="sl-SI"/>
              </w:rPr>
            </w:pPr>
            <w:r w:rsidRPr="003C73C9">
              <w:rPr>
                <w:rFonts w:ascii="Arial" w:hAnsi="Arial" w:cs="Arial"/>
                <w:color w:val="000000"/>
                <w:sz w:val="18"/>
                <w:szCs w:val="18"/>
              </w:rPr>
              <w:t>1,31 %</w:t>
            </w:r>
          </w:p>
        </w:tc>
        <w:tc>
          <w:tcPr>
            <w:tcW w:w="1417" w:type="dxa"/>
            <w:tcBorders>
              <w:top w:val="nil"/>
              <w:left w:val="nil"/>
              <w:bottom w:val="single" w:sz="4" w:space="0" w:color="auto"/>
              <w:right w:val="single" w:sz="4" w:space="0" w:color="auto"/>
            </w:tcBorders>
            <w:shd w:val="clear" w:color="auto" w:fill="auto"/>
            <w:noWrap/>
            <w:vAlign w:val="center"/>
            <w:hideMark/>
          </w:tcPr>
          <w:p w14:paraId="4E69D00A" w14:textId="77777777" w:rsidR="00E3750C" w:rsidRPr="003C73C9" w:rsidRDefault="00E3750C" w:rsidP="00047864">
            <w:pPr>
              <w:spacing w:after="0" w:line="240" w:lineRule="auto"/>
              <w:jc w:val="right"/>
              <w:rPr>
                <w:rFonts w:ascii="Arial" w:eastAsia="Times New Roman" w:hAnsi="Arial" w:cs="Arial"/>
                <w:color w:val="000000"/>
                <w:sz w:val="18"/>
                <w:szCs w:val="18"/>
                <w:lang w:eastAsia="sl-SI"/>
              </w:rPr>
            </w:pPr>
            <w:r w:rsidRPr="003C73C9">
              <w:rPr>
                <w:rFonts w:ascii="Arial" w:hAnsi="Arial" w:cs="Arial"/>
                <w:color w:val="000000"/>
                <w:sz w:val="18"/>
                <w:szCs w:val="18"/>
              </w:rPr>
              <w:t>1,15 %</w:t>
            </w:r>
          </w:p>
        </w:tc>
      </w:tr>
      <w:tr w:rsidR="00E3750C" w:rsidRPr="003C73C9" w14:paraId="3FFBACB3" w14:textId="77777777" w:rsidTr="00047864">
        <w:trPr>
          <w:trHeight w:val="255"/>
        </w:trPr>
        <w:tc>
          <w:tcPr>
            <w:tcW w:w="959" w:type="dxa"/>
            <w:vMerge/>
            <w:tcBorders>
              <w:top w:val="nil"/>
              <w:left w:val="single" w:sz="4" w:space="0" w:color="auto"/>
              <w:bottom w:val="single" w:sz="4" w:space="0" w:color="auto"/>
              <w:right w:val="single" w:sz="4" w:space="0" w:color="auto"/>
            </w:tcBorders>
            <w:vAlign w:val="center"/>
            <w:hideMark/>
          </w:tcPr>
          <w:p w14:paraId="71AB078E" w14:textId="77777777" w:rsidR="00E3750C" w:rsidRPr="003C73C9" w:rsidRDefault="00E3750C" w:rsidP="00047864">
            <w:pPr>
              <w:spacing w:after="0" w:line="240" w:lineRule="auto"/>
              <w:rPr>
                <w:rFonts w:ascii="Arial" w:eastAsia="Times New Roman" w:hAnsi="Arial" w:cs="Arial"/>
                <w:color w:val="000000"/>
                <w:sz w:val="18"/>
                <w:szCs w:val="18"/>
                <w:lang w:eastAsia="sl-SI"/>
              </w:rPr>
            </w:pPr>
          </w:p>
        </w:tc>
        <w:tc>
          <w:tcPr>
            <w:tcW w:w="2991" w:type="dxa"/>
            <w:tcBorders>
              <w:top w:val="nil"/>
              <w:left w:val="nil"/>
              <w:bottom w:val="single" w:sz="4" w:space="0" w:color="auto"/>
              <w:right w:val="single" w:sz="4" w:space="0" w:color="auto"/>
            </w:tcBorders>
            <w:shd w:val="clear" w:color="auto" w:fill="auto"/>
            <w:vAlign w:val="center"/>
            <w:hideMark/>
          </w:tcPr>
          <w:p w14:paraId="494DCB72" w14:textId="77777777" w:rsidR="00E3750C" w:rsidRPr="003C73C9" w:rsidRDefault="00E3750C" w:rsidP="00047864">
            <w:pPr>
              <w:spacing w:after="0" w:line="240" w:lineRule="auto"/>
              <w:rPr>
                <w:rFonts w:ascii="Arial" w:eastAsia="Times New Roman" w:hAnsi="Arial" w:cs="Arial"/>
                <w:b/>
                <w:bCs/>
                <w:color w:val="000000"/>
                <w:sz w:val="18"/>
                <w:szCs w:val="18"/>
                <w:lang w:eastAsia="sl-SI"/>
              </w:rPr>
            </w:pPr>
            <w:r w:rsidRPr="003C73C9">
              <w:rPr>
                <w:rFonts w:ascii="Arial" w:eastAsia="Times New Roman" w:hAnsi="Arial" w:cs="Arial"/>
                <w:b/>
                <w:bCs/>
                <w:color w:val="000000"/>
                <w:sz w:val="18"/>
                <w:szCs w:val="18"/>
                <w:lang w:eastAsia="sl-SI"/>
              </w:rPr>
              <w:t>Skupaj</w:t>
            </w:r>
          </w:p>
        </w:tc>
        <w:tc>
          <w:tcPr>
            <w:tcW w:w="1134" w:type="dxa"/>
            <w:tcBorders>
              <w:top w:val="nil"/>
              <w:left w:val="nil"/>
              <w:bottom w:val="single" w:sz="4" w:space="0" w:color="auto"/>
              <w:right w:val="single" w:sz="4" w:space="0" w:color="auto"/>
            </w:tcBorders>
            <w:shd w:val="clear" w:color="auto" w:fill="auto"/>
            <w:noWrap/>
            <w:vAlign w:val="center"/>
            <w:hideMark/>
          </w:tcPr>
          <w:p w14:paraId="4882ADCE" w14:textId="77777777" w:rsidR="00E3750C" w:rsidRPr="003C73C9" w:rsidRDefault="00E3750C" w:rsidP="00047864">
            <w:pPr>
              <w:spacing w:after="0" w:line="240" w:lineRule="auto"/>
              <w:jc w:val="right"/>
              <w:rPr>
                <w:rFonts w:ascii="Arial" w:eastAsia="Times New Roman" w:hAnsi="Arial" w:cs="Arial"/>
                <w:b/>
                <w:bCs/>
                <w:color w:val="000000"/>
                <w:sz w:val="18"/>
                <w:szCs w:val="18"/>
                <w:lang w:eastAsia="sl-SI"/>
              </w:rPr>
            </w:pPr>
            <w:r w:rsidRPr="003C73C9">
              <w:rPr>
                <w:rFonts w:ascii="Arial" w:hAnsi="Arial" w:cs="Arial"/>
                <w:b/>
                <w:bCs/>
                <w:color w:val="000000"/>
                <w:sz w:val="18"/>
                <w:szCs w:val="18"/>
              </w:rPr>
              <w:t>1.755</w:t>
            </w:r>
          </w:p>
        </w:tc>
        <w:tc>
          <w:tcPr>
            <w:tcW w:w="1432" w:type="dxa"/>
            <w:tcBorders>
              <w:top w:val="nil"/>
              <w:left w:val="nil"/>
              <w:bottom w:val="single" w:sz="4" w:space="0" w:color="auto"/>
              <w:right w:val="single" w:sz="4" w:space="0" w:color="auto"/>
            </w:tcBorders>
            <w:shd w:val="clear" w:color="auto" w:fill="auto"/>
            <w:noWrap/>
            <w:vAlign w:val="center"/>
            <w:hideMark/>
          </w:tcPr>
          <w:p w14:paraId="5852860F" w14:textId="77777777" w:rsidR="00E3750C" w:rsidRPr="003C73C9" w:rsidRDefault="00E3750C" w:rsidP="00047864">
            <w:pPr>
              <w:spacing w:after="0" w:line="240" w:lineRule="auto"/>
              <w:jc w:val="right"/>
              <w:rPr>
                <w:rFonts w:ascii="Arial" w:eastAsia="Times New Roman" w:hAnsi="Arial" w:cs="Arial"/>
                <w:b/>
                <w:bCs/>
                <w:color w:val="000000"/>
                <w:sz w:val="18"/>
                <w:szCs w:val="18"/>
                <w:lang w:eastAsia="sl-SI"/>
              </w:rPr>
            </w:pPr>
            <w:r w:rsidRPr="003C73C9">
              <w:rPr>
                <w:rFonts w:ascii="Arial" w:hAnsi="Arial" w:cs="Arial"/>
                <w:b/>
                <w:bCs/>
                <w:color w:val="000000"/>
                <w:sz w:val="18"/>
                <w:szCs w:val="18"/>
              </w:rPr>
              <w:t>1.861.567.195</w:t>
            </w:r>
          </w:p>
        </w:tc>
        <w:tc>
          <w:tcPr>
            <w:tcW w:w="1276" w:type="dxa"/>
            <w:tcBorders>
              <w:top w:val="nil"/>
              <w:left w:val="nil"/>
              <w:bottom w:val="single" w:sz="4" w:space="0" w:color="auto"/>
              <w:right w:val="single" w:sz="4" w:space="0" w:color="auto"/>
            </w:tcBorders>
            <w:shd w:val="clear" w:color="auto" w:fill="auto"/>
            <w:vAlign w:val="center"/>
            <w:hideMark/>
          </w:tcPr>
          <w:p w14:paraId="70EDDF90" w14:textId="77777777" w:rsidR="00E3750C" w:rsidRPr="003C73C9" w:rsidRDefault="00E3750C" w:rsidP="00047864">
            <w:pPr>
              <w:spacing w:after="0" w:line="240" w:lineRule="auto"/>
              <w:jc w:val="right"/>
              <w:rPr>
                <w:rFonts w:ascii="Arial" w:eastAsia="Times New Roman" w:hAnsi="Arial" w:cs="Arial"/>
                <w:b/>
                <w:bCs/>
                <w:color w:val="000000"/>
                <w:sz w:val="18"/>
                <w:szCs w:val="18"/>
                <w:lang w:eastAsia="sl-SI"/>
              </w:rPr>
            </w:pPr>
            <w:r w:rsidRPr="003C73C9">
              <w:rPr>
                <w:rFonts w:ascii="Arial" w:hAnsi="Arial" w:cs="Arial"/>
                <w:b/>
                <w:bCs/>
                <w:color w:val="000000"/>
                <w:sz w:val="18"/>
                <w:szCs w:val="18"/>
              </w:rPr>
              <w:t>100,00 %</w:t>
            </w:r>
          </w:p>
        </w:tc>
        <w:tc>
          <w:tcPr>
            <w:tcW w:w="1417" w:type="dxa"/>
            <w:tcBorders>
              <w:top w:val="nil"/>
              <w:left w:val="nil"/>
              <w:bottom w:val="single" w:sz="4" w:space="0" w:color="auto"/>
              <w:right w:val="single" w:sz="4" w:space="0" w:color="auto"/>
            </w:tcBorders>
            <w:shd w:val="clear" w:color="auto" w:fill="auto"/>
            <w:vAlign w:val="center"/>
            <w:hideMark/>
          </w:tcPr>
          <w:p w14:paraId="70A689A7" w14:textId="77777777" w:rsidR="00E3750C" w:rsidRPr="003C73C9" w:rsidRDefault="00E3750C" w:rsidP="00047864">
            <w:pPr>
              <w:spacing w:after="0" w:line="240" w:lineRule="auto"/>
              <w:jc w:val="right"/>
              <w:rPr>
                <w:rFonts w:ascii="Arial" w:eastAsia="Times New Roman" w:hAnsi="Arial" w:cs="Arial"/>
                <w:b/>
                <w:bCs/>
                <w:color w:val="000000"/>
                <w:sz w:val="18"/>
                <w:szCs w:val="18"/>
                <w:lang w:eastAsia="sl-SI"/>
              </w:rPr>
            </w:pPr>
            <w:r w:rsidRPr="003C73C9">
              <w:rPr>
                <w:rFonts w:ascii="Arial" w:hAnsi="Arial" w:cs="Arial"/>
                <w:b/>
                <w:bCs/>
                <w:color w:val="000000"/>
                <w:sz w:val="18"/>
                <w:szCs w:val="18"/>
              </w:rPr>
              <w:t>100,00 %</w:t>
            </w:r>
          </w:p>
        </w:tc>
      </w:tr>
      <w:tr w:rsidR="00E3750C" w:rsidRPr="003C73C9" w14:paraId="3D3ACF75" w14:textId="77777777" w:rsidTr="00047864">
        <w:trPr>
          <w:gridAfter w:val="2"/>
          <w:wAfter w:w="2693" w:type="dxa"/>
          <w:trHeight w:val="255"/>
        </w:trPr>
        <w:tc>
          <w:tcPr>
            <w:tcW w:w="39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1D318F" w14:textId="77777777" w:rsidR="00E3750C" w:rsidRPr="003C73C9" w:rsidRDefault="00E3750C" w:rsidP="00047864">
            <w:pPr>
              <w:spacing w:after="0" w:line="240" w:lineRule="auto"/>
              <w:rPr>
                <w:rFonts w:ascii="Arial" w:eastAsia="Times New Roman" w:hAnsi="Arial" w:cs="Arial"/>
                <w:b/>
                <w:bCs/>
                <w:color w:val="000000"/>
                <w:sz w:val="18"/>
                <w:szCs w:val="18"/>
                <w:lang w:eastAsia="sl-SI"/>
              </w:rPr>
            </w:pPr>
            <w:r w:rsidRPr="003C73C9">
              <w:rPr>
                <w:rFonts w:ascii="Arial" w:eastAsia="Times New Roman" w:hAnsi="Arial" w:cs="Arial"/>
                <w:b/>
                <w:bCs/>
                <w:color w:val="000000"/>
                <w:sz w:val="18"/>
                <w:szCs w:val="18"/>
                <w:lang w:eastAsia="sl-SI"/>
              </w:rPr>
              <w:t>Skupaj</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hideMark/>
          </w:tcPr>
          <w:p w14:paraId="3C030F52" w14:textId="77777777" w:rsidR="00E3750C" w:rsidRPr="003C73C9" w:rsidRDefault="00E3750C" w:rsidP="00047864">
            <w:pPr>
              <w:spacing w:after="0" w:line="240" w:lineRule="auto"/>
              <w:jc w:val="right"/>
              <w:rPr>
                <w:rFonts w:ascii="Arial" w:eastAsia="Times New Roman" w:hAnsi="Arial" w:cs="Arial"/>
                <w:b/>
                <w:bCs/>
                <w:color w:val="000000"/>
                <w:sz w:val="18"/>
                <w:szCs w:val="18"/>
                <w:lang w:eastAsia="sl-SI"/>
              </w:rPr>
            </w:pPr>
            <w:r w:rsidRPr="003C73C9">
              <w:rPr>
                <w:rFonts w:ascii="Arial" w:hAnsi="Arial" w:cs="Arial"/>
                <w:b/>
                <w:bCs/>
                <w:color w:val="000000"/>
                <w:sz w:val="18"/>
                <w:szCs w:val="18"/>
              </w:rPr>
              <w:t>17.224</w:t>
            </w:r>
          </w:p>
        </w:tc>
        <w:tc>
          <w:tcPr>
            <w:tcW w:w="1432" w:type="dxa"/>
            <w:tcBorders>
              <w:top w:val="nil"/>
              <w:left w:val="nil"/>
              <w:bottom w:val="single" w:sz="4" w:space="0" w:color="auto"/>
              <w:right w:val="single" w:sz="4" w:space="0" w:color="auto"/>
            </w:tcBorders>
            <w:shd w:val="clear" w:color="auto" w:fill="F2F2F2" w:themeFill="background1" w:themeFillShade="F2"/>
            <w:noWrap/>
            <w:vAlign w:val="center"/>
            <w:hideMark/>
          </w:tcPr>
          <w:p w14:paraId="5C6F847E" w14:textId="77777777" w:rsidR="00E3750C" w:rsidRPr="003C73C9" w:rsidRDefault="00E3750C" w:rsidP="00047864">
            <w:pPr>
              <w:spacing w:after="0" w:line="240" w:lineRule="auto"/>
              <w:jc w:val="right"/>
              <w:rPr>
                <w:rFonts w:ascii="Arial" w:eastAsia="Times New Roman" w:hAnsi="Arial" w:cs="Arial"/>
                <w:b/>
                <w:bCs/>
                <w:color w:val="000000"/>
                <w:sz w:val="18"/>
                <w:szCs w:val="18"/>
                <w:lang w:eastAsia="sl-SI"/>
              </w:rPr>
            </w:pPr>
            <w:r w:rsidRPr="003C73C9">
              <w:rPr>
                <w:rFonts w:ascii="Arial" w:hAnsi="Arial" w:cs="Arial"/>
                <w:b/>
                <w:bCs/>
                <w:color w:val="000000"/>
                <w:sz w:val="18"/>
                <w:szCs w:val="18"/>
              </w:rPr>
              <w:t>5.417.105.902</w:t>
            </w:r>
          </w:p>
        </w:tc>
      </w:tr>
    </w:tbl>
    <w:p w14:paraId="143594BF" w14:textId="77777777" w:rsidR="00E3750C" w:rsidRPr="00BF7302" w:rsidRDefault="00E3750C" w:rsidP="00E3750C">
      <w:pPr>
        <w:spacing w:after="0" w:line="240" w:lineRule="auto"/>
        <w:jc w:val="both"/>
        <w:rPr>
          <w:rFonts w:ascii="Arial" w:hAnsi="Arial" w:cs="Arial"/>
          <w:sz w:val="20"/>
          <w:highlight w:val="yellow"/>
        </w:rPr>
      </w:pPr>
      <w:bookmarkStart w:id="88" w:name="_Toc367054475"/>
      <w:bookmarkStart w:id="89" w:name="_Toc367193248"/>
      <w:bookmarkStart w:id="90" w:name="_Toc367784264"/>
      <w:bookmarkStart w:id="91" w:name="_Toc368925709"/>
      <w:bookmarkStart w:id="92" w:name="_Toc369000992"/>
      <w:bookmarkStart w:id="93" w:name="_Toc367054476"/>
      <w:bookmarkStart w:id="94" w:name="_Toc367193249"/>
      <w:bookmarkStart w:id="95" w:name="_Toc367784267"/>
    </w:p>
    <w:p w14:paraId="669823AC" w14:textId="77777777" w:rsidR="00E3750C" w:rsidRPr="003C73C9" w:rsidRDefault="00E3750C" w:rsidP="00E3750C">
      <w:pPr>
        <w:spacing w:before="120" w:after="0" w:line="240" w:lineRule="auto"/>
        <w:jc w:val="both"/>
        <w:rPr>
          <w:rFonts w:ascii="Arial" w:hAnsi="Arial" w:cs="Arial"/>
          <w:sz w:val="20"/>
        </w:rPr>
      </w:pPr>
      <w:r w:rsidRPr="003C73C9">
        <w:rPr>
          <w:rFonts w:ascii="Arial" w:hAnsi="Arial" w:cs="Arial"/>
          <w:sz w:val="20"/>
        </w:rPr>
        <w:t>Preglednica 8</w:t>
      </w:r>
      <w:r>
        <w:rPr>
          <w:rFonts w:ascii="Arial" w:hAnsi="Arial" w:cs="Arial"/>
          <w:sz w:val="20"/>
        </w:rPr>
        <w:t>1</w:t>
      </w:r>
      <w:r w:rsidRPr="003C73C9">
        <w:rPr>
          <w:rFonts w:ascii="Arial" w:hAnsi="Arial" w:cs="Arial"/>
          <w:sz w:val="20"/>
        </w:rPr>
        <w:t>: Javna naročila glede na področje naročanja in merila za izbor</w:t>
      </w:r>
    </w:p>
    <w:p w14:paraId="759D77D7" w14:textId="77777777" w:rsidR="00E3750C" w:rsidRPr="003C73C9" w:rsidRDefault="00E3750C" w:rsidP="00E3750C">
      <w:pPr>
        <w:spacing w:after="0" w:line="240" w:lineRule="auto"/>
        <w:jc w:val="both"/>
        <w:rPr>
          <w:rFonts w:ascii="Arial" w:hAnsi="Arial" w:cs="Arial"/>
          <w:sz w:val="20"/>
        </w:rPr>
      </w:pPr>
    </w:p>
    <w:tbl>
      <w:tblPr>
        <w:tblW w:w="9209" w:type="dxa"/>
        <w:tblCellMar>
          <w:left w:w="70" w:type="dxa"/>
          <w:right w:w="70" w:type="dxa"/>
        </w:tblCellMar>
        <w:tblLook w:val="04A0" w:firstRow="1" w:lastRow="0" w:firstColumn="1" w:lastColumn="0" w:noHBand="0" w:noVBand="1"/>
      </w:tblPr>
      <w:tblGrid>
        <w:gridCol w:w="1301"/>
        <w:gridCol w:w="3074"/>
        <w:gridCol w:w="1134"/>
        <w:gridCol w:w="1432"/>
        <w:gridCol w:w="992"/>
        <w:gridCol w:w="1276"/>
      </w:tblGrid>
      <w:tr w:rsidR="00E3750C" w:rsidRPr="003C73C9" w14:paraId="46503947" w14:textId="77777777" w:rsidTr="00047864">
        <w:trPr>
          <w:trHeight w:val="255"/>
        </w:trPr>
        <w:tc>
          <w:tcPr>
            <w:tcW w:w="13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0B64B3" w14:textId="77777777" w:rsidR="00E3750C" w:rsidRPr="003C73C9" w:rsidRDefault="00E3750C" w:rsidP="00047864">
            <w:pPr>
              <w:spacing w:after="0" w:line="240" w:lineRule="auto"/>
              <w:jc w:val="center"/>
              <w:rPr>
                <w:rFonts w:ascii="Arial" w:eastAsia="Times New Roman" w:hAnsi="Arial" w:cs="Arial"/>
                <w:color w:val="000000"/>
                <w:sz w:val="18"/>
                <w:szCs w:val="18"/>
                <w:lang w:eastAsia="sl-SI"/>
              </w:rPr>
            </w:pPr>
            <w:r w:rsidRPr="003C73C9">
              <w:rPr>
                <w:rFonts w:ascii="Arial" w:eastAsia="Times New Roman" w:hAnsi="Arial" w:cs="Arial"/>
                <w:color w:val="000000"/>
                <w:sz w:val="18"/>
                <w:szCs w:val="18"/>
                <w:lang w:eastAsia="sl-SI"/>
              </w:rPr>
              <w:t>Predmet</w:t>
            </w:r>
          </w:p>
        </w:tc>
        <w:tc>
          <w:tcPr>
            <w:tcW w:w="307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122E898" w14:textId="77777777" w:rsidR="00E3750C" w:rsidRPr="003C73C9" w:rsidRDefault="00E3750C" w:rsidP="00047864">
            <w:pPr>
              <w:spacing w:after="0" w:line="240" w:lineRule="auto"/>
              <w:jc w:val="center"/>
              <w:rPr>
                <w:rFonts w:ascii="Arial" w:eastAsia="Times New Roman" w:hAnsi="Arial" w:cs="Arial"/>
                <w:color w:val="000000"/>
                <w:sz w:val="18"/>
                <w:szCs w:val="18"/>
                <w:lang w:eastAsia="sl-SI"/>
              </w:rPr>
            </w:pPr>
            <w:r w:rsidRPr="003C73C9">
              <w:rPr>
                <w:rFonts w:ascii="Arial" w:eastAsia="Times New Roman" w:hAnsi="Arial" w:cs="Arial"/>
                <w:color w:val="000000"/>
                <w:sz w:val="18"/>
                <w:szCs w:val="18"/>
                <w:lang w:eastAsia="sl-SI"/>
              </w:rPr>
              <w:t>Merila</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341C03A" w14:textId="77777777" w:rsidR="00E3750C" w:rsidRPr="003C73C9" w:rsidRDefault="00E3750C" w:rsidP="00047864">
            <w:pPr>
              <w:spacing w:after="0" w:line="240" w:lineRule="auto"/>
              <w:jc w:val="center"/>
              <w:rPr>
                <w:rFonts w:ascii="Arial" w:eastAsia="Times New Roman" w:hAnsi="Arial" w:cs="Arial"/>
                <w:color w:val="000000"/>
                <w:sz w:val="18"/>
                <w:szCs w:val="18"/>
                <w:lang w:eastAsia="sl-SI"/>
              </w:rPr>
            </w:pPr>
            <w:r w:rsidRPr="003C73C9">
              <w:rPr>
                <w:rFonts w:ascii="Arial" w:eastAsia="Times New Roman" w:hAnsi="Arial" w:cs="Arial"/>
                <w:color w:val="000000"/>
                <w:sz w:val="18"/>
                <w:szCs w:val="18"/>
                <w:lang w:eastAsia="sl-SI"/>
              </w:rPr>
              <w:t>Št. naročil</w:t>
            </w:r>
          </w:p>
        </w:tc>
        <w:tc>
          <w:tcPr>
            <w:tcW w:w="143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C781C9B" w14:textId="77777777" w:rsidR="00E3750C" w:rsidRPr="003C73C9" w:rsidRDefault="00E3750C" w:rsidP="00047864">
            <w:pPr>
              <w:spacing w:after="0" w:line="240" w:lineRule="auto"/>
              <w:jc w:val="center"/>
              <w:rPr>
                <w:rFonts w:ascii="Arial" w:eastAsia="Times New Roman" w:hAnsi="Arial" w:cs="Arial"/>
                <w:color w:val="000000"/>
                <w:sz w:val="18"/>
                <w:szCs w:val="18"/>
                <w:lang w:eastAsia="sl-SI"/>
              </w:rPr>
            </w:pPr>
            <w:r w:rsidRPr="003C73C9">
              <w:rPr>
                <w:rFonts w:ascii="Arial" w:eastAsia="Times New Roman" w:hAnsi="Arial" w:cs="Arial"/>
                <w:color w:val="000000"/>
                <w:sz w:val="18"/>
                <w:szCs w:val="18"/>
                <w:lang w:eastAsia="sl-SI"/>
              </w:rPr>
              <w:t>Pogodbena vrednost</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6EE2E3D" w14:textId="77777777" w:rsidR="00E3750C" w:rsidRPr="003C73C9" w:rsidRDefault="00E3750C" w:rsidP="00047864">
            <w:pPr>
              <w:spacing w:after="0" w:line="240" w:lineRule="auto"/>
              <w:jc w:val="center"/>
              <w:rPr>
                <w:rFonts w:ascii="Arial" w:eastAsia="Times New Roman" w:hAnsi="Arial" w:cs="Arial"/>
                <w:color w:val="000000"/>
                <w:sz w:val="18"/>
                <w:szCs w:val="18"/>
                <w:lang w:eastAsia="sl-SI"/>
              </w:rPr>
            </w:pPr>
            <w:r w:rsidRPr="003C73C9">
              <w:rPr>
                <w:rFonts w:ascii="Arial" w:eastAsia="Times New Roman" w:hAnsi="Arial" w:cs="Arial"/>
                <w:color w:val="000000"/>
                <w:sz w:val="18"/>
                <w:szCs w:val="18"/>
                <w:lang w:eastAsia="sl-SI"/>
              </w:rPr>
              <w:t>Delež v št. istovrstnih naročil</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A70D961" w14:textId="77777777" w:rsidR="00E3750C" w:rsidRPr="003C73C9" w:rsidRDefault="00E3750C" w:rsidP="00047864">
            <w:pPr>
              <w:spacing w:after="0" w:line="240" w:lineRule="auto"/>
              <w:jc w:val="center"/>
              <w:rPr>
                <w:rFonts w:ascii="Arial" w:eastAsia="Times New Roman" w:hAnsi="Arial" w:cs="Arial"/>
                <w:color w:val="000000"/>
                <w:sz w:val="18"/>
                <w:szCs w:val="18"/>
                <w:lang w:eastAsia="sl-SI"/>
              </w:rPr>
            </w:pPr>
            <w:r w:rsidRPr="003C73C9">
              <w:rPr>
                <w:rFonts w:ascii="Arial" w:eastAsia="Times New Roman" w:hAnsi="Arial" w:cs="Arial"/>
                <w:color w:val="000000"/>
                <w:sz w:val="18"/>
                <w:szCs w:val="18"/>
                <w:lang w:eastAsia="sl-SI"/>
              </w:rPr>
              <w:t>Delež v vrednosti istovrstnih naročil</w:t>
            </w:r>
          </w:p>
        </w:tc>
      </w:tr>
      <w:tr w:rsidR="00E3750C" w:rsidRPr="003C73C9" w14:paraId="4ECDC1D1" w14:textId="77777777" w:rsidTr="00047864">
        <w:trPr>
          <w:trHeight w:val="255"/>
        </w:trPr>
        <w:tc>
          <w:tcPr>
            <w:tcW w:w="1301" w:type="dxa"/>
            <w:vMerge w:val="restart"/>
            <w:tcBorders>
              <w:top w:val="nil"/>
              <w:left w:val="single" w:sz="4" w:space="0" w:color="auto"/>
              <w:bottom w:val="single" w:sz="4" w:space="0" w:color="auto"/>
              <w:right w:val="single" w:sz="4" w:space="0" w:color="auto"/>
            </w:tcBorders>
            <w:shd w:val="clear" w:color="auto" w:fill="auto"/>
            <w:vAlign w:val="center"/>
            <w:hideMark/>
          </w:tcPr>
          <w:p w14:paraId="0EB226DF" w14:textId="77777777" w:rsidR="00E3750C" w:rsidRPr="003C73C9" w:rsidRDefault="00E3750C" w:rsidP="00047864">
            <w:pPr>
              <w:spacing w:after="0" w:line="240" w:lineRule="auto"/>
              <w:rPr>
                <w:rFonts w:ascii="Arial" w:eastAsia="Times New Roman" w:hAnsi="Arial" w:cs="Arial"/>
                <w:color w:val="000000"/>
                <w:sz w:val="18"/>
                <w:szCs w:val="18"/>
                <w:lang w:eastAsia="sl-SI"/>
              </w:rPr>
            </w:pPr>
            <w:r w:rsidRPr="003C73C9">
              <w:rPr>
                <w:rFonts w:ascii="Arial" w:eastAsia="Times New Roman" w:hAnsi="Arial" w:cs="Arial"/>
                <w:color w:val="000000"/>
                <w:sz w:val="18"/>
                <w:szCs w:val="18"/>
                <w:lang w:eastAsia="sl-SI"/>
              </w:rPr>
              <w:t>Splošno</w:t>
            </w:r>
          </w:p>
        </w:tc>
        <w:tc>
          <w:tcPr>
            <w:tcW w:w="3074" w:type="dxa"/>
            <w:tcBorders>
              <w:top w:val="nil"/>
              <w:left w:val="nil"/>
              <w:bottom w:val="single" w:sz="4" w:space="0" w:color="auto"/>
              <w:right w:val="single" w:sz="4" w:space="0" w:color="auto"/>
            </w:tcBorders>
            <w:shd w:val="clear" w:color="auto" w:fill="auto"/>
            <w:vAlign w:val="center"/>
            <w:hideMark/>
          </w:tcPr>
          <w:p w14:paraId="6389F6D3" w14:textId="77777777" w:rsidR="00E3750C" w:rsidRPr="003C73C9" w:rsidRDefault="00E3750C" w:rsidP="00047864">
            <w:pPr>
              <w:spacing w:after="0" w:line="240" w:lineRule="auto"/>
              <w:rPr>
                <w:rFonts w:ascii="Arial" w:eastAsia="Times New Roman" w:hAnsi="Arial" w:cs="Arial"/>
                <w:color w:val="000000"/>
                <w:sz w:val="18"/>
                <w:szCs w:val="18"/>
                <w:lang w:eastAsia="sl-SI"/>
              </w:rPr>
            </w:pPr>
            <w:r w:rsidRPr="003C73C9">
              <w:rPr>
                <w:rFonts w:ascii="Arial" w:eastAsia="Times New Roman" w:hAnsi="Arial" w:cs="Arial"/>
                <w:color w:val="000000"/>
                <w:sz w:val="18"/>
                <w:szCs w:val="18"/>
                <w:lang w:eastAsia="sl-SI"/>
              </w:rPr>
              <w:t>Cena</w:t>
            </w:r>
          </w:p>
        </w:tc>
        <w:tc>
          <w:tcPr>
            <w:tcW w:w="1134" w:type="dxa"/>
            <w:tcBorders>
              <w:top w:val="nil"/>
              <w:left w:val="nil"/>
              <w:bottom w:val="single" w:sz="4" w:space="0" w:color="auto"/>
              <w:right w:val="single" w:sz="4" w:space="0" w:color="auto"/>
            </w:tcBorders>
            <w:shd w:val="clear" w:color="auto" w:fill="auto"/>
            <w:vAlign w:val="center"/>
            <w:hideMark/>
          </w:tcPr>
          <w:p w14:paraId="3ECEF73C" w14:textId="77777777" w:rsidR="00E3750C" w:rsidRPr="003C73C9" w:rsidRDefault="00E3750C" w:rsidP="00047864">
            <w:pPr>
              <w:spacing w:after="0" w:line="240" w:lineRule="auto"/>
              <w:jc w:val="right"/>
              <w:rPr>
                <w:rFonts w:ascii="Arial" w:eastAsia="Times New Roman" w:hAnsi="Arial" w:cs="Arial"/>
                <w:color w:val="000000"/>
                <w:sz w:val="18"/>
                <w:szCs w:val="18"/>
                <w:lang w:eastAsia="sl-SI"/>
              </w:rPr>
            </w:pPr>
            <w:r w:rsidRPr="003C73C9">
              <w:rPr>
                <w:rFonts w:ascii="Arial" w:hAnsi="Arial" w:cs="Arial"/>
                <w:color w:val="000000"/>
                <w:sz w:val="18"/>
                <w:szCs w:val="18"/>
              </w:rPr>
              <w:t>13.804</w:t>
            </w:r>
          </w:p>
        </w:tc>
        <w:tc>
          <w:tcPr>
            <w:tcW w:w="1432" w:type="dxa"/>
            <w:tcBorders>
              <w:top w:val="nil"/>
              <w:left w:val="nil"/>
              <w:bottom w:val="single" w:sz="4" w:space="0" w:color="auto"/>
              <w:right w:val="single" w:sz="4" w:space="0" w:color="auto"/>
            </w:tcBorders>
            <w:shd w:val="clear" w:color="auto" w:fill="auto"/>
            <w:vAlign w:val="center"/>
            <w:hideMark/>
          </w:tcPr>
          <w:p w14:paraId="24EF98EF" w14:textId="77777777" w:rsidR="00E3750C" w:rsidRPr="003C73C9" w:rsidRDefault="00E3750C" w:rsidP="00047864">
            <w:pPr>
              <w:spacing w:after="0" w:line="240" w:lineRule="auto"/>
              <w:jc w:val="right"/>
              <w:rPr>
                <w:rFonts w:ascii="Arial" w:eastAsia="Times New Roman" w:hAnsi="Arial" w:cs="Arial"/>
                <w:color w:val="000000"/>
                <w:sz w:val="18"/>
                <w:szCs w:val="18"/>
                <w:lang w:eastAsia="sl-SI"/>
              </w:rPr>
            </w:pPr>
            <w:r w:rsidRPr="003C73C9">
              <w:rPr>
                <w:rFonts w:ascii="Arial" w:hAnsi="Arial" w:cs="Arial"/>
                <w:color w:val="000000"/>
                <w:sz w:val="18"/>
                <w:szCs w:val="18"/>
              </w:rPr>
              <w:t>4.179.747.072</w:t>
            </w:r>
          </w:p>
        </w:tc>
        <w:tc>
          <w:tcPr>
            <w:tcW w:w="992" w:type="dxa"/>
            <w:tcBorders>
              <w:top w:val="nil"/>
              <w:left w:val="nil"/>
              <w:bottom w:val="single" w:sz="4" w:space="0" w:color="auto"/>
              <w:right w:val="single" w:sz="4" w:space="0" w:color="auto"/>
            </w:tcBorders>
            <w:shd w:val="clear" w:color="auto" w:fill="auto"/>
            <w:noWrap/>
            <w:vAlign w:val="center"/>
            <w:hideMark/>
          </w:tcPr>
          <w:p w14:paraId="16CABE07" w14:textId="77777777" w:rsidR="00E3750C" w:rsidRPr="003C73C9" w:rsidRDefault="00E3750C" w:rsidP="00047864">
            <w:pPr>
              <w:spacing w:after="0" w:line="240" w:lineRule="auto"/>
              <w:jc w:val="right"/>
              <w:rPr>
                <w:rFonts w:ascii="Arial" w:eastAsia="Times New Roman" w:hAnsi="Arial" w:cs="Arial"/>
                <w:color w:val="000000"/>
                <w:sz w:val="18"/>
                <w:szCs w:val="18"/>
                <w:lang w:eastAsia="sl-SI"/>
              </w:rPr>
            </w:pPr>
            <w:r w:rsidRPr="003C73C9">
              <w:rPr>
                <w:rFonts w:ascii="Arial" w:hAnsi="Arial" w:cs="Arial"/>
                <w:color w:val="000000"/>
                <w:sz w:val="18"/>
                <w:szCs w:val="18"/>
              </w:rPr>
              <w:t>90,09 %</w:t>
            </w:r>
          </w:p>
        </w:tc>
        <w:tc>
          <w:tcPr>
            <w:tcW w:w="1276" w:type="dxa"/>
            <w:tcBorders>
              <w:top w:val="nil"/>
              <w:left w:val="nil"/>
              <w:bottom w:val="single" w:sz="4" w:space="0" w:color="auto"/>
              <w:right w:val="single" w:sz="4" w:space="0" w:color="auto"/>
            </w:tcBorders>
            <w:shd w:val="clear" w:color="auto" w:fill="auto"/>
            <w:noWrap/>
            <w:vAlign w:val="center"/>
            <w:hideMark/>
          </w:tcPr>
          <w:p w14:paraId="7AE8C4AB" w14:textId="77777777" w:rsidR="00E3750C" w:rsidRPr="003C73C9" w:rsidRDefault="00E3750C" w:rsidP="00047864">
            <w:pPr>
              <w:spacing w:after="0" w:line="240" w:lineRule="auto"/>
              <w:jc w:val="right"/>
              <w:rPr>
                <w:rFonts w:ascii="Arial" w:eastAsia="Times New Roman" w:hAnsi="Arial" w:cs="Arial"/>
                <w:color w:val="000000"/>
                <w:sz w:val="18"/>
                <w:szCs w:val="18"/>
                <w:lang w:eastAsia="sl-SI"/>
              </w:rPr>
            </w:pPr>
            <w:r w:rsidRPr="003C73C9">
              <w:rPr>
                <w:rFonts w:ascii="Arial" w:hAnsi="Arial" w:cs="Arial"/>
                <w:color w:val="000000"/>
                <w:sz w:val="18"/>
                <w:szCs w:val="18"/>
              </w:rPr>
              <w:t>92,67 %</w:t>
            </w:r>
          </w:p>
        </w:tc>
      </w:tr>
      <w:tr w:rsidR="00E3750C" w:rsidRPr="003C73C9" w14:paraId="5DB85D35" w14:textId="77777777" w:rsidTr="00047864">
        <w:trPr>
          <w:trHeight w:val="255"/>
        </w:trPr>
        <w:tc>
          <w:tcPr>
            <w:tcW w:w="1301" w:type="dxa"/>
            <w:vMerge/>
            <w:tcBorders>
              <w:top w:val="nil"/>
              <w:left w:val="single" w:sz="4" w:space="0" w:color="auto"/>
              <w:bottom w:val="single" w:sz="4" w:space="0" w:color="auto"/>
              <w:right w:val="single" w:sz="4" w:space="0" w:color="auto"/>
            </w:tcBorders>
            <w:vAlign w:val="center"/>
            <w:hideMark/>
          </w:tcPr>
          <w:p w14:paraId="469145C5" w14:textId="77777777" w:rsidR="00E3750C" w:rsidRPr="003C73C9" w:rsidRDefault="00E3750C" w:rsidP="00047864">
            <w:pPr>
              <w:spacing w:after="0" w:line="240" w:lineRule="auto"/>
              <w:rPr>
                <w:rFonts w:ascii="Arial" w:eastAsia="Times New Roman" w:hAnsi="Arial" w:cs="Arial"/>
                <w:color w:val="000000"/>
                <w:sz w:val="18"/>
                <w:szCs w:val="18"/>
                <w:lang w:eastAsia="sl-SI"/>
              </w:rPr>
            </w:pPr>
          </w:p>
        </w:tc>
        <w:tc>
          <w:tcPr>
            <w:tcW w:w="3074" w:type="dxa"/>
            <w:tcBorders>
              <w:top w:val="nil"/>
              <w:left w:val="nil"/>
              <w:bottom w:val="single" w:sz="4" w:space="0" w:color="auto"/>
              <w:right w:val="single" w:sz="4" w:space="0" w:color="auto"/>
            </w:tcBorders>
            <w:shd w:val="clear" w:color="auto" w:fill="auto"/>
            <w:vAlign w:val="center"/>
            <w:hideMark/>
          </w:tcPr>
          <w:p w14:paraId="4E2E5E0C" w14:textId="77777777" w:rsidR="00E3750C" w:rsidRPr="003C73C9" w:rsidRDefault="00E3750C" w:rsidP="00047864">
            <w:pPr>
              <w:spacing w:after="0" w:line="240" w:lineRule="auto"/>
              <w:rPr>
                <w:rFonts w:ascii="Arial" w:eastAsia="Times New Roman" w:hAnsi="Arial" w:cs="Arial"/>
                <w:color w:val="000000"/>
                <w:sz w:val="18"/>
                <w:szCs w:val="18"/>
                <w:lang w:eastAsia="sl-SI"/>
              </w:rPr>
            </w:pPr>
            <w:r w:rsidRPr="003C73C9">
              <w:rPr>
                <w:rFonts w:ascii="Arial" w:eastAsia="Times New Roman" w:hAnsi="Arial" w:cs="Arial"/>
                <w:color w:val="000000"/>
                <w:sz w:val="18"/>
                <w:szCs w:val="18"/>
                <w:lang w:eastAsia="sl-SI"/>
              </w:rPr>
              <w:t>Ekonomsko najugodnejša ponudba</w:t>
            </w:r>
          </w:p>
        </w:tc>
        <w:tc>
          <w:tcPr>
            <w:tcW w:w="1134" w:type="dxa"/>
            <w:tcBorders>
              <w:top w:val="nil"/>
              <w:left w:val="nil"/>
              <w:bottom w:val="single" w:sz="4" w:space="0" w:color="auto"/>
              <w:right w:val="single" w:sz="4" w:space="0" w:color="auto"/>
            </w:tcBorders>
            <w:shd w:val="clear" w:color="auto" w:fill="auto"/>
            <w:vAlign w:val="center"/>
            <w:hideMark/>
          </w:tcPr>
          <w:p w14:paraId="63DAD723" w14:textId="77777777" w:rsidR="00E3750C" w:rsidRPr="003C73C9" w:rsidRDefault="00E3750C" w:rsidP="00047864">
            <w:pPr>
              <w:spacing w:after="0" w:line="240" w:lineRule="auto"/>
              <w:jc w:val="right"/>
              <w:rPr>
                <w:rFonts w:ascii="Arial" w:eastAsia="Times New Roman" w:hAnsi="Arial" w:cs="Arial"/>
                <w:color w:val="000000"/>
                <w:sz w:val="18"/>
                <w:szCs w:val="18"/>
                <w:lang w:eastAsia="sl-SI"/>
              </w:rPr>
            </w:pPr>
            <w:r w:rsidRPr="003C73C9">
              <w:rPr>
                <w:rFonts w:ascii="Arial" w:hAnsi="Arial" w:cs="Arial"/>
                <w:color w:val="000000"/>
                <w:sz w:val="18"/>
                <w:szCs w:val="18"/>
              </w:rPr>
              <w:t>1.518</w:t>
            </w:r>
          </w:p>
        </w:tc>
        <w:tc>
          <w:tcPr>
            <w:tcW w:w="1432" w:type="dxa"/>
            <w:tcBorders>
              <w:top w:val="nil"/>
              <w:left w:val="nil"/>
              <w:bottom w:val="single" w:sz="4" w:space="0" w:color="auto"/>
              <w:right w:val="single" w:sz="4" w:space="0" w:color="auto"/>
            </w:tcBorders>
            <w:shd w:val="clear" w:color="auto" w:fill="auto"/>
            <w:vAlign w:val="center"/>
            <w:hideMark/>
          </w:tcPr>
          <w:p w14:paraId="5D7C3F51" w14:textId="77777777" w:rsidR="00E3750C" w:rsidRPr="003C73C9" w:rsidRDefault="00E3750C" w:rsidP="00047864">
            <w:pPr>
              <w:spacing w:after="0" w:line="240" w:lineRule="auto"/>
              <w:jc w:val="right"/>
              <w:rPr>
                <w:rFonts w:ascii="Arial" w:eastAsia="Times New Roman" w:hAnsi="Arial" w:cs="Arial"/>
                <w:color w:val="000000"/>
                <w:sz w:val="18"/>
                <w:szCs w:val="18"/>
                <w:lang w:eastAsia="sl-SI"/>
              </w:rPr>
            </w:pPr>
            <w:r w:rsidRPr="003C73C9">
              <w:rPr>
                <w:rFonts w:ascii="Arial" w:hAnsi="Arial" w:cs="Arial"/>
                <w:color w:val="000000"/>
                <w:sz w:val="18"/>
                <w:szCs w:val="18"/>
              </w:rPr>
              <w:t>330.750.171</w:t>
            </w:r>
          </w:p>
        </w:tc>
        <w:tc>
          <w:tcPr>
            <w:tcW w:w="992" w:type="dxa"/>
            <w:tcBorders>
              <w:top w:val="nil"/>
              <w:left w:val="nil"/>
              <w:bottom w:val="single" w:sz="4" w:space="0" w:color="auto"/>
              <w:right w:val="single" w:sz="4" w:space="0" w:color="auto"/>
            </w:tcBorders>
            <w:shd w:val="clear" w:color="auto" w:fill="auto"/>
            <w:noWrap/>
            <w:vAlign w:val="center"/>
            <w:hideMark/>
          </w:tcPr>
          <w:p w14:paraId="0295EBF5" w14:textId="77777777" w:rsidR="00E3750C" w:rsidRPr="003C73C9" w:rsidRDefault="00E3750C" w:rsidP="00047864">
            <w:pPr>
              <w:spacing w:after="0" w:line="240" w:lineRule="auto"/>
              <w:jc w:val="right"/>
              <w:rPr>
                <w:rFonts w:ascii="Arial" w:eastAsia="Times New Roman" w:hAnsi="Arial" w:cs="Arial"/>
                <w:color w:val="000000"/>
                <w:sz w:val="18"/>
                <w:szCs w:val="18"/>
                <w:lang w:eastAsia="sl-SI"/>
              </w:rPr>
            </w:pPr>
            <w:r w:rsidRPr="003C73C9">
              <w:rPr>
                <w:rFonts w:ascii="Arial" w:hAnsi="Arial" w:cs="Arial"/>
                <w:color w:val="000000"/>
                <w:sz w:val="18"/>
                <w:szCs w:val="18"/>
              </w:rPr>
              <w:t>9,91 %</w:t>
            </w:r>
          </w:p>
        </w:tc>
        <w:tc>
          <w:tcPr>
            <w:tcW w:w="1276" w:type="dxa"/>
            <w:tcBorders>
              <w:top w:val="nil"/>
              <w:left w:val="nil"/>
              <w:bottom w:val="single" w:sz="4" w:space="0" w:color="auto"/>
              <w:right w:val="single" w:sz="4" w:space="0" w:color="auto"/>
            </w:tcBorders>
            <w:shd w:val="clear" w:color="auto" w:fill="auto"/>
            <w:noWrap/>
            <w:vAlign w:val="center"/>
            <w:hideMark/>
          </w:tcPr>
          <w:p w14:paraId="4C89CE33" w14:textId="77777777" w:rsidR="00E3750C" w:rsidRPr="003C73C9" w:rsidRDefault="00E3750C" w:rsidP="00047864">
            <w:pPr>
              <w:spacing w:after="0" w:line="240" w:lineRule="auto"/>
              <w:jc w:val="right"/>
              <w:rPr>
                <w:rFonts w:ascii="Arial" w:eastAsia="Times New Roman" w:hAnsi="Arial" w:cs="Arial"/>
                <w:color w:val="000000"/>
                <w:sz w:val="18"/>
                <w:szCs w:val="18"/>
                <w:lang w:eastAsia="sl-SI"/>
              </w:rPr>
            </w:pPr>
            <w:r w:rsidRPr="003C73C9">
              <w:rPr>
                <w:rFonts w:ascii="Arial" w:hAnsi="Arial" w:cs="Arial"/>
                <w:color w:val="000000"/>
                <w:sz w:val="18"/>
                <w:szCs w:val="18"/>
              </w:rPr>
              <w:t>7,33 %</w:t>
            </w:r>
          </w:p>
        </w:tc>
      </w:tr>
      <w:tr w:rsidR="00E3750C" w:rsidRPr="003C73C9" w14:paraId="5C343F76" w14:textId="77777777" w:rsidTr="00047864">
        <w:trPr>
          <w:trHeight w:val="255"/>
        </w:trPr>
        <w:tc>
          <w:tcPr>
            <w:tcW w:w="1301" w:type="dxa"/>
            <w:vMerge/>
            <w:tcBorders>
              <w:top w:val="nil"/>
              <w:left w:val="single" w:sz="4" w:space="0" w:color="auto"/>
              <w:bottom w:val="single" w:sz="4" w:space="0" w:color="auto"/>
              <w:right w:val="single" w:sz="4" w:space="0" w:color="auto"/>
            </w:tcBorders>
            <w:vAlign w:val="center"/>
            <w:hideMark/>
          </w:tcPr>
          <w:p w14:paraId="04DCB391" w14:textId="77777777" w:rsidR="00E3750C" w:rsidRPr="003C73C9" w:rsidRDefault="00E3750C" w:rsidP="00047864">
            <w:pPr>
              <w:spacing w:after="0" w:line="240" w:lineRule="auto"/>
              <w:rPr>
                <w:rFonts w:ascii="Arial" w:eastAsia="Times New Roman" w:hAnsi="Arial" w:cs="Arial"/>
                <w:color w:val="000000"/>
                <w:sz w:val="18"/>
                <w:szCs w:val="18"/>
                <w:lang w:eastAsia="sl-SI"/>
              </w:rPr>
            </w:pPr>
          </w:p>
        </w:tc>
        <w:tc>
          <w:tcPr>
            <w:tcW w:w="3074" w:type="dxa"/>
            <w:tcBorders>
              <w:top w:val="nil"/>
              <w:left w:val="nil"/>
              <w:bottom w:val="single" w:sz="4" w:space="0" w:color="auto"/>
              <w:right w:val="single" w:sz="4" w:space="0" w:color="auto"/>
            </w:tcBorders>
            <w:shd w:val="clear" w:color="auto" w:fill="auto"/>
            <w:vAlign w:val="center"/>
            <w:hideMark/>
          </w:tcPr>
          <w:p w14:paraId="21E17813" w14:textId="77777777" w:rsidR="00E3750C" w:rsidRPr="003C73C9" w:rsidRDefault="00E3750C" w:rsidP="00047864">
            <w:pPr>
              <w:spacing w:after="0" w:line="240" w:lineRule="auto"/>
              <w:rPr>
                <w:rFonts w:ascii="Arial" w:eastAsia="Times New Roman" w:hAnsi="Arial" w:cs="Arial"/>
                <w:b/>
                <w:bCs/>
                <w:color w:val="000000"/>
                <w:sz w:val="18"/>
                <w:szCs w:val="18"/>
                <w:lang w:eastAsia="sl-SI"/>
              </w:rPr>
            </w:pPr>
            <w:r w:rsidRPr="003C73C9">
              <w:rPr>
                <w:rFonts w:ascii="Arial" w:eastAsia="Times New Roman" w:hAnsi="Arial" w:cs="Arial"/>
                <w:b/>
                <w:bCs/>
                <w:color w:val="000000"/>
                <w:sz w:val="18"/>
                <w:szCs w:val="18"/>
                <w:lang w:eastAsia="sl-SI"/>
              </w:rPr>
              <w:t>Skupaj</w:t>
            </w:r>
          </w:p>
        </w:tc>
        <w:tc>
          <w:tcPr>
            <w:tcW w:w="1134" w:type="dxa"/>
            <w:tcBorders>
              <w:top w:val="nil"/>
              <w:left w:val="nil"/>
              <w:bottom w:val="single" w:sz="4" w:space="0" w:color="auto"/>
              <w:right w:val="single" w:sz="4" w:space="0" w:color="auto"/>
            </w:tcBorders>
            <w:shd w:val="clear" w:color="auto" w:fill="auto"/>
            <w:vAlign w:val="center"/>
            <w:hideMark/>
          </w:tcPr>
          <w:p w14:paraId="61C845CB" w14:textId="77777777" w:rsidR="00E3750C" w:rsidRPr="003C73C9" w:rsidRDefault="00E3750C" w:rsidP="00047864">
            <w:pPr>
              <w:spacing w:after="0" w:line="240" w:lineRule="auto"/>
              <w:jc w:val="right"/>
              <w:rPr>
                <w:rFonts w:ascii="Arial" w:eastAsia="Times New Roman" w:hAnsi="Arial" w:cs="Arial"/>
                <w:b/>
                <w:bCs/>
                <w:color w:val="000000"/>
                <w:sz w:val="18"/>
                <w:szCs w:val="18"/>
                <w:lang w:eastAsia="sl-SI"/>
              </w:rPr>
            </w:pPr>
            <w:r w:rsidRPr="003C73C9">
              <w:rPr>
                <w:rFonts w:ascii="Arial" w:hAnsi="Arial" w:cs="Arial"/>
                <w:b/>
                <w:bCs/>
                <w:color w:val="000000"/>
                <w:sz w:val="18"/>
                <w:szCs w:val="18"/>
              </w:rPr>
              <w:t>15.322</w:t>
            </w:r>
          </w:p>
        </w:tc>
        <w:tc>
          <w:tcPr>
            <w:tcW w:w="1432" w:type="dxa"/>
            <w:tcBorders>
              <w:top w:val="nil"/>
              <w:left w:val="nil"/>
              <w:bottom w:val="single" w:sz="4" w:space="0" w:color="auto"/>
              <w:right w:val="single" w:sz="4" w:space="0" w:color="auto"/>
            </w:tcBorders>
            <w:shd w:val="clear" w:color="auto" w:fill="auto"/>
            <w:vAlign w:val="center"/>
            <w:hideMark/>
          </w:tcPr>
          <w:p w14:paraId="5B2A753B" w14:textId="77777777" w:rsidR="00E3750C" w:rsidRPr="003C73C9" w:rsidRDefault="00E3750C" w:rsidP="00047864">
            <w:pPr>
              <w:spacing w:after="0" w:line="240" w:lineRule="auto"/>
              <w:jc w:val="right"/>
              <w:rPr>
                <w:rFonts w:ascii="Arial" w:eastAsia="Times New Roman" w:hAnsi="Arial" w:cs="Arial"/>
                <w:b/>
                <w:bCs/>
                <w:color w:val="000000"/>
                <w:sz w:val="18"/>
                <w:szCs w:val="18"/>
                <w:lang w:eastAsia="sl-SI"/>
              </w:rPr>
            </w:pPr>
            <w:r w:rsidRPr="003C73C9">
              <w:rPr>
                <w:rFonts w:ascii="Arial" w:hAnsi="Arial" w:cs="Arial"/>
                <w:b/>
                <w:bCs/>
                <w:color w:val="000000"/>
                <w:sz w:val="18"/>
                <w:szCs w:val="18"/>
              </w:rPr>
              <w:t>4.510.497.243</w:t>
            </w:r>
          </w:p>
        </w:tc>
        <w:tc>
          <w:tcPr>
            <w:tcW w:w="992" w:type="dxa"/>
            <w:tcBorders>
              <w:top w:val="nil"/>
              <w:left w:val="nil"/>
              <w:bottom w:val="single" w:sz="4" w:space="0" w:color="auto"/>
              <w:right w:val="single" w:sz="4" w:space="0" w:color="auto"/>
            </w:tcBorders>
            <w:shd w:val="clear" w:color="auto" w:fill="auto"/>
            <w:vAlign w:val="center"/>
            <w:hideMark/>
          </w:tcPr>
          <w:p w14:paraId="06E03546" w14:textId="77777777" w:rsidR="00E3750C" w:rsidRPr="003C73C9" w:rsidRDefault="00E3750C" w:rsidP="00047864">
            <w:pPr>
              <w:spacing w:after="0" w:line="240" w:lineRule="auto"/>
              <w:jc w:val="right"/>
              <w:rPr>
                <w:rFonts w:ascii="Arial" w:eastAsia="Times New Roman" w:hAnsi="Arial" w:cs="Arial"/>
                <w:b/>
                <w:bCs/>
                <w:color w:val="000000"/>
                <w:sz w:val="18"/>
                <w:szCs w:val="18"/>
                <w:lang w:eastAsia="sl-SI"/>
              </w:rPr>
            </w:pPr>
            <w:r w:rsidRPr="003C73C9">
              <w:rPr>
                <w:rFonts w:ascii="Arial" w:hAnsi="Arial" w:cs="Arial"/>
                <w:b/>
                <w:bCs/>
                <w:color w:val="000000"/>
                <w:sz w:val="18"/>
                <w:szCs w:val="18"/>
              </w:rPr>
              <w:t>100,00 %</w:t>
            </w:r>
          </w:p>
        </w:tc>
        <w:tc>
          <w:tcPr>
            <w:tcW w:w="1276" w:type="dxa"/>
            <w:tcBorders>
              <w:top w:val="nil"/>
              <w:left w:val="nil"/>
              <w:bottom w:val="single" w:sz="4" w:space="0" w:color="auto"/>
              <w:right w:val="single" w:sz="4" w:space="0" w:color="auto"/>
            </w:tcBorders>
            <w:shd w:val="clear" w:color="auto" w:fill="auto"/>
            <w:vAlign w:val="center"/>
            <w:hideMark/>
          </w:tcPr>
          <w:p w14:paraId="626873ED" w14:textId="77777777" w:rsidR="00E3750C" w:rsidRPr="003C73C9" w:rsidRDefault="00E3750C" w:rsidP="00047864">
            <w:pPr>
              <w:spacing w:after="0" w:line="240" w:lineRule="auto"/>
              <w:jc w:val="right"/>
              <w:rPr>
                <w:rFonts w:ascii="Arial" w:eastAsia="Times New Roman" w:hAnsi="Arial" w:cs="Arial"/>
                <w:b/>
                <w:bCs/>
                <w:color w:val="000000"/>
                <w:sz w:val="18"/>
                <w:szCs w:val="18"/>
                <w:lang w:eastAsia="sl-SI"/>
              </w:rPr>
            </w:pPr>
            <w:r w:rsidRPr="003C73C9">
              <w:rPr>
                <w:rFonts w:ascii="Arial" w:hAnsi="Arial" w:cs="Arial"/>
                <w:b/>
                <w:bCs/>
                <w:color w:val="000000"/>
                <w:sz w:val="18"/>
                <w:szCs w:val="18"/>
              </w:rPr>
              <w:t>100,00 %</w:t>
            </w:r>
          </w:p>
        </w:tc>
      </w:tr>
      <w:tr w:rsidR="00E3750C" w:rsidRPr="003C73C9" w14:paraId="3BE30447" w14:textId="77777777" w:rsidTr="00047864">
        <w:trPr>
          <w:trHeight w:val="255"/>
        </w:trPr>
        <w:tc>
          <w:tcPr>
            <w:tcW w:w="1301" w:type="dxa"/>
            <w:vMerge w:val="restart"/>
            <w:tcBorders>
              <w:top w:val="nil"/>
              <w:left w:val="single" w:sz="4" w:space="0" w:color="auto"/>
              <w:bottom w:val="single" w:sz="4" w:space="0" w:color="auto"/>
              <w:right w:val="single" w:sz="4" w:space="0" w:color="auto"/>
            </w:tcBorders>
            <w:shd w:val="clear" w:color="auto" w:fill="auto"/>
            <w:vAlign w:val="center"/>
            <w:hideMark/>
          </w:tcPr>
          <w:p w14:paraId="5B736F14" w14:textId="77777777" w:rsidR="00E3750C" w:rsidRPr="003C73C9" w:rsidRDefault="00E3750C" w:rsidP="00047864">
            <w:pPr>
              <w:spacing w:after="0" w:line="240" w:lineRule="auto"/>
              <w:rPr>
                <w:rFonts w:ascii="Arial" w:eastAsia="Times New Roman" w:hAnsi="Arial" w:cs="Arial"/>
                <w:color w:val="000000"/>
                <w:sz w:val="18"/>
                <w:szCs w:val="18"/>
                <w:lang w:eastAsia="sl-SI"/>
              </w:rPr>
            </w:pPr>
            <w:r w:rsidRPr="003C73C9">
              <w:rPr>
                <w:rFonts w:ascii="Arial" w:eastAsia="Times New Roman" w:hAnsi="Arial" w:cs="Arial"/>
                <w:color w:val="000000"/>
                <w:sz w:val="18"/>
                <w:szCs w:val="18"/>
                <w:lang w:eastAsia="sl-SI"/>
              </w:rPr>
              <w:t>Infrastrukturno</w:t>
            </w:r>
          </w:p>
        </w:tc>
        <w:tc>
          <w:tcPr>
            <w:tcW w:w="3074" w:type="dxa"/>
            <w:tcBorders>
              <w:top w:val="nil"/>
              <w:left w:val="nil"/>
              <w:bottom w:val="single" w:sz="4" w:space="0" w:color="auto"/>
              <w:right w:val="single" w:sz="4" w:space="0" w:color="auto"/>
            </w:tcBorders>
            <w:shd w:val="clear" w:color="auto" w:fill="auto"/>
            <w:vAlign w:val="center"/>
            <w:hideMark/>
          </w:tcPr>
          <w:p w14:paraId="76792A9A" w14:textId="77777777" w:rsidR="00E3750C" w:rsidRPr="003C73C9" w:rsidRDefault="00E3750C" w:rsidP="00047864">
            <w:pPr>
              <w:spacing w:after="0" w:line="240" w:lineRule="auto"/>
              <w:rPr>
                <w:rFonts w:ascii="Arial" w:eastAsia="Times New Roman" w:hAnsi="Arial" w:cs="Arial"/>
                <w:color w:val="000000"/>
                <w:sz w:val="18"/>
                <w:szCs w:val="18"/>
                <w:lang w:eastAsia="sl-SI"/>
              </w:rPr>
            </w:pPr>
            <w:r w:rsidRPr="003C73C9">
              <w:rPr>
                <w:rFonts w:ascii="Arial" w:eastAsia="Times New Roman" w:hAnsi="Arial" w:cs="Arial"/>
                <w:color w:val="000000"/>
                <w:sz w:val="18"/>
                <w:szCs w:val="18"/>
                <w:lang w:eastAsia="sl-SI"/>
              </w:rPr>
              <w:t>Cena</w:t>
            </w:r>
          </w:p>
        </w:tc>
        <w:tc>
          <w:tcPr>
            <w:tcW w:w="1134" w:type="dxa"/>
            <w:tcBorders>
              <w:top w:val="nil"/>
              <w:left w:val="nil"/>
              <w:bottom w:val="single" w:sz="4" w:space="0" w:color="auto"/>
              <w:right w:val="single" w:sz="4" w:space="0" w:color="auto"/>
            </w:tcBorders>
            <w:shd w:val="clear" w:color="auto" w:fill="auto"/>
            <w:vAlign w:val="center"/>
            <w:hideMark/>
          </w:tcPr>
          <w:p w14:paraId="21645C12" w14:textId="77777777" w:rsidR="00E3750C" w:rsidRPr="003C73C9" w:rsidRDefault="00E3750C" w:rsidP="00047864">
            <w:pPr>
              <w:spacing w:after="0" w:line="240" w:lineRule="auto"/>
              <w:jc w:val="right"/>
              <w:rPr>
                <w:rFonts w:ascii="Arial" w:eastAsia="Times New Roman" w:hAnsi="Arial" w:cs="Arial"/>
                <w:color w:val="000000"/>
                <w:sz w:val="18"/>
                <w:szCs w:val="18"/>
                <w:lang w:eastAsia="sl-SI"/>
              </w:rPr>
            </w:pPr>
            <w:r w:rsidRPr="003C73C9">
              <w:rPr>
                <w:rFonts w:ascii="Arial" w:hAnsi="Arial" w:cs="Arial"/>
                <w:color w:val="000000"/>
                <w:sz w:val="18"/>
                <w:szCs w:val="18"/>
              </w:rPr>
              <w:t>1.615</w:t>
            </w:r>
          </w:p>
        </w:tc>
        <w:tc>
          <w:tcPr>
            <w:tcW w:w="1432" w:type="dxa"/>
            <w:tcBorders>
              <w:top w:val="nil"/>
              <w:left w:val="nil"/>
              <w:bottom w:val="single" w:sz="4" w:space="0" w:color="auto"/>
              <w:right w:val="single" w:sz="4" w:space="0" w:color="auto"/>
            </w:tcBorders>
            <w:shd w:val="clear" w:color="auto" w:fill="auto"/>
            <w:vAlign w:val="center"/>
            <w:hideMark/>
          </w:tcPr>
          <w:p w14:paraId="222CD769" w14:textId="77777777" w:rsidR="00E3750C" w:rsidRPr="003C73C9" w:rsidRDefault="00E3750C" w:rsidP="00047864">
            <w:pPr>
              <w:spacing w:after="0" w:line="240" w:lineRule="auto"/>
              <w:jc w:val="right"/>
              <w:rPr>
                <w:rFonts w:ascii="Arial" w:eastAsia="Times New Roman" w:hAnsi="Arial" w:cs="Arial"/>
                <w:color w:val="000000"/>
                <w:sz w:val="18"/>
                <w:szCs w:val="18"/>
                <w:lang w:eastAsia="sl-SI"/>
              </w:rPr>
            </w:pPr>
            <w:r w:rsidRPr="003C73C9">
              <w:rPr>
                <w:rFonts w:ascii="Arial" w:hAnsi="Arial" w:cs="Arial"/>
                <w:color w:val="000000"/>
                <w:sz w:val="18"/>
                <w:szCs w:val="18"/>
              </w:rPr>
              <w:t>782.858.863</w:t>
            </w:r>
          </w:p>
        </w:tc>
        <w:tc>
          <w:tcPr>
            <w:tcW w:w="992" w:type="dxa"/>
            <w:tcBorders>
              <w:top w:val="nil"/>
              <w:left w:val="nil"/>
              <w:bottom w:val="single" w:sz="4" w:space="0" w:color="auto"/>
              <w:right w:val="single" w:sz="4" w:space="0" w:color="auto"/>
            </w:tcBorders>
            <w:shd w:val="clear" w:color="auto" w:fill="auto"/>
            <w:noWrap/>
            <w:vAlign w:val="center"/>
            <w:hideMark/>
          </w:tcPr>
          <w:p w14:paraId="2D50ABD1" w14:textId="77777777" w:rsidR="00E3750C" w:rsidRPr="003C73C9" w:rsidRDefault="00E3750C" w:rsidP="00047864">
            <w:pPr>
              <w:spacing w:after="0" w:line="240" w:lineRule="auto"/>
              <w:jc w:val="right"/>
              <w:rPr>
                <w:rFonts w:ascii="Arial" w:eastAsia="Times New Roman" w:hAnsi="Arial" w:cs="Arial"/>
                <w:color w:val="000000"/>
                <w:sz w:val="18"/>
                <w:szCs w:val="18"/>
                <w:lang w:eastAsia="sl-SI"/>
              </w:rPr>
            </w:pPr>
            <w:r w:rsidRPr="003C73C9">
              <w:rPr>
                <w:rFonts w:ascii="Arial" w:hAnsi="Arial" w:cs="Arial"/>
                <w:color w:val="000000"/>
                <w:sz w:val="18"/>
                <w:szCs w:val="18"/>
              </w:rPr>
              <w:t>90,02 %</w:t>
            </w:r>
          </w:p>
        </w:tc>
        <w:tc>
          <w:tcPr>
            <w:tcW w:w="1276" w:type="dxa"/>
            <w:tcBorders>
              <w:top w:val="nil"/>
              <w:left w:val="nil"/>
              <w:bottom w:val="single" w:sz="4" w:space="0" w:color="auto"/>
              <w:right w:val="single" w:sz="4" w:space="0" w:color="auto"/>
            </w:tcBorders>
            <w:shd w:val="clear" w:color="auto" w:fill="auto"/>
            <w:noWrap/>
            <w:vAlign w:val="center"/>
            <w:hideMark/>
          </w:tcPr>
          <w:p w14:paraId="0ADC2E25" w14:textId="77777777" w:rsidR="00E3750C" w:rsidRPr="003C73C9" w:rsidRDefault="00E3750C" w:rsidP="00047864">
            <w:pPr>
              <w:spacing w:after="0" w:line="240" w:lineRule="auto"/>
              <w:jc w:val="right"/>
              <w:rPr>
                <w:rFonts w:ascii="Arial" w:eastAsia="Times New Roman" w:hAnsi="Arial" w:cs="Arial"/>
                <w:color w:val="000000"/>
                <w:sz w:val="18"/>
                <w:szCs w:val="18"/>
                <w:lang w:eastAsia="sl-SI"/>
              </w:rPr>
            </w:pPr>
            <w:r w:rsidRPr="003C73C9">
              <w:rPr>
                <w:rFonts w:ascii="Arial" w:hAnsi="Arial" w:cs="Arial"/>
                <w:color w:val="000000"/>
                <w:sz w:val="18"/>
                <w:szCs w:val="18"/>
              </w:rPr>
              <w:t>92,02 %</w:t>
            </w:r>
          </w:p>
        </w:tc>
      </w:tr>
      <w:tr w:rsidR="00E3750C" w:rsidRPr="003C73C9" w14:paraId="013042EC" w14:textId="77777777" w:rsidTr="00047864">
        <w:trPr>
          <w:trHeight w:val="255"/>
        </w:trPr>
        <w:tc>
          <w:tcPr>
            <w:tcW w:w="1301" w:type="dxa"/>
            <w:vMerge/>
            <w:tcBorders>
              <w:top w:val="nil"/>
              <w:left w:val="single" w:sz="4" w:space="0" w:color="auto"/>
              <w:bottom w:val="single" w:sz="4" w:space="0" w:color="auto"/>
              <w:right w:val="single" w:sz="4" w:space="0" w:color="auto"/>
            </w:tcBorders>
            <w:vAlign w:val="center"/>
            <w:hideMark/>
          </w:tcPr>
          <w:p w14:paraId="0F27F289" w14:textId="77777777" w:rsidR="00E3750C" w:rsidRPr="003C73C9" w:rsidRDefault="00E3750C" w:rsidP="00047864">
            <w:pPr>
              <w:spacing w:after="0" w:line="240" w:lineRule="auto"/>
              <w:rPr>
                <w:rFonts w:ascii="Arial" w:eastAsia="Times New Roman" w:hAnsi="Arial" w:cs="Arial"/>
                <w:color w:val="000000"/>
                <w:sz w:val="18"/>
                <w:szCs w:val="18"/>
                <w:lang w:eastAsia="sl-SI"/>
              </w:rPr>
            </w:pPr>
          </w:p>
        </w:tc>
        <w:tc>
          <w:tcPr>
            <w:tcW w:w="3074" w:type="dxa"/>
            <w:tcBorders>
              <w:top w:val="nil"/>
              <w:left w:val="nil"/>
              <w:bottom w:val="single" w:sz="4" w:space="0" w:color="auto"/>
              <w:right w:val="single" w:sz="4" w:space="0" w:color="auto"/>
            </w:tcBorders>
            <w:shd w:val="clear" w:color="auto" w:fill="auto"/>
            <w:vAlign w:val="center"/>
            <w:hideMark/>
          </w:tcPr>
          <w:p w14:paraId="0A9023FA" w14:textId="77777777" w:rsidR="00E3750C" w:rsidRPr="003C73C9" w:rsidRDefault="00E3750C" w:rsidP="00047864">
            <w:pPr>
              <w:spacing w:after="0" w:line="240" w:lineRule="auto"/>
              <w:rPr>
                <w:rFonts w:ascii="Arial" w:eastAsia="Times New Roman" w:hAnsi="Arial" w:cs="Arial"/>
                <w:color w:val="000000"/>
                <w:sz w:val="18"/>
                <w:szCs w:val="18"/>
                <w:lang w:eastAsia="sl-SI"/>
              </w:rPr>
            </w:pPr>
            <w:r w:rsidRPr="003C73C9">
              <w:rPr>
                <w:rFonts w:ascii="Arial" w:eastAsia="Times New Roman" w:hAnsi="Arial" w:cs="Arial"/>
                <w:color w:val="000000"/>
                <w:sz w:val="18"/>
                <w:szCs w:val="18"/>
                <w:lang w:eastAsia="sl-SI"/>
              </w:rPr>
              <w:t>Ekonomsko najugodnejša ponudba</w:t>
            </w:r>
          </w:p>
        </w:tc>
        <w:tc>
          <w:tcPr>
            <w:tcW w:w="1134" w:type="dxa"/>
            <w:tcBorders>
              <w:top w:val="nil"/>
              <w:left w:val="nil"/>
              <w:bottom w:val="single" w:sz="4" w:space="0" w:color="auto"/>
              <w:right w:val="single" w:sz="4" w:space="0" w:color="auto"/>
            </w:tcBorders>
            <w:shd w:val="clear" w:color="auto" w:fill="auto"/>
            <w:vAlign w:val="center"/>
            <w:hideMark/>
          </w:tcPr>
          <w:p w14:paraId="56C0D5C2" w14:textId="77777777" w:rsidR="00E3750C" w:rsidRPr="003C73C9" w:rsidRDefault="00E3750C" w:rsidP="00047864">
            <w:pPr>
              <w:spacing w:after="0" w:line="240" w:lineRule="auto"/>
              <w:jc w:val="right"/>
              <w:rPr>
                <w:rFonts w:ascii="Arial" w:eastAsia="Times New Roman" w:hAnsi="Arial" w:cs="Arial"/>
                <w:color w:val="000000"/>
                <w:sz w:val="18"/>
                <w:szCs w:val="18"/>
                <w:lang w:eastAsia="sl-SI"/>
              </w:rPr>
            </w:pPr>
            <w:r w:rsidRPr="003C73C9">
              <w:rPr>
                <w:rFonts w:ascii="Arial" w:hAnsi="Arial" w:cs="Arial"/>
                <w:color w:val="000000"/>
                <w:sz w:val="18"/>
                <w:szCs w:val="18"/>
              </w:rPr>
              <w:t>179</w:t>
            </w:r>
          </w:p>
        </w:tc>
        <w:tc>
          <w:tcPr>
            <w:tcW w:w="1432" w:type="dxa"/>
            <w:tcBorders>
              <w:top w:val="nil"/>
              <w:left w:val="nil"/>
              <w:bottom w:val="single" w:sz="4" w:space="0" w:color="auto"/>
              <w:right w:val="single" w:sz="4" w:space="0" w:color="auto"/>
            </w:tcBorders>
            <w:shd w:val="clear" w:color="auto" w:fill="auto"/>
            <w:vAlign w:val="center"/>
            <w:hideMark/>
          </w:tcPr>
          <w:p w14:paraId="3ED54633" w14:textId="77777777" w:rsidR="00E3750C" w:rsidRPr="003C73C9" w:rsidRDefault="00E3750C" w:rsidP="00047864">
            <w:pPr>
              <w:spacing w:after="0" w:line="240" w:lineRule="auto"/>
              <w:jc w:val="right"/>
              <w:rPr>
                <w:rFonts w:ascii="Arial" w:eastAsia="Times New Roman" w:hAnsi="Arial" w:cs="Arial"/>
                <w:color w:val="000000"/>
                <w:sz w:val="18"/>
                <w:szCs w:val="18"/>
                <w:lang w:eastAsia="sl-SI"/>
              </w:rPr>
            </w:pPr>
            <w:r w:rsidRPr="003C73C9">
              <w:rPr>
                <w:rFonts w:ascii="Arial" w:hAnsi="Arial" w:cs="Arial"/>
                <w:color w:val="000000"/>
                <w:sz w:val="18"/>
                <w:szCs w:val="18"/>
              </w:rPr>
              <w:t>67.872.298</w:t>
            </w:r>
          </w:p>
        </w:tc>
        <w:tc>
          <w:tcPr>
            <w:tcW w:w="992" w:type="dxa"/>
            <w:tcBorders>
              <w:top w:val="nil"/>
              <w:left w:val="nil"/>
              <w:bottom w:val="single" w:sz="4" w:space="0" w:color="auto"/>
              <w:right w:val="single" w:sz="4" w:space="0" w:color="auto"/>
            </w:tcBorders>
            <w:shd w:val="clear" w:color="auto" w:fill="auto"/>
            <w:noWrap/>
            <w:vAlign w:val="center"/>
            <w:hideMark/>
          </w:tcPr>
          <w:p w14:paraId="16F2DA63" w14:textId="77777777" w:rsidR="00E3750C" w:rsidRPr="003C73C9" w:rsidRDefault="00E3750C" w:rsidP="00047864">
            <w:pPr>
              <w:spacing w:after="0" w:line="240" w:lineRule="auto"/>
              <w:jc w:val="right"/>
              <w:rPr>
                <w:rFonts w:ascii="Arial" w:eastAsia="Times New Roman" w:hAnsi="Arial" w:cs="Arial"/>
                <w:color w:val="000000"/>
                <w:sz w:val="18"/>
                <w:szCs w:val="18"/>
                <w:lang w:eastAsia="sl-SI"/>
              </w:rPr>
            </w:pPr>
            <w:r w:rsidRPr="003C73C9">
              <w:rPr>
                <w:rFonts w:ascii="Arial" w:hAnsi="Arial" w:cs="Arial"/>
                <w:color w:val="000000"/>
                <w:sz w:val="18"/>
                <w:szCs w:val="18"/>
              </w:rPr>
              <w:t>9,98 %</w:t>
            </w:r>
          </w:p>
        </w:tc>
        <w:tc>
          <w:tcPr>
            <w:tcW w:w="1276" w:type="dxa"/>
            <w:tcBorders>
              <w:top w:val="nil"/>
              <w:left w:val="nil"/>
              <w:bottom w:val="single" w:sz="4" w:space="0" w:color="auto"/>
              <w:right w:val="single" w:sz="4" w:space="0" w:color="auto"/>
            </w:tcBorders>
            <w:shd w:val="clear" w:color="auto" w:fill="auto"/>
            <w:noWrap/>
            <w:vAlign w:val="center"/>
            <w:hideMark/>
          </w:tcPr>
          <w:p w14:paraId="7DB0C2DB" w14:textId="77777777" w:rsidR="00E3750C" w:rsidRPr="003C73C9" w:rsidRDefault="00E3750C" w:rsidP="00047864">
            <w:pPr>
              <w:spacing w:after="0" w:line="240" w:lineRule="auto"/>
              <w:jc w:val="right"/>
              <w:rPr>
                <w:rFonts w:ascii="Arial" w:eastAsia="Times New Roman" w:hAnsi="Arial" w:cs="Arial"/>
                <w:color w:val="000000"/>
                <w:sz w:val="18"/>
                <w:szCs w:val="18"/>
                <w:lang w:eastAsia="sl-SI"/>
              </w:rPr>
            </w:pPr>
            <w:r w:rsidRPr="003C73C9">
              <w:rPr>
                <w:rFonts w:ascii="Arial" w:hAnsi="Arial" w:cs="Arial"/>
                <w:color w:val="000000"/>
                <w:sz w:val="18"/>
                <w:szCs w:val="18"/>
              </w:rPr>
              <w:t>7,98 %</w:t>
            </w:r>
          </w:p>
        </w:tc>
      </w:tr>
      <w:tr w:rsidR="00E3750C" w:rsidRPr="003C73C9" w14:paraId="17063814" w14:textId="77777777" w:rsidTr="00047864">
        <w:trPr>
          <w:trHeight w:val="255"/>
        </w:trPr>
        <w:tc>
          <w:tcPr>
            <w:tcW w:w="1301" w:type="dxa"/>
            <w:vMerge/>
            <w:tcBorders>
              <w:top w:val="nil"/>
              <w:left w:val="single" w:sz="4" w:space="0" w:color="auto"/>
              <w:bottom w:val="single" w:sz="4" w:space="0" w:color="auto"/>
              <w:right w:val="single" w:sz="4" w:space="0" w:color="auto"/>
            </w:tcBorders>
            <w:vAlign w:val="center"/>
            <w:hideMark/>
          </w:tcPr>
          <w:p w14:paraId="338418D9" w14:textId="77777777" w:rsidR="00E3750C" w:rsidRPr="003C73C9" w:rsidRDefault="00E3750C" w:rsidP="00047864">
            <w:pPr>
              <w:spacing w:after="0" w:line="240" w:lineRule="auto"/>
              <w:rPr>
                <w:rFonts w:ascii="Arial" w:eastAsia="Times New Roman" w:hAnsi="Arial" w:cs="Arial"/>
                <w:color w:val="000000"/>
                <w:sz w:val="18"/>
                <w:szCs w:val="18"/>
                <w:lang w:eastAsia="sl-SI"/>
              </w:rPr>
            </w:pPr>
          </w:p>
        </w:tc>
        <w:tc>
          <w:tcPr>
            <w:tcW w:w="3074" w:type="dxa"/>
            <w:tcBorders>
              <w:top w:val="nil"/>
              <w:left w:val="nil"/>
              <w:bottom w:val="single" w:sz="4" w:space="0" w:color="auto"/>
              <w:right w:val="single" w:sz="4" w:space="0" w:color="auto"/>
            </w:tcBorders>
            <w:shd w:val="clear" w:color="auto" w:fill="auto"/>
            <w:vAlign w:val="center"/>
            <w:hideMark/>
          </w:tcPr>
          <w:p w14:paraId="6DBA10C0" w14:textId="77777777" w:rsidR="00E3750C" w:rsidRPr="003C73C9" w:rsidRDefault="00E3750C" w:rsidP="00047864">
            <w:pPr>
              <w:spacing w:after="0" w:line="240" w:lineRule="auto"/>
              <w:rPr>
                <w:rFonts w:ascii="Arial" w:eastAsia="Times New Roman" w:hAnsi="Arial" w:cs="Arial"/>
                <w:b/>
                <w:bCs/>
                <w:color w:val="000000"/>
                <w:sz w:val="18"/>
                <w:szCs w:val="18"/>
                <w:lang w:eastAsia="sl-SI"/>
              </w:rPr>
            </w:pPr>
            <w:r w:rsidRPr="003C73C9">
              <w:rPr>
                <w:rFonts w:ascii="Arial" w:eastAsia="Times New Roman" w:hAnsi="Arial" w:cs="Arial"/>
                <w:b/>
                <w:bCs/>
                <w:color w:val="000000"/>
                <w:sz w:val="18"/>
                <w:szCs w:val="18"/>
                <w:lang w:eastAsia="sl-SI"/>
              </w:rPr>
              <w:t>Skupaj</w:t>
            </w:r>
          </w:p>
        </w:tc>
        <w:tc>
          <w:tcPr>
            <w:tcW w:w="1134" w:type="dxa"/>
            <w:tcBorders>
              <w:top w:val="nil"/>
              <w:left w:val="nil"/>
              <w:bottom w:val="single" w:sz="4" w:space="0" w:color="auto"/>
              <w:right w:val="single" w:sz="4" w:space="0" w:color="auto"/>
            </w:tcBorders>
            <w:shd w:val="clear" w:color="auto" w:fill="auto"/>
            <w:vAlign w:val="center"/>
            <w:hideMark/>
          </w:tcPr>
          <w:p w14:paraId="16218BE1" w14:textId="77777777" w:rsidR="00E3750C" w:rsidRPr="003C73C9" w:rsidRDefault="00E3750C" w:rsidP="00047864">
            <w:pPr>
              <w:spacing w:after="0" w:line="240" w:lineRule="auto"/>
              <w:jc w:val="right"/>
              <w:rPr>
                <w:rFonts w:ascii="Arial" w:eastAsia="Times New Roman" w:hAnsi="Arial" w:cs="Arial"/>
                <w:b/>
                <w:bCs/>
                <w:color w:val="000000"/>
                <w:sz w:val="18"/>
                <w:szCs w:val="18"/>
                <w:lang w:eastAsia="sl-SI"/>
              </w:rPr>
            </w:pPr>
            <w:r w:rsidRPr="003C73C9">
              <w:rPr>
                <w:rFonts w:ascii="Arial" w:hAnsi="Arial" w:cs="Arial"/>
                <w:b/>
                <w:bCs/>
                <w:color w:val="000000"/>
                <w:sz w:val="18"/>
                <w:szCs w:val="18"/>
              </w:rPr>
              <w:t>1.794</w:t>
            </w:r>
          </w:p>
        </w:tc>
        <w:tc>
          <w:tcPr>
            <w:tcW w:w="1432" w:type="dxa"/>
            <w:tcBorders>
              <w:top w:val="nil"/>
              <w:left w:val="nil"/>
              <w:bottom w:val="single" w:sz="4" w:space="0" w:color="auto"/>
              <w:right w:val="single" w:sz="4" w:space="0" w:color="auto"/>
            </w:tcBorders>
            <w:shd w:val="clear" w:color="auto" w:fill="auto"/>
            <w:vAlign w:val="center"/>
            <w:hideMark/>
          </w:tcPr>
          <w:p w14:paraId="1FFFE4D2" w14:textId="77777777" w:rsidR="00E3750C" w:rsidRPr="003C73C9" w:rsidRDefault="00E3750C" w:rsidP="00047864">
            <w:pPr>
              <w:spacing w:after="0" w:line="240" w:lineRule="auto"/>
              <w:jc w:val="right"/>
              <w:rPr>
                <w:rFonts w:ascii="Arial" w:eastAsia="Times New Roman" w:hAnsi="Arial" w:cs="Arial"/>
                <w:b/>
                <w:bCs/>
                <w:color w:val="000000"/>
                <w:sz w:val="18"/>
                <w:szCs w:val="18"/>
                <w:lang w:eastAsia="sl-SI"/>
              </w:rPr>
            </w:pPr>
            <w:r w:rsidRPr="003C73C9">
              <w:rPr>
                <w:rFonts w:ascii="Arial" w:hAnsi="Arial" w:cs="Arial"/>
                <w:b/>
                <w:bCs/>
                <w:color w:val="000000"/>
                <w:sz w:val="18"/>
                <w:szCs w:val="18"/>
              </w:rPr>
              <w:t>850.731.161</w:t>
            </w:r>
          </w:p>
        </w:tc>
        <w:tc>
          <w:tcPr>
            <w:tcW w:w="992" w:type="dxa"/>
            <w:tcBorders>
              <w:top w:val="nil"/>
              <w:left w:val="nil"/>
              <w:bottom w:val="single" w:sz="4" w:space="0" w:color="auto"/>
              <w:right w:val="single" w:sz="4" w:space="0" w:color="auto"/>
            </w:tcBorders>
            <w:shd w:val="clear" w:color="auto" w:fill="auto"/>
            <w:vAlign w:val="center"/>
            <w:hideMark/>
          </w:tcPr>
          <w:p w14:paraId="36FA1AF7" w14:textId="77777777" w:rsidR="00E3750C" w:rsidRPr="003C73C9" w:rsidRDefault="00E3750C" w:rsidP="00047864">
            <w:pPr>
              <w:spacing w:after="0" w:line="240" w:lineRule="auto"/>
              <w:jc w:val="right"/>
              <w:rPr>
                <w:rFonts w:ascii="Arial" w:eastAsia="Times New Roman" w:hAnsi="Arial" w:cs="Arial"/>
                <w:b/>
                <w:bCs/>
                <w:color w:val="000000"/>
                <w:sz w:val="18"/>
                <w:szCs w:val="18"/>
                <w:lang w:eastAsia="sl-SI"/>
              </w:rPr>
            </w:pPr>
            <w:r w:rsidRPr="003C73C9">
              <w:rPr>
                <w:rFonts w:ascii="Arial" w:hAnsi="Arial" w:cs="Arial"/>
                <w:b/>
                <w:bCs/>
                <w:color w:val="000000"/>
                <w:sz w:val="18"/>
                <w:szCs w:val="18"/>
              </w:rPr>
              <w:t>100,00 %</w:t>
            </w:r>
          </w:p>
        </w:tc>
        <w:tc>
          <w:tcPr>
            <w:tcW w:w="1276" w:type="dxa"/>
            <w:tcBorders>
              <w:top w:val="nil"/>
              <w:left w:val="nil"/>
              <w:bottom w:val="single" w:sz="4" w:space="0" w:color="auto"/>
              <w:right w:val="single" w:sz="4" w:space="0" w:color="auto"/>
            </w:tcBorders>
            <w:shd w:val="clear" w:color="auto" w:fill="auto"/>
            <w:vAlign w:val="center"/>
            <w:hideMark/>
          </w:tcPr>
          <w:p w14:paraId="33E944EE" w14:textId="77777777" w:rsidR="00E3750C" w:rsidRPr="003C73C9" w:rsidRDefault="00E3750C" w:rsidP="00047864">
            <w:pPr>
              <w:spacing w:after="0" w:line="240" w:lineRule="auto"/>
              <w:jc w:val="right"/>
              <w:rPr>
                <w:rFonts w:ascii="Arial" w:eastAsia="Times New Roman" w:hAnsi="Arial" w:cs="Arial"/>
                <w:b/>
                <w:bCs/>
                <w:color w:val="000000"/>
                <w:sz w:val="18"/>
                <w:szCs w:val="18"/>
                <w:lang w:eastAsia="sl-SI"/>
              </w:rPr>
            </w:pPr>
            <w:r w:rsidRPr="003C73C9">
              <w:rPr>
                <w:rFonts w:ascii="Arial" w:hAnsi="Arial" w:cs="Arial"/>
                <w:b/>
                <w:bCs/>
                <w:color w:val="000000"/>
                <w:sz w:val="18"/>
                <w:szCs w:val="18"/>
              </w:rPr>
              <w:t>100,00 %</w:t>
            </w:r>
          </w:p>
        </w:tc>
      </w:tr>
      <w:tr w:rsidR="00E3750C" w:rsidRPr="003C73C9" w14:paraId="432387F4" w14:textId="77777777" w:rsidTr="00047864">
        <w:trPr>
          <w:trHeight w:val="255"/>
        </w:trPr>
        <w:tc>
          <w:tcPr>
            <w:tcW w:w="1301" w:type="dxa"/>
            <w:vMerge w:val="restart"/>
            <w:tcBorders>
              <w:top w:val="nil"/>
              <w:left w:val="single" w:sz="4" w:space="0" w:color="auto"/>
              <w:bottom w:val="single" w:sz="4" w:space="0" w:color="auto"/>
              <w:right w:val="single" w:sz="4" w:space="0" w:color="auto"/>
            </w:tcBorders>
            <w:shd w:val="clear" w:color="auto" w:fill="auto"/>
            <w:vAlign w:val="center"/>
            <w:hideMark/>
          </w:tcPr>
          <w:p w14:paraId="64A21408" w14:textId="77777777" w:rsidR="00E3750C" w:rsidRPr="003C73C9" w:rsidRDefault="00E3750C" w:rsidP="00047864">
            <w:pPr>
              <w:spacing w:after="0" w:line="240" w:lineRule="auto"/>
              <w:rPr>
                <w:rFonts w:ascii="Arial" w:eastAsia="Times New Roman" w:hAnsi="Arial" w:cs="Arial"/>
                <w:color w:val="000000"/>
                <w:sz w:val="18"/>
                <w:szCs w:val="18"/>
                <w:lang w:eastAsia="sl-SI"/>
              </w:rPr>
            </w:pPr>
            <w:r w:rsidRPr="003C73C9">
              <w:rPr>
                <w:rFonts w:ascii="Arial" w:eastAsia="Times New Roman" w:hAnsi="Arial" w:cs="Arial"/>
                <w:color w:val="000000"/>
                <w:sz w:val="18"/>
                <w:szCs w:val="18"/>
                <w:lang w:eastAsia="sl-SI"/>
              </w:rPr>
              <w:t>Obrambno</w:t>
            </w:r>
          </w:p>
        </w:tc>
        <w:tc>
          <w:tcPr>
            <w:tcW w:w="3074" w:type="dxa"/>
            <w:tcBorders>
              <w:top w:val="nil"/>
              <w:left w:val="nil"/>
              <w:bottom w:val="single" w:sz="4" w:space="0" w:color="auto"/>
              <w:right w:val="single" w:sz="4" w:space="0" w:color="auto"/>
            </w:tcBorders>
            <w:shd w:val="clear" w:color="auto" w:fill="auto"/>
            <w:vAlign w:val="center"/>
            <w:hideMark/>
          </w:tcPr>
          <w:p w14:paraId="38E75CA9" w14:textId="77777777" w:rsidR="00E3750C" w:rsidRPr="003C73C9" w:rsidRDefault="00E3750C" w:rsidP="00047864">
            <w:pPr>
              <w:spacing w:after="0" w:line="240" w:lineRule="auto"/>
              <w:rPr>
                <w:rFonts w:ascii="Arial" w:eastAsia="Times New Roman" w:hAnsi="Arial" w:cs="Arial"/>
                <w:color w:val="000000"/>
                <w:sz w:val="18"/>
                <w:szCs w:val="18"/>
                <w:lang w:eastAsia="sl-SI"/>
              </w:rPr>
            </w:pPr>
            <w:r w:rsidRPr="003C73C9">
              <w:rPr>
                <w:rFonts w:ascii="Arial" w:eastAsia="Times New Roman" w:hAnsi="Arial" w:cs="Arial"/>
                <w:color w:val="000000"/>
                <w:sz w:val="18"/>
                <w:szCs w:val="18"/>
                <w:lang w:eastAsia="sl-SI"/>
              </w:rPr>
              <w:t>Cena</w:t>
            </w:r>
          </w:p>
        </w:tc>
        <w:tc>
          <w:tcPr>
            <w:tcW w:w="1134" w:type="dxa"/>
            <w:tcBorders>
              <w:top w:val="nil"/>
              <w:left w:val="nil"/>
              <w:bottom w:val="single" w:sz="4" w:space="0" w:color="auto"/>
              <w:right w:val="single" w:sz="4" w:space="0" w:color="auto"/>
            </w:tcBorders>
            <w:shd w:val="clear" w:color="auto" w:fill="auto"/>
            <w:vAlign w:val="center"/>
            <w:hideMark/>
          </w:tcPr>
          <w:p w14:paraId="1EDA8C80" w14:textId="77777777" w:rsidR="00E3750C" w:rsidRPr="003C73C9" w:rsidRDefault="00E3750C" w:rsidP="00047864">
            <w:pPr>
              <w:spacing w:after="0" w:line="240" w:lineRule="auto"/>
              <w:jc w:val="right"/>
              <w:rPr>
                <w:rFonts w:ascii="Arial" w:eastAsia="Times New Roman" w:hAnsi="Arial" w:cs="Arial"/>
                <w:color w:val="000000"/>
                <w:sz w:val="18"/>
                <w:szCs w:val="18"/>
                <w:lang w:eastAsia="sl-SI"/>
              </w:rPr>
            </w:pPr>
            <w:r w:rsidRPr="003C73C9">
              <w:rPr>
                <w:rFonts w:ascii="Arial" w:hAnsi="Arial" w:cs="Arial"/>
                <w:color w:val="000000"/>
                <w:sz w:val="18"/>
                <w:szCs w:val="18"/>
              </w:rPr>
              <w:t>88</w:t>
            </w:r>
          </w:p>
        </w:tc>
        <w:tc>
          <w:tcPr>
            <w:tcW w:w="1432" w:type="dxa"/>
            <w:tcBorders>
              <w:top w:val="nil"/>
              <w:left w:val="nil"/>
              <w:bottom w:val="single" w:sz="4" w:space="0" w:color="auto"/>
              <w:right w:val="single" w:sz="4" w:space="0" w:color="auto"/>
            </w:tcBorders>
            <w:shd w:val="clear" w:color="auto" w:fill="auto"/>
            <w:vAlign w:val="center"/>
            <w:hideMark/>
          </w:tcPr>
          <w:p w14:paraId="414CBA74" w14:textId="77777777" w:rsidR="00E3750C" w:rsidRPr="003C73C9" w:rsidRDefault="00E3750C" w:rsidP="00047864">
            <w:pPr>
              <w:spacing w:after="0" w:line="240" w:lineRule="auto"/>
              <w:jc w:val="right"/>
              <w:rPr>
                <w:rFonts w:ascii="Arial" w:eastAsia="Times New Roman" w:hAnsi="Arial" w:cs="Arial"/>
                <w:color w:val="000000"/>
                <w:sz w:val="18"/>
                <w:szCs w:val="18"/>
                <w:lang w:eastAsia="sl-SI"/>
              </w:rPr>
            </w:pPr>
            <w:r w:rsidRPr="003C73C9">
              <w:rPr>
                <w:rFonts w:ascii="Arial" w:hAnsi="Arial" w:cs="Arial"/>
                <w:color w:val="000000"/>
                <w:sz w:val="18"/>
                <w:szCs w:val="18"/>
              </w:rPr>
              <w:t>44.382.620</w:t>
            </w:r>
          </w:p>
        </w:tc>
        <w:tc>
          <w:tcPr>
            <w:tcW w:w="992" w:type="dxa"/>
            <w:tcBorders>
              <w:top w:val="nil"/>
              <w:left w:val="nil"/>
              <w:bottom w:val="single" w:sz="4" w:space="0" w:color="auto"/>
              <w:right w:val="single" w:sz="4" w:space="0" w:color="auto"/>
            </w:tcBorders>
            <w:shd w:val="clear" w:color="auto" w:fill="auto"/>
            <w:noWrap/>
            <w:vAlign w:val="center"/>
            <w:hideMark/>
          </w:tcPr>
          <w:p w14:paraId="3799D792" w14:textId="77777777" w:rsidR="00E3750C" w:rsidRPr="003C73C9" w:rsidRDefault="00E3750C" w:rsidP="00047864">
            <w:pPr>
              <w:spacing w:after="0" w:line="240" w:lineRule="auto"/>
              <w:jc w:val="right"/>
              <w:rPr>
                <w:rFonts w:ascii="Arial" w:eastAsia="Times New Roman" w:hAnsi="Arial" w:cs="Arial"/>
                <w:color w:val="000000"/>
                <w:sz w:val="18"/>
                <w:szCs w:val="18"/>
                <w:lang w:eastAsia="sl-SI"/>
              </w:rPr>
            </w:pPr>
            <w:r w:rsidRPr="003C73C9">
              <w:rPr>
                <w:rFonts w:ascii="Arial" w:hAnsi="Arial" w:cs="Arial"/>
                <w:color w:val="000000"/>
                <w:sz w:val="18"/>
                <w:szCs w:val="18"/>
              </w:rPr>
              <w:t>81,48 %</w:t>
            </w:r>
          </w:p>
        </w:tc>
        <w:tc>
          <w:tcPr>
            <w:tcW w:w="1276" w:type="dxa"/>
            <w:tcBorders>
              <w:top w:val="nil"/>
              <w:left w:val="nil"/>
              <w:bottom w:val="single" w:sz="4" w:space="0" w:color="auto"/>
              <w:right w:val="single" w:sz="4" w:space="0" w:color="auto"/>
            </w:tcBorders>
            <w:shd w:val="clear" w:color="auto" w:fill="auto"/>
            <w:noWrap/>
            <w:vAlign w:val="center"/>
            <w:hideMark/>
          </w:tcPr>
          <w:p w14:paraId="23EFD74E" w14:textId="77777777" w:rsidR="00E3750C" w:rsidRPr="003C73C9" w:rsidRDefault="00E3750C" w:rsidP="00047864">
            <w:pPr>
              <w:spacing w:after="0" w:line="240" w:lineRule="auto"/>
              <w:jc w:val="right"/>
              <w:rPr>
                <w:rFonts w:ascii="Arial" w:eastAsia="Times New Roman" w:hAnsi="Arial" w:cs="Arial"/>
                <w:color w:val="000000"/>
                <w:sz w:val="18"/>
                <w:szCs w:val="18"/>
                <w:lang w:eastAsia="sl-SI"/>
              </w:rPr>
            </w:pPr>
            <w:r w:rsidRPr="003C73C9">
              <w:rPr>
                <w:rFonts w:ascii="Arial" w:hAnsi="Arial" w:cs="Arial"/>
                <w:color w:val="000000"/>
                <w:sz w:val="18"/>
                <w:szCs w:val="18"/>
              </w:rPr>
              <w:t>79,43 %</w:t>
            </w:r>
          </w:p>
        </w:tc>
      </w:tr>
      <w:tr w:rsidR="00E3750C" w:rsidRPr="003C73C9" w14:paraId="540CCD7E" w14:textId="77777777" w:rsidTr="00047864">
        <w:trPr>
          <w:trHeight w:val="255"/>
        </w:trPr>
        <w:tc>
          <w:tcPr>
            <w:tcW w:w="1301" w:type="dxa"/>
            <w:vMerge/>
            <w:tcBorders>
              <w:top w:val="nil"/>
              <w:left w:val="single" w:sz="4" w:space="0" w:color="auto"/>
              <w:bottom w:val="single" w:sz="4" w:space="0" w:color="auto"/>
              <w:right w:val="single" w:sz="4" w:space="0" w:color="auto"/>
            </w:tcBorders>
            <w:vAlign w:val="center"/>
            <w:hideMark/>
          </w:tcPr>
          <w:p w14:paraId="45237375" w14:textId="77777777" w:rsidR="00E3750C" w:rsidRPr="003C73C9" w:rsidRDefault="00E3750C" w:rsidP="00047864">
            <w:pPr>
              <w:spacing w:after="0" w:line="240" w:lineRule="auto"/>
              <w:rPr>
                <w:rFonts w:ascii="Arial" w:eastAsia="Times New Roman" w:hAnsi="Arial" w:cs="Arial"/>
                <w:color w:val="000000"/>
                <w:sz w:val="18"/>
                <w:szCs w:val="18"/>
                <w:lang w:eastAsia="sl-SI"/>
              </w:rPr>
            </w:pPr>
          </w:p>
        </w:tc>
        <w:tc>
          <w:tcPr>
            <w:tcW w:w="3074" w:type="dxa"/>
            <w:tcBorders>
              <w:top w:val="nil"/>
              <w:left w:val="nil"/>
              <w:bottom w:val="single" w:sz="4" w:space="0" w:color="auto"/>
              <w:right w:val="single" w:sz="4" w:space="0" w:color="auto"/>
            </w:tcBorders>
            <w:shd w:val="clear" w:color="auto" w:fill="auto"/>
            <w:vAlign w:val="center"/>
            <w:hideMark/>
          </w:tcPr>
          <w:p w14:paraId="7C1124D8" w14:textId="77777777" w:rsidR="00E3750C" w:rsidRPr="003C73C9" w:rsidRDefault="00E3750C" w:rsidP="00047864">
            <w:pPr>
              <w:spacing w:after="0" w:line="240" w:lineRule="auto"/>
              <w:rPr>
                <w:rFonts w:ascii="Arial" w:eastAsia="Times New Roman" w:hAnsi="Arial" w:cs="Arial"/>
                <w:color w:val="000000"/>
                <w:sz w:val="18"/>
                <w:szCs w:val="18"/>
                <w:lang w:eastAsia="sl-SI"/>
              </w:rPr>
            </w:pPr>
            <w:r w:rsidRPr="003C73C9">
              <w:rPr>
                <w:rFonts w:ascii="Arial" w:eastAsia="Times New Roman" w:hAnsi="Arial" w:cs="Arial"/>
                <w:color w:val="000000"/>
                <w:sz w:val="18"/>
                <w:szCs w:val="18"/>
                <w:lang w:eastAsia="sl-SI"/>
              </w:rPr>
              <w:t>Ekonomsko najugodnejša ponudba</w:t>
            </w:r>
          </w:p>
        </w:tc>
        <w:tc>
          <w:tcPr>
            <w:tcW w:w="1134" w:type="dxa"/>
            <w:tcBorders>
              <w:top w:val="nil"/>
              <w:left w:val="nil"/>
              <w:bottom w:val="single" w:sz="4" w:space="0" w:color="auto"/>
              <w:right w:val="single" w:sz="4" w:space="0" w:color="auto"/>
            </w:tcBorders>
            <w:shd w:val="clear" w:color="auto" w:fill="auto"/>
            <w:vAlign w:val="center"/>
            <w:hideMark/>
          </w:tcPr>
          <w:p w14:paraId="38BF6E67" w14:textId="77777777" w:rsidR="00E3750C" w:rsidRPr="003C73C9" w:rsidRDefault="00E3750C" w:rsidP="00047864">
            <w:pPr>
              <w:spacing w:after="0" w:line="240" w:lineRule="auto"/>
              <w:jc w:val="right"/>
              <w:rPr>
                <w:rFonts w:ascii="Arial" w:eastAsia="Times New Roman" w:hAnsi="Arial" w:cs="Arial"/>
                <w:color w:val="000000"/>
                <w:sz w:val="18"/>
                <w:szCs w:val="18"/>
                <w:lang w:eastAsia="sl-SI"/>
              </w:rPr>
            </w:pPr>
            <w:r w:rsidRPr="003C73C9">
              <w:rPr>
                <w:rFonts w:ascii="Arial" w:hAnsi="Arial" w:cs="Arial"/>
                <w:color w:val="000000"/>
                <w:sz w:val="18"/>
                <w:szCs w:val="18"/>
              </w:rPr>
              <w:t>20</w:t>
            </w:r>
          </w:p>
        </w:tc>
        <w:tc>
          <w:tcPr>
            <w:tcW w:w="1432" w:type="dxa"/>
            <w:tcBorders>
              <w:top w:val="nil"/>
              <w:left w:val="nil"/>
              <w:bottom w:val="single" w:sz="4" w:space="0" w:color="auto"/>
              <w:right w:val="single" w:sz="4" w:space="0" w:color="auto"/>
            </w:tcBorders>
            <w:shd w:val="clear" w:color="auto" w:fill="auto"/>
            <w:vAlign w:val="center"/>
            <w:hideMark/>
          </w:tcPr>
          <w:p w14:paraId="22FB29AE" w14:textId="77777777" w:rsidR="00E3750C" w:rsidRPr="003C73C9" w:rsidRDefault="00E3750C" w:rsidP="00047864">
            <w:pPr>
              <w:spacing w:after="0" w:line="240" w:lineRule="auto"/>
              <w:jc w:val="right"/>
              <w:rPr>
                <w:rFonts w:ascii="Arial" w:eastAsia="Times New Roman" w:hAnsi="Arial" w:cs="Arial"/>
                <w:color w:val="000000"/>
                <w:sz w:val="18"/>
                <w:szCs w:val="18"/>
                <w:lang w:eastAsia="sl-SI"/>
              </w:rPr>
            </w:pPr>
            <w:r w:rsidRPr="003C73C9">
              <w:rPr>
                <w:rFonts w:ascii="Arial" w:hAnsi="Arial" w:cs="Arial"/>
                <w:color w:val="000000"/>
                <w:sz w:val="18"/>
                <w:szCs w:val="18"/>
              </w:rPr>
              <w:t>11.494.878</w:t>
            </w:r>
          </w:p>
        </w:tc>
        <w:tc>
          <w:tcPr>
            <w:tcW w:w="992" w:type="dxa"/>
            <w:tcBorders>
              <w:top w:val="nil"/>
              <w:left w:val="nil"/>
              <w:bottom w:val="single" w:sz="4" w:space="0" w:color="auto"/>
              <w:right w:val="single" w:sz="4" w:space="0" w:color="auto"/>
            </w:tcBorders>
            <w:shd w:val="clear" w:color="auto" w:fill="auto"/>
            <w:noWrap/>
            <w:vAlign w:val="center"/>
            <w:hideMark/>
          </w:tcPr>
          <w:p w14:paraId="187ABDE6" w14:textId="77777777" w:rsidR="00E3750C" w:rsidRPr="003C73C9" w:rsidRDefault="00E3750C" w:rsidP="00047864">
            <w:pPr>
              <w:spacing w:after="0" w:line="240" w:lineRule="auto"/>
              <w:jc w:val="right"/>
              <w:rPr>
                <w:rFonts w:ascii="Arial" w:eastAsia="Times New Roman" w:hAnsi="Arial" w:cs="Arial"/>
                <w:color w:val="000000"/>
                <w:sz w:val="18"/>
                <w:szCs w:val="18"/>
                <w:lang w:eastAsia="sl-SI"/>
              </w:rPr>
            </w:pPr>
            <w:r w:rsidRPr="003C73C9">
              <w:rPr>
                <w:rFonts w:ascii="Arial" w:hAnsi="Arial" w:cs="Arial"/>
                <w:color w:val="000000"/>
                <w:sz w:val="18"/>
                <w:szCs w:val="18"/>
              </w:rPr>
              <w:t>18,52 %</w:t>
            </w:r>
          </w:p>
        </w:tc>
        <w:tc>
          <w:tcPr>
            <w:tcW w:w="1276" w:type="dxa"/>
            <w:tcBorders>
              <w:top w:val="nil"/>
              <w:left w:val="nil"/>
              <w:bottom w:val="single" w:sz="4" w:space="0" w:color="auto"/>
              <w:right w:val="single" w:sz="4" w:space="0" w:color="auto"/>
            </w:tcBorders>
            <w:shd w:val="clear" w:color="auto" w:fill="auto"/>
            <w:noWrap/>
            <w:vAlign w:val="center"/>
            <w:hideMark/>
          </w:tcPr>
          <w:p w14:paraId="37D3D12F" w14:textId="77777777" w:rsidR="00E3750C" w:rsidRPr="003C73C9" w:rsidRDefault="00E3750C" w:rsidP="00047864">
            <w:pPr>
              <w:spacing w:after="0" w:line="240" w:lineRule="auto"/>
              <w:jc w:val="right"/>
              <w:rPr>
                <w:rFonts w:ascii="Arial" w:eastAsia="Times New Roman" w:hAnsi="Arial" w:cs="Arial"/>
                <w:color w:val="000000"/>
                <w:sz w:val="18"/>
                <w:szCs w:val="18"/>
                <w:lang w:eastAsia="sl-SI"/>
              </w:rPr>
            </w:pPr>
            <w:r w:rsidRPr="003C73C9">
              <w:rPr>
                <w:rFonts w:ascii="Arial" w:hAnsi="Arial" w:cs="Arial"/>
                <w:color w:val="000000"/>
                <w:sz w:val="18"/>
                <w:szCs w:val="18"/>
              </w:rPr>
              <w:t>20,57 %</w:t>
            </w:r>
          </w:p>
        </w:tc>
      </w:tr>
      <w:tr w:rsidR="00E3750C" w:rsidRPr="003C73C9" w14:paraId="5627D837" w14:textId="77777777" w:rsidTr="00047864">
        <w:trPr>
          <w:trHeight w:val="255"/>
        </w:trPr>
        <w:tc>
          <w:tcPr>
            <w:tcW w:w="1301" w:type="dxa"/>
            <w:vMerge/>
            <w:tcBorders>
              <w:top w:val="nil"/>
              <w:left w:val="single" w:sz="4" w:space="0" w:color="auto"/>
              <w:bottom w:val="single" w:sz="4" w:space="0" w:color="auto"/>
              <w:right w:val="single" w:sz="4" w:space="0" w:color="auto"/>
            </w:tcBorders>
            <w:vAlign w:val="center"/>
            <w:hideMark/>
          </w:tcPr>
          <w:p w14:paraId="0A343750" w14:textId="77777777" w:rsidR="00E3750C" w:rsidRPr="003C73C9" w:rsidRDefault="00E3750C" w:rsidP="00047864">
            <w:pPr>
              <w:spacing w:after="0" w:line="240" w:lineRule="auto"/>
              <w:rPr>
                <w:rFonts w:ascii="Arial" w:eastAsia="Times New Roman" w:hAnsi="Arial" w:cs="Arial"/>
                <w:color w:val="000000"/>
                <w:sz w:val="18"/>
                <w:szCs w:val="18"/>
                <w:lang w:eastAsia="sl-SI"/>
              </w:rPr>
            </w:pPr>
          </w:p>
        </w:tc>
        <w:tc>
          <w:tcPr>
            <w:tcW w:w="3074" w:type="dxa"/>
            <w:tcBorders>
              <w:top w:val="nil"/>
              <w:left w:val="nil"/>
              <w:bottom w:val="single" w:sz="4" w:space="0" w:color="auto"/>
              <w:right w:val="single" w:sz="4" w:space="0" w:color="auto"/>
            </w:tcBorders>
            <w:shd w:val="clear" w:color="auto" w:fill="auto"/>
            <w:vAlign w:val="center"/>
            <w:hideMark/>
          </w:tcPr>
          <w:p w14:paraId="103AB80E" w14:textId="77777777" w:rsidR="00E3750C" w:rsidRPr="003C73C9" w:rsidRDefault="00E3750C" w:rsidP="00047864">
            <w:pPr>
              <w:spacing w:after="0" w:line="240" w:lineRule="auto"/>
              <w:rPr>
                <w:rFonts w:ascii="Arial" w:eastAsia="Times New Roman" w:hAnsi="Arial" w:cs="Arial"/>
                <w:b/>
                <w:bCs/>
                <w:color w:val="000000"/>
                <w:sz w:val="18"/>
                <w:szCs w:val="18"/>
                <w:lang w:eastAsia="sl-SI"/>
              </w:rPr>
            </w:pPr>
            <w:r w:rsidRPr="003C73C9">
              <w:rPr>
                <w:rFonts w:ascii="Arial" w:eastAsia="Times New Roman" w:hAnsi="Arial" w:cs="Arial"/>
                <w:b/>
                <w:bCs/>
                <w:color w:val="000000"/>
                <w:sz w:val="18"/>
                <w:szCs w:val="18"/>
                <w:lang w:eastAsia="sl-SI"/>
              </w:rPr>
              <w:t>Skupaj</w:t>
            </w:r>
          </w:p>
        </w:tc>
        <w:tc>
          <w:tcPr>
            <w:tcW w:w="1134" w:type="dxa"/>
            <w:tcBorders>
              <w:top w:val="nil"/>
              <w:left w:val="nil"/>
              <w:bottom w:val="single" w:sz="4" w:space="0" w:color="auto"/>
              <w:right w:val="single" w:sz="4" w:space="0" w:color="auto"/>
            </w:tcBorders>
            <w:shd w:val="clear" w:color="auto" w:fill="auto"/>
            <w:noWrap/>
            <w:vAlign w:val="center"/>
            <w:hideMark/>
          </w:tcPr>
          <w:p w14:paraId="37B3A935" w14:textId="77777777" w:rsidR="00E3750C" w:rsidRPr="003C73C9" w:rsidRDefault="00E3750C" w:rsidP="00047864">
            <w:pPr>
              <w:spacing w:after="0" w:line="240" w:lineRule="auto"/>
              <w:jc w:val="right"/>
              <w:rPr>
                <w:rFonts w:ascii="Arial" w:eastAsia="Times New Roman" w:hAnsi="Arial" w:cs="Arial"/>
                <w:b/>
                <w:bCs/>
                <w:color w:val="000000"/>
                <w:sz w:val="18"/>
                <w:szCs w:val="18"/>
                <w:lang w:eastAsia="sl-SI"/>
              </w:rPr>
            </w:pPr>
            <w:r w:rsidRPr="003C73C9">
              <w:rPr>
                <w:rFonts w:ascii="Arial" w:hAnsi="Arial" w:cs="Arial"/>
                <w:b/>
                <w:bCs/>
                <w:color w:val="000000"/>
                <w:sz w:val="18"/>
                <w:szCs w:val="18"/>
              </w:rPr>
              <w:t>108</w:t>
            </w:r>
          </w:p>
        </w:tc>
        <w:tc>
          <w:tcPr>
            <w:tcW w:w="1432" w:type="dxa"/>
            <w:tcBorders>
              <w:top w:val="nil"/>
              <w:left w:val="nil"/>
              <w:bottom w:val="single" w:sz="4" w:space="0" w:color="auto"/>
              <w:right w:val="single" w:sz="4" w:space="0" w:color="auto"/>
            </w:tcBorders>
            <w:shd w:val="clear" w:color="auto" w:fill="auto"/>
            <w:noWrap/>
            <w:vAlign w:val="center"/>
            <w:hideMark/>
          </w:tcPr>
          <w:p w14:paraId="026F31F8" w14:textId="77777777" w:rsidR="00E3750C" w:rsidRPr="003C73C9" w:rsidRDefault="00E3750C" w:rsidP="00047864">
            <w:pPr>
              <w:spacing w:after="0" w:line="240" w:lineRule="auto"/>
              <w:jc w:val="right"/>
              <w:rPr>
                <w:rFonts w:ascii="Arial" w:eastAsia="Times New Roman" w:hAnsi="Arial" w:cs="Arial"/>
                <w:b/>
                <w:bCs/>
                <w:color w:val="000000"/>
                <w:sz w:val="18"/>
                <w:szCs w:val="18"/>
                <w:lang w:eastAsia="sl-SI"/>
              </w:rPr>
            </w:pPr>
            <w:r w:rsidRPr="003C73C9">
              <w:rPr>
                <w:rFonts w:ascii="Arial" w:hAnsi="Arial" w:cs="Arial"/>
                <w:b/>
                <w:bCs/>
                <w:color w:val="000000"/>
                <w:sz w:val="18"/>
                <w:szCs w:val="18"/>
              </w:rPr>
              <w:t>55.877.498</w:t>
            </w:r>
          </w:p>
        </w:tc>
        <w:tc>
          <w:tcPr>
            <w:tcW w:w="992" w:type="dxa"/>
            <w:tcBorders>
              <w:top w:val="nil"/>
              <w:left w:val="nil"/>
              <w:bottom w:val="single" w:sz="4" w:space="0" w:color="auto"/>
              <w:right w:val="single" w:sz="4" w:space="0" w:color="auto"/>
            </w:tcBorders>
            <w:shd w:val="clear" w:color="auto" w:fill="auto"/>
            <w:vAlign w:val="center"/>
            <w:hideMark/>
          </w:tcPr>
          <w:p w14:paraId="7EDCB727" w14:textId="77777777" w:rsidR="00E3750C" w:rsidRPr="003C73C9" w:rsidRDefault="00E3750C" w:rsidP="00047864">
            <w:pPr>
              <w:spacing w:after="0" w:line="240" w:lineRule="auto"/>
              <w:jc w:val="right"/>
              <w:rPr>
                <w:rFonts w:ascii="Arial" w:eastAsia="Times New Roman" w:hAnsi="Arial" w:cs="Arial"/>
                <w:b/>
                <w:bCs/>
                <w:color w:val="000000"/>
                <w:sz w:val="18"/>
                <w:szCs w:val="18"/>
                <w:lang w:eastAsia="sl-SI"/>
              </w:rPr>
            </w:pPr>
            <w:r w:rsidRPr="003C73C9">
              <w:rPr>
                <w:rFonts w:ascii="Arial" w:hAnsi="Arial" w:cs="Arial"/>
                <w:b/>
                <w:bCs/>
                <w:color w:val="000000"/>
                <w:sz w:val="18"/>
                <w:szCs w:val="18"/>
              </w:rPr>
              <w:t>100,00 %</w:t>
            </w:r>
          </w:p>
        </w:tc>
        <w:tc>
          <w:tcPr>
            <w:tcW w:w="1276" w:type="dxa"/>
            <w:tcBorders>
              <w:top w:val="nil"/>
              <w:left w:val="nil"/>
              <w:bottom w:val="single" w:sz="4" w:space="0" w:color="auto"/>
              <w:right w:val="single" w:sz="4" w:space="0" w:color="auto"/>
            </w:tcBorders>
            <w:shd w:val="clear" w:color="auto" w:fill="auto"/>
            <w:vAlign w:val="center"/>
            <w:hideMark/>
          </w:tcPr>
          <w:p w14:paraId="746B5EFC" w14:textId="77777777" w:rsidR="00E3750C" w:rsidRPr="003C73C9" w:rsidRDefault="00E3750C" w:rsidP="00047864">
            <w:pPr>
              <w:spacing w:after="0" w:line="240" w:lineRule="auto"/>
              <w:jc w:val="right"/>
              <w:rPr>
                <w:rFonts w:ascii="Arial" w:eastAsia="Times New Roman" w:hAnsi="Arial" w:cs="Arial"/>
                <w:b/>
                <w:bCs/>
                <w:color w:val="000000"/>
                <w:sz w:val="18"/>
                <w:szCs w:val="18"/>
                <w:lang w:eastAsia="sl-SI"/>
              </w:rPr>
            </w:pPr>
            <w:r w:rsidRPr="003C73C9">
              <w:rPr>
                <w:rFonts w:ascii="Arial" w:hAnsi="Arial" w:cs="Arial"/>
                <w:b/>
                <w:bCs/>
                <w:color w:val="000000"/>
                <w:sz w:val="18"/>
                <w:szCs w:val="18"/>
              </w:rPr>
              <w:t>100,00 %</w:t>
            </w:r>
          </w:p>
        </w:tc>
      </w:tr>
      <w:tr w:rsidR="00E3750C" w:rsidRPr="003C73C9" w14:paraId="69A00B04" w14:textId="77777777" w:rsidTr="00047864">
        <w:trPr>
          <w:trHeight w:val="255"/>
        </w:trPr>
        <w:tc>
          <w:tcPr>
            <w:tcW w:w="43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9E9AC2" w14:textId="77777777" w:rsidR="00E3750C" w:rsidRPr="003C73C9" w:rsidRDefault="00E3750C" w:rsidP="00047864">
            <w:pPr>
              <w:spacing w:after="0" w:line="240" w:lineRule="auto"/>
              <w:rPr>
                <w:rFonts w:ascii="Arial" w:eastAsia="Times New Roman" w:hAnsi="Arial" w:cs="Arial"/>
                <w:b/>
                <w:bCs/>
                <w:color w:val="000000"/>
                <w:sz w:val="18"/>
                <w:szCs w:val="18"/>
                <w:lang w:eastAsia="sl-SI"/>
              </w:rPr>
            </w:pPr>
            <w:r w:rsidRPr="003C73C9">
              <w:rPr>
                <w:rFonts w:ascii="Arial" w:eastAsia="Times New Roman" w:hAnsi="Arial" w:cs="Arial"/>
                <w:b/>
                <w:bCs/>
                <w:color w:val="000000"/>
                <w:sz w:val="18"/>
                <w:szCs w:val="18"/>
                <w:lang w:eastAsia="sl-SI"/>
              </w:rPr>
              <w:t>Skupaj</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hideMark/>
          </w:tcPr>
          <w:p w14:paraId="4CA3EA14" w14:textId="77777777" w:rsidR="00E3750C" w:rsidRPr="003C73C9" w:rsidRDefault="00E3750C" w:rsidP="00047864">
            <w:pPr>
              <w:spacing w:after="0" w:line="240" w:lineRule="auto"/>
              <w:jc w:val="right"/>
              <w:rPr>
                <w:rFonts w:ascii="Arial" w:eastAsia="Times New Roman" w:hAnsi="Arial" w:cs="Arial"/>
                <w:b/>
                <w:bCs/>
                <w:color w:val="000000"/>
                <w:sz w:val="18"/>
                <w:szCs w:val="18"/>
                <w:lang w:eastAsia="sl-SI"/>
              </w:rPr>
            </w:pPr>
            <w:r w:rsidRPr="003C73C9">
              <w:rPr>
                <w:rFonts w:ascii="Arial" w:hAnsi="Arial" w:cs="Arial"/>
                <w:b/>
                <w:bCs/>
                <w:color w:val="000000"/>
                <w:sz w:val="18"/>
                <w:szCs w:val="18"/>
              </w:rPr>
              <w:t>17.224</w:t>
            </w:r>
          </w:p>
        </w:tc>
        <w:tc>
          <w:tcPr>
            <w:tcW w:w="1432" w:type="dxa"/>
            <w:tcBorders>
              <w:top w:val="nil"/>
              <w:left w:val="nil"/>
              <w:bottom w:val="single" w:sz="4" w:space="0" w:color="auto"/>
              <w:right w:val="single" w:sz="4" w:space="0" w:color="auto"/>
            </w:tcBorders>
            <w:shd w:val="clear" w:color="auto" w:fill="F2F2F2" w:themeFill="background1" w:themeFillShade="F2"/>
            <w:noWrap/>
            <w:vAlign w:val="center"/>
            <w:hideMark/>
          </w:tcPr>
          <w:p w14:paraId="4757E6CB" w14:textId="77777777" w:rsidR="00E3750C" w:rsidRPr="003C73C9" w:rsidRDefault="00E3750C" w:rsidP="00047864">
            <w:pPr>
              <w:spacing w:after="0" w:line="240" w:lineRule="auto"/>
              <w:jc w:val="right"/>
              <w:rPr>
                <w:rFonts w:ascii="Arial" w:eastAsia="Times New Roman" w:hAnsi="Arial" w:cs="Arial"/>
                <w:b/>
                <w:bCs/>
                <w:color w:val="000000"/>
                <w:sz w:val="18"/>
                <w:szCs w:val="18"/>
                <w:lang w:eastAsia="sl-SI"/>
              </w:rPr>
            </w:pPr>
            <w:r w:rsidRPr="003C73C9">
              <w:rPr>
                <w:rFonts w:ascii="Arial" w:hAnsi="Arial" w:cs="Arial"/>
                <w:b/>
                <w:bCs/>
                <w:color w:val="000000"/>
                <w:sz w:val="18"/>
                <w:szCs w:val="18"/>
              </w:rPr>
              <w:t>5.417.105.902</w:t>
            </w:r>
          </w:p>
        </w:tc>
        <w:tc>
          <w:tcPr>
            <w:tcW w:w="2268" w:type="dxa"/>
            <w:gridSpan w:val="2"/>
            <w:tcBorders>
              <w:top w:val="nil"/>
              <w:left w:val="nil"/>
              <w:bottom w:val="nil"/>
              <w:right w:val="nil"/>
            </w:tcBorders>
            <w:shd w:val="clear" w:color="auto" w:fill="auto"/>
            <w:vAlign w:val="center"/>
            <w:hideMark/>
          </w:tcPr>
          <w:p w14:paraId="123DD84F" w14:textId="77777777" w:rsidR="00E3750C" w:rsidRPr="003C73C9" w:rsidRDefault="00E3750C" w:rsidP="00047864">
            <w:pPr>
              <w:spacing w:after="0" w:line="240" w:lineRule="auto"/>
              <w:jc w:val="right"/>
              <w:rPr>
                <w:rFonts w:ascii="Arial" w:eastAsia="Times New Roman" w:hAnsi="Arial" w:cs="Arial"/>
                <w:b/>
                <w:bCs/>
                <w:color w:val="000000"/>
                <w:sz w:val="18"/>
                <w:szCs w:val="18"/>
                <w:lang w:eastAsia="sl-SI"/>
              </w:rPr>
            </w:pPr>
          </w:p>
        </w:tc>
      </w:tr>
    </w:tbl>
    <w:p w14:paraId="3BD37AC2" w14:textId="77777777" w:rsidR="00E3750C" w:rsidRPr="003C73C9" w:rsidRDefault="00E3750C" w:rsidP="00E3750C">
      <w:pPr>
        <w:spacing w:before="120" w:after="120" w:line="240" w:lineRule="auto"/>
        <w:jc w:val="both"/>
        <w:rPr>
          <w:rFonts w:ascii="Arial" w:hAnsi="Arial" w:cs="Arial"/>
          <w:sz w:val="20"/>
        </w:rPr>
      </w:pPr>
    </w:p>
    <w:p w14:paraId="3B194A4E" w14:textId="77777777" w:rsidR="00E3750C" w:rsidRPr="00AC03B5" w:rsidRDefault="00E3750C" w:rsidP="00E3750C">
      <w:pPr>
        <w:spacing w:before="120" w:after="0" w:line="240" w:lineRule="auto"/>
        <w:jc w:val="both"/>
        <w:rPr>
          <w:rFonts w:ascii="Arial" w:hAnsi="Arial" w:cs="Arial"/>
          <w:sz w:val="20"/>
        </w:rPr>
      </w:pPr>
      <w:r w:rsidRPr="00AC03B5">
        <w:rPr>
          <w:rFonts w:ascii="Arial" w:hAnsi="Arial" w:cs="Arial"/>
          <w:sz w:val="20"/>
        </w:rPr>
        <w:t>Preglednica 8</w:t>
      </w:r>
      <w:r>
        <w:rPr>
          <w:rFonts w:ascii="Arial" w:hAnsi="Arial" w:cs="Arial"/>
          <w:sz w:val="20"/>
        </w:rPr>
        <w:t>2</w:t>
      </w:r>
      <w:r w:rsidRPr="00AC03B5">
        <w:rPr>
          <w:rFonts w:ascii="Arial" w:hAnsi="Arial" w:cs="Arial"/>
          <w:sz w:val="20"/>
        </w:rPr>
        <w:t>: Javna naročila glede na vrsto postopka in merila za izbor</w:t>
      </w:r>
    </w:p>
    <w:p w14:paraId="54446668" w14:textId="77777777" w:rsidR="00E3750C" w:rsidRPr="00AC03B5" w:rsidRDefault="00E3750C" w:rsidP="00E3750C">
      <w:pPr>
        <w:spacing w:after="0" w:line="240" w:lineRule="auto"/>
        <w:jc w:val="both"/>
        <w:rPr>
          <w:rFonts w:ascii="Arial" w:hAnsi="Arial" w:cs="Arial"/>
          <w:sz w:val="20"/>
        </w:rPr>
      </w:pPr>
    </w:p>
    <w:tbl>
      <w:tblPr>
        <w:tblW w:w="5000" w:type="pct"/>
        <w:tblCellMar>
          <w:left w:w="70" w:type="dxa"/>
          <w:right w:w="70" w:type="dxa"/>
        </w:tblCellMar>
        <w:tblLook w:val="04A0" w:firstRow="1" w:lastRow="0" w:firstColumn="1" w:lastColumn="0" w:noHBand="0" w:noVBand="1"/>
      </w:tblPr>
      <w:tblGrid>
        <w:gridCol w:w="2591"/>
        <w:gridCol w:w="2271"/>
        <w:gridCol w:w="978"/>
        <w:gridCol w:w="1431"/>
        <w:gridCol w:w="951"/>
        <w:gridCol w:w="952"/>
      </w:tblGrid>
      <w:tr w:rsidR="00E3750C" w:rsidRPr="00AC03B5" w14:paraId="1C043D39" w14:textId="77777777" w:rsidTr="00047864">
        <w:trPr>
          <w:trHeight w:val="960"/>
          <w:tblHeader/>
        </w:trPr>
        <w:tc>
          <w:tcPr>
            <w:tcW w:w="1412"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5F1975FA" w14:textId="77777777" w:rsidR="00E3750C" w:rsidRPr="00AC03B5" w:rsidRDefault="00E3750C" w:rsidP="00047864">
            <w:pPr>
              <w:spacing w:after="0" w:line="240" w:lineRule="auto"/>
              <w:jc w:val="center"/>
              <w:rPr>
                <w:rFonts w:ascii="Arial" w:eastAsia="Times New Roman" w:hAnsi="Arial" w:cs="Arial"/>
                <w:color w:val="000000"/>
                <w:sz w:val="18"/>
                <w:szCs w:val="18"/>
                <w:lang w:eastAsia="sl-SI"/>
              </w:rPr>
            </w:pPr>
            <w:bookmarkStart w:id="96" w:name="_Toc398038712"/>
            <w:bookmarkStart w:id="97" w:name="_Toc398040191"/>
            <w:bookmarkStart w:id="98" w:name="_Toc398584429"/>
            <w:bookmarkStart w:id="99" w:name="_Toc461086445"/>
            <w:bookmarkStart w:id="100" w:name="_Toc461608817"/>
            <w:bookmarkStart w:id="101" w:name="_Toc462401236"/>
            <w:r w:rsidRPr="00AC03B5">
              <w:rPr>
                <w:rFonts w:ascii="Arial" w:eastAsia="Times New Roman" w:hAnsi="Arial" w:cs="Arial"/>
                <w:color w:val="000000"/>
                <w:sz w:val="18"/>
                <w:szCs w:val="18"/>
                <w:lang w:eastAsia="sl-SI"/>
              </w:rPr>
              <w:t>Vrsta postopka</w:t>
            </w:r>
          </w:p>
        </w:tc>
        <w:tc>
          <w:tcPr>
            <w:tcW w:w="1238" w:type="pct"/>
            <w:tcBorders>
              <w:top w:val="single" w:sz="4" w:space="0" w:color="auto"/>
              <w:left w:val="nil"/>
              <w:bottom w:val="single" w:sz="4" w:space="0" w:color="auto"/>
              <w:right w:val="single" w:sz="4" w:space="0" w:color="auto"/>
            </w:tcBorders>
            <w:shd w:val="clear" w:color="000000" w:fill="F2F2F2"/>
            <w:vAlign w:val="center"/>
            <w:hideMark/>
          </w:tcPr>
          <w:p w14:paraId="6ECFDB9F" w14:textId="77777777" w:rsidR="00E3750C" w:rsidRPr="00AC03B5" w:rsidRDefault="00E3750C" w:rsidP="00047864">
            <w:pPr>
              <w:spacing w:after="0" w:line="240" w:lineRule="auto"/>
              <w:jc w:val="center"/>
              <w:rPr>
                <w:rFonts w:ascii="Arial" w:eastAsia="Times New Roman" w:hAnsi="Arial" w:cs="Arial"/>
                <w:color w:val="000000"/>
                <w:sz w:val="18"/>
                <w:szCs w:val="18"/>
                <w:lang w:eastAsia="sl-SI"/>
              </w:rPr>
            </w:pPr>
            <w:r w:rsidRPr="00AC03B5">
              <w:rPr>
                <w:rFonts w:ascii="Arial" w:eastAsia="Times New Roman" w:hAnsi="Arial" w:cs="Arial"/>
                <w:color w:val="000000"/>
                <w:sz w:val="18"/>
                <w:szCs w:val="18"/>
                <w:lang w:eastAsia="sl-SI"/>
              </w:rPr>
              <w:t>Merila</w:t>
            </w:r>
          </w:p>
        </w:tc>
        <w:tc>
          <w:tcPr>
            <w:tcW w:w="533" w:type="pct"/>
            <w:tcBorders>
              <w:top w:val="single" w:sz="4" w:space="0" w:color="auto"/>
              <w:left w:val="nil"/>
              <w:bottom w:val="single" w:sz="4" w:space="0" w:color="auto"/>
              <w:right w:val="single" w:sz="4" w:space="0" w:color="auto"/>
            </w:tcBorders>
            <w:shd w:val="clear" w:color="000000" w:fill="F2F2F2"/>
            <w:vAlign w:val="center"/>
            <w:hideMark/>
          </w:tcPr>
          <w:p w14:paraId="372960DE" w14:textId="77777777" w:rsidR="00E3750C" w:rsidRPr="00AC03B5" w:rsidRDefault="00E3750C" w:rsidP="00047864">
            <w:pPr>
              <w:spacing w:after="0" w:line="240" w:lineRule="auto"/>
              <w:jc w:val="center"/>
              <w:rPr>
                <w:rFonts w:ascii="Arial" w:eastAsia="Times New Roman" w:hAnsi="Arial" w:cs="Arial"/>
                <w:color w:val="000000"/>
                <w:sz w:val="18"/>
                <w:szCs w:val="18"/>
                <w:lang w:eastAsia="sl-SI"/>
              </w:rPr>
            </w:pPr>
            <w:r w:rsidRPr="00AC03B5">
              <w:rPr>
                <w:rFonts w:ascii="Arial" w:eastAsia="Times New Roman" w:hAnsi="Arial" w:cs="Arial"/>
                <w:color w:val="000000"/>
                <w:sz w:val="18"/>
                <w:szCs w:val="18"/>
                <w:lang w:eastAsia="sl-SI"/>
              </w:rPr>
              <w:t>Št. naročil</w:t>
            </w:r>
          </w:p>
        </w:tc>
        <w:tc>
          <w:tcPr>
            <w:tcW w:w="780" w:type="pct"/>
            <w:tcBorders>
              <w:top w:val="single" w:sz="4" w:space="0" w:color="auto"/>
              <w:left w:val="nil"/>
              <w:bottom w:val="single" w:sz="4" w:space="0" w:color="auto"/>
              <w:right w:val="single" w:sz="4" w:space="0" w:color="auto"/>
            </w:tcBorders>
            <w:shd w:val="clear" w:color="000000" w:fill="F2F2F2"/>
            <w:vAlign w:val="center"/>
            <w:hideMark/>
          </w:tcPr>
          <w:p w14:paraId="4975F319" w14:textId="77777777" w:rsidR="00E3750C" w:rsidRPr="00AC03B5" w:rsidRDefault="00E3750C" w:rsidP="00047864">
            <w:pPr>
              <w:spacing w:after="0" w:line="240" w:lineRule="auto"/>
              <w:jc w:val="center"/>
              <w:rPr>
                <w:rFonts w:ascii="Arial" w:eastAsia="Times New Roman" w:hAnsi="Arial" w:cs="Arial"/>
                <w:color w:val="000000"/>
                <w:sz w:val="18"/>
                <w:szCs w:val="18"/>
                <w:lang w:eastAsia="sl-SI"/>
              </w:rPr>
            </w:pPr>
            <w:r w:rsidRPr="00AC03B5">
              <w:rPr>
                <w:rFonts w:ascii="Arial" w:eastAsia="Times New Roman" w:hAnsi="Arial" w:cs="Arial"/>
                <w:color w:val="000000"/>
                <w:sz w:val="18"/>
                <w:szCs w:val="18"/>
                <w:lang w:eastAsia="sl-SI"/>
              </w:rPr>
              <w:t>Pogodbena vrednost</w:t>
            </w:r>
          </w:p>
        </w:tc>
        <w:tc>
          <w:tcPr>
            <w:tcW w:w="518" w:type="pct"/>
            <w:tcBorders>
              <w:top w:val="single" w:sz="4" w:space="0" w:color="auto"/>
              <w:left w:val="nil"/>
              <w:bottom w:val="single" w:sz="4" w:space="0" w:color="auto"/>
              <w:right w:val="single" w:sz="4" w:space="0" w:color="auto"/>
            </w:tcBorders>
            <w:shd w:val="clear" w:color="000000" w:fill="F2F2F2"/>
            <w:vAlign w:val="center"/>
            <w:hideMark/>
          </w:tcPr>
          <w:p w14:paraId="4CFBE6BD" w14:textId="77777777" w:rsidR="00E3750C" w:rsidRPr="00AC03B5" w:rsidRDefault="00E3750C" w:rsidP="00047864">
            <w:pPr>
              <w:spacing w:after="0" w:line="240" w:lineRule="auto"/>
              <w:jc w:val="center"/>
              <w:rPr>
                <w:rFonts w:ascii="Arial" w:eastAsia="Times New Roman" w:hAnsi="Arial" w:cs="Arial"/>
                <w:color w:val="000000"/>
                <w:sz w:val="18"/>
                <w:szCs w:val="18"/>
                <w:lang w:eastAsia="sl-SI"/>
              </w:rPr>
            </w:pPr>
            <w:r w:rsidRPr="00AC03B5">
              <w:rPr>
                <w:rFonts w:ascii="Arial" w:eastAsia="Times New Roman" w:hAnsi="Arial" w:cs="Arial"/>
                <w:color w:val="000000"/>
                <w:sz w:val="18"/>
                <w:szCs w:val="18"/>
                <w:lang w:eastAsia="sl-SI"/>
              </w:rPr>
              <w:t>Delež v št. istovrstnih naročil</w:t>
            </w:r>
          </w:p>
        </w:tc>
        <w:tc>
          <w:tcPr>
            <w:tcW w:w="518" w:type="pct"/>
            <w:tcBorders>
              <w:top w:val="single" w:sz="4" w:space="0" w:color="auto"/>
              <w:left w:val="nil"/>
              <w:bottom w:val="single" w:sz="4" w:space="0" w:color="auto"/>
              <w:right w:val="single" w:sz="4" w:space="0" w:color="auto"/>
            </w:tcBorders>
            <w:shd w:val="clear" w:color="000000" w:fill="F2F2F2"/>
            <w:vAlign w:val="center"/>
            <w:hideMark/>
          </w:tcPr>
          <w:p w14:paraId="76CFC6A2" w14:textId="77777777" w:rsidR="00E3750C" w:rsidRPr="00AC03B5" w:rsidRDefault="00E3750C" w:rsidP="00047864">
            <w:pPr>
              <w:spacing w:after="0" w:line="240" w:lineRule="auto"/>
              <w:jc w:val="center"/>
              <w:rPr>
                <w:rFonts w:ascii="Arial" w:eastAsia="Times New Roman" w:hAnsi="Arial" w:cs="Arial"/>
                <w:color w:val="000000"/>
                <w:sz w:val="18"/>
                <w:szCs w:val="18"/>
                <w:lang w:eastAsia="sl-SI"/>
              </w:rPr>
            </w:pPr>
            <w:r w:rsidRPr="00AC03B5">
              <w:rPr>
                <w:rFonts w:ascii="Arial" w:eastAsia="Times New Roman" w:hAnsi="Arial" w:cs="Arial"/>
                <w:color w:val="000000"/>
                <w:sz w:val="18"/>
                <w:szCs w:val="18"/>
                <w:lang w:eastAsia="sl-SI"/>
              </w:rPr>
              <w:t>Delež v vrednosti istovrstnih naročil</w:t>
            </w:r>
          </w:p>
        </w:tc>
      </w:tr>
      <w:tr w:rsidR="00E3750C" w:rsidRPr="00AC03B5" w14:paraId="2D575A0B" w14:textId="77777777" w:rsidTr="00047864">
        <w:trPr>
          <w:trHeight w:val="300"/>
        </w:trPr>
        <w:tc>
          <w:tcPr>
            <w:tcW w:w="1412" w:type="pct"/>
            <w:vMerge w:val="restart"/>
            <w:tcBorders>
              <w:top w:val="nil"/>
              <w:left w:val="single" w:sz="4" w:space="0" w:color="auto"/>
              <w:bottom w:val="single" w:sz="4" w:space="0" w:color="auto"/>
              <w:right w:val="single" w:sz="4" w:space="0" w:color="auto"/>
            </w:tcBorders>
            <w:shd w:val="clear" w:color="auto" w:fill="auto"/>
            <w:vAlign w:val="center"/>
            <w:hideMark/>
          </w:tcPr>
          <w:p w14:paraId="69AD7DA9" w14:textId="77777777" w:rsidR="00E3750C" w:rsidRPr="00AC03B5" w:rsidRDefault="00E3750C" w:rsidP="00047864">
            <w:pPr>
              <w:spacing w:after="0" w:line="240" w:lineRule="auto"/>
              <w:rPr>
                <w:rFonts w:ascii="Arial" w:eastAsia="Times New Roman" w:hAnsi="Arial" w:cs="Arial"/>
                <w:color w:val="000000"/>
                <w:sz w:val="18"/>
                <w:szCs w:val="18"/>
                <w:lang w:eastAsia="sl-SI"/>
              </w:rPr>
            </w:pPr>
            <w:r w:rsidRPr="00AC03B5">
              <w:rPr>
                <w:rFonts w:ascii="Arial" w:eastAsia="Times New Roman" w:hAnsi="Arial" w:cs="Arial"/>
                <w:color w:val="000000"/>
                <w:sz w:val="18"/>
                <w:szCs w:val="18"/>
                <w:lang w:eastAsia="sl-SI"/>
              </w:rPr>
              <w:t>Konkurenčni dialog</w:t>
            </w:r>
          </w:p>
        </w:tc>
        <w:tc>
          <w:tcPr>
            <w:tcW w:w="1238" w:type="pct"/>
            <w:tcBorders>
              <w:top w:val="nil"/>
              <w:left w:val="nil"/>
              <w:bottom w:val="single" w:sz="4" w:space="0" w:color="auto"/>
              <w:right w:val="single" w:sz="4" w:space="0" w:color="auto"/>
            </w:tcBorders>
            <w:shd w:val="clear" w:color="auto" w:fill="auto"/>
            <w:vAlign w:val="center"/>
            <w:hideMark/>
          </w:tcPr>
          <w:p w14:paraId="3FBAA0F3" w14:textId="77777777" w:rsidR="00E3750C" w:rsidRPr="00AC03B5" w:rsidRDefault="00E3750C" w:rsidP="00047864">
            <w:pPr>
              <w:spacing w:after="0" w:line="240" w:lineRule="auto"/>
              <w:rPr>
                <w:rFonts w:ascii="Arial" w:eastAsia="Times New Roman" w:hAnsi="Arial" w:cs="Arial"/>
                <w:color w:val="000000"/>
                <w:sz w:val="18"/>
                <w:szCs w:val="18"/>
                <w:lang w:eastAsia="sl-SI"/>
              </w:rPr>
            </w:pPr>
            <w:r w:rsidRPr="00AC03B5">
              <w:rPr>
                <w:rFonts w:ascii="Arial" w:eastAsia="Times New Roman" w:hAnsi="Arial" w:cs="Arial"/>
                <w:color w:val="000000"/>
                <w:sz w:val="18"/>
                <w:szCs w:val="18"/>
                <w:lang w:eastAsia="sl-SI"/>
              </w:rPr>
              <w:t>Cena</w:t>
            </w:r>
          </w:p>
        </w:tc>
        <w:tc>
          <w:tcPr>
            <w:tcW w:w="533" w:type="pct"/>
            <w:tcBorders>
              <w:top w:val="nil"/>
              <w:left w:val="nil"/>
              <w:bottom w:val="single" w:sz="4" w:space="0" w:color="auto"/>
              <w:right w:val="single" w:sz="4" w:space="0" w:color="auto"/>
            </w:tcBorders>
            <w:shd w:val="clear" w:color="auto" w:fill="auto"/>
            <w:vAlign w:val="center"/>
            <w:hideMark/>
          </w:tcPr>
          <w:p w14:paraId="75BD5AF9"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37</w:t>
            </w:r>
          </w:p>
        </w:tc>
        <w:tc>
          <w:tcPr>
            <w:tcW w:w="780" w:type="pct"/>
            <w:tcBorders>
              <w:top w:val="nil"/>
              <w:left w:val="nil"/>
              <w:bottom w:val="single" w:sz="4" w:space="0" w:color="auto"/>
              <w:right w:val="single" w:sz="4" w:space="0" w:color="auto"/>
            </w:tcBorders>
            <w:shd w:val="clear" w:color="auto" w:fill="auto"/>
            <w:vAlign w:val="center"/>
            <w:hideMark/>
          </w:tcPr>
          <w:p w14:paraId="7C57F458"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29.565.099</w:t>
            </w:r>
          </w:p>
        </w:tc>
        <w:tc>
          <w:tcPr>
            <w:tcW w:w="518" w:type="pct"/>
            <w:tcBorders>
              <w:top w:val="nil"/>
              <w:left w:val="nil"/>
              <w:bottom w:val="single" w:sz="4" w:space="0" w:color="auto"/>
              <w:right w:val="single" w:sz="4" w:space="0" w:color="auto"/>
            </w:tcBorders>
            <w:shd w:val="clear" w:color="auto" w:fill="auto"/>
            <w:noWrap/>
            <w:vAlign w:val="center"/>
            <w:hideMark/>
          </w:tcPr>
          <w:p w14:paraId="5545D7C4"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90,24 %</w:t>
            </w:r>
          </w:p>
        </w:tc>
        <w:tc>
          <w:tcPr>
            <w:tcW w:w="518" w:type="pct"/>
            <w:tcBorders>
              <w:top w:val="nil"/>
              <w:left w:val="nil"/>
              <w:bottom w:val="single" w:sz="4" w:space="0" w:color="auto"/>
              <w:right w:val="single" w:sz="4" w:space="0" w:color="auto"/>
            </w:tcBorders>
            <w:shd w:val="clear" w:color="auto" w:fill="auto"/>
            <w:noWrap/>
            <w:vAlign w:val="center"/>
            <w:hideMark/>
          </w:tcPr>
          <w:p w14:paraId="73736785"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60,62 %</w:t>
            </w:r>
          </w:p>
        </w:tc>
      </w:tr>
      <w:tr w:rsidR="00E3750C" w:rsidRPr="00AC03B5" w14:paraId="19D1CB17" w14:textId="77777777" w:rsidTr="00047864">
        <w:trPr>
          <w:trHeight w:val="300"/>
        </w:trPr>
        <w:tc>
          <w:tcPr>
            <w:tcW w:w="1412" w:type="pct"/>
            <w:vMerge/>
            <w:tcBorders>
              <w:top w:val="nil"/>
              <w:left w:val="single" w:sz="4" w:space="0" w:color="auto"/>
              <w:bottom w:val="single" w:sz="4" w:space="0" w:color="auto"/>
              <w:right w:val="single" w:sz="4" w:space="0" w:color="auto"/>
            </w:tcBorders>
            <w:vAlign w:val="center"/>
            <w:hideMark/>
          </w:tcPr>
          <w:p w14:paraId="0B26343D" w14:textId="77777777" w:rsidR="00E3750C" w:rsidRPr="00AC03B5" w:rsidRDefault="00E3750C" w:rsidP="00047864">
            <w:pPr>
              <w:spacing w:after="0" w:line="240" w:lineRule="auto"/>
              <w:rPr>
                <w:rFonts w:ascii="Arial" w:eastAsia="Times New Roman" w:hAnsi="Arial" w:cs="Arial"/>
                <w:color w:val="000000"/>
                <w:sz w:val="18"/>
                <w:szCs w:val="18"/>
                <w:lang w:eastAsia="sl-SI"/>
              </w:rPr>
            </w:pPr>
          </w:p>
        </w:tc>
        <w:tc>
          <w:tcPr>
            <w:tcW w:w="1238" w:type="pct"/>
            <w:tcBorders>
              <w:top w:val="nil"/>
              <w:left w:val="nil"/>
              <w:bottom w:val="single" w:sz="4" w:space="0" w:color="auto"/>
              <w:right w:val="single" w:sz="4" w:space="0" w:color="auto"/>
            </w:tcBorders>
            <w:shd w:val="clear" w:color="auto" w:fill="auto"/>
            <w:vAlign w:val="center"/>
            <w:hideMark/>
          </w:tcPr>
          <w:p w14:paraId="53AEAC46" w14:textId="77777777" w:rsidR="00E3750C" w:rsidRPr="00AC03B5" w:rsidRDefault="00E3750C" w:rsidP="00047864">
            <w:pPr>
              <w:spacing w:after="0" w:line="240" w:lineRule="auto"/>
              <w:rPr>
                <w:rFonts w:ascii="Arial" w:eastAsia="Times New Roman" w:hAnsi="Arial" w:cs="Arial"/>
                <w:color w:val="000000"/>
                <w:sz w:val="18"/>
                <w:szCs w:val="18"/>
                <w:lang w:eastAsia="sl-SI"/>
              </w:rPr>
            </w:pPr>
            <w:r w:rsidRPr="00AC03B5">
              <w:rPr>
                <w:rFonts w:ascii="Arial" w:eastAsia="Times New Roman" w:hAnsi="Arial" w:cs="Arial"/>
                <w:color w:val="000000"/>
                <w:sz w:val="18"/>
                <w:szCs w:val="18"/>
                <w:lang w:eastAsia="sl-SI"/>
              </w:rPr>
              <w:t>Ekonomsko najugodnejša ponudba</w:t>
            </w:r>
          </w:p>
        </w:tc>
        <w:tc>
          <w:tcPr>
            <w:tcW w:w="533" w:type="pct"/>
            <w:tcBorders>
              <w:top w:val="nil"/>
              <w:left w:val="nil"/>
              <w:bottom w:val="single" w:sz="4" w:space="0" w:color="auto"/>
              <w:right w:val="single" w:sz="4" w:space="0" w:color="auto"/>
            </w:tcBorders>
            <w:shd w:val="clear" w:color="auto" w:fill="auto"/>
            <w:vAlign w:val="center"/>
            <w:hideMark/>
          </w:tcPr>
          <w:p w14:paraId="6F13E865"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4</w:t>
            </w:r>
          </w:p>
        </w:tc>
        <w:tc>
          <w:tcPr>
            <w:tcW w:w="780" w:type="pct"/>
            <w:tcBorders>
              <w:top w:val="nil"/>
              <w:left w:val="nil"/>
              <w:bottom w:val="single" w:sz="4" w:space="0" w:color="auto"/>
              <w:right w:val="single" w:sz="4" w:space="0" w:color="auto"/>
            </w:tcBorders>
            <w:shd w:val="clear" w:color="auto" w:fill="auto"/>
            <w:vAlign w:val="center"/>
            <w:hideMark/>
          </w:tcPr>
          <w:p w14:paraId="69C76B44"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19.203.389</w:t>
            </w:r>
          </w:p>
        </w:tc>
        <w:tc>
          <w:tcPr>
            <w:tcW w:w="518" w:type="pct"/>
            <w:tcBorders>
              <w:top w:val="nil"/>
              <w:left w:val="nil"/>
              <w:bottom w:val="single" w:sz="4" w:space="0" w:color="auto"/>
              <w:right w:val="single" w:sz="4" w:space="0" w:color="auto"/>
            </w:tcBorders>
            <w:shd w:val="clear" w:color="auto" w:fill="auto"/>
            <w:noWrap/>
            <w:vAlign w:val="center"/>
            <w:hideMark/>
          </w:tcPr>
          <w:p w14:paraId="226B0438"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9,76 %</w:t>
            </w:r>
          </w:p>
        </w:tc>
        <w:tc>
          <w:tcPr>
            <w:tcW w:w="518" w:type="pct"/>
            <w:tcBorders>
              <w:top w:val="nil"/>
              <w:left w:val="nil"/>
              <w:bottom w:val="single" w:sz="4" w:space="0" w:color="auto"/>
              <w:right w:val="single" w:sz="4" w:space="0" w:color="auto"/>
            </w:tcBorders>
            <w:shd w:val="clear" w:color="auto" w:fill="auto"/>
            <w:noWrap/>
            <w:vAlign w:val="center"/>
            <w:hideMark/>
          </w:tcPr>
          <w:p w14:paraId="7E8D9D20"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39,38 %</w:t>
            </w:r>
          </w:p>
        </w:tc>
      </w:tr>
      <w:tr w:rsidR="00E3750C" w:rsidRPr="00AC03B5" w14:paraId="773F4F26" w14:textId="77777777" w:rsidTr="00047864">
        <w:trPr>
          <w:trHeight w:val="300"/>
        </w:trPr>
        <w:tc>
          <w:tcPr>
            <w:tcW w:w="1412" w:type="pct"/>
            <w:vMerge/>
            <w:tcBorders>
              <w:top w:val="nil"/>
              <w:left w:val="single" w:sz="4" w:space="0" w:color="auto"/>
              <w:bottom w:val="single" w:sz="4" w:space="0" w:color="auto"/>
              <w:right w:val="single" w:sz="4" w:space="0" w:color="auto"/>
            </w:tcBorders>
            <w:vAlign w:val="center"/>
            <w:hideMark/>
          </w:tcPr>
          <w:p w14:paraId="2068EB94" w14:textId="77777777" w:rsidR="00E3750C" w:rsidRPr="00AC03B5" w:rsidRDefault="00E3750C" w:rsidP="00047864">
            <w:pPr>
              <w:spacing w:after="0" w:line="240" w:lineRule="auto"/>
              <w:rPr>
                <w:rFonts w:ascii="Arial" w:eastAsia="Times New Roman" w:hAnsi="Arial" w:cs="Arial"/>
                <w:color w:val="000000"/>
                <w:sz w:val="18"/>
                <w:szCs w:val="18"/>
                <w:lang w:eastAsia="sl-SI"/>
              </w:rPr>
            </w:pPr>
          </w:p>
        </w:tc>
        <w:tc>
          <w:tcPr>
            <w:tcW w:w="1238" w:type="pct"/>
            <w:tcBorders>
              <w:top w:val="nil"/>
              <w:left w:val="nil"/>
              <w:bottom w:val="single" w:sz="4" w:space="0" w:color="auto"/>
              <w:right w:val="single" w:sz="4" w:space="0" w:color="auto"/>
            </w:tcBorders>
            <w:shd w:val="clear" w:color="auto" w:fill="auto"/>
            <w:vAlign w:val="center"/>
            <w:hideMark/>
          </w:tcPr>
          <w:p w14:paraId="74224569" w14:textId="77777777" w:rsidR="00E3750C" w:rsidRPr="00AC03B5" w:rsidRDefault="00E3750C" w:rsidP="00047864">
            <w:pPr>
              <w:spacing w:after="0" w:line="240" w:lineRule="auto"/>
              <w:rPr>
                <w:rFonts w:ascii="Arial" w:eastAsia="Times New Roman" w:hAnsi="Arial" w:cs="Arial"/>
                <w:b/>
                <w:bCs/>
                <w:color w:val="000000"/>
                <w:sz w:val="18"/>
                <w:szCs w:val="18"/>
                <w:lang w:eastAsia="sl-SI"/>
              </w:rPr>
            </w:pPr>
            <w:r w:rsidRPr="00AC03B5">
              <w:rPr>
                <w:rFonts w:ascii="Arial" w:eastAsia="Times New Roman" w:hAnsi="Arial" w:cs="Arial"/>
                <w:b/>
                <w:bCs/>
                <w:color w:val="000000"/>
                <w:sz w:val="18"/>
                <w:szCs w:val="18"/>
                <w:lang w:eastAsia="sl-SI"/>
              </w:rPr>
              <w:t>Skupaj</w:t>
            </w:r>
          </w:p>
        </w:tc>
        <w:tc>
          <w:tcPr>
            <w:tcW w:w="533" w:type="pct"/>
            <w:tcBorders>
              <w:top w:val="nil"/>
              <w:left w:val="nil"/>
              <w:bottom w:val="single" w:sz="4" w:space="0" w:color="auto"/>
              <w:right w:val="single" w:sz="4" w:space="0" w:color="auto"/>
            </w:tcBorders>
            <w:shd w:val="clear" w:color="auto" w:fill="auto"/>
            <w:vAlign w:val="center"/>
            <w:hideMark/>
          </w:tcPr>
          <w:p w14:paraId="61CDB345" w14:textId="77777777" w:rsidR="00E3750C" w:rsidRPr="00AC03B5" w:rsidRDefault="00E3750C" w:rsidP="00047864">
            <w:pPr>
              <w:spacing w:after="0" w:line="240" w:lineRule="auto"/>
              <w:jc w:val="right"/>
              <w:rPr>
                <w:rFonts w:ascii="Arial" w:eastAsia="Times New Roman" w:hAnsi="Arial" w:cs="Arial"/>
                <w:b/>
                <w:bCs/>
                <w:color w:val="000000"/>
                <w:sz w:val="18"/>
                <w:szCs w:val="18"/>
                <w:lang w:eastAsia="sl-SI"/>
              </w:rPr>
            </w:pPr>
            <w:r w:rsidRPr="00AC03B5">
              <w:rPr>
                <w:rFonts w:ascii="Arial" w:hAnsi="Arial" w:cs="Arial"/>
                <w:b/>
                <w:bCs/>
                <w:color w:val="000000"/>
                <w:sz w:val="18"/>
                <w:szCs w:val="18"/>
              </w:rPr>
              <w:t>41</w:t>
            </w:r>
          </w:p>
        </w:tc>
        <w:tc>
          <w:tcPr>
            <w:tcW w:w="780" w:type="pct"/>
            <w:tcBorders>
              <w:top w:val="nil"/>
              <w:left w:val="nil"/>
              <w:bottom w:val="single" w:sz="4" w:space="0" w:color="auto"/>
              <w:right w:val="single" w:sz="4" w:space="0" w:color="auto"/>
            </w:tcBorders>
            <w:shd w:val="clear" w:color="auto" w:fill="auto"/>
            <w:vAlign w:val="center"/>
            <w:hideMark/>
          </w:tcPr>
          <w:p w14:paraId="2B634E16" w14:textId="77777777" w:rsidR="00E3750C" w:rsidRPr="00AC03B5" w:rsidRDefault="00E3750C" w:rsidP="00047864">
            <w:pPr>
              <w:spacing w:after="0" w:line="240" w:lineRule="auto"/>
              <w:jc w:val="right"/>
              <w:rPr>
                <w:rFonts w:ascii="Arial" w:eastAsia="Times New Roman" w:hAnsi="Arial" w:cs="Arial"/>
                <w:b/>
                <w:bCs/>
                <w:color w:val="000000"/>
                <w:sz w:val="18"/>
                <w:szCs w:val="18"/>
                <w:lang w:eastAsia="sl-SI"/>
              </w:rPr>
            </w:pPr>
            <w:r w:rsidRPr="00AC03B5">
              <w:rPr>
                <w:rFonts w:ascii="Arial" w:hAnsi="Arial" w:cs="Arial"/>
                <w:b/>
                <w:bCs/>
                <w:color w:val="000000"/>
                <w:sz w:val="18"/>
                <w:szCs w:val="18"/>
              </w:rPr>
              <w:t>48.768.488</w:t>
            </w:r>
          </w:p>
        </w:tc>
        <w:tc>
          <w:tcPr>
            <w:tcW w:w="518" w:type="pct"/>
            <w:tcBorders>
              <w:top w:val="nil"/>
              <w:left w:val="nil"/>
              <w:bottom w:val="single" w:sz="4" w:space="0" w:color="auto"/>
              <w:right w:val="single" w:sz="4" w:space="0" w:color="auto"/>
            </w:tcBorders>
            <w:shd w:val="clear" w:color="auto" w:fill="auto"/>
            <w:noWrap/>
            <w:vAlign w:val="center"/>
            <w:hideMark/>
          </w:tcPr>
          <w:p w14:paraId="1BB76AAD" w14:textId="77777777" w:rsidR="00E3750C" w:rsidRPr="00AC03B5" w:rsidRDefault="00E3750C" w:rsidP="00047864">
            <w:pPr>
              <w:spacing w:after="0" w:line="240" w:lineRule="auto"/>
              <w:jc w:val="right"/>
              <w:rPr>
                <w:rFonts w:ascii="Arial" w:eastAsia="Times New Roman" w:hAnsi="Arial" w:cs="Arial"/>
                <w:b/>
                <w:bCs/>
                <w:color w:val="000000"/>
                <w:sz w:val="18"/>
                <w:szCs w:val="18"/>
                <w:lang w:eastAsia="sl-SI"/>
              </w:rPr>
            </w:pPr>
            <w:r w:rsidRPr="00AC03B5">
              <w:rPr>
                <w:rFonts w:ascii="Arial" w:hAnsi="Arial" w:cs="Arial"/>
                <w:b/>
                <w:bCs/>
                <w:color w:val="000000"/>
                <w:sz w:val="18"/>
                <w:szCs w:val="18"/>
              </w:rPr>
              <w:t>100,00 %</w:t>
            </w:r>
          </w:p>
        </w:tc>
        <w:tc>
          <w:tcPr>
            <w:tcW w:w="518" w:type="pct"/>
            <w:tcBorders>
              <w:top w:val="nil"/>
              <w:left w:val="nil"/>
              <w:bottom w:val="single" w:sz="4" w:space="0" w:color="auto"/>
              <w:right w:val="single" w:sz="4" w:space="0" w:color="auto"/>
            </w:tcBorders>
            <w:shd w:val="clear" w:color="auto" w:fill="auto"/>
            <w:noWrap/>
            <w:vAlign w:val="center"/>
            <w:hideMark/>
          </w:tcPr>
          <w:p w14:paraId="668429AA" w14:textId="77777777" w:rsidR="00E3750C" w:rsidRPr="00AC03B5" w:rsidRDefault="00E3750C" w:rsidP="00047864">
            <w:pPr>
              <w:spacing w:after="0" w:line="240" w:lineRule="auto"/>
              <w:jc w:val="right"/>
              <w:rPr>
                <w:rFonts w:ascii="Arial" w:eastAsia="Times New Roman" w:hAnsi="Arial" w:cs="Arial"/>
                <w:b/>
                <w:bCs/>
                <w:color w:val="000000"/>
                <w:sz w:val="18"/>
                <w:szCs w:val="18"/>
                <w:lang w:eastAsia="sl-SI"/>
              </w:rPr>
            </w:pPr>
            <w:r w:rsidRPr="00AC03B5">
              <w:rPr>
                <w:rFonts w:ascii="Arial" w:hAnsi="Arial" w:cs="Arial"/>
                <w:b/>
                <w:bCs/>
                <w:color w:val="000000"/>
                <w:sz w:val="18"/>
                <w:szCs w:val="18"/>
              </w:rPr>
              <w:t>100,00 %</w:t>
            </w:r>
          </w:p>
        </w:tc>
      </w:tr>
      <w:tr w:rsidR="00E3750C" w:rsidRPr="00AC03B5" w14:paraId="3A5C9A27" w14:textId="77777777" w:rsidTr="00047864">
        <w:trPr>
          <w:trHeight w:val="300"/>
        </w:trPr>
        <w:tc>
          <w:tcPr>
            <w:tcW w:w="1412" w:type="pct"/>
            <w:vMerge w:val="restart"/>
            <w:tcBorders>
              <w:top w:val="nil"/>
              <w:left w:val="single" w:sz="4" w:space="0" w:color="auto"/>
              <w:bottom w:val="single" w:sz="4" w:space="0" w:color="auto"/>
              <w:right w:val="single" w:sz="4" w:space="0" w:color="auto"/>
            </w:tcBorders>
            <w:shd w:val="clear" w:color="auto" w:fill="auto"/>
            <w:vAlign w:val="center"/>
            <w:hideMark/>
          </w:tcPr>
          <w:p w14:paraId="52CC5053" w14:textId="77777777" w:rsidR="00E3750C" w:rsidRPr="00AC03B5" w:rsidRDefault="00E3750C" w:rsidP="00047864">
            <w:pPr>
              <w:spacing w:after="0" w:line="240" w:lineRule="auto"/>
              <w:rPr>
                <w:rFonts w:ascii="Arial" w:eastAsia="Times New Roman" w:hAnsi="Arial" w:cs="Arial"/>
                <w:color w:val="000000"/>
                <w:sz w:val="18"/>
                <w:szCs w:val="18"/>
                <w:lang w:eastAsia="sl-SI"/>
              </w:rPr>
            </w:pPr>
            <w:r w:rsidRPr="00AC03B5">
              <w:rPr>
                <w:rFonts w:ascii="Arial" w:eastAsia="Times New Roman" w:hAnsi="Arial" w:cs="Arial"/>
                <w:color w:val="000000"/>
                <w:sz w:val="18"/>
                <w:szCs w:val="18"/>
                <w:lang w:eastAsia="sl-SI"/>
              </w:rPr>
              <w:t>Konkurenčni postopek s pogajanji</w:t>
            </w:r>
          </w:p>
        </w:tc>
        <w:tc>
          <w:tcPr>
            <w:tcW w:w="1238" w:type="pct"/>
            <w:tcBorders>
              <w:top w:val="nil"/>
              <w:left w:val="nil"/>
              <w:bottom w:val="single" w:sz="4" w:space="0" w:color="auto"/>
              <w:right w:val="single" w:sz="4" w:space="0" w:color="auto"/>
            </w:tcBorders>
            <w:shd w:val="clear" w:color="auto" w:fill="auto"/>
            <w:vAlign w:val="center"/>
            <w:hideMark/>
          </w:tcPr>
          <w:p w14:paraId="0332732C" w14:textId="77777777" w:rsidR="00E3750C" w:rsidRPr="00AC03B5" w:rsidRDefault="00E3750C" w:rsidP="00047864">
            <w:pPr>
              <w:spacing w:after="0" w:line="240" w:lineRule="auto"/>
              <w:rPr>
                <w:rFonts w:ascii="Arial" w:eastAsia="Times New Roman" w:hAnsi="Arial" w:cs="Arial"/>
                <w:color w:val="000000"/>
                <w:sz w:val="18"/>
                <w:szCs w:val="18"/>
                <w:lang w:eastAsia="sl-SI"/>
              </w:rPr>
            </w:pPr>
            <w:r w:rsidRPr="00AC03B5">
              <w:rPr>
                <w:rFonts w:ascii="Arial" w:eastAsia="Times New Roman" w:hAnsi="Arial" w:cs="Arial"/>
                <w:color w:val="000000"/>
                <w:sz w:val="18"/>
                <w:szCs w:val="18"/>
                <w:lang w:eastAsia="sl-SI"/>
              </w:rPr>
              <w:t>Cena</w:t>
            </w:r>
          </w:p>
        </w:tc>
        <w:tc>
          <w:tcPr>
            <w:tcW w:w="533" w:type="pct"/>
            <w:tcBorders>
              <w:top w:val="nil"/>
              <w:left w:val="nil"/>
              <w:bottom w:val="single" w:sz="4" w:space="0" w:color="auto"/>
              <w:right w:val="single" w:sz="4" w:space="0" w:color="auto"/>
            </w:tcBorders>
            <w:shd w:val="clear" w:color="auto" w:fill="auto"/>
            <w:vAlign w:val="center"/>
            <w:hideMark/>
          </w:tcPr>
          <w:p w14:paraId="41790B7E"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223</w:t>
            </w:r>
          </w:p>
        </w:tc>
        <w:tc>
          <w:tcPr>
            <w:tcW w:w="780" w:type="pct"/>
            <w:tcBorders>
              <w:top w:val="nil"/>
              <w:left w:val="nil"/>
              <w:bottom w:val="single" w:sz="4" w:space="0" w:color="auto"/>
              <w:right w:val="single" w:sz="4" w:space="0" w:color="auto"/>
            </w:tcBorders>
            <w:shd w:val="clear" w:color="auto" w:fill="auto"/>
            <w:vAlign w:val="center"/>
            <w:hideMark/>
          </w:tcPr>
          <w:p w14:paraId="5BBAB691"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377.099.634</w:t>
            </w:r>
          </w:p>
        </w:tc>
        <w:tc>
          <w:tcPr>
            <w:tcW w:w="518" w:type="pct"/>
            <w:tcBorders>
              <w:top w:val="nil"/>
              <w:left w:val="nil"/>
              <w:bottom w:val="single" w:sz="4" w:space="0" w:color="auto"/>
              <w:right w:val="single" w:sz="4" w:space="0" w:color="auto"/>
            </w:tcBorders>
            <w:shd w:val="clear" w:color="auto" w:fill="auto"/>
            <w:noWrap/>
            <w:vAlign w:val="center"/>
            <w:hideMark/>
          </w:tcPr>
          <w:p w14:paraId="24FAC8B2"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93,31 %</w:t>
            </w:r>
          </w:p>
        </w:tc>
        <w:tc>
          <w:tcPr>
            <w:tcW w:w="518" w:type="pct"/>
            <w:tcBorders>
              <w:top w:val="nil"/>
              <w:left w:val="nil"/>
              <w:bottom w:val="single" w:sz="4" w:space="0" w:color="auto"/>
              <w:right w:val="single" w:sz="4" w:space="0" w:color="auto"/>
            </w:tcBorders>
            <w:shd w:val="clear" w:color="auto" w:fill="auto"/>
            <w:noWrap/>
            <w:vAlign w:val="center"/>
            <w:hideMark/>
          </w:tcPr>
          <w:p w14:paraId="43F21D58"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92,16 %</w:t>
            </w:r>
          </w:p>
        </w:tc>
      </w:tr>
      <w:tr w:rsidR="00E3750C" w:rsidRPr="00AC03B5" w14:paraId="7F564BEC" w14:textId="77777777" w:rsidTr="00047864">
        <w:trPr>
          <w:trHeight w:val="300"/>
        </w:trPr>
        <w:tc>
          <w:tcPr>
            <w:tcW w:w="1412" w:type="pct"/>
            <w:vMerge/>
            <w:tcBorders>
              <w:top w:val="nil"/>
              <w:left w:val="single" w:sz="4" w:space="0" w:color="auto"/>
              <w:bottom w:val="single" w:sz="4" w:space="0" w:color="auto"/>
              <w:right w:val="single" w:sz="4" w:space="0" w:color="auto"/>
            </w:tcBorders>
            <w:vAlign w:val="center"/>
            <w:hideMark/>
          </w:tcPr>
          <w:p w14:paraId="0D929433" w14:textId="77777777" w:rsidR="00E3750C" w:rsidRPr="00AC03B5" w:rsidRDefault="00E3750C" w:rsidP="00047864">
            <w:pPr>
              <w:spacing w:after="0" w:line="240" w:lineRule="auto"/>
              <w:rPr>
                <w:rFonts w:ascii="Arial" w:eastAsia="Times New Roman" w:hAnsi="Arial" w:cs="Arial"/>
                <w:color w:val="000000"/>
                <w:sz w:val="18"/>
                <w:szCs w:val="18"/>
                <w:lang w:eastAsia="sl-SI"/>
              </w:rPr>
            </w:pPr>
          </w:p>
        </w:tc>
        <w:tc>
          <w:tcPr>
            <w:tcW w:w="1238" w:type="pct"/>
            <w:tcBorders>
              <w:top w:val="nil"/>
              <w:left w:val="nil"/>
              <w:bottom w:val="single" w:sz="4" w:space="0" w:color="auto"/>
              <w:right w:val="single" w:sz="4" w:space="0" w:color="auto"/>
            </w:tcBorders>
            <w:shd w:val="clear" w:color="auto" w:fill="auto"/>
            <w:vAlign w:val="center"/>
            <w:hideMark/>
          </w:tcPr>
          <w:p w14:paraId="4B4C2DB0" w14:textId="77777777" w:rsidR="00E3750C" w:rsidRPr="00AC03B5" w:rsidRDefault="00E3750C" w:rsidP="00047864">
            <w:pPr>
              <w:spacing w:after="0" w:line="240" w:lineRule="auto"/>
              <w:rPr>
                <w:rFonts w:ascii="Arial" w:eastAsia="Times New Roman" w:hAnsi="Arial" w:cs="Arial"/>
                <w:color w:val="000000"/>
                <w:sz w:val="18"/>
                <w:szCs w:val="18"/>
                <w:lang w:eastAsia="sl-SI"/>
              </w:rPr>
            </w:pPr>
            <w:r w:rsidRPr="00AC03B5">
              <w:rPr>
                <w:rFonts w:ascii="Arial" w:eastAsia="Times New Roman" w:hAnsi="Arial" w:cs="Arial"/>
                <w:color w:val="000000"/>
                <w:sz w:val="18"/>
                <w:szCs w:val="18"/>
                <w:lang w:eastAsia="sl-SI"/>
              </w:rPr>
              <w:t>Ekonomsko najugodnejša ponudba</w:t>
            </w:r>
          </w:p>
        </w:tc>
        <w:tc>
          <w:tcPr>
            <w:tcW w:w="533" w:type="pct"/>
            <w:tcBorders>
              <w:top w:val="nil"/>
              <w:left w:val="nil"/>
              <w:bottom w:val="single" w:sz="4" w:space="0" w:color="auto"/>
              <w:right w:val="single" w:sz="4" w:space="0" w:color="auto"/>
            </w:tcBorders>
            <w:shd w:val="clear" w:color="auto" w:fill="auto"/>
            <w:vAlign w:val="center"/>
            <w:hideMark/>
          </w:tcPr>
          <w:p w14:paraId="44818584"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16</w:t>
            </w:r>
          </w:p>
        </w:tc>
        <w:tc>
          <w:tcPr>
            <w:tcW w:w="780" w:type="pct"/>
            <w:tcBorders>
              <w:top w:val="nil"/>
              <w:left w:val="nil"/>
              <w:bottom w:val="single" w:sz="4" w:space="0" w:color="auto"/>
              <w:right w:val="single" w:sz="4" w:space="0" w:color="auto"/>
            </w:tcBorders>
            <w:shd w:val="clear" w:color="auto" w:fill="auto"/>
            <w:vAlign w:val="center"/>
            <w:hideMark/>
          </w:tcPr>
          <w:p w14:paraId="37EBE4DB"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32.062.342</w:t>
            </w:r>
          </w:p>
        </w:tc>
        <w:tc>
          <w:tcPr>
            <w:tcW w:w="518" w:type="pct"/>
            <w:tcBorders>
              <w:top w:val="nil"/>
              <w:left w:val="nil"/>
              <w:bottom w:val="single" w:sz="4" w:space="0" w:color="auto"/>
              <w:right w:val="single" w:sz="4" w:space="0" w:color="auto"/>
            </w:tcBorders>
            <w:shd w:val="clear" w:color="auto" w:fill="auto"/>
            <w:noWrap/>
            <w:vAlign w:val="center"/>
            <w:hideMark/>
          </w:tcPr>
          <w:p w14:paraId="6FB77F78"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6,69 %</w:t>
            </w:r>
          </w:p>
        </w:tc>
        <w:tc>
          <w:tcPr>
            <w:tcW w:w="518" w:type="pct"/>
            <w:tcBorders>
              <w:top w:val="nil"/>
              <w:left w:val="nil"/>
              <w:bottom w:val="single" w:sz="4" w:space="0" w:color="auto"/>
              <w:right w:val="single" w:sz="4" w:space="0" w:color="auto"/>
            </w:tcBorders>
            <w:shd w:val="clear" w:color="auto" w:fill="auto"/>
            <w:noWrap/>
            <w:vAlign w:val="center"/>
            <w:hideMark/>
          </w:tcPr>
          <w:p w14:paraId="6DA21D98"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7,84 %</w:t>
            </w:r>
          </w:p>
        </w:tc>
      </w:tr>
      <w:tr w:rsidR="00E3750C" w:rsidRPr="00AC03B5" w14:paraId="1CA495F1" w14:textId="77777777" w:rsidTr="00047864">
        <w:trPr>
          <w:trHeight w:val="300"/>
        </w:trPr>
        <w:tc>
          <w:tcPr>
            <w:tcW w:w="1412" w:type="pct"/>
            <w:vMerge/>
            <w:tcBorders>
              <w:top w:val="nil"/>
              <w:left w:val="single" w:sz="4" w:space="0" w:color="auto"/>
              <w:bottom w:val="single" w:sz="4" w:space="0" w:color="auto"/>
              <w:right w:val="single" w:sz="4" w:space="0" w:color="auto"/>
            </w:tcBorders>
            <w:vAlign w:val="center"/>
            <w:hideMark/>
          </w:tcPr>
          <w:p w14:paraId="2CAB98BE" w14:textId="77777777" w:rsidR="00E3750C" w:rsidRPr="00AC03B5" w:rsidRDefault="00E3750C" w:rsidP="00047864">
            <w:pPr>
              <w:spacing w:after="0" w:line="240" w:lineRule="auto"/>
              <w:rPr>
                <w:rFonts w:ascii="Arial" w:eastAsia="Times New Roman" w:hAnsi="Arial" w:cs="Arial"/>
                <w:color w:val="000000"/>
                <w:sz w:val="18"/>
                <w:szCs w:val="18"/>
                <w:lang w:eastAsia="sl-SI"/>
              </w:rPr>
            </w:pPr>
          </w:p>
        </w:tc>
        <w:tc>
          <w:tcPr>
            <w:tcW w:w="1238" w:type="pct"/>
            <w:tcBorders>
              <w:top w:val="nil"/>
              <w:left w:val="nil"/>
              <w:bottom w:val="single" w:sz="4" w:space="0" w:color="auto"/>
              <w:right w:val="single" w:sz="4" w:space="0" w:color="auto"/>
            </w:tcBorders>
            <w:shd w:val="clear" w:color="auto" w:fill="auto"/>
            <w:vAlign w:val="center"/>
            <w:hideMark/>
          </w:tcPr>
          <w:p w14:paraId="4E0F7C2D" w14:textId="77777777" w:rsidR="00E3750C" w:rsidRPr="00AC03B5" w:rsidRDefault="00E3750C" w:rsidP="00047864">
            <w:pPr>
              <w:spacing w:after="0" w:line="240" w:lineRule="auto"/>
              <w:rPr>
                <w:rFonts w:ascii="Arial" w:eastAsia="Times New Roman" w:hAnsi="Arial" w:cs="Arial"/>
                <w:b/>
                <w:bCs/>
                <w:color w:val="000000"/>
                <w:sz w:val="18"/>
                <w:szCs w:val="18"/>
                <w:lang w:eastAsia="sl-SI"/>
              </w:rPr>
            </w:pPr>
            <w:r w:rsidRPr="00AC03B5">
              <w:rPr>
                <w:rFonts w:ascii="Arial" w:eastAsia="Times New Roman" w:hAnsi="Arial" w:cs="Arial"/>
                <w:b/>
                <w:bCs/>
                <w:color w:val="000000"/>
                <w:sz w:val="18"/>
                <w:szCs w:val="18"/>
                <w:lang w:eastAsia="sl-SI"/>
              </w:rPr>
              <w:t>Skupaj</w:t>
            </w:r>
          </w:p>
        </w:tc>
        <w:tc>
          <w:tcPr>
            <w:tcW w:w="533" w:type="pct"/>
            <w:tcBorders>
              <w:top w:val="nil"/>
              <w:left w:val="nil"/>
              <w:bottom w:val="single" w:sz="4" w:space="0" w:color="auto"/>
              <w:right w:val="single" w:sz="4" w:space="0" w:color="auto"/>
            </w:tcBorders>
            <w:shd w:val="clear" w:color="auto" w:fill="auto"/>
            <w:vAlign w:val="center"/>
            <w:hideMark/>
          </w:tcPr>
          <w:p w14:paraId="431BAB4E" w14:textId="77777777" w:rsidR="00E3750C" w:rsidRPr="00AC03B5" w:rsidRDefault="00E3750C" w:rsidP="00047864">
            <w:pPr>
              <w:spacing w:after="0" w:line="240" w:lineRule="auto"/>
              <w:jc w:val="right"/>
              <w:rPr>
                <w:rFonts w:ascii="Arial" w:eastAsia="Times New Roman" w:hAnsi="Arial" w:cs="Arial"/>
                <w:b/>
                <w:bCs/>
                <w:color w:val="000000"/>
                <w:sz w:val="18"/>
                <w:szCs w:val="18"/>
                <w:lang w:eastAsia="sl-SI"/>
              </w:rPr>
            </w:pPr>
            <w:r w:rsidRPr="00AC03B5">
              <w:rPr>
                <w:rFonts w:ascii="Arial" w:hAnsi="Arial" w:cs="Arial"/>
                <w:b/>
                <w:bCs/>
                <w:color w:val="000000"/>
                <w:sz w:val="18"/>
                <w:szCs w:val="18"/>
              </w:rPr>
              <w:t>239</w:t>
            </w:r>
          </w:p>
        </w:tc>
        <w:tc>
          <w:tcPr>
            <w:tcW w:w="780" w:type="pct"/>
            <w:tcBorders>
              <w:top w:val="nil"/>
              <w:left w:val="nil"/>
              <w:bottom w:val="single" w:sz="4" w:space="0" w:color="auto"/>
              <w:right w:val="single" w:sz="4" w:space="0" w:color="auto"/>
            </w:tcBorders>
            <w:shd w:val="clear" w:color="auto" w:fill="auto"/>
            <w:vAlign w:val="center"/>
            <w:hideMark/>
          </w:tcPr>
          <w:p w14:paraId="1787AAD4" w14:textId="77777777" w:rsidR="00E3750C" w:rsidRPr="00AC03B5" w:rsidRDefault="00E3750C" w:rsidP="00047864">
            <w:pPr>
              <w:spacing w:after="0" w:line="240" w:lineRule="auto"/>
              <w:jc w:val="right"/>
              <w:rPr>
                <w:rFonts w:ascii="Arial" w:eastAsia="Times New Roman" w:hAnsi="Arial" w:cs="Arial"/>
                <w:b/>
                <w:bCs/>
                <w:color w:val="000000"/>
                <w:sz w:val="18"/>
                <w:szCs w:val="18"/>
                <w:lang w:eastAsia="sl-SI"/>
              </w:rPr>
            </w:pPr>
            <w:r w:rsidRPr="00AC03B5">
              <w:rPr>
                <w:rFonts w:ascii="Arial" w:hAnsi="Arial" w:cs="Arial"/>
                <w:b/>
                <w:bCs/>
                <w:color w:val="000000"/>
                <w:sz w:val="18"/>
                <w:szCs w:val="18"/>
              </w:rPr>
              <w:t>409.161.976</w:t>
            </w:r>
          </w:p>
        </w:tc>
        <w:tc>
          <w:tcPr>
            <w:tcW w:w="518" w:type="pct"/>
            <w:tcBorders>
              <w:top w:val="nil"/>
              <w:left w:val="nil"/>
              <w:bottom w:val="single" w:sz="4" w:space="0" w:color="auto"/>
              <w:right w:val="single" w:sz="4" w:space="0" w:color="auto"/>
            </w:tcBorders>
            <w:shd w:val="clear" w:color="auto" w:fill="auto"/>
            <w:noWrap/>
            <w:vAlign w:val="center"/>
            <w:hideMark/>
          </w:tcPr>
          <w:p w14:paraId="4AB1322D" w14:textId="77777777" w:rsidR="00E3750C" w:rsidRPr="00AC03B5" w:rsidRDefault="00E3750C" w:rsidP="00047864">
            <w:pPr>
              <w:spacing w:after="0" w:line="240" w:lineRule="auto"/>
              <w:jc w:val="right"/>
              <w:rPr>
                <w:rFonts w:ascii="Arial" w:eastAsia="Times New Roman" w:hAnsi="Arial" w:cs="Arial"/>
                <w:b/>
                <w:bCs/>
                <w:color w:val="000000"/>
                <w:sz w:val="18"/>
                <w:szCs w:val="18"/>
                <w:lang w:eastAsia="sl-SI"/>
              </w:rPr>
            </w:pPr>
            <w:r w:rsidRPr="00AC03B5">
              <w:rPr>
                <w:rFonts w:ascii="Arial" w:hAnsi="Arial" w:cs="Arial"/>
                <w:b/>
                <w:bCs/>
                <w:color w:val="000000"/>
                <w:sz w:val="18"/>
                <w:szCs w:val="18"/>
              </w:rPr>
              <w:t>100,00 %</w:t>
            </w:r>
          </w:p>
        </w:tc>
        <w:tc>
          <w:tcPr>
            <w:tcW w:w="518" w:type="pct"/>
            <w:tcBorders>
              <w:top w:val="nil"/>
              <w:left w:val="nil"/>
              <w:bottom w:val="single" w:sz="4" w:space="0" w:color="auto"/>
              <w:right w:val="single" w:sz="4" w:space="0" w:color="auto"/>
            </w:tcBorders>
            <w:shd w:val="clear" w:color="auto" w:fill="auto"/>
            <w:noWrap/>
            <w:vAlign w:val="center"/>
            <w:hideMark/>
          </w:tcPr>
          <w:p w14:paraId="0ADEB3CE" w14:textId="77777777" w:rsidR="00E3750C" w:rsidRPr="00AC03B5" w:rsidRDefault="00E3750C" w:rsidP="00047864">
            <w:pPr>
              <w:spacing w:after="0" w:line="240" w:lineRule="auto"/>
              <w:jc w:val="right"/>
              <w:rPr>
                <w:rFonts w:ascii="Arial" w:eastAsia="Times New Roman" w:hAnsi="Arial" w:cs="Arial"/>
                <w:b/>
                <w:bCs/>
                <w:color w:val="000000"/>
                <w:sz w:val="18"/>
                <w:szCs w:val="18"/>
                <w:lang w:eastAsia="sl-SI"/>
              </w:rPr>
            </w:pPr>
            <w:r w:rsidRPr="00AC03B5">
              <w:rPr>
                <w:rFonts w:ascii="Arial" w:hAnsi="Arial" w:cs="Arial"/>
                <w:b/>
                <w:bCs/>
                <w:color w:val="000000"/>
                <w:sz w:val="18"/>
                <w:szCs w:val="18"/>
              </w:rPr>
              <w:t>100,00 %</w:t>
            </w:r>
          </w:p>
        </w:tc>
      </w:tr>
      <w:tr w:rsidR="00E3750C" w:rsidRPr="00AC03B5" w14:paraId="44FF0B6E" w14:textId="77777777" w:rsidTr="00047864">
        <w:trPr>
          <w:trHeight w:val="300"/>
        </w:trPr>
        <w:tc>
          <w:tcPr>
            <w:tcW w:w="1412" w:type="pct"/>
            <w:vMerge w:val="restart"/>
            <w:tcBorders>
              <w:top w:val="nil"/>
              <w:left w:val="single" w:sz="4" w:space="0" w:color="auto"/>
              <w:bottom w:val="single" w:sz="4" w:space="0" w:color="auto"/>
              <w:right w:val="single" w:sz="4" w:space="0" w:color="auto"/>
            </w:tcBorders>
            <w:shd w:val="clear" w:color="auto" w:fill="auto"/>
            <w:vAlign w:val="center"/>
            <w:hideMark/>
          </w:tcPr>
          <w:p w14:paraId="7119098D" w14:textId="77777777" w:rsidR="00E3750C" w:rsidRPr="00AC03B5" w:rsidRDefault="00E3750C" w:rsidP="00047864">
            <w:pPr>
              <w:spacing w:after="0" w:line="240" w:lineRule="auto"/>
              <w:rPr>
                <w:rFonts w:ascii="Arial" w:eastAsia="Times New Roman" w:hAnsi="Arial" w:cs="Arial"/>
                <w:color w:val="000000"/>
                <w:sz w:val="18"/>
                <w:szCs w:val="18"/>
                <w:lang w:eastAsia="sl-SI"/>
              </w:rPr>
            </w:pPr>
            <w:r w:rsidRPr="00AC03B5">
              <w:rPr>
                <w:rFonts w:ascii="Arial" w:eastAsia="Times New Roman" w:hAnsi="Arial" w:cs="Arial"/>
                <w:color w:val="000000"/>
                <w:sz w:val="18"/>
                <w:szCs w:val="18"/>
                <w:lang w:eastAsia="sl-SI"/>
              </w:rPr>
              <w:t>Odprti postopek</w:t>
            </w:r>
          </w:p>
        </w:tc>
        <w:tc>
          <w:tcPr>
            <w:tcW w:w="1238" w:type="pct"/>
            <w:tcBorders>
              <w:top w:val="nil"/>
              <w:left w:val="nil"/>
              <w:bottom w:val="single" w:sz="4" w:space="0" w:color="auto"/>
              <w:right w:val="single" w:sz="4" w:space="0" w:color="auto"/>
            </w:tcBorders>
            <w:shd w:val="clear" w:color="auto" w:fill="auto"/>
            <w:vAlign w:val="center"/>
            <w:hideMark/>
          </w:tcPr>
          <w:p w14:paraId="68905F9B" w14:textId="77777777" w:rsidR="00E3750C" w:rsidRPr="00AC03B5" w:rsidRDefault="00E3750C" w:rsidP="00047864">
            <w:pPr>
              <w:spacing w:after="0" w:line="240" w:lineRule="auto"/>
              <w:rPr>
                <w:rFonts w:ascii="Arial" w:eastAsia="Times New Roman" w:hAnsi="Arial" w:cs="Arial"/>
                <w:color w:val="000000"/>
                <w:sz w:val="18"/>
                <w:szCs w:val="18"/>
                <w:lang w:eastAsia="sl-SI"/>
              </w:rPr>
            </w:pPr>
            <w:r w:rsidRPr="00AC03B5">
              <w:rPr>
                <w:rFonts w:ascii="Arial" w:eastAsia="Times New Roman" w:hAnsi="Arial" w:cs="Arial"/>
                <w:color w:val="000000"/>
                <w:sz w:val="18"/>
                <w:szCs w:val="18"/>
                <w:lang w:eastAsia="sl-SI"/>
              </w:rPr>
              <w:t>Cena</w:t>
            </w:r>
          </w:p>
        </w:tc>
        <w:tc>
          <w:tcPr>
            <w:tcW w:w="533" w:type="pct"/>
            <w:tcBorders>
              <w:top w:val="nil"/>
              <w:left w:val="nil"/>
              <w:bottom w:val="single" w:sz="4" w:space="0" w:color="auto"/>
              <w:right w:val="single" w:sz="4" w:space="0" w:color="auto"/>
            </w:tcBorders>
            <w:shd w:val="clear" w:color="auto" w:fill="auto"/>
            <w:vAlign w:val="center"/>
            <w:hideMark/>
          </w:tcPr>
          <w:p w14:paraId="05B0A10B"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8.766</w:t>
            </w:r>
          </w:p>
        </w:tc>
        <w:tc>
          <w:tcPr>
            <w:tcW w:w="780" w:type="pct"/>
            <w:tcBorders>
              <w:top w:val="nil"/>
              <w:left w:val="nil"/>
              <w:bottom w:val="single" w:sz="4" w:space="0" w:color="auto"/>
              <w:right w:val="single" w:sz="4" w:space="0" w:color="auto"/>
            </w:tcBorders>
            <w:shd w:val="clear" w:color="auto" w:fill="auto"/>
            <w:vAlign w:val="center"/>
            <w:hideMark/>
          </w:tcPr>
          <w:p w14:paraId="641ECD67"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3.175.282.846</w:t>
            </w:r>
          </w:p>
        </w:tc>
        <w:tc>
          <w:tcPr>
            <w:tcW w:w="518" w:type="pct"/>
            <w:tcBorders>
              <w:top w:val="nil"/>
              <w:left w:val="nil"/>
              <w:bottom w:val="single" w:sz="4" w:space="0" w:color="auto"/>
              <w:right w:val="single" w:sz="4" w:space="0" w:color="auto"/>
            </w:tcBorders>
            <w:shd w:val="clear" w:color="auto" w:fill="auto"/>
            <w:noWrap/>
            <w:vAlign w:val="center"/>
            <w:hideMark/>
          </w:tcPr>
          <w:p w14:paraId="0CBAE148"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88,76 %</w:t>
            </w:r>
          </w:p>
        </w:tc>
        <w:tc>
          <w:tcPr>
            <w:tcW w:w="518" w:type="pct"/>
            <w:tcBorders>
              <w:top w:val="nil"/>
              <w:left w:val="nil"/>
              <w:bottom w:val="single" w:sz="4" w:space="0" w:color="auto"/>
              <w:right w:val="single" w:sz="4" w:space="0" w:color="auto"/>
            </w:tcBorders>
            <w:shd w:val="clear" w:color="auto" w:fill="auto"/>
            <w:noWrap/>
            <w:vAlign w:val="center"/>
            <w:hideMark/>
          </w:tcPr>
          <w:p w14:paraId="78613A1B"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92,62 %</w:t>
            </w:r>
          </w:p>
        </w:tc>
      </w:tr>
      <w:tr w:rsidR="00E3750C" w:rsidRPr="00AC03B5" w14:paraId="00D21C15" w14:textId="77777777" w:rsidTr="00047864">
        <w:trPr>
          <w:trHeight w:val="300"/>
        </w:trPr>
        <w:tc>
          <w:tcPr>
            <w:tcW w:w="1412" w:type="pct"/>
            <w:vMerge/>
            <w:tcBorders>
              <w:top w:val="nil"/>
              <w:left w:val="single" w:sz="4" w:space="0" w:color="auto"/>
              <w:bottom w:val="single" w:sz="4" w:space="0" w:color="auto"/>
              <w:right w:val="single" w:sz="4" w:space="0" w:color="auto"/>
            </w:tcBorders>
            <w:vAlign w:val="center"/>
            <w:hideMark/>
          </w:tcPr>
          <w:p w14:paraId="07664AEA" w14:textId="77777777" w:rsidR="00E3750C" w:rsidRPr="00AC03B5" w:rsidRDefault="00E3750C" w:rsidP="00047864">
            <w:pPr>
              <w:spacing w:after="0" w:line="240" w:lineRule="auto"/>
              <w:rPr>
                <w:rFonts w:ascii="Arial" w:eastAsia="Times New Roman" w:hAnsi="Arial" w:cs="Arial"/>
                <w:color w:val="000000"/>
                <w:sz w:val="18"/>
                <w:szCs w:val="18"/>
                <w:lang w:eastAsia="sl-SI"/>
              </w:rPr>
            </w:pPr>
          </w:p>
        </w:tc>
        <w:tc>
          <w:tcPr>
            <w:tcW w:w="1238" w:type="pct"/>
            <w:tcBorders>
              <w:top w:val="nil"/>
              <w:left w:val="nil"/>
              <w:bottom w:val="single" w:sz="4" w:space="0" w:color="auto"/>
              <w:right w:val="single" w:sz="4" w:space="0" w:color="auto"/>
            </w:tcBorders>
            <w:shd w:val="clear" w:color="auto" w:fill="auto"/>
            <w:vAlign w:val="center"/>
            <w:hideMark/>
          </w:tcPr>
          <w:p w14:paraId="7A549F36" w14:textId="77777777" w:rsidR="00E3750C" w:rsidRPr="00AC03B5" w:rsidRDefault="00E3750C" w:rsidP="00047864">
            <w:pPr>
              <w:spacing w:after="0" w:line="240" w:lineRule="auto"/>
              <w:rPr>
                <w:rFonts w:ascii="Arial" w:eastAsia="Times New Roman" w:hAnsi="Arial" w:cs="Arial"/>
                <w:color w:val="000000"/>
                <w:sz w:val="18"/>
                <w:szCs w:val="18"/>
                <w:lang w:eastAsia="sl-SI"/>
              </w:rPr>
            </w:pPr>
            <w:r w:rsidRPr="00AC03B5">
              <w:rPr>
                <w:rFonts w:ascii="Arial" w:eastAsia="Times New Roman" w:hAnsi="Arial" w:cs="Arial"/>
                <w:color w:val="000000"/>
                <w:sz w:val="18"/>
                <w:szCs w:val="18"/>
                <w:lang w:eastAsia="sl-SI"/>
              </w:rPr>
              <w:t>Ekonomsko najugodnejša ponudba</w:t>
            </w:r>
          </w:p>
        </w:tc>
        <w:tc>
          <w:tcPr>
            <w:tcW w:w="533" w:type="pct"/>
            <w:tcBorders>
              <w:top w:val="nil"/>
              <w:left w:val="nil"/>
              <w:bottom w:val="single" w:sz="4" w:space="0" w:color="auto"/>
              <w:right w:val="single" w:sz="4" w:space="0" w:color="auto"/>
            </w:tcBorders>
            <w:shd w:val="clear" w:color="auto" w:fill="auto"/>
            <w:vAlign w:val="center"/>
            <w:hideMark/>
          </w:tcPr>
          <w:p w14:paraId="1B6CE144"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1.110</w:t>
            </w:r>
          </w:p>
        </w:tc>
        <w:tc>
          <w:tcPr>
            <w:tcW w:w="780" w:type="pct"/>
            <w:tcBorders>
              <w:top w:val="nil"/>
              <w:left w:val="nil"/>
              <w:bottom w:val="single" w:sz="4" w:space="0" w:color="auto"/>
              <w:right w:val="single" w:sz="4" w:space="0" w:color="auto"/>
            </w:tcBorders>
            <w:shd w:val="clear" w:color="auto" w:fill="auto"/>
            <w:vAlign w:val="center"/>
            <w:hideMark/>
          </w:tcPr>
          <w:p w14:paraId="3B0AB0EA"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252.989.043</w:t>
            </w:r>
          </w:p>
        </w:tc>
        <w:tc>
          <w:tcPr>
            <w:tcW w:w="518" w:type="pct"/>
            <w:tcBorders>
              <w:top w:val="nil"/>
              <w:left w:val="nil"/>
              <w:bottom w:val="single" w:sz="4" w:space="0" w:color="auto"/>
              <w:right w:val="single" w:sz="4" w:space="0" w:color="auto"/>
            </w:tcBorders>
            <w:shd w:val="clear" w:color="auto" w:fill="auto"/>
            <w:noWrap/>
            <w:vAlign w:val="center"/>
            <w:hideMark/>
          </w:tcPr>
          <w:p w14:paraId="2431D83A"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11,24 %</w:t>
            </w:r>
          </w:p>
        </w:tc>
        <w:tc>
          <w:tcPr>
            <w:tcW w:w="518" w:type="pct"/>
            <w:tcBorders>
              <w:top w:val="nil"/>
              <w:left w:val="nil"/>
              <w:bottom w:val="single" w:sz="4" w:space="0" w:color="auto"/>
              <w:right w:val="single" w:sz="4" w:space="0" w:color="auto"/>
            </w:tcBorders>
            <w:shd w:val="clear" w:color="auto" w:fill="auto"/>
            <w:noWrap/>
            <w:vAlign w:val="center"/>
            <w:hideMark/>
          </w:tcPr>
          <w:p w14:paraId="2740ED08"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7,38 %</w:t>
            </w:r>
          </w:p>
        </w:tc>
      </w:tr>
      <w:tr w:rsidR="00E3750C" w:rsidRPr="00AC03B5" w14:paraId="15173056" w14:textId="77777777" w:rsidTr="00047864">
        <w:trPr>
          <w:trHeight w:val="300"/>
        </w:trPr>
        <w:tc>
          <w:tcPr>
            <w:tcW w:w="1412" w:type="pct"/>
            <w:vMerge/>
            <w:tcBorders>
              <w:top w:val="nil"/>
              <w:left w:val="single" w:sz="4" w:space="0" w:color="auto"/>
              <w:bottom w:val="single" w:sz="4" w:space="0" w:color="auto"/>
              <w:right w:val="single" w:sz="4" w:space="0" w:color="auto"/>
            </w:tcBorders>
            <w:vAlign w:val="center"/>
            <w:hideMark/>
          </w:tcPr>
          <w:p w14:paraId="178C12BF" w14:textId="77777777" w:rsidR="00E3750C" w:rsidRPr="00AC03B5" w:rsidRDefault="00E3750C" w:rsidP="00047864">
            <w:pPr>
              <w:spacing w:after="0" w:line="240" w:lineRule="auto"/>
              <w:rPr>
                <w:rFonts w:ascii="Arial" w:eastAsia="Times New Roman" w:hAnsi="Arial" w:cs="Arial"/>
                <w:color w:val="000000"/>
                <w:sz w:val="18"/>
                <w:szCs w:val="18"/>
                <w:lang w:eastAsia="sl-SI"/>
              </w:rPr>
            </w:pPr>
          </w:p>
        </w:tc>
        <w:tc>
          <w:tcPr>
            <w:tcW w:w="1238" w:type="pct"/>
            <w:tcBorders>
              <w:top w:val="nil"/>
              <w:left w:val="nil"/>
              <w:bottom w:val="single" w:sz="4" w:space="0" w:color="auto"/>
              <w:right w:val="single" w:sz="4" w:space="0" w:color="auto"/>
            </w:tcBorders>
            <w:shd w:val="clear" w:color="auto" w:fill="auto"/>
            <w:vAlign w:val="center"/>
            <w:hideMark/>
          </w:tcPr>
          <w:p w14:paraId="73B7D6F1" w14:textId="77777777" w:rsidR="00E3750C" w:rsidRPr="00AC03B5" w:rsidRDefault="00E3750C" w:rsidP="00047864">
            <w:pPr>
              <w:spacing w:after="0" w:line="240" w:lineRule="auto"/>
              <w:rPr>
                <w:rFonts w:ascii="Arial" w:eastAsia="Times New Roman" w:hAnsi="Arial" w:cs="Arial"/>
                <w:b/>
                <w:bCs/>
                <w:color w:val="000000"/>
                <w:sz w:val="18"/>
                <w:szCs w:val="18"/>
                <w:lang w:eastAsia="sl-SI"/>
              </w:rPr>
            </w:pPr>
            <w:r w:rsidRPr="00AC03B5">
              <w:rPr>
                <w:rFonts w:ascii="Arial" w:eastAsia="Times New Roman" w:hAnsi="Arial" w:cs="Arial"/>
                <w:b/>
                <w:bCs/>
                <w:color w:val="000000"/>
                <w:sz w:val="18"/>
                <w:szCs w:val="18"/>
                <w:lang w:eastAsia="sl-SI"/>
              </w:rPr>
              <w:t>Skupaj</w:t>
            </w:r>
          </w:p>
        </w:tc>
        <w:tc>
          <w:tcPr>
            <w:tcW w:w="533" w:type="pct"/>
            <w:tcBorders>
              <w:top w:val="nil"/>
              <w:left w:val="nil"/>
              <w:bottom w:val="single" w:sz="4" w:space="0" w:color="auto"/>
              <w:right w:val="single" w:sz="4" w:space="0" w:color="auto"/>
            </w:tcBorders>
            <w:shd w:val="clear" w:color="auto" w:fill="auto"/>
            <w:vAlign w:val="center"/>
            <w:hideMark/>
          </w:tcPr>
          <w:p w14:paraId="6EBDD1AC" w14:textId="77777777" w:rsidR="00E3750C" w:rsidRPr="00AC03B5" w:rsidRDefault="00E3750C" w:rsidP="00047864">
            <w:pPr>
              <w:spacing w:after="0" w:line="240" w:lineRule="auto"/>
              <w:jc w:val="right"/>
              <w:rPr>
                <w:rFonts w:ascii="Arial" w:eastAsia="Times New Roman" w:hAnsi="Arial" w:cs="Arial"/>
                <w:b/>
                <w:bCs/>
                <w:color w:val="000000"/>
                <w:sz w:val="18"/>
                <w:szCs w:val="18"/>
                <w:lang w:eastAsia="sl-SI"/>
              </w:rPr>
            </w:pPr>
            <w:r w:rsidRPr="00AC03B5">
              <w:rPr>
                <w:rFonts w:ascii="Arial" w:hAnsi="Arial" w:cs="Arial"/>
                <w:b/>
                <w:bCs/>
                <w:color w:val="000000"/>
                <w:sz w:val="18"/>
                <w:szCs w:val="18"/>
              </w:rPr>
              <w:t>9.876</w:t>
            </w:r>
          </w:p>
        </w:tc>
        <w:tc>
          <w:tcPr>
            <w:tcW w:w="780" w:type="pct"/>
            <w:tcBorders>
              <w:top w:val="nil"/>
              <w:left w:val="nil"/>
              <w:bottom w:val="single" w:sz="4" w:space="0" w:color="auto"/>
              <w:right w:val="single" w:sz="4" w:space="0" w:color="auto"/>
            </w:tcBorders>
            <w:shd w:val="clear" w:color="auto" w:fill="auto"/>
            <w:vAlign w:val="center"/>
            <w:hideMark/>
          </w:tcPr>
          <w:p w14:paraId="0321AE4C" w14:textId="77777777" w:rsidR="00E3750C" w:rsidRPr="00AC03B5" w:rsidRDefault="00E3750C" w:rsidP="00047864">
            <w:pPr>
              <w:spacing w:after="0" w:line="240" w:lineRule="auto"/>
              <w:jc w:val="right"/>
              <w:rPr>
                <w:rFonts w:ascii="Arial" w:eastAsia="Times New Roman" w:hAnsi="Arial" w:cs="Arial"/>
                <w:b/>
                <w:bCs/>
                <w:color w:val="000000"/>
                <w:sz w:val="18"/>
                <w:szCs w:val="18"/>
                <w:lang w:eastAsia="sl-SI"/>
              </w:rPr>
            </w:pPr>
            <w:r w:rsidRPr="00AC03B5">
              <w:rPr>
                <w:rFonts w:ascii="Arial" w:hAnsi="Arial" w:cs="Arial"/>
                <w:b/>
                <w:bCs/>
                <w:color w:val="000000"/>
                <w:sz w:val="18"/>
                <w:szCs w:val="18"/>
              </w:rPr>
              <w:t>3.428.271.889</w:t>
            </w:r>
          </w:p>
        </w:tc>
        <w:tc>
          <w:tcPr>
            <w:tcW w:w="518" w:type="pct"/>
            <w:tcBorders>
              <w:top w:val="nil"/>
              <w:left w:val="nil"/>
              <w:bottom w:val="single" w:sz="4" w:space="0" w:color="auto"/>
              <w:right w:val="single" w:sz="4" w:space="0" w:color="auto"/>
            </w:tcBorders>
            <w:shd w:val="clear" w:color="auto" w:fill="auto"/>
            <w:noWrap/>
            <w:vAlign w:val="center"/>
            <w:hideMark/>
          </w:tcPr>
          <w:p w14:paraId="3E2841FF" w14:textId="77777777" w:rsidR="00E3750C" w:rsidRPr="00AC03B5" w:rsidRDefault="00E3750C" w:rsidP="00047864">
            <w:pPr>
              <w:spacing w:after="0" w:line="240" w:lineRule="auto"/>
              <w:jc w:val="right"/>
              <w:rPr>
                <w:rFonts w:ascii="Arial" w:eastAsia="Times New Roman" w:hAnsi="Arial" w:cs="Arial"/>
                <w:b/>
                <w:bCs/>
                <w:color w:val="000000"/>
                <w:sz w:val="18"/>
                <w:szCs w:val="18"/>
                <w:lang w:eastAsia="sl-SI"/>
              </w:rPr>
            </w:pPr>
            <w:r w:rsidRPr="00AC03B5">
              <w:rPr>
                <w:rFonts w:ascii="Arial" w:hAnsi="Arial" w:cs="Arial"/>
                <w:b/>
                <w:bCs/>
                <w:color w:val="000000"/>
                <w:sz w:val="18"/>
                <w:szCs w:val="18"/>
              </w:rPr>
              <w:t>100,00 %</w:t>
            </w:r>
          </w:p>
        </w:tc>
        <w:tc>
          <w:tcPr>
            <w:tcW w:w="518" w:type="pct"/>
            <w:tcBorders>
              <w:top w:val="nil"/>
              <w:left w:val="nil"/>
              <w:bottom w:val="single" w:sz="4" w:space="0" w:color="auto"/>
              <w:right w:val="single" w:sz="4" w:space="0" w:color="auto"/>
            </w:tcBorders>
            <w:shd w:val="clear" w:color="auto" w:fill="auto"/>
            <w:noWrap/>
            <w:vAlign w:val="center"/>
            <w:hideMark/>
          </w:tcPr>
          <w:p w14:paraId="2978A9CF" w14:textId="77777777" w:rsidR="00E3750C" w:rsidRPr="00AC03B5" w:rsidRDefault="00E3750C" w:rsidP="00047864">
            <w:pPr>
              <w:spacing w:after="0" w:line="240" w:lineRule="auto"/>
              <w:jc w:val="right"/>
              <w:rPr>
                <w:rFonts w:ascii="Arial" w:eastAsia="Times New Roman" w:hAnsi="Arial" w:cs="Arial"/>
                <w:b/>
                <w:bCs/>
                <w:color w:val="000000"/>
                <w:sz w:val="18"/>
                <w:szCs w:val="18"/>
                <w:lang w:eastAsia="sl-SI"/>
              </w:rPr>
            </w:pPr>
            <w:r w:rsidRPr="00AC03B5">
              <w:rPr>
                <w:rFonts w:ascii="Arial" w:hAnsi="Arial" w:cs="Arial"/>
                <w:b/>
                <w:bCs/>
                <w:color w:val="000000"/>
                <w:sz w:val="18"/>
                <w:szCs w:val="18"/>
              </w:rPr>
              <w:t>100,00 %</w:t>
            </w:r>
          </w:p>
        </w:tc>
      </w:tr>
      <w:tr w:rsidR="00E3750C" w:rsidRPr="00AC03B5" w14:paraId="44BD3173" w14:textId="77777777" w:rsidTr="00047864">
        <w:trPr>
          <w:trHeight w:val="300"/>
        </w:trPr>
        <w:tc>
          <w:tcPr>
            <w:tcW w:w="1412" w:type="pct"/>
            <w:vMerge w:val="restart"/>
            <w:tcBorders>
              <w:top w:val="nil"/>
              <w:left w:val="single" w:sz="4" w:space="0" w:color="auto"/>
              <w:bottom w:val="single" w:sz="4" w:space="0" w:color="auto"/>
              <w:right w:val="single" w:sz="4" w:space="0" w:color="auto"/>
            </w:tcBorders>
            <w:shd w:val="clear" w:color="auto" w:fill="auto"/>
            <w:vAlign w:val="center"/>
            <w:hideMark/>
          </w:tcPr>
          <w:p w14:paraId="35A60751" w14:textId="77777777" w:rsidR="00E3750C" w:rsidRPr="00AC03B5" w:rsidRDefault="00E3750C" w:rsidP="00047864">
            <w:pPr>
              <w:spacing w:after="0" w:line="240" w:lineRule="auto"/>
              <w:rPr>
                <w:rFonts w:ascii="Arial" w:eastAsia="Times New Roman" w:hAnsi="Arial" w:cs="Arial"/>
                <w:color w:val="000000"/>
                <w:sz w:val="18"/>
                <w:szCs w:val="18"/>
                <w:lang w:eastAsia="sl-SI"/>
              </w:rPr>
            </w:pPr>
            <w:r w:rsidRPr="00AC03B5">
              <w:rPr>
                <w:rFonts w:ascii="Arial" w:eastAsia="Times New Roman" w:hAnsi="Arial" w:cs="Arial"/>
                <w:color w:val="000000"/>
                <w:sz w:val="18"/>
                <w:szCs w:val="18"/>
                <w:lang w:eastAsia="sl-SI"/>
              </w:rPr>
              <w:t>Omejeni postopek</w:t>
            </w:r>
          </w:p>
        </w:tc>
        <w:tc>
          <w:tcPr>
            <w:tcW w:w="1238" w:type="pct"/>
            <w:tcBorders>
              <w:top w:val="nil"/>
              <w:left w:val="nil"/>
              <w:bottom w:val="single" w:sz="4" w:space="0" w:color="auto"/>
              <w:right w:val="single" w:sz="4" w:space="0" w:color="auto"/>
            </w:tcBorders>
            <w:shd w:val="clear" w:color="auto" w:fill="auto"/>
            <w:vAlign w:val="center"/>
            <w:hideMark/>
          </w:tcPr>
          <w:p w14:paraId="3D73917B" w14:textId="77777777" w:rsidR="00E3750C" w:rsidRPr="00AC03B5" w:rsidRDefault="00E3750C" w:rsidP="00047864">
            <w:pPr>
              <w:spacing w:after="0" w:line="240" w:lineRule="auto"/>
              <w:rPr>
                <w:rFonts w:ascii="Arial" w:eastAsia="Times New Roman" w:hAnsi="Arial" w:cs="Arial"/>
                <w:color w:val="000000"/>
                <w:sz w:val="18"/>
                <w:szCs w:val="18"/>
                <w:lang w:eastAsia="sl-SI"/>
              </w:rPr>
            </w:pPr>
            <w:r w:rsidRPr="00AC03B5">
              <w:rPr>
                <w:rFonts w:ascii="Arial" w:eastAsia="Times New Roman" w:hAnsi="Arial" w:cs="Arial"/>
                <w:color w:val="000000"/>
                <w:sz w:val="18"/>
                <w:szCs w:val="18"/>
                <w:lang w:eastAsia="sl-SI"/>
              </w:rPr>
              <w:t>Cena</w:t>
            </w:r>
          </w:p>
        </w:tc>
        <w:tc>
          <w:tcPr>
            <w:tcW w:w="533" w:type="pct"/>
            <w:tcBorders>
              <w:top w:val="nil"/>
              <w:left w:val="nil"/>
              <w:bottom w:val="single" w:sz="4" w:space="0" w:color="auto"/>
              <w:right w:val="single" w:sz="4" w:space="0" w:color="auto"/>
            </w:tcBorders>
            <w:shd w:val="clear" w:color="auto" w:fill="auto"/>
            <w:vAlign w:val="center"/>
            <w:hideMark/>
          </w:tcPr>
          <w:p w14:paraId="15A0FA79"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41</w:t>
            </w:r>
          </w:p>
        </w:tc>
        <w:tc>
          <w:tcPr>
            <w:tcW w:w="780" w:type="pct"/>
            <w:tcBorders>
              <w:top w:val="nil"/>
              <w:left w:val="nil"/>
              <w:bottom w:val="single" w:sz="4" w:space="0" w:color="auto"/>
              <w:right w:val="single" w:sz="4" w:space="0" w:color="auto"/>
            </w:tcBorders>
            <w:shd w:val="clear" w:color="auto" w:fill="auto"/>
            <w:vAlign w:val="center"/>
            <w:hideMark/>
          </w:tcPr>
          <w:p w14:paraId="5BB59ED1"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78.645.924</w:t>
            </w:r>
          </w:p>
        </w:tc>
        <w:tc>
          <w:tcPr>
            <w:tcW w:w="518" w:type="pct"/>
            <w:tcBorders>
              <w:top w:val="nil"/>
              <w:left w:val="nil"/>
              <w:bottom w:val="single" w:sz="4" w:space="0" w:color="auto"/>
              <w:right w:val="single" w:sz="4" w:space="0" w:color="auto"/>
            </w:tcBorders>
            <w:shd w:val="clear" w:color="auto" w:fill="auto"/>
            <w:noWrap/>
            <w:vAlign w:val="center"/>
            <w:hideMark/>
          </w:tcPr>
          <w:p w14:paraId="619A8DDE"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69,49 %</w:t>
            </w:r>
          </w:p>
        </w:tc>
        <w:tc>
          <w:tcPr>
            <w:tcW w:w="518" w:type="pct"/>
            <w:tcBorders>
              <w:top w:val="nil"/>
              <w:left w:val="nil"/>
              <w:bottom w:val="single" w:sz="4" w:space="0" w:color="auto"/>
              <w:right w:val="single" w:sz="4" w:space="0" w:color="auto"/>
            </w:tcBorders>
            <w:shd w:val="clear" w:color="auto" w:fill="auto"/>
            <w:noWrap/>
            <w:vAlign w:val="center"/>
            <w:hideMark/>
          </w:tcPr>
          <w:p w14:paraId="0141649B"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97,13 %</w:t>
            </w:r>
          </w:p>
        </w:tc>
      </w:tr>
      <w:tr w:rsidR="00E3750C" w:rsidRPr="00AC03B5" w14:paraId="54085558" w14:textId="77777777" w:rsidTr="00047864">
        <w:trPr>
          <w:trHeight w:val="300"/>
        </w:trPr>
        <w:tc>
          <w:tcPr>
            <w:tcW w:w="1412" w:type="pct"/>
            <w:vMerge/>
            <w:tcBorders>
              <w:top w:val="nil"/>
              <w:left w:val="single" w:sz="4" w:space="0" w:color="auto"/>
              <w:bottom w:val="single" w:sz="4" w:space="0" w:color="auto"/>
              <w:right w:val="single" w:sz="4" w:space="0" w:color="auto"/>
            </w:tcBorders>
            <w:vAlign w:val="center"/>
            <w:hideMark/>
          </w:tcPr>
          <w:p w14:paraId="291EE9E3" w14:textId="77777777" w:rsidR="00E3750C" w:rsidRPr="00AC03B5" w:rsidRDefault="00E3750C" w:rsidP="00047864">
            <w:pPr>
              <w:spacing w:after="0" w:line="240" w:lineRule="auto"/>
              <w:rPr>
                <w:rFonts w:ascii="Arial" w:eastAsia="Times New Roman" w:hAnsi="Arial" w:cs="Arial"/>
                <w:color w:val="000000"/>
                <w:sz w:val="18"/>
                <w:szCs w:val="18"/>
                <w:lang w:eastAsia="sl-SI"/>
              </w:rPr>
            </w:pPr>
          </w:p>
        </w:tc>
        <w:tc>
          <w:tcPr>
            <w:tcW w:w="1238" w:type="pct"/>
            <w:tcBorders>
              <w:top w:val="nil"/>
              <w:left w:val="nil"/>
              <w:bottom w:val="single" w:sz="4" w:space="0" w:color="auto"/>
              <w:right w:val="single" w:sz="4" w:space="0" w:color="auto"/>
            </w:tcBorders>
            <w:shd w:val="clear" w:color="auto" w:fill="auto"/>
            <w:vAlign w:val="center"/>
            <w:hideMark/>
          </w:tcPr>
          <w:p w14:paraId="21FF77FE" w14:textId="77777777" w:rsidR="00E3750C" w:rsidRPr="00AC03B5" w:rsidRDefault="00E3750C" w:rsidP="00047864">
            <w:pPr>
              <w:spacing w:after="0" w:line="240" w:lineRule="auto"/>
              <w:rPr>
                <w:rFonts w:ascii="Arial" w:eastAsia="Times New Roman" w:hAnsi="Arial" w:cs="Arial"/>
                <w:color w:val="000000"/>
                <w:sz w:val="18"/>
                <w:szCs w:val="18"/>
                <w:lang w:eastAsia="sl-SI"/>
              </w:rPr>
            </w:pPr>
            <w:r w:rsidRPr="00AC03B5">
              <w:rPr>
                <w:rFonts w:ascii="Arial" w:eastAsia="Times New Roman" w:hAnsi="Arial" w:cs="Arial"/>
                <w:color w:val="000000"/>
                <w:sz w:val="18"/>
                <w:szCs w:val="18"/>
                <w:lang w:eastAsia="sl-SI"/>
              </w:rPr>
              <w:t>Ekonomsko najugodnejša ponudba</w:t>
            </w:r>
          </w:p>
        </w:tc>
        <w:tc>
          <w:tcPr>
            <w:tcW w:w="533" w:type="pct"/>
            <w:tcBorders>
              <w:top w:val="nil"/>
              <w:left w:val="nil"/>
              <w:bottom w:val="single" w:sz="4" w:space="0" w:color="auto"/>
              <w:right w:val="single" w:sz="4" w:space="0" w:color="auto"/>
            </w:tcBorders>
            <w:shd w:val="clear" w:color="auto" w:fill="auto"/>
            <w:vAlign w:val="center"/>
            <w:hideMark/>
          </w:tcPr>
          <w:p w14:paraId="60AB0C89"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18</w:t>
            </w:r>
          </w:p>
        </w:tc>
        <w:tc>
          <w:tcPr>
            <w:tcW w:w="780" w:type="pct"/>
            <w:tcBorders>
              <w:top w:val="nil"/>
              <w:left w:val="nil"/>
              <w:bottom w:val="single" w:sz="4" w:space="0" w:color="auto"/>
              <w:right w:val="single" w:sz="4" w:space="0" w:color="auto"/>
            </w:tcBorders>
            <w:shd w:val="clear" w:color="auto" w:fill="auto"/>
            <w:vAlign w:val="center"/>
            <w:hideMark/>
          </w:tcPr>
          <w:p w14:paraId="1D0CC5A1"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2.324.848</w:t>
            </w:r>
          </w:p>
        </w:tc>
        <w:tc>
          <w:tcPr>
            <w:tcW w:w="518" w:type="pct"/>
            <w:tcBorders>
              <w:top w:val="nil"/>
              <w:left w:val="nil"/>
              <w:bottom w:val="single" w:sz="4" w:space="0" w:color="auto"/>
              <w:right w:val="single" w:sz="4" w:space="0" w:color="auto"/>
            </w:tcBorders>
            <w:shd w:val="clear" w:color="auto" w:fill="auto"/>
            <w:noWrap/>
            <w:vAlign w:val="center"/>
            <w:hideMark/>
          </w:tcPr>
          <w:p w14:paraId="0E066D82"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30,51 %</w:t>
            </w:r>
          </w:p>
        </w:tc>
        <w:tc>
          <w:tcPr>
            <w:tcW w:w="518" w:type="pct"/>
            <w:tcBorders>
              <w:top w:val="nil"/>
              <w:left w:val="nil"/>
              <w:bottom w:val="single" w:sz="4" w:space="0" w:color="auto"/>
              <w:right w:val="single" w:sz="4" w:space="0" w:color="auto"/>
            </w:tcBorders>
            <w:shd w:val="clear" w:color="auto" w:fill="auto"/>
            <w:noWrap/>
            <w:vAlign w:val="center"/>
            <w:hideMark/>
          </w:tcPr>
          <w:p w14:paraId="27A3DAA9"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2,87 %</w:t>
            </w:r>
          </w:p>
        </w:tc>
      </w:tr>
      <w:tr w:rsidR="00E3750C" w:rsidRPr="00AC03B5" w14:paraId="59EE578D" w14:textId="77777777" w:rsidTr="00047864">
        <w:trPr>
          <w:trHeight w:val="300"/>
        </w:trPr>
        <w:tc>
          <w:tcPr>
            <w:tcW w:w="1412" w:type="pct"/>
            <w:vMerge/>
            <w:tcBorders>
              <w:top w:val="nil"/>
              <w:left w:val="single" w:sz="4" w:space="0" w:color="auto"/>
              <w:bottom w:val="single" w:sz="4" w:space="0" w:color="auto"/>
              <w:right w:val="single" w:sz="4" w:space="0" w:color="auto"/>
            </w:tcBorders>
            <w:vAlign w:val="center"/>
            <w:hideMark/>
          </w:tcPr>
          <w:p w14:paraId="5EBEE38A" w14:textId="77777777" w:rsidR="00E3750C" w:rsidRPr="00AC03B5" w:rsidRDefault="00E3750C" w:rsidP="00047864">
            <w:pPr>
              <w:spacing w:after="0" w:line="240" w:lineRule="auto"/>
              <w:rPr>
                <w:rFonts w:ascii="Arial" w:eastAsia="Times New Roman" w:hAnsi="Arial" w:cs="Arial"/>
                <w:color w:val="000000"/>
                <w:sz w:val="18"/>
                <w:szCs w:val="18"/>
                <w:lang w:eastAsia="sl-SI"/>
              </w:rPr>
            </w:pPr>
          </w:p>
        </w:tc>
        <w:tc>
          <w:tcPr>
            <w:tcW w:w="1238" w:type="pct"/>
            <w:tcBorders>
              <w:top w:val="nil"/>
              <w:left w:val="nil"/>
              <w:bottom w:val="single" w:sz="4" w:space="0" w:color="auto"/>
              <w:right w:val="single" w:sz="4" w:space="0" w:color="auto"/>
            </w:tcBorders>
            <w:shd w:val="clear" w:color="auto" w:fill="auto"/>
            <w:vAlign w:val="center"/>
            <w:hideMark/>
          </w:tcPr>
          <w:p w14:paraId="5C2C056A" w14:textId="77777777" w:rsidR="00E3750C" w:rsidRPr="00AC03B5" w:rsidRDefault="00E3750C" w:rsidP="00047864">
            <w:pPr>
              <w:spacing w:after="0" w:line="240" w:lineRule="auto"/>
              <w:rPr>
                <w:rFonts w:ascii="Arial" w:eastAsia="Times New Roman" w:hAnsi="Arial" w:cs="Arial"/>
                <w:b/>
                <w:bCs/>
                <w:color w:val="000000"/>
                <w:sz w:val="18"/>
                <w:szCs w:val="18"/>
                <w:lang w:eastAsia="sl-SI"/>
              </w:rPr>
            </w:pPr>
            <w:r w:rsidRPr="00AC03B5">
              <w:rPr>
                <w:rFonts w:ascii="Arial" w:eastAsia="Times New Roman" w:hAnsi="Arial" w:cs="Arial"/>
                <w:b/>
                <w:bCs/>
                <w:color w:val="000000"/>
                <w:sz w:val="18"/>
                <w:szCs w:val="18"/>
                <w:lang w:eastAsia="sl-SI"/>
              </w:rPr>
              <w:t>Skupaj</w:t>
            </w:r>
          </w:p>
        </w:tc>
        <w:tc>
          <w:tcPr>
            <w:tcW w:w="533" w:type="pct"/>
            <w:tcBorders>
              <w:top w:val="nil"/>
              <w:left w:val="nil"/>
              <w:bottom w:val="single" w:sz="4" w:space="0" w:color="auto"/>
              <w:right w:val="single" w:sz="4" w:space="0" w:color="auto"/>
            </w:tcBorders>
            <w:shd w:val="clear" w:color="auto" w:fill="auto"/>
            <w:vAlign w:val="center"/>
            <w:hideMark/>
          </w:tcPr>
          <w:p w14:paraId="1FD89D02" w14:textId="77777777" w:rsidR="00E3750C" w:rsidRPr="00AC03B5" w:rsidRDefault="00E3750C" w:rsidP="00047864">
            <w:pPr>
              <w:spacing w:after="0" w:line="240" w:lineRule="auto"/>
              <w:jc w:val="right"/>
              <w:rPr>
                <w:rFonts w:ascii="Arial" w:eastAsia="Times New Roman" w:hAnsi="Arial" w:cs="Arial"/>
                <w:b/>
                <w:bCs/>
                <w:color w:val="000000"/>
                <w:sz w:val="18"/>
                <w:szCs w:val="18"/>
                <w:lang w:eastAsia="sl-SI"/>
              </w:rPr>
            </w:pPr>
            <w:r w:rsidRPr="00AC03B5">
              <w:rPr>
                <w:rFonts w:ascii="Arial" w:hAnsi="Arial" w:cs="Arial"/>
                <w:b/>
                <w:bCs/>
                <w:color w:val="000000"/>
                <w:sz w:val="18"/>
                <w:szCs w:val="18"/>
              </w:rPr>
              <w:t>59</w:t>
            </w:r>
          </w:p>
        </w:tc>
        <w:tc>
          <w:tcPr>
            <w:tcW w:w="780" w:type="pct"/>
            <w:tcBorders>
              <w:top w:val="nil"/>
              <w:left w:val="nil"/>
              <w:bottom w:val="single" w:sz="4" w:space="0" w:color="auto"/>
              <w:right w:val="single" w:sz="4" w:space="0" w:color="auto"/>
            </w:tcBorders>
            <w:shd w:val="clear" w:color="auto" w:fill="auto"/>
            <w:vAlign w:val="center"/>
            <w:hideMark/>
          </w:tcPr>
          <w:p w14:paraId="540C25F9" w14:textId="77777777" w:rsidR="00E3750C" w:rsidRPr="00AC03B5" w:rsidRDefault="00E3750C" w:rsidP="00047864">
            <w:pPr>
              <w:spacing w:after="0" w:line="240" w:lineRule="auto"/>
              <w:jc w:val="right"/>
              <w:rPr>
                <w:rFonts w:ascii="Arial" w:eastAsia="Times New Roman" w:hAnsi="Arial" w:cs="Arial"/>
                <w:b/>
                <w:bCs/>
                <w:color w:val="000000"/>
                <w:sz w:val="18"/>
                <w:szCs w:val="18"/>
                <w:lang w:eastAsia="sl-SI"/>
              </w:rPr>
            </w:pPr>
            <w:r w:rsidRPr="00AC03B5">
              <w:rPr>
                <w:rFonts w:ascii="Arial" w:hAnsi="Arial" w:cs="Arial"/>
                <w:b/>
                <w:bCs/>
                <w:color w:val="000000"/>
                <w:sz w:val="18"/>
                <w:szCs w:val="18"/>
              </w:rPr>
              <w:t>80.970.772</w:t>
            </w:r>
          </w:p>
        </w:tc>
        <w:tc>
          <w:tcPr>
            <w:tcW w:w="518" w:type="pct"/>
            <w:tcBorders>
              <w:top w:val="nil"/>
              <w:left w:val="nil"/>
              <w:bottom w:val="single" w:sz="4" w:space="0" w:color="auto"/>
              <w:right w:val="single" w:sz="4" w:space="0" w:color="auto"/>
            </w:tcBorders>
            <w:shd w:val="clear" w:color="auto" w:fill="auto"/>
            <w:noWrap/>
            <w:vAlign w:val="center"/>
            <w:hideMark/>
          </w:tcPr>
          <w:p w14:paraId="7119AFE6" w14:textId="77777777" w:rsidR="00E3750C" w:rsidRPr="00AC03B5" w:rsidRDefault="00E3750C" w:rsidP="00047864">
            <w:pPr>
              <w:spacing w:after="0" w:line="240" w:lineRule="auto"/>
              <w:jc w:val="right"/>
              <w:rPr>
                <w:rFonts w:ascii="Arial" w:eastAsia="Times New Roman" w:hAnsi="Arial" w:cs="Arial"/>
                <w:b/>
                <w:bCs/>
                <w:color w:val="000000"/>
                <w:sz w:val="18"/>
                <w:szCs w:val="18"/>
                <w:lang w:eastAsia="sl-SI"/>
              </w:rPr>
            </w:pPr>
            <w:r w:rsidRPr="00AC03B5">
              <w:rPr>
                <w:rFonts w:ascii="Arial" w:hAnsi="Arial" w:cs="Arial"/>
                <w:b/>
                <w:bCs/>
                <w:color w:val="000000"/>
                <w:sz w:val="18"/>
                <w:szCs w:val="18"/>
              </w:rPr>
              <w:t>100,00 %</w:t>
            </w:r>
          </w:p>
        </w:tc>
        <w:tc>
          <w:tcPr>
            <w:tcW w:w="518" w:type="pct"/>
            <w:tcBorders>
              <w:top w:val="nil"/>
              <w:left w:val="nil"/>
              <w:bottom w:val="single" w:sz="4" w:space="0" w:color="auto"/>
              <w:right w:val="single" w:sz="4" w:space="0" w:color="auto"/>
            </w:tcBorders>
            <w:shd w:val="clear" w:color="auto" w:fill="auto"/>
            <w:noWrap/>
            <w:vAlign w:val="center"/>
            <w:hideMark/>
          </w:tcPr>
          <w:p w14:paraId="017E00B9" w14:textId="77777777" w:rsidR="00E3750C" w:rsidRPr="00AC03B5" w:rsidRDefault="00E3750C" w:rsidP="00047864">
            <w:pPr>
              <w:spacing w:after="0" w:line="240" w:lineRule="auto"/>
              <w:jc w:val="right"/>
              <w:rPr>
                <w:rFonts w:ascii="Arial" w:eastAsia="Times New Roman" w:hAnsi="Arial" w:cs="Arial"/>
                <w:b/>
                <w:bCs/>
                <w:color w:val="000000"/>
                <w:sz w:val="18"/>
                <w:szCs w:val="18"/>
                <w:lang w:eastAsia="sl-SI"/>
              </w:rPr>
            </w:pPr>
            <w:r w:rsidRPr="00AC03B5">
              <w:rPr>
                <w:rFonts w:ascii="Arial" w:hAnsi="Arial" w:cs="Arial"/>
                <w:b/>
                <w:bCs/>
                <w:color w:val="000000"/>
                <w:sz w:val="18"/>
                <w:szCs w:val="18"/>
              </w:rPr>
              <w:t>100,00 %</w:t>
            </w:r>
          </w:p>
        </w:tc>
      </w:tr>
      <w:tr w:rsidR="00E3750C" w:rsidRPr="00AC03B5" w14:paraId="6286123A" w14:textId="77777777" w:rsidTr="00047864">
        <w:trPr>
          <w:trHeight w:val="300"/>
        </w:trPr>
        <w:tc>
          <w:tcPr>
            <w:tcW w:w="1412" w:type="pct"/>
            <w:vMerge w:val="restart"/>
            <w:tcBorders>
              <w:top w:val="nil"/>
              <w:left w:val="single" w:sz="4" w:space="0" w:color="auto"/>
              <w:bottom w:val="single" w:sz="4" w:space="0" w:color="auto"/>
              <w:right w:val="single" w:sz="4" w:space="0" w:color="auto"/>
            </w:tcBorders>
            <w:shd w:val="clear" w:color="auto" w:fill="auto"/>
            <w:vAlign w:val="center"/>
            <w:hideMark/>
          </w:tcPr>
          <w:p w14:paraId="27A1ABB8" w14:textId="77777777" w:rsidR="00E3750C" w:rsidRPr="00AC03B5" w:rsidRDefault="00E3750C" w:rsidP="00047864">
            <w:pPr>
              <w:spacing w:after="0" w:line="240" w:lineRule="auto"/>
              <w:rPr>
                <w:rFonts w:ascii="Arial" w:eastAsia="Times New Roman" w:hAnsi="Arial" w:cs="Arial"/>
                <w:color w:val="000000"/>
                <w:sz w:val="18"/>
                <w:szCs w:val="18"/>
                <w:lang w:eastAsia="sl-SI"/>
              </w:rPr>
            </w:pPr>
            <w:r w:rsidRPr="00AC03B5">
              <w:rPr>
                <w:rFonts w:ascii="Arial" w:eastAsia="Times New Roman" w:hAnsi="Arial" w:cs="Arial"/>
                <w:color w:val="000000"/>
                <w:sz w:val="18"/>
                <w:szCs w:val="18"/>
                <w:lang w:eastAsia="sl-SI"/>
              </w:rPr>
              <w:t>Postopek naročila male vrednosti</w:t>
            </w:r>
          </w:p>
        </w:tc>
        <w:tc>
          <w:tcPr>
            <w:tcW w:w="1238" w:type="pct"/>
            <w:tcBorders>
              <w:top w:val="nil"/>
              <w:left w:val="nil"/>
              <w:bottom w:val="single" w:sz="4" w:space="0" w:color="auto"/>
              <w:right w:val="single" w:sz="4" w:space="0" w:color="auto"/>
            </w:tcBorders>
            <w:shd w:val="clear" w:color="auto" w:fill="auto"/>
            <w:vAlign w:val="center"/>
            <w:hideMark/>
          </w:tcPr>
          <w:p w14:paraId="00457B94" w14:textId="77777777" w:rsidR="00E3750C" w:rsidRPr="00AC03B5" w:rsidRDefault="00E3750C" w:rsidP="00047864">
            <w:pPr>
              <w:spacing w:after="0" w:line="240" w:lineRule="auto"/>
              <w:rPr>
                <w:rFonts w:ascii="Arial" w:eastAsia="Times New Roman" w:hAnsi="Arial" w:cs="Arial"/>
                <w:color w:val="000000"/>
                <w:sz w:val="18"/>
                <w:szCs w:val="18"/>
                <w:lang w:eastAsia="sl-SI"/>
              </w:rPr>
            </w:pPr>
            <w:r w:rsidRPr="00AC03B5">
              <w:rPr>
                <w:rFonts w:ascii="Arial" w:eastAsia="Times New Roman" w:hAnsi="Arial" w:cs="Arial"/>
                <w:color w:val="000000"/>
                <w:sz w:val="18"/>
                <w:szCs w:val="18"/>
                <w:lang w:eastAsia="sl-SI"/>
              </w:rPr>
              <w:t>Cena</w:t>
            </w:r>
          </w:p>
        </w:tc>
        <w:tc>
          <w:tcPr>
            <w:tcW w:w="533" w:type="pct"/>
            <w:tcBorders>
              <w:top w:val="nil"/>
              <w:left w:val="nil"/>
              <w:bottom w:val="single" w:sz="4" w:space="0" w:color="auto"/>
              <w:right w:val="single" w:sz="4" w:space="0" w:color="auto"/>
            </w:tcBorders>
            <w:shd w:val="clear" w:color="auto" w:fill="auto"/>
            <w:vAlign w:val="center"/>
            <w:hideMark/>
          </w:tcPr>
          <w:p w14:paraId="04A2860E"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5.472</w:t>
            </w:r>
          </w:p>
        </w:tc>
        <w:tc>
          <w:tcPr>
            <w:tcW w:w="780" w:type="pct"/>
            <w:tcBorders>
              <w:top w:val="nil"/>
              <w:left w:val="nil"/>
              <w:bottom w:val="single" w:sz="4" w:space="0" w:color="auto"/>
              <w:right w:val="single" w:sz="4" w:space="0" w:color="auto"/>
            </w:tcBorders>
            <w:shd w:val="clear" w:color="auto" w:fill="auto"/>
            <w:vAlign w:val="center"/>
            <w:hideMark/>
          </w:tcPr>
          <w:p w14:paraId="69FD7DC8"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829.966.798</w:t>
            </w:r>
          </w:p>
        </w:tc>
        <w:tc>
          <w:tcPr>
            <w:tcW w:w="518" w:type="pct"/>
            <w:tcBorders>
              <w:top w:val="nil"/>
              <w:left w:val="nil"/>
              <w:bottom w:val="single" w:sz="4" w:space="0" w:color="auto"/>
              <w:right w:val="single" w:sz="4" w:space="0" w:color="auto"/>
            </w:tcBorders>
            <w:shd w:val="clear" w:color="auto" w:fill="auto"/>
            <w:noWrap/>
            <w:vAlign w:val="center"/>
            <w:hideMark/>
          </w:tcPr>
          <w:p w14:paraId="3CCF60CC"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92,11 %</w:t>
            </w:r>
          </w:p>
        </w:tc>
        <w:tc>
          <w:tcPr>
            <w:tcW w:w="518" w:type="pct"/>
            <w:tcBorders>
              <w:top w:val="nil"/>
              <w:left w:val="nil"/>
              <w:bottom w:val="single" w:sz="4" w:space="0" w:color="auto"/>
              <w:right w:val="single" w:sz="4" w:space="0" w:color="auto"/>
            </w:tcBorders>
            <w:shd w:val="clear" w:color="auto" w:fill="auto"/>
            <w:noWrap/>
            <w:vAlign w:val="center"/>
            <w:hideMark/>
          </w:tcPr>
          <w:p w14:paraId="7AC13E75"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96,20 %</w:t>
            </w:r>
          </w:p>
        </w:tc>
      </w:tr>
      <w:tr w:rsidR="00E3750C" w:rsidRPr="00AC03B5" w14:paraId="664FCD26" w14:textId="77777777" w:rsidTr="00047864">
        <w:trPr>
          <w:trHeight w:val="300"/>
        </w:trPr>
        <w:tc>
          <w:tcPr>
            <w:tcW w:w="1412" w:type="pct"/>
            <w:vMerge/>
            <w:tcBorders>
              <w:top w:val="nil"/>
              <w:left w:val="single" w:sz="4" w:space="0" w:color="auto"/>
              <w:bottom w:val="single" w:sz="4" w:space="0" w:color="auto"/>
              <w:right w:val="single" w:sz="4" w:space="0" w:color="auto"/>
            </w:tcBorders>
            <w:vAlign w:val="center"/>
            <w:hideMark/>
          </w:tcPr>
          <w:p w14:paraId="4C76217F" w14:textId="77777777" w:rsidR="00E3750C" w:rsidRPr="00AC03B5" w:rsidRDefault="00E3750C" w:rsidP="00047864">
            <w:pPr>
              <w:spacing w:after="0" w:line="240" w:lineRule="auto"/>
              <w:rPr>
                <w:rFonts w:ascii="Arial" w:eastAsia="Times New Roman" w:hAnsi="Arial" w:cs="Arial"/>
                <w:color w:val="000000"/>
                <w:sz w:val="18"/>
                <w:szCs w:val="18"/>
                <w:lang w:eastAsia="sl-SI"/>
              </w:rPr>
            </w:pPr>
          </w:p>
        </w:tc>
        <w:tc>
          <w:tcPr>
            <w:tcW w:w="1238" w:type="pct"/>
            <w:tcBorders>
              <w:top w:val="nil"/>
              <w:left w:val="nil"/>
              <w:bottom w:val="single" w:sz="4" w:space="0" w:color="auto"/>
              <w:right w:val="single" w:sz="4" w:space="0" w:color="auto"/>
            </w:tcBorders>
            <w:shd w:val="clear" w:color="auto" w:fill="auto"/>
            <w:vAlign w:val="center"/>
            <w:hideMark/>
          </w:tcPr>
          <w:p w14:paraId="6AEFEA96" w14:textId="77777777" w:rsidR="00E3750C" w:rsidRPr="00AC03B5" w:rsidRDefault="00E3750C" w:rsidP="00047864">
            <w:pPr>
              <w:spacing w:after="0" w:line="240" w:lineRule="auto"/>
              <w:rPr>
                <w:rFonts w:ascii="Arial" w:eastAsia="Times New Roman" w:hAnsi="Arial" w:cs="Arial"/>
                <w:color w:val="000000"/>
                <w:sz w:val="18"/>
                <w:szCs w:val="18"/>
                <w:lang w:eastAsia="sl-SI"/>
              </w:rPr>
            </w:pPr>
            <w:r w:rsidRPr="00AC03B5">
              <w:rPr>
                <w:rFonts w:ascii="Arial" w:eastAsia="Times New Roman" w:hAnsi="Arial" w:cs="Arial"/>
                <w:color w:val="000000"/>
                <w:sz w:val="18"/>
                <w:szCs w:val="18"/>
                <w:lang w:eastAsia="sl-SI"/>
              </w:rPr>
              <w:t>Ekonomsko najugodnejša ponudba</w:t>
            </w:r>
          </w:p>
        </w:tc>
        <w:tc>
          <w:tcPr>
            <w:tcW w:w="533" w:type="pct"/>
            <w:tcBorders>
              <w:top w:val="nil"/>
              <w:left w:val="nil"/>
              <w:bottom w:val="single" w:sz="4" w:space="0" w:color="auto"/>
              <w:right w:val="single" w:sz="4" w:space="0" w:color="auto"/>
            </w:tcBorders>
            <w:shd w:val="clear" w:color="auto" w:fill="auto"/>
            <w:vAlign w:val="center"/>
            <w:hideMark/>
          </w:tcPr>
          <w:p w14:paraId="11077A73"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469</w:t>
            </w:r>
          </w:p>
        </w:tc>
        <w:tc>
          <w:tcPr>
            <w:tcW w:w="780" w:type="pct"/>
            <w:tcBorders>
              <w:top w:val="nil"/>
              <w:left w:val="nil"/>
              <w:bottom w:val="single" w:sz="4" w:space="0" w:color="auto"/>
              <w:right w:val="single" w:sz="4" w:space="0" w:color="auto"/>
            </w:tcBorders>
            <w:shd w:val="clear" w:color="auto" w:fill="auto"/>
            <w:vAlign w:val="center"/>
            <w:hideMark/>
          </w:tcPr>
          <w:p w14:paraId="66F14E4A"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32.824.419</w:t>
            </w:r>
          </w:p>
        </w:tc>
        <w:tc>
          <w:tcPr>
            <w:tcW w:w="518" w:type="pct"/>
            <w:tcBorders>
              <w:top w:val="nil"/>
              <w:left w:val="nil"/>
              <w:bottom w:val="single" w:sz="4" w:space="0" w:color="auto"/>
              <w:right w:val="single" w:sz="4" w:space="0" w:color="auto"/>
            </w:tcBorders>
            <w:shd w:val="clear" w:color="auto" w:fill="auto"/>
            <w:noWrap/>
            <w:vAlign w:val="center"/>
            <w:hideMark/>
          </w:tcPr>
          <w:p w14:paraId="525555C8"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7,89 %</w:t>
            </w:r>
          </w:p>
        </w:tc>
        <w:tc>
          <w:tcPr>
            <w:tcW w:w="518" w:type="pct"/>
            <w:tcBorders>
              <w:top w:val="nil"/>
              <w:left w:val="nil"/>
              <w:bottom w:val="single" w:sz="4" w:space="0" w:color="auto"/>
              <w:right w:val="single" w:sz="4" w:space="0" w:color="auto"/>
            </w:tcBorders>
            <w:shd w:val="clear" w:color="auto" w:fill="auto"/>
            <w:noWrap/>
            <w:vAlign w:val="center"/>
            <w:hideMark/>
          </w:tcPr>
          <w:p w14:paraId="2EC8BEE3"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3,80 %</w:t>
            </w:r>
          </w:p>
        </w:tc>
      </w:tr>
      <w:tr w:rsidR="00E3750C" w:rsidRPr="00AC03B5" w14:paraId="71064090" w14:textId="77777777" w:rsidTr="00047864">
        <w:trPr>
          <w:trHeight w:val="300"/>
        </w:trPr>
        <w:tc>
          <w:tcPr>
            <w:tcW w:w="1412" w:type="pct"/>
            <w:vMerge/>
            <w:tcBorders>
              <w:top w:val="nil"/>
              <w:left w:val="single" w:sz="4" w:space="0" w:color="auto"/>
              <w:bottom w:val="single" w:sz="4" w:space="0" w:color="auto"/>
              <w:right w:val="single" w:sz="4" w:space="0" w:color="auto"/>
            </w:tcBorders>
            <w:vAlign w:val="center"/>
            <w:hideMark/>
          </w:tcPr>
          <w:p w14:paraId="1E7E1DF9" w14:textId="77777777" w:rsidR="00E3750C" w:rsidRPr="00AC03B5" w:rsidRDefault="00E3750C" w:rsidP="00047864">
            <w:pPr>
              <w:spacing w:after="0" w:line="240" w:lineRule="auto"/>
              <w:rPr>
                <w:rFonts w:ascii="Arial" w:eastAsia="Times New Roman" w:hAnsi="Arial" w:cs="Arial"/>
                <w:color w:val="000000"/>
                <w:sz w:val="18"/>
                <w:szCs w:val="18"/>
                <w:lang w:eastAsia="sl-SI"/>
              </w:rPr>
            </w:pPr>
          </w:p>
        </w:tc>
        <w:tc>
          <w:tcPr>
            <w:tcW w:w="1238" w:type="pct"/>
            <w:tcBorders>
              <w:top w:val="nil"/>
              <w:left w:val="nil"/>
              <w:bottom w:val="single" w:sz="4" w:space="0" w:color="auto"/>
              <w:right w:val="single" w:sz="4" w:space="0" w:color="auto"/>
            </w:tcBorders>
            <w:shd w:val="clear" w:color="auto" w:fill="auto"/>
            <w:vAlign w:val="center"/>
            <w:hideMark/>
          </w:tcPr>
          <w:p w14:paraId="675093E6" w14:textId="77777777" w:rsidR="00E3750C" w:rsidRPr="00AC03B5" w:rsidRDefault="00E3750C" w:rsidP="00047864">
            <w:pPr>
              <w:spacing w:after="0" w:line="240" w:lineRule="auto"/>
              <w:rPr>
                <w:rFonts w:ascii="Arial" w:eastAsia="Times New Roman" w:hAnsi="Arial" w:cs="Arial"/>
                <w:b/>
                <w:bCs/>
                <w:color w:val="000000"/>
                <w:sz w:val="18"/>
                <w:szCs w:val="18"/>
                <w:lang w:eastAsia="sl-SI"/>
              </w:rPr>
            </w:pPr>
            <w:r w:rsidRPr="00AC03B5">
              <w:rPr>
                <w:rFonts w:ascii="Arial" w:eastAsia="Times New Roman" w:hAnsi="Arial" w:cs="Arial"/>
                <w:b/>
                <w:bCs/>
                <w:color w:val="000000"/>
                <w:sz w:val="18"/>
                <w:szCs w:val="18"/>
                <w:lang w:eastAsia="sl-SI"/>
              </w:rPr>
              <w:t>Skupaj</w:t>
            </w:r>
          </w:p>
        </w:tc>
        <w:tc>
          <w:tcPr>
            <w:tcW w:w="533" w:type="pct"/>
            <w:tcBorders>
              <w:top w:val="nil"/>
              <w:left w:val="nil"/>
              <w:bottom w:val="single" w:sz="4" w:space="0" w:color="auto"/>
              <w:right w:val="single" w:sz="4" w:space="0" w:color="auto"/>
            </w:tcBorders>
            <w:shd w:val="clear" w:color="auto" w:fill="auto"/>
            <w:vAlign w:val="center"/>
            <w:hideMark/>
          </w:tcPr>
          <w:p w14:paraId="1946D279" w14:textId="77777777" w:rsidR="00E3750C" w:rsidRPr="00AC03B5" w:rsidRDefault="00E3750C" w:rsidP="00047864">
            <w:pPr>
              <w:spacing w:after="0" w:line="240" w:lineRule="auto"/>
              <w:jc w:val="right"/>
              <w:rPr>
                <w:rFonts w:ascii="Arial" w:eastAsia="Times New Roman" w:hAnsi="Arial" w:cs="Arial"/>
                <w:b/>
                <w:bCs/>
                <w:color w:val="000000"/>
                <w:sz w:val="18"/>
                <w:szCs w:val="18"/>
                <w:lang w:eastAsia="sl-SI"/>
              </w:rPr>
            </w:pPr>
            <w:r w:rsidRPr="00AC03B5">
              <w:rPr>
                <w:rFonts w:ascii="Arial" w:hAnsi="Arial" w:cs="Arial"/>
                <w:b/>
                <w:bCs/>
                <w:color w:val="000000"/>
                <w:sz w:val="18"/>
                <w:szCs w:val="18"/>
              </w:rPr>
              <w:t>5.941</w:t>
            </w:r>
          </w:p>
        </w:tc>
        <w:tc>
          <w:tcPr>
            <w:tcW w:w="780" w:type="pct"/>
            <w:tcBorders>
              <w:top w:val="nil"/>
              <w:left w:val="nil"/>
              <w:bottom w:val="single" w:sz="4" w:space="0" w:color="auto"/>
              <w:right w:val="single" w:sz="4" w:space="0" w:color="auto"/>
            </w:tcBorders>
            <w:shd w:val="clear" w:color="auto" w:fill="auto"/>
            <w:vAlign w:val="center"/>
            <w:hideMark/>
          </w:tcPr>
          <w:p w14:paraId="4D051F5B" w14:textId="77777777" w:rsidR="00E3750C" w:rsidRPr="00AC03B5" w:rsidRDefault="00E3750C" w:rsidP="00047864">
            <w:pPr>
              <w:spacing w:after="0" w:line="240" w:lineRule="auto"/>
              <w:jc w:val="right"/>
              <w:rPr>
                <w:rFonts w:ascii="Arial" w:eastAsia="Times New Roman" w:hAnsi="Arial" w:cs="Arial"/>
                <w:b/>
                <w:bCs/>
                <w:color w:val="000000"/>
                <w:sz w:val="18"/>
                <w:szCs w:val="18"/>
                <w:lang w:eastAsia="sl-SI"/>
              </w:rPr>
            </w:pPr>
            <w:r w:rsidRPr="00AC03B5">
              <w:rPr>
                <w:rFonts w:ascii="Arial" w:hAnsi="Arial" w:cs="Arial"/>
                <w:b/>
                <w:bCs/>
                <w:color w:val="000000"/>
                <w:sz w:val="18"/>
                <w:szCs w:val="18"/>
              </w:rPr>
              <w:t>862.791.217</w:t>
            </w:r>
          </w:p>
        </w:tc>
        <w:tc>
          <w:tcPr>
            <w:tcW w:w="518" w:type="pct"/>
            <w:tcBorders>
              <w:top w:val="nil"/>
              <w:left w:val="nil"/>
              <w:bottom w:val="single" w:sz="4" w:space="0" w:color="auto"/>
              <w:right w:val="single" w:sz="4" w:space="0" w:color="auto"/>
            </w:tcBorders>
            <w:shd w:val="clear" w:color="auto" w:fill="auto"/>
            <w:noWrap/>
            <w:vAlign w:val="center"/>
            <w:hideMark/>
          </w:tcPr>
          <w:p w14:paraId="5890D720" w14:textId="77777777" w:rsidR="00E3750C" w:rsidRPr="00AC03B5" w:rsidRDefault="00E3750C" w:rsidP="00047864">
            <w:pPr>
              <w:spacing w:after="0" w:line="240" w:lineRule="auto"/>
              <w:jc w:val="right"/>
              <w:rPr>
                <w:rFonts w:ascii="Arial" w:eastAsia="Times New Roman" w:hAnsi="Arial" w:cs="Arial"/>
                <w:b/>
                <w:bCs/>
                <w:color w:val="000000"/>
                <w:sz w:val="18"/>
                <w:szCs w:val="18"/>
                <w:lang w:eastAsia="sl-SI"/>
              </w:rPr>
            </w:pPr>
            <w:r w:rsidRPr="00AC03B5">
              <w:rPr>
                <w:rFonts w:ascii="Arial" w:hAnsi="Arial" w:cs="Arial"/>
                <w:b/>
                <w:bCs/>
                <w:color w:val="000000"/>
                <w:sz w:val="18"/>
                <w:szCs w:val="18"/>
              </w:rPr>
              <w:t>100,00 %</w:t>
            </w:r>
          </w:p>
        </w:tc>
        <w:tc>
          <w:tcPr>
            <w:tcW w:w="518" w:type="pct"/>
            <w:tcBorders>
              <w:top w:val="nil"/>
              <w:left w:val="nil"/>
              <w:bottom w:val="single" w:sz="4" w:space="0" w:color="auto"/>
              <w:right w:val="single" w:sz="4" w:space="0" w:color="auto"/>
            </w:tcBorders>
            <w:shd w:val="clear" w:color="auto" w:fill="auto"/>
            <w:noWrap/>
            <w:vAlign w:val="center"/>
            <w:hideMark/>
          </w:tcPr>
          <w:p w14:paraId="4799C423" w14:textId="77777777" w:rsidR="00E3750C" w:rsidRPr="00AC03B5" w:rsidRDefault="00E3750C" w:rsidP="00047864">
            <w:pPr>
              <w:spacing w:after="0" w:line="240" w:lineRule="auto"/>
              <w:jc w:val="right"/>
              <w:rPr>
                <w:rFonts w:ascii="Arial" w:eastAsia="Times New Roman" w:hAnsi="Arial" w:cs="Arial"/>
                <w:b/>
                <w:bCs/>
                <w:color w:val="000000"/>
                <w:sz w:val="18"/>
                <w:szCs w:val="18"/>
                <w:lang w:eastAsia="sl-SI"/>
              </w:rPr>
            </w:pPr>
            <w:r w:rsidRPr="00AC03B5">
              <w:rPr>
                <w:rFonts w:ascii="Arial" w:hAnsi="Arial" w:cs="Arial"/>
                <w:b/>
                <w:bCs/>
                <w:color w:val="000000"/>
                <w:sz w:val="18"/>
                <w:szCs w:val="18"/>
              </w:rPr>
              <w:t>100,00 %</w:t>
            </w:r>
          </w:p>
        </w:tc>
      </w:tr>
      <w:tr w:rsidR="00E3750C" w:rsidRPr="00AC03B5" w14:paraId="3D14B93F" w14:textId="77777777" w:rsidTr="00047864">
        <w:trPr>
          <w:trHeight w:val="300"/>
        </w:trPr>
        <w:tc>
          <w:tcPr>
            <w:tcW w:w="1412" w:type="pct"/>
            <w:vMerge w:val="restart"/>
            <w:tcBorders>
              <w:top w:val="nil"/>
              <w:left w:val="single" w:sz="4" w:space="0" w:color="auto"/>
              <w:bottom w:val="single" w:sz="4" w:space="0" w:color="auto"/>
              <w:right w:val="single" w:sz="4" w:space="0" w:color="auto"/>
            </w:tcBorders>
            <w:shd w:val="clear" w:color="auto" w:fill="auto"/>
            <w:vAlign w:val="center"/>
            <w:hideMark/>
          </w:tcPr>
          <w:p w14:paraId="17E7C9F4" w14:textId="77777777" w:rsidR="00E3750C" w:rsidRPr="00AC03B5" w:rsidRDefault="00E3750C" w:rsidP="00047864">
            <w:pPr>
              <w:spacing w:after="0" w:line="240" w:lineRule="auto"/>
              <w:rPr>
                <w:rFonts w:ascii="Arial" w:eastAsia="Times New Roman" w:hAnsi="Arial" w:cs="Arial"/>
                <w:color w:val="000000"/>
                <w:sz w:val="18"/>
                <w:szCs w:val="18"/>
                <w:lang w:eastAsia="sl-SI"/>
              </w:rPr>
            </w:pPr>
            <w:r w:rsidRPr="00AC03B5">
              <w:rPr>
                <w:rFonts w:ascii="Arial" w:eastAsia="Times New Roman" w:hAnsi="Arial" w:cs="Arial"/>
                <w:color w:val="000000"/>
                <w:sz w:val="18"/>
                <w:szCs w:val="18"/>
                <w:lang w:eastAsia="sl-SI"/>
              </w:rPr>
              <w:t>Postopek s pogajanji brez predhodne objave</w:t>
            </w:r>
          </w:p>
        </w:tc>
        <w:tc>
          <w:tcPr>
            <w:tcW w:w="1238" w:type="pct"/>
            <w:tcBorders>
              <w:top w:val="nil"/>
              <w:left w:val="nil"/>
              <w:bottom w:val="single" w:sz="4" w:space="0" w:color="auto"/>
              <w:right w:val="single" w:sz="4" w:space="0" w:color="auto"/>
            </w:tcBorders>
            <w:shd w:val="clear" w:color="auto" w:fill="auto"/>
            <w:vAlign w:val="center"/>
            <w:hideMark/>
          </w:tcPr>
          <w:p w14:paraId="323B5003" w14:textId="77777777" w:rsidR="00E3750C" w:rsidRPr="00AC03B5" w:rsidRDefault="00E3750C" w:rsidP="00047864">
            <w:pPr>
              <w:spacing w:after="0" w:line="240" w:lineRule="auto"/>
              <w:rPr>
                <w:rFonts w:ascii="Arial" w:eastAsia="Times New Roman" w:hAnsi="Arial" w:cs="Arial"/>
                <w:color w:val="000000"/>
                <w:sz w:val="18"/>
                <w:szCs w:val="18"/>
                <w:lang w:eastAsia="sl-SI"/>
              </w:rPr>
            </w:pPr>
            <w:r w:rsidRPr="00AC03B5">
              <w:rPr>
                <w:rFonts w:ascii="Arial" w:eastAsia="Times New Roman" w:hAnsi="Arial" w:cs="Arial"/>
                <w:color w:val="000000"/>
                <w:sz w:val="18"/>
                <w:szCs w:val="18"/>
                <w:lang w:eastAsia="sl-SI"/>
              </w:rPr>
              <w:t>Cena</w:t>
            </w:r>
          </w:p>
        </w:tc>
        <w:tc>
          <w:tcPr>
            <w:tcW w:w="533" w:type="pct"/>
            <w:tcBorders>
              <w:top w:val="nil"/>
              <w:left w:val="nil"/>
              <w:bottom w:val="single" w:sz="4" w:space="0" w:color="auto"/>
              <w:right w:val="single" w:sz="4" w:space="0" w:color="auto"/>
            </w:tcBorders>
            <w:shd w:val="clear" w:color="auto" w:fill="auto"/>
            <w:vAlign w:val="center"/>
            <w:hideMark/>
          </w:tcPr>
          <w:p w14:paraId="287949AD"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761</w:t>
            </w:r>
          </w:p>
        </w:tc>
        <w:tc>
          <w:tcPr>
            <w:tcW w:w="780" w:type="pct"/>
            <w:tcBorders>
              <w:top w:val="nil"/>
              <w:left w:val="nil"/>
              <w:bottom w:val="single" w:sz="4" w:space="0" w:color="auto"/>
              <w:right w:val="single" w:sz="4" w:space="0" w:color="auto"/>
            </w:tcBorders>
            <w:shd w:val="clear" w:color="auto" w:fill="auto"/>
            <w:vAlign w:val="center"/>
            <w:hideMark/>
          </w:tcPr>
          <w:p w14:paraId="500C295E"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276.140.345</w:t>
            </w:r>
          </w:p>
        </w:tc>
        <w:tc>
          <w:tcPr>
            <w:tcW w:w="518" w:type="pct"/>
            <w:tcBorders>
              <w:top w:val="nil"/>
              <w:left w:val="nil"/>
              <w:bottom w:val="single" w:sz="4" w:space="0" w:color="auto"/>
              <w:right w:val="single" w:sz="4" w:space="0" w:color="auto"/>
            </w:tcBorders>
            <w:shd w:val="clear" w:color="auto" w:fill="auto"/>
            <w:noWrap/>
            <w:vAlign w:val="center"/>
            <w:hideMark/>
          </w:tcPr>
          <w:p w14:paraId="7D9BEBD6"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96,09 %</w:t>
            </w:r>
          </w:p>
        </w:tc>
        <w:tc>
          <w:tcPr>
            <w:tcW w:w="518" w:type="pct"/>
            <w:tcBorders>
              <w:top w:val="nil"/>
              <w:left w:val="nil"/>
              <w:bottom w:val="single" w:sz="4" w:space="0" w:color="auto"/>
              <w:right w:val="single" w:sz="4" w:space="0" w:color="auto"/>
            </w:tcBorders>
            <w:shd w:val="clear" w:color="auto" w:fill="auto"/>
            <w:noWrap/>
            <w:vAlign w:val="center"/>
            <w:hideMark/>
          </w:tcPr>
          <w:p w14:paraId="61B37823"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96,21 %</w:t>
            </w:r>
          </w:p>
        </w:tc>
      </w:tr>
      <w:tr w:rsidR="00E3750C" w:rsidRPr="00AC03B5" w14:paraId="473E95F3" w14:textId="77777777" w:rsidTr="00047864">
        <w:trPr>
          <w:trHeight w:val="300"/>
        </w:trPr>
        <w:tc>
          <w:tcPr>
            <w:tcW w:w="1412" w:type="pct"/>
            <w:vMerge/>
            <w:tcBorders>
              <w:top w:val="nil"/>
              <w:left w:val="single" w:sz="4" w:space="0" w:color="auto"/>
              <w:bottom w:val="single" w:sz="4" w:space="0" w:color="auto"/>
              <w:right w:val="single" w:sz="4" w:space="0" w:color="auto"/>
            </w:tcBorders>
            <w:vAlign w:val="center"/>
            <w:hideMark/>
          </w:tcPr>
          <w:p w14:paraId="5F137A41" w14:textId="77777777" w:rsidR="00E3750C" w:rsidRPr="00AC03B5" w:rsidRDefault="00E3750C" w:rsidP="00047864">
            <w:pPr>
              <w:spacing w:after="0" w:line="240" w:lineRule="auto"/>
              <w:rPr>
                <w:rFonts w:ascii="Arial" w:eastAsia="Times New Roman" w:hAnsi="Arial" w:cs="Arial"/>
                <w:color w:val="000000"/>
                <w:sz w:val="18"/>
                <w:szCs w:val="18"/>
                <w:lang w:eastAsia="sl-SI"/>
              </w:rPr>
            </w:pPr>
          </w:p>
        </w:tc>
        <w:tc>
          <w:tcPr>
            <w:tcW w:w="1238" w:type="pct"/>
            <w:tcBorders>
              <w:top w:val="nil"/>
              <w:left w:val="nil"/>
              <w:bottom w:val="single" w:sz="4" w:space="0" w:color="auto"/>
              <w:right w:val="single" w:sz="4" w:space="0" w:color="auto"/>
            </w:tcBorders>
            <w:shd w:val="clear" w:color="auto" w:fill="auto"/>
            <w:vAlign w:val="center"/>
            <w:hideMark/>
          </w:tcPr>
          <w:p w14:paraId="0945FDB0" w14:textId="77777777" w:rsidR="00E3750C" w:rsidRPr="00AC03B5" w:rsidRDefault="00E3750C" w:rsidP="00047864">
            <w:pPr>
              <w:spacing w:after="0" w:line="240" w:lineRule="auto"/>
              <w:rPr>
                <w:rFonts w:ascii="Arial" w:eastAsia="Times New Roman" w:hAnsi="Arial" w:cs="Arial"/>
                <w:color w:val="000000"/>
                <w:sz w:val="18"/>
                <w:szCs w:val="18"/>
                <w:lang w:eastAsia="sl-SI"/>
              </w:rPr>
            </w:pPr>
            <w:r w:rsidRPr="00AC03B5">
              <w:rPr>
                <w:rFonts w:ascii="Arial" w:eastAsia="Times New Roman" w:hAnsi="Arial" w:cs="Arial"/>
                <w:color w:val="000000"/>
                <w:sz w:val="18"/>
                <w:szCs w:val="18"/>
                <w:lang w:eastAsia="sl-SI"/>
              </w:rPr>
              <w:t>Ekonomsko najugodnejša ponudba</w:t>
            </w:r>
          </w:p>
        </w:tc>
        <w:tc>
          <w:tcPr>
            <w:tcW w:w="533" w:type="pct"/>
            <w:tcBorders>
              <w:top w:val="nil"/>
              <w:left w:val="nil"/>
              <w:bottom w:val="single" w:sz="4" w:space="0" w:color="auto"/>
              <w:right w:val="single" w:sz="4" w:space="0" w:color="auto"/>
            </w:tcBorders>
            <w:shd w:val="clear" w:color="auto" w:fill="auto"/>
            <w:vAlign w:val="center"/>
            <w:hideMark/>
          </w:tcPr>
          <w:p w14:paraId="5D21F5E5"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31</w:t>
            </w:r>
          </w:p>
        </w:tc>
        <w:tc>
          <w:tcPr>
            <w:tcW w:w="780" w:type="pct"/>
            <w:tcBorders>
              <w:top w:val="nil"/>
              <w:left w:val="nil"/>
              <w:bottom w:val="single" w:sz="4" w:space="0" w:color="auto"/>
              <w:right w:val="single" w:sz="4" w:space="0" w:color="auto"/>
            </w:tcBorders>
            <w:shd w:val="clear" w:color="auto" w:fill="auto"/>
            <w:vAlign w:val="center"/>
            <w:hideMark/>
          </w:tcPr>
          <w:p w14:paraId="7AE32B6D"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10.882.722</w:t>
            </w:r>
          </w:p>
        </w:tc>
        <w:tc>
          <w:tcPr>
            <w:tcW w:w="518" w:type="pct"/>
            <w:tcBorders>
              <w:top w:val="nil"/>
              <w:left w:val="nil"/>
              <w:bottom w:val="single" w:sz="4" w:space="0" w:color="auto"/>
              <w:right w:val="single" w:sz="4" w:space="0" w:color="auto"/>
            </w:tcBorders>
            <w:shd w:val="clear" w:color="auto" w:fill="auto"/>
            <w:noWrap/>
            <w:vAlign w:val="center"/>
            <w:hideMark/>
          </w:tcPr>
          <w:p w14:paraId="7806019C"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3,91 %</w:t>
            </w:r>
          </w:p>
        </w:tc>
        <w:tc>
          <w:tcPr>
            <w:tcW w:w="518" w:type="pct"/>
            <w:tcBorders>
              <w:top w:val="nil"/>
              <w:left w:val="nil"/>
              <w:bottom w:val="single" w:sz="4" w:space="0" w:color="auto"/>
              <w:right w:val="single" w:sz="4" w:space="0" w:color="auto"/>
            </w:tcBorders>
            <w:shd w:val="clear" w:color="auto" w:fill="auto"/>
            <w:noWrap/>
            <w:vAlign w:val="center"/>
            <w:hideMark/>
          </w:tcPr>
          <w:p w14:paraId="1978B82F"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3,79 %</w:t>
            </w:r>
          </w:p>
        </w:tc>
      </w:tr>
      <w:tr w:rsidR="00E3750C" w:rsidRPr="00AC03B5" w14:paraId="058AA297" w14:textId="77777777" w:rsidTr="00047864">
        <w:trPr>
          <w:trHeight w:val="300"/>
        </w:trPr>
        <w:tc>
          <w:tcPr>
            <w:tcW w:w="1412" w:type="pct"/>
            <w:vMerge/>
            <w:tcBorders>
              <w:top w:val="nil"/>
              <w:left w:val="single" w:sz="4" w:space="0" w:color="auto"/>
              <w:bottom w:val="single" w:sz="4" w:space="0" w:color="auto"/>
              <w:right w:val="single" w:sz="4" w:space="0" w:color="auto"/>
            </w:tcBorders>
            <w:vAlign w:val="center"/>
            <w:hideMark/>
          </w:tcPr>
          <w:p w14:paraId="470B71EE" w14:textId="77777777" w:rsidR="00E3750C" w:rsidRPr="00AC03B5" w:rsidRDefault="00E3750C" w:rsidP="00047864">
            <w:pPr>
              <w:spacing w:after="0" w:line="240" w:lineRule="auto"/>
              <w:rPr>
                <w:rFonts w:ascii="Arial" w:eastAsia="Times New Roman" w:hAnsi="Arial" w:cs="Arial"/>
                <w:color w:val="000000"/>
                <w:sz w:val="18"/>
                <w:szCs w:val="18"/>
                <w:lang w:eastAsia="sl-SI"/>
              </w:rPr>
            </w:pPr>
          </w:p>
        </w:tc>
        <w:tc>
          <w:tcPr>
            <w:tcW w:w="1238" w:type="pct"/>
            <w:tcBorders>
              <w:top w:val="nil"/>
              <w:left w:val="nil"/>
              <w:bottom w:val="single" w:sz="4" w:space="0" w:color="auto"/>
              <w:right w:val="single" w:sz="4" w:space="0" w:color="auto"/>
            </w:tcBorders>
            <w:shd w:val="clear" w:color="auto" w:fill="auto"/>
            <w:vAlign w:val="center"/>
            <w:hideMark/>
          </w:tcPr>
          <w:p w14:paraId="1D1E8B75" w14:textId="77777777" w:rsidR="00E3750C" w:rsidRPr="00AC03B5" w:rsidRDefault="00E3750C" w:rsidP="00047864">
            <w:pPr>
              <w:spacing w:after="0" w:line="240" w:lineRule="auto"/>
              <w:rPr>
                <w:rFonts w:ascii="Arial" w:eastAsia="Times New Roman" w:hAnsi="Arial" w:cs="Arial"/>
                <w:b/>
                <w:bCs/>
                <w:color w:val="000000"/>
                <w:sz w:val="18"/>
                <w:szCs w:val="18"/>
                <w:lang w:eastAsia="sl-SI"/>
              </w:rPr>
            </w:pPr>
            <w:r w:rsidRPr="00AC03B5">
              <w:rPr>
                <w:rFonts w:ascii="Arial" w:eastAsia="Times New Roman" w:hAnsi="Arial" w:cs="Arial"/>
                <w:b/>
                <w:bCs/>
                <w:color w:val="000000"/>
                <w:sz w:val="18"/>
                <w:szCs w:val="18"/>
                <w:lang w:eastAsia="sl-SI"/>
              </w:rPr>
              <w:t>Skupaj</w:t>
            </w:r>
          </w:p>
        </w:tc>
        <w:tc>
          <w:tcPr>
            <w:tcW w:w="533" w:type="pct"/>
            <w:tcBorders>
              <w:top w:val="nil"/>
              <w:left w:val="nil"/>
              <w:bottom w:val="single" w:sz="4" w:space="0" w:color="auto"/>
              <w:right w:val="single" w:sz="4" w:space="0" w:color="auto"/>
            </w:tcBorders>
            <w:shd w:val="clear" w:color="auto" w:fill="auto"/>
            <w:vAlign w:val="center"/>
            <w:hideMark/>
          </w:tcPr>
          <w:p w14:paraId="37D8D2BC" w14:textId="77777777" w:rsidR="00E3750C" w:rsidRPr="00AC03B5" w:rsidRDefault="00E3750C" w:rsidP="00047864">
            <w:pPr>
              <w:spacing w:after="0" w:line="240" w:lineRule="auto"/>
              <w:jc w:val="right"/>
              <w:rPr>
                <w:rFonts w:ascii="Arial" w:eastAsia="Times New Roman" w:hAnsi="Arial" w:cs="Arial"/>
                <w:b/>
                <w:bCs/>
                <w:color w:val="000000"/>
                <w:sz w:val="18"/>
                <w:szCs w:val="18"/>
                <w:lang w:eastAsia="sl-SI"/>
              </w:rPr>
            </w:pPr>
            <w:r w:rsidRPr="00AC03B5">
              <w:rPr>
                <w:rFonts w:ascii="Arial" w:hAnsi="Arial" w:cs="Arial"/>
                <w:b/>
                <w:bCs/>
                <w:color w:val="000000"/>
                <w:sz w:val="18"/>
                <w:szCs w:val="18"/>
              </w:rPr>
              <w:t>792</w:t>
            </w:r>
          </w:p>
        </w:tc>
        <w:tc>
          <w:tcPr>
            <w:tcW w:w="780" w:type="pct"/>
            <w:tcBorders>
              <w:top w:val="nil"/>
              <w:left w:val="nil"/>
              <w:bottom w:val="single" w:sz="4" w:space="0" w:color="auto"/>
              <w:right w:val="single" w:sz="4" w:space="0" w:color="auto"/>
            </w:tcBorders>
            <w:shd w:val="clear" w:color="auto" w:fill="auto"/>
            <w:vAlign w:val="center"/>
            <w:hideMark/>
          </w:tcPr>
          <w:p w14:paraId="141937DD" w14:textId="77777777" w:rsidR="00E3750C" w:rsidRPr="00AC03B5" w:rsidRDefault="00E3750C" w:rsidP="00047864">
            <w:pPr>
              <w:spacing w:after="0" w:line="240" w:lineRule="auto"/>
              <w:jc w:val="right"/>
              <w:rPr>
                <w:rFonts w:ascii="Arial" w:eastAsia="Times New Roman" w:hAnsi="Arial" w:cs="Arial"/>
                <w:b/>
                <w:bCs/>
                <w:color w:val="000000"/>
                <w:sz w:val="18"/>
                <w:szCs w:val="18"/>
                <w:lang w:eastAsia="sl-SI"/>
              </w:rPr>
            </w:pPr>
            <w:r w:rsidRPr="00AC03B5">
              <w:rPr>
                <w:rFonts w:ascii="Arial" w:hAnsi="Arial" w:cs="Arial"/>
                <w:b/>
                <w:bCs/>
                <w:color w:val="000000"/>
                <w:sz w:val="18"/>
                <w:szCs w:val="18"/>
              </w:rPr>
              <w:t>287.023.067</w:t>
            </w:r>
          </w:p>
        </w:tc>
        <w:tc>
          <w:tcPr>
            <w:tcW w:w="518" w:type="pct"/>
            <w:tcBorders>
              <w:top w:val="nil"/>
              <w:left w:val="nil"/>
              <w:bottom w:val="single" w:sz="4" w:space="0" w:color="auto"/>
              <w:right w:val="single" w:sz="4" w:space="0" w:color="auto"/>
            </w:tcBorders>
            <w:shd w:val="clear" w:color="auto" w:fill="auto"/>
            <w:noWrap/>
            <w:vAlign w:val="center"/>
            <w:hideMark/>
          </w:tcPr>
          <w:p w14:paraId="2680CA4A" w14:textId="77777777" w:rsidR="00E3750C" w:rsidRPr="00AC03B5" w:rsidRDefault="00E3750C" w:rsidP="00047864">
            <w:pPr>
              <w:spacing w:after="0" w:line="240" w:lineRule="auto"/>
              <w:jc w:val="right"/>
              <w:rPr>
                <w:rFonts w:ascii="Arial" w:eastAsia="Times New Roman" w:hAnsi="Arial" w:cs="Arial"/>
                <w:b/>
                <w:bCs/>
                <w:color w:val="000000"/>
                <w:sz w:val="18"/>
                <w:szCs w:val="18"/>
                <w:lang w:eastAsia="sl-SI"/>
              </w:rPr>
            </w:pPr>
            <w:r w:rsidRPr="00AC03B5">
              <w:rPr>
                <w:rFonts w:ascii="Arial" w:hAnsi="Arial" w:cs="Arial"/>
                <w:b/>
                <w:bCs/>
                <w:color w:val="000000"/>
                <w:sz w:val="18"/>
                <w:szCs w:val="18"/>
              </w:rPr>
              <w:t>100,00 %</w:t>
            </w:r>
          </w:p>
        </w:tc>
        <w:tc>
          <w:tcPr>
            <w:tcW w:w="518" w:type="pct"/>
            <w:tcBorders>
              <w:top w:val="nil"/>
              <w:left w:val="nil"/>
              <w:bottom w:val="single" w:sz="4" w:space="0" w:color="auto"/>
              <w:right w:val="single" w:sz="4" w:space="0" w:color="auto"/>
            </w:tcBorders>
            <w:shd w:val="clear" w:color="auto" w:fill="auto"/>
            <w:noWrap/>
            <w:vAlign w:val="center"/>
            <w:hideMark/>
          </w:tcPr>
          <w:p w14:paraId="35DD4AC8" w14:textId="77777777" w:rsidR="00E3750C" w:rsidRPr="00AC03B5" w:rsidRDefault="00E3750C" w:rsidP="00047864">
            <w:pPr>
              <w:spacing w:after="0" w:line="240" w:lineRule="auto"/>
              <w:jc w:val="right"/>
              <w:rPr>
                <w:rFonts w:ascii="Arial" w:eastAsia="Times New Roman" w:hAnsi="Arial" w:cs="Arial"/>
                <w:b/>
                <w:bCs/>
                <w:color w:val="000000"/>
                <w:sz w:val="18"/>
                <w:szCs w:val="18"/>
                <w:lang w:eastAsia="sl-SI"/>
              </w:rPr>
            </w:pPr>
            <w:r w:rsidRPr="00AC03B5">
              <w:rPr>
                <w:rFonts w:ascii="Arial" w:hAnsi="Arial" w:cs="Arial"/>
                <w:b/>
                <w:bCs/>
                <w:color w:val="000000"/>
                <w:sz w:val="18"/>
                <w:szCs w:val="18"/>
              </w:rPr>
              <w:t>100,00 %</w:t>
            </w:r>
          </w:p>
        </w:tc>
      </w:tr>
      <w:tr w:rsidR="00E3750C" w:rsidRPr="00AC03B5" w14:paraId="1EE49C13" w14:textId="77777777" w:rsidTr="00047864">
        <w:trPr>
          <w:trHeight w:val="300"/>
        </w:trPr>
        <w:tc>
          <w:tcPr>
            <w:tcW w:w="1412" w:type="pct"/>
            <w:vMerge w:val="restart"/>
            <w:tcBorders>
              <w:top w:val="nil"/>
              <w:left w:val="single" w:sz="4" w:space="0" w:color="auto"/>
              <w:bottom w:val="single" w:sz="4" w:space="0" w:color="auto"/>
              <w:right w:val="single" w:sz="4" w:space="0" w:color="auto"/>
            </w:tcBorders>
            <w:shd w:val="clear" w:color="auto" w:fill="auto"/>
            <w:vAlign w:val="center"/>
            <w:hideMark/>
          </w:tcPr>
          <w:p w14:paraId="328C3CB8" w14:textId="77777777" w:rsidR="00E3750C" w:rsidRPr="00AC03B5" w:rsidRDefault="00E3750C" w:rsidP="00047864">
            <w:pPr>
              <w:spacing w:after="0" w:line="240" w:lineRule="auto"/>
              <w:rPr>
                <w:rFonts w:ascii="Arial" w:eastAsia="Times New Roman" w:hAnsi="Arial" w:cs="Arial"/>
                <w:color w:val="000000"/>
                <w:sz w:val="18"/>
                <w:szCs w:val="18"/>
                <w:lang w:eastAsia="sl-SI"/>
              </w:rPr>
            </w:pPr>
            <w:r w:rsidRPr="00AC03B5">
              <w:rPr>
                <w:rFonts w:ascii="Arial" w:eastAsia="Times New Roman" w:hAnsi="Arial" w:cs="Arial"/>
                <w:color w:val="000000"/>
                <w:sz w:val="18"/>
                <w:szCs w:val="18"/>
                <w:lang w:eastAsia="sl-SI"/>
              </w:rPr>
              <w:t>Postopek s pogajanji po predhodni objavi</w:t>
            </w:r>
          </w:p>
        </w:tc>
        <w:tc>
          <w:tcPr>
            <w:tcW w:w="1238" w:type="pct"/>
            <w:tcBorders>
              <w:top w:val="nil"/>
              <w:left w:val="nil"/>
              <w:bottom w:val="single" w:sz="4" w:space="0" w:color="auto"/>
              <w:right w:val="single" w:sz="4" w:space="0" w:color="auto"/>
            </w:tcBorders>
            <w:shd w:val="clear" w:color="auto" w:fill="auto"/>
            <w:vAlign w:val="center"/>
            <w:hideMark/>
          </w:tcPr>
          <w:p w14:paraId="49022BB8" w14:textId="77777777" w:rsidR="00E3750C" w:rsidRPr="00AC03B5" w:rsidRDefault="00E3750C" w:rsidP="00047864">
            <w:pPr>
              <w:spacing w:after="0" w:line="240" w:lineRule="auto"/>
              <w:rPr>
                <w:rFonts w:ascii="Arial" w:eastAsia="Times New Roman" w:hAnsi="Arial" w:cs="Arial"/>
                <w:color w:val="000000"/>
                <w:sz w:val="18"/>
                <w:szCs w:val="18"/>
                <w:lang w:eastAsia="sl-SI"/>
              </w:rPr>
            </w:pPr>
            <w:r w:rsidRPr="00AC03B5">
              <w:rPr>
                <w:rFonts w:ascii="Arial" w:eastAsia="Times New Roman" w:hAnsi="Arial" w:cs="Arial"/>
                <w:color w:val="000000"/>
                <w:sz w:val="18"/>
                <w:szCs w:val="18"/>
                <w:lang w:eastAsia="sl-SI"/>
              </w:rPr>
              <w:t>Cena</w:t>
            </w:r>
          </w:p>
        </w:tc>
        <w:tc>
          <w:tcPr>
            <w:tcW w:w="533" w:type="pct"/>
            <w:tcBorders>
              <w:top w:val="nil"/>
              <w:left w:val="nil"/>
              <w:bottom w:val="single" w:sz="4" w:space="0" w:color="auto"/>
              <w:right w:val="single" w:sz="4" w:space="0" w:color="auto"/>
            </w:tcBorders>
            <w:shd w:val="clear" w:color="auto" w:fill="auto"/>
            <w:vAlign w:val="center"/>
            <w:hideMark/>
          </w:tcPr>
          <w:p w14:paraId="7354199E"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181</w:t>
            </w:r>
          </w:p>
        </w:tc>
        <w:tc>
          <w:tcPr>
            <w:tcW w:w="780" w:type="pct"/>
            <w:tcBorders>
              <w:top w:val="nil"/>
              <w:left w:val="nil"/>
              <w:bottom w:val="single" w:sz="4" w:space="0" w:color="auto"/>
              <w:right w:val="single" w:sz="4" w:space="0" w:color="auto"/>
            </w:tcBorders>
            <w:shd w:val="clear" w:color="auto" w:fill="auto"/>
            <w:vAlign w:val="center"/>
            <w:hideMark/>
          </w:tcPr>
          <w:p w14:paraId="7C67B230"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235.620.926</w:t>
            </w:r>
          </w:p>
        </w:tc>
        <w:tc>
          <w:tcPr>
            <w:tcW w:w="518" w:type="pct"/>
            <w:tcBorders>
              <w:top w:val="nil"/>
              <w:left w:val="nil"/>
              <w:bottom w:val="single" w:sz="4" w:space="0" w:color="auto"/>
              <w:right w:val="single" w:sz="4" w:space="0" w:color="auto"/>
            </w:tcBorders>
            <w:shd w:val="clear" w:color="auto" w:fill="auto"/>
            <w:noWrap/>
            <w:vAlign w:val="center"/>
            <w:hideMark/>
          </w:tcPr>
          <w:p w14:paraId="312BDBF1"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74,49 %</w:t>
            </w:r>
          </w:p>
        </w:tc>
        <w:tc>
          <w:tcPr>
            <w:tcW w:w="518" w:type="pct"/>
            <w:tcBorders>
              <w:top w:val="nil"/>
              <w:left w:val="nil"/>
              <w:bottom w:val="single" w:sz="4" w:space="0" w:color="auto"/>
              <w:right w:val="single" w:sz="4" w:space="0" w:color="auto"/>
            </w:tcBorders>
            <w:shd w:val="clear" w:color="auto" w:fill="auto"/>
            <w:noWrap/>
            <w:vAlign w:val="center"/>
            <w:hideMark/>
          </w:tcPr>
          <w:p w14:paraId="7AA173CE"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80,10 %</w:t>
            </w:r>
          </w:p>
        </w:tc>
      </w:tr>
      <w:tr w:rsidR="00E3750C" w:rsidRPr="00AC03B5" w14:paraId="07F38BC4" w14:textId="77777777" w:rsidTr="00047864">
        <w:trPr>
          <w:trHeight w:val="300"/>
        </w:trPr>
        <w:tc>
          <w:tcPr>
            <w:tcW w:w="1412" w:type="pct"/>
            <w:vMerge/>
            <w:tcBorders>
              <w:top w:val="nil"/>
              <w:left w:val="single" w:sz="4" w:space="0" w:color="auto"/>
              <w:bottom w:val="single" w:sz="4" w:space="0" w:color="auto"/>
              <w:right w:val="single" w:sz="4" w:space="0" w:color="auto"/>
            </w:tcBorders>
            <w:vAlign w:val="center"/>
            <w:hideMark/>
          </w:tcPr>
          <w:p w14:paraId="434450A8" w14:textId="77777777" w:rsidR="00E3750C" w:rsidRPr="00AC03B5" w:rsidRDefault="00E3750C" w:rsidP="00047864">
            <w:pPr>
              <w:spacing w:after="0" w:line="240" w:lineRule="auto"/>
              <w:rPr>
                <w:rFonts w:ascii="Arial" w:eastAsia="Times New Roman" w:hAnsi="Arial" w:cs="Arial"/>
                <w:color w:val="000000"/>
                <w:sz w:val="18"/>
                <w:szCs w:val="18"/>
                <w:lang w:eastAsia="sl-SI"/>
              </w:rPr>
            </w:pPr>
          </w:p>
        </w:tc>
        <w:tc>
          <w:tcPr>
            <w:tcW w:w="1238" w:type="pct"/>
            <w:tcBorders>
              <w:top w:val="nil"/>
              <w:left w:val="nil"/>
              <w:bottom w:val="single" w:sz="4" w:space="0" w:color="auto"/>
              <w:right w:val="single" w:sz="4" w:space="0" w:color="auto"/>
            </w:tcBorders>
            <w:shd w:val="clear" w:color="auto" w:fill="auto"/>
            <w:vAlign w:val="center"/>
            <w:hideMark/>
          </w:tcPr>
          <w:p w14:paraId="2ED70903" w14:textId="77777777" w:rsidR="00E3750C" w:rsidRPr="00AC03B5" w:rsidRDefault="00E3750C" w:rsidP="00047864">
            <w:pPr>
              <w:spacing w:after="0" w:line="240" w:lineRule="auto"/>
              <w:rPr>
                <w:rFonts w:ascii="Arial" w:eastAsia="Times New Roman" w:hAnsi="Arial" w:cs="Arial"/>
                <w:color w:val="000000"/>
                <w:sz w:val="18"/>
                <w:szCs w:val="18"/>
                <w:lang w:eastAsia="sl-SI"/>
              </w:rPr>
            </w:pPr>
            <w:r w:rsidRPr="00AC03B5">
              <w:rPr>
                <w:rFonts w:ascii="Arial" w:eastAsia="Times New Roman" w:hAnsi="Arial" w:cs="Arial"/>
                <w:color w:val="000000"/>
                <w:sz w:val="18"/>
                <w:szCs w:val="18"/>
                <w:lang w:eastAsia="sl-SI"/>
              </w:rPr>
              <w:t>Ekonomsko najugodnejša ponudba</w:t>
            </w:r>
          </w:p>
        </w:tc>
        <w:tc>
          <w:tcPr>
            <w:tcW w:w="533" w:type="pct"/>
            <w:tcBorders>
              <w:top w:val="nil"/>
              <w:left w:val="nil"/>
              <w:bottom w:val="single" w:sz="4" w:space="0" w:color="auto"/>
              <w:right w:val="single" w:sz="4" w:space="0" w:color="auto"/>
            </w:tcBorders>
            <w:shd w:val="clear" w:color="auto" w:fill="auto"/>
            <w:vAlign w:val="center"/>
            <w:hideMark/>
          </w:tcPr>
          <w:p w14:paraId="0A81729D"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62</w:t>
            </w:r>
          </w:p>
        </w:tc>
        <w:tc>
          <w:tcPr>
            <w:tcW w:w="780" w:type="pct"/>
            <w:tcBorders>
              <w:top w:val="nil"/>
              <w:left w:val="nil"/>
              <w:bottom w:val="single" w:sz="4" w:space="0" w:color="auto"/>
              <w:right w:val="single" w:sz="4" w:space="0" w:color="auto"/>
            </w:tcBorders>
            <w:shd w:val="clear" w:color="auto" w:fill="auto"/>
            <w:vAlign w:val="center"/>
            <w:hideMark/>
          </w:tcPr>
          <w:p w14:paraId="23169F31"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58.550.725</w:t>
            </w:r>
          </w:p>
        </w:tc>
        <w:tc>
          <w:tcPr>
            <w:tcW w:w="518" w:type="pct"/>
            <w:tcBorders>
              <w:top w:val="nil"/>
              <w:left w:val="nil"/>
              <w:bottom w:val="single" w:sz="4" w:space="0" w:color="auto"/>
              <w:right w:val="single" w:sz="4" w:space="0" w:color="auto"/>
            </w:tcBorders>
            <w:shd w:val="clear" w:color="auto" w:fill="auto"/>
            <w:noWrap/>
            <w:vAlign w:val="center"/>
            <w:hideMark/>
          </w:tcPr>
          <w:p w14:paraId="35E5F072"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25,51 %</w:t>
            </w:r>
          </w:p>
        </w:tc>
        <w:tc>
          <w:tcPr>
            <w:tcW w:w="518" w:type="pct"/>
            <w:tcBorders>
              <w:top w:val="nil"/>
              <w:left w:val="nil"/>
              <w:bottom w:val="single" w:sz="4" w:space="0" w:color="auto"/>
              <w:right w:val="single" w:sz="4" w:space="0" w:color="auto"/>
            </w:tcBorders>
            <w:shd w:val="clear" w:color="auto" w:fill="auto"/>
            <w:noWrap/>
            <w:vAlign w:val="center"/>
            <w:hideMark/>
          </w:tcPr>
          <w:p w14:paraId="5146107E"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19,90 %</w:t>
            </w:r>
          </w:p>
        </w:tc>
      </w:tr>
      <w:tr w:rsidR="00E3750C" w:rsidRPr="00AC03B5" w14:paraId="39380E8A" w14:textId="77777777" w:rsidTr="00047864">
        <w:trPr>
          <w:trHeight w:val="300"/>
        </w:trPr>
        <w:tc>
          <w:tcPr>
            <w:tcW w:w="1412" w:type="pct"/>
            <w:vMerge/>
            <w:tcBorders>
              <w:top w:val="nil"/>
              <w:left w:val="single" w:sz="4" w:space="0" w:color="auto"/>
              <w:bottom w:val="single" w:sz="4" w:space="0" w:color="auto"/>
              <w:right w:val="single" w:sz="4" w:space="0" w:color="auto"/>
            </w:tcBorders>
            <w:vAlign w:val="center"/>
            <w:hideMark/>
          </w:tcPr>
          <w:p w14:paraId="25459773" w14:textId="77777777" w:rsidR="00E3750C" w:rsidRPr="00AC03B5" w:rsidRDefault="00E3750C" w:rsidP="00047864">
            <w:pPr>
              <w:spacing w:after="0" w:line="240" w:lineRule="auto"/>
              <w:rPr>
                <w:rFonts w:ascii="Arial" w:eastAsia="Times New Roman" w:hAnsi="Arial" w:cs="Arial"/>
                <w:color w:val="000000"/>
                <w:sz w:val="18"/>
                <w:szCs w:val="18"/>
                <w:lang w:eastAsia="sl-SI"/>
              </w:rPr>
            </w:pPr>
          </w:p>
        </w:tc>
        <w:tc>
          <w:tcPr>
            <w:tcW w:w="1238" w:type="pct"/>
            <w:tcBorders>
              <w:top w:val="nil"/>
              <w:left w:val="nil"/>
              <w:bottom w:val="single" w:sz="4" w:space="0" w:color="auto"/>
              <w:right w:val="single" w:sz="4" w:space="0" w:color="auto"/>
            </w:tcBorders>
            <w:shd w:val="clear" w:color="auto" w:fill="auto"/>
            <w:vAlign w:val="center"/>
            <w:hideMark/>
          </w:tcPr>
          <w:p w14:paraId="79CFE7EC" w14:textId="77777777" w:rsidR="00E3750C" w:rsidRPr="00AC03B5" w:rsidRDefault="00E3750C" w:rsidP="00047864">
            <w:pPr>
              <w:spacing w:after="0" w:line="240" w:lineRule="auto"/>
              <w:rPr>
                <w:rFonts w:ascii="Arial" w:eastAsia="Times New Roman" w:hAnsi="Arial" w:cs="Arial"/>
                <w:b/>
                <w:bCs/>
                <w:color w:val="000000"/>
                <w:sz w:val="18"/>
                <w:szCs w:val="18"/>
                <w:lang w:eastAsia="sl-SI"/>
              </w:rPr>
            </w:pPr>
            <w:r w:rsidRPr="00AC03B5">
              <w:rPr>
                <w:rFonts w:ascii="Arial" w:eastAsia="Times New Roman" w:hAnsi="Arial" w:cs="Arial"/>
                <w:b/>
                <w:bCs/>
                <w:color w:val="000000"/>
                <w:sz w:val="18"/>
                <w:szCs w:val="18"/>
                <w:lang w:eastAsia="sl-SI"/>
              </w:rPr>
              <w:t>Skupaj</w:t>
            </w:r>
          </w:p>
        </w:tc>
        <w:tc>
          <w:tcPr>
            <w:tcW w:w="533" w:type="pct"/>
            <w:tcBorders>
              <w:top w:val="nil"/>
              <w:left w:val="nil"/>
              <w:bottom w:val="single" w:sz="4" w:space="0" w:color="auto"/>
              <w:right w:val="single" w:sz="4" w:space="0" w:color="auto"/>
            </w:tcBorders>
            <w:shd w:val="clear" w:color="auto" w:fill="auto"/>
            <w:vAlign w:val="center"/>
            <w:hideMark/>
          </w:tcPr>
          <w:p w14:paraId="38013E13" w14:textId="77777777" w:rsidR="00E3750C" w:rsidRPr="00AC03B5" w:rsidRDefault="00E3750C" w:rsidP="00047864">
            <w:pPr>
              <w:spacing w:after="0" w:line="240" w:lineRule="auto"/>
              <w:jc w:val="right"/>
              <w:rPr>
                <w:rFonts w:ascii="Arial" w:eastAsia="Times New Roman" w:hAnsi="Arial" w:cs="Arial"/>
                <w:b/>
                <w:bCs/>
                <w:color w:val="000000"/>
                <w:sz w:val="18"/>
                <w:szCs w:val="18"/>
                <w:lang w:eastAsia="sl-SI"/>
              </w:rPr>
            </w:pPr>
            <w:r w:rsidRPr="00AC03B5">
              <w:rPr>
                <w:rFonts w:ascii="Arial" w:hAnsi="Arial" w:cs="Arial"/>
                <w:b/>
                <w:bCs/>
                <w:color w:val="000000"/>
                <w:sz w:val="18"/>
                <w:szCs w:val="18"/>
              </w:rPr>
              <w:t>243</w:t>
            </w:r>
          </w:p>
        </w:tc>
        <w:tc>
          <w:tcPr>
            <w:tcW w:w="780" w:type="pct"/>
            <w:tcBorders>
              <w:top w:val="nil"/>
              <w:left w:val="nil"/>
              <w:bottom w:val="single" w:sz="4" w:space="0" w:color="auto"/>
              <w:right w:val="single" w:sz="4" w:space="0" w:color="auto"/>
            </w:tcBorders>
            <w:shd w:val="clear" w:color="auto" w:fill="auto"/>
            <w:vAlign w:val="center"/>
            <w:hideMark/>
          </w:tcPr>
          <w:p w14:paraId="22B723C3" w14:textId="77777777" w:rsidR="00E3750C" w:rsidRPr="00AC03B5" w:rsidRDefault="00E3750C" w:rsidP="00047864">
            <w:pPr>
              <w:spacing w:after="0" w:line="240" w:lineRule="auto"/>
              <w:jc w:val="right"/>
              <w:rPr>
                <w:rFonts w:ascii="Arial" w:eastAsia="Times New Roman" w:hAnsi="Arial" w:cs="Arial"/>
                <w:b/>
                <w:bCs/>
                <w:color w:val="000000"/>
                <w:sz w:val="18"/>
                <w:szCs w:val="18"/>
                <w:lang w:eastAsia="sl-SI"/>
              </w:rPr>
            </w:pPr>
            <w:r w:rsidRPr="00AC03B5">
              <w:rPr>
                <w:rFonts w:ascii="Arial" w:hAnsi="Arial" w:cs="Arial"/>
                <w:b/>
                <w:bCs/>
                <w:color w:val="000000"/>
                <w:sz w:val="18"/>
                <w:szCs w:val="18"/>
              </w:rPr>
              <w:t>294.171.651</w:t>
            </w:r>
          </w:p>
        </w:tc>
        <w:tc>
          <w:tcPr>
            <w:tcW w:w="518" w:type="pct"/>
            <w:tcBorders>
              <w:top w:val="nil"/>
              <w:left w:val="nil"/>
              <w:bottom w:val="single" w:sz="4" w:space="0" w:color="auto"/>
              <w:right w:val="single" w:sz="4" w:space="0" w:color="auto"/>
            </w:tcBorders>
            <w:shd w:val="clear" w:color="auto" w:fill="auto"/>
            <w:noWrap/>
            <w:vAlign w:val="center"/>
            <w:hideMark/>
          </w:tcPr>
          <w:p w14:paraId="66E3C6E8" w14:textId="77777777" w:rsidR="00E3750C" w:rsidRPr="00AC03B5" w:rsidRDefault="00E3750C" w:rsidP="00047864">
            <w:pPr>
              <w:spacing w:after="0" w:line="240" w:lineRule="auto"/>
              <w:jc w:val="right"/>
              <w:rPr>
                <w:rFonts w:ascii="Arial" w:eastAsia="Times New Roman" w:hAnsi="Arial" w:cs="Arial"/>
                <w:b/>
                <w:bCs/>
                <w:color w:val="000000"/>
                <w:sz w:val="18"/>
                <w:szCs w:val="18"/>
                <w:lang w:eastAsia="sl-SI"/>
              </w:rPr>
            </w:pPr>
            <w:r w:rsidRPr="00AC03B5">
              <w:rPr>
                <w:rFonts w:ascii="Arial" w:hAnsi="Arial" w:cs="Arial"/>
                <w:b/>
                <w:bCs/>
                <w:color w:val="000000"/>
                <w:sz w:val="18"/>
                <w:szCs w:val="18"/>
              </w:rPr>
              <w:t>100,00 %</w:t>
            </w:r>
          </w:p>
        </w:tc>
        <w:tc>
          <w:tcPr>
            <w:tcW w:w="518" w:type="pct"/>
            <w:tcBorders>
              <w:top w:val="nil"/>
              <w:left w:val="nil"/>
              <w:bottom w:val="single" w:sz="4" w:space="0" w:color="auto"/>
              <w:right w:val="single" w:sz="4" w:space="0" w:color="auto"/>
            </w:tcBorders>
            <w:shd w:val="clear" w:color="auto" w:fill="auto"/>
            <w:noWrap/>
            <w:vAlign w:val="center"/>
            <w:hideMark/>
          </w:tcPr>
          <w:p w14:paraId="4B528EAB" w14:textId="77777777" w:rsidR="00E3750C" w:rsidRPr="00AC03B5" w:rsidRDefault="00E3750C" w:rsidP="00047864">
            <w:pPr>
              <w:spacing w:after="0" w:line="240" w:lineRule="auto"/>
              <w:jc w:val="right"/>
              <w:rPr>
                <w:rFonts w:ascii="Arial" w:eastAsia="Times New Roman" w:hAnsi="Arial" w:cs="Arial"/>
                <w:b/>
                <w:bCs/>
                <w:color w:val="000000"/>
                <w:sz w:val="18"/>
                <w:szCs w:val="18"/>
                <w:lang w:eastAsia="sl-SI"/>
              </w:rPr>
            </w:pPr>
            <w:r w:rsidRPr="00AC03B5">
              <w:rPr>
                <w:rFonts w:ascii="Arial" w:hAnsi="Arial" w:cs="Arial"/>
                <w:b/>
                <w:bCs/>
                <w:color w:val="000000"/>
                <w:sz w:val="18"/>
                <w:szCs w:val="18"/>
              </w:rPr>
              <w:t>100,00 %</w:t>
            </w:r>
          </w:p>
        </w:tc>
      </w:tr>
      <w:tr w:rsidR="00E3750C" w:rsidRPr="00AC03B5" w14:paraId="274F70FE" w14:textId="77777777" w:rsidTr="00047864">
        <w:trPr>
          <w:trHeight w:val="300"/>
        </w:trPr>
        <w:tc>
          <w:tcPr>
            <w:tcW w:w="1412" w:type="pct"/>
            <w:vMerge w:val="restart"/>
            <w:tcBorders>
              <w:top w:val="nil"/>
              <w:left w:val="single" w:sz="4" w:space="0" w:color="auto"/>
              <w:bottom w:val="single" w:sz="4" w:space="0" w:color="auto"/>
              <w:right w:val="single" w:sz="4" w:space="0" w:color="auto"/>
            </w:tcBorders>
            <w:shd w:val="clear" w:color="auto" w:fill="auto"/>
            <w:vAlign w:val="center"/>
            <w:hideMark/>
          </w:tcPr>
          <w:p w14:paraId="3692847F" w14:textId="77777777" w:rsidR="00E3750C" w:rsidRPr="00AC03B5" w:rsidRDefault="00E3750C" w:rsidP="00047864">
            <w:pPr>
              <w:spacing w:after="0" w:line="240" w:lineRule="auto"/>
              <w:rPr>
                <w:rFonts w:ascii="Arial" w:eastAsia="Times New Roman" w:hAnsi="Arial" w:cs="Arial"/>
                <w:color w:val="000000"/>
                <w:sz w:val="18"/>
                <w:szCs w:val="18"/>
                <w:lang w:eastAsia="sl-SI"/>
              </w:rPr>
            </w:pPr>
            <w:r w:rsidRPr="00AC03B5">
              <w:rPr>
                <w:rFonts w:ascii="Arial" w:eastAsia="Times New Roman" w:hAnsi="Arial" w:cs="Arial"/>
                <w:color w:val="000000"/>
                <w:sz w:val="18"/>
                <w:szCs w:val="18"/>
                <w:lang w:eastAsia="sl-SI"/>
              </w:rPr>
              <w:t>Postopek zbiranja ponudb po predhodni objavi</w:t>
            </w:r>
          </w:p>
        </w:tc>
        <w:tc>
          <w:tcPr>
            <w:tcW w:w="1238" w:type="pct"/>
            <w:tcBorders>
              <w:top w:val="nil"/>
              <w:left w:val="nil"/>
              <w:bottom w:val="single" w:sz="4" w:space="0" w:color="auto"/>
              <w:right w:val="single" w:sz="4" w:space="0" w:color="auto"/>
            </w:tcBorders>
            <w:shd w:val="clear" w:color="auto" w:fill="auto"/>
            <w:vAlign w:val="center"/>
            <w:hideMark/>
          </w:tcPr>
          <w:p w14:paraId="2DF1D71A" w14:textId="77777777" w:rsidR="00E3750C" w:rsidRPr="00AC03B5" w:rsidRDefault="00E3750C" w:rsidP="00047864">
            <w:pPr>
              <w:spacing w:after="0" w:line="240" w:lineRule="auto"/>
              <w:rPr>
                <w:rFonts w:ascii="Arial" w:eastAsia="Times New Roman" w:hAnsi="Arial" w:cs="Arial"/>
                <w:color w:val="000000"/>
                <w:sz w:val="18"/>
                <w:szCs w:val="18"/>
                <w:lang w:eastAsia="sl-SI"/>
              </w:rPr>
            </w:pPr>
            <w:r w:rsidRPr="00AC03B5">
              <w:rPr>
                <w:rFonts w:ascii="Arial" w:eastAsia="Times New Roman" w:hAnsi="Arial" w:cs="Arial"/>
                <w:color w:val="000000"/>
                <w:sz w:val="18"/>
                <w:szCs w:val="18"/>
                <w:lang w:eastAsia="sl-SI"/>
              </w:rPr>
              <w:t>Cena</w:t>
            </w:r>
          </w:p>
        </w:tc>
        <w:tc>
          <w:tcPr>
            <w:tcW w:w="533" w:type="pct"/>
            <w:tcBorders>
              <w:top w:val="nil"/>
              <w:left w:val="nil"/>
              <w:bottom w:val="single" w:sz="4" w:space="0" w:color="auto"/>
              <w:right w:val="single" w:sz="4" w:space="0" w:color="auto"/>
            </w:tcBorders>
            <w:shd w:val="clear" w:color="auto" w:fill="auto"/>
            <w:vAlign w:val="center"/>
            <w:hideMark/>
          </w:tcPr>
          <w:p w14:paraId="31D5C78E"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26</w:t>
            </w:r>
          </w:p>
        </w:tc>
        <w:tc>
          <w:tcPr>
            <w:tcW w:w="780" w:type="pct"/>
            <w:tcBorders>
              <w:top w:val="nil"/>
              <w:left w:val="nil"/>
              <w:bottom w:val="single" w:sz="4" w:space="0" w:color="auto"/>
              <w:right w:val="single" w:sz="4" w:space="0" w:color="auto"/>
            </w:tcBorders>
            <w:shd w:val="clear" w:color="auto" w:fill="auto"/>
            <w:vAlign w:val="center"/>
            <w:hideMark/>
          </w:tcPr>
          <w:p w14:paraId="71555485"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4.666.983</w:t>
            </w:r>
          </w:p>
        </w:tc>
        <w:tc>
          <w:tcPr>
            <w:tcW w:w="518" w:type="pct"/>
            <w:tcBorders>
              <w:top w:val="nil"/>
              <w:left w:val="nil"/>
              <w:bottom w:val="single" w:sz="4" w:space="0" w:color="auto"/>
              <w:right w:val="single" w:sz="4" w:space="0" w:color="auto"/>
            </w:tcBorders>
            <w:shd w:val="clear" w:color="auto" w:fill="auto"/>
            <w:noWrap/>
            <w:vAlign w:val="center"/>
            <w:hideMark/>
          </w:tcPr>
          <w:p w14:paraId="71986C86"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78,79 %</w:t>
            </w:r>
          </w:p>
        </w:tc>
        <w:tc>
          <w:tcPr>
            <w:tcW w:w="518" w:type="pct"/>
            <w:tcBorders>
              <w:top w:val="nil"/>
              <w:left w:val="nil"/>
              <w:bottom w:val="single" w:sz="4" w:space="0" w:color="auto"/>
              <w:right w:val="single" w:sz="4" w:space="0" w:color="auto"/>
            </w:tcBorders>
            <w:shd w:val="clear" w:color="auto" w:fill="auto"/>
            <w:noWrap/>
            <w:vAlign w:val="center"/>
            <w:hideMark/>
          </w:tcPr>
          <w:p w14:paraId="7F883468"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78,48 %</w:t>
            </w:r>
          </w:p>
        </w:tc>
      </w:tr>
      <w:tr w:rsidR="00E3750C" w:rsidRPr="00AC03B5" w14:paraId="3FD88455" w14:textId="77777777" w:rsidTr="00047864">
        <w:trPr>
          <w:trHeight w:val="300"/>
        </w:trPr>
        <w:tc>
          <w:tcPr>
            <w:tcW w:w="1412" w:type="pct"/>
            <w:vMerge/>
            <w:tcBorders>
              <w:top w:val="nil"/>
              <w:left w:val="single" w:sz="4" w:space="0" w:color="auto"/>
              <w:bottom w:val="single" w:sz="4" w:space="0" w:color="auto"/>
              <w:right w:val="single" w:sz="4" w:space="0" w:color="auto"/>
            </w:tcBorders>
            <w:vAlign w:val="center"/>
            <w:hideMark/>
          </w:tcPr>
          <w:p w14:paraId="2DAE99D0" w14:textId="77777777" w:rsidR="00E3750C" w:rsidRPr="00AC03B5" w:rsidRDefault="00E3750C" w:rsidP="00047864">
            <w:pPr>
              <w:spacing w:after="0" w:line="240" w:lineRule="auto"/>
              <w:rPr>
                <w:rFonts w:ascii="Arial" w:eastAsia="Times New Roman" w:hAnsi="Arial" w:cs="Arial"/>
                <w:color w:val="000000"/>
                <w:sz w:val="18"/>
                <w:szCs w:val="18"/>
                <w:lang w:eastAsia="sl-SI"/>
              </w:rPr>
            </w:pPr>
          </w:p>
        </w:tc>
        <w:tc>
          <w:tcPr>
            <w:tcW w:w="1238" w:type="pct"/>
            <w:tcBorders>
              <w:top w:val="nil"/>
              <w:left w:val="nil"/>
              <w:bottom w:val="single" w:sz="4" w:space="0" w:color="auto"/>
              <w:right w:val="single" w:sz="4" w:space="0" w:color="auto"/>
            </w:tcBorders>
            <w:shd w:val="clear" w:color="auto" w:fill="auto"/>
            <w:vAlign w:val="center"/>
            <w:hideMark/>
          </w:tcPr>
          <w:p w14:paraId="1E4F9CBA" w14:textId="77777777" w:rsidR="00E3750C" w:rsidRPr="00AC03B5" w:rsidRDefault="00E3750C" w:rsidP="00047864">
            <w:pPr>
              <w:spacing w:after="0" w:line="240" w:lineRule="auto"/>
              <w:rPr>
                <w:rFonts w:ascii="Arial" w:eastAsia="Times New Roman" w:hAnsi="Arial" w:cs="Arial"/>
                <w:color w:val="000000"/>
                <w:sz w:val="18"/>
                <w:szCs w:val="18"/>
                <w:lang w:eastAsia="sl-SI"/>
              </w:rPr>
            </w:pPr>
            <w:r w:rsidRPr="00AC03B5">
              <w:rPr>
                <w:rFonts w:ascii="Arial" w:eastAsia="Times New Roman" w:hAnsi="Arial" w:cs="Arial"/>
                <w:color w:val="000000"/>
                <w:sz w:val="18"/>
                <w:szCs w:val="18"/>
                <w:lang w:eastAsia="sl-SI"/>
              </w:rPr>
              <w:t>Ekonomsko najugodnejša ponudba</w:t>
            </w:r>
          </w:p>
        </w:tc>
        <w:tc>
          <w:tcPr>
            <w:tcW w:w="533" w:type="pct"/>
            <w:tcBorders>
              <w:top w:val="nil"/>
              <w:left w:val="nil"/>
              <w:bottom w:val="single" w:sz="4" w:space="0" w:color="auto"/>
              <w:right w:val="single" w:sz="4" w:space="0" w:color="auto"/>
            </w:tcBorders>
            <w:shd w:val="clear" w:color="auto" w:fill="auto"/>
            <w:vAlign w:val="center"/>
            <w:hideMark/>
          </w:tcPr>
          <w:p w14:paraId="6F3C4F14"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7</w:t>
            </w:r>
          </w:p>
        </w:tc>
        <w:tc>
          <w:tcPr>
            <w:tcW w:w="780" w:type="pct"/>
            <w:tcBorders>
              <w:top w:val="nil"/>
              <w:left w:val="nil"/>
              <w:bottom w:val="single" w:sz="4" w:space="0" w:color="auto"/>
              <w:right w:val="single" w:sz="4" w:space="0" w:color="auto"/>
            </w:tcBorders>
            <w:shd w:val="clear" w:color="auto" w:fill="auto"/>
            <w:vAlign w:val="center"/>
            <w:hideMark/>
          </w:tcPr>
          <w:p w14:paraId="77B2A55A"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1.279.859</w:t>
            </w:r>
          </w:p>
        </w:tc>
        <w:tc>
          <w:tcPr>
            <w:tcW w:w="518" w:type="pct"/>
            <w:tcBorders>
              <w:top w:val="nil"/>
              <w:left w:val="nil"/>
              <w:bottom w:val="single" w:sz="4" w:space="0" w:color="auto"/>
              <w:right w:val="single" w:sz="4" w:space="0" w:color="auto"/>
            </w:tcBorders>
            <w:shd w:val="clear" w:color="auto" w:fill="auto"/>
            <w:noWrap/>
            <w:vAlign w:val="center"/>
            <w:hideMark/>
          </w:tcPr>
          <w:p w14:paraId="1B7E6DE6"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21,21 %</w:t>
            </w:r>
          </w:p>
        </w:tc>
        <w:tc>
          <w:tcPr>
            <w:tcW w:w="518" w:type="pct"/>
            <w:tcBorders>
              <w:top w:val="nil"/>
              <w:left w:val="nil"/>
              <w:bottom w:val="single" w:sz="4" w:space="0" w:color="auto"/>
              <w:right w:val="single" w:sz="4" w:space="0" w:color="auto"/>
            </w:tcBorders>
            <w:shd w:val="clear" w:color="auto" w:fill="auto"/>
            <w:noWrap/>
            <w:vAlign w:val="center"/>
            <w:hideMark/>
          </w:tcPr>
          <w:p w14:paraId="5C4AE24D" w14:textId="77777777" w:rsidR="00E3750C" w:rsidRPr="00AC03B5" w:rsidRDefault="00E3750C" w:rsidP="00047864">
            <w:pPr>
              <w:spacing w:after="0" w:line="240" w:lineRule="auto"/>
              <w:jc w:val="right"/>
              <w:rPr>
                <w:rFonts w:ascii="Arial" w:eastAsia="Times New Roman" w:hAnsi="Arial" w:cs="Arial"/>
                <w:color w:val="000000"/>
                <w:sz w:val="18"/>
                <w:szCs w:val="18"/>
                <w:lang w:eastAsia="sl-SI"/>
              </w:rPr>
            </w:pPr>
            <w:r w:rsidRPr="00AC03B5">
              <w:rPr>
                <w:rFonts w:ascii="Arial" w:hAnsi="Arial" w:cs="Arial"/>
                <w:color w:val="000000"/>
                <w:sz w:val="18"/>
                <w:szCs w:val="18"/>
              </w:rPr>
              <w:t>21,52 %</w:t>
            </w:r>
          </w:p>
        </w:tc>
      </w:tr>
      <w:tr w:rsidR="00E3750C" w:rsidRPr="00AC03B5" w14:paraId="1FD973C8" w14:textId="77777777" w:rsidTr="00047864">
        <w:trPr>
          <w:trHeight w:val="300"/>
        </w:trPr>
        <w:tc>
          <w:tcPr>
            <w:tcW w:w="1412" w:type="pct"/>
            <w:vMerge/>
            <w:tcBorders>
              <w:top w:val="nil"/>
              <w:left w:val="single" w:sz="4" w:space="0" w:color="auto"/>
              <w:bottom w:val="single" w:sz="4" w:space="0" w:color="auto"/>
              <w:right w:val="single" w:sz="4" w:space="0" w:color="auto"/>
            </w:tcBorders>
            <w:vAlign w:val="center"/>
            <w:hideMark/>
          </w:tcPr>
          <w:p w14:paraId="70597AFB" w14:textId="77777777" w:rsidR="00E3750C" w:rsidRPr="00AC03B5" w:rsidRDefault="00E3750C" w:rsidP="00047864">
            <w:pPr>
              <w:spacing w:after="0" w:line="240" w:lineRule="auto"/>
              <w:rPr>
                <w:rFonts w:ascii="Arial" w:eastAsia="Times New Roman" w:hAnsi="Arial" w:cs="Arial"/>
                <w:color w:val="000000"/>
                <w:sz w:val="18"/>
                <w:szCs w:val="18"/>
                <w:lang w:eastAsia="sl-SI"/>
              </w:rPr>
            </w:pPr>
          </w:p>
        </w:tc>
        <w:tc>
          <w:tcPr>
            <w:tcW w:w="1238" w:type="pct"/>
            <w:tcBorders>
              <w:top w:val="nil"/>
              <w:left w:val="nil"/>
              <w:bottom w:val="single" w:sz="4" w:space="0" w:color="auto"/>
              <w:right w:val="single" w:sz="4" w:space="0" w:color="auto"/>
            </w:tcBorders>
            <w:shd w:val="clear" w:color="auto" w:fill="auto"/>
            <w:vAlign w:val="center"/>
            <w:hideMark/>
          </w:tcPr>
          <w:p w14:paraId="33CFE1AD" w14:textId="77777777" w:rsidR="00E3750C" w:rsidRPr="00AC03B5" w:rsidRDefault="00E3750C" w:rsidP="00047864">
            <w:pPr>
              <w:spacing w:after="0" w:line="240" w:lineRule="auto"/>
              <w:rPr>
                <w:rFonts w:ascii="Arial" w:eastAsia="Times New Roman" w:hAnsi="Arial" w:cs="Arial"/>
                <w:b/>
                <w:bCs/>
                <w:color w:val="000000"/>
                <w:sz w:val="18"/>
                <w:szCs w:val="18"/>
                <w:lang w:eastAsia="sl-SI"/>
              </w:rPr>
            </w:pPr>
            <w:r w:rsidRPr="00AC03B5">
              <w:rPr>
                <w:rFonts w:ascii="Arial" w:eastAsia="Times New Roman" w:hAnsi="Arial" w:cs="Arial"/>
                <w:b/>
                <w:bCs/>
                <w:color w:val="000000"/>
                <w:sz w:val="18"/>
                <w:szCs w:val="18"/>
                <w:lang w:eastAsia="sl-SI"/>
              </w:rPr>
              <w:t>Skupaj</w:t>
            </w:r>
          </w:p>
        </w:tc>
        <w:tc>
          <w:tcPr>
            <w:tcW w:w="533" w:type="pct"/>
            <w:tcBorders>
              <w:top w:val="nil"/>
              <w:left w:val="nil"/>
              <w:bottom w:val="single" w:sz="4" w:space="0" w:color="auto"/>
              <w:right w:val="single" w:sz="4" w:space="0" w:color="auto"/>
            </w:tcBorders>
            <w:shd w:val="clear" w:color="auto" w:fill="auto"/>
            <w:vAlign w:val="center"/>
            <w:hideMark/>
          </w:tcPr>
          <w:p w14:paraId="4911724E" w14:textId="77777777" w:rsidR="00E3750C" w:rsidRPr="00AC03B5" w:rsidRDefault="00E3750C" w:rsidP="00047864">
            <w:pPr>
              <w:spacing w:after="0" w:line="240" w:lineRule="auto"/>
              <w:jc w:val="right"/>
              <w:rPr>
                <w:rFonts w:ascii="Arial" w:eastAsia="Times New Roman" w:hAnsi="Arial" w:cs="Arial"/>
                <w:b/>
                <w:bCs/>
                <w:color w:val="000000"/>
                <w:sz w:val="18"/>
                <w:szCs w:val="18"/>
                <w:lang w:eastAsia="sl-SI"/>
              </w:rPr>
            </w:pPr>
            <w:r w:rsidRPr="00AC03B5">
              <w:rPr>
                <w:rFonts w:ascii="Arial" w:hAnsi="Arial" w:cs="Arial"/>
                <w:b/>
                <w:bCs/>
                <w:color w:val="000000"/>
                <w:sz w:val="18"/>
                <w:szCs w:val="18"/>
              </w:rPr>
              <w:t>33</w:t>
            </w:r>
          </w:p>
        </w:tc>
        <w:tc>
          <w:tcPr>
            <w:tcW w:w="780" w:type="pct"/>
            <w:tcBorders>
              <w:top w:val="nil"/>
              <w:left w:val="nil"/>
              <w:bottom w:val="single" w:sz="4" w:space="0" w:color="auto"/>
              <w:right w:val="single" w:sz="4" w:space="0" w:color="auto"/>
            </w:tcBorders>
            <w:shd w:val="clear" w:color="auto" w:fill="auto"/>
            <w:vAlign w:val="center"/>
            <w:hideMark/>
          </w:tcPr>
          <w:p w14:paraId="3D5AE69D" w14:textId="77777777" w:rsidR="00E3750C" w:rsidRPr="00AC03B5" w:rsidRDefault="00E3750C" w:rsidP="00047864">
            <w:pPr>
              <w:spacing w:after="0" w:line="240" w:lineRule="auto"/>
              <w:jc w:val="right"/>
              <w:rPr>
                <w:rFonts w:ascii="Arial" w:eastAsia="Times New Roman" w:hAnsi="Arial" w:cs="Arial"/>
                <w:b/>
                <w:bCs/>
                <w:color w:val="000000"/>
                <w:sz w:val="18"/>
                <w:szCs w:val="18"/>
                <w:lang w:eastAsia="sl-SI"/>
              </w:rPr>
            </w:pPr>
            <w:r w:rsidRPr="00AC03B5">
              <w:rPr>
                <w:rFonts w:ascii="Arial" w:hAnsi="Arial" w:cs="Arial"/>
                <w:b/>
                <w:bCs/>
                <w:color w:val="000000"/>
                <w:sz w:val="18"/>
                <w:szCs w:val="18"/>
              </w:rPr>
              <w:t>5.946.842</w:t>
            </w:r>
          </w:p>
        </w:tc>
        <w:tc>
          <w:tcPr>
            <w:tcW w:w="518" w:type="pct"/>
            <w:tcBorders>
              <w:top w:val="nil"/>
              <w:left w:val="nil"/>
              <w:bottom w:val="single" w:sz="4" w:space="0" w:color="auto"/>
              <w:right w:val="single" w:sz="4" w:space="0" w:color="auto"/>
            </w:tcBorders>
            <w:shd w:val="clear" w:color="auto" w:fill="auto"/>
            <w:noWrap/>
            <w:vAlign w:val="center"/>
            <w:hideMark/>
          </w:tcPr>
          <w:p w14:paraId="634DEB6D" w14:textId="77777777" w:rsidR="00E3750C" w:rsidRPr="00AC03B5" w:rsidRDefault="00E3750C" w:rsidP="00047864">
            <w:pPr>
              <w:spacing w:after="0" w:line="240" w:lineRule="auto"/>
              <w:jc w:val="right"/>
              <w:rPr>
                <w:rFonts w:ascii="Arial" w:eastAsia="Times New Roman" w:hAnsi="Arial" w:cs="Arial"/>
                <w:b/>
                <w:bCs/>
                <w:color w:val="000000"/>
                <w:sz w:val="18"/>
                <w:szCs w:val="18"/>
                <w:lang w:eastAsia="sl-SI"/>
              </w:rPr>
            </w:pPr>
            <w:r w:rsidRPr="00AC03B5">
              <w:rPr>
                <w:rFonts w:ascii="Arial" w:hAnsi="Arial" w:cs="Arial"/>
                <w:b/>
                <w:bCs/>
                <w:color w:val="000000"/>
                <w:sz w:val="18"/>
                <w:szCs w:val="18"/>
              </w:rPr>
              <w:t>100,00 %</w:t>
            </w:r>
          </w:p>
        </w:tc>
        <w:tc>
          <w:tcPr>
            <w:tcW w:w="518" w:type="pct"/>
            <w:tcBorders>
              <w:top w:val="nil"/>
              <w:left w:val="nil"/>
              <w:bottom w:val="single" w:sz="4" w:space="0" w:color="auto"/>
              <w:right w:val="single" w:sz="4" w:space="0" w:color="auto"/>
            </w:tcBorders>
            <w:shd w:val="clear" w:color="auto" w:fill="auto"/>
            <w:noWrap/>
            <w:vAlign w:val="center"/>
            <w:hideMark/>
          </w:tcPr>
          <w:p w14:paraId="3F4D9EFF" w14:textId="77777777" w:rsidR="00E3750C" w:rsidRPr="00AC03B5" w:rsidRDefault="00E3750C" w:rsidP="00047864">
            <w:pPr>
              <w:spacing w:after="0" w:line="240" w:lineRule="auto"/>
              <w:jc w:val="right"/>
              <w:rPr>
                <w:rFonts w:ascii="Arial" w:eastAsia="Times New Roman" w:hAnsi="Arial" w:cs="Arial"/>
                <w:b/>
                <w:bCs/>
                <w:color w:val="000000"/>
                <w:sz w:val="18"/>
                <w:szCs w:val="18"/>
                <w:lang w:eastAsia="sl-SI"/>
              </w:rPr>
            </w:pPr>
            <w:r w:rsidRPr="00AC03B5">
              <w:rPr>
                <w:rFonts w:ascii="Arial" w:hAnsi="Arial" w:cs="Arial"/>
                <w:b/>
                <w:bCs/>
                <w:color w:val="000000"/>
                <w:sz w:val="18"/>
                <w:szCs w:val="18"/>
              </w:rPr>
              <w:t>100,00 %</w:t>
            </w:r>
          </w:p>
        </w:tc>
      </w:tr>
      <w:tr w:rsidR="00E3750C" w:rsidRPr="00AC03B5" w14:paraId="2D2DB4E3" w14:textId="77777777" w:rsidTr="00047864">
        <w:trPr>
          <w:gridAfter w:val="2"/>
          <w:wAfter w:w="1037" w:type="pct"/>
          <w:trHeight w:val="300"/>
        </w:trPr>
        <w:tc>
          <w:tcPr>
            <w:tcW w:w="265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3B7CA5" w14:textId="77777777" w:rsidR="00E3750C" w:rsidRPr="00AC03B5" w:rsidRDefault="00E3750C" w:rsidP="00047864">
            <w:pPr>
              <w:spacing w:after="0" w:line="240" w:lineRule="auto"/>
              <w:rPr>
                <w:rFonts w:ascii="Arial" w:eastAsia="Times New Roman" w:hAnsi="Arial" w:cs="Arial"/>
                <w:b/>
                <w:bCs/>
                <w:color w:val="000000"/>
                <w:sz w:val="18"/>
                <w:szCs w:val="18"/>
                <w:lang w:eastAsia="sl-SI"/>
              </w:rPr>
            </w:pPr>
            <w:r w:rsidRPr="00AC03B5">
              <w:rPr>
                <w:rFonts w:ascii="Arial" w:eastAsia="Times New Roman" w:hAnsi="Arial" w:cs="Arial"/>
                <w:b/>
                <w:bCs/>
                <w:color w:val="000000"/>
                <w:sz w:val="18"/>
                <w:szCs w:val="18"/>
                <w:lang w:eastAsia="sl-SI"/>
              </w:rPr>
              <w:t>Skupaj</w:t>
            </w:r>
          </w:p>
        </w:tc>
        <w:tc>
          <w:tcPr>
            <w:tcW w:w="533" w:type="pct"/>
            <w:tcBorders>
              <w:top w:val="nil"/>
              <w:left w:val="nil"/>
              <w:bottom w:val="single" w:sz="4" w:space="0" w:color="auto"/>
              <w:right w:val="single" w:sz="4" w:space="0" w:color="auto"/>
            </w:tcBorders>
            <w:shd w:val="clear" w:color="auto" w:fill="F2F2F2" w:themeFill="background1" w:themeFillShade="F2"/>
            <w:vAlign w:val="center"/>
            <w:hideMark/>
          </w:tcPr>
          <w:p w14:paraId="2929C09A" w14:textId="77777777" w:rsidR="00E3750C" w:rsidRPr="00AC03B5" w:rsidRDefault="00E3750C" w:rsidP="00047864">
            <w:pPr>
              <w:spacing w:after="0" w:line="240" w:lineRule="auto"/>
              <w:jc w:val="right"/>
              <w:rPr>
                <w:rFonts w:ascii="Arial" w:eastAsia="Times New Roman" w:hAnsi="Arial" w:cs="Arial"/>
                <w:b/>
                <w:bCs/>
                <w:color w:val="000000"/>
                <w:sz w:val="18"/>
                <w:szCs w:val="18"/>
                <w:lang w:eastAsia="sl-SI"/>
              </w:rPr>
            </w:pPr>
            <w:r w:rsidRPr="00AC03B5">
              <w:rPr>
                <w:rFonts w:ascii="Arial" w:hAnsi="Arial" w:cs="Arial"/>
                <w:b/>
                <w:bCs/>
                <w:color w:val="000000"/>
                <w:sz w:val="18"/>
                <w:szCs w:val="18"/>
              </w:rPr>
              <w:t>17.224</w:t>
            </w:r>
          </w:p>
        </w:tc>
        <w:tc>
          <w:tcPr>
            <w:tcW w:w="780" w:type="pct"/>
            <w:tcBorders>
              <w:top w:val="nil"/>
              <w:left w:val="nil"/>
              <w:bottom w:val="single" w:sz="4" w:space="0" w:color="auto"/>
              <w:right w:val="single" w:sz="4" w:space="0" w:color="auto"/>
            </w:tcBorders>
            <w:shd w:val="clear" w:color="auto" w:fill="F2F2F2" w:themeFill="background1" w:themeFillShade="F2"/>
            <w:vAlign w:val="center"/>
            <w:hideMark/>
          </w:tcPr>
          <w:p w14:paraId="41CE94C2" w14:textId="77777777" w:rsidR="00E3750C" w:rsidRPr="00AC03B5" w:rsidRDefault="00E3750C" w:rsidP="00047864">
            <w:pPr>
              <w:spacing w:after="0" w:line="240" w:lineRule="auto"/>
              <w:jc w:val="right"/>
              <w:rPr>
                <w:rFonts w:ascii="Arial" w:eastAsia="Times New Roman" w:hAnsi="Arial" w:cs="Arial"/>
                <w:b/>
                <w:bCs/>
                <w:color w:val="000000"/>
                <w:sz w:val="18"/>
                <w:szCs w:val="18"/>
                <w:lang w:eastAsia="sl-SI"/>
              </w:rPr>
            </w:pPr>
            <w:r w:rsidRPr="00AC03B5">
              <w:rPr>
                <w:rFonts w:ascii="Arial" w:hAnsi="Arial" w:cs="Arial"/>
                <w:b/>
                <w:bCs/>
                <w:color w:val="000000"/>
                <w:sz w:val="18"/>
                <w:szCs w:val="18"/>
              </w:rPr>
              <w:t>5.417.105.902</w:t>
            </w:r>
          </w:p>
        </w:tc>
      </w:tr>
    </w:tbl>
    <w:p w14:paraId="4D813D35" w14:textId="77777777" w:rsidR="00E3750C" w:rsidRPr="00BF7302" w:rsidRDefault="00E3750C" w:rsidP="00E3750C">
      <w:pPr>
        <w:spacing w:after="0" w:line="240" w:lineRule="auto"/>
        <w:jc w:val="both"/>
        <w:rPr>
          <w:rFonts w:ascii="Arial" w:hAnsi="Arial" w:cs="Arial"/>
          <w:sz w:val="20"/>
          <w:highlight w:val="yellow"/>
        </w:rPr>
      </w:pPr>
    </w:p>
    <w:p w14:paraId="721604CD" w14:textId="77777777" w:rsidR="00E3750C" w:rsidRPr="002343CE" w:rsidRDefault="00E3750C" w:rsidP="00E3750C">
      <w:pPr>
        <w:spacing w:before="120" w:after="0" w:line="240" w:lineRule="auto"/>
        <w:jc w:val="both"/>
        <w:rPr>
          <w:rFonts w:ascii="Arial" w:hAnsi="Arial" w:cs="Arial"/>
          <w:sz w:val="20"/>
        </w:rPr>
      </w:pPr>
      <w:r w:rsidRPr="002343CE">
        <w:rPr>
          <w:rFonts w:ascii="Arial" w:hAnsi="Arial" w:cs="Arial"/>
          <w:sz w:val="20"/>
        </w:rPr>
        <w:t>Preglednica 8</w:t>
      </w:r>
      <w:r>
        <w:rPr>
          <w:rFonts w:ascii="Arial" w:hAnsi="Arial" w:cs="Arial"/>
          <w:sz w:val="20"/>
        </w:rPr>
        <w:t>3</w:t>
      </w:r>
      <w:r w:rsidRPr="002343CE">
        <w:rPr>
          <w:rFonts w:ascii="Arial" w:hAnsi="Arial" w:cs="Arial"/>
          <w:sz w:val="20"/>
        </w:rPr>
        <w:t xml:space="preserve">: </w:t>
      </w:r>
      <w:bookmarkEnd w:id="88"/>
      <w:bookmarkEnd w:id="89"/>
      <w:r w:rsidRPr="002343CE">
        <w:rPr>
          <w:rFonts w:ascii="Arial" w:hAnsi="Arial" w:cs="Arial"/>
          <w:sz w:val="20"/>
        </w:rPr>
        <w:t>Javna naročila proračunskih uporabnikov glede na predmet naročanja</w:t>
      </w:r>
      <w:bookmarkEnd w:id="90"/>
      <w:bookmarkEnd w:id="91"/>
      <w:bookmarkEnd w:id="92"/>
      <w:bookmarkEnd w:id="96"/>
      <w:bookmarkEnd w:id="97"/>
      <w:bookmarkEnd w:id="98"/>
      <w:bookmarkEnd w:id="99"/>
      <w:bookmarkEnd w:id="100"/>
      <w:bookmarkEnd w:id="101"/>
    </w:p>
    <w:p w14:paraId="51C3118D" w14:textId="77777777" w:rsidR="00E3750C" w:rsidRPr="002343CE" w:rsidRDefault="00E3750C" w:rsidP="00E3750C">
      <w:pPr>
        <w:spacing w:after="0" w:line="240" w:lineRule="auto"/>
        <w:jc w:val="both"/>
        <w:rPr>
          <w:rFonts w:ascii="Arial" w:hAnsi="Arial" w:cs="Arial"/>
          <w:sz w:val="20"/>
        </w:rPr>
      </w:pPr>
    </w:p>
    <w:tbl>
      <w:tblPr>
        <w:tblW w:w="5000" w:type="pct"/>
        <w:tblCellMar>
          <w:left w:w="70" w:type="dxa"/>
          <w:right w:w="70" w:type="dxa"/>
        </w:tblCellMar>
        <w:tblLook w:val="04A0" w:firstRow="1" w:lastRow="0" w:firstColumn="1" w:lastColumn="0" w:noHBand="0" w:noVBand="1"/>
      </w:tblPr>
      <w:tblGrid>
        <w:gridCol w:w="1364"/>
        <w:gridCol w:w="1947"/>
        <w:gridCol w:w="1149"/>
        <w:gridCol w:w="2149"/>
        <w:gridCol w:w="1281"/>
        <w:gridCol w:w="1284"/>
      </w:tblGrid>
      <w:tr w:rsidR="00E3750C" w:rsidRPr="002343CE" w14:paraId="2C267497" w14:textId="77777777" w:rsidTr="00047864">
        <w:trPr>
          <w:trHeight w:val="255"/>
        </w:trPr>
        <w:tc>
          <w:tcPr>
            <w:tcW w:w="7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852969" w14:textId="77777777" w:rsidR="00E3750C" w:rsidRPr="002343CE" w:rsidRDefault="00E3750C" w:rsidP="00047864">
            <w:pPr>
              <w:spacing w:after="0" w:line="240" w:lineRule="auto"/>
              <w:jc w:val="center"/>
              <w:rPr>
                <w:rFonts w:ascii="Arial" w:eastAsia="Times New Roman" w:hAnsi="Arial" w:cs="Arial"/>
                <w:color w:val="000000"/>
                <w:sz w:val="18"/>
                <w:szCs w:val="18"/>
                <w:lang w:eastAsia="sl-SI"/>
              </w:rPr>
            </w:pPr>
            <w:r w:rsidRPr="002343CE">
              <w:rPr>
                <w:rFonts w:ascii="Arial" w:eastAsia="Times New Roman" w:hAnsi="Arial" w:cs="Arial"/>
                <w:color w:val="000000"/>
                <w:sz w:val="18"/>
                <w:szCs w:val="18"/>
                <w:lang w:eastAsia="sl-SI"/>
              </w:rPr>
              <w:t xml:space="preserve">Predmet </w:t>
            </w:r>
          </w:p>
        </w:tc>
        <w:tc>
          <w:tcPr>
            <w:tcW w:w="106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6927D28" w14:textId="77777777" w:rsidR="00E3750C" w:rsidRPr="002343CE" w:rsidRDefault="00E3750C" w:rsidP="00047864">
            <w:pPr>
              <w:spacing w:after="0" w:line="240" w:lineRule="auto"/>
              <w:jc w:val="center"/>
              <w:rPr>
                <w:rFonts w:ascii="Arial" w:eastAsia="Times New Roman" w:hAnsi="Arial" w:cs="Arial"/>
                <w:color w:val="000000"/>
                <w:sz w:val="18"/>
                <w:szCs w:val="18"/>
                <w:lang w:eastAsia="sl-SI"/>
              </w:rPr>
            </w:pPr>
            <w:r w:rsidRPr="002343CE">
              <w:rPr>
                <w:rFonts w:ascii="Arial" w:eastAsia="Times New Roman" w:hAnsi="Arial" w:cs="Arial"/>
                <w:color w:val="000000"/>
                <w:sz w:val="18"/>
                <w:szCs w:val="18"/>
                <w:lang w:eastAsia="sl-SI"/>
              </w:rPr>
              <w:t>Št. proračunskih uporabnikov</w:t>
            </w:r>
          </w:p>
        </w:tc>
        <w:tc>
          <w:tcPr>
            <w:tcW w:w="62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CD84379" w14:textId="77777777" w:rsidR="00E3750C" w:rsidRPr="002343CE" w:rsidRDefault="00E3750C" w:rsidP="00047864">
            <w:pPr>
              <w:spacing w:after="0" w:line="240" w:lineRule="auto"/>
              <w:jc w:val="center"/>
              <w:rPr>
                <w:rFonts w:ascii="Arial" w:eastAsia="Times New Roman" w:hAnsi="Arial" w:cs="Arial"/>
                <w:color w:val="000000"/>
                <w:sz w:val="18"/>
                <w:szCs w:val="18"/>
                <w:lang w:eastAsia="sl-SI"/>
              </w:rPr>
            </w:pPr>
            <w:r w:rsidRPr="002343CE">
              <w:rPr>
                <w:rFonts w:ascii="Arial" w:eastAsia="Times New Roman" w:hAnsi="Arial" w:cs="Arial"/>
                <w:color w:val="000000"/>
                <w:sz w:val="18"/>
                <w:szCs w:val="18"/>
                <w:lang w:eastAsia="sl-SI"/>
              </w:rPr>
              <w:t>Št. naročil</w:t>
            </w:r>
          </w:p>
        </w:tc>
        <w:tc>
          <w:tcPr>
            <w:tcW w:w="117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FA12790" w14:textId="77777777" w:rsidR="00E3750C" w:rsidRPr="002343CE" w:rsidRDefault="00E3750C" w:rsidP="00047864">
            <w:pPr>
              <w:spacing w:after="0" w:line="240" w:lineRule="auto"/>
              <w:jc w:val="center"/>
              <w:rPr>
                <w:rFonts w:ascii="Arial" w:eastAsia="Times New Roman" w:hAnsi="Arial" w:cs="Arial"/>
                <w:color w:val="000000"/>
                <w:sz w:val="18"/>
                <w:szCs w:val="18"/>
                <w:lang w:eastAsia="sl-SI"/>
              </w:rPr>
            </w:pPr>
            <w:r w:rsidRPr="002343CE">
              <w:rPr>
                <w:rFonts w:ascii="Arial" w:eastAsia="Times New Roman" w:hAnsi="Arial" w:cs="Arial"/>
                <w:color w:val="000000"/>
                <w:sz w:val="18"/>
                <w:szCs w:val="18"/>
                <w:lang w:eastAsia="sl-SI"/>
              </w:rPr>
              <w:t>Pogodbena vrednost</w:t>
            </w:r>
          </w:p>
        </w:tc>
        <w:tc>
          <w:tcPr>
            <w:tcW w:w="69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4779867" w14:textId="77777777" w:rsidR="00E3750C" w:rsidRPr="002343CE" w:rsidRDefault="00E3750C" w:rsidP="00047864">
            <w:pPr>
              <w:spacing w:after="0" w:line="240" w:lineRule="auto"/>
              <w:jc w:val="center"/>
              <w:rPr>
                <w:rFonts w:ascii="Arial" w:eastAsia="Times New Roman" w:hAnsi="Arial" w:cs="Arial"/>
                <w:color w:val="000000"/>
                <w:sz w:val="18"/>
                <w:szCs w:val="18"/>
                <w:lang w:eastAsia="sl-SI"/>
              </w:rPr>
            </w:pPr>
            <w:r w:rsidRPr="002343CE">
              <w:rPr>
                <w:rFonts w:ascii="Arial" w:eastAsia="Times New Roman" w:hAnsi="Arial" w:cs="Arial"/>
                <w:color w:val="000000"/>
                <w:sz w:val="18"/>
                <w:szCs w:val="18"/>
                <w:lang w:eastAsia="sl-SI"/>
              </w:rPr>
              <w:t>Delež v št. naročil</w:t>
            </w:r>
          </w:p>
        </w:tc>
        <w:tc>
          <w:tcPr>
            <w:tcW w:w="700"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B1E8023" w14:textId="77777777" w:rsidR="00E3750C" w:rsidRPr="002343CE" w:rsidRDefault="00E3750C" w:rsidP="00047864">
            <w:pPr>
              <w:spacing w:after="0" w:line="240" w:lineRule="auto"/>
              <w:jc w:val="center"/>
              <w:rPr>
                <w:rFonts w:ascii="Arial" w:eastAsia="Times New Roman" w:hAnsi="Arial" w:cs="Arial"/>
                <w:color w:val="000000"/>
                <w:sz w:val="18"/>
                <w:szCs w:val="18"/>
                <w:lang w:eastAsia="sl-SI"/>
              </w:rPr>
            </w:pPr>
            <w:r w:rsidRPr="002343CE">
              <w:rPr>
                <w:rFonts w:ascii="Arial" w:eastAsia="Times New Roman" w:hAnsi="Arial" w:cs="Arial"/>
                <w:color w:val="000000"/>
                <w:sz w:val="18"/>
                <w:szCs w:val="18"/>
                <w:lang w:eastAsia="sl-SI"/>
              </w:rPr>
              <w:t>Delež v vrednosti</w:t>
            </w:r>
          </w:p>
        </w:tc>
      </w:tr>
      <w:tr w:rsidR="00E3750C" w:rsidRPr="002343CE" w14:paraId="29D007B5" w14:textId="77777777" w:rsidTr="00047864">
        <w:trPr>
          <w:trHeight w:val="255"/>
        </w:trPr>
        <w:tc>
          <w:tcPr>
            <w:tcW w:w="743" w:type="pct"/>
            <w:tcBorders>
              <w:top w:val="nil"/>
              <w:left w:val="single" w:sz="4" w:space="0" w:color="auto"/>
              <w:bottom w:val="single" w:sz="4" w:space="0" w:color="auto"/>
              <w:right w:val="single" w:sz="4" w:space="0" w:color="auto"/>
            </w:tcBorders>
            <w:shd w:val="clear" w:color="auto" w:fill="auto"/>
            <w:vAlign w:val="center"/>
            <w:hideMark/>
          </w:tcPr>
          <w:p w14:paraId="5A538F55" w14:textId="77777777" w:rsidR="00E3750C" w:rsidRPr="002343CE" w:rsidRDefault="00E3750C" w:rsidP="00047864">
            <w:pPr>
              <w:spacing w:after="0" w:line="240" w:lineRule="auto"/>
              <w:rPr>
                <w:rFonts w:ascii="Arial" w:eastAsia="Times New Roman" w:hAnsi="Arial" w:cs="Arial"/>
                <w:color w:val="000000"/>
                <w:sz w:val="18"/>
                <w:szCs w:val="18"/>
                <w:lang w:eastAsia="sl-SI"/>
              </w:rPr>
            </w:pPr>
            <w:r w:rsidRPr="002343CE">
              <w:rPr>
                <w:rFonts w:ascii="Arial" w:eastAsia="Times New Roman" w:hAnsi="Arial" w:cs="Arial"/>
                <w:color w:val="000000"/>
                <w:sz w:val="18"/>
                <w:szCs w:val="18"/>
                <w:lang w:eastAsia="sl-SI"/>
              </w:rPr>
              <w:t>Blago</w:t>
            </w:r>
          </w:p>
        </w:tc>
        <w:tc>
          <w:tcPr>
            <w:tcW w:w="1061" w:type="pct"/>
            <w:tcBorders>
              <w:top w:val="nil"/>
              <w:left w:val="nil"/>
              <w:bottom w:val="single" w:sz="4" w:space="0" w:color="auto"/>
              <w:right w:val="single" w:sz="4" w:space="0" w:color="auto"/>
            </w:tcBorders>
            <w:shd w:val="clear" w:color="auto" w:fill="auto"/>
            <w:vAlign w:val="center"/>
            <w:hideMark/>
          </w:tcPr>
          <w:p w14:paraId="52AE9ED9" w14:textId="77777777" w:rsidR="00E3750C" w:rsidRPr="002343CE" w:rsidRDefault="00E3750C" w:rsidP="00047864">
            <w:pPr>
              <w:spacing w:after="0" w:line="240" w:lineRule="auto"/>
              <w:jc w:val="right"/>
              <w:rPr>
                <w:rFonts w:ascii="Arial" w:eastAsia="Times New Roman" w:hAnsi="Arial" w:cs="Arial"/>
                <w:color w:val="000000"/>
                <w:sz w:val="18"/>
                <w:szCs w:val="18"/>
                <w:lang w:eastAsia="sl-SI"/>
              </w:rPr>
            </w:pPr>
            <w:r w:rsidRPr="002343CE">
              <w:rPr>
                <w:rFonts w:ascii="Arial" w:hAnsi="Arial" w:cs="Arial"/>
                <w:color w:val="000000"/>
                <w:sz w:val="18"/>
                <w:szCs w:val="18"/>
              </w:rPr>
              <w:t>485</w:t>
            </w:r>
          </w:p>
        </w:tc>
        <w:tc>
          <w:tcPr>
            <w:tcW w:w="626" w:type="pct"/>
            <w:tcBorders>
              <w:top w:val="nil"/>
              <w:left w:val="nil"/>
              <w:bottom w:val="single" w:sz="4" w:space="0" w:color="auto"/>
              <w:right w:val="single" w:sz="4" w:space="0" w:color="auto"/>
            </w:tcBorders>
            <w:shd w:val="clear" w:color="auto" w:fill="auto"/>
            <w:vAlign w:val="center"/>
            <w:hideMark/>
          </w:tcPr>
          <w:p w14:paraId="1010C50D" w14:textId="77777777" w:rsidR="00E3750C" w:rsidRPr="002343CE" w:rsidRDefault="00E3750C" w:rsidP="00047864">
            <w:pPr>
              <w:spacing w:after="0" w:line="240" w:lineRule="auto"/>
              <w:jc w:val="right"/>
              <w:rPr>
                <w:rFonts w:ascii="Arial" w:eastAsia="Times New Roman" w:hAnsi="Arial" w:cs="Arial"/>
                <w:color w:val="000000"/>
                <w:sz w:val="18"/>
                <w:szCs w:val="18"/>
                <w:lang w:eastAsia="sl-SI"/>
              </w:rPr>
            </w:pPr>
            <w:r w:rsidRPr="002343CE">
              <w:rPr>
                <w:rFonts w:ascii="Arial" w:hAnsi="Arial" w:cs="Arial"/>
                <w:color w:val="000000"/>
                <w:sz w:val="18"/>
                <w:szCs w:val="18"/>
              </w:rPr>
              <w:t>9.576</w:t>
            </w:r>
          </w:p>
        </w:tc>
        <w:tc>
          <w:tcPr>
            <w:tcW w:w="1171" w:type="pct"/>
            <w:tcBorders>
              <w:top w:val="nil"/>
              <w:left w:val="nil"/>
              <w:bottom w:val="single" w:sz="4" w:space="0" w:color="auto"/>
              <w:right w:val="single" w:sz="4" w:space="0" w:color="auto"/>
            </w:tcBorders>
            <w:shd w:val="clear" w:color="auto" w:fill="auto"/>
            <w:vAlign w:val="center"/>
            <w:hideMark/>
          </w:tcPr>
          <w:p w14:paraId="6E642B82" w14:textId="77777777" w:rsidR="00E3750C" w:rsidRPr="002343CE" w:rsidRDefault="00E3750C" w:rsidP="00047864">
            <w:pPr>
              <w:spacing w:after="0" w:line="240" w:lineRule="auto"/>
              <w:jc w:val="right"/>
              <w:rPr>
                <w:rFonts w:ascii="Arial" w:eastAsia="Times New Roman" w:hAnsi="Arial" w:cs="Arial"/>
                <w:color w:val="000000"/>
                <w:sz w:val="18"/>
                <w:szCs w:val="18"/>
                <w:lang w:eastAsia="sl-SI"/>
              </w:rPr>
            </w:pPr>
            <w:r w:rsidRPr="002343CE">
              <w:rPr>
                <w:rFonts w:ascii="Arial" w:hAnsi="Arial" w:cs="Arial"/>
                <w:color w:val="000000"/>
                <w:sz w:val="18"/>
                <w:szCs w:val="18"/>
              </w:rPr>
              <w:t>1.193.197.731</w:t>
            </w:r>
          </w:p>
        </w:tc>
        <w:tc>
          <w:tcPr>
            <w:tcW w:w="698" w:type="pct"/>
            <w:tcBorders>
              <w:top w:val="nil"/>
              <w:left w:val="nil"/>
              <w:bottom w:val="single" w:sz="4" w:space="0" w:color="auto"/>
              <w:right w:val="single" w:sz="4" w:space="0" w:color="auto"/>
            </w:tcBorders>
            <w:shd w:val="clear" w:color="auto" w:fill="auto"/>
            <w:noWrap/>
            <w:vAlign w:val="center"/>
            <w:hideMark/>
          </w:tcPr>
          <w:p w14:paraId="13E60561" w14:textId="77777777" w:rsidR="00E3750C" w:rsidRPr="002343CE" w:rsidRDefault="00E3750C" w:rsidP="00047864">
            <w:pPr>
              <w:spacing w:after="0" w:line="240" w:lineRule="auto"/>
              <w:jc w:val="right"/>
              <w:rPr>
                <w:rFonts w:ascii="Arial" w:eastAsia="Times New Roman" w:hAnsi="Arial" w:cs="Arial"/>
                <w:color w:val="000000"/>
                <w:sz w:val="18"/>
                <w:szCs w:val="18"/>
                <w:lang w:eastAsia="sl-SI"/>
              </w:rPr>
            </w:pPr>
            <w:r w:rsidRPr="002343CE">
              <w:rPr>
                <w:rFonts w:ascii="Arial" w:hAnsi="Arial" w:cs="Arial"/>
                <w:color w:val="000000"/>
                <w:sz w:val="18"/>
                <w:szCs w:val="18"/>
              </w:rPr>
              <w:t>70,06 %</w:t>
            </w:r>
          </w:p>
        </w:tc>
        <w:tc>
          <w:tcPr>
            <w:tcW w:w="700" w:type="pct"/>
            <w:tcBorders>
              <w:top w:val="nil"/>
              <w:left w:val="nil"/>
              <w:bottom w:val="single" w:sz="4" w:space="0" w:color="auto"/>
              <w:right w:val="single" w:sz="4" w:space="0" w:color="auto"/>
            </w:tcBorders>
            <w:shd w:val="clear" w:color="auto" w:fill="auto"/>
            <w:noWrap/>
            <w:vAlign w:val="center"/>
            <w:hideMark/>
          </w:tcPr>
          <w:p w14:paraId="7A69041F" w14:textId="77777777" w:rsidR="00E3750C" w:rsidRPr="002343CE" w:rsidRDefault="00E3750C" w:rsidP="00047864">
            <w:pPr>
              <w:spacing w:after="0" w:line="240" w:lineRule="auto"/>
              <w:jc w:val="right"/>
              <w:rPr>
                <w:rFonts w:ascii="Arial" w:eastAsia="Times New Roman" w:hAnsi="Arial" w:cs="Arial"/>
                <w:color w:val="000000"/>
                <w:sz w:val="18"/>
                <w:szCs w:val="18"/>
                <w:lang w:eastAsia="sl-SI"/>
              </w:rPr>
            </w:pPr>
            <w:r w:rsidRPr="002343CE">
              <w:rPr>
                <w:rFonts w:ascii="Arial" w:hAnsi="Arial" w:cs="Arial"/>
                <w:color w:val="000000"/>
                <w:sz w:val="18"/>
                <w:szCs w:val="18"/>
              </w:rPr>
              <w:t>30,77 %</w:t>
            </w:r>
          </w:p>
        </w:tc>
      </w:tr>
      <w:tr w:rsidR="00E3750C" w:rsidRPr="002343CE" w14:paraId="430746A6" w14:textId="77777777" w:rsidTr="00047864">
        <w:trPr>
          <w:trHeight w:val="255"/>
        </w:trPr>
        <w:tc>
          <w:tcPr>
            <w:tcW w:w="743" w:type="pct"/>
            <w:tcBorders>
              <w:top w:val="nil"/>
              <w:left w:val="single" w:sz="4" w:space="0" w:color="auto"/>
              <w:bottom w:val="single" w:sz="4" w:space="0" w:color="auto"/>
              <w:right w:val="single" w:sz="4" w:space="0" w:color="auto"/>
            </w:tcBorders>
            <w:shd w:val="clear" w:color="auto" w:fill="auto"/>
            <w:vAlign w:val="center"/>
            <w:hideMark/>
          </w:tcPr>
          <w:p w14:paraId="2CC47AB4" w14:textId="77777777" w:rsidR="00E3750C" w:rsidRPr="002343CE" w:rsidRDefault="00E3750C" w:rsidP="00047864">
            <w:pPr>
              <w:spacing w:after="0" w:line="240" w:lineRule="auto"/>
              <w:rPr>
                <w:rFonts w:ascii="Arial" w:eastAsia="Times New Roman" w:hAnsi="Arial" w:cs="Arial"/>
                <w:color w:val="000000"/>
                <w:sz w:val="18"/>
                <w:szCs w:val="18"/>
                <w:lang w:eastAsia="sl-SI"/>
              </w:rPr>
            </w:pPr>
            <w:r w:rsidRPr="002343CE">
              <w:rPr>
                <w:rFonts w:ascii="Arial" w:eastAsia="Times New Roman" w:hAnsi="Arial" w:cs="Arial"/>
                <w:color w:val="000000"/>
                <w:sz w:val="18"/>
                <w:szCs w:val="18"/>
                <w:lang w:eastAsia="sl-SI"/>
              </w:rPr>
              <w:t>Storitve</w:t>
            </w:r>
          </w:p>
        </w:tc>
        <w:tc>
          <w:tcPr>
            <w:tcW w:w="1061" w:type="pct"/>
            <w:tcBorders>
              <w:top w:val="nil"/>
              <w:left w:val="nil"/>
              <w:bottom w:val="single" w:sz="4" w:space="0" w:color="auto"/>
              <w:right w:val="single" w:sz="4" w:space="0" w:color="auto"/>
            </w:tcBorders>
            <w:shd w:val="clear" w:color="auto" w:fill="auto"/>
            <w:vAlign w:val="center"/>
            <w:hideMark/>
          </w:tcPr>
          <w:p w14:paraId="08A41DF7" w14:textId="77777777" w:rsidR="00E3750C" w:rsidRPr="002343CE" w:rsidRDefault="00E3750C" w:rsidP="00047864">
            <w:pPr>
              <w:spacing w:after="0" w:line="240" w:lineRule="auto"/>
              <w:jc w:val="right"/>
              <w:rPr>
                <w:rFonts w:ascii="Arial" w:eastAsia="Times New Roman" w:hAnsi="Arial" w:cs="Arial"/>
                <w:color w:val="000000"/>
                <w:sz w:val="18"/>
                <w:szCs w:val="18"/>
                <w:lang w:eastAsia="sl-SI"/>
              </w:rPr>
            </w:pPr>
            <w:r w:rsidRPr="002343CE">
              <w:rPr>
                <w:rFonts w:ascii="Arial" w:hAnsi="Arial" w:cs="Arial"/>
                <w:color w:val="000000"/>
                <w:sz w:val="18"/>
                <w:szCs w:val="18"/>
              </w:rPr>
              <w:t>369</w:t>
            </w:r>
          </w:p>
        </w:tc>
        <w:tc>
          <w:tcPr>
            <w:tcW w:w="626" w:type="pct"/>
            <w:tcBorders>
              <w:top w:val="nil"/>
              <w:left w:val="nil"/>
              <w:bottom w:val="single" w:sz="4" w:space="0" w:color="auto"/>
              <w:right w:val="single" w:sz="4" w:space="0" w:color="auto"/>
            </w:tcBorders>
            <w:shd w:val="clear" w:color="auto" w:fill="auto"/>
            <w:vAlign w:val="center"/>
            <w:hideMark/>
          </w:tcPr>
          <w:p w14:paraId="1B1E46A7" w14:textId="77777777" w:rsidR="00E3750C" w:rsidRPr="002343CE" w:rsidRDefault="00E3750C" w:rsidP="00047864">
            <w:pPr>
              <w:spacing w:after="0" w:line="240" w:lineRule="auto"/>
              <w:jc w:val="right"/>
              <w:rPr>
                <w:rFonts w:ascii="Arial" w:eastAsia="Times New Roman" w:hAnsi="Arial" w:cs="Arial"/>
                <w:color w:val="000000"/>
                <w:sz w:val="18"/>
                <w:szCs w:val="18"/>
                <w:lang w:eastAsia="sl-SI"/>
              </w:rPr>
            </w:pPr>
            <w:r w:rsidRPr="002343CE">
              <w:rPr>
                <w:rFonts w:ascii="Arial" w:hAnsi="Arial" w:cs="Arial"/>
                <w:color w:val="000000"/>
                <w:sz w:val="18"/>
                <w:szCs w:val="18"/>
              </w:rPr>
              <w:t>2.704</w:t>
            </w:r>
          </w:p>
        </w:tc>
        <w:tc>
          <w:tcPr>
            <w:tcW w:w="1171" w:type="pct"/>
            <w:tcBorders>
              <w:top w:val="nil"/>
              <w:left w:val="nil"/>
              <w:bottom w:val="single" w:sz="4" w:space="0" w:color="auto"/>
              <w:right w:val="single" w:sz="4" w:space="0" w:color="auto"/>
            </w:tcBorders>
            <w:shd w:val="clear" w:color="auto" w:fill="auto"/>
            <w:vAlign w:val="center"/>
            <w:hideMark/>
          </w:tcPr>
          <w:p w14:paraId="738937CD" w14:textId="77777777" w:rsidR="00E3750C" w:rsidRPr="002343CE" w:rsidRDefault="00E3750C" w:rsidP="00047864">
            <w:pPr>
              <w:spacing w:after="0" w:line="240" w:lineRule="auto"/>
              <w:jc w:val="right"/>
              <w:rPr>
                <w:rFonts w:ascii="Arial" w:eastAsia="Times New Roman" w:hAnsi="Arial" w:cs="Arial"/>
                <w:color w:val="000000"/>
                <w:sz w:val="18"/>
                <w:szCs w:val="18"/>
                <w:lang w:eastAsia="sl-SI"/>
              </w:rPr>
            </w:pPr>
            <w:r w:rsidRPr="002343CE">
              <w:rPr>
                <w:rFonts w:ascii="Arial" w:hAnsi="Arial" w:cs="Arial"/>
                <w:color w:val="000000"/>
                <w:sz w:val="18"/>
                <w:szCs w:val="18"/>
              </w:rPr>
              <w:t>1.171.586.076</w:t>
            </w:r>
          </w:p>
        </w:tc>
        <w:tc>
          <w:tcPr>
            <w:tcW w:w="698" w:type="pct"/>
            <w:tcBorders>
              <w:top w:val="nil"/>
              <w:left w:val="nil"/>
              <w:bottom w:val="single" w:sz="4" w:space="0" w:color="auto"/>
              <w:right w:val="single" w:sz="4" w:space="0" w:color="auto"/>
            </w:tcBorders>
            <w:shd w:val="clear" w:color="auto" w:fill="auto"/>
            <w:noWrap/>
            <w:vAlign w:val="center"/>
            <w:hideMark/>
          </w:tcPr>
          <w:p w14:paraId="722EAA15" w14:textId="77777777" w:rsidR="00E3750C" w:rsidRPr="002343CE" w:rsidRDefault="00E3750C" w:rsidP="00047864">
            <w:pPr>
              <w:spacing w:after="0" w:line="240" w:lineRule="auto"/>
              <w:jc w:val="right"/>
              <w:rPr>
                <w:rFonts w:ascii="Arial" w:eastAsia="Times New Roman" w:hAnsi="Arial" w:cs="Arial"/>
                <w:color w:val="000000"/>
                <w:sz w:val="18"/>
                <w:szCs w:val="18"/>
                <w:lang w:eastAsia="sl-SI"/>
              </w:rPr>
            </w:pPr>
            <w:r w:rsidRPr="002343CE">
              <w:rPr>
                <w:rFonts w:ascii="Arial" w:hAnsi="Arial" w:cs="Arial"/>
                <w:color w:val="000000"/>
                <w:sz w:val="18"/>
                <w:szCs w:val="18"/>
              </w:rPr>
              <w:t>19,78 %</w:t>
            </w:r>
          </w:p>
        </w:tc>
        <w:tc>
          <w:tcPr>
            <w:tcW w:w="700" w:type="pct"/>
            <w:tcBorders>
              <w:top w:val="nil"/>
              <w:left w:val="nil"/>
              <w:bottom w:val="single" w:sz="4" w:space="0" w:color="auto"/>
              <w:right w:val="single" w:sz="4" w:space="0" w:color="auto"/>
            </w:tcBorders>
            <w:shd w:val="clear" w:color="auto" w:fill="auto"/>
            <w:noWrap/>
            <w:vAlign w:val="center"/>
            <w:hideMark/>
          </w:tcPr>
          <w:p w14:paraId="033FD627" w14:textId="77777777" w:rsidR="00E3750C" w:rsidRPr="002343CE" w:rsidRDefault="00E3750C" w:rsidP="00047864">
            <w:pPr>
              <w:spacing w:after="0" w:line="240" w:lineRule="auto"/>
              <w:jc w:val="right"/>
              <w:rPr>
                <w:rFonts w:ascii="Arial" w:eastAsia="Times New Roman" w:hAnsi="Arial" w:cs="Arial"/>
                <w:color w:val="000000"/>
                <w:sz w:val="18"/>
                <w:szCs w:val="18"/>
                <w:lang w:eastAsia="sl-SI"/>
              </w:rPr>
            </w:pPr>
            <w:r w:rsidRPr="002343CE">
              <w:rPr>
                <w:rFonts w:ascii="Arial" w:hAnsi="Arial" w:cs="Arial"/>
                <w:color w:val="000000"/>
                <w:sz w:val="18"/>
                <w:szCs w:val="18"/>
              </w:rPr>
              <w:t>30,21 %</w:t>
            </w:r>
          </w:p>
        </w:tc>
      </w:tr>
      <w:tr w:rsidR="00E3750C" w:rsidRPr="002343CE" w14:paraId="70F53A2A" w14:textId="77777777" w:rsidTr="00047864">
        <w:trPr>
          <w:trHeight w:val="255"/>
        </w:trPr>
        <w:tc>
          <w:tcPr>
            <w:tcW w:w="743" w:type="pct"/>
            <w:tcBorders>
              <w:top w:val="nil"/>
              <w:left w:val="single" w:sz="4" w:space="0" w:color="auto"/>
              <w:bottom w:val="single" w:sz="4" w:space="0" w:color="auto"/>
              <w:right w:val="single" w:sz="4" w:space="0" w:color="auto"/>
            </w:tcBorders>
            <w:shd w:val="clear" w:color="auto" w:fill="auto"/>
            <w:vAlign w:val="center"/>
            <w:hideMark/>
          </w:tcPr>
          <w:p w14:paraId="092E15CB" w14:textId="77777777" w:rsidR="00E3750C" w:rsidRPr="002343CE" w:rsidRDefault="00E3750C" w:rsidP="00047864">
            <w:pPr>
              <w:spacing w:after="0" w:line="240" w:lineRule="auto"/>
              <w:rPr>
                <w:rFonts w:ascii="Arial" w:eastAsia="Times New Roman" w:hAnsi="Arial" w:cs="Arial"/>
                <w:color w:val="000000"/>
                <w:sz w:val="18"/>
                <w:szCs w:val="18"/>
                <w:lang w:eastAsia="sl-SI"/>
              </w:rPr>
            </w:pPr>
            <w:r w:rsidRPr="002343CE">
              <w:rPr>
                <w:rFonts w:ascii="Arial" w:eastAsia="Times New Roman" w:hAnsi="Arial" w:cs="Arial"/>
                <w:color w:val="000000"/>
                <w:sz w:val="18"/>
                <w:szCs w:val="18"/>
                <w:lang w:eastAsia="sl-SI"/>
              </w:rPr>
              <w:t>Gradnje</w:t>
            </w:r>
          </w:p>
        </w:tc>
        <w:tc>
          <w:tcPr>
            <w:tcW w:w="1061" w:type="pct"/>
            <w:tcBorders>
              <w:top w:val="nil"/>
              <w:left w:val="nil"/>
              <w:bottom w:val="single" w:sz="4" w:space="0" w:color="auto"/>
              <w:right w:val="single" w:sz="4" w:space="0" w:color="auto"/>
            </w:tcBorders>
            <w:shd w:val="clear" w:color="auto" w:fill="auto"/>
            <w:vAlign w:val="center"/>
            <w:hideMark/>
          </w:tcPr>
          <w:p w14:paraId="4806BBCD" w14:textId="77777777" w:rsidR="00E3750C" w:rsidRPr="002343CE" w:rsidRDefault="00E3750C" w:rsidP="00047864">
            <w:pPr>
              <w:spacing w:after="0" w:line="240" w:lineRule="auto"/>
              <w:jc w:val="right"/>
              <w:rPr>
                <w:rFonts w:ascii="Arial" w:eastAsia="Times New Roman" w:hAnsi="Arial" w:cs="Arial"/>
                <w:color w:val="000000"/>
                <w:sz w:val="18"/>
                <w:szCs w:val="18"/>
                <w:lang w:eastAsia="sl-SI"/>
              </w:rPr>
            </w:pPr>
            <w:r w:rsidRPr="002343CE">
              <w:rPr>
                <w:rFonts w:ascii="Arial" w:hAnsi="Arial" w:cs="Arial"/>
                <w:color w:val="000000"/>
                <w:sz w:val="18"/>
                <w:szCs w:val="18"/>
              </w:rPr>
              <w:t>314</w:t>
            </w:r>
          </w:p>
        </w:tc>
        <w:tc>
          <w:tcPr>
            <w:tcW w:w="626" w:type="pct"/>
            <w:tcBorders>
              <w:top w:val="nil"/>
              <w:left w:val="nil"/>
              <w:bottom w:val="single" w:sz="4" w:space="0" w:color="auto"/>
              <w:right w:val="single" w:sz="4" w:space="0" w:color="auto"/>
            </w:tcBorders>
            <w:shd w:val="clear" w:color="auto" w:fill="auto"/>
            <w:vAlign w:val="center"/>
            <w:hideMark/>
          </w:tcPr>
          <w:p w14:paraId="455F8402" w14:textId="77777777" w:rsidR="00E3750C" w:rsidRPr="002343CE" w:rsidRDefault="00E3750C" w:rsidP="00047864">
            <w:pPr>
              <w:spacing w:after="0" w:line="240" w:lineRule="auto"/>
              <w:jc w:val="right"/>
              <w:rPr>
                <w:rFonts w:ascii="Arial" w:eastAsia="Times New Roman" w:hAnsi="Arial" w:cs="Arial"/>
                <w:color w:val="000000"/>
                <w:sz w:val="18"/>
                <w:szCs w:val="18"/>
                <w:lang w:eastAsia="sl-SI"/>
              </w:rPr>
            </w:pPr>
            <w:r w:rsidRPr="002343CE">
              <w:rPr>
                <w:rFonts w:ascii="Arial" w:hAnsi="Arial" w:cs="Arial"/>
                <w:color w:val="000000"/>
                <w:sz w:val="18"/>
                <w:szCs w:val="18"/>
              </w:rPr>
              <w:t>1.389</w:t>
            </w:r>
          </w:p>
        </w:tc>
        <w:tc>
          <w:tcPr>
            <w:tcW w:w="1171" w:type="pct"/>
            <w:tcBorders>
              <w:top w:val="nil"/>
              <w:left w:val="nil"/>
              <w:bottom w:val="single" w:sz="4" w:space="0" w:color="auto"/>
              <w:right w:val="single" w:sz="4" w:space="0" w:color="auto"/>
            </w:tcBorders>
            <w:shd w:val="clear" w:color="auto" w:fill="auto"/>
            <w:vAlign w:val="center"/>
            <w:hideMark/>
          </w:tcPr>
          <w:p w14:paraId="7C582713" w14:textId="77777777" w:rsidR="00E3750C" w:rsidRPr="002343CE" w:rsidRDefault="00E3750C" w:rsidP="00047864">
            <w:pPr>
              <w:spacing w:after="0" w:line="240" w:lineRule="auto"/>
              <w:jc w:val="right"/>
              <w:rPr>
                <w:rFonts w:ascii="Arial" w:eastAsia="Times New Roman" w:hAnsi="Arial" w:cs="Arial"/>
                <w:color w:val="000000"/>
                <w:sz w:val="18"/>
                <w:szCs w:val="18"/>
                <w:lang w:eastAsia="sl-SI"/>
              </w:rPr>
            </w:pPr>
            <w:r w:rsidRPr="002343CE">
              <w:rPr>
                <w:rFonts w:ascii="Arial" w:hAnsi="Arial" w:cs="Arial"/>
                <w:color w:val="000000"/>
                <w:sz w:val="18"/>
                <w:szCs w:val="18"/>
              </w:rPr>
              <w:t>1.512.790.071</w:t>
            </w:r>
          </w:p>
        </w:tc>
        <w:tc>
          <w:tcPr>
            <w:tcW w:w="698" w:type="pct"/>
            <w:tcBorders>
              <w:top w:val="nil"/>
              <w:left w:val="nil"/>
              <w:bottom w:val="single" w:sz="4" w:space="0" w:color="auto"/>
              <w:right w:val="single" w:sz="4" w:space="0" w:color="auto"/>
            </w:tcBorders>
            <w:shd w:val="clear" w:color="auto" w:fill="auto"/>
            <w:noWrap/>
            <w:vAlign w:val="center"/>
            <w:hideMark/>
          </w:tcPr>
          <w:p w14:paraId="5CE008C0" w14:textId="77777777" w:rsidR="00E3750C" w:rsidRPr="002343CE" w:rsidRDefault="00E3750C" w:rsidP="00047864">
            <w:pPr>
              <w:spacing w:after="0" w:line="240" w:lineRule="auto"/>
              <w:jc w:val="right"/>
              <w:rPr>
                <w:rFonts w:ascii="Arial" w:eastAsia="Times New Roman" w:hAnsi="Arial" w:cs="Arial"/>
                <w:color w:val="000000"/>
                <w:sz w:val="18"/>
                <w:szCs w:val="18"/>
                <w:lang w:eastAsia="sl-SI"/>
              </w:rPr>
            </w:pPr>
            <w:r w:rsidRPr="002343CE">
              <w:rPr>
                <w:rFonts w:ascii="Arial" w:hAnsi="Arial" w:cs="Arial"/>
                <w:color w:val="000000"/>
                <w:sz w:val="18"/>
                <w:szCs w:val="18"/>
              </w:rPr>
              <w:t>10,16 %</w:t>
            </w:r>
          </w:p>
        </w:tc>
        <w:tc>
          <w:tcPr>
            <w:tcW w:w="700" w:type="pct"/>
            <w:tcBorders>
              <w:top w:val="nil"/>
              <w:left w:val="nil"/>
              <w:bottom w:val="single" w:sz="4" w:space="0" w:color="auto"/>
              <w:right w:val="single" w:sz="4" w:space="0" w:color="auto"/>
            </w:tcBorders>
            <w:shd w:val="clear" w:color="auto" w:fill="auto"/>
            <w:noWrap/>
            <w:vAlign w:val="center"/>
            <w:hideMark/>
          </w:tcPr>
          <w:p w14:paraId="19BC898A" w14:textId="77777777" w:rsidR="00E3750C" w:rsidRPr="002343CE" w:rsidRDefault="00E3750C" w:rsidP="00047864">
            <w:pPr>
              <w:spacing w:after="0" w:line="240" w:lineRule="auto"/>
              <w:jc w:val="right"/>
              <w:rPr>
                <w:rFonts w:ascii="Arial" w:eastAsia="Times New Roman" w:hAnsi="Arial" w:cs="Arial"/>
                <w:color w:val="000000"/>
                <w:sz w:val="18"/>
                <w:szCs w:val="18"/>
                <w:lang w:eastAsia="sl-SI"/>
              </w:rPr>
            </w:pPr>
            <w:r w:rsidRPr="002343CE">
              <w:rPr>
                <w:rFonts w:ascii="Arial" w:hAnsi="Arial" w:cs="Arial"/>
                <w:color w:val="000000"/>
                <w:sz w:val="18"/>
                <w:szCs w:val="18"/>
              </w:rPr>
              <w:t>39,01 %</w:t>
            </w:r>
          </w:p>
        </w:tc>
      </w:tr>
      <w:tr w:rsidR="00E3750C" w:rsidRPr="002343CE" w14:paraId="5E580C0A" w14:textId="77777777" w:rsidTr="00047864">
        <w:trPr>
          <w:trHeight w:val="255"/>
        </w:trPr>
        <w:tc>
          <w:tcPr>
            <w:tcW w:w="7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AC53E98" w14:textId="77777777" w:rsidR="00E3750C" w:rsidRPr="002343CE" w:rsidRDefault="00E3750C" w:rsidP="00047864">
            <w:pPr>
              <w:spacing w:after="0" w:line="240" w:lineRule="auto"/>
              <w:rPr>
                <w:rFonts w:ascii="Arial" w:eastAsia="Times New Roman" w:hAnsi="Arial" w:cs="Arial"/>
                <w:b/>
                <w:bCs/>
                <w:color w:val="000000"/>
                <w:sz w:val="18"/>
                <w:szCs w:val="18"/>
                <w:lang w:eastAsia="sl-SI"/>
              </w:rPr>
            </w:pPr>
            <w:r w:rsidRPr="002343CE">
              <w:rPr>
                <w:rFonts w:ascii="Arial" w:eastAsia="Times New Roman" w:hAnsi="Arial" w:cs="Arial"/>
                <w:b/>
                <w:bCs/>
                <w:color w:val="000000"/>
                <w:sz w:val="18"/>
                <w:szCs w:val="18"/>
                <w:lang w:eastAsia="sl-SI"/>
              </w:rPr>
              <w:t>Skupaj</w:t>
            </w:r>
          </w:p>
        </w:tc>
        <w:tc>
          <w:tcPr>
            <w:tcW w:w="1061" w:type="pct"/>
            <w:tcBorders>
              <w:top w:val="nil"/>
              <w:left w:val="nil"/>
              <w:bottom w:val="single" w:sz="4" w:space="0" w:color="auto"/>
              <w:right w:val="single" w:sz="4" w:space="0" w:color="auto"/>
            </w:tcBorders>
            <w:shd w:val="clear" w:color="auto" w:fill="F2F2F2" w:themeFill="background1" w:themeFillShade="F2"/>
            <w:noWrap/>
            <w:vAlign w:val="center"/>
            <w:hideMark/>
          </w:tcPr>
          <w:p w14:paraId="4BFEFEE5" w14:textId="77777777" w:rsidR="00E3750C" w:rsidRPr="002343CE" w:rsidRDefault="00E3750C" w:rsidP="00047864">
            <w:pPr>
              <w:spacing w:after="0" w:line="240" w:lineRule="auto"/>
              <w:jc w:val="right"/>
              <w:rPr>
                <w:rFonts w:ascii="Arial" w:eastAsia="Times New Roman" w:hAnsi="Arial" w:cs="Arial"/>
                <w:b/>
                <w:bCs/>
                <w:color w:val="000000"/>
                <w:sz w:val="18"/>
                <w:szCs w:val="18"/>
                <w:lang w:eastAsia="sl-SI"/>
              </w:rPr>
            </w:pPr>
            <w:r w:rsidRPr="002343CE">
              <w:rPr>
                <w:rFonts w:ascii="Arial" w:hAnsi="Arial" w:cs="Arial"/>
                <w:b/>
                <w:bCs/>
                <w:color w:val="000000"/>
                <w:sz w:val="18"/>
                <w:szCs w:val="18"/>
              </w:rPr>
              <w:t>1.168</w:t>
            </w:r>
          </w:p>
        </w:tc>
        <w:tc>
          <w:tcPr>
            <w:tcW w:w="626" w:type="pct"/>
            <w:tcBorders>
              <w:top w:val="nil"/>
              <w:left w:val="nil"/>
              <w:bottom w:val="single" w:sz="4" w:space="0" w:color="auto"/>
              <w:right w:val="single" w:sz="4" w:space="0" w:color="auto"/>
            </w:tcBorders>
            <w:shd w:val="clear" w:color="auto" w:fill="F2F2F2" w:themeFill="background1" w:themeFillShade="F2"/>
            <w:noWrap/>
            <w:vAlign w:val="center"/>
            <w:hideMark/>
          </w:tcPr>
          <w:p w14:paraId="10858171" w14:textId="77777777" w:rsidR="00E3750C" w:rsidRPr="002343CE" w:rsidRDefault="00E3750C" w:rsidP="00047864">
            <w:pPr>
              <w:spacing w:after="0" w:line="240" w:lineRule="auto"/>
              <w:jc w:val="right"/>
              <w:rPr>
                <w:rFonts w:ascii="Arial" w:eastAsia="Times New Roman" w:hAnsi="Arial" w:cs="Arial"/>
                <w:b/>
                <w:bCs/>
                <w:color w:val="000000"/>
                <w:sz w:val="18"/>
                <w:szCs w:val="18"/>
                <w:lang w:eastAsia="sl-SI"/>
              </w:rPr>
            </w:pPr>
            <w:r w:rsidRPr="002343CE">
              <w:rPr>
                <w:rFonts w:ascii="Arial" w:hAnsi="Arial" w:cs="Arial"/>
                <w:b/>
                <w:bCs/>
                <w:color w:val="000000"/>
                <w:sz w:val="18"/>
                <w:szCs w:val="18"/>
              </w:rPr>
              <w:t>13.669</w:t>
            </w:r>
          </w:p>
        </w:tc>
        <w:tc>
          <w:tcPr>
            <w:tcW w:w="1171" w:type="pct"/>
            <w:tcBorders>
              <w:top w:val="nil"/>
              <w:left w:val="nil"/>
              <w:bottom w:val="single" w:sz="4" w:space="0" w:color="auto"/>
              <w:right w:val="single" w:sz="4" w:space="0" w:color="auto"/>
            </w:tcBorders>
            <w:shd w:val="clear" w:color="auto" w:fill="F2F2F2" w:themeFill="background1" w:themeFillShade="F2"/>
            <w:noWrap/>
            <w:vAlign w:val="center"/>
            <w:hideMark/>
          </w:tcPr>
          <w:p w14:paraId="6CC39541" w14:textId="77777777" w:rsidR="00E3750C" w:rsidRPr="002343CE" w:rsidRDefault="00E3750C" w:rsidP="00047864">
            <w:pPr>
              <w:spacing w:after="0" w:line="240" w:lineRule="auto"/>
              <w:jc w:val="right"/>
              <w:rPr>
                <w:rFonts w:ascii="Arial" w:eastAsia="Times New Roman" w:hAnsi="Arial" w:cs="Arial"/>
                <w:b/>
                <w:bCs/>
                <w:color w:val="000000"/>
                <w:sz w:val="18"/>
                <w:szCs w:val="18"/>
                <w:lang w:eastAsia="sl-SI"/>
              </w:rPr>
            </w:pPr>
            <w:r w:rsidRPr="002343CE">
              <w:rPr>
                <w:rFonts w:ascii="Arial" w:hAnsi="Arial" w:cs="Arial"/>
                <w:b/>
                <w:bCs/>
                <w:color w:val="000000"/>
                <w:sz w:val="18"/>
                <w:szCs w:val="18"/>
              </w:rPr>
              <w:t>3.877.573.878</w:t>
            </w:r>
          </w:p>
        </w:tc>
        <w:tc>
          <w:tcPr>
            <w:tcW w:w="698" w:type="pct"/>
            <w:tcBorders>
              <w:top w:val="nil"/>
              <w:left w:val="nil"/>
              <w:bottom w:val="single" w:sz="4" w:space="0" w:color="auto"/>
              <w:right w:val="single" w:sz="4" w:space="0" w:color="auto"/>
            </w:tcBorders>
            <w:shd w:val="clear" w:color="auto" w:fill="F2F2F2" w:themeFill="background1" w:themeFillShade="F2"/>
            <w:noWrap/>
            <w:vAlign w:val="center"/>
            <w:hideMark/>
          </w:tcPr>
          <w:p w14:paraId="2641CA36" w14:textId="77777777" w:rsidR="00E3750C" w:rsidRPr="002343CE" w:rsidRDefault="00E3750C" w:rsidP="00047864">
            <w:pPr>
              <w:spacing w:after="0" w:line="240" w:lineRule="auto"/>
              <w:jc w:val="right"/>
              <w:rPr>
                <w:rFonts w:ascii="Arial" w:eastAsia="Times New Roman" w:hAnsi="Arial" w:cs="Arial"/>
                <w:b/>
                <w:bCs/>
                <w:color w:val="000000"/>
                <w:sz w:val="18"/>
                <w:szCs w:val="18"/>
                <w:lang w:eastAsia="sl-SI"/>
              </w:rPr>
            </w:pPr>
            <w:r w:rsidRPr="002343CE">
              <w:rPr>
                <w:rFonts w:ascii="Arial" w:hAnsi="Arial" w:cs="Arial"/>
                <w:b/>
                <w:bCs/>
                <w:color w:val="000000"/>
                <w:sz w:val="18"/>
                <w:szCs w:val="18"/>
              </w:rPr>
              <w:t>100,00 %</w:t>
            </w:r>
          </w:p>
        </w:tc>
        <w:tc>
          <w:tcPr>
            <w:tcW w:w="700" w:type="pct"/>
            <w:tcBorders>
              <w:top w:val="nil"/>
              <w:left w:val="nil"/>
              <w:bottom w:val="single" w:sz="4" w:space="0" w:color="auto"/>
              <w:right w:val="single" w:sz="4" w:space="0" w:color="auto"/>
            </w:tcBorders>
            <w:shd w:val="clear" w:color="auto" w:fill="F2F2F2" w:themeFill="background1" w:themeFillShade="F2"/>
            <w:noWrap/>
            <w:vAlign w:val="center"/>
            <w:hideMark/>
          </w:tcPr>
          <w:p w14:paraId="44F74D2A" w14:textId="77777777" w:rsidR="00E3750C" w:rsidRPr="002343CE" w:rsidRDefault="00E3750C" w:rsidP="00047864">
            <w:pPr>
              <w:spacing w:after="0" w:line="240" w:lineRule="auto"/>
              <w:jc w:val="right"/>
              <w:rPr>
                <w:rFonts w:ascii="Arial" w:eastAsia="Times New Roman" w:hAnsi="Arial" w:cs="Arial"/>
                <w:b/>
                <w:bCs/>
                <w:color w:val="000000"/>
                <w:sz w:val="18"/>
                <w:szCs w:val="18"/>
                <w:lang w:eastAsia="sl-SI"/>
              </w:rPr>
            </w:pPr>
            <w:r>
              <w:rPr>
                <w:rFonts w:ascii="Arial" w:hAnsi="Arial" w:cs="Arial"/>
                <w:b/>
                <w:bCs/>
                <w:color w:val="000000"/>
                <w:sz w:val="18"/>
                <w:szCs w:val="18"/>
              </w:rPr>
              <w:t>100,00</w:t>
            </w:r>
            <w:r w:rsidRPr="002343CE">
              <w:rPr>
                <w:rFonts w:ascii="Arial" w:hAnsi="Arial" w:cs="Arial"/>
                <w:b/>
                <w:bCs/>
                <w:color w:val="000000"/>
                <w:sz w:val="18"/>
                <w:szCs w:val="18"/>
              </w:rPr>
              <w:t xml:space="preserve"> %</w:t>
            </w:r>
          </w:p>
        </w:tc>
      </w:tr>
    </w:tbl>
    <w:p w14:paraId="72D2B5EB" w14:textId="77777777" w:rsidR="00E3750C" w:rsidRPr="002343CE" w:rsidRDefault="00E3750C" w:rsidP="00E3750C">
      <w:pPr>
        <w:spacing w:before="120" w:after="0" w:line="240" w:lineRule="auto"/>
        <w:jc w:val="both"/>
        <w:rPr>
          <w:rFonts w:ascii="Arial" w:hAnsi="Arial" w:cs="Arial"/>
          <w:sz w:val="20"/>
        </w:rPr>
      </w:pPr>
    </w:p>
    <w:p w14:paraId="1899F3DB" w14:textId="77777777" w:rsidR="00E3750C" w:rsidRPr="00562504" w:rsidRDefault="00E3750C" w:rsidP="00E3750C">
      <w:pPr>
        <w:spacing w:before="120" w:after="0" w:line="240" w:lineRule="auto"/>
        <w:jc w:val="both"/>
        <w:rPr>
          <w:rFonts w:ascii="Arial" w:hAnsi="Arial" w:cs="Arial"/>
          <w:sz w:val="20"/>
        </w:rPr>
      </w:pPr>
      <w:r w:rsidRPr="00562504">
        <w:rPr>
          <w:rFonts w:ascii="Arial" w:hAnsi="Arial" w:cs="Arial"/>
          <w:sz w:val="20"/>
        </w:rPr>
        <w:t>Preglednica 8</w:t>
      </w:r>
      <w:r>
        <w:rPr>
          <w:rFonts w:ascii="Arial" w:hAnsi="Arial" w:cs="Arial"/>
          <w:sz w:val="20"/>
        </w:rPr>
        <w:t>4</w:t>
      </w:r>
      <w:r w:rsidRPr="00562504">
        <w:rPr>
          <w:rFonts w:ascii="Arial" w:hAnsi="Arial" w:cs="Arial"/>
          <w:sz w:val="20"/>
        </w:rPr>
        <w:t xml:space="preserve">: Javna naročila proračunskih uporabnikov, ki so bila objavljena na portalu javnih naročil oziroma v Uradnem listu EU </w:t>
      </w:r>
    </w:p>
    <w:p w14:paraId="652CD938" w14:textId="77777777" w:rsidR="00E3750C" w:rsidRPr="00562504" w:rsidRDefault="00E3750C" w:rsidP="00E3750C">
      <w:pPr>
        <w:spacing w:after="0" w:line="240" w:lineRule="auto"/>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0"/>
        <w:gridCol w:w="1417"/>
        <w:gridCol w:w="993"/>
        <w:gridCol w:w="1701"/>
        <w:gridCol w:w="1134"/>
        <w:gridCol w:w="1099"/>
      </w:tblGrid>
      <w:tr w:rsidR="00E3750C" w:rsidRPr="00562504" w14:paraId="09DA939D" w14:textId="77777777" w:rsidTr="00047864">
        <w:trPr>
          <w:trHeight w:val="480"/>
        </w:trPr>
        <w:tc>
          <w:tcPr>
            <w:tcW w:w="1542" w:type="pct"/>
            <w:shd w:val="clear" w:color="000000" w:fill="F2F2F2"/>
            <w:vAlign w:val="center"/>
            <w:hideMark/>
          </w:tcPr>
          <w:p w14:paraId="0496302F" w14:textId="77777777" w:rsidR="00E3750C" w:rsidRPr="00562504" w:rsidRDefault="00E3750C" w:rsidP="00047864">
            <w:pPr>
              <w:spacing w:after="0" w:line="240" w:lineRule="auto"/>
              <w:jc w:val="center"/>
              <w:rPr>
                <w:rFonts w:ascii="Arial" w:eastAsia="Times New Roman" w:hAnsi="Arial" w:cs="Arial"/>
                <w:color w:val="000000"/>
                <w:sz w:val="18"/>
                <w:szCs w:val="18"/>
                <w:lang w:eastAsia="sl-SI"/>
              </w:rPr>
            </w:pPr>
            <w:r w:rsidRPr="00562504">
              <w:rPr>
                <w:rFonts w:ascii="Arial" w:eastAsia="Times New Roman" w:hAnsi="Arial" w:cs="Arial"/>
                <w:color w:val="000000"/>
                <w:sz w:val="18"/>
                <w:szCs w:val="18"/>
                <w:lang w:eastAsia="sl-SI"/>
              </w:rPr>
              <w:t>Opis kategorije</w:t>
            </w:r>
          </w:p>
        </w:tc>
        <w:tc>
          <w:tcPr>
            <w:tcW w:w="772" w:type="pct"/>
            <w:shd w:val="clear" w:color="000000" w:fill="F2F2F2"/>
            <w:vAlign w:val="center"/>
            <w:hideMark/>
          </w:tcPr>
          <w:p w14:paraId="10C331B3" w14:textId="77777777" w:rsidR="00E3750C" w:rsidRPr="00562504" w:rsidRDefault="00E3750C" w:rsidP="00047864">
            <w:pPr>
              <w:spacing w:after="0" w:line="240" w:lineRule="auto"/>
              <w:jc w:val="center"/>
              <w:rPr>
                <w:rFonts w:ascii="Arial" w:eastAsia="Times New Roman" w:hAnsi="Arial" w:cs="Arial"/>
                <w:color w:val="000000"/>
                <w:sz w:val="18"/>
                <w:szCs w:val="18"/>
                <w:lang w:eastAsia="sl-SI"/>
              </w:rPr>
            </w:pPr>
            <w:r w:rsidRPr="00562504">
              <w:rPr>
                <w:rFonts w:ascii="Arial" w:eastAsia="Times New Roman" w:hAnsi="Arial" w:cs="Arial"/>
                <w:color w:val="000000"/>
                <w:sz w:val="18"/>
                <w:szCs w:val="18"/>
                <w:lang w:eastAsia="sl-SI"/>
              </w:rPr>
              <w:t>Št. proračunskih uporabnikov</w:t>
            </w:r>
          </w:p>
        </w:tc>
        <w:tc>
          <w:tcPr>
            <w:tcW w:w="541" w:type="pct"/>
            <w:shd w:val="clear" w:color="000000" w:fill="F2F2F2"/>
            <w:vAlign w:val="center"/>
            <w:hideMark/>
          </w:tcPr>
          <w:p w14:paraId="2B566377" w14:textId="77777777" w:rsidR="00E3750C" w:rsidRPr="00562504" w:rsidRDefault="00E3750C" w:rsidP="00047864">
            <w:pPr>
              <w:spacing w:after="0" w:line="240" w:lineRule="auto"/>
              <w:jc w:val="center"/>
              <w:rPr>
                <w:rFonts w:ascii="Arial" w:eastAsia="Times New Roman" w:hAnsi="Arial" w:cs="Arial"/>
                <w:color w:val="000000"/>
                <w:sz w:val="18"/>
                <w:szCs w:val="18"/>
                <w:lang w:eastAsia="sl-SI"/>
              </w:rPr>
            </w:pPr>
            <w:r w:rsidRPr="00562504">
              <w:rPr>
                <w:rFonts w:ascii="Arial" w:eastAsia="Times New Roman" w:hAnsi="Arial" w:cs="Arial"/>
                <w:color w:val="000000"/>
                <w:sz w:val="18"/>
                <w:szCs w:val="18"/>
                <w:lang w:eastAsia="sl-SI"/>
              </w:rPr>
              <w:t>Št. naročil</w:t>
            </w:r>
          </w:p>
        </w:tc>
        <w:tc>
          <w:tcPr>
            <w:tcW w:w="927" w:type="pct"/>
            <w:shd w:val="clear" w:color="000000" w:fill="F2F2F2"/>
            <w:vAlign w:val="center"/>
            <w:hideMark/>
          </w:tcPr>
          <w:p w14:paraId="2C3291FE" w14:textId="77777777" w:rsidR="00E3750C" w:rsidRPr="00562504" w:rsidRDefault="00E3750C" w:rsidP="00047864">
            <w:pPr>
              <w:spacing w:after="0" w:line="240" w:lineRule="auto"/>
              <w:jc w:val="center"/>
              <w:rPr>
                <w:rFonts w:ascii="Arial" w:eastAsia="Times New Roman" w:hAnsi="Arial" w:cs="Arial"/>
                <w:color w:val="000000"/>
                <w:sz w:val="18"/>
                <w:szCs w:val="18"/>
                <w:lang w:eastAsia="sl-SI"/>
              </w:rPr>
            </w:pPr>
            <w:r w:rsidRPr="00562504">
              <w:rPr>
                <w:rFonts w:ascii="Arial" w:eastAsia="Times New Roman" w:hAnsi="Arial" w:cs="Arial"/>
                <w:color w:val="000000"/>
                <w:sz w:val="18"/>
                <w:szCs w:val="18"/>
                <w:lang w:eastAsia="sl-SI"/>
              </w:rPr>
              <w:t>Pogodbena vrednost</w:t>
            </w:r>
          </w:p>
        </w:tc>
        <w:tc>
          <w:tcPr>
            <w:tcW w:w="618" w:type="pct"/>
            <w:shd w:val="clear" w:color="000000" w:fill="F2F2F2"/>
            <w:vAlign w:val="center"/>
            <w:hideMark/>
          </w:tcPr>
          <w:p w14:paraId="2B1774DF" w14:textId="77777777" w:rsidR="00E3750C" w:rsidRPr="00562504" w:rsidRDefault="00E3750C" w:rsidP="00047864">
            <w:pPr>
              <w:spacing w:after="0" w:line="240" w:lineRule="auto"/>
              <w:jc w:val="center"/>
              <w:rPr>
                <w:rFonts w:ascii="Arial" w:eastAsia="Times New Roman" w:hAnsi="Arial" w:cs="Arial"/>
                <w:color w:val="000000"/>
                <w:sz w:val="18"/>
                <w:szCs w:val="18"/>
                <w:lang w:eastAsia="sl-SI"/>
              </w:rPr>
            </w:pPr>
            <w:r w:rsidRPr="00562504">
              <w:rPr>
                <w:rFonts w:ascii="Arial" w:eastAsia="Times New Roman" w:hAnsi="Arial" w:cs="Arial"/>
                <w:color w:val="000000"/>
                <w:sz w:val="18"/>
                <w:szCs w:val="18"/>
                <w:lang w:eastAsia="sl-SI"/>
              </w:rPr>
              <w:t>Delež v št. naročil</w:t>
            </w:r>
          </w:p>
        </w:tc>
        <w:tc>
          <w:tcPr>
            <w:tcW w:w="599" w:type="pct"/>
            <w:shd w:val="clear" w:color="000000" w:fill="F2F2F2"/>
            <w:vAlign w:val="center"/>
            <w:hideMark/>
          </w:tcPr>
          <w:p w14:paraId="3DEB604F" w14:textId="77777777" w:rsidR="00E3750C" w:rsidRPr="00562504" w:rsidRDefault="00E3750C" w:rsidP="00047864">
            <w:pPr>
              <w:spacing w:after="0" w:line="240" w:lineRule="auto"/>
              <w:jc w:val="center"/>
              <w:rPr>
                <w:rFonts w:ascii="Arial" w:eastAsia="Times New Roman" w:hAnsi="Arial" w:cs="Arial"/>
                <w:color w:val="000000"/>
                <w:sz w:val="18"/>
                <w:szCs w:val="18"/>
                <w:lang w:eastAsia="sl-SI"/>
              </w:rPr>
            </w:pPr>
            <w:r w:rsidRPr="00562504">
              <w:rPr>
                <w:rFonts w:ascii="Arial" w:eastAsia="Times New Roman" w:hAnsi="Arial" w:cs="Arial"/>
                <w:color w:val="000000"/>
                <w:sz w:val="18"/>
                <w:szCs w:val="18"/>
                <w:lang w:eastAsia="sl-SI"/>
              </w:rPr>
              <w:t>Delež v vrednosti</w:t>
            </w:r>
          </w:p>
        </w:tc>
      </w:tr>
      <w:tr w:rsidR="00E3750C" w:rsidRPr="00562504" w14:paraId="7FFE3071" w14:textId="77777777" w:rsidTr="00047864">
        <w:trPr>
          <w:trHeight w:val="300"/>
        </w:trPr>
        <w:tc>
          <w:tcPr>
            <w:tcW w:w="1542" w:type="pct"/>
            <w:shd w:val="clear" w:color="auto" w:fill="auto"/>
            <w:vAlign w:val="center"/>
            <w:hideMark/>
          </w:tcPr>
          <w:p w14:paraId="215DAA81" w14:textId="77777777" w:rsidR="00E3750C" w:rsidRPr="00562504" w:rsidRDefault="00E3750C" w:rsidP="00047864">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Organi Republike Slovenije</w:t>
            </w:r>
          </w:p>
        </w:tc>
        <w:tc>
          <w:tcPr>
            <w:tcW w:w="772" w:type="pct"/>
            <w:shd w:val="clear" w:color="auto" w:fill="auto"/>
            <w:vAlign w:val="center"/>
            <w:hideMark/>
          </w:tcPr>
          <w:p w14:paraId="2162E0BF" w14:textId="77777777" w:rsidR="00E3750C" w:rsidRPr="00562504" w:rsidRDefault="00E3750C" w:rsidP="00047864">
            <w:pPr>
              <w:spacing w:after="0" w:line="240" w:lineRule="auto"/>
              <w:jc w:val="right"/>
              <w:rPr>
                <w:rFonts w:ascii="Arial" w:eastAsia="Times New Roman" w:hAnsi="Arial" w:cs="Arial"/>
                <w:color w:val="000000"/>
                <w:sz w:val="18"/>
                <w:szCs w:val="18"/>
                <w:lang w:eastAsia="sl-SI"/>
              </w:rPr>
            </w:pPr>
            <w:r w:rsidRPr="00562504">
              <w:rPr>
                <w:rFonts w:ascii="Arial" w:hAnsi="Arial" w:cs="Arial"/>
                <w:color w:val="000000"/>
                <w:sz w:val="18"/>
                <w:szCs w:val="18"/>
              </w:rPr>
              <w:t>56</w:t>
            </w:r>
          </w:p>
        </w:tc>
        <w:tc>
          <w:tcPr>
            <w:tcW w:w="541" w:type="pct"/>
            <w:shd w:val="clear" w:color="auto" w:fill="auto"/>
            <w:vAlign w:val="center"/>
            <w:hideMark/>
          </w:tcPr>
          <w:p w14:paraId="6954B69B" w14:textId="77777777" w:rsidR="00E3750C" w:rsidRPr="00562504" w:rsidRDefault="00E3750C" w:rsidP="00047864">
            <w:pPr>
              <w:spacing w:after="0" w:line="240" w:lineRule="auto"/>
              <w:jc w:val="right"/>
              <w:rPr>
                <w:rFonts w:ascii="Arial" w:eastAsia="Times New Roman" w:hAnsi="Arial" w:cs="Arial"/>
                <w:color w:val="000000"/>
                <w:sz w:val="18"/>
                <w:szCs w:val="18"/>
                <w:lang w:eastAsia="sl-SI"/>
              </w:rPr>
            </w:pPr>
            <w:r w:rsidRPr="00562504">
              <w:rPr>
                <w:rFonts w:ascii="Arial" w:hAnsi="Arial" w:cs="Arial"/>
                <w:color w:val="000000"/>
                <w:sz w:val="18"/>
                <w:szCs w:val="18"/>
              </w:rPr>
              <w:t>1.819</w:t>
            </w:r>
          </w:p>
        </w:tc>
        <w:tc>
          <w:tcPr>
            <w:tcW w:w="927" w:type="pct"/>
            <w:shd w:val="clear" w:color="auto" w:fill="auto"/>
            <w:vAlign w:val="center"/>
            <w:hideMark/>
          </w:tcPr>
          <w:p w14:paraId="71EE537D" w14:textId="77777777" w:rsidR="00E3750C" w:rsidRPr="00562504" w:rsidRDefault="00E3750C" w:rsidP="00047864">
            <w:pPr>
              <w:spacing w:after="0" w:line="240" w:lineRule="auto"/>
              <w:jc w:val="right"/>
              <w:rPr>
                <w:rFonts w:ascii="Arial" w:eastAsia="Times New Roman" w:hAnsi="Arial" w:cs="Arial"/>
                <w:color w:val="000000"/>
                <w:sz w:val="18"/>
                <w:szCs w:val="18"/>
                <w:lang w:eastAsia="sl-SI"/>
              </w:rPr>
            </w:pPr>
            <w:r w:rsidRPr="00562504">
              <w:rPr>
                <w:rFonts w:ascii="Arial" w:hAnsi="Arial" w:cs="Arial"/>
                <w:color w:val="000000"/>
                <w:sz w:val="18"/>
                <w:szCs w:val="18"/>
              </w:rPr>
              <w:t>1.606.717.679</w:t>
            </w:r>
          </w:p>
        </w:tc>
        <w:tc>
          <w:tcPr>
            <w:tcW w:w="618" w:type="pct"/>
            <w:shd w:val="clear" w:color="auto" w:fill="auto"/>
            <w:noWrap/>
            <w:vAlign w:val="center"/>
            <w:hideMark/>
          </w:tcPr>
          <w:p w14:paraId="5F05D3ED" w14:textId="77777777" w:rsidR="00E3750C" w:rsidRPr="00562504" w:rsidRDefault="00E3750C" w:rsidP="00047864">
            <w:pPr>
              <w:spacing w:after="0" w:line="240" w:lineRule="auto"/>
              <w:jc w:val="right"/>
              <w:rPr>
                <w:rFonts w:ascii="Arial" w:eastAsia="Times New Roman" w:hAnsi="Arial" w:cs="Arial"/>
                <w:color w:val="000000"/>
                <w:sz w:val="18"/>
                <w:szCs w:val="18"/>
                <w:lang w:eastAsia="sl-SI"/>
              </w:rPr>
            </w:pPr>
            <w:r w:rsidRPr="00562504">
              <w:rPr>
                <w:rFonts w:ascii="Arial" w:hAnsi="Arial" w:cs="Arial"/>
                <w:color w:val="000000"/>
                <w:sz w:val="18"/>
                <w:szCs w:val="18"/>
              </w:rPr>
              <w:t>13,31 %</w:t>
            </w:r>
          </w:p>
        </w:tc>
        <w:tc>
          <w:tcPr>
            <w:tcW w:w="599" w:type="pct"/>
            <w:shd w:val="clear" w:color="auto" w:fill="auto"/>
            <w:noWrap/>
            <w:vAlign w:val="center"/>
            <w:hideMark/>
          </w:tcPr>
          <w:p w14:paraId="7DA00C20" w14:textId="77777777" w:rsidR="00E3750C" w:rsidRPr="00562504" w:rsidRDefault="00E3750C" w:rsidP="00047864">
            <w:pPr>
              <w:spacing w:after="0" w:line="240" w:lineRule="auto"/>
              <w:jc w:val="right"/>
              <w:rPr>
                <w:rFonts w:ascii="Arial" w:eastAsia="Times New Roman" w:hAnsi="Arial" w:cs="Arial"/>
                <w:color w:val="000000"/>
                <w:sz w:val="18"/>
                <w:szCs w:val="18"/>
                <w:lang w:eastAsia="sl-SI"/>
              </w:rPr>
            </w:pPr>
            <w:r w:rsidRPr="00562504">
              <w:rPr>
                <w:rFonts w:ascii="Arial" w:hAnsi="Arial" w:cs="Arial"/>
                <w:color w:val="000000"/>
                <w:sz w:val="18"/>
                <w:szCs w:val="18"/>
              </w:rPr>
              <w:t>41,44 %</w:t>
            </w:r>
          </w:p>
        </w:tc>
      </w:tr>
      <w:tr w:rsidR="00E3750C" w:rsidRPr="00562504" w14:paraId="1E678B6F" w14:textId="77777777" w:rsidTr="00047864">
        <w:trPr>
          <w:trHeight w:val="300"/>
        </w:trPr>
        <w:tc>
          <w:tcPr>
            <w:tcW w:w="1542" w:type="pct"/>
            <w:shd w:val="clear" w:color="auto" w:fill="auto"/>
            <w:vAlign w:val="center"/>
            <w:hideMark/>
          </w:tcPr>
          <w:p w14:paraId="559552F7" w14:textId="77777777" w:rsidR="00E3750C" w:rsidRPr="00562504" w:rsidRDefault="00E3750C" w:rsidP="00047864">
            <w:pPr>
              <w:spacing w:after="0" w:line="240" w:lineRule="auto"/>
              <w:rPr>
                <w:rFonts w:ascii="Arial" w:eastAsia="Times New Roman" w:hAnsi="Arial" w:cs="Arial"/>
                <w:color w:val="000000"/>
                <w:sz w:val="18"/>
                <w:szCs w:val="18"/>
                <w:lang w:eastAsia="sl-SI"/>
              </w:rPr>
            </w:pPr>
            <w:r w:rsidRPr="00562504">
              <w:rPr>
                <w:rFonts w:ascii="Arial" w:eastAsia="Times New Roman" w:hAnsi="Arial" w:cs="Arial"/>
                <w:color w:val="000000"/>
                <w:sz w:val="18"/>
                <w:szCs w:val="18"/>
                <w:lang w:eastAsia="sl-SI"/>
              </w:rPr>
              <w:t>Samoupravne lokalne skupnosti</w:t>
            </w:r>
          </w:p>
        </w:tc>
        <w:tc>
          <w:tcPr>
            <w:tcW w:w="772" w:type="pct"/>
            <w:shd w:val="clear" w:color="auto" w:fill="auto"/>
            <w:vAlign w:val="center"/>
            <w:hideMark/>
          </w:tcPr>
          <w:p w14:paraId="5C9CA791" w14:textId="77777777" w:rsidR="00E3750C" w:rsidRPr="00562504" w:rsidRDefault="00E3750C" w:rsidP="00047864">
            <w:pPr>
              <w:spacing w:after="0" w:line="240" w:lineRule="auto"/>
              <w:jc w:val="right"/>
              <w:rPr>
                <w:rFonts w:ascii="Arial" w:eastAsia="Times New Roman" w:hAnsi="Arial" w:cs="Arial"/>
                <w:color w:val="000000"/>
                <w:sz w:val="18"/>
                <w:szCs w:val="18"/>
                <w:lang w:eastAsia="sl-SI"/>
              </w:rPr>
            </w:pPr>
            <w:r w:rsidRPr="00562504">
              <w:rPr>
                <w:rFonts w:ascii="Arial" w:hAnsi="Arial" w:cs="Arial"/>
                <w:color w:val="000000"/>
                <w:sz w:val="18"/>
                <w:szCs w:val="18"/>
              </w:rPr>
              <w:t>194</w:t>
            </w:r>
          </w:p>
        </w:tc>
        <w:tc>
          <w:tcPr>
            <w:tcW w:w="541" w:type="pct"/>
            <w:shd w:val="clear" w:color="auto" w:fill="auto"/>
            <w:vAlign w:val="center"/>
            <w:hideMark/>
          </w:tcPr>
          <w:p w14:paraId="00D55DB7" w14:textId="77777777" w:rsidR="00E3750C" w:rsidRPr="00562504" w:rsidRDefault="00E3750C" w:rsidP="00047864">
            <w:pPr>
              <w:spacing w:after="0" w:line="240" w:lineRule="auto"/>
              <w:jc w:val="right"/>
              <w:rPr>
                <w:rFonts w:ascii="Arial" w:eastAsia="Times New Roman" w:hAnsi="Arial" w:cs="Arial"/>
                <w:color w:val="000000"/>
                <w:sz w:val="18"/>
                <w:szCs w:val="18"/>
                <w:lang w:eastAsia="sl-SI"/>
              </w:rPr>
            </w:pPr>
            <w:r w:rsidRPr="00562504">
              <w:rPr>
                <w:rFonts w:ascii="Arial" w:hAnsi="Arial" w:cs="Arial"/>
                <w:color w:val="000000"/>
                <w:sz w:val="18"/>
                <w:szCs w:val="18"/>
              </w:rPr>
              <w:t>1.657</w:t>
            </w:r>
          </w:p>
        </w:tc>
        <w:tc>
          <w:tcPr>
            <w:tcW w:w="927" w:type="pct"/>
            <w:shd w:val="clear" w:color="auto" w:fill="auto"/>
            <w:vAlign w:val="center"/>
            <w:hideMark/>
          </w:tcPr>
          <w:p w14:paraId="1478E882" w14:textId="77777777" w:rsidR="00E3750C" w:rsidRPr="00562504" w:rsidRDefault="00E3750C" w:rsidP="00047864">
            <w:pPr>
              <w:spacing w:after="0" w:line="240" w:lineRule="auto"/>
              <w:jc w:val="right"/>
              <w:rPr>
                <w:rFonts w:ascii="Arial" w:eastAsia="Times New Roman" w:hAnsi="Arial" w:cs="Arial"/>
                <w:color w:val="000000"/>
                <w:sz w:val="18"/>
                <w:szCs w:val="18"/>
                <w:lang w:eastAsia="sl-SI"/>
              </w:rPr>
            </w:pPr>
            <w:r w:rsidRPr="00562504">
              <w:rPr>
                <w:rFonts w:ascii="Arial" w:hAnsi="Arial" w:cs="Arial"/>
                <w:color w:val="000000"/>
                <w:sz w:val="18"/>
                <w:szCs w:val="18"/>
              </w:rPr>
              <w:t>779.957.506</w:t>
            </w:r>
          </w:p>
        </w:tc>
        <w:tc>
          <w:tcPr>
            <w:tcW w:w="618" w:type="pct"/>
            <w:shd w:val="clear" w:color="auto" w:fill="auto"/>
            <w:noWrap/>
            <w:vAlign w:val="center"/>
            <w:hideMark/>
          </w:tcPr>
          <w:p w14:paraId="7D7C9173" w14:textId="77777777" w:rsidR="00E3750C" w:rsidRPr="00562504" w:rsidRDefault="00E3750C" w:rsidP="00047864">
            <w:pPr>
              <w:spacing w:after="0" w:line="240" w:lineRule="auto"/>
              <w:jc w:val="right"/>
              <w:rPr>
                <w:rFonts w:ascii="Arial" w:eastAsia="Times New Roman" w:hAnsi="Arial" w:cs="Arial"/>
                <w:color w:val="000000"/>
                <w:sz w:val="18"/>
                <w:szCs w:val="18"/>
                <w:lang w:eastAsia="sl-SI"/>
              </w:rPr>
            </w:pPr>
            <w:r w:rsidRPr="00562504">
              <w:rPr>
                <w:rFonts w:ascii="Arial" w:hAnsi="Arial" w:cs="Arial"/>
                <w:color w:val="000000"/>
                <w:sz w:val="18"/>
                <w:szCs w:val="18"/>
              </w:rPr>
              <w:t>12,12 %</w:t>
            </w:r>
          </w:p>
        </w:tc>
        <w:tc>
          <w:tcPr>
            <w:tcW w:w="599" w:type="pct"/>
            <w:shd w:val="clear" w:color="auto" w:fill="auto"/>
            <w:noWrap/>
            <w:vAlign w:val="center"/>
            <w:hideMark/>
          </w:tcPr>
          <w:p w14:paraId="2EE4E665" w14:textId="77777777" w:rsidR="00E3750C" w:rsidRPr="00562504" w:rsidRDefault="00E3750C" w:rsidP="00047864">
            <w:pPr>
              <w:spacing w:after="0" w:line="240" w:lineRule="auto"/>
              <w:jc w:val="right"/>
              <w:rPr>
                <w:rFonts w:ascii="Arial" w:eastAsia="Times New Roman" w:hAnsi="Arial" w:cs="Arial"/>
                <w:color w:val="000000"/>
                <w:sz w:val="18"/>
                <w:szCs w:val="18"/>
                <w:lang w:eastAsia="sl-SI"/>
              </w:rPr>
            </w:pPr>
            <w:r w:rsidRPr="00562504">
              <w:rPr>
                <w:rFonts w:ascii="Arial" w:hAnsi="Arial" w:cs="Arial"/>
                <w:color w:val="000000"/>
                <w:sz w:val="18"/>
                <w:szCs w:val="18"/>
              </w:rPr>
              <w:t>20,11 %</w:t>
            </w:r>
          </w:p>
        </w:tc>
      </w:tr>
      <w:tr w:rsidR="00E3750C" w:rsidRPr="00562504" w14:paraId="5CEA9DA3" w14:textId="77777777" w:rsidTr="00047864">
        <w:trPr>
          <w:trHeight w:val="300"/>
        </w:trPr>
        <w:tc>
          <w:tcPr>
            <w:tcW w:w="1542" w:type="pct"/>
            <w:shd w:val="clear" w:color="auto" w:fill="auto"/>
            <w:vAlign w:val="center"/>
            <w:hideMark/>
          </w:tcPr>
          <w:p w14:paraId="055CD388" w14:textId="77777777" w:rsidR="00E3750C" w:rsidRPr="00562504" w:rsidRDefault="00E3750C" w:rsidP="00047864">
            <w:pPr>
              <w:spacing w:after="0" w:line="240" w:lineRule="auto"/>
              <w:rPr>
                <w:rFonts w:ascii="Arial" w:eastAsia="Times New Roman" w:hAnsi="Arial" w:cs="Arial"/>
                <w:color w:val="000000"/>
                <w:sz w:val="18"/>
                <w:szCs w:val="18"/>
                <w:lang w:eastAsia="sl-SI"/>
              </w:rPr>
            </w:pPr>
            <w:r w:rsidRPr="00562504">
              <w:rPr>
                <w:rFonts w:ascii="Arial" w:eastAsia="Times New Roman" w:hAnsi="Arial" w:cs="Arial"/>
                <w:color w:val="000000"/>
                <w:sz w:val="18"/>
                <w:szCs w:val="18"/>
                <w:lang w:eastAsia="sl-SI"/>
              </w:rPr>
              <w:t>Javni skladi</w:t>
            </w:r>
          </w:p>
        </w:tc>
        <w:tc>
          <w:tcPr>
            <w:tcW w:w="772" w:type="pct"/>
            <w:shd w:val="clear" w:color="auto" w:fill="auto"/>
            <w:vAlign w:val="center"/>
            <w:hideMark/>
          </w:tcPr>
          <w:p w14:paraId="552BB058" w14:textId="77777777" w:rsidR="00E3750C" w:rsidRPr="00562504" w:rsidRDefault="00E3750C" w:rsidP="00047864">
            <w:pPr>
              <w:spacing w:after="0" w:line="240" w:lineRule="auto"/>
              <w:jc w:val="right"/>
              <w:rPr>
                <w:rFonts w:ascii="Arial" w:eastAsia="Times New Roman" w:hAnsi="Arial" w:cs="Arial"/>
                <w:color w:val="000000"/>
                <w:sz w:val="18"/>
                <w:szCs w:val="18"/>
                <w:lang w:eastAsia="sl-SI"/>
              </w:rPr>
            </w:pPr>
            <w:r w:rsidRPr="00562504">
              <w:rPr>
                <w:rFonts w:ascii="Arial" w:hAnsi="Arial" w:cs="Arial"/>
                <w:color w:val="000000"/>
                <w:sz w:val="18"/>
                <w:szCs w:val="18"/>
              </w:rPr>
              <w:t>7</w:t>
            </w:r>
          </w:p>
        </w:tc>
        <w:tc>
          <w:tcPr>
            <w:tcW w:w="541" w:type="pct"/>
            <w:shd w:val="clear" w:color="auto" w:fill="auto"/>
            <w:vAlign w:val="center"/>
            <w:hideMark/>
          </w:tcPr>
          <w:p w14:paraId="0818F2B1" w14:textId="77777777" w:rsidR="00E3750C" w:rsidRPr="00562504" w:rsidRDefault="00E3750C" w:rsidP="00047864">
            <w:pPr>
              <w:spacing w:after="0" w:line="240" w:lineRule="auto"/>
              <w:jc w:val="right"/>
              <w:rPr>
                <w:rFonts w:ascii="Arial" w:eastAsia="Times New Roman" w:hAnsi="Arial" w:cs="Arial"/>
                <w:color w:val="000000"/>
                <w:sz w:val="18"/>
                <w:szCs w:val="18"/>
                <w:lang w:eastAsia="sl-SI"/>
              </w:rPr>
            </w:pPr>
            <w:r w:rsidRPr="00562504">
              <w:rPr>
                <w:rFonts w:ascii="Arial" w:hAnsi="Arial" w:cs="Arial"/>
                <w:color w:val="000000"/>
                <w:sz w:val="18"/>
                <w:szCs w:val="18"/>
              </w:rPr>
              <w:t>57</w:t>
            </w:r>
          </w:p>
        </w:tc>
        <w:tc>
          <w:tcPr>
            <w:tcW w:w="927" w:type="pct"/>
            <w:shd w:val="clear" w:color="auto" w:fill="auto"/>
            <w:vAlign w:val="center"/>
            <w:hideMark/>
          </w:tcPr>
          <w:p w14:paraId="40233828" w14:textId="77777777" w:rsidR="00E3750C" w:rsidRPr="00562504" w:rsidRDefault="00E3750C" w:rsidP="00047864">
            <w:pPr>
              <w:spacing w:after="0" w:line="240" w:lineRule="auto"/>
              <w:jc w:val="right"/>
              <w:rPr>
                <w:rFonts w:ascii="Arial" w:eastAsia="Times New Roman" w:hAnsi="Arial" w:cs="Arial"/>
                <w:color w:val="000000"/>
                <w:sz w:val="18"/>
                <w:szCs w:val="18"/>
                <w:lang w:eastAsia="sl-SI"/>
              </w:rPr>
            </w:pPr>
            <w:r w:rsidRPr="00562504">
              <w:rPr>
                <w:rFonts w:ascii="Arial" w:hAnsi="Arial" w:cs="Arial"/>
                <w:color w:val="000000"/>
                <w:sz w:val="18"/>
                <w:szCs w:val="18"/>
              </w:rPr>
              <w:t>60.300.360</w:t>
            </w:r>
          </w:p>
        </w:tc>
        <w:tc>
          <w:tcPr>
            <w:tcW w:w="618" w:type="pct"/>
            <w:shd w:val="clear" w:color="auto" w:fill="auto"/>
            <w:noWrap/>
            <w:vAlign w:val="center"/>
            <w:hideMark/>
          </w:tcPr>
          <w:p w14:paraId="222E37CA" w14:textId="77777777" w:rsidR="00E3750C" w:rsidRPr="00562504" w:rsidRDefault="00E3750C" w:rsidP="00047864">
            <w:pPr>
              <w:spacing w:after="0" w:line="240" w:lineRule="auto"/>
              <w:jc w:val="right"/>
              <w:rPr>
                <w:rFonts w:ascii="Arial" w:eastAsia="Times New Roman" w:hAnsi="Arial" w:cs="Arial"/>
                <w:color w:val="000000"/>
                <w:sz w:val="18"/>
                <w:szCs w:val="18"/>
                <w:lang w:eastAsia="sl-SI"/>
              </w:rPr>
            </w:pPr>
            <w:r w:rsidRPr="00562504">
              <w:rPr>
                <w:rFonts w:ascii="Arial" w:hAnsi="Arial" w:cs="Arial"/>
                <w:color w:val="000000"/>
                <w:sz w:val="18"/>
                <w:szCs w:val="18"/>
              </w:rPr>
              <w:t>0,42 %</w:t>
            </w:r>
          </w:p>
        </w:tc>
        <w:tc>
          <w:tcPr>
            <w:tcW w:w="599" w:type="pct"/>
            <w:shd w:val="clear" w:color="auto" w:fill="auto"/>
            <w:noWrap/>
            <w:vAlign w:val="center"/>
            <w:hideMark/>
          </w:tcPr>
          <w:p w14:paraId="621F1161" w14:textId="77777777" w:rsidR="00E3750C" w:rsidRPr="00562504" w:rsidRDefault="00E3750C" w:rsidP="00047864">
            <w:pPr>
              <w:spacing w:after="0" w:line="240" w:lineRule="auto"/>
              <w:jc w:val="right"/>
              <w:rPr>
                <w:rFonts w:ascii="Arial" w:eastAsia="Times New Roman" w:hAnsi="Arial" w:cs="Arial"/>
                <w:color w:val="000000"/>
                <w:sz w:val="18"/>
                <w:szCs w:val="18"/>
                <w:lang w:eastAsia="sl-SI"/>
              </w:rPr>
            </w:pPr>
            <w:r w:rsidRPr="00562504">
              <w:rPr>
                <w:rFonts w:ascii="Arial" w:hAnsi="Arial" w:cs="Arial"/>
                <w:color w:val="000000"/>
                <w:sz w:val="18"/>
                <w:szCs w:val="18"/>
              </w:rPr>
              <w:t>1,56 %</w:t>
            </w:r>
          </w:p>
        </w:tc>
      </w:tr>
      <w:tr w:rsidR="00E3750C" w:rsidRPr="00562504" w14:paraId="2BBC4E00" w14:textId="77777777" w:rsidTr="00047864">
        <w:trPr>
          <w:trHeight w:val="300"/>
        </w:trPr>
        <w:tc>
          <w:tcPr>
            <w:tcW w:w="1542" w:type="pct"/>
            <w:shd w:val="clear" w:color="auto" w:fill="auto"/>
            <w:vAlign w:val="center"/>
            <w:hideMark/>
          </w:tcPr>
          <w:p w14:paraId="2FAE6988" w14:textId="77777777" w:rsidR="00E3750C" w:rsidRPr="00562504" w:rsidRDefault="00E3750C" w:rsidP="00047864">
            <w:pPr>
              <w:spacing w:after="0" w:line="240" w:lineRule="auto"/>
              <w:rPr>
                <w:rFonts w:ascii="Arial" w:eastAsia="Times New Roman" w:hAnsi="Arial" w:cs="Arial"/>
                <w:color w:val="000000"/>
                <w:sz w:val="18"/>
                <w:szCs w:val="18"/>
                <w:lang w:eastAsia="sl-SI"/>
              </w:rPr>
            </w:pPr>
            <w:r w:rsidRPr="00562504">
              <w:rPr>
                <w:rFonts w:ascii="Arial" w:eastAsia="Times New Roman" w:hAnsi="Arial" w:cs="Arial"/>
                <w:color w:val="000000"/>
                <w:sz w:val="18"/>
                <w:szCs w:val="18"/>
                <w:lang w:eastAsia="sl-SI"/>
              </w:rPr>
              <w:t>Javne agencije</w:t>
            </w:r>
          </w:p>
        </w:tc>
        <w:tc>
          <w:tcPr>
            <w:tcW w:w="772" w:type="pct"/>
            <w:shd w:val="clear" w:color="auto" w:fill="auto"/>
            <w:vAlign w:val="center"/>
            <w:hideMark/>
          </w:tcPr>
          <w:p w14:paraId="51134EC9" w14:textId="77777777" w:rsidR="00E3750C" w:rsidRPr="00562504" w:rsidRDefault="00E3750C" w:rsidP="00047864">
            <w:pPr>
              <w:spacing w:after="0" w:line="240" w:lineRule="auto"/>
              <w:jc w:val="right"/>
              <w:rPr>
                <w:rFonts w:ascii="Arial" w:eastAsia="Times New Roman" w:hAnsi="Arial" w:cs="Arial"/>
                <w:color w:val="000000"/>
                <w:sz w:val="18"/>
                <w:szCs w:val="18"/>
                <w:lang w:eastAsia="sl-SI"/>
              </w:rPr>
            </w:pPr>
            <w:r w:rsidRPr="00562504">
              <w:rPr>
                <w:rFonts w:ascii="Arial" w:hAnsi="Arial" w:cs="Arial"/>
                <w:color w:val="000000"/>
                <w:sz w:val="18"/>
                <w:szCs w:val="18"/>
              </w:rPr>
              <w:t>11</w:t>
            </w:r>
          </w:p>
        </w:tc>
        <w:tc>
          <w:tcPr>
            <w:tcW w:w="541" w:type="pct"/>
            <w:shd w:val="clear" w:color="auto" w:fill="auto"/>
            <w:vAlign w:val="center"/>
            <w:hideMark/>
          </w:tcPr>
          <w:p w14:paraId="6CC260B0" w14:textId="77777777" w:rsidR="00E3750C" w:rsidRPr="00562504" w:rsidRDefault="00E3750C" w:rsidP="00047864">
            <w:pPr>
              <w:spacing w:after="0" w:line="240" w:lineRule="auto"/>
              <w:jc w:val="right"/>
              <w:rPr>
                <w:rFonts w:ascii="Arial" w:eastAsia="Times New Roman" w:hAnsi="Arial" w:cs="Arial"/>
                <w:color w:val="000000"/>
                <w:sz w:val="18"/>
                <w:szCs w:val="18"/>
                <w:lang w:eastAsia="sl-SI"/>
              </w:rPr>
            </w:pPr>
            <w:r w:rsidRPr="00562504">
              <w:rPr>
                <w:rFonts w:ascii="Arial" w:hAnsi="Arial" w:cs="Arial"/>
                <w:color w:val="000000"/>
                <w:sz w:val="18"/>
                <w:szCs w:val="18"/>
              </w:rPr>
              <w:t>91</w:t>
            </w:r>
          </w:p>
        </w:tc>
        <w:tc>
          <w:tcPr>
            <w:tcW w:w="927" w:type="pct"/>
            <w:shd w:val="clear" w:color="auto" w:fill="auto"/>
            <w:vAlign w:val="center"/>
            <w:hideMark/>
          </w:tcPr>
          <w:p w14:paraId="780440D0" w14:textId="77777777" w:rsidR="00E3750C" w:rsidRPr="00562504" w:rsidRDefault="00E3750C" w:rsidP="00047864">
            <w:pPr>
              <w:spacing w:after="0" w:line="240" w:lineRule="auto"/>
              <w:jc w:val="right"/>
              <w:rPr>
                <w:rFonts w:ascii="Arial" w:eastAsia="Times New Roman" w:hAnsi="Arial" w:cs="Arial"/>
                <w:color w:val="000000"/>
                <w:sz w:val="18"/>
                <w:szCs w:val="18"/>
                <w:lang w:eastAsia="sl-SI"/>
              </w:rPr>
            </w:pPr>
            <w:r w:rsidRPr="00562504">
              <w:rPr>
                <w:rFonts w:ascii="Arial" w:hAnsi="Arial" w:cs="Arial"/>
                <w:color w:val="000000"/>
                <w:sz w:val="18"/>
                <w:szCs w:val="18"/>
              </w:rPr>
              <w:t>11.242.977</w:t>
            </w:r>
          </w:p>
        </w:tc>
        <w:tc>
          <w:tcPr>
            <w:tcW w:w="618" w:type="pct"/>
            <w:shd w:val="clear" w:color="auto" w:fill="auto"/>
            <w:noWrap/>
            <w:vAlign w:val="center"/>
            <w:hideMark/>
          </w:tcPr>
          <w:p w14:paraId="56375596" w14:textId="77777777" w:rsidR="00E3750C" w:rsidRPr="00562504" w:rsidRDefault="00E3750C" w:rsidP="00047864">
            <w:pPr>
              <w:spacing w:after="0" w:line="240" w:lineRule="auto"/>
              <w:jc w:val="right"/>
              <w:rPr>
                <w:rFonts w:ascii="Arial" w:eastAsia="Times New Roman" w:hAnsi="Arial" w:cs="Arial"/>
                <w:color w:val="000000"/>
                <w:sz w:val="18"/>
                <w:szCs w:val="18"/>
                <w:lang w:eastAsia="sl-SI"/>
              </w:rPr>
            </w:pPr>
            <w:r w:rsidRPr="00562504">
              <w:rPr>
                <w:rFonts w:ascii="Arial" w:hAnsi="Arial" w:cs="Arial"/>
                <w:color w:val="000000"/>
                <w:sz w:val="18"/>
                <w:szCs w:val="18"/>
              </w:rPr>
              <w:t>0,67 %</w:t>
            </w:r>
          </w:p>
        </w:tc>
        <w:tc>
          <w:tcPr>
            <w:tcW w:w="599" w:type="pct"/>
            <w:shd w:val="clear" w:color="auto" w:fill="auto"/>
            <w:noWrap/>
            <w:vAlign w:val="center"/>
            <w:hideMark/>
          </w:tcPr>
          <w:p w14:paraId="23DB363B" w14:textId="77777777" w:rsidR="00E3750C" w:rsidRPr="00562504" w:rsidRDefault="00E3750C" w:rsidP="00047864">
            <w:pPr>
              <w:spacing w:after="0" w:line="240" w:lineRule="auto"/>
              <w:jc w:val="right"/>
              <w:rPr>
                <w:rFonts w:ascii="Arial" w:eastAsia="Times New Roman" w:hAnsi="Arial" w:cs="Arial"/>
                <w:color w:val="000000"/>
                <w:sz w:val="18"/>
                <w:szCs w:val="18"/>
                <w:lang w:eastAsia="sl-SI"/>
              </w:rPr>
            </w:pPr>
            <w:r w:rsidRPr="00562504">
              <w:rPr>
                <w:rFonts w:ascii="Arial" w:hAnsi="Arial" w:cs="Arial"/>
                <w:color w:val="000000"/>
                <w:sz w:val="18"/>
                <w:szCs w:val="18"/>
              </w:rPr>
              <w:t>0,29 %</w:t>
            </w:r>
          </w:p>
        </w:tc>
      </w:tr>
      <w:tr w:rsidR="00E3750C" w:rsidRPr="00562504" w14:paraId="69CECC74" w14:textId="77777777" w:rsidTr="00047864">
        <w:trPr>
          <w:trHeight w:val="300"/>
        </w:trPr>
        <w:tc>
          <w:tcPr>
            <w:tcW w:w="1542" w:type="pct"/>
            <w:shd w:val="clear" w:color="auto" w:fill="auto"/>
            <w:vAlign w:val="center"/>
            <w:hideMark/>
          </w:tcPr>
          <w:p w14:paraId="7209244C" w14:textId="77777777" w:rsidR="00E3750C" w:rsidRPr="00562504" w:rsidRDefault="00E3750C" w:rsidP="00047864">
            <w:pPr>
              <w:spacing w:after="0" w:line="240" w:lineRule="auto"/>
              <w:rPr>
                <w:rFonts w:ascii="Arial" w:eastAsia="Times New Roman" w:hAnsi="Arial" w:cs="Arial"/>
                <w:color w:val="000000"/>
                <w:sz w:val="18"/>
                <w:szCs w:val="18"/>
                <w:lang w:eastAsia="sl-SI"/>
              </w:rPr>
            </w:pPr>
            <w:r w:rsidRPr="00562504">
              <w:rPr>
                <w:rFonts w:ascii="Arial" w:eastAsia="Times New Roman" w:hAnsi="Arial" w:cs="Arial"/>
                <w:color w:val="000000"/>
                <w:sz w:val="18"/>
                <w:szCs w:val="18"/>
                <w:lang w:eastAsia="sl-SI"/>
              </w:rPr>
              <w:t>Javni zavodi</w:t>
            </w:r>
          </w:p>
        </w:tc>
        <w:tc>
          <w:tcPr>
            <w:tcW w:w="772" w:type="pct"/>
            <w:shd w:val="clear" w:color="auto" w:fill="auto"/>
            <w:vAlign w:val="center"/>
            <w:hideMark/>
          </w:tcPr>
          <w:p w14:paraId="63C270B1" w14:textId="77777777" w:rsidR="00E3750C" w:rsidRPr="00562504" w:rsidRDefault="00E3750C" w:rsidP="00047864">
            <w:pPr>
              <w:spacing w:after="0" w:line="240" w:lineRule="auto"/>
              <w:jc w:val="right"/>
              <w:rPr>
                <w:rFonts w:ascii="Arial" w:eastAsia="Times New Roman" w:hAnsi="Arial" w:cs="Arial"/>
                <w:color w:val="000000"/>
                <w:sz w:val="18"/>
                <w:szCs w:val="18"/>
                <w:lang w:eastAsia="sl-SI"/>
              </w:rPr>
            </w:pPr>
            <w:r w:rsidRPr="00562504">
              <w:rPr>
                <w:rFonts w:ascii="Arial" w:hAnsi="Arial" w:cs="Arial"/>
                <w:color w:val="000000"/>
                <w:sz w:val="18"/>
                <w:szCs w:val="18"/>
              </w:rPr>
              <w:t>471</w:t>
            </w:r>
          </w:p>
        </w:tc>
        <w:tc>
          <w:tcPr>
            <w:tcW w:w="541" w:type="pct"/>
            <w:shd w:val="clear" w:color="auto" w:fill="auto"/>
            <w:vAlign w:val="center"/>
            <w:hideMark/>
          </w:tcPr>
          <w:p w14:paraId="356A2485" w14:textId="77777777" w:rsidR="00E3750C" w:rsidRPr="00562504" w:rsidRDefault="00E3750C" w:rsidP="00047864">
            <w:pPr>
              <w:spacing w:after="0" w:line="240" w:lineRule="auto"/>
              <w:jc w:val="right"/>
              <w:rPr>
                <w:rFonts w:ascii="Arial" w:eastAsia="Times New Roman" w:hAnsi="Arial" w:cs="Arial"/>
                <w:color w:val="000000"/>
                <w:sz w:val="18"/>
                <w:szCs w:val="18"/>
                <w:lang w:eastAsia="sl-SI"/>
              </w:rPr>
            </w:pPr>
            <w:r w:rsidRPr="00562504">
              <w:rPr>
                <w:rFonts w:ascii="Arial" w:hAnsi="Arial" w:cs="Arial"/>
                <w:color w:val="000000"/>
                <w:sz w:val="18"/>
                <w:szCs w:val="18"/>
              </w:rPr>
              <w:t>9.971</w:t>
            </w:r>
          </w:p>
        </w:tc>
        <w:tc>
          <w:tcPr>
            <w:tcW w:w="927" w:type="pct"/>
            <w:shd w:val="clear" w:color="auto" w:fill="auto"/>
            <w:vAlign w:val="center"/>
            <w:hideMark/>
          </w:tcPr>
          <w:p w14:paraId="4407E393" w14:textId="77777777" w:rsidR="00E3750C" w:rsidRPr="00562504" w:rsidRDefault="00E3750C" w:rsidP="00047864">
            <w:pPr>
              <w:spacing w:after="0" w:line="240" w:lineRule="auto"/>
              <w:jc w:val="right"/>
              <w:rPr>
                <w:rFonts w:ascii="Arial" w:eastAsia="Times New Roman" w:hAnsi="Arial" w:cs="Arial"/>
                <w:color w:val="000000"/>
                <w:sz w:val="18"/>
                <w:szCs w:val="18"/>
                <w:lang w:eastAsia="sl-SI"/>
              </w:rPr>
            </w:pPr>
            <w:r w:rsidRPr="00562504">
              <w:rPr>
                <w:rFonts w:ascii="Arial" w:hAnsi="Arial" w:cs="Arial"/>
                <w:color w:val="000000"/>
                <w:sz w:val="18"/>
                <w:szCs w:val="18"/>
              </w:rPr>
              <w:t>1.412.557.574</w:t>
            </w:r>
          </w:p>
        </w:tc>
        <w:tc>
          <w:tcPr>
            <w:tcW w:w="618" w:type="pct"/>
            <w:shd w:val="clear" w:color="auto" w:fill="auto"/>
            <w:noWrap/>
            <w:vAlign w:val="center"/>
            <w:hideMark/>
          </w:tcPr>
          <w:p w14:paraId="7DB24F65" w14:textId="77777777" w:rsidR="00E3750C" w:rsidRPr="00562504" w:rsidRDefault="00E3750C" w:rsidP="00047864">
            <w:pPr>
              <w:spacing w:after="0" w:line="240" w:lineRule="auto"/>
              <w:jc w:val="right"/>
              <w:rPr>
                <w:rFonts w:ascii="Arial" w:eastAsia="Times New Roman" w:hAnsi="Arial" w:cs="Arial"/>
                <w:color w:val="000000"/>
                <w:sz w:val="18"/>
                <w:szCs w:val="18"/>
                <w:lang w:eastAsia="sl-SI"/>
              </w:rPr>
            </w:pPr>
            <w:r w:rsidRPr="00562504">
              <w:rPr>
                <w:rFonts w:ascii="Arial" w:hAnsi="Arial" w:cs="Arial"/>
                <w:color w:val="000000"/>
                <w:sz w:val="18"/>
                <w:szCs w:val="18"/>
              </w:rPr>
              <w:t>72,95 %</w:t>
            </w:r>
          </w:p>
        </w:tc>
        <w:tc>
          <w:tcPr>
            <w:tcW w:w="599" w:type="pct"/>
            <w:shd w:val="clear" w:color="auto" w:fill="auto"/>
            <w:noWrap/>
            <w:vAlign w:val="center"/>
            <w:hideMark/>
          </w:tcPr>
          <w:p w14:paraId="3C9CE375" w14:textId="77777777" w:rsidR="00E3750C" w:rsidRPr="00562504" w:rsidRDefault="00E3750C" w:rsidP="00047864">
            <w:pPr>
              <w:spacing w:after="0" w:line="240" w:lineRule="auto"/>
              <w:jc w:val="right"/>
              <w:rPr>
                <w:rFonts w:ascii="Arial" w:eastAsia="Times New Roman" w:hAnsi="Arial" w:cs="Arial"/>
                <w:color w:val="000000"/>
                <w:sz w:val="18"/>
                <w:szCs w:val="18"/>
                <w:lang w:eastAsia="sl-SI"/>
              </w:rPr>
            </w:pPr>
            <w:r w:rsidRPr="00562504">
              <w:rPr>
                <w:rFonts w:ascii="Arial" w:hAnsi="Arial" w:cs="Arial"/>
                <w:color w:val="000000"/>
                <w:sz w:val="18"/>
                <w:szCs w:val="18"/>
              </w:rPr>
              <w:t>36,43 %</w:t>
            </w:r>
          </w:p>
        </w:tc>
      </w:tr>
      <w:tr w:rsidR="00E3750C" w:rsidRPr="00562504" w14:paraId="3271FADA" w14:textId="77777777" w:rsidTr="00047864">
        <w:trPr>
          <w:trHeight w:val="300"/>
        </w:trPr>
        <w:tc>
          <w:tcPr>
            <w:tcW w:w="1542" w:type="pct"/>
            <w:shd w:val="clear" w:color="auto" w:fill="auto"/>
            <w:vAlign w:val="center"/>
            <w:hideMark/>
          </w:tcPr>
          <w:p w14:paraId="3D866CE3" w14:textId="77777777" w:rsidR="00E3750C" w:rsidRPr="00562504" w:rsidRDefault="00E3750C" w:rsidP="00047864">
            <w:pPr>
              <w:spacing w:after="0" w:line="240" w:lineRule="auto"/>
              <w:rPr>
                <w:rFonts w:ascii="Arial" w:eastAsia="Times New Roman" w:hAnsi="Arial" w:cs="Arial"/>
                <w:color w:val="000000"/>
                <w:sz w:val="18"/>
                <w:szCs w:val="18"/>
                <w:lang w:eastAsia="sl-SI"/>
              </w:rPr>
            </w:pPr>
            <w:r w:rsidRPr="00562504">
              <w:rPr>
                <w:rFonts w:ascii="Arial" w:eastAsia="Times New Roman" w:hAnsi="Arial" w:cs="Arial"/>
                <w:color w:val="000000"/>
                <w:sz w:val="18"/>
                <w:szCs w:val="18"/>
                <w:lang w:eastAsia="sl-SI"/>
              </w:rPr>
              <w:t>Javni gospodarski zavodi</w:t>
            </w:r>
          </w:p>
        </w:tc>
        <w:tc>
          <w:tcPr>
            <w:tcW w:w="772" w:type="pct"/>
            <w:shd w:val="clear" w:color="auto" w:fill="auto"/>
            <w:vAlign w:val="center"/>
            <w:hideMark/>
          </w:tcPr>
          <w:p w14:paraId="690C05C5" w14:textId="77777777" w:rsidR="00E3750C" w:rsidRPr="00562504" w:rsidRDefault="00E3750C" w:rsidP="00047864">
            <w:pPr>
              <w:spacing w:after="0" w:line="240" w:lineRule="auto"/>
              <w:jc w:val="right"/>
              <w:rPr>
                <w:rFonts w:ascii="Arial" w:eastAsia="Times New Roman" w:hAnsi="Arial" w:cs="Arial"/>
                <w:color w:val="000000"/>
                <w:sz w:val="18"/>
                <w:szCs w:val="18"/>
                <w:lang w:eastAsia="sl-SI"/>
              </w:rPr>
            </w:pPr>
            <w:r w:rsidRPr="00562504">
              <w:rPr>
                <w:rFonts w:ascii="Arial" w:hAnsi="Arial" w:cs="Arial"/>
                <w:color w:val="000000"/>
                <w:sz w:val="18"/>
                <w:szCs w:val="18"/>
              </w:rPr>
              <w:t>9</w:t>
            </w:r>
          </w:p>
        </w:tc>
        <w:tc>
          <w:tcPr>
            <w:tcW w:w="541" w:type="pct"/>
            <w:shd w:val="clear" w:color="auto" w:fill="auto"/>
            <w:vAlign w:val="center"/>
            <w:hideMark/>
          </w:tcPr>
          <w:p w14:paraId="0D465772" w14:textId="77777777" w:rsidR="00E3750C" w:rsidRPr="00562504" w:rsidRDefault="00E3750C" w:rsidP="00047864">
            <w:pPr>
              <w:spacing w:after="0" w:line="240" w:lineRule="auto"/>
              <w:jc w:val="right"/>
              <w:rPr>
                <w:rFonts w:ascii="Arial" w:eastAsia="Times New Roman" w:hAnsi="Arial" w:cs="Arial"/>
                <w:color w:val="000000"/>
                <w:sz w:val="18"/>
                <w:szCs w:val="18"/>
                <w:lang w:eastAsia="sl-SI"/>
              </w:rPr>
            </w:pPr>
            <w:r w:rsidRPr="00562504">
              <w:rPr>
                <w:rFonts w:ascii="Arial" w:hAnsi="Arial" w:cs="Arial"/>
                <w:color w:val="000000"/>
                <w:sz w:val="18"/>
                <w:szCs w:val="18"/>
              </w:rPr>
              <w:t>51</w:t>
            </w:r>
          </w:p>
        </w:tc>
        <w:tc>
          <w:tcPr>
            <w:tcW w:w="927" w:type="pct"/>
            <w:shd w:val="clear" w:color="auto" w:fill="auto"/>
            <w:vAlign w:val="center"/>
            <w:hideMark/>
          </w:tcPr>
          <w:p w14:paraId="5E957413" w14:textId="77777777" w:rsidR="00E3750C" w:rsidRPr="00562504" w:rsidRDefault="00E3750C" w:rsidP="00047864">
            <w:pPr>
              <w:spacing w:after="0" w:line="240" w:lineRule="auto"/>
              <w:jc w:val="right"/>
              <w:rPr>
                <w:rFonts w:ascii="Arial" w:eastAsia="Times New Roman" w:hAnsi="Arial" w:cs="Arial"/>
                <w:color w:val="000000"/>
                <w:sz w:val="18"/>
                <w:szCs w:val="18"/>
                <w:lang w:eastAsia="sl-SI"/>
              </w:rPr>
            </w:pPr>
            <w:r w:rsidRPr="00562504">
              <w:rPr>
                <w:rFonts w:ascii="Arial" w:hAnsi="Arial" w:cs="Arial"/>
                <w:color w:val="000000"/>
                <w:sz w:val="18"/>
                <w:szCs w:val="18"/>
              </w:rPr>
              <w:t>4.909.903</w:t>
            </w:r>
          </w:p>
        </w:tc>
        <w:tc>
          <w:tcPr>
            <w:tcW w:w="618" w:type="pct"/>
            <w:shd w:val="clear" w:color="auto" w:fill="auto"/>
            <w:noWrap/>
            <w:vAlign w:val="center"/>
            <w:hideMark/>
          </w:tcPr>
          <w:p w14:paraId="2692D791" w14:textId="77777777" w:rsidR="00E3750C" w:rsidRPr="00562504" w:rsidRDefault="00E3750C" w:rsidP="00047864">
            <w:pPr>
              <w:spacing w:after="0" w:line="240" w:lineRule="auto"/>
              <w:jc w:val="right"/>
              <w:rPr>
                <w:rFonts w:ascii="Arial" w:eastAsia="Times New Roman" w:hAnsi="Arial" w:cs="Arial"/>
                <w:color w:val="000000"/>
                <w:sz w:val="18"/>
                <w:szCs w:val="18"/>
                <w:lang w:eastAsia="sl-SI"/>
              </w:rPr>
            </w:pPr>
            <w:r w:rsidRPr="00562504">
              <w:rPr>
                <w:rFonts w:ascii="Arial" w:hAnsi="Arial" w:cs="Arial"/>
                <w:color w:val="000000"/>
                <w:sz w:val="18"/>
                <w:szCs w:val="18"/>
              </w:rPr>
              <w:t>0,37 %</w:t>
            </w:r>
          </w:p>
        </w:tc>
        <w:tc>
          <w:tcPr>
            <w:tcW w:w="599" w:type="pct"/>
            <w:shd w:val="clear" w:color="auto" w:fill="auto"/>
            <w:noWrap/>
            <w:vAlign w:val="center"/>
            <w:hideMark/>
          </w:tcPr>
          <w:p w14:paraId="6A64A745" w14:textId="77777777" w:rsidR="00E3750C" w:rsidRPr="00562504" w:rsidRDefault="00E3750C" w:rsidP="00047864">
            <w:pPr>
              <w:spacing w:after="0" w:line="240" w:lineRule="auto"/>
              <w:jc w:val="right"/>
              <w:rPr>
                <w:rFonts w:ascii="Arial" w:eastAsia="Times New Roman" w:hAnsi="Arial" w:cs="Arial"/>
                <w:color w:val="000000"/>
                <w:sz w:val="18"/>
                <w:szCs w:val="18"/>
                <w:lang w:eastAsia="sl-SI"/>
              </w:rPr>
            </w:pPr>
            <w:r w:rsidRPr="00562504">
              <w:rPr>
                <w:rFonts w:ascii="Arial" w:hAnsi="Arial" w:cs="Arial"/>
                <w:color w:val="000000"/>
                <w:sz w:val="18"/>
                <w:szCs w:val="18"/>
              </w:rPr>
              <w:t>0,13 %</w:t>
            </w:r>
          </w:p>
        </w:tc>
      </w:tr>
      <w:tr w:rsidR="00E3750C" w:rsidRPr="00562504" w14:paraId="12DED094" w14:textId="77777777" w:rsidTr="00047864">
        <w:trPr>
          <w:trHeight w:val="300"/>
        </w:trPr>
        <w:tc>
          <w:tcPr>
            <w:tcW w:w="1542" w:type="pct"/>
            <w:shd w:val="clear" w:color="auto" w:fill="auto"/>
            <w:noWrap/>
            <w:vAlign w:val="center"/>
            <w:hideMark/>
          </w:tcPr>
          <w:p w14:paraId="59B14F8A" w14:textId="77777777" w:rsidR="00E3750C" w:rsidRPr="00562504" w:rsidRDefault="00E3750C" w:rsidP="00047864">
            <w:pPr>
              <w:spacing w:after="0" w:line="240" w:lineRule="auto"/>
              <w:rPr>
                <w:rFonts w:ascii="Arial" w:eastAsia="Times New Roman" w:hAnsi="Arial" w:cs="Arial"/>
                <w:color w:val="000000"/>
                <w:sz w:val="18"/>
                <w:szCs w:val="18"/>
                <w:lang w:eastAsia="sl-SI"/>
              </w:rPr>
            </w:pPr>
            <w:r w:rsidRPr="00562504">
              <w:rPr>
                <w:rFonts w:ascii="Arial" w:eastAsia="Times New Roman" w:hAnsi="Arial" w:cs="Arial"/>
                <w:color w:val="000000"/>
                <w:sz w:val="18"/>
                <w:szCs w:val="18"/>
                <w:lang w:eastAsia="sl-SI"/>
              </w:rPr>
              <w:t xml:space="preserve">Drugi naročniki (osebe javnega prava, javna podjetja, subjekt s posebnimi infrastrukturnimi pravicami) </w:t>
            </w:r>
          </w:p>
        </w:tc>
        <w:tc>
          <w:tcPr>
            <w:tcW w:w="772" w:type="pct"/>
            <w:shd w:val="clear" w:color="auto" w:fill="auto"/>
            <w:vAlign w:val="center"/>
            <w:hideMark/>
          </w:tcPr>
          <w:p w14:paraId="024552E1" w14:textId="77777777" w:rsidR="00E3750C" w:rsidRPr="00562504" w:rsidRDefault="00E3750C" w:rsidP="00047864">
            <w:pPr>
              <w:spacing w:after="0" w:line="240" w:lineRule="auto"/>
              <w:jc w:val="right"/>
              <w:rPr>
                <w:rFonts w:ascii="Arial" w:eastAsia="Times New Roman" w:hAnsi="Arial" w:cs="Arial"/>
                <w:color w:val="000000"/>
                <w:sz w:val="18"/>
                <w:szCs w:val="18"/>
                <w:lang w:eastAsia="sl-SI"/>
              </w:rPr>
            </w:pPr>
            <w:r w:rsidRPr="00562504">
              <w:rPr>
                <w:rFonts w:ascii="Arial" w:hAnsi="Arial" w:cs="Arial"/>
                <w:color w:val="000000"/>
                <w:sz w:val="18"/>
                <w:szCs w:val="18"/>
              </w:rPr>
              <w:t>5</w:t>
            </w:r>
          </w:p>
        </w:tc>
        <w:tc>
          <w:tcPr>
            <w:tcW w:w="541" w:type="pct"/>
            <w:shd w:val="clear" w:color="auto" w:fill="auto"/>
            <w:vAlign w:val="center"/>
            <w:hideMark/>
          </w:tcPr>
          <w:p w14:paraId="38892AE0" w14:textId="77777777" w:rsidR="00E3750C" w:rsidRPr="00562504" w:rsidRDefault="00E3750C" w:rsidP="00047864">
            <w:pPr>
              <w:spacing w:after="0" w:line="240" w:lineRule="auto"/>
              <w:jc w:val="right"/>
              <w:rPr>
                <w:rFonts w:ascii="Arial" w:eastAsia="Times New Roman" w:hAnsi="Arial" w:cs="Arial"/>
                <w:color w:val="000000"/>
                <w:sz w:val="18"/>
                <w:szCs w:val="18"/>
                <w:lang w:eastAsia="sl-SI"/>
              </w:rPr>
            </w:pPr>
            <w:r w:rsidRPr="00562504">
              <w:rPr>
                <w:rFonts w:ascii="Arial" w:hAnsi="Arial" w:cs="Arial"/>
                <w:color w:val="000000"/>
                <w:sz w:val="18"/>
                <w:szCs w:val="18"/>
              </w:rPr>
              <w:t>21</w:t>
            </w:r>
          </w:p>
        </w:tc>
        <w:tc>
          <w:tcPr>
            <w:tcW w:w="927" w:type="pct"/>
            <w:shd w:val="clear" w:color="auto" w:fill="auto"/>
            <w:vAlign w:val="center"/>
            <w:hideMark/>
          </w:tcPr>
          <w:p w14:paraId="013EA281" w14:textId="77777777" w:rsidR="00E3750C" w:rsidRPr="00562504" w:rsidRDefault="00E3750C" w:rsidP="00047864">
            <w:pPr>
              <w:spacing w:after="0" w:line="240" w:lineRule="auto"/>
              <w:jc w:val="right"/>
              <w:rPr>
                <w:rFonts w:ascii="Arial" w:eastAsia="Times New Roman" w:hAnsi="Arial" w:cs="Arial"/>
                <w:color w:val="000000"/>
                <w:sz w:val="18"/>
                <w:szCs w:val="18"/>
                <w:lang w:eastAsia="sl-SI"/>
              </w:rPr>
            </w:pPr>
            <w:r w:rsidRPr="00562504">
              <w:rPr>
                <w:rFonts w:ascii="Arial" w:hAnsi="Arial" w:cs="Arial"/>
                <w:color w:val="000000"/>
                <w:sz w:val="18"/>
                <w:szCs w:val="18"/>
              </w:rPr>
              <w:t>1.057.021</w:t>
            </w:r>
          </w:p>
        </w:tc>
        <w:tc>
          <w:tcPr>
            <w:tcW w:w="618" w:type="pct"/>
            <w:shd w:val="clear" w:color="auto" w:fill="auto"/>
            <w:noWrap/>
            <w:vAlign w:val="center"/>
            <w:hideMark/>
          </w:tcPr>
          <w:p w14:paraId="5AECF226" w14:textId="77777777" w:rsidR="00E3750C" w:rsidRPr="00562504" w:rsidRDefault="00E3750C" w:rsidP="00047864">
            <w:pPr>
              <w:spacing w:after="0" w:line="240" w:lineRule="auto"/>
              <w:jc w:val="right"/>
              <w:rPr>
                <w:rFonts w:ascii="Arial" w:eastAsia="Times New Roman" w:hAnsi="Arial" w:cs="Arial"/>
                <w:color w:val="000000"/>
                <w:sz w:val="18"/>
                <w:szCs w:val="18"/>
                <w:lang w:eastAsia="sl-SI"/>
              </w:rPr>
            </w:pPr>
            <w:r w:rsidRPr="00562504">
              <w:rPr>
                <w:rFonts w:ascii="Arial" w:hAnsi="Arial" w:cs="Arial"/>
                <w:color w:val="000000"/>
                <w:sz w:val="18"/>
                <w:szCs w:val="18"/>
              </w:rPr>
              <w:t>0,15 %</w:t>
            </w:r>
          </w:p>
        </w:tc>
        <w:tc>
          <w:tcPr>
            <w:tcW w:w="599" w:type="pct"/>
            <w:shd w:val="clear" w:color="auto" w:fill="auto"/>
            <w:noWrap/>
            <w:vAlign w:val="center"/>
            <w:hideMark/>
          </w:tcPr>
          <w:p w14:paraId="4F1279FD" w14:textId="77777777" w:rsidR="00E3750C" w:rsidRPr="00562504" w:rsidRDefault="00E3750C" w:rsidP="00047864">
            <w:pPr>
              <w:spacing w:after="0" w:line="240" w:lineRule="auto"/>
              <w:jc w:val="right"/>
              <w:rPr>
                <w:rFonts w:ascii="Arial" w:eastAsia="Times New Roman" w:hAnsi="Arial" w:cs="Arial"/>
                <w:color w:val="000000"/>
                <w:sz w:val="18"/>
                <w:szCs w:val="18"/>
                <w:lang w:eastAsia="sl-SI"/>
              </w:rPr>
            </w:pPr>
            <w:r w:rsidRPr="00562504">
              <w:rPr>
                <w:rFonts w:ascii="Arial" w:hAnsi="Arial" w:cs="Arial"/>
                <w:color w:val="000000"/>
                <w:sz w:val="18"/>
                <w:szCs w:val="18"/>
              </w:rPr>
              <w:t>0,03 %</w:t>
            </w:r>
          </w:p>
        </w:tc>
      </w:tr>
      <w:tr w:rsidR="00E3750C" w:rsidRPr="00562504" w14:paraId="7EB162B3" w14:textId="77777777" w:rsidTr="00047864">
        <w:trPr>
          <w:trHeight w:val="300"/>
        </w:trPr>
        <w:tc>
          <w:tcPr>
            <w:tcW w:w="1542" w:type="pct"/>
            <w:shd w:val="clear" w:color="auto" w:fill="auto"/>
            <w:vAlign w:val="center"/>
            <w:hideMark/>
          </w:tcPr>
          <w:p w14:paraId="08F4864D" w14:textId="77777777" w:rsidR="00E3750C" w:rsidRPr="00562504" w:rsidRDefault="00E3750C" w:rsidP="00047864">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Drugi subjekti</w:t>
            </w:r>
          </w:p>
        </w:tc>
        <w:tc>
          <w:tcPr>
            <w:tcW w:w="772" w:type="pct"/>
            <w:shd w:val="clear" w:color="auto" w:fill="auto"/>
            <w:vAlign w:val="center"/>
            <w:hideMark/>
          </w:tcPr>
          <w:p w14:paraId="27D0E4DB" w14:textId="77777777" w:rsidR="00E3750C" w:rsidRPr="00562504" w:rsidRDefault="00E3750C" w:rsidP="00047864">
            <w:pPr>
              <w:spacing w:after="0" w:line="240" w:lineRule="auto"/>
              <w:jc w:val="right"/>
              <w:rPr>
                <w:rFonts w:ascii="Arial" w:eastAsia="Times New Roman" w:hAnsi="Arial" w:cs="Arial"/>
                <w:color w:val="000000"/>
                <w:sz w:val="18"/>
                <w:szCs w:val="18"/>
                <w:lang w:eastAsia="sl-SI"/>
              </w:rPr>
            </w:pPr>
            <w:r w:rsidRPr="00562504">
              <w:rPr>
                <w:rFonts w:ascii="Arial" w:hAnsi="Arial" w:cs="Arial"/>
                <w:color w:val="000000"/>
                <w:sz w:val="18"/>
                <w:szCs w:val="18"/>
              </w:rPr>
              <w:t>2</w:t>
            </w:r>
          </w:p>
        </w:tc>
        <w:tc>
          <w:tcPr>
            <w:tcW w:w="541" w:type="pct"/>
            <w:shd w:val="clear" w:color="auto" w:fill="auto"/>
            <w:vAlign w:val="center"/>
            <w:hideMark/>
          </w:tcPr>
          <w:p w14:paraId="13E877D5" w14:textId="77777777" w:rsidR="00E3750C" w:rsidRPr="00562504" w:rsidRDefault="00E3750C" w:rsidP="00047864">
            <w:pPr>
              <w:spacing w:after="0" w:line="240" w:lineRule="auto"/>
              <w:jc w:val="right"/>
              <w:rPr>
                <w:rFonts w:ascii="Arial" w:eastAsia="Times New Roman" w:hAnsi="Arial" w:cs="Arial"/>
                <w:color w:val="000000"/>
                <w:sz w:val="18"/>
                <w:szCs w:val="18"/>
                <w:lang w:eastAsia="sl-SI"/>
              </w:rPr>
            </w:pPr>
            <w:r w:rsidRPr="00562504">
              <w:rPr>
                <w:rFonts w:ascii="Arial" w:hAnsi="Arial" w:cs="Arial"/>
                <w:color w:val="000000"/>
                <w:sz w:val="18"/>
                <w:szCs w:val="18"/>
              </w:rPr>
              <w:t>2</w:t>
            </w:r>
          </w:p>
        </w:tc>
        <w:tc>
          <w:tcPr>
            <w:tcW w:w="927" w:type="pct"/>
            <w:shd w:val="clear" w:color="auto" w:fill="auto"/>
            <w:vAlign w:val="center"/>
            <w:hideMark/>
          </w:tcPr>
          <w:p w14:paraId="5849EACA" w14:textId="77777777" w:rsidR="00E3750C" w:rsidRPr="00562504" w:rsidRDefault="00E3750C" w:rsidP="00047864">
            <w:pPr>
              <w:spacing w:after="0" w:line="240" w:lineRule="auto"/>
              <w:jc w:val="right"/>
              <w:rPr>
                <w:rFonts w:ascii="Arial" w:eastAsia="Times New Roman" w:hAnsi="Arial" w:cs="Arial"/>
                <w:color w:val="000000"/>
                <w:sz w:val="18"/>
                <w:szCs w:val="18"/>
                <w:lang w:eastAsia="sl-SI"/>
              </w:rPr>
            </w:pPr>
            <w:r w:rsidRPr="00562504">
              <w:rPr>
                <w:rFonts w:ascii="Arial" w:hAnsi="Arial" w:cs="Arial"/>
                <w:color w:val="000000"/>
                <w:sz w:val="18"/>
                <w:szCs w:val="18"/>
              </w:rPr>
              <w:t>830.858</w:t>
            </w:r>
          </w:p>
        </w:tc>
        <w:tc>
          <w:tcPr>
            <w:tcW w:w="618" w:type="pct"/>
            <w:shd w:val="clear" w:color="auto" w:fill="auto"/>
            <w:noWrap/>
            <w:vAlign w:val="center"/>
            <w:hideMark/>
          </w:tcPr>
          <w:p w14:paraId="26C11B01" w14:textId="77777777" w:rsidR="00E3750C" w:rsidRPr="00562504" w:rsidRDefault="00E3750C" w:rsidP="00047864">
            <w:pPr>
              <w:spacing w:after="0" w:line="240" w:lineRule="auto"/>
              <w:jc w:val="right"/>
              <w:rPr>
                <w:rFonts w:ascii="Arial" w:eastAsia="Times New Roman" w:hAnsi="Arial" w:cs="Arial"/>
                <w:color w:val="000000"/>
                <w:sz w:val="18"/>
                <w:szCs w:val="18"/>
                <w:lang w:eastAsia="sl-SI"/>
              </w:rPr>
            </w:pPr>
            <w:r w:rsidRPr="00562504">
              <w:rPr>
                <w:rFonts w:ascii="Arial" w:hAnsi="Arial" w:cs="Arial"/>
                <w:color w:val="000000"/>
                <w:sz w:val="18"/>
                <w:szCs w:val="18"/>
              </w:rPr>
              <w:t>0,01 %</w:t>
            </w:r>
          </w:p>
        </w:tc>
        <w:tc>
          <w:tcPr>
            <w:tcW w:w="599" w:type="pct"/>
            <w:shd w:val="clear" w:color="auto" w:fill="auto"/>
            <w:noWrap/>
            <w:vAlign w:val="center"/>
            <w:hideMark/>
          </w:tcPr>
          <w:p w14:paraId="5935C41D" w14:textId="77777777" w:rsidR="00E3750C" w:rsidRPr="00562504" w:rsidRDefault="00E3750C" w:rsidP="00047864">
            <w:pPr>
              <w:spacing w:after="0" w:line="240" w:lineRule="auto"/>
              <w:jc w:val="right"/>
              <w:rPr>
                <w:rFonts w:ascii="Arial" w:eastAsia="Times New Roman" w:hAnsi="Arial" w:cs="Arial"/>
                <w:color w:val="000000"/>
                <w:sz w:val="18"/>
                <w:szCs w:val="18"/>
                <w:lang w:eastAsia="sl-SI"/>
              </w:rPr>
            </w:pPr>
            <w:r w:rsidRPr="00562504">
              <w:rPr>
                <w:rFonts w:ascii="Arial" w:hAnsi="Arial" w:cs="Arial"/>
                <w:color w:val="000000"/>
                <w:sz w:val="18"/>
                <w:szCs w:val="18"/>
              </w:rPr>
              <w:t>0,02 %</w:t>
            </w:r>
          </w:p>
        </w:tc>
      </w:tr>
      <w:tr w:rsidR="00E3750C" w:rsidRPr="00BF7302" w14:paraId="0168849B" w14:textId="77777777" w:rsidTr="00047864">
        <w:trPr>
          <w:trHeight w:val="300"/>
        </w:trPr>
        <w:tc>
          <w:tcPr>
            <w:tcW w:w="1542" w:type="pct"/>
            <w:shd w:val="clear" w:color="auto" w:fill="F2F2F2" w:themeFill="background1" w:themeFillShade="F2"/>
            <w:noWrap/>
            <w:vAlign w:val="center"/>
            <w:hideMark/>
          </w:tcPr>
          <w:p w14:paraId="762468E1" w14:textId="77777777" w:rsidR="00E3750C" w:rsidRPr="00562504" w:rsidRDefault="00E3750C" w:rsidP="00047864">
            <w:pPr>
              <w:spacing w:after="0" w:line="240" w:lineRule="auto"/>
              <w:rPr>
                <w:rFonts w:ascii="Arial" w:eastAsia="Times New Roman" w:hAnsi="Arial" w:cs="Arial"/>
                <w:b/>
                <w:bCs/>
                <w:color w:val="000000"/>
                <w:sz w:val="18"/>
                <w:szCs w:val="18"/>
                <w:lang w:eastAsia="sl-SI"/>
              </w:rPr>
            </w:pPr>
            <w:r w:rsidRPr="00562504">
              <w:rPr>
                <w:rFonts w:ascii="Arial" w:eastAsia="Times New Roman" w:hAnsi="Arial" w:cs="Arial"/>
                <w:b/>
                <w:bCs/>
                <w:color w:val="000000"/>
                <w:sz w:val="18"/>
                <w:szCs w:val="18"/>
                <w:lang w:eastAsia="sl-SI"/>
              </w:rPr>
              <w:t>Skupaj</w:t>
            </w:r>
          </w:p>
        </w:tc>
        <w:tc>
          <w:tcPr>
            <w:tcW w:w="772" w:type="pct"/>
            <w:shd w:val="clear" w:color="auto" w:fill="F2F2F2" w:themeFill="background1" w:themeFillShade="F2"/>
            <w:noWrap/>
            <w:vAlign w:val="center"/>
            <w:hideMark/>
          </w:tcPr>
          <w:p w14:paraId="6DD889AE" w14:textId="77777777" w:rsidR="00E3750C" w:rsidRPr="00562504" w:rsidRDefault="00E3750C" w:rsidP="00047864">
            <w:pPr>
              <w:spacing w:after="0" w:line="240" w:lineRule="auto"/>
              <w:jc w:val="right"/>
              <w:rPr>
                <w:rFonts w:ascii="Arial" w:eastAsia="Times New Roman" w:hAnsi="Arial" w:cs="Arial"/>
                <w:b/>
                <w:bCs/>
                <w:color w:val="000000"/>
                <w:sz w:val="18"/>
                <w:szCs w:val="18"/>
                <w:lang w:eastAsia="sl-SI"/>
              </w:rPr>
            </w:pPr>
            <w:r w:rsidRPr="00562504">
              <w:rPr>
                <w:rFonts w:ascii="Arial" w:hAnsi="Arial" w:cs="Arial"/>
                <w:b/>
                <w:bCs/>
                <w:color w:val="000000"/>
                <w:sz w:val="18"/>
                <w:szCs w:val="18"/>
              </w:rPr>
              <w:t>755</w:t>
            </w:r>
          </w:p>
        </w:tc>
        <w:tc>
          <w:tcPr>
            <w:tcW w:w="541" w:type="pct"/>
            <w:shd w:val="clear" w:color="auto" w:fill="F2F2F2" w:themeFill="background1" w:themeFillShade="F2"/>
            <w:noWrap/>
            <w:vAlign w:val="center"/>
            <w:hideMark/>
          </w:tcPr>
          <w:p w14:paraId="2726C17D" w14:textId="77777777" w:rsidR="00E3750C" w:rsidRPr="00562504" w:rsidRDefault="00E3750C" w:rsidP="00047864">
            <w:pPr>
              <w:spacing w:after="0" w:line="240" w:lineRule="auto"/>
              <w:jc w:val="right"/>
              <w:rPr>
                <w:rFonts w:ascii="Arial" w:eastAsia="Times New Roman" w:hAnsi="Arial" w:cs="Arial"/>
                <w:b/>
                <w:bCs/>
                <w:color w:val="000000"/>
                <w:sz w:val="18"/>
                <w:szCs w:val="18"/>
                <w:lang w:eastAsia="sl-SI"/>
              </w:rPr>
            </w:pPr>
            <w:r w:rsidRPr="00562504">
              <w:rPr>
                <w:rFonts w:ascii="Arial" w:hAnsi="Arial" w:cs="Arial"/>
                <w:b/>
                <w:bCs/>
                <w:color w:val="000000"/>
                <w:sz w:val="18"/>
                <w:szCs w:val="18"/>
              </w:rPr>
              <w:t>13.669</w:t>
            </w:r>
          </w:p>
        </w:tc>
        <w:tc>
          <w:tcPr>
            <w:tcW w:w="927" w:type="pct"/>
            <w:shd w:val="clear" w:color="auto" w:fill="F2F2F2" w:themeFill="background1" w:themeFillShade="F2"/>
            <w:noWrap/>
            <w:vAlign w:val="center"/>
            <w:hideMark/>
          </w:tcPr>
          <w:p w14:paraId="14D993D5" w14:textId="77777777" w:rsidR="00E3750C" w:rsidRPr="00562504" w:rsidRDefault="00E3750C" w:rsidP="00047864">
            <w:pPr>
              <w:spacing w:after="0" w:line="240" w:lineRule="auto"/>
              <w:jc w:val="right"/>
              <w:rPr>
                <w:rFonts w:ascii="Arial" w:eastAsia="Times New Roman" w:hAnsi="Arial" w:cs="Arial"/>
                <w:b/>
                <w:bCs/>
                <w:color w:val="000000"/>
                <w:sz w:val="18"/>
                <w:szCs w:val="18"/>
                <w:lang w:eastAsia="sl-SI"/>
              </w:rPr>
            </w:pPr>
            <w:r w:rsidRPr="00562504">
              <w:rPr>
                <w:rFonts w:ascii="Arial" w:hAnsi="Arial" w:cs="Arial"/>
                <w:b/>
                <w:bCs/>
                <w:color w:val="000000"/>
                <w:sz w:val="18"/>
                <w:szCs w:val="18"/>
              </w:rPr>
              <w:t>3.877.573.878</w:t>
            </w:r>
          </w:p>
        </w:tc>
        <w:tc>
          <w:tcPr>
            <w:tcW w:w="618" w:type="pct"/>
            <w:shd w:val="clear" w:color="auto" w:fill="F2F2F2" w:themeFill="background1" w:themeFillShade="F2"/>
            <w:noWrap/>
            <w:vAlign w:val="center"/>
            <w:hideMark/>
          </w:tcPr>
          <w:p w14:paraId="7A09076D" w14:textId="77777777" w:rsidR="00E3750C" w:rsidRPr="00562504" w:rsidRDefault="00E3750C" w:rsidP="00047864">
            <w:pPr>
              <w:spacing w:after="0" w:line="240" w:lineRule="auto"/>
              <w:jc w:val="right"/>
              <w:rPr>
                <w:rFonts w:ascii="Arial" w:eastAsia="Times New Roman" w:hAnsi="Arial" w:cs="Arial"/>
                <w:b/>
                <w:bCs/>
                <w:color w:val="000000"/>
                <w:sz w:val="18"/>
                <w:szCs w:val="18"/>
                <w:lang w:eastAsia="sl-SI"/>
              </w:rPr>
            </w:pPr>
            <w:r w:rsidRPr="00562504">
              <w:rPr>
                <w:rFonts w:ascii="Arial" w:hAnsi="Arial" w:cs="Arial"/>
                <w:b/>
                <w:bCs/>
                <w:color w:val="000000"/>
                <w:sz w:val="18"/>
                <w:szCs w:val="18"/>
              </w:rPr>
              <w:t>100,00 %</w:t>
            </w:r>
          </w:p>
        </w:tc>
        <w:tc>
          <w:tcPr>
            <w:tcW w:w="599" w:type="pct"/>
            <w:shd w:val="clear" w:color="auto" w:fill="F2F2F2" w:themeFill="background1" w:themeFillShade="F2"/>
            <w:noWrap/>
            <w:vAlign w:val="center"/>
            <w:hideMark/>
          </w:tcPr>
          <w:p w14:paraId="476ED184" w14:textId="77777777" w:rsidR="00E3750C" w:rsidRPr="00562504" w:rsidRDefault="00E3750C" w:rsidP="00047864">
            <w:pPr>
              <w:spacing w:after="0" w:line="240" w:lineRule="auto"/>
              <w:jc w:val="right"/>
              <w:rPr>
                <w:rFonts w:ascii="Arial" w:eastAsia="Times New Roman" w:hAnsi="Arial" w:cs="Arial"/>
                <w:b/>
                <w:bCs/>
                <w:color w:val="000000"/>
                <w:sz w:val="18"/>
                <w:szCs w:val="18"/>
                <w:lang w:eastAsia="sl-SI"/>
              </w:rPr>
            </w:pPr>
            <w:r w:rsidRPr="00562504">
              <w:rPr>
                <w:rFonts w:ascii="Arial" w:hAnsi="Arial" w:cs="Arial"/>
                <w:b/>
                <w:bCs/>
                <w:color w:val="000000"/>
                <w:sz w:val="18"/>
                <w:szCs w:val="18"/>
              </w:rPr>
              <w:t>100,00 %</w:t>
            </w:r>
          </w:p>
        </w:tc>
      </w:tr>
    </w:tbl>
    <w:p w14:paraId="21B3E502" w14:textId="77777777" w:rsidR="00E3750C" w:rsidRPr="00BF7302" w:rsidRDefault="00E3750C" w:rsidP="00E3750C">
      <w:pPr>
        <w:spacing w:after="0" w:line="240" w:lineRule="auto"/>
        <w:jc w:val="right"/>
        <w:rPr>
          <w:rFonts w:ascii="Arial" w:hAnsi="Arial" w:cs="Arial"/>
          <w:b/>
          <w:bCs/>
          <w:sz w:val="18"/>
          <w:szCs w:val="18"/>
          <w:highlight w:val="yellow"/>
        </w:rPr>
      </w:pPr>
    </w:p>
    <w:p w14:paraId="0D654823" w14:textId="77777777" w:rsidR="00E3750C" w:rsidRPr="005C760E" w:rsidRDefault="00E3750C" w:rsidP="00E3750C">
      <w:pPr>
        <w:spacing w:before="120" w:after="0" w:line="240" w:lineRule="auto"/>
        <w:jc w:val="both"/>
        <w:rPr>
          <w:rFonts w:ascii="Arial" w:hAnsi="Arial" w:cs="Arial"/>
          <w:sz w:val="20"/>
        </w:rPr>
      </w:pPr>
      <w:bookmarkStart w:id="102" w:name="_Toc367784265"/>
      <w:bookmarkStart w:id="103" w:name="_Toc368925710"/>
      <w:bookmarkStart w:id="104" w:name="_Toc369000993"/>
      <w:bookmarkStart w:id="105" w:name="_Toc398038713"/>
      <w:bookmarkStart w:id="106" w:name="_Toc398040192"/>
      <w:bookmarkStart w:id="107" w:name="_Toc398584430"/>
      <w:bookmarkStart w:id="108" w:name="_Toc461086446"/>
      <w:bookmarkStart w:id="109" w:name="_Toc461608818"/>
      <w:bookmarkStart w:id="110" w:name="_Toc462401237"/>
      <w:bookmarkEnd w:id="93"/>
      <w:bookmarkEnd w:id="94"/>
      <w:bookmarkEnd w:id="95"/>
      <w:r w:rsidRPr="005C760E">
        <w:rPr>
          <w:rFonts w:ascii="Arial" w:hAnsi="Arial" w:cs="Arial"/>
          <w:sz w:val="20"/>
        </w:rPr>
        <w:lastRenderedPageBreak/>
        <w:t>Preglednica 8</w:t>
      </w:r>
      <w:r>
        <w:rPr>
          <w:rFonts w:ascii="Arial" w:hAnsi="Arial" w:cs="Arial"/>
          <w:sz w:val="20"/>
        </w:rPr>
        <w:t>5</w:t>
      </w:r>
      <w:r w:rsidRPr="005C760E">
        <w:rPr>
          <w:rFonts w:ascii="Arial" w:hAnsi="Arial" w:cs="Arial"/>
          <w:sz w:val="20"/>
        </w:rPr>
        <w:t>: Javna naročila, sofinancirana s sredstvi EU glede na predmet naročanja i</w:t>
      </w:r>
      <w:bookmarkEnd w:id="102"/>
      <w:bookmarkEnd w:id="103"/>
      <w:bookmarkEnd w:id="104"/>
      <w:r w:rsidRPr="005C760E">
        <w:rPr>
          <w:rFonts w:ascii="Arial" w:hAnsi="Arial" w:cs="Arial"/>
          <w:sz w:val="20"/>
        </w:rPr>
        <w:t>n vrsto postopka</w:t>
      </w:r>
      <w:bookmarkEnd w:id="105"/>
      <w:bookmarkEnd w:id="106"/>
      <w:bookmarkEnd w:id="107"/>
      <w:bookmarkEnd w:id="108"/>
      <w:bookmarkEnd w:id="109"/>
      <w:bookmarkEnd w:id="110"/>
    </w:p>
    <w:p w14:paraId="018D0D7F" w14:textId="77777777" w:rsidR="00E3750C" w:rsidRPr="00BF7302" w:rsidRDefault="00E3750C" w:rsidP="00E3750C">
      <w:pPr>
        <w:spacing w:after="0" w:line="240" w:lineRule="auto"/>
        <w:jc w:val="both"/>
        <w:rPr>
          <w:rFonts w:ascii="Arial" w:hAnsi="Arial" w:cs="Arial"/>
          <w:sz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8"/>
        <w:gridCol w:w="4053"/>
        <w:gridCol w:w="1310"/>
        <w:gridCol w:w="987"/>
        <w:gridCol w:w="1956"/>
      </w:tblGrid>
      <w:tr w:rsidR="00E3750C" w:rsidRPr="004C42D0" w14:paraId="5B5C43F9" w14:textId="77777777" w:rsidTr="00047864">
        <w:trPr>
          <w:trHeight w:val="288"/>
        </w:trPr>
        <w:tc>
          <w:tcPr>
            <w:tcW w:w="473" w:type="pct"/>
            <w:shd w:val="clear" w:color="000000" w:fill="F2F2F2"/>
            <w:vAlign w:val="center"/>
            <w:hideMark/>
          </w:tcPr>
          <w:p w14:paraId="1B4B6165" w14:textId="77777777" w:rsidR="00E3750C" w:rsidRPr="004C42D0" w:rsidRDefault="00E3750C" w:rsidP="00047864">
            <w:pPr>
              <w:spacing w:after="0" w:line="240" w:lineRule="auto"/>
              <w:jc w:val="center"/>
              <w:rPr>
                <w:rFonts w:ascii="Arial" w:eastAsia="Times New Roman" w:hAnsi="Arial" w:cs="Arial"/>
                <w:color w:val="000000"/>
                <w:sz w:val="18"/>
                <w:szCs w:val="18"/>
                <w:lang w:eastAsia="sl-SI"/>
              </w:rPr>
            </w:pPr>
            <w:bookmarkStart w:id="111" w:name="_Toc398038714"/>
            <w:bookmarkStart w:id="112" w:name="_Toc398040193"/>
            <w:bookmarkStart w:id="113" w:name="_Toc398584431"/>
            <w:bookmarkStart w:id="114" w:name="_Toc461086447"/>
            <w:bookmarkStart w:id="115" w:name="_Toc461608819"/>
            <w:bookmarkStart w:id="116" w:name="_Toc462401238"/>
            <w:r w:rsidRPr="004C42D0">
              <w:rPr>
                <w:rFonts w:ascii="Arial" w:eastAsia="Times New Roman" w:hAnsi="Arial" w:cs="Arial"/>
                <w:color w:val="000000"/>
                <w:sz w:val="18"/>
                <w:szCs w:val="18"/>
                <w:lang w:eastAsia="sl-SI"/>
              </w:rPr>
              <w:t xml:space="preserve">Predmet </w:t>
            </w:r>
          </w:p>
        </w:tc>
        <w:tc>
          <w:tcPr>
            <w:tcW w:w="2209" w:type="pct"/>
            <w:shd w:val="clear" w:color="000000" w:fill="F2F2F2"/>
            <w:vAlign w:val="center"/>
            <w:hideMark/>
          </w:tcPr>
          <w:p w14:paraId="35E42DE2" w14:textId="77777777" w:rsidR="00E3750C" w:rsidRPr="004C42D0" w:rsidRDefault="00E3750C" w:rsidP="00047864">
            <w:pPr>
              <w:spacing w:after="0" w:line="240" w:lineRule="auto"/>
              <w:jc w:val="center"/>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Vrsta postopka</w:t>
            </w:r>
          </w:p>
        </w:tc>
        <w:tc>
          <w:tcPr>
            <w:tcW w:w="714" w:type="pct"/>
            <w:shd w:val="clear" w:color="000000" w:fill="F2F2F2"/>
            <w:vAlign w:val="center"/>
            <w:hideMark/>
          </w:tcPr>
          <w:p w14:paraId="0DC0F7B1" w14:textId="77777777" w:rsidR="00E3750C" w:rsidRPr="004C42D0" w:rsidRDefault="00E3750C" w:rsidP="00047864">
            <w:pPr>
              <w:spacing w:after="0" w:line="240" w:lineRule="auto"/>
              <w:jc w:val="center"/>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Št. postopkov</w:t>
            </w:r>
          </w:p>
        </w:tc>
        <w:tc>
          <w:tcPr>
            <w:tcW w:w="538" w:type="pct"/>
            <w:shd w:val="clear" w:color="000000" w:fill="F2F2F2"/>
            <w:vAlign w:val="center"/>
            <w:hideMark/>
          </w:tcPr>
          <w:p w14:paraId="3EEB0ACE" w14:textId="77777777" w:rsidR="00E3750C" w:rsidRPr="004C42D0" w:rsidRDefault="00E3750C" w:rsidP="00047864">
            <w:pPr>
              <w:spacing w:after="0" w:line="240" w:lineRule="auto"/>
              <w:jc w:val="center"/>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Št. naročil</w:t>
            </w:r>
          </w:p>
        </w:tc>
        <w:tc>
          <w:tcPr>
            <w:tcW w:w="1066" w:type="pct"/>
            <w:shd w:val="clear" w:color="000000" w:fill="F2F2F2"/>
            <w:vAlign w:val="center"/>
            <w:hideMark/>
          </w:tcPr>
          <w:p w14:paraId="5A0A61F1" w14:textId="77777777" w:rsidR="00E3750C" w:rsidRPr="004C42D0" w:rsidRDefault="00E3750C" w:rsidP="00047864">
            <w:pPr>
              <w:spacing w:after="0" w:line="240" w:lineRule="auto"/>
              <w:jc w:val="center"/>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Pogodbena vrednost</w:t>
            </w:r>
          </w:p>
        </w:tc>
      </w:tr>
      <w:tr w:rsidR="00E3750C" w:rsidRPr="004C42D0" w14:paraId="6E81D657" w14:textId="77777777" w:rsidTr="00047864">
        <w:trPr>
          <w:trHeight w:val="288"/>
        </w:trPr>
        <w:tc>
          <w:tcPr>
            <w:tcW w:w="473" w:type="pct"/>
            <w:vMerge w:val="restart"/>
            <w:shd w:val="clear" w:color="auto" w:fill="auto"/>
            <w:noWrap/>
            <w:vAlign w:val="center"/>
            <w:hideMark/>
          </w:tcPr>
          <w:p w14:paraId="7DA89719" w14:textId="77777777" w:rsidR="00E3750C" w:rsidRPr="004C42D0" w:rsidRDefault="00E3750C" w:rsidP="00047864">
            <w:pPr>
              <w:spacing w:after="0" w:line="240" w:lineRule="auto"/>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Blago</w:t>
            </w:r>
          </w:p>
        </w:tc>
        <w:tc>
          <w:tcPr>
            <w:tcW w:w="2209" w:type="pct"/>
            <w:shd w:val="clear" w:color="auto" w:fill="auto"/>
            <w:noWrap/>
            <w:vAlign w:val="center"/>
            <w:hideMark/>
          </w:tcPr>
          <w:p w14:paraId="47B98CA6" w14:textId="77777777" w:rsidR="00E3750C" w:rsidRPr="004C42D0" w:rsidRDefault="00E3750C" w:rsidP="00047864">
            <w:pPr>
              <w:spacing w:after="0" w:line="240" w:lineRule="auto"/>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Konkurenčni postopek s pogajanji</w:t>
            </w:r>
          </w:p>
        </w:tc>
        <w:tc>
          <w:tcPr>
            <w:tcW w:w="714" w:type="pct"/>
            <w:shd w:val="clear" w:color="auto" w:fill="auto"/>
            <w:noWrap/>
            <w:vAlign w:val="center"/>
            <w:hideMark/>
          </w:tcPr>
          <w:p w14:paraId="34558BCE" w14:textId="77777777" w:rsidR="00E3750C" w:rsidRPr="004C42D0" w:rsidRDefault="00E3750C" w:rsidP="00047864">
            <w:pPr>
              <w:spacing w:after="0" w:line="240" w:lineRule="auto"/>
              <w:jc w:val="right"/>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8</w:t>
            </w:r>
          </w:p>
        </w:tc>
        <w:tc>
          <w:tcPr>
            <w:tcW w:w="538" w:type="pct"/>
            <w:shd w:val="clear" w:color="auto" w:fill="auto"/>
            <w:noWrap/>
            <w:vAlign w:val="center"/>
            <w:hideMark/>
          </w:tcPr>
          <w:p w14:paraId="50E12CF6" w14:textId="77777777" w:rsidR="00E3750C" w:rsidRPr="004C42D0" w:rsidRDefault="00E3750C" w:rsidP="00047864">
            <w:pPr>
              <w:spacing w:after="0" w:line="240" w:lineRule="auto"/>
              <w:jc w:val="right"/>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10</w:t>
            </w:r>
          </w:p>
        </w:tc>
        <w:tc>
          <w:tcPr>
            <w:tcW w:w="1066" w:type="pct"/>
            <w:shd w:val="clear" w:color="auto" w:fill="auto"/>
            <w:noWrap/>
            <w:vAlign w:val="center"/>
            <w:hideMark/>
          </w:tcPr>
          <w:p w14:paraId="6986AC03" w14:textId="77777777" w:rsidR="00E3750C" w:rsidRPr="004C42D0" w:rsidRDefault="00E3750C" w:rsidP="00047864">
            <w:pPr>
              <w:spacing w:after="0" w:line="240" w:lineRule="auto"/>
              <w:jc w:val="right"/>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1.629.739</w:t>
            </w:r>
          </w:p>
        </w:tc>
      </w:tr>
      <w:tr w:rsidR="00E3750C" w:rsidRPr="004C42D0" w14:paraId="0B8D1A61" w14:textId="77777777" w:rsidTr="00047864">
        <w:trPr>
          <w:trHeight w:val="288"/>
        </w:trPr>
        <w:tc>
          <w:tcPr>
            <w:tcW w:w="473" w:type="pct"/>
            <w:vMerge/>
            <w:vAlign w:val="center"/>
            <w:hideMark/>
          </w:tcPr>
          <w:p w14:paraId="0608ACFD" w14:textId="77777777" w:rsidR="00E3750C" w:rsidRPr="004C42D0" w:rsidRDefault="00E3750C" w:rsidP="00047864">
            <w:pPr>
              <w:spacing w:after="0" w:line="240" w:lineRule="auto"/>
              <w:rPr>
                <w:rFonts w:ascii="Arial" w:eastAsia="Times New Roman" w:hAnsi="Arial" w:cs="Arial"/>
                <w:color w:val="000000"/>
                <w:sz w:val="18"/>
                <w:szCs w:val="18"/>
                <w:lang w:eastAsia="sl-SI"/>
              </w:rPr>
            </w:pPr>
          </w:p>
        </w:tc>
        <w:tc>
          <w:tcPr>
            <w:tcW w:w="2209" w:type="pct"/>
            <w:shd w:val="clear" w:color="auto" w:fill="auto"/>
            <w:noWrap/>
            <w:vAlign w:val="center"/>
            <w:hideMark/>
          </w:tcPr>
          <w:p w14:paraId="15E1103F" w14:textId="77777777" w:rsidR="00E3750C" w:rsidRPr="004C42D0" w:rsidRDefault="00E3750C" w:rsidP="00047864">
            <w:pPr>
              <w:spacing w:after="0" w:line="240" w:lineRule="auto"/>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Odprti postopek</w:t>
            </w:r>
          </w:p>
        </w:tc>
        <w:tc>
          <w:tcPr>
            <w:tcW w:w="714" w:type="pct"/>
            <w:shd w:val="clear" w:color="auto" w:fill="auto"/>
            <w:noWrap/>
            <w:vAlign w:val="center"/>
            <w:hideMark/>
          </w:tcPr>
          <w:p w14:paraId="76390C69" w14:textId="77777777" w:rsidR="00E3750C" w:rsidRPr="004C42D0" w:rsidRDefault="00E3750C" w:rsidP="00047864">
            <w:pPr>
              <w:spacing w:after="0" w:line="240" w:lineRule="auto"/>
              <w:jc w:val="right"/>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119</w:t>
            </w:r>
          </w:p>
        </w:tc>
        <w:tc>
          <w:tcPr>
            <w:tcW w:w="538" w:type="pct"/>
            <w:shd w:val="clear" w:color="auto" w:fill="auto"/>
            <w:noWrap/>
            <w:vAlign w:val="center"/>
            <w:hideMark/>
          </w:tcPr>
          <w:p w14:paraId="059E1BF3" w14:textId="77777777" w:rsidR="00E3750C" w:rsidRPr="004C42D0" w:rsidRDefault="00E3750C" w:rsidP="00047864">
            <w:pPr>
              <w:spacing w:after="0" w:line="240" w:lineRule="auto"/>
              <w:jc w:val="right"/>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270</w:t>
            </w:r>
          </w:p>
        </w:tc>
        <w:tc>
          <w:tcPr>
            <w:tcW w:w="1066" w:type="pct"/>
            <w:shd w:val="clear" w:color="auto" w:fill="auto"/>
            <w:noWrap/>
            <w:vAlign w:val="center"/>
            <w:hideMark/>
          </w:tcPr>
          <w:p w14:paraId="1DA2D9E0" w14:textId="77777777" w:rsidR="00E3750C" w:rsidRPr="004C42D0" w:rsidRDefault="00E3750C" w:rsidP="00047864">
            <w:pPr>
              <w:spacing w:after="0" w:line="240" w:lineRule="auto"/>
              <w:jc w:val="right"/>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71.781.717</w:t>
            </w:r>
          </w:p>
        </w:tc>
      </w:tr>
      <w:tr w:rsidR="00E3750C" w:rsidRPr="004C42D0" w14:paraId="756EEF9D" w14:textId="77777777" w:rsidTr="00047864">
        <w:trPr>
          <w:trHeight w:val="288"/>
        </w:trPr>
        <w:tc>
          <w:tcPr>
            <w:tcW w:w="473" w:type="pct"/>
            <w:vMerge/>
            <w:vAlign w:val="center"/>
            <w:hideMark/>
          </w:tcPr>
          <w:p w14:paraId="3F39B0F6" w14:textId="77777777" w:rsidR="00E3750C" w:rsidRPr="004C42D0" w:rsidRDefault="00E3750C" w:rsidP="00047864">
            <w:pPr>
              <w:spacing w:after="0" w:line="240" w:lineRule="auto"/>
              <w:rPr>
                <w:rFonts w:ascii="Arial" w:eastAsia="Times New Roman" w:hAnsi="Arial" w:cs="Arial"/>
                <w:color w:val="000000"/>
                <w:sz w:val="18"/>
                <w:szCs w:val="18"/>
                <w:lang w:eastAsia="sl-SI"/>
              </w:rPr>
            </w:pPr>
          </w:p>
        </w:tc>
        <w:tc>
          <w:tcPr>
            <w:tcW w:w="2209" w:type="pct"/>
            <w:shd w:val="clear" w:color="auto" w:fill="auto"/>
            <w:noWrap/>
            <w:vAlign w:val="center"/>
            <w:hideMark/>
          </w:tcPr>
          <w:p w14:paraId="2346B046" w14:textId="77777777" w:rsidR="00E3750C" w:rsidRPr="004C42D0" w:rsidRDefault="00E3750C" w:rsidP="00047864">
            <w:pPr>
              <w:spacing w:after="0" w:line="240" w:lineRule="auto"/>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Postopek naročila male vrednosti</w:t>
            </w:r>
          </w:p>
        </w:tc>
        <w:tc>
          <w:tcPr>
            <w:tcW w:w="714" w:type="pct"/>
            <w:shd w:val="clear" w:color="auto" w:fill="auto"/>
            <w:noWrap/>
            <w:vAlign w:val="center"/>
            <w:hideMark/>
          </w:tcPr>
          <w:p w14:paraId="69E53E46" w14:textId="77777777" w:rsidR="00E3750C" w:rsidRPr="004C42D0" w:rsidRDefault="00E3750C" w:rsidP="00047864">
            <w:pPr>
              <w:spacing w:after="0" w:line="240" w:lineRule="auto"/>
              <w:jc w:val="right"/>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64</w:t>
            </w:r>
          </w:p>
        </w:tc>
        <w:tc>
          <w:tcPr>
            <w:tcW w:w="538" w:type="pct"/>
            <w:shd w:val="clear" w:color="auto" w:fill="auto"/>
            <w:noWrap/>
            <w:vAlign w:val="center"/>
            <w:hideMark/>
          </w:tcPr>
          <w:p w14:paraId="1A930343" w14:textId="77777777" w:rsidR="00E3750C" w:rsidRPr="004C42D0" w:rsidRDefault="00E3750C" w:rsidP="00047864">
            <w:pPr>
              <w:spacing w:after="0" w:line="240" w:lineRule="auto"/>
              <w:jc w:val="right"/>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111</w:t>
            </w:r>
          </w:p>
        </w:tc>
        <w:tc>
          <w:tcPr>
            <w:tcW w:w="1066" w:type="pct"/>
            <w:shd w:val="clear" w:color="auto" w:fill="auto"/>
            <w:noWrap/>
            <w:vAlign w:val="center"/>
            <w:hideMark/>
          </w:tcPr>
          <w:p w14:paraId="14F0D02C" w14:textId="77777777" w:rsidR="00E3750C" w:rsidRPr="004C42D0" w:rsidRDefault="00E3750C" w:rsidP="00047864">
            <w:pPr>
              <w:spacing w:after="0" w:line="240" w:lineRule="auto"/>
              <w:jc w:val="right"/>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3.757.803</w:t>
            </w:r>
          </w:p>
        </w:tc>
      </w:tr>
      <w:tr w:rsidR="00E3750C" w:rsidRPr="004C42D0" w14:paraId="1DB317B0" w14:textId="77777777" w:rsidTr="00047864">
        <w:trPr>
          <w:trHeight w:val="288"/>
        </w:trPr>
        <w:tc>
          <w:tcPr>
            <w:tcW w:w="473" w:type="pct"/>
            <w:vMerge/>
            <w:vAlign w:val="center"/>
            <w:hideMark/>
          </w:tcPr>
          <w:p w14:paraId="3BEB4CC0" w14:textId="77777777" w:rsidR="00E3750C" w:rsidRPr="004C42D0" w:rsidRDefault="00E3750C" w:rsidP="00047864">
            <w:pPr>
              <w:spacing w:after="0" w:line="240" w:lineRule="auto"/>
              <w:rPr>
                <w:rFonts w:ascii="Arial" w:eastAsia="Times New Roman" w:hAnsi="Arial" w:cs="Arial"/>
                <w:color w:val="000000"/>
                <w:sz w:val="18"/>
                <w:szCs w:val="18"/>
                <w:lang w:eastAsia="sl-SI"/>
              </w:rPr>
            </w:pPr>
          </w:p>
        </w:tc>
        <w:tc>
          <w:tcPr>
            <w:tcW w:w="2209" w:type="pct"/>
            <w:shd w:val="clear" w:color="auto" w:fill="auto"/>
            <w:noWrap/>
            <w:vAlign w:val="center"/>
            <w:hideMark/>
          </w:tcPr>
          <w:p w14:paraId="4CEC3F2F" w14:textId="77777777" w:rsidR="00E3750C" w:rsidRPr="004C42D0" w:rsidRDefault="00E3750C" w:rsidP="00047864">
            <w:pPr>
              <w:spacing w:after="0" w:line="240" w:lineRule="auto"/>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Postopek s pogajanji brez predhodne objave</w:t>
            </w:r>
          </w:p>
        </w:tc>
        <w:tc>
          <w:tcPr>
            <w:tcW w:w="714" w:type="pct"/>
            <w:shd w:val="clear" w:color="auto" w:fill="auto"/>
            <w:noWrap/>
            <w:vAlign w:val="center"/>
            <w:hideMark/>
          </w:tcPr>
          <w:p w14:paraId="1E40DB52" w14:textId="77777777" w:rsidR="00E3750C" w:rsidRPr="004C42D0" w:rsidRDefault="00E3750C" w:rsidP="00047864">
            <w:pPr>
              <w:spacing w:after="0" w:line="240" w:lineRule="auto"/>
              <w:jc w:val="right"/>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9</w:t>
            </w:r>
          </w:p>
        </w:tc>
        <w:tc>
          <w:tcPr>
            <w:tcW w:w="538" w:type="pct"/>
            <w:shd w:val="clear" w:color="auto" w:fill="auto"/>
            <w:noWrap/>
            <w:vAlign w:val="center"/>
            <w:hideMark/>
          </w:tcPr>
          <w:p w14:paraId="392AAC2F" w14:textId="77777777" w:rsidR="00E3750C" w:rsidRPr="004C42D0" w:rsidRDefault="00E3750C" w:rsidP="00047864">
            <w:pPr>
              <w:spacing w:after="0" w:line="240" w:lineRule="auto"/>
              <w:jc w:val="right"/>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11</w:t>
            </w:r>
          </w:p>
        </w:tc>
        <w:tc>
          <w:tcPr>
            <w:tcW w:w="1066" w:type="pct"/>
            <w:shd w:val="clear" w:color="auto" w:fill="auto"/>
            <w:noWrap/>
            <w:vAlign w:val="center"/>
            <w:hideMark/>
          </w:tcPr>
          <w:p w14:paraId="351C6748" w14:textId="77777777" w:rsidR="00E3750C" w:rsidRPr="004C42D0" w:rsidRDefault="00E3750C" w:rsidP="00047864">
            <w:pPr>
              <w:spacing w:after="0" w:line="240" w:lineRule="auto"/>
              <w:jc w:val="right"/>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885.386</w:t>
            </w:r>
          </w:p>
        </w:tc>
      </w:tr>
      <w:tr w:rsidR="00E3750C" w:rsidRPr="004C42D0" w14:paraId="43F37B29" w14:textId="77777777" w:rsidTr="00047864">
        <w:trPr>
          <w:trHeight w:val="288"/>
        </w:trPr>
        <w:tc>
          <w:tcPr>
            <w:tcW w:w="473" w:type="pct"/>
            <w:vMerge/>
            <w:vAlign w:val="center"/>
            <w:hideMark/>
          </w:tcPr>
          <w:p w14:paraId="7AA08F4E" w14:textId="77777777" w:rsidR="00E3750C" w:rsidRPr="004C42D0" w:rsidRDefault="00E3750C" w:rsidP="00047864">
            <w:pPr>
              <w:spacing w:after="0" w:line="240" w:lineRule="auto"/>
              <w:rPr>
                <w:rFonts w:ascii="Arial" w:eastAsia="Times New Roman" w:hAnsi="Arial" w:cs="Arial"/>
                <w:color w:val="000000"/>
                <w:sz w:val="18"/>
                <w:szCs w:val="18"/>
                <w:lang w:eastAsia="sl-SI"/>
              </w:rPr>
            </w:pPr>
          </w:p>
        </w:tc>
        <w:tc>
          <w:tcPr>
            <w:tcW w:w="2209" w:type="pct"/>
            <w:shd w:val="clear" w:color="auto" w:fill="auto"/>
            <w:noWrap/>
            <w:vAlign w:val="center"/>
            <w:hideMark/>
          </w:tcPr>
          <w:p w14:paraId="7CA69167" w14:textId="77777777" w:rsidR="00E3750C" w:rsidRPr="004C42D0" w:rsidRDefault="00E3750C" w:rsidP="00047864">
            <w:pPr>
              <w:spacing w:after="0" w:line="240" w:lineRule="auto"/>
              <w:rPr>
                <w:rFonts w:ascii="Arial" w:eastAsia="Times New Roman" w:hAnsi="Arial" w:cs="Arial"/>
                <w:b/>
                <w:bCs/>
                <w:color w:val="000000"/>
                <w:sz w:val="18"/>
                <w:szCs w:val="18"/>
                <w:lang w:eastAsia="sl-SI"/>
              </w:rPr>
            </w:pPr>
            <w:r w:rsidRPr="004C42D0">
              <w:rPr>
                <w:rFonts w:ascii="Arial" w:eastAsia="Times New Roman" w:hAnsi="Arial" w:cs="Arial"/>
                <w:b/>
                <w:bCs/>
                <w:color w:val="000000"/>
                <w:sz w:val="18"/>
                <w:szCs w:val="18"/>
                <w:lang w:eastAsia="sl-SI"/>
              </w:rPr>
              <w:t>Skupaj</w:t>
            </w:r>
          </w:p>
        </w:tc>
        <w:tc>
          <w:tcPr>
            <w:tcW w:w="714" w:type="pct"/>
            <w:shd w:val="clear" w:color="auto" w:fill="auto"/>
            <w:noWrap/>
            <w:vAlign w:val="center"/>
            <w:hideMark/>
          </w:tcPr>
          <w:p w14:paraId="1D25162E" w14:textId="77777777" w:rsidR="00E3750C" w:rsidRPr="004C42D0" w:rsidRDefault="00E3750C" w:rsidP="00047864">
            <w:pPr>
              <w:spacing w:after="0" w:line="240" w:lineRule="auto"/>
              <w:jc w:val="right"/>
              <w:rPr>
                <w:rFonts w:ascii="Arial" w:eastAsia="Times New Roman" w:hAnsi="Arial" w:cs="Arial"/>
                <w:b/>
                <w:bCs/>
                <w:color w:val="000000"/>
                <w:sz w:val="18"/>
                <w:szCs w:val="18"/>
                <w:lang w:eastAsia="sl-SI"/>
              </w:rPr>
            </w:pPr>
            <w:r w:rsidRPr="004C42D0">
              <w:rPr>
                <w:rFonts w:ascii="Arial" w:eastAsia="Times New Roman" w:hAnsi="Arial" w:cs="Arial"/>
                <w:b/>
                <w:bCs/>
                <w:color w:val="000000"/>
                <w:sz w:val="18"/>
                <w:szCs w:val="18"/>
                <w:lang w:eastAsia="sl-SI"/>
              </w:rPr>
              <w:t>200</w:t>
            </w:r>
          </w:p>
        </w:tc>
        <w:tc>
          <w:tcPr>
            <w:tcW w:w="538" w:type="pct"/>
            <w:shd w:val="clear" w:color="auto" w:fill="auto"/>
            <w:noWrap/>
            <w:vAlign w:val="center"/>
            <w:hideMark/>
          </w:tcPr>
          <w:p w14:paraId="32D09CA2" w14:textId="77777777" w:rsidR="00E3750C" w:rsidRPr="004C42D0" w:rsidRDefault="00E3750C" w:rsidP="00047864">
            <w:pPr>
              <w:spacing w:after="0" w:line="240" w:lineRule="auto"/>
              <w:jc w:val="right"/>
              <w:rPr>
                <w:rFonts w:ascii="Arial" w:eastAsia="Times New Roman" w:hAnsi="Arial" w:cs="Arial"/>
                <w:b/>
                <w:bCs/>
                <w:color w:val="000000"/>
                <w:sz w:val="18"/>
                <w:szCs w:val="18"/>
                <w:lang w:eastAsia="sl-SI"/>
              </w:rPr>
            </w:pPr>
            <w:r w:rsidRPr="004C42D0">
              <w:rPr>
                <w:rFonts w:ascii="Arial" w:eastAsia="Times New Roman" w:hAnsi="Arial" w:cs="Arial"/>
                <w:b/>
                <w:bCs/>
                <w:color w:val="000000"/>
                <w:sz w:val="18"/>
                <w:szCs w:val="18"/>
                <w:lang w:eastAsia="sl-SI"/>
              </w:rPr>
              <w:t>402</w:t>
            </w:r>
          </w:p>
        </w:tc>
        <w:tc>
          <w:tcPr>
            <w:tcW w:w="1066" w:type="pct"/>
            <w:shd w:val="clear" w:color="auto" w:fill="auto"/>
            <w:noWrap/>
            <w:vAlign w:val="center"/>
            <w:hideMark/>
          </w:tcPr>
          <w:p w14:paraId="0815B5FE" w14:textId="77777777" w:rsidR="00E3750C" w:rsidRPr="004C42D0" w:rsidRDefault="00E3750C" w:rsidP="00047864">
            <w:pPr>
              <w:spacing w:after="0" w:line="240" w:lineRule="auto"/>
              <w:jc w:val="right"/>
              <w:rPr>
                <w:rFonts w:ascii="Arial" w:eastAsia="Times New Roman" w:hAnsi="Arial" w:cs="Arial"/>
                <w:b/>
                <w:bCs/>
                <w:color w:val="000000"/>
                <w:sz w:val="18"/>
                <w:szCs w:val="18"/>
                <w:lang w:eastAsia="sl-SI"/>
              </w:rPr>
            </w:pPr>
            <w:r w:rsidRPr="004C42D0">
              <w:rPr>
                <w:rFonts w:ascii="Arial" w:eastAsia="Times New Roman" w:hAnsi="Arial" w:cs="Arial"/>
                <w:b/>
                <w:bCs/>
                <w:color w:val="000000"/>
                <w:sz w:val="18"/>
                <w:szCs w:val="18"/>
                <w:lang w:eastAsia="sl-SI"/>
              </w:rPr>
              <w:t>78.054.645</w:t>
            </w:r>
          </w:p>
        </w:tc>
      </w:tr>
      <w:tr w:rsidR="00E3750C" w:rsidRPr="004C42D0" w14:paraId="1B233B6E" w14:textId="77777777" w:rsidTr="00047864">
        <w:trPr>
          <w:trHeight w:val="288"/>
        </w:trPr>
        <w:tc>
          <w:tcPr>
            <w:tcW w:w="473" w:type="pct"/>
            <w:vMerge w:val="restart"/>
            <w:shd w:val="clear" w:color="auto" w:fill="auto"/>
            <w:noWrap/>
            <w:vAlign w:val="center"/>
            <w:hideMark/>
          </w:tcPr>
          <w:p w14:paraId="6EC89BF9" w14:textId="77777777" w:rsidR="00E3750C" w:rsidRPr="004C42D0" w:rsidRDefault="00E3750C" w:rsidP="00047864">
            <w:pPr>
              <w:spacing w:after="0" w:line="240" w:lineRule="auto"/>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Storitve</w:t>
            </w:r>
          </w:p>
        </w:tc>
        <w:tc>
          <w:tcPr>
            <w:tcW w:w="2209" w:type="pct"/>
            <w:shd w:val="clear" w:color="auto" w:fill="auto"/>
            <w:noWrap/>
            <w:vAlign w:val="center"/>
            <w:hideMark/>
          </w:tcPr>
          <w:p w14:paraId="2114959F" w14:textId="77777777" w:rsidR="00E3750C" w:rsidRPr="004C42D0" w:rsidRDefault="00E3750C" w:rsidP="00047864">
            <w:pPr>
              <w:spacing w:after="0" w:line="240" w:lineRule="auto"/>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Konkurenčni dialog</w:t>
            </w:r>
          </w:p>
        </w:tc>
        <w:tc>
          <w:tcPr>
            <w:tcW w:w="714" w:type="pct"/>
            <w:shd w:val="clear" w:color="auto" w:fill="auto"/>
            <w:noWrap/>
            <w:vAlign w:val="center"/>
            <w:hideMark/>
          </w:tcPr>
          <w:p w14:paraId="2DBCB979" w14:textId="77777777" w:rsidR="00E3750C" w:rsidRPr="004C42D0" w:rsidRDefault="00E3750C" w:rsidP="00047864">
            <w:pPr>
              <w:spacing w:after="0" w:line="240" w:lineRule="auto"/>
              <w:jc w:val="right"/>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4</w:t>
            </w:r>
          </w:p>
        </w:tc>
        <w:tc>
          <w:tcPr>
            <w:tcW w:w="538" w:type="pct"/>
            <w:shd w:val="clear" w:color="auto" w:fill="auto"/>
            <w:noWrap/>
            <w:vAlign w:val="center"/>
            <w:hideMark/>
          </w:tcPr>
          <w:p w14:paraId="3C242016" w14:textId="77777777" w:rsidR="00E3750C" w:rsidRPr="004C42D0" w:rsidRDefault="00E3750C" w:rsidP="00047864">
            <w:pPr>
              <w:spacing w:after="0" w:line="240" w:lineRule="auto"/>
              <w:jc w:val="right"/>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4</w:t>
            </w:r>
          </w:p>
        </w:tc>
        <w:tc>
          <w:tcPr>
            <w:tcW w:w="1066" w:type="pct"/>
            <w:shd w:val="clear" w:color="auto" w:fill="auto"/>
            <w:noWrap/>
            <w:vAlign w:val="center"/>
            <w:hideMark/>
          </w:tcPr>
          <w:p w14:paraId="50EFD09F" w14:textId="77777777" w:rsidR="00E3750C" w:rsidRPr="004C42D0" w:rsidRDefault="00E3750C" w:rsidP="00047864">
            <w:pPr>
              <w:spacing w:after="0" w:line="240" w:lineRule="auto"/>
              <w:jc w:val="right"/>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2.502.212</w:t>
            </w:r>
          </w:p>
        </w:tc>
      </w:tr>
      <w:tr w:rsidR="00E3750C" w:rsidRPr="004C42D0" w14:paraId="3BF967CE" w14:textId="77777777" w:rsidTr="00047864">
        <w:trPr>
          <w:trHeight w:val="288"/>
        </w:trPr>
        <w:tc>
          <w:tcPr>
            <w:tcW w:w="473" w:type="pct"/>
            <w:vMerge/>
            <w:vAlign w:val="center"/>
            <w:hideMark/>
          </w:tcPr>
          <w:p w14:paraId="31ABB25E" w14:textId="77777777" w:rsidR="00E3750C" w:rsidRPr="004C42D0" w:rsidRDefault="00E3750C" w:rsidP="00047864">
            <w:pPr>
              <w:spacing w:after="0" w:line="240" w:lineRule="auto"/>
              <w:rPr>
                <w:rFonts w:ascii="Arial" w:eastAsia="Times New Roman" w:hAnsi="Arial" w:cs="Arial"/>
                <w:color w:val="000000"/>
                <w:sz w:val="18"/>
                <w:szCs w:val="18"/>
                <w:lang w:eastAsia="sl-SI"/>
              </w:rPr>
            </w:pPr>
          </w:p>
        </w:tc>
        <w:tc>
          <w:tcPr>
            <w:tcW w:w="2209" w:type="pct"/>
            <w:shd w:val="clear" w:color="auto" w:fill="auto"/>
            <w:noWrap/>
            <w:vAlign w:val="center"/>
            <w:hideMark/>
          </w:tcPr>
          <w:p w14:paraId="22E69DF6" w14:textId="77777777" w:rsidR="00E3750C" w:rsidRPr="004C42D0" w:rsidRDefault="00E3750C" w:rsidP="00047864">
            <w:pPr>
              <w:spacing w:after="0" w:line="240" w:lineRule="auto"/>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Konkurenčni postopek s pogajanji</w:t>
            </w:r>
          </w:p>
        </w:tc>
        <w:tc>
          <w:tcPr>
            <w:tcW w:w="714" w:type="pct"/>
            <w:shd w:val="clear" w:color="auto" w:fill="auto"/>
            <w:noWrap/>
            <w:vAlign w:val="center"/>
            <w:hideMark/>
          </w:tcPr>
          <w:p w14:paraId="0446A9BB" w14:textId="77777777" w:rsidR="00E3750C" w:rsidRPr="004C42D0" w:rsidRDefault="00E3750C" w:rsidP="00047864">
            <w:pPr>
              <w:spacing w:after="0" w:line="240" w:lineRule="auto"/>
              <w:jc w:val="right"/>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5</w:t>
            </w:r>
          </w:p>
        </w:tc>
        <w:tc>
          <w:tcPr>
            <w:tcW w:w="538" w:type="pct"/>
            <w:shd w:val="clear" w:color="auto" w:fill="auto"/>
            <w:noWrap/>
            <w:vAlign w:val="center"/>
            <w:hideMark/>
          </w:tcPr>
          <w:p w14:paraId="25EA29BA" w14:textId="77777777" w:rsidR="00E3750C" w:rsidRPr="004C42D0" w:rsidRDefault="00E3750C" w:rsidP="00047864">
            <w:pPr>
              <w:spacing w:after="0" w:line="240" w:lineRule="auto"/>
              <w:jc w:val="right"/>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5</w:t>
            </w:r>
          </w:p>
        </w:tc>
        <w:tc>
          <w:tcPr>
            <w:tcW w:w="1066" w:type="pct"/>
            <w:shd w:val="clear" w:color="auto" w:fill="auto"/>
            <w:noWrap/>
            <w:vAlign w:val="center"/>
            <w:hideMark/>
          </w:tcPr>
          <w:p w14:paraId="234F804A" w14:textId="77777777" w:rsidR="00E3750C" w:rsidRPr="004C42D0" w:rsidRDefault="00E3750C" w:rsidP="00047864">
            <w:pPr>
              <w:spacing w:after="0" w:line="240" w:lineRule="auto"/>
              <w:jc w:val="right"/>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15.193.940</w:t>
            </w:r>
          </w:p>
        </w:tc>
      </w:tr>
      <w:tr w:rsidR="00E3750C" w:rsidRPr="004C42D0" w14:paraId="783D07EE" w14:textId="77777777" w:rsidTr="00047864">
        <w:trPr>
          <w:trHeight w:val="288"/>
        </w:trPr>
        <w:tc>
          <w:tcPr>
            <w:tcW w:w="473" w:type="pct"/>
            <w:vMerge/>
            <w:vAlign w:val="center"/>
            <w:hideMark/>
          </w:tcPr>
          <w:p w14:paraId="6A102A44" w14:textId="77777777" w:rsidR="00E3750C" w:rsidRPr="004C42D0" w:rsidRDefault="00E3750C" w:rsidP="00047864">
            <w:pPr>
              <w:spacing w:after="0" w:line="240" w:lineRule="auto"/>
              <w:rPr>
                <w:rFonts w:ascii="Arial" w:eastAsia="Times New Roman" w:hAnsi="Arial" w:cs="Arial"/>
                <w:color w:val="000000"/>
                <w:sz w:val="18"/>
                <w:szCs w:val="18"/>
                <w:lang w:eastAsia="sl-SI"/>
              </w:rPr>
            </w:pPr>
          </w:p>
        </w:tc>
        <w:tc>
          <w:tcPr>
            <w:tcW w:w="2209" w:type="pct"/>
            <w:shd w:val="clear" w:color="auto" w:fill="auto"/>
            <w:noWrap/>
            <w:vAlign w:val="center"/>
            <w:hideMark/>
          </w:tcPr>
          <w:p w14:paraId="09326A24" w14:textId="77777777" w:rsidR="00E3750C" w:rsidRPr="004C42D0" w:rsidRDefault="00E3750C" w:rsidP="00047864">
            <w:pPr>
              <w:spacing w:after="0" w:line="240" w:lineRule="auto"/>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Odprti postopek</w:t>
            </w:r>
          </w:p>
        </w:tc>
        <w:tc>
          <w:tcPr>
            <w:tcW w:w="714" w:type="pct"/>
            <w:shd w:val="clear" w:color="auto" w:fill="auto"/>
            <w:noWrap/>
            <w:vAlign w:val="center"/>
            <w:hideMark/>
          </w:tcPr>
          <w:p w14:paraId="6E1EAF15" w14:textId="77777777" w:rsidR="00E3750C" w:rsidRPr="004C42D0" w:rsidRDefault="00E3750C" w:rsidP="00047864">
            <w:pPr>
              <w:spacing w:after="0" w:line="240" w:lineRule="auto"/>
              <w:jc w:val="right"/>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71</w:t>
            </w:r>
          </w:p>
        </w:tc>
        <w:tc>
          <w:tcPr>
            <w:tcW w:w="538" w:type="pct"/>
            <w:shd w:val="clear" w:color="auto" w:fill="auto"/>
            <w:noWrap/>
            <w:vAlign w:val="center"/>
            <w:hideMark/>
          </w:tcPr>
          <w:p w14:paraId="2A2FA7D3" w14:textId="77777777" w:rsidR="00E3750C" w:rsidRPr="004C42D0" w:rsidRDefault="00E3750C" w:rsidP="00047864">
            <w:pPr>
              <w:spacing w:after="0" w:line="240" w:lineRule="auto"/>
              <w:jc w:val="right"/>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109</w:t>
            </w:r>
          </w:p>
        </w:tc>
        <w:tc>
          <w:tcPr>
            <w:tcW w:w="1066" w:type="pct"/>
            <w:shd w:val="clear" w:color="auto" w:fill="auto"/>
            <w:noWrap/>
            <w:vAlign w:val="center"/>
            <w:hideMark/>
          </w:tcPr>
          <w:p w14:paraId="01461269" w14:textId="77777777" w:rsidR="00E3750C" w:rsidRPr="004C42D0" w:rsidRDefault="00E3750C" w:rsidP="00047864">
            <w:pPr>
              <w:spacing w:after="0" w:line="240" w:lineRule="auto"/>
              <w:jc w:val="right"/>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41.223.320</w:t>
            </w:r>
          </w:p>
        </w:tc>
      </w:tr>
      <w:tr w:rsidR="00E3750C" w:rsidRPr="004C42D0" w14:paraId="30143C6A" w14:textId="77777777" w:rsidTr="00047864">
        <w:trPr>
          <w:trHeight w:val="288"/>
        </w:trPr>
        <w:tc>
          <w:tcPr>
            <w:tcW w:w="473" w:type="pct"/>
            <w:vMerge/>
            <w:vAlign w:val="center"/>
            <w:hideMark/>
          </w:tcPr>
          <w:p w14:paraId="586621BB" w14:textId="77777777" w:rsidR="00E3750C" w:rsidRPr="004C42D0" w:rsidRDefault="00E3750C" w:rsidP="00047864">
            <w:pPr>
              <w:spacing w:after="0" w:line="240" w:lineRule="auto"/>
              <w:rPr>
                <w:rFonts w:ascii="Arial" w:eastAsia="Times New Roman" w:hAnsi="Arial" w:cs="Arial"/>
                <w:color w:val="000000"/>
                <w:sz w:val="18"/>
                <w:szCs w:val="18"/>
                <w:lang w:eastAsia="sl-SI"/>
              </w:rPr>
            </w:pPr>
          </w:p>
        </w:tc>
        <w:tc>
          <w:tcPr>
            <w:tcW w:w="2209" w:type="pct"/>
            <w:shd w:val="clear" w:color="auto" w:fill="auto"/>
            <w:noWrap/>
            <w:vAlign w:val="center"/>
            <w:hideMark/>
          </w:tcPr>
          <w:p w14:paraId="6128FA71" w14:textId="77777777" w:rsidR="00E3750C" w:rsidRPr="004C42D0" w:rsidRDefault="00E3750C" w:rsidP="00047864">
            <w:pPr>
              <w:spacing w:after="0" w:line="240" w:lineRule="auto"/>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Postopek naročila male vrednosti</w:t>
            </w:r>
          </w:p>
        </w:tc>
        <w:tc>
          <w:tcPr>
            <w:tcW w:w="714" w:type="pct"/>
            <w:shd w:val="clear" w:color="auto" w:fill="auto"/>
            <w:noWrap/>
            <w:vAlign w:val="center"/>
            <w:hideMark/>
          </w:tcPr>
          <w:p w14:paraId="7C1CB663" w14:textId="77777777" w:rsidR="00E3750C" w:rsidRPr="004C42D0" w:rsidRDefault="00E3750C" w:rsidP="00047864">
            <w:pPr>
              <w:spacing w:after="0" w:line="240" w:lineRule="auto"/>
              <w:jc w:val="right"/>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87</w:t>
            </w:r>
          </w:p>
        </w:tc>
        <w:tc>
          <w:tcPr>
            <w:tcW w:w="538" w:type="pct"/>
            <w:shd w:val="clear" w:color="auto" w:fill="auto"/>
            <w:noWrap/>
            <w:vAlign w:val="center"/>
            <w:hideMark/>
          </w:tcPr>
          <w:p w14:paraId="748DDF09" w14:textId="77777777" w:rsidR="00E3750C" w:rsidRPr="004C42D0" w:rsidRDefault="00E3750C" w:rsidP="00047864">
            <w:pPr>
              <w:spacing w:after="0" w:line="240" w:lineRule="auto"/>
              <w:jc w:val="right"/>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123</w:t>
            </w:r>
          </w:p>
        </w:tc>
        <w:tc>
          <w:tcPr>
            <w:tcW w:w="1066" w:type="pct"/>
            <w:shd w:val="clear" w:color="auto" w:fill="auto"/>
            <w:noWrap/>
            <w:vAlign w:val="center"/>
            <w:hideMark/>
          </w:tcPr>
          <w:p w14:paraId="01B24BD8" w14:textId="77777777" w:rsidR="00E3750C" w:rsidRPr="004C42D0" w:rsidRDefault="00E3750C" w:rsidP="00047864">
            <w:pPr>
              <w:spacing w:after="0" w:line="240" w:lineRule="auto"/>
              <w:jc w:val="right"/>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7.552.287</w:t>
            </w:r>
          </w:p>
        </w:tc>
      </w:tr>
      <w:tr w:rsidR="00E3750C" w:rsidRPr="004C42D0" w14:paraId="7BFA2BE9" w14:textId="77777777" w:rsidTr="00047864">
        <w:trPr>
          <w:trHeight w:val="288"/>
        </w:trPr>
        <w:tc>
          <w:tcPr>
            <w:tcW w:w="473" w:type="pct"/>
            <w:vMerge/>
            <w:vAlign w:val="center"/>
            <w:hideMark/>
          </w:tcPr>
          <w:p w14:paraId="135E8907" w14:textId="77777777" w:rsidR="00E3750C" w:rsidRPr="004C42D0" w:rsidRDefault="00E3750C" w:rsidP="00047864">
            <w:pPr>
              <w:spacing w:after="0" w:line="240" w:lineRule="auto"/>
              <w:rPr>
                <w:rFonts w:ascii="Arial" w:eastAsia="Times New Roman" w:hAnsi="Arial" w:cs="Arial"/>
                <w:color w:val="000000"/>
                <w:sz w:val="18"/>
                <w:szCs w:val="18"/>
                <w:lang w:eastAsia="sl-SI"/>
              </w:rPr>
            </w:pPr>
          </w:p>
        </w:tc>
        <w:tc>
          <w:tcPr>
            <w:tcW w:w="2209" w:type="pct"/>
            <w:shd w:val="clear" w:color="auto" w:fill="auto"/>
            <w:noWrap/>
            <w:vAlign w:val="center"/>
            <w:hideMark/>
          </w:tcPr>
          <w:p w14:paraId="2CBB85D8" w14:textId="77777777" w:rsidR="00E3750C" w:rsidRPr="004C42D0" w:rsidRDefault="00E3750C" w:rsidP="00047864">
            <w:pPr>
              <w:spacing w:after="0" w:line="240" w:lineRule="auto"/>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Postopek s pogajanji brez predhodne objave</w:t>
            </w:r>
          </w:p>
        </w:tc>
        <w:tc>
          <w:tcPr>
            <w:tcW w:w="714" w:type="pct"/>
            <w:shd w:val="clear" w:color="auto" w:fill="auto"/>
            <w:noWrap/>
            <w:vAlign w:val="center"/>
            <w:hideMark/>
          </w:tcPr>
          <w:p w14:paraId="310A8111" w14:textId="77777777" w:rsidR="00E3750C" w:rsidRPr="004C42D0" w:rsidRDefault="00E3750C" w:rsidP="00047864">
            <w:pPr>
              <w:spacing w:after="0" w:line="240" w:lineRule="auto"/>
              <w:jc w:val="right"/>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12</w:t>
            </w:r>
          </w:p>
        </w:tc>
        <w:tc>
          <w:tcPr>
            <w:tcW w:w="538" w:type="pct"/>
            <w:shd w:val="clear" w:color="auto" w:fill="auto"/>
            <w:noWrap/>
            <w:vAlign w:val="center"/>
            <w:hideMark/>
          </w:tcPr>
          <w:p w14:paraId="7B063B98" w14:textId="77777777" w:rsidR="00E3750C" w:rsidRPr="004C42D0" w:rsidRDefault="00E3750C" w:rsidP="00047864">
            <w:pPr>
              <w:spacing w:after="0" w:line="240" w:lineRule="auto"/>
              <w:jc w:val="right"/>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19</w:t>
            </w:r>
          </w:p>
        </w:tc>
        <w:tc>
          <w:tcPr>
            <w:tcW w:w="1066" w:type="pct"/>
            <w:shd w:val="clear" w:color="auto" w:fill="auto"/>
            <w:noWrap/>
            <w:vAlign w:val="center"/>
            <w:hideMark/>
          </w:tcPr>
          <w:p w14:paraId="39292EEE" w14:textId="77777777" w:rsidR="00E3750C" w:rsidRPr="004C42D0" w:rsidRDefault="00E3750C" w:rsidP="00047864">
            <w:pPr>
              <w:spacing w:after="0" w:line="240" w:lineRule="auto"/>
              <w:jc w:val="right"/>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4.032.610</w:t>
            </w:r>
          </w:p>
        </w:tc>
      </w:tr>
      <w:tr w:rsidR="00E3750C" w:rsidRPr="004C42D0" w14:paraId="7A56BAB7" w14:textId="77777777" w:rsidTr="00047864">
        <w:trPr>
          <w:trHeight w:val="288"/>
        </w:trPr>
        <w:tc>
          <w:tcPr>
            <w:tcW w:w="473" w:type="pct"/>
            <w:vMerge/>
            <w:vAlign w:val="center"/>
            <w:hideMark/>
          </w:tcPr>
          <w:p w14:paraId="4773867A" w14:textId="77777777" w:rsidR="00E3750C" w:rsidRPr="004C42D0" w:rsidRDefault="00E3750C" w:rsidP="00047864">
            <w:pPr>
              <w:spacing w:after="0" w:line="240" w:lineRule="auto"/>
              <w:rPr>
                <w:rFonts w:ascii="Arial" w:eastAsia="Times New Roman" w:hAnsi="Arial" w:cs="Arial"/>
                <w:color w:val="000000"/>
                <w:sz w:val="18"/>
                <w:szCs w:val="18"/>
                <w:lang w:eastAsia="sl-SI"/>
              </w:rPr>
            </w:pPr>
          </w:p>
        </w:tc>
        <w:tc>
          <w:tcPr>
            <w:tcW w:w="2209" w:type="pct"/>
            <w:shd w:val="clear" w:color="auto" w:fill="auto"/>
            <w:noWrap/>
            <w:vAlign w:val="center"/>
            <w:hideMark/>
          </w:tcPr>
          <w:p w14:paraId="35FAC179" w14:textId="77777777" w:rsidR="00E3750C" w:rsidRPr="004C42D0" w:rsidRDefault="00E3750C" w:rsidP="00047864">
            <w:pPr>
              <w:spacing w:after="0" w:line="240" w:lineRule="auto"/>
              <w:rPr>
                <w:rFonts w:ascii="Arial" w:eastAsia="Times New Roman" w:hAnsi="Arial" w:cs="Arial"/>
                <w:b/>
                <w:bCs/>
                <w:color w:val="000000"/>
                <w:sz w:val="18"/>
                <w:szCs w:val="18"/>
                <w:lang w:eastAsia="sl-SI"/>
              </w:rPr>
            </w:pPr>
            <w:r w:rsidRPr="004C42D0">
              <w:rPr>
                <w:rFonts w:ascii="Arial" w:eastAsia="Times New Roman" w:hAnsi="Arial" w:cs="Arial"/>
                <w:b/>
                <w:bCs/>
                <w:color w:val="000000"/>
                <w:sz w:val="18"/>
                <w:szCs w:val="18"/>
                <w:lang w:eastAsia="sl-SI"/>
              </w:rPr>
              <w:t>Skupaj</w:t>
            </w:r>
          </w:p>
        </w:tc>
        <w:tc>
          <w:tcPr>
            <w:tcW w:w="714" w:type="pct"/>
            <w:shd w:val="clear" w:color="auto" w:fill="auto"/>
            <w:noWrap/>
            <w:vAlign w:val="center"/>
            <w:hideMark/>
          </w:tcPr>
          <w:p w14:paraId="6FDD1FE9" w14:textId="77777777" w:rsidR="00E3750C" w:rsidRPr="004C42D0" w:rsidRDefault="00E3750C" w:rsidP="00047864">
            <w:pPr>
              <w:spacing w:after="0" w:line="240" w:lineRule="auto"/>
              <w:jc w:val="right"/>
              <w:rPr>
                <w:rFonts w:ascii="Arial" w:eastAsia="Times New Roman" w:hAnsi="Arial" w:cs="Arial"/>
                <w:b/>
                <w:bCs/>
                <w:color w:val="000000"/>
                <w:sz w:val="18"/>
                <w:szCs w:val="18"/>
                <w:lang w:eastAsia="sl-SI"/>
              </w:rPr>
            </w:pPr>
            <w:r w:rsidRPr="004C42D0">
              <w:rPr>
                <w:rFonts w:ascii="Arial" w:eastAsia="Times New Roman" w:hAnsi="Arial" w:cs="Arial"/>
                <w:b/>
                <w:bCs/>
                <w:color w:val="000000"/>
                <w:sz w:val="18"/>
                <w:szCs w:val="18"/>
                <w:lang w:eastAsia="sl-SI"/>
              </w:rPr>
              <w:t>179</w:t>
            </w:r>
          </w:p>
        </w:tc>
        <w:tc>
          <w:tcPr>
            <w:tcW w:w="538" w:type="pct"/>
            <w:shd w:val="clear" w:color="auto" w:fill="auto"/>
            <w:noWrap/>
            <w:vAlign w:val="center"/>
            <w:hideMark/>
          </w:tcPr>
          <w:p w14:paraId="111E2F80" w14:textId="77777777" w:rsidR="00E3750C" w:rsidRPr="004C42D0" w:rsidRDefault="00E3750C" w:rsidP="00047864">
            <w:pPr>
              <w:spacing w:after="0" w:line="240" w:lineRule="auto"/>
              <w:jc w:val="right"/>
              <w:rPr>
                <w:rFonts w:ascii="Arial" w:eastAsia="Times New Roman" w:hAnsi="Arial" w:cs="Arial"/>
                <w:b/>
                <w:bCs/>
                <w:color w:val="000000"/>
                <w:sz w:val="18"/>
                <w:szCs w:val="18"/>
                <w:lang w:eastAsia="sl-SI"/>
              </w:rPr>
            </w:pPr>
            <w:r w:rsidRPr="004C42D0">
              <w:rPr>
                <w:rFonts w:ascii="Arial" w:eastAsia="Times New Roman" w:hAnsi="Arial" w:cs="Arial"/>
                <w:b/>
                <w:bCs/>
                <w:color w:val="000000"/>
                <w:sz w:val="18"/>
                <w:szCs w:val="18"/>
                <w:lang w:eastAsia="sl-SI"/>
              </w:rPr>
              <w:t>260</w:t>
            </w:r>
          </w:p>
        </w:tc>
        <w:tc>
          <w:tcPr>
            <w:tcW w:w="1066" w:type="pct"/>
            <w:shd w:val="clear" w:color="auto" w:fill="auto"/>
            <w:noWrap/>
            <w:vAlign w:val="center"/>
            <w:hideMark/>
          </w:tcPr>
          <w:p w14:paraId="4E10ECBC" w14:textId="77777777" w:rsidR="00E3750C" w:rsidRPr="004C42D0" w:rsidRDefault="00E3750C" w:rsidP="00047864">
            <w:pPr>
              <w:spacing w:after="0" w:line="240" w:lineRule="auto"/>
              <w:jc w:val="right"/>
              <w:rPr>
                <w:rFonts w:ascii="Arial" w:eastAsia="Times New Roman" w:hAnsi="Arial" w:cs="Arial"/>
                <w:b/>
                <w:bCs/>
                <w:color w:val="000000"/>
                <w:sz w:val="18"/>
                <w:szCs w:val="18"/>
                <w:lang w:eastAsia="sl-SI"/>
              </w:rPr>
            </w:pPr>
            <w:r w:rsidRPr="004C42D0">
              <w:rPr>
                <w:rFonts w:ascii="Arial" w:eastAsia="Times New Roman" w:hAnsi="Arial" w:cs="Arial"/>
                <w:b/>
                <w:bCs/>
                <w:color w:val="000000"/>
                <w:sz w:val="18"/>
                <w:szCs w:val="18"/>
                <w:lang w:eastAsia="sl-SI"/>
              </w:rPr>
              <w:t>70.504.369</w:t>
            </w:r>
          </w:p>
        </w:tc>
      </w:tr>
      <w:tr w:rsidR="00E3750C" w:rsidRPr="004C42D0" w14:paraId="4D1E45F2" w14:textId="77777777" w:rsidTr="00047864">
        <w:trPr>
          <w:trHeight w:val="288"/>
        </w:trPr>
        <w:tc>
          <w:tcPr>
            <w:tcW w:w="473" w:type="pct"/>
            <w:vMerge w:val="restart"/>
            <w:shd w:val="clear" w:color="auto" w:fill="auto"/>
            <w:noWrap/>
            <w:vAlign w:val="center"/>
            <w:hideMark/>
          </w:tcPr>
          <w:p w14:paraId="6C45F730" w14:textId="77777777" w:rsidR="00E3750C" w:rsidRPr="004C42D0" w:rsidRDefault="00E3750C" w:rsidP="00047864">
            <w:pPr>
              <w:spacing w:after="0" w:line="240" w:lineRule="auto"/>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Gradnje</w:t>
            </w:r>
          </w:p>
        </w:tc>
        <w:tc>
          <w:tcPr>
            <w:tcW w:w="2209" w:type="pct"/>
            <w:shd w:val="clear" w:color="auto" w:fill="auto"/>
            <w:noWrap/>
            <w:vAlign w:val="center"/>
            <w:hideMark/>
          </w:tcPr>
          <w:p w14:paraId="5328DE41" w14:textId="77777777" w:rsidR="00E3750C" w:rsidRPr="004C42D0" w:rsidRDefault="00E3750C" w:rsidP="00047864">
            <w:pPr>
              <w:spacing w:after="0" w:line="240" w:lineRule="auto"/>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Konkurenčni postopek s pogajanji</w:t>
            </w:r>
          </w:p>
        </w:tc>
        <w:tc>
          <w:tcPr>
            <w:tcW w:w="714" w:type="pct"/>
            <w:shd w:val="clear" w:color="auto" w:fill="auto"/>
            <w:noWrap/>
            <w:vAlign w:val="center"/>
            <w:hideMark/>
          </w:tcPr>
          <w:p w14:paraId="61E33A27" w14:textId="77777777" w:rsidR="00E3750C" w:rsidRPr="004C42D0" w:rsidRDefault="00E3750C" w:rsidP="00047864">
            <w:pPr>
              <w:spacing w:after="0" w:line="240" w:lineRule="auto"/>
              <w:jc w:val="right"/>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24</w:t>
            </w:r>
          </w:p>
        </w:tc>
        <w:tc>
          <w:tcPr>
            <w:tcW w:w="538" w:type="pct"/>
            <w:shd w:val="clear" w:color="auto" w:fill="auto"/>
            <w:noWrap/>
            <w:vAlign w:val="center"/>
            <w:hideMark/>
          </w:tcPr>
          <w:p w14:paraId="653AE280" w14:textId="77777777" w:rsidR="00E3750C" w:rsidRPr="004C42D0" w:rsidRDefault="00E3750C" w:rsidP="00047864">
            <w:pPr>
              <w:spacing w:after="0" w:line="240" w:lineRule="auto"/>
              <w:jc w:val="right"/>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25</w:t>
            </w:r>
          </w:p>
        </w:tc>
        <w:tc>
          <w:tcPr>
            <w:tcW w:w="1066" w:type="pct"/>
            <w:shd w:val="clear" w:color="auto" w:fill="auto"/>
            <w:noWrap/>
            <w:vAlign w:val="center"/>
            <w:hideMark/>
          </w:tcPr>
          <w:p w14:paraId="1F103DC4" w14:textId="77777777" w:rsidR="00E3750C" w:rsidRPr="004C42D0" w:rsidRDefault="00E3750C" w:rsidP="00047864">
            <w:pPr>
              <w:spacing w:after="0" w:line="240" w:lineRule="auto"/>
              <w:jc w:val="right"/>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149.115.301</w:t>
            </w:r>
          </w:p>
        </w:tc>
      </w:tr>
      <w:tr w:rsidR="00E3750C" w:rsidRPr="004C42D0" w14:paraId="4BC51166" w14:textId="77777777" w:rsidTr="00047864">
        <w:trPr>
          <w:trHeight w:val="288"/>
        </w:trPr>
        <w:tc>
          <w:tcPr>
            <w:tcW w:w="473" w:type="pct"/>
            <w:vMerge/>
            <w:vAlign w:val="center"/>
            <w:hideMark/>
          </w:tcPr>
          <w:p w14:paraId="1D6E222B" w14:textId="77777777" w:rsidR="00E3750C" w:rsidRPr="004C42D0" w:rsidRDefault="00E3750C" w:rsidP="00047864">
            <w:pPr>
              <w:spacing w:after="0" w:line="240" w:lineRule="auto"/>
              <w:rPr>
                <w:rFonts w:ascii="Arial" w:eastAsia="Times New Roman" w:hAnsi="Arial" w:cs="Arial"/>
                <w:color w:val="000000"/>
                <w:sz w:val="18"/>
                <w:szCs w:val="18"/>
                <w:lang w:eastAsia="sl-SI"/>
              </w:rPr>
            </w:pPr>
          </w:p>
        </w:tc>
        <w:tc>
          <w:tcPr>
            <w:tcW w:w="2209" w:type="pct"/>
            <w:shd w:val="clear" w:color="auto" w:fill="auto"/>
            <w:noWrap/>
            <w:vAlign w:val="center"/>
            <w:hideMark/>
          </w:tcPr>
          <w:p w14:paraId="25218984" w14:textId="77777777" w:rsidR="00E3750C" w:rsidRPr="004C42D0" w:rsidRDefault="00E3750C" w:rsidP="00047864">
            <w:pPr>
              <w:spacing w:after="0" w:line="240" w:lineRule="auto"/>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Odprti postopek</w:t>
            </w:r>
          </w:p>
        </w:tc>
        <w:tc>
          <w:tcPr>
            <w:tcW w:w="714" w:type="pct"/>
            <w:shd w:val="clear" w:color="auto" w:fill="auto"/>
            <w:noWrap/>
            <w:vAlign w:val="center"/>
            <w:hideMark/>
          </w:tcPr>
          <w:p w14:paraId="12A541C8" w14:textId="77777777" w:rsidR="00E3750C" w:rsidRPr="004C42D0" w:rsidRDefault="00E3750C" w:rsidP="00047864">
            <w:pPr>
              <w:spacing w:after="0" w:line="240" w:lineRule="auto"/>
              <w:jc w:val="right"/>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59</w:t>
            </w:r>
          </w:p>
        </w:tc>
        <w:tc>
          <w:tcPr>
            <w:tcW w:w="538" w:type="pct"/>
            <w:shd w:val="clear" w:color="auto" w:fill="auto"/>
            <w:noWrap/>
            <w:vAlign w:val="center"/>
            <w:hideMark/>
          </w:tcPr>
          <w:p w14:paraId="68D94B4E" w14:textId="77777777" w:rsidR="00E3750C" w:rsidRPr="004C42D0" w:rsidRDefault="00E3750C" w:rsidP="00047864">
            <w:pPr>
              <w:spacing w:after="0" w:line="240" w:lineRule="auto"/>
              <w:jc w:val="right"/>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81</w:t>
            </w:r>
          </w:p>
        </w:tc>
        <w:tc>
          <w:tcPr>
            <w:tcW w:w="1066" w:type="pct"/>
            <w:shd w:val="clear" w:color="auto" w:fill="auto"/>
            <w:noWrap/>
            <w:vAlign w:val="center"/>
            <w:hideMark/>
          </w:tcPr>
          <w:p w14:paraId="732ACB45" w14:textId="77777777" w:rsidR="00E3750C" w:rsidRPr="004C42D0" w:rsidRDefault="00E3750C" w:rsidP="00047864">
            <w:pPr>
              <w:spacing w:after="0" w:line="240" w:lineRule="auto"/>
              <w:jc w:val="right"/>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311.282.735</w:t>
            </w:r>
          </w:p>
        </w:tc>
      </w:tr>
      <w:tr w:rsidR="00E3750C" w:rsidRPr="004C42D0" w14:paraId="128B00C3" w14:textId="77777777" w:rsidTr="00047864">
        <w:trPr>
          <w:trHeight w:val="288"/>
        </w:trPr>
        <w:tc>
          <w:tcPr>
            <w:tcW w:w="473" w:type="pct"/>
            <w:vMerge/>
            <w:vAlign w:val="center"/>
            <w:hideMark/>
          </w:tcPr>
          <w:p w14:paraId="62394F4B" w14:textId="77777777" w:rsidR="00E3750C" w:rsidRPr="004C42D0" w:rsidRDefault="00E3750C" w:rsidP="00047864">
            <w:pPr>
              <w:spacing w:after="0" w:line="240" w:lineRule="auto"/>
              <w:rPr>
                <w:rFonts w:ascii="Arial" w:eastAsia="Times New Roman" w:hAnsi="Arial" w:cs="Arial"/>
                <w:color w:val="000000"/>
                <w:sz w:val="18"/>
                <w:szCs w:val="18"/>
                <w:lang w:eastAsia="sl-SI"/>
              </w:rPr>
            </w:pPr>
          </w:p>
        </w:tc>
        <w:tc>
          <w:tcPr>
            <w:tcW w:w="2209" w:type="pct"/>
            <w:shd w:val="clear" w:color="auto" w:fill="auto"/>
            <w:noWrap/>
            <w:vAlign w:val="center"/>
            <w:hideMark/>
          </w:tcPr>
          <w:p w14:paraId="4BA3D6E6" w14:textId="77777777" w:rsidR="00E3750C" w:rsidRPr="004C42D0" w:rsidRDefault="00E3750C" w:rsidP="00047864">
            <w:pPr>
              <w:spacing w:after="0" w:line="240" w:lineRule="auto"/>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Omejeni postopek</w:t>
            </w:r>
          </w:p>
        </w:tc>
        <w:tc>
          <w:tcPr>
            <w:tcW w:w="714" w:type="pct"/>
            <w:shd w:val="clear" w:color="auto" w:fill="auto"/>
            <w:noWrap/>
            <w:vAlign w:val="center"/>
            <w:hideMark/>
          </w:tcPr>
          <w:p w14:paraId="6778098C" w14:textId="77777777" w:rsidR="00E3750C" w:rsidRPr="004C42D0" w:rsidRDefault="00E3750C" w:rsidP="00047864">
            <w:pPr>
              <w:spacing w:after="0" w:line="240" w:lineRule="auto"/>
              <w:jc w:val="right"/>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1</w:t>
            </w:r>
          </w:p>
        </w:tc>
        <w:tc>
          <w:tcPr>
            <w:tcW w:w="538" w:type="pct"/>
            <w:shd w:val="clear" w:color="auto" w:fill="auto"/>
            <w:noWrap/>
            <w:vAlign w:val="center"/>
            <w:hideMark/>
          </w:tcPr>
          <w:p w14:paraId="03133174" w14:textId="77777777" w:rsidR="00E3750C" w:rsidRPr="004C42D0" w:rsidRDefault="00E3750C" w:rsidP="00047864">
            <w:pPr>
              <w:spacing w:after="0" w:line="240" w:lineRule="auto"/>
              <w:jc w:val="right"/>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1</w:t>
            </w:r>
          </w:p>
        </w:tc>
        <w:tc>
          <w:tcPr>
            <w:tcW w:w="1066" w:type="pct"/>
            <w:shd w:val="clear" w:color="auto" w:fill="auto"/>
            <w:noWrap/>
            <w:vAlign w:val="center"/>
            <w:hideMark/>
          </w:tcPr>
          <w:p w14:paraId="125CF0B5" w14:textId="77777777" w:rsidR="00E3750C" w:rsidRPr="004C42D0" w:rsidRDefault="00E3750C" w:rsidP="00047864">
            <w:pPr>
              <w:spacing w:after="0" w:line="240" w:lineRule="auto"/>
              <w:jc w:val="right"/>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2.894.504</w:t>
            </w:r>
          </w:p>
        </w:tc>
      </w:tr>
      <w:tr w:rsidR="00E3750C" w:rsidRPr="004C42D0" w14:paraId="17EF1065" w14:textId="77777777" w:rsidTr="00047864">
        <w:trPr>
          <w:trHeight w:val="288"/>
        </w:trPr>
        <w:tc>
          <w:tcPr>
            <w:tcW w:w="473" w:type="pct"/>
            <w:vMerge/>
            <w:vAlign w:val="center"/>
            <w:hideMark/>
          </w:tcPr>
          <w:p w14:paraId="79A8FB5F" w14:textId="77777777" w:rsidR="00E3750C" w:rsidRPr="004C42D0" w:rsidRDefault="00E3750C" w:rsidP="00047864">
            <w:pPr>
              <w:spacing w:after="0" w:line="240" w:lineRule="auto"/>
              <w:rPr>
                <w:rFonts w:ascii="Arial" w:eastAsia="Times New Roman" w:hAnsi="Arial" w:cs="Arial"/>
                <w:color w:val="000000"/>
                <w:sz w:val="18"/>
                <w:szCs w:val="18"/>
                <w:lang w:eastAsia="sl-SI"/>
              </w:rPr>
            </w:pPr>
          </w:p>
        </w:tc>
        <w:tc>
          <w:tcPr>
            <w:tcW w:w="2209" w:type="pct"/>
            <w:shd w:val="clear" w:color="auto" w:fill="auto"/>
            <w:noWrap/>
            <w:vAlign w:val="center"/>
            <w:hideMark/>
          </w:tcPr>
          <w:p w14:paraId="62C0771A" w14:textId="77777777" w:rsidR="00E3750C" w:rsidRPr="004C42D0" w:rsidRDefault="00E3750C" w:rsidP="00047864">
            <w:pPr>
              <w:spacing w:after="0" w:line="240" w:lineRule="auto"/>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Postopek naročila male vrednosti</w:t>
            </w:r>
          </w:p>
        </w:tc>
        <w:tc>
          <w:tcPr>
            <w:tcW w:w="714" w:type="pct"/>
            <w:shd w:val="clear" w:color="auto" w:fill="auto"/>
            <w:noWrap/>
            <w:vAlign w:val="center"/>
            <w:hideMark/>
          </w:tcPr>
          <w:p w14:paraId="0CA60993" w14:textId="77777777" w:rsidR="00E3750C" w:rsidRPr="004C42D0" w:rsidRDefault="00E3750C" w:rsidP="00047864">
            <w:pPr>
              <w:spacing w:after="0" w:line="240" w:lineRule="auto"/>
              <w:jc w:val="right"/>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108</w:t>
            </w:r>
          </w:p>
        </w:tc>
        <w:tc>
          <w:tcPr>
            <w:tcW w:w="538" w:type="pct"/>
            <w:shd w:val="clear" w:color="auto" w:fill="auto"/>
            <w:noWrap/>
            <w:vAlign w:val="center"/>
            <w:hideMark/>
          </w:tcPr>
          <w:p w14:paraId="58C9F9CF" w14:textId="77777777" w:rsidR="00E3750C" w:rsidRPr="004C42D0" w:rsidRDefault="00E3750C" w:rsidP="00047864">
            <w:pPr>
              <w:spacing w:after="0" w:line="240" w:lineRule="auto"/>
              <w:jc w:val="right"/>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127</w:t>
            </w:r>
          </w:p>
        </w:tc>
        <w:tc>
          <w:tcPr>
            <w:tcW w:w="1066" w:type="pct"/>
            <w:shd w:val="clear" w:color="auto" w:fill="auto"/>
            <w:noWrap/>
            <w:vAlign w:val="center"/>
            <w:hideMark/>
          </w:tcPr>
          <w:p w14:paraId="578156E2" w14:textId="77777777" w:rsidR="00E3750C" w:rsidRPr="004C42D0" w:rsidRDefault="00E3750C" w:rsidP="00047864">
            <w:pPr>
              <w:spacing w:after="0" w:line="240" w:lineRule="auto"/>
              <w:jc w:val="right"/>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91.542.116</w:t>
            </w:r>
          </w:p>
        </w:tc>
      </w:tr>
      <w:tr w:rsidR="00E3750C" w:rsidRPr="004C42D0" w14:paraId="33CED34E" w14:textId="77777777" w:rsidTr="00047864">
        <w:trPr>
          <w:trHeight w:val="288"/>
        </w:trPr>
        <w:tc>
          <w:tcPr>
            <w:tcW w:w="473" w:type="pct"/>
            <w:vMerge/>
            <w:vAlign w:val="center"/>
            <w:hideMark/>
          </w:tcPr>
          <w:p w14:paraId="4954A292" w14:textId="77777777" w:rsidR="00E3750C" w:rsidRPr="004C42D0" w:rsidRDefault="00E3750C" w:rsidP="00047864">
            <w:pPr>
              <w:spacing w:after="0" w:line="240" w:lineRule="auto"/>
              <w:rPr>
                <w:rFonts w:ascii="Arial" w:eastAsia="Times New Roman" w:hAnsi="Arial" w:cs="Arial"/>
                <w:color w:val="000000"/>
                <w:sz w:val="18"/>
                <w:szCs w:val="18"/>
                <w:lang w:eastAsia="sl-SI"/>
              </w:rPr>
            </w:pPr>
          </w:p>
        </w:tc>
        <w:tc>
          <w:tcPr>
            <w:tcW w:w="2209" w:type="pct"/>
            <w:shd w:val="clear" w:color="auto" w:fill="auto"/>
            <w:noWrap/>
            <w:vAlign w:val="center"/>
            <w:hideMark/>
          </w:tcPr>
          <w:p w14:paraId="4EED9780" w14:textId="77777777" w:rsidR="00E3750C" w:rsidRPr="004C42D0" w:rsidRDefault="00E3750C" w:rsidP="00047864">
            <w:pPr>
              <w:spacing w:after="0" w:line="240" w:lineRule="auto"/>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Postopek s pogajanji brez predhodne objave</w:t>
            </w:r>
          </w:p>
        </w:tc>
        <w:tc>
          <w:tcPr>
            <w:tcW w:w="714" w:type="pct"/>
            <w:shd w:val="clear" w:color="auto" w:fill="auto"/>
            <w:noWrap/>
            <w:vAlign w:val="center"/>
            <w:hideMark/>
          </w:tcPr>
          <w:p w14:paraId="0BD9E8E3" w14:textId="77777777" w:rsidR="00E3750C" w:rsidRPr="004C42D0" w:rsidRDefault="00E3750C" w:rsidP="00047864">
            <w:pPr>
              <w:spacing w:after="0" w:line="240" w:lineRule="auto"/>
              <w:jc w:val="right"/>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8</w:t>
            </w:r>
          </w:p>
        </w:tc>
        <w:tc>
          <w:tcPr>
            <w:tcW w:w="538" w:type="pct"/>
            <w:shd w:val="clear" w:color="auto" w:fill="auto"/>
            <w:noWrap/>
            <w:vAlign w:val="center"/>
            <w:hideMark/>
          </w:tcPr>
          <w:p w14:paraId="41C808B5" w14:textId="77777777" w:rsidR="00E3750C" w:rsidRPr="004C42D0" w:rsidRDefault="00E3750C" w:rsidP="00047864">
            <w:pPr>
              <w:spacing w:after="0" w:line="240" w:lineRule="auto"/>
              <w:jc w:val="right"/>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8</w:t>
            </w:r>
          </w:p>
        </w:tc>
        <w:tc>
          <w:tcPr>
            <w:tcW w:w="1066" w:type="pct"/>
            <w:shd w:val="clear" w:color="auto" w:fill="auto"/>
            <w:noWrap/>
            <w:vAlign w:val="center"/>
            <w:hideMark/>
          </w:tcPr>
          <w:p w14:paraId="3202E318" w14:textId="77777777" w:rsidR="00E3750C" w:rsidRPr="004C42D0" w:rsidRDefault="00E3750C" w:rsidP="00047864">
            <w:pPr>
              <w:spacing w:after="0" w:line="240" w:lineRule="auto"/>
              <w:jc w:val="right"/>
              <w:rPr>
                <w:rFonts w:ascii="Arial" w:eastAsia="Times New Roman" w:hAnsi="Arial" w:cs="Arial"/>
                <w:color w:val="000000"/>
                <w:sz w:val="18"/>
                <w:szCs w:val="18"/>
                <w:lang w:eastAsia="sl-SI"/>
              </w:rPr>
            </w:pPr>
            <w:r w:rsidRPr="004C42D0">
              <w:rPr>
                <w:rFonts w:ascii="Arial" w:eastAsia="Times New Roman" w:hAnsi="Arial" w:cs="Arial"/>
                <w:color w:val="000000"/>
                <w:sz w:val="18"/>
                <w:szCs w:val="18"/>
                <w:lang w:eastAsia="sl-SI"/>
              </w:rPr>
              <w:t>8.317.345</w:t>
            </w:r>
          </w:p>
        </w:tc>
      </w:tr>
      <w:tr w:rsidR="00E3750C" w:rsidRPr="004C42D0" w14:paraId="59041956" w14:textId="77777777" w:rsidTr="00047864">
        <w:trPr>
          <w:trHeight w:val="288"/>
        </w:trPr>
        <w:tc>
          <w:tcPr>
            <w:tcW w:w="473" w:type="pct"/>
            <w:vMerge/>
            <w:vAlign w:val="center"/>
            <w:hideMark/>
          </w:tcPr>
          <w:p w14:paraId="208D2B08" w14:textId="77777777" w:rsidR="00E3750C" w:rsidRPr="004C42D0" w:rsidRDefault="00E3750C" w:rsidP="00047864">
            <w:pPr>
              <w:spacing w:after="0" w:line="240" w:lineRule="auto"/>
              <w:rPr>
                <w:rFonts w:ascii="Arial" w:eastAsia="Times New Roman" w:hAnsi="Arial" w:cs="Arial"/>
                <w:color w:val="000000"/>
                <w:sz w:val="18"/>
                <w:szCs w:val="18"/>
                <w:lang w:eastAsia="sl-SI"/>
              </w:rPr>
            </w:pPr>
          </w:p>
        </w:tc>
        <w:tc>
          <w:tcPr>
            <w:tcW w:w="2209" w:type="pct"/>
            <w:shd w:val="clear" w:color="auto" w:fill="auto"/>
            <w:noWrap/>
            <w:vAlign w:val="center"/>
            <w:hideMark/>
          </w:tcPr>
          <w:p w14:paraId="62B8A79F" w14:textId="77777777" w:rsidR="00E3750C" w:rsidRPr="004C42D0" w:rsidRDefault="00E3750C" w:rsidP="00047864">
            <w:pPr>
              <w:spacing w:after="0" w:line="240" w:lineRule="auto"/>
              <w:rPr>
                <w:rFonts w:ascii="Arial" w:eastAsia="Times New Roman" w:hAnsi="Arial" w:cs="Arial"/>
                <w:b/>
                <w:bCs/>
                <w:color w:val="000000"/>
                <w:sz w:val="18"/>
                <w:szCs w:val="18"/>
                <w:lang w:eastAsia="sl-SI"/>
              </w:rPr>
            </w:pPr>
            <w:r w:rsidRPr="004C42D0">
              <w:rPr>
                <w:rFonts w:ascii="Arial" w:eastAsia="Times New Roman" w:hAnsi="Arial" w:cs="Arial"/>
                <w:b/>
                <w:bCs/>
                <w:color w:val="000000"/>
                <w:sz w:val="18"/>
                <w:szCs w:val="18"/>
                <w:lang w:eastAsia="sl-SI"/>
              </w:rPr>
              <w:t>Skupaj</w:t>
            </w:r>
          </w:p>
        </w:tc>
        <w:tc>
          <w:tcPr>
            <w:tcW w:w="714" w:type="pct"/>
            <w:shd w:val="clear" w:color="auto" w:fill="auto"/>
            <w:noWrap/>
            <w:vAlign w:val="center"/>
            <w:hideMark/>
          </w:tcPr>
          <w:p w14:paraId="6103772B" w14:textId="77777777" w:rsidR="00E3750C" w:rsidRPr="004C42D0" w:rsidRDefault="00E3750C" w:rsidP="00047864">
            <w:pPr>
              <w:spacing w:after="0" w:line="240" w:lineRule="auto"/>
              <w:jc w:val="right"/>
              <w:rPr>
                <w:rFonts w:ascii="Arial" w:eastAsia="Times New Roman" w:hAnsi="Arial" w:cs="Arial"/>
                <w:b/>
                <w:bCs/>
                <w:color w:val="000000"/>
                <w:sz w:val="18"/>
                <w:szCs w:val="18"/>
                <w:lang w:eastAsia="sl-SI"/>
              </w:rPr>
            </w:pPr>
            <w:r w:rsidRPr="004C42D0">
              <w:rPr>
                <w:rFonts w:ascii="Arial" w:eastAsia="Times New Roman" w:hAnsi="Arial" w:cs="Arial"/>
                <w:b/>
                <w:bCs/>
                <w:color w:val="000000"/>
                <w:sz w:val="18"/>
                <w:szCs w:val="18"/>
                <w:lang w:eastAsia="sl-SI"/>
              </w:rPr>
              <w:t>200</w:t>
            </w:r>
          </w:p>
        </w:tc>
        <w:tc>
          <w:tcPr>
            <w:tcW w:w="538" w:type="pct"/>
            <w:shd w:val="clear" w:color="auto" w:fill="auto"/>
            <w:noWrap/>
            <w:vAlign w:val="center"/>
            <w:hideMark/>
          </w:tcPr>
          <w:p w14:paraId="5CFFA8DA" w14:textId="77777777" w:rsidR="00E3750C" w:rsidRPr="004C42D0" w:rsidRDefault="00E3750C" w:rsidP="00047864">
            <w:pPr>
              <w:spacing w:after="0" w:line="240" w:lineRule="auto"/>
              <w:jc w:val="right"/>
              <w:rPr>
                <w:rFonts w:ascii="Arial" w:eastAsia="Times New Roman" w:hAnsi="Arial" w:cs="Arial"/>
                <w:b/>
                <w:bCs/>
                <w:color w:val="000000"/>
                <w:sz w:val="18"/>
                <w:szCs w:val="18"/>
                <w:lang w:eastAsia="sl-SI"/>
              </w:rPr>
            </w:pPr>
            <w:r w:rsidRPr="004C42D0">
              <w:rPr>
                <w:rFonts w:ascii="Arial" w:eastAsia="Times New Roman" w:hAnsi="Arial" w:cs="Arial"/>
                <w:b/>
                <w:bCs/>
                <w:color w:val="000000"/>
                <w:sz w:val="18"/>
                <w:szCs w:val="18"/>
                <w:lang w:eastAsia="sl-SI"/>
              </w:rPr>
              <w:t>242</w:t>
            </w:r>
          </w:p>
        </w:tc>
        <w:tc>
          <w:tcPr>
            <w:tcW w:w="1066" w:type="pct"/>
            <w:shd w:val="clear" w:color="auto" w:fill="auto"/>
            <w:noWrap/>
            <w:vAlign w:val="center"/>
            <w:hideMark/>
          </w:tcPr>
          <w:p w14:paraId="56FD932D" w14:textId="77777777" w:rsidR="00E3750C" w:rsidRPr="004C42D0" w:rsidRDefault="00E3750C" w:rsidP="00047864">
            <w:pPr>
              <w:spacing w:after="0" w:line="240" w:lineRule="auto"/>
              <w:jc w:val="right"/>
              <w:rPr>
                <w:rFonts w:ascii="Arial" w:eastAsia="Times New Roman" w:hAnsi="Arial" w:cs="Arial"/>
                <w:b/>
                <w:bCs/>
                <w:color w:val="000000"/>
                <w:sz w:val="18"/>
                <w:szCs w:val="18"/>
                <w:lang w:eastAsia="sl-SI"/>
              </w:rPr>
            </w:pPr>
            <w:r w:rsidRPr="004C42D0">
              <w:rPr>
                <w:rFonts w:ascii="Arial" w:eastAsia="Times New Roman" w:hAnsi="Arial" w:cs="Arial"/>
                <w:b/>
                <w:bCs/>
                <w:color w:val="000000"/>
                <w:sz w:val="18"/>
                <w:szCs w:val="18"/>
                <w:lang w:eastAsia="sl-SI"/>
              </w:rPr>
              <w:t>563.152.001</w:t>
            </w:r>
          </w:p>
        </w:tc>
      </w:tr>
      <w:tr w:rsidR="00E3750C" w:rsidRPr="004C42D0" w14:paraId="0B7FAACB" w14:textId="77777777" w:rsidTr="00047864">
        <w:trPr>
          <w:trHeight w:val="288"/>
        </w:trPr>
        <w:tc>
          <w:tcPr>
            <w:tcW w:w="2681" w:type="pct"/>
            <w:gridSpan w:val="2"/>
            <w:shd w:val="clear" w:color="auto" w:fill="F2F2F2" w:themeFill="background1" w:themeFillShade="F2"/>
            <w:noWrap/>
            <w:vAlign w:val="center"/>
            <w:hideMark/>
          </w:tcPr>
          <w:p w14:paraId="0D4CD8FA" w14:textId="77777777" w:rsidR="00E3750C" w:rsidRPr="002F510E" w:rsidRDefault="00E3750C" w:rsidP="00047864">
            <w:pPr>
              <w:spacing w:after="0" w:line="240" w:lineRule="auto"/>
              <w:rPr>
                <w:rFonts w:ascii="Arial" w:eastAsia="Times New Roman" w:hAnsi="Arial" w:cs="Arial"/>
                <w:b/>
                <w:bCs/>
                <w:color w:val="000000"/>
                <w:sz w:val="18"/>
                <w:szCs w:val="18"/>
                <w:lang w:eastAsia="sl-SI"/>
              </w:rPr>
            </w:pPr>
            <w:r w:rsidRPr="002F510E">
              <w:rPr>
                <w:rFonts w:ascii="Arial" w:eastAsia="Times New Roman" w:hAnsi="Arial" w:cs="Arial"/>
                <w:b/>
                <w:bCs/>
                <w:color w:val="000000"/>
                <w:sz w:val="18"/>
                <w:szCs w:val="18"/>
                <w:lang w:eastAsia="sl-SI"/>
              </w:rPr>
              <w:t>Skupaj</w:t>
            </w:r>
          </w:p>
        </w:tc>
        <w:tc>
          <w:tcPr>
            <w:tcW w:w="714" w:type="pct"/>
            <w:shd w:val="clear" w:color="auto" w:fill="F2F2F2" w:themeFill="background1" w:themeFillShade="F2"/>
            <w:noWrap/>
            <w:vAlign w:val="center"/>
            <w:hideMark/>
          </w:tcPr>
          <w:p w14:paraId="582CB567" w14:textId="77777777" w:rsidR="00E3750C" w:rsidRPr="002F510E" w:rsidRDefault="00E3750C" w:rsidP="00047864">
            <w:pPr>
              <w:spacing w:after="0" w:line="240" w:lineRule="auto"/>
              <w:jc w:val="right"/>
              <w:rPr>
                <w:rFonts w:ascii="Arial" w:eastAsia="Times New Roman" w:hAnsi="Arial" w:cs="Arial"/>
                <w:b/>
                <w:bCs/>
                <w:color w:val="000000"/>
                <w:sz w:val="18"/>
                <w:szCs w:val="18"/>
                <w:lang w:eastAsia="sl-SI"/>
              </w:rPr>
            </w:pPr>
            <w:r w:rsidRPr="002F510E">
              <w:rPr>
                <w:rFonts w:ascii="Arial" w:eastAsia="Times New Roman" w:hAnsi="Arial" w:cs="Arial"/>
                <w:b/>
                <w:bCs/>
                <w:color w:val="000000"/>
                <w:sz w:val="18"/>
                <w:szCs w:val="18"/>
                <w:lang w:eastAsia="sl-SI"/>
              </w:rPr>
              <w:t>579</w:t>
            </w:r>
          </w:p>
        </w:tc>
        <w:tc>
          <w:tcPr>
            <w:tcW w:w="538" w:type="pct"/>
            <w:shd w:val="clear" w:color="auto" w:fill="F2F2F2" w:themeFill="background1" w:themeFillShade="F2"/>
            <w:noWrap/>
            <w:vAlign w:val="center"/>
            <w:hideMark/>
          </w:tcPr>
          <w:p w14:paraId="46380E4E" w14:textId="77777777" w:rsidR="00E3750C" w:rsidRPr="002F510E" w:rsidRDefault="00E3750C" w:rsidP="00047864">
            <w:pPr>
              <w:spacing w:after="0" w:line="240" w:lineRule="auto"/>
              <w:jc w:val="right"/>
              <w:rPr>
                <w:rFonts w:ascii="Arial" w:eastAsia="Times New Roman" w:hAnsi="Arial" w:cs="Arial"/>
                <w:b/>
                <w:bCs/>
                <w:color w:val="000000"/>
                <w:sz w:val="18"/>
                <w:szCs w:val="18"/>
                <w:lang w:eastAsia="sl-SI"/>
              </w:rPr>
            </w:pPr>
            <w:r w:rsidRPr="002F510E">
              <w:rPr>
                <w:rFonts w:ascii="Arial" w:eastAsia="Times New Roman" w:hAnsi="Arial" w:cs="Arial"/>
                <w:b/>
                <w:bCs/>
                <w:color w:val="000000"/>
                <w:sz w:val="18"/>
                <w:szCs w:val="18"/>
                <w:lang w:eastAsia="sl-SI"/>
              </w:rPr>
              <w:t>904</w:t>
            </w:r>
          </w:p>
        </w:tc>
        <w:tc>
          <w:tcPr>
            <w:tcW w:w="1066" w:type="pct"/>
            <w:shd w:val="clear" w:color="auto" w:fill="F2F2F2" w:themeFill="background1" w:themeFillShade="F2"/>
            <w:noWrap/>
            <w:vAlign w:val="center"/>
            <w:hideMark/>
          </w:tcPr>
          <w:p w14:paraId="6F8990AA" w14:textId="77777777" w:rsidR="00E3750C" w:rsidRPr="002F510E" w:rsidRDefault="00E3750C" w:rsidP="00047864">
            <w:pPr>
              <w:spacing w:after="0" w:line="240" w:lineRule="auto"/>
              <w:jc w:val="right"/>
              <w:rPr>
                <w:rFonts w:ascii="Arial" w:eastAsia="Times New Roman" w:hAnsi="Arial" w:cs="Arial"/>
                <w:b/>
                <w:bCs/>
                <w:color w:val="000000"/>
                <w:sz w:val="18"/>
                <w:szCs w:val="18"/>
                <w:lang w:eastAsia="sl-SI"/>
              </w:rPr>
            </w:pPr>
            <w:r w:rsidRPr="002F510E">
              <w:rPr>
                <w:rFonts w:ascii="Arial" w:eastAsia="Times New Roman" w:hAnsi="Arial" w:cs="Arial"/>
                <w:b/>
                <w:bCs/>
                <w:color w:val="000000"/>
                <w:sz w:val="18"/>
                <w:szCs w:val="18"/>
                <w:lang w:eastAsia="sl-SI"/>
              </w:rPr>
              <w:t>711.711.015</w:t>
            </w:r>
          </w:p>
        </w:tc>
      </w:tr>
    </w:tbl>
    <w:p w14:paraId="3BC7E9EA" w14:textId="77777777" w:rsidR="00E3750C" w:rsidRPr="00BF7302" w:rsidRDefault="00E3750C" w:rsidP="00E3750C">
      <w:pPr>
        <w:spacing w:before="120" w:after="120" w:line="240" w:lineRule="auto"/>
        <w:jc w:val="both"/>
        <w:rPr>
          <w:rFonts w:ascii="Arial" w:hAnsi="Arial" w:cs="Arial"/>
          <w:sz w:val="20"/>
          <w:highlight w:val="yellow"/>
        </w:rPr>
      </w:pPr>
    </w:p>
    <w:p w14:paraId="7F658A60" w14:textId="77777777" w:rsidR="00E3750C" w:rsidRPr="001170C4" w:rsidRDefault="00E3750C" w:rsidP="00E3750C">
      <w:pPr>
        <w:spacing w:before="120" w:after="0" w:line="240" w:lineRule="auto"/>
        <w:jc w:val="both"/>
        <w:rPr>
          <w:rFonts w:ascii="Arial" w:hAnsi="Arial" w:cs="Arial"/>
          <w:sz w:val="20"/>
        </w:rPr>
      </w:pPr>
      <w:r w:rsidRPr="001170C4">
        <w:rPr>
          <w:rFonts w:ascii="Arial" w:hAnsi="Arial" w:cs="Arial"/>
          <w:sz w:val="20"/>
        </w:rPr>
        <w:t>Preglednica 8</w:t>
      </w:r>
      <w:r>
        <w:rPr>
          <w:rFonts w:ascii="Arial" w:hAnsi="Arial" w:cs="Arial"/>
          <w:sz w:val="20"/>
        </w:rPr>
        <w:t>6</w:t>
      </w:r>
      <w:r w:rsidRPr="001170C4">
        <w:rPr>
          <w:rFonts w:ascii="Arial" w:hAnsi="Arial" w:cs="Arial"/>
          <w:sz w:val="20"/>
        </w:rPr>
        <w:t>: Javna naročila, sofinancirana s sredstvi EU glede na področje, mesto objave in vrsto postopka</w:t>
      </w:r>
      <w:bookmarkEnd w:id="111"/>
      <w:bookmarkEnd w:id="112"/>
      <w:bookmarkEnd w:id="113"/>
      <w:bookmarkEnd w:id="114"/>
      <w:bookmarkEnd w:id="115"/>
      <w:bookmarkEnd w:id="116"/>
    </w:p>
    <w:p w14:paraId="757A72F1" w14:textId="77777777" w:rsidR="00E3750C" w:rsidRPr="00BF7302" w:rsidRDefault="00E3750C" w:rsidP="00E3750C">
      <w:pPr>
        <w:spacing w:after="0" w:line="240" w:lineRule="auto"/>
        <w:jc w:val="both"/>
        <w:rPr>
          <w:rFonts w:ascii="Arial" w:hAnsi="Arial" w:cs="Arial"/>
          <w:sz w:val="20"/>
          <w:highlight w:val="yellow"/>
        </w:rPr>
      </w:pPr>
    </w:p>
    <w:tbl>
      <w:tblPr>
        <w:tblW w:w="5000" w:type="pct"/>
        <w:tblLayout w:type="fixed"/>
        <w:tblCellMar>
          <w:left w:w="70" w:type="dxa"/>
          <w:right w:w="70" w:type="dxa"/>
        </w:tblCellMar>
        <w:tblLook w:val="04A0" w:firstRow="1" w:lastRow="0" w:firstColumn="1" w:lastColumn="0" w:noHBand="0" w:noVBand="1"/>
      </w:tblPr>
      <w:tblGrid>
        <w:gridCol w:w="1502"/>
        <w:gridCol w:w="1185"/>
        <w:gridCol w:w="3404"/>
        <w:gridCol w:w="993"/>
        <w:gridCol w:w="835"/>
        <w:gridCol w:w="1255"/>
      </w:tblGrid>
      <w:tr w:rsidR="00E3750C" w:rsidRPr="001170C4" w14:paraId="62A4F749" w14:textId="77777777" w:rsidTr="00047864">
        <w:trPr>
          <w:trHeight w:val="288"/>
          <w:tblHeader/>
        </w:trPr>
        <w:tc>
          <w:tcPr>
            <w:tcW w:w="819"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7598814E" w14:textId="77777777" w:rsidR="00E3750C" w:rsidRPr="001170C4" w:rsidRDefault="00E3750C" w:rsidP="00047864">
            <w:pPr>
              <w:spacing w:after="0" w:line="240" w:lineRule="auto"/>
              <w:jc w:val="center"/>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Področje</w:t>
            </w:r>
          </w:p>
        </w:tc>
        <w:tc>
          <w:tcPr>
            <w:tcW w:w="646" w:type="pct"/>
            <w:tcBorders>
              <w:top w:val="single" w:sz="4" w:space="0" w:color="auto"/>
              <w:left w:val="nil"/>
              <w:bottom w:val="single" w:sz="4" w:space="0" w:color="auto"/>
              <w:right w:val="single" w:sz="4" w:space="0" w:color="auto"/>
            </w:tcBorders>
            <w:shd w:val="clear" w:color="000000" w:fill="F2F2F2"/>
            <w:vAlign w:val="center"/>
            <w:hideMark/>
          </w:tcPr>
          <w:p w14:paraId="76A593FB" w14:textId="77777777" w:rsidR="00E3750C" w:rsidRPr="001170C4" w:rsidRDefault="00E3750C" w:rsidP="00047864">
            <w:pPr>
              <w:spacing w:after="0" w:line="240" w:lineRule="auto"/>
              <w:jc w:val="center"/>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Objava UL EU</w:t>
            </w:r>
          </w:p>
        </w:tc>
        <w:tc>
          <w:tcPr>
            <w:tcW w:w="1855" w:type="pct"/>
            <w:tcBorders>
              <w:top w:val="single" w:sz="4" w:space="0" w:color="auto"/>
              <w:left w:val="nil"/>
              <w:bottom w:val="single" w:sz="4" w:space="0" w:color="auto"/>
              <w:right w:val="single" w:sz="4" w:space="0" w:color="auto"/>
            </w:tcBorders>
            <w:shd w:val="clear" w:color="000000" w:fill="F2F2F2"/>
            <w:vAlign w:val="center"/>
            <w:hideMark/>
          </w:tcPr>
          <w:p w14:paraId="492AEDC2" w14:textId="77777777" w:rsidR="00E3750C" w:rsidRPr="001170C4" w:rsidRDefault="00E3750C" w:rsidP="00047864">
            <w:pPr>
              <w:spacing w:after="0" w:line="240" w:lineRule="auto"/>
              <w:jc w:val="center"/>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Vrsta postopka</w:t>
            </w:r>
          </w:p>
        </w:tc>
        <w:tc>
          <w:tcPr>
            <w:tcW w:w="541" w:type="pct"/>
            <w:tcBorders>
              <w:top w:val="single" w:sz="4" w:space="0" w:color="auto"/>
              <w:left w:val="nil"/>
              <w:bottom w:val="single" w:sz="4" w:space="0" w:color="auto"/>
              <w:right w:val="single" w:sz="4" w:space="0" w:color="auto"/>
            </w:tcBorders>
            <w:shd w:val="clear" w:color="000000" w:fill="F2F2F2"/>
            <w:vAlign w:val="center"/>
            <w:hideMark/>
          </w:tcPr>
          <w:p w14:paraId="0EF002C5" w14:textId="77777777" w:rsidR="00E3750C" w:rsidRPr="001170C4" w:rsidRDefault="00E3750C" w:rsidP="00047864">
            <w:pPr>
              <w:spacing w:after="0" w:line="240" w:lineRule="auto"/>
              <w:jc w:val="center"/>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Št. postopkov</w:t>
            </w:r>
          </w:p>
        </w:tc>
        <w:tc>
          <w:tcPr>
            <w:tcW w:w="455" w:type="pct"/>
            <w:tcBorders>
              <w:top w:val="single" w:sz="4" w:space="0" w:color="auto"/>
              <w:left w:val="nil"/>
              <w:bottom w:val="single" w:sz="4" w:space="0" w:color="auto"/>
              <w:right w:val="single" w:sz="4" w:space="0" w:color="auto"/>
            </w:tcBorders>
            <w:shd w:val="clear" w:color="000000" w:fill="F2F2F2"/>
            <w:vAlign w:val="center"/>
            <w:hideMark/>
          </w:tcPr>
          <w:p w14:paraId="28A70A7F" w14:textId="77777777" w:rsidR="00E3750C" w:rsidRPr="001170C4" w:rsidRDefault="00E3750C" w:rsidP="00047864">
            <w:pPr>
              <w:spacing w:after="0" w:line="240" w:lineRule="auto"/>
              <w:jc w:val="center"/>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Št. naročil</w:t>
            </w:r>
          </w:p>
        </w:tc>
        <w:tc>
          <w:tcPr>
            <w:tcW w:w="685" w:type="pct"/>
            <w:tcBorders>
              <w:top w:val="single" w:sz="4" w:space="0" w:color="auto"/>
              <w:left w:val="nil"/>
              <w:bottom w:val="single" w:sz="4" w:space="0" w:color="auto"/>
              <w:right w:val="single" w:sz="4" w:space="0" w:color="auto"/>
            </w:tcBorders>
            <w:shd w:val="clear" w:color="000000" w:fill="F2F2F2"/>
            <w:vAlign w:val="center"/>
            <w:hideMark/>
          </w:tcPr>
          <w:p w14:paraId="2B4A7631" w14:textId="77777777" w:rsidR="00E3750C" w:rsidRPr="001170C4" w:rsidRDefault="00E3750C" w:rsidP="00047864">
            <w:pPr>
              <w:spacing w:after="0" w:line="240" w:lineRule="auto"/>
              <w:jc w:val="center"/>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Pogodbena vrednost</w:t>
            </w:r>
          </w:p>
        </w:tc>
      </w:tr>
      <w:tr w:rsidR="00E3750C" w:rsidRPr="001170C4" w14:paraId="2C6789DA" w14:textId="77777777" w:rsidTr="00047864">
        <w:trPr>
          <w:trHeight w:val="288"/>
        </w:trPr>
        <w:tc>
          <w:tcPr>
            <w:tcW w:w="81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DAFA247" w14:textId="77777777" w:rsidR="00E3750C" w:rsidRPr="001170C4" w:rsidRDefault="00E3750C" w:rsidP="00047864">
            <w:pPr>
              <w:spacing w:after="0" w:line="240" w:lineRule="auto"/>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Splošno</w:t>
            </w:r>
          </w:p>
        </w:tc>
        <w:tc>
          <w:tcPr>
            <w:tcW w:w="64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5F17A2E" w14:textId="77777777" w:rsidR="00E3750C" w:rsidRPr="001170C4" w:rsidRDefault="00E3750C" w:rsidP="00047864">
            <w:pPr>
              <w:spacing w:after="0" w:line="240" w:lineRule="auto"/>
              <w:jc w:val="center"/>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DA</w:t>
            </w:r>
          </w:p>
        </w:tc>
        <w:tc>
          <w:tcPr>
            <w:tcW w:w="1855" w:type="pct"/>
            <w:tcBorders>
              <w:top w:val="nil"/>
              <w:left w:val="nil"/>
              <w:bottom w:val="single" w:sz="4" w:space="0" w:color="auto"/>
              <w:right w:val="single" w:sz="4" w:space="0" w:color="auto"/>
            </w:tcBorders>
            <w:shd w:val="clear" w:color="auto" w:fill="auto"/>
            <w:noWrap/>
            <w:vAlign w:val="center"/>
            <w:hideMark/>
          </w:tcPr>
          <w:p w14:paraId="1BE8D7E8" w14:textId="77777777" w:rsidR="00E3750C" w:rsidRPr="001170C4" w:rsidRDefault="00E3750C" w:rsidP="00047864">
            <w:pPr>
              <w:spacing w:after="0" w:line="240" w:lineRule="auto"/>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Konkurenčni dialog</w:t>
            </w:r>
          </w:p>
        </w:tc>
        <w:tc>
          <w:tcPr>
            <w:tcW w:w="541" w:type="pct"/>
            <w:tcBorders>
              <w:top w:val="nil"/>
              <w:left w:val="nil"/>
              <w:bottom w:val="single" w:sz="4" w:space="0" w:color="auto"/>
              <w:right w:val="single" w:sz="4" w:space="0" w:color="auto"/>
            </w:tcBorders>
            <w:shd w:val="clear" w:color="auto" w:fill="auto"/>
            <w:noWrap/>
            <w:vAlign w:val="center"/>
            <w:hideMark/>
          </w:tcPr>
          <w:p w14:paraId="4EAFA4AA" w14:textId="77777777" w:rsidR="00E3750C" w:rsidRPr="001170C4" w:rsidRDefault="00E3750C" w:rsidP="00047864">
            <w:pPr>
              <w:spacing w:after="0" w:line="240" w:lineRule="auto"/>
              <w:jc w:val="right"/>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4</w:t>
            </w:r>
          </w:p>
        </w:tc>
        <w:tc>
          <w:tcPr>
            <w:tcW w:w="455" w:type="pct"/>
            <w:tcBorders>
              <w:top w:val="nil"/>
              <w:left w:val="nil"/>
              <w:bottom w:val="single" w:sz="4" w:space="0" w:color="auto"/>
              <w:right w:val="single" w:sz="4" w:space="0" w:color="auto"/>
            </w:tcBorders>
            <w:shd w:val="clear" w:color="auto" w:fill="auto"/>
            <w:noWrap/>
            <w:vAlign w:val="center"/>
            <w:hideMark/>
          </w:tcPr>
          <w:p w14:paraId="434CEF3D" w14:textId="77777777" w:rsidR="00E3750C" w:rsidRPr="001170C4" w:rsidRDefault="00E3750C" w:rsidP="00047864">
            <w:pPr>
              <w:spacing w:after="0" w:line="240" w:lineRule="auto"/>
              <w:jc w:val="right"/>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4</w:t>
            </w:r>
          </w:p>
        </w:tc>
        <w:tc>
          <w:tcPr>
            <w:tcW w:w="685" w:type="pct"/>
            <w:tcBorders>
              <w:top w:val="nil"/>
              <w:left w:val="nil"/>
              <w:bottom w:val="single" w:sz="4" w:space="0" w:color="auto"/>
              <w:right w:val="single" w:sz="4" w:space="0" w:color="auto"/>
            </w:tcBorders>
            <w:shd w:val="clear" w:color="auto" w:fill="auto"/>
            <w:noWrap/>
            <w:vAlign w:val="center"/>
            <w:hideMark/>
          </w:tcPr>
          <w:p w14:paraId="7982DD0F" w14:textId="77777777" w:rsidR="00E3750C" w:rsidRPr="001170C4" w:rsidRDefault="00E3750C" w:rsidP="00047864">
            <w:pPr>
              <w:spacing w:after="0" w:line="240" w:lineRule="auto"/>
              <w:jc w:val="right"/>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2.502.212</w:t>
            </w:r>
          </w:p>
        </w:tc>
      </w:tr>
      <w:tr w:rsidR="00E3750C" w:rsidRPr="001170C4" w14:paraId="30297B08" w14:textId="77777777" w:rsidTr="00047864">
        <w:trPr>
          <w:trHeight w:val="288"/>
        </w:trPr>
        <w:tc>
          <w:tcPr>
            <w:tcW w:w="819" w:type="pct"/>
            <w:vMerge/>
            <w:tcBorders>
              <w:top w:val="nil"/>
              <w:left w:val="single" w:sz="4" w:space="0" w:color="auto"/>
              <w:bottom w:val="single" w:sz="4" w:space="0" w:color="auto"/>
              <w:right w:val="single" w:sz="4" w:space="0" w:color="auto"/>
            </w:tcBorders>
            <w:vAlign w:val="center"/>
            <w:hideMark/>
          </w:tcPr>
          <w:p w14:paraId="1B203E59" w14:textId="77777777" w:rsidR="00E3750C" w:rsidRPr="001170C4" w:rsidRDefault="00E3750C" w:rsidP="00047864">
            <w:pPr>
              <w:spacing w:after="0" w:line="240" w:lineRule="auto"/>
              <w:rPr>
                <w:rFonts w:ascii="Arial" w:eastAsia="Times New Roman" w:hAnsi="Arial" w:cs="Arial"/>
                <w:color w:val="000000"/>
                <w:sz w:val="18"/>
                <w:szCs w:val="18"/>
                <w:lang w:eastAsia="sl-SI"/>
              </w:rPr>
            </w:pPr>
          </w:p>
        </w:tc>
        <w:tc>
          <w:tcPr>
            <w:tcW w:w="646" w:type="pct"/>
            <w:vMerge/>
            <w:tcBorders>
              <w:top w:val="nil"/>
              <w:left w:val="single" w:sz="4" w:space="0" w:color="auto"/>
              <w:bottom w:val="single" w:sz="4" w:space="0" w:color="auto"/>
              <w:right w:val="single" w:sz="4" w:space="0" w:color="auto"/>
            </w:tcBorders>
            <w:vAlign w:val="center"/>
            <w:hideMark/>
          </w:tcPr>
          <w:p w14:paraId="3F04A11E" w14:textId="77777777" w:rsidR="00E3750C" w:rsidRPr="001170C4" w:rsidRDefault="00E3750C" w:rsidP="00047864">
            <w:pPr>
              <w:spacing w:after="0" w:line="240" w:lineRule="auto"/>
              <w:jc w:val="center"/>
              <w:rPr>
                <w:rFonts w:ascii="Arial" w:eastAsia="Times New Roman" w:hAnsi="Arial" w:cs="Arial"/>
                <w:color w:val="000000"/>
                <w:sz w:val="18"/>
                <w:szCs w:val="18"/>
                <w:lang w:eastAsia="sl-SI"/>
              </w:rPr>
            </w:pPr>
          </w:p>
        </w:tc>
        <w:tc>
          <w:tcPr>
            <w:tcW w:w="1855" w:type="pct"/>
            <w:tcBorders>
              <w:top w:val="nil"/>
              <w:left w:val="nil"/>
              <w:bottom w:val="single" w:sz="4" w:space="0" w:color="auto"/>
              <w:right w:val="single" w:sz="4" w:space="0" w:color="auto"/>
            </w:tcBorders>
            <w:shd w:val="clear" w:color="auto" w:fill="auto"/>
            <w:noWrap/>
            <w:vAlign w:val="center"/>
            <w:hideMark/>
          </w:tcPr>
          <w:p w14:paraId="2FA5CC00" w14:textId="77777777" w:rsidR="00E3750C" w:rsidRPr="001170C4" w:rsidRDefault="00E3750C" w:rsidP="00047864">
            <w:pPr>
              <w:spacing w:after="0" w:line="240" w:lineRule="auto"/>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Konkurenčni postopek s pogajanji</w:t>
            </w:r>
          </w:p>
        </w:tc>
        <w:tc>
          <w:tcPr>
            <w:tcW w:w="541" w:type="pct"/>
            <w:tcBorders>
              <w:top w:val="nil"/>
              <w:left w:val="nil"/>
              <w:bottom w:val="single" w:sz="4" w:space="0" w:color="auto"/>
              <w:right w:val="single" w:sz="4" w:space="0" w:color="auto"/>
            </w:tcBorders>
            <w:shd w:val="clear" w:color="auto" w:fill="auto"/>
            <w:noWrap/>
            <w:vAlign w:val="center"/>
            <w:hideMark/>
          </w:tcPr>
          <w:p w14:paraId="068FD626" w14:textId="77777777" w:rsidR="00E3750C" w:rsidRPr="001170C4" w:rsidRDefault="00E3750C" w:rsidP="00047864">
            <w:pPr>
              <w:spacing w:after="0" w:line="240" w:lineRule="auto"/>
              <w:jc w:val="right"/>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16</w:t>
            </w:r>
          </w:p>
        </w:tc>
        <w:tc>
          <w:tcPr>
            <w:tcW w:w="455" w:type="pct"/>
            <w:tcBorders>
              <w:top w:val="nil"/>
              <w:left w:val="nil"/>
              <w:bottom w:val="single" w:sz="4" w:space="0" w:color="auto"/>
              <w:right w:val="single" w:sz="4" w:space="0" w:color="auto"/>
            </w:tcBorders>
            <w:shd w:val="clear" w:color="auto" w:fill="auto"/>
            <w:noWrap/>
            <w:vAlign w:val="center"/>
            <w:hideMark/>
          </w:tcPr>
          <w:p w14:paraId="5717217B" w14:textId="77777777" w:rsidR="00E3750C" w:rsidRPr="001170C4" w:rsidRDefault="00E3750C" w:rsidP="00047864">
            <w:pPr>
              <w:spacing w:after="0" w:line="240" w:lineRule="auto"/>
              <w:jc w:val="right"/>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19</w:t>
            </w:r>
          </w:p>
        </w:tc>
        <w:tc>
          <w:tcPr>
            <w:tcW w:w="685" w:type="pct"/>
            <w:tcBorders>
              <w:top w:val="nil"/>
              <w:left w:val="nil"/>
              <w:bottom w:val="single" w:sz="4" w:space="0" w:color="auto"/>
              <w:right w:val="single" w:sz="4" w:space="0" w:color="auto"/>
            </w:tcBorders>
            <w:shd w:val="clear" w:color="auto" w:fill="auto"/>
            <w:noWrap/>
            <w:vAlign w:val="center"/>
            <w:hideMark/>
          </w:tcPr>
          <w:p w14:paraId="2D6C55EF" w14:textId="77777777" w:rsidR="00E3750C" w:rsidRPr="001170C4" w:rsidRDefault="00E3750C" w:rsidP="00047864">
            <w:pPr>
              <w:spacing w:after="0" w:line="240" w:lineRule="auto"/>
              <w:jc w:val="right"/>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136.016.362</w:t>
            </w:r>
          </w:p>
        </w:tc>
      </w:tr>
      <w:tr w:rsidR="00E3750C" w:rsidRPr="001170C4" w14:paraId="05208D51" w14:textId="77777777" w:rsidTr="00047864">
        <w:trPr>
          <w:trHeight w:val="288"/>
        </w:trPr>
        <w:tc>
          <w:tcPr>
            <w:tcW w:w="819" w:type="pct"/>
            <w:vMerge/>
            <w:tcBorders>
              <w:top w:val="nil"/>
              <w:left w:val="single" w:sz="4" w:space="0" w:color="auto"/>
              <w:bottom w:val="single" w:sz="4" w:space="0" w:color="auto"/>
              <w:right w:val="single" w:sz="4" w:space="0" w:color="auto"/>
            </w:tcBorders>
            <w:vAlign w:val="center"/>
            <w:hideMark/>
          </w:tcPr>
          <w:p w14:paraId="4261A724" w14:textId="77777777" w:rsidR="00E3750C" w:rsidRPr="001170C4" w:rsidRDefault="00E3750C" w:rsidP="00047864">
            <w:pPr>
              <w:spacing w:after="0" w:line="240" w:lineRule="auto"/>
              <w:rPr>
                <w:rFonts w:ascii="Arial" w:eastAsia="Times New Roman" w:hAnsi="Arial" w:cs="Arial"/>
                <w:color w:val="000000"/>
                <w:sz w:val="18"/>
                <w:szCs w:val="18"/>
                <w:lang w:eastAsia="sl-SI"/>
              </w:rPr>
            </w:pPr>
          </w:p>
        </w:tc>
        <w:tc>
          <w:tcPr>
            <w:tcW w:w="646" w:type="pct"/>
            <w:vMerge/>
            <w:tcBorders>
              <w:top w:val="nil"/>
              <w:left w:val="single" w:sz="4" w:space="0" w:color="auto"/>
              <w:bottom w:val="single" w:sz="4" w:space="0" w:color="auto"/>
              <w:right w:val="single" w:sz="4" w:space="0" w:color="auto"/>
            </w:tcBorders>
            <w:vAlign w:val="center"/>
            <w:hideMark/>
          </w:tcPr>
          <w:p w14:paraId="3755E3A0" w14:textId="77777777" w:rsidR="00E3750C" w:rsidRPr="001170C4" w:rsidRDefault="00E3750C" w:rsidP="00047864">
            <w:pPr>
              <w:spacing w:after="0" w:line="240" w:lineRule="auto"/>
              <w:jc w:val="center"/>
              <w:rPr>
                <w:rFonts w:ascii="Arial" w:eastAsia="Times New Roman" w:hAnsi="Arial" w:cs="Arial"/>
                <w:color w:val="000000"/>
                <w:sz w:val="18"/>
                <w:szCs w:val="18"/>
                <w:lang w:eastAsia="sl-SI"/>
              </w:rPr>
            </w:pPr>
          </w:p>
        </w:tc>
        <w:tc>
          <w:tcPr>
            <w:tcW w:w="1855" w:type="pct"/>
            <w:tcBorders>
              <w:top w:val="nil"/>
              <w:left w:val="nil"/>
              <w:bottom w:val="single" w:sz="4" w:space="0" w:color="auto"/>
              <w:right w:val="single" w:sz="4" w:space="0" w:color="auto"/>
            </w:tcBorders>
            <w:shd w:val="clear" w:color="auto" w:fill="auto"/>
            <w:noWrap/>
            <w:vAlign w:val="center"/>
            <w:hideMark/>
          </w:tcPr>
          <w:p w14:paraId="750A38E7" w14:textId="77777777" w:rsidR="00E3750C" w:rsidRPr="001170C4" w:rsidRDefault="00E3750C" w:rsidP="00047864">
            <w:pPr>
              <w:spacing w:after="0" w:line="240" w:lineRule="auto"/>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Odprti postopek</w:t>
            </w:r>
          </w:p>
        </w:tc>
        <w:tc>
          <w:tcPr>
            <w:tcW w:w="541" w:type="pct"/>
            <w:tcBorders>
              <w:top w:val="nil"/>
              <w:left w:val="nil"/>
              <w:bottom w:val="single" w:sz="4" w:space="0" w:color="auto"/>
              <w:right w:val="single" w:sz="4" w:space="0" w:color="auto"/>
            </w:tcBorders>
            <w:shd w:val="clear" w:color="auto" w:fill="auto"/>
            <w:noWrap/>
            <w:vAlign w:val="center"/>
            <w:hideMark/>
          </w:tcPr>
          <w:p w14:paraId="2435F692" w14:textId="77777777" w:rsidR="00E3750C" w:rsidRPr="001170C4" w:rsidRDefault="00E3750C" w:rsidP="00047864">
            <w:pPr>
              <w:spacing w:after="0" w:line="240" w:lineRule="auto"/>
              <w:jc w:val="right"/>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213</w:t>
            </w:r>
          </w:p>
        </w:tc>
        <w:tc>
          <w:tcPr>
            <w:tcW w:w="455" w:type="pct"/>
            <w:tcBorders>
              <w:top w:val="nil"/>
              <w:left w:val="nil"/>
              <w:bottom w:val="single" w:sz="4" w:space="0" w:color="auto"/>
              <w:right w:val="single" w:sz="4" w:space="0" w:color="auto"/>
            </w:tcBorders>
            <w:shd w:val="clear" w:color="auto" w:fill="auto"/>
            <w:noWrap/>
            <w:vAlign w:val="center"/>
            <w:hideMark/>
          </w:tcPr>
          <w:p w14:paraId="4541143C" w14:textId="77777777" w:rsidR="00E3750C" w:rsidRPr="001170C4" w:rsidRDefault="00E3750C" w:rsidP="00047864">
            <w:pPr>
              <w:spacing w:after="0" w:line="240" w:lineRule="auto"/>
              <w:jc w:val="right"/>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419</w:t>
            </w:r>
          </w:p>
        </w:tc>
        <w:tc>
          <w:tcPr>
            <w:tcW w:w="685" w:type="pct"/>
            <w:tcBorders>
              <w:top w:val="nil"/>
              <w:left w:val="nil"/>
              <w:bottom w:val="single" w:sz="4" w:space="0" w:color="auto"/>
              <w:right w:val="single" w:sz="4" w:space="0" w:color="auto"/>
            </w:tcBorders>
            <w:shd w:val="clear" w:color="auto" w:fill="auto"/>
            <w:noWrap/>
            <w:vAlign w:val="center"/>
            <w:hideMark/>
          </w:tcPr>
          <w:p w14:paraId="6CB2096D" w14:textId="77777777" w:rsidR="00E3750C" w:rsidRPr="001170C4" w:rsidRDefault="00E3750C" w:rsidP="00047864">
            <w:pPr>
              <w:spacing w:after="0" w:line="240" w:lineRule="auto"/>
              <w:jc w:val="right"/>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368.812.723</w:t>
            </w:r>
          </w:p>
        </w:tc>
      </w:tr>
      <w:tr w:rsidR="00E3750C" w:rsidRPr="001170C4" w14:paraId="44F14D5E" w14:textId="77777777" w:rsidTr="00047864">
        <w:trPr>
          <w:trHeight w:val="288"/>
        </w:trPr>
        <w:tc>
          <w:tcPr>
            <w:tcW w:w="819" w:type="pct"/>
            <w:vMerge/>
            <w:tcBorders>
              <w:top w:val="nil"/>
              <w:left w:val="single" w:sz="4" w:space="0" w:color="auto"/>
              <w:bottom w:val="single" w:sz="4" w:space="0" w:color="auto"/>
              <w:right w:val="single" w:sz="4" w:space="0" w:color="auto"/>
            </w:tcBorders>
            <w:vAlign w:val="center"/>
            <w:hideMark/>
          </w:tcPr>
          <w:p w14:paraId="4CDA137F" w14:textId="77777777" w:rsidR="00E3750C" w:rsidRPr="001170C4" w:rsidRDefault="00E3750C" w:rsidP="00047864">
            <w:pPr>
              <w:spacing w:after="0" w:line="240" w:lineRule="auto"/>
              <w:rPr>
                <w:rFonts w:ascii="Arial" w:eastAsia="Times New Roman" w:hAnsi="Arial" w:cs="Arial"/>
                <w:color w:val="000000"/>
                <w:sz w:val="18"/>
                <w:szCs w:val="18"/>
                <w:lang w:eastAsia="sl-SI"/>
              </w:rPr>
            </w:pPr>
          </w:p>
        </w:tc>
        <w:tc>
          <w:tcPr>
            <w:tcW w:w="646" w:type="pct"/>
            <w:vMerge/>
            <w:tcBorders>
              <w:top w:val="nil"/>
              <w:left w:val="single" w:sz="4" w:space="0" w:color="auto"/>
              <w:bottom w:val="single" w:sz="4" w:space="0" w:color="auto"/>
              <w:right w:val="single" w:sz="4" w:space="0" w:color="auto"/>
            </w:tcBorders>
            <w:vAlign w:val="center"/>
            <w:hideMark/>
          </w:tcPr>
          <w:p w14:paraId="652ADC61" w14:textId="77777777" w:rsidR="00E3750C" w:rsidRPr="001170C4" w:rsidRDefault="00E3750C" w:rsidP="00047864">
            <w:pPr>
              <w:spacing w:after="0" w:line="240" w:lineRule="auto"/>
              <w:jc w:val="center"/>
              <w:rPr>
                <w:rFonts w:ascii="Arial" w:eastAsia="Times New Roman" w:hAnsi="Arial" w:cs="Arial"/>
                <w:color w:val="000000"/>
                <w:sz w:val="18"/>
                <w:szCs w:val="18"/>
                <w:lang w:eastAsia="sl-SI"/>
              </w:rPr>
            </w:pPr>
          </w:p>
        </w:tc>
        <w:tc>
          <w:tcPr>
            <w:tcW w:w="1855" w:type="pct"/>
            <w:tcBorders>
              <w:top w:val="nil"/>
              <w:left w:val="nil"/>
              <w:bottom w:val="single" w:sz="4" w:space="0" w:color="auto"/>
              <w:right w:val="single" w:sz="4" w:space="0" w:color="auto"/>
            </w:tcBorders>
            <w:shd w:val="clear" w:color="auto" w:fill="auto"/>
            <w:noWrap/>
            <w:vAlign w:val="center"/>
            <w:hideMark/>
          </w:tcPr>
          <w:p w14:paraId="38556EFF" w14:textId="77777777" w:rsidR="00E3750C" w:rsidRPr="001170C4" w:rsidRDefault="00E3750C" w:rsidP="00047864">
            <w:pPr>
              <w:spacing w:after="0" w:line="240" w:lineRule="auto"/>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Postopek s pogajanji brez predhodne objave</w:t>
            </w:r>
          </w:p>
        </w:tc>
        <w:tc>
          <w:tcPr>
            <w:tcW w:w="541" w:type="pct"/>
            <w:tcBorders>
              <w:top w:val="nil"/>
              <w:left w:val="nil"/>
              <w:bottom w:val="single" w:sz="4" w:space="0" w:color="auto"/>
              <w:right w:val="single" w:sz="4" w:space="0" w:color="auto"/>
            </w:tcBorders>
            <w:shd w:val="clear" w:color="auto" w:fill="auto"/>
            <w:noWrap/>
            <w:vAlign w:val="center"/>
            <w:hideMark/>
          </w:tcPr>
          <w:p w14:paraId="40900CD8" w14:textId="77777777" w:rsidR="00E3750C" w:rsidRPr="001170C4" w:rsidRDefault="00E3750C" w:rsidP="00047864">
            <w:pPr>
              <w:spacing w:after="0" w:line="240" w:lineRule="auto"/>
              <w:jc w:val="right"/>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12</w:t>
            </w:r>
          </w:p>
        </w:tc>
        <w:tc>
          <w:tcPr>
            <w:tcW w:w="455" w:type="pct"/>
            <w:tcBorders>
              <w:top w:val="nil"/>
              <w:left w:val="nil"/>
              <w:bottom w:val="single" w:sz="4" w:space="0" w:color="auto"/>
              <w:right w:val="single" w:sz="4" w:space="0" w:color="auto"/>
            </w:tcBorders>
            <w:shd w:val="clear" w:color="auto" w:fill="auto"/>
            <w:noWrap/>
            <w:vAlign w:val="center"/>
            <w:hideMark/>
          </w:tcPr>
          <w:p w14:paraId="71499CFF" w14:textId="77777777" w:rsidR="00E3750C" w:rsidRPr="001170C4" w:rsidRDefault="00E3750C" w:rsidP="00047864">
            <w:pPr>
              <w:spacing w:after="0" w:line="240" w:lineRule="auto"/>
              <w:jc w:val="right"/>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12</w:t>
            </w:r>
          </w:p>
        </w:tc>
        <w:tc>
          <w:tcPr>
            <w:tcW w:w="685" w:type="pct"/>
            <w:tcBorders>
              <w:top w:val="nil"/>
              <w:left w:val="nil"/>
              <w:bottom w:val="single" w:sz="4" w:space="0" w:color="auto"/>
              <w:right w:val="single" w:sz="4" w:space="0" w:color="auto"/>
            </w:tcBorders>
            <w:shd w:val="clear" w:color="auto" w:fill="auto"/>
            <w:noWrap/>
            <w:vAlign w:val="center"/>
            <w:hideMark/>
          </w:tcPr>
          <w:p w14:paraId="3018DD5F" w14:textId="77777777" w:rsidR="00E3750C" w:rsidRPr="001170C4" w:rsidRDefault="00E3750C" w:rsidP="00047864">
            <w:pPr>
              <w:spacing w:after="0" w:line="240" w:lineRule="auto"/>
              <w:jc w:val="right"/>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5.714.767</w:t>
            </w:r>
          </w:p>
        </w:tc>
      </w:tr>
      <w:tr w:rsidR="00E3750C" w:rsidRPr="001170C4" w14:paraId="3D187F9D" w14:textId="77777777" w:rsidTr="00047864">
        <w:trPr>
          <w:trHeight w:val="288"/>
        </w:trPr>
        <w:tc>
          <w:tcPr>
            <w:tcW w:w="819" w:type="pct"/>
            <w:vMerge/>
            <w:tcBorders>
              <w:top w:val="nil"/>
              <w:left w:val="single" w:sz="4" w:space="0" w:color="auto"/>
              <w:bottom w:val="single" w:sz="4" w:space="0" w:color="auto"/>
              <w:right w:val="single" w:sz="4" w:space="0" w:color="auto"/>
            </w:tcBorders>
            <w:vAlign w:val="center"/>
            <w:hideMark/>
          </w:tcPr>
          <w:p w14:paraId="7831F067" w14:textId="77777777" w:rsidR="00E3750C" w:rsidRPr="001170C4" w:rsidRDefault="00E3750C" w:rsidP="00047864">
            <w:pPr>
              <w:spacing w:after="0" w:line="240" w:lineRule="auto"/>
              <w:rPr>
                <w:rFonts w:ascii="Arial" w:eastAsia="Times New Roman" w:hAnsi="Arial" w:cs="Arial"/>
                <w:color w:val="000000"/>
                <w:sz w:val="18"/>
                <w:szCs w:val="18"/>
                <w:lang w:eastAsia="sl-SI"/>
              </w:rPr>
            </w:pPr>
          </w:p>
        </w:tc>
        <w:tc>
          <w:tcPr>
            <w:tcW w:w="646" w:type="pct"/>
            <w:vMerge/>
            <w:tcBorders>
              <w:top w:val="nil"/>
              <w:left w:val="single" w:sz="4" w:space="0" w:color="auto"/>
              <w:bottom w:val="single" w:sz="4" w:space="0" w:color="auto"/>
              <w:right w:val="single" w:sz="4" w:space="0" w:color="auto"/>
            </w:tcBorders>
            <w:vAlign w:val="center"/>
            <w:hideMark/>
          </w:tcPr>
          <w:p w14:paraId="2EE096C8" w14:textId="77777777" w:rsidR="00E3750C" w:rsidRPr="001170C4" w:rsidRDefault="00E3750C" w:rsidP="00047864">
            <w:pPr>
              <w:spacing w:after="0" w:line="240" w:lineRule="auto"/>
              <w:jc w:val="center"/>
              <w:rPr>
                <w:rFonts w:ascii="Arial" w:eastAsia="Times New Roman" w:hAnsi="Arial" w:cs="Arial"/>
                <w:color w:val="000000"/>
                <w:sz w:val="18"/>
                <w:szCs w:val="18"/>
                <w:lang w:eastAsia="sl-SI"/>
              </w:rPr>
            </w:pPr>
          </w:p>
        </w:tc>
        <w:tc>
          <w:tcPr>
            <w:tcW w:w="1855" w:type="pct"/>
            <w:tcBorders>
              <w:top w:val="nil"/>
              <w:left w:val="nil"/>
              <w:bottom w:val="single" w:sz="4" w:space="0" w:color="auto"/>
              <w:right w:val="single" w:sz="4" w:space="0" w:color="auto"/>
            </w:tcBorders>
            <w:shd w:val="clear" w:color="auto" w:fill="auto"/>
            <w:noWrap/>
            <w:vAlign w:val="center"/>
            <w:hideMark/>
          </w:tcPr>
          <w:p w14:paraId="790537C4" w14:textId="77777777" w:rsidR="00E3750C" w:rsidRPr="001170C4" w:rsidRDefault="00E3750C" w:rsidP="00047864">
            <w:pPr>
              <w:spacing w:after="0" w:line="240" w:lineRule="auto"/>
              <w:rPr>
                <w:rFonts w:ascii="Arial" w:eastAsia="Times New Roman" w:hAnsi="Arial" w:cs="Arial"/>
                <w:b/>
                <w:bCs/>
                <w:color w:val="000000"/>
                <w:sz w:val="18"/>
                <w:szCs w:val="18"/>
                <w:lang w:eastAsia="sl-SI"/>
              </w:rPr>
            </w:pPr>
            <w:r w:rsidRPr="001170C4">
              <w:rPr>
                <w:rFonts w:ascii="Arial" w:eastAsia="Times New Roman" w:hAnsi="Arial" w:cs="Arial"/>
                <w:b/>
                <w:bCs/>
                <w:color w:val="000000"/>
                <w:sz w:val="18"/>
                <w:szCs w:val="18"/>
                <w:lang w:eastAsia="sl-SI"/>
              </w:rPr>
              <w:t>Skupaj</w:t>
            </w:r>
          </w:p>
        </w:tc>
        <w:tc>
          <w:tcPr>
            <w:tcW w:w="541" w:type="pct"/>
            <w:tcBorders>
              <w:top w:val="nil"/>
              <w:left w:val="nil"/>
              <w:bottom w:val="single" w:sz="4" w:space="0" w:color="auto"/>
              <w:right w:val="single" w:sz="4" w:space="0" w:color="auto"/>
            </w:tcBorders>
            <w:shd w:val="clear" w:color="auto" w:fill="auto"/>
            <w:noWrap/>
            <w:vAlign w:val="center"/>
            <w:hideMark/>
          </w:tcPr>
          <w:p w14:paraId="5839547C" w14:textId="77777777" w:rsidR="00E3750C" w:rsidRPr="001170C4" w:rsidRDefault="00E3750C" w:rsidP="00047864">
            <w:pPr>
              <w:spacing w:after="0" w:line="240" w:lineRule="auto"/>
              <w:jc w:val="right"/>
              <w:rPr>
                <w:rFonts w:ascii="Arial" w:eastAsia="Times New Roman" w:hAnsi="Arial" w:cs="Arial"/>
                <w:b/>
                <w:bCs/>
                <w:color w:val="000000"/>
                <w:sz w:val="18"/>
                <w:szCs w:val="18"/>
                <w:lang w:eastAsia="sl-SI"/>
              </w:rPr>
            </w:pPr>
            <w:r w:rsidRPr="001170C4">
              <w:rPr>
                <w:rFonts w:ascii="Arial" w:eastAsia="Times New Roman" w:hAnsi="Arial" w:cs="Arial"/>
                <w:b/>
                <w:bCs/>
                <w:color w:val="000000"/>
                <w:sz w:val="18"/>
                <w:szCs w:val="18"/>
                <w:lang w:eastAsia="sl-SI"/>
              </w:rPr>
              <w:t>245</w:t>
            </w:r>
          </w:p>
        </w:tc>
        <w:tc>
          <w:tcPr>
            <w:tcW w:w="455" w:type="pct"/>
            <w:tcBorders>
              <w:top w:val="nil"/>
              <w:left w:val="nil"/>
              <w:bottom w:val="single" w:sz="4" w:space="0" w:color="auto"/>
              <w:right w:val="single" w:sz="4" w:space="0" w:color="auto"/>
            </w:tcBorders>
            <w:shd w:val="clear" w:color="auto" w:fill="auto"/>
            <w:noWrap/>
            <w:vAlign w:val="center"/>
            <w:hideMark/>
          </w:tcPr>
          <w:p w14:paraId="2A6B03AC" w14:textId="77777777" w:rsidR="00E3750C" w:rsidRPr="001170C4" w:rsidRDefault="00E3750C" w:rsidP="00047864">
            <w:pPr>
              <w:spacing w:after="0" w:line="240" w:lineRule="auto"/>
              <w:jc w:val="right"/>
              <w:rPr>
                <w:rFonts w:ascii="Arial" w:eastAsia="Times New Roman" w:hAnsi="Arial" w:cs="Arial"/>
                <w:b/>
                <w:bCs/>
                <w:color w:val="000000"/>
                <w:sz w:val="18"/>
                <w:szCs w:val="18"/>
                <w:lang w:eastAsia="sl-SI"/>
              </w:rPr>
            </w:pPr>
            <w:r w:rsidRPr="001170C4">
              <w:rPr>
                <w:rFonts w:ascii="Arial" w:eastAsia="Times New Roman" w:hAnsi="Arial" w:cs="Arial"/>
                <w:b/>
                <w:bCs/>
                <w:color w:val="000000"/>
                <w:sz w:val="18"/>
                <w:szCs w:val="18"/>
                <w:lang w:eastAsia="sl-SI"/>
              </w:rPr>
              <w:t>454</w:t>
            </w:r>
          </w:p>
        </w:tc>
        <w:tc>
          <w:tcPr>
            <w:tcW w:w="685" w:type="pct"/>
            <w:tcBorders>
              <w:top w:val="nil"/>
              <w:left w:val="nil"/>
              <w:bottom w:val="single" w:sz="4" w:space="0" w:color="auto"/>
              <w:right w:val="single" w:sz="4" w:space="0" w:color="auto"/>
            </w:tcBorders>
            <w:shd w:val="clear" w:color="auto" w:fill="auto"/>
            <w:noWrap/>
            <w:vAlign w:val="center"/>
            <w:hideMark/>
          </w:tcPr>
          <w:p w14:paraId="6678A32A" w14:textId="77777777" w:rsidR="00E3750C" w:rsidRPr="001170C4" w:rsidRDefault="00E3750C" w:rsidP="00047864">
            <w:pPr>
              <w:spacing w:after="0" w:line="240" w:lineRule="auto"/>
              <w:jc w:val="right"/>
              <w:rPr>
                <w:rFonts w:ascii="Arial" w:eastAsia="Times New Roman" w:hAnsi="Arial" w:cs="Arial"/>
                <w:b/>
                <w:bCs/>
                <w:color w:val="000000"/>
                <w:sz w:val="18"/>
                <w:szCs w:val="18"/>
                <w:lang w:eastAsia="sl-SI"/>
              </w:rPr>
            </w:pPr>
            <w:r w:rsidRPr="001170C4">
              <w:rPr>
                <w:rFonts w:ascii="Arial" w:eastAsia="Times New Roman" w:hAnsi="Arial" w:cs="Arial"/>
                <w:b/>
                <w:bCs/>
                <w:color w:val="000000"/>
                <w:sz w:val="18"/>
                <w:szCs w:val="18"/>
                <w:lang w:eastAsia="sl-SI"/>
              </w:rPr>
              <w:t>513.046.064</w:t>
            </w:r>
          </w:p>
        </w:tc>
      </w:tr>
      <w:tr w:rsidR="00E3750C" w:rsidRPr="001170C4" w14:paraId="7085573F" w14:textId="77777777" w:rsidTr="00047864">
        <w:trPr>
          <w:trHeight w:val="288"/>
        </w:trPr>
        <w:tc>
          <w:tcPr>
            <w:tcW w:w="819" w:type="pct"/>
            <w:vMerge/>
            <w:tcBorders>
              <w:top w:val="nil"/>
              <w:left w:val="single" w:sz="4" w:space="0" w:color="auto"/>
              <w:bottom w:val="single" w:sz="4" w:space="0" w:color="auto"/>
              <w:right w:val="single" w:sz="4" w:space="0" w:color="auto"/>
            </w:tcBorders>
            <w:vAlign w:val="center"/>
            <w:hideMark/>
          </w:tcPr>
          <w:p w14:paraId="6FE47F73" w14:textId="77777777" w:rsidR="00E3750C" w:rsidRPr="001170C4" w:rsidRDefault="00E3750C" w:rsidP="00047864">
            <w:pPr>
              <w:spacing w:after="0" w:line="240" w:lineRule="auto"/>
              <w:rPr>
                <w:rFonts w:ascii="Arial" w:eastAsia="Times New Roman" w:hAnsi="Arial" w:cs="Arial"/>
                <w:color w:val="000000"/>
                <w:sz w:val="18"/>
                <w:szCs w:val="18"/>
                <w:lang w:eastAsia="sl-SI"/>
              </w:rPr>
            </w:pPr>
          </w:p>
        </w:tc>
        <w:tc>
          <w:tcPr>
            <w:tcW w:w="64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BFA61AE" w14:textId="77777777" w:rsidR="00E3750C" w:rsidRPr="001170C4" w:rsidRDefault="00E3750C" w:rsidP="00047864">
            <w:pPr>
              <w:spacing w:after="0" w:line="240" w:lineRule="auto"/>
              <w:jc w:val="center"/>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NE</w:t>
            </w:r>
          </w:p>
        </w:tc>
        <w:tc>
          <w:tcPr>
            <w:tcW w:w="1855" w:type="pct"/>
            <w:tcBorders>
              <w:top w:val="nil"/>
              <w:left w:val="nil"/>
              <w:bottom w:val="single" w:sz="4" w:space="0" w:color="auto"/>
              <w:right w:val="single" w:sz="4" w:space="0" w:color="auto"/>
            </w:tcBorders>
            <w:shd w:val="clear" w:color="auto" w:fill="auto"/>
            <w:noWrap/>
            <w:vAlign w:val="center"/>
            <w:hideMark/>
          </w:tcPr>
          <w:p w14:paraId="3F821046" w14:textId="77777777" w:rsidR="00E3750C" w:rsidRPr="001170C4" w:rsidRDefault="00E3750C" w:rsidP="00047864">
            <w:pPr>
              <w:spacing w:after="0" w:line="240" w:lineRule="auto"/>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Konkurenčni postopek s pogajanji</w:t>
            </w:r>
          </w:p>
        </w:tc>
        <w:tc>
          <w:tcPr>
            <w:tcW w:w="541" w:type="pct"/>
            <w:tcBorders>
              <w:top w:val="nil"/>
              <w:left w:val="nil"/>
              <w:bottom w:val="single" w:sz="4" w:space="0" w:color="auto"/>
              <w:right w:val="single" w:sz="4" w:space="0" w:color="auto"/>
            </w:tcBorders>
            <w:shd w:val="clear" w:color="auto" w:fill="auto"/>
            <w:noWrap/>
            <w:vAlign w:val="center"/>
            <w:hideMark/>
          </w:tcPr>
          <w:p w14:paraId="7BB732E1" w14:textId="77777777" w:rsidR="00E3750C" w:rsidRPr="001170C4" w:rsidRDefault="00E3750C" w:rsidP="00047864">
            <w:pPr>
              <w:spacing w:after="0" w:line="240" w:lineRule="auto"/>
              <w:jc w:val="right"/>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21</w:t>
            </w:r>
          </w:p>
        </w:tc>
        <w:tc>
          <w:tcPr>
            <w:tcW w:w="455" w:type="pct"/>
            <w:tcBorders>
              <w:top w:val="nil"/>
              <w:left w:val="nil"/>
              <w:bottom w:val="single" w:sz="4" w:space="0" w:color="auto"/>
              <w:right w:val="single" w:sz="4" w:space="0" w:color="auto"/>
            </w:tcBorders>
            <w:shd w:val="clear" w:color="auto" w:fill="auto"/>
            <w:noWrap/>
            <w:vAlign w:val="center"/>
            <w:hideMark/>
          </w:tcPr>
          <w:p w14:paraId="3E27DFB1" w14:textId="77777777" w:rsidR="00E3750C" w:rsidRPr="001170C4" w:rsidRDefault="00E3750C" w:rsidP="00047864">
            <w:pPr>
              <w:spacing w:after="0" w:line="240" w:lineRule="auto"/>
              <w:jc w:val="right"/>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21</w:t>
            </w:r>
          </w:p>
        </w:tc>
        <w:tc>
          <w:tcPr>
            <w:tcW w:w="685" w:type="pct"/>
            <w:tcBorders>
              <w:top w:val="nil"/>
              <w:left w:val="nil"/>
              <w:bottom w:val="single" w:sz="4" w:space="0" w:color="auto"/>
              <w:right w:val="single" w:sz="4" w:space="0" w:color="auto"/>
            </w:tcBorders>
            <w:shd w:val="clear" w:color="auto" w:fill="auto"/>
            <w:noWrap/>
            <w:vAlign w:val="center"/>
            <w:hideMark/>
          </w:tcPr>
          <w:p w14:paraId="1ABD702E" w14:textId="77777777" w:rsidR="00E3750C" w:rsidRPr="001170C4" w:rsidRDefault="00E3750C" w:rsidP="00047864">
            <w:pPr>
              <w:spacing w:after="0" w:line="240" w:lineRule="auto"/>
              <w:jc w:val="right"/>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29.922.618</w:t>
            </w:r>
          </w:p>
        </w:tc>
      </w:tr>
      <w:tr w:rsidR="00E3750C" w:rsidRPr="001170C4" w14:paraId="2AB9FC17" w14:textId="77777777" w:rsidTr="00047864">
        <w:trPr>
          <w:trHeight w:val="288"/>
        </w:trPr>
        <w:tc>
          <w:tcPr>
            <w:tcW w:w="819" w:type="pct"/>
            <w:vMerge/>
            <w:tcBorders>
              <w:top w:val="nil"/>
              <w:left w:val="single" w:sz="4" w:space="0" w:color="auto"/>
              <w:bottom w:val="single" w:sz="4" w:space="0" w:color="auto"/>
              <w:right w:val="single" w:sz="4" w:space="0" w:color="auto"/>
            </w:tcBorders>
            <w:vAlign w:val="center"/>
            <w:hideMark/>
          </w:tcPr>
          <w:p w14:paraId="4670F11D" w14:textId="77777777" w:rsidR="00E3750C" w:rsidRPr="001170C4" w:rsidRDefault="00E3750C" w:rsidP="00047864">
            <w:pPr>
              <w:spacing w:after="0" w:line="240" w:lineRule="auto"/>
              <w:rPr>
                <w:rFonts w:ascii="Arial" w:eastAsia="Times New Roman" w:hAnsi="Arial" w:cs="Arial"/>
                <w:color w:val="000000"/>
                <w:sz w:val="18"/>
                <w:szCs w:val="18"/>
                <w:lang w:eastAsia="sl-SI"/>
              </w:rPr>
            </w:pPr>
          </w:p>
        </w:tc>
        <w:tc>
          <w:tcPr>
            <w:tcW w:w="646" w:type="pct"/>
            <w:vMerge/>
            <w:tcBorders>
              <w:top w:val="nil"/>
              <w:left w:val="single" w:sz="4" w:space="0" w:color="auto"/>
              <w:bottom w:val="single" w:sz="4" w:space="0" w:color="auto"/>
              <w:right w:val="single" w:sz="4" w:space="0" w:color="auto"/>
            </w:tcBorders>
            <w:vAlign w:val="center"/>
            <w:hideMark/>
          </w:tcPr>
          <w:p w14:paraId="75DECEA8" w14:textId="77777777" w:rsidR="00E3750C" w:rsidRPr="001170C4" w:rsidRDefault="00E3750C" w:rsidP="00047864">
            <w:pPr>
              <w:spacing w:after="0" w:line="240" w:lineRule="auto"/>
              <w:jc w:val="center"/>
              <w:rPr>
                <w:rFonts w:ascii="Arial" w:eastAsia="Times New Roman" w:hAnsi="Arial" w:cs="Arial"/>
                <w:color w:val="000000"/>
                <w:sz w:val="18"/>
                <w:szCs w:val="18"/>
                <w:lang w:eastAsia="sl-SI"/>
              </w:rPr>
            </w:pPr>
          </w:p>
        </w:tc>
        <w:tc>
          <w:tcPr>
            <w:tcW w:w="1855" w:type="pct"/>
            <w:tcBorders>
              <w:top w:val="nil"/>
              <w:left w:val="nil"/>
              <w:bottom w:val="single" w:sz="4" w:space="0" w:color="auto"/>
              <w:right w:val="single" w:sz="4" w:space="0" w:color="auto"/>
            </w:tcBorders>
            <w:shd w:val="clear" w:color="auto" w:fill="auto"/>
            <w:noWrap/>
            <w:vAlign w:val="center"/>
            <w:hideMark/>
          </w:tcPr>
          <w:p w14:paraId="7FAAFD29" w14:textId="77777777" w:rsidR="00E3750C" w:rsidRPr="001170C4" w:rsidRDefault="00E3750C" w:rsidP="00047864">
            <w:pPr>
              <w:spacing w:after="0" w:line="240" w:lineRule="auto"/>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Odprti postopek</w:t>
            </w:r>
          </w:p>
        </w:tc>
        <w:tc>
          <w:tcPr>
            <w:tcW w:w="541" w:type="pct"/>
            <w:tcBorders>
              <w:top w:val="nil"/>
              <w:left w:val="nil"/>
              <w:bottom w:val="single" w:sz="4" w:space="0" w:color="auto"/>
              <w:right w:val="single" w:sz="4" w:space="0" w:color="auto"/>
            </w:tcBorders>
            <w:shd w:val="clear" w:color="auto" w:fill="auto"/>
            <w:noWrap/>
            <w:vAlign w:val="center"/>
            <w:hideMark/>
          </w:tcPr>
          <w:p w14:paraId="5DBF1118" w14:textId="77777777" w:rsidR="00E3750C" w:rsidRPr="001170C4" w:rsidRDefault="00E3750C" w:rsidP="00047864">
            <w:pPr>
              <w:spacing w:after="0" w:line="240" w:lineRule="auto"/>
              <w:jc w:val="right"/>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30</w:t>
            </w:r>
          </w:p>
        </w:tc>
        <w:tc>
          <w:tcPr>
            <w:tcW w:w="455" w:type="pct"/>
            <w:tcBorders>
              <w:top w:val="nil"/>
              <w:left w:val="nil"/>
              <w:bottom w:val="single" w:sz="4" w:space="0" w:color="auto"/>
              <w:right w:val="single" w:sz="4" w:space="0" w:color="auto"/>
            </w:tcBorders>
            <w:shd w:val="clear" w:color="auto" w:fill="auto"/>
            <w:noWrap/>
            <w:vAlign w:val="center"/>
            <w:hideMark/>
          </w:tcPr>
          <w:p w14:paraId="05FFA1A9" w14:textId="77777777" w:rsidR="00E3750C" w:rsidRPr="001170C4" w:rsidRDefault="00E3750C" w:rsidP="00047864">
            <w:pPr>
              <w:spacing w:after="0" w:line="240" w:lineRule="auto"/>
              <w:jc w:val="right"/>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35</w:t>
            </w:r>
          </w:p>
        </w:tc>
        <w:tc>
          <w:tcPr>
            <w:tcW w:w="685" w:type="pct"/>
            <w:tcBorders>
              <w:top w:val="nil"/>
              <w:left w:val="nil"/>
              <w:bottom w:val="single" w:sz="4" w:space="0" w:color="auto"/>
              <w:right w:val="single" w:sz="4" w:space="0" w:color="auto"/>
            </w:tcBorders>
            <w:shd w:val="clear" w:color="auto" w:fill="auto"/>
            <w:noWrap/>
            <w:vAlign w:val="center"/>
            <w:hideMark/>
          </w:tcPr>
          <w:p w14:paraId="3AE97F00" w14:textId="77777777" w:rsidR="00E3750C" w:rsidRPr="001170C4" w:rsidRDefault="00E3750C" w:rsidP="00047864">
            <w:pPr>
              <w:spacing w:after="0" w:line="240" w:lineRule="auto"/>
              <w:jc w:val="right"/>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47.733.421</w:t>
            </w:r>
          </w:p>
        </w:tc>
      </w:tr>
      <w:tr w:rsidR="00E3750C" w:rsidRPr="001170C4" w14:paraId="2C1B82D0" w14:textId="77777777" w:rsidTr="00047864">
        <w:trPr>
          <w:trHeight w:val="288"/>
        </w:trPr>
        <w:tc>
          <w:tcPr>
            <w:tcW w:w="819" w:type="pct"/>
            <w:vMerge/>
            <w:tcBorders>
              <w:top w:val="nil"/>
              <w:left w:val="single" w:sz="4" w:space="0" w:color="auto"/>
              <w:bottom w:val="single" w:sz="4" w:space="0" w:color="auto"/>
              <w:right w:val="single" w:sz="4" w:space="0" w:color="auto"/>
            </w:tcBorders>
            <w:vAlign w:val="center"/>
            <w:hideMark/>
          </w:tcPr>
          <w:p w14:paraId="3C08D712" w14:textId="77777777" w:rsidR="00E3750C" w:rsidRPr="001170C4" w:rsidRDefault="00E3750C" w:rsidP="00047864">
            <w:pPr>
              <w:spacing w:after="0" w:line="240" w:lineRule="auto"/>
              <w:rPr>
                <w:rFonts w:ascii="Arial" w:eastAsia="Times New Roman" w:hAnsi="Arial" w:cs="Arial"/>
                <w:color w:val="000000"/>
                <w:sz w:val="18"/>
                <w:szCs w:val="18"/>
                <w:lang w:eastAsia="sl-SI"/>
              </w:rPr>
            </w:pPr>
          </w:p>
        </w:tc>
        <w:tc>
          <w:tcPr>
            <w:tcW w:w="646" w:type="pct"/>
            <w:vMerge/>
            <w:tcBorders>
              <w:top w:val="nil"/>
              <w:left w:val="single" w:sz="4" w:space="0" w:color="auto"/>
              <w:bottom w:val="single" w:sz="4" w:space="0" w:color="auto"/>
              <w:right w:val="single" w:sz="4" w:space="0" w:color="auto"/>
            </w:tcBorders>
            <w:vAlign w:val="center"/>
            <w:hideMark/>
          </w:tcPr>
          <w:p w14:paraId="3A2FA9C7" w14:textId="77777777" w:rsidR="00E3750C" w:rsidRPr="001170C4" w:rsidRDefault="00E3750C" w:rsidP="00047864">
            <w:pPr>
              <w:spacing w:after="0" w:line="240" w:lineRule="auto"/>
              <w:jc w:val="center"/>
              <w:rPr>
                <w:rFonts w:ascii="Arial" w:eastAsia="Times New Roman" w:hAnsi="Arial" w:cs="Arial"/>
                <w:color w:val="000000"/>
                <w:sz w:val="18"/>
                <w:szCs w:val="18"/>
                <w:lang w:eastAsia="sl-SI"/>
              </w:rPr>
            </w:pPr>
          </w:p>
        </w:tc>
        <w:tc>
          <w:tcPr>
            <w:tcW w:w="1855" w:type="pct"/>
            <w:tcBorders>
              <w:top w:val="nil"/>
              <w:left w:val="nil"/>
              <w:bottom w:val="single" w:sz="4" w:space="0" w:color="auto"/>
              <w:right w:val="single" w:sz="4" w:space="0" w:color="auto"/>
            </w:tcBorders>
            <w:shd w:val="clear" w:color="auto" w:fill="auto"/>
            <w:noWrap/>
            <w:vAlign w:val="center"/>
            <w:hideMark/>
          </w:tcPr>
          <w:p w14:paraId="519101C5" w14:textId="77777777" w:rsidR="00E3750C" w:rsidRPr="001170C4" w:rsidRDefault="00E3750C" w:rsidP="00047864">
            <w:pPr>
              <w:spacing w:after="0" w:line="240" w:lineRule="auto"/>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Omejeni postopek</w:t>
            </w:r>
          </w:p>
        </w:tc>
        <w:tc>
          <w:tcPr>
            <w:tcW w:w="541" w:type="pct"/>
            <w:tcBorders>
              <w:top w:val="nil"/>
              <w:left w:val="nil"/>
              <w:bottom w:val="single" w:sz="4" w:space="0" w:color="auto"/>
              <w:right w:val="single" w:sz="4" w:space="0" w:color="auto"/>
            </w:tcBorders>
            <w:shd w:val="clear" w:color="auto" w:fill="auto"/>
            <w:noWrap/>
            <w:vAlign w:val="center"/>
            <w:hideMark/>
          </w:tcPr>
          <w:p w14:paraId="42FDD189" w14:textId="77777777" w:rsidR="00E3750C" w:rsidRPr="001170C4" w:rsidRDefault="00E3750C" w:rsidP="00047864">
            <w:pPr>
              <w:spacing w:after="0" w:line="240" w:lineRule="auto"/>
              <w:jc w:val="right"/>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1</w:t>
            </w:r>
          </w:p>
        </w:tc>
        <w:tc>
          <w:tcPr>
            <w:tcW w:w="455" w:type="pct"/>
            <w:tcBorders>
              <w:top w:val="nil"/>
              <w:left w:val="nil"/>
              <w:bottom w:val="single" w:sz="4" w:space="0" w:color="auto"/>
              <w:right w:val="single" w:sz="4" w:space="0" w:color="auto"/>
            </w:tcBorders>
            <w:shd w:val="clear" w:color="auto" w:fill="auto"/>
            <w:noWrap/>
            <w:vAlign w:val="center"/>
            <w:hideMark/>
          </w:tcPr>
          <w:p w14:paraId="1E5C4EFC" w14:textId="77777777" w:rsidR="00E3750C" w:rsidRPr="001170C4" w:rsidRDefault="00E3750C" w:rsidP="00047864">
            <w:pPr>
              <w:spacing w:after="0" w:line="240" w:lineRule="auto"/>
              <w:jc w:val="right"/>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1</w:t>
            </w:r>
          </w:p>
        </w:tc>
        <w:tc>
          <w:tcPr>
            <w:tcW w:w="685" w:type="pct"/>
            <w:tcBorders>
              <w:top w:val="nil"/>
              <w:left w:val="nil"/>
              <w:bottom w:val="single" w:sz="4" w:space="0" w:color="auto"/>
              <w:right w:val="single" w:sz="4" w:space="0" w:color="auto"/>
            </w:tcBorders>
            <w:shd w:val="clear" w:color="auto" w:fill="auto"/>
            <w:noWrap/>
            <w:vAlign w:val="center"/>
            <w:hideMark/>
          </w:tcPr>
          <w:p w14:paraId="564EE7B2" w14:textId="77777777" w:rsidR="00E3750C" w:rsidRPr="001170C4" w:rsidRDefault="00E3750C" w:rsidP="00047864">
            <w:pPr>
              <w:spacing w:after="0" w:line="240" w:lineRule="auto"/>
              <w:jc w:val="right"/>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2.894.504</w:t>
            </w:r>
          </w:p>
        </w:tc>
      </w:tr>
      <w:tr w:rsidR="00E3750C" w:rsidRPr="001170C4" w14:paraId="1828A56E" w14:textId="77777777" w:rsidTr="00047864">
        <w:trPr>
          <w:trHeight w:val="288"/>
        </w:trPr>
        <w:tc>
          <w:tcPr>
            <w:tcW w:w="819" w:type="pct"/>
            <w:vMerge/>
            <w:tcBorders>
              <w:top w:val="nil"/>
              <w:left w:val="single" w:sz="4" w:space="0" w:color="auto"/>
              <w:bottom w:val="single" w:sz="4" w:space="0" w:color="auto"/>
              <w:right w:val="single" w:sz="4" w:space="0" w:color="auto"/>
            </w:tcBorders>
            <w:vAlign w:val="center"/>
            <w:hideMark/>
          </w:tcPr>
          <w:p w14:paraId="367635A9" w14:textId="77777777" w:rsidR="00E3750C" w:rsidRPr="001170C4" w:rsidRDefault="00E3750C" w:rsidP="00047864">
            <w:pPr>
              <w:spacing w:after="0" w:line="240" w:lineRule="auto"/>
              <w:rPr>
                <w:rFonts w:ascii="Arial" w:eastAsia="Times New Roman" w:hAnsi="Arial" w:cs="Arial"/>
                <w:color w:val="000000"/>
                <w:sz w:val="18"/>
                <w:szCs w:val="18"/>
                <w:lang w:eastAsia="sl-SI"/>
              </w:rPr>
            </w:pPr>
          </w:p>
        </w:tc>
        <w:tc>
          <w:tcPr>
            <w:tcW w:w="646" w:type="pct"/>
            <w:vMerge/>
            <w:tcBorders>
              <w:top w:val="nil"/>
              <w:left w:val="single" w:sz="4" w:space="0" w:color="auto"/>
              <w:bottom w:val="single" w:sz="4" w:space="0" w:color="auto"/>
              <w:right w:val="single" w:sz="4" w:space="0" w:color="auto"/>
            </w:tcBorders>
            <w:vAlign w:val="center"/>
            <w:hideMark/>
          </w:tcPr>
          <w:p w14:paraId="6FF574E6" w14:textId="77777777" w:rsidR="00E3750C" w:rsidRPr="001170C4" w:rsidRDefault="00E3750C" w:rsidP="00047864">
            <w:pPr>
              <w:spacing w:after="0" w:line="240" w:lineRule="auto"/>
              <w:jc w:val="center"/>
              <w:rPr>
                <w:rFonts w:ascii="Arial" w:eastAsia="Times New Roman" w:hAnsi="Arial" w:cs="Arial"/>
                <w:color w:val="000000"/>
                <w:sz w:val="18"/>
                <w:szCs w:val="18"/>
                <w:lang w:eastAsia="sl-SI"/>
              </w:rPr>
            </w:pPr>
          </w:p>
        </w:tc>
        <w:tc>
          <w:tcPr>
            <w:tcW w:w="1855" w:type="pct"/>
            <w:tcBorders>
              <w:top w:val="nil"/>
              <w:left w:val="nil"/>
              <w:bottom w:val="single" w:sz="4" w:space="0" w:color="auto"/>
              <w:right w:val="single" w:sz="4" w:space="0" w:color="auto"/>
            </w:tcBorders>
            <w:shd w:val="clear" w:color="auto" w:fill="auto"/>
            <w:noWrap/>
            <w:vAlign w:val="center"/>
            <w:hideMark/>
          </w:tcPr>
          <w:p w14:paraId="369299F6" w14:textId="77777777" w:rsidR="00E3750C" w:rsidRPr="001170C4" w:rsidRDefault="00E3750C" w:rsidP="00047864">
            <w:pPr>
              <w:spacing w:after="0" w:line="240" w:lineRule="auto"/>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Postopek naročila male vrednosti</w:t>
            </w:r>
          </w:p>
        </w:tc>
        <w:tc>
          <w:tcPr>
            <w:tcW w:w="541" w:type="pct"/>
            <w:tcBorders>
              <w:top w:val="nil"/>
              <w:left w:val="nil"/>
              <w:bottom w:val="single" w:sz="4" w:space="0" w:color="auto"/>
              <w:right w:val="single" w:sz="4" w:space="0" w:color="auto"/>
            </w:tcBorders>
            <w:shd w:val="clear" w:color="auto" w:fill="auto"/>
            <w:noWrap/>
            <w:vAlign w:val="center"/>
            <w:hideMark/>
          </w:tcPr>
          <w:p w14:paraId="31293654" w14:textId="77777777" w:rsidR="00E3750C" w:rsidRPr="001170C4" w:rsidRDefault="00E3750C" w:rsidP="00047864">
            <w:pPr>
              <w:spacing w:after="0" w:line="240" w:lineRule="auto"/>
              <w:jc w:val="right"/>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252</w:t>
            </w:r>
          </w:p>
        </w:tc>
        <w:tc>
          <w:tcPr>
            <w:tcW w:w="455" w:type="pct"/>
            <w:tcBorders>
              <w:top w:val="nil"/>
              <w:left w:val="nil"/>
              <w:bottom w:val="single" w:sz="4" w:space="0" w:color="auto"/>
              <w:right w:val="single" w:sz="4" w:space="0" w:color="auto"/>
            </w:tcBorders>
            <w:shd w:val="clear" w:color="auto" w:fill="auto"/>
            <w:noWrap/>
            <w:vAlign w:val="center"/>
            <w:hideMark/>
          </w:tcPr>
          <w:p w14:paraId="151604B1" w14:textId="77777777" w:rsidR="00E3750C" w:rsidRPr="001170C4" w:rsidRDefault="00E3750C" w:rsidP="00047864">
            <w:pPr>
              <w:spacing w:after="0" w:line="240" w:lineRule="auto"/>
              <w:jc w:val="right"/>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353</w:t>
            </w:r>
          </w:p>
        </w:tc>
        <w:tc>
          <w:tcPr>
            <w:tcW w:w="685" w:type="pct"/>
            <w:tcBorders>
              <w:top w:val="nil"/>
              <w:left w:val="nil"/>
              <w:bottom w:val="single" w:sz="4" w:space="0" w:color="auto"/>
              <w:right w:val="single" w:sz="4" w:space="0" w:color="auto"/>
            </w:tcBorders>
            <w:shd w:val="clear" w:color="auto" w:fill="auto"/>
            <w:noWrap/>
            <w:vAlign w:val="center"/>
            <w:hideMark/>
          </w:tcPr>
          <w:p w14:paraId="08BEBB6B" w14:textId="77777777" w:rsidR="00E3750C" w:rsidRPr="001170C4" w:rsidRDefault="00E3750C" w:rsidP="00047864">
            <w:pPr>
              <w:spacing w:after="0" w:line="240" w:lineRule="auto"/>
              <w:jc w:val="right"/>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100.469.840</w:t>
            </w:r>
          </w:p>
        </w:tc>
      </w:tr>
      <w:tr w:rsidR="00E3750C" w:rsidRPr="001170C4" w14:paraId="25D055C9" w14:textId="77777777" w:rsidTr="00047864">
        <w:trPr>
          <w:trHeight w:val="288"/>
        </w:trPr>
        <w:tc>
          <w:tcPr>
            <w:tcW w:w="819" w:type="pct"/>
            <w:vMerge/>
            <w:tcBorders>
              <w:top w:val="nil"/>
              <w:left w:val="single" w:sz="4" w:space="0" w:color="auto"/>
              <w:bottom w:val="single" w:sz="4" w:space="0" w:color="auto"/>
              <w:right w:val="single" w:sz="4" w:space="0" w:color="auto"/>
            </w:tcBorders>
            <w:vAlign w:val="center"/>
            <w:hideMark/>
          </w:tcPr>
          <w:p w14:paraId="6A5F3138" w14:textId="77777777" w:rsidR="00E3750C" w:rsidRPr="001170C4" w:rsidRDefault="00E3750C" w:rsidP="00047864">
            <w:pPr>
              <w:spacing w:after="0" w:line="240" w:lineRule="auto"/>
              <w:rPr>
                <w:rFonts w:ascii="Arial" w:eastAsia="Times New Roman" w:hAnsi="Arial" w:cs="Arial"/>
                <w:color w:val="000000"/>
                <w:sz w:val="18"/>
                <w:szCs w:val="18"/>
                <w:lang w:eastAsia="sl-SI"/>
              </w:rPr>
            </w:pPr>
          </w:p>
        </w:tc>
        <w:tc>
          <w:tcPr>
            <w:tcW w:w="646" w:type="pct"/>
            <w:vMerge/>
            <w:tcBorders>
              <w:top w:val="nil"/>
              <w:left w:val="single" w:sz="4" w:space="0" w:color="auto"/>
              <w:bottom w:val="single" w:sz="4" w:space="0" w:color="auto"/>
              <w:right w:val="single" w:sz="4" w:space="0" w:color="auto"/>
            </w:tcBorders>
            <w:vAlign w:val="center"/>
            <w:hideMark/>
          </w:tcPr>
          <w:p w14:paraId="60F01D63" w14:textId="77777777" w:rsidR="00E3750C" w:rsidRPr="001170C4" w:rsidRDefault="00E3750C" w:rsidP="00047864">
            <w:pPr>
              <w:spacing w:after="0" w:line="240" w:lineRule="auto"/>
              <w:jc w:val="center"/>
              <w:rPr>
                <w:rFonts w:ascii="Arial" w:eastAsia="Times New Roman" w:hAnsi="Arial" w:cs="Arial"/>
                <w:color w:val="000000"/>
                <w:sz w:val="18"/>
                <w:szCs w:val="18"/>
                <w:lang w:eastAsia="sl-SI"/>
              </w:rPr>
            </w:pPr>
          </w:p>
        </w:tc>
        <w:tc>
          <w:tcPr>
            <w:tcW w:w="1855" w:type="pct"/>
            <w:tcBorders>
              <w:top w:val="nil"/>
              <w:left w:val="nil"/>
              <w:bottom w:val="single" w:sz="4" w:space="0" w:color="auto"/>
              <w:right w:val="single" w:sz="4" w:space="0" w:color="auto"/>
            </w:tcBorders>
            <w:shd w:val="clear" w:color="auto" w:fill="auto"/>
            <w:noWrap/>
            <w:vAlign w:val="center"/>
            <w:hideMark/>
          </w:tcPr>
          <w:p w14:paraId="76A45C51" w14:textId="77777777" w:rsidR="00E3750C" w:rsidRPr="001170C4" w:rsidRDefault="00E3750C" w:rsidP="00047864">
            <w:pPr>
              <w:spacing w:after="0" w:line="240" w:lineRule="auto"/>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Postopek s pogajanji brez predhodne objave</w:t>
            </w:r>
          </w:p>
        </w:tc>
        <w:tc>
          <w:tcPr>
            <w:tcW w:w="541" w:type="pct"/>
            <w:tcBorders>
              <w:top w:val="nil"/>
              <w:left w:val="nil"/>
              <w:bottom w:val="single" w:sz="4" w:space="0" w:color="auto"/>
              <w:right w:val="single" w:sz="4" w:space="0" w:color="auto"/>
            </w:tcBorders>
            <w:shd w:val="clear" w:color="auto" w:fill="auto"/>
            <w:noWrap/>
            <w:vAlign w:val="center"/>
            <w:hideMark/>
          </w:tcPr>
          <w:p w14:paraId="1A768B36" w14:textId="77777777" w:rsidR="00E3750C" w:rsidRPr="001170C4" w:rsidRDefault="00E3750C" w:rsidP="00047864">
            <w:pPr>
              <w:spacing w:after="0" w:line="240" w:lineRule="auto"/>
              <w:jc w:val="right"/>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17</w:t>
            </w:r>
          </w:p>
        </w:tc>
        <w:tc>
          <w:tcPr>
            <w:tcW w:w="455" w:type="pct"/>
            <w:tcBorders>
              <w:top w:val="nil"/>
              <w:left w:val="nil"/>
              <w:bottom w:val="single" w:sz="4" w:space="0" w:color="auto"/>
              <w:right w:val="single" w:sz="4" w:space="0" w:color="auto"/>
            </w:tcBorders>
            <w:shd w:val="clear" w:color="auto" w:fill="auto"/>
            <w:noWrap/>
            <w:vAlign w:val="center"/>
            <w:hideMark/>
          </w:tcPr>
          <w:p w14:paraId="50C74CCA" w14:textId="77777777" w:rsidR="00E3750C" w:rsidRPr="001170C4" w:rsidRDefault="00E3750C" w:rsidP="00047864">
            <w:pPr>
              <w:spacing w:after="0" w:line="240" w:lineRule="auto"/>
              <w:jc w:val="right"/>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26</w:t>
            </w:r>
          </w:p>
        </w:tc>
        <w:tc>
          <w:tcPr>
            <w:tcW w:w="685" w:type="pct"/>
            <w:tcBorders>
              <w:top w:val="nil"/>
              <w:left w:val="nil"/>
              <w:bottom w:val="single" w:sz="4" w:space="0" w:color="auto"/>
              <w:right w:val="single" w:sz="4" w:space="0" w:color="auto"/>
            </w:tcBorders>
            <w:shd w:val="clear" w:color="auto" w:fill="auto"/>
            <w:noWrap/>
            <w:vAlign w:val="center"/>
            <w:hideMark/>
          </w:tcPr>
          <w:p w14:paraId="08D9C7BD" w14:textId="77777777" w:rsidR="00E3750C" w:rsidRPr="001170C4" w:rsidRDefault="00E3750C" w:rsidP="00047864">
            <w:pPr>
              <w:spacing w:after="0" w:line="240" w:lineRule="auto"/>
              <w:jc w:val="right"/>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7.520.574</w:t>
            </w:r>
          </w:p>
        </w:tc>
      </w:tr>
      <w:tr w:rsidR="00E3750C" w:rsidRPr="001170C4" w14:paraId="175C8396" w14:textId="77777777" w:rsidTr="00047864">
        <w:trPr>
          <w:trHeight w:val="288"/>
        </w:trPr>
        <w:tc>
          <w:tcPr>
            <w:tcW w:w="819" w:type="pct"/>
            <w:vMerge/>
            <w:tcBorders>
              <w:top w:val="nil"/>
              <w:left w:val="single" w:sz="4" w:space="0" w:color="auto"/>
              <w:bottom w:val="single" w:sz="4" w:space="0" w:color="auto"/>
              <w:right w:val="single" w:sz="4" w:space="0" w:color="auto"/>
            </w:tcBorders>
            <w:vAlign w:val="center"/>
            <w:hideMark/>
          </w:tcPr>
          <w:p w14:paraId="4477B55E" w14:textId="77777777" w:rsidR="00E3750C" w:rsidRPr="001170C4" w:rsidRDefault="00E3750C" w:rsidP="00047864">
            <w:pPr>
              <w:spacing w:after="0" w:line="240" w:lineRule="auto"/>
              <w:rPr>
                <w:rFonts w:ascii="Arial" w:eastAsia="Times New Roman" w:hAnsi="Arial" w:cs="Arial"/>
                <w:color w:val="000000"/>
                <w:sz w:val="18"/>
                <w:szCs w:val="18"/>
                <w:lang w:eastAsia="sl-SI"/>
              </w:rPr>
            </w:pPr>
          </w:p>
        </w:tc>
        <w:tc>
          <w:tcPr>
            <w:tcW w:w="646" w:type="pct"/>
            <w:vMerge/>
            <w:tcBorders>
              <w:top w:val="nil"/>
              <w:left w:val="single" w:sz="4" w:space="0" w:color="auto"/>
              <w:bottom w:val="single" w:sz="4" w:space="0" w:color="auto"/>
              <w:right w:val="single" w:sz="4" w:space="0" w:color="auto"/>
            </w:tcBorders>
            <w:vAlign w:val="center"/>
            <w:hideMark/>
          </w:tcPr>
          <w:p w14:paraId="3F75BD93" w14:textId="77777777" w:rsidR="00E3750C" w:rsidRPr="001170C4" w:rsidRDefault="00E3750C" w:rsidP="00047864">
            <w:pPr>
              <w:spacing w:after="0" w:line="240" w:lineRule="auto"/>
              <w:jc w:val="center"/>
              <w:rPr>
                <w:rFonts w:ascii="Arial" w:eastAsia="Times New Roman" w:hAnsi="Arial" w:cs="Arial"/>
                <w:color w:val="000000"/>
                <w:sz w:val="18"/>
                <w:szCs w:val="18"/>
                <w:lang w:eastAsia="sl-SI"/>
              </w:rPr>
            </w:pPr>
          </w:p>
        </w:tc>
        <w:tc>
          <w:tcPr>
            <w:tcW w:w="1855" w:type="pct"/>
            <w:tcBorders>
              <w:top w:val="nil"/>
              <w:left w:val="nil"/>
              <w:bottom w:val="single" w:sz="4" w:space="0" w:color="auto"/>
              <w:right w:val="single" w:sz="4" w:space="0" w:color="auto"/>
            </w:tcBorders>
            <w:shd w:val="clear" w:color="auto" w:fill="auto"/>
            <w:noWrap/>
            <w:vAlign w:val="center"/>
            <w:hideMark/>
          </w:tcPr>
          <w:p w14:paraId="22F695DB" w14:textId="77777777" w:rsidR="00E3750C" w:rsidRPr="001170C4" w:rsidRDefault="00E3750C" w:rsidP="00047864">
            <w:pPr>
              <w:spacing w:after="0" w:line="240" w:lineRule="auto"/>
              <w:rPr>
                <w:rFonts w:ascii="Arial" w:eastAsia="Times New Roman" w:hAnsi="Arial" w:cs="Arial"/>
                <w:b/>
                <w:bCs/>
                <w:color w:val="000000"/>
                <w:sz w:val="18"/>
                <w:szCs w:val="18"/>
                <w:lang w:eastAsia="sl-SI"/>
              </w:rPr>
            </w:pPr>
            <w:r w:rsidRPr="001170C4">
              <w:rPr>
                <w:rFonts w:ascii="Arial" w:eastAsia="Times New Roman" w:hAnsi="Arial" w:cs="Arial"/>
                <w:b/>
                <w:bCs/>
                <w:color w:val="000000"/>
                <w:sz w:val="18"/>
                <w:szCs w:val="18"/>
                <w:lang w:eastAsia="sl-SI"/>
              </w:rPr>
              <w:t>Skupaj</w:t>
            </w:r>
          </w:p>
        </w:tc>
        <w:tc>
          <w:tcPr>
            <w:tcW w:w="541" w:type="pct"/>
            <w:tcBorders>
              <w:top w:val="nil"/>
              <w:left w:val="nil"/>
              <w:bottom w:val="single" w:sz="4" w:space="0" w:color="auto"/>
              <w:right w:val="single" w:sz="4" w:space="0" w:color="auto"/>
            </w:tcBorders>
            <w:shd w:val="clear" w:color="auto" w:fill="auto"/>
            <w:noWrap/>
            <w:vAlign w:val="center"/>
            <w:hideMark/>
          </w:tcPr>
          <w:p w14:paraId="68DFCA26" w14:textId="77777777" w:rsidR="00E3750C" w:rsidRPr="001170C4" w:rsidRDefault="00E3750C" w:rsidP="00047864">
            <w:pPr>
              <w:spacing w:after="0" w:line="240" w:lineRule="auto"/>
              <w:jc w:val="right"/>
              <w:rPr>
                <w:rFonts w:ascii="Arial" w:eastAsia="Times New Roman" w:hAnsi="Arial" w:cs="Arial"/>
                <w:b/>
                <w:bCs/>
                <w:color w:val="000000"/>
                <w:sz w:val="18"/>
                <w:szCs w:val="18"/>
                <w:lang w:eastAsia="sl-SI"/>
              </w:rPr>
            </w:pPr>
            <w:r w:rsidRPr="001170C4">
              <w:rPr>
                <w:rFonts w:ascii="Arial" w:eastAsia="Times New Roman" w:hAnsi="Arial" w:cs="Arial"/>
                <w:b/>
                <w:bCs/>
                <w:color w:val="000000"/>
                <w:sz w:val="18"/>
                <w:szCs w:val="18"/>
                <w:lang w:eastAsia="sl-SI"/>
              </w:rPr>
              <w:t>321</w:t>
            </w:r>
          </w:p>
        </w:tc>
        <w:tc>
          <w:tcPr>
            <w:tcW w:w="455" w:type="pct"/>
            <w:tcBorders>
              <w:top w:val="nil"/>
              <w:left w:val="nil"/>
              <w:bottom w:val="single" w:sz="4" w:space="0" w:color="auto"/>
              <w:right w:val="single" w:sz="4" w:space="0" w:color="auto"/>
            </w:tcBorders>
            <w:shd w:val="clear" w:color="auto" w:fill="auto"/>
            <w:noWrap/>
            <w:vAlign w:val="center"/>
            <w:hideMark/>
          </w:tcPr>
          <w:p w14:paraId="6C5AFA9B" w14:textId="77777777" w:rsidR="00E3750C" w:rsidRPr="001170C4" w:rsidRDefault="00E3750C" w:rsidP="00047864">
            <w:pPr>
              <w:spacing w:after="0" w:line="240" w:lineRule="auto"/>
              <w:jc w:val="right"/>
              <w:rPr>
                <w:rFonts w:ascii="Arial" w:eastAsia="Times New Roman" w:hAnsi="Arial" w:cs="Arial"/>
                <w:b/>
                <w:bCs/>
                <w:color w:val="000000"/>
                <w:sz w:val="18"/>
                <w:szCs w:val="18"/>
                <w:lang w:eastAsia="sl-SI"/>
              </w:rPr>
            </w:pPr>
            <w:r w:rsidRPr="001170C4">
              <w:rPr>
                <w:rFonts w:ascii="Arial" w:eastAsia="Times New Roman" w:hAnsi="Arial" w:cs="Arial"/>
                <w:b/>
                <w:bCs/>
                <w:color w:val="000000"/>
                <w:sz w:val="18"/>
                <w:szCs w:val="18"/>
                <w:lang w:eastAsia="sl-SI"/>
              </w:rPr>
              <w:t>436</w:t>
            </w:r>
          </w:p>
        </w:tc>
        <w:tc>
          <w:tcPr>
            <w:tcW w:w="685" w:type="pct"/>
            <w:tcBorders>
              <w:top w:val="nil"/>
              <w:left w:val="nil"/>
              <w:bottom w:val="single" w:sz="4" w:space="0" w:color="auto"/>
              <w:right w:val="single" w:sz="4" w:space="0" w:color="auto"/>
            </w:tcBorders>
            <w:shd w:val="clear" w:color="auto" w:fill="auto"/>
            <w:noWrap/>
            <w:vAlign w:val="center"/>
            <w:hideMark/>
          </w:tcPr>
          <w:p w14:paraId="794CEE3D" w14:textId="77777777" w:rsidR="00E3750C" w:rsidRPr="001170C4" w:rsidRDefault="00E3750C" w:rsidP="00047864">
            <w:pPr>
              <w:spacing w:after="0" w:line="240" w:lineRule="auto"/>
              <w:jc w:val="right"/>
              <w:rPr>
                <w:rFonts w:ascii="Arial" w:eastAsia="Times New Roman" w:hAnsi="Arial" w:cs="Arial"/>
                <w:b/>
                <w:bCs/>
                <w:color w:val="000000"/>
                <w:sz w:val="18"/>
                <w:szCs w:val="18"/>
                <w:lang w:eastAsia="sl-SI"/>
              </w:rPr>
            </w:pPr>
            <w:r w:rsidRPr="001170C4">
              <w:rPr>
                <w:rFonts w:ascii="Arial" w:eastAsia="Times New Roman" w:hAnsi="Arial" w:cs="Arial"/>
                <w:b/>
                <w:bCs/>
                <w:color w:val="000000"/>
                <w:sz w:val="18"/>
                <w:szCs w:val="18"/>
                <w:lang w:eastAsia="sl-SI"/>
              </w:rPr>
              <w:t>188.540.957</w:t>
            </w:r>
          </w:p>
        </w:tc>
      </w:tr>
      <w:tr w:rsidR="00E3750C" w:rsidRPr="001170C4" w14:paraId="4422F191" w14:textId="77777777" w:rsidTr="00047864">
        <w:trPr>
          <w:trHeight w:val="288"/>
        </w:trPr>
        <w:tc>
          <w:tcPr>
            <w:tcW w:w="81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330DAD9" w14:textId="77777777" w:rsidR="00E3750C" w:rsidRPr="001170C4" w:rsidRDefault="00E3750C" w:rsidP="00047864">
            <w:pPr>
              <w:spacing w:after="0" w:line="240" w:lineRule="auto"/>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Infrastrukturno</w:t>
            </w:r>
          </w:p>
        </w:tc>
        <w:tc>
          <w:tcPr>
            <w:tcW w:w="646" w:type="pct"/>
            <w:tcBorders>
              <w:top w:val="nil"/>
              <w:left w:val="nil"/>
              <w:bottom w:val="single" w:sz="4" w:space="0" w:color="auto"/>
              <w:right w:val="single" w:sz="4" w:space="0" w:color="auto"/>
            </w:tcBorders>
            <w:shd w:val="clear" w:color="auto" w:fill="auto"/>
            <w:noWrap/>
            <w:vAlign w:val="center"/>
            <w:hideMark/>
          </w:tcPr>
          <w:p w14:paraId="14488A01" w14:textId="77777777" w:rsidR="00E3750C" w:rsidRPr="001170C4" w:rsidRDefault="00E3750C" w:rsidP="00047864">
            <w:pPr>
              <w:spacing w:after="0" w:line="240" w:lineRule="auto"/>
              <w:jc w:val="center"/>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DA</w:t>
            </w:r>
          </w:p>
        </w:tc>
        <w:tc>
          <w:tcPr>
            <w:tcW w:w="1855" w:type="pct"/>
            <w:tcBorders>
              <w:top w:val="nil"/>
              <w:left w:val="nil"/>
              <w:bottom w:val="single" w:sz="4" w:space="0" w:color="auto"/>
              <w:right w:val="single" w:sz="4" w:space="0" w:color="auto"/>
            </w:tcBorders>
            <w:shd w:val="clear" w:color="auto" w:fill="auto"/>
            <w:noWrap/>
            <w:vAlign w:val="center"/>
            <w:hideMark/>
          </w:tcPr>
          <w:p w14:paraId="3DE313AB" w14:textId="77777777" w:rsidR="00E3750C" w:rsidRPr="001170C4" w:rsidRDefault="00E3750C" w:rsidP="00047864">
            <w:pPr>
              <w:spacing w:after="0" w:line="240" w:lineRule="auto"/>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Odprti postopek</w:t>
            </w:r>
          </w:p>
        </w:tc>
        <w:tc>
          <w:tcPr>
            <w:tcW w:w="541" w:type="pct"/>
            <w:tcBorders>
              <w:top w:val="nil"/>
              <w:left w:val="nil"/>
              <w:bottom w:val="single" w:sz="4" w:space="0" w:color="auto"/>
              <w:right w:val="single" w:sz="4" w:space="0" w:color="auto"/>
            </w:tcBorders>
            <w:shd w:val="clear" w:color="auto" w:fill="auto"/>
            <w:noWrap/>
            <w:vAlign w:val="center"/>
            <w:hideMark/>
          </w:tcPr>
          <w:p w14:paraId="4B764FA7" w14:textId="77777777" w:rsidR="00E3750C" w:rsidRPr="001170C4" w:rsidRDefault="00E3750C" w:rsidP="00047864">
            <w:pPr>
              <w:spacing w:after="0" w:line="240" w:lineRule="auto"/>
              <w:jc w:val="right"/>
              <w:rPr>
                <w:rFonts w:ascii="Arial" w:eastAsia="Times New Roman" w:hAnsi="Arial" w:cs="Arial"/>
                <w:b/>
                <w:bCs/>
                <w:color w:val="000000"/>
                <w:sz w:val="18"/>
                <w:szCs w:val="18"/>
                <w:lang w:eastAsia="sl-SI"/>
              </w:rPr>
            </w:pPr>
            <w:r w:rsidRPr="001170C4">
              <w:rPr>
                <w:rFonts w:ascii="Arial" w:eastAsia="Times New Roman" w:hAnsi="Arial" w:cs="Arial"/>
                <w:b/>
                <w:bCs/>
                <w:color w:val="000000"/>
                <w:sz w:val="18"/>
                <w:szCs w:val="18"/>
                <w:lang w:eastAsia="sl-SI"/>
              </w:rPr>
              <w:t>3</w:t>
            </w:r>
          </w:p>
        </w:tc>
        <w:tc>
          <w:tcPr>
            <w:tcW w:w="455" w:type="pct"/>
            <w:tcBorders>
              <w:top w:val="nil"/>
              <w:left w:val="nil"/>
              <w:bottom w:val="single" w:sz="4" w:space="0" w:color="auto"/>
              <w:right w:val="single" w:sz="4" w:space="0" w:color="auto"/>
            </w:tcBorders>
            <w:shd w:val="clear" w:color="auto" w:fill="auto"/>
            <w:noWrap/>
            <w:vAlign w:val="center"/>
            <w:hideMark/>
          </w:tcPr>
          <w:p w14:paraId="14DA8CEB" w14:textId="77777777" w:rsidR="00E3750C" w:rsidRPr="001170C4" w:rsidRDefault="00E3750C" w:rsidP="00047864">
            <w:pPr>
              <w:spacing w:after="0" w:line="240" w:lineRule="auto"/>
              <w:jc w:val="right"/>
              <w:rPr>
                <w:rFonts w:ascii="Arial" w:eastAsia="Times New Roman" w:hAnsi="Arial" w:cs="Arial"/>
                <w:b/>
                <w:bCs/>
                <w:color w:val="000000"/>
                <w:sz w:val="18"/>
                <w:szCs w:val="18"/>
                <w:lang w:eastAsia="sl-SI"/>
              </w:rPr>
            </w:pPr>
            <w:r w:rsidRPr="001170C4">
              <w:rPr>
                <w:rFonts w:ascii="Arial" w:eastAsia="Times New Roman" w:hAnsi="Arial" w:cs="Arial"/>
                <w:b/>
                <w:bCs/>
                <w:color w:val="000000"/>
                <w:sz w:val="18"/>
                <w:szCs w:val="18"/>
                <w:lang w:eastAsia="sl-SI"/>
              </w:rPr>
              <w:t>3</w:t>
            </w:r>
          </w:p>
        </w:tc>
        <w:tc>
          <w:tcPr>
            <w:tcW w:w="685" w:type="pct"/>
            <w:tcBorders>
              <w:top w:val="nil"/>
              <w:left w:val="nil"/>
              <w:bottom w:val="single" w:sz="4" w:space="0" w:color="auto"/>
              <w:right w:val="single" w:sz="4" w:space="0" w:color="auto"/>
            </w:tcBorders>
            <w:shd w:val="clear" w:color="auto" w:fill="auto"/>
            <w:noWrap/>
            <w:vAlign w:val="center"/>
            <w:hideMark/>
          </w:tcPr>
          <w:p w14:paraId="1F5CBF48" w14:textId="77777777" w:rsidR="00E3750C" w:rsidRPr="001170C4" w:rsidRDefault="00E3750C" w:rsidP="00047864">
            <w:pPr>
              <w:spacing w:after="0" w:line="240" w:lineRule="auto"/>
              <w:jc w:val="right"/>
              <w:rPr>
                <w:rFonts w:ascii="Arial" w:eastAsia="Times New Roman" w:hAnsi="Arial" w:cs="Arial"/>
                <w:b/>
                <w:bCs/>
                <w:color w:val="000000"/>
                <w:sz w:val="18"/>
                <w:szCs w:val="18"/>
                <w:lang w:eastAsia="sl-SI"/>
              </w:rPr>
            </w:pPr>
            <w:r w:rsidRPr="001170C4">
              <w:rPr>
                <w:rFonts w:ascii="Arial" w:eastAsia="Times New Roman" w:hAnsi="Arial" w:cs="Arial"/>
                <w:b/>
                <w:bCs/>
                <w:color w:val="000000"/>
                <w:sz w:val="18"/>
                <w:szCs w:val="18"/>
                <w:lang w:eastAsia="sl-SI"/>
              </w:rPr>
              <w:t>3.623.290</w:t>
            </w:r>
          </w:p>
        </w:tc>
      </w:tr>
      <w:tr w:rsidR="00E3750C" w:rsidRPr="001170C4" w14:paraId="3AF54151" w14:textId="77777777" w:rsidTr="00047864">
        <w:trPr>
          <w:trHeight w:val="288"/>
        </w:trPr>
        <w:tc>
          <w:tcPr>
            <w:tcW w:w="819" w:type="pct"/>
            <w:vMerge/>
            <w:tcBorders>
              <w:top w:val="nil"/>
              <w:left w:val="single" w:sz="4" w:space="0" w:color="auto"/>
              <w:bottom w:val="single" w:sz="4" w:space="0" w:color="auto"/>
              <w:right w:val="single" w:sz="4" w:space="0" w:color="auto"/>
            </w:tcBorders>
            <w:vAlign w:val="center"/>
            <w:hideMark/>
          </w:tcPr>
          <w:p w14:paraId="0B9A1B4D" w14:textId="77777777" w:rsidR="00E3750C" w:rsidRPr="001170C4" w:rsidRDefault="00E3750C" w:rsidP="00047864">
            <w:pPr>
              <w:spacing w:after="0" w:line="240" w:lineRule="auto"/>
              <w:rPr>
                <w:rFonts w:ascii="Arial" w:eastAsia="Times New Roman" w:hAnsi="Arial" w:cs="Arial"/>
                <w:color w:val="000000"/>
                <w:sz w:val="18"/>
                <w:szCs w:val="18"/>
                <w:lang w:eastAsia="sl-SI"/>
              </w:rPr>
            </w:pPr>
          </w:p>
        </w:tc>
        <w:tc>
          <w:tcPr>
            <w:tcW w:w="64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216015C" w14:textId="77777777" w:rsidR="00E3750C" w:rsidRPr="001170C4" w:rsidRDefault="00E3750C" w:rsidP="00047864">
            <w:pPr>
              <w:spacing w:after="0" w:line="240" w:lineRule="auto"/>
              <w:jc w:val="center"/>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NE</w:t>
            </w:r>
          </w:p>
        </w:tc>
        <w:tc>
          <w:tcPr>
            <w:tcW w:w="1855" w:type="pct"/>
            <w:tcBorders>
              <w:top w:val="nil"/>
              <w:left w:val="nil"/>
              <w:bottom w:val="single" w:sz="4" w:space="0" w:color="auto"/>
              <w:right w:val="single" w:sz="4" w:space="0" w:color="auto"/>
            </w:tcBorders>
            <w:shd w:val="clear" w:color="auto" w:fill="auto"/>
            <w:noWrap/>
            <w:vAlign w:val="center"/>
            <w:hideMark/>
          </w:tcPr>
          <w:p w14:paraId="113EFC98" w14:textId="77777777" w:rsidR="00E3750C" w:rsidRPr="001170C4" w:rsidRDefault="00E3750C" w:rsidP="00047864">
            <w:pPr>
              <w:spacing w:after="0" w:line="240" w:lineRule="auto"/>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Odprti postopek</w:t>
            </w:r>
          </w:p>
        </w:tc>
        <w:tc>
          <w:tcPr>
            <w:tcW w:w="541" w:type="pct"/>
            <w:tcBorders>
              <w:top w:val="nil"/>
              <w:left w:val="nil"/>
              <w:bottom w:val="single" w:sz="4" w:space="0" w:color="auto"/>
              <w:right w:val="single" w:sz="4" w:space="0" w:color="auto"/>
            </w:tcBorders>
            <w:shd w:val="clear" w:color="auto" w:fill="auto"/>
            <w:noWrap/>
            <w:vAlign w:val="center"/>
            <w:hideMark/>
          </w:tcPr>
          <w:p w14:paraId="386D0259" w14:textId="77777777" w:rsidR="00E3750C" w:rsidRPr="001170C4" w:rsidRDefault="00E3750C" w:rsidP="00047864">
            <w:pPr>
              <w:spacing w:after="0" w:line="240" w:lineRule="auto"/>
              <w:jc w:val="right"/>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3</w:t>
            </w:r>
          </w:p>
        </w:tc>
        <w:tc>
          <w:tcPr>
            <w:tcW w:w="455" w:type="pct"/>
            <w:tcBorders>
              <w:top w:val="nil"/>
              <w:left w:val="nil"/>
              <w:bottom w:val="single" w:sz="4" w:space="0" w:color="auto"/>
              <w:right w:val="single" w:sz="4" w:space="0" w:color="auto"/>
            </w:tcBorders>
            <w:shd w:val="clear" w:color="auto" w:fill="auto"/>
            <w:noWrap/>
            <w:vAlign w:val="center"/>
            <w:hideMark/>
          </w:tcPr>
          <w:p w14:paraId="48FFF3D6" w14:textId="77777777" w:rsidR="00E3750C" w:rsidRPr="001170C4" w:rsidRDefault="00E3750C" w:rsidP="00047864">
            <w:pPr>
              <w:spacing w:after="0" w:line="240" w:lineRule="auto"/>
              <w:jc w:val="right"/>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3</w:t>
            </w:r>
          </w:p>
        </w:tc>
        <w:tc>
          <w:tcPr>
            <w:tcW w:w="685" w:type="pct"/>
            <w:tcBorders>
              <w:top w:val="nil"/>
              <w:left w:val="nil"/>
              <w:bottom w:val="single" w:sz="4" w:space="0" w:color="auto"/>
              <w:right w:val="single" w:sz="4" w:space="0" w:color="auto"/>
            </w:tcBorders>
            <w:shd w:val="clear" w:color="auto" w:fill="auto"/>
            <w:noWrap/>
            <w:vAlign w:val="center"/>
            <w:hideMark/>
          </w:tcPr>
          <w:p w14:paraId="1E3A3AFA" w14:textId="77777777" w:rsidR="00E3750C" w:rsidRPr="001170C4" w:rsidRDefault="00E3750C" w:rsidP="00047864">
            <w:pPr>
              <w:spacing w:after="0" w:line="240" w:lineRule="auto"/>
              <w:jc w:val="right"/>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4.118.338</w:t>
            </w:r>
          </w:p>
        </w:tc>
      </w:tr>
      <w:tr w:rsidR="00E3750C" w:rsidRPr="001170C4" w14:paraId="1334D1ED" w14:textId="77777777" w:rsidTr="00047864">
        <w:trPr>
          <w:trHeight w:val="288"/>
        </w:trPr>
        <w:tc>
          <w:tcPr>
            <w:tcW w:w="819" w:type="pct"/>
            <w:vMerge/>
            <w:tcBorders>
              <w:top w:val="nil"/>
              <w:left w:val="single" w:sz="4" w:space="0" w:color="auto"/>
              <w:bottom w:val="single" w:sz="4" w:space="0" w:color="auto"/>
              <w:right w:val="single" w:sz="4" w:space="0" w:color="auto"/>
            </w:tcBorders>
            <w:vAlign w:val="center"/>
            <w:hideMark/>
          </w:tcPr>
          <w:p w14:paraId="6DD7989D" w14:textId="77777777" w:rsidR="00E3750C" w:rsidRPr="001170C4" w:rsidRDefault="00E3750C" w:rsidP="00047864">
            <w:pPr>
              <w:spacing w:after="0" w:line="240" w:lineRule="auto"/>
              <w:rPr>
                <w:rFonts w:ascii="Arial" w:eastAsia="Times New Roman" w:hAnsi="Arial" w:cs="Arial"/>
                <w:color w:val="000000"/>
                <w:sz w:val="18"/>
                <w:szCs w:val="18"/>
                <w:lang w:eastAsia="sl-SI"/>
              </w:rPr>
            </w:pPr>
          </w:p>
        </w:tc>
        <w:tc>
          <w:tcPr>
            <w:tcW w:w="646" w:type="pct"/>
            <w:vMerge/>
            <w:tcBorders>
              <w:top w:val="nil"/>
              <w:left w:val="single" w:sz="4" w:space="0" w:color="auto"/>
              <w:bottom w:val="single" w:sz="4" w:space="0" w:color="auto"/>
              <w:right w:val="single" w:sz="4" w:space="0" w:color="auto"/>
            </w:tcBorders>
            <w:vAlign w:val="center"/>
            <w:hideMark/>
          </w:tcPr>
          <w:p w14:paraId="0306B739" w14:textId="77777777" w:rsidR="00E3750C" w:rsidRPr="001170C4" w:rsidRDefault="00E3750C" w:rsidP="00047864">
            <w:pPr>
              <w:spacing w:after="0" w:line="240" w:lineRule="auto"/>
              <w:rPr>
                <w:rFonts w:ascii="Arial" w:eastAsia="Times New Roman" w:hAnsi="Arial" w:cs="Arial"/>
                <w:color w:val="000000"/>
                <w:sz w:val="18"/>
                <w:szCs w:val="18"/>
                <w:lang w:eastAsia="sl-SI"/>
              </w:rPr>
            </w:pPr>
          </w:p>
        </w:tc>
        <w:tc>
          <w:tcPr>
            <w:tcW w:w="1855" w:type="pct"/>
            <w:tcBorders>
              <w:top w:val="nil"/>
              <w:left w:val="nil"/>
              <w:bottom w:val="single" w:sz="4" w:space="0" w:color="auto"/>
              <w:right w:val="single" w:sz="4" w:space="0" w:color="auto"/>
            </w:tcBorders>
            <w:shd w:val="clear" w:color="auto" w:fill="auto"/>
            <w:noWrap/>
            <w:vAlign w:val="center"/>
            <w:hideMark/>
          </w:tcPr>
          <w:p w14:paraId="33AFC6AC" w14:textId="77777777" w:rsidR="00E3750C" w:rsidRPr="001170C4" w:rsidRDefault="00E3750C" w:rsidP="00047864">
            <w:pPr>
              <w:spacing w:after="0" w:line="240" w:lineRule="auto"/>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Postopek naročila male vrednosti</w:t>
            </w:r>
          </w:p>
        </w:tc>
        <w:tc>
          <w:tcPr>
            <w:tcW w:w="541" w:type="pct"/>
            <w:tcBorders>
              <w:top w:val="nil"/>
              <w:left w:val="nil"/>
              <w:bottom w:val="single" w:sz="4" w:space="0" w:color="auto"/>
              <w:right w:val="single" w:sz="4" w:space="0" w:color="auto"/>
            </w:tcBorders>
            <w:shd w:val="clear" w:color="auto" w:fill="auto"/>
            <w:noWrap/>
            <w:vAlign w:val="center"/>
            <w:hideMark/>
          </w:tcPr>
          <w:p w14:paraId="79657A77" w14:textId="77777777" w:rsidR="00E3750C" w:rsidRPr="001170C4" w:rsidRDefault="00E3750C" w:rsidP="00047864">
            <w:pPr>
              <w:spacing w:after="0" w:line="240" w:lineRule="auto"/>
              <w:jc w:val="right"/>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7</w:t>
            </w:r>
          </w:p>
        </w:tc>
        <w:tc>
          <w:tcPr>
            <w:tcW w:w="455" w:type="pct"/>
            <w:tcBorders>
              <w:top w:val="nil"/>
              <w:left w:val="nil"/>
              <w:bottom w:val="single" w:sz="4" w:space="0" w:color="auto"/>
              <w:right w:val="single" w:sz="4" w:space="0" w:color="auto"/>
            </w:tcBorders>
            <w:shd w:val="clear" w:color="auto" w:fill="auto"/>
            <w:noWrap/>
            <w:vAlign w:val="center"/>
            <w:hideMark/>
          </w:tcPr>
          <w:p w14:paraId="45183119" w14:textId="77777777" w:rsidR="00E3750C" w:rsidRPr="001170C4" w:rsidRDefault="00E3750C" w:rsidP="00047864">
            <w:pPr>
              <w:spacing w:after="0" w:line="240" w:lineRule="auto"/>
              <w:jc w:val="right"/>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8</w:t>
            </w:r>
          </w:p>
        </w:tc>
        <w:tc>
          <w:tcPr>
            <w:tcW w:w="685" w:type="pct"/>
            <w:tcBorders>
              <w:top w:val="nil"/>
              <w:left w:val="nil"/>
              <w:bottom w:val="single" w:sz="4" w:space="0" w:color="auto"/>
              <w:right w:val="single" w:sz="4" w:space="0" w:color="auto"/>
            </w:tcBorders>
            <w:shd w:val="clear" w:color="auto" w:fill="auto"/>
            <w:noWrap/>
            <w:vAlign w:val="center"/>
            <w:hideMark/>
          </w:tcPr>
          <w:p w14:paraId="4C206E50" w14:textId="77777777" w:rsidR="00E3750C" w:rsidRPr="001170C4" w:rsidRDefault="00E3750C" w:rsidP="00047864">
            <w:pPr>
              <w:spacing w:after="0" w:line="240" w:lineRule="auto"/>
              <w:jc w:val="right"/>
              <w:rPr>
                <w:rFonts w:ascii="Arial" w:eastAsia="Times New Roman" w:hAnsi="Arial" w:cs="Arial"/>
                <w:color w:val="000000"/>
                <w:sz w:val="18"/>
                <w:szCs w:val="18"/>
                <w:lang w:eastAsia="sl-SI"/>
              </w:rPr>
            </w:pPr>
            <w:r w:rsidRPr="001170C4">
              <w:rPr>
                <w:rFonts w:ascii="Arial" w:eastAsia="Times New Roman" w:hAnsi="Arial" w:cs="Arial"/>
                <w:color w:val="000000"/>
                <w:sz w:val="18"/>
                <w:szCs w:val="18"/>
                <w:lang w:eastAsia="sl-SI"/>
              </w:rPr>
              <w:t>2.382.366</w:t>
            </w:r>
          </w:p>
        </w:tc>
      </w:tr>
      <w:tr w:rsidR="00E3750C" w:rsidRPr="001170C4" w14:paraId="501A92AB" w14:textId="77777777" w:rsidTr="00047864">
        <w:trPr>
          <w:trHeight w:val="288"/>
        </w:trPr>
        <w:tc>
          <w:tcPr>
            <w:tcW w:w="819" w:type="pct"/>
            <w:vMerge/>
            <w:tcBorders>
              <w:top w:val="nil"/>
              <w:left w:val="single" w:sz="4" w:space="0" w:color="auto"/>
              <w:bottom w:val="single" w:sz="4" w:space="0" w:color="auto"/>
              <w:right w:val="single" w:sz="4" w:space="0" w:color="auto"/>
            </w:tcBorders>
            <w:vAlign w:val="center"/>
            <w:hideMark/>
          </w:tcPr>
          <w:p w14:paraId="6C6622EC" w14:textId="77777777" w:rsidR="00E3750C" w:rsidRPr="001170C4" w:rsidRDefault="00E3750C" w:rsidP="00047864">
            <w:pPr>
              <w:spacing w:after="0" w:line="240" w:lineRule="auto"/>
              <w:rPr>
                <w:rFonts w:ascii="Arial" w:eastAsia="Times New Roman" w:hAnsi="Arial" w:cs="Arial"/>
                <w:color w:val="000000"/>
                <w:sz w:val="18"/>
                <w:szCs w:val="18"/>
                <w:lang w:eastAsia="sl-SI"/>
              </w:rPr>
            </w:pPr>
          </w:p>
        </w:tc>
        <w:tc>
          <w:tcPr>
            <w:tcW w:w="646" w:type="pct"/>
            <w:vMerge/>
            <w:tcBorders>
              <w:top w:val="nil"/>
              <w:left w:val="single" w:sz="4" w:space="0" w:color="auto"/>
              <w:bottom w:val="single" w:sz="4" w:space="0" w:color="auto"/>
              <w:right w:val="single" w:sz="4" w:space="0" w:color="auto"/>
            </w:tcBorders>
            <w:vAlign w:val="center"/>
            <w:hideMark/>
          </w:tcPr>
          <w:p w14:paraId="2556AFEC" w14:textId="77777777" w:rsidR="00E3750C" w:rsidRPr="001170C4" w:rsidRDefault="00E3750C" w:rsidP="00047864">
            <w:pPr>
              <w:spacing w:after="0" w:line="240" w:lineRule="auto"/>
              <w:rPr>
                <w:rFonts w:ascii="Arial" w:eastAsia="Times New Roman" w:hAnsi="Arial" w:cs="Arial"/>
                <w:color w:val="000000"/>
                <w:sz w:val="18"/>
                <w:szCs w:val="18"/>
                <w:lang w:eastAsia="sl-SI"/>
              </w:rPr>
            </w:pPr>
          </w:p>
        </w:tc>
        <w:tc>
          <w:tcPr>
            <w:tcW w:w="1855" w:type="pct"/>
            <w:tcBorders>
              <w:top w:val="nil"/>
              <w:left w:val="nil"/>
              <w:bottom w:val="single" w:sz="4" w:space="0" w:color="auto"/>
              <w:right w:val="single" w:sz="4" w:space="0" w:color="auto"/>
            </w:tcBorders>
            <w:shd w:val="clear" w:color="auto" w:fill="auto"/>
            <w:noWrap/>
            <w:vAlign w:val="center"/>
            <w:hideMark/>
          </w:tcPr>
          <w:p w14:paraId="09A7B1B3" w14:textId="77777777" w:rsidR="00E3750C" w:rsidRPr="001170C4" w:rsidRDefault="00E3750C" w:rsidP="00047864">
            <w:pPr>
              <w:spacing w:after="0" w:line="240" w:lineRule="auto"/>
              <w:rPr>
                <w:rFonts w:ascii="Arial" w:eastAsia="Times New Roman" w:hAnsi="Arial" w:cs="Arial"/>
                <w:b/>
                <w:bCs/>
                <w:color w:val="000000"/>
                <w:sz w:val="18"/>
                <w:szCs w:val="18"/>
                <w:lang w:eastAsia="sl-SI"/>
              </w:rPr>
            </w:pPr>
            <w:r w:rsidRPr="001170C4">
              <w:rPr>
                <w:rFonts w:ascii="Arial" w:eastAsia="Times New Roman" w:hAnsi="Arial" w:cs="Arial"/>
                <w:b/>
                <w:bCs/>
                <w:color w:val="000000"/>
                <w:sz w:val="18"/>
                <w:szCs w:val="18"/>
                <w:lang w:eastAsia="sl-SI"/>
              </w:rPr>
              <w:t>Skupaj</w:t>
            </w:r>
          </w:p>
        </w:tc>
        <w:tc>
          <w:tcPr>
            <w:tcW w:w="541" w:type="pct"/>
            <w:tcBorders>
              <w:top w:val="nil"/>
              <w:left w:val="nil"/>
              <w:bottom w:val="single" w:sz="4" w:space="0" w:color="auto"/>
              <w:right w:val="single" w:sz="4" w:space="0" w:color="auto"/>
            </w:tcBorders>
            <w:shd w:val="clear" w:color="auto" w:fill="auto"/>
            <w:noWrap/>
            <w:vAlign w:val="center"/>
            <w:hideMark/>
          </w:tcPr>
          <w:p w14:paraId="0158E604" w14:textId="77777777" w:rsidR="00E3750C" w:rsidRPr="001170C4" w:rsidRDefault="00E3750C" w:rsidP="00047864">
            <w:pPr>
              <w:spacing w:after="0" w:line="240" w:lineRule="auto"/>
              <w:jc w:val="right"/>
              <w:rPr>
                <w:rFonts w:ascii="Arial" w:eastAsia="Times New Roman" w:hAnsi="Arial" w:cs="Arial"/>
                <w:b/>
                <w:bCs/>
                <w:color w:val="000000"/>
                <w:sz w:val="18"/>
                <w:szCs w:val="18"/>
                <w:lang w:eastAsia="sl-SI"/>
              </w:rPr>
            </w:pPr>
            <w:r w:rsidRPr="001170C4">
              <w:rPr>
                <w:rFonts w:ascii="Arial" w:eastAsia="Times New Roman" w:hAnsi="Arial" w:cs="Arial"/>
                <w:b/>
                <w:bCs/>
                <w:color w:val="000000"/>
                <w:sz w:val="18"/>
                <w:szCs w:val="18"/>
                <w:lang w:eastAsia="sl-SI"/>
              </w:rPr>
              <w:t>10</w:t>
            </w:r>
          </w:p>
        </w:tc>
        <w:tc>
          <w:tcPr>
            <w:tcW w:w="455" w:type="pct"/>
            <w:tcBorders>
              <w:top w:val="nil"/>
              <w:left w:val="nil"/>
              <w:bottom w:val="single" w:sz="4" w:space="0" w:color="auto"/>
              <w:right w:val="single" w:sz="4" w:space="0" w:color="auto"/>
            </w:tcBorders>
            <w:shd w:val="clear" w:color="auto" w:fill="auto"/>
            <w:noWrap/>
            <w:vAlign w:val="center"/>
            <w:hideMark/>
          </w:tcPr>
          <w:p w14:paraId="4A7CCD97" w14:textId="77777777" w:rsidR="00E3750C" w:rsidRPr="001170C4" w:rsidRDefault="00E3750C" w:rsidP="00047864">
            <w:pPr>
              <w:spacing w:after="0" w:line="240" w:lineRule="auto"/>
              <w:jc w:val="right"/>
              <w:rPr>
                <w:rFonts w:ascii="Arial" w:eastAsia="Times New Roman" w:hAnsi="Arial" w:cs="Arial"/>
                <w:b/>
                <w:bCs/>
                <w:color w:val="000000"/>
                <w:sz w:val="18"/>
                <w:szCs w:val="18"/>
                <w:lang w:eastAsia="sl-SI"/>
              </w:rPr>
            </w:pPr>
            <w:r w:rsidRPr="001170C4">
              <w:rPr>
                <w:rFonts w:ascii="Arial" w:eastAsia="Times New Roman" w:hAnsi="Arial" w:cs="Arial"/>
                <w:b/>
                <w:bCs/>
                <w:color w:val="000000"/>
                <w:sz w:val="18"/>
                <w:szCs w:val="18"/>
                <w:lang w:eastAsia="sl-SI"/>
              </w:rPr>
              <w:t>11</w:t>
            </w:r>
          </w:p>
        </w:tc>
        <w:tc>
          <w:tcPr>
            <w:tcW w:w="685" w:type="pct"/>
            <w:tcBorders>
              <w:top w:val="nil"/>
              <w:left w:val="nil"/>
              <w:bottom w:val="single" w:sz="4" w:space="0" w:color="auto"/>
              <w:right w:val="single" w:sz="4" w:space="0" w:color="auto"/>
            </w:tcBorders>
            <w:shd w:val="clear" w:color="auto" w:fill="auto"/>
            <w:noWrap/>
            <w:vAlign w:val="center"/>
            <w:hideMark/>
          </w:tcPr>
          <w:p w14:paraId="30E80528" w14:textId="77777777" w:rsidR="00E3750C" w:rsidRPr="001170C4" w:rsidRDefault="00E3750C" w:rsidP="00047864">
            <w:pPr>
              <w:spacing w:after="0" w:line="240" w:lineRule="auto"/>
              <w:jc w:val="right"/>
              <w:rPr>
                <w:rFonts w:ascii="Arial" w:eastAsia="Times New Roman" w:hAnsi="Arial" w:cs="Arial"/>
                <w:b/>
                <w:bCs/>
                <w:color w:val="000000"/>
                <w:sz w:val="18"/>
                <w:szCs w:val="18"/>
                <w:lang w:eastAsia="sl-SI"/>
              </w:rPr>
            </w:pPr>
            <w:r w:rsidRPr="001170C4">
              <w:rPr>
                <w:rFonts w:ascii="Arial" w:eastAsia="Times New Roman" w:hAnsi="Arial" w:cs="Arial"/>
                <w:b/>
                <w:bCs/>
                <w:color w:val="000000"/>
                <w:sz w:val="18"/>
                <w:szCs w:val="18"/>
                <w:lang w:eastAsia="sl-SI"/>
              </w:rPr>
              <w:t>6.500.704</w:t>
            </w:r>
          </w:p>
        </w:tc>
      </w:tr>
      <w:tr w:rsidR="00E3750C" w:rsidRPr="001170C4" w14:paraId="26F5554E" w14:textId="77777777" w:rsidTr="00047864">
        <w:trPr>
          <w:trHeight w:val="288"/>
        </w:trPr>
        <w:tc>
          <w:tcPr>
            <w:tcW w:w="332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6797A5F" w14:textId="77777777" w:rsidR="00E3750C" w:rsidRPr="001170C4" w:rsidRDefault="00E3750C" w:rsidP="00047864">
            <w:pPr>
              <w:spacing w:after="0" w:line="240" w:lineRule="auto"/>
              <w:rPr>
                <w:rFonts w:ascii="Arial" w:eastAsia="Times New Roman" w:hAnsi="Arial" w:cs="Arial"/>
                <w:b/>
                <w:bCs/>
                <w:color w:val="000000"/>
                <w:sz w:val="18"/>
                <w:szCs w:val="18"/>
                <w:lang w:eastAsia="sl-SI"/>
              </w:rPr>
            </w:pPr>
            <w:r w:rsidRPr="001170C4">
              <w:rPr>
                <w:rFonts w:ascii="Arial" w:eastAsia="Times New Roman" w:hAnsi="Arial" w:cs="Arial"/>
                <w:b/>
                <w:bCs/>
                <w:color w:val="000000"/>
                <w:sz w:val="18"/>
                <w:szCs w:val="18"/>
                <w:lang w:eastAsia="sl-SI"/>
              </w:rPr>
              <w:t>Skupaj</w:t>
            </w:r>
          </w:p>
        </w:tc>
        <w:tc>
          <w:tcPr>
            <w:tcW w:w="541" w:type="pct"/>
            <w:tcBorders>
              <w:top w:val="nil"/>
              <w:left w:val="nil"/>
              <w:bottom w:val="single" w:sz="4" w:space="0" w:color="auto"/>
              <w:right w:val="single" w:sz="4" w:space="0" w:color="auto"/>
            </w:tcBorders>
            <w:shd w:val="clear" w:color="auto" w:fill="F2F2F2" w:themeFill="background1" w:themeFillShade="F2"/>
            <w:noWrap/>
            <w:vAlign w:val="center"/>
            <w:hideMark/>
          </w:tcPr>
          <w:p w14:paraId="1D585698" w14:textId="77777777" w:rsidR="00E3750C" w:rsidRPr="001170C4" w:rsidRDefault="00E3750C" w:rsidP="00047864">
            <w:pPr>
              <w:spacing w:after="0" w:line="240" w:lineRule="auto"/>
              <w:jc w:val="right"/>
              <w:rPr>
                <w:rFonts w:ascii="Arial" w:eastAsia="Times New Roman" w:hAnsi="Arial" w:cs="Arial"/>
                <w:b/>
                <w:bCs/>
                <w:color w:val="000000"/>
                <w:sz w:val="18"/>
                <w:szCs w:val="18"/>
                <w:lang w:eastAsia="sl-SI"/>
              </w:rPr>
            </w:pPr>
            <w:r w:rsidRPr="001170C4">
              <w:rPr>
                <w:rFonts w:ascii="Arial" w:eastAsia="Times New Roman" w:hAnsi="Arial" w:cs="Arial"/>
                <w:b/>
                <w:bCs/>
                <w:color w:val="000000"/>
                <w:sz w:val="18"/>
                <w:szCs w:val="18"/>
                <w:lang w:eastAsia="sl-SI"/>
              </w:rPr>
              <w:t>579</w:t>
            </w:r>
          </w:p>
        </w:tc>
        <w:tc>
          <w:tcPr>
            <w:tcW w:w="455" w:type="pct"/>
            <w:tcBorders>
              <w:top w:val="nil"/>
              <w:left w:val="nil"/>
              <w:bottom w:val="single" w:sz="4" w:space="0" w:color="auto"/>
              <w:right w:val="single" w:sz="4" w:space="0" w:color="auto"/>
            </w:tcBorders>
            <w:shd w:val="clear" w:color="auto" w:fill="F2F2F2" w:themeFill="background1" w:themeFillShade="F2"/>
            <w:noWrap/>
            <w:vAlign w:val="center"/>
            <w:hideMark/>
          </w:tcPr>
          <w:p w14:paraId="60FED504" w14:textId="77777777" w:rsidR="00E3750C" w:rsidRPr="001170C4" w:rsidRDefault="00E3750C" w:rsidP="00047864">
            <w:pPr>
              <w:spacing w:after="0" w:line="240" w:lineRule="auto"/>
              <w:jc w:val="right"/>
              <w:rPr>
                <w:rFonts w:ascii="Arial" w:eastAsia="Times New Roman" w:hAnsi="Arial" w:cs="Arial"/>
                <w:b/>
                <w:bCs/>
                <w:color w:val="000000"/>
                <w:sz w:val="18"/>
                <w:szCs w:val="18"/>
                <w:lang w:eastAsia="sl-SI"/>
              </w:rPr>
            </w:pPr>
            <w:r w:rsidRPr="001170C4">
              <w:rPr>
                <w:rFonts w:ascii="Arial" w:eastAsia="Times New Roman" w:hAnsi="Arial" w:cs="Arial"/>
                <w:b/>
                <w:bCs/>
                <w:color w:val="000000"/>
                <w:sz w:val="18"/>
                <w:szCs w:val="18"/>
                <w:lang w:eastAsia="sl-SI"/>
              </w:rPr>
              <w:t>904</w:t>
            </w:r>
          </w:p>
        </w:tc>
        <w:tc>
          <w:tcPr>
            <w:tcW w:w="685" w:type="pct"/>
            <w:tcBorders>
              <w:top w:val="nil"/>
              <w:left w:val="nil"/>
              <w:bottom w:val="single" w:sz="4" w:space="0" w:color="auto"/>
              <w:right w:val="single" w:sz="4" w:space="0" w:color="auto"/>
            </w:tcBorders>
            <w:shd w:val="clear" w:color="auto" w:fill="F2F2F2" w:themeFill="background1" w:themeFillShade="F2"/>
            <w:noWrap/>
            <w:vAlign w:val="center"/>
            <w:hideMark/>
          </w:tcPr>
          <w:p w14:paraId="2B3EE574" w14:textId="77777777" w:rsidR="00E3750C" w:rsidRPr="001170C4" w:rsidRDefault="00E3750C" w:rsidP="00047864">
            <w:pPr>
              <w:spacing w:after="0" w:line="240" w:lineRule="auto"/>
              <w:jc w:val="right"/>
              <w:rPr>
                <w:rFonts w:ascii="Arial" w:eastAsia="Times New Roman" w:hAnsi="Arial" w:cs="Arial"/>
                <w:b/>
                <w:bCs/>
                <w:color w:val="000000"/>
                <w:sz w:val="18"/>
                <w:szCs w:val="18"/>
                <w:lang w:eastAsia="sl-SI"/>
              </w:rPr>
            </w:pPr>
            <w:r w:rsidRPr="001170C4">
              <w:rPr>
                <w:rFonts w:ascii="Arial" w:eastAsia="Times New Roman" w:hAnsi="Arial" w:cs="Arial"/>
                <w:b/>
                <w:bCs/>
                <w:color w:val="000000"/>
                <w:sz w:val="18"/>
                <w:szCs w:val="18"/>
                <w:lang w:eastAsia="sl-SI"/>
              </w:rPr>
              <w:t>711.711.015</w:t>
            </w:r>
          </w:p>
        </w:tc>
      </w:tr>
    </w:tbl>
    <w:p w14:paraId="2CD653B9" w14:textId="77777777" w:rsidR="00E3750C" w:rsidRPr="00BF7302" w:rsidRDefault="00E3750C" w:rsidP="00E3750C">
      <w:pPr>
        <w:spacing w:after="0" w:line="240" w:lineRule="auto"/>
        <w:jc w:val="both"/>
        <w:rPr>
          <w:rFonts w:ascii="Arial" w:hAnsi="Arial" w:cs="Arial"/>
          <w:sz w:val="20"/>
          <w:highlight w:val="yellow"/>
        </w:rPr>
      </w:pPr>
    </w:p>
    <w:p w14:paraId="3556B780" w14:textId="77777777" w:rsidR="00E3750C" w:rsidRDefault="00E3750C" w:rsidP="00E3750C">
      <w:pPr>
        <w:rPr>
          <w:rFonts w:ascii="Arial" w:hAnsi="Arial" w:cs="Arial"/>
          <w:sz w:val="20"/>
        </w:rPr>
      </w:pPr>
      <w:r>
        <w:rPr>
          <w:rFonts w:ascii="Arial" w:hAnsi="Arial" w:cs="Arial"/>
          <w:sz w:val="20"/>
        </w:rPr>
        <w:br w:type="page"/>
      </w:r>
    </w:p>
    <w:p w14:paraId="5ACA746D" w14:textId="77777777" w:rsidR="00E3750C" w:rsidRPr="007024A6" w:rsidRDefault="00E3750C" w:rsidP="00E3750C">
      <w:pPr>
        <w:spacing w:before="120" w:after="0" w:line="240" w:lineRule="auto"/>
        <w:jc w:val="both"/>
        <w:rPr>
          <w:rFonts w:ascii="Arial" w:hAnsi="Arial" w:cs="Arial"/>
          <w:sz w:val="20"/>
        </w:rPr>
      </w:pPr>
      <w:r w:rsidRPr="007024A6">
        <w:rPr>
          <w:rFonts w:ascii="Arial" w:hAnsi="Arial" w:cs="Arial"/>
          <w:sz w:val="20"/>
        </w:rPr>
        <w:lastRenderedPageBreak/>
        <w:t>Preglednica 8</w:t>
      </w:r>
      <w:r>
        <w:rPr>
          <w:rFonts w:ascii="Arial" w:hAnsi="Arial" w:cs="Arial"/>
          <w:sz w:val="20"/>
        </w:rPr>
        <w:t>7</w:t>
      </w:r>
      <w:r w:rsidRPr="007024A6">
        <w:rPr>
          <w:rFonts w:ascii="Arial" w:hAnsi="Arial" w:cs="Arial"/>
          <w:sz w:val="20"/>
        </w:rPr>
        <w:t xml:space="preserve">: Javna naročila glede na mesto objave in sedež ponudnika </w:t>
      </w:r>
    </w:p>
    <w:p w14:paraId="23E16C04" w14:textId="77777777" w:rsidR="00E3750C" w:rsidRPr="007024A6" w:rsidRDefault="00E3750C" w:rsidP="00E3750C">
      <w:pPr>
        <w:spacing w:after="0" w:line="240" w:lineRule="auto"/>
        <w:jc w:val="both"/>
        <w:rPr>
          <w:rFonts w:ascii="Arial" w:hAnsi="Arial" w:cs="Arial"/>
          <w:sz w:val="20"/>
        </w:rPr>
      </w:pPr>
    </w:p>
    <w:tbl>
      <w:tblPr>
        <w:tblW w:w="5000" w:type="pct"/>
        <w:tblCellMar>
          <w:left w:w="70" w:type="dxa"/>
          <w:right w:w="70" w:type="dxa"/>
        </w:tblCellMar>
        <w:tblLook w:val="04A0" w:firstRow="1" w:lastRow="0" w:firstColumn="1" w:lastColumn="0" w:noHBand="0" w:noVBand="1"/>
      </w:tblPr>
      <w:tblGrid>
        <w:gridCol w:w="1395"/>
        <w:gridCol w:w="1427"/>
        <w:gridCol w:w="1440"/>
        <w:gridCol w:w="2090"/>
        <w:gridCol w:w="1411"/>
        <w:gridCol w:w="1411"/>
      </w:tblGrid>
      <w:tr w:rsidR="00E3750C" w:rsidRPr="007024A6" w14:paraId="28412473" w14:textId="77777777" w:rsidTr="00047864">
        <w:trPr>
          <w:trHeight w:val="960"/>
        </w:trPr>
        <w:tc>
          <w:tcPr>
            <w:tcW w:w="760"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9F996F1" w14:textId="77777777" w:rsidR="00E3750C" w:rsidRPr="007024A6" w:rsidRDefault="00E3750C" w:rsidP="00047864">
            <w:pPr>
              <w:spacing w:after="0" w:line="240" w:lineRule="auto"/>
              <w:jc w:val="center"/>
              <w:rPr>
                <w:rFonts w:ascii="Arial" w:eastAsia="Times New Roman" w:hAnsi="Arial" w:cs="Arial"/>
                <w:color w:val="000000"/>
                <w:sz w:val="18"/>
                <w:szCs w:val="18"/>
                <w:lang w:eastAsia="sl-SI"/>
              </w:rPr>
            </w:pPr>
            <w:r w:rsidRPr="007024A6">
              <w:rPr>
                <w:rFonts w:ascii="Arial" w:eastAsia="Times New Roman" w:hAnsi="Arial" w:cs="Arial"/>
                <w:color w:val="000000"/>
                <w:sz w:val="18"/>
                <w:szCs w:val="18"/>
                <w:lang w:eastAsia="sl-SI"/>
              </w:rPr>
              <w:t>Objava v UL EU</w:t>
            </w:r>
          </w:p>
        </w:tc>
        <w:tc>
          <w:tcPr>
            <w:tcW w:w="778" w:type="pct"/>
            <w:tcBorders>
              <w:top w:val="single" w:sz="4" w:space="0" w:color="auto"/>
              <w:left w:val="nil"/>
              <w:bottom w:val="single" w:sz="4" w:space="0" w:color="auto"/>
              <w:right w:val="single" w:sz="4" w:space="0" w:color="auto"/>
            </w:tcBorders>
            <w:shd w:val="clear" w:color="000000" w:fill="F2F2F2"/>
            <w:vAlign w:val="center"/>
            <w:hideMark/>
          </w:tcPr>
          <w:p w14:paraId="17206BF4" w14:textId="77777777" w:rsidR="00E3750C" w:rsidRPr="007024A6" w:rsidRDefault="00E3750C" w:rsidP="00047864">
            <w:pPr>
              <w:spacing w:after="0" w:line="240" w:lineRule="auto"/>
              <w:jc w:val="center"/>
              <w:rPr>
                <w:rFonts w:ascii="Arial" w:eastAsia="Times New Roman" w:hAnsi="Arial" w:cs="Arial"/>
                <w:color w:val="000000"/>
                <w:sz w:val="18"/>
                <w:szCs w:val="18"/>
                <w:lang w:eastAsia="sl-SI"/>
              </w:rPr>
            </w:pPr>
            <w:r w:rsidRPr="007024A6">
              <w:rPr>
                <w:rFonts w:ascii="Arial" w:eastAsia="Times New Roman" w:hAnsi="Arial" w:cs="Arial"/>
                <w:color w:val="000000"/>
                <w:sz w:val="18"/>
                <w:szCs w:val="18"/>
                <w:lang w:eastAsia="sl-SI"/>
              </w:rPr>
              <w:t>Sedež ponudnika</w:t>
            </w:r>
          </w:p>
        </w:tc>
        <w:tc>
          <w:tcPr>
            <w:tcW w:w="785" w:type="pct"/>
            <w:tcBorders>
              <w:top w:val="single" w:sz="4" w:space="0" w:color="auto"/>
              <w:left w:val="nil"/>
              <w:bottom w:val="single" w:sz="4" w:space="0" w:color="auto"/>
              <w:right w:val="single" w:sz="4" w:space="0" w:color="auto"/>
            </w:tcBorders>
            <w:shd w:val="clear" w:color="000000" w:fill="F2F2F2"/>
            <w:vAlign w:val="center"/>
            <w:hideMark/>
          </w:tcPr>
          <w:p w14:paraId="51DA1F4B" w14:textId="77777777" w:rsidR="00E3750C" w:rsidRPr="007024A6" w:rsidRDefault="00E3750C" w:rsidP="00047864">
            <w:pPr>
              <w:spacing w:after="0" w:line="240" w:lineRule="auto"/>
              <w:jc w:val="center"/>
              <w:rPr>
                <w:rFonts w:ascii="Arial" w:eastAsia="Times New Roman" w:hAnsi="Arial" w:cs="Arial"/>
                <w:color w:val="000000"/>
                <w:sz w:val="18"/>
                <w:szCs w:val="18"/>
                <w:lang w:eastAsia="sl-SI"/>
              </w:rPr>
            </w:pPr>
            <w:r w:rsidRPr="007024A6">
              <w:rPr>
                <w:rFonts w:ascii="Arial" w:eastAsia="Times New Roman" w:hAnsi="Arial" w:cs="Arial"/>
                <w:color w:val="000000"/>
                <w:sz w:val="18"/>
                <w:szCs w:val="18"/>
                <w:lang w:eastAsia="sl-SI"/>
              </w:rPr>
              <w:t>Št. naročil</w:t>
            </w:r>
          </w:p>
        </w:tc>
        <w:tc>
          <w:tcPr>
            <w:tcW w:w="1139" w:type="pct"/>
            <w:tcBorders>
              <w:top w:val="single" w:sz="4" w:space="0" w:color="auto"/>
              <w:left w:val="nil"/>
              <w:bottom w:val="single" w:sz="4" w:space="0" w:color="auto"/>
              <w:right w:val="single" w:sz="4" w:space="0" w:color="auto"/>
            </w:tcBorders>
            <w:shd w:val="clear" w:color="000000" w:fill="F2F2F2"/>
            <w:vAlign w:val="center"/>
            <w:hideMark/>
          </w:tcPr>
          <w:p w14:paraId="37EF6E2B" w14:textId="77777777" w:rsidR="00E3750C" w:rsidRPr="007024A6" w:rsidRDefault="00E3750C" w:rsidP="00047864">
            <w:pPr>
              <w:spacing w:after="0" w:line="240" w:lineRule="auto"/>
              <w:jc w:val="center"/>
              <w:rPr>
                <w:rFonts w:ascii="Arial" w:eastAsia="Times New Roman" w:hAnsi="Arial" w:cs="Arial"/>
                <w:color w:val="000000"/>
                <w:sz w:val="18"/>
                <w:szCs w:val="18"/>
                <w:lang w:eastAsia="sl-SI"/>
              </w:rPr>
            </w:pPr>
            <w:r w:rsidRPr="007024A6">
              <w:rPr>
                <w:rFonts w:ascii="Arial" w:eastAsia="Times New Roman" w:hAnsi="Arial" w:cs="Arial"/>
                <w:color w:val="000000"/>
                <w:sz w:val="18"/>
                <w:szCs w:val="18"/>
                <w:lang w:eastAsia="sl-SI"/>
              </w:rPr>
              <w:t>Pogodbena vrednost</w:t>
            </w:r>
          </w:p>
        </w:tc>
        <w:tc>
          <w:tcPr>
            <w:tcW w:w="769" w:type="pct"/>
            <w:tcBorders>
              <w:top w:val="single" w:sz="4" w:space="0" w:color="auto"/>
              <w:left w:val="nil"/>
              <w:bottom w:val="single" w:sz="4" w:space="0" w:color="auto"/>
              <w:right w:val="single" w:sz="4" w:space="0" w:color="auto"/>
            </w:tcBorders>
            <w:shd w:val="clear" w:color="000000" w:fill="F2F2F2"/>
            <w:vAlign w:val="center"/>
            <w:hideMark/>
          </w:tcPr>
          <w:p w14:paraId="77622D00" w14:textId="77777777" w:rsidR="00E3750C" w:rsidRPr="007024A6" w:rsidRDefault="00E3750C" w:rsidP="00047864">
            <w:pPr>
              <w:spacing w:after="0" w:line="240" w:lineRule="auto"/>
              <w:jc w:val="center"/>
              <w:rPr>
                <w:rFonts w:ascii="Arial" w:eastAsia="Times New Roman" w:hAnsi="Arial" w:cs="Arial"/>
                <w:color w:val="000000"/>
                <w:sz w:val="18"/>
                <w:szCs w:val="18"/>
                <w:lang w:eastAsia="sl-SI"/>
              </w:rPr>
            </w:pPr>
            <w:r w:rsidRPr="007024A6">
              <w:rPr>
                <w:rFonts w:ascii="Arial" w:eastAsia="Times New Roman" w:hAnsi="Arial" w:cs="Arial"/>
                <w:color w:val="000000"/>
                <w:sz w:val="18"/>
                <w:szCs w:val="18"/>
                <w:lang w:eastAsia="sl-SI"/>
              </w:rPr>
              <w:t>Delež v št. istovrstnih naročil</w:t>
            </w:r>
          </w:p>
        </w:tc>
        <w:tc>
          <w:tcPr>
            <w:tcW w:w="769" w:type="pct"/>
            <w:tcBorders>
              <w:top w:val="single" w:sz="4" w:space="0" w:color="auto"/>
              <w:left w:val="nil"/>
              <w:bottom w:val="single" w:sz="4" w:space="0" w:color="auto"/>
              <w:right w:val="single" w:sz="4" w:space="0" w:color="auto"/>
            </w:tcBorders>
            <w:shd w:val="clear" w:color="000000" w:fill="F2F2F2"/>
            <w:vAlign w:val="center"/>
            <w:hideMark/>
          </w:tcPr>
          <w:p w14:paraId="0C6560D9" w14:textId="77777777" w:rsidR="00E3750C" w:rsidRPr="007024A6" w:rsidRDefault="00E3750C" w:rsidP="00047864">
            <w:pPr>
              <w:spacing w:after="0" w:line="240" w:lineRule="auto"/>
              <w:jc w:val="center"/>
              <w:rPr>
                <w:rFonts w:ascii="Arial" w:eastAsia="Times New Roman" w:hAnsi="Arial" w:cs="Arial"/>
                <w:color w:val="000000"/>
                <w:sz w:val="18"/>
                <w:szCs w:val="18"/>
                <w:lang w:eastAsia="sl-SI"/>
              </w:rPr>
            </w:pPr>
            <w:r w:rsidRPr="007024A6">
              <w:rPr>
                <w:rFonts w:ascii="Arial" w:eastAsia="Times New Roman" w:hAnsi="Arial" w:cs="Arial"/>
                <w:color w:val="000000"/>
                <w:sz w:val="18"/>
                <w:szCs w:val="18"/>
                <w:lang w:eastAsia="sl-SI"/>
              </w:rPr>
              <w:t>Delež v vrednosti istovrstnih naročil</w:t>
            </w:r>
          </w:p>
        </w:tc>
      </w:tr>
      <w:tr w:rsidR="00E3750C" w:rsidRPr="007024A6" w14:paraId="12D15A94" w14:textId="77777777" w:rsidTr="00047864">
        <w:trPr>
          <w:trHeight w:val="300"/>
        </w:trPr>
        <w:tc>
          <w:tcPr>
            <w:tcW w:w="760" w:type="pct"/>
            <w:vMerge w:val="restart"/>
            <w:tcBorders>
              <w:top w:val="nil"/>
              <w:left w:val="single" w:sz="4" w:space="0" w:color="auto"/>
              <w:bottom w:val="single" w:sz="4" w:space="0" w:color="auto"/>
              <w:right w:val="single" w:sz="4" w:space="0" w:color="auto"/>
            </w:tcBorders>
            <w:shd w:val="clear" w:color="auto" w:fill="auto"/>
            <w:vAlign w:val="center"/>
            <w:hideMark/>
          </w:tcPr>
          <w:p w14:paraId="66200B6B" w14:textId="77777777" w:rsidR="00E3750C" w:rsidRPr="007024A6" w:rsidRDefault="00E3750C" w:rsidP="00047864">
            <w:pPr>
              <w:spacing w:after="0" w:line="240" w:lineRule="auto"/>
              <w:rPr>
                <w:rFonts w:ascii="Arial" w:eastAsia="Times New Roman" w:hAnsi="Arial" w:cs="Arial"/>
                <w:color w:val="000000"/>
                <w:sz w:val="18"/>
                <w:szCs w:val="18"/>
                <w:lang w:eastAsia="sl-SI"/>
              </w:rPr>
            </w:pPr>
            <w:r w:rsidRPr="007024A6">
              <w:rPr>
                <w:rFonts w:ascii="Arial" w:eastAsia="Times New Roman" w:hAnsi="Arial" w:cs="Arial"/>
                <w:color w:val="000000"/>
                <w:sz w:val="18"/>
                <w:szCs w:val="18"/>
                <w:lang w:eastAsia="sl-SI"/>
              </w:rPr>
              <w:t>DA</w:t>
            </w:r>
          </w:p>
        </w:tc>
        <w:tc>
          <w:tcPr>
            <w:tcW w:w="778" w:type="pct"/>
            <w:tcBorders>
              <w:top w:val="nil"/>
              <w:left w:val="nil"/>
              <w:bottom w:val="single" w:sz="4" w:space="0" w:color="auto"/>
              <w:right w:val="single" w:sz="4" w:space="0" w:color="auto"/>
            </w:tcBorders>
            <w:shd w:val="clear" w:color="auto" w:fill="auto"/>
            <w:vAlign w:val="center"/>
            <w:hideMark/>
          </w:tcPr>
          <w:p w14:paraId="7662F830" w14:textId="77777777" w:rsidR="00E3750C" w:rsidRPr="007024A6" w:rsidRDefault="00E3750C" w:rsidP="00047864">
            <w:pPr>
              <w:spacing w:after="0" w:line="240" w:lineRule="auto"/>
              <w:rPr>
                <w:rFonts w:ascii="Arial" w:eastAsia="Times New Roman" w:hAnsi="Arial" w:cs="Arial"/>
                <w:color w:val="000000"/>
                <w:sz w:val="18"/>
                <w:szCs w:val="18"/>
                <w:lang w:eastAsia="sl-SI"/>
              </w:rPr>
            </w:pPr>
            <w:r w:rsidRPr="007024A6">
              <w:rPr>
                <w:rFonts w:ascii="Arial" w:eastAsia="Times New Roman" w:hAnsi="Arial" w:cs="Arial"/>
                <w:color w:val="000000"/>
                <w:sz w:val="18"/>
                <w:szCs w:val="18"/>
                <w:lang w:eastAsia="sl-SI"/>
              </w:rPr>
              <w:t>Slovenija</w:t>
            </w:r>
          </w:p>
        </w:tc>
        <w:tc>
          <w:tcPr>
            <w:tcW w:w="785" w:type="pct"/>
            <w:tcBorders>
              <w:top w:val="nil"/>
              <w:left w:val="nil"/>
              <w:bottom w:val="single" w:sz="4" w:space="0" w:color="auto"/>
              <w:right w:val="single" w:sz="4" w:space="0" w:color="auto"/>
            </w:tcBorders>
            <w:shd w:val="clear" w:color="auto" w:fill="auto"/>
            <w:vAlign w:val="center"/>
            <w:hideMark/>
          </w:tcPr>
          <w:p w14:paraId="4DD82DFE" w14:textId="77777777" w:rsidR="00E3750C" w:rsidRPr="007024A6" w:rsidRDefault="00E3750C" w:rsidP="00047864">
            <w:pPr>
              <w:spacing w:after="0" w:line="240" w:lineRule="auto"/>
              <w:jc w:val="right"/>
              <w:rPr>
                <w:rFonts w:ascii="Arial" w:eastAsia="Times New Roman" w:hAnsi="Arial" w:cs="Arial"/>
                <w:color w:val="000000"/>
                <w:sz w:val="18"/>
                <w:szCs w:val="18"/>
                <w:lang w:eastAsia="sl-SI"/>
              </w:rPr>
            </w:pPr>
            <w:r w:rsidRPr="007024A6">
              <w:rPr>
                <w:rFonts w:ascii="Arial" w:hAnsi="Arial" w:cs="Arial"/>
                <w:color w:val="000000"/>
                <w:sz w:val="18"/>
                <w:szCs w:val="18"/>
              </w:rPr>
              <w:t>10.051</w:t>
            </w:r>
          </w:p>
        </w:tc>
        <w:tc>
          <w:tcPr>
            <w:tcW w:w="1139" w:type="pct"/>
            <w:tcBorders>
              <w:top w:val="nil"/>
              <w:left w:val="nil"/>
              <w:bottom w:val="single" w:sz="4" w:space="0" w:color="auto"/>
              <w:right w:val="single" w:sz="4" w:space="0" w:color="auto"/>
            </w:tcBorders>
            <w:shd w:val="clear" w:color="auto" w:fill="auto"/>
            <w:vAlign w:val="center"/>
            <w:hideMark/>
          </w:tcPr>
          <w:p w14:paraId="79693A1E" w14:textId="77777777" w:rsidR="00E3750C" w:rsidRPr="007024A6" w:rsidRDefault="00E3750C" w:rsidP="00047864">
            <w:pPr>
              <w:spacing w:after="0" w:line="240" w:lineRule="auto"/>
              <w:jc w:val="right"/>
              <w:rPr>
                <w:rFonts w:ascii="Arial" w:eastAsia="Times New Roman" w:hAnsi="Arial" w:cs="Arial"/>
                <w:color w:val="000000"/>
                <w:sz w:val="18"/>
                <w:szCs w:val="18"/>
                <w:lang w:eastAsia="sl-SI"/>
              </w:rPr>
            </w:pPr>
            <w:r w:rsidRPr="007024A6">
              <w:rPr>
                <w:rFonts w:ascii="Arial" w:hAnsi="Arial" w:cs="Arial"/>
                <w:color w:val="000000"/>
                <w:sz w:val="18"/>
                <w:szCs w:val="18"/>
              </w:rPr>
              <w:t>4.006.554.478</w:t>
            </w:r>
          </w:p>
        </w:tc>
        <w:tc>
          <w:tcPr>
            <w:tcW w:w="769" w:type="pct"/>
            <w:tcBorders>
              <w:top w:val="nil"/>
              <w:left w:val="nil"/>
              <w:bottom w:val="single" w:sz="4" w:space="0" w:color="auto"/>
              <w:right w:val="single" w:sz="4" w:space="0" w:color="auto"/>
            </w:tcBorders>
            <w:shd w:val="clear" w:color="auto" w:fill="auto"/>
            <w:noWrap/>
            <w:vAlign w:val="center"/>
            <w:hideMark/>
          </w:tcPr>
          <w:p w14:paraId="54E790BA" w14:textId="77777777" w:rsidR="00E3750C" w:rsidRPr="007024A6" w:rsidRDefault="00E3750C" w:rsidP="00047864">
            <w:pPr>
              <w:spacing w:after="0" w:line="240" w:lineRule="auto"/>
              <w:jc w:val="right"/>
              <w:rPr>
                <w:rFonts w:ascii="Arial" w:eastAsia="Times New Roman" w:hAnsi="Arial" w:cs="Arial"/>
                <w:color w:val="000000"/>
                <w:sz w:val="18"/>
                <w:szCs w:val="18"/>
                <w:lang w:eastAsia="sl-SI"/>
              </w:rPr>
            </w:pPr>
            <w:r w:rsidRPr="007024A6">
              <w:rPr>
                <w:rFonts w:ascii="Arial" w:hAnsi="Arial" w:cs="Arial"/>
                <w:color w:val="000000"/>
                <w:sz w:val="18"/>
                <w:szCs w:val="18"/>
              </w:rPr>
              <w:t>97,69 %</w:t>
            </w:r>
          </w:p>
        </w:tc>
        <w:tc>
          <w:tcPr>
            <w:tcW w:w="769" w:type="pct"/>
            <w:tcBorders>
              <w:top w:val="nil"/>
              <w:left w:val="nil"/>
              <w:bottom w:val="single" w:sz="4" w:space="0" w:color="auto"/>
              <w:right w:val="single" w:sz="4" w:space="0" w:color="auto"/>
            </w:tcBorders>
            <w:shd w:val="clear" w:color="auto" w:fill="auto"/>
            <w:noWrap/>
            <w:vAlign w:val="center"/>
            <w:hideMark/>
          </w:tcPr>
          <w:p w14:paraId="52A804EA" w14:textId="77777777" w:rsidR="00E3750C" w:rsidRPr="007024A6" w:rsidRDefault="00E3750C" w:rsidP="00047864">
            <w:pPr>
              <w:spacing w:after="0" w:line="240" w:lineRule="auto"/>
              <w:jc w:val="right"/>
              <w:rPr>
                <w:rFonts w:ascii="Arial" w:eastAsia="Times New Roman" w:hAnsi="Arial" w:cs="Arial"/>
                <w:color w:val="000000"/>
                <w:sz w:val="18"/>
                <w:szCs w:val="18"/>
                <w:lang w:eastAsia="sl-SI"/>
              </w:rPr>
            </w:pPr>
            <w:r w:rsidRPr="007024A6">
              <w:rPr>
                <w:rFonts w:ascii="Arial" w:hAnsi="Arial" w:cs="Arial"/>
                <w:color w:val="000000"/>
                <w:sz w:val="18"/>
                <w:szCs w:val="18"/>
              </w:rPr>
              <w:t>95,88 %</w:t>
            </w:r>
          </w:p>
        </w:tc>
      </w:tr>
      <w:tr w:rsidR="00E3750C" w:rsidRPr="007024A6" w14:paraId="78646B96" w14:textId="77777777" w:rsidTr="00047864">
        <w:trPr>
          <w:trHeight w:val="300"/>
        </w:trPr>
        <w:tc>
          <w:tcPr>
            <w:tcW w:w="760" w:type="pct"/>
            <w:vMerge/>
            <w:tcBorders>
              <w:top w:val="nil"/>
              <w:left w:val="single" w:sz="4" w:space="0" w:color="auto"/>
              <w:bottom w:val="single" w:sz="4" w:space="0" w:color="auto"/>
              <w:right w:val="single" w:sz="4" w:space="0" w:color="auto"/>
            </w:tcBorders>
            <w:vAlign w:val="center"/>
            <w:hideMark/>
          </w:tcPr>
          <w:p w14:paraId="048CA3E1" w14:textId="77777777" w:rsidR="00E3750C" w:rsidRPr="007024A6" w:rsidRDefault="00E3750C" w:rsidP="00047864">
            <w:pPr>
              <w:spacing w:after="0" w:line="240" w:lineRule="auto"/>
              <w:rPr>
                <w:rFonts w:ascii="Arial" w:eastAsia="Times New Roman" w:hAnsi="Arial" w:cs="Arial"/>
                <w:color w:val="000000"/>
                <w:sz w:val="18"/>
                <w:szCs w:val="18"/>
                <w:lang w:eastAsia="sl-SI"/>
              </w:rPr>
            </w:pPr>
          </w:p>
        </w:tc>
        <w:tc>
          <w:tcPr>
            <w:tcW w:w="778" w:type="pct"/>
            <w:tcBorders>
              <w:top w:val="nil"/>
              <w:left w:val="nil"/>
              <w:bottom w:val="single" w:sz="4" w:space="0" w:color="auto"/>
              <w:right w:val="single" w:sz="4" w:space="0" w:color="auto"/>
            </w:tcBorders>
            <w:shd w:val="clear" w:color="auto" w:fill="auto"/>
            <w:vAlign w:val="center"/>
            <w:hideMark/>
          </w:tcPr>
          <w:p w14:paraId="2277A67D" w14:textId="77777777" w:rsidR="00E3750C" w:rsidRPr="007024A6" w:rsidRDefault="00E3750C" w:rsidP="00047864">
            <w:pPr>
              <w:spacing w:after="0" w:line="240" w:lineRule="auto"/>
              <w:rPr>
                <w:rFonts w:ascii="Arial" w:eastAsia="Times New Roman" w:hAnsi="Arial" w:cs="Arial"/>
                <w:color w:val="000000"/>
                <w:sz w:val="18"/>
                <w:szCs w:val="18"/>
                <w:lang w:eastAsia="sl-SI"/>
              </w:rPr>
            </w:pPr>
            <w:r w:rsidRPr="007024A6">
              <w:rPr>
                <w:rFonts w:ascii="Arial" w:eastAsia="Times New Roman" w:hAnsi="Arial" w:cs="Arial"/>
                <w:color w:val="000000"/>
                <w:sz w:val="18"/>
                <w:szCs w:val="18"/>
                <w:lang w:eastAsia="sl-SI"/>
              </w:rPr>
              <w:t>tujina</w:t>
            </w:r>
          </w:p>
        </w:tc>
        <w:tc>
          <w:tcPr>
            <w:tcW w:w="785" w:type="pct"/>
            <w:tcBorders>
              <w:top w:val="nil"/>
              <w:left w:val="nil"/>
              <w:bottom w:val="single" w:sz="4" w:space="0" w:color="auto"/>
              <w:right w:val="single" w:sz="4" w:space="0" w:color="auto"/>
            </w:tcBorders>
            <w:shd w:val="clear" w:color="auto" w:fill="auto"/>
            <w:vAlign w:val="center"/>
            <w:hideMark/>
          </w:tcPr>
          <w:p w14:paraId="633AC247" w14:textId="77777777" w:rsidR="00E3750C" w:rsidRPr="007024A6" w:rsidRDefault="00E3750C" w:rsidP="00047864">
            <w:pPr>
              <w:spacing w:after="0" w:line="240" w:lineRule="auto"/>
              <w:jc w:val="right"/>
              <w:rPr>
                <w:rFonts w:ascii="Arial" w:eastAsia="Times New Roman" w:hAnsi="Arial" w:cs="Arial"/>
                <w:color w:val="000000"/>
                <w:sz w:val="18"/>
                <w:szCs w:val="18"/>
                <w:lang w:eastAsia="sl-SI"/>
              </w:rPr>
            </w:pPr>
            <w:r w:rsidRPr="007024A6">
              <w:rPr>
                <w:rFonts w:ascii="Arial" w:hAnsi="Arial" w:cs="Arial"/>
                <w:color w:val="000000"/>
                <w:sz w:val="18"/>
                <w:szCs w:val="18"/>
              </w:rPr>
              <w:t>238</w:t>
            </w:r>
          </w:p>
        </w:tc>
        <w:tc>
          <w:tcPr>
            <w:tcW w:w="1139" w:type="pct"/>
            <w:tcBorders>
              <w:top w:val="nil"/>
              <w:left w:val="nil"/>
              <w:bottom w:val="single" w:sz="4" w:space="0" w:color="auto"/>
              <w:right w:val="single" w:sz="4" w:space="0" w:color="auto"/>
            </w:tcBorders>
            <w:shd w:val="clear" w:color="auto" w:fill="auto"/>
            <w:vAlign w:val="center"/>
            <w:hideMark/>
          </w:tcPr>
          <w:p w14:paraId="603C18D3" w14:textId="77777777" w:rsidR="00E3750C" w:rsidRPr="007024A6" w:rsidRDefault="00E3750C" w:rsidP="00047864">
            <w:pPr>
              <w:spacing w:after="0" w:line="240" w:lineRule="auto"/>
              <w:jc w:val="right"/>
              <w:rPr>
                <w:rFonts w:ascii="Arial" w:eastAsia="Times New Roman" w:hAnsi="Arial" w:cs="Arial"/>
                <w:color w:val="000000"/>
                <w:sz w:val="18"/>
                <w:szCs w:val="18"/>
                <w:lang w:eastAsia="sl-SI"/>
              </w:rPr>
            </w:pPr>
            <w:r w:rsidRPr="007024A6">
              <w:rPr>
                <w:rFonts w:ascii="Arial" w:hAnsi="Arial" w:cs="Arial"/>
                <w:color w:val="000000"/>
                <w:sz w:val="18"/>
                <w:szCs w:val="18"/>
              </w:rPr>
              <w:t>172.167.181</w:t>
            </w:r>
          </w:p>
        </w:tc>
        <w:tc>
          <w:tcPr>
            <w:tcW w:w="769" w:type="pct"/>
            <w:tcBorders>
              <w:top w:val="nil"/>
              <w:left w:val="nil"/>
              <w:bottom w:val="single" w:sz="4" w:space="0" w:color="auto"/>
              <w:right w:val="single" w:sz="4" w:space="0" w:color="auto"/>
            </w:tcBorders>
            <w:shd w:val="clear" w:color="auto" w:fill="auto"/>
            <w:noWrap/>
            <w:vAlign w:val="center"/>
            <w:hideMark/>
          </w:tcPr>
          <w:p w14:paraId="7C913A3B" w14:textId="77777777" w:rsidR="00E3750C" w:rsidRPr="007024A6" w:rsidRDefault="00E3750C" w:rsidP="00047864">
            <w:pPr>
              <w:spacing w:after="0" w:line="240" w:lineRule="auto"/>
              <w:jc w:val="right"/>
              <w:rPr>
                <w:rFonts w:ascii="Arial" w:eastAsia="Times New Roman" w:hAnsi="Arial" w:cs="Arial"/>
                <w:color w:val="000000"/>
                <w:sz w:val="18"/>
                <w:szCs w:val="18"/>
                <w:lang w:eastAsia="sl-SI"/>
              </w:rPr>
            </w:pPr>
            <w:r w:rsidRPr="007024A6">
              <w:rPr>
                <w:rFonts w:ascii="Arial" w:hAnsi="Arial" w:cs="Arial"/>
                <w:color w:val="000000"/>
                <w:sz w:val="18"/>
                <w:szCs w:val="18"/>
              </w:rPr>
              <w:t>2,31 %</w:t>
            </w:r>
          </w:p>
        </w:tc>
        <w:tc>
          <w:tcPr>
            <w:tcW w:w="769" w:type="pct"/>
            <w:tcBorders>
              <w:top w:val="nil"/>
              <w:left w:val="nil"/>
              <w:bottom w:val="single" w:sz="4" w:space="0" w:color="auto"/>
              <w:right w:val="single" w:sz="4" w:space="0" w:color="auto"/>
            </w:tcBorders>
            <w:shd w:val="clear" w:color="auto" w:fill="auto"/>
            <w:noWrap/>
            <w:vAlign w:val="center"/>
            <w:hideMark/>
          </w:tcPr>
          <w:p w14:paraId="6A73D2A1" w14:textId="77777777" w:rsidR="00E3750C" w:rsidRPr="007024A6" w:rsidRDefault="00E3750C" w:rsidP="00047864">
            <w:pPr>
              <w:spacing w:after="0" w:line="240" w:lineRule="auto"/>
              <w:jc w:val="right"/>
              <w:rPr>
                <w:rFonts w:ascii="Arial" w:eastAsia="Times New Roman" w:hAnsi="Arial" w:cs="Arial"/>
                <w:color w:val="000000"/>
                <w:sz w:val="18"/>
                <w:szCs w:val="18"/>
                <w:lang w:eastAsia="sl-SI"/>
              </w:rPr>
            </w:pPr>
            <w:r w:rsidRPr="007024A6">
              <w:rPr>
                <w:rFonts w:ascii="Arial" w:hAnsi="Arial" w:cs="Arial"/>
                <w:color w:val="000000"/>
                <w:sz w:val="18"/>
                <w:szCs w:val="18"/>
              </w:rPr>
              <w:t>4,12 %</w:t>
            </w:r>
          </w:p>
        </w:tc>
      </w:tr>
      <w:tr w:rsidR="00E3750C" w:rsidRPr="007024A6" w14:paraId="7E222DE3" w14:textId="77777777" w:rsidTr="00047864">
        <w:trPr>
          <w:trHeight w:val="300"/>
        </w:trPr>
        <w:tc>
          <w:tcPr>
            <w:tcW w:w="760" w:type="pct"/>
            <w:vMerge/>
            <w:tcBorders>
              <w:top w:val="nil"/>
              <w:left w:val="single" w:sz="4" w:space="0" w:color="auto"/>
              <w:bottom w:val="single" w:sz="4" w:space="0" w:color="auto"/>
              <w:right w:val="single" w:sz="4" w:space="0" w:color="auto"/>
            </w:tcBorders>
            <w:vAlign w:val="center"/>
            <w:hideMark/>
          </w:tcPr>
          <w:p w14:paraId="3F80586C" w14:textId="77777777" w:rsidR="00E3750C" w:rsidRPr="007024A6" w:rsidRDefault="00E3750C" w:rsidP="00047864">
            <w:pPr>
              <w:spacing w:after="0" w:line="240" w:lineRule="auto"/>
              <w:rPr>
                <w:rFonts w:ascii="Arial" w:eastAsia="Times New Roman" w:hAnsi="Arial" w:cs="Arial"/>
                <w:color w:val="000000"/>
                <w:sz w:val="18"/>
                <w:szCs w:val="18"/>
                <w:lang w:eastAsia="sl-SI"/>
              </w:rPr>
            </w:pPr>
          </w:p>
        </w:tc>
        <w:tc>
          <w:tcPr>
            <w:tcW w:w="778" w:type="pct"/>
            <w:tcBorders>
              <w:top w:val="nil"/>
              <w:left w:val="nil"/>
              <w:bottom w:val="single" w:sz="4" w:space="0" w:color="auto"/>
              <w:right w:val="single" w:sz="4" w:space="0" w:color="auto"/>
            </w:tcBorders>
            <w:shd w:val="clear" w:color="auto" w:fill="auto"/>
            <w:vAlign w:val="center"/>
            <w:hideMark/>
          </w:tcPr>
          <w:p w14:paraId="39CCF5AF" w14:textId="77777777" w:rsidR="00E3750C" w:rsidRPr="007024A6" w:rsidRDefault="00E3750C" w:rsidP="00047864">
            <w:pPr>
              <w:spacing w:after="0" w:line="240" w:lineRule="auto"/>
              <w:rPr>
                <w:rFonts w:ascii="Arial" w:eastAsia="Times New Roman" w:hAnsi="Arial" w:cs="Arial"/>
                <w:b/>
                <w:bCs/>
                <w:color w:val="000000"/>
                <w:sz w:val="18"/>
                <w:szCs w:val="18"/>
                <w:lang w:eastAsia="sl-SI"/>
              </w:rPr>
            </w:pPr>
            <w:r w:rsidRPr="007024A6">
              <w:rPr>
                <w:rFonts w:ascii="Arial" w:eastAsia="Times New Roman" w:hAnsi="Arial" w:cs="Arial"/>
                <w:b/>
                <w:bCs/>
                <w:color w:val="000000"/>
                <w:sz w:val="18"/>
                <w:szCs w:val="18"/>
                <w:lang w:eastAsia="sl-SI"/>
              </w:rPr>
              <w:t>Skupaj</w:t>
            </w:r>
          </w:p>
        </w:tc>
        <w:tc>
          <w:tcPr>
            <w:tcW w:w="785" w:type="pct"/>
            <w:tcBorders>
              <w:top w:val="nil"/>
              <w:left w:val="nil"/>
              <w:bottom w:val="single" w:sz="4" w:space="0" w:color="auto"/>
              <w:right w:val="single" w:sz="4" w:space="0" w:color="auto"/>
            </w:tcBorders>
            <w:shd w:val="clear" w:color="auto" w:fill="auto"/>
            <w:vAlign w:val="center"/>
            <w:hideMark/>
          </w:tcPr>
          <w:p w14:paraId="06FA1B3C" w14:textId="77777777" w:rsidR="00E3750C" w:rsidRPr="007024A6" w:rsidRDefault="00E3750C" w:rsidP="00047864">
            <w:pPr>
              <w:spacing w:after="0" w:line="240" w:lineRule="auto"/>
              <w:jc w:val="right"/>
              <w:rPr>
                <w:rFonts w:ascii="Arial" w:eastAsia="Times New Roman" w:hAnsi="Arial" w:cs="Arial"/>
                <w:b/>
                <w:bCs/>
                <w:color w:val="000000"/>
                <w:sz w:val="18"/>
                <w:szCs w:val="18"/>
                <w:lang w:eastAsia="sl-SI"/>
              </w:rPr>
            </w:pPr>
            <w:r w:rsidRPr="007024A6">
              <w:rPr>
                <w:rFonts w:ascii="Arial" w:hAnsi="Arial" w:cs="Arial"/>
                <w:b/>
                <w:bCs/>
                <w:color w:val="000000"/>
                <w:sz w:val="18"/>
                <w:szCs w:val="18"/>
              </w:rPr>
              <w:t>10.289</w:t>
            </w:r>
          </w:p>
        </w:tc>
        <w:tc>
          <w:tcPr>
            <w:tcW w:w="1139" w:type="pct"/>
            <w:tcBorders>
              <w:top w:val="nil"/>
              <w:left w:val="nil"/>
              <w:bottom w:val="single" w:sz="4" w:space="0" w:color="auto"/>
              <w:right w:val="single" w:sz="4" w:space="0" w:color="auto"/>
            </w:tcBorders>
            <w:shd w:val="clear" w:color="auto" w:fill="auto"/>
            <w:vAlign w:val="center"/>
            <w:hideMark/>
          </w:tcPr>
          <w:p w14:paraId="43F38C69" w14:textId="77777777" w:rsidR="00E3750C" w:rsidRPr="007024A6" w:rsidRDefault="00E3750C" w:rsidP="00047864">
            <w:pPr>
              <w:spacing w:after="0" w:line="240" w:lineRule="auto"/>
              <w:jc w:val="right"/>
              <w:rPr>
                <w:rFonts w:ascii="Arial" w:eastAsia="Times New Roman" w:hAnsi="Arial" w:cs="Arial"/>
                <w:b/>
                <w:bCs/>
                <w:color w:val="000000"/>
                <w:sz w:val="18"/>
                <w:szCs w:val="18"/>
                <w:lang w:eastAsia="sl-SI"/>
              </w:rPr>
            </w:pPr>
            <w:r w:rsidRPr="007024A6">
              <w:rPr>
                <w:rFonts w:ascii="Arial" w:hAnsi="Arial" w:cs="Arial"/>
                <w:b/>
                <w:bCs/>
                <w:color w:val="000000"/>
                <w:sz w:val="18"/>
                <w:szCs w:val="18"/>
              </w:rPr>
              <w:t>4.178.721.659</w:t>
            </w:r>
          </w:p>
        </w:tc>
        <w:tc>
          <w:tcPr>
            <w:tcW w:w="769" w:type="pct"/>
            <w:tcBorders>
              <w:top w:val="nil"/>
              <w:left w:val="nil"/>
              <w:bottom w:val="single" w:sz="4" w:space="0" w:color="auto"/>
              <w:right w:val="single" w:sz="4" w:space="0" w:color="auto"/>
            </w:tcBorders>
            <w:shd w:val="clear" w:color="auto" w:fill="auto"/>
            <w:noWrap/>
            <w:vAlign w:val="center"/>
            <w:hideMark/>
          </w:tcPr>
          <w:p w14:paraId="715E7A26" w14:textId="77777777" w:rsidR="00E3750C" w:rsidRPr="007024A6" w:rsidRDefault="00E3750C" w:rsidP="00047864">
            <w:pPr>
              <w:spacing w:after="0" w:line="240" w:lineRule="auto"/>
              <w:jc w:val="right"/>
              <w:rPr>
                <w:rFonts w:ascii="Arial" w:eastAsia="Times New Roman" w:hAnsi="Arial" w:cs="Arial"/>
                <w:b/>
                <w:bCs/>
                <w:color w:val="000000"/>
                <w:sz w:val="18"/>
                <w:szCs w:val="18"/>
                <w:lang w:eastAsia="sl-SI"/>
              </w:rPr>
            </w:pPr>
            <w:r w:rsidRPr="007024A6">
              <w:rPr>
                <w:rFonts w:ascii="Arial" w:hAnsi="Arial" w:cs="Arial"/>
                <w:b/>
                <w:bCs/>
                <w:color w:val="000000"/>
                <w:sz w:val="18"/>
                <w:szCs w:val="18"/>
              </w:rPr>
              <w:t>100,00 %</w:t>
            </w:r>
          </w:p>
        </w:tc>
        <w:tc>
          <w:tcPr>
            <w:tcW w:w="769" w:type="pct"/>
            <w:tcBorders>
              <w:top w:val="nil"/>
              <w:left w:val="nil"/>
              <w:bottom w:val="single" w:sz="4" w:space="0" w:color="auto"/>
              <w:right w:val="single" w:sz="4" w:space="0" w:color="auto"/>
            </w:tcBorders>
            <w:shd w:val="clear" w:color="auto" w:fill="auto"/>
            <w:noWrap/>
            <w:vAlign w:val="center"/>
            <w:hideMark/>
          </w:tcPr>
          <w:p w14:paraId="5080F41F" w14:textId="77777777" w:rsidR="00E3750C" w:rsidRPr="007024A6" w:rsidRDefault="00E3750C" w:rsidP="00047864">
            <w:pPr>
              <w:spacing w:after="0" w:line="240" w:lineRule="auto"/>
              <w:jc w:val="right"/>
              <w:rPr>
                <w:rFonts w:ascii="Arial" w:eastAsia="Times New Roman" w:hAnsi="Arial" w:cs="Arial"/>
                <w:b/>
                <w:bCs/>
                <w:color w:val="000000"/>
                <w:sz w:val="18"/>
                <w:szCs w:val="18"/>
                <w:lang w:eastAsia="sl-SI"/>
              </w:rPr>
            </w:pPr>
            <w:r w:rsidRPr="007024A6">
              <w:rPr>
                <w:rFonts w:ascii="Arial" w:hAnsi="Arial" w:cs="Arial"/>
                <w:b/>
                <w:bCs/>
                <w:color w:val="000000"/>
                <w:sz w:val="18"/>
                <w:szCs w:val="18"/>
              </w:rPr>
              <w:t>100,00 %</w:t>
            </w:r>
          </w:p>
        </w:tc>
      </w:tr>
      <w:tr w:rsidR="00E3750C" w:rsidRPr="007024A6" w14:paraId="23B2701A" w14:textId="77777777" w:rsidTr="00047864">
        <w:trPr>
          <w:trHeight w:val="300"/>
        </w:trPr>
        <w:tc>
          <w:tcPr>
            <w:tcW w:w="760" w:type="pct"/>
            <w:vMerge w:val="restart"/>
            <w:tcBorders>
              <w:top w:val="nil"/>
              <w:left w:val="single" w:sz="4" w:space="0" w:color="auto"/>
              <w:bottom w:val="single" w:sz="4" w:space="0" w:color="auto"/>
              <w:right w:val="single" w:sz="4" w:space="0" w:color="auto"/>
            </w:tcBorders>
            <w:shd w:val="clear" w:color="auto" w:fill="auto"/>
            <w:vAlign w:val="center"/>
            <w:hideMark/>
          </w:tcPr>
          <w:p w14:paraId="00475B80" w14:textId="77777777" w:rsidR="00E3750C" w:rsidRPr="007024A6" w:rsidRDefault="00E3750C" w:rsidP="00047864">
            <w:pPr>
              <w:spacing w:after="0" w:line="240" w:lineRule="auto"/>
              <w:rPr>
                <w:rFonts w:ascii="Arial" w:eastAsia="Times New Roman" w:hAnsi="Arial" w:cs="Arial"/>
                <w:color w:val="000000"/>
                <w:sz w:val="18"/>
                <w:szCs w:val="18"/>
                <w:lang w:eastAsia="sl-SI"/>
              </w:rPr>
            </w:pPr>
            <w:r w:rsidRPr="007024A6">
              <w:rPr>
                <w:rFonts w:ascii="Arial" w:eastAsia="Times New Roman" w:hAnsi="Arial" w:cs="Arial"/>
                <w:color w:val="000000"/>
                <w:sz w:val="18"/>
                <w:szCs w:val="18"/>
                <w:lang w:eastAsia="sl-SI"/>
              </w:rPr>
              <w:t>NE</w:t>
            </w:r>
          </w:p>
        </w:tc>
        <w:tc>
          <w:tcPr>
            <w:tcW w:w="778" w:type="pct"/>
            <w:tcBorders>
              <w:top w:val="nil"/>
              <w:left w:val="nil"/>
              <w:bottom w:val="single" w:sz="4" w:space="0" w:color="auto"/>
              <w:right w:val="single" w:sz="4" w:space="0" w:color="auto"/>
            </w:tcBorders>
            <w:shd w:val="clear" w:color="auto" w:fill="auto"/>
            <w:vAlign w:val="center"/>
            <w:hideMark/>
          </w:tcPr>
          <w:p w14:paraId="4C8DDEB1" w14:textId="77777777" w:rsidR="00E3750C" w:rsidRPr="007024A6" w:rsidRDefault="00E3750C" w:rsidP="00047864">
            <w:pPr>
              <w:spacing w:after="0" w:line="240" w:lineRule="auto"/>
              <w:rPr>
                <w:rFonts w:ascii="Arial" w:eastAsia="Times New Roman" w:hAnsi="Arial" w:cs="Arial"/>
                <w:color w:val="000000"/>
                <w:sz w:val="18"/>
                <w:szCs w:val="18"/>
                <w:lang w:eastAsia="sl-SI"/>
              </w:rPr>
            </w:pPr>
            <w:r w:rsidRPr="007024A6">
              <w:rPr>
                <w:rFonts w:ascii="Arial" w:eastAsia="Times New Roman" w:hAnsi="Arial" w:cs="Arial"/>
                <w:color w:val="000000"/>
                <w:sz w:val="18"/>
                <w:szCs w:val="18"/>
                <w:lang w:eastAsia="sl-SI"/>
              </w:rPr>
              <w:t>Slovenija</w:t>
            </w:r>
          </w:p>
        </w:tc>
        <w:tc>
          <w:tcPr>
            <w:tcW w:w="785" w:type="pct"/>
            <w:tcBorders>
              <w:top w:val="nil"/>
              <w:left w:val="nil"/>
              <w:bottom w:val="single" w:sz="4" w:space="0" w:color="auto"/>
              <w:right w:val="single" w:sz="4" w:space="0" w:color="auto"/>
            </w:tcBorders>
            <w:shd w:val="clear" w:color="auto" w:fill="auto"/>
            <w:vAlign w:val="center"/>
            <w:hideMark/>
          </w:tcPr>
          <w:p w14:paraId="79A5180C" w14:textId="77777777" w:rsidR="00E3750C" w:rsidRPr="007024A6" w:rsidRDefault="00E3750C" w:rsidP="00047864">
            <w:pPr>
              <w:spacing w:after="0" w:line="240" w:lineRule="auto"/>
              <w:jc w:val="right"/>
              <w:rPr>
                <w:rFonts w:ascii="Arial" w:eastAsia="Times New Roman" w:hAnsi="Arial" w:cs="Arial"/>
                <w:color w:val="000000"/>
                <w:sz w:val="18"/>
                <w:szCs w:val="18"/>
                <w:lang w:eastAsia="sl-SI"/>
              </w:rPr>
            </w:pPr>
            <w:r w:rsidRPr="007024A6">
              <w:rPr>
                <w:rFonts w:ascii="Arial" w:hAnsi="Arial" w:cs="Arial"/>
                <w:color w:val="000000"/>
                <w:sz w:val="18"/>
                <w:szCs w:val="18"/>
              </w:rPr>
              <w:t>6.729</w:t>
            </w:r>
          </w:p>
        </w:tc>
        <w:tc>
          <w:tcPr>
            <w:tcW w:w="1139" w:type="pct"/>
            <w:tcBorders>
              <w:top w:val="nil"/>
              <w:left w:val="nil"/>
              <w:bottom w:val="single" w:sz="4" w:space="0" w:color="auto"/>
              <w:right w:val="single" w:sz="4" w:space="0" w:color="auto"/>
            </w:tcBorders>
            <w:shd w:val="clear" w:color="auto" w:fill="auto"/>
            <w:vAlign w:val="center"/>
            <w:hideMark/>
          </w:tcPr>
          <w:p w14:paraId="4D98743A" w14:textId="77777777" w:rsidR="00E3750C" w:rsidRPr="007024A6" w:rsidRDefault="00E3750C" w:rsidP="00047864">
            <w:pPr>
              <w:spacing w:after="0" w:line="240" w:lineRule="auto"/>
              <w:jc w:val="right"/>
              <w:rPr>
                <w:rFonts w:ascii="Arial" w:eastAsia="Times New Roman" w:hAnsi="Arial" w:cs="Arial"/>
                <w:color w:val="000000"/>
                <w:sz w:val="18"/>
                <w:szCs w:val="18"/>
                <w:lang w:eastAsia="sl-SI"/>
              </w:rPr>
            </w:pPr>
            <w:r w:rsidRPr="007024A6">
              <w:rPr>
                <w:rFonts w:ascii="Arial" w:hAnsi="Arial" w:cs="Arial"/>
                <w:color w:val="000000"/>
                <w:sz w:val="18"/>
                <w:szCs w:val="18"/>
              </w:rPr>
              <w:t>1.212.425.902</w:t>
            </w:r>
          </w:p>
        </w:tc>
        <w:tc>
          <w:tcPr>
            <w:tcW w:w="769" w:type="pct"/>
            <w:tcBorders>
              <w:top w:val="nil"/>
              <w:left w:val="nil"/>
              <w:bottom w:val="single" w:sz="4" w:space="0" w:color="auto"/>
              <w:right w:val="single" w:sz="4" w:space="0" w:color="auto"/>
            </w:tcBorders>
            <w:shd w:val="clear" w:color="auto" w:fill="auto"/>
            <w:noWrap/>
            <w:vAlign w:val="center"/>
            <w:hideMark/>
          </w:tcPr>
          <w:p w14:paraId="6CAFB640" w14:textId="77777777" w:rsidR="00E3750C" w:rsidRPr="007024A6" w:rsidRDefault="00E3750C" w:rsidP="00047864">
            <w:pPr>
              <w:spacing w:after="0" w:line="240" w:lineRule="auto"/>
              <w:jc w:val="right"/>
              <w:rPr>
                <w:rFonts w:ascii="Arial" w:eastAsia="Times New Roman" w:hAnsi="Arial" w:cs="Arial"/>
                <w:color w:val="000000"/>
                <w:sz w:val="18"/>
                <w:szCs w:val="18"/>
                <w:lang w:eastAsia="sl-SI"/>
              </w:rPr>
            </w:pPr>
            <w:r w:rsidRPr="007024A6">
              <w:rPr>
                <w:rFonts w:ascii="Arial" w:hAnsi="Arial" w:cs="Arial"/>
                <w:color w:val="000000"/>
                <w:sz w:val="18"/>
                <w:szCs w:val="18"/>
              </w:rPr>
              <w:t>97,03 %</w:t>
            </w:r>
          </w:p>
        </w:tc>
        <w:tc>
          <w:tcPr>
            <w:tcW w:w="769" w:type="pct"/>
            <w:tcBorders>
              <w:top w:val="nil"/>
              <w:left w:val="nil"/>
              <w:bottom w:val="single" w:sz="4" w:space="0" w:color="auto"/>
              <w:right w:val="single" w:sz="4" w:space="0" w:color="auto"/>
            </w:tcBorders>
            <w:shd w:val="clear" w:color="auto" w:fill="auto"/>
            <w:noWrap/>
            <w:vAlign w:val="center"/>
            <w:hideMark/>
          </w:tcPr>
          <w:p w14:paraId="2BEFA5A5" w14:textId="77777777" w:rsidR="00E3750C" w:rsidRPr="007024A6" w:rsidRDefault="00E3750C" w:rsidP="00047864">
            <w:pPr>
              <w:spacing w:after="0" w:line="240" w:lineRule="auto"/>
              <w:jc w:val="right"/>
              <w:rPr>
                <w:rFonts w:ascii="Arial" w:eastAsia="Times New Roman" w:hAnsi="Arial" w:cs="Arial"/>
                <w:color w:val="000000"/>
                <w:sz w:val="18"/>
                <w:szCs w:val="18"/>
                <w:lang w:eastAsia="sl-SI"/>
              </w:rPr>
            </w:pPr>
            <w:r w:rsidRPr="007024A6">
              <w:rPr>
                <w:rFonts w:ascii="Arial" w:hAnsi="Arial" w:cs="Arial"/>
                <w:color w:val="000000"/>
                <w:sz w:val="18"/>
                <w:szCs w:val="18"/>
              </w:rPr>
              <w:t>97,90 %</w:t>
            </w:r>
          </w:p>
        </w:tc>
      </w:tr>
      <w:tr w:rsidR="00E3750C" w:rsidRPr="007024A6" w14:paraId="5DA85B1C" w14:textId="77777777" w:rsidTr="00047864">
        <w:trPr>
          <w:trHeight w:val="300"/>
        </w:trPr>
        <w:tc>
          <w:tcPr>
            <w:tcW w:w="760" w:type="pct"/>
            <w:vMerge/>
            <w:tcBorders>
              <w:top w:val="nil"/>
              <w:left w:val="single" w:sz="4" w:space="0" w:color="auto"/>
              <w:bottom w:val="single" w:sz="4" w:space="0" w:color="auto"/>
              <w:right w:val="single" w:sz="4" w:space="0" w:color="auto"/>
            </w:tcBorders>
            <w:vAlign w:val="center"/>
            <w:hideMark/>
          </w:tcPr>
          <w:p w14:paraId="0F836206" w14:textId="77777777" w:rsidR="00E3750C" w:rsidRPr="007024A6" w:rsidRDefault="00E3750C" w:rsidP="00047864">
            <w:pPr>
              <w:spacing w:after="0" w:line="240" w:lineRule="auto"/>
              <w:rPr>
                <w:rFonts w:ascii="Arial" w:eastAsia="Times New Roman" w:hAnsi="Arial" w:cs="Arial"/>
                <w:color w:val="000000"/>
                <w:sz w:val="18"/>
                <w:szCs w:val="18"/>
                <w:lang w:eastAsia="sl-SI"/>
              </w:rPr>
            </w:pPr>
          </w:p>
        </w:tc>
        <w:tc>
          <w:tcPr>
            <w:tcW w:w="778" w:type="pct"/>
            <w:tcBorders>
              <w:top w:val="nil"/>
              <w:left w:val="nil"/>
              <w:bottom w:val="single" w:sz="4" w:space="0" w:color="auto"/>
              <w:right w:val="single" w:sz="4" w:space="0" w:color="auto"/>
            </w:tcBorders>
            <w:shd w:val="clear" w:color="auto" w:fill="auto"/>
            <w:vAlign w:val="center"/>
            <w:hideMark/>
          </w:tcPr>
          <w:p w14:paraId="3E544C15" w14:textId="77777777" w:rsidR="00E3750C" w:rsidRPr="007024A6" w:rsidRDefault="00E3750C" w:rsidP="00047864">
            <w:pPr>
              <w:spacing w:after="0" w:line="240" w:lineRule="auto"/>
              <w:rPr>
                <w:rFonts w:ascii="Arial" w:eastAsia="Times New Roman" w:hAnsi="Arial" w:cs="Arial"/>
                <w:color w:val="000000"/>
                <w:sz w:val="18"/>
                <w:szCs w:val="18"/>
                <w:lang w:eastAsia="sl-SI"/>
              </w:rPr>
            </w:pPr>
            <w:r w:rsidRPr="007024A6">
              <w:rPr>
                <w:rFonts w:ascii="Arial" w:eastAsia="Times New Roman" w:hAnsi="Arial" w:cs="Arial"/>
                <w:color w:val="000000"/>
                <w:sz w:val="18"/>
                <w:szCs w:val="18"/>
                <w:lang w:eastAsia="sl-SI"/>
              </w:rPr>
              <w:t>tujina</w:t>
            </w:r>
          </w:p>
        </w:tc>
        <w:tc>
          <w:tcPr>
            <w:tcW w:w="785" w:type="pct"/>
            <w:tcBorders>
              <w:top w:val="nil"/>
              <w:left w:val="nil"/>
              <w:bottom w:val="single" w:sz="4" w:space="0" w:color="auto"/>
              <w:right w:val="single" w:sz="4" w:space="0" w:color="auto"/>
            </w:tcBorders>
            <w:shd w:val="clear" w:color="auto" w:fill="auto"/>
            <w:vAlign w:val="center"/>
            <w:hideMark/>
          </w:tcPr>
          <w:p w14:paraId="42F79B8B" w14:textId="77777777" w:rsidR="00E3750C" w:rsidRPr="007024A6" w:rsidRDefault="00E3750C" w:rsidP="00047864">
            <w:pPr>
              <w:spacing w:after="0" w:line="240" w:lineRule="auto"/>
              <w:jc w:val="right"/>
              <w:rPr>
                <w:rFonts w:ascii="Arial" w:eastAsia="Times New Roman" w:hAnsi="Arial" w:cs="Arial"/>
                <w:color w:val="000000"/>
                <w:sz w:val="18"/>
                <w:szCs w:val="18"/>
                <w:lang w:eastAsia="sl-SI"/>
              </w:rPr>
            </w:pPr>
            <w:r w:rsidRPr="007024A6">
              <w:rPr>
                <w:rFonts w:ascii="Arial" w:hAnsi="Arial" w:cs="Arial"/>
                <w:color w:val="000000"/>
                <w:sz w:val="18"/>
                <w:szCs w:val="18"/>
              </w:rPr>
              <w:t>206</w:t>
            </w:r>
          </w:p>
        </w:tc>
        <w:tc>
          <w:tcPr>
            <w:tcW w:w="1139" w:type="pct"/>
            <w:tcBorders>
              <w:top w:val="nil"/>
              <w:left w:val="nil"/>
              <w:bottom w:val="single" w:sz="4" w:space="0" w:color="auto"/>
              <w:right w:val="single" w:sz="4" w:space="0" w:color="auto"/>
            </w:tcBorders>
            <w:shd w:val="clear" w:color="auto" w:fill="auto"/>
            <w:vAlign w:val="center"/>
            <w:hideMark/>
          </w:tcPr>
          <w:p w14:paraId="3016FC23" w14:textId="77777777" w:rsidR="00E3750C" w:rsidRPr="007024A6" w:rsidRDefault="00E3750C" w:rsidP="00047864">
            <w:pPr>
              <w:spacing w:after="0" w:line="240" w:lineRule="auto"/>
              <w:jc w:val="right"/>
              <w:rPr>
                <w:rFonts w:ascii="Arial" w:eastAsia="Times New Roman" w:hAnsi="Arial" w:cs="Arial"/>
                <w:color w:val="000000"/>
                <w:sz w:val="18"/>
                <w:szCs w:val="18"/>
                <w:lang w:eastAsia="sl-SI"/>
              </w:rPr>
            </w:pPr>
            <w:r w:rsidRPr="007024A6">
              <w:rPr>
                <w:rFonts w:ascii="Arial" w:hAnsi="Arial" w:cs="Arial"/>
                <w:color w:val="000000"/>
                <w:sz w:val="18"/>
                <w:szCs w:val="18"/>
              </w:rPr>
              <w:t>25.958.341</w:t>
            </w:r>
          </w:p>
        </w:tc>
        <w:tc>
          <w:tcPr>
            <w:tcW w:w="769" w:type="pct"/>
            <w:tcBorders>
              <w:top w:val="nil"/>
              <w:left w:val="nil"/>
              <w:bottom w:val="single" w:sz="4" w:space="0" w:color="auto"/>
              <w:right w:val="single" w:sz="4" w:space="0" w:color="auto"/>
            </w:tcBorders>
            <w:shd w:val="clear" w:color="auto" w:fill="auto"/>
            <w:noWrap/>
            <w:vAlign w:val="center"/>
            <w:hideMark/>
          </w:tcPr>
          <w:p w14:paraId="7CD39FFB" w14:textId="77777777" w:rsidR="00E3750C" w:rsidRPr="007024A6" w:rsidRDefault="00E3750C" w:rsidP="00047864">
            <w:pPr>
              <w:spacing w:after="0" w:line="240" w:lineRule="auto"/>
              <w:jc w:val="right"/>
              <w:rPr>
                <w:rFonts w:ascii="Arial" w:eastAsia="Times New Roman" w:hAnsi="Arial" w:cs="Arial"/>
                <w:color w:val="000000"/>
                <w:sz w:val="18"/>
                <w:szCs w:val="18"/>
                <w:lang w:eastAsia="sl-SI"/>
              </w:rPr>
            </w:pPr>
            <w:r w:rsidRPr="007024A6">
              <w:rPr>
                <w:rFonts w:ascii="Arial" w:hAnsi="Arial" w:cs="Arial"/>
                <w:color w:val="000000"/>
                <w:sz w:val="18"/>
                <w:szCs w:val="18"/>
              </w:rPr>
              <w:t>2,97 %</w:t>
            </w:r>
          </w:p>
        </w:tc>
        <w:tc>
          <w:tcPr>
            <w:tcW w:w="769" w:type="pct"/>
            <w:tcBorders>
              <w:top w:val="nil"/>
              <w:left w:val="nil"/>
              <w:bottom w:val="single" w:sz="4" w:space="0" w:color="auto"/>
              <w:right w:val="single" w:sz="4" w:space="0" w:color="auto"/>
            </w:tcBorders>
            <w:shd w:val="clear" w:color="auto" w:fill="auto"/>
            <w:noWrap/>
            <w:vAlign w:val="center"/>
            <w:hideMark/>
          </w:tcPr>
          <w:p w14:paraId="5DAD5525" w14:textId="77777777" w:rsidR="00E3750C" w:rsidRPr="007024A6" w:rsidRDefault="00E3750C" w:rsidP="00047864">
            <w:pPr>
              <w:spacing w:after="0" w:line="240" w:lineRule="auto"/>
              <w:jc w:val="right"/>
              <w:rPr>
                <w:rFonts w:ascii="Arial" w:eastAsia="Times New Roman" w:hAnsi="Arial" w:cs="Arial"/>
                <w:color w:val="000000"/>
                <w:sz w:val="18"/>
                <w:szCs w:val="18"/>
                <w:lang w:eastAsia="sl-SI"/>
              </w:rPr>
            </w:pPr>
            <w:r w:rsidRPr="007024A6">
              <w:rPr>
                <w:rFonts w:ascii="Arial" w:hAnsi="Arial" w:cs="Arial"/>
                <w:color w:val="000000"/>
                <w:sz w:val="18"/>
                <w:szCs w:val="18"/>
              </w:rPr>
              <w:t>2,10 %</w:t>
            </w:r>
          </w:p>
        </w:tc>
      </w:tr>
      <w:tr w:rsidR="00E3750C" w:rsidRPr="007024A6" w14:paraId="2573F1F0" w14:textId="77777777" w:rsidTr="00047864">
        <w:trPr>
          <w:trHeight w:val="300"/>
        </w:trPr>
        <w:tc>
          <w:tcPr>
            <w:tcW w:w="760" w:type="pct"/>
            <w:vMerge/>
            <w:tcBorders>
              <w:top w:val="nil"/>
              <w:left w:val="single" w:sz="4" w:space="0" w:color="auto"/>
              <w:bottom w:val="single" w:sz="4" w:space="0" w:color="auto"/>
              <w:right w:val="single" w:sz="4" w:space="0" w:color="auto"/>
            </w:tcBorders>
            <w:vAlign w:val="center"/>
            <w:hideMark/>
          </w:tcPr>
          <w:p w14:paraId="1EBC25E1" w14:textId="77777777" w:rsidR="00E3750C" w:rsidRPr="007024A6" w:rsidRDefault="00E3750C" w:rsidP="00047864">
            <w:pPr>
              <w:spacing w:after="0" w:line="240" w:lineRule="auto"/>
              <w:rPr>
                <w:rFonts w:ascii="Arial" w:eastAsia="Times New Roman" w:hAnsi="Arial" w:cs="Arial"/>
                <w:color w:val="000000"/>
                <w:sz w:val="18"/>
                <w:szCs w:val="18"/>
                <w:lang w:eastAsia="sl-SI"/>
              </w:rPr>
            </w:pPr>
          </w:p>
        </w:tc>
        <w:tc>
          <w:tcPr>
            <w:tcW w:w="778" w:type="pct"/>
            <w:tcBorders>
              <w:top w:val="nil"/>
              <w:left w:val="nil"/>
              <w:bottom w:val="single" w:sz="4" w:space="0" w:color="auto"/>
              <w:right w:val="single" w:sz="4" w:space="0" w:color="auto"/>
            </w:tcBorders>
            <w:shd w:val="clear" w:color="auto" w:fill="auto"/>
            <w:vAlign w:val="center"/>
            <w:hideMark/>
          </w:tcPr>
          <w:p w14:paraId="3305E103" w14:textId="77777777" w:rsidR="00E3750C" w:rsidRPr="007024A6" w:rsidRDefault="00E3750C" w:rsidP="00047864">
            <w:pPr>
              <w:spacing w:after="0" w:line="240" w:lineRule="auto"/>
              <w:rPr>
                <w:rFonts w:ascii="Arial" w:eastAsia="Times New Roman" w:hAnsi="Arial" w:cs="Arial"/>
                <w:b/>
                <w:bCs/>
                <w:color w:val="000000"/>
                <w:sz w:val="18"/>
                <w:szCs w:val="18"/>
                <w:lang w:eastAsia="sl-SI"/>
              </w:rPr>
            </w:pPr>
            <w:r w:rsidRPr="007024A6">
              <w:rPr>
                <w:rFonts w:ascii="Arial" w:eastAsia="Times New Roman" w:hAnsi="Arial" w:cs="Arial"/>
                <w:b/>
                <w:bCs/>
                <w:color w:val="000000"/>
                <w:sz w:val="18"/>
                <w:szCs w:val="18"/>
                <w:lang w:eastAsia="sl-SI"/>
              </w:rPr>
              <w:t>Skupaj</w:t>
            </w:r>
          </w:p>
        </w:tc>
        <w:tc>
          <w:tcPr>
            <w:tcW w:w="785" w:type="pct"/>
            <w:tcBorders>
              <w:top w:val="nil"/>
              <w:left w:val="nil"/>
              <w:bottom w:val="single" w:sz="4" w:space="0" w:color="auto"/>
              <w:right w:val="single" w:sz="4" w:space="0" w:color="auto"/>
            </w:tcBorders>
            <w:shd w:val="clear" w:color="auto" w:fill="auto"/>
            <w:noWrap/>
            <w:vAlign w:val="center"/>
            <w:hideMark/>
          </w:tcPr>
          <w:p w14:paraId="0395F361" w14:textId="77777777" w:rsidR="00E3750C" w:rsidRPr="007024A6" w:rsidRDefault="00E3750C" w:rsidP="00047864">
            <w:pPr>
              <w:spacing w:after="0" w:line="240" w:lineRule="auto"/>
              <w:jc w:val="right"/>
              <w:rPr>
                <w:rFonts w:ascii="Arial" w:eastAsia="Times New Roman" w:hAnsi="Arial" w:cs="Arial"/>
                <w:b/>
                <w:bCs/>
                <w:color w:val="000000"/>
                <w:sz w:val="18"/>
                <w:szCs w:val="18"/>
                <w:lang w:eastAsia="sl-SI"/>
              </w:rPr>
            </w:pPr>
            <w:r w:rsidRPr="007024A6">
              <w:rPr>
                <w:rFonts w:ascii="Arial" w:hAnsi="Arial" w:cs="Arial"/>
                <w:b/>
                <w:bCs/>
                <w:color w:val="000000"/>
                <w:sz w:val="18"/>
                <w:szCs w:val="18"/>
              </w:rPr>
              <w:t>6.935</w:t>
            </w:r>
          </w:p>
        </w:tc>
        <w:tc>
          <w:tcPr>
            <w:tcW w:w="1139" w:type="pct"/>
            <w:tcBorders>
              <w:top w:val="nil"/>
              <w:left w:val="nil"/>
              <w:bottom w:val="single" w:sz="4" w:space="0" w:color="auto"/>
              <w:right w:val="single" w:sz="4" w:space="0" w:color="auto"/>
            </w:tcBorders>
            <w:shd w:val="clear" w:color="auto" w:fill="auto"/>
            <w:noWrap/>
            <w:vAlign w:val="center"/>
            <w:hideMark/>
          </w:tcPr>
          <w:p w14:paraId="2AA68810" w14:textId="77777777" w:rsidR="00E3750C" w:rsidRPr="007024A6" w:rsidRDefault="00E3750C" w:rsidP="00047864">
            <w:pPr>
              <w:spacing w:after="0" w:line="240" w:lineRule="auto"/>
              <w:jc w:val="right"/>
              <w:rPr>
                <w:rFonts w:ascii="Arial" w:eastAsia="Times New Roman" w:hAnsi="Arial" w:cs="Arial"/>
                <w:b/>
                <w:bCs/>
                <w:color w:val="000000"/>
                <w:sz w:val="18"/>
                <w:szCs w:val="18"/>
                <w:lang w:eastAsia="sl-SI"/>
              </w:rPr>
            </w:pPr>
            <w:r w:rsidRPr="007024A6">
              <w:rPr>
                <w:rFonts w:ascii="Arial" w:hAnsi="Arial" w:cs="Arial"/>
                <w:b/>
                <w:bCs/>
                <w:color w:val="000000"/>
                <w:sz w:val="18"/>
                <w:szCs w:val="18"/>
              </w:rPr>
              <w:t>1.238.384.243</w:t>
            </w:r>
          </w:p>
        </w:tc>
        <w:tc>
          <w:tcPr>
            <w:tcW w:w="769" w:type="pct"/>
            <w:tcBorders>
              <w:top w:val="nil"/>
              <w:left w:val="nil"/>
              <w:bottom w:val="single" w:sz="4" w:space="0" w:color="auto"/>
              <w:right w:val="single" w:sz="4" w:space="0" w:color="auto"/>
            </w:tcBorders>
            <w:shd w:val="clear" w:color="auto" w:fill="auto"/>
            <w:noWrap/>
            <w:vAlign w:val="center"/>
            <w:hideMark/>
          </w:tcPr>
          <w:p w14:paraId="51BE8DA7" w14:textId="77777777" w:rsidR="00E3750C" w:rsidRPr="007024A6" w:rsidRDefault="00E3750C" w:rsidP="00047864">
            <w:pPr>
              <w:spacing w:after="0" w:line="240" w:lineRule="auto"/>
              <w:jc w:val="right"/>
              <w:rPr>
                <w:rFonts w:ascii="Arial" w:eastAsia="Times New Roman" w:hAnsi="Arial" w:cs="Arial"/>
                <w:b/>
                <w:bCs/>
                <w:color w:val="000000"/>
                <w:sz w:val="18"/>
                <w:szCs w:val="18"/>
                <w:lang w:eastAsia="sl-SI"/>
              </w:rPr>
            </w:pPr>
            <w:r w:rsidRPr="007024A6">
              <w:rPr>
                <w:rFonts w:ascii="Arial" w:hAnsi="Arial" w:cs="Arial"/>
                <w:b/>
                <w:bCs/>
                <w:color w:val="000000"/>
                <w:sz w:val="18"/>
                <w:szCs w:val="18"/>
              </w:rPr>
              <w:t>100,00 %</w:t>
            </w:r>
          </w:p>
        </w:tc>
        <w:tc>
          <w:tcPr>
            <w:tcW w:w="769" w:type="pct"/>
            <w:tcBorders>
              <w:top w:val="nil"/>
              <w:left w:val="nil"/>
              <w:bottom w:val="single" w:sz="4" w:space="0" w:color="auto"/>
              <w:right w:val="single" w:sz="4" w:space="0" w:color="auto"/>
            </w:tcBorders>
            <w:shd w:val="clear" w:color="auto" w:fill="auto"/>
            <w:noWrap/>
            <w:vAlign w:val="center"/>
            <w:hideMark/>
          </w:tcPr>
          <w:p w14:paraId="164D1038" w14:textId="77777777" w:rsidR="00E3750C" w:rsidRPr="007024A6" w:rsidRDefault="00E3750C" w:rsidP="00047864">
            <w:pPr>
              <w:spacing w:after="0" w:line="240" w:lineRule="auto"/>
              <w:jc w:val="right"/>
              <w:rPr>
                <w:rFonts w:ascii="Arial" w:eastAsia="Times New Roman" w:hAnsi="Arial" w:cs="Arial"/>
                <w:b/>
                <w:bCs/>
                <w:color w:val="000000"/>
                <w:sz w:val="18"/>
                <w:szCs w:val="18"/>
                <w:lang w:eastAsia="sl-SI"/>
              </w:rPr>
            </w:pPr>
            <w:r w:rsidRPr="007024A6">
              <w:rPr>
                <w:rFonts w:ascii="Arial" w:hAnsi="Arial" w:cs="Arial"/>
                <w:b/>
                <w:bCs/>
                <w:color w:val="000000"/>
                <w:sz w:val="18"/>
                <w:szCs w:val="18"/>
              </w:rPr>
              <w:t>100,00 %</w:t>
            </w:r>
          </w:p>
        </w:tc>
      </w:tr>
      <w:tr w:rsidR="00E3750C" w:rsidRPr="007024A6" w14:paraId="684BA1F5" w14:textId="77777777" w:rsidTr="00047864">
        <w:trPr>
          <w:gridAfter w:val="2"/>
          <w:wAfter w:w="1538" w:type="pct"/>
          <w:trHeight w:val="300"/>
        </w:trPr>
        <w:tc>
          <w:tcPr>
            <w:tcW w:w="153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C154380" w14:textId="77777777" w:rsidR="00E3750C" w:rsidRPr="007024A6" w:rsidRDefault="00E3750C" w:rsidP="00047864">
            <w:pPr>
              <w:spacing w:after="0" w:line="240" w:lineRule="auto"/>
              <w:rPr>
                <w:rFonts w:ascii="Arial" w:eastAsia="Times New Roman" w:hAnsi="Arial" w:cs="Arial"/>
                <w:b/>
                <w:bCs/>
                <w:color w:val="000000"/>
                <w:sz w:val="18"/>
                <w:szCs w:val="18"/>
                <w:lang w:eastAsia="sl-SI"/>
              </w:rPr>
            </w:pPr>
            <w:r w:rsidRPr="007024A6">
              <w:rPr>
                <w:rFonts w:ascii="Arial" w:eastAsia="Times New Roman" w:hAnsi="Arial" w:cs="Arial"/>
                <w:b/>
                <w:bCs/>
                <w:color w:val="000000"/>
                <w:sz w:val="18"/>
                <w:szCs w:val="18"/>
                <w:lang w:eastAsia="sl-SI"/>
              </w:rPr>
              <w:t>Skupaj</w:t>
            </w:r>
          </w:p>
        </w:tc>
        <w:tc>
          <w:tcPr>
            <w:tcW w:w="785" w:type="pct"/>
            <w:tcBorders>
              <w:top w:val="nil"/>
              <w:left w:val="nil"/>
              <w:bottom w:val="single" w:sz="4" w:space="0" w:color="auto"/>
              <w:right w:val="single" w:sz="4" w:space="0" w:color="auto"/>
            </w:tcBorders>
            <w:shd w:val="clear" w:color="auto" w:fill="F2F2F2" w:themeFill="background1" w:themeFillShade="F2"/>
            <w:noWrap/>
            <w:vAlign w:val="center"/>
            <w:hideMark/>
          </w:tcPr>
          <w:p w14:paraId="06CB7200" w14:textId="77777777" w:rsidR="00E3750C" w:rsidRPr="007024A6" w:rsidRDefault="00E3750C" w:rsidP="00047864">
            <w:pPr>
              <w:spacing w:after="0" w:line="240" w:lineRule="auto"/>
              <w:jc w:val="right"/>
              <w:rPr>
                <w:rFonts w:ascii="Arial" w:eastAsia="Times New Roman" w:hAnsi="Arial" w:cs="Arial"/>
                <w:b/>
                <w:bCs/>
                <w:color w:val="000000"/>
                <w:sz w:val="18"/>
                <w:szCs w:val="18"/>
                <w:lang w:eastAsia="sl-SI"/>
              </w:rPr>
            </w:pPr>
            <w:r w:rsidRPr="007024A6">
              <w:rPr>
                <w:rFonts w:ascii="Arial" w:hAnsi="Arial" w:cs="Arial"/>
                <w:b/>
                <w:bCs/>
                <w:color w:val="000000"/>
                <w:sz w:val="18"/>
                <w:szCs w:val="18"/>
              </w:rPr>
              <w:t>17.224</w:t>
            </w:r>
          </w:p>
        </w:tc>
        <w:tc>
          <w:tcPr>
            <w:tcW w:w="1139" w:type="pct"/>
            <w:tcBorders>
              <w:top w:val="nil"/>
              <w:left w:val="nil"/>
              <w:bottom w:val="single" w:sz="4" w:space="0" w:color="auto"/>
              <w:right w:val="single" w:sz="4" w:space="0" w:color="auto"/>
            </w:tcBorders>
            <w:shd w:val="clear" w:color="auto" w:fill="F2F2F2" w:themeFill="background1" w:themeFillShade="F2"/>
            <w:noWrap/>
            <w:vAlign w:val="center"/>
            <w:hideMark/>
          </w:tcPr>
          <w:p w14:paraId="45E11E13" w14:textId="77777777" w:rsidR="00E3750C" w:rsidRPr="007024A6" w:rsidRDefault="00E3750C" w:rsidP="00047864">
            <w:pPr>
              <w:spacing w:after="0" w:line="240" w:lineRule="auto"/>
              <w:jc w:val="right"/>
              <w:rPr>
                <w:rFonts w:ascii="Arial" w:eastAsia="Times New Roman" w:hAnsi="Arial" w:cs="Arial"/>
                <w:b/>
                <w:bCs/>
                <w:color w:val="000000"/>
                <w:sz w:val="18"/>
                <w:szCs w:val="18"/>
                <w:lang w:eastAsia="sl-SI"/>
              </w:rPr>
            </w:pPr>
            <w:r w:rsidRPr="007024A6">
              <w:rPr>
                <w:rFonts w:ascii="Arial" w:hAnsi="Arial" w:cs="Arial"/>
                <w:b/>
                <w:bCs/>
                <w:color w:val="000000"/>
                <w:sz w:val="18"/>
                <w:szCs w:val="18"/>
              </w:rPr>
              <w:t>5.417.105.902</w:t>
            </w:r>
          </w:p>
        </w:tc>
      </w:tr>
    </w:tbl>
    <w:p w14:paraId="389112CA" w14:textId="77777777" w:rsidR="00E3750C" w:rsidRPr="007024A6" w:rsidRDefault="00E3750C" w:rsidP="00E3750C">
      <w:pPr>
        <w:spacing w:after="0" w:line="240" w:lineRule="auto"/>
        <w:jc w:val="both"/>
        <w:rPr>
          <w:rFonts w:ascii="Arial" w:hAnsi="Arial" w:cs="Arial"/>
          <w:sz w:val="20"/>
        </w:rPr>
      </w:pPr>
    </w:p>
    <w:p w14:paraId="308AA09B" w14:textId="77777777" w:rsidR="00E3750C" w:rsidRPr="00361B47" w:rsidRDefault="00E3750C" w:rsidP="00E3750C">
      <w:pPr>
        <w:spacing w:before="120" w:after="0" w:line="240" w:lineRule="auto"/>
        <w:jc w:val="both"/>
        <w:rPr>
          <w:rFonts w:ascii="Arial" w:hAnsi="Arial" w:cs="Arial"/>
          <w:sz w:val="20"/>
        </w:rPr>
      </w:pPr>
      <w:r w:rsidRPr="00361B47">
        <w:rPr>
          <w:rFonts w:ascii="Arial" w:hAnsi="Arial" w:cs="Arial"/>
          <w:sz w:val="20"/>
        </w:rPr>
        <w:t>Preglednica 8</w:t>
      </w:r>
      <w:r>
        <w:rPr>
          <w:rFonts w:ascii="Arial" w:hAnsi="Arial" w:cs="Arial"/>
          <w:sz w:val="20"/>
        </w:rPr>
        <w:t>8</w:t>
      </w:r>
      <w:r w:rsidRPr="00361B47">
        <w:rPr>
          <w:rFonts w:ascii="Arial" w:hAnsi="Arial" w:cs="Arial"/>
          <w:sz w:val="20"/>
        </w:rPr>
        <w:t>: Javna naročila glede na predmet naročanja in sedež ponudnika</w:t>
      </w:r>
    </w:p>
    <w:p w14:paraId="51403040" w14:textId="77777777" w:rsidR="00E3750C" w:rsidRPr="00BF7302" w:rsidRDefault="00E3750C" w:rsidP="00E3750C">
      <w:pPr>
        <w:spacing w:after="0" w:line="240" w:lineRule="auto"/>
        <w:jc w:val="both"/>
        <w:rPr>
          <w:rFonts w:ascii="Arial" w:hAnsi="Arial" w:cs="Arial"/>
          <w:sz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2"/>
        <w:gridCol w:w="2202"/>
        <w:gridCol w:w="1160"/>
        <w:gridCol w:w="1831"/>
        <w:gridCol w:w="1242"/>
        <w:gridCol w:w="1917"/>
      </w:tblGrid>
      <w:tr w:rsidR="00E3750C" w:rsidRPr="00361B47" w14:paraId="3E1D0E86" w14:textId="77777777" w:rsidTr="00047864">
        <w:trPr>
          <w:trHeight w:val="456"/>
          <w:tblHeader/>
        </w:trPr>
        <w:tc>
          <w:tcPr>
            <w:tcW w:w="448" w:type="pct"/>
            <w:shd w:val="clear" w:color="000000" w:fill="EDEDED"/>
            <w:vAlign w:val="center"/>
            <w:hideMark/>
          </w:tcPr>
          <w:p w14:paraId="2687EE34" w14:textId="77777777" w:rsidR="00E3750C" w:rsidRPr="00361B47" w:rsidRDefault="00E3750C" w:rsidP="00047864">
            <w:pPr>
              <w:spacing w:after="0" w:line="240" w:lineRule="auto"/>
              <w:jc w:val="center"/>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 xml:space="preserve">Predmet </w:t>
            </w:r>
          </w:p>
        </w:tc>
        <w:tc>
          <w:tcPr>
            <w:tcW w:w="1200" w:type="pct"/>
            <w:shd w:val="clear" w:color="000000" w:fill="EDEDED"/>
            <w:vAlign w:val="center"/>
            <w:hideMark/>
          </w:tcPr>
          <w:p w14:paraId="47CA0A65" w14:textId="77777777" w:rsidR="00E3750C" w:rsidRPr="00361B47" w:rsidRDefault="00E3750C" w:rsidP="00047864">
            <w:pPr>
              <w:spacing w:after="0" w:line="240" w:lineRule="auto"/>
              <w:jc w:val="center"/>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Sedež ponudnika</w:t>
            </w:r>
          </w:p>
        </w:tc>
        <w:tc>
          <w:tcPr>
            <w:tcW w:w="632" w:type="pct"/>
            <w:shd w:val="clear" w:color="000000" w:fill="EDEDED"/>
            <w:vAlign w:val="center"/>
            <w:hideMark/>
          </w:tcPr>
          <w:p w14:paraId="2CFDA5CD" w14:textId="77777777" w:rsidR="00E3750C" w:rsidRPr="00361B47" w:rsidRDefault="00E3750C" w:rsidP="00047864">
            <w:pPr>
              <w:spacing w:after="0" w:line="240" w:lineRule="auto"/>
              <w:jc w:val="center"/>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Št. naročil</w:t>
            </w:r>
          </w:p>
        </w:tc>
        <w:tc>
          <w:tcPr>
            <w:tcW w:w="998" w:type="pct"/>
            <w:shd w:val="clear" w:color="000000" w:fill="EDEDED"/>
            <w:vAlign w:val="center"/>
            <w:hideMark/>
          </w:tcPr>
          <w:p w14:paraId="19CE6C89" w14:textId="77777777" w:rsidR="00E3750C" w:rsidRPr="00361B47" w:rsidRDefault="00E3750C" w:rsidP="00047864">
            <w:pPr>
              <w:spacing w:after="0" w:line="240" w:lineRule="auto"/>
              <w:jc w:val="center"/>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Pogodbena vrednost</w:t>
            </w:r>
          </w:p>
        </w:tc>
        <w:tc>
          <w:tcPr>
            <w:tcW w:w="677" w:type="pct"/>
            <w:shd w:val="clear" w:color="000000" w:fill="EDEDED"/>
            <w:vAlign w:val="center"/>
            <w:hideMark/>
          </w:tcPr>
          <w:p w14:paraId="1F268D0D" w14:textId="77777777" w:rsidR="00E3750C" w:rsidRPr="00361B47" w:rsidRDefault="00E3750C" w:rsidP="00047864">
            <w:pPr>
              <w:spacing w:after="0" w:line="240" w:lineRule="auto"/>
              <w:jc w:val="center"/>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Delež v št. istovrstnih naročil</w:t>
            </w:r>
          </w:p>
        </w:tc>
        <w:tc>
          <w:tcPr>
            <w:tcW w:w="1044" w:type="pct"/>
            <w:shd w:val="clear" w:color="000000" w:fill="EDEDED"/>
            <w:vAlign w:val="center"/>
            <w:hideMark/>
          </w:tcPr>
          <w:p w14:paraId="24FDF7ED" w14:textId="77777777" w:rsidR="00E3750C" w:rsidRPr="00361B47" w:rsidRDefault="00E3750C" w:rsidP="00047864">
            <w:pPr>
              <w:spacing w:after="0" w:line="240" w:lineRule="auto"/>
              <w:jc w:val="center"/>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Delež v vrednosti istovrstnih naročil</w:t>
            </w:r>
          </w:p>
        </w:tc>
      </w:tr>
      <w:tr w:rsidR="00E3750C" w:rsidRPr="00361B47" w14:paraId="08D95CCC" w14:textId="77777777" w:rsidTr="00047864">
        <w:trPr>
          <w:trHeight w:val="288"/>
        </w:trPr>
        <w:tc>
          <w:tcPr>
            <w:tcW w:w="448" w:type="pct"/>
            <w:vMerge w:val="restart"/>
            <w:shd w:val="clear" w:color="auto" w:fill="auto"/>
            <w:noWrap/>
            <w:vAlign w:val="center"/>
            <w:hideMark/>
          </w:tcPr>
          <w:p w14:paraId="7BC2F2D5" w14:textId="77777777" w:rsidR="00E3750C" w:rsidRPr="00361B47" w:rsidRDefault="00E3750C" w:rsidP="00047864">
            <w:pPr>
              <w:spacing w:after="0" w:line="240" w:lineRule="auto"/>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Blago</w:t>
            </w:r>
          </w:p>
        </w:tc>
        <w:tc>
          <w:tcPr>
            <w:tcW w:w="1200" w:type="pct"/>
            <w:shd w:val="clear" w:color="auto" w:fill="auto"/>
            <w:noWrap/>
            <w:vAlign w:val="center"/>
            <w:hideMark/>
          </w:tcPr>
          <w:p w14:paraId="00EAD283" w14:textId="77777777" w:rsidR="00E3750C" w:rsidRPr="00361B47" w:rsidRDefault="00E3750C" w:rsidP="00047864">
            <w:pPr>
              <w:spacing w:after="0" w:line="240" w:lineRule="auto"/>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Avstrija</w:t>
            </w:r>
          </w:p>
        </w:tc>
        <w:tc>
          <w:tcPr>
            <w:tcW w:w="632" w:type="pct"/>
            <w:shd w:val="clear" w:color="auto" w:fill="auto"/>
            <w:noWrap/>
            <w:vAlign w:val="center"/>
            <w:hideMark/>
          </w:tcPr>
          <w:p w14:paraId="4B9AAC41"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52</w:t>
            </w:r>
          </w:p>
        </w:tc>
        <w:tc>
          <w:tcPr>
            <w:tcW w:w="998" w:type="pct"/>
            <w:shd w:val="clear" w:color="auto" w:fill="auto"/>
            <w:noWrap/>
            <w:vAlign w:val="center"/>
            <w:hideMark/>
          </w:tcPr>
          <w:p w14:paraId="07CF0A17"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8.443.186</w:t>
            </w:r>
          </w:p>
        </w:tc>
        <w:tc>
          <w:tcPr>
            <w:tcW w:w="677" w:type="pct"/>
            <w:shd w:val="clear" w:color="auto" w:fill="auto"/>
            <w:noWrap/>
            <w:vAlign w:val="center"/>
            <w:hideMark/>
          </w:tcPr>
          <w:p w14:paraId="2CC2D672"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0,45</w:t>
            </w:r>
            <w:r>
              <w:rPr>
                <w:rFonts w:ascii="Arial" w:eastAsia="Times New Roman" w:hAnsi="Arial" w:cs="Arial"/>
                <w:color w:val="000000"/>
                <w:sz w:val="18"/>
                <w:szCs w:val="18"/>
                <w:lang w:eastAsia="sl-SI"/>
              </w:rPr>
              <w:t xml:space="preserve"> %</w:t>
            </w:r>
          </w:p>
        </w:tc>
        <w:tc>
          <w:tcPr>
            <w:tcW w:w="1044" w:type="pct"/>
            <w:shd w:val="clear" w:color="auto" w:fill="auto"/>
            <w:noWrap/>
            <w:vAlign w:val="center"/>
            <w:hideMark/>
          </w:tcPr>
          <w:p w14:paraId="49A98ED5"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0,47</w:t>
            </w:r>
            <w:r>
              <w:rPr>
                <w:rFonts w:ascii="Arial" w:eastAsia="Times New Roman" w:hAnsi="Arial" w:cs="Arial"/>
                <w:color w:val="000000"/>
                <w:sz w:val="18"/>
                <w:szCs w:val="18"/>
                <w:lang w:eastAsia="sl-SI"/>
              </w:rPr>
              <w:t xml:space="preserve"> %</w:t>
            </w:r>
          </w:p>
        </w:tc>
      </w:tr>
      <w:tr w:rsidR="00E3750C" w:rsidRPr="00361B47" w14:paraId="66807096" w14:textId="77777777" w:rsidTr="00047864">
        <w:trPr>
          <w:trHeight w:val="288"/>
        </w:trPr>
        <w:tc>
          <w:tcPr>
            <w:tcW w:w="448" w:type="pct"/>
            <w:vMerge/>
            <w:vAlign w:val="center"/>
            <w:hideMark/>
          </w:tcPr>
          <w:p w14:paraId="15C9A24D" w14:textId="77777777" w:rsidR="00E3750C" w:rsidRPr="00361B47" w:rsidRDefault="00E3750C" w:rsidP="00047864">
            <w:pPr>
              <w:spacing w:after="0" w:line="240" w:lineRule="auto"/>
              <w:rPr>
                <w:rFonts w:ascii="Arial" w:eastAsia="Times New Roman" w:hAnsi="Arial" w:cs="Arial"/>
                <w:color w:val="000000"/>
                <w:sz w:val="18"/>
                <w:szCs w:val="18"/>
                <w:lang w:eastAsia="sl-SI"/>
              </w:rPr>
            </w:pPr>
          </w:p>
        </w:tc>
        <w:tc>
          <w:tcPr>
            <w:tcW w:w="1200" w:type="pct"/>
            <w:shd w:val="clear" w:color="auto" w:fill="auto"/>
            <w:noWrap/>
            <w:vAlign w:val="center"/>
            <w:hideMark/>
          </w:tcPr>
          <w:p w14:paraId="7364338B" w14:textId="77777777" w:rsidR="00E3750C" w:rsidRPr="00361B47" w:rsidRDefault="00E3750C" w:rsidP="00047864">
            <w:pPr>
              <w:spacing w:after="0" w:line="240" w:lineRule="auto"/>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Belgija</w:t>
            </w:r>
          </w:p>
        </w:tc>
        <w:tc>
          <w:tcPr>
            <w:tcW w:w="632" w:type="pct"/>
            <w:shd w:val="clear" w:color="auto" w:fill="auto"/>
            <w:noWrap/>
            <w:vAlign w:val="center"/>
            <w:hideMark/>
          </w:tcPr>
          <w:p w14:paraId="661A57F3"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3</w:t>
            </w:r>
          </w:p>
        </w:tc>
        <w:tc>
          <w:tcPr>
            <w:tcW w:w="998" w:type="pct"/>
            <w:shd w:val="clear" w:color="auto" w:fill="auto"/>
            <w:noWrap/>
            <w:vAlign w:val="center"/>
            <w:hideMark/>
          </w:tcPr>
          <w:p w14:paraId="1BACFA3E"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7.649.338</w:t>
            </w:r>
          </w:p>
        </w:tc>
        <w:tc>
          <w:tcPr>
            <w:tcW w:w="677" w:type="pct"/>
            <w:shd w:val="clear" w:color="auto" w:fill="auto"/>
            <w:noWrap/>
            <w:vAlign w:val="center"/>
            <w:hideMark/>
          </w:tcPr>
          <w:p w14:paraId="5608E4C1"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c>
          <w:tcPr>
            <w:tcW w:w="1044" w:type="pct"/>
            <w:shd w:val="clear" w:color="auto" w:fill="auto"/>
            <w:noWrap/>
            <w:vAlign w:val="center"/>
            <w:hideMark/>
          </w:tcPr>
          <w:p w14:paraId="2E3C9DDA"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0,42</w:t>
            </w:r>
            <w:r>
              <w:rPr>
                <w:rFonts w:ascii="Arial" w:eastAsia="Times New Roman" w:hAnsi="Arial" w:cs="Arial"/>
                <w:color w:val="000000"/>
                <w:sz w:val="18"/>
                <w:szCs w:val="18"/>
                <w:lang w:eastAsia="sl-SI"/>
              </w:rPr>
              <w:t xml:space="preserve"> %</w:t>
            </w:r>
          </w:p>
        </w:tc>
      </w:tr>
      <w:tr w:rsidR="00E3750C" w:rsidRPr="00361B47" w14:paraId="28C3043D" w14:textId="77777777" w:rsidTr="00047864">
        <w:trPr>
          <w:trHeight w:val="288"/>
        </w:trPr>
        <w:tc>
          <w:tcPr>
            <w:tcW w:w="448" w:type="pct"/>
            <w:vMerge/>
            <w:vAlign w:val="center"/>
            <w:hideMark/>
          </w:tcPr>
          <w:p w14:paraId="686C13C4" w14:textId="77777777" w:rsidR="00E3750C" w:rsidRPr="00361B47" w:rsidRDefault="00E3750C" w:rsidP="00047864">
            <w:pPr>
              <w:spacing w:after="0" w:line="240" w:lineRule="auto"/>
              <w:rPr>
                <w:rFonts w:ascii="Arial" w:eastAsia="Times New Roman" w:hAnsi="Arial" w:cs="Arial"/>
                <w:color w:val="000000"/>
                <w:sz w:val="18"/>
                <w:szCs w:val="18"/>
                <w:lang w:eastAsia="sl-SI"/>
              </w:rPr>
            </w:pPr>
          </w:p>
        </w:tc>
        <w:tc>
          <w:tcPr>
            <w:tcW w:w="1200" w:type="pct"/>
            <w:shd w:val="clear" w:color="auto" w:fill="auto"/>
            <w:noWrap/>
            <w:vAlign w:val="center"/>
            <w:hideMark/>
          </w:tcPr>
          <w:p w14:paraId="153F27EA" w14:textId="77777777" w:rsidR="00E3750C" w:rsidRPr="00361B47" w:rsidRDefault="00E3750C" w:rsidP="00047864">
            <w:pPr>
              <w:spacing w:after="0" w:line="240" w:lineRule="auto"/>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Ciper</w:t>
            </w:r>
          </w:p>
        </w:tc>
        <w:tc>
          <w:tcPr>
            <w:tcW w:w="632" w:type="pct"/>
            <w:shd w:val="clear" w:color="auto" w:fill="auto"/>
            <w:noWrap/>
            <w:vAlign w:val="center"/>
            <w:hideMark/>
          </w:tcPr>
          <w:p w14:paraId="32EAEA17"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2</w:t>
            </w:r>
          </w:p>
        </w:tc>
        <w:tc>
          <w:tcPr>
            <w:tcW w:w="998" w:type="pct"/>
            <w:shd w:val="clear" w:color="auto" w:fill="auto"/>
            <w:noWrap/>
            <w:vAlign w:val="center"/>
            <w:hideMark/>
          </w:tcPr>
          <w:p w14:paraId="79234307"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591.233</w:t>
            </w:r>
          </w:p>
        </w:tc>
        <w:tc>
          <w:tcPr>
            <w:tcW w:w="677" w:type="pct"/>
            <w:shd w:val="clear" w:color="auto" w:fill="auto"/>
            <w:noWrap/>
            <w:vAlign w:val="center"/>
            <w:hideMark/>
          </w:tcPr>
          <w:p w14:paraId="58CF591B"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1044" w:type="pct"/>
            <w:shd w:val="clear" w:color="auto" w:fill="auto"/>
            <w:noWrap/>
            <w:vAlign w:val="center"/>
            <w:hideMark/>
          </w:tcPr>
          <w:p w14:paraId="259A3A80"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r>
      <w:tr w:rsidR="00E3750C" w:rsidRPr="00361B47" w14:paraId="0281EB62" w14:textId="77777777" w:rsidTr="00047864">
        <w:trPr>
          <w:trHeight w:val="288"/>
        </w:trPr>
        <w:tc>
          <w:tcPr>
            <w:tcW w:w="448" w:type="pct"/>
            <w:vMerge/>
            <w:vAlign w:val="center"/>
            <w:hideMark/>
          </w:tcPr>
          <w:p w14:paraId="5C86536D" w14:textId="77777777" w:rsidR="00E3750C" w:rsidRPr="00361B47" w:rsidRDefault="00E3750C" w:rsidP="00047864">
            <w:pPr>
              <w:spacing w:after="0" w:line="240" w:lineRule="auto"/>
              <w:rPr>
                <w:rFonts w:ascii="Arial" w:eastAsia="Times New Roman" w:hAnsi="Arial" w:cs="Arial"/>
                <w:color w:val="000000"/>
                <w:sz w:val="18"/>
                <w:szCs w:val="18"/>
                <w:lang w:eastAsia="sl-SI"/>
              </w:rPr>
            </w:pPr>
          </w:p>
        </w:tc>
        <w:tc>
          <w:tcPr>
            <w:tcW w:w="1200" w:type="pct"/>
            <w:shd w:val="clear" w:color="auto" w:fill="auto"/>
            <w:noWrap/>
            <w:vAlign w:val="center"/>
            <w:hideMark/>
          </w:tcPr>
          <w:p w14:paraId="283B7070" w14:textId="77777777" w:rsidR="00E3750C" w:rsidRPr="00361B47" w:rsidRDefault="00E3750C" w:rsidP="00047864">
            <w:pPr>
              <w:spacing w:after="0" w:line="240" w:lineRule="auto"/>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Češka</w:t>
            </w:r>
          </w:p>
        </w:tc>
        <w:tc>
          <w:tcPr>
            <w:tcW w:w="632" w:type="pct"/>
            <w:shd w:val="clear" w:color="auto" w:fill="auto"/>
            <w:noWrap/>
            <w:vAlign w:val="center"/>
            <w:hideMark/>
          </w:tcPr>
          <w:p w14:paraId="0B554B7D"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4</w:t>
            </w:r>
          </w:p>
        </w:tc>
        <w:tc>
          <w:tcPr>
            <w:tcW w:w="998" w:type="pct"/>
            <w:shd w:val="clear" w:color="auto" w:fill="auto"/>
            <w:noWrap/>
            <w:vAlign w:val="center"/>
            <w:hideMark/>
          </w:tcPr>
          <w:p w14:paraId="623DA2DF"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1.389.153</w:t>
            </w:r>
          </w:p>
        </w:tc>
        <w:tc>
          <w:tcPr>
            <w:tcW w:w="677" w:type="pct"/>
            <w:shd w:val="clear" w:color="auto" w:fill="auto"/>
            <w:noWrap/>
            <w:vAlign w:val="center"/>
            <w:hideMark/>
          </w:tcPr>
          <w:p w14:paraId="719E2225"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c>
          <w:tcPr>
            <w:tcW w:w="1044" w:type="pct"/>
            <w:shd w:val="clear" w:color="auto" w:fill="auto"/>
            <w:noWrap/>
            <w:vAlign w:val="center"/>
            <w:hideMark/>
          </w:tcPr>
          <w:p w14:paraId="5A90DD2D"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0,08</w:t>
            </w:r>
            <w:r>
              <w:rPr>
                <w:rFonts w:ascii="Arial" w:eastAsia="Times New Roman" w:hAnsi="Arial" w:cs="Arial"/>
                <w:color w:val="000000"/>
                <w:sz w:val="18"/>
                <w:szCs w:val="18"/>
                <w:lang w:eastAsia="sl-SI"/>
              </w:rPr>
              <w:t xml:space="preserve"> %</w:t>
            </w:r>
          </w:p>
        </w:tc>
      </w:tr>
      <w:tr w:rsidR="00E3750C" w:rsidRPr="00361B47" w14:paraId="1AD86DF3" w14:textId="77777777" w:rsidTr="00047864">
        <w:trPr>
          <w:trHeight w:val="288"/>
        </w:trPr>
        <w:tc>
          <w:tcPr>
            <w:tcW w:w="448" w:type="pct"/>
            <w:vMerge/>
            <w:vAlign w:val="center"/>
            <w:hideMark/>
          </w:tcPr>
          <w:p w14:paraId="4D2FAE85" w14:textId="77777777" w:rsidR="00E3750C" w:rsidRPr="00361B47" w:rsidRDefault="00E3750C" w:rsidP="00047864">
            <w:pPr>
              <w:spacing w:after="0" w:line="240" w:lineRule="auto"/>
              <w:rPr>
                <w:rFonts w:ascii="Arial" w:eastAsia="Times New Roman" w:hAnsi="Arial" w:cs="Arial"/>
                <w:color w:val="000000"/>
                <w:sz w:val="18"/>
                <w:szCs w:val="18"/>
                <w:lang w:eastAsia="sl-SI"/>
              </w:rPr>
            </w:pPr>
          </w:p>
        </w:tc>
        <w:tc>
          <w:tcPr>
            <w:tcW w:w="1200" w:type="pct"/>
            <w:shd w:val="clear" w:color="auto" w:fill="auto"/>
            <w:noWrap/>
            <w:vAlign w:val="center"/>
            <w:hideMark/>
          </w:tcPr>
          <w:p w14:paraId="39470CB2" w14:textId="77777777" w:rsidR="00E3750C" w:rsidRPr="00361B47" w:rsidRDefault="00E3750C" w:rsidP="00047864">
            <w:pPr>
              <w:spacing w:after="0" w:line="240" w:lineRule="auto"/>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Finska</w:t>
            </w:r>
          </w:p>
        </w:tc>
        <w:tc>
          <w:tcPr>
            <w:tcW w:w="632" w:type="pct"/>
            <w:shd w:val="clear" w:color="auto" w:fill="auto"/>
            <w:noWrap/>
            <w:vAlign w:val="center"/>
            <w:hideMark/>
          </w:tcPr>
          <w:p w14:paraId="75BED41D"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1</w:t>
            </w:r>
          </w:p>
        </w:tc>
        <w:tc>
          <w:tcPr>
            <w:tcW w:w="998" w:type="pct"/>
            <w:shd w:val="clear" w:color="auto" w:fill="auto"/>
            <w:noWrap/>
            <w:vAlign w:val="center"/>
            <w:hideMark/>
          </w:tcPr>
          <w:p w14:paraId="34DC595E"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6.115.425</w:t>
            </w:r>
          </w:p>
        </w:tc>
        <w:tc>
          <w:tcPr>
            <w:tcW w:w="677" w:type="pct"/>
            <w:shd w:val="clear" w:color="auto" w:fill="auto"/>
            <w:noWrap/>
            <w:vAlign w:val="center"/>
            <w:hideMark/>
          </w:tcPr>
          <w:p w14:paraId="045D364E"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1044" w:type="pct"/>
            <w:shd w:val="clear" w:color="auto" w:fill="auto"/>
            <w:noWrap/>
            <w:vAlign w:val="center"/>
            <w:hideMark/>
          </w:tcPr>
          <w:p w14:paraId="06F908EF"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0,34</w:t>
            </w:r>
            <w:r>
              <w:rPr>
                <w:rFonts w:ascii="Arial" w:eastAsia="Times New Roman" w:hAnsi="Arial" w:cs="Arial"/>
                <w:color w:val="000000"/>
                <w:sz w:val="18"/>
                <w:szCs w:val="18"/>
                <w:lang w:eastAsia="sl-SI"/>
              </w:rPr>
              <w:t xml:space="preserve"> %</w:t>
            </w:r>
          </w:p>
        </w:tc>
      </w:tr>
      <w:tr w:rsidR="00E3750C" w:rsidRPr="00361B47" w14:paraId="4FE2D6AD" w14:textId="77777777" w:rsidTr="00047864">
        <w:trPr>
          <w:trHeight w:val="288"/>
        </w:trPr>
        <w:tc>
          <w:tcPr>
            <w:tcW w:w="448" w:type="pct"/>
            <w:vMerge/>
            <w:vAlign w:val="center"/>
            <w:hideMark/>
          </w:tcPr>
          <w:p w14:paraId="7BFED4CC" w14:textId="77777777" w:rsidR="00E3750C" w:rsidRPr="00361B47" w:rsidRDefault="00E3750C" w:rsidP="00047864">
            <w:pPr>
              <w:spacing w:after="0" w:line="240" w:lineRule="auto"/>
              <w:rPr>
                <w:rFonts w:ascii="Arial" w:eastAsia="Times New Roman" w:hAnsi="Arial" w:cs="Arial"/>
                <w:color w:val="000000"/>
                <w:sz w:val="18"/>
                <w:szCs w:val="18"/>
                <w:lang w:eastAsia="sl-SI"/>
              </w:rPr>
            </w:pPr>
          </w:p>
        </w:tc>
        <w:tc>
          <w:tcPr>
            <w:tcW w:w="1200" w:type="pct"/>
            <w:shd w:val="clear" w:color="auto" w:fill="auto"/>
            <w:noWrap/>
            <w:vAlign w:val="center"/>
            <w:hideMark/>
          </w:tcPr>
          <w:p w14:paraId="7A3687EC" w14:textId="77777777" w:rsidR="00E3750C" w:rsidRPr="00361B47" w:rsidRDefault="00E3750C" w:rsidP="00047864">
            <w:pPr>
              <w:spacing w:after="0" w:line="240" w:lineRule="auto"/>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Francija</w:t>
            </w:r>
          </w:p>
        </w:tc>
        <w:tc>
          <w:tcPr>
            <w:tcW w:w="632" w:type="pct"/>
            <w:shd w:val="clear" w:color="auto" w:fill="auto"/>
            <w:noWrap/>
            <w:vAlign w:val="center"/>
            <w:hideMark/>
          </w:tcPr>
          <w:p w14:paraId="190965A4"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17</w:t>
            </w:r>
          </w:p>
        </w:tc>
        <w:tc>
          <w:tcPr>
            <w:tcW w:w="998" w:type="pct"/>
            <w:shd w:val="clear" w:color="auto" w:fill="auto"/>
            <w:noWrap/>
            <w:vAlign w:val="center"/>
            <w:hideMark/>
          </w:tcPr>
          <w:p w14:paraId="188D16A1"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6.333.050</w:t>
            </w:r>
          </w:p>
        </w:tc>
        <w:tc>
          <w:tcPr>
            <w:tcW w:w="677" w:type="pct"/>
            <w:shd w:val="clear" w:color="auto" w:fill="auto"/>
            <w:noWrap/>
            <w:vAlign w:val="center"/>
            <w:hideMark/>
          </w:tcPr>
          <w:p w14:paraId="77A9CDFD"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0,15</w:t>
            </w:r>
            <w:r>
              <w:rPr>
                <w:rFonts w:ascii="Arial" w:eastAsia="Times New Roman" w:hAnsi="Arial" w:cs="Arial"/>
                <w:color w:val="000000"/>
                <w:sz w:val="18"/>
                <w:szCs w:val="18"/>
                <w:lang w:eastAsia="sl-SI"/>
              </w:rPr>
              <w:t xml:space="preserve"> %</w:t>
            </w:r>
          </w:p>
        </w:tc>
        <w:tc>
          <w:tcPr>
            <w:tcW w:w="1044" w:type="pct"/>
            <w:shd w:val="clear" w:color="auto" w:fill="auto"/>
            <w:noWrap/>
            <w:vAlign w:val="center"/>
            <w:hideMark/>
          </w:tcPr>
          <w:p w14:paraId="48506942"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0,35</w:t>
            </w:r>
            <w:r>
              <w:rPr>
                <w:rFonts w:ascii="Arial" w:eastAsia="Times New Roman" w:hAnsi="Arial" w:cs="Arial"/>
                <w:color w:val="000000"/>
                <w:sz w:val="18"/>
                <w:szCs w:val="18"/>
                <w:lang w:eastAsia="sl-SI"/>
              </w:rPr>
              <w:t xml:space="preserve"> %</w:t>
            </w:r>
          </w:p>
        </w:tc>
      </w:tr>
      <w:tr w:rsidR="00E3750C" w:rsidRPr="00361B47" w14:paraId="4D1FDA02" w14:textId="77777777" w:rsidTr="00047864">
        <w:trPr>
          <w:trHeight w:val="288"/>
        </w:trPr>
        <w:tc>
          <w:tcPr>
            <w:tcW w:w="448" w:type="pct"/>
            <w:vMerge/>
            <w:vAlign w:val="center"/>
            <w:hideMark/>
          </w:tcPr>
          <w:p w14:paraId="4C52928C" w14:textId="77777777" w:rsidR="00E3750C" w:rsidRPr="00361B47" w:rsidRDefault="00E3750C" w:rsidP="00047864">
            <w:pPr>
              <w:spacing w:after="0" w:line="240" w:lineRule="auto"/>
              <w:rPr>
                <w:rFonts w:ascii="Arial" w:eastAsia="Times New Roman" w:hAnsi="Arial" w:cs="Arial"/>
                <w:color w:val="000000"/>
                <w:sz w:val="18"/>
                <w:szCs w:val="18"/>
                <w:lang w:eastAsia="sl-SI"/>
              </w:rPr>
            </w:pPr>
          </w:p>
        </w:tc>
        <w:tc>
          <w:tcPr>
            <w:tcW w:w="1200" w:type="pct"/>
            <w:shd w:val="clear" w:color="auto" w:fill="auto"/>
            <w:noWrap/>
            <w:vAlign w:val="center"/>
            <w:hideMark/>
          </w:tcPr>
          <w:p w14:paraId="16CCEDB0" w14:textId="77777777" w:rsidR="00E3750C" w:rsidRPr="00361B47" w:rsidRDefault="00E3750C" w:rsidP="00047864">
            <w:pPr>
              <w:spacing w:after="0" w:line="240" w:lineRule="auto"/>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Hrvaška</w:t>
            </w:r>
          </w:p>
        </w:tc>
        <w:tc>
          <w:tcPr>
            <w:tcW w:w="632" w:type="pct"/>
            <w:shd w:val="clear" w:color="auto" w:fill="auto"/>
            <w:noWrap/>
            <w:vAlign w:val="center"/>
            <w:hideMark/>
          </w:tcPr>
          <w:p w14:paraId="4EC730D5"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63</w:t>
            </w:r>
          </w:p>
        </w:tc>
        <w:tc>
          <w:tcPr>
            <w:tcW w:w="998" w:type="pct"/>
            <w:shd w:val="clear" w:color="auto" w:fill="auto"/>
            <w:noWrap/>
            <w:vAlign w:val="center"/>
            <w:hideMark/>
          </w:tcPr>
          <w:p w14:paraId="4AA9488D"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12.174.639</w:t>
            </w:r>
          </w:p>
        </w:tc>
        <w:tc>
          <w:tcPr>
            <w:tcW w:w="677" w:type="pct"/>
            <w:shd w:val="clear" w:color="auto" w:fill="auto"/>
            <w:noWrap/>
            <w:vAlign w:val="center"/>
            <w:hideMark/>
          </w:tcPr>
          <w:p w14:paraId="5B5115A6"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0,55</w:t>
            </w:r>
            <w:r>
              <w:rPr>
                <w:rFonts w:ascii="Arial" w:eastAsia="Times New Roman" w:hAnsi="Arial" w:cs="Arial"/>
                <w:color w:val="000000"/>
                <w:sz w:val="18"/>
                <w:szCs w:val="18"/>
                <w:lang w:eastAsia="sl-SI"/>
              </w:rPr>
              <w:t xml:space="preserve"> %</w:t>
            </w:r>
          </w:p>
        </w:tc>
        <w:tc>
          <w:tcPr>
            <w:tcW w:w="1044" w:type="pct"/>
            <w:shd w:val="clear" w:color="auto" w:fill="auto"/>
            <w:noWrap/>
            <w:vAlign w:val="center"/>
            <w:hideMark/>
          </w:tcPr>
          <w:p w14:paraId="50B865A2"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0,67</w:t>
            </w:r>
            <w:r>
              <w:rPr>
                <w:rFonts w:ascii="Arial" w:eastAsia="Times New Roman" w:hAnsi="Arial" w:cs="Arial"/>
                <w:color w:val="000000"/>
                <w:sz w:val="18"/>
                <w:szCs w:val="18"/>
                <w:lang w:eastAsia="sl-SI"/>
              </w:rPr>
              <w:t xml:space="preserve"> %</w:t>
            </w:r>
          </w:p>
        </w:tc>
      </w:tr>
      <w:tr w:rsidR="00E3750C" w:rsidRPr="00361B47" w14:paraId="3C90DA56" w14:textId="77777777" w:rsidTr="00047864">
        <w:trPr>
          <w:trHeight w:val="288"/>
        </w:trPr>
        <w:tc>
          <w:tcPr>
            <w:tcW w:w="448" w:type="pct"/>
            <w:vMerge/>
            <w:vAlign w:val="center"/>
            <w:hideMark/>
          </w:tcPr>
          <w:p w14:paraId="59FB569E" w14:textId="77777777" w:rsidR="00E3750C" w:rsidRPr="00361B47" w:rsidRDefault="00E3750C" w:rsidP="00047864">
            <w:pPr>
              <w:spacing w:after="0" w:line="240" w:lineRule="auto"/>
              <w:rPr>
                <w:rFonts w:ascii="Arial" w:eastAsia="Times New Roman" w:hAnsi="Arial" w:cs="Arial"/>
                <w:color w:val="000000"/>
                <w:sz w:val="18"/>
                <w:szCs w:val="18"/>
                <w:lang w:eastAsia="sl-SI"/>
              </w:rPr>
            </w:pPr>
          </w:p>
        </w:tc>
        <w:tc>
          <w:tcPr>
            <w:tcW w:w="1200" w:type="pct"/>
            <w:shd w:val="clear" w:color="auto" w:fill="auto"/>
            <w:noWrap/>
            <w:vAlign w:val="center"/>
            <w:hideMark/>
          </w:tcPr>
          <w:p w14:paraId="1A36C7B6" w14:textId="77777777" w:rsidR="00E3750C" w:rsidRPr="00361B47" w:rsidRDefault="00E3750C" w:rsidP="00047864">
            <w:pPr>
              <w:spacing w:after="0" w:line="240" w:lineRule="auto"/>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Irska</w:t>
            </w:r>
          </w:p>
        </w:tc>
        <w:tc>
          <w:tcPr>
            <w:tcW w:w="632" w:type="pct"/>
            <w:shd w:val="clear" w:color="auto" w:fill="auto"/>
            <w:noWrap/>
            <w:vAlign w:val="center"/>
            <w:hideMark/>
          </w:tcPr>
          <w:p w14:paraId="42986290"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1</w:t>
            </w:r>
          </w:p>
        </w:tc>
        <w:tc>
          <w:tcPr>
            <w:tcW w:w="998" w:type="pct"/>
            <w:shd w:val="clear" w:color="auto" w:fill="auto"/>
            <w:noWrap/>
            <w:vAlign w:val="center"/>
            <w:hideMark/>
          </w:tcPr>
          <w:p w14:paraId="6B0A1928"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348.414</w:t>
            </w:r>
          </w:p>
        </w:tc>
        <w:tc>
          <w:tcPr>
            <w:tcW w:w="677" w:type="pct"/>
            <w:shd w:val="clear" w:color="auto" w:fill="auto"/>
            <w:noWrap/>
            <w:vAlign w:val="center"/>
            <w:hideMark/>
          </w:tcPr>
          <w:p w14:paraId="7D74147B"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1044" w:type="pct"/>
            <w:shd w:val="clear" w:color="auto" w:fill="auto"/>
            <w:noWrap/>
            <w:vAlign w:val="center"/>
            <w:hideMark/>
          </w:tcPr>
          <w:p w14:paraId="6942A3C0"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r>
      <w:tr w:rsidR="00E3750C" w:rsidRPr="00361B47" w14:paraId="279A26F3" w14:textId="77777777" w:rsidTr="00047864">
        <w:trPr>
          <w:trHeight w:val="288"/>
        </w:trPr>
        <w:tc>
          <w:tcPr>
            <w:tcW w:w="448" w:type="pct"/>
            <w:vMerge/>
            <w:vAlign w:val="center"/>
            <w:hideMark/>
          </w:tcPr>
          <w:p w14:paraId="1C14EA10" w14:textId="77777777" w:rsidR="00E3750C" w:rsidRPr="00361B47" w:rsidRDefault="00E3750C" w:rsidP="00047864">
            <w:pPr>
              <w:spacing w:after="0" w:line="240" w:lineRule="auto"/>
              <w:rPr>
                <w:rFonts w:ascii="Arial" w:eastAsia="Times New Roman" w:hAnsi="Arial" w:cs="Arial"/>
                <w:color w:val="000000"/>
                <w:sz w:val="18"/>
                <w:szCs w:val="18"/>
                <w:lang w:eastAsia="sl-SI"/>
              </w:rPr>
            </w:pPr>
          </w:p>
        </w:tc>
        <w:tc>
          <w:tcPr>
            <w:tcW w:w="1200" w:type="pct"/>
            <w:shd w:val="clear" w:color="auto" w:fill="auto"/>
            <w:noWrap/>
            <w:vAlign w:val="center"/>
            <w:hideMark/>
          </w:tcPr>
          <w:p w14:paraId="696432F7" w14:textId="77777777" w:rsidR="00E3750C" w:rsidRPr="00361B47" w:rsidRDefault="00E3750C" w:rsidP="00047864">
            <w:pPr>
              <w:spacing w:after="0" w:line="240" w:lineRule="auto"/>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Italija</w:t>
            </w:r>
          </w:p>
        </w:tc>
        <w:tc>
          <w:tcPr>
            <w:tcW w:w="632" w:type="pct"/>
            <w:shd w:val="clear" w:color="auto" w:fill="auto"/>
            <w:noWrap/>
            <w:vAlign w:val="center"/>
            <w:hideMark/>
          </w:tcPr>
          <w:p w14:paraId="44040EB0"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29</w:t>
            </w:r>
          </w:p>
        </w:tc>
        <w:tc>
          <w:tcPr>
            <w:tcW w:w="998" w:type="pct"/>
            <w:shd w:val="clear" w:color="auto" w:fill="auto"/>
            <w:noWrap/>
            <w:vAlign w:val="center"/>
            <w:hideMark/>
          </w:tcPr>
          <w:p w14:paraId="6AB4516C"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17.673.186</w:t>
            </w:r>
          </w:p>
        </w:tc>
        <w:tc>
          <w:tcPr>
            <w:tcW w:w="677" w:type="pct"/>
            <w:shd w:val="clear" w:color="auto" w:fill="auto"/>
            <w:noWrap/>
            <w:vAlign w:val="center"/>
            <w:hideMark/>
          </w:tcPr>
          <w:p w14:paraId="22A4941F"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0,25</w:t>
            </w:r>
            <w:r>
              <w:rPr>
                <w:rFonts w:ascii="Arial" w:eastAsia="Times New Roman" w:hAnsi="Arial" w:cs="Arial"/>
                <w:color w:val="000000"/>
                <w:sz w:val="18"/>
                <w:szCs w:val="18"/>
                <w:lang w:eastAsia="sl-SI"/>
              </w:rPr>
              <w:t xml:space="preserve"> %</w:t>
            </w:r>
          </w:p>
        </w:tc>
        <w:tc>
          <w:tcPr>
            <w:tcW w:w="1044" w:type="pct"/>
            <w:shd w:val="clear" w:color="auto" w:fill="auto"/>
            <w:noWrap/>
            <w:vAlign w:val="center"/>
            <w:hideMark/>
          </w:tcPr>
          <w:p w14:paraId="1ED334B8"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0,98</w:t>
            </w:r>
            <w:r>
              <w:rPr>
                <w:rFonts w:ascii="Arial" w:eastAsia="Times New Roman" w:hAnsi="Arial" w:cs="Arial"/>
                <w:color w:val="000000"/>
                <w:sz w:val="18"/>
                <w:szCs w:val="18"/>
                <w:lang w:eastAsia="sl-SI"/>
              </w:rPr>
              <w:t xml:space="preserve"> %</w:t>
            </w:r>
          </w:p>
        </w:tc>
      </w:tr>
      <w:tr w:rsidR="00E3750C" w:rsidRPr="00361B47" w14:paraId="45E66E77" w14:textId="77777777" w:rsidTr="00047864">
        <w:trPr>
          <w:trHeight w:val="288"/>
        </w:trPr>
        <w:tc>
          <w:tcPr>
            <w:tcW w:w="448" w:type="pct"/>
            <w:vMerge/>
            <w:vAlign w:val="center"/>
            <w:hideMark/>
          </w:tcPr>
          <w:p w14:paraId="5FD50347" w14:textId="77777777" w:rsidR="00E3750C" w:rsidRPr="00361B47" w:rsidRDefault="00E3750C" w:rsidP="00047864">
            <w:pPr>
              <w:spacing w:after="0" w:line="240" w:lineRule="auto"/>
              <w:rPr>
                <w:rFonts w:ascii="Arial" w:eastAsia="Times New Roman" w:hAnsi="Arial" w:cs="Arial"/>
                <w:color w:val="000000"/>
                <w:sz w:val="18"/>
                <w:szCs w:val="18"/>
                <w:lang w:eastAsia="sl-SI"/>
              </w:rPr>
            </w:pPr>
          </w:p>
        </w:tc>
        <w:tc>
          <w:tcPr>
            <w:tcW w:w="1200" w:type="pct"/>
            <w:shd w:val="clear" w:color="auto" w:fill="auto"/>
            <w:noWrap/>
            <w:vAlign w:val="center"/>
            <w:hideMark/>
          </w:tcPr>
          <w:p w14:paraId="09EBB42E" w14:textId="77777777" w:rsidR="00E3750C" w:rsidRPr="00361B47" w:rsidRDefault="00E3750C" w:rsidP="00047864">
            <w:pPr>
              <w:spacing w:after="0" w:line="240" w:lineRule="auto"/>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Madžarska</w:t>
            </w:r>
          </w:p>
        </w:tc>
        <w:tc>
          <w:tcPr>
            <w:tcW w:w="632" w:type="pct"/>
            <w:shd w:val="clear" w:color="auto" w:fill="auto"/>
            <w:noWrap/>
            <w:vAlign w:val="center"/>
            <w:hideMark/>
          </w:tcPr>
          <w:p w14:paraId="326C0614"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10</w:t>
            </w:r>
          </w:p>
        </w:tc>
        <w:tc>
          <w:tcPr>
            <w:tcW w:w="998" w:type="pct"/>
            <w:shd w:val="clear" w:color="auto" w:fill="auto"/>
            <w:noWrap/>
            <w:vAlign w:val="center"/>
            <w:hideMark/>
          </w:tcPr>
          <w:p w14:paraId="7531FE09"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2.121.955</w:t>
            </w:r>
          </w:p>
        </w:tc>
        <w:tc>
          <w:tcPr>
            <w:tcW w:w="677" w:type="pct"/>
            <w:shd w:val="clear" w:color="auto" w:fill="auto"/>
            <w:noWrap/>
            <w:vAlign w:val="center"/>
            <w:hideMark/>
          </w:tcPr>
          <w:p w14:paraId="19EB9822"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0,09</w:t>
            </w:r>
            <w:r>
              <w:rPr>
                <w:rFonts w:ascii="Arial" w:eastAsia="Times New Roman" w:hAnsi="Arial" w:cs="Arial"/>
                <w:color w:val="000000"/>
                <w:sz w:val="18"/>
                <w:szCs w:val="18"/>
                <w:lang w:eastAsia="sl-SI"/>
              </w:rPr>
              <w:t xml:space="preserve"> %</w:t>
            </w:r>
          </w:p>
        </w:tc>
        <w:tc>
          <w:tcPr>
            <w:tcW w:w="1044" w:type="pct"/>
            <w:shd w:val="clear" w:color="auto" w:fill="auto"/>
            <w:noWrap/>
            <w:vAlign w:val="center"/>
            <w:hideMark/>
          </w:tcPr>
          <w:p w14:paraId="7E380360"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0,12</w:t>
            </w:r>
            <w:r>
              <w:rPr>
                <w:rFonts w:ascii="Arial" w:eastAsia="Times New Roman" w:hAnsi="Arial" w:cs="Arial"/>
                <w:color w:val="000000"/>
                <w:sz w:val="18"/>
                <w:szCs w:val="18"/>
                <w:lang w:eastAsia="sl-SI"/>
              </w:rPr>
              <w:t xml:space="preserve"> %</w:t>
            </w:r>
          </w:p>
        </w:tc>
      </w:tr>
      <w:tr w:rsidR="00E3750C" w:rsidRPr="00361B47" w14:paraId="0106A9F8" w14:textId="77777777" w:rsidTr="00047864">
        <w:trPr>
          <w:trHeight w:val="288"/>
        </w:trPr>
        <w:tc>
          <w:tcPr>
            <w:tcW w:w="448" w:type="pct"/>
            <w:vMerge/>
            <w:vAlign w:val="center"/>
            <w:hideMark/>
          </w:tcPr>
          <w:p w14:paraId="342896FC" w14:textId="77777777" w:rsidR="00E3750C" w:rsidRPr="00361B47" w:rsidRDefault="00E3750C" w:rsidP="00047864">
            <w:pPr>
              <w:spacing w:after="0" w:line="240" w:lineRule="auto"/>
              <w:rPr>
                <w:rFonts w:ascii="Arial" w:eastAsia="Times New Roman" w:hAnsi="Arial" w:cs="Arial"/>
                <w:color w:val="000000"/>
                <w:sz w:val="18"/>
                <w:szCs w:val="18"/>
                <w:lang w:eastAsia="sl-SI"/>
              </w:rPr>
            </w:pPr>
          </w:p>
        </w:tc>
        <w:tc>
          <w:tcPr>
            <w:tcW w:w="1200" w:type="pct"/>
            <w:shd w:val="clear" w:color="auto" w:fill="auto"/>
            <w:noWrap/>
            <w:vAlign w:val="center"/>
            <w:hideMark/>
          </w:tcPr>
          <w:p w14:paraId="14350D87" w14:textId="77777777" w:rsidR="00E3750C" w:rsidRPr="00361B47" w:rsidRDefault="00E3750C" w:rsidP="00047864">
            <w:pPr>
              <w:spacing w:after="0" w:line="240" w:lineRule="auto"/>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Nemčija</w:t>
            </w:r>
          </w:p>
        </w:tc>
        <w:tc>
          <w:tcPr>
            <w:tcW w:w="632" w:type="pct"/>
            <w:shd w:val="clear" w:color="auto" w:fill="auto"/>
            <w:noWrap/>
            <w:vAlign w:val="center"/>
            <w:hideMark/>
          </w:tcPr>
          <w:p w14:paraId="5254AE90"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31</w:t>
            </w:r>
          </w:p>
        </w:tc>
        <w:tc>
          <w:tcPr>
            <w:tcW w:w="998" w:type="pct"/>
            <w:shd w:val="clear" w:color="auto" w:fill="auto"/>
            <w:noWrap/>
            <w:vAlign w:val="center"/>
            <w:hideMark/>
          </w:tcPr>
          <w:p w14:paraId="15B99ED6"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15.323.166</w:t>
            </w:r>
          </w:p>
        </w:tc>
        <w:tc>
          <w:tcPr>
            <w:tcW w:w="677" w:type="pct"/>
            <w:shd w:val="clear" w:color="auto" w:fill="auto"/>
            <w:noWrap/>
            <w:vAlign w:val="center"/>
            <w:hideMark/>
          </w:tcPr>
          <w:p w14:paraId="0D0F2706"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0,27</w:t>
            </w:r>
            <w:r>
              <w:rPr>
                <w:rFonts w:ascii="Arial" w:eastAsia="Times New Roman" w:hAnsi="Arial" w:cs="Arial"/>
                <w:color w:val="000000"/>
                <w:sz w:val="18"/>
                <w:szCs w:val="18"/>
                <w:lang w:eastAsia="sl-SI"/>
              </w:rPr>
              <w:t xml:space="preserve"> %</w:t>
            </w:r>
          </w:p>
        </w:tc>
        <w:tc>
          <w:tcPr>
            <w:tcW w:w="1044" w:type="pct"/>
            <w:shd w:val="clear" w:color="auto" w:fill="auto"/>
            <w:noWrap/>
            <w:vAlign w:val="center"/>
            <w:hideMark/>
          </w:tcPr>
          <w:p w14:paraId="1958DC43"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0,85</w:t>
            </w:r>
            <w:r>
              <w:rPr>
                <w:rFonts w:ascii="Arial" w:eastAsia="Times New Roman" w:hAnsi="Arial" w:cs="Arial"/>
                <w:color w:val="000000"/>
                <w:sz w:val="18"/>
                <w:szCs w:val="18"/>
                <w:lang w:eastAsia="sl-SI"/>
              </w:rPr>
              <w:t xml:space="preserve"> %</w:t>
            </w:r>
          </w:p>
        </w:tc>
      </w:tr>
      <w:tr w:rsidR="00E3750C" w:rsidRPr="00361B47" w14:paraId="78E83A75" w14:textId="77777777" w:rsidTr="00047864">
        <w:trPr>
          <w:trHeight w:val="288"/>
        </w:trPr>
        <w:tc>
          <w:tcPr>
            <w:tcW w:w="448" w:type="pct"/>
            <w:vMerge/>
            <w:vAlign w:val="center"/>
            <w:hideMark/>
          </w:tcPr>
          <w:p w14:paraId="77B34856" w14:textId="77777777" w:rsidR="00E3750C" w:rsidRPr="00361B47" w:rsidRDefault="00E3750C" w:rsidP="00047864">
            <w:pPr>
              <w:spacing w:after="0" w:line="240" w:lineRule="auto"/>
              <w:rPr>
                <w:rFonts w:ascii="Arial" w:eastAsia="Times New Roman" w:hAnsi="Arial" w:cs="Arial"/>
                <w:color w:val="000000"/>
                <w:sz w:val="18"/>
                <w:szCs w:val="18"/>
                <w:lang w:eastAsia="sl-SI"/>
              </w:rPr>
            </w:pPr>
          </w:p>
        </w:tc>
        <w:tc>
          <w:tcPr>
            <w:tcW w:w="1200" w:type="pct"/>
            <w:shd w:val="clear" w:color="auto" w:fill="auto"/>
            <w:noWrap/>
            <w:vAlign w:val="center"/>
            <w:hideMark/>
          </w:tcPr>
          <w:p w14:paraId="33EB02C1" w14:textId="77777777" w:rsidR="00E3750C" w:rsidRPr="00361B47" w:rsidRDefault="00E3750C" w:rsidP="00047864">
            <w:pPr>
              <w:spacing w:after="0" w:line="240" w:lineRule="auto"/>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Nizozemska</w:t>
            </w:r>
          </w:p>
        </w:tc>
        <w:tc>
          <w:tcPr>
            <w:tcW w:w="632" w:type="pct"/>
            <w:shd w:val="clear" w:color="auto" w:fill="auto"/>
            <w:noWrap/>
            <w:vAlign w:val="center"/>
            <w:hideMark/>
          </w:tcPr>
          <w:p w14:paraId="59D580B3"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58</w:t>
            </w:r>
          </w:p>
        </w:tc>
        <w:tc>
          <w:tcPr>
            <w:tcW w:w="998" w:type="pct"/>
            <w:shd w:val="clear" w:color="auto" w:fill="auto"/>
            <w:noWrap/>
            <w:vAlign w:val="center"/>
            <w:hideMark/>
          </w:tcPr>
          <w:p w14:paraId="6EB74404"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15.629.731</w:t>
            </w:r>
          </w:p>
        </w:tc>
        <w:tc>
          <w:tcPr>
            <w:tcW w:w="677" w:type="pct"/>
            <w:shd w:val="clear" w:color="auto" w:fill="auto"/>
            <w:noWrap/>
            <w:vAlign w:val="center"/>
            <w:hideMark/>
          </w:tcPr>
          <w:p w14:paraId="07B94A5D"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0,51</w:t>
            </w:r>
            <w:r>
              <w:rPr>
                <w:rFonts w:ascii="Arial" w:eastAsia="Times New Roman" w:hAnsi="Arial" w:cs="Arial"/>
                <w:color w:val="000000"/>
                <w:sz w:val="18"/>
                <w:szCs w:val="18"/>
                <w:lang w:eastAsia="sl-SI"/>
              </w:rPr>
              <w:t xml:space="preserve"> %</w:t>
            </w:r>
          </w:p>
        </w:tc>
        <w:tc>
          <w:tcPr>
            <w:tcW w:w="1044" w:type="pct"/>
            <w:shd w:val="clear" w:color="auto" w:fill="auto"/>
            <w:noWrap/>
            <w:vAlign w:val="center"/>
            <w:hideMark/>
          </w:tcPr>
          <w:p w14:paraId="6A667D77"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0,86</w:t>
            </w:r>
            <w:r>
              <w:rPr>
                <w:rFonts w:ascii="Arial" w:eastAsia="Times New Roman" w:hAnsi="Arial" w:cs="Arial"/>
                <w:color w:val="000000"/>
                <w:sz w:val="18"/>
                <w:szCs w:val="18"/>
                <w:lang w:eastAsia="sl-SI"/>
              </w:rPr>
              <w:t xml:space="preserve"> %</w:t>
            </w:r>
          </w:p>
        </w:tc>
      </w:tr>
      <w:tr w:rsidR="00E3750C" w:rsidRPr="00361B47" w14:paraId="052A0867" w14:textId="77777777" w:rsidTr="00047864">
        <w:trPr>
          <w:trHeight w:val="288"/>
        </w:trPr>
        <w:tc>
          <w:tcPr>
            <w:tcW w:w="448" w:type="pct"/>
            <w:vMerge/>
            <w:vAlign w:val="center"/>
            <w:hideMark/>
          </w:tcPr>
          <w:p w14:paraId="0017A0DB" w14:textId="77777777" w:rsidR="00E3750C" w:rsidRPr="00361B47" w:rsidRDefault="00E3750C" w:rsidP="00047864">
            <w:pPr>
              <w:spacing w:after="0" w:line="240" w:lineRule="auto"/>
              <w:rPr>
                <w:rFonts w:ascii="Arial" w:eastAsia="Times New Roman" w:hAnsi="Arial" w:cs="Arial"/>
                <w:color w:val="000000"/>
                <w:sz w:val="18"/>
                <w:szCs w:val="18"/>
                <w:lang w:eastAsia="sl-SI"/>
              </w:rPr>
            </w:pPr>
          </w:p>
        </w:tc>
        <w:tc>
          <w:tcPr>
            <w:tcW w:w="1200" w:type="pct"/>
            <w:shd w:val="clear" w:color="auto" w:fill="auto"/>
            <w:noWrap/>
            <w:vAlign w:val="center"/>
            <w:hideMark/>
          </w:tcPr>
          <w:p w14:paraId="258298E6" w14:textId="77777777" w:rsidR="00E3750C" w:rsidRPr="00361B47" w:rsidRDefault="00E3750C" w:rsidP="00047864">
            <w:pPr>
              <w:spacing w:after="0" w:line="240" w:lineRule="auto"/>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Norveška</w:t>
            </w:r>
          </w:p>
        </w:tc>
        <w:tc>
          <w:tcPr>
            <w:tcW w:w="632" w:type="pct"/>
            <w:shd w:val="clear" w:color="auto" w:fill="auto"/>
            <w:noWrap/>
            <w:vAlign w:val="center"/>
            <w:hideMark/>
          </w:tcPr>
          <w:p w14:paraId="1E3070E5"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1</w:t>
            </w:r>
          </w:p>
        </w:tc>
        <w:tc>
          <w:tcPr>
            <w:tcW w:w="998" w:type="pct"/>
            <w:shd w:val="clear" w:color="auto" w:fill="auto"/>
            <w:noWrap/>
            <w:vAlign w:val="center"/>
            <w:hideMark/>
          </w:tcPr>
          <w:p w14:paraId="4367D14A"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71.807</w:t>
            </w:r>
          </w:p>
        </w:tc>
        <w:tc>
          <w:tcPr>
            <w:tcW w:w="677" w:type="pct"/>
            <w:shd w:val="clear" w:color="auto" w:fill="auto"/>
            <w:noWrap/>
            <w:vAlign w:val="center"/>
            <w:hideMark/>
          </w:tcPr>
          <w:p w14:paraId="00D4E465"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1044" w:type="pct"/>
            <w:shd w:val="clear" w:color="auto" w:fill="auto"/>
            <w:noWrap/>
            <w:vAlign w:val="center"/>
            <w:hideMark/>
          </w:tcPr>
          <w:p w14:paraId="024AA85F"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0,00</w:t>
            </w:r>
            <w:r>
              <w:rPr>
                <w:rFonts w:ascii="Arial" w:eastAsia="Times New Roman" w:hAnsi="Arial" w:cs="Arial"/>
                <w:color w:val="000000"/>
                <w:sz w:val="18"/>
                <w:szCs w:val="18"/>
                <w:lang w:eastAsia="sl-SI"/>
              </w:rPr>
              <w:t xml:space="preserve"> %</w:t>
            </w:r>
          </w:p>
        </w:tc>
      </w:tr>
      <w:tr w:rsidR="00E3750C" w:rsidRPr="00361B47" w14:paraId="36592F58" w14:textId="77777777" w:rsidTr="00047864">
        <w:trPr>
          <w:trHeight w:val="288"/>
        </w:trPr>
        <w:tc>
          <w:tcPr>
            <w:tcW w:w="448" w:type="pct"/>
            <w:vMerge/>
            <w:vAlign w:val="center"/>
            <w:hideMark/>
          </w:tcPr>
          <w:p w14:paraId="389105C2" w14:textId="77777777" w:rsidR="00E3750C" w:rsidRPr="00361B47" w:rsidRDefault="00E3750C" w:rsidP="00047864">
            <w:pPr>
              <w:spacing w:after="0" w:line="240" w:lineRule="auto"/>
              <w:rPr>
                <w:rFonts w:ascii="Arial" w:eastAsia="Times New Roman" w:hAnsi="Arial" w:cs="Arial"/>
                <w:color w:val="000000"/>
                <w:sz w:val="18"/>
                <w:szCs w:val="18"/>
                <w:lang w:eastAsia="sl-SI"/>
              </w:rPr>
            </w:pPr>
          </w:p>
        </w:tc>
        <w:tc>
          <w:tcPr>
            <w:tcW w:w="1200" w:type="pct"/>
            <w:shd w:val="clear" w:color="auto" w:fill="auto"/>
            <w:noWrap/>
            <w:vAlign w:val="center"/>
            <w:hideMark/>
          </w:tcPr>
          <w:p w14:paraId="2E96C6BB" w14:textId="77777777" w:rsidR="00E3750C" w:rsidRPr="00361B47" w:rsidRDefault="00E3750C" w:rsidP="00047864">
            <w:pPr>
              <w:spacing w:after="0" w:line="240" w:lineRule="auto"/>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Poljska</w:t>
            </w:r>
          </w:p>
        </w:tc>
        <w:tc>
          <w:tcPr>
            <w:tcW w:w="632" w:type="pct"/>
            <w:shd w:val="clear" w:color="auto" w:fill="auto"/>
            <w:noWrap/>
            <w:vAlign w:val="center"/>
            <w:hideMark/>
          </w:tcPr>
          <w:p w14:paraId="6952B9D7"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4</w:t>
            </w:r>
          </w:p>
        </w:tc>
        <w:tc>
          <w:tcPr>
            <w:tcW w:w="998" w:type="pct"/>
            <w:shd w:val="clear" w:color="auto" w:fill="auto"/>
            <w:noWrap/>
            <w:vAlign w:val="center"/>
            <w:hideMark/>
          </w:tcPr>
          <w:p w14:paraId="25B05901"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692.830</w:t>
            </w:r>
          </w:p>
        </w:tc>
        <w:tc>
          <w:tcPr>
            <w:tcW w:w="677" w:type="pct"/>
            <w:shd w:val="clear" w:color="auto" w:fill="auto"/>
            <w:noWrap/>
            <w:vAlign w:val="center"/>
            <w:hideMark/>
          </w:tcPr>
          <w:p w14:paraId="7953446A"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c>
          <w:tcPr>
            <w:tcW w:w="1044" w:type="pct"/>
            <w:shd w:val="clear" w:color="auto" w:fill="auto"/>
            <w:noWrap/>
            <w:vAlign w:val="center"/>
            <w:hideMark/>
          </w:tcPr>
          <w:p w14:paraId="0A749A89"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0,04</w:t>
            </w:r>
            <w:r>
              <w:rPr>
                <w:rFonts w:ascii="Arial" w:eastAsia="Times New Roman" w:hAnsi="Arial" w:cs="Arial"/>
                <w:color w:val="000000"/>
                <w:sz w:val="18"/>
                <w:szCs w:val="18"/>
                <w:lang w:eastAsia="sl-SI"/>
              </w:rPr>
              <w:t xml:space="preserve"> %</w:t>
            </w:r>
          </w:p>
        </w:tc>
      </w:tr>
      <w:tr w:rsidR="00E3750C" w:rsidRPr="00361B47" w14:paraId="406E3E6C" w14:textId="77777777" w:rsidTr="00047864">
        <w:trPr>
          <w:trHeight w:val="288"/>
        </w:trPr>
        <w:tc>
          <w:tcPr>
            <w:tcW w:w="448" w:type="pct"/>
            <w:vMerge/>
            <w:vAlign w:val="center"/>
            <w:hideMark/>
          </w:tcPr>
          <w:p w14:paraId="167A17F1" w14:textId="77777777" w:rsidR="00E3750C" w:rsidRPr="00361B47" w:rsidRDefault="00E3750C" w:rsidP="00047864">
            <w:pPr>
              <w:spacing w:after="0" w:line="240" w:lineRule="auto"/>
              <w:rPr>
                <w:rFonts w:ascii="Arial" w:eastAsia="Times New Roman" w:hAnsi="Arial" w:cs="Arial"/>
                <w:color w:val="000000"/>
                <w:sz w:val="18"/>
                <w:szCs w:val="18"/>
                <w:lang w:eastAsia="sl-SI"/>
              </w:rPr>
            </w:pPr>
          </w:p>
        </w:tc>
        <w:tc>
          <w:tcPr>
            <w:tcW w:w="1200" w:type="pct"/>
            <w:shd w:val="clear" w:color="auto" w:fill="auto"/>
            <w:noWrap/>
            <w:vAlign w:val="center"/>
            <w:hideMark/>
          </w:tcPr>
          <w:p w14:paraId="64F52B46" w14:textId="77777777" w:rsidR="00E3750C" w:rsidRPr="00361B47" w:rsidRDefault="00E3750C" w:rsidP="00047864">
            <w:pPr>
              <w:spacing w:after="0" w:line="240" w:lineRule="auto"/>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Romunija</w:t>
            </w:r>
          </w:p>
        </w:tc>
        <w:tc>
          <w:tcPr>
            <w:tcW w:w="632" w:type="pct"/>
            <w:shd w:val="clear" w:color="auto" w:fill="auto"/>
            <w:noWrap/>
            <w:vAlign w:val="center"/>
            <w:hideMark/>
          </w:tcPr>
          <w:p w14:paraId="2C8A1B82"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2</w:t>
            </w:r>
          </w:p>
        </w:tc>
        <w:tc>
          <w:tcPr>
            <w:tcW w:w="998" w:type="pct"/>
            <w:shd w:val="clear" w:color="auto" w:fill="auto"/>
            <w:noWrap/>
            <w:vAlign w:val="center"/>
            <w:hideMark/>
          </w:tcPr>
          <w:p w14:paraId="494E2677"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1.188.620</w:t>
            </w:r>
          </w:p>
        </w:tc>
        <w:tc>
          <w:tcPr>
            <w:tcW w:w="677" w:type="pct"/>
            <w:shd w:val="clear" w:color="auto" w:fill="auto"/>
            <w:noWrap/>
            <w:vAlign w:val="center"/>
            <w:hideMark/>
          </w:tcPr>
          <w:p w14:paraId="56266DB5"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1044" w:type="pct"/>
            <w:shd w:val="clear" w:color="auto" w:fill="auto"/>
            <w:noWrap/>
            <w:vAlign w:val="center"/>
            <w:hideMark/>
          </w:tcPr>
          <w:p w14:paraId="1B4BA7BA"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0,07</w:t>
            </w:r>
            <w:r>
              <w:rPr>
                <w:rFonts w:ascii="Arial" w:eastAsia="Times New Roman" w:hAnsi="Arial" w:cs="Arial"/>
                <w:color w:val="000000"/>
                <w:sz w:val="18"/>
                <w:szCs w:val="18"/>
                <w:lang w:eastAsia="sl-SI"/>
              </w:rPr>
              <w:t xml:space="preserve"> %</w:t>
            </w:r>
          </w:p>
        </w:tc>
      </w:tr>
      <w:tr w:rsidR="00E3750C" w:rsidRPr="00361B47" w14:paraId="0302131A" w14:textId="77777777" w:rsidTr="00047864">
        <w:trPr>
          <w:trHeight w:val="288"/>
        </w:trPr>
        <w:tc>
          <w:tcPr>
            <w:tcW w:w="448" w:type="pct"/>
            <w:vMerge/>
            <w:vAlign w:val="center"/>
            <w:hideMark/>
          </w:tcPr>
          <w:p w14:paraId="605D8362" w14:textId="77777777" w:rsidR="00E3750C" w:rsidRPr="00361B47" w:rsidRDefault="00E3750C" w:rsidP="00047864">
            <w:pPr>
              <w:spacing w:after="0" w:line="240" w:lineRule="auto"/>
              <w:rPr>
                <w:rFonts w:ascii="Arial" w:eastAsia="Times New Roman" w:hAnsi="Arial" w:cs="Arial"/>
                <w:color w:val="000000"/>
                <w:sz w:val="18"/>
                <w:szCs w:val="18"/>
                <w:lang w:eastAsia="sl-SI"/>
              </w:rPr>
            </w:pPr>
          </w:p>
        </w:tc>
        <w:tc>
          <w:tcPr>
            <w:tcW w:w="1200" w:type="pct"/>
            <w:shd w:val="clear" w:color="auto" w:fill="auto"/>
            <w:noWrap/>
            <w:vAlign w:val="center"/>
            <w:hideMark/>
          </w:tcPr>
          <w:p w14:paraId="7E8631BF" w14:textId="77777777" w:rsidR="00E3750C" w:rsidRPr="00361B47" w:rsidRDefault="00E3750C" w:rsidP="00047864">
            <w:pPr>
              <w:spacing w:after="0" w:line="240" w:lineRule="auto"/>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Slovaška</w:t>
            </w:r>
          </w:p>
        </w:tc>
        <w:tc>
          <w:tcPr>
            <w:tcW w:w="632" w:type="pct"/>
            <w:shd w:val="clear" w:color="auto" w:fill="auto"/>
            <w:noWrap/>
            <w:vAlign w:val="center"/>
            <w:hideMark/>
          </w:tcPr>
          <w:p w14:paraId="7D2F62D8"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5</w:t>
            </w:r>
          </w:p>
        </w:tc>
        <w:tc>
          <w:tcPr>
            <w:tcW w:w="998" w:type="pct"/>
            <w:shd w:val="clear" w:color="auto" w:fill="auto"/>
            <w:noWrap/>
            <w:vAlign w:val="center"/>
            <w:hideMark/>
          </w:tcPr>
          <w:p w14:paraId="1DEFFF6B"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5.053.220</w:t>
            </w:r>
          </w:p>
        </w:tc>
        <w:tc>
          <w:tcPr>
            <w:tcW w:w="677" w:type="pct"/>
            <w:shd w:val="clear" w:color="auto" w:fill="auto"/>
            <w:noWrap/>
            <w:vAlign w:val="center"/>
            <w:hideMark/>
          </w:tcPr>
          <w:p w14:paraId="1B266498"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0,04</w:t>
            </w:r>
            <w:r>
              <w:rPr>
                <w:rFonts w:ascii="Arial" w:eastAsia="Times New Roman" w:hAnsi="Arial" w:cs="Arial"/>
                <w:color w:val="000000"/>
                <w:sz w:val="18"/>
                <w:szCs w:val="18"/>
                <w:lang w:eastAsia="sl-SI"/>
              </w:rPr>
              <w:t xml:space="preserve"> %</w:t>
            </w:r>
          </w:p>
        </w:tc>
        <w:tc>
          <w:tcPr>
            <w:tcW w:w="1044" w:type="pct"/>
            <w:shd w:val="clear" w:color="auto" w:fill="auto"/>
            <w:noWrap/>
            <w:vAlign w:val="center"/>
            <w:hideMark/>
          </w:tcPr>
          <w:p w14:paraId="2AEDE1F4"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0,28</w:t>
            </w:r>
            <w:r>
              <w:rPr>
                <w:rFonts w:ascii="Arial" w:eastAsia="Times New Roman" w:hAnsi="Arial" w:cs="Arial"/>
                <w:color w:val="000000"/>
                <w:sz w:val="18"/>
                <w:szCs w:val="18"/>
                <w:lang w:eastAsia="sl-SI"/>
              </w:rPr>
              <w:t xml:space="preserve"> %</w:t>
            </w:r>
          </w:p>
        </w:tc>
      </w:tr>
      <w:tr w:rsidR="00E3750C" w:rsidRPr="00361B47" w14:paraId="04629F2D" w14:textId="77777777" w:rsidTr="00047864">
        <w:trPr>
          <w:trHeight w:val="288"/>
        </w:trPr>
        <w:tc>
          <w:tcPr>
            <w:tcW w:w="448" w:type="pct"/>
            <w:vMerge/>
            <w:vAlign w:val="center"/>
            <w:hideMark/>
          </w:tcPr>
          <w:p w14:paraId="01A38E89" w14:textId="77777777" w:rsidR="00E3750C" w:rsidRPr="00361B47" w:rsidRDefault="00E3750C" w:rsidP="00047864">
            <w:pPr>
              <w:spacing w:after="0" w:line="240" w:lineRule="auto"/>
              <w:rPr>
                <w:rFonts w:ascii="Arial" w:eastAsia="Times New Roman" w:hAnsi="Arial" w:cs="Arial"/>
                <w:color w:val="000000"/>
                <w:sz w:val="18"/>
                <w:szCs w:val="18"/>
                <w:lang w:eastAsia="sl-SI"/>
              </w:rPr>
            </w:pPr>
          </w:p>
        </w:tc>
        <w:tc>
          <w:tcPr>
            <w:tcW w:w="1200" w:type="pct"/>
            <w:shd w:val="clear" w:color="auto" w:fill="auto"/>
            <w:noWrap/>
            <w:vAlign w:val="center"/>
            <w:hideMark/>
          </w:tcPr>
          <w:p w14:paraId="7A9FD930" w14:textId="77777777" w:rsidR="00E3750C" w:rsidRPr="00361B47" w:rsidRDefault="00E3750C" w:rsidP="00047864">
            <w:pPr>
              <w:spacing w:after="0" w:line="240" w:lineRule="auto"/>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Slovenija</w:t>
            </w:r>
          </w:p>
        </w:tc>
        <w:tc>
          <w:tcPr>
            <w:tcW w:w="632" w:type="pct"/>
            <w:shd w:val="clear" w:color="auto" w:fill="auto"/>
            <w:noWrap/>
            <w:vAlign w:val="center"/>
            <w:hideMark/>
          </w:tcPr>
          <w:p w14:paraId="615BF8D8"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11.113</w:t>
            </w:r>
          </w:p>
        </w:tc>
        <w:tc>
          <w:tcPr>
            <w:tcW w:w="998" w:type="pct"/>
            <w:shd w:val="clear" w:color="auto" w:fill="auto"/>
            <w:noWrap/>
            <w:vAlign w:val="center"/>
            <w:hideMark/>
          </w:tcPr>
          <w:p w14:paraId="20667194"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1.696.936.630</w:t>
            </w:r>
          </w:p>
        </w:tc>
        <w:tc>
          <w:tcPr>
            <w:tcW w:w="677" w:type="pct"/>
            <w:shd w:val="clear" w:color="auto" w:fill="auto"/>
            <w:noWrap/>
            <w:vAlign w:val="center"/>
            <w:hideMark/>
          </w:tcPr>
          <w:p w14:paraId="151FFEF4"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97,00</w:t>
            </w:r>
            <w:r>
              <w:rPr>
                <w:rFonts w:ascii="Arial" w:eastAsia="Times New Roman" w:hAnsi="Arial" w:cs="Arial"/>
                <w:color w:val="000000"/>
                <w:sz w:val="18"/>
                <w:szCs w:val="18"/>
                <w:lang w:eastAsia="sl-SI"/>
              </w:rPr>
              <w:t xml:space="preserve"> %</w:t>
            </w:r>
          </w:p>
        </w:tc>
        <w:tc>
          <w:tcPr>
            <w:tcW w:w="1044" w:type="pct"/>
            <w:shd w:val="clear" w:color="auto" w:fill="auto"/>
            <w:noWrap/>
            <w:vAlign w:val="center"/>
            <w:hideMark/>
          </w:tcPr>
          <w:p w14:paraId="0784955C"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93,71</w:t>
            </w:r>
            <w:r>
              <w:rPr>
                <w:rFonts w:ascii="Arial" w:eastAsia="Times New Roman" w:hAnsi="Arial" w:cs="Arial"/>
                <w:color w:val="000000"/>
                <w:sz w:val="18"/>
                <w:szCs w:val="18"/>
                <w:lang w:eastAsia="sl-SI"/>
              </w:rPr>
              <w:t xml:space="preserve"> %</w:t>
            </w:r>
          </w:p>
        </w:tc>
      </w:tr>
      <w:tr w:rsidR="00E3750C" w:rsidRPr="00361B47" w14:paraId="69CB96F7" w14:textId="77777777" w:rsidTr="00047864">
        <w:trPr>
          <w:trHeight w:val="288"/>
        </w:trPr>
        <w:tc>
          <w:tcPr>
            <w:tcW w:w="448" w:type="pct"/>
            <w:vMerge/>
            <w:vAlign w:val="center"/>
            <w:hideMark/>
          </w:tcPr>
          <w:p w14:paraId="56813007" w14:textId="77777777" w:rsidR="00E3750C" w:rsidRPr="00361B47" w:rsidRDefault="00E3750C" w:rsidP="00047864">
            <w:pPr>
              <w:spacing w:after="0" w:line="240" w:lineRule="auto"/>
              <w:rPr>
                <w:rFonts w:ascii="Arial" w:eastAsia="Times New Roman" w:hAnsi="Arial" w:cs="Arial"/>
                <w:color w:val="000000"/>
                <w:sz w:val="18"/>
                <w:szCs w:val="18"/>
                <w:lang w:eastAsia="sl-SI"/>
              </w:rPr>
            </w:pPr>
          </w:p>
        </w:tc>
        <w:tc>
          <w:tcPr>
            <w:tcW w:w="1200" w:type="pct"/>
            <w:shd w:val="clear" w:color="auto" w:fill="auto"/>
            <w:noWrap/>
            <w:vAlign w:val="center"/>
            <w:hideMark/>
          </w:tcPr>
          <w:p w14:paraId="351C5C9A" w14:textId="77777777" w:rsidR="00E3750C" w:rsidRPr="00361B47" w:rsidRDefault="00E3750C" w:rsidP="00047864">
            <w:pPr>
              <w:spacing w:after="0" w:line="240" w:lineRule="auto"/>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Srbija</w:t>
            </w:r>
          </w:p>
        </w:tc>
        <w:tc>
          <w:tcPr>
            <w:tcW w:w="632" w:type="pct"/>
            <w:shd w:val="clear" w:color="auto" w:fill="auto"/>
            <w:noWrap/>
            <w:vAlign w:val="center"/>
            <w:hideMark/>
          </w:tcPr>
          <w:p w14:paraId="1C19548B"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12</w:t>
            </w:r>
          </w:p>
        </w:tc>
        <w:tc>
          <w:tcPr>
            <w:tcW w:w="998" w:type="pct"/>
            <w:shd w:val="clear" w:color="auto" w:fill="auto"/>
            <w:noWrap/>
            <w:vAlign w:val="center"/>
            <w:hideMark/>
          </w:tcPr>
          <w:p w14:paraId="12CD0EBF"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1.483.300</w:t>
            </w:r>
          </w:p>
        </w:tc>
        <w:tc>
          <w:tcPr>
            <w:tcW w:w="677" w:type="pct"/>
            <w:shd w:val="clear" w:color="auto" w:fill="auto"/>
            <w:noWrap/>
            <w:vAlign w:val="center"/>
            <w:hideMark/>
          </w:tcPr>
          <w:p w14:paraId="5FBB7C58"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0,10</w:t>
            </w:r>
            <w:r>
              <w:rPr>
                <w:rFonts w:ascii="Arial" w:eastAsia="Times New Roman" w:hAnsi="Arial" w:cs="Arial"/>
                <w:color w:val="000000"/>
                <w:sz w:val="18"/>
                <w:szCs w:val="18"/>
                <w:lang w:eastAsia="sl-SI"/>
              </w:rPr>
              <w:t xml:space="preserve"> %</w:t>
            </w:r>
          </w:p>
        </w:tc>
        <w:tc>
          <w:tcPr>
            <w:tcW w:w="1044" w:type="pct"/>
            <w:shd w:val="clear" w:color="auto" w:fill="auto"/>
            <w:noWrap/>
            <w:vAlign w:val="center"/>
            <w:hideMark/>
          </w:tcPr>
          <w:p w14:paraId="369E1655"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0,08</w:t>
            </w:r>
            <w:r>
              <w:rPr>
                <w:rFonts w:ascii="Arial" w:eastAsia="Times New Roman" w:hAnsi="Arial" w:cs="Arial"/>
                <w:color w:val="000000"/>
                <w:sz w:val="18"/>
                <w:szCs w:val="18"/>
                <w:lang w:eastAsia="sl-SI"/>
              </w:rPr>
              <w:t xml:space="preserve"> %</w:t>
            </w:r>
          </w:p>
        </w:tc>
      </w:tr>
      <w:tr w:rsidR="00E3750C" w:rsidRPr="00361B47" w14:paraId="7A5E6C30" w14:textId="77777777" w:rsidTr="00047864">
        <w:trPr>
          <w:trHeight w:val="288"/>
        </w:trPr>
        <w:tc>
          <w:tcPr>
            <w:tcW w:w="448" w:type="pct"/>
            <w:vMerge/>
            <w:vAlign w:val="center"/>
            <w:hideMark/>
          </w:tcPr>
          <w:p w14:paraId="426B64A3" w14:textId="77777777" w:rsidR="00E3750C" w:rsidRPr="00361B47" w:rsidRDefault="00E3750C" w:rsidP="00047864">
            <w:pPr>
              <w:spacing w:after="0" w:line="240" w:lineRule="auto"/>
              <w:rPr>
                <w:rFonts w:ascii="Arial" w:eastAsia="Times New Roman" w:hAnsi="Arial" w:cs="Arial"/>
                <w:color w:val="000000"/>
                <w:sz w:val="18"/>
                <w:szCs w:val="18"/>
                <w:lang w:eastAsia="sl-SI"/>
              </w:rPr>
            </w:pPr>
          </w:p>
        </w:tc>
        <w:tc>
          <w:tcPr>
            <w:tcW w:w="1200" w:type="pct"/>
            <w:shd w:val="clear" w:color="auto" w:fill="auto"/>
            <w:noWrap/>
            <w:vAlign w:val="center"/>
            <w:hideMark/>
          </w:tcPr>
          <w:p w14:paraId="2D009210" w14:textId="77777777" w:rsidR="00E3750C" w:rsidRPr="00361B47" w:rsidRDefault="00E3750C" w:rsidP="00047864">
            <w:pPr>
              <w:spacing w:after="0" w:line="240" w:lineRule="auto"/>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Španija</w:t>
            </w:r>
          </w:p>
        </w:tc>
        <w:tc>
          <w:tcPr>
            <w:tcW w:w="632" w:type="pct"/>
            <w:shd w:val="clear" w:color="auto" w:fill="auto"/>
            <w:noWrap/>
            <w:vAlign w:val="center"/>
            <w:hideMark/>
          </w:tcPr>
          <w:p w14:paraId="09F04948"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5</w:t>
            </w:r>
          </w:p>
        </w:tc>
        <w:tc>
          <w:tcPr>
            <w:tcW w:w="998" w:type="pct"/>
            <w:shd w:val="clear" w:color="auto" w:fill="auto"/>
            <w:noWrap/>
            <w:vAlign w:val="center"/>
            <w:hideMark/>
          </w:tcPr>
          <w:p w14:paraId="6237FDFC"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559.063</w:t>
            </w:r>
          </w:p>
        </w:tc>
        <w:tc>
          <w:tcPr>
            <w:tcW w:w="677" w:type="pct"/>
            <w:shd w:val="clear" w:color="auto" w:fill="auto"/>
            <w:noWrap/>
            <w:vAlign w:val="center"/>
            <w:hideMark/>
          </w:tcPr>
          <w:p w14:paraId="19179A8B"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0,04</w:t>
            </w:r>
            <w:r>
              <w:rPr>
                <w:rFonts w:ascii="Arial" w:eastAsia="Times New Roman" w:hAnsi="Arial" w:cs="Arial"/>
                <w:color w:val="000000"/>
                <w:sz w:val="18"/>
                <w:szCs w:val="18"/>
                <w:lang w:eastAsia="sl-SI"/>
              </w:rPr>
              <w:t xml:space="preserve"> %</w:t>
            </w:r>
          </w:p>
        </w:tc>
        <w:tc>
          <w:tcPr>
            <w:tcW w:w="1044" w:type="pct"/>
            <w:shd w:val="clear" w:color="auto" w:fill="auto"/>
            <w:noWrap/>
            <w:vAlign w:val="center"/>
            <w:hideMark/>
          </w:tcPr>
          <w:p w14:paraId="399092D9"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r>
      <w:tr w:rsidR="00E3750C" w:rsidRPr="00361B47" w14:paraId="668943B2" w14:textId="77777777" w:rsidTr="00047864">
        <w:trPr>
          <w:trHeight w:val="288"/>
        </w:trPr>
        <w:tc>
          <w:tcPr>
            <w:tcW w:w="448" w:type="pct"/>
            <w:vMerge/>
            <w:vAlign w:val="center"/>
            <w:hideMark/>
          </w:tcPr>
          <w:p w14:paraId="13697A15" w14:textId="77777777" w:rsidR="00E3750C" w:rsidRPr="00361B47" w:rsidRDefault="00E3750C" w:rsidP="00047864">
            <w:pPr>
              <w:spacing w:after="0" w:line="240" w:lineRule="auto"/>
              <w:rPr>
                <w:rFonts w:ascii="Arial" w:eastAsia="Times New Roman" w:hAnsi="Arial" w:cs="Arial"/>
                <w:color w:val="000000"/>
                <w:sz w:val="18"/>
                <w:szCs w:val="18"/>
                <w:lang w:eastAsia="sl-SI"/>
              </w:rPr>
            </w:pPr>
          </w:p>
        </w:tc>
        <w:tc>
          <w:tcPr>
            <w:tcW w:w="1200" w:type="pct"/>
            <w:shd w:val="clear" w:color="auto" w:fill="auto"/>
            <w:noWrap/>
            <w:vAlign w:val="center"/>
            <w:hideMark/>
          </w:tcPr>
          <w:p w14:paraId="507D28DB" w14:textId="77777777" w:rsidR="00E3750C" w:rsidRPr="00361B47" w:rsidRDefault="00E3750C" w:rsidP="00047864">
            <w:pPr>
              <w:spacing w:after="0" w:line="240" w:lineRule="auto"/>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Švedska</w:t>
            </w:r>
          </w:p>
        </w:tc>
        <w:tc>
          <w:tcPr>
            <w:tcW w:w="632" w:type="pct"/>
            <w:shd w:val="clear" w:color="auto" w:fill="auto"/>
            <w:noWrap/>
            <w:vAlign w:val="center"/>
            <w:hideMark/>
          </w:tcPr>
          <w:p w14:paraId="6C95405C"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3</w:t>
            </w:r>
          </w:p>
        </w:tc>
        <w:tc>
          <w:tcPr>
            <w:tcW w:w="998" w:type="pct"/>
            <w:shd w:val="clear" w:color="auto" w:fill="auto"/>
            <w:noWrap/>
            <w:vAlign w:val="center"/>
            <w:hideMark/>
          </w:tcPr>
          <w:p w14:paraId="34D2EB5B"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3.531.758</w:t>
            </w:r>
          </w:p>
        </w:tc>
        <w:tc>
          <w:tcPr>
            <w:tcW w:w="677" w:type="pct"/>
            <w:shd w:val="clear" w:color="auto" w:fill="auto"/>
            <w:noWrap/>
            <w:vAlign w:val="center"/>
            <w:hideMark/>
          </w:tcPr>
          <w:p w14:paraId="1A9BC51F"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c>
          <w:tcPr>
            <w:tcW w:w="1044" w:type="pct"/>
            <w:shd w:val="clear" w:color="auto" w:fill="auto"/>
            <w:noWrap/>
            <w:vAlign w:val="center"/>
            <w:hideMark/>
          </w:tcPr>
          <w:p w14:paraId="64E5FF8A"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0,20</w:t>
            </w:r>
            <w:r>
              <w:rPr>
                <w:rFonts w:ascii="Arial" w:eastAsia="Times New Roman" w:hAnsi="Arial" w:cs="Arial"/>
                <w:color w:val="000000"/>
                <w:sz w:val="18"/>
                <w:szCs w:val="18"/>
                <w:lang w:eastAsia="sl-SI"/>
              </w:rPr>
              <w:t xml:space="preserve"> %</w:t>
            </w:r>
          </w:p>
        </w:tc>
      </w:tr>
      <w:tr w:rsidR="00E3750C" w:rsidRPr="00361B47" w14:paraId="37287375" w14:textId="77777777" w:rsidTr="00047864">
        <w:trPr>
          <w:trHeight w:val="288"/>
        </w:trPr>
        <w:tc>
          <w:tcPr>
            <w:tcW w:w="448" w:type="pct"/>
            <w:vMerge/>
            <w:vAlign w:val="center"/>
            <w:hideMark/>
          </w:tcPr>
          <w:p w14:paraId="3AF6F974" w14:textId="77777777" w:rsidR="00E3750C" w:rsidRPr="00361B47" w:rsidRDefault="00E3750C" w:rsidP="00047864">
            <w:pPr>
              <w:spacing w:after="0" w:line="240" w:lineRule="auto"/>
              <w:rPr>
                <w:rFonts w:ascii="Arial" w:eastAsia="Times New Roman" w:hAnsi="Arial" w:cs="Arial"/>
                <w:color w:val="000000"/>
                <w:sz w:val="18"/>
                <w:szCs w:val="18"/>
                <w:lang w:eastAsia="sl-SI"/>
              </w:rPr>
            </w:pPr>
          </w:p>
        </w:tc>
        <w:tc>
          <w:tcPr>
            <w:tcW w:w="1200" w:type="pct"/>
            <w:shd w:val="clear" w:color="auto" w:fill="auto"/>
            <w:noWrap/>
            <w:vAlign w:val="center"/>
            <w:hideMark/>
          </w:tcPr>
          <w:p w14:paraId="2FCC9F4C" w14:textId="77777777" w:rsidR="00E3750C" w:rsidRPr="00361B47" w:rsidRDefault="00E3750C" w:rsidP="00047864">
            <w:pPr>
              <w:spacing w:after="0" w:line="240" w:lineRule="auto"/>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Švica</w:t>
            </w:r>
          </w:p>
        </w:tc>
        <w:tc>
          <w:tcPr>
            <w:tcW w:w="632" w:type="pct"/>
            <w:shd w:val="clear" w:color="auto" w:fill="auto"/>
            <w:noWrap/>
            <w:vAlign w:val="center"/>
            <w:hideMark/>
          </w:tcPr>
          <w:p w14:paraId="5807FD60"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8</w:t>
            </w:r>
          </w:p>
        </w:tc>
        <w:tc>
          <w:tcPr>
            <w:tcW w:w="998" w:type="pct"/>
            <w:shd w:val="clear" w:color="auto" w:fill="auto"/>
            <w:noWrap/>
            <w:vAlign w:val="center"/>
            <w:hideMark/>
          </w:tcPr>
          <w:p w14:paraId="459032C0"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1.853.029</w:t>
            </w:r>
          </w:p>
        </w:tc>
        <w:tc>
          <w:tcPr>
            <w:tcW w:w="677" w:type="pct"/>
            <w:shd w:val="clear" w:color="auto" w:fill="auto"/>
            <w:noWrap/>
            <w:vAlign w:val="center"/>
            <w:hideMark/>
          </w:tcPr>
          <w:p w14:paraId="47F7D8A6"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0,07</w:t>
            </w:r>
            <w:r>
              <w:rPr>
                <w:rFonts w:ascii="Arial" w:eastAsia="Times New Roman" w:hAnsi="Arial" w:cs="Arial"/>
                <w:color w:val="000000"/>
                <w:sz w:val="18"/>
                <w:szCs w:val="18"/>
                <w:lang w:eastAsia="sl-SI"/>
              </w:rPr>
              <w:t xml:space="preserve"> %</w:t>
            </w:r>
          </w:p>
        </w:tc>
        <w:tc>
          <w:tcPr>
            <w:tcW w:w="1044" w:type="pct"/>
            <w:shd w:val="clear" w:color="auto" w:fill="auto"/>
            <w:noWrap/>
            <w:vAlign w:val="center"/>
            <w:hideMark/>
          </w:tcPr>
          <w:p w14:paraId="0A3F3D89"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0,10</w:t>
            </w:r>
            <w:r>
              <w:rPr>
                <w:rFonts w:ascii="Arial" w:eastAsia="Times New Roman" w:hAnsi="Arial" w:cs="Arial"/>
                <w:color w:val="000000"/>
                <w:sz w:val="18"/>
                <w:szCs w:val="18"/>
                <w:lang w:eastAsia="sl-SI"/>
              </w:rPr>
              <w:t xml:space="preserve"> %</w:t>
            </w:r>
          </w:p>
        </w:tc>
      </w:tr>
      <w:tr w:rsidR="00E3750C" w:rsidRPr="00361B47" w14:paraId="166A472B" w14:textId="77777777" w:rsidTr="00047864">
        <w:trPr>
          <w:trHeight w:val="288"/>
        </w:trPr>
        <w:tc>
          <w:tcPr>
            <w:tcW w:w="448" w:type="pct"/>
            <w:vMerge/>
            <w:vAlign w:val="center"/>
            <w:hideMark/>
          </w:tcPr>
          <w:p w14:paraId="25E21C4F" w14:textId="77777777" w:rsidR="00E3750C" w:rsidRPr="00361B47" w:rsidRDefault="00E3750C" w:rsidP="00047864">
            <w:pPr>
              <w:spacing w:after="0" w:line="240" w:lineRule="auto"/>
              <w:rPr>
                <w:rFonts w:ascii="Arial" w:eastAsia="Times New Roman" w:hAnsi="Arial" w:cs="Arial"/>
                <w:color w:val="000000"/>
                <w:sz w:val="18"/>
                <w:szCs w:val="18"/>
                <w:lang w:eastAsia="sl-SI"/>
              </w:rPr>
            </w:pPr>
          </w:p>
        </w:tc>
        <w:tc>
          <w:tcPr>
            <w:tcW w:w="1200" w:type="pct"/>
            <w:shd w:val="clear" w:color="auto" w:fill="auto"/>
            <w:noWrap/>
            <w:vAlign w:val="center"/>
            <w:hideMark/>
          </w:tcPr>
          <w:p w14:paraId="6E64BD24" w14:textId="77777777" w:rsidR="00E3750C" w:rsidRPr="00361B47" w:rsidRDefault="00E3750C" w:rsidP="00047864">
            <w:pPr>
              <w:spacing w:after="0" w:line="240" w:lineRule="auto"/>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Združene države Amerike</w:t>
            </w:r>
          </w:p>
        </w:tc>
        <w:tc>
          <w:tcPr>
            <w:tcW w:w="632" w:type="pct"/>
            <w:shd w:val="clear" w:color="auto" w:fill="auto"/>
            <w:noWrap/>
            <w:vAlign w:val="center"/>
            <w:hideMark/>
          </w:tcPr>
          <w:p w14:paraId="29B901FE"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24</w:t>
            </w:r>
          </w:p>
        </w:tc>
        <w:tc>
          <w:tcPr>
            <w:tcW w:w="998" w:type="pct"/>
            <w:shd w:val="clear" w:color="auto" w:fill="auto"/>
            <w:noWrap/>
            <w:vAlign w:val="center"/>
            <w:hideMark/>
          </w:tcPr>
          <w:p w14:paraId="398E471D"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4.041.233</w:t>
            </w:r>
          </w:p>
        </w:tc>
        <w:tc>
          <w:tcPr>
            <w:tcW w:w="677" w:type="pct"/>
            <w:shd w:val="clear" w:color="auto" w:fill="auto"/>
            <w:noWrap/>
            <w:vAlign w:val="center"/>
            <w:hideMark/>
          </w:tcPr>
          <w:p w14:paraId="224AF536"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0,21</w:t>
            </w:r>
            <w:r>
              <w:rPr>
                <w:rFonts w:ascii="Arial" w:eastAsia="Times New Roman" w:hAnsi="Arial" w:cs="Arial"/>
                <w:color w:val="000000"/>
                <w:sz w:val="18"/>
                <w:szCs w:val="18"/>
                <w:lang w:eastAsia="sl-SI"/>
              </w:rPr>
              <w:t xml:space="preserve"> %</w:t>
            </w:r>
          </w:p>
        </w:tc>
        <w:tc>
          <w:tcPr>
            <w:tcW w:w="1044" w:type="pct"/>
            <w:shd w:val="clear" w:color="auto" w:fill="auto"/>
            <w:noWrap/>
            <w:vAlign w:val="center"/>
            <w:hideMark/>
          </w:tcPr>
          <w:p w14:paraId="30ADCBA5"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0,22</w:t>
            </w:r>
            <w:r>
              <w:rPr>
                <w:rFonts w:ascii="Arial" w:eastAsia="Times New Roman" w:hAnsi="Arial" w:cs="Arial"/>
                <w:color w:val="000000"/>
                <w:sz w:val="18"/>
                <w:szCs w:val="18"/>
                <w:lang w:eastAsia="sl-SI"/>
              </w:rPr>
              <w:t xml:space="preserve"> %</w:t>
            </w:r>
          </w:p>
        </w:tc>
      </w:tr>
      <w:tr w:rsidR="00E3750C" w:rsidRPr="00361B47" w14:paraId="79B6FCBA" w14:textId="77777777" w:rsidTr="00047864">
        <w:trPr>
          <w:trHeight w:val="288"/>
        </w:trPr>
        <w:tc>
          <w:tcPr>
            <w:tcW w:w="448" w:type="pct"/>
            <w:vMerge/>
            <w:vAlign w:val="center"/>
            <w:hideMark/>
          </w:tcPr>
          <w:p w14:paraId="06390861" w14:textId="77777777" w:rsidR="00E3750C" w:rsidRPr="00361B47" w:rsidRDefault="00E3750C" w:rsidP="00047864">
            <w:pPr>
              <w:spacing w:after="0" w:line="240" w:lineRule="auto"/>
              <w:rPr>
                <w:rFonts w:ascii="Arial" w:eastAsia="Times New Roman" w:hAnsi="Arial" w:cs="Arial"/>
                <w:color w:val="000000"/>
                <w:sz w:val="18"/>
                <w:szCs w:val="18"/>
                <w:lang w:eastAsia="sl-SI"/>
              </w:rPr>
            </w:pPr>
          </w:p>
        </w:tc>
        <w:tc>
          <w:tcPr>
            <w:tcW w:w="1200" w:type="pct"/>
            <w:shd w:val="clear" w:color="auto" w:fill="auto"/>
            <w:noWrap/>
            <w:vAlign w:val="center"/>
            <w:hideMark/>
          </w:tcPr>
          <w:p w14:paraId="550316DA" w14:textId="77777777" w:rsidR="00E3750C" w:rsidRPr="00361B47" w:rsidRDefault="00E3750C" w:rsidP="00047864">
            <w:pPr>
              <w:spacing w:after="0" w:line="240" w:lineRule="auto"/>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Združeno kraljestvo</w:t>
            </w:r>
          </w:p>
        </w:tc>
        <w:tc>
          <w:tcPr>
            <w:tcW w:w="632" w:type="pct"/>
            <w:shd w:val="clear" w:color="auto" w:fill="auto"/>
            <w:noWrap/>
            <w:vAlign w:val="center"/>
            <w:hideMark/>
          </w:tcPr>
          <w:p w14:paraId="72908A13"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9</w:t>
            </w:r>
          </w:p>
        </w:tc>
        <w:tc>
          <w:tcPr>
            <w:tcW w:w="998" w:type="pct"/>
            <w:shd w:val="clear" w:color="auto" w:fill="auto"/>
            <w:noWrap/>
            <w:vAlign w:val="center"/>
            <w:hideMark/>
          </w:tcPr>
          <w:p w14:paraId="2E0DF5C9"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1.569.052</w:t>
            </w:r>
          </w:p>
        </w:tc>
        <w:tc>
          <w:tcPr>
            <w:tcW w:w="677" w:type="pct"/>
            <w:shd w:val="clear" w:color="auto" w:fill="auto"/>
            <w:noWrap/>
            <w:vAlign w:val="center"/>
            <w:hideMark/>
          </w:tcPr>
          <w:p w14:paraId="689AF5A9"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0,08</w:t>
            </w:r>
            <w:r>
              <w:rPr>
                <w:rFonts w:ascii="Arial" w:eastAsia="Times New Roman" w:hAnsi="Arial" w:cs="Arial"/>
                <w:color w:val="000000"/>
                <w:sz w:val="18"/>
                <w:szCs w:val="18"/>
                <w:lang w:eastAsia="sl-SI"/>
              </w:rPr>
              <w:t xml:space="preserve"> %</w:t>
            </w:r>
          </w:p>
        </w:tc>
        <w:tc>
          <w:tcPr>
            <w:tcW w:w="1044" w:type="pct"/>
            <w:shd w:val="clear" w:color="auto" w:fill="auto"/>
            <w:noWrap/>
            <w:vAlign w:val="center"/>
            <w:hideMark/>
          </w:tcPr>
          <w:p w14:paraId="1BCF45D7"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0,09</w:t>
            </w:r>
            <w:r>
              <w:rPr>
                <w:rFonts w:ascii="Arial" w:eastAsia="Times New Roman" w:hAnsi="Arial" w:cs="Arial"/>
                <w:color w:val="000000"/>
                <w:sz w:val="18"/>
                <w:szCs w:val="18"/>
                <w:lang w:eastAsia="sl-SI"/>
              </w:rPr>
              <w:t xml:space="preserve"> %</w:t>
            </w:r>
          </w:p>
        </w:tc>
      </w:tr>
      <w:tr w:rsidR="00E3750C" w:rsidRPr="00361B47" w14:paraId="12251D63" w14:textId="77777777" w:rsidTr="00047864">
        <w:trPr>
          <w:trHeight w:val="288"/>
        </w:trPr>
        <w:tc>
          <w:tcPr>
            <w:tcW w:w="448" w:type="pct"/>
            <w:vMerge/>
            <w:vAlign w:val="center"/>
            <w:hideMark/>
          </w:tcPr>
          <w:p w14:paraId="7C0A718A" w14:textId="77777777" w:rsidR="00E3750C" w:rsidRPr="00361B47" w:rsidRDefault="00E3750C" w:rsidP="00047864">
            <w:pPr>
              <w:spacing w:after="0" w:line="240" w:lineRule="auto"/>
              <w:rPr>
                <w:rFonts w:ascii="Arial" w:eastAsia="Times New Roman" w:hAnsi="Arial" w:cs="Arial"/>
                <w:color w:val="000000"/>
                <w:sz w:val="18"/>
                <w:szCs w:val="18"/>
                <w:lang w:eastAsia="sl-SI"/>
              </w:rPr>
            </w:pPr>
          </w:p>
        </w:tc>
        <w:tc>
          <w:tcPr>
            <w:tcW w:w="1200" w:type="pct"/>
            <w:shd w:val="clear" w:color="auto" w:fill="auto"/>
            <w:noWrap/>
            <w:vAlign w:val="center"/>
            <w:hideMark/>
          </w:tcPr>
          <w:p w14:paraId="37B2B2A5" w14:textId="77777777" w:rsidR="00E3750C" w:rsidRPr="00361B47" w:rsidRDefault="00E3750C" w:rsidP="00047864">
            <w:pPr>
              <w:spacing w:after="0" w:line="240" w:lineRule="auto"/>
              <w:rPr>
                <w:rFonts w:ascii="Arial" w:eastAsia="Times New Roman" w:hAnsi="Arial" w:cs="Arial"/>
                <w:b/>
                <w:bCs/>
                <w:color w:val="000000"/>
                <w:sz w:val="18"/>
                <w:szCs w:val="18"/>
                <w:lang w:eastAsia="sl-SI"/>
              </w:rPr>
            </w:pPr>
            <w:r w:rsidRPr="00361B47">
              <w:rPr>
                <w:rFonts w:ascii="Arial" w:eastAsia="Times New Roman" w:hAnsi="Arial" w:cs="Arial"/>
                <w:b/>
                <w:bCs/>
                <w:color w:val="000000"/>
                <w:sz w:val="18"/>
                <w:szCs w:val="18"/>
                <w:lang w:eastAsia="sl-SI"/>
              </w:rPr>
              <w:t>Skupaj</w:t>
            </w:r>
          </w:p>
        </w:tc>
        <w:tc>
          <w:tcPr>
            <w:tcW w:w="632" w:type="pct"/>
            <w:shd w:val="clear" w:color="auto" w:fill="auto"/>
            <w:noWrap/>
            <w:vAlign w:val="center"/>
            <w:hideMark/>
          </w:tcPr>
          <w:p w14:paraId="5D7C32FD" w14:textId="77777777" w:rsidR="00E3750C" w:rsidRPr="00361B47" w:rsidRDefault="00E3750C" w:rsidP="00047864">
            <w:pPr>
              <w:spacing w:after="0" w:line="240" w:lineRule="auto"/>
              <w:jc w:val="right"/>
              <w:rPr>
                <w:rFonts w:ascii="Arial" w:eastAsia="Times New Roman" w:hAnsi="Arial" w:cs="Arial"/>
                <w:b/>
                <w:bCs/>
                <w:color w:val="000000"/>
                <w:sz w:val="18"/>
                <w:szCs w:val="18"/>
                <w:lang w:eastAsia="sl-SI"/>
              </w:rPr>
            </w:pPr>
            <w:r w:rsidRPr="00361B47">
              <w:rPr>
                <w:rFonts w:ascii="Arial" w:eastAsia="Times New Roman" w:hAnsi="Arial" w:cs="Arial"/>
                <w:b/>
                <w:bCs/>
                <w:color w:val="000000"/>
                <w:sz w:val="18"/>
                <w:szCs w:val="18"/>
                <w:lang w:eastAsia="sl-SI"/>
              </w:rPr>
              <w:t>11.457</w:t>
            </w:r>
          </w:p>
        </w:tc>
        <w:tc>
          <w:tcPr>
            <w:tcW w:w="998" w:type="pct"/>
            <w:shd w:val="clear" w:color="auto" w:fill="auto"/>
            <w:noWrap/>
            <w:vAlign w:val="center"/>
            <w:hideMark/>
          </w:tcPr>
          <w:p w14:paraId="00BD05F5" w14:textId="77777777" w:rsidR="00E3750C" w:rsidRPr="00361B47" w:rsidRDefault="00E3750C" w:rsidP="00047864">
            <w:pPr>
              <w:spacing w:after="0" w:line="240" w:lineRule="auto"/>
              <w:jc w:val="right"/>
              <w:rPr>
                <w:rFonts w:ascii="Arial" w:eastAsia="Times New Roman" w:hAnsi="Arial" w:cs="Arial"/>
                <w:b/>
                <w:bCs/>
                <w:color w:val="000000"/>
                <w:sz w:val="18"/>
                <w:szCs w:val="18"/>
                <w:lang w:eastAsia="sl-SI"/>
              </w:rPr>
            </w:pPr>
            <w:r w:rsidRPr="00361B47">
              <w:rPr>
                <w:rFonts w:ascii="Arial" w:eastAsia="Times New Roman" w:hAnsi="Arial" w:cs="Arial"/>
                <w:b/>
                <w:bCs/>
                <w:color w:val="000000"/>
                <w:sz w:val="18"/>
                <w:szCs w:val="18"/>
                <w:lang w:eastAsia="sl-SI"/>
              </w:rPr>
              <w:t>1.810.773.018</w:t>
            </w:r>
          </w:p>
        </w:tc>
        <w:tc>
          <w:tcPr>
            <w:tcW w:w="677" w:type="pct"/>
            <w:shd w:val="clear" w:color="auto" w:fill="auto"/>
            <w:noWrap/>
            <w:vAlign w:val="center"/>
            <w:hideMark/>
          </w:tcPr>
          <w:p w14:paraId="6E9A26A6" w14:textId="77777777" w:rsidR="00E3750C" w:rsidRPr="00361B47" w:rsidRDefault="00E3750C" w:rsidP="00047864">
            <w:pPr>
              <w:spacing w:after="0" w:line="240" w:lineRule="auto"/>
              <w:jc w:val="right"/>
              <w:rPr>
                <w:rFonts w:ascii="Arial" w:eastAsia="Times New Roman" w:hAnsi="Arial" w:cs="Arial"/>
                <w:b/>
                <w:bCs/>
                <w:color w:val="000000"/>
                <w:sz w:val="18"/>
                <w:szCs w:val="18"/>
                <w:lang w:eastAsia="sl-SI"/>
              </w:rPr>
            </w:pPr>
            <w:r w:rsidRPr="00361B47">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1044" w:type="pct"/>
            <w:shd w:val="clear" w:color="auto" w:fill="auto"/>
            <w:noWrap/>
            <w:vAlign w:val="center"/>
            <w:hideMark/>
          </w:tcPr>
          <w:p w14:paraId="2AC99350" w14:textId="77777777" w:rsidR="00E3750C" w:rsidRPr="00361B47" w:rsidRDefault="00E3750C" w:rsidP="00047864">
            <w:pPr>
              <w:spacing w:after="0" w:line="240" w:lineRule="auto"/>
              <w:jc w:val="right"/>
              <w:rPr>
                <w:rFonts w:ascii="Arial" w:eastAsia="Times New Roman" w:hAnsi="Arial" w:cs="Arial"/>
                <w:b/>
                <w:bCs/>
                <w:color w:val="000000"/>
                <w:sz w:val="18"/>
                <w:szCs w:val="18"/>
                <w:lang w:eastAsia="sl-SI"/>
              </w:rPr>
            </w:pPr>
            <w:r w:rsidRPr="00361B47">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E3750C" w:rsidRPr="00361B47" w14:paraId="070561CF" w14:textId="77777777" w:rsidTr="00047864">
        <w:trPr>
          <w:trHeight w:val="288"/>
        </w:trPr>
        <w:tc>
          <w:tcPr>
            <w:tcW w:w="448" w:type="pct"/>
            <w:vMerge w:val="restart"/>
            <w:shd w:val="clear" w:color="auto" w:fill="auto"/>
            <w:noWrap/>
            <w:vAlign w:val="center"/>
            <w:hideMark/>
          </w:tcPr>
          <w:p w14:paraId="34E510B8" w14:textId="77777777" w:rsidR="00E3750C" w:rsidRPr="00361B47" w:rsidRDefault="00E3750C" w:rsidP="00047864">
            <w:pPr>
              <w:spacing w:after="0" w:line="240" w:lineRule="auto"/>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Storitve</w:t>
            </w:r>
          </w:p>
        </w:tc>
        <w:tc>
          <w:tcPr>
            <w:tcW w:w="1200" w:type="pct"/>
            <w:shd w:val="clear" w:color="auto" w:fill="auto"/>
            <w:noWrap/>
            <w:vAlign w:val="center"/>
            <w:hideMark/>
          </w:tcPr>
          <w:p w14:paraId="52BF2DB2" w14:textId="77777777" w:rsidR="00E3750C" w:rsidRPr="00361B47" w:rsidRDefault="00E3750C" w:rsidP="00047864">
            <w:pPr>
              <w:spacing w:after="0" w:line="240" w:lineRule="auto"/>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Avstrija</w:t>
            </w:r>
          </w:p>
        </w:tc>
        <w:tc>
          <w:tcPr>
            <w:tcW w:w="632" w:type="pct"/>
            <w:shd w:val="clear" w:color="auto" w:fill="auto"/>
            <w:noWrap/>
            <w:vAlign w:val="center"/>
            <w:hideMark/>
          </w:tcPr>
          <w:p w14:paraId="0B48F11D"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8</w:t>
            </w:r>
          </w:p>
        </w:tc>
        <w:tc>
          <w:tcPr>
            <w:tcW w:w="998" w:type="pct"/>
            <w:shd w:val="clear" w:color="auto" w:fill="auto"/>
            <w:noWrap/>
            <w:vAlign w:val="center"/>
            <w:hideMark/>
          </w:tcPr>
          <w:p w14:paraId="0856AB26"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7.547.793</w:t>
            </w:r>
          </w:p>
        </w:tc>
        <w:tc>
          <w:tcPr>
            <w:tcW w:w="677" w:type="pct"/>
            <w:shd w:val="clear" w:color="auto" w:fill="auto"/>
            <w:noWrap/>
            <w:vAlign w:val="center"/>
            <w:hideMark/>
          </w:tcPr>
          <w:p w14:paraId="7FF07A76"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0,20</w:t>
            </w:r>
            <w:r>
              <w:rPr>
                <w:rFonts w:ascii="Arial" w:eastAsia="Times New Roman" w:hAnsi="Arial" w:cs="Arial"/>
                <w:color w:val="000000"/>
                <w:sz w:val="18"/>
                <w:szCs w:val="18"/>
                <w:lang w:eastAsia="sl-SI"/>
              </w:rPr>
              <w:t xml:space="preserve"> %</w:t>
            </w:r>
          </w:p>
        </w:tc>
        <w:tc>
          <w:tcPr>
            <w:tcW w:w="1044" w:type="pct"/>
            <w:shd w:val="clear" w:color="auto" w:fill="auto"/>
            <w:noWrap/>
            <w:vAlign w:val="center"/>
            <w:hideMark/>
          </w:tcPr>
          <w:p w14:paraId="479700C5"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0,43</w:t>
            </w:r>
            <w:r>
              <w:rPr>
                <w:rFonts w:ascii="Arial" w:eastAsia="Times New Roman" w:hAnsi="Arial" w:cs="Arial"/>
                <w:color w:val="000000"/>
                <w:sz w:val="18"/>
                <w:szCs w:val="18"/>
                <w:lang w:eastAsia="sl-SI"/>
              </w:rPr>
              <w:t xml:space="preserve"> %</w:t>
            </w:r>
          </w:p>
        </w:tc>
      </w:tr>
      <w:tr w:rsidR="00E3750C" w:rsidRPr="00361B47" w14:paraId="5A688DD8" w14:textId="77777777" w:rsidTr="00047864">
        <w:trPr>
          <w:trHeight w:val="288"/>
        </w:trPr>
        <w:tc>
          <w:tcPr>
            <w:tcW w:w="448" w:type="pct"/>
            <w:vMerge/>
            <w:vAlign w:val="center"/>
            <w:hideMark/>
          </w:tcPr>
          <w:p w14:paraId="7485E650" w14:textId="77777777" w:rsidR="00E3750C" w:rsidRPr="00361B47" w:rsidRDefault="00E3750C" w:rsidP="00047864">
            <w:pPr>
              <w:spacing w:after="0" w:line="240" w:lineRule="auto"/>
              <w:rPr>
                <w:rFonts w:ascii="Arial" w:eastAsia="Times New Roman" w:hAnsi="Arial" w:cs="Arial"/>
                <w:color w:val="000000"/>
                <w:sz w:val="18"/>
                <w:szCs w:val="18"/>
                <w:lang w:eastAsia="sl-SI"/>
              </w:rPr>
            </w:pPr>
          </w:p>
        </w:tc>
        <w:tc>
          <w:tcPr>
            <w:tcW w:w="1200" w:type="pct"/>
            <w:shd w:val="clear" w:color="auto" w:fill="auto"/>
            <w:noWrap/>
            <w:vAlign w:val="center"/>
            <w:hideMark/>
          </w:tcPr>
          <w:p w14:paraId="4FE17A08" w14:textId="77777777" w:rsidR="00E3750C" w:rsidRPr="00361B47" w:rsidRDefault="00E3750C" w:rsidP="00047864">
            <w:pPr>
              <w:spacing w:after="0" w:line="240" w:lineRule="auto"/>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Belgija</w:t>
            </w:r>
          </w:p>
        </w:tc>
        <w:tc>
          <w:tcPr>
            <w:tcW w:w="632" w:type="pct"/>
            <w:shd w:val="clear" w:color="auto" w:fill="auto"/>
            <w:noWrap/>
            <w:vAlign w:val="center"/>
            <w:hideMark/>
          </w:tcPr>
          <w:p w14:paraId="18135F33"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7</w:t>
            </w:r>
          </w:p>
        </w:tc>
        <w:tc>
          <w:tcPr>
            <w:tcW w:w="998" w:type="pct"/>
            <w:shd w:val="clear" w:color="auto" w:fill="auto"/>
            <w:noWrap/>
            <w:vAlign w:val="center"/>
            <w:hideMark/>
          </w:tcPr>
          <w:p w14:paraId="3A37D649"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2.688.840</w:t>
            </w:r>
          </w:p>
        </w:tc>
        <w:tc>
          <w:tcPr>
            <w:tcW w:w="677" w:type="pct"/>
            <w:shd w:val="clear" w:color="auto" w:fill="auto"/>
            <w:noWrap/>
            <w:vAlign w:val="center"/>
            <w:hideMark/>
          </w:tcPr>
          <w:p w14:paraId="0B246F30"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0,17</w:t>
            </w:r>
            <w:r>
              <w:rPr>
                <w:rFonts w:ascii="Arial" w:eastAsia="Times New Roman" w:hAnsi="Arial" w:cs="Arial"/>
                <w:color w:val="000000"/>
                <w:sz w:val="18"/>
                <w:szCs w:val="18"/>
                <w:lang w:eastAsia="sl-SI"/>
              </w:rPr>
              <w:t xml:space="preserve"> %</w:t>
            </w:r>
          </w:p>
        </w:tc>
        <w:tc>
          <w:tcPr>
            <w:tcW w:w="1044" w:type="pct"/>
            <w:shd w:val="clear" w:color="auto" w:fill="auto"/>
            <w:noWrap/>
            <w:vAlign w:val="center"/>
            <w:hideMark/>
          </w:tcPr>
          <w:p w14:paraId="0FCA2E8D"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0,15</w:t>
            </w:r>
            <w:r>
              <w:rPr>
                <w:rFonts w:ascii="Arial" w:eastAsia="Times New Roman" w:hAnsi="Arial" w:cs="Arial"/>
                <w:color w:val="000000"/>
                <w:sz w:val="18"/>
                <w:szCs w:val="18"/>
                <w:lang w:eastAsia="sl-SI"/>
              </w:rPr>
              <w:t xml:space="preserve"> %</w:t>
            </w:r>
          </w:p>
        </w:tc>
      </w:tr>
      <w:tr w:rsidR="00E3750C" w:rsidRPr="00361B47" w14:paraId="6304013A" w14:textId="77777777" w:rsidTr="00047864">
        <w:trPr>
          <w:trHeight w:val="288"/>
        </w:trPr>
        <w:tc>
          <w:tcPr>
            <w:tcW w:w="448" w:type="pct"/>
            <w:vMerge/>
            <w:vAlign w:val="center"/>
            <w:hideMark/>
          </w:tcPr>
          <w:p w14:paraId="78168144" w14:textId="77777777" w:rsidR="00E3750C" w:rsidRPr="00361B47" w:rsidRDefault="00E3750C" w:rsidP="00047864">
            <w:pPr>
              <w:spacing w:after="0" w:line="240" w:lineRule="auto"/>
              <w:rPr>
                <w:rFonts w:ascii="Arial" w:eastAsia="Times New Roman" w:hAnsi="Arial" w:cs="Arial"/>
                <w:color w:val="000000"/>
                <w:sz w:val="18"/>
                <w:szCs w:val="18"/>
                <w:lang w:eastAsia="sl-SI"/>
              </w:rPr>
            </w:pPr>
          </w:p>
        </w:tc>
        <w:tc>
          <w:tcPr>
            <w:tcW w:w="1200" w:type="pct"/>
            <w:shd w:val="clear" w:color="auto" w:fill="auto"/>
            <w:noWrap/>
            <w:vAlign w:val="center"/>
            <w:hideMark/>
          </w:tcPr>
          <w:p w14:paraId="1269F9D4" w14:textId="77777777" w:rsidR="00E3750C" w:rsidRPr="00361B47" w:rsidRDefault="00E3750C" w:rsidP="00047864">
            <w:pPr>
              <w:spacing w:after="0" w:line="240" w:lineRule="auto"/>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Češka</w:t>
            </w:r>
          </w:p>
        </w:tc>
        <w:tc>
          <w:tcPr>
            <w:tcW w:w="632" w:type="pct"/>
            <w:shd w:val="clear" w:color="auto" w:fill="auto"/>
            <w:noWrap/>
            <w:vAlign w:val="center"/>
            <w:hideMark/>
          </w:tcPr>
          <w:p w14:paraId="06A1F1B1"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1</w:t>
            </w:r>
          </w:p>
        </w:tc>
        <w:tc>
          <w:tcPr>
            <w:tcW w:w="998" w:type="pct"/>
            <w:shd w:val="clear" w:color="auto" w:fill="auto"/>
            <w:noWrap/>
            <w:vAlign w:val="center"/>
            <w:hideMark/>
          </w:tcPr>
          <w:p w14:paraId="0DC1C535"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139.632</w:t>
            </w:r>
          </w:p>
        </w:tc>
        <w:tc>
          <w:tcPr>
            <w:tcW w:w="677" w:type="pct"/>
            <w:shd w:val="clear" w:color="auto" w:fill="auto"/>
            <w:noWrap/>
            <w:vAlign w:val="center"/>
            <w:hideMark/>
          </w:tcPr>
          <w:p w14:paraId="5DB734AE"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1044" w:type="pct"/>
            <w:shd w:val="clear" w:color="auto" w:fill="auto"/>
            <w:noWrap/>
            <w:vAlign w:val="center"/>
            <w:hideMark/>
          </w:tcPr>
          <w:p w14:paraId="586CDA6A"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r>
      <w:tr w:rsidR="00E3750C" w:rsidRPr="00361B47" w14:paraId="00BE6A55" w14:textId="77777777" w:rsidTr="00047864">
        <w:trPr>
          <w:trHeight w:val="288"/>
        </w:trPr>
        <w:tc>
          <w:tcPr>
            <w:tcW w:w="448" w:type="pct"/>
            <w:vMerge/>
            <w:vAlign w:val="center"/>
            <w:hideMark/>
          </w:tcPr>
          <w:p w14:paraId="2BAFFD6A" w14:textId="77777777" w:rsidR="00E3750C" w:rsidRPr="00361B47" w:rsidRDefault="00E3750C" w:rsidP="00047864">
            <w:pPr>
              <w:spacing w:after="0" w:line="240" w:lineRule="auto"/>
              <w:rPr>
                <w:rFonts w:ascii="Arial" w:eastAsia="Times New Roman" w:hAnsi="Arial" w:cs="Arial"/>
                <w:color w:val="000000"/>
                <w:sz w:val="18"/>
                <w:szCs w:val="18"/>
                <w:lang w:eastAsia="sl-SI"/>
              </w:rPr>
            </w:pPr>
          </w:p>
        </w:tc>
        <w:tc>
          <w:tcPr>
            <w:tcW w:w="1200" w:type="pct"/>
            <w:shd w:val="clear" w:color="auto" w:fill="auto"/>
            <w:noWrap/>
            <w:vAlign w:val="center"/>
            <w:hideMark/>
          </w:tcPr>
          <w:p w14:paraId="1999A234" w14:textId="77777777" w:rsidR="00E3750C" w:rsidRPr="00361B47" w:rsidRDefault="00E3750C" w:rsidP="00047864">
            <w:pPr>
              <w:spacing w:after="0" w:line="240" w:lineRule="auto"/>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Finska</w:t>
            </w:r>
          </w:p>
        </w:tc>
        <w:tc>
          <w:tcPr>
            <w:tcW w:w="632" w:type="pct"/>
            <w:shd w:val="clear" w:color="auto" w:fill="auto"/>
            <w:noWrap/>
            <w:vAlign w:val="center"/>
            <w:hideMark/>
          </w:tcPr>
          <w:p w14:paraId="35F05E70"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1</w:t>
            </w:r>
          </w:p>
        </w:tc>
        <w:tc>
          <w:tcPr>
            <w:tcW w:w="998" w:type="pct"/>
            <w:shd w:val="clear" w:color="auto" w:fill="auto"/>
            <w:noWrap/>
            <w:vAlign w:val="center"/>
            <w:hideMark/>
          </w:tcPr>
          <w:p w14:paraId="6163B558"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49.945</w:t>
            </w:r>
          </w:p>
        </w:tc>
        <w:tc>
          <w:tcPr>
            <w:tcW w:w="677" w:type="pct"/>
            <w:shd w:val="clear" w:color="auto" w:fill="auto"/>
            <w:noWrap/>
            <w:vAlign w:val="center"/>
            <w:hideMark/>
          </w:tcPr>
          <w:p w14:paraId="4930D5D2"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1044" w:type="pct"/>
            <w:shd w:val="clear" w:color="auto" w:fill="auto"/>
            <w:noWrap/>
            <w:vAlign w:val="center"/>
            <w:hideMark/>
          </w:tcPr>
          <w:p w14:paraId="7187C5DC"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0,00</w:t>
            </w:r>
            <w:r>
              <w:rPr>
                <w:rFonts w:ascii="Arial" w:eastAsia="Times New Roman" w:hAnsi="Arial" w:cs="Arial"/>
                <w:color w:val="000000"/>
                <w:sz w:val="18"/>
                <w:szCs w:val="18"/>
                <w:lang w:eastAsia="sl-SI"/>
              </w:rPr>
              <w:t xml:space="preserve"> %</w:t>
            </w:r>
          </w:p>
        </w:tc>
      </w:tr>
      <w:tr w:rsidR="00E3750C" w:rsidRPr="00361B47" w14:paraId="106492D8" w14:textId="77777777" w:rsidTr="00047864">
        <w:trPr>
          <w:trHeight w:val="288"/>
        </w:trPr>
        <w:tc>
          <w:tcPr>
            <w:tcW w:w="448" w:type="pct"/>
            <w:vMerge/>
            <w:vAlign w:val="center"/>
            <w:hideMark/>
          </w:tcPr>
          <w:p w14:paraId="2401F774" w14:textId="77777777" w:rsidR="00E3750C" w:rsidRPr="00361B47" w:rsidRDefault="00E3750C" w:rsidP="00047864">
            <w:pPr>
              <w:spacing w:after="0" w:line="240" w:lineRule="auto"/>
              <w:rPr>
                <w:rFonts w:ascii="Arial" w:eastAsia="Times New Roman" w:hAnsi="Arial" w:cs="Arial"/>
                <w:color w:val="000000"/>
                <w:sz w:val="18"/>
                <w:szCs w:val="18"/>
                <w:lang w:eastAsia="sl-SI"/>
              </w:rPr>
            </w:pPr>
          </w:p>
        </w:tc>
        <w:tc>
          <w:tcPr>
            <w:tcW w:w="1200" w:type="pct"/>
            <w:shd w:val="clear" w:color="auto" w:fill="auto"/>
            <w:noWrap/>
            <w:vAlign w:val="center"/>
            <w:hideMark/>
          </w:tcPr>
          <w:p w14:paraId="7A7ED5EF" w14:textId="77777777" w:rsidR="00E3750C" w:rsidRPr="00361B47" w:rsidRDefault="00E3750C" w:rsidP="00047864">
            <w:pPr>
              <w:spacing w:after="0" w:line="240" w:lineRule="auto"/>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Francija</w:t>
            </w:r>
          </w:p>
        </w:tc>
        <w:tc>
          <w:tcPr>
            <w:tcW w:w="632" w:type="pct"/>
            <w:shd w:val="clear" w:color="auto" w:fill="auto"/>
            <w:noWrap/>
            <w:vAlign w:val="center"/>
            <w:hideMark/>
          </w:tcPr>
          <w:p w14:paraId="6EE23163"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7</w:t>
            </w:r>
          </w:p>
        </w:tc>
        <w:tc>
          <w:tcPr>
            <w:tcW w:w="998" w:type="pct"/>
            <w:shd w:val="clear" w:color="auto" w:fill="auto"/>
            <w:noWrap/>
            <w:vAlign w:val="center"/>
            <w:hideMark/>
          </w:tcPr>
          <w:p w14:paraId="768D996C"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4.376.282</w:t>
            </w:r>
          </w:p>
        </w:tc>
        <w:tc>
          <w:tcPr>
            <w:tcW w:w="677" w:type="pct"/>
            <w:shd w:val="clear" w:color="auto" w:fill="auto"/>
            <w:noWrap/>
            <w:vAlign w:val="center"/>
            <w:hideMark/>
          </w:tcPr>
          <w:p w14:paraId="3143CB2E"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0,17</w:t>
            </w:r>
            <w:r>
              <w:rPr>
                <w:rFonts w:ascii="Arial" w:eastAsia="Times New Roman" w:hAnsi="Arial" w:cs="Arial"/>
                <w:color w:val="000000"/>
                <w:sz w:val="18"/>
                <w:szCs w:val="18"/>
                <w:lang w:eastAsia="sl-SI"/>
              </w:rPr>
              <w:t xml:space="preserve"> %</w:t>
            </w:r>
          </w:p>
        </w:tc>
        <w:tc>
          <w:tcPr>
            <w:tcW w:w="1044" w:type="pct"/>
            <w:shd w:val="clear" w:color="auto" w:fill="auto"/>
            <w:noWrap/>
            <w:vAlign w:val="center"/>
            <w:hideMark/>
          </w:tcPr>
          <w:p w14:paraId="10D682CC"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0,25</w:t>
            </w:r>
            <w:r>
              <w:rPr>
                <w:rFonts w:ascii="Arial" w:eastAsia="Times New Roman" w:hAnsi="Arial" w:cs="Arial"/>
                <w:color w:val="000000"/>
                <w:sz w:val="18"/>
                <w:szCs w:val="18"/>
                <w:lang w:eastAsia="sl-SI"/>
              </w:rPr>
              <w:t xml:space="preserve"> %</w:t>
            </w:r>
          </w:p>
        </w:tc>
      </w:tr>
      <w:tr w:rsidR="00E3750C" w:rsidRPr="00361B47" w14:paraId="6E8C36AF" w14:textId="77777777" w:rsidTr="00047864">
        <w:trPr>
          <w:trHeight w:val="288"/>
        </w:trPr>
        <w:tc>
          <w:tcPr>
            <w:tcW w:w="448" w:type="pct"/>
            <w:vMerge/>
            <w:vAlign w:val="center"/>
            <w:hideMark/>
          </w:tcPr>
          <w:p w14:paraId="7D622DED" w14:textId="77777777" w:rsidR="00E3750C" w:rsidRPr="00361B47" w:rsidRDefault="00E3750C" w:rsidP="00047864">
            <w:pPr>
              <w:spacing w:after="0" w:line="240" w:lineRule="auto"/>
              <w:rPr>
                <w:rFonts w:ascii="Arial" w:eastAsia="Times New Roman" w:hAnsi="Arial" w:cs="Arial"/>
                <w:color w:val="000000"/>
                <w:sz w:val="18"/>
                <w:szCs w:val="18"/>
                <w:lang w:eastAsia="sl-SI"/>
              </w:rPr>
            </w:pPr>
          </w:p>
        </w:tc>
        <w:tc>
          <w:tcPr>
            <w:tcW w:w="1200" w:type="pct"/>
            <w:shd w:val="clear" w:color="auto" w:fill="auto"/>
            <w:noWrap/>
            <w:vAlign w:val="center"/>
            <w:hideMark/>
          </w:tcPr>
          <w:p w14:paraId="3A88C58C" w14:textId="77777777" w:rsidR="00E3750C" w:rsidRPr="00361B47" w:rsidRDefault="00E3750C" w:rsidP="00047864">
            <w:pPr>
              <w:spacing w:after="0" w:line="240" w:lineRule="auto"/>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Hrvaška</w:t>
            </w:r>
          </w:p>
        </w:tc>
        <w:tc>
          <w:tcPr>
            <w:tcW w:w="632" w:type="pct"/>
            <w:shd w:val="clear" w:color="auto" w:fill="auto"/>
            <w:noWrap/>
            <w:vAlign w:val="center"/>
            <w:hideMark/>
          </w:tcPr>
          <w:p w14:paraId="2C0F6DCB"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25</w:t>
            </w:r>
          </w:p>
        </w:tc>
        <w:tc>
          <w:tcPr>
            <w:tcW w:w="998" w:type="pct"/>
            <w:shd w:val="clear" w:color="auto" w:fill="auto"/>
            <w:noWrap/>
            <w:vAlign w:val="center"/>
            <w:hideMark/>
          </w:tcPr>
          <w:p w14:paraId="66F3C7BB"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5.223.640</w:t>
            </w:r>
          </w:p>
        </w:tc>
        <w:tc>
          <w:tcPr>
            <w:tcW w:w="677" w:type="pct"/>
            <w:shd w:val="clear" w:color="auto" w:fill="auto"/>
            <w:noWrap/>
            <w:vAlign w:val="center"/>
            <w:hideMark/>
          </w:tcPr>
          <w:p w14:paraId="3142399C"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0,62</w:t>
            </w:r>
            <w:r>
              <w:rPr>
                <w:rFonts w:ascii="Arial" w:eastAsia="Times New Roman" w:hAnsi="Arial" w:cs="Arial"/>
                <w:color w:val="000000"/>
                <w:sz w:val="18"/>
                <w:szCs w:val="18"/>
                <w:lang w:eastAsia="sl-SI"/>
              </w:rPr>
              <w:t xml:space="preserve"> %</w:t>
            </w:r>
          </w:p>
        </w:tc>
        <w:tc>
          <w:tcPr>
            <w:tcW w:w="1044" w:type="pct"/>
            <w:shd w:val="clear" w:color="auto" w:fill="auto"/>
            <w:noWrap/>
            <w:vAlign w:val="center"/>
            <w:hideMark/>
          </w:tcPr>
          <w:p w14:paraId="54A8E5FE"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0,30</w:t>
            </w:r>
            <w:r>
              <w:rPr>
                <w:rFonts w:ascii="Arial" w:eastAsia="Times New Roman" w:hAnsi="Arial" w:cs="Arial"/>
                <w:color w:val="000000"/>
                <w:sz w:val="18"/>
                <w:szCs w:val="18"/>
                <w:lang w:eastAsia="sl-SI"/>
              </w:rPr>
              <w:t xml:space="preserve"> %</w:t>
            </w:r>
          </w:p>
        </w:tc>
      </w:tr>
      <w:tr w:rsidR="00E3750C" w:rsidRPr="00361B47" w14:paraId="52A17360" w14:textId="77777777" w:rsidTr="00047864">
        <w:trPr>
          <w:trHeight w:val="288"/>
        </w:trPr>
        <w:tc>
          <w:tcPr>
            <w:tcW w:w="448" w:type="pct"/>
            <w:vMerge/>
            <w:vAlign w:val="center"/>
            <w:hideMark/>
          </w:tcPr>
          <w:p w14:paraId="141AC99E" w14:textId="77777777" w:rsidR="00E3750C" w:rsidRPr="00361B47" w:rsidRDefault="00E3750C" w:rsidP="00047864">
            <w:pPr>
              <w:spacing w:after="0" w:line="240" w:lineRule="auto"/>
              <w:rPr>
                <w:rFonts w:ascii="Arial" w:eastAsia="Times New Roman" w:hAnsi="Arial" w:cs="Arial"/>
                <w:color w:val="000000"/>
                <w:sz w:val="18"/>
                <w:szCs w:val="18"/>
                <w:lang w:eastAsia="sl-SI"/>
              </w:rPr>
            </w:pPr>
          </w:p>
        </w:tc>
        <w:tc>
          <w:tcPr>
            <w:tcW w:w="1200" w:type="pct"/>
            <w:shd w:val="clear" w:color="auto" w:fill="auto"/>
            <w:noWrap/>
            <w:vAlign w:val="center"/>
            <w:hideMark/>
          </w:tcPr>
          <w:p w14:paraId="62B5778E" w14:textId="77777777" w:rsidR="00E3750C" w:rsidRPr="00361B47" w:rsidRDefault="00E3750C" w:rsidP="00047864">
            <w:pPr>
              <w:spacing w:after="0" w:line="240" w:lineRule="auto"/>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Irska</w:t>
            </w:r>
          </w:p>
        </w:tc>
        <w:tc>
          <w:tcPr>
            <w:tcW w:w="632" w:type="pct"/>
            <w:shd w:val="clear" w:color="auto" w:fill="auto"/>
            <w:noWrap/>
            <w:vAlign w:val="center"/>
            <w:hideMark/>
          </w:tcPr>
          <w:p w14:paraId="66B87586"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1</w:t>
            </w:r>
          </w:p>
        </w:tc>
        <w:tc>
          <w:tcPr>
            <w:tcW w:w="998" w:type="pct"/>
            <w:shd w:val="clear" w:color="auto" w:fill="auto"/>
            <w:noWrap/>
            <w:vAlign w:val="center"/>
            <w:hideMark/>
          </w:tcPr>
          <w:p w14:paraId="4D8187F2"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718.429</w:t>
            </w:r>
          </w:p>
        </w:tc>
        <w:tc>
          <w:tcPr>
            <w:tcW w:w="677" w:type="pct"/>
            <w:shd w:val="clear" w:color="auto" w:fill="auto"/>
            <w:noWrap/>
            <w:vAlign w:val="center"/>
            <w:hideMark/>
          </w:tcPr>
          <w:p w14:paraId="7D4928D3"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1044" w:type="pct"/>
            <w:shd w:val="clear" w:color="auto" w:fill="auto"/>
            <w:noWrap/>
            <w:vAlign w:val="center"/>
            <w:hideMark/>
          </w:tcPr>
          <w:p w14:paraId="7AB025A7"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0,04</w:t>
            </w:r>
            <w:r>
              <w:rPr>
                <w:rFonts w:ascii="Arial" w:eastAsia="Times New Roman" w:hAnsi="Arial" w:cs="Arial"/>
                <w:color w:val="000000"/>
                <w:sz w:val="18"/>
                <w:szCs w:val="18"/>
                <w:lang w:eastAsia="sl-SI"/>
              </w:rPr>
              <w:t xml:space="preserve"> %</w:t>
            </w:r>
          </w:p>
        </w:tc>
      </w:tr>
      <w:tr w:rsidR="00E3750C" w:rsidRPr="00361B47" w14:paraId="028784C5" w14:textId="77777777" w:rsidTr="00047864">
        <w:trPr>
          <w:trHeight w:val="288"/>
        </w:trPr>
        <w:tc>
          <w:tcPr>
            <w:tcW w:w="448" w:type="pct"/>
            <w:vMerge/>
            <w:vAlign w:val="center"/>
            <w:hideMark/>
          </w:tcPr>
          <w:p w14:paraId="16D3FF85" w14:textId="77777777" w:rsidR="00E3750C" w:rsidRPr="00361B47" w:rsidRDefault="00E3750C" w:rsidP="00047864">
            <w:pPr>
              <w:spacing w:after="0" w:line="240" w:lineRule="auto"/>
              <w:rPr>
                <w:rFonts w:ascii="Arial" w:eastAsia="Times New Roman" w:hAnsi="Arial" w:cs="Arial"/>
                <w:color w:val="000000"/>
                <w:sz w:val="18"/>
                <w:szCs w:val="18"/>
                <w:lang w:eastAsia="sl-SI"/>
              </w:rPr>
            </w:pPr>
          </w:p>
        </w:tc>
        <w:tc>
          <w:tcPr>
            <w:tcW w:w="1200" w:type="pct"/>
            <w:shd w:val="clear" w:color="auto" w:fill="auto"/>
            <w:noWrap/>
            <w:vAlign w:val="center"/>
            <w:hideMark/>
          </w:tcPr>
          <w:p w14:paraId="5DFE5C65" w14:textId="77777777" w:rsidR="00E3750C" w:rsidRPr="00361B47" w:rsidRDefault="00E3750C" w:rsidP="00047864">
            <w:pPr>
              <w:spacing w:after="0" w:line="240" w:lineRule="auto"/>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Kanada</w:t>
            </w:r>
          </w:p>
        </w:tc>
        <w:tc>
          <w:tcPr>
            <w:tcW w:w="632" w:type="pct"/>
            <w:shd w:val="clear" w:color="auto" w:fill="auto"/>
            <w:noWrap/>
            <w:vAlign w:val="center"/>
            <w:hideMark/>
          </w:tcPr>
          <w:p w14:paraId="022B68AF"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1</w:t>
            </w:r>
          </w:p>
        </w:tc>
        <w:tc>
          <w:tcPr>
            <w:tcW w:w="998" w:type="pct"/>
            <w:shd w:val="clear" w:color="auto" w:fill="auto"/>
            <w:noWrap/>
            <w:vAlign w:val="center"/>
            <w:hideMark/>
          </w:tcPr>
          <w:p w14:paraId="565BBAD2"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517.996</w:t>
            </w:r>
          </w:p>
        </w:tc>
        <w:tc>
          <w:tcPr>
            <w:tcW w:w="677" w:type="pct"/>
            <w:shd w:val="clear" w:color="auto" w:fill="auto"/>
            <w:noWrap/>
            <w:vAlign w:val="center"/>
            <w:hideMark/>
          </w:tcPr>
          <w:p w14:paraId="181ADB71"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1044" w:type="pct"/>
            <w:shd w:val="clear" w:color="auto" w:fill="auto"/>
            <w:noWrap/>
            <w:vAlign w:val="center"/>
            <w:hideMark/>
          </w:tcPr>
          <w:p w14:paraId="59613DAA"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r>
      <w:tr w:rsidR="00E3750C" w:rsidRPr="00361B47" w14:paraId="1801FC28" w14:textId="77777777" w:rsidTr="00047864">
        <w:trPr>
          <w:trHeight w:val="288"/>
        </w:trPr>
        <w:tc>
          <w:tcPr>
            <w:tcW w:w="448" w:type="pct"/>
            <w:vMerge/>
            <w:vAlign w:val="center"/>
            <w:hideMark/>
          </w:tcPr>
          <w:p w14:paraId="23FD1D29" w14:textId="77777777" w:rsidR="00E3750C" w:rsidRPr="00361B47" w:rsidRDefault="00E3750C" w:rsidP="00047864">
            <w:pPr>
              <w:spacing w:after="0" w:line="240" w:lineRule="auto"/>
              <w:rPr>
                <w:rFonts w:ascii="Arial" w:eastAsia="Times New Roman" w:hAnsi="Arial" w:cs="Arial"/>
                <w:color w:val="000000"/>
                <w:sz w:val="18"/>
                <w:szCs w:val="18"/>
                <w:lang w:eastAsia="sl-SI"/>
              </w:rPr>
            </w:pPr>
          </w:p>
        </w:tc>
        <w:tc>
          <w:tcPr>
            <w:tcW w:w="1200" w:type="pct"/>
            <w:shd w:val="clear" w:color="auto" w:fill="auto"/>
            <w:noWrap/>
            <w:vAlign w:val="center"/>
            <w:hideMark/>
          </w:tcPr>
          <w:p w14:paraId="40546C16" w14:textId="77777777" w:rsidR="00E3750C" w:rsidRPr="00361B47" w:rsidRDefault="00E3750C" w:rsidP="00047864">
            <w:pPr>
              <w:spacing w:after="0" w:line="240" w:lineRule="auto"/>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Kitajska</w:t>
            </w:r>
          </w:p>
        </w:tc>
        <w:tc>
          <w:tcPr>
            <w:tcW w:w="632" w:type="pct"/>
            <w:shd w:val="clear" w:color="auto" w:fill="auto"/>
            <w:noWrap/>
            <w:vAlign w:val="center"/>
            <w:hideMark/>
          </w:tcPr>
          <w:p w14:paraId="01C36FB2"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1</w:t>
            </w:r>
          </w:p>
        </w:tc>
        <w:tc>
          <w:tcPr>
            <w:tcW w:w="998" w:type="pct"/>
            <w:shd w:val="clear" w:color="auto" w:fill="auto"/>
            <w:noWrap/>
            <w:vAlign w:val="center"/>
            <w:hideMark/>
          </w:tcPr>
          <w:p w14:paraId="41A0C220"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65.000</w:t>
            </w:r>
          </w:p>
        </w:tc>
        <w:tc>
          <w:tcPr>
            <w:tcW w:w="677" w:type="pct"/>
            <w:shd w:val="clear" w:color="auto" w:fill="auto"/>
            <w:noWrap/>
            <w:vAlign w:val="center"/>
            <w:hideMark/>
          </w:tcPr>
          <w:p w14:paraId="4F4423E3"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1044" w:type="pct"/>
            <w:shd w:val="clear" w:color="auto" w:fill="auto"/>
            <w:noWrap/>
            <w:vAlign w:val="center"/>
            <w:hideMark/>
          </w:tcPr>
          <w:p w14:paraId="04219947"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0,00</w:t>
            </w:r>
            <w:r>
              <w:rPr>
                <w:rFonts w:ascii="Arial" w:eastAsia="Times New Roman" w:hAnsi="Arial" w:cs="Arial"/>
                <w:color w:val="000000"/>
                <w:sz w:val="18"/>
                <w:szCs w:val="18"/>
                <w:lang w:eastAsia="sl-SI"/>
              </w:rPr>
              <w:t xml:space="preserve"> %</w:t>
            </w:r>
          </w:p>
        </w:tc>
      </w:tr>
      <w:tr w:rsidR="00E3750C" w:rsidRPr="00361B47" w14:paraId="45EF8610" w14:textId="77777777" w:rsidTr="00047864">
        <w:trPr>
          <w:trHeight w:val="288"/>
        </w:trPr>
        <w:tc>
          <w:tcPr>
            <w:tcW w:w="448" w:type="pct"/>
            <w:vMerge/>
            <w:vAlign w:val="center"/>
            <w:hideMark/>
          </w:tcPr>
          <w:p w14:paraId="1F334953" w14:textId="77777777" w:rsidR="00E3750C" w:rsidRPr="00361B47" w:rsidRDefault="00E3750C" w:rsidP="00047864">
            <w:pPr>
              <w:spacing w:after="0" w:line="240" w:lineRule="auto"/>
              <w:rPr>
                <w:rFonts w:ascii="Arial" w:eastAsia="Times New Roman" w:hAnsi="Arial" w:cs="Arial"/>
                <w:color w:val="000000"/>
                <w:sz w:val="18"/>
                <w:szCs w:val="18"/>
                <w:lang w:eastAsia="sl-SI"/>
              </w:rPr>
            </w:pPr>
          </w:p>
        </w:tc>
        <w:tc>
          <w:tcPr>
            <w:tcW w:w="1200" w:type="pct"/>
            <w:shd w:val="clear" w:color="auto" w:fill="auto"/>
            <w:noWrap/>
            <w:vAlign w:val="center"/>
            <w:hideMark/>
          </w:tcPr>
          <w:p w14:paraId="0D90B0E0" w14:textId="77777777" w:rsidR="00E3750C" w:rsidRPr="00361B47" w:rsidRDefault="00E3750C" w:rsidP="00047864">
            <w:pPr>
              <w:spacing w:after="0" w:line="240" w:lineRule="auto"/>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Malezija</w:t>
            </w:r>
          </w:p>
        </w:tc>
        <w:tc>
          <w:tcPr>
            <w:tcW w:w="632" w:type="pct"/>
            <w:shd w:val="clear" w:color="auto" w:fill="auto"/>
            <w:noWrap/>
            <w:vAlign w:val="center"/>
            <w:hideMark/>
          </w:tcPr>
          <w:p w14:paraId="02DE2BF0"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1</w:t>
            </w:r>
          </w:p>
        </w:tc>
        <w:tc>
          <w:tcPr>
            <w:tcW w:w="998" w:type="pct"/>
            <w:shd w:val="clear" w:color="auto" w:fill="auto"/>
            <w:noWrap/>
            <w:vAlign w:val="center"/>
            <w:hideMark/>
          </w:tcPr>
          <w:p w14:paraId="20485042"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665.000</w:t>
            </w:r>
          </w:p>
        </w:tc>
        <w:tc>
          <w:tcPr>
            <w:tcW w:w="677" w:type="pct"/>
            <w:shd w:val="clear" w:color="auto" w:fill="auto"/>
            <w:noWrap/>
            <w:vAlign w:val="center"/>
            <w:hideMark/>
          </w:tcPr>
          <w:p w14:paraId="113BC50E"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1044" w:type="pct"/>
            <w:shd w:val="clear" w:color="auto" w:fill="auto"/>
            <w:noWrap/>
            <w:vAlign w:val="center"/>
            <w:hideMark/>
          </w:tcPr>
          <w:p w14:paraId="3D0362BB"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0,04</w:t>
            </w:r>
            <w:r>
              <w:rPr>
                <w:rFonts w:ascii="Arial" w:eastAsia="Times New Roman" w:hAnsi="Arial" w:cs="Arial"/>
                <w:color w:val="000000"/>
                <w:sz w:val="18"/>
                <w:szCs w:val="18"/>
                <w:lang w:eastAsia="sl-SI"/>
              </w:rPr>
              <w:t xml:space="preserve"> %</w:t>
            </w:r>
          </w:p>
        </w:tc>
      </w:tr>
      <w:tr w:rsidR="00E3750C" w:rsidRPr="00361B47" w14:paraId="2C39CBC8" w14:textId="77777777" w:rsidTr="00047864">
        <w:trPr>
          <w:trHeight w:val="288"/>
        </w:trPr>
        <w:tc>
          <w:tcPr>
            <w:tcW w:w="448" w:type="pct"/>
            <w:vMerge/>
            <w:vAlign w:val="center"/>
            <w:hideMark/>
          </w:tcPr>
          <w:p w14:paraId="10F6DD65" w14:textId="77777777" w:rsidR="00E3750C" w:rsidRPr="00361B47" w:rsidRDefault="00E3750C" w:rsidP="00047864">
            <w:pPr>
              <w:spacing w:after="0" w:line="240" w:lineRule="auto"/>
              <w:rPr>
                <w:rFonts w:ascii="Arial" w:eastAsia="Times New Roman" w:hAnsi="Arial" w:cs="Arial"/>
                <w:color w:val="000000"/>
                <w:sz w:val="18"/>
                <w:szCs w:val="18"/>
                <w:lang w:eastAsia="sl-SI"/>
              </w:rPr>
            </w:pPr>
          </w:p>
        </w:tc>
        <w:tc>
          <w:tcPr>
            <w:tcW w:w="1200" w:type="pct"/>
            <w:shd w:val="clear" w:color="auto" w:fill="auto"/>
            <w:noWrap/>
            <w:vAlign w:val="center"/>
            <w:hideMark/>
          </w:tcPr>
          <w:p w14:paraId="69982D67" w14:textId="77777777" w:rsidR="00E3750C" w:rsidRPr="00361B47" w:rsidRDefault="00E3750C" w:rsidP="00047864">
            <w:pPr>
              <w:spacing w:after="0" w:line="240" w:lineRule="auto"/>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Nemčija</w:t>
            </w:r>
          </w:p>
        </w:tc>
        <w:tc>
          <w:tcPr>
            <w:tcW w:w="632" w:type="pct"/>
            <w:shd w:val="clear" w:color="auto" w:fill="auto"/>
            <w:noWrap/>
            <w:vAlign w:val="center"/>
            <w:hideMark/>
          </w:tcPr>
          <w:p w14:paraId="0E12ADB9"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8</w:t>
            </w:r>
          </w:p>
        </w:tc>
        <w:tc>
          <w:tcPr>
            <w:tcW w:w="998" w:type="pct"/>
            <w:shd w:val="clear" w:color="auto" w:fill="auto"/>
            <w:noWrap/>
            <w:vAlign w:val="center"/>
            <w:hideMark/>
          </w:tcPr>
          <w:p w14:paraId="7D9F5BDC"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3.721.445</w:t>
            </w:r>
          </w:p>
        </w:tc>
        <w:tc>
          <w:tcPr>
            <w:tcW w:w="677" w:type="pct"/>
            <w:shd w:val="clear" w:color="auto" w:fill="auto"/>
            <w:noWrap/>
            <w:vAlign w:val="center"/>
            <w:hideMark/>
          </w:tcPr>
          <w:p w14:paraId="6593F5F7"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0,20</w:t>
            </w:r>
            <w:r>
              <w:rPr>
                <w:rFonts w:ascii="Arial" w:eastAsia="Times New Roman" w:hAnsi="Arial" w:cs="Arial"/>
                <w:color w:val="000000"/>
                <w:sz w:val="18"/>
                <w:szCs w:val="18"/>
                <w:lang w:eastAsia="sl-SI"/>
              </w:rPr>
              <w:t xml:space="preserve"> %</w:t>
            </w:r>
          </w:p>
        </w:tc>
        <w:tc>
          <w:tcPr>
            <w:tcW w:w="1044" w:type="pct"/>
            <w:shd w:val="clear" w:color="auto" w:fill="auto"/>
            <w:noWrap/>
            <w:vAlign w:val="center"/>
            <w:hideMark/>
          </w:tcPr>
          <w:p w14:paraId="784FE60F"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0,21</w:t>
            </w:r>
            <w:r>
              <w:rPr>
                <w:rFonts w:ascii="Arial" w:eastAsia="Times New Roman" w:hAnsi="Arial" w:cs="Arial"/>
                <w:color w:val="000000"/>
                <w:sz w:val="18"/>
                <w:szCs w:val="18"/>
                <w:lang w:eastAsia="sl-SI"/>
              </w:rPr>
              <w:t xml:space="preserve"> %</w:t>
            </w:r>
          </w:p>
        </w:tc>
      </w:tr>
      <w:tr w:rsidR="00E3750C" w:rsidRPr="00361B47" w14:paraId="0546327D" w14:textId="77777777" w:rsidTr="00047864">
        <w:trPr>
          <w:trHeight w:val="288"/>
        </w:trPr>
        <w:tc>
          <w:tcPr>
            <w:tcW w:w="448" w:type="pct"/>
            <w:vMerge/>
            <w:vAlign w:val="center"/>
            <w:hideMark/>
          </w:tcPr>
          <w:p w14:paraId="404B74B9" w14:textId="77777777" w:rsidR="00E3750C" w:rsidRPr="00361B47" w:rsidRDefault="00E3750C" w:rsidP="00047864">
            <w:pPr>
              <w:spacing w:after="0" w:line="240" w:lineRule="auto"/>
              <w:rPr>
                <w:rFonts w:ascii="Arial" w:eastAsia="Times New Roman" w:hAnsi="Arial" w:cs="Arial"/>
                <w:color w:val="000000"/>
                <w:sz w:val="18"/>
                <w:szCs w:val="18"/>
                <w:lang w:eastAsia="sl-SI"/>
              </w:rPr>
            </w:pPr>
          </w:p>
        </w:tc>
        <w:tc>
          <w:tcPr>
            <w:tcW w:w="1200" w:type="pct"/>
            <w:shd w:val="clear" w:color="auto" w:fill="auto"/>
            <w:noWrap/>
            <w:vAlign w:val="center"/>
            <w:hideMark/>
          </w:tcPr>
          <w:p w14:paraId="29C9B879" w14:textId="77777777" w:rsidR="00E3750C" w:rsidRPr="00361B47" w:rsidRDefault="00E3750C" w:rsidP="00047864">
            <w:pPr>
              <w:spacing w:after="0" w:line="240" w:lineRule="auto"/>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Nizozemska</w:t>
            </w:r>
          </w:p>
        </w:tc>
        <w:tc>
          <w:tcPr>
            <w:tcW w:w="632" w:type="pct"/>
            <w:shd w:val="clear" w:color="auto" w:fill="auto"/>
            <w:noWrap/>
            <w:vAlign w:val="center"/>
            <w:hideMark/>
          </w:tcPr>
          <w:p w14:paraId="3AB6B693"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7</w:t>
            </w:r>
          </w:p>
        </w:tc>
        <w:tc>
          <w:tcPr>
            <w:tcW w:w="998" w:type="pct"/>
            <w:shd w:val="clear" w:color="auto" w:fill="auto"/>
            <w:noWrap/>
            <w:vAlign w:val="center"/>
            <w:hideMark/>
          </w:tcPr>
          <w:p w14:paraId="0E86FD39"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3.552.499</w:t>
            </w:r>
          </w:p>
        </w:tc>
        <w:tc>
          <w:tcPr>
            <w:tcW w:w="677" w:type="pct"/>
            <w:shd w:val="clear" w:color="auto" w:fill="auto"/>
            <w:noWrap/>
            <w:vAlign w:val="center"/>
            <w:hideMark/>
          </w:tcPr>
          <w:p w14:paraId="6BAD22AF"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0,17</w:t>
            </w:r>
            <w:r>
              <w:rPr>
                <w:rFonts w:ascii="Arial" w:eastAsia="Times New Roman" w:hAnsi="Arial" w:cs="Arial"/>
                <w:color w:val="000000"/>
                <w:sz w:val="18"/>
                <w:szCs w:val="18"/>
                <w:lang w:eastAsia="sl-SI"/>
              </w:rPr>
              <w:t xml:space="preserve"> %</w:t>
            </w:r>
          </w:p>
        </w:tc>
        <w:tc>
          <w:tcPr>
            <w:tcW w:w="1044" w:type="pct"/>
            <w:shd w:val="clear" w:color="auto" w:fill="auto"/>
            <w:noWrap/>
            <w:vAlign w:val="center"/>
            <w:hideMark/>
          </w:tcPr>
          <w:p w14:paraId="6C188F81"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0,20</w:t>
            </w:r>
            <w:r>
              <w:rPr>
                <w:rFonts w:ascii="Arial" w:eastAsia="Times New Roman" w:hAnsi="Arial" w:cs="Arial"/>
                <w:color w:val="000000"/>
                <w:sz w:val="18"/>
                <w:szCs w:val="18"/>
                <w:lang w:eastAsia="sl-SI"/>
              </w:rPr>
              <w:t xml:space="preserve"> %</w:t>
            </w:r>
          </w:p>
        </w:tc>
      </w:tr>
      <w:tr w:rsidR="00E3750C" w:rsidRPr="00361B47" w14:paraId="51253AD7" w14:textId="77777777" w:rsidTr="00047864">
        <w:trPr>
          <w:trHeight w:val="288"/>
        </w:trPr>
        <w:tc>
          <w:tcPr>
            <w:tcW w:w="448" w:type="pct"/>
            <w:vMerge/>
            <w:vAlign w:val="center"/>
            <w:hideMark/>
          </w:tcPr>
          <w:p w14:paraId="710BAB2A" w14:textId="77777777" w:rsidR="00E3750C" w:rsidRPr="00361B47" w:rsidRDefault="00E3750C" w:rsidP="00047864">
            <w:pPr>
              <w:spacing w:after="0" w:line="240" w:lineRule="auto"/>
              <w:rPr>
                <w:rFonts w:ascii="Arial" w:eastAsia="Times New Roman" w:hAnsi="Arial" w:cs="Arial"/>
                <w:color w:val="000000"/>
                <w:sz w:val="18"/>
                <w:szCs w:val="18"/>
                <w:lang w:eastAsia="sl-SI"/>
              </w:rPr>
            </w:pPr>
          </w:p>
        </w:tc>
        <w:tc>
          <w:tcPr>
            <w:tcW w:w="1200" w:type="pct"/>
            <w:shd w:val="clear" w:color="auto" w:fill="auto"/>
            <w:noWrap/>
            <w:vAlign w:val="center"/>
            <w:hideMark/>
          </w:tcPr>
          <w:p w14:paraId="67B26E94" w14:textId="77777777" w:rsidR="00E3750C" w:rsidRPr="00361B47" w:rsidRDefault="00E3750C" w:rsidP="00047864">
            <w:pPr>
              <w:spacing w:after="0" w:line="240" w:lineRule="auto"/>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Slovaška</w:t>
            </w:r>
          </w:p>
        </w:tc>
        <w:tc>
          <w:tcPr>
            <w:tcW w:w="632" w:type="pct"/>
            <w:shd w:val="clear" w:color="auto" w:fill="auto"/>
            <w:noWrap/>
            <w:vAlign w:val="center"/>
            <w:hideMark/>
          </w:tcPr>
          <w:p w14:paraId="43491B93"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1</w:t>
            </w:r>
          </w:p>
        </w:tc>
        <w:tc>
          <w:tcPr>
            <w:tcW w:w="998" w:type="pct"/>
            <w:shd w:val="clear" w:color="auto" w:fill="auto"/>
            <w:noWrap/>
            <w:vAlign w:val="center"/>
            <w:hideMark/>
          </w:tcPr>
          <w:p w14:paraId="66B3C140"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1.095.000</w:t>
            </w:r>
          </w:p>
        </w:tc>
        <w:tc>
          <w:tcPr>
            <w:tcW w:w="677" w:type="pct"/>
            <w:shd w:val="clear" w:color="auto" w:fill="auto"/>
            <w:noWrap/>
            <w:vAlign w:val="center"/>
            <w:hideMark/>
          </w:tcPr>
          <w:p w14:paraId="19098ED7"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1044" w:type="pct"/>
            <w:shd w:val="clear" w:color="auto" w:fill="auto"/>
            <w:noWrap/>
            <w:vAlign w:val="center"/>
            <w:hideMark/>
          </w:tcPr>
          <w:p w14:paraId="1EB998BD"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0,06</w:t>
            </w:r>
            <w:r>
              <w:rPr>
                <w:rFonts w:ascii="Arial" w:eastAsia="Times New Roman" w:hAnsi="Arial" w:cs="Arial"/>
                <w:color w:val="000000"/>
                <w:sz w:val="18"/>
                <w:szCs w:val="18"/>
                <w:lang w:eastAsia="sl-SI"/>
              </w:rPr>
              <w:t xml:space="preserve"> %</w:t>
            </w:r>
          </w:p>
        </w:tc>
      </w:tr>
      <w:tr w:rsidR="00E3750C" w:rsidRPr="00361B47" w14:paraId="45F95AA9" w14:textId="77777777" w:rsidTr="00047864">
        <w:trPr>
          <w:trHeight w:val="288"/>
        </w:trPr>
        <w:tc>
          <w:tcPr>
            <w:tcW w:w="448" w:type="pct"/>
            <w:vMerge/>
            <w:vAlign w:val="center"/>
            <w:hideMark/>
          </w:tcPr>
          <w:p w14:paraId="1C4F1C14" w14:textId="77777777" w:rsidR="00E3750C" w:rsidRPr="00361B47" w:rsidRDefault="00E3750C" w:rsidP="00047864">
            <w:pPr>
              <w:spacing w:after="0" w:line="240" w:lineRule="auto"/>
              <w:rPr>
                <w:rFonts w:ascii="Arial" w:eastAsia="Times New Roman" w:hAnsi="Arial" w:cs="Arial"/>
                <w:color w:val="000000"/>
                <w:sz w:val="18"/>
                <w:szCs w:val="18"/>
                <w:lang w:eastAsia="sl-SI"/>
              </w:rPr>
            </w:pPr>
          </w:p>
        </w:tc>
        <w:tc>
          <w:tcPr>
            <w:tcW w:w="1200" w:type="pct"/>
            <w:shd w:val="clear" w:color="auto" w:fill="auto"/>
            <w:noWrap/>
            <w:vAlign w:val="center"/>
            <w:hideMark/>
          </w:tcPr>
          <w:p w14:paraId="21F4FA2B" w14:textId="77777777" w:rsidR="00E3750C" w:rsidRPr="00361B47" w:rsidRDefault="00E3750C" w:rsidP="00047864">
            <w:pPr>
              <w:spacing w:after="0" w:line="240" w:lineRule="auto"/>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Slovenija</w:t>
            </w:r>
          </w:p>
        </w:tc>
        <w:tc>
          <w:tcPr>
            <w:tcW w:w="632" w:type="pct"/>
            <w:shd w:val="clear" w:color="auto" w:fill="auto"/>
            <w:noWrap/>
            <w:vAlign w:val="center"/>
            <w:hideMark/>
          </w:tcPr>
          <w:p w14:paraId="4E2E015D"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3.916</w:t>
            </w:r>
          </w:p>
        </w:tc>
        <w:tc>
          <w:tcPr>
            <w:tcW w:w="998" w:type="pct"/>
            <w:shd w:val="clear" w:color="auto" w:fill="auto"/>
            <w:noWrap/>
            <w:vAlign w:val="center"/>
            <w:hideMark/>
          </w:tcPr>
          <w:p w14:paraId="55F71A09"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1.662.104.851</w:t>
            </w:r>
          </w:p>
        </w:tc>
        <w:tc>
          <w:tcPr>
            <w:tcW w:w="677" w:type="pct"/>
            <w:shd w:val="clear" w:color="auto" w:fill="auto"/>
            <w:noWrap/>
            <w:vAlign w:val="center"/>
            <w:hideMark/>
          </w:tcPr>
          <w:p w14:paraId="03AEAF87"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97,61</w:t>
            </w:r>
            <w:r>
              <w:rPr>
                <w:rFonts w:ascii="Arial" w:eastAsia="Times New Roman" w:hAnsi="Arial" w:cs="Arial"/>
                <w:color w:val="000000"/>
                <w:sz w:val="18"/>
                <w:szCs w:val="18"/>
                <w:lang w:eastAsia="sl-SI"/>
              </w:rPr>
              <w:t xml:space="preserve"> %</w:t>
            </w:r>
          </w:p>
        </w:tc>
        <w:tc>
          <w:tcPr>
            <w:tcW w:w="1044" w:type="pct"/>
            <w:shd w:val="clear" w:color="auto" w:fill="auto"/>
            <w:noWrap/>
            <w:vAlign w:val="center"/>
            <w:hideMark/>
          </w:tcPr>
          <w:p w14:paraId="5F9082DE"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95,26</w:t>
            </w:r>
            <w:r>
              <w:rPr>
                <w:rFonts w:ascii="Arial" w:eastAsia="Times New Roman" w:hAnsi="Arial" w:cs="Arial"/>
                <w:color w:val="000000"/>
                <w:sz w:val="18"/>
                <w:szCs w:val="18"/>
                <w:lang w:eastAsia="sl-SI"/>
              </w:rPr>
              <w:t xml:space="preserve"> %</w:t>
            </w:r>
          </w:p>
        </w:tc>
      </w:tr>
      <w:tr w:rsidR="00E3750C" w:rsidRPr="00361B47" w14:paraId="4DF9996E" w14:textId="77777777" w:rsidTr="00047864">
        <w:trPr>
          <w:trHeight w:val="288"/>
        </w:trPr>
        <w:tc>
          <w:tcPr>
            <w:tcW w:w="448" w:type="pct"/>
            <w:vMerge/>
            <w:vAlign w:val="center"/>
            <w:hideMark/>
          </w:tcPr>
          <w:p w14:paraId="0A17E156" w14:textId="77777777" w:rsidR="00E3750C" w:rsidRPr="00361B47" w:rsidRDefault="00E3750C" w:rsidP="00047864">
            <w:pPr>
              <w:spacing w:after="0" w:line="240" w:lineRule="auto"/>
              <w:rPr>
                <w:rFonts w:ascii="Arial" w:eastAsia="Times New Roman" w:hAnsi="Arial" w:cs="Arial"/>
                <w:color w:val="000000"/>
                <w:sz w:val="18"/>
                <w:szCs w:val="18"/>
                <w:lang w:eastAsia="sl-SI"/>
              </w:rPr>
            </w:pPr>
          </w:p>
        </w:tc>
        <w:tc>
          <w:tcPr>
            <w:tcW w:w="1200" w:type="pct"/>
            <w:shd w:val="clear" w:color="auto" w:fill="auto"/>
            <w:noWrap/>
            <w:vAlign w:val="center"/>
            <w:hideMark/>
          </w:tcPr>
          <w:p w14:paraId="512C4ED9" w14:textId="77777777" w:rsidR="00E3750C" w:rsidRPr="00361B47" w:rsidRDefault="00E3750C" w:rsidP="00047864">
            <w:pPr>
              <w:spacing w:after="0" w:line="240" w:lineRule="auto"/>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Srbija</w:t>
            </w:r>
          </w:p>
        </w:tc>
        <w:tc>
          <w:tcPr>
            <w:tcW w:w="632" w:type="pct"/>
            <w:shd w:val="clear" w:color="auto" w:fill="auto"/>
            <w:noWrap/>
            <w:vAlign w:val="center"/>
            <w:hideMark/>
          </w:tcPr>
          <w:p w14:paraId="2BD9B3EC"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1</w:t>
            </w:r>
          </w:p>
        </w:tc>
        <w:tc>
          <w:tcPr>
            <w:tcW w:w="998" w:type="pct"/>
            <w:shd w:val="clear" w:color="auto" w:fill="auto"/>
            <w:noWrap/>
            <w:vAlign w:val="center"/>
            <w:hideMark/>
          </w:tcPr>
          <w:p w14:paraId="59D83D73"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73.860</w:t>
            </w:r>
          </w:p>
        </w:tc>
        <w:tc>
          <w:tcPr>
            <w:tcW w:w="677" w:type="pct"/>
            <w:shd w:val="clear" w:color="auto" w:fill="auto"/>
            <w:noWrap/>
            <w:vAlign w:val="center"/>
            <w:hideMark/>
          </w:tcPr>
          <w:p w14:paraId="57BA4103"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1044" w:type="pct"/>
            <w:shd w:val="clear" w:color="auto" w:fill="auto"/>
            <w:noWrap/>
            <w:vAlign w:val="center"/>
            <w:hideMark/>
          </w:tcPr>
          <w:p w14:paraId="1F5D00EF"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0,00</w:t>
            </w:r>
            <w:r>
              <w:rPr>
                <w:rFonts w:ascii="Arial" w:eastAsia="Times New Roman" w:hAnsi="Arial" w:cs="Arial"/>
                <w:color w:val="000000"/>
                <w:sz w:val="18"/>
                <w:szCs w:val="18"/>
                <w:lang w:eastAsia="sl-SI"/>
              </w:rPr>
              <w:t xml:space="preserve"> %</w:t>
            </w:r>
          </w:p>
        </w:tc>
      </w:tr>
      <w:tr w:rsidR="00E3750C" w:rsidRPr="00361B47" w14:paraId="73ED6EAE" w14:textId="77777777" w:rsidTr="00047864">
        <w:trPr>
          <w:trHeight w:val="288"/>
        </w:trPr>
        <w:tc>
          <w:tcPr>
            <w:tcW w:w="448" w:type="pct"/>
            <w:vMerge/>
            <w:vAlign w:val="center"/>
            <w:hideMark/>
          </w:tcPr>
          <w:p w14:paraId="7B7FEB2C" w14:textId="77777777" w:rsidR="00E3750C" w:rsidRPr="00361B47" w:rsidRDefault="00E3750C" w:rsidP="00047864">
            <w:pPr>
              <w:spacing w:after="0" w:line="240" w:lineRule="auto"/>
              <w:rPr>
                <w:rFonts w:ascii="Arial" w:eastAsia="Times New Roman" w:hAnsi="Arial" w:cs="Arial"/>
                <w:color w:val="000000"/>
                <w:sz w:val="18"/>
                <w:szCs w:val="18"/>
                <w:lang w:eastAsia="sl-SI"/>
              </w:rPr>
            </w:pPr>
          </w:p>
        </w:tc>
        <w:tc>
          <w:tcPr>
            <w:tcW w:w="1200" w:type="pct"/>
            <w:shd w:val="clear" w:color="auto" w:fill="auto"/>
            <w:noWrap/>
            <w:vAlign w:val="center"/>
            <w:hideMark/>
          </w:tcPr>
          <w:p w14:paraId="756DEB7F" w14:textId="77777777" w:rsidR="00E3750C" w:rsidRPr="00361B47" w:rsidRDefault="00E3750C" w:rsidP="00047864">
            <w:pPr>
              <w:spacing w:after="0" w:line="240" w:lineRule="auto"/>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Španija</w:t>
            </w:r>
          </w:p>
        </w:tc>
        <w:tc>
          <w:tcPr>
            <w:tcW w:w="632" w:type="pct"/>
            <w:shd w:val="clear" w:color="auto" w:fill="auto"/>
            <w:noWrap/>
            <w:vAlign w:val="center"/>
            <w:hideMark/>
          </w:tcPr>
          <w:p w14:paraId="14F0525D"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5</w:t>
            </w:r>
          </w:p>
        </w:tc>
        <w:tc>
          <w:tcPr>
            <w:tcW w:w="998" w:type="pct"/>
            <w:shd w:val="clear" w:color="auto" w:fill="auto"/>
            <w:noWrap/>
            <w:vAlign w:val="center"/>
            <w:hideMark/>
          </w:tcPr>
          <w:p w14:paraId="62946A90"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1.520.581</w:t>
            </w:r>
          </w:p>
        </w:tc>
        <w:tc>
          <w:tcPr>
            <w:tcW w:w="677" w:type="pct"/>
            <w:shd w:val="clear" w:color="auto" w:fill="auto"/>
            <w:noWrap/>
            <w:vAlign w:val="center"/>
            <w:hideMark/>
          </w:tcPr>
          <w:p w14:paraId="72C8F9AA"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0,12</w:t>
            </w:r>
            <w:r>
              <w:rPr>
                <w:rFonts w:ascii="Arial" w:eastAsia="Times New Roman" w:hAnsi="Arial" w:cs="Arial"/>
                <w:color w:val="000000"/>
                <w:sz w:val="18"/>
                <w:szCs w:val="18"/>
                <w:lang w:eastAsia="sl-SI"/>
              </w:rPr>
              <w:t xml:space="preserve"> %</w:t>
            </w:r>
          </w:p>
        </w:tc>
        <w:tc>
          <w:tcPr>
            <w:tcW w:w="1044" w:type="pct"/>
            <w:shd w:val="clear" w:color="auto" w:fill="auto"/>
            <w:noWrap/>
            <w:vAlign w:val="center"/>
            <w:hideMark/>
          </w:tcPr>
          <w:p w14:paraId="231EE96B"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0,09</w:t>
            </w:r>
            <w:r>
              <w:rPr>
                <w:rFonts w:ascii="Arial" w:eastAsia="Times New Roman" w:hAnsi="Arial" w:cs="Arial"/>
                <w:color w:val="000000"/>
                <w:sz w:val="18"/>
                <w:szCs w:val="18"/>
                <w:lang w:eastAsia="sl-SI"/>
              </w:rPr>
              <w:t xml:space="preserve"> %</w:t>
            </w:r>
          </w:p>
        </w:tc>
      </w:tr>
      <w:tr w:rsidR="00E3750C" w:rsidRPr="00361B47" w14:paraId="427AB463" w14:textId="77777777" w:rsidTr="00047864">
        <w:trPr>
          <w:trHeight w:val="288"/>
        </w:trPr>
        <w:tc>
          <w:tcPr>
            <w:tcW w:w="448" w:type="pct"/>
            <w:vMerge/>
            <w:vAlign w:val="center"/>
            <w:hideMark/>
          </w:tcPr>
          <w:p w14:paraId="76BC0DFB" w14:textId="77777777" w:rsidR="00E3750C" w:rsidRPr="00361B47" w:rsidRDefault="00E3750C" w:rsidP="00047864">
            <w:pPr>
              <w:spacing w:after="0" w:line="240" w:lineRule="auto"/>
              <w:rPr>
                <w:rFonts w:ascii="Arial" w:eastAsia="Times New Roman" w:hAnsi="Arial" w:cs="Arial"/>
                <w:color w:val="000000"/>
                <w:sz w:val="18"/>
                <w:szCs w:val="18"/>
                <w:lang w:eastAsia="sl-SI"/>
              </w:rPr>
            </w:pPr>
          </w:p>
        </w:tc>
        <w:tc>
          <w:tcPr>
            <w:tcW w:w="1200" w:type="pct"/>
            <w:shd w:val="clear" w:color="auto" w:fill="auto"/>
            <w:noWrap/>
            <w:vAlign w:val="center"/>
            <w:hideMark/>
          </w:tcPr>
          <w:p w14:paraId="2771514B" w14:textId="77777777" w:rsidR="00E3750C" w:rsidRPr="00361B47" w:rsidRDefault="00E3750C" w:rsidP="00047864">
            <w:pPr>
              <w:spacing w:after="0" w:line="240" w:lineRule="auto"/>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Švedska</w:t>
            </w:r>
          </w:p>
        </w:tc>
        <w:tc>
          <w:tcPr>
            <w:tcW w:w="632" w:type="pct"/>
            <w:shd w:val="clear" w:color="auto" w:fill="auto"/>
            <w:noWrap/>
            <w:vAlign w:val="center"/>
            <w:hideMark/>
          </w:tcPr>
          <w:p w14:paraId="41486E82"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2</w:t>
            </w:r>
          </w:p>
        </w:tc>
        <w:tc>
          <w:tcPr>
            <w:tcW w:w="998" w:type="pct"/>
            <w:shd w:val="clear" w:color="auto" w:fill="auto"/>
            <w:noWrap/>
            <w:vAlign w:val="center"/>
            <w:hideMark/>
          </w:tcPr>
          <w:p w14:paraId="12C436EA"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522.029</w:t>
            </w:r>
          </w:p>
        </w:tc>
        <w:tc>
          <w:tcPr>
            <w:tcW w:w="677" w:type="pct"/>
            <w:shd w:val="clear" w:color="auto" w:fill="auto"/>
            <w:noWrap/>
            <w:vAlign w:val="center"/>
            <w:hideMark/>
          </w:tcPr>
          <w:p w14:paraId="0C7B5FA4"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0,05</w:t>
            </w:r>
            <w:r>
              <w:rPr>
                <w:rFonts w:ascii="Arial" w:eastAsia="Times New Roman" w:hAnsi="Arial" w:cs="Arial"/>
                <w:color w:val="000000"/>
                <w:sz w:val="18"/>
                <w:szCs w:val="18"/>
                <w:lang w:eastAsia="sl-SI"/>
              </w:rPr>
              <w:t xml:space="preserve"> %</w:t>
            </w:r>
          </w:p>
        </w:tc>
        <w:tc>
          <w:tcPr>
            <w:tcW w:w="1044" w:type="pct"/>
            <w:shd w:val="clear" w:color="auto" w:fill="auto"/>
            <w:noWrap/>
            <w:vAlign w:val="center"/>
            <w:hideMark/>
          </w:tcPr>
          <w:p w14:paraId="7410C5A1"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r>
      <w:tr w:rsidR="00E3750C" w:rsidRPr="00361B47" w14:paraId="72E1200C" w14:textId="77777777" w:rsidTr="00047864">
        <w:trPr>
          <w:trHeight w:val="288"/>
        </w:trPr>
        <w:tc>
          <w:tcPr>
            <w:tcW w:w="448" w:type="pct"/>
            <w:vMerge/>
            <w:vAlign w:val="center"/>
            <w:hideMark/>
          </w:tcPr>
          <w:p w14:paraId="78672064" w14:textId="77777777" w:rsidR="00E3750C" w:rsidRPr="00361B47" w:rsidRDefault="00E3750C" w:rsidP="00047864">
            <w:pPr>
              <w:spacing w:after="0" w:line="240" w:lineRule="auto"/>
              <w:rPr>
                <w:rFonts w:ascii="Arial" w:eastAsia="Times New Roman" w:hAnsi="Arial" w:cs="Arial"/>
                <w:color w:val="000000"/>
                <w:sz w:val="18"/>
                <w:szCs w:val="18"/>
                <w:lang w:eastAsia="sl-SI"/>
              </w:rPr>
            </w:pPr>
          </w:p>
        </w:tc>
        <w:tc>
          <w:tcPr>
            <w:tcW w:w="1200" w:type="pct"/>
            <w:shd w:val="clear" w:color="auto" w:fill="auto"/>
            <w:noWrap/>
            <w:vAlign w:val="center"/>
            <w:hideMark/>
          </w:tcPr>
          <w:p w14:paraId="275281C8" w14:textId="77777777" w:rsidR="00E3750C" w:rsidRPr="00361B47" w:rsidRDefault="00E3750C" w:rsidP="00047864">
            <w:pPr>
              <w:spacing w:after="0" w:line="240" w:lineRule="auto"/>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Švica</w:t>
            </w:r>
          </w:p>
        </w:tc>
        <w:tc>
          <w:tcPr>
            <w:tcW w:w="632" w:type="pct"/>
            <w:shd w:val="clear" w:color="auto" w:fill="auto"/>
            <w:noWrap/>
            <w:vAlign w:val="center"/>
            <w:hideMark/>
          </w:tcPr>
          <w:p w14:paraId="2349AD66"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6</w:t>
            </w:r>
          </w:p>
        </w:tc>
        <w:tc>
          <w:tcPr>
            <w:tcW w:w="998" w:type="pct"/>
            <w:shd w:val="clear" w:color="auto" w:fill="auto"/>
            <w:noWrap/>
            <w:vAlign w:val="center"/>
            <w:hideMark/>
          </w:tcPr>
          <w:p w14:paraId="5C8DF06E"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45.240.778</w:t>
            </w:r>
          </w:p>
        </w:tc>
        <w:tc>
          <w:tcPr>
            <w:tcW w:w="677" w:type="pct"/>
            <w:shd w:val="clear" w:color="auto" w:fill="auto"/>
            <w:noWrap/>
            <w:vAlign w:val="center"/>
            <w:hideMark/>
          </w:tcPr>
          <w:p w14:paraId="4C4D85A6"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0,15</w:t>
            </w:r>
            <w:r>
              <w:rPr>
                <w:rFonts w:ascii="Arial" w:eastAsia="Times New Roman" w:hAnsi="Arial" w:cs="Arial"/>
                <w:color w:val="000000"/>
                <w:sz w:val="18"/>
                <w:szCs w:val="18"/>
                <w:lang w:eastAsia="sl-SI"/>
              </w:rPr>
              <w:t xml:space="preserve"> %</w:t>
            </w:r>
          </w:p>
        </w:tc>
        <w:tc>
          <w:tcPr>
            <w:tcW w:w="1044" w:type="pct"/>
            <w:shd w:val="clear" w:color="auto" w:fill="auto"/>
            <w:noWrap/>
            <w:vAlign w:val="center"/>
            <w:hideMark/>
          </w:tcPr>
          <w:p w14:paraId="550D1B67"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2,59</w:t>
            </w:r>
            <w:r>
              <w:rPr>
                <w:rFonts w:ascii="Arial" w:eastAsia="Times New Roman" w:hAnsi="Arial" w:cs="Arial"/>
                <w:color w:val="000000"/>
                <w:sz w:val="18"/>
                <w:szCs w:val="18"/>
                <w:lang w:eastAsia="sl-SI"/>
              </w:rPr>
              <w:t xml:space="preserve"> %</w:t>
            </w:r>
          </w:p>
        </w:tc>
      </w:tr>
      <w:tr w:rsidR="00E3750C" w:rsidRPr="00361B47" w14:paraId="7F0E4EA2" w14:textId="77777777" w:rsidTr="00047864">
        <w:trPr>
          <w:trHeight w:val="288"/>
        </w:trPr>
        <w:tc>
          <w:tcPr>
            <w:tcW w:w="448" w:type="pct"/>
            <w:vMerge/>
            <w:vAlign w:val="center"/>
            <w:hideMark/>
          </w:tcPr>
          <w:p w14:paraId="41976033" w14:textId="77777777" w:rsidR="00E3750C" w:rsidRPr="00361B47" w:rsidRDefault="00E3750C" w:rsidP="00047864">
            <w:pPr>
              <w:spacing w:after="0" w:line="240" w:lineRule="auto"/>
              <w:rPr>
                <w:rFonts w:ascii="Arial" w:eastAsia="Times New Roman" w:hAnsi="Arial" w:cs="Arial"/>
                <w:color w:val="000000"/>
                <w:sz w:val="18"/>
                <w:szCs w:val="18"/>
                <w:lang w:eastAsia="sl-SI"/>
              </w:rPr>
            </w:pPr>
          </w:p>
        </w:tc>
        <w:tc>
          <w:tcPr>
            <w:tcW w:w="1200" w:type="pct"/>
            <w:shd w:val="clear" w:color="auto" w:fill="auto"/>
            <w:noWrap/>
            <w:vAlign w:val="center"/>
            <w:hideMark/>
          </w:tcPr>
          <w:p w14:paraId="67525779" w14:textId="77777777" w:rsidR="00E3750C" w:rsidRPr="00361B47" w:rsidRDefault="00E3750C" w:rsidP="00047864">
            <w:pPr>
              <w:spacing w:after="0" w:line="240" w:lineRule="auto"/>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Združene države Amerike</w:t>
            </w:r>
          </w:p>
        </w:tc>
        <w:tc>
          <w:tcPr>
            <w:tcW w:w="632" w:type="pct"/>
            <w:shd w:val="clear" w:color="auto" w:fill="auto"/>
            <w:noWrap/>
            <w:vAlign w:val="center"/>
            <w:hideMark/>
          </w:tcPr>
          <w:p w14:paraId="5CF299B8"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10</w:t>
            </w:r>
          </w:p>
        </w:tc>
        <w:tc>
          <w:tcPr>
            <w:tcW w:w="998" w:type="pct"/>
            <w:shd w:val="clear" w:color="auto" w:fill="auto"/>
            <w:noWrap/>
            <w:vAlign w:val="center"/>
            <w:hideMark/>
          </w:tcPr>
          <w:p w14:paraId="61FFFCBC"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4.197.827</w:t>
            </w:r>
          </w:p>
        </w:tc>
        <w:tc>
          <w:tcPr>
            <w:tcW w:w="677" w:type="pct"/>
            <w:shd w:val="clear" w:color="auto" w:fill="auto"/>
            <w:noWrap/>
            <w:vAlign w:val="center"/>
            <w:hideMark/>
          </w:tcPr>
          <w:p w14:paraId="348FB0C8"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0,25</w:t>
            </w:r>
            <w:r>
              <w:rPr>
                <w:rFonts w:ascii="Arial" w:eastAsia="Times New Roman" w:hAnsi="Arial" w:cs="Arial"/>
                <w:color w:val="000000"/>
                <w:sz w:val="18"/>
                <w:szCs w:val="18"/>
                <w:lang w:eastAsia="sl-SI"/>
              </w:rPr>
              <w:t xml:space="preserve"> %</w:t>
            </w:r>
          </w:p>
        </w:tc>
        <w:tc>
          <w:tcPr>
            <w:tcW w:w="1044" w:type="pct"/>
            <w:shd w:val="clear" w:color="auto" w:fill="auto"/>
            <w:noWrap/>
            <w:vAlign w:val="center"/>
            <w:hideMark/>
          </w:tcPr>
          <w:p w14:paraId="077DC57F"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0,24</w:t>
            </w:r>
            <w:r>
              <w:rPr>
                <w:rFonts w:ascii="Arial" w:eastAsia="Times New Roman" w:hAnsi="Arial" w:cs="Arial"/>
                <w:color w:val="000000"/>
                <w:sz w:val="18"/>
                <w:szCs w:val="18"/>
                <w:lang w:eastAsia="sl-SI"/>
              </w:rPr>
              <w:t xml:space="preserve"> %</w:t>
            </w:r>
          </w:p>
        </w:tc>
      </w:tr>
      <w:tr w:rsidR="00E3750C" w:rsidRPr="00361B47" w14:paraId="14BF658D" w14:textId="77777777" w:rsidTr="00047864">
        <w:trPr>
          <w:trHeight w:val="288"/>
        </w:trPr>
        <w:tc>
          <w:tcPr>
            <w:tcW w:w="448" w:type="pct"/>
            <w:vMerge/>
            <w:vAlign w:val="center"/>
            <w:hideMark/>
          </w:tcPr>
          <w:p w14:paraId="62EB9137" w14:textId="77777777" w:rsidR="00E3750C" w:rsidRPr="00361B47" w:rsidRDefault="00E3750C" w:rsidP="00047864">
            <w:pPr>
              <w:spacing w:after="0" w:line="240" w:lineRule="auto"/>
              <w:rPr>
                <w:rFonts w:ascii="Arial" w:eastAsia="Times New Roman" w:hAnsi="Arial" w:cs="Arial"/>
                <w:color w:val="000000"/>
                <w:sz w:val="18"/>
                <w:szCs w:val="18"/>
                <w:lang w:eastAsia="sl-SI"/>
              </w:rPr>
            </w:pPr>
          </w:p>
        </w:tc>
        <w:tc>
          <w:tcPr>
            <w:tcW w:w="1200" w:type="pct"/>
            <w:shd w:val="clear" w:color="auto" w:fill="auto"/>
            <w:noWrap/>
            <w:vAlign w:val="center"/>
            <w:hideMark/>
          </w:tcPr>
          <w:p w14:paraId="022EC845" w14:textId="77777777" w:rsidR="00E3750C" w:rsidRPr="00361B47" w:rsidRDefault="00E3750C" w:rsidP="00047864">
            <w:pPr>
              <w:spacing w:after="0" w:line="240" w:lineRule="auto"/>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Združeno kraljestvo</w:t>
            </w:r>
          </w:p>
        </w:tc>
        <w:tc>
          <w:tcPr>
            <w:tcW w:w="632" w:type="pct"/>
            <w:shd w:val="clear" w:color="auto" w:fill="auto"/>
            <w:noWrap/>
            <w:vAlign w:val="center"/>
            <w:hideMark/>
          </w:tcPr>
          <w:p w14:paraId="57C5B803"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3</w:t>
            </w:r>
          </w:p>
        </w:tc>
        <w:tc>
          <w:tcPr>
            <w:tcW w:w="998" w:type="pct"/>
            <w:shd w:val="clear" w:color="auto" w:fill="auto"/>
            <w:noWrap/>
            <w:vAlign w:val="center"/>
            <w:hideMark/>
          </w:tcPr>
          <w:p w14:paraId="573126BA"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744.262</w:t>
            </w:r>
          </w:p>
        </w:tc>
        <w:tc>
          <w:tcPr>
            <w:tcW w:w="677" w:type="pct"/>
            <w:shd w:val="clear" w:color="auto" w:fill="auto"/>
            <w:noWrap/>
            <w:vAlign w:val="center"/>
            <w:hideMark/>
          </w:tcPr>
          <w:p w14:paraId="13A7A409"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0,07</w:t>
            </w:r>
            <w:r>
              <w:rPr>
                <w:rFonts w:ascii="Arial" w:eastAsia="Times New Roman" w:hAnsi="Arial" w:cs="Arial"/>
                <w:color w:val="000000"/>
                <w:sz w:val="18"/>
                <w:szCs w:val="18"/>
                <w:lang w:eastAsia="sl-SI"/>
              </w:rPr>
              <w:t xml:space="preserve"> %</w:t>
            </w:r>
          </w:p>
        </w:tc>
        <w:tc>
          <w:tcPr>
            <w:tcW w:w="1044" w:type="pct"/>
            <w:shd w:val="clear" w:color="auto" w:fill="auto"/>
            <w:noWrap/>
            <w:vAlign w:val="center"/>
            <w:hideMark/>
          </w:tcPr>
          <w:p w14:paraId="214CA76B"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0,04</w:t>
            </w:r>
            <w:r>
              <w:rPr>
                <w:rFonts w:ascii="Arial" w:eastAsia="Times New Roman" w:hAnsi="Arial" w:cs="Arial"/>
                <w:color w:val="000000"/>
                <w:sz w:val="18"/>
                <w:szCs w:val="18"/>
                <w:lang w:eastAsia="sl-SI"/>
              </w:rPr>
              <w:t xml:space="preserve"> %</w:t>
            </w:r>
          </w:p>
        </w:tc>
      </w:tr>
      <w:tr w:rsidR="00E3750C" w:rsidRPr="00361B47" w14:paraId="028FE88E" w14:textId="77777777" w:rsidTr="00047864">
        <w:trPr>
          <w:trHeight w:val="288"/>
        </w:trPr>
        <w:tc>
          <w:tcPr>
            <w:tcW w:w="448" w:type="pct"/>
            <w:vMerge/>
            <w:vAlign w:val="center"/>
            <w:hideMark/>
          </w:tcPr>
          <w:p w14:paraId="0DA7961C" w14:textId="77777777" w:rsidR="00E3750C" w:rsidRPr="00361B47" w:rsidRDefault="00E3750C" w:rsidP="00047864">
            <w:pPr>
              <w:spacing w:after="0" w:line="240" w:lineRule="auto"/>
              <w:rPr>
                <w:rFonts w:ascii="Arial" w:eastAsia="Times New Roman" w:hAnsi="Arial" w:cs="Arial"/>
                <w:color w:val="000000"/>
                <w:sz w:val="18"/>
                <w:szCs w:val="18"/>
                <w:lang w:eastAsia="sl-SI"/>
              </w:rPr>
            </w:pPr>
          </w:p>
        </w:tc>
        <w:tc>
          <w:tcPr>
            <w:tcW w:w="1200" w:type="pct"/>
            <w:shd w:val="clear" w:color="auto" w:fill="auto"/>
            <w:noWrap/>
            <w:vAlign w:val="center"/>
            <w:hideMark/>
          </w:tcPr>
          <w:p w14:paraId="71367960" w14:textId="77777777" w:rsidR="00E3750C" w:rsidRPr="00361B47" w:rsidRDefault="00E3750C" w:rsidP="00047864">
            <w:pPr>
              <w:spacing w:after="0" w:line="240" w:lineRule="auto"/>
              <w:rPr>
                <w:rFonts w:ascii="Arial" w:eastAsia="Times New Roman" w:hAnsi="Arial" w:cs="Arial"/>
                <w:b/>
                <w:bCs/>
                <w:color w:val="000000"/>
                <w:sz w:val="18"/>
                <w:szCs w:val="18"/>
                <w:lang w:eastAsia="sl-SI"/>
              </w:rPr>
            </w:pPr>
            <w:r w:rsidRPr="00361B47">
              <w:rPr>
                <w:rFonts w:ascii="Arial" w:eastAsia="Times New Roman" w:hAnsi="Arial" w:cs="Arial"/>
                <w:b/>
                <w:bCs/>
                <w:color w:val="000000"/>
                <w:sz w:val="18"/>
                <w:szCs w:val="18"/>
                <w:lang w:eastAsia="sl-SI"/>
              </w:rPr>
              <w:t>Skupaj</w:t>
            </w:r>
          </w:p>
        </w:tc>
        <w:tc>
          <w:tcPr>
            <w:tcW w:w="632" w:type="pct"/>
            <w:shd w:val="clear" w:color="auto" w:fill="auto"/>
            <w:noWrap/>
            <w:vAlign w:val="center"/>
            <w:hideMark/>
          </w:tcPr>
          <w:p w14:paraId="51DB4379" w14:textId="77777777" w:rsidR="00E3750C" w:rsidRPr="00361B47" w:rsidRDefault="00E3750C" w:rsidP="00047864">
            <w:pPr>
              <w:spacing w:after="0" w:line="240" w:lineRule="auto"/>
              <w:jc w:val="right"/>
              <w:rPr>
                <w:rFonts w:ascii="Arial" w:eastAsia="Times New Roman" w:hAnsi="Arial" w:cs="Arial"/>
                <w:b/>
                <w:bCs/>
                <w:color w:val="000000"/>
                <w:sz w:val="18"/>
                <w:szCs w:val="18"/>
                <w:lang w:eastAsia="sl-SI"/>
              </w:rPr>
            </w:pPr>
            <w:r w:rsidRPr="00361B47">
              <w:rPr>
                <w:rFonts w:ascii="Arial" w:eastAsia="Times New Roman" w:hAnsi="Arial" w:cs="Arial"/>
                <w:b/>
                <w:bCs/>
                <w:color w:val="000000"/>
                <w:sz w:val="18"/>
                <w:szCs w:val="18"/>
                <w:lang w:eastAsia="sl-SI"/>
              </w:rPr>
              <w:t>4.012</w:t>
            </w:r>
          </w:p>
        </w:tc>
        <w:tc>
          <w:tcPr>
            <w:tcW w:w="998" w:type="pct"/>
            <w:shd w:val="clear" w:color="auto" w:fill="auto"/>
            <w:noWrap/>
            <w:vAlign w:val="center"/>
            <w:hideMark/>
          </w:tcPr>
          <w:p w14:paraId="63B84C80" w14:textId="77777777" w:rsidR="00E3750C" w:rsidRPr="00361B47" w:rsidRDefault="00E3750C" w:rsidP="00047864">
            <w:pPr>
              <w:spacing w:after="0" w:line="240" w:lineRule="auto"/>
              <w:jc w:val="right"/>
              <w:rPr>
                <w:rFonts w:ascii="Arial" w:eastAsia="Times New Roman" w:hAnsi="Arial" w:cs="Arial"/>
                <w:b/>
                <w:bCs/>
                <w:color w:val="000000"/>
                <w:sz w:val="18"/>
                <w:szCs w:val="18"/>
                <w:lang w:eastAsia="sl-SI"/>
              </w:rPr>
            </w:pPr>
            <w:r w:rsidRPr="00361B47">
              <w:rPr>
                <w:rFonts w:ascii="Arial" w:eastAsia="Times New Roman" w:hAnsi="Arial" w:cs="Arial"/>
                <w:b/>
                <w:bCs/>
                <w:color w:val="000000"/>
                <w:sz w:val="18"/>
                <w:szCs w:val="18"/>
                <w:lang w:eastAsia="sl-SI"/>
              </w:rPr>
              <w:t>1.744.765.689</w:t>
            </w:r>
          </w:p>
        </w:tc>
        <w:tc>
          <w:tcPr>
            <w:tcW w:w="677" w:type="pct"/>
            <w:shd w:val="clear" w:color="auto" w:fill="auto"/>
            <w:noWrap/>
            <w:vAlign w:val="center"/>
            <w:hideMark/>
          </w:tcPr>
          <w:p w14:paraId="305BB8A5" w14:textId="77777777" w:rsidR="00E3750C" w:rsidRPr="00361B47" w:rsidRDefault="00E3750C" w:rsidP="00047864">
            <w:pPr>
              <w:spacing w:after="0" w:line="240" w:lineRule="auto"/>
              <w:jc w:val="right"/>
              <w:rPr>
                <w:rFonts w:ascii="Arial" w:eastAsia="Times New Roman" w:hAnsi="Arial" w:cs="Arial"/>
                <w:b/>
                <w:bCs/>
                <w:color w:val="000000"/>
                <w:sz w:val="18"/>
                <w:szCs w:val="18"/>
                <w:lang w:eastAsia="sl-SI"/>
              </w:rPr>
            </w:pPr>
            <w:r w:rsidRPr="00361B47">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1044" w:type="pct"/>
            <w:shd w:val="clear" w:color="auto" w:fill="auto"/>
            <w:noWrap/>
            <w:vAlign w:val="center"/>
            <w:hideMark/>
          </w:tcPr>
          <w:p w14:paraId="49C76C3B" w14:textId="77777777" w:rsidR="00E3750C" w:rsidRPr="00361B47" w:rsidRDefault="00E3750C" w:rsidP="00047864">
            <w:pPr>
              <w:spacing w:after="0" w:line="240" w:lineRule="auto"/>
              <w:jc w:val="right"/>
              <w:rPr>
                <w:rFonts w:ascii="Arial" w:eastAsia="Times New Roman" w:hAnsi="Arial" w:cs="Arial"/>
                <w:b/>
                <w:bCs/>
                <w:color w:val="000000"/>
                <w:sz w:val="18"/>
                <w:szCs w:val="18"/>
                <w:lang w:eastAsia="sl-SI"/>
              </w:rPr>
            </w:pPr>
            <w:r w:rsidRPr="00361B47">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E3750C" w:rsidRPr="00361B47" w14:paraId="4CFDF646" w14:textId="77777777" w:rsidTr="00047864">
        <w:trPr>
          <w:trHeight w:val="288"/>
        </w:trPr>
        <w:tc>
          <w:tcPr>
            <w:tcW w:w="448" w:type="pct"/>
            <w:vMerge w:val="restart"/>
            <w:shd w:val="clear" w:color="auto" w:fill="auto"/>
            <w:noWrap/>
            <w:vAlign w:val="center"/>
            <w:hideMark/>
          </w:tcPr>
          <w:p w14:paraId="65D9503F" w14:textId="77777777" w:rsidR="00E3750C" w:rsidRPr="00361B47" w:rsidRDefault="00E3750C" w:rsidP="00047864">
            <w:pPr>
              <w:spacing w:after="0" w:line="240" w:lineRule="auto"/>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Gradnje</w:t>
            </w:r>
          </w:p>
        </w:tc>
        <w:tc>
          <w:tcPr>
            <w:tcW w:w="1200" w:type="pct"/>
            <w:shd w:val="clear" w:color="auto" w:fill="auto"/>
            <w:noWrap/>
            <w:vAlign w:val="center"/>
            <w:hideMark/>
          </w:tcPr>
          <w:p w14:paraId="5CE877B9" w14:textId="77777777" w:rsidR="00E3750C" w:rsidRPr="00361B47" w:rsidRDefault="00E3750C" w:rsidP="00047864">
            <w:pPr>
              <w:spacing w:after="0" w:line="240" w:lineRule="auto"/>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Hrvaška</w:t>
            </w:r>
          </w:p>
        </w:tc>
        <w:tc>
          <w:tcPr>
            <w:tcW w:w="632" w:type="pct"/>
            <w:shd w:val="clear" w:color="auto" w:fill="auto"/>
            <w:noWrap/>
            <w:vAlign w:val="center"/>
            <w:hideMark/>
          </w:tcPr>
          <w:p w14:paraId="5D45E832"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4</w:t>
            </w:r>
          </w:p>
        </w:tc>
        <w:tc>
          <w:tcPr>
            <w:tcW w:w="998" w:type="pct"/>
            <w:shd w:val="clear" w:color="auto" w:fill="auto"/>
            <w:noWrap/>
            <w:vAlign w:val="center"/>
            <w:hideMark/>
          </w:tcPr>
          <w:p w14:paraId="5DE9A6E5"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1.628.296</w:t>
            </w:r>
          </w:p>
        </w:tc>
        <w:tc>
          <w:tcPr>
            <w:tcW w:w="677" w:type="pct"/>
            <w:shd w:val="clear" w:color="auto" w:fill="auto"/>
            <w:noWrap/>
            <w:vAlign w:val="center"/>
            <w:hideMark/>
          </w:tcPr>
          <w:p w14:paraId="67B48C23"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0,23</w:t>
            </w:r>
            <w:r>
              <w:rPr>
                <w:rFonts w:ascii="Arial" w:eastAsia="Times New Roman" w:hAnsi="Arial" w:cs="Arial"/>
                <w:color w:val="000000"/>
                <w:sz w:val="18"/>
                <w:szCs w:val="18"/>
                <w:lang w:eastAsia="sl-SI"/>
              </w:rPr>
              <w:t xml:space="preserve"> %</w:t>
            </w:r>
          </w:p>
        </w:tc>
        <w:tc>
          <w:tcPr>
            <w:tcW w:w="1044" w:type="pct"/>
            <w:shd w:val="clear" w:color="auto" w:fill="auto"/>
            <w:noWrap/>
            <w:vAlign w:val="center"/>
            <w:hideMark/>
          </w:tcPr>
          <w:p w14:paraId="1470F89A"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0,09</w:t>
            </w:r>
            <w:r>
              <w:rPr>
                <w:rFonts w:ascii="Arial" w:eastAsia="Times New Roman" w:hAnsi="Arial" w:cs="Arial"/>
                <w:color w:val="000000"/>
                <w:sz w:val="18"/>
                <w:szCs w:val="18"/>
                <w:lang w:eastAsia="sl-SI"/>
              </w:rPr>
              <w:t xml:space="preserve"> %</w:t>
            </w:r>
          </w:p>
        </w:tc>
      </w:tr>
      <w:tr w:rsidR="00E3750C" w:rsidRPr="00361B47" w14:paraId="7262DACF" w14:textId="77777777" w:rsidTr="00047864">
        <w:trPr>
          <w:trHeight w:val="288"/>
        </w:trPr>
        <w:tc>
          <w:tcPr>
            <w:tcW w:w="448" w:type="pct"/>
            <w:vMerge/>
            <w:vAlign w:val="center"/>
            <w:hideMark/>
          </w:tcPr>
          <w:p w14:paraId="45DDBC76" w14:textId="77777777" w:rsidR="00E3750C" w:rsidRPr="00361B47" w:rsidRDefault="00E3750C" w:rsidP="00047864">
            <w:pPr>
              <w:spacing w:after="0" w:line="240" w:lineRule="auto"/>
              <w:rPr>
                <w:rFonts w:ascii="Arial" w:eastAsia="Times New Roman" w:hAnsi="Arial" w:cs="Arial"/>
                <w:color w:val="000000"/>
                <w:sz w:val="18"/>
                <w:szCs w:val="18"/>
                <w:lang w:eastAsia="sl-SI"/>
              </w:rPr>
            </w:pPr>
          </w:p>
        </w:tc>
        <w:tc>
          <w:tcPr>
            <w:tcW w:w="1200" w:type="pct"/>
            <w:shd w:val="clear" w:color="auto" w:fill="auto"/>
            <w:noWrap/>
            <w:vAlign w:val="center"/>
            <w:hideMark/>
          </w:tcPr>
          <w:p w14:paraId="6693DD52" w14:textId="77777777" w:rsidR="00E3750C" w:rsidRPr="00361B47" w:rsidRDefault="00E3750C" w:rsidP="00047864">
            <w:pPr>
              <w:spacing w:after="0" w:line="240" w:lineRule="auto"/>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Slovenija</w:t>
            </w:r>
          </w:p>
        </w:tc>
        <w:tc>
          <w:tcPr>
            <w:tcW w:w="632" w:type="pct"/>
            <w:shd w:val="clear" w:color="auto" w:fill="auto"/>
            <w:noWrap/>
            <w:vAlign w:val="center"/>
            <w:hideMark/>
          </w:tcPr>
          <w:p w14:paraId="519E868D"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1.751</w:t>
            </w:r>
          </w:p>
        </w:tc>
        <w:tc>
          <w:tcPr>
            <w:tcW w:w="998" w:type="pct"/>
            <w:shd w:val="clear" w:color="auto" w:fill="auto"/>
            <w:noWrap/>
            <w:vAlign w:val="center"/>
            <w:hideMark/>
          </w:tcPr>
          <w:p w14:paraId="499CC16A"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1.859.938.899</w:t>
            </w:r>
          </w:p>
        </w:tc>
        <w:tc>
          <w:tcPr>
            <w:tcW w:w="677" w:type="pct"/>
            <w:shd w:val="clear" w:color="auto" w:fill="auto"/>
            <w:noWrap/>
            <w:vAlign w:val="center"/>
            <w:hideMark/>
          </w:tcPr>
          <w:p w14:paraId="1DB4D275"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99,77</w:t>
            </w:r>
            <w:r>
              <w:rPr>
                <w:rFonts w:ascii="Arial" w:eastAsia="Times New Roman" w:hAnsi="Arial" w:cs="Arial"/>
                <w:color w:val="000000"/>
                <w:sz w:val="18"/>
                <w:szCs w:val="18"/>
                <w:lang w:eastAsia="sl-SI"/>
              </w:rPr>
              <w:t xml:space="preserve"> %</w:t>
            </w:r>
          </w:p>
        </w:tc>
        <w:tc>
          <w:tcPr>
            <w:tcW w:w="1044" w:type="pct"/>
            <w:shd w:val="clear" w:color="auto" w:fill="auto"/>
            <w:noWrap/>
            <w:vAlign w:val="center"/>
            <w:hideMark/>
          </w:tcPr>
          <w:p w14:paraId="3CFA88E7" w14:textId="77777777" w:rsidR="00E3750C" w:rsidRPr="00361B47" w:rsidRDefault="00E3750C" w:rsidP="00047864">
            <w:pPr>
              <w:spacing w:after="0" w:line="240" w:lineRule="auto"/>
              <w:jc w:val="right"/>
              <w:rPr>
                <w:rFonts w:ascii="Arial" w:eastAsia="Times New Roman" w:hAnsi="Arial" w:cs="Arial"/>
                <w:color w:val="000000"/>
                <w:sz w:val="18"/>
                <w:szCs w:val="18"/>
                <w:lang w:eastAsia="sl-SI"/>
              </w:rPr>
            </w:pPr>
            <w:r w:rsidRPr="00361B47">
              <w:rPr>
                <w:rFonts w:ascii="Arial" w:eastAsia="Times New Roman" w:hAnsi="Arial" w:cs="Arial"/>
                <w:color w:val="000000"/>
                <w:sz w:val="18"/>
                <w:szCs w:val="18"/>
                <w:lang w:eastAsia="sl-SI"/>
              </w:rPr>
              <w:t>99,91</w:t>
            </w:r>
            <w:r>
              <w:rPr>
                <w:rFonts w:ascii="Arial" w:eastAsia="Times New Roman" w:hAnsi="Arial" w:cs="Arial"/>
                <w:color w:val="000000"/>
                <w:sz w:val="18"/>
                <w:szCs w:val="18"/>
                <w:lang w:eastAsia="sl-SI"/>
              </w:rPr>
              <w:t xml:space="preserve"> %</w:t>
            </w:r>
          </w:p>
        </w:tc>
      </w:tr>
      <w:tr w:rsidR="00E3750C" w:rsidRPr="00361B47" w14:paraId="4CEDDBB1" w14:textId="77777777" w:rsidTr="00047864">
        <w:trPr>
          <w:trHeight w:val="288"/>
        </w:trPr>
        <w:tc>
          <w:tcPr>
            <w:tcW w:w="448" w:type="pct"/>
            <w:vMerge/>
            <w:vAlign w:val="center"/>
            <w:hideMark/>
          </w:tcPr>
          <w:p w14:paraId="55712FAF" w14:textId="77777777" w:rsidR="00E3750C" w:rsidRPr="00361B47" w:rsidRDefault="00E3750C" w:rsidP="00047864">
            <w:pPr>
              <w:spacing w:after="0" w:line="240" w:lineRule="auto"/>
              <w:rPr>
                <w:rFonts w:ascii="Arial" w:eastAsia="Times New Roman" w:hAnsi="Arial" w:cs="Arial"/>
                <w:color w:val="000000"/>
                <w:sz w:val="18"/>
                <w:szCs w:val="18"/>
                <w:lang w:eastAsia="sl-SI"/>
              </w:rPr>
            </w:pPr>
          </w:p>
        </w:tc>
        <w:tc>
          <w:tcPr>
            <w:tcW w:w="1200" w:type="pct"/>
            <w:shd w:val="clear" w:color="auto" w:fill="auto"/>
            <w:noWrap/>
            <w:vAlign w:val="center"/>
            <w:hideMark/>
          </w:tcPr>
          <w:p w14:paraId="723F2968" w14:textId="77777777" w:rsidR="00E3750C" w:rsidRPr="00361B47" w:rsidRDefault="00E3750C" w:rsidP="00047864">
            <w:pPr>
              <w:spacing w:after="0" w:line="240" w:lineRule="auto"/>
              <w:rPr>
                <w:rFonts w:ascii="Arial" w:eastAsia="Times New Roman" w:hAnsi="Arial" w:cs="Arial"/>
                <w:b/>
                <w:bCs/>
                <w:color w:val="000000"/>
                <w:sz w:val="18"/>
                <w:szCs w:val="18"/>
                <w:lang w:eastAsia="sl-SI"/>
              </w:rPr>
            </w:pPr>
            <w:r w:rsidRPr="00361B47">
              <w:rPr>
                <w:rFonts w:ascii="Arial" w:eastAsia="Times New Roman" w:hAnsi="Arial" w:cs="Arial"/>
                <w:b/>
                <w:bCs/>
                <w:color w:val="000000"/>
                <w:sz w:val="18"/>
                <w:szCs w:val="18"/>
                <w:lang w:eastAsia="sl-SI"/>
              </w:rPr>
              <w:t>Skupaj</w:t>
            </w:r>
          </w:p>
        </w:tc>
        <w:tc>
          <w:tcPr>
            <w:tcW w:w="632" w:type="pct"/>
            <w:shd w:val="clear" w:color="auto" w:fill="auto"/>
            <w:noWrap/>
            <w:vAlign w:val="center"/>
            <w:hideMark/>
          </w:tcPr>
          <w:p w14:paraId="7C247D01" w14:textId="77777777" w:rsidR="00E3750C" w:rsidRPr="00361B47" w:rsidRDefault="00E3750C" w:rsidP="00047864">
            <w:pPr>
              <w:spacing w:after="0" w:line="240" w:lineRule="auto"/>
              <w:jc w:val="right"/>
              <w:rPr>
                <w:rFonts w:ascii="Arial" w:eastAsia="Times New Roman" w:hAnsi="Arial" w:cs="Arial"/>
                <w:b/>
                <w:bCs/>
                <w:color w:val="000000"/>
                <w:sz w:val="18"/>
                <w:szCs w:val="18"/>
                <w:lang w:eastAsia="sl-SI"/>
              </w:rPr>
            </w:pPr>
            <w:r w:rsidRPr="00361B47">
              <w:rPr>
                <w:rFonts w:ascii="Arial" w:eastAsia="Times New Roman" w:hAnsi="Arial" w:cs="Arial"/>
                <w:b/>
                <w:bCs/>
                <w:color w:val="000000"/>
                <w:sz w:val="18"/>
                <w:szCs w:val="18"/>
                <w:lang w:eastAsia="sl-SI"/>
              </w:rPr>
              <w:t>1.755</w:t>
            </w:r>
          </w:p>
        </w:tc>
        <w:tc>
          <w:tcPr>
            <w:tcW w:w="998" w:type="pct"/>
            <w:shd w:val="clear" w:color="auto" w:fill="auto"/>
            <w:noWrap/>
            <w:vAlign w:val="center"/>
            <w:hideMark/>
          </w:tcPr>
          <w:p w14:paraId="1EDC83E1" w14:textId="77777777" w:rsidR="00E3750C" w:rsidRPr="00361B47" w:rsidRDefault="00E3750C" w:rsidP="00047864">
            <w:pPr>
              <w:spacing w:after="0" w:line="240" w:lineRule="auto"/>
              <w:jc w:val="right"/>
              <w:rPr>
                <w:rFonts w:ascii="Arial" w:eastAsia="Times New Roman" w:hAnsi="Arial" w:cs="Arial"/>
                <w:b/>
                <w:bCs/>
                <w:color w:val="000000"/>
                <w:sz w:val="18"/>
                <w:szCs w:val="18"/>
                <w:lang w:eastAsia="sl-SI"/>
              </w:rPr>
            </w:pPr>
            <w:r w:rsidRPr="00361B47">
              <w:rPr>
                <w:rFonts w:ascii="Arial" w:eastAsia="Times New Roman" w:hAnsi="Arial" w:cs="Arial"/>
                <w:b/>
                <w:bCs/>
                <w:color w:val="000000"/>
                <w:sz w:val="18"/>
                <w:szCs w:val="18"/>
                <w:lang w:eastAsia="sl-SI"/>
              </w:rPr>
              <w:t>1.861.567.195</w:t>
            </w:r>
          </w:p>
        </w:tc>
        <w:tc>
          <w:tcPr>
            <w:tcW w:w="677" w:type="pct"/>
            <w:shd w:val="clear" w:color="auto" w:fill="auto"/>
            <w:noWrap/>
            <w:vAlign w:val="center"/>
            <w:hideMark/>
          </w:tcPr>
          <w:p w14:paraId="0CBC139A" w14:textId="77777777" w:rsidR="00E3750C" w:rsidRPr="00361B47" w:rsidRDefault="00E3750C" w:rsidP="00047864">
            <w:pPr>
              <w:spacing w:after="0" w:line="240" w:lineRule="auto"/>
              <w:jc w:val="right"/>
              <w:rPr>
                <w:rFonts w:ascii="Arial" w:eastAsia="Times New Roman" w:hAnsi="Arial" w:cs="Arial"/>
                <w:b/>
                <w:bCs/>
                <w:color w:val="000000"/>
                <w:sz w:val="18"/>
                <w:szCs w:val="18"/>
                <w:lang w:eastAsia="sl-SI"/>
              </w:rPr>
            </w:pPr>
            <w:r w:rsidRPr="00361B47">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1044" w:type="pct"/>
            <w:shd w:val="clear" w:color="auto" w:fill="auto"/>
            <w:noWrap/>
            <w:vAlign w:val="center"/>
            <w:hideMark/>
          </w:tcPr>
          <w:p w14:paraId="2648ABA7" w14:textId="77777777" w:rsidR="00E3750C" w:rsidRPr="00361B47" w:rsidRDefault="00E3750C" w:rsidP="00047864">
            <w:pPr>
              <w:spacing w:after="0" w:line="240" w:lineRule="auto"/>
              <w:jc w:val="right"/>
              <w:rPr>
                <w:rFonts w:ascii="Arial" w:eastAsia="Times New Roman" w:hAnsi="Arial" w:cs="Arial"/>
                <w:b/>
                <w:bCs/>
                <w:color w:val="000000"/>
                <w:sz w:val="18"/>
                <w:szCs w:val="18"/>
                <w:lang w:eastAsia="sl-SI"/>
              </w:rPr>
            </w:pPr>
            <w:r w:rsidRPr="00361B47">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E3750C" w:rsidRPr="00361B47" w14:paraId="315D1374" w14:textId="77777777" w:rsidTr="00047864">
        <w:trPr>
          <w:gridAfter w:val="2"/>
          <w:wAfter w:w="1722" w:type="pct"/>
          <w:trHeight w:val="288"/>
        </w:trPr>
        <w:tc>
          <w:tcPr>
            <w:tcW w:w="1648" w:type="pct"/>
            <w:gridSpan w:val="2"/>
            <w:shd w:val="clear" w:color="auto" w:fill="F2F2F2" w:themeFill="background1" w:themeFillShade="F2"/>
            <w:noWrap/>
            <w:vAlign w:val="center"/>
            <w:hideMark/>
          </w:tcPr>
          <w:p w14:paraId="5C11EDB7" w14:textId="77777777" w:rsidR="00E3750C" w:rsidRPr="00361B47" w:rsidRDefault="00E3750C" w:rsidP="00047864">
            <w:pPr>
              <w:spacing w:after="0" w:line="240" w:lineRule="auto"/>
              <w:rPr>
                <w:rFonts w:ascii="Arial" w:eastAsia="Times New Roman" w:hAnsi="Arial" w:cs="Arial"/>
                <w:b/>
                <w:bCs/>
                <w:color w:val="000000"/>
                <w:sz w:val="18"/>
                <w:szCs w:val="18"/>
                <w:lang w:eastAsia="sl-SI"/>
              </w:rPr>
            </w:pPr>
            <w:r w:rsidRPr="00361B47">
              <w:rPr>
                <w:rFonts w:ascii="Arial" w:eastAsia="Times New Roman" w:hAnsi="Arial" w:cs="Arial"/>
                <w:b/>
                <w:bCs/>
                <w:color w:val="000000"/>
                <w:sz w:val="18"/>
                <w:szCs w:val="18"/>
                <w:lang w:eastAsia="sl-SI"/>
              </w:rPr>
              <w:t>Skupaj</w:t>
            </w:r>
          </w:p>
        </w:tc>
        <w:tc>
          <w:tcPr>
            <w:tcW w:w="632" w:type="pct"/>
            <w:shd w:val="clear" w:color="auto" w:fill="F2F2F2" w:themeFill="background1" w:themeFillShade="F2"/>
            <w:noWrap/>
            <w:vAlign w:val="center"/>
            <w:hideMark/>
          </w:tcPr>
          <w:p w14:paraId="36D96C35" w14:textId="77777777" w:rsidR="00E3750C" w:rsidRPr="00361B47" w:rsidRDefault="00E3750C" w:rsidP="00047864">
            <w:pPr>
              <w:spacing w:after="0" w:line="240" w:lineRule="auto"/>
              <w:jc w:val="right"/>
              <w:rPr>
                <w:rFonts w:ascii="Arial" w:eastAsia="Times New Roman" w:hAnsi="Arial" w:cs="Arial"/>
                <w:b/>
                <w:bCs/>
                <w:color w:val="000000"/>
                <w:sz w:val="18"/>
                <w:szCs w:val="18"/>
                <w:lang w:eastAsia="sl-SI"/>
              </w:rPr>
            </w:pPr>
            <w:r w:rsidRPr="00361B47">
              <w:rPr>
                <w:rFonts w:ascii="Arial" w:eastAsia="Times New Roman" w:hAnsi="Arial" w:cs="Arial"/>
                <w:b/>
                <w:bCs/>
                <w:color w:val="000000"/>
                <w:sz w:val="18"/>
                <w:szCs w:val="18"/>
                <w:lang w:eastAsia="sl-SI"/>
              </w:rPr>
              <w:t>17.224</w:t>
            </w:r>
          </w:p>
        </w:tc>
        <w:tc>
          <w:tcPr>
            <w:tcW w:w="998" w:type="pct"/>
            <w:shd w:val="clear" w:color="auto" w:fill="F2F2F2" w:themeFill="background1" w:themeFillShade="F2"/>
            <w:noWrap/>
            <w:vAlign w:val="center"/>
            <w:hideMark/>
          </w:tcPr>
          <w:p w14:paraId="4E190837" w14:textId="77777777" w:rsidR="00E3750C" w:rsidRPr="00361B47" w:rsidRDefault="00E3750C" w:rsidP="00047864">
            <w:pPr>
              <w:spacing w:after="0" w:line="240" w:lineRule="auto"/>
              <w:jc w:val="right"/>
              <w:rPr>
                <w:rFonts w:ascii="Arial" w:eastAsia="Times New Roman" w:hAnsi="Arial" w:cs="Arial"/>
                <w:b/>
                <w:bCs/>
                <w:color w:val="000000"/>
                <w:sz w:val="18"/>
                <w:szCs w:val="18"/>
                <w:lang w:eastAsia="sl-SI"/>
              </w:rPr>
            </w:pPr>
            <w:r w:rsidRPr="00361B47">
              <w:rPr>
                <w:rFonts w:ascii="Arial" w:eastAsia="Times New Roman" w:hAnsi="Arial" w:cs="Arial"/>
                <w:b/>
                <w:bCs/>
                <w:color w:val="000000"/>
                <w:sz w:val="18"/>
                <w:szCs w:val="18"/>
                <w:lang w:eastAsia="sl-SI"/>
              </w:rPr>
              <w:t>5.417.105.902</w:t>
            </w:r>
          </w:p>
        </w:tc>
      </w:tr>
    </w:tbl>
    <w:p w14:paraId="5AC00B14" w14:textId="77777777" w:rsidR="00E3750C" w:rsidRPr="00BF7302" w:rsidRDefault="00E3750C" w:rsidP="00E3750C">
      <w:pPr>
        <w:spacing w:before="120" w:after="0" w:line="240" w:lineRule="auto"/>
        <w:jc w:val="both"/>
        <w:rPr>
          <w:rFonts w:ascii="Arial" w:hAnsi="Arial" w:cs="Arial"/>
          <w:sz w:val="20"/>
          <w:highlight w:val="yellow"/>
        </w:rPr>
      </w:pPr>
    </w:p>
    <w:p w14:paraId="1475D21D" w14:textId="77777777" w:rsidR="00E3750C" w:rsidRPr="00F80DE3" w:rsidRDefault="00E3750C" w:rsidP="00E3750C">
      <w:pPr>
        <w:spacing w:before="120" w:after="0" w:line="240" w:lineRule="auto"/>
        <w:jc w:val="both"/>
        <w:rPr>
          <w:rFonts w:ascii="Arial" w:hAnsi="Arial" w:cs="Arial"/>
          <w:sz w:val="20"/>
        </w:rPr>
      </w:pPr>
      <w:r w:rsidRPr="00F80DE3">
        <w:rPr>
          <w:rFonts w:ascii="Arial" w:hAnsi="Arial" w:cs="Arial"/>
          <w:sz w:val="20"/>
        </w:rPr>
        <w:t xml:space="preserve">Preglednica </w:t>
      </w:r>
      <w:r>
        <w:rPr>
          <w:rFonts w:ascii="Arial" w:hAnsi="Arial" w:cs="Arial"/>
          <w:sz w:val="20"/>
        </w:rPr>
        <w:t>89</w:t>
      </w:r>
      <w:r w:rsidRPr="00F80DE3">
        <w:rPr>
          <w:rFonts w:ascii="Arial" w:hAnsi="Arial" w:cs="Arial"/>
          <w:sz w:val="20"/>
        </w:rPr>
        <w:t>: Oddani sklopi glede na sedež ponudnika</w:t>
      </w:r>
    </w:p>
    <w:p w14:paraId="070A5FD5" w14:textId="77777777" w:rsidR="00E3750C" w:rsidRPr="00BF7302" w:rsidRDefault="00E3750C" w:rsidP="00E3750C">
      <w:pPr>
        <w:spacing w:after="0" w:line="240" w:lineRule="auto"/>
        <w:jc w:val="both"/>
        <w:rPr>
          <w:rFonts w:ascii="Arial" w:hAnsi="Arial" w:cs="Arial"/>
          <w:sz w:val="20"/>
          <w:highlight w:val="yellow"/>
        </w:rPr>
      </w:pPr>
    </w:p>
    <w:tbl>
      <w:tblPr>
        <w:tblW w:w="5000" w:type="pct"/>
        <w:tblCellMar>
          <w:left w:w="70" w:type="dxa"/>
          <w:right w:w="70" w:type="dxa"/>
        </w:tblCellMar>
        <w:tblLook w:val="04A0" w:firstRow="1" w:lastRow="0" w:firstColumn="1" w:lastColumn="0" w:noHBand="0" w:noVBand="1"/>
      </w:tblPr>
      <w:tblGrid>
        <w:gridCol w:w="1555"/>
        <w:gridCol w:w="3834"/>
        <w:gridCol w:w="1420"/>
        <w:gridCol w:w="2365"/>
      </w:tblGrid>
      <w:tr w:rsidR="00E3750C" w:rsidRPr="00F80DE3" w14:paraId="3E760687" w14:textId="77777777" w:rsidTr="00047864">
        <w:trPr>
          <w:trHeight w:val="456"/>
          <w:tblHeader/>
        </w:trPr>
        <w:tc>
          <w:tcPr>
            <w:tcW w:w="847"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340B11D2" w14:textId="77777777" w:rsidR="00E3750C" w:rsidRPr="00F80DE3" w:rsidRDefault="00E3750C" w:rsidP="00047864">
            <w:pPr>
              <w:spacing w:after="0" w:line="240" w:lineRule="auto"/>
              <w:jc w:val="center"/>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Ponudnik - država</w:t>
            </w:r>
          </w:p>
        </w:tc>
        <w:tc>
          <w:tcPr>
            <w:tcW w:w="2089" w:type="pct"/>
            <w:tcBorders>
              <w:top w:val="single" w:sz="4" w:space="0" w:color="auto"/>
              <w:left w:val="nil"/>
              <w:bottom w:val="single" w:sz="4" w:space="0" w:color="auto"/>
              <w:right w:val="single" w:sz="4" w:space="0" w:color="auto"/>
            </w:tcBorders>
            <w:shd w:val="clear" w:color="000000" w:fill="F2F2F2"/>
            <w:vAlign w:val="center"/>
            <w:hideMark/>
          </w:tcPr>
          <w:p w14:paraId="27B77BE8" w14:textId="77777777" w:rsidR="00E3750C" w:rsidRPr="00F80DE3" w:rsidRDefault="00E3750C" w:rsidP="00047864">
            <w:pPr>
              <w:spacing w:after="0" w:line="240" w:lineRule="auto"/>
              <w:jc w:val="center"/>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Država ponudnika</w:t>
            </w:r>
          </w:p>
        </w:tc>
        <w:tc>
          <w:tcPr>
            <w:tcW w:w="774" w:type="pct"/>
            <w:tcBorders>
              <w:top w:val="single" w:sz="4" w:space="0" w:color="auto"/>
              <w:left w:val="nil"/>
              <w:bottom w:val="single" w:sz="4" w:space="0" w:color="auto"/>
              <w:right w:val="single" w:sz="4" w:space="0" w:color="auto"/>
            </w:tcBorders>
            <w:shd w:val="clear" w:color="000000" w:fill="F2F2F2"/>
            <w:vAlign w:val="center"/>
            <w:hideMark/>
          </w:tcPr>
          <w:p w14:paraId="45194C39" w14:textId="77777777" w:rsidR="00E3750C" w:rsidRPr="00F80DE3" w:rsidRDefault="00E3750C" w:rsidP="00047864">
            <w:pPr>
              <w:spacing w:after="0" w:line="240" w:lineRule="auto"/>
              <w:jc w:val="center"/>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Št. naročil</w:t>
            </w:r>
          </w:p>
        </w:tc>
        <w:tc>
          <w:tcPr>
            <w:tcW w:w="1289" w:type="pct"/>
            <w:tcBorders>
              <w:top w:val="single" w:sz="4" w:space="0" w:color="auto"/>
              <w:left w:val="nil"/>
              <w:bottom w:val="single" w:sz="4" w:space="0" w:color="auto"/>
              <w:right w:val="single" w:sz="4" w:space="0" w:color="auto"/>
            </w:tcBorders>
            <w:shd w:val="clear" w:color="000000" w:fill="F2F2F2"/>
            <w:vAlign w:val="center"/>
            <w:hideMark/>
          </w:tcPr>
          <w:p w14:paraId="768DF17C" w14:textId="77777777" w:rsidR="00E3750C" w:rsidRPr="00F80DE3" w:rsidRDefault="00E3750C" w:rsidP="00047864">
            <w:pPr>
              <w:spacing w:after="0" w:line="240" w:lineRule="auto"/>
              <w:jc w:val="center"/>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Pogodbena vrednost</w:t>
            </w:r>
          </w:p>
        </w:tc>
      </w:tr>
      <w:tr w:rsidR="00E3750C" w:rsidRPr="00F80DE3" w14:paraId="5C34CE3D" w14:textId="77777777" w:rsidTr="00047864">
        <w:trPr>
          <w:trHeight w:val="288"/>
        </w:trPr>
        <w:tc>
          <w:tcPr>
            <w:tcW w:w="847" w:type="pct"/>
            <w:tcBorders>
              <w:top w:val="nil"/>
              <w:left w:val="single" w:sz="4" w:space="0" w:color="auto"/>
              <w:bottom w:val="single" w:sz="4" w:space="0" w:color="auto"/>
              <w:right w:val="single" w:sz="4" w:space="0" w:color="auto"/>
            </w:tcBorders>
            <w:shd w:val="clear" w:color="auto" w:fill="auto"/>
            <w:noWrap/>
            <w:vAlign w:val="center"/>
            <w:hideMark/>
          </w:tcPr>
          <w:p w14:paraId="50E532D9" w14:textId="77777777" w:rsidR="00E3750C" w:rsidRPr="00F80DE3" w:rsidRDefault="00E3750C" w:rsidP="00047864">
            <w:pPr>
              <w:spacing w:after="0" w:line="240" w:lineRule="auto"/>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Slovenija</w:t>
            </w:r>
          </w:p>
        </w:tc>
        <w:tc>
          <w:tcPr>
            <w:tcW w:w="2089" w:type="pct"/>
            <w:tcBorders>
              <w:top w:val="nil"/>
              <w:left w:val="nil"/>
              <w:bottom w:val="single" w:sz="4" w:space="0" w:color="auto"/>
              <w:right w:val="single" w:sz="4" w:space="0" w:color="auto"/>
            </w:tcBorders>
            <w:shd w:val="clear" w:color="auto" w:fill="auto"/>
            <w:noWrap/>
            <w:vAlign w:val="center"/>
            <w:hideMark/>
          </w:tcPr>
          <w:p w14:paraId="03DC8574" w14:textId="77777777" w:rsidR="00E3750C" w:rsidRPr="00F80DE3" w:rsidRDefault="00E3750C" w:rsidP="00047864">
            <w:pPr>
              <w:spacing w:after="0" w:line="240" w:lineRule="auto"/>
              <w:rPr>
                <w:rFonts w:ascii="Arial" w:eastAsia="Times New Roman" w:hAnsi="Arial" w:cs="Arial"/>
                <w:b/>
                <w:bCs/>
                <w:color w:val="000000"/>
                <w:sz w:val="18"/>
                <w:szCs w:val="18"/>
                <w:lang w:eastAsia="sl-SI"/>
              </w:rPr>
            </w:pPr>
            <w:r w:rsidRPr="00F80DE3">
              <w:rPr>
                <w:rFonts w:ascii="Arial" w:eastAsia="Times New Roman" w:hAnsi="Arial" w:cs="Arial"/>
                <w:b/>
                <w:bCs/>
                <w:color w:val="000000"/>
                <w:sz w:val="18"/>
                <w:szCs w:val="18"/>
                <w:lang w:eastAsia="sl-SI"/>
              </w:rPr>
              <w:t>Slovenija</w:t>
            </w:r>
          </w:p>
        </w:tc>
        <w:tc>
          <w:tcPr>
            <w:tcW w:w="774" w:type="pct"/>
            <w:tcBorders>
              <w:top w:val="nil"/>
              <w:left w:val="nil"/>
              <w:bottom w:val="single" w:sz="4" w:space="0" w:color="auto"/>
              <w:right w:val="single" w:sz="4" w:space="0" w:color="auto"/>
            </w:tcBorders>
            <w:shd w:val="clear" w:color="auto" w:fill="auto"/>
            <w:noWrap/>
            <w:vAlign w:val="center"/>
            <w:hideMark/>
          </w:tcPr>
          <w:p w14:paraId="3DF865B8" w14:textId="77777777" w:rsidR="00E3750C" w:rsidRPr="00F80DE3" w:rsidRDefault="00E3750C" w:rsidP="00047864">
            <w:pPr>
              <w:spacing w:after="0" w:line="240" w:lineRule="auto"/>
              <w:jc w:val="right"/>
              <w:rPr>
                <w:rFonts w:ascii="Arial" w:eastAsia="Times New Roman" w:hAnsi="Arial" w:cs="Arial"/>
                <w:b/>
                <w:bCs/>
                <w:color w:val="000000"/>
                <w:sz w:val="18"/>
                <w:szCs w:val="18"/>
                <w:lang w:eastAsia="sl-SI"/>
              </w:rPr>
            </w:pPr>
            <w:r w:rsidRPr="00F80DE3">
              <w:rPr>
                <w:rFonts w:ascii="Arial" w:eastAsia="Times New Roman" w:hAnsi="Arial" w:cs="Arial"/>
                <w:b/>
                <w:bCs/>
                <w:color w:val="000000"/>
                <w:sz w:val="18"/>
                <w:szCs w:val="18"/>
                <w:lang w:eastAsia="sl-SI"/>
              </w:rPr>
              <w:t>16.780</w:t>
            </w:r>
          </w:p>
        </w:tc>
        <w:tc>
          <w:tcPr>
            <w:tcW w:w="1289" w:type="pct"/>
            <w:tcBorders>
              <w:top w:val="nil"/>
              <w:left w:val="nil"/>
              <w:bottom w:val="single" w:sz="4" w:space="0" w:color="auto"/>
              <w:right w:val="single" w:sz="4" w:space="0" w:color="auto"/>
            </w:tcBorders>
            <w:shd w:val="clear" w:color="auto" w:fill="auto"/>
            <w:noWrap/>
            <w:vAlign w:val="center"/>
            <w:hideMark/>
          </w:tcPr>
          <w:p w14:paraId="7D630E9E" w14:textId="77777777" w:rsidR="00E3750C" w:rsidRPr="00F80DE3" w:rsidRDefault="00E3750C" w:rsidP="00047864">
            <w:pPr>
              <w:spacing w:after="0" w:line="240" w:lineRule="auto"/>
              <w:jc w:val="right"/>
              <w:rPr>
                <w:rFonts w:ascii="Arial" w:eastAsia="Times New Roman" w:hAnsi="Arial" w:cs="Arial"/>
                <w:b/>
                <w:bCs/>
                <w:color w:val="000000"/>
                <w:sz w:val="18"/>
                <w:szCs w:val="18"/>
                <w:lang w:eastAsia="sl-SI"/>
              </w:rPr>
            </w:pPr>
            <w:r w:rsidRPr="00F80DE3">
              <w:rPr>
                <w:rFonts w:ascii="Arial" w:eastAsia="Times New Roman" w:hAnsi="Arial" w:cs="Arial"/>
                <w:b/>
                <w:bCs/>
                <w:color w:val="000000"/>
                <w:sz w:val="18"/>
                <w:szCs w:val="18"/>
                <w:lang w:eastAsia="sl-SI"/>
              </w:rPr>
              <w:t>5.218.980.380</w:t>
            </w:r>
          </w:p>
        </w:tc>
      </w:tr>
      <w:tr w:rsidR="00E3750C" w:rsidRPr="00F80DE3" w14:paraId="35E016A9" w14:textId="77777777" w:rsidTr="00047864">
        <w:trPr>
          <w:trHeight w:val="288"/>
        </w:trPr>
        <w:tc>
          <w:tcPr>
            <w:tcW w:w="84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0D8EA53" w14:textId="77777777" w:rsidR="00E3750C" w:rsidRPr="00F80DE3" w:rsidRDefault="00E3750C" w:rsidP="00047864">
            <w:pPr>
              <w:spacing w:after="0" w:line="240" w:lineRule="auto"/>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EU</w:t>
            </w:r>
          </w:p>
        </w:tc>
        <w:tc>
          <w:tcPr>
            <w:tcW w:w="2089" w:type="pct"/>
            <w:tcBorders>
              <w:top w:val="nil"/>
              <w:left w:val="nil"/>
              <w:bottom w:val="single" w:sz="4" w:space="0" w:color="auto"/>
              <w:right w:val="single" w:sz="4" w:space="0" w:color="auto"/>
            </w:tcBorders>
            <w:shd w:val="clear" w:color="auto" w:fill="auto"/>
            <w:noWrap/>
            <w:vAlign w:val="center"/>
            <w:hideMark/>
          </w:tcPr>
          <w:p w14:paraId="4CA26F22" w14:textId="77777777" w:rsidR="00E3750C" w:rsidRPr="00F80DE3" w:rsidRDefault="00E3750C" w:rsidP="00047864">
            <w:pPr>
              <w:spacing w:after="0" w:line="240" w:lineRule="auto"/>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Avstrija</w:t>
            </w:r>
          </w:p>
        </w:tc>
        <w:tc>
          <w:tcPr>
            <w:tcW w:w="774" w:type="pct"/>
            <w:tcBorders>
              <w:top w:val="nil"/>
              <w:left w:val="nil"/>
              <w:bottom w:val="single" w:sz="4" w:space="0" w:color="auto"/>
              <w:right w:val="single" w:sz="4" w:space="0" w:color="auto"/>
            </w:tcBorders>
            <w:shd w:val="clear" w:color="auto" w:fill="auto"/>
            <w:noWrap/>
            <w:vAlign w:val="center"/>
            <w:hideMark/>
          </w:tcPr>
          <w:p w14:paraId="0E8E444B" w14:textId="77777777" w:rsidR="00E3750C" w:rsidRPr="00F80DE3" w:rsidRDefault="00E3750C" w:rsidP="00047864">
            <w:pPr>
              <w:spacing w:after="0" w:line="240" w:lineRule="auto"/>
              <w:jc w:val="right"/>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60</w:t>
            </w:r>
          </w:p>
        </w:tc>
        <w:tc>
          <w:tcPr>
            <w:tcW w:w="1289" w:type="pct"/>
            <w:tcBorders>
              <w:top w:val="nil"/>
              <w:left w:val="nil"/>
              <w:bottom w:val="single" w:sz="4" w:space="0" w:color="auto"/>
              <w:right w:val="single" w:sz="4" w:space="0" w:color="auto"/>
            </w:tcBorders>
            <w:shd w:val="clear" w:color="auto" w:fill="auto"/>
            <w:noWrap/>
            <w:vAlign w:val="center"/>
            <w:hideMark/>
          </w:tcPr>
          <w:p w14:paraId="02DEBC07" w14:textId="77777777" w:rsidR="00E3750C" w:rsidRPr="00F80DE3" w:rsidRDefault="00E3750C" w:rsidP="00047864">
            <w:pPr>
              <w:spacing w:after="0" w:line="240" w:lineRule="auto"/>
              <w:jc w:val="right"/>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15.990.979</w:t>
            </w:r>
          </w:p>
        </w:tc>
      </w:tr>
      <w:tr w:rsidR="00E3750C" w:rsidRPr="00F80DE3" w14:paraId="30CAE061" w14:textId="77777777" w:rsidTr="00047864">
        <w:trPr>
          <w:trHeight w:val="288"/>
        </w:trPr>
        <w:tc>
          <w:tcPr>
            <w:tcW w:w="847" w:type="pct"/>
            <w:vMerge/>
            <w:tcBorders>
              <w:top w:val="nil"/>
              <w:left w:val="single" w:sz="4" w:space="0" w:color="auto"/>
              <w:bottom w:val="single" w:sz="4" w:space="0" w:color="auto"/>
              <w:right w:val="single" w:sz="4" w:space="0" w:color="auto"/>
            </w:tcBorders>
            <w:vAlign w:val="center"/>
            <w:hideMark/>
          </w:tcPr>
          <w:p w14:paraId="70D21B20" w14:textId="77777777" w:rsidR="00E3750C" w:rsidRPr="00F80DE3" w:rsidRDefault="00E3750C" w:rsidP="00047864">
            <w:pPr>
              <w:spacing w:after="0" w:line="240" w:lineRule="auto"/>
              <w:rPr>
                <w:rFonts w:ascii="Arial" w:eastAsia="Times New Roman" w:hAnsi="Arial" w:cs="Arial"/>
                <w:color w:val="000000"/>
                <w:sz w:val="18"/>
                <w:szCs w:val="18"/>
                <w:lang w:eastAsia="sl-SI"/>
              </w:rPr>
            </w:pPr>
          </w:p>
        </w:tc>
        <w:tc>
          <w:tcPr>
            <w:tcW w:w="2089" w:type="pct"/>
            <w:tcBorders>
              <w:top w:val="nil"/>
              <w:left w:val="nil"/>
              <w:bottom w:val="single" w:sz="4" w:space="0" w:color="auto"/>
              <w:right w:val="single" w:sz="4" w:space="0" w:color="auto"/>
            </w:tcBorders>
            <w:shd w:val="clear" w:color="auto" w:fill="auto"/>
            <w:noWrap/>
            <w:vAlign w:val="center"/>
            <w:hideMark/>
          </w:tcPr>
          <w:p w14:paraId="47678147" w14:textId="77777777" w:rsidR="00E3750C" w:rsidRPr="00F80DE3" w:rsidRDefault="00E3750C" w:rsidP="00047864">
            <w:pPr>
              <w:spacing w:after="0" w:line="240" w:lineRule="auto"/>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Belgija</w:t>
            </w:r>
          </w:p>
        </w:tc>
        <w:tc>
          <w:tcPr>
            <w:tcW w:w="774" w:type="pct"/>
            <w:tcBorders>
              <w:top w:val="nil"/>
              <w:left w:val="nil"/>
              <w:bottom w:val="single" w:sz="4" w:space="0" w:color="auto"/>
              <w:right w:val="single" w:sz="4" w:space="0" w:color="auto"/>
            </w:tcBorders>
            <w:shd w:val="clear" w:color="auto" w:fill="auto"/>
            <w:noWrap/>
            <w:vAlign w:val="center"/>
            <w:hideMark/>
          </w:tcPr>
          <w:p w14:paraId="68D754EF" w14:textId="77777777" w:rsidR="00E3750C" w:rsidRPr="00F80DE3" w:rsidRDefault="00E3750C" w:rsidP="00047864">
            <w:pPr>
              <w:spacing w:after="0" w:line="240" w:lineRule="auto"/>
              <w:jc w:val="right"/>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10</w:t>
            </w:r>
          </w:p>
        </w:tc>
        <w:tc>
          <w:tcPr>
            <w:tcW w:w="1289" w:type="pct"/>
            <w:tcBorders>
              <w:top w:val="nil"/>
              <w:left w:val="nil"/>
              <w:bottom w:val="single" w:sz="4" w:space="0" w:color="auto"/>
              <w:right w:val="single" w:sz="4" w:space="0" w:color="auto"/>
            </w:tcBorders>
            <w:shd w:val="clear" w:color="auto" w:fill="auto"/>
            <w:noWrap/>
            <w:vAlign w:val="center"/>
            <w:hideMark/>
          </w:tcPr>
          <w:p w14:paraId="27E2545B" w14:textId="77777777" w:rsidR="00E3750C" w:rsidRPr="00F80DE3" w:rsidRDefault="00E3750C" w:rsidP="00047864">
            <w:pPr>
              <w:spacing w:after="0" w:line="240" w:lineRule="auto"/>
              <w:jc w:val="right"/>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10.338.178</w:t>
            </w:r>
          </w:p>
        </w:tc>
      </w:tr>
      <w:tr w:rsidR="00E3750C" w:rsidRPr="00F80DE3" w14:paraId="5131AE6E" w14:textId="77777777" w:rsidTr="00047864">
        <w:trPr>
          <w:trHeight w:val="288"/>
        </w:trPr>
        <w:tc>
          <w:tcPr>
            <w:tcW w:w="847" w:type="pct"/>
            <w:vMerge/>
            <w:tcBorders>
              <w:top w:val="nil"/>
              <w:left w:val="single" w:sz="4" w:space="0" w:color="auto"/>
              <w:bottom w:val="single" w:sz="4" w:space="0" w:color="auto"/>
              <w:right w:val="single" w:sz="4" w:space="0" w:color="auto"/>
            </w:tcBorders>
            <w:vAlign w:val="center"/>
            <w:hideMark/>
          </w:tcPr>
          <w:p w14:paraId="720EC15A" w14:textId="77777777" w:rsidR="00E3750C" w:rsidRPr="00F80DE3" w:rsidRDefault="00E3750C" w:rsidP="00047864">
            <w:pPr>
              <w:spacing w:after="0" w:line="240" w:lineRule="auto"/>
              <w:rPr>
                <w:rFonts w:ascii="Arial" w:eastAsia="Times New Roman" w:hAnsi="Arial" w:cs="Arial"/>
                <w:color w:val="000000"/>
                <w:sz w:val="18"/>
                <w:szCs w:val="18"/>
                <w:lang w:eastAsia="sl-SI"/>
              </w:rPr>
            </w:pPr>
          </w:p>
        </w:tc>
        <w:tc>
          <w:tcPr>
            <w:tcW w:w="2089" w:type="pct"/>
            <w:tcBorders>
              <w:top w:val="nil"/>
              <w:left w:val="nil"/>
              <w:bottom w:val="single" w:sz="4" w:space="0" w:color="auto"/>
              <w:right w:val="single" w:sz="4" w:space="0" w:color="auto"/>
            </w:tcBorders>
            <w:shd w:val="clear" w:color="auto" w:fill="auto"/>
            <w:noWrap/>
            <w:vAlign w:val="center"/>
            <w:hideMark/>
          </w:tcPr>
          <w:p w14:paraId="3B1C8AEA" w14:textId="77777777" w:rsidR="00E3750C" w:rsidRPr="00F80DE3" w:rsidRDefault="00E3750C" w:rsidP="00047864">
            <w:pPr>
              <w:spacing w:after="0" w:line="240" w:lineRule="auto"/>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Ciper</w:t>
            </w:r>
          </w:p>
        </w:tc>
        <w:tc>
          <w:tcPr>
            <w:tcW w:w="774" w:type="pct"/>
            <w:tcBorders>
              <w:top w:val="nil"/>
              <w:left w:val="nil"/>
              <w:bottom w:val="single" w:sz="4" w:space="0" w:color="auto"/>
              <w:right w:val="single" w:sz="4" w:space="0" w:color="auto"/>
            </w:tcBorders>
            <w:shd w:val="clear" w:color="auto" w:fill="auto"/>
            <w:noWrap/>
            <w:vAlign w:val="center"/>
            <w:hideMark/>
          </w:tcPr>
          <w:p w14:paraId="5109F82A" w14:textId="77777777" w:rsidR="00E3750C" w:rsidRPr="00F80DE3" w:rsidRDefault="00E3750C" w:rsidP="00047864">
            <w:pPr>
              <w:spacing w:after="0" w:line="240" w:lineRule="auto"/>
              <w:jc w:val="right"/>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2</w:t>
            </w:r>
          </w:p>
        </w:tc>
        <w:tc>
          <w:tcPr>
            <w:tcW w:w="1289" w:type="pct"/>
            <w:tcBorders>
              <w:top w:val="nil"/>
              <w:left w:val="nil"/>
              <w:bottom w:val="single" w:sz="4" w:space="0" w:color="auto"/>
              <w:right w:val="single" w:sz="4" w:space="0" w:color="auto"/>
            </w:tcBorders>
            <w:shd w:val="clear" w:color="auto" w:fill="auto"/>
            <w:noWrap/>
            <w:vAlign w:val="center"/>
            <w:hideMark/>
          </w:tcPr>
          <w:p w14:paraId="06825634" w14:textId="77777777" w:rsidR="00E3750C" w:rsidRPr="00F80DE3" w:rsidRDefault="00E3750C" w:rsidP="00047864">
            <w:pPr>
              <w:spacing w:after="0" w:line="240" w:lineRule="auto"/>
              <w:jc w:val="right"/>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591.233</w:t>
            </w:r>
          </w:p>
        </w:tc>
      </w:tr>
      <w:tr w:rsidR="00E3750C" w:rsidRPr="00F80DE3" w14:paraId="489A2D52" w14:textId="77777777" w:rsidTr="00047864">
        <w:trPr>
          <w:trHeight w:val="288"/>
        </w:trPr>
        <w:tc>
          <w:tcPr>
            <w:tcW w:w="847" w:type="pct"/>
            <w:vMerge/>
            <w:tcBorders>
              <w:top w:val="nil"/>
              <w:left w:val="single" w:sz="4" w:space="0" w:color="auto"/>
              <w:bottom w:val="single" w:sz="4" w:space="0" w:color="auto"/>
              <w:right w:val="single" w:sz="4" w:space="0" w:color="auto"/>
            </w:tcBorders>
            <w:vAlign w:val="center"/>
            <w:hideMark/>
          </w:tcPr>
          <w:p w14:paraId="79FD8BDF" w14:textId="77777777" w:rsidR="00E3750C" w:rsidRPr="00F80DE3" w:rsidRDefault="00E3750C" w:rsidP="00047864">
            <w:pPr>
              <w:spacing w:after="0" w:line="240" w:lineRule="auto"/>
              <w:rPr>
                <w:rFonts w:ascii="Arial" w:eastAsia="Times New Roman" w:hAnsi="Arial" w:cs="Arial"/>
                <w:color w:val="000000"/>
                <w:sz w:val="18"/>
                <w:szCs w:val="18"/>
                <w:lang w:eastAsia="sl-SI"/>
              </w:rPr>
            </w:pPr>
          </w:p>
        </w:tc>
        <w:tc>
          <w:tcPr>
            <w:tcW w:w="2089" w:type="pct"/>
            <w:tcBorders>
              <w:top w:val="nil"/>
              <w:left w:val="nil"/>
              <w:bottom w:val="single" w:sz="4" w:space="0" w:color="auto"/>
              <w:right w:val="single" w:sz="4" w:space="0" w:color="auto"/>
            </w:tcBorders>
            <w:shd w:val="clear" w:color="auto" w:fill="auto"/>
            <w:noWrap/>
            <w:vAlign w:val="center"/>
            <w:hideMark/>
          </w:tcPr>
          <w:p w14:paraId="0EEBE905" w14:textId="77777777" w:rsidR="00E3750C" w:rsidRPr="00F80DE3" w:rsidRDefault="00E3750C" w:rsidP="00047864">
            <w:pPr>
              <w:spacing w:after="0" w:line="240" w:lineRule="auto"/>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Češka</w:t>
            </w:r>
          </w:p>
        </w:tc>
        <w:tc>
          <w:tcPr>
            <w:tcW w:w="774" w:type="pct"/>
            <w:tcBorders>
              <w:top w:val="nil"/>
              <w:left w:val="nil"/>
              <w:bottom w:val="single" w:sz="4" w:space="0" w:color="auto"/>
              <w:right w:val="single" w:sz="4" w:space="0" w:color="auto"/>
            </w:tcBorders>
            <w:shd w:val="clear" w:color="auto" w:fill="auto"/>
            <w:noWrap/>
            <w:vAlign w:val="center"/>
            <w:hideMark/>
          </w:tcPr>
          <w:p w14:paraId="0B5713CD" w14:textId="77777777" w:rsidR="00E3750C" w:rsidRPr="00F80DE3" w:rsidRDefault="00E3750C" w:rsidP="00047864">
            <w:pPr>
              <w:spacing w:after="0" w:line="240" w:lineRule="auto"/>
              <w:jc w:val="right"/>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5</w:t>
            </w:r>
          </w:p>
        </w:tc>
        <w:tc>
          <w:tcPr>
            <w:tcW w:w="1289" w:type="pct"/>
            <w:tcBorders>
              <w:top w:val="nil"/>
              <w:left w:val="nil"/>
              <w:bottom w:val="single" w:sz="4" w:space="0" w:color="auto"/>
              <w:right w:val="single" w:sz="4" w:space="0" w:color="auto"/>
            </w:tcBorders>
            <w:shd w:val="clear" w:color="auto" w:fill="auto"/>
            <w:noWrap/>
            <w:vAlign w:val="center"/>
            <w:hideMark/>
          </w:tcPr>
          <w:p w14:paraId="269F4EAE" w14:textId="77777777" w:rsidR="00E3750C" w:rsidRPr="00F80DE3" w:rsidRDefault="00E3750C" w:rsidP="00047864">
            <w:pPr>
              <w:spacing w:after="0" w:line="240" w:lineRule="auto"/>
              <w:jc w:val="right"/>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1.528.785</w:t>
            </w:r>
          </w:p>
        </w:tc>
      </w:tr>
      <w:tr w:rsidR="00E3750C" w:rsidRPr="00F80DE3" w14:paraId="3967C92C" w14:textId="77777777" w:rsidTr="00047864">
        <w:trPr>
          <w:trHeight w:val="288"/>
        </w:trPr>
        <w:tc>
          <w:tcPr>
            <w:tcW w:w="847" w:type="pct"/>
            <w:vMerge/>
            <w:tcBorders>
              <w:top w:val="nil"/>
              <w:left w:val="single" w:sz="4" w:space="0" w:color="auto"/>
              <w:bottom w:val="single" w:sz="4" w:space="0" w:color="auto"/>
              <w:right w:val="single" w:sz="4" w:space="0" w:color="auto"/>
            </w:tcBorders>
            <w:vAlign w:val="center"/>
            <w:hideMark/>
          </w:tcPr>
          <w:p w14:paraId="5DC980E6" w14:textId="77777777" w:rsidR="00E3750C" w:rsidRPr="00F80DE3" w:rsidRDefault="00E3750C" w:rsidP="00047864">
            <w:pPr>
              <w:spacing w:after="0" w:line="240" w:lineRule="auto"/>
              <w:rPr>
                <w:rFonts w:ascii="Arial" w:eastAsia="Times New Roman" w:hAnsi="Arial" w:cs="Arial"/>
                <w:color w:val="000000"/>
                <w:sz w:val="18"/>
                <w:szCs w:val="18"/>
                <w:lang w:eastAsia="sl-SI"/>
              </w:rPr>
            </w:pPr>
          </w:p>
        </w:tc>
        <w:tc>
          <w:tcPr>
            <w:tcW w:w="2089" w:type="pct"/>
            <w:tcBorders>
              <w:top w:val="nil"/>
              <w:left w:val="nil"/>
              <w:bottom w:val="single" w:sz="4" w:space="0" w:color="auto"/>
              <w:right w:val="single" w:sz="4" w:space="0" w:color="auto"/>
            </w:tcBorders>
            <w:shd w:val="clear" w:color="auto" w:fill="auto"/>
            <w:noWrap/>
            <w:vAlign w:val="center"/>
            <w:hideMark/>
          </w:tcPr>
          <w:p w14:paraId="1662D6CB" w14:textId="77777777" w:rsidR="00E3750C" w:rsidRPr="00F80DE3" w:rsidRDefault="00E3750C" w:rsidP="00047864">
            <w:pPr>
              <w:spacing w:after="0" w:line="240" w:lineRule="auto"/>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Finska</w:t>
            </w:r>
          </w:p>
        </w:tc>
        <w:tc>
          <w:tcPr>
            <w:tcW w:w="774" w:type="pct"/>
            <w:tcBorders>
              <w:top w:val="nil"/>
              <w:left w:val="nil"/>
              <w:bottom w:val="single" w:sz="4" w:space="0" w:color="auto"/>
              <w:right w:val="single" w:sz="4" w:space="0" w:color="auto"/>
            </w:tcBorders>
            <w:shd w:val="clear" w:color="auto" w:fill="auto"/>
            <w:noWrap/>
            <w:vAlign w:val="center"/>
            <w:hideMark/>
          </w:tcPr>
          <w:p w14:paraId="68D6D80D" w14:textId="77777777" w:rsidR="00E3750C" w:rsidRPr="00F80DE3" w:rsidRDefault="00E3750C" w:rsidP="00047864">
            <w:pPr>
              <w:spacing w:after="0" w:line="240" w:lineRule="auto"/>
              <w:jc w:val="right"/>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2</w:t>
            </w:r>
          </w:p>
        </w:tc>
        <w:tc>
          <w:tcPr>
            <w:tcW w:w="1289" w:type="pct"/>
            <w:tcBorders>
              <w:top w:val="nil"/>
              <w:left w:val="nil"/>
              <w:bottom w:val="single" w:sz="4" w:space="0" w:color="auto"/>
              <w:right w:val="single" w:sz="4" w:space="0" w:color="auto"/>
            </w:tcBorders>
            <w:shd w:val="clear" w:color="auto" w:fill="auto"/>
            <w:noWrap/>
            <w:vAlign w:val="center"/>
            <w:hideMark/>
          </w:tcPr>
          <w:p w14:paraId="152B4E4E" w14:textId="77777777" w:rsidR="00E3750C" w:rsidRPr="00F80DE3" w:rsidRDefault="00E3750C" w:rsidP="00047864">
            <w:pPr>
              <w:spacing w:after="0" w:line="240" w:lineRule="auto"/>
              <w:jc w:val="right"/>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6.165.370</w:t>
            </w:r>
          </w:p>
        </w:tc>
      </w:tr>
      <w:tr w:rsidR="00E3750C" w:rsidRPr="00F80DE3" w14:paraId="441E2E42" w14:textId="77777777" w:rsidTr="00047864">
        <w:trPr>
          <w:trHeight w:val="288"/>
        </w:trPr>
        <w:tc>
          <w:tcPr>
            <w:tcW w:w="847" w:type="pct"/>
            <w:vMerge/>
            <w:tcBorders>
              <w:top w:val="nil"/>
              <w:left w:val="single" w:sz="4" w:space="0" w:color="auto"/>
              <w:bottom w:val="single" w:sz="4" w:space="0" w:color="auto"/>
              <w:right w:val="single" w:sz="4" w:space="0" w:color="auto"/>
            </w:tcBorders>
            <w:vAlign w:val="center"/>
            <w:hideMark/>
          </w:tcPr>
          <w:p w14:paraId="5D9D77B9" w14:textId="77777777" w:rsidR="00E3750C" w:rsidRPr="00F80DE3" w:rsidRDefault="00E3750C" w:rsidP="00047864">
            <w:pPr>
              <w:spacing w:after="0" w:line="240" w:lineRule="auto"/>
              <w:rPr>
                <w:rFonts w:ascii="Arial" w:eastAsia="Times New Roman" w:hAnsi="Arial" w:cs="Arial"/>
                <w:color w:val="000000"/>
                <w:sz w:val="18"/>
                <w:szCs w:val="18"/>
                <w:lang w:eastAsia="sl-SI"/>
              </w:rPr>
            </w:pPr>
          </w:p>
        </w:tc>
        <w:tc>
          <w:tcPr>
            <w:tcW w:w="2089" w:type="pct"/>
            <w:tcBorders>
              <w:top w:val="nil"/>
              <w:left w:val="nil"/>
              <w:bottom w:val="single" w:sz="4" w:space="0" w:color="auto"/>
              <w:right w:val="single" w:sz="4" w:space="0" w:color="auto"/>
            </w:tcBorders>
            <w:shd w:val="clear" w:color="auto" w:fill="auto"/>
            <w:noWrap/>
            <w:vAlign w:val="center"/>
            <w:hideMark/>
          </w:tcPr>
          <w:p w14:paraId="7D06CCC5" w14:textId="77777777" w:rsidR="00E3750C" w:rsidRPr="00F80DE3" w:rsidRDefault="00E3750C" w:rsidP="00047864">
            <w:pPr>
              <w:spacing w:after="0" w:line="240" w:lineRule="auto"/>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Francija</w:t>
            </w:r>
          </w:p>
        </w:tc>
        <w:tc>
          <w:tcPr>
            <w:tcW w:w="774" w:type="pct"/>
            <w:tcBorders>
              <w:top w:val="nil"/>
              <w:left w:val="nil"/>
              <w:bottom w:val="single" w:sz="4" w:space="0" w:color="auto"/>
              <w:right w:val="single" w:sz="4" w:space="0" w:color="auto"/>
            </w:tcBorders>
            <w:shd w:val="clear" w:color="auto" w:fill="auto"/>
            <w:noWrap/>
            <w:vAlign w:val="center"/>
            <w:hideMark/>
          </w:tcPr>
          <w:p w14:paraId="08EA963C" w14:textId="77777777" w:rsidR="00E3750C" w:rsidRPr="00F80DE3" w:rsidRDefault="00E3750C" w:rsidP="00047864">
            <w:pPr>
              <w:spacing w:after="0" w:line="240" w:lineRule="auto"/>
              <w:jc w:val="right"/>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24</w:t>
            </w:r>
          </w:p>
        </w:tc>
        <w:tc>
          <w:tcPr>
            <w:tcW w:w="1289" w:type="pct"/>
            <w:tcBorders>
              <w:top w:val="nil"/>
              <w:left w:val="nil"/>
              <w:bottom w:val="single" w:sz="4" w:space="0" w:color="auto"/>
              <w:right w:val="single" w:sz="4" w:space="0" w:color="auto"/>
            </w:tcBorders>
            <w:shd w:val="clear" w:color="auto" w:fill="auto"/>
            <w:noWrap/>
            <w:vAlign w:val="center"/>
            <w:hideMark/>
          </w:tcPr>
          <w:p w14:paraId="2A92283B" w14:textId="77777777" w:rsidR="00E3750C" w:rsidRPr="00F80DE3" w:rsidRDefault="00E3750C" w:rsidP="00047864">
            <w:pPr>
              <w:spacing w:after="0" w:line="240" w:lineRule="auto"/>
              <w:jc w:val="right"/>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10.709.332</w:t>
            </w:r>
          </w:p>
        </w:tc>
      </w:tr>
      <w:tr w:rsidR="00E3750C" w:rsidRPr="00F80DE3" w14:paraId="4041F790" w14:textId="77777777" w:rsidTr="00047864">
        <w:trPr>
          <w:trHeight w:val="288"/>
        </w:trPr>
        <w:tc>
          <w:tcPr>
            <w:tcW w:w="847" w:type="pct"/>
            <w:vMerge/>
            <w:tcBorders>
              <w:top w:val="nil"/>
              <w:left w:val="single" w:sz="4" w:space="0" w:color="auto"/>
              <w:bottom w:val="single" w:sz="4" w:space="0" w:color="auto"/>
              <w:right w:val="single" w:sz="4" w:space="0" w:color="auto"/>
            </w:tcBorders>
            <w:vAlign w:val="center"/>
            <w:hideMark/>
          </w:tcPr>
          <w:p w14:paraId="54E1771D" w14:textId="77777777" w:rsidR="00E3750C" w:rsidRPr="00F80DE3" w:rsidRDefault="00E3750C" w:rsidP="00047864">
            <w:pPr>
              <w:spacing w:after="0" w:line="240" w:lineRule="auto"/>
              <w:rPr>
                <w:rFonts w:ascii="Arial" w:eastAsia="Times New Roman" w:hAnsi="Arial" w:cs="Arial"/>
                <w:color w:val="000000"/>
                <w:sz w:val="18"/>
                <w:szCs w:val="18"/>
                <w:lang w:eastAsia="sl-SI"/>
              </w:rPr>
            </w:pPr>
          </w:p>
        </w:tc>
        <w:tc>
          <w:tcPr>
            <w:tcW w:w="2089" w:type="pct"/>
            <w:tcBorders>
              <w:top w:val="nil"/>
              <w:left w:val="nil"/>
              <w:bottom w:val="single" w:sz="4" w:space="0" w:color="auto"/>
              <w:right w:val="single" w:sz="4" w:space="0" w:color="auto"/>
            </w:tcBorders>
            <w:shd w:val="clear" w:color="auto" w:fill="auto"/>
            <w:noWrap/>
            <w:vAlign w:val="center"/>
            <w:hideMark/>
          </w:tcPr>
          <w:p w14:paraId="68A364E8" w14:textId="77777777" w:rsidR="00E3750C" w:rsidRPr="00F80DE3" w:rsidRDefault="00E3750C" w:rsidP="00047864">
            <w:pPr>
              <w:spacing w:after="0" w:line="240" w:lineRule="auto"/>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Hrvaška</w:t>
            </w:r>
          </w:p>
        </w:tc>
        <w:tc>
          <w:tcPr>
            <w:tcW w:w="774" w:type="pct"/>
            <w:tcBorders>
              <w:top w:val="nil"/>
              <w:left w:val="nil"/>
              <w:bottom w:val="single" w:sz="4" w:space="0" w:color="auto"/>
              <w:right w:val="single" w:sz="4" w:space="0" w:color="auto"/>
            </w:tcBorders>
            <w:shd w:val="clear" w:color="auto" w:fill="auto"/>
            <w:noWrap/>
            <w:vAlign w:val="center"/>
            <w:hideMark/>
          </w:tcPr>
          <w:p w14:paraId="5F62FC29" w14:textId="77777777" w:rsidR="00E3750C" w:rsidRPr="00F80DE3" w:rsidRDefault="00E3750C" w:rsidP="00047864">
            <w:pPr>
              <w:spacing w:after="0" w:line="240" w:lineRule="auto"/>
              <w:jc w:val="right"/>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92</w:t>
            </w:r>
          </w:p>
        </w:tc>
        <w:tc>
          <w:tcPr>
            <w:tcW w:w="1289" w:type="pct"/>
            <w:tcBorders>
              <w:top w:val="nil"/>
              <w:left w:val="nil"/>
              <w:bottom w:val="single" w:sz="4" w:space="0" w:color="auto"/>
              <w:right w:val="single" w:sz="4" w:space="0" w:color="auto"/>
            </w:tcBorders>
            <w:shd w:val="clear" w:color="auto" w:fill="auto"/>
            <w:noWrap/>
            <w:vAlign w:val="center"/>
            <w:hideMark/>
          </w:tcPr>
          <w:p w14:paraId="73708F9A" w14:textId="77777777" w:rsidR="00E3750C" w:rsidRPr="00F80DE3" w:rsidRDefault="00E3750C" w:rsidP="00047864">
            <w:pPr>
              <w:spacing w:after="0" w:line="240" w:lineRule="auto"/>
              <w:jc w:val="right"/>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19.026.575</w:t>
            </w:r>
          </w:p>
        </w:tc>
      </w:tr>
      <w:tr w:rsidR="00E3750C" w:rsidRPr="00F80DE3" w14:paraId="0D1B0D05" w14:textId="77777777" w:rsidTr="00047864">
        <w:trPr>
          <w:trHeight w:val="288"/>
        </w:trPr>
        <w:tc>
          <w:tcPr>
            <w:tcW w:w="847" w:type="pct"/>
            <w:vMerge/>
            <w:tcBorders>
              <w:top w:val="nil"/>
              <w:left w:val="single" w:sz="4" w:space="0" w:color="auto"/>
              <w:bottom w:val="single" w:sz="4" w:space="0" w:color="auto"/>
              <w:right w:val="single" w:sz="4" w:space="0" w:color="auto"/>
            </w:tcBorders>
            <w:vAlign w:val="center"/>
            <w:hideMark/>
          </w:tcPr>
          <w:p w14:paraId="3DC32974" w14:textId="77777777" w:rsidR="00E3750C" w:rsidRPr="00F80DE3" w:rsidRDefault="00E3750C" w:rsidP="00047864">
            <w:pPr>
              <w:spacing w:after="0" w:line="240" w:lineRule="auto"/>
              <w:rPr>
                <w:rFonts w:ascii="Arial" w:eastAsia="Times New Roman" w:hAnsi="Arial" w:cs="Arial"/>
                <w:color w:val="000000"/>
                <w:sz w:val="18"/>
                <w:szCs w:val="18"/>
                <w:lang w:eastAsia="sl-SI"/>
              </w:rPr>
            </w:pPr>
          </w:p>
        </w:tc>
        <w:tc>
          <w:tcPr>
            <w:tcW w:w="2089" w:type="pct"/>
            <w:tcBorders>
              <w:top w:val="nil"/>
              <w:left w:val="nil"/>
              <w:bottom w:val="single" w:sz="4" w:space="0" w:color="auto"/>
              <w:right w:val="single" w:sz="4" w:space="0" w:color="auto"/>
            </w:tcBorders>
            <w:shd w:val="clear" w:color="auto" w:fill="auto"/>
            <w:noWrap/>
            <w:vAlign w:val="center"/>
            <w:hideMark/>
          </w:tcPr>
          <w:p w14:paraId="031A0E54" w14:textId="77777777" w:rsidR="00E3750C" w:rsidRPr="00F80DE3" w:rsidRDefault="00E3750C" w:rsidP="00047864">
            <w:pPr>
              <w:spacing w:after="0" w:line="240" w:lineRule="auto"/>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Irska</w:t>
            </w:r>
          </w:p>
        </w:tc>
        <w:tc>
          <w:tcPr>
            <w:tcW w:w="774" w:type="pct"/>
            <w:tcBorders>
              <w:top w:val="nil"/>
              <w:left w:val="nil"/>
              <w:bottom w:val="single" w:sz="4" w:space="0" w:color="auto"/>
              <w:right w:val="single" w:sz="4" w:space="0" w:color="auto"/>
            </w:tcBorders>
            <w:shd w:val="clear" w:color="auto" w:fill="auto"/>
            <w:noWrap/>
            <w:vAlign w:val="center"/>
            <w:hideMark/>
          </w:tcPr>
          <w:p w14:paraId="19A44F0F" w14:textId="77777777" w:rsidR="00E3750C" w:rsidRPr="00F80DE3" w:rsidRDefault="00E3750C" w:rsidP="00047864">
            <w:pPr>
              <w:spacing w:after="0" w:line="240" w:lineRule="auto"/>
              <w:jc w:val="right"/>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2</w:t>
            </w:r>
          </w:p>
        </w:tc>
        <w:tc>
          <w:tcPr>
            <w:tcW w:w="1289" w:type="pct"/>
            <w:tcBorders>
              <w:top w:val="nil"/>
              <w:left w:val="nil"/>
              <w:bottom w:val="single" w:sz="4" w:space="0" w:color="auto"/>
              <w:right w:val="single" w:sz="4" w:space="0" w:color="auto"/>
            </w:tcBorders>
            <w:shd w:val="clear" w:color="auto" w:fill="auto"/>
            <w:noWrap/>
            <w:vAlign w:val="center"/>
            <w:hideMark/>
          </w:tcPr>
          <w:p w14:paraId="4F79C22D" w14:textId="77777777" w:rsidR="00E3750C" w:rsidRPr="00F80DE3" w:rsidRDefault="00E3750C" w:rsidP="00047864">
            <w:pPr>
              <w:spacing w:after="0" w:line="240" w:lineRule="auto"/>
              <w:jc w:val="right"/>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1.066.843</w:t>
            </w:r>
          </w:p>
        </w:tc>
      </w:tr>
      <w:tr w:rsidR="00E3750C" w:rsidRPr="00F80DE3" w14:paraId="69D702E5" w14:textId="77777777" w:rsidTr="00047864">
        <w:trPr>
          <w:trHeight w:val="288"/>
        </w:trPr>
        <w:tc>
          <w:tcPr>
            <w:tcW w:w="847" w:type="pct"/>
            <w:vMerge/>
            <w:tcBorders>
              <w:top w:val="nil"/>
              <w:left w:val="single" w:sz="4" w:space="0" w:color="auto"/>
              <w:bottom w:val="single" w:sz="4" w:space="0" w:color="auto"/>
              <w:right w:val="single" w:sz="4" w:space="0" w:color="auto"/>
            </w:tcBorders>
            <w:vAlign w:val="center"/>
            <w:hideMark/>
          </w:tcPr>
          <w:p w14:paraId="61CF3608" w14:textId="77777777" w:rsidR="00E3750C" w:rsidRPr="00F80DE3" w:rsidRDefault="00E3750C" w:rsidP="00047864">
            <w:pPr>
              <w:spacing w:after="0" w:line="240" w:lineRule="auto"/>
              <w:rPr>
                <w:rFonts w:ascii="Arial" w:eastAsia="Times New Roman" w:hAnsi="Arial" w:cs="Arial"/>
                <w:color w:val="000000"/>
                <w:sz w:val="18"/>
                <w:szCs w:val="18"/>
                <w:lang w:eastAsia="sl-SI"/>
              </w:rPr>
            </w:pPr>
          </w:p>
        </w:tc>
        <w:tc>
          <w:tcPr>
            <w:tcW w:w="2089" w:type="pct"/>
            <w:tcBorders>
              <w:top w:val="nil"/>
              <w:left w:val="nil"/>
              <w:bottom w:val="single" w:sz="4" w:space="0" w:color="auto"/>
              <w:right w:val="single" w:sz="4" w:space="0" w:color="auto"/>
            </w:tcBorders>
            <w:shd w:val="clear" w:color="auto" w:fill="auto"/>
            <w:noWrap/>
            <w:vAlign w:val="center"/>
            <w:hideMark/>
          </w:tcPr>
          <w:p w14:paraId="6558BA1B" w14:textId="77777777" w:rsidR="00E3750C" w:rsidRPr="00F80DE3" w:rsidRDefault="00E3750C" w:rsidP="00047864">
            <w:pPr>
              <w:spacing w:after="0" w:line="240" w:lineRule="auto"/>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Italija</w:t>
            </w:r>
          </w:p>
        </w:tc>
        <w:tc>
          <w:tcPr>
            <w:tcW w:w="774" w:type="pct"/>
            <w:tcBorders>
              <w:top w:val="nil"/>
              <w:left w:val="nil"/>
              <w:bottom w:val="single" w:sz="4" w:space="0" w:color="auto"/>
              <w:right w:val="single" w:sz="4" w:space="0" w:color="auto"/>
            </w:tcBorders>
            <w:shd w:val="clear" w:color="auto" w:fill="auto"/>
            <w:noWrap/>
            <w:vAlign w:val="center"/>
            <w:hideMark/>
          </w:tcPr>
          <w:p w14:paraId="17E8788D" w14:textId="77777777" w:rsidR="00E3750C" w:rsidRPr="00F80DE3" w:rsidRDefault="00E3750C" w:rsidP="00047864">
            <w:pPr>
              <w:spacing w:after="0" w:line="240" w:lineRule="auto"/>
              <w:jc w:val="right"/>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29</w:t>
            </w:r>
          </w:p>
        </w:tc>
        <w:tc>
          <w:tcPr>
            <w:tcW w:w="1289" w:type="pct"/>
            <w:tcBorders>
              <w:top w:val="nil"/>
              <w:left w:val="nil"/>
              <w:bottom w:val="single" w:sz="4" w:space="0" w:color="auto"/>
              <w:right w:val="single" w:sz="4" w:space="0" w:color="auto"/>
            </w:tcBorders>
            <w:shd w:val="clear" w:color="auto" w:fill="auto"/>
            <w:noWrap/>
            <w:vAlign w:val="center"/>
            <w:hideMark/>
          </w:tcPr>
          <w:p w14:paraId="4C656B6D" w14:textId="77777777" w:rsidR="00E3750C" w:rsidRPr="00F80DE3" w:rsidRDefault="00E3750C" w:rsidP="00047864">
            <w:pPr>
              <w:spacing w:after="0" w:line="240" w:lineRule="auto"/>
              <w:jc w:val="right"/>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17.673.186</w:t>
            </w:r>
          </w:p>
        </w:tc>
      </w:tr>
      <w:tr w:rsidR="00E3750C" w:rsidRPr="00F80DE3" w14:paraId="68F0BCFD" w14:textId="77777777" w:rsidTr="00047864">
        <w:trPr>
          <w:trHeight w:val="288"/>
        </w:trPr>
        <w:tc>
          <w:tcPr>
            <w:tcW w:w="847" w:type="pct"/>
            <w:vMerge/>
            <w:tcBorders>
              <w:top w:val="nil"/>
              <w:left w:val="single" w:sz="4" w:space="0" w:color="auto"/>
              <w:bottom w:val="single" w:sz="4" w:space="0" w:color="auto"/>
              <w:right w:val="single" w:sz="4" w:space="0" w:color="auto"/>
            </w:tcBorders>
            <w:vAlign w:val="center"/>
            <w:hideMark/>
          </w:tcPr>
          <w:p w14:paraId="78970446" w14:textId="77777777" w:rsidR="00E3750C" w:rsidRPr="00F80DE3" w:rsidRDefault="00E3750C" w:rsidP="00047864">
            <w:pPr>
              <w:spacing w:after="0" w:line="240" w:lineRule="auto"/>
              <w:rPr>
                <w:rFonts w:ascii="Arial" w:eastAsia="Times New Roman" w:hAnsi="Arial" w:cs="Arial"/>
                <w:color w:val="000000"/>
                <w:sz w:val="18"/>
                <w:szCs w:val="18"/>
                <w:lang w:eastAsia="sl-SI"/>
              </w:rPr>
            </w:pPr>
          </w:p>
        </w:tc>
        <w:tc>
          <w:tcPr>
            <w:tcW w:w="2089" w:type="pct"/>
            <w:tcBorders>
              <w:top w:val="nil"/>
              <w:left w:val="nil"/>
              <w:bottom w:val="single" w:sz="4" w:space="0" w:color="auto"/>
              <w:right w:val="single" w:sz="4" w:space="0" w:color="auto"/>
            </w:tcBorders>
            <w:shd w:val="clear" w:color="auto" w:fill="auto"/>
            <w:noWrap/>
            <w:vAlign w:val="center"/>
            <w:hideMark/>
          </w:tcPr>
          <w:p w14:paraId="548BDFA6" w14:textId="77777777" w:rsidR="00E3750C" w:rsidRPr="00F80DE3" w:rsidRDefault="00E3750C" w:rsidP="00047864">
            <w:pPr>
              <w:spacing w:after="0" w:line="240" w:lineRule="auto"/>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Madžarska</w:t>
            </w:r>
          </w:p>
        </w:tc>
        <w:tc>
          <w:tcPr>
            <w:tcW w:w="774" w:type="pct"/>
            <w:tcBorders>
              <w:top w:val="nil"/>
              <w:left w:val="nil"/>
              <w:bottom w:val="single" w:sz="4" w:space="0" w:color="auto"/>
              <w:right w:val="single" w:sz="4" w:space="0" w:color="auto"/>
            </w:tcBorders>
            <w:shd w:val="clear" w:color="auto" w:fill="auto"/>
            <w:noWrap/>
            <w:vAlign w:val="center"/>
            <w:hideMark/>
          </w:tcPr>
          <w:p w14:paraId="150FC4A4" w14:textId="77777777" w:rsidR="00E3750C" w:rsidRPr="00F80DE3" w:rsidRDefault="00E3750C" w:rsidP="00047864">
            <w:pPr>
              <w:spacing w:after="0" w:line="240" w:lineRule="auto"/>
              <w:jc w:val="right"/>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10</w:t>
            </w:r>
          </w:p>
        </w:tc>
        <w:tc>
          <w:tcPr>
            <w:tcW w:w="1289" w:type="pct"/>
            <w:tcBorders>
              <w:top w:val="nil"/>
              <w:left w:val="nil"/>
              <w:bottom w:val="single" w:sz="4" w:space="0" w:color="auto"/>
              <w:right w:val="single" w:sz="4" w:space="0" w:color="auto"/>
            </w:tcBorders>
            <w:shd w:val="clear" w:color="auto" w:fill="auto"/>
            <w:noWrap/>
            <w:vAlign w:val="center"/>
            <w:hideMark/>
          </w:tcPr>
          <w:p w14:paraId="18F7792F" w14:textId="77777777" w:rsidR="00E3750C" w:rsidRPr="00F80DE3" w:rsidRDefault="00E3750C" w:rsidP="00047864">
            <w:pPr>
              <w:spacing w:after="0" w:line="240" w:lineRule="auto"/>
              <w:jc w:val="right"/>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2.121.955</w:t>
            </w:r>
          </w:p>
        </w:tc>
      </w:tr>
      <w:tr w:rsidR="00E3750C" w:rsidRPr="00F80DE3" w14:paraId="2F81F284" w14:textId="77777777" w:rsidTr="00047864">
        <w:trPr>
          <w:trHeight w:val="288"/>
        </w:trPr>
        <w:tc>
          <w:tcPr>
            <w:tcW w:w="847" w:type="pct"/>
            <w:vMerge/>
            <w:tcBorders>
              <w:top w:val="nil"/>
              <w:left w:val="single" w:sz="4" w:space="0" w:color="auto"/>
              <w:bottom w:val="single" w:sz="4" w:space="0" w:color="auto"/>
              <w:right w:val="single" w:sz="4" w:space="0" w:color="auto"/>
            </w:tcBorders>
            <w:vAlign w:val="center"/>
            <w:hideMark/>
          </w:tcPr>
          <w:p w14:paraId="768F2999" w14:textId="77777777" w:rsidR="00E3750C" w:rsidRPr="00F80DE3" w:rsidRDefault="00E3750C" w:rsidP="00047864">
            <w:pPr>
              <w:spacing w:after="0" w:line="240" w:lineRule="auto"/>
              <w:rPr>
                <w:rFonts w:ascii="Arial" w:eastAsia="Times New Roman" w:hAnsi="Arial" w:cs="Arial"/>
                <w:color w:val="000000"/>
                <w:sz w:val="18"/>
                <w:szCs w:val="18"/>
                <w:lang w:eastAsia="sl-SI"/>
              </w:rPr>
            </w:pPr>
          </w:p>
        </w:tc>
        <w:tc>
          <w:tcPr>
            <w:tcW w:w="2089" w:type="pct"/>
            <w:tcBorders>
              <w:top w:val="nil"/>
              <w:left w:val="nil"/>
              <w:bottom w:val="single" w:sz="4" w:space="0" w:color="auto"/>
              <w:right w:val="single" w:sz="4" w:space="0" w:color="auto"/>
            </w:tcBorders>
            <w:shd w:val="clear" w:color="auto" w:fill="auto"/>
            <w:noWrap/>
            <w:vAlign w:val="center"/>
            <w:hideMark/>
          </w:tcPr>
          <w:p w14:paraId="6D3BBDCD" w14:textId="77777777" w:rsidR="00E3750C" w:rsidRPr="00F80DE3" w:rsidRDefault="00E3750C" w:rsidP="00047864">
            <w:pPr>
              <w:spacing w:after="0" w:line="240" w:lineRule="auto"/>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Nemčija</w:t>
            </w:r>
          </w:p>
        </w:tc>
        <w:tc>
          <w:tcPr>
            <w:tcW w:w="774" w:type="pct"/>
            <w:tcBorders>
              <w:top w:val="nil"/>
              <w:left w:val="nil"/>
              <w:bottom w:val="single" w:sz="4" w:space="0" w:color="auto"/>
              <w:right w:val="single" w:sz="4" w:space="0" w:color="auto"/>
            </w:tcBorders>
            <w:shd w:val="clear" w:color="auto" w:fill="auto"/>
            <w:noWrap/>
            <w:vAlign w:val="center"/>
            <w:hideMark/>
          </w:tcPr>
          <w:p w14:paraId="27ED5EFB" w14:textId="77777777" w:rsidR="00E3750C" w:rsidRPr="00F80DE3" w:rsidRDefault="00E3750C" w:rsidP="00047864">
            <w:pPr>
              <w:spacing w:after="0" w:line="240" w:lineRule="auto"/>
              <w:jc w:val="right"/>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39</w:t>
            </w:r>
          </w:p>
        </w:tc>
        <w:tc>
          <w:tcPr>
            <w:tcW w:w="1289" w:type="pct"/>
            <w:tcBorders>
              <w:top w:val="nil"/>
              <w:left w:val="nil"/>
              <w:bottom w:val="single" w:sz="4" w:space="0" w:color="auto"/>
              <w:right w:val="single" w:sz="4" w:space="0" w:color="auto"/>
            </w:tcBorders>
            <w:shd w:val="clear" w:color="auto" w:fill="auto"/>
            <w:noWrap/>
            <w:vAlign w:val="center"/>
            <w:hideMark/>
          </w:tcPr>
          <w:p w14:paraId="58618040" w14:textId="77777777" w:rsidR="00E3750C" w:rsidRPr="00F80DE3" w:rsidRDefault="00E3750C" w:rsidP="00047864">
            <w:pPr>
              <w:spacing w:after="0" w:line="240" w:lineRule="auto"/>
              <w:jc w:val="right"/>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19.044.611</w:t>
            </w:r>
          </w:p>
        </w:tc>
      </w:tr>
      <w:tr w:rsidR="00E3750C" w:rsidRPr="00F80DE3" w14:paraId="59EE0285" w14:textId="77777777" w:rsidTr="00047864">
        <w:trPr>
          <w:trHeight w:val="288"/>
        </w:trPr>
        <w:tc>
          <w:tcPr>
            <w:tcW w:w="847" w:type="pct"/>
            <w:vMerge/>
            <w:tcBorders>
              <w:top w:val="nil"/>
              <w:left w:val="single" w:sz="4" w:space="0" w:color="auto"/>
              <w:bottom w:val="single" w:sz="4" w:space="0" w:color="auto"/>
              <w:right w:val="single" w:sz="4" w:space="0" w:color="auto"/>
            </w:tcBorders>
            <w:vAlign w:val="center"/>
            <w:hideMark/>
          </w:tcPr>
          <w:p w14:paraId="27416E92" w14:textId="77777777" w:rsidR="00E3750C" w:rsidRPr="00F80DE3" w:rsidRDefault="00E3750C" w:rsidP="00047864">
            <w:pPr>
              <w:spacing w:after="0" w:line="240" w:lineRule="auto"/>
              <w:rPr>
                <w:rFonts w:ascii="Arial" w:eastAsia="Times New Roman" w:hAnsi="Arial" w:cs="Arial"/>
                <w:color w:val="000000"/>
                <w:sz w:val="18"/>
                <w:szCs w:val="18"/>
                <w:lang w:eastAsia="sl-SI"/>
              </w:rPr>
            </w:pPr>
          </w:p>
        </w:tc>
        <w:tc>
          <w:tcPr>
            <w:tcW w:w="2089" w:type="pct"/>
            <w:tcBorders>
              <w:top w:val="nil"/>
              <w:left w:val="nil"/>
              <w:bottom w:val="single" w:sz="4" w:space="0" w:color="auto"/>
              <w:right w:val="single" w:sz="4" w:space="0" w:color="auto"/>
            </w:tcBorders>
            <w:shd w:val="clear" w:color="auto" w:fill="auto"/>
            <w:noWrap/>
            <w:vAlign w:val="center"/>
            <w:hideMark/>
          </w:tcPr>
          <w:p w14:paraId="143BAEDC" w14:textId="77777777" w:rsidR="00E3750C" w:rsidRPr="00F80DE3" w:rsidRDefault="00E3750C" w:rsidP="00047864">
            <w:pPr>
              <w:spacing w:after="0" w:line="240" w:lineRule="auto"/>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Nizozemska</w:t>
            </w:r>
          </w:p>
        </w:tc>
        <w:tc>
          <w:tcPr>
            <w:tcW w:w="774" w:type="pct"/>
            <w:tcBorders>
              <w:top w:val="nil"/>
              <w:left w:val="nil"/>
              <w:bottom w:val="single" w:sz="4" w:space="0" w:color="auto"/>
              <w:right w:val="single" w:sz="4" w:space="0" w:color="auto"/>
            </w:tcBorders>
            <w:shd w:val="clear" w:color="auto" w:fill="auto"/>
            <w:noWrap/>
            <w:vAlign w:val="center"/>
            <w:hideMark/>
          </w:tcPr>
          <w:p w14:paraId="50AFDCE7" w14:textId="77777777" w:rsidR="00E3750C" w:rsidRPr="00F80DE3" w:rsidRDefault="00E3750C" w:rsidP="00047864">
            <w:pPr>
              <w:spacing w:after="0" w:line="240" w:lineRule="auto"/>
              <w:jc w:val="right"/>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65</w:t>
            </w:r>
          </w:p>
        </w:tc>
        <w:tc>
          <w:tcPr>
            <w:tcW w:w="1289" w:type="pct"/>
            <w:tcBorders>
              <w:top w:val="nil"/>
              <w:left w:val="nil"/>
              <w:bottom w:val="single" w:sz="4" w:space="0" w:color="auto"/>
              <w:right w:val="single" w:sz="4" w:space="0" w:color="auto"/>
            </w:tcBorders>
            <w:shd w:val="clear" w:color="auto" w:fill="auto"/>
            <w:noWrap/>
            <w:vAlign w:val="center"/>
            <w:hideMark/>
          </w:tcPr>
          <w:p w14:paraId="05BA5F7D" w14:textId="77777777" w:rsidR="00E3750C" w:rsidRPr="00F80DE3" w:rsidRDefault="00E3750C" w:rsidP="00047864">
            <w:pPr>
              <w:spacing w:after="0" w:line="240" w:lineRule="auto"/>
              <w:jc w:val="right"/>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19.182.230</w:t>
            </w:r>
          </w:p>
        </w:tc>
      </w:tr>
      <w:tr w:rsidR="00E3750C" w:rsidRPr="00F80DE3" w14:paraId="303F9D63" w14:textId="77777777" w:rsidTr="00047864">
        <w:trPr>
          <w:trHeight w:val="288"/>
        </w:trPr>
        <w:tc>
          <w:tcPr>
            <w:tcW w:w="847" w:type="pct"/>
            <w:vMerge/>
            <w:tcBorders>
              <w:top w:val="nil"/>
              <w:left w:val="single" w:sz="4" w:space="0" w:color="auto"/>
              <w:bottom w:val="single" w:sz="4" w:space="0" w:color="auto"/>
              <w:right w:val="single" w:sz="4" w:space="0" w:color="auto"/>
            </w:tcBorders>
            <w:vAlign w:val="center"/>
            <w:hideMark/>
          </w:tcPr>
          <w:p w14:paraId="1AE3866E" w14:textId="77777777" w:rsidR="00E3750C" w:rsidRPr="00F80DE3" w:rsidRDefault="00E3750C" w:rsidP="00047864">
            <w:pPr>
              <w:spacing w:after="0" w:line="240" w:lineRule="auto"/>
              <w:rPr>
                <w:rFonts w:ascii="Arial" w:eastAsia="Times New Roman" w:hAnsi="Arial" w:cs="Arial"/>
                <w:color w:val="000000"/>
                <w:sz w:val="18"/>
                <w:szCs w:val="18"/>
                <w:lang w:eastAsia="sl-SI"/>
              </w:rPr>
            </w:pPr>
          </w:p>
        </w:tc>
        <w:tc>
          <w:tcPr>
            <w:tcW w:w="2089" w:type="pct"/>
            <w:tcBorders>
              <w:top w:val="nil"/>
              <w:left w:val="nil"/>
              <w:bottom w:val="single" w:sz="4" w:space="0" w:color="auto"/>
              <w:right w:val="single" w:sz="4" w:space="0" w:color="auto"/>
            </w:tcBorders>
            <w:shd w:val="clear" w:color="auto" w:fill="auto"/>
            <w:noWrap/>
            <w:vAlign w:val="center"/>
            <w:hideMark/>
          </w:tcPr>
          <w:p w14:paraId="25A8E2D5" w14:textId="77777777" w:rsidR="00E3750C" w:rsidRPr="00F80DE3" w:rsidRDefault="00E3750C" w:rsidP="00047864">
            <w:pPr>
              <w:spacing w:after="0" w:line="240" w:lineRule="auto"/>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Poljska</w:t>
            </w:r>
          </w:p>
        </w:tc>
        <w:tc>
          <w:tcPr>
            <w:tcW w:w="774" w:type="pct"/>
            <w:tcBorders>
              <w:top w:val="nil"/>
              <w:left w:val="nil"/>
              <w:bottom w:val="single" w:sz="4" w:space="0" w:color="auto"/>
              <w:right w:val="single" w:sz="4" w:space="0" w:color="auto"/>
            </w:tcBorders>
            <w:shd w:val="clear" w:color="auto" w:fill="auto"/>
            <w:noWrap/>
            <w:vAlign w:val="center"/>
            <w:hideMark/>
          </w:tcPr>
          <w:p w14:paraId="5B12DA0C" w14:textId="77777777" w:rsidR="00E3750C" w:rsidRPr="00F80DE3" w:rsidRDefault="00E3750C" w:rsidP="00047864">
            <w:pPr>
              <w:spacing w:after="0" w:line="240" w:lineRule="auto"/>
              <w:jc w:val="right"/>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4</w:t>
            </w:r>
          </w:p>
        </w:tc>
        <w:tc>
          <w:tcPr>
            <w:tcW w:w="1289" w:type="pct"/>
            <w:tcBorders>
              <w:top w:val="nil"/>
              <w:left w:val="nil"/>
              <w:bottom w:val="single" w:sz="4" w:space="0" w:color="auto"/>
              <w:right w:val="single" w:sz="4" w:space="0" w:color="auto"/>
            </w:tcBorders>
            <w:shd w:val="clear" w:color="auto" w:fill="auto"/>
            <w:noWrap/>
            <w:vAlign w:val="center"/>
            <w:hideMark/>
          </w:tcPr>
          <w:p w14:paraId="7D43E1F0" w14:textId="77777777" w:rsidR="00E3750C" w:rsidRPr="00F80DE3" w:rsidRDefault="00E3750C" w:rsidP="00047864">
            <w:pPr>
              <w:spacing w:after="0" w:line="240" w:lineRule="auto"/>
              <w:jc w:val="right"/>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692.830</w:t>
            </w:r>
          </w:p>
        </w:tc>
      </w:tr>
      <w:tr w:rsidR="00E3750C" w:rsidRPr="00F80DE3" w14:paraId="7E25294D" w14:textId="77777777" w:rsidTr="00047864">
        <w:trPr>
          <w:trHeight w:val="288"/>
        </w:trPr>
        <w:tc>
          <w:tcPr>
            <w:tcW w:w="847" w:type="pct"/>
            <w:vMerge/>
            <w:tcBorders>
              <w:top w:val="nil"/>
              <w:left w:val="single" w:sz="4" w:space="0" w:color="auto"/>
              <w:bottom w:val="single" w:sz="4" w:space="0" w:color="auto"/>
              <w:right w:val="single" w:sz="4" w:space="0" w:color="auto"/>
            </w:tcBorders>
            <w:vAlign w:val="center"/>
            <w:hideMark/>
          </w:tcPr>
          <w:p w14:paraId="1385B9B5" w14:textId="77777777" w:rsidR="00E3750C" w:rsidRPr="00F80DE3" w:rsidRDefault="00E3750C" w:rsidP="00047864">
            <w:pPr>
              <w:spacing w:after="0" w:line="240" w:lineRule="auto"/>
              <w:rPr>
                <w:rFonts w:ascii="Arial" w:eastAsia="Times New Roman" w:hAnsi="Arial" w:cs="Arial"/>
                <w:color w:val="000000"/>
                <w:sz w:val="18"/>
                <w:szCs w:val="18"/>
                <w:lang w:eastAsia="sl-SI"/>
              </w:rPr>
            </w:pPr>
          </w:p>
        </w:tc>
        <w:tc>
          <w:tcPr>
            <w:tcW w:w="2089" w:type="pct"/>
            <w:tcBorders>
              <w:top w:val="nil"/>
              <w:left w:val="nil"/>
              <w:bottom w:val="single" w:sz="4" w:space="0" w:color="auto"/>
              <w:right w:val="single" w:sz="4" w:space="0" w:color="auto"/>
            </w:tcBorders>
            <w:shd w:val="clear" w:color="auto" w:fill="auto"/>
            <w:noWrap/>
            <w:vAlign w:val="center"/>
            <w:hideMark/>
          </w:tcPr>
          <w:p w14:paraId="0C3206F6" w14:textId="77777777" w:rsidR="00E3750C" w:rsidRPr="00F80DE3" w:rsidRDefault="00E3750C" w:rsidP="00047864">
            <w:pPr>
              <w:spacing w:after="0" w:line="240" w:lineRule="auto"/>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Romunija</w:t>
            </w:r>
          </w:p>
        </w:tc>
        <w:tc>
          <w:tcPr>
            <w:tcW w:w="774" w:type="pct"/>
            <w:tcBorders>
              <w:top w:val="nil"/>
              <w:left w:val="nil"/>
              <w:bottom w:val="single" w:sz="4" w:space="0" w:color="auto"/>
              <w:right w:val="single" w:sz="4" w:space="0" w:color="auto"/>
            </w:tcBorders>
            <w:shd w:val="clear" w:color="auto" w:fill="auto"/>
            <w:noWrap/>
            <w:vAlign w:val="center"/>
            <w:hideMark/>
          </w:tcPr>
          <w:p w14:paraId="7641B34D" w14:textId="77777777" w:rsidR="00E3750C" w:rsidRPr="00F80DE3" w:rsidRDefault="00E3750C" w:rsidP="00047864">
            <w:pPr>
              <w:spacing w:after="0" w:line="240" w:lineRule="auto"/>
              <w:jc w:val="right"/>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2</w:t>
            </w:r>
          </w:p>
        </w:tc>
        <w:tc>
          <w:tcPr>
            <w:tcW w:w="1289" w:type="pct"/>
            <w:tcBorders>
              <w:top w:val="nil"/>
              <w:left w:val="nil"/>
              <w:bottom w:val="single" w:sz="4" w:space="0" w:color="auto"/>
              <w:right w:val="single" w:sz="4" w:space="0" w:color="auto"/>
            </w:tcBorders>
            <w:shd w:val="clear" w:color="auto" w:fill="auto"/>
            <w:noWrap/>
            <w:vAlign w:val="center"/>
            <w:hideMark/>
          </w:tcPr>
          <w:p w14:paraId="51888A0E" w14:textId="77777777" w:rsidR="00E3750C" w:rsidRPr="00F80DE3" w:rsidRDefault="00E3750C" w:rsidP="00047864">
            <w:pPr>
              <w:spacing w:after="0" w:line="240" w:lineRule="auto"/>
              <w:jc w:val="right"/>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1.188.620</w:t>
            </w:r>
          </w:p>
        </w:tc>
      </w:tr>
      <w:tr w:rsidR="00E3750C" w:rsidRPr="00F80DE3" w14:paraId="28AA8144" w14:textId="77777777" w:rsidTr="00047864">
        <w:trPr>
          <w:trHeight w:val="288"/>
        </w:trPr>
        <w:tc>
          <w:tcPr>
            <w:tcW w:w="847" w:type="pct"/>
            <w:vMerge/>
            <w:tcBorders>
              <w:top w:val="nil"/>
              <w:left w:val="single" w:sz="4" w:space="0" w:color="auto"/>
              <w:bottom w:val="single" w:sz="4" w:space="0" w:color="auto"/>
              <w:right w:val="single" w:sz="4" w:space="0" w:color="auto"/>
            </w:tcBorders>
            <w:vAlign w:val="center"/>
            <w:hideMark/>
          </w:tcPr>
          <w:p w14:paraId="72AE7697" w14:textId="77777777" w:rsidR="00E3750C" w:rsidRPr="00F80DE3" w:rsidRDefault="00E3750C" w:rsidP="00047864">
            <w:pPr>
              <w:spacing w:after="0" w:line="240" w:lineRule="auto"/>
              <w:rPr>
                <w:rFonts w:ascii="Arial" w:eastAsia="Times New Roman" w:hAnsi="Arial" w:cs="Arial"/>
                <w:color w:val="000000"/>
                <w:sz w:val="18"/>
                <w:szCs w:val="18"/>
                <w:lang w:eastAsia="sl-SI"/>
              </w:rPr>
            </w:pPr>
          </w:p>
        </w:tc>
        <w:tc>
          <w:tcPr>
            <w:tcW w:w="2089" w:type="pct"/>
            <w:tcBorders>
              <w:top w:val="nil"/>
              <w:left w:val="nil"/>
              <w:bottom w:val="single" w:sz="4" w:space="0" w:color="auto"/>
              <w:right w:val="single" w:sz="4" w:space="0" w:color="auto"/>
            </w:tcBorders>
            <w:shd w:val="clear" w:color="auto" w:fill="auto"/>
            <w:noWrap/>
            <w:vAlign w:val="center"/>
            <w:hideMark/>
          </w:tcPr>
          <w:p w14:paraId="2A08765E" w14:textId="77777777" w:rsidR="00E3750C" w:rsidRPr="00F80DE3" w:rsidRDefault="00E3750C" w:rsidP="00047864">
            <w:pPr>
              <w:spacing w:after="0" w:line="240" w:lineRule="auto"/>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Slovaška</w:t>
            </w:r>
          </w:p>
        </w:tc>
        <w:tc>
          <w:tcPr>
            <w:tcW w:w="774" w:type="pct"/>
            <w:tcBorders>
              <w:top w:val="nil"/>
              <w:left w:val="nil"/>
              <w:bottom w:val="single" w:sz="4" w:space="0" w:color="auto"/>
              <w:right w:val="single" w:sz="4" w:space="0" w:color="auto"/>
            </w:tcBorders>
            <w:shd w:val="clear" w:color="auto" w:fill="auto"/>
            <w:noWrap/>
            <w:vAlign w:val="center"/>
            <w:hideMark/>
          </w:tcPr>
          <w:p w14:paraId="21B1C333" w14:textId="77777777" w:rsidR="00E3750C" w:rsidRPr="00F80DE3" w:rsidRDefault="00E3750C" w:rsidP="00047864">
            <w:pPr>
              <w:spacing w:after="0" w:line="240" w:lineRule="auto"/>
              <w:jc w:val="right"/>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6</w:t>
            </w:r>
          </w:p>
        </w:tc>
        <w:tc>
          <w:tcPr>
            <w:tcW w:w="1289" w:type="pct"/>
            <w:tcBorders>
              <w:top w:val="nil"/>
              <w:left w:val="nil"/>
              <w:bottom w:val="single" w:sz="4" w:space="0" w:color="auto"/>
              <w:right w:val="single" w:sz="4" w:space="0" w:color="auto"/>
            </w:tcBorders>
            <w:shd w:val="clear" w:color="auto" w:fill="auto"/>
            <w:noWrap/>
            <w:vAlign w:val="center"/>
            <w:hideMark/>
          </w:tcPr>
          <w:p w14:paraId="3B9A4735" w14:textId="77777777" w:rsidR="00E3750C" w:rsidRPr="00F80DE3" w:rsidRDefault="00E3750C" w:rsidP="00047864">
            <w:pPr>
              <w:spacing w:after="0" w:line="240" w:lineRule="auto"/>
              <w:jc w:val="right"/>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6.148.220</w:t>
            </w:r>
          </w:p>
        </w:tc>
      </w:tr>
      <w:tr w:rsidR="00E3750C" w:rsidRPr="00F80DE3" w14:paraId="46C5E13C" w14:textId="77777777" w:rsidTr="00047864">
        <w:trPr>
          <w:trHeight w:val="288"/>
        </w:trPr>
        <w:tc>
          <w:tcPr>
            <w:tcW w:w="847" w:type="pct"/>
            <w:vMerge/>
            <w:tcBorders>
              <w:top w:val="nil"/>
              <w:left w:val="single" w:sz="4" w:space="0" w:color="auto"/>
              <w:bottom w:val="single" w:sz="4" w:space="0" w:color="auto"/>
              <w:right w:val="single" w:sz="4" w:space="0" w:color="auto"/>
            </w:tcBorders>
            <w:vAlign w:val="center"/>
            <w:hideMark/>
          </w:tcPr>
          <w:p w14:paraId="302DCC58" w14:textId="77777777" w:rsidR="00E3750C" w:rsidRPr="00F80DE3" w:rsidRDefault="00E3750C" w:rsidP="00047864">
            <w:pPr>
              <w:spacing w:after="0" w:line="240" w:lineRule="auto"/>
              <w:rPr>
                <w:rFonts w:ascii="Arial" w:eastAsia="Times New Roman" w:hAnsi="Arial" w:cs="Arial"/>
                <w:color w:val="000000"/>
                <w:sz w:val="18"/>
                <w:szCs w:val="18"/>
                <w:lang w:eastAsia="sl-SI"/>
              </w:rPr>
            </w:pPr>
          </w:p>
        </w:tc>
        <w:tc>
          <w:tcPr>
            <w:tcW w:w="2089" w:type="pct"/>
            <w:tcBorders>
              <w:top w:val="nil"/>
              <w:left w:val="nil"/>
              <w:bottom w:val="single" w:sz="4" w:space="0" w:color="auto"/>
              <w:right w:val="single" w:sz="4" w:space="0" w:color="auto"/>
            </w:tcBorders>
            <w:shd w:val="clear" w:color="auto" w:fill="auto"/>
            <w:noWrap/>
            <w:vAlign w:val="center"/>
            <w:hideMark/>
          </w:tcPr>
          <w:p w14:paraId="6805201C" w14:textId="77777777" w:rsidR="00E3750C" w:rsidRPr="00F80DE3" w:rsidRDefault="00E3750C" w:rsidP="00047864">
            <w:pPr>
              <w:spacing w:after="0" w:line="240" w:lineRule="auto"/>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Španija</w:t>
            </w:r>
          </w:p>
        </w:tc>
        <w:tc>
          <w:tcPr>
            <w:tcW w:w="774" w:type="pct"/>
            <w:tcBorders>
              <w:top w:val="nil"/>
              <w:left w:val="nil"/>
              <w:bottom w:val="single" w:sz="4" w:space="0" w:color="auto"/>
              <w:right w:val="single" w:sz="4" w:space="0" w:color="auto"/>
            </w:tcBorders>
            <w:shd w:val="clear" w:color="auto" w:fill="auto"/>
            <w:noWrap/>
            <w:vAlign w:val="center"/>
            <w:hideMark/>
          </w:tcPr>
          <w:p w14:paraId="27ADD1B4" w14:textId="77777777" w:rsidR="00E3750C" w:rsidRPr="00F80DE3" w:rsidRDefault="00E3750C" w:rsidP="00047864">
            <w:pPr>
              <w:spacing w:after="0" w:line="240" w:lineRule="auto"/>
              <w:jc w:val="right"/>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10</w:t>
            </w:r>
          </w:p>
        </w:tc>
        <w:tc>
          <w:tcPr>
            <w:tcW w:w="1289" w:type="pct"/>
            <w:tcBorders>
              <w:top w:val="nil"/>
              <w:left w:val="nil"/>
              <w:bottom w:val="single" w:sz="4" w:space="0" w:color="auto"/>
              <w:right w:val="single" w:sz="4" w:space="0" w:color="auto"/>
            </w:tcBorders>
            <w:shd w:val="clear" w:color="auto" w:fill="auto"/>
            <w:noWrap/>
            <w:vAlign w:val="center"/>
            <w:hideMark/>
          </w:tcPr>
          <w:p w14:paraId="52529FB6" w14:textId="77777777" w:rsidR="00E3750C" w:rsidRPr="00F80DE3" w:rsidRDefault="00E3750C" w:rsidP="00047864">
            <w:pPr>
              <w:spacing w:after="0" w:line="240" w:lineRule="auto"/>
              <w:jc w:val="right"/>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2.079.644</w:t>
            </w:r>
          </w:p>
        </w:tc>
      </w:tr>
      <w:tr w:rsidR="00E3750C" w:rsidRPr="00F80DE3" w14:paraId="2B90FAF9" w14:textId="77777777" w:rsidTr="00047864">
        <w:trPr>
          <w:trHeight w:val="288"/>
        </w:trPr>
        <w:tc>
          <w:tcPr>
            <w:tcW w:w="847" w:type="pct"/>
            <w:vMerge/>
            <w:tcBorders>
              <w:top w:val="nil"/>
              <w:left w:val="single" w:sz="4" w:space="0" w:color="auto"/>
              <w:bottom w:val="single" w:sz="4" w:space="0" w:color="auto"/>
              <w:right w:val="single" w:sz="4" w:space="0" w:color="auto"/>
            </w:tcBorders>
            <w:vAlign w:val="center"/>
            <w:hideMark/>
          </w:tcPr>
          <w:p w14:paraId="305E85A7" w14:textId="77777777" w:rsidR="00E3750C" w:rsidRPr="00F80DE3" w:rsidRDefault="00E3750C" w:rsidP="00047864">
            <w:pPr>
              <w:spacing w:after="0" w:line="240" w:lineRule="auto"/>
              <w:rPr>
                <w:rFonts w:ascii="Arial" w:eastAsia="Times New Roman" w:hAnsi="Arial" w:cs="Arial"/>
                <w:color w:val="000000"/>
                <w:sz w:val="18"/>
                <w:szCs w:val="18"/>
                <w:lang w:eastAsia="sl-SI"/>
              </w:rPr>
            </w:pPr>
          </w:p>
        </w:tc>
        <w:tc>
          <w:tcPr>
            <w:tcW w:w="2089" w:type="pct"/>
            <w:tcBorders>
              <w:top w:val="nil"/>
              <w:left w:val="nil"/>
              <w:bottom w:val="single" w:sz="4" w:space="0" w:color="auto"/>
              <w:right w:val="single" w:sz="4" w:space="0" w:color="auto"/>
            </w:tcBorders>
            <w:shd w:val="clear" w:color="auto" w:fill="auto"/>
            <w:noWrap/>
            <w:vAlign w:val="center"/>
            <w:hideMark/>
          </w:tcPr>
          <w:p w14:paraId="353A1CC1" w14:textId="77777777" w:rsidR="00E3750C" w:rsidRPr="00F80DE3" w:rsidRDefault="00E3750C" w:rsidP="00047864">
            <w:pPr>
              <w:spacing w:after="0" w:line="240" w:lineRule="auto"/>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Švedska</w:t>
            </w:r>
          </w:p>
        </w:tc>
        <w:tc>
          <w:tcPr>
            <w:tcW w:w="774" w:type="pct"/>
            <w:tcBorders>
              <w:top w:val="nil"/>
              <w:left w:val="nil"/>
              <w:bottom w:val="single" w:sz="4" w:space="0" w:color="auto"/>
              <w:right w:val="single" w:sz="4" w:space="0" w:color="auto"/>
            </w:tcBorders>
            <w:shd w:val="clear" w:color="auto" w:fill="auto"/>
            <w:noWrap/>
            <w:vAlign w:val="center"/>
            <w:hideMark/>
          </w:tcPr>
          <w:p w14:paraId="116DDDBA" w14:textId="77777777" w:rsidR="00E3750C" w:rsidRPr="00F80DE3" w:rsidRDefault="00E3750C" w:rsidP="00047864">
            <w:pPr>
              <w:spacing w:after="0" w:line="240" w:lineRule="auto"/>
              <w:jc w:val="right"/>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5</w:t>
            </w:r>
          </w:p>
        </w:tc>
        <w:tc>
          <w:tcPr>
            <w:tcW w:w="1289" w:type="pct"/>
            <w:tcBorders>
              <w:top w:val="nil"/>
              <w:left w:val="nil"/>
              <w:bottom w:val="single" w:sz="4" w:space="0" w:color="auto"/>
              <w:right w:val="single" w:sz="4" w:space="0" w:color="auto"/>
            </w:tcBorders>
            <w:shd w:val="clear" w:color="auto" w:fill="auto"/>
            <w:noWrap/>
            <w:vAlign w:val="center"/>
            <w:hideMark/>
          </w:tcPr>
          <w:p w14:paraId="3EDFD23B" w14:textId="77777777" w:rsidR="00E3750C" w:rsidRPr="00F80DE3" w:rsidRDefault="00E3750C" w:rsidP="00047864">
            <w:pPr>
              <w:spacing w:after="0" w:line="240" w:lineRule="auto"/>
              <w:jc w:val="right"/>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4.053.787</w:t>
            </w:r>
          </w:p>
        </w:tc>
      </w:tr>
      <w:tr w:rsidR="00E3750C" w:rsidRPr="00F80DE3" w14:paraId="075D5B14" w14:textId="77777777" w:rsidTr="00047864">
        <w:trPr>
          <w:trHeight w:val="288"/>
        </w:trPr>
        <w:tc>
          <w:tcPr>
            <w:tcW w:w="847" w:type="pct"/>
            <w:vMerge/>
            <w:tcBorders>
              <w:top w:val="nil"/>
              <w:left w:val="single" w:sz="4" w:space="0" w:color="auto"/>
              <w:bottom w:val="single" w:sz="4" w:space="0" w:color="auto"/>
              <w:right w:val="single" w:sz="4" w:space="0" w:color="auto"/>
            </w:tcBorders>
            <w:vAlign w:val="center"/>
            <w:hideMark/>
          </w:tcPr>
          <w:p w14:paraId="73F8FE9E" w14:textId="77777777" w:rsidR="00E3750C" w:rsidRPr="00F80DE3" w:rsidRDefault="00E3750C" w:rsidP="00047864">
            <w:pPr>
              <w:spacing w:after="0" w:line="240" w:lineRule="auto"/>
              <w:rPr>
                <w:rFonts w:ascii="Arial" w:eastAsia="Times New Roman" w:hAnsi="Arial" w:cs="Arial"/>
                <w:color w:val="000000"/>
                <w:sz w:val="18"/>
                <w:szCs w:val="18"/>
                <w:lang w:eastAsia="sl-SI"/>
              </w:rPr>
            </w:pPr>
          </w:p>
        </w:tc>
        <w:tc>
          <w:tcPr>
            <w:tcW w:w="2089" w:type="pct"/>
            <w:tcBorders>
              <w:top w:val="nil"/>
              <w:left w:val="nil"/>
              <w:bottom w:val="single" w:sz="4" w:space="0" w:color="auto"/>
              <w:right w:val="single" w:sz="4" w:space="0" w:color="auto"/>
            </w:tcBorders>
            <w:shd w:val="clear" w:color="auto" w:fill="auto"/>
            <w:noWrap/>
            <w:vAlign w:val="center"/>
            <w:hideMark/>
          </w:tcPr>
          <w:p w14:paraId="324CDD46" w14:textId="77777777" w:rsidR="00E3750C" w:rsidRPr="00F80DE3" w:rsidRDefault="00E3750C" w:rsidP="00047864">
            <w:pPr>
              <w:spacing w:after="0" w:line="240" w:lineRule="auto"/>
              <w:rPr>
                <w:rFonts w:ascii="Arial" w:eastAsia="Times New Roman" w:hAnsi="Arial" w:cs="Arial"/>
                <w:b/>
                <w:bCs/>
                <w:color w:val="000000"/>
                <w:sz w:val="18"/>
                <w:szCs w:val="18"/>
                <w:lang w:eastAsia="sl-SI"/>
              </w:rPr>
            </w:pPr>
            <w:r w:rsidRPr="00F80DE3">
              <w:rPr>
                <w:rFonts w:ascii="Arial" w:eastAsia="Times New Roman" w:hAnsi="Arial" w:cs="Arial"/>
                <w:b/>
                <w:bCs/>
                <w:color w:val="000000"/>
                <w:sz w:val="18"/>
                <w:szCs w:val="18"/>
                <w:lang w:eastAsia="sl-SI"/>
              </w:rPr>
              <w:t>Skupaj</w:t>
            </w:r>
          </w:p>
        </w:tc>
        <w:tc>
          <w:tcPr>
            <w:tcW w:w="774" w:type="pct"/>
            <w:tcBorders>
              <w:top w:val="nil"/>
              <w:left w:val="nil"/>
              <w:bottom w:val="single" w:sz="4" w:space="0" w:color="auto"/>
              <w:right w:val="single" w:sz="4" w:space="0" w:color="auto"/>
            </w:tcBorders>
            <w:shd w:val="clear" w:color="auto" w:fill="auto"/>
            <w:noWrap/>
            <w:vAlign w:val="center"/>
            <w:hideMark/>
          </w:tcPr>
          <w:p w14:paraId="49D1933B" w14:textId="77777777" w:rsidR="00E3750C" w:rsidRPr="00F80DE3" w:rsidRDefault="00E3750C" w:rsidP="00047864">
            <w:pPr>
              <w:spacing w:after="0" w:line="240" w:lineRule="auto"/>
              <w:jc w:val="right"/>
              <w:rPr>
                <w:rFonts w:ascii="Arial" w:eastAsia="Times New Roman" w:hAnsi="Arial" w:cs="Arial"/>
                <w:b/>
                <w:bCs/>
                <w:color w:val="000000"/>
                <w:sz w:val="18"/>
                <w:szCs w:val="18"/>
                <w:lang w:eastAsia="sl-SI"/>
              </w:rPr>
            </w:pPr>
            <w:r w:rsidRPr="00F80DE3">
              <w:rPr>
                <w:rFonts w:ascii="Arial" w:eastAsia="Times New Roman" w:hAnsi="Arial" w:cs="Arial"/>
                <w:b/>
                <w:bCs/>
                <w:color w:val="000000"/>
                <w:sz w:val="18"/>
                <w:szCs w:val="18"/>
                <w:lang w:eastAsia="sl-SI"/>
              </w:rPr>
              <w:t>367</w:t>
            </w:r>
          </w:p>
        </w:tc>
        <w:tc>
          <w:tcPr>
            <w:tcW w:w="1289" w:type="pct"/>
            <w:tcBorders>
              <w:top w:val="nil"/>
              <w:left w:val="nil"/>
              <w:bottom w:val="single" w:sz="4" w:space="0" w:color="auto"/>
              <w:right w:val="single" w:sz="4" w:space="0" w:color="auto"/>
            </w:tcBorders>
            <w:shd w:val="clear" w:color="auto" w:fill="auto"/>
            <w:noWrap/>
            <w:vAlign w:val="center"/>
            <w:hideMark/>
          </w:tcPr>
          <w:p w14:paraId="080A1F3F" w14:textId="77777777" w:rsidR="00E3750C" w:rsidRPr="00F80DE3" w:rsidRDefault="00E3750C" w:rsidP="00047864">
            <w:pPr>
              <w:spacing w:after="0" w:line="240" w:lineRule="auto"/>
              <w:jc w:val="right"/>
              <w:rPr>
                <w:rFonts w:ascii="Arial" w:eastAsia="Times New Roman" w:hAnsi="Arial" w:cs="Arial"/>
                <w:b/>
                <w:bCs/>
                <w:color w:val="000000"/>
                <w:sz w:val="18"/>
                <w:szCs w:val="18"/>
                <w:lang w:eastAsia="sl-SI"/>
              </w:rPr>
            </w:pPr>
            <w:r w:rsidRPr="00F80DE3">
              <w:rPr>
                <w:rFonts w:ascii="Arial" w:eastAsia="Times New Roman" w:hAnsi="Arial" w:cs="Arial"/>
                <w:b/>
                <w:bCs/>
                <w:color w:val="000000"/>
                <w:sz w:val="18"/>
                <w:szCs w:val="18"/>
                <w:lang w:eastAsia="sl-SI"/>
              </w:rPr>
              <w:t>137.602.378</w:t>
            </w:r>
          </w:p>
        </w:tc>
      </w:tr>
      <w:tr w:rsidR="00E3750C" w:rsidRPr="00F80DE3" w14:paraId="43701572" w14:textId="77777777" w:rsidTr="00047864">
        <w:trPr>
          <w:trHeight w:val="288"/>
        </w:trPr>
        <w:tc>
          <w:tcPr>
            <w:tcW w:w="84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37BC1AB" w14:textId="77777777" w:rsidR="00E3750C" w:rsidRPr="00F80DE3" w:rsidRDefault="00E3750C" w:rsidP="00047864">
            <w:pPr>
              <w:spacing w:after="0" w:line="240" w:lineRule="auto"/>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izven EU</w:t>
            </w:r>
          </w:p>
        </w:tc>
        <w:tc>
          <w:tcPr>
            <w:tcW w:w="2089" w:type="pct"/>
            <w:tcBorders>
              <w:top w:val="nil"/>
              <w:left w:val="nil"/>
              <w:bottom w:val="single" w:sz="4" w:space="0" w:color="auto"/>
              <w:right w:val="single" w:sz="4" w:space="0" w:color="auto"/>
            </w:tcBorders>
            <w:shd w:val="clear" w:color="auto" w:fill="auto"/>
            <w:noWrap/>
            <w:vAlign w:val="center"/>
            <w:hideMark/>
          </w:tcPr>
          <w:p w14:paraId="5DC187D3" w14:textId="77777777" w:rsidR="00E3750C" w:rsidRPr="00F80DE3" w:rsidRDefault="00E3750C" w:rsidP="00047864">
            <w:pPr>
              <w:spacing w:after="0" w:line="240" w:lineRule="auto"/>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Kanada</w:t>
            </w:r>
          </w:p>
        </w:tc>
        <w:tc>
          <w:tcPr>
            <w:tcW w:w="774" w:type="pct"/>
            <w:tcBorders>
              <w:top w:val="nil"/>
              <w:left w:val="nil"/>
              <w:bottom w:val="single" w:sz="4" w:space="0" w:color="auto"/>
              <w:right w:val="single" w:sz="4" w:space="0" w:color="auto"/>
            </w:tcBorders>
            <w:shd w:val="clear" w:color="auto" w:fill="auto"/>
            <w:noWrap/>
            <w:vAlign w:val="center"/>
            <w:hideMark/>
          </w:tcPr>
          <w:p w14:paraId="64848729" w14:textId="77777777" w:rsidR="00E3750C" w:rsidRPr="00F80DE3" w:rsidRDefault="00E3750C" w:rsidP="00047864">
            <w:pPr>
              <w:spacing w:after="0" w:line="240" w:lineRule="auto"/>
              <w:jc w:val="right"/>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1</w:t>
            </w:r>
          </w:p>
        </w:tc>
        <w:tc>
          <w:tcPr>
            <w:tcW w:w="1289" w:type="pct"/>
            <w:tcBorders>
              <w:top w:val="nil"/>
              <w:left w:val="nil"/>
              <w:bottom w:val="single" w:sz="4" w:space="0" w:color="auto"/>
              <w:right w:val="single" w:sz="4" w:space="0" w:color="auto"/>
            </w:tcBorders>
            <w:shd w:val="clear" w:color="auto" w:fill="auto"/>
            <w:noWrap/>
            <w:vAlign w:val="center"/>
            <w:hideMark/>
          </w:tcPr>
          <w:p w14:paraId="4B42241C" w14:textId="77777777" w:rsidR="00E3750C" w:rsidRPr="00F80DE3" w:rsidRDefault="00E3750C" w:rsidP="00047864">
            <w:pPr>
              <w:spacing w:after="0" w:line="240" w:lineRule="auto"/>
              <w:jc w:val="right"/>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517.996</w:t>
            </w:r>
          </w:p>
        </w:tc>
      </w:tr>
      <w:tr w:rsidR="00E3750C" w:rsidRPr="00F80DE3" w14:paraId="4862F220" w14:textId="77777777" w:rsidTr="00047864">
        <w:trPr>
          <w:trHeight w:val="288"/>
        </w:trPr>
        <w:tc>
          <w:tcPr>
            <w:tcW w:w="847" w:type="pct"/>
            <w:vMerge/>
            <w:tcBorders>
              <w:top w:val="nil"/>
              <w:left w:val="single" w:sz="4" w:space="0" w:color="auto"/>
              <w:bottom w:val="single" w:sz="4" w:space="0" w:color="auto"/>
              <w:right w:val="single" w:sz="4" w:space="0" w:color="auto"/>
            </w:tcBorders>
            <w:vAlign w:val="center"/>
            <w:hideMark/>
          </w:tcPr>
          <w:p w14:paraId="3DF396FF" w14:textId="77777777" w:rsidR="00E3750C" w:rsidRPr="00F80DE3" w:rsidRDefault="00E3750C" w:rsidP="00047864">
            <w:pPr>
              <w:spacing w:after="0" w:line="240" w:lineRule="auto"/>
              <w:rPr>
                <w:rFonts w:ascii="Arial" w:eastAsia="Times New Roman" w:hAnsi="Arial" w:cs="Arial"/>
                <w:color w:val="000000"/>
                <w:sz w:val="18"/>
                <w:szCs w:val="18"/>
                <w:lang w:eastAsia="sl-SI"/>
              </w:rPr>
            </w:pPr>
          </w:p>
        </w:tc>
        <w:tc>
          <w:tcPr>
            <w:tcW w:w="2089" w:type="pct"/>
            <w:tcBorders>
              <w:top w:val="nil"/>
              <w:left w:val="nil"/>
              <w:bottom w:val="single" w:sz="4" w:space="0" w:color="auto"/>
              <w:right w:val="single" w:sz="4" w:space="0" w:color="auto"/>
            </w:tcBorders>
            <w:shd w:val="clear" w:color="auto" w:fill="auto"/>
            <w:noWrap/>
            <w:vAlign w:val="center"/>
            <w:hideMark/>
          </w:tcPr>
          <w:p w14:paraId="44F493A5" w14:textId="77777777" w:rsidR="00E3750C" w:rsidRPr="00F80DE3" w:rsidRDefault="00E3750C" w:rsidP="00047864">
            <w:pPr>
              <w:spacing w:after="0" w:line="240" w:lineRule="auto"/>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Kitajska</w:t>
            </w:r>
          </w:p>
        </w:tc>
        <w:tc>
          <w:tcPr>
            <w:tcW w:w="774" w:type="pct"/>
            <w:tcBorders>
              <w:top w:val="nil"/>
              <w:left w:val="nil"/>
              <w:bottom w:val="single" w:sz="4" w:space="0" w:color="auto"/>
              <w:right w:val="single" w:sz="4" w:space="0" w:color="auto"/>
            </w:tcBorders>
            <w:shd w:val="clear" w:color="auto" w:fill="auto"/>
            <w:noWrap/>
            <w:vAlign w:val="center"/>
            <w:hideMark/>
          </w:tcPr>
          <w:p w14:paraId="75D10711" w14:textId="77777777" w:rsidR="00E3750C" w:rsidRPr="00F80DE3" w:rsidRDefault="00E3750C" w:rsidP="00047864">
            <w:pPr>
              <w:spacing w:after="0" w:line="240" w:lineRule="auto"/>
              <w:jc w:val="right"/>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1</w:t>
            </w:r>
          </w:p>
        </w:tc>
        <w:tc>
          <w:tcPr>
            <w:tcW w:w="1289" w:type="pct"/>
            <w:tcBorders>
              <w:top w:val="nil"/>
              <w:left w:val="nil"/>
              <w:bottom w:val="single" w:sz="4" w:space="0" w:color="auto"/>
              <w:right w:val="single" w:sz="4" w:space="0" w:color="auto"/>
            </w:tcBorders>
            <w:shd w:val="clear" w:color="auto" w:fill="auto"/>
            <w:noWrap/>
            <w:vAlign w:val="center"/>
            <w:hideMark/>
          </w:tcPr>
          <w:p w14:paraId="6F09071E" w14:textId="77777777" w:rsidR="00E3750C" w:rsidRPr="00F80DE3" w:rsidRDefault="00E3750C" w:rsidP="00047864">
            <w:pPr>
              <w:spacing w:after="0" w:line="240" w:lineRule="auto"/>
              <w:jc w:val="right"/>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65.000</w:t>
            </w:r>
          </w:p>
        </w:tc>
      </w:tr>
      <w:tr w:rsidR="00E3750C" w:rsidRPr="00F80DE3" w14:paraId="1AF37C55" w14:textId="77777777" w:rsidTr="00047864">
        <w:trPr>
          <w:trHeight w:val="288"/>
        </w:trPr>
        <w:tc>
          <w:tcPr>
            <w:tcW w:w="847" w:type="pct"/>
            <w:vMerge/>
            <w:tcBorders>
              <w:top w:val="nil"/>
              <w:left w:val="single" w:sz="4" w:space="0" w:color="auto"/>
              <w:bottom w:val="single" w:sz="4" w:space="0" w:color="auto"/>
              <w:right w:val="single" w:sz="4" w:space="0" w:color="auto"/>
            </w:tcBorders>
            <w:vAlign w:val="center"/>
            <w:hideMark/>
          </w:tcPr>
          <w:p w14:paraId="16EF8294" w14:textId="77777777" w:rsidR="00E3750C" w:rsidRPr="00F80DE3" w:rsidRDefault="00E3750C" w:rsidP="00047864">
            <w:pPr>
              <w:spacing w:after="0" w:line="240" w:lineRule="auto"/>
              <w:rPr>
                <w:rFonts w:ascii="Arial" w:eastAsia="Times New Roman" w:hAnsi="Arial" w:cs="Arial"/>
                <w:color w:val="000000"/>
                <w:sz w:val="18"/>
                <w:szCs w:val="18"/>
                <w:lang w:eastAsia="sl-SI"/>
              </w:rPr>
            </w:pPr>
          </w:p>
        </w:tc>
        <w:tc>
          <w:tcPr>
            <w:tcW w:w="2089" w:type="pct"/>
            <w:tcBorders>
              <w:top w:val="nil"/>
              <w:left w:val="nil"/>
              <w:bottom w:val="single" w:sz="4" w:space="0" w:color="auto"/>
              <w:right w:val="single" w:sz="4" w:space="0" w:color="auto"/>
            </w:tcBorders>
            <w:shd w:val="clear" w:color="auto" w:fill="auto"/>
            <w:noWrap/>
            <w:vAlign w:val="center"/>
            <w:hideMark/>
          </w:tcPr>
          <w:p w14:paraId="7D713025" w14:textId="77777777" w:rsidR="00E3750C" w:rsidRPr="00F80DE3" w:rsidRDefault="00E3750C" w:rsidP="00047864">
            <w:pPr>
              <w:spacing w:after="0" w:line="240" w:lineRule="auto"/>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Malezija</w:t>
            </w:r>
          </w:p>
        </w:tc>
        <w:tc>
          <w:tcPr>
            <w:tcW w:w="774" w:type="pct"/>
            <w:tcBorders>
              <w:top w:val="nil"/>
              <w:left w:val="nil"/>
              <w:bottom w:val="single" w:sz="4" w:space="0" w:color="auto"/>
              <w:right w:val="single" w:sz="4" w:space="0" w:color="auto"/>
            </w:tcBorders>
            <w:shd w:val="clear" w:color="auto" w:fill="auto"/>
            <w:noWrap/>
            <w:vAlign w:val="center"/>
            <w:hideMark/>
          </w:tcPr>
          <w:p w14:paraId="7A50E71C" w14:textId="77777777" w:rsidR="00E3750C" w:rsidRPr="00F80DE3" w:rsidRDefault="00E3750C" w:rsidP="00047864">
            <w:pPr>
              <w:spacing w:after="0" w:line="240" w:lineRule="auto"/>
              <w:jc w:val="right"/>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1</w:t>
            </w:r>
          </w:p>
        </w:tc>
        <w:tc>
          <w:tcPr>
            <w:tcW w:w="1289" w:type="pct"/>
            <w:tcBorders>
              <w:top w:val="nil"/>
              <w:left w:val="nil"/>
              <w:bottom w:val="single" w:sz="4" w:space="0" w:color="auto"/>
              <w:right w:val="single" w:sz="4" w:space="0" w:color="auto"/>
            </w:tcBorders>
            <w:shd w:val="clear" w:color="auto" w:fill="auto"/>
            <w:noWrap/>
            <w:vAlign w:val="center"/>
            <w:hideMark/>
          </w:tcPr>
          <w:p w14:paraId="0CBF1E20" w14:textId="77777777" w:rsidR="00E3750C" w:rsidRPr="00F80DE3" w:rsidRDefault="00E3750C" w:rsidP="00047864">
            <w:pPr>
              <w:spacing w:after="0" w:line="240" w:lineRule="auto"/>
              <w:jc w:val="right"/>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665.000</w:t>
            </w:r>
          </w:p>
        </w:tc>
      </w:tr>
      <w:tr w:rsidR="00E3750C" w:rsidRPr="00F80DE3" w14:paraId="0C70AB13" w14:textId="77777777" w:rsidTr="00047864">
        <w:trPr>
          <w:trHeight w:val="288"/>
        </w:trPr>
        <w:tc>
          <w:tcPr>
            <w:tcW w:w="847" w:type="pct"/>
            <w:vMerge/>
            <w:tcBorders>
              <w:top w:val="nil"/>
              <w:left w:val="single" w:sz="4" w:space="0" w:color="auto"/>
              <w:bottom w:val="single" w:sz="4" w:space="0" w:color="auto"/>
              <w:right w:val="single" w:sz="4" w:space="0" w:color="auto"/>
            </w:tcBorders>
            <w:vAlign w:val="center"/>
            <w:hideMark/>
          </w:tcPr>
          <w:p w14:paraId="09F58008" w14:textId="77777777" w:rsidR="00E3750C" w:rsidRPr="00F80DE3" w:rsidRDefault="00E3750C" w:rsidP="00047864">
            <w:pPr>
              <w:spacing w:after="0" w:line="240" w:lineRule="auto"/>
              <w:rPr>
                <w:rFonts w:ascii="Arial" w:eastAsia="Times New Roman" w:hAnsi="Arial" w:cs="Arial"/>
                <w:color w:val="000000"/>
                <w:sz w:val="18"/>
                <w:szCs w:val="18"/>
                <w:lang w:eastAsia="sl-SI"/>
              </w:rPr>
            </w:pPr>
          </w:p>
        </w:tc>
        <w:tc>
          <w:tcPr>
            <w:tcW w:w="2089" w:type="pct"/>
            <w:tcBorders>
              <w:top w:val="nil"/>
              <w:left w:val="nil"/>
              <w:bottom w:val="single" w:sz="4" w:space="0" w:color="auto"/>
              <w:right w:val="single" w:sz="4" w:space="0" w:color="auto"/>
            </w:tcBorders>
            <w:shd w:val="clear" w:color="auto" w:fill="auto"/>
            <w:noWrap/>
            <w:vAlign w:val="center"/>
            <w:hideMark/>
          </w:tcPr>
          <w:p w14:paraId="2A3D5A65" w14:textId="77777777" w:rsidR="00E3750C" w:rsidRPr="00F80DE3" w:rsidRDefault="00E3750C" w:rsidP="00047864">
            <w:pPr>
              <w:spacing w:after="0" w:line="240" w:lineRule="auto"/>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Norveška</w:t>
            </w:r>
          </w:p>
        </w:tc>
        <w:tc>
          <w:tcPr>
            <w:tcW w:w="774" w:type="pct"/>
            <w:tcBorders>
              <w:top w:val="nil"/>
              <w:left w:val="nil"/>
              <w:bottom w:val="single" w:sz="4" w:space="0" w:color="auto"/>
              <w:right w:val="single" w:sz="4" w:space="0" w:color="auto"/>
            </w:tcBorders>
            <w:shd w:val="clear" w:color="auto" w:fill="auto"/>
            <w:noWrap/>
            <w:vAlign w:val="center"/>
            <w:hideMark/>
          </w:tcPr>
          <w:p w14:paraId="0EC1A3F8" w14:textId="77777777" w:rsidR="00E3750C" w:rsidRPr="00F80DE3" w:rsidRDefault="00E3750C" w:rsidP="00047864">
            <w:pPr>
              <w:spacing w:after="0" w:line="240" w:lineRule="auto"/>
              <w:jc w:val="right"/>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1</w:t>
            </w:r>
          </w:p>
        </w:tc>
        <w:tc>
          <w:tcPr>
            <w:tcW w:w="1289" w:type="pct"/>
            <w:tcBorders>
              <w:top w:val="nil"/>
              <w:left w:val="nil"/>
              <w:bottom w:val="single" w:sz="4" w:space="0" w:color="auto"/>
              <w:right w:val="single" w:sz="4" w:space="0" w:color="auto"/>
            </w:tcBorders>
            <w:shd w:val="clear" w:color="auto" w:fill="auto"/>
            <w:noWrap/>
            <w:vAlign w:val="center"/>
            <w:hideMark/>
          </w:tcPr>
          <w:p w14:paraId="35BC1B50" w14:textId="77777777" w:rsidR="00E3750C" w:rsidRPr="00F80DE3" w:rsidRDefault="00E3750C" w:rsidP="00047864">
            <w:pPr>
              <w:spacing w:after="0" w:line="240" w:lineRule="auto"/>
              <w:jc w:val="right"/>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71.807</w:t>
            </w:r>
          </w:p>
        </w:tc>
      </w:tr>
      <w:tr w:rsidR="00E3750C" w:rsidRPr="00F80DE3" w14:paraId="090D3868" w14:textId="77777777" w:rsidTr="00047864">
        <w:trPr>
          <w:trHeight w:val="288"/>
        </w:trPr>
        <w:tc>
          <w:tcPr>
            <w:tcW w:w="847" w:type="pct"/>
            <w:vMerge/>
            <w:tcBorders>
              <w:top w:val="nil"/>
              <w:left w:val="single" w:sz="4" w:space="0" w:color="auto"/>
              <w:bottom w:val="single" w:sz="4" w:space="0" w:color="auto"/>
              <w:right w:val="single" w:sz="4" w:space="0" w:color="auto"/>
            </w:tcBorders>
            <w:vAlign w:val="center"/>
            <w:hideMark/>
          </w:tcPr>
          <w:p w14:paraId="595FB7AA" w14:textId="77777777" w:rsidR="00E3750C" w:rsidRPr="00F80DE3" w:rsidRDefault="00E3750C" w:rsidP="00047864">
            <w:pPr>
              <w:spacing w:after="0" w:line="240" w:lineRule="auto"/>
              <w:rPr>
                <w:rFonts w:ascii="Arial" w:eastAsia="Times New Roman" w:hAnsi="Arial" w:cs="Arial"/>
                <w:color w:val="000000"/>
                <w:sz w:val="18"/>
                <w:szCs w:val="18"/>
                <w:lang w:eastAsia="sl-SI"/>
              </w:rPr>
            </w:pPr>
          </w:p>
        </w:tc>
        <w:tc>
          <w:tcPr>
            <w:tcW w:w="2089" w:type="pct"/>
            <w:tcBorders>
              <w:top w:val="nil"/>
              <w:left w:val="nil"/>
              <w:bottom w:val="single" w:sz="4" w:space="0" w:color="auto"/>
              <w:right w:val="single" w:sz="4" w:space="0" w:color="auto"/>
            </w:tcBorders>
            <w:shd w:val="clear" w:color="auto" w:fill="auto"/>
            <w:noWrap/>
            <w:vAlign w:val="center"/>
            <w:hideMark/>
          </w:tcPr>
          <w:p w14:paraId="4815E4B3" w14:textId="77777777" w:rsidR="00E3750C" w:rsidRPr="00F80DE3" w:rsidRDefault="00E3750C" w:rsidP="00047864">
            <w:pPr>
              <w:spacing w:after="0" w:line="240" w:lineRule="auto"/>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Srbija</w:t>
            </w:r>
          </w:p>
        </w:tc>
        <w:tc>
          <w:tcPr>
            <w:tcW w:w="774" w:type="pct"/>
            <w:tcBorders>
              <w:top w:val="nil"/>
              <w:left w:val="nil"/>
              <w:bottom w:val="single" w:sz="4" w:space="0" w:color="auto"/>
              <w:right w:val="single" w:sz="4" w:space="0" w:color="auto"/>
            </w:tcBorders>
            <w:shd w:val="clear" w:color="auto" w:fill="auto"/>
            <w:noWrap/>
            <w:vAlign w:val="center"/>
            <w:hideMark/>
          </w:tcPr>
          <w:p w14:paraId="0AF38F1B" w14:textId="77777777" w:rsidR="00E3750C" w:rsidRPr="00F80DE3" w:rsidRDefault="00E3750C" w:rsidP="00047864">
            <w:pPr>
              <w:spacing w:after="0" w:line="240" w:lineRule="auto"/>
              <w:jc w:val="right"/>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13</w:t>
            </w:r>
          </w:p>
        </w:tc>
        <w:tc>
          <w:tcPr>
            <w:tcW w:w="1289" w:type="pct"/>
            <w:tcBorders>
              <w:top w:val="nil"/>
              <w:left w:val="nil"/>
              <w:bottom w:val="single" w:sz="4" w:space="0" w:color="auto"/>
              <w:right w:val="single" w:sz="4" w:space="0" w:color="auto"/>
            </w:tcBorders>
            <w:shd w:val="clear" w:color="auto" w:fill="auto"/>
            <w:noWrap/>
            <w:vAlign w:val="center"/>
            <w:hideMark/>
          </w:tcPr>
          <w:p w14:paraId="3CC5BDC0" w14:textId="77777777" w:rsidR="00E3750C" w:rsidRPr="00F80DE3" w:rsidRDefault="00E3750C" w:rsidP="00047864">
            <w:pPr>
              <w:spacing w:after="0" w:line="240" w:lineRule="auto"/>
              <w:jc w:val="right"/>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1.557.160</w:t>
            </w:r>
          </w:p>
        </w:tc>
      </w:tr>
      <w:tr w:rsidR="00E3750C" w:rsidRPr="00F80DE3" w14:paraId="17509902" w14:textId="77777777" w:rsidTr="00047864">
        <w:trPr>
          <w:trHeight w:val="288"/>
        </w:trPr>
        <w:tc>
          <w:tcPr>
            <w:tcW w:w="847" w:type="pct"/>
            <w:vMerge/>
            <w:tcBorders>
              <w:top w:val="nil"/>
              <w:left w:val="single" w:sz="4" w:space="0" w:color="auto"/>
              <w:bottom w:val="single" w:sz="4" w:space="0" w:color="auto"/>
              <w:right w:val="single" w:sz="4" w:space="0" w:color="auto"/>
            </w:tcBorders>
            <w:vAlign w:val="center"/>
            <w:hideMark/>
          </w:tcPr>
          <w:p w14:paraId="5B39B676" w14:textId="77777777" w:rsidR="00E3750C" w:rsidRPr="00F80DE3" w:rsidRDefault="00E3750C" w:rsidP="00047864">
            <w:pPr>
              <w:spacing w:after="0" w:line="240" w:lineRule="auto"/>
              <w:rPr>
                <w:rFonts w:ascii="Arial" w:eastAsia="Times New Roman" w:hAnsi="Arial" w:cs="Arial"/>
                <w:color w:val="000000"/>
                <w:sz w:val="18"/>
                <w:szCs w:val="18"/>
                <w:lang w:eastAsia="sl-SI"/>
              </w:rPr>
            </w:pPr>
          </w:p>
        </w:tc>
        <w:tc>
          <w:tcPr>
            <w:tcW w:w="2089" w:type="pct"/>
            <w:tcBorders>
              <w:top w:val="nil"/>
              <w:left w:val="nil"/>
              <w:bottom w:val="single" w:sz="4" w:space="0" w:color="auto"/>
              <w:right w:val="single" w:sz="4" w:space="0" w:color="auto"/>
            </w:tcBorders>
            <w:shd w:val="clear" w:color="auto" w:fill="auto"/>
            <w:noWrap/>
            <w:vAlign w:val="center"/>
            <w:hideMark/>
          </w:tcPr>
          <w:p w14:paraId="5019AE0C" w14:textId="77777777" w:rsidR="00E3750C" w:rsidRPr="00F80DE3" w:rsidRDefault="00E3750C" w:rsidP="00047864">
            <w:pPr>
              <w:spacing w:after="0" w:line="240" w:lineRule="auto"/>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Švica</w:t>
            </w:r>
          </w:p>
        </w:tc>
        <w:tc>
          <w:tcPr>
            <w:tcW w:w="774" w:type="pct"/>
            <w:tcBorders>
              <w:top w:val="nil"/>
              <w:left w:val="nil"/>
              <w:bottom w:val="single" w:sz="4" w:space="0" w:color="auto"/>
              <w:right w:val="single" w:sz="4" w:space="0" w:color="auto"/>
            </w:tcBorders>
            <w:shd w:val="clear" w:color="auto" w:fill="auto"/>
            <w:noWrap/>
            <w:vAlign w:val="center"/>
            <w:hideMark/>
          </w:tcPr>
          <w:p w14:paraId="0436F2C1" w14:textId="77777777" w:rsidR="00E3750C" w:rsidRPr="00F80DE3" w:rsidRDefault="00E3750C" w:rsidP="00047864">
            <w:pPr>
              <w:spacing w:after="0" w:line="240" w:lineRule="auto"/>
              <w:jc w:val="right"/>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14</w:t>
            </w:r>
          </w:p>
        </w:tc>
        <w:tc>
          <w:tcPr>
            <w:tcW w:w="1289" w:type="pct"/>
            <w:tcBorders>
              <w:top w:val="nil"/>
              <w:left w:val="nil"/>
              <w:bottom w:val="single" w:sz="4" w:space="0" w:color="auto"/>
              <w:right w:val="single" w:sz="4" w:space="0" w:color="auto"/>
            </w:tcBorders>
            <w:shd w:val="clear" w:color="auto" w:fill="auto"/>
            <w:noWrap/>
            <w:vAlign w:val="center"/>
            <w:hideMark/>
          </w:tcPr>
          <w:p w14:paraId="4B0B9B46" w14:textId="77777777" w:rsidR="00E3750C" w:rsidRPr="00F80DE3" w:rsidRDefault="00E3750C" w:rsidP="00047864">
            <w:pPr>
              <w:spacing w:after="0" w:line="240" w:lineRule="auto"/>
              <w:jc w:val="right"/>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47.093.807</w:t>
            </w:r>
          </w:p>
        </w:tc>
      </w:tr>
      <w:tr w:rsidR="00E3750C" w:rsidRPr="00F80DE3" w14:paraId="26524C72" w14:textId="77777777" w:rsidTr="00047864">
        <w:trPr>
          <w:trHeight w:val="288"/>
        </w:trPr>
        <w:tc>
          <w:tcPr>
            <w:tcW w:w="847" w:type="pct"/>
            <w:vMerge/>
            <w:tcBorders>
              <w:top w:val="nil"/>
              <w:left w:val="single" w:sz="4" w:space="0" w:color="auto"/>
              <w:bottom w:val="single" w:sz="4" w:space="0" w:color="auto"/>
              <w:right w:val="single" w:sz="4" w:space="0" w:color="auto"/>
            </w:tcBorders>
            <w:vAlign w:val="center"/>
            <w:hideMark/>
          </w:tcPr>
          <w:p w14:paraId="0A0AADA2" w14:textId="77777777" w:rsidR="00E3750C" w:rsidRPr="00F80DE3" w:rsidRDefault="00E3750C" w:rsidP="00047864">
            <w:pPr>
              <w:spacing w:after="0" w:line="240" w:lineRule="auto"/>
              <w:rPr>
                <w:rFonts w:ascii="Arial" w:eastAsia="Times New Roman" w:hAnsi="Arial" w:cs="Arial"/>
                <w:color w:val="000000"/>
                <w:sz w:val="18"/>
                <w:szCs w:val="18"/>
                <w:lang w:eastAsia="sl-SI"/>
              </w:rPr>
            </w:pPr>
          </w:p>
        </w:tc>
        <w:tc>
          <w:tcPr>
            <w:tcW w:w="2089" w:type="pct"/>
            <w:tcBorders>
              <w:top w:val="nil"/>
              <w:left w:val="nil"/>
              <w:bottom w:val="single" w:sz="4" w:space="0" w:color="auto"/>
              <w:right w:val="single" w:sz="4" w:space="0" w:color="auto"/>
            </w:tcBorders>
            <w:shd w:val="clear" w:color="auto" w:fill="auto"/>
            <w:noWrap/>
            <w:vAlign w:val="center"/>
            <w:hideMark/>
          </w:tcPr>
          <w:p w14:paraId="56B3D367" w14:textId="77777777" w:rsidR="00E3750C" w:rsidRPr="00F80DE3" w:rsidRDefault="00E3750C" w:rsidP="00047864">
            <w:pPr>
              <w:spacing w:after="0" w:line="240" w:lineRule="auto"/>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Združene države Amerike</w:t>
            </w:r>
          </w:p>
        </w:tc>
        <w:tc>
          <w:tcPr>
            <w:tcW w:w="774" w:type="pct"/>
            <w:tcBorders>
              <w:top w:val="nil"/>
              <w:left w:val="nil"/>
              <w:bottom w:val="single" w:sz="4" w:space="0" w:color="auto"/>
              <w:right w:val="single" w:sz="4" w:space="0" w:color="auto"/>
            </w:tcBorders>
            <w:shd w:val="clear" w:color="auto" w:fill="auto"/>
            <w:noWrap/>
            <w:vAlign w:val="center"/>
            <w:hideMark/>
          </w:tcPr>
          <w:p w14:paraId="4BC1EF0F" w14:textId="77777777" w:rsidR="00E3750C" w:rsidRPr="00F80DE3" w:rsidRDefault="00E3750C" w:rsidP="00047864">
            <w:pPr>
              <w:spacing w:after="0" w:line="240" w:lineRule="auto"/>
              <w:jc w:val="right"/>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34</w:t>
            </w:r>
          </w:p>
        </w:tc>
        <w:tc>
          <w:tcPr>
            <w:tcW w:w="1289" w:type="pct"/>
            <w:tcBorders>
              <w:top w:val="nil"/>
              <w:left w:val="nil"/>
              <w:bottom w:val="single" w:sz="4" w:space="0" w:color="auto"/>
              <w:right w:val="single" w:sz="4" w:space="0" w:color="auto"/>
            </w:tcBorders>
            <w:shd w:val="clear" w:color="auto" w:fill="auto"/>
            <w:noWrap/>
            <w:vAlign w:val="center"/>
            <w:hideMark/>
          </w:tcPr>
          <w:p w14:paraId="69FCE7B7" w14:textId="77777777" w:rsidR="00E3750C" w:rsidRPr="00F80DE3" w:rsidRDefault="00E3750C" w:rsidP="00047864">
            <w:pPr>
              <w:spacing w:after="0" w:line="240" w:lineRule="auto"/>
              <w:jc w:val="right"/>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8.239.060</w:t>
            </w:r>
          </w:p>
        </w:tc>
      </w:tr>
      <w:tr w:rsidR="00E3750C" w:rsidRPr="00F80DE3" w14:paraId="6C0831DD" w14:textId="77777777" w:rsidTr="00047864">
        <w:trPr>
          <w:trHeight w:val="288"/>
        </w:trPr>
        <w:tc>
          <w:tcPr>
            <w:tcW w:w="847" w:type="pct"/>
            <w:vMerge/>
            <w:tcBorders>
              <w:top w:val="nil"/>
              <w:left w:val="single" w:sz="4" w:space="0" w:color="auto"/>
              <w:bottom w:val="single" w:sz="4" w:space="0" w:color="auto"/>
              <w:right w:val="single" w:sz="4" w:space="0" w:color="auto"/>
            </w:tcBorders>
            <w:vAlign w:val="center"/>
            <w:hideMark/>
          </w:tcPr>
          <w:p w14:paraId="3E4B79A5" w14:textId="77777777" w:rsidR="00E3750C" w:rsidRPr="00F80DE3" w:rsidRDefault="00E3750C" w:rsidP="00047864">
            <w:pPr>
              <w:spacing w:after="0" w:line="240" w:lineRule="auto"/>
              <w:rPr>
                <w:rFonts w:ascii="Arial" w:eastAsia="Times New Roman" w:hAnsi="Arial" w:cs="Arial"/>
                <w:color w:val="000000"/>
                <w:sz w:val="18"/>
                <w:szCs w:val="18"/>
                <w:lang w:eastAsia="sl-SI"/>
              </w:rPr>
            </w:pPr>
          </w:p>
        </w:tc>
        <w:tc>
          <w:tcPr>
            <w:tcW w:w="2089" w:type="pct"/>
            <w:tcBorders>
              <w:top w:val="nil"/>
              <w:left w:val="nil"/>
              <w:bottom w:val="single" w:sz="4" w:space="0" w:color="auto"/>
              <w:right w:val="single" w:sz="4" w:space="0" w:color="auto"/>
            </w:tcBorders>
            <w:shd w:val="clear" w:color="auto" w:fill="auto"/>
            <w:noWrap/>
            <w:vAlign w:val="center"/>
            <w:hideMark/>
          </w:tcPr>
          <w:p w14:paraId="70868CAD" w14:textId="77777777" w:rsidR="00E3750C" w:rsidRPr="00F80DE3" w:rsidRDefault="00E3750C" w:rsidP="00047864">
            <w:pPr>
              <w:spacing w:after="0" w:line="240" w:lineRule="auto"/>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Združeno kraljestvo</w:t>
            </w:r>
          </w:p>
        </w:tc>
        <w:tc>
          <w:tcPr>
            <w:tcW w:w="774" w:type="pct"/>
            <w:tcBorders>
              <w:top w:val="nil"/>
              <w:left w:val="nil"/>
              <w:bottom w:val="single" w:sz="4" w:space="0" w:color="auto"/>
              <w:right w:val="single" w:sz="4" w:space="0" w:color="auto"/>
            </w:tcBorders>
            <w:shd w:val="clear" w:color="auto" w:fill="auto"/>
            <w:noWrap/>
            <w:vAlign w:val="center"/>
            <w:hideMark/>
          </w:tcPr>
          <w:p w14:paraId="74CFAB9A" w14:textId="77777777" w:rsidR="00E3750C" w:rsidRPr="00F80DE3" w:rsidRDefault="00E3750C" w:rsidP="00047864">
            <w:pPr>
              <w:spacing w:after="0" w:line="240" w:lineRule="auto"/>
              <w:jc w:val="right"/>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12</w:t>
            </w:r>
          </w:p>
        </w:tc>
        <w:tc>
          <w:tcPr>
            <w:tcW w:w="1289" w:type="pct"/>
            <w:tcBorders>
              <w:top w:val="nil"/>
              <w:left w:val="nil"/>
              <w:bottom w:val="single" w:sz="4" w:space="0" w:color="auto"/>
              <w:right w:val="single" w:sz="4" w:space="0" w:color="auto"/>
            </w:tcBorders>
            <w:shd w:val="clear" w:color="auto" w:fill="auto"/>
            <w:noWrap/>
            <w:vAlign w:val="center"/>
            <w:hideMark/>
          </w:tcPr>
          <w:p w14:paraId="5DF71C5E" w14:textId="77777777" w:rsidR="00E3750C" w:rsidRPr="00F80DE3" w:rsidRDefault="00E3750C" w:rsidP="00047864">
            <w:pPr>
              <w:spacing w:after="0" w:line="240" w:lineRule="auto"/>
              <w:jc w:val="right"/>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2.313.314</w:t>
            </w:r>
          </w:p>
        </w:tc>
      </w:tr>
      <w:tr w:rsidR="00E3750C" w:rsidRPr="00F80DE3" w14:paraId="339E9B64" w14:textId="77777777" w:rsidTr="00047864">
        <w:trPr>
          <w:trHeight w:val="288"/>
        </w:trPr>
        <w:tc>
          <w:tcPr>
            <w:tcW w:w="847" w:type="pct"/>
            <w:vMerge/>
            <w:tcBorders>
              <w:top w:val="nil"/>
              <w:left w:val="single" w:sz="4" w:space="0" w:color="auto"/>
              <w:bottom w:val="single" w:sz="4" w:space="0" w:color="auto"/>
              <w:right w:val="single" w:sz="4" w:space="0" w:color="auto"/>
            </w:tcBorders>
            <w:vAlign w:val="center"/>
            <w:hideMark/>
          </w:tcPr>
          <w:p w14:paraId="116DE4D2" w14:textId="77777777" w:rsidR="00E3750C" w:rsidRPr="00F80DE3" w:rsidRDefault="00E3750C" w:rsidP="00047864">
            <w:pPr>
              <w:spacing w:after="0" w:line="240" w:lineRule="auto"/>
              <w:rPr>
                <w:rFonts w:ascii="Arial" w:eastAsia="Times New Roman" w:hAnsi="Arial" w:cs="Arial"/>
                <w:color w:val="000000"/>
                <w:sz w:val="18"/>
                <w:szCs w:val="18"/>
                <w:lang w:eastAsia="sl-SI"/>
              </w:rPr>
            </w:pPr>
          </w:p>
        </w:tc>
        <w:tc>
          <w:tcPr>
            <w:tcW w:w="2089" w:type="pct"/>
            <w:tcBorders>
              <w:top w:val="nil"/>
              <w:left w:val="nil"/>
              <w:bottom w:val="single" w:sz="4" w:space="0" w:color="auto"/>
              <w:right w:val="single" w:sz="4" w:space="0" w:color="auto"/>
            </w:tcBorders>
            <w:shd w:val="clear" w:color="auto" w:fill="auto"/>
            <w:noWrap/>
            <w:vAlign w:val="center"/>
            <w:hideMark/>
          </w:tcPr>
          <w:p w14:paraId="3FF017BE" w14:textId="77777777" w:rsidR="00E3750C" w:rsidRPr="00F80DE3" w:rsidRDefault="00E3750C" w:rsidP="00047864">
            <w:pPr>
              <w:spacing w:after="0" w:line="240" w:lineRule="auto"/>
              <w:rPr>
                <w:rFonts w:ascii="Arial" w:eastAsia="Times New Roman" w:hAnsi="Arial" w:cs="Arial"/>
                <w:b/>
                <w:bCs/>
                <w:color w:val="000000"/>
                <w:sz w:val="18"/>
                <w:szCs w:val="18"/>
                <w:lang w:eastAsia="sl-SI"/>
              </w:rPr>
            </w:pPr>
            <w:r w:rsidRPr="00F80DE3">
              <w:rPr>
                <w:rFonts w:ascii="Arial" w:eastAsia="Times New Roman" w:hAnsi="Arial" w:cs="Arial"/>
                <w:b/>
                <w:bCs/>
                <w:color w:val="000000"/>
                <w:sz w:val="18"/>
                <w:szCs w:val="18"/>
                <w:lang w:eastAsia="sl-SI"/>
              </w:rPr>
              <w:t>Skupaj</w:t>
            </w:r>
          </w:p>
        </w:tc>
        <w:tc>
          <w:tcPr>
            <w:tcW w:w="774" w:type="pct"/>
            <w:tcBorders>
              <w:top w:val="nil"/>
              <w:left w:val="nil"/>
              <w:bottom w:val="single" w:sz="4" w:space="0" w:color="auto"/>
              <w:right w:val="single" w:sz="4" w:space="0" w:color="auto"/>
            </w:tcBorders>
            <w:shd w:val="clear" w:color="auto" w:fill="auto"/>
            <w:noWrap/>
            <w:vAlign w:val="center"/>
            <w:hideMark/>
          </w:tcPr>
          <w:p w14:paraId="78CBAA7D" w14:textId="77777777" w:rsidR="00E3750C" w:rsidRPr="00F80DE3" w:rsidRDefault="00E3750C" w:rsidP="00047864">
            <w:pPr>
              <w:spacing w:after="0" w:line="240" w:lineRule="auto"/>
              <w:jc w:val="right"/>
              <w:rPr>
                <w:rFonts w:ascii="Arial" w:eastAsia="Times New Roman" w:hAnsi="Arial" w:cs="Arial"/>
                <w:b/>
                <w:bCs/>
                <w:color w:val="000000"/>
                <w:sz w:val="18"/>
                <w:szCs w:val="18"/>
                <w:lang w:eastAsia="sl-SI"/>
              </w:rPr>
            </w:pPr>
            <w:r w:rsidRPr="00F80DE3">
              <w:rPr>
                <w:rFonts w:ascii="Arial" w:eastAsia="Times New Roman" w:hAnsi="Arial" w:cs="Arial"/>
                <w:b/>
                <w:bCs/>
                <w:color w:val="000000"/>
                <w:sz w:val="18"/>
                <w:szCs w:val="18"/>
                <w:lang w:eastAsia="sl-SI"/>
              </w:rPr>
              <w:t>77</w:t>
            </w:r>
          </w:p>
        </w:tc>
        <w:tc>
          <w:tcPr>
            <w:tcW w:w="1289" w:type="pct"/>
            <w:tcBorders>
              <w:top w:val="nil"/>
              <w:left w:val="nil"/>
              <w:bottom w:val="single" w:sz="4" w:space="0" w:color="auto"/>
              <w:right w:val="single" w:sz="4" w:space="0" w:color="auto"/>
            </w:tcBorders>
            <w:shd w:val="clear" w:color="auto" w:fill="auto"/>
            <w:noWrap/>
            <w:vAlign w:val="center"/>
            <w:hideMark/>
          </w:tcPr>
          <w:p w14:paraId="38586EC7" w14:textId="77777777" w:rsidR="00E3750C" w:rsidRPr="00F80DE3" w:rsidRDefault="00E3750C" w:rsidP="00047864">
            <w:pPr>
              <w:spacing w:after="0" w:line="240" w:lineRule="auto"/>
              <w:jc w:val="right"/>
              <w:rPr>
                <w:rFonts w:ascii="Arial" w:eastAsia="Times New Roman" w:hAnsi="Arial" w:cs="Arial"/>
                <w:b/>
                <w:bCs/>
                <w:color w:val="000000"/>
                <w:sz w:val="18"/>
                <w:szCs w:val="18"/>
                <w:lang w:eastAsia="sl-SI"/>
              </w:rPr>
            </w:pPr>
            <w:r w:rsidRPr="00F80DE3">
              <w:rPr>
                <w:rFonts w:ascii="Arial" w:eastAsia="Times New Roman" w:hAnsi="Arial" w:cs="Arial"/>
                <w:b/>
                <w:bCs/>
                <w:color w:val="000000"/>
                <w:sz w:val="18"/>
                <w:szCs w:val="18"/>
                <w:lang w:eastAsia="sl-SI"/>
              </w:rPr>
              <w:t>60.523.144</w:t>
            </w:r>
          </w:p>
        </w:tc>
      </w:tr>
      <w:tr w:rsidR="00E3750C" w:rsidRPr="00F80DE3" w14:paraId="077180E8" w14:textId="77777777" w:rsidTr="00047864">
        <w:trPr>
          <w:trHeight w:val="288"/>
        </w:trPr>
        <w:tc>
          <w:tcPr>
            <w:tcW w:w="84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6BC0FA9" w14:textId="77777777" w:rsidR="00E3750C" w:rsidRPr="00F80DE3" w:rsidRDefault="00E3750C" w:rsidP="00047864">
            <w:pPr>
              <w:spacing w:after="0" w:line="240" w:lineRule="auto"/>
              <w:rPr>
                <w:rFonts w:ascii="Arial" w:eastAsia="Times New Roman" w:hAnsi="Arial" w:cs="Arial"/>
                <w:b/>
                <w:bCs/>
                <w:color w:val="000000"/>
                <w:sz w:val="18"/>
                <w:szCs w:val="18"/>
                <w:lang w:eastAsia="sl-SI"/>
              </w:rPr>
            </w:pPr>
            <w:r w:rsidRPr="00F80DE3">
              <w:rPr>
                <w:rFonts w:ascii="Arial" w:eastAsia="Times New Roman" w:hAnsi="Arial" w:cs="Arial"/>
                <w:b/>
                <w:bCs/>
                <w:color w:val="000000"/>
                <w:sz w:val="18"/>
                <w:szCs w:val="18"/>
                <w:lang w:eastAsia="sl-SI"/>
              </w:rPr>
              <w:t>Skupaj</w:t>
            </w:r>
          </w:p>
        </w:tc>
        <w:tc>
          <w:tcPr>
            <w:tcW w:w="2089" w:type="pct"/>
            <w:tcBorders>
              <w:top w:val="nil"/>
              <w:left w:val="nil"/>
              <w:bottom w:val="single" w:sz="4" w:space="0" w:color="auto"/>
              <w:right w:val="single" w:sz="4" w:space="0" w:color="auto"/>
            </w:tcBorders>
            <w:shd w:val="clear" w:color="auto" w:fill="F2F2F2" w:themeFill="background1" w:themeFillShade="F2"/>
            <w:noWrap/>
            <w:vAlign w:val="center"/>
            <w:hideMark/>
          </w:tcPr>
          <w:p w14:paraId="57B1B969" w14:textId="77777777" w:rsidR="00E3750C" w:rsidRPr="00F80DE3" w:rsidRDefault="00E3750C" w:rsidP="00047864">
            <w:pPr>
              <w:spacing w:after="0" w:line="240" w:lineRule="auto"/>
              <w:rPr>
                <w:rFonts w:ascii="Arial" w:eastAsia="Times New Roman" w:hAnsi="Arial" w:cs="Arial"/>
                <w:color w:val="000000"/>
                <w:sz w:val="18"/>
                <w:szCs w:val="18"/>
                <w:lang w:eastAsia="sl-SI"/>
              </w:rPr>
            </w:pPr>
            <w:r w:rsidRPr="00F80DE3">
              <w:rPr>
                <w:rFonts w:ascii="Arial" w:eastAsia="Times New Roman" w:hAnsi="Arial" w:cs="Arial"/>
                <w:color w:val="000000"/>
                <w:sz w:val="18"/>
                <w:szCs w:val="18"/>
                <w:lang w:eastAsia="sl-SI"/>
              </w:rPr>
              <w:t> </w:t>
            </w:r>
          </w:p>
        </w:tc>
        <w:tc>
          <w:tcPr>
            <w:tcW w:w="774" w:type="pct"/>
            <w:tcBorders>
              <w:top w:val="nil"/>
              <w:left w:val="nil"/>
              <w:bottom w:val="single" w:sz="4" w:space="0" w:color="auto"/>
              <w:right w:val="single" w:sz="4" w:space="0" w:color="auto"/>
            </w:tcBorders>
            <w:shd w:val="clear" w:color="auto" w:fill="F2F2F2" w:themeFill="background1" w:themeFillShade="F2"/>
            <w:noWrap/>
            <w:vAlign w:val="center"/>
            <w:hideMark/>
          </w:tcPr>
          <w:p w14:paraId="5822C404" w14:textId="77777777" w:rsidR="00E3750C" w:rsidRPr="00F80DE3" w:rsidRDefault="00E3750C" w:rsidP="00047864">
            <w:pPr>
              <w:spacing w:after="0" w:line="240" w:lineRule="auto"/>
              <w:jc w:val="right"/>
              <w:rPr>
                <w:rFonts w:ascii="Arial" w:eastAsia="Times New Roman" w:hAnsi="Arial" w:cs="Arial"/>
                <w:b/>
                <w:bCs/>
                <w:color w:val="000000"/>
                <w:sz w:val="18"/>
                <w:szCs w:val="18"/>
                <w:lang w:eastAsia="sl-SI"/>
              </w:rPr>
            </w:pPr>
            <w:r w:rsidRPr="00F80DE3">
              <w:rPr>
                <w:rFonts w:ascii="Arial" w:eastAsia="Times New Roman" w:hAnsi="Arial" w:cs="Arial"/>
                <w:b/>
                <w:bCs/>
                <w:color w:val="000000"/>
                <w:sz w:val="18"/>
                <w:szCs w:val="18"/>
                <w:lang w:eastAsia="sl-SI"/>
              </w:rPr>
              <w:t>17.224</w:t>
            </w:r>
          </w:p>
        </w:tc>
        <w:tc>
          <w:tcPr>
            <w:tcW w:w="1289" w:type="pct"/>
            <w:tcBorders>
              <w:top w:val="nil"/>
              <w:left w:val="nil"/>
              <w:bottom w:val="single" w:sz="4" w:space="0" w:color="auto"/>
              <w:right w:val="single" w:sz="4" w:space="0" w:color="auto"/>
            </w:tcBorders>
            <w:shd w:val="clear" w:color="auto" w:fill="F2F2F2" w:themeFill="background1" w:themeFillShade="F2"/>
            <w:noWrap/>
            <w:vAlign w:val="center"/>
            <w:hideMark/>
          </w:tcPr>
          <w:p w14:paraId="48C6A33F" w14:textId="77777777" w:rsidR="00E3750C" w:rsidRPr="00F80DE3" w:rsidRDefault="00E3750C" w:rsidP="00047864">
            <w:pPr>
              <w:spacing w:after="0" w:line="240" w:lineRule="auto"/>
              <w:jc w:val="right"/>
              <w:rPr>
                <w:rFonts w:ascii="Arial" w:eastAsia="Times New Roman" w:hAnsi="Arial" w:cs="Arial"/>
                <w:b/>
                <w:bCs/>
                <w:color w:val="000000"/>
                <w:sz w:val="18"/>
                <w:szCs w:val="18"/>
                <w:lang w:eastAsia="sl-SI"/>
              </w:rPr>
            </w:pPr>
            <w:r w:rsidRPr="00F80DE3">
              <w:rPr>
                <w:rFonts w:ascii="Arial" w:eastAsia="Times New Roman" w:hAnsi="Arial" w:cs="Arial"/>
                <w:b/>
                <w:bCs/>
                <w:color w:val="000000"/>
                <w:sz w:val="18"/>
                <w:szCs w:val="18"/>
                <w:lang w:eastAsia="sl-SI"/>
              </w:rPr>
              <w:t>5.417.105.902</w:t>
            </w:r>
          </w:p>
        </w:tc>
      </w:tr>
    </w:tbl>
    <w:p w14:paraId="286AEFAB" w14:textId="77777777" w:rsidR="00E3750C" w:rsidRPr="00BF7302" w:rsidRDefault="00E3750C" w:rsidP="00E3750C">
      <w:pPr>
        <w:spacing w:after="0" w:line="240" w:lineRule="auto"/>
        <w:jc w:val="both"/>
        <w:rPr>
          <w:rFonts w:ascii="Arial" w:hAnsi="Arial" w:cs="Arial"/>
          <w:sz w:val="20"/>
          <w:highlight w:val="yellow"/>
        </w:rPr>
      </w:pPr>
    </w:p>
    <w:p w14:paraId="29792D1E" w14:textId="77777777" w:rsidR="00E3750C" w:rsidRPr="00D86C76" w:rsidRDefault="00E3750C" w:rsidP="00E3750C">
      <w:pPr>
        <w:spacing w:before="120" w:after="0" w:line="240" w:lineRule="auto"/>
        <w:jc w:val="both"/>
        <w:rPr>
          <w:rFonts w:ascii="Arial" w:hAnsi="Arial" w:cs="Arial"/>
          <w:sz w:val="20"/>
        </w:rPr>
      </w:pPr>
      <w:r w:rsidRPr="00D86C76">
        <w:rPr>
          <w:rFonts w:ascii="Arial" w:hAnsi="Arial" w:cs="Arial"/>
          <w:sz w:val="20"/>
        </w:rPr>
        <w:t>Preglednica 9</w:t>
      </w:r>
      <w:r>
        <w:rPr>
          <w:rFonts w:ascii="Arial" w:hAnsi="Arial" w:cs="Arial"/>
          <w:sz w:val="20"/>
        </w:rPr>
        <w:t>0</w:t>
      </w:r>
      <w:r w:rsidRPr="00D86C76">
        <w:rPr>
          <w:rFonts w:ascii="Arial" w:hAnsi="Arial" w:cs="Arial"/>
          <w:sz w:val="20"/>
        </w:rPr>
        <w:t>: Javna naročila, oddana slovenskim ponudnikom, glede na regijo naročnika in regijo ponudnika</w:t>
      </w:r>
    </w:p>
    <w:p w14:paraId="28C4A201" w14:textId="77777777" w:rsidR="00E3750C" w:rsidRPr="00BF7302" w:rsidRDefault="00E3750C" w:rsidP="00E3750C">
      <w:pPr>
        <w:spacing w:after="0" w:line="240" w:lineRule="auto"/>
        <w:jc w:val="both"/>
        <w:rPr>
          <w:rFonts w:ascii="Arial" w:hAnsi="Arial" w:cs="Arial"/>
          <w:sz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2"/>
        <w:gridCol w:w="3013"/>
        <w:gridCol w:w="1050"/>
        <w:gridCol w:w="2099"/>
      </w:tblGrid>
      <w:tr w:rsidR="00E3750C" w:rsidRPr="00D86C76" w14:paraId="758E6AB2" w14:textId="77777777" w:rsidTr="00047864">
        <w:trPr>
          <w:trHeight w:val="300"/>
          <w:tblHeader/>
        </w:trPr>
        <w:tc>
          <w:tcPr>
            <w:tcW w:w="1642" w:type="pct"/>
            <w:shd w:val="clear" w:color="000000" w:fill="F2F2F2"/>
            <w:noWrap/>
            <w:vAlign w:val="center"/>
            <w:hideMark/>
          </w:tcPr>
          <w:p w14:paraId="1A87CC7E" w14:textId="77777777" w:rsidR="00E3750C" w:rsidRPr="00D86C76" w:rsidRDefault="00E3750C" w:rsidP="00047864">
            <w:pPr>
              <w:spacing w:after="0" w:line="240" w:lineRule="auto"/>
              <w:jc w:val="center"/>
              <w:rPr>
                <w:rFonts w:ascii="Arial" w:eastAsia="Times New Roman" w:hAnsi="Arial" w:cs="Arial"/>
                <w:color w:val="000000"/>
                <w:sz w:val="18"/>
                <w:szCs w:val="18"/>
                <w:lang w:eastAsia="sl-SI"/>
              </w:rPr>
            </w:pPr>
            <w:r w:rsidRPr="00D86C76">
              <w:rPr>
                <w:rFonts w:ascii="Arial" w:eastAsia="Times New Roman" w:hAnsi="Arial" w:cs="Arial"/>
                <w:color w:val="000000"/>
                <w:sz w:val="18"/>
                <w:szCs w:val="18"/>
                <w:lang w:eastAsia="sl-SI"/>
              </w:rPr>
              <w:t>Regija naročnika</w:t>
            </w:r>
          </w:p>
        </w:tc>
        <w:tc>
          <w:tcPr>
            <w:tcW w:w="1642" w:type="pct"/>
            <w:shd w:val="clear" w:color="000000" w:fill="F2F2F2"/>
            <w:noWrap/>
            <w:vAlign w:val="center"/>
            <w:hideMark/>
          </w:tcPr>
          <w:p w14:paraId="66BCC63A" w14:textId="77777777" w:rsidR="00E3750C" w:rsidRPr="00D86C76" w:rsidRDefault="00E3750C" w:rsidP="00047864">
            <w:pPr>
              <w:spacing w:after="0" w:line="240" w:lineRule="auto"/>
              <w:jc w:val="center"/>
              <w:rPr>
                <w:rFonts w:ascii="Arial" w:eastAsia="Times New Roman" w:hAnsi="Arial" w:cs="Arial"/>
                <w:color w:val="000000"/>
                <w:sz w:val="18"/>
                <w:szCs w:val="18"/>
                <w:lang w:eastAsia="sl-SI"/>
              </w:rPr>
            </w:pPr>
            <w:r w:rsidRPr="00D86C76">
              <w:rPr>
                <w:rFonts w:ascii="Arial" w:eastAsia="Times New Roman" w:hAnsi="Arial" w:cs="Arial"/>
                <w:color w:val="000000"/>
                <w:sz w:val="18"/>
                <w:szCs w:val="18"/>
                <w:lang w:eastAsia="sl-SI"/>
              </w:rPr>
              <w:t>Regija ponudnika</w:t>
            </w:r>
          </w:p>
        </w:tc>
        <w:tc>
          <w:tcPr>
            <w:tcW w:w="572" w:type="pct"/>
            <w:shd w:val="clear" w:color="000000" w:fill="F2F2F2"/>
            <w:noWrap/>
            <w:vAlign w:val="center"/>
            <w:hideMark/>
          </w:tcPr>
          <w:p w14:paraId="730D91B5" w14:textId="77777777" w:rsidR="00E3750C" w:rsidRPr="00D86C76" w:rsidRDefault="00E3750C" w:rsidP="00047864">
            <w:pPr>
              <w:spacing w:after="0" w:line="240" w:lineRule="auto"/>
              <w:jc w:val="center"/>
              <w:rPr>
                <w:rFonts w:ascii="Arial" w:eastAsia="Times New Roman" w:hAnsi="Arial" w:cs="Arial"/>
                <w:color w:val="000000"/>
                <w:sz w:val="18"/>
                <w:szCs w:val="18"/>
                <w:lang w:eastAsia="sl-SI"/>
              </w:rPr>
            </w:pPr>
            <w:r w:rsidRPr="00D86C76">
              <w:rPr>
                <w:rFonts w:ascii="Arial" w:eastAsia="Times New Roman" w:hAnsi="Arial" w:cs="Arial"/>
                <w:color w:val="000000"/>
                <w:sz w:val="18"/>
                <w:szCs w:val="18"/>
                <w:lang w:eastAsia="sl-SI"/>
              </w:rPr>
              <w:t>Št. naročil</w:t>
            </w:r>
          </w:p>
        </w:tc>
        <w:tc>
          <w:tcPr>
            <w:tcW w:w="1144" w:type="pct"/>
            <w:shd w:val="clear" w:color="000000" w:fill="F2F2F2"/>
            <w:noWrap/>
            <w:vAlign w:val="center"/>
            <w:hideMark/>
          </w:tcPr>
          <w:p w14:paraId="6A9BC982" w14:textId="77777777" w:rsidR="00E3750C" w:rsidRPr="00D86C76" w:rsidRDefault="00E3750C" w:rsidP="00047864">
            <w:pPr>
              <w:spacing w:after="0" w:line="240" w:lineRule="auto"/>
              <w:jc w:val="center"/>
              <w:rPr>
                <w:rFonts w:ascii="Arial" w:eastAsia="Times New Roman" w:hAnsi="Arial" w:cs="Arial"/>
                <w:color w:val="000000"/>
                <w:sz w:val="18"/>
                <w:szCs w:val="18"/>
                <w:lang w:eastAsia="sl-SI"/>
              </w:rPr>
            </w:pPr>
            <w:r w:rsidRPr="00D86C76">
              <w:rPr>
                <w:rFonts w:ascii="Arial" w:eastAsia="Times New Roman" w:hAnsi="Arial" w:cs="Arial"/>
                <w:color w:val="000000"/>
                <w:sz w:val="18"/>
                <w:szCs w:val="18"/>
                <w:lang w:eastAsia="sl-SI"/>
              </w:rPr>
              <w:t>Pogodbena vrednost</w:t>
            </w:r>
          </w:p>
        </w:tc>
      </w:tr>
      <w:tr w:rsidR="00E3750C" w:rsidRPr="00D86C76" w14:paraId="7BCC41DC" w14:textId="77777777" w:rsidTr="00047864">
        <w:trPr>
          <w:trHeight w:val="300"/>
        </w:trPr>
        <w:tc>
          <w:tcPr>
            <w:tcW w:w="1642" w:type="pct"/>
            <w:vMerge w:val="restart"/>
            <w:shd w:val="clear" w:color="auto" w:fill="auto"/>
            <w:vAlign w:val="center"/>
            <w:hideMark/>
          </w:tcPr>
          <w:p w14:paraId="73A03322" w14:textId="77777777" w:rsidR="00E3750C" w:rsidRPr="00D86C76" w:rsidRDefault="00E3750C" w:rsidP="00047864">
            <w:pPr>
              <w:spacing w:after="0" w:line="240" w:lineRule="auto"/>
              <w:rPr>
                <w:rFonts w:ascii="Arial" w:eastAsia="Times New Roman" w:hAnsi="Arial" w:cs="Arial"/>
                <w:color w:val="000000"/>
                <w:sz w:val="18"/>
                <w:szCs w:val="18"/>
                <w:lang w:eastAsia="sl-SI"/>
              </w:rPr>
            </w:pPr>
            <w:r w:rsidRPr="00D86C76">
              <w:rPr>
                <w:rFonts w:ascii="Arial" w:eastAsia="Times New Roman" w:hAnsi="Arial" w:cs="Arial"/>
                <w:color w:val="000000"/>
                <w:sz w:val="18"/>
                <w:szCs w:val="18"/>
                <w:lang w:eastAsia="sl-SI"/>
              </w:rPr>
              <w:t>GORENJSKA</w:t>
            </w:r>
          </w:p>
        </w:tc>
        <w:tc>
          <w:tcPr>
            <w:tcW w:w="1642" w:type="pct"/>
            <w:shd w:val="clear" w:color="auto" w:fill="auto"/>
            <w:vAlign w:val="center"/>
            <w:hideMark/>
          </w:tcPr>
          <w:p w14:paraId="63D6A4F2" w14:textId="77777777" w:rsidR="00E3750C" w:rsidRPr="00D86C76" w:rsidRDefault="00E3750C" w:rsidP="00047864">
            <w:pPr>
              <w:spacing w:after="0" w:line="240" w:lineRule="auto"/>
              <w:rPr>
                <w:rFonts w:ascii="Arial" w:eastAsia="Times New Roman" w:hAnsi="Arial" w:cs="Arial"/>
                <w:color w:val="000000"/>
                <w:sz w:val="18"/>
                <w:szCs w:val="18"/>
                <w:lang w:eastAsia="sl-SI"/>
              </w:rPr>
            </w:pPr>
            <w:r w:rsidRPr="00D86C76">
              <w:rPr>
                <w:rFonts w:ascii="Arial" w:eastAsia="Times New Roman" w:hAnsi="Arial" w:cs="Arial"/>
                <w:color w:val="000000"/>
                <w:sz w:val="18"/>
                <w:szCs w:val="18"/>
                <w:lang w:eastAsia="sl-SI"/>
              </w:rPr>
              <w:t>GORENJSKA</w:t>
            </w:r>
          </w:p>
        </w:tc>
        <w:tc>
          <w:tcPr>
            <w:tcW w:w="572" w:type="pct"/>
            <w:shd w:val="clear" w:color="auto" w:fill="auto"/>
            <w:vAlign w:val="center"/>
            <w:hideMark/>
          </w:tcPr>
          <w:p w14:paraId="3C82D306" w14:textId="77777777" w:rsidR="00E3750C" w:rsidRPr="00D86C76" w:rsidRDefault="00E3750C" w:rsidP="00047864">
            <w:pPr>
              <w:spacing w:after="0" w:line="240" w:lineRule="auto"/>
              <w:jc w:val="right"/>
              <w:rPr>
                <w:rFonts w:ascii="Arial" w:eastAsia="Times New Roman" w:hAnsi="Arial" w:cs="Arial"/>
                <w:color w:val="000000"/>
                <w:sz w:val="18"/>
                <w:szCs w:val="18"/>
                <w:lang w:eastAsia="sl-SI"/>
              </w:rPr>
            </w:pPr>
            <w:r w:rsidRPr="00D86C76">
              <w:rPr>
                <w:rFonts w:ascii="Arial" w:hAnsi="Arial" w:cs="Arial"/>
                <w:color w:val="000000"/>
                <w:sz w:val="18"/>
                <w:szCs w:val="18"/>
              </w:rPr>
              <w:t>264</w:t>
            </w:r>
          </w:p>
        </w:tc>
        <w:tc>
          <w:tcPr>
            <w:tcW w:w="1144" w:type="pct"/>
            <w:shd w:val="clear" w:color="auto" w:fill="auto"/>
            <w:vAlign w:val="center"/>
            <w:hideMark/>
          </w:tcPr>
          <w:p w14:paraId="01E6515E" w14:textId="77777777" w:rsidR="00E3750C" w:rsidRPr="00D86C76" w:rsidRDefault="00E3750C" w:rsidP="00047864">
            <w:pPr>
              <w:spacing w:after="0" w:line="240" w:lineRule="auto"/>
              <w:jc w:val="right"/>
              <w:rPr>
                <w:rFonts w:ascii="Arial" w:eastAsia="Times New Roman" w:hAnsi="Arial" w:cs="Arial"/>
                <w:color w:val="000000"/>
                <w:sz w:val="18"/>
                <w:szCs w:val="18"/>
                <w:lang w:eastAsia="sl-SI"/>
              </w:rPr>
            </w:pPr>
            <w:r w:rsidRPr="00D86C76">
              <w:rPr>
                <w:rFonts w:ascii="Arial" w:hAnsi="Arial" w:cs="Arial"/>
                <w:color w:val="000000"/>
                <w:sz w:val="18"/>
                <w:szCs w:val="18"/>
              </w:rPr>
              <w:t>50.856.536</w:t>
            </w:r>
          </w:p>
        </w:tc>
      </w:tr>
      <w:tr w:rsidR="00E3750C" w:rsidRPr="00D86C76" w14:paraId="1603B98D" w14:textId="77777777" w:rsidTr="00047864">
        <w:trPr>
          <w:trHeight w:val="300"/>
        </w:trPr>
        <w:tc>
          <w:tcPr>
            <w:tcW w:w="1642" w:type="pct"/>
            <w:vMerge/>
            <w:vAlign w:val="center"/>
            <w:hideMark/>
          </w:tcPr>
          <w:p w14:paraId="66079666" w14:textId="77777777" w:rsidR="00E3750C" w:rsidRPr="00D86C76" w:rsidRDefault="00E3750C" w:rsidP="00047864">
            <w:pPr>
              <w:spacing w:after="0" w:line="240" w:lineRule="auto"/>
              <w:rPr>
                <w:rFonts w:ascii="Arial" w:eastAsia="Times New Roman" w:hAnsi="Arial" w:cs="Arial"/>
                <w:color w:val="000000"/>
                <w:sz w:val="18"/>
                <w:szCs w:val="18"/>
                <w:lang w:eastAsia="sl-SI"/>
              </w:rPr>
            </w:pPr>
          </w:p>
        </w:tc>
        <w:tc>
          <w:tcPr>
            <w:tcW w:w="1642" w:type="pct"/>
            <w:shd w:val="clear" w:color="auto" w:fill="auto"/>
            <w:vAlign w:val="center"/>
            <w:hideMark/>
          </w:tcPr>
          <w:p w14:paraId="4C21B32D" w14:textId="77777777" w:rsidR="00E3750C" w:rsidRPr="00D86C76" w:rsidRDefault="00E3750C" w:rsidP="00047864">
            <w:pPr>
              <w:spacing w:after="0" w:line="240" w:lineRule="auto"/>
              <w:rPr>
                <w:rFonts w:ascii="Arial" w:eastAsia="Times New Roman" w:hAnsi="Arial" w:cs="Arial"/>
                <w:color w:val="000000"/>
                <w:sz w:val="18"/>
                <w:szCs w:val="18"/>
                <w:lang w:eastAsia="sl-SI"/>
              </w:rPr>
            </w:pPr>
            <w:r w:rsidRPr="00D86C76">
              <w:rPr>
                <w:rFonts w:ascii="Arial" w:eastAsia="Times New Roman" w:hAnsi="Arial" w:cs="Arial"/>
                <w:color w:val="000000"/>
                <w:sz w:val="18"/>
                <w:szCs w:val="18"/>
                <w:lang w:eastAsia="sl-SI"/>
              </w:rPr>
              <w:t>ostale regije</w:t>
            </w:r>
          </w:p>
        </w:tc>
        <w:tc>
          <w:tcPr>
            <w:tcW w:w="572" w:type="pct"/>
            <w:shd w:val="clear" w:color="auto" w:fill="auto"/>
            <w:vAlign w:val="center"/>
            <w:hideMark/>
          </w:tcPr>
          <w:p w14:paraId="43E3A34F" w14:textId="77777777" w:rsidR="00E3750C" w:rsidRPr="00D86C76" w:rsidRDefault="00E3750C" w:rsidP="00047864">
            <w:pPr>
              <w:spacing w:after="0" w:line="240" w:lineRule="auto"/>
              <w:jc w:val="right"/>
              <w:rPr>
                <w:rFonts w:ascii="Arial" w:eastAsia="Times New Roman" w:hAnsi="Arial" w:cs="Arial"/>
                <w:color w:val="000000"/>
                <w:sz w:val="18"/>
                <w:szCs w:val="18"/>
                <w:lang w:eastAsia="sl-SI"/>
              </w:rPr>
            </w:pPr>
            <w:r w:rsidRPr="00D86C76">
              <w:rPr>
                <w:rFonts w:ascii="Arial" w:hAnsi="Arial" w:cs="Arial"/>
                <w:color w:val="000000"/>
                <w:sz w:val="18"/>
                <w:szCs w:val="18"/>
              </w:rPr>
              <w:t>624</w:t>
            </w:r>
          </w:p>
        </w:tc>
        <w:tc>
          <w:tcPr>
            <w:tcW w:w="1144" w:type="pct"/>
            <w:shd w:val="clear" w:color="auto" w:fill="auto"/>
            <w:vAlign w:val="center"/>
            <w:hideMark/>
          </w:tcPr>
          <w:p w14:paraId="0EFCDF00" w14:textId="77777777" w:rsidR="00E3750C" w:rsidRPr="00D86C76" w:rsidRDefault="00E3750C" w:rsidP="00047864">
            <w:pPr>
              <w:spacing w:after="0" w:line="240" w:lineRule="auto"/>
              <w:jc w:val="right"/>
              <w:rPr>
                <w:rFonts w:ascii="Arial" w:eastAsia="Times New Roman" w:hAnsi="Arial" w:cs="Arial"/>
                <w:color w:val="000000"/>
                <w:sz w:val="18"/>
                <w:szCs w:val="18"/>
                <w:lang w:eastAsia="sl-SI"/>
              </w:rPr>
            </w:pPr>
            <w:r w:rsidRPr="00D86C76">
              <w:rPr>
                <w:rFonts w:ascii="Arial" w:hAnsi="Arial" w:cs="Arial"/>
                <w:color w:val="000000"/>
                <w:sz w:val="18"/>
                <w:szCs w:val="18"/>
              </w:rPr>
              <w:t>133.062.228</w:t>
            </w:r>
          </w:p>
        </w:tc>
      </w:tr>
      <w:tr w:rsidR="00E3750C" w:rsidRPr="00D86C76" w14:paraId="121A331E" w14:textId="77777777" w:rsidTr="00047864">
        <w:trPr>
          <w:trHeight w:val="300"/>
        </w:trPr>
        <w:tc>
          <w:tcPr>
            <w:tcW w:w="1642" w:type="pct"/>
            <w:vMerge/>
            <w:vAlign w:val="center"/>
            <w:hideMark/>
          </w:tcPr>
          <w:p w14:paraId="27F212B1" w14:textId="77777777" w:rsidR="00E3750C" w:rsidRPr="00D86C76" w:rsidRDefault="00E3750C" w:rsidP="00047864">
            <w:pPr>
              <w:spacing w:after="0" w:line="240" w:lineRule="auto"/>
              <w:rPr>
                <w:rFonts w:ascii="Arial" w:eastAsia="Times New Roman" w:hAnsi="Arial" w:cs="Arial"/>
                <w:color w:val="000000"/>
                <w:sz w:val="18"/>
                <w:szCs w:val="18"/>
                <w:lang w:eastAsia="sl-SI"/>
              </w:rPr>
            </w:pPr>
          </w:p>
        </w:tc>
        <w:tc>
          <w:tcPr>
            <w:tcW w:w="1642" w:type="pct"/>
            <w:shd w:val="clear" w:color="auto" w:fill="auto"/>
            <w:vAlign w:val="center"/>
            <w:hideMark/>
          </w:tcPr>
          <w:p w14:paraId="0CC3DA2F" w14:textId="77777777" w:rsidR="00E3750C" w:rsidRPr="00D86C76" w:rsidRDefault="00E3750C" w:rsidP="00047864">
            <w:pPr>
              <w:spacing w:after="0" w:line="240" w:lineRule="auto"/>
              <w:rPr>
                <w:rFonts w:ascii="Arial" w:eastAsia="Times New Roman" w:hAnsi="Arial" w:cs="Arial"/>
                <w:b/>
                <w:bCs/>
                <w:color w:val="000000"/>
                <w:sz w:val="18"/>
                <w:szCs w:val="18"/>
                <w:lang w:eastAsia="sl-SI"/>
              </w:rPr>
            </w:pPr>
            <w:r w:rsidRPr="00D86C76">
              <w:rPr>
                <w:rFonts w:ascii="Arial" w:eastAsia="Times New Roman" w:hAnsi="Arial" w:cs="Arial"/>
                <w:b/>
                <w:bCs/>
                <w:color w:val="000000"/>
                <w:sz w:val="18"/>
                <w:szCs w:val="18"/>
                <w:lang w:eastAsia="sl-SI"/>
              </w:rPr>
              <w:t>Skupaj</w:t>
            </w:r>
          </w:p>
        </w:tc>
        <w:tc>
          <w:tcPr>
            <w:tcW w:w="572" w:type="pct"/>
            <w:shd w:val="clear" w:color="auto" w:fill="auto"/>
            <w:vAlign w:val="center"/>
            <w:hideMark/>
          </w:tcPr>
          <w:p w14:paraId="5095F44C" w14:textId="77777777" w:rsidR="00E3750C" w:rsidRPr="00D86C76" w:rsidRDefault="00E3750C" w:rsidP="00047864">
            <w:pPr>
              <w:spacing w:after="0" w:line="240" w:lineRule="auto"/>
              <w:jc w:val="right"/>
              <w:rPr>
                <w:rFonts w:ascii="Arial" w:eastAsia="Times New Roman" w:hAnsi="Arial" w:cs="Arial"/>
                <w:b/>
                <w:bCs/>
                <w:color w:val="000000"/>
                <w:sz w:val="18"/>
                <w:szCs w:val="18"/>
                <w:lang w:eastAsia="sl-SI"/>
              </w:rPr>
            </w:pPr>
            <w:r w:rsidRPr="00D86C76">
              <w:rPr>
                <w:rFonts w:ascii="Arial" w:hAnsi="Arial" w:cs="Arial"/>
                <w:b/>
                <w:bCs/>
                <w:color w:val="000000"/>
                <w:sz w:val="18"/>
                <w:szCs w:val="18"/>
              </w:rPr>
              <w:t>888</w:t>
            </w:r>
          </w:p>
        </w:tc>
        <w:tc>
          <w:tcPr>
            <w:tcW w:w="1144" w:type="pct"/>
            <w:shd w:val="clear" w:color="auto" w:fill="auto"/>
            <w:vAlign w:val="center"/>
            <w:hideMark/>
          </w:tcPr>
          <w:p w14:paraId="23C9DC6E" w14:textId="77777777" w:rsidR="00E3750C" w:rsidRPr="00D86C76" w:rsidRDefault="00E3750C" w:rsidP="00047864">
            <w:pPr>
              <w:spacing w:after="0" w:line="240" w:lineRule="auto"/>
              <w:jc w:val="right"/>
              <w:rPr>
                <w:rFonts w:ascii="Arial" w:eastAsia="Times New Roman" w:hAnsi="Arial" w:cs="Arial"/>
                <w:b/>
                <w:bCs/>
                <w:color w:val="000000"/>
                <w:sz w:val="18"/>
                <w:szCs w:val="18"/>
                <w:lang w:eastAsia="sl-SI"/>
              </w:rPr>
            </w:pPr>
            <w:r w:rsidRPr="00D86C76">
              <w:rPr>
                <w:rFonts w:ascii="Arial" w:hAnsi="Arial" w:cs="Arial"/>
                <w:b/>
                <w:bCs/>
                <w:color w:val="000000"/>
                <w:sz w:val="18"/>
                <w:szCs w:val="18"/>
              </w:rPr>
              <w:t>183.918.764</w:t>
            </w:r>
          </w:p>
        </w:tc>
      </w:tr>
      <w:tr w:rsidR="00E3750C" w:rsidRPr="00D86C76" w14:paraId="40083221" w14:textId="77777777" w:rsidTr="00047864">
        <w:trPr>
          <w:trHeight w:val="300"/>
        </w:trPr>
        <w:tc>
          <w:tcPr>
            <w:tcW w:w="1642" w:type="pct"/>
            <w:vMerge w:val="restart"/>
            <w:shd w:val="clear" w:color="auto" w:fill="auto"/>
            <w:vAlign w:val="center"/>
            <w:hideMark/>
          </w:tcPr>
          <w:p w14:paraId="1227C07F" w14:textId="77777777" w:rsidR="00E3750C" w:rsidRPr="00D86C76" w:rsidRDefault="00E3750C" w:rsidP="00047864">
            <w:pPr>
              <w:spacing w:after="0" w:line="240" w:lineRule="auto"/>
              <w:rPr>
                <w:rFonts w:ascii="Arial" w:eastAsia="Times New Roman" w:hAnsi="Arial" w:cs="Arial"/>
                <w:color w:val="000000"/>
                <w:sz w:val="18"/>
                <w:szCs w:val="18"/>
                <w:lang w:eastAsia="sl-SI"/>
              </w:rPr>
            </w:pPr>
            <w:r w:rsidRPr="00D86C76">
              <w:rPr>
                <w:rFonts w:ascii="Arial" w:eastAsia="Times New Roman" w:hAnsi="Arial" w:cs="Arial"/>
                <w:color w:val="000000"/>
                <w:sz w:val="18"/>
                <w:szCs w:val="18"/>
                <w:lang w:eastAsia="sl-SI"/>
              </w:rPr>
              <w:t>GORIŠKA</w:t>
            </w:r>
          </w:p>
        </w:tc>
        <w:tc>
          <w:tcPr>
            <w:tcW w:w="1642" w:type="pct"/>
            <w:shd w:val="clear" w:color="auto" w:fill="auto"/>
            <w:vAlign w:val="center"/>
            <w:hideMark/>
          </w:tcPr>
          <w:p w14:paraId="1A107D43" w14:textId="77777777" w:rsidR="00E3750C" w:rsidRPr="00D86C76" w:rsidRDefault="00E3750C" w:rsidP="00047864">
            <w:pPr>
              <w:spacing w:after="0" w:line="240" w:lineRule="auto"/>
              <w:rPr>
                <w:rFonts w:ascii="Arial" w:eastAsia="Times New Roman" w:hAnsi="Arial" w:cs="Arial"/>
                <w:color w:val="000000"/>
                <w:sz w:val="18"/>
                <w:szCs w:val="18"/>
                <w:lang w:eastAsia="sl-SI"/>
              </w:rPr>
            </w:pPr>
            <w:r w:rsidRPr="00D86C76">
              <w:rPr>
                <w:rFonts w:ascii="Arial" w:eastAsia="Times New Roman" w:hAnsi="Arial" w:cs="Arial"/>
                <w:color w:val="000000"/>
                <w:sz w:val="18"/>
                <w:szCs w:val="18"/>
                <w:lang w:eastAsia="sl-SI"/>
              </w:rPr>
              <w:t>GORIŠKA</w:t>
            </w:r>
          </w:p>
        </w:tc>
        <w:tc>
          <w:tcPr>
            <w:tcW w:w="572" w:type="pct"/>
            <w:shd w:val="clear" w:color="auto" w:fill="auto"/>
            <w:vAlign w:val="center"/>
            <w:hideMark/>
          </w:tcPr>
          <w:p w14:paraId="05A244DE" w14:textId="77777777" w:rsidR="00E3750C" w:rsidRPr="00D86C76" w:rsidRDefault="00E3750C" w:rsidP="00047864">
            <w:pPr>
              <w:spacing w:after="0" w:line="240" w:lineRule="auto"/>
              <w:jc w:val="right"/>
              <w:rPr>
                <w:rFonts w:ascii="Arial" w:eastAsia="Times New Roman" w:hAnsi="Arial" w:cs="Arial"/>
                <w:color w:val="000000"/>
                <w:sz w:val="18"/>
                <w:szCs w:val="18"/>
                <w:lang w:eastAsia="sl-SI"/>
              </w:rPr>
            </w:pPr>
            <w:r w:rsidRPr="00D86C76">
              <w:rPr>
                <w:rFonts w:ascii="Arial" w:hAnsi="Arial" w:cs="Arial"/>
                <w:color w:val="000000"/>
                <w:sz w:val="18"/>
                <w:szCs w:val="18"/>
              </w:rPr>
              <w:t>169</w:t>
            </w:r>
          </w:p>
        </w:tc>
        <w:tc>
          <w:tcPr>
            <w:tcW w:w="1144" w:type="pct"/>
            <w:shd w:val="clear" w:color="auto" w:fill="auto"/>
            <w:vAlign w:val="center"/>
            <w:hideMark/>
          </w:tcPr>
          <w:p w14:paraId="3D389DBD" w14:textId="77777777" w:rsidR="00E3750C" w:rsidRPr="00D86C76" w:rsidRDefault="00E3750C" w:rsidP="00047864">
            <w:pPr>
              <w:spacing w:after="0" w:line="240" w:lineRule="auto"/>
              <w:jc w:val="right"/>
              <w:rPr>
                <w:rFonts w:ascii="Arial" w:eastAsia="Times New Roman" w:hAnsi="Arial" w:cs="Arial"/>
                <w:color w:val="000000"/>
                <w:sz w:val="18"/>
                <w:szCs w:val="18"/>
                <w:lang w:eastAsia="sl-SI"/>
              </w:rPr>
            </w:pPr>
            <w:r w:rsidRPr="00D86C76">
              <w:rPr>
                <w:rFonts w:ascii="Arial" w:hAnsi="Arial" w:cs="Arial"/>
                <w:color w:val="000000"/>
                <w:sz w:val="18"/>
                <w:szCs w:val="18"/>
              </w:rPr>
              <w:t>42.780.803</w:t>
            </w:r>
          </w:p>
        </w:tc>
      </w:tr>
      <w:tr w:rsidR="00E3750C" w:rsidRPr="00D86C76" w14:paraId="4F45B9B7" w14:textId="77777777" w:rsidTr="00047864">
        <w:trPr>
          <w:trHeight w:val="300"/>
        </w:trPr>
        <w:tc>
          <w:tcPr>
            <w:tcW w:w="1642" w:type="pct"/>
            <w:vMerge/>
            <w:vAlign w:val="center"/>
            <w:hideMark/>
          </w:tcPr>
          <w:p w14:paraId="1577E6FF" w14:textId="77777777" w:rsidR="00E3750C" w:rsidRPr="00D86C76" w:rsidRDefault="00E3750C" w:rsidP="00047864">
            <w:pPr>
              <w:spacing w:after="0" w:line="240" w:lineRule="auto"/>
              <w:rPr>
                <w:rFonts w:ascii="Arial" w:eastAsia="Times New Roman" w:hAnsi="Arial" w:cs="Arial"/>
                <w:color w:val="000000"/>
                <w:sz w:val="18"/>
                <w:szCs w:val="18"/>
                <w:lang w:eastAsia="sl-SI"/>
              </w:rPr>
            </w:pPr>
          </w:p>
        </w:tc>
        <w:tc>
          <w:tcPr>
            <w:tcW w:w="1642" w:type="pct"/>
            <w:shd w:val="clear" w:color="auto" w:fill="auto"/>
            <w:vAlign w:val="center"/>
            <w:hideMark/>
          </w:tcPr>
          <w:p w14:paraId="33E5714C" w14:textId="77777777" w:rsidR="00E3750C" w:rsidRPr="00D86C76" w:rsidRDefault="00E3750C" w:rsidP="00047864">
            <w:pPr>
              <w:spacing w:after="0" w:line="240" w:lineRule="auto"/>
              <w:rPr>
                <w:rFonts w:ascii="Arial" w:eastAsia="Times New Roman" w:hAnsi="Arial" w:cs="Arial"/>
                <w:color w:val="000000"/>
                <w:sz w:val="18"/>
                <w:szCs w:val="18"/>
                <w:lang w:eastAsia="sl-SI"/>
              </w:rPr>
            </w:pPr>
            <w:r w:rsidRPr="00D86C76">
              <w:rPr>
                <w:rFonts w:ascii="Arial" w:eastAsia="Times New Roman" w:hAnsi="Arial" w:cs="Arial"/>
                <w:color w:val="000000"/>
                <w:sz w:val="18"/>
                <w:szCs w:val="18"/>
                <w:lang w:eastAsia="sl-SI"/>
              </w:rPr>
              <w:t>ostale regije</w:t>
            </w:r>
          </w:p>
        </w:tc>
        <w:tc>
          <w:tcPr>
            <w:tcW w:w="572" w:type="pct"/>
            <w:shd w:val="clear" w:color="auto" w:fill="auto"/>
            <w:vAlign w:val="center"/>
            <w:hideMark/>
          </w:tcPr>
          <w:p w14:paraId="04382DFB" w14:textId="77777777" w:rsidR="00E3750C" w:rsidRPr="00D86C76" w:rsidRDefault="00E3750C" w:rsidP="00047864">
            <w:pPr>
              <w:spacing w:after="0" w:line="240" w:lineRule="auto"/>
              <w:jc w:val="right"/>
              <w:rPr>
                <w:rFonts w:ascii="Arial" w:eastAsia="Times New Roman" w:hAnsi="Arial" w:cs="Arial"/>
                <w:color w:val="000000"/>
                <w:sz w:val="18"/>
                <w:szCs w:val="18"/>
                <w:lang w:eastAsia="sl-SI"/>
              </w:rPr>
            </w:pPr>
            <w:r w:rsidRPr="00D86C76">
              <w:rPr>
                <w:rFonts w:ascii="Arial" w:hAnsi="Arial" w:cs="Arial"/>
                <w:color w:val="000000"/>
                <w:sz w:val="18"/>
                <w:szCs w:val="18"/>
              </w:rPr>
              <w:t>514</w:t>
            </w:r>
          </w:p>
        </w:tc>
        <w:tc>
          <w:tcPr>
            <w:tcW w:w="1144" w:type="pct"/>
            <w:shd w:val="clear" w:color="auto" w:fill="auto"/>
            <w:vAlign w:val="center"/>
            <w:hideMark/>
          </w:tcPr>
          <w:p w14:paraId="7A48A097" w14:textId="77777777" w:rsidR="00E3750C" w:rsidRPr="00D86C76" w:rsidRDefault="00E3750C" w:rsidP="00047864">
            <w:pPr>
              <w:spacing w:after="0" w:line="240" w:lineRule="auto"/>
              <w:jc w:val="right"/>
              <w:rPr>
                <w:rFonts w:ascii="Arial" w:eastAsia="Times New Roman" w:hAnsi="Arial" w:cs="Arial"/>
                <w:color w:val="000000"/>
                <w:sz w:val="18"/>
                <w:szCs w:val="18"/>
                <w:lang w:eastAsia="sl-SI"/>
              </w:rPr>
            </w:pPr>
            <w:r w:rsidRPr="00D86C76">
              <w:rPr>
                <w:rFonts w:ascii="Arial" w:hAnsi="Arial" w:cs="Arial"/>
                <w:color w:val="000000"/>
                <w:sz w:val="18"/>
                <w:szCs w:val="18"/>
              </w:rPr>
              <w:t>66.084.381</w:t>
            </w:r>
          </w:p>
        </w:tc>
      </w:tr>
      <w:tr w:rsidR="00E3750C" w:rsidRPr="00D86C76" w14:paraId="5163EE6E" w14:textId="77777777" w:rsidTr="00047864">
        <w:trPr>
          <w:trHeight w:val="300"/>
        </w:trPr>
        <w:tc>
          <w:tcPr>
            <w:tcW w:w="1642" w:type="pct"/>
            <w:vMerge/>
            <w:vAlign w:val="center"/>
            <w:hideMark/>
          </w:tcPr>
          <w:p w14:paraId="40F27ADF" w14:textId="77777777" w:rsidR="00E3750C" w:rsidRPr="00D86C76" w:rsidRDefault="00E3750C" w:rsidP="00047864">
            <w:pPr>
              <w:spacing w:after="0" w:line="240" w:lineRule="auto"/>
              <w:rPr>
                <w:rFonts w:ascii="Arial" w:eastAsia="Times New Roman" w:hAnsi="Arial" w:cs="Arial"/>
                <w:color w:val="000000"/>
                <w:sz w:val="18"/>
                <w:szCs w:val="18"/>
                <w:lang w:eastAsia="sl-SI"/>
              </w:rPr>
            </w:pPr>
          </w:p>
        </w:tc>
        <w:tc>
          <w:tcPr>
            <w:tcW w:w="1642" w:type="pct"/>
            <w:shd w:val="clear" w:color="auto" w:fill="auto"/>
            <w:vAlign w:val="center"/>
            <w:hideMark/>
          </w:tcPr>
          <w:p w14:paraId="31608B3D" w14:textId="77777777" w:rsidR="00E3750C" w:rsidRPr="00D86C76" w:rsidRDefault="00E3750C" w:rsidP="00047864">
            <w:pPr>
              <w:spacing w:after="0" w:line="240" w:lineRule="auto"/>
              <w:rPr>
                <w:rFonts w:ascii="Arial" w:eastAsia="Times New Roman" w:hAnsi="Arial" w:cs="Arial"/>
                <w:b/>
                <w:bCs/>
                <w:color w:val="000000"/>
                <w:sz w:val="18"/>
                <w:szCs w:val="18"/>
                <w:lang w:eastAsia="sl-SI"/>
              </w:rPr>
            </w:pPr>
            <w:r w:rsidRPr="00D86C76">
              <w:rPr>
                <w:rFonts w:ascii="Arial" w:eastAsia="Times New Roman" w:hAnsi="Arial" w:cs="Arial"/>
                <w:b/>
                <w:bCs/>
                <w:color w:val="000000"/>
                <w:sz w:val="18"/>
                <w:szCs w:val="18"/>
                <w:lang w:eastAsia="sl-SI"/>
              </w:rPr>
              <w:t>Skupaj</w:t>
            </w:r>
          </w:p>
        </w:tc>
        <w:tc>
          <w:tcPr>
            <w:tcW w:w="572" w:type="pct"/>
            <w:shd w:val="clear" w:color="auto" w:fill="auto"/>
            <w:vAlign w:val="center"/>
            <w:hideMark/>
          </w:tcPr>
          <w:p w14:paraId="5FCA6EE9" w14:textId="77777777" w:rsidR="00E3750C" w:rsidRPr="00D86C76" w:rsidRDefault="00E3750C" w:rsidP="00047864">
            <w:pPr>
              <w:spacing w:after="0" w:line="240" w:lineRule="auto"/>
              <w:jc w:val="right"/>
              <w:rPr>
                <w:rFonts w:ascii="Arial" w:eastAsia="Times New Roman" w:hAnsi="Arial" w:cs="Arial"/>
                <w:b/>
                <w:bCs/>
                <w:color w:val="000000"/>
                <w:sz w:val="18"/>
                <w:szCs w:val="18"/>
                <w:lang w:eastAsia="sl-SI"/>
              </w:rPr>
            </w:pPr>
            <w:r w:rsidRPr="00D86C76">
              <w:rPr>
                <w:rFonts w:ascii="Arial" w:hAnsi="Arial" w:cs="Arial"/>
                <w:b/>
                <w:bCs/>
                <w:color w:val="000000"/>
                <w:sz w:val="18"/>
                <w:szCs w:val="18"/>
              </w:rPr>
              <w:t>683</w:t>
            </w:r>
          </w:p>
        </w:tc>
        <w:tc>
          <w:tcPr>
            <w:tcW w:w="1144" w:type="pct"/>
            <w:shd w:val="clear" w:color="auto" w:fill="auto"/>
            <w:vAlign w:val="center"/>
            <w:hideMark/>
          </w:tcPr>
          <w:p w14:paraId="740DD2FB" w14:textId="77777777" w:rsidR="00E3750C" w:rsidRPr="00D86C76" w:rsidRDefault="00E3750C" w:rsidP="00047864">
            <w:pPr>
              <w:spacing w:after="0" w:line="240" w:lineRule="auto"/>
              <w:jc w:val="right"/>
              <w:rPr>
                <w:rFonts w:ascii="Arial" w:eastAsia="Times New Roman" w:hAnsi="Arial" w:cs="Arial"/>
                <w:b/>
                <w:bCs/>
                <w:color w:val="000000"/>
                <w:sz w:val="18"/>
                <w:szCs w:val="18"/>
                <w:lang w:eastAsia="sl-SI"/>
              </w:rPr>
            </w:pPr>
            <w:r w:rsidRPr="00D86C76">
              <w:rPr>
                <w:rFonts w:ascii="Arial" w:hAnsi="Arial" w:cs="Arial"/>
                <w:b/>
                <w:bCs/>
                <w:color w:val="000000"/>
                <w:sz w:val="18"/>
                <w:szCs w:val="18"/>
              </w:rPr>
              <w:t>108.865.184</w:t>
            </w:r>
          </w:p>
        </w:tc>
      </w:tr>
      <w:tr w:rsidR="00E3750C" w:rsidRPr="00D86C76" w14:paraId="1CAFC09B" w14:textId="77777777" w:rsidTr="00047864">
        <w:trPr>
          <w:trHeight w:val="300"/>
        </w:trPr>
        <w:tc>
          <w:tcPr>
            <w:tcW w:w="1642" w:type="pct"/>
            <w:vMerge w:val="restart"/>
            <w:shd w:val="clear" w:color="auto" w:fill="auto"/>
            <w:vAlign w:val="center"/>
            <w:hideMark/>
          </w:tcPr>
          <w:p w14:paraId="01BEC68F" w14:textId="77777777" w:rsidR="00E3750C" w:rsidRPr="00D86C76" w:rsidRDefault="00E3750C" w:rsidP="00047864">
            <w:pPr>
              <w:spacing w:after="0" w:line="240" w:lineRule="auto"/>
              <w:rPr>
                <w:rFonts w:ascii="Arial" w:eastAsia="Times New Roman" w:hAnsi="Arial" w:cs="Arial"/>
                <w:color w:val="000000"/>
                <w:sz w:val="18"/>
                <w:szCs w:val="18"/>
                <w:lang w:eastAsia="sl-SI"/>
              </w:rPr>
            </w:pPr>
            <w:r w:rsidRPr="00D86C76">
              <w:rPr>
                <w:rFonts w:ascii="Arial" w:eastAsia="Times New Roman" w:hAnsi="Arial" w:cs="Arial"/>
                <w:color w:val="000000"/>
                <w:sz w:val="18"/>
                <w:szCs w:val="18"/>
                <w:lang w:eastAsia="sl-SI"/>
              </w:rPr>
              <w:t>JUGOVZHODNA SLOVENIJA</w:t>
            </w:r>
          </w:p>
        </w:tc>
        <w:tc>
          <w:tcPr>
            <w:tcW w:w="1642" w:type="pct"/>
            <w:shd w:val="clear" w:color="auto" w:fill="auto"/>
            <w:vAlign w:val="center"/>
            <w:hideMark/>
          </w:tcPr>
          <w:p w14:paraId="0ED41233" w14:textId="77777777" w:rsidR="00E3750C" w:rsidRPr="00D86C76" w:rsidRDefault="00E3750C" w:rsidP="00047864">
            <w:pPr>
              <w:spacing w:after="0" w:line="240" w:lineRule="auto"/>
              <w:rPr>
                <w:rFonts w:ascii="Arial" w:eastAsia="Times New Roman" w:hAnsi="Arial" w:cs="Arial"/>
                <w:color w:val="000000"/>
                <w:sz w:val="18"/>
                <w:szCs w:val="18"/>
                <w:lang w:eastAsia="sl-SI"/>
              </w:rPr>
            </w:pPr>
            <w:r w:rsidRPr="00D86C76">
              <w:rPr>
                <w:rFonts w:ascii="Arial" w:eastAsia="Times New Roman" w:hAnsi="Arial" w:cs="Arial"/>
                <w:color w:val="000000"/>
                <w:sz w:val="18"/>
                <w:szCs w:val="18"/>
                <w:lang w:eastAsia="sl-SI"/>
              </w:rPr>
              <w:t>JUGOVZHODNA SLOVENIJA</w:t>
            </w:r>
          </w:p>
        </w:tc>
        <w:tc>
          <w:tcPr>
            <w:tcW w:w="572" w:type="pct"/>
            <w:shd w:val="clear" w:color="auto" w:fill="auto"/>
            <w:vAlign w:val="center"/>
            <w:hideMark/>
          </w:tcPr>
          <w:p w14:paraId="78CAF57C" w14:textId="77777777" w:rsidR="00E3750C" w:rsidRPr="00D86C76" w:rsidRDefault="00E3750C" w:rsidP="00047864">
            <w:pPr>
              <w:spacing w:after="0" w:line="240" w:lineRule="auto"/>
              <w:jc w:val="right"/>
              <w:rPr>
                <w:rFonts w:ascii="Arial" w:eastAsia="Times New Roman" w:hAnsi="Arial" w:cs="Arial"/>
                <w:color w:val="000000"/>
                <w:sz w:val="18"/>
                <w:szCs w:val="18"/>
                <w:lang w:eastAsia="sl-SI"/>
              </w:rPr>
            </w:pPr>
            <w:r w:rsidRPr="00D86C76">
              <w:rPr>
                <w:rFonts w:ascii="Arial" w:hAnsi="Arial" w:cs="Arial"/>
                <w:color w:val="000000"/>
                <w:sz w:val="18"/>
                <w:szCs w:val="18"/>
              </w:rPr>
              <w:t>153</w:t>
            </w:r>
          </w:p>
        </w:tc>
        <w:tc>
          <w:tcPr>
            <w:tcW w:w="1144" w:type="pct"/>
            <w:shd w:val="clear" w:color="auto" w:fill="auto"/>
            <w:vAlign w:val="center"/>
            <w:hideMark/>
          </w:tcPr>
          <w:p w14:paraId="1D38876A" w14:textId="77777777" w:rsidR="00E3750C" w:rsidRPr="00D86C76" w:rsidRDefault="00E3750C" w:rsidP="00047864">
            <w:pPr>
              <w:spacing w:after="0" w:line="240" w:lineRule="auto"/>
              <w:jc w:val="right"/>
              <w:rPr>
                <w:rFonts w:ascii="Arial" w:eastAsia="Times New Roman" w:hAnsi="Arial" w:cs="Arial"/>
                <w:color w:val="000000"/>
                <w:sz w:val="18"/>
                <w:szCs w:val="18"/>
                <w:lang w:eastAsia="sl-SI"/>
              </w:rPr>
            </w:pPr>
            <w:r w:rsidRPr="00D86C76">
              <w:rPr>
                <w:rFonts w:ascii="Arial" w:hAnsi="Arial" w:cs="Arial"/>
                <w:color w:val="000000"/>
                <w:sz w:val="18"/>
                <w:szCs w:val="18"/>
              </w:rPr>
              <w:t>61.061.891</w:t>
            </w:r>
          </w:p>
        </w:tc>
      </w:tr>
      <w:tr w:rsidR="00E3750C" w:rsidRPr="00D86C76" w14:paraId="260758D2" w14:textId="77777777" w:rsidTr="00047864">
        <w:trPr>
          <w:trHeight w:val="300"/>
        </w:trPr>
        <w:tc>
          <w:tcPr>
            <w:tcW w:w="1642" w:type="pct"/>
            <w:vMerge/>
            <w:vAlign w:val="center"/>
            <w:hideMark/>
          </w:tcPr>
          <w:p w14:paraId="1D7CBEA5" w14:textId="77777777" w:rsidR="00E3750C" w:rsidRPr="00D86C76" w:rsidRDefault="00E3750C" w:rsidP="00047864">
            <w:pPr>
              <w:spacing w:after="0" w:line="240" w:lineRule="auto"/>
              <w:rPr>
                <w:rFonts w:ascii="Arial" w:eastAsia="Times New Roman" w:hAnsi="Arial" w:cs="Arial"/>
                <w:color w:val="000000"/>
                <w:sz w:val="18"/>
                <w:szCs w:val="18"/>
                <w:lang w:eastAsia="sl-SI"/>
              </w:rPr>
            </w:pPr>
          </w:p>
        </w:tc>
        <w:tc>
          <w:tcPr>
            <w:tcW w:w="1642" w:type="pct"/>
            <w:shd w:val="clear" w:color="auto" w:fill="auto"/>
            <w:vAlign w:val="center"/>
            <w:hideMark/>
          </w:tcPr>
          <w:p w14:paraId="55AA8C98" w14:textId="77777777" w:rsidR="00E3750C" w:rsidRPr="00D86C76" w:rsidRDefault="00E3750C" w:rsidP="00047864">
            <w:pPr>
              <w:spacing w:after="0" w:line="240" w:lineRule="auto"/>
              <w:rPr>
                <w:rFonts w:ascii="Arial" w:eastAsia="Times New Roman" w:hAnsi="Arial" w:cs="Arial"/>
                <w:color w:val="000000"/>
                <w:sz w:val="18"/>
                <w:szCs w:val="18"/>
                <w:lang w:eastAsia="sl-SI"/>
              </w:rPr>
            </w:pPr>
            <w:r w:rsidRPr="00D86C76">
              <w:rPr>
                <w:rFonts w:ascii="Arial" w:eastAsia="Times New Roman" w:hAnsi="Arial" w:cs="Arial"/>
                <w:color w:val="000000"/>
                <w:sz w:val="18"/>
                <w:szCs w:val="18"/>
                <w:lang w:eastAsia="sl-SI"/>
              </w:rPr>
              <w:t>ostale regije</w:t>
            </w:r>
          </w:p>
        </w:tc>
        <w:tc>
          <w:tcPr>
            <w:tcW w:w="572" w:type="pct"/>
            <w:shd w:val="clear" w:color="auto" w:fill="auto"/>
            <w:vAlign w:val="center"/>
            <w:hideMark/>
          </w:tcPr>
          <w:p w14:paraId="0AE07618" w14:textId="77777777" w:rsidR="00E3750C" w:rsidRPr="00D86C76" w:rsidRDefault="00E3750C" w:rsidP="00047864">
            <w:pPr>
              <w:spacing w:after="0" w:line="240" w:lineRule="auto"/>
              <w:jc w:val="right"/>
              <w:rPr>
                <w:rFonts w:ascii="Arial" w:eastAsia="Times New Roman" w:hAnsi="Arial" w:cs="Arial"/>
                <w:color w:val="000000"/>
                <w:sz w:val="18"/>
                <w:szCs w:val="18"/>
                <w:lang w:eastAsia="sl-SI"/>
              </w:rPr>
            </w:pPr>
            <w:r w:rsidRPr="00D86C76">
              <w:rPr>
                <w:rFonts w:ascii="Arial" w:hAnsi="Arial" w:cs="Arial"/>
                <w:color w:val="000000"/>
                <w:sz w:val="18"/>
                <w:szCs w:val="18"/>
              </w:rPr>
              <w:t>603</w:t>
            </w:r>
          </w:p>
        </w:tc>
        <w:tc>
          <w:tcPr>
            <w:tcW w:w="1144" w:type="pct"/>
            <w:shd w:val="clear" w:color="auto" w:fill="auto"/>
            <w:vAlign w:val="center"/>
            <w:hideMark/>
          </w:tcPr>
          <w:p w14:paraId="601F2626" w14:textId="77777777" w:rsidR="00E3750C" w:rsidRPr="00D86C76" w:rsidRDefault="00E3750C" w:rsidP="00047864">
            <w:pPr>
              <w:spacing w:after="0" w:line="240" w:lineRule="auto"/>
              <w:jc w:val="right"/>
              <w:rPr>
                <w:rFonts w:ascii="Arial" w:eastAsia="Times New Roman" w:hAnsi="Arial" w:cs="Arial"/>
                <w:color w:val="000000"/>
                <w:sz w:val="18"/>
                <w:szCs w:val="18"/>
                <w:lang w:eastAsia="sl-SI"/>
              </w:rPr>
            </w:pPr>
            <w:r w:rsidRPr="00D86C76">
              <w:rPr>
                <w:rFonts w:ascii="Arial" w:hAnsi="Arial" w:cs="Arial"/>
                <w:color w:val="000000"/>
                <w:sz w:val="18"/>
                <w:szCs w:val="18"/>
              </w:rPr>
              <w:t>121.804.806</w:t>
            </w:r>
          </w:p>
        </w:tc>
      </w:tr>
      <w:tr w:rsidR="00E3750C" w:rsidRPr="00D86C76" w14:paraId="3232B716" w14:textId="77777777" w:rsidTr="00047864">
        <w:trPr>
          <w:trHeight w:val="300"/>
        </w:trPr>
        <w:tc>
          <w:tcPr>
            <w:tcW w:w="1642" w:type="pct"/>
            <w:vMerge/>
            <w:vAlign w:val="center"/>
            <w:hideMark/>
          </w:tcPr>
          <w:p w14:paraId="02E7420A" w14:textId="77777777" w:rsidR="00E3750C" w:rsidRPr="00D86C76" w:rsidRDefault="00E3750C" w:rsidP="00047864">
            <w:pPr>
              <w:spacing w:after="0" w:line="240" w:lineRule="auto"/>
              <w:rPr>
                <w:rFonts w:ascii="Arial" w:eastAsia="Times New Roman" w:hAnsi="Arial" w:cs="Arial"/>
                <w:color w:val="000000"/>
                <w:sz w:val="18"/>
                <w:szCs w:val="18"/>
                <w:lang w:eastAsia="sl-SI"/>
              </w:rPr>
            </w:pPr>
          </w:p>
        </w:tc>
        <w:tc>
          <w:tcPr>
            <w:tcW w:w="1642" w:type="pct"/>
            <w:shd w:val="clear" w:color="auto" w:fill="auto"/>
            <w:vAlign w:val="center"/>
            <w:hideMark/>
          </w:tcPr>
          <w:p w14:paraId="7CDD33A0" w14:textId="77777777" w:rsidR="00E3750C" w:rsidRPr="00D86C76" w:rsidRDefault="00E3750C" w:rsidP="00047864">
            <w:pPr>
              <w:spacing w:after="0" w:line="240" w:lineRule="auto"/>
              <w:rPr>
                <w:rFonts w:ascii="Arial" w:eastAsia="Times New Roman" w:hAnsi="Arial" w:cs="Arial"/>
                <w:b/>
                <w:bCs/>
                <w:color w:val="000000"/>
                <w:sz w:val="18"/>
                <w:szCs w:val="18"/>
                <w:lang w:eastAsia="sl-SI"/>
              </w:rPr>
            </w:pPr>
            <w:r w:rsidRPr="00D86C76">
              <w:rPr>
                <w:rFonts w:ascii="Arial" w:eastAsia="Times New Roman" w:hAnsi="Arial" w:cs="Arial"/>
                <w:b/>
                <w:bCs/>
                <w:color w:val="000000"/>
                <w:sz w:val="18"/>
                <w:szCs w:val="18"/>
                <w:lang w:eastAsia="sl-SI"/>
              </w:rPr>
              <w:t>Skupaj</w:t>
            </w:r>
          </w:p>
        </w:tc>
        <w:tc>
          <w:tcPr>
            <w:tcW w:w="572" w:type="pct"/>
            <w:shd w:val="clear" w:color="auto" w:fill="auto"/>
            <w:vAlign w:val="center"/>
            <w:hideMark/>
          </w:tcPr>
          <w:p w14:paraId="4D127198" w14:textId="77777777" w:rsidR="00E3750C" w:rsidRPr="00D86C76" w:rsidRDefault="00E3750C" w:rsidP="00047864">
            <w:pPr>
              <w:spacing w:after="0" w:line="240" w:lineRule="auto"/>
              <w:jc w:val="right"/>
              <w:rPr>
                <w:rFonts w:ascii="Arial" w:eastAsia="Times New Roman" w:hAnsi="Arial" w:cs="Arial"/>
                <w:b/>
                <w:bCs/>
                <w:color w:val="000000"/>
                <w:sz w:val="18"/>
                <w:szCs w:val="18"/>
                <w:lang w:eastAsia="sl-SI"/>
              </w:rPr>
            </w:pPr>
            <w:r w:rsidRPr="00D86C76">
              <w:rPr>
                <w:rFonts w:ascii="Arial" w:hAnsi="Arial" w:cs="Arial"/>
                <w:b/>
                <w:bCs/>
                <w:color w:val="000000"/>
                <w:sz w:val="18"/>
                <w:szCs w:val="18"/>
              </w:rPr>
              <w:t>756</w:t>
            </w:r>
          </w:p>
        </w:tc>
        <w:tc>
          <w:tcPr>
            <w:tcW w:w="1144" w:type="pct"/>
            <w:shd w:val="clear" w:color="auto" w:fill="auto"/>
            <w:vAlign w:val="center"/>
            <w:hideMark/>
          </w:tcPr>
          <w:p w14:paraId="579CB759" w14:textId="77777777" w:rsidR="00E3750C" w:rsidRPr="00D86C76" w:rsidRDefault="00E3750C" w:rsidP="00047864">
            <w:pPr>
              <w:spacing w:after="0" w:line="240" w:lineRule="auto"/>
              <w:jc w:val="right"/>
              <w:rPr>
                <w:rFonts w:ascii="Arial" w:eastAsia="Times New Roman" w:hAnsi="Arial" w:cs="Arial"/>
                <w:b/>
                <w:bCs/>
                <w:color w:val="000000"/>
                <w:sz w:val="18"/>
                <w:szCs w:val="18"/>
                <w:lang w:eastAsia="sl-SI"/>
              </w:rPr>
            </w:pPr>
            <w:r w:rsidRPr="00D86C76">
              <w:rPr>
                <w:rFonts w:ascii="Arial" w:hAnsi="Arial" w:cs="Arial"/>
                <w:b/>
                <w:bCs/>
                <w:color w:val="000000"/>
                <w:sz w:val="18"/>
                <w:szCs w:val="18"/>
              </w:rPr>
              <w:t>182.866.697</w:t>
            </w:r>
          </w:p>
        </w:tc>
      </w:tr>
      <w:tr w:rsidR="00E3750C" w:rsidRPr="00D86C76" w14:paraId="07644ADE" w14:textId="77777777" w:rsidTr="00047864">
        <w:trPr>
          <w:trHeight w:val="300"/>
        </w:trPr>
        <w:tc>
          <w:tcPr>
            <w:tcW w:w="1642" w:type="pct"/>
            <w:vMerge w:val="restart"/>
            <w:shd w:val="clear" w:color="auto" w:fill="auto"/>
            <w:vAlign w:val="center"/>
            <w:hideMark/>
          </w:tcPr>
          <w:p w14:paraId="5EA69418" w14:textId="77777777" w:rsidR="00E3750C" w:rsidRPr="00D86C76" w:rsidRDefault="00E3750C" w:rsidP="00047864">
            <w:pPr>
              <w:spacing w:after="0" w:line="240" w:lineRule="auto"/>
              <w:rPr>
                <w:rFonts w:ascii="Arial" w:eastAsia="Times New Roman" w:hAnsi="Arial" w:cs="Arial"/>
                <w:color w:val="000000"/>
                <w:sz w:val="18"/>
                <w:szCs w:val="18"/>
                <w:lang w:eastAsia="sl-SI"/>
              </w:rPr>
            </w:pPr>
            <w:r w:rsidRPr="00D86C76">
              <w:rPr>
                <w:rFonts w:ascii="Arial" w:eastAsia="Times New Roman" w:hAnsi="Arial" w:cs="Arial"/>
                <w:color w:val="000000"/>
                <w:sz w:val="18"/>
                <w:szCs w:val="18"/>
                <w:lang w:eastAsia="sl-SI"/>
              </w:rPr>
              <w:t>KOROŠKA</w:t>
            </w:r>
          </w:p>
        </w:tc>
        <w:tc>
          <w:tcPr>
            <w:tcW w:w="1642" w:type="pct"/>
            <w:shd w:val="clear" w:color="auto" w:fill="auto"/>
            <w:vAlign w:val="center"/>
            <w:hideMark/>
          </w:tcPr>
          <w:p w14:paraId="378C3309" w14:textId="77777777" w:rsidR="00E3750C" w:rsidRPr="00D86C76" w:rsidRDefault="00E3750C" w:rsidP="00047864">
            <w:pPr>
              <w:spacing w:after="0" w:line="240" w:lineRule="auto"/>
              <w:rPr>
                <w:rFonts w:ascii="Arial" w:eastAsia="Times New Roman" w:hAnsi="Arial" w:cs="Arial"/>
                <w:color w:val="000000"/>
                <w:sz w:val="18"/>
                <w:szCs w:val="18"/>
                <w:lang w:eastAsia="sl-SI"/>
              </w:rPr>
            </w:pPr>
            <w:r w:rsidRPr="00D86C76">
              <w:rPr>
                <w:rFonts w:ascii="Arial" w:eastAsia="Times New Roman" w:hAnsi="Arial" w:cs="Arial"/>
                <w:color w:val="000000"/>
                <w:sz w:val="18"/>
                <w:szCs w:val="18"/>
                <w:lang w:eastAsia="sl-SI"/>
              </w:rPr>
              <w:t>KOROŠKA</w:t>
            </w:r>
          </w:p>
        </w:tc>
        <w:tc>
          <w:tcPr>
            <w:tcW w:w="572" w:type="pct"/>
            <w:shd w:val="clear" w:color="auto" w:fill="auto"/>
            <w:vAlign w:val="center"/>
            <w:hideMark/>
          </w:tcPr>
          <w:p w14:paraId="188EC3B4" w14:textId="77777777" w:rsidR="00E3750C" w:rsidRPr="00D86C76" w:rsidRDefault="00E3750C" w:rsidP="00047864">
            <w:pPr>
              <w:spacing w:after="0" w:line="240" w:lineRule="auto"/>
              <w:jc w:val="right"/>
              <w:rPr>
                <w:rFonts w:ascii="Arial" w:eastAsia="Times New Roman" w:hAnsi="Arial" w:cs="Arial"/>
                <w:color w:val="000000"/>
                <w:sz w:val="18"/>
                <w:szCs w:val="18"/>
                <w:lang w:eastAsia="sl-SI"/>
              </w:rPr>
            </w:pPr>
            <w:r w:rsidRPr="00D86C76">
              <w:rPr>
                <w:rFonts w:ascii="Arial" w:hAnsi="Arial" w:cs="Arial"/>
                <w:color w:val="000000"/>
                <w:sz w:val="18"/>
                <w:szCs w:val="18"/>
              </w:rPr>
              <w:t>118</w:t>
            </w:r>
          </w:p>
        </w:tc>
        <w:tc>
          <w:tcPr>
            <w:tcW w:w="1144" w:type="pct"/>
            <w:shd w:val="clear" w:color="auto" w:fill="auto"/>
            <w:vAlign w:val="center"/>
            <w:hideMark/>
          </w:tcPr>
          <w:p w14:paraId="37F6854A" w14:textId="77777777" w:rsidR="00E3750C" w:rsidRPr="00D86C76" w:rsidRDefault="00E3750C" w:rsidP="00047864">
            <w:pPr>
              <w:spacing w:after="0" w:line="240" w:lineRule="auto"/>
              <w:jc w:val="right"/>
              <w:rPr>
                <w:rFonts w:ascii="Arial" w:eastAsia="Times New Roman" w:hAnsi="Arial" w:cs="Arial"/>
                <w:color w:val="000000"/>
                <w:sz w:val="18"/>
                <w:szCs w:val="18"/>
                <w:lang w:eastAsia="sl-SI"/>
              </w:rPr>
            </w:pPr>
            <w:r w:rsidRPr="00D86C76">
              <w:rPr>
                <w:rFonts w:ascii="Arial" w:hAnsi="Arial" w:cs="Arial"/>
                <w:color w:val="000000"/>
                <w:sz w:val="18"/>
                <w:szCs w:val="18"/>
              </w:rPr>
              <w:t>39.783.190</w:t>
            </w:r>
          </w:p>
        </w:tc>
      </w:tr>
      <w:tr w:rsidR="00E3750C" w:rsidRPr="00D86C76" w14:paraId="7AEA8BDB" w14:textId="77777777" w:rsidTr="00047864">
        <w:trPr>
          <w:trHeight w:val="300"/>
        </w:trPr>
        <w:tc>
          <w:tcPr>
            <w:tcW w:w="1642" w:type="pct"/>
            <w:vMerge/>
            <w:vAlign w:val="center"/>
            <w:hideMark/>
          </w:tcPr>
          <w:p w14:paraId="2D98D81A" w14:textId="77777777" w:rsidR="00E3750C" w:rsidRPr="00D86C76" w:rsidRDefault="00E3750C" w:rsidP="00047864">
            <w:pPr>
              <w:spacing w:after="0" w:line="240" w:lineRule="auto"/>
              <w:rPr>
                <w:rFonts w:ascii="Arial" w:eastAsia="Times New Roman" w:hAnsi="Arial" w:cs="Arial"/>
                <w:color w:val="000000"/>
                <w:sz w:val="18"/>
                <w:szCs w:val="18"/>
                <w:lang w:eastAsia="sl-SI"/>
              </w:rPr>
            </w:pPr>
          </w:p>
        </w:tc>
        <w:tc>
          <w:tcPr>
            <w:tcW w:w="1642" w:type="pct"/>
            <w:shd w:val="clear" w:color="auto" w:fill="auto"/>
            <w:vAlign w:val="center"/>
            <w:hideMark/>
          </w:tcPr>
          <w:p w14:paraId="5BA732CA" w14:textId="77777777" w:rsidR="00E3750C" w:rsidRPr="00D86C76" w:rsidRDefault="00E3750C" w:rsidP="00047864">
            <w:pPr>
              <w:spacing w:after="0" w:line="240" w:lineRule="auto"/>
              <w:rPr>
                <w:rFonts w:ascii="Arial" w:eastAsia="Times New Roman" w:hAnsi="Arial" w:cs="Arial"/>
                <w:color w:val="000000"/>
                <w:sz w:val="18"/>
                <w:szCs w:val="18"/>
                <w:lang w:eastAsia="sl-SI"/>
              </w:rPr>
            </w:pPr>
            <w:r w:rsidRPr="00D86C76">
              <w:rPr>
                <w:rFonts w:ascii="Arial" w:eastAsia="Times New Roman" w:hAnsi="Arial" w:cs="Arial"/>
                <w:color w:val="000000"/>
                <w:sz w:val="18"/>
                <w:szCs w:val="18"/>
                <w:lang w:eastAsia="sl-SI"/>
              </w:rPr>
              <w:t>ostale regije</w:t>
            </w:r>
          </w:p>
        </w:tc>
        <w:tc>
          <w:tcPr>
            <w:tcW w:w="572" w:type="pct"/>
            <w:shd w:val="clear" w:color="auto" w:fill="auto"/>
            <w:vAlign w:val="center"/>
            <w:hideMark/>
          </w:tcPr>
          <w:p w14:paraId="385444F4" w14:textId="77777777" w:rsidR="00E3750C" w:rsidRPr="00D86C76" w:rsidRDefault="00E3750C" w:rsidP="00047864">
            <w:pPr>
              <w:spacing w:after="0" w:line="240" w:lineRule="auto"/>
              <w:jc w:val="right"/>
              <w:rPr>
                <w:rFonts w:ascii="Arial" w:eastAsia="Times New Roman" w:hAnsi="Arial" w:cs="Arial"/>
                <w:color w:val="000000"/>
                <w:sz w:val="18"/>
                <w:szCs w:val="18"/>
                <w:lang w:eastAsia="sl-SI"/>
              </w:rPr>
            </w:pPr>
            <w:r w:rsidRPr="00D86C76">
              <w:rPr>
                <w:rFonts w:ascii="Arial" w:hAnsi="Arial" w:cs="Arial"/>
                <w:color w:val="000000"/>
                <w:sz w:val="18"/>
                <w:szCs w:val="18"/>
              </w:rPr>
              <w:t>570</w:t>
            </w:r>
          </w:p>
        </w:tc>
        <w:tc>
          <w:tcPr>
            <w:tcW w:w="1144" w:type="pct"/>
            <w:shd w:val="clear" w:color="auto" w:fill="auto"/>
            <w:vAlign w:val="center"/>
            <w:hideMark/>
          </w:tcPr>
          <w:p w14:paraId="13E608C1" w14:textId="77777777" w:rsidR="00E3750C" w:rsidRPr="00D86C76" w:rsidRDefault="00E3750C" w:rsidP="00047864">
            <w:pPr>
              <w:spacing w:after="0" w:line="240" w:lineRule="auto"/>
              <w:jc w:val="right"/>
              <w:rPr>
                <w:rFonts w:ascii="Arial" w:eastAsia="Times New Roman" w:hAnsi="Arial" w:cs="Arial"/>
                <w:color w:val="000000"/>
                <w:sz w:val="18"/>
                <w:szCs w:val="18"/>
                <w:lang w:eastAsia="sl-SI"/>
              </w:rPr>
            </w:pPr>
            <w:r w:rsidRPr="00D86C76">
              <w:rPr>
                <w:rFonts w:ascii="Arial" w:hAnsi="Arial" w:cs="Arial"/>
                <w:color w:val="000000"/>
                <w:sz w:val="18"/>
                <w:szCs w:val="18"/>
              </w:rPr>
              <w:t>278.620.678</w:t>
            </w:r>
          </w:p>
        </w:tc>
      </w:tr>
      <w:tr w:rsidR="00E3750C" w:rsidRPr="00D86C76" w14:paraId="05C195AC" w14:textId="77777777" w:rsidTr="00047864">
        <w:trPr>
          <w:trHeight w:val="300"/>
        </w:trPr>
        <w:tc>
          <w:tcPr>
            <w:tcW w:w="1642" w:type="pct"/>
            <w:vMerge/>
            <w:vAlign w:val="center"/>
            <w:hideMark/>
          </w:tcPr>
          <w:p w14:paraId="13045629" w14:textId="77777777" w:rsidR="00E3750C" w:rsidRPr="00D86C76" w:rsidRDefault="00E3750C" w:rsidP="00047864">
            <w:pPr>
              <w:spacing w:after="0" w:line="240" w:lineRule="auto"/>
              <w:rPr>
                <w:rFonts w:ascii="Arial" w:eastAsia="Times New Roman" w:hAnsi="Arial" w:cs="Arial"/>
                <w:color w:val="000000"/>
                <w:sz w:val="18"/>
                <w:szCs w:val="18"/>
                <w:lang w:eastAsia="sl-SI"/>
              </w:rPr>
            </w:pPr>
          </w:p>
        </w:tc>
        <w:tc>
          <w:tcPr>
            <w:tcW w:w="1642" w:type="pct"/>
            <w:shd w:val="clear" w:color="auto" w:fill="auto"/>
            <w:vAlign w:val="center"/>
            <w:hideMark/>
          </w:tcPr>
          <w:p w14:paraId="286A1147" w14:textId="77777777" w:rsidR="00E3750C" w:rsidRPr="00D86C76" w:rsidRDefault="00E3750C" w:rsidP="00047864">
            <w:pPr>
              <w:spacing w:after="0" w:line="240" w:lineRule="auto"/>
              <w:rPr>
                <w:rFonts w:ascii="Arial" w:eastAsia="Times New Roman" w:hAnsi="Arial" w:cs="Arial"/>
                <w:b/>
                <w:bCs/>
                <w:color w:val="000000"/>
                <w:sz w:val="18"/>
                <w:szCs w:val="18"/>
                <w:lang w:eastAsia="sl-SI"/>
              </w:rPr>
            </w:pPr>
            <w:r w:rsidRPr="00D86C76">
              <w:rPr>
                <w:rFonts w:ascii="Arial" w:eastAsia="Times New Roman" w:hAnsi="Arial" w:cs="Arial"/>
                <w:b/>
                <w:bCs/>
                <w:color w:val="000000"/>
                <w:sz w:val="18"/>
                <w:szCs w:val="18"/>
                <w:lang w:eastAsia="sl-SI"/>
              </w:rPr>
              <w:t>Skupaj</w:t>
            </w:r>
          </w:p>
        </w:tc>
        <w:tc>
          <w:tcPr>
            <w:tcW w:w="572" w:type="pct"/>
            <w:shd w:val="clear" w:color="auto" w:fill="auto"/>
            <w:vAlign w:val="center"/>
            <w:hideMark/>
          </w:tcPr>
          <w:p w14:paraId="082594FB" w14:textId="77777777" w:rsidR="00E3750C" w:rsidRPr="00D86C76" w:rsidRDefault="00E3750C" w:rsidP="00047864">
            <w:pPr>
              <w:spacing w:after="0" w:line="240" w:lineRule="auto"/>
              <w:jc w:val="right"/>
              <w:rPr>
                <w:rFonts w:ascii="Arial" w:eastAsia="Times New Roman" w:hAnsi="Arial" w:cs="Arial"/>
                <w:b/>
                <w:bCs/>
                <w:color w:val="000000"/>
                <w:sz w:val="18"/>
                <w:szCs w:val="18"/>
                <w:lang w:eastAsia="sl-SI"/>
              </w:rPr>
            </w:pPr>
            <w:r w:rsidRPr="00D86C76">
              <w:rPr>
                <w:rFonts w:ascii="Arial" w:hAnsi="Arial" w:cs="Arial"/>
                <w:b/>
                <w:bCs/>
                <w:color w:val="000000"/>
                <w:sz w:val="18"/>
                <w:szCs w:val="18"/>
              </w:rPr>
              <w:t>688</w:t>
            </w:r>
          </w:p>
        </w:tc>
        <w:tc>
          <w:tcPr>
            <w:tcW w:w="1144" w:type="pct"/>
            <w:shd w:val="clear" w:color="auto" w:fill="auto"/>
            <w:vAlign w:val="center"/>
            <w:hideMark/>
          </w:tcPr>
          <w:p w14:paraId="24D11FE7" w14:textId="77777777" w:rsidR="00E3750C" w:rsidRPr="00D86C76" w:rsidRDefault="00E3750C" w:rsidP="00047864">
            <w:pPr>
              <w:spacing w:after="0" w:line="240" w:lineRule="auto"/>
              <w:jc w:val="right"/>
              <w:rPr>
                <w:rFonts w:ascii="Arial" w:eastAsia="Times New Roman" w:hAnsi="Arial" w:cs="Arial"/>
                <w:b/>
                <w:bCs/>
                <w:color w:val="000000"/>
                <w:sz w:val="18"/>
                <w:szCs w:val="18"/>
                <w:lang w:eastAsia="sl-SI"/>
              </w:rPr>
            </w:pPr>
            <w:r w:rsidRPr="00D86C76">
              <w:rPr>
                <w:rFonts w:ascii="Arial" w:hAnsi="Arial" w:cs="Arial"/>
                <w:b/>
                <w:bCs/>
                <w:color w:val="000000"/>
                <w:sz w:val="18"/>
                <w:szCs w:val="18"/>
              </w:rPr>
              <w:t>318.403.868</w:t>
            </w:r>
          </w:p>
        </w:tc>
      </w:tr>
      <w:tr w:rsidR="00E3750C" w:rsidRPr="00D86C76" w14:paraId="0789C7DA" w14:textId="77777777" w:rsidTr="00047864">
        <w:trPr>
          <w:trHeight w:val="300"/>
        </w:trPr>
        <w:tc>
          <w:tcPr>
            <w:tcW w:w="1642" w:type="pct"/>
            <w:vMerge w:val="restart"/>
            <w:shd w:val="clear" w:color="auto" w:fill="auto"/>
            <w:vAlign w:val="center"/>
            <w:hideMark/>
          </w:tcPr>
          <w:p w14:paraId="6E97962A" w14:textId="77777777" w:rsidR="00E3750C" w:rsidRPr="00D86C76" w:rsidRDefault="00E3750C" w:rsidP="00047864">
            <w:pPr>
              <w:spacing w:after="0" w:line="240" w:lineRule="auto"/>
              <w:rPr>
                <w:rFonts w:ascii="Arial" w:eastAsia="Times New Roman" w:hAnsi="Arial" w:cs="Arial"/>
                <w:color w:val="000000"/>
                <w:sz w:val="18"/>
                <w:szCs w:val="18"/>
                <w:lang w:eastAsia="sl-SI"/>
              </w:rPr>
            </w:pPr>
            <w:r w:rsidRPr="00D86C76">
              <w:rPr>
                <w:rFonts w:ascii="Arial" w:eastAsia="Times New Roman" w:hAnsi="Arial" w:cs="Arial"/>
                <w:color w:val="000000"/>
                <w:sz w:val="18"/>
                <w:szCs w:val="18"/>
                <w:lang w:eastAsia="sl-SI"/>
              </w:rPr>
              <w:t>OBALNO-KRAŠKA</w:t>
            </w:r>
          </w:p>
        </w:tc>
        <w:tc>
          <w:tcPr>
            <w:tcW w:w="1642" w:type="pct"/>
            <w:shd w:val="clear" w:color="auto" w:fill="auto"/>
            <w:vAlign w:val="center"/>
            <w:hideMark/>
          </w:tcPr>
          <w:p w14:paraId="4868A951" w14:textId="77777777" w:rsidR="00E3750C" w:rsidRPr="00D86C76" w:rsidRDefault="00E3750C" w:rsidP="00047864">
            <w:pPr>
              <w:spacing w:after="0" w:line="240" w:lineRule="auto"/>
              <w:rPr>
                <w:rFonts w:ascii="Arial" w:eastAsia="Times New Roman" w:hAnsi="Arial" w:cs="Arial"/>
                <w:color w:val="000000"/>
                <w:sz w:val="18"/>
                <w:szCs w:val="18"/>
                <w:lang w:eastAsia="sl-SI"/>
              </w:rPr>
            </w:pPr>
            <w:r w:rsidRPr="00D86C76">
              <w:rPr>
                <w:rFonts w:ascii="Arial" w:eastAsia="Times New Roman" w:hAnsi="Arial" w:cs="Arial"/>
                <w:color w:val="000000"/>
                <w:sz w:val="18"/>
                <w:szCs w:val="18"/>
                <w:lang w:eastAsia="sl-SI"/>
              </w:rPr>
              <w:t>OBALNO-KRAŠKA</w:t>
            </w:r>
          </w:p>
        </w:tc>
        <w:tc>
          <w:tcPr>
            <w:tcW w:w="572" w:type="pct"/>
            <w:shd w:val="clear" w:color="auto" w:fill="auto"/>
            <w:vAlign w:val="center"/>
            <w:hideMark/>
          </w:tcPr>
          <w:p w14:paraId="72345D2B" w14:textId="77777777" w:rsidR="00E3750C" w:rsidRPr="00D86C76" w:rsidRDefault="00E3750C" w:rsidP="00047864">
            <w:pPr>
              <w:spacing w:after="0" w:line="240" w:lineRule="auto"/>
              <w:jc w:val="right"/>
              <w:rPr>
                <w:rFonts w:ascii="Arial" w:eastAsia="Times New Roman" w:hAnsi="Arial" w:cs="Arial"/>
                <w:color w:val="000000"/>
                <w:sz w:val="18"/>
                <w:szCs w:val="18"/>
                <w:lang w:eastAsia="sl-SI"/>
              </w:rPr>
            </w:pPr>
            <w:r w:rsidRPr="00D86C76">
              <w:rPr>
                <w:rFonts w:ascii="Arial" w:hAnsi="Arial" w:cs="Arial"/>
                <w:color w:val="000000"/>
                <w:sz w:val="18"/>
                <w:szCs w:val="18"/>
              </w:rPr>
              <w:t>169</w:t>
            </w:r>
          </w:p>
        </w:tc>
        <w:tc>
          <w:tcPr>
            <w:tcW w:w="1144" w:type="pct"/>
            <w:shd w:val="clear" w:color="auto" w:fill="auto"/>
            <w:vAlign w:val="center"/>
            <w:hideMark/>
          </w:tcPr>
          <w:p w14:paraId="5DE7252B" w14:textId="77777777" w:rsidR="00E3750C" w:rsidRPr="00D86C76" w:rsidRDefault="00E3750C" w:rsidP="00047864">
            <w:pPr>
              <w:spacing w:after="0" w:line="240" w:lineRule="auto"/>
              <w:jc w:val="right"/>
              <w:rPr>
                <w:rFonts w:ascii="Arial" w:eastAsia="Times New Roman" w:hAnsi="Arial" w:cs="Arial"/>
                <w:color w:val="000000"/>
                <w:sz w:val="18"/>
                <w:szCs w:val="18"/>
                <w:lang w:eastAsia="sl-SI"/>
              </w:rPr>
            </w:pPr>
            <w:r w:rsidRPr="00D86C76">
              <w:rPr>
                <w:rFonts w:ascii="Arial" w:hAnsi="Arial" w:cs="Arial"/>
                <w:color w:val="000000"/>
                <w:sz w:val="18"/>
                <w:szCs w:val="18"/>
              </w:rPr>
              <w:t>119.227.386</w:t>
            </w:r>
          </w:p>
        </w:tc>
      </w:tr>
      <w:tr w:rsidR="00E3750C" w:rsidRPr="00D86C76" w14:paraId="0931D008" w14:textId="77777777" w:rsidTr="00047864">
        <w:trPr>
          <w:trHeight w:val="300"/>
        </w:trPr>
        <w:tc>
          <w:tcPr>
            <w:tcW w:w="1642" w:type="pct"/>
            <w:vMerge/>
            <w:vAlign w:val="center"/>
            <w:hideMark/>
          </w:tcPr>
          <w:p w14:paraId="4BC4B8E2" w14:textId="77777777" w:rsidR="00E3750C" w:rsidRPr="00D86C76" w:rsidRDefault="00E3750C" w:rsidP="00047864">
            <w:pPr>
              <w:spacing w:after="0" w:line="240" w:lineRule="auto"/>
              <w:rPr>
                <w:rFonts w:ascii="Arial" w:eastAsia="Times New Roman" w:hAnsi="Arial" w:cs="Arial"/>
                <w:color w:val="000000"/>
                <w:sz w:val="18"/>
                <w:szCs w:val="18"/>
                <w:lang w:eastAsia="sl-SI"/>
              </w:rPr>
            </w:pPr>
          </w:p>
        </w:tc>
        <w:tc>
          <w:tcPr>
            <w:tcW w:w="1642" w:type="pct"/>
            <w:shd w:val="clear" w:color="auto" w:fill="auto"/>
            <w:vAlign w:val="center"/>
            <w:hideMark/>
          </w:tcPr>
          <w:p w14:paraId="54F582E7" w14:textId="77777777" w:rsidR="00E3750C" w:rsidRPr="00D86C76" w:rsidRDefault="00E3750C" w:rsidP="00047864">
            <w:pPr>
              <w:spacing w:after="0" w:line="240" w:lineRule="auto"/>
              <w:rPr>
                <w:rFonts w:ascii="Arial" w:eastAsia="Times New Roman" w:hAnsi="Arial" w:cs="Arial"/>
                <w:color w:val="000000"/>
                <w:sz w:val="18"/>
                <w:szCs w:val="18"/>
                <w:lang w:eastAsia="sl-SI"/>
              </w:rPr>
            </w:pPr>
            <w:r w:rsidRPr="00D86C76">
              <w:rPr>
                <w:rFonts w:ascii="Arial" w:eastAsia="Times New Roman" w:hAnsi="Arial" w:cs="Arial"/>
                <w:color w:val="000000"/>
                <w:sz w:val="18"/>
                <w:szCs w:val="18"/>
                <w:lang w:eastAsia="sl-SI"/>
              </w:rPr>
              <w:t>ostale regije</w:t>
            </w:r>
          </w:p>
        </w:tc>
        <w:tc>
          <w:tcPr>
            <w:tcW w:w="572" w:type="pct"/>
            <w:shd w:val="clear" w:color="auto" w:fill="auto"/>
            <w:vAlign w:val="center"/>
            <w:hideMark/>
          </w:tcPr>
          <w:p w14:paraId="69ABB8B9" w14:textId="77777777" w:rsidR="00E3750C" w:rsidRPr="00D86C76" w:rsidRDefault="00E3750C" w:rsidP="00047864">
            <w:pPr>
              <w:spacing w:after="0" w:line="240" w:lineRule="auto"/>
              <w:jc w:val="right"/>
              <w:rPr>
                <w:rFonts w:ascii="Arial" w:eastAsia="Times New Roman" w:hAnsi="Arial" w:cs="Arial"/>
                <w:color w:val="000000"/>
                <w:sz w:val="18"/>
                <w:szCs w:val="18"/>
                <w:lang w:eastAsia="sl-SI"/>
              </w:rPr>
            </w:pPr>
            <w:r w:rsidRPr="00D86C76">
              <w:rPr>
                <w:rFonts w:ascii="Arial" w:hAnsi="Arial" w:cs="Arial"/>
                <w:color w:val="000000"/>
                <w:sz w:val="18"/>
                <w:szCs w:val="18"/>
              </w:rPr>
              <w:t>951</w:t>
            </w:r>
          </w:p>
        </w:tc>
        <w:tc>
          <w:tcPr>
            <w:tcW w:w="1144" w:type="pct"/>
            <w:shd w:val="clear" w:color="auto" w:fill="auto"/>
            <w:vAlign w:val="center"/>
            <w:hideMark/>
          </w:tcPr>
          <w:p w14:paraId="7BDA851E" w14:textId="77777777" w:rsidR="00E3750C" w:rsidRPr="00D86C76" w:rsidRDefault="00E3750C" w:rsidP="00047864">
            <w:pPr>
              <w:spacing w:after="0" w:line="240" w:lineRule="auto"/>
              <w:jc w:val="right"/>
              <w:rPr>
                <w:rFonts w:ascii="Arial" w:eastAsia="Times New Roman" w:hAnsi="Arial" w:cs="Arial"/>
                <w:color w:val="000000"/>
                <w:sz w:val="18"/>
                <w:szCs w:val="18"/>
                <w:lang w:eastAsia="sl-SI"/>
              </w:rPr>
            </w:pPr>
            <w:r w:rsidRPr="00D86C76">
              <w:rPr>
                <w:rFonts w:ascii="Arial" w:hAnsi="Arial" w:cs="Arial"/>
                <w:color w:val="000000"/>
                <w:sz w:val="18"/>
                <w:szCs w:val="18"/>
              </w:rPr>
              <w:t>217.713.293</w:t>
            </w:r>
          </w:p>
        </w:tc>
      </w:tr>
      <w:tr w:rsidR="00E3750C" w:rsidRPr="00D86C76" w14:paraId="45D420E8" w14:textId="77777777" w:rsidTr="00047864">
        <w:trPr>
          <w:trHeight w:val="300"/>
        </w:trPr>
        <w:tc>
          <w:tcPr>
            <w:tcW w:w="1642" w:type="pct"/>
            <w:vMerge/>
            <w:vAlign w:val="center"/>
            <w:hideMark/>
          </w:tcPr>
          <w:p w14:paraId="57066765" w14:textId="77777777" w:rsidR="00E3750C" w:rsidRPr="00D86C76" w:rsidRDefault="00E3750C" w:rsidP="00047864">
            <w:pPr>
              <w:spacing w:after="0" w:line="240" w:lineRule="auto"/>
              <w:rPr>
                <w:rFonts w:ascii="Arial" w:eastAsia="Times New Roman" w:hAnsi="Arial" w:cs="Arial"/>
                <w:color w:val="000000"/>
                <w:sz w:val="18"/>
                <w:szCs w:val="18"/>
                <w:lang w:eastAsia="sl-SI"/>
              </w:rPr>
            </w:pPr>
          </w:p>
        </w:tc>
        <w:tc>
          <w:tcPr>
            <w:tcW w:w="1642" w:type="pct"/>
            <w:shd w:val="clear" w:color="auto" w:fill="auto"/>
            <w:vAlign w:val="center"/>
            <w:hideMark/>
          </w:tcPr>
          <w:p w14:paraId="2BB97924" w14:textId="77777777" w:rsidR="00E3750C" w:rsidRPr="00D86C76" w:rsidRDefault="00E3750C" w:rsidP="00047864">
            <w:pPr>
              <w:spacing w:after="0" w:line="240" w:lineRule="auto"/>
              <w:rPr>
                <w:rFonts w:ascii="Arial" w:eastAsia="Times New Roman" w:hAnsi="Arial" w:cs="Arial"/>
                <w:b/>
                <w:bCs/>
                <w:color w:val="000000"/>
                <w:sz w:val="18"/>
                <w:szCs w:val="18"/>
                <w:lang w:eastAsia="sl-SI"/>
              </w:rPr>
            </w:pPr>
            <w:r w:rsidRPr="00D86C76">
              <w:rPr>
                <w:rFonts w:ascii="Arial" w:eastAsia="Times New Roman" w:hAnsi="Arial" w:cs="Arial"/>
                <w:b/>
                <w:bCs/>
                <w:color w:val="000000"/>
                <w:sz w:val="18"/>
                <w:szCs w:val="18"/>
                <w:lang w:eastAsia="sl-SI"/>
              </w:rPr>
              <w:t>Skupaj</w:t>
            </w:r>
          </w:p>
        </w:tc>
        <w:tc>
          <w:tcPr>
            <w:tcW w:w="572" w:type="pct"/>
            <w:shd w:val="clear" w:color="auto" w:fill="auto"/>
            <w:vAlign w:val="center"/>
            <w:hideMark/>
          </w:tcPr>
          <w:p w14:paraId="05691FB1" w14:textId="77777777" w:rsidR="00E3750C" w:rsidRPr="00D86C76" w:rsidRDefault="00E3750C" w:rsidP="00047864">
            <w:pPr>
              <w:spacing w:after="0" w:line="240" w:lineRule="auto"/>
              <w:jc w:val="right"/>
              <w:rPr>
                <w:rFonts w:ascii="Arial" w:eastAsia="Times New Roman" w:hAnsi="Arial" w:cs="Arial"/>
                <w:b/>
                <w:bCs/>
                <w:color w:val="000000"/>
                <w:sz w:val="18"/>
                <w:szCs w:val="18"/>
                <w:lang w:eastAsia="sl-SI"/>
              </w:rPr>
            </w:pPr>
            <w:r w:rsidRPr="00D86C76">
              <w:rPr>
                <w:rFonts w:ascii="Arial" w:hAnsi="Arial" w:cs="Arial"/>
                <w:b/>
                <w:bCs/>
                <w:color w:val="000000"/>
                <w:sz w:val="18"/>
                <w:szCs w:val="18"/>
              </w:rPr>
              <w:t>1.120</w:t>
            </w:r>
          </w:p>
        </w:tc>
        <w:tc>
          <w:tcPr>
            <w:tcW w:w="1144" w:type="pct"/>
            <w:shd w:val="clear" w:color="auto" w:fill="auto"/>
            <w:vAlign w:val="center"/>
            <w:hideMark/>
          </w:tcPr>
          <w:p w14:paraId="2CF172F6" w14:textId="77777777" w:rsidR="00E3750C" w:rsidRPr="00D86C76" w:rsidRDefault="00E3750C" w:rsidP="00047864">
            <w:pPr>
              <w:spacing w:after="0" w:line="240" w:lineRule="auto"/>
              <w:jc w:val="right"/>
              <w:rPr>
                <w:rFonts w:ascii="Arial" w:eastAsia="Times New Roman" w:hAnsi="Arial" w:cs="Arial"/>
                <w:b/>
                <w:bCs/>
                <w:color w:val="000000"/>
                <w:sz w:val="18"/>
                <w:szCs w:val="18"/>
                <w:lang w:eastAsia="sl-SI"/>
              </w:rPr>
            </w:pPr>
            <w:r w:rsidRPr="00D86C76">
              <w:rPr>
                <w:rFonts w:ascii="Arial" w:hAnsi="Arial" w:cs="Arial"/>
                <w:b/>
                <w:bCs/>
                <w:color w:val="000000"/>
                <w:sz w:val="18"/>
                <w:szCs w:val="18"/>
              </w:rPr>
              <w:t>336.940.679</w:t>
            </w:r>
          </w:p>
        </w:tc>
      </w:tr>
      <w:tr w:rsidR="00E3750C" w:rsidRPr="00D86C76" w14:paraId="1ED4FD57" w14:textId="77777777" w:rsidTr="00047864">
        <w:trPr>
          <w:trHeight w:val="300"/>
        </w:trPr>
        <w:tc>
          <w:tcPr>
            <w:tcW w:w="1642" w:type="pct"/>
            <w:vMerge w:val="restart"/>
            <w:shd w:val="clear" w:color="auto" w:fill="auto"/>
            <w:vAlign w:val="center"/>
            <w:hideMark/>
          </w:tcPr>
          <w:p w14:paraId="75FF4071" w14:textId="77777777" w:rsidR="00E3750C" w:rsidRPr="00D86C76" w:rsidRDefault="00E3750C" w:rsidP="00047864">
            <w:pPr>
              <w:spacing w:after="0" w:line="240" w:lineRule="auto"/>
              <w:rPr>
                <w:rFonts w:ascii="Arial" w:eastAsia="Times New Roman" w:hAnsi="Arial" w:cs="Arial"/>
                <w:color w:val="000000"/>
                <w:sz w:val="18"/>
                <w:szCs w:val="18"/>
                <w:lang w:eastAsia="sl-SI"/>
              </w:rPr>
            </w:pPr>
            <w:r w:rsidRPr="00D86C76">
              <w:rPr>
                <w:rFonts w:ascii="Arial" w:eastAsia="Times New Roman" w:hAnsi="Arial" w:cs="Arial"/>
                <w:color w:val="000000"/>
                <w:sz w:val="18"/>
                <w:szCs w:val="18"/>
                <w:lang w:eastAsia="sl-SI"/>
              </w:rPr>
              <w:t>OSREDNJESLOVENSKA</w:t>
            </w:r>
          </w:p>
        </w:tc>
        <w:tc>
          <w:tcPr>
            <w:tcW w:w="1642" w:type="pct"/>
            <w:shd w:val="clear" w:color="auto" w:fill="auto"/>
            <w:vAlign w:val="center"/>
            <w:hideMark/>
          </w:tcPr>
          <w:p w14:paraId="5C5818EC" w14:textId="77777777" w:rsidR="00E3750C" w:rsidRPr="00D86C76" w:rsidRDefault="00E3750C" w:rsidP="00047864">
            <w:pPr>
              <w:spacing w:after="0" w:line="240" w:lineRule="auto"/>
              <w:rPr>
                <w:rFonts w:ascii="Arial" w:eastAsia="Times New Roman" w:hAnsi="Arial" w:cs="Arial"/>
                <w:color w:val="000000"/>
                <w:sz w:val="18"/>
                <w:szCs w:val="18"/>
                <w:lang w:eastAsia="sl-SI"/>
              </w:rPr>
            </w:pPr>
            <w:r w:rsidRPr="00D86C76">
              <w:rPr>
                <w:rFonts w:ascii="Arial" w:eastAsia="Times New Roman" w:hAnsi="Arial" w:cs="Arial"/>
                <w:color w:val="000000"/>
                <w:sz w:val="18"/>
                <w:szCs w:val="18"/>
                <w:lang w:eastAsia="sl-SI"/>
              </w:rPr>
              <w:t>OSREDNJESLOVENSKA</w:t>
            </w:r>
          </w:p>
        </w:tc>
        <w:tc>
          <w:tcPr>
            <w:tcW w:w="572" w:type="pct"/>
            <w:shd w:val="clear" w:color="auto" w:fill="auto"/>
            <w:vAlign w:val="center"/>
            <w:hideMark/>
          </w:tcPr>
          <w:p w14:paraId="3AC108E6" w14:textId="77777777" w:rsidR="00E3750C" w:rsidRPr="00D86C76" w:rsidRDefault="00E3750C" w:rsidP="00047864">
            <w:pPr>
              <w:spacing w:after="0" w:line="240" w:lineRule="auto"/>
              <w:jc w:val="right"/>
              <w:rPr>
                <w:rFonts w:ascii="Arial" w:eastAsia="Times New Roman" w:hAnsi="Arial" w:cs="Arial"/>
                <w:color w:val="000000"/>
                <w:sz w:val="18"/>
                <w:szCs w:val="18"/>
                <w:lang w:eastAsia="sl-SI"/>
              </w:rPr>
            </w:pPr>
            <w:r w:rsidRPr="00D86C76">
              <w:rPr>
                <w:rFonts w:ascii="Arial" w:hAnsi="Arial" w:cs="Arial"/>
                <w:color w:val="000000"/>
                <w:sz w:val="18"/>
                <w:szCs w:val="18"/>
              </w:rPr>
              <w:t>4.394</w:t>
            </w:r>
          </w:p>
        </w:tc>
        <w:tc>
          <w:tcPr>
            <w:tcW w:w="1144" w:type="pct"/>
            <w:shd w:val="clear" w:color="auto" w:fill="auto"/>
            <w:vAlign w:val="center"/>
            <w:hideMark/>
          </w:tcPr>
          <w:p w14:paraId="1A7F405D" w14:textId="77777777" w:rsidR="00E3750C" w:rsidRPr="00D86C76" w:rsidRDefault="00E3750C" w:rsidP="00047864">
            <w:pPr>
              <w:spacing w:after="0" w:line="240" w:lineRule="auto"/>
              <w:jc w:val="right"/>
              <w:rPr>
                <w:rFonts w:ascii="Arial" w:eastAsia="Times New Roman" w:hAnsi="Arial" w:cs="Arial"/>
                <w:color w:val="000000"/>
                <w:sz w:val="18"/>
                <w:szCs w:val="18"/>
                <w:lang w:eastAsia="sl-SI"/>
              </w:rPr>
            </w:pPr>
            <w:r w:rsidRPr="00D86C76">
              <w:rPr>
                <w:rFonts w:ascii="Arial" w:hAnsi="Arial" w:cs="Arial"/>
                <w:color w:val="000000"/>
                <w:sz w:val="18"/>
                <w:szCs w:val="18"/>
              </w:rPr>
              <w:t>1.293.824.283</w:t>
            </w:r>
          </w:p>
        </w:tc>
      </w:tr>
      <w:tr w:rsidR="00E3750C" w:rsidRPr="00D86C76" w14:paraId="132DCB3D" w14:textId="77777777" w:rsidTr="00047864">
        <w:trPr>
          <w:trHeight w:val="300"/>
        </w:trPr>
        <w:tc>
          <w:tcPr>
            <w:tcW w:w="1642" w:type="pct"/>
            <w:vMerge/>
            <w:vAlign w:val="center"/>
            <w:hideMark/>
          </w:tcPr>
          <w:p w14:paraId="6C07A601" w14:textId="77777777" w:rsidR="00E3750C" w:rsidRPr="00D86C76" w:rsidRDefault="00E3750C" w:rsidP="00047864">
            <w:pPr>
              <w:spacing w:after="0" w:line="240" w:lineRule="auto"/>
              <w:rPr>
                <w:rFonts w:ascii="Arial" w:eastAsia="Times New Roman" w:hAnsi="Arial" w:cs="Arial"/>
                <w:color w:val="000000"/>
                <w:sz w:val="18"/>
                <w:szCs w:val="18"/>
                <w:lang w:eastAsia="sl-SI"/>
              </w:rPr>
            </w:pPr>
          </w:p>
        </w:tc>
        <w:tc>
          <w:tcPr>
            <w:tcW w:w="1642" w:type="pct"/>
            <w:shd w:val="clear" w:color="auto" w:fill="auto"/>
            <w:vAlign w:val="center"/>
            <w:hideMark/>
          </w:tcPr>
          <w:p w14:paraId="7C78656D" w14:textId="77777777" w:rsidR="00E3750C" w:rsidRPr="00D86C76" w:rsidRDefault="00E3750C" w:rsidP="00047864">
            <w:pPr>
              <w:spacing w:after="0" w:line="240" w:lineRule="auto"/>
              <w:rPr>
                <w:rFonts w:ascii="Arial" w:eastAsia="Times New Roman" w:hAnsi="Arial" w:cs="Arial"/>
                <w:color w:val="000000"/>
                <w:sz w:val="18"/>
                <w:szCs w:val="18"/>
                <w:lang w:eastAsia="sl-SI"/>
              </w:rPr>
            </w:pPr>
            <w:r w:rsidRPr="00D86C76">
              <w:rPr>
                <w:rFonts w:ascii="Arial" w:eastAsia="Times New Roman" w:hAnsi="Arial" w:cs="Arial"/>
                <w:color w:val="000000"/>
                <w:sz w:val="18"/>
                <w:szCs w:val="18"/>
                <w:lang w:eastAsia="sl-SI"/>
              </w:rPr>
              <w:t>ostale regije</w:t>
            </w:r>
          </w:p>
        </w:tc>
        <w:tc>
          <w:tcPr>
            <w:tcW w:w="572" w:type="pct"/>
            <w:shd w:val="clear" w:color="auto" w:fill="auto"/>
            <w:vAlign w:val="center"/>
            <w:hideMark/>
          </w:tcPr>
          <w:p w14:paraId="31D80A8C" w14:textId="77777777" w:rsidR="00E3750C" w:rsidRPr="00D86C76" w:rsidRDefault="00E3750C" w:rsidP="00047864">
            <w:pPr>
              <w:spacing w:after="0" w:line="240" w:lineRule="auto"/>
              <w:jc w:val="right"/>
              <w:rPr>
                <w:rFonts w:ascii="Arial" w:eastAsia="Times New Roman" w:hAnsi="Arial" w:cs="Arial"/>
                <w:color w:val="000000"/>
                <w:sz w:val="18"/>
                <w:szCs w:val="18"/>
                <w:lang w:eastAsia="sl-SI"/>
              </w:rPr>
            </w:pPr>
            <w:r w:rsidRPr="00D86C76">
              <w:rPr>
                <w:rFonts w:ascii="Arial" w:hAnsi="Arial" w:cs="Arial"/>
                <w:color w:val="000000"/>
                <w:sz w:val="18"/>
                <w:szCs w:val="18"/>
              </w:rPr>
              <w:t>2.363</w:t>
            </w:r>
          </w:p>
        </w:tc>
        <w:tc>
          <w:tcPr>
            <w:tcW w:w="1144" w:type="pct"/>
            <w:shd w:val="clear" w:color="auto" w:fill="auto"/>
            <w:vAlign w:val="center"/>
            <w:hideMark/>
          </w:tcPr>
          <w:p w14:paraId="481971C1" w14:textId="77777777" w:rsidR="00E3750C" w:rsidRPr="00D86C76" w:rsidRDefault="00E3750C" w:rsidP="00047864">
            <w:pPr>
              <w:spacing w:after="0" w:line="240" w:lineRule="auto"/>
              <w:jc w:val="right"/>
              <w:rPr>
                <w:rFonts w:ascii="Arial" w:eastAsia="Times New Roman" w:hAnsi="Arial" w:cs="Arial"/>
                <w:color w:val="000000"/>
                <w:sz w:val="18"/>
                <w:szCs w:val="18"/>
                <w:lang w:eastAsia="sl-SI"/>
              </w:rPr>
            </w:pPr>
            <w:r w:rsidRPr="00D86C76">
              <w:rPr>
                <w:rFonts w:ascii="Arial" w:hAnsi="Arial" w:cs="Arial"/>
                <w:color w:val="000000"/>
                <w:sz w:val="18"/>
                <w:szCs w:val="18"/>
              </w:rPr>
              <w:t>1.448.360.789</w:t>
            </w:r>
          </w:p>
        </w:tc>
      </w:tr>
      <w:tr w:rsidR="00E3750C" w:rsidRPr="00D86C76" w14:paraId="7A669C9B" w14:textId="77777777" w:rsidTr="00047864">
        <w:trPr>
          <w:trHeight w:val="300"/>
        </w:trPr>
        <w:tc>
          <w:tcPr>
            <w:tcW w:w="1642" w:type="pct"/>
            <w:vMerge/>
            <w:vAlign w:val="center"/>
            <w:hideMark/>
          </w:tcPr>
          <w:p w14:paraId="5EDA99A2" w14:textId="77777777" w:rsidR="00E3750C" w:rsidRPr="00D86C76" w:rsidRDefault="00E3750C" w:rsidP="00047864">
            <w:pPr>
              <w:spacing w:after="0" w:line="240" w:lineRule="auto"/>
              <w:rPr>
                <w:rFonts w:ascii="Arial" w:eastAsia="Times New Roman" w:hAnsi="Arial" w:cs="Arial"/>
                <w:color w:val="000000"/>
                <w:sz w:val="18"/>
                <w:szCs w:val="18"/>
                <w:lang w:eastAsia="sl-SI"/>
              </w:rPr>
            </w:pPr>
          </w:p>
        </w:tc>
        <w:tc>
          <w:tcPr>
            <w:tcW w:w="1642" w:type="pct"/>
            <w:shd w:val="clear" w:color="auto" w:fill="auto"/>
            <w:vAlign w:val="center"/>
            <w:hideMark/>
          </w:tcPr>
          <w:p w14:paraId="0344B7B8" w14:textId="77777777" w:rsidR="00E3750C" w:rsidRPr="00D86C76" w:rsidRDefault="00E3750C" w:rsidP="00047864">
            <w:pPr>
              <w:spacing w:after="0" w:line="240" w:lineRule="auto"/>
              <w:rPr>
                <w:rFonts w:ascii="Arial" w:eastAsia="Times New Roman" w:hAnsi="Arial" w:cs="Arial"/>
                <w:b/>
                <w:bCs/>
                <w:color w:val="000000"/>
                <w:sz w:val="18"/>
                <w:szCs w:val="18"/>
                <w:lang w:eastAsia="sl-SI"/>
              </w:rPr>
            </w:pPr>
            <w:r w:rsidRPr="00D86C76">
              <w:rPr>
                <w:rFonts w:ascii="Arial" w:eastAsia="Times New Roman" w:hAnsi="Arial" w:cs="Arial"/>
                <w:b/>
                <w:bCs/>
                <w:color w:val="000000"/>
                <w:sz w:val="18"/>
                <w:szCs w:val="18"/>
                <w:lang w:eastAsia="sl-SI"/>
              </w:rPr>
              <w:t>Skupaj</w:t>
            </w:r>
          </w:p>
        </w:tc>
        <w:tc>
          <w:tcPr>
            <w:tcW w:w="572" w:type="pct"/>
            <w:shd w:val="clear" w:color="auto" w:fill="auto"/>
            <w:vAlign w:val="center"/>
            <w:hideMark/>
          </w:tcPr>
          <w:p w14:paraId="7E48B57A" w14:textId="77777777" w:rsidR="00E3750C" w:rsidRPr="00D86C76" w:rsidRDefault="00E3750C" w:rsidP="00047864">
            <w:pPr>
              <w:spacing w:after="0" w:line="240" w:lineRule="auto"/>
              <w:jc w:val="right"/>
              <w:rPr>
                <w:rFonts w:ascii="Arial" w:eastAsia="Times New Roman" w:hAnsi="Arial" w:cs="Arial"/>
                <w:b/>
                <w:bCs/>
                <w:color w:val="000000"/>
                <w:sz w:val="18"/>
                <w:szCs w:val="18"/>
                <w:lang w:eastAsia="sl-SI"/>
              </w:rPr>
            </w:pPr>
            <w:r w:rsidRPr="00D86C76">
              <w:rPr>
                <w:rFonts w:ascii="Arial" w:hAnsi="Arial" w:cs="Arial"/>
                <w:b/>
                <w:bCs/>
                <w:color w:val="000000"/>
                <w:sz w:val="18"/>
                <w:szCs w:val="18"/>
              </w:rPr>
              <w:t>6.757</w:t>
            </w:r>
          </w:p>
        </w:tc>
        <w:tc>
          <w:tcPr>
            <w:tcW w:w="1144" w:type="pct"/>
            <w:shd w:val="clear" w:color="auto" w:fill="auto"/>
            <w:vAlign w:val="center"/>
            <w:hideMark/>
          </w:tcPr>
          <w:p w14:paraId="46670CE6" w14:textId="77777777" w:rsidR="00E3750C" w:rsidRPr="00D86C76" w:rsidRDefault="00E3750C" w:rsidP="00047864">
            <w:pPr>
              <w:spacing w:after="0" w:line="240" w:lineRule="auto"/>
              <w:jc w:val="right"/>
              <w:rPr>
                <w:rFonts w:ascii="Arial" w:eastAsia="Times New Roman" w:hAnsi="Arial" w:cs="Arial"/>
                <w:b/>
                <w:bCs/>
                <w:color w:val="000000"/>
                <w:sz w:val="18"/>
                <w:szCs w:val="18"/>
                <w:lang w:eastAsia="sl-SI"/>
              </w:rPr>
            </w:pPr>
            <w:r w:rsidRPr="00D86C76">
              <w:rPr>
                <w:rFonts w:ascii="Arial" w:hAnsi="Arial" w:cs="Arial"/>
                <w:b/>
                <w:bCs/>
                <w:color w:val="000000"/>
                <w:sz w:val="18"/>
                <w:szCs w:val="18"/>
              </w:rPr>
              <w:t>2.742.185.072</w:t>
            </w:r>
          </w:p>
        </w:tc>
      </w:tr>
      <w:tr w:rsidR="00E3750C" w:rsidRPr="00D86C76" w14:paraId="4284BCDF" w14:textId="77777777" w:rsidTr="00047864">
        <w:trPr>
          <w:trHeight w:val="300"/>
        </w:trPr>
        <w:tc>
          <w:tcPr>
            <w:tcW w:w="1642" w:type="pct"/>
            <w:vMerge w:val="restart"/>
            <w:shd w:val="clear" w:color="auto" w:fill="auto"/>
            <w:vAlign w:val="center"/>
            <w:hideMark/>
          </w:tcPr>
          <w:p w14:paraId="4D92EA55" w14:textId="77777777" w:rsidR="00E3750C" w:rsidRPr="00D86C76" w:rsidRDefault="00E3750C" w:rsidP="00047864">
            <w:pPr>
              <w:spacing w:after="0" w:line="240" w:lineRule="auto"/>
              <w:rPr>
                <w:rFonts w:ascii="Arial" w:eastAsia="Times New Roman" w:hAnsi="Arial" w:cs="Arial"/>
                <w:color w:val="000000"/>
                <w:sz w:val="18"/>
                <w:szCs w:val="18"/>
                <w:lang w:eastAsia="sl-SI"/>
              </w:rPr>
            </w:pPr>
            <w:r w:rsidRPr="00D86C76">
              <w:rPr>
                <w:rFonts w:ascii="Arial" w:eastAsia="Times New Roman" w:hAnsi="Arial" w:cs="Arial"/>
                <w:color w:val="000000"/>
                <w:sz w:val="18"/>
                <w:szCs w:val="18"/>
                <w:lang w:eastAsia="sl-SI"/>
              </w:rPr>
              <w:t>PODRAVSKA</w:t>
            </w:r>
          </w:p>
        </w:tc>
        <w:tc>
          <w:tcPr>
            <w:tcW w:w="1642" w:type="pct"/>
            <w:shd w:val="clear" w:color="auto" w:fill="auto"/>
            <w:vAlign w:val="center"/>
            <w:hideMark/>
          </w:tcPr>
          <w:p w14:paraId="18349AD2" w14:textId="77777777" w:rsidR="00E3750C" w:rsidRPr="00D86C76" w:rsidRDefault="00E3750C" w:rsidP="00047864">
            <w:pPr>
              <w:spacing w:after="0" w:line="240" w:lineRule="auto"/>
              <w:rPr>
                <w:rFonts w:ascii="Arial" w:eastAsia="Times New Roman" w:hAnsi="Arial" w:cs="Arial"/>
                <w:color w:val="000000"/>
                <w:sz w:val="18"/>
                <w:szCs w:val="18"/>
                <w:lang w:eastAsia="sl-SI"/>
              </w:rPr>
            </w:pPr>
            <w:r w:rsidRPr="00D86C76">
              <w:rPr>
                <w:rFonts w:ascii="Arial" w:eastAsia="Times New Roman" w:hAnsi="Arial" w:cs="Arial"/>
                <w:color w:val="000000"/>
                <w:sz w:val="18"/>
                <w:szCs w:val="18"/>
                <w:lang w:eastAsia="sl-SI"/>
              </w:rPr>
              <w:t>PODRAVSKA</w:t>
            </w:r>
          </w:p>
        </w:tc>
        <w:tc>
          <w:tcPr>
            <w:tcW w:w="572" w:type="pct"/>
            <w:shd w:val="clear" w:color="auto" w:fill="auto"/>
            <w:vAlign w:val="center"/>
            <w:hideMark/>
          </w:tcPr>
          <w:p w14:paraId="352418E5" w14:textId="77777777" w:rsidR="00E3750C" w:rsidRPr="00D86C76" w:rsidRDefault="00E3750C" w:rsidP="00047864">
            <w:pPr>
              <w:spacing w:after="0" w:line="240" w:lineRule="auto"/>
              <w:jc w:val="right"/>
              <w:rPr>
                <w:rFonts w:ascii="Arial" w:eastAsia="Times New Roman" w:hAnsi="Arial" w:cs="Arial"/>
                <w:color w:val="000000"/>
                <w:sz w:val="18"/>
                <w:szCs w:val="18"/>
                <w:lang w:eastAsia="sl-SI"/>
              </w:rPr>
            </w:pPr>
            <w:r w:rsidRPr="00D86C76">
              <w:rPr>
                <w:rFonts w:ascii="Arial" w:hAnsi="Arial" w:cs="Arial"/>
                <w:color w:val="000000"/>
                <w:sz w:val="18"/>
                <w:szCs w:val="18"/>
              </w:rPr>
              <w:t>1.481</w:t>
            </w:r>
          </w:p>
        </w:tc>
        <w:tc>
          <w:tcPr>
            <w:tcW w:w="1144" w:type="pct"/>
            <w:shd w:val="clear" w:color="auto" w:fill="auto"/>
            <w:vAlign w:val="center"/>
            <w:hideMark/>
          </w:tcPr>
          <w:p w14:paraId="44DBE248" w14:textId="77777777" w:rsidR="00E3750C" w:rsidRPr="00D86C76" w:rsidRDefault="00E3750C" w:rsidP="00047864">
            <w:pPr>
              <w:spacing w:after="0" w:line="240" w:lineRule="auto"/>
              <w:jc w:val="right"/>
              <w:rPr>
                <w:rFonts w:ascii="Arial" w:eastAsia="Times New Roman" w:hAnsi="Arial" w:cs="Arial"/>
                <w:color w:val="000000"/>
                <w:sz w:val="18"/>
                <w:szCs w:val="18"/>
                <w:lang w:eastAsia="sl-SI"/>
              </w:rPr>
            </w:pPr>
            <w:r w:rsidRPr="00D86C76">
              <w:rPr>
                <w:rFonts w:ascii="Arial" w:hAnsi="Arial" w:cs="Arial"/>
                <w:color w:val="000000"/>
                <w:sz w:val="18"/>
                <w:szCs w:val="18"/>
              </w:rPr>
              <w:t>358.311.707</w:t>
            </w:r>
          </w:p>
        </w:tc>
      </w:tr>
      <w:tr w:rsidR="00E3750C" w:rsidRPr="00D86C76" w14:paraId="6EA80643" w14:textId="77777777" w:rsidTr="00047864">
        <w:trPr>
          <w:trHeight w:val="300"/>
        </w:trPr>
        <w:tc>
          <w:tcPr>
            <w:tcW w:w="1642" w:type="pct"/>
            <w:vMerge/>
            <w:vAlign w:val="center"/>
            <w:hideMark/>
          </w:tcPr>
          <w:p w14:paraId="794E933F" w14:textId="77777777" w:rsidR="00E3750C" w:rsidRPr="00D86C76" w:rsidRDefault="00E3750C" w:rsidP="00047864">
            <w:pPr>
              <w:spacing w:after="0" w:line="240" w:lineRule="auto"/>
              <w:rPr>
                <w:rFonts w:ascii="Arial" w:eastAsia="Times New Roman" w:hAnsi="Arial" w:cs="Arial"/>
                <w:color w:val="000000"/>
                <w:sz w:val="18"/>
                <w:szCs w:val="18"/>
                <w:lang w:eastAsia="sl-SI"/>
              </w:rPr>
            </w:pPr>
          </w:p>
        </w:tc>
        <w:tc>
          <w:tcPr>
            <w:tcW w:w="1642" w:type="pct"/>
            <w:shd w:val="clear" w:color="auto" w:fill="auto"/>
            <w:vAlign w:val="center"/>
            <w:hideMark/>
          </w:tcPr>
          <w:p w14:paraId="5673C8BA" w14:textId="77777777" w:rsidR="00E3750C" w:rsidRPr="00D86C76" w:rsidRDefault="00E3750C" w:rsidP="00047864">
            <w:pPr>
              <w:spacing w:after="0" w:line="240" w:lineRule="auto"/>
              <w:rPr>
                <w:rFonts w:ascii="Arial" w:eastAsia="Times New Roman" w:hAnsi="Arial" w:cs="Arial"/>
                <w:color w:val="000000"/>
                <w:sz w:val="18"/>
                <w:szCs w:val="18"/>
                <w:lang w:eastAsia="sl-SI"/>
              </w:rPr>
            </w:pPr>
            <w:r w:rsidRPr="00D86C76">
              <w:rPr>
                <w:rFonts w:ascii="Arial" w:eastAsia="Times New Roman" w:hAnsi="Arial" w:cs="Arial"/>
                <w:color w:val="000000"/>
                <w:sz w:val="18"/>
                <w:szCs w:val="18"/>
                <w:lang w:eastAsia="sl-SI"/>
              </w:rPr>
              <w:t>ostale regije</w:t>
            </w:r>
          </w:p>
        </w:tc>
        <w:tc>
          <w:tcPr>
            <w:tcW w:w="572" w:type="pct"/>
            <w:shd w:val="clear" w:color="auto" w:fill="auto"/>
            <w:vAlign w:val="center"/>
            <w:hideMark/>
          </w:tcPr>
          <w:p w14:paraId="32E876B1" w14:textId="77777777" w:rsidR="00E3750C" w:rsidRPr="00D86C76" w:rsidRDefault="00E3750C" w:rsidP="00047864">
            <w:pPr>
              <w:spacing w:after="0" w:line="240" w:lineRule="auto"/>
              <w:jc w:val="right"/>
              <w:rPr>
                <w:rFonts w:ascii="Arial" w:eastAsia="Times New Roman" w:hAnsi="Arial" w:cs="Arial"/>
                <w:color w:val="000000"/>
                <w:sz w:val="18"/>
                <w:szCs w:val="18"/>
                <w:lang w:eastAsia="sl-SI"/>
              </w:rPr>
            </w:pPr>
            <w:r w:rsidRPr="00D86C76">
              <w:rPr>
                <w:rFonts w:ascii="Arial" w:hAnsi="Arial" w:cs="Arial"/>
                <w:color w:val="000000"/>
                <w:sz w:val="18"/>
                <w:szCs w:val="18"/>
              </w:rPr>
              <w:t>620</w:t>
            </w:r>
          </w:p>
        </w:tc>
        <w:tc>
          <w:tcPr>
            <w:tcW w:w="1144" w:type="pct"/>
            <w:shd w:val="clear" w:color="auto" w:fill="auto"/>
            <w:vAlign w:val="center"/>
            <w:hideMark/>
          </w:tcPr>
          <w:p w14:paraId="1B1E2617" w14:textId="77777777" w:rsidR="00E3750C" w:rsidRPr="00D86C76" w:rsidRDefault="00E3750C" w:rsidP="00047864">
            <w:pPr>
              <w:spacing w:after="0" w:line="240" w:lineRule="auto"/>
              <w:jc w:val="right"/>
              <w:rPr>
                <w:rFonts w:ascii="Arial" w:eastAsia="Times New Roman" w:hAnsi="Arial" w:cs="Arial"/>
                <w:color w:val="000000"/>
                <w:sz w:val="18"/>
                <w:szCs w:val="18"/>
                <w:lang w:eastAsia="sl-SI"/>
              </w:rPr>
            </w:pPr>
            <w:r w:rsidRPr="00D86C76">
              <w:rPr>
                <w:rFonts w:ascii="Arial" w:hAnsi="Arial" w:cs="Arial"/>
                <w:color w:val="000000"/>
                <w:sz w:val="18"/>
                <w:szCs w:val="18"/>
              </w:rPr>
              <w:t>132.044.568</w:t>
            </w:r>
          </w:p>
        </w:tc>
      </w:tr>
      <w:tr w:rsidR="00E3750C" w:rsidRPr="00D86C76" w14:paraId="07F3682F" w14:textId="77777777" w:rsidTr="00047864">
        <w:trPr>
          <w:trHeight w:val="300"/>
        </w:trPr>
        <w:tc>
          <w:tcPr>
            <w:tcW w:w="1642" w:type="pct"/>
            <w:vMerge/>
            <w:vAlign w:val="center"/>
            <w:hideMark/>
          </w:tcPr>
          <w:p w14:paraId="3F05243D" w14:textId="77777777" w:rsidR="00E3750C" w:rsidRPr="00D86C76" w:rsidRDefault="00E3750C" w:rsidP="00047864">
            <w:pPr>
              <w:spacing w:after="0" w:line="240" w:lineRule="auto"/>
              <w:rPr>
                <w:rFonts w:ascii="Arial" w:eastAsia="Times New Roman" w:hAnsi="Arial" w:cs="Arial"/>
                <w:color w:val="000000"/>
                <w:sz w:val="18"/>
                <w:szCs w:val="18"/>
                <w:lang w:eastAsia="sl-SI"/>
              </w:rPr>
            </w:pPr>
          </w:p>
        </w:tc>
        <w:tc>
          <w:tcPr>
            <w:tcW w:w="1642" w:type="pct"/>
            <w:shd w:val="clear" w:color="auto" w:fill="auto"/>
            <w:vAlign w:val="center"/>
            <w:hideMark/>
          </w:tcPr>
          <w:p w14:paraId="434C0137" w14:textId="77777777" w:rsidR="00E3750C" w:rsidRPr="00D86C76" w:rsidRDefault="00E3750C" w:rsidP="00047864">
            <w:pPr>
              <w:spacing w:after="0" w:line="240" w:lineRule="auto"/>
              <w:rPr>
                <w:rFonts w:ascii="Arial" w:eastAsia="Times New Roman" w:hAnsi="Arial" w:cs="Arial"/>
                <w:b/>
                <w:bCs/>
                <w:color w:val="000000"/>
                <w:sz w:val="18"/>
                <w:szCs w:val="18"/>
                <w:lang w:eastAsia="sl-SI"/>
              </w:rPr>
            </w:pPr>
            <w:r w:rsidRPr="00D86C76">
              <w:rPr>
                <w:rFonts w:ascii="Arial" w:eastAsia="Times New Roman" w:hAnsi="Arial" w:cs="Arial"/>
                <w:b/>
                <w:bCs/>
                <w:color w:val="000000"/>
                <w:sz w:val="18"/>
                <w:szCs w:val="18"/>
                <w:lang w:eastAsia="sl-SI"/>
              </w:rPr>
              <w:t>Skupaj</w:t>
            </w:r>
          </w:p>
        </w:tc>
        <w:tc>
          <w:tcPr>
            <w:tcW w:w="572" w:type="pct"/>
            <w:shd w:val="clear" w:color="auto" w:fill="auto"/>
            <w:vAlign w:val="center"/>
            <w:hideMark/>
          </w:tcPr>
          <w:p w14:paraId="55D778A4" w14:textId="77777777" w:rsidR="00E3750C" w:rsidRPr="00D86C76" w:rsidRDefault="00E3750C" w:rsidP="00047864">
            <w:pPr>
              <w:spacing w:after="0" w:line="240" w:lineRule="auto"/>
              <w:jc w:val="right"/>
              <w:rPr>
                <w:rFonts w:ascii="Arial" w:eastAsia="Times New Roman" w:hAnsi="Arial" w:cs="Arial"/>
                <w:b/>
                <w:bCs/>
                <w:color w:val="000000"/>
                <w:sz w:val="18"/>
                <w:szCs w:val="18"/>
                <w:lang w:eastAsia="sl-SI"/>
              </w:rPr>
            </w:pPr>
            <w:r w:rsidRPr="00D86C76">
              <w:rPr>
                <w:rFonts w:ascii="Arial" w:hAnsi="Arial" w:cs="Arial"/>
                <w:b/>
                <w:bCs/>
                <w:color w:val="000000"/>
                <w:sz w:val="18"/>
                <w:szCs w:val="18"/>
              </w:rPr>
              <w:t>2.101</w:t>
            </w:r>
          </w:p>
        </w:tc>
        <w:tc>
          <w:tcPr>
            <w:tcW w:w="1144" w:type="pct"/>
            <w:shd w:val="clear" w:color="auto" w:fill="auto"/>
            <w:vAlign w:val="center"/>
            <w:hideMark/>
          </w:tcPr>
          <w:p w14:paraId="463C075D" w14:textId="77777777" w:rsidR="00E3750C" w:rsidRPr="00D86C76" w:rsidRDefault="00E3750C" w:rsidP="00047864">
            <w:pPr>
              <w:spacing w:after="0" w:line="240" w:lineRule="auto"/>
              <w:jc w:val="right"/>
              <w:rPr>
                <w:rFonts w:ascii="Arial" w:eastAsia="Times New Roman" w:hAnsi="Arial" w:cs="Arial"/>
                <w:b/>
                <w:bCs/>
                <w:color w:val="000000"/>
                <w:sz w:val="18"/>
                <w:szCs w:val="18"/>
                <w:lang w:eastAsia="sl-SI"/>
              </w:rPr>
            </w:pPr>
            <w:r w:rsidRPr="00D86C76">
              <w:rPr>
                <w:rFonts w:ascii="Arial" w:hAnsi="Arial" w:cs="Arial"/>
                <w:b/>
                <w:bCs/>
                <w:color w:val="000000"/>
                <w:sz w:val="18"/>
                <w:szCs w:val="18"/>
              </w:rPr>
              <w:t>490.356.275</w:t>
            </w:r>
          </w:p>
        </w:tc>
      </w:tr>
      <w:tr w:rsidR="00E3750C" w:rsidRPr="00D86C76" w14:paraId="60C903B6" w14:textId="77777777" w:rsidTr="00047864">
        <w:trPr>
          <w:trHeight w:val="300"/>
        </w:trPr>
        <w:tc>
          <w:tcPr>
            <w:tcW w:w="1642" w:type="pct"/>
            <w:vMerge w:val="restart"/>
            <w:shd w:val="clear" w:color="auto" w:fill="auto"/>
            <w:vAlign w:val="center"/>
            <w:hideMark/>
          </w:tcPr>
          <w:p w14:paraId="1FF08E0C" w14:textId="77777777" w:rsidR="00E3750C" w:rsidRPr="00D86C76" w:rsidRDefault="00E3750C" w:rsidP="00047864">
            <w:pPr>
              <w:spacing w:after="0" w:line="240" w:lineRule="auto"/>
              <w:rPr>
                <w:rFonts w:ascii="Arial" w:eastAsia="Times New Roman" w:hAnsi="Arial" w:cs="Arial"/>
                <w:color w:val="000000"/>
                <w:sz w:val="18"/>
                <w:szCs w:val="18"/>
                <w:lang w:eastAsia="sl-SI"/>
              </w:rPr>
            </w:pPr>
            <w:r w:rsidRPr="00D86C76">
              <w:rPr>
                <w:rFonts w:ascii="Arial" w:eastAsia="Times New Roman" w:hAnsi="Arial" w:cs="Arial"/>
                <w:color w:val="000000"/>
                <w:sz w:val="18"/>
                <w:szCs w:val="18"/>
                <w:lang w:eastAsia="sl-SI"/>
              </w:rPr>
              <w:t>POMURSKA</w:t>
            </w:r>
          </w:p>
        </w:tc>
        <w:tc>
          <w:tcPr>
            <w:tcW w:w="1642" w:type="pct"/>
            <w:shd w:val="clear" w:color="auto" w:fill="auto"/>
            <w:vAlign w:val="center"/>
            <w:hideMark/>
          </w:tcPr>
          <w:p w14:paraId="6A8613F6" w14:textId="77777777" w:rsidR="00E3750C" w:rsidRPr="00D86C76" w:rsidRDefault="00E3750C" w:rsidP="00047864">
            <w:pPr>
              <w:spacing w:after="0" w:line="240" w:lineRule="auto"/>
              <w:rPr>
                <w:rFonts w:ascii="Arial" w:eastAsia="Times New Roman" w:hAnsi="Arial" w:cs="Arial"/>
                <w:color w:val="000000"/>
                <w:sz w:val="18"/>
                <w:szCs w:val="18"/>
                <w:lang w:eastAsia="sl-SI"/>
              </w:rPr>
            </w:pPr>
            <w:r w:rsidRPr="00D86C76">
              <w:rPr>
                <w:rFonts w:ascii="Arial" w:eastAsia="Times New Roman" w:hAnsi="Arial" w:cs="Arial"/>
                <w:color w:val="000000"/>
                <w:sz w:val="18"/>
                <w:szCs w:val="18"/>
                <w:lang w:eastAsia="sl-SI"/>
              </w:rPr>
              <w:t>POMURSKA</w:t>
            </w:r>
          </w:p>
        </w:tc>
        <w:tc>
          <w:tcPr>
            <w:tcW w:w="572" w:type="pct"/>
            <w:shd w:val="clear" w:color="auto" w:fill="auto"/>
            <w:vAlign w:val="center"/>
            <w:hideMark/>
          </w:tcPr>
          <w:p w14:paraId="34B8A7A6" w14:textId="77777777" w:rsidR="00E3750C" w:rsidRPr="00D86C76" w:rsidRDefault="00E3750C" w:rsidP="00047864">
            <w:pPr>
              <w:spacing w:after="0" w:line="240" w:lineRule="auto"/>
              <w:jc w:val="right"/>
              <w:rPr>
                <w:rFonts w:ascii="Arial" w:eastAsia="Times New Roman" w:hAnsi="Arial" w:cs="Arial"/>
                <w:color w:val="000000"/>
                <w:sz w:val="18"/>
                <w:szCs w:val="18"/>
                <w:lang w:eastAsia="sl-SI"/>
              </w:rPr>
            </w:pPr>
            <w:r w:rsidRPr="00D86C76">
              <w:rPr>
                <w:rFonts w:ascii="Arial" w:hAnsi="Arial" w:cs="Arial"/>
                <w:color w:val="000000"/>
                <w:sz w:val="18"/>
                <w:szCs w:val="18"/>
              </w:rPr>
              <w:t>479</w:t>
            </w:r>
          </w:p>
        </w:tc>
        <w:tc>
          <w:tcPr>
            <w:tcW w:w="1144" w:type="pct"/>
            <w:shd w:val="clear" w:color="auto" w:fill="auto"/>
            <w:vAlign w:val="center"/>
            <w:hideMark/>
          </w:tcPr>
          <w:p w14:paraId="2B0458A2" w14:textId="77777777" w:rsidR="00E3750C" w:rsidRPr="00D86C76" w:rsidRDefault="00E3750C" w:rsidP="00047864">
            <w:pPr>
              <w:spacing w:after="0" w:line="240" w:lineRule="auto"/>
              <w:jc w:val="right"/>
              <w:rPr>
                <w:rFonts w:ascii="Arial" w:eastAsia="Times New Roman" w:hAnsi="Arial" w:cs="Arial"/>
                <w:color w:val="000000"/>
                <w:sz w:val="18"/>
                <w:szCs w:val="18"/>
                <w:lang w:eastAsia="sl-SI"/>
              </w:rPr>
            </w:pPr>
            <w:r w:rsidRPr="00D86C76">
              <w:rPr>
                <w:rFonts w:ascii="Arial" w:hAnsi="Arial" w:cs="Arial"/>
                <w:color w:val="000000"/>
                <w:sz w:val="18"/>
                <w:szCs w:val="18"/>
              </w:rPr>
              <w:t>56.592.086</w:t>
            </w:r>
          </w:p>
        </w:tc>
      </w:tr>
      <w:tr w:rsidR="00E3750C" w:rsidRPr="00D86C76" w14:paraId="2F1E9F11" w14:textId="77777777" w:rsidTr="00047864">
        <w:trPr>
          <w:trHeight w:val="300"/>
        </w:trPr>
        <w:tc>
          <w:tcPr>
            <w:tcW w:w="1642" w:type="pct"/>
            <w:vMerge/>
            <w:vAlign w:val="center"/>
            <w:hideMark/>
          </w:tcPr>
          <w:p w14:paraId="1AA03430" w14:textId="77777777" w:rsidR="00E3750C" w:rsidRPr="00D86C76" w:rsidRDefault="00E3750C" w:rsidP="00047864">
            <w:pPr>
              <w:spacing w:after="0" w:line="240" w:lineRule="auto"/>
              <w:rPr>
                <w:rFonts w:ascii="Arial" w:eastAsia="Times New Roman" w:hAnsi="Arial" w:cs="Arial"/>
                <w:color w:val="000000"/>
                <w:sz w:val="18"/>
                <w:szCs w:val="18"/>
                <w:lang w:eastAsia="sl-SI"/>
              </w:rPr>
            </w:pPr>
          </w:p>
        </w:tc>
        <w:tc>
          <w:tcPr>
            <w:tcW w:w="1642" w:type="pct"/>
            <w:shd w:val="clear" w:color="auto" w:fill="auto"/>
            <w:vAlign w:val="center"/>
            <w:hideMark/>
          </w:tcPr>
          <w:p w14:paraId="0EFECB77" w14:textId="77777777" w:rsidR="00E3750C" w:rsidRPr="00D86C76" w:rsidRDefault="00E3750C" w:rsidP="00047864">
            <w:pPr>
              <w:spacing w:after="0" w:line="240" w:lineRule="auto"/>
              <w:rPr>
                <w:rFonts w:ascii="Arial" w:eastAsia="Times New Roman" w:hAnsi="Arial" w:cs="Arial"/>
                <w:color w:val="000000"/>
                <w:sz w:val="18"/>
                <w:szCs w:val="18"/>
                <w:lang w:eastAsia="sl-SI"/>
              </w:rPr>
            </w:pPr>
            <w:r w:rsidRPr="00D86C76">
              <w:rPr>
                <w:rFonts w:ascii="Arial" w:eastAsia="Times New Roman" w:hAnsi="Arial" w:cs="Arial"/>
                <w:color w:val="000000"/>
                <w:sz w:val="18"/>
                <w:szCs w:val="18"/>
                <w:lang w:eastAsia="sl-SI"/>
              </w:rPr>
              <w:t>ostale regije</w:t>
            </w:r>
          </w:p>
        </w:tc>
        <w:tc>
          <w:tcPr>
            <w:tcW w:w="572" w:type="pct"/>
            <w:shd w:val="clear" w:color="auto" w:fill="auto"/>
            <w:vAlign w:val="center"/>
            <w:hideMark/>
          </w:tcPr>
          <w:p w14:paraId="5FD04648" w14:textId="77777777" w:rsidR="00E3750C" w:rsidRPr="00D86C76" w:rsidRDefault="00E3750C" w:rsidP="00047864">
            <w:pPr>
              <w:spacing w:after="0" w:line="240" w:lineRule="auto"/>
              <w:jc w:val="right"/>
              <w:rPr>
                <w:rFonts w:ascii="Arial" w:eastAsia="Times New Roman" w:hAnsi="Arial" w:cs="Arial"/>
                <w:color w:val="000000"/>
                <w:sz w:val="18"/>
                <w:szCs w:val="18"/>
                <w:lang w:eastAsia="sl-SI"/>
              </w:rPr>
            </w:pPr>
            <w:r w:rsidRPr="00D86C76">
              <w:rPr>
                <w:rFonts w:ascii="Arial" w:hAnsi="Arial" w:cs="Arial"/>
                <w:color w:val="000000"/>
                <w:sz w:val="18"/>
                <w:szCs w:val="18"/>
              </w:rPr>
              <w:t>165</w:t>
            </w:r>
          </w:p>
        </w:tc>
        <w:tc>
          <w:tcPr>
            <w:tcW w:w="1144" w:type="pct"/>
            <w:shd w:val="clear" w:color="auto" w:fill="auto"/>
            <w:vAlign w:val="center"/>
            <w:hideMark/>
          </w:tcPr>
          <w:p w14:paraId="54251EE2" w14:textId="77777777" w:rsidR="00E3750C" w:rsidRPr="00D86C76" w:rsidRDefault="00E3750C" w:rsidP="00047864">
            <w:pPr>
              <w:spacing w:after="0" w:line="240" w:lineRule="auto"/>
              <w:jc w:val="right"/>
              <w:rPr>
                <w:rFonts w:ascii="Arial" w:eastAsia="Times New Roman" w:hAnsi="Arial" w:cs="Arial"/>
                <w:color w:val="000000"/>
                <w:sz w:val="18"/>
                <w:szCs w:val="18"/>
                <w:lang w:eastAsia="sl-SI"/>
              </w:rPr>
            </w:pPr>
            <w:r w:rsidRPr="00D86C76">
              <w:rPr>
                <w:rFonts w:ascii="Arial" w:hAnsi="Arial" w:cs="Arial"/>
                <w:color w:val="000000"/>
                <w:sz w:val="18"/>
                <w:szCs w:val="18"/>
              </w:rPr>
              <w:t>46.408.802</w:t>
            </w:r>
          </w:p>
        </w:tc>
      </w:tr>
      <w:tr w:rsidR="00E3750C" w:rsidRPr="00D86C76" w14:paraId="417FF496" w14:textId="77777777" w:rsidTr="00047864">
        <w:trPr>
          <w:trHeight w:val="300"/>
        </w:trPr>
        <w:tc>
          <w:tcPr>
            <w:tcW w:w="1642" w:type="pct"/>
            <w:vMerge/>
            <w:vAlign w:val="center"/>
            <w:hideMark/>
          </w:tcPr>
          <w:p w14:paraId="44C91648" w14:textId="77777777" w:rsidR="00E3750C" w:rsidRPr="00D86C76" w:rsidRDefault="00E3750C" w:rsidP="00047864">
            <w:pPr>
              <w:spacing w:after="0" w:line="240" w:lineRule="auto"/>
              <w:rPr>
                <w:rFonts w:ascii="Arial" w:eastAsia="Times New Roman" w:hAnsi="Arial" w:cs="Arial"/>
                <w:color w:val="000000"/>
                <w:sz w:val="18"/>
                <w:szCs w:val="18"/>
                <w:lang w:eastAsia="sl-SI"/>
              </w:rPr>
            </w:pPr>
          </w:p>
        </w:tc>
        <w:tc>
          <w:tcPr>
            <w:tcW w:w="1642" w:type="pct"/>
            <w:shd w:val="clear" w:color="auto" w:fill="auto"/>
            <w:vAlign w:val="center"/>
            <w:hideMark/>
          </w:tcPr>
          <w:p w14:paraId="7168B074" w14:textId="77777777" w:rsidR="00E3750C" w:rsidRPr="00D86C76" w:rsidRDefault="00E3750C" w:rsidP="00047864">
            <w:pPr>
              <w:spacing w:after="0" w:line="240" w:lineRule="auto"/>
              <w:rPr>
                <w:rFonts w:ascii="Arial" w:eastAsia="Times New Roman" w:hAnsi="Arial" w:cs="Arial"/>
                <w:b/>
                <w:bCs/>
                <w:color w:val="000000"/>
                <w:sz w:val="18"/>
                <w:szCs w:val="18"/>
                <w:lang w:eastAsia="sl-SI"/>
              </w:rPr>
            </w:pPr>
            <w:r w:rsidRPr="00D86C76">
              <w:rPr>
                <w:rFonts w:ascii="Arial" w:eastAsia="Times New Roman" w:hAnsi="Arial" w:cs="Arial"/>
                <w:b/>
                <w:bCs/>
                <w:color w:val="000000"/>
                <w:sz w:val="18"/>
                <w:szCs w:val="18"/>
                <w:lang w:eastAsia="sl-SI"/>
              </w:rPr>
              <w:t>Skupaj</w:t>
            </w:r>
          </w:p>
        </w:tc>
        <w:tc>
          <w:tcPr>
            <w:tcW w:w="572" w:type="pct"/>
            <w:shd w:val="clear" w:color="auto" w:fill="auto"/>
            <w:vAlign w:val="center"/>
            <w:hideMark/>
          </w:tcPr>
          <w:p w14:paraId="58464C59" w14:textId="77777777" w:rsidR="00E3750C" w:rsidRPr="00D86C76" w:rsidRDefault="00E3750C" w:rsidP="00047864">
            <w:pPr>
              <w:spacing w:after="0" w:line="240" w:lineRule="auto"/>
              <w:jc w:val="right"/>
              <w:rPr>
                <w:rFonts w:ascii="Arial" w:eastAsia="Times New Roman" w:hAnsi="Arial" w:cs="Arial"/>
                <w:b/>
                <w:bCs/>
                <w:color w:val="000000"/>
                <w:sz w:val="18"/>
                <w:szCs w:val="18"/>
                <w:lang w:eastAsia="sl-SI"/>
              </w:rPr>
            </w:pPr>
            <w:r w:rsidRPr="00D86C76">
              <w:rPr>
                <w:rFonts w:ascii="Arial" w:hAnsi="Arial" w:cs="Arial"/>
                <w:b/>
                <w:bCs/>
                <w:color w:val="000000"/>
                <w:sz w:val="18"/>
                <w:szCs w:val="18"/>
              </w:rPr>
              <w:t>644</w:t>
            </w:r>
          </w:p>
        </w:tc>
        <w:tc>
          <w:tcPr>
            <w:tcW w:w="1144" w:type="pct"/>
            <w:shd w:val="clear" w:color="auto" w:fill="auto"/>
            <w:vAlign w:val="center"/>
            <w:hideMark/>
          </w:tcPr>
          <w:p w14:paraId="1BEBD610" w14:textId="77777777" w:rsidR="00E3750C" w:rsidRPr="00D86C76" w:rsidRDefault="00E3750C" w:rsidP="00047864">
            <w:pPr>
              <w:spacing w:after="0" w:line="240" w:lineRule="auto"/>
              <w:jc w:val="right"/>
              <w:rPr>
                <w:rFonts w:ascii="Arial" w:eastAsia="Times New Roman" w:hAnsi="Arial" w:cs="Arial"/>
                <w:b/>
                <w:bCs/>
                <w:color w:val="000000"/>
                <w:sz w:val="18"/>
                <w:szCs w:val="18"/>
                <w:lang w:eastAsia="sl-SI"/>
              </w:rPr>
            </w:pPr>
            <w:r w:rsidRPr="00D86C76">
              <w:rPr>
                <w:rFonts w:ascii="Arial" w:hAnsi="Arial" w:cs="Arial"/>
                <w:b/>
                <w:bCs/>
                <w:color w:val="000000"/>
                <w:sz w:val="18"/>
                <w:szCs w:val="18"/>
              </w:rPr>
              <w:t>103.000.888</w:t>
            </w:r>
          </w:p>
        </w:tc>
      </w:tr>
      <w:tr w:rsidR="00E3750C" w:rsidRPr="00D86C76" w14:paraId="154CCD15" w14:textId="77777777" w:rsidTr="00047864">
        <w:trPr>
          <w:trHeight w:val="300"/>
        </w:trPr>
        <w:tc>
          <w:tcPr>
            <w:tcW w:w="1642" w:type="pct"/>
            <w:vMerge w:val="restart"/>
            <w:shd w:val="clear" w:color="auto" w:fill="auto"/>
            <w:vAlign w:val="center"/>
            <w:hideMark/>
          </w:tcPr>
          <w:p w14:paraId="64D6F0FC" w14:textId="77777777" w:rsidR="00E3750C" w:rsidRPr="00D86C76" w:rsidRDefault="00E3750C" w:rsidP="00047864">
            <w:pPr>
              <w:spacing w:after="0" w:line="240" w:lineRule="auto"/>
              <w:rPr>
                <w:rFonts w:ascii="Arial" w:eastAsia="Times New Roman" w:hAnsi="Arial" w:cs="Arial"/>
                <w:color w:val="000000"/>
                <w:sz w:val="18"/>
                <w:szCs w:val="18"/>
                <w:lang w:eastAsia="sl-SI"/>
              </w:rPr>
            </w:pPr>
            <w:r w:rsidRPr="00D86C76">
              <w:rPr>
                <w:rFonts w:ascii="Arial" w:eastAsia="Times New Roman" w:hAnsi="Arial" w:cs="Arial"/>
                <w:color w:val="000000"/>
                <w:sz w:val="18"/>
                <w:szCs w:val="18"/>
                <w:lang w:eastAsia="sl-SI"/>
              </w:rPr>
              <w:t>POSAVSKA</w:t>
            </w:r>
          </w:p>
        </w:tc>
        <w:tc>
          <w:tcPr>
            <w:tcW w:w="1642" w:type="pct"/>
            <w:shd w:val="clear" w:color="auto" w:fill="auto"/>
            <w:vAlign w:val="center"/>
            <w:hideMark/>
          </w:tcPr>
          <w:p w14:paraId="24E7F33A" w14:textId="77777777" w:rsidR="00E3750C" w:rsidRPr="00D86C76" w:rsidRDefault="00E3750C" w:rsidP="00047864">
            <w:pPr>
              <w:spacing w:after="0" w:line="240" w:lineRule="auto"/>
              <w:rPr>
                <w:rFonts w:ascii="Arial" w:eastAsia="Times New Roman" w:hAnsi="Arial" w:cs="Arial"/>
                <w:color w:val="000000"/>
                <w:sz w:val="18"/>
                <w:szCs w:val="18"/>
                <w:lang w:eastAsia="sl-SI"/>
              </w:rPr>
            </w:pPr>
            <w:r w:rsidRPr="00D86C76">
              <w:rPr>
                <w:rFonts w:ascii="Arial" w:eastAsia="Times New Roman" w:hAnsi="Arial" w:cs="Arial"/>
                <w:color w:val="000000"/>
                <w:sz w:val="18"/>
                <w:szCs w:val="18"/>
                <w:lang w:eastAsia="sl-SI"/>
              </w:rPr>
              <w:t>POSAVSKA</w:t>
            </w:r>
          </w:p>
        </w:tc>
        <w:tc>
          <w:tcPr>
            <w:tcW w:w="572" w:type="pct"/>
            <w:shd w:val="clear" w:color="auto" w:fill="auto"/>
            <w:vAlign w:val="center"/>
            <w:hideMark/>
          </w:tcPr>
          <w:p w14:paraId="716ABF53" w14:textId="77777777" w:rsidR="00E3750C" w:rsidRPr="00D86C76" w:rsidRDefault="00E3750C" w:rsidP="00047864">
            <w:pPr>
              <w:spacing w:after="0" w:line="240" w:lineRule="auto"/>
              <w:jc w:val="right"/>
              <w:rPr>
                <w:rFonts w:ascii="Arial" w:eastAsia="Times New Roman" w:hAnsi="Arial" w:cs="Arial"/>
                <w:color w:val="000000"/>
                <w:sz w:val="18"/>
                <w:szCs w:val="18"/>
                <w:lang w:eastAsia="sl-SI"/>
              </w:rPr>
            </w:pPr>
            <w:r w:rsidRPr="00D86C76">
              <w:rPr>
                <w:rFonts w:ascii="Arial" w:hAnsi="Arial" w:cs="Arial"/>
                <w:color w:val="000000"/>
                <w:sz w:val="18"/>
                <w:szCs w:val="18"/>
              </w:rPr>
              <w:t>335</w:t>
            </w:r>
          </w:p>
        </w:tc>
        <w:tc>
          <w:tcPr>
            <w:tcW w:w="1144" w:type="pct"/>
            <w:shd w:val="clear" w:color="auto" w:fill="auto"/>
            <w:vAlign w:val="center"/>
            <w:hideMark/>
          </w:tcPr>
          <w:p w14:paraId="273AC964" w14:textId="77777777" w:rsidR="00E3750C" w:rsidRPr="00D86C76" w:rsidRDefault="00E3750C" w:rsidP="00047864">
            <w:pPr>
              <w:spacing w:after="0" w:line="240" w:lineRule="auto"/>
              <w:jc w:val="right"/>
              <w:rPr>
                <w:rFonts w:ascii="Arial" w:eastAsia="Times New Roman" w:hAnsi="Arial" w:cs="Arial"/>
                <w:color w:val="000000"/>
                <w:sz w:val="18"/>
                <w:szCs w:val="18"/>
                <w:lang w:eastAsia="sl-SI"/>
              </w:rPr>
            </w:pPr>
            <w:r w:rsidRPr="00D86C76">
              <w:rPr>
                <w:rFonts w:ascii="Arial" w:hAnsi="Arial" w:cs="Arial"/>
                <w:color w:val="000000"/>
                <w:sz w:val="18"/>
                <w:szCs w:val="18"/>
              </w:rPr>
              <w:t>53.863.567</w:t>
            </w:r>
          </w:p>
        </w:tc>
      </w:tr>
      <w:tr w:rsidR="00E3750C" w:rsidRPr="00D86C76" w14:paraId="3D974D67" w14:textId="77777777" w:rsidTr="00047864">
        <w:trPr>
          <w:trHeight w:val="300"/>
        </w:trPr>
        <w:tc>
          <w:tcPr>
            <w:tcW w:w="1642" w:type="pct"/>
            <w:vMerge/>
            <w:vAlign w:val="center"/>
            <w:hideMark/>
          </w:tcPr>
          <w:p w14:paraId="3E646A9B" w14:textId="77777777" w:rsidR="00E3750C" w:rsidRPr="00D86C76" w:rsidRDefault="00E3750C" w:rsidP="00047864">
            <w:pPr>
              <w:spacing w:after="0" w:line="240" w:lineRule="auto"/>
              <w:rPr>
                <w:rFonts w:ascii="Arial" w:eastAsia="Times New Roman" w:hAnsi="Arial" w:cs="Arial"/>
                <w:color w:val="000000"/>
                <w:sz w:val="18"/>
                <w:szCs w:val="18"/>
                <w:lang w:eastAsia="sl-SI"/>
              </w:rPr>
            </w:pPr>
          </w:p>
        </w:tc>
        <w:tc>
          <w:tcPr>
            <w:tcW w:w="1642" w:type="pct"/>
            <w:shd w:val="clear" w:color="auto" w:fill="auto"/>
            <w:vAlign w:val="center"/>
            <w:hideMark/>
          </w:tcPr>
          <w:p w14:paraId="2D5A9D31" w14:textId="77777777" w:rsidR="00E3750C" w:rsidRPr="00D86C76" w:rsidRDefault="00E3750C" w:rsidP="00047864">
            <w:pPr>
              <w:spacing w:after="0" w:line="240" w:lineRule="auto"/>
              <w:rPr>
                <w:rFonts w:ascii="Arial" w:eastAsia="Times New Roman" w:hAnsi="Arial" w:cs="Arial"/>
                <w:color w:val="000000"/>
                <w:sz w:val="18"/>
                <w:szCs w:val="18"/>
                <w:lang w:eastAsia="sl-SI"/>
              </w:rPr>
            </w:pPr>
            <w:r w:rsidRPr="00D86C76">
              <w:rPr>
                <w:rFonts w:ascii="Arial" w:eastAsia="Times New Roman" w:hAnsi="Arial" w:cs="Arial"/>
                <w:color w:val="000000"/>
                <w:sz w:val="18"/>
                <w:szCs w:val="18"/>
                <w:lang w:eastAsia="sl-SI"/>
              </w:rPr>
              <w:t>ostale regije</w:t>
            </w:r>
          </w:p>
        </w:tc>
        <w:tc>
          <w:tcPr>
            <w:tcW w:w="572" w:type="pct"/>
            <w:shd w:val="clear" w:color="auto" w:fill="auto"/>
            <w:vAlign w:val="center"/>
            <w:hideMark/>
          </w:tcPr>
          <w:p w14:paraId="084D3553" w14:textId="77777777" w:rsidR="00E3750C" w:rsidRPr="00D86C76" w:rsidRDefault="00E3750C" w:rsidP="00047864">
            <w:pPr>
              <w:spacing w:after="0" w:line="240" w:lineRule="auto"/>
              <w:jc w:val="right"/>
              <w:rPr>
                <w:rFonts w:ascii="Arial" w:eastAsia="Times New Roman" w:hAnsi="Arial" w:cs="Arial"/>
                <w:color w:val="000000"/>
                <w:sz w:val="18"/>
                <w:szCs w:val="18"/>
                <w:lang w:eastAsia="sl-SI"/>
              </w:rPr>
            </w:pPr>
            <w:r w:rsidRPr="00D86C76">
              <w:rPr>
                <w:rFonts w:ascii="Arial" w:hAnsi="Arial" w:cs="Arial"/>
                <w:color w:val="000000"/>
                <w:sz w:val="18"/>
                <w:szCs w:val="18"/>
              </w:rPr>
              <w:t>145</w:t>
            </w:r>
          </w:p>
        </w:tc>
        <w:tc>
          <w:tcPr>
            <w:tcW w:w="1144" w:type="pct"/>
            <w:shd w:val="clear" w:color="auto" w:fill="auto"/>
            <w:vAlign w:val="center"/>
            <w:hideMark/>
          </w:tcPr>
          <w:p w14:paraId="1503606F" w14:textId="77777777" w:rsidR="00E3750C" w:rsidRPr="00D86C76" w:rsidRDefault="00E3750C" w:rsidP="00047864">
            <w:pPr>
              <w:spacing w:after="0" w:line="240" w:lineRule="auto"/>
              <w:jc w:val="right"/>
              <w:rPr>
                <w:rFonts w:ascii="Arial" w:eastAsia="Times New Roman" w:hAnsi="Arial" w:cs="Arial"/>
                <w:color w:val="000000"/>
                <w:sz w:val="18"/>
                <w:szCs w:val="18"/>
                <w:lang w:eastAsia="sl-SI"/>
              </w:rPr>
            </w:pPr>
            <w:r w:rsidRPr="00D86C76">
              <w:rPr>
                <w:rFonts w:ascii="Arial" w:hAnsi="Arial" w:cs="Arial"/>
                <w:color w:val="000000"/>
                <w:sz w:val="18"/>
                <w:szCs w:val="18"/>
              </w:rPr>
              <w:t>35.160.505</w:t>
            </w:r>
          </w:p>
        </w:tc>
      </w:tr>
      <w:tr w:rsidR="00E3750C" w:rsidRPr="00D86C76" w14:paraId="2205A352" w14:textId="77777777" w:rsidTr="00047864">
        <w:trPr>
          <w:trHeight w:val="300"/>
        </w:trPr>
        <w:tc>
          <w:tcPr>
            <w:tcW w:w="1642" w:type="pct"/>
            <w:vMerge/>
            <w:vAlign w:val="center"/>
            <w:hideMark/>
          </w:tcPr>
          <w:p w14:paraId="70814267" w14:textId="77777777" w:rsidR="00E3750C" w:rsidRPr="00D86C76" w:rsidRDefault="00E3750C" w:rsidP="00047864">
            <w:pPr>
              <w:spacing w:after="0" w:line="240" w:lineRule="auto"/>
              <w:rPr>
                <w:rFonts w:ascii="Arial" w:eastAsia="Times New Roman" w:hAnsi="Arial" w:cs="Arial"/>
                <w:color w:val="000000"/>
                <w:sz w:val="18"/>
                <w:szCs w:val="18"/>
                <w:lang w:eastAsia="sl-SI"/>
              </w:rPr>
            </w:pPr>
          </w:p>
        </w:tc>
        <w:tc>
          <w:tcPr>
            <w:tcW w:w="1642" w:type="pct"/>
            <w:shd w:val="clear" w:color="auto" w:fill="auto"/>
            <w:vAlign w:val="center"/>
            <w:hideMark/>
          </w:tcPr>
          <w:p w14:paraId="29DD6F64" w14:textId="77777777" w:rsidR="00E3750C" w:rsidRPr="00D86C76" w:rsidRDefault="00E3750C" w:rsidP="00047864">
            <w:pPr>
              <w:spacing w:after="0" w:line="240" w:lineRule="auto"/>
              <w:rPr>
                <w:rFonts w:ascii="Arial" w:eastAsia="Times New Roman" w:hAnsi="Arial" w:cs="Arial"/>
                <w:b/>
                <w:bCs/>
                <w:color w:val="000000"/>
                <w:sz w:val="18"/>
                <w:szCs w:val="18"/>
                <w:lang w:eastAsia="sl-SI"/>
              </w:rPr>
            </w:pPr>
            <w:r w:rsidRPr="00D86C76">
              <w:rPr>
                <w:rFonts w:ascii="Arial" w:eastAsia="Times New Roman" w:hAnsi="Arial" w:cs="Arial"/>
                <w:b/>
                <w:bCs/>
                <w:color w:val="000000"/>
                <w:sz w:val="18"/>
                <w:szCs w:val="18"/>
                <w:lang w:eastAsia="sl-SI"/>
              </w:rPr>
              <w:t>Skupaj</w:t>
            </w:r>
          </w:p>
        </w:tc>
        <w:tc>
          <w:tcPr>
            <w:tcW w:w="572" w:type="pct"/>
            <w:shd w:val="clear" w:color="auto" w:fill="auto"/>
            <w:vAlign w:val="center"/>
            <w:hideMark/>
          </w:tcPr>
          <w:p w14:paraId="2F07207A" w14:textId="77777777" w:rsidR="00E3750C" w:rsidRPr="00D86C76" w:rsidRDefault="00E3750C" w:rsidP="00047864">
            <w:pPr>
              <w:spacing w:after="0" w:line="240" w:lineRule="auto"/>
              <w:jc w:val="right"/>
              <w:rPr>
                <w:rFonts w:ascii="Arial" w:eastAsia="Times New Roman" w:hAnsi="Arial" w:cs="Arial"/>
                <w:b/>
                <w:bCs/>
                <w:color w:val="000000"/>
                <w:sz w:val="18"/>
                <w:szCs w:val="18"/>
                <w:lang w:eastAsia="sl-SI"/>
              </w:rPr>
            </w:pPr>
            <w:r w:rsidRPr="00D86C76">
              <w:rPr>
                <w:rFonts w:ascii="Arial" w:hAnsi="Arial" w:cs="Arial"/>
                <w:b/>
                <w:bCs/>
                <w:color w:val="000000"/>
                <w:sz w:val="18"/>
                <w:szCs w:val="18"/>
              </w:rPr>
              <w:t>480</w:t>
            </w:r>
          </w:p>
        </w:tc>
        <w:tc>
          <w:tcPr>
            <w:tcW w:w="1144" w:type="pct"/>
            <w:shd w:val="clear" w:color="auto" w:fill="auto"/>
            <w:vAlign w:val="center"/>
            <w:hideMark/>
          </w:tcPr>
          <w:p w14:paraId="3F75B74C" w14:textId="77777777" w:rsidR="00E3750C" w:rsidRPr="00D86C76" w:rsidRDefault="00E3750C" w:rsidP="00047864">
            <w:pPr>
              <w:spacing w:after="0" w:line="240" w:lineRule="auto"/>
              <w:jc w:val="right"/>
              <w:rPr>
                <w:rFonts w:ascii="Arial" w:eastAsia="Times New Roman" w:hAnsi="Arial" w:cs="Arial"/>
                <w:b/>
                <w:bCs/>
                <w:color w:val="000000"/>
                <w:sz w:val="18"/>
                <w:szCs w:val="18"/>
                <w:lang w:eastAsia="sl-SI"/>
              </w:rPr>
            </w:pPr>
            <w:r w:rsidRPr="00D86C76">
              <w:rPr>
                <w:rFonts w:ascii="Arial" w:hAnsi="Arial" w:cs="Arial"/>
                <w:b/>
                <w:bCs/>
                <w:color w:val="000000"/>
                <w:sz w:val="18"/>
                <w:szCs w:val="18"/>
              </w:rPr>
              <w:t>89.024.072</w:t>
            </w:r>
          </w:p>
        </w:tc>
      </w:tr>
      <w:tr w:rsidR="00E3750C" w:rsidRPr="00D86C76" w14:paraId="60A077DA" w14:textId="77777777" w:rsidTr="00047864">
        <w:trPr>
          <w:trHeight w:val="300"/>
        </w:trPr>
        <w:tc>
          <w:tcPr>
            <w:tcW w:w="1642" w:type="pct"/>
            <w:vMerge w:val="restart"/>
            <w:shd w:val="clear" w:color="auto" w:fill="auto"/>
            <w:vAlign w:val="center"/>
            <w:hideMark/>
          </w:tcPr>
          <w:p w14:paraId="4D5749EB" w14:textId="77777777" w:rsidR="00E3750C" w:rsidRPr="00D86C76" w:rsidRDefault="00E3750C" w:rsidP="00047864">
            <w:pPr>
              <w:spacing w:after="0" w:line="240" w:lineRule="auto"/>
              <w:rPr>
                <w:rFonts w:ascii="Arial" w:eastAsia="Times New Roman" w:hAnsi="Arial" w:cs="Arial"/>
                <w:color w:val="000000"/>
                <w:sz w:val="18"/>
                <w:szCs w:val="18"/>
                <w:lang w:eastAsia="sl-SI"/>
              </w:rPr>
            </w:pPr>
            <w:r w:rsidRPr="00D86C76">
              <w:rPr>
                <w:rFonts w:ascii="Arial" w:eastAsia="Times New Roman" w:hAnsi="Arial" w:cs="Arial"/>
                <w:color w:val="000000"/>
                <w:sz w:val="18"/>
                <w:szCs w:val="18"/>
                <w:lang w:eastAsia="sl-SI"/>
              </w:rPr>
              <w:t>PRIMORSKO-NOTRANJSKA</w:t>
            </w:r>
          </w:p>
        </w:tc>
        <w:tc>
          <w:tcPr>
            <w:tcW w:w="1642" w:type="pct"/>
            <w:shd w:val="clear" w:color="auto" w:fill="auto"/>
            <w:vAlign w:val="center"/>
            <w:hideMark/>
          </w:tcPr>
          <w:p w14:paraId="28BBA100" w14:textId="77777777" w:rsidR="00E3750C" w:rsidRPr="00D86C76" w:rsidRDefault="00E3750C" w:rsidP="00047864">
            <w:pPr>
              <w:spacing w:after="0" w:line="240" w:lineRule="auto"/>
              <w:rPr>
                <w:rFonts w:ascii="Arial" w:eastAsia="Times New Roman" w:hAnsi="Arial" w:cs="Arial"/>
                <w:color w:val="000000"/>
                <w:sz w:val="18"/>
                <w:szCs w:val="18"/>
                <w:lang w:eastAsia="sl-SI"/>
              </w:rPr>
            </w:pPr>
            <w:r w:rsidRPr="00D86C76">
              <w:rPr>
                <w:rFonts w:ascii="Arial" w:eastAsia="Times New Roman" w:hAnsi="Arial" w:cs="Arial"/>
                <w:color w:val="000000"/>
                <w:sz w:val="18"/>
                <w:szCs w:val="18"/>
                <w:lang w:eastAsia="sl-SI"/>
              </w:rPr>
              <w:t>PRIMORSKO-NOTRANJSKA</w:t>
            </w:r>
          </w:p>
        </w:tc>
        <w:tc>
          <w:tcPr>
            <w:tcW w:w="572" w:type="pct"/>
            <w:shd w:val="clear" w:color="auto" w:fill="auto"/>
            <w:vAlign w:val="center"/>
            <w:hideMark/>
          </w:tcPr>
          <w:p w14:paraId="411C54AB" w14:textId="77777777" w:rsidR="00E3750C" w:rsidRPr="00D86C76" w:rsidRDefault="00E3750C" w:rsidP="00047864">
            <w:pPr>
              <w:spacing w:after="0" w:line="240" w:lineRule="auto"/>
              <w:jc w:val="right"/>
              <w:rPr>
                <w:rFonts w:ascii="Arial" w:eastAsia="Times New Roman" w:hAnsi="Arial" w:cs="Arial"/>
                <w:color w:val="000000"/>
                <w:sz w:val="18"/>
                <w:szCs w:val="18"/>
                <w:lang w:eastAsia="sl-SI"/>
              </w:rPr>
            </w:pPr>
            <w:r w:rsidRPr="00D86C76">
              <w:rPr>
                <w:rFonts w:ascii="Arial" w:hAnsi="Arial" w:cs="Arial"/>
                <w:color w:val="000000"/>
                <w:sz w:val="18"/>
                <w:szCs w:val="18"/>
              </w:rPr>
              <w:t>263</w:t>
            </w:r>
          </w:p>
        </w:tc>
        <w:tc>
          <w:tcPr>
            <w:tcW w:w="1144" w:type="pct"/>
            <w:shd w:val="clear" w:color="auto" w:fill="auto"/>
            <w:vAlign w:val="center"/>
            <w:hideMark/>
          </w:tcPr>
          <w:p w14:paraId="76E8EB86" w14:textId="77777777" w:rsidR="00E3750C" w:rsidRPr="00D86C76" w:rsidRDefault="00E3750C" w:rsidP="00047864">
            <w:pPr>
              <w:spacing w:after="0" w:line="240" w:lineRule="auto"/>
              <w:jc w:val="right"/>
              <w:rPr>
                <w:rFonts w:ascii="Arial" w:eastAsia="Times New Roman" w:hAnsi="Arial" w:cs="Arial"/>
                <w:color w:val="000000"/>
                <w:sz w:val="18"/>
                <w:szCs w:val="18"/>
                <w:lang w:eastAsia="sl-SI"/>
              </w:rPr>
            </w:pPr>
            <w:r w:rsidRPr="00D86C76">
              <w:rPr>
                <w:rFonts w:ascii="Arial" w:hAnsi="Arial" w:cs="Arial"/>
                <w:color w:val="000000"/>
                <w:sz w:val="18"/>
                <w:szCs w:val="18"/>
              </w:rPr>
              <w:t>44.031.132</w:t>
            </w:r>
          </w:p>
        </w:tc>
      </w:tr>
      <w:tr w:rsidR="00E3750C" w:rsidRPr="00D86C76" w14:paraId="49C90F46" w14:textId="77777777" w:rsidTr="00047864">
        <w:trPr>
          <w:trHeight w:val="300"/>
        </w:trPr>
        <w:tc>
          <w:tcPr>
            <w:tcW w:w="1642" w:type="pct"/>
            <w:vMerge/>
            <w:vAlign w:val="center"/>
            <w:hideMark/>
          </w:tcPr>
          <w:p w14:paraId="0722CFEC" w14:textId="77777777" w:rsidR="00E3750C" w:rsidRPr="00D86C76" w:rsidRDefault="00E3750C" w:rsidP="00047864">
            <w:pPr>
              <w:spacing w:after="0" w:line="240" w:lineRule="auto"/>
              <w:rPr>
                <w:rFonts w:ascii="Arial" w:eastAsia="Times New Roman" w:hAnsi="Arial" w:cs="Arial"/>
                <w:color w:val="000000"/>
                <w:sz w:val="18"/>
                <w:szCs w:val="18"/>
                <w:lang w:eastAsia="sl-SI"/>
              </w:rPr>
            </w:pPr>
          </w:p>
        </w:tc>
        <w:tc>
          <w:tcPr>
            <w:tcW w:w="1642" w:type="pct"/>
            <w:shd w:val="clear" w:color="auto" w:fill="auto"/>
            <w:vAlign w:val="center"/>
            <w:hideMark/>
          </w:tcPr>
          <w:p w14:paraId="5D8F4F86" w14:textId="77777777" w:rsidR="00E3750C" w:rsidRPr="00D86C76" w:rsidRDefault="00E3750C" w:rsidP="00047864">
            <w:pPr>
              <w:spacing w:after="0" w:line="240" w:lineRule="auto"/>
              <w:rPr>
                <w:rFonts w:ascii="Arial" w:eastAsia="Times New Roman" w:hAnsi="Arial" w:cs="Arial"/>
                <w:color w:val="000000"/>
                <w:sz w:val="18"/>
                <w:szCs w:val="18"/>
                <w:lang w:eastAsia="sl-SI"/>
              </w:rPr>
            </w:pPr>
            <w:r w:rsidRPr="00D86C76">
              <w:rPr>
                <w:rFonts w:ascii="Arial" w:eastAsia="Times New Roman" w:hAnsi="Arial" w:cs="Arial"/>
                <w:color w:val="000000"/>
                <w:sz w:val="18"/>
                <w:szCs w:val="18"/>
                <w:lang w:eastAsia="sl-SI"/>
              </w:rPr>
              <w:t>ostale regije</w:t>
            </w:r>
          </w:p>
        </w:tc>
        <w:tc>
          <w:tcPr>
            <w:tcW w:w="572" w:type="pct"/>
            <w:shd w:val="clear" w:color="auto" w:fill="auto"/>
            <w:vAlign w:val="center"/>
            <w:hideMark/>
          </w:tcPr>
          <w:p w14:paraId="5DEAA9C2" w14:textId="77777777" w:rsidR="00E3750C" w:rsidRPr="00D86C76" w:rsidRDefault="00E3750C" w:rsidP="00047864">
            <w:pPr>
              <w:spacing w:after="0" w:line="240" w:lineRule="auto"/>
              <w:jc w:val="right"/>
              <w:rPr>
                <w:rFonts w:ascii="Arial" w:eastAsia="Times New Roman" w:hAnsi="Arial" w:cs="Arial"/>
                <w:color w:val="000000"/>
                <w:sz w:val="18"/>
                <w:szCs w:val="18"/>
                <w:lang w:eastAsia="sl-SI"/>
              </w:rPr>
            </w:pPr>
            <w:r w:rsidRPr="00D86C76">
              <w:rPr>
                <w:rFonts w:ascii="Arial" w:hAnsi="Arial" w:cs="Arial"/>
                <w:color w:val="000000"/>
                <w:sz w:val="18"/>
                <w:szCs w:val="18"/>
              </w:rPr>
              <w:t>41</w:t>
            </w:r>
          </w:p>
        </w:tc>
        <w:tc>
          <w:tcPr>
            <w:tcW w:w="1144" w:type="pct"/>
            <w:shd w:val="clear" w:color="auto" w:fill="auto"/>
            <w:vAlign w:val="center"/>
            <w:hideMark/>
          </w:tcPr>
          <w:p w14:paraId="0E7F6EC4" w14:textId="77777777" w:rsidR="00E3750C" w:rsidRPr="00D86C76" w:rsidRDefault="00E3750C" w:rsidP="00047864">
            <w:pPr>
              <w:spacing w:after="0" w:line="240" w:lineRule="auto"/>
              <w:jc w:val="right"/>
              <w:rPr>
                <w:rFonts w:ascii="Arial" w:eastAsia="Times New Roman" w:hAnsi="Arial" w:cs="Arial"/>
                <w:color w:val="000000"/>
                <w:sz w:val="18"/>
                <w:szCs w:val="18"/>
                <w:lang w:eastAsia="sl-SI"/>
              </w:rPr>
            </w:pPr>
            <w:r w:rsidRPr="00D86C76">
              <w:rPr>
                <w:rFonts w:ascii="Arial" w:hAnsi="Arial" w:cs="Arial"/>
                <w:color w:val="000000"/>
                <w:sz w:val="18"/>
                <w:szCs w:val="18"/>
              </w:rPr>
              <w:t>2.267.859</w:t>
            </w:r>
          </w:p>
        </w:tc>
      </w:tr>
      <w:tr w:rsidR="00E3750C" w:rsidRPr="00D86C76" w14:paraId="4643C5DB" w14:textId="77777777" w:rsidTr="00047864">
        <w:trPr>
          <w:trHeight w:val="300"/>
        </w:trPr>
        <w:tc>
          <w:tcPr>
            <w:tcW w:w="1642" w:type="pct"/>
            <w:vMerge/>
            <w:vAlign w:val="center"/>
            <w:hideMark/>
          </w:tcPr>
          <w:p w14:paraId="415BC181" w14:textId="77777777" w:rsidR="00E3750C" w:rsidRPr="00D86C76" w:rsidRDefault="00E3750C" w:rsidP="00047864">
            <w:pPr>
              <w:spacing w:after="0" w:line="240" w:lineRule="auto"/>
              <w:rPr>
                <w:rFonts w:ascii="Arial" w:eastAsia="Times New Roman" w:hAnsi="Arial" w:cs="Arial"/>
                <w:color w:val="000000"/>
                <w:sz w:val="18"/>
                <w:szCs w:val="18"/>
                <w:lang w:eastAsia="sl-SI"/>
              </w:rPr>
            </w:pPr>
          </w:p>
        </w:tc>
        <w:tc>
          <w:tcPr>
            <w:tcW w:w="1642" w:type="pct"/>
            <w:shd w:val="clear" w:color="auto" w:fill="auto"/>
            <w:vAlign w:val="center"/>
            <w:hideMark/>
          </w:tcPr>
          <w:p w14:paraId="781B39DE" w14:textId="77777777" w:rsidR="00E3750C" w:rsidRPr="00D86C76" w:rsidRDefault="00E3750C" w:rsidP="00047864">
            <w:pPr>
              <w:spacing w:after="0" w:line="240" w:lineRule="auto"/>
              <w:rPr>
                <w:rFonts w:ascii="Arial" w:eastAsia="Times New Roman" w:hAnsi="Arial" w:cs="Arial"/>
                <w:b/>
                <w:bCs/>
                <w:color w:val="000000"/>
                <w:sz w:val="18"/>
                <w:szCs w:val="18"/>
                <w:lang w:eastAsia="sl-SI"/>
              </w:rPr>
            </w:pPr>
            <w:r w:rsidRPr="00D86C76">
              <w:rPr>
                <w:rFonts w:ascii="Arial" w:eastAsia="Times New Roman" w:hAnsi="Arial" w:cs="Arial"/>
                <w:b/>
                <w:bCs/>
                <w:color w:val="000000"/>
                <w:sz w:val="18"/>
                <w:szCs w:val="18"/>
                <w:lang w:eastAsia="sl-SI"/>
              </w:rPr>
              <w:t>Skupaj</w:t>
            </w:r>
          </w:p>
        </w:tc>
        <w:tc>
          <w:tcPr>
            <w:tcW w:w="572" w:type="pct"/>
            <w:shd w:val="clear" w:color="auto" w:fill="auto"/>
            <w:vAlign w:val="center"/>
            <w:hideMark/>
          </w:tcPr>
          <w:p w14:paraId="4787E8D8" w14:textId="77777777" w:rsidR="00E3750C" w:rsidRPr="00D86C76" w:rsidRDefault="00E3750C" w:rsidP="00047864">
            <w:pPr>
              <w:spacing w:after="0" w:line="240" w:lineRule="auto"/>
              <w:jc w:val="right"/>
              <w:rPr>
                <w:rFonts w:ascii="Arial" w:eastAsia="Times New Roman" w:hAnsi="Arial" w:cs="Arial"/>
                <w:b/>
                <w:bCs/>
                <w:color w:val="000000"/>
                <w:sz w:val="18"/>
                <w:szCs w:val="18"/>
                <w:lang w:eastAsia="sl-SI"/>
              </w:rPr>
            </w:pPr>
            <w:r w:rsidRPr="00D86C76">
              <w:rPr>
                <w:rFonts w:ascii="Arial" w:hAnsi="Arial" w:cs="Arial"/>
                <w:b/>
                <w:bCs/>
                <w:color w:val="000000"/>
                <w:sz w:val="18"/>
                <w:szCs w:val="18"/>
              </w:rPr>
              <w:t>304</w:t>
            </w:r>
          </w:p>
        </w:tc>
        <w:tc>
          <w:tcPr>
            <w:tcW w:w="1144" w:type="pct"/>
            <w:shd w:val="clear" w:color="auto" w:fill="auto"/>
            <w:vAlign w:val="center"/>
            <w:hideMark/>
          </w:tcPr>
          <w:p w14:paraId="43FC6F39" w14:textId="77777777" w:rsidR="00E3750C" w:rsidRPr="00D86C76" w:rsidRDefault="00E3750C" w:rsidP="00047864">
            <w:pPr>
              <w:spacing w:after="0" w:line="240" w:lineRule="auto"/>
              <w:jc w:val="right"/>
              <w:rPr>
                <w:rFonts w:ascii="Arial" w:eastAsia="Times New Roman" w:hAnsi="Arial" w:cs="Arial"/>
                <w:b/>
                <w:bCs/>
                <w:color w:val="000000"/>
                <w:sz w:val="18"/>
                <w:szCs w:val="18"/>
                <w:lang w:eastAsia="sl-SI"/>
              </w:rPr>
            </w:pPr>
            <w:r w:rsidRPr="00D86C76">
              <w:rPr>
                <w:rFonts w:ascii="Arial" w:hAnsi="Arial" w:cs="Arial"/>
                <w:b/>
                <w:bCs/>
                <w:color w:val="000000"/>
                <w:sz w:val="18"/>
                <w:szCs w:val="18"/>
              </w:rPr>
              <w:t>46.298.991</w:t>
            </w:r>
          </w:p>
        </w:tc>
      </w:tr>
      <w:tr w:rsidR="00E3750C" w:rsidRPr="00D86C76" w14:paraId="764E7CB0" w14:textId="77777777" w:rsidTr="00047864">
        <w:trPr>
          <w:trHeight w:val="300"/>
        </w:trPr>
        <w:tc>
          <w:tcPr>
            <w:tcW w:w="1642" w:type="pct"/>
            <w:vMerge w:val="restart"/>
            <w:shd w:val="clear" w:color="auto" w:fill="auto"/>
            <w:vAlign w:val="center"/>
            <w:hideMark/>
          </w:tcPr>
          <w:p w14:paraId="310A4ED5" w14:textId="77777777" w:rsidR="00E3750C" w:rsidRPr="00D86C76" w:rsidRDefault="00E3750C" w:rsidP="00047864">
            <w:pPr>
              <w:spacing w:after="0" w:line="240" w:lineRule="auto"/>
              <w:rPr>
                <w:rFonts w:ascii="Arial" w:eastAsia="Times New Roman" w:hAnsi="Arial" w:cs="Arial"/>
                <w:color w:val="000000"/>
                <w:sz w:val="18"/>
                <w:szCs w:val="18"/>
                <w:lang w:eastAsia="sl-SI"/>
              </w:rPr>
            </w:pPr>
            <w:r w:rsidRPr="00D86C76">
              <w:rPr>
                <w:rFonts w:ascii="Arial" w:eastAsia="Times New Roman" w:hAnsi="Arial" w:cs="Arial"/>
                <w:color w:val="000000"/>
                <w:sz w:val="18"/>
                <w:szCs w:val="18"/>
                <w:lang w:eastAsia="sl-SI"/>
              </w:rPr>
              <w:t>SAVINJSKA</w:t>
            </w:r>
          </w:p>
        </w:tc>
        <w:tc>
          <w:tcPr>
            <w:tcW w:w="1642" w:type="pct"/>
            <w:shd w:val="clear" w:color="auto" w:fill="auto"/>
            <w:vAlign w:val="center"/>
            <w:hideMark/>
          </w:tcPr>
          <w:p w14:paraId="737F06E9" w14:textId="77777777" w:rsidR="00E3750C" w:rsidRPr="00D86C76" w:rsidRDefault="00E3750C" w:rsidP="00047864">
            <w:pPr>
              <w:spacing w:after="0" w:line="240" w:lineRule="auto"/>
              <w:rPr>
                <w:rFonts w:ascii="Arial" w:eastAsia="Times New Roman" w:hAnsi="Arial" w:cs="Arial"/>
                <w:color w:val="000000"/>
                <w:sz w:val="18"/>
                <w:szCs w:val="18"/>
                <w:lang w:eastAsia="sl-SI"/>
              </w:rPr>
            </w:pPr>
            <w:r w:rsidRPr="00D86C76">
              <w:rPr>
                <w:rFonts w:ascii="Arial" w:eastAsia="Times New Roman" w:hAnsi="Arial" w:cs="Arial"/>
                <w:color w:val="000000"/>
                <w:sz w:val="18"/>
                <w:szCs w:val="18"/>
                <w:lang w:eastAsia="sl-SI"/>
              </w:rPr>
              <w:t>SAVINJSKA</w:t>
            </w:r>
          </w:p>
        </w:tc>
        <w:tc>
          <w:tcPr>
            <w:tcW w:w="572" w:type="pct"/>
            <w:shd w:val="clear" w:color="auto" w:fill="auto"/>
            <w:vAlign w:val="center"/>
            <w:hideMark/>
          </w:tcPr>
          <w:p w14:paraId="6B390810" w14:textId="77777777" w:rsidR="00E3750C" w:rsidRPr="00D86C76" w:rsidRDefault="00E3750C" w:rsidP="00047864">
            <w:pPr>
              <w:spacing w:after="0" w:line="240" w:lineRule="auto"/>
              <w:jc w:val="right"/>
              <w:rPr>
                <w:rFonts w:ascii="Arial" w:eastAsia="Times New Roman" w:hAnsi="Arial" w:cs="Arial"/>
                <w:color w:val="000000"/>
                <w:sz w:val="18"/>
                <w:szCs w:val="18"/>
                <w:lang w:eastAsia="sl-SI"/>
              </w:rPr>
            </w:pPr>
            <w:r w:rsidRPr="00D86C76">
              <w:rPr>
                <w:rFonts w:ascii="Arial" w:hAnsi="Arial" w:cs="Arial"/>
                <w:color w:val="000000"/>
                <w:sz w:val="18"/>
                <w:szCs w:val="18"/>
              </w:rPr>
              <w:t>1.612</w:t>
            </w:r>
          </w:p>
        </w:tc>
        <w:tc>
          <w:tcPr>
            <w:tcW w:w="1144" w:type="pct"/>
            <w:shd w:val="clear" w:color="auto" w:fill="auto"/>
            <w:vAlign w:val="center"/>
            <w:hideMark/>
          </w:tcPr>
          <w:p w14:paraId="05F72B8D" w14:textId="77777777" w:rsidR="00E3750C" w:rsidRPr="00D86C76" w:rsidRDefault="00E3750C" w:rsidP="00047864">
            <w:pPr>
              <w:spacing w:after="0" w:line="240" w:lineRule="auto"/>
              <w:jc w:val="right"/>
              <w:rPr>
                <w:rFonts w:ascii="Arial" w:eastAsia="Times New Roman" w:hAnsi="Arial" w:cs="Arial"/>
                <w:color w:val="000000"/>
                <w:sz w:val="18"/>
                <w:szCs w:val="18"/>
                <w:lang w:eastAsia="sl-SI"/>
              </w:rPr>
            </w:pPr>
            <w:r w:rsidRPr="00D86C76">
              <w:rPr>
                <w:rFonts w:ascii="Arial" w:hAnsi="Arial" w:cs="Arial"/>
                <w:color w:val="000000"/>
                <w:sz w:val="18"/>
                <w:szCs w:val="18"/>
              </w:rPr>
              <w:t>443.691.774</w:t>
            </w:r>
          </w:p>
        </w:tc>
      </w:tr>
      <w:tr w:rsidR="00E3750C" w:rsidRPr="00D86C76" w14:paraId="0E2682E7" w14:textId="77777777" w:rsidTr="00047864">
        <w:trPr>
          <w:trHeight w:val="300"/>
        </w:trPr>
        <w:tc>
          <w:tcPr>
            <w:tcW w:w="1642" w:type="pct"/>
            <w:vMerge/>
            <w:vAlign w:val="center"/>
            <w:hideMark/>
          </w:tcPr>
          <w:p w14:paraId="3C125C2E" w14:textId="77777777" w:rsidR="00E3750C" w:rsidRPr="00D86C76" w:rsidRDefault="00E3750C" w:rsidP="00047864">
            <w:pPr>
              <w:spacing w:after="0" w:line="240" w:lineRule="auto"/>
              <w:rPr>
                <w:rFonts w:ascii="Arial" w:eastAsia="Times New Roman" w:hAnsi="Arial" w:cs="Arial"/>
                <w:color w:val="000000"/>
                <w:sz w:val="18"/>
                <w:szCs w:val="18"/>
                <w:lang w:eastAsia="sl-SI"/>
              </w:rPr>
            </w:pPr>
          </w:p>
        </w:tc>
        <w:tc>
          <w:tcPr>
            <w:tcW w:w="1642" w:type="pct"/>
            <w:shd w:val="clear" w:color="auto" w:fill="auto"/>
            <w:vAlign w:val="center"/>
            <w:hideMark/>
          </w:tcPr>
          <w:p w14:paraId="27672E73" w14:textId="77777777" w:rsidR="00E3750C" w:rsidRPr="00D86C76" w:rsidRDefault="00E3750C" w:rsidP="00047864">
            <w:pPr>
              <w:spacing w:after="0" w:line="240" w:lineRule="auto"/>
              <w:rPr>
                <w:rFonts w:ascii="Arial" w:eastAsia="Times New Roman" w:hAnsi="Arial" w:cs="Arial"/>
                <w:color w:val="000000"/>
                <w:sz w:val="18"/>
                <w:szCs w:val="18"/>
                <w:lang w:eastAsia="sl-SI"/>
              </w:rPr>
            </w:pPr>
            <w:r w:rsidRPr="00D86C76">
              <w:rPr>
                <w:rFonts w:ascii="Arial" w:eastAsia="Times New Roman" w:hAnsi="Arial" w:cs="Arial"/>
                <w:color w:val="000000"/>
                <w:sz w:val="18"/>
                <w:szCs w:val="18"/>
                <w:lang w:eastAsia="sl-SI"/>
              </w:rPr>
              <w:t>ostale regije</w:t>
            </w:r>
          </w:p>
        </w:tc>
        <w:tc>
          <w:tcPr>
            <w:tcW w:w="572" w:type="pct"/>
            <w:shd w:val="clear" w:color="auto" w:fill="auto"/>
            <w:vAlign w:val="center"/>
            <w:hideMark/>
          </w:tcPr>
          <w:p w14:paraId="3C6DAE2C" w14:textId="77777777" w:rsidR="00E3750C" w:rsidRPr="00D86C76" w:rsidRDefault="00E3750C" w:rsidP="00047864">
            <w:pPr>
              <w:spacing w:after="0" w:line="240" w:lineRule="auto"/>
              <w:jc w:val="right"/>
              <w:rPr>
                <w:rFonts w:ascii="Arial" w:eastAsia="Times New Roman" w:hAnsi="Arial" w:cs="Arial"/>
                <w:color w:val="000000"/>
                <w:sz w:val="18"/>
                <w:szCs w:val="18"/>
                <w:lang w:eastAsia="sl-SI"/>
              </w:rPr>
            </w:pPr>
            <w:r w:rsidRPr="00D86C76">
              <w:rPr>
                <w:rFonts w:ascii="Arial" w:hAnsi="Arial" w:cs="Arial"/>
                <w:color w:val="000000"/>
                <w:sz w:val="18"/>
                <w:szCs w:val="18"/>
              </w:rPr>
              <w:t>526</w:t>
            </w:r>
          </w:p>
        </w:tc>
        <w:tc>
          <w:tcPr>
            <w:tcW w:w="1144" w:type="pct"/>
            <w:shd w:val="clear" w:color="auto" w:fill="auto"/>
            <w:vAlign w:val="center"/>
            <w:hideMark/>
          </w:tcPr>
          <w:p w14:paraId="56BF90E5" w14:textId="77777777" w:rsidR="00E3750C" w:rsidRPr="00D86C76" w:rsidRDefault="00E3750C" w:rsidP="00047864">
            <w:pPr>
              <w:spacing w:after="0" w:line="240" w:lineRule="auto"/>
              <w:jc w:val="right"/>
              <w:rPr>
                <w:rFonts w:ascii="Arial" w:eastAsia="Times New Roman" w:hAnsi="Arial" w:cs="Arial"/>
                <w:color w:val="000000"/>
                <w:sz w:val="18"/>
                <w:szCs w:val="18"/>
                <w:lang w:eastAsia="sl-SI"/>
              </w:rPr>
            </w:pPr>
            <w:r w:rsidRPr="00D86C76">
              <w:rPr>
                <w:rFonts w:ascii="Arial" w:hAnsi="Arial" w:cs="Arial"/>
                <w:color w:val="000000"/>
                <w:sz w:val="18"/>
                <w:szCs w:val="18"/>
              </w:rPr>
              <w:t>148.865.979</w:t>
            </w:r>
          </w:p>
        </w:tc>
      </w:tr>
      <w:tr w:rsidR="00E3750C" w:rsidRPr="00D86C76" w14:paraId="6F44005E" w14:textId="77777777" w:rsidTr="00047864">
        <w:trPr>
          <w:trHeight w:val="300"/>
        </w:trPr>
        <w:tc>
          <w:tcPr>
            <w:tcW w:w="1642" w:type="pct"/>
            <w:vMerge/>
            <w:vAlign w:val="center"/>
            <w:hideMark/>
          </w:tcPr>
          <w:p w14:paraId="767885FF" w14:textId="77777777" w:rsidR="00E3750C" w:rsidRPr="00D86C76" w:rsidRDefault="00E3750C" w:rsidP="00047864">
            <w:pPr>
              <w:spacing w:after="0" w:line="240" w:lineRule="auto"/>
              <w:rPr>
                <w:rFonts w:ascii="Arial" w:eastAsia="Times New Roman" w:hAnsi="Arial" w:cs="Arial"/>
                <w:color w:val="000000"/>
                <w:sz w:val="18"/>
                <w:szCs w:val="18"/>
                <w:lang w:eastAsia="sl-SI"/>
              </w:rPr>
            </w:pPr>
          </w:p>
        </w:tc>
        <w:tc>
          <w:tcPr>
            <w:tcW w:w="1642" w:type="pct"/>
            <w:shd w:val="clear" w:color="auto" w:fill="auto"/>
            <w:vAlign w:val="center"/>
            <w:hideMark/>
          </w:tcPr>
          <w:p w14:paraId="08B97CAE" w14:textId="77777777" w:rsidR="00E3750C" w:rsidRPr="00D86C76" w:rsidRDefault="00E3750C" w:rsidP="00047864">
            <w:pPr>
              <w:spacing w:after="0" w:line="240" w:lineRule="auto"/>
              <w:rPr>
                <w:rFonts w:ascii="Arial" w:eastAsia="Times New Roman" w:hAnsi="Arial" w:cs="Arial"/>
                <w:b/>
                <w:bCs/>
                <w:color w:val="000000"/>
                <w:sz w:val="18"/>
                <w:szCs w:val="18"/>
                <w:lang w:eastAsia="sl-SI"/>
              </w:rPr>
            </w:pPr>
            <w:r w:rsidRPr="00D86C76">
              <w:rPr>
                <w:rFonts w:ascii="Arial" w:eastAsia="Times New Roman" w:hAnsi="Arial" w:cs="Arial"/>
                <w:b/>
                <w:bCs/>
                <w:color w:val="000000"/>
                <w:sz w:val="18"/>
                <w:szCs w:val="18"/>
                <w:lang w:eastAsia="sl-SI"/>
              </w:rPr>
              <w:t>Skupaj</w:t>
            </w:r>
          </w:p>
        </w:tc>
        <w:tc>
          <w:tcPr>
            <w:tcW w:w="572" w:type="pct"/>
            <w:shd w:val="clear" w:color="auto" w:fill="auto"/>
            <w:vAlign w:val="center"/>
            <w:hideMark/>
          </w:tcPr>
          <w:p w14:paraId="4EF0C832" w14:textId="77777777" w:rsidR="00E3750C" w:rsidRPr="00D86C76" w:rsidRDefault="00E3750C" w:rsidP="00047864">
            <w:pPr>
              <w:spacing w:after="0" w:line="240" w:lineRule="auto"/>
              <w:jc w:val="right"/>
              <w:rPr>
                <w:rFonts w:ascii="Arial" w:eastAsia="Times New Roman" w:hAnsi="Arial" w:cs="Arial"/>
                <w:b/>
                <w:bCs/>
                <w:color w:val="000000"/>
                <w:sz w:val="18"/>
                <w:szCs w:val="18"/>
                <w:lang w:eastAsia="sl-SI"/>
              </w:rPr>
            </w:pPr>
            <w:r w:rsidRPr="00D86C76">
              <w:rPr>
                <w:rFonts w:ascii="Arial" w:hAnsi="Arial" w:cs="Arial"/>
                <w:b/>
                <w:bCs/>
                <w:color w:val="000000"/>
                <w:sz w:val="18"/>
                <w:szCs w:val="18"/>
              </w:rPr>
              <w:t>2.138</w:t>
            </w:r>
          </w:p>
        </w:tc>
        <w:tc>
          <w:tcPr>
            <w:tcW w:w="1144" w:type="pct"/>
            <w:shd w:val="clear" w:color="auto" w:fill="auto"/>
            <w:vAlign w:val="center"/>
            <w:hideMark/>
          </w:tcPr>
          <w:p w14:paraId="063D0DB8" w14:textId="77777777" w:rsidR="00E3750C" w:rsidRPr="00D86C76" w:rsidRDefault="00E3750C" w:rsidP="00047864">
            <w:pPr>
              <w:spacing w:after="0" w:line="240" w:lineRule="auto"/>
              <w:jc w:val="right"/>
              <w:rPr>
                <w:rFonts w:ascii="Arial" w:eastAsia="Times New Roman" w:hAnsi="Arial" w:cs="Arial"/>
                <w:b/>
                <w:bCs/>
                <w:color w:val="000000"/>
                <w:sz w:val="18"/>
                <w:szCs w:val="18"/>
                <w:lang w:eastAsia="sl-SI"/>
              </w:rPr>
            </w:pPr>
            <w:r w:rsidRPr="00D86C76">
              <w:rPr>
                <w:rFonts w:ascii="Arial" w:hAnsi="Arial" w:cs="Arial"/>
                <w:b/>
                <w:bCs/>
                <w:color w:val="000000"/>
                <w:sz w:val="18"/>
                <w:szCs w:val="18"/>
              </w:rPr>
              <w:t>592.557.753</w:t>
            </w:r>
          </w:p>
        </w:tc>
      </w:tr>
      <w:tr w:rsidR="00E3750C" w:rsidRPr="00D86C76" w14:paraId="2023349C" w14:textId="77777777" w:rsidTr="00047864">
        <w:trPr>
          <w:trHeight w:val="300"/>
        </w:trPr>
        <w:tc>
          <w:tcPr>
            <w:tcW w:w="1642" w:type="pct"/>
            <w:vMerge w:val="restart"/>
            <w:shd w:val="clear" w:color="auto" w:fill="auto"/>
            <w:vAlign w:val="center"/>
            <w:hideMark/>
          </w:tcPr>
          <w:p w14:paraId="1ECEFCA7" w14:textId="77777777" w:rsidR="00E3750C" w:rsidRPr="00D86C76" w:rsidRDefault="00E3750C" w:rsidP="00047864">
            <w:pPr>
              <w:spacing w:after="0" w:line="240" w:lineRule="auto"/>
              <w:rPr>
                <w:rFonts w:ascii="Arial" w:eastAsia="Times New Roman" w:hAnsi="Arial" w:cs="Arial"/>
                <w:color w:val="000000"/>
                <w:sz w:val="18"/>
                <w:szCs w:val="18"/>
                <w:lang w:eastAsia="sl-SI"/>
              </w:rPr>
            </w:pPr>
            <w:r w:rsidRPr="00D86C76">
              <w:rPr>
                <w:rFonts w:ascii="Arial" w:eastAsia="Times New Roman" w:hAnsi="Arial" w:cs="Arial"/>
                <w:color w:val="000000"/>
                <w:sz w:val="18"/>
                <w:szCs w:val="18"/>
                <w:lang w:eastAsia="sl-SI"/>
              </w:rPr>
              <w:t>ZASAVSKA</w:t>
            </w:r>
          </w:p>
        </w:tc>
        <w:tc>
          <w:tcPr>
            <w:tcW w:w="1642" w:type="pct"/>
            <w:shd w:val="clear" w:color="auto" w:fill="auto"/>
            <w:vAlign w:val="center"/>
            <w:hideMark/>
          </w:tcPr>
          <w:p w14:paraId="05BF58BB" w14:textId="77777777" w:rsidR="00E3750C" w:rsidRPr="00D86C76" w:rsidRDefault="00E3750C" w:rsidP="00047864">
            <w:pPr>
              <w:spacing w:after="0" w:line="240" w:lineRule="auto"/>
              <w:rPr>
                <w:rFonts w:ascii="Arial" w:eastAsia="Times New Roman" w:hAnsi="Arial" w:cs="Arial"/>
                <w:color w:val="000000"/>
                <w:sz w:val="18"/>
                <w:szCs w:val="18"/>
                <w:lang w:eastAsia="sl-SI"/>
              </w:rPr>
            </w:pPr>
            <w:r w:rsidRPr="00D86C76">
              <w:rPr>
                <w:rFonts w:ascii="Arial" w:eastAsia="Times New Roman" w:hAnsi="Arial" w:cs="Arial"/>
                <w:color w:val="000000"/>
                <w:sz w:val="18"/>
                <w:szCs w:val="18"/>
                <w:lang w:eastAsia="sl-SI"/>
              </w:rPr>
              <w:t>ZASAVSKA</w:t>
            </w:r>
          </w:p>
        </w:tc>
        <w:tc>
          <w:tcPr>
            <w:tcW w:w="572" w:type="pct"/>
            <w:shd w:val="clear" w:color="auto" w:fill="auto"/>
            <w:vAlign w:val="center"/>
            <w:hideMark/>
          </w:tcPr>
          <w:p w14:paraId="18BBAB0B" w14:textId="77777777" w:rsidR="00E3750C" w:rsidRPr="00D86C76" w:rsidRDefault="00E3750C" w:rsidP="00047864">
            <w:pPr>
              <w:spacing w:after="0" w:line="240" w:lineRule="auto"/>
              <w:jc w:val="right"/>
              <w:rPr>
                <w:rFonts w:ascii="Arial" w:eastAsia="Times New Roman" w:hAnsi="Arial" w:cs="Arial"/>
                <w:color w:val="000000"/>
                <w:sz w:val="18"/>
                <w:szCs w:val="18"/>
                <w:lang w:eastAsia="sl-SI"/>
              </w:rPr>
            </w:pPr>
            <w:r w:rsidRPr="00D86C76">
              <w:rPr>
                <w:rFonts w:ascii="Arial" w:hAnsi="Arial" w:cs="Arial"/>
                <w:color w:val="000000"/>
                <w:sz w:val="18"/>
                <w:szCs w:val="18"/>
              </w:rPr>
              <w:t>183</w:t>
            </w:r>
          </w:p>
        </w:tc>
        <w:tc>
          <w:tcPr>
            <w:tcW w:w="1144" w:type="pct"/>
            <w:shd w:val="clear" w:color="auto" w:fill="auto"/>
            <w:vAlign w:val="center"/>
            <w:hideMark/>
          </w:tcPr>
          <w:p w14:paraId="729D85CE" w14:textId="77777777" w:rsidR="00E3750C" w:rsidRPr="00D86C76" w:rsidRDefault="00E3750C" w:rsidP="00047864">
            <w:pPr>
              <w:spacing w:after="0" w:line="240" w:lineRule="auto"/>
              <w:jc w:val="right"/>
              <w:rPr>
                <w:rFonts w:ascii="Arial" w:eastAsia="Times New Roman" w:hAnsi="Arial" w:cs="Arial"/>
                <w:color w:val="000000"/>
                <w:sz w:val="18"/>
                <w:szCs w:val="18"/>
                <w:lang w:eastAsia="sl-SI"/>
              </w:rPr>
            </w:pPr>
            <w:r w:rsidRPr="00D86C76">
              <w:rPr>
                <w:rFonts w:ascii="Arial" w:hAnsi="Arial" w:cs="Arial"/>
                <w:color w:val="000000"/>
                <w:sz w:val="18"/>
                <w:szCs w:val="18"/>
              </w:rPr>
              <w:t>14.485.528</w:t>
            </w:r>
          </w:p>
        </w:tc>
      </w:tr>
      <w:tr w:rsidR="00E3750C" w:rsidRPr="00D86C76" w14:paraId="681883C4" w14:textId="77777777" w:rsidTr="00047864">
        <w:trPr>
          <w:trHeight w:val="300"/>
        </w:trPr>
        <w:tc>
          <w:tcPr>
            <w:tcW w:w="1642" w:type="pct"/>
            <w:vMerge/>
            <w:vAlign w:val="center"/>
            <w:hideMark/>
          </w:tcPr>
          <w:p w14:paraId="01A6196B" w14:textId="77777777" w:rsidR="00E3750C" w:rsidRPr="00D86C76" w:rsidRDefault="00E3750C" w:rsidP="00047864">
            <w:pPr>
              <w:spacing w:after="0" w:line="240" w:lineRule="auto"/>
              <w:rPr>
                <w:rFonts w:ascii="Arial" w:eastAsia="Times New Roman" w:hAnsi="Arial" w:cs="Arial"/>
                <w:color w:val="000000"/>
                <w:sz w:val="18"/>
                <w:szCs w:val="18"/>
                <w:lang w:eastAsia="sl-SI"/>
              </w:rPr>
            </w:pPr>
          </w:p>
        </w:tc>
        <w:tc>
          <w:tcPr>
            <w:tcW w:w="1642" w:type="pct"/>
            <w:shd w:val="clear" w:color="auto" w:fill="auto"/>
            <w:vAlign w:val="center"/>
            <w:hideMark/>
          </w:tcPr>
          <w:p w14:paraId="5C29E20E" w14:textId="77777777" w:rsidR="00E3750C" w:rsidRPr="00D86C76" w:rsidRDefault="00E3750C" w:rsidP="00047864">
            <w:pPr>
              <w:spacing w:after="0" w:line="240" w:lineRule="auto"/>
              <w:rPr>
                <w:rFonts w:ascii="Arial" w:eastAsia="Times New Roman" w:hAnsi="Arial" w:cs="Arial"/>
                <w:color w:val="000000"/>
                <w:sz w:val="18"/>
                <w:szCs w:val="18"/>
                <w:lang w:eastAsia="sl-SI"/>
              </w:rPr>
            </w:pPr>
            <w:r w:rsidRPr="00D86C76">
              <w:rPr>
                <w:rFonts w:ascii="Arial" w:eastAsia="Times New Roman" w:hAnsi="Arial" w:cs="Arial"/>
                <w:color w:val="000000"/>
                <w:sz w:val="18"/>
                <w:szCs w:val="18"/>
                <w:lang w:eastAsia="sl-SI"/>
              </w:rPr>
              <w:t>ostale regije</w:t>
            </w:r>
          </w:p>
        </w:tc>
        <w:tc>
          <w:tcPr>
            <w:tcW w:w="572" w:type="pct"/>
            <w:shd w:val="clear" w:color="auto" w:fill="auto"/>
            <w:vAlign w:val="center"/>
            <w:hideMark/>
          </w:tcPr>
          <w:p w14:paraId="4DD2182A" w14:textId="77777777" w:rsidR="00E3750C" w:rsidRPr="00D86C76" w:rsidRDefault="00E3750C" w:rsidP="00047864">
            <w:pPr>
              <w:spacing w:after="0" w:line="240" w:lineRule="auto"/>
              <w:jc w:val="right"/>
              <w:rPr>
                <w:rFonts w:ascii="Arial" w:eastAsia="Times New Roman" w:hAnsi="Arial" w:cs="Arial"/>
                <w:color w:val="000000"/>
                <w:sz w:val="18"/>
                <w:szCs w:val="18"/>
                <w:lang w:eastAsia="sl-SI"/>
              </w:rPr>
            </w:pPr>
            <w:r w:rsidRPr="00D86C76">
              <w:rPr>
                <w:rFonts w:ascii="Arial" w:hAnsi="Arial" w:cs="Arial"/>
                <w:color w:val="000000"/>
                <w:sz w:val="18"/>
                <w:szCs w:val="18"/>
              </w:rPr>
              <w:t>38</w:t>
            </w:r>
          </w:p>
        </w:tc>
        <w:tc>
          <w:tcPr>
            <w:tcW w:w="1144" w:type="pct"/>
            <w:shd w:val="clear" w:color="auto" w:fill="auto"/>
            <w:vAlign w:val="center"/>
            <w:hideMark/>
          </w:tcPr>
          <w:p w14:paraId="0FF5E9D7" w14:textId="77777777" w:rsidR="00E3750C" w:rsidRPr="00D86C76" w:rsidRDefault="00E3750C" w:rsidP="00047864">
            <w:pPr>
              <w:spacing w:after="0" w:line="240" w:lineRule="auto"/>
              <w:jc w:val="right"/>
              <w:rPr>
                <w:rFonts w:ascii="Arial" w:eastAsia="Times New Roman" w:hAnsi="Arial" w:cs="Arial"/>
                <w:color w:val="000000"/>
                <w:sz w:val="18"/>
                <w:szCs w:val="18"/>
                <w:lang w:eastAsia="sl-SI"/>
              </w:rPr>
            </w:pPr>
            <w:r w:rsidRPr="00D86C76">
              <w:rPr>
                <w:rFonts w:ascii="Arial" w:hAnsi="Arial" w:cs="Arial"/>
                <w:color w:val="000000"/>
                <w:sz w:val="18"/>
                <w:szCs w:val="18"/>
              </w:rPr>
              <w:t>10.076.609</w:t>
            </w:r>
          </w:p>
        </w:tc>
      </w:tr>
      <w:tr w:rsidR="00E3750C" w:rsidRPr="00D86C76" w14:paraId="043E89F3" w14:textId="77777777" w:rsidTr="00047864">
        <w:trPr>
          <w:trHeight w:val="300"/>
        </w:trPr>
        <w:tc>
          <w:tcPr>
            <w:tcW w:w="1642" w:type="pct"/>
            <w:vMerge/>
            <w:vAlign w:val="center"/>
            <w:hideMark/>
          </w:tcPr>
          <w:p w14:paraId="0F83EBEB" w14:textId="77777777" w:rsidR="00E3750C" w:rsidRPr="00D86C76" w:rsidRDefault="00E3750C" w:rsidP="00047864">
            <w:pPr>
              <w:spacing w:after="0" w:line="240" w:lineRule="auto"/>
              <w:rPr>
                <w:rFonts w:ascii="Arial" w:eastAsia="Times New Roman" w:hAnsi="Arial" w:cs="Arial"/>
                <w:color w:val="000000"/>
                <w:sz w:val="18"/>
                <w:szCs w:val="18"/>
                <w:lang w:eastAsia="sl-SI"/>
              </w:rPr>
            </w:pPr>
          </w:p>
        </w:tc>
        <w:tc>
          <w:tcPr>
            <w:tcW w:w="1642" w:type="pct"/>
            <w:shd w:val="clear" w:color="auto" w:fill="auto"/>
            <w:vAlign w:val="center"/>
            <w:hideMark/>
          </w:tcPr>
          <w:p w14:paraId="52FE578F" w14:textId="77777777" w:rsidR="00E3750C" w:rsidRPr="00D86C76" w:rsidRDefault="00E3750C" w:rsidP="00047864">
            <w:pPr>
              <w:spacing w:after="0" w:line="240" w:lineRule="auto"/>
              <w:rPr>
                <w:rFonts w:ascii="Arial" w:eastAsia="Times New Roman" w:hAnsi="Arial" w:cs="Arial"/>
                <w:b/>
                <w:bCs/>
                <w:color w:val="000000"/>
                <w:sz w:val="18"/>
                <w:szCs w:val="18"/>
                <w:lang w:eastAsia="sl-SI"/>
              </w:rPr>
            </w:pPr>
            <w:r w:rsidRPr="00D86C76">
              <w:rPr>
                <w:rFonts w:ascii="Arial" w:eastAsia="Times New Roman" w:hAnsi="Arial" w:cs="Arial"/>
                <w:b/>
                <w:bCs/>
                <w:color w:val="000000"/>
                <w:sz w:val="18"/>
                <w:szCs w:val="18"/>
                <w:lang w:eastAsia="sl-SI"/>
              </w:rPr>
              <w:t>Skupaj</w:t>
            </w:r>
          </w:p>
        </w:tc>
        <w:tc>
          <w:tcPr>
            <w:tcW w:w="572" w:type="pct"/>
            <w:shd w:val="clear" w:color="auto" w:fill="auto"/>
            <w:vAlign w:val="center"/>
            <w:hideMark/>
          </w:tcPr>
          <w:p w14:paraId="0271E3D7" w14:textId="77777777" w:rsidR="00E3750C" w:rsidRPr="00D86C76" w:rsidRDefault="00E3750C" w:rsidP="00047864">
            <w:pPr>
              <w:spacing w:after="0" w:line="240" w:lineRule="auto"/>
              <w:jc w:val="right"/>
              <w:rPr>
                <w:rFonts w:ascii="Arial" w:eastAsia="Times New Roman" w:hAnsi="Arial" w:cs="Arial"/>
                <w:b/>
                <w:bCs/>
                <w:color w:val="000000"/>
                <w:sz w:val="18"/>
                <w:szCs w:val="18"/>
                <w:lang w:eastAsia="sl-SI"/>
              </w:rPr>
            </w:pPr>
            <w:r w:rsidRPr="00D86C76">
              <w:rPr>
                <w:rFonts w:ascii="Arial" w:hAnsi="Arial" w:cs="Arial"/>
                <w:b/>
                <w:bCs/>
                <w:color w:val="000000"/>
                <w:sz w:val="18"/>
                <w:szCs w:val="18"/>
              </w:rPr>
              <w:t>221</w:t>
            </w:r>
          </w:p>
        </w:tc>
        <w:tc>
          <w:tcPr>
            <w:tcW w:w="1144" w:type="pct"/>
            <w:shd w:val="clear" w:color="auto" w:fill="auto"/>
            <w:vAlign w:val="center"/>
            <w:hideMark/>
          </w:tcPr>
          <w:p w14:paraId="663E6F3E" w14:textId="77777777" w:rsidR="00E3750C" w:rsidRPr="00D86C76" w:rsidRDefault="00E3750C" w:rsidP="00047864">
            <w:pPr>
              <w:spacing w:after="0" w:line="240" w:lineRule="auto"/>
              <w:jc w:val="right"/>
              <w:rPr>
                <w:rFonts w:ascii="Arial" w:eastAsia="Times New Roman" w:hAnsi="Arial" w:cs="Arial"/>
                <w:b/>
                <w:bCs/>
                <w:color w:val="000000"/>
                <w:sz w:val="18"/>
                <w:szCs w:val="18"/>
                <w:lang w:eastAsia="sl-SI"/>
              </w:rPr>
            </w:pPr>
            <w:r w:rsidRPr="00D86C76">
              <w:rPr>
                <w:rFonts w:ascii="Arial" w:hAnsi="Arial" w:cs="Arial"/>
                <w:b/>
                <w:bCs/>
                <w:color w:val="000000"/>
                <w:sz w:val="18"/>
                <w:szCs w:val="18"/>
              </w:rPr>
              <w:t>24.562.137</w:t>
            </w:r>
          </w:p>
        </w:tc>
      </w:tr>
      <w:tr w:rsidR="00E3750C" w:rsidRPr="00F80DE3" w14:paraId="6BCEFE62" w14:textId="77777777" w:rsidTr="00047864">
        <w:trPr>
          <w:trHeight w:val="300"/>
        </w:trPr>
        <w:tc>
          <w:tcPr>
            <w:tcW w:w="3284" w:type="pct"/>
            <w:gridSpan w:val="2"/>
            <w:shd w:val="clear" w:color="auto" w:fill="F2F2F2" w:themeFill="background1" w:themeFillShade="F2"/>
            <w:vAlign w:val="center"/>
            <w:hideMark/>
          </w:tcPr>
          <w:p w14:paraId="6E3EF362" w14:textId="77777777" w:rsidR="00E3750C" w:rsidRPr="00D86C76" w:rsidRDefault="00E3750C" w:rsidP="00047864">
            <w:pPr>
              <w:spacing w:after="0" w:line="240" w:lineRule="auto"/>
              <w:rPr>
                <w:rFonts w:ascii="Arial" w:eastAsia="Times New Roman" w:hAnsi="Arial" w:cs="Arial"/>
                <w:b/>
                <w:bCs/>
                <w:color w:val="000000"/>
                <w:sz w:val="18"/>
                <w:szCs w:val="18"/>
                <w:lang w:eastAsia="sl-SI"/>
              </w:rPr>
            </w:pPr>
            <w:r w:rsidRPr="00D86C76">
              <w:rPr>
                <w:rFonts w:ascii="Arial" w:eastAsia="Times New Roman" w:hAnsi="Arial" w:cs="Arial"/>
                <w:b/>
                <w:bCs/>
                <w:color w:val="000000"/>
                <w:sz w:val="18"/>
                <w:szCs w:val="18"/>
                <w:lang w:eastAsia="sl-SI"/>
              </w:rPr>
              <w:t>Skupaj</w:t>
            </w:r>
          </w:p>
        </w:tc>
        <w:tc>
          <w:tcPr>
            <w:tcW w:w="572" w:type="pct"/>
            <w:shd w:val="clear" w:color="auto" w:fill="F2F2F2" w:themeFill="background1" w:themeFillShade="F2"/>
            <w:vAlign w:val="center"/>
            <w:hideMark/>
          </w:tcPr>
          <w:p w14:paraId="000BFB14" w14:textId="77777777" w:rsidR="00E3750C" w:rsidRPr="00D86C76" w:rsidRDefault="00E3750C" w:rsidP="00047864">
            <w:pPr>
              <w:spacing w:after="0" w:line="240" w:lineRule="auto"/>
              <w:jc w:val="right"/>
              <w:rPr>
                <w:rFonts w:ascii="Arial" w:eastAsia="Times New Roman" w:hAnsi="Arial" w:cs="Arial"/>
                <w:b/>
                <w:bCs/>
                <w:color w:val="000000"/>
                <w:sz w:val="18"/>
                <w:szCs w:val="18"/>
                <w:lang w:eastAsia="sl-SI"/>
              </w:rPr>
            </w:pPr>
            <w:r w:rsidRPr="00D86C76">
              <w:rPr>
                <w:rFonts w:ascii="Arial" w:hAnsi="Arial" w:cs="Arial"/>
                <w:b/>
                <w:bCs/>
                <w:color w:val="000000"/>
                <w:sz w:val="18"/>
                <w:szCs w:val="18"/>
              </w:rPr>
              <w:t>16.780</w:t>
            </w:r>
          </w:p>
        </w:tc>
        <w:tc>
          <w:tcPr>
            <w:tcW w:w="1144" w:type="pct"/>
            <w:shd w:val="clear" w:color="auto" w:fill="F2F2F2" w:themeFill="background1" w:themeFillShade="F2"/>
            <w:vAlign w:val="center"/>
            <w:hideMark/>
          </w:tcPr>
          <w:p w14:paraId="66ABE722" w14:textId="77777777" w:rsidR="00E3750C" w:rsidRPr="00D86C76" w:rsidRDefault="00E3750C" w:rsidP="00047864">
            <w:pPr>
              <w:spacing w:after="0" w:line="240" w:lineRule="auto"/>
              <w:jc w:val="right"/>
              <w:rPr>
                <w:rFonts w:ascii="Arial" w:eastAsia="Times New Roman" w:hAnsi="Arial" w:cs="Arial"/>
                <w:b/>
                <w:bCs/>
                <w:color w:val="000000"/>
                <w:sz w:val="18"/>
                <w:szCs w:val="18"/>
                <w:lang w:eastAsia="sl-SI"/>
              </w:rPr>
            </w:pPr>
            <w:r w:rsidRPr="00D86C76">
              <w:rPr>
                <w:rFonts w:ascii="Arial" w:hAnsi="Arial" w:cs="Arial"/>
                <w:b/>
                <w:bCs/>
                <w:color w:val="000000"/>
                <w:sz w:val="18"/>
                <w:szCs w:val="18"/>
              </w:rPr>
              <w:t>5.218.980.380</w:t>
            </w:r>
          </w:p>
        </w:tc>
      </w:tr>
    </w:tbl>
    <w:p w14:paraId="7F01E6D1" w14:textId="77777777" w:rsidR="00E3750C" w:rsidRPr="00BF7302" w:rsidRDefault="00E3750C" w:rsidP="00E3750C">
      <w:pPr>
        <w:rPr>
          <w:highlight w:val="yellow"/>
        </w:rPr>
      </w:pPr>
    </w:p>
    <w:p w14:paraId="0700CB74" w14:textId="77777777" w:rsidR="00E3750C" w:rsidRPr="00B120A2" w:rsidRDefault="00E3750C" w:rsidP="00E3750C">
      <w:pPr>
        <w:spacing w:before="120" w:after="0" w:line="240" w:lineRule="auto"/>
        <w:jc w:val="both"/>
        <w:rPr>
          <w:rFonts w:ascii="Arial" w:hAnsi="Arial" w:cs="Arial"/>
          <w:sz w:val="20"/>
        </w:rPr>
      </w:pPr>
      <w:r w:rsidRPr="00B120A2">
        <w:rPr>
          <w:rFonts w:ascii="Arial" w:hAnsi="Arial" w:cs="Arial"/>
          <w:sz w:val="20"/>
        </w:rPr>
        <w:t>Preglednica 9</w:t>
      </w:r>
      <w:r>
        <w:rPr>
          <w:rFonts w:ascii="Arial" w:hAnsi="Arial" w:cs="Arial"/>
          <w:sz w:val="20"/>
        </w:rPr>
        <w:t>1</w:t>
      </w:r>
      <w:r w:rsidRPr="00B120A2">
        <w:rPr>
          <w:rFonts w:ascii="Arial" w:hAnsi="Arial" w:cs="Arial"/>
          <w:sz w:val="20"/>
        </w:rPr>
        <w:t xml:space="preserve">: Javna naročila, oddana slovenskim ponudnikom, glede na velikost ponudnika </w:t>
      </w:r>
    </w:p>
    <w:p w14:paraId="4489C76E" w14:textId="77777777" w:rsidR="00E3750C" w:rsidRPr="00B120A2" w:rsidRDefault="00E3750C" w:rsidP="00E3750C">
      <w:pPr>
        <w:spacing w:after="0" w:line="240" w:lineRule="auto"/>
        <w:jc w:val="both"/>
        <w:rPr>
          <w:rFonts w:ascii="Arial" w:hAnsi="Arial" w:cs="Arial"/>
          <w:sz w:val="20"/>
        </w:rPr>
      </w:pPr>
    </w:p>
    <w:tbl>
      <w:tblP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9"/>
        <w:gridCol w:w="1334"/>
        <w:gridCol w:w="2056"/>
        <w:gridCol w:w="1334"/>
        <w:gridCol w:w="1334"/>
      </w:tblGrid>
      <w:tr w:rsidR="00E3750C" w:rsidRPr="00B120A2" w14:paraId="1D2760B2" w14:textId="77777777" w:rsidTr="00047864">
        <w:trPr>
          <w:trHeight w:val="255"/>
        </w:trPr>
        <w:tc>
          <w:tcPr>
            <w:tcW w:w="3029" w:type="dxa"/>
            <w:shd w:val="clear" w:color="auto" w:fill="F2F2F2" w:themeFill="background1" w:themeFillShade="F2"/>
            <w:noWrap/>
            <w:vAlign w:val="center"/>
            <w:hideMark/>
          </w:tcPr>
          <w:p w14:paraId="74B499D4" w14:textId="77777777" w:rsidR="00E3750C" w:rsidRPr="00B120A2" w:rsidRDefault="00E3750C" w:rsidP="00047864">
            <w:pPr>
              <w:spacing w:after="0" w:line="240" w:lineRule="auto"/>
              <w:jc w:val="center"/>
              <w:rPr>
                <w:rFonts w:ascii="Arial" w:eastAsia="Times New Roman" w:hAnsi="Arial" w:cs="Arial"/>
                <w:color w:val="000000"/>
                <w:sz w:val="18"/>
                <w:szCs w:val="18"/>
                <w:lang w:eastAsia="sl-SI"/>
              </w:rPr>
            </w:pPr>
            <w:r w:rsidRPr="00B120A2">
              <w:rPr>
                <w:rFonts w:ascii="Arial" w:eastAsia="Times New Roman" w:hAnsi="Arial" w:cs="Arial"/>
                <w:color w:val="000000"/>
                <w:sz w:val="18"/>
                <w:szCs w:val="18"/>
                <w:lang w:eastAsia="sl-SI"/>
              </w:rPr>
              <w:t>Velikost ponudnika</w:t>
            </w:r>
          </w:p>
        </w:tc>
        <w:tc>
          <w:tcPr>
            <w:tcW w:w="1334" w:type="dxa"/>
            <w:shd w:val="clear" w:color="auto" w:fill="F2F2F2" w:themeFill="background1" w:themeFillShade="F2"/>
            <w:noWrap/>
            <w:vAlign w:val="center"/>
            <w:hideMark/>
          </w:tcPr>
          <w:p w14:paraId="4F7E562C" w14:textId="77777777" w:rsidR="00E3750C" w:rsidRPr="00B120A2" w:rsidRDefault="00E3750C" w:rsidP="00047864">
            <w:pPr>
              <w:spacing w:after="0" w:line="240" w:lineRule="auto"/>
              <w:jc w:val="center"/>
              <w:rPr>
                <w:rFonts w:ascii="Arial" w:eastAsia="Times New Roman" w:hAnsi="Arial" w:cs="Arial"/>
                <w:color w:val="000000"/>
                <w:sz w:val="18"/>
                <w:szCs w:val="18"/>
                <w:lang w:eastAsia="sl-SI"/>
              </w:rPr>
            </w:pPr>
            <w:r w:rsidRPr="00B120A2">
              <w:rPr>
                <w:rFonts w:ascii="Arial" w:eastAsia="Times New Roman" w:hAnsi="Arial" w:cs="Arial"/>
                <w:color w:val="000000"/>
                <w:sz w:val="18"/>
                <w:szCs w:val="18"/>
                <w:lang w:eastAsia="sl-SI"/>
              </w:rPr>
              <w:t>Št. naročil</w:t>
            </w:r>
          </w:p>
        </w:tc>
        <w:tc>
          <w:tcPr>
            <w:tcW w:w="2056" w:type="dxa"/>
            <w:shd w:val="clear" w:color="auto" w:fill="F2F2F2" w:themeFill="background1" w:themeFillShade="F2"/>
            <w:noWrap/>
            <w:vAlign w:val="center"/>
            <w:hideMark/>
          </w:tcPr>
          <w:p w14:paraId="3CBCAF13" w14:textId="77777777" w:rsidR="00E3750C" w:rsidRPr="00B120A2" w:rsidRDefault="00E3750C" w:rsidP="00047864">
            <w:pPr>
              <w:spacing w:after="0" w:line="240" w:lineRule="auto"/>
              <w:jc w:val="center"/>
              <w:rPr>
                <w:rFonts w:ascii="Arial" w:eastAsia="Times New Roman" w:hAnsi="Arial" w:cs="Arial"/>
                <w:color w:val="000000"/>
                <w:sz w:val="18"/>
                <w:szCs w:val="18"/>
                <w:lang w:eastAsia="sl-SI"/>
              </w:rPr>
            </w:pPr>
            <w:r w:rsidRPr="00B120A2">
              <w:rPr>
                <w:rFonts w:ascii="Arial" w:eastAsia="Times New Roman" w:hAnsi="Arial" w:cs="Arial"/>
                <w:color w:val="000000"/>
                <w:sz w:val="18"/>
                <w:szCs w:val="18"/>
                <w:lang w:eastAsia="sl-SI"/>
              </w:rPr>
              <w:t>Pogodbena vrednost</w:t>
            </w:r>
          </w:p>
        </w:tc>
        <w:tc>
          <w:tcPr>
            <w:tcW w:w="1334" w:type="dxa"/>
            <w:shd w:val="clear" w:color="auto" w:fill="F2F2F2" w:themeFill="background1" w:themeFillShade="F2"/>
            <w:noWrap/>
            <w:vAlign w:val="center"/>
            <w:hideMark/>
          </w:tcPr>
          <w:p w14:paraId="2D95449E" w14:textId="77777777" w:rsidR="00E3750C" w:rsidRPr="00B120A2" w:rsidRDefault="00E3750C" w:rsidP="00047864">
            <w:pPr>
              <w:spacing w:after="0" w:line="240" w:lineRule="auto"/>
              <w:jc w:val="center"/>
              <w:rPr>
                <w:rFonts w:ascii="Arial" w:eastAsia="Times New Roman" w:hAnsi="Arial" w:cs="Arial"/>
                <w:color w:val="000000"/>
                <w:sz w:val="18"/>
                <w:szCs w:val="18"/>
                <w:lang w:eastAsia="sl-SI"/>
              </w:rPr>
            </w:pPr>
            <w:r w:rsidRPr="00B120A2">
              <w:rPr>
                <w:rFonts w:ascii="Arial" w:eastAsia="Times New Roman" w:hAnsi="Arial" w:cs="Arial"/>
                <w:color w:val="000000"/>
                <w:sz w:val="18"/>
                <w:szCs w:val="18"/>
                <w:lang w:eastAsia="sl-SI"/>
              </w:rPr>
              <w:t>Delež v št. naročil</w:t>
            </w:r>
          </w:p>
        </w:tc>
        <w:tc>
          <w:tcPr>
            <w:tcW w:w="1334" w:type="dxa"/>
            <w:shd w:val="clear" w:color="auto" w:fill="F2F2F2" w:themeFill="background1" w:themeFillShade="F2"/>
            <w:noWrap/>
            <w:vAlign w:val="center"/>
            <w:hideMark/>
          </w:tcPr>
          <w:p w14:paraId="52763DA2" w14:textId="77777777" w:rsidR="00E3750C" w:rsidRPr="00B120A2" w:rsidRDefault="00E3750C" w:rsidP="00047864">
            <w:pPr>
              <w:spacing w:after="0" w:line="240" w:lineRule="auto"/>
              <w:jc w:val="center"/>
              <w:rPr>
                <w:rFonts w:ascii="Arial" w:eastAsia="Times New Roman" w:hAnsi="Arial" w:cs="Arial"/>
                <w:color w:val="000000"/>
                <w:sz w:val="18"/>
                <w:szCs w:val="18"/>
                <w:lang w:eastAsia="sl-SI"/>
              </w:rPr>
            </w:pPr>
            <w:r w:rsidRPr="00B120A2">
              <w:rPr>
                <w:rFonts w:ascii="Arial" w:eastAsia="Times New Roman" w:hAnsi="Arial" w:cs="Arial"/>
                <w:color w:val="000000"/>
                <w:sz w:val="18"/>
                <w:szCs w:val="18"/>
                <w:lang w:eastAsia="sl-SI"/>
              </w:rPr>
              <w:t>Delež v vrednosti</w:t>
            </w:r>
          </w:p>
        </w:tc>
      </w:tr>
      <w:tr w:rsidR="00E3750C" w:rsidRPr="00B120A2" w14:paraId="5F6079F3" w14:textId="77777777" w:rsidTr="00047864">
        <w:trPr>
          <w:trHeight w:val="255"/>
        </w:trPr>
        <w:tc>
          <w:tcPr>
            <w:tcW w:w="3029" w:type="dxa"/>
            <w:shd w:val="clear" w:color="auto" w:fill="auto"/>
            <w:vAlign w:val="center"/>
            <w:hideMark/>
          </w:tcPr>
          <w:p w14:paraId="0AB55546" w14:textId="77777777" w:rsidR="00E3750C" w:rsidRPr="00B120A2" w:rsidRDefault="00E3750C" w:rsidP="00047864">
            <w:pPr>
              <w:spacing w:after="0" w:line="240" w:lineRule="auto"/>
              <w:rPr>
                <w:rFonts w:ascii="Arial" w:eastAsia="Times New Roman" w:hAnsi="Arial" w:cs="Arial"/>
                <w:color w:val="000000"/>
                <w:sz w:val="18"/>
                <w:szCs w:val="18"/>
                <w:lang w:eastAsia="sl-SI"/>
              </w:rPr>
            </w:pPr>
            <w:proofErr w:type="spellStart"/>
            <w:r w:rsidRPr="00B120A2">
              <w:rPr>
                <w:rFonts w:ascii="Arial" w:eastAsia="Times New Roman" w:hAnsi="Arial" w:cs="Arial"/>
                <w:color w:val="000000"/>
                <w:sz w:val="18"/>
                <w:szCs w:val="18"/>
                <w:lang w:eastAsia="sl-SI"/>
              </w:rPr>
              <w:t>Mikro</w:t>
            </w:r>
            <w:proofErr w:type="spellEnd"/>
            <w:r w:rsidRPr="00B120A2">
              <w:rPr>
                <w:rFonts w:ascii="Arial" w:eastAsia="Times New Roman" w:hAnsi="Arial" w:cs="Arial"/>
                <w:color w:val="000000"/>
                <w:sz w:val="18"/>
                <w:szCs w:val="18"/>
                <w:lang w:eastAsia="sl-SI"/>
              </w:rPr>
              <w:t xml:space="preserve"> enote</w:t>
            </w:r>
          </w:p>
        </w:tc>
        <w:tc>
          <w:tcPr>
            <w:tcW w:w="1334" w:type="dxa"/>
            <w:shd w:val="clear" w:color="auto" w:fill="auto"/>
            <w:vAlign w:val="center"/>
            <w:hideMark/>
          </w:tcPr>
          <w:p w14:paraId="69951247" w14:textId="77777777" w:rsidR="00E3750C" w:rsidRPr="00B120A2" w:rsidRDefault="00E3750C" w:rsidP="00047864">
            <w:pPr>
              <w:spacing w:after="0" w:line="240" w:lineRule="auto"/>
              <w:jc w:val="right"/>
              <w:rPr>
                <w:rFonts w:ascii="Arial" w:eastAsia="Times New Roman" w:hAnsi="Arial" w:cs="Arial"/>
                <w:color w:val="000000"/>
                <w:sz w:val="18"/>
                <w:szCs w:val="18"/>
                <w:lang w:eastAsia="sl-SI"/>
              </w:rPr>
            </w:pPr>
            <w:r w:rsidRPr="00B120A2">
              <w:rPr>
                <w:rFonts w:ascii="Arial" w:hAnsi="Arial" w:cs="Arial"/>
                <w:color w:val="000000"/>
                <w:sz w:val="18"/>
                <w:szCs w:val="18"/>
              </w:rPr>
              <w:t>2.139</w:t>
            </w:r>
          </w:p>
        </w:tc>
        <w:tc>
          <w:tcPr>
            <w:tcW w:w="2056" w:type="dxa"/>
            <w:shd w:val="clear" w:color="auto" w:fill="auto"/>
            <w:vAlign w:val="center"/>
            <w:hideMark/>
          </w:tcPr>
          <w:p w14:paraId="16EB224F" w14:textId="77777777" w:rsidR="00E3750C" w:rsidRPr="00B120A2" w:rsidRDefault="00E3750C" w:rsidP="00047864">
            <w:pPr>
              <w:spacing w:after="0" w:line="240" w:lineRule="auto"/>
              <w:jc w:val="right"/>
              <w:rPr>
                <w:rFonts w:ascii="Arial" w:eastAsia="Times New Roman" w:hAnsi="Arial" w:cs="Arial"/>
                <w:color w:val="000000"/>
                <w:sz w:val="18"/>
                <w:szCs w:val="18"/>
                <w:lang w:eastAsia="sl-SI"/>
              </w:rPr>
            </w:pPr>
            <w:r w:rsidRPr="00B120A2">
              <w:rPr>
                <w:rFonts w:ascii="Arial" w:hAnsi="Arial" w:cs="Arial"/>
                <w:color w:val="000000"/>
                <w:sz w:val="18"/>
                <w:szCs w:val="18"/>
              </w:rPr>
              <w:t>279.692.237</w:t>
            </w:r>
          </w:p>
        </w:tc>
        <w:tc>
          <w:tcPr>
            <w:tcW w:w="1334" w:type="dxa"/>
            <w:shd w:val="clear" w:color="auto" w:fill="auto"/>
            <w:noWrap/>
            <w:vAlign w:val="center"/>
            <w:hideMark/>
          </w:tcPr>
          <w:p w14:paraId="558FF57B" w14:textId="77777777" w:rsidR="00E3750C" w:rsidRPr="00B120A2" w:rsidRDefault="00E3750C" w:rsidP="00047864">
            <w:pPr>
              <w:spacing w:after="0" w:line="240" w:lineRule="auto"/>
              <w:jc w:val="right"/>
              <w:rPr>
                <w:rFonts w:ascii="Arial" w:eastAsia="Times New Roman" w:hAnsi="Arial" w:cs="Arial"/>
                <w:color w:val="000000"/>
                <w:sz w:val="18"/>
                <w:szCs w:val="18"/>
                <w:lang w:eastAsia="sl-SI"/>
              </w:rPr>
            </w:pPr>
            <w:r w:rsidRPr="00B120A2">
              <w:rPr>
                <w:rFonts w:ascii="Arial" w:hAnsi="Arial" w:cs="Arial"/>
                <w:color w:val="000000"/>
                <w:sz w:val="18"/>
                <w:szCs w:val="18"/>
              </w:rPr>
              <w:t>12,75 %</w:t>
            </w:r>
          </w:p>
        </w:tc>
        <w:tc>
          <w:tcPr>
            <w:tcW w:w="1334" w:type="dxa"/>
            <w:shd w:val="clear" w:color="auto" w:fill="auto"/>
            <w:noWrap/>
            <w:vAlign w:val="center"/>
            <w:hideMark/>
          </w:tcPr>
          <w:p w14:paraId="0EC96626" w14:textId="77777777" w:rsidR="00E3750C" w:rsidRPr="00B120A2" w:rsidRDefault="00E3750C" w:rsidP="00047864">
            <w:pPr>
              <w:spacing w:after="0" w:line="240" w:lineRule="auto"/>
              <w:jc w:val="right"/>
              <w:rPr>
                <w:rFonts w:ascii="Arial" w:eastAsia="Times New Roman" w:hAnsi="Arial" w:cs="Arial"/>
                <w:color w:val="000000"/>
                <w:sz w:val="18"/>
                <w:szCs w:val="18"/>
                <w:lang w:eastAsia="sl-SI"/>
              </w:rPr>
            </w:pPr>
            <w:r w:rsidRPr="00B120A2">
              <w:rPr>
                <w:rFonts w:ascii="Arial" w:hAnsi="Arial" w:cs="Arial"/>
                <w:color w:val="000000"/>
                <w:sz w:val="18"/>
                <w:szCs w:val="18"/>
              </w:rPr>
              <w:t>5,36 %</w:t>
            </w:r>
          </w:p>
        </w:tc>
      </w:tr>
      <w:tr w:rsidR="00E3750C" w:rsidRPr="00B120A2" w14:paraId="68879805" w14:textId="77777777" w:rsidTr="00047864">
        <w:trPr>
          <w:trHeight w:val="255"/>
        </w:trPr>
        <w:tc>
          <w:tcPr>
            <w:tcW w:w="3029" w:type="dxa"/>
            <w:shd w:val="clear" w:color="auto" w:fill="auto"/>
            <w:vAlign w:val="center"/>
            <w:hideMark/>
          </w:tcPr>
          <w:p w14:paraId="13333752" w14:textId="77777777" w:rsidR="00E3750C" w:rsidRPr="00B120A2" w:rsidRDefault="00E3750C" w:rsidP="00047864">
            <w:pPr>
              <w:spacing w:after="0" w:line="240" w:lineRule="auto"/>
              <w:rPr>
                <w:rFonts w:ascii="Arial" w:eastAsia="Times New Roman" w:hAnsi="Arial" w:cs="Arial"/>
                <w:color w:val="000000"/>
                <w:sz w:val="18"/>
                <w:szCs w:val="18"/>
                <w:lang w:eastAsia="sl-SI"/>
              </w:rPr>
            </w:pPr>
            <w:r w:rsidRPr="00B120A2">
              <w:rPr>
                <w:rFonts w:ascii="Arial" w:eastAsia="Times New Roman" w:hAnsi="Arial" w:cs="Arial"/>
                <w:color w:val="000000"/>
                <w:sz w:val="18"/>
                <w:szCs w:val="18"/>
                <w:lang w:eastAsia="sl-SI"/>
              </w:rPr>
              <w:t>Majhne enote</w:t>
            </w:r>
          </w:p>
        </w:tc>
        <w:tc>
          <w:tcPr>
            <w:tcW w:w="1334" w:type="dxa"/>
            <w:shd w:val="clear" w:color="auto" w:fill="auto"/>
            <w:vAlign w:val="center"/>
            <w:hideMark/>
          </w:tcPr>
          <w:p w14:paraId="2EDE08AD" w14:textId="77777777" w:rsidR="00E3750C" w:rsidRPr="00B120A2" w:rsidRDefault="00E3750C" w:rsidP="00047864">
            <w:pPr>
              <w:spacing w:after="0" w:line="240" w:lineRule="auto"/>
              <w:jc w:val="right"/>
              <w:rPr>
                <w:rFonts w:ascii="Arial" w:eastAsia="Times New Roman" w:hAnsi="Arial" w:cs="Arial"/>
                <w:color w:val="000000"/>
                <w:sz w:val="18"/>
                <w:szCs w:val="18"/>
                <w:lang w:eastAsia="sl-SI"/>
              </w:rPr>
            </w:pPr>
            <w:r w:rsidRPr="00B120A2">
              <w:rPr>
                <w:rFonts w:ascii="Arial" w:hAnsi="Arial" w:cs="Arial"/>
                <w:color w:val="000000"/>
                <w:sz w:val="18"/>
                <w:szCs w:val="18"/>
              </w:rPr>
              <w:t>5.824</w:t>
            </w:r>
          </w:p>
        </w:tc>
        <w:tc>
          <w:tcPr>
            <w:tcW w:w="2056" w:type="dxa"/>
            <w:shd w:val="clear" w:color="auto" w:fill="auto"/>
            <w:vAlign w:val="center"/>
            <w:hideMark/>
          </w:tcPr>
          <w:p w14:paraId="16FF9E0E" w14:textId="77777777" w:rsidR="00E3750C" w:rsidRPr="00B120A2" w:rsidRDefault="00E3750C" w:rsidP="00047864">
            <w:pPr>
              <w:spacing w:after="0" w:line="240" w:lineRule="auto"/>
              <w:jc w:val="right"/>
              <w:rPr>
                <w:rFonts w:ascii="Arial" w:eastAsia="Times New Roman" w:hAnsi="Arial" w:cs="Arial"/>
                <w:color w:val="000000"/>
                <w:sz w:val="18"/>
                <w:szCs w:val="18"/>
                <w:lang w:eastAsia="sl-SI"/>
              </w:rPr>
            </w:pPr>
            <w:r w:rsidRPr="00B120A2">
              <w:rPr>
                <w:rFonts w:ascii="Arial" w:hAnsi="Arial" w:cs="Arial"/>
                <w:color w:val="000000"/>
                <w:sz w:val="18"/>
                <w:szCs w:val="18"/>
              </w:rPr>
              <w:t>1.132.102.778</w:t>
            </w:r>
          </w:p>
        </w:tc>
        <w:tc>
          <w:tcPr>
            <w:tcW w:w="1334" w:type="dxa"/>
            <w:shd w:val="clear" w:color="auto" w:fill="auto"/>
            <w:noWrap/>
            <w:vAlign w:val="center"/>
            <w:hideMark/>
          </w:tcPr>
          <w:p w14:paraId="675F4451" w14:textId="77777777" w:rsidR="00E3750C" w:rsidRPr="00B120A2" w:rsidRDefault="00E3750C" w:rsidP="00047864">
            <w:pPr>
              <w:spacing w:after="0" w:line="240" w:lineRule="auto"/>
              <w:jc w:val="right"/>
              <w:rPr>
                <w:rFonts w:ascii="Arial" w:eastAsia="Times New Roman" w:hAnsi="Arial" w:cs="Arial"/>
                <w:color w:val="000000"/>
                <w:sz w:val="18"/>
                <w:szCs w:val="18"/>
                <w:lang w:eastAsia="sl-SI"/>
              </w:rPr>
            </w:pPr>
            <w:r w:rsidRPr="00B120A2">
              <w:rPr>
                <w:rFonts w:ascii="Arial" w:hAnsi="Arial" w:cs="Arial"/>
                <w:color w:val="000000"/>
                <w:sz w:val="18"/>
                <w:szCs w:val="18"/>
              </w:rPr>
              <w:t>34,71 %</w:t>
            </w:r>
          </w:p>
        </w:tc>
        <w:tc>
          <w:tcPr>
            <w:tcW w:w="1334" w:type="dxa"/>
            <w:shd w:val="clear" w:color="auto" w:fill="auto"/>
            <w:noWrap/>
            <w:vAlign w:val="center"/>
            <w:hideMark/>
          </w:tcPr>
          <w:p w14:paraId="4CCCD155" w14:textId="77777777" w:rsidR="00E3750C" w:rsidRPr="00B120A2" w:rsidRDefault="00E3750C" w:rsidP="00047864">
            <w:pPr>
              <w:spacing w:after="0" w:line="240" w:lineRule="auto"/>
              <w:jc w:val="right"/>
              <w:rPr>
                <w:rFonts w:ascii="Arial" w:eastAsia="Times New Roman" w:hAnsi="Arial" w:cs="Arial"/>
                <w:color w:val="000000"/>
                <w:sz w:val="18"/>
                <w:szCs w:val="18"/>
                <w:lang w:eastAsia="sl-SI"/>
              </w:rPr>
            </w:pPr>
            <w:r w:rsidRPr="00B120A2">
              <w:rPr>
                <w:rFonts w:ascii="Arial" w:hAnsi="Arial" w:cs="Arial"/>
                <w:color w:val="000000"/>
                <w:sz w:val="18"/>
                <w:szCs w:val="18"/>
              </w:rPr>
              <w:t>21,69 %</w:t>
            </w:r>
          </w:p>
        </w:tc>
      </w:tr>
      <w:tr w:rsidR="00E3750C" w:rsidRPr="00B120A2" w14:paraId="55A98ED0" w14:textId="77777777" w:rsidTr="00047864">
        <w:trPr>
          <w:trHeight w:val="255"/>
        </w:trPr>
        <w:tc>
          <w:tcPr>
            <w:tcW w:w="3029" w:type="dxa"/>
            <w:shd w:val="clear" w:color="auto" w:fill="auto"/>
            <w:vAlign w:val="center"/>
            <w:hideMark/>
          </w:tcPr>
          <w:p w14:paraId="34DFF878" w14:textId="77777777" w:rsidR="00E3750C" w:rsidRPr="00B120A2" w:rsidRDefault="00E3750C" w:rsidP="00047864">
            <w:pPr>
              <w:spacing w:after="0" w:line="240" w:lineRule="auto"/>
              <w:rPr>
                <w:rFonts w:ascii="Arial" w:eastAsia="Times New Roman" w:hAnsi="Arial" w:cs="Arial"/>
                <w:color w:val="000000"/>
                <w:sz w:val="18"/>
                <w:szCs w:val="18"/>
                <w:lang w:eastAsia="sl-SI"/>
              </w:rPr>
            </w:pPr>
            <w:r w:rsidRPr="00B120A2">
              <w:rPr>
                <w:rFonts w:ascii="Arial" w:eastAsia="Times New Roman" w:hAnsi="Arial" w:cs="Arial"/>
                <w:color w:val="000000"/>
                <w:sz w:val="18"/>
                <w:szCs w:val="18"/>
                <w:lang w:eastAsia="sl-SI"/>
              </w:rPr>
              <w:t>Srednje enote</w:t>
            </w:r>
          </w:p>
        </w:tc>
        <w:tc>
          <w:tcPr>
            <w:tcW w:w="1334" w:type="dxa"/>
            <w:shd w:val="clear" w:color="auto" w:fill="auto"/>
            <w:vAlign w:val="center"/>
            <w:hideMark/>
          </w:tcPr>
          <w:p w14:paraId="0F4BE8B7" w14:textId="77777777" w:rsidR="00E3750C" w:rsidRPr="00B120A2" w:rsidRDefault="00E3750C" w:rsidP="00047864">
            <w:pPr>
              <w:spacing w:after="0" w:line="240" w:lineRule="auto"/>
              <w:jc w:val="right"/>
              <w:rPr>
                <w:rFonts w:ascii="Arial" w:eastAsia="Times New Roman" w:hAnsi="Arial" w:cs="Arial"/>
                <w:color w:val="000000"/>
                <w:sz w:val="18"/>
                <w:szCs w:val="18"/>
                <w:lang w:eastAsia="sl-SI"/>
              </w:rPr>
            </w:pPr>
            <w:r w:rsidRPr="00B120A2">
              <w:rPr>
                <w:rFonts w:ascii="Arial" w:hAnsi="Arial" w:cs="Arial"/>
                <w:color w:val="000000"/>
                <w:sz w:val="18"/>
                <w:szCs w:val="18"/>
              </w:rPr>
              <w:t>4.152</w:t>
            </w:r>
          </w:p>
        </w:tc>
        <w:tc>
          <w:tcPr>
            <w:tcW w:w="2056" w:type="dxa"/>
            <w:shd w:val="clear" w:color="auto" w:fill="auto"/>
            <w:vAlign w:val="center"/>
            <w:hideMark/>
          </w:tcPr>
          <w:p w14:paraId="6E2B7524" w14:textId="77777777" w:rsidR="00E3750C" w:rsidRPr="00B120A2" w:rsidRDefault="00E3750C" w:rsidP="00047864">
            <w:pPr>
              <w:spacing w:after="0" w:line="240" w:lineRule="auto"/>
              <w:jc w:val="right"/>
              <w:rPr>
                <w:rFonts w:ascii="Arial" w:eastAsia="Times New Roman" w:hAnsi="Arial" w:cs="Arial"/>
                <w:color w:val="000000"/>
                <w:sz w:val="18"/>
                <w:szCs w:val="18"/>
                <w:lang w:eastAsia="sl-SI"/>
              </w:rPr>
            </w:pPr>
            <w:r w:rsidRPr="00B120A2">
              <w:rPr>
                <w:rFonts w:ascii="Arial" w:hAnsi="Arial" w:cs="Arial"/>
                <w:color w:val="000000"/>
                <w:sz w:val="18"/>
                <w:szCs w:val="18"/>
              </w:rPr>
              <w:t>1.380.935.785</w:t>
            </w:r>
          </w:p>
        </w:tc>
        <w:tc>
          <w:tcPr>
            <w:tcW w:w="1334" w:type="dxa"/>
            <w:shd w:val="clear" w:color="auto" w:fill="auto"/>
            <w:noWrap/>
            <w:vAlign w:val="center"/>
            <w:hideMark/>
          </w:tcPr>
          <w:p w14:paraId="1439DCEB" w14:textId="77777777" w:rsidR="00E3750C" w:rsidRPr="00B120A2" w:rsidRDefault="00E3750C" w:rsidP="00047864">
            <w:pPr>
              <w:spacing w:after="0" w:line="240" w:lineRule="auto"/>
              <w:jc w:val="right"/>
              <w:rPr>
                <w:rFonts w:ascii="Arial" w:eastAsia="Times New Roman" w:hAnsi="Arial" w:cs="Arial"/>
                <w:color w:val="000000"/>
                <w:sz w:val="18"/>
                <w:szCs w:val="18"/>
                <w:lang w:eastAsia="sl-SI"/>
              </w:rPr>
            </w:pPr>
            <w:r w:rsidRPr="00B120A2">
              <w:rPr>
                <w:rFonts w:ascii="Arial" w:hAnsi="Arial" w:cs="Arial"/>
                <w:color w:val="000000"/>
                <w:sz w:val="18"/>
                <w:szCs w:val="18"/>
              </w:rPr>
              <w:t>24,74 %</w:t>
            </w:r>
          </w:p>
        </w:tc>
        <w:tc>
          <w:tcPr>
            <w:tcW w:w="1334" w:type="dxa"/>
            <w:shd w:val="clear" w:color="auto" w:fill="auto"/>
            <w:noWrap/>
            <w:vAlign w:val="center"/>
            <w:hideMark/>
          </w:tcPr>
          <w:p w14:paraId="0ADCDA26" w14:textId="77777777" w:rsidR="00E3750C" w:rsidRPr="00B120A2" w:rsidRDefault="00E3750C" w:rsidP="00047864">
            <w:pPr>
              <w:spacing w:after="0" w:line="240" w:lineRule="auto"/>
              <w:jc w:val="right"/>
              <w:rPr>
                <w:rFonts w:ascii="Arial" w:eastAsia="Times New Roman" w:hAnsi="Arial" w:cs="Arial"/>
                <w:color w:val="000000"/>
                <w:sz w:val="18"/>
                <w:szCs w:val="18"/>
                <w:lang w:eastAsia="sl-SI"/>
              </w:rPr>
            </w:pPr>
            <w:r w:rsidRPr="00B120A2">
              <w:rPr>
                <w:rFonts w:ascii="Arial" w:hAnsi="Arial" w:cs="Arial"/>
                <w:color w:val="000000"/>
                <w:sz w:val="18"/>
                <w:szCs w:val="18"/>
              </w:rPr>
              <w:t>26,46 %</w:t>
            </w:r>
          </w:p>
        </w:tc>
      </w:tr>
      <w:tr w:rsidR="00E3750C" w:rsidRPr="00B120A2" w14:paraId="788C7CD2" w14:textId="77777777" w:rsidTr="00047864">
        <w:trPr>
          <w:trHeight w:val="255"/>
        </w:trPr>
        <w:tc>
          <w:tcPr>
            <w:tcW w:w="3029" w:type="dxa"/>
            <w:shd w:val="clear" w:color="auto" w:fill="auto"/>
            <w:vAlign w:val="center"/>
            <w:hideMark/>
          </w:tcPr>
          <w:p w14:paraId="64D8A571" w14:textId="77777777" w:rsidR="00E3750C" w:rsidRPr="00B120A2" w:rsidRDefault="00E3750C" w:rsidP="00047864">
            <w:pPr>
              <w:spacing w:after="0" w:line="240" w:lineRule="auto"/>
              <w:rPr>
                <w:rFonts w:ascii="Arial" w:eastAsia="Times New Roman" w:hAnsi="Arial" w:cs="Arial"/>
                <w:color w:val="000000"/>
                <w:sz w:val="18"/>
                <w:szCs w:val="18"/>
                <w:lang w:eastAsia="sl-SI"/>
              </w:rPr>
            </w:pPr>
            <w:r w:rsidRPr="00B120A2">
              <w:rPr>
                <w:rFonts w:ascii="Arial" w:eastAsia="Times New Roman" w:hAnsi="Arial" w:cs="Arial"/>
                <w:color w:val="000000"/>
                <w:sz w:val="18"/>
                <w:szCs w:val="18"/>
                <w:lang w:eastAsia="sl-SI"/>
              </w:rPr>
              <w:t>Velike enote</w:t>
            </w:r>
          </w:p>
        </w:tc>
        <w:tc>
          <w:tcPr>
            <w:tcW w:w="1334" w:type="dxa"/>
            <w:shd w:val="clear" w:color="auto" w:fill="auto"/>
            <w:vAlign w:val="center"/>
            <w:hideMark/>
          </w:tcPr>
          <w:p w14:paraId="664FBEC2" w14:textId="77777777" w:rsidR="00E3750C" w:rsidRPr="00B120A2" w:rsidRDefault="00E3750C" w:rsidP="00047864">
            <w:pPr>
              <w:spacing w:after="0" w:line="240" w:lineRule="auto"/>
              <w:jc w:val="right"/>
              <w:rPr>
                <w:rFonts w:ascii="Arial" w:eastAsia="Times New Roman" w:hAnsi="Arial" w:cs="Arial"/>
                <w:color w:val="000000"/>
                <w:sz w:val="18"/>
                <w:szCs w:val="18"/>
                <w:lang w:eastAsia="sl-SI"/>
              </w:rPr>
            </w:pPr>
            <w:r w:rsidRPr="00B120A2">
              <w:rPr>
                <w:rFonts w:ascii="Arial" w:hAnsi="Arial" w:cs="Arial"/>
                <w:color w:val="000000"/>
                <w:sz w:val="18"/>
                <w:szCs w:val="18"/>
              </w:rPr>
              <w:t>4.142</w:t>
            </w:r>
          </w:p>
        </w:tc>
        <w:tc>
          <w:tcPr>
            <w:tcW w:w="2056" w:type="dxa"/>
            <w:shd w:val="clear" w:color="auto" w:fill="auto"/>
            <w:vAlign w:val="center"/>
            <w:hideMark/>
          </w:tcPr>
          <w:p w14:paraId="1C560919" w14:textId="77777777" w:rsidR="00E3750C" w:rsidRPr="00B120A2" w:rsidRDefault="00E3750C" w:rsidP="00047864">
            <w:pPr>
              <w:spacing w:after="0" w:line="240" w:lineRule="auto"/>
              <w:jc w:val="right"/>
              <w:rPr>
                <w:rFonts w:ascii="Arial" w:eastAsia="Times New Roman" w:hAnsi="Arial" w:cs="Arial"/>
                <w:color w:val="000000"/>
                <w:sz w:val="18"/>
                <w:szCs w:val="18"/>
                <w:lang w:eastAsia="sl-SI"/>
              </w:rPr>
            </w:pPr>
            <w:r w:rsidRPr="00B120A2">
              <w:rPr>
                <w:rFonts w:ascii="Arial" w:hAnsi="Arial" w:cs="Arial"/>
                <w:color w:val="000000"/>
                <w:sz w:val="18"/>
                <w:szCs w:val="18"/>
              </w:rPr>
              <w:t>2.365.934.748</w:t>
            </w:r>
          </w:p>
        </w:tc>
        <w:tc>
          <w:tcPr>
            <w:tcW w:w="1334" w:type="dxa"/>
            <w:shd w:val="clear" w:color="auto" w:fill="auto"/>
            <w:noWrap/>
            <w:vAlign w:val="center"/>
            <w:hideMark/>
          </w:tcPr>
          <w:p w14:paraId="2BA7B7C9" w14:textId="77777777" w:rsidR="00E3750C" w:rsidRPr="00B120A2" w:rsidRDefault="00E3750C" w:rsidP="00047864">
            <w:pPr>
              <w:spacing w:after="0" w:line="240" w:lineRule="auto"/>
              <w:jc w:val="right"/>
              <w:rPr>
                <w:rFonts w:ascii="Arial" w:eastAsia="Times New Roman" w:hAnsi="Arial" w:cs="Arial"/>
                <w:color w:val="000000"/>
                <w:sz w:val="18"/>
                <w:szCs w:val="18"/>
                <w:lang w:eastAsia="sl-SI"/>
              </w:rPr>
            </w:pPr>
            <w:r w:rsidRPr="00B120A2">
              <w:rPr>
                <w:rFonts w:ascii="Arial" w:hAnsi="Arial" w:cs="Arial"/>
                <w:color w:val="000000"/>
                <w:sz w:val="18"/>
                <w:szCs w:val="18"/>
              </w:rPr>
              <w:t>24,68 %</w:t>
            </w:r>
          </w:p>
        </w:tc>
        <w:tc>
          <w:tcPr>
            <w:tcW w:w="1334" w:type="dxa"/>
            <w:shd w:val="clear" w:color="auto" w:fill="auto"/>
            <w:noWrap/>
            <w:vAlign w:val="center"/>
            <w:hideMark/>
          </w:tcPr>
          <w:p w14:paraId="5C425A3B" w14:textId="77777777" w:rsidR="00E3750C" w:rsidRPr="00B120A2" w:rsidRDefault="00E3750C" w:rsidP="00047864">
            <w:pPr>
              <w:spacing w:after="0" w:line="240" w:lineRule="auto"/>
              <w:jc w:val="right"/>
              <w:rPr>
                <w:rFonts w:ascii="Arial" w:eastAsia="Times New Roman" w:hAnsi="Arial" w:cs="Arial"/>
                <w:color w:val="000000"/>
                <w:sz w:val="18"/>
                <w:szCs w:val="18"/>
                <w:lang w:eastAsia="sl-SI"/>
              </w:rPr>
            </w:pPr>
            <w:r w:rsidRPr="00B120A2">
              <w:rPr>
                <w:rFonts w:ascii="Arial" w:hAnsi="Arial" w:cs="Arial"/>
                <w:color w:val="000000"/>
                <w:sz w:val="18"/>
                <w:szCs w:val="18"/>
              </w:rPr>
              <w:t>45,33 %</w:t>
            </w:r>
          </w:p>
        </w:tc>
      </w:tr>
      <w:tr w:rsidR="00E3750C" w:rsidRPr="00B120A2" w14:paraId="336139E7" w14:textId="77777777" w:rsidTr="00047864">
        <w:trPr>
          <w:trHeight w:val="255"/>
        </w:trPr>
        <w:tc>
          <w:tcPr>
            <w:tcW w:w="3029" w:type="dxa"/>
            <w:shd w:val="clear" w:color="auto" w:fill="auto"/>
            <w:vAlign w:val="center"/>
            <w:hideMark/>
          </w:tcPr>
          <w:p w14:paraId="409D7A00" w14:textId="77777777" w:rsidR="00E3750C" w:rsidRPr="00B120A2" w:rsidRDefault="00E3750C" w:rsidP="00047864">
            <w:pPr>
              <w:spacing w:after="0" w:line="240" w:lineRule="auto"/>
              <w:rPr>
                <w:rFonts w:ascii="Arial" w:eastAsia="Times New Roman" w:hAnsi="Arial" w:cs="Arial"/>
                <w:color w:val="000000"/>
                <w:sz w:val="18"/>
                <w:szCs w:val="18"/>
                <w:lang w:eastAsia="sl-SI"/>
              </w:rPr>
            </w:pPr>
            <w:r w:rsidRPr="00B120A2">
              <w:rPr>
                <w:rFonts w:ascii="Arial" w:eastAsia="Times New Roman" w:hAnsi="Arial" w:cs="Arial"/>
                <w:color w:val="000000"/>
                <w:sz w:val="18"/>
                <w:szCs w:val="18"/>
                <w:lang w:eastAsia="sl-SI"/>
              </w:rPr>
              <w:t>Velikost RS se ne izračunava</w:t>
            </w:r>
          </w:p>
        </w:tc>
        <w:tc>
          <w:tcPr>
            <w:tcW w:w="1334" w:type="dxa"/>
            <w:shd w:val="clear" w:color="auto" w:fill="auto"/>
            <w:vAlign w:val="center"/>
            <w:hideMark/>
          </w:tcPr>
          <w:p w14:paraId="745E399F" w14:textId="77777777" w:rsidR="00E3750C" w:rsidRPr="00B120A2" w:rsidRDefault="00E3750C" w:rsidP="00047864">
            <w:pPr>
              <w:spacing w:after="0" w:line="240" w:lineRule="auto"/>
              <w:jc w:val="right"/>
              <w:rPr>
                <w:rFonts w:ascii="Arial" w:eastAsia="Times New Roman" w:hAnsi="Arial" w:cs="Arial"/>
                <w:color w:val="000000"/>
                <w:sz w:val="18"/>
                <w:szCs w:val="18"/>
                <w:lang w:eastAsia="sl-SI"/>
              </w:rPr>
            </w:pPr>
            <w:r w:rsidRPr="00B120A2">
              <w:rPr>
                <w:rFonts w:ascii="Arial" w:hAnsi="Arial" w:cs="Arial"/>
                <w:color w:val="000000"/>
                <w:sz w:val="18"/>
                <w:szCs w:val="18"/>
              </w:rPr>
              <w:t>446</w:t>
            </w:r>
          </w:p>
        </w:tc>
        <w:tc>
          <w:tcPr>
            <w:tcW w:w="2056" w:type="dxa"/>
            <w:shd w:val="clear" w:color="auto" w:fill="auto"/>
            <w:vAlign w:val="center"/>
            <w:hideMark/>
          </w:tcPr>
          <w:p w14:paraId="5DD590FB" w14:textId="77777777" w:rsidR="00E3750C" w:rsidRPr="00B120A2" w:rsidRDefault="00E3750C" w:rsidP="00047864">
            <w:pPr>
              <w:spacing w:after="0" w:line="240" w:lineRule="auto"/>
              <w:jc w:val="right"/>
              <w:rPr>
                <w:rFonts w:ascii="Arial" w:eastAsia="Times New Roman" w:hAnsi="Arial" w:cs="Arial"/>
                <w:color w:val="000000"/>
                <w:sz w:val="18"/>
                <w:szCs w:val="18"/>
                <w:lang w:eastAsia="sl-SI"/>
              </w:rPr>
            </w:pPr>
            <w:r w:rsidRPr="00B120A2">
              <w:rPr>
                <w:rFonts w:ascii="Arial" w:hAnsi="Arial" w:cs="Arial"/>
                <w:color w:val="000000"/>
                <w:sz w:val="18"/>
                <w:szCs w:val="18"/>
              </w:rPr>
              <w:t>45.569.536</w:t>
            </w:r>
          </w:p>
        </w:tc>
        <w:tc>
          <w:tcPr>
            <w:tcW w:w="1334" w:type="dxa"/>
            <w:shd w:val="clear" w:color="auto" w:fill="auto"/>
            <w:noWrap/>
            <w:vAlign w:val="center"/>
            <w:hideMark/>
          </w:tcPr>
          <w:p w14:paraId="6527CFB6" w14:textId="77777777" w:rsidR="00E3750C" w:rsidRPr="00B120A2" w:rsidRDefault="00E3750C" w:rsidP="00047864">
            <w:pPr>
              <w:spacing w:after="0" w:line="240" w:lineRule="auto"/>
              <w:jc w:val="right"/>
              <w:rPr>
                <w:rFonts w:ascii="Arial" w:eastAsia="Times New Roman" w:hAnsi="Arial" w:cs="Arial"/>
                <w:color w:val="000000"/>
                <w:sz w:val="18"/>
                <w:szCs w:val="18"/>
                <w:lang w:eastAsia="sl-SI"/>
              </w:rPr>
            </w:pPr>
            <w:r w:rsidRPr="00B120A2">
              <w:rPr>
                <w:rFonts w:ascii="Arial" w:hAnsi="Arial" w:cs="Arial"/>
                <w:color w:val="000000"/>
                <w:sz w:val="18"/>
                <w:szCs w:val="18"/>
              </w:rPr>
              <w:t>2,66 %</w:t>
            </w:r>
          </w:p>
        </w:tc>
        <w:tc>
          <w:tcPr>
            <w:tcW w:w="1334" w:type="dxa"/>
            <w:shd w:val="clear" w:color="auto" w:fill="auto"/>
            <w:noWrap/>
            <w:vAlign w:val="center"/>
            <w:hideMark/>
          </w:tcPr>
          <w:p w14:paraId="435873DA" w14:textId="77777777" w:rsidR="00E3750C" w:rsidRPr="00B120A2" w:rsidRDefault="00E3750C" w:rsidP="00047864">
            <w:pPr>
              <w:spacing w:after="0" w:line="240" w:lineRule="auto"/>
              <w:jc w:val="right"/>
              <w:rPr>
                <w:rFonts w:ascii="Arial" w:eastAsia="Times New Roman" w:hAnsi="Arial" w:cs="Arial"/>
                <w:color w:val="000000"/>
                <w:sz w:val="18"/>
                <w:szCs w:val="18"/>
                <w:lang w:eastAsia="sl-SI"/>
              </w:rPr>
            </w:pPr>
            <w:r w:rsidRPr="00B120A2">
              <w:rPr>
                <w:rFonts w:ascii="Arial" w:hAnsi="Arial" w:cs="Arial"/>
                <w:color w:val="000000"/>
                <w:sz w:val="18"/>
                <w:szCs w:val="18"/>
              </w:rPr>
              <w:t>0,87 %</w:t>
            </w:r>
          </w:p>
        </w:tc>
      </w:tr>
      <w:tr w:rsidR="00E3750C" w:rsidRPr="00B120A2" w14:paraId="112A1FC0" w14:textId="77777777" w:rsidTr="00047864">
        <w:trPr>
          <w:trHeight w:val="255"/>
        </w:trPr>
        <w:tc>
          <w:tcPr>
            <w:tcW w:w="3029" w:type="dxa"/>
            <w:shd w:val="clear" w:color="auto" w:fill="auto"/>
            <w:vAlign w:val="center"/>
            <w:hideMark/>
          </w:tcPr>
          <w:p w14:paraId="33F7263D" w14:textId="77777777" w:rsidR="00E3750C" w:rsidRPr="00B120A2" w:rsidRDefault="00E3750C" w:rsidP="00047864">
            <w:pPr>
              <w:spacing w:after="0" w:line="240" w:lineRule="auto"/>
              <w:rPr>
                <w:rFonts w:ascii="Arial" w:eastAsia="Times New Roman" w:hAnsi="Arial" w:cs="Arial"/>
                <w:color w:val="000000"/>
                <w:sz w:val="18"/>
                <w:szCs w:val="18"/>
                <w:lang w:eastAsia="sl-SI"/>
              </w:rPr>
            </w:pPr>
            <w:r w:rsidRPr="00B120A2">
              <w:rPr>
                <w:rFonts w:ascii="Arial" w:eastAsia="Times New Roman" w:hAnsi="Arial" w:cs="Arial"/>
                <w:color w:val="000000"/>
                <w:sz w:val="18"/>
                <w:szCs w:val="18"/>
                <w:lang w:eastAsia="sl-SI"/>
              </w:rPr>
              <w:t>Ni podatka o velikosti</w:t>
            </w:r>
          </w:p>
        </w:tc>
        <w:tc>
          <w:tcPr>
            <w:tcW w:w="1334" w:type="dxa"/>
            <w:shd w:val="clear" w:color="auto" w:fill="auto"/>
            <w:vAlign w:val="center"/>
            <w:hideMark/>
          </w:tcPr>
          <w:p w14:paraId="2B82CB67" w14:textId="77777777" w:rsidR="00E3750C" w:rsidRPr="00B120A2" w:rsidRDefault="00E3750C" w:rsidP="00047864">
            <w:pPr>
              <w:spacing w:after="0" w:line="240" w:lineRule="auto"/>
              <w:jc w:val="right"/>
              <w:rPr>
                <w:rFonts w:ascii="Arial" w:eastAsia="Times New Roman" w:hAnsi="Arial" w:cs="Arial"/>
                <w:color w:val="000000"/>
                <w:sz w:val="18"/>
                <w:szCs w:val="18"/>
                <w:lang w:eastAsia="sl-SI"/>
              </w:rPr>
            </w:pPr>
            <w:r w:rsidRPr="00B120A2">
              <w:rPr>
                <w:rFonts w:ascii="Arial" w:hAnsi="Arial" w:cs="Arial"/>
                <w:color w:val="000000"/>
                <w:sz w:val="18"/>
                <w:szCs w:val="18"/>
              </w:rPr>
              <w:t>77</w:t>
            </w:r>
          </w:p>
        </w:tc>
        <w:tc>
          <w:tcPr>
            <w:tcW w:w="2056" w:type="dxa"/>
            <w:shd w:val="clear" w:color="auto" w:fill="auto"/>
            <w:vAlign w:val="center"/>
            <w:hideMark/>
          </w:tcPr>
          <w:p w14:paraId="53C1EEB5" w14:textId="77777777" w:rsidR="00E3750C" w:rsidRPr="00B120A2" w:rsidRDefault="00E3750C" w:rsidP="00047864">
            <w:pPr>
              <w:spacing w:after="0" w:line="240" w:lineRule="auto"/>
              <w:jc w:val="right"/>
              <w:rPr>
                <w:rFonts w:ascii="Arial" w:eastAsia="Times New Roman" w:hAnsi="Arial" w:cs="Arial"/>
                <w:color w:val="000000"/>
                <w:sz w:val="18"/>
                <w:szCs w:val="18"/>
                <w:lang w:eastAsia="sl-SI"/>
              </w:rPr>
            </w:pPr>
            <w:r w:rsidRPr="00B120A2">
              <w:rPr>
                <w:rFonts w:ascii="Arial" w:hAnsi="Arial" w:cs="Arial"/>
                <w:color w:val="000000"/>
                <w:sz w:val="18"/>
                <w:szCs w:val="18"/>
              </w:rPr>
              <w:t>14.745.296</w:t>
            </w:r>
          </w:p>
        </w:tc>
        <w:tc>
          <w:tcPr>
            <w:tcW w:w="1334" w:type="dxa"/>
            <w:shd w:val="clear" w:color="auto" w:fill="auto"/>
            <w:noWrap/>
            <w:vAlign w:val="center"/>
            <w:hideMark/>
          </w:tcPr>
          <w:p w14:paraId="51EF69BF" w14:textId="77777777" w:rsidR="00E3750C" w:rsidRPr="00B120A2" w:rsidRDefault="00E3750C" w:rsidP="00047864">
            <w:pPr>
              <w:spacing w:after="0" w:line="240" w:lineRule="auto"/>
              <w:jc w:val="right"/>
              <w:rPr>
                <w:rFonts w:ascii="Arial" w:eastAsia="Times New Roman" w:hAnsi="Arial" w:cs="Arial"/>
                <w:color w:val="000000"/>
                <w:sz w:val="18"/>
                <w:szCs w:val="18"/>
                <w:lang w:eastAsia="sl-SI"/>
              </w:rPr>
            </w:pPr>
            <w:r w:rsidRPr="00B120A2">
              <w:rPr>
                <w:rFonts w:ascii="Arial" w:hAnsi="Arial" w:cs="Arial"/>
                <w:color w:val="000000"/>
                <w:sz w:val="18"/>
                <w:szCs w:val="18"/>
              </w:rPr>
              <w:t>0,46 %</w:t>
            </w:r>
          </w:p>
        </w:tc>
        <w:tc>
          <w:tcPr>
            <w:tcW w:w="1334" w:type="dxa"/>
            <w:shd w:val="clear" w:color="auto" w:fill="auto"/>
            <w:noWrap/>
            <w:vAlign w:val="center"/>
            <w:hideMark/>
          </w:tcPr>
          <w:p w14:paraId="68B8B5FA" w14:textId="77777777" w:rsidR="00E3750C" w:rsidRPr="00B120A2" w:rsidRDefault="00E3750C" w:rsidP="00047864">
            <w:pPr>
              <w:spacing w:after="0" w:line="240" w:lineRule="auto"/>
              <w:jc w:val="right"/>
              <w:rPr>
                <w:rFonts w:ascii="Arial" w:eastAsia="Times New Roman" w:hAnsi="Arial" w:cs="Arial"/>
                <w:color w:val="000000"/>
                <w:sz w:val="18"/>
                <w:szCs w:val="18"/>
                <w:lang w:eastAsia="sl-SI"/>
              </w:rPr>
            </w:pPr>
            <w:r w:rsidRPr="00B120A2">
              <w:rPr>
                <w:rFonts w:ascii="Arial" w:hAnsi="Arial" w:cs="Arial"/>
                <w:color w:val="000000"/>
                <w:sz w:val="18"/>
                <w:szCs w:val="18"/>
              </w:rPr>
              <w:t>0,28 %</w:t>
            </w:r>
          </w:p>
        </w:tc>
      </w:tr>
      <w:tr w:rsidR="00E3750C" w:rsidRPr="00B120A2" w14:paraId="43550EA8" w14:textId="77777777" w:rsidTr="00047864">
        <w:trPr>
          <w:trHeight w:val="255"/>
        </w:trPr>
        <w:tc>
          <w:tcPr>
            <w:tcW w:w="3029" w:type="dxa"/>
            <w:shd w:val="clear" w:color="auto" w:fill="F2F2F2" w:themeFill="background1" w:themeFillShade="F2"/>
            <w:noWrap/>
            <w:vAlign w:val="center"/>
            <w:hideMark/>
          </w:tcPr>
          <w:p w14:paraId="1810B9C2" w14:textId="77777777" w:rsidR="00E3750C" w:rsidRPr="00A76EDB" w:rsidRDefault="00E3750C" w:rsidP="00047864">
            <w:pPr>
              <w:spacing w:after="0" w:line="240" w:lineRule="auto"/>
              <w:rPr>
                <w:rFonts w:ascii="Arial" w:eastAsia="Times New Roman" w:hAnsi="Arial" w:cs="Arial"/>
                <w:b/>
                <w:bCs/>
                <w:color w:val="000000"/>
                <w:sz w:val="18"/>
                <w:szCs w:val="18"/>
                <w:lang w:eastAsia="sl-SI"/>
              </w:rPr>
            </w:pPr>
            <w:r w:rsidRPr="00A76EDB">
              <w:rPr>
                <w:rFonts w:ascii="Arial" w:eastAsia="Times New Roman" w:hAnsi="Arial" w:cs="Arial"/>
                <w:b/>
                <w:bCs/>
                <w:color w:val="000000"/>
                <w:sz w:val="18"/>
                <w:szCs w:val="18"/>
                <w:lang w:eastAsia="sl-SI"/>
              </w:rPr>
              <w:t>Skupaj</w:t>
            </w:r>
          </w:p>
        </w:tc>
        <w:tc>
          <w:tcPr>
            <w:tcW w:w="1334" w:type="dxa"/>
            <w:shd w:val="clear" w:color="auto" w:fill="F2F2F2" w:themeFill="background1" w:themeFillShade="F2"/>
            <w:noWrap/>
            <w:vAlign w:val="center"/>
            <w:hideMark/>
          </w:tcPr>
          <w:p w14:paraId="54B2F302" w14:textId="77777777" w:rsidR="00E3750C" w:rsidRPr="00A76EDB" w:rsidRDefault="00E3750C" w:rsidP="00047864">
            <w:pPr>
              <w:spacing w:after="0" w:line="240" w:lineRule="auto"/>
              <w:jc w:val="right"/>
              <w:rPr>
                <w:rFonts w:ascii="Arial" w:eastAsia="Times New Roman" w:hAnsi="Arial" w:cs="Arial"/>
                <w:b/>
                <w:bCs/>
                <w:color w:val="000000"/>
                <w:sz w:val="18"/>
                <w:szCs w:val="18"/>
                <w:lang w:eastAsia="sl-SI"/>
              </w:rPr>
            </w:pPr>
            <w:r w:rsidRPr="00A76EDB">
              <w:rPr>
                <w:rFonts w:ascii="Arial" w:hAnsi="Arial" w:cs="Arial"/>
                <w:b/>
                <w:bCs/>
                <w:color w:val="000000"/>
                <w:sz w:val="18"/>
                <w:szCs w:val="18"/>
              </w:rPr>
              <w:t>16.780</w:t>
            </w:r>
          </w:p>
        </w:tc>
        <w:tc>
          <w:tcPr>
            <w:tcW w:w="2056" w:type="dxa"/>
            <w:shd w:val="clear" w:color="auto" w:fill="F2F2F2" w:themeFill="background1" w:themeFillShade="F2"/>
            <w:noWrap/>
            <w:vAlign w:val="center"/>
            <w:hideMark/>
          </w:tcPr>
          <w:p w14:paraId="70218205" w14:textId="77777777" w:rsidR="00E3750C" w:rsidRPr="00A76EDB" w:rsidRDefault="00E3750C" w:rsidP="00047864">
            <w:pPr>
              <w:spacing w:after="0" w:line="240" w:lineRule="auto"/>
              <w:jc w:val="right"/>
              <w:rPr>
                <w:rFonts w:ascii="Arial" w:eastAsia="Times New Roman" w:hAnsi="Arial" w:cs="Arial"/>
                <w:b/>
                <w:bCs/>
                <w:color w:val="000000"/>
                <w:sz w:val="18"/>
                <w:szCs w:val="18"/>
                <w:lang w:eastAsia="sl-SI"/>
              </w:rPr>
            </w:pPr>
            <w:r w:rsidRPr="00A76EDB">
              <w:rPr>
                <w:rFonts w:ascii="Arial" w:hAnsi="Arial" w:cs="Arial"/>
                <w:b/>
                <w:bCs/>
                <w:color w:val="000000"/>
                <w:sz w:val="18"/>
                <w:szCs w:val="18"/>
              </w:rPr>
              <w:t>5.218.980.380</w:t>
            </w:r>
          </w:p>
        </w:tc>
        <w:tc>
          <w:tcPr>
            <w:tcW w:w="1334" w:type="dxa"/>
            <w:shd w:val="clear" w:color="auto" w:fill="F2F2F2" w:themeFill="background1" w:themeFillShade="F2"/>
            <w:noWrap/>
            <w:vAlign w:val="center"/>
            <w:hideMark/>
          </w:tcPr>
          <w:p w14:paraId="5085E20A" w14:textId="77777777" w:rsidR="00E3750C" w:rsidRPr="00A76EDB" w:rsidRDefault="00E3750C" w:rsidP="00047864">
            <w:pPr>
              <w:spacing w:after="0" w:line="240" w:lineRule="auto"/>
              <w:jc w:val="right"/>
              <w:rPr>
                <w:rFonts w:ascii="Arial" w:eastAsia="Times New Roman" w:hAnsi="Arial" w:cs="Arial"/>
                <w:b/>
                <w:bCs/>
                <w:color w:val="000000"/>
                <w:sz w:val="18"/>
                <w:szCs w:val="18"/>
                <w:lang w:eastAsia="sl-SI"/>
              </w:rPr>
            </w:pPr>
            <w:r w:rsidRPr="00A76EDB">
              <w:rPr>
                <w:rFonts w:ascii="Arial" w:hAnsi="Arial" w:cs="Arial"/>
                <w:b/>
                <w:bCs/>
                <w:color w:val="000000"/>
                <w:sz w:val="18"/>
                <w:szCs w:val="18"/>
              </w:rPr>
              <w:t>100,00 %</w:t>
            </w:r>
          </w:p>
        </w:tc>
        <w:tc>
          <w:tcPr>
            <w:tcW w:w="1334" w:type="dxa"/>
            <w:shd w:val="clear" w:color="auto" w:fill="F2F2F2" w:themeFill="background1" w:themeFillShade="F2"/>
            <w:noWrap/>
            <w:vAlign w:val="center"/>
            <w:hideMark/>
          </w:tcPr>
          <w:p w14:paraId="3B3D8CF3" w14:textId="77777777" w:rsidR="00E3750C" w:rsidRPr="00A76EDB" w:rsidRDefault="00E3750C" w:rsidP="00047864">
            <w:pPr>
              <w:spacing w:after="0" w:line="240" w:lineRule="auto"/>
              <w:jc w:val="right"/>
              <w:rPr>
                <w:rFonts w:ascii="Arial" w:eastAsia="Times New Roman" w:hAnsi="Arial" w:cs="Arial"/>
                <w:b/>
                <w:bCs/>
                <w:color w:val="000000"/>
                <w:sz w:val="18"/>
                <w:szCs w:val="18"/>
                <w:lang w:eastAsia="sl-SI"/>
              </w:rPr>
            </w:pPr>
            <w:r w:rsidRPr="00A76EDB">
              <w:rPr>
                <w:rFonts w:ascii="Arial" w:hAnsi="Arial" w:cs="Arial"/>
                <w:b/>
                <w:bCs/>
                <w:color w:val="000000"/>
                <w:sz w:val="18"/>
                <w:szCs w:val="18"/>
              </w:rPr>
              <w:t>100,00 %</w:t>
            </w:r>
          </w:p>
        </w:tc>
      </w:tr>
    </w:tbl>
    <w:p w14:paraId="31202EB4" w14:textId="77777777" w:rsidR="00E3750C" w:rsidRPr="00B120A2" w:rsidRDefault="00E3750C" w:rsidP="00E3750C">
      <w:pPr>
        <w:spacing w:after="0" w:line="240" w:lineRule="auto"/>
        <w:jc w:val="both"/>
        <w:rPr>
          <w:rFonts w:ascii="Arial" w:hAnsi="Arial" w:cs="Arial"/>
          <w:sz w:val="20"/>
        </w:rPr>
      </w:pPr>
    </w:p>
    <w:p w14:paraId="3AAC89E8" w14:textId="77777777" w:rsidR="00E3750C" w:rsidRPr="000F4B73" w:rsidRDefault="00E3750C" w:rsidP="00E3750C">
      <w:pPr>
        <w:spacing w:before="120" w:after="0" w:line="240" w:lineRule="auto"/>
        <w:jc w:val="both"/>
        <w:rPr>
          <w:rFonts w:ascii="Arial" w:hAnsi="Arial" w:cs="Arial"/>
          <w:sz w:val="20"/>
        </w:rPr>
      </w:pPr>
      <w:r w:rsidRPr="000F4B73">
        <w:rPr>
          <w:rFonts w:ascii="Arial" w:hAnsi="Arial" w:cs="Arial"/>
          <w:sz w:val="20"/>
        </w:rPr>
        <w:t>Preglednica 9</w:t>
      </w:r>
      <w:r>
        <w:rPr>
          <w:rFonts w:ascii="Arial" w:hAnsi="Arial" w:cs="Arial"/>
          <w:sz w:val="20"/>
        </w:rPr>
        <w:t>2</w:t>
      </w:r>
      <w:r w:rsidRPr="000F4B73">
        <w:rPr>
          <w:rFonts w:ascii="Arial" w:hAnsi="Arial" w:cs="Arial"/>
          <w:sz w:val="20"/>
        </w:rPr>
        <w:t>: Javna naročila, oddana slovenskim ponudnikom, glede na regijo naročnika in velikost ponudnika</w:t>
      </w:r>
    </w:p>
    <w:p w14:paraId="08334CF2" w14:textId="77777777" w:rsidR="00E3750C" w:rsidRPr="00BF7302" w:rsidRDefault="00E3750C" w:rsidP="00E3750C">
      <w:pPr>
        <w:spacing w:after="0" w:line="240" w:lineRule="auto"/>
        <w:jc w:val="both"/>
        <w:rPr>
          <w:rFonts w:ascii="Arial" w:hAnsi="Arial" w:cs="Arial"/>
          <w:sz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61"/>
        <w:gridCol w:w="2482"/>
        <w:gridCol w:w="706"/>
        <w:gridCol w:w="1292"/>
        <w:gridCol w:w="951"/>
        <w:gridCol w:w="1182"/>
      </w:tblGrid>
      <w:tr w:rsidR="00E3750C" w:rsidRPr="000F4B73" w14:paraId="0C64589B" w14:textId="77777777" w:rsidTr="00047864">
        <w:trPr>
          <w:trHeight w:val="456"/>
          <w:tblHeader/>
        </w:trPr>
        <w:tc>
          <w:tcPr>
            <w:tcW w:w="1396" w:type="pct"/>
            <w:shd w:val="clear" w:color="000000" w:fill="F2F2F2"/>
            <w:vAlign w:val="center"/>
            <w:hideMark/>
          </w:tcPr>
          <w:p w14:paraId="331B9437" w14:textId="77777777" w:rsidR="00E3750C" w:rsidRPr="000F4B73" w:rsidRDefault="00E3750C" w:rsidP="00047864">
            <w:pPr>
              <w:spacing w:after="0" w:line="240" w:lineRule="auto"/>
              <w:jc w:val="center"/>
              <w:rPr>
                <w:rFonts w:ascii="Arial" w:eastAsia="Times New Roman" w:hAnsi="Arial" w:cs="Arial"/>
                <w:color w:val="000000"/>
                <w:sz w:val="18"/>
                <w:szCs w:val="18"/>
                <w:lang w:eastAsia="sl-SI"/>
              </w:rPr>
            </w:pPr>
            <w:bookmarkStart w:id="117" w:name="_Toc369000994"/>
            <w:bookmarkStart w:id="118" w:name="_Toc398038715"/>
            <w:bookmarkStart w:id="119" w:name="_Toc398040194"/>
            <w:bookmarkStart w:id="120" w:name="_Toc398584432"/>
            <w:r w:rsidRPr="000F4B73">
              <w:rPr>
                <w:rFonts w:ascii="Arial" w:eastAsia="Times New Roman" w:hAnsi="Arial" w:cs="Arial"/>
                <w:color w:val="000000"/>
                <w:sz w:val="18"/>
                <w:szCs w:val="18"/>
                <w:lang w:eastAsia="sl-SI"/>
              </w:rPr>
              <w:t>Regija naročnika</w:t>
            </w:r>
          </w:p>
        </w:tc>
        <w:tc>
          <w:tcPr>
            <w:tcW w:w="1353" w:type="pct"/>
            <w:shd w:val="clear" w:color="000000" w:fill="F2F2F2"/>
            <w:vAlign w:val="center"/>
            <w:hideMark/>
          </w:tcPr>
          <w:p w14:paraId="4411D394" w14:textId="77777777" w:rsidR="00E3750C" w:rsidRPr="000F4B73" w:rsidRDefault="00E3750C" w:rsidP="00047864">
            <w:pPr>
              <w:spacing w:after="0" w:line="240" w:lineRule="auto"/>
              <w:jc w:val="center"/>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Velikost ponudnika</w:t>
            </w:r>
          </w:p>
        </w:tc>
        <w:tc>
          <w:tcPr>
            <w:tcW w:w="385" w:type="pct"/>
            <w:shd w:val="clear" w:color="000000" w:fill="F2F2F2"/>
            <w:vAlign w:val="center"/>
            <w:hideMark/>
          </w:tcPr>
          <w:p w14:paraId="7AEEA72F" w14:textId="77777777" w:rsidR="00E3750C" w:rsidRPr="000F4B73" w:rsidRDefault="00E3750C" w:rsidP="00047864">
            <w:pPr>
              <w:spacing w:after="0" w:line="240" w:lineRule="auto"/>
              <w:jc w:val="center"/>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Št. naročil</w:t>
            </w:r>
          </w:p>
        </w:tc>
        <w:tc>
          <w:tcPr>
            <w:tcW w:w="704" w:type="pct"/>
            <w:shd w:val="clear" w:color="000000" w:fill="F2F2F2"/>
            <w:vAlign w:val="center"/>
            <w:hideMark/>
          </w:tcPr>
          <w:p w14:paraId="3090AEC9" w14:textId="77777777" w:rsidR="00E3750C" w:rsidRPr="000F4B73" w:rsidRDefault="00E3750C" w:rsidP="00047864">
            <w:pPr>
              <w:spacing w:after="0" w:line="240" w:lineRule="auto"/>
              <w:jc w:val="center"/>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Pogodbena vrednost</w:t>
            </w:r>
          </w:p>
        </w:tc>
        <w:tc>
          <w:tcPr>
            <w:tcW w:w="518" w:type="pct"/>
            <w:shd w:val="clear" w:color="000000" w:fill="F2F2F2"/>
            <w:vAlign w:val="center"/>
            <w:hideMark/>
          </w:tcPr>
          <w:p w14:paraId="398E2079" w14:textId="77777777" w:rsidR="00E3750C" w:rsidRPr="000F4B73" w:rsidRDefault="00E3750C" w:rsidP="00047864">
            <w:pPr>
              <w:spacing w:after="0" w:line="240" w:lineRule="auto"/>
              <w:jc w:val="center"/>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Delež v št. istovrstnih naročil</w:t>
            </w:r>
          </w:p>
        </w:tc>
        <w:tc>
          <w:tcPr>
            <w:tcW w:w="644" w:type="pct"/>
            <w:shd w:val="clear" w:color="000000" w:fill="F2F2F2"/>
            <w:vAlign w:val="center"/>
            <w:hideMark/>
          </w:tcPr>
          <w:p w14:paraId="1C80986D" w14:textId="77777777" w:rsidR="00E3750C" w:rsidRPr="000F4B73" w:rsidRDefault="00E3750C" w:rsidP="00047864">
            <w:pPr>
              <w:spacing w:after="0" w:line="240" w:lineRule="auto"/>
              <w:jc w:val="center"/>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Delež v vrednosti istovrstnih naročil</w:t>
            </w:r>
          </w:p>
        </w:tc>
      </w:tr>
      <w:tr w:rsidR="00E3750C" w:rsidRPr="000F4B73" w14:paraId="49213DA0" w14:textId="77777777" w:rsidTr="00047864">
        <w:trPr>
          <w:trHeight w:val="288"/>
        </w:trPr>
        <w:tc>
          <w:tcPr>
            <w:tcW w:w="1396" w:type="pct"/>
            <w:vMerge w:val="restart"/>
            <w:shd w:val="clear" w:color="auto" w:fill="auto"/>
            <w:noWrap/>
            <w:vAlign w:val="center"/>
            <w:hideMark/>
          </w:tcPr>
          <w:p w14:paraId="00A7DEF8"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GORENJSKA</w:t>
            </w:r>
          </w:p>
        </w:tc>
        <w:tc>
          <w:tcPr>
            <w:tcW w:w="1353" w:type="pct"/>
            <w:shd w:val="clear" w:color="auto" w:fill="auto"/>
            <w:noWrap/>
            <w:vAlign w:val="center"/>
            <w:hideMark/>
          </w:tcPr>
          <w:p w14:paraId="43218D76" w14:textId="77777777" w:rsidR="00E3750C" w:rsidRPr="000F4B73" w:rsidRDefault="00E3750C" w:rsidP="00047864">
            <w:pPr>
              <w:spacing w:after="0" w:line="240" w:lineRule="auto"/>
              <w:rPr>
                <w:rFonts w:ascii="Arial" w:eastAsia="Times New Roman" w:hAnsi="Arial" w:cs="Arial"/>
                <w:color w:val="000000"/>
                <w:sz w:val="18"/>
                <w:szCs w:val="18"/>
                <w:lang w:eastAsia="sl-SI"/>
              </w:rPr>
            </w:pPr>
            <w:proofErr w:type="spellStart"/>
            <w:r w:rsidRPr="000F4B73">
              <w:rPr>
                <w:rFonts w:ascii="Arial" w:eastAsia="Times New Roman" w:hAnsi="Arial" w:cs="Arial"/>
                <w:color w:val="000000"/>
                <w:sz w:val="18"/>
                <w:szCs w:val="18"/>
                <w:lang w:eastAsia="sl-SI"/>
              </w:rPr>
              <w:t>Mikro</w:t>
            </w:r>
            <w:proofErr w:type="spellEnd"/>
            <w:r w:rsidRPr="000F4B73">
              <w:rPr>
                <w:rFonts w:ascii="Arial" w:eastAsia="Times New Roman" w:hAnsi="Arial" w:cs="Arial"/>
                <w:color w:val="000000"/>
                <w:sz w:val="18"/>
                <w:szCs w:val="18"/>
                <w:lang w:eastAsia="sl-SI"/>
              </w:rPr>
              <w:t xml:space="preserve"> enote</w:t>
            </w:r>
          </w:p>
        </w:tc>
        <w:tc>
          <w:tcPr>
            <w:tcW w:w="385" w:type="pct"/>
            <w:shd w:val="clear" w:color="auto" w:fill="auto"/>
            <w:noWrap/>
            <w:vAlign w:val="center"/>
            <w:hideMark/>
          </w:tcPr>
          <w:p w14:paraId="793CB8A3"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113</w:t>
            </w:r>
          </w:p>
        </w:tc>
        <w:tc>
          <w:tcPr>
            <w:tcW w:w="704" w:type="pct"/>
            <w:shd w:val="clear" w:color="auto" w:fill="auto"/>
            <w:noWrap/>
            <w:vAlign w:val="center"/>
            <w:hideMark/>
          </w:tcPr>
          <w:p w14:paraId="2984498A"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14636212</w:t>
            </w:r>
          </w:p>
        </w:tc>
        <w:tc>
          <w:tcPr>
            <w:tcW w:w="518" w:type="pct"/>
            <w:shd w:val="clear" w:color="auto" w:fill="auto"/>
            <w:noWrap/>
            <w:vAlign w:val="center"/>
            <w:hideMark/>
          </w:tcPr>
          <w:p w14:paraId="53060494"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12,73</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28EA8C9D"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7,96</w:t>
            </w:r>
            <w:r>
              <w:rPr>
                <w:rFonts w:ascii="Arial" w:eastAsia="Times New Roman" w:hAnsi="Arial" w:cs="Arial"/>
                <w:color w:val="000000"/>
                <w:sz w:val="18"/>
                <w:szCs w:val="18"/>
                <w:lang w:eastAsia="sl-SI"/>
              </w:rPr>
              <w:t xml:space="preserve"> %</w:t>
            </w:r>
          </w:p>
        </w:tc>
      </w:tr>
      <w:tr w:rsidR="00E3750C" w:rsidRPr="000F4B73" w14:paraId="5A102403" w14:textId="77777777" w:rsidTr="00047864">
        <w:trPr>
          <w:trHeight w:val="288"/>
        </w:trPr>
        <w:tc>
          <w:tcPr>
            <w:tcW w:w="1396" w:type="pct"/>
            <w:vMerge/>
            <w:vAlign w:val="center"/>
            <w:hideMark/>
          </w:tcPr>
          <w:p w14:paraId="1B45EDC2"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64BEDBA7"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Majhne enote</w:t>
            </w:r>
          </w:p>
        </w:tc>
        <w:tc>
          <w:tcPr>
            <w:tcW w:w="385" w:type="pct"/>
            <w:shd w:val="clear" w:color="auto" w:fill="auto"/>
            <w:noWrap/>
            <w:vAlign w:val="center"/>
            <w:hideMark/>
          </w:tcPr>
          <w:p w14:paraId="08FD8E02"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313</w:t>
            </w:r>
          </w:p>
        </w:tc>
        <w:tc>
          <w:tcPr>
            <w:tcW w:w="704" w:type="pct"/>
            <w:shd w:val="clear" w:color="auto" w:fill="auto"/>
            <w:noWrap/>
            <w:vAlign w:val="center"/>
            <w:hideMark/>
          </w:tcPr>
          <w:p w14:paraId="023D8B44"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59900416</w:t>
            </w:r>
          </w:p>
        </w:tc>
        <w:tc>
          <w:tcPr>
            <w:tcW w:w="518" w:type="pct"/>
            <w:shd w:val="clear" w:color="auto" w:fill="auto"/>
            <w:noWrap/>
            <w:vAlign w:val="center"/>
            <w:hideMark/>
          </w:tcPr>
          <w:p w14:paraId="0E146D73"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35,25</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40B77BAB"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32,57</w:t>
            </w:r>
            <w:r>
              <w:rPr>
                <w:rFonts w:ascii="Arial" w:eastAsia="Times New Roman" w:hAnsi="Arial" w:cs="Arial"/>
                <w:color w:val="000000"/>
                <w:sz w:val="18"/>
                <w:szCs w:val="18"/>
                <w:lang w:eastAsia="sl-SI"/>
              </w:rPr>
              <w:t xml:space="preserve"> %</w:t>
            </w:r>
          </w:p>
        </w:tc>
      </w:tr>
      <w:tr w:rsidR="00E3750C" w:rsidRPr="000F4B73" w14:paraId="40DCDEA9" w14:textId="77777777" w:rsidTr="00047864">
        <w:trPr>
          <w:trHeight w:val="288"/>
        </w:trPr>
        <w:tc>
          <w:tcPr>
            <w:tcW w:w="1396" w:type="pct"/>
            <w:vMerge/>
            <w:vAlign w:val="center"/>
            <w:hideMark/>
          </w:tcPr>
          <w:p w14:paraId="38427F93"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6A25073C"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Srednje enote</w:t>
            </w:r>
          </w:p>
        </w:tc>
        <w:tc>
          <w:tcPr>
            <w:tcW w:w="385" w:type="pct"/>
            <w:shd w:val="clear" w:color="auto" w:fill="auto"/>
            <w:noWrap/>
            <w:vAlign w:val="center"/>
            <w:hideMark/>
          </w:tcPr>
          <w:p w14:paraId="29938B06"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197</w:t>
            </w:r>
          </w:p>
        </w:tc>
        <w:tc>
          <w:tcPr>
            <w:tcW w:w="704" w:type="pct"/>
            <w:shd w:val="clear" w:color="auto" w:fill="auto"/>
            <w:noWrap/>
            <w:vAlign w:val="center"/>
            <w:hideMark/>
          </w:tcPr>
          <w:p w14:paraId="1C49332F"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49263809</w:t>
            </w:r>
          </w:p>
        </w:tc>
        <w:tc>
          <w:tcPr>
            <w:tcW w:w="518" w:type="pct"/>
            <w:shd w:val="clear" w:color="auto" w:fill="auto"/>
            <w:noWrap/>
            <w:vAlign w:val="center"/>
            <w:hideMark/>
          </w:tcPr>
          <w:p w14:paraId="3F3D48EC"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22,18</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2D235E14"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26,79</w:t>
            </w:r>
            <w:r>
              <w:rPr>
                <w:rFonts w:ascii="Arial" w:eastAsia="Times New Roman" w:hAnsi="Arial" w:cs="Arial"/>
                <w:color w:val="000000"/>
                <w:sz w:val="18"/>
                <w:szCs w:val="18"/>
                <w:lang w:eastAsia="sl-SI"/>
              </w:rPr>
              <w:t xml:space="preserve"> %</w:t>
            </w:r>
          </w:p>
        </w:tc>
      </w:tr>
      <w:tr w:rsidR="00E3750C" w:rsidRPr="000F4B73" w14:paraId="49C6F3EB" w14:textId="77777777" w:rsidTr="00047864">
        <w:trPr>
          <w:trHeight w:val="288"/>
        </w:trPr>
        <w:tc>
          <w:tcPr>
            <w:tcW w:w="1396" w:type="pct"/>
            <w:vMerge/>
            <w:vAlign w:val="center"/>
            <w:hideMark/>
          </w:tcPr>
          <w:p w14:paraId="7456D87A"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42BBAD6B"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Velike enote</w:t>
            </w:r>
          </w:p>
        </w:tc>
        <w:tc>
          <w:tcPr>
            <w:tcW w:w="385" w:type="pct"/>
            <w:shd w:val="clear" w:color="auto" w:fill="auto"/>
            <w:noWrap/>
            <w:vAlign w:val="center"/>
            <w:hideMark/>
          </w:tcPr>
          <w:p w14:paraId="34F8A755"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222</w:t>
            </w:r>
          </w:p>
        </w:tc>
        <w:tc>
          <w:tcPr>
            <w:tcW w:w="704" w:type="pct"/>
            <w:shd w:val="clear" w:color="auto" w:fill="auto"/>
            <w:noWrap/>
            <w:vAlign w:val="center"/>
            <w:hideMark/>
          </w:tcPr>
          <w:p w14:paraId="423829F7"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58358159</w:t>
            </w:r>
          </w:p>
        </w:tc>
        <w:tc>
          <w:tcPr>
            <w:tcW w:w="518" w:type="pct"/>
            <w:shd w:val="clear" w:color="auto" w:fill="auto"/>
            <w:noWrap/>
            <w:vAlign w:val="center"/>
            <w:hideMark/>
          </w:tcPr>
          <w:p w14:paraId="7FAECA82"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25,00</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6F9BDF00"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31,73</w:t>
            </w:r>
            <w:r>
              <w:rPr>
                <w:rFonts w:ascii="Arial" w:eastAsia="Times New Roman" w:hAnsi="Arial" w:cs="Arial"/>
                <w:color w:val="000000"/>
                <w:sz w:val="18"/>
                <w:szCs w:val="18"/>
                <w:lang w:eastAsia="sl-SI"/>
              </w:rPr>
              <w:t xml:space="preserve"> %</w:t>
            </w:r>
          </w:p>
        </w:tc>
      </w:tr>
      <w:tr w:rsidR="00E3750C" w:rsidRPr="000F4B73" w14:paraId="77191F3F" w14:textId="77777777" w:rsidTr="00047864">
        <w:trPr>
          <w:trHeight w:val="288"/>
        </w:trPr>
        <w:tc>
          <w:tcPr>
            <w:tcW w:w="1396" w:type="pct"/>
            <w:vMerge/>
            <w:vAlign w:val="center"/>
            <w:hideMark/>
          </w:tcPr>
          <w:p w14:paraId="70884E04"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3825F2E1"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Velikost RS se ne izračunava</w:t>
            </w:r>
          </w:p>
        </w:tc>
        <w:tc>
          <w:tcPr>
            <w:tcW w:w="385" w:type="pct"/>
            <w:shd w:val="clear" w:color="auto" w:fill="auto"/>
            <w:noWrap/>
            <w:vAlign w:val="center"/>
            <w:hideMark/>
          </w:tcPr>
          <w:p w14:paraId="22E36C4B"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42</w:t>
            </w:r>
          </w:p>
        </w:tc>
        <w:tc>
          <w:tcPr>
            <w:tcW w:w="704" w:type="pct"/>
            <w:shd w:val="clear" w:color="auto" w:fill="auto"/>
            <w:noWrap/>
            <w:vAlign w:val="center"/>
            <w:hideMark/>
          </w:tcPr>
          <w:p w14:paraId="09BE48D3"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1747148</w:t>
            </w:r>
          </w:p>
        </w:tc>
        <w:tc>
          <w:tcPr>
            <w:tcW w:w="518" w:type="pct"/>
            <w:shd w:val="clear" w:color="auto" w:fill="auto"/>
            <w:noWrap/>
            <w:vAlign w:val="center"/>
            <w:hideMark/>
          </w:tcPr>
          <w:p w14:paraId="63FC7661"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4,73</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67565C20"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0,95</w:t>
            </w:r>
            <w:r>
              <w:rPr>
                <w:rFonts w:ascii="Arial" w:eastAsia="Times New Roman" w:hAnsi="Arial" w:cs="Arial"/>
                <w:color w:val="000000"/>
                <w:sz w:val="18"/>
                <w:szCs w:val="18"/>
                <w:lang w:eastAsia="sl-SI"/>
              </w:rPr>
              <w:t xml:space="preserve"> %</w:t>
            </w:r>
          </w:p>
        </w:tc>
      </w:tr>
      <w:tr w:rsidR="00E3750C" w:rsidRPr="000F4B73" w14:paraId="308BC53D" w14:textId="77777777" w:rsidTr="00047864">
        <w:trPr>
          <w:trHeight w:val="288"/>
        </w:trPr>
        <w:tc>
          <w:tcPr>
            <w:tcW w:w="1396" w:type="pct"/>
            <w:vMerge/>
            <w:vAlign w:val="center"/>
            <w:hideMark/>
          </w:tcPr>
          <w:p w14:paraId="19D0BC1C"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77CD3A56"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Ni podatka o velikosti</w:t>
            </w:r>
          </w:p>
        </w:tc>
        <w:tc>
          <w:tcPr>
            <w:tcW w:w="385" w:type="pct"/>
            <w:shd w:val="clear" w:color="auto" w:fill="auto"/>
            <w:noWrap/>
            <w:vAlign w:val="center"/>
            <w:hideMark/>
          </w:tcPr>
          <w:p w14:paraId="1743EFFA"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w:t>
            </w:r>
          </w:p>
        </w:tc>
        <w:tc>
          <w:tcPr>
            <w:tcW w:w="704" w:type="pct"/>
            <w:shd w:val="clear" w:color="auto" w:fill="auto"/>
            <w:noWrap/>
            <w:vAlign w:val="center"/>
            <w:hideMark/>
          </w:tcPr>
          <w:p w14:paraId="245A11AE"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13020</w:t>
            </w:r>
          </w:p>
        </w:tc>
        <w:tc>
          <w:tcPr>
            <w:tcW w:w="518" w:type="pct"/>
            <w:shd w:val="clear" w:color="auto" w:fill="auto"/>
            <w:noWrap/>
            <w:vAlign w:val="center"/>
            <w:hideMark/>
          </w:tcPr>
          <w:p w14:paraId="2E64FB1B"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0,11</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73020BCE"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r>
      <w:tr w:rsidR="00E3750C" w:rsidRPr="000F4B73" w14:paraId="2137E39F" w14:textId="77777777" w:rsidTr="00047864">
        <w:trPr>
          <w:trHeight w:val="288"/>
        </w:trPr>
        <w:tc>
          <w:tcPr>
            <w:tcW w:w="1396" w:type="pct"/>
            <w:vMerge/>
            <w:vAlign w:val="center"/>
            <w:hideMark/>
          </w:tcPr>
          <w:p w14:paraId="7D1A821C"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7CFE5AEA" w14:textId="77777777" w:rsidR="00E3750C" w:rsidRPr="000F4B73" w:rsidRDefault="00E3750C" w:rsidP="00047864">
            <w:pPr>
              <w:spacing w:after="0" w:line="240" w:lineRule="auto"/>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Skupaj</w:t>
            </w:r>
          </w:p>
        </w:tc>
        <w:tc>
          <w:tcPr>
            <w:tcW w:w="385" w:type="pct"/>
            <w:shd w:val="clear" w:color="auto" w:fill="auto"/>
            <w:noWrap/>
            <w:vAlign w:val="center"/>
            <w:hideMark/>
          </w:tcPr>
          <w:p w14:paraId="44F2AED4" w14:textId="77777777" w:rsidR="00E3750C" w:rsidRPr="000F4B73" w:rsidRDefault="00E3750C" w:rsidP="00047864">
            <w:pPr>
              <w:spacing w:after="0" w:line="240" w:lineRule="auto"/>
              <w:jc w:val="right"/>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888</w:t>
            </w:r>
          </w:p>
        </w:tc>
        <w:tc>
          <w:tcPr>
            <w:tcW w:w="704" w:type="pct"/>
            <w:shd w:val="clear" w:color="auto" w:fill="auto"/>
            <w:noWrap/>
            <w:vAlign w:val="center"/>
            <w:hideMark/>
          </w:tcPr>
          <w:p w14:paraId="2D29E38B" w14:textId="77777777" w:rsidR="00E3750C" w:rsidRPr="000F4B73" w:rsidRDefault="00E3750C" w:rsidP="00047864">
            <w:pPr>
              <w:spacing w:after="0" w:line="240" w:lineRule="auto"/>
              <w:jc w:val="right"/>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183.918.764</w:t>
            </w:r>
          </w:p>
        </w:tc>
        <w:tc>
          <w:tcPr>
            <w:tcW w:w="518" w:type="pct"/>
            <w:shd w:val="clear" w:color="auto" w:fill="auto"/>
            <w:noWrap/>
            <w:vAlign w:val="center"/>
            <w:hideMark/>
          </w:tcPr>
          <w:p w14:paraId="3B0B0DE2" w14:textId="77777777" w:rsidR="00E3750C" w:rsidRPr="000F4B73" w:rsidRDefault="00E3750C" w:rsidP="00047864">
            <w:pPr>
              <w:spacing w:after="0" w:line="240" w:lineRule="auto"/>
              <w:jc w:val="right"/>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644" w:type="pct"/>
            <w:shd w:val="clear" w:color="auto" w:fill="auto"/>
            <w:noWrap/>
            <w:vAlign w:val="center"/>
            <w:hideMark/>
          </w:tcPr>
          <w:p w14:paraId="32206E65" w14:textId="77777777" w:rsidR="00E3750C" w:rsidRPr="000F4B73" w:rsidRDefault="00E3750C" w:rsidP="00047864">
            <w:pPr>
              <w:spacing w:after="0" w:line="240" w:lineRule="auto"/>
              <w:jc w:val="right"/>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E3750C" w:rsidRPr="000F4B73" w14:paraId="17742D7A" w14:textId="77777777" w:rsidTr="00047864">
        <w:trPr>
          <w:trHeight w:val="288"/>
        </w:trPr>
        <w:tc>
          <w:tcPr>
            <w:tcW w:w="1396" w:type="pct"/>
            <w:vMerge w:val="restart"/>
            <w:shd w:val="clear" w:color="auto" w:fill="auto"/>
            <w:noWrap/>
            <w:vAlign w:val="center"/>
            <w:hideMark/>
          </w:tcPr>
          <w:p w14:paraId="782416D0"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GORIŠKA</w:t>
            </w:r>
          </w:p>
        </w:tc>
        <w:tc>
          <w:tcPr>
            <w:tcW w:w="1353" w:type="pct"/>
            <w:shd w:val="clear" w:color="auto" w:fill="auto"/>
            <w:noWrap/>
            <w:vAlign w:val="center"/>
            <w:hideMark/>
          </w:tcPr>
          <w:p w14:paraId="1B8C116A" w14:textId="77777777" w:rsidR="00E3750C" w:rsidRPr="000F4B73" w:rsidRDefault="00E3750C" w:rsidP="00047864">
            <w:pPr>
              <w:spacing w:after="0" w:line="240" w:lineRule="auto"/>
              <w:rPr>
                <w:rFonts w:ascii="Arial" w:eastAsia="Times New Roman" w:hAnsi="Arial" w:cs="Arial"/>
                <w:color w:val="000000"/>
                <w:sz w:val="18"/>
                <w:szCs w:val="18"/>
                <w:lang w:eastAsia="sl-SI"/>
              </w:rPr>
            </w:pPr>
            <w:proofErr w:type="spellStart"/>
            <w:r w:rsidRPr="000F4B73">
              <w:rPr>
                <w:rFonts w:ascii="Arial" w:eastAsia="Times New Roman" w:hAnsi="Arial" w:cs="Arial"/>
                <w:color w:val="000000"/>
                <w:sz w:val="18"/>
                <w:szCs w:val="18"/>
                <w:lang w:eastAsia="sl-SI"/>
              </w:rPr>
              <w:t>Mikro</w:t>
            </w:r>
            <w:proofErr w:type="spellEnd"/>
            <w:r w:rsidRPr="000F4B73">
              <w:rPr>
                <w:rFonts w:ascii="Arial" w:eastAsia="Times New Roman" w:hAnsi="Arial" w:cs="Arial"/>
                <w:color w:val="000000"/>
                <w:sz w:val="18"/>
                <w:szCs w:val="18"/>
                <w:lang w:eastAsia="sl-SI"/>
              </w:rPr>
              <w:t xml:space="preserve"> enote</w:t>
            </w:r>
          </w:p>
        </w:tc>
        <w:tc>
          <w:tcPr>
            <w:tcW w:w="385" w:type="pct"/>
            <w:shd w:val="clear" w:color="auto" w:fill="auto"/>
            <w:noWrap/>
            <w:vAlign w:val="center"/>
            <w:hideMark/>
          </w:tcPr>
          <w:p w14:paraId="6784E00E"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58</w:t>
            </w:r>
          </w:p>
        </w:tc>
        <w:tc>
          <w:tcPr>
            <w:tcW w:w="704" w:type="pct"/>
            <w:shd w:val="clear" w:color="auto" w:fill="auto"/>
            <w:noWrap/>
            <w:vAlign w:val="center"/>
            <w:hideMark/>
          </w:tcPr>
          <w:p w14:paraId="6F945D0A"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4655861</w:t>
            </w:r>
          </w:p>
        </w:tc>
        <w:tc>
          <w:tcPr>
            <w:tcW w:w="518" w:type="pct"/>
            <w:shd w:val="clear" w:color="auto" w:fill="auto"/>
            <w:noWrap/>
            <w:vAlign w:val="center"/>
            <w:hideMark/>
          </w:tcPr>
          <w:p w14:paraId="29C22E50"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8,49</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19777946"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4,28</w:t>
            </w:r>
            <w:r>
              <w:rPr>
                <w:rFonts w:ascii="Arial" w:eastAsia="Times New Roman" w:hAnsi="Arial" w:cs="Arial"/>
                <w:color w:val="000000"/>
                <w:sz w:val="18"/>
                <w:szCs w:val="18"/>
                <w:lang w:eastAsia="sl-SI"/>
              </w:rPr>
              <w:t xml:space="preserve"> %</w:t>
            </w:r>
          </w:p>
        </w:tc>
      </w:tr>
      <w:tr w:rsidR="00E3750C" w:rsidRPr="000F4B73" w14:paraId="57591AAB" w14:textId="77777777" w:rsidTr="00047864">
        <w:trPr>
          <w:trHeight w:val="288"/>
        </w:trPr>
        <w:tc>
          <w:tcPr>
            <w:tcW w:w="1396" w:type="pct"/>
            <w:vMerge/>
            <w:vAlign w:val="center"/>
            <w:hideMark/>
          </w:tcPr>
          <w:p w14:paraId="5F0159E4"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51E25EFC"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Majhne enote</w:t>
            </w:r>
          </w:p>
        </w:tc>
        <w:tc>
          <w:tcPr>
            <w:tcW w:w="385" w:type="pct"/>
            <w:shd w:val="clear" w:color="auto" w:fill="auto"/>
            <w:noWrap/>
            <w:vAlign w:val="center"/>
            <w:hideMark/>
          </w:tcPr>
          <w:p w14:paraId="7462DD9C"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220</w:t>
            </w:r>
          </w:p>
        </w:tc>
        <w:tc>
          <w:tcPr>
            <w:tcW w:w="704" w:type="pct"/>
            <w:shd w:val="clear" w:color="auto" w:fill="auto"/>
            <w:noWrap/>
            <w:vAlign w:val="center"/>
            <w:hideMark/>
          </w:tcPr>
          <w:p w14:paraId="0FDC9160"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34109691</w:t>
            </w:r>
          </w:p>
        </w:tc>
        <w:tc>
          <w:tcPr>
            <w:tcW w:w="518" w:type="pct"/>
            <w:shd w:val="clear" w:color="auto" w:fill="auto"/>
            <w:noWrap/>
            <w:vAlign w:val="center"/>
            <w:hideMark/>
          </w:tcPr>
          <w:p w14:paraId="1BC1D257"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32,21</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75AF0B80"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31,33</w:t>
            </w:r>
            <w:r>
              <w:rPr>
                <w:rFonts w:ascii="Arial" w:eastAsia="Times New Roman" w:hAnsi="Arial" w:cs="Arial"/>
                <w:color w:val="000000"/>
                <w:sz w:val="18"/>
                <w:szCs w:val="18"/>
                <w:lang w:eastAsia="sl-SI"/>
              </w:rPr>
              <w:t xml:space="preserve"> %</w:t>
            </w:r>
          </w:p>
        </w:tc>
      </w:tr>
      <w:tr w:rsidR="00E3750C" w:rsidRPr="000F4B73" w14:paraId="2A7560F4" w14:textId="77777777" w:rsidTr="00047864">
        <w:trPr>
          <w:trHeight w:val="288"/>
        </w:trPr>
        <w:tc>
          <w:tcPr>
            <w:tcW w:w="1396" w:type="pct"/>
            <w:vMerge/>
            <w:vAlign w:val="center"/>
            <w:hideMark/>
          </w:tcPr>
          <w:p w14:paraId="106104FD"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750922D7"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Srednje enote</w:t>
            </w:r>
          </w:p>
        </w:tc>
        <w:tc>
          <w:tcPr>
            <w:tcW w:w="385" w:type="pct"/>
            <w:shd w:val="clear" w:color="auto" w:fill="auto"/>
            <w:noWrap/>
            <w:vAlign w:val="center"/>
            <w:hideMark/>
          </w:tcPr>
          <w:p w14:paraId="7A8A9680"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174</w:t>
            </w:r>
          </w:p>
        </w:tc>
        <w:tc>
          <w:tcPr>
            <w:tcW w:w="704" w:type="pct"/>
            <w:shd w:val="clear" w:color="auto" w:fill="auto"/>
            <w:noWrap/>
            <w:vAlign w:val="center"/>
            <w:hideMark/>
          </w:tcPr>
          <w:p w14:paraId="31BCAB34"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26387439</w:t>
            </w:r>
          </w:p>
        </w:tc>
        <w:tc>
          <w:tcPr>
            <w:tcW w:w="518" w:type="pct"/>
            <w:shd w:val="clear" w:color="auto" w:fill="auto"/>
            <w:noWrap/>
            <w:vAlign w:val="center"/>
            <w:hideMark/>
          </w:tcPr>
          <w:p w14:paraId="2E00C9BA"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25,48</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6F47A442"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24,24</w:t>
            </w:r>
            <w:r>
              <w:rPr>
                <w:rFonts w:ascii="Arial" w:eastAsia="Times New Roman" w:hAnsi="Arial" w:cs="Arial"/>
                <w:color w:val="000000"/>
                <w:sz w:val="18"/>
                <w:szCs w:val="18"/>
                <w:lang w:eastAsia="sl-SI"/>
              </w:rPr>
              <w:t xml:space="preserve"> %</w:t>
            </w:r>
          </w:p>
        </w:tc>
      </w:tr>
      <w:tr w:rsidR="00E3750C" w:rsidRPr="000F4B73" w14:paraId="2414A51E" w14:textId="77777777" w:rsidTr="00047864">
        <w:trPr>
          <w:trHeight w:val="288"/>
        </w:trPr>
        <w:tc>
          <w:tcPr>
            <w:tcW w:w="1396" w:type="pct"/>
            <w:vMerge/>
            <w:vAlign w:val="center"/>
            <w:hideMark/>
          </w:tcPr>
          <w:p w14:paraId="7415368C"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6CDA84C1"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Velike enote</w:t>
            </w:r>
          </w:p>
        </w:tc>
        <w:tc>
          <w:tcPr>
            <w:tcW w:w="385" w:type="pct"/>
            <w:shd w:val="clear" w:color="auto" w:fill="auto"/>
            <w:noWrap/>
            <w:vAlign w:val="center"/>
            <w:hideMark/>
          </w:tcPr>
          <w:p w14:paraId="1623CF89"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212</w:t>
            </w:r>
          </w:p>
        </w:tc>
        <w:tc>
          <w:tcPr>
            <w:tcW w:w="704" w:type="pct"/>
            <w:shd w:val="clear" w:color="auto" w:fill="auto"/>
            <w:noWrap/>
            <w:vAlign w:val="center"/>
            <w:hideMark/>
          </w:tcPr>
          <w:p w14:paraId="76DD7223"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42410835</w:t>
            </w:r>
          </w:p>
        </w:tc>
        <w:tc>
          <w:tcPr>
            <w:tcW w:w="518" w:type="pct"/>
            <w:shd w:val="clear" w:color="auto" w:fill="auto"/>
            <w:noWrap/>
            <w:vAlign w:val="center"/>
            <w:hideMark/>
          </w:tcPr>
          <w:p w14:paraId="2870B1D6"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31,04</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066321CF"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38,96</w:t>
            </w:r>
            <w:r>
              <w:rPr>
                <w:rFonts w:ascii="Arial" w:eastAsia="Times New Roman" w:hAnsi="Arial" w:cs="Arial"/>
                <w:color w:val="000000"/>
                <w:sz w:val="18"/>
                <w:szCs w:val="18"/>
                <w:lang w:eastAsia="sl-SI"/>
              </w:rPr>
              <w:t xml:space="preserve"> %</w:t>
            </w:r>
          </w:p>
        </w:tc>
      </w:tr>
      <w:tr w:rsidR="00E3750C" w:rsidRPr="000F4B73" w14:paraId="72AE0F76" w14:textId="77777777" w:rsidTr="00047864">
        <w:trPr>
          <w:trHeight w:val="288"/>
        </w:trPr>
        <w:tc>
          <w:tcPr>
            <w:tcW w:w="1396" w:type="pct"/>
            <w:vMerge/>
            <w:vAlign w:val="center"/>
            <w:hideMark/>
          </w:tcPr>
          <w:p w14:paraId="470F3C1A"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2E8180DF"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Velikost RS se ne izračunava</w:t>
            </w:r>
          </w:p>
        </w:tc>
        <w:tc>
          <w:tcPr>
            <w:tcW w:w="385" w:type="pct"/>
            <w:shd w:val="clear" w:color="auto" w:fill="auto"/>
            <w:noWrap/>
            <w:vAlign w:val="center"/>
            <w:hideMark/>
          </w:tcPr>
          <w:p w14:paraId="3939B32B"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18</w:t>
            </w:r>
          </w:p>
        </w:tc>
        <w:tc>
          <w:tcPr>
            <w:tcW w:w="704" w:type="pct"/>
            <w:shd w:val="clear" w:color="auto" w:fill="auto"/>
            <w:noWrap/>
            <w:vAlign w:val="center"/>
            <w:hideMark/>
          </w:tcPr>
          <w:p w14:paraId="759B4F63"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1289858</w:t>
            </w:r>
          </w:p>
        </w:tc>
        <w:tc>
          <w:tcPr>
            <w:tcW w:w="518" w:type="pct"/>
            <w:shd w:val="clear" w:color="auto" w:fill="auto"/>
            <w:noWrap/>
            <w:vAlign w:val="center"/>
            <w:hideMark/>
          </w:tcPr>
          <w:p w14:paraId="62416FD7"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2,64</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036C7416"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1,18</w:t>
            </w:r>
            <w:r>
              <w:rPr>
                <w:rFonts w:ascii="Arial" w:eastAsia="Times New Roman" w:hAnsi="Arial" w:cs="Arial"/>
                <w:color w:val="000000"/>
                <w:sz w:val="18"/>
                <w:szCs w:val="18"/>
                <w:lang w:eastAsia="sl-SI"/>
              </w:rPr>
              <w:t xml:space="preserve"> %</w:t>
            </w:r>
          </w:p>
        </w:tc>
      </w:tr>
      <w:tr w:rsidR="00E3750C" w:rsidRPr="000F4B73" w14:paraId="723806C2" w14:textId="77777777" w:rsidTr="00047864">
        <w:trPr>
          <w:trHeight w:val="288"/>
        </w:trPr>
        <w:tc>
          <w:tcPr>
            <w:tcW w:w="1396" w:type="pct"/>
            <w:vMerge/>
            <w:vAlign w:val="center"/>
            <w:hideMark/>
          </w:tcPr>
          <w:p w14:paraId="1A9406CC"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3BD58D5C"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Ni podatka o velikosti</w:t>
            </w:r>
          </w:p>
        </w:tc>
        <w:tc>
          <w:tcPr>
            <w:tcW w:w="385" w:type="pct"/>
            <w:shd w:val="clear" w:color="auto" w:fill="auto"/>
            <w:noWrap/>
            <w:vAlign w:val="center"/>
            <w:hideMark/>
          </w:tcPr>
          <w:p w14:paraId="0A9CE6AE"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w:t>
            </w:r>
          </w:p>
        </w:tc>
        <w:tc>
          <w:tcPr>
            <w:tcW w:w="704" w:type="pct"/>
            <w:shd w:val="clear" w:color="auto" w:fill="auto"/>
            <w:noWrap/>
            <w:vAlign w:val="center"/>
            <w:hideMark/>
          </w:tcPr>
          <w:p w14:paraId="404A5609"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11500</w:t>
            </w:r>
          </w:p>
        </w:tc>
        <w:tc>
          <w:tcPr>
            <w:tcW w:w="518" w:type="pct"/>
            <w:shd w:val="clear" w:color="auto" w:fill="auto"/>
            <w:noWrap/>
            <w:vAlign w:val="center"/>
            <w:hideMark/>
          </w:tcPr>
          <w:p w14:paraId="7ED37347"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0,15</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10FA6D19"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r>
      <w:tr w:rsidR="00E3750C" w:rsidRPr="000F4B73" w14:paraId="7F7B8BDE" w14:textId="77777777" w:rsidTr="00047864">
        <w:trPr>
          <w:trHeight w:val="288"/>
        </w:trPr>
        <w:tc>
          <w:tcPr>
            <w:tcW w:w="1396" w:type="pct"/>
            <w:vMerge/>
            <w:vAlign w:val="center"/>
            <w:hideMark/>
          </w:tcPr>
          <w:p w14:paraId="6A6846E5"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3D74BA4D" w14:textId="77777777" w:rsidR="00E3750C" w:rsidRPr="000F4B73" w:rsidRDefault="00E3750C" w:rsidP="00047864">
            <w:pPr>
              <w:spacing w:after="0" w:line="240" w:lineRule="auto"/>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Skupaj</w:t>
            </w:r>
          </w:p>
        </w:tc>
        <w:tc>
          <w:tcPr>
            <w:tcW w:w="385" w:type="pct"/>
            <w:shd w:val="clear" w:color="auto" w:fill="auto"/>
            <w:noWrap/>
            <w:vAlign w:val="center"/>
            <w:hideMark/>
          </w:tcPr>
          <w:p w14:paraId="421BE028" w14:textId="77777777" w:rsidR="00E3750C" w:rsidRPr="000F4B73" w:rsidRDefault="00E3750C" w:rsidP="00047864">
            <w:pPr>
              <w:spacing w:after="0" w:line="240" w:lineRule="auto"/>
              <w:jc w:val="right"/>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683</w:t>
            </w:r>
          </w:p>
        </w:tc>
        <w:tc>
          <w:tcPr>
            <w:tcW w:w="704" w:type="pct"/>
            <w:shd w:val="clear" w:color="auto" w:fill="auto"/>
            <w:noWrap/>
            <w:vAlign w:val="center"/>
            <w:hideMark/>
          </w:tcPr>
          <w:p w14:paraId="4273439C" w14:textId="77777777" w:rsidR="00E3750C" w:rsidRPr="000F4B73" w:rsidRDefault="00E3750C" w:rsidP="00047864">
            <w:pPr>
              <w:spacing w:after="0" w:line="240" w:lineRule="auto"/>
              <w:jc w:val="right"/>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108.865.184</w:t>
            </w:r>
          </w:p>
        </w:tc>
        <w:tc>
          <w:tcPr>
            <w:tcW w:w="518" w:type="pct"/>
            <w:shd w:val="clear" w:color="auto" w:fill="auto"/>
            <w:noWrap/>
            <w:vAlign w:val="center"/>
            <w:hideMark/>
          </w:tcPr>
          <w:p w14:paraId="5AF592C9" w14:textId="77777777" w:rsidR="00E3750C" w:rsidRPr="000F4B73" w:rsidRDefault="00E3750C" w:rsidP="00047864">
            <w:pPr>
              <w:spacing w:after="0" w:line="240" w:lineRule="auto"/>
              <w:jc w:val="right"/>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644" w:type="pct"/>
            <w:shd w:val="clear" w:color="auto" w:fill="auto"/>
            <w:noWrap/>
            <w:vAlign w:val="center"/>
            <w:hideMark/>
          </w:tcPr>
          <w:p w14:paraId="1A0CFE11" w14:textId="77777777" w:rsidR="00E3750C" w:rsidRPr="000F4B73" w:rsidRDefault="00E3750C" w:rsidP="00047864">
            <w:pPr>
              <w:spacing w:after="0" w:line="240" w:lineRule="auto"/>
              <w:jc w:val="right"/>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E3750C" w:rsidRPr="000F4B73" w14:paraId="1E4C00A2" w14:textId="77777777" w:rsidTr="00047864">
        <w:trPr>
          <w:trHeight w:val="288"/>
        </w:trPr>
        <w:tc>
          <w:tcPr>
            <w:tcW w:w="1396" w:type="pct"/>
            <w:vMerge w:val="restart"/>
            <w:shd w:val="clear" w:color="auto" w:fill="auto"/>
            <w:noWrap/>
            <w:vAlign w:val="center"/>
            <w:hideMark/>
          </w:tcPr>
          <w:p w14:paraId="41B1BE9B"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JUGOVZHODNA SLOVENIJA</w:t>
            </w:r>
          </w:p>
        </w:tc>
        <w:tc>
          <w:tcPr>
            <w:tcW w:w="1353" w:type="pct"/>
            <w:shd w:val="clear" w:color="auto" w:fill="auto"/>
            <w:noWrap/>
            <w:vAlign w:val="center"/>
            <w:hideMark/>
          </w:tcPr>
          <w:p w14:paraId="5AEA1CFE" w14:textId="77777777" w:rsidR="00E3750C" w:rsidRPr="000F4B73" w:rsidRDefault="00E3750C" w:rsidP="00047864">
            <w:pPr>
              <w:spacing w:after="0" w:line="240" w:lineRule="auto"/>
              <w:rPr>
                <w:rFonts w:ascii="Arial" w:eastAsia="Times New Roman" w:hAnsi="Arial" w:cs="Arial"/>
                <w:color w:val="000000"/>
                <w:sz w:val="18"/>
                <w:szCs w:val="18"/>
                <w:lang w:eastAsia="sl-SI"/>
              </w:rPr>
            </w:pPr>
            <w:proofErr w:type="spellStart"/>
            <w:r w:rsidRPr="000F4B73">
              <w:rPr>
                <w:rFonts w:ascii="Arial" w:eastAsia="Times New Roman" w:hAnsi="Arial" w:cs="Arial"/>
                <w:color w:val="000000"/>
                <w:sz w:val="18"/>
                <w:szCs w:val="18"/>
                <w:lang w:eastAsia="sl-SI"/>
              </w:rPr>
              <w:t>Mikro</w:t>
            </w:r>
            <w:proofErr w:type="spellEnd"/>
            <w:r w:rsidRPr="000F4B73">
              <w:rPr>
                <w:rFonts w:ascii="Arial" w:eastAsia="Times New Roman" w:hAnsi="Arial" w:cs="Arial"/>
                <w:color w:val="000000"/>
                <w:sz w:val="18"/>
                <w:szCs w:val="18"/>
                <w:lang w:eastAsia="sl-SI"/>
              </w:rPr>
              <w:t xml:space="preserve"> enote</w:t>
            </w:r>
          </w:p>
        </w:tc>
        <w:tc>
          <w:tcPr>
            <w:tcW w:w="385" w:type="pct"/>
            <w:shd w:val="clear" w:color="auto" w:fill="auto"/>
            <w:noWrap/>
            <w:vAlign w:val="center"/>
            <w:hideMark/>
          </w:tcPr>
          <w:p w14:paraId="6267308F"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69</w:t>
            </w:r>
          </w:p>
        </w:tc>
        <w:tc>
          <w:tcPr>
            <w:tcW w:w="704" w:type="pct"/>
            <w:shd w:val="clear" w:color="auto" w:fill="auto"/>
            <w:noWrap/>
            <w:vAlign w:val="center"/>
            <w:hideMark/>
          </w:tcPr>
          <w:p w14:paraId="2BBEDA8E"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31142278</w:t>
            </w:r>
          </w:p>
        </w:tc>
        <w:tc>
          <w:tcPr>
            <w:tcW w:w="518" w:type="pct"/>
            <w:shd w:val="clear" w:color="auto" w:fill="auto"/>
            <w:noWrap/>
            <w:vAlign w:val="center"/>
            <w:hideMark/>
          </w:tcPr>
          <w:p w14:paraId="53D3560C"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9,13</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6D98E9BE"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17,03</w:t>
            </w:r>
            <w:r>
              <w:rPr>
                <w:rFonts w:ascii="Arial" w:eastAsia="Times New Roman" w:hAnsi="Arial" w:cs="Arial"/>
                <w:color w:val="000000"/>
                <w:sz w:val="18"/>
                <w:szCs w:val="18"/>
                <w:lang w:eastAsia="sl-SI"/>
              </w:rPr>
              <w:t xml:space="preserve"> %</w:t>
            </w:r>
          </w:p>
        </w:tc>
      </w:tr>
      <w:tr w:rsidR="00E3750C" w:rsidRPr="000F4B73" w14:paraId="6952BD89" w14:textId="77777777" w:rsidTr="00047864">
        <w:trPr>
          <w:trHeight w:val="288"/>
        </w:trPr>
        <w:tc>
          <w:tcPr>
            <w:tcW w:w="1396" w:type="pct"/>
            <w:vMerge/>
            <w:vAlign w:val="center"/>
            <w:hideMark/>
          </w:tcPr>
          <w:p w14:paraId="64C0FBD3"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5A89B79A"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Majhne enote</w:t>
            </w:r>
          </w:p>
        </w:tc>
        <w:tc>
          <w:tcPr>
            <w:tcW w:w="385" w:type="pct"/>
            <w:shd w:val="clear" w:color="auto" w:fill="auto"/>
            <w:noWrap/>
            <w:vAlign w:val="center"/>
            <w:hideMark/>
          </w:tcPr>
          <w:p w14:paraId="705562A3"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247</w:t>
            </w:r>
          </w:p>
        </w:tc>
        <w:tc>
          <w:tcPr>
            <w:tcW w:w="704" w:type="pct"/>
            <w:shd w:val="clear" w:color="auto" w:fill="auto"/>
            <w:noWrap/>
            <w:vAlign w:val="center"/>
            <w:hideMark/>
          </w:tcPr>
          <w:p w14:paraId="16B6034D"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32542585</w:t>
            </w:r>
          </w:p>
        </w:tc>
        <w:tc>
          <w:tcPr>
            <w:tcW w:w="518" w:type="pct"/>
            <w:shd w:val="clear" w:color="auto" w:fill="auto"/>
            <w:noWrap/>
            <w:vAlign w:val="center"/>
            <w:hideMark/>
          </w:tcPr>
          <w:p w14:paraId="5FA94CA7"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32,67</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7CEE9EE5"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17,80</w:t>
            </w:r>
            <w:r>
              <w:rPr>
                <w:rFonts w:ascii="Arial" w:eastAsia="Times New Roman" w:hAnsi="Arial" w:cs="Arial"/>
                <w:color w:val="000000"/>
                <w:sz w:val="18"/>
                <w:szCs w:val="18"/>
                <w:lang w:eastAsia="sl-SI"/>
              </w:rPr>
              <w:t xml:space="preserve"> %</w:t>
            </w:r>
          </w:p>
        </w:tc>
      </w:tr>
      <w:tr w:rsidR="00E3750C" w:rsidRPr="000F4B73" w14:paraId="69EB878A" w14:textId="77777777" w:rsidTr="00047864">
        <w:trPr>
          <w:trHeight w:val="288"/>
        </w:trPr>
        <w:tc>
          <w:tcPr>
            <w:tcW w:w="1396" w:type="pct"/>
            <w:vMerge/>
            <w:vAlign w:val="center"/>
            <w:hideMark/>
          </w:tcPr>
          <w:p w14:paraId="263E24D6"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3917E715"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Srednje enote</w:t>
            </w:r>
          </w:p>
        </w:tc>
        <w:tc>
          <w:tcPr>
            <w:tcW w:w="385" w:type="pct"/>
            <w:shd w:val="clear" w:color="auto" w:fill="auto"/>
            <w:noWrap/>
            <w:vAlign w:val="center"/>
            <w:hideMark/>
          </w:tcPr>
          <w:p w14:paraId="6508D317"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221</w:t>
            </w:r>
          </w:p>
        </w:tc>
        <w:tc>
          <w:tcPr>
            <w:tcW w:w="704" w:type="pct"/>
            <w:shd w:val="clear" w:color="auto" w:fill="auto"/>
            <w:noWrap/>
            <w:vAlign w:val="center"/>
            <w:hideMark/>
          </w:tcPr>
          <w:p w14:paraId="1E96F79E"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61020082</w:t>
            </w:r>
          </w:p>
        </w:tc>
        <w:tc>
          <w:tcPr>
            <w:tcW w:w="518" w:type="pct"/>
            <w:shd w:val="clear" w:color="auto" w:fill="auto"/>
            <w:noWrap/>
            <w:vAlign w:val="center"/>
            <w:hideMark/>
          </w:tcPr>
          <w:p w14:paraId="20A62F35"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29,23</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226DD0AF"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33,37</w:t>
            </w:r>
            <w:r>
              <w:rPr>
                <w:rFonts w:ascii="Arial" w:eastAsia="Times New Roman" w:hAnsi="Arial" w:cs="Arial"/>
                <w:color w:val="000000"/>
                <w:sz w:val="18"/>
                <w:szCs w:val="18"/>
                <w:lang w:eastAsia="sl-SI"/>
              </w:rPr>
              <w:t xml:space="preserve"> %</w:t>
            </w:r>
          </w:p>
        </w:tc>
      </w:tr>
      <w:tr w:rsidR="00E3750C" w:rsidRPr="000F4B73" w14:paraId="5DEB03B5" w14:textId="77777777" w:rsidTr="00047864">
        <w:trPr>
          <w:trHeight w:val="288"/>
        </w:trPr>
        <w:tc>
          <w:tcPr>
            <w:tcW w:w="1396" w:type="pct"/>
            <w:vMerge/>
            <w:vAlign w:val="center"/>
            <w:hideMark/>
          </w:tcPr>
          <w:p w14:paraId="0BBB9B4B"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37413DC6"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Velike enote</w:t>
            </w:r>
          </w:p>
        </w:tc>
        <w:tc>
          <w:tcPr>
            <w:tcW w:w="385" w:type="pct"/>
            <w:shd w:val="clear" w:color="auto" w:fill="auto"/>
            <w:noWrap/>
            <w:vAlign w:val="center"/>
            <w:hideMark/>
          </w:tcPr>
          <w:p w14:paraId="5CEBB13D"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201</w:t>
            </w:r>
          </w:p>
        </w:tc>
        <w:tc>
          <w:tcPr>
            <w:tcW w:w="704" w:type="pct"/>
            <w:shd w:val="clear" w:color="auto" w:fill="auto"/>
            <w:noWrap/>
            <w:vAlign w:val="center"/>
            <w:hideMark/>
          </w:tcPr>
          <w:p w14:paraId="58FB68F8"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56963337</w:t>
            </w:r>
          </w:p>
        </w:tc>
        <w:tc>
          <w:tcPr>
            <w:tcW w:w="518" w:type="pct"/>
            <w:shd w:val="clear" w:color="auto" w:fill="auto"/>
            <w:noWrap/>
            <w:vAlign w:val="center"/>
            <w:hideMark/>
          </w:tcPr>
          <w:p w14:paraId="3FF6DCF1"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26,59</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7C86E423"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31,15</w:t>
            </w:r>
            <w:r>
              <w:rPr>
                <w:rFonts w:ascii="Arial" w:eastAsia="Times New Roman" w:hAnsi="Arial" w:cs="Arial"/>
                <w:color w:val="000000"/>
                <w:sz w:val="18"/>
                <w:szCs w:val="18"/>
                <w:lang w:eastAsia="sl-SI"/>
              </w:rPr>
              <w:t xml:space="preserve"> %</w:t>
            </w:r>
          </w:p>
        </w:tc>
      </w:tr>
      <w:tr w:rsidR="00E3750C" w:rsidRPr="000F4B73" w14:paraId="2C24002A" w14:textId="77777777" w:rsidTr="00047864">
        <w:trPr>
          <w:trHeight w:val="288"/>
        </w:trPr>
        <w:tc>
          <w:tcPr>
            <w:tcW w:w="1396" w:type="pct"/>
            <w:vMerge/>
            <w:vAlign w:val="center"/>
            <w:hideMark/>
          </w:tcPr>
          <w:p w14:paraId="1BFA0D4C"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62DCEE94"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Velikost RS se ne izračunava</w:t>
            </w:r>
          </w:p>
        </w:tc>
        <w:tc>
          <w:tcPr>
            <w:tcW w:w="385" w:type="pct"/>
            <w:shd w:val="clear" w:color="auto" w:fill="auto"/>
            <w:noWrap/>
            <w:vAlign w:val="center"/>
            <w:hideMark/>
          </w:tcPr>
          <w:p w14:paraId="50B99907"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16</w:t>
            </w:r>
          </w:p>
        </w:tc>
        <w:tc>
          <w:tcPr>
            <w:tcW w:w="704" w:type="pct"/>
            <w:shd w:val="clear" w:color="auto" w:fill="auto"/>
            <w:noWrap/>
            <w:vAlign w:val="center"/>
            <w:hideMark/>
          </w:tcPr>
          <w:p w14:paraId="7B3085A5"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1191046</w:t>
            </w:r>
          </w:p>
        </w:tc>
        <w:tc>
          <w:tcPr>
            <w:tcW w:w="518" w:type="pct"/>
            <w:shd w:val="clear" w:color="auto" w:fill="auto"/>
            <w:noWrap/>
            <w:vAlign w:val="center"/>
            <w:hideMark/>
          </w:tcPr>
          <w:p w14:paraId="0F83FE8F"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2,12</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55C971EA"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0,65</w:t>
            </w:r>
            <w:r>
              <w:rPr>
                <w:rFonts w:ascii="Arial" w:eastAsia="Times New Roman" w:hAnsi="Arial" w:cs="Arial"/>
                <w:color w:val="000000"/>
                <w:sz w:val="18"/>
                <w:szCs w:val="18"/>
                <w:lang w:eastAsia="sl-SI"/>
              </w:rPr>
              <w:t xml:space="preserve"> %</w:t>
            </w:r>
          </w:p>
        </w:tc>
      </w:tr>
      <w:tr w:rsidR="00E3750C" w:rsidRPr="000F4B73" w14:paraId="4BAB73AC" w14:textId="77777777" w:rsidTr="00047864">
        <w:trPr>
          <w:trHeight w:val="288"/>
        </w:trPr>
        <w:tc>
          <w:tcPr>
            <w:tcW w:w="1396" w:type="pct"/>
            <w:vMerge/>
            <w:vAlign w:val="center"/>
            <w:hideMark/>
          </w:tcPr>
          <w:p w14:paraId="7C272325"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047C451F"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Ni podatka o velikosti</w:t>
            </w:r>
          </w:p>
        </w:tc>
        <w:tc>
          <w:tcPr>
            <w:tcW w:w="385" w:type="pct"/>
            <w:shd w:val="clear" w:color="auto" w:fill="auto"/>
            <w:noWrap/>
            <w:vAlign w:val="center"/>
            <w:hideMark/>
          </w:tcPr>
          <w:p w14:paraId="2E746159"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w:t>
            </w:r>
          </w:p>
        </w:tc>
        <w:tc>
          <w:tcPr>
            <w:tcW w:w="704" w:type="pct"/>
            <w:shd w:val="clear" w:color="auto" w:fill="auto"/>
            <w:noWrap/>
            <w:vAlign w:val="center"/>
            <w:hideMark/>
          </w:tcPr>
          <w:p w14:paraId="41C757D1"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7369</w:t>
            </w:r>
          </w:p>
        </w:tc>
        <w:tc>
          <w:tcPr>
            <w:tcW w:w="518" w:type="pct"/>
            <w:shd w:val="clear" w:color="auto" w:fill="auto"/>
            <w:noWrap/>
            <w:vAlign w:val="center"/>
            <w:hideMark/>
          </w:tcPr>
          <w:p w14:paraId="1780C784"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0,26</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4272DD95"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0,00</w:t>
            </w:r>
            <w:r>
              <w:rPr>
                <w:rFonts w:ascii="Arial" w:eastAsia="Times New Roman" w:hAnsi="Arial" w:cs="Arial"/>
                <w:color w:val="000000"/>
                <w:sz w:val="18"/>
                <w:szCs w:val="18"/>
                <w:lang w:eastAsia="sl-SI"/>
              </w:rPr>
              <w:t xml:space="preserve"> %</w:t>
            </w:r>
          </w:p>
        </w:tc>
      </w:tr>
      <w:tr w:rsidR="00E3750C" w:rsidRPr="000F4B73" w14:paraId="4605BF22" w14:textId="77777777" w:rsidTr="00047864">
        <w:trPr>
          <w:trHeight w:val="288"/>
        </w:trPr>
        <w:tc>
          <w:tcPr>
            <w:tcW w:w="1396" w:type="pct"/>
            <w:vMerge/>
            <w:vAlign w:val="center"/>
            <w:hideMark/>
          </w:tcPr>
          <w:p w14:paraId="0B815F76"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7D37DA66" w14:textId="77777777" w:rsidR="00E3750C" w:rsidRPr="000F4B73" w:rsidRDefault="00E3750C" w:rsidP="00047864">
            <w:pPr>
              <w:spacing w:after="0" w:line="240" w:lineRule="auto"/>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Skupaj</w:t>
            </w:r>
          </w:p>
        </w:tc>
        <w:tc>
          <w:tcPr>
            <w:tcW w:w="385" w:type="pct"/>
            <w:shd w:val="clear" w:color="auto" w:fill="auto"/>
            <w:noWrap/>
            <w:vAlign w:val="center"/>
            <w:hideMark/>
          </w:tcPr>
          <w:p w14:paraId="62C28585" w14:textId="77777777" w:rsidR="00E3750C" w:rsidRPr="000F4B73" w:rsidRDefault="00E3750C" w:rsidP="00047864">
            <w:pPr>
              <w:spacing w:after="0" w:line="240" w:lineRule="auto"/>
              <w:jc w:val="right"/>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756</w:t>
            </w:r>
          </w:p>
        </w:tc>
        <w:tc>
          <w:tcPr>
            <w:tcW w:w="704" w:type="pct"/>
            <w:shd w:val="clear" w:color="auto" w:fill="auto"/>
            <w:noWrap/>
            <w:vAlign w:val="center"/>
            <w:hideMark/>
          </w:tcPr>
          <w:p w14:paraId="5B8932EE" w14:textId="77777777" w:rsidR="00E3750C" w:rsidRPr="000F4B73" w:rsidRDefault="00E3750C" w:rsidP="00047864">
            <w:pPr>
              <w:spacing w:after="0" w:line="240" w:lineRule="auto"/>
              <w:jc w:val="right"/>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182.866.697</w:t>
            </w:r>
          </w:p>
        </w:tc>
        <w:tc>
          <w:tcPr>
            <w:tcW w:w="518" w:type="pct"/>
            <w:shd w:val="clear" w:color="auto" w:fill="auto"/>
            <w:noWrap/>
            <w:vAlign w:val="center"/>
            <w:hideMark/>
          </w:tcPr>
          <w:p w14:paraId="3973B8B7" w14:textId="77777777" w:rsidR="00E3750C" w:rsidRPr="000F4B73" w:rsidRDefault="00E3750C" w:rsidP="00047864">
            <w:pPr>
              <w:spacing w:after="0" w:line="240" w:lineRule="auto"/>
              <w:jc w:val="right"/>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644" w:type="pct"/>
            <w:shd w:val="clear" w:color="auto" w:fill="auto"/>
            <w:noWrap/>
            <w:vAlign w:val="center"/>
            <w:hideMark/>
          </w:tcPr>
          <w:p w14:paraId="27821FAC" w14:textId="77777777" w:rsidR="00E3750C" w:rsidRPr="000F4B73" w:rsidRDefault="00E3750C" w:rsidP="00047864">
            <w:pPr>
              <w:spacing w:after="0" w:line="240" w:lineRule="auto"/>
              <w:jc w:val="right"/>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E3750C" w:rsidRPr="000F4B73" w14:paraId="3F7F2E5B" w14:textId="77777777" w:rsidTr="00047864">
        <w:trPr>
          <w:trHeight w:val="288"/>
        </w:trPr>
        <w:tc>
          <w:tcPr>
            <w:tcW w:w="1396" w:type="pct"/>
            <w:vMerge w:val="restart"/>
            <w:shd w:val="clear" w:color="auto" w:fill="auto"/>
            <w:noWrap/>
            <w:vAlign w:val="center"/>
            <w:hideMark/>
          </w:tcPr>
          <w:p w14:paraId="65825749"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KOROŠKA</w:t>
            </w:r>
          </w:p>
        </w:tc>
        <w:tc>
          <w:tcPr>
            <w:tcW w:w="1353" w:type="pct"/>
            <w:shd w:val="clear" w:color="auto" w:fill="auto"/>
            <w:noWrap/>
            <w:vAlign w:val="center"/>
            <w:hideMark/>
          </w:tcPr>
          <w:p w14:paraId="545B86DA" w14:textId="77777777" w:rsidR="00E3750C" w:rsidRPr="000F4B73" w:rsidRDefault="00E3750C" w:rsidP="00047864">
            <w:pPr>
              <w:spacing w:after="0" w:line="240" w:lineRule="auto"/>
              <w:rPr>
                <w:rFonts w:ascii="Arial" w:eastAsia="Times New Roman" w:hAnsi="Arial" w:cs="Arial"/>
                <w:color w:val="000000"/>
                <w:sz w:val="18"/>
                <w:szCs w:val="18"/>
                <w:lang w:eastAsia="sl-SI"/>
              </w:rPr>
            </w:pPr>
            <w:proofErr w:type="spellStart"/>
            <w:r w:rsidRPr="000F4B73">
              <w:rPr>
                <w:rFonts w:ascii="Arial" w:eastAsia="Times New Roman" w:hAnsi="Arial" w:cs="Arial"/>
                <w:color w:val="000000"/>
                <w:sz w:val="18"/>
                <w:szCs w:val="18"/>
                <w:lang w:eastAsia="sl-SI"/>
              </w:rPr>
              <w:t>Mikro</w:t>
            </w:r>
            <w:proofErr w:type="spellEnd"/>
            <w:r w:rsidRPr="000F4B73">
              <w:rPr>
                <w:rFonts w:ascii="Arial" w:eastAsia="Times New Roman" w:hAnsi="Arial" w:cs="Arial"/>
                <w:color w:val="000000"/>
                <w:sz w:val="18"/>
                <w:szCs w:val="18"/>
                <w:lang w:eastAsia="sl-SI"/>
              </w:rPr>
              <w:t xml:space="preserve"> enote</w:t>
            </w:r>
          </w:p>
        </w:tc>
        <w:tc>
          <w:tcPr>
            <w:tcW w:w="385" w:type="pct"/>
            <w:shd w:val="clear" w:color="auto" w:fill="auto"/>
            <w:noWrap/>
            <w:vAlign w:val="center"/>
            <w:hideMark/>
          </w:tcPr>
          <w:p w14:paraId="56513249"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59</w:t>
            </w:r>
          </w:p>
        </w:tc>
        <w:tc>
          <w:tcPr>
            <w:tcW w:w="704" w:type="pct"/>
            <w:shd w:val="clear" w:color="auto" w:fill="auto"/>
            <w:noWrap/>
            <w:vAlign w:val="center"/>
            <w:hideMark/>
          </w:tcPr>
          <w:p w14:paraId="0402F33D"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4312431</w:t>
            </w:r>
          </w:p>
        </w:tc>
        <w:tc>
          <w:tcPr>
            <w:tcW w:w="518" w:type="pct"/>
            <w:shd w:val="clear" w:color="auto" w:fill="auto"/>
            <w:noWrap/>
            <w:vAlign w:val="center"/>
            <w:hideMark/>
          </w:tcPr>
          <w:p w14:paraId="003A210A"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8,58</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511220BF"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1,35</w:t>
            </w:r>
            <w:r>
              <w:rPr>
                <w:rFonts w:ascii="Arial" w:eastAsia="Times New Roman" w:hAnsi="Arial" w:cs="Arial"/>
                <w:color w:val="000000"/>
                <w:sz w:val="18"/>
                <w:szCs w:val="18"/>
                <w:lang w:eastAsia="sl-SI"/>
              </w:rPr>
              <w:t xml:space="preserve"> %</w:t>
            </w:r>
          </w:p>
        </w:tc>
      </w:tr>
      <w:tr w:rsidR="00E3750C" w:rsidRPr="000F4B73" w14:paraId="34935F8B" w14:textId="77777777" w:rsidTr="00047864">
        <w:trPr>
          <w:trHeight w:val="288"/>
        </w:trPr>
        <w:tc>
          <w:tcPr>
            <w:tcW w:w="1396" w:type="pct"/>
            <w:vMerge/>
            <w:vAlign w:val="center"/>
            <w:hideMark/>
          </w:tcPr>
          <w:p w14:paraId="0D2241A9"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763DB9BF"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Majhne enote</w:t>
            </w:r>
          </w:p>
        </w:tc>
        <w:tc>
          <w:tcPr>
            <w:tcW w:w="385" w:type="pct"/>
            <w:shd w:val="clear" w:color="auto" w:fill="auto"/>
            <w:noWrap/>
            <w:vAlign w:val="center"/>
            <w:hideMark/>
          </w:tcPr>
          <w:p w14:paraId="390BCDEC"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148</w:t>
            </w:r>
          </w:p>
        </w:tc>
        <w:tc>
          <w:tcPr>
            <w:tcW w:w="704" w:type="pct"/>
            <w:shd w:val="clear" w:color="auto" w:fill="auto"/>
            <w:noWrap/>
            <w:vAlign w:val="center"/>
            <w:hideMark/>
          </w:tcPr>
          <w:p w14:paraId="14E7A231"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42402413</w:t>
            </w:r>
          </w:p>
        </w:tc>
        <w:tc>
          <w:tcPr>
            <w:tcW w:w="518" w:type="pct"/>
            <w:shd w:val="clear" w:color="auto" w:fill="auto"/>
            <w:noWrap/>
            <w:vAlign w:val="center"/>
            <w:hideMark/>
          </w:tcPr>
          <w:p w14:paraId="1545E1E8"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21,51</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34F84C49"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13,32</w:t>
            </w:r>
            <w:r>
              <w:rPr>
                <w:rFonts w:ascii="Arial" w:eastAsia="Times New Roman" w:hAnsi="Arial" w:cs="Arial"/>
                <w:color w:val="000000"/>
                <w:sz w:val="18"/>
                <w:szCs w:val="18"/>
                <w:lang w:eastAsia="sl-SI"/>
              </w:rPr>
              <w:t xml:space="preserve"> %</w:t>
            </w:r>
          </w:p>
        </w:tc>
      </w:tr>
      <w:tr w:rsidR="00E3750C" w:rsidRPr="000F4B73" w14:paraId="620B7F19" w14:textId="77777777" w:rsidTr="00047864">
        <w:trPr>
          <w:trHeight w:val="288"/>
        </w:trPr>
        <w:tc>
          <w:tcPr>
            <w:tcW w:w="1396" w:type="pct"/>
            <w:vMerge/>
            <w:vAlign w:val="center"/>
            <w:hideMark/>
          </w:tcPr>
          <w:p w14:paraId="14C514DE"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67BE330E"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Srednje enote</w:t>
            </w:r>
          </w:p>
        </w:tc>
        <w:tc>
          <w:tcPr>
            <w:tcW w:w="385" w:type="pct"/>
            <w:shd w:val="clear" w:color="auto" w:fill="auto"/>
            <w:noWrap/>
            <w:vAlign w:val="center"/>
            <w:hideMark/>
          </w:tcPr>
          <w:p w14:paraId="06B998F3"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84</w:t>
            </w:r>
          </w:p>
        </w:tc>
        <w:tc>
          <w:tcPr>
            <w:tcW w:w="704" w:type="pct"/>
            <w:shd w:val="clear" w:color="auto" w:fill="auto"/>
            <w:noWrap/>
            <w:vAlign w:val="center"/>
            <w:hideMark/>
          </w:tcPr>
          <w:p w14:paraId="192D553B"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10626766</w:t>
            </w:r>
          </w:p>
        </w:tc>
        <w:tc>
          <w:tcPr>
            <w:tcW w:w="518" w:type="pct"/>
            <w:shd w:val="clear" w:color="auto" w:fill="auto"/>
            <w:noWrap/>
            <w:vAlign w:val="center"/>
            <w:hideMark/>
          </w:tcPr>
          <w:p w14:paraId="7B2B7FB0"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12,21</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4ECE792C"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3,34</w:t>
            </w:r>
            <w:r>
              <w:rPr>
                <w:rFonts w:ascii="Arial" w:eastAsia="Times New Roman" w:hAnsi="Arial" w:cs="Arial"/>
                <w:color w:val="000000"/>
                <w:sz w:val="18"/>
                <w:szCs w:val="18"/>
                <w:lang w:eastAsia="sl-SI"/>
              </w:rPr>
              <w:t xml:space="preserve"> %</w:t>
            </w:r>
          </w:p>
        </w:tc>
      </w:tr>
      <w:tr w:rsidR="00E3750C" w:rsidRPr="000F4B73" w14:paraId="24926C2C" w14:textId="77777777" w:rsidTr="00047864">
        <w:trPr>
          <w:trHeight w:val="288"/>
        </w:trPr>
        <w:tc>
          <w:tcPr>
            <w:tcW w:w="1396" w:type="pct"/>
            <w:vMerge/>
            <w:vAlign w:val="center"/>
            <w:hideMark/>
          </w:tcPr>
          <w:p w14:paraId="6E17D46C"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233D141E"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Velike enote</w:t>
            </w:r>
          </w:p>
        </w:tc>
        <w:tc>
          <w:tcPr>
            <w:tcW w:w="385" w:type="pct"/>
            <w:shd w:val="clear" w:color="auto" w:fill="auto"/>
            <w:noWrap/>
            <w:vAlign w:val="center"/>
            <w:hideMark/>
          </w:tcPr>
          <w:p w14:paraId="7939977D"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387</w:t>
            </w:r>
          </w:p>
        </w:tc>
        <w:tc>
          <w:tcPr>
            <w:tcW w:w="704" w:type="pct"/>
            <w:shd w:val="clear" w:color="auto" w:fill="auto"/>
            <w:noWrap/>
            <w:vAlign w:val="center"/>
            <w:hideMark/>
          </w:tcPr>
          <w:p w14:paraId="31759963"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260713118</w:t>
            </w:r>
          </w:p>
        </w:tc>
        <w:tc>
          <w:tcPr>
            <w:tcW w:w="518" w:type="pct"/>
            <w:shd w:val="clear" w:color="auto" w:fill="auto"/>
            <w:noWrap/>
            <w:vAlign w:val="center"/>
            <w:hideMark/>
          </w:tcPr>
          <w:p w14:paraId="078A31ED"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56,25</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5BAA0519"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81,88</w:t>
            </w:r>
            <w:r>
              <w:rPr>
                <w:rFonts w:ascii="Arial" w:eastAsia="Times New Roman" w:hAnsi="Arial" w:cs="Arial"/>
                <w:color w:val="000000"/>
                <w:sz w:val="18"/>
                <w:szCs w:val="18"/>
                <w:lang w:eastAsia="sl-SI"/>
              </w:rPr>
              <w:t xml:space="preserve"> %</w:t>
            </w:r>
          </w:p>
        </w:tc>
      </w:tr>
      <w:tr w:rsidR="00E3750C" w:rsidRPr="000F4B73" w14:paraId="1678F576" w14:textId="77777777" w:rsidTr="00047864">
        <w:trPr>
          <w:trHeight w:val="288"/>
        </w:trPr>
        <w:tc>
          <w:tcPr>
            <w:tcW w:w="1396" w:type="pct"/>
            <w:vMerge/>
            <w:vAlign w:val="center"/>
            <w:hideMark/>
          </w:tcPr>
          <w:p w14:paraId="204C9087"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34515BE4"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Velikost RS se ne izračunava</w:t>
            </w:r>
          </w:p>
        </w:tc>
        <w:tc>
          <w:tcPr>
            <w:tcW w:w="385" w:type="pct"/>
            <w:shd w:val="clear" w:color="auto" w:fill="auto"/>
            <w:noWrap/>
            <w:vAlign w:val="center"/>
            <w:hideMark/>
          </w:tcPr>
          <w:p w14:paraId="303F134B"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10</w:t>
            </w:r>
          </w:p>
        </w:tc>
        <w:tc>
          <w:tcPr>
            <w:tcW w:w="704" w:type="pct"/>
            <w:shd w:val="clear" w:color="auto" w:fill="auto"/>
            <w:noWrap/>
            <w:vAlign w:val="center"/>
            <w:hideMark/>
          </w:tcPr>
          <w:p w14:paraId="7ED3F970"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349140</w:t>
            </w:r>
          </w:p>
        </w:tc>
        <w:tc>
          <w:tcPr>
            <w:tcW w:w="518" w:type="pct"/>
            <w:shd w:val="clear" w:color="auto" w:fill="auto"/>
            <w:noWrap/>
            <w:vAlign w:val="center"/>
            <w:hideMark/>
          </w:tcPr>
          <w:p w14:paraId="25152BAF"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1,45</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3839A4ED"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0,11</w:t>
            </w:r>
            <w:r>
              <w:rPr>
                <w:rFonts w:ascii="Arial" w:eastAsia="Times New Roman" w:hAnsi="Arial" w:cs="Arial"/>
                <w:color w:val="000000"/>
                <w:sz w:val="18"/>
                <w:szCs w:val="18"/>
                <w:lang w:eastAsia="sl-SI"/>
              </w:rPr>
              <w:t xml:space="preserve"> %</w:t>
            </w:r>
          </w:p>
        </w:tc>
      </w:tr>
      <w:tr w:rsidR="00E3750C" w:rsidRPr="000F4B73" w14:paraId="3465D57B" w14:textId="77777777" w:rsidTr="00047864">
        <w:trPr>
          <w:trHeight w:val="288"/>
        </w:trPr>
        <w:tc>
          <w:tcPr>
            <w:tcW w:w="1396" w:type="pct"/>
            <w:vMerge/>
            <w:vAlign w:val="center"/>
            <w:hideMark/>
          </w:tcPr>
          <w:p w14:paraId="396D6FC8"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3666232C" w14:textId="77777777" w:rsidR="00E3750C" w:rsidRPr="000F4B73" w:rsidRDefault="00E3750C" w:rsidP="00047864">
            <w:pPr>
              <w:spacing w:after="0" w:line="240" w:lineRule="auto"/>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Skupaj</w:t>
            </w:r>
          </w:p>
        </w:tc>
        <w:tc>
          <w:tcPr>
            <w:tcW w:w="385" w:type="pct"/>
            <w:shd w:val="clear" w:color="auto" w:fill="auto"/>
            <w:noWrap/>
            <w:vAlign w:val="center"/>
            <w:hideMark/>
          </w:tcPr>
          <w:p w14:paraId="07602ED2" w14:textId="77777777" w:rsidR="00E3750C" w:rsidRPr="000F4B73" w:rsidRDefault="00E3750C" w:rsidP="00047864">
            <w:pPr>
              <w:spacing w:after="0" w:line="240" w:lineRule="auto"/>
              <w:jc w:val="right"/>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688</w:t>
            </w:r>
          </w:p>
        </w:tc>
        <w:tc>
          <w:tcPr>
            <w:tcW w:w="704" w:type="pct"/>
            <w:shd w:val="clear" w:color="auto" w:fill="auto"/>
            <w:noWrap/>
            <w:vAlign w:val="center"/>
            <w:hideMark/>
          </w:tcPr>
          <w:p w14:paraId="0FF0EDFB" w14:textId="77777777" w:rsidR="00E3750C" w:rsidRPr="000F4B73" w:rsidRDefault="00E3750C" w:rsidP="00047864">
            <w:pPr>
              <w:spacing w:after="0" w:line="240" w:lineRule="auto"/>
              <w:jc w:val="right"/>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318.403.868</w:t>
            </w:r>
          </w:p>
        </w:tc>
        <w:tc>
          <w:tcPr>
            <w:tcW w:w="518" w:type="pct"/>
            <w:shd w:val="clear" w:color="auto" w:fill="auto"/>
            <w:noWrap/>
            <w:vAlign w:val="center"/>
            <w:hideMark/>
          </w:tcPr>
          <w:p w14:paraId="28E678CC" w14:textId="77777777" w:rsidR="00E3750C" w:rsidRPr="000F4B73" w:rsidRDefault="00E3750C" w:rsidP="00047864">
            <w:pPr>
              <w:spacing w:after="0" w:line="240" w:lineRule="auto"/>
              <w:jc w:val="right"/>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644" w:type="pct"/>
            <w:shd w:val="clear" w:color="auto" w:fill="auto"/>
            <w:noWrap/>
            <w:vAlign w:val="center"/>
            <w:hideMark/>
          </w:tcPr>
          <w:p w14:paraId="2CB4EFF2" w14:textId="77777777" w:rsidR="00E3750C" w:rsidRPr="000F4B73" w:rsidRDefault="00E3750C" w:rsidP="00047864">
            <w:pPr>
              <w:spacing w:after="0" w:line="240" w:lineRule="auto"/>
              <w:jc w:val="right"/>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E3750C" w:rsidRPr="000F4B73" w14:paraId="2ACE9C4E" w14:textId="77777777" w:rsidTr="00047864">
        <w:trPr>
          <w:trHeight w:val="288"/>
        </w:trPr>
        <w:tc>
          <w:tcPr>
            <w:tcW w:w="1396" w:type="pct"/>
            <w:vMerge w:val="restart"/>
            <w:shd w:val="clear" w:color="auto" w:fill="auto"/>
            <w:noWrap/>
            <w:vAlign w:val="center"/>
            <w:hideMark/>
          </w:tcPr>
          <w:p w14:paraId="41BB9CDC"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OBALNO-KRAŠKA</w:t>
            </w:r>
          </w:p>
        </w:tc>
        <w:tc>
          <w:tcPr>
            <w:tcW w:w="1353" w:type="pct"/>
            <w:shd w:val="clear" w:color="auto" w:fill="auto"/>
            <w:noWrap/>
            <w:vAlign w:val="center"/>
            <w:hideMark/>
          </w:tcPr>
          <w:p w14:paraId="557D8135" w14:textId="77777777" w:rsidR="00E3750C" w:rsidRPr="000F4B73" w:rsidRDefault="00E3750C" w:rsidP="00047864">
            <w:pPr>
              <w:spacing w:after="0" w:line="240" w:lineRule="auto"/>
              <w:rPr>
                <w:rFonts w:ascii="Arial" w:eastAsia="Times New Roman" w:hAnsi="Arial" w:cs="Arial"/>
                <w:color w:val="000000"/>
                <w:sz w:val="18"/>
                <w:szCs w:val="18"/>
                <w:lang w:eastAsia="sl-SI"/>
              </w:rPr>
            </w:pPr>
            <w:proofErr w:type="spellStart"/>
            <w:r w:rsidRPr="000F4B73">
              <w:rPr>
                <w:rFonts w:ascii="Arial" w:eastAsia="Times New Roman" w:hAnsi="Arial" w:cs="Arial"/>
                <w:color w:val="000000"/>
                <w:sz w:val="18"/>
                <w:szCs w:val="18"/>
                <w:lang w:eastAsia="sl-SI"/>
              </w:rPr>
              <w:t>Mikro</w:t>
            </w:r>
            <w:proofErr w:type="spellEnd"/>
            <w:r w:rsidRPr="000F4B73">
              <w:rPr>
                <w:rFonts w:ascii="Arial" w:eastAsia="Times New Roman" w:hAnsi="Arial" w:cs="Arial"/>
                <w:color w:val="000000"/>
                <w:sz w:val="18"/>
                <w:szCs w:val="18"/>
                <w:lang w:eastAsia="sl-SI"/>
              </w:rPr>
              <w:t xml:space="preserve"> enote</w:t>
            </w:r>
          </w:p>
        </w:tc>
        <w:tc>
          <w:tcPr>
            <w:tcW w:w="385" w:type="pct"/>
            <w:shd w:val="clear" w:color="auto" w:fill="auto"/>
            <w:noWrap/>
            <w:vAlign w:val="center"/>
            <w:hideMark/>
          </w:tcPr>
          <w:p w14:paraId="4AD2AD90"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96</w:t>
            </w:r>
          </w:p>
        </w:tc>
        <w:tc>
          <w:tcPr>
            <w:tcW w:w="704" w:type="pct"/>
            <w:shd w:val="clear" w:color="auto" w:fill="auto"/>
            <w:noWrap/>
            <w:vAlign w:val="center"/>
            <w:hideMark/>
          </w:tcPr>
          <w:p w14:paraId="0F5948F4"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12304592</w:t>
            </w:r>
          </w:p>
        </w:tc>
        <w:tc>
          <w:tcPr>
            <w:tcW w:w="518" w:type="pct"/>
            <w:shd w:val="clear" w:color="auto" w:fill="auto"/>
            <w:noWrap/>
            <w:vAlign w:val="center"/>
            <w:hideMark/>
          </w:tcPr>
          <w:p w14:paraId="6F5071BC"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8,57</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7C2822DE"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3,65</w:t>
            </w:r>
            <w:r>
              <w:rPr>
                <w:rFonts w:ascii="Arial" w:eastAsia="Times New Roman" w:hAnsi="Arial" w:cs="Arial"/>
                <w:color w:val="000000"/>
                <w:sz w:val="18"/>
                <w:szCs w:val="18"/>
                <w:lang w:eastAsia="sl-SI"/>
              </w:rPr>
              <w:t xml:space="preserve"> %</w:t>
            </w:r>
          </w:p>
        </w:tc>
      </w:tr>
      <w:tr w:rsidR="00E3750C" w:rsidRPr="000F4B73" w14:paraId="79E8440E" w14:textId="77777777" w:rsidTr="00047864">
        <w:trPr>
          <w:trHeight w:val="288"/>
        </w:trPr>
        <w:tc>
          <w:tcPr>
            <w:tcW w:w="1396" w:type="pct"/>
            <w:vMerge/>
            <w:vAlign w:val="center"/>
            <w:hideMark/>
          </w:tcPr>
          <w:p w14:paraId="534F2757"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1EA507A1"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Majhne enote</w:t>
            </w:r>
          </w:p>
        </w:tc>
        <w:tc>
          <w:tcPr>
            <w:tcW w:w="385" w:type="pct"/>
            <w:shd w:val="clear" w:color="auto" w:fill="auto"/>
            <w:noWrap/>
            <w:vAlign w:val="center"/>
            <w:hideMark/>
          </w:tcPr>
          <w:p w14:paraId="3C2268DB"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383</w:t>
            </w:r>
          </w:p>
        </w:tc>
        <w:tc>
          <w:tcPr>
            <w:tcW w:w="704" w:type="pct"/>
            <w:shd w:val="clear" w:color="auto" w:fill="auto"/>
            <w:noWrap/>
            <w:vAlign w:val="center"/>
            <w:hideMark/>
          </w:tcPr>
          <w:p w14:paraId="0F1D6A56"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117060223</w:t>
            </w:r>
          </w:p>
        </w:tc>
        <w:tc>
          <w:tcPr>
            <w:tcW w:w="518" w:type="pct"/>
            <w:shd w:val="clear" w:color="auto" w:fill="auto"/>
            <w:noWrap/>
            <w:vAlign w:val="center"/>
            <w:hideMark/>
          </w:tcPr>
          <w:p w14:paraId="7685115F"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34,20</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69F86930"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34,74</w:t>
            </w:r>
            <w:r>
              <w:rPr>
                <w:rFonts w:ascii="Arial" w:eastAsia="Times New Roman" w:hAnsi="Arial" w:cs="Arial"/>
                <w:color w:val="000000"/>
                <w:sz w:val="18"/>
                <w:szCs w:val="18"/>
                <w:lang w:eastAsia="sl-SI"/>
              </w:rPr>
              <w:t xml:space="preserve"> %</w:t>
            </w:r>
          </w:p>
        </w:tc>
      </w:tr>
      <w:tr w:rsidR="00E3750C" w:rsidRPr="000F4B73" w14:paraId="7C58E5BD" w14:textId="77777777" w:rsidTr="00047864">
        <w:trPr>
          <w:trHeight w:val="288"/>
        </w:trPr>
        <w:tc>
          <w:tcPr>
            <w:tcW w:w="1396" w:type="pct"/>
            <w:vMerge/>
            <w:vAlign w:val="center"/>
            <w:hideMark/>
          </w:tcPr>
          <w:p w14:paraId="5E87C352"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195D12E8"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Srednje enote</w:t>
            </w:r>
          </w:p>
        </w:tc>
        <w:tc>
          <w:tcPr>
            <w:tcW w:w="385" w:type="pct"/>
            <w:shd w:val="clear" w:color="auto" w:fill="auto"/>
            <w:noWrap/>
            <w:vAlign w:val="center"/>
            <w:hideMark/>
          </w:tcPr>
          <w:p w14:paraId="22AB1A43"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354</w:t>
            </w:r>
          </w:p>
        </w:tc>
        <w:tc>
          <w:tcPr>
            <w:tcW w:w="704" w:type="pct"/>
            <w:shd w:val="clear" w:color="auto" w:fill="auto"/>
            <w:noWrap/>
            <w:vAlign w:val="center"/>
            <w:hideMark/>
          </w:tcPr>
          <w:p w14:paraId="191B36DD"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115514354</w:t>
            </w:r>
          </w:p>
        </w:tc>
        <w:tc>
          <w:tcPr>
            <w:tcW w:w="518" w:type="pct"/>
            <w:shd w:val="clear" w:color="auto" w:fill="auto"/>
            <w:noWrap/>
            <w:vAlign w:val="center"/>
            <w:hideMark/>
          </w:tcPr>
          <w:p w14:paraId="44146A71"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31,61</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5E4446B1"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34,28</w:t>
            </w:r>
            <w:r>
              <w:rPr>
                <w:rFonts w:ascii="Arial" w:eastAsia="Times New Roman" w:hAnsi="Arial" w:cs="Arial"/>
                <w:color w:val="000000"/>
                <w:sz w:val="18"/>
                <w:szCs w:val="18"/>
                <w:lang w:eastAsia="sl-SI"/>
              </w:rPr>
              <w:t xml:space="preserve"> %</w:t>
            </w:r>
          </w:p>
        </w:tc>
      </w:tr>
      <w:tr w:rsidR="00E3750C" w:rsidRPr="000F4B73" w14:paraId="7627138F" w14:textId="77777777" w:rsidTr="00047864">
        <w:trPr>
          <w:trHeight w:val="288"/>
        </w:trPr>
        <w:tc>
          <w:tcPr>
            <w:tcW w:w="1396" w:type="pct"/>
            <w:vMerge/>
            <w:vAlign w:val="center"/>
            <w:hideMark/>
          </w:tcPr>
          <w:p w14:paraId="79728402"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393F46C6"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Velike enote</w:t>
            </w:r>
          </w:p>
        </w:tc>
        <w:tc>
          <w:tcPr>
            <w:tcW w:w="385" w:type="pct"/>
            <w:shd w:val="clear" w:color="auto" w:fill="auto"/>
            <w:noWrap/>
            <w:vAlign w:val="center"/>
            <w:hideMark/>
          </w:tcPr>
          <w:p w14:paraId="4B8AF21F"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269</w:t>
            </w:r>
          </w:p>
        </w:tc>
        <w:tc>
          <w:tcPr>
            <w:tcW w:w="704" w:type="pct"/>
            <w:shd w:val="clear" w:color="auto" w:fill="auto"/>
            <w:noWrap/>
            <w:vAlign w:val="center"/>
            <w:hideMark/>
          </w:tcPr>
          <w:p w14:paraId="2C776116"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90253521</w:t>
            </w:r>
          </w:p>
        </w:tc>
        <w:tc>
          <w:tcPr>
            <w:tcW w:w="518" w:type="pct"/>
            <w:shd w:val="clear" w:color="auto" w:fill="auto"/>
            <w:noWrap/>
            <w:vAlign w:val="center"/>
            <w:hideMark/>
          </w:tcPr>
          <w:p w14:paraId="7AD449F4"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24,02</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3D2601FD"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26,79</w:t>
            </w:r>
            <w:r>
              <w:rPr>
                <w:rFonts w:ascii="Arial" w:eastAsia="Times New Roman" w:hAnsi="Arial" w:cs="Arial"/>
                <w:color w:val="000000"/>
                <w:sz w:val="18"/>
                <w:szCs w:val="18"/>
                <w:lang w:eastAsia="sl-SI"/>
              </w:rPr>
              <w:t xml:space="preserve"> %</w:t>
            </w:r>
          </w:p>
        </w:tc>
      </w:tr>
      <w:tr w:rsidR="00E3750C" w:rsidRPr="000F4B73" w14:paraId="228D2A65" w14:textId="77777777" w:rsidTr="00047864">
        <w:trPr>
          <w:trHeight w:val="288"/>
        </w:trPr>
        <w:tc>
          <w:tcPr>
            <w:tcW w:w="1396" w:type="pct"/>
            <w:vMerge/>
            <w:vAlign w:val="center"/>
            <w:hideMark/>
          </w:tcPr>
          <w:p w14:paraId="54264E2F"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5C923704"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Velikost RS se ne izračunava</w:t>
            </w:r>
          </w:p>
        </w:tc>
        <w:tc>
          <w:tcPr>
            <w:tcW w:w="385" w:type="pct"/>
            <w:shd w:val="clear" w:color="auto" w:fill="auto"/>
            <w:noWrap/>
            <w:vAlign w:val="center"/>
            <w:hideMark/>
          </w:tcPr>
          <w:p w14:paraId="70557B67"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18</w:t>
            </w:r>
          </w:p>
        </w:tc>
        <w:tc>
          <w:tcPr>
            <w:tcW w:w="704" w:type="pct"/>
            <w:shd w:val="clear" w:color="auto" w:fill="auto"/>
            <w:noWrap/>
            <w:vAlign w:val="center"/>
            <w:hideMark/>
          </w:tcPr>
          <w:p w14:paraId="1A6C0E4A"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1807989</w:t>
            </w:r>
          </w:p>
        </w:tc>
        <w:tc>
          <w:tcPr>
            <w:tcW w:w="518" w:type="pct"/>
            <w:shd w:val="clear" w:color="auto" w:fill="auto"/>
            <w:noWrap/>
            <w:vAlign w:val="center"/>
            <w:hideMark/>
          </w:tcPr>
          <w:p w14:paraId="3E6CE7B4"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1,61</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7301AE6B"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0,54</w:t>
            </w:r>
            <w:r>
              <w:rPr>
                <w:rFonts w:ascii="Arial" w:eastAsia="Times New Roman" w:hAnsi="Arial" w:cs="Arial"/>
                <w:color w:val="000000"/>
                <w:sz w:val="18"/>
                <w:szCs w:val="18"/>
                <w:lang w:eastAsia="sl-SI"/>
              </w:rPr>
              <w:t xml:space="preserve"> %</w:t>
            </w:r>
          </w:p>
        </w:tc>
      </w:tr>
      <w:tr w:rsidR="00E3750C" w:rsidRPr="000F4B73" w14:paraId="68AB8857" w14:textId="77777777" w:rsidTr="00047864">
        <w:trPr>
          <w:trHeight w:val="288"/>
        </w:trPr>
        <w:tc>
          <w:tcPr>
            <w:tcW w:w="1396" w:type="pct"/>
            <w:vMerge/>
            <w:vAlign w:val="center"/>
            <w:hideMark/>
          </w:tcPr>
          <w:p w14:paraId="1CA03158"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4891CFD7" w14:textId="77777777" w:rsidR="00E3750C" w:rsidRPr="000F4B73" w:rsidRDefault="00E3750C" w:rsidP="00047864">
            <w:pPr>
              <w:spacing w:after="0" w:line="240" w:lineRule="auto"/>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Skupaj</w:t>
            </w:r>
          </w:p>
        </w:tc>
        <w:tc>
          <w:tcPr>
            <w:tcW w:w="385" w:type="pct"/>
            <w:shd w:val="clear" w:color="auto" w:fill="auto"/>
            <w:noWrap/>
            <w:vAlign w:val="center"/>
            <w:hideMark/>
          </w:tcPr>
          <w:p w14:paraId="1CDF40E7" w14:textId="77777777" w:rsidR="00E3750C" w:rsidRPr="000F4B73" w:rsidRDefault="00E3750C" w:rsidP="00047864">
            <w:pPr>
              <w:spacing w:after="0" w:line="240" w:lineRule="auto"/>
              <w:jc w:val="right"/>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1.120</w:t>
            </w:r>
          </w:p>
        </w:tc>
        <w:tc>
          <w:tcPr>
            <w:tcW w:w="704" w:type="pct"/>
            <w:shd w:val="clear" w:color="auto" w:fill="auto"/>
            <w:noWrap/>
            <w:vAlign w:val="center"/>
            <w:hideMark/>
          </w:tcPr>
          <w:p w14:paraId="3BC99092" w14:textId="77777777" w:rsidR="00E3750C" w:rsidRPr="000F4B73" w:rsidRDefault="00E3750C" w:rsidP="00047864">
            <w:pPr>
              <w:spacing w:after="0" w:line="240" w:lineRule="auto"/>
              <w:jc w:val="right"/>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336.940.679</w:t>
            </w:r>
          </w:p>
        </w:tc>
        <w:tc>
          <w:tcPr>
            <w:tcW w:w="518" w:type="pct"/>
            <w:shd w:val="clear" w:color="auto" w:fill="auto"/>
            <w:noWrap/>
            <w:vAlign w:val="center"/>
            <w:hideMark/>
          </w:tcPr>
          <w:p w14:paraId="3EBC02C9" w14:textId="77777777" w:rsidR="00E3750C" w:rsidRPr="000F4B73" w:rsidRDefault="00E3750C" w:rsidP="00047864">
            <w:pPr>
              <w:spacing w:after="0" w:line="240" w:lineRule="auto"/>
              <w:jc w:val="right"/>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644" w:type="pct"/>
            <w:shd w:val="clear" w:color="auto" w:fill="auto"/>
            <w:noWrap/>
            <w:vAlign w:val="center"/>
            <w:hideMark/>
          </w:tcPr>
          <w:p w14:paraId="4DC3B960" w14:textId="77777777" w:rsidR="00E3750C" w:rsidRPr="000F4B73" w:rsidRDefault="00E3750C" w:rsidP="00047864">
            <w:pPr>
              <w:spacing w:after="0" w:line="240" w:lineRule="auto"/>
              <w:jc w:val="right"/>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E3750C" w:rsidRPr="000F4B73" w14:paraId="0F15F933" w14:textId="77777777" w:rsidTr="00047864">
        <w:trPr>
          <w:trHeight w:val="288"/>
        </w:trPr>
        <w:tc>
          <w:tcPr>
            <w:tcW w:w="1396" w:type="pct"/>
            <w:vMerge w:val="restart"/>
            <w:shd w:val="clear" w:color="auto" w:fill="auto"/>
            <w:noWrap/>
            <w:vAlign w:val="center"/>
            <w:hideMark/>
          </w:tcPr>
          <w:p w14:paraId="179A6419"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OSREDNJESLOVENSKA</w:t>
            </w:r>
          </w:p>
        </w:tc>
        <w:tc>
          <w:tcPr>
            <w:tcW w:w="1353" w:type="pct"/>
            <w:shd w:val="clear" w:color="auto" w:fill="auto"/>
            <w:noWrap/>
            <w:vAlign w:val="center"/>
            <w:hideMark/>
          </w:tcPr>
          <w:p w14:paraId="18FEDB8A" w14:textId="77777777" w:rsidR="00E3750C" w:rsidRPr="000F4B73" w:rsidRDefault="00E3750C" w:rsidP="00047864">
            <w:pPr>
              <w:spacing w:after="0" w:line="240" w:lineRule="auto"/>
              <w:rPr>
                <w:rFonts w:ascii="Arial" w:eastAsia="Times New Roman" w:hAnsi="Arial" w:cs="Arial"/>
                <w:color w:val="000000"/>
                <w:sz w:val="18"/>
                <w:szCs w:val="18"/>
                <w:lang w:eastAsia="sl-SI"/>
              </w:rPr>
            </w:pPr>
            <w:proofErr w:type="spellStart"/>
            <w:r w:rsidRPr="000F4B73">
              <w:rPr>
                <w:rFonts w:ascii="Arial" w:eastAsia="Times New Roman" w:hAnsi="Arial" w:cs="Arial"/>
                <w:color w:val="000000"/>
                <w:sz w:val="18"/>
                <w:szCs w:val="18"/>
                <w:lang w:eastAsia="sl-SI"/>
              </w:rPr>
              <w:t>Mikro</w:t>
            </w:r>
            <w:proofErr w:type="spellEnd"/>
            <w:r w:rsidRPr="000F4B73">
              <w:rPr>
                <w:rFonts w:ascii="Arial" w:eastAsia="Times New Roman" w:hAnsi="Arial" w:cs="Arial"/>
                <w:color w:val="000000"/>
                <w:sz w:val="18"/>
                <w:szCs w:val="18"/>
                <w:lang w:eastAsia="sl-SI"/>
              </w:rPr>
              <w:t xml:space="preserve"> enote</w:t>
            </w:r>
          </w:p>
        </w:tc>
        <w:tc>
          <w:tcPr>
            <w:tcW w:w="385" w:type="pct"/>
            <w:shd w:val="clear" w:color="auto" w:fill="auto"/>
            <w:noWrap/>
            <w:vAlign w:val="center"/>
            <w:hideMark/>
          </w:tcPr>
          <w:p w14:paraId="0439096A"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1070</w:t>
            </w:r>
          </w:p>
        </w:tc>
        <w:tc>
          <w:tcPr>
            <w:tcW w:w="704" w:type="pct"/>
            <w:shd w:val="clear" w:color="auto" w:fill="auto"/>
            <w:noWrap/>
            <w:vAlign w:val="center"/>
            <w:hideMark/>
          </w:tcPr>
          <w:p w14:paraId="1B2AD78A"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136915039</w:t>
            </w:r>
          </w:p>
        </w:tc>
        <w:tc>
          <w:tcPr>
            <w:tcW w:w="518" w:type="pct"/>
            <w:shd w:val="clear" w:color="auto" w:fill="auto"/>
            <w:noWrap/>
            <w:vAlign w:val="center"/>
            <w:hideMark/>
          </w:tcPr>
          <w:p w14:paraId="559B8D2B"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15,84</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4B8381C3"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4,99</w:t>
            </w:r>
            <w:r>
              <w:rPr>
                <w:rFonts w:ascii="Arial" w:eastAsia="Times New Roman" w:hAnsi="Arial" w:cs="Arial"/>
                <w:color w:val="000000"/>
                <w:sz w:val="18"/>
                <w:szCs w:val="18"/>
                <w:lang w:eastAsia="sl-SI"/>
              </w:rPr>
              <w:t xml:space="preserve"> %</w:t>
            </w:r>
          </w:p>
        </w:tc>
      </w:tr>
      <w:tr w:rsidR="00E3750C" w:rsidRPr="000F4B73" w14:paraId="4D7A51EA" w14:textId="77777777" w:rsidTr="00047864">
        <w:trPr>
          <w:trHeight w:val="288"/>
        </w:trPr>
        <w:tc>
          <w:tcPr>
            <w:tcW w:w="1396" w:type="pct"/>
            <w:vMerge/>
            <w:vAlign w:val="center"/>
            <w:hideMark/>
          </w:tcPr>
          <w:p w14:paraId="5905C775"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4DC1BA9B"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Majhne enote</w:t>
            </w:r>
          </w:p>
        </w:tc>
        <w:tc>
          <w:tcPr>
            <w:tcW w:w="385" w:type="pct"/>
            <w:shd w:val="clear" w:color="auto" w:fill="auto"/>
            <w:noWrap/>
            <w:vAlign w:val="center"/>
            <w:hideMark/>
          </w:tcPr>
          <w:p w14:paraId="1C20A3C1"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2477</w:t>
            </w:r>
          </w:p>
        </w:tc>
        <w:tc>
          <w:tcPr>
            <w:tcW w:w="704" w:type="pct"/>
            <w:shd w:val="clear" w:color="auto" w:fill="auto"/>
            <w:noWrap/>
            <w:vAlign w:val="center"/>
            <w:hideMark/>
          </w:tcPr>
          <w:p w14:paraId="2B36D59E"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482616346</w:t>
            </w:r>
          </w:p>
        </w:tc>
        <w:tc>
          <w:tcPr>
            <w:tcW w:w="518" w:type="pct"/>
            <w:shd w:val="clear" w:color="auto" w:fill="auto"/>
            <w:noWrap/>
            <w:vAlign w:val="center"/>
            <w:hideMark/>
          </w:tcPr>
          <w:p w14:paraId="71ADD235"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36,66</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346623DB"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17,60</w:t>
            </w:r>
            <w:r>
              <w:rPr>
                <w:rFonts w:ascii="Arial" w:eastAsia="Times New Roman" w:hAnsi="Arial" w:cs="Arial"/>
                <w:color w:val="000000"/>
                <w:sz w:val="18"/>
                <w:szCs w:val="18"/>
                <w:lang w:eastAsia="sl-SI"/>
              </w:rPr>
              <w:t xml:space="preserve"> %</w:t>
            </w:r>
          </w:p>
        </w:tc>
      </w:tr>
      <w:tr w:rsidR="00E3750C" w:rsidRPr="000F4B73" w14:paraId="045476DD" w14:textId="77777777" w:rsidTr="00047864">
        <w:trPr>
          <w:trHeight w:val="288"/>
        </w:trPr>
        <w:tc>
          <w:tcPr>
            <w:tcW w:w="1396" w:type="pct"/>
            <w:vMerge/>
            <w:vAlign w:val="center"/>
            <w:hideMark/>
          </w:tcPr>
          <w:p w14:paraId="68A5512D"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29281D04"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Srednje enote</w:t>
            </w:r>
          </w:p>
        </w:tc>
        <w:tc>
          <w:tcPr>
            <w:tcW w:w="385" w:type="pct"/>
            <w:shd w:val="clear" w:color="auto" w:fill="auto"/>
            <w:noWrap/>
            <w:vAlign w:val="center"/>
            <w:hideMark/>
          </w:tcPr>
          <w:p w14:paraId="02EDEAFD"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1590</w:t>
            </w:r>
          </w:p>
        </w:tc>
        <w:tc>
          <w:tcPr>
            <w:tcW w:w="704" w:type="pct"/>
            <w:shd w:val="clear" w:color="auto" w:fill="auto"/>
            <w:noWrap/>
            <w:vAlign w:val="center"/>
            <w:hideMark/>
          </w:tcPr>
          <w:p w14:paraId="7C5C98CA"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744424613</w:t>
            </w:r>
          </w:p>
        </w:tc>
        <w:tc>
          <w:tcPr>
            <w:tcW w:w="518" w:type="pct"/>
            <w:shd w:val="clear" w:color="auto" w:fill="auto"/>
            <w:noWrap/>
            <w:vAlign w:val="center"/>
            <w:hideMark/>
          </w:tcPr>
          <w:p w14:paraId="075E7606"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23,53</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4DE2794E"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27,15</w:t>
            </w:r>
            <w:r>
              <w:rPr>
                <w:rFonts w:ascii="Arial" w:eastAsia="Times New Roman" w:hAnsi="Arial" w:cs="Arial"/>
                <w:color w:val="000000"/>
                <w:sz w:val="18"/>
                <w:szCs w:val="18"/>
                <w:lang w:eastAsia="sl-SI"/>
              </w:rPr>
              <w:t xml:space="preserve"> %</w:t>
            </w:r>
          </w:p>
        </w:tc>
      </w:tr>
      <w:tr w:rsidR="00E3750C" w:rsidRPr="000F4B73" w14:paraId="07D46482" w14:textId="77777777" w:rsidTr="00047864">
        <w:trPr>
          <w:trHeight w:val="288"/>
        </w:trPr>
        <w:tc>
          <w:tcPr>
            <w:tcW w:w="1396" w:type="pct"/>
            <w:vMerge/>
            <w:vAlign w:val="center"/>
            <w:hideMark/>
          </w:tcPr>
          <w:p w14:paraId="3760A160"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111BB658"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Velike enote</w:t>
            </w:r>
          </w:p>
        </w:tc>
        <w:tc>
          <w:tcPr>
            <w:tcW w:w="385" w:type="pct"/>
            <w:shd w:val="clear" w:color="auto" w:fill="auto"/>
            <w:noWrap/>
            <w:vAlign w:val="center"/>
            <w:hideMark/>
          </w:tcPr>
          <w:p w14:paraId="6F2F18F8"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1353</w:t>
            </w:r>
          </w:p>
        </w:tc>
        <w:tc>
          <w:tcPr>
            <w:tcW w:w="704" w:type="pct"/>
            <w:shd w:val="clear" w:color="auto" w:fill="auto"/>
            <w:noWrap/>
            <w:vAlign w:val="center"/>
            <w:hideMark/>
          </w:tcPr>
          <w:p w14:paraId="7CDDDB79"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1345696076</w:t>
            </w:r>
          </w:p>
        </w:tc>
        <w:tc>
          <w:tcPr>
            <w:tcW w:w="518" w:type="pct"/>
            <w:shd w:val="clear" w:color="auto" w:fill="auto"/>
            <w:noWrap/>
            <w:vAlign w:val="center"/>
            <w:hideMark/>
          </w:tcPr>
          <w:p w14:paraId="6639BB0C"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20,02</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4FC9B292"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49,07</w:t>
            </w:r>
            <w:r>
              <w:rPr>
                <w:rFonts w:ascii="Arial" w:eastAsia="Times New Roman" w:hAnsi="Arial" w:cs="Arial"/>
                <w:color w:val="000000"/>
                <w:sz w:val="18"/>
                <w:szCs w:val="18"/>
                <w:lang w:eastAsia="sl-SI"/>
              </w:rPr>
              <w:t xml:space="preserve"> %</w:t>
            </w:r>
          </w:p>
        </w:tc>
      </w:tr>
      <w:tr w:rsidR="00E3750C" w:rsidRPr="000F4B73" w14:paraId="0BB2621F" w14:textId="77777777" w:rsidTr="00047864">
        <w:trPr>
          <w:trHeight w:val="288"/>
        </w:trPr>
        <w:tc>
          <w:tcPr>
            <w:tcW w:w="1396" w:type="pct"/>
            <w:vMerge/>
            <w:vAlign w:val="center"/>
            <w:hideMark/>
          </w:tcPr>
          <w:p w14:paraId="7A207E0E"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4B90CD15"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Velikost RS se ne izračunava</w:t>
            </w:r>
          </w:p>
        </w:tc>
        <w:tc>
          <w:tcPr>
            <w:tcW w:w="385" w:type="pct"/>
            <w:shd w:val="clear" w:color="auto" w:fill="auto"/>
            <w:noWrap/>
            <w:vAlign w:val="center"/>
            <w:hideMark/>
          </w:tcPr>
          <w:p w14:paraId="0D186AFC"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210</w:t>
            </w:r>
          </w:p>
        </w:tc>
        <w:tc>
          <w:tcPr>
            <w:tcW w:w="704" w:type="pct"/>
            <w:shd w:val="clear" w:color="auto" w:fill="auto"/>
            <w:noWrap/>
            <w:vAlign w:val="center"/>
            <w:hideMark/>
          </w:tcPr>
          <w:p w14:paraId="7CCCFC8A"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20060387</w:t>
            </w:r>
          </w:p>
        </w:tc>
        <w:tc>
          <w:tcPr>
            <w:tcW w:w="518" w:type="pct"/>
            <w:shd w:val="clear" w:color="auto" w:fill="auto"/>
            <w:noWrap/>
            <w:vAlign w:val="center"/>
            <w:hideMark/>
          </w:tcPr>
          <w:p w14:paraId="5F0146C6"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3,11</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4F04F185"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0,73</w:t>
            </w:r>
            <w:r>
              <w:rPr>
                <w:rFonts w:ascii="Arial" w:eastAsia="Times New Roman" w:hAnsi="Arial" w:cs="Arial"/>
                <w:color w:val="000000"/>
                <w:sz w:val="18"/>
                <w:szCs w:val="18"/>
                <w:lang w:eastAsia="sl-SI"/>
              </w:rPr>
              <w:t xml:space="preserve"> %</w:t>
            </w:r>
          </w:p>
        </w:tc>
      </w:tr>
      <w:tr w:rsidR="00E3750C" w:rsidRPr="000F4B73" w14:paraId="0D705D63" w14:textId="77777777" w:rsidTr="00047864">
        <w:trPr>
          <w:trHeight w:val="288"/>
        </w:trPr>
        <w:tc>
          <w:tcPr>
            <w:tcW w:w="1396" w:type="pct"/>
            <w:vMerge/>
            <w:vAlign w:val="center"/>
            <w:hideMark/>
          </w:tcPr>
          <w:p w14:paraId="556AFAD4"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0425805E"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Ni podatka o velikosti</w:t>
            </w:r>
          </w:p>
        </w:tc>
        <w:tc>
          <w:tcPr>
            <w:tcW w:w="385" w:type="pct"/>
            <w:shd w:val="clear" w:color="auto" w:fill="auto"/>
            <w:noWrap/>
            <w:vAlign w:val="center"/>
            <w:hideMark/>
          </w:tcPr>
          <w:p w14:paraId="2DBA5876"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57</w:t>
            </w:r>
          </w:p>
        </w:tc>
        <w:tc>
          <w:tcPr>
            <w:tcW w:w="704" w:type="pct"/>
            <w:shd w:val="clear" w:color="auto" w:fill="auto"/>
            <w:noWrap/>
            <w:vAlign w:val="center"/>
            <w:hideMark/>
          </w:tcPr>
          <w:p w14:paraId="60E07730"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12472611</w:t>
            </w:r>
          </w:p>
        </w:tc>
        <w:tc>
          <w:tcPr>
            <w:tcW w:w="518" w:type="pct"/>
            <w:shd w:val="clear" w:color="auto" w:fill="auto"/>
            <w:noWrap/>
            <w:vAlign w:val="center"/>
            <w:hideMark/>
          </w:tcPr>
          <w:p w14:paraId="1E4961DA"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0,84</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003BB3E1"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0,45</w:t>
            </w:r>
            <w:r>
              <w:rPr>
                <w:rFonts w:ascii="Arial" w:eastAsia="Times New Roman" w:hAnsi="Arial" w:cs="Arial"/>
                <w:color w:val="000000"/>
                <w:sz w:val="18"/>
                <w:szCs w:val="18"/>
                <w:lang w:eastAsia="sl-SI"/>
              </w:rPr>
              <w:t xml:space="preserve"> %</w:t>
            </w:r>
          </w:p>
        </w:tc>
      </w:tr>
      <w:tr w:rsidR="00E3750C" w:rsidRPr="000F4B73" w14:paraId="4E6FDFA6" w14:textId="77777777" w:rsidTr="00047864">
        <w:trPr>
          <w:trHeight w:val="288"/>
        </w:trPr>
        <w:tc>
          <w:tcPr>
            <w:tcW w:w="1396" w:type="pct"/>
            <w:vMerge/>
            <w:vAlign w:val="center"/>
            <w:hideMark/>
          </w:tcPr>
          <w:p w14:paraId="2ABB5D9C"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7102E5D1" w14:textId="77777777" w:rsidR="00E3750C" w:rsidRPr="000F4B73" w:rsidRDefault="00E3750C" w:rsidP="00047864">
            <w:pPr>
              <w:spacing w:after="0" w:line="240" w:lineRule="auto"/>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Skupaj</w:t>
            </w:r>
          </w:p>
        </w:tc>
        <w:tc>
          <w:tcPr>
            <w:tcW w:w="385" w:type="pct"/>
            <w:shd w:val="clear" w:color="auto" w:fill="auto"/>
            <w:noWrap/>
            <w:vAlign w:val="center"/>
            <w:hideMark/>
          </w:tcPr>
          <w:p w14:paraId="17378587" w14:textId="77777777" w:rsidR="00E3750C" w:rsidRPr="000F4B73" w:rsidRDefault="00E3750C" w:rsidP="00047864">
            <w:pPr>
              <w:spacing w:after="0" w:line="240" w:lineRule="auto"/>
              <w:jc w:val="right"/>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6.757</w:t>
            </w:r>
          </w:p>
        </w:tc>
        <w:tc>
          <w:tcPr>
            <w:tcW w:w="704" w:type="pct"/>
            <w:shd w:val="clear" w:color="auto" w:fill="auto"/>
            <w:noWrap/>
            <w:vAlign w:val="center"/>
            <w:hideMark/>
          </w:tcPr>
          <w:p w14:paraId="480A5699" w14:textId="77777777" w:rsidR="00E3750C" w:rsidRPr="000F4B73" w:rsidRDefault="00E3750C" w:rsidP="00047864">
            <w:pPr>
              <w:spacing w:after="0" w:line="240" w:lineRule="auto"/>
              <w:jc w:val="right"/>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2.742.185.072</w:t>
            </w:r>
          </w:p>
        </w:tc>
        <w:tc>
          <w:tcPr>
            <w:tcW w:w="518" w:type="pct"/>
            <w:shd w:val="clear" w:color="auto" w:fill="auto"/>
            <w:noWrap/>
            <w:vAlign w:val="center"/>
            <w:hideMark/>
          </w:tcPr>
          <w:p w14:paraId="4FA8FB28" w14:textId="77777777" w:rsidR="00E3750C" w:rsidRPr="000F4B73" w:rsidRDefault="00E3750C" w:rsidP="00047864">
            <w:pPr>
              <w:spacing w:after="0" w:line="240" w:lineRule="auto"/>
              <w:jc w:val="right"/>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644" w:type="pct"/>
            <w:shd w:val="clear" w:color="auto" w:fill="auto"/>
            <w:noWrap/>
            <w:vAlign w:val="center"/>
            <w:hideMark/>
          </w:tcPr>
          <w:p w14:paraId="20B803A0" w14:textId="77777777" w:rsidR="00E3750C" w:rsidRPr="000F4B73" w:rsidRDefault="00E3750C" w:rsidP="00047864">
            <w:pPr>
              <w:spacing w:after="0" w:line="240" w:lineRule="auto"/>
              <w:jc w:val="right"/>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E3750C" w:rsidRPr="000F4B73" w14:paraId="16E1AD48" w14:textId="77777777" w:rsidTr="00047864">
        <w:trPr>
          <w:trHeight w:val="288"/>
        </w:trPr>
        <w:tc>
          <w:tcPr>
            <w:tcW w:w="1396" w:type="pct"/>
            <w:vMerge w:val="restart"/>
            <w:shd w:val="clear" w:color="auto" w:fill="auto"/>
            <w:noWrap/>
            <w:vAlign w:val="center"/>
            <w:hideMark/>
          </w:tcPr>
          <w:p w14:paraId="34E3CAEE"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PODRAVSKA</w:t>
            </w:r>
          </w:p>
        </w:tc>
        <w:tc>
          <w:tcPr>
            <w:tcW w:w="1353" w:type="pct"/>
            <w:shd w:val="clear" w:color="auto" w:fill="auto"/>
            <w:noWrap/>
            <w:vAlign w:val="center"/>
            <w:hideMark/>
          </w:tcPr>
          <w:p w14:paraId="21ECEE52" w14:textId="77777777" w:rsidR="00E3750C" w:rsidRPr="000F4B73" w:rsidRDefault="00E3750C" w:rsidP="00047864">
            <w:pPr>
              <w:spacing w:after="0" w:line="240" w:lineRule="auto"/>
              <w:rPr>
                <w:rFonts w:ascii="Arial" w:eastAsia="Times New Roman" w:hAnsi="Arial" w:cs="Arial"/>
                <w:color w:val="000000"/>
                <w:sz w:val="18"/>
                <w:szCs w:val="18"/>
                <w:lang w:eastAsia="sl-SI"/>
              </w:rPr>
            </w:pPr>
            <w:proofErr w:type="spellStart"/>
            <w:r w:rsidRPr="000F4B73">
              <w:rPr>
                <w:rFonts w:ascii="Arial" w:eastAsia="Times New Roman" w:hAnsi="Arial" w:cs="Arial"/>
                <w:color w:val="000000"/>
                <w:sz w:val="18"/>
                <w:szCs w:val="18"/>
                <w:lang w:eastAsia="sl-SI"/>
              </w:rPr>
              <w:t>Mikro</w:t>
            </w:r>
            <w:proofErr w:type="spellEnd"/>
            <w:r w:rsidRPr="000F4B73">
              <w:rPr>
                <w:rFonts w:ascii="Arial" w:eastAsia="Times New Roman" w:hAnsi="Arial" w:cs="Arial"/>
                <w:color w:val="000000"/>
                <w:sz w:val="18"/>
                <w:szCs w:val="18"/>
                <w:lang w:eastAsia="sl-SI"/>
              </w:rPr>
              <w:t xml:space="preserve"> enote</w:t>
            </w:r>
          </w:p>
        </w:tc>
        <w:tc>
          <w:tcPr>
            <w:tcW w:w="385" w:type="pct"/>
            <w:shd w:val="clear" w:color="auto" w:fill="auto"/>
            <w:noWrap/>
            <w:vAlign w:val="center"/>
            <w:hideMark/>
          </w:tcPr>
          <w:p w14:paraId="197F7BCF"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295</w:t>
            </w:r>
          </w:p>
        </w:tc>
        <w:tc>
          <w:tcPr>
            <w:tcW w:w="704" w:type="pct"/>
            <w:shd w:val="clear" w:color="auto" w:fill="auto"/>
            <w:noWrap/>
            <w:vAlign w:val="center"/>
            <w:hideMark/>
          </w:tcPr>
          <w:p w14:paraId="4ABD7AA2"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36769865</w:t>
            </w:r>
          </w:p>
        </w:tc>
        <w:tc>
          <w:tcPr>
            <w:tcW w:w="518" w:type="pct"/>
            <w:shd w:val="clear" w:color="auto" w:fill="auto"/>
            <w:noWrap/>
            <w:vAlign w:val="center"/>
            <w:hideMark/>
          </w:tcPr>
          <w:p w14:paraId="621668CC"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14,04</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10BF530C"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7,50</w:t>
            </w:r>
            <w:r>
              <w:rPr>
                <w:rFonts w:ascii="Arial" w:eastAsia="Times New Roman" w:hAnsi="Arial" w:cs="Arial"/>
                <w:color w:val="000000"/>
                <w:sz w:val="18"/>
                <w:szCs w:val="18"/>
                <w:lang w:eastAsia="sl-SI"/>
              </w:rPr>
              <w:t xml:space="preserve"> %</w:t>
            </w:r>
          </w:p>
        </w:tc>
      </w:tr>
      <w:tr w:rsidR="00E3750C" w:rsidRPr="000F4B73" w14:paraId="4532FE59" w14:textId="77777777" w:rsidTr="00047864">
        <w:trPr>
          <w:trHeight w:val="288"/>
        </w:trPr>
        <w:tc>
          <w:tcPr>
            <w:tcW w:w="1396" w:type="pct"/>
            <w:vMerge/>
            <w:vAlign w:val="center"/>
            <w:hideMark/>
          </w:tcPr>
          <w:p w14:paraId="6AC1664A"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187E1B7F"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Majhne enote</w:t>
            </w:r>
          </w:p>
        </w:tc>
        <w:tc>
          <w:tcPr>
            <w:tcW w:w="385" w:type="pct"/>
            <w:shd w:val="clear" w:color="auto" w:fill="auto"/>
            <w:noWrap/>
            <w:vAlign w:val="center"/>
            <w:hideMark/>
          </w:tcPr>
          <w:p w14:paraId="38F19F38"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729</w:t>
            </w:r>
          </w:p>
        </w:tc>
        <w:tc>
          <w:tcPr>
            <w:tcW w:w="704" w:type="pct"/>
            <w:shd w:val="clear" w:color="auto" w:fill="auto"/>
            <w:noWrap/>
            <w:vAlign w:val="center"/>
            <w:hideMark/>
          </w:tcPr>
          <w:p w14:paraId="2875F725"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136479115</w:t>
            </w:r>
          </w:p>
        </w:tc>
        <w:tc>
          <w:tcPr>
            <w:tcW w:w="518" w:type="pct"/>
            <w:shd w:val="clear" w:color="auto" w:fill="auto"/>
            <w:noWrap/>
            <w:vAlign w:val="center"/>
            <w:hideMark/>
          </w:tcPr>
          <w:p w14:paraId="50970B13"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34,70</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4D90C06D"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27,83</w:t>
            </w:r>
            <w:r>
              <w:rPr>
                <w:rFonts w:ascii="Arial" w:eastAsia="Times New Roman" w:hAnsi="Arial" w:cs="Arial"/>
                <w:color w:val="000000"/>
                <w:sz w:val="18"/>
                <w:szCs w:val="18"/>
                <w:lang w:eastAsia="sl-SI"/>
              </w:rPr>
              <w:t xml:space="preserve"> %</w:t>
            </w:r>
          </w:p>
        </w:tc>
      </w:tr>
      <w:tr w:rsidR="00E3750C" w:rsidRPr="000F4B73" w14:paraId="4030CD4B" w14:textId="77777777" w:rsidTr="00047864">
        <w:trPr>
          <w:trHeight w:val="288"/>
        </w:trPr>
        <w:tc>
          <w:tcPr>
            <w:tcW w:w="1396" w:type="pct"/>
            <w:vMerge/>
            <w:vAlign w:val="center"/>
            <w:hideMark/>
          </w:tcPr>
          <w:p w14:paraId="5054739F"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52E48C0D"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Srednje enote</w:t>
            </w:r>
          </w:p>
        </w:tc>
        <w:tc>
          <w:tcPr>
            <w:tcW w:w="385" w:type="pct"/>
            <w:shd w:val="clear" w:color="auto" w:fill="auto"/>
            <w:noWrap/>
            <w:vAlign w:val="center"/>
            <w:hideMark/>
          </w:tcPr>
          <w:p w14:paraId="24DDC124"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507</w:t>
            </w:r>
          </w:p>
        </w:tc>
        <w:tc>
          <w:tcPr>
            <w:tcW w:w="704" w:type="pct"/>
            <w:shd w:val="clear" w:color="auto" w:fill="auto"/>
            <w:noWrap/>
            <w:vAlign w:val="center"/>
            <w:hideMark/>
          </w:tcPr>
          <w:p w14:paraId="6A474390"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144775482</w:t>
            </w:r>
          </w:p>
        </w:tc>
        <w:tc>
          <w:tcPr>
            <w:tcW w:w="518" w:type="pct"/>
            <w:shd w:val="clear" w:color="auto" w:fill="auto"/>
            <w:noWrap/>
            <w:vAlign w:val="center"/>
            <w:hideMark/>
          </w:tcPr>
          <w:p w14:paraId="4AF7E213"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24,13</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22A8C8EC"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29,52</w:t>
            </w:r>
            <w:r>
              <w:rPr>
                <w:rFonts w:ascii="Arial" w:eastAsia="Times New Roman" w:hAnsi="Arial" w:cs="Arial"/>
                <w:color w:val="000000"/>
                <w:sz w:val="18"/>
                <w:szCs w:val="18"/>
                <w:lang w:eastAsia="sl-SI"/>
              </w:rPr>
              <w:t xml:space="preserve"> %</w:t>
            </w:r>
          </w:p>
        </w:tc>
      </w:tr>
      <w:tr w:rsidR="00E3750C" w:rsidRPr="000F4B73" w14:paraId="7C80104C" w14:textId="77777777" w:rsidTr="00047864">
        <w:trPr>
          <w:trHeight w:val="288"/>
        </w:trPr>
        <w:tc>
          <w:tcPr>
            <w:tcW w:w="1396" w:type="pct"/>
            <w:vMerge/>
            <w:vAlign w:val="center"/>
            <w:hideMark/>
          </w:tcPr>
          <w:p w14:paraId="2B407BA2"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63D3B0F8"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Velike enote</w:t>
            </w:r>
          </w:p>
        </w:tc>
        <w:tc>
          <w:tcPr>
            <w:tcW w:w="385" w:type="pct"/>
            <w:shd w:val="clear" w:color="auto" w:fill="auto"/>
            <w:noWrap/>
            <w:vAlign w:val="center"/>
            <w:hideMark/>
          </w:tcPr>
          <w:p w14:paraId="4B38FFFF"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496</w:t>
            </w:r>
          </w:p>
        </w:tc>
        <w:tc>
          <w:tcPr>
            <w:tcW w:w="704" w:type="pct"/>
            <w:shd w:val="clear" w:color="auto" w:fill="auto"/>
            <w:noWrap/>
            <w:vAlign w:val="center"/>
            <w:hideMark/>
          </w:tcPr>
          <w:p w14:paraId="64C1B4AC"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161296658</w:t>
            </w:r>
          </w:p>
        </w:tc>
        <w:tc>
          <w:tcPr>
            <w:tcW w:w="518" w:type="pct"/>
            <w:shd w:val="clear" w:color="auto" w:fill="auto"/>
            <w:noWrap/>
            <w:vAlign w:val="center"/>
            <w:hideMark/>
          </w:tcPr>
          <w:p w14:paraId="763D1EEC"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23,61</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21D827EA"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32,89</w:t>
            </w:r>
            <w:r>
              <w:rPr>
                <w:rFonts w:ascii="Arial" w:eastAsia="Times New Roman" w:hAnsi="Arial" w:cs="Arial"/>
                <w:color w:val="000000"/>
                <w:sz w:val="18"/>
                <w:szCs w:val="18"/>
                <w:lang w:eastAsia="sl-SI"/>
              </w:rPr>
              <w:t xml:space="preserve"> %</w:t>
            </w:r>
          </w:p>
        </w:tc>
      </w:tr>
      <w:tr w:rsidR="00E3750C" w:rsidRPr="000F4B73" w14:paraId="1227F2E6" w14:textId="77777777" w:rsidTr="00047864">
        <w:trPr>
          <w:trHeight w:val="288"/>
        </w:trPr>
        <w:tc>
          <w:tcPr>
            <w:tcW w:w="1396" w:type="pct"/>
            <w:vMerge/>
            <w:vAlign w:val="center"/>
            <w:hideMark/>
          </w:tcPr>
          <w:p w14:paraId="57FE4113"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50134D58"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Velikost RS se ne izračunava</w:t>
            </w:r>
          </w:p>
        </w:tc>
        <w:tc>
          <w:tcPr>
            <w:tcW w:w="385" w:type="pct"/>
            <w:shd w:val="clear" w:color="auto" w:fill="auto"/>
            <w:noWrap/>
            <w:vAlign w:val="center"/>
            <w:hideMark/>
          </w:tcPr>
          <w:p w14:paraId="0F8B01D6"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64</w:t>
            </w:r>
          </w:p>
        </w:tc>
        <w:tc>
          <w:tcPr>
            <w:tcW w:w="704" w:type="pct"/>
            <w:shd w:val="clear" w:color="auto" w:fill="auto"/>
            <w:noWrap/>
            <w:vAlign w:val="center"/>
            <w:hideMark/>
          </w:tcPr>
          <w:p w14:paraId="62D2328D"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10641319</w:t>
            </w:r>
          </w:p>
        </w:tc>
        <w:tc>
          <w:tcPr>
            <w:tcW w:w="518" w:type="pct"/>
            <w:shd w:val="clear" w:color="auto" w:fill="auto"/>
            <w:noWrap/>
            <w:vAlign w:val="center"/>
            <w:hideMark/>
          </w:tcPr>
          <w:p w14:paraId="34EA33D3"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3,05</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17D2EF03"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2,17</w:t>
            </w:r>
            <w:r>
              <w:rPr>
                <w:rFonts w:ascii="Arial" w:eastAsia="Times New Roman" w:hAnsi="Arial" w:cs="Arial"/>
                <w:color w:val="000000"/>
                <w:sz w:val="18"/>
                <w:szCs w:val="18"/>
                <w:lang w:eastAsia="sl-SI"/>
              </w:rPr>
              <w:t xml:space="preserve"> %</w:t>
            </w:r>
          </w:p>
        </w:tc>
      </w:tr>
      <w:tr w:rsidR="00E3750C" w:rsidRPr="000F4B73" w14:paraId="16484726" w14:textId="77777777" w:rsidTr="00047864">
        <w:trPr>
          <w:trHeight w:val="288"/>
        </w:trPr>
        <w:tc>
          <w:tcPr>
            <w:tcW w:w="1396" w:type="pct"/>
            <w:vMerge/>
            <w:vAlign w:val="center"/>
            <w:hideMark/>
          </w:tcPr>
          <w:p w14:paraId="219E2CDC"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4C2BBC74"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Ni podatka o velikosti</w:t>
            </w:r>
          </w:p>
        </w:tc>
        <w:tc>
          <w:tcPr>
            <w:tcW w:w="385" w:type="pct"/>
            <w:shd w:val="clear" w:color="auto" w:fill="auto"/>
            <w:noWrap/>
            <w:vAlign w:val="center"/>
            <w:hideMark/>
          </w:tcPr>
          <w:p w14:paraId="44E98163"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10</w:t>
            </w:r>
          </w:p>
        </w:tc>
        <w:tc>
          <w:tcPr>
            <w:tcW w:w="704" w:type="pct"/>
            <w:shd w:val="clear" w:color="auto" w:fill="auto"/>
            <w:noWrap/>
            <w:vAlign w:val="center"/>
            <w:hideMark/>
          </w:tcPr>
          <w:p w14:paraId="4D15853C"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393836</w:t>
            </w:r>
          </w:p>
        </w:tc>
        <w:tc>
          <w:tcPr>
            <w:tcW w:w="518" w:type="pct"/>
            <w:shd w:val="clear" w:color="auto" w:fill="auto"/>
            <w:noWrap/>
            <w:vAlign w:val="center"/>
            <w:hideMark/>
          </w:tcPr>
          <w:p w14:paraId="4DA53992"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0,48</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569E69A8"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0,08</w:t>
            </w:r>
            <w:r>
              <w:rPr>
                <w:rFonts w:ascii="Arial" w:eastAsia="Times New Roman" w:hAnsi="Arial" w:cs="Arial"/>
                <w:color w:val="000000"/>
                <w:sz w:val="18"/>
                <w:szCs w:val="18"/>
                <w:lang w:eastAsia="sl-SI"/>
              </w:rPr>
              <w:t xml:space="preserve"> %</w:t>
            </w:r>
          </w:p>
        </w:tc>
      </w:tr>
      <w:tr w:rsidR="00E3750C" w:rsidRPr="000F4B73" w14:paraId="4C63092C" w14:textId="77777777" w:rsidTr="00047864">
        <w:trPr>
          <w:trHeight w:val="288"/>
        </w:trPr>
        <w:tc>
          <w:tcPr>
            <w:tcW w:w="1396" w:type="pct"/>
            <w:vMerge/>
            <w:vAlign w:val="center"/>
            <w:hideMark/>
          </w:tcPr>
          <w:p w14:paraId="6DDE2C9B"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7F623229" w14:textId="77777777" w:rsidR="00E3750C" w:rsidRPr="000F4B73" w:rsidRDefault="00E3750C" w:rsidP="00047864">
            <w:pPr>
              <w:spacing w:after="0" w:line="240" w:lineRule="auto"/>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Skupaj</w:t>
            </w:r>
          </w:p>
        </w:tc>
        <w:tc>
          <w:tcPr>
            <w:tcW w:w="385" w:type="pct"/>
            <w:shd w:val="clear" w:color="auto" w:fill="auto"/>
            <w:noWrap/>
            <w:vAlign w:val="center"/>
            <w:hideMark/>
          </w:tcPr>
          <w:p w14:paraId="752B58D6" w14:textId="77777777" w:rsidR="00E3750C" w:rsidRPr="000F4B73" w:rsidRDefault="00E3750C" w:rsidP="00047864">
            <w:pPr>
              <w:spacing w:after="0" w:line="240" w:lineRule="auto"/>
              <w:jc w:val="right"/>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2.101</w:t>
            </w:r>
          </w:p>
        </w:tc>
        <w:tc>
          <w:tcPr>
            <w:tcW w:w="704" w:type="pct"/>
            <w:shd w:val="clear" w:color="auto" w:fill="auto"/>
            <w:noWrap/>
            <w:vAlign w:val="center"/>
            <w:hideMark/>
          </w:tcPr>
          <w:p w14:paraId="1AFBF305" w14:textId="77777777" w:rsidR="00E3750C" w:rsidRPr="000F4B73" w:rsidRDefault="00E3750C" w:rsidP="00047864">
            <w:pPr>
              <w:spacing w:after="0" w:line="240" w:lineRule="auto"/>
              <w:jc w:val="right"/>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490.356.275</w:t>
            </w:r>
          </w:p>
        </w:tc>
        <w:tc>
          <w:tcPr>
            <w:tcW w:w="518" w:type="pct"/>
            <w:shd w:val="clear" w:color="auto" w:fill="auto"/>
            <w:noWrap/>
            <w:vAlign w:val="center"/>
            <w:hideMark/>
          </w:tcPr>
          <w:p w14:paraId="4EA6C23C" w14:textId="77777777" w:rsidR="00E3750C" w:rsidRPr="000F4B73" w:rsidRDefault="00E3750C" w:rsidP="00047864">
            <w:pPr>
              <w:spacing w:after="0" w:line="240" w:lineRule="auto"/>
              <w:jc w:val="right"/>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644" w:type="pct"/>
            <w:shd w:val="clear" w:color="auto" w:fill="auto"/>
            <w:noWrap/>
            <w:vAlign w:val="center"/>
            <w:hideMark/>
          </w:tcPr>
          <w:p w14:paraId="6E765335" w14:textId="77777777" w:rsidR="00E3750C" w:rsidRPr="000F4B73" w:rsidRDefault="00E3750C" w:rsidP="00047864">
            <w:pPr>
              <w:spacing w:after="0" w:line="240" w:lineRule="auto"/>
              <w:jc w:val="right"/>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E3750C" w:rsidRPr="000F4B73" w14:paraId="54B43DD8" w14:textId="77777777" w:rsidTr="00047864">
        <w:trPr>
          <w:trHeight w:val="288"/>
        </w:trPr>
        <w:tc>
          <w:tcPr>
            <w:tcW w:w="1396" w:type="pct"/>
            <w:vMerge w:val="restart"/>
            <w:shd w:val="clear" w:color="auto" w:fill="auto"/>
            <w:noWrap/>
            <w:vAlign w:val="center"/>
            <w:hideMark/>
          </w:tcPr>
          <w:p w14:paraId="0E63ACA3"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POMURSKA</w:t>
            </w:r>
          </w:p>
        </w:tc>
        <w:tc>
          <w:tcPr>
            <w:tcW w:w="1353" w:type="pct"/>
            <w:shd w:val="clear" w:color="auto" w:fill="auto"/>
            <w:noWrap/>
            <w:vAlign w:val="center"/>
            <w:hideMark/>
          </w:tcPr>
          <w:p w14:paraId="20E29FEA" w14:textId="77777777" w:rsidR="00E3750C" w:rsidRPr="000F4B73" w:rsidRDefault="00E3750C" w:rsidP="00047864">
            <w:pPr>
              <w:spacing w:after="0" w:line="240" w:lineRule="auto"/>
              <w:rPr>
                <w:rFonts w:ascii="Arial" w:eastAsia="Times New Roman" w:hAnsi="Arial" w:cs="Arial"/>
                <w:color w:val="000000"/>
                <w:sz w:val="18"/>
                <w:szCs w:val="18"/>
                <w:lang w:eastAsia="sl-SI"/>
              </w:rPr>
            </w:pPr>
            <w:proofErr w:type="spellStart"/>
            <w:r w:rsidRPr="000F4B73">
              <w:rPr>
                <w:rFonts w:ascii="Arial" w:eastAsia="Times New Roman" w:hAnsi="Arial" w:cs="Arial"/>
                <w:color w:val="000000"/>
                <w:sz w:val="18"/>
                <w:szCs w:val="18"/>
                <w:lang w:eastAsia="sl-SI"/>
              </w:rPr>
              <w:t>Mikro</w:t>
            </w:r>
            <w:proofErr w:type="spellEnd"/>
            <w:r w:rsidRPr="000F4B73">
              <w:rPr>
                <w:rFonts w:ascii="Arial" w:eastAsia="Times New Roman" w:hAnsi="Arial" w:cs="Arial"/>
                <w:color w:val="000000"/>
                <w:sz w:val="18"/>
                <w:szCs w:val="18"/>
                <w:lang w:eastAsia="sl-SI"/>
              </w:rPr>
              <w:t xml:space="preserve"> enote</w:t>
            </w:r>
          </w:p>
        </w:tc>
        <w:tc>
          <w:tcPr>
            <w:tcW w:w="385" w:type="pct"/>
            <w:shd w:val="clear" w:color="auto" w:fill="auto"/>
            <w:noWrap/>
            <w:vAlign w:val="center"/>
            <w:hideMark/>
          </w:tcPr>
          <w:p w14:paraId="311D9E6A"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73</w:t>
            </w:r>
          </w:p>
        </w:tc>
        <w:tc>
          <w:tcPr>
            <w:tcW w:w="704" w:type="pct"/>
            <w:shd w:val="clear" w:color="auto" w:fill="auto"/>
            <w:noWrap/>
            <w:vAlign w:val="center"/>
            <w:hideMark/>
          </w:tcPr>
          <w:p w14:paraId="58530A25"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5924645</w:t>
            </w:r>
          </w:p>
        </w:tc>
        <w:tc>
          <w:tcPr>
            <w:tcW w:w="518" w:type="pct"/>
            <w:shd w:val="clear" w:color="auto" w:fill="auto"/>
            <w:noWrap/>
            <w:vAlign w:val="center"/>
            <w:hideMark/>
          </w:tcPr>
          <w:p w14:paraId="04B90BC8"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11,34</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4A059F11"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5,75</w:t>
            </w:r>
            <w:r>
              <w:rPr>
                <w:rFonts w:ascii="Arial" w:eastAsia="Times New Roman" w:hAnsi="Arial" w:cs="Arial"/>
                <w:color w:val="000000"/>
                <w:sz w:val="18"/>
                <w:szCs w:val="18"/>
                <w:lang w:eastAsia="sl-SI"/>
              </w:rPr>
              <w:t xml:space="preserve"> %</w:t>
            </w:r>
          </w:p>
        </w:tc>
      </w:tr>
      <w:tr w:rsidR="00E3750C" w:rsidRPr="000F4B73" w14:paraId="0E658F5C" w14:textId="77777777" w:rsidTr="00047864">
        <w:trPr>
          <w:trHeight w:val="288"/>
        </w:trPr>
        <w:tc>
          <w:tcPr>
            <w:tcW w:w="1396" w:type="pct"/>
            <w:vMerge/>
            <w:vAlign w:val="center"/>
            <w:hideMark/>
          </w:tcPr>
          <w:p w14:paraId="21B56C2D"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4803B29E"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Majhne enote</w:t>
            </w:r>
          </w:p>
        </w:tc>
        <w:tc>
          <w:tcPr>
            <w:tcW w:w="385" w:type="pct"/>
            <w:shd w:val="clear" w:color="auto" w:fill="auto"/>
            <w:noWrap/>
            <w:vAlign w:val="center"/>
            <w:hideMark/>
          </w:tcPr>
          <w:p w14:paraId="50E8410C"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217</w:t>
            </w:r>
          </w:p>
        </w:tc>
        <w:tc>
          <w:tcPr>
            <w:tcW w:w="704" w:type="pct"/>
            <w:shd w:val="clear" w:color="auto" w:fill="auto"/>
            <w:noWrap/>
            <w:vAlign w:val="center"/>
            <w:hideMark/>
          </w:tcPr>
          <w:p w14:paraId="7914478B"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28460448</w:t>
            </w:r>
          </w:p>
        </w:tc>
        <w:tc>
          <w:tcPr>
            <w:tcW w:w="518" w:type="pct"/>
            <w:shd w:val="clear" w:color="auto" w:fill="auto"/>
            <w:noWrap/>
            <w:vAlign w:val="center"/>
            <w:hideMark/>
          </w:tcPr>
          <w:p w14:paraId="1A0985B3"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33,70</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7A5AF492"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27,63</w:t>
            </w:r>
            <w:r>
              <w:rPr>
                <w:rFonts w:ascii="Arial" w:eastAsia="Times New Roman" w:hAnsi="Arial" w:cs="Arial"/>
                <w:color w:val="000000"/>
                <w:sz w:val="18"/>
                <w:szCs w:val="18"/>
                <w:lang w:eastAsia="sl-SI"/>
              </w:rPr>
              <w:t xml:space="preserve"> %</w:t>
            </w:r>
          </w:p>
        </w:tc>
      </w:tr>
      <w:tr w:rsidR="00E3750C" w:rsidRPr="000F4B73" w14:paraId="74CFEE6B" w14:textId="77777777" w:rsidTr="00047864">
        <w:trPr>
          <w:trHeight w:val="288"/>
        </w:trPr>
        <w:tc>
          <w:tcPr>
            <w:tcW w:w="1396" w:type="pct"/>
            <w:vMerge/>
            <w:vAlign w:val="center"/>
            <w:hideMark/>
          </w:tcPr>
          <w:p w14:paraId="69397BE2"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5D528788"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Srednje enote</w:t>
            </w:r>
          </w:p>
        </w:tc>
        <w:tc>
          <w:tcPr>
            <w:tcW w:w="385" w:type="pct"/>
            <w:shd w:val="clear" w:color="auto" w:fill="auto"/>
            <w:noWrap/>
            <w:vAlign w:val="center"/>
            <w:hideMark/>
          </w:tcPr>
          <w:p w14:paraId="422664F7"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230</w:t>
            </w:r>
          </w:p>
        </w:tc>
        <w:tc>
          <w:tcPr>
            <w:tcW w:w="704" w:type="pct"/>
            <w:shd w:val="clear" w:color="auto" w:fill="auto"/>
            <w:noWrap/>
            <w:vAlign w:val="center"/>
            <w:hideMark/>
          </w:tcPr>
          <w:p w14:paraId="55FC3B89"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36935349</w:t>
            </w:r>
          </w:p>
        </w:tc>
        <w:tc>
          <w:tcPr>
            <w:tcW w:w="518" w:type="pct"/>
            <w:shd w:val="clear" w:color="auto" w:fill="auto"/>
            <w:noWrap/>
            <w:vAlign w:val="center"/>
            <w:hideMark/>
          </w:tcPr>
          <w:p w14:paraId="4884CE83"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35,71</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29F345F7"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35,86</w:t>
            </w:r>
            <w:r>
              <w:rPr>
                <w:rFonts w:ascii="Arial" w:eastAsia="Times New Roman" w:hAnsi="Arial" w:cs="Arial"/>
                <w:color w:val="000000"/>
                <w:sz w:val="18"/>
                <w:szCs w:val="18"/>
                <w:lang w:eastAsia="sl-SI"/>
              </w:rPr>
              <w:t xml:space="preserve"> %</w:t>
            </w:r>
          </w:p>
        </w:tc>
      </w:tr>
      <w:tr w:rsidR="00E3750C" w:rsidRPr="000F4B73" w14:paraId="2E7E738A" w14:textId="77777777" w:rsidTr="00047864">
        <w:trPr>
          <w:trHeight w:val="288"/>
        </w:trPr>
        <w:tc>
          <w:tcPr>
            <w:tcW w:w="1396" w:type="pct"/>
            <w:vMerge/>
            <w:vAlign w:val="center"/>
            <w:hideMark/>
          </w:tcPr>
          <w:p w14:paraId="67FA68F8"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0C99D3BB"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Velike enote</w:t>
            </w:r>
          </w:p>
        </w:tc>
        <w:tc>
          <w:tcPr>
            <w:tcW w:w="385" w:type="pct"/>
            <w:shd w:val="clear" w:color="auto" w:fill="auto"/>
            <w:noWrap/>
            <w:vAlign w:val="center"/>
            <w:hideMark/>
          </w:tcPr>
          <w:p w14:paraId="045C540D"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110</w:t>
            </w:r>
          </w:p>
        </w:tc>
        <w:tc>
          <w:tcPr>
            <w:tcW w:w="704" w:type="pct"/>
            <w:shd w:val="clear" w:color="auto" w:fill="auto"/>
            <w:noWrap/>
            <w:vAlign w:val="center"/>
            <w:hideMark/>
          </w:tcPr>
          <w:p w14:paraId="65112327"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30734831</w:t>
            </w:r>
          </w:p>
        </w:tc>
        <w:tc>
          <w:tcPr>
            <w:tcW w:w="518" w:type="pct"/>
            <w:shd w:val="clear" w:color="auto" w:fill="auto"/>
            <w:noWrap/>
            <w:vAlign w:val="center"/>
            <w:hideMark/>
          </w:tcPr>
          <w:p w14:paraId="5D7E845B"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17,08</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59A87431"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29,84</w:t>
            </w:r>
            <w:r>
              <w:rPr>
                <w:rFonts w:ascii="Arial" w:eastAsia="Times New Roman" w:hAnsi="Arial" w:cs="Arial"/>
                <w:color w:val="000000"/>
                <w:sz w:val="18"/>
                <w:szCs w:val="18"/>
                <w:lang w:eastAsia="sl-SI"/>
              </w:rPr>
              <w:t xml:space="preserve"> %</w:t>
            </w:r>
          </w:p>
        </w:tc>
      </w:tr>
      <w:tr w:rsidR="00E3750C" w:rsidRPr="000F4B73" w14:paraId="3A29542E" w14:textId="77777777" w:rsidTr="00047864">
        <w:trPr>
          <w:trHeight w:val="288"/>
        </w:trPr>
        <w:tc>
          <w:tcPr>
            <w:tcW w:w="1396" w:type="pct"/>
            <w:vMerge/>
            <w:vAlign w:val="center"/>
            <w:hideMark/>
          </w:tcPr>
          <w:p w14:paraId="442332A6"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155AE904"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Velikost RS se ne izračunava</w:t>
            </w:r>
          </w:p>
        </w:tc>
        <w:tc>
          <w:tcPr>
            <w:tcW w:w="385" w:type="pct"/>
            <w:shd w:val="clear" w:color="auto" w:fill="auto"/>
            <w:noWrap/>
            <w:vAlign w:val="center"/>
            <w:hideMark/>
          </w:tcPr>
          <w:p w14:paraId="5BAA08B5"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10</w:t>
            </w:r>
          </w:p>
        </w:tc>
        <w:tc>
          <w:tcPr>
            <w:tcW w:w="704" w:type="pct"/>
            <w:shd w:val="clear" w:color="auto" w:fill="auto"/>
            <w:noWrap/>
            <w:vAlign w:val="center"/>
            <w:hideMark/>
          </w:tcPr>
          <w:p w14:paraId="251CE1D2"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488642</w:t>
            </w:r>
          </w:p>
        </w:tc>
        <w:tc>
          <w:tcPr>
            <w:tcW w:w="518" w:type="pct"/>
            <w:shd w:val="clear" w:color="auto" w:fill="auto"/>
            <w:noWrap/>
            <w:vAlign w:val="center"/>
            <w:hideMark/>
          </w:tcPr>
          <w:p w14:paraId="600FF580"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1,55</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5F4A22E3"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0,47</w:t>
            </w:r>
            <w:r>
              <w:rPr>
                <w:rFonts w:ascii="Arial" w:eastAsia="Times New Roman" w:hAnsi="Arial" w:cs="Arial"/>
                <w:color w:val="000000"/>
                <w:sz w:val="18"/>
                <w:szCs w:val="18"/>
                <w:lang w:eastAsia="sl-SI"/>
              </w:rPr>
              <w:t xml:space="preserve"> %</w:t>
            </w:r>
          </w:p>
        </w:tc>
      </w:tr>
      <w:tr w:rsidR="00E3750C" w:rsidRPr="000F4B73" w14:paraId="0F792534" w14:textId="77777777" w:rsidTr="00047864">
        <w:trPr>
          <w:trHeight w:val="288"/>
        </w:trPr>
        <w:tc>
          <w:tcPr>
            <w:tcW w:w="1396" w:type="pct"/>
            <w:vMerge/>
            <w:vAlign w:val="center"/>
            <w:hideMark/>
          </w:tcPr>
          <w:p w14:paraId="5E8F29E6"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35473772"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Ni podatka o velikosti</w:t>
            </w:r>
          </w:p>
        </w:tc>
        <w:tc>
          <w:tcPr>
            <w:tcW w:w="385" w:type="pct"/>
            <w:shd w:val="clear" w:color="auto" w:fill="auto"/>
            <w:noWrap/>
            <w:vAlign w:val="center"/>
            <w:hideMark/>
          </w:tcPr>
          <w:p w14:paraId="0826D08E"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4</w:t>
            </w:r>
          </w:p>
        </w:tc>
        <w:tc>
          <w:tcPr>
            <w:tcW w:w="704" w:type="pct"/>
            <w:shd w:val="clear" w:color="auto" w:fill="auto"/>
            <w:noWrap/>
            <w:vAlign w:val="center"/>
            <w:hideMark/>
          </w:tcPr>
          <w:p w14:paraId="541B9DA5"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456973</w:t>
            </w:r>
          </w:p>
        </w:tc>
        <w:tc>
          <w:tcPr>
            <w:tcW w:w="518" w:type="pct"/>
            <w:shd w:val="clear" w:color="auto" w:fill="auto"/>
            <w:noWrap/>
            <w:vAlign w:val="center"/>
            <w:hideMark/>
          </w:tcPr>
          <w:p w14:paraId="427B9669"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0,62</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1A462153"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0,44</w:t>
            </w:r>
            <w:r>
              <w:rPr>
                <w:rFonts w:ascii="Arial" w:eastAsia="Times New Roman" w:hAnsi="Arial" w:cs="Arial"/>
                <w:color w:val="000000"/>
                <w:sz w:val="18"/>
                <w:szCs w:val="18"/>
                <w:lang w:eastAsia="sl-SI"/>
              </w:rPr>
              <w:t xml:space="preserve"> %</w:t>
            </w:r>
          </w:p>
        </w:tc>
      </w:tr>
      <w:tr w:rsidR="00E3750C" w:rsidRPr="000F4B73" w14:paraId="7C2DBE12" w14:textId="77777777" w:rsidTr="00047864">
        <w:trPr>
          <w:trHeight w:val="288"/>
        </w:trPr>
        <w:tc>
          <w:tcPr>
            <w:tcW w:w="1396" w:type="pct"/>
            <w:vMerge/>
            <w:vAlign w:val="center"/>
            <w:hideMark/>
          </w:tcPr>
          <w:p w14:paraId="3594EA46"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2CEC439E" w14:textId="77777777" w:rsidR="00E3750C" w:rsidRPr="000F4B73" w:rsidRDefault="00E3750C" w:rsidP="00047864">
            <w:pPr>
              <w:spacing w:after="0" w:line="240" w:lineRule="auto"/>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Skupaj</w:t>
            </w:r>
          </w:p>
        </w:tc>
        <w:tc>
          <w:tcPr>
            <w:tcW w:w="385" w:type="pct"/>
            <w:shd w:val="clear" w:color="auto" w:fill="auto"/>
            <w:noWrap/>
            <w:vAlign w:val="center"/>
            <w:hideMark/>
          </w:tcPr>
          <w:p w14:paraId="7EEAC31C" w14:textId="77777777" w:rsidR="00E3750C" w:rsidRPr="000F4B73" w:rsidRDefault="00E3750C" w:rsidP="00047864">
            <w:pPr>
              <w:spacing w:after="0" w:line="240" w:lineRule="auto"/>
              <w:jc w:val="right"/>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644</w:t>
            </w:r>
          </w:p>
        </w:tc>
        <w:tc>
          <w:tcPr>
            <w:tcW w:w="704" w:type="pct"/>
            <w:shd w:val="clear" w:color="auto" w:fill="auto"/>
            <w:noWrap/>
            <w:vAlign w:val="center"/>
            <w:hideMark/>
          </w:tcPr>
          <w:p w14:paraId="0F4C0AA7" w14:textId="77777777" w:rsidR="00E3750C" w:rsidRPr="000F4B73" w:rsidRDefault="00E3750C" w:rsidP="00047864">
            <w:pPr>
              <w:spacing w:after="0" w:line="240" w:lineRule="auto"/>
              <w:jc w:val="right"/>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103.000.888</w:t>
            </w:r>
          </w:p>
        </w:tc>
        <w:tc>
          <w:tcPr>
            <w:tcW w:w="518" w:type="pct"/>
            <w:shd w:val="clear" w:color="auto" w:fill="auto"/>
            <w:noWrap/>
            <w:vAlign w:val="center"/>
            <w:hideMark/>
          </w:tcPr>
          <w:p w14:paraId="73415758" w14:textId="77777777" w:rsidR="00E3750C" w:rsidRPr="000F4B73" w:rsidRDefault="00E3750C" w:rsidP="00047864">
            <w:pPr>
              <w:spacing w:after="0" w:line="240" w:lineRule="auto"/>
              <w:jc w:val="right"/>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644" w:type="pct"/>
            <w:shd w:val="clear" w:color="auto" w:fill="auto"/>
            <w:noWrap/>
            <w:vAlign w:val="center"/>
            <w:hideMark/>
          </w:tcPr>
          <w:p w14:paraId="2CC0D164" w14:textId="77777777" w:rsidR="00E3750C" w:rsidRPr="000F4B73" w:rsidRDefault="00E3750C" w:rsidP="00047864">
            <w:pPr>
              <w:spacing w:after="0" w:line="240" w:lineRule="auto"/>
              <w:jc w:val="right"/>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E3750C" w:rsidRPr="000F4B73" w14:paraId="36923A3A" w14:textId="77777777" w:rsidTr="00047864">
        <w:trPr>
          <w:trHeight w:val="288"/>
        </w:trPr>
        <w:tc>
          <w:tcPr>
            <w:tcW w:w="1396" w:type="pct"/>
            <w:vMerge w:val="restart"/>
            <w:shd w:val="clear" w:color="auto" w:fill="auto"/>
            <w:noWrap/>
            <w:vAlign w:val="center"/>
            <w:hideMark/>
          </w:tcPr>
          <w:p w14:paraId="01E1A317"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POSAVSKA</w:t>
            </w:r>
          </w:p>
        </w:tc>
        <w:tc>
          <w:tcPr>
            <w:tcW w:w="1353" w:type="pct"/>
            <w:shd w:val="clear" w:color="auto" w:fill="auto"/>
            <w:noWrap/>
            <w:vAlign w:val="center"/>
            <w:hideMark/>
          </w:tcPr>
          <w:p w14:paraId="483A6838" w14:textId="77777777" w:rsidR="00E3750C" w:rsidRPr="000F4B73" w:rsidRDefault="00E3750C" w:rsidP="00047864">
            <w:pPr>
              <w:spacing w:after="0" w:line="240" w:lineRule="auto"/>
              <w:rPr>
                <w:rFonts w:ascii="Arial" w:eastAsia="Times New Roman" w:hAnsi="Arial" w:cs="Arial"/>
                <w:color w:val="000000"/>
                <w:sz w:val="18"/>
                <w:szCs w:val="18"/>
                <w:lang w:eastAsia="sl-SI"/>
              </w:rPr>
            </w:pPr>
            <w:proofErr w:type="spellStart"/>
            <w:r w:rsidRPr="000F4B73">
              <w:rPr>
                <w:rFonts w:ascii="Arial" w:eastAsia="Times New Roman" w:hAnsi="Arial" w:cs="Arial"/>
                <w:color w:val="000000"/>
                <w:sz w:val="18"/>
                <w:szCs w:val="18"/>
                <w:lang w:eastAsia="sl-SI"/>
              </w:rPr>
              <w:t>Mikro</w:t>
            </w:r>
            <w:proofErr w:type="spellEnd"/>
            <w:r w:rsidRPr="000F4B73">
              <w:rPr>
                <w:rFonts w:ascii="Arial" w:eastAsia="Times New Roman" w:hAnsi="Arial" w:cs="Arial"/>
                <w:color w:val="000000"/>
                <w:sz w:val="18"/>
                <w:szCs w:val="18"/>
                <w:lang w:eastAsia="sl-SI"/>
              </w:rPr>
              <w:t xml:space="preserve"> enote</w:t>
            </w:r>
          </w:p>
        </w:tc>
        <w:tc>
          <w:tcPr>
            <w:tcW w:w="385" w:type="pct"/>
            <w:shd w:val="clear" w:color="auto" w:fill="auto"/>
            <w:noWrap/>
            <w:vAlign w:val="center"/>
            <w:hideMark/>
          </w:tcPr>
          <w:p w14:paraId="03BD1566"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76</w:t>
            </w:r>
          </w:p>
        </w:tc>
        <w:tc>
          <w:tcPr>
            <w:tcW w:w="704" w:type="pct"/>
            <w:shd w:val="clear" w:color="auto" w:fill="auto"/>
            <w:noWrap/>
            <w:vAlign w:val="center"/>
            <w:hideMark/>
          </w:tcPr>
          <w:p w14:paraId="07EAA780"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7296996</w:t>
            </w:r>
          </w:p>
        </w:tc>
        <w:tc>
          <w:tcPr>
            <w:tcW w:w="518" w:type="pct"/>
            <w:shd w:val="clear" w:color="auto" w:fill="auto"/>
            <w:noWrap/>
            <w:vAlign w:val="center"/>
            <w:hideMark/>
          </w:tcPr>
          <w:p w14:paraId="50288AE1"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15,83</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3E64A81D"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8,20</w:t>
            </w:r>
            <w:r>
              <w:rPr>
                <w:rFonts w:ascii="Arial" w:eastAsia="Times New Roman" w:hAnsi="Arial" w:cs="Arial"/>
                <w:color w:val="000000"/>
                <w:sz w:val="18"/>
                <w:szCs w:val="18"/>
                <w:lang w:eastAsia="sl-SI"/>
              </w:rPr>
              <w:t xml:space="preserve"> %</w:t>
            </w:r>
          </w:p>
        </w:tc>
      </w:tr>
      <w:tr w:rsidR="00E3750C" w:rsidRPr="000F4B73" w14:paraId="6DD33D6F" w14:textId="77777777" w:rsidTr="00047864">
        <w:trPr>
          <w:trHeight w:val="288"/>
        </w:trPr>
        <w:tc>
          <w:tcPr>
            <w:tcW w:w="1396" w:type="pct"/>
            <w:vMerge/>
            <w:vAlign w:val="center"/>
            <w:hideMark/>
          </w:tcPr>
          <w:p w14:paraId="22D086CF"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34D06E78"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Majhne enote</w:t>
            </w:r>
          </w:p>
        </w:tc>
        <w:tc>
          <w:tcPr>
            <w:tcW w:w="385" w:type="pct"/>
            <w:shd w:val="clear" w:color="auto" w:fill="auto"/>
            <w:noWrap/>
            <w:vAlign w:val="center"/>
            <w:hideMark/>
          </w:tcPr>
          <w:p w14:paraId="3B2ABF12"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144</w:t>
            </w:r>
          </w:p>
        </w:tc>
        <w:tc>
          <w:tcPr>
            <w:tcW w:w="704" w:type="pct"/>
            <w:shd w:val="clear" w:color="auto" w:fill="auto"/>
            <w:noWrap/>
            <w:vAlign w:val="center"/>
            <w:hideMark/>
          </w:tcPr>
          <w:p w14:paraId="71F0E855"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18752065</w:t>
            </w:r>
          </w:p>
        </w:tc>
        <w:tc>
          <w:tcPr>
            <w:tcW w:w="518" w:type="pct"/>
            <w:shd w:val="clear" w:color="auto" w:fill="auto"/>
            <w:noWrap/>
            <w:vAlign w:val="center"/>
            <w:hideMark/>
          </w:tcPr>
          <w:p w14:paraId="420DFA11"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30,00</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2D3F3B50"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21,06</w:t>
            </w:r>
            <w:r>
              <w:rPr>
                <w:rFonts w:ascii="Arial" w:eastAsia="Times New Roman" w:hAnsi="Arial" w:cs="Arial"/>
                <w:color w:val="000000"/>
                <w:sz w:val="18"/>
                <w:szCs w:val="18"/>
                <w:lang w:eastAsia="sl-SI"/>
              </w:rPr>
              <w:t xml:space="preserve"> %</w:t>
            </w:r>
          </w:p>
        </w:tc>
      </w:tr>
      <w:tr w:rsidR="00E3750C" w:rsidRPr="000F4B73" w14:paraId="27D220F4" w14:textId="77777777" w:rsidTr="00047864">
        <w:trPr>
          <w:trHeight w:val="288"/>
        </w:trPr>
        <w:tc>
          <w:tcPr>
            <w:tcW w:w="1396" w:type="pct"/>
            <w:vMerge/>
            <w:vAlign w:val="center"/>
            <w:hideMark/>
          </w:tcPr>
          <w:p w14:paraId="5BE8AF34"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08963CAE"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Srednje enote</w:t>
            </w:r>
          </w:p>
        </w:tc>
        <w:tc>
          <w:tcPr>
            <w:tcW w:w="385" w:type="pct"/>
            <w:shd w:val="clear" w:color="auto" w:fill="auto"/>
            <w:noWrap/>
            <w:vAlign w:val="center"/>
            <w:hideMark/>
          </w:tcPr>
          <w:p w14:paraId="06A28A13"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112</w:t>
            </w:r>
          </w:p>
        </w:tc>
        <w:tc>
          <w:tcPr>
            <w:tcW w:w="704" w:type="pct"/>
            <w:shd w:val="clear" w:color="auto" w:fill="auto"/>
            <w:noWrap/>
            <w:vAlign w:val="center"/>
            <w:hideMark/>
          </w:tcPr>
          <w:p w14:paraId="2497AA7C"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20518371</w:t>
            </w:r>
          </w:p>
        </w:tc>
        <w:tc>
          <w:tcPr>
            <w:tcW w:w="518" w:type="pct"/>
            <w:shd w:val="clear" w:color="auto" w:fill="auto"/>
            <w:noWrap/>
            <w:vAlign w:val="center"/>
            <w:hideMark/>
          </w:tcPr>
          <w:p w14:paraId="697417A2"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23,33</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25BB91B9"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23,05</w:t>
            </w:r>
            <w:r>
              <w:rPr>
                <w:rFonts w:ascii="Arial" w:eastAsia="Times New Roman" w:hAnsi="Arial" w:cs="Arial"/>
                <w:color w:val="000000"/>
                <w:sz w:val="18"/>
                <w:szCs w:val="18"/>
                <w:lang w:eastAsia="sl-SI"/>
              </w:rPr>
              <w:t xml:space="preserve"> %</w:t>
            </w:r>
          </w:p>
        </w:tc>
      </w:tr>
      <w:tr w:rsidR="00E3750C" w:rsidRPr="000F4B73" w14:paraId="4389CF4D" w14:textId="77777777" w:rsidTr="00047864">
        <w:trPr>
          <w:trHeight w:val="288"/>
        </w:trPr>
        <w:tc>
          <w:tcPr>
            <w:tcW w:w="1396" w:type="pct"/>
            <w:vMerge/>
            <w:vAlign w:val="center"/>
            <w:hideMark/>
          </w:tcPr>
          <w:p w14:paraId="4346F3B4"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140009AC"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Velike enote</w:t>
            </w:r>
          </w:p>
        </w:tc>
        <w:tc>
          <w:tcPr>
            <w:tcW w:w="385" w:type="pct"/>
            <w:shd w:val="clear" w:color="auto" w:fill="auto"/>
            <w:noWrap/>
            <w:vAlign w:val="center"/>
            <w:hideMark/>
          </w:tcPr>
          <w:p w14:paraId="607FD7AF"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120</w:t>
            </w:r>
          </w:p>
        </w:tc>
        <w:tc>
          <w:tcPr>
            <w:tcW w:w="704" w:type="pct"/>
            <w:shd w:val="clear" w:color="auto" w:fill="auto"/>
            <w:noWrap/>
            <w:vAlign w:val="center"/>
            <w:hideMark/>
          </w:tcPr>
          <w:p w14:paraId="23824A5D"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36088381</w:t>
            </w:r>
          </w:p>
        </w:tc>
        <w:tc>
          <w:tcPr>
            <w:tcW w:w="518" w:type="pct"/>
            <w:shd w:val="clear" w:color="auto" w:fill="auto"/>
            <w:noWrap/>
            <w:vAlign w:val="center"/>
            <w:hideMark/>
          </w:tcPr>
          <w:p w14:paraId="586B99F1"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25,00</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32FD8952"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40,54</w:t>
            </w:r>
            <w:r>
              <w:rPr>
                <w:rFonts w:ascii="Arial" w:eastAsia="Times New Roman" w:hAnsi="Arial" w:cs="Arial"/>
                <w:color w:val="000000"/>
                <w:sz w:val="18"/>
                <w:szCs w:val="18"/>
                <w:lang w:eastAsia="sl-SI"/>
              </w:rPr>
              <w:t xml:space="preserve"> %</w:t>
            </w:r>
          </w:p>
        </w:tc>
      </w:tr>
      <w:tr w:rsidR="00E3750C" w:rsidRPr="000F4B73" w14:paraId="71D7A19A" w14:textId="77777777" w:rsidTr="00047864">
        <w:trPr>
          <w:trHeight w:val="288"/>
        </w:trPr>
        <w:tc>
          <w:tcPr>
            <w:tcW w:w="1396" w:type="pct"/>
            <w:vMerge/>
            <w:vAlign w:val="center"/>
            <w:hideMark/>
          </w:tcPr>
          <w:p w14:paraId="18E2A5E0"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4A02413D"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Velikost RS se ne izračunava</w:t>
            </w:r>
          </w:p>
        </w:tc>
        <w:tc>
          <w:tcPr>
            <w:tcW w:w="385" w:type="pct"/>
            <w:shd w:val="clear" w:color="auto" w:fill="auto"/>
            <w:noWrap/>
            <w:vAlign w:val="center"/>
            <w:hideMark/>
          </w:tcPr>
          <w:p w14:paraId="538DAA35"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26</w:t>
            </w:r>
          </w:p>
        </w:tc>
        <w:tc>
          <w:tcPr>
            <w:tcW w:w="704" w:type="pct"/>
            <w:shd w:val="clear" w:color="auto" w:fill="auto"/>
            <w:noWrap/>
            <w:vAlign w:val="center"/>
            <w:hideMark/>
          </w:tcPr>
          <w:p w14:paraId="7CC7A66A"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4978272</w:t>
            </w:r>
          </w:p>
        </w:tc>
        <w:tc>
          <w:tcPr>
            <w:tcW w:w="518" w:type="pct"/>
            <w:shd w:val="clear" w:color="auto" w:fill="auto"/>
            <w:noWrap/>
            <w:vAlign w:val="center"/>
            <w:hideMark/>
          </w:tcPr>
          <w:p w14:paraId="124837AE"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5,42</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778CDBC2"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5,59</w:t>
            </w:r>
            <w:r>
              <w:rPr>
                <w:rFonts w:ascii="Arial" w:eastAsia="Times New Roman" w:hAnsi="Arial" w:cs="Arial"/>
                <w:color w:val="000000"/>
                <w:sz w:val="18"/>
                <w:szCs w:val="18"/>
                <w:lang w:eastAsia="sl-SI"/>
              </w:rPr>
              <w:t xml:space="preserve"> %</w:t>
            </w:r>
          </w:p>
        </w:tc>
      </w:tr>
      <w:tr w:rsidR="00E3750C" w:rsidRPr="000F4B73" w14:paraId="29170CC7" w14:textId="77777777" w:rsidTr="00047864">
        <w:trPr>
          <w:trHeight w:val="288"/>
        </w:trPr>
        <w:tc>
          <w:tcPr>
            <w:tcW w:w="1396" w:type="pct"/>
            <w:vMerge/>
            <w:vAlign w:val="center"/>
            <w:hideMark/>
          </w:tcPr>
          <w:p w14:paraId="785F8229"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03114A6C"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Ni podatka o velikosti</w:t>
            </w:r>
          </w:p>
        </w:tc>
        <w:tc>
          <w:tcPr>
            <w:tcW w:w="385" w:type="pct"/>
            <w:shd w:val="clear" w:color="auto" w:fill="auto"/>
            <w:noWrap/>
            <w:vAlign w:val="center"/>
            <w:hideMark/>
          </w:tcPr>
          <w:p w14:paraId="4960B786"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w:t>
            </w:r>
          </w:p>
        </w:tc>
        <w:tc>
          <w:tcPr>
            <w:tcW w:w="704" w:type="pct"/>
            <w:shd w:val="clear" w:color="auto" w:fill="auto"/>
            <w:noWrap/>
            <w:vAlign w:val="center"/>
            <w:hideMark/>
          </w:tcPr>
          <w:p w14:paraId="1E6D628E"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1389987</w:t>
            </w:r>
          </w:p>
        </w:tc>
        <w:tc>
          <w:tcPr>
            <w:tcW w:w="518" w:type="pct"/>
            <w:shd w:val="clear" w:color="auto" w:fill="auto"/>
            <w:noWrap/>
            <w:vAlign w:val="center"/>
            <w:hideMark/>
          </w:tcPr>
          <w:p w14:paraId="656AA804"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0,42</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47BC97C4"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1,56</w:t>
            </w:r>
            <w:r>
              <w:rPr>
                <w:rFonts w:ascii="Arial" w:eastAsia="Times New Roman" w:hAnsi="Arial" w:cs="Arial"/>
                <w:color w:val="000000"/>
                <w:sz w:val="18"/>
                <w:szCs w:val="18"/>
                <w:lang w:eastAsia="sl-SI"/>
              </w:rPr>
              <w:t xml:space="preserve"> %</w:t>
            </w:r>
          </w:p>
        </w:tc>
      </w:tr>
      <w:tr w:rsidR="00E3750C" w:rsidRPr="000F4B73" w14:paraId="0C209104" w14:textId="77777777" w:rsidTr="00047864">
        <w:trPr>
          <w:trHeight w:val="288"/>
        </w:trPr>
        <w:tc>
          <w:tcPr>
            <w:tcW w:w="1396" w:type="pct"/>
            <w:vMerge/>
            <w:vAlign w:val="center"/>
            <w:hideMark/>
          </w:tcPr>
          <w:p w14:paraId="7451E836"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0546491F" w14:textId="77777777" w:rsidR="00E3750C" w:rsidRPr="000F4B73" w:rsidRDefault="00E3750C" w:rsidP="00047864">
            <w:pPr>
              <w:spacing w:after="0" w:line="240" w:lineRule="auto"/>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Skupaj</w:t>
            </w:r>
          </w:p>
        </w:tc>
        <w:tc>
          <w:tcPr>
            <w:tcW w:w="385" w:type="pct"/>
            <w:shd w:val="clear" w:color="auto" w:fill="auto"/>
            <w:noWrap/>
            <w:vAlign w:val="center"/>
            <w:hideMark/>
          </w:tcPr>
          <w:p w14:paraId="746FD425" w14:textId="77777777" w:rsidR="00E3750C" w:rsidRPr="000F4B73" w:rsidRDefault="00E3750C" w:rsidP="00047864">
            <w:pPr>
              <w:spacing w:after="0" w:line="240" w:lineRule="auto"/>
              <w:jc w:val="right"/>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480</w:t>
            </w:r>
          </w:p>
        </w:tc>
        <w:tc>
          <w:tcPr>
            <w:tcW w:w="704" w:type="pct"/>
            <w:shd w:val="clear" w:color="auto" w:fill="auto"/>
            <w:noWrap/>
            <w:vAlign w:val="center"/>
            <w:hideMark/>
          </w:tcPr>
          <w:p w14:paraId="012A7DE4" w14:textId="77777777" w:rsidR="00E3750C" w:rsidRPr="000F4B73" w:rsidRDefault="00E3750C" w:rsidP="00047864">
            <w:pPr>
              <w:spacing w:after="0" w:line="240" w:lineRule="auto"/>
              <w:jc w:val="right"/>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89.024.072</w:t>
            </w:r>
          </w:p>
        </w:tc>
        <w:tc>
          <w:tcPr>
            <w:tcW w:w="518" w:type="pct"/>
            <w:shd w:val="clear" w:color="auto" w:fill="auto"/>
            <w:noWrap/>
            <w:vAlign w:val="center"/>
            <w:hideMark/>
          </w:tcPr>
          <w:p w14:paraId="562C3D6A" w14:textId="77777777" w:rsidR="00E3750C" w:rsidRPr="000F4B73" w:rsidRDefault="00E3750C" w:rsidP="00047864">
            <w:pPr>
              <w:spacing w:after="0" w:line="240" w:lineRule="auto"/>
              <w:jc w:val="right"/>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644" w:type="pct"/>
            <w:shd w:val="clear" w:color="auto" w:fill="auto"/>
            <w:noWrap/>
            <w:vAlign w:val="center"/>
            <w:hideMark/>
          </w:tcPr>
          <w:p w14:paraId="7A3CDE14" w14:textId="77777777" w:rsidR="00E3750C" w:rsidRPr="000F4B73" w:rsidRDefault="00E3750C" w:rsidP="00047864">
            <w:pPr>
              <w:spacing w:after="0" w:line="240" w:lineRule="auto"/>
              <w:jc w:val="right"/>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E3750C" w:rsidRPr="000F4B73" w14:paraId="4A1FE08D" w14:textId="77777777" w:rsidTr="00047864">
        <w:trPr>
          <w:trHeight w:val="288"/>
        </w:trPr>
        <w:tc>
          <w:tcPr>
            <w:tcW w:w="1396" w:type="pct"/>
            <w:vMerge w:val="restart"/>
            <w:shd w:val="clear" w:color="auto" w:fill="auto"/>
            <w:noWrap/>
            <w:vAlign w:val="center"/>
            <w:hideMark/>
          </w:tcPr>
          <w:p w14:paraId="586801B8"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PRIMORSKO-NOTRANJSKA</w:t>
            </w:r>
          </w:p>
        </w:tc>
        <w:tc>
          <w:tcPr>
            <w:tcW w:w="1353" w:type="pct"/>
            <w:shd w:val="clear" w:color="auto" w:fill="auto"/>
            <w:noWrap/>
            <w:vAlign w:val="center"/>
            <w:hideMark/>
          </w:tcPr>
          <w:p w14:paraId="2916E3AF" w14:textId="77777777" w:rsidR="00E3750C" w:rsidRPr="000F4B73" w:rsidRDefault="00E3750C" w:rsidP="00047864">
            <w:pPr>
              <w:spacing w:after="0" w:line="240" w:lineRule="auto"/>
              <w:rPr>
                <w:rFonts w:ascii="Arial" w:eastAsia="Times New Roman" w:hAnsi="Arial" w:cs="Arial"/>
                <w:color w:val="000000"/>
                <w:sz w:val="18"/>
                <w:szCs w:val="18"/>
                <w:lang w:eastAsia="sl-SI"/>
              </w:rPr>
            </w:pPr>
            <w:proofErr w:type="spellStart"/>
            <w:r w:rsidRPr="000F4B73">
              <w:rPr>
                <w:rFonts w:ascii="Arial" w:eastAsia="Times New Roman" w:hAnsi="Arial" w:cs="Arial"/>
                <w:color w:val="000000"/>
                <w:sz w:val="18"/>
                <w:szCs w:val="18"/>
                <w:lang w:eastAsia="sl-SI"/>
              </w:rPr>
              <w:t>Mikro</w:t>
            </w:r>
            <w:proofErr w:type="spellEnd"/>
            <w:r w:rsidRPr="000F4B73">
              <w:rPr>
                <w:rFonts w:ascii="Arial" w:eastAsia="Times New Roman" w:hAnsi="Arial" w:cs="Arial"/>
                <w:color w:val="000000"/>
                <w:sz w:val="18"/>
                <w:szCs w:val="18"/>
                <w:lang w:eastAsia="sl-SI"/>
              </w:rPr>
              <w:t xml:space="preserve"> enote</w:t>
            </w:r>
          </w:p>
        </w:tc>
        <w:tc>
          <w:tcPr>
            <w:tcW w:w="385" w:type="pct"/>
            <w:shd w:val="clear" w:color="auto" w:fill="auto"/>
            <w:noWrap/>
            <w:vAlign w:val="center"/>
            <w:hideMark/>
          </w:tcPr>
          <w:p w14:paraId="6E29835E"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30</w:t>
            </w:r>
          </w:p>
        </w:tc>
        <w:tc>
          <w:tcPr>
            <w:tcW w:w="704" w:type="pct"/>
            <w:shd w:val="clear" w:color="auto" w:fill="auto"/>
            <w:noWrap/>
            <w:vAlign w:val="center"/>
            <w:hideMark/>
          </w:tcPr>
          <w:p w14:paraId="49A1A256"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1696637</w:t>
            </w:r>
          </w:p>
        </w:tc>
        <w:tc>
          <w:tcPr>
            <w:tcW w:w="518" w:type="pct"/>
            <w:shd w:val="clear" w:color="auto" w:fill="auto"/>
            <w:noWrap/>
            <w:vAlign w:val="center"/>
            <w:hideMark/>
          </w:tcPr>
          <w:p w14:paraId="58DD9A60"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9,87</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48784C9C"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3,66</w:t>
            </w:r>
            <w:r>
              <w:rPr>
                <w:rFonts w:ascii="Arial" w:eastAsia="Times New Roman" w:hAnsi="Arial" w:cs="Arial"/>
                <w:color w:val="000000"/>
                <w:sz w:val="18"/>
                <w:szCs w:val="18"/>
                <w:lang w:eastAsia="sl-SI"/>
              </w:rPr>
              <w:t xml:space="preserve"> %</w:t>
            </w:r>
          </w:p>
        </w:tc>
      </w:tr>
      <w:tr w:rsidR="00E3750C" w:rsidRPr="000F4B73" w14:paraId="4873B6D9" w14:textId="77777777" w:rsidTr="00047864">
        <w:trPr>
          <w:trHeight w:val="288"/>
        </w:trPr>
        <w:tc>
          <w:tcPr>
            <w:tcW w:w="1396" w:type="pct"/>
            <w:vMerge/>
            <w:vAlign w:val="center"/>
            <w:hideMark/>
          </w:tcPr>
          <w:p w14:paraId="43F65FEF"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5DCB1E14"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Majhne enote</w:t>
            </w:r>
          </w:p>
        </w:tc>
        <w:tc>
          <w:tcPr>
            <w:tcW w:w="385" w:type="pct"/>
            <w:shd w:val="clear" w:color="auto" w:fill="auto"/>
            <w:noWrap/>
            <w:vAlign w:val="center"/>
            <w:hideMark/>
          </w:tcPr>
          <w:p w14:paraId="544DBF54"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76</w:t>
            </w:r>
          </w:p>
        </w:tc>
        <w:tc>
          <w:tcPr>
            <w:tcW w:w="704" w:type="pct"/>
            <w:shd w:val="clear" w:color="auto" w:fill="auto"/>
            <w:noWrap/>
            <w:vAlign w:val="center"/>
            <w:hideMark/>
          </w:tcPr>
          <w:p w14:paraId="45B1E018"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4997917</w:t>
            </w:r>
          </w:p>
        </w:tc>
        <w:tc>
          <w:tcPr>
            <w:tcW w:w="518" w:type="pct"/>
            <w:shd w:val="clear" w:color="auto" w:fill="auto"/>
            <w:noWrap/>
            <w:vAlign w:val="center"/>
            <w:hideMark/>
          </w:tcPr>
          <w:p w14:paraId="53EEC5BF"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25,00</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0A24FFBD"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10,79</w:t>
            </w:r>
            <w:r>
              <w:rPr>
                <w:rFonts w:ascii="Arial" w:eastAsia="Times New Roman" w:hAnsi="Arial" w:cs="Arial"/>
                <w:color w:val="000000"/>
                <w:sz w:val="18"/>
                <w:szCs w:val="18"/>
                <w:lang w:eastAsia="sl-SI"/>
              </w:rPr>
              <w:t xml:space="preserve"> %</w:t>
            </w:r>
          </w:p>
        </w:tc>
      </w:tr>
      <w:tr w:rsidR="00E3750C" w:rsidRPr="000F4B73" w14:paraId="51537734" w14:textId="77777777" w:rsidTr="00047864">
        <w:trPr>
          <w:trHeight w:val="288"/>
        </w:trPr>
        <w:tc>
          <w:tcPr>
            <w:tcW w:w="1396" w:type="pct"/>
            <w:vMerge/>
            <w:vAlign w:val="center"/>
            <w:hideMark/>
          </w:tcPr>
          <w:p w14:paraId="1A3A7DB9"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50F5E258"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Srednje enote</w:t>
            </w:r>
          </w:p>
        </w:tc>
        <w:tc>
          <w:tcPr>
            <w:tcW w:w="385" w:type="pct"/>
            <w:shd w:val="clear" w:color="auto" w:fill="auto"/>
            <w:noWrap/>
            <w:vAlign w:val="center"/>
            <w:hideMark/>
          </w:tcPr>
          <w:p w14:paraId="03F93665"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97</w:t>
            </w:r>
          </w:p>
        </w:tc>
        <w:tc>
          <w:tcPr>
            <w:tcW w:w="704" w:type="pct"/>
            <w:shd w:val="clear" w:color="auto" w:fill="auto"/>
            <w:noWrap/>
            <w:vAlign w:val="center"/>
            <w:hideMark/>
          </w:tcPr>
          <w:p w14:paraId="0AA86DCD"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10051566</w:t>
            </w:r>
          </w:p>
        </w:tc>
        <w:tc>
          <w:tcPr>
            <w:tcW w:w="518" w:type="pct"/>
            <w:shd w:val="clear" w:color="auto" w:fill="auto"/>
            <w:noWrap/>
            <w:vAlign w:val="center"/>
            <w:hideMark/>
          </w:tcPr>
          <w:p w14:paraId="7A891248"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31,91</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778F58ED"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21,71</w:t>
            </w:r>
            <w:r>
              <w:rPr>
                <w:rFonts w:ascii="Arial" w:eastAsia="Times New Roman" w:hAnsi="Arial" w:cs="Arial"/>
                <w:color w:val="000000"/>
                <w:sz w:val="18"/>
                <w:szCs w:val="18"/>
                <w:lang w:eastAsia="sl-SI"/>
              </w:rPr>
              <w:t xml:space="preserve"> %</w:t>
            </w:r>
          </w:p>
        </w:tc>
      </w:tr>
      <w:tr w:rsidR="00E3750C" w:rsidRPr="000F4B73" w14:paraId="4F8FF41B" w14:textId="77777777" w:rsidTr="00047864">
        <w:trPr>
          <w:trHeight w:val="288"/>
        </w:trPr>
        <w:tc>
          <w:tcPr>
            <w:tcW w:w="1396" w:type="pct"/>
            <w:vMerge/>
            <w:vAlign w:val="center"/>
            <w:hideMark/>
          </w:tcPr>
          <w:p w14:paraId="0A10F084"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46E7BDA3"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Velike enote</w:t>
            </w:r>
          </w:p>
        </w:tc>
        <w:tc>
          <w:tcPr>
            <w:tcW w:w="385" w:type="pct"/>
            <w:shd w:val="clear" w:color="auto" w:fill="auto"/>
            <w:noWrap/>
            <w:vAlign w:val="center"/>
            <w:hideMark/>
          </w:tcPr>
          <w:p w14:paraId="4362ED35"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99</w:t>
            </w:r>
          </w:p>
        </w:tc>
        <w:tc>
          <w:tcPr>
            <w:tcW w:w="704" w:type="pct"/>
            <w:shd w:val="clear" w:color="auto" w:fill="auto"/>
            <w:noWrap/>
            <w:vAlign w:val="center"/>
            <w:hideMark/>
          </w:tcPr>
          <w:p w14:paraId="4532DFAC"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29438229</w:t>
            </w:r>
          </w:p>
        </w:tc>
        <w:tc>
          <w:tcPr>
            <w:tcW w:w="518" w:type="pct"/>
            <w:shd w:val="clear" w:color="auto" w:fill="auto"/>
            <w:noWrap/>
            <w:vAlign w:val="center"/>
            <w:hideMark/>
          </w:tcPr>
          <w:p w14:paraId="4BBBA605"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32,57</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78DCF42A"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63,58</w:t>
            </w:r>
            <w:r>
              <w:rPr>
                <w:rFonts w:ascii="Arial" w:eastAsia="Times New Roman" w:hAnsi="Arial" w:cs="Arial"/>
                <w:color w:val="000000"/>
                <w:sz w:val="18"/>
                <w:szCs w:val="18"/>
                <w:lang w:eastAsia="sl-SI"/>
              </w:rPr>
              <w:t xml:space="preserve"> %</w:t>
            </w:r>
          </w:p>
        </w:tc>
      </w:tr>
      <w:tr w:rsidR="00E3750C" w:rsidRPr="000F4B73" w14:paraId="7211B141" w14:textId="77777777" w:rsidTr="00047864">
        <w:trPr>
          <w:trHeight w:val="288"/>
        </w:trPr>
        <w:tc>
          <w:tcPr>
            <w:tcW w:w="1396" w:type="pct"/>
            <w:vMerge/>
            <w:vAlign w:val="center"/>
            <w:hideMark/>
          </w:tcPr>
          <w:p w14:paraId="60948B98"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3DBC339D" w14:textId="77777777" w:rsidR="00E3750C" w:rsidRPr="002A10B7" w:rsidRDefault="00E3750C" w:rsidP="00047864">
            <w:pPr>
              <w:spacing w:after="0" w:line="240" w:lineRule="auto"/>
              <w:rPr>
                <w:rFonts w:ascii="Arial" w:eastAsia="Times New Roman" w:hAnsi="Arial" w:cs="Arial"/>
                <w:color w:val="000000"/>
                <w:sz w:val="18"/>
                <w:szCs w:val="18"/>
                <w:lang w:eastAsia="sl-SI"/>
              </w:rPr>
            </w:pPr>
            <w:r w:rsidRPr="002A10B7">
              <w:rPr>
                <w:rFonts w:ascii="Arial" w:eastAsia="Times New Roman" w:hAnsi="Arial" w:cs="Arial"/>
                <w:color w:val="000000"/>
                <w:sz w:val="18"/>
                <w:szCs w:val="18"/>
                <w:lang w:eastAsia="sl-SI"/>
              </w:rPr>
              <w:t>Velikost RS se ne izračunava</w:t>
            </w:r>
          </w:p>
        </w:tc>
        <w:tc>
          <w:tcPr>
            <w:tcW w:w="385" w:type="pct"/>
            <w:shd w:val="clear" w:color="auto" w:fill="auto"/>
            <w:noWrap/>
            <w:vAlign w:val="center"/>
            <w:hideMark/>
          </w:tcPr>
          <w:p w14:paraId="7814EF5D" w14:textId="77777777" w:rsidR="00E3750C" w:rsidRPr="002A10B7" w:rsidRDefault="00E3750C" w:rsidP="00047864">
            <w:pPr>
              <w:spacing w:after="0" w:line="240" w:lineRule="auto"/>
              <w:jc w:val="right"/>
              <w:rPr>
                <w:rFonts w:ascii="Arial" w:eastAsia="Times New Roman" w:hAnsi="Arial" w:cs="Arial"/>
                <w:color w:val="000000"/>
                <w:sz w:val="18"/>
                <w:szCs w:val="18"/>
                <w:lang w:eastAsia="sl-SI"/>
              </w:rPr>
            </w:pPr>
            <w:r w:rsidRPr="002A10B7">
              <w:rPr>
                <w:rFonts w:ascii="Arial" w:eastAsia="Times New Roman" w:hAnsi="Arial" w:cs="Arial"/>
                <w:color w:val="000000"/>
                <w:sz w:val="18"/>
                <w:szCs w:val="18"/>
                <w:lang w:eastAsia="sl-SI"/>
              </w:rPr>
              <w:t>2</w:t>
            </w:r>
          </w:p>
        </w:tc>
        <w:tc>
          <w:tcPr>
            <w:tcW w:w="704" w:type="pct"/>
            <w:shd w:val="clear" w:color="auto" w:fill="auto"/>
            <w:noWrap/>
            <w:vAlign w:val="center"/>
            <w:hideMark/>
          </w:tcPr>
          <w:p w14:paraId="562FC11D" w14:textId="77777777" w:rsidR="00E3750C" w:rsidRPr="002A10B7" w:rsidRDefault="00E3750C" w:rsidP="00047864">
            <w:pPr>
              <w:spacing w:after="0" w:line="240" w:lineRule="auto"/>
              <w:jc w:val="right"/>
              <w:rPr>
                <w:rFonts w:ascii="Arial" w:eastAsia="Times New Roman" w:hAnsi="Arial" w:cs="Arial"/>
                <w:color w:val="000000"/>
                <w:sz w:val="18"/>
                <w:szCs w:val="18"/>
                <w:lang w:eastAsia="sl-SI"/>
              </w:rPr>
            </w:pPr>
            <w:r w:rsidRPr="002A10B7">
              <w:rPr>
                <w:rFonts w:ascii="Arial" w:eastAsia="Times New Roman" w:hAnsi="Arial" w:cs="Arial"/>
                <w:color w:val="000000"/>
                <w:sz w:val="18"/>
                <w:szCs w:val="18"/>
                <w:lang w:eastAsia="sl-SI"/>
              </w:rPr>
              <w:t>114642</w:t>
            </w:r>
          </w:p>
        </w:tc>
        <w:tc>
          <w:tcPr>
            <w:tcW w:w="518" w:type="pct"/>
            <w:shd w:val="clear" w:color="auto" w:fill="auto"/>
            <w:noWrap/>
            <w:vAlign w:val="center"/>
            <w:hideMark/>
          </w:tcPr>
          <w:p w14:paraId="011058F8" w14:textId="77777777" w:rsidR="00E3750C" w:rsidRPr="002A10B7" w:rsidRDefault="00E3750C" w:rsidP="00047864">
            <w:pPr>
              <w:spacing w:after="0" w:line="240" w:lineRule="auto"/>
              <w:jc w:val="right"/>
              <w:rPr>
                <w:rFonts w:ascii="Arial" w:eastAsia="Times New Roman" w:hAnsi="Arial" w:cs="Arial"/>
                <w:color w:val="000000"/>
                <w:sz w:val="18"/>
                <w:szCs w:val="18"/>
                <w:lang w:eastAsia="sl-SI"/>
              </w:rPr>
            </w:pPr>
            <w:r w:rsidRPr="002A10B7">
              <w:rPr>
                <w:rFonts w:ascii="Arial" w:eastAsia="Times New Roman" w:hAnsi="Arial" w:cs="Arial"/>
                <w:color w:val="000000"/>
                <w:sz w:val="18"/>
                <w:szCs w:val="18"/>
                <w:lang w:eastAsia="sl-SI"/>
              </w:rPr>
              <w:t>0,66 %</w:t>
            </w:r>
          </w:p>
        </w:tc>
        <w:tc>
          <w:tcPr>
            <w:tcW w:w="644" w:type="pct"/>
            <w:shd w:val="clear" w:color="auto" w:fill="auto"/>
            <w:noWrap/>
            <w:vAlign w:val="center"/>
            <w:hideMark/>
          </w:tcPr>
          <w:p w14:paraId="6B31D6FE" w14:textId="77777777" w:rsidR="00E3750C" w:rsidRPr="002A10B7" w:rsidRDefault="00E3750C" w:rsidP="00047864">
            <w:pPr>
              <w:spacing w:after="0" w:line="240" w:lineRule="auto"/>
              <w:jc w:val="right"/>
              <w:rPr>
                <w:rFonts w:ascii="Arial" w:eastAsia="Times New Roman" w:hAnsi="Arial" w:cs="Arial"/>
                <w:color w:val="000000"/>
                <w:sz w:val="18"/>
                <w:szCs w:val="18"/>
                <w:lang w:eastAsia="sl-SI"/>
              </w:rPr>
            </w:pPr>
            <w:r w:rsidRPr="002A10B7">
              <w:rPr>
                <w:rFonts w:ascii="Arial" w:eastAsia="Times New Roman" w:hAnsi="Arial" w:cs="Arial"/>
                <w:color w:val="000000"/>
                <w:sz w:val="18"/>
                <w:szCs w:val="18"/>
                <w:lang w:eastAsia="sl-SI"/>
              </w:rPr>
              <w:t>0,25 %</w:t>
            </w:r>
          </w:p>
        </w:tc>
      </w:tr>
      <w:tr w:rsidR="00E3750C" w:rsidRPr="002A10B7" w14:paraId="75CB8EA7" w14:textId="77777777" w:rsidTr="00047864">
        <w:trPr>
          <w:trHeight w:val="288"/>
        </w:trPr>
        <w:tc>
          <w:tcPr>
            <w:tcW w:w="1396" w:type="pct"/>
            <w:vMerge/>
            <w:vAlign w:val="center"/>
            <w:hideMark/>
          </w:tcPr>
          <w:p w14:paraId="2BC9EE0B"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7CBDF755" w14:textId="77777777" w:rsidR="00E3750C" w:rsidRPr="002A10B7" w:rsidRDefault="00E3750C" w:rsidP="00047864">
            <w:pPr>
              <w:spacing w:after="0" w:line="240" w:lineRule="auto"/>
              <w:rPr>
                <w:rFonts w:ascii="Arial" w:eastAsia="Times New Roman" w:hAnsi="Arial" w:cs="Arial"/>
                <w:b/>
                <w:bCs/>
                <w:color w:val="000000"/>
                <w:sz w:val="18"/>
                <w:szCs w:val="18"/>
                <w:lang w:eastAsia="sl-SI"/>
              </w:rPr>
            </w:pPr>
            <w:r w:rsidRPr="002A10B7">
              <w:rPr>
                <w:rFonts w:ascii="Arial" w:eastAsia="Times New Roman" w:hAnsi="Arial" w:cs="Arial"/>
                <w:b/>
                <w:bCs/>
                <w:color w:val="000000"/>
                <w:sz w:val="18"/>
                <w:szCs w:val="18"/>
                <w:lang w:eastAsia="sl-SI"/>
              </w:rPr>
              <w:t>Skupaj</w:t>
            </w:r>
          </w:p>
        </w:tc>
        <w:tc>
          <w:tcPr>
            <w:tcW w:w="385" w:type="pct"/>
            <w:shd w:val="clear" w:color="auto" w:fill="auto"/>
            <w:noWrap/>
            <w:vAlign w:val="center"/>
            <w:hideMark/>
          </w:tcPr>
          <w:p w14:paraId="1EC661D4" w14:textId="77777777" w:rsidR="00E3750C" w:rsidRPr="002A10B7" w:rsidRDefault="00E3750C" w:rsidP="00047864">
            <w:pPr>
              <w:spacing w:after="0" w:line="240" w:lineRule="auto"/>
              <w:jc w:val="right"/>
              <w:rPr>
                <w:rFonts w:ascii="Arial" w:eastAsia="Times New Roman" w:hAnsi="Arial" w:cs="Arial"/>
                <w:b/>
                <w:bCs/>
                <w:color w:val="000000"/>
                <w:sz w:val="18"/>
                <w:szCs w:val="18"/>
                <w:lang w:eastAsia="sl-SI"/>
              </w:rPr>
            </w:pPr>
            <w:r w:rsidRPr="002A10B7">
              <w:rPr>
                <w:rFonts w:ascii="Arial" w:eastAsia="Times New Roman" w:hAnsi="Arial" w:cs="Arial"/>
                <w:b/>
                <w:bCs/>
                <w:color w:val="000000"/>
                <w:sz w:val="18"/>
                <w:szCs w:val="18"/>
                <w:lang w:eastAsia="sl-SI"/>
              </w:rPr>
              <w:t>304</w:t>
            </w:r>
          </w:p>
        </w:tc>
        <w:tc>
          <w:tcPr>
            <w:tcW w:w="704" w:type="pct"/>
            <w:shd w:val="clear" w:color="auto" w:fill="auto"/>
            <w:noWrap/>
            <w:vAlign w:val="center"/>
            <w:hideMark/>
          </w:tcPr>
          <w:p w14:paraId="3BA3D5DC" w14:textId="77777777" w:rsidR="00E3750C" w:rsidRPr="002A10B7" w:rsidRDefault="00E3750C" w:rsidP="00047864">
            <w:pPr>
              <w:spacing w:after="0" w:line="240" w:lineRule="auto"/>
              <w:jc w:val="right"/>
              <w:rPr>
                <w:rFonts w:ascii="Arial" w:eastAsia="Times New Roman" w:hAnsi="Arial" w:cs="Arial"/>
                <w:b/>
                <w:bCs/>
                <w:color w:val="000000"/>
                <w:sz w:val="18"/>
                <w:szCs w:val="18"/>
                <w:lang w:eastAsia="sl-SI"/>
              </w:rPr>
            </w:pPr>
            <w:r w:rsidRPr="002A10B7">
              <w:rPr>
                <w:rFonts w:ascii="Arial" w:eastAsia="Times New Roman" w:hAnsi="Arial" w:cs="Arial"/>
                <w:b/>
                <w:bCs/>
                <w:color w:val="000000"/>
                <w:sz w:val="18"/>
                <w:szCs w:val="18"/>
                <w:lang w:eastAsia="sl-SI"/>
              </w:rPr>
              <w:t>46.298.991</w:t>
            </w:r>
          </w:p>
        </w:tc>
        <w:tc>
          <w:tcPr>
            <w:tcW w:w="518" w:type="pct"/>
            <w:shd w:val="clear" w:color="auto" w:fill="auto"/>
            <w:noWrap/>
            <w:vAlign w:val="center"/>
            <w:hideMark/>
          </w:tcPr>
          <w:p w14:paraId="17503C94" w14:textId="77777777" w:rsidR="00E3750C" w:rsidRPr="002A10B7" w:rsidRDefault="00E3750C" w:rsidP="00047864">
            <w:pPr>
              <w:spacing w:after="0" w:line="240" w:lineRule="auto"/>
              <w:jc w:val="right"/>
              <w:rPr>
                <w:rFonts w:ascii="Arial" w:eastAsia="Times New Roman" w:hAnsi="Arial" w:cs="Arial"/>
                <w:b/>
                <w:bCs/>
                <w:color w:val="000000"/>
                <w:sz w:val="18"/>
                <w:szCs w:val="18"/>
                <w:lang w:eastAsia="sl-SI"/>
              </w:rPr>
            </w:pPr>
            <w:r w:rsidRPr="002A10B7">
              <w:rPr>
                <w:rFonts w:ascii="Arial" w:eastAsia="Times New Roman" w:hAnsi="Arial" w:cs="Arial"/>
                <w:b/>
                <w:bCs/>
                <w:color w:val="000000"/>
                <w:sz w:val="18"/>
                <w:szCs w:val="18"/>
                <w:lang w:eastAsia="sl-SI"/>
              </w:rPr>
              <w:t>100,00 %</w:t>
            </w:r>
          </w:p>
        </w:tc>
        <w:tc>
          <w:tcPr>
            <w:tcW w:w="644" w:type="pct"/>
            <w:shd w:val="clear" w:color="auto" w:fill="auto"/>
            <w:noWrap/>
            <w:vAlign w:val="center"/>
            <w:hideMark/>
          </w:tcPr>
          <w:p w14:paraId="7C30C391" w14:textId="77777777" w:rsidR="00E3750C" w:rsidRPr="002A10B7" w:rsidRDefault="00E3750C" w:rsidP="00047864">
            <w:pPr>
              <w:spacing w:after="0" w:line="240" w:lineRule="auto"/>
              <w:jc w:val="right"/>
              <w:rPr>
                <w:rFonts w:ascii="Arial" w:eastAsia="Times New Roman" w:hAnsi="Arial" w:cs="Arial"/>
                <w:b/>
                <w:bCs/>
                <w:color w:val="000000"/>
                <w:sz w:val="18"/>
                <w:szCs w:val="18"/>
                <w:lang w:eastAsia="sl-SI"/>
              </w:rPr>
            </w:pPr>
            <w:r w:rsidRPr="002A10B7">
              <w:rPr>
                <w:rFonts w:ascii="Arial" w:eastAsia="Times New Roman" w:hAnsi="Arial" w:cs="Arial"/>
                <w:b/>
                <w:bCs/>
                <w:color w:val="000000"/>
                <w:sz w:val="18"/>
                <w:szCs w:val="18"/>
                <w:lang w:eastAsia="sl-SI"/>
              </w:rPr>
              <w:t>100,00 %</w:t>
            </w:r>
          </w:p>
        </w:tc>
      </w:tr>
      <w:tr w:rsidR="00E3750C" w:rsidRPr="000F4B73" w14:paraId="7BEBCB13" w14:textId="77777777" w:rsidTr="00047864">
        <w:trPr>
          <w:trHeight w:val="288"/>
        </w:trPr>
        <w:tc>
          <w:tcPr>
            <w:tcW w:w="1396" w:type="pct"/>
            <w:vMerge w:val="restart"/>
            <w:shd w:val="clear" w:color="auto" w:fill="auto"/>
            <w:noWrap/>
            <w:vAlign w:val="center"/>
            <w:hideMark/>
          </w:tcPr>
          <w:p w14:paraId="1D2C9BF9"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SAVINJSKA</w:t>
            </w:r>
          </w:p>
        </w:tc>
        <w:tc>
          <w:tcPr>
            <w:tcW w:w="1353" w:type="pct"/>
            <w:shd w:val="clear" w:color="auto" w:fill="auto"/>
            <w:noWrap/>
            <w:vAlign w:val="center"/>
            <w:hideMark/>
          </w:tcPr>
          <w:p w14:paraId="53686A4F" w14:textId="77777777" w:rsidR="00E3750C" w:rsidRPr="000F4B73" w:rsidRDefault="00E3750C" w:rsidP="00047864">
            <w:pPr>
              <w:spacing w:after="0" w:line="240" w:lineRule="auto"/>
              <w:rPr>
                <w:rFonts w:ascii="Arial" w:eastAsia="Times New Roman" w:hAnsi="Arial" w:cs="Arial"/>
                <w:color w:val="000000"/>
                <w:sz w:val="18"/>
                <w:szCs w:val="18"/>
                <w:lang w:eastAsia="sl-SI"/>
              </w:rPr>
            </w:pPr>
            <w:proofErr w:type="spellStart"/>
            <w:r w:rsidRPr="000F4B73">
              <w:rPr>
                <w:rFonts w:ascii="Arial" w:eastAsia="Times New Roman" w:hAnsi="Arial" w:cs="Arial"/>
                <w:color w:val="000000"/>
                <w:sz w:val="18"/>
                <w:szCs w:val="18"/>
                <w:lang w:eastAsia="sl-SI"/>
              </w:rPr>
              <w:t>Mikro</w:t>
            </w:r>
            <w:proofErr w:type="spellEnd"/>
            <w:r w:rsidRPr="000F4B73">
              <w:rPr>
                <w:rFonts w:ascii="Arial" w:eastAsia="Times New Roman" w:hAnsi="Arial" w:cs="Arial"/>
                <w:color w:val="000000"/>
                <w:sz w:val="18"/>
                <w:szCs w:val="18"/>
                <w:lang w:eastAsia="sl-SI"/>
              </w:rPr>
              <w:t xml:space="preserve"> enote</w:t>
            </w:r>
          </w:p>
        </w:tc>
        <w:tc>
          <w:tcPr>
            <w:tcW w:w="385" w:type="pct"/>
            <w:shd w:val="clear" w:color="auto" w:fill="auto"/>
            <w:noWrap/>
            <w:vAlign w:val="center"/>
            <w:hideMark/>
          </w:tcPr>
          <w:p w14:paraId="67C34425"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157</w:t>
            </w:r>
          </w:p>
        </w:tc>
        <w:tc>
          <w:tcPr>
            <w:tcW w:w="704" w:type="pct"/>
            <w:shd w:val="clear" w:color="auto" w:fill="auto"/>
            <w:noWrap/>
            <w:vAlign w:val="center"/>
            <w:hideMark/>
          </w:tcPr>
          <w:p w14:paraId="491A2B6A"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19992298</w:t>
            </w:r>
          </w:p>
        </w:tc>
        <w:tc>
          <w:tcPr>
            <w:tcW w:w="518" w:type="pct"/>
            <w:shd w:val="clear" w:color="auto" w:fill="auto"/>
            <w:noWrap/>
            <w:vAlign w:val="center"/>
            <w:hideMark/>
          </w:tcPr>
          <w:p w14:paraId="0C005189"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7,34</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0344A7F3"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3,37</w:t>
            </w:r>
            <w:r>
              <w:rPr>
                <w:rFonts w:ascii="Arial" w:eastAsia="Times New Roman" w:hAnsi="Arial" w:cs="Arial"/>
                <w:color w:val="000000"/>
                <w:sz w:val="18"/>
                <w:szCs w:val="18"/>
                <w:lang w:eastAsia="sl-SI"/>
              </w:rPr>
              <w:t xml:space="preserve"> %</w:t>
            </w:r>
          </w:p>
        </w:tc>
      </w:tr>
      <w:tr w:rsidR="00E3750C" w:rsidRPr="000F4B73" w14:paraId="7A436134" w14:textId="77777777" w:rsidTr="00047864">
        <w:trPr>
          <w:trHeight w:val="288"/>
        </w:trPr>
        <w:tc>
          <w:tcPr>
            <w:tcW w:w="1396" w:type="pct"/>
            <w:vMerge/>
            <w:vAlign w:val="center"/>
            <w:hideMark/>
          </w:tcPr>
          <w:p w14:paraId="1FDA81C8"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1CB19306"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Majhne enote</w:t>
            </w:r>
          </w:p>
        </w:tc>
        <w:tc>
          <w:tcPr>
            <w:tcW w:w="385" w:type="pct"/>
            <w:shd w:val="clear" w:color="auto" w:fill="auto"/>
            <w:noWrap/>
            <w:vAlign w:val="center"/>
            <w:hideMark/>
          </w:tcPr>
          <w:p w14:paraId="63621DF3"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813</w:t>
            </w:r>
          </w:p>
        </w:tc>
        <w:tc>
          <w:tcPr>
            <w:tcW w:w="704" w:type="pct"/>
            <w:shd w:val="clear" w:color="auto" w:fill="auto"/>
            <w:noWrap/>
            <w:vAlign w:val="center"/>
            <w:hideMark/>
          </w:tcPr>
          <w:p w14:paraId="4623EC23"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167303757</w:t>
            </w:r>
          </w:p>
        </w:tc>
        <w:tc>
          <w:tcPr>
            <w:tcW w:w="518" w:type="pct"/>
            <w:shd w:val="clear" w:color="auto" w:fill="auto"/>
            <w:noWrap/>
            <w:vAlign w:val="center"/>
            <w:hideMark/>
          </w:tcPr>
          <w:p w14:paraId="6B26D407"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38,03</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4BA0FE2A"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28,23</w:t>
            </w:r>
            <w:r>
              <w:rPr>
                <w:rFonts w:ascii="Arial" w:eastAsia="Times New Roman" w:hAnsi="Arial" w:cs="Arial"/>
                <w:color w:val="000000"/>
                <w:sz w:val="18"/>
                <w:szCs w:val="18"/>
                <w:lang w:eastAsia="sl-SI"/>
              </w:rPr>
              <w:t xml:space="preserve"> %</w:t>
            </w:r>
          </w:p>
        </w:tc>
      </w:tr>
      <w:tr w:rsidR="00E3750C" w:rsidRPr="000F4B73" w14:paraId="19BC096C" w14:textId="77777777" w:rsidTr="00047864">
        <w:trPr>
          <w:trHeight w:val="288"/>
        </w:trPr>
        <w:tc>
          <w:tcPr>
            <w:tcW w:w="1396" w:type="pct"/>
            <w:vMerge/>
            <w:vAlign w:val="center"/>
            <w:hideMark/>
          </w:tcPr>
          <w:p w14:paraId="05F500D4"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232D7F16"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Srednje enote</w:t>
            </w:r>
          </w:p>
        </w:tc>
        <w:tc>
          <w:tcPr>
            <w:tcW w:w="385" w:type="pct"/>
            <w:shd w:val="clear" w:color="auto" w:fill="auto"/>
            <w:noWrap/>
            <w:vAlign w:val="center"/>
            <w:hideMark/>
          </w:tcPr>
          <w:p w14:paraId="23714011"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538</w:t>
            </w:r>
          </w:p>
        </w:tc>
        <w:tc>
          <w:tcPr>
            <w:tcW w:w="704" w:type="pct"/>
            <w:shd w:val="clear" w:color="auto" w:fill="auto"/>
            <w:noWrap/>
            <w:vAlign w:val="center"/>
            <w:hideMark/>
          </w:tcPr>
          <w:p w14:paraId="4AB3942E"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154284150</w:t>
            </w:r>
          </w:p>
        </w:tc>
        <w:tc>
          <w:tcPr>
            <w:tcW w:w="518" w:type="pct"/>
            <w:shd w:val="clear" w:color="auto" w:fill="auto"/>
            <w:noWrap/>
            <w:vAlign w:val="center"/>
            <w:hideMark/>
          </w:tcPr>
          <w:p w14:paraId="664897E7"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25,16</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09F8680A"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26,04</w:t>
            </w:r>
            <w:r>
              <w:rPr>
                <w:rFonts w:ascii="Arial" w:eastAsia="Times New Roman" w:hAnsi="Arial" w:cs="Arial"/>
                <w:color w:val="000000"/>
                <w:sz w:val="18"/>
                <w:szCs w:val="18"/>
                <w:lang w:eastAsia="sl-SI"/>
              </w:rPr>
              <w:t xml:space="preserve"> %</w:t>
            </w:r>
          </w:p>
        </w:tc>
      </w:tr>
      <w:tr w:rsidR="00E3750C" w:rsidRPr="000F4B73" w14:paraId="751E291B" w14:textId="77777777" w:rsidTr="00047864">
        <w:trPr>
          <w:trHeight w:val="288"/>
        </w:trPr>
        <w:tc>
          <w:tcPr>
            <w:tcW w:w="1396" w:type="pct"/>
            <w:vMerge/>
            <w:vAlign w:val="center"/>
            <w:hideMark/>
          </w:tcPr>
          <w:p w14:paraId="5DC23A24"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7F3D62F9"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Velike enote</w:t>
            </w:r>
          </w:p>
        </w:tc>
        <w:tc>
          <w:tcPr>
            <w:tcW w:w="385" w:type="pct"/>
            <w:shd w:val="clear" w:color="auto" w:fill="auto"/>
            <w:noWrap/>
            <w:vAlign w:val="center"/>
            <w:hideMark/>
          </w:tcPr>
          <w:p w14:paraId="710AD9DF"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605</w:t>
            </w:r>
          </w:p>
        </w:tc>
        <w:tc>
          <w:tcPr>
            <w:tcW w:w="704" w:type="pct"/>
            <w:shd w:val="clear" w:color="auto" w:fill="auto"/>
            <w:noWrap/>
            <w:vAlign w:val="center"/>
            <w:hideMark/>
          </w:tcPr>
          <w:p w14:paraId="4855441C"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248365298</w:t>
            </w:r>
          </w:p>
        </w:tc>
        <w:tc>
          <w:tcPr>
            <w:tcW w:w="518" w:type="pct"/>
            <w:shd w:val="clear" w:color="auto" w:fill="auto"/>
            <w:noWrap/>
            <w:vAlign w:val="center"/>
            <w:hideMark/>
          </w:tcPr>
          <w:p w14:paraId="0A22C902"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28,30</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7385F53D"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41,91</w:t>
            </w:r>
            <w:r>
              <w:rPr>
                <w:rFonts w:ascii="Arial" w:eastAsia="Times New Roman" w:hAnsi="Arial" w:cs="Arial"/>
                <w:color w:val="000000"/>
                <w:sz w:val="18"/>
                <w:szCs w:val="18"/>
                <w:lang w:eastAsia="sl-SI"/>
              </w:rPr>
              <w:t xml:space="preserve"> %</w:t>
            </w:r>
          </w:p>
        </w:tc>
      </w:tr>
      <w:tr w:rsidR="00E3750C" w:rsidRPr="000F4B73" w14:paraId="42FBBA40" w14:textId="77777777" w:rsidTr="00047864">
        <w:trPr>
          <w:trHeight w:val="288"/>
        </w:trPr>
        <w:tc>
          <w:tcPr>
            <w:tcW w:w="1396" w:type="pct"/>
            <w:vMerge/>
            <w:vAlign w:val="center"/>
            <w:hideMark/>
          </w:tcPr>
          <w:p w14:paraId="211BEC11"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473C1A5F"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Velikost RS se ne izračunava</w:t>
            </w:r>
          </w:p>
        </w:tc>
        <w:tc>
          <w:tcPr>
            <w:tcW w:w="385" w:type="pct"/>
            <w:shd w:val="clear" w:color="auto" w:fill="auto"/>
            <w:noWrap/>
            <w:vAlign w:val="center"/>
            <w:hideMark/>
          </w:tcPr>
          <w:p w14:paraId="67CC9250"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25</w:t>
            </w:r>
          </w:p>
        </w:tc>
        <w:tc>
          <w:tcPr>
            <w:tcW w:w="704" w:type="pct"/>
            <w:shd w:val="clear" w:color="auto" w:fill="auto"/>
            <w:noWrap/>
            <w:vAlign w:val="center"/>
            <w:hideMark/>
          </w:tcPr>
          <w:p w14:paraId="2E16052B"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2612250</w:t>
            </w:r>
          </w:p>
        </w:tc>
        <w:tc>
          <w:tcPr>
            <w:tcW w:w="518" w:type="pct"/>
            <w:shd w:val="clear" w:color="auto" w:fill="auto"/>
            <w:noWrap/>
            <w:vAlign w:val="center"/>
            <w:hideMark/>
          </w:tcPr>
          <w:p w14:paraId="1DD11100"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1,17</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7885E053"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0,44</w:t>
            </w:r>
            <w:r>
              <w:rPr>
                <w:rFonts w:ascii="Arial" w:eastAsia="Times New Roman" w:hAnsi="Arial" w:cs="Arial"/>
                <w:color w:val="000000"/>
                <w:sz w:val="18"/>
                <w:szCs w:val="18"/>
                <w:lang w:eastAsia="sl-SI"/>
              </w:rPr>
              <w:t xml:space="preserve"> %</w:t>
            </w:r>
          </w:p>
        </w:tc>
      </w:tr>
      <w:tr w:rsidR="00E3750C" w:rsidRPr="000F4B73" w14:paraId="52A065C2" w14:textId="77777777" w:rsidTr="00047864">
        <w:trPr>
          <w:trHeight w:val="288"/>
        </w:trPr>
        <w:tc>
          <w:tcPr>
            <w:tcW w:w="1396" w:type="pct"/>
            <w:vMerge/>
            <w:vAlign w:val="center"/>
            <w:hideMark/>
          </w:tcPr>
          <w:p w14:paraId="4E250AE2"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7E1F4D93" w14:textId="77777777" w:rsidR="00E3750C" w:rsidRPr="000F4B73" w:rsidRDefault="00E3750C" w:rsidP="00047864">
            <w:pPr>
              <w:spacing w:after="0" w:line="240" w:lineRule="auto"/>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Skupaj</w:t>
            </w:r>
          </w:p>
        </w:tc>
        <w:tc>
          <w:tcPr>
            <w:tcW w:w="385" w:type="pct"/>
            <w:shd w:val="clear" w:color="auto" w:fill="auto"/>
            <w:noWrap/>
            <w:vAlign w:val="center"/>
            <w:hideMark/>
          </w:tcPr>
          <w:p w14:paraId="11EFF991" w14:textId="77777777" w:rsidR="00E3750C" w:rsidRPr="000F4B73" w:rsidRDefault="00E3750C" w:rsidP="00047864">
            <w:pPr>
              <w:spacing w:after="0" w:line="240" w:lineRule="auto"/>
              <w:jc w:val="right"/>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2.138</w:t>
            </w:r>
          </w:p>
        </w:tc>
        <w:tc>
          <w:tcPr>
            <w:tcW w:w="704" w:type="pct"/>
            <w:shd w:val="clear" w:color="auto" w:fill="auto"/>
            <w:noWrap/>
            <w:vAlign w:val="center"/>
            <w:hideMark/>
          </w:tcPr>
          <w:p w14:paraId="3E45D836" w14:textId="77777777" w:rsidR="00E3750C" w:rsidRPr="000F4B73" w:rsidRDefault="00E3750C" w:rsidP="00047864">
            <w:pPr>
              <w:spacing w:after="0" w:line="240" w:lineRule="auto"/>
              <w:jc w:val="right"/>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592.557.753</w:t>
            </w:r>
          </w:p>
        </w:tc>
        <w:tc>
          <w:tcPr>
            <w:tcW w:w="518" w:type="pct"/>
            <w:shd w:val="clear" w:color="auto" w:fill="auto"/>
            <w:noWrap/>
            <w:vAlign w:val="center"/>
            <w:hideMark/>
          </w:tcPr>
          <w:p w14:paraId="188473B9" w14:textId="77777777" w:rsidR="00E3750C" w:rsidRPr="000F4B73" w:rsidRDefault="00E3750C" w:rsidP="00047864">
            <w:pPr>
              <w:spacing w:after="0" w:line="240" w:lineRule="auto"/>
              <w:jc w:val="right"/>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644" w:type="pct"/>
            <w:shd w:val="clear" w:color="auto" w:fill="auto"/>
            <w:noWrap/>
            <w:vAlign w:val="center"/>
            <w:hideMark/>
          </w:tcPr>
          <w:p w14:paraId="2C584D76" w14:textId="77777777" w:rsidR="00E3750C" w:rsidRPr="000F4B73" w:rsidRDefault="00E3750C" w:rsidP="00047864">
            <w:pPr>
              <w:spacing w:after="0" w:line="240" w:lineRule="auto"/>
              <w:jc w:val="right"/>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E3750C" w:rsidRPr="000F4B73" w14:paraId="7F578BB7" w14:textId="77777777" w:rsidTr="00047864">
        <w:trPr>
          <w:trHeight w:val="288"/>
        </w:trPr>
        <w:tc>
          <w:tcPr>
            <w:tcW w:w="1396" w:type="pct"/>
            <w:vMerge w:val="restart"/>
            <w:shd w:val="clear" w:color="auto" w:fill="auto"/>
            <w:noWrap/>
            <w:vAlign w:val="center"/>
            <w:hideMark/>
          </w:tcPr>
          <w:p w14:paraId="6E6C9EA9"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ZASAVSKA</w:t>
            </w:r>
          </w:p>
        </w:tc>
        <w:tc>
          <w:tcPr>
            <w:tcW w:w="1353" w:type="pct"/>
            <w:shd w:val="clear" w:color="auto" w:fill="auto"/>
            <w:noWrap/>
            <w:vAlign w:val="center"/>
            <w:hideMark/>
          </w:tcPr>
          <w:p w14:paraId="580FBBC5" w14:textId="77777777" w:rsidR="00E3750C" w:rsidRPr="000F4B73" w:rsidRDefault="00E3750C" w:rsidP="00047864">
            <w:pPr>
              <w:spacing w:after="0" w:line="240" w:lineRule="auto"/>
              <w:rPr>
                <w:rFonts w:ascii="Arial" w:eastAsia="Times New Roman" w:hAnsi="Arial" w:cs="Arial"/>
                <w:color w:val="000000"/>
                <w:sz w:val="18"/>
                <w:szCs w:val="18"/>
                <w:lang w:eastAsia="sl-SI"/>
              </w:rPr>
            </w:pPr>
            <w:proofErr w:type="spellStart"/>
            <w:r w:rsidRPr="000F4B73">
              <w:rPr>
                <w:rFonts w:ascii="Arial" w:eastAsia="Times New Roman" w:hAnsi="Arial" w:cs="Arial"/>
                <w:color w:val="000000"/>
                <w:sz w:val="18"/>
                <w:szCs w:val="18"/>
                <w:lang w:eastAsia="sl-SI"/>
              </w:rPr>
              <w:t>Mikro</w:t>
            </w:r>
            <w:proofErr w:type="spellEnd"/>
            <w:r w:rsidRPr="000F4B73">
              <w:rPr>
                <w:rFonts w:ascii="Arial" w:eastAsia="Times New Roman" w:hAnsi="Arial" w:cs="Arial"/>
                <w:color w:val="000000"/>
                <w:sz w:val="18"/>
                <w:szCs w:val="18"/>
                <w:lang w:eastAsia="sl-SI"/>
              </w:rPr>
              <w:t xml:space="preserve"> enote</w:t>
            </w:r>
          </w:p>
        </w:tc>
        <w:tc>
          <w:tcPr>
            <w:tcW w:w="385" w:type="pct"/>
            <w:shd w:val="clear" w:color="auto" w:fill="auto"/>
            <w:noWrap/>
            <w:vAlign w:val="center"/>
            <w:hideMark/>
          </w:tcPr>
          <w:p w14:paraId="6EA35080"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43</w:t>
            </w:r>
          </w:p>
        </w:tc>
        <w:tc>
          <w:tcPr>
            <w:tcW w:w="704" w:type="pct"/>
            <w:shd w:val="clear" w:color="auto" w:fill="auto"/>
            <w:noWrap/>
            <w:vAlign w:val="center"/>
            <w:hideMark/>
          </w:tcPr>
          <w:p w14:paraId="0A5439D6"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4045383</w:t>
            </w:r>
          </w:p>
        </w:tc>
        <w:tc>
          <w:tcPr>
            <w:tcW w:w="518" w:type="pct"/>
            <w:shd w:val="clear" w:color="auto" w:fill="auto"/>
            <w:noWrap/>
            <w:vAlign w:val="center"/>
            <w:hideMark/>
          </w:tcPr>
          <w:p w14:paraId="5C3B799E"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19,46</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70B5890C"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16,47</w:t>
            </w:r>
            <w:r>
              <w:rPr>
                <w:rFonts w:ascii="Arial" w:eastAsia="Times New Roman" w:hAnsi="Arial" w:cs="Arial"/>
                <w:color w:val="000000"/>
                <w:sz w:val="18"/>
                <w:szCs w:val="18"/>
                <w:lang w:eastAsia="sl-SI"/>
              </w:rPr>
              <w:t xml:space="preserve"> %</w:t>
            </w:r>
          </w:p>
        </w:tc>
      </w:tr>
      <w:tr w:rsidR="00E3750C" w:rsidRPr="000F4B73" w14:paraId="0EBEE148" w14:textId="77777777" w:rsidTr="00047864">
        <w:trPr>
          <w:trHeight w:val="288"/>
        </w:trPr>
        <w:tc>
          <w:tcPr>
            <w:tcW w:w="1396" w:type="pct"/>
            <w:vMerge/>
            <w:vAlign w:val="center"/>
            <w:hideMark/>
          </w:tcPr>
          <w:p w14:paraId="5C97DD25"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490BC369"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Majhne enote</w:t>
            </w:r>
          </w:p>
        </w:tc>
        <w:tc>
          <w:tcPr>
            <w:tcW w:w="385" w:type="pct"/>
            <w:shd w:val="clear" w:color="auto" w:fill="auto"/>
            <w:noWrap/>
            <w:vAlign w:val="center"/>
            <w:hideMark/>
          </w:tcPr>
          <w:p w14:paraId="63546D5B"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57</w:t>
            </w:r>
          </w:p>
        </w:tc>
        <w:tc>
          <w:tcPr>
            <w:tcW w:w="704" w:type="pct"/>
            <w:shd w:val="clear" w:color="auto" w:fill="auto"/>
            <w:noWrap/>
            <w:vAlign w:val="center"/>
            <w:hideMark/>
          </w:tcPr>
          <w:p w14:paraId="38F43093"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7477802</w:t>
            </w:r>
          </w:p>
        </w:tc>
        <w:tc>
          <w:tcPr>
            <w:tcW w:w="518" w:type="pct"/>
            <w:shd w:val="clear" w:color="auto" w:fill="auto"/>
            <w:noWrap/>
            <w:vAlign w:val="center"/>
            <w:hideMark/>
          </w:tcPr>
          <w:p w14:paraId="0AF83C31"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25,79</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7029CD89"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30,44</w:t>
            </w:r>
            <w:r>
              <w:rPr>
                <w:rFonts w:ascii="Arial" w:eastAsia="Times New Roman" w:hAnsi="Arial" w:cs="Arial"/>
                <w:color w:val="000000"/>
                <w:sz w:val="18"/>
                <w:szCs w:val="18"/>
                <w:lang w:eastAsia="sl-SI"/>
              </w:rPr>
              <w:t xml:space="preserve"> %</w:t>
            </w:r>
          </w:p>
        </w:tc>
      </w:tr>
      <w:tr w:rsidR="00E3750C" w:rsidRPr="000F4B73" w14:paraId="57815E5C" w14:textId="77777777" w:rsidTr="00047864">
        <w:trPr>
          <w:trHeight w:val="288"/>
        </w:trPr>
        <w:tc>
          <w:tcPr>
            <w:tcW w:w="1396" w:type="pct"/>
            <w:vMerge/>
            <w:vAlign w:val="center"/>
            <w:hideMark/>
          </w:tcPr>
          <w:p w14:paraId="4BD538D5"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4DF22DA0"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Srednje enote</w:t>
            </w:r>
          </w:p>
        </w:tc>
        <w:tc>
          <w:tcPr>
            <w:tcW w:w="385" w:type="pct"/>
            <w:shd w:val="clear" w:color="auto" w:fill="auto"/>
            <w:noWrap/>
            <w:vAlign w:val="center"/>
            <w:hideMark/>
          </w:tcPr>
          <w:p w14:paraId="5ECD42B1"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48</w:t>
            </w:r>
          </w:p>
        </w:tc>
        <w:tc>
          <w:tcPr>
            <w:tcW w:w="704" w:type="pct"/>
            <w:shd w:val="clear" w:color="auto" w:fill="auto"/>
            <w:noWrap/>
            <w:vAlign w:val="center"/>
            <w:hideMark/>
          </w:tcPr>
          <w:p w14:paraId="03846BE7"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7133804</w:t>
            </w:r>
          </w:p>
        </w:tc>
        <w:tc>
          <w:tcPr>
            <w:tcW w:w="518" w:type="pct"/>
            <w:shd w:val="clear" w:color="auto" w:fill="auto"/>
            <w:noWrap/>
            <w:vAlign w:val="center"/>
            <w:hideMark/>
          </w:tcPr>
          <w:p w14:paraId="0A2C2A1A"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21,72</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5B57EF3A"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29,04</w:t>
            </w:r>
            <w:r>
              <w:rPr>
                <w:rFonts w:ascii="Arial" w:eastAsia="Times New Roman" w:hAnsi="Arial" w:cs="Arial"/>
                <w:color w:val="000000"/>
                <w:sz w:val="18"/>
                <w:szCs w:val="18"/>
                <w:lang w:eastAsia="sl-SI"/>
              </w:rPr>
              <w:t xml:space="preserve"> %</w:t>
            </w:r>
          </w:p>
        </w:tc>
      </w:tr>
      <w:tr w:rsidR="00E3750C" w:rsidRPr="000F4B73" w14:paraId="7B65D60E" w14:textId="77777777" w:rsidTr="00047864">
        <w:trPr>
          <w:trHeight w:val="288"/>
        </w:trPr>
        <w:tc>
          <w:tcPr>
            <w:tcW w:w="1396" w:type="pct"/>
            <w:vMerge/>
            <w:vAlign w:val="center"/>
            <w:hideMark/>
          </w:tcPr>
          <w:p w14:paraId="190DC48B"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4039C929"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Velike enote</w:t>
            </w:r>
          </w:p>
        </w:tc>
        <w:tc>
          <w:tcPr>
            <w:tcW w:w="385" w:type="pct"/>
            <w:shd w:val="clear" w:color="auto" w:fill="auto"/>
            <w:noWrap/>
            <w:vAlign w:val="center"/>
            <w:hideMark/>
          </w:tcPr>
          <w:p w14:paraId="03E6FA5F"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68</w:t>
            </w:r>
          </w:p>
        </w:tc>
        <w:tc>
          <w:tcPr>
            <w:tcW w:w="704" w:type="pct"/>
            <w:shd w:val="clear" w:color="auto" w:fill="auto"/>
            <w:noWrap/>
            <w:vAlign w:val="center"/>
            <w:hideMark/>
          </w:tcPr>
          <w:p w14:paraId="4F1FC522"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5616305</w:t>
            </w:r>
          </w:p>
        </w:tc>
        <w:tc>
          <w:tcPr>
            <w:tcW w:w="518" w:type="pct"/>
            <w:shd w:val="clear" w:color="auto" w:fill="auto"/>
            <w:noWrap/>
            <w:vAlign w:val="center"/>
            <w:hideMark/>
          </w:tcPr>
          <w:p w14:paraId="10DA9327"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30,77</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2C4C04EE"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22,87</w:t>
            </w:r>
            <w:r>
              <w:rPr>
                <w:rFonts w:ascii="Arial" w:eastAsia="Times New Roman" w:hAnsi="Arial" w:cs="Arial"/>
                <w:color w:val="000000"/>
                <w:sz w:val="18"/>
                <w:szCs w:val="18"/>
                <w:lang w:eastAsia="sl-SI"/>
              </w:rPr>
              <w:t xml:space="preserve"> %</w:t>
            </w:r>
          </w:p>
        </w:tc>
      </w:tr>
      <w:tr w:rsidR="00E3750C" w:rsidRPr="000F4B73" w14:paraId="35D7DFC5" w14:textId="77777777" w:rsidTr="00047864">
        <w:trPr>
          <w:trHeight w:val="288"/>
        </w:trPr>
        <w:tc>
          <w:tcPr>
            <w:tcW w:w="1396" w:type="pct"/>
            <w:vMerge/>
            <w:vAlign w:val="center"/>
            <w:hideMark/>
          </w:tcPr>
          <w:p w14:paraId="0CD1CEC0"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67F5525F" w14:textId="77777777" w:rsidR="00E3750C" w:rsidRPr="000F4B73" w:rsidRDefault="00E3750C" w:rsidP="00047864">
            <w:pPr>
              <w:spacing w:after="0" w:line="240" w:lineRule="auto"/>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Velikost RS se ne izračunava</w:t>
            </w:r>
          </w:p>
        </w:tc>
        <w:tc>
          <w:tcPr>
            <w:tcW w:w="385" w:type="pct"/>
            <w:shd w:val="clear" w:color="auto" w:fill="auto"/>
            <w:noWrap/>
            <w:vAlign w:val="center"/>
            <w:hideMark/>
          </w:tcPr>
          <w:p w14:paraId="4965F04F"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5</w:t>
            </w:r>
          </w:p>
        </w:tc>
        <w:tc>
          <w:tcPr>
            <w:tcW w:w="704" w:type="pct"/>
            <w:shd w:val="clear" w:color="auto" w:fill="auto"/>
            <w:noWrap/>
            <w:vAlign w:val="center"/>
            <w:hideMark/>
          </w:tcPr>
          <w:p w14:paraId="66C0F2D2"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288843</w:t>
            </w:r>
          </w:p>
        </w:tc>
        <w:tc>
          <w:tcPr>
            <w:tcW w:w="518" w:type="pct"/>
            <w:shd w:val="clear" w:color="auto" w:fill="auto"/>
            <w:noWrap/>
            <w:vAlign w:val="center"/>
            <w:hideMark/>
          </w:tcPr>
          <w:p w14:paraId="13304041"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2,26</w:t>
            </w:r>
            <w:r>
              <w:rPr>
                <w:rFonts w:ascii="Arial" w:eastAsia="Times New Roman" w:hAnsi="Arial" w:cs="Arial"/>
                <w:color w:val="000000"/>
                <w:sz w:val="18"/>
                <w:szCs w:val="18"/>
                <w:lang w:eastAsia="sl-SI"/>
              </w:rPr>
              <w:t xml:space="preserve"> %</w:t>
            </w:r>
          </w:p>
        </w:tc>
        <w:tc>
          <w:tcPr>
            <w:tcW w:w="644" w:type="pct"/>
            <w:shd w:val="clear" w:color="auto" w:fill="auto"/>
            <w:noWrap/>
            <w:vAlign w:val="center"/>
            <w:hideMark/>
          </w:tcPr>
          <w:p w14:paraId="3D1DA88C" w14:textId="77777777" w:rsidR="00E3750C" w:rsidRPr="000F4B73" w:rsidRDefault="00E3750C" w:rsidP="00047864">
            <w:pPr>
              <w:spacing w:after="0" w:line="240" w:lineRule="auto"/>
              <w:jc w:val="right"/>
              <w:rPr>
                <w:rFonts w:ascii="Arial" w:eastAsia="Times New Roman" w:hAnsi="Arial" w:cs="Arial"/>
                <w:color w:val="000000"/>
                <w:sz w:val="18"/>
                <w:szCs w:val="18"/>
                <w:lang w:eastAsia="sl-SI"/>
              </w:rPr>
            </w:pPr>
            <w:r w:rsidRPr="000F4B73">
              <w:rPr>
                <w:rFonts w:ascii="Arial" w:eastAsia="Times New Roman" w:hAnsi="Arial" w:cs="Arial"/>
                <w:color w:val="000000"/>
                <w:sz w:val="18"/>
                <w:szCs w:val="18"/>
                <w:lang w:eastAsia="sl-SI"/>
              </w:rPr>
              <w:t>1,18</w:t>
            </w:r>
            <w:r>
              <w:rPr>
                <w:rFonts w:ascii="Arial" w:eastAsia="Times New Roman" w:hAnsi="Arial" w:cs="Arial"/>
                <w:color w:val="000000"/>
                <w:sz w:val="18"/>
                <w:szCs w:val="18"/>
                <w:lang w:eastAsia="sl-SI"/>
              </w:rPr>
              <w:t xml:space="preserve"> %</w:t>
            </w:r>
          </w:p>
        </w:tc>
      </w:tr>
      <w:tr w:rsidR="00E3750C" w:rsidRPr="000F4B73" w14:paraId="6BC336EF" w14:textId="77777777" w:rsidTr="00047864">
        <w:trPr>
          <w:trHeight w:val="288"/>
        </w:trPr>
        <w:tc>
          <w:tcPr>
            <w:tcW w:w="1396" w:type="pct"/>
            <w:vMerge/>
            <w:vAlign w:val="center"/>
            <w:hideMark/>
          </w:tcPr>
          <w:p w14:paraId="35B06B66" w14:textId="77777777" w:rsidR="00E3750C" w:rsidRPr="000F4B73" w:rsidRDefault="00E3750C" w:rsidP="00047864">
            <w:pPr>
              <w:spacing w:after="0" w:line="240" w:lineRule="auto"/>
              <w:rPr>
                <w:rFonts w:ascii="Arial" w:eastAsia="Times New Roman" w:hAnsi="Arial" w:cs="Arial"/>
                <w:color w:val="000000"/>
                <w:sz w:val="18"/>
                <w:szCs w:val="18"/>
                <w:lang w:eastAsia="sl-SI"/>
              </w:rPr>
            </w:pPr>
          </w:p>
        </w:tc>
        <w:tc>
          <w:tcPr>
            <w:tcW w:w="1353" w:type="pct"/>
            <w:shd w:val="clear" w:color="auto" w:fill="auto"/>
            <w:noWrap/>
            <w:vAlign w:val="center"/>
            <w:hideMark/>
          </w:tcPr>
          <w:p w14:paraId="4C14F1EF" w14:textId="77777777" w:rsidR="00E3750C" w:rsidRPr="000F4B73" w:rsidRDefault="00E3750C" w:rsidP="00047864">
            <w:pPr>
              <w:spacing w:after="0" w:line="240" w:lineRule="auto"/>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Skupaj</w:t>
            </w:r>
          </w:p>
        </w:tc>
        <w:tc>
          <w:tcPr>
            <w:tcW w:w="385" w:type="pct"/>
            <w:shd w:val="clear" w:color="auto" w:fill="auto"/>
            <w:noWrap/>
            <w:vAlign w:val="center"/>
            <w:hideMark/>
          </w:tcPr>
          <w:p w14:paraId="5A923B69" w14:textId="77777777" w:rsidR="00E3750C" w:rsidRPr="000F4B73" w:rsidRDefault="00E3750C" w:rsidP="00047864">
            <w:pPr>
              <w:spacing w:after="0" w:line="240" w:lineRule="auto"/>
              <w:jc w:val="right"/>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221</w:t>
            </w:r>
          </w:p>
        </w:tc>
        <w:tc>
          <w:tcPr>
            <w:tcW w:w="704" w:type="pct"/>
            <w:shd w:val="clear" w:color="auto" w:fill="auto"/>
            <w:noWrap/>
            <w:vAlign w:val="center"/>
            <w:hideMark/>
          </w:tcPr>
          <w:p w14:paraId="36FDFFF7" w14:textId="77777777" w:rsidR="00E3750C" w:rsidRPr="000F4B73" w:rsidRDefault="00E3750C" w:rsidP="00047864">
            <w:pPr>
              <w:spacing w:after="0" w:line="240" w:lineRule="auto"/>
              <w:jc w:val="right"/>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24.562.137</w:t>
            </w:r>
          </w:p>
        </w:tc>
        <w:tc>
          <w:tcPr>
            <w:tcW w:w="518" w:type="pct"/>
            <w:shd w:val="clear" w:color="auto" w:fill="auto"/>
            <w:noWrap/>
            <w:vAlign w:val="center"/>
            <w:hideMark/>
          </w:tcPr>
          <w:p w14:paraId="495171E2" w14:textId="77777777" w:rsidR="00E3750C" w:rsidRPr="000F4B73" w:rsidRDefault="00E3750C" w:rsidP="00047864">
            <w:pPr>
              <w:spacing w:after="0" w:line="240" w:lineRule="auto"/>
              <w:jc w:val="right"/>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644" w:type="pct"/>
            <w:shd w:val="clear" w:color="auto" w:fill="auto"/>
            <w:noWrap/>
            <w:vAlign w:val="center"/>
            <w:hideMark/>
          </w:tcPr>
          <w:p w14:paraId="548ACC0F" w14:textId="77777777" w:rsidR="00E3750C" w:rsidRPr="000F4B73" w:rsidRDefault="00E3750C" w:rsidP="00047864">
            <w:pPr>
              <w:spacing w:after="0" w:line="240" w:lineRule="auto"/>
              <w:jc w:val="right"/>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E3750C" w:rsidRPr="000F4B73" w14:paraId="7536183A" w14:textId="77777777" w:rsidTr="00047864">
        <w:trPr>
          <w:gridAfter w:val="2"/>
          <w:wAfter w:w="1163" w:type="pct"/>
          <w:trHeight w:val="288"/>
        </w:trPr>
        <w:tc>
          <w:tcPr>
            <w:tcW w:w="2749" w:type="pct"/>
            <w:gridSpan w:val="2"/>
            <w:shd w:val="clear" w:color="auto" w:fill="F2F2F2" w:themeFill="background1" w:themeFillShade="F2"/>
            <w:noWrap/>
            <w:vAlign w:val="center"/>
            <w:hideMark/>
          </w:tcPr>
          <w:p w14:paraId="3B1F66B6" w14:textId="77777777" w:rsidR="00E3750C" w:rsidRPr="000F4B73" w:rsidRDefault="00E3750C" w:rsidP="00047864">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Skupaj</w:t>
            </w:r>
          </w:p>
        </w:tc>
        <w:tc>
          <w:tcPr>
            <w:tcW w:w="385" w:type="pct"/>
            <w:shd w:val="clear" w:color="auto" w:fill="F2F2F2" w:themeFill="background1" w:themeFillShade="F2"/>
            <w:noWrap/>
            <w:vAlign w:val="center"/>
            <w:hideMark/>
          </w:tcPr>
          <w:p w14:paraId="3EB41F92" w14:textId="77777777" w:rsidR="00E3750C" w:rsidRPr="000F4B73" w:rsidRDefault="00E3750C" w:rsidP="00047864">
            <w:pPr>
              <w:spacing w:after="0" w:line="240" w:lineRule="auto"/>
              <w:jc w:val="right"/>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16.780</w:t>
            </w:r>
          </w:p>
        </w:tc>
        <w:tc>
          <w:tcPr>
            <w:tcW w:w="704" w:type="pct"/>
            <w:shd w:val="clear" w:color="auto" w:fill="F2F2F2" w:themeFill="background1" w:themeFillShade="F2"/>
            <w:noWrap/>
            <w:vAlign w:val="center"/>
            <w:hideMark/>
          </w:tcPr>
          <w:p w14:paraId="1F2BFA82" w14:textId="77777777" w:rsidR="00E3750C" w:rsidRPr="000F4B73" w:rsidRDefault="00E3750C" w:rsidP="00047864">
            <w:pPr>
              <w:spacing w:after="0" w:line="240" w:lineRule="auto"/>
              <w:jc w:val="right"/>
              <w:rPr>
                <w:rFonts w:ascii="Arial" w:eastAsia="Times New Roman" w:hAnsi="Arial" w:cs="Arial"/>
                <w:b/>
                <w:bCs/>
                <w:color w:val="000000"/>
                <w:sz w:val="18"/>
                <w:szCs w:val="18"/>
                <w:lang w:eastAsia="sl-SI"/>
              </w:rPr>
            </w:pPr>
            <w:r w:rsidRPr="000F4B73">
              <w:rPr>
                <w:rFonts w:ascii="Arial" w:eastAsia="Times New Roman" w:hAnsi="Arial" w:cs="Arial"/>
                <w:b/>
                <w:bCs/>
                <w:color w:val="000000"/>
                <w:sz w:val="18"/>
                <w:szCs w:val="18"/>
                <w:lang w:eastAsia="sl-SI"/>
              </w:rPr>
              <w:t>5.218.980.380</w:t>
            </w:r>
          </w:p>
        </w:tc>
      </w:tr>
    </w:tbl>
    <w:p w14:paraId="374C6274" w14:textId="77777777" w:rsidR="00E3750C" w:rsidRPr="00BF7302" w:rsidRDefault="00E3750C" w:rsidP="00E3750C">
      <w:pPr>
        <w:spacing w:after="0" w:line="240" w:lineRule="auto"/>
        <w:jc w:val="both"/>
        <w:rPr>
          <w:rFonts w:ascii="Arial" w:hAnsi="Arial" w:cs="Arial"/>
          <w:sz w:val="20"/>
          <w:highlight w:val="yellow"/>
        </w:rPr>
      </w:pPr>
    </w:p>
    <w:p w14:paraId="0869DFE0" w14:textId="77777777" w:rsidR="00E3750C" w:rsidRPr="00655549" w:rsidRDefault="00E3750C" w:rsidP="00E3750C">
      <w:pPr>
        <w:spacing w:before="120" w:after="0" w:line="240" w:lineRule="auto"/>
        <w:jc w:val="both"/>
        <w:rPr>
          <w:rFonts w:ascii="Arial" w:hAnsi="Arial" w:cs="Arial"/>
          <w:sz w:val="20"/>
        </w:rPr>
      </w:pPr>
      <w:r w:rsidRPr="00655549">
        <w:rPr>
          <w:rFonts w:ascii="Arial" w:hAnsi="Arial" w:cs="Arial"/>
          <w:sz w:val="20"/>
        </w:rPr>
        <w:t>Preglednica 9</w:t>
      </w:r>
      <w:r>
        <w:rPr>
          <w:rFonts w:ascii="Arial" w:hAnsi="Arial" w:cs="Arial"/>
          <w:sz w:val="20"/>
        </w:rPr>
        <w:t>3</w:t>
      </w:r>
      <w:r w:rsidRPr="00655549">
        <w:rPr>
          <w:rFonts w:ascii="Arial" w:hAnsi="Arial" w:cs="Arial"/>
          <w:sz w:val="20"/>
        </w:rPr>
        <w:t>: Javna naročila, pri oddaji katerih so bili upoštevani socialni vidiki glede na način upoštevanja teh vidikov</w:t>
      </w:r>
    </w:p>
    <w:p w14:paraId="60BE3EC8" w14:textId="77777777" w:rsidR="00E3750C" w:rsidRPr="00BF7302" w:rsidRDefault="00E3750C" w:rsidP="00E3750C">
      <w:pPr>
        <w:spacing w:after="0" w:line="240" w:lineRule="auto"/>
        <w:jc w:val="both"/>
        <w:rPr>
          <w:rFonts w:ascii="Arial" w:hAnsi="Arial" w:cs="Arial"/>
          <w:sz w:val="20"/>
          <w:highlight w:val="yellow"/>
        </w:rPr>
      </w:pPr>
    </w:p>
    <w:tbl>
      <w:tblPr>
        <w:tblW w:w="5000" w:type="pct"/>
        <w:tblCellMar>
          <w:left w:w="70" w:type="dxa"/>
          <w:right w:w="70" w:type="dxa"/>
        </w:tblCellMar>
        <w:tblLook w:val="04A0" w:firstRow="1" w:lastRow="0" w:firstColumn="1" w:lastColumn="0" w:noHBand="0" w:noVBand="1"/>
      </w:tblPr>
      <w:tblGrid>
        <w:gridCol w:w="1197"/>
        <w:gridCol w:w="1017"/>
        <w:gridCol w:w="1185"/>
        <w:gridCol w:w="1143"/>
        <w:gridCol w:w="1027"/>
        <w:gridCol w:w="1018"/>
        <w:gridCol w:w="875"/>
        <w:gridCol w:w="1712"/>
      </w:tblGrid>
      <w:tr w:rsidR="00E3750C" w:rsidRPr="00655549" w14:paraId="76AB3498" w14:textId="77777777" w:rsidTr="00047864">
        <w:trPr>
          <w:trHeight w:val="720"/>
        </w:trPr>
        <w:tc>
          <w:tcPr>
            <w:tcW w:w="652"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7D7B7783" w14:textId="77777777" w:rsidR="00E3750C" w:rsidRPr="00655549" w:rsidRDefault="00E3750C" w:rsidP="00047864">
            <w:pPr>
              <w:spacing w:after="0" w:line="240" w:lineRule="auto"/>
              <w:jc w:val="center"/>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Tehnične specifikacije</w:t>
            </w:r>
          </w:p>
        </w:tc>
        <w:tc>
          <w:tcPr>
            <w:tcW w:w="554" w:type="pct"/>
            <w:tcBorders>
              <w:top w:val="single" w:sz="4" w:space="0" w:color="auto"/>
              <w:left w:val="nil"/>
              <w:bottom w:val="single" w:sz="4" w:space="0" w:color="auto"/>
              <w:right w:val="single" w:sz="4" w:space="0" w:color="auto"/>
            </w:tcBorders>
            <w:shd w:val="clear" w:color="000000" w:fill="F2F2F2"/>
            <w:vAlign w:val="center"/>
            <w:hideMark/>
          </w:tcPr>
          <w:p w14:paraId="04A4DC46" w14:textId="77777777" w:rsidR="00E3750C" w:rsidRPr="00655549" w:rsidRDefault="00E3750C" w:rsidP="00047864">
            <w:pPr>
              <w:spacing w:after="0" w:line="240" w:lineRule="auto"/>
              <w:jc w:val="center"/>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Merila</w:t>
            </w:r>
          </w:p>
        </w:tc>
        <w:tc>
          <w:tcPr>
            <w:tcW w:w="646" w:type="pct"/>
            <w:tcBorders>
              <w:top w:val="single" w:sz="4" w:space="0" w:color="auto"/>
              <w:left w:val="nil"/>
              <w:bottom w:val="single" w:sz="4" w:space="0" w:color="auto"/>
              <w:right w:val="single" w:sz="4" w:space="0" w:color="auto"/>
            </w:tcBorders>
            <w:shd w:val="clear" w:color="000000" w:fill="F2F2F2"/>
            <w:vAlign w:val="center"/>
            <w:hideMark/>
          </w:tcPr>
          <w:p w14:paraId="43A30A53" w14:textId="77777777" w:rsidR="00E3750C" w:rsidRPr="00655549" w:rsidRDefault="00E3750C" w:rsidP="00047864">
            <w:pPr>
              <w:spacing w:after="0" w:line="240" w:lineRule="auto"/>
              <w:jc w:val="center"/>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Pogoji za sodelovanje</w:t>
            </w:r>
          </w:p>
        </w:tc>
        <w:tc>
          <w:tcPr>
            <w:tcW w:w="623" w:type="pct"/>
            <w:tcBorders>
              <w:top w:val="single" w:sz="4" w:space="0" w:color="auto"/>
              <w:left w:val="nil"/>
              <w:bottom w:val="single" w:sz="4" w:space="0" w:color="auto"/>
              <w:right w:val="single" w:sz="4" w:space="0" w:color="auto"/>
            </w:tcBorders>
            <w:shd w:val="clear" w:color="000000" w:fill="F2F2F2"/>
            <w:vAlign w:val="center"/>
            <w:hideMark/>
          </w:tcPr>
          <w:p w14:paraId="60CFE206" w14:textId="77777777" w:rsidR="00E3750C" w:rsidRPr="00655549" w:rsidRDefault="00E3750C" w:rsidP="00047864">
            <w:pPr>
              <w:spacing w:after="0" w:line="240" w:lineRule="auto"/>
              <w:jc w:val="center"/>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Pogodbena določila</w:t>
            </w:r>
          </w:p>
        </w:tc>
        <w:tc>
          <w:tcPr>
            <w:tcW w:w="560" w:type="pct"/>
            <w:tcBorders>
              <w:top w:val="single" w:sz="4" w:space="0" w:color="auto"/>
              <w:left w:val="nil"/>
              <w:bottom w:val="single" w:sz="4" w:space="0" w:color="auto"/>
              <w:right w:val="single" w:sz="4" w:space="0" w:color="auto"/>
            </w:tcBorders>
            <w:shd w:val="clear" w:color="000000" w:fill="F2F2F2"/>
            <w:vAlign w:val="center"/>
            <w:hideMark/>
          </w:tcPr>
          <w:p w14:paraId="221EF226" w14:textId="77777777" w:rsidR="00E3750C" w:rsidRPr="00655549" w:rsidRDefault="00E3750C" w:rsidP="00047864">
            <w:pPr>
              <w:spacing w:after="0" w:line="240" w:lineRule="auto"/>
              <w:jc w:val="center"/>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Razlogi za izključitev</w:t>
            </w:r>
          </w:p>
        </w:tc>
        <w:tc>
          <w:tcPr>
            <w:tcW w:w="555" w:type="pct"/>
            <w:tcBorders>
              <w:top w:val="single" w:sz="4" w:space="0" w:color="auto"/>
              <w:left w:val="nil"/>
              <w:bottom w:val="single" w:sz="4" w:space="0" w:color="auto"/>
              <w:right w:val="single" w:sz="4" w:space="0" w:color="auto"/>
            </w:tcBorders>
            <w:shd w:val="clear" w:color="000000" w:fill="F2F2F2"/>
            <w:vAlign w:val="center"/>
            <w:hideMark/>
          </w:tcPr>
          <w:p w14:paraId="183C59D9" w14:textId="77777777" w:rsidR="00E3750C" w:rsidRPr="00655549" w:rsidRDefault="00E3750C" w:rsidP="00047864">
            <w:pPr>
              <w:spacing w:after="0" w:line="240" w:lineRule="auto"/>
              <w:jc w:val="center"/>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Drugo</w:t>
            </w:r>
          </w:p>
        </w:tc>
        <w:tc>
          <w:tcPr>
            <w:tcW w:w="477" w:type="pct"/>
            <w:tcBorders>
              <w:top w:val="single" w:sz="4" w:space="0" w:color="auto"/>
              <w:left w:val="nil"/>
              <w:bottom w:val="single" w:sz="4" w:space="0" w:color="auto"/>
              <w:right w:val="single" w:sz="4" w:space="0" w:color="auto"/>
            </w:tcBorders>
            <w:shd w:val="clear" w:color="000000" w:fill="F2F2F2"/>
            <w:vAlign w:val="center"/>
            <w:hideMark/>
          </w:tcPr>
          <w:p w14:paraId="5E4F9C97" w14:textId="77777777" w:rsidR="00E3750C" w:rsidRPr="00655549" w:rsidRDefault="00E3750C" w:rsidP="00047864">
            <w:pPr>
              <w:spacing w:after="0" w:line="240" w:lineRule="auto"/>
              <w:jc w:val="center"/>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Št. naročil</w:t>
            </w:r>
          </w:p>
        </w:tc>
        <w:tc>
          <w:tcPr>
            <w:tcW w:w="933" w:type="pct"/>
            <w:tcBorders>
              <w:top w:val="single" w:sz="4" w:space="0" w:color="auto"/>
              <w:left w:val="nil"/>
              <w:bottom w:val="single" w:sz="4" w:space="0" w:color="auto"/>
              <w:right w:val="single" w:sz="4" w:space="0" w:color="auto"/>
            </w:tcBorders>
            <w:shd w:val="clear" w:color="000000" w:fill="F2F2F2"/>
            <w:vAlign w:val="center"/>
            <w:hideMark/>
          </w:tcPr>
          <w:p w14:paraId="2F3746FD" w14:textId="77777777" w:rsidR="00E3750C" w:rsidRPr="00655549" w:rsidRDefault="00E3750C" w:rsidP="00047864">
            <w:pPr>
              <w:spacing w:after="0" w:line="240" w:lineRule="auto"/>
              <w:jc w:val="center"/>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Pogodbena vrednost</w:t>
            </w:r>
          </w:p>
        </w:tc>
      </w:tr>
      <w:tr w:rsidR="00E3750C" w:rsidRPr="00655549" w14:paraId="4B25B93B" w14:textId="77777777" w:rsidTr="00047864">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210D9F82"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54" w:type="pct"/>
            <w:tcBorders>
              <w:top w:val="nil"/>
              <w:left w:val="nil"/>
              <w:bottom w:val="single" w:sz="4" w:space="0" w:color="auto"/>
              <w:right w:val="single" w:sz="4" w:space="0" w:color="auto"/>
            </w:tcBorders>
            <w:shd w:val="clear" w:color="auto" w:fill="auto"/>
            <w:noWrap/>
            <w:vAlign w:val="bottom"/>
            <w:hideMark/>
          </w:tcPr>
          <w:p w14:paraId="22AD1479"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646" w:type="pct"/>
            <w:tcBorders>
              <w:top w:val="nil"/>
              <w:left w:val="nil"/>
              <w:bottom w:val="single" w:sz="4" w:space="0" w:color="auto"/>
              <w:right w:val="single" w:sz="4" w:space="0" w:color="auto"/>
            </w:tcBorders>
            <w:shd w:val="clear" w:color="auto" w:fill="auto"/>
            <w:noWrap/>
            <w:vAlign w:val="bottom"/>
            <w:hideMark/>
          </w:tcPr>
          <w:p w14:paraId="64F71C0E"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623" w:type="pct"/>
            <w:tcBorders>
              <w:top w:val="nil"/>
              <w:left w:val="nil"/>
              <w:bottom w:val="single" w:sz="4" w:space="0" w:color="auto"/>
              <w:right w:val="single" w:sz="4" w:space="0" w:color="auto"/>
            </w:tcBorders>
            <w:shd w:val="clear" w:color="000000" w:fill="00B0F0"/>
            <w:noWrap/>
            <w:vAlign w:val="bottom"/>
            <w:hideMark/>
          </w:tcPr>
          <w:p w14:paraId="76FC2477"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60" w:type="pct"/>
            <w:tcBorders>
              <w:top w:val="nil"/>
              <w:left w:val="nil"/>
              <w:bottom w:val="single" w:sz="4" w:space="0" w:color="auto"/>
              <w:right w:val="single" w:sz="4" w:space="0" w:color="auto"/>
            </w:tcBorders>
            <w:shd w:val="clear" w:color="auto" w:fill="auto"/>
            <w:noWrap/>
            <w:vAlign w:val="bottom"/>
            <w:hideMark/>
          </w:tcPr>
          <w:p w14:paraId="420FF233"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55" w:type="pct"/>
            <w:tcBorders>
              <w:top w:val="nil"/>
              <w:left w:val="nil"/>
              <w:bottom w:val="single" w:sz="4" w:space="0" w:color="auto"/>
              <w:right w:val="single" w:sz="4" w:space="0" w:color="auto"/>
            </w:tcBorders>
            <w:shd w:val="clear" w:color="auto" w:fill="auto"/>
            <w:noWrap/>
            <w:vAlign w:val="bottom"/>
            <w:hideMark/>
          </w:tcPr>
          <w:p w14:paraId="78CB69DD"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477" w:type="pct"/>
            <w:tcBorders>
              <w:top w:val="nil"/>
              <w:left w:val="nil"/>
              <w:bottom w:val="single" w:sz="4" w:space="0" w:color="auto"/>
              <w:right w:val="single" w:sz="4" w:space="0" w:color="auto"/>
            </w:tcBorders>
            <w:shd w:val="clear" w:color="auto" w:fill="auto"/>
            <w:vAlign w:val="center"/>
            <w:hideMark/>
          </w:tcPr>
          <w:p w14:paraId="2EA92D3C" w14:textId="77777777" w:rsidR="00E3750C" w:rsidRPr="00655549" w:rsidRDefault="00E3750C" w:rsidP="00047864">
            <w:pPr>
              <w:spacing w:after="0" w:line="240" w:lineRule="auto"/>
              <w:jc w:val="right"/>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925</w:t>
            </w:r>
          </w:p>
        </w:tc>
        <w:tc>
          <w:tcPr>
            <w:tcW w:w="933" w:type="pct"/>
            <w:tcBorders>
              <w:top w:val="nil"/>
              <w:left w:val="nil"/>
              <w:bottom w:val="single" w:sz="4" w:space="0" w:color="auto"/>
              <w:right w:val="single" w:sz="4" w:space="0" w:color="auto"/>
            </w:tcBorders>
            <w:shd w:val="clear" w:color="auto" w:fill="auto"/>
            <w:vAlign w:val="center"/>
            <w:hideMark/>
          </w:tcPr>
          <w:p w14:paraId="2B392AA5" w14:textId="77777777" w:rsidR="00E3750C" w:rsidRPr="00655549" w:rsidRDefault="00E3750C" w:rsidP="00047864">
            <w:pPr>
              <w:spacing w:after="0" w:line="240" w:lineRule="auto"/>
              <w:jc w:val="right"/>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321.071.642</w:t>
            </w:r>
          </w:p>
        </w:tc>
      </w:tr>
      <w:tr w:rsidR="00E3750C" w:rsidRPr="00655549" w14:paraId="6F504456" w14:textId="77777777" w:rsidTr="00047864">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013FFC9B"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54" w:type="pct"/>
            <w:tcBorders>
              <w:top w:val="nil"/>
              <w:left w:val="nil"/>
              <w:bottom w:val="single" w:sz="4" w:space="0" w:color="auto"/>
              <w:right w:val="single" w:sz="4" w:space="0" w:color="auto"/>
            </w:tcBorders>
            <w:shd w:val="clear" w:color="000000" w:fill="00B0F0"/>
            <w:noWrap/>
            <w:vAlign w:val="bottom"/>
            <w:hideMark/>
          </w:tcPr>
          <w:p w14:paraId="0ECA7691"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646" w:type="pct"/>
            <w:tcBorders>
              <w:top w:val="nil"/>
              <w:left w:val="nil"/>
              <w:bottom w:val="single" w:sz="4" w:space="0" w:color="auto"/>
              <w:right w:val="single" w:sz="4" w:space="0" w:color="auto"/>
            </w:tcBorders>
            <w:shd w:val="clear" w:color="auto" w:fill="auto"/>
            <w:noWrap/>
            <w:vAlign w:val="bottom"/>
            <w:hideMark/>
          </w:tcPr>
          <w:p w14:paraId="08334B42"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623" w:type="pct"/>
            <w:tcBorders>
              <w:top w:val="nil"/>
              <w:left w:val="nil"/>
              <w:bottom w:val="single" w:sz="4" w:space="0" w:color="auto"/>
              <w:right w:val="single" w:sz="4" w:space="0" w:color="auto"/>
            </w:tcBorders>
            <w:shd w:val="clear" w:color="auto" w:fill="auto"/>
            <w:noWrap/>
            <w:vAlign w:val="bottom"/>
            <w:hideMark/>
          </w:tcPr>
          <w:p w14:paraId="32DAD2E5"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60" w:type="pct"/>
            <w:tcBorders>
              <w:top w:val="nil"/>
              <w:left w:val="nil"/>
              <w:bottom w:val="single" w:sz="4" w:space="0" w:color="auto"/>
              <w:right w:val="single" w:sz="4" w:space="0" w:color="auto"/>
            </w:tcBorders>
            <w:shd w:val="clear" w:color="auto" w:fill="auto"/>
            <w:noWrap/>
            <w:vAlign w:val="bottom"/>
            <w:hideMark/>
          </w:tcPr>
          <w:p w14:paraId="0FD967F5"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55" w:type="pct"/>
            <w:tcBorders>
              <w:top w:val="nil"/>
              <w:left w:val="nil"/>
              <w:bottom w:val="single" w:sz="4" w:space="0" w:color="auto"/>
              <w:right w:val="single" w:sz="4" w:space="0" w:color="auto"/>
            </w:tcBorders>
            <w:shd w:val="clear" w:color="auto" w:fill="auto"/>
            <w:noWrap/>
            <w:vAlign w:val="bottom"/>
            <w:hideMark/>
          </w:tcPr>
          <w:p w14:paraId="2275EC26"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477" w:type="pct"/>
            <w:tcBorders>
              <w:top w:val="nil"/>
              <w:left w:val="nil"/>
              <w:bottom w:val="single" w:sz="4" w:space="0" w:color="auto"/>
              <w:right w:val="single" w:sz="4" w:space="0" w:color="auto"/>
            </w:tcBorders>
            <w:shd w:val="clear" w:color="auto" w:fill="auto"/>
            <w:vAlign w:val="center"/>
            <w:hideMark/>
          </w:tcPr>
          <w:p w14:paraId="20F12A3D" w14:textId="77777777" w:rsidR="00E3750C" w:rsidRPr="00655549" w:rsidRDefault="00E3750C" w:rsidP="00047864">
            <w:pPr>
              <w:spacing w:after="0" w:line="240" w:lineRule="auto"/>
              <w:jc w:val="right"/>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263</w:t>
            </w:r>
          </w:p>
        </w:tc>
        <w:tc>
          <w:tcPr>
            <w:tcW w:w="933" w:type="pct"/>
            <w:tcBorders>
              <w:top w:val="nil"/>
              <w:left w:val="nil"/>
              <w:bottom w:val="single" w:sz="4" w:space="0" w:color="auto"/>
              <w:right w:val="single" w:sz="4" w:space="0" w:color="auto"/>
            </w:tcBorders>
            <w:shd w:val="clear" w:color="auto" w:fill="auto"/>
            <w:vAlign w:val="center"/>
            <w:hideMark/>
          </w:tcPr>
          <w:p w14:paraId="5EEE195F" w14:textId="77777777" w:rsidR="00E3750C" w:rsidRPr="00655549" w:rsidRDefault="00E3750C" w:rsidP="00047864">
            <w:pPr>
              <w:spacing w:after="0" w:line="240" w:lineRule="auto"/>
              <w:jc w:val="right"/>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40.392.907</w:t>
            </w:r>
          </w:p>
        </w:tc>
      </w:tr>
      <w:tr w:rsidR="00E3750C" w:rsidRPr="00655549" w14:paraId="209B3CF1" w14:textId="77777777" w:rsidTr="00047864">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755A9246"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54" w:type="pct"/>
            <w:tcBorders>
              <w:top w:val="nil"/>
              <w:left w:val="nil"/>
              <w:bottom w:val="single" w:sz="4" w:space="0" w:color="auto"/>
              <w:right w:val="single" w:sz="4" w:space="0" w:color="auto"/>
            </w:tcBorders>
            <w:shd w:val="clear" w:color="auto" w:fill="auto"/>
            <w:noWrap/>
            <w:vAlign w:val="bottom"/>
            <w:hideMark/>
          </w:tcPr>
          <w:p w14:paraId="2EAA6B29"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646" w:type="pct"/>
            <w:tcBorders>
              <w:top w:val="nil"/>
              <w:left w:val="nil"/>
              <w:bottom w:val="single" w:sz="4" w:space="0" w:color="auto"/>
              <w:right w:val="single" w:sz="4" w:space="0" w:color="auto"/>
            </w:tcBorders>
            <w:shd w:val="clear" w:color="auto" w:fill="auto"/>
            <w:noWrap/>
            <w:vAlign w:val="bottom"/>
            <w:hideMark/>
          </w:tcPr>
          <w:p w14:paraId="5ADDD4BE"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623" w:type="pct"/>
            <w:tcBorders>
              <w:top w:val="nil"/>
              <w:left w:val="nil"/>
              <w:bottom w:val="single" w:sz="4" w:space="0" w:color="auto"/>
              <w:right w:val="single" w:sz="4" w:space="0" w:color="auto"/>
            </w:tcBorders>
            <w:shd w:val="clear" w:color="auto" w:fill="auto"/>
            <w:noWrap/>
            <w:vAlign w:val="bottom"/>
            <w:hideMark/>
          </w:tcPr>
          <w:p w14:paraId="0B37567E"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60" w:type="pct"/>
            <w:tcBorders>
              <w:top w:val="nil"/>
              <w:left w:val="nil"/>
              <w:bottom w:val="single" w:sz="4" w:space="0" w:color="auto"/>
              <w:right w:val="single" w:sz="4" w:space="0" w:color="auto"/>
            </w:tcBorders>
            <w:shd w:val="clear" w:color="000000" w:fill="00B0F0"/>
            <w:noWrap/>
            <w:vAlign w:val="bottom"/>
            <w:hideMark/>
          </w:tcPr>
          <w:p w14:paraId="64FDCE9A"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55" w:type="pct"/>
            <w:tcBorders>
              <w:top w:val="nil"/>
              <w:left w:val="nil"/>
              <w:bottom w:val="single" w:sz="4" w:space="0" w:color="auto"/>
              <w:right w:val="single" w:sz="4" w:space="0" w:color="auto"/>
            </w:tcBorders>
            <w:shd w:val="clear" w:color="auto" w:fill="auto"/>
            <w:noWrap/>
            <w:vAlign w:val="bottom"/>
            <w:hideMark/>
          </w:tcPr>
          <w:p w14:paraId="77EBD7F0"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477" w:type="pct"/>
            <w:tcBorders>
              <w:top w:val="nil"/>
              <w:left w:val="nil"/>
              <w:bottom w:val="single" w:sz="4" w:space="0" w:color="auto"/>
              <w:right w:val="single" w:sz="4" w:space="0" w:color="auto"/>
            </w:tcBorders>
            <w:shd w:val="clear" w:color="auto" w:fill="auto"/>
            <w:vAlign w:val="center"/>
            <w:hideMark/>
          </w:tcPr>
          <w:p w14:paraId="2DC804E7" w14:textId="77777777" w:rsidR="00E3750C" w:rsidRPr="00655549" w:rsidRDefault="00E3750C" w:rsidP="00047864">
            <w:pPr>
              <w:spacing w:after="0" w:line="240" w:lineRule="auto"/>
              <w:jc w:val="right"/>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242</w:t>
            </w:r>
          </w:p>
        </w:tc>
        <w:tc>
          <w:tcPr>
            <w:tcW w:w="933" w:type="pct"/>
            <w:tcBorders>
              <w:top w:val="nil"/>
              <w:left w:val="nil"/>
              <w:bottom w:val="single" w:sz="4" w:space="0" w:color="auto"/>
              <w:right w:val="single" w:sz="4" w:space="0" w:color="auto"/>
            </w:tcBorders>
            <w:shd w:val="clear" w:color="auto" w:fill="auto"/>
            <w:vAlign w:val="center"/>
            <w:hideMark/>
          </w:tcPr>
          <w:p w14:paraId="6D70EF5A" w14:textId="77777777" w:rsidR="00E3750C" w:rsidRPr="00655549" w:rsidRDefault="00E3750C" w:rsidP="00047864">
            <w:pPr>
              <w:spacing w:after="0" w:line="240" w:lineRule="auto"/>
              <w:jc w:val="right"/>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45.278.291</w:t>
            </w:r>
          </w:p>
        </w:tc>
      </w:tr>
      <w:tr w:rsidR="00E3750C" w:rsidRPr="00655549" w14:paraId="19711F9C" w14:textId="77777777" w:rsidTr="00047864">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7E7DBD18"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54" w:type="pct"/>
            <w:tcBorders>
              <w:top w:val="nil"/>
              <w:left w:val="nil"/>
              <w:bottom w:val="single" w:sz="4" w:space="0" w:color="auto"/>
              <w:right w:val="single" w:sz="4" w:space="0" w:color="auto"/>
            </w:tcBorders>
            <w:shd w:val="clear" w:color="auto" w:fill="auto"/>
            <w:noWrap/>
            <w:vAlign w:val="bottom"/>
            <w:hideMark/>
          </w:tcPr>
          <w:p w14:paraId="38CC2FDD"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646" w:type="pct"/>
            <w:tcBorders>
              <w:top w:val="nil"/>
              <w:left w:val="nil"/>
              <w:bottom w:val="single" w:sz="4" w:space="0" w:color="auto"/>
              <w:right w:val="single" w:sz="4" w:space="0" w:color="auto"/>
            </w:tcBorders>
            <w:shd w:val="clear" w:color="000000" w:fill="00B0F0"/>
            <w:noWrap/>
            <w:vAlign w:val="bottom"/>
            <w:hideMark/>
          </w:tcPr>
          <w:p w14:paraId="0C550BBA"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623" w:type="pct"/>
            <w:tcBorders>
              <w:top w:val="nil"/>
              <w:left w:val="nil"/>
              <w:bottom w:val="single" w:sz="4" w:space="0" w:color="auto"/>
              <w:right w:val="single" w:sz="4" w:space="0" w:color="auto"/>
            </w:tcBorders>
            <w:shd w:val="clear" w:color="auto" w:fill="auto"/>
            <w:noWrap/>
            <w:vAlign w:val="bottom"/>
            <w:hideMark/>
          </w:tcPr>
          <w:p w14:paraId="35AF9B43"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60" w:type="pct"/>
            <w:tcBorders>
              <w:top w:val="nil"/>
              <w:left w:val="nil"/>
              <w:bottom w:val="single" w:sz="4" w:space="0" w:color="auto"/>
              <w:right w:val="single" w:sz="4" w:space="0" w:color="auto"/>
            </w:tcBorders>
            <w:shd w:val="clear" w:color="auto" w:fill="auto"/>
            <w:noWrap/>
            <w:vAlign w:val="bottom"/>
            <w:hideMark/>
          </w:tcPr>
          <w:p w14:paraId="2CE43820"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55" w:type="pct"/>
            <w:tcBorders>
              <w:top w:val="nil"/>
              <w:left w:val="nil"/>
              <w:bottom w:val="single" w:sz="4" w:space="0" w:color="auto"/>
              <w:right w:val="single" w:sz="4" w:space="0" w:color="auto"/>
            </w:tcBorders>
            <w:shd w:val="clear" w:color="auto" w:fill="auto"/>
            <w:noWrap/>
            <w:vAlign w:val="bottom"/>
            <w:hideMark/>
          </w:tcPr>
          <w:p w14:paraId="4A49F4D9"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477" w:type="pct"/>
            <w:tcBorders>
              <w:top w:val="nil"/>
              <w:left w:val="nil"/>
              <w:bottom w:val="single" w:sz="4" w:space="0" w:color="auto"/>
              <w:right w:val="single" w:sz="4" w:space="0" w:color="auto"/>
            </w:tcBorders>
            <w:shd w:val="clear" w:color="auto" w:fill="auto"/>
            <w:vAlign w:val="center"/>
            <w:hideMark/>
          </w:tcPr>
          <w:p w14:paraId="1242FEC7" w14:textId="77777777" w:rsidR="00E3750C" w:rsidRPr="00655549" w:rsidRDefault="00E3750C" w:rsidP="00047864">
            <w:pPr>
              <w:spacing w:after="0" w:line="240" w:lineRule="auto"/>
              <w:jc w:val="right"/>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233</w:t>
            </w:r>
          </w:p>
        </w:tc>
        <w:tc>
          <w:tcPr>
            <w:tcW w:w="933" w:type="pct"/>
            <w:tcBorders>
              <w:top w:val="nil"/>
              <w:left w:val="nil"/>
              <w:bottom w:val="single" w:sz="4" w:space="0" w:color="auto"/>
              <w:right w:val="single" w:sz="4" w:space="0" w:color="auto"/>
            </w:tcBorders>
            <w:shd w:val="clear" w:color="auto" w:fill="auto"/>
            <w:vAlign w:val="center"/>
            <w:hideMark/>
          </w:tcPr>
          <w:p w14:paraId="2F34D8E2" w14:textId="77777777" w:rsidR="00E3750C" w:rsidRPr="00655549" w:rsidRDefault="00E3750C" w:rsidP="00047864">
            <w:pPr>
              <w:spacing w:after="0" w:line="240" w:lineRule="auto"/>
              <w:jc w:val="right"/>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34.895.214</w:t>
            </w:r>
          </w:p>
        </w:tc>
      </w:tr>
      <w:tr w:rsidR="00E3750C" w:rsidRPr="00655549" w14:paraId="03953B87" w14:textId="77777777" w:rsidTr="00047864">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23D65E6B"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54" w:type="pct"/>
            <w:tcBorders>
              <w:top w:val="nil"/>
              <w:left w:val="nil"/>
              <w:bottom w:val="single" w:sz="4" w:space="0" w:color="auto"/>
              <w:right w:val="single" w:sz="4" w:space="0" w:color="auto"/>
            </w:tcBorders>
            <w:shd w:val="clear" w:color="auto" w:fill="auto"/>
            <w:noWrap/>
            <w:vAlign w:val="bottom"/>
            <w:hideMark/>
          </w:tcPr>
          <w:p w14:paraId="71F0F1EE"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646" w:type="pct"/>
            <w:tcBorders>
              <w:top w:val="nil"/>
              <w:left w:val="nil"/>
              <w:bottom w:val="single" w:sz="4" w:space="0" w:color="auto"/>
              <w:right w:val="single" w:sz="4" w:space="0" w:color="auto"/>
            </w:tcBorders>
            <w:shd w:val="clear" w:color="000000" w:fill="00B0F0"/>
            <w:noWrap/>
            <w:vAlign w:val="bottom"/>
            <w:hideMark/>
          </w:tcPr>
          <w:p w14:paraId="437E271B"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623" w:type="pct"/>
            <w:tcBorders>
              <w:top w:val="nil"/>
              <w:left w:val="nil"/>
              <w:bottom w:val="single" w:sz="4" w:space="0" w:color="auto"/>
              <w:right w:val="single" w:sz="4" w:space="0" w:color="auto"/>
            </w:tcBorders>
            <w:shd w:val="clear" w:color="000000" w:fill="00B0F0"/>
            <w:noWrap/>
            <w:vAlign w:val="bottom"/>
            <w:hideMark/>
          </w:tcPr>
          <w:p w14:paraId="59AF0329"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60" w:type="pct"/>
            <w:tcBorders>
              <w:top w:val="nil"/>
              <w:left w:val="nil"/>
              <w:bottom w:val="single" w:sz="4" w:space="0" w:color="auto"/>
              <w:right w:val="single" w:sz="4" w:space="0" w:color="auto"/>
            </w:tcBorders>
            <w:shd w:val="clear" w:color="auto" w:fill="auto"/>
            <w:noWrap/>
            <w:vAlign w:val="bottom"/>
            <w:hideMark/>
          </w:tcPr>
          <w:p w14:paraId="2A191942"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55" w:type="pct"/>
            <w:tcBorders>
              <w:top w:val="nil"/>
              <w:left w:val="nil"/>
              <w:bottom w:val="single" w:sz="4" w:space="0" w:color="auto"/>
              <w:right w:val="single" w:sz="4" w:space="0" w:color="auto"/>
            </w:tcBorders>
            <w:shd w:val="clear" w:color="auto" w:fill="auto"/>
            <w:noWrap/>
            <w:vAlign w:val="bottom"/>
            <w:hideMark/>
          </w:tcPr>
          <w:p w14:paraId="1FEAB8E5"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477" w:type="pct"/>
            <w:tcBorders>
              <w:top w:val="nil"/>
              <w:left w:val="nil"/>
              <w:bottom w:val="single" w:sz="4" w:space="0" w:color="auto"/>
              <w:right w:val="single" w:sz="4" w:space="0" w:color="auto"/>
            </w:tcBorders>
            <w:shd w:val="clear" w:color="auto" w:fill="auto"/>
            <w:vAlign w:val="center"/>
            <w:hideMark/>
          </w:tcPr>
          <w:p w14:paraId="0AC3DA59" w14:textId="77777777" w:rsidR="00E3750C" w:rsidRPr="00655549" w:rsidRDefault="00E3750C" w:rsidP="00047864">
            <w:pPr>
              <w:spacing w:after="0" w:line="240" w:lineRule="auto"/>
              <w:jc w:val="right"/>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184</w:t>
            </w:r>
          </w:p>
        </w:tc>
        <w:tc>
          <w:tcPr>
            <w:tcW w:w="933" w:type="pct"/>
            <w:tcBorders>
              <w:top w:val="nil"/>
              <w:left w:val="nil"/>
              <w:bottom w:val="single" w:sz="4" w:space="0" w:color="auto"/>
              <w:right w:val="single" w:sz="4" w:space="0" w:color="auto"/>
            </w:tcBorders>
            <w:shd w:val="clear" w:color="auto" w:fill="auto"/>
            <w:vAlign w:val="center"/>
            <w:hideMark/>
          </w:tcPr>
          <w:p w14:paraId="169C41CE" w14:textId="77777777" w:rsidR="00E3750C" w:rsidRPr="00655549" w:rsidRDefault="00E3750C" w:rsidP="00047864">
            <w:pPr>
              <w:spacing w:after="0" w:line="240" w:lineRule="auto"/>
              <w:jc w:val="right"/>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12.604.752</w:t>
            </w:r>
          </w:p>
        </w:tc>
      </w:tr>
      <w:tr w:rsidR="00E3750C" w:rsidRPr="00655549" w14:paraId="2B74002D" w14:textId="77777777" w:rsidTr="00047864">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0F196CA8"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54" w:type="pct"/>
            <w:tcBorders>
              <w:top w:val="nil"/>
              <w:left w:val="nil"/>
              <w:bottom w:val="single" w:sz="4" w:space="0" w:color="auto"/>
              <w:right w:val="single" w:sz="4" w:space="0" w:color="auto"/>
            </w:tcBorders>
            <w:shd w:val="clear" w:color="auto" w:fill="auto"/>
            <w:noWrap/>
            <w:vAlign w:val="bottom"/>
            <w:hideMark/>
          </w:tcPr>
          <w:p w14:paraId="5D6A2EDD"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646" w:type="pct"/>
            <w:tcBorders>
              <w:top w:val="nil"/>
              <w:left w:val="nil"/>
              <w:bottom w:val="single" w:sz="4" w:space="0" w:color="auto"/>
              <w:right w:val="single" w:sz="4" w:space="0" w:color="auto"/>
            </w:tcBorders>
            <w:shd w:val="clear" w:color="000000" w:fill="00B0F0"/>
            <w:noWrap/>
            <w:vAlign w:val="bottom"/>
            <w:hideMark/>
          </w:tcPr>
          <w:p w14:paraId="4D94B937"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623" w:type="pct"/>
            <w:tcBorders>
              <w:top w:val="nil"/>
              <w:left w:val="nil"/>
              <w:bottom w:val="single" w:sz="4" w:space="0" w:color="auto"/>
              <w:right w:val="single" w:sz="4" w:space="0" w:color="auto"/>
            </w:tcBorders>
            <w:shd w:val="clear" w:color="auto" w:fill="auto"/>
            <w:noWrap/>
            <w:vAlign w:val="bottom"/>
            <w:hideMark/>
          </w:tcPr>
          <w:p w14:paraId="5D924028"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60" w:type="pct"/>
            <w:tcBorders>
              <w:top w:val="nil"/>
              <w:left w:val="nil"/>
              <w:bottom w:val="single" w:sz="4" w:space="0" w:color="auto"/>
              <w:right w:val="single" w:sz="4" w:space="0" w:color="auto"/>
            </w:tcBorders>
            <w:shd w:val="clear" w:color="000000" w:fill="00B0F0"/>
            <w:noWrap/>
            <w:vAlign w:val="bottom"/>
            <w:hideMark/>
          </w:tcPr>
          <w:p w14:paraId="4EB41BD1"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55" w:type="pct"/>
            <w:tcBorders>
              <w:top w:val="nil"/>
              <w:left w:val="nil"/>
              <w:bottom w:val="single" w:sz="4" w:space="0" w:color="auto"/>
              <w:right w:val="single" w:sz="4" w:space="0" w:color="auto"/>
            </w:tcBorders>
            <w:shd w:val="clear" w:color="auto" w:fill="auto"/>
            <w:noWrap/>
            <w:vAlign w:val="bottom"/>
            <w:hideMark/>
          </w:tcPr>
          <w:p w14:paraId="6E9C003B"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477" w:type="pct"/>
            <w:tcBorders>
              <w:top w:val="nil"/>
              <w:left w:val="nil"/>
              <w:bottom w:val="single" w:sz="4" w:space="0" w:color="auto"/>
              <w:right w:val="single" w:sz="4" w:space="0" w:color="auto"/>
            </w:tcBorders>
            <w:shd w:val="clear" w:color="auto" w:fill="auto"/>
            <w:vAlign w:val="center"/>
            <w:hideMark/>
          </w:tcPr>
          <w:p w14:paraId="71C1D96E" w14:textId="77777777" w:rsidR="00E3750C" w:rsidRPr="00655549" w:rsidRDefault="00E3750C" w:rsidP="00047864">
            <w:pPr>
              <w:spacing w:after="0" w:line="240" w:lineRule="auto"/>
              <w:jc w:val="right"/>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86</w:t>
            </w:r>
          </w:p>
        </w:tc>
        <w:tc>
          <w:tcPr>
            <w:tcW w:w="933" w:type="pct"/>
            <w:tcBorders>
              <w:top w:val="nil"/>
              <w:left w:val="nil"/>
              <w:bottom w:val="single" w:sz="4" w:space="0" w:color="auto"/>
              <w:right w:val="single" w:sz="4" w:space="0" w:color="auto"/>
            </w:tcBorders>
            <w:shd w:val="clear" w:color="auto" w:fill="auto"/>
            <w:vAlign w:val="center"/>
            <w:hideMark/>
          </w:tcPr>
          <w:p w14:paraId="34BF56DC" w14:textId="77777777" w:rsidR="00E3750C" w:rsidRPr="00655549" w:rsidRDefault="00E3750C" w:rsidP="00047864">
            <w:pPr>
              <w:spacing w:after="0" w:line="240" w:lineRule="auto"/>
              <w:jc w:val="right"/>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28.739.241</w:t>
            </w:r>
          </w:p>
        </w:tc>
      </w:tr>
      <w:tr w:rsidR="00E3750C" w:rsidRPr="00655549" w14:paraId="1730AC02" w14:textId="77777777" w:rsidTr="00047864">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1C37986A"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54" w:type="pct"/>
            <w:tcBorders>
              <w:top w:val="nil"/>
              <w:left w:val="nil"/>
              <w:bottom w:val="single" w:sz="4" w:space="0" w:color="auto"/>
              <w:right w:val="single" w:sz="4" w:space="0" w:color="auto"/>
            </w:tcBorders>
            <w:shd w:val="clear" w:color="auto" w:fill="auto"/>
            <w:noWrap/>
            <w:vAlign w:val="bottom"/>
            <w:hideMark/>
          </w:tcPr>
          <w:p w14:paraId="1BDEDAB9"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646" w:type="pct"/>
            <w:tcBorders>
              <w:top w:val="nil"/>
              <w:left w:val="nil"/>
              <w:bottom w:val="single" w:sz="4" w:space="0" w:color="auto"/>
              <w:right w:val="single" w:sz="4" w:space="0" w:color="auto"/>
            </w:tcBorders>
            <w:shd w:val="clear" w:color="000000" w:fill="00B0F0"/>
            <w:noWrap/>
            <w:vAlign w:val="bottom"/>
            <w:hideMark/>
          </w:tcPr>
          <w:p w14:paraId="4F79B83C"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623" w:type="pct"/>
            <w:tcBorders>
              <w:top w:val="nil"/>
              <w:left w:val="nil"/>
              <w:bottom w:val="single" w:sz="4" w:space="0" w:color="auto"/>
              <w:right w:val="single" w:sz="4" w:space="0" w:color="auto"/>
            </w:tcBorders>
            <w:shd w:val="clear" w:color="000000" w:fill="00B0F0"/>
            <w:noWrap/>
            <w:vAlign w:val="bottom"/>
            <w:hideMark/>
          </w:tcPr>
          <w:p w14:paraId="0B9DA526"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60" w:type="pct"/>
            <w:tcBorders>
              <w:top w:val="nil"/>
              <w:left w:val="nil"/>
              <w:bottom w:val="single" w:sz="4" w:space="0" w:color="auto"/>
              <w:right w:val="single" w:sz="4" w:space="0" w:color="auto"/>
            </w:tcBorders>
            <w:shd w:val="clear" w:color="000000" w:fill="00B0F0"/>
            <w:noWrap/>
            <w:vAlign w:val="bottom"/>
            <w:hideMark/>
          </w:tcPr>
          <w:p w14:paraId="39D563FE"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55" w:type="pct"/>
            <w:tcBorders>
              <w:top w:val="nil"/>
              <w:left w:val="nil"/>
              <w:bottom w:val="single" w:sz="4" w:space="0" w:color="auto"/>
              <w:right w:val="single" w:sz="4" w:space="0" w:color="auto"/>
            </w:tcBorders>
            <w:shd w:val="clear" w:color="auto" w:fill="auto"/>
            <w:noWrap/>
            <w:vAlign w:val="bottom"/>
            <w:hideMark/>
          </w:tcPr>
          <w:p w14:paraId="4A69E229"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477" w:type="pct"/>
            <w:tcBorders>
              <w:top w:val="nil"/>
              <w:left w:val="nil"/>
              <w:bottom w:val="single" w:sz="4" w:space="0" w:color="auto"/>
              <w:right w:val="single" w:sz="4" w:space="0" w:color="auto"/>
            </w:tcBorders>
            <w:shd w:val="clear" w:color="auto" w:fill="auto"/>
            <w:vAlign w:val="center"/>
            <w:hideMark/>
          </w:tcPr>
          <w:p w14:paraId="5B162565" w14:textId="77777777" w:rsidR="00E3750C" w:rsidRPr="00655549" w:rsidRDefault="00E3750C" w:rsidP="00047864">
            <w:pPr>
              <w:spacing w:after="0" w:line="240" w:lineRule="auto"/>
              <w:jc w:val="right"/>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72</w:t>
            </w:r>
          </w:p>
        </w:tc>
        <w:tc>
          <w:tcPr>
            <w:tcW w:w="933" w:type="pct"/>
            <w:tcBorders>
              <w:top w:val="nil"/>
              <w:left w:val="nil"/>
              <w:bottom w:val="single" w:sz="4" w:space="0" w:color="auto"/>
              <w:right w:val="single" w:sz="4" w:space="0" w:color="auto"/>
            </w:tcBorders>
            <w:shd w:val="clear" w:color="auto" w:fill="auto"/>
            <w:vAlign w:val="center"/>
            <w:hideMark/>
          </w:tcPr>
          <w:p w14:paraId="7BA5801C" w14:textId="77777777" w:rsidR="00E3750C" w:rsidRPr="00655549" w:rsidRDefault="00E3750C" w:rsidP="00047864">
            <w:pPr>
              <w:spacing w:after="0" w:line="240" w:lineRule="auto"/>
              <w:jc w:val="right"/>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64.600.797</w:t>
            </w:r>
          </w:p>
        </w:tc>
      </w:tr>
      <w:tr w:rsidR="00E3750C" w:rsidRPr="00655549" w14:paraId="08F9A4F1" w14:textId="77777777" w:rsidTr="00047864">
        <w:trPr>
          <w:trHeight w:val="300"/>
        </w:trPr>
        <w:tc>
          <w:tcPr>
            <w:tcW w:w="652" w:type="pct"/>
            <w:tcBorders>
              <w:top w:val="nil"/>
              <w:left w:val="single" w:sz="4" w:space="0" w:color="auto"/>
              <w:bottom w:val="single" w:sz="4" w:space="0" w:color="auto"/>
              <w:right w:val="single" w:sz="4" w:space="0" w:color="auto"/>
            </w:tcBorders>
            <w:shd w:val="clear" w:color="000000" w:fill="00B0F0"/>
            <w:noWrap/>
            <w:vAlign w:val="bottom"/>
            <w:hideMark/>
          </w:tcPr>
          <w:p w14:paraId="414389B1"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54" w:type="pct"/>
            <w:tcBorders>
              <w:top w:val="nil"/>
              <w:left w:val="nil"/>
              <w:bottom w:val="single" w:sz="4" w:space="0" w:color="auto"/>
              <w:right w:val="single" w:sz="4" w:space="0" w:color="auto"/>
            </w:tcBorders>
            <w:shd w:val="clear" w:color="auto" w:fill="auto"/>
            <w:noWrap/>
            <w:vAlign w:val="bottom"/>
            <w:hideMark/>
          </w:tcPr>
          <w:p w14:paraId="57061148"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646" w:type="pct"/>
            <w:tcBorders>
              <w:top w:val="nil"/>
              <w:left w:val="nil"/>
              <w:bottom w:val="single" w:sz="4" w:space="0" w:color="auto"/>
              <w:right w:val="single" w:sz="4" w:space="0" w:color="auto"/>
            </w:tcBorders>
            <w:shd w:val="clear" w:color="auto" w:fill="auto"/>
            <w:noWrap/>
            <w:vAlign w:val="bottom"/>
            <w:hideMark/>
          </w:tcPr>
          <w:p w14:paraId="1ED1EA06"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623" w:type="pct"/>
            <w:tcBorders>
              <w:top w:val="nil"/>
              <w:left w:val="nil"/>
              <w:bottom w:val="single" w:sz="4" w:space="0" w:color="auto"/>
              <w:right w:val="single" w:sz="4" w:space="0" w:color="auto"/>
            </w:tcBorders>
            <w:shd w:val="clear" w:color="auto" w:fill="auto"/>
            <w:noWrap/>
            <w:vAlign w:val="bottom"/>
            <w:hideMark/>
          </w:tcPr>
          <w:p w14:paraId="760BAD1C"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60" w:type="pct"/>
            <w:tcBorders>
              <w:top w:val="nil"/>
              <w:left w:val="nil"/>
              <w:bottom w:val="single" w:sz="4" w:space="0" w:color="auto"/>
              <w:right w:val="single" w:sz="4" w:space="0" w:color="auto"/>
            </w:tcBorders>
            <w:shd w:val="clear" w:color="auto" w:fill="auto"/>
            <w:noWrap/>
            <w:vAlign w:val="bottom"/>
            <w:hideMark/>
          </w:tcPr>
          <w:p w14:paraId="38FD0F92"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55" w:type="pct"/>
            <w:tcBorders>
              <w:top w:val="nil"/>
              <w:left w:val="nil"/>
              <w:bottom w:val="single" w:sz="4" w:space="0" w:color="auto"/>
              <w:right w:val="single" w:sz="4" w:space="0" w:color="auto"/>
            </w:tcBorders>
            <w:shd w:val="clear" w:color="auto" w:fill="auto"/>
            <w:noWrap/>
            <w:vAlign w:val="bottom"/>
            <w:hideMark/>
          </w:tcPr>
          <w:p w14:paraId="5F4B2C61"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477" w:type="pct"/>
            <w:tcBorders>
              <w:top w:val="nil"/>
              <w:left w:val="nil"/>
              <w:bottom w:val="single" w:sz="4" w:space="0" w:color="auto"/>
              <w:right w:val="single" w:sz="4" w:space="0" w:color="auto"/>
            </w:tcBorders>
            <w:shd w:val="clear" w:color="auto" w:fill="auto"/>
            <w:vAlign w:val="center"/>
            <w:hideMark/>
          </w:tcPr>
          <w:p w14:paraId="61F264FF" w14:textId="77777777" w:rsidR="00E3750C" w:rsidRPr="00655549" w:rsidRDefault="00E3750C" w:rsidP="00047864">
            <w:pPr>
              <w:spacing w:after="0" w:line="240" w:lineRule="auto"/>
              <w:jc w:val="right"/>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54</w:t>
            </w:r>
          </w:p>
        </w:tc>
        <w:tc>
          <w:tcPr>
            <w:tcW w:w="933" w:type="pct"/>
            <w:tcBorders>
              <w:top w:val="nil"/>
              <w:left w:val="nil"/>
              <w:bottom w:val="single" w:sz="4" w:space="0" w:color="auto"/>
              <w:right w:val="single" w:sz="4" w:space="0" w:color="auto"/>
            </w:tcBorders>
            <w:shd w:val="clear" w:color="auto" w:fill="auto"/>
            <w:vAlign w:val="center"/>
            <w:hideMark/>
          </w:tcPr>
          <w:p w14:paraId="2B1969B9" w14:textId="77777777" w:rsidR="00E3750C" w:rsidRPr="00655549" w:rsidRDefault="00E3750C" w:rsidP="00047864">
            <w:pPr>
              <w:spacing w:after="0" w:line="240" w:lineRule="auto"/>
              <w:jc w:val="right"/>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10.716.645</w:t>
            </w:r>
          </w:p>
        </w:tc>
      </w:tr>
      <w:tr w:rsidR="00E3750C" w:rsidRPr="00655549" w14:paraId="6E5952AF" w14:textId="77777777" w:rsidTr="00047864">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6C397702"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54" w:type="pct"/>
            <w:tcBorders>
              <w:top w:val="nil"/>
              <w:left w:val="nil"/>
              <w:bottom w:val="single" w:sz="4" w:space="0" w:color="auto"/>
              <w:right w:val="single" w:sz="4" w:space="0" w:color="auto"/>
            </w:tcBorders>
            <w:shd w:val="clear" w:color="auto" w:fill="auto"/>
            <w:noWrap/>
            <w:vAlign w:val="bottom"/>
            <w:hideMark/>
          </w:tcPr>
          <w:p w14:paraId="7397702C"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646" w:type="pct"/>
            <w:tcBorders>
              <w:top w:val="nil"/>
              <w:left w:val="nil"/>
              <w:bottom w:val="single" w:sz="4" w:space="0" w:color="auto"/>
              <w:right w:val="single" w:sz="4" w:space="0" w:color="auto"/>
            </w:tcBorders>
            <w:shd w:val="clear" w:color="auto" w:fill="auto"/>
            <w:noWrap/>
            <w:vAlign w:val="bottom"/>
            <w:hideMark/>
          </w:tcPr>
          <w:p w14:paraId="13B75048"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623" w:type="pct"/>
            <w:tcBorders>
              <w:top w:val="nil"/>
              <w:left w:val="nil"/>
              <w:bottom w:val="single" w:sz="4" w:space="0" w:color="auto"/>
              <w:right w:val="single" w:sz="4" w:space="0" w:color="auto"/>
            </w:tcBorders>
            <w:shd w:val="clear" w:color="000000" w:fill="00B0F0"/>
            <w:noWrap/>
            <w:vAlign w:val="bottom"/>
            <w:hideMark/>
          </w:tcPr>
          <w:p w14:paraId="7A8F9D37"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60" w:type="pct"/>
            <w:tcBorders>
              <w:top w:val="nil"/>
              <w:left w:val="nil"/>
              <w:bottom w:val="single" w:sz="4" w:space="0" w:color="auto"/>
              <w:right w:val="single" w:sz="4" w:space="0" w:color="auto"/>
            </w:tcBorders>
            <w:shd w:val="clear" w:color="000000" w:fill="00B0F0"/>
            <w:noWrap/>
            <w:vAlign w:val="bottom"/>
            <w:hideMark/>
          </w:tcPr>
          <w:p w14:paraId="728F369F"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55" w:type="pct"/>
            <w:tcBorders>
              <w:top w:val="nil"/>
              <w:left w:val="nil"/>
              <w:bottom w:val="single" w:sz="4" w:space="0" w:color="auto"/>
              <w:right w:val="single" w:sz="4" w:space="0" w:color="auto"/>
            </w:tcBorders>
            <w:shd w:val="clear" w:color="auto" w:fill="auto"/>
            <w:noWrap/>
            <w:vAlign w:val="bottom"/>
            <w:hideMark/>
          </w:tcPr>
          <w:p w14:paraId="7B2F6479"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477" w:type="pct"/>
            <w:tcBorders>
              <w:top w:val="nil"/>
              <w:left w:val="nil"/>
              <w:bottom w:val="single" w:sz="4" w:space="0" w:color="auto"/>
              <w:right w:val="single" w:sz="4" w:space="0" w:color="auto"/>
            </w:tcBorders>
            <w:shd w:val="clear" w:color="auto" w:fill="auto"/>
            <w:vAlign w:val="center"/>
            <w:hideMark/>
          </w:tcPr>
          <w:p w14:paraId="642E79C1" w14:textId="77777777" w:rsidR="00E3750C" w:rsidRPr="00655549" w:rsidRDefault="00E3750C" w:rsidP="00047864">
            <w:pPr>
              <w:spacing w:after="0" w:line="240" w:lineRule="auto"/>
              <w:jc w:val="right"/>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42</w:t>
            </w:r>
          </w:p>
        </w:tc>
        <w:tc>
          <w:tcPr>
            <w:tcW w:w="933" w:type="pct"/>
            <w:tcBorders>
              <w:top w:val="nil"/>
              <w:left w:val="nil"/>
              <w:bottom w:val="single" w:sz="4" w:space="0" w:color="auto"/>
              <w:right w:val="single" w:sz="4" w:space="0" w:color="auto"/>
            </w:tcBorders>
            <w:shd w:val="clear" w:color="auto" w:fill="auto"/>
            <w:vAlign w:val="center"/>
            <w:hideMark/>
          </w:tcPr>
          <w:p w14:paraId="6601CE6F" w14:textId="77777777" w:rsidR="00E3750C" w:rsidRPr="00655549" w:rsidRDefault="00E3750C" w:rsidP="00047864">
            <w:pPr>
              <w:spacing w:after="0" w:line="240" w:lineRule="auto"/>
              <w:jc w:val="right"/>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10.786.648</w:t>
            </w:r>
          </w:p>
        </w:tc>
      </w:tr>
      <w:tr w:rsidR="00E3750C" w:rsidRPr="00655549" w14:paraId="5AF96796" w14:textId="77777777" w:rsidTr="00047864">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73C60606"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54" w:type="pct"/>
            <w:tcBorders>
              <w:top w:val="nil"/>
              <w:left w:val="nil"/>
              <w:bottom w:val="single" w:sz="4" w:space="0" w:color="auto"/>
              <w:right w:val="single" w:sz="4" w:space="0" w:color="auto"/>
            </w:tcBorders>
            <w:shd w:val="clear" w:color="000000" w:fill="00B0F0"/>
            <w:noWrap/>
            <w:vAlign w:val="bottom"/>
            <w:hideMark/>
          </w:tcPr>
          <w:p w14:paraId="0EE1F72A"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646" w:type="pct"/>
            <w:tcBorders>
              <w:top w:val="nil"/>
              <w:left w:val="nil"/>
              <w:bottom w:val="single" w:sz="4" w:space="0" w:color="auto"/>
              <w:right w:val="single" w:sz="4" w:space="0" w:color="auto"/>
            </w:tcBorders>
            <w:shd w:val="clear" w:color="auto" w:fill="auto"/>
            <w:noWrap/>
            <w:vAlign w:val="bottom"/>
            <w:hideMark/>
          </w:tcPr>
          <w:p w14:paraId="0DD3B7CA"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623" w:type="pct"/>
            <w:tcBorders>
              <w:top w:val="nil"/>
              <w:left w:val="nil"/>
              <w:bottom w:val="single" w:sz="4" w:space="0" w:color="auto"/>
              <w:right w:val="single" w:sz="4" w:space="0" w:color="auto"/>
            </w:tcBorders>
            <w:shd w:val="clear" w:color="000000" w:fill="00B0F0"/>
            <w:noWrap/>
            <w:vAlign w:val="bottom"/>
            <w:hideMark/>
          </w:tcPr>
          <w:p w14:paraId="0E3E7656"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60" w:type="pct"/>
            <w:tcBorders>
              <w:top w:val="nil"/>
              <w:left w:val="nil"/>
              <w:bottom w:val="single" w:sz="4" w:space="0" w:color="auto"/>
              <w:right w:val="single" w:sz="4" w:space="0" w:color="auto"/>
            </w:tcBorders>
            <w:shd w:val="clear" w:color="auto" w:fill="auto"/>
            <w:noWrap/>
            <w:vAlign w:val="bottom"/>
            <w:hideMark/>
          </w:tcPr>
          <w:p w14:paraId="0D4E6C54"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55" w:type="pct"/>
            <w:tcBorders>
              <w:top w:val="nil"/>
              <w:left w:val="nil"/>
              <w:bottom w:val="single" w:sz="4" w:space="0" w:color="auto"/>
              <w:right w:val="single" w:sz="4" w:space="0" w:color="auto"/>
            </w:tcBorders>
            <w:shd w:val="clear" w:color="auto" w:fill="auto"/>
            <w:noWrap/>
            <w:vAlign w:val="bottom"/>
            <w:hideMark/>
          </w:tcPr>
          <w:p w14:paraId="149E9701"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477" w:type="pct"/>
            <w:tcBorders>
              <w:top w:val="nil"/>
              <w:left w:val="nil"/>
              <w:bottom w:val="single" w:sz="4" w:space="0" w:color="auto"/>
              <w:right w:val="single" w:sz="4" w:space="0" w:color="auto"/>
            </w:tcBorders>
            <w:shd w:val="clear" w:color="auto" w:fill="auto"/>
            <w:vAlign w:val="center"/>
            <w:hideMark/>
          </w:tcPr>
          <w:p w14:paraId="2313B597" w14:textId="77777777" w:rsidR="00E3750C" w:rsidRPr="00655549" w:rsidRDefault="00E3750C" w:rsidP="00047864">
            <w:pPr>
              <w:spacing w:after="0" w:line="240" w:lineRule="auto"/>
              <w:jc w:val="right"/>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19</w:t>
            </w:r>
          </w:p>
        </w:tc>
        <w:tc>
          <w:tcPr>
            <w:tcW w:w="933" w:type="pct"/>
            <w:tcBorders>
              <w:top w:val="nil"/>
              <w:left w:val="nil"/>
              <w:bottom w:val="single" w:sz="4" w:space="0" w:color="auto"/>
              <w:right w:val="single" w:sz="4" w:space="0" w:color="auto"/>
            </w:tcBorders>
            <w:shd w:val="clear" w:color="auto" w:fill="auto"/>
            <w:vAlign w:val="center"/>
            <w:hideMark/>
          </w:tcPr>
          <w:p w14:paraId="462A2C7C" w14:textId="77777777" w:rsidR="00E3750C" w:rsidRPr="00655549" w:rsidRDefault="00E3750C" w:rsidP="00047864">
            <w:pPr>
              <w:spacing w:after="0" w:line="240" w:lineRule="auto"/>
              <w:jc w:val="right"/>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10.766.554</w:t>
            </w:r>
          </w:p>
        </w:tc>
      </w:tr>
      <w:tr w:rsidR="00E3750C" w:rsidRPr="00655549" w14:paraId="54982899" w14:textId="77777777" w:rsidTr="00047864">
        <w:trPr>
          <w:trHeight w:val="300"/>
        </w:trPr>
        <w:tc>
          <w:tcPr>
            <w:tcW w:w="652" w:type="pct"/>
            <w:tcBorders>
              <w:top w:val="nil"/>
              <w:left w:val="single" w:sz="4" w:space="0" w:color="auto"/>
              <w:bottom w:val="single" w:sz="4" w:space="0" w:color="auto"/>
              <w:right w:val="single" w:sz="4" w:space="0" w:color="auto"/>
            </w:tcBorders>
            <w:shd w:val="clear" w:color="000000" w:fill="00B0F0"/>
            <w:noWrap/>
            <w:vAlign w:val="bottom"/>
            <w:hideMark/>
          </w:tcPr>
          <w:p w14:paraId="2D07DDD4"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54" w:type="pct"/>
            <w:tcBorders>
              <w:top w:val="nil"/>
              <w:left w:val="nil"/>
              <w:bottom w:val="single" w:sz="4" w:space="0" w:color="auto"/>
              <w:right w:val="single" w:sz="4" w:space="0" w:color="auto"/>
            </w:tcBorders>
            <w:shd w:val="clear" w:color="auto" w:fill="auto"/>
            <w:noWrap/>
            <w:vAlign w:val="bottom"/>
            <w:hideMark/>
          </w:tcPr>
          <w:p w14:paraId="21D5DCEB"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646" w:type="pct"/>
            <w:tcBorders>
              <w:top w:val="nil"/>
              <w:left w:val="nil"/>
              <w:bottom w:val="single" w:sz="4" w:space="0" w:color="auto"/>
              <w:right w:val="single" w:sz="4" w:space="0" w:color="auto"/>
            </w:tcBorders>
            <w:shd w:val="clear" w:color="000000" w:fill="00B0F0"/>
            <w:noWrap/>
            <w:vAlign w:val="bottom"/>
            <w:hideMark/>
          </w:tcPr>
          <w:p w14:paraId="2488E11D"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623" w:type="pct"/>
            <w:tcBorders>
              <w:top w:val="nil"/>
              <w:left w:val="nil"/>
              <w:bottom w:val="single" w:sz="4" w:space="0" w:color="auto"/>
              <w:right w:val="single" w:sz="4" w:space="0" w:color="auto"/>
            </w:tcBorders>
            <w:shd w:val="clear" w:color="000000" w:fill="00B0F0"/>
            <w:noWrap/>
            <w:vAlign w:val="bottom"/>
            <w:hideMark/>
          </w:tcPr>
          <w:p w14:paraId="3230E2CA"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60" w:type="pct"/>
            <w:tcBorders>
              <w:top w:val="nil"/>
              <w:left w:val="nil"/>
              <w:bottom w:val="single" w:sz="4" w:space="0" w:color="auto"/>
              <w:right w:val="single" w:sz="4" w:space="0" w:color="auto"/>
            </w:tcBorders>
            <w:shd w:val="clear" w:color="000000" w:fill="00B0F0"/>
            <w:noWrap/>
            <w:vAlign w:val="bottom"/>
            <w:hideMark/>
          </w:tcPr>
          <w:p w14:paraId="18791D47"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55" w:type="pct"/>
            <w:tcBorders>
              <w:top w:val="nil"/>
              <w:left w:val="nil"/>
              <w:bottom w:val="single" w:sz="4" w:space="0" w:color="auto"/>
              <w:right w:val="single" w:sz="4" w:space="0" w:color="auto"/>
            </w:tcBorders>
            <w:shd w:val="clear" w:color="auto" w:fill="auto"/>
            <w:noWrap/>
            <w:vAlign w:val="bottom"/>
            <w:hideMark/>
          </w:tcPr>
          <w:p w14:paraId="7964E19D"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477" w:type="pct"/>
            <w:tcBorders>
              <w:top w:val="nil"/>
              <w:left w:val="nil"/>
              <w:bottom w:val="single" w:sz="4" w:space="0" w:color="auto"/>
              <w:right w:val="single" w:sz="4" w:space="0" w:color="auto"/>
            </w:tcBorders>
            <w:shd w:val="clear" w:color="auto" w:fill="auto"/>
            <w:vAlign w:val="center"/>
            <w:hideMark/>
          </w:tcPr>
          <w:p w14:paraId="2E304669" w14:textId="77777777" w:rsidR="00E3750C" w:rsidRPr="00655549" w:rsidRDefault="00E3750C" w:rsidP="00047864">
            <w:pPr>
              <w:spacing w:after="0" w:line="240" w:lineRule="auto"/>
              <w:jc w:val="right"/>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7</w:t>
            </w:r>
          </w:p>
        </w:tc>
        <w:tc>
          <w:tcPr>
            <w:tcW w:w="933" w:type="pct"/>
            <w:tcBorders>
              <w:top w:val="nil"/>
              <w:left w:val="nil"/>
              <w:bottom w:val="single" w:sz="4" w:space="0" w:color="auto"/>
              <w:right w:val="single" w:sz="4" w:space="0" w:color="auto"/>
            </w:tcBorders>
            <w:shd w:val="clear" w:color="auto" w:fill="auto"/>
            <w:vAlign w:val="center"/>
            <w:hideMark/>
          </w:tcPr>
          <w:p w14:paraId="0D0A0616" w14:textId="77777777" w:rsidR="00E3750C" w:rsidRPr="00655549" w:rsidRDefault="00E3750C" w:rsidP="00047864">
            <w:pPr>
              <w:spacing w:after="0" w:line="240" w:lineRule="auto"/>
              <w:jc w:val="right"/>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2.510.518</w:t>
            </w:r>
          </w:p>
        </w:tc>
      </w:tr>
      <w:tr w:rsidR="00E3750C" w:rsidRPr="00655549" w14:paraId="02C4DD5F" w14:textId="77777777" w:rsidTr="00047864">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6C5A4EAB"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54" w:type="pct"/>
            <w:tcBorders>
              <w:top w:val="nil"/>
              <w:left w:val="nil"/>
              <w:bottom w:val="single" w:sz="4" w:space="0" w:color="auto"/>
              <w:right w:val="single" w:sz="4" w:space="0" w:color="auto"/>
            </w:tcBorders>
            <w:shd w:val="clear" w:color="000000" w:fill="00B0F0"/>
            <w:noWrap/>
            <w:vAlign w:val="bottom"/>
            <w:hideMark/>
          </w:tcPr>
          <w:p w14:paraId="5F88F533"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646" w:type="pct"/>
            <w:tcBorders>
              <w:top w:val="nil"/>
              <w:left w:val="nil"/>
              <w:bottom w:val="single" w:sz="4" w:space="0" w:color="auto"/>
              <w:right w:val="single" w:sz="4" w:space="0" w:color="auto"/>
            </w:tcBorders>
            <w:shd w:val="clear" w:color="auto" w:fill="auto"/>
            <w:noWrap/>
            <w:vAlign w:val="bottom"/>
            <w:hideMark/>
          </w:tcPr>
          <w:p w14:paraId="243381C4"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623" w:type="pct"/>
            <w:tcBorders>
              <w:top w:val="nil"/>
              <w:left w:val="nil"/>
              <w:bottom w:val="single" w:sz="4" w:space="0" w:color="auto"/>
              <w:right w:val="single" w:sz="4" w:space="0" w:color="auto"/>
            </w:tcBorders>
            <w:shd w:val="clear" w:color="auto" w:fill="auto"/>
            <w:noWrap/>
            <w:vAlign w:val="bottom"/>
            <w:hideMark/>
          </w:tcPr>
          <w:p w14:paraId="670606AE"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60" w:type="pct"/>
            <w:tcBorders>
              <w:top w:val="nil"/>
              <w:left w:val="nil"/>
              <w:bottom w:val="single" w:sz="4" w:space="0" w:color="auto"/>
              <w:right w:val="single" w:sz="4" w:space="0" w:color="auto"/>
            </w:tcBorders>
            <w:shd w:val="clear" w:color="000000" w:fill="00B0F0"/>
            <w:noWrap/>
            <w:vAlign w:val="bottom"/>
            <w:hideMark/>
          </w:tcPr>
          <w:p w14:paraId="6D3B302D"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55" w:type="pct"/>
            <w:tcBorders>
              <w:top w:val="nil"/>
              <w:left w:val="nil"/>
              <w:bottom w:val="single" w:sz="4" w:space="0" w:color="auto"/>
              <w:right w:val="single" w:sz="4" w:space="0" w:color="auto"/>
            </w:tcBorders>
            <w:shd w:val="clear" w:color="auto" w:fill="auto"/>
            <w:noWrap/>
            <w:vAlign w:val="bottom"/>
            <w:hideMark/>
          </w:tcPr>
          <w:p w14:paraId="12B42EED"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477" w:type="pct"/>
            <w:tcBorders>
              <w:top w:val="nil"/>
              <w:left w:val="nil"/>
              <w:bottom w:val="single" w:sz="4" w:space="0" w:color="auto"/>
              <w:right w:val="single" w:sz="4" w:space="0" w:color="auto"/>
            </w:tcBorders>
            <w:shd w:val="clear" w:color="auto" w:fill="auto"/>
            <w:vAlign w:val="center"/>
            <w:hideMark/>
          </w:tcPr>
          <w:p w14:paraId="25790840" w14:textId="77777777" w:rsidR="00E3750C" w:rsidRPr="00655549" w:rsidRDefault="00E3750C" w:rsidP="00047864">
            <w:pPr>
              <w:spacing w:after="0" w:line="240" w:lineRule="auto"/>
              <w:jc w:val="right"/>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4</w:t>
            </w:r>
          </w:p>
        </w:tc>
        <w:tc>
          <w:tcPr>
            <w:tcW w:w="933" w:type="pct"/>
            <w:tcBorders>
              <w:top w:val="nil"/>
              <w:left w:val="nil"/>
              <w:bottom w:val="single" w:sz="4" w:space="0" w:color="auto"/>
              <w:right w:val="single" w:sz="4" w:space="0" w:color="auto"/>
            </w:tcBorders>
            <w:shd w:val="clear" w:color="auto" w:fill="auto"/>
            <w:vAlign w:val="center"/>
            <w:hideMark/>
          </w:tcPr>
          <w:p w14:paraId="2F3E4409" w14:textId="77777777" w:rsidR="00E3750C" w:rsidRPr="00655549" w:rsidRDefault="00E3750C" w:rsidP="00047864">
            <w:pPr>
              <w:spacing w:after="0" w:line="240" w:lineRule="auto"/>
              <w:jc w:val="right"/>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371.724</w:t>
            </w:r>
          </w:p>
        </w:tc>
      </w:tr>
      <w:tr w:rsidR="00E3750C" w:rsidRPr="00655549" w14:paraId="54F466F6" w14:textId="77777777" w:rsidTr="00047864">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556D3FA8"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54" w:type="pct"/>
            <w:tcBorders>
              <w:top w:val="nil"/>
              <w:left w:val="nil"/>
              <w:bottom w:val="single" w:sz="4" w:space="0" w:color="auto"/>
              <w:right w:val="single" w:sz="4" w:space="0" w:color="auto"/>
            </w:tcBorders>
            <w:shd w:val="clear" w:color="000000" w:fill="00B0F0"/>
            <w:noWrap/>
            <w:vAlign w:val="bottom"/>
            <w:hideMark/>
          </w:tcPr>
          <w:p w14:paraId="5B2FE813"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646" w:type="pct"/>
            <w:tcBorders>
              <w:top w:val="nil"/>
              <w:left w:val="nil"/>
              <w:bottom w:val="single" w:sz="4" w:space="0" w:color="auto"/>
              <w:right w:val="single" w:sz="4" w:space="0" w:color="auto"/>
            </w:tcBorders>
            <w:shd w:val="clear" w:color="000000" w:fill="00B0F0"/>
            <w:noWrap/>
            <w:vAlign w:val="bottom"/>
            <w:hideMark/>
          </w:tcPr>
          <w:p w14:paraId="57E6FBCA"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623" w:type="pct"/>
            <w:tcBorders>
              <w:top w:val="nil"/>
              <w:left w:val="nil"/>
              <w:bottom w:val="single" w:sz="4" w:space="0" w:color="auto"/>
              <w:right w:val="single" w:sz="4" w:space="0" w:color="auto"/>
            </w:tcBorders>
            <w:shd w:val="clear" w:color="auto" w:fill="auto"/>
            <w:noWrap/>
            <w:vAlign w:val="bottom"/>
            <w:hideMark/>
          </w:tcPr>
          <w:p w14:paraId="53565AE2"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60" w:type="pct"/>
            <w:tcBorders>
              <w:top w:val="nil"/>
              <w:left w:val="nil"/>
              <w:bottom w:val="single" w:sz="4" w:space="0" w:color="auto"/>
              <w:right w:val="single" w:sz="4" w:space="0" w:color="auto"/>
            </w:tcBorders>
            <w:shd w:val="clear" w:color="auto" w:fill="auto"/>
            <w:noWrap/>
            <w:vAlign w:val="bottom"/>
            <w:hideMark/>
          </w:tcPr>
          <w:p w14:paraId="32E97C86"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55" w:type="pct"/>
            <w:tcBorders>
              <w:top w:val="nil"/>
              <w:left w:val="nil"/>
              <w:bottom w:val="single" w:sz="4" w:space="0" w:color="auto"/>
              <w:right w:val="single" w:sz="4" w:space="0" w:color="auto"/>
            </w:tcBorders>
            <w:shd w:val="clear" w:color="auto" w:fill="auto"/>
            <w:noWrap/>
            <w:vAlign w:val="bottom"/>
            <w:hideMark/>
          </w:tcPr>
          <w:p w14:paraId="425AF426"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477" w:type="pct"/>
            <w:tcBorders>
              <w:top w:val="nil"/>
              <w:left w:val="nil"/>
              <w:bottom w:val="single" w:sz="4" w:space="0" w:color="auto"/>
              <w:right w:val="single" w:sz="4" w:space="0" w:color="auto"/>
            </w:tcBorders>
            <w:shd w:val="clear" w:color="auto" w:fill="auto"/>
            <w:vAlign w:val="center"/>
            <w:hideMark/>
          </w:tcPr>
          <w:p w14:paraId="36553CFB" w14:textId="77777777" w:rsidR="00E3750C" w:rsidRPr="00655549" w:rsidRDefault="00E3750C" w:rsidP="00047864">
            <w:pPr>
              <w:spacing w:after="0" w:line="240" w:lineRule="auto"/>
              <w:jc w:val="right"/>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4</w:t>
            </w:r>
          </w:p>
        </w:tc>
        <w:tc>
          <w:tcPr>
            <w:tcW w:w="933" w:type="pct"/>
            <w:tcBorders>
              <w:top w:val="nil"/>
              <w:left w:val="nil"/>
              <w:bottom w:val="single" w:sz="4" w:space="0" w:color="auto"/>
              <w:right w:val="single" w:sz="4" w:space="0" w:color="auto"/>
            </w:tcBorders>
            <w:shd w:val="clear" w:color="auto" w:fill="auto"/>
            <w:vAlign w:val="center"/>
            <w:hideMark/>
          </w:tcPr>
          <w:p w14:paraId="7F114797" w14:textId="77777777" w:rsidR="00E3750C" w:rsidRPr="00655549" w:rsidRDefault="00E3750C" w:rsidP="00047864">
            <w:pPr>
              <w:spacing w:after="0" w:line="240" w:lineRule="auto"/>
              <w:jc w:val="right"/>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43.970</w:t>
            </w:r>
          </w:p>
        </w:tc>
      </w:tr>
      <w:tr w:rsidR="00E3750C" w:rsidRPr="00655549" w14:paraId="627F9578" w14:textId="77777777" w:rsidTr="00047864">
        <w:trPr>
          <w:trHeight w:val="300"/>
        </w:trPr>
        <w:tc>
          <w:tcPr>
            <w:tcW w:w="652" w:type="pct"/>
            <w:tcBorders>
              <w:top w:val="nil"/>
              <w:left w:val="single" w:sz="4" w:space="0" w:color="auto"/>
              <w:bottom w:val="single" w:sz="4" w:space="0" w:color="auto"/>
              <w:right w:val="single" w:sz="4" w:space="0" w:color="auto"/>
            </w:tcBorders>
            <w:shd w:val="clear" w:color="000000" w:fill="00B0F0"/>
            <w:noWrap/>
            <w:vAlign w:val="bottom"/>
            <w:hideMark/>
          </w:tcPr>
          <w:p w14:paraId="3F1ED5FE"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54" w:type="pct"/>
            <w:tcBorders>
              <w:top w:val="nil"/>
              <w:left w:val="nil"/>
              <w:bottom w:val="single" w:sz="4" w:space="0" w:color="auto"/>
              <w:right w:val="single" w:sz="4" w:space="0" w:color="auto"/>
            </w:tcBorders>
            <w:shd w:val="clear" w:color="auto" w:fill="auto"/>
            <w:noWrap/>
            <w:vAlign w:val="bottom"/>
            <w:hideMark/>
          </w:tcPr>
          <w:p w14:paraId="1D0436F6"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646" w:type="pct"/>
            <w:tcBorders>
              <w:top w:val="nil"/>
              <w:left w:val="nil"/>
              <w:bottom w:val="single" w:sz="4" w:space="0" w:color="auto"/>
              <w:right w:val="single" w:sz="4" w:space="0" w:color="auto"/>
            </w:tcBorders>
            <w:shd w:val="clear" w:color="auto" w:fill="auto"/>
            <w:noWrap/>
            <w:vAlign w:val="bottom"/>
            <w:hideMark/>
          </w:tcPr>
          <w:p w14:paraId="45BD2BFF"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623" w:type="pct"/>
            <w:tcBorders>
              <w:top w:val="nil"/>
              <w:left w:val="nil"/>
              <w:bottom w:val="single" w:sz="4" w:space="0" w:color="auto"/>
              <w:right w:val="single" w:sz="4" w:space="0" w:color="auto"/>
            </w:tcBorders>
            <w:shd w:val="clear" w:color="000000" w:fill="00B0F0"/>
            <w:noWrap/>
            <w:vAlign w:val="bottom"/>
            <w:hideMark/>
          </w:tcPr>
          <w:p w14:paraId="054DAB0F"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60" w:type="pct"/>
            <w:tcBorders>
              <w:top w:val="nil"/>
              <w:left w:val="nil"/>
              <w:bottom w:val="single" w:sz="4" w:space="0" w:color="auto"/>
              <w:right w:val="single" w:sz="4" w:space="0" w:color="auto"/>
            </w:tcBorders>
            <w:shd w:val="clear" w:color="auto" w:fill="auto"/>
            <w:noWrap/>
            <w:vAlign w:val="bottom"/>
            <w:hideMark/>
          </w:tcPr>
          <w:p w14:paraId="0FA814A0"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55" w:type="pct"/>
            <w:tcBorders>
              <w:top w:val="nil"/>
              <w:left w:val="nil"/>
              <w:bottom w:val="single" w:sz="4" w:space="0" w:color="auto"/>
              <w:right w:val="single" w:sz="4" w:space="0" w:color="auto"/>
            </w:tcBorders>
            <w:shd w:val="clear" w:color="auto" w:fill="auto"/>
            <w:noWrap/>
            <w:vAlign w:val="bottom"/>
            <w:hideMark/>
          </w:tcPr>
          <w:p w14:paraId="3E2BFE1D"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477" w:type="pct"/>
            <w:tcBorders>
              <w:top w:val="nil"/>
              <w:left w:val="nil"/>
              <w:bottom w:val="single" w:sz="4" w:space="0" w:color="auto"/>
              <w:right w:val="single" w:sz="4" w:space="0" w:color="auto"/>
            </w:tcBorders>
            <w:shd w:val="clear" w:color="auto" w:fill="auto"/>
            <w:vAlign w:val="center"/>
            <w:hideMark/>
          </w:tcPr>
          <w:p w14:paraId="38C07D05" w14:textId="77777777" w:rsidR="00E3750C" w:rsidRPr="00655549" w:rsidRDefault="00E3750C" w:rsidP="00047864">
            <w:pPr>
              <w:spacing w:after="0" w:line="240" w:lineRule="auto"/>
              <w:jc w:val="right"/>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3</w:t>
            </w:r>
          </w:p>
        </w:tc>
        <w:tc>
          <w:tcPr>
            <w:tcW w:w="933" w:type="pct"/>
            <w:tcBorders>
              <w:top w:val="nil"/>
              <w:left w:val="nil"/>
              <w:bottom w:val="single" w:sz="4" w:space="0" w:color="auto"/>
              <w:right w:val="single" w:sz="4" w:space="0" w:color="auto"/>
            </w:tcBorders>
            <w:shd w:val="clear" w:color="auto" w:fill="auto"/>
            <w:vAlign w:val="center"/>
            <w:hideMark/>
          </w:tcPr>
          <w:p w14:paraId="4B890487" w14:textId="77777777" w:rsidR="00E3750C" w:rsidRPr="00655549" w:rsidRDefault="00E3750C" w:rsidP="00047864">
            <w:pPr>
              <w:spacing w:after="0" w:line="240" w:lineRule="auto"/>
              <w:jc w:val="right"/>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2.656.936</w:t>
            </w:r>
          </w:p>
        </w:tc>
      </w:tr>
      <w:tr w:rsidR="00E3750C" w:rsidRPr="00655549" w14:paraId="6F0BB277" w14:textId="77777777" w:rsidTr="00047864">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5396020C"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54" w:type="pct"/>
            <w:tcBorders>
              <w:top w:val="nil"/>
              <w:left w:val="nil"/>
              <w:bottom w:val="single" w:sz="4" w:space="0" w:color="auto"/>
              <w:right w:val="single" w:sz="4" w:space="0" w:color="auto"/>
            </w:tcBorders>
            <w:shd w:val="clear" w:color="000000" w:fill="00B0F0"/>
            <w:noWrap/>
            <w:vAlign w:val="bottom"/>
            <w:hideMark/>
          </w:tcPr>
          <w:p w14:paraId="3CD95DF3"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646" w:type="pct"/>
            <w:tcBorders>
              <w:top w:val="nil"/>
              <w:left w:val="nil"/>
              <w:bottom w:val="single" w:sz="4" w:space="0" w:color="auto"/>
              <w:right w:val="single" w:sz="4" w:space="0" w:color="auto"/>
            </w:tcBorders>
            <w:shd w:val="clear" w:color="000000" w:fill="00B0F0"/>
            <w:noWrap/>
            <w:vAlign w:val="bottom"/>
            <w:hideMark/>
          </w:tcPr>
          <w:p w14:paraId="79F61A13"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623" w:type="pct"/>
            <w:tcBorders>
              <w:top w:val="nil"/>
              <w:left w:val="nil"/>
              <w:bottom w:val="single" w:sz="4" w:space="0" w:color="auto"/>
              <w:right w:val="single" w:sz="4" w:space="0" w:color="auto"/>
            </w:tcBorders>
            <w:shd w:val="clear" w:color="000000" w:fill="00B0F0"/>
            <w:noWrap/>
            <w:vAlign w:val="bottom"/>
            <w:hideMark/>
          </w:tcPr>
          <w:p w14:paraId="71535332"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60" w:type="pct"/>
            <w:tcBorders>
              <w:top w:val="nil"/>
              <w:left w:val="nil"/>
              <w:bottom w:val="single" w:sz="4" w:space="0" w:color="auto"/>
              <w:right w:val="single" w:sz="4" w:space="0" w:color="auto"/>
            </w:tcBorders>
            <w:shd w:val="clear" w:color="000000" w:fill="00B0F0"/>
            <w:noWrap/>
            <w:vAlign w:val="bottom"/>
            <w:hideMark/>
          </w:tcPr>
          <w:p w14:paraId="24AB8E97"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55" w:type="pct"/>
            <w:tcBorders>
              <w:top w:val="nil"/>
              <w:left w:val="nil"/>
              <w:bottom w:val="single" w:sz="4" w:space="0" w:color="auto"/>
              <w:right w:val="single" w:sz="4" w:space="0" w:color="auto"/>
            </w:tcBorders>
            <w:shd w:val="clear" w:color="auto" w:fill="auto"/>
            <w:noWrap/>
            <w:vAlign w:val="bottom"/>
            <w:hideMark/>
          </w:tcPr>
          <w:p w14:paraId="648A0035"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477" w:type="pct"/>
            <w:tcBorders>
              <w:top w:val="nil"/>
              <w:left w:val="nil"/>
              <w:bottom w:val="single" w:sz="4" w:space="0" w:color="auto"/>
              <w:right w:val="single" w:sz="4" w:space="0" w:color="auto"/>
            </w:tcBorders>
            <w:shd w:val="clear" w:color="auto" w:fill="auto"/>
            <w:vAlign w:val="center"/>
            <w:hideMark/>
          </w:tcPr>
          <w:p w14:paraId="1D36EACA" w14:textId="77777777" w:rsidR="00E3750C" w:rsidRPr="00655549" w:rsidRDefault="00E3750C" w:rsidP="00047864">
            <w:pPr>
              <w:spacing w:after="0" w:line="240" w:lineRule="auto"/>
              <w:jc w:val="right"/>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2</w:t>
            </w:r>
          </w:p>
        </w:tc>
        <w:tc>
          <w:tcPr>
            <w:tcW w:w="933" w:type="pct"/>
            <w:tcBorders>
              <w:top w:val="nil"/>
              <w:left w:val="nil"/>
              <w:bottom w:val="single" w:sz="4" w:space="0" w:color="auto"/>
              <w:right w:val="single" w:sz="4" w:space="0" w:color="auto"/>
            </w:tcBorders>
            <w:shd w:val="clear" w:color="auto" w:fill="auto"/>
            <w:vAlign w:val="center"/>
            <w:hideMark/>
          </w:tcPr>
          <w:p w14:paraId="5EDA12AF" w14:textId="77777777" w:rsidR="00E3750C" w:rsidRPr="00655549" w:rsidRDefault="00E3750C" w:rsidP="00047864">
            <w:pPr>
              <w:spacing w:after="0" w:line="240" w:lineRule="auto"/>
              <w:jc w:val="right"/>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635.370</w:t>
            </w:r>
          </w:p>
        </w:tc>
      </w:tr>
      <w:tr w:rsidR="00E3750C" w:rsidRPr="00655549" w14:paraId="60A23FF2" w14:textId="77777777" w:rsidTr="00047864">
        <w:trPr>
          <w:trHeight w:val="300"/>
        </w:trPr>
        <w:tc>
          <w:tcPr>
            <w:tcW w:w="652" w:type="pct"/>
            <w:tcBorders>
              <w:top w:val="nil"/>
              <w:left w:val="single" w:sz="4" w:space="0" w:color="auto"/>
              <w:bottom w:val="single" w:sz="4" w:space="0" w:color="auto"/>
              <w:right w:val="single" w:sz="4" w:space="0" w:color="auto"/>
            </w:tcBorders>
            <w:shd w:val="clear" w:color="000000" w:fill="00B0F0"/>
            <w:noWrap/>
            <w:vAlign w:val="bottom"/>
            <w:hideMark/>
          </w:tcPr>
          <w:p w14:paraId="2ECA78D7"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54" w:type="pct"/>
            <w:tcBorders>
              <w:top w:val="nil"/>
              <w:left w:val="nil"/>
              <w:bottom w:val="single" w:sz="4" w:space="0" w:color="auto"/>
              <w:right w:val="single" w:sz="4" w:space="0" w:color="auto"/>
            </w:tcBorders>
            <w:shd w:val="clear" w:color="000000" w:fill="00B0F0"/>
            <w:noWrap/>
            <w:vAlign w:val="bottom"/>
            <w:hideMark/>
          </w:tcPr>
          <w:p w14:paraId="288AA274"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646" w:type="pct"/>
            <w:tcBorders>
              <w:top w:val="nil"/>
              <w:left w:val="nil"/>
              <w:bottom w:val="single" w:sz="4" w:space="0" w:color="auto"/>
              <w:right w:val="single" w:sz="4" w:space="0" w:color="auto"/>
            </w:tcBorders>
            <w:shd w:val="clear" w:color="auto" w:fill="auto"/>
            <w:noWrap/>
            <w:vAlign w:val="bottom"/>
            <w:hideMark/>
          </w:tcPr>
          <w:p w14:paraId="69870784"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623" w:type="pct"/>
            <w:tcBorders>
              <w:top w:val="nil"/>
              <w:left w:val="nil"/>
              <w:bottom w:val="single" w:sz="4" w:space="0" w:color="auto"/>
              <w:right w:val="single" w:sz="4" w:space="0" w:color="auto"/>
            </w:tcBorders>
            <w:shd w:val="clear" w:color="auto" w:fill="auto"/>
            <w:noWrap/>
            <w:vAlign w:val="bottom"/>
            <w:hideMark/>
          </w:tcPr>
          <w:p w14:paraId="7C3848D0"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60" w:type="pct"/>
            <w:tcBorders>
              <w:top w:val="nil"/>
              <w:left w:val="nil"/>
              <w:bottom w:val="single" w:sz="4" w:space="0" w:color="auto"/>
              <w:right w:val="single" w:sz="4" w:space="0" w:color="auto"/>
            </w:tcBorders>
            <w:shd w:val="clear" w:color="auto" w:fill="auto"/>
            <w:noWrap/>
            <w:vAlign w:val="bottom"/>
            <w:hideMark/>
          </w:tcPr>
          <w:p w14:paraId="164E490E"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55" w:type="pct"/>
            <w:tcBorders>
              <w:top w:val="nil"/>
              <w:left w:val="nil"/>
              <w:bottom w:val="single" w:sz="4" w:space="0" w:color="auto"/>
              <w:right w:val="single" w:sz="4" w:space="0" w:color="auto"/>
            </w:tcBorders>
            <w:shd w:val="clear" w:color="auto" w:fill="auto"/>
            <w:noWrap/>
            <w:vAlign w:val="bottom"/>
            <w:hideMark/>
          </w:tcPr>
          <w:p w14:paraId="54554A5E"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477" w:type="pct"/>
            <w:tcBorders>
              <w:top w:val="nil"/>
              <w:left w:val="nil"/>
              <w:bottom w:val="single" w:sz="4" w:space="0" w:color="auto"/>
              <w:right w:val="single" w:sz="4" w:space="0" w:color="auto"/>
            </w:tcBorders>
            <w:shd w:val="clear" w:color="auto" w:fill="auto"/>
            <w:vAlign w:val="center"/>
            <w:hideMark/>
          </w:tcPr>
          <w:p w14:paraId="6712DF66" w14:textId="77777777" w:rsidR="00E3750C" w:rsidRPr="00655549" w:rsidRDefault="00E3750C" w:rsidP="00047864">
            <w:pPr>
              <w:spacing w:after="0" w:line="240" w:lineRule="auto"/>
              <w:jc w:val="right"/>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2</w:t>
            </w:r>
          </w:p>
        </w:tc>
        <w:tc>
          <w:tcPr>
            <w:tcW w:w="933" w:type="pct"/>
            <w:tcBorders>
              <w:top w:val="nil"/>
              <w:left w:val="nil"/>
              <w:bottom w:val="single" w:sz="4" w:space="0" w:color="auto"/>
              <w:right w:val="single" w:sz="4" w:space="0" w:color="auto"/>
            </w:tcBorders>
            <w:shd w:val="clear" w:color="auto" w:fill="auto"/>
            <w:vAlign w:val="center"/>
            <w:hideMark/>
          </w:tcPr>
          <w:p w14:paraId="5A11316E" w14:textId="77777777" w:rsidR="00E3750C" w:rsidRPr="00655549" w:rsidRDefault="00E3750C" w:rsidP="00047864">
            <w:pPr>
              <w:spacing w:after="0" w:line="240" w:lineRule="auto"/>
              <w:jc w:val="right"/>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186.390</w:t>
            </w:r>
          </w:p>
        </w:tc>
      </w:tr>
      <w:tr w:rsidR="00E3750C" w:rsidRPr="00655549" w14:paraId="24E6029E" w14:textId="77777777" w:rsidTr="00047864">
        <w:trPr>
          <w:trHeight w:val="300"/>
        </w:trPr>
        <w:tc>
          <w:tcPr>
            <w:tcW w:w="652" w:type="pct"/>
            <w:tcBorders>
              <w:top w:val="nil"/>
              <w:left w:val="single" w:sz="4" w:space="0" w:color="auto"/>
              <w:bottom w:val="single" w:sz="4" w:space="0" w:color="auto"/>
              <w:right w:val="single" w:sz="4" w:space="0" w:color="auto"/>
            </w:tcBorders>
            <w:shd w:val="clear" w:color="000000" w:fill="00B0F0"/>
            <w:noWrap/>
            <w:vAlign w:val="bottom"/>
            <w:hideMark/>
          </w:tcPr>
          <w:p w14:paraId="4B7C11D6"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54" w:type="pct"/>
            <w:tcBorders>
              <w:top w:val="nil"/>
              <w:left w:val="nil"/>
              <w:bottom w:val="single" w:sz="4" w:space="0" w:color="auto"/>
              <w:right w:val="single" w:sz="4" w:space="0" w:color="auto"/>
            </w:tcBorders>
            <w:shd w:val="clear" w:color="auto" w:fill="auto"/>
            <w:noWrap/>
            <w:vAlign w:val="bottom"/>
            <w:hideMark/>
          </w:tcPr>
          <w:p w14:paraId="71C5204C"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646" w:type="pct"/>
            <w:tcBorders>
              <w:top w:val="nil"/>
              <w:left w:val="nil"/>
              <w:bottom w:val="single" w:sz="4" w:space="0" w:color="auto"/>
              <w:right w:val="single" w:sz="4" w:space="0" w:color="auto"/>
            </w:tcBorders>
            <w:shd w:val="clear" w:color="000000" w:fill="00B0F0"/>
            <w:noWrap/>
            <w:vAlign w:val="bottom"/>
            <w:hideMark/>
          </w:tcPr>
          <w:p w14:paraId="3274F07B"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623" w:type="pct"/>
            <w:tcBorders>
              <w:top w:val="nil"/>
              <w:left w:val="nil"/>
              <w:bottom w:val="single" w:sz="4" w:space="0" w:color="auto"/>
              <w:right w:val="single" w:sz="4" w:space="0" w:color="auto"/>
            </w:tcBorders>
            <w:shd w:val="clear" w:color="auto" w:fill="auto"/>
            <w:noWrap/>
            <w:vAlign w:val="bottom"/>
            <w:hideMark/>
          </w:tcPr>
          <w:p w14:paraId="4B3A75AD"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60" w:type="pct"/>
            <w:tcBorders>
              <w:top w:val="nil"/>
              <w:left w:val="nil"/>
              <w:bottom w:val="single" w:sz="4" w:space="0" w:color="auto"/>
              <w:right w:val="single" w:sz="4" w:space="0" w:color="auto"/>
            </w:tcBorders>
            <w:shd w:val="clear" w:color="auto" w:fill="auto"/>
            <w:noWrap/>
            <w:vAlign w:val="bottom"/>
            <w:hideMark/>
          </w:tcPr>
          <w:p w14:paraId="1CC14345"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55" w:type="pct"/>
            <w:tcBorders>
              <w:top w:val="nil"/>
              <w:left w:val="nil"/>
              <w:bottom w:val="single" w:sz="4" w:space="0" w:color="auto"/>
              <w:right w:val="single" w:sz="4" w:space="0" w:color="auto"/>
            </w:tcBorders>
            <w:shd w:val="clear" w:color="auto" w:fill="auto"/>
            <w:noWrap/>
            <w:vAlign w:val="bottom"/>
            <w:hideMark/>
          </w:tcPr>
          <w:p w14:paraId="3D3E643D"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477" w:type="pct"/>
            <w:tcBorders>
              <w:top w:val="nil"/>
              <w:left w:val="nil"/>
              <w:bottom w:val="single" w:sz="4" w:space="0" w:color="auto"/>
              <w:right w:val="single" w:sz="4" w:space="0" w:color="auto"/>
            </w:tcBorders>
            <w:shd w:val="clear" w:color="auto" w:fill="auto"/>
            <w:vAlign w:val="center"/>
            <w:hideMark/>
          </w:tcPr>
          <w:p w14:paraId="1D985E84" w14:textId="77777777" w:rsidR="00E3750C" w:rsidRPr="00655549" w:rsidRDefault="00E3750C" w:rsidP="00047864">
            <w:pPr>
              <w:spacing w:after="0" w:line="240" w:lineRule="auto"/>
              <w:jc w:val="right"/>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2</w:t>
            </w:r>
          </w:p>
        </w:tc>
        <w:tc>
          <w:tcPr>
            <w:tcW w:w="933" w:type="pct"/>
            <w:tcBorders>
              <w:top w:val="nil"/>
              <w:left w:val="nil"/>
              <w:bottom w:val="single" w:sz="4" w:space="0" w:color="auto"/>
              <w:right w:val="single" w:sz="4" w:space="0" w:color="auto"/>
            </w:tcBorders>
            <w:shd w:val="clear" w:color="auto" w:fill="auto"/>
            <w:vAlign w:val="center"/>
            <w:hideMark/>
          </w:tcPr>
          <w:p w14:paraId="796EA612" w14:textId="77777777" w:rsidR="00E3750C" w:rsidRPr="00655549" w:rsidRDefault="00E3750C" w:rsidP="00047864">
            <w:pPr>
              <w:spacing w:after="0" w:line="240" w:lineRule="auto"/>
              <w:jc w:val="right"/>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459.727</w:t>
            </w:r>
          </w:p>
        </w:tc>
      </w:tr>
      <w:tr w:rsidR="00E3750C" w:rsidRPr="00655549" w14:paraId="28015948" w14:textId="77777777" w:rsidTr="00047864">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26FF2777"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54" w:type="pct"/>
            <w:tcBorders>
              <w:top w:val="nil"/>
              <w:left w:val="nil"/>
              <w:bottom w:val="single" w:sz="4" w:space="0" w:color="auto"/>
              <w:right w:val="single" w:sz="4" w:space="0" w:color="auto"/>
            </w:tcBorders>
            <w:shd w:val="clear" w:color="000000" w:fill="00B0F0"/>
            <w:noWrap/>
            <w:vAlign w:val="bottom"/>
            <w:hideMark/>
          </w:tcPr>
          <w:p w14:paraId="2599BF52"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646" w:type="pct"/>
            <w:tcBorders>
              <w:top w:val="nil"/>
              <w:left w:val="nil"/>
              <w:bottom w:val="single" w:sz="4" w:space="0" w:color="auto"/>
              <w:right w:val="single" w:sz="4" w:space="0" w:color="auto"/>
            </w:tcBorders>
            <w:shd w:val="clear" w:color="000000" w:fill="00B0F0"/>
            <w:noWrap/>
            <w:vAlign w:val="bottom"/>
            <w:hideMark/>
          </w:tcPr>
          <w:p w14:paraId="164D8462"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623" w:type="pct"/>
            <w:tcBorders>
              <w:top w:val="nil"/>
              <w:left w:val="nil"/>
              <w:bottom w:val="single" w:sz="4" w:space="0" w:color="auto"/>
              <w:right w:val="single" w:sz="4" w:space="0" w:color="auto"/>
            </w:tcBorders>
            <w:shd w:val="clear" w:color="auto" w:fill="auto"/>
            <w:noWrap/>
            <w:vAlign w:val="bottom"/>
            <w:hideMark/>
          </w:tcPr>
          <w:p w14:paraId="36DC640A"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60" w:type="pct"/>
            <w:tcBorders>
              <w:top w:val="nil"/>
              <w:left w:val="nil"/>
              <w:bottom w:val="single" w:sz="4" w:space="0" w:color="auto"/>
              <w:right w:val="single" w:sz="4" w:space="0" w:color="auto"/>
            </w:tcBorders>
            <w:shd w:val="clear" w:color="000000" w:fill="00B0F0"/>
            <w:noWrap/>
            <w:vAlign w:val="bottom"/>
            <w:hideMark/>
          </w:tcPr>
          <w:p w14:paraId="3FF6B590"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55" w:type="pct"/>
            <w:tcBorders>
              <w:top w:val="nil"/>
              <w:left w:val="nil"/>
              <w:bottom w:val="single" w:sz="4" w:space="0" w:color="auto"/>
              <w:right w:val="single" w:sz="4" w:space="0" w:color="auto"/>
            </w:tcBorders>
            <w:shd w:val="clear" w:color="auto" w:fill="auto"/>
            <w:noWrap/>
            <w:vAlign w:val="bottom"/>
            <w:hideMark/>
          </w:tcPr>
          <w:p w14:paraId="76A03EA9"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477" w:type="pct"/>
            <w:tcBorders>
              <w:top w:val="nil"/>
              <w:left w:val="nil"/>
              <w:bottom w:val="single" w:sz="4" w:space="0" w:color="auto"/>
              <w:right w:val="single" w:sz="4" w:space="0" w:color="auto"/>
            </w:tcBorders>
            <w:shd w:val="clear" w:color="auto" w:fill="auto"/>
            <w:vAlign w:val="center"/>
            <w:hideMark/>
          </w:tcPr>
          <w:p w14:paraId="7C90C211" w14:textId="77777777" w:rsidR="00E3750C" w:rsidRPr="00655549" w:rsidRDefault="00E3750C" w:rsidP="00047864">
            <w:pPr>
              <w:spacing w:after="0" w:line="240" w:lineRule="auto"/>
              <w:jc w:val="right"/>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2</w:t>
            </w:r>
          </w:p>
        </w:tc>
        <w:tc>
          <w:tcPr>
            <w:tcW w:w="933" w:type="pct"/>
            <w:tcBorders>
              <w:top w:val="nil"/>
              <w:left w:val="nil"/>
              <w:bottom w:val="single" w:sz="4" w:space="0" w:color="auto"/>
              <w:right w:val="single" w:sz="4" w:space="0" w:color="auto"/>
            </w:tcBorders>
            <w:shd w:val="clear" w:color="auto" w:fill="auto"/>
            <w:vAlign w:val="center"/>
            <w:hideMark/>
          </w:tcPr>
          <w:p w14:paraId="5871FCF0" w14:textId="77777777" w:rsidR="00E3750C" w:rsidRPr="00655549" w:rsidRDefault="00E3750C" w:rsidP="00047864">
            <w:pPr>
              <w:spacing w:after="0" w:line="240" w:lineRule="auto"/>
              <w:jc w:val="right"/>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888.704</w:t>
            </w:r>
          </w:p>
        </w:tc>
      </w:tr>
      <w:tr w:rsidR="00E3750C" w:rsidRPr="00655549" w14:paraId="58A3F952" w14:textId="77777777" w:rsidTr="00047864">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56CAEDAE"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54" w:type="pct"/>
            <w:tcBorders>
              <w:top w:val="nil"/>
              <w:left w:val="nil"/>
              <w:bottom w:val="single" w:sz="4" w:space="0" w:color="auto"/>
              <w:right w:val="single" w:sz="4" w:space="0" w:color="auto"/>
            </w:tcBorders>
            <w:shd w:val="clear" w:color="auto" w:fill="auto"/>
            <w:noWrap/>
            <w:vAlign w:val="bottom"/>
            <w:hideMark/>
          </w:tcPr>
          <w:p w14:paraId="420D13D6"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646" w:type="pct"/>
            <w:tcBorders>
              <w:top w:val="nil"/>
              <w:left w:val="nil"/>
              <w:bottom w:val="single" w:sz="4" w:space="0" w:color="auto"/>
              <w:right w:val="single" w:sz="4" w:space="0" w:color="auto"/>
            </w:tcBorders>
            <w:shd w:val="clear" w:color="auto" w:fill="auto"/>
            <w:noWrap/>
            <w:vAlign w:val="bottom"/>
            <w:hideMark/>
          </w:tcPr>
          <w:p w14:paraId="0ABEDA9A"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623" w:type="pct"/>
            <w:tcBorders>
              <w:top w:val="nil"/>
              <w:left w:val="nil"/>
              <w:bottom w:val="single" w:sz="4" w:space="0" w:color="auto"/>
              <w:right w:val="single" w:sz="4" w:space="0" w:color="auto"/>
            </w:tcBorders>
            <w:shd w:val="clear" w:color="auto" w:fill="auto"/>
            <w:noWrap/>
            <w:vAlign w:val="bottom"/>
            <w:hideMark/>
          </w:tcPr>
          <w:p w14:paraId="56D501F6"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60" w:type="pct"/>
            <w:tcBorders>
              <w:top w:val="nil"/>
              <w:left w:val="nil"/>
              <w:bottom w:val="single" w:sz="4" w:space="0" w:color="auto"/>
              <w:right w:val="single" w:sz="4" w:space="0" w:color="auto"/>
            </w:tcBorders>
            <w:shd w:val="clear" w:color="auto" w:fill="auto"/>
            <w:noWrap/>
            <w:vAlign w:val="bottom"/>
            <w:hideMark/>
          </w:tcPr>
          <w:p w14:paraId="44B9272A"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55" w:type="pct"/>
            <w:tcBorders>
              <w:top w:val="nil"/>
              <w:left w:val="nil"/>
              <w:bottom w:val="single" w:sz="4" w:space="0" w:color="auto"/>
              <w:right w:val="single" w:sz="4" w:space="0" w:color="auto"/>
            </w:tcBorders>
            <w:shd w:val="clear" w:color="000000" w:fill="00B0F0"/>
            <w:noWrap/>
            <w:vAlign w:val="bottom"/>
            <w:hideMark/>
          </w:tcPr>
          <w:p w14:paraId="0E204636"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477" w:type="pct"/>
            <w:tcBorders>
              <w:top w:val="nil"/>
              <w:left w:val="nil"/>
              <w:bottom w:val="single" w:sz="4" w:space="0" w:color="auto"/>
              <w:right w:val="single" w:sz="4" w:space="0" w:color="auto"/>
            </w:tcBorders>
            <w:shd w:val="clear" w:color="auto" w:fill="auto"/>
            <w:vAlign w:val="center"/>
            <w:hideMark/>
          </w:tcPr>
          <w:p w14:paraId="073231D4" w14:textId="77777777" w:rsidR="00E3750C" w:rsidRPr="00655549" w:rsidRDefault="00E3750C" w:rsidP="00047864">
            <w:pPr>
              <w:spacing w:after="0" w:line="240" w:lineRule="auto"/>
              <w:jc w:val="right"/>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2</w:t>
            </w:r>
          </w:p>
        </w:tc>
        <w:tc>
          <w:tcPr>
            <w:tcW w:w="933" w:type="pct"/>
            <w:tcBorders>
              <w:top w:val="nil"/>
              <w:left w:val="nil"/>
              <w:bottom w:val="single" w:sz="4" w:space="0" w:color="auto"/>
              <w:right w:val="single" w:sz="4" w:space="0" w:color="auto"/>
            </w:tcBorders>
            <w:shd w:val="clear" w:color="auto" w:fill="auto"/>
            <w:vAlign w:val="center"/>
            <w:hideMark/>
          </w:tcPr>
          <w:p w14:paraId="2BAE4BF0" w14:textId="77777777" w:rsidR="00E3750C" w:rsidRPr="00655549" w:rsidRDefault="00E3750C" w:rsidP="00047864">
            <w:pPr>
              <w:spacing w:after="0" w:line="240" w:lineRule="auto"/>
              <w:jc w:val="right"/>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1.720.084</w:t>
            </w:r>
          </w:p>
        </w:tc>
      </w:tr>
      <w:tr w:rsidR="00E3750C" w:rsidRPr="00655549" w14:paraId="33244C0C" w14:textId="77777777" w:rsidTr="00047864">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25A0B567"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54" w:type="pct"/>
            <w:tcBorders>
              <w:top w:val="nil"/>
              <w:left w:val="nil"/>
              <w:bottom w:val="single" w:sz="4" w:space="0" w:color="auto"/>
              <w:right w:val="single" w:sz="4" w:space="0" w:color="auto"/>
            </w:tcBorders>
            <w:shd w:val="clear" w:color="000000" w:fill="00B0F0"/>
            <w:noWrap/>
            <w:vAlign w:val="bottom"/>
            <w:hideMark/>
          </w:tcPr>
          <w:p w14:paraId="215BF880"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646" w:type="pct"/>
            <w:tcBorders>
              <w:top w:val="nil"/>
              <w:left w:val="nil"/>
              <w:bottom w:val="single" w:sz="4" w:space="0" w:color="auto"/>
              <w:right w:val="single" w:sz="4" w:space="0" w:color="auto"/>
            </w:tcBorders>
            <w:shd w:val="clear" w:color="auto" w:fill="auto"/>
            <w:noWrap/>
            <w:vAlign w:val="bottom"/>
            <w:hideMark/>
          </w:tcPr>
          <w:p w14:paraId="6059164C"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623" w:type="pct"/>
            <w:tcBorders>
              <w:top w:val="nil"/>
              <w:left w:val="nil"/>
              <w:bottom w:val="single" w:sz="4" w:space="0" w:color="auto"/>
              <w:right w:val="single" w:sz="4" w:space="0" w:color="auto"/>
            </w:tcBorders>
            <w:shd w:val="clear" w:color="auto" w:fill="auto"/>
            <w:noWrap/>
            <w:vAlign w:val="bottom"/>
            <w:hideMark/>
          </w:tcPr>
          <w:p w14:paraId="54B94C9B"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60" w:type="pct"/>
            <w:tcBorders>
              <w:top w:val="nil"/>
              <w:left w:val="nil"/>
              <w:bottom w:val="single" w:sz="4" w:space="0" w:color="auto"/>
              <w:right w:val="single" w:sz="4" w:space="0" w:color="auto"/>
            </w:tcBorders>
            <w:shd w:val="clear" w:color="auto" w:fill="auto"/>
            <w:noWrap/>
            <w:vAlign w:val="bottom"/>
            <w:hideMark/>
          </w:tcPr>
          <w:p w14:paraId="63BCBED5"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55" w:type="pct"/>
            <w:tcBorders>
              <w:top w:val="nil"/>
              <w:left w:val="nil"/>
              <w:bottom w:val="single" w:sz="4" w:space="0" w:color="auto"/>
              <w:right w:val="single" w:sz="4" w:space="0" w:color="auto"/>
            </w:tcBorders>
            <w:shd w:val="clear" w:color="000000" w:fill="00B0F0"/>
            <w:noWrap/>
            <w:vAlign w:val="bottom"/>
            <w:hideMark/>
          </w:tcPr>
          <w:p w14:paraId="5AF1DA21"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477" w:type="pct"/>
            <w:tcBorders>
              <w:top w:val="nil"/>
              <w:left w:val="nil"/>
              <w:bottom w:val="single" w:sz="4" w:space="0" w:color="auto"/>
              <w:right w:val="single" w:sz="4" w:space="0" w:color="auto"/>
            </w:tcBorders>
            <w:shd w:val="clear" w:color="auto" w:fill="auto"/>
            <w:vAlign w:val="center"/>
            <w:hideMark/>
          </w:tcPr>
          <w:p w14:paraId="0B49FB49" w14:textId="77777777" w:rsidR="00E3750C" w:rsidRPr="00655549" w:rsidRDefault="00E3750C" w:rsidP="00047864">
            <w:pPr>
              <w:spacing w:after="0" w:line="240" w:lineRule="auto"/>
              <w:jc w:val="right"/>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1</w:t>
            </w:r>
          </w:p>
        </w:tc>
        <w:tc>
          <w:tcPr>
            <w:tcW w:w="933" w:type="pct"/>
            <w:tcBorders>
              <w:top w:val="nil"/>
              <w:left w:val="nil"/>
              <w:bottom w:val="single" w:sz="4" w:space="0" w:color="auto"/>
              <w:right w:val="single" w:sz="4" w:space="0" w:color="auto"/>
            </w:tcBorders>
            <w:shd w:val="clear" w:color="auto" w:fill="auto"/>
            <w:vAlign w:val="center"/>
            <w:hideMark/>
          </w:tcPr>
          <w:p w14:paraId="3039C416" w14:textId="77777777" w:rsidR="00E3750C" w:rsidRPr="00655549" w:rsidRDefault="00E3750C" w:rsidP="00047864">
            <w:pPr>
              <w:spacing w:after="0" w:line="240" w:lineRule="auto"/>
              <w:jc w:val="right"/>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463.338</w:t>
            </w:r>
          </w:p>
        </w:tc>
      </w:tr>
      <w:tr w:rsidR="00E3750C" w:rsidRPr="00655549" w14:paraId="22932A81" w14:textId="77777777" w:rsidTr="00047864">
        <w:trPr>
          <w:trHeight w:val="300"/>
        </w:trPr>
        <w:tc>
          <w:tcPr>
            <w:tcW w:w="652" w:type="pct"/>
            <w:tcBorders>
              <w:top w:val="nil"/>
              <w:left w:val="single" w:sz="4" w:space="0" w:color="auto"/>
              <w:bottom w:val="single" w:sz="4" w:space="0" w:color="auto"/>
              <w:right w:val="single" w:sz="4" w:space="0" w:color="auto"/>
            </w:tcBorders>
            <w:shd w:val="clear" w:color="000000" w:fill="00B0F0"/>
            <w:noWrap/>
            <w:vAlign w:val="bottom"/>
            <w:hideMark/>
          </w:tcPr>
          <w:p w14:paraId="128629DA"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54" w:type="pct"/>
            <w:tcBorders>
              <w:top w:val="nil"/>
              <w:left w:val="nil"/>
              <w:bottom w:val="single" w:sz="4" w:space="0" w:color="auto"/>
              <w:right w:val="single" w:sz="4" w:space="0" w:color="auto"/>
            </w:tcBorders>
            <w:shd w:val="clear" w:color="000000" w:fill="00B0F0"/>
            <w:noWrap/>
            <w:vAlign w:val="bottom"/>
            <w:hideMark/>
          </w:tcPr>
          <w:p w14:paraId="40003A3B"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646" w:type="pct"/>
            <w:tcBorders>
              <w:top w:val="nil"/>
              <w:left w:val="nil"/>
              <w:bottom w:val="single" w:sz="4" w:space="0" w:color="auto"/>
              <w:right w:val="single" w:sz="4" w:space="0" w:color="auto"/>
            </w:tcBorders>
            <w:shd w:val="clear" w:color="000000" w:fill="00B0F0"/>
            <w:noWrap/>
            <w:vAlign w:val="bottom"/>
            <w:hideMark/>
          </w:tcPr>
          <w:p w14:paraId="63C6BF73"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623" w:type="pct"/>
            <w:tcBorders>
              <w:top w:val="nil"/>
              <w:left w:val="nil"/>
              <w:bottom w:val="single" w:sz="4" w:space="0" w:color="auto"/>
              <w:right w:val="single" w:sz="4" w:space="0" w:color="auto"/>
            </w:tcBorders>
            <w:shd w:val="clear" w:color="auto" w:fill="auto"/>
            <w:noWrap/>
            <w:vAlign w:val="bottom"/>
            <w:hideMark/>
          </w:tcPr>
          <w:p w14:paraId="5AAB8CB2"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60" w:type="pct"/>
            <w:tcBorders>
              <w:top w:val="nil"/>
              <w:left w:val="nil"/>
              <w:bottom w:val="single" w:sz="4" w:space="0" w:color="auto"/>
              <w:right w:val="single" w:sz="4" w:space="0" w:color="auto"/>
            </w:tcBorders>
            <w:shd w:val="clear" w:color="auto" w:fill="auto"/>
            <w:noWrap/>
            <w:vAlign w:val="bottom"/>
            <w:hideMark/>
          </w:tcPr>
          <w:p w14:paraId="0241746A"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55" w:type="pct"/>
            <w:tcBorders>
              <w:top w:val="nil"/>
              <w:left w:val="nil"/>
              <w:bottom w:val="single" w:sz="4" w:space="0" w:color="auto"/>
              <w:right w:val="single" w:sz="4" w:space="0" w:color="auto"/>
            </w:tcBorders>
            <w:shd w:val="clear" w:color="auto" w:fill="auto"/>
            <w:noWrap/>
            <w:vAlign w:val="bottom"/>
            <w:hideMark/>
          </w:tcPr>
          <w:p w14:paraId="241BC1A1"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477" w:type="pct"/>
            <w:tcBorders>
              <w:top w:val="nil"/>
              <w:left w:val="nil"/>
              <w:bottom w:val="single" w:sz="4" w:space="0" w:color="auto"/>
              <w:right w:val="single" w:sz="4" w:space="0" w:color="auto"/>
            </w:tcBorders>
            <w:shd w:val="clear" w:color="auto" w:fill="auto"/>
            <w:vAlign w:val="center"/>
            <w:hideMark/>
          </w:tcPr>
          <w:p w14:paraId="57DFFD07" w14:textId="77777777" w:rsidR="00E3750C" w:rsidRPr="00655549" w:rsidRDefault="00E3750C" w:rsidP="00047864">
            <w:pPr>
              <w:spacing w:after="0" w:line="240" w:lineRule="auto"/>
              <w:jc w:val="right"/>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1</w:t>
            </w:r>
          </w:p>
        </w:tc>
        <w:tc>
          <w:tcPr>
            <w:tcW w:w="933" w:type="pct"/>
            <w:tcBorders>
              <w:top w:val="nil"/>
              <w:left w:val="nil"/>
              <w:bottom w:val="single" w:sz="4" w:space="0" w:color="auto"/>
              <w:right w:val="single" w:sz="4" w:space="0" w:color="auto"/>
            </w:tcBorders>
            <w:shd w:val="clear" w:color="auto" w:fill="auto"/>
            <w:vAlign w:val="center"/>
            <w:hideMark/>
          </w:tcPr>
          <w:p w14:paraId="46FAE795" w14:textId="77777777" w:rsidR="00E3750C" w:rsidRPr="00655549" w:rsidRDefault="00E3750C" w:rsidP="00047864">
            <w:pPr>
              <w:spacing w:after="0" w:line="240" w:lineRule="auto"/>
              <w:jc w:val="right"/>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66.419</w:t>
            </w:r>
          </w:p>
        </w:tc>
      </w:tr>
      <w:tr w:rsidR="00E3750C" w:rsidRPr="00655549" w14:paraId="08443980" w14:textId="77777777" w:rsidTr="00047864">
        <w:trPr>
          <w:trHeight w:val="300"/>
        </w:trPr>
        <w:tc>
          <w:tcPr>
            <w:tcW w:w="652" w:type="pct"/>
            <w:tcBorders>
              <w:top w:val="nil"/>
              <w:left w:val="single" w:sz="4" w:space="0" w:color="auto"/>
              <w:bottom w:val="single" w:sz="4" w:space="0" w:color="auto"/>
              <w:right w:val="single" w:sz="4" w:space="0" w:color="auto"/>
            </w:tcBorders>
            <w:shd w:val="clear" w:color="000000" w:fill="00B0F0"/>
            <w:noWrap/>
            <w:vAlign w:val="bottom"/>
            <w:hideMark/>
          </w:tcPr>
          <w:p w14:paraId="02D25582"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54" w:type="pct"/>
            <w:tcBorders>
              <w:top w:val="nil"/>
              <w:left w:val="nil"/>
              <w:bottom w:val="single" w:sz="4" w:space="0" w:color="auto"/>
              <w:right w:val="single" w:sz="4" w:space="0" w:color="auto"/>
            </w:tcBorders>
            <w:shd w:val="clear" w:color="auto" w:fill="auto"/>
            <w:noWrap/>
            <w:vAlign w:val="bottom"/>
            <w:hideMark/>
          </w:tcPr>
          <w:p w14:paraId="5A270A02"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646" w:type="pct"/>
            <w:tcBorders>
              <w:top w:val="nil"/>
              <w:left w:val="nil"/>
              <w:bottom w:val="single" w:sz="4" w:space="0" w:color="auto"/>
              <w:right w:val="single" w:sz="4" w:space="0" w:color="auto"/>
            </w:tcBorders>
            <w:shd w:val="clear" w:color="auto" w:fill="auto"/>
            <w:noWrap/>
            <w:vAlign w:val="bottom"/>
            <w:hideMark/>
          </w:tcPr>
          <w:p w14:paraId="26B7C7E5"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623" w:type="pct"/>
            <w:tcBorders>
              <w:top w:val="nil"/>
              <w:left w:val="nil"/>
              <w:bottom w:val="single" w:sz="4" w:space="0" w:color="auto"/>
              <w:right w:val="single" w:sz="4" w:space="0" w:color="auto"/>
            </w:tcBorders>
            <w:shd w:val="clear" w:color="auto" w:fill="auto"/>
            <w:noWrap/>
            <w:vAlign w:val="bottom"/>
            <w:hideMark/>
          </w:tcPr>
          <w:p w14:paraId="737C6C83"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60" w:type="pct"/>
            <w:tcBorders>
              <w:top w:val="nil"/>
              <w:left w:val="nil"/>
              <w:bottom w:val="single" w:sz="4" w:space="0" w:color="auto"/>
              <w:right w:val="single" w:sz="4" w:space="0" w:color="auto"/>
            </w:tcBorders>
            <w:shd w:val="clear" w:color="000000" w:fill="00B0F0"/>
            <w:noWrap/>
            <w:vAlign w:val="bottom"/>
            <w:hideMark/>
          </w:tcPr>
          <w:p w14:paraId="075BD302"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555" w:type="pct"/>
            <w:tcBorders>
              <w:top w:val="nil"/>
              <w:left w:val="nil"/>
              <w:bottom w:val="single" w:sz="4" w:space="0" w:color="auto"/>
              <w:right w:val="single" w:sz="4" w:space="0" w:color="auto"/>
            </w:tcBorders>
            <w:shd w:val="clear" w:color="auto" w:fill="auto"/>
            <w:noWrap/>
            <w:vAlign w:val="bottom"/>
            <w:hideMark/>
          </w:tcPr>
          <w:p w14:paraId="68BA991D" w14:textId="77777777" w:rsidR="00E3750C" w:rsidRPr="00655549" w:rsidRDefault="00E3750C" w:rsidP="00047864">
            <w:pPr>
              <w:spacing w:after="0" w:line="240" w:lineRule="auto"/>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 </w:t>
            </w:r>
          </w:p>
        </w:tc>
        <w:tc>
          <w:tcPr>
            <w:tcW w:w="477" w:type="pct"/>
            <w:tcBorders>
              <w:top w:val="nil"/>
              <w:left w:val="nil"/>
              <w:bottom w:val="single" w:sz="4" w:space="0" w:color="auto"/>
              <w:right w:val="single" w:sz="4" w:space="0" w:color="auto"/>
            </w:tcBorders>
            <w:shd w:val="clear" w:color="auto" w:fill="auto"/>
            <w:vAlign w:val="center"/>
            <w:hideMark/>
          </w:tcPr>
          <w:p w14:paraId="5990DFE0" w14:textId="77777777" w:rsidR="00E3750C" w:rsidRPr="00655549" w:rsidRDefault="00E3750C" w:rsidP="00047864">
            <w:pPr>
              <w:spacing w:after="0" w:line="240" w:lineRule="auto"/>
              <w:jc w:val="right"/>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1</w:t>
            </w:r>
          </w:p>
        </w:tc>
        <w:tc>
          <w:tcPr>
            <w:tcW w:w="933" w:type="pct"/>
            <w:tcBorders>
              <w:top w:val="nil"/>
              <w:left w:val="nil"/>
              <w:bottom w:val="single" w:sz="4" w:space="0" w:color="auto"/>
              <w:right w:val="single" w:sz="4" w:space="0" w:color="auto"/>
            </w:tcBorders>
            <w:shd w:val="clear" w:color="auto" w:fill="auto"/>
            <w:vAlign w:val="center"/>
            <w:hideMark/>
          </w:tcPr>
          <w:p w14:paraId="25E97542" w14:textId="77777777" w:rsidR="00E3750C" w:rsidRPr="00655549" w:rsidRDefault="00E3750C" w:rsidP="00047864">
            <w:pPr>
              <w:spacing w:after="0" w:line="240" w:lineRule="auto"/>
              <w:jc w:val="right"/>
              <w:rPr>
                <w:rFonts w:ascii="Arial" w:eastAsia="Times New Roman" w:hAnsi="Arial" w:cs="Arial"/>
                <w:color w:val="000000"/>
                <w:sz w:val="18"/>
                <w:szCs w:val="18"/>
                <w:lang w:eastAsia="sl-SI"/>
              </w:rPr>
            </w:pPr>
            <w:r w:rsidRPr="00655549">
              <w:rPr>
                <w:rFonts w:ascii="Arial" w:eastAsia="Times New Roman" w:hAnsi="Arial" w:cs="Arial"/>
                <w:color w:val="000000"/>
                <w:sz w:val="18"/>
                <w:szCs w:val="18"/>
                <w:lang w:eastAsia="sl-SI"/>
              </w:rPr>
              <w:t>105.430</w:t>
            </w:r>
          </w:p>
        </w:tc>
      </w:tr>
    </w:tbl>
    <w:p w14:paraId="3C5E92C8" w14:textId="77777777" w:rsidR="00E3750C" w:rsidRPr="00BF7302" w:rsidRDefault="00E3750C" w:rsidP="00E3750C">
      <w:pPr>
        <w:spacing w:before="120" w:after="0" w:line="240" w:lineRule="auto"/>
        <w:jc w:val="both"/>
        <w:rPr>
          <w:rFonts w:ascii="Arial" w:hAnsi="Arial" w:cs="Arial"/>
          <w:sz w:val="20"/>
          <w:highlight w:val="yellow"/>
        </w:rPr>
      </w:pPr>
    </w:p>
    <w:p w14:paraId="1331CDBD" w14:textId="77777777" w:rsidR="00E3750C" w:rsidRPr="00290D98" w:rsidRDefault="00E3750C" w:rsidP="00E3750C">
      <w:pPr>
        <w:spacing w:before="120" w:after="0" w:line="240" w:lineRule="auto"/>
        <w:jc w:val="both"/>
        <w:rPr>
          <w:rFonts w:ascii="Arial" w:hAnsi="Arial" w:cs="Arial"/>
          <w:sz w:val="20"/>
        </w:rPr>
      </w:pPr>
      <w:r w:rsidRPr="00290D98">
        <w:rPr>
          <w:rFonts w:ascii="Arial" w:hAnsi="Arial" w:cs="Arial"/>
          <w:sz w:val="20"/>
        </w:rPr>
        <w:lastRenderedPageBreak/>
        <w:t>Preglednica 9</w:t>
      </w:r>
      <w:r>
        <w:rPr>
          <w:rFonts w:ascii="Arial" w:hAnsi="Arial" w:cs="Arial"/>
          <w:sz w:val="20"/>
        </w:rPr>
        <w:t>4</w:t>
      </w:r>
      <w:r w:rsidRPr="00290D98">
        <w:rPr>
          <w:rFonts w:ascii="Arial" w:hAnsi="Arial" w:cs="Arial"/>
          <w:sz w:val="20"/>
        </w:rPr>
        <w:t xml:space="preserve">: Naročniki glede na kategorijo pri javnih naročilih, v katerih so bili upoštevani </w:t>
      </w:r>
      <w:proofErr w:type="spellStart"/>
      <w:r w:rsidRPr="00290D98">
        <w:rPr>
          <w:rFonts w:ascii="Arial" w:hAnsi="Arial" w:cs="Arial"/>
          <w:sz w:val="20"/>
        </w:rPr>
        <w:t>okoljski</w:t>
      </w:r>
      <w:proofErr w:type="spellEnd"/>
      <w:r w:rsidRPr="00290D98">
        <w:rPr>
          <w:rFonts w:ascii="Arial" w:hAnsi="Arial" w:cs="Arial"/>
          <w:sz w:val="20"/>
        </w:rPr>
        <w:t xml:space="preserve"> vidiki</w:t>
      </w:r>
      <w:bookmarkEnd w:id="117"/>
      <w:bookmarkEnd w:id="118"/>
      <w:bookmarkEnd w:id="119"/>
      <w:bookmarkEnd w:id="120"/>
    </w:p>
    <w:p w14:paraId="78AE7F48" w14:textId="77777777" w:rsidR="00E3750C" w:rsidRPr="00290D98" w:rsidRDefault="00E3750C" w:rsidP="00E3750C">
      <w:pPr>
        <w:spacing w:after="0" w:line="240" w:lineRule="auto"/>
        <w:jc w:val="both"/>
        <w:rPr>
          <w:rFonts w:ascii="Arial" w:hAnsi="Arial" w:cs="Arial"/>
          <w:sz w:val="20"/>
        </w:rPr>
      </w:pPr>
    </w:p>
    <w:tbl>
      <w:tblPr>
        <w:tblW w:w="5000" w:type="pct"/>
        <w:tblLayout w:type="fixed"/>
        <w:tblCellMar>
          <w:left w:w="70" w:type="dxa"/>
          <w:right w:w="70" w:type="dxa"/>
        </w:tblCellMar>
        <w:tblLook w:val="04A0" w:firstRow="1" w:lastRow="0" w:firstColumn="1" w:lastColumn="0" w:noHBand="0" w:noVBand="1"/>
      </w:tblPr>
      <w:tblGrid>
        <w:gridCol w:w="1556"/>
        <w:gridCol w:w="708"/>
        <w:gridCol w:w="1275"/>
        <w:gridCol w:w="851"/>
        <w:gridCol w:w="850"/>
        <w:gridCol w:w="851"/>
        <w:gridCol w:w="1277"/>
        <w:gridCol w:w="850"/>
        <w:gridCol w:w="956"/>
      </w:tblGrid>
      <w:tr w:rsidR="00E3750C" w:rsidRPr="00521270" w14:paraId="17789E1D" w14:textId="77777777" w:rsidTr="00047864">
        <w:trPr>
          <w:trHeight w:val="1350"/>
          <w:tblHeader/>
        </w:trPr>
        <w:tc>
          <w:tcPr>
            <w:tcW w:w="848"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5955F320" w14:textId="77777777" w:rsidR="00E3750C" w:rsidRPr="00521270" w:rsidRDefault="00E3750C" w:rsidP="00047864">
            <w:pPr>
              <w:spacing w:after="0" w:line="240" w:lineRule="auto"/>
              <w:jc w:val="center"/>
              <w:rPr>
                <w:rFonts w:ascii="Arial" w:eastAsia="Times New Roman" w:hAnsi="Arial" w:cs="Arial"/>
                <w:color w:val="000000"/>
                <w:sz w:val="16"/>
                <w:szCs w:val="16"/>
                <w:lang w:eastAsia="sl-SI"/>
              </w:rPr>
            </w:pPr>
            <w:r w:rsidRPr="00521270">
              <w:rPr>
                <w:rFonts w:ascii="Arial" w:eastAsia="Times New Roman" w:hAnsi="Arial" w:cs="Arial"/>
                <w:color w:val="000000"/>
                <w:sz w:val="16"/>
                <w:szCs w:val="16"/>
                <w:lang w:eastAsia="sl-SI"/>
              </w:rPr>
              <w:t>Kategorija naročnika</w:t>
            </w:r>
          </w:p>
        </w:tc>
        <w:tc>
          <w:tcPr>
            <w:tcW w:w="386" w:type="pct"/>
            <w:tcBorders>
              <w:top w:val="single" w:sz="4" w:space="0" w:color="auto"/>
              <w:left w:val="nil"/>
              <w:bottom w:val="single" w:sz="4" w:space="0" w:color="auto"/>
              <w:right w:val="single" w:sz="4" w:space="0" w:color="auto"/>
            </w:tcBorders>
            <w:shd w:val="clear" w:color="000000" w:fill="F2F2F2"/>
            <w:vAlign w:val="center"/>
            <w:hideMark/>
          </w:tcPr>
          <w:p w14:paraId="515D0A23" w14:textId="77777777" w:rsidR="00E3750C" w:rsidRPr="00521270" w:rsidRDefault="00E3750C" w:rsidP="00047864">
            <w:pPr>
              <w:spacing w:after="0" w:line="240" w:lineRule="auto"/>
              <w:jc w:val="center"/>
              <w:rPr>
                <w:rFonts w:ascii="Arial" w:eastAsia="Times New Roman" w:hAnsi="Arial" w:cs="Arial"/>
                <w:color w:val="000000"/>
                <w:sz w:val="16"/>
                <w:szCs w:val="16"/>
                <w:lang w:eastAsia="sl-SI"/>
              </w:rPr>
            </w:pPr>
            <w:r w:rsidRPr="00521270">
              <w:rPr>
                <w:rFonts w:ascii="Arial" w:eastAsia="Times New Roman" w:hAnsi="Arial" w:cs="Arial"/>
                <w:color w:val="000000"/>
                <w:sz w:val="16"/>
                <w:szCs w:val="16"/>
                <w:lang w:eastAsia="sl-SI"/>
              </w:rPr>
              <w:t>Št. naročil</w:t>
            </w:r>
          </w:p>
        </w:tc>
        <w:tc>
          <w:tcPr>
            <w:tcW w:w="695" w:type="pct"/>
            <w:tcBorders>
              <w:top w:val="single" w:sz="4" w:space="0" w:color="auto"/>
              <w:left w:val="nil"/>
              <w:bottom w:val="single" w:sz="4" w:space="0" w:color="auto"/>
              <w:right w:val="single" w:sz="4" w:space="0" w:color="auto"/>
            </w:tcBorders>
            <w:shd w:val="clear" w:color="000000" w:fill="F2F2F2"/>
            <w:vAlign w:val="center"/>
            <w:hideMark/>
          </w:tcPr>
          <w:p w14:paraId="795AAFB0" w14:textId="77777777" w:rsidR="00E3750C" w:rsidRPr="00521270" w:rsidRDefault="00E3750C" w:rsidP="00047864">
            <w:pPr>
              <w:spacing w:after="0" w:line="240" w:lineRule="auto"/>
              <w:jc w:val="center"/>
              <w:rPr>
                <w:rFonts w:ascii="Arial" w:eastAsia="Times New Roman" w:hAnsi="Arial" w:cs="Arial"/>
                <w:color w:val="000000"/>
                <w:sz w:val="16"/>
                <w:szCs w:val="16"/>
                <w:lang w:eastAsia="sl-SI"/>
              </w:rPr>
            </w:pPr>
            <w:r w:rsidRPr="00521270">
              <w:rPr>
                <w:rFonts w:ascii="Arial" w:eastAsia="Times New Roman" w:hAnsi="Arial" w:cs="Arial"/>
                <w:color w:val="000000"/>
                <w:sz w:val="16"/>
                <w:szCs w:val="16"/>
                <w:lang w:eastAsia="sl-SI"/>
              </w:rPr>
              <w:t>Pogodbena vrednost</w:t>
            </w:r>
          </w:p>
        </w:tc>
        <w:tc>
          <w:tcPr>
            <w:tcW w:w="464" w:type="pct"/>
            <w:tcBorders>
              <w:top w:val="single" w:sz="4" w:space="0" w:color="auto"/>
              <w:left w:val="nil"/>
              <w:bottom w:val="single" w:sz="4" w:space="0" w:color="auto"/>
              <w:right w:val="single" w:sz="4" w:space="0" w:color="auto"/>
            </w:tcBorders>
            <w:shd w:val="clear" w:color="000000" w:fill="F2F2F2"/>
            <w:vAlign w:val="center"/>
            <w:hideMark/>
          </w:tcPr>
          <w:p w14:paraId="2712DE03" w14:textId="77777777" w:rsidR="00E3750C" w:rsidRPr="00521270" w:rsidRDefault="00E3750C" w:rsidP="00047864">
            <w:pPr>
              <w:spacing w:after="0" w:line="240" w:lineRule="auto"/>
              <w:jc w:val="center"/>
              <w:rPr>
                <w:rFonts w:ascii="Arial" w:eastAsia="Times New Roman" w:hAnsi="Arial" w:cs="Arial"/>
                <w:color w:val="000000"/>
                <w:sz w:val="16"/>
                <w:szCs w:val="16"/>
                <w:lang w:eastAsia="sl-SI"/>
              </w:rPr>
            </w:pPr>
            <w:r w:rsidRPr="00521270">
              <w:rPr>
                <w:rFonts w:ascii="Arial" w:eastAsia="Times New Roman" w:hAnsi="Arial" w:cs="Arial"/>
                <w:color w:val="000000"/>
                <w:sz w:val="16"/>
                <w:szCs w:val="16"/>
                <w:lang w:eastAsia="sl-SI"/>
              </w:rPr>
              <w:t xml:space="preserve">Delež v št. </w:t>
            </w:r>
            <w:proofErr w:type="spellStart"/>
            <w:r w:rsidRPr="00521270">
              <w:rPr>
                <w:rFonts w:ascii="Arial" w:eastAsia="Times New Roman" w:hAnsi="Arial" w:cs="Arial"/>
                <w:color w:val="000000"/>
                <w:sz w:val="16"/>
                <w:szCs w:val="16"/>
                <w:lang w:eastAsia="sl-SI"/>
              </w:rPr>
              <w:t>ZeJN</w:t>
            </w:r>
            <w:proofErr w:type="spellEnd"/>
          </w:p>
        </w:tc>
        <w:tc>
          <w:tcPr>
            <w:tcW w:w="463" w:type="pct"/>
            <w:tcBorders>
              <w:top w:val="single" w:sz="4" w:space="0" w:color="auto"/>
              <w:left w:val="nil"/>
              <w:bottom w:val="single" w:sz="4" w:space="0" w:color="auto"/>
              <w:right w:val="single" w:sz="4" w:space="0" w:color="auto"/>
            </w:tcBorders>
            <w:shd w:val="clear" w:color="000000" w:fill="F2F2F2"/>
            <w:vAlign w:val="center"/>
            <w:hideMark/>
          </w:tcPr>
          <w:p w14:paraId="19DBE24C" w14:textId="77777777" w:rsidR="00E3750C" w:rsidRPr="00521270" w:rsidRDefault="00E3750C" w:rsidP="00047864">
            <w:pPr>
              <w:spacing w:after="0" w:line="240" w:lineRule="auto"/>
              <w:jc w:val="center"/>
              <w:rPr>
                <w:rFonts w:ascii="Arial" w:eastAsia="Times New Roman" w:hAnsi="Arial" w:cs="Arial"/>
                <w:color w:val="000000"/>
                <w:sz w:val="16"/>
                <w:szCs w:val="16"/>
                <w:lang w:eastAsia="sl-SI"/>
              </w:rPr>
            </w:pPr>
            <w:r w:rsidRPr="00521270">
              <w:rPr>
                <w:rFonts w:ascii="Arial" w:eastAsia="Times New Roman" w:hAnsi="Arial" w:cs="Arial"/>
                <w:color w:val="000000"/>
                <w:sz w:val="16"/>
                <w:szCs w:val="16"/>
                <w:lang w:eastAsia="sl-SI"/>
              </w:rPr>
              <w:t xml:space="preserve">Delež v vrednosti </w:t>
            </w:r>
            <w:proofErr w:type="spellStart"/>
            <w:r w:rsidRPr="00521270">
              <w:rPr>
                <w:rFonts w:ascii="Arial" w:eastAsia="Times New Roman" w:hAnsi="Arial" w:cs="Arial"/>
                <w:color w:val="000000"/>
                <w:sz w:val="16"/>
                <w:szCs w:val="16"/>
                <w:lang w:eastAsia="sl-SI"/>
              </w:rPr>
              <w:t>ZeJN</w:t>
            </w:r>
            <w:proofErr w:type="spellEnd"/>
          </w:p>
        </w:tc>
        <w:tc>
          <w:tcPr>
            <w:tcW w:w="464" w:type="pct"/>
            <w:tcBorders>
              <w:top w:val="single" w:sz="4" w:space="0" w:color="auto"/>
              <w:left w:val="nil"/>
              <w:bottom w:val="single" w:sz="4" w:space="0" w:color="auto"/>
              <w:right w:val="single" w:sz="4" w:space="0" w:color="auto"/>
            </w:tcBorders>
            <w:shd w:val="clear" w:color="000000" w:fill="F2F2F2"/>
            <w:vAlign w:val="center"/>
            <w:hideMark/>
          </w:tcPr>
          <w:p w14:paraId="238542D8" w14:textId="77777777" w:rsidR="00E3750C" w:rsidRPr="00521270" w:rsidRDefault="00E3750C" w:rsidP="00047864">
            <w:pPr>
              <w:spacing w:after="0" w:line="240" w:lineRule="auto"/>
              <w:jc w:val="center"/>
              <w:rPr>
                <w:rFonts w:ascii="Arial" w:eastAsia="Times New Roman" w:hAnsi="Arial" w:cs="Arial"/>
                <w:color w:val="000000"/>
                <w:sz w:val="16"/>
                <w:szCs w:val="16"/>
                <w:lang w:eastAsia="sl-SI"/>
              </w:rPr>
            </w:pPr>
            <w:r w:rsidRPr="00521270">
              <w:rPr>
                <w:rFonts w:ascii="Arial" w:eastAsia="Times New Roman" w:hAnsi="Arial" w:cs="Arial"/>
                <w:color w:val="000000"/>
                <w:sz w:val="16"/>
                <w:szCs w:val="16"/>
                <w:lang w:eastAsia="sl-SI"/>
              </w:rPr>
              <w:t>Št. vseh naročil kategorije</w:t>
            </w:r>
          </w:p>
        </w:tc>
        <w:tc>
          <w:tcPr>
            <w:tcW w:w="696" w:type="pct"/>
            <w:tcBorders>
              <w:top w:val="single" w:sz="4" w:space="0" w:color="auto"/>
              <w:left w:val="nil"/>
              <w:bottom w:val="single" w:sz="4" w:space="0" w:color="auto"/>
              <w:right w:val="single" w:sz="4" w:space="0" w:color="auto"/>
            </w:tcBorders>
            <w:shd w:val="clear" w:color="000000" w:fill="F2F2F2"/>
            <w:vAlign w:val="center"/>
            <w:hideMark/>
          </w:tcPr>
          <w:p w14:paraId="4A622C03" w14:textId="77777777" w:rsidR="00E3750C" w:rsidRPr="00521270" w:rsidRDefault="00E3750C" w:rsidP="00047864">
            <w:pPr>
              <w:spacing w:after="0" w:line="240" w:lineRule="auto"/>
              <w:jc w:val="center"/>
              <w:rPr>
                <w:rFonts w:ascii="Arial" w:eastAsia="Times New Roman" w:hAnsi="Arial" w:cs="Arial"/>
                <w:color w:val="000000"/>
                <w:sz w:val="16"/>
                <w:szCs w:val="16"/>
                <w:lang w:eastAsia="sl-SI"/>
              </w:rPr>
            </w:pPr>
            <w:r w:rsidRPr="00521270">
              <w:rPr>
                <w:rFonts w:ascii="Arial" w:eastAsia="Times New Roman" w:hAnsi="Arial" w:cs="Arial"/>
                <w:color w:val="000000"/>
                <w:sz w:val="16"/>
                <w:szCs w:val="16"/>
                <w:lang w:eastAsia="sl-SI"/>
              </w:rPr>
              <w:t>Vrednost vseh naročil kategorije</w:t>
            </w:r>
          </w:p>
        </w:tc>
        <w:tc>
          <w:tcPr>
            <w:tcW w:w="463" w:type="pct"/>
            <w:tcBorders>
              <w:top w:val="single" w:sz="4" w:space="0" w:color="auto"/>
              <w:left w:val="nil"/>
              <w:bottom w:val="single" w:sz="4" w:space="0" w:color="auto"/>
              <w:right w:val="single" w:sz="4" w:space="0" w:color="auto"/>
            </w:tcBorders>
            <w:shd w:val="clear" w:color="000000" w:fill="F2F2F2"/>
            <w:vAlign w:val="center"/>
            <w:hideMark/>
          </w:tcPr>
          <w:p w14:paraId="333F5D3C" w14:textId="77777777" w:rsidR="00E3750C" w:rsidRPr="00521270" w:rsidRDefault="00E3750C" w:rsidP="00047864">
            <w:pPr>
              <w:spacing w:after="0" w:line="240" w:lineRule="auto"/>
              <w:jc w:val="center"/>
              <w:rPr>
                <w:rFonts w:ascii="Arial" w:eastAsia="Times New Roman" w:hAnsi="Arial" w:cs="Arial"/>
                <w:color w:val="000000"/>
                <w:sz w:val="16"/>
                <w:szCs w:val="16"/>
                <w:lang w:eastAsia="sl-SI"/>
              </w:rPr>
            </w:pPr>
            <w:r w:rsidRPr="00521270">
              <w:rPr>
                <w:rFonts w:ascii="Arial" w:eastAsia="Times New Roman" w:hAnsi="Arial" w:cs="Arial"/>
                <w:color w:val="000000"/>
                <w:sz w:val="16"/>
                <w:szCs w:val="16"/>
                <w:lang w:eastAsia="sl-SI"/>
              </w:rPr>
              <w:t xml:space="preserve">Delež v št. </w:t>
            </w:r>
            <w:proofErr w:type="spellStart"/>
            <w:r w:rsidRPr="00521270">
              <w:rPr>
                <w:rFonts w:ascii="Arial" w:eastAsia="Times New Roman" w:hAnsi="Arial" w:cs="Arial"/>
                <w:color w:val="000000"/>
                <w:sz w:val="16"/>
                <w:szCs w:val="16"/>
                <w:lang w:eastAsia="sl-SI"/>
              </w:rPr>
              <w:t>ZeJN</w:t>
            </w:r>
            <w:proofErr w:type="spellEnd"/>
            <w:r w:rsidRPr="00521270">
              <w:rPr>
                <w:rFonts w:ascii="Arial" w:eastAsia="Times New Roman" w:hAnsi="Arial" w:cs="Arial"/>
                <w:color w:val="000000"/>
                <w:sz w:val="16"/>
                <w:szCs w:val="16"/>
                <w:lang w:eastAsia="sl-SI"/>
              </w:rPr>
              <w:t xml:space="preserve"> glede na vsa naročila kategorije</w:t>
            </w:r>
          </w:p>
        </w:tc>
        <w:tc>
          <w:tcPr>
            <w:tcW w:w="522" w:type="pct"/>
            <w:tcBorders>
              <w:top w:val="single" w:sz="4" w:space="0" w:color="auto"/>
              <w:left w:val="nil"/>
              <w:bottom w:val="single" w:sz="4" w:space="0" w:color="auto"/>
              <w:right w:val="single" w:sz="4" w:space="0" w:color="auto"/>
            </w:tcBorders>
            <w:shd w:val="clear" w:color="000000" w:fill="F2F2F2"/>
            <w:vAlign w:val="center"/>
            <w:hideMark/>
          </w:tcPr>
          <w:p w14:paraId="20E8A116" w14:textId="77777777" w:rsidR="00E3750C" w:rsidRPr="00521270" w:rsidRDefault="00E3750C" w:rsidP="00047864">
            <w:pPr>
              <w:spacing w:after="0" w:line="240" w:lineRule="auto"/>
              <w:jc w:val="center"/>
              <w:rPr>
                <w:rFonts w:ascii="Arial" w:eastAsia="Times New Roman" w:hAnsi="Arial" w:cs="Arial"/>
                <w:color w:val="000000"/>
                <w:sz w:val="16"/>
                <w:szCs w:val="16"/>
                <w:lang w:eastAsia="sl-SI"/>
              </w:rPr>
            </w:pPr>
            <w:r w:rsidRPr="00521270">
              <w:rPr>
                <w:rFonts w:ascii="Arial" w:eastAsia="Times New Roman" w:hAnsi="Arial" w:cs="Arial"/>
                <w:color w:val="000000"/>
                <w:sz w:val="16"/>
                <w:szCs w:val="16"/>
                <w:lang w:eastAsia="sl-SI"/>
              </w:rPr>
              <w:t xml:space="preserve">Delež v vrednosti </w:t>
            </w:r>
            <w:proofErr w:type="spellStart"/>
            <w:r w:rsidRPr="00521270">
              <w:rPr>
                <w:rFonts w:ascii="Arial" w:eastAsia="Times New Roman" w:hAnsi="Arial" w:cs="Arial"/>
                <w:color w:val="000000"/>
                <w:sz w:val="16"/>
                <w:szCs w:val="16"/>
                <w:lang w:eastAsia="sl-SI"/>
              </w:rPr>
              <w:t>ZeJN</w:t>
            </w:r>
            <w:proofErr w:type="spellEnd"/>
            <w:r w:rsidRPr="00521270">
              <w:rPr>
                <w:rFonts w:ascii="Arial" w:eastAsia="Times New Roman" w:hAnsi="Arial" w:cs="Arial"/>
                <w:color w:val="000000"/>
                <w:sz w:val="16"/>
                <w:szCs w:val="16"/>
                <w:lang w:eastAsia="sl-SI"/>
              </w:rPr>
              <w:t xml:space="preserve"> glede na vsa naročila kategorije</w:t>
            </w:r>
          </w:p>
        </w:tc>
      </w:tr>
      <w:tr w:rsidR="00E3750C" w:rsidRPr="00521270" w14:paraId="5224332E" w14:textId="77777777" w:rsidTr="00047864">
        <w:trPr>
          <w:trHeight w:val="300"/>
        </w:trPr>
        <w:tc>
          <w:tcPr>
            <w:tcW w:w="848" w:type="pct"/>
            <w:tcBorders>
              <w:top w:val="nil"/>
              <w:left w:val="single" w:sz="4" w:space="0" w:color="auto"/>
              <w:bottom w:val="single" w:sz="4" w:space="0" w:color="auto"/>
              <w:right w:val="single" w:sz="4" w:space="0" w:color="auto"/>
            </w:tcBorders>
            <w:shd w:val="clear" w:color="auto" w:fill="auto"/>
            <w:vAlign w:val="center"/>
            <w:hideMark/>
          </w:tcPr>
          <w:p w14:paraId="09567F34" w14:textId="77777777" w:rsidR="00E3750C" w:rsidRPr="00521270" w:rsidRDefault="00E3750C" w:rsidP="00047864">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Organi Republike Slovenije</w:t>
            </w:r>
          </w:p>
        </w:tc>
        <w:tc>
          <w:tcPr>
            <w:tcW w:w="386" w:type="pct"/>
            <w:tcBorders>
              <w:top w:val="nil"/>
              <w:left w:val="nil"/>
              <w:bottom w:val="single" w:sz="4" w:space="0" w:color="auto"/>
              <w:right w:val="single" w:sz="4" w:space="0" w:color="auto"/>
            </w:tcBorders>
            <w:shd w:val="clear" w:color="auto" w:fill="auto"/>
            <w:vAlign w:val="center"/>
            <w:hideMark/>
          </w:tcPr>
          <w:p w14:paraId="565A9800"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260</w:t>
            </w:r>
          </w:p>
        </w:tc>
        <w:tc>
          <w:tcPr>
            <w:tcW w:w="695" w:type="pct"/>
            <w:tcBorders>
              <w:top w:val="nil"/>
              <w:left w:val="nil"/>
              <w:bottom w:val="single" w:sz="4" w:space="0" w:color="auto"/>
              <w:right w:val="single" w:sz="4" w:space="0" w:color="auto"/>
            </w:tcBorders>
            <w:shd w:val="clear" w:color="auto" w:fill="auto"/>
            <w:vAlign w:val="center"/>
            <w:hideMark/>
          </w:tcPr>
          <w:p w14:paraId="6C8614FC"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258.467.323</w:t>
            </w:r>
          </w:p>
        </w:tc>
        <w:tc>
          <w:tcPr>
            <w:tcW w:w="464" w:type="pct"/>
            <w:tcBorders>
              <w:top w:val="nil"/>
              <w:left w:val="nil"/>
              <w:bottom w:val="single" w:sz="4" w:space="0" w:color="auto"/>
              <w:right w:val="single" w:sz="4" w:space="0" w:color="auto"/>
            </w:tcBorders>
            <w:shd w:val="clear" w:color="auto" w:fill="auto"/>
            <w:noWrap/>
            <w:vAlign w:val="center"/>
            <w:hideMark/>
          </w:tcPr>
          <w:p w14:paraId="6EDFF158"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5,04 %</w:t>
            </w:r>
          </w:p>
        </w:tc>
        <w:tc>
          <w:tcPr>
            <w:tcW w:w="463" w:type="pct"/>
            <w:tcBorders>
              <w:top w:val="nil"/>
              <w:left w:val="nil"/>
              <w:bottom w:val="single" w:sz="4" w:space="0" w:color="auto"/>
              <w:right w:val="single" w:sz="4" w:space="0" w:color="auto"/>
            </w:tcBorders>
            <w:shd w:val="clear" w:color="auto" w:fill="auto"/>
            <w:noWrap/>
            <w:vAlign w:val="center"/>
            <w:hideMark/>
          </w:tcPr>
          <w:p w14:paraId="203AA918"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18,17 %</w:t>
            </w:r>
          </w:p>
        </w:tc>
        <w:tc>
          <w:tcPr>
            <w:tcW w:w="464" w:type="pct"/>
            <w:tcBorders>
              <w:top w:val="nil"/>
              <w:left w:val="nil"/>
              <w:bottom w:val="single" w:sz="4" w:space="0" w:color="auto"/>
              <w:right w:val="single" w:sz="4" w:space="0" w:color="auto"/>
            </w:tcBorders>
            <w:shd w:val="clear" w:color="auto" w:fill="auto"/>
            <w:vAlign w:val="center"/>
            <w:hideMark/>
          </w:tcPr>
          <w:p w14:paraId="0575B565"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1.820</w:t>
            </w:r>
          </w:p>
        </w:tc>
        <w:tc>
          <w:tcPr>
            <w:tcW w:w="696" w:type="pct"/>
            <w:tcBorders>
              <w:top w:val="nil"/>
              <w:left w:val="nil"/>
              <w:bottom w:val="single" w:sz="4" w:space="0" w:color="auto"/>
              <w:right w:val="single" w:sz="4" w:space="0" w:color="auto"/>
            </w:tcBorders>
            <w:shd w:val="clear" w:color="auto" w:fill="auto"/>
            <w:vAlign w:val="center"/>
            <w:hideMark/>
          </w:tcPr>
          <w:p w14:paraId="0FBC9599"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1.606.824.236</w:t>
            </w:r>
          </w:p>
        </w:tc>
        <w:tc>
          <w:tcPr>
            <w:tcW w:w="463" w:type="pct"/>
            <w:tcBorders>
              <w:top w:val="nil"/>
              <w:left w:val="nil"/>
              <w:bottom w:val="single" w:sz="4" w:space="0" w:color="auto"/>
              <w:right w:val="single" w:sz="4" w:space="0" w:color="auto"/>
            </w:tcBorders>
            <w:shd w:val="clear" w:color="auto" w:fill="auto"/>
            <w:noWrap/>
            <w:vAlign w:val="center"/>
            <w:hideMark/>
          </w:tcPr>
          <w:p w14:paraId="50C3C102"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14,29 %</w:t>
            </w:r>
          </w:p>
        </w:tc>
        <w:tc>
          <w:tcPr>
            <w:tcW w:w="522" w:type="pct"/>
            <w:tcBorders>
              <w:top w:val="nil"/>
              <w:left w:val="nil"/>
              <w:bottom w:val="single" w:sz="4" w:space="0" w:color="auto"/>
              <w:right w:val="single" w:sz="4" w:space="0" w:color="auto"/>
            </w:tcBorders>
            <w:shd w:val="clear" w:color="auto" w:fill="auto"/>
            <w:noWrap/>
            <w:vAlign w:val="center"/>
            <w:hideMark/>
          </w:tcPr>
          <w:p w14:paraId="00D04CF0"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16,09 %</w:t>
            </w:r>
          </w:p>
        </w:tc>
      </w:tr>
      <w:tr w:rsidR="00E3750C" w:rsidRPr="00521270" w14:paraId="36E69609" w14:textId="77777777" w:rsidTr="00047864">
        <w:trPr>
          <w:trHeight w:val="300"/>
        </w:trPr>
        <w:tc>
          <w:tcPr>
            <w:tcW w:w="848" w:type="pct"/>
            <w:tcBorders>
              <w:top w:val="nil"/>
              <w:left w:val="single" w:sz="4" w:space="0" w:color="auto"/>
              <w:bottom w:val="single" w:sz="4" w:space="0" w:color="auto"/>
              <w:right w:val="single" w:sz="4" w:space="0" w:color="auto"/>
            </w:tcBorders>
            <w:shd w:val="clear" w:color="auto" w:fill="auto"/>
            <w:noWrap/>
            <w:vAlign w:val="center"/>
            <w:hideMark/>
          </w:tcPr>
          <w:p w14:paraId="51CC5B0E" w14:textId="77777777" w:rsidR="00E3750C" w:rsidRPr="00521270" w:rsidRDefault="00E3750C" w:rsidP="00047864">
            <w:pPr>
              <w:spacing w:after="0" w:line="240" w:lineRule="auto"/>
              <w:rPr>
                <w:rFonts w:ascii="Arial" w:eastAsia="Times New Roman" w:hAnsi="Arial" w:cs="Arial"/>
                <w:color w:val="000000"/>
                <w:sz w:val="16"/>
                <w:szCs w:val="16"/>
                <w:lang w:eastAsia="sl-SI"/>
              </w:rPr>
            </w:pPr>
            <w:r w:rsidRPr="00521270">
              <w:rPr>
                <w:rFonts w:ascii="Arial" w:eastAsia="Times New Roman" w:hAnsi="Arial" w:cs="Arial"/>
                <w:color w:val="000000"/>
                <w:sz w:val="16"/>
                <w:szCs w:val="16"/>
                <w:lang w:eastAsia="sl-SI"/>
              </w:rPr>
              <w:t>Samoupravne lokalne skupnosti</w:t>
            </w:r>
          </w:p>
        </w:tc>
        <w:tc>
          <w:tcPr>
            <w:tcW w:w="386" w:type="pct"/>
            <w:tcBorders>
              <w:top w:val="nil"/>
              <w:left w:val="nil"/>
              <w:bottom w:val="single" w:sz="4" w:space="0" w:color="auto"/>
              <w:right w:val="single" w:sz="4" w:space="0" w:color="auto"/>
            </w:tcBorders>
            <w:shd w:val="clear" w:color="auto" w:fill="auto"/>
            <w:vAlign w:val="center"/>
            <w:hideMark/>
          </w:tcPr>
          <w:p w14:paraId="27CE0A3E"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640</w:t>
            </w:r>
          </w:p>
        </w:tc>
        <w:tc>
          <w:tcPr>
            <w:tcW w:w="695" w:type="pct"/>
            <w:tcBorders>
              <w:top w:val="nil"/>
              <w:left w:val="nil"/>
              <w:bottom w:val="single" w:sz="4" w:space="0" w:color="auto"/>
              <w:right w:val="single" w:sz="4" w:space="0" w:color="auto"/>
            </w:tcBorders>
            <w:shd w:val="clear" w:color="auto" w:fill="auto"/>
            <w:vAlign w:val="center"/>
            <w:hideMark/>
          </w:tcPr>
          <w:p w14:paraId="266BC46B"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427.460.729</w:t>
            </w:r>
          </w:p>
        </w:tc>
        <w:tc>
          <w:tcPr>
            <w:tcW w:w="464" w:type="pct"/>
            <w:tcBorders>
              <w:top w:val="nil"/>
              <w:left w:val="nil"/>
              <w:bottom w:val="single" w:sz="4" w:space="0" w:color="auto"/>
              <w:right w:val="single" w:sz="4" w:space="0" w:color="auto"/>
            </w:tcBorders>
            <w:shd w:val="clear" w:color="auto" w:fill="auto"/>
            <w:noWrap/>
            <w:vAlign w:val="center"/>
            <w:hideMark/>
          </w:tcPr>
          <w:p w14:paraId="0F5AF2D3"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12,40 %</w:t>
            </w:r>
          </w:p>
        </w:tc>
        <w:tc>
          <w:tcPr>
            <w:tcW w:w="463" w:type="pct"/>
            <w:tcBorders>
              <w:top w:val="nil"/>
              <w:left w:val="nil"/>
              <w:bottom w:val="single" w:sz="4" w:space="0" w:color="auto"/>
              <w:right w:val="single" w:sz="4" w:space="0" w:color="auto"/>
            </w:tcBorders>
            <w:shd w:val="clear" w:color="auto" w:fill="auto"/>
            <w:noWrap/>
            <w:vAlign w:val="center"/>
            <w:hideMark/>
          </w:tcPr>
          <w:p w14:paraId="2F2233BD"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30,04 %</w:t>
            </w:r>
          </w:p>
        </w:tc>
        <w:tc>
          <w:tcPr>
            <w:tcW w:w="464" w:type="pct"/>
            <w:tcBorders>
              <w:top w:val="nil"/>
              <w:left w:val="nil"/>
              <w:bottom w:val="single" w:sz="4" w:space="0" w:color="auto"/>
              <w:right w:val="single" w:sz="4" w:space="0" w:color="auto"/>
            </w:tcBorders>
            <w:shd w:val="clear" w:color="auto" w:fill="auto"/>
            <w:vAlign w:val="center"/>
            <w:hideMark/>
          </w:tcPr>
          <w:p w14:paraId="4E279E25"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1.657</w:t>
            </w:r>
          </w:p>
        </w:tc>
        <w:tc>
          <w:tcPr>
            <w:tcW w:w="696" w:type="pct"/>
            <w:tcBorders>
              <w:top w:val="nil"/>
              <w:left w:val="nil"/>
              <w:bottom w:val="single" w:sz="4" w:space="0" w:color="auto"/>
              <w:right w:val="single" w:sz="4" w:space="0" w:color="auto"/>
            </w:tcBorders>
            <w:shd w:val="clear" w:color="auto" w:fill="auto"/>
            <w:vAlign w:val="center"/>
            <w:hideMark/>
          </w:tcPr>
          <w:p w14:paraId="60EACC07"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779.957.506</w:t>
            </w:r>
          </w:p>
        </w:tc>
        <w:tc>
          <w:tcPr>
            <w:tcW w:w="463" w:type="pct"/>
            <w:tcBorders>
              <w:top w:val="nil"/>
              <w:left w:val="nil"/>
              <w:bottom w:val="single" w:sz="4" w:space="0" w:color="auto"/>
              <w:right w:val="single" w:sz="4" w:space="0" w:color="auto"/>
            </w:tcBorders>
            <w:shd w:val="clear" w:color="auto" w:fill="auto"/>
            <w:noWrap/>
            <w:vAlign w:val="center"/>
            <w:hideMark/>
          </w:tcPr>
          <w:p w14:paraId="2AA21989"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38,62 %</w:t>
            </w:r>
          </w:p>
        </w:tc>
        <w:tc>
          <w:tcPr>
            <w:tcW w:w="522" w:type="pct"/>
            <w:tcBorders>
              <w:top w:val="nil"/>
              <w:left w:val="nil"/>
              <w:bottom w:val="single" w:sz="4" w:space="0" w:color="auto"/>
              <w:right w:val="single" w:sz="4" w:space="0" w:color="auto"/>
            </w:tcBorders>
            <w:shd w:val="clear" w:color="auto" w:fill="auto"/>
            <w:noWrap/>
            <w:vAlign w:val="center"/>
            <w:hideMark/>
          </w:tcPr>
          <w:p w14:paraId="27BA7350"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54,81 %</w:t>
            </w:r>
          </w:p>
        </w:tc>
      </w:tr>
      <w:tr w:rsidR="00E3750C" w:rsidRPr="00521270" w14:paraId="1734D1F1" w14:textId="77777777" w:rsidTr="00047864">
        <w:trPr>
          <w:trHeight w:val="300"/>
        </w:trPr>
        <w:tc>
          <w:tcPr>
            <w:tcW w:w="848" w:type="pct"/>
            <w:tcBorders>
              <w:top w:val="nil"/>
              <w:left w:val="single" w:sz="4" w:space="0" w:color="auto"/>
              <w:bottom w:val="single" w:sz="4" w:space="0" w:color="auto"/>
              <w:right w:val="single" w:sz="4" w:space="0" w:color="auto"/>
            </w:tcBorders>
            <w:shd w:val="clear" w:color="auto" w:fill="auto"/>
            <w:vAlign w:val="center"/>
            <w:hideMark/>
          </w:tcPr>
          <w:p w14:paraId="4716A62B" w14:textId="77777777" w:rsidR="00E3750C" w:rsidRPr="00521270" w:rsidRDefault="00E3750C" w:rsidP="00047864">
            <w:pPr>
              <w:spacing w:after="0" w:line="240" w:lineRule="auto"/>
              <w:rPr>
                <w:rFonts w:ascii="Arial" w:eastAsia="Times New Roman" w:hAnsi="Arial" w:cs="Arial"/>
                <w:color w:val="000000"/>
                <w:sz w:val="16"/>
                <w:szCs w:val="16"/>
                <w:lang w:eastAsia="sl-SI"/>
              </w:rPr>
            </w:pPr>
            <w:r w:rsidRPr="00521270">
              <w:rPr>
                <w:rFonts w:ascii="Arial" w:eastAsia="Times New Roman" w:hAnsi="Arial" w:cs="Arial"/>
                <w:color w:val="000000"/>
                <w:sz w:val="16"/>
                <w:szCs w:val="16"/>
                <w:lang w:eastAsia="sl-SI"/>
              </w:rPr>
              <w:t>Javni skladi</w:t>
            </w:r>
          </w:p>
        </w:tc>
        <w:tc>
          <w:tcPr>
            <w:tcW w:w="386" w:type="pct"/>
            <w:tcBorders>
              <w:top w:val="nil"/>
              <w:left w:val="nil"/>
              <w:bottom w:val="single" w:sz="4" w:space="0" w:color="auto"/>
              <w:right w:val="single" w:sz="4" w:space="0" w:color="auto"/>
            </w:tcBorders>
            <w:shd w:val="clear" w:color="auto" w:fill="auto"/>
            <w:vAlign w:val="center"/>
            <w:hideMark/>
          </w:tcPr>
          <w:p w14:paraId="4AF1A3BA"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3</w:t>
            </w:r>
          </w:p>
        </w:tc>
        <w:tc>
          <w:tcPr>
            <w:tcW w:w="695" w:type="pct"/>
            <w:tcBorders>
              <w:top w:val="nil"/>
              <w:left w:val="nil"/>
              <w:bottom w:val="single" w:sz="4" w:space="0" w:color="auto"/>
              <w:right w:val="single" w:sz="4" w:space="0" w:color="auto"/>
            </w:tcBorders>
            <w:shd w:val="clear" w:color="auto" w:fill="auto"/>
            <w:vAlign w:val="center"/>
            <w:hideMark/>
          </w:tcPr>
          <w:p w14:paraId="3322E3D3"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14.954.999</w:t>
            </w:r>
          </w:p>
        </w:tc>
        <w:tc>
          <w:tcPr>
            <w:tcW w:w="464" w:type="pct"/>
            <w:tcBorders>
              <w:top w:val="nil"/>
              <w:left w:val="nil"/>
              <w:bottom w:val="single" w:sz="4" w:space="0" w:color="auto"/>
              <w:right w:val="single" w:sz="4" w:space="0" w:color="auto"/>
            </w:tcBorders>
            <w:shd w:val="clear" w:color="auto" w:fill="auto"/>
            <w:noWrap/>
            <w:vAlign w:val="center"/>
            <w:hideMark/>
          </w:tcPr>
          <w:p w14:paraId="5C8AD38B"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0,06 %</w:t>
            </w:r>
          </w:p>
        </w:tc>
        <w:tc>
          <w:tcPr>
            <w:tcW w:w="463" w:type="pct"/>
            <w:tcBorders>
              <w:top w:val="nil"/>
              <w:left w:val="nil"/>
              <w:bottom w:val="single" w:sz="4" w:space="0" w:color="auto"/>
              <w:right w:val="single" w:sz="4" w:space="0" w:color="auto"/>
            </w:tcBorders>
            <w:shd w:val="clear" w:color="auto" w:fill="auto"/>
            <w:noWrap/>
            <w:vAlign w:val="center"/>
            <w:hideMark/>
          </w:tcPr>
          <w:p w14:paraId="54E256AF"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1,05 %</w:t>
            </w:r>
          </w:p>
        </w:tc>
        <w:tc>
          <w:tcPr>
            <w:tcW w:w="464" w:type="pct"/>
            <w:tcBorders>
              <w:top w:val="nil"/>
              <w:left w:val="nil"/>
              <w:bottom w:val="single" w:sz="4" w:space="0" w:color="auto"/>
              <w:right w:val="single" w:sz="4" w:space="0" w:color="auto"/>
            </w:tcBorders>
            <w:shd w:val="clear" w:color="auto" w:fill="auto"/>
            <w:vAlign w:val="center"/>
            <w:hideMark/>
          </w:tcPr>
          <w:p w14:paraId="0A245397"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57</w:t>
            </w:r>
          </w:p>
        </w:tc>
        <w:tc>
          <w:tcPr>
            <w:tcW w:w="696" w:type="pct"/>
            <w:tcBorders>
              <w:top w:val="nil"/>
              <w:left w:val="nil"/>
              <w:bottom w:val="single" w:sz="4" w:space="0" w:color="auto"/>
              <w:right w:val="single" w:sz="4" w:space="0" w:color="auto"/>
            </w:tcBorders>
            <w:shd w:val="clear" w:color="auto" w:fill="auto"/>
            <w:vAlign w:val="center"/>
            <w:hideMark/>
          </w:tcPr>
          <w:p w14:paraId="2EA77D6E"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60.300.360</w:t>
            </w:r>
          </w:p>
        </w:tc>
        <w:tc>
          <w:tcPr>
            <w:tcW w:w="463" w:type="pct"/>
            <w:tcBorders>
              <w:top w:val="nil"/>
              <w:left w:val="nil"/>
              <w:bottom w:val="single" w:sz="4" w:space="0" w:color="auto"/>
              <w:right w:val="single" w:sz="4" w:space="0" w:color="auto"/>
            </w:tcBorders>
            <w:shd w:val="clear" w:color="auto" w:fill="auto"/>
            <w:noWrap/>
            <w:vAlign w:val="center"/>
            <w:hideMark/>
          </w:tcPr>
          <w:p w14:paraId="6A83B9ED"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5,26 %</w:t>
            </w:r>
          </w:p>
        </w:tc>
        <w:tc>
          <w:tcPr>
            <w:tcW w:w="522" w:type="pct"/>
            <w:tcBorders>
              <w:top w:val="nil"/>
              <w:left w:val="nil"/>
              <w:bottom w:val="single" w:sz="4" w:space="0" w:color="auto"/>
              <w:right w:val="single" w:sz="4" w:space="0" w:color="auto"/>
            </w:tcBorders>
            <w:shd w:val="clear" w:color="auto" w:fill="auto"/>
            <w:noWrap/>
            <w:vAlign w:val="center"/>
            <w:hideMark/>
          </w:tcPr>
          <w:p w14:paraId="5A80B88D"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24,80 %</w:t>
            </w:r>
          </w:p>
        </w:tc>
      </w:tr>
      <w:tr w:rsidR="00E3750C" w:rsidRPr="00521270" w14:paraId="01BC75CB" w14:textId="77777777" w:rsidTr="00047864">
        <w:trPr>
          <w:trHeight w:val="300"/>
        </w:trPr>
        <w:tc>
          <w:tcPr>
            <w:tcW w:w="848" w:type="pct"/>
            <w:tcBorders>
              <w:top w:val="nil"/>
              <w:left w:val="single" w:sz="4" w:space="0" w:color="auto"/>
              <w:bottom w:val="single" w:sz="4" w:space="0" w:color="auto"/>
              <w:right w:val="single" w:sz="4" w:space="0" w:color="auto"/>
            </w:tcBorders>
            <w:shd w:val="clear" w:color="auto" w:fill="auto"/>
            <w:vAlign w:val="center"/>
            <w:hideMark/>
          </w:tcPr>
          <w:p w14:paraId="6066C06C" w14:textId="77777777" w:rsidR="00E3750C" w:rsidRPr="00521270" w:rsidRDefault="00E3750C" w:rsidP="00047864">
            <w:pPr>
              <w:spacing w:after="0" w:line="240" w:lineRule="auto"/>
              <w:rPr>
                <w:rFonts w:ascii="Arial" w:eastAsia="Times New Roman" w:hAnsi="Arial" w:cs="Arial"/>
                <w:color w:val="000000"/>
                <w:sz w:val="16"/>
                <w:szCs w:val="16"/>
                <w:lang w:eastAsia="sl-SI"/>
              </w:rPr>
            </w:pPr>
            <w:r w:rsidRPr="00521270">
              <w:rPr>
                <w:rFonts w:ascii="Arial" w:eastAsia="Times New Roman" w:hAnsi="Arial" w:cs="Arial"/>
                <w:color w:val="000000"/>
                <w:sz w:val="16"/>
                <w:szCs w:val="16"/>
                <w:lang w:eastAsia="sl-SI"/>
              </w:rPr>
              <w:t>Javne agencije</w:t>
            </w:r>
          </w:p>
        </w:tc>
        <w:tc>
          <w:tcPr>
            <w:tcW w:w="386" w:type="pct"/>
            <w:tcBorders>
              <w:top w:val="nil"/>
              <w:left w:val="nil"/>
              <w:bottom w:val="single" w:sz="4" w:space="0" w:color="auto"/>
              <w:right w:val="single" w:sz="4" w:space="0" w:color="auto"/>
            </w:tcBorders>
            <w:shd w:val="clear" w:color="auto" w:fill="auto"/>
            <w:vAlign w:val="center"/>
            <w:hideMark/>
          </w:tcPr>
          <w:p w14:paraId="60F0E013"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13</w:t>
            </w:r>
          </w:p>
        </w:tc>
        <w:tc>
          <w:tcPr>
            <w:tcW w:w="695" w:type="pct"/>
            <w:tcBorders>
              <w:top w:val="nil"/>
              <w:left w:val="nil"/>
              <w:bottom w:val="single" w:sz="4" w:space="0" w:color="auto"/>
              <w:right w:val="single" w:sz="4" w:space="0" w:color="auto"/>
            </w:tcBorders>
            <w:shd w:val="clear" w:color="auto" w:fill="auto"/>
            <w:vAlign w:val="center"/>
            <w:hideMark/>
          </w:tcPr>
          <w:p w14:paraId="13D127E0"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789.321</w:t>
            </w:r>
          </w:p>
        </w:tc>
        <w:tc>
          <w:tcPr>
            <w:tcW w:w="464" w:type="pct"/>
            <w:tcBorders>
              <w:top w:val="nil"/>
              <w:left w:val="nil"/>
              <w:bottom w:val="single" w:sz="4" w:space="0" w:color="auto"/>
              <w:right w:val="single" w:sz="4" w:space="0" w:color="auto"/>
            </w:tcBorders>
            <w:shd w:val="clear" w:color="auto" w:fill="auto"/>
            <w:noWrap/>
            <w:vAlign w:val="center"/>
            <w:hideMark/>
          </w:tcPr>
          <w:p w14:paraId="59F37039"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0,25 %</w:t>
            </w:r>
          </w:p>
        </w:tc>
        <w:tc>
          <w:tcPr>
            <w:tcW w:w="463" w:type="pct"/>
            <w:tcBorders>
              <w:top w:val="nil"/>
              <w:left w:val="nil"/>
              <w:bottom w:val="single" w:sz="4" w:space="0" w:color="auto"/>
              <w:right w:val="single" w:sz="4" w:space="0" w:color="auto"/>
            </w:tcBorders>
            <w:shd w:val="clear" w:color="auto" w:fill="auto"/>
            <w:noWrap/>
            <w:vAlign w:val="center"/>
            <w:hideMark/>
          </w:tcPr>
          <w:p w14:paraId="6B252F38"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0,06 %</w:t>
            </w:r>
          </w:p>
        </w:tc>
        <w:tc>
          <w:tcPr>
            <w:tcW w:w="464" w:type="pct"/>
            <w:tcBorders>
              <w:top w:val="nil"/>
              <w:left w:val="nil"/>
              <w:bottom w:val="single" w:sz="4" w:space="0" w:color="auto"/>
              <w:right w:val="single" w:sz="4" w:space="0" w:color="auto"/>
            </w:tcBorders>
            <w:shd w:val="clear" w:color="auto" w:fill="auto"/>
            <w:vAlign w:val="center"/>
            <w:hideMark/>
          </w:tcPr>
          <w:p w14:paraId="0C91627F"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93</w:t>
            </w:r>
          </w:p>
        </w:tc>
        <w:tc>
          <w:tcPr>
            <w:tcW w:w="696" w:type="pct"/>
            <w:tcBorders>
              <w:top w:val="nil"/>
              <w:left w:val="nil"/>
              <w:bottom w:val="single" w:sz="4" w:space="0" w:color="auto"/>
              <w:right w:val="single" w:sz="4" w:space="0" w:color="auto"/>
            </w:tcBorders>
            <w:shd w:val="clear" w:color="auto" w:fill="auto"/>
            <w:vAlign w:val="center"/>
            <w:hideMark/>
          </w:tcPr>
          <w:p w14:paraId="407C4C06"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11.477.193</w:t>
            </w:r>
          </w:p>
        </w:tc>
        <w:tc>
          <w:tcPr>
            <w:tcW w:w="463" w:type="pct"/>
            <w:tcBorders>
              <w:top w:val="nil"/>
              <w:left w:val="nil"/>
              <w:bottom w:val="single" w:sz="4" w:space="0" w:color="auto"/>
              <w:right w:val="single" w:sz="4" w:space="0" w:color="auto"/>
            </w:tcBorders>
            <w:shd w:val="clear" w:color="auto" w:fill="auto"/>
            <w:noWrap/>
            <w:vAlign w:val="center"/>
            <w:hideMark/>
          </w:tcPr>
          <w:p w14:paraId="7B7D4A42"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13,98 %</w:t>
            </w:r>
          </w:p>
        </w:tc>
        <w:tc>
          <w:tcPr>
            <w:tcW w:w="522" w:type="pct"/>
            <w:tcBorders>
              <w:top w:val="nil"/>
              <w:left w:val="nil"/>
              <w:bottom w:val="single" w:sz="4" w:space="0" w:color="auto"/>
              <w:right w:val="single" w:sz="4" w:space="0" w:color="auto"/>
            </w:tcBorders>
            <w:shd w:val="clear" w:color="auto" w:fill="auto"/>
            <w:noWrap/>
            <w:vAlign w:val="center"/>
            <w:hideMark/>
          </w:tcPr>
          <w:p w14:paraId="1096BC24"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6,88 %</w:t>
            </w:r>
          </w:p>
        </w:tc>
      </w:tr>
      <w:tr w:rsidR="00E3750C" w:rsidRPr="00521270" w14:paraId="5F3A8140" w14:textId="77777777" w:rsidTr="00047864">
        <w:trPr>
          <w:trHeight w:val="300"/>
        </w:trPr>
        <w:tc>
          <w:tcPr>
            <w:tcW w:w="848" w:type="pct"/>
            <w:tcBorders>
              <w:top w:val="nil"/>
              <w:left w:val="single" w:sz="4" w:space="0" w:color="auto"/>
              <w:bottom w:val="single" w:sz="4" w:space="0" w:color="auto"/>
              <w:right w:val="single" w:sz="4" w:space="0" w:color="auto"/>
            </w:tcBorders>
            <w:shd w:val="clear" w:color="auto" w:fill="auto"/>
            <w:vAlign w:val="center"/>
            <w:hideMark/>
          </w:tcPr>
          <w:p w14:paraId="35FF8F84" w14:textId="77777777" w:rsidR="00E3750C" w:rsidRPr="00521270" w:rsidRDefault="00E3750C" w:rsidP="00047864">
            <w:pPr>
              <w:spacing w:after="0" w:line="240" w:lineRule="auto"/>
              <w:rPr>
                <w:rFonts w:ascii="Arial" w:eastAsia="Times New Roman" w:hAnsi="Arial" w:cs="Arial"/>
                <w:color w:val="000000"/>
                <w:sz w:val="16"/>
                <w:szCs w:val="16"/>
                <w:lang w:eastAsia="sl-SI"/>
              </w:rPr>
            </w:pPr>
            <w:r w:rsidRPr="00521270">
              <w:rPr>
                <w:rFonts w:ascii="Arial" w:eastAsia="Times New Roman" w:hAnsi="Arial" w:cs="Arial"/>
                <w:color w:val="000000"/>
                <w:sz w:val="16"/>
                <w:szCs w:val="16"/>
                <w:lang w:eastAsia="sl-SI"/>
              </w:rPr>
              <w:t>Javni zavodi</w:t>
            </w:r>
          </w:p>
        </w:tc>
        <w:tc>
          <w:tcPr>
            <w:tcW w:w="386" w:type="pct"/>
            <w:tcBorders>
              <w:top w:val="nil"/>
              <w:left w:val="nil"/>
              <w:bottom w:val="single" w:sz="4" w:space="0" w:color="auto"/>
              <w:right w:val="single" w:sz="4" w:space="0" w:color="auto"/>
            </w:tcBorders>
            <w:shd w:val="clear" w:color="auto" w:fill="auto"/>
            <w:vAlign w:val="center"/>
            <w:hideMark/>
          </w:tcPr>
          <w:p w14:paraId="28317939"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3.711</w:t>
            </w:r>
          </w:p>
        </w:tc>
        <w:tc>
          <w:tcPr>
            <w:tcW w:w="695" w:type="pct"/>
            <w:tcBorders>
              <w:top w:val="nil"/>
              <w:left w:val="nil"/>
              <w:bottom w:val="single" w:sz="4" w:space="0" w:color="auto"/>
              <w:right w:val="single" w:sz="4" w:space="0" w:color="auto"/>
            </w:tcBorders>
            <w:shd w:val="clear" w:color="auto" w:fill="auto"/>
            <w:vAlign w:val="center"/>
            <w:hideMark/>
          </w:tcPr>
          <w:p w14:paraId="0D044804"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409.317.847</w:t>
            </w:r>
          </w:p>
        </w:tc>
        <w:tc>
          <w:tcPr>
            <w:tcW w:w="464" w:type="pct"/>
            <w:tcBorders>
              <w:top w:val="nil"/>
              <w:left w:val="nil"/>
              <w:bottom w:val="single" w:sz="4" w:space="0" w:color="auto"/>
              <w:right w:val="single" w:sz="4" w:space="0" w:color="auto"/>
            </w:tcBorders>
            <w:shd w:val="clear" w:color="auto" w:fill="auto"/>
            <w:noWrap/>
            <w:vAlign w:val="center"/>
            <w:hideMark/>
          </w:tcPr>
          <w:p w14:paraId="784B7FCA"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71,89 %</w:t>
            </w:r>
          </w:p>
        </w:tc>
        <w:tc>
          <w:tcPr>
            <w:tcW w:w="463" w:type="pct"/>
            <w:tcBorders>
              <w:top w:val="nil"/>
              <w:left w:val="nil"/>
              <w:bottom w:val="single" w:sz="4" w:space="0" w:color="auto"/>
              <w:right w:val="single" w:sz="4" w:space="0" w:color="auto"/>
            </w:tcBorders>
            <w:shd w:val="clear" w:color="auto" w:fill="auto"/>
            <w:noWrap/>
            <w:vAlign w:val="center"/>
            <w:hideMark/>
          </w:tcPr>
          <w:p w14:paraId="03726D62"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28,77 %</w:t>
            </w:r>
          </w:p>
        </w:tc>
        <w:tc>
          <w:tcPr>
            <w:tcW w:w="464" w:type="pct"/>
            <w:tcBorders>
              <w:top w:val="nil"/>
              <w:left w:val="nil"/>
              <w:bottom w:val="single" w:sz="4" w:space="0" w:color="auto"/>
              <w:right w:val="single" w:sz="4" w:space="0" w:color="auto"/>
            </w:tcBorders>
            <w:shd w:val="clear" w:color="auto" w:fill="auto"/>
            <w:vAlign w:val="center"/>
            <w:hideMark/>
          </w:tcPr>
          <w:p w14:paraId="57DB0BF6"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10.146</w:t>
            </w:r>
          </w:p>
        </w:tc>
        <w:tc>
          <w:tcPr>
            <w:tcW w:w="696" w:type="pct"/>
            <w:tcBorders>
              <w:top w:val="nil"/>
              <w:left w:val="nil"/>
              <w:bottom w:val="single" w:sz="4" w:space="0" w:color="auto"/>
              <w:right w:val="single" w:sz="4" w:space="0" w:color="auto"/>
            </w:tcBorders>
            <w:shd w:val="clear" w:color="auto" w:fill="auto"/>
            <w:vAlign w:val="center"/>
            <w:hideMark/>
          </w:tcPr>
          <w:p w14:paraId="0966C186"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1.465.228.045</w:t>
            </w:r>
          </w:p>
        </w:tc>
        <w:tc>
          <w:tcPr>
            <w:tcW w:w="463" w:type="pct"/>
            <w:tcBorders>
              <w:top w:val="nil"/>
              <w:left w:val="nil"/>
              <w:bottom w:val="single" w:sz="4" w:space="0" w:color="auto"/>
              <w:right w:val="single" w:sz="4" w:space="0" w:color="auto"/>
            </w:tcBorders>
            <w:shd w:val="clear" w:color="auto" w:fill="auto"/>
            <w:noWrap/>
            <w:vAlign w:val="center"/>
            <w:hideMark/>
          </w:tcPr>
          <w:p w14:paraId="461AED66"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36,58 %</w:t>
            </w:r>
          </w:p>
        </w:tc>
        <w:tc>
          <w:tcPr>
            <w:tcW w:w="522" w:type="pct"/>
            <w:tcBorders>
              <w:top w:val="nil"/>
              <w:left w:val="nil"/>
              <w:bottom w:val="single" w:sz="4" w:space="0" w:color="auto"/>
              <w:right w:val="single" w:sz="4" w:space="0" w:color="auto"/>
            </w:tcBorders>
            <w:shd w:val="clear" w:color="auto" w:fill="auto"/>
            <w:noWrap/>
            <w:vAlign w:val="center"/>
            <w:hideMark/>
          </w:tcPr>
          <w:p w14:paraId="121232FB"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27,94 %</w:t>
            </w:r>
          </w:p>
        </w:tc>
      </w:tr>
      <w:tr w:rsidR="00E3750C" w:rsidRPr="00521270" w14:paraId="745DBBCB" w14:textId="77777777" w:rsidTr="00047864">
        <w:trPr>
          <w:trHeight w:val="300"/>
        </w:trPr>
        <w:tc>
          <w:tcPr>
            <w:tcW w:w="848" w:type="pct"/>
            <w:tcBorders>
              <w:top w:val="nil"/>
              <w:left w:val="single" w:sz="4" w:space="0" w:color="auto"/>
              <w:bottom w:val="single" w:sz="4" w:space="0" w:color="auto"/>
              <w:right w:val="single" w:sz="4" w:space="0" w:color="auto"/>
            </w:tcBorders>
            <w:shd w:val="clear" w:color="auto" w:fill="auto"/>
            <w:vAlign w:val="center"/>
            <w:hideMark/>
          </w:tcPr>
          <w:p w14:paraId="627D6BAF" w14:textId="77777777" w:rsidR="00E3750C" w:rsidRPr="00521270" w:rsidRDefault="00E3750C" w:rsidP="00047864">
            <w:pPr>
              <w:spacing w:after="0" w:line="240" w:lineRule="auto"/>
              <w:rPr>
                <w:rFonts w:ascii="Arial" w:eastAsia="Times New Roman" w:hAnsi="Arial" w:cs="Arial"/>
                <w:color w:val="000000"/>
                <w:sz w:val="16"/>
                <w:szCs w:val="16"/>
                <w:lang w:eastAsia="sl-SI"/>
              </w:rPr>
            </w:pPr>
            <w:r w:rsidRPr="00521270">
              <w:rPr>
                <w:rFonts w:ascii="Arial" w:eastAsia="Times New Roman" w:hAnsi="Arial" w:cs="Arial"/>
                <w:color w:val="000000"/>
                <w:sz w:val="16"/>
                <w:szCs w:val="16"/>
                <w:lang w:eastAsia="sl-SI"/>
              </w:rPr>
              <w:t>Javni gospodarski zavodi</w:t>
            </w:r>
          </w:p>
        </w:tc>
        <w:tc>
          <w:tcPr>
            <w:tcW w:w="386" w:type="pct"/>
            <w:tcBorders>
              <w:top w:val="nil"/>
              <w:left w:val="nil"/>
              <w:bottom w:val="single" w:sz="4" w:space="0" w:color="auto"/>
              <w:right w:val="single" w:sz="4" w:space="0" w:color="auto"/>
            </w:tcBorders>
            <w:shd w:val="clear" w:color="auto" w:fill="auto"/>
            <w:vAlign w:val="center"/>
            <w:hideMark/>
          </w:tcPr>
          <w:p w14:paraId="009906F3"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29</w:t>
            </w:r>
          </w:p>
        </w:tc>
        <w:tc>
          <w:tcPr>
            <w:tcW w:w="695" w:type="pct"/>
            <w:tcBorders>
              <w:top w:val="nil"/>
              <w:left w:val="nil"/>
              <w:bottom w:val="single" w:sz="4" w:space="0" w:color="auto"/>
              <w:right w:val="single" w:sz="4" w:space="0" w:color="auto"/>
            </w:tcBorders>
            <w:shd w:val="clear" w:color="auto" w:fill="auto"/>
            <w:vAlign w:val="center"/>
            <w:hideMark/>
          </w:tcPr>
          <w:p w14:paraId="09AC3ABF"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2.876.277</w:t>
            </w:r>
          </w:p>
        </w:tc>
        <w:tc>
          <w:tcPr>
            <w:tcW w:w="464" w:type="pct"/>
            <w:tcBorders>
              <w:top w:val="nil"/>
              <w:left w:val="nil"/>
              <w:bottom w:val="single" w:sz="4" w:space="0" w:color="auto"/>
              <w:right w:val="single" w:sz="4" w:space="0" w:color="auto"/>
            </w:tcBorders>
            <w:shd w:val="clear" w:color="auto" w:fill="auto"/>
            <w:noWrap/>
            <w:vAlign w:val="center"/>
            <w:hideMark/>
          </w:tcPr>
          <w:p w14:paraId="2F567A25"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0,56 %</w:t>
            </w:r>
          </w:p>
        </w:tc>
        <w:tc>
          <w:tcPr>
            <w:tcW w:w="463" w:type="pct"/>
            <w:tcBorders>
              <w:top w:val="nil"/>
              <w:left w:val="nil"/>
              <w:bottom w:val="single" w:sz="4" w:space="0" w:color="auto"/>
              <w:right w:val="single" w:sz="4" w:space="0" w:color="auto"/>
            </w:tcBorders>
            <w:shd w:val="clear" w:color="auto" w:fill="auto"/>
            <w:noWrap/>
            <w:vAlign w:val="center"/>
            <w:hideMark/>
          </w:tcPr>
          <w:p w14:paraId="2398AABB"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0,20 %</w:t>
            </w:r>
          </w:p>
        </w:tc>
        <w:tc>
          <w:tcPr>
            <w:tcW w:w="464" w:type="pct"/>
            <w:tcBorders>
              <w:top w:val="nil"/>
              <w:left w:val="nil"/>
              <w:bottom w:val="single" w:sz="4" w:space="0" w:color="auto"/>
              <w:right w:val="single" w:sz="4" w:space="0" w:color="auto"/>
            </w:tcBorders>
            <w:shd w:val="clear" w:color="auto" w:fill="auto"/>
            <w:vAlign w:val="center"/>
            <w:hideMark/>
          </w:tcPr>
          <w:p w14:paraId="32DA9C7E"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147</w:t>
            </w:r>
          </w:p>
        </w:tc>
        <w:tc>
          <w:tcPr>
            <w:tcW w:w="696" w:type="pct"/>
            <w:tcBorders>
              <w:top w:val="nil"/>
              <w:left w:val="nil"/>
              <w:bottom w:val="single" w:sz="4" w:space="0" w:color="auto"/>
              <w:right w:val="single" w:sz="4" w:space="0" w:color="auto"/>
            </w:tcBorders>
            <w:shd w:val="clear" w:color="auto" w:fill="auto"/>
            <w:vAlign w:val="center"/>
            <w:hideMark/>
          </w:tcPr>
          <w:p w14:paraId="07B253B9"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10.692.979</w:t>
            </w:r>
          </w:p>
        </w:tc>
        <w:tc>
          <w:tcPr>
            <w:tcW w:w="463" w:type="pct"/>
            <w:tcBorders>
              <w:top w:val="nil"/>
              <w:left w:val="nil"/>
              <w:bottom w:val="single" w:sz="4" w:space="0" w:color="auto"/>
              <w:right w:val="single" w:sz="4" w:space="0" w:color="auto"/>
            </w:tcBorders>
            <w:shd w:val="clear" w:color="auto" w:fill="auto"/>
            <w:noWrap/>
            <w:vAlign w:val="center"/>
            <w:hideMark/>
          </w:tcPr>
          <w:p w14:paraId="5F42960B"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19,73 %</w:t>
            </w:r>
          </w:p>
        </w:tc>
        <w:tc>
          <w:tcPr>
            <w:tcW w:w="522" w:type="pct"/>
            <w:tcBorders>
              <w:top w:val="nil"/>
              <w:left w:val="nil"/>
              <w:bottom w:val="single" w:sz="4" w:space="0" w:color="auto"/>
              <w:right w:val="single" w:sz="4" w:space="0" w:color="auto"/>
            </w:tcBorders>
            <w:shd w:val="clear" w:color="auto" w:fill="auto"/>
            <w:noWrap/>
            <w:vAlign w:val="center"/>
            <w:hideMark/>
          </w:tcPr>
          <w:p w14:paraId="1882FE2D"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26,90 %</w:t>
            </w:r>
          </w:p>
        </w:tc>
      </w:tr>
      <w:tr w:rsidR="00E3750C" w:rsidRPr="00521270" w14:paraId="364D1D04" w14:textId="77777777" w:rsidTr="00047864">
        <w:trPr>
          <w:trHeight w:val="300"/>
        </w:trPr>
        <w:tc>
          <w:tcPr>
            <w:tcW w:w="848" w:type="pct"/>
            <w:tcBorders>
              <w:top w:val="nil"/>
              <w:left w:val="single" w:sz="4" w:space="0" w:color="auto"/>
              <w:bottom w:val="single" w:sz="4" w:space="0" w:color="auto"/>
              <w:right w:val="single" w:sz="4" w:space="0" w:color="auto"/>
            </w:tcBorders>
            <w:shd w:val="clear" w:color="auto" w:fill="auto"/>
            <w:vAlign w:val="center"/>
            <w:hideMark/>
          </w:tcPr>
          <w:p w14:paraId="4AFA4478" w14:textId="77777777" w:rsidR="00E3750C" w:rsidRPr="00521270" w:rsidRDefault="00E3750C" w:rsidP="00047864">
            <w:pPr>
              <w:spacing w:after="0" w:line="240" w:lineRule="auto"/>
              <w:rPr>
                <w:rFonts w:ascii="Arial" w:eastAsia="Times New Roman" w:hAnsi="Arial" w:cs="Arial"/>
                <w:color w:val="000000"/>
                <w:sz w:val="16"/>
                <w:szCs w:val="16"/>
                <w:lang w:eastAsia="sl-SI"/>
              </w:rPr>
            </w:pPr>
            <w:r w:rsidRPr="00521270">
              <w:rPr>
                <w:rFonts w:ascii="Arial" w:eastAsia="Times New Roman" w:hAnsi="Arial" w:cs="Arial"/>
                <w:color w:val="000000"/>
                <w:sz w:val="16"/>
                <w:szCs w:val="16"/>
                <w:lang w:eastAsia="sl-SI"/>
              </w:rPr>
              <w:t>Drugi naročniki (osebe javnega prava, javna podjetja, subjekt s posebnimi infrastrukturnimi pravicami</w:t>
            </w:r>
          </w:p>
        </w:tc>
        <w:tc>
          <w:tcPr>
            <w:tcW w:w="386" w:type="pct"/>
            <w:tcBorders>
              <w:top w:val="nil"/>
              <w:left w:val="nil"/>
              <w:bottom w:val="single" w:sz="4" w:space="0" w:color="auto"/>
              <w:right w:val="single" w:sz="4" w:space="0" w:color="auto"/>
            </w:tcBorders>
            <w:shd w:val="clear" w:color="auto" w:fill="auto"/>
            <w:vAlign w:val="center"/>
            <w:hideMark/>
          </w:tcPr>
          <w:p w14:paraId="7E2194D2"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472</w:t>
            </w:r>
          </w:p>
        </w:tc>
        <w:tc>
          <w:tcPr>
            <w:tcW w:w="695" w:type="pct"/>
            <w:tcBorders>
              <w:top w:val="nil"/>
              <w:left w:val="nil"/>
              <w:bottom w:val="single" w:sz="4" w:space="0" w:color="auto"/>
              <w:right w:val="single" w:sz="4" w:space="0" w:color="auto"/>
            </w:tcBorders>
            <w:shd w:val="clear" w:color="auto" w:fill="auto"/>
            <w:vAlign w:val="center"/>
            <w:hideMark/>
          </w:tcPr>
          <w:p w14:paraId="69572556"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294.420.003</w:t>
            </w:r>
          </w:p>
        </w:tc>
        <w:tc>
          <w:tcPr>
            <w:tcW w:w="464" w:type="pct"/>
            <w:tcBorders>
              <w:top w:val="nil"/>
              <w:left w:val="nil"/>
              <w:bottom w:val="single" w:sz="4" w:space="0" w:color="auto"/>
              <w:right w:val="single" w:sz="4" w:space="0" w:color="auto"/>
            </w:tcBorders>
            <w:shd w:val="clear" w:color="auto" w:fill="auto"/>
            <w:noWrap/>
            <w:vAlign w:val="center"/>
            <w:hideMark/>
          </w:tcPr>
          <w:p w14:paraId="4F40478E"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9,14 %</w:t>
            </w:r>
          </w:p>
        </w:tc>
        <w:tc>
          <w:tcPr>
            <w:tcW w:w="463" w:type="pct"/>
            <w:tcBorders>
              <w:top w:val="nil"/>
              <w:left w:val="nil"/>
              <w:bottom w:val="single" w:sz="4" w:space="0" w:color="auto"/>
              <w:right w:val="single" w:sz="4" w:space="0" w:color="auto"/>
            </w:tcBorders>
            <w:shd w:val="clear" w:color="auto" w:fill="auto"/>
            <w:noWrap/>
            <w:vAlign w:val="center"/>
            <w:hideMark/>
          </w:tcPr>
          <w:p w14:paraId="70060154"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20,69 %</w:t>
            </w:r>
          </w:p>
        </w:tc>
        <w:tc>
          <w:tcPr>
            <w:tcW w:w="464" w:type="pct"/>
            <w:tcBorders>
              <w:top w:val="nil"/>
              <w:left w:val="nil"/>
              <w:bottom w:val="single" w:sz="4" w:space="0" w:color="auto"/>
              <w:right w:val="single" w:sz="4" w:space="0" w:color="auto"/>
            </w:tcBorders>
            <w:shd w:val="clear" w:color="auto" w:fill="auto"/>
            <w:vAlign w:val="center"/>
            <w:hideMark/>
          </w:tcPr>
          <w:p w14:paraId="316DDF30"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3.160</w:t>
            </w:r>
          </w:p>
        </w:tc>
        <w:tc>
          <w:tcPr>
            <w:tcW w:w="696" w:type="pct"/>
            <w:tcBorders>
              <w:top w:val="nil"/>
              <w:left w:val="nil"/>
              <w:bottom w:val="single" w:sz="4" w:space="0" w:color="auto"/>
              <w:right w:val="single" w:sz="4" w:space="0" w:color="auto"/>
            </w:tcBorders>
            <w:shd w:val="clear" w:color="auto" w:fill="auto"/>
            <w:vAlign w:val="center"/>
            <w:hideMark/>
          </w:tcPr>
          <w:p w14:paraId="5F180F06"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1.375.061.714</w:t>
            </w:r>
          </w:p>
        </w:tc>
        <w:tc>
          <w:tcPr>
            <w:tcW w:w="463" w:type="pct"/>
            <w:tcBorders>
              <w:top w:val="nil"/>
              <w:left w:val="nil"/>
              <w:bottom w:val="single" w:sz="4" w:space="0" w:color="auto"/>
              <w:right w:val="single" w:sz="4" w:space="0" w:color="auto"/>
            </w:tcBorders>
            <w:shd w:val="clear" w:color="auto" w:fill="auto"/>
            <w:noWrap/>
            <w:vAlign w:val="center"/>
            <w:hideMark/>
          </w:tcPr>
          <w:p w14:paraId="39054A2C"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14,94 %</w:t>
            </w:r>
          </w:p>
        </w:tc>
        <w:tc>
          <w:tcPr>
            <w:tcW w:w="522" w:type="pct"/>
            <w:tcBorders>
              <w:top w:val="nil"/>
              <w:left w:val="nil"/>
              <w:bottom w:val="single" w:sz="4" w:space="0" w:color="auto"/>
              <w:right w:val="single" w:sz="4" w:space="0" w:color="auto"/>
            </w:tcBorders>
            <w:shd w:val="clear" w:color="auto" w:fill="auto"/>
            <w:noWrap/>
            <w:vAlign w:val="center"/>
            <w:hideMark/>
          </w:tcPr>
          <w:p w14:paraId="1AFB5087"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21,41 %</w:t>
            </w:r>
          </w:p>
        </w:tc>
      </w:tr>
      <w:tr w:rsidR="00E3750C" w:rsidRPr="00521270" w14:paraId="2AB3B9A6" w14:textId="77777777" w:rsidTr="00047864">
        <w:trPr>
          <w:trHeight w:val="300"/>
        </w:trPr>
        <w:tc>
          <w:tcPr>
            <w:tcW w:w="848" w:type="pct"/>
            <w:tcBorders>
              <w:top w:val="nil"/>
              <w:left w:val="single" w:sz="4" w:space="0" w:color="auto"/>
              <w:bottom w:val="single" w:sz="4" w:space="0" w:color="auto"/>
              <w:right w:val="single" w:sz="4" w:space="0" w:color="auto"/>
            </w:tcBorders>
            <w:shd w:val="clear" w:color="auto" w:fill="auto"/>
            <w:vAlign w:val="center"/>
            <w:hideMark/>
          </w:tcPr>
          <w:p w14:paraId="475EF15A" w14:textId="77777777" w:rsidR="00E3750C" w:rsidRPr="00521270" w:rsidRDefault="00E3750C" w:rsidP="00047864">
            <w:pPr>
              <w:spacing w:after="0" w:line="240" w:lineRule="auto"/>
              <w:rPr>
                <w:rFonts w:ascii="Arial" w:eastAsia="Times New Roman" w:hAnsi="Arial" w:cs="Arial"/>
                <w:color w:val="000000"/>
                <w:sz w:val="16"/>
                <w:szCs w:val="16"/>
                <w:lang w:eastAsia="sl-SI"/>
              </w:rPr>
            </w:pPr>
            <w:r w:rsidRPr="00521270">
              <w:rPr>
                <w:rFonts w:ascii="Arial" w:eastAsia="Times New Roman" w:hAnsi="Arial" w:cs="Arial"/>
                <w:color w:val="000000"/>
                <w:sz w:val="16"/>
                <w:szCs w:val="16"/>
                <w:lang w:eastAsia="sl-SI"/>
              </w:rPr>
              <w:t xml:space="preserve"> </w:t>
            </w:r>
            <w:r>
              <w:rPr>
                <w:rFonts w:ascii="Arial" w:eastAsia="Times New Roman" w:hAnsi="Arial" w:cs="Arial"/>
                <w:color w:val="000000"/>
                <w:sz w:val="16"/>
                <w:szCs w:val="16"/>
                <w:lang w:eastAsia="sl-SI"/>
              </w:rPr>
              <w:t>Drugi subjekti</w:t>
            </w:r>
          </w:p>
        </w:tc>
        <w:tc>
          <w:tcPr>
            <w:tcW w:w="386" w:type="pct"/>
            <w:tcBorders>
              <w:top w:val="nil"/>
              <w:left w:val="nil"/>
              <w:bottom w:val="single" w:sz="4" w:space="0" w:color="auto"/>
              <w:right w:val="single" w:sz="4" w:space="0" w:color="auto"/>
            </w:tcBorders>
            <w:shd w:val="clear" w:color="auto" w:fill="auto"/>
            <w:vAlign w:val="center"/>
            <w:hideMark/>
          </w:tcPr>
          <w:p w14:paraId="205DEDCD"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34</w:t>
            </w:r>
          </w:p>
        </w:tc>
        <w:tc>
          <w:tcPr>
            <w:tcW w:w="695" w:type="pct"/>
            <w:tcBorders>
              <w:top w:val="nil"/>
              <w:left w:val="nil"/>
              <w:bottom w:val="single" w:sz="4" w:space="0" w:color="auto"/>
              <w:right w:val="single" w:sz="4" w:space="0" w:color="auto"/>
            </w:tcBorders>
            <w:shd w:val="clear" w:color="auto" w:fill="auto"/>
            <w:vAlign w:val="center"/>
            <w:hideMark/>
          </w:tcPr>
          <w:p w14:paraId="4E789EB9"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14.452.298</w:t>
            </w:r>
          </w:p>
        </w:tc>
        <w:tc>
          <w:tcPr>
            <w:tcW w:w="464" w:type="pct"/>
            <w:tcBorders>
              <w:top w:val="nil"/>
              <w:left w:val="nil"/>
              <w:bottom w:val="single" w:sz="4" w:space="0" w:color="auto"/>
              <w:right w:val="single" w:sz="4" w:space="0" w:color="auto"/>
            </w:tcBorders>
            <w:shd w:val="clear" w:color="auto" w:fill="auto"/>
            <w:noWrap/>
            <w:vAlign w:val="center"/>
            <w:hideMark/>
          </w:tcPr>
          <w:p w14:paraId="046E0377"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0,66 %</w:t>
            </w:r>
          </w:p>
        </w:tc>
        <w:tc>
          <w:tcPr>
            <w:tcW w:w="463" w:type="pct"/>
            <w:tcBorders>
              <w:top w:val="nil"/>
              <w:left w:val="nil"/>
              <w:bottom w:val="single" w:sz="4" w:space="0" w:color="auto"/>
              <w:right w:val="single" w:sz="4" w:space="0" w:color="auto"/>
            </w:tcBorders>
            <w:shd w:val="clear" w:color="auto" w:fill="auto"/>
            <w:noWrap/>
            <w:vAlign w:val="center"/>
            <w:hideMark/>
          </w:tcPr>
          <w:p w14:paraId="0B87A10F"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1,02 %</w:t>
            </w:r>
          </w:p>
        </w:tc>
        <w:tc>
          <w:tcPr>
            <w:tcW w:w="464" w:type="pct"/>
            <w:tcBorders>
              <w:top w:val="nil"/>
              <w:left w:val="nil"/>
              <w:bottom w:val="single" w:sz="4" w:space="0" w:color="auto"/>
              <w:right w:val="single" w:sz="4" w:space="0" w:color="auto"/>
            </w:tcBorders>
            <w:shd w:val="clear" w:color="auto" w:fill="auto"/>
            <w:vAlign w:val="center"/>
            <w:hideMark/>
          </w:tcPr>
          <w:p w14:paraId="6D3A7218"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144</w:t>
            </w:r>
          </w:p>
        </w:tc>
        <w:tc>
          <w:tcPr>
            <w:tcW w:w="696" w:type="pct"/>
            <w:tcBorders>
              <w:top w:val="nil"/>
              <w:left w:val="nil"/>
              <w:bottom w:val="single" w:sz="4" w:space="0" w:color="auto"/>
              <w:right w:val="single" w:sz="4" w:space="0" w:color="auto"/>
            </w:tcBorders>
            <w:shd w:val="clear" w:color="auto" w:fill="auto"/>
            <w:vAlign w:val="center"/>
            <w:hideMark/>
          </w:tcPr>
          <w:p w14:paraId="76380504"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107.563.869</w:t>
            </w:r>
          </w:p>
        </w:tc>
        <w:tc>
          <w:tcPr>
            <w:tcW w:w="463" w:type="pct"/>
            <w:tcBorders>
              <w:top w:val="nil"/>
              <w:left w:val="nil"/>
              <w:bottom w:val="single" w:sz="4" w:space="0" w:color="auto"/>
              <w:right w:val="single" w:sz="4" w:space="0" w:color="auto"/>
            </w:tcBorders>
            <w:shd w:val="clear" w:color="auto" w:fill="auto"/>
            <w:noWrap/>
            <w:vAlign w:val="center"/>
            <w:hideMark/>
          </w:tcPr>
          <w:p w14:paraId="5E2565DC"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23,61 %</w:t>
            </w:r>
          </w:p>
        </w:tc>
        <w:tc>
          <w:tcPr>
            <w:tcW w:w="522" w:type="pct"/>
            <w:tcBorders>
              <w:top w:val="nil"/>
              <w:left w:val="nil"/>
              <w:bottom w:val="single" w:sz="4" w:space="0" w:color="auto"/>
              <w:right w:val="single" w:sz="4" w:space="0" w:color="auto"/>
            </w:tcBorders>
            <w:shd w:val="clear" w:color="auto" w:fill="auto"/>
            <w:noWrap/>
            <w:vAlign w:val="center"/>
            <w:hideMark/>
          </w:tcPr>
          <w:p w14:paraId="5BC1890E" w14:textId="77777777" w:rsidR="00E3750C" w:rsidRPr="00521270" w:rsidRDefault="00E3750C" w:rsidP="00047864">
            <w:pPr>
              <w:spacing w:after="0" w:line="240" w:lineRule="auto"/>
              <w:jc w:val="right"/>
              <w:rPr>
                <w:rFonts w:ascii="Arial" w:eastAsia="Times New Roman" w:hAnsi="Arial" w:cs="Arial"/>
                <w:color w:val="000000"/>
                <w:sz w:val="16"/>
                <w:szCs w:val="16"/>
                <w:lang w:eastAsia="sl-SI"/>
              </w:rPr>
            </w:pPr>
            <w:r w:rsidRPr="00521270">
              <w:rPr>
                <w:rFonts w:ascii="Arial" w:hAnsi="Arial" w:cs="Arial"/>
                <w:color w:val="000000"/>
                <w:sz w:val="16"/>
                <w:szCs w:val="16"/>
              </w:rPr>
              <w:t>13,44 %</w:t>
            </w:r>
          </w:p>
        </w:tc>
      </w:tr>
      <w:tr w:rsidR="00E3750C" w:rsidRPr="00521270" w14:paraId="1D4A70EE" w14:textId="77777777" w:rsidTr="00047864">
        <w:trPr>
          <w:trHeight w:val="300"/>
        </w:trPr>
        <w:tc>
          <w:tcPr>
            <w:tcW w:w="848"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BE5EDCB" w14:textId="77777777" w:rsidR="00E3750C" w:rsidRPr="00521270" w:rsidRDefault="00E3750C" w:rsidP="00047864">
            <w:pPr>
              <w:spacing w:after="0" w:line="240" w:lineRule="auto"/>
              <w:rPr>
                <w:rFonts w:ascii="Arial" w:eastAsia="Times New Roman" w:hAnsi="Arial" w:cs="Arial"/>
                <w:b/>
                <w:bCs/>
                <w:color w:val="000000"/>
                <w:sz w:val="16"/>
                <w:szCs w:val="16"/>
                <w:lang w:eastAsia="sl-SI"/>
              </w:rPr>
            </w:pPr>
            <w:r w:rsidRPr="00521270">
              <w:rPr>
                <w:rFonts w:ascii="Arial" w:eastAsia="Times New Roman" w:hAnsi="Arial" w:cs="Arial"/>
                <w:b/>
                <w:bCs/>
                <w:color w:val="000000"/>
                <w:sz w:val="16"/>
                <w:szCs w:val="16"/>
                <w:lang w:eastAsia="sl-SI"/>
              </w:rPr>
              <w:t>Skupaj</w:t>
            </w:r>
          </w:p>
        </w:tc>
        <w:tc>
          <w:tcPr>
            <w:tcW w:w="386" w:type="pct"/>
            <w:tcBorders>
              <w:top w:val="nil"/>
              <w:left w:val="nil"/>
              <w:bottom w:val="single" w:sz="4" w:space="0" w:color="auto"/>
              <w:right w:val="single" w:sz="4" w:space="0" w:color="auto"/>
            </w:tcBorders>
            <w:shd w:val="clear" w:color="auto" w:fill="F2F2F2" w:themeFill="background1" w:themeFillShade="F2"/>
            <w:noWrap/>
            <w:vAlign w:val="center"/>
            <w:hideMark/>
          </w:tcPr>
          <w:p w14:paraId="4EE07271" w14:textId="77777777" w:rsidR="00E3750C" w:rsidRPr="00521270" w:rsidRDefault="00E3750C" w:rsidP="00047864">
            <w:pPr>
              <w:spacing w:after="0" w:line="240" w:lineRule="auto"/>
              <w:jc w:val="right"/>
              <w:rPr>
                <w:rFonts w:ascii="Arial" w:eastAsia="Times New Roman" w:hAnsi="Arial" w:cs="Arial"/>
                <w:b/>
                <w:bCs/>
                <w:color w:val="000000"/>
                <w:sz w:val="16"/>
                <w:szCs w:val="16"/>
                <w:lang w:eastAsia="sl-SI"/>
              </w:rPr>
            </w:pPr>
            <w:r w:rsidRPr="00521270">
              <w:rPr>
                <w:rFonts w:ascii="Arial" w:hAnsi="Arial" w:cs="Arial"/>
                <w:b/>
                <w:bCs/>
                <w:color w:val="000000"/>
                <w:sz w:val="16"/>
                <w:szCs w:val="16"/>
              </w:rPr>
              <w:t>5.162</w:t>
            </w:r>
          </w:p>
        </w:tc>
        <w:tc>
          <w:tcPr>
            <w:tcW w:w="695" w:type="pct"/>
            <w:tcBorders>
              <w:top w:val="nil"/>
              <w:left w:val="nil"/>
              <w:bottom w:val="single" w:sz="4" w:space="0" w:color="auto"/>
              <w:right w:val="single" w:sz="4" w:space="0" w:color="auto"/>
            </w:tcBorders>
            <w:shd w:val="clear" w:color="auto" w:fill="F2F2F2" w:themeFill="background1" w:themeFillShade="F2"/>
            <w:noWrap/>
            <w:vAlign w:val="center"/>
            <w:hideMark/>
          </w:tcPr>
          <w:p w14:paraId="13932FE5" w14:textId="77777777" w:rsidR="00E3750C" w:rsidRPr="00521270" w:rsidRDefault="00E3750C" w:rsidP="00047864">
            <w:pPr>
              <w:spacing w:after="0" w:line="240" w:lineRule="auto"/>
              <w:jc w:val="right"/>
              <w:rPr>
                <w:rFonts w:ascii="Arial" w:eastAsia="Times New Roman" w:hAnsi="Arial" w:cs="Arial"/>
                <w:b/>
                <w:bCs/>
                <w:color w:val="000000"/>
                <w:sz w:val="16"/>
                <w:szCs w:val="16"/>
                <w:lang w:eastAsia="sl-SI"/>
              </w:rPr>
            </w:pPr>
            <w:r w:rsidRPr="00521270">
              <w:rPr>
                <w:rFonts w:ascii="Arial" w:hAnsi="Arial" w:cs="Arial"/>
                <w:b/>
                <w:bCs/>
                <w:color w:val="000000"/>
                <w:sz w:val="16"/>
                <w:szCs w:val="16"/>
              </w:rPr>
              <w:t>1.422.738.797</w:t>
            </w:r>
          </w:p>
        </w:tc>
        <w:tc>
          <w:tcPr>
            <w:tcW w:w="464" w:type="pct"/>
            <w:tcBorders>
              <w:top w:val="nil"/>
              <w:left w:val="nil"/>
              <w:bottom w:val="single" w:sz="4" w:space="0" w:color="auto"/>
              <w:right w:val="single" w:sz="4" w:space="0" w:color="auto"/>
            </w:tcBorders>
            <w:shd w:val="clear" w:color="auto" w:fill="F2F2F2" w:themeFill="background1" w:themeFillShade="F2"/>
            <w:noWrap/>
            <w:vAlign w:val="center"/>
            <w:hideMark/>
          </w:tcPr>
          <w:p w14:paraId="10A12BAD" w14:textId="77777777" w:rsidR="00E3750C" w:rsidRPr="00521270" w:rsidRDefault="00E3750C" w:rsidP="00047864">
            <w:pPr>
              <w:spacing w:after="0" w:line="240" w:lineRule="auto"/>
              <w:jc w:val="right"/>
              <w:rPr>
                <w:rFonts w:ascii="Arial" w:eastAsia="Times New Roman" w:hAnsi="Arial" w:cs="Arial"/>
                <w:b/>
                <w:bCs/>
                <w:color w:val="000000"/>
                <w:sz w:val="16"/>
                <w:szCs w:val="16"/>
                <w:lang w:eastAsia="sl-SI"/>
              </w:rPr>
            </w:pPr>
            <w:r w:rsidRPr="00521270">
              <w:rPr>
                <w:rFonts w:ascii="Arial" w:hAnsi="Arial" w:cs="Arial"/>
                <w:b/>
                <w:bCs/>
                <w:color w:val="000000"/>
                <w:sz w:val="16"/>
                <w:szCs w:val="16"/>
              </w:rPr>
              <w:t>100,00 %</w:t>
            </w:r>
          </w:p>
        </w:tc>
        <w:tc>
          <w:tcPr>
            <w:tcW w:w="463" w:type="pct"/>
            <w:tcBorders>
              <w:top w:val="nil"/>
              <w:left w:val="nil"/>
              <w:bottom w:val="single" w:sz="4" w:space="0" w:color="auto"/>
              <w:right w:val="single" w:sz="4" w:space="0" w:color="auto"/>
            </w:tcBorders>
            <w:shd w:val="clear" w:color="auto" w:fill="F2F2F2" w:themeFill="background1" w:themeFillShade="F2"/>
            <w:noWrap/>
            <w:vAlign w:val="center"/>
            <w:hideMark/>
          </w:tcPr>
          <w:p w14:paraId="12154A44" w14:textId="77777777" w:rsidR="00E3750C" w:rsidRPr="00521270" w:rsidRDefault="00E3750C" w:rsidP="00047864">
            <w:pPr>
              <w:spacing w:after="0" w:line="240" w:lineRule="auto"/>
              <w:jc w:val="right"/>
              <w:rPr>
                <w:rFonts w:ascii="Arial" w:eastAsia="Times New Roman" w:hAnsi="Arial" w:cs="Arial"/>
                <w:b/>
                <w:bCs/>
                <w:color w:val="000000"/>
                <w:sz w:val="16"/>
                <w:szCs w:val="16"/>
                <w:lang w:eastAsia="sl-SI"/>
              </w:rPr>
            </w:pPr>
            <w:r w:rsidRPr="00521270">
              <w:rPr>
                <w:rFonts w:ascii="Arial" w:hAnsi="Arial" w:cs="Arial"/>
                <w:b/>
                <w:bCs/>
                <w:color w:val="000000"/>
                <w:sz w:val="16"/>
                <w:szCs w:val="16"/>
              </w:rPr>
              <w:t>100,00 %</w:t>
            </w:r>
          </w:p>
        </w:tc>
        <w:tc>
          <w:tcPr>
            <w:tcW w:w="464" w:type="pct"/>
            <w:tcBorders>
              <w:top w:val="nil"/>
              <w:left w:val="nil"/>
              <w:bottom w:val="single" w:sz="4" w:space="0" w:color="auto"/>
              <w:right w:val="single" w:sz="4" w:space="0" w:color="auto"/>
            </w:tcBorders>
            <w:shd w:val="clear" w:color="auto" w:fill="F2F2F2" w:themeFill="background1" w:themeFillShade="F2"/>
            <w:noWrap/>
            <w:vAlign w:val="center"/>
            <w:hideMark/>
          </w:tcPr>
          <w:p w14:paraId="55CED1F1" w14:textId="77777777" w:rsidR="00E3750C" w:rsidRPr="00521270" w:rsidRDefault="00E3750C" w:rsidP="00047864">
            <w:pPr>
              <w:spacing w:after="0" w:line="240" w:lineRule="auto"/>
              <w:jc w:val="right"/>
              <w:rPr>
                <w:rFonts w:ascii="Arial" w:eastAsia="Times New Roman" w:hAnsi="Arial" w:cs="Arial"/>
                <w:b/>
                <w:bCs/>
                <w:color w:val="000000"/>
                <w:sz w:val="16"/>
                <w:szCs w:val="16"/>
                <w:lang w:eastAsia="sl-SI"/>
              </w:rPr>
            </w:pPr>
            <w:r w:rsidRPr="00521270">
              <w:rPr>
                <w:rFonts w:ascii="Arial" w:hAnsi="Arial" w:cs="Arial"/>
                <w:b/>
                <w:bCs/>
                <w:color w:val="000000"/>
                <w:sz w:val="16"/>
                <w:szCs w:val="16"/>
              </w:rPr>
              <w:t>17.224</w:t>
            </w:r>
          </w:p>
        </w:tc>
        <w:tc>
          <w:tcPr>
            <w:tcW w:w="696" w:type="pct"/>
            <w:tcBorders>
              <w:top w:val="nil"/>
              <w:left w:val="nil"/>
              <w:bottom w:val="single" w:sz="4" w:space="0" w:color="auto"/>
              <w:right w:val="single" w:sz="4" w:space="0" w:color="auto"/>
            </w:tcBorders>
            <w:shd w:val="clear" w:color="auto" w:fill="F2F2F2" w:themeFill="background1" w:themeFillShade="F2"/>
            <w:noWrap/>
            <w:vAlign w:val="center"/>
            <w:hideMark/>
          </w:tcPr>
          <w:p w14:paraId="7A58F013" w14:textId="77777777" w:rsidR="00E3750C" w:rsidRPr="00521270" w:rsidRDefault="00E3750C" w:rsidP="00047864">
            <w:pPr>
              <w:spacing w:after="0" w:line="240" w:lineRule="auto"/>
              <w:jc w:val="right"/>
              <w:rPr>
                <w:rFonts w:ascii="Arial" w:eastAsia="Times New Roman" w:hAnsi="Arial" w:cs="Arial"/>
                <w:b/>
                <w:bCs/>
                <w:color w:val="000000"/>
                <w:sz w:val="16"/>
                <w:szCs w:val="16"/>
                <w:lang w:eastAsia="sl-SI"/>
              </w:rPr>
            </w:pPr>
            <w:r w:rsidRPr="00521270">
              <w:rPr>
                <w:rFonts w:ascii="Arial" w:hAnsi="Arial" w:cs="Arial"/>
                <w:b/>
                <w:bCs/>
                <w:color w:val="000000"/>
                <w:sz w:val="16"/>
                <w:szCs w:val="16"/>
              </w:rPr>
              <w:t>5.417.105.902</w:t>
            </w:r>
          </w:p>
        </w:tc>
        <w:tc>
          <w:tcPr>
            <w:tcW w:w="463" w:type="pct"/>
            <w:tcBorders>
              <w:top w:val="nil"/>
              <w:left w:val="nil"/>
              <w:bottom w:val="nil"/>
              <w:right w:val="nil"/>
            </w:tcBorders>
            <w:shd w:val="clear" w:color="auto" w:fill="auto"/>
            <w:noWrap/>
            <w:vAlign w:val="center"/>
            <w:hideMark/>
          </w:tcPr>
          <w:p w14:paraId="40FF0DD3" w14:textId="77777777" w:rsidR="00E3750C" w:rsidRPr="00521270" w:rsidRDefault="00E3750C" w:rsidP="00047864">
            <w:pPr>
              <w:spacing w:after="0" w:line="240" w:lineRule="auto"/>
              <w:jc w:val="right"/>
              <w:rPr>
                <w:rFonts w:ascii="Arial" w:eastAsia="Times New Roman" w:hAnsi="Arial" w:cs="Arial"/>
                <w:b/>
                <w:bCs/>
                <w:color w:val="000000"/>
                <w:sz w:val="16"/>
                <w:szCs w:val="16"/>
                <w:lang w:eastAsia="sl-SI"/>
              </w:rPr>
            </w:pPr>
          </w:p>
        </w:tc>
        <w:tc>
          <w:tcPr>
            <w:tcW w:w="522" w:type="pct"/>
            <w:tcBorders>
              <w:top w:val="nil"/>
              <w:left w:val="nil"/>
              <w:bottom w:val="nil"/>
              <w:right w:val="nil"/>
            </w:tcBorders>
            <w:shd w:val="clear" w:color="auto" w:fill="auto"/>
            <w:noWrap/>
            <w:vAlign w:val="center"/>
            <w:hideMark/>
          </w:tcPr>
          <w:p w14:paraId="13C23A7C" w14:textId="77777777" w:rsidR="00E3750C" w:rsidRPr="00521270" w:rsidRDefault="00E3750C" w:rsidP="00047864">
            <w:pPr>
              <w:spacing w:after="0" w:line="240" w:lineRule="auto"/>
              <w:jc w:val="right"/>
              <w:rPr>
                <w:rFonts w:ascii="Arial" w:eastAsia="Times New Roman" w:hAnsi="Arial" w:cs="Arial"/>
                <w:sz w:val="16"/>
                <w:szCs w:val="16"/>
                <w:lang w:eastAsia="sl-SI"/>
              </w:rPr>
            </w:pPr>
          </w:p>
        </w:tc>
      </w:tr>
    </w:tbl>
    <w:p w14:paraId="4BDB11AF" w14:textId="77777777" w:rsidR="00E3750C" w:rsidRPr="00290D98" w:rsidRDefault="00E3750C" w:rsidP="00E3750C">
      <w:pPr>
        <w:spacing w:after="0" w:line="240" w:lineRule="auto"/>
        <w:rPr>
          <w:rFonts w:ascii="Arial" w:hAnsi="Arial" w:cs="Arial"/>
          <w:sz w:val="20"/>
          <w:szCs w:val="20"/>
        </w:rPr>
      </w:pPr>
    </w:p>
    <w:p w14:paraId="2E423B65" w14:textId="77777777" w:rsidR="00E3750C" w:rsidRPr="00554F3F" w:rsidRDefault="00E3750C" w:rsidP="00E3750C">
      <w:pPr>
        <w:spacing w:before="120" w:after="0" w:line="240" w:lineRule="auto"/>
        <w:rPr>
          <w:rFonts w:ascii="Arial" w:hAnsi="Arial" w:cs="Arial"/>
          <w:sz w:val="20"/>
          <w:szCs w:val="20"/>
        </w:rPr>
      </w:pPr>
      <w:r w:rsidRPr="00554F3F">
        <w:rPr>
          <w:rFonts w:ascii="Arial" w:hAnsi="Arial" w:cs="Arial"/>
          <w:sz w:val="20"/>
          <w:szCs w:val="20"/>
        </w:rPr>
        <w:t>Preglednica 9</w:t>
      </w:r>
      <w:r>
        <w:rPr>
          <w:rFonts w:ascii="Arial" w:hAnsi="Arial" w:cs="Arial"/>
          <w:sz w:val="20"/>
          <w:szCs w:val="20"/>
        </w:rPr>
        <w:t>5</w:t>
      </w:r>
      <w:r w:rsidRPr="00554F3F">
        <w:rPr>
          <w:rFonts w:ascii="Arial" w:hAnsi="Arial" w:cs="Arial"/>
          <w:sz w:val="20"/>
          <w:szCs w:val="20"/>
        </w:rPr>
        <w:t>: Število in vrednosti ter deleži zelenih naročil</w:t>
      </w:r>
    </w:p>
    <w:p w14:paraId="3DED5CD8" w14:textId="77777777" w:rsidR="00E3750C" w:rsidRPr="00554F3F" w:rsidRDefault="00E3750C" w:rsidP="00E3750C">
      <w:pPr>
        <w:spacing w:after="0" w:line="240" w:lineRule="auto"/>
        <w:rPr>
          <w:rFonts w:ascii="Arial" w:hAnsi="Arial" w:cs="Arial"/>
          <w:sz w:val="20"/>
          <w:szCs w:val="20"/>
        </w:rPr>
      </w:pPr>
    </w:p>
    <w:tbl>
      <w:tblPr>
        <w:tblW w:w="9027" w:type="dxa"/>
        <w:tblCellMar>
          <w:left w:w="70" w:type="dxa"/>
          <w:right w:w="70" w:type="dxa"/>
        </w:tblCellMar>
        <w:tblLook w:val="04A0" w:firstRow="1" w:lastRow="0" w:firstColumn="1" w:lastColumn="0" w:noHBand="0" w:noVBand="1"/>
      </w:tblPr>
      <w:tblGrid>
        <w:gridCol w:w="1555"/>
        <w:gridCol w:w="1559"/>
        <w:gridCol w:w="2410"/>
        <w:gridCol w:w="1701"/>
        <w:gridCol w:w="1802"/>
      </w:tblGrid>
      <w:tr w:rsidR="00E3750C" w:rsidRPr="00554F3F" w14:paraId="21260142" w14:textId="77777777" w:rsidTr="00047864">
        <w:trPr>
          <w:trHeight w:val="255"/>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60FAB6D" w14:textId="77777777" w:rsidR="00E3750C" w:rsidRPr="00554F3F" w:rsidRDefault="00E3750C" w:rsidP="00047864">
            <w:pPr>
              <w:spacing w:after="0" w:line="240" w:lineRule="auto"/>
              <w:rPr>
                <w:rFonts w:ascii="Arial" w:eastAsia="Times New Roman" w:hAnsi="Arial" w:cs="Arial"/>
                <w:color w:val="000000"/>
                <w:sz w:val="18"/>
                <w:szCs w:val="18"/>
                <w:lang w:eastAsia="sl-SI"/>
              </w:rPr>
            </w:pPr>
            <w:r w:rsidRPr="00554F3F">
              <w:rPr>
                <w:rFonts w:ascii="Arial" w:eastAsia="Times New Roman" w:hAnsi="Arial" w:cs="Arial"/>
                <w:color w:val="000000"/>
                <w:sz w:val="18"/>
                <w:szCs w:val="18"/>
                <w:lang w:eastAsia="sl-SI"/>
              </w:rPr>
              <w:t> </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2305016" w14:textId="77777777" w:rsidR="00E3750C" w:rsidRPr="00554F3F" w:rsidRDefault="00E3750C" w:rsidP="00047864">
            <w:pPr>
              <w:spacing w:after="0" w:line="240" w:lineRule="auto"/>
              <w:jc w:val="center"/>
              <w:rPr>
                <w:rFonts w:ascii="Arial" w:eastAsia="Times New Roman" w:hAnsi="Arial" w:cs="Arial"/>
                <w:color w:val="000000"/>
                <w:sz w:val="18"/>
                <w:szCs w:val="18"/>
                <w:lang w:eastAsia="sl-SI"/>
              </w:rPr>
            </w:pPr>
            <w:r w:rsidRPr="00554F3F">
              <w:rPr>
                <w:rFonts w:ascii="Arial" w:eastAsia="Times New Roman" w:hAnsi="Arial" w:cs="Arial"/>
                <w:color w:val="000000"/>
                <w:sz w:val="18"/>
                <w:szCs w:val="18"/>
                <w:lang w:eastAsia="sl-SI"/>
              </w:rPr>
              <w:t>Št. naročil</w:t>
            </w:r>
          </w:p>
        </w:tc>
        <w:tc>
          <w:tcPr>
            <w:tcW w:w="241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27D2D85" w14:textId="77777777" w:rsidR="00E3750C" w:rsidRPr="00554F3F" w:rsidRDefault="00E3750C" w:rsidP="00047864">
            <w:pPr>
              <w:spacing w:after="0" w:line="240" w:lineRule="auto"/>
              <w:jc w:val="center"/>
              <w:rPr>
                <w:rFonts w:ascii="Arial" w:eastAsia="Times New Roman" w:hAnsi="Arial" w:cs="Arial"/>
                <w:color w:val="000000"/>
                <w:sz w:val="18"/>
                <w:szCs w:val="18"/>
                <w:lang w:eastAsia="sl-SI"/>
              </w:rPr>
            </w:pPr>
            <w:r w:rsidRPr="00554F3F">
              <w:rPr>
                <w:rFonts w:ascii="Arial" w:eastAsia="Times New Roman" w:hAnsi="Arial" w:cs="Arial"/>
                <w:color w:val="000000"/>
                <w:sz w:val="18"/>
                <w:szCs w:val="18"/>
                <w:lang w:eastAsia="sl-SI"/>
              </w:rPr>
              <w:t>Pogodbena vrednost</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747EC69" w14:textId="77777777" w:rsidR="00E3750C" w:rsidRPr="00554F3F" w:rsidRDefault="00E3750C" w:rsidP="00047864">
            <w:pPr>
              <w:spacing w:after="0" w:line="240" w:lineRule="auto"/>
              <w:jc w:val="center"/>
              <w:rPr>
                <w:rFonts w:ascii="Arial" w:eastAsia="Times New Roman" w:hAnsi="Arial" w:cs="Arial"/>
                <w:color w:val="000000"/>
                <w:sz w:val="18"/>
                <w:szCs w:val="18"/>
                <w:lang w:eastAsia="sl-SI"/>
              </w:rPr>
            </w:pPr>
            <w:r w:rsidRPr="00554F3F">
              <w:rPr>
                <w:rFonts w:ascii="Arial" w:eastAsia="Times New Roman" w:hAnsi="Arial" w:cs="Arial"/>
                <w:color w:val="000000"/>
                <w:sz w:val="18"/>
                <w:szCs w:val="18"/>
                <w:lang w:eastAsia="sl-SI"/>
              </w:rPr>
              <w:t>Delež v št. vseh naročil</w:t>
            </w:r>
          </w:p>
        </w:tc>
        <w:tc>
          <w:tcPr>
            <w:tcW w:w="180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D452840" w14:textId="77777777" w:rsidR="00E3750C" w:rsidRPr="00554F3F" w:rsidRDefault="00E3750C" w:rsidP="00047864">
            <w:pPr>
              <w:spacing w:after="0" w:line="240" w:lineRule="auto"/>
              <w:jc w:val="center"/>
              <w:rPr>
                <w:rFonts w:ascii="Arial" w:eastAsia="Times New Roman" w:hAnsi="Arial" w:cs="Arial"/>
                <w:color w:val="000000"/>
                <w:sz w:val="18"/>
                <w:szCs w:val="18"/>
                <w:lang w:eastAsia="sl-SI"/>
              </w:rPr>
            </w:pPr>
            <w:r w:rsidRPr="00554F3F">
              <w:rPr>
                <w:rFonts w:ascii="Arial" w:eastAsia="Times New Roman" w:hAnsi="Arial" w:cs="Arial"/>
                <w:color w:val="000000"/>
                <w:sz w:val="18"/>
                <w:szCs w:val="18"/>
                <w:lang w:eastAsia="sl-SI"/>
              </w:rPr>
              <w:t>Delež v vrednosti vseh naročil</w:t>
            </w:r>
          </w:p>
        </w:tc>
      </w:tr>
      <w:tr w:rsidR="00E3750C" w:rsidRPr="00554F3F" w14:paraId="67B3DC53" w14:textId="77777777" w:rsidTr="0004786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A0B0AEE" w14:textId="77777777" w:rsidR="00E3750C" w:rsidRPr="00554F3F" w:rsidRDefault="00E3750C" w:rsidP="00047864">
            <w:pPr>
              <w:spacing w:after="0" w:line="240" w:lineRule="auto"/>
              <w:rPr>
                <w:rFonts w:ascii="Arial" w:eastAsia="Times New Roman" w:hAnsi="Arial" w:cs="Arial"/>
                <w:color w:val="000000"/>
                <w:sz w:val="18"/>
                <w:szCs w:val="18"/>
                <w:lang w:eastAsia="sl-SI"/>
              </w:rPr>
            </w:pPr>
            <w:r w:rsidRPr="00554F3F">
              <w:rPr>
                <w:rFonts w:ascii="Arial" w:eastAsia="Times New Roman" w:hAnsi="Arial" w:cs="Arial"/>
                <w:color w:val="000000"/>
                <w:sz w:val="18"/>
                <w:szCs w:val="18"/>
                <w:lang w:eastAsia="sl-SI"/>
              </w:rPr>
              <w:t>Zelena JN</w:t>
            </w:r>
          </w:p>
        </w:tc>
        <w:tc>
          <w:tcPr>
            <w:tcW w:w="1559" w:type="dxa"/>
            <w:tcBorders>
              <w:top w:val="nil"/>
              <w:left w:val="nil"/>
              <w:bottom w:val="single" w:sz="4" w:space="0" w:color="auto"/>
              <w:right w:val="single" w:sz="4" w:space="0" w:color="auto"/>
            </w:tcBorders>
            <w:shd w:val="clear" w:color="auto" w:fill="auto"/>
            <w:noWrap/>
            <w:vAlign w:val="center"/>
            <w:hideMark/>
          </w:tcPr>
          <w:p w14:paraId="24AF3104" w14:textId="77777777" w:rsidR="00E3750C" w:rsidRPr="00554F3F" w:rsidRDefault="00E3750C" w:rsidP="00047864">
            <w:pPr>
              <w:spacing w:after="0" w:line="240" w:lineRule="auto"/>
              <w:jc w:val="right"/>
              <w:rPr>
                <w:rFonts w:ascii="Arial" w:eastAsia="Times New Roman" w:hAnsi="Arial" w:cs="Arial"/>
                <w:color w:val="000000"/>
                <w:sz w:val="18"/>
                <w:szCs w:val="18"/>
                <w:lang w:eastAsia="sl-SI"/>
              </w:rPr>
            </w:pPr>
            <w:r w:rsidRPr="00554F3F">
              <w:rPr>
                <w:rFonts w:ascii="Arial" w:eastAsia="Times New Roman" w:hAnsi="Arial" w:cs="Arial"/>
                <w:color w:val="000000"/>
                <w:sz w:val="18"/>
                <w:szCs w:val="18"/>
                <w:lang w:eastAsia="sl-SI"/>
              </w:rPr>
              <w:t>5.162</w:t>
            </w:r>
          </w:p>
        </w:tc>
        <w:tc>
          <w:tcPr>
            <w:tcW w:w="2410" w:type="dxa"/>
            <w:tcBorders>
              <w:top w:val="nil"/>
              <w:left w:val="nil"/>
              <w:bottom w:val="single" w:sz="4" w:space="0" w:color="auto"/>
              <w:right w:val="single" w:sz="4" w:space="0" w:color="auto"/>
            </w:tcBorders>
            <w:shd w:val="clear" w:color="auto" w:fill="auto"/>
            <w:noWrap/>
            <w:vAlign w:val="center"/>
            <w:hideMark/>
          </w:tcPr>
          <w:p w14:paraId="6FF83726" w14:textId="77777777" w:rsidR="00E3750C" w:rsidRPr="00554F3F" w:rsidRDefault="00E3750C" w:rsidP="00047864">
            <w:pPr>
              <w:spacing w:after="0" w:line="240" w:lineRule="auto"/>
              <w:jc w:val="right"/>
              <w:rPr>
                <w:rFonts w:ascii="Arial" w:eastAsia="Times New Roman" w:hAnsi="Arial" w:cs="Arial"/>
                <w:color w:val="000000"/>
                <w:sz w:val="18"/>
                <w:szCs w:val="18"/>
                <w:lang w:eastAsia="sl-SI"/>
              </w:rPr>
            </w:pPr>
            <w:r w:rsidRPr="00554F3F">
              <w:rPr>
                <w:rFonts w:ascii="Arial" w:eastAsia="Times New Roman" w:hAnsi="Arial" w:cs="Arial"/>
                <w:color w:val="000000"/>
                <w:sz w:val="18"/>
                <w:szCs w:val="18"/>
                <w:lang w:eastAsia="sl-SI"/>
              </w:rPr>
              <w:t>1.422.738.797</w:t>
            </w:r>
          </w:p>
        </w:tc>
        <w:tc>
          <w:tcPr>
            <w:tcW w:w="1701" w:type="dxa"/>
            <w:tcBorders>
              <w:top w:val="nil"/>
              <w:left w:val="nil"/>
              <w:bottom w:val="single" w:sz="4" w:space="0" w:color="auto"/>
              <w:right w:val="single" w:sz="4" w:space="0" w:color="auto"/>
            </w:tcBorders>
            <w:shd w:val="clear" w:color="auto" w:fill="auto"/>
            <w:noWrap/>
            <w:vAlign w:val="center"/>
            <w:hideMark/>
          </w:tcPr>
          <w:p w14:paraId="20689EB3" w14:textId="77777777" w:rsidR="00E3750C" w:rsidRPr="00554F3F" w:rsidRDefault="00E3750C" w:rsidP="00047864">
            <w:pPr>
              <w:spacing w:after="0" w:line="240" w:lineRule="auto"/>
              <w:jc w:val="right"/>
              <w:rPr>
                <w:rFonts w:ascii="Arial" w:eastAsia="Times New Roman" w:hAnsi="Arial" w:cs="Arial"/>
                <w:color w:val="000000"/>
                <w:sz w:val="18"/>
                <w:szCs w:val="18"/>
                <w:lang w:eastAsia="sl-SI"/>
              </w:rPr>
            </w:pPr>
            <w:r w:rsidRPr="00554F3F">
              <w:rPr>
                <w:rFonts w:ascii="Arial" w:eastAsia="Times New Roman" w:hAnsi="Arial" w:cs="Arial"/>
                <w:color w:val="000000"/>
                <w:sz w:val="18"/>
                <w:szCs w:val="18"/>
                <w:lang w:eastAsia="sl-SI"/>
              </w:rPr>
              <w:t>29,97 %</w:t>
            </w:r>
          </w:p>
        </w:tc>
        <w:tc>
          <w:tcPr>
            <w:tcW w:w="1802" w:type="dxa"/>
            <w:tcBorders>
              <w:top w:val="nil"/>
              <w:left w:val="nil"/>
              <w:bottom w:val="single" w:sz="4" w:space="0" w:color="auto"/>
              <w:right w:val="single" w:sz="4" w:space="0" w:color="auto"/>
            </w:tcBorders>
            <w:shd w:val="clear" w:color="auto" w:fill="auto"/>
            <w:noWrap/>
            <w:vAlign w:val="center"/>
            <w:hideMark/>
          </w:tcPr>
          <w:p w14:paraId="689CF019" w14:textId="77777777" w:rsidR="00E3750C" w:rsidRPr="00554F3F" w:rsidRDefault="00E3750C" w:rsidP="00047864">
            <w:pPr>
              <w:spacing w:after="0" w:line="240" w:lineRule="auto"/>
              <w:jc w:val="right"/>
              <w:rPr>
                <w:rFonts w:ascii="Arial" w:eastAsia="Times New Roman" w:hAnsi="Arial" w:cs="Arial"/>
                <w:color w:val="000000"/>
                <w:sz w:val="18"/>
                <w:szCs w:val="18"/>
                <w:lang w:eastAsia="sl-SI"/>
              </w:rPr>
            </w:pPr>
            <w:r w:rsidRPr="00554F3F">
              <w:rPr>
                <w:rFonts w:ascii="Arial" w:eastAsia="Times New Roman" w:hAnsi="Arial" w:cs="Arial"/>
                <w:color w:val="000000"/>
                <w:sz w:val="18"/>
                <w:szCs w:val="18"/>
                <w:lang w:eastAsia="sl-SI"/>
              </w:rPr>
              <w:t>26,26 %</w:t>
            </w:r>
          </w:p>
        </w:tc>
      </w:tr>
      <w:tr w:rsidR="00E3750C" w:rsidRPr="00554F3F" w14:paraId="583BCF4C" w14:textId="77777777" w:rsidTr="00047864">
        <w:trPr>
          <w:trHeight w:val="25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A1855E8" w14:textId="77777777" w:rsidR="00E3750C" w:rsidRPr="00554F3F" w:rsidRDefault="00E3750C" w:rsidP="00047864">
            <w:pPr>
              <w:spacing w:after="0" w:line="240" w:lineRule="auto"/>
              <w:rPr>
                <w:rFonts w:ascii="Arial" w:eastAsia="Times New Roman" w:hAnsi="Arial" w:cs="Arial"/>
                <w:color w:val="000000"/>
                <w:sz w:val="18"/>
                <w:szCs w:val="18"/>
                <w:lang w:eastAsia="sl-SI"/>
              </w:rPr>
            </w:pPr>
            <w:r w:rsidRPr="00554F3F">
              <w:rPr>
                <w:rFonts w:ascii="Arial" w:eastAsia="Times New Roman" w:hAnsi="Arial" w:cs="Arial"/>
                <w:color w:val="000000"/>
                <w:sz w:val="18"/>
                <w:szCs w:val="18"/>
                <w:lang w:eastAsia="sl-SI"/>
              </w:rPr>
              <w:t>Ostala JN</w:t>
            </w:r>
          </w:p>
        </w:tc>
        <w:tc>
          <w:tcPr>
            <w:tcW w:w="1559" w:type="dxa"/>
            <w:tcBorders>
              <w:top w:val="nil"/>
              <w:left w:val="nil"/>
              <w:bottom w:val="single" w:sz="4" w:space="0" w:color="auto"/>
              <w:right w:val="single" w:sz="4" w:space="0" w:color="auto"/>
            </w:tcBorders>
            <w:shd w:val="clear" w:color="auto" w:fill="auto"/>
            <w:noWrap/>
            <w:vAlign w:val="center"/>
            <w:hideMark/>
          </w:tcPr>
          <w:p w14:paraId="12A4ABDB" w14:textId="77777777" w:rsidR="00E3750C" w:rsidRPr="00554F3F" w:rsidRDefault="00E3750C" w:rsidP="00047864">
            <w:pPr>
              <w:spacing w:after="0" w:line="240" w:lineRule="auto"/>
              <w:jc w:val="right"/>
              <w:rPr>
                <w:rFonts w:ascii="Arial" w:eastAsia="Times New Roman" w:hAnsi="Arial" w:cs="Arial"/>
                <w:color w:val="000000"/>
                <w:sz w:val="18"/>
                <w:szCs w:val="18"/>
                <w:lang w:eastAsia="sl-SI"/>
              </w:rPr>
            </w:pPr>
            <w:r w:rsidRPr="00554F3F">
              <w:rPr>
                <w:rFonts w:ascii="Arial" w:eastAsia="Times New Roman" w:hAnsi="Arial" w:cs="Arial"/>
                <w:color w:val="000000"/>
                <w:sz w:val="18"/>
                <w:szCs w:val="18"/>
                <w:lang w:eastAsia="sl-SI"/>
              </w:rPr>
              <w:t>12.062</w:t>
            </w:r>
          </w:p>
        </w:tc>
        <w:tc>
          <w:tcPr>
            <w:tcW w:w="2410" w:type="dxa"/>
            <w:tcBorders>
              <w:top w:val="nil"/>
              <w:left w:val="nil"/>
              <w:bottom w:val="single" w:sz="4" w:space="0" w:color="auto"/>
              <w:right w:val="single" w:sz="4" w:space="0" w:color="auto"/>
            </w:tcBorders>
            <w:shd w:val="clear" w:color="auto" w:fill="auto"/>
            <w:noWrap/>
            <w:vAlign w:val="center"/>
            <w:hideMark/>
          </w:tcPr>
          <w:p w14:paraId="5261ACBA" w14:textId="77777777" w:rsidR="00E3750C" w:rsidRPr="00554F3F" w:rsidRDefault="00E3750C" w:rsidP="00047864">
            <w:pPr>
              <w:spacing w:after="0" w:line="240" w:lineRule="auto"/>
              <w:jc w:val="right"/>
              <w:rPr>
                <w:rFonts w:ascii="Arial" w:eastAsia="Times New Roman" w:hAnsi="Arial" w:cs="Arial"/>
                <w:color w:val="000000"/>
                <w:sz w:val="18"/>
                <w:szCs w:val="18"/>
                <w:lang w:eastAsia="sl-SI"/>
              </w:rPr>
            </w:pPr>
            <w:r w:rsidRPr="00554F3F">
              <w:rPr>
                <w:rFonts w:ascii="Arial" w:eastAsia="Times New Roman" w:hAnsi="Arial" w:cs="Arial"/>
                <w:color w:val="000000"/>
                <w:sz w:val="18"/>
                <w:szCs w:val="18"/>
                <w:lang w:eastAsia="sl-SI"/>
              </w:rPr>
              <w:t>3.994.367.105</w:t>
            </w:r>
          </w:p>
        </w:tc>
        <w:tc>
          <w:tcPr>
            <w:tcW w:w="1701" w:type="dxa"/>
            <w:tcBorders>
              <w:top w:val="nil"/>
              <w:left w:val="nil"/>
              <w:bottom w:val="single" w:sz="4" w:space="0" w:color="auto"/>
              <w:right w:val="single" w:sz="4" w:space="0" w:color="auto"/>
            </w:tcBorders>
            <w:shd w:val="clear" w:color="auto" w:fill="auto"/>
            <w:noWrap/>
            <w:vAlign w:val="center"/>
            <w:hideMark/>
          </w:tcPr>
          <w:p w14:paraId="082C2FF1" w14:textId="77777777" w:rsidR="00E3750C" w:rsidRPr="00554F3F" w:rsidRDefault="00E3750C" w:rsidP="00047864">
            <w:pPr>
              <w:spacing w:after="0" w:line="240" w:lineRule="auto"/>
              <w:jc w:val="right"/>
              <w:rPr>
                <w:rFonts w:ascii="Arial" w:eastAsia="Times New Roman" w:hAnsi="Arial" w:cs="Arial"/>
                <w:color w:val="000000"/>
                <w:sz w:val="18"/>
                <w:szCs w:val="18"/>
                <w:lang w:eastAsia="sl-SI"/>
              </w:rPr>
            </w:pPr>
            <w:r w:rsidRPr="00554F3F">
              <w:rPr>
                <w:rFonts w:ascii="Arial" w:eastAsia="Times New Roman" w:hAnsi="Arial" w:cs="Arial"/>
                <w:color w:val="000000"/>
                <w:sz w:val="18"/>
                <w:szCs w:val="18"/>
                <w:lang w:eastAsia="sl-SI"/>
              </w:rPr>
              <w:t>70,03 %</w:t>
            </w:r>
          </w:p>
        </w:tc>
        <w:tc>
          <w:tcPr>
            <w:tcW w:w="1802" w:type="dxa"/>
            <w:tcBorders>
              <w:top w:val="nil"/>
              <w:left w:val="nil"/>
              <w:bottom w:val="single" w:sz="4" w:space="0" w:color="auto"/>
              <w:right w:val="single" w:sz="4" w:space="0" w:color="auto"/>
            </w:tcBorders>
            <w:shd w:val="clear" w:color="auto" w:fill="auto"/>
            <w:noWrap/>
            <w:vAlign w:val="center"/>
            <w:hideMark/>
          </w:tcPr>
          <w:p w14:paraId="2237F842" w14:textId="77777777" w:rsidR="00E3750C" w:rsidRPr="00554F3F" w:rsidRDefault="00E3750C" w:rsidP="00047864">
            <w:pPr>
              <w:spacing w:after="0" w:line="240" w:lineRule="auto"/>
              <w:jc w:val="right"/>
              <w:rPr>
                <w:rFonts w:ascii="Arial" w:eastAsia="Times New Roman" w:hAnsi="Arial" w:cs="Arial"/>
                <w:color w:val="000000"/>
                <w:sz w:val="18"/>
                <w:szCs w:val="18"/>
                <w:lang w:eastAsia="sl-SI"/>
              </w:rPr>
            </w:pPr>
            <w:r w:rsidRPr="00554F3F">
              <w:rPr>
                <w:rFonts w:ascii="Arial" w:eastAsia="Times New Roman" w:hAnsi="Arial" w:cs="Arial"/>
                <w:color w:val="000000"/>
                <w:sz w:val="18"/>
                <w:szCs w:val="18"/>
                <w:lang w:eastAsia="sl-SI"/>
              </w:rPr>
              <w:t>73,74 %</w:t>
            </w:r>
          </w:p>
        </w:tc>
      </w:tr>
      <w:tr w:rsidR="00E3750C" w:rsidRPr="00BF7302" w14:paraId="2332D61C" w14:textId="77777777" w:rsidTr="00047864">
        <w:trPr>
          <w:trHeight w:val="255"/>
        </w:trPr>
        <w:tc>
          <w:tcPr>
            <w:tcW w:w="155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98C6FDA" w14:textId="77777777" w:rsidR="00E3750C" w:rsidRPr="00554F3F" w:rsidRDefault="00E3750C" w:rsidP="00047864">
            <w:pPr>
              <w:spacing w:after="0" w:line="240" w:lineRule="auto"/>
              <w:rPr>
                <w:rFonts w:ascii="Arial" w:eastAsia="Times New Roman" w:hAnsi="Arial" w:cs="Arial"/>
                <w:b/>
                <w:bCs/>
                <w:color w:val="000000"/>
                <w:sz w:val="18"/>
                <w:szCs w:val="18"/>
                <w:lang w:eastAsia="sl-SI"/>
              </w:rPr>
            </w:pPr>
            <w:r w:rsidRPr="00554F3F">
              <w:rPr>
                <w:rFonts w:ascii="Arial" w:eastAsia="Times New Roman" w:hAnsi="Arial" w:cs="Arial"/>
                <w:b/>
                <w:bCs/>
                <w:color w:val="000000"/>
                <w:sz w:val="18"/>
                <w:szCs w:val="18"/>
                <w:lang w:eastAsia="sl-SI"/>
              </w:rPr>
              <w:t>Skupaj</w:t>
            </w:r>
          </w:p>
        </w:tc>
        <w:tc>
          <w:tcPr>
            <w:tcW w:w="1559" w:type="dxa"/>
            <w:tcBorders>
              <w:top w:val="nil"/>
              <w:left w:val="nil"/>
              <w:bottom w:val="single" w:sz="4" w:space="0" w:color="auto"/>
              <w:right w:val="single" w:sz="4" w:space="0" w:color="auto"/>
            </w:tcBorders>
            <w:shd w:val="clear" w:color="auto" w:fill="F2F2F2" w:themeFill="background1" w:themeFillShade="F2"/>
            <w:noWrap/>
            <w:vAlign w:val="center"/>
            <w:hideMark/>
          </w:tcPr>
          <w:p w14:paraId="6BABBE7B" w14:textId="77777777" w:rsidR="00E3750C" w:rsidRPr="00554F3F" w:rsidRDefault="00E3750C" w:rsidP="00047864">
            <w:pPr>
              <w:spacing w:after="0" w:line="240" w:lineRule="auto"/>
              <w:jc w:val="right"/>
              <w:rPr>
                <w:rFonts w:ascii="Arial" w:eastAsia="Times New Roman" w:hAnsi="Arial" w:cs="Arial"/>
                <w:b/>
                <w:bCs/>
                <w:color w:val="000000"/>
                <w:sz w:val="18"/>
                <w:szCs w:val="18"/>
                <w:lang w:eastAsia="sl-SI"/>
              </w:rPr>
            </w:pPr>
            <w:r w:rsidRPr="00554F3F">
              <w:rPr>
                <w:rFonts w:ascii="Arial" w:eastAsia="Times New Roman" w:hAnsi="Arial" w:cs="Arial"/>
                <w:b/>
                <w:bCs/>
                <w:color w:val="000000"/>
                <w:sz w:val="18"/>
                <w:szCs w:val="18"/>
                <w:lang w:eastAsia="sl-SI"/>
              </w:rPr>
              <w:t>17.224</w:t>
            </w:r>
          </w:p>
        </w:tc>
        <w:tc>
          <w:tcPr>
            <w:tcW w:w="2410" w:type="dxa"/>
            <w:tcBorders>
              <w:top w:val="nil"/>
              <w:left w:val="nil"/>
              <w:bottom w:val="single" w:sz="4" w:space="0" w:color="auto"/>
              <w:right w:val="single" w:sz="4" w:space="0" w:color="auto"/>
            </w:tcBorders>
            <w:shd w:val="clear" w:color="auto" w:fill="F2F2F2" w:themeFill="background1" w:themeFillShade="F2"/>
            <w:noWrap/>
            <w:vAlign w:val="center"/>
            <w:hideMark/>
          </w:tcPr>
          <w:p w14:paraId="36B76F0B" w14:textId="77777777" w:rsidR="00E3750C" w:rsidRPr="00554F3F" w:rsidRDefault="00E3750C" w:rsidP="00047864">
            <w:pPr>
              <w:spacing w:after="0" w:line="240" w:lineRule="auto"/>
              <w:jc w:val="right"/>
              <w:rPr>
                <w:rFonts w:ascii="Arial" w:eastAsia="Times New Roman" w:hAnsi="Arial" w:cs="Arial"/>
                <w:b/>
                <w:bCs/>
                <w:color w:val="000000"/>
                <w:sz w:val="18"/>
                <w:szCs w:val="18"/>
                <w:lang w:eastAsia="sl-SI"/>
              </w:rPr>
            </w:pPr>
            <w:r w:rsidRPr="00554F3F">
              <w:rPr>
                <w:rFonts w:ascii="Arial" w:eastAsia="Times New Roman" w:hAnsi="Arial" w:cs="Arial"/>
                <w:b/>
                <w:bCs/>
                <w:color w:val="000000"/>
                <w:sz w:val="18"/>
                <w:szCs w:val="18"/>
                <w:lang w:eastAsia="sl-SI"/>
              </w:rPr>
              <w:t>5.417.105.902</w:t>
            </w:r>
          </w:p>
        </w:tc>
        <w:tc>
          <w:tcPr>
            <w:tcW w:w="1701" w:type="dxa"/>
            <w:tcBorders>
              <w:top w:val="nil"/>
              <w:left w:val="nil"/>
              <w:bottom w:val="single" w:sz="4" w:space="0" w:color="auto"/>
              <w:right w:val="single" w:sz="4" w:space="0" w:color="auto"/>
            </w:tcBorders>
            <w:shd w:val="clear" w:color="auto" w:fill="F2F2F2" w:themeFill="background1" w:themeFillShade="F2"/>
            <w:noWrap/>
            <w:vAlign w:val="center"/>
            <w:hideMark/>
          </w:tcPr>
          <w:p w14:paraId="362BC44D" w14:textId="77777777" w:rsidR="00E3750C" w:rsidRPr="00554F3F" w:rsidRDefault="00E3750C" w:rsidP="00047864">
            <w:pPr>
              <w:spacing w:after="0" w:line="240" w:lineRule="auto"/>
              <w:jc w:val="right"/>
              <w:rPr>
                <w:rFonts w:ascii="Arial" w:eastAsia="Times New Roman" w:hAnsi="Arial" w:cs="Arial"/>
                <w:b/>
                <w:bCs/>
                <w:color w:val="000000"/>
                <w:sz w:val="18"/>
                <w:szCs w:val="18"/>
                <w:lang w:eastAsia="sl-SI"/>
              </w:rPr>
            </w:pPr>
            <w:r w:rsidRPr="00554F3F">
              <w:rPr>
                <w:rFonts w:ascii="Arial" w:eastAsia="Times New Roman" w:hAnsi="Arial" w:cs="Arial"/>
                <w:b/>
                <w:bCs/>
                <w:color w:val="000000"/>
                <w:sz w:val="18"/>
                <w:szCs w:val="18"/>
                <w:lang w:eastAsia="sl-SI"/>
              </w:rPr>
              <w:t>100,00 %</w:t>
            </w:r>
          </w:p>
        </w:tc>
        <w:tc>
          <w:tcPr>
            <w:tcW w:w="1802" w:type="dxa"/>
            <w:tcBorders>
              <w:top w:val="nil"/>
              <w:left w:val="nil"/>
              <w:bottom w:val="single" w:sz="4" w:space="0" w:color="auto"/>
              <w:right w:val="single" w:sz="4" w:space="0" w:color="auto"/>
            </w:tcBorders>
            <w:shd w:val="clear" w:color="auto" w:fill="F2F2F2" w:themeFill="background1" w:themeFillShade="F2"/>
            <w:noWrap/>
            <w:vAlign w:val="center"/>
            <w:hideMark/>
          </w:tcPr>
          <w:p w14:paraId="48168681" w14:textId="77777777" w:rsidR="00E3750C" w:rsidRPr="00554F3F" w:rsidRDefault="00E3750C" w:rsidP="00047864">
            <w:pPr>
              <w:spacing w:after="0" w:line="240" w:lineRule="auto"/>
              <w:jc w:val="right"/>
              <w:rPr>
                <w:rFonts w:ascii="Arial" w:eastAsia="Times New Roman" w:hAnsi="Arial" w:cs="Arial"/>
                <w:b/>
                <w:bCs/>
                <w:color w:val="000000"/>
                <w:sz w:val="18"/>
                <w:szCs w:val="18"/>
                <w:lang w:eastAsia="sl-SI"/>
              </w:rPr>
            </w:pPr>
            <w:r w:rsidRPr="00554F3F">
              <w:rPr>
                <w:rFonts w:ascii="Arial" w:eastAsia="Times New Roman" w:hAnsi="Arial" w:cs="Arial"/>
                <w:b/>
                <w:bCs/>
                <w:color w:val="000000"/>
                <w:sz w:val="18"/>
                <w:szCs w:val="18"/>
                <w:lang w:eastAsia="sl-SI"/>
              </w:rPr>
              <w:t>100,00 %</w:t>
            </w:r>
          </w:p>
        </w:tc>
      </w:tr>
    </w:tbl>
    <w:p w14:paraId="704CC271" w14:textId="77777777" w:rsidR="00E3750C" w:rsidRPr="00BF7302" w:rsidRDefault="00E3750C" w:rsidP="00E3750C">
      <w:pPr>
        <w:spacing w:after="0" w:line="240" w:lineRule="auto"/>
        <w:rPr>
          <w:rFonts w:ascii="Arial" w:hAnsi="Arial" w:cs="Arial"/>
          <w:sz w:val="20"/>
          <w:szCs w:val="20"/>
          <w:highlight w:val="yellow"/>
        </w:rPr>
      </w:pPr>
    </w:p>
    <w:p w14:paraId="4BCC53D3" w14:textId="77777777" w:rsidR="00E3750C" w:rsidRPr="00554F3F" w:rsidRDefault="00E3750C" w:rsidP="00E3750C">
      <w:pPr>
        <w:spacing w:before="120" w:after="0" w:line="240" w:lineRule="auto"/>
        <w:rPr>
          <w:rFonts w:ascii="Arial" w:hAnsi="Arial" w:cs="Arial"/>
          <w:sz w:val="20"/>
        </w:rPr>
      </w:pPr>
      <w:r w:rsidRPr="00554F3F">
        <w:rPr>
          <w:rFonts w:ascii="Arial" w:hAnsi="Arial" w:cs="Arial"/>
          <w:sz w:val="20"/>
          <w:szCs w:val="20"/>
        </w:rPr>
        <w:t>Preglednica 9</w:t>
      </w:r>
      <w:r>
        <w:rPr>
          <w:rFonts w:ascii="Arial" w:hAnsi="Arial" w:cs="Arial"/>
          <w:sz w:val="20"/>
          <w:szCs w:val="20"/>
        </w:rPr>
        <w:t>6</w:t>
      </w:r>
      <w:r w:rsidRPr="00554F3F">
        <w:rPr>
          <w:rFonts w:ascii="Arial" w:hAnsi="Arial" w:cs="Arial"/>
          <w:sz w:val="20"/>
          <w:szCs w:val="20"/>
        </w:rPr>
        <w:t xml:space="preserve">: </w:t>
      </w:r>
      <w:r w:rsidRPr="00554F3F">
        <w:rPr>
          <w:rFonts w:ascii="Arial" w:hAnsi="Arial" w:cs="Arial"/>
          <w:sz w:val="20"/>
        </w:rPr>
        <w:t>Število in vrednosti ter deleži zelenih naročil glede na področje naročanja</w:t>
      </w:r>
    </w:p>
    <w:p w14:paraId="78B89958" w14:textId="77777777" w:rsidR="00E3750C" w:rsidRPr="00554F3F" w:rsidRDefault="00E3750C" w:rsidP="00E3750C">
      <w:pPr>
        <w:spacing w:after="0" w:line="240" w:lineRule="auto"/>
        <w:rPr>
          <w:rFonts w:ascii="Arial" w:hAnsi="Arial" w:cs="Arial"/>
          <w:sz w:val="20"/>
        </w:rPr>
      </w:pPr>
    </w:p>
    <w:tbl>
      <w:tblPr>
        <w:tblW w:w="9029" w:type="dxa"/>
        <w:tblCellMar>
          <w:left w:w="70" w:type="dxa"/>
          <w:right w:w="70" w:type="dxa"/>
        </w:tblCellMar>
        <w:tblLook w:val="04A0" w:firstRow="1" w:lastRow="0" w:firstColumn="1" w:lastColumn="0" w:noHBand="0" w:noVBand="1"/>
      </w:tblPr>
      <w:tblGrid>
        <w:gridCol w:w="1566"/>
        <w:gridCol w:w="1154"/>
        <w:gridCol w:w="1685"/>
        <w:gridCol w:w="1156"/>
        <w:gridCol w:w="1156"/>
        <w:gridCol w:w="1156"/>
        <w:gridCol w:w="1156"/>
      </w:tblGrid>
      <w:tr w:rsidR="00E3750C" w:rsidRPr="00554F3F" w14:paraId="07C5C740" w14:textId="77777777" w:rsidTr="00047864">
        <w:trPr>
          <w:trHeight w:val="255"/>
        </w:trPr>
        <w:tc>
          <w:tcPr>
            <w:tcW w:w="15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DFC10C" w14:textId="77777777" w:rsidR="00E3750C" w:rsidRPr="00554F3F" w:rsidRDefault="00E3750C" w:rsidP="00047864">
            <w:pPr>
              <w:spacing w:after="0" w:line="240" w:lineRule="auto"/>
              <w:jc w:val="center"/>
              <w:rPr>
                <w:rFonts w:ascii="Arial" w:eastAsia="Times New Roman" w:hAnsi="Arial" w:cs="Arial"/>
                <w:color w:val="000000"/>
                <w:sz w:val="18"/>
                <w:szCs w:val="18"/>
                <w:lang w:eastAsia="sl-SI"/>
              </w:rPr>
            </w:pPr>
            <w:r w:rsidRPr="00554F3F">
              <w:rPr>
                <w:rFonts w:ascii="Arial" w:eastAsia="Times New Roman" w:hAnsi="Arial" w:cs="Arial"/>
                <w:color w:val="000000"/>
                <w:sz w:val="18"/>
                <w:szCs w:val="18"/>
                <w:lang w:eastAsia="sl-SI"/>
              </w:rPr>
              <w:t xml:space="preserve">Področje </w:t>
            </w:r>
          </w:p>
        </w:tc>
        <w:tc>
          <w:tcPr>
            <w:tcW w:w="115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EFDE1C6" w14:textId="77777777" w:rsidR="00E3750C" w:rsidRPr="00554F3F" w:rsidRDefault="00E3750C" w:rsidP="00047864">
            <w:pPr>
              <w:spacing w:after="0" w:line="240" w:lineRule="auto"/>
              <w:jc w:val="center"/>
              <w:rPr>
                <w:rFonts w:ascii="Arial" w:eastAsia="Times New Roman" w:hAnsi="Arial" w:cs="Arial"/>
                <w:color w:val="000000"/>
                <w:sz w:val="18"/>
                <w:szCs w:val="18"/>
                <w:lang w:eastAsia="sl-SI"/>
              </w:rPr>
            </w:pPr>
            <w:r w:rsidRPr="00554F3F">
              <w:rPr>
                <w:rFonts w:ascii="Arial" w:eastAsia="Times New Roman" w:hAnsi="Arial" w:cs="Arial"/>
                <w:color w:val="000000"/>
                <w:sz w:val="18"/>
                <w:szCs w:val="18"/>
                <w:lang w:eastAsia="sl-SI"/>
              </w:rPr>
              <w:t>Št. zelenih naročil</w:t>
            </w:r>
          </w:p>
        </w:tc>
        <w:tc>
          <w:tcPr>
            <w:tcW w:w="168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CCB186F" w14:textId="77777777" w:rsidR="00E3750C" w:rsidRPr="00554F3F" w:rsidRDefault="00E3750C" w:rsidP="00047864">
            <w:pPr>
              <w:spacing w:after="0" w:line="240" w:lineRule="auto"/>
              <w:jc w:val="center"/>
              <w:rPr>
                <w:rFonts w:ascii="Arial" w:eastAsia="Times New Roman" w:hAnsi="Arial" w:cs="Arial"/>
                <w:color w:val="000000"/>
                <w:sz w:val="18"/>
                <w:szCs w:val="18"/>
                <w:lang w:eastAsia="sl-SI"/>
              </w:rPr>
            </w:pPr>
            <w:r w:rsidRPr="00554F3F">
              <w:rPr>
                <w:rFonts w:ascii="Arial" w:eastAsia="Times New Roman" w:hAnsi="Arial" w:cs="Arial"/>
                <w:color w:val="000000"/>
                <w:sz w:val="18"/>
                <w:szCs w:val="18"/>
                <w:lang w:eastAsia="sl-SI"/>
              </w:rPr>
              <w:t>Pogodbena vrednost</w:t>
            </w:r>
          </w:p>
        </w:tc>
        <w:tc>
          <w:tcPr>
            <w:tcW w:w="115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6753A4E" w14:textId="77777777" w:rsidR="00E3750C" w:rsidRPr="00554F3F" w:rsidRDefault="00E3750C" w:rsidP="00047864">
            <w:pPr>
              <w:spacing w:after="0" w:line="240" w:lineRule="auto"/>
              <w:jc w:val="center"/>
              <w:rPr>
                <w:rFonts w:ascii="Arial" w:eastAsia="Times New Roman" w:hAnsi="Arial" w:cs="Arial"/>
                <w:color w:val="000000"/>
                <w:sz w:val="18"/>
                <w:szCs w:val="18"/>
                <w:lang w:eastAsia="sl-SI"/>
              </w:rPr>
            </w:pPr>
            <w:r w:rsidRPr="00554F3F">
              <w:rPr>
                <w:rFonts w:ascii="Arial" w:eastAsia="Times New Roman" w:hAnsi="Arial" w:cs="Arial"/>
                <w:color w:val="000000"/>
                <w:sz w:val="18"/>
                <w:szCs w:val="18"/>
                <w:lang w:eastAsia="sl-SI"/>
              </w:rPr>
              <w:t>Delež v št. zelenih naročil</w:t>
            </w:r>
          </w:p>
        </w:tc>
        <w:tc>
          <w:tcPr>
            <w:tcW w:w="115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A4AB653" w14:textId="77777777" w:rsidR="00E3750C" w:rsidRPr="00554F3F" w:rsidRDefault="00E3750C" w:rsidP="00047864">
            <w:pPr>
              <w:spacing w:after="0" w:line="240" w:lineRule="auto"/>
              <w:jc w:val="center"/>
              <w:rPr>
                <w:rFonts w:ascii="Arial" w:eastAsia="Times New Roman" w:hAnsi="Arial" w:cs="Arial"/>
                <w:color w:val="000000"/>
                <w:sz w:val="18"/>
                <w:szCs w:val="18"/>
                <w:lang w:eastAsia="sl-SI"/>
              </w:rPr>
            </w:pPr>
            <w:r w:rsidRPr="00554F3F">
              <w:rPr>
                <w:rFonts w:ascii="Arial" w:eastAsia="Times New Roman" w:hAnsi="Arial" w:cs="Arial"/>
                <w:color w:val="000000"/>
                <w:sz w:val="18"/>
                <w:szCs w:val="18"/>
                <w:lang w:eastAsia="sl-SI"/>
              </w:rPr>
              <w:t>Delež v vrednosti zelenih naročil</w:t>
            </w:r>
          </w:p>
        </w:tc>
        <w:tc>
          <w:tcPr>
            <w:tcW w:w="115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F416EE2" w14:textId="77777777" w:rsidR="00E3750C" w:rsidRPr="00554F3F" w:rsidRDefault="00E3750C" w:rsidP="00047864">
            <w:pPr>
              <w:spacing w:after="0" w:line="240" w:lineRule="auto"/>
              <w:jc w:val="center"/>
              <w:rPr>
                <w:rFonts w:ascii="Arial" w:eastAsia="Times New Roman" w:hAnsi="Arial" w:cs="Arial"/>
                <w:color w:val="000000"/>
                <w:sz w:val="18"/>
                <w:szCs w:val="18"/>
                <w:lang w:eastAsia="sl-SI"/>
              </w:rPr>
            </w:pPr>
            <w:r w:rsidRPr="00554F3F">
              <w:rPr>
                <w:rFonts w:ascii="Arial" w:eastAsia="Times New Roman" w:hAnsi="Arial" w:cs="Arial"/>
                <w:color w:val="000000"/>
                <w:sz w:val="18"/>
                <w:szCs w:val="18"/>
                <w:lang w:eastAsia="sl-SI"/>
              </w:rPr>
              <w:t>Delež v št. vseh naročil</w:t>
            </w:r>
          </w:p>
        </w:tc>
        <w:tc>
          <w:tcPr>
            <w:tcW w:w="115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C47C10D" w14:textId="77777777" w:rsidR="00E3750C" w:rsidRPr="00554F3F" w:rsidRDefault="00E3750C" w:rsidP="00047864">
            <w:pPr>
              <w:spacing w:after="0" w:line="240" w:lineRule="auto"/>
              <w:jc w:val="center"/>
              <w:rPr>
                <w:rFonts w:ascii="Arial" w:eastAsia="Times New Roman" w:hAnsi="Arial" w:cs="Arial"/>
                <w:color w:val="000000"/>
                <w:sz w:val="18"/>
                <w:szCs w:val="18"/>
                <w:lang w:eastAsia="sl-SI"/>
              </w:rPr>
            </w:pPr>
            <w:r w:rsidRPr="00554F3F">
              <w:rPr>
                <w:rFonts w:ascii="Arial" w:eastAsia="Times New Roman" w:hAnsi="Arial" w:cs="Arial"/>
                <w:color w:val="000000"/>
                <w:sz w:val="18"/>
                <w:szCs w:val="18"/>
                <w:lang w:eastAsia="sl-SI"/>
              </w:rPr>
              <w:t>Delež v vrednosti vseh naročil</w:t>
            </w:r>
          </w:p>
        </w:tc>
      </w:tr>
      <w:tr w:rsidR="00E3750C" w:rsidRPr="00554F3F" w14:paraId="5EBD58C8" w14:textId="77777777" w:rsidTr="00047864">
        <w:trPr>
          <w:trHeight w:val="255"/>
        </w:trPr>
        <w:tc>
          <w:tcPr>
            <w:tcW w:w="1566" w:type="dxa"/>
            <w:tcBorders>
              <w:top w:val="nil"/>
              <w:left w:val="single" w:sz="4" w:space="0" w:color="auto"/>
              <w:bottom w:val="single" w:sz="4" w:space="0" w:color="auto"/>
              <w:right w:val="single" w:sz="4" w:space="0" w:color="auto"/>
            </w:tcBorders>
            <w:shd w:val="clear" w:color="auto" w:fill="auto"/>
            <w:vAlign w:val="center"/>
            <w:hideMark/>
          </w:tcPr>
          <w:p w14:paraId="49798637" w14:textId="77777777" w:rsidR="00E3750C" w:rsidRPr="00554F3F" w:rsidRDefault="00E3750C" w:rsidP="00047864">
            <w:pPr>
              <w:spacing w:after="0" w:line="240" w:lineRule="auto"/>
              <w:jc w:val="both"/>
              <w:rPr>
                <w:rFonts w:ascii="Arial" w:eastAsia="Times New Roman" w:hAnsi="Arial" w:cs="Arial"/>
                <w:color w:val="000000"/>
                <w:sz w:val="18"/>
                <w:szCs w:val="18"/>
                <w:lang w:eastAsia="sl-SI"/>
              </w:rPr>
            </w:pPr>
            <w:r w:rsidRPr="00554F3F">
              <w:rPr>
                <w:rFonts w:ascii="Arial" w:eastAsia="Times New Roman" w:hAnsi="Arial" w:cs="Arial"/>
                <w:color w:val="000000"/>
                <w:sz w:val="18"/>
                <w:szCs w:val="18"/>
                <w:lang w:eastAsia="sl-SI"/>
              </w:rPr>
              <w:t>Splošno</w:t>
            </w:r>
          </w:p>
        </w:tc>
        <w:tc>
          <w:tcPr>
            <w:tcW w:w="1154" w:type="dxa"/>
            <w:tcBorders>
              <w:top w:val="nil"/>
              <w:left w:val="nil"/>
              <w:bottom w:val="single" w:sz="4" w:space="0" w:color="auto"/>
              <w:right w:val="single" w:sz="4" w:space="0" w:color="auto"/>
            </w:tcBorders>
            <w:shd w:val="clear" w:color="auto" w:fill="auto"/>
            <w:vAlign w:val="center"/>
            <w:hideMark/>
          </w:tcPr>
          <w:p w14:paraId="561ECD03" w14:textId="77777777" w:rsidR="00E3750C" w:rsidRPr="00554F3F" w:rsidRDefault="00E3750C" w:rsidP="00047864">
            <w:pPr>
              <w:spacing w:after="0" w:line="240" w:lineRule="auto"/>
              <w:jc w:val="right"/>
              <w:rPr>
                <w:rFonts w:ascii="Arial" w:eastAsia="Times New Roman" w:hAnsi="Arial" w:cs="Arial"/>
                <w:color w:val="000000"/>
                <w:sz w:val="18"/>
                <w:szCs w:val="18"/>
                <w:lang w:eastAsia="sl-SI"/>
              </w:rPr>
            </w:pPr>
            <w:r w:rsidRPr="00554F3F">
              <w:rPr>
                <w:rFonts w:ascii="Arial" w:hAnsi="Arial" w:cs="Arial"/>
                <w:color w:val="000000"/>
                <w:sz w:val="18"/>
                <w:szCs w:val="18"/>
              </w:rPr>
              <w:t>4.944</w:t>
            </w:r>
          </w:p>
        </w:tc>
        <w:tc>
          <w:tcPr>
            <w:tcW w:w="1685" w:type="dxa"/>
            <w:tcBorders>
              <w:top w:val="nil"/>
              <w:left w:val="nil"/>
              <w:bottom w:val="single" w:sz="4" w:space="0" w:color="auto"/>
              <w:right w:val="single" w:sz="4" w:space="0" w:color="auto"/>
            </w:tcBorders>
            <w:shd w:val="clear" w:color="auto" w:fill="auto"/>
            <w:vAlign w:val="center"/>
            <w:hideMark/>
          </w:tcPr>
          <w:p w14:paraId="76ABCE8B" w14:textId="77777777" w:rsidR="00E3750C" w:rsidRPr="00554F3F" w:rsidRDefault="00E3750C" w:rsidP="00047864">
            <w:pPr>
              <w:spacing w:after="0" w:line="240" w:lineRule="auto"/>
              <w:jc w:val="right"/>
              <w:rPr>
                <w:rFonts w:ascii="Arial" w:eastAsia="Times New Roman" w:hAnsi="Arial" w:cs="Arial"/>
                <w:color w:val="000000"/>
                <w:sz w:val="18"/>
                <w:szCs w:val="18"/>
                <w:lang w:eastAsia="sl-SI"/>
              </w:rPr>
            </w:pPr>
            <w:r w:rsidRPr="00554F3F">
              <w:rPr>
                <w:rFonts w:ascii="Arial" w:hAnsi="Arial" w:cs="Arial"/>
                <w:color w:val="000000"/>
                <w:sz w:val="18"/>
                <w:szCs w:val="18"/>
              </w:rPr>
              <w:t>1.355.454.162</w:t>
            </w:r>
          </w:p>
        </w:tc>
        <w:tc>
          <w:tcPr>
            <w:tcW w:w="1156" w:type="dxa"/>
            <w:tcBorders>
              <w:top w:val="nil"/>
              <w:left w:val="nil"/>
              <w:bottom w:val="single" w:sz="4" w:space="0" w:color="auto"/>
              <w:right w:val="single" w:sz="4" w:space="0" w:color="auto"/>
            </w:tcBorders>
            <w:shd w:val="clear" w:color="auto" w:fill="auto"/>
            <w:vAlign w:val="center"/>
            <w:hideMark/>
          </w:tcPr>
          <w:p w14:paraId="381F9E43" w14:textId="77777777" w:rsidR="00E3750C" w:rsidRPr="00554F3F" w:rsidRDefault="00E3750C" w:rsidP="00047864">
            <w:pPr>
              <w:spacing w:after="0" w:line="240" w:lineRule="auto"/>
              <w:jc w:val="right"/>
              <w:rPr>
                <w:rFonts w:ascii="Arial" w:eastAsia="Times New Roman" w:hAnsi="Arial" w:cs="Arial"/>
                <w:color w:val="000000"/>
                <w:sz w:val="18"/>
                <w:szCs w:val="18"/>
                <w:lang w:eastAsia="sl-SI"/>
              </w:rPr>
            </w:pPr>
            <w:r w:rsidRPr="00554F3F">
              <w:rPr>
                <w:rFonts w:ascii="Arial" w:hAnsi="Arial" w:cs="Arial"/>
                <w:color w:val="000000"/>
                <w:sz w:val="18"/>
                <w:szCs w:val="18"/>
              </w:rPr>
              <w:t>95,78 %</w:t>
            </w:r>
          </w:p>
        </w:tc>
        <w:tc>
          <w:tcPr>
            <w:tcW w:w="1156" w:type="dxa"/>
            <w:tcBorders>
              <w:top w:val="nil"/>
              <w:left w:val="nil"/>
              <w:bottom w:val="single" w:sz="4" w:space="0" w:color="auto"/>
              <w:right w:val="single" w:sz="4" w:space="0" w:color="auto"/>
            </w:tcBorders>
            <w:shd w:val="clear" w:color="auto" w:fill="auto"/>
            <w:vAlign w:val="center"/>
            <w:hideMark/>
          </w:tcPr>
          <w:p w14:paraId="30073C3E" w14:textId="77777777" w:rsidR="00E3750C" w:rsidRPr="00554F3F" w:rsidRDefault="00E3750C" w:rsidP="00047864">
            <w:pPr>
              <w:spacing w:after="0" w:line="240" w:lineRule="auto"/>
              <w:jc w:val="right"/>
              <w:rPr>
                <w:rFonts w:ascii="Arial" w:eastAsia="Times New Roman" w:hAnsi="Arial" w:cs="Arial"/>
                <w:color w:val="000000"/>
                <w:sz w:val="18"/>
                <w:szCs w:val="18"/>
                <w:lang w:eastAsia="sl-SI"/>
              </w:rPr>
            </w:pPr>
            <w:r w:rsidRPr="00554F3F">
              <w:rPr>
                <w:rFonts w:ascii="Arial" w:hAnsi="Arial" w:cs="Arial"/>
                <w:color w:val="000000"/>
                <w:sz w:val="18"/>
                <w:szCs w:val="18"/>
              </w:rPr>
              <w:t>95,27 %</w:t>
            </w:r>
          </w:p>
        </w:tc>
        <w:tc>
          <w:tcPr>
            <w:tcW w:w="1156" w:type="dxa"/>
            <w:tcBorders>
              <w:top w:val="nil"/>
              <w:left w:val="nil"/>
              <w:bottom w:val="single" w:sz="4" w:space="0" w:color="auto"/>
              <w:right w:val="single" w:sz="4" w:space="0" w:color="auto"/>
            </w:tcBorders>
            <w:shd w:val="clear" w:color="auto" w:fill="auto"/>
            <w:noWrap/>
            <w:vAlign w:val="center"/>
            <w:hideMark/>
          </w:tcPr>
          <w:p w14:paraId="209EF071" w14:textId="77777777" w:rsidR="00E3750C" w:rsidRPr="00554F3F" w:rsidRDefault="00E3750C" w:rsidP="00047864">
            <w:pPr>
              <w:spacing w:after="0" w:line="240" w:lineRule="auto"/>
              <w:jc w:val="right"/>
              <w:rPr>
                <w:rFonts w:ascii="Arial" w:eastAsia="Times New Roman" w:hAnsi="Arial" w:cs="Arial"/>
                <w:color w:val="000000"/>
                <w:sz w:val="18"/>
                <w:szCs w:val="18"/>
                <w:lang w:eastAsia="sl-SI"/>
              </w:rPr>
            </w:pPr>
            <w:r w:rsidRPr="00554F3F">
              <w:rPr>
                <w:rFonts w:ascii="Arial" w:hAnsi="Arial" w:cs="Arial"/>
                <w:color w:val="000000"/>
                <w:sz w:val="18"/>
                <w:szCs w:val="18"/>
              </w:rPr>
              <w:t>28,70 %</w:t>
            </w:r>
          </w:p>
        </w:tc>
        <w:tc>
          <w:tcPr>
            <w:tcW w:w="1156" w:type="dxa"/>
            <w:tcBorders>
              <w:top w:val="nil"/>
              <w:left w:val="nil"/>
              <w:bottom w:val="single" w:sz="4" w:space="0" w:color="auto"/>
              <w:right w:val="single" w:sz="4" w:space="0" w:color="auto"/>
            </w:tcBorders>
            <w:shd w:val="clear" w:color="auto" w:fill="auto"/>
            <w:noWrap/>
            <w:vAlign w:val="center"/>
            <w:hideMark/>
          </w:tcPr>
          <w:p w14:paraId="0C7AD155" w14:textId="77777777" w:rsidR="00E3750C" w:rsidRPr="00554F3F" w:rsidRDefault="00E3750C" w:rsidP="00047864">
            <w:pPr>
              <w:spacing w:after="0" w:line="240" w:lineRule="auto"/>
              <w:jc w:val="right"/>
              <w:rPr>
                <w:rFonts w:ascii="Arial" w:eastAsia="Times New Roman" w:hAnsi="Arial" w:cs="Arial"/>
                <w:color w:val="000000"/>
                <w:sz w:val="18"/>
                <w:szCs w:val="18"/>
                <w:lang w:eastAsia="sl-SI"/>
              </w:rPr>
            </w:pPr>
            <w:r w:rsidRPr="00554F3F">
              <w:rPr>
                <w:rFonts w:ascii="Arial" w:hAnsi="Arial" w:cs="Arial"/>
                <w:color w:val="000000"/>
                <w:sz w:val="18"/>
                <w:szCs w:val="18"/>
              </w:rPr>
              <w:t>25,02 %</w:t>
            </w:r>
          </w:p>
        </w:tc>
      </w:tr>
      <w:tr w:rsidR="00E3750C" w:rsidRPr="00554F3F" w14:paraId="63B0CAD2" w14:textId="77777777" w:rsidTr="00047864">
        <w:trPr>
          <w:trHeight w:val="255"/>
        </w:trPr>
        <w:tc>
          <w:tcPr>
            <w:tcW w:w="1566" w:type="dxa"/>
            <w:tcBorders>
              <w:top w:val="nil"/>
              <w:left w:val="single" w:sz="4" w:space="0" w:color="auto"/>
              <w:bottom w:val="single" w:sz="4" w:space="0" w:color="auto"/>
              <w:right w:val="single" w:sz="4" w:space="0" w:color="auto"/>
            </w:tcBorders>
            <w:shd w:val="clear" w:color="auto" w:fill="auto"/>
            <w:vAlign w:val="center"/>
            <w:hideMark/>
          </w:tcPr>
          <w:p w14:paraId="2103E59F" w14:textId="77777777" w:rsidR="00E3750C" w:rsidRPr="00554F3F" w:rsidRDefault="00E3750C" w:rsidP="00047864">
            <w:pPr>
              <w:spacing w:after="0" w:line="240" w:lineRule="auto"/>
              <w:jc w:val="both"/>
              <w:rPr>
                <w:rFonts w:ascii="Arial" w:eastAsia="Times New Roman" w:hAnsi="Arial" w:cs="Arial"/>
                <w:color w:val="000000"/>
                <w:sz w:val="18"/>
                <w:szCs w:val="18"/>
                <w:lang w:eastAsia="sl-SI"/>
              </w:rPr>
            </w:pPr>
            <w:r w:rsidRPr="00554F3F">
              <w:rPr>
                <w:rFonts w:ascii="Arial" w:eastAsia="Times New Roman" w:hAnsi="Arial" w:cs="Arial"/>
                <w:color w:val="000000"/>
                <w:sz w:val="18"/>
                <w:szCs w:val="18"/>
                <w:lang w:eastAsia="sl-SI"/>
              </w:rPr>
              <w:t>Infrastrukturno</w:t>
            </w:r>
          </w:p>
        </w:tc>
        <w:tc>
          <w:tcPr>
            <w:tcW w:w="1154" w:type="dxa"/>
            <w:tcBorders>
              <w:top w:val="nil"/>
              <w:left w:val="nil"/>
              <w:bottom w:val="single" w:sz="4" w:space="0" w:color="auto"/>
              <w:right w:val="single" w:sz="4" w:space="0" w:color="auto"/>
            </w:tcBorders>
            <w:shd w:val="clear" w:color="auto" w:fill="auto"/>
            <w:vAlign w:val="center"/>
            <w:hideMark/>
          </w:tcPr>
          <w:p w14:paraId="2D8CCCFE" w14:textId="77777777" w:rsidR="00E3750C" w:rsidRPr="00554F3F" w:rsidRDefault="00E3750C" w:rsidP="00047864">
            <w:pPr>
              <w:spacing w:after="0" w:line="240" w:lineRule="auto"/>
              <w:jc w:val="right"/>
              <w:rPr>
                <w:rFonts w:ascii="Arial" w:eastAsia="Times New Roman" w:hAnsi="Arial" w:cs="Arial"/>
                <w:color w:val="000000"/>
                <w:sz w:val="18"/>
                <w:szCs w:val="18"/>
                <w:lang w:eastAsia="sl-SI"/>
              </w:rPr>
            </w:pPr>
            <w:r w:rsidRPr="00554F3F">
              <w:rPr>
                <w:rFonts w:ascii="Arial" w:hAnsi="Arial" w:cs="Arial"/>
                <w:color w:val="000000"/>
                <w:sz w:val="18"/>
                <w:szCs w:val="18"/>
              </w:rPr>
              <w:t>218</w:t>
            </w:r>
          </w:p>
        </w:tc>
        <w:tc>
          <w:tcPr>
            <w:tcW w:w="1685" w:type="dxa"/>
            <w:tcBorders>
              <w:top w:val="nil"/>
              <w:left w:val="nil"/>
              <w:bottom w:val="single" w:sz="4" w:space="0" w:color="auto"/>
              <w:right w:val="single" w:sz="4" w:space="0" w:color="auto"/>
            </w:tcBorders>
            <w:shd w:val="clear" w:color="auto" w:fill="auto"/>
            <w:vAlign w:val="center"/>
            <w:hideMark/>
          </w:tcPr>
          <w:p w14:paraId="0DA10A03" w14:textId="77777777" w:rsidR="00E3750C" w:rsidRPr="00554F3F" w:rsidRDefault="00E3750C" w:rsidP="00047864">
            <w:pPr>
              <w:spacing w:after="0" w:line="240" w:lineRule="auto"/>
              <w:jc w:val="right"/>
              <w:rPr>
                <w:rFonts w:ascii="Arial" w:eastAsia="Times New Roman" w:hAnsi="Arial" w:cs="Arial"/>
                <w:color w:val="000000"/>
                <w:sz w:val="18"/>
                <w:szCs w:val="18"/>
                <w:lang w:eastAsia="sl-SI"/>
              </w:rPr>
            </w:pPr>
            <w:r w:rsidRPr="00554F3F">
              <w:rPr>
                <w:rFonts w:ascii="Arial" w:hAnsi="Arial" w:cs="Arial"/>
                <w:color w:val="000000"/>
                <w:sz w:val="18"/>
                <w:szCs w:val="18"/>
              </w:rPr>
              <w:t>67.284.635</w:t>
            </w:r>
          </w:p>
        </w:tc>
        <w:tc>
          <w:tcPr>
            <w:tcW w:w="1156" w:type="dxa"/>
            <w:tcBorders>
              <w:top w:val="nil"/>
              <w:left w:val="nil"/>
              <w:bottom w:val="single" w:sz="4" w:space="0" w:color="auto"/>
              <w:right w:val="single" w:sz="4" w:space="0" w:color="auto"/>
            </w:tcBorders>
            <w:shd w:val="clear" w:color="auto" w:fill="auto"/>
            <w:vAlign w:val="center"/>
            <w:hideMark/>
          </w:tcPr>
          <w:p w14:paraId="7609D17B" w14:textId="77777777" w:rsidR="00E3750C" w:rsidRPr="00554F3F" w:rsidRDefault="00E3750C" w:rsidP="00047864">
            <w:pPr>
              <w:spacing w:after="0" w:line="240" w:lineRule="auto"/>
              <w:jc w:val="right"/>
              <w:rPr>
                <w:rFonts w:ascii="Arial" w:eastAsia="Times New Roman" w:hAnsi="Arial" w:cs="Arial"/>
                <w:color w:val="000000"/>
                <w:sz w:val="18"/>
                <w:szCs w:val="18"/>
                <w:lang w:eastAsia="sl-SI"/>
              </w:rPr>
            </w:pPr>
            <w:r w:rsidRPr="00554F3F">
              <w:rPr>
                <w:rFonts w:ascii="Arial" w:hAnsi="Arial" w:cs="Arial"/>
                <w:color w:val="000000"/>
                <w:sz w:val="18"/>
                <w:szCs w:val="18"/>
              </w:rPr>
              <w:t>4,22 %</w:t>
            </w:r>
          </w:p>
        </w:tc>
        <w:tc>
          <w:tcPr>
            <w:tcW w:w="1156" w:type="dxa"/>
            <w:tcBorders>
              <w:top w:val="nil"/>
              <w:left w:val="nil"/>
              <w:bottom w:val="single" w:sz="4" w:space="0" w:color="auto"/>
              <w:right w:val="single" w:sz="4" w:space="0" w:color="auto"/>
            </w:tcBorders>
            <w:shd w:val="clear" w:color="auto" w:fill="auto"/>
            <w:vAlign w:val="center"/>
            <w:hideMark/>
          </w:tcPr>
          <w:p w14:paraId="71B644F5" w14:textId="77777777" w:rsidR="00E3750C" w:rsidRPr="00554F3F" w:rsidRDefault="00E3750C" w:rsidP="00047864">
            <w:pPr>
              <w:spacing w:after="0" w:line="240" w:lineRule="auto"/>
              <w:jc w:val="right"/>
              <w:rPr>
                <w:rFonts w:ascii="Arial" w:eastAsia="Times New Roman" w:hAnsi="Arial" w:cs="Arial"/>
                <w:color w:val="000000"/>
                <w:sz w:val="18"/>
                <w:szCs w:val="18"/>
                <w:lang w:eastAsia="sl-SI"/>
              </w:rPr>
            </w:pPr>
            <w:r w:rsidRPr="00554F3F">
              <w:rPr>
                <w:rFonts w:ascii="Arial" w:hAnsi="Arial" w:cs="Arial"/>
                <w:color w:val="000000"/>
                <w:sz w:val="18"/>
                <w:szCs w:val="18"/>
              </w:rPr>
              <w:t>4,73 %</w:t>
            </w:r>
          </w:p>
        </w:tc>
        <w:tc>
          <w:tcPr>
            <w:tcW w:w="1156" w:type="dxa"/>
            <w:tcBorders>
              <w:top w:val="nil"/>
              <w:left w:val="nil"/>
              <w:bottom w:val="single" w:sz="4" w:space="0" w:color="auto"/>
              <w:right w:val="single" w:sz="4" w:space="0" w:color="auto"/>
            </w:tcBorders>
            <w:shd w:val="clear" w:color="auto" w:fill="auto"/>
            <w:noWrap/>
            <w:vAlign w:val="center"/>
            <w:hideMark/>
          </w:tcPr>
          <w:p w14:paraId="78804CC8" w14:textId="77777777" w:rsidR="00E3750C" w:rsidRPr="00554F3F" w:rsidRDefault="00E3750C" w:rsidP="00047864">
            <w:pPr>
              <w:spacing w:after="0" w:line="240" w:lineRule="auto"/>
              <w:jc w:val="right"/>
              <w:rPr>
                <w:rFonts w:ascii="Arial" w:eastAsia="Times New Roman" w:hAnsi="Arial" w:cs="Arial"/>
                <w:color w:val="000000"/>
                <w:sz w:val="18"/>
                <w:szCs w:val="18"/>
                <w:lang w:eastAsia="sl-SI"/>
              </w:rPr>
            </w:pPr>
            <w:r w:rsidRPr="00554F3F">
              <w:rPr>
                <w:rFonts w:ascii="Arial" w:hAnsi="Arial" w:cs="Arial"/>
                <w:color w:val="000000"/>
                <w:sz w:val="18"/>
                <w:szCs w:val="18"/>
              </w:rPr>
              <w:t>1,27 %</w:t>
            </w:r>
          </w:p>
        </w:tc>
        <w:tc>
          <w:tcPr>
            <w:tcW w:w="1156" w:type="dxa"/>
            <w:tcBorders>
              <w:top w:val="nil"/>
              <w:left w:val="nil"/>
              <w:bottom w:val="single" w:sz="4" w:space="0" w:color="auto"/>
              <w:right w:val="single" w:sz="4" w:space="0" w:color="auto"/>
            </w:tcBorders>
            <w:shd w:val="clear" w:color="auto" w:fill="auto"/>
            <w:noWrap/>
            <w:vAlign w:val="center"/>
            <w:hideMark/>
          </w:tcPr>
          <w:p w14:paraId="6D0E9681" w14:textId="77777777" w:rsidR="00E3750C" w:rsidRPr="00554F3F" w:rsidRDefault="00E3750C" w:rsidP="00047864">
            <w:pPr>
              <w:spacing w:after="0" w:line="240" w:lineRule="auto"/>
              <w:jc w:val="right"/>
              <w:rPr>
                <w:rFonts w:ascii="Arial" w:eastAsia="Times New Roman" w:hAnsi="Arial" w:cs="Arial"/>
                <w:color w:val="000000"/>
                <w:sz w:val="18"/>
                <w:szCs w:val="18"/>
                <w:lang w:eastAsia="sl-SI"/>
              </w:rPr>
            </w:pPr>
            <w:r w:rsidRPr="00554F3F">
              <w:rPr>
                <w:rFonts w:ascii="Arial" w:hAnsi="Arial" w:cs="Arial"/>
                <w:color w:val="000000"/>
                <w:sz w:val="18"/>
                <w:szCs w:val="18"/>
              </w:rPr>
              <w:t>1,24 %</w:t>
            </w:r>
          </w:p>
        </w:tc>
      </w:tr>
      <w:tr w:rsidR="00E3750C" w:rsidRPr="00554F3F" w14:paraId="1563C948" w14:textId="77777777" w:rsidTr="00047864">
        <w:trPr>
          <w:trHeight w:val="255"/>
        </w:trPr>
        <w:tc>
          <w:tcPr>
            <w:tcW w:w="1566" w:type="dxa"/>
            <w:tcBorders>
              <w:top w:val="nil"/>
              <w:left w:val="single" w:sz="4" w:space="0" w:color="auto"/>
              <w:bottom w:val="single" w:sz="4" w:space="0" w:color="auto"/>
              <w:right w:val="single" w:sz="4" w:space="0" w:color="auto"/>
            </w:tcBorders>
            <w:shd w:val="clear" w:color="auto" w:fill="auto"/>
            <w:vAlign w:val="center"/>
            <w:hideMark/>
          </w:tcPr>
          <w:p w14:paraId="1061D327" w14:textId="77777777" w:rsidR="00E3750C" w:rsidRPr="00554F3F" w:rsidRDefault="00E3750C" w:rsidP="00047864">
            <w:pPr>
              <w:spacing w:after="0" w:line="240" w:lineRule="auto"/>
              <w:jc w:val="both"/>
              <w:rPr>
                <w:rFonts w:ascii="Arial" w:eastAsia="Times New Roman" w:hAnsi="Arial" w:cs="Arial"/>
                <w:color w:val="000000"/>
                <w:sz w:val="18"/>
                <w:szCs w:val="18"/>
                <w:lang w:eastAsia="sl-SI"/>
              </w:rPr>
            </w:pPr>
            <w:r w:rsidRPr="00554F3F">
              <w:rPr>
                <w:rFonts w:ascii="Arial" w:eastAsia="Times New Roman" w:hAnsi="Arial" w:cs="Arial"/>
                <w:color w:val="000000"/>
                <w:sz w:val="18"/>
                <w:szCs w:val="18"/>
                <w:lang w:eastAsia="sl-SI"/>
              </w:rPr>
              <w:t>Obrambno</w:t>
            </w:r>
          </w:p>
        </w:tc>
        <w:tc>
          <w:tcPr>
            <w:tcW w:w="1154" w:type="dxa"/>
            <w:tcBorders>
              <w:top w:val="nil"/>
              <w:left w:val="nil"/>
              <w:bottom w:val="single" w:sz="4" w:space="0" w:color="auto"/>
              <w:right w:val="single" w:sz="4" w:space="0" w:color="auto"/>
            </w:tcBorders>
            <w:shd w:val="clear" w:color="auto" w:fill="auto"/>
            <w:vAlign w:val="center"/>
            <w:hideMark/>
          </w:tcPr>
          <w:p w14:paraId="13EE321F" w14:textId="77777777" w:rsidR="00E3750C" w:rsidRPr="00554F3F" w:rsidRDefault="00E3750C" w:rsidP="00047864">
            <w:pPr>
              <w:spacing w:after="0" w:line="240" w:lineRule="auto"/>
              <w:jc w:val="right"/>
              <w:rPr>
                <w:rFonts w:ascii="Arial" w:eastAsia="Times New Roman" w:hAnsi="Arial" w:cs="Arial"/>
                <w:color w:val="000000"/>
                <w:sz w:val="18"/>
                <w:szCs w:val="18"/>
                <w:lang w:eastAsia="sl-SI"/>
              </w:rPr>
            </w:pPr>
            <w:r w:rsidRPr="00554F3F">
              <w:rPr>
                <w:rFonts w:ascii="Arial" w:eastAsia="Times New Roman" w:hAnsi="Arial" w:cs="Arial"/>
                <w:color w:val="000000"/>
                <w:sz w:val="18"/>
                <w:szCs w:val="18"/>
                <w:lang w:eastAsia="sl-SI"/>
              </w:rPr>
              <w:t>0</w:t>
            </w:r>
          </w:p>
        </w:tc>
        <w:tc>
          <w:tcPr>
            <w:tcW w:w="1685" w:type="dxa"/>
            <w:tcBorders>
              <w:top w:val="nil"/>
              <w:left w:val="nil"/>
              <w:bottom w:val="single" w:sz="4" w:space="0" w:color="auto"/>
              <w:right w:val="single" w:sz="4" w:space="0" w:color="auto"/>
            </w:tcBorders>
            <w:shd w:val="clear" w:color="auto" w:fill="auto"/>
            <w:vAlign w:val="center"/>
            <w:hideMark/>
          </w:tcPr>
          <w:p w14:paraId="34059685" w14:textId="77777777" w:rsidR="00E3750C" w:rsidRPr="00554F3F" w:rsidRDefault="00E3750C" w:rsidP="00047864">
            <w:pPr>
              <w:spacing w:after="0" w:line="240" w:lineRule="auto"/>
              <w:jc w:val="right"/>
              <w:rPr>
                <w:rFonts w:ascii="Arial" w:eastAsia="Times New Roman" w:hAnsi="Arial" w:cs="Arial"/>
                <w:color w:val="000000"/>
                <w:sz w:val="18"/>
                <w:szCs w:val="18"/>
                <w:lang w:eastAsia="sl-SI"/>
              </w:rPr>
            </w:pPr>
            <w:r w:rsidRPr="00554F3F">
              <w:rPr>
                <w:rFonts w:ascii="Arial" w:eastAsia="Times New Roman" w:hAnsi="Arial" w:cs="Arial"/>
                <w:color w:val="000000"/>
                <w:sz w:val="18"/>
                <w:szCs w:val="18"/>
                <w:lang w:eastAsia="sl-SI"/>
              </w:rPr>
              <w:t>0</w:t>
            </w:r>
          </w:p>
        </w:tc>
        <w:tc>
          <w:tcPr>
            <w:tcW w:w="1156" w:type="dxa"/>
            <w:tcBorders>
              <w:top w:val="nil"/>
              <w:left w:val="nil"/>
              <w:bottom w:val="single" w:sz="4" w:space="0" w:color="auto"/>
              <w:right w:val="single" w:sz="4" w:space="0" w:color="auto"/>
            </w:tcBorders>
            <w:shd w:val="clear" w:color="auto" w:fill="auto"/>
            <w:vAlign w:val="center"/>
            <w:hideMark/>
          </w:tcPr>
          <w:p w14:paraId="556C3C30" w14:textId="77777777" w:rsidR="00E3750C" w:rsidRPr="00554F3F" w:rsidRDefault="00E3750C" w:rsidP="00047864">
            <w:pPr>
              <w:spacing w:after="0" w:line="240" w:lineRule="auto"/>
              <w:jc w:val="right"/>
              <w:rPr>
                <w:rFonts w:ascii="Arial" w:eastAsia="Times New Roman" w:hAnsi="Arial" w:cs="Arial"/>
                <w:color w:val="000000"/>
                <w:sz w:val="18"/>
                <w:szCs w:val="18"/>
                <w:lang w:eastAsia="sl-SI"/>
              </w:rPr>
            </w:pPr>
            <w:r w:rsidRPr="00554F3F">
              <w:rPr>
                <w:rFonts w:ascii="Arial" w:eastAsia="Times New Roman" w:hAnsi="Arial" w:cs="Arial"/>
                <w:color w:val="000000"/>
                <w:sz w:val="18"/>
                <w:szCs w:val="18"/>
                <w:lang w:eastAsia="sl-SI"/>
              </w:rPr>
              <w:t>0,00 %</w:t>
            </w:r>
          </w:p>
        </w:tc>
        <w:tc>
          <w:tcPr>
            <w:tcW w:w="1156" w:type="dxa"/>
            <w:tcBorders>
              <w:top w:val="nil"/>
              <w:left w:val="nil"/>
              <w:bottom w:val="single" w:sz="4" w:space="0" w:color="auto"/>
              <w:right w:val="single" w:sz="4" w:space="0" w:color="auto"/>
            </w:tcBorders>
            <w:shd w:val="clear" w:color="auto" w:fill="auto"/>
            <w:vAlign w:val="center"/>
            <w:hideMark/>
          </w:tcPr>
          <w:p w14:paraId="344DEF68" w14:textId="77777777" w:rsidR="00E3750C" w:rsidRPr="00554F3F" w:rsidRDefault="00E3750C" w:rsidP="00047864">
            <w:pPr>
              <w:spacing w:after="0" w:line="240" w:lineRule="auto"/>
              <w:jc w:val="right"/>
              <w:rPr>
                <w:rFonts w:ascii="Arial" w:eastAsia="Times New Roman" w:hAnsi="Arial" w:cs="Arial"/>
                <w:color w:val="000000"/>
                <w:sz w:val="18"/>
                <w:szCs w:val="18"/>
                <w:lang w:eastAsia="sl-SI"/>
              </w:rPr>
            </w:pPr>
            <w:r w:rsidRPr="00554F3F">
              <w:rPr>
                <w:rFonts w:ascii="Arial" w:eastAsia="Times New Roman" w:hAnsi="Arial" w:cs="Arial"/>
                <w:color w:val="000000"/>
                <w:sz w:val="18"/>
                <w:szCs w:val="18"/>
                <w:lang w:eastAsia="sl-SI"/>
              </w:rPr>
              <w:t>0,00 %</w:t>
            </w:r>
          </w:p>
        </w:tc>
        <w:tc>
          <w:tcPr>
            <w:tcW w:w="1156" w:type="dxa"/>
            <w:tcBorders>
              <w:top w:val="nil"/>
              <w:left w:val="nil"/>
              <w:bottom w:val="single" w:sz="4" w:space="0" w:color="auto"/>
              <w:right w:val="single" w:sz="4" w:space="0" w:color="auto"/>
            </w:tcBorders>
            <w:shd w:val="clear" w:color="auto" w:fill="auto"/>
            <w:noWrap/>
            <w:vAlign w:val="center"/>
            <w:hideMark/>
          </w:tcPr>
          <w:p w14:paraId="2CE626D3" w14:textId="77777777" w:rsidR="00E3750C" w:rsidRPr="00554F3F" w:rsidRDefault="00E3750C" w:rsidP="00047864">
            <w:pPr>
              <w:spacing w:after="0" w:line="240" w:lineRule="auto"/>
              <w:jc w:val="right"/>
              <w:rPr>
                <w:rFonts w:ascii="Arial" w:eastAsia="Times New Roman" w:hAnsi="Arial" w:cs="Arial"/>
                <w:color w:val="000000"/>
                <w:sz w:val="18"/>
                <w:szCs w:val="18"/>
                <w:lang w:eastAsia="sl-SI"/>
              </w:rPr>
            </w:pPr>
            <w:r w:rsidRPr="00554F3F">
              <w:rPr>
                <w:rFonts w:ascii="Arial" w:eastAsia="Times New Roman" w:hAnsi="Arial" w:cs="Arial"/>
                <w:color w:val="000000"/>
                <w:sz w:val="18"/>
                <w:szCs w:val="18"/>
                <w:lang w:eastAsia="sl-SI"/>
              </w:rPr>
              <w:t>0,00 %</w:t>
            </w:r>
          </w:p>
        </w:tc>
        <w:tc>
          <w:tcPr>
            <w:tcW w:w="1156" w:type="dxa"/>
            <w:tcBorders>
              <w:top w:val="nil"/>
              <w:left w:val="nil"/>
              <w:bottom w:val="single" w:sz="4" w:space="0" w:color="auto"/>
              <w:right w:val="single" w:sz="4" w:space="0" w:color="auto"/>
            </w:tcBorders>
            <w:shd w:val="clear" w:color="auto" w:fill="auto"/>
            <w:noWrap/>
            <w:vAlign w:val="center"/>
            <w:hideMark/>
          </w:tcPr>
          <w:p w14:paraId="146C2F6B" w14:textId="77777777" w:rsidR="00E3750C" w:rsidRPr="00554F3F" w:rsidRDefault="00E3750C" w:rsidP="00047864">
            <w:pPr>
              <w:spacing w:after="0" w:line="240" w:lineRule="auto"/>
              <w:jc w:val="right"/>
              <w:rPr>
                <w:rFonts w:ascii="Arial" w:eastAsia="Times New Roman" w:hAnsi="Arial" w:cs="Arial"/>
                <w:color w:val="000000"/>
                <w:sz w:val="18"/>
                <w:szCs w:val="18"/>
                <w:lang w:eastAsia="sl-SI"/>
              </w:rPr>
            </w:pPr>
            <w:r w:rsidRPr="00554F3F">
              <w:rPr>
                <w:rFonts w:ascii="Arial" w:eastAsia="Times New Roman" w:hAnsi="Arial" w:cs="Arial"/>
                <w:color w:val="000000"/>
                <w:sz w:val="18"/>
                <w:szCs w:val="18"/>
                <w:lang w:eastAsia="sl-SI"/>
              </w:rPr>
              <w:t>0,00 %</w:t>
            </w:r>
          </w:p>
        </w:tc>
      </w:tr>
      <w:tr w:rsidR="00E3750C" w:rsidRPr="00554F3F" w14:paraId="404F8DC6" w14:textId="77777777" w:rsidTr="00047864">
        <w:trPr>
          <w:trHeight w:val="255"/>
        </w:trPr>
        <w:tc>
          <w:tcPr>
            <w:tcW w:w="156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02D857B" w14:textId="77777777" w:rsidR="00E3750C" w:rsidRPr="00554F3F" w:rsidRDefault="00E3750C" w:rsidP="00047864">
            <w:pPr>
              <w:spacing w:after="0" w:line="240" w:lineRule="auto"/>
              <w:jc w:val="both"/>
              <w:rPr>
                <w:rFonts w:ascii="Arial" w:eastAsia="Times New Roman" w:hAnsi="Arial" w:cs="Arial"/>
                <w:b/>
                <w:bCs/>
                <w:color w:val="000000"/>
                <w:sz w:val="18"/>
                <w:szCs w:val="18"/>
                <w:lang w:eastAsia="sl-SI"/>
              </w:rPr>
            </w:pPr>
            <w:r w:rsidRPr="00554F3F">
              <w:rPr>
                <w:rFonts w:ascii="Arial" w:eastAsia="Times New Roman" w:hAnsi="Arial" w:cs="Arial"/>
                <w:b/>
                <w:bCs/>
                <w:color w:val="000000"/>
                <w:sz w:val="18"/>
                <w:szCs w:val="18"/>
                <w:lang w:eastAsia="sl-SI"/>
              </w:rPr>
              <w:t>Skupaj</w:t>
            </w:r>
          </w:p>
        </w:tc>
        <w:tc>
          <w:tcPr>
            <w:tcW w:w="1154" w:type="dxa"/>
            <w:tcBorders>
              <w:top w:val="nil"/>
              <w:left w:val="nil"/>
              <w:bottom w:val="single" w:sz="4" w:space="0" w:color="auto"/>
              <w:right w:val="single" w:sz="4" w:space="0" w:color="auto"/>
            </w:tcBorders>
            <w:shd w:val="clear" w:color="auto" w:fill="F2F2F2" w:themeFill="background1" w:themeFillShade="F2"/>
            <w:vAlign w:val="center"/>
            <w:hideMark/>
          </w:tcPr>
          <w:p w14:paraId="5D668D9C" w14:textId="77777777" w:rsidR="00E3750C" w:rsidRPr="00554F3F" w:rsidRDefault="00E3750C" w:rsidP="00047864">
            <w:pPr>
              <w:spacing w:after="0" w:line="240" w:lineRule="auto"/>
              <w:jc w:val="right"/>
              <w:rPr>
                <w:rFonts w:ascii="Arial" w:eastAsia="Times New Roman" w:hAnsi="Arial" w:cs="Arial"/>
                <w:b/>
                <w:bCs/>
                <w:color w:val="000000"/>
                <w:sz w:val="18"/>
                <w:szCs w:val="18"/>
                <w:lang w:eastAsia="sl-SI"/>
              </w:rPr>
            </w:pPr>
            <w:r w:rsidRPr="00554F3F">
              <w:rPr>
                <w:rFonts w:ascii="Arial" w:hAnsi="Arial" w:cs="Arial"/>
                <w:b/>
                <w:bCs/>
                <w:color w:val="000000"/>
                <w:sz w:val="18"/>
                <w:szCs w:val="18"/>
              </w:rPr>
              <w:t>5.162</w:t>
            </w:r>
          </w:p>
        </w:tc>
        <w:tc>
          <w:tcPr>
            <w:tcW w:w="1685" w:type="dxa"/>
            <w:tcBorders>
              <w:top w:val="nil"/>
              <w:left w:val="nil"/>
              <w:bottom w:val="single" w:sz="4" w:space="0" w:color="auto"/>
              <w:right w:val="single" w:sz="4" w:space="0" w:color="auto"/>
            </w:tcBorders>
            <w:shd w:val="clear" w:color="auto" w:fill="F2F2F2" w:themeFill="background1" w:themeFillShade="F2"/>
            <w:vAlign w:val="center"/>
            <w:hideMark/>
          </w:tcPr>
          <w:p w14:paraId="42536FEA" w14:textId="77777777" w:rsidR="00E3750C" w:rsidRPr="00554F3F" w:rsidRDefault="00E3750C" w:rsidP="00047864">
            <w:pPr>
              <w:spacing w:after="0" w:line="240" w:lineRule="auto"/>
              <w:jc w:val="right"/>
              <w:rPr>
                <w:rFonts w:ascii="Arial" w:eastAsia="Times New Roman" w:hAnsi="Arial" w:cs="Arial"/>
                <w:b/>
                <w:bCs/>
                <w:color w:val="000000"/>
                <w:sz w:val="18"/>
                <w:szCs w:val="18"/>
                <w:lang w:eastAsia="sl-SI"/>
              </w:rPr>
            </w:pPr>
            <w:r w:rsidRPr="00554F3F">
              <w:rPr>
                <w:rFonts w:ascii="Arial" w:hAnsi="Arial" w:cs="Arial"/>
                <w:b/>
                <w:bCs/>
                <w:color w:val="000000"/>
                <w:sz w:val="18"/>
                <w:szCs w:val="18"/>
              </w:rPr>
              <w:t>1.422.738.797</w:t>
            </w:r>
          </w:p>
        </w:tc>
        <w:tc>
          <w:tcPr>
            <w:tcW w:w="1156" w:type="dxa"/>
            <w:tcBorders>
              <w:top w:val="nil"/>
              <w:left w:val="nil"/>
              <w:bottom w:val="single" w:sz="4" w:space="0" w:color="auto"/>
              <w:right w:val="single" w:sz="4" w:space="0" w:color="auto"/>
            </w:tcBorders>
            <w:shd w:val="clear" w:color="auto" w:fill="F2F2F2" w:themeFill="background1" w:themeFillShade="F2"/>
            <w:vAlign w:val="center"/>
            <w:hideMark/>
          </w:tcPr>
          <w:p w14:paraId="15F94079" w14:textId="77777777" w:rsidR="00E3750C" w:rsidRPr="00554F3F" w:rsidRDefault="00E3750C" w:rsidP="00047864">
            <w:pPr>
              <w:spacing w:after="0" w:line="240" w:lineRule="auto"/>
              <w:jc w:val="right"/>
              <w:rPr>
                <w:rFonts w:ascii="Arial" w:eastAsia="Times New Roman" w:hAnsi="Arial" w:cs="Arial"/>
                <w:b/>
                <w:bCs/>
                <w:color w:val="000000"/>
                <w:sz w:val="18"/>
                <w:szCs w:val="18"/>
                <w:lang w:eastAsia="sl-SI"/>
              </w:rPr>
            </w:pPr>
            <w:r w:rsidRPr="00554F3F">
              <w:rPr>
                <w:rFonts w:ascii="Arial" w:eastAsia="Times New Roman" w:hAnsi="Arial" w:cs="Arial"/>
                <w:b/>
                <w:bCs/>
                <w:color w:val="000000"/>
                <w:sz w:val="18"/>
                <w:szCs w:val="18"/>
                <w:lang w:eastAsia="sl-SI"/>
              </w:rPr>
              <w:t>100,00 %</w:t>
            </w:r>
          </w:p>
        </w:tc>
        <w:tc>
          <w:tcPr>
            <w:tcW w:w="1156" w:type="dxa"/>
            <w:tcBorders>
              <w:top w:val="nil"/>
              <w:left w:val="nil"/>
              <w:bottom w:val="single" w:sz="4" w:space="0" w:color="auto"/>
              <w:right w:val="single" w:sz="4" w:space="0" w:color="auto"/>
            </w:tcBorders>
            <w:shd w:val="clear" w:color="auto" w:fill="F2F2F2" w:themeFill="background1" w:themeFillShade="F2"/>
            <w:vAlign w:val="center"/>
            <w:hideMark/>
          </w:tcPr>
          <w:p w14:paraId="162B1AFB" w14:textId="77777777" w:rsidR="00E3750C" w:rsidRPr="00554F3F" w:rsidRDefault="00E3750C" w:rsidP="00047864">
            <w:pPr>
              <w:spacing w:after="0" w:line="240" w:lineRule="auto"/>
              <w:jc w:val="right"/>
              <w:rPr>
                <w:rFonts w:ascii="Arial" w:eastAsia="Times New Roman" w:hAnsi="Arial" w:cs="Arial"/>
                <w:b/>
                <w:bCs/>
                <w:color w:val="000000"/>
                <w:sz w:val="18"/>
                <w:szCs w:val="18"/>
                <w:lang w:eastAsia="sl-SI"/>
              </w:rPr>
            </w:pPr>
            <w:r w:rsidRPr="00554F3F">
              <w:rPr>
                <w:rFonts w:ascii="Arial" w:eastAsia="Times New Roman" w:hAnsi="Arial" w:cs="Arial"/>
                <w:b/>
                <w:bCs/>
                <w:color w:val="000000"/>
                <w:sz w:val="18"/>
                <w:szCs w:val="18"/>
                <w:lang w:eastAsia="sl-SI"/>
              </w:rPr>
              <w:t>100,00 %</w:t>
            </w:r>
          </w:p>
        </w:tc>
        <w:tc>
          <w:tcPr>
            <w:tcW w:w="1156" w:type="dxa"/>
            <w:tcBorders>
              <w:top w:val="nil"/>
              <w:left w:val="nil"/>
              <w:bottom w:val="single" w:sz="4" w:space="0" w:color="auto"/>
              <w:right w:val="single" w:sz="4" w:space="0" w:color="auto"/>
            </w:tcBorders>
            <w:shd w:val="clear" w:color="auto" w:fill="F2F2F2" w:themeFill="background1" w:themeFillShade="F2"/>
            <w:noWrap/>
            <w:vAlign w:val="center"/>
            <w:hideMark/>
          </w:tcPr>
          <w:p w14:paraId="0EB6CB6E" w14:textId="77777777" w:rsidR="00E3750C" w:rsidRPr="00554F3F" w:rsidRDefault="00E3750C" w:rsidP="00047864">
            <w:pPr>
              <w:spacing w:after="0" w:line="240" w:lineRule="auto"/>
              <w:jc w:val="right"/>
              <w:rPr>
                <w:rFonts w:ascii="Arial" w:eastAsia="Times New Roman" w:hAnsi="Arial" w:cs="Arial"/>
                <w:b/>
                <w:bCs/>
                <w:color w:val="000000"/>
                <w:sz w:val="18"/>
                <w:szCs w:val="18"/>
                <w:lang w:eastAsia="sl-SI"/>
              </w:rPr>
            </w:pPr>
            <w:r w:rsidRPr="00554F3F">
              <w:rPr>
                <w:rFonts w:ascii="Arial" w:hAnsi="Arial" w:cs="Arial"/>
                <w:b/>
                <w:bCs/>
                <w:color w:val="000000"/>
                <w:sz w:val="18"/>
                <w:szCs w:val="18"/>
              </w:rPr>
              <w:t>29,97</w:t>
            </w:r>
            <w:r>
              <w:rPr>
                <w:rFonts w:ascii="Arial" w:hAnsi="Arial" w:cs="Arial"/>
                <w:b/>
                <w:bCs/>
                <w:color w:val="000000"/>
                <w:sz w:val="18"/>
                <w:szCs w:val="18"/>
              </w:rPr>
              <w:t xml:space="preserve"> </w:t>
            </w:r>
            <w:r w:rsidRPr="00554F3F">
              <w:rPr>
                <w:rFonts w:ascii="Arial" w:hAnsi="Arial" w:cs="Arial"/>
                <w:b/>
                <w:bCs/>
                <w:color w:val="000000"/>
                <w:sz w:val="18"/>
                <w:szCs w:val="18"/>
              </w:rPr>
              <w:t>%</w:t>
            </w:r>
          </w:p>
        </w:tc>
        <w:tc>
          <w:tcPr>
            <w:tcW w:w="1156" w:type="dxa"/>
            <w:tcBorders>
              <w:top w:val="nil"/>
              <w:left w:val="nil"/>
              <w:bottom w:val="single" w:sz="4" w:space="0" w:color="auto"/>
              <w:right w:val="single" w:sz="4" w:space="0" w:color="auto"/>
            </w:tcBorders>
            <w:shd w:val="clear" w:color="auto" w:fill="F2F2F2" w:themeFill="background1" w:themeFillShade="F2"/>
            <w:noWrap/>
            <w:vAlign w:val="center"/>
            <w:hideMark/>
          </w:tcPr>
          <w:p w14:paraId="15A6EFF0" w14:textId="77777777" w:rsidR="00E3750C" w:rsidRPr="00554F3F" w:rsidRDefault="00E3750C" w:rsidP="00047864">
            <w:pPr>
              <w:spacing w:after="0" w:line="240" w:lineRule="auto"/>
              <w:jc w:val="right"/>
              <w:rPr>
                <w:rFonts w:ascii="Arial" w:eastAsia="Times New Roman" w:hAnsi="Arial" w:cs="Arial"/>
                <w:b/>
                <w:bCs/>
                <w:color w:val="000000"/>
                <w:sz w:val="18"/>
                <w:szCs w:val="18"/>
                <w:lang w:eastAsia="sl-SI"/>
              </w:rPr>
            </w:pPr>
            <w:r w:rsidRPr="00554F3F">
              <w:rPr>
                <w:rFonts w:ascii="Arial" w:hAnsi="Arial" w:cs="Arial"/>
                <w:b/>
                <w:bCs/>
                <w:color w:val="000000"/>
                <w:sz w:val="18"/>
                <w:szCs w:val="18"/>
              </w:rPr>
              <w:t>26,26</w:t>
            </w:r>
            <w:r>
              <w:rPr>
                <w:rFonts w:ascii="Arial" w:hAnsi="Arial" w:cs="Arial"/>
                <w:b/>
                <w:bCs/>
                <w:color w:val="000000"/>
                <w:sz w:val="18"/>
                <w:szCs w:val="18"/>
              </w:rPr>
              <w:t xml:space="preserve"> </w:t>
            </w:r>
            <w:r w:rsidRPr="00554F3F">
              <w:rPr>
                <w:rFonts w:ascii="Arial" w:hAnsi="Arial" w:cs="Arial"/>
                <w:b/>
                <w:bCs/>
                <w:color w:val="000000"/>
                <w:sz w:val="18"/>
                <w:szCs w:val="18"/>
              </w:rPr>
              <w:t>%</w:t>
            </w:r>
          </w:p>
        </w:tc>
      </w:tr>
    </w:tbl>
    <w:p w14:paraId="46FEB8A0" w14:textId="77777777" w:rsidR="00E3750C" w:rsidRPr="00554F3F" w:rsidRDefault="00E3750C" w:rsidP="00E3750C">
      <w:pPr>
        <w:spacing w:after="0" w:line="240" w:lineRule="auto"/>
        <w:rPr>
          <w:rFonts w:ascii="Arial" w:hAnsi="Arial" w:cs="Arial"/>
          <w:sz w:val="20"/>
          <w:szCs w:val="20"/>
        </w:rPr>
      </w:pPr>
    </w:p>
    <w:p w14:paraId="34FDA7D8" w14:textId="77777777" w:rsidR="00E3750C" w:rsidRPr="00297372" w:rsidRDefault="00E3750C" w:rsidP="00E3750C">
      <w:pPr>
        <w:spacing w:before="120" w:after="0" w:line="240" w:lineRule="auto"/>
        <w:rPr>
          <w:rFonts w:ascii="Arial" w:hAnsi="Arial" w:cs="Arial"/>
          <w:sz w:val="20"/>
        </w:rPr>
      </w:pPr>
      <w:r w:rsidRPr="00297372">
        <w:rPr>
          <w:rFonts w:ascii="Arial" w:hAnsi="Arial" w:cs="Arial"/>
          <w:sz w:val="20"/>
          <w:szCs w:val="20"/>
        </w:rPr>
        <w:t>Preglednica 9</w:t>
      </w:r>
      <w:r>
        <w:rPr>
          <w:rFonts w:ascii="Arial" w:hAnsi="Arial" w:cs="Arial"/>
          <w:sz w:val="20"/>
          <w:szCs w:val="20"/>
        </w:rPr>
        <w:t>7</w:t>
      </w:r>
      <w:r w:rsidRPr="00297372">
        <w:rPr>
          <w:rFonts w:ascii="Arial" w:hAnsi="Arial" w:cs="Arial"/>
          <w:sz w:val="20"/>
          <w:szCs w:val="20"/>
        </w:rPr>
        <w:t xml:space="preserve">: </w:t>
      </w:r>
      <w:r w:rsidRPr="00297372">
        <w:rPr>
          <w:rFonts w:ascii="Arial" w:hAnsi="Arial" w:cs="Arial"/>
          <w:sz w:val="20"/>
        </w:rPr>
        <w:t>Število in vrednosti ter deleži zelenih naročil glede na predmet naročanja</w:t>
      </w:r>
    </w:p>
    <w:p w14:paraId="021CDB85" w14:textId="77777777" w:rsidR="00E3750C" w:rsidRPr="00297372" w:rsidRDefault="00E3750C" w:rsidP="00E3750C">
      <w:pPr>
        <w:spacing w:after="0" w:line="240" w:lineRule="auto"/>
        <w:rPr>
          <w:rFonts w:ascii="Arial" w:hAnsi="Arial" w:cs="Arial"/>
          <w:sz w:val="20"/>
        </w:rPr>
      </w:pPr>
    </w:p>
    <w:tbl>
      <w:tblPr>
        <w:tblW w:w="9050" w:type="dxa"/>
        <w:tblCellMar>
          <w:left w:w="70" w:type="dxa"/>
          <w:right w:w="70" w:type="dxa"/>
        </w:tblCellMar>
        <w:tblLook w:val="04A0" w:firstRow="1" w:lastRow="0" w:firstColumn="1" w:lastColumn="0" w:noHBand="0" w:noVBand="1"/>
      </w:tblPr>
      <w:tblGrid>
        <w:gridCol w:w="1258"/>
        <w:gridCol w:w="1005"/>
        <w:gridCol w:w="1560"/>
        <w:gridCol w:w="1275"/>
        <w:gridCol w:w="1434"/>
        <w:gridCol w:w="1259"/>
        <w:gridCol w:w="1259"/>
      </w:tblGrid>
      <w:tr w:rsidR="00E3750C" w:rsidRPr="00297372" w14:paraId="265C426A" w14:textId="77777777" w:rsidTr="00047864">
        <w:trPr>
          <w:trHeight w:val="255"/>
        </w:trPr>
        <w:tc>
          <w:tcPr>
            <w:tcW w:w="1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1E2CD3" w14:textId="77777777" w:rsidR="00E3750C" w:rsidRPr="00297372" w:rsidRDefault="00E3750C" w:rsidP="00047864">
            <w:pPr>
              <w:spacing w:after="0" w:line="240" w:lineRule="auto"/>
              <w:jc w:val="center"/>
              <w:rPr>
                <w:rFonts w:ascii="Arial" w:eastAsia="Times New Roman" w:hAnsi="Arial" w:cs="Arial"/>
                <w:color w:val="000000"/>
                <w:sz w:val="18"/>
                <w:szCs w:val="18"/>
                <w:lang w:eastAsia="sl-SI"/>
              </w:rPr>
            </w:pPr>
            <w:r w:rsidRPr="00297372">
              <w:rPr>
                <w:rFonts w:ascii="Arial" w:eastAsia="Times New Roman" w:hAnsi="Arial" w:cs="Arial"/>
                <w:color w:val="000000"/>
                <w:sz w:val="18"/>
                <w:szCs w:val="18"/>
                <w:lang w:eastAsia="sl-SI"/>
              </w:rPr>
              <w:t xml:space="preserve">Predmet </w:t>
            </w:r>
          </w:p>
        </w:tc>
        <w:tc>
          <w:tcPr>
            <w:tcW w:w="100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8AA5447" w14:textId="77777777" w:rsidR="00E3750C" w:rsidRPr="00297372" w:rsidRDefault="00E3750C" w:rsidP="00047864">
            <w:pPr>
              <w:spacing w:after="0" w:line="240" w:lineRule="auto"/>
              <w:jc w:val="center"/>
              <w:rPr>
                <w:rFonts w:ascii="Arial" w:eastAsia="Times New Roman" w:hAnsi="Arial" w:cs="Arial"/>
                <w:color w:val="000000"/>
                <w:sz w:val="18"/>
                <w:szCs w:val="18"/>
                <w:lang w:eastAsia="sl-SI"/>
              </w:rPr>
            </w:pPr>
            <w:r w:rsidRPr="00297372">
              <w:rPr>
                <w:rFonts w:ascii="Arial" w:eastAsia="Times New Roman" w:hAnsi="Arial" w:cs="Arial"/>
                <w:color w:val="000000"/>
                <w:sz w:val="18"/>
                <w:szCs w:val="18"/>
                <w:lang w:eastAsia="sl-SI"/>
              </w:rPr>
              <w:t>Št. zelenih naročil</w:t>
            </w:r>
          </w:p>
        </w:tc>
        <w:tc>
          <w:tcPr>
            <w:tcW w:w="15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96FE60F" w14:textId="77777777" w:rsidR="00E3750C" w:rsidRPr="00297372" w:rsidRDefault="00E3750C" w:rsidP="00047864">
            <w:pPr>
              <w:spacing w:after="0" w:line="240" w:lineRule="auto"/>
              <w:jc w:val="center"/>
              <w:rPr>
                <w:rFonts w:ascii="Arial" w:eastAsia="Times New Roman" w:hAnsi="Arial" w:cs="Arial"/>
                <w:color w:val="000000"/>
                <w:sz w:val="18"/>
                <w:szCs w:val="18"/>
                <w:lang w:eastAsia="sl-SI"/>
              </w:rPr>
            </w:pPr>
            <w:r w:rsidRPr="00297372">
              <w:rPr>
                <w:rFonts w:ascii="Arial" w:eastAsia="Times New Roman" w:hAnsi="Arial" w:cs="Arial"/>
                <w:color w:val="000000"/>
                <w:sz w:val="18"/>
                <w:szCs w:val="18"/>
                <w:lang w:eastAsia="sl-SI"/>
              </w:rPr>
              <w:t>Pogodbena vrednost</w:t>
            </w:r>
          </w:p>
        </w:tc>
        <w:tc>
          <w:tcPr>
            <w:tcW w:w="127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4D9A51E" w14:textId="77777777" w:rsidR="00E3750C" w:rsidRPr="00297372" w:rsidRDefault="00E3750C" w:rsidP="00047864">
            <w:pPr>
              <w:spacing w:after="0" w:line="240" w:lineRule="auto"/>
              <w:jc w:val="center"/>
              <w:rPr>
                <w:rFonts w:ascii="Arial" w:eastAsia="Times New Roman" w:hAnsi="Arial" w:cs="Arial"/>
                <w:color w:val="000000"/>
                <w:sz w:val="18"/>
                <w:szCs w:val="18"/>
                <w:lang w:eastAsia="sl-SI"/>
              </w:rPr>
            </w:pPr>
            <w:r w:rsidRPr="00297372">
              <w:rPr>
                <w:rFonts w:ascii="Arial" w:eastAsia="Times New Roman" w:hAnsi="Arial" w:cs="Arial"/>
                <w:color w:val="000000"/>
                <w:sz w:val="18"/>
                <w:szCs w:val="18"/>
                <w:lang w:eastAsia="sl-SI"/>
              </w:rPr>
              <w:t>Delež v št. zelenih naročil</w:t>
            </w:r>
          </w:p>
        </w:tc>
        <w:tc>
          <w:tcPr>
            <w:tcW w:w="143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CA0374D" w14:textId="77777777" w:rsidR="00E3750C" w:rsidRPr="00297372" w:rsidRDefault="00E3750C" w:rsidP="00047864">
            <w:pPr>
              <w:spacing w:after="0" w:line="240" w:lineRule="auto"/>
              <w:jc w:val="center"/>
              <w:rPr>
                <w:rFonts w:ascii="Arial" w:eastAsia="Times New Roman" w:hAnsi="Arial" w:cs="Arial"/>
                <w:color w:val="000000"/>
                <w:sz w:val="18"/>
                <w:szCs w:val="18"/>
                <w:lang w:eastAsia="sl-SI"/>
              </w:rPr>
            </w:pPr>
            <w:r w:rsidRPr="00297372">
              <w:rPr>
                <w:rFonts w:ascii="Arial" w:eastAsia="Times New Roman" w:hAnsi="Arial" w:cs="Arial"/>
                <w:color w:val="000000"/>
                <w:sz w:val="18"/>
                <w:szCs w:val="18"/>
                <w:lang w:eastAsia="sl-SI"/>
              </w:rPr>
              <w:t xml:space="preserve">Delež v vrednosti zelenih naročil </w:t>
            </w:r>
          </w:p>
        </w:tc>
        <w:tc>
          <w:tcPr>
            <w:tcW w:w="125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9768925" w14:textId="77777777" w:rsidR="00E3750C" w:rsidRPr="00297372" w:rsidRDefault="00E3750C" w:rsidP="00047864">
            <w:pPr>
              <w:spacing w:after="0" w:line="240" w:lineRule="auto"/>
              <w:jc w:val="center"/>
              <w:rPr>
                <w:rFonts w:ascii="Arial" w:eastAsia="Times New Roman" w:hAnsi="Arial" w:cs="Arial"/>
                <w:color w:val="000000"/>
                <w:sz w:val="18"/>
                <w:szCs w:val="18"/>
                <w:lang w:eastAsia="sl-SI"/>
              </w:rPr>
            </w:pPr>
            <w:r w:rsidRPr="00297372">
              <w:rPr>
                <w:rFonts w:ascii="Arial" w:eastAsia="Times New Roman" w:hAnsi="Arial" w:cs="Arial"/>
                <w:color w:val="000000"/>
                <w:sz w:val="18"/>
                <w:szCs w:val="18"/>
                <w:lang w:eastAsia="sl-SI"/>
              </w:rPr>
              <w:t>Delež v št. vseh naročil</w:t>
            </w:r>
          </w:p>
        </w:tc>
        <w:tc>
          <w:tcPr>
            <w:tcW w:w="125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3783A2B" w14:textId="77777777" w:rsidR="00E3750C" w:rsidRPr="00297372" w:rsidRDefault="00E3750C" w:rsidP="00047864">
            <w:pPr>
              <w:spacing w:after="0" w:line="240" w:lineRule="auto"/>
              <w:jc w:val="center"/>
              <w:rPr>
                <w:rFonts w:ascii="Arial" w:eastAsia="Times New Roman" w:hAnsi="Arial" w:cs="Arial"/>
                <w:color w:val="000000"/>
                <w:sz w:val="18"/>
                <w:szCs w:val="18"/>
                <w:lang w:eastAsia="sl-SI"/>
              </w:rPr>
            </w:pPr>
            <w:r w:rsidRPr="00297372">
              <w:rPr>
                <w:rFonts w:ascii="Arial" w:eastAsia="Times New Roman" w:hAnsi="Arial" w:cs="Arial"/>
                <w:color w:val="000000"/>
                <w:sz w:val="18"/>
                <w:szCs w:val="18"/>
                <w:lang w:eastAsia="sl-SI"/>
              </w:rPr>
              <w:t>Delež v vrednosti vseh naročil</w:t>
            </w:r>
          </w:p>
        </w:tc>
      </w:tr>
      <w:tr w:rsidR="00E3750C" w:rsidRPr="00297372" w14:paraId="6A030EB1" w14:textId="77777777" w:rsidTr="00047864">
        <w:trPr>
          <w:trHeight w:val="255"/>
        </w:trPr>
        <w:tc>
          <w:tcPr>
            <w:tcW w:w="1258" w:type="dxa"/>
            <w:tcBorders>
              <w:top w:val="nil"/>
              <w:left w:val="single" w:sz="4" w:space="0" w:color="auto"/>
              <w:bottom w:val="single" w:sz="4" w:space="0" w:color="auto"/>
              <w:right w:val="single" w:sz="4" w:space="0" w:color="auto"/>
            </w:tcBorders>
            <w:shd w:val="clear" w:color="auto" w:fill="auto"/>
            <w:vAlign w:val="center"/>
            <w:hideMark/>
          </w:tcPr>
          <w:p w14:paraId="3C6C983A" w14:textId="77777777" w:rsidR="00E3750C" w:rsidRPr="00297372" w:rsidRDefault="00E3750C" w:rsidP="00047864">
            <w:pPr>
              <w:spacing w:after="0" w:line="240" w:lineRule="auto"/>
              <w:jc w:val="both"/>
              <w:rPr>
                <w:rFonts w:ascii="Arial" w:eastAsia="Times New Roman" w:hAnsi="Arial" w:cs="Arial"/>
                <w:color w:val="000000"/>
                <w:sz w:val="18"/>
                <w:szCs w:val="18"/>
                <w:lang w:eastAsia="sl-SI"/>
              </w:rPr>
            </w:pPr>
            <w:r w:rsidRPr="00297372">
              <w:rPr>
                <w:rFonts w:ascii="Arial" w:eastAsia="Times New Roman" w:hAnsi="Arial" w:cs="Arial"/>
                <w:color w:val="000000"/>
                <w:sz w:val="18"/>
                <w:szCs w:val="18"/>
                <w:lang w:eastAsia="sl-SI"/>
              </w:rPr>
              <w:t>Blago</w:t>
            </w:r>
          </w:p>
        </w:tc>
        <w:tc>
          <w:tcPr>
            <w:tcW w:w="1005" w:type="dxa"/>
            <w:tcBorders>
              <w:top w:val="nil"/>
              <w:left w:val="nil"/>
              <w:bottom w:val="single" w:sz="4" w:space="0" w:color="auto"/>
              <w:right w:val="single" w:sz="4" w:space="0" w:color="auto"/>
            </w:tcBorders>
            <w:shd w:val="clear" w:color="auto" w:fill="auto"/>
            <w:vAlign w:val="center"/>
            <w:hideMark/>
          </w:tcPr>
          <w:p w14:paraId="2D18B9FF" w14:textId="77777777" w:rsidR="00E3750C" w:rsidRPr="00297372" w:rsidRDefault="00E3750C" w:rsidP="00047864">
            <w:pPr>
              <w:spacing w:after="0" w:line="240" w:lineRule="auto"/>
              <w:jc w:val="right"/>
              <w:rPr>
                <w:rFonts w:ascii="Arial" w:hAnsi="Arial" w:cs="Arial"/>
                <w:color w:val="000000"/>
                <w:sz w:val="18"/>
                <w:szCs w:val="18"/>
              </w:rPr>
            </w:pPr>
            <w:r w:rsidRPr="00297372">
              <w:rPr>
                <w:rFonts w:ascii="Arial" w:hAnsi="Arial" w:cs="Arial"/>
                <w:color w:val="000000"/>
                <w:sz w:val="18"/>
                <w:szCs w:val="18"/>
              </w:rPr>
              <w:t>3.936</w:t>
            </w:r>
          </w:p>
        </w:tc>
        <w:tc>
          <w:tcPr>
            <w:tcW w:w="1560" w:type="dxa"/>
            <w:tcBorders>
              <w:top w:val="nil"/>
              <w:left w:val="nil"/>
              <w:bottom w:val="single" w:sz="4" w:space="0" w:color="auto"/>
              <w:right w:val="single" w:sz="4" w:space="0" w:color="auto"/>
            </w:tcBorders>
            <w:shd w:val="clear" w:color="auto" w:fill="auto"/>
            <w:vAlign w:val="center"/>
            <w:hideMark/>
          </w:tcPr>
          <w:p w14:paraId="28A425B5" w14:textId="77777777" w:rsidR="00E3750C" w:rsidRPr="00297372" w:rsidRDefault="00E3750C" w:rsidP="00047864">
            <w:pPr>
              <w:spacing w:after="0" w:line="240" w:lineRule="auto"/>
              <w:jc w:val="right"/>
              <w:rPr>
                <w:rFonts w:ascii="Arial" w:hAnsi="Arial" w:cs="Arial"/>
                <w:color w:val="000000"/>
                <w:sz w:val="18"/>
                <w:szCs w:val="18"/>
              </w:rPr>
            </w:pPr>
            <w:r w:rsidRPr="00297372">
              <w:rPr>
                <w:rFonts w:ascii="Arial" w:hAnsi="Arial" w:cs="Arial"/>
                <w:color w:val="000000"/>
                <w:sz w:val="18"/>
                <w:szCs w:val="18"/>
              </w:rPr>
              <w:t>279.644.224</w:t>
            </w:r>
          </w:p>
        </w:tc>
        <w:tc>
          <w:tcPr>
            <w:tcW w:w="1275" w:type="dxa"/>
            <w:tcBorders>
              <w:top w:val="nil"/>
              <w:left w:val="nil"/>
              <w:bottom w:val="single" w:sz="4" w:space="0" w:color="auto"/>
              <w:right w:val="single" w:sz="4" w:space="0" w:color="auto"/>
            </w:tcBorders>
            <w:shd w:val="clear" w:color="auto" w:fill="auto"/>
            <w:vAlign w:val="center"/>
            <w:hideMark/>
          </w:tcPr>
          <w:p w14:paraId="3C4761D4" w14:textId="77777777" w:rsidR="00E3750C" w:rsidRPr="00297372" w:rsidRDefault="00E3750C" w:rsidP="00047864">
            <w:pPr>
              <w:spacing w:after="0" w:line="240" w:lineRule="auto"/>
              <w:jc w:val="right"/>
              <w:rPr>
                <w:rFonts w:ascii="Arial" w:hAnsi="Arial" w:cs="Arial"/>
                <w:color w:val="000000"/>
                <w:sz w:val="18"/>
                <w:szCs w:val="18"/>
              </w:rPr>
            </w:pPr>
            <w:r w:rsidRPr="00297372">
              <w:rPr>
                <w:rFonts w:ascii="Arial" w:hAnsi="Arial" w:cs="Arial"/>
                <w:color w:val="000000"/>
                <w:sz w:val="18"/>
                <w:szCs w:val="18"/>
              </w:rPr>
              <w:t>76,25 %</w:t>
            </w:r>
          </w:p>
        </w:tc>
        <w:tc>
          <w:tcPr>
            <w:tcW w:w="1434" w:type="dxa"/>
            <w:tcBorders>
              <w:top w:val="nil"/>
              <w:left w:val="nil"/>
              <w:bottom w:val="single" w:sz="4" w:space="0" w:color="auto"/>
              <w:right w:val="single" w:sz="4" w:space="0" w:color="auto"/>
            </w:tcBorders>
            <w:shd w:val="clear" w:color="auto" w:fill="auto"/>
            <w:vAlign w:val="center"/>
            <w:hideMark/>
          </w:tcPr>
          <w:p w14:paraId="1980CA06" w14:textId="77777777" w:rsidR="00E3750C" w:rsidRPr="00297372" w:rsidRDefault="00E3750C" w:rsidP="00047864">
            <w:pPr>
              <w:spacing w:after="0" w:line="240" w:lineRule="auto"/>
              <w:jc w:val="right"/>
              <w:rPr>
                <w:rFonts w:ascii="Arial" w:hAnsi="Arial" w:cs="Arial"/>
                <w:color w:val="000000"/>
                <w:sz w:val="18"/>
                <w:szCs w:val="18"/>
              </w:rPr>
            </w:pPr>
            <w:r w:rsidRPr="00297372">
              <w:rPr>
                <w:rFonts w:ascii="Arial" w:hAnsi="Arial" w:cs="Arial"/>
                <w:color w:val="000000"/>
                <w:sz w:val="18"/>
                <w:szCs w:val="18"/>
              </w:rPr>
              <w:t>19,66 %</w:t>
            </w:r>
          </w:p>
        </w:tc>
        <w:tc>
          <w:tcPr>
            <w:tcW w:w="1259" w:type="dxa"/>
            <w:tcBorders>
              <w:top w:val="nil"/>
              <w:left w:val="nil"/>
              <w:bottom w:val="single" w:sz="4" w:space="0" w:color="auto"/>
              <w:right w:val="single" w:sz="4" w:space="0" w:color="auto"/>
            </w:tcBorders>
            <w:shd w:val="clear" w:color="auto" w:fill="auto"/>
            <w:noWrap/>
            <w:vAlign w:val="center"/>
            <w:hideMark/>
          </w:tcPr>
          <w:p w14:paraId="7CD31102" w14:textId="77777777" w:rsidR="00E3750C" w:rsidRPr="00297372" w:rsidRDefault="00E3750C" w:rsidP="00047864">
            <w:pPr>
              <w:spacing w:after="0" w:line="240" w:lineRule="auto"/>
              <w:jc w:val="right"/>
              <w:rPr>
                <w:rFonts w:ascii="Arial" w:hAnsi="Arial" w:cs="Arial"/>
                <w:color w:val="000000"/>
                <w:sz w:val="18"/>
                <w:szCs w:val="18"/>
              </w:rPr>
            </w:pPr>
            <w:r w:rsidRPr="00297372">
              <w:rPr>
                <w:rFonts w:ascii="Arial" w:hAnsi="Arial" w:cs="Arial"/>
                <w:color w:val="000000"/>
                <w:sz w:val="18"/>
                <w:szCs w:val="18"/>
              </w:rPr>
              <w:t>22,85 %</w:t>
            </w:r>
          </w:p>
        </w:tc>
        <w:tc>
          <w:tcPr>
            <w:tcW w:w="1259" w:type="dxa"/>
            <w:tcBorders>
              <w:top w:val="nil"/>
              <w:left w:val="nil"/>
              <w:bottom w:val="single" w:sz="4" w:space="0" w:color="auto"/>
              <w:right w:val="single" w:sz="4" w:space="0" w:color="auto"/>
            </w:tcBorders>
            <w:shd w:val="clear" w:color="auto" w:fill="auto"/>
            <w:noWrap/>
            <w:vAlign w:val="center"/>
            <w:hideMark/>
          </w:tcPr>
          <w:p w14:paraId="484068D8" w14:textId="77777777" w:rsidR="00E3750C" w:rsidRPr="00297372" w:rsidRDefault="00E3750C" w:rsidP="00047864">
            <w:pPr>
              <w:spacing w:after="0" w:line="240" w:lineRule="auto"/>
              <w:jc w:val="right"/>
              <w:rPr>
                <w:rFonts w:ascii="Arial" w:hAnsi="Arial" w:cs="Arial"/>
                <w:color w:val="000000"/>
                <w:sz w:val="18"/>
                <w:szCs w:val="18"/>
              </w:rPr>
            </w:pPr>
            <w:r w:rsidRPr="00297372">
              <w:rPr>
                <w:rFonts w:ascii="Arial" w:hAnsi="Arial" w:cs="Arial"/>
                <w:color w:val="000000"/>
                <w:sz w:val="18"/>
                <w:szCs w:val="18"/>
              </w:rPr>
              <w:t>5,16 %</w:t>
            </w:r>
          </w:p>
        </w:tc>
      </w:tr>
      <w:tr w:rsidR="00E3750C" w:rsidRPr="00297372" w14:paraId="70E0CB12" w14:textId="77777777" w:rsidTr="00047864">
        <w:trPr>
          <w:trHeight w:val="255"/>
        </w:trPr>
        <w:tc>
          <w:tcPr>
            <w:tcW w:w="1258" w:type="dxa"/>
            <w:tcBorders>
              <w:top w:val="nil"/>
              <w:left w:val="single" w:sz="4" w:space="0" w:color="auto"/>
              <w:bottom w:val="single" w:sz="4" w:space="0" w:color="auto"/>
              <w:right w:val="single" w:sz="4" w:space="0" w:color="auto"/>
            </w:tcBorders>
            <w:shd w:val="clear" w:color="auto" w:fill="auto"/>
            <w:vAlign w:val="center"/>
            <w:hideMark/>
          </w:tcPr>
          <w:p w14:paraId="12578F8B" w14:textId="77777777" w:rsidR="00E3750C" w:rsidRPr="00297372" w:rsidRDefault="00E3750C" w:rsidP="00047864">
            <w:pPr>
              <w:spacing w:after="0" w:line="240" w:lineRule="auto"/>
              <w:jc w:val="both"/>
              <w:rPr>
                <w:rFonts w:ascii="Arial" w:eastAsia="Times New Roman" w:hAnsi="Arial" w:cs="Arial"/>
                <w:color w:val="000000"/>
                <w:sz w:val="18"/>
                <w:szCs w:val="18"/>
                <w:lang w:eastAsia="sl-SI"/>
              </w:rPr>
            </w:pPr>
            <w:r w:rsidRPr="00297372">
              <w:rPr>
                <w:rFonts w:ascii="Arial" w:eastAsia="Times New Roman" w:hAnsi="Arial" w:cs="Arial"/>
                <w:color w:val="000000"/>
                <w:sz w:val="18"/>
                <w:szCs w:val="18"/>
                <w:lang w:eastAsia="sl-SI"/>
              </w:rPr>
              <w:t>Storitve</w:t>
            </w:r>
          </w:p>
        </w:tc>
        <w:tc>
          <w:tcPr>
            <w:tcW w:w="1005" w:type="dxa"/>
            <w:tcBorders>
              <w:top w:val="nil"/>
              <w:left w:val="nil"/>
              <w:bottom w:val="single" w:sz="4" w:space="0" w:color="auto"/>
              <w:right w:val="single" w:sz="4" w:space="0" w:color="auto"/>
            </w:tcBorders>
            <w:shd w:val="clear" w:color="auto" w:fill="auto"/>
            <w:vAlign w:val="center"/>
            <w:hideMark/>
          </w:tcPr>
          <w:p w14:paraId="442A88E9" w14:textId="77777777" w:rsidR="00E3750C" w:rsidRPr="00297372" w:rsidRDefault="00E3750C" w:rsidP="00047864">
            <w:pPr>
              <w:spacing w:after="0" w:line="240" w:lineRule="auto"/>
              <w:jc w:val="right"/>
              <w:rPr>
                <w:rFonts w:ascii="Arial" w:hAnsi="Arial" w:cs="Arial"/>
                <w:color w:val="000000"/>
                <w:sz w:val="18"/>
                <w:szCs w:val="18"/>
              </w:rPr>
            </w:pPr>
            <w:r w:rsidRPr="00297372">
              <w:rPr>
                <w:rFonts w:ascii="Arial" w:hAnsi="Arial" w:cs="Arial"/>
                <w:color w:val="000000"/>
                <w:sz w:val="18"/>
                <w:szCs w:val="18"/>
              </w:rPr>
              <w:t>569</w:t>
            </w:r>
          </w:p>
        </w:tc>
        <w:tc>
          <w:tcPr>
            <w:tcW w:w="1560" w:type="dxa"/>
            <w:tcBorders>
              <w:top w:val="nil"/>
              <w:left w:val="nil"/>
              <w:bottom w:val="single" w:sz="4" w:space="0" w:color="auto"/>
              <w:right w:val="single" w:sz="4" w:space="0" w:color="auto"/>
            </w:tcBorders>
            <w:shd w:val="clear" w:color="auto" w:fill="auto"/>
            <w:vAlign w:val="center"/>
            <w:hideMark/>
          </w:tcPr>
          <w:p w14:paraId="2ED31C13" w14:textId="77777777" w:rsidR="00E3750C" w:rsidRPr="00297372" w:rsidRDefault="00E3750C" w:rsidP="00047864">
            <w:pPr>
              <w:spacing w:after="0" w:line="240" w:lineRule="auto"/>
              <w:jc w:val="right"/>
              <w:rPr>
                <w:rFonts w:ascii="Arial" w:hAnsi="Arial" w:cs="Arial"/>
                <w:color w:val="000000"/>
                <w:sz w:val="18"/>
                <w:szCs w:val="18"/>
              </w:rPr>
            </w:pPr>
            <w:r w:rsidRPr="00297372">
              <w:rPr>
                <w:rFonts w:ascii="Arial" w:hAnsi="Arial" w:cs="Arial"/>
                <w:color w:val="000000"/>
                <w:sz w:val="18"/>
                <w:szCs w:val="18"/>
              </w:rPr>
              <w:t>156.097.975</w:t>
            </w:r>
          </w:p>
        </w:tc>
        <w:tc>
          <w:tcPr>
            <w:tcW w:w="1275" w:type="dxa"/>
            <w:tcBorders>
              <w:top w:val="nil"/>
              <w:left w:val="nil"/>
              <w:bottom w:val="single" w:sz="4" w:space="0" w:color="auto"/>
              <w:right w:val="single" w:sz="4" w:space="0" w:color="auto"/>
            </w:tcBorders>
            <w:shd w:val="clear" w:color="auto" w:fill="auto"/>
            <w:vAlign w:val="center"/>
            <w:hideMark/>
          </w:tcPr>
          <w:p w14:paraId="73E8DF0A" w14:textId="77777777" w:rsidR="00E3750C" w:rsidRPr="00297372" w:rsidRDefault="00E3750C" w:rsidP="00047864">
            <w:pPr>
              <w:spacing w:after="0" w:line="240" w:lineRule="auto"/>
              <w:jc w:val="right"/>
              <w:rPr>
                <w:rFonts w:ascii="Arial" w:hAnsi="Arial" w:cs="Arial"/>
                <w:color w:val="000000"/>
                <w:sz w:val="18"/>
                <w:szCs w:val="18"/>
              </w:rPr>
            </w:pPr>
            <w:r w:rsidRPr="00297372">
              <w:rPr>
                <w:rFonts w:ascii="Arial" w:hAnsi="Arial" w:cs="Arial"/>
                <w:color w:val="000000"/>
                <w:sz w:val="18"/>
                <w:szCs w:val="18"/>
              </w:rPr>
              <w:t>11,02 %</w:t>
            </w:r>
          </w:p>
        </w:tc>
        <w:tc>
          <w:tcPr>
            <w:tcW w:w="1434" w:type="dxa"/>
            <w:tcBorders>
              <w:top w:val="nil"/>
              <w:left w:val="nil"/>
              <w:bottom w:val="single" w:sz="4" w:space="0" w:color="auto"/>
              <w:right w:val="single" w:sz="4" w:space="0" w:color="auto"/>
            </w:tcBorders>
            <w:shd w:val="clear" w:color="auto" w:fill="auto"/>
            <w:vAlign w:val="center"/>
            <w:hideMark/>
          </w:tcPr>
          <w:p w14:paraId="47C1702E" w14:textId="77777777" w:rsidR="00E3750C" w:rsidRPr="00297372" w:rsidRDefault="00E3750C" w:rsidP="00047864">
            <w:pPr>
              <w:spacing w:after="0" w:line="240" w:lineRule="auto"/>
              <w:jc w:val="right"/>
              <w:rPr>
                <w:rFonts w:ascii="Arial" w:hAnsi="Arial" w:cs="Arial"/>
                <w:color w:val="000000"/>
                <w:sz w:val="18"/>
                <w:szCs w:val="18"/>
              </w:rPr>
            </w:pPr>
            <w:r w:rsidRPr="00297372">
              <w:rPr>
                <w:rFonts w:ascii="Arial" w:hAnsi="Arial" w:cs="Arial"/>
                <w:color w:val="000000"/>
                <w:sz w:val="18"/>
                <w:szCs w:val="18"/>
              </w:rPr>
              <w:t>10,97 %</w:t>
            </w:r>
          </w:p>
        </w:tc>
        <w:tc>
          <w:tcPr>
            <w:tcW w:w="1259" w:type="dxa"/>
            <w:tcBorders>
              <w:top w:val="nil"/>
              <w:left w:val="nil"/>
              <w:bottom w:val="single" w:sz="4" w:space="0" w:color="auto"/>
              <w:right w:val="single" w:sz="4" w:space="0" w:color="auto"/>
            </w:tcBorders>
            <w:shd w:val="clear" w:color="auto" w:fill="auto"/>
            <w:noWrap/>
            <w:vAlign w:val="center"/>
            <w:hideMark/>
          </w:tcPr>
          <w:p w14:paraId="62F95DC4" w14:textId="77777777" w:rsidR="00E3750C" w:rsidRPr="00297372" w:rsidRDefault="00E3750C" w:rsidP="00047864">
            <w:pPr>
              <w:spacing w:after="0" w:line="240" w:lineRule="auto"/>
              <w:jc w:val="right"/>
              <w:rPr>
                <w:rFonts w:ascii="Arial" w:hAnsi="Arial" w:cs="Arial"/>
                <w:color w:val="000000"/>
                <w:sz w:val="18"/>
                <w:szCs w:val="18"/>
              </w:rPr>
            </w:pPr>
            <w:r w:rsidRPr="00297372">
              <w:rPr>
                <w:rFonts w:ascii="Arial" w:hAnsi="Arial" w:cs="Arial"/>
                <w:color w:val="000000"/>
                <w:sz w:val="18"/>
                <w:szCs w:val="18"/>
              </w:rPr>
              <w:t>3,30 %</w:t>
            </w:r>
          </w:p>
        </w:tc>
        <w:tc>
          <w:tcPr>
            <w:tcW w:w="1259" w:type="dxa"/>
            <w:tcBorders>
              <w:top w:val="nil"/>
              <w:left w:val="nil"/>
              <w:bottom w:val="single" w:sz="4" w:space="0" w:color="auto"/>
              <w:right w:val="single" w:sz="4" w:space="0" w:color="auto"/>
            </w:tcBorders>
            <w:shd w:val="clear" w:color="auto" w:fill="auto"/>
            <w:noWrap/>
            <w:vAlign w:val="center"/>
            <w:hideMark/>
          </w:tcPr>
          <w:p w14:paraId="138F05DE" w14:textId="77777777" w:rsidR="00E3750C" w:rsidRPr="00297372" w:rsidRDefault="00E3750C" w:rsidP="00047864">
            <w:pPr>
              <w:spacing w:after="0" w:line="240" w:lineRule="auto"/>
              <w:jc w:val="right"/>
              <w:rPr>
                <w:rFonts w:ascii="Arial" w:hAnsi="Arial" w:cs="Arial"/>
                <w:color w:val="000000"/>
                <w:sz w:val="18"/>
                <w:szCs w:val="18"/>
              </w:rPr>
            </w:pPr>
            <w:r w:rsidRPr="00297372">
              <w:rPr>
                <w:rFonts w:ascii="Arial" w:hAnsi="Arial" w:cs="Arial"/>
                <w:color w:val="000000"/>
                <w:sz w:val="18"/>
                <w:szCs w:val="18"/>
              </w:rPr>
              <w:t>2,88 %</w:t>
            </w:r>
          </w:p>
        </w:tc>
      </w:tr>
      <w:tr w:rsidR="00E3750C" w:rsidRPr="00297372" w14:paraId="2311DB34" w14:textId="77777777" w:rsidTr="00047864">
        <w:trPr>
          <w:trHeight w:val="255"/>
        </w:trPr>
        <w:tc>
          <w:tcPr>
            <w:tcW w:w="1258" w:type="dxa"/>
            <w:tcBorders>
              <w:top w:val="nil"/>
              <w:left w:val="single" w:sz="4" w:space="0" w:color="auto"/>
              <w:bottom w:val="single" w:sz="4" w:space="0" w:color="auto"/>
              <w:right w:val="single" w:sz="4" w:space="0" w:color="auto"/>
            </w:tcBorders>
            <w:shd w:val="clear" w:color="auto" w:fill="auto"/>
            <w:vAlign w:val="center"/>
            <w:hideMark/>
          </w:tcPr>
          <w:p w14:paraId="7ADB5EEE" w14:textId="77777777" w:rsidR="00E3750C" w:rsidRPr="00297372" w:rsidRDefault="00E3750C" w:rsidP="00047864">
            <w:pPr>
              <w:spacing w:after="0" w:line="240" w:lineRule="auto"/>
              <w:jc w:val="both"/>
              <w:rPr>
                <w:rFonts w:ascii="Arial" w:eastAsia="Times New Roman" w:hAnsi="Arial" w:cs="Arial"/>
                <w:color w:val="000000"/>
                <w:sz w:val="18"/>
                <w:szCs w:val="18"/>
                <w:lang w:eastAsia="sl-SI"/>
              </w:rPr>
            </w:pPr>
            <w:r w:rsidRPr="00297372">
              <w:rPr>
                <w:rFonts w:ascii="Arial" w:eastAsia="Times New Roman" w:hAnsi="Arial" w:cs="Arial"/>
                <w:color w:val="000000"/>
                <w:sz w:val="18"/>
                <w:szCs w:val="18"/>
                <w:lang w:eastAsia="sl-SI"/>
              </w:rPr>
              <w:t>Gradnje</w:t>
            </w:r>
          </w:p>
        </w:tc>
        <w:tc>
          <w:tcPr>
            <w:tcW w:w="1005" w:type="dxa"/>
            <w:tcBorders>
              <w:top w:val="nil"/>
              <w:left w:val="nil"/>
              <w:bottom w:val="single" w:sz="4" w:space="0" w:color="auto"/>
              <w:right w:val="single" w:sz="4" w:space="0" w:color="auto"/>
            </w:tcBorders>
            <w:shd w:val="clear" w:color="auto" w:fill="auto"/>
            <w:vAlign w:val="center"/>
            <w:hideMark/>
          </w:tcPr>
          <w:p w14:paraId="4CD5D828" w14:textId="77777777" w:rsidR="00E3750C" w:rsidRPr="00297372" w:rsidRDefault="00E3750C" w:rsidP="00047864">
            <w:pPr>
              <w:spacing w:after="0" w:line="240" w:lineRule="auto"/>
              <w:jc w:val="right"/>
              <w:rPr>
                <w:rFonts w:ascii="Arial" w:hAnsi="Arial" w:cs="Arial"/>
                <w:color w:val="000000"/>
                <w:sz w:val="18"/>
                <w:szCs w:val="18"/>
              </w:rPr>
            </w:pPr>
            <w:r w:rsidRPr="00297372">
              <w:rPr>
                <w:rFonts w:ascii="Arial" w:hAnsi="Arial" w:cs="Arial"/>
                <w:color w:val="000000"/>
                <w:sz w:val="18"/>
                <w:szCs w:val="18"/>
              </w:rPr>
              <w:t>657</w:t>
            </w:r>
          </w:p>
        </w:tc>
        <w:tc>
          <w:tcPr>
            <w:tcW w:w="1560" w:type="dxa"/>
            <w:tcBorders>
              <w:top w:val="nil"/>
              <w:left w:val="nil"/>
              <w:bottom w:val="single" w:sz="4" w:space="0" w:color="auto"/>
              <w:right w:val="single" w:sz="4" w:space="0" w:color="auto"/>
            </w:tcBorders>
            <w:shd w:val="clear" w:color="auto" w:fill="auto"/>
            <w:vAlign w:val="center"/>
            <w:hideMark/>
          </w:tcPr>
          <w:p w14:paraId="42D24E92" w14:textId="77777777" w:rsidR="00E3750C" w:rsidRPr="00297372" w:rsidRDefault="00E3750C" w:rsidP="00047864">
            <w:pPr>
              <w:spacing w:after="0" w:line="240" w:lineRule="auto"/>
              <w:jc w:val="right"/>
              <w:rPr>
                <w:rFonts w:ascii="Arial" w:hAnsi="Arial" w:cs="Arial"/>
                <w:color w:val="000000"/>
                <w:sz w:val="18"/>
                <w:szCs w:val="18"/>
              </w:rPr>
            </w:pPr>
            <w:r w:rsidRPr="00297372">
              <w:rPr>
                <w:rFonts w:ascii="Arial" w:hAnsi="Arial" w:cs="Arial"/>
                <w:color w:val="000000"/>
                <w:sz w:val="18"/>
                <w:szCs w:val="18"/>
              </w:rPr>
              <w:t>986.996.598</w:t>
            </w:r>
          </w:p>
        </w:tc>
        <w:tc>
          <w:tcPr>
            <w:tcW w:w="1275" w:type="dxa"/>
            <w:tcBorders>
              <w:top w:val="nil"/>
              <w:left w:val="nil"/>
              <w:bottom w:val="single" w:sz="4" w:space="0" w:color="auto"/>
              <w:right w:val="single" w:sz="4" w:space="0" w:color="auto"/>
            </w:tcBorders>
            <w:shd w:val="clear" w:color="auto" w:fill="auto"/>
            <w:vAlign w:val="center"/>
            <w:hideMark/>
          </w:tcPr>
          <w:p w14:paraId="191D214A" w14:textId="77777777" w:rsidR="00E3750C" w:rsidRPr="00297372" w:rsidRDefault="00E3750C" w:rsidP="00047864">
            <w:pPr>
              <w:spacing w:after="0" w:line="240" w:lineRule="auto"/>
              <w:jc w:val="right"/>
              <w:rPr>
                <w:rFonts w:ascii="Arial" w:hAnsi="Arial" w:cs="Arial"/>
                <w:color w:val="000000"/>
                <w:sz w:val="18"/>
                <w:szCs w:val="18"/>
              </w:rPr>
            </w:pPr>
            <w:r w:rsidRPr="00297372">
              <w:rPr>
                <w:rFonts w:ascii="Arial" w:hAnsi="Arial" w:cs="Arial"/>
                <w:color w:val="000000"/>
                <w:sz w:val="18"/>
                <w:szCs w:val="18"/>
              </w:rPr>
              <w:t>12,73 %</w:t>
            </w:r>
          </w:p>
        </w:tc>
        <w:tc>
          <w:tcPr>
            <w:tcW w:w="1434" w:type="dxa"/>
            <w:tcBorders>
              <w:top w:val="nil"/>
              <w:left w:val="nil"/>
              <w:bottom w:val="single" w:sz="4" w:space="0" w:color="auto"/>
              <w:right w:val="single" w:sz="4" w:space="0" w:color="auto"/>
            </w:tcBorders>
            <w:shd w:val="clear" w:color="auto" w:fill="auto"/>
            <w:vAlign w:val="center"/>
            <w:hideMark/>
          </w:tcPr>
          <w:p w14:paraId="0D92DD17" w14:textId="77777777" w:rsidR="00E3750C" w:rsidRPr="00297372" w:rsidRDefault="00E3750C" w:rsidP="00047864">
            <w:pPr>
              <w:spacing w:after="0" w:line="240" w:lineRule="auto"/>
              <w:jc w:val="right"/>
              <w:rPr>
                <w:rFonts w:ascii="Arial" w:hAnsi="Arial" w:cs="Arial"/>
                <w:color w:val="000000"/>
                <w:sz w:val="18"/>
                <w:szCs w:val="18"/>
              </w:rPr>
            </w:pPr>
            <w:r w:rsidRPr="00297372">
              <w:rPr>
                <w:rFonts w:ascii="Arial" w:hAnsi="Arial" w:cs="Arial"/>
                <w:color w:val="000000"/>
                <w:sz w:val="18"/>
                <w:szCs w:val="18"/>
              </w:rPr>
              <w:t>69,37 %</w:t>
            </w:r>
          </w:p>
        </w:tc>
        <w:tc>
          <w:tcPr>
            <w:tcW w:w="1259" w:type="dxa"/>
            <w:tcBorders>
              <w:top w:val="nil"/>
              <w:left w:val="nil"/>
              <w:bottom w:val="single" w:sz="4" w:space="0" w:color="auto"/>
              <w:right w:val="single" w:sz="4" w:space="0" w:color="auto"/>
            </w:tcBorders>
            <w:shd w:val="clear" w:color="auto" w:fill="auto"/>
            <w:noWrap/>
            <w:vAlign w:val="center"/>
            <w:hideMark/>
          </w:tcPr>
          <w:p w14:paraId="56388097" w14:textId="77777777" w:rsidR="00E3750C" w:rsidRPr="00297372" w:rsidRDefault="00E3750C" w:rsidP="00047864">
            <w:pPr>
              <w:spacing w:after="0" w:line="240" w:lineRule="auto"/>
              <w:jc w:val="right"/>
              <w:rPr>
                <w:rFonts w:ascii="Arial" w:hAnsi="Arial" w:cs="Arial"/>
                <w:color w:val="000000"/>
                <w:sz w:val="18"/>
                <w:szCs w:val="18"/>
              </w:rPr>
            </w:pPr>
            <w:r w:rsidRPr="00297372">
              <w:rPr>
                <w:rFonts w:ascii="Arial" w:hAnsi="Arial" w:cs="Arial"/>
                <w:color w:val="000000"/>
                <w:sz w:val="18"/>
                <w:szCs w:val="18"/>
              </w:rPr>
              <w:t>3,81 %</w:t>
            </w:r>
          </w:p>
        </w:tc>
        <w:tc>
          <w:tcPr>
            <w:tcW w:w="1259" w:type="dxa"/>
            <w:tcBorders>
              <w:top w:val="nil"/>
              <w:left w:val="nil"/>
              <w:bottom w:val="single" w:sz="4" w:space="0" w:color="auto"/>
              <w:right w:val="single" w:sz="4" w:space="0" w:color="auto"/>
            </w:tcBorders>
            <w:shd w:val="clear" w:color="auto" w:fill="auto"/>
            <w:noWrap/>
            <w:vAlign w:val="center"/>
            <w:hideMark/>
          </w:tcPr>
          <w:p w14:paraId="50A9F466" w14:textId="77777777" w:rsidR="00E3750C" w:rsidRPr="00297372" w:rsidRDefault="00E3750C" w:rsidP="00047864">
            <w:pPr>
              <w:spacing w:after="0" w:line="240" w:lineRule="auto"/>
              <w:jc w:val="right"/>
              <w:rPr>
                <w:rFonts w:ascii="Arial" w:hAnsi="Arial" w:cs="Arial"/>
                <w:color w:val="000000"/>
                <w:sz w:val="18"/>
                <w:szCs w:val="18"/>
              </w:rPr>
            </w:pPr>
            <w:r w:rsidRPr="00297372">
              <w:rPr>
                <w:rFonts w:ascii="Arial" w:hAnsi="Arial" w:cs="Arial"/>
                <w:color w:val="000000"/>
                <w:sz w:val="18"/>
                <w:szCs w:val="18"/>
              </w:rPr>
              <w:t>18,22 %</w:t>
            </w:r>
          </w:p>
        </w:tc>
      </w:tr>
      <w:tr w:rsidR="00E3750C" w:rsidRPr="00297372" w14:paraId="26FE55A8" w14:textId="77777777" w:rsidTr="00047864">
        <w:trPr>
          <w:trHeight w:val="255"/>
        </w:trPr>
        <w:tc>
          <w:tcPr>
            <w:tcW w:w="1258"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F130DD0" w14:textId="77777777" w:rsidR="00E3750C" w:rsidRPr="00297372" w:rsidRDefault="00E3750C" w:rsidP="00047864">
            <w:pPr>
              <w:spacing w:after="0" w:line="240" w:lineRule="auto"/>
              <w:jc w:val="both"/>
              <w:rPr>
                <w:rFonts w:ascii="Arial" w:eastAsia="Times New Roman" w:hAnsi="Arial" w:cs="Arial"/>
                <w:b/>
                <w:bCs/>
                <w:color w:val="000000"/>
                <w:sz w:val="18"/>
                <w:szCs w:val="18"/>
                <w:lang w:eastAsia="sl-SI"/>
              </w:rPr>
            </w:pPr>
            <w:r w:rsidRPr="00297372">
              <w:rPr>
                <w:rFonts w:ascii="Arial" w:eastAsia="Times New Roman" w:hAnsi="Arial" w:cs="Arial"/>
                <w:b/>
                <w:bCs/>
                <w:color w:val="000000"/>
                <w:sz w:val="18"/>
                <w:szCs w:val="18"/>
                <w:lang w:eastAsia="sl-SI"/>
              </w:rPr>
              <w:t>Skupaj</w:t>
            </w:r>
          </w:p>
        </w:tc>
        <w:tc>
          <w:tcPr>
            <w:tcW w:w="1005" w:type="dxa"/>
            <w:tcBorders>
              <w:top w:val="nil"/>
              <w:left w:val="nil"/>
              <w:bottom w:val="single" w:sz="4" w:space="0" w:color="auto"/>
              <w:right w:val="single" w:sz="4" w:space="0" w:color="auto"/>
            </w:tcBorders>
            <w:shd w:val="clear" w:color="auto" w:fill="F2F2F2" w:themeFill="background1" w:themeFillShade="F2"/>
            <w:vAlign w:val="center"/>
            <w:hideMark/>
          </w:tcPr>
          <w:p w14:paraId="1905E00C" w14:textId="77777777" w:rsidR="00E3750C" w:rsidRPr="00297372" w:rsidRDefault="00E3750C" w:rsidP="00047864">
            <w:pPr>
              <w:spacing w:after="0" w:line="240" w:lineRule="auto"/>
              <w:jc w:val="right"/>
              <w:rPr>
                <w:rFonts w:ascii="Arial" w:hAnsi="Arial" w:cs="Arial"/>
                <w:b/>
                <w:bCs/>
                <w:color w:val="000000"/>
                <w:sz w:val="18"/>
                <w:szCs w:val="18"/>
              </w:rPr>
            </w:pPr>
            <w:r w:rsidRPr="00297372">
              <w:rPr>
                <w:rFonts w:ascii="Arial" w:hAnsi="Arial" w:cs="Arial"/>
                <w:b/>
                <w:bCs/>
                <w:color w:val="000000"/>
                <w:sz w:val="18"/>
                <w:szCs w:val="18"/>
              </w:rPr>
              <w:t>5.162</w:t>
            </w:r>
          </w:p>
        </w:tc>
        <w:tc>
          <w:tcPr>
            <w:tcW w:w="1560" w:type="dxa"/>
            <w:tcBorders>
              <w:top w:val="nil"/>
              <w:left w:val="nil"/>
              <w:bottom w:val="single" w:sz="4" w:space="0" w:color="auto"/>
              <w:right w:val="single" w:sz="4" w:space="0" w:color="auto"/>
            </w:tcBorders>
            <w:shd w:val="clear" w:color="auto" w:fill="F2F2F2" w:themeFill="background1" w:themeFillShade="F2"/>
            <w:vAlign w:val="center"/>
            <w:hideMark/>
          </w:tcPr>
          <w:p w14:paraId="1170ED07" w14:textId="77777777" w:rsidR="00E3750C" w:rsidRPr="00297372" w:rsidRDefault="00E3750C" w:rsidP="00047864">
            <w:pPr>
              <w:spacing w:after="0" w:line="240" w:lineRule="auto"/>
              <w:jc w:val="right"/>
              <w:rPr>
                <w:rFonts w:ascii="Arial" w:hAnsi="Arial" w:cs="Arial"/>
                <w:b/>
                <w:bCs/>
                <w:color w:val="000000"/>
                <w:sz w:val="18"/>
                <w:szCs w:val="18"/>
              </w:rPr>
            </w:pPr>
            <w:r w:rsidRPr="00297372">
              <w:rPr>
                <w:rFonts w:ascii="Arial" w:hAnsi="Arial" w:cs="Arial"/>
                <w:b/>
                <w:bCs/>
                <w:color w:val="000000"/>
                <w:sz w:val="18"/>
                <w:szCs w:val="18"/>
              </w:rPr>
              <w:t>1.422.738.797</w:t>
            </w:r>
          </w:p>
        </w:tc>
        <w:tc>
          <w:tcPr>
            <w:tcW w:w="1275" w:type="dxa"/>
            <w:tcBorders>
              <w:top w:val="nil"/>
              <w:left w:val="nil"/>
              <w:bottom w:val="single" w:sz="4" w:space="0" w:color="auto"/>
              <w:right w:val="single" w:sz="4" w:space="0" w:color="auto"/>
            </w:tcBorders>
            <w:shd w:val="clear" w:color="auto" w:fill="F2F2F2" w:themeFill="background1" w:themeFillShade="F2"/>
            <w:vAlign w:val="center"/>
            <w:hideMark/>
          </w:tcPr>
          <w:p w14:paraId="3441CFA7" w14:textId="77777777" w:rsidR="00E3750C" w:rsidRPr="00297372" w:rsidRDefault="00E3750C" w:rsidP="00047864">
            <w:pPr>
              <w:spacing w:after="0" w:line="240" w:lineRule="auto"/>
              <w:jc w:val="right"/>
              <w:rPr>
                <w:rFonts w:ascii="Arial" w:hAnsi="Arial" w:cs="Arial"/>
                <w:b/>
                <w:bCs/>
                <w:color w:val="000000"/>
                <w:sz w:val="18"/>
                <w:szCs w:val="18"/>
              </w:rPr>
            </w:pPr>
            <w:r w:rsidRPr="00297372">
              <w:rPr>
                <w:rFonts w:ascii="Arial" w:hAnsi="Arial" w:cs="Arial"/>
                <w:b/>
                <w:bCs/>
                <w:color w:val="000000"/>
                <w:sz w:val="18"/>
                <w:szCs w:val="18"/>
              </w:rPr>
              <w:t>100,00 %</w:t>
            </w:r>
          </w:p>
        </w:tc>
        <w:tc>
          <w:tcPr>
            <w:tcW w:w="1434" w:type="dxa"/>
            <w:tcBorders>
              <w:top w:val="nil"/>
              <w:left w:val="nil"/>
              <w:bottom w:val="single" w:sz="4" w:space="0" w:color="auto"/>
              <w:right w:val="single" w:sz="4" w:space="0" w:color="auto"/>
            </w:tcBorders>
            <w:shd w:val="clear" w:color="auto" w:fill="F2F2F2" w:themeFill="background1" w:themeFillShade="F2"/>
            <w:vAlign w:val="center"/>
            <w:hideMark/>
          </w:tcPr>
          <w:p w14:paraId="5BC816A7" w14:textId="77777777" w:rsidR="00E3750C" w:rsidRPr="00297372" w:rsidRDefault="00E3750C" w:rsidP="00047864">
            <w:pPr>
              <w:spacing w:after="0" w:line="240" w:lineRule="auto"/>
              <w:jc w:val="right"/>
              <w:rPr>
                <w:rFonts w:ascii="Arial" w:hAnsi="Arial" w:cs="Arial"/>
                <w:b/>
                <w:bCs/>
                <w:color w:val="000000"/>
                <w:sz w:val="18"/>
                <w:szCs w:val="18"/>
              </w:rPr>
            </w:pPr>
            <w:r w:rsidRPr="00297372">
              <w:rPr>
                <w:rFonts w:ascii="Arial" w:hAnsi="Arial" w:cs="Arial"/>
                <w:b/>
                <w:bCs/>
                <w:color w:val="000000"/>
                <w:sz w:val="18"/>
                <w:szCs w:val="18"/>
              </w:rPr>
              <w:t>100,00 %</w:t>
            </w:r>
          </w:p>
        </w:tc>
        <w:tc>
          <w:tcPr>
            <w:tcW w:w="1259" w:type="dxa"/>
            <w:tcBorders>
              <w:top w:val="nil"/>
              <w:left w:val="nil"/>
              <w:bottom w:val="single" w:sz="4" w:space="0" w:color="auto"/>
              <w:right w:val="single" w:sz="4" w:space="0" w:color="auto"/>
            </w:tcBorders>
            <w:shd w:val="clear" w:color="auto" w:fill="F2F2F2" w:themeFill="background1" w:themeFillShade="F2"/>
            <w:noWrap/>
            <w:vAlign w:val="center"/>
            <w:hideMark/>
          </w:tcPr>
          <w:p w14:paraId="2619EE78" w14:textId="77777777" w:rsidR="00E3750C" w:rsidRPr="00297372" w:rsidRDefault="00E3750C" w:rsidP="00047864">
            <w:pPr>
              <w:spacing w:after="0" w:line="240" w:lineRule="auto"/>
              <w:jc w:val="right"/>
              <w:rPr>
                <w:rFonts w:ascii="Arial" w:hAnsi="Arial" w:cs="Arial"/>
                <w:b/>
                <w:bCs/>
                <w:color w:val="000000"/>
                <w:sz w:val="18"/>
                <w:szCs w:val="18"/>
              </w:rPr>
            </w:pPr>
            <w:r w:rsidRPr="00297372">
              <w:rPr>
                <w:rFonts w:ascii="Arial" w:hAnsi="Arial" w:cs="Arial"/>
                <w:b/>
                <w:bCs/>
                <w:color w:val="000000"/>
                <w:sz w:val="18"/>
                <w:szCs w:val="18"/>
              </w:rPr>
              <w:t>29,97 %</w:t>
            </w:r>
          </w:p>
        </w:tc>
        <w:tc>
          <w:tcPr>
            <w:tcW w:w="1259" w:type="dxa"/>
            <w:tcBorders>
              <w:top w:val="nil"/>
              <w:left w:val="nil"/>
              <w:bottom w:val="single" w:sz="4" w:space="0" w:color="auto"/>
              <w:right w:val="single" w:sz="4" w:space="0" w:color="auto"/>
            </w:tcBorders>
            <w:shd w:val="clear" w:color="auto" w:fill="F2F2F2" w:themeFill="background1" w:themeFillShade="F2"/>
            <w:noWrap/>
            <w:vAlign w:val="center"/>
            <w:hideMark/>
          </w:tcPr>
          <w:p w14:paraId="4BDE375A" w14:textId="77777777" w:rsidR="00E3750C" w:rsidRPr="00297372" w:rsidRDefault="00E3750C" w:rsidP="00047864">
            <w:pPr>
              <w:spacing w:after="0" w:line="240" w:lineRule="auto"/>
              <w:jc w:val="right"/>
              <w:rPr>
                <w:rFonts w:ascii="Arial" w:hAnsi="Arial" w:cs="Arial"/>
                <w:b/>
                <w:bCs/>
                <w:color w:val="000000"/>
                <w:sz w:val="18"/>
                <w:szCs w:val="18"/>
              </w:rPr>
            </w:pPr>
            <w:r w:rsidRPr="00297372">
              <w:rPr>
                <w:rFonts w:ascii="Arial" w:hAnsi="Arial" w:cs="Arial"/>
                <w:b/>
                <w:bCs/>
                <w:color w:val="000000"/>
                <w:sz w:val="18"/>
                <w:szCs w:val="18"/>
              </w:rPr>
              <w:t>26,26 %</w:t>
            </w:r>
          </w:p>
        </w:tc>
      </w:tr>
    </w:tbl>
    <w:p w14:paraId="0628DF55" w14:textId="77777777" w:rsidR="00E3750C" w:rsidRPr="00297372" w:rsidRDefault="00E3750C" w:rsidP="00E3750C">
      <w:pPr>
        <w:rPr>
          <w:rFonts w:ascii="Arial" w:hAnsi="Arial" w:cs="Arial"/>
          <w:sz w:val="20"/>
          <w:szCs w:val="20"/>
        </w:rPr>
      </w:pPr>
    </w:p>
    <w:p w14:paraId="690C766D" w14:textId="77777777" w:rsidR="00E3750C" w:rsidRDefault="00E3750C" w:rsidP="00E3750C">
      <w:pPr>
        <w:spacing w:before="120" w:after="0" w:line="240" w:lineRule="auto"/>
        <w:rPr>
          <w:rFonts w:ascii="Arial" w:hAnsi="Arial" w:cs="Arial"/>
          <w:sz w:val="20"/>
          <w:szCs w:val="20"/>
        </w:rPr>
      </w:pPr>
    </w:p>
    <w:p w14:paraId="1E28166E" w14:textId="77777777" w:rsidR="00E3750C" w:rsidRDefault="00E3750C" w:rsidP="00E3750C">
      <w:pPr>
        <w:spacing w:before="120" w:after="0" w:line="240" w:lineRule="auto"/>
        <w:rPr>
          <w:rFonts w:ascii="Arial" w:hAnsi="Arial" w:cs="Arial"/>
          <w:sz w:val="20"/>
          <w:szCs w:val="20"/>
        </w:rPr>
      </w:pPr>
    </w:p>
    <w:p w14:paraId="02F143D8" w14:textId="77777777" w:rsidR="00E3750C" w:rsidRPr="008D458E" w:rsidRDefault="00E3750C" w:rsidP="00E3750C">
      <w:pPr>
        <w:spacing w:before="120" w:after="0" w:line="240" w:lineRule="auto"/>
        <w:rPr>
          <w:rFonts w:ascii="Arial" w:hAnsi="Arial" w:cs="Arial"/>
          <w:sz w:val="20"/>
        </w:rPr>
      </w:pPr>
      <w:r w:rsidRPr="008D458E">
        <w:rPr>
          <w:rFonts w:ascii="Arial" w:hAnsi="Arial" w:cs="Arial"/>
          <w:sz w:val="20"/>
          <w:szCs w:val="20"/>
        </w:rPr>
        <w:t>Preglednica 9</w:t>
      </w:r>
      <w:r>
        <w:rPr>
          <w:rFonts w:ascii="Arial" w:hAnsi="Arial" w:cs="Arial"/>
          <w:sz w:val="20"/>
          <w:szCs w:val="20"/>
        </w:rPr>
        <w:t>8</w:t>
      </w:r>
      <w:r w:rsidRPr="008D458E">
        <w:rPr>
          <w:rFonts w:ascii="Arial" w:hAnsi="Arial" w:cs="Arial"/>
          <w:sz w:val="20"/>
          <w:szCs w:val="20"/>
        </w:rPr>
        <w:t xml:space="preserve">: </w:t>
      </w:r>
      <w:r w:rsidRPr="008D458E">
        <w:rPr>
          <w:rFonts w:ascii="Arial" w:hAnsi="Arial" w:cs="Arial"/>
          <w:sz w:val="20"/>
        </w:rPr>
        <w:t>Število in vrednosti ter deleži zelenih naročil glede na oddelek CPV</w:t>
      </w:r>
    </w:p>
    <w:p w14:paraId="7CC46CB0" w14:textId="77777777" w:rsidR="00E3750C" w:rsidRPr="00BF7302" w:rsidRDefault="00E3750C" w:rsidP="00E3750C">
      <w:pPr>
        <w:spacing w:after="0" w:line="240" w:lineRule="auto"/>
        <w:rPr>
          <w:rFonts w:ascii="Arial" w:hAnsi="Arial" w:cs="Arial"/>
          <w:sz w:val="20"/>
          <w:highlight w:val="yellow"/>
        </w:rPr>
      </w:pPr>
    </w:p>
    <w:tbl>
      <w:tblPr>
        <w:tblW w:w="5000" w:type="pct"/>
        <w:tblCellMar>
          <w:left w:w="70" w:type="dxa"/>
          <w:right w:w="70" w:type="dxa"/>
        </w:tblCellMar>
        <w:tblLook w:val="04A0" w:firstRow="1" w:lastRow="0" w:firstColumn="1" w:lastColumn="0" w:noHBand="0" w:noVBand="1"/>
      </w:tblPr>
      <w:tblGrid>
        <w:gridCol w:w="531"/>
        <w:gridCol w:w="3166"/>
        <w:gridCol w:w="711"/>
        <w:gridCol w:w="1292"/>
        <w:gridCol w:w="901"/>
        <w:gridCol w:w="901"/>
        <w:gridCol w:w="801"/>
        <w:gridCol w:w="871"/>
      </w:tblGrid>
      <w:tr w:rsidR="00E3750C" w:rsidRPr="008D458E" w14:paraId="104BA8D2" w14:textId="77777777" w:rsidTr="00047864">
        <w:trPr>
          <w:trHeight w:val="960"/>
          <w:tblHeader/>
        </w:trPr>
        <w:tc>
          <w:tcPr>
            <w:tcW w:w="239"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68A9720" w14:textId="77777777" w:rsidR="00E3750C" w:rsidRPr="008D458E" w:rsidRDefault="00E3750C" w:rsidP="00047864">
            <w:pPr>
              <w:spacing w:after="0" w:line="240" w:lineRule="auto"/>
              <w:jc w:val="center"/>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CPV koda</w:t>
            </w:r>
          </w:p>
        </w:tc>
        <w:tc>
          <w:tcPr>
            <w:tcW w:w="2926" w:type="pct"/>
            <w:tcBorders>
              <w:top w:val="single" w:sz="4" w:space="0" w:color="auto"/>
              <w:left w:val="nil"/>
              <w:bottom w:val="single" w:sz="4" w:space="0" w:color="auto"/>
              <w:right w:val="single" w:sz="4" w:space="0" w:color="auto"/>
            </w:tcBorders>
            <w:shd w:val="clear" w:color="000000" w:fill="F2F2F2"/>
            <w:vAlign w:val="center"/>
            <w:hideMark/>
          </w:tcPr>
          <w:p w14:paraId="5DD4627E" w14:textId="77777777" w:rsidR="00E3750C" w:rsidRPr="008D458E" w:rsidRDefault="00E3750C" w:rsidP="00047864">
            <w:pPr>
              <w:spacing w:after="0" w:line="240" w:lineRule="auto"/>
              <w:jc w:val="center"/>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CPV opis</w:t>
            </w:r>
          </w:p>
        </w:tc>
        <w:tc>
          <w:tcPr>
            <w:tcW w:w="405" w:type="pct"/>
            <w:tcBorders>
              <w:top w:val="single" w:sz="4" w:space="0" w:color="auto"/>
              <w:left w:val="nil"/>
              <w:bottom w:val="single" w:sz="4" w:space="0" w:color="auto"/>
              <w:right w:val="single" w:sz="4" w:space="0" w:color="auto"/>
            </w:tcBorders>
            <w:shd w:val="clear" w:color="000000" w:fill="F2F2F2"/>
            <w:vAlign w:val="center"/>
            <w:hideMark/>
          </w:tcPr>
          <w:p w14:paraId="37D35AA2" w14:textId="77777777" w:rsidR="00E3750C" w:rsidRPr="008D458E" w:rsidRDefault="00E3750C" w:rsidP="00047864">
            <w:pPr>
              <w:spacing w:after="0" w:line="240" w:lineRule="auto"/>
              <w:jc w:val="center"/>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Št. zelenih naročil</w:t>
            </w:r>
          </w:p>
        </w:tc>
        <w:tc>
          <w:tcPr>
            <w:tcW w:w="478" w:type="pct"/>
            <w:tcBorders>
              <w:top w:val="single" w:sz="4" w:space="0" w:color="auto"/>
              <w:left w:val="nil"/>
              <w:bottom w:val="single" w:sz="4" w:space="0" w:color="auto"/>
              <w:right w:val="single" w:sz="4" w:space="0" w:color="auto"/>
            </w:tcBorders>
            <w:shd w:val="clear" w:color="000000" w:fill="F2F2F2"/>
            <w:vAlign w:val="center"/>
            <w:hideMark/>
          </w:tcPr>
          <w:p w14:paraId="4248D10B" w14:textId="77777777" w:rsidR="00E3750C" w:rsidRPr="008D458E" w:rsidRDefault="00E3750C" w:rsidP="00047864">
            <w:pPr>
              <w:spacing w:after="0" w:line="240" w:lineRule="auto"/>
              <w:jc w:val="center"/>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Pogodbena vrednost</w:t>
            </w:r>
          </w:p>
        </w:tc>
        <w:tc>
          <w:tcPr>
            <w:tcW w:w="244" w:type="pct"/>
            <w:tcBorders>
              <w:top w:val="single" w:sz="4" w:space="0" w:color="auto"/>
              <w:left w:val="nil"/>
              <w:bottom w:val="single" w:sz="4" w:space="0" w:color="auto"/>
              <w:right w:val="single" w:sz="4" w:space="0" w:color="auto"/>
            </w:tcBorders>
            <w:shd w:val="clear" w:color="000000" w:fill="F2F2F2"/>
            <w:vAlign w:val="center"/>
            <w:hideMark/>
          </w:tcPr>
          <w:p w14:paraId="7E8864D0" w14:textId="77777777" w:rsidR="00E3750C" w:rsidRPr="008D458E" w:rsidRDefault="00E3750C" w:rsidP="00047864">
            <w:pPr>
              <w:spacing w:after="0" w:line="240" w:lineRule="auto"/>
              <w:jc w:val="center"/>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Delež v št. zelenih naročil</w:t>
            </w:r>
          </w:p>
        </w:tc>
        <w:tc>
          <w:tcPr>
            <w:tcW w:w="236" w:type="pct"/>
            <w:tcBorders>
              <w:top w:val="single" w:sz="4" w:space="0" w:color="auto"/>
              <w:left w:val="nil"/>
              <w:bottom w:val="single" w:sz="4" w:space="0" w:color="auto"/>
              <w:right w:val="single" w:sz="4" w:space="0" w:color="auto"/>
            </w:tcBorders>
            <w:shd w:val="clear" w:color="000000" w:fill="F2F2F2"/>
            <w:vAlign w:val="center"/>
            <w:hideMark/>
          </w:tcPr>
          <w:p w14:paraId="51908D40" w14:textId="77777777" w:rsidR="00E3750C" w:rsidRPr="008D458E" w:rsidRDefault="00E3750C" w:rsidP="00047864">
            <w:pPr>
              <w:spacing w:after="0" w:line="240" w:lineRule="auto"/>
              <w:jc w:val="center"/>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 xml:space="preserve">Delež v vrednosti zelenih naročil </w:t>
            </w:r>
          </w:p>
        </w:tc>
        <w:tc>
          <w:tcPr>
            <w:tcW w:w="244" w:type="pct"/>
            <w:tcBorders>
              <w:top w:val="single" w:sz="4" w:space="0" w:color="auto"/>
              <w:left w:val="nil"/>
              <w:bottom w:val="single" w:sz="4" w:space="0" w:color="auto"/>
              <w:right w:val="single" w:sz="4" w:space="0" w:color="auto"/>
            </w:tcBorders>
            <w:shd w:val="clear" w:color="000000" w:fill="F2F2F2"/>
            <w:vAlign w:val="center"/>
            <w:hideMark/>
          </w:tcPr>
          <w:p w14:paraId="3187BCAC" w14:textId="77777777" w:rsidR="00E3750C" w:rsidRPr="008D458E" w:rsidRDefault="00E3750C" w:rsidP="00047864">
            <w:pPr>
              <w:spacing w:after="0" w:line="240" w:lineRule="auto"/>
              <w:jc w:val="center"/>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Delež v št. vseh naročil</w:t>
            </w:r>
          </w:p>
        </w:tc>
        <w:tc>
          <w:tcPr>
            <w:tcW w:w="226" w:type="pct"/>
            <w:tcBorders>
              <w:top w:val="single" w:sz="4" w:space="0" w:color="auto"/>
              <w:left w:val="nil"/>
              <w:bottom w:val="single" w:sz="4" w:space="0" w:color="auto"/>
              <w:right w:val="single" w:sz="4" w:space="0" w:color="auto"/>
            </w:tcBorders>
            <w:shd w:val="clear" w:color="000000" w:fill="F2F2F2"/>
            <w:vAlign w:val="center"/>
            <w:hideMark/>
          </w:tcPr>
          <w:p w14:paraId="3F5DE5F4" w14:textId="77777777" w:rsidR="00E3750C" w:rsidRPr="008D458E" w:rsidRDefault="00E3750C" w:rsidP="00047864">
            <w:pPr>
              <w:spacing w:after="0" w:line="240" w:lineRule="auto"/>
              <w:jc w:val="center"/>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Delež v vrednosti vseh naročil</w:t>
            </w:r>
          </w:p>
        </w:tc>
      </w:tr>
      <w:tr w:rsidR="00E3750C" w:rsidRPr="008D458E" w14:paraId="2A584BBA" w14:textId="77777777" w:rsidTr="00047864">
        <w:trPr>
          <w:trHeight w:val="300"/>
        </w:trPr>
        <w:tc>
          <w:tcPr>
            <w:tcW w:w="239" w:type="pct"/>
            <w:tcBorders>
              <w:top w:val="nil"/>
              <w:left w:val="single" w:sz="4" w:space="0" w:color="auto"/>
              <w:bottom w:val="single" w:sz="4" w:space="0" w:color="auto"/>
              <w:right w:val="single" w:sz="4" w:space="0" w:color="auto"/>
            </w:tcBorders>
            <w:shd w:val="clear" w:color="auto" w:fill="auto"/>
            <w:vAlign w:val="center"/>
            <w:hideMark/>
          </w:tcPr>
          <w:p w14:paraId="41983856"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03</w:t>
            </w:r>
          </w:p>
        </w:tc>
        <w:tc>
          <w:tcPr>
            <w:tcW w:w="2926" w:type="pct"/>
            <w:tcBorders>
              <w:top w:val="nil"/>
              <w:left w:val="nil"/>
              <w:bottom w:val="single" w:sz="4" w:space="0" w:color="auto"/>
              <w:right w:val="single" w:sz="4" w:space="0" w:color="auto"/>
            </w:tcBorders>
            <w:shd w:val="clear" w:color="auto" w:fill="auto"/>
            <w:vAlign w:val="center"/>
            <w:hideMark/>
          </w:tcPr>
          <w:p w14:paraId="07B60FFD"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Kmetijski, ribiški, gozdarski in z njimi povezani proizvodi</w:t>
            </w:r>
          </w:p>
        </w:tc>
        <w:tc>
          <w:tcPr>
            <w:tcW w:w="405" w:type="pct"/>
            <w:tcBorders>
              <w:top w:val="nil"/>
              <w:left w:val="nil"/>
              <w:bottom w:val="single" w:sz="4" w:space="0" w:color="auto"/>
              <w:right w:val="single" w:sz="4" w:space="0" w:color="auto"/>
            </w:tcBorders>
            <w:shd w:val="clear" w:color="auto" w:fill="auto"/>
            <w:vAlign w:val="center"/>
            <w:hideMark/>
          </w:tcPr>
          <w:p w14:paraId="6E902118"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7</w:t>
            </w:r>
          </w:p>
        </w:tc>
        <w:tc>
          <w:tcPr>
            <w:tcW w:w="478" w:type="pct"/>
            <w:tcBorders>
              <w:top w:val="nil"/>
              <w:left w:val="nil"/>
              <w:bottom w:val="single" w:sz="4" w:space="0" w:color="auto"/>
              <w:right w:val="single" w:sz="4" w:space="0" w:color="auto"/>
            </w:tcBorders>
            <w:shd w:val="clear" w:color="auto" w:fill="auto"/>
            <w:vAlign w:val="center"/>
            <w:hideMark/>
          </w:tcPr>
          <w:p w14:paraId="2A527ACC"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922.561</w:t>
            </w:r>
          </w:p>
        </w:tc>
        <w:tc>
          <w:tcPr>
            <w:tcW w:w="244" w:type="pct"/>
            <w:tcBorders>
              <w:top w:val="nil"/>
              <w:left w:val="nil"/>
              <w:bottom w:val="single" w:sz="4" w:space="0" w:color="auto"/>
              <w:right w:val="single" w:sz="4" w:space="0" w:color="auto"/>
            </w:tcBorders>
            <w:shd w:val="clear" w:color="auto" w:fill="auto"/>
            <w:noWrap/>
            <w:vAlign w:val="center"/>
            <w:hideMark/>
          </w:tcPr>
          <w:p w14:paraId="393DBF4C"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0,14</w:t>
            </w:r>
            <w:r>
              <w:rPr>
                <w:rFonts w:ascii="Arial" w:eastAsia="Times New Roman" w:hAnsi="Arial" w:cs="Arial"/>
                <w:color w:val="000000"/>
                <w:sz w:val="18"/>
                <w:szCs w:val="18"/>
                <w:lang w:eastAsia="sl-SI"/>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10E0A2A0"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0,06</w:t>
            </w:r>
            <w:r>
              <w:rPr>
                <w:rFonts w:ascii="Arial" w:eastAsia="Times New Roman" w:hAnsi="Arial" w:cs="Arial"/>
                <w:color w:val="000000"/>
                <w:sz w:val="18"/>
                <w:szCs w:val="18"/>
                <w:lang w:eastAsia="sl-SI"/>
              </w:rPr>
              <w:t xml:space="preserve"> %</w:t>
            </w:r>
          </w:p>
        </w:tc>
        <w:tc>
          <w:tcPr>
            <w:tcW w:w="244" w:type="pct"/>
            <w:tcBorders>
              <w:top w:val="nil"/>
              <w:left w:val="nil"/>
              <w:bottom w:val="single" w:sz="4" w:space="0" w:color="auto"/>
              <w:right w:val="single" w:sz="4" w:space="0" w:color="auto"/>
            </w:tcBorders>
            <w:shd w:val="clear" w:color="auto" w:fill="auto"/>
            <w:noWrap/>
            <w:vAlign w:val="center"/>
            <w:hideMark/>
          </w:tcPr>
          <w:p w14:paraId="14CB89B4"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0,04</w:t>
            </w:r>
            <w:r>
              <w:rPr>
                <w:rFonts w:ascii="Arial" w:eastAsia="Times New Roman" w:hAnsi="Arial" w:cs="Arial"/>
                <w:color w:val="000000"/>
                <w:sz w:val="18"/>
                <w:szCs w:val="18"/>
                <w:lang w:eastAsia="sl-SI"/>
              </w:rPr>
              <w:t xml:space="preserve"> %</w:t>
            </w:r>
          </w:p>
        </w:tc>
        <w:tc>
          <w:tcPr>
            <w:tcW w:w="226" w:type="pct"/>
            <w:tcBorders>
              <w:top w:val="nil"/>
              <w:left w:val="nil"/>
              <w:bottom w:val="single" w:sz="4" w:space="0" w:color="auto"/>
              <w:right w:val="single" w:sz="4" w:space="0" w:color="auto"/>
            </w:tcBorders>
            <w:shd w:val="clear" w:color="auto" w:fill="auto"/>
            <w:noWrap/>
            <w:vAlign w:val="center"/>
            <w:hideMark/>
          </w:tcPr>
          <w:p w14:paraId="5F6E6CFF"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r>
      <w:tr w:rsidR="00E3750C" w:rsidRPr="008D458E" w14:paraId="30CC1F91" w14:textId="77777777" w:rsidTr="00047864">
        <w:trPr>
          <w:trHeight w:val="300"/>
        </w:trPr>
        <w:tc>
          <w:tcPr>
            <w:tcW w:w="239" w:type="pct"/>
            <w:tcBorders>
              <w:top w:val="nil"/>
              <w:left w:val="single" w:sz="4" w:space="0" w:color="auto"/>
              <w:bottom w:val="single" w:sz="4" w:space="0" w:color="auto"/>
              <w:right w:val="single" w:sz="4" w:space="0" w:color="auto"/>
            </w:tcBorders>
            <w:shd w:val="clear" w:color="auto" w:fill="auto"/>
            <w:vAlign w:val="center"/>
            <w:hideMark/>
          </w:tcPr>
          <w:p w14:paraId="185DF74A"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09</w:t>
            </w:r>
          </w:p>
        </w:tc>
        <w:tc>
          <w:tcPr>
            <w:tcW w:w="2926" w:type="pct"/>
            <w:tcBorders>
              <w:top w:val="nil"/>
              <w:left w:val="nil"/>
              <w:bottom w:val="single" w:sz="4" w:space="0" w:color="auto"/>
              <w:right w:val="single" w:sz="4" w:space="0" w:color="auto"/>
            </w:tcBorders>
            <w:shd w:val="clear" w:color="auto" w:fill="auto"/>
            <w:vAlign w:val="center"/>
            <w:hideMark/>
          </w:tcPr>
          <w:p w14:paraId="67E487C1"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Naftni derivati, goriva, električna energija in drugi viri energije</w:t>
            </w:r>
          </w:p>
        </w:tc>
        <w:tc>
          <w:tcPr>
            <w:tcW w:w="405" w:type="pct"/>
            <w:tcBorders>
              <w:top w:val="nil"/>
              <w:left w:val="nil"/>
              <w:bottom w:val="single" w:sz="4" w:space="0" w:color="auto"/>
              <w:right w:val="single" w:sz="4" w:space="0" w:color="auto"/>
            </w:tcBorders>
            <w:shd w:val="clear" w:color="auto" w:fill="auto"/>
            <w:vAlign w:val="center"/>
            <w:hideMark/>
          </w:tcPr>
          <w:p w14:paraId="4538E7F5"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81</w:t>
            </w:r>
          </w:p>
        </w:tc>
        <w:tc>
          <w:tcPr>
            <w:tcW w:w="478" w:type="pct"/>
            <w:tcBorders>
              <w:top w:val="nil"/>
              <w:left w:val="nil"/>
              <w:bottom w:val="single" w:sz="4" w:space="0" w:color="auto"/>
              <w:right w:val="single" w:sz="4" w:space="0" w:color="auto"/>
            </w:tcBorders>
            <w:shd w:val="clear" w:color="auto" w:fill="auto"/>
            <w:vAlign w:val="center"/>
            <w:hideMark/>
          </w:tcPr>
          <w:p w14:paraId="33276A9C"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92.981.661</w:t>
            </w:r>
          </w:p>
        </w:tc>
        <w:tc>
          <w:tcPr>
            <w:tcW w:w="244" w:type="pct"/>
            <w:tcBorders>
              <w:top w:val="nil"/>
              <w:left w:val="nil"/>
              <w:bottom w:val="single" w:sz="4" w:space="0" w:color="auto"/>
              <w:right w:val="single" w:sz="4" w:space="0" w:color="auto"/>
            </w:tcBorders>
            <w:shd w:val="clear" w:color="auto" w:fill="auto"/>
            <w:noWrap/>
            <w:vAlign w:val="center"/>
            <w:hideMark/>
          </w:tcPr>
          <w:p w14:paraId="0A31BCE4"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1,57</w:t>
            </w:r>
            <w:r>
              <w:rPr>
                <w:rFonts w:ascii="Arial" w:eastAsia="Times New Roman" w:hAnsi="Arial" w:cs="Arial"/>
                <w:color w:val="000000"/>
                <w:sz w:val="18"/>
                <w:szCs w:val="18"/>
                <w:lang w:eastAsia="sl-SI"/>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31281E9E"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6,54</w:t>
            </w:r>
            <w:r>
              <w:rPr>
                <w:rFonts w:ascii="Arial" w:eastAsia="Times New Roman" w:hAnsi="Arial" w:cs="Arial"/>
                <w:color w:val="000000"/>
                <w:sz w:val="18"/>
                <w:szCs w:val="18"/>
                <w:lang w:eastAsia="sl-SI"/>
              </w:rPr>
              <w:t xml:space="preserve"> %</w:t>
            </w:r>
          </w:p>
        </w:tc>
        <w:tc>
          <w:tcPr>
            <w:tcW w:w="244" w:type="pct"/>
            <w:tcBorders>
              <w:top w:val="nil"/>
              <w:left w:val="nil"/>
              <w:bottom w:val="single" w:sz="4" w:space="0" w:color="auto"/>
              <w:right w:val="single" w:sz="4" w:space="0" w:color="auto"/>
            </w:tcBorders>
            <w:shd w:val="clear" w:color="auto" w:fill="auto"/>
            <w:noWrap/>
            <w:vAlign w:val="center"/>
            <w:hideMark/>
          </w:tcPr>
          <w:p w14:paraId="6B2B582E"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0,47</w:t>
            </w:r>
            <w:r>
              <w:rPr>
                <w:rFonts w:ascii="Arial" w:eastAsia="Times New Roman" w:hAnsi="Arial" w:cs="Arial"/>
                <w:color w:val="000000"/>
                <w:sz w:val="18"/>
                <w:szCs w:val="18"/>
                <w:lang w:eastAsia="sl-SI"/>
              </w:rPr>
              <w:t xml:space="preserve"> %</w:t>
            </w:r>
          </w:p>
        </w:tc>
        <w:tc>
          <w:tcPr>
            <w:tcW w:w="226" w:type="pct"/>
            <w:tcBorders>
              <w:top w:val="nil"/>
              <w:left w:val="nil"/>
              <w:bottom w:val="single" w:sz="4" w:space="0" w:color="auto"/>
              <w:right w:val="single" w:sz="4" w:space="0" w:color="auto"/>
            </w:tcBorders>
            <w:shd w:val="clear" w:color="auto" w:fill="auto"/>
            <w:noWrap/>
            <w:vAlign w:val="center"/>
            <w:hideMark/>
          </w:tcPr>
          <w:p w14:paraId="78E2D32B"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1,72</w:t>
            </w:r>
            <w:r>
              <w:rPr>
                <w:rFonts w:ascii="Arial" w:eastAsia="Times New Roman" w:hAnsi="Arial" w:cs="Arial"/>
                <w:color w:val="000000"/>
                <w:sz w:val="18"/>
                <w:szCs w:val="18"/>
                <w:lang w:eastAsia="sl-SI"/>
              </w:rPr>
              <w:t xml:space="preserve"> %</w:t>
            </w:r>
          </w:p>
        </w:tc>
      </w:tr>
      <w:tr w:rsidR="00E3750C" w:rsidRPr="008D458E" w14:paraId="0E77844B" w14:textId="77777777" w:rsidTr="00047864">
        <w:trPr>
          <w:trHeight w:val="300"/>
        </w:trPr>
        <w:tc>
          <w:tcPr>
            <w:tcW w:w="239" w:type="pct"/>
            <w:tcBorders>
              <w:top w:val="nil"/>
              <w:left w:val="single" w:sz="4" w:space="0" w:color="auto"/>
              <w:bottom w:val="single" w:sz="4" w:space="0" w:color="auto"/>
              <w:right w:val="single" w:sz="4" w:space="0" w:color="auto"/>
            </w:tcBorders>
            <w:shd w:val="clear" w:color="auto" w:fill="auto"/>
            <w:vAlign w:val="center"/>
            <w:hideMark/>
          </w:tcPr>
          <w:p w14:paraId="21E3DCC3"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14</w:t>
            </w:r>
          </w:p>
        </w:tc>
        <w:tc>
          <w:tcPr>
            <w:tcW w:w="2926" w:type="pct"/>
            <w:tcBorders>
              <w:top w:val="nil"/>
              <w:left w:val="nil"/>
              <w:bottom w:val="single" w:sz="4" w:space="0" w:color="auto"/>
              <w:right w:val="single" w:sz="4" w:space="0" w:color="auto"/>
            </w:tcBorders>
            <w:shd w:val="clear" w:color="auto" w:fill="auto"/>
            <w:vAlign w:val="center"/>
            <w:hideMark/>
          </w:tcPr>
          <w:p w14:paraId="3D98EB93"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Rudarstvo, navadne kovine in z njimi povezani proizvodi</w:t>
            </w:r>
          </w:p>
        </w:tc>
        <w:tc>
          <w:tcPr>
            <w:tcW w:w="405" w:type="pct"/>
            <w:tcBorders>
              <w:top w:val="nil"/>
              <w:left w:val="nil"/>
              <w:bottom w:val="single" w:sz="4" w:space="0" w:color="auto"/>
              <w:right w:val="single" w:sz="4" w:space="0" w:color="auto"/>
            </w:tcBorders>
            <w:shd w:val="clear" w:color="auto" w:fill="auto"/>
            <w:vAlign w:val="center"/>
            <w:hideMark/>
          </w:tcPr>
          <w:p w14:paraId="2E922BDD"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1</w:t>
            </w:r>
          </w:p>
        </w:tc>
        <w:tc>
          <w:tcPr>
            <w:tcW w:w="478" w:type="pct"/>
            <w:tcBorders>
              <w:top w:val="nil"/>
              <w:left w:val="nil"/>
              <w:bottom w:val="single" w:sz="4" w:space="0" w:color="auto"/>
              <w:right w:val="single" w:sz="4" w:space="0" w:color="auto"/>
            </w:tcBorders>
            <w:shd w:val="clear" w:color="auto" w:fill="auto"/>
            <w:vAlign w:val="center"/>
            <w:hideMark/>
          </w:tcPr>
          <w:p w14:paraId="38A97F5F"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44.600</w:t>
            </w:r>
          </w:p>
        </w:tc>
        <w:tc>
          <w:tcPr>
            <w:tcW w:w="244" w:type="pct"/>
            <w:tcBorders>
              <w:top w:val="nil"/>
              <w:left w:val="nil"/>
              <w:bottom w:val="single" w:sz="4" w:space="0" w:color="auto"/>
              <w:right w:val="single" w:sz="4" w:space="0" w:color="auto"/>
            </w:tcBorders>
            <w:shd w:val="clear" w:color="auto" w:fill="auto"/>
            <w:noWrap/>
            <w:vAlign w:val="center"/>
            <w:hideMark/>
          </w:tcPr>
          <w:p w14:paraId="5988414B"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5B3DB5A8"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0,00</w:t>
            </w:r>
            <w:r>
              <w:rPr>
                <w:rFonts w:ascii="Arial" w:eastAsia="Times New Roman" w:hAnsi="Arial" w:cs="Arial"/>
                <w:color w:val="000000"/>
                <w:sz w:val="18"/>
                <w:szCs w:val="18"/>
                <w:lang w:eastAsia="sl-SI"/>
              </w:rPr>
              <w:t xml:space="preserve"> %</w:t>
            </w:r>
          </w:p>
        </w:tc>
        <w:tc>
          <w:tcPr>
            <w:tcW w:w="244" w:type="pct"/>
            <w:tcBorders>
              <w:top w:val="nil"/>
              <w:left w:val="nil"/>
              <w:bottom w:val="single" w:sz="4" w:space="0" w:color="auto"/>
              <w:right w:val="single" w:sz="4" w:space="0" w:color="auto"/>
            </w:tcBorders>
            <w:shd w:val="clear" w:color="auto" w:fill="auto"/>
            <w:noWrap/>
            <w:vAlign w:val="center"/>
            <w:hideMark/>
          </w:tcPr>
          <w:p w14:paraId="696EDEF2"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226" w:type="pct"/>
            <w:tcBorders>
              <w:top w:val="nil"/>
              <w:left w:val="nil"/>
              <w:bottom w:val="single" w:sz="4" w:space="0" w:color="auto"/>
              <w:right w:val="single" w:sz="4" w:space="0" w:color="auto"/>
            </w:tcBorders>
            <w:shd w:val="clear" w:color="auto" w:fill="auto"/>
            <w:noWrap/>
            <w:vAlign w:val="center"/>
            <w:hideMark/>
          </w:tcPr>
          <w:p w14:paraId="5D6BDFDA"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0,00</w:t>
            </w:r>
            <w:r>
              <w:rPr>
                <w:rFonts w:ascii="Arial" w:eastAsia="Times New Roman" w:hAnsi="Arial" w:cs="Arial"/>
                <w:color w:val="000000"/>
                <w:sz w:val="18"/>
                <w:szCs w:val="18"/>
                <w:lang w:eastAsia="sl-SI"/>
              </w:rPr>
              <w:t xml:space="preserve"> %</w:t>
            </w:r>
          </w:p>
        </w:tc>
      </w:tr>
      <w:tr w:rsidR="00E3750C" w:rsidRPr="008D458E" w14:paraId="1676404E" w14:textId="77777777" w:rsidTr="00047864">
        <w:trPr>
          <w:trHeight w:val="300"/>
        </w:trPr>
        <w:tc>
          <w:tcPr>
            <w:tcW w:w="239" w:type="pct"/>
            <w:tcBorders>
              <w:top w:val="nil"/>
              <w:left w:val="single" w:sz="4" w:space="0" w:color="auto"/>
              <w:bottom w:val="single" w:sz="4" w:space="0" w:color="auto"/>
              <w:right w:val="single" w:sz="4" w:space="0" w:color="auto"/>
            </w:tcBorders>
            <w:shd w:val="clear" w:color="auto" w:fill="auto"/>
            <w:vAlign w:val="center"/>
            <w:hideMark/>
          </w:tcPr>
          <w:p w14:paraId="1A1AD969"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15</w:t>
            </w:r>
          </w:p>
        </w:tc>
        <w:tc>
          <w:tcPr>
            <w:tcW w:w="2926" w:type="pct"/>
            <w:tcBorders>
              <w:top w:val="nil"/>
              <w:left w:val="nil"/>
              <w:bottom w:val="single" w:sz="4" w:space="0" w:color="auto"/>
              <w:right w:val="single" w:sz="4" w:space="0" w:color="auto"/>
            </w:tcBorders>
            <w:shd w:val="clear" w:color="auto" w:fill="auto"/>
            <w:vAlign w:val="center"/>
            <w:hideMark/>
          </w:tcPr>
          <w:p w14:paraId="13135269"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Živila, pijače, tobačni izdelki in z njimi povezani izdelki</w:t>
            </w:r>
          </w:p>
        </w:tc>
        <w:tc>
          <w:tcPr>
            <w:tcW w:w="405" w:type="pct"/>
            <w:tcBorders>
              <w:top w:val="nil"/>
              <w:left w:val="nil"/>
              <w:bottom w:val="single" w:sz="4" w:space="0" w:color="auto"/>
              <w:right w:val="single" w:sz="4" w:space="0" w:color="auto"/>
            </w:tcBorders>
            <w:shd w:val="clear" w:color="auto" w:fill="auto"/>
            <w:vAlign w:val="center"/>
            <w:hideMark/>
          </w:tcPr>
          <w:p w14:paraId="674D41A3"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3.124</w:t>
            </w:r>
          </w:p>
        </w:tc>
        <w:tc>
          <w:tcPr>
            <w:tcW w:w="478" w:type="pct"/>
            <w:tcBorders>
              <w:top w:val="nil"/>
              <w:left w:val="nil"/>
              <w:bottom w:val="single" w:sz="4" w:space="0" w:color="auto"/>
              <w:right w:val="single" w:sz="4" w:space="0" w:color="auto"/>
            </w:tcBorders>
            <w:shd w:val="clear" w:color="auto" w:fill="auto"/>
            <w:vAlign w:val="center"/>
            <w:hideMark/>
          </w:tcPr>
          <w:p w14:paraId="19DBEC99"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82.953.941</w:t>
            </w:r>
          </w:p>
        </w:tc>
        <w:tc>
          <w:tcPr>
            <w:tcW w:w="244" w:type="pct"/>
            <w:tcBorders>
              <w:top w:val="nil"/>
              <w:left w:val="nil"/>
              <w:bottom w:val="single" w:sz="4" w:space="0" w:color="auto"/>
              <w:right w:val="single" w:sz="4" w:space="0" w:color="auto"/>
            </w:tcBorders>
            <w:shd w:val="clear" w:color="auto" w:fill="auto"/>
            <w:noWrap/>
            <w:vAlign w:val="center"/>
            <w:hideMark/>
          </w:tcPr>
          <w:p w14:paraId="25107004"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60,52</w:t>
            </w:r>
            <w:r>
              <w:rPr>
                <w:rFonts w:ascii="Arial" w:eastAsia="Times New Roman" w:hAnsi="Arial" w:cs="Arial"/>
                <w:color w:val="000000"/>
                <w:sz w:val="18"/>
                <w:szCs w:val="18"/>
                <w:lang w:eastAsia="sl-SI"/>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02A61968"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5,83</w:t>
            </w:r>
            <w:r>
              <w:rPr>
                <w:rFonts w:ascii="Arial" w:eastAsia="Times New Roman" w:hAnsi="Arial" w:cs="Arial"/>
                <w:color w:val="000000"/>
                <w:sz w:val="18"/>
                <w:szCs w:val="18"/>
                <w:lang w:eastAsia="sl-SI"/>
              </w:rPr>
              <w:t xml:space="preserve"> %</w:t>
            </w:r>
          </w:p>
        </w:tc>
        <w:tc>
          <w:tcPr>
            <w:tcW w:w="244" w:type="pct"/>
            <w:tcBorders>
              <w:top w:val="nil"/>
              <w:left w:val="nil"/>
              <w:bottom w:val="single" w:sz="4" w:space="0" w:color="auto"/>
              <w:right w:val="single" w:sz="4" w:space="0" w:color="auto"/>
            </w:tcBorders>
            <w:shd w:val="clear" w:color="auto" w:fill="auto"/>
            <w:noWrap/>
            <w:vAlign w:val="center"/>
            <w:hideMark/>
          </w:tcPr>
          <w:p w14:paraId="392956FD"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18,14</w:t>
            </w:r>
            <w:r>
              <w:rPr>
                <w:rFonts w:ascii="Arial" w:eastAsia="Times New Roman" w:hAnsi="Arial" w:cs="Arial"/>
                <w:color w:val="000000"/>
                <w:sz w:val="18"/>
                <w:szCs w:val="18"/>
                <w:lang w:eastAsia="sl-SI"/>
              </w:rPr>
              <w:t xml:space="preserve"> %</w:t>
            </w:r>
          </w:p>
        </w:tc>
        <w:tc>
          <w:tcPr>
            <w:tcW w:w="226" w:type="pct"/>
            <w:tcBorders>
              <w:top w:val="nil"/>
              <w:left w:val="nil"/>
              <w:bottom w:val="single" w:sz="4" w:space="0" w:color="auto"/>
              <w:right w:val="single" w:sz="4" w:space="0" w:color="auto"/>
            </w:tcBorders>
            <w:shd w:val="clear" w:color="auto" w:fill="auto"/>
            <w:noWrap/>
            <w:vAlign w:val="center"/>
            <w:hideMark/>
          </w:tcPr>
          <w:p w14:paraId="01FB0833"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1,53</w:t>
            </w:r>
            <w:r>
              <w:rPr>
                <w:rFonts w:ascii="Arial" w:eastAsia="Times New Roman" w:hAnsi="Arial" w:cs="Arial"/>
                <w:color w:val="000000"/>
                <w:sz w:val="18"/>
                <w:szCs w:val="18"/>
                <w:lang w:eastAsia="sl-SI"/>
              </w:rPr>
              <w:t xml:space="preserve"> %</w:t>
            </w:r>
          </w:p>
        </w:tc>
      </w:tr>
      <w:tr w:rsidR="00E3750C" w:rsidRPr="008D458E" w14:paraId="6C2F0EA9" w14:textId="77777777" w:rsidTr="00047864">
        <w:trPr>
          <w:trHeight w:val="300"/>
        </w:trPr>
        <w:tc>
          <w:tcPr>
            <w:tcW w:w="239" w:type="pct"/>
            <w:tcBorders>
              <w:top w:val="nil"/>
              <w:left w:val="single" w:sz="4" w:space="0" w:color="auto"/>
              <w:bottom w:val="single" w:sz="4" w:space="0" w:color="auto"/>
              <w:right w:val="single" w:sz="4" w:space="0" w:color="auto"/>
            </w:tcBorders>
            <w:shd w:val="clear" w:color="auto" w:fill="auto"/>
            <w:vAlign w:val="center"/>
            <w:hideMark/>
          </w:tcPr>
          <w:p w14:paraId="518DB785"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18</w:t>
            </w:r>
          </w:p>
        </w:tc>
        <w:tc>
          <w:tcPr>
            <w:tcW w:w="2926" w:type="pct"/>
            <w:tcBorders>
              <w:top w:val="nil"/>
              <w:left w:val="nil"/>
              <w:bottom w:val="single" w:sz="4" w:space="0" w:color="auto"/>
              <w:right w:val="single" w:sz="4" w:space="0" w:color="auto"/>
            </w:tcBorders>
            <w:shd w:val="clear" w:color="auto" w:fill="auto"/>
            <w:vAlign w:val="center"/>
            <w:hideMark/>
          </w:tcPr>
          <w:p w14:paraId="44C6493A"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Oblačila, obutev, prtljaga in pribor</w:t>
            </w:r>
          </w:p>
        </w:tc>
        <w:tc>
          <w:tcPr>
            <w:tcW w:w="405" w:type="pct"/>
            <w:tcBorders>
              <w:top w:val="nil"/>
              <w:left w:val="nil"/>
              <w:bottom w:val="single" w:sz="4" w:space="0" w:color="auto"/>
              <w:right w:val="single" w:sz="4" w:space="0" w:color="auto"/>
            </w:tcBorders>
            <w:shd w:val="clear" w:color="auto" w:fill="auto"/>
            <w:vAlign w:val="center"/>
            <w:hideMark/>
          </w:tcPr>
          <w:p w14:paraId="05F3FCBB"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20</w:t>
            </w:r>
          </w:p>
        </w:tc>
        <w:tc>
          <w:tcPr>
            <w:tcW w:w="478" w:type="pct"/>
            <w:tcBorders>
              <w:top w:val="nil"/>
              <w:left w:val="nil"/>
              <w:bottom w:val="single" w:sz="4" w:space="0" w:color="auto"/>
              <w:right w:val="single" w:sz="4" w:space="0" w:color="auto"/>
            </w:tcBorders>
            <w:shd w:val="clear" w:color="auto" w:fill="auto"/>
            <w:vAlign w:val="center"/>
            <w:hideMark/>
          </w:tcPr>
          <w:p w14:paraId="7C33506C"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2.919.438</w:t>
            </w:r>
          </w:p>
        </w:tc>
        <w:tc>
          <w:tcPr>
            <w:tcW w:w="244" w:type="pct"/>
            <w:tcBorders>
              <w:top w:val="nil"/>
              <w:left w:val="nil"/>
              <w:bottom w:val="single" w:sz="4" w:space="0" w:color="auto"/>
              <w:right w:val="single" w:sz="4" w:space="0" w:color="auto"/>
            </w:tcBorders>
            <w:shd w:val="clear" w:color="auto" w:fill="auto"/>
            <w:noWrap/>
            <w:vAlign w:val="center"/>
            <w:hideMark/>
          </w:tcPr>
          <w:p w14:paraId="57A12BCE"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0,39</w:t>
            </w:r>
            <w:r>
              <w:rPr>
                <w:rFonts w:ascii="Arial" w:eastAsia="Times New Roman" w:hAnsi="Arial" w:cs="Arial"/>
                <w:color w:val="000000"/>
                <w:sz w:val="18"/>
                <w:szCs w:val="18"/>
                <w:lang w:eastAsia="sl-SI"/>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5D1A5F51"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0,21</w:t>
            </w:r>
            <w:r>
              <w:rPr>
                <w:rFonts w:ascii="Arial" w:eastAsia="Times New Roman" w:hAnsi="Arial" w:cs="Arial"/>
                <w:color w:val="000000"/>
                <w:sz w:val="18"/>
                <w:szCs w:val="18"/>
                <w:lang w:eastAsia="sl-SI"/>
              </w:rPr>
              <w:t xml:space="preserve"> %</w:t>
            </w:r>
          </w:p>
        </w:tc>
        <w:tc>
          <w:tcPr>
            <w:tcW w:w="244" w:type="pct"/>
            <w:tcBorders>
              <w:top w:val="nil"/>
              <w:left w:val="nil"/>
              <w:bottom w:val="single" w:sz="4" w:space="0" w:color="auto"/>
              <w:right w:val="single" w:sz="4" w:space="0" w:color="auto"/>
            </w:tcBorders>
            <w:shd w:val="clear" w:color="auto" w:fill="auto"/>
            <w:noWrap/>
            <w:vAlign w:val="center"/>
            <w:hideMark/>
          </w:tcPr>
          <w:p w14:paraId="57C78C54"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0,12</w:t>
            </w:r>
            <w:r>
              <w:rPr>
                <w:rFonts w:ascii="Arial" w:eastAsia="Times New Roman" w:hAnsi="Arial" w:cs="Arial"/>
                <w:color w:val="000000"/>
                <w:sz w:val="18"/>
                <w:szCs w:val="18"/>
                <w:lang w:eastAsia="sl-SI"/>
              </w:rPr>
              <w:t xml:space="preserve"> %</w:t>
            </w:r>
          </w:p>
        </w:tc>
        <w:tc>
          <w:tcPr>
            <w:tcW w:w="226" w:type="pct"/>
            <w:tcBorders>
              <w:top w:val="nil"/>
              <w:left w:val="nil"/>
              <w:bottom w:val="single" w:sz="4" w:space="0" w:color="auto"/>
              <w:right w:val="single" w:sz="4" w:space="0" w:color="auto"/>
            </w:tcBorders>
            <w:shd w:val="clear" w:color="auto" w:fill="auto"/>
            <w:noWrap/>
            <w:vAlign w:val="center"/>
            <w:hideMark/>
          </w:tcPr>
          <w:p w14:paraId="1D5F4D8E"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0,05</w:t>
            </w:r>
            <w:r>
              <w:rPr>
                <w:rFonts w:ascii="Arial" w:eastAsia="Times New Roman" w:hAnsi="Arial" w:cs="Arial"/>
                <w:color w:val="000000"/>
                <w:sz w:val="18"/>
                <w:szCs w:val="18"/>
                <w:lang w:eastAsia="sl-SI"/>
              </w:rPr>
              <w:t xml:space="preserve"> %</w:t>
            </w:r>
          </w:p>
        </w:tc>
      </w:tr>
      <w:tr w:rsidR="00E3750C" w:rsidRPr="008D458E" w14:paraId="3450A531" w14:textId="77777777" w:rsidTr="00047864">
        <w:trPr>
          <w:trHeight w:val="300"/>
        </w:trPr>
        <w:tc>
          <w:tcPr>
            <w:tcW w:w="239" w:type="pct"/>
            <w:tcBorders>
              <w:top w:val="nil"/>
              <w:left w:val="single" w:sz="4" w:space="0" w:color="auto"/>
              <w:bottom w:val="single" w:sz="4" w:space="0" w:color="auto"/>
              <w:right w:val="single" w:sz="4" w:space="0" w:color="auto"/>
            </w:tcBorders>
            <w:shd w:val="clear" w:color="auto" w:fill="auto"/>
            <w:vAlign w:val="center"/>
            <w:hideMark/>
          </w:tcPr>
          <w:p w14:paraId="64524D92"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30</w:t>
            </w:r>
          </w:p>
        </w:tc>
        <w:tc>
          <w:tcPr>
            <w:tcW w:w="2926" w:type="pct"/>
            <w:tcBorders>
              <w:top w:val="nil"/>
              <w:left w:val="nil"/>
              <w:bottom w:val="single" w:sz="4" w:space="0" w:color="auto"/>
              <w:right w:val="single" w:sz="4" w:space="0" w:color="auto"/>
            </w:tcBorders>
            <w:shd w:val="clear" w:color="auto" w:fill="auto"/>
            <w:vAlign w:val="center"/>
            <w:hideMark/>
          </w:tcPr>
          <w:p w14:paraId="4476D4B2"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Pisarniški in računski stroji, oprema in potrebščine, razen pohištva in programskih paketov</w:t>
            </w:r>
          </w:p>
        </w:tc>
        <w:tc>
          <w:tcPr>
            <w:tcW w:w="405" w:type="pct"/>
            <w:tcBorders>
              <w:top w:val="nil"/>
              <w:left w:val="nil"/>
              <w:bottom w:val="single" w:sz="4" w:space="0" w:color="auto"/>
              <w:right w:val="single" w:sz="4" w:space="0" w:color="auto"/>
            </w:tcBorders>
            <w:shd w:val="clear" w:color="auto" w:fill="auto"/>
            <w:vAlign w:val="center"/>
            <w:hideMark/>
          </w:tcPr>
          <w:p w14:paraId="1DCA97C5"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174</w:t>
            </w:r>
          </w:p>
        </w:tc>
        <w:tc>
          <w:tcPr>
            <w:tcW w:w="478" w:type="pct"/>
            <w:tcBorders>
              <w:top w:val="nil"/>
              <w:left w:val="nil"/>
              <w:bottom w:val="single" w:sz="4" w:space="0" w:color="auto"/>
              <w:right w:val="single" w:sz="4" w:space="0" w:color="auto"/>
            </w:tcBorders>
            <w:shd w:val="clear" w:color="auto" w:fill="auto"/>
            <w:vAlign w:val="center"/>
            <w:hideMark/>
          </w:tcPr>
          <w:p w14:paraId="002D11A6"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22.574.118</w:t>
            </w:r>
          </w:p>
        </w:tc>
        <w:tc>
          <w:tcPr>
            <w:tcW w:w="244" w:type="pct"/>
            <w:tcBorders>
              <w:top w:val="nil"/>
              <w:left w:val="nil"/>
              <w:bottom w:val="single" w:sz="4" w:space="0" w:color="auto"/>
              <w:right w:val="single" w:sz="4" w:space="0" w:color="auto"/>
            </w:tcBorders>
            <w:shd w:val="clear" w:color="auto" w:fill="auto"/>
            <w:noWrap/>
            <w:vAlign w:val="center"/>
            <w:hideMark/>
          </w:tcPr>
          <w:p w14:paraId="5C0ABFCE"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3,37</w:t>
            </w:r>
            <w:r>
              <w:rPr>
                <w:rFonts w:ascii="Arial" w:eastAsia="Times New Roman" w:hAnsi="Arial" w:cs="Arial"/>
                <w:color w:val="000000"/>
                <w:sz w:val="18"/>
                <w:szCs w:val="18"/>
                <w:lang w:eastAsia="sl-SI"/>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236D2C03"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1,59</w:t>
            </w:r>
            <w:r>
              <w:rPr>
                <w:rFonts w:ascii="Arial" w:eastAsia="Times New Roman" w:hAnsi="Arial" w:cs="Arial"/>
                <w:color w:val="000000"/>
                <w:sz w:val="18"/>
                <w:szCs w:val="18"/>
                <w:lang w:eastAsia="sl-SI"/>
              </w:rPr>
              <w:t xml:space="preserve"> %</w:t>
            </w:r>
          </w:p>
        </w:tc>
        <w:tc>
          <w:tcPr>
            <w:tcW w:w="244" w:type="pct"/>
            <w:tcBorders>
              <w:top w:val="nil"/>
              <w:left w:val="nil"/>
              <w:bottom w:val="single" w:sz="4" w:space="0" w:color="auto"/>
              <w:right w:val="single" w:sz="4" w:space="0" w:color="auto"/>
            </w:tcBorders>
            <w:shd w:val="clear" w:color="auto" w:fill="auto"/>
            <w:noWrap/>
            <w:vAlign w:val="center"/>
            <w:hideMark/>
          </w:tcPr>
          <w:p w14:paraId="2E3E3FB7"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1,01</w:t>
            </w:r>
            <w:r>
              <w:rPr>
                <w:rFonts w:ascii="Arial" w:eastAsia="Times New Roman" w:hAnsi="Arial" w:cs="Arial"/>
                <w:color w:val="000000"/>
                <w:sz w:val="18"/>
                <w:szCs w:val="18"/>
                <w:lang w:eastAsia="sl-SI"/>
              </w:rPr>
              <w:t xml:space="preserve"> %</w:t>
            </w:r>
          </w:p>
        </w:tc>
        <w:tc>
          <w:tcPr>
            <w:tcW w:w="226" w:type="pct"/>
            <w:tcBorders>
              <w:top w:val="nil"/>
              <w:left w:val="nil"/>
              <w:bottom w:val="single" w:sz="4" w:space="0" w:color="auto"/>
              <w:right w:val="single" w:sz="4" w:space="0" w:color="auto"/>
            </w:tcBorders>
            <w:shd w:val="clear" w:color="auto" w:fill="auto"/>
            <w:noWrap/>
            <w:vAlign w:val="center"/>
            <w:hideMark/>
          </w:tcPr>
          <w:p w14:paraId="251F140B"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0,42</w:t>
            </w:r>
            <w:r>
              <w:rPr>
                <w:rFonts w:ascii="Arial" w:eastAsia="Times New Roman" w:hAnsi="Arial" w:cs="Arial"/>
                <w:color w:val="000000"/>
                <w:sz w:val="18"/>
                <w:szCs w:val="18"/>
                <w:lang w:eastAsia="sl-SI"/>
              </w:rPr>
              <w:t xml:space="preserve"> %</w:t>
            </w:r>
          </w:p>
        </w:tc>
      </w:tr>
      <w:tr w:rsidR="00E3750C" w:rsidRPr="008D458E" w14:paraId="545D55B9" w14:textId="77777777" w:rsidTr="00047864">
        <w:trPr>
          <w:trHeight w:val="300"/>
        </w:trPr>
        <w:tc>
          <w:tcPr>
            <w:tcW w:w="239" w:type="pct"/>
            <w:tcBorders>
              <w:top w:val="nil"/>
              <w:left w:val="single" w:sz="4" w:space="0" w:color="auto"/>
              <w:bottom w:val="single" w:sz="4" w:space="0" w:color="auto"/>
              <w:right w:val="single" w:sz="4" w:space="0" w:color="auto"/>
            </w:tcBorders>
            <w:shd w:val="clear" w:color="auto" w:fill="auto"/>
            <w:vAlign w:val="center"/>
            <w:hideMark/>
          </w:tcPr>
          <w:p w14:paraId="14DE0F50"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31</w:t>
            </w:r>
          </w:p>
        </w:tc>
        <w:tc>
          <w:tcPr>
            <w:tcW w:w="2926" w:type="pct"/>
            <w:tcBorders>
              <w:top w:val="nil"/>
              <w:left w:val="nil"/>
              <w:bottom w:val="single" w:sz="4" w:space="0" w:color="auto"/>
              <w:right w:val="single" w:sz="4" w:space="0" w:color="auto"/>
            </w:tcBorders>
            <w:shd w:val="clear" w:color="auto" w:fill="auto"/>
            <w:vAlign w:val="center"/>
            <w:hideMark/>
          </w:tcPr>
          <w:p w14:paraId="25FE209E"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Električni stroji, aparati, oprema in potrošno blago; razsvetljava</w:t>
            </w:r>
          </w:p>
        </w:tc>
        <w:tc>
          <w:tcPr>
            <w:tcW w:w="405" w:type="pct"/>
            <w:tcBorders>
              <w:top w:val="nil"/>
              <w:left w:val="nil"/>
              <w:bottom w:val="single" w:sz="4" w:space="0" w:color="auto"/>
              <w:right w:val="single" w:sz="4" w:space="0" w:color="auto"/>
            </w:tcBorders>
            <w:shd w:val="clear" w:color="auto" w:fill="auto"/>
            <w:vAlign w:val="center"/>
            <w:hideMark/>
          </w:tcPr>
          <w:p w14:paraId="21361BDA"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32</w:t>
            </w:r>
          </w:p>
        </w:tc>
        <w:tc>
          <w:tcPr>
            <w:tcW w:w="478" w:type="pct"/>
            <w:tcBorders>
              <w:top w:val="nil"/>
              <w:left w:val="nil"/>
              <w:bottom w:val="single" w:sz="4" w:space="0" w:color="auto"/>
              <w:right w:val="single" w:sz="4" w:space="0" w:color="auto"/>
            </w:tcBorders>
            <w:shd w:val="clear" w:color="auto" w:fill="auto"/>
            <w:vAlign w:val="center"/>
            <w:hideMark/>
          </w:tcPr>
          <w:p w14:paraId="33D7347E"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5.747.240</w:t>
            </w:r>
          </w:p>
        </w:tc>
        <w:tc>
          <w:tcPr>
            <w:tcW w:w="244" w:type="pct"/>
            <w:tcBorders>
              <w:top w:val="nil"/>
              <w:left w:val="nil"/>
              <w:bottom w:val="single" w:sz="4" w:space="0" w:color="auto"/>
              <w:right w:val="single" w:sz="4" w:space="0" w:color="auto"/>
            </w:tcBorders>
            <w:shd w:val="clear" w:color="auto" w:fill="auto"/>
            <w:noWrap/>
            <w:vAlign w:val="center"/>
            <w:hideMark/>
          </w:tcPr>
          <w:p w14:paraId="62058563"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0,62</w:t>
            </w:r>
            <w:r>
              <w:rPr>
                <w:rFonts w:ascii="Arial" w:eastAsia="Times New Roman" w:hAnsi="Arial" w:cs="Arial"/>
                <w:color w:val="000000"/>
                <w:sz w:val="18"/>
                <w:szCs w:val="18"/>
                <w:lang w:eastAsia="sl-SI"/>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08DB08FA"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0,40</w:t>
            </w:r>
            <w:r>
              <w:rPr>
                <w:rFonts w:ascii="Arial" w:eastAsia="Times New Roman" w:hAnsi="Arial" w:cs="Arial"/>
                <w:color w:val="000000"/>
                <w:sz w:val="18"/>
                <w:szCs w:val="18"/>
                <w:lang w:eastAsia="sl-SI"/>
              </w:rPr>
              <w:t xml:space="preserve"> %</w:t>
            </w:r>
          </w:p>
        </w:tc>
        <w:tc>
          <w:tcPr>
            <w:tcW w:w="244" w:type="pct"/>
            <w:tcBorders>
              <w:top w:val="nil"/>
              <w:left w:val="nil"/>
              <w:bottom w:val="single" w:sz="4" w:space="0" w:color="auto"/>
              <w:right w:val="single" w:sz="4" w:space="0" w:color="auto"/>
            </w:tcBorders>
            <w:shd w:val="clear" w:color="auto" w:fill="auto"/>
            <w:noWrap/>
            <w:vAlign w:val="center"/>
            <w:hideMark/>
          </w:tcPr>
          <w:p w14:paraId="55F40269"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0,19</w:t>
            </w:r>
            <w:r>
              <w:rPr>
                <w:rFonts w:ascii="Arial" w:eastAsia="Times New Roman" w:hAnsi="Arial" w:cs="Arial"/>
                <w:color w:val="000000"/>
                <w:sz w:val="18"/>
                <w:szCs w:val="18"/>
                <w:lang w:eastAsia="sl-SI"/>
              </w:rPr>
              <w:t xml:space="preserve"> %</w:t>
            </w:r>
          </w:p>
        </w:tc>
        <w:tc>
          <w:tcPr>
            <w:tcW w:w="226" w:type="pct"/>
            <w:tcBorders>
              <w:top w:val="nil"/>
              <w:left w:val="nil"/>
              <w:bottom w:val="single" w:sz="4" w:space="0" w:color="auto"/>
              <w:right w:val="single" w:sz="4" w:space="0" w:color="auto"/>
            </w:tcBorders>
            <w:shd w:val="clear" w:color="auto" w:fill="auto"/>
            <w:noWrap/>
            <w:vAlign w:val="center"/>
            <w:hideMark/>
          </w:tcPr>
          <w:p w14:paraId="0D0D5AB4"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0,11</w:t>
            </w:r>
            <w:r>
              <w:rPr>
                <w:rFonts w:ascii="Arial" w:eastAsia="Times New Roman" w:hAnsi="Arial" w:cs="Arial"/>
                <w:color w:val="000000"/>
                <w:sz w:val="18"/>
                <w:szCs w:val="18"/>
                <w:lang w:eastAsia="sl-SI"/>
              </w:rPr>
              <w:t xml:space="preserve"> %</w:t>
            </w:r>
          </w:p>
        </w:tc>
      </w:tr>
      <w:tr w:rsidR="00E3750C" w:rsidRPr="008D458E" w14:paraId="67F4DC71" w14:textId="77777777" w:rsidTr="00047864">
        <w:trPr>
          <w:trHeight w:val="300"/>
        </w:trPr>
        <w:tc>
          <w:tcPr>
            <w:tcW w:w="239" w:type="pct"/>
            <w:tcBorders>
              <w:top w:val="nil"/>
              <w:left w:val="single" w:sz="4" w:space="0" w:color="auto"/>
              <w:bottom w:val="single" w:sz="4" w:space="0" w:color="auto"/>
              <w:right w:val="single" w:sz="4" w:space="0" w:color="auto"/>
            </w:tcBorders>
            <w:shd w:val="clear" w:color="auto" w:fill="auto"/>
            <w:vAlign w:val="center"/>
            <w:hideMark/>
          </w:tcPr>
          <w:p w14:paraId="1BAE8C1A"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32</w:t>
            </w:r>
          </w:p>
        </w:tc>
        <w:tc>
          <w:tcPr>
            <w:tcW w:w="2926" w:type="pct"/>
            <w:tcBorders>
              <w:top w:val="nil"/>
              <w:left w:val="nil"/>
              <w:bottom w:val="single" w:sz="4" w:space="0" w:color="auto"/>
              <w:right w:val="single" w:sz="4" w:space="0" w:color="auto"/>
            </w:tcBorders>
            <w:shd w:val="clear" w:color="auto" w:fill="auto"/>
            <w:vAlign w:val="center"/>
            <w:hideMark/>
          </w:tcPr>
          <w:p w14:paraId="12417885"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Radijski in televizijski aparati, komunikacijska, telekomunikacijska in z njimi povezana oprema</w:t>
            </w:r>
          </w:p>
        </w:tc>
        <w:tc>
          <w:tcPr>
            <w:tcW w:w="405" w:type="pct"/>
            <w:tcBorders>
              <w:top w:val="nil"/>
              <w:left w:val="nil"/>
              <w:bottom w:val="single" w:sz="4" w:space="0" w:color="auto"/>
              <w:right w:val="single" w:sz="4" w:space="0" w:color="auto"/>
            </w:tcBorders>
            <w:shd w:val="clear" w:color="auto" w:fill="auto"/>
            <w:vAlign w:val="center"/>
            <w:hideMark/>
          </w:tcPr>
          <w:p w14:paraId="74B94D32"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7</w:t>
            </w:r>
          </w:p>
        </w:tc>
        <w:tc>
          <w:tcPr>
            <w:tcW w:w="478" w:type="pct"/>
            <w:tcBorders>
              <w:top w:val="nil"/>
              <w:left w:val="nil"/>
              <w:bottom w:val="single" w:sz="4" w:space="0" w:color="auto"/>
              <w:right w:val="single" w:sz="4" w:space="0" w:color="auto"/>
            </w:tcBorders>
            <w:shd w:val="clear" w:color="auto" w:fill="auto"/>
            <w:vAlign w:val="center"/>
            <w:hideMark/>
          </w:tcPr>
          <w:p w14:paraId="03D370ED"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480.167</w:t>
            </w:r>
          </w:p>
        </w:tc>
        <w:tc>
          <w:tcPr>
            <w:tcW w:w="244" w:type="pct"/>
            <w:tcBorders>
              <w:top w:val="nil"/>
              <w:left w:val="nil"/>
              <w:bottom w:val="single" w:sz="4" w:space="0" w:color="auto"/>
              <w:right w:val="single" w:sz="4" w:space="0" w:color="auto"/>
            </w:tcBorders>
            <w:shd w:val="clear" w:color="auto" w:fill="auto"/>
            <w:noWrap/>
            <w:vAlign w:val="center"/>
            <w:hideMark/>
          </w:tcPr>
          <w:p w14:paraId="619FEE04"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0,14</w:t>
            </w:r>
            <w:r>
              <w:rPr>
                <w:rFonts w:ascii="Arial" w:eastAsia="Times New Roman" w:hAnsi="Arial" w:cs="Arial"/>
                <w:color w:val="000000"/>
                <w:sz w:val="18"/>
                <w:szCs w:val="18"/>
                <w:lang w:eastAsia="sl-SI"/>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4F7AF8F4"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c>
          <w:tcPr>
            <w:tcW w:w="244" w:type="pct"/>
            <w:tcBorders>
              <w:top w:val="nil"/>
              <w:left w:val="nil"/>
              <w:bottom w:val="single" w:sz="4" w:space="0" w:color="auto"/>
              <w:right w:val="single" w:sz="4" w:space="0" w:color="auto"/>
            </w:tcBorders>
            <w:shd w:val="clear" w:color="auto" w:fill="auto"/>
            <w:noWrap/>
            <w:vAlign w:val="center"/>
            <w:hideMark/>
          </w:tcPr>
          <w:p w14:paraId="3BAD78E4"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0,04</w:t>
            </w:r>
            <w:r>
              <w:rPr>
                <w:rFonts w:ascii="Arial" w:eastAsia="Times New Roman" w:hAnsi="Arial" w:cs="Arial"/>
                <w:color w:val="000000"/>
                <w:sz w:val="18"/>
                <w:szCs w:val="18"/>
                <w:lang w:eastAsia="sl-SI"/>
              </w:rPr>
              <w:t xml:space="preserve"> %</w:t>
            </w:r>
          </w:p>
        </w:tc>
        <w:tc>
          <w:tcPr>
            <w:tcW w:w="226" w:type="pct"/>
            <w:tcBorders>
              <w:top w:val="nil"/>
              <w:left w:val="nil"/>
              <w:bottom w:val="single" w:sz="4" w:space="0" w:color="auto"/>
              <w:right w:val="single" w:sz="4" w:space="0" w:color="auto"/>
            </w:tcBorders>
            <w:shd w:val="clear" w:color="auto" w:fill="auto"/>
            <w:noWrap/>
            <w:vAlign w:val="center"/>
            <w:hideMark/>
          </w:tcPr>
          <w:p w14:paraId="09038AEA"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r>
      <w:tr w:rsidR="00E3750C" w:rsidRPr="008D458E" w14:paraId="059FFD56" w14:textId="77777777" w:rsidTr="00047864">
        <w:trPr>
          <w:trHeight w:val="300"/>
        </w:trPr>
        <w:tc>
          <w:tcPr>
            <w:tcW w:w="239" w:type="pct"/>
            <w:tcBorders>
              <w:top w:val="nil"/>
              <w:left w:val="single" w:sz="4" w:space="0" w:color="auto"/>
              <w:bottom w:val="single" w:sz="4" w:space="0" w:color="auto"/>
              <w:right w:val="single" w:sz="4" w:space="0" w:color="auto"/>
            </w:tcBorders>
            <w:shd w:val="clear" w:color="auto" w:fill="auto"/>
            <w:vAlign w:val="center"/>
            <w:hideMark/>
          </w:tcPr>
          <w:p w14:paraId="37B9C60D"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33</w:t>
            </w:r>
          </w:p>
        </w:tc>
        <w:tc>
          <w:tcPr>
            <w:tcW w:w="2926" w:type="pct"/>
            <w:tcBorders>
              <w:top w:val="nil"/>
              <w:left w:val="nil"/>
              <w:bottom w:val="single" w:sz="4" w:space="0" w:color="auto"/>
              <w:right w:val="single" w:sz="4" w:space="0" w:color="auto"/>
            </w:tcBorders>
            <w:shd w:val="clear" w:color="auto" w:fill="auto"/>
            <w:vAlign w:val="center"/>
            <w:hideMark/>
          </w:tcPr>
          <w:p w14:paraId="6CEFA2E2"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Medicinska oprema, farmacevtski izdelki in izdelki za osebno nego</w:t>
            </w:r>
          </w:p>
        </w:tc>
        <w:tc>
          <w:tcPr>
            <w:tcW w:w="405" w:type="pct"/>
            <w:tcBorders>
              <w:top w:val="nil"/>
              <w:left w:val="nil"/>
              <w:bottom w:val="single" w:sz="4" w:space="0" w:color="auto"/>
              <w:right w:val="single" w:sz="4" w:space="0" w:color="auto"/>
            </w:tcBorders>
            <w:shd w:val="clear" w:color="auto" w:fill="auto"/>
            <w:vAlign w:val="center"/>
            <w:hideMark/>
          </w:tcPr>
          <w:p w14:paraId="4048A0DA"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33</w:t>
            </w:r>
          </w:p>
        </w:tc>
        <w:tc>
          <w:tcPr>
            <w:tcW w:w="478" w:type="pct"/>
            <w:tcBorders>
              <w:top w:val="nil"/>
              <w:left w:val="nil"/>
              <w:bottom w:val="single" w:sz="4" w:space="0" w:color="auto"/>
              <w:right w:val="single" w:sz="4" w:space="0" w:color="auto"/>
            </w:tcBorders>
            <w:shd w:val="clear" w:color="auto" w:fill="auto"/>
            <w:vAlign w:val="center"/>
            <w:hideMark/>
          </w:tcPr>
          <w:p w14:paraId="3D4FA2A3"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3.155.759</w:t>
            </w:r>
          </w:p>
        </w:tc>
        <w:tc>
          <w:tcPr>
            <w:tcW w:w="244" w:type="pct"/>
            <w:tcBorders>
              <w:top w:val="nil"/>
              <w:left w:val="nil"/>
              <w:bottom w:val="single" w:sz="4" w:space="0" w:color="auto"/>
              <w:right w:val="single" w:sz="4" w:space="0" w:color="auto"/>
            </w:tcBorders>
            <w:shd w:val="clear" w:color="auto" w:fill="auto"/>
            <w:noWrap/>
            <w:vAlign w:val="center"/>
            <w:hideMark/>
          </w:tcPr>
          <w:p w14:paraId="331F2015"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0,64</w:t>
            </w:r>
            <w:r>
              <w:rPr>
                <w:rFonts w:ascii="Arial" w:eastAsia="Times New Roman" w:hAnsi="Arial" w:cs="Arial"/>
                <w:color w:val="000000"/>
                <w:sz w:val="18"/>
                <w:szCs w:val="18"/>
                <w:lang w:eastAsia="sl-SI"/>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4C1E8970"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0,22</w:t>
            </w:r>
            <w:r>
              <w:rPr>
                <w:rFonts w:ascii="Arial" w:eastAsia="Times New Roman" w:hAnsi="Arial" w:cs="Arial"/>
                <w:color w:val="000000"/>
                <w:sz w:val="18"/>
                <w:szCs w:val="18"/>
                <w:lang w:eastAsia="sl-SI"/>
              </w:rPr>
              <w:t xml:space="preserve"> %</w:t>
            </w:r>
          </w:p>
        </w:tc>
        <w:tc>
          <w:tcPr>
            <w:tcW w:w="244" w:type="pct"/>
            <w:tcBorders>
              <w:top w:val="nil"/>
              <w:left w:val="nil"/>
              <w:bottom w:val="single" w:sz="4" w:space="0" w:color="auto"/>
              <w:right w:val="single" w:sz="4" w:space="0" w:color="auto"/>
            </w:tcBorders>
            <w:shd w:val="clear" w:color="auto" w:fill="auto"/>
            <w:noWrap/>
            <w:vAlign w:val="center"/>
            <w:hideMark/>
          </w:tcPr>
          <w:p w14:paraId="4A8B7649"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0,19</w:t>
            </w:r>
            <w:r>
              <w:rPr>
                <w:rFonts w:ascii="Arial" w:eastAsia="Times New Roman" w:hAnsi="Arial" w:cs="Arial"/>
                <w:color w:val="000000"/>
                <w:sz w:val="18"/>
                <w:szCs w:val="18"/>
                <w:lang w:eastAsia="sl-SI"/>
              </w:rPr>
              <w:t xml:space="preserve"> %</w:t>
            </w:r>
          </w:p>
        </w:tc>
        <w:tc>
          <w:tcPr>
            <w:tcW w:w="226" w:type="pct"/>
            <w:tcBorders>
              <w:top w:val="nil"/>
              <w:left w:val="nil"/>
              <w:bottom w:val="single" w:sz="4" w:space="0" w:color="auto"/>
              <w:right w:val="single" w:sz="4" w:space="0" w:color="auto"/>
            </w:tcBorders>
            <w:shd w:val="clear" w:color="auto" w:fill="auto"/>
            <w:noWrap/>
            <w:vAlign w:val="center"/>
            <w:hideMark/>
          </w:tcPr>
          <w:p w14:paraId="6345BE3C"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0,06</w:t>
            </w:r>
            <w:r>
              <w:rPr>
                <w:rFonts w:ascii="Arial" w:eastAsia="Times New Roman" w:hAnsi="Arial" w:cs="Arial"/>
                <w:color w:val="000000"/>
                <w:sz w:val="18"/>
                <w:szCs w:val="18"/>
                <w:lang w:eastAsia="sl-SI"/>
              </w:rPr>
              <w:t xml:space="preserve"> %</w:t>
            </w:r>
          </w:p>
        </w:tc>
      </w:tr>
      <w:tr w:rsidR="00E3750C" w:rsidRPr="008D458E" w14:paraId="2436325E" w14:textId="77777777" w:rsidTr="00047864">
        <w:trPr>
          <w:trHeight w:val="300"/>
        </w:trPr>
        <w:tc>
          <w:tcPr>
            <w:tcW w:w="239" w:type="pct"/>
            <w:tcBorders>
              <w:top w:val="nil"/>
              <w:left w:val="single" w:sz="4" w:space="0" w:color="auto"/>
              <w:bottom w:val="single" w:sz="4" w:space="0" w:color="auto"/>
              <w:right w:val="single" w:sz="4" w:space="0" w:color="auto"/>
            </w:tcBorders>
            <w:shd w:val="clear" w:color="auto" w:fill="auto"/>
            <w:vAlign w:val="center"/>
            <w:hideMark/>
          </w:tcPr>
          <w:p w14:paraId="65C6712E"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34</w:t>
            </w:r>
          </w:p>
        </w:tc>
        <w:tc>
          <w:tcPr>
            <w:tcW w:w="2926" w:type="pct"/>
            <w:tcBorders>
              <w:top w:val="nil"/>
              <w:left w:val="nil"/>
              <w:bottom w:val="single" w:sz="4" w:space="0" w:color="auto"/>
              <w:right w:val="single" w:sz="4" w:space="0" w:color="auto"/>
            </w:tcBorders>
            <w:shd w:val="clear" w:color="auto" w:fill="auto"/>
            <w:vAlign w:val="center"/>
            <w:hideMark/>
          </w:tcPr>
          <w:p w14:paraId="08F0E09C"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Prevozna sredstva in dodatni proizvodi za promet</w:t>
            </w:r>
          </w:p>
        </w:tc>
        <w:tc>
          <w:tcPr>
            <w:tcW w:w="405" w:type="pct"/>
            <w:tcBorders>
              <w:top w:val="nil"/>
              <w:left w:val="nil"/>
              <w:bottom w:val="single" w:sz="4" w:space="0" w:color="auto"/>
              <w:right w:val="single" w:sz="4" w:space="0" w:color="auto"/>
            </w:tcBorders>
            <w:shd w:val="clear" w:color="auto" w:fill="auto"/>
            <w:vAlign w:val="center"/>
            <w:hideMark/>
          </w:tcPr>
          <w:p w14:paraId="1BE56D8E"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236</w:t>
            </w:r>
          </w:p>
        </w:tc>
        <w:tc>
          <w:tcPr>
            <w:tcW w:w="478" w:type="pct"/>
            <w:tcBorders>
              <w:top w:val="nil"/>
              <w:left w:val="nil"/>
              <w:bottom w:val="single" w:sz="4" w:space="0" w:color="auto"/>
              <w:right w:val="single" w:sz="4" w:space="0" w:color="auto"/>
            </w:tcBorders>
            <w:shd w:val="clear" w:color="auto" w:fill="auto"/>
            <w:vAlign w:val="center"/>
            <w:hideMark/>
          </w:tcPr>
          <w:p w14:paraId="4BA8B2DB"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37.544.139</w:t>
            </w:r>
          </w:p>
        </w:tc>
        <w:tc>
          <w:tcPr>
            <w:tcW w:w="244" w:type="pct"/>
            <w:tcBorders>
              <w:top w:val="nil"/>
              <w:left w:val="nil"/>
              <w:bottom w:val="single" w:sz="4" w:space="0" w:color="auto"/>
              <w:right w:val="single" w:sz="4" w:space="0" w:color="auto"/>
            </w:tcBorders>
            <w:shd w:val="clear" w:color="auto" w:fill="auto"/>
            <w:noWrap/>
            <w:vAlign w:val="center"/>
            <w:hideMark/>
          </w:tcPr>
          <w:p w14:paraId="21E26655"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4,57</w:t>
            </w:r>
            <w:r>
              <w:rPr>
                <w:rFonts w:ascii="Arial" w:eastAsia="Times New Roman" w:hAnsi="Arial" w:cs="Arial"/>
                <w:color w:val="000000"/>
                <w:sz w:val="18"/>
                <w:szCs w:val="18"/>
                <w:lang w:eastAsia="sl-SI"/>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057C9E81"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2,64</w:t>
            </w:r>
            <w:r>
              <w:rPr>
                <w:rFonts w:ascii="Arial" w:eastAsia="Times New Roman" w:hAnsi="Arial" w:cs="Arial"/>
                <w:color w:val="000000"/>
                <w:sz w:val="18"/>
                <w:szCs w:val="18"/>
                <w:lang w:eastAsia="sl-SI"/>
              </w:rPr>
              <w:t xml:space="preserve"> %</w:t>
            </w:r>
          </w:p>
        </w:tc>
        <w:tc>
          <w:tcPr>
            <w:tcW w:w="244" w:type="pct"/>
            <w:tcBorders>
              <w:top w:val="nil"/>
              <w:left w:val="nil"/>
              <w:bottom w:val="single" w:sz="4" w:space="0" w:color="auto"/>
              <w:right w:val="single" w:sz="4" w:space="0" w:color="auto"/>
            </w:tcBorders>
            <w:shd w:val="clear" w:color="auto" w:fill="auto"/>
            <w:noWrap/>
            <w:vAlign w:val="center"/>
            <w:hideMark/>
          </w:tcPr>
          <w:p w14:paraId="18D96341"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1,37</w:t>
            </w:r>
            <w:r>
              <w:rPr>
                <w:rFonts w:ascii="Arial" w:eastAsia="Times New Roman" w:hAnsi="Arial" w:cs="Arial"/>
                <w:color w:val="000000"/>
                <w:sz w:val="18"/>
                <w:szCs w:val="18"/>
                <w:lang w:eastAsia="sl-SI"/>
              </w:rPr>
              <w:t xml:space="preserve"> %</w:t>
            </w:r>
          </w:p>
        </w:tc>
        <w:tc>
          <w:tcPr>
            <w:tcW w:w="226" w:type="pct"/>
            <w:tcBorders>
              <w:top w:val="nil"/>
              <w:left w:val="nil"/>
              <w:bottom w:val="single" w:sz="4" w:space="0" w:color="auto"/>
              <w:right w:val="single" w:sz="4" w:space="0" w:color="auto"/>
            </w:tcBorders>
            <w:shd w:val="clear" w:color="auto" w:fill="auto"/>
            <w:noWrap/>
            <w:vAlign w:val="center"/>
            <w:hideMark/>
          </w:tcPr>
          <w:p w14:paraId="66C1646A"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0,69</w:t>
            </w:r>
            <w:r>
              <w:rPr>
                <w:rFonts w:ascii="Arial" w:eastAsia="Times New Roman" w:hAnsi="Arial" w:cs="Arial"/>
                <w:color w:val="000000"/>
                <w:sz w:val="18"/>
                <w:szCs w:val="18"/>
                <w:lang w:eastAsia="sl-SI"/>
              </w:rPr>
              <w:t xml:space="preserve"> %</w:t>
            </w:r>
          </w:p>
        </w:tc>
      </w:tr>
      <w:tr w:rsidR="00E3750C" w:rsidRPr="008D458E" w14:paraId="5598C7F8" w14:textId="77777777" w:rsidTr="00047864">
        <w:trPr>
          <w:trHeight w:val="300"/>
        </w:trPr>
        <w:tc>
          <w:tcPr>
            <w:tcW w:w="239" w:type="pct"/>
            <w:tcBorders>
              <w:top w:val="nil"/>
              <w:left w:val="single" w:sz="4" w:space="0" w:color="auto"/>
              <w:bottom w:val="single" w:sz="4" w:space="0" w:color="auto"/>
              <w:right w:val="single" w:sz="4" w:space="0" w:color="auto"/>
            </w:tcBorders>
            <w:shd w:val="clear" w:color="auto" w:fill="auto"/>
            <w:vAlign w:val="center"/>
            <w:hideMark/>
          </w:tcPr>
          <w:p w14:paraId="4E36FD4A"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35</w:t>
            </w:r>
          </w:p>
        </w:tc>
        <w:tc>
          <w:tcPr>
            <w:tcW w:w="2926" w:type="pct"/>
            <w:tcBorders>
              <w:top w:val="nil"/>
              <w:left w:val="nil"/>
              <w:bottom w:val="single" w:sz="4" w:space="0" w:color="auto"/>
              <w:right w:val="single" w:sz="4" w:space="0" w:color="auto"/>
            </w:tcBorders>
            <w:shd w:val="clear" w:color="auto" w:fill="auto"/>
            <w:vAlign w:val="center"/>
            <w:hideMark/>
          </w:tcPr>
          <w:p w14:paraId="2E9FE21D"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Varnostna, gasilska, policijska in obrambna oprema</w:t>
            </w:r>
          </w:p>
        </w:tc>
        <w:tc>
          <w:tcPr>
            <w:tcW w:w="405" w:type="pct"/>
            <w:tcBorders>
              <w:top w:val="nil"/>
              <w:left w:val="nil"/>
              <w:bottom w:val="single" w:sz="4" w:space="0" w:color="auto"/>
              <w:right w:val="single" w:sz="4" w:space="0" w:color="auto"/>
            </w:tcBorders>
            <w:shd w:val="clear" w:color="auto" w:fill="auto"/>
            <w:vAlign w:val="center"/>
            <w:hideMark/>
          </w:tcPr>
          <w:p w14:paraId="46B25165"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3</w:t>
            </w:r>
          </w:p>
        </w:tc>
        <w:tc>
          <w:tcPr>
            <w:tcW w:w="478" w:type="pct"/>
            <w:tcBorders>
              <w:top w:val="nil"/>
              <w:left w:val="nil"/>
              <w:bottom w:val="single" w:sz="4" w:space="0" w:color="auto"/>
              <w:right w:val="single" w:sz="4" w:space="0" w:color="auto"/>
            </w:tcBorders>
            <w:shd w:val="clear" w:color="auto" w:fill="auto"/>
            <w:vAlign w:val="center"/>
            <w:hideMark/>
          </w:tcPr>
          <w:p w14:paraId="41E967E2"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213.768</w:t>
            </w:r>
          </w:p>
        </w:tc>
        <w:tc>
          <w:tcPr>
            <w:tcW w:w="244" w:type="pct"/>
            <w:tcBorders>
              <w:top w:val="nil"/>
              <w:left w:val="nil"/>
              <w:bottom w:val="single" w:sz="4" w:space="0" w:color="auto"/>
              <w:right w:val="single" w:sz="4" w:space="0" w:color="auto"/>
            </w:tcBorders>
            <w:shd w:val="clear" w:color="auto" w:fill="auto"/>
            <w:noWrap/>
            <w:vAlign w:val="center"/>
            <w:hideMark/>
          </w:tcPr>
          <w:p w14:paraId="32431AED"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0,06</w:t>
            </w:r>
            <w:r>
              <w:rPr>
                <w:rFonts w:ascii="Arial" w:eastAsia="Times New Roman" w:hAnsi="Arial" w:cs="Arial"/>
                <w:color w:val="000000"/>
                <w:sz w:val="18"/>
                <w:szCs w:val="18"/>
                <w:lang w:eastAsia="sl-SI"/>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536CB70F"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244" w:type="pct"/>
            <w:tcBorders>
              <w:top w:val="nil"/>
              <w:left w:val="nil"/>
              <w:bottom w:val="single" w:sz="4" w:space="0" w:color="auto"/>
              <w:right w:val="single" w:sz="4" w:space="0" w:color="auto"/>
            </w:tcBorders>
            <w:shd w:val="clear" w:color="auto" w:fill="auto"/>
            <w:noWrap/>
            <w:vAlign w:val="center"/>
            <w:hideMark/>
          </w:tcPr>
          <w:p w14:paraId="0CB7A6CD"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226" w:type="pct"/>
            <w:tcBorders>
              <w:top w:val="nil"/>
              <w:left w:val="nil"/>
              <w:bottom w:val="single" w:sz="4" w:space="0" w:color="auto"/>
              <w:right w:val="single" w:sz="4" w:space="0" w:color="auto"/>
            </w:tcBorders>
            <w:shd w:val="clear" w:color="auto" w:fill="auto"/>
            <w:noWrap/>
            <w:vAlign w:val="center"/>
            <w:hideMark/>
          </w:tcPr>
          <w:p w14:paraId="7C86AC9C"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0,00</w:t>
            </w:r>
            <w:r>
              <w:rPr>
                <w:rFonts w:ascii="Arial" w:eastAsia="Times New Roman" w:hAnsi="Arial" w:cs="Arial"/>
                <w:color w:val="000000"/>
                <w:sz w:val="18"/>
                <w:szCs w:val="18"/>
                <w:lang w:eastAsia="sl-SI"/>
              </w:rPr>
              <w:t xml:space="preserve"> %</w:t>
            </w:r>
          </w:p>
        </w:tc>
      </w:tr>
      <w:tr w:rsidR="00E3750C" w:rsidRPr="008D458E" w14:paraId="0A882932" w14:textId="77777777" w:rsidTr="00047864">
        <w:trPr>
          <w:trHeight w:val="300"/>
        </w:trPr>
        <w:tc>
          <w:tcPr>
            <w:tcW w:w="239" w:type="pct"/>
            <w:tcBorders>
              <w:top w:val="nil"/>
              <w:left w:val="single" w:sz="4" w:space="0" w:color="auto"/>
              <w:bottom w:val="single" w:sz="4" w:space="0" w:color="auto"/>
              <w:right w:val="single" w:sz="4" w:space="0" w:color="auto"/>
            </w:tcBorders>
            <w:shd w:val="clear" w:color="auto" w:fill="auto"/>
            <w:vAlign w:val="center"/>
            <w:hideMark/>
          </w:tcPr>
          <w:p w14:paraId="613C5321"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37</w:t>
            </w:r>
          </w:p>
        </w:tc>
        <w:tc>
          <w:tcPr>
            <w:tcW w:w="2926" w:type="pct"/>
            <w:tcBorders>
              <w:top w:val="nil"/>
              <w:left w:val="nil"/>
              <w:bottom w:val="single" w:sz="4" w:space="0" w:color="auto"/>
              <w:right w:val="single" w:sz="4" w:space="0" w:color="auto"/>
            </w:tcBorders>
            <w:shd w:val="clear" w:color="auto" w:fill="auto"/>
            <w:vAlign w:val="center"/>
            <w:hideMark/>
          </w:tcPr>
          <w:p w14:paraId="624DF141"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Glasbila, športni izdelki, igre, igrače, ročna dela, umetniški materiali in dodatki</w:t>
            </w:r>
          </w:p>
        </w:tc>
        <w:tc>
          <w:tcPr>
            <w:tcW w:w="405" w:type="pct"/>
            <w:tcBorders>
              <w:top w:val="nil"/>
              <w:left w:val="nil"/>
              <w:bottom w:val="single" w:sz="4" w:space="0" w:color="auto"/>
              <w:right w:val="single" w:sz="4" w:space="0" w:color="auto"/>
            </w:tcBorders>
            <w:shd w:val="clear" w:color="auto" w:fill="auto"/>
            <w:vAlign w:val="center"/>
            <w:hideMark/>
          </w:tcPr>
          <w:p w14:paraId="632D2367"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1</w:t>
            </w:r>
          </w:p>
        </w:tc>
        <w:tc>
          <w:tcPr>
            <w:tcW w:w="478" w:type="pct"/>
            <w:tcBorders>
              <w:top w:val="nil"/>
              <w:left w:val="nil"/>
              <w:bottom w:val="single" w:sz="4" w:space="0" w:color="auto"/>
              <w:right w:val="single" w:sz="4" w:space="0" w:color="auto"/>
            </w:tcBorders>
            <w:shd w:val="clear" w:color="auto" w:fill="auto"/>
            <w:vAlign w:val="center"/>
            <w:hideMark/>
          </w:tcPr>
          <w:p w14:paraId="55B4099F"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257.790</w:t>
            </w:r>
          </w:p>
        </w:tc>
        <w:tc>
          <w:tcPr>
            <w:tcW w:w="244" w:type="pct"/>
            <w:tcBorders>
              <w:top w:val="nil"/>
              <w:left w:val="nil"/>
              <w:bottom w:val="single" w:sz="4" w:space="0" w:color="auto"/>
              <w:right w:val="single" w:sz="4" w:space="0" w:color="auto"/>
            </w:tcBorders>
            <w:shd w:val="clear" w:color="auto" w:fill="auto"/>
            <w:noWrap/>
            <w:vAlign w:val="center"/>
            <w:hideMark/>
          </w:tcPr>
          <w:p w14:paraId="76E2057B"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57F92F07"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244" w:type="pct"/>
            <w:tcBorders>
              <w:top w:val="nil"/>
              <w:left w:val="nil"/>
              <w:bottom w:val="single" w:sz="4" w:space="0" w:color="auto"/>
              <w:right w:val="single" w:sz="4" w:space="0" w:color="auto"/>
            </w:tcBorders>
            <w:shd w:val="clear" w:color="auto" w:fill="auto"/>
            <w:noWrap/>
            <w:vAlign w:val="center"/>
            <w:hideMark/>
          </w:tcPr>
          <w:p w14:paraId="0D8DF663"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226" w:type="pct"/>
            <w:tcBorders>
              <w:top w:val="nil"/>
              <w:left w:val="nil"/>
              <w:bottom w:val="single" w:sz="4" w:space="0" w:color="auto"/>
              <w:right w:val="single" w:sz="4" w:space="0" w:color="auto"/>
            </w:tcBorders>
            <w:shd w:val="clear" w:color="auto" w:fill="auto"/>
            <w:noWrap/>
            <w:vAlign w:val="center"/>
            <w:hideMark/>
          </w:tcPr>
          <w:p w14:paraId="1A31FB73"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0,00</w:t>
            </w:r>
            <w:r>
              <w:rPr>
                <w:rFonts w:ascii="Arial" w:eastAsia="Times New Roman" w:hAnsi="Arial" w:cs="Arial"/>
                <w:color w:val="000000"/>
                <w:sz w:val="18"/>
                <w:szCs w:val="18"/>
                <w:lang w:eastAsia="sl-SI"/>
              </w:rPr>
              <w:t xml:space="preserve"> %</w:t>
            </w:r>
          </w:p>
        </w:tc>
      </w:tr>
      <w:tr w:rsidR="00E3750C" w:rsidRPr="008D458E" w14:paraId="7CB7C536" w14:textId="77777777" w:rsidTr="00047864">
        <w:trPr>
          <w:trHeight w:val="300"/>
        </w:trPr>
        <w:tc>
          <w:tcPr>
            <w:tcW w:w="239" w:type="pct"/>
            <w:tcBorders>
              <w:top w:val="nil"/>
              <w:left w:val="single" w:sz="4" w:space="0" w:color="auto"/>
              <w:bottom w:val="single" w:sz="4" w:space="0" w:color="auto"/>
              <w:right w:val="single" w:sz="4" w:space="0" w:color="auto"/>
            </w:tcBorders>
            <w:shd w:val="clear" w:color="auto" w:fill="auto"/>
            <w:vAlign w:val="center"/>
            <w:hideMark/>
          </w:tcPr>
          <w:p w14:paraId="24A12268"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38</w:t>
            </w:r>
          </w:p>
        </w:tc>
        <w:tc>
          <w:tcPr>
            <w:tcW w:w="2926" w:type="pct"/>
            <w:tcBorders>
              <w:top w:val="nil"/>
              <w:left w:val="nil"/>
              <w:bottom w:val="single" w:sz="4" w:space="0" w:color="auto"/>
              <w:right w:val="single" w:sz="4" w:space="0" w:color="auto"/>
            </w:tcBorders>
            <w:shd w:val="clear" w:color="auto" w:fill="auto"/>
            <w:vAlign w:val="center"/>
            <w:hideMark/>
          </w:tcPr>
          <w:p w14:paraId="54B1AEF2"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Laboratorijska, optična in precizna oprema (razen očal)</w:t>
            </w:r>
          </w:p>
        </w:tc>
        <w:tc>
          <w:tcPr>
            <w:tcW w:w="405" w:type="pct"/>
            <w:tcBorders>
              <w:top w:val="nil"/>
              <w:left w:val="nil"/>
              <w:bottom w:val="single" w:sz="4" w:space="0" w:color="auto"/>
              <w:right w:val="single" w:sz="4" w:space="0" w:color="auto"/>
            </w:tcBorders>
            <w:shd w:val="clear" w:color="auto" w:fill="auto"/>
            <w:vAlign w:val="center"/>
            <w:hideMark/>
          </w:tcPr>
          <w:p w14:paraId="3F915879"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25</w:t>
            </w:r>
          </w:p>
        </w:tc>
        <w:tc>
          <w:tcPr>
            <w:tcW w:w="478" w:type="pct"/>
            <w:tcBorders>
              <w:top w:val="nil"/>
              <w:left w:val="nil"/>
              <w:bottom w:val="single" w:sz="4" w:space="0" w:color="auto"/>
              <w:right w:val="single" w:sz="4" w:space="0" w:color="auto"/>
            </w:tcBorders>
            <w:shd w:val="clear" w:color="auto" w:fill="auto"/>
            <w:vAlign w:val="center"/>
            <w:hideMark/>
          </w:tcPr>
          <w:p w14:paraId="45FBFCA3"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3.975.874</w:t>
            </w:r>
          </w:p>
        </w:tc>
        <w:tc>
          <w:tcPr>
            <w:tcW w:w="244" w:type="pct"/>
            <w:tcBorders>
              <w:top w:val="nil"/>
              <w:left w:val="nil"/>
              <w:bottom w:val="single" w:sz="4" w:space="0" w:color="auto"/>
              <w:right w:val="single" w:sz="4" w:space="0" w:color="auto"/>
            </w:tcBorders>
            <w:shd w:val="clear" w:color="auto" w:fill="auto"/>
            <w:noWrap/>
            <w:vAlign w:val="center"/>
            <w:hideMark/>
          </w:tcPr>
          <w:p w14:paraId="6F17DB85"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0,48</w:t>
            </w:r>
            <w:r>
              <w:rPr>
                <w:rFonts w:ascii="Arial" w:eastAsia="Times New Roman" w:hAnsi="Arial" w:cs="Arial"/>
                <w:color w:val="000000"/>
                <w:sz w:val="18"/>
                <w:szCs w:val="18"/>
                <w:lang w:eastAsia="sl-SI"/>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014D6326"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0,28</w:t>
            </w:r>
            <w:r>
              <w:rPr>
                <w:rFonts w:ascii="Arial" w:eastAsia="Times New Roman" w:hAnsi="Arial" w:cs="Arial"/>
                <w:color w:val="000000"/>
                <w:sz w:val="18"/>
                <w:szCs w:val="18"/>
                <w:lang w:eastAsia="sl-SI"/>
              </w:rPr>
              <w:t xml:space="preserve"> %</w:t>
            </w:r>
          </w:p>
        </w:tc>
        <w:tc>
          <w:tcPr>
            <w:tcW w:w="244" w:type="pct"/>
            <w:tcBorders>
              <w:top w:val="nil"/>
              <w:left w:val="nil"/>
              <w:bottom w:val="single" w:sz="4" w:space="0" w:color="auto"/>
              <w:right w:val="single" w:sz="4" w:space="0" w:color="auto"/>
            </w:tcBorders>
            <w:shd w:val="clear" w:color="auto" w:fill="auto"/>
            <w:noWrap/>
            <w:vAlign w:val="center"/>
            <w:hideMark/>
          </w:tcPr>
          <w:p w14:paraId="10E15697"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0,15</w:t>
            </w:r>
            <w:r>
              <w:rPr>
                <w:rFonts w:ascii="Arial" w:eastAsia="Times New Roman" w:hAnsi="Arial" w:cs="Arial"/>
                <w:color w:val="000000"/>
                <w:sz w:val="18"/>
                <w:szCs w:val="18"/>
                <w:lang w:eastAsia="sl-SI"/>
              </w:rPr>
              <w:t xml:space="preserve"> %</w:t>
            </w:r>
          </w:p>
        </w:tc>
        <w:tc>
          <w:tcPr>
            <w:tcW w:w="226" w:type="pct"/>
            <w:tcBorders>
              <w:top w:val="nil"/>
              <w:left w:val="nil"/>
              <w:bottom w:val="single" w:sz="4" w:space="0" w:color="auto"/>
              <w:right w:val="single" w:sz="4" w:space="0" w:color="auto"/>
            </w:tcBorders>
            <w:shd w:val="clear" w:color="auto" w:fill="auto"/>
            <w:noWrap/>
            <w:vAlign w:val="center"/>
            <w:hideMark/>
          </w:tcPr>
          <w:p w14:paraId="2FC391A9"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0,07</w:t>
            </w:r>
            <w:r>
              <w:rPr>
                <w:rFonts w:ascii="Arial" w:eastAsia="Times New Roman" w:hAnsi="Arial" w:cs="Arial"/>
                <w:color w:val="000000"/>
                <w:sz w:val="18"/>
                <w:szCs w:val="18"/>
                <w:lang w:eastAsia="sl-SI"/>
              </w:rPr>
              <w:t xml:space="preserve"> %</w:t>
            </w:r>
          </w:p>
        </w:tc>
      </w:tr>
      <w:tr w:rsidR="00E3750C" w:rsidRPr="008D458E" w14:paraId="023DCF16" w14:textId="77777777" w:rsidTr="00047864">
        <w:trPr>
          <w:trHeight w:val="300"/>
        </w:trPr>
        <w:tc>
          <w:tcPr>
            <w:tcW w:w="239" w:type="pct"/>
            <w:tcBorders>
              <w:top w:val="nil"/>
              <w:left w:val="single" w:sz="4" w:space="0" w:color="auto"/>
              <w:bottom w:val="single" w:sz="4" w:space="0" w:color="auto"/>
              <w:right w:val="single" w:sz="4" w:space="0" w:color="auto"/>
            </w:tcBorders>
            <w:shd w:val="clear" w:color="auto" w:fill="auto"/>
            <w:vAlign w:val="center"/>
            <w:hideMark/>
          </w:tcPr>
          <w:p w14:paraId="3115B5BF"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39</w:t>
            </w:r>
          </w:p>
        </w:tc>
        <w:tc>
          <w:tcPr>
            <w:tcW w:w="2926" w:type="pct"/>
            <w:tcBorders>
              <w:top w:val="nil"/>
              <w:left w:val="nil"/>
              <w:bottom w:val="single" w:sz="4" w:space="0" w:color="auto"/>
              <w:right w:val="single" w:sz="4" w:space="0" w:color="auto"/>
            </w:tcBorders>
            <w:shd w:val="clear" w:color="auto" w:fill="auto"/>
            <w:vAlign w:val="center"/>
            <w:hideMark/>
          </w:tcPr>
          <w:p w14:paraId="28EA2BB1"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Pohištvo (vključno s pisarniškim pohištvom), notranja oprema, gospodinjske naprave (razen svetil) in čistilna sredstva</w:t>
            </w:r>
          </w:p>
        </w:tc>
        <w:tc>
          <w:tcPr>
            <w:tcW w:w="405" w:type="pct"/>
            <w:tcBorders>
              <w:top w:val="nil"/>
              <w:left w:val="nil"/>
              <w:bottom w:val="single" w:sz="4" w:space="0" w:color="auto"/>
              <w:right w:val="single" w:sz="4" w:space="0" w:color="auto"/>
            </w:tcBorders>
            <w:shd w:val="clear" w:color="auto" w:fill="auto"/>
            <w:vAlign w:val="center"/>
            <w:hideMark/>
          </w:tcPr>
          <w:p w14:paraId="3A9AEDD5"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146</w:t>
            </w:r>
          </w:p>
        </w:tc>
        <w:tc>
          <w:tcPr>
            <w:tcW w:w="478" w:type="pct"/>
            <w:tcBorders>
              <w:top w:val="nil"/>
              <w:left w:val="nil"/>
              <w:bottom w:val="single" w:sz="4" w:space="0" w:color="auto"/>
              <w:right w:val="single" w:sz="4" w:space="0" w:color="auto"/>
            </w:tcBorders>
            <w:shd w:val="clear" w:color="auto" w:fill="auto"/>
            <w:vAlign w:val="center"/>
            <w:hideMark/>
          </w:tcPr>
          <w:p w14:paraId="64A2D79F"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19.989.817</w:t>
            </w:r>
          </w:p>
        </w:tc>
        <w:tc>
          <w:tcPr>
            <w:tcW w:w="244" w:type="pct"/>
            <w:tcBorders>
              <w:top w:val="nil"/>
              <w:left w:val="nil"/>
              <w:bottom w:val="single" w:sz="4" w:space="0" w:color="auto"/>
              <w:right w:val="single" w:sz="4" w:space="0" w:color="auto"/>
            </w:tcBorders>
            <w:shd w:val="clear" w:color="auto" w:fill="auto"/>
            <w:noWrap/>
            <w:vAlign w:val="center"/>
            <w:hideMark/>
          </w:tcPr>
          <w:p w14:paraId="5636E765"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2,83</w:t>
            </w:r>
            <w:r>
              <w:rPr>
                <w:rFonts w:ascii="Arial" w:eastAsia="Times New Roman" w:hAnsi="Arial" w:cs="Arial"/>
                <w:color w:val="000000"/>
                <w:sz w:val="18"/>
                <w:szCs w:val="18"/>
                <w:lang w:eastAsia="sl-SI"/>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1357F878"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1,41</w:t>
            </w:r>
            <w:r>
              <w:rPr>
                <w:rFonts w:ascii="Arial" w:eastAsia="Times New Roman" w:hAnsi="Arial" w:cs="Arial"/>
                <w:color w:val="000000"/>
                <w:sz w:val="18"/>
                <w:szCs w:val="18"/>
                <w:lang w:eastAsia="sl-SI"/>
              </w:rPr>
              <w:t xml:space="preserve"> %</w:t>
            </w:r>
          </w:p>
        </w:tc>
        <w:tc>
          <w:tcPr>
            <w:tcW w:w="244" w:type="pct"/>
            <w:tcBorders>
              <w:top w:val="nil"/>
              <w:left w:val="nil"/>
              <w:bottom w:val="single" w:sz="4" w:space="0" w:color="auto"/>
              <w:right w:val="single" w:sz="4" w:space="0" w:color="auto"/>
            </w:tcBorders>
            <w:shd w:val="clear" w:color="auto" w:fill="auto"/>
            <w:noWrap/>
            <w:vAlign w:val="center"/>
            <w:hideMark/>
          </w:tcPr>
          <w:p w14:paraId="30E3C0DA"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0,85</w:t>
            </w:r>
            <w:r>
              <w:rPr>
                <w:rFonts w:ascii="Arial" w:eastAsia="Times New Roman" w:hAnsi="Arial" w:cs="Arial"/>
                <w:color w:val="000000"/>
                <w:sz w:val="18"/>
                <w:szCs w:val="18"/>
                <w:lang w:eastAsia="sl-SI"/>
              </w:rPr>
              <w:t xml:space="preserve"> %</w:t>
            </w:r>
          </w:p>
        </w:tc>
        <w:tc>
          <w:tcPr>
            <w:tcW w:w="226" w:type="pct"/>
            <w:tcBorders>
              <w:top w:val="nil"/>
              <w:left w:val="nil"/>
              <w:bottom w:val="single" w:sz="4" w:space="0" w:color="auto"/>
              <w:right w:val="single" w:sz="4" w:space="0" w:color="auto"/>
            </w:tcBorders>
            <w:shd w:val="clear" w:color="auto" w:fill="auto"/>
            <w:noWrap/>
            <w:vAlign w:val="center"/>
            <w:hideMark/>
          </w:tcPr>
          <w:p w14:paraId="2C6A39F2"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0,37</w:t>
            </w:r>
            <w:r>
              <w:rPr>
                <w:rFonts w:ascii="Arial" w:eastAsia="Times New Roman" w:hAnsi="Arial" w:cs="Arial"/>
                <w:color w:val="000000"/>
                <w:sz w:val="18"/>
                <w:szCs w:val="18"/>
                <w:lang w:eastAsia="sl-SI"/>
              </w:rPr>
              <w:t xml:space="preserve"> %</w:t>
            </w:r>
          </w:p>
        </w:tc>
      </w:tr>
      <w:tr w:rsidR="00E3750C" w:rsidRPr="008D458E" w14:paraId="3E928B14" w14:textId="77777777" w:rsidTr="00047864">
        <w:trPr>
          <w:trHeight w:val="300"/>
        </w:trPr>
        <w:tc>
          <w:tcPr>
            <w:tcW w:w="239" w:type="pct"/>
            <w:tcBorders>
              <w:top w:val="nil"/>
              <w:left w:val="single" w:sz="4" w:space="0" w:color="auto"/>
              <w:bottom w:val="single" w:sz="4" w:space="0" w:color="auto"/>
              <w:right w:val="single" w:sz="4" w:space="0" w:color="auto"/>
            </w:tcBorders>
            <w:shd w:val="clear" w:color="auto" w:fill="auto"/>
            <w:vAlign w:val="center"/>
            <w:hideMark/>
          </w:tcPr>
          <w:p w14:paraId="183E2E20"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41</w:t>
            </w:r>
          </w:p>
        </w:tc>
        <w:tc>
          <w:tcPr>
            <w:tcW w:w="2926" w:type="pct"/>
            <w:tcBorders>
              <w:top w:val="nil"/>
              <w:left w:val="nil"/>
              <w:bottom w:val="single" w:sz="4" w:space="0" w:color="auto"/>
              <w:right w:val="single" w:sz="4" w:space="0" w:color="auto"/>
            </w:tcBorders>
            <w:shd w:val="clear" w:color="auto" w:fill="auto"/>
            <w:vAlign w:val="center"/>
            <w:hideMark/>
          </w:tcPr>
          <w:p w14:paraId="247C3EC5"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Zbrana in očiščena voda</w:t>
            </w:r>
          </w:p>
        </w:tc>
        <w:tc>
          <w:tcPr>
            <w:tcW w:w="405" w:type="pct"/>
            <w:tcBorders>
              <w:top w:val="nil"/>
              <w:left w:val="nil"/>
              <w:bottom w:val="single" w:sz="4" w:space="0" w:color="auto"/>
              <w:right w:val="single" w:sz="4" w:space="0" w:color="auto"/>
            </w:tcBorders>
            <w:shd w:val="clear" w:color="auto" w:fill="auto"/>
            <w:vAlign w:val="center"/>
            <w:hideMark/>
          </w:tcPr>
          <w:p w14:paraId="4D80DE70"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1</w:t>
            </w:r>
          </w:p>
        </w:tc>
        <w:tc>
          <w:tcPr>
            <w:tcW w:w="478" w:type="pct"/>
            <w:tcBorders>
              <w:top w:val="nil"/>
              <w:left w:val="nil"/>
              <w:bottom w:val="single" w:sz="4" w:space="0" w:color="auto"/>
              <w:right w:val="single" w:sz="4" w:space="0" w:color="auto"/>
            </w:tcBorders>
            <w:shd w:val="clear" w:color="auto" w:fill="auto"/>
            <w:vAlign w:val="center"/>
            <w:hideMark/>
          </w:tcPr>
          <w:p w14:paraId="63E2447B"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166.200</w:t>
            </w:r>
          </w:p>
        </w:tc>
        <w:tc>
          <w:tcPr>
            <w:tcW w:w="244" w:type="pct"/>
            <w:tcBorders>
              <w:top w:val="nil"/>
              <w:left w:val="nil"/>
              <w:bottom w:val="single" w:sz="4" w:space="0" w:color="auto"/>
              <w:right w:val="single" w:sz="4" w:space="0" w:color="auto"/>
            </w:tcBorders>
            <w:shd w:val="clear" w:color="auto" w:fill="auto"/>
            <w:noWrap/>
            <w:vAlign w:val="center"/>
            <w:hideMark/>
          </w:tcPr>
          <w:p w14:paraId="7A69FBB2"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4EE9D3C6"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244" w:type="pct"/>
            <w:tcBorders>
              <w:top w:val="nil"/>
              <w:left w:val="nil"/>
              <w:bottom w:val="single" w:sz="4" w:space="0" w:color="auto"/>
              <w:right w:val="single" w:sz="4" w:space="0" w:color="auto"/>
            </w:tcBorders>
            <w:shd w:val="clear" w:color="auto" w:fill="auto"/>
            <w:noWrap/>
            <w:vAlign w:val="center"/>
            <w:hideMark/>
          </w:tcPr>
          <w:p w14:paraId="7B6E335C"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226" w:type="pct"/>
            <w:tcBorders>
              <w:top w:val="nil"/>
              <w:left w:val="nil"/>
              <w:bottom w:val="single" w:sz="4" w:space="0" w:color="auto"/>
              <w:right w:val="single" w:sz="4" w:space="0" w:color="auto"/>
            </w:tcBorders>
            <w:shd w:val="clear" w:color="auto" w:fill="auto"/>
            <w:noWrap/>
            <w:vAlign w:val="center"/>
            <w:hideMark/>
          </w:tcPr>
          <w:p w14:paraId="4DB547DB"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0,00</w:t>
            </w:r>
            <w:r>
              <w:rPr>
                <w:rFonts w:ascii="Arial" w:eastAsia="Times New Roman" w:hAnsi="Arial" w:cs="Arial"/>
                <w:color w:val="000000"/>
                <w:sz w:val="18"/>
                <w:szCs w:val="18"/>
                <w:lang w:eastAsia="sl-SI"/>
              </w:rPr>
              <w:t xml:space="preserve"> %</w:t>
            </w:r>
          </w:p>
        </w:tc>
      </w:tr>
      <w:tr w:rsidR="00E3750C" w:rsidRPr="008D458E" w14:paraId="73C927B1" w14:textId="77777777" w:rsidTr="00047864">
        <w:trPr>
          <w:trHeight w:val="300"/>
        </w:trPr>
        <w:tc>
          <w:tcPr>
            <w:tcW w:w="239" w:type="pct"/>
            <w:tcBorders>
              <w:top w:val="nil"/>
              <w:left w:val="single" w:sz="4" w:space="0" w:color="auto"/>
              <w:bottom w:val="single" w:sz="4" w:space="0" w:color="auto"/>
              <w:right w:val="single" w:sz="4" w:space="0" w:color="auto"/>
            </w:tcBorders>
            <w:shd w:val="clear" w:color="auto" w:fill="auto"/>
            <w:vAlign w:val="center"/>
            <w:hideMark/>
          </w:tcPr>
          <w:p w14:paraId="16EE5509"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42</w:t>
            </w:r>
          </w:p>
        </w:tc>
        <w:tc>
          <w:tcPr>
            <w:tcW w:w="2926" w:type="pct"/>
            <w:tcBorders>
              <w:top w:val="nil"/>
              <w:left w:val="nil"/>
              <w:bottom w:val="single" w:sz="4" w:space="0" w:color="auto"/>
              <w:right w:val="single" w:sz="4" w:space="0" w:color="auto"/>
            </w:tcBorders>
            <w:shd w:val="clear" w:color="auto" w:fill="auto"/>
            <w:vAlign w:val="center"/>
            <w:hideMark/>
          </w:tcPr>
          <w:p w14:paraId="5040FAC8"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Industrijski stroji</w:t>
            </w:r>
          </w:p>
        </w:tc>
        <w:tc>
          <w:tcPr>
            <w:tcW w:w="405" w:type="pct"/>
            <w:tcBorders>
              <w:top w:val="nil"/>
              <w:left w:val="nil"/>
              <w:bottom w:val="single" w:sz="4" w:space="0" w:color="auto"/>
              <w:right w:val="single" w:sz="4" w:space="0" w:color="auto"/>
            </w:tcBorders>
            <w:shd w:val="clear" w:color="auto" w:fill="auto"/>
            <w:vAlign w:val="center"/>
            <w:hideMark/>
          </w:tcPr>
          <w:p w14:paraId="67E1B38E"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13</w:t>
            </w:r>
          </w:p>
        </w:tc>
        <w:tc>
          <w:tcPr>
            <w:tcW w:w="478" w:type="pct"/>
            <w:tcBorders>
              <w:top w:val="nil"/>
              <w:left w:val="nil"/>
              <w:bottom w:val="single" w:sz="4" w:space="0" w:color="auto"/>
              <w:right w:val="single" w:sz="4" w:space="0" w:color="auto"/>
            </w:tcBorders>
            <w:shd w:val="clear" w:color="auto" w:fill="auto"/>
            <w:vAlign w:val="center"/>
            <w:hideMark/>
          </w:tcPr>
          <w:p w14:paraId="58B233D0"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740.765</w:t>
            </w:r>
          </w:p>
        </w:tc>
        <w:tc>
          <w:tcPr>
            <w:tcW w:w="244" w:type="pct"/>
            <w:tcBorders>
              <w:top w:val="nil"/>
              <w:left w:val="nil"/>
              <w:bottom w:val="single" w:sz="4" w:space="0" w:color="auto"/>
              <w:right w:val="single" w:sz="4" w:space="0" w:color="auto"/>
            </w:tcBorders>
            <w:shd w:val="clear" w:color="auto" w:fill="auto"/>
            <w:noWrap/>
            <w:vAlign w:val="center"/>
            <w:hideMark/>
          </w:tcPr>
          <w:p w14:paraId="477A9B9D"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0,25</w:t>
            </w:r>
            <w:r>
              <w:rPr>
                <w:rFonts w:ascii="Arial" w:eastAsia="Times New Roman" w:hAnsi="Arial" w:cs="Arial"/>
                <w:color w:val="000000"/>
                <w:sz w:val="18"/>
                <w:szCs w:val="18"/>
                <w:lang w:eastAsia="sl-SI"/>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45B0A2D6"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0,05</w:t>
            </w:r>
            <w:r>
              <w:rPr>
                <w:rFonts w:ascii="Arial" w:eastAsia="Times New Roman" w:hAnsi="Arial" w:cs="Arial"/>
                <w:color w:val="000000"/>
                <w:sz w:val="18"/>
                <w:szCs w:val="18"/>
                <w:lang w:eastAsia="sl-SI"/>
              </w:rPr>
              <w:t xml:space="preserve"> %</w:t>
            </w:r>
          </w:p>
        </w:tc>
        <w:tc>
          <w:tcPr>
            <w:tcW w:w="244" w:type="pct"/>
            <w:tcBorders>
              <w:top w:val="nil"/>
              <w:left w:val="nil"/>
              <w:bottom w:val="single" w:sz="4" w:space="0" w:color="auto"/>
              <w:right w:val="single" w:sz="4" w:space="0" w:color="auto"/>
            </w:tcBorders>
            <w:shd w:val="clear" w:color="auto" w:fill="auto"/>
            <w:noWrap/>
            <w:vAlign w:val="center"/>
            <w:hideMark/>
          </w:tcPr>
          <w:p w14:paraId="2463CC8D"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0,08</w:t>
            </w:r>
            <w:r>
              <w:rPr>
                <w:rFonts w:ascii="Arial" w:eastAsia="Times New Roman" w:hAnsi="Arial" w:cs="Arial"/>
                <w:color w:val="000000"/>
                <w:sz w:val="18"/>
                <w:szCs w:val="18"/>
                <w:lang w:eastAsia="sl-SI"/>
              </w:rPr>
              <w:t xml:space="preserve"> %</w:t>
            </w:r>
          </w:p>
        </w:tc>
        <w:tc>
          <w:tcPr>
            <w:tcW w:w="226" w:type="pct"/>
            <w:tcBorders>
              <w:top w:val="nil"/>
              <w:left w:val="nil"/>
              <w:bottom w:val="single" w:sz="4" w:space="0" w:color="auto"/>
              <w:right w:val="single" w:sz="4" w:space="0" w:color="auto"/>
            </w:tcBorders>
            <w:shd w:val="clear" w:color="auto" w:fill="auto"/>
            <w:noWrap/>
            <w:vAlign w:val="center"/>
            <w:hideMark/>
          </w:tcPr>
          <w:p w14:paraId="23AB0AC7"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r>
      <w:tr w:rsidR="00E3750C" w:rsidRPr="008D458E" w14:paraId="345E9851" w14:textId="77777777" w:rsidTr="00047864">
        <w:trPr>
          <w:trHeight w:val="300"/>
        </w:trPr>
        <w:tc>
          <w:tcPr>
            <w:tcW w:w="239" w:type="pct"/>
            <w:tcBorders>
              <w:top w:val="nil"/>
              <w:left w:val="single" w:sz="4" w:space="0" w:color="auto"/>
              <w:bottom w:val="single" w:sz="4" w:space="0" w:color="auto"/>
              <w:right w:val="single" w:sz="4" w:space="0" w:color="auto"/>
            </w:tcBorders>
            <w:shd w:val="clear" w:color="auto" w:fill="auto"/>
            <w:vAlign w:val="center"/>
            <w:hideMark/>
          </w:tcPr>
          <w:p w14:paraId="0704A25F"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43</w:t>
            </w:r>
          </w:p>
        </w:tc>
        <w:tc>
          <w:tcPr>
            <w:tcW w:w="2926" w:type="pct"/>
            <w:tcBorders>
              <w:top w:val="nil"/>
              <w:left w:val="nil"/>
              <w:bottom w:val="single" w:sz="4" w:space="0" w:color="auto"/>
              <w:right w:val="single" w:sz="4" w:space="0" w:color="auto"/>
            </w:tcBorders>
            <w:shd w:val="clear" w:color="auto" w:fill="auto"/>
            <w:vAlign w:val="center"/>
            <w:hideMark/>
          </w:tcPr>
          <w:p w14:paraId="57D5CDBC"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Rudarska, kamnoseška in gradbena oprema</w:t>
            </w:r>
          </w:p>
        </w:tc>
        <w:tc>
          <w:tcPr>
            <w:tcW w:w="405" w:type="pct"/>
            <w:tcBorders>
              <w:top w:val="nil"/>
              <w:left w:val="nil"/>
              <w:bottom w:val="single" w:sz="4" w:space="0" w:color="auto"/>
              <w:right w:val="single" w:sz="4" w:space="0" w:color="auto"/>
            </w:tcBorders>
            <w:shd w:val="clear" w:color="auto" w:fill="auto"/>
            <w:vAlign w:val="center"/>
            <w:hideMark/>
          </w:tcPr>
          <w:p w14:paraId="40427A1E"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14</w:t>
            </w:r>
          </w:p>
        </w:tc>
        <w:tc>
          <w:tcPr>
            <w:tcW w:w="478" w:type="pct"/>
            <w:tcBorders>
              <w:top w:val="nil"/>
              <w:left w:val="nil"/>
              <w:bottom w:val="single" w:sz="4" w:space="0" w:color="auto"/>
              <w:right w:val="single" w:sz="4" w:space="0" w:color="auto"/>
            </w:tcBorders>
            <w:shd w:val="clear" w:color="auto" w:fill="auto"/>
            <w:vAlign w:val="center"/>
            <w:hideMark/>
          </w:tcPr>
          <w:p w14:paraId="51539C0D"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592.208</w:t>
            </w:r>
          </w:p>
        </w:tc>
        <w:tc>
          <w:tcPr>
            <w:tcW w:w="244" w:type="pct"/>
            <w:tcBorders>
              <w:top w:val="nil"/>
              <w:left w:val="nil"/>
              <w:bottom w:val="single" w:sz="4" w:space="0" w:color="auto"/>
              <w:right w:val="single" w:sz="4" w:space="0" w:color="auto"/>
            </w:tcBorders>
            <w:shd w:val="clear" w:color="auto" w:fill="auto"/>
            <w:noWrap/>
            <w:vAlign w:val="center"/>
            <w:hideMark/>
          </w:tcPr>
          <w:p w14:paraId="0F967FAF"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0,27</w:t>
            </w:r>
            <w:r>
              <w:rPr>
                <w:rFonts w:ascii="Arial" w:eastAsia="Times New Roman" w:hAnsi="Arial" w:cs="Arial"/>
                <w:color w:val="000000"/>
                <w:sz w:val="18"/>
                <w:szCs w:val="18"/>
                <w:lang w:eastAsia="sl-SI"/>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1BAD11B3"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0,04</w:t>
            </w:r>
            <w:r>
              <w:rPr>
                <w:rFonts w:ascii="Arial" w:eastAsia="Times New Roman" w:hAnsi="Arial" w:cs="Arial"/>
                <w:color w:val="000000"/>
                <w:sz w:val="18"/>
                <w:szCs w:val="18"/>
                <w:lang w:eastAsia="sl-SI"/>
              </w:rPr>
              <w:t xml:space="preserve"> %</w:t>
            </w:r>
          </w:p>
        </w:tc>
        <w:tc>
          <w:tcPr>
            <w:tcW w:w="244" w:type="pct"/>
            <w:tcBorders>
              <w:top w:val="nil"/>
              <w:left w:val="nil"/>
              <w:bottom w:val="single" w:sz="4" w:space="0" w:color="auto"/>
              <w:right w:val="single" w:sz="4" w:space="0" w:color="auto"/>
            </w:tcBorders>
            <w:shd w:val="clear" w:color="auto" w:fill="auto"/>
            <w:noWrap/>
            <w:vAlign w:val="center"/>
            <w:hideMark/>
          </w:tcPr>
          <w:p w14:paraId="598CD18C"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0,08</w:t>
            </w:r>
            <w:r>
              <w:rPr>
                <w:rFonts w:ascii="Arial" w:eastAsia="Times New Roman" w:hAnsi="Arial" w:cs="Arial"/>
                <w:color w:val="000000"/>
                <w:sz w:val="18"/>
                <w:szCs w:val="18"/>
                <w:lang w:eastAsia="sl-SI"/>
              </w:rPr>
              <w:t xml:space="preserve"> %</w:t>
            </w:r>
          </w:p>
        </w:tc>
        <w:tc>
          <w:tcPr>
            <w:tcW w:w="226" w:type="pct"/>
            <w:tcBorders>
              <w:top w:val="nil"/>
              <w:left w:val="nil"/>
              <w:bottom w:val="single" w:sz="4" w:space="0" w:color="auto"/>
              <w:right w:val="single" w:sz="4" w:space="0" w:color="auto"/>
            </w:tcBorders>
            <w:shd w:val="clear" w:color="auto" w:fill="auto"/>
            <w:noWrap/>
            <w:vAlign w:val="center"/>
            <w:hideMark/>
          </w:tcPr>
          <w:p w14:paraId="0A4FD9AE"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r>
      <w:tr w:rsidR="00E3750C" w:rsidRPr="008D458E" w14:paraId="36902E94" w14:textId="77777777" w:rsidTr="00047864">
        <w:trPr>
          <w:trHeight w:val="300"/>
        </w:trPr>
        <w:tc>
          <w:tcPr>
            <w:tcW w:w="239" w:type="pct"/>
            <w:tcBorders>
              <w:top w:val="nil"/>
              <w:left w:val="single" w:sz="4" w:space="0" w:color="auto"/>
              <w:bottom w:val="single" w:sz="4" w:space="0" w:color="auto"/>
              <w:right w:val="single" w:sz="4" w:space="0" w:color="auto"/>
            </w:tcBorders>
            <w:shd w:val="clear" w:color="auto" w:fill="auto"/>
            <w:vAlign w:val="center"/>
            <w:hideMark/>
          </w:tcPr>
          <w:p w14:paraId="2C06266E"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44</w:t>
            </w:r>
          </w:p>
        </w:tc>
        <w:tc>
          <w:tcPr>
            <w:tcW w:w="2926" w:type="pct"/>
            <w:tcBorders>
              <w:top w:val="nil"/>
              <w:left w:val="nil"/>
              <w:bottom w:val="single" w:sz="4" w:space="0" w:color="auto"/>
              <w:right w:val="single" w:sz="4" w:space="0" w:color="auto"/>
            </w:tcBorders>
            <w:shd w:val="clear" w:color="auto" w:fill="auto"/>
            <w:vAlign w:val="center"/>
            <w:hideMark/>
          </w:tcPr>
          <w:p w14:paraId="02FD1CFC"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Gradbene strukture in materiali; pomožni gradbeni izdelki (razen električnih aparatov)</w:t>
            </w:r>
          </w:p>
        </w:tc>
        <w:tc>
          <w:tcPr>
            <w:tcW w:w="405" w:type="pct"/>
            <w:tcBorders>
              <w:top w:val="nil"/>
              <w:left w:val="nil"/>
              <w:bottom w:val="single" w:sz="4" w:space="0" w:color="auto"/>
              <w:right w:val="single" w:sz="4" w:space="0" w:color="auto"/>
            </w:tcBorders>
            <w:shd w:val="clear" w:color="auto" w:fill="auto"/>
            <w:vAlign w:val="center"/>
            <w:hideMark/>
          </w:tcPr>
          <w:p w14:paraId="434DACEA"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12</w:t>
            </w:r>
          </w:p>
        </w:tc>
        <w:tc>
          <w:tcPr>
            <w:tcW w:w="478" w:type="pct"/>
            <w:tcBorders>
              <w:top w:val="nil"/>
              <w:left w:val="nil"/>
              <w:bottom w:val="single" w:sz="4" w:space="0" w:color="auto"/>
              <w:right w:val="single" w:sz="4" w:space="0" w:color="auto"/>
            </w:tcBorders>
            <w:shd w:val="clear" w:color="auto" w:fill="auto"/>
            <w:vAlign w:val="center"/>
            <w:hideMark/>
          </w:tcPr>
          <w:p w14:paraId="15EF5DC9"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3.941.226</w:t>
            </w:r>
          </w:p>
        </w:tc>
        <w:tc>
          <w:tcPr>
            <w:tcW w:w="244" w:type="pct"/>
            <w:tcBorders>
              <w:top w:val="nil"/>
              <w:left w:val="nil"/>
              <w:bottom w:val="single" w:sz="4" w:space="0" w:color="auto"/>
              <w:right w:val="single" w:sz="4" w:space="0" w:color="auto"/>
            </w:tcBorders>
            <w:shd w:val="clear" w:color="auto" w:fill="auto"/>
            <w:noWrap/>
            <w:vAlign w:val="center"/>
            <w:hideMark/>
          </w:tcPr>
          <w:p w14:paraId="1AEDAB28"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0,23</w:t>
            </w:r>
            <w:r>
              <w:rPr>
                <w:rFonts w:ascii="Arial" w:eastAsia="Times New Roman" w:hAnsi="Arial" w:cs="Arial"/>
                <w:color w:val="000000"/>
                <w:sz w:val="18"/>
                <w:szCs w:val="18"/>
                <w:lang w:eastAsia="sl-SI"/>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2ACBEDC8"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0,28</w:t>
            </w:r>
            <w:r>
              <w:rPr>
                <w:rFonts w:ascii="Arial" w:eastAsia="Times New Roman" w:hAnsi="Arial" w:cs="Arial"/>
                <w:color w:val="000000"/>
                <w:sz w:val="18"/>
                <w:szCs w:val="18"/>
                <w:lang w:eastAsia="sl-SI"/>
              </w:rPr>
              <w:t xml:space="preserve"> %</w:t>
            </w:r>
          </w:p>
        </w:tc>
        <w:tc>
          <w:tcPr>
            <w:tcW w:w="244" w:type="pct"/>
            <w:tcBorders>
              <w:top w:val="nil"/>
              <w:left w:val="nil"/>
              <w:bottom w:val="single" w:sz="4" w:space="0" w:color="auto"/>
              <w:right w:val="single" w:sz="4" w:space="0" w:color="auto"/>
            </w:tcBorders>
            <w:shd w:val="clear" w:color="auto" w:fill="auto"/>
            <w:noWrap/>
            <w:vAlign w:val="center"/>
            <w:hideMark/>
          </w:tcPr>
          <w:p w14:paraId="6C6DD9BC"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0,07</w:t>
            </w:r>
            <w:r>
              <w:rPr>
                <w:rFonts w:ascii="Arial" w:eastAsia="Times New Roman" w:hAnsi="Arial" w:cs="Arial"/>
                <w:color w:val="000000"/>
                <w:sz w:val="18"/>
                <w:szCs w:val="18"/>
                <w:lang w:eastAsia="sl-SI"/>
              </w:rPr>
              <w:t xml:space="preserve"> %</w:t>
            </w:r>
          </w:p>
        </w:tc>
        <w:tc>
          <w:tcPr>
            <w:tcW w:w="226" w:type="pct"/>
            <w:tcBorders>
              <w:top w:val="nil"/>
              <w:left w:val="nil"/>
              <w:bottom w:val="single" w:sz="4" w:space="0" w:color="auto"/>
              <w:right w:val="single" w:sz="4" w:space="0" w:color="auto"/>
            </w:tcBorders>
            <w:shd w:val="clear" w:color="auto" w:fill="auto"/>
            <w:noWrap/>
            <w:vAlign w:val="center"/>
            <w:hideMark/>
          </w:tcPr>
          <w:p w14:paraId="4D46F775"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0,07</w:t>
            </w:r>
            <w:r>
              <w:rPr>
                <w:rFonts w:ascii="Arial" w:eastAsia="Times New Roman" w:hAnsi="Arial" w:cs="Arial"/>
                <w:color w:val="000000"/>
                <w:sz w:val="18"/>
                <w:szCs w:val="18"/>
                <w:lang w:eastAsia="sl-SI"/>
              </w:rPr>
              <w:t xml:space="preserve"> %</w:t>
            </w:r>
          </w:p>
        </w:tc>
      </w:tr>
      <w:tr w:rsidR="00E3750C" w:rsidRPr="008D458E" w14:paraId="782A9DFD" w14:textId="77777777" w:rsidTr="00047864">
        <w:trPr>
          <w:trHeight w:val="300"/>
        </w:trPr>
        <w:tc>
          <w:tcPr>
            <w:tcW w:w="239" w:type="pct"/>
            <w:tcBorders>
              <w:top w:val="nil"/>
              <w:left w:val="single" w:sz="4" w:space="0" w:color="auto"/>
              <w:bottom w:val="single" w:sz="4" w:space="0" w:color="auto"/>
              <w:right w:val="single" w:sz="4" w:space="0" w:color="auto"/>
            </w:tcBorders>
            <w:shd w:val="clear" w:color="auto" w:fill="auto"/>
            <w:vAlign w:val="center"/>
            <w:hideMark/>
          </w:tcPr>
          <w:p w14:paraId="5457ACE5"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45</w:t>
            </w:r>
          </w:p>
        </w:tc>
        <w:tc>
          <w:tcPr>
            <w:tcW w:w="2926" w:type="pct"/>
            <w:tcBorders>
              <w:top w:val="nil"/>
              <w:left w:val="nil"/>
              <w:bottom w:val="single" w:sz="4" w:space="0" w:color="auto"/>
              <w:right w:val="single" w:sz="4" w:space="0" w:color="auto"/>
            </w:tcBorders>
            <w:shd w:val="clear" w:color="auto" w:fill="auto"/>
            <w:vAlign w:val="center"/>
            <w:hideMark/>
          </w:tcPr>
          <w:p w14:paraId="4290B1D2"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Gradbena dela</w:t>
            </w:r>
          </w:p>
        </w:tc>
        <w:tc>
          <w:tcPr>
            <w:tcW w:w="405" w:type="pct"/>
            <w:tcBorders>
              <w:top w:val="nil"/>
              <w:left w:val="nil"/>
              <w:bottom w:val="single" w:sz="4" w:space="0" w:color="auto"/>
              <w:right w:val="single" w:sz="4" w:space="0" w:color="auto"/>
            </w:tcBorders>
            <w:shd w:val="clear" w:color="auto" w:fill="auto"/>
            <w:vAlign w:val="center"/>
            <w:hideMark/>
          </w:tcPr>
          <w:p w14:paraId="44029CF5"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657</w:t>
            </w:r>
          </w:p>
        </w:tc>
        <w:tc>
          <w:tcPr>
            <w:tcW w:w="478" w:type="pct"/>
            <w:tcBorders>
              <w:top w:val="nil"/>
              <w:left w:val="nil"/>
              <w:bottom w:val="single" w:sz="4" w:space="0" w:color="auto"/>
              <w:right w:val="single" w:sz="4" w:space="0" w:color="auto"/>
            </w:tcBorders>
            <w:shd w:val="clear" w:color="auto" w:fill="auto"/>
            <w:vAlign w:val="center"/>
            <w:hideMark/>
          </w:tcPr>
          <w:p w14:paraId="334C2A69"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986.996.598</w:t>
            </w:r>
          </w:p>
        </w:tc>
        <w:tc>
          <w:tcPr>
            <w:tcW w:w="244" w:type="pct"/>
            <w:tcBorders>
              <w:top w:val="nil"/>
              <w:left w:val="nil"/>
              <w:bottom w:val="single" w:sz="4" w:space="0" w:color="auto"/>
              <w:right w:val="single" w:sz="4" w:space="0" w:color="auto"/>
            </w:tcBorders>
            <w:shd w:val="clear" w:color="auto" w:fill="auto"/>
            <w:noWrap/>
            <w:vAlign w:val="center"/>
            <w:hideMark/>
          </w:tcPr>
          <w:p w14:paraId="0C03DBF5"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12,73</w:t>
            </w:r>
            <w:r>
              <w:rPr>
                <w:rFonts w:ascii="Arial" w:eastAsia="Times New Roman" w:hAnsi="Arial" w:cs="Arial"/>
                <w:color w:val="000000"/>
                <w:sz w:val="18"/>
                <w:szCs w:val="18"/>
                <w:lang w:eastAsia="sl-SI"/>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0B1A095E"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69,37</w:t>
            </w:r>
            <w:r>
              <w:rPr>
                <w:rFonts w:ascii="Arial" w:eastAsia="Times New Roman" w:hAnsi="Arial" w:cs="Arial"/>
                <w:color w:val="000000"/>
                <w:sz w:val="18"/>
                <w:szCs w:val="18"/>
                <w:lang w:eastAsia="sl-SI"/>
              </w:rPr>
              <w:t xml:space="preserve"> %</w:t>
            </w:r>
          </w:p>
        </w:tc>
        <w:tc>
          <w:tcPr>
            <w:tcW w:w="244" w:type="pct"/>
            <w:tcBorders>
              <w:top w:val="nil"/>
              <w:left w:val="nil"/>
              <w:bottom w:val="single" w:sz="4" w:space="0" w:color="auto"/>
              <w:right w:val="single" w:sz="4" w:space="0" w:color="auto"/>
            </w:tcBorders>
            <w:shd w:val="clear" w:color="auto" w:fill="auto"/>
            <w:noWrap/>
            <w:vAlign w:val="center"/>
            <w:hideMark/>
          </w:tcPr>
          <w:p w14:paraId="00E619F1"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3,81</w:t>
            </w:r>
            <w:r>
              <w:rPr>
                <w:rFonts w:ascii="Arial" w:eastAsia="Times New Roman" w:hAnsi="Arial" w:cs="Arial"/>
                <w:color w:val="000000"/>
                <w:sz w:val="18"/>
                <w:szCs w:val="18"/>
                <w:lang w:eastAsia="sl-SI"/>
              </w:rPr>
              <w:t xml:space="preserve"> %</w:t>
            </w:r>
          </w:p>
        </w:tc>
        <w:tc>
          <w:tcPr>
            <w:tcW w:w="226" w:type="pct"/>
            <w:tcBorders>
              <w:top w:val="nil"/>
              <w:left w:val="nil"/>
              <w:bottom w:val="single" w:sz="4" w:space="0" w:color="auto"/>
              <w:right w:val="single" w:sz="4" w:space="0" w:color="auto"/>
            </w:tcBorders>
            <w:shd w:val="clear" w:color="auto" w:fill="auto"/>
            <w:noWrap/>
            <w:vAlign w:val="center"/>
            <w:hideMark/>
          </w:tcPr>
          <w:p w14:paraId="167DEE46"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18,22</w:t>
            </w:r>
            <w:r>
              <w:rPr>
                <w:rFonts w:ascii="Arial" w:eastAsia="Times New Roman" w:hAnsi="Arial" w:cs="Arial"/>
                <w:color w:val="000000"/>
                <w:sz w:val="18"/>
                <w:szCs w:val="18"/>
                <w:lang w:eastAsia="sl-SI"/>
              </w:rPr>
              <w:t xml:space="preserve"> %</w:t>
            </w:r>
          </w:p>
        </w:tc>
      </w:tr>
      <w:tr w:rsidR="00E3750C" w:rsidRPr="008D458E" w14:paraId="61EF5A8C" w14:textId="77777777" w:rsidTr="00047864">
        <w:trPr>
          <w:trHeight w:val="300"/>
        </w:trPr>
        <w:tc>
          <w:tcPr>
            <w:tcW w:w="239" w:type="pct"/>
            <w:tcBorders>
              <w:top w:val="nil"/>
              <w:left w:val="single" w:sz="4" w:space="0" w:color="auto"/>
              <w:bottom w:val="single" w:sz="4" w:space="0" w:color="auto"/>
              <w:right w:val="single" w:sz="4" w:space="0" w:color="auto"/>
            </w:tcBorders>
            <w:shd w:val="clear" w:color="auto" w:fill="auto"/>
            <w:vAlign w:val="center"/>
            <w:hideMark/>
          </w:tcPr>
          <w:p w14:paraId="15FBDED9"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48</w:t>
            </w:r>
          </w:p>
        </w:tc>
        <w:tc>
          <w:tcPr>
            <w:tcW w:w="2926" w:type="pct"/>
            <w:tcBorders>
              <w:top w:val="nil"/>
              <w:left w:val="nil"/>
              <w:bottom w:val="single" w:sz="4" w:space="0" w:color="auto"/>
              <w:right w:val="single" w:sz="4" w:space="0" w:color="auto"/>
            </w:tcBorders>
            <w:shd w:val="clear" w:color="auto" w:fill="auto"/>
            <w:vAlign w:val="center"/>
            <w:hideMark/>
          </w:tcPr>
          <w:p w14:paraId="7AA0E44C"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Programski paketi in informacijski sistemi</w:t>
            </w:r>
          </w:p>
        </w:tc>
        <w:tc>
          <w:tcPr>
            <w:tcW w:w="405" w:type="pct"/>
            <w:tcBorders>
              <w:top w:val="nil"/>
              <w:left w:val="nil"/>
              <w:bottom w:val="single" w:sz="4" w:space="0" w:color="auto"/>
              <w:right w:val="single" w:sz="4" w:space="0" w:color="auto"/>
            </w:tcBorders>
            <w:shd w:val="clear" w:color="auto" w:fill="auto"/>
            <w:vAlign w:val="center"/>
            <w:hideMark/>
          </w:tcPr>
          <w:p w14:paraId="09634407"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6</w:t>
            </w:r>
          </w:p>
        </w:tc>
        <w:tc>
          <w:tcPr>
            <w:tcW w:w="478" w:type="pct"/>
            <w:tcBorders>
              <w:top w:val="nil"/>
              <w:left w:val="nil"/>
              <w:bottom w:val="single" w:sz="4" w:space="0" w:color="auto"/>
              <w:right w:val="single" w:sz="4" w:space="0" w:color="auto"/>
            </w:tcBorders>
            <w:shd w:val="clear" w:color="auto" w:fill="auto"/>
            <w:vAlign w:val="center"/>
            <w:hideMark/>
          </w:tcPr>
          <w:p w14:paraId="4035834E"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442.952</w:t>
            </w:r>
          </w:p>
        </w:tc>
        <w:tc>
          <w:tcPr>
            <w:tcW w:w="244" w:type="pct"/>
            <w:tcBorders>
              <w:top w:val="nil"/>
              <w:left w:val="nil"/>
              <w:bottom w:val="single" w:sz="4" w:space="0" w:color="auto"/>
              <w:right w:val="single" w:sz="4" w:space="0" w:color="auto"/>
            </w:tcBorders>
            <w:shd w:val="clear" w:color="auto" w:fill="auto"/>
            <w:noWrap/>
            <w:vAlign w:val="center"/>
            <w:hideMark/>
          </w:tcPr>
          <w:p w14:paraId="5FFB1B1B"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0,12</w:t>
            </w:r>
            <w:r>
              <w:rPr>
                <w:rFonts w:ascii="Arial" w:eastAsia="Times New Roman" w:hAnsi="Arial" w:cs="Arial"/>
                <w:color w:val="000000"/>
                <w:sz w:val="18"/>
                <w:szCs w:val="18"/>
                <w:lang w:eastAsia="sl-SI"/>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3F4BB77F"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c>
          <w:tcPr>
            <w:tcW w:w="244" w:type="pct"/>
            <w:tcBorders>
              <w:top w:val="nil"/>
              <w:left w:val="nil"/>
              <w:bottom w:val="single" w:sz="4" w:space="0" w:color="auto"/>
              <w:right w:val="single" w:sz="4" w:space="0" w:color="auto"/>
            </w:tcBorders>
            <w:shd w:val="clear" w:color="auto" w:fill="auto"/>
            <w:noWrap/>
            <w:vAlign w:val="center"/>
            <w:hideMark/>
          </w:tcPr>
          <w:p w14:paraId="56CB5110"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c>
          <w:tcPr>
            <w:tcW w:w="226" w:type="pct"/>
            <w:tcBorders>
              <w:top w:val="nil"/>
              <w:left w:val="nil"/>
              <w:bottom w:val="single" w:sz="4" w:space="0" w:color="auto"/>
              <w:right w:val="single" w:sz="4" w:space="0" w:color="auto"/>
            </w:tcBorders>
            <w:shd w:val="clear" w:color="auto" w:fill="auto"/>
            <w:noWrap/>
            <w:vAlign w:val="center"/>
            <w:hideMark/>
          </w:tcPr>
          <w:p w14:paraId="50F1A90E"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r>
      <w:tr w:rsidR="00E3750C" w:rsidRPr="008D458E" w14:paraId="04794052" w14:textId="77777777" w:rsidTr="00047864">
        <w:trPr>
          <w:trHeight w:val="300"/>
        </w:trPr>
        <w:tc>
          <w:tcPr>
            <w:tcW w:w="239" w:type="pct"/>
            <w:tcBorders>
              <w:top w:val="nil"/>
              <w:left w:val="single" w:sz="4" w:space="0" w:color="auto"/>
              <w:bottom w:val="single" w:sz="4" w:space="0" w:color="auto"/>
              <w:right w:val="single" w:sz="4" w:space="0" w:color="auto"/>
            </w:tcBorders>
            <w:shd w:val="clear" w:color="auto" w:fill="auto"/>
            <w:vAlign w:val="center"/>
            <w:hideMark/>
          </w:tcPr>
          <w:p w14:paraId="36718C3E"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50</w:t>
            </w:r>
          </w:p>
        </w:tc>
        <w:tc>
          <w:tcPr>
            <w:tcW w:w="2926" w:type="pct"/>
            <w:tcBorders>
              <w:top w:val="nil"/>
              <w:left w:val="nil"/>
              <w:bottom w:val="single" w:sz="4" w:space="0" w:color="auto"/>
              <w:right w:val="single" w:sz="4" w:space="0" w:color="auto"/>
            </w:tcBorders>
            <w:shd w:val="clear" w:color="auto" w:fill="auto"/>
            <w:vAlign w:val="center"/>
            <w:hideMark/>
          </w:tcPr>
          <w:p w14:paraId="3D1E0921"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Storitve popravila in vzdrževanja</w:t>
            </w:r>
          </w:p>
        </w:tc>
        <w:tc>
          <w:tcPr>
            <w:tcW w:w="405" w:type="pct"/>
            <w:tcBorders>
              <w:top w:val="nil"/>
              <w:left w:val="nil"/>
              <w:bottom w:val="single" w:sz="4" w:space="0" w:color="auto"/>
              <w:right w:val="single" w:sz="4" w:space="0" w:color="auto"/>
            </w:tcBorders>
            <w:shd w:val="clear" w:color="auto" w:fill="auto"/>
            <w:vAlign w:val="center"/>
            <w:hideMark/>
          </w:tcPr>
          <w:p w14:paraId="44511253"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119</w:t>
            </w:r>
          </w:p>
        </w:tc>
        <w:tc>
          <w:tcPr>
            <w:tcW w:w="478" w:type="pct"/>
            <w:tcBorders>
              <w:top w:val="nil"/>
              <w:left w:val="nil"/>
              <w:bottom w:val="single" w:sz="4" w:space="0" w:color="auto"/>
              <w:right w:val="single" w:sz="4" w:space="0" w:color="auto"/>
            </w:tcBorders>
            <w:shd w:val="clear" w:color="auto" w:fill="auto"/>
            <w:vAlign w:val="center"/>
            <w:hideMark/>
          </w:tcPr>
          <w:p w14:paraId="7538E419"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9.442.400</w:t>
            </w:r>
          </w:p>
        </w:tc>
        <w:tc>
          <w:tcPr>
            <w:tcW w:w="244" w:type="pct"/>
            <w:tcBorders>
              <w:top w:val="nil"/>
              <w:left w:val="nil"/>
              <w:bottom w:val="single" w:sz="4" w:space="0" w:color="auto"/>
              <w:right w:val="single" w:sz="4" w:space="0" w:color="auto"/>
            </w:tcBorders>
            <w:shd w:val="clear" w:color="auto" w:fill="auto"/>
            <w:noWrap/>
            <w:vAlign w:val="center"/>
            <w:hideMark/>
          </w:tcPr>
          <w:p w14:paraId="22938D24"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2,31</w:t>
            </w:r>
            <w:r>
              <w:rPr>
                <w:rFonts w:ascii="Arial" w:eastAsia="Times New Roman" w:hAnsi="Arial" w:cs="Arial"/>
                <w:color w:val="000000"/>
                <w:sz w:val="18"/>
                <w:szCs w:val="18"/>
                <w:lang w:eastAsia="sl-SI"/>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119A73E0"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0,66</w:t>
            </w:r>
            <w:r>
              <w:rPr>
                <w:rFonts w:ascii="Arial" w:eastAsia="Times New Roman" w:hAnsi="Arial" w:cs="Arial"/>
                <w:color w:val="000000"/>
                <w:sz w:val="18"/>
                <w:szCs w:val="18"/>
                <w:lang w:eastAsia="sl-SI"/>
              </w:rPr>
              <w:t xml:space="preserve"> %</w:t>
            </w:r>
          </w:p>
        </w:tc>
        <w:tc>
          <w:tcPr>
            <w:tcW w:w="244" w:type="pct"/>
            <w:tcBorders>
              <w:top w:val="nil"/>
              <w:left w:val="nil"/>
              <w:bottom w:val="single" w:sz="4" w:space="0" w:color="auto"/>
              <w:right w:val="single" w:sz="4" w:space="0" w:color="auto"/>
            </w:tcBorders>
            <w:shd w:val="clear" w:color="auto" w:fill="auto"/>
            <w:noWrap/>
            <w:vAlign w:val="center"/>
            <w:hideMark/>
          </w:tcPr>
          <w:p w14:paraId="6D5C0B06"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0,69</w:t>
            </w:r>
            <w:r>
              <w:rPr>
                <w:rFonts w:ascii="Arial" w:eastAsia="Times New Roman" w:hAnsi="Arial" w:cs="Arial"/>
                <w:color w:val="000000"/>
                <w:sz w:val="18"/>
                <w:szCs w:val="18"/>
                <w:lang w:eastAsia="sl-SI"/>
              </w:rPr>
              <w:t xml:space="preserve"> %</w:t>
            </w:r>
          </w:p>
        </w:tc>
        <w:tc>
          <w:tcPr>
            <w:tcW w:w="226" w:type="pct"/>
            <w:tcBorders>
              <w:top w:val="nil"/>
              <w:left w:val="nil"/>
              <w:bottom w:val="single" w:sz="4" w:space="0" w:color="auto"/>
              <w:right w:val="single" w:sz="4" w:space="0" w:color="auto"/>
            </w:tcBorders>
            <w:shd w:val="clear" w:color="auto" w:fill="auto"/>
            <w:noWrap/>
            <w:vAlign w:val="center"/>
            <w:hideMark/>
          </w:tcPr>
          <w:p w14:paraId="7F1FDD49"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0,17</w:t>
            </w:r>
            <w:r>
              <w:rPr>
                <w:rFonts w:ascii="Arial" w:eastAsia="Times New Roman" w:hAnsi="Arial" w:cs="Arial"/>
                <w:color w:val="000000"/>
                <w:sz w:val="18"/>
                <w:szCs w:val="18"/>
                <w:lang w:eastAsia="sl-SI"/>
              </w:rPr>
              <w:t xml:space="preserve"> %</w:t>
            </w:r>
          </w:p>
        </w:tc>
      </w:tr>
      <w:tr w:rsidR="00E3750C" w:rsidRPr="008D458E" w14:paraId="093AA5EC" w14:textId="77777777" w:rsidTr="00047864">
        <w:trPr>
          <w:trHeight w:val="300"/>
        </w:trPr>
        <w:tc>
          <w:tcPr>
            <w:tcW w:w="239" w:type="pct"/>
            <w:tcBorders>
              <w:top w:val="nil"/>
              <w:left w:val="single" w:sz="4" w:space="0" w:color="auto"/>
              <w:bottom w:val="single" w:sz="4" w:space="0" w:color="auto"/>
              <w:right w:val="single" w:sz="4" w:space="0" w:color="auto"/>
            </w:tcBorders>
            <w:shd w:val="clear" w:color="auto" w:fill="auto"/>
            <w:vAlign w:val="center"/>
            <w:hideMark/>
          </w:tcPr>
          <w:p w14:paraId="3AA53493"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51</w:t>
            </w:r>
          </w:p>
        </w:tc>
        <w:tc>
          <w:tcPr>
            <w:tcW w:w="2926" w:type="pct"/>
            <w:tcBorders>
              <w:top w:val="nil"/>
              <w:left w:val="nil"/>
              <w:bottom w:val="single" w:sz="4" w:space="0" w:color="auto"/>
              <w:right w:val="single" w:sz="4" w:space="0" w:color="auto"/>
            </w:tcBorders>
            <w:shd w:val="clear" w:color="auto" w:fill="auto"/>
            <w:vAlign w:val="center"/>
            <w:hideMark/>
          </w:tcPr>
          <w:p w14:paraId="6EDEBA60"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Storitve inštalacije (razen programske opreme)</w:t>
            </w:r>
          </w:p>
        </w:tc>
        <w:tc>
          <w:tcPr>
            <w:tcW w:w="405" w:type="pct"/>
            <w:tcBorders>
              <w:top w:val="nil"/>
              <w:left w:val="nil"/>
              <w:bottom w:val="single" w:sz="4" w:space="0" w:color="auto"/>
              <w:right w:val="single" w:sz="4" w:space="0" w:color="auto"/>
            </w:tcBorders>
            <w:shd w:val="clear" w:color="auto" w:fill="auto"/>
            <w:vAlign w:val="center"/>
            <w:hideMark/>
          </w:tcPr>
          <w:p w14:paraId="71A0DFF2"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1</w:t>
            </w:r>
          </w:p>
        </w:tc>
        <w:tc>
          <w:tcPr>
            <w:tcW w:w="478" w:type="pct"/>
            <w:tcBorders>
              <w:top w:val="nil"/>
              <w:left w:val="nil"/>
              <w:bottom w:val="single" w:sz="4" w:space="0" w:color="auto"/>
              <w:right w:val="single" w:sz="4" w:space="0" w:color="auto"/>
            </w:tcBorders>
            <w:shd w:val="clear" w:color="auto" w:fill="auto"/>
            <w:vAlign w:val="center"/>
            <w:hideMark/>
          </w:tcPr>
          <w:p w14:paraId="43BC367B"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80.395</w:t>
            </w:r>
          </w:p>
        </w:tc>
        <w:tc>
          <w:tcPr>
            <w:tcW w:w="244" w:type="pct"/>
            <w:tcBorders>
              <w:top w:val="nil"/>
              <w:left w:val="nil"/>
              <w:bottom w:val="single" w:sz="4" w:space="0" w:color="auto"/>
              <w:right w:val="single" w:sz="4" w:space="0" w:color="auto"/>
            </w:tcBorders>
            <w:shd w:val="clear" w:color="auto" w:fill="auto"/>
            <w:noWrap/>
            <w:vAlign w:val="center"/>
            <w:hideMark/>
          </w:tcPr>
          <w:p w14:paraId="2682F85C"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097E9593"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244" w:type="pct"/>
            <w:tcBorders>
              <w:top w:val="nil"/>
              <w:left w:val="nil"/>
              <w:bottom w:val="single" w:sz="4" w:space="0" w:color="auto"/>
              <w:right w:val="single" w:sz="4" w:space="0" w:color="auto"/>
            </w:tcBorders>
            <w:shd w:val="clear" w:color="auto" w:fill="auto"/>
            <w:noWrap/>
            <w:vAlign w:val="center"/>
            <w:hideMark/>
          </w:tcPr>
          <w:p w14:paraId="583CEC10"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226" w:type="pct"/>
            <w:tcBorders>
              <w:top w:val="nil"/>
              <w:left w:val="nil"/>
              <w:bottom w:val="single" w:sz="4" w:space="0" w:color="auto"/>
              <w:right w:val="single" w:sz="4" w:space="0" w:color="auto"/>
            </w:tcBorders>
            <w:shd w:val="clear" w:color="auto" w:fill="auto"/>
            <w:noWrap/>
            <w:vAlign w:val="center"/>
            <w:hideMark/>
          </w:tcPr>
          <w:p w14:paraId="3438FC7A"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0,00</w:t>
            </w:r>
            <w:r>
              <w:rPr>
                <w:rFonts w:ascii="Arial" w:eastAsia="Times New Roman" w:hAnsi="Arial" w:cs="Arial"/>
                <w:color w:val="000000"/>
                <w:sz w:val="18"/>
                <w:szCs w:val="18"/>
                <w:lang w:eastAsia="sl-SI"/>
              </w:rPr>
              <w:t xml:space="preserve"> %</w:t>
            </w:r>
          </w:p>
        </w:tc>
      </w:tr>
      <w:tr w:rsidR="00E3750C" w:rsidRPr="008D458E" w14:paraId="5A3EDA66" w14:textId="77777777" w:rsidTr="00047864">
        <w:trPr>
          <w:trHeight w:val="300"/>
        </w:trPr>
        <w:tc>
          <w:tcPr>
            <w:tcW w:w="239" w:type="pct"/>
            <w:tcBorders>
              <w:top w:val="nil"/>
              <w:left w:val="single" w:sz="4" w:space="0" w:color="auto"/>
              <w:bottom w:val="single" w:sz="4" w:space="0" w:color="auto"/>
              <w:right w:val="single" w:sz="4" w:space="0" w:color="auto"/>
            </w:tcBorders>
            <w:shd w:val="clear" w:color="auto" w:fill="auto"/>
            <w:vAlign w:val="center"/>
            <w:hideMark/>
          </w:tcPr>
          <w:p w14:paraId="29FBFACB"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55</w:t>
            </w:r>
          </w:p>
        </w:tc>
        <w:tc>
          <w:tcPr>
            <w:tcW w:w="2926" w:type="pct"/>
            <w:tcBorders>
              <w:top w:val="nil"/>
              <w:left w:val="nil"/>
              <w:bottom w:val="single" w:sz="4" w:space="0" w:color="auto"/>
              <w:right w:val="single" w:sz="4" w:space="0" w:color="auto"/>
            </w:tcBorders>
            <w:shd w:val="clear" w:color="auto" w:fill="auto"/>
            <w:vAlign w:val="center"/>
            <w:hideMark/>
          </w:tcPr>
          <w:p w14:paraId="42D11018"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Storitve hotelov, restavracij in trgovine na drobno</w:t>
            </w:r>
          </w:p>
        </w:tc>
        <w:tc>
          <w:tcPr>
            <w:tcW w:w="405" w:type="pct"/>
            <w:tcBorders>
              <w:top w:val="nil"/>
              <w:left w:val="nil"/>
              <w:bottom w:val="single" w:sz="4" w:space="0" w:color="auto"/>
              <w:right w:val="single" w:sz="4" w:space="0" w:color="auto"/>
            </w:tcBorders>
            <w:shd w:val="clear" w:color="auto" w:fill="auto"/>
            <w:vAlign w:val="center"/>
            <w:hideMark/>
          </w:tcPr>
          <w:p w14:paraId="69633418"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4</w:t>
            </w:r>
          </w:p>
        </w:tc>
        <w:tc>
          <w:tcPr>
            <w:tcW w:w="478" w:type="pct"/>
            <w:tcBorders>
              <w:top w:val="nil"/>
              <w:left w:val="nil"/>
              <w:bottom w:val="single" w:sz="4" w:space="0" w:color="auto"/>
              <w:right w:val="single" w:sz="4" w:space="0" w:color="auto"/>
            </w:tcBorders>
            <w:shd w:val="clear" w:color="auto" w:fill="auto"/>
            <w:vAlign w:val="center"/>
            <w:hideMark/>
          </w:tcPr>
          <w:p w14:paraId="1DD27295"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3.606.006</w:t>
            </w:r>
          </w:p>
        </w:tc>
        <w:tc>
          <w:tcPr>
            <w:tcW w:w="244" w:type="pct"/>
            <w:tcBorders>
              <w:top w:val="nil"/>
              <w:left w:val="nil"/>
              <w:bottom w:val="single" w:sz="4" w:space="0" w:color="auto"/>
              <w:right w:val="single" w:sz="4" w:space="0" w:color="auto"/>
            </w:tcBorders>
            <w:shd w:val="clear" w:color="auto" w:fill="auto"/>
            <w:noWrap/>
            <w:vAlign w:val="center"/>
            <w:hideMark/>
          </w:tcPr>
          <w:p w14:paraId="2D828D41"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0,08</w:t>
            </w:r>
            <w:r>
              <w:rPr>
                <w:rFonts w:ascii="Arial" w:eastAsia="Times New Roman" w:hAnsi="Arial" w:cs="Arial"/>
                <w:color w:val="000000"/>
                <w:sz w:val="18"/>
                <w:szCs w:val="18"/>
                <w:lang w:eastAsia="sl-SI"/>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0471C943"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0,25</w:t>
            </w:r>
            <w:r>
              <w:rPr>
                <w:rFonts w:ascii="Arial" w:eastAsia="Times New Roman" w:hAnsi="Arial" w:cs="Arial"/>
                <w:color w:val="000000"/>
                <w:sz w:val="18"/>
                <w:szCs w:val="18"/>
                <w:lang w:eastAsia="sl-SI"/>
              </w:rPr>
              <w:t xml:space="preserve"> %</w:t>
            </w:r>
          </w:p>
        </w:tc>
        <w:tc>
          <w:tcPr>
            <w:tcW w:w="244" w:type="pct"/>
            <w:tcBorders>
              <w:top w:val="nil"/>
              <w:left w:val="nil"/>
              <w:bottom w:val="single" w:sz="4" w:space="0" w:color="auto"/>
              <w:right w:val="single" w:sz="4" w:space="0" w:color="auto"/>
            </w:tcBorders>
            <w:shd w:val="clear" w:color="auto" w:fill="auto"/>
            <w:noWrap/>
            <w:vAlign w:val="center"/>
            <w:hideMark/>
          </w:tcPr>
          <w:p w14:paraId="1C42D03B"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226" w:type="pct"/>
            <w:tcBorders>
              <w:top w:val="nil"/>
              <w:left w:val="nil"/>
              <w:bottom w:val="single" w:sz="4" w:space="0" w:color="auto"/>
              <w:right w:val="single" w:sz="4" w:space="0" w:color="auto"/>
            </w:tcBorders>
            <w:shd w:val="clear" w:color="auto" w:fill="auto"/>
            <w:noWrap/>
            <w:vAlign w:val="center"/>
            <w:hideMark/>
          </w:tcPr>
          <w:p w14:paraId="4A3B2673"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0,07</w:t>
            </w:r>
            <w:r>
              <w:rPr>
                <w:rFonts w:ascii="Arial" w:eastAsia="Times New Roman" w:hAnsi="Arial" w:cs="Arial"/>
                <w:color w:val="000000"/>
                <w:sz w:val="18"/>
                <w:szCs w:val="18"/>
                <w:lang w:eastAsia="sl-SI"/>
              </w:rPr>
              <w:t xml:space="preserve"> %</w:t>
            </w:r>
          </w:p>
        </w:tc>
      </w:tr>
      <w:tr w:rsidR="00E3750C" w:rsidRPr="008D458E" w14:paraId="0AF45A8E" w14:textId="77777777" w:rsidTr="00047864">
        <w:trPr>
          <w:trHeight w:val="300"/>
        </w:trPr>
        <w:tc>
          <w:tcPr>
            <w:tcW w:w="239" w:type="pct"/>
            <w:tcBorders>
              <w:top w:val="nil"/>
              <w:left w:val="single" w:sz="4" w:space="0" w:color="auto"/>
              <w:bottom w:val="single" w:sz="4" w:space="0" w:color="auto"/>
              <w:right w:val="single" w:sz="4" w:space="0" w:color="auto"/>
            </w:tcBorders>
            <w:shd w:val="clear" w:color="auto" w:fill="auto"/>
            <w:vAlign w:val="center"/>
            <w:hideMark/>
          </w:tcPr>
          <w:p w14:paraId="384D65FA"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60</w:t>
            </w:r>
          </w:p>
        </w:tc>
        <w:tc>
          <w:tcPr>
            <w:tcW w:w="2926" w:type="pct"/>
            <w:tcBorders>
              <w:top w:val="nil"/>
              <w:left w:val="nil"/>
              <w:bottom w:val="single" w:sz="4" w:space="0" w:color="auto"/>
              <w:right w:val="single" w:sz="4" w:space="0" w:color="auto"/>
            </w:tcBorders>
            <w:shd w:val="clear" w:color="auto" w:fill="auto"/>
            <w:vAlign w:val="center"/>
            <w:hideMark/>
          </w:tcPr>
          <w:p w14:paraId="0C4E0961"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Prevozne storitve (razen prevoza odpadkov)</w:t>
            </w:r>
          </w:p>
        </w:tc>
        <w:tc>
          <w:tcPr>
            <w:tcW w:w="405" w:type="pct"/>
            <w:tcBorders>
              <w:top w:val="nil"/>
              <w:left w:val="nil"/>
              <w:bottom w:val="single" w:sz="4" w:space="0" w:color="auto"/>
              <w:right w:val="single" w:sz="4" w:space="0" w:color="auto"/>
            </w:tcBorders>
            <w:shd w:val="clear" w:color="auto" w:fill="auto"/>
            <w:vAlign w:val="center"/>
            <w:hideMark/>
          </w:tcPr>
          <w:p w14:paraId="28CA94BF"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105</w:t>
            </w:r>
          </w:p>
        </w:tc>
        <w:tc>
          <w:tcPr>
            <w:tcW w:w="478" w:type="pct"/>
            <w:tcBorders>
              <w:top w:val="nil"/>
              <w:left w:val="nil"/>
              <w:bottom w:val="single" w:sz="4" w:space="0" w:color="auto"/>
              <w:right w:val="single" w:sz="4" w:space="0" w:color="auto"/>
            </w:tcBorders>
            <w:shd w:val="clear" w:color="auto" w:fill="auto"/>
            <w:vAlign w:val="center"/>
            <w:hideMark/>
          </w:tcPr>
          <w:p w14:paraId="7EB93A4D"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44.023.301</w:t>
            </w:r>
          </w:p>
        </w:tc>
        <w:tc>
          <w:tcPr>
            <w:tcW w:w="244" w:type="pct"/>
            <w:tcBorders>
              <w:top w:val="nil"/>
              <w:left w:val="nil"/>
              <w:bottom w:val="single" w:sz="4" w:space="0" w:color="auto"/>
              <w:right w:val="single" w:sz="4" w:space="0" w:color="auto"/>
            </w:tcBorders>
            <w:shd w:val="clear" w:color="auto" w:fill="auto"/>
            <w:noWrap/>
            <w:vAlign w:val="center"/>
            <w:hideMark/>
          </w:tcPr>
          <w:p w14:paraId="22FE90CA"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2,03</w:t>
            </w:r>
            <w:r>
              <w:rPr>
                <w:rFonts w:ascii="Arial" w:eastAsia="Times New Roman" w:hAnsi="Arial" w:cs="Arial"/>
                <w:color w:val="000000"/>
                <w:sz w:val="18"/>
                <w:szCs w:val="18"/>
                <w:lang w:eastAsia="sl-SI"/>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1B054FC1"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3,09</w:t>
            </w:r>
            <w:r>
              <w:rPr>
                <w:rFonts w:ascii="Arial" w:eastAsia="Times New Roman" w:hAnsi="Arial" w:cs="Arial"/>
                <w:color w:val="000000"/>
                <w:sz w:val="18"/>
                <w:szCs w:val="18"/>
                <w:lang w:eastAsia="sl-SI"/>
              </w:rPr>
              <w:t xml:space="preserve"> %</w:t>
            </w:r>
          </w:p>
        </w:tc>
        <w:tc>
          <w:tcPr>
            <w:tcW w:w="244" w:type="pct"/>
            <w:tcBorders>
              <w:top w:val="nil"/>
              <w:left w:val="nil"/>
              <w:bottom w:val="single" w:sz="4" w:space="0" w:color="auto"/>
              <w:right w:val="single" w:sz="4" w:space="0" w:color="auto"/>
            </w:tcBorders>
            <w:shd w:val="clear" w:color="auto" w:fill="auto"/>
            <w:noWrap/>
            <w:vAlign w:val="center"/>
            <w:hideMark/>
          </w:tcPr>
          <w:p w14:paraId="35D165B2"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0,61</w:t>
            </w:r>
            <w:r>
              <w:rPr>
                <w:rFonts w:ascii="Arial" w:eastAsia="Times New Roman" w:hAnsi="Arial" w:cs="Arial"/>
                <w:color w:val="000000"/>
                <w:sz w:val="18"/>
                <w:szCs w:val="18"/>
                <w:lang w:eastAsia="sl-SI"/>
              </w:rPr>
              <w:t xml:space="preserve"> %</w:t>
            </w:r>
          </w:p>
        </w:tc>
        <w:tc>
          <w:tcPr>
            <w:tcW w:w="226" w:type="pct"/>
            <w:tcBorders>
              <w:top w:val="nil"/>
              <w:left w:val="nil"/>
              <w:bottom w:val="single" w:sz="4" w:space="0" w:color="auto"/>
              <w:right w:val="single" w:sz="4" w:space="0" w:color="auto"/>
            </w:tcBorders>
            <w:shd w:val="clear" w:color="auto" w:fill="auto"/>
            <w:noWrap/>
            <w:vAlign w:val="center"/>
            <w:hideMark/>
          </w:tcPr>
          <w:p w14:paraId="3D373B8D"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0,81</w:t>
            </w:r>
            <w:r>
              <w:rPr>
                <w:rFonts w:ascii="Arial" w:eastAsia="Times New Roman" w:hAnsi="Arial" w:cs="Arial"/>
                <w:color w:val="000000"/>
                <w:sz w:val="18"/>
                <w:szCs w:val="18"/>
                <w:lang w:eastAsia="sl-SI"/>
              </w:rPr>
              <w:t xml:space="preserve"> %</w:t>
            </w:r>
          </w:p>
        </w:tc>
      </w:tr>
      <w:tr w:rsidR="00E3750C" w:rsidRPr="008D458E" w14:paraId="4BA16F02" w14:textId="77777777" w:rsidTr="00047864">
        <w:trPr>
          <w:trHeight w:val="300"/>
        </w:trPr>
        <w:tc>
          <w:tcPr>
            <w:tcW w:w="239" w:type="pct"/>
            <w:tcBorders>
              <w:top w:val="nil"/>
              <w:left w:val="single" w:sz="4" w:space="0" w:color="auto"/>
              <w:bottom w:val="single" w:sz="4" w:space="0" w:color="auto"/>
              <w:right w:val="single" w:sz="4" w:space="0" w:color="auto"/>
            </w:tcBorders>
            <w:shd w:val="clear" w:color="auto" w:fill="auto"/>
            <w:vAlign w:val="center"/>
            <w:hideMark/>
          </w:tcPr>
          <w:p w14:paraId="5B42B441"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65</w:t>
            </w:r>
          </w:p>
        </w:tc>
        <w:tc>
          <w:tcPr>
            <w:tcW w:w="2926" w:type="pct"/>
            <w:tcBorders>
              <w:top w:val="nil"/>
              <w:left w:val="nil"/>
              <w:bottom w:val="single" w:sz="4" w:space="0" w:color="auto"/>
              <w:right w:val="single" w:sz="4" w:space="0" w:color="auto"/>
            </w:tcBorders>
            <w:shd w:val="clear" w:color="auto" w:fill="auto"/>
            <w:vAlign w:val="center"/>
            <w:hideMark/>
          </w:tcPr>
          <w:p w14:paraId="290A0412"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Gospodarske javne službe</w:t>
            </w:r>
          </w:p>
        </w:tc>
        <w:tc>
          <w:tcPr>
            <w:tcW w:w="405" w:type="pct"/>
            <w:tcBorders>
              <w:top w:val="nil"/>
              <w:left w:val="nil"/>
              <w:bottom w:val="single" w:sz="4" w:space="0" w:color="auto"/>
              <w:right w:val="single" w:sz="4" w:space="0" w:color="auto"/>
            </w:tcBorders>
            <w:shd w:val="clear" w:color="auto" w:fill="auto"/>
            <w:vAlign w:val="center"/>
            <w:hideMark/>
          </w:tcPr>
          <w:p w14:paraId="004AF3F2"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1</w:t>
            </w:r>
          </w:p>
        </w:tc>
        <w:tc>
          <w:tcPr>
            <w:tcW w:w="478" w:type="pct"/>
            <w:tcBorders>
              <w:top w:val="nil"/>
              <w:left w:val="nil"/>
              <w:bottom w:val="single" w:sz="4" w:space="0" w:color="auto"/>
              <w:right w:val="single" w:sz="4" w:space="0" w:color="auto"/>
            </w:tcBorders>
            <w:shd w:val="clear" w:color="auto" w:fill="auto"/>
            <w:vAlign w:val="center"/>
            <w:hideMark/>
          </w:tcPr>
          <w:p w14:paraId="567D3061"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80.801</w:t>
            </w:r>
          </w:p>
        </w:tc>
        <w:tc>
          <w:tcPr>
            <w:tcW w:w="244" w:type="pct"/>
            <w:tcBorders>
              <w:top w:val="nil"/>
              <w:left w:val="nil"/>
              <w:bottom w:val="single" w:sz="4" w:space="0" w:color="auto"/>
              <w:right w:val="single" w:sz="4" w:space="0" w:color="auto"/>
            </w:tcBorders>
            <w:shd w:val="clear" w:color="auto" w:fill="auto"/>
            <w:noWrap/>
            <w:vAlign w:val="center"/>
            <w:hideMark/>
          </w:tcPr>
          <w:p w14:paraId="1BB5CC30"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28671239"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244" w:type="pct"/>
            <w:tcBorders>
              <w:top w:val="nil"/>
              <w:left w:val="nil"/>
              <w:bottom w:val="single" w:sz="4" w:space="0" w:color="auto"/>
              <w:right w:val="single" w:sz="4" w:space="0" w:color="auto"/>
            </w:tcBorders>
            <w:shd w:val="clear" w:color="auto" w:fill="auto"/>
            <w:noWrap/>
            <w:vAlign w:val="center"/>
            <w:hideMark/>
          </w:tcPr>
          <w:p w14:paraId="1532E4CF"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226" w:type="pct"/>
            <w:tcBorders>
              <w:top w:val="nil"/>
              <w:left w:val="nil"/>
              <w:bottom w:val="single" w:sz="4" w:space="0" w:color="auto"/>
              <w:right w:val="single" w:sz="4" w:space="0" w:color="auto"/>
            </w:tcBorders>
            <w:shd w:val="clear" w:color="auto" w:fill="auto"/>
            <w:noWrap/>
            <w:vAlign w:val="center"/>
            <w:hideMark/>
          </w:tcPr>
          <w:p w14:paraId="5C809358"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0,00</w:t>
            </w:r>
            <w:r>
              <w:rPr>
                <w:rFonts w:ascii="Arial" w:eastAsia="Times New Roman" w:hAnsi="Arial" w:cs="Arial"/>
                <w:color w:val="000000"/>
                <w:sz w:val="18"/>
                <w:szCs w:val="18"/>
                <w:lang w:eastAsia="sl-SI"/>
              </w:rPr>
              <w:t xml:space="preserve"> %</w:t>
            </w:r>
          </w:p>
        </w:tc>
      </w:tr>
      <w:tr w:rsidR="00E3750C" w:rsidRPr="008D458E" w14:paraId="25772658" w14:textId="77777777" w:rsidTr="00047864">
        <w:trPr>
          <w:trHeight w:val="300"/>
        </w:trPr>
        <w:tc>
          <w:tcPr>
            <w:tcW w:w="239" w:type="pct"/>
            <w:tcBorders>
              <w:top w:val="nil"/>
              <w:left w:val="single" w:sz="4" w:space="0" w:color="auto"/>
              <w:bottom w:val="single" w:sz="4" w:space="0" w:color="auto"/>
              <w:right w:val="single" w:sz="4" w:space="0" w:color="auto"/>
            </w:tcBorders>
            <w:shd w:val="clear" w:color="auto" w:fill="auto"/>
            <w:vAlign w:val="center"/>
            <w:hideMark/>
          </w:tcPr>
          <w:p w14:paraId="0B2C89FA"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66</w:t>
            </w:r>
          </w:p>
        </w:tc>
        <w:tc>
          <w:tcPr>
            <w:tcW w:w="2926" w:type="pct"/>
            <w:tcBorders>
              <w:top w:val="nil"/>
              <w:left w:val="nil"/>
              <w:bottom w:val="single" w:sz="4" w:space="0" w:color="auto"/>
              <w:right w:val="single" w:sz="4" w:space="0" w:color="auto"/>
            </w:tcBorders>
            <w:shd w:val="clear" w:color="auto" w:fill="auto"/>
            <w:vAlign w:val="center"/>
            <w:hideMark/>
          </w:tcPr>
          <w:p w14:paraId="46B60506"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Finančne in zavarovalniške storitve</w:t>
            </w:r>
          </w:p>
        </w:tc>
        <w:tc>
          <w:tcPr>
            <w:tcW w:w="405" w:type="pct"/>
            <w:tcBorders>
              <w:top w:val="nil"/>
              <w:left w:val="nil"/>
              <w:bottom w:val="single" w:sz="4" w:space="0" w:color="auto"/>
              <w:right w:val="single" w:sz="4" w:space="0" w:color="auto"/>
            </w:tcBorders>
            <w:shd w:val="clear" w:color="auto" w:fill="auto"/>
            <w:vAlign w:val="center"/>
            <w:hideMark/>
          </w:tcPr>
          <w:p w14:paraId="4FEBA2C7"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1</w:t>
            </w:r>
          </w:p>
        </w:tc>
        <w:tc>
          <w:tcPr>
            <w:tcW w:w="478" w:type="pct"/>
            <w:tcBorders>
              <w:top w:val="nil"/>
              <w:left w:val="nil"/>
              <w:bottom w:val="single" w:sz="4" w:space="0" w:color="auto"/>
              <w:right w:val="single" w:sz="4" w:space="0" w:color="auto"/>
            </w:tcBorders>
            <w:shd w:val="clear" w:color="auto" w:fill="auto"/>
            <w:vAlign w:val="center"/>
            <w:hideMark/>
          </w:tcPr>
          <w:p w14:paraId="1DD07FD7"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79.797</w:t>
            </w:r>
          </w:p>
        </w:tc>
        <w:tc>
          <w:tcPr>
            <w:tcW w:w="244" w:type="pct"/>
            <w:tcBorders>
              <w:top w:val="nil"/>
              <w:left w:val="nil"/>
              <w:bottom w:val="single" w:sz="4" w:space="0" w:color="auto"/>
              <w:right w:val="single" w:sz="4" w:space="0" w:color="auto"/>
            </w:tcBorders>
            <w:shd w:val="clear" w:color="auto" w:fill="auto"/>
            <w:noWrap/>
            <w:vAlign w:val="center"/>
            <w:hideMark/>
          </w:tcPr>
          <w:p w14:paraId="62C522E3"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3FD838C1"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244" w:type="pct"/>
            <w:tcBorders>
              <w:top w:val="nil"/>
              <w:left w:val="nil"/>
              <w:bottom w:val="single" w:sz="4" w:space="0" w:color="auto"/>
              <w:right w:val="single" w:sz="4" w:space="0" w:color="auto"/>
            </w:tcBorders>
            <w:shd w:val="clear" w:color="auto" w:fill="auto"/>
            <w:noWrap/>
            <w:vAlign w:val="center"/>
            <w:hideMark/>
          </w:tcPr>
          <w:p w14:paraId="6506193B"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226" w:type="pct"/>
            <w:tcBorders>
              <w:top w:val="nil"/>
              <w:left w:val="nil"/>
              <w:bottom w:val="single" w:sz="4" w:space="0" w:color="auto"/>
              <w:right w:val="single" w:sz="4" w:space="0" w:color="auto"/>
            </w:tcBorders>
            <w:shd w:val="clear" w:color="auto" w:fill="auto"/>
            <w:noWrap/>
            <w:vAlign w:val="center"/>
            <w:hideMark/>
          </w:tcPr>
          <w:p w14:paraId="3602D376"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0,00</w:t>
            </w:r>
            <w:r>
              <w:rPr>
                <w:rFonts w:ascii="Arial" w:eastAsia="Times New Roman" w:hAnsi="Arial" w:cs="Arial"/>
                <w:color w:val="000000"/>
                <w:sz w:val="18"/>
                <w:szCs w:val="18"/>
                <w:lang w:eastAsia="sl-SI"/>
              </w:rPr>
              <w:t xml:space="preserve"> %</w:t>
            </w:r>
          </w:p>
        </w:tc>
      </w:tr>
      <w:tr w:rsidR="00E3750C" w:rsidRPr="008D458E" w14:paraId="5CD840A1" w14:textId="77777777" w:rsidTr="00047864">
        <w:trPr>
          <w:trHeight w:val="300"/>
        </w:trPr>
        <w:tc>
          <w:tcPr>
            <w:tcW w:w="239" w:type="pct"/>
            <w:tcBorders>
              <w:top w:val="nil"/>
              <w:left w:val="single" w:sz="4" w:space="0" w:color="auto"/>
              <w:bottom w:val="single" w:sz="4" w:space="0" w:color="auto"/>
              <w:right w:val="single" w:sz="4" w:space="0" w:color="auto"/>
            </w:tcBorders>
            <w:shd w:val="clear" w:color="auto" w:fill="auto"/>
            <w:vAlign w:val="center"/>
            <w:hideMark/>
          </w:tcPr>
          <w:p w14:paraId="6706B497"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70</w:t>
            </w:r>
          </w:p>
        </w:tc>
        <w:tc>
          <w:tcPr>
            <w:tcW w:w="2926" w:type="pct"/>
            <w:tcBorders>
              <w:top w:val="nil"/>
              <w:left w:val="nil"/>
              <w:bottom w:val="single" w:sz="4" w:space="0" w:color="auto"/>
              <w:right w:val="single" w:sz="4" w:space="0" w:color="auto"/>
            </w:tcBorders>
            <w:shd w:val="clear" w:color="auto" w:fill="auto"/>
            <w:vAlign w:val="center"/>
            <w:hideMark/>
          </w:tcPr>
          <w:p w14:paraId="074AEEA8"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Storitve poslovanja z nepremičninami</w:t>
            </w:r>
          </w:p>
        </w:tc>
        <w:tc>
          <w:tcPr>
            <w:tcW w:w="405" w:type="pct"/>
            <w:tcBorders>
              <w:top w:val="nil"/>
              <w:left w:val="nil"/>
              <w:bottom w:val="single" w:sz="4" w:space="0" w:color="auto"/>
              <w:right w:val="single" w:sz="4" w:space="0" w:color="auto"/>
            </w:tcBorders>
            <w:shd w:val="clear" w:color="auto" w:fill="auto"/>
            <w:vAlign w:val="center"/>
            <w:hideMark/>
          </w:tcPr>
          <w:p w14:paraId="60B268CA"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2</w:t>
            </w:r>
          </w:p>
        </w:tc>
        <w:tc>
          <w:tcPr>
            <w:tcW w:w="478" w:type="pct"/>
            <w:tcBorders>
              <w:top w:val="nil"/>
              <w:left w:val="nil"/>
              <w:bottom w:val="single" w:sz="4" w:space="0" w:color="auto"/>
              <w:right w:val="single" w:sz="4" w:space="0" w:color="auto"/>
            </w:tcBorders>
            <w:shd w:val="clear" w:color="auto" w:fill="auto"/>
            <w:vAlign w:val="center"/>
            <w:hideMark/>
          </w:tcPr>
          <w:p w14:paraId="376AEB58"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1.035.115</w:t>
            </w:r>
          </w:p>
        </w:tc>
        <w:tc>
          <w:tcPr>
            <w:tcW w:w="244" w:type="pct"/>
            <w:tcBorders>
              <w:top w:val="nil"/>
              <w:left w:val="nil"/>
              <w:bottom w:val="single" w:sz="4" w:space="0" w:color="auto"/>
              <w:right w:val="single" w:sz="4" w:space="0" w:color="auto"/>
            </w:tcBorders>
            <w:shd w:val="clear" w:color="auto" w:fill="auto"/>
            <w:noWrap/>
            <w:vAlign w:val="center"/>
            <w:hideMark/>
          </w:tcPr>
          <w:p w14:paraId="1BD36045"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0,04</w:t>
            </w:r>
            <w:r>
              <w:rPr>
                <w:rFonts w:ascii="Arial" w:eastAsia="Times New Roman" w:hAnsi="Arial" w:cs="Arial"/>
                <w:color w:val="000000"/>
                <w:sz w:val="18"/>
                <w:szCs w:val="18"/>
                <w:lang w:eastAsia="sl-SI"/>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1720ED9E"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0,07</w:t>
            </w:r>
            <w:r>
              <w:rPr>
                <w:rFonts w:ascii="Arial" w:eastAsia="Times New Roman" w:hAnsi="Arial" w:cs="Arial"/>
                <w:color w:val="000000"/>
                <w:sz w:val="18"/>
                <w:szCs w:val="18"/>
                <w:lang w:eastAsia="sl-SI"/>
              </w:rPr>
              <w:t xml:space="preserve"> %</w:t>
            </w:r>
          </w:p>
        </w:tc>
        <w:tc>
          <w:tcPr>
            <w:tcW w:w="244" w:type="pct"/>
            <w:tcBorders>
              <w:top w:val="nil"/>
              <w:left w:val="nil"/>
              <w:bottom w:val="single" w:sz="4" w:space="0" w:color="auto"/>
              <w:right w:val="single" w:sz="4" w:space="0" w:color="auto"/>
            </w:tcBorders>
            <w:shd w:val="clear" w:color="auto" w:fill="auto"/>
            <w:noWrap/>
            <w:vAlign w:val="center"/>
            <w:hideMark/>
          </w:tcPr>
          <w:p w14:paraId="654882DD"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226" w:type="pct"/>
            <w:tcBorders>
              <w:top w:val="nil"/>
              <w:left w:val="nil"/>
              <w:bottom w:val="single" w:sz="4" w:space="0" w:color="auto"/>
              <w:right w:val="single" w:sz="4" w:space="0" w:color="auto"/>
            </w:tcBorders>
            <w:shd w:val="clear" w:color="auto" w:fill="auto"/>
            <w:noWrap/>
            <w:vAlign w:val="center"/>
            <w:hideMark/>
          </w:tcPr>
          <w:p w14:paraId="29D14888"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r>
      <w:tr w:rsidR="00E3750C" w:rsidRPr="008D458E" w14:paraId="6A8DE845" w14:textId="77777777" w:rsidTr="00047864">
        <w:trPr>
          <w:trHeight w:val="300"/>
        </w:trPr>
        <w:tc>
          <w:tcPr>
            <w:tcW w:w="239" w:type="pct"/>
            <w:tcBorders>
              <w:top w:val="nil"/>
              <w:left w:val="single" w:sz="4" w:space="0" w:color="auto"/>
              <w:bottom w:val="single" w:sz="4" w:space="0" w:color="auto"/>
              <w:right w:val="single" w:sz="4" w:space="0" w:color="auto"/>
            </w:tcBorders>
            <w:shd w:val="clear" w:color="auto" w:fill="auto"/>
            <w:vAlign w:val="center"/>
            <w:hideMark/>
          </w:tcPr>
          <w:p w14:paraId="6F34354E"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71</w:t>
            </w:r>
          </w:p>
        </w:tc>
        <w:tc>
          <w:tcPr>
            <w:tcW w:w="2926" w:type="pct"/>
            <w:tcBorders>
              <w:top w:val="nil"/>
              <w:left w:val="nil"/>
              <w:bottom w:val="single" w:sz="4" w:space="0" w:color="auto"/>
              <w:right w:val="single" w:sz="4" w:space="0" w:color="auto"/>
            </w:tcBorders>
            <w:shd w:val="clear" w:color="auto" w:fill="auto"/>
            <w:vAlign w:val="center"/>
            <w:hideMark/>
          </w:tcPr>
          <w:p w14:paraId="40EDE2DA"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Arhitekturne, gradbeniške, inženirske in inšpekcijske storitve</w:t>
            </w:r>
          </w:p>
        </w:tc>
        <w:tc>
          <w:tcPr>
            <w:tcW w:w="405" w:type="pct"/>
            <w:tcBorders>
              <w:top w:val="nil"/>
              <w:left w:val="nil"/>
              <w:bottom w:val="single" w:sz="4" w:space="0" w:color="auto"/>
              <w:right w:val="single" w:sz="4" w:space="0" w:color="auto"/>
            </w:tcBorders>
            <w:shd w:val="clear" w:color="auto" w:fill="auto"/>
            <w:vAlign w:val="center"/>
            <w:hideMark/>
          </w:tcPr>
          <w:p w14:paraId="0124A63B"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92</w:t>
            </w:r>
          </w:p>
        </w:tc>
        <w:tc>
          <w:tcPr>
            <w:tcW w:w="478" w:type="pct"/>
            <w:tcBorders>
              <w:top w:val="nil"/>
              <w:left w:val="nil"/>
              <w:bottom w:val="single" w:sz="4" w:space="0" w:color="auto"/>
              <w:right w:val="single" w:sz="4" w:space="0" w:color="auto"/>
            </w:tcBorders>
            <w:shd w:val="clear" w:color="auto" w:fill="auto"/>
            <w:vAlign w:val="center"/>
            <w:hideMark/>
          </w:tcPr>
          <w:p w14:paraId="7609E186"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44.105.311</w:t>
            </w:r>
          </w:p>
        </w:tc>
        <w:tc>
          <w:tcPr>
            <w:tcW w:w="244" w:type="pct"/>
            <w:tcBorders>
              <w:top w:val="nil"/>
              <w:left w:val="nil"/>
              <w:bottom w:val="single" w:sz="4" w:space="0" w:color="auto"/>
              <w:right w:val="single" w:sz="4" w:space="0" w:color="auto"/>
            </w:tcBorders>
            <w:shd w:val="clear" w:color="auto" w:fill="auto"/>
            <w:noWrap/>
            <w:vAlign w:val="center"/>
            <w:hideMark/>
          </w:tcPr>
          <w:p w14:paraId="741DC571"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1,78</w:t>
            </w:r>
            <w:r>
              <w:rPr>
                <w:rFonts w:ascii="Arial" w:eastAsia="Times New Roman" w:hAnsi="Arial" w:cs="Arial"/>
                <w:color w:val="000000"/>
                <w:sz w:val="18"/>
                <w:szCs w:val="18"/>
                <w:lang w:eastAsia="sl-SI"/>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352C7DDB"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3,10</w:t>
            </w:r>
            <w:r>
              <w:rPr>
                <w:rFonts w:ascii="Arial" w:eastAsia="Times New Roman" w:hAnsi="Arial" w:cs="Arial"/>
                <w:color w:val="000000"/>
                <w:sz w:val="18"/>
                <w:szCs w:val="18"/>
                <w:lang w:eastAsia="sl-SI"/>
              </w:rPr>
              <w:t xml:space="preserve"> %</w:t>
            </w:r>
          </w:p>
        </w:tc>
        <w:tc>
          <w:tcPr>
            <w:tcW w:w="244" w:type="pct"/>
            <w:tcBorders>
              <w:top w:val="nil"/>
              <w:left w:val="nil"/>
              <w:bottom w:val="single" w:sz="4" w:space="0" w:color="auto"/>
              <w:right w:val="single" w:sz="4" w:space="0" w:color="auto"/>
            </w:tcBorders>
            <w:shd w:val="clear" w:color="auto" w:fill="auto"/>
            <w:noWrap/>
            <w:vAlign w:val="center"/>
            <w:hideMark/>
          </w:tcPr>
          <w:p w14:paraId="06E51381"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0,53</w:t>
            </w:r>
            <w:r>
              <w:rPr>
                <w:rFonts w:ascii="Arial" w:eastAsia="Times New Roman" w:hAnsi="Arial" w:cs="Arial"/>
                <w:color w:val="000000"/>
                <w:sz w:val="18"/>
                <w:szCs w:val="18"/>
                <w:lang w:eastAsia="sl-SI"/>
              </w:rPr>
              <w:t xml:space="preserve"> %</w:t>
            </w:r>
          </w:p>
        </w:tc>
        <w:tc>
          <w:tcPr>
            <w:tcW w:w="226" w:type="pct"/>
            <w:tcBorders>
              <w:top w:val="nil"/>
              <w:left w:val="nil"/>
              <w:bottom w:val="single" w:sz="4" w:space="0" w:color="auto"/>
              <w:right w:val="single" w:sz="4" w:space="0" w:color="auto"/>
            </w:tcBorders>
            <w:shd w:val="clear" w:color="auto" w:fill="auto"/>
            <w:noWrap/>
            <w:vAlign w:val="center"/>
            <w:hideMark/>
          </w:tcPr>
          <w:p w14:paraId="1D29E048"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0,81</w:t>
            </w:r>
            <w:r>
              <w:rPr>
                <w:rFonts w:ascii="Arial" w:eastAsia="Times New Roman" w:hAnsi="Arial" w:cs="Arial"/>
                <w:color w:val="000000"/>
                <w:sz w:val="18"/>
                <w:szCs w:val="18"/>
                <w:lang w:eastAsia="sl-SI"/>
              </w:rPr>
              <w:t xml:space="preserve"> %</w:t>
            </w:r>
          </w:p>
        </w:tc>
      </w:tr>
      <w:tr w:rsidR="00E3750C" w:rsidRPr="008D458E" w14:paraId="3729AE19" w14:textId="77777777" w:rsidTr="00047864">
        <w:trPr>
          <w:trHeight w:val="300"/>
        </w:trPr>
        <w:tc>
          <w:tcPr>
            <w:tcW w:w="239" w:type="pct"/>
            <w:tcBorders>
              <w:top w:val="nil"/>
              <w:left w:val="single" w:sz="4" w:space="0" w:color="auto"/>
              <w:bottom w:val="single" w:sz="4" w:space="0" w:color="auto"/>
              <w:right w:val="single" w:sz="4" w:space="0" w:color="auto"/>
            </w:tcBorders>
            <w:shd w:val="clear" w:color="auto" w:fill="auto"/>
            <w:vAlign w:val="center"/>
            <w:hideMark/>
          </w:tcPr>
          <w:p w14:paraId="61148F28"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lastRenderedPageBreak/>
              <w:t>72</w:t>
            </w:r>
          </w:p>
        </w:tc>
        <w:tc>
          <w:tcPr>
            <w:tcW w:w="2926" w:type="pct"/>
            <w:tcBorders>
              <w:top w:val="nil"/>
              <w:left w:val="nil"/>
              <w:bottom w:val="single" w:sz="4" w:space="0" w:color="auto"/>
              <w:right w:val="single" w:sz="4" w:space="0" w:color="auto"/>
            </w:tcBorders>
            <w:shd w:val="clear" w:color="auto" w:fill="auto"/>
            <w:vAlign w:val="center"/>
            <w:hideMark/>
          </w:tcPr>
          <w:p w14:paraId="6CC4E78A"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Storitve informacijske tehnologije: svetovanje, razvoj programske opreme, internet in podpora</w:t>
            </w:r>
          </w:p>
        </w:tc>
        <w:tc>
          <w:tcPr>
            <w:tcW w:w="405" w:type="pct"/>
            <w:tcBorders>
              <w:top w:val="nil"/>
              <w:left w:val="nil"/>
              <w:bottom w:val="single" w:sz="4" w:space="0" w:color="auto"/>
              <w:right w:val="single" w:sz="4" w:space="0" w:color="auto"/>
            </w:tcBorders>
            <w:shd w:val="clear" w:color="auto" w:fill="auto"/>
            <w:vAlign w:val="center"/>
            <w:hideMark/>
          </w:tcPr>
          <w:p w14:paraId="58F39C8E"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2</w:t>
            </w:r>
          </w:p>
        </w:tc>
        <w:tc>
          <w:tcPr>
            <w:tcW w:w="478" w:type="pct"/>
            <w:tcBorders>
              <w:top w:val="nil"/>
              <w:left w:val="nil"/>
              <w:bottom w:val="single" w:sz="4" w:space="0" w:color="auto"/>
              <w:right w:val="single" w:sz="4" w:space="0" w:color="auto"/>
            </w:tcBorders>
            <w:shd w:val="clear" w:color="auto" w:fill="auto"/>
            <w:vAlign w:val="center"/>
            <w:hideMark/>
          </w:tcPr>
          <w:p w14:paraId="14C9E481"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1.636.792</w:t>
            </w:r>
          </w:p>
        </w:tc>
        <w:tc>
          <w:tcPr>
            <w:tcW w:w="244" w:type="pct"/>
            <w:tcBorders>
              <w:top w:val="nil"/>
              <w:left w:val="nil"/>
              <w:bottom w:val="single" w:sz="4" w:space="0" w:color="auto"/>
              <w:right w:val="single" w:sz="4" w:space="0" w:color="auto"/>
            </w:tcBorders>
            <w:shd w:val="clear" w:color="auto" w:fill="auto"/>
            <w:noWrap/>
            <w:vAlign w:val="center"/>
            <w:hideMark/>
          </w:tcPr>
          <w:p w14:paraId="204FF870"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0,04</w:t>
            </w:r>
            <w:r>
              <w:rPr>
                <w:rFonts w:ascii="Arial" w:eastAsia="Times New Roman" w:hAnsi="Arial" w:cs="Arial"/>
                <w:color w:val="000000"/>
                <w:sz w:val="18"/>
                <w:szCs w:val="18"/>
                <w:lang w:eastAsia="sl-SI"/>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36FAB6C8"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0,12</w:t>
            </w:r>
            <w:r>
              <w:rPr>
                <w:rFonts w:ascii="Arial" w:eastAsia="Times New Roman" w:hAnsi="Arial" w:cs="Arial"/>
                <w:color w:val="000000"/>
                <w:sz w:val="18"/>
                <w:szCs w:val="18"/>
                <w:lang w:eastAsia="sl-SI"/>
              </w:rPr>
              <w:t xml:space="preserve"> %</w:t>
            </w:r>
          </w:p>
        </w:tc>
        <w:tc>
          <w:tcPr>
            <w:tcW w:w="244" w:type="pct"/>
            <w:tcBorders>
              <w:top w:val="nil"/>
              <w:left w:val="nil"/>
              <w:bottom w:val="single" w:sz="4" w:space="0" w:color="auto"/>
              <w:right w:val="single" w:sz="4" w:space="0" w:color="auto"/>
            </w:tcBorders>
            <w:shd w:val="clear" w:color="auto" w:fill="auto"/>
            <w:noWrap/>
            <w:vAlign w:val="center"/>
            <w:hideMark/>
          </w:tcPr>
          <w:p w14:paraId="4B42E52E"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226" w:type="pct"/>
            <w:tcBorders>
              <w:top w:val="nil"/>
              <w:left w:val="nil"/>
              <w:bottom w:val="single" w:sz="4" w:space="0" w:color="auto"/>
              <w:right w:val="single" w:sz="4" w:space="0" w:color="auto"/>
            </w:tcBorders>
            <w:shd w:val="clear" w:color="auto" w:fill="auto"/>
            <w:noWrap/>
            <w:vAlign w:val="center"/>
            <w:hideMark/>
          </w:tcPr>
          <w:p w14:paraId="605EFD56"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r>
      <w:tr w:rsidR="00E3750C" w:rsidRPr="008D458E" w14:paraId="262915E5" w14:textId="77777777" w:rsidTr="00047864">
        <w:trPr>
          <w:trHeight w:val="300"/>
        </w:trPr>
        <w:tc>
          <w:tcPr>
            <w:tcW w:w="239" w:type="pct"/>
            <w:tcBorders>
              <w:top w:val="nil"/>
              <w:left w:val="single" w:sz="4" w:space="0" w:color="auto"/>
              <w:bottom w:val="single" w:sz="4" w:space="0" w:color="auto"/>
              <w:right w:val="single" w:sz="4" w:space="0" w:color="auto"/>
            </w:tcBorders>
            <w:shd w:val="clear" w:color="auto" w:fill="auto"/>
            <w:vAlign w:val="center"/>
            <w:hideMark/>
          </w:tcPr>
          <w:p w14:paraId="5508D776"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75</w:t>
            </w:r>
          </w:p>
        </w:tc>
        <w:tc>
          <w:tcPr>
            <w:tcW w:w="2926" w:type="pct"/>
            <w:tcBorders>
              <w:top w:val="nil"/>
              <w:left w:val="nil"/>
              <w:bottom w:val="single" w:sz="4" w:space="0" w:color="auto"/>
              <w:right w:val="single" w:sz="4" w:space="0" w:color="auto"/>
            </w:tcBorders>
            <w:shd w:val="clear" w:color="auto" w:fill="auto"/>
            <w:vAlign w:val="center"/>
            <w:hideMark/>
          </w:tcPr>
          <w:p w14:paraId="4F3EB6AA"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Storitve uprave, obrambe in socialnega zavarovanja</w:t>
            </w:r>
          </w:p>
        </w:tc>
        <w:tc>
          <w:tcPr>
            <w:tcW w:w="405" w:type="pct"/>
            <w:tcBorders>
              <w:top w:val="nil"/>
              <w:left w:val="nil"/>
              <w:bottom w:val="single" w:sz="4" w:space="0" w:color="auto"/>
              <w:right w:val="single" w:sz="4" w:space="0" w:color="auto"/>
            </w:tcBorders>
            <w:shd w:val="clear" w:color="auto" w:fill="auto"/>
            <w:vAlign w:val="center"/>
            <w:hideMark/>
          </w:tcPr>
          <w:p w14:paraId="33F267B5"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1</w:t>
            </w:r>
          </w:p>
        </w:tc>
        <w:tc>
          <w:tcPr>
            <w:tcW w:w="478" w:type="pct"/>
            <w:tcBorders>
              <w:top w:val="nil"/>
              <w:left w:val="nil"/>
              <w:bottom w:val="single" w:sz="4" w:space="0" w:color="auto"/>
              <w:right w:val="single" w:sz="4" w:space="0" w:color="auto"/>
            </w:tcBorders>
            <w:shd w:val="clear" w:color="auto" w:fill="auto"/>
            <w:vAlign w:val="center"/>
            <w:hideMark/>
          </w:tcPr>
          <w:p w14:paraId="75815D52"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74.880</w:t>
            </w:r>
          </w:p>
        </w:tc>
        <w:tc>
          <w:tcPr>
            <w:tcW w:w="244" w:type="pct"/>
            <w:tcBorders>
              <w:top w:val="nil"/>
              <w:left w:val="nil"/>
              <w:bottom w:val="single" w:sz="4" w:space="0" w:color="auto"/>
              <w:right w:val="single" w:sz="4" w:space="0" w:color="auto"/>
            </w:tcBorders>
            <w:shd w:val="clear" w:color="auto" w:fill="auto"/>
            <w:noWrap/>
            <w:vAlign w:val="center"/>
            <w:hideMark/>
          </w:tcPr>
          <w:p w14:paraId="7EE6196F"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5C6AA0E6"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244" w:type="pct"/>
            <w:tcBorders>
              <w:top w:val="nil"/>
              <w:left w:val="nil"/>
              <w:bottom w:val="single" w:sz="4" w:space="0" w:color="auto"/>
              <w:right w:val="single" w:sz="4" w:space="0" w:color="auto"/>
            </w:tcBorders>
            <w:shd w:val="clear" w:color="auto" w:fill="auto"/>
            <w:noWrap/>
            <w:vAlign w:val="center"/>
            <w:hideMark/>
          </w:tcPr>
          <w:p w14:paraId="01AB6EDA"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226" w:type="pct"/>
            <w:tcBorders>
              <w:top w:val="nil"/>
              <w:left w:val="nil"/>
              <w:bottom w:val="single" w:sz="4" w:space="0" w:color="auto"/>
              <w:right w:val="single" w:sz="4" w:space="0" w:color="auto"/>
            </w:tcBorders>
            <w:shd w:val="clear" w:color="auto" w:fill="auto"/>
            <w:noWrap/>
            <w:vAlign w:val="center"/>
            <w:hideMark/>
          </w:tcPr>
          <w:p w14:paraId="28C845C3"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0,00</w:t>
            </w:r>
            <w:r>
              <w:rPr>
                <w:rFonts w:ascii="Arial" w:eastAsia="Times New Roman" w:hAnsi="Arial" w:cs="Arial"/>
                <w:color w:val="000000"/>
                <w:sz w:val="18"/>
                <w:szCs w:val="18"/>
                <w:lang w:eastAsia="sl-SI"/>
              </w:rPr>
              <w:t xml:space="preserve"> %</w:t>
            </w:r>
          </w:p>
        </w:tc>
      </w:tr>
      <w:tr w:rsidR="00E3750C" w:rsidRPr="008D458E" w14:paraId="0030F001" w14:textId="77777777" w:rsidTr="00047864">
        <w:trPr>
          <w:trHeight w:val="300"/>
        </w:trPr>
        <w:tc>
          <w:tcPr>
            <w:tcW w:w="239" w:type="pct"/>
            <w:tcBorders>
              <w:top w:val="nil"/>
              <w:left w:val="single" w:sz="4" w:space="0" w:color="auto"/>
              <w:bottom w:val="single" w:sz="4" w:space="0" w:color="auto"/>
              <w:right w:val="single" w:sz="4" w:space="0" w:color="auto"/>
            </w:tcBorders>
            <w:shd w:val="clear" w:color="auto" w:fill="auto"/>
            <w:vAlign w:val="center"/>
            <w:hideMark/>
          </w:tcPr>
          <w:p w14:paraId="1139CAAF"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77</w:t>
            </w:r>
          </w:p>
        </w:tc>
        <w:tc>
          <w:tcPr>
            <w:tcW w:w="2926" w:type="pct"/>
            <w:tcBorders>
              <w:top w:val="nil"/>
              <w:left w:val="nil"/>
              <w:bottom w:val="single" w:sz="4" w:space="0" w:color="auto"/>
              <w:right w:val="single" w:sz="4" w:space="0" w:color="auto"/>
            </w:tcBorders>
            <w:shd w:val="clear" w:color="auto" w:fill="auto"/>
            <w:vAlign w:val="center"/>
            <w:hideMark/>
          </w:tcPr>
          <w:p w14:paraId="712162E7"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Storitve na področju kmetijstva, gozdarstva, hortikulture, akvakulture in čebelarstva</w:t>
            </w:r>
          </w:p>
        </w:tc>
        <w:tc>
          <w:tcPr>
            <w:tcW w:w="405" w:type="pct"/>
            <w:tcBorders>
              <w:top w:val="nil"/>
              <w:left w:val="nil"/>
              <w:bottom w:val="single" w:sz="4" w:space="0" w:color="auto"/>
              <w:right w:val="single" w:sz="4" w:space="0" w:color="auto"/>
            </w:tcBorders>
            <w:shd w:val="clear" w:color="auto" w:fill="auto"/>
            <w:vAlign w:val="center"/>
            <w:hideMark/>
          </w:tcPr>
          <w:p w14:paraId="28DC3520"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11</w:t>
            </w:r>
          </w:p>
        </w:tc>
        <w:tc>
          <w:tcPr>
            <w:tcW w:w="478" w:type="pct"/>
            <w:tcBorders>
              <w:top w:val="nil"/>
              <w:left w:val="nil"/>
              <w:bottom w:val="single" w:sz="4" w:space="0" w:color="auto"/>
              <w:right w:val="single" w:sz="4" w:space="0" w:color="auto"/>
            </w:tcBorders>
            <w:shd w:val="clear" w:color="auto" w:fill="auto"/>
            <w:vAlign w:val="center"/>
            <w:hideMark/>
          </w:tcPr>
          <w:p w14:paraId="22EED42F"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1.560.171</w:t>
            </w:r>
          </w:p>
        </w:tc>
        <w:tc>
          <w:tcPr>
            <w:tcW w:w="244" w:type="pct"/>
            <w:tcBorders>
              <w:top w:val="nil"/>
              <w:left w:val="nil"/>
              <w:bottom w:val="single" w:sz="4" w:space="0" w:color="auto"/>
              <w:right w:val="single" w:sz="4" w:space="0" w:color="auto"/>
            </w:tcBorders>
            <w:shd w:val="clear" w:color="auto" w:fill="auto"/>
            <w:noWrap/>
            <w:vAlign w:val="center"/>
            <w:hideMark/>
          </w:tcPr>
          <w:p w14:paraId="3F4ED475"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0,21</w:t>
            </w:r>
            <w:r>
              <w:rPr>
                <w:rFonts w:ascii="Arial" w:eastAsia="Times New Roman" w:hAnsi="Arial" w:cs="Arial"/>
                <w:color w:val="000000"/>
                <w:sz w:val="18"/>
                <w:szCs w:val="18"/>
                <w:lang w:eastAsia="sl-SI"/>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4E396DFC"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0,11</w:t>
            </w:r>
            <w:r>
              <w:rPr>
                <w:rFonts w:ascii="Arial" w:eastAsia="Times New Roman" w:hAnsi="Arial" w:cs="Arial"/>
                <w:color w:val="000000"/>
                <w:sz w:val="18"/>
                <w:szCs w:val="18"/>
                <w:lang w:eastAsia="sl-SI"/>
              </w:rPr>
              <w:t xml:space="preserve"> %</w:t>
            </w:r>
          </w:p>
        </w:tc>
        <w:tc>
          <w:tcPr>
            <w:tcW w:w="244" w:type="pct"/>
            <w:tcBorders>
              <w:top w:val="nil"/>
              <w:left w:val="nil"/>
              <w:bottom w:val="single" w:sz="4" w:space="0" w:color="auto"/>
              <w:right w:val="single" w:sz="4" w:space="0" w:color="auto"/>
            </w:tcBorders>
            <w:shd w:val="clear" w:color="auto" w:fill="auto"/>
            <w:noWrap/>
            <w:vAlign w:val="center"/>
            <w:hideMark/>
          </w:tcPr>
          <w:p w14:paraId="0C3D4274"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0,06</w:t>
            </w:r>
            <w:r>
              <w:rPr>
                <w:rFonts w:ascii="Arial" w:eastAsia="Times New Roman" w:hAnsi="Arial" w:cs="Arial"/>
                <w:color w:val="000000"/>
                <w:sz w:val="18"/>
                <w:szCs w:val="18"/>
                <w:lang w:eastAsia="sl-SI"/>
              </w:rPr>
              <w:t xml:space="preserve"> %</w:t>
            </w:r>
          </w:p>
        </w:tc>
        <w:tc>
          <w:tcPr>
            <w:tcW w:w="226" w:type="pct"/>
            <w:tcBorders>
              <w:top w:val="nil"/>
              <w:left w:val="nil"/>
              <w:bottom w:val="single" w:sz="4" w:space="0" w:color="auto"/>
              <w:right w:val="single" w:sz="4" w:space="0" w:color="auto"/>
            </w:tcBorders>
            <w:shd w:val="clear" w:color="auto" w:fill="auto"/>
            <w:noWrap/>
            <w:vAlign w:val="center"/>
            <w:hideMark/>
          </w:tcPr>
          <w:p w14:paraId="252B10D1"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r>
      <w:tr w:rsidR="00E3750C" w:rsidRPr="008D458E" w14:paraId="75B83A43" w14:textId="77777777" w:rsidTr="00047864">
        <w:trPr>
          <w:trHeight w:val="300"/>
        </w:trPr>
        <w:tc>
          <w:tcPr>
            <w:tcW w:w="239" w:type="pct"/>
            <w:tcBorders>
              <w:top w:val="nil"/>
              <w:left w:val="single" w:sz="4" w:space="0" w:color="auto"/>
              <w:bottom w:val="single" w:sz="4" w:space="0" w:color="auto"/>
              <w:right w:val="single" w:sz="4" w:space="0" w:color="auto"/>
            </w:tcBorders>
            <w:shd w:val="clear" w:color="auto" w:fill="auto"/>
            <w:vAlign w:val="center"/>
            <w:hideMark/>
          </w:tcPr>
          <w:p w14:paraId="7074142D"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79</w:t>
            </w:r>
          </w:p>
        </w:tc>
        <w:tc>
          <w:tcPr>
            <w:tcW w:w="2926" w:type="pct"/>
            <w:tcBorders>
              <w:top w:val="nil"/>
              <w:left w:val="nil"/>
              <w:bottom w:val="single" w:sz="4" w:space="0" w:color="auto"/>
              <w:right w:val="single" w:sz="4" w:space="0" w:color="auto"/>
            </w:tcBorders>
            <w:shd w:val="clear" w:color="auto" w:fill="auto"/>
            <w:vAlign w:val="center"/>
            <w:hideMark/>
          </w:tcPr>
          <w:p w14:paraId="3036FCEF"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Poslovne storitve: pravo, trženje, svetovanje, zaposlovanje, tiskanje in varnost</w:t>
            </w:r>
          </w:p>
        </w:tc>
        <w:tc>
          <w:tcPr>
            <w:tcW w:w="405" w:type="pct"/>
            <w:tcBorders>
              <w:top w:val="nil"/>
              <w:left w:val="nil"/>
              <w:bottom w:val="single" w:sz="4" w:space="0" w:color="auto"/>
              <w:right w:val="single" w:sz="4" w:space="0" w:color="auto"/>
            </w:tcBorders>
            <w:shd w:val="clear" w:color="auto" w:fill="auto"/>
            <w:vAlign w:val="center"/>
            <w:hideMark/>
          </w:tcPr>
          <w:p w14:paraId="489224FB"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15</w:t>
            </w:r>
          </w:p>
        </w:tc>
        <w:tc>
          <w:tcPr>
            <w:tcW w:w="478" w:type="pct"/>
            <w:tcBorders>
              <w:top w:val="nil"/>
              <w:left w:val="nil"/>
              <w:bottom w:val="single" w:sz="4" w:space="0" w:color="auto"/>
              <w:right w:val="single" w:sz="4" w:space="0" w:color="auto"/>
            </w:tcBorders>
            <w:shd w:val="clear" w:color="auto" w:fill="auto"/>
            <w:vAlign w:val="center"/>
            <w:hideMark/>
          </w:tcPr>
          <w:p w14:paraId="29A187F4"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3.758.148</w:t>
            </w:r>
          </w:p>
        </w:tc>
        <w:tc>
          <w:tcPr>
            <w:tcW w:w="244" w:type="pct"/>
            <w:tcBorders>
              <w:top w:val="nil"/>
              <w:left w:val="nil"/>
              <w:bottom w:val="single" w:sz="4" w:space="0" w:color="auto"/>
              <w:right w:val="single" w:sz="4" w:space="0" w:color="auto"/>
            </w:tcBorders>
            <w:shd w:val="clear" w:color="auto" w:fill="auto"/>
            <w:noWrap/>
            <w:vAlign w:val="center"/>
            <w:hideMark/>
          </w:tcPr>
          <w:p w14:paraId="34E95C28"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0,29</w:t>
            </w:r>
            <w:r>
              <w:rPr>
                <w:rFonts w:ascii="Arial" w:eastAsia="Times New Roman" w:hAnsi="Arial" w:cs="Arial"/>
                <w:color w:val="000000"/>
                <w:sz w:val="18"/>
                <w:szCs w:val="18"/>
                <w:lang w:eastAsia="sl-SI"/>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77812D11"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0,26</w:t>
            </w:r>
            <w:r>
              <w:rPr>
                <w:rFonts w:ascii="Arial" w:eastAsia="Times New Roman" w:hAnsi="Arial" w:cs="Arial"/>
                <w:color w:val="000000"/>
                <w:sz w:val="18"/>
                <w:szCs w:val="18"/>
                <w:lang w:eastAsia="sl-SI"/>
              </w:rPr>
              <w:t xml:space="preserve"> %</w:t>
            </w:r>
          </w:p>
        </w:tc>
        <w:tc>
          <w:tcPr>
            <w:tcW w:w="244" w:type="pct"/>
            <w:tcBorders>
              <w:top w:val="nil"/>
              <w:left w:val="nil"/>
              <w:bottom w:val="single" w:sz="4" w:space="0" w:color="auto"/>
              <w:right w:val="single" w:sz="4" w:space="0" w:color="auto"/>
            </w:tcBorders>
            <w:shd w:val="clear" w:color="auto" w:fill="auto"/>
            <w:noWrap/>
            <w:vAlign w:val="center"/>
            <w:hideMark/>
          </w:tcPr>
          <w:p w14:paraId="31AACA68"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0,09</w:t>
            </w:r>
            <w:r>
              <w:rPr>
                <w:rFonts w:ascii="Arial" w:eastAsia="Times New Roman" w:hAnsi="Arial" w:cs="Arial"/>
                <w:color w:val="000000"/>
                <w:sz w:val="18"/>
                <w:szCs w:val="18"/>
                <w:lang w:eastAsia="sl-SI"/>
              </w:rPr>
              <w:t xml:space="preserve"> %</w:t>
            </w:r>
          </w:p>
        </w:tc>
        <w:tc>
          <w:tcPr>
            <w:tcW w:w="226" w:type="pct"/>
            <w:tcBorders>
              <w:top w:val="nil"/>
              <w:left w:val="nil"/>
              <w:bottom w:val="single" w:sz="4" w:space="0" w:color="auto"/>
              <w:right w:val="single" w:sz="4" w:space="0" w:color="auto"/>
            </w:tcBorders>
            <w:shd w:val="clear" w:color="auto" w:fill="auto"/>
            <w:noWrap/>
            <w:vAlign w:val="center"/>
            <w:hideMark/>
          </w:tcPr>
          <w:p w14:paraId="0023BA8C"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0,07</w:t>
            </w:r>
            <w:r>
              <w:rPr>
                <w:rFonts w:ascii="Arial" w:eastAsia="Times New Roman" w:hAnsi="Arial" w:cs="Arial"/>
                <w:color w:val="000000"/>
                <w:sz w:val="18"/>
                <w:szCs w:val="18"/>
                <w:lang w:eastAsia="sl-SI"/>
              </w:rPr>
              <w:t xml:space="preserve"> %</w:t>
            </w:r>
          </w:p>
        </w:tc>
      </w:tr>
      <w:tr w:rsidR="00E3750C" w:rsidRPr="008D458E" w14:paraId="77C07A51" w14:textId="77777777" w:rsidTr="00047864">
        <w:trPr>
          <w:trHeight w:val="300"/>
        </w:trPr>
        <w:tc>
          <w:tcPr>
            <w:tcW w:w="239" w:type="pct"/>
            <w:tcBorders>
              <w:top w:val="nil"/>
              <w:left w:val="single" w:sz="4" w:space="0" w:color="auto"/>
              <w:bottom w:val="single" w:sz="4" w:space="0" w:color="auto"/>
              <w:right w:val="single" w:sz="4" w:space="0" w:color="auto"/>
            </w:tcBorders>
            <w:shd w:val="clear" w:color="auto" w:fill="auto"/>
            <w:vAlign w:val="center"/>
            <w:hideMark/>
          </w:tcPr>
          <w:p w14:paraId="37A01F64"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90</w:t>
            </w:r>
          </w:p>
        </w:tc>
        <w:tc>
          <w:tcPr>
            <w:tcW w:w="2926" w:type="pct"/>
            <w:tcBorders>
              <w:top w:val="nil"/>
              <w:left w:val="nil"/>
              <w:bottom w:val="single" w:sz="4" w:space="0" w:color="auto"/>
              <w:right w:val="single" w:sz="4" w:space="0" w:color="auto"/>
            </w:tcBorders>
            <w:shd w:val="clear" w:color="auto" w:fill="auto"/>
            <w:vAlign w:val="center"/>
            <w:hideMark/>
          </w:tcPr>
          <w:p w14:paraId="14E11BB8"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Storitve v zvezi z odplakami, odpadki, čiščenjem in okoljem</w:t>
            </w:r>
          </w:p>
        </w:tc>
        <w:tc>
          <w:tcPr>
            <w:tcW w:w="405" w:type="pct"/>
            <w:tcBorders>
              <w:top w:val="nil"/>
              <w:left w:val="nil"/>
              <w:bottom w:val="single" w:sz="4" w:space="0" w:color="auto"/>
              <w:right w:val="single" w:sz="4" w:space="0" w:color="auto"/>
            </w:tcBorders>
            <w:shd w:val="clear" w:color="auto" w:fill="auto"/>
            <w:vAlign w:val="center"/>
            <w:hideMark/>
          </w:tcPr>
          <w:p w14:paraId="1AF113E6"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186</w:t>
            </w:r>
          </w:p>
        </w:tc>
        <w:tc>
          <w:tcPr>
            <w:tcW w:w="478" w:type="pct"/>
            <w:tcBorders>
              <w:top w:val="nil"/>
              <w:left w:val="nil"/>
              <w:bottom w:val="single" w:sz="4" w:space="0" w:color="auto"/>
              <w:right w:val="single" w:sz="4" w:space="0" w:color="auto"/>
            </w:tcBorders>
            <w:shd w:val="clear" w:color="auto" w:fill="auto"/>
            <w:vAlign w:val="center"/>
            <w:hideMark/>
          </w:tcPr>
          <w:p w14:paraId="2D951EEB"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43.165.471</w:t>
            </w:r>
          </w:p>
        </w:tc>
        <w:tc>
          <w:tcPr>
            <w:tcW w:w="244" w:type="pct"/>
            <w:tcBorders>
              <w:top w:val="nil"/>
              <w:left w:val="nil"/>
              <w:bottom w:val="single" w:sz="4" w:space="0" w:color="auto"/>
              <w:right w:val="single" w:sz="4" w:space="0" w:color="auto"/>
            </w:tcBorders>
            <w:shd w:val="clear" w:color="auto" w:fill="auto"/>
            <w:noWrap/>
            <w:vAlign w:val="center"/>
            <w:hideMark/>
          </w:tcPr>
          <w:p w14:paraId="4CCFF855"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3,60</w:t>
            </w:r>
            <w:r>
              <w:rPr>
                <w:rFonts w:ascii="Arial" w:eastAsia="Times New Roman" w:hAnsi="Arial" w:cs="Arial"/>
                <w:color w:val="000000"/>
                <w:sz w:val="18"/>
                <w:szCs w:val="18"/>
                <w:lang w:eastAsia="sl-SI"/>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6176C259"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3,03</w:t>
            </w:r>
            <w:r>
              <w:rPr>
                <w:rFonts w:ascii="Arial" w:eastAsia="Times New Roman" w:hAnsi="Arial" w:cs="Arial"/>
                <w:color w:val="000000"/>
                <w:sz w:val="18"/>
                <w:szCs w:val="18"/>
                <w:lang w:eastAsia="sl-SI"/>
              </w:rPr>
              <w:t xml:space="preserve"> %</w:t>
            </w:r>
          </w:p>
        </w:tc>
        <w:tc>
          <w:tcPr>
            <w:tcW w:w="244" w:type="pct"/>
            <w:tcBorders>
              <w:top w:val="nil"/>
              <w:left w:val="nil"/>
              <w:bottom w:val="single" w:sz="4" w:space="0" w:color="auto"/>
              <w:right w:val="single" w:sz="4" w:space="0" w:color="auto"/>
            </w:tcBorders>
            <w:shd w:val="clear" w:color="auto" w:fill="auto"/>
            <w:noWrap/>
            <w:vAlign w:val="center"/>
            <w:hideMark/>
          </w:tcPr>
          <w:p w14:paraId="240AB8A2"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1,08</w:t>
            </w:r>
            <w:r>
              <w:rPr>
                <w:rFonts w:ascii="Arial" w:eastAsia="Times New Roman" w:hAnsi="Arial" w:cs="Arial"/>
                <w:color w:val="000000"/>
                <w:sz w:val="18"/>
                <w:szCs w:val="18"/>
                <w:lang w:eastAsia="sl-SI"/>
              </w:rPr>
              <w:t xml:space="preserve"> %</w:t>
            </w:r>
          </w:p>
        </w:tc>
        <w:tc>
          <w:tcPr>
            <w:tcW w:w="226" w:type="pct"/>
            <w:tcBorders>
              <w:top w:val="nil"/>
              <w:left w:val="nil"/>
              <w:bottom w:val="single" w:sz="4" w:space="0" w:color="auto"/>
              <w:right w:val="single" w:sz="4" w:space="0" w:color="auto"/>
            </w:tcBorders>
            <w:shd w:val="clear" w:color="auto" w:fill="auto"/>
            <w:noWrap/>
            <w:vAlign w:val="center"/>
            <w:hideMark/>
          </w:tcPr>
          <w:p w14:paraId="4A59F2B2"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0,80</w:t>
            </w:r>
            <w:r>
              <w:rPr>
                <w:rFonts w:ascii="Arial" w:eastAsia="Times New Roman" w:hAnsi="Arial" w:cs="Arial"/>
                <w:color w:val="000000"/>
                <w:sz w:val="18"/>
                <w:szCs w:val="18"/>
                <w:lang w:eastAsia="sl-SI"/>
              </w:rPr>
              <w:t xml:space="preserve"> %</w:t>
            </w:r>
          </w:p>
        </w:tc>
      </w:tr>
      <w:tr w:rsidR="00E3750C" w:rsidRPr="008D458E" w14:paraId="0459E21C" w14:textId="77777777" w:rsidTr="00047864">
        <w:trPr>
          <w:trHeight w:val="300"/>
        </w:trPr>
        <w:tc>
          <w:tcPr>
            <w:tcW w:w="239" w:type="pct"/>
            <w:tcBorders>
              <w:top w:val="nil"/>
              <w:left w:val="single" w:sz="4" w:space="0" w:color="auto"/>
              <w:bottom w:val="single" w:sz="4" w:space="0" w:color="auto"/>
              <w:right w:val="single" w:sz="4" w:space="0" w:color="auto"/>
            </w:tcBorders>
            <w:shd w:val="clear" w:color="auto" w:fill="auto"/>
            <w:vAlign w:val="center"/>
            <w:hideMark/>
          </w:tcPr>
          <w:p w14:paraId="2E216598"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92</w:t>
            </w:r>
          </w:p>
        </w:tc>
        <w:tc>
          <w:tcPr>
            <w:tcW w:w="2926" w:type="pct"/>
            <w:tcBorders>
              <w:top w:val="nil"/>
              <w:left w:val="nil"/>
              <w:bottom w:val="single" w:sz="4" w:space="0" w:color="auto"/>
              <w:right w:val="single" w:sz="4" w:space="0" w:color="auto"/>
            </w:tcBorders>
            <w:shd w:val="clear" w:color="auto" w:fill="auto"/>
            <w:vAlign w:val="center"/>
            <w:hideMark/>
          </w:tcPr>
          <w:p w14:paraId="52434EE9"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Storitve na področju rekreacije, kulture in športa</w:t>
            </w:r>
          </w:p>
        </w:tc>
        <w:tc>
          <w:tcPr>
            <w:tcW w:w="405" w:type="pct"/>
            <w:tcBorders>
              <w:top w:val="nil"/>
              <w:left w:val="nil"/>
              <w:bottom w:val="single" w:sz="4" w:space="0" w:color="auto"/>
              <w:right w:val="single" w:sz="4" w:space="0" w:color="auto"/>
            </w:tcBorders>
            <w:shd w:val="clear" w:color="auto" w:fill="auto"/>
            <w:vAlign w:val="center"/>
            <w:hideMark/>
          </w:tcPr>
          <w:p w14:paraId="7B37208D"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5</w:t>
            </w:r>
          </w:p>
        </w:tc>
        <w:tc>
          <w:tcPr>
            <w:tcW w:w="478" w:type="pct"/>
            <w:tcBorders>
              <w:top w:val="nil"/>
              <w:left w:val="nil"/>
              <w:bottom w:val="single" w:sz="4" w:space="0" w:color="auto"/>
              <w:right w:val="single" w:sz="4" w:space="0" w:color="auto"/>
            </w:tcBorders>
            <w:shd w:val="clear" w:color="auto" w:fill="auto"/>
            <w:vAlign w:val="center"/>
            <w:hideMark/>
          </w:tcPr>
          <w:p w14:paraId="0CE8AE3F"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406.930</w:t>
            </w:r>
          </w:p>
        </w:tc>
        <w:tc>
          <w:tcPr>
            <w:tcW w:w="244" w:type="pct"/>
            <w:tcBorders>
              <w:top w:val="nil"/>
              <w:left w:val="nil"/>
              <w:bottom w:val="single" w:sz="4" w:space="0" w:color="auto"/>
              <w:right w:val="single" w:sz="4" w:space="0" w:color="auto"/>
            </w:tcBorders>
            <w:shd w:val="clear" w:color="auto" w:fill="auto"/>
            <w:noWrap/>
            <w:vAlign w:val="center"/>
            <w:hideMark/>
          </w:tcPr>
          <w:p w14:paraId="55716573"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0,10</w:t>
            </w:r>
            <w:r>
              <w:rPr>
                <w:rFonts w:ascii="Arial" w:eastAsia="Times New Roman" w:hAnsi="Arial" w:cs="Arial"/>
                <w:color w:val="000000"/>
                <w:sz w:val="18"/>
                <w:szCs w:val="18"/>
                <w:lang w:eastAsia="sl-SI"/>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7A4DE050"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c>
          <w:tcPr>
            <w:tcW w:w="244" w:type="pct"/>
            <w:tcBorders>
              <w:top w:val="nil"/>
              <w:left w:val="nil"/>
              <w:bottom w:val="single" w:sz="4" w:space="0" w:color="auto"/>
              <w:right w:val="single" w:sz="4" w:space="0" w:color="auto"/>
            </w:tcBorders>
            <w:shd w:val="clear" w:color="auto" w:fill="auto"/>
            <w:noWrap/>
            <w:vAlign w:val="center"/>
            <w:hideMark/>
          </w:tcPr>
          <w:p w14:paraId="18A360B7"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c>
          <w:tcPr>
            <w:tcW w:w="226" w:type="pct"/>
            <w:tcBorders>
              <w:top w:val="nil"/>
              <w:left w:val="nil"/>
              <w:bottom w:val="single" w:sz="4" w:space="0" w:color="auto"/>
              <w:right w:val="single" w:sz="4" w:space="0" w:color="auto"/>
            </w:tcBorders>
            <w:shd w:val="clear" w:color="auto" w:fill="auto"/>
            <w:noWrap/>
            <w:vAlign w:val="center"/>
            <w:hideMark/>
          </w:tcPr>
          <w:p w14:paraId="4EC20580"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r>
      <w:tr w:rsidR="00E3750C" w:rsidRPr="008D458E" w14:paraId="417A8FC8" w14:textId="77777777" w:rsidTr="00047864">
        <w:trPr>
          <w:trHeight w:val="300"/>
        </w:trPr>
        <w:tc>
          <w:tcPr>
            <w:tcW w:w="239" w:type="pct"/>
            <w:tcBorders>
              <w:top w:val="nil"/>
              <w:left w:val="single" w:sz="4" w:space="0" w:color="auto"/>
              <w:bottom w:val="single" w:sz="4" w:space="0" w:color="auto"/>
              <w:right w:val="single" w:sz="4" w:space="0" w:color="auto"/>
            </w:tcBorders>
            <w:shd w:val="clear" w:color="auto" w:fill="auto"/>
            <w:vAlign w:val="center"/>
            <w:hideMark/>
          </w:tcPr>
          <w:p w14:paraId="07440126"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98</w:t>
            </w:r>
          </w:p>
        </w:tc>
        <w:tc>
          <w:tcPr>
            <w:tcW w:w="2926" w:type="pct"/>
            <w:tcBorders>
              <w:top w:val="nil"/>
              <w:left w:val="nil"/>
              <w:bottom w:val="single" w:sz="4" w:space="0" w:color="auto"/>
              <w:right w:val="single" w:sz="4" w:space="0" w:color="auto"/>
            </w:tcBorders>
            <w:shd w:val="clear" w:color="auto" w:fill="auto"/>
            <w:vAlign w:val="center"/>
            <w:hideMark/>
          </w:tcPr>
          <w:p w14:paraId="56ECD264" w14:textId="77777777" w:rsidR="00E3750C" w:rsidRPr="008D458E" w:rsidRDefault="00E3750C" w:rsidP="00047864">
            <w:pPr>
              <w:spacing w:after="0" w:line="240" w:lineRule="auto"/>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Druge javne, skupne in osebne storitve</w:t>
            </w:r>
          </w:p>
        </w:tc>
        <w:tc>
          <w:tcPr>
            <w:tcW w:w="405" w:type="pct"/>
            <w:tcBorders>
              <w:top w:val="nil"/>
              <w:left w:val="nil"/>
              <w:bottom w:val="single" w:sz="4" w:space="0" w:color="auto"/>
              <w:right w:val="single" w:sz="4" w:space="0" w:color="auto"/>
            </w:tcBorders>
            <w:shd w:val="clear" w:color="auto" w:fill="auto"/>
            <w:vAlign w:val="center"/>
            <w:hideMark/>
          </w:tcPr>
          <w:p w14:paraId="56501A06"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24</w:t>
            </w:r>
          </w:p>
        </w:tc>
        <w:tc>
          <w:tcPr>
            <w:tcW w:w="478" w:type="pct"/>
            <w:tcBorders>
              <w:top w:val="nil"/>
              <w:left w:val="nil"/>
              <w:bottom w:val="single" w:sz="4" w:space="0" w:color="auto"/>
              <w:right w:val="single" w:sz="4" w:space="0" w:color="auto"/>
            </w:tcBorders>
            <w:shd w:val="clear" w:color="auto" w:fill="auto"/>
            <w:vAlign w:val="center"/>
            <w:hideMark/>
          </w:tcPr>
          <w:p w14:paraId="5A032DE5"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3.042.457</w:t>
            </w:r>
          </w:p>
        </w:tc>
        <w:tc>
          <w:tcPr>
            <w:tcW w:w="244" w:type="pct"/>
            <w:tcBorders>
              <w:top w:val="nil"/>
              <w:left w:val="nil"/>
              <w:bottom w:val="single" w:sz="4" w:space="0" w:color="auto"/>
              <w:right w:val="single" w:sz="4" w:space="0" w:color="auto"/>
            </w:tcBorders>
            <w:shd w:val="clear" w:color="auto" w:fill="auto"/>
            <w:noWrap/>
            <w:vAlign w:val="center"/>
            <w:hideMark/>
          </w:tcPr>
          <w:p w14:paraId="4704A29A"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0,46</w:t>
            </w:r>
            <w:r>
              <w:rPr>
                <w:rFonts w:ascii="Arial" w:eastAsia="Times New Roman" w:hAnsi="Arial" w:cs="Arial"/>
                <w:color w:val="000000"/>
                <w:sz w:val="18"/>
                <w:szCs w:val="18"/>
                <w:lang w:eastAsia="sl-SI"/>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14:paraId="17DEC3D1"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0,21</w:t>
            </w:r>
            <w:r>
              <w:rPr>
                <w:rFonts w:ascii="Arial" w:eastAsia="Times New Roman" w:hAnsi="Arial" w:cs="Arial"/>
                <w:color w:val="000000"/>
                <w:sz w:val="18"/>
                <w:szCs w:val="18"/>
                <w:lang w:eastAsia="sl-SI"/>
              </w:rPr>
              <w:t xml:space="preserve"> %</w:t>
            </w:r>
          </w:p>
        </w:tc>
        <w:tc>
          <w:tcPr>
            <w:tcW w:w="244" w:type="pct"/>
            <w:tcBorders>
              <w:top w:val="nil"/>
              <w:left w:val="nil"/>
              <w:bottom w:val="single" w:sz="4" w:space="0" w:color="auto"/>
              <w:right w:val="single" w:sz="4" w:space="0" w:color="auto"/>
            </w:tcBorders>
            <w:shd w:val="clear" w:color="auto" w:fill="auto"/>
            <w:noWrap/>
            <w:vAlign w:val="center"/>
            <w:hideMark/>
          </w:tcPr>
          <w:p w14:paraId="580AE28B"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0,14</w:t>
            </w:r>
            <w:r>
              <w:rPr>
                <w:rFonts w:ascii="Arial" w:eastAsia="Times New Roman" w:hAnsi="Arial" w:cs="Arial"/>
                <w:color w:val="000000"/>
                <w:sz w:val="18"/>
                <w:szCs w:val="18"/>
                <w:lang w:eastAsia="sl-SI"/>
              </w:rPr>
              <w:t xml:space="preserve"> %</w:t>
            </w:r>
          </w:p>
        </w:tc>
        <w:tc>
          <w:tcPr>
            <w:tcW w:w="226" w:type="pct"/>
            <w:tcBorders>
              <w:top w:val="nil"/>
              <w:left w:val="nil"/>
              <w:bottom w:val="single" w:sz="4" w:space="0" w:color="auto"/>
              <w:right w:val="single" w:sz="4" w:space="0" w:color="auto"/>
            </w:tcBorders>
            <w:shd w:val="clear" w:color="auto" w:fill="auto"/>
            <w:noWrap/>
            <w:vAlign w:val="center"/>
            <w:hideMark/>
          </w:tcPr>
          <w:p w14:paraId="34A1E27C" w14:textId="77777777" w:rsidR="00E3750C" w:rsidRPr="008D458E" w:rsidRDefault="00E3750C" w:rsidP="00047864">
            <w:pPr>
              <w:spacing w:after="0" w:line="240" w:lineRule="auto"/>
              <w:jc w:val="right"/>
              <w:rPr>
                <w:rFonts w:ascii="Arial" w:eastAsia="Times New Roman" w:hAnsi="Arial" w:cs="Arial"/>
                <w:color w:val="000000"/>
                <w:sz w:val="18"/>
                <w:szCs w:val="18"/>
                <w:lang w:eastAsia="sl-SI"/>
              </w:rPr>
            </w:pPr>
            <w:r w:rsidRPr="008D458E">
              <w:rPr>
                <w:rFonts w:ascii="Arial" w:eastAsia="Times New Roman" w:hAnsi="Arial" w:cs="Arial"/>
                <w:color w:val="000000"/>
                <w:sz w:val="18"/>
                <w:szCs w:val="18"/>
                <w:lang w:eastAsia="sl-SI"/>
              </w:rPr>
              <w:t>0,06</w:t>
            </w:r>
            <w:r>
              <w:rPr>
                <w:rFonts w:ascii="Arial" w:eastAsia="Times New Roman" w:hAnsi="Arial" w:cs="Arial"/>
                <w:color w:val="000000"/>
                <w:sz w:val="18"/>
                <w:szCs w:val="18"/>
                <w:lang w:eastAsia="sl-SI"/>
              </w:rPr>
              <w:t xml:space="preserve"> %</w:t>
            </w:r>
          </w:p>
        </w:tc>
      </w:tr>
      <w:tr w:rsidR="00E3750C" w:rsidRPr="008D458E" w14:paraId="583448CA" w14:textId="77777777" w:rsidTr="00047864">
        <w:trPr>
          <w:trHeight w:val="300"/>
        </w:trPr>
        <w:tc>
          <w:tcPr>
            <w:tcW w:w="316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EAB23E" w14:textId="77777777" w:rsidR="00E3750C" w:rsidRPr="008D458E" w:rsidRDefault="00E3750C" w:rsidP="00047864">
            <w:pPr>
              <w:spacing w:after="0" w:line="240" w:lineRule="auto"/>
              <w:rPr>
                <w:rFonts w:ascii="Arial" w:eastAsia="Times New Roman" w:hAnsi="Arial" w:cs="Arial"/>
                <w:b/>
                <w:bCs/>
                <w:color w:val="000000"/>
                <w:sz w:val="18"/>
                <w:szCs w:val="18"/>
                <w:lang w:eastAsia="sl-SI"/>
              </w:rPr>
            </w:pPr>
            <w:r w:rsidRPr="008D458E">
              <w:rPr>
                <w:rFonts w:ascii="Arial" w:eastAsia="Times New Roman" w:hAnsi="Arial" w:cs="Arial"/>
                <w:b/>
                <w:bCs/>
                <w:color w:val="000000"/>
                <w:sz w:val="18"/>
                <w:szCs w:val="18"/>
                <w:lang w:eastAsia="sl-SI"/>
              </w:rPr>
              <w:t>Skupaj</w:t>
            </w:r>
          </w:p>
        </w:tc>
        <w:tc>
          <w:tcPr>
            <w:tcW w:w="405" w:type="pct"/>
            <w:tcBorders>
              <w:top w:val="nil"/>
              <w:left w:val="nil"/>
              <w:bottom w:val="single" w:sz="4" w:space="0" w:color="auto"/>
              <w:right w:val="single" w:sz="4" w:space="0" w:color="auto"/>
            </w:tcBorders>
            <w:shd w:val="clear" w:color="auto" w:fill="F2F2F2" w:themeFill="background1" w:themeFillShade="F2"/>
            <w:noWrap/>
            <w:vAlign w:val="center"/>
            <w:hideMark/>
          </w:tcPr>
          <w:p w14:paraId="67C4AC0B" w14:textId="77777777" w:rsidR="00E3750C" w:rsidRPr="008D458E" w:rsidRDefault="00E3750C" w:rsidP="00047864">
            <w:pPr>
              <w:spacing w:after="0" w:line="240" w:lineRule="auto"/>
              <w:jc w:val="right"/>
              <w:rPr>
                <w:rFonts w:ascii="Arial" w:eastAsia="Times New Roman" w:hAnsi="Arial" w:cs="Arial"/>
                <w:b/>
                <w:bCs/>
                <w:color w:val="000000"/>
                <w:sz w:val="18"/>
                <w:szCs w:val="18"/>
                <w:lang w:eastAsia="sl-SI"/>
              </w:rPr>
            </w:pPr>
            <w:r w:rsidRPr="008D458E">
              <w:rPr>
                <w:rFonts w:ascii="Arial" w:eastAsia="Times New Roman" w:hAnsi="Arial" w:cs="Arial"/>
                <w:b/>
                <w:bCs/>
                <w:color w:val="000000"/>
                <w:sz w:val="18"/>
                <w:szCs w:val="18"/>
                <w:lang w:eastAsia="sl-SI"/>
              </w:rPr>
              <w:t>5.162</w:t>
            </w:r>
          </w:p>
        </w:tc>
        <w:tc>
          <w:tcPr>
            <w:tcW w:w="478" w:type="pct"/>
            <w:tcBorders>
              <w:top w:val="nil"/>
              <w:left w:val="nil"/>
              <w:bottom w:val="single" w:sz="4" w:space="0" w:color="auto"/>
              <w:right w:val="single" w:sz="4" w:space="0" w:color="auto"/>
            </w:tcBorders>
            <w:shd w:val="clear" w:color="auto" w:fill="F2F2F2" w:themeFill="background1" w:themeFillShade="F2"/>
            <w:noWrap/>
            <w:vAlign w:val="center"/>
            <w:hideMark/>
          </w:tcPr>
          <w:p w14:paraId="7F0912AF" w14:textId="77777777" w:rsidR="00E3750C" w:rsidRPr="008D458E" w:rsidRDefault="00E3750C" w:rsidP="00047864">
            <w:pPr>
              <w:spacing w:after="0" w:line="240" w:lineRule="auto"/>
              <w:jc w:val="right"/>
              <w:rPr>
                <w:rFonts w:ascii="Arial" w:eastAsia="Times New Roman" w:hAnsi="Arial" w:cs="Arial"/>
                <w:b/>
                <w:bCs/>
                <w:color w:val="000000"/>
                <w:sz w:val="18"/>
                <w:szCs w:val="18"/>
                <w:lang w:eastAsia="sl-SI"/>
              </w:rPr>
            </w:pPr>
            <w:r w:rsidRPr="008D458E">
              <w:rPr>
                <w:rFonts w:ascii="Arial" w:eastAsia="Times New Roman" w:hAnsi="Arial" w:cs="Arial"/>
                <w:b/>
                <w:bCs/>
                <w:color w:val="000000"/>
                <w:sz w:val="18"/>
                <w:szCs w:val="18"/>
                <w:lang w:eastAsia="sl-SI"/>
              </w:rPr>
              <w:t>1.422.738.797</w:t>
            </w:r>
          </w:p>
        </w:tc>
        <w:tc>
          <w:tcPr>
            <w:tcW w:w="244" w:type="pct"/>
            <w:tcBorders>
              <w:top w:val="nil"/>
              <w:left w:val="nil"/>
              <w:bottom w:val="single" w:sz="4" w:space="0" w:color="auto"/>
              <w:right w:val="single" w:sz="4" w:space="0" w:color="auto"/>
            </w:tcBorders>
            <w:shd w:val="clear" w:color="auto" w:fill="F2F2F2" w:themeFill="background1" w:themeFillShade="F2"/>
            <w:noWrap/>
            <w:vAlign w:val="center"/>
            <w:hideMark/>
          </w:tcPr>
          <w:p w14:paraId="1A1ECAF9" w14:textId="77777777" w:rsidR="00E3750C" w:rsidRPr="008D458E" w:rsidRDefault="00E3750C" w:rsidP="00047864">
            <w:pPr>
              <w:spacing w:after="0" w:line="240" w:lineRule="auto"/>
              <w:jc w:val="right"/>
              <w:rPr>
                <w:rFonts w:ascii="Arial" w:eastAsia="Times New Roman" w:hAnsi="Arial" w:cs="Arial"/>
                <w:b/>
                <w:bCs/>
                <w:color w:val="000000"/>
                <w:sz w:val="18"/>
                <w:szCs w:val="18"/>
                <w:lang w:eastAsia="sl-SI"/>
              </w:rPr>
            </w:pPr>
            <w:r w:rsidRPr="008D458E">
              <w:rPr>
                <w:rFonts w:ascii="Arial" w:eastAsia="Times New Roman" w:hAnsi="Arial" w:cs="Arial"/>
                <w:b/>
                <w:bCs/>
                <w:color w:val="000000"/>
                <w:sz w:val="18"/>
                <w:szCs w:val="18"/>
                <w:lang w:eastAsia="sl-SI"/>
              </w:rPr>
              <w:t>100,00 %</w:t>
            </w:r>
          </w:p>
        </w:tc>
        <w:tc>
          <w:tcPr>
            <w:tcW w:w="236" w:type="pct"/>
            <w:tcBorders>
              <w:top w:val="nil"/>
              <w:left w:val="nil"/>
              <w:bottom w:val="single" w:sz="4" w:space="0" w:color="auto"/>
              <w:right w:val="single" w:sz="4" w:space="0" w:color="auto"/>
            </w:tcBorders>
            <w:shd w:val="clear" w:color="auto" w:fill="F2F2F2" w:themeFill="background1" w:themeFillShade="F2"/>
            <w:noWrap/>
            <w:vAlign w:val="center"/>
            <w:hideMark/>
          </w:tcPr>
          <w:p w14:paraId="2A5D6EA0" w14:textId="77777777" w:rsidR="00E3750C" w:rsidRPr="008D458E" w:rsidRDefault="00E3750C" w:rsidP="00047864">
            <w:pPr>
              <w:spacing w:after="0" w:line="240" w:lineRule="auto"/>
              <w:jc w:val="right"/>
              <w:rPr>
                <w:rFonts w:ascii="Arial" w:eastAsia="Times New Roman" w:hAnsi="Arial" w:cs="Arial"/>
                <w:b/>
                <w:bCs/>
                <w:color w:val="000000"/>
                <w:sz w:val="18"/>
                <w:szCs w:val="18"/>
                <w:lang w:eastAsia="sl-SI"/>
              </w:rPr>
            </w:pPr>
            <w:r w:rsidRPr="008D458E">
              <w:rPr>
                <w:rFonts w:ascii="Arial" w:eastAsia="Times New Roman" w:hAnsi="Arial" w:cs="Arial"/>
                <w:b/>
                <w:bCs/>
                <w:color w:val="000000"/>
                <w:sz w:val="18"/>
                <w:szCs w:val="18"/>
                <w:lang w:eastAsia="sl-SI"/>
              </w:rPr>
              <w:t>100,00 %</w:t>
            </w:r>
          </w:p>
        </w:tc>
        <w:tc>
          <w:tcPr>
            <w:tcW w:w="244" w:type="pct"/>
            <w:tcBorders>
              <w:top w:val="nil"/>
              <w:left w:val="nil"/>
              <w:bottom w:val="single" w:sz="4" w:space="0" w:color="auto"/>
              <w:right w:val="single" w:sz="4" w:space="0" w:color="auto"/>
            </w:tcBorders>
            <w:shd w:val="clear" w:color="auto" w:fill="F2F2F2" w:themeFill="background1" w:themeFillShade="F2"/>
            <w:noWrap/>
            <w:vAlign w:val="center"/>
            <w:hideMark/>
          </w:tcPr>
          <w:p w14:paraId="5D69C47E" w14:textId="77777777" w:rsidR="00E3750C" w:rsidRPr="008D458E" w:rsidRDefault="00E3750C" w:rsidP="00047864">
            <w:pPr>
              <w:spacing w:after="0" w:line="240" w:lineRule="auto"/>
              <w:jc w:val="right"/>
              <w:rPr>
                <w:rFonts w:ascii="Arial" w:eastAsia="Times New Roman" w:hAnsi="Arial" w:cs="Arial"/>
                <w:b/>
                <w:bCs/>
                <w:color w:val="000000"/>
                <w:sz w:val="18"/>
                <w:szCs w:val="18"/>
                <w:lang w:eastAsia="sl-SI"/>
              </w:rPr>
            </w:pPr>
            <w:r w:rsidRPr="008D458E">
              <w:rPr>
                <w:rFonts w:ascii="Arial" w:eastAsia="Times New Roman" w:hAnsi="Arial" w:cs="Arial"/>
                <w:b/>
                <w:bCs/>
                <w:color w:val="000000"/>
                <w:sz w:val="18"/>
                <w:szCs w:val="18"/>
                <w:lang w:eastAsia="sl-SI"/>
              </w:rPr>
              <w:t>29,97 %</w:t>
            </w:r>
          </w:p>
        </w:tc>
        <w:tc>
          <w:tcPr>
            <w:tcW w:w="226" w:type="pct"/>
            <w:tcBorders>
              <w:top w:val="nil"/>
              <w:left w:val="nil"/>
              <w:bottom w:val="single" w:sz="4" w:space="0" w:color="auto"/>
              <w:right w:val="single" w:sz="4" w:space="0" w:color="auto"/>
            </w:tcBorders>
            <w:shd w:val="clear" w:color="auto" w:fill="F2F2F2" w:themeFill="background1" w:themeFillShade="F2"/>
            <w:noWrap/>
            <w:vAlign w:val="center"/>
            <w:hideMark/>
          </w:tcPr>
          <w:p w14:paraId="3DA403D8" w14:textId="77777777" w:rsidR="00E3750C" w:rsidRPr="008D458E" w:rsidRDefault="00E3750C" w:rsidP="00047864">
            <w:pPr>
              <w:spacing w:after="0" w:line="240" w:lineRule="auto"/>
              <w:jc w:val="right"/>
              <w:rPr>
                <w:rFonts w:ascii="Arial" w:eastAsia="Times New Roman" w:hAnsi="Arial" w:cs="Arial"/>
                <w:b/>
                <w:bCs/>
                <w:color w:val="000000"/>
                <w:sz w:val="18"/>
                <w:szCs w:val="18"/>
                <w:lang w:eastAsia="sl-SI"/>
              </w:rPr>
            </w:pPr>
            <w:r w:rsidRPr="008D458E">
              <w:rPr>
                <w:rFonts w:ascii="Arial" w:eastAsia="Times New Roman" w:hAnsi="Arial" w:cs="Arial"/>
                <w:b/>
                <w:bCs/>
                <w:color w:val="000000"/>
                <w:sz w:val="18"/>
                <w:szCs w:val="18"/>
                <w:lang w:eastAsia="sl-SI"/>
              </w:rPr>
              <w:t>26,26 %</w:t>
            </w:r>
          </w:p>
        </w:tc>
      </w:tr>
    </w:tbl>
    <w:p w14:paraId="68D9469F" w14:textId="77777777" w:rsidR="00E3750C" w:rsidRPr="00BF7302" w:rsidRDefault="00E3750C" w:rsidP="00E3750C">
      <w:pPr>
        <w:spacing w:after="0"/>
        <w:rPr>
          <w:rFonts w:ascii="Arial" w:hAnsi="Arial" w:cs="Arial"/>
          <w:sz w:val="20"/>
          <w:highlight w:val="yellow"/>
        </w:rPr>
      </w:pPr>
    </w:p>
    <w:p w14:paraId="72772869" w14:textId="77777777" w:rsidR="00E3750C" w:rsidRPr="007B0121" w:rsidRDefault="00E3750C" w:rsidP="00E3750C">
      <w:pPr>
        <w:spacing w:before="120" w:after="0" w:line="240" w:lineRule="auto"/>
        <w:rPr>
          <w:rFonts w:ascii="Arial" w:hAnsi="Arial" w:cs="Arial"/>
          <w:sz w:val="20"/>
        </w:rPr>
      </w:pPr>
      <w:r w:rsidRPr="007B0121">
        <w:rPr>
          <w:rFonts w:ascii="Arial" w:hAnsi="Arial" w:cs="Arial"/>
          <w:sz w:val="20"/>
          <w:szCs w:val="20"/>
        </w:rPr>
        <w:t xml:space="preserve">Preglednica </w:t>
      </w:r>
      <w:r>
        <w:rPr>
          <w:rFonts w:ascii="Arial" w:hAnsi="Arial" w:cs="Arial"/>
          <w:sz w:val="20"/>
          <w:szCs w:val="20"/>
        </w:rPr>
        <w:t>99</w:t>
      </w:r>
      <w:r w:rsidRPr="007B0121">
        <w:rPr>
          <w:rFonts w:ascii="Arial" w:hAnsi="Arial" w:cs="Arial"/>
          <w:sz w:val="20"/>
          <w:szCs w:val="20"/>
        </w:rPr>
        <w:t xml:space="preserve">: </w:t>
      </w:r>
      <w:r w:rsidRPr="007B0121">
        <w:rPr>
          <w:rFonts w:ascii="Arial" w:hAnsi="Arial" w:cs="Arial"/>
          <w:sz w:val="20"/>
        </w:rPr>
        <w:t>Število in vrednosti ter deleži zelenih naročil glede na predmete zelenega javnega naročanja</w:t>
      </w:r>
    </w:p>
    <w:p w14:paraId="60563E80" w14:textId="77777777" w:rsidR="00E3750C" w:rsidRPr="00BF7302" w:rsidRDefault="00E3750C" w:rsidP="00E3750C">
      <w:pPr>
        <w:spacing w:after="0" w:line="240" w:lineRule="auto"/>
        <w:rPr>
          <w:rFonts w:ascii="Arial" w:hAnsi="Arial" w:cs="Arial"/>
          <w:sz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6"/>
        <w:gridCol w:w="1084"/>
        <w:gridCol w:w="1143"/>
        <w:gridCol w:w="1112"/>
        <w:gridCol w:w="1112"/>
        <w:gridCol w:w="971"/>
        <w:gridCol w:w="1066"/>
      </w:tblGrid>
      <w:tr w:rsidR="00E3750C" w:rsidRPr="007B0121" w14:paraId="36A98117" w14:textId="77777777" w:rsidTr="00047864">
        <w:trPr>
          <w:trHeight w:val="315"/>
          <w:tblHeader/>
        </w:trPr>
        <w:tc>
          <w:tcPr>
            <w:tcW w:w="1464" w:type="pct"/>
            <w:shd w:val="clear" w:color="000000" w:fill="F2F2F2"/>
            <w:vAlign w:val="center"/>
            <w:hideMark/>
          </w:tcPr>
          <w:p w14:paraId="67A8A62A" w14:textId="77777777" w:rsidR="00E3750C" w:rsidRPr="007B0121" w:rsidRDefault="00E3750C" w:rsidP="00047864">
            <w:pPr>
              <w:spacing w:after="0" w:line="240" w:lineRule="auto"/>
              <w:jc w:val="center"/>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Predmeti zelenega javnega naročanja</w:t>
            </w:r>
          </w:p>
        </w:tc>
        <w:tc>
          <w:tcPr>
            <w:tcW w:w="591" w:type="pct"/>
            <w:shd w:val="clear" w:color="000000" w:fill="F2F2F2"/>
            <w:vAlign w:val="center"/>
            <w:hideMark/>
          </w:tcPr>
          <w:p w14:paraId="4BFB8827" w14:textId="77777777" w:rsidR="00E3750C" w:rsidRPr="007B0121" w:rsidRDefault="00E3750C" w:rsidP="00047864">
            <w:pPr>
              <w:spacing w:after="0" w:line="240" w:lineRule="auto"/>
              <w:jc w:val="center"/>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Št. zelenih naročil</w:t>
            </w:r>
          </w:p>
        </w:tc>
        <w:tc>
          <w:tcPr>
            <w:tcW w:w="623" w:type="pct"/>
            <w:shd w:val="clear" w:color="000000" w:fill="F2F2F2"/>
            <w:vAlign w:val="center"/>
            <w:hideMark/>
          </w:tcPr>
          <w:p w14:paraId="0BA3136B" w14:textId="77777777" w:rsidR="00E3750C" w:rsidRPr="007B0121" w:rsidRDefault="00E3750C" w:rsidP="00047864">
            <w:pPr>
              <w:spacing w:after="0" w:line="240" w:lineRule="auto"/>
              <w:jc w:val="center"/>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Pogodbena vrednost</w:t>
            </w:r>
          </w:p>
        </w:tc>
        <w:tc>
          <w:tcPr>
            <w:tcW w:w="606" w:type="pct"/>
            <w:shd w:val="clear" w:color="000000" w:fill="F2F2F2"/>
            <w:vAlign w:val="center"/>
            <w:hideMark/>
          </w:tcPr>
          <w:p w14:paraId="0A2C9BC8" w14:textId="77777777" w:rsidR="00E3750C" w:rsidRPr="007B0121" w:rsidRDefault="00E3750C" w:rsidP="00047864">
            <w:pPr>
              <w:spacing w:after="0" w:line="240" w:lineRule="auto"/>
              <w:jc w:val="center"/>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Delež v št. vseh naročil</w:t>
            </w:r>
          </w:p>
        </w:tc>
        <w:tc>
          <w:tcPr>
            <w:tcW w:w="606" w:type="pct"/>
            <w:shd w:val="clear" w:color="000000" w:fill="F2F2F2"/>
            <w:vAlign w:val="center"/>
            <w:hideMark/>
          </w:tcPr>
          <w:p w14:paraId="6C610C10" w14:textId="77777777" w:rsidR="00E3750C" w:rsidRPr="007B0121" w:rsidRDefault="00E3750C" w:rsidP="00047864">
            <w:pPr>
              <w:spacing w:after="0" w:line="240" w:lineRule="auto"/>
              <w:jc w:val="center"/>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Delež v vrednosti vseh naročil</w:t>
            </w:r>
          </w:p>
        </w:tc>
        <w:tc>
          <w:tcPr>
            <w:tcW w:w="529" w:type="pct"/>
            <w:shd w:val="clear" w:color="000000" w:fill="F2F2F2"/>
            <w:vAlign w:val="center"/>
            <w:hideMark/>
          </w:tcPr>
          <w:p w14:paraId="6218BBCB" w14:textId="77777777" w:rsidR="00E3750C" w:rsidRPr="007B0121" w:rsidRDefault="00E3750C" w:rsidP="00047864">
            <w:pPr>
              <w:spacing w:after="0" w:line="240" w:lineRule="auto"/>
              <w:jc w:val="center"/>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Delež v št. zelenih naročil</w:t>
            </w:r>
          </w:p>
        </w:tc>
        <w:tc>
          <w:tcPr>
            <w:tcW w:w="582" w:type="pct"/>
            <w:shd w:val="clear" w:color="000000" w:fill="F2F2F2"/>
            <w:vAlign w:val="center"/>
            <w:hideMark/>
          </w:tcPr>
          <w:p w14:paraId="69E94FDB" w14:textId="77777777" w:rsidR="00E3750C" w:rsidRPr="007B0121" w:rsidRDefault="00E3750C" w:rsidP="00047864">
            <w:pPr>
              <w:spacing w:after="0" w:line="240" w:lineRule="auto"/>
              <w:jc w:val="center"/>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Delež v vrednosti zelenih naročil</w:t>
            </w:r>
          </w:p>
        </w:tc>
      </w:tr>
      <w:tr w:rsidR="00E3750C" w:rsidRPr="007B0121" w14:paraId="5FF538DB" w14:textId="77777777" w:rsidTr="00047864">
        <w:trPr>
          <w:trHeight w:val="315"/>
        </w:trPr>
        <w:tc>
          <w:tcPr>
            <w:tcW w:w="1464" w:type="pct"/>
            <w:shd w:val="clear" w:color="auto" w:fill="auto"/>
            <w:vAlign w:val="center"/>
            <w:hideMark/>
          </w:tcPr>
          <w:p w14:paraId="1FCA24DA" w14:textId="77777777" w:rsidR="00E3750C" w:rsidRPr="007B0121" w:rsidRDefault="00E3750C" w:rsidP="00047864">
            <w:pPr>
              <w:spacing w:after="0" w:line="240" w:lineRule="auto"/>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 = Električna energija</w:t>
            </w:r>
          </w:p>
        </w:tc>
        <w:tc>
          <w:tcPr>
            <w:tcW w:w="591" w:type="pct"/>
            <w:shd w:val="clear" w:color="auto" w:fill="auto"/>
            <w:vAlign w:val="center"/>
            <w:hideMark/>
          </w:tcPr>
          <w:p w14:paraId="28F47C57"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124</w:t>
            </w:r>
          </w:p>
        </w:tc>
        <w:tc>
          <w:tcPr>
            <w:tcW w:w="623" w:type="pct"/>
            <w:shd w:val="clear" w:color="auto" w:fill="auto"/>
            <w:vAlign w:val="center"/>
            <w:hideMark/>
          </w:tcPr>
          <w:p w14:paraId="4652D179"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94.318.709</w:t>
            </w:r>
          </w:p>
        </w:tc>
        <w:tc>
          <w:tcPr>
            <w:tcW w:w="606" w:type="pct"/>
            <w:shd w:val="clear" w:color="auto" w:fill="auto"/>
            <w:vAlign w:val="center"/>
            <w:hideMark/>
          </w:tcPr>
          <w:p w14:paraId="723AEDD0"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0,72</w:t>
            </w:r>
            <w:r>
              <w:rPr>
                <w:rFonts w:ascii="Arial" w:eastAsia="Times New Roman" w:hAnsi="Arial" w:cs="Arial"/>
                <w:color w:val="000000"/>
                <w:sz w:val="18"/>
                <w:szCs w:val="18"/>
                <w:lang w:eastAsia="sl-SI"/>
              </w:rPr>
              <w:t xml:space="preserve"> %</w:t>
            </w:r>
          </w:p>
        </w:tc>
        <w:tc>
          <w:tcPr>
            <w:tcW w:w="606" w:type="pct"/>
            <w:shd w:val="clear" w:color="auto" w:fill="auto"/>
            <w:vAlign w:val="center"/>
            <w:hideMark/>
          </w:tcPr>
          <w:p w14:paraId="59C2431D"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1,74</w:t>
            </w:r>
            <w:r>
              <w:rPr>
                <w:rFonts w:ascii="Arial" w:eastAsia="Times New Roman" w:hAnsi="Arial" w:cs="Arial"/>
                <w:color w:val="000000"/>
                <w:sz w:val="18"/>
                <w:szCs w:val="18"/>
                <w:lang w:eastAsia="sl-SI"/>
              </w:rPr>
              <w:t xml:space="preserve"> %</w:t>
            </w:r>
          </w:p>
        </w:tc>
        <w:tc>
          <w:tcPr>
            <w:tcW w:w="529" w:type="pct"/>
            <w:shd w:val="clear" w:color="auto" w:fill="auto"/>
            <w:vAlign w:val="center"/>
            <w:hideMark/>
          </w:tcPr>
          <w:p w14:paraId="0C95A7CC"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2,40</w:t>
            </w:r>
            <w:r>
              <w:rPr>
                <w:rFonts w:ascii="Arial" w:eastAsia="Times New Roman" w:hAnsi="Arial" w:cs="Arial"/>
                <w:color w:val="000000"/>
                <w:sz w:val="18"/>
                <w:szCs w:val="18"/>
                <w:lang w:eastAsia="sl-SI"/>
              </w:rPr>
              <w:t xml:space="preserve"> %</w:t>
            </w:r>
          </w:p>
        </w:tc>
        <w:tc>
          <w:tcPr>
            <w:tcW w:w="582" w:type="pct"/>
            <w:shd w:val="clear" w:color="auto" w:fill="auto"/>
            <w:vAlign w:val="center"/>
            <w:hideMark/>
          </w:tcPr>
          <w:p w14:paraId="6453050A"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6,63</w:t>
            </w:r>
            <w:r>
              <w:rPr>
                <w:rFonts w:ascii="Arial" w:eastAsia="Times New Roman" w:hAnsi="Arial" w:cs="Arial"/>
                <w:color w:val="000000"/>
                <w:sz w:val="18"/>
                <w:szCs w:val="18"/>
                <w:lang w:eastAsia="sl-SI"/>
              </w:rPr>
              <w:t xml:space="preserve"> %</w:t>
            </w:r>
          </w:p>
        </w:tc>
      </w:tr>
      <w:tr w:rsidR="00E3750C" w:rsidRPr="007B0121" w14:paraId="305ABF7D" w14:textId="77777777" w:rsidTr="00047864">
        <w:trPr>
          <w:trHeight w:val="315"/>
        </w:trPr>
        <w:tc>
          <w:tcPr>
            <w:tcW w:w="1464" w:type="pct"/>
            <w:shd w:val="clear" w:color="auto" w:fill="auto"/>
            <w:vAlign w:val="center"/>
            <w:hideMark/>
          </w:tcPr>
          <w:p w14:paraId="5D931CCC" w14:textId="77777777" w:rsidR="00E3750C" w:rsidRPr="007B0121" w:rsidRDefault="00E3750C" w:rsidP="00047864">
            <w:pPr>
              <w:spacing w:after="0" w:line="240" w:lineRule="auto"/>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2 = Živila in gostinske storitve</w:t>
            </w:r>
          </w:p>
        </w:tc>
        <w:tc>
          <w:tcPr>
            <w:tcW w:w="591" w:type="pct"/>
            <w:shd w:val="clear" w:color="auto" w:fill="auto"/>
            <w:vAlign w:val="center"/>
            <w:hideMark/>
          </w:tcPr>
          <w:p w14:paraId="6FC4A5E2"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3.132</w:t>
            </w:r>
          </w:p>
        </w:tc>
        <w:tc>
          <w:tcPr>
            <w:tcW w:w="623" w:type="pct"/>
            <w:shd w:val="clear" w:color="auto" w:fill="auto"/>
            <w:vAlign w:val="center"/>
            <w:hideMark/>
          </w:tcPr>
          <w:p w14:paraId="661CBEE4"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86.592.508</w:t>
            </w:r>
          </w:p>
        </w:tc>
        <w:tc>
          <w:tcPr>
            <w:tcW w:w="606" w:type="pct"/>
            <w:shd w:val="clear" w:color="auto" w:fill="auto"/>
            <w:vAlign w:val="center"/>
            <w:hideMark/>
          </w:tcPr>
          <w:p w14:paraId="77D43154"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18,18</w:t>
            </w:r>
            <w:r>
              <w:rPr>
                <w:rFonts w:ascii="Arial" w:eastAsia="Times New Roman" w:hAnsi="Arial" w:cs="Arial"/>
                <w:color w:val="000000"/>
                <w:sz w:val="18"/>
                <w:szCs w:val="18"/>
                <w:lang w:eastAsia="sl-SI"/>
              </w:rPr>
              <w:t xml:space="preserve"> %</w:t>
            </w:r>
          </w:p>
        </w:tc>
        <w:tc>
          <w:tcPr>
            <w:tcW w:w="606" w:type="pct"/>
            <w:shd w:val="clear" w:color="auto" w:fill="auto"/>
            <w:vAlign w:val="center"/>
            <w:hideMark/>
          </w:tcPr>
          <w:p w14:paraId="22755110"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1,60</w:t>
            </w:r>
            <w:r>
              <w:rPr>
                <w:rFonts w:ascii="Arial" w:eastAsia="Times New Roman" w:hAnsi="Arial" w:cs="Arial"/>
                <w:color w:val="000000"/>
                <w:sz w:val="18"/>
                <w:szCs w:val="18"/>
                <w:lang w:eastAsia="sl-SI"/>
              </w:rPr>
              <w:t xml:space="preserve"> %</w:t>
            </w:r>
          </w:p>
        </w:tc>
        <w:tc>
          <w:tcPr>
            <w:tcW w:w="529" w:type="pct"/>
            <w:shd w:val="clear" w:color="auto" w:fill="auto"/>
            <w:vAlign w:val="center"/>
            <w:hideMark/>
          </w:tcPr>
          <w:p w14:paraId="09B39BDF"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60,67</w:t>
            </w:r>
            <w:r>
              <w:rPr>
                <w:rFonts w:ascii="Arial" w:eastAsia="Times New Roman" w:hAnsi="Arial" w:cs="Arial"/>
                <w:color w:val="000000"/>
                <w:sz w:val="18"/>
                <w:szCs w:val="18"/>
                <w:lang w:eastAsia="sl-SI"/>
              </w:rPr>
              <w:t xml:space="preserve"> %</w:t>
            </w:r>
          </w:p>
        </w:tc>
        <w:tc>
          <w:tcPr>
            <w:tcW w:w="582" w:type="pct"/>
            <w:shd w:val="clear" w:color="auto" w:fill="auto"/>
            <w:vAlign w:val="center"/>
            <w:hideMark/>
          </w:tcPr>
          <w:p w14:paraId="4A6F714F"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6,09</w:t>
            </w:r>
            <w:r>
              <w:rPr>
                <w:rFonts w:ascii="Arial" w:eastAsia="Times New Roman" w:hAnsi="Arial" w:cs="Arial"/>
                <w:color w:val="000000"/>
                <w:sz w:val="18"/>
                <w:szCs w:val="18"/>
                <w:lang w:eastAsia="sl-SI"/>
              </w:rPr>
              <w:t xml:space="preserve"> %</w:t>
            </w:r>
          </w:p>
        </w:tc>
      </w:tr>
      <w:tr w:rsidR="00E3750C" w:rsidRPr="007B0121" w14:paraId="7B749ED3" w14:textId="77777777" w:rsidTr="00047864">
        <w:trPr>
          <w:trHeight w:val="315"/>
        </w:trPr>
        <w:tc>
          <w:tcPr>
            <w:tcW w:w="1464" w:type="pct"/>
            <w:shd w:val="clear" w:color="auto" w:fill="auto"/>
            <w:vAlign w:val="center"/>
            <w:hideMark/>
          </w:tcPr>
          <w:p w14:paraId="2470E572" w14:textId="77777777" w:rsidR="00E3750C" w:rsidRPr="007B0121" w:rsidRDefault="00E3750C" w:rsidP="00047864">
            <w:pPr>
              <w:spacing w:after="0" w:line="240" w:lineRule="auto"/>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3 = Pisarniški papir in higienski papirnati izdelki</w:t>
            </w:r>
          </w:p>
        </w:tc>
        <w:tc>
          <w:tcPr>
            <w:tcW w:w="591" w:type="pct"/>
            <w:shd w:val="clear" w:color="auto" w:fill="auto"/>
            <w:vAlign w:val="center"/>
            <w:hideMark/>
          </w:tcPr>
          <w:p w14:paraId="1A1F0163"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118</w:t>
            </w:r>
          </w:p>
        </w:tc>
        <w:tc>
          <w:tcPr>
            <w:tcW w:w="623" w:type="pct"/>
            <w:shd w:val="clear" w:color="auto" w:fill="auto"/>
            <w:vAlign w:val="center"/>
            <w:hideMark/>
          </w:tcPr>
          <w:p w14:paraId="3284E492"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16.581.954</w:t>
            </w:r>
          </w:p>
        </w:tc>
        <w:tc>
          <w:tcPr>
            <w:tcW w:w="606" w:type="pct"/>
            <w:shd w:val="clear" w:color="auto" w:fill="auto"/>
            <w:vAlign w:val="center"/>
            <w:hideMark/>
          </w:tcPr>
          <w:p w14:paraId="2F4171F5"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0,69</w:t>
            </w:r>
            <w:r>
              <w:rPr>
                <w:rFonts w:ascii="Arial" w:eastAsia="Times New Roman" w:hAnsi="Arial" w:cs="Arial"/>
                <w:color w:val="000000"/>
                <w:sz w:val="18"/>
                <w:szCs w:val="18"/>
                <w:lang w:eastAsia="sl-SI"/>
              </w:rPr>
              <w:t xml:space="preserve"> %</w:t>
            </w:r>
          </w:p>
        </w:tc>
        <w:tc>
          <w:tcPr>
            <w:tcW w:w="606" w:type="pct"/>
            <w:shd w:val="clear" w:color="auto" w:fill="auto"/>
            <w:vAlign w:val="center"/>
            <w:hideMark/>
          </w:tcPr>
          <w:p w14:paraId="7CBD9154"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0,31</w:t>
            </w:r>
            <w:r>
              <w:rPr>
                <w:rFonts w:ascii="Arial" w:eastAsia="Times New Roman" w:hAnsi="Arial" w:cs="Arial"/>
                <w:color w:val="000000"/>
                <w:sz w:val="18"/>
                <w:szCs w:val="18"/>
                <w:lang w:eastAsia="sl-SI"/>
              </w:rPr>
              <w:t xml:space="preserve"> %</w:t>
            </w:r>
          </w:p>
        </w:tc>
        <w:tc>
          <w:tcPr>
            <w:tcW w:w="529" w:type="pct"/>
            <w:shd w:val="clear" w:color="auto" w:fill="auto"/>
            <w:vAlign w:val="center"/>
            <w:hideMark/>
          </w:tcPr>
          <w:p w14:paraId="0F7D2EBE"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2,29</w:t>
            </w:r>
            <w:r>
              <w:rPr>
                <w:rFonts w:ascii="Arial" w:eastAsia="Times New Roman" w:hAnsi="Arial" w:cs="Arial"/>
                <w:color w:val="000000"/>
                <w:sz w:val="18"/>
                <w:szCs w:val="18"/>
                <w:lang w:eastAsia="sl-SI"/>
              </w:rPr>
              <w:t xml:space="preserve"> %</w:t>
            </w:r>
          </w:p>
        </w:tc>
        <w:tc>
          <w:tcPr>
            <w:tcW w:w="582" w:type="pct"/>
            <w:shd w:val="clear" w:color="auto" w:fill="auto"/>
            <w:vAlign w:val="center"/>
            <w:hideMark/>
          </w:tcPr>
          <w:p w14:paraId="5076DFCD"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1,17</w:t>
            </w:r>
            <w:r>
              <w:rPr>
                <w:rFonts w:ascii="Arial" w:eastAsia="Times New Roman" w:hAnsi="Arial" w:cs="Arial"/>
                <w:color w:val="000000"/>
                <w:sz w:val="18"/>
                <w:szCs w:val="18"/>
                <w:lang w:eastAsia="sl-SI"/>
              </w:rPr>
              <w:t xml:space="preserve"> %</w:t>
            </w:r>
          </w:p>
        </w:tc>
      </w:tr>
      <w:tr w:rsidR="00E3750C" w:rsidRPr="007B0121" w14:paraId="0ED728DB" w14:textId="77777777" w:rsidTr="00047864">
        <w:trPr>
          <w:trHeight w:val="315"/>
        </w:trPr>
        <w:tc>
          <w:tcPr>
            <w:tcW w:w="1464" w:type="pct"/>
            <w:shd w:val="clear" w:color="auto" w:fill="auto"/>
            <w:vAlign w:val="center"/>
            <w:hideMark/>
          </w:tcPr>
          <w:p w14:paraId="43FDFF4F" w14:textId="77777777" w:rsidR="00E3750C" w:rsidRPr="007B0121" w:rsidRDefault="00E3750C" w:rsidP="00047864">
            <w:pPr>
              <w:spacing w:after="0" w:line="240" w:lineRule="auto"/>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4 = Elektronska pisarniška oprema</w:t>
            </w:r>
          </w:p>
        </w:tc>
        <w:tc>
          <w:tcPr>
            <w:tcW w:w="591" w:type="pct"/>
            <w:shd w:val="clear" w:color="auto" w:fill="auto"/>
            <w:vAlign w:val="center"/>
            <w:hideMark/>
          </w:tcPr>
          <w:p w14:paraId="023860E1"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173</w:t>
            </w:r>
          </w:p>
        </w:tc>
        <w:tc>
          <w:tcPr>
            <w:tcW w:w="623" w:type="pct"/>
            <w:shd w:val="clear" w:color="auto" w:fill="auto"/>
            <w:vAlign w:val="center"/>
            <w:hideMark/>
          </w:tcPr>
          <w:p w14:paraId="47E94FC9"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40.460.024</w:t>
            </w:r>
          </w:p>
        </w:tc>
        <w:tc>
          <w:tcPr>
            <w:tcW w:w="606" w:type="pct"/>
            <w:shd w:val="clear" w:color="auto" w:fill="auto"/>
            <w:vAlign w:val="center"/>
            <w:hideMark/>
          </w:tcPr>
          <w:p w14:paraId="5CA6A6C4"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1,00</w:t>
            </w:r>
            <w:r>
              <w:rPr>
                <w:rFonts w:ascii="Arial" w:eastAsia="Times New Roman" w:hAnsi="Arial" w:cs="Arial"/>
                <w:color w:val="000000"/>
                <w:sz w:val="18"/>
                <w:szCs w:val="18"/>
                <w:lang w:eastAsia="sl-SI"/>
              </w:rPr>
              <w:t xml:space="preserve"> %</w:t>
            </w:r>
          </w:p>
        </w:tc>
        <w:tc>
          <w:tcPr>
            <w:tcW w:w="606" w:type="pct"/>
            <w:shd w:val="clear" w:color="auto" w:fill="auto"/>
            <w:vAlign w:val="center"/>
            <w:hideMark/>
          </w:tcPr>
          <w:p w14:paraId="00588865"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0,75</w:t>
            </w:r>
            <w:r>
              <w:rPr>
                <w:rFonts w:ascii="Arial" w:eastAsia="Times New Roman" w:hAnsi="Arial" w:cs="Arial"/>
                <w:color w:val="000000"/>
                <w:sz w:val="18"/>
                <w:szCs w:val="18"/>
                <w:lang w:eastAsia="sl-SI"/>
              </w:rPr>
              <w:t xml:space="preserve"> %</w:t>
            </w:r>
          </w:p>
        </w:tc>
        <w:tc>
          <w:tcPr>
            <w:tcW w:w="529" w:type="pct"/>
            <w:shd w:val="clear" w:color="auto" w:fill="auto"/>
            <w:vAlign w:val="center"/>
            <w:hideMark/>
          </w:tcPr>
          <w:p w14:paraId="5F754057"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3,35</w:t>
            </w:r>
            <w:r>
              <w:rPr>
                <w:rFonts w:ascii="Arial" w:eastAsia="Times New Roman" w:hAnsi="Arial" w:cs="Arial"/>
                <w:color w:val="000000"/>
                <w:sz w:val="18"/>
                <w:szCs w:val="18"/>
                <w:lang w:eastAsia="sl-SI"/>
              </w:rPr>
              <w:t xml:space="preserve"> %</w:t>
            </w:r>
          </w:p>
        </w:tc>
        <w:tc>
          <w:tcPr>
            <w:tcW w:w="582" w:type="pct"/>
            <w:shd w:val="clear" w:color="auto" w:fill="auto"/>
            <w:vAlign w:val="center"/>
            <w:hideMark/>
          </w:tcPr>
          <w:p w14:paraId="3032258C"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2,84</w:t>
            </w:r>
            <w:r>
              <w:rPr>
                <w:rFonts w:ascii="Arial" w:eastAsia="Times New Roman" w:hAnsi="Arial" w:cs="Arial"/>
                <w:color w:val="000000"/>
                <w:sz w:val="18"/>
                <w:szCs w:val="18"/>
                <w:lang w:eastAsia="sl-SI"/>
              </w:rPr>
              <w:t xml:space="preserve"> %</w:t>
            </w:r>
          </w:p>
        </w:tc>
      </w:tr>
      <w:tr w:rsidR="00E3750C" w:rsidRPr="007B0121" w14:paraId="2AC209D6" w14:textId="77777777" w:rsidTr="00047864">
        <w:trPr>
          <w:trHeight w:val="315"/>
        </w:trPr>
        <w:tc>
          <w:tcPr>
            <w:tcW w:w="1464" w:type="pct"/>
            <w:shd w:val="clear" w:color="auto" w:fill="auto"/>
            <w:vAlign w:val="center"/>
            <w:hideMark/>
          </w:tcPr>
          <w:p w14:paraId="6F47077D" w14:textId="77777777" w:rsidR="00E3750C" w:rsidRPr="007B0121" w:rsidRDefault="00E3750C" w:rsidP="00047864">
            <w:pPr>
              <w:spacing w:after="0" w:line="240" w:lineRule="auto"/>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5 = Televizorji</w:t>
            </w:r>
          </w:p>
        </w:tc>
        <w:tc>
          <w:tcPr>
            <w:tcW w:w="591" w:type="pct"/>
            <w:shd w:val="clear" w:color="auto" w:fill="auto"/>
            <w:vAlign w:val="center"/>
            <w:hideMark/>
          </w:tcPr>
          <w:p w14:paraId="12F72D84"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7</w:t>
            </w:r>
          </w:p>
        </w:tc>
        <w:tc>
          <w:tcPr>
            <w:tcW w:w="623" w:type="pct"/>
            <w:shd w:val="clear" w:color="auto" w:fill="auto"/>
            <w:vAlign w:val="center"/>
            <w:hideMark/>
          </w:tcPr>
          <w:p w14:paraId="2F99D208"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2.648.505</w:t>
            </w:r>
          </w:p>
        </w:tc>
        <w:tc>
          <w:tcPr>
            <w:tcW w:w="606" w:type="pct"/>
            <w:shd w:val="clear" w:color="auto" w:fill="auto"/>
            <w:vAlign w:val="center"/>
            <w:hideMark/>
          </w:tcPr>
          <w:p w14:paraId="3B1B55C6"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0,04</w:t>
            </w:r>
            <w:r>
              <w:rPr>
                <w:rFonts w:ascii="Arial" w:eastAsia="Times New Roman" w:hAnsi="Arial" w:cs="Arial"/>
                <w:color w:val="000000"/>
                <w:sz w:val="18"/>
                <w:szCs w:val="18"/>
                <w:lang w:eastAsia="sl-SI"/>
              </w:rPr>
              <w:t xml:space="preserve"> %</w:t>
            </w:r>
          </w:p>
        </w:tc>
        <w:tc>
          <w:tcPr>
            <w:tcW w:w="606" w:type="pct"/>
            <w:shd w:val="clear" w:color="auto" w:fill="auto"/>
            <w:vAlign w:val="center"/>
            <w:hideMark/>
          </w:tcPr>
          <w:p w14:paraId="22B650BE"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0,05</w:t>
            </w:r>
            <w:r>
              <w:rPr>
                <w:rFonts w:ascii="Arial" w:eastAsia="Times New Roman" w:hAnsi="Arial" w:cs="Arial"/>
                <w:color w:val="000000"/>
                <w:sz w:val="18"/>
                <w:szCs w:val="18"/>
                <w:lang w:eastAsia="sl-SI"/>
              </w:rPr>
              <w:t xml:space="preserve"> %</w:t>
            </w:r>
          </w:p>
        </w:tc>
        <w:tc>
          <w:tcPr>
            <w:tcW w:w="529" w:type="pct"/>
            <w:shd w:val="clear" w:color="auto" w:fill="auto"/>
            <w:vAlign w:val="center"/>
            <w:hideMark/>
          </w:tcPr>
          <w:p w14:paraId="47444B43"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0,14</w:t>
            </w:r>
            <w:r>
              <w:rPr>
                <w:rFonts w:ascii="Arial" w:eastAsia="Times New Roman" w:hAnsi="Arial" w:cs="Arial"/>
                <w:color w:val="000000"/>
                <w:sz w:val="18"/>
                <w:szCs w:val="18"/>
                <w:lang w:eastAsia="sl-SI"/>
              </w:rPr>
              <w:t xml:space="preserve"> %</w:t>
            </w:r>
          </w:p>
        </w:tc>
        <w:tc>
          <w:tcPr>
            <w:tcW w:w="582" w:type="pct"/>
            <w:shd w:val="clear" w:color="auto" w:fill="auto"/>
            <w:vAlign w:val="center"/>
            <w:hideMark/>
          </w:tcPr>
          <w:p w14:paraId="220812B2"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0,19</w:t>
            </w:r>
            <w:r>
              <w:rPr>
                <w:rFonts w:ascii="Arial" w:eastAsia="Times New Roman" w:hAnsi="Arial" w:cs="Arial"/>
                <w:color w:val="000000"/>
                <w:sz w:val="18"/>
                <w:szCs w:val="18"/>
                <w:lang w:eastAsia="sl-SI"/>
              </w:rPr>
              <w:t xml:space="preserve"> %</w:t>
            </w:r>
          </w:p>
        </w:tc>
      </w:tr>
      <w:tr w:rsidR="00E3750C" w:rsidRPr="007B0121" w14:paraId="7391198B" w14:textId="77777777" w:rsidTr="00047864">
        <w:trPr>
          <w:trHeight w:val="735"/>
        </w:trPr>
        <w:tc>
          <w:tcPr>
            <w:tcW w:w="1464" w:type="pct"/>
            <w:shd w:val="clear" w:color="auto" w:fill="auto"/>
            <w:vAlign w:val="center"/>
            <w:hideMark/>
          </w:tcPr>
          <w:p w14:paraId="7100220B" w14:textId="77777777" w:rsidR="00E3750C" w:rsidRPr="007B0121" w:rsidRDefault="00E3750C" w:rsidP="00047864">
            <w:pPr>
              <w:spacing w:after="0" w:line="240" w:lineRule="auto"/>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6 = Hladilniki, zamrzovalniki in njihove kombinacije, pralni stroji, pomivalni stroji, sušilni stroji, sesalniki in klimatske naprave</w:t>
            </w:r>
          </w:p>
        </w:tc>
        <w:tc>
          <w:tcPr>
            <w:tcW w:w="591" w:type="pct"/>
            <w:shd w:val="clear" w:color="auto" w:fill="auto"/>
            <w:vAlign w:val="center"/>
            <w:hideMark/>
          </w:tcPr>
          <w:p w14:paraId="2D26EEE4"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116</w:t>
            </w:r>
          </w:p>
        </w:tc>
        <w:tc>
          <w:tcPr>
            <w:tcW w:w="623" w:type="pct"/>
            <w:shd w:val="clear" w:color="auto" w:fill="auto"/>
            <w:vAlign w:val="center"/>
            <w:hideMark/>
          </w:tcPr>
          <w:p w14:paraId="49A77413"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126.565.760</w:t>
            </w:r>
          </w:p>
        </w:tc>
        <w:tc>
          <w:tcPr>
            <w:tcW w:w="606" w:type="pct"/>
            <w:shd w:val="clear" w:color="auto" w:fill="auto"/>
            <w:vAlign w:val="center"/>
            <w:hideMark/>
          </w:tcPr>
          <w:p w14:paraId="381CCF2D"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0,67</w:t>
            </w:r>
            <w:r>
              <w:rPr>
                <w:rFonts w:ascii="Arial" w:eastAsia="Times New Roman" w:hAnsi="Arial" w:cs="Arial"/>
                <w:color w:val="000000"/>
                <w:sz w:val="18"/>
                <w:szCs w:val="18"/>
                <w:lang w:eastAsia="sl-SI"/>
              </w:rPr>
              <w:t xml:space="preserve"> %</w:t>
            </w:r>
          </w:p>
        </w:tc>
        <w:tc>
          <w:tcPr>
            <w:tcW w:w="606" w:type="pct"/>
            <w:shd w:val="clear" w:color="auto" w:fill="auto"/>
            <w:vAlign w:val="center"/>
            <w:hideMark/>
          </w:tcPr>
          <w:p w14:paraId="4444B5C2"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2,34</w:t>
            </w:r>
            <w:r>
              <w:rPr>
                <w:rFonts w:ascii="Arial" w:eastAsia="Times New Roman" w:hAnsi="Arial" w:cs="Arial"/>
                <w:color w:val="000000"/>
                <w:sz w:val="18"/>
                <w:szCs w:val="18"/>
                <w:lang w:eastAsia="sl-SI"/>
              </w:rPr>
              <w:t xml:space="preserve"> %</w:t>
            </w:r>
          </w:p>
        </w:tc>
        <w:tc>
          <w:tcPr>
            <w:tcW w:w="529" w:type="pct"/>
            <w:shd w:val="clear" w:color="auto" w:fill="auto"/>
            <w:vAlign w:val="center"/>
            <w:hideMark/>
          </w:tcPr>
          <w:p w14:paraId="1AFDA719"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2,25</w:t>
            </w:r>
            <w:r>
              <w:rPr>
                <w:rFonts w:ascii="Arial" w:eastAsia="Times New Roman" w:hAnsi="Arial" w:cs="Arial"/>
                <w:color w:val="000000"/>
                <w:sz w:val="18"/>
                <w:szCs w:val="18"/>
                <w:lang w:eastAsia="sl-SI"/>
              </w:rPr>
              <w:t xml:space="preserve"> %</w:t>
            </w:r>
          </w:p>
        </w:tc>
        <w:tc>
          <w:tcPr>
            <w:tcW w:w="582" w:type="pct"/>
            <w:shd w:val="clear" w:color="auto" w:fill="auto"/>
            <w:vAlign w:val="center"/>
            <w:hideMark/>
          </w:tcPr>
          <w:p w14:paraId="100038D6"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8,90</w:t>
            </w:r>
            <w:r>
              <w:rPr>
                <w:rFonts w:ascii="Arial" w:eastAsia="Times New Roman" w:hAnsi="Arial" w:cs="Arial"/>
                <w:color w:val="000000"/>
                <w:sz w:val="18"/>
                <w:szCs w:val="18"/>
                <w:lang w:eastAsia="sl-SI"/>
              </w:rPr>
              <w:t xml:space="preserve"> %</w:t>
            </w:r>
          </w:p>
        </w:tc>
      </w:tr>
      <w:tr w:rsidR="00E3750C" w:rsidRPr="007B0121" w14:paraId="4EBA28B4" w14:textId="77777777" w:rsidTr="00047864">
        <w:trPr>
          <w:trHeight w:val="315"/>
        </w:trPr>
        <w:tc>
          <w:tcPr>
            <w:tcW w:w="1464" w:type="pct"/>
            <w:shd w:val="clear" w:color="auto" w:fill="auto"/>
            <w:vAlign w:val="center"/>
            <w:hideMark/>
          </w:tcPr>
          <w:p w14:paraId="208DE55B" w14:textId="77777777" w:rsidR="00E3750C" w:rsidRPr="007B0121" w:rsidRDefault="00E3750C" w:rsidP="00047864">
            <w:pPr>
              <w:spacing w:after="0" w:line="240" w:lineRule="auto"/>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7 = Projektiranje oziroma izvedba gradnje stavb</w:t>
            </w:r>
          </w:p>
        </w:tc>
        <w:tc>
          <w:tcPr>
            <w:tcW w:w="591" w:type="pct"/>
            <w:shd w:val="clear" w:color="auto" w:fill="auto"/>
            <w:vAlign w:val="center"/>
            <w:hideMark/>
          </w:tcPr>
          <w:p w14:paraId="7EA49146"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342</w:t>
            </w:r>
          </w:p>
        </w:tc>
        <w:tc>
          <w:tcPr>
            <w:tcW w:w="623" w:type="pct"/>
            <w:shd w:val="clear" w:color="auto" w:fill="auto"/>
            <w:vAlign w:val="center"/>
            <w:hideMark/>
          </w:tcPr>
          <w:p w14:paraId="0A6613A2"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625.233.309</w:t>
            </w:r>
          </w:p>
        </w:tc>
        <w:tc>
          <w:tcPr>
            <w:tcW w:w="606" w:type="pct"/>
            <w:shd w:val="clear" w:color="auto" w:fill="auto"/>
            <w:vAlign w:val="center"/>
            <w:hideMark/>
          </w:tcPr>
          <w:p w14:paraId="090BE23B"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1,99</w:t>
            </w:r>
            <w:r>
              <w:rPr>
                <w:rFonts w:ascii="Arial" w:eastAsia="Times New Roman" w:hAnsi="Arial" w:cs="Arial"/>
                <w:color w:val="000000"/>
                <w:sz w:val="18"/>
                <w:szCs w:val="18"/>
                <w:lang w:eastAsia="sl-SI"/>
              </w:rPr>
              <w:t xml:space="preserve"> %</w:t>
            </w:r>
          </w:p>
        </w:tc>
        <w:tc>
          <w:tcPr>
            <w:tcW w:w="606" w:type="pct"/>
            <w:shd w:val="clear" w:color="auto" w:fill="auto"/>
            <w:vAlign w:val="center"/>
            <w:hideMark/>
          </w:tcPr>
          <w:p w14:paraId="27F2A3A3"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11,54</w:t>
            </w:r>
            <w:r>
              <w:rPr>
                <w:rFonts w:ascii="Arial" w:eastAsia="Times New Roman" w:hAnsi="Arial" w:cs="Arial"/>
                <w:color w:val="000000"/>
                <w:sz w:val="18"/>
                <w:szCs w:val="18"/>
                <w:lang w:eastAsia="sl-SI"/>
              </w:rPr>
              <w:t xml:space="preserve"> %</w:t>
            </w:r>
          </w:p>
        </w:tc>
        <w:tc>
          <w:tcPr>
            <w:tcW w:w="529" w:type="pct"/>
            <w:shd w:val="clear" w:color="auto" w:fill="auto"/>
            <w:vAlign w:val="center"/>
            <w:hideMark/>
          </w:tcPr>
          <w:p w14:paraId="227C7284"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6,63</w:t>
            </w:r>
            <w:r>
              <w:rPr>
                <w:rFonts w:ascii="Arial" w:eastAsia="Times New Roman" w:hAnsi="Arial" w:cs="Arial"/>
                <w:color w:val="000000"/>
                <w:sz w:val="18"/>
                <w:szCs w:val="18"/>
                <w:lang w:eastAsia="sl-SI"/>
              </w:rPr>
              <w:t xml:space="preserve"> %</w:t>
            </w:r>
          </w:p>
        </w:tc>
        <w:tc>
          <w:tcPr>
            <w:tcW w:w="582" w:type="pct"/>
            <w:shd w:val="clear" w:color="auto" w:fill="auto"/>
            <w:vAlign w:val="center"/>
            <w:hideMark/>
          </w:tcPr>
          <w:p w14:paraId="1B4204AD"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43,95</w:t>
            </w:r>
            <w:r>
              <w:rPr>
                <w:rFonts w:ascii="Arial" w:eastAsia="Times New Roman" w:hAnsi="Arial" w:cs="Arial"/>
                <w:color w:val="000000"/>
                <w:sz w:val="18"/>
                <w:szCs w:val="18"/>
                <w:lang w:eastAsia="sl-SI"/>
              </w:rPr>
              <w:t xml:space="preserve"> %</w:t>
            </w:r>
          </w:p>
        </w:tc>
      </w:tr>
      <w:tr w:rsidR="00E3750C" w:rsidRPr="007B0121" w14:paraId="72C6BDA1" w14:textId="77777777" w:rsidTr="00047864">
        <w:trPr>
          <w:trHeight w:val="315"/>
        </w:trPr>
        <w:tc>
          <w:tcPr>
            <w:tcW w:w="1464" w:type="pct"/>
            <w:shd w:val="clear" w:color="auto" w:fill="auto"/>
            <w:vAlign w:val="center"/>
            <w:hideMark/>
          </w:tcPr>
          <w:p w14:paraId="56B862A6" w14:textId="77777777" w:rsidR="00E3750C" w:rsidRPr="007B0121" w:rsidRDefault="00E3750C" w:rsidP="00047864">
            <w:pPr>
              <w:spacing w:after="0" w:line="240" w:lineRule="auto"/>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8 = Pohištvo</w:t>
            </w:r>
          </w:p>
        </w:tc>
        <w:tc>
          <w:tcPr>
            <w:tcW w:w="591" w:type="pct"/>
            <w:shd w:val="clear" w:color="auto" w:fill="auto"/>
            <w:vAlign w:val="center"/>
            <w:hideMark/>
          </w:tcPr>
          <w:p w14:paraId="7AAD4B4D"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163</w:t>
            </w:r>
          </w:p>
        </w:tc>
        <w:tc>
          <w:tcPr>
            <w:tcW w:w="623" w:type="pct"/>
            <w:shd w:val="clear" w:color="auto" w:fill="auto"/>
            <w:vAlign w:val="center"/>
            <w:hideMark/>
          </w:tcPr>
          <w:p w14:paraId="652EB05F"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122.132.090</w:t>
            </w:r>
          </w:p>
        </w:tc>
        <w:tc>
          <w:tcPr>
            <w:tcW w:w="606" w:type="pct"/>
            <w:shd w:val="clear" w:color="auto" w:fill="auto"/>
            <w:vAlign w:val="center"/>
            <w:hideMark/>
          </w:tcPr>
          <w:p w14:paraId="4B311FD3"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0,95</w:t>
            </w:r>
            <w:r>
              <w:rPr>
                <w:rFonts w:ascii="Arial" w:eastAsia="Times New Roman" w:hAnsi="Arial" w:cs="Arial"/>
                <w:color w:val="000000"/>
                <w:sz w:val="18"/>
                <w:szCs w:val="18"/>
                <w:lang w:eastAsia="sl-SI"/>
              </w:rPr>
              <w:t xml:space="preserve"> %</w:t>
            </w:r>
          </w:p>
        </w:tc>
        <w:tc>
          <w:tcPr>
            <w:tcW w:w="606" w:type="pct"/>
            <w:shd w:val="clear" w:color="auto" w:fill="auto"/>
            <w:vAlign w:val="center"/>
            <w:hideMark/>
          </w:tcPr>
          <w:p w14:paraId="369ED066"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2,25</w:t>
            </w:r>
            <w:r>
              <w:rPr>
                <w:rFonts w:ascii="Arial" w:eastAsia="Times New Roman" w:hAnsi="Arial" w:cs="Arial"/>
                <w:color w:val="000000"/>
                <w:sz w:val="18"/>
                <w:szCs w:val="18"/>
                <w:lang w:eastAsia="sl-SI"/>
              </w:rPr>
              <w:t xml:space="preserve"> %</w:t>
            </w:r>
          </w:p>
        </w:tc>
        <w:tc>
          <w:tcPr>
            <w:tcW w:w="529" w:type="pct"/>
            <w:shd w:val="clear" w:color="auto" w:fill="auto"/>
            <w:vAlign w:val="center"/>
            <w:hideMark/>
          </w:tcPr>
          <w:p w14:paraId="05AD9E5E"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3,16</w:t>
            </w:r>
            <w:r>
              <w:rPr>
                <w:rFonts w:ascii="Arial" w:eastAsia="Times New Roman" w:hAnsi="Arial" w:cs="Arial"/>
                <w:color w:val="000000"/>
                <w:sz w:val="18"/>
                <w:szCs w:val="18"/>
                <w:lang w:eastAsia="sl-SI"/>
              </w:rPr>
              <w:t xml:space="preserve"> %</w:t>
            </w:r>
          </w:p>
        </w:tc>
        <w:tc>
          <w:tcPr>
            <w:tcW w:w="582" w:type="pct"/>
            <w:shd w:val="clear" w:color="auto" w:fill="auto"/>
            <w:vAlign w:val="center"/>
            <w:hideMark/>
          </w:tcPr>
          <w:p w14:paraId="70A1304C"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8,58</w:t>
            </w:r>
            <w:r>
              <w:rPr>
                <w:rFonts w:ascii="Arial" w:eastAsia="Times New Roman" w:hAnsi="Arial" w:cs="Arial"/>
                <w:color w:val="000000"/>
                <w:sz w:val="18"/>
                <w:szCs w:val="18"/>
                <w:lang w:eastAsia="sl-SI"/>
              </w:rPr>
              <w:t xml:space="preserve"> %</w:t>
            </w:r>
          </w:p>
        </w:tc>
      </w:tr>
      <w:tr w:rsidR="00E3750C" w:rsidRPr="007B0121" w14:paraId="4DD83328" w14:textId="77777777" w:rsidTr="00047864">
        <w:trPr>
          <w:trHeight w:val="495"/>
        </w:trPr>
        <w:tc>
          <w:tcPr>
            <w:tcW w:w="1464" w:type="pct"/>
            <w:shd w:val="clear" w:color="auto" w:fill="auto"/>
            <w:vAlign w:val="center"/>
            <w:hideMark/>
          </w:tcPr>
          <w:p w14:paraId="4D65CA97" w14:textId="77777777" w:rsidR="00E3750C" w:rsidRPr="007B0121" w:rsidRDefault="00E3750C" w:rsidP="00047864">
            <w:pPr>
              <w:spacing w:after="0" w:line="240" w:lineRule="auto"/>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9 = Čistila, storitve čiščenja in storitve pranja perila</w:t>
            </w:r>
          </w:p>
        </w:tc>
        <w:tc>
          <w:tcPr>
            <w:tcW w:w="591" w:type="pct"/>
            <w:shd w:val="clear" w:color="auto" w:fill="auto"/>
            <w:vAlign w:val="center"/>
            <w:hideMark/>
          </w:tcPr>
          <w:p w14:paraId="5519DB7F"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176</w:t>
            </w:r>
          </w:p>
        </w:tc>
        <w:tc>
          <w:tcPr>
            <w:tcW w:w="623" w:type="pct"/>
            <w:shd w:val="clear" w:color="auto" w:fill="auto"/>
            <w:vAlign w:val="center"/>
            <w:hideMark/>
          </w:tcPr>
          <w:p w14:paraId="5C066C67"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43.437.142</w:t>
            </w:r>
          </w:p>
        </w:tc>
        <w:tc>
          <w:tcPr>
            <w:tcW w:w="606" w:type="pct"/>
            <w:shd w:val="clear" w:color="auto" w:fill="auto"/>
            <w:vAlign w:val="center"/>
            <w:hideMark/>
          </w:tcPr>
          <w:p w14:paraId="7D79A061"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1,02</w:t>
            </w:r>
            <w:r>
              <w:rPr>
                <w:rFonts w:ascii="Arial" w:eastAsia="Times New Roman" w:hAnsi="Arial" w:cs="Arial"/>
                <w:color w:val="000000"/>
                <w:sz w:val="18"/>
                <w:szCs w:val="18"/>
                <w:lang w:eastAsia="sl-SI"/>
              </w:rPr>
              <w:t xml:space="preserve"> %</w:t>
            </w:r>
          </w:p>
        </w:tc>
        <w:tc>
          <w:tcPr>
            <w:tcW w:w="606" w:type="pct"/>
            <w:shd w:val="clear" w:color="auto" w:fill="auto"/>
            <w:vAlign w:val="center"/>
            <w:hideMark/>
          </w:tcPr>
          <w:p w14:paraId="3E0A97D5"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0,80</w:t>
            </w:r>
            <w:r>
              <w:rPr>
                <w:rFonts w:ascii="Arial" w:eastAsia="Times New Roman" w:hAnsi="Arial" w:cs="Arial"/>
                <w:color w:val="000000"/>
                <w:sz w:val="18"/>
                <w:szCs w:val="18"/>
                <w:lang w:eastAsia="sl-SI"/>
              </w:rPr>
              <w:t xml:space="preserve"> %</w:t>
            </w:r>
          </w:p>
        </w:tc>
        <w:tc>
          <w:tcPr>
            <w:tcW w:w="529" w:type="pct"/>
            <w:shd w:val="clear" w:color="auto" w:fill="auto"/>
            <w:vAlign w:val="center"/>
            <w:hideMark/>
          </w:tcPr>
          <w:p w14:paraId="376FA41D"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3,41</w:t>
            </w:r>
            <w:r>
              <w:rPr>
                <w:rFonts w:ascii="Arial" w:eastAsia="Times New Roman" w:hAnsi="Arial" w:cs="Arial"/>
                <w:color w:val="000000"/>
                <w:sz w:val="18"/>
                <w:szCs w:val="18"/>
                <w:lang w:eastAsia="sl-SI"/>
              </w:rPr>
              <w:t xml:space="preserve"> %</w:t>
            </w:r>
          </w:p>
        </w:tc>
        <w:tc>
          <w:tcPr>
            <w:tcW w:w="582" w:type="pct"/>
            <w:shd w:val="clear" w:color="auto" w:fill="auto"/>
            <w:vAlign w:val="center"/>
            <w:hideMark/>
          </w:tcPr>
          <w:p w14:paraId="50F7CF4A"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3,05</w:t>
            </w:r>
            <w:r>
              <w:rPr>
                <w:rFonts w:ascii="Arial" w:eastAsia="Times New Roman" w:hAnsi="Arial" w:cs="Arial"/>
                <w:color w:val="000000"/>
                <w:sz w:val="18"/>
                <w:szCs w:val="18"/>
                <w:lang w:eastAsia="sl-SI"/>
              </w:rPr>
              <w:t xml:space="preserve"> %</w:t>
            </w:r>
          </w:p>
        </w:tc>
      </w:tr>
      <w:tr w:rsidR="00E3750C" w:rsidRPr="007B0121" w14:paraId="7D2E2182" w14:textId="77777777" w:rsidTr="00047864">
        <w:trPr>
          <w:trHeight w:val="315"/>
        </w:trPr>
        <w:tc>
          <w:tcPr>
            <w:tcW w:w="1464" w:type="pct"/>
            <w:shd w:val="clear" w:color="auto" w:fill="auto"/>
            <w:vAlign w:val="center"/>
            <w:hideMark/>
          </w:tcPr>
          <w:p w14:paraId="7A2F673C" w14:textId="77777777" w:rsidR="00E3750C" w:rsidRPr="007B0121" w:rsidRDefault="00E3750C" w:rsidP="00047864">
            <w:pPr>
              <w:spacing w:after="0" w:line="240" w:lineRule="auto"/>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10 = Cestna vozila</w:t>
            </w:r>
          </w:p>
        </w:tc>
        <w:tc>
          <w:tcPr>
            <w:tcW w:w="591" w:type="pct"/>
            <w:shd w:val="clear" w:color="auto" w:fill="auto"/>
            <w:vAlign w:val="center"/>
            <w:hideMark/>
          </w:tcPr>
          <w:p w14:paraId="0798639C"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283</w:t>
            </w:r>
          </w:p>
        </w:tc>
        <w:tc>
          <w:tcPr>
            <w:tcW w:w="623" w:type="pct"/>
            <w:shd w:val="clear" w:color="auto" w:fill="auto"/>
            <w:vAlign w:val="center"/>
            <w:hideMark/>
          </w:tcPr>
          <w:p w14:paraId="7C32000E"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69.385.214</w:t>
            </w:r>
          </w:p>
        </w:tc>
        <w:tc>
          <w:tcPr>
            <w:tcW w:w="606" w:type="pct"/>
            <w:shd w:val="clear" w:color="auto" w:fill="auto"/>
            <w:vAlign w:val="center"/>
            <w:hideMark/>
          </w:tcPr>
          <w:p w14:paraId="2539159E"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1,64</w:t>
            </w:r>
            <w:r>
              <w:rPr>
                <w:rFonts w:ascii="Arial" w:eastAsia="Times New Roman" w:hAnsi="Arial" w:cs="Arial"/>
                <w:color w:val="000000"/>
                <w:sz w:val="18"/>
                <w:szCs w:val="18"/>
                <w:lang w:eastAsia="sl-SI"/>
              </w:rPr>
              <w:t xml:space="preserve"> %</w:t>
            </w:r>
          </w:p>
        </w:tc>
        <w:tc>
          <w:tcPr>
            <w:tcW w:w="606" w:type="pct"/>
            <w:shd w:val="clear" w:color="auto" w:fill="auto"/>
            <w:vAlign w:val="center"/>
            <w:hideMark/>
          </w:tcPr>
          <w:p w14:paraId="19FF240B"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1,28</w:t>
            </w:r>
            <w:r>
              <w:rPr>
                <w:rFonts w:ascii="Arial" w:eastAsia="Times New Roman" w:hAnsi="Arial" w:cs="Arial"/>
                <w:color w:val="000000"/>
                <w:sz w:val="18"/>
                <w:szCs w:val="18"/>
                <w:lang w:eastAsia="sl-SI"/>
              </w:rPr>
              <w:t xml:space="preserve"> %</w:t>
            </w:r>
          </w:p>
        </w:tc>
        <w:tc>
          <w:tcPr>
            <w:tcW w:w="529" w:type="pct"/>
            <w:shd w:val="clear" w:color="auto" w:fill="auto"/>
            <w:vAlign w:val="center"/>
            <w:hideMark/>
          </w:tcPr>
          <w:p w14:paraId="6C168512"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5,48</w:t>
            </w:r>
            <w:r>
              <w:rPr>
                <w:rFonts w:ascii="Arial" w:eastAsia="Times New Roman" w:hAnsi="Arial" w:cs="Arial"/>
                <w:color w:val="000000"/>
                <w:sz w:val="18"/>
                <w:szCs w:val="18"/>
                <w:lang w:eastAsia="sl-SI"/>
              </w:rPr>
              <w:t xml:space="preserve"> %</w:t>
            </w:r>
          </w:p>
        </w:tc>
        <w:tc>
          <w:tcPr>
            <w:tcW w:w="582" w:type="pct"/>
            <w:shd w:val="clear" w:color="auto" w:fill="auto"/>
            <w:vAlign w:val="center"/>
            <w:hideMark/>
          </w:tcPr>
          <w:p w14:paraId="36FC03E4"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4,88</w:t>
            </w:r>
            <w:r>
              <w:rPr>
                <w:rFonts w:ascii="Arial" w:eastAsia="Times New Roman" w:hAnsi="Arial" w:cs="Arial"/>
                <w:color w:val="000000"/>
                <w:sz w:val="18"/>
                <w:szCs w:val="18"/>
                <w:lang w:eastAsia="sl-SI"/>
              </w:rPr>
              <w:t xml:space="preserve"> %</w:t>
            </w:r>
          </w:p>
        </w:tc>
      </w:tr>
      <w:tr w:rsidR="00E3750C" w:rsidRPr="007B0121" w14:paraId="1789BA1C" w14:textId="77777777" w:rsidTr="00047864">
        <w:trPr>
          <w:trHeight w:val="315"/>
        </w:trPr>
        <w:tc>
          <w:tcPr>
            <w:tcW w:w="1464" w:type="pct"/>
            <w:shd w:val="clear" w:color="auto" w:fill="auto"/>
            <w:vAlign w:val="center"/>
            <w:hideMark/>
          </w:tcPr>
          <w:p w14:paraId="6DC876B4" w14:textId="77777777" w:rsidR="00E3750C" w:rsidRPr="007B0121" w:rsidRDefault="00E3750C" w:rsidP="00047864">
            <w:pPr>
              <w:spacing w:after="0" w:line="240" w:lineRule="auto"/>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11 = Pnevmatike</w:t>
            </w:r>
          </w:p>
        </w:tc>
        <w:tc>
          <w:tcPr>
            <w:tcW w:w="591" w:type="pct"/>
            <w:shd w:val="clear" w:color="auto" w:fill="auto"/>
            <w:vAlign w:val="center"/>
            <w:hideMark/>
          </w:tcPr>
          <w:p w14:paraId="3E7EC89C"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67</w:t>
            </w:r>
          </w:p>
        </w:tc>
        <w:tc>
          <w:tcPr>
            <w:tcW w:w="623" w:type="pct"/>
            <w:shd w:val="clear" w:color="auto" w:fill="auto"/>
            <w:vAlign w:val="center"/>
            <w:hideMark/>
          </w:tcPr>
          <w:p w14:paraId="20E2CDD5"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12.740.047</w:t>
            </w:r>
          </w:p>
        </w:tc>
        <w:tc>
          <w:tcPr>
            <w:tcW w:w="606" w:type="pct"/>
            <w:shd w:val="clear" w:color="auto" w:fill="auto"/>
            <w:vAlign w:val="center"/>
            <w:hideMark/>
          </w:tcPr>
          <w:p w14:paraId="37FF30F5"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0,39</w:t>
            </w:r>
            <w:r>
              <w:rPr>
                <w:rFonts w:ascii="Arial" w:eastAsia="Times New Roman" w:hAnsi="Arial" w:cs="Arial"/>
                <w:color w:val="000000"/>
                <w:sz w:val="18"/>
                <w:szCs w:val="18"/>
                <w:lang w:eastAsia="sl-SI"/>
              </w:rPr>
              <w:t xml:space="preserve"> %</w:t>
            </w:r>
          </w:p>
        </w:tc>
        <w:tc>
          <w:tcPr>
            <w:tcW w:w="606" w:type="pct"/>
            <w:shd w:val="clear" w:color="auto" w:fill="auto"/>
            <w:vAlign w:val="center"/>
            <w:hideMark/>
          </w:tcPr>
          <w:p w14:paraId="5405F2E8"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0,24</w:t>
            </w:r>
            <w:r>
              <w:rPr>
                <w:rFonts w:ascii="Arial" w:eastAsia="Times New Roman" w:hAnsi="Arial" w:cs="Arial"/>
                <w:color w:val="000000"/>
                <w:sz w:val="18"/>
                <w:szCs w:val="18"/>
                <w:lang w:eastAsia="sl-SI"/>
              </w:rPr>
              <w:t xml:space="preserve"> %</w:t>
            </w:r>
          </w:p>
        </w:tc>
        <w:tc>
          <w:tcPr>
            <w:tcW w:w="529" w:type="pct"/>
            <w:shd w:val="clear" w:color="auto" w:fill="auto"/>
            <w:vAlign w:val="center"/>
            <w:hideMark/>
          </w:tcPr>
          <w:p w14:paraId="03448833"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1,30</w:t>
            </w:r>
            <w:r>
              <w:rPr>
                <w:rFonts w:ascii="Arial" w:eastAsia="Times New Roman" w:hAnsi="Arial" w:cs="Arial"/>
                <w:color w:val="000000"/>
                <w:sz w:val="18"/>
                <w:szCs w:val="18"/>
                <w:lang w:eastAsia="sl-SI"/>
              </w:rPr>
              <w:t xml:space="preserve"> %</w:t>
            </w:r>
          </w:p>
        </w:tc>
        <w:tc>
          <w:tcPr>
            <w:tcW w:w="582" w:type="pct"/>
            <w:shd w:val="clear" w:color="auto" w:fill="auto"/>
            <w:vAlign w:val="center"/>
            <w:hideMark/>
          </w:tcPr>
          <w:p w14:paraId="7729BECD"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0,90</w:t>
            </w:r>
            <w:r>
              <w:rPr>
                <w:rFonts w:ascii="Arial" w:eastAsia="Times New Roman" w:hAnsi="Arial" w:cs="Arial"/>
                <w:color w:val="000000"/>
                <w:sz w:val="18"/>
                <w:szCs w:val="18"/>
                <w:lang w:eastAsia="sl-SI"/>
              </w:rPr>
              <w:t xml:space="preserve"> %</w:t>
            </w:r>
          </w:p>
        </w:tc>
      </w:tr>
      <w:tr w:rsidR="00E3750C" w:rsidRPr="007B0121" w14:paraId="326BF1E0" w14:textId="77777777" w:rsidTr="00047864">
        <w:trPr>
          <w:trHeight w:val="495"/>
        </w:trPr>
        <w:tc>
          <w:tcPr>
            <w:tcW w:w="1464" w:type="pct"/>
            <w:shd w:val="clear" w:color="auto" w:fill="auto"/>
            <w:vAlign w:val="center"/>
            <w:hideMark/>
          </w:tcPr>
          <w:p w14:paraId="19B5837D" w14:textId="77777777" w:rsidR="00E3750C" w:rsidRPr="007B0121" w:rsidRDefault="00E3750C" w:rsidP="00047864">
            <w:pPr>
              <w:spacing w:after="0" w:line="240" w:lineRule="auto"/>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12 = Električne sijalke in svetilke ter razsvetljava v notranjih prostorih</w:t>
            </w:r>
          </w:p>
        </w:tc>
        <w:tc>
          <w:tcPr>
            <w:tcW w:w="591" w:type="pct"/>
            <w:shd w:val="clear" w:color="auto" w:fill="auto"/>
            <w:vAlign w:val="center"/>
            <w:hideMark/>
          </w:tcPr>
          <w:p w14:paraId="6382188B"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149</w:t>
            </w:r>
          </w:p>
        </w:tc>
        <w:tc>
          <w:tcPr>
            <w:tcW w:w="623" w:type="pct"/>
            <w:shd w:val="clear" w:color="auto" w:fill="auto"/>
            <w:vAlign w:val="center"/>
            <w:hideMark/>
          </w:tcPr>
          <w:p w14:paraId="10F466F0"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211.846.769</w:t>
            </w:r>
          </w:p>
        </w:tc>
        <w:tc>
          <w:tcPr>
            <w:tcW w:w="606" w:type="pct"/>
            <w:shd w:val="clear" w:color="auto" w:fill="auto"/>
            <w:vAlign w:val="center"/>
            <w:hideMark/>
          </w:tcPr>
          <w:p w14:paraId="0B1DC1E2"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0,87</w:t>
            </w:r>
            <w:r>
              <w:rPr>
                <w:rFonts w:ascii="Arial" w:eastAsia="Times New Roman" w:hAnsi="Arial" w:cs="Arial"/>
                <w:color w:val="000000"/>
                <w:sz w:val="18"/>
                <w:szCs w:val="18"/>
                <w:lang w:eastAsia="sl-SI"/>
              </w:rPr>
              <w:t xml:space="preserve"> %</w:t>
            </w:r>
          </w:p>
        </w:tc>
        <w:tc>
          <w:tcPr>
            <w:tcW w:w="606" w:type="pct"/>
            <w:shd w:val="clear" w:color="auto" w:fill="auto"/>
            <w:vAlign w:val="center"/>
            <w:hideMark/>
          </w:tcPr>
          <w:p w14:paraId="0FA3B387"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3,91</w:t>
            </w:r>
            <w:r>
              <w:rPr>
                <w:rFonts w:ascii="Arial" w:eastAsia="Times New Roman" w:hAnsi="Arial" w:cs="Arial"/>
                <w:color w:val="000000"/>
                <w:sz w:val="18"/>
                <w:szCs w:val="18"/>
                <w:lang w:eastAsia="sl-SI"/>
              </w:rPr>
              <w:t xml:space="preserve"> %</w:t>
            </w:r>
          </w:p>
        </w:tc>
        <w:tc>
          <w:tcPr>
            <w:tcW w:w="529" w:type="pct"/>
            <w:shd w:val="clear" w:color="auto" w:fill="auto"/>
            <w:vAlign w:val="center"/>
            <w:hideMark/>
          </w:tcPr>
          <w:p w14:paraId="162AECE8"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2,89</w:t>
            </w:r>
            <w:r>
              <w:rPr>
                <w:rFonts w:ascii="Arial" w:eastAsia="Times New Roman" w:hAnsi="Arial" w:cs="Arial"/>
                <w:color w:val="000000"/>
                <w:sz w:val="18"/>
                <w:szCs w:val="18"/>
                <w:lang w:eastAsia="sl-SI"/>
              </w:rPr>
              <w:t xml:space="preserve"> %</w:t>
            </w:r>
          </w:p>
        </w:tc>
        <w:tc>
          <w:tcPr>
            <w:tcW w:w="582" w:type="pct"/>
            <w:shd w:val="clear" w:color="auto" w:fill="auto"/>
            <w:vAlign w:val="center"/>
            <w:hideMark/>
          </w:tcPr>
          <w:p w14:paraId="07CF2FDD"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14,89</w:t>
            </w:r>
            <w:r>
              <w:rPr>
                <w:rFonts w:ascii="Arial" w:eastAsia="Times New Roman" w:hAnsi="Arial" w:cs="Arial"/>
                <w:color w:val="000000"/>
                <w:sz w:val="18"/>
                <w:szCs w:val="18"/>
                <w:lang w:eastAsia="sl-SI"/>
              </w:rPr>
              <w:t xml:space="preserve"> %</w:t>
            </w:r>
          </w:p>
        </w:tc>
      </w:tr>
      <w:tr w:rsidR="00E3750C" w:rsidRPr="007B0121" w14:paraId="5C63ECD4" w14:textId="77777777" w:rsidTr="00047864">
        <w:trPr>
          <w:trHeight w:val="315"/>
        </w:trPr>
        <w:tc>
          <w:tcPr>
            <w:tcW w:w="1464" w:type="pct"/>
            <w:shd w:val="clear" w:color="auto" w:fill="auto"/>
            <w:vAlign w:val="center"/>
            <w:hideMark/>
          </w:tcPr>
          <w:p w14:paraId="722AE7E0" w14:textId="77777777" w:rsidR="00E3750C" w:rsidRPr="007B0121" w:rsidRDefault="00E3750C" w:rsidP="00047864">
            <w:pPr>
              <w:spacing w:after="0" w:line="240" w:lineRule="auto"/>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13 = Tekstilni izdelki</w:t>
            </w:r>
          </w:p>
        </w:tc>
        <w:tc>
          <w:tcPr>
            <w:tcW w:w="591" w:type="pct"/>
            <w:shd w:val="clear" w:color="auto" w:fill="auto"/>
            <w:vAlign w:val="center"/>
            <w:hideMark/>
          </w:tcPr>
          <w:p w14:paraId="730E83D8"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28</w:t>
            </w:r>
          </w:p>
        </w:tc>
        <w:tc>
          <w:tcPr>
            <w:tcW w:w="623" w:type="pct"/>
            <w:shd w:val="clear" w:color="auto" w:fill="auto"/>
            <w:vAlign w:val="center"/>
            <w:hideMark/>
          </w:tcPr>
          <w:p w14:paraId="0EE4DEE5"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4.306.799</w:t>
            </w:r>
          </w:p>
        </w:tc>
        <w:tc>
          <w:tcPr>
            <w:tcW w:w="606" w:type="pct"/>
            <w:shd w:val="clear" w:color="auto" w:fill="auto"/>
            <w:vAlign w:val="center"/>
            <w:hideMark/>
          </w:tcPr>
          <w:p w14:paraId="7D47C08B"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0,16</w:t>
            </w:r>
            <w:r>
              <w:rPr>
                <w:rFonts w:ascii="Arial" w:eastAsia="Times New Roman" w:hAnsi="Arial" w:cs="Arial"/>
                <w:color w:val="000000"/>
                <w:sz w:val="18"/>
                <w:szCs w:val="18"/>
                <w:lang w:eastAsia="sl-SI"/>
              </w:rPr>
              <w:t xml:space="preserve"> %</w:t>
            </w:r>
          </w:p>
        </w:tc>
        <w:tc>
          <w:tcPr>
            <w:tcW w:w="606" w:type="pct"/>
            <w:shd w:val="clear" w:color="auto" w:fill="auto"/>
            <w:vAlign w:val="center"/>
            <w:hideMark/>
          </w:tcPr>
          <w:p w14:paraId="44B28E08"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0,08</w:t>
            </w:r>
            <w:r>
              <w:rPr>
                <w:rFonts w:ascii="Arial" w:eastAsia="Times New Roman" w:hAnsi="Arial" w:cs="Arial"/>
                <w:color w:val="000000"/>
                <w:sz w:val="18"/>
                <w:szCs w:val="18"/>
                <w:lang w:eastAsia="sl-SI"/>
              </w:rPr>
              <w:t xml:space="preserve"> %</w:t>
            </w:r>
          </w:p>
        </w:tc>
        <w:tc>
          <w:tcPr>
            <w:tcW w:w="529" w:type="pct"/>
            <w:shd w:val="clear" w:color="auto" w:fill="auto"/>
            <w:vAlign w:val="center"/>
            <w:hideMark/>
          </w:tcPr>
          <w:p w14:paraId="10FF945D"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0,54</w:t>
            </w:r>
            <w:r>
              <w:rPr>
                <w:rFonts w:ascii="Arial" w:eastAsia="Times New Roman" w:hAnsi="Arial" w:cs="Arial"/>
                <w:color w:val="000000"/>
                <w:sz w:val="18"/>
                <w:szCs w:val="18"/>
                <w:lang w:eastAsia="sl-SI"/>
              </w:rPr>
              <w:t xml:space="preserve"> %</w:t>
            </w:r>
          </w:p>
        </w:tc>
        <w:tc>
          <w:tcPr>
            <w:tcW w:w="582" w:type="pct"/>
            <w:shd w:val="clear" w:color="auto" w:fill="auto"/>
            <w:vAlign w:val="center"/>
            <w:hideMark/>
          </w:tcPr>
          <w:p w14:paraId="37EB63E4"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0,30</w:t>
            </w:r>
            <w:r>
              <w:rPr>
                <w:rFonts w:ascii="Arial" w:eastAsia="Times New Roman" w:hAnsi="Arial" w:cs="Arial"/>
                <w:color w:val="000000"/>
                <w:sz w:val="18"/>
                <w:szCs w:val="18"/>
                <w:lang w:eastAsia="sl-SI"/>
              </w:rPr>
              <w:t xml:space="preserve"> %</w:t>
            </w:r>
          </w:p>
        </w:tc>
      </w:tr>
      <w:tr w:rsidR="00E3750C" w:rsidRPr="007B0121" w14:paraId="6B342AB9" w14:textId="77777777" w:rsidTr="00047864">
        <w:trPr>
          <w:trHeight w:val="495"/>
        </w:trPr>
        <w:tc>
          <w:tcPr>
            <w:tcW w:w="1464" w:type="pct"/>
            <w:shd w:val="clear" w:color="auto" w:fill="auto"/>
            <w:vAlign w:val="center"/>
            <w:hideMark/>
          </w:tcPr>
          <w:p w14:paraId="00817A67" w14:textId="77777777" w:rsidR="00E3750C" w:rsidRPr="007B0121" w:rsidRDefault="00E3750C" w:rsidP="00047864">
            <w:pPr>
              <w:spacing w:after="0" w:line="240" w:lineRule="auto"/>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14 = Grelniki vode, grelniki prostora in njihove kombinacije ter hranilniki tople vode</w:t>
            </w:r>
          </w:p>
        </w:tc>
        <w:tc>
          <w:tcPr>
            <w:tcW w:w="591" w:type="pct"/>
            <w:shd w:val="clear" w:color="auto" w:fill="auto"/>
            <w:vAlign w:val="center"/>
            <w:hideMark/>
          </w:tcPr>
          <w:p w14:paraId="02417ECA"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80</w:t>
            </w:r>
          </w:p>
        </w:tc>
        <w:tc>
          <w:tcPr>
            <w:tcW w:w="623" w:type="pct"/>
            <w:shd w:val="clear" w:color="auto" w:fill="auto"/>
            <w:vAlign w:val="center"/>
            <w:hideMark/>
          </w:tcPr>
          <w:p w14:paraId="25A9B5CC"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161.575.708</w:t>
            </w:r>
          </w:p>
        </w:tc>
        <w:tc>
          <w:tcPr>
            <w:tcW w:w="606" w:type="pct"/>
            <w:shd w:val="clear" w:color="auto" w:fill="auto"/>
            <w:vAlign w:val="center"/>
            <w:hideMark/>
          </w:tcPr>
          <w:p w14:paraId="7AB00ABD"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0,46</w:t>
            </w:r>
            <w:r>
              <w:rPr>
                <w:rFonts w:ascii="Arial" w:eastAsia="Times New Roman" w:hAnsi="Arial" w:cs="Arial"/>
                <w:color w:val="000000"/>
                <w:sz w:val="18"/>
                <w:szCs w:val="18"/>
                <w:lang w:eastAsia="sl-SI"/>
              </w:rPr>
              <w:t xml:space="preserve"> %</w:t>
            </w:r>
          </w:p>
        </w:tc>
        <w:tc>
          <w:tcPr>
            <w:tcW w:w="606" w:type="pct"/>
            <w:shd w:val="clear" w:color="auto" w:fill="auto"/>
            <w:vAlign w:val="center"/>
            <w:hideMark/>
          </w:tcPr>
          <w:p w14:paraId="4E98EBFC"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2,98</w:t>
            </w:r>
            <w:r>
              <w:rPr>
                <w:rFonts w:ascii="Arial" w:eastAsia="Times New Roman" w:hAnsi="Arial" w:cs="Arial"/>
                <w:color w:val="000000"/>
                <w:sz w:val="18"/>
                <w:szCs w:val="18"/>
                <w:lang w:eastAsia="sl-SI"/>
              </w:rPr>
              <w:t xml:space="preserve"> %</w:t>
            </w:r>
          </w:p>
        </w:tc>
        <w:tc>
          <w:tcPr>
            <w:tcW w:w="529" w:type="pct"/>
            <w:shd w:val="clear" w:color="auto" w:fill="auto"/>
            <w:vAlign w:val="center"/>
            <w:hideMark/>
          </w:tcPr>
          <w:p w14:paraId="5BA1F365"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1,55</w:t>
            </w:r>
            <w:r>
              <w:rPr>
                <w:rFonts w:ascii="Arial" w:eastAsia="Times New Roman" w:hAnsi="Arial" w:cs="Arial"/>
                <w:color w:val="000000"/>
                <w:sz w:val="18"/>
                <w:szCs w:val="18"/>
                <w:lang w:eastAsia="sl-SI"/>
              </w:rPr>
              <w:t xml:space="preserve"> %</w:t>
            </w:r>
          </w:p>
        </w:tc>
        <w:tc>
          <w:tcPr>
            <w:tcW w:w="582" w:type="pct"/>
            <w:shd w:val="clear" w:color="auto" w:fill="auto"/>
            <w:vAlign w:val="center"/>
            <w:hideMark/>
          </w:tcPr>
          <w:p w14:paraId="6F034327"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11,36</w:t>
            </w:r>
            <w:r>
              <w:rPr>
                <w:rFonts w:ascii="Arial" w:eastAsia="Times New Roman" w:hAnsi="Arial" w:cs="Arial"/>
                <w:color w:val="000000"/>
                <w:sz w:val="18"/>
                <w:szCs w:val="18"/>
                <w:lang w:eastAsia="sl-SI"/>
              </w:rPr>
              <w:t xml:space="preserve"> %</w:t>
            </w:r>
          </w:p>
        </w:tc>
      </w:tr>
      <w:tr w:rsidR="00E3750C" w:rsidRPr="007B0121" w14:paraId="170D5091" w14:textId="77777777" w:rsidTr="00047864">
        <w:trPr>
          <w:trHeight w:val="315"/>
        </w:trPr>
        <w:tc>
          <w:tcPr>
            <w:tcW w:w="1464" w:type="pct"/>
            <w:shd w:val="clear" w:color="auto" w:fill="auto"/>
            <w:vAlign w:val="center"/>
            <w:hideMark/>
          </w:tcPr>
          <w:p w14:paraId="4B57E947" w14:textId="77777777" w:rsidR="00E3750C" w:rsidRPr="007B0121" w:rsidRDefault="00E3750C" w:rsidP="00047864">
            <w:pPr>
              <w:spacing w:after="0" w:line="240" w:lineRule="auto"/>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15 = Sanitarne armature</w:t>
            </w:r>
          </w:p>
        </w:tc>
        <w:tc>
          <w:tcPr>
            <w:tcW w:w="591" w:type="pct"/>
            <w:shd w:val="clear" w:color="auto" w:fill="auto"/>
            <w:vAlign w:val="center"/>
            <w:hideMark/>
          </w:tcPr>
          <w:p w14:paraId="069D1C31"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107</w:t>
            </w:r>
          </w:p>
        </w:tc>
        <w:tc>
          <w:tcPr>
            <w:tcW w:w="623" w:type="pct"/>
            <w:shd w:val="clear" w:color="auto" w:fill="auto"/>
            <w:vAlign w:val="center"/>
            <w:hideMark/>
          </w:tcPr>
          <w:p w14:paraId="544F3DA5"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202.741.463</w:t>
            </w:r>
          </w:p>
        </w:tc>
        <w:tc>
          <w:tcPr>
            <w:tcW w:w="606" w:type="pct"/>
            <w:shd w:val="clear" w:color="auto" w:fill="auto"/>
            <w:vAlign w:val="center"/>
            <w:hideMark/>
          </w:tcPr>
          <w:p w14:paraId="7EFCC578"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0,62</w:t>
            </w:r>
            <w:r>
              <w:rPr>
                <w:rFonts w:ascii="Arial" w:eastAsia="Times New Roman" w:hAnsi="Arial" w:cs="Arial"/>
                <w:color w:val="000000"/>
                <w:sz w:val="18"/>
                <w:szCs w:val="18"/>
                <w:lang w:eastAsia="sl-SI"/>
              </w:rPr>
              <w:t xml:space="preserve"> %</w:t>
            </w:r>
          </w:p>
        </w:tc>
        <w:tc>
          <w:tcPr>
            <w:tcW w:w="606" w:type="pct"/>
            <w:shd w:val="clear" w:color="auto" w:fill="auto"/>
            <w:vAlign w:val="center"/>
            <w:hideMark/>
          </w:tcPr>
          <w:p w14:paraId="42308754"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3,74</w:t>
            </w:r>
            <w:r>
              <w:rPr>
                <w:rFonts w:ascii="Arial" w:eastAsia="Times New Roman" w:hAnsi="Arial" w:cs="Arial"/>
                <w:color w:val="000000"/>
                <w:sz w:val="18"/>
                <w:szCs w:val="18"/>
                <w:lang w:eastAsia="sl-SI"/>
              </w:rPr>
              <w:t xml:space="preserve"> %</w:t>
            </w:r>
          </w:p>
        </w:tc>
        <w:tc>
          <w:tcPr>
            <w:tcW w:w="529" w:type="pct"/>
            <w:shd w:val="clear" w:color="auto" w:fill="auto"/>
            <w:vAlign w:val="center"/>
            <w:hideMark/>
          </w:tcPr>
          <w:p w14:paraId="5AC4695F"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2,07</w:t>
            </w:r>
            <w:r>
              <w:rPr>
                <w:rFonts w:ascii="Arial" w:eastAsia="Times New Roman" w:hAnsi="Arial" w:cs="Arial"/>
                <w:color w:val="000000"/>
                <w:sz w:val="18"/>
                <w:szCs w:val="18"/>
                <w:lang w:eastAsia="sl-SI"/>
              </w:rPr>
              <w:t xml:space="preserve"> %</w:t>
            </w:r>
          </w:p>
        </w:tc>
        <w:tc>
          <w:tcPr>
            <w:tcW w:w="582" w:type="pct"/>
            <w:shd w:val="clear" w:color="auto" w:fill="auto"/>
            <w:vAlign w:val="center"/>
            <w:hideMark/>
          </w:tcPr>
          <w:p w14:paraId="3C0B42C5"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14,25</w:t>
            </w:r>
            <w:r>
              <w:rPr>
                <w:rFonts w:ascii="Arial" w:eastAsia="Times New Roman" w:hAnsi="Arial" w:cs="Arial"/>
                <w:color w:val="000000"/>
                <w:sz w:val="18"/>
                <w:szCs w:val="18"/>
                <w:lang w:eastAsia="sl-SI"/>
              </w:rPr>
              <w:t xml:space="preserve"> %</w:t>
            </w:r>
          </w:p>
        </w:tc>
      </w:tr>
      <w:tr w:rsidR="00E3750C" w:rsidRPr="007B0121" w14:paraId="6B9C1597" w14:textId="77777777" w:rsidTr="00047864">
        <w:trPr>
          <w:trHeight w:val="495"/>
        </w:trPr>
        <w:tc>
          <w:tcPr>
            <w:tcW w:w="1464" w:type="pct"/>
            <w:shd w:val="clear" w:color="auto" w:fill="auto"/>
            <w:vAlign w:val="center"/>
            <w:hideMark/>
          </w:tcPr>
          <w:p w14:paraId="74D88BB6" w14:textId="77777777" w:rsidR="00E3750C" w:rsidRPr="007B0121" w:rsidRDefault="00E3750C" w:rsidP="00047864">
            <w:pPr>
              <w:spacing w:after="0" w:line="240" w:lineRule="auto"/>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lastRenderedPageBreak/>
              <w:t>16 = Oprema za stranišča na splakovanje in oprema za pisoarje</w:t>
            </w:r>
          </w:p>
        </w:tc>
        <w:tc>
          <w:tcPr>
            <w:tcW w:w="591" w:type="pct"/>
            <w:shd w:val="clear" w:color="auto" w:fill="auto"/>
            <w:vAlign w:val="center"/>
            <w:hideMark/>
          </w:tcPr>
          <w:p w14:paraId="3274B86F"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109</w:t>
            </w:r>
          </w:p>
        </w:tc>
        <w:tc>
          <w:tcPr>
            <w:tcW w:w="623" w:type="pct"/>
            <w:shd w:val="clear" w:color="auto" w:fill="auto"/>
            <w:vAlign w:val="center"/>
            <w:hideMark/>
          </w:tcPr>
          <w:p w14:paraId="42D442C8"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186.760.148</w:t>
            </w:r>
          </w:p>
        </w:tc>
        <w:tc>
          <w:tcPr>
            <w:tcW w:w="606" w:type="pct"/>
            <w:shd w:val="clear" w:color="auto" w:fill="auto"/>
            <w:vAlign w:val="center"/>
            <w:hideMark/>
          </w:tcPr>
          <w:p w14:paraId="6412BEEE"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0,63</w:t>
            </w:r>
            <w:r>
              <w:rPr>
                <w:rFonts w:ascii="Arial" w:eastAsia="Times New Roman" w:hAnsi="Arial" w:cs="Arial"/>
                <w:color w:val="000000"/>
                <w:sz w:val="18"/>
                <w:szCs w:val="18"/>
                <w:lang w:eastAsia="sl-SI"/>
              </w:rPr>
              <w:t xml:space="preserve"> %</w:t>
            </w:r>
          </w:p>
        </w:tc>
        <w:tc>
          <w:tcPr>
            <w:tcW w:w="606" w:type="pct"/>
            <w:shd w:val="clear" w:color="auto" w:fill="auto"/>
            <w:vAlign w:val="center"/>
            <w:hideMark/>
          </w:tcPr>
          <w:p w14:paraId="3E33AD38"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3,45</w:t>
            </w:r>
            <w:r>
              <w:rPr>
                <w:rFonts w:ascii="Arial" w:eastAsia="Times New Roman" w:hAnsi="Arial" w:cs="Arial"/>
                <w:color w:val="000000"/>
                <w:sz w:val="18"/>
                <w:szCs w:val="18"/>
                <w:lang w:eastAsia="sl-SI"/>
              </w:rPr>
              <w:t xml:space="preserve"> %</w:t>
            </w:r>
          </w:p>
        </w:tc>
        <w:tc>
          <w:tcPr>
            <w:tcW w:w="529" w:type="pct"/>
            <w:shd w:val="clear" w:color="auto" w:fill="auto"/>
            <w:vAlign w:val="center"/>
            <w:hideMark/>
          </w:tcPr>
          <w:p w14:paraId="5F890161"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2,11</w:t>
            </w:r>
            <w:r>
              <w:rPr>
                <w:rFonts w:ascii="Arial" w:eastAsia="Times New Roman" w:hAnsi="Arial" w:cs="Arial"/>
                <w:color w:val="000000"/>
                <w:sz w:val="18"/>
                <w:szCs w:val="18"/>
                <w:lang w:eastAsia="sl-SI"/>
              </w:rPr>
              <w:t xml:space="preserve"> %</w:t>
            </w:r>
          </w:p>
        </w:tc>
        <w:tc>
          <w:tcPr>
            <w:tcW w:w="582" w:type="pct"/>
            <w:shd w:val="clear" w:color="auto" w:fill="auto"/>
            <w:vAlign w:val="center"/>
            <w:hideMark/>
          </w:tcPr>
          <w:p w14:paraId="2606BD62"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13,13</w:t>
            </w:r>
            <w:r>
              <w:rPr>
                <w:rFonts w:ascii="Arial" w:eastAsia="Times New Roman" w:hAnsi="Arial" w:cs="Arial"/>
                <w:color w:val="000000"/>
                <w:sz w:val="18"/>
                <w:szCs w:val="18"/>
                <w:lang w:eastAsia="sl-SI"/>
              </w:rPr>
              <w:t xml:space="preserve"> %</w:t>
            </w:r>
          </w:p>
        </w:tc>
      </w:tr>
      <w:tr w:rsidR="00E3750C" w:rsidRPr="007B0121" w14:paraId="757DFD7A" w14:textId="77777777" w:rsidTr="00047864">
        <w:trPr>
          <w:trHeight w:val="315"/>
        </w:trPr>
        <w:tc>
          <w:tcPr>
            <w:tcW w:w="1464" w:type="pct"/>
            <w:shd w:val="clear" w:color="auto" w:fill="auto"/>
            <w:vAlign w:val="center"/>
            <w:hideMark/>
          </w:tcPr>
          <w:p w14:paraId="5DF53C83" w14:textId="77777777" w:rsidR="00E3750C" w:rsidRPr="007B0121" w:rsidRDefault="00E3750C" w:rsidP="00047864">
            <w:pPr>
              <w:spacing w:after="0" w:line="240" w:lineRule="auto"/>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17 = Stenske plošče</w:t>
            </w:r>
          </w:p>
        </w:tc>
        <w:tc>
          <w:tcPr>
            <w:tcW w:w="591" w:type="pct"/>
            <w:shd w:val="clear" w:color="auto" w:fill="auto"/>
            <w:vAlign w:val="center"/>
            <w:hideMark/>
          </w:tcPr>
          <w:p w14:paraId="241F54C5"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78</w:t>
            </w:r>
          </w:p>
        </w:tc>
        <w:tc>
          <w:tcPr>
            <w:tcW w:w="623" w:type="pct"/>
            <w:shd w:val="clear" w:color="auto" w:fill="auto"/>
            <w:vAlign w:val="center"/>
            <w:hideMark/>
          </w:tcPr>
          <w:p w14:paraId="6103C19C"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181.412.445</w:t>
            </w:r>
          </w:p>
        </w:tc>
        <w:tc>
          <w:tcPr>
            <w:tcW w:w="606" w:type="pct"/>
            <w:shd w:val="clear" w:color="auto" w:fill="auto"/>
            <w:vAlign w:val="center"/>
            <w:hideMark/>
          </w:tcPr>
          <w:p w14:paraId="682778C7"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0,45</w:t>
            </w:r>
            <w:r>
              <w:rPr>
                <w:rFonts w:ascii="Arial" w:eastAsia="Times New Roman" w:hAnsi="Arial" w:cs="Arial"/>
                <w:color w:val="000000"/>
                <w:sz w:val="18"/>
                <w:szCs w:val="18"/>
                <w:lang w:eastAsia="sl-SI"/>
              </w:rPr>
              <w:t xml:space="preserve"> %</w:t>
            </w:r>
          </w:p>
        </w:tc>
        <w:tc>
          <w:tcPr>
            <w:tcW w:w="606" w:type="pct"/>
            <w:shd w:val="clear" w:color="auto" w:fill="auto"/>
            <w:vAlign w:val="center"/>
            <w:hideMark/>
          </w:tcPr>
          <w:p w14:paraId="4D5154D7"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3,35</w:t>
            </w:r>
            <w:r>
              <w:rPr>
                <w:rFonts w:ascii="Arial" w:eastAsia="Times New Roman" w:hAnsi="Arial" w:cs="Arial"/>
                <w:color w:val="000000"/>
                <w:sz w:val="18"/>
                <w:szCs w:val="18"/>
                <w:lang w:eastAsia="sl-SI"/>
              </w:rPr>
              <w:t xml:space="preserve"> %</w:t>
            </w:r>
          </w:p>
        </w:tc>
        <w:tc>
          <w:tcPr>
            <w:tcW w:w="529" w:type="pct"/>
            <w:shd w:val="clear" w:color="auto" w:fill="auto"/>
            <w:vAlign w:val="center"/>
            <w:hideMark/>
          </w:tcPr>
          <w:p w14:paraId="4430A12F"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1,51</w:t>
            </w:r>
            <w:r>
              <w:rPr>
                <w:rFonts w:ascii="Arial" w:eastAsia="Times New Roman" w:hAnsi="Arial" w:cs="Arial"/>
                <w:color w:val="000000"/>
                <w:sz w:val="18"/>
                <w:szCs w:val="18"/>
                <w:lang w:eastAsia="sl-SI"/>
              </w:rPr>
              <w:t xml:space="preserve"> %</w:t>
            </w:r>
          </w:p>
        </w:tc>
        <w:tc>
          <w:tcPr>
            <w:tcW w:w="582" w:type="pct"/>
            <w:shd w:val="clear" w:color="auto" w:fill="auto"/>
            <w:vAlign w:val="center"/>
            <w:hideMark/>
          </w:tcPr>
          <w:p w14:paraId="18A46331"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12,75</w:t>
            </w:r>
            <w:r>
              <w:rPr>
                <w:rFonts w:ascii="Arial" w:eastAsia="Times New Roman" w:hAnsi="Arial" w:cs="Arial"/>
                <w:color w:val="000000"/>
                <w:sz w:val="18"/>
                <w:szCs w:val="18"/>
                <w:lang w:eastAsia="sl-SI"/>
              </w:rPr>
              <w:t xml:space="preserve"> %</w:t>
            </w:r>
          </w:p>
        </w:tc>
      </w:tr>
      <w:tr w:rsidR="00E3750C" w:rsidRPr="007B0121" w14:paraId="35D40BA3" w14:textId="77777777" w:rsidTr="00047864">
        <w:trPr>
          <w:trHeight w:val="315"/>
        </w:trPr>
        <w:tc>
          <w:tcPr>
            <w:tcW w:w="1464" w:type="pct"/>
            <w:shd w:val="clear" w:color="auto" w:fill="auto"/>
            <w:vAlign w:val="center"/>
            <w:hideMark/>
          </w:tcPr>
          <w:p w14:paraId="7D7237BD" w14:textId="77777777" w:rsidR="00E3750C" w:rsidRPr="007B0121" w:rsidRDefault="00E3750C" w:rsidP="00047864">
            <w:pPr>
              <w:spacing w:after="0" w:line="240" w:lineRule="auto"/>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18 = Projektiranje oziroma izvedba gradnje cest</w:t>
            </w:r>
          </w:p>
        </w:tc>
        <w:tc>
          <w:tcPr>
            <w:tcW w:w="591" w:type="pct"/>
            <w:shd w:val="clear" w:color="auto" w:fill="auto"/>
            <w:vAlign w:val="center"/>
            <w:hideMark/>
          </w:tcPr>
          <w:p w14:paraId="21D148C5"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311</w:t>
            </w:r>
          </w:p>
        </w:tc>
        <w:tc>
          <w:tcPr>
            <w:tcW w:w="623" w:type="pct"/>
            <w:shd w:val="clear" w:color="auto" w:fill="auto"/>
            <w:vAlign w:val="center"/>
            <w:hideMark/>
          </w:tcPr>
          <w:p w14:paraId="74E171D3"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332.464.523</w:t>
            </w:r>
          </w:p>
        </w:tc>
        <w:tc>
          <w:tcPr>
            <w:tcW w:w="606" w:type="pct"/>
            <w:shd w:val="clear" w:color="auto" w:fill="auto"/>
            <w:vAlign w:val="center"/>
            <w:hideMark/>
          </w:tcPr>
          <w:p w14:paraId="07D897B4"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1,81</w:t>
            </w:r>
            <w:r>
              <w:rPr>
                <w:rFonts w:ascii="Arial" w:eastAsia="Times New Roman" w:hAnsi="Arial" w:cs="Arial"/>
                <w:color w:val="000000"/>
                <w:sz w:val="18"/>
                <w:szCs w:val="18"/>
                <w:lang w:eastAsia="sl-SI"/>
              </w:rPr>
              <w:t xml:space="preserve"> %</w:t>
            </w:r>
          </w:p>
        </w:tc>
        <w:tc>
          <w:tcPr>
            <w:tcW w:w="606" w:type="pct"/>
            <w:shd w:val="clear" w:color="auto" w:fill="auto"/>
            <w:vAlign w:val="center"/>
            <w:hideMark/>
          </w:tcPr>
          <w:p w14:paraId="1B40852C"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6,14</w:t>
            </w:r>
            <w:r>
              <w:rPr>
                <w:rFonts w:ascii="Arial" w:eastAsia="Times New Roman" w:hAnsi="Arial" w:cs="Arial"/>
                <w:color w:val="000000"/>
                <w:sz w:val="18"/>
                <w:szCs w:val="18"/>
                <w:lang w:eastAsia="sl-SI"/>
              </w:rPr>
              <w:t xml:space="preserve"> %</w:t>
            </w:r>
          </w:p>
        </w:tc>
        <w:tc>
          <w:tcPr>
            <w:tcW w:w="529" w:type="pct"/>
            <w:shd w:val="clear" w:color="auto" w:fill="auto"/>
            <w:vAlign w:val="center"/>
            <w:hideMark/>
          </w:tcPr>
          <w:p w14:paraId="1541A5FB"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6,02</w:t>
            </w:r>
            <w:r>
              <w:rPr>
                <w:rFonts w:ascii="Arial" w:eastAsia="Times New Roman" w:hAnsi="Arial" w:cs="Arial"/>
                <w:color w:val="000000"/>
                <w:sz w:val="18"/>
                <w:szCs w:val="18"/>
                <w:lang w:eastAsia="sl-SI"/>
              </w:rPr>
              <w:t xml:space="preserve"> %</w:t>
            </w:r>
          </w:p>
        </w:tc>
        <w:tc>
          <w:tcPr>
            <w:tcW w:w="582" w:type="pct"/>
            <w:shd w:val="clear" w:color="auto" w:fill="auto"/>
            <w:vAlign w:val="center"/>
            <w:hideMark/>
          </w:tcPr>
          <w:p w14:paraId="12893C1E"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23,37</w:t>
            </w:r>
            <w:r>
              <w:rPr>
                <w:rFonts w:ascii="Arial" w:eastAsia="Times New Roman" w:hAnsi="Arial" w:cs="Arial"/>
                <w:color w:val="000000"/>
                <w:sz w:val="18"/>
                <w:szCs w:val="18"/>
                <w:lang w:eastAsia="sl-SI"/>
              </w:rPr>
              <w:t xml:space="preserve"> %</w:t>
            </w:r>
          </w:p>
        </w:tc>
      </w:tr>
      <w:tr w:rsidR="00E3750C" w:rsidRPr="007B0121" w14:paraId="7CE00B0D" w14:textId="77777777" w:rsidTr="00047864">
        <w:trPr>
          <w:trHeight w:val="495"/>
        </w:trPr>
        <w:tc>
          <w:tcPr>
            <w:tcW w:w="1464" w:type="pct"/>
            <w:shd w:val="clear" w:color="auto" w:fill="auto"/>
            <w:vAlign w:val="center"/>
            <w:hideMark/>
          </w:tcPr>
          <w:p w14:paraId="22CF43A9" w14:textId="77777777" w:rsidR="00E3750C" w:rsidRPr="007B0121" w:rsidRDefault="00E3750C" w:rsidP="00047864">
            <w:pPr>
              <w:spacing w:after="0" w:line="240" w:lineRule="auto"/>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19 = Cestna razsvetljava in prometna signalizacija</w:t>
            </w:r>
          </w:p>
        </w:tc>
        <w:tc>
          <w:tcPr>
            <w:tcW w:w="591" w:type="pct"/>
            <w:shd w:val="clear" w:color="auto" w:fill="auto"/>
            <w:vAlign w:val="center"/>
            <w:hideMark/>
          </w:tcPr>
          <w:p w14:paraId="04635CE6"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81</w:t>
            </w:r>
          </w:p>
        </w:tc>
        <w:tc>
          <w:tcPr>
            <w:tcW w:w="623" w:type="pct"/>
            <w:shd w:val="clear" w:color="auto" w:fill="auto"/>
            <w:vAlign w:val="center"/>
            <w:hideMark/>
          </w:tcPr>
          <w:p w14:paraId="72EFA75D"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65.895.132</w:t>
            </w:r>
          </w:p>
        </w:tc>
        <w:tc>
          <w:tcPr>
            <w:tcW w:w="606" w:type="pct"/>
            <w:shd w:val="clear" w:color="auto" w:fill="auto"/>
            <w:vAlign w:val="center"/>
            <w:hideMark/>
          </w:tcPr>
          <w:p w14:paraId="6EF48362"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0,47</w:t>
            </w:r>
            <w:r>
              <w:rPr>
                <w:rFonts w:ascii="Arial" w:eastAsia="Times New Roman" w:hAnsi="Arial" w:cs="Arial"/>
                <w:color w:val="000000"/>
                <w:sz w:val="18"/>
                <w:szCs w:val="18"/>
                <w:lang w:eastAsia="sl-SI"/>
              </w:rPr>
              <w:t xml:space="preserve"> %</w:t>
            </w:r>
          </w:p>
        </w:tc>
        <w:tc>
          <w:tcPr>
            <w:tcW w:w="606" w:type="pct"/>
            <w:shd w:val="clear" w:color="auto" w:fill="auto"/>
            <w:vAlign w:val="center"/>
            <w:hideMark/>
          </w:tcPr>
          <w:p w14:paraId="35613652"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1,22</w:t>
            </w:r>
            <w:r>
              <w:rPr>
                <w:rFonts w:ascii="Arial" w:eastAsia="Times New Roman" w:hAnsi="Arial" w:cs="Arial"/>
                <w:color w:val="000000"/>
                <w:sz w:val="18"/>
                <w:szCs w:val="18"/>
                <w:lang w:eastAsia="sl-SI"/>
              </w:rPr>
              <w:t xml:space="preserve"> %</w:t>
            </w:r>
          </w:p>
        </w:tc>
        <w:tc>
          <w:tcPr>
            <w:tcW w:w="529" w:type="pct"/>
            <w:shd w:val="clear" w:color="auto" w:fill="auto"/>
            <w:vAlign w:val="center"/>
            <w:hideMark/>
          </w:tcPr>
          <w:p w14:paraId="6D6DBB08"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1,57</w:t>
            </w:r>
            <w:r>
              <w:rPr>
                <w:rFonts w:ascii="Arial" w:eastAsia="Times New Roman" w:hAnsi="Arial" w:cs="Arial"/>
                <w:color w:val="000000"/>
                <w:sz w:val="18"/>
                <w:szCs w:val="18"/>
                <w:lang w:eastAsia="sl-SI"/>
              </w:rPr>
              <w:t xml:space="preserve"> %</w:t>
            </w:r>
          </w:p>
        </w:tc>
        <w:tc>
          <w:tcPr>
            <w:tcW w:w="582" w:type="pct"/>
            <w:shd w:val="clear" w:color="auto" w:fill="auto"/>
            <w:vAlign w:val="center"/>
            <w:hideMark/>
          </w:tcPr>
          <w:p w14:paraId="25AD1A8B"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4,63</w:t>
            </w:r>
            <w:r>
              <w:rPr>
                <w:rFonts w:ascii="Arial" w:eastAsia="Times New Roman" w:hAnsi="Arial" w:cs="Arial"/>
                <w:color w:val="000000"/>
                <w:sz w:val="18"/>
                <w:szCs w:val="18"/>
                <w:lang w:eastAsia="sl-SI"/>
              </w:rPr>
              <w:t xml:space="preserve"> %</w:t>
            </w:r>
          </w:p>
        </w:tc>
      </w:tr>
      <w:tr w:rsidR="00E3750C" w:rsidRPr="007B0121" w14:paraId="29483C3D" w14:textId="77777777" w:rsidTr="00047864">
        <w:trPr>
          <w:trHeight w:val="495"/>
        </w:trPr>
        <w:tc>
          <w:tcPr>
            <w:tcW w:w="1464" w:type="pct"/>
            <w:shd w:val="clear" w:color="auto" w:fill="auto"/>
            <w:vAlign w:val="center"/>
            <w:hideMark/>
          </w:tcPr>
          <w:p w14:paraId="3A14F9A5" w14:textId="77777777" w:rsidR="00E3750C" w:rsidRPr="007B0121" w:rsidRDefault="00E3750C" w:rsidP="00047864">
            <w:pPr>
              <w:spacing w:after="0" w:line="240" w:lineRule="auto"/>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20 = Vrtnarske storitve, kmetijski in drugi proizvodi ter oprema in stroji za vrtnarjenje</w:t>
            </w:r>
          </w:p>
        </w:tc>
        <w:tc>
          <w:tcPr>
            <w:tcW w:w="591" w:type="pct"/>
            <w:shd w:val="clear" w:color="auto" w:fill="auto"/>
            <w:vAlign w:val="center"/>
            <w:hideMark/>
          </w:tcPr>
          <w:p w14:paraId="51B9F599"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27</w:t>
            </w:r>
          </w:p>
        </w:tc>
        <w:tc>
          <w:tcPr>
            <w:tcW w:w="623" w:type="pct"/>
            <w:shd w:val="clear" w:color="auto" w:fill="auto"/>
            <w:vAlign w:val="center"/>
            <w:hideMark/>
          </w:tcPr>
          <w:p w14:paraId="660FD36F"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66.788.696</w:t>
            </w:r>
          </w:p>
        </w:tc>
        <w:tc>
          <w:tcPr>
            <w:tcW w:w="606" w:type="pct"/>
            <w:shd w:val="clear" w:color="auto" w:fill="auto"/>
            <w:vAlign w:val="center"/>
            <w:hideMark/>
          </w:tcPr>
          <w:p w14:paraId="082F35E6"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0,16</w:t>
            </w:r>
            <w:r>
              <w:rPr>
                <w:rFonts w:ascii="Arial" w:eastAsia="Times New Roman" w:hAnsi="Arial" w:cs="Arial"/>
                <w:color w:val="000000"/>
                <w:sz w:val="18"/>
                <w:szCs w:val="18"/>
                <w:lang w:eastAsia="sl-SI"/>
              </w:rPr>
              <w:t xml:space="preserve"> %</w:t>
            </w:r>
          </w:p>
        </w:tc>
        <w:tc>
          <w:tcPr>
            <w:tcW w:w="606" w:type="pct"/>
            <w:shd w:val="clear" w:color="auto" w:fill="auto"/>
            <w:vAlign w:val="center"/>
            <w:hideMark/>
          </w:tcPr>
          <w:p w14:paraId="1633739A"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1,23</w:t>
            </w:r>
            <w:r>
              <w:rPr>
                <w:rFonts w:ascii="Arial" w:eastAsia="Times New Roman" w:hAnsi="Arial" w:cs="Arial"/>
                <w:color w:val="000000"/>
                <w:sz w:val="18"/>
                <w:szCs w:val="18"/>
                <w:lang w:eastAsia="sl-SI"/>
              </w:rPr>
              <w:t xml:space="preserve"> %</w:t>
            </w:r>
          </w:p>
        </w:tc>
        <w:tc>
          <w:tcPr>
            <w:tcW w:w="529" w:type="pct"/>
            <w:shd w:val="clear" w:color="auto" w:fill="auto"/>
            <w:vAlign w:val="center"/>
            <w:hideMark/>
          </w:tcPr>
          <w:p w14:paraId="4EE69384"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0,52</w:t>
            </w:r>
            <w:r>
              <w:rPr>
                <w:rFonts w:ascii="Arial" w:eastAsia="Times New Roman" w:hAnsi="Arial" w:cs="Arial"/>
                <w:color w:val="000000"/>
                <w:sz w:val="18"/>
                <w:szCs w:val="18"/>
                <w:lang w:eastAsia="sl-SI"/>
              </w:rPr>
              <w:t xml:space="preserve"> %</w:t>
            </w:r>
          </w:p>
        </w:tc>
        <w:tc>
          <w:tcPr>
            <w:tcW w:w="582" w:type="pct"/>
            <w:shd w:val="clear" w:color="auto" w:fill="auto"/>
            <w:vAlign w:val="center"/>
            <w:hideMark/>
          </w:tcPr>
          <w:p w14:paraId="7EB60E1C"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4,69</w:t>
            </w:r>
            <w:r>
              <w:rPr>
                <w:rFonts w:ascii="Arial" w:eastAsia="Times New Roman" w:hAnsi="Arial" w:cs="Arial"/>
                <w:color w:val="000000"/>
                <w:sz w:val="18"/>
                <w:szCs w:val="18"/>
                <w:lang w:eastAsia="sl-SI"/>
              </w:rPr>
              <w:t xml:space="preserve"> %</w:t>
            </w:r>
          </w:p>
        </w:tc>
      </w:tr>
      <w:tr w:rsidR="00E3750C" w:rsidRPr="007B0121" w14:paraId="7980D44F" w14:textId="77777777" w:rsidTr="00047864">
        <w:trPr>
          <w:trHeight w:val="315"/>
        </w:trPr>
        <w:tc>
          <w:tcPr>
            <w:tcW w:w="1464" w:type="pct"/>
            <w:shd w:val="clear" w:color="auto" w:fill="auto"/>
            <w:vAlign w:val="center"/>
            <w:hideMark/>
          </w:tcPr>
          <w:p w14:paraId="533BB192" w14:textId="77777777" w:rsidR="00E3750C" w:rsidRPr="007B0121" w:rsidRDefault="00E3750C" w:rsidP="00047864">
            <w:pPr>
              <w:spacing w:after="0" w:line="240" w:lineRule="auto"/>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21 = Stavbno pohištvo</w:t>
            </w:r>
          </w:p>
        </w:tc>
        <w:tc>
          <w:tcPr>
            <w:tcW w:w="591" w:type="pct"/>
            <w:shd w:val="clear" w:color="auto" w:fill="auto"/>
            <w:vAlign w:val="center"/>
            <w:hideMark/>
          </w:tcPr>
          <w:p w14:paraId="34181DD5"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91</w:t>
            </w:r>
          </w:p>
        </w:tc>
        <w:tc>
          <w:tcPr>
            <w:tcW w:w="623" w:type="pct"/>
            <w:shd w:val="clear" w:color="auto" w:fill="auto"/>
            <w:noWrap/>
            <w:vAlign w:val="center"/>
            <w:hideMark/>
          </w:tcPr>
          <w:p w14:paraId="1C3D4E85"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160.438.891</w:t>
            </w:r>
          </w:p>
        </w:tc>
        <w:tc>
          <w:tcPr>
            <w:tcW w:w="606" w:type="pct"/>
            <w:shd w:val="clear" w:color="auto" w:fill="auto"/>
            <w:vAlign w:val="center"/>
            <w:hideMark/>
          </w:tcPr>
          <w:p w14:paraId="76FA0B7F"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0,53</w:t>
            </w:r>
            <w:r>
              <w:rPr>
                <w:rFonts w:ascii="Arial" w:eastAsia="Times New Roman" w:hAnsi="Arial" w:cs="Arial"/>
                <w:color w:val="000000"/>
                <w:sz w:val="18"/>
                <w:szCs w:val="18"/>
                <w:lang w:eastAsia="sl-SI"/>
              </w:rPr>
              <w:t xml:space="preserve"> %</w:t>
            </w:r>
          </w:p>
        </w:tc>
        <w:tc>
          <w:tcPr>
            <w:tcW w:w="606" w:type="pct"/>
            <w:shd w:val="clear" w:color="auto" w:fill="auto"/>
            <w:vAlign w:val="center"/>
            <w:hideMark/>
          </w:tcPr>
          <w:p w14:paraId="7197F667"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2,96</w:t>
            </w:r>
            <w:r>
              <w:rPr>
                <w:rFonts w:ascii="Arial" w:eastAsia="Times New Roman" w:hAnsi="Arial" w:cs="Arial"/>
                <w:color w:val="000000"/>
                <w:sz w:val="18"/>
                <w:szCs w:val="18"/>
                <w:lang w:eastAsia="sl-SI"/>
              </w:rPr>
              <w:t xml:space="preserve"> %</w:t>
            </w:r>
          </w:p>
        </w:tc>
        <w:tc>
          <w:tcPr>
            <w:tcW w:w="529" w:type="pct"/>
            <w:shd w:val="clear" w:color="auto" w:fill="auto"/>
            <w:vAlign w:val="center"/>
            <w:hideMark/>
          </w:tcPr>
          <w:p w14:paraId="6DD4C394"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1,76</w:t>
            </w:r>
            <w:r>
              <w:rPr>
                <w:rFonts w:ascii="Arial" w:eastAsia="Times New Roman" w:hAnsi="Arial" w:cs="Arial"/>
                <w:color w:val="000000"/>
                <w:sz w:val="18"/>
                <w:szCs w:val="18"/>
                <w:lang w:eastAsia="sl-SI"/>
              </w:rPr>
              <w:t xml:space="preserve"> %</w:t>
            </w:r>
          </w:p>
        </w:tc>
        <w:tc>
          <w:tcPr>
            <w:tcW w:w="582" w:type="pct"/>
            <w:shd w:val="clear" w:color="auto" w:fill="auto"/>
            <w:vAlign w:val="center"/>
            <w:hideMark/>
          </w:tcPr>
          <w:p w14:paraId="165FEFD7" w14:textId="77777777" w:rsidR="00E3750C" w:rsidRPr="007B0121" w:rsidRDefault="00E3750C" w:rsidP="00047864">
            <w:pPr>
              <w:spacing w:after="0" w:line="240" w:lineRule="auto"/>
              <w:jc w:val="right"/>
              <w:rPr>
                <w:rFonts w:ascii="Arial" w:eastAsia="Times New Roman" w:hAnsi="Arial" w:cs="Arial"/>
                <w:color w:val="000000"/>
                <w:sz w:val="18"/>
                <w:szCs w:val="18"/>
                <w:lang w:eastAsia="sl-SI"/>
              </w:rPr>
            </w:pPr>
            <w:r w:rsidRPr="007B0121">
              <w:rPr>
                <w:rFonts w:ascii="Arial" w:eastAsia="Times New Roman" w:hAnsi="Arial" w:cs="Arial"/>
                <w:color w:val="000000"/>
                <w:sz w:val="18"/>
                <w:szCs w:val="18"/>
                <w:lang w:eastAsia="sl-SI"/>
              </w:rPr>
              <w:t>11,28</w:t>
            </w:r>
            <w:r>
              <w:rPr>
                <w:rFonts w:ascii="Arial" w:eastAsia="Times New Roman" w:hAnsi="Arial" w:cs="Arial"/>
                <w:color w:val="000000"/>
                <w:sz w:val="18"/>
                <w:szCs w:val="18"/>
                <w:lang w:eastAsia="sl-SI"/>
              </w:rPr>
              <w:t xml:space="preserve"> %</w:t>
            </w:r>
          </w:p>
        </w:tc>
      </w:tr>
    </w:tbl>
    <w:p w14:paraId="5E5DC64B" w14:textId="77777777" w:rsidR="00E3750C" w:rsidRPr="00BF7302" w:rsidRDefault="00E3750C" w:rsidP="00E3750C">
      <w:pPr>
        <w:spacing w:after="0" w:line="240" w:lineRule="auto"/>
        <w:rPr>
          <w:rFonts w:ascii="Arial" w:hAnsi="Arial" w:cs="Arial"/>
          <w:sz w:val="20"/>
          <w:szCs w:val="20"/>
          <w:highlight w:val="yellow"/>
        </w:rPr>
      </w:pPr>
    </w:p>
    <w:p w14:paraId="4E8D2527" w14:textId="77777777" w:rsidR="00E3750C" w:rsidRPr="00521270" w:rsidRDefault="00E3750C" w:rsidP="00E3750C">
      <w:pPr>
        <w:spacing w:before="120" w:after="0" w:line="240" w:lineRule="auto"/>
        <w:rPr>
          <w:rFonts w:ascii="Arial" w:hAnsi="Arial" w:cs="Arial"/>
          <w:sz w:val="20"/>
        </w:rPr>
      </w:pPr>
      <w:r w:rsidRPr="00521270">
        <w:rPr>
          <w:rFonts w:ascii="Arial" w:hAnsi="Arial" w:cs="Arial"/>
          <w:sz w:val="20"/>
          <w:szCs w:val="20"/>
        </w:rPr>
        <w:t>Preglednica 10</w:t>
      </w:r>
      <w:r>
        <w:rPr>
          <w:rFonts w:ascii="Arial" w:hAnsi="Arial" w:cs="Arial"/>
          <w:sz w:val="20"/>
          <w:szCs w:val="20"/>
        </w:rPr>
        <w:t>0</w:t>
      </w:r>
      <w:r w:rsidRPr="00521270">
        <w:rPr>
          <w:rFonts w:ascii="Arial" w:hAnsi="Arial" w:cs="Arial"/>
          <w:sz w:val="20"/>
          <w:szCs w:val="20"/>
        </w:rPr>
        <w:t xml:space="preserve">: </w:t>
      </w:r>
      <w:r w:rsidRPr="00521270">
        <w:rPr>
          <w:rFonts w:ascii="Arial" w:hAnsi="Arial" w:cs="Arial"/>
          <w:sz w:val="20"/>
        </w:rPr>
        <w:t>Število in vrednosti ter deleži zelenih naročil glede na vrste postopkov</w:t>
      </w:r>
    </w:p>
    <w:p w14:paraId="17D73751" w14:textId="77777777" w:rsidR="00E3750C" w:rsidRPr="00521270" w:rsidRDefault="00E3750C" w:rsidP="00E3750C">
      <w:pPr>
        <w:spacing w:after="0" w:line="240" w:lineRule="auto"/>
        <w:rPr>
          <w:rFonts w:ascii="Arial" w:hAnsi="Arial" w:cs="Arial"/>
          <w:sz w:val="20"/>
        </w:rPr>
      </w:pPr>
    </w:p>
    <w:tbl>
      <w:tblPr>
        <w:tblW w:w="5000" w:type="pct"/>
        <w:tblCellMar>
          <w:left w:w="70" w:type="dxa"/>
          <w:right w:w="70" w:type="dxa"/>
        </w:tblCellMar>
        <w:tblLook w:val="04A0" w:firstRow="1" w:lastRow="0" w:firstColumn="1" w:lastColumn="0" w:noHBand="0" w:noVBand="1"/>
      </w:tblPr>
      <w:tblGrid>
        <w:gridCol w:w="3184"/>
        <w:gridCol w:w="1224"/>
        <w:gridCol w:w="1292"/>
        <w:gridCol w:w="901"/>
        <w:gridCol w:w="901"/>
        <w:gridCol w:w="801"/>
        <w:gridCol w:w="871"/>
      </w:tblGrid>
      <w:tr w:rsidR="00E3750C" w:rsidRPr="00521270" w14:paraId="25EABBE5" w14:textId="77777777" w:rsidTr="00047864">
        <w:trPr>
          <w:trHeight w:val="960"/>
        </w:trPr>
        <w:tc>
          <w:tcPr>
            <w:tcW w:w="1777"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3671D25A" w14:textId="77777777" w:rsidR="00E3750C" w:rsidRPr="00521270" w:rsidRDefault="00E3750C" w:rsidP="00047864">
            <w:pPr>
              <w:spacing w:after="0" w:line="240" w:lineRule="auto"/>
              <w:jc w:val="center"/>
              <w:rPr>
                <w:rFonts w:ascii="Arial" w:eastAsia="Times New Roman" w:hAnsi="Arial" w:cs="Arial"/>
                <w:color w:val="000000"/>
                <w:sz w:val="18"/>
                <w:szCs w:val="18"/>
                <w:lang w:eastAsia="sl-SI"/>
              </w:rPr>
            </w:pPr>
            <w:r w:rsidRPr="00521270">
              <w:rPr>
                <w:rFonts w:ascii="Arial" w:eastAsia="Times New Roman" w:hAnsi="Arial" w:cs="Arial"/>
                <w:color w:val="000000"/>
                <w:sz w:val="18"/>
                <w:szCs w:val="18"/>
                <w:lang w:eastAsia="sl-SI"/>
              </w:rPr>
              <w:t>Vrsta postopka</w:t>
            </w:r>
          </w:p>
        </w:tc>
        <w:tc>
          <w:tcPr>
            <w:tcW w:w="708" w:type="pct"/>
            <w:tcBorders>
              <w:top w:val="single" w:sz="4" w:space="0" w:color="auto"/>
              <w:left w:val="nil"/>
              <w:bottom w:val="single" w:sz="4" w:space="0" w:color="auto"/>
              <w:right w:val="single" w:sz="4" w:space="0" w:color="auto"/>
            </w:tcBorders>
            <w:shd w:val="clear" w:color="000000" w:fill="F2F2F2"/>
            <w:vAlign w:val="center"/>
            <w:hideMark/>
          </w:tcPr>
          <w:p w14:paraId="479F9BD0" w14:textId="77777777" w:rsidR="00E3750C" w:rsidRPr="00521270" w:rsidRDefault="00E3750C" w:rsidP="00047864">
            <w:pPr>
              <w:spacing w:after="0" w:line="240" w:lineRule="auto"/>
              <w:jc w:val="center"/>
              <w:rPr>
                <w:rFonts w:ascii="Arial" w:eastAsia="Times New Roman" w:hAnsi="Arial" w:cs="Arial"/>
                <w:color w:val="000000"/>
                <w:sz w:val="18"/>
                <w:szCs w:val="18"/>
                <w:lang w:eastAsia="sl-SI"/>
              </w:rPr>
            </w:pPr>
            <w:r w:rsidRPr="00521270">
              <w:rPr>
                <w:rFonts w:ascii="Arial" w:eastAsia="Times New Roman" w:hAnsi="Arial" w:cs="Arial"/>
                <w:color w:val="000000"/>
                <w:sz w:val="18"/>
                <w:szCs w:val="18"/>
                <w:lang w:eastAsia="sl-SI"/>
              </w:rPr>
              <w:t>Št. zelenih naročil</w:t>
            </w:r>
          </w:p>
        </w:tc>
        <w:tc>
          <w:tcPr>
            <w:tcW w:w="622" w:type="pct"/>
            <w:tcBorders>
              <w:top w:val="single" w:sz="4" w:space="0" w:color="auto"/>
              <w:left w:val="nil"/>
              <w:bottom w:val="single" w:sz="4" w:space="0" w:color="auto"/>
              <w:right w:val="single" w:sz="4" w:space="0" w:color="auto"/>
            </w:tcBorders>
            <w:shd w:val="clear" w:color="000000" w:fill="F2F2F2"/>
            <w:vAlign w:val="center"/>
            <w:hideMark/>
          </w:tcPr>
          <w:p w14:paraId="51296197" w14:textId="77777777" w:rsidR="00E3750C" w:rsidRPr="00521270" w:rsidRDefault="00E3750C" w:rsidP="00047864">
            <w:pPr>
              <w:spacing w:after="0" w:line="240" w:lineRule="auto"/>
              <w:jc w:val="center"/>
              <w:rPr>
                <w:rFonts w:ascii="Arial" w:eastAsia="Times New Roman" w:hAnsi="Arial" w:cs="Arial"/>
                <w:color w:val="000000"/>
                <w:sz w:val="18"/>
                <w:szCs w:val="18"/>
                <w:lang w:eastAsia="sl-SI"/>
              </w:rPr>
            </w:pPr>
            <w:r w:rsidRPr="00521270">
              <w:rPr>
                <w:rFonts w:ascii="Arial" w:eastAsia="Times New Roman" w:hAnsi="Arial" w:cs="Arial"/>
                <w:color w:val="000000"/>
                <w:sz w:val="18"/>
                <w:szCs w:val="18"/>
                <w:lang w:eastAsia="sl-SI"/>
              </w:rPr>
              <w:t>Pogodbena vrednost</w:t>
            </w:r>
          </w:p>
        </w:tc>
        <w:tc>
          <w:tcPr>
            <w:tcW w:w="491" w:type="pct"/>
            <w:tcBorders>
              <w:top w:val="single" w:sz="4" w:space="0" w:color="auto"/>
              <w:left w:val="nil"/>
              <w:bottom w:val="single" w:sz="4" w:space="0" w:color="auto"/>
              <w:right w:val="single" w:sz="4" w:space="0" w:color="auto"/>
            </w:tcBorders>
            <w:shd w:val="clear" w:color="000000" w:fill="F2F2F2"/>
            <w:vAlign w:val="center"/>
            <w:hideMark/>
          </w:tcPr>
          <w:p w14:paraId="3B91AE54" w14:textId="77777777" w:rsidR="00E3750C" w:rsidRPr="00521270" w:rsidRDefault="00E3750C" w:rsidP="00047864">
            <w:pPr>
              <w:spacing w:after="0" w:line="240" w:lineRule="auto"/>
              <w:jc w:val="center"/>
              <w:rPr>
                <w:rFonts w:ascii="Arial" w:eastAsia="Times New Roman" w:hAnsi="Arial" w:cs="Arial"/>
                <w:color w:val="000000"/>
                <w:sz w:val="18"/>
                <w:szCs w:val="18"/>
                <w:lang w:eastAsia="sl-SI"/>
              </w:rPr>
            </w:pPr>
            <w:r w:rsidRPr="00521270">
              <w:rPr>
                <w:rFonts w:ascii="Arial" w:eastAsia="Times New Roman" w:hAnsi="Arial" w:cs="Arial"/>
                <w:color w:val="000000"/>
                <w:sz w:val="18"/>
                <w:szCs w:val="18"/>
                <w:lang w:eastAsia="sl-SI"/>
              </w:rPr>
              <w:t>Delež v št. zelenih naročil</w:t>
            </w:r>
          </w:p>
        </w:tc>
        <w:tc>
          <w:tcPr>
            <w:tcW w:w="491" w:type="pct"/>
            <w:tcBorders>
              <w:top w:val="single" w:sz="4" w:space="0" w:color="auto"/>
              <w:left w:val="nil"/>
              <w:bottom w:val="single" w:sz="4" w:space="0" w:color="auto"/>
              <w:right w:val="single" w:sz="4" w:space="0" w:color="auto"/>
            </w:tcBorders>
            <w:shd w:val="clear" w:color="000000" w:fill="F2F2F2"/>
            <w:vAlign w:val="center"/>
            <w:hideMark/>
          </w:tcPr>
          <w:p w14:paraId="5ED9A980" w14:textId="77777777" w:rsidR="00E3750C" w:rsidRPr="00521270" w:rsidRDefault="00E3750C" w:rsidP="00047864">
            <w:pPr>
              <w:spacing w:after="0" w:line="240" w:lineRule="auto"/>
              <w:jc w:val="center"/>
              <w:rPr>
                <w:rFonts w:ascii="Arial" w:eastAsia="Times New Roman" w:hAnsi="Arial" w:cs="Arial"/>
                <w:color w:val="000000"/>
                <w:sz w:val="18"/>
                <w:szCs w:val="18"/>
                <w:lang w:eastAsia="sl-SI"/>
              </w:rPr>
            </w:pPr>
            <w:r w:rsidRPr="00521270">
              <w:rPr>
                <w:rFonts w:ascii="Arial" w:eastAsia="Times New Roman" w:hAnsi="Arial" w:cs="Arial"/>
                <w:color w:val="000000"/>
                <w:sz w:val="18"/>
                <w:szCs w:val="18"/>
                <w:lang w:eastAsia="sl-SI"/>
              </w:rPr>
              <w:t xml:space="preserve">Delež v vrednosti zelenih naročil </w:t>
            </w:r>
          </w:p>
        </w:tc>
        <w:tc>
          <w:tcPr>
            <w:tcW w:w="437" w:type="pct"/>
            <w:tcBorders>
              <w:top w:val="single" w:sz="4" w:space="0" w:color="auto"/>
              <w:left w:val="nil"/>
              <w:bottom w:val="single" w:sz="4" w:space="0" w:color="auto"/>
              <w:right w:val="single" w:sz="4" w:space="0" w:color="auto"/>
            </w:tcBorders>
            <w:shd w:val="clear" w:color="000000" w:fill="F2F2F2"/>
            <w:vAlign w:val="center"/>
            <w:hideMark/>
          </w:tcPr>
          <w:p w14:paraId="5F487D4C" w14:textId="77777777" w:rsidR="00E3750C" w:rsidRPr="00521270" w:rsidRDefault="00E3750C" w:rsidP="00047864">
            <w:pPr>
              <w:spacing w:after="0" w:line="240" w:lineRule="auto"/>
              <w:jc w:val="center"/>
              <w:rPr>
                <w:rFonts w:ascii="Arial" w:eastAsia="Times New Roman" w:hAnsi="Arial" w:cs="Arial"/>
                <w:color w:val="000000"/>
                <w:sz w:val="18"/>
                <w:szCs w:val="18"/>
                <w:lang w:eastAsia="sl-SI"/>
              </w:rPr>
            </w:pPr>
            <w:r w:rsidRPr="00521270">
              <w:rPr>
                <w:rFonts w:ascii="Arial" w:eastAsia="Times New Roman" w:hAnsi="Arial" w:cs="Arial"/>
                <w:color w:val="000000"/>
                <w:sz w:val="18"/>
                <w:szCs w:val="18"/>
                <w:lang w:eastAsia="sl-SI"/>
              </w:rPr>
              <w:t>Delež v št. vseh naročil</w:t>
            </w:r>
          </w:p>
        </w:tc>
        <w:tc>
          <w:tcPr>
            <w:tcW w:w="475" w:type="pct"/>
            <w:tcBorders>
              <w:top w:val="single" w:sz="4" w:space="0" w:color="auto"/>
              <w:left w:val="nil"/>
              <w:bottom w:val="single" w:sz="4" w:space="0" w:color="auto"/>
              <w:right w:val="single" w:sz="4" w:space="0" w:color="auto"/>
            </w:tcBorders>
            <w:shd w:val="clear" w:color="000000" w:fill="F2F2F2"/>
            <w:vAlign w:val="center"/>
            <w:hideMark/>
          </w:tcPr>
          <w:p w14:paraId="7AFBB8BA" w14:textId="77777777" w:rsidR="00E3750C" w:rsidRPr="00521270" w:rsidRDefault="00E3750C" w:rsidP="00047864">
            <w:pPr>
              <w:spacing w:after="0" w:line="240" w:lineRule="auto"/>
              <w:jc w:val="center"/>
              <w:rPr>
                <w:rFonts w:ascii="Arial" w:eastAsia="Times New Roman" w:hAnsi="Arial" w:cs="Arial"/>
                <w:color w:val="000000"/>
                <w:sz w:val="18"/>
                <w:szCs w:val="18"/>
                <w:lang w:eastAsia="sl-SI"/>
              </w:rPr>
            </w:pPr>
            <w:r w:rsidRPr="00521270">
              <w:rPr>
                <w:rFonts w:ascii="Arial" w:eastAsia="Times New Roman" w:hAnsi="Arial" w:cs="Arial"/>
                <w:color w:val="000000"/>
                <w:sz w:val="18"/>
                <w:szCs w:val="18"/>
                <w:lang w:eastAsia="sl-SI"/>
              </w:rPr>
              <w:t>Delež v vrednosti vseh naročil</w:t>
            </w:r>
          </w:p>
        </w:tc>
      </w:tr>
      <w:tr w:rsidR="00E3750C" w:rsidRPr="00521270" w14:paraId="01A220AE" w14:textId="77777777" w:rsidTr="00047864">
        <w:trPr>
          <w:trHeight w:val="300"/>
        </w:trPr>
        <w:tc>
          <w:tcPr>
            <w:tcW w:w="1777" w:type="pct"/>
            <w:tcBorders>
              <w:top w:val="nil"/>
              <w:left w:val="single" w:sz="4" w:space="0" w:color="auto"/>
              <w:bottom w:val="single" w:sz="4" w:space="0" w:color="auto"/>
              <w:right w:val="single" w:sz="4" w:space="0" w:color="auto"/>
            </w:tcBorders>
            <w:shd w:val="clear" w:color="auto" w:fill="auto"/>
            <w:vAlign w:val="center"/>
            <w:hideMark/>
          </w:tcPr>
          <w:p w14:paraId="393711A4" w14:textId="77777777" w:rsidR="00E3750C" w:rsidRPr="00521270" w:rsidRDefault="00E3750C" w:rsidP="00047864">
            <w:pPr>
              <w:spacing w:after="0" w:line="240" w:lineRule="auto"/>
              <w:rPr>
                <w:rFonts w:ascii="Arial" w:eastAsia="Times New Roman" w:hAnsi="Arial" w:cs="Arial"/>
                <w:color w:val="000000"/>
                <w:sz w:val="18"/>
                <w:szCs w:val="18"/>
                <w:lang w:eastAsia="sl-SI"/>
              </w:rPr>
            </w:pPr>
            <w:r w:rsidRPr="00521270">
              <w:rPr>
                <w:rFonts w:ascii="Arial" w:eastAsia="Times New Roman" w:hAnsi="Arial" w:cs="Arial"/>
                <w:color w:val="000000"/>
                <w:sz w:val="18"/>
                <w:szCs w:val="18"/>
                <w:lang w:eastAsia="sl-SI"/>
              </w:rPr>
              <w:t>Konkurenčni dialog</w:t>
            </w:r>
          </w:p>
        </w:tc>
        <w:tc>
          <w:tcPr>
            <w:tcW w:w="708" w:type="pct"/>
            <w:tcBorders>
              <w:top w:val="nil"/>
              <w:left w:val="nil"/>
              <w:bottom w:val="single" w:sz="4" w:space="0" w:color="auto"/>
              <w:right w:val="single" w:sz="4" w:space="0" w:color="auto"/>
            </w:tcBorders>
            <w:shd w:val="clear" w:color="auto" w:fill="auto"/>
            <w:vAlign w:val="center"/>
            <w:hideMark/>
          </w:tcPr>
          <w:p w14:paraId="10AC8511" w14:textId="77777777" w:rsidR="00E3750C" w:rsidRPr="00521270" w:rsidRDefault="00E3750C" w:rsidP="00047864">
            <w:pPr>
              <w:spacing w:after="0" w:line="240" w:lineRule="auto"/>
              <w:jc w:val="right"/>
              <w:rPr>
                <w:rFonts w:ascii="Arial" w:eastAsia="Times New Roman" w:hAnsi="Arial" w:cs="Arial"/>
                <w:color w:val="000000"/>
                <w:sz w:val="18"/>
                <w:szCs w:val="18"/>
                <w:lang w:eastAsia="sl-SI"/>
              </w:rPr>
            </w:pPr>
            <w:r w:rsidRPr="00521270">
              <w:rPr>
                <w:rFonts w:ascii="Arial" w:hAnsi="Arial" w:cs="Arial"/>
                <w:color w:val="000000"/>
                <w:sz w:val="18"/>
                <w:szCs w:val="18"/>
              </w:rPr>
              <w:t>13</w:t>
            </w:r>
          </w:p>
        </w:tc>
        <w:tc>
          <w:tcPr>
            <w:tcW w:w="622" w:type="pct"/>
            <w:tcBorders>
              <w:top w:val="nil"/>
              <w:left w:val="nil"/>
              <w:bottom w:val="single" w:sz="4" w:space="0" w:color="auto"/>
              <w:right w:val="single" w:sz="4" w:space="0" w:color="auto"/>
            </w:tcBorders>
            <w:shd w:val="clear" w:color="auto" w:fill="auto"/>
            <w:vAlign w:val="center"/>
            <w:hideMark/>
          </w:tcPr>
          <w:p w14:paraId="45799167" w14:textId="77777777" w:rsidR="00E3750C" w:rsidRPr="00521270" w:rsidRDefault="00E3750C" w:rsidP="00047864">
            <w:pPr>
              <w:spacing w:after="0" w:line="240" w:lineRule="auto"/>
              <w:jc w:val="right"/>
              <w:rPr>
                <w:rFonts w:ascii="Arial" w:eastAsia="Times New Roman" w:hAnsi="Arial" w:cs="Arial"/>
                <w:color w:val="000000"/>
                <w:sz w:val="18"/>
                <w:szCs w:val="18"/>
                <w:lang w:eastAsia="sl-SI"/>
              </w:rPr>
            </w:pPr>
            <w:r w:rsidRPr="00521270">
              <w:rPr>
                <w:rFonts w:ascii="Arial" w:hAnsi="Arial" w:cs="Arial"/>
                <w:color w:val="000000"/>
                <w:sz w:val="18"/>
                <w:szCs w:val="18"/>
              </w:rPr>
              <w:t>16.395.423</w:t>
            </w:r>
          </w:p>
        </w:tc>
        <w:tc>
          <w:tcPr>
            <w:tcW w:w="491" w:type="pct"/>
            <w:tcBorders>
              <w:top w:val="nil"/>
              <w:left w:val="nil"/>
              <w:bottom w:val="single" w:sz="4" w:space="0" w:color="auto"/>
              <w:right w:val="single" w:sz="4" w:space="0" w:color="auto"/>
            </w:tcBorders>
            <w:shd w:val="clear" w:color="auto" w:fill="auto"/>
            <w:noWrap/>
            <w:vAlign w:val="center"/>
            <w:hideMark/>
          </w:tcPr>
          <w:p w14:paraId="63CBE70B" w14:textId="77777777" w:rsidR="00E3750C" w:rsidRPr="00521270" w:rsidRDefault="00E3750C" w:rsidP="00047864">
            <w:pPr>
              <w:spacing w:after="0" w:line="240" w:lineRule="auto"/>
              <w:jc w:val="right"/>
              <w:rPr>
                <w:rFonts w:ascii="Arial" w:eastAsia="Times New Roman" w:hAnsi="Arial" w:cs="Arial"/>
                <w:color w:val="000000"/>
                <w:sz w:val="18"/>
                <w:szCs w:val="18"/>
                <w:lang w:eastAsia="sl-SI"/>
              </w:rPr>
            </w:pPr>
            <w:r w:rsidRPr="00521270">
              <w:rPr>
                <w:rFonts w:ascii="Arial" w:hAnsi="Arial" w:cs="Arial"/>
                <w:color w:val="000000"/>
                <w:sz w:val="18"/>
                <w:szCs w:val="18"/>
              </w:rPr>
              <w:t>0,25 %</w:t>
            </w:r>
          </w:p>
        </w:tc>
        <w:tc>
          <w:tcPr>
            <w:tcW w:w="491" w:type="pct"/>
            <w:tcBorders>
              <w:top w:val="nil"/>
              <w:left w:val="nil"/>
              <w:bottom w:val="single" w:sz="4" w:space="0" w:color="auto"/>
              <w:right w:val="single" w:sz="4" w:space="0" w:color="auto"/>
            </w:tcBorders>
            <w:shd w:val="clear" w:color="auto" w:fill="auto"/>
            <w:noWrap/>
            <w:vAlign w:val="center"/>
            <w:hideMark/>
          </w:tcPr>
          <w:p w14:paraId="206B8DE7" w14:textId="77777777" w:rsidR="00E3750C" w:rsidRPr="00521270" w:rsidRDefault="00E3750C" w:rsidP="00047864">
            <w:pPr>
              <w:spacing w:after="0" w:line="240" w:lineRule="auto"/>
              <w:jc w:val="right"/>
              <w:rPr>
                <w:rFonts w:ascii="Arial" w:eastAsia="Times New Roman" w:hAnsi="Arial" w:cs="Arial"/>
                <w:color w:val="000000"/>
                <w:sz w:val="18"/>
                <w:szCs w:val="18"/>
                <w:lang w:eastAsia="sl-SI"/>
              </w:rPr>
            </w:pPr>
            <w:r w:rsidRPr="00521270">
              <w:rPr>
                <w:rFonts w:ascii="Arial" w:hAnsi="Arial" w:cs="Arial"/>
                <w:color w:val="000000"/>
                <w:sz w:val="18"/>
                <w:szCs w:val="18"/>
              </w:rPr>
              <w:t>1,15 %</w:t>
            </w:r>
          </w:p>
        </w:tc>
        <w:tc>
          <w:tcPr>
            <w:tcW w:w="437" w:type="pct"/>
            <w:tcBorders>
              <w:top w:val="nil"/>
              <w:left w:val="nil"/>
              <w:bottom w:val="single" w:sz="4" w:space="0" w:color="auto"/>
              <w:right w:val="single" w:sz="4" w:space="0" w:color="auto"/>
            </w:tcBorders>
            <w:shd w:val="clear" w:color="auto" w:fill="auto"/>
            <w:noWrap/>
            <w:vAlign w:val="center"/>
            <w:hideMark/>
          </w:tcPr>
          <w:p w14:paraId="592FA8E3" w14:textId="77777777" w:rsidR="00E3750C" w:rsidRPr="00521270" w:rsidRDefault="00E3750C" w:rsidP="00047864">
            <w:pPr>
              <w:spacing w:after="0" w:line="240" w:lineRule="auto"/>
              <w:jc w:val="right"/>
              <w:rPr>
                <w:rFonts w:ascii="Arial" w:eastAsia="Times New Roman" w:hAnsi="Arial" w:cs="Arial"/>
                <w:color w:val="000000"/>
                <w:sz w:val="18"/>
                <w:szCs w:val="18"/>
                <w:lang w:eastAsia="sl-SI"/>
              </w:rPr>
            </w:pPr>
            <w:r w:rsidRPr="00521270">
              <w:rPr>
                <w:rFonts w:ascii="Arial" w:hAnsi="Arial" w:cs="Arial"/>
                <w:color w:val="000000"/>
                <w:sz w:val="18"/>
                <w:szCs w:val="18"/>
              </w:rPr>
              <w:t>0,08 %</w:t>
            </w:r>
          </w:p>
        </w:tc>
        <w:tc>
          <w:tcPr>
            <w:tcW w:w="475" w:type="pct"/>
            <w:tcBorders>
              <w:top w:val="nil"/>
              <w:left w:val="nil"/>
              <w:bottom w:val="single" w:sz="4" w:space="0" w:color="auto"/>
              <w:right w:val="single" w:sz="4" w:space="0" w:color="auto"/>
            </w:tcBorders>
            <w:shd w:val="clear" w:color="auto" w:fill="auto"/>
            <w:noWrap/>
            <w:vAlign w:val="center"/>
            <w:hideMark/>
          </w:tcPr>
          <w:p w14:paraId="146F01BB" w14:textId="77777777" w:rsidR="00E3750C" w:rsidRPr="00521270" w:rsidRDefault="00E3750C" w:rsidP="00047864">
            <w:pPr>
              <w:spacing w:after="0" w:line="240" w:lineRule="auto"/>
              <w:jc w:val="right"/>
              <w:rPr>
                <w:rFonts w:ascii="Arial" w:eastAsia="Times New Roman" w:hAnsi="Arial" w:cs="Arial"/>
                <w:color w:val="000000"/>
                <w:sz w:val="18"/>
                <w:szCs w:val="18"/>
                <w:lang w:eastAsia="sl-SI"/>
              </w:rPr>
            </w:pPr>
            <w:r w:rsidRPr="00521270">
              <w:rPr>
                <w:rFonts w:ascii="Arial" w:hAnsi="Arial" w:cs="Arial"/>
                <w:color w:val="000000"/>
                <w:sz w:val="18"/>
                <w:szCs w:val="18"/>
              </w:rPr>
              <w:t>0,30 %</w:t>
            </w:r>
          </w:p>
        </w:tc>
      </w:tr>
      <w:tr w:rsidR="00E3750C" w:rsidRPr="00521270" w14:paraId="083C4B52" w14:textId="77777777" w:rsidTr="00047864">
        <w:trPr>
          <w:trHeight w:val="300"/>
        </w:trPr>
        <w:tc>
          <w:tcPr>
            <w:tcW w:w="1777" w:type="pct"/>
            <w:tcBorders>
              <w:top w:val="nil"/>
              <w:left w:val="single" w:sz="4" w:space="0" w:color="auto"/>
              <w:bottom w:val="single" w:sz="4" w:space="0" w:color="auto"/>
              <w:right w:val="single" w:sz="4" w:space="0" w:color="auto"/>
            </w:tcBorders>
            <w:shd w:val="clear" w:color="auto" w:fill="auto"/>
            <w:vAlign w:val="center"/>
            <w:hideMark/>
          </w:tcPr>
          <w:p w14:paraId="43CC5A19" w14:textId="77777777" w:rsidR="00E3750C" w:rsidRPr="00521270" w:rsidRDefault="00E3750C" w:rsidP="00047864">
            <w:pPr>
              <w:spacing w:after="0" w:line="240" w:lineRule="auto"/>
              <w:rPr>
                <w:rFonts w:ascii="Arial" w:eastAsia="Times New Roman" w:hAnsi="Arial" w:cs="Arial"/>
                <w:color w:val="000000"/>
                <w:sz w:val="18"/>
                <w:szCs w:val="18"/>
                <w:lang w:eastAsia="sl-SI"/>
              </w:rPr>
            </w:pPr>
            <w:r w:rsidRPr="00521270">
              <w:rPr>
                <w:rFonts w:ascii="Arial" w:eastAsia="Times New Roman" w:hAnsi="Arial" w:cs="Arial"/>
                <w:color w:val="000000"/>
                <w:sz w:val="18"/>
                <w:szCs w:val="18"/>
                <w:lang w:eastAsia="sl-SI"/>
              </w:rPr>
              <w:t>Konkurenčni postopek s pogajanji</w:t>
            </w:r>
          </w:p>
        </w:tc>
        <w:tc>
          <w:tcPr>
            <w:tcW w:w="708" w:type="pct"/>
            <w:tcBorders>
              <w:top w:val="nil"/>
              <w:left w:val="nil"/>
              <w:bottom w:val="single" w:sz="4" w:space="0" w:color="auto"/>
              <w:right w:val="single" w:sz="4" w:space="0" w:color="auto"/>
            </w:tcBorders>
            <w:shd w:val="clear" w:color="auto" w:fill="auto"/>
            <w:vAlign w:val="center"/>
            <w:hideMark/>
          </w:tcPr>
          <w:p w14:paraId="11A95557" w14:textId="77777777" w:rsidR="00E3750C" w:rsidRPr="00521270" w:rsidRDefault="00E3750C" w:rsidP="00047864">
            <w:pPr>
              <w:spacing w:after="0" w:line="240" w:lineRule="auto"/>
              <w:jc w:val="right"/>
              <w:rPr>
                <w:rFonts w:ascii="Arial" w:eastAsia="Times New Roman" w:hAnsi="Arial" w:cs="Arial"/>
                <w:color w:val="000000"/>
                <w:sz w:val="18"/>
                <w:szCs w:val="18"/>
                <w:lang w:eastAsia="sl-SI"/>
              </w:rPr>
            </w:pPr>
            <w:r w:rsidRPr="00521270">
              <w:rPr>
                <w:rFonts w:ascii="Arial" w:hAnsi="Arial" w:cs="Arial"/>
                <w:color w:val="000000"/>
                <w:sz w:val="18"/>
                <w:szCs w:val="18"/>
              </w:rPr>
              <w:t>85</w:t>
            </w:r>
          </w:p>
        </w:tc>
        <w:tc>
          <w:tcPr>
            <w:tcW w:w="622" w:type="pct"/>
            <w:tcBorders>
              <w:top w:val="nil"/>
              <w:left w:val="nil"/>
              <w:bottom w:val="single" w:sz="4" w:space="0" w:color="auto"/>
              <w:right w:val="single" w:sz="4" w:space="0" w:color="auto"/>
            </w:tcBorders>
            <w:shd w:val="clear" w:color="auto" w:fill="auto"/>
            <w:vAlign w:val="center"/>
            <w:hideMark/>
          </w:tcPr>
          <w:p w14:paraId="283BAAE5" w14:textId="77777777" w:rsidR="00E3750C" w:rsidRPr="00521270" w:rsidRDefault="00E3750C" w:rsidP="00047864">
            <w:pPr>
              <w:spacing w:after="0" w:line="240" w:lineRule="auto"/>
              <w:jc w:val="right"/>
              <w:rPr>
                <w:rFonts w:ascii="Arial" w:eastAsia="Times New Roman" w:hAnsi="Arial" w:cs="Arial"/>
                <w:color w:val="000000"/>
                <w:sz w:val="18"/>
                <w:szCs w:val="18"/>
                <w:lang w:eastAsia="sl-SI"/>
              </w:rPr>
            </w:pPr>
            <w:r w:rsidRPr="00521270">
              <w:rPr>
                <w:rFonts w:ascii="Arial" w:hAnsi="Arial" w:cs="Arial"/>
                <w:color w:val="000000"/>
                <w:sz w:val="18"/>
                <w:szCs w:val="18"/>
              </w:rPr>
              <w:t>206.741.209</w:t>
            </w:r>
          </w:p>
        </w:tc>
        <w:tc>
          <w:tcPr>
            <w:tcW w:w="491" w:type="pct"/>
            <w:tcBorders>
              <w:top w:val="nil"/>
              <w:left w:val="nil"/>
              <w:bottom w:val="single" w:sz="4" w:space="0" w:color="auto"/>
              <w:right w:val="single" w:sz="4" w:space="0" w:color="auto"/>
            </w:tcBorders>
            <w:shd w:val="clear" w:color="auto" w:fill="auto"/>
            <w:noWrap/>
            <w:vAlign w:val="center"/>
            <w:hideMark/>
          </w:tcPr>
          <w:p w14:paraId="1417E730" w14:textId="77777777" w:rsidR="00E3750C" w:rsidRPr="00521270" w:rsidRDefault="00E3750C" w:rsidP="00047864">
            <w:pPr>
              <w:spacing w:after="0" w:line="240" w:lineRule="auto"/>
              <w:jc w:val="right"/>
              <w:rPr>
                <w:rFonts w:ascii="Arial" w:eastAsia="Times New Roman" w:hAnsi="Arial" w:cs="Arial"/>
                <w:color w:val="000000"/>
                <w:sz w:val="18"/>
                <w:szCs w:val="18"/>
                <w:lang w:eastAsia="sl-SI"/>
              </w:rPr>
            </w:pPr>
            <w:r w:rsidRPr="00521270">
              <w:rPr>
                <w:rFonts w:ascii="Arial" w:hAnsi="Arial" w:cs="Arial"/>
                <w:color w:val="000000"/>
                <w:sz w:val="18"/>
                <w:szCs w:val="18"/>
              </w:rPr>
              <w:t>1,65 %</w:t>
            </w:r>
          </w:p>
        </w:tc>
        <w:tc>
          <w:tcPr>
            <w:tcW w:w="491" w:type="pct"/>
            <w:tcBorders>
              <w:top w:val="nil"/>
              <w:left w:val="nil"/>
              <w:bottom w:val="single" w:sz="4" w:space="0" w:color="auto"/>
              <w:right w:val="single" w:sz="4" w:space="0" w:color="auto"/>
            </w:tcBorders>
            <w:shd w:val="clear" w:color="auto" w:fill="auto"/>
            <w:noWrap/>
            <w:vAlign w:val="center"/>
            <w:hideMark/>
          </w:tcPr>
          <w:p w14:paraId="740CE7AA" w14:textId="77777777" w:rsidR="00E3750C" w:rsidRPr="00521270" w:rsidRDefault="00E3750C" w:rsidP="00047864">
            <w:pPr>
              <w:spacing w:after="0" w:line="240" w:lineRule="auto"/>
              <w:jc w:val="right"/>
              <w:rPr>
                <w:rFonts w:ascii="Arial" w:eastAsia="Times New Roman" w:hAnsi="Arial" w:cs="Arial"/>
                <w:color w:val="000000"/>
                <w:sz w:val="18"/>
                <w:szCs w:val="18"/>
                <w:lang w:eastAsia="sl-SI"/>
              </w:rPr>
            </w:pPr>
            <w:r w:rsidRPr="00521270">
              <w:rPr>
                <w:rFonts w:ascii="Arial" w:hAnsi="Arial" w:cs="Arial"/>
                <w:color w:val="000000"/>
                <w:sz w:val="18"/>
                <w:szCs w:val="18"/>
              </w:rPr>
              <w:t>14,53 %</w:t>
            </w:r>
          </w:p>
        </w:tc>
        <w:tc>
          <w:tcPr>
            <w:tcW w:w="437" w:type="pct"/>
            <w:tcBorders>
              <w:top w:val="nil"/>
              <w:left w:val="nil"/>
              <w:bottom w:val="single" w:sz="4" w:space="0" w:color="auto"/>
              <w:right w:val="single" w:sz="4" w:space="0" w:color="auto"/>
            </w:tcBorders>
            <w:shd w:val="clear" w:color="auto" w:fill="auto"/>
            <w:noWrap/>
            <w:vAlign w:val="center"/>
            <w:hideMark/>
          </w:tcPr>
          <w:p w14:paraId="2E204CAF" w14:textId="77777777" w:rsidR="00E3750C" w:rsidRPr="00521270" w:rsidRDefault="00E3750C" w:rsidP="00047864">
            <w:pPr>
              <w:spacing w:after="0" w:line="240" w:lineRule="auto"/>
              <w:jc w:val="right"/>
              <w:rPr>
                <w:rFonts w:ascii="Arial" w:eastAsia="Times New Roman" w:hAnsi="Arial" w:cs="Arial"/>
                <w:color w:val="000000"/>
                <w:sz w:val="18"/>
                <w:szCs w:val="18"/>
                <w:lang w:eastAsia="sl-SI"/>
              </w:rPr>
            </w:pPr>
            <w:r w:rsidRPr="00521270">
              <w:rPr>
                <w:rFonts w:ascii="Arial" w:hAnsi="Arial" w:cs="Arial"/>
                <w:color w:val="000000"/>
                <w:sz w:val="18"/>
                <w:szCs w:val="18"/>
              </w:rPr>
              <w:t>0,49 %</w:t>
            </w:r>
          </w:p>
        </w:tc>
        <w:tc>
          <w:tcPr>
            <w:tcW w:w="475" w:type="pct"/>
            <w:tcBorders>
              <w:top w:val="nil"/>
              <w:left w:val="nil"/>
              <w:bottom w:val="single" w:sz="4" w:space="0" w:color="auto"/>
              <w:right w:val="single" w:sz="4" w:space="0" w:color="auto"/>
            </w:tcBorders>
            <w:shd w:val="clear" w:color="auto" w:fill="auto"/>
            <w:noWrap/>
            <w:vAlign w:val="center"/>
            <w:hideMark/>
          </w:tcPr>
          <w:p w14:paraId="282AAD04" w14:textId="77777777" w:rsidR="00E3750C" w:rsidRPr="00521270" w:rsidRDefault="00E3750C" w:rsidP="00047864">
            <w:pPr>
              <w:spacing w:after="0" w:line="240" w:lineRule="auto"/>
              <w:jc w:val="right"/>
              <w:rPr>
                <w:rFonts w:ascii="Arial" w:eastAsia="Times New Roman" w:hAnsi="Arial" w:cs="Arial"/>
                <w:color w:val="000000"/>
                <w:sz w:val="18"/>
                <w:szCs w:val="18"/>
                <w:lang w:eastAsia="sl-SI"/>
              </w:rPr>
            </w:pPr>
            <w:r w:rsidRPr="00521270">
              <w:rPr>
                <w:rFonts w:ascii="Arial" w:hAnsi="Arial" w:cs="Arial"/>
                <w:color w:val="000000"/>
                <w:sz w:val="18"/>
                <w:szCs w:val="18"/>
              </w:rPr>
              <w:t>3,82 %</w:t>
            </w:r>
          </w:p>
        </w:tc>
      </w:tr>
      <w:tr w:rsidR="00E3750C" w:rsidRPr="00521270" w14:paraId="48FAA5FB" w14:textId="77777777" w:rsidTr="00047864">
        <w:trPr>
          <w:trHeight w:val="300"/>
        </w:trPr>
        <w:tc>
          <w:tcPr>
            <w:tcW w:w="1777" w:type="pct"/>
            <w:tcBorders>
              <w:top w:val="nil"/>
              <w:left w:val="single" w:sz="4" w:space="0" w:color="auto"/>
              <w:bottom w:val="single" w:sz="4" w:space="0" w:color="auto"/>
              <w:right w:val="single" w:sz="4" w:space="0" w:color="auto"/>
            </w:tcBorders>
            <w:shd w:val="clear" w:color="auto" w:fill="auto"/>
            <w:vAlign w:val="center"/>
            <w:hideMark/>
          </w:tcPr>
          <w:p w14:paraId="0C224C9A" w14:textId="77777777" w:rsidR="00E3750C" w:rsidRPr="00521270" w:rsidRDefault="00E3750C" w:rsidP="00047864">
            <w:pPr>
              <w:spacing w:after="0" w:line="240" w:lineRule="auto"/>
              <w:rPr>
                <w:rFonts w:ascii="Arial" w:eastAsia="Times New Roman" w:hAnsi="Arial" w:cs="Arial"/>
                <w:color w:val="000000"/>
                <w:sz w:val="18"/>
                <w:szCs w:val="18"/>
                <w:lang w:eastAsia="sl-SI"/>
              </w:rPr>
            </w:pPr>
            <w:r w:rsidRPr="00521270">
              <w:rPr>
                <w:rFonts w:ascii="Arial" w:eastAsia="Times New Roman" w:hAnsi="Arial" w:cs="Arial"/>
                <w:color w:val="000000"/>
                <w:sz w:val="18"/>
                <w:szCs w:val="18"/>
                <w:lang w:eastAsia="sl-SI"/>
              </w:rPr>
              <w:t>Odprti postopek</w:t>
            </w:r>
          </w:p>
        </w:tc>
        <w:tc>
          <w:tcPr>
            <w:tcW w:w="708" w:type="pct"/>
            <w:tcBorders>
              <w:top w:val="nil"/>
              <w:left w:val="nil"/>
              <w:bottom w:val="single" w:sz="4" w:space="0" w:color="auto"/>
              <w:right w:val="single" w:sz="4" w:space="0" w:color="auto"/>
            </w:tcBorders>
            <w:shd w:val="clear" w:color="auto" w:fill="auto"/>
            <w:vAlign w:val="center"/>
            <w:hideMark/>
          </w:tcPr>
          <w:p w14:paraId="1AE1722F" w14:textId="77777777" w:rsidR="00E3750C" w:rsidRPr="00521270" w:rsidRDefault="00E3750C" w:rsidP="00047864">
            <w:pPr>
              <w:spacing w:after="0" w:line="240" w:lineRule="auto"/>
              <w:jc w:val="right"/>
              <w:rPr>
                <w:rFonts w:ascii="Arial" w:eastAsia="Times New Roman" w:hAnsi="Arial" w:cs="Arial"/>
                <w:color w:val="000000"/>
                <w:sz w:val="18"/>
                <w:szCs w:val="18"/>
                <w:lang w:eastAsia="sl-SI"/>
              </w:rPr>
            </w:pPr>
            <w:r w:rsidRPr="00521270">
              <w:rPr>
                <w:rFonts w:ascii="Arial" w:hAnsi="Arial" w:cs="Arial"/>
                <w:color w:val="000000"/>
                <w:sz w:val="18"/>
                <w:szCs w:val="18"/>
              </w:rPr>
              <w:t>3.416</w:t>
            </w:r>
          </w:p>
        </w:tc>
        <w:tc>
          <w:tcPr>
            <w:tcW w:w="622" w:type="pct"/>
            <w:tcBorders>
              <w:top w:val="nil"/>
              <w:left w:val="nil"/>
              <w:bottom w:val="single" w:sz="4" w:space="0" w:color="auto"/>
              <w:right w:val="single" w:sz="4" w:space="0" w:color="auto"/>
            </w:tcBorders>
            <w:shd w:val="clear" w:color="auto" w:fill="auto"/>
            <w:vAlign w:val="center"/>
            <w:hideMark/>
          </w:tcPr>
          <w:p w14:paraId="55E63E6E" w14:textId="77777777" w:rsidR="00E3750C" w:rsidRPr="00521270" w:rsidRDefault="00E3750C" w:rsidP="00047864">
            <w:pPr>
              <w:spacing w:after="0" w:line="240" w:lineRule="auto"/>
              <w:jc w:val="right"/>
              <w:rPr>
                <w:rFonts w:ascii="Arial" w:eastAsia="Times New Roman" w:hAnsi="Arial" w:cs="Arial"/>
                <w:color w:val="000000"/>
                <w:sz w:val="18"/>
                <w:szCs w:val="18"/>
                <w:lang w:eastAsia="sl-SI"/>
              </w:rPr>
            </w:pPr>
            <w:r w:rsidRPr="00521270">
              <w:rPr>
                <w:rFonts w:ascii="Arial" w:hAnsi="Arial" w:cs="Arial"/>
                <w:color w:val="000000"/>
                <w:sz w:val="18"/>
                <w:szCs w:val="18"/>
              </w:rPr>
              <w:t>780.315.915</w:t>
            </w:r>
          </w:p>
        </w:tc>
        <w:tc>
          <w:tcPr>
            <w:tcW w:w="491" w:type="pct"/>
            <w:tcBorders>
              <w:top w:val="nil"/>
              <w:left w:val="nil"/>
              <w:bottom w:val="single" w:sz="4" w:space="0" w:color="auto"/>
              <w:right w:val="single" w:sz="4" w:space="0" w:color="auto"/>
            </w:tcBorders>
            <w:shd w:val="clear" w:color="auto" w:fill="auto"/>
            <w:noWrap/>
            <w:vAlign w:val="center"/>
            <w:hideMark/>
          </w:tcPr>
          <w:p w14:paraId="7CF5D521" w14:textId="77777777" w:rsidR="00E3750C" w:rsidRPr="00521270" w:rsidRDefault="00E3750C" w:rsidP="00047864">
            <w:pPr>
              <w:spacing w:after="0" w:line="240" w:lineRule="auto"/>
              <w:jc w:val="right"/>
              <w:rPr>
                <w:rFonts w:ascii="Arial" w:eastAsia="Times New Roman" w:hAnsi="Arial" w:cs="Arial"/>
                <w:color w:val="000000"/>
                <w:sz w:val="18"/>
                <w:szCs w:val="18"/>
                <w:lang w:eastAsia="sl-SI"/>
              </w:rPr>
            </w:pPr>
            <w:r w:rsidRPr="00521270">
              <w:rPr>
                <w:rFonts w:ascii="Arial" w:hAnsi="Arial" w:cs="Arial"/>
                <w:color w:val="000000"/>
                <w:sz w:val="18"/>
                <w:szCs w:val="18"/>
              </w:rPr>
              <w:t>66,18 %</w:t>
            </w:r>
          </w:p>
        </w:tc>
        <w:tc>
          <w:tcPr>
            <w:tcW w:w="491" w:type="pct"/>
            <w:tcBorders>
              <w:top w:val="nil"/>
              <w:left w:val="nil"/>
              <w:bottom w:val="single" w:sz="4" w:space="0" w:color="auto"/>
              <w:right w:val="single" w:sz="4" w:space="0" w:color="auto"/>
            </w:tcBorders>
            <w:shd w:val="clear" w:color="auto" w:fill="auto"/>
            <w:noWrap/>
            <w:vAlign w:val="center"/>
            <w:hideMark/>
          </w:tcPr>
          <w:p w14:paraId="7DFE44A7" w14:textId="77777777" w:rsidR="00E3750C" w:rsidRPr="00521270" w:rsidRDefault="00E3750C" w:rsidP="00047864">
            <w:pPr>
              <w:spacing w:after="0" w:line="240" w:lineRule="auto"/>
              <w:jc w:val="right"/>
              <w:rPr>
                <w:rFonts w:ascii="Arial" w:eastAsia="Times New Roman" w:hAnsi="Arial" w:cs="Arial"/>
                <w:color w:val="000000"/>
                <w:sz w:val="18"/>
                <w:szCs w:val="18"/>
                <w:lang w:eastAsia="sl-SI"/>
              </w:rPr>
            </w:pPr>
            <w:r w:rsidRPr="00521270">
              <w:rPr>
                <w:rFonts w:ascii="Arial" w:hAnsi="Arial" w:cs="Arial"/>
                <w:color w:val="000000"/>
                <w:sz w:val="18"/>
                <w:szCs w:val="18"/>
              </w:rPr>
              <w:t>54,85 %</w:t>
            </w:r>
          </w:p>
        </w:tc>
        <w:tc>
          <w:tcPr>
            <w:tcW w:w="437" w:type="pct"/>
            <w:tcBorders>
              <w:top w:val="nil"/>
              <w:left w:val="nil"/>
              <w:bottom w:val="single" w:sz="4" w:space="0" w:color="auto"/>
              <w:right w:val="single" w:sz="4" w:space="0" w:color="auto"/>
            </w:tcBorders>
            <w:shd w:val="clear" w:color="auto" w:fill="auto"/>
            <w:noWrap/>
            <w:vAlign w:val="center"/>
            <w:hideMark/>
          </w:tcPr>
          <w:p w14:paraId="1E9CA9A4" w14:textId="77777777" w:rsidR="00E3750C" w:rsidRPr="00521270" w:rsidRDefault="00E3750C" w:rsidP="00047864">
            <w:pPr>
              <w:spacing w:after="0" w:line="240" w:lineRule="auto"/>
              <w:jc w:val="right"/>
              <w:rPr>
                <w:rFonts w:ascii="Arial" w:eastAsia="Times New Roman" w:hAnsi="Arial" w:cs="Arial"/>
                <w:color w:val="000000"/>
                <w:sz w:val="18"/>
                <w:szCs w:val="18"/>
                <w:lang w:eastAsia="sl-SI"/>
              </w:rPr>
            </w:pPr>
            <w:r w:rsidRPr="00521270">
              <w:rPr>
                <w:rFonts w:ascii="Arial" w:hAnsi="Arial" w:cs="Arial"/>
                <w:color w:val="000000"/>
                <w:sz w:val="18"/>
                <w:szCs w:val="18"/>
              </w:rPr>
              <w:t>19,83 %</w:t>
            </w:r>
          </w:p>
        </w:tc>
        <w:tc>
          <w:tcPr>
            <w:tcW w:w="475" w:type="pct"/>
            <w:tcBorders>
              <w:top w:val="nil"/>
              <w:left w:val="nil"/>
              <w:bottom w:val="single" w:sz="4" w:space="0" w:color="auto"/>
              <w:right w:val="single" w:sz="4" w:space="0" w:color="auto"/>
            </w:tcBorders>
            <w:shd w:val="clear" w:color="auto" w:fill="auto"/>
            <w:noWrap/>
            <w:vAlign w:val="center"/>
            <w:hideMark/>
          </w:tcPr>
          <w:p w14:paraId="7B24AC80" w14:textId="77777777" w:rsidR="00E3750C" w:rsidRPr="00521270" w:rsidRDefault="00E3750C" w:rsidP="00047864">
            <w:pPr>
              <w:spacing w:after="0" w:line="240" w:lineRule="auto"/>
              <w:jc w:val="right"/>
              <w:rPr>
                <w:rFonts w:ascii="Arial" w:eastAsia="Times New Roman" w:hAnsi="Arial" w:cs="Arial"/>
                <w:color w:val="000000"/>
                <w:sz w:val="18"/>
                <w:szCs w:val="18"/>
                <w:lang w:eastAsia="sl-SI"/>
              </w:rPr>
            </w:pPr>
            <w:r w:rsidRPr="00521270">
              <w:rPr>
                <w:rFonts w:ascii="Arial" w:hAnsi="Arial" w:cs="Arial"/>
                <w:color w:val="000000"/>
                <w:sz w:val="18"/>
                <w:szCs w:val="18"/>
              </w:rPr>
              <w:t>14,40 %</w:t>
            </w:r>
          </w:p>
        </w:tc>
      </w:tr>
      <w:tr w:rsidR="00E3750C" w:rsidRPr="00521270" w14:paraId="71A5E3B2" w14:textId="77777777" w:rsidTr="00047864">
        <w:trPr>
          <w:trHeight w:val="300"/>
        </w:trPr>
        <w:tc>
          <w:tcPr>
            <w:tcW w:w="1777" w:type="pct"/>
            <w:tcBorders>
              <w:top w:val="nil"/>
              <w:left w:val="single" w:sz="4" w:space="0" w:color="auto"/>
              <w:bottom w:val="single" w:sz="4" w:space="0" w:color="auto"/>
              <w:right w:val="single" w:sz="4" w:space="0" w:color="auto"/>
            </w:tcBorders>
            <w:shd w:val="clear" w:color="auto" w:fill="auto"/>
            <w:vAlign w:val="center"/>
            <w:hideMark/>
          </w:tcPr>
          <w:p w14:paraId="52BE7536" w14:textId="77777777" w:rsidR="00E3750C" w:rsidRPr="00521270" w:rsidRDefault="00E3750C" w:rsidP="00047864">
            <w:pPr>
              <w:spacing w:after="0" w:line="240" w:lineRule="auto"/>
              <w:rPr>
                <w:rFonts w:ascii="Arial" w:eastAsia="Times New Roman" w:hAnsi="Arial" w:cs="Arial"/>
                <w:color w:val="000000"/>
                <w:sz w:val="18"/>
                <w:szCs w:val="18"/>
                <w:lang w:eastAsia="sl-SI"/>
              </w:rPr>
            </w:pPr>
            <w:r w:rsidRPr="00521270">
              <w:rPr>
                <w:rFonts w:ascii="Arial" w:eastAsia="Times New Roman" w:hAnsi="Arial" w:cs="Arial"/>
                <w:color w:val="000000"/>
                <w:sz w:val="18"/>
                <w:szCs w:val="18"/>
                <w:lang w:eastAsia="sl-SI"/>
              </w:rPr>
              <w:t>Omejeni postopek</w:t>
            </w:r>
          </w:p>
        </w:tc>
        <w:tc>
          <w:tcPr>
            <w:tcW w:w="708" w:type="pct"/>
            <w:tcBorders>
              <w:top w:val="nil"/>
              <w:left w:val="nil"/>
              <w:bottom w:val="single" w:sz="4" w:space="0" w:color="auto"/>
              <w:right w:val="single" w:sz="4" w:space="0" w:color="auto"/>
            </w:tcBorders>
            <w:shd w:val="clear" w:color="auto" w:fill="auto"/>
            <w:vAlign w:val="center"/>
            <w:hideMark/>
          </w:tcPr>
          <w:p w14:paraId="6FA36916" w14:textId="77777777" w:rsidR="00E3750C" w:rsidRPr="00521270" w:rsidRDefault="00E3750C" w:rsidP="00047864">
            <w:pPr>
              <w:spacing w:after="0" w:line="240" w:lineRule="auto"/>
              <w:jc w:val="right"/>
              <w:rPr>
                <w:rFonts w:ascii="Arial" w:eastAsia="Times New Roman" w:hAnsi="Arial" w:cs="Arial"/>
                <w:color w:val="000000"/>
                <w:sz w:val="18"/>
                <w:szCs w:val="18"/>
                <w:lang w:eastAsia="sl-SI"/>
              </w:rPr>
            </w:pPr>
            <w:r w:rsidRPr="00521270">
              <w:rPr>
                <w:rFonts w:ascii="Arial" w:hAnsi="Arial" w:cs="Arial"/>
                <w:color w:val="000000"/>
                <w:sz w:val="18"/>
                <w:szCs w:val="18"/>
              </w:rPr>
              <w:t>9</w:t>
            </w:r>
          </w:p>
        </w:tc>
        <w:tc>
          <w:tcPr>
            <w:tcW w:w="622" w:type="pct"/>
            <w:tcBorders>
              <w:top w:val="nil"/>
              <w:left w:val="nil"/>
              <w:bottom w:val="single" w:sz="4" w:space="0" w:color="auto"/>
              <w:right w:val="single" w:sz="4" w:space="0" w:color="auto"/>
            </w:tcBorders>
            <w:shd w:val="clear" w:color="auto" w:fill="auto"/>
            <w:vAlign w:val="center"/>
            <w:hideMark/>
          </w:tcPr>
          <w:p w14:paraId="6B037457" w14:textId="77777777" w:rsidR="00E3750C" w:rsidRPr="00521270" w:rsidRDefault="00E3750C" w:rsidP="00047864">
            <w:pPr>
              <w:spacing w:after="0" w:line="240" w:lineRule="auto"/>
              <w:jc w:val="right"/>
              <w:rPr>
                <w:rFonts w:ascii="Arial" w:eastAsia="Times New Roman" w:hAnsi="Arial" w:cs="Arial"/>
                <w:color w:val="000000"/>
                <w:sz w:val="18"/>
                <w:szCs w:val="18"/>
                <w:lang w:eastAsia="sl-SI"/>
              </w:rPr>
            </w:pPr>
            <w:r w:rsidRPr="00521270">
              <w:rPr>
                <w:rFonts w:ascii="Arial" w:hAnsi="Arial" w:cs="Arial"/>
                <w:color w:val="000000"/>
                <w:sz w:val="18"/>
                <w:szCs w:val="18"/>
              </w:rPr>
              <w:t>66.823.842</w:t>
            </w:r>
          </w:p>
        </w:tc>
        <w:tc>
          <w:tcPr>
            <w:tcW w:w="491" w:type="pct"/>
            <w:tcBorders>
              <w:top w:val="nil"/>
              <w:left w:val="nil"/>
              <w:bottom w:val="single" w:sz="4" w:space="0" w:color="auto"/>
              <w:right w:val="single" w:sz="4" w:space="0" w:color="auto"/>
            </w:tcBorders>
            <w:shd w:val="clear" w:color="auto" w:fill="auto"/>
            <w:noWrap/>
            <w:vAlign w:val="center"/>
            <w:hideMark/>
          </w:tcPr>
          <w:p w14:paraId="7E93177A" w14:textId="77777777" w:rsidR="00E3750C" w:rsidRPr="00521270" w:rsidRDefault="00E3750C" w:rsidP="00047864">
            <w:pPr>
              <w:spacing w:after="0" w:line="240" w:lineRule="auto"/>
              <w:jc w:val="right"/>
              <w:rPr>
                <w:rFonts w:ascii="Arial" w:eastAsia="Times New Roman" w:hAnsi="Arial" w:cs="Arial"/>
                <w:color w:val="000000"/>
                <w:sz w:val="18"/>
                <w:szCs w:val="18"/>
                <w:lang w:eastAsia="sl-SI"/>
              </w:rPr>
            </w:pPr>
            <w:r w:rsidRPr="00521270">
              <w:rPr>
                <w:rFonts w:ascii="Arial" w:hAnsi="Arial" w:cs="Arial"/>
                <w:color w:val="000000"/>
                <w:sz w:val="18"/>
                <w:szCs w:val="18"/>
              </w:rPr>
              <w:t>0,17 %</w:t>
            </w:r>
          </w:p>
        </w:tc>
        <w:tc>
          <w:tcPr>
            <w:tcW w:w="491" w:type="pct"/>
            <w:tcBorders>
              <w:top w:val="nil"/>
              <w:left w:val="nil"/>
              <w:bottom w:val="single" w:sz="4" w:space="0" w:color="auto"/>
              <w:right w:val="single" w:sz="4" w:space="0" w:color="auto"/>
            </w:tcBorders>
            <w:shd w:val="clear" w:color="auto" w:fill="auto"/>
            <w:noWrap/>
            <w:vAlign w:val="center"/>
            <w:hideMark/>
          </w:tcPr>
          <w:p w14:paraId="6BF8967C" w14:textId="77777777" w:rsidR="00E3750C" w:rsidRPr="00521270" w:rsidRDefault="00E3750C" w:rsidP="00047864">
            <w:pPr>
              <w:spacing w:after="0" w:line="240" w:lineRule="auto"/>
              <w:jc w:val="right"/>
              <w:rPr>
                <w:rFonts w:ascii="Arial" w:eastAsia="Times New Roman" w:hAnsi="Arial" w:cs="Arial"/>
                <w:color w:val="000000"/>
                <w:sz w:val="18"/>
                <w:szCs w:val="18"/>
                <w:lang w:eastAsia="sl-SI"/>
              </w:rPr>
            </w:pPr>
            <w:r w:rsidRPr="00521270">
              <w:rPr>
                <w:rFonts w:ascii="Arial" w:hAnsi="Arial" w:cs="Arial"/>
                <w:color w:val="000000"/>
                <w:sz w:val="18"/>
                <w:szCs w:val="18"/>
              </w:rPr>
              <w:t>4,70 %</w:t>
            </w:r>
          </w:p>
        </w:tc>
        <w:tc>
          <w:tcPr>
            <w:tcW w:w="437" w:type="pct"/>
            <w:tcBorders>
              <w:top w:val="nil"/>
              <w:left w:val="nil"/>
              <w:bottom w:val="single" w:sz="4" w:space="0" w:color="auto"/>
              <w:right w:val="single" w:sz="4" w:space="0" w:color="auto"/>
            </w:tcBorders>
            <w:shd w:val="clear" w:color="auto" w:fill="auto"/>
            <w:noWrap/>
            <w:vAlign w:val="center"/>
            <w:hideMark/>
          </w:tcPr>
          <w:p w14:paraId="3AB1F3EE" w14:textId="77777777" w:rsidR="00E3750C" w:rsidRPr="00521270" w:rsidRDefault="00E3750C" w:rsidP="00047864">
            <w:pPr>
              <w:spacing w:after="0" w:line="240" w:lineRule="auto"/>
              <w:jc w:val="right"/>
              <w:rPr>
                <w:rFonts w:ascii="Arial" w:eastAsia="Times New Roman" w:hAnsi="Arial" w:cs="Arial"/>
                <w:color w:val="000000"/>
                <w:sz w:val="18"/>
                <w:szCs w:val="18"/>
                <w:lang w:eastAsia="sl-SI"/>
              </w:rPr>
            </w:pPr>
            <w:r w:rsidRPr="00521270">
              <w:rPr>
                <w:rFonts w:ascii="Arial" w:hAnsi="Arial" w:cs="Arial"/>
                <w:color w:val="000000"/>
                <w:sz w:val="18"/>
                <w:szCs w:val="18"/>
              </w:rPr>
              <w:t>0,05 %</w:t>
            </w:r>
          </w:p>
        </w:tc>
        <w:tc>
          <w:tcPr>
            <w:tcW w:w="475" w:type="pct"/>
            <w:tcBorders>
              <w:top w:val="nil"/>
              <w:left w:val="nil"/>
              <w:bottom w:val="single" w:sz="4" w:space="0" w:color="auto"/>
              <w:right w:val="single" w:sz="4" w:space="0" w:color="auto"/>
            </w:tcBorders>
            <w:shd w:val="clear" w:color="auto" w:fill="auto"/>
            <w:noWrap/>
            <w:vAlign w:val="center"/>
            <w:hideMark/>
          </w:tcPr>
          <w:p w14:paraId="57E7C60E" w14:textId="77777777" w:rsidR="00E3750C" w:rsidRPr="00521270" w:rsidRDefault="00E3750C" w:rsidP="00047864">
            <w:pPr>
              <w:spacing w:after="0" w:line="240" w:lineRule="auto"/>
              <w:jc w:val="right"/>
              <w:rPr>
                <w:rFonts w:ascii="Arial" w:eastAsia="Times New Roman" w:hAnsi="Arial" w:cs="Arial"/>
                <w:color w:val="000000"/>
                <w:sz w:val="18"/>
                <w:szCs w:val="18"/>
                <w:lang w:eastAsia="sl-SI"/>
              </w:rPr>
            </w:pPr>
            <w:r w:rsidRPr="00521270">
              <w:rPr>
                <w:rFonts w:ascii="Arial" w:hAnsi="Arial" w:cs="Arial"/>
                <w:color w:val="000000"/>
                <w:sz w:val="18"/>
                <w:szCs w:val="18"/>
              </w:rPr>
              <w:t>1,23 %</w:t>
            </w:r>
          </w:p>
        </w:tc>
      </w:tr>
      <w:tr w:rsidR="00E3750C" w:rsidRPr="00521270" w14:paraId="430F0805" w14:textId="77777777" w:rsidTr="00047864">
        <w:trPr>
          <w:trHeight w:val="300"/>
        </w:trPr>
        <w:tc>
          <w:tcPr>
            <w:tcW w:w="1777" w:type="pct"/>
            <w:tcBorders>
              <w:top w:val="nil"/>
              <w:left w:val="single" w:sz="4" w:space="0" w:color="auto"/>
              <w:bottom w:val="single" w:sz="4" w:space="0" w:color="auto"/>
              <w:right w:val="single" w:sz="4" w:space="0" w:color="auto"/>
            </w:tcBorders>
            <w:shd w:val="clear" w:color="auto" w:fill="auto"/>
            <w:vAlign w:val="center"/>
            <w:hideMark/>
          </w:tcPr>
          <w:p w14:paraId="041D10FD" w14:textId="77777777" w:rsidR="00E3750C" w:rsidRPr="00521270" w:rsidRDefault="00E3750C" w:rsidP="00047864">
            <w:pPr>
              <w:spacing w:after="0" w:line="240" w:lineRule="auto"/>
              <w:rPr>
                <w:rFonts w:ascii="Arial" w:eastAsia="Times New Roman" w:hAnsi="Arial" w:cs="Arial"/>
                <w:color w:val="000000"/>
                <w:sz w:val="18"/>
                <w:szCs w:val="18"/>
                <w:lang w:eastAsia="sl-SI"/>
              </w:rPr>
            </w:pPr>
            <w:r w:rsidRPr="00521270">
              <w:rPr>
                <w:rFonts w:ascii="Arial" w:eastAsia="Times New Roman" w:hAnsi="Arial" w:cs="Arial"/>
                <w:color w:val="000000"/>
                <w:sz w:val="18"/>
                <w:szCs w:val="18"/>
                <w:lang w:eastAsia="sl-SI"/>
              </w:rPr>
              <w:t>Postopek naročila male vrednosti</w:t>
            </w:r>
          </w:p>
        </w:tc>
        <w:tc>
          <w:tcPr>
            <w:tcW w:w="708" w:type="pct"/>
            <w:tcBorders>
              <w:top w:val="nil"/>
              <w:left w:val="nil"/>
              <w:bottom w:val="single" w:sz="4" w:space="0" w:color="auto"/>
              <w:right w:val="single" w:sz="4" w:space="0" w:color="auto"/>
            </w:tcBorders>
            <w:shd w:val="clear" w:color="auto" w:fill="auto"/>
            <w:vAlign w:val="center"/>
            <w:hideMark/>
          </w:tcPr>
          <w:p w14:paraId="6A216DFC" w14:textId="77777777" w:rsidR="00E3750C" w:rsidRPr="00521270" w:rsidRDefault="00E3750C" w:rsidP="00047864">
            <w:pPr>
              <w:spacing w:after="0" w:line="240" w:lineRule="auto"/>
              <w:jc w:val="right"/>
              <w:rPr>
                <w:rFonts w:ascii="Arial" w:eastAsia="Times New Roman" w:hAnsi="Arial" w:cs="Arial"/>
                <w:color w:val="000000"/>
                <w:sz w:val="18"/>
                <w:szCs w:val="18"/>
                <w:lang w:eastAsia="sl-SI"/>
              </w:rPr>
            </w:pPr>
            <w:r w:rsidRPr="00521270">
              <w:rPr>
                <w:rFonts w:ascii="Arial" w:hAnsi="Arial" w:cs="Arial"/>
                <w:color w:val="000000"/>
                <w:sz w:val="18"/>
                <w:szCs w:val="18"/>
              </w:rPr>
              <w:t>1.526</w:t>
            </w:r>
          </w:p>
        </w:tc>
        <w:tc>
          <w:tcPr>
            <w:tcW w:w="622" w:type="pct"/>
            <w:tcBorders>
              <w:top w:val="nil"/>
              <w:left w:val="nil"/>
              <w:bottom w:val="single" w:sz="4" w:space="0" w:color="auto"/>
              <w:right w:val="single" w:sz="4" w:space="0" w:color="auto"/>
            </w:tcBorders>
            <w:shd w:val="clear" w:color="auto" w:fill="auto"/>
            <w:vAlign w:val="center"/>
            <w:hideMark/>
          </w:tcPr>
          <w:p w14:paraId="1F853F9B" w14:textId="77777777" w:rsidR="00E3750C" w:rsidRPr="00521270" w:rsidRDefault="00E3750C" w:rsidP="00047864">
            <w:pPr>
              <w:spacing w:after="0" w:line="240" w:lineRule="auto"/>
              <w:jc w:val="right"/>
              <w:rPr>
                <w:rFonts w:ascii="Arial" w:eastAsia="Times New Roman" w:hAnsi="Arial" w:cs="Arial"/>
                <w:color w:val="000000"/>
                <w:sz w:val="18"/>
                <w:szCs w:val="18"/>
                <w:lang w:eastAsia="sl-SI"/>
              </w:rPr>
            </w:pPr>
            <w:r w:rsidRPr="00521270">
              <w:rPr>
                <w:rFonts w:ascii="Arial" w:hAnsi="Arial" w:cs="Arial"/>
                <w:color w:val="000000"/>
                <w:sz w:val="18"/>
                <w:szCs w:val="18"/>
              </w:rPr>
              <w:t>309.172.132</w:t>
            </w:r>
          </w:p>
        </w:tc>
        <w:tc>
          <w:tcPr>
            <w:tcW w:w="491" w:type="pct"/>
            <w:tcBorders>
              <w:top w:val="nil"/>
              <w:left w:val="nil"/>
              <w:bottom w:val="single" w:sz="4" w:space="0" w:color="auto"/>
              <w:right w:val="single" w:sz="4" w:space="0" w:color="auto"/>
            </w:tcBorders>
            <w:shd w:val="clear" w:color="auto" w:fill="auto"/>
            <w:noWrap/>
            <w:vAlign w:val="center"/>
            <w:hideMark/>
          </w:tcPr>
          <w:p w14:paraId="55E5D5BB" w14:textId="77777777" w:rsidR="00E3750C" w:rsidRPr="00521270" w:rsidRDefault="00E3750C" w:rsidP="00047864">
            <w:pPr>
              <w:spacing w:after="0" w:line="240" w:lineRule="auto"/>
              <w:jc w:val="right"/>
              <w:rPr>
                <w:rFonts w:ascii="Arial" w:eastAsia="Times New Roman" w:hAnsi="Arial" w:cs="Arial"/>
                <w:color w:val="000000"/>
                <w:sz w:val="18"/>
                <w:szCs w:val="18"/>
                <w:lang w:eastAsia="sl-SI"/>
              </w:rPr>
            </w:pPr>
            <w:r w:rsidRPr="00521270">
              <w:rPr>
                <w:rFonts w:ascii="Arial" w:hAnsi="Arial" w:cs="Arial"/>
                <w:color w:val="000000"/>
                <w:sz w:val="18"/>
                <w:szCs w:val="18"/>
              </w:rPr>
              <w:t>29,56 %</w:t>
            </w:r>
          </w:p>
        </w:tc>
        <w:tc>
          <w:tcPr>
            <w:tcW w:w="491" w:type="pct"/>
            <w:tcBorders>
              <w:top w:val="nil"/>
              <w:left w:val="nil"/>
              <w:bottom w:val="single" w:sz="4" w:space="0" w:color="auto"/>
              <w:right w:val="single" w:sz="4" w:space="0" w:color="auto"/>
            </w:tcBorders>
            <w:shd w:val="clear" w:color="auto" w:fill="auto"/>
            <w:noWrap/>
            <w:vAlign w:val="center"/>
            <w:hideMark/>
          </w:tcPr>
          <w:p w14:paraId="6D453827" w14:textId="77777777" w:rsidR="00E3750C" w:rsidRPr="00521270" w:rsidRDefault="00E3750C" w:rsidP="00047864">
            <w:pPr>
              <w:spacing w:after="0" w:line="240" w:lineRule="auto"/>
              <w:jc w:val="right"/>
              <w:rPr>
                <w:rFonts w:ascii="Arial" w:eastAsia="Times New Roman" w:hAnsi="Arial" w:cs="Arial"/>
                <w:color w:val="000000"/>
                <w:sz w:val="18"/>
                <w:szCs w:val="18"/>
                <w:lang w:eastAsia="sl-SI"/>
              </w:rPr>
            </w:pPr>
            <w:r w:rsidRPr="00521270">
              <w:rPr>
                <w:rFonts w:ascii="Arial" w:hAnsi="Arial" w:cs="Arial"/>
                <w:color w:val="000000"/>
                <w:sz w:val="18"/>
                <w:szCs w:val="18"/>
              </w:rPr>
              <w:t>21,73 %</w:t>
            </w:r>
          </w:p>
        </w:tc>
        <w:tc>
          <w:tcPr>
            <w:tcW w:w="437" w:type="pct"/>
            <w:tcBorders>
              <w:top w:val="nil"/>
              <w:left w:val="nil"/>
              <w:bottom w:val="single" w:sz="4" w:space="0" w:color="auto"/>
              <w:right w:val="single" w:sz="4" w:space="0" w:color="auto"/>
            </w:tcBorders>
            <w:shd w:val="clear" w:color="auto" w:fill="auto"/>
            <w:noWrap/>
            <w:vAlign w:val="center"/>
            <w:hideMark/>
          </w:tcPr>
          <w:p w14:paraId="13882C7A" w14:textId="77777777" w:rsidR="00E3750C" w:rsidRPr="00521270" w:rsidRDefault="00E3750C" w:rsidP="00047864">
            <w:pPr>
              <w:spacing w:after="0" w:line="240" w:lineRule="auto"/>
              <w:jc w:val="right"/>
              <w:rPr>
                <w:rFonts w:ascii="Arial" w:eastAsia="Times New Roman" w:hAnsi="Arial" w:cs="Arial"/>
                <w:color w:val="000000"/>
                <w:sz w:val="18"/>
                <w:szCs w:val="18"/>
                <w:lang w:eastAsia="sl-SI"/>
              </w:rPr>
            </w:pPr>
            <w:r w:rsidRPr="00521270">
              <w:rPr>
                <w:rFonts w:ascii="Arial" w:hAnsi="Arial" w:cs="Arial"/>
                <w:color w:val="000000"/>
                <w:sz w:val="18"/>
                <w:szCs w:val="18"/>
              </w:rPr>
              <w:t>8,86 %</w:t>
            </w:r>
          </w:p>
        </w:tc>
        <w:tc>
          <w:tcPr>
            <w:tcW w:w="475" w:type="pct"/>
            <w:tcBorders>
              <w:top w:val="nil"/>
              <w:left w:val="nil"/>
              <w:bottom w:val="single" w:sz="4" w:space="0" w:color="auto"/>
              <w:right w:val="single" w:sz="4" w:space="0" w:color="auto"/>
            </w:tcBorders>
            <w:shd w:val="clear" w:color="auto" w:fill="auto"/>
            <w:noWrap/>
            <w:vAlign w:val="center"/>
            <w:hideMark/>
          </w:tcPr>
          <w:p w14:paraId="6A1F04FB" w14:textId="77777777" w:rsidR="00E3750C" w:rsidRPr="00521270" w:rsidRDefault="00E3750C" w:rsidP="00047864">
            <w:pPr>
              <w:spacing w:after="0" w:line="240" w:lineRule="auto"/>
              <w:jc w:val="right"/>
              <w:rPr>
                <w:rFonts w:ascii="Arial" w:eastAsia="Times New Roman" w:hAnsi="Arial" w:cs="Arial"/>
                <w:color w:val="000000"/>
                <w:sz w:val="18"/>
                <w:szCs w:val="18"/>
                <w:lang w:eastAsia="sl-SI"/>
              </w:rPr>
            </w:pPr>
            <w:r w:rsidRPr="00521270">
              <w:rPr>
                <w:rFonts w:ascii="Arial" w:hAnsi="Arial" w:cs="Arial"/>
                <w:color w:val="000000"/>
                <w:sz w:val="18"/>
                <w:szCs w:val="18"/>
              </w:rPr>
              <w:t>5,71 %</w:t>
            </w:r>
          </w:p>
        </w:tc>
      </w:tr>
      <w:tr w:rsidR="00E3750C" w:rsidRPr="00521270" w14:paraId="743F06F4" w14:textId="77777777" w:rsidTr="00047864">
        <w:trPr>
          <w:trHeight w:val="300"/>
        </w:trPr>
        <w:tc>
          <w:tcPr>
            <w:tcW w:w="1777" w:type="pct"/>
            <w:tcBorders>
              <w:top w:val="nil"/>
              <w:left w:val="single" w:sz="4" w:space="0" w:color="auto"/>
              <w:bottom w:val="single" w:sz="4" w:space="0" w:color="auto"/>
              <w:right w:val="single" w:sz="4" w:space="0" w:color="auto"/>
            </w:tcBorders>
            <w:shd w:val="clear" w:color="auto" w:fill="auto"/>
            <w:vAlign w:val="center"/>
            <w:hideMark/>
          </w:tcPr>
          <w:p w14:paraId="32B384CE" w14:textId="77777777" w:rsidR="00E3750C" w:rsidRPr="00521270" w:rsidRDefault="00E3750C" w:rsidP="00047864">
            <w:pPr>
              <w:spacing w:after="0" w:line="240" w:lineRule="auto"/>
              <w:rPr>
                <w:rFonts w:ascii="Arial" w:eastAsia="Times New Roman" w:hAnsi="Arial" w:cs="Arial"/>
                <w:color w:val="000000"/>
                <w:sz w:val="18"/>
                <w:szCs w:val="18"/>
                <w:lang w:eastAsia="sl-SI"/>
              </w:rPr>
            </w:pPr>
            <w:r w:rsidRPr="00521270">
              <w:rPr>
                <w:rFonts w:ascii="Arial" w:eastAsia="Times New Roman" w:hAnsi="Arial" w:cs="Arial"/>
                <w:color w:val="000000"/>
                <w:sz w:val="18"/>
                <w:szCs w:val="18"/>
                <w:lang w:eastAsia="sl-SI"/>
              </w:rPr>
              <w:t>Postopek s pogajanji brez predhodne objave</w:t>
            </w:r>
          </w:p>
        </w:tc>
        <w:tc>
          <w:tcPr>
            <w:tcW w:w="708" w:type="pct"/>
            <w:tcBorders>
              <w:top w:val="nil"/>
              <w:left w:val="nil"/>
              <w:bottom w:val="single" w:sz="4" w:space="0" w:color="auto"/>
              <w:right w:val="single" w:sz="4" w:space="0" w:color="auto"/>
            </w:tcBorders>
            <w:shd w:val="clear" w:color="auto" w:fill="auto"/>
            <w:vAlign w:val="center"/>
            <w:hideMark/>
          </w:tcPr>
          <w:p w14:paraId="2BFA9646" w14:textId="77777777" w:rsidR="00E3750C" w:rsidRPr="00521270" w:rsidRDefault="00E3750C" w:rsidP="00047864">
            <w:pPr>
              <w:spacing w:after="0" w:line="240" w:lineRule="auto"/>
              <w:jc w:val="right"/>
              <w:rPr>
                <w:rFonts w:ascii="Arial" w:eastAsia="Times New Roman" w:hAnsi="Arial" w:cs="Arial"/>
                <w:color w:val="000000"/>
                <w:sz w:val="18"/>
                <w:szCs w:val="18"/>
                <w:lang w:eastAsia="sl-SI"/>
              </w:rPr>
            </w:pPr>
            <w:r w:rsidRPr="00521270">
              <w:rPr>
                <w:rFonts w:ascii="Arial" w:hAnsi="Arial" w:cs="Arial"/>
                <w:color w:val="000000"/>
                <w:sz w:val="18"/>
                <w:szCs w:val="18"/>
              </w:rPr>
              <w:t>66</w:t>
            </w:r>
          </w:p>
        </w:tc>
        <w:tc>
          <w:tcPr>
            <w:tcW w:w="622" w:type="pct"/>
            <w:tcBorders>
              <w:top w:val="nil"/>
              <w:left w:val="nil"/>
              <w:bottom w:val="single" w:sz="4" w:space="0" w:color="auto"/>
              <w:right w:val="single" w:sz="4" w:space="0" w:color="auto"/>
            </w:tcBorders>
            <w:shd w:val="clear" w:color="auto" w:fill="auto"/>
            <w:vAlign w:val="center"/>
            <w:hideMark/>
          </w:tcPr>
          <w:p w14:paraId="4763C130" w14:textId="77777777" w:rsidR="00E3750C" w:rsidRPr="00521270" w:rsidRDefault="00E3750C" w:rsidP="00047864">
            <w:pPr>
              <w:spacing w:after="0" w:line="240" w:lineRule="auto"/>
              <w:jc w:val="right"/>
              <w:rPr>
                <w:rFonts w:ascii="Arial" w:eastAsia="Times New Roman" w:hAnsi="Arial" w:cs="Arial"/>
                <w:color w:val="000000"/>
                <w:sz w:val="18"/>
                <w:szCs w:val="18"/>
                <w:lang w:eastAsia="sl-SI"/>
              </w:rPr>
            </w:pPr>
            <w:r w:rsidRPr="00521270">
              <w:rPr>
                <w:rFonts w:ascii="Arial" w:hAnsi="Arial" w:cs="Arial"/>
                <w:color w:val="000000"/>
                <w:sz w:val="18"/>
                <w:szCs w:val="18"/>
              </w:rPr>
              <w:t>28.747.938</w:t>
            </w:r>
          </w:p>
        </w:tc>
        <w:tc>
          <w:tcPr>
            <w:tcW w:w="491" w:type="pct"/>
            <w:tcBorders>
              <w:top w:val="nil"/>
              <w:left w:val="nil"/>
              <w:bottom w:val="single" w:sz="4" w:space="0" w:color="auto"/>
              <w:right w:val="single" w:sz="4" w:space="0" w:color="auto"/>
            </w:tcBorders>
            <w:shd w:val="clear" w:color="auto" w:fill="auto"/>
            <w:noWrap/>
            <w:vAlign w:val="center"/>
            <w:hideMark/>
          </w:tcPr>
          <w:p w14:paraId="58F72C65" w14:textId="77777777" w:rsidR="00E3750C" w:rsidRPr="00521270" w:rsidRDefault="00E3750C" w:rsidP="00047864">
            <w:pPr>
              <w:spacing w:after="0" w:line="240" w:lineRule="auto"/>
              <w:jc w:val="right"/>
              <w:rPr>
                <w:rFonts w:ascii="Arial" w:eastAsia="Times New Roman" w:hAnsi="Arial" w:cs="Arial"/>
                <w:color w:val="000000"/>
                <w:sz w:val="18"/>
                <w:szCs w:val="18"/>
                <w:lang w:eastAsia="sl-SI"/>
              </w:rPr>
            </w:pPr>
            <w:r w:rsidRPr="00521270">
              <w:rPr>
                <w:rFonts w:ascii="Arial" w:hAnsi="Arial" w:cs="Arial"/>
                <w:color w:val="000000"/>
                <w:sz w:val="18"/>
                <w:szCs w:val="18"/>
              </w:rPr>
              <w:t>1,28 %</w:t>
            </w:r>
          </w:p>
        </w:tc>
        <w:tc>
          <w:tcPr>
            <w:tcW w:w="491" w:type="pct"/>
            <w:tcBorders>
              <w:top w:val="nil"/>
              <w:left w:val="nil"/>
              <w:bottom w:val="single" w:sz="4" w:space="0" w:color="auto"/>
              <w:right w:val="single" w:sz="4" w:space="0" w:color="auto"/>
            </w:tcBorders>
            <w:shd w:val="clear" w:color="auto" w:fill="auto"/>
            <w:noWrap/>
            <w:vAlign w:val="center"/>
            <w:hideMark/>
          </w:tcPr>
          <w:p w14:paraId="1D6F165B" w14:textId="77777777" w:rsidR="00E3750C" w:rsidRPr="00521270" w:rsidRDefault="00E3750C" w:rsidP="00047864">
            <w:pPr>
              <w:spacing w:after="0" w:line="240" w:lineRule="auto"/>
              <w:jc w:val="right"/>
              <w:rPr>
                <w:rFonts w:ascii="Arial" w:eastAsia="Times New Roman" w:hAnsi="Arial" w:cs="Arial"/>
                <w:color w:val="000000"/>
                <w:sz w:val="18"/>
                <w:szCs w:val="18"/>
                <w:lang w:eastAsia="sl-SI"/>
              </w:rPr>
            </w:pPr>
            <w:r w:rsidRPr="00521270">
              <w:rPr>
                <w:rFonts w:ascii="Arial" w:hAnsi="Arial" w:cs="Arial"/>
                <w:color w:val="000000"/>
                <w:sz w:val="18"/>
                <w:szCs w:val="18"/>
              </w:rPr>
              <w:t>2,02 %</w:t>
            </w:r>
          </w:p>
        </w:tc>
        <w:tc>
          <w:tcPr>
            <w:tcW w:w="437" w:type="pct"/>
            <w:tcBorders>
              <w:top w:val="nil"/>
              <w:left w:val="nil"/>
              <w:bottom w:val="single" w:sz="4" w:space="0" w:color="auto"/>
              <w:right w:val="single" w:sz="4" w:space="0" w:color="auto"/>
            </w:tcBorders>
            <w:shd w:val="clear" w:color="auto" w:fill="auto"/>
            <w:noWrap/>
            <w:vAlign w:val="center"/>
            <w:hideMark/>
          </w:tcPr>
          <w:p w14:paraId="49B9579B" w14:textId="77777777" w:rsidR="00E3750C" w:rsidRPr="00521270" w:rsidRDefault="00E3750C" w:rsidP="00047864">
            <w:pPr>
              <w:spacing w:after="0" w:line="240" w:lineRule="auto"/>
              <w:jc w:val="right"/>
              <w:rPr>
                <w:rFonts w:ascii="Arial" w:eastAsia="Times New Roman" w:hAnsi="Arial" w:cs="Arial"/>
                <w:color w:val="000000"/>
                <w:sz w:val="18"/>
                <w:szCs w:val="18"/>
                <w:lang w:eastAsia="sl-SI"/>
              </w:rPr>
            </w:pPr>
            <w:r w:rsidRPr="00521270">
              <w:rPr>
                <w:rFonts w:ascii="Arial" w:hAnsi="Arial" w:cs="Arial"/>
                <w:color w:val="000000"/>
                <w:sz w:val="18"/>
                <w:szCs w:val="18"/>
              </w:rPr>
              <w:t>0,38 %</w:t>
            </w:r>
          </w:p>
        </w:tc>
        <w:tc>
          <w:tcPr>
            <w:tcW w:w="475" w:type="pct"/>
            <w:tcBorders>
              <w:top w:val="nil"/>
              <w:left w:val="nil"/>
              <w:bottom w:val="single" w:sz="4" w:space="0" w:color="auto"/>
              <w:right w:val="single" w:sz="4" w:space="0" w:color="auto"/>
            </w:tcBorders>
            <w:shd w:val="clear" w:color="auto" w:fill="auto"/>
            <w:noWrap/>
            <w:vAlign w:val="center"/>
            <w:hideMark/>
          </w:tcPr>
          <w:p w14:paraId="6662B823" w14:textId="77777777" w:rsidR="00E3750C" w:rsidRPr="00521270" w:rsidRDefault="00E3750C" w:rsidP="00047864">
            <w:pPr>
              <w:spacing w:after="0" w:line="240" w:lineRule="auto"/>
              <w:jc w:val="right"/>
              <w:rPr>
                <w:rFonts w:ascii="Arial" w:eastAsia="Times New Roman" w:hAnsi="Arial" w:cs="Arial"/>
                <w:color w:val="000000"/>
                <w:sz w:val="18"/>
                <w:szCs w:val="18"/>
                <w:lang w:eastAsia="sl-SI"/>
              </w:rPr>
            </w:pPr>
            <w:r w:rsidRPr="00521270">
              <w:rPr>
                <w:rFonts w:ascii="Arial" w:hAnsi="Arial" w:cs="Arial"/>
                <w:color w:val="000000"/>
                <w:sz w:val="18"/>
                <w:szCs w:val="18"/>
              </w:rPr>
              <w:t>0,53 %</w:t>
            </w:r>
          </w:p>
        </w:tc>
      </w:tr>
      <w:tr w:rsidR="00E3750C" w:rsidRPr="00521270" w14:paraId="678B036F" w14:textId="77777777" w:rsidTr="00047864">
        <w:trPr>
          <w:trHeight w:val="300"/>
        </w:trPr>
        <w:tc>
          <w:tcPr>
            <w:tcW w:w="1777" w:type="pct"/>
            <w:tcBorders>
              <w:top w:val="nil"/>
              <w:left w:val="single" w:sz="4" w:space="0" w:color="auto"/>
              <w:bottom w:val="single" w:sz="4" w:space="0" w:color="auto"/>
              <w:right w:val="single" w:sz="4" w:space="0" w:color="auto"/>
            </w:tcBorders>
            <w:shd w:val="clear" w:color="auto" w:fill="auto"/>
            <w:vAlign w:val="center"/>
            <w:hideMark/>
          </w:tcPr>
          <w:p w14:paraId="30FAC297" w14:textId="77777777" w:rsidR="00E3750C" w:rsidRPr="00521270" w:rsidRDefault="00E3750C" w:rsidP="00047864">
            <w:pPr>
              <w:spacing w:after="0" w:line="240" w:lineRule="auto"/>
              <w:rPr>
                <w:rFonts w:ascii="Arial" w:eastAsia="Times New Roman" w:hAnsi="Arial" w:cs="Arial"/>
                <w:color w:val="000000"/>
                <w:sz w:val="18"/>
                <w:szCs w:val="18"/>
                <w:lang w:eastAsia="sl-SI"/>
              </w:rPr>
            </w:pPr>
            <w:r w:rsidRPr="00521270">
              <w:rPr>
                <w:rFonts w:ascii="Arial" w:eastAsia="Times New Roman" w:hAnsi="Arial" w:cs="Arial"/>
                <w:color w:val="000000"/>
                <w:sz w:val="18"/>
                <w:szCs w:val="18"/>
                <w:lang w:eastAsia="sl-SI"/>
              </w:rPr>
              <w:t>Postopek s pogajanji po predhodni objavi</w:t>
            </w:r>
          </w:p>
        </w:tc>
        <w:tc>
          <w:tcPr>
            <w:tcW w:w="708" w:type="pct"/>
            <w:tcBorders>
              <w:top w:val="nil"/>
              <w:left w:val="nil"/>
              <w:bottom w:val="single" w:sz="4" w:space="0" w:color="auto"/>
              <w:right w:val="single" w:sz="4" w:space="0" w:color="auto"/>
            </w:tcBorders>
            <w:shd w:val="clear" w:color="auto" w:fill="auto"/>
            <w:vAlign w:val="center"/>
            <w:hideMark/>
          </w:tcPr>
          <w:p w14:paraId="1F07EFC0" w14:textId="77777777" w:rsidR="00E3750C" w:rsidRPr="00521270" w:rsidRDefault="00E3750C" w:rsidP="00047864">
            <w:pPr>
              <w:spacing w:after="0" w:line="240" w:lineRule="auto"/>
              <w:jc w:val="right"/>
              <w:rPr>
                <w:rFonts w:ascii="Arial" w:eastAsia="Times New Roman" w:hAnsi="Arial" w:cs="Arial"/>
                <w:color w:val="000000"/>
                <w:sz w:val="18"/>
                <w:szCs w:val="18"/>
                <w:lang w:eastAsia="sl-SI"/>
              </w:rPr>
            </w:pPr>
            <w:r w:rsidRPr="00521270">
              <w:rPr>
                <w:rFonts w:ascii="Arial" w:hAnsi="Arial" w:cs="Arial"/>
                <w:color w:val="000000"/>
                <w:sz w:val="18"/>
                <w:szCs w:val="18"/>
              </w:rPr>
              <w:t>47</w:t>
            </w:r>
          </w:p>
        </w:tc>
        <w:tc>
          <w:tcPr>
            <w:tcW w:w="622" w:type="pct"/>
            <w:tcBorders>
              <w:top w:val="nil"/>
              <w:left w:val="nil"/>
              <w:bottom w:val="single" w:sz="4" w:space="0" w:color="auto"/>
              <w:right w:val="single" w:sz="4" w:space="0" w:color="auto"/>
            </w:tcBorders>
            <w:shd w:val="clear" w:color="auto" w:fill="auto"/>
            <w:vAlign w:val="center"/>
            <w:hideMark/>
          </w:tcPr>
          <w:p w14:paraId="0E856AE0" w14:textId="77777777" w:rsidR="00E3750C" w:rsidRPr="00521270" w:rsidRDefault="00E3750C" w:rsidP="00047864">
            <w:pPr>
              <w:spacing w:after="0" w:line="240" w:lineRule="auto"/>
              <w:jc w:val="right"/>
              <w:rPr>
                <w:rFonts w:ascii="Arial" w:eastAsia="Times New Roman" w:hAnsi="Arial" w:cs="Arial"/>
                <w:color w:val="000000"/>
                <w:sz w:val="18"/>
                <w:szCs w:val="18"/>
                <w:lang w:eastAsia="sl-SI"/>
              </w:rPr>
            </w:pPr>
            <w:r w:rsidRPr="00521270">
              <w:rPr>
                <w:rFonts w:ascii="Arial" w:hAnsi="Arial" w:cs="Arial"/>
                <w:color w:val="000000"/>
                <w:sz w:val="18"/>
                <w:szCs w:val="18"/>
              </w:rPr>
              <w:t>14.542.338</w:t>
            </w:r>
          </w:p>
        </w:tc>
        <w:tc>
          <w:tcPr>
            <w:tcW w:w="491" w:type="pct"/>
            <w:tcBorders>
              <w:top w:val="nil"/>
              <w:left w:val="nil"/>
              <w:bottom w:val="single" w:sz="4" w:space="0" w:color="auto"/>
              <w:right w:val="single" w:sz="4" w:space="0" w:color="auto"/>
            </w:tcBorders>
            <w:shd w:val="clear" w:color="auto" w:fill="auto"/>
            <w:noWrap/>
            <w:vAlign w:val="center"/>
            <w:hideMark/>
          </w:tcPr>
          <w:p w14:paraId="2F61C9D9" w14:textId="77777777" w:rsidR="00E3750C" w:rsidRPr="00521270" w:rsidRDefault="00E3750C" w:rsidP="00047864">
            <w:pPr>
              <w:spacing w:after="0" w:line="240" w:lineRule="auto"/>
              <w:jc w:val="right"/>
              <w:rPr>
                <w:rFonts w:ascii="Arial" w:eastAsia="Times New Roman" w:hAnsi="Arial" w:cs="Arial"/>
                <w:color w:val="000000"/>
                <w:sz w:val="18"/>
                <w:szCs w:val="18"/>
                <w:lang w:eastAsia="sl-SI"/>
              </w:rPr>
            </w:pPr>
            <w:r w:rsidRPr="00521270">
              <w:rPr>
                <w:rFonts w:ascii="Arial" w:hAnsi="Arial" w:cs="Arial"/>
                <w:color w:val="000000"/>
                <w:sz w:val="18"/>
                <w:szCs w:val="18"/>
              </w:rPr>
              <w:t>0,91 %</w:t>
            </w:r>
          </w:p>
        </w:tc>
        <w:tc>
          <w:tcPr>
            <w:tcW w:w="491" w:type="pct"/>
            <w:tcBorders>
              <w:top w:val="nil"/>
              <w:left w:val="nil"/>
              <w:bottom w:val="single" w:sz="4" w:space="0" w:color="auto"/>
              <w:right w:val="single" w:sz="4" w:space="0" w:color="auto"/>
            </w:tcBorders>
            <w:shd w:val="clear" w:color="auto" w:fill="auto"/>
            <w:noWrap/>
            <w:vAlign w:val="center"/>
            <w:hideMark/>
          </w:tcPr>
          <w:p w14:paraId="558965B1" w14:textId="77777777" w:rsidR="00E3750C" w:rsidRPr="00521270" w:rsidRDefault="00E3750C" w:rsidP="00047864">
            <w:pPr>
              <w:spacing w:after="0" w:line="240" w:lineRule="auto"/>
              <w:jc w:val="right"/>
              <w:rPr>
                <w:rFonts w:ascii="Arial" w:eastAsia="Times New Roman" w:hAnsi="Arial" w:cs="Arial"/>
                <w:color w:val="000000"/>
                <w:sz w:val="18"/>
                <w:szCs w:val="18"/>
                <w:lang w:eastAsia="sl-SI"/>
              </w:rPr>
            </w:pPr>
            <w:r w:rsidRPr="00521270">
              <w:rPr>
                <w:rFonts w:ascii="Arial" w:hAnsi="Arial" w:cs="Arial"/>
                <w:color w:val="000000"/>
                <w:sz w:val="18"/>
                <w:szCs w:val="18"/>
              </w:rPr>
              <w:t>1,02 %</w:t>
            </w:r>
          </w:p>
        </w:tc>
        <w:tc>
          <w:tcPr>
            <w:tcW w:w="437" w:type="pct"/>
            <w:tcBorders>
              <w:top w:val="nil"/>
              <w:left w:val="nil"/>
              <w:bottom w:val="single" w:sz="4" w:space="0" w:color="auto"/>
              <w:right w:val="single" w:sz="4" w:space="0" w:color="auto"/>
            </w:tcBorders>
            <w:shd w:val="clear" w:color="auto" w:fill="auto"/>
            <w:noWrap/>
            <w:vAlign w:val="center"/>
            <w:hideMark/>
          </w:tcPr>
          <w:p w14:paraId="130F2BAB" w14:textId="77777777" w:rsidR="00E3750C" w:rsidRPr="00521270" w:rsidRDefault="00E3750C" w:rsidP="00047864">
            <w:pPr>
              <w:spacing w:after="0" w:line="240" w:lineRule="auto"/>
              <w:jc w:val="right"/>
              <w:rPr>
                <w:rFonts w:ascii="Arial" w:eastAsia="Times New Roman" w:hAnsi="Arial" w:cs="Arial"/>
                <w:color w:val="000000"/>
                <w:sz w:val="18"/>
                <w:szCs w:val="18"/>
                <w:lang w:eastAsia="sl-SI"/>
              </w:rPr>
            </w:pPr>
            <w:r w:rsidRPr="00521270">
              <w:rPr>
                <w:rFonts w:ascii="Arial" w:hAnsi="Arial" w:cs="Arial"/>
                <w:color w:val="000000"/>
                <w:sz w:val="18"/>
                <w:szCs w:val="18"/>
              </w:rPr>
              <w:t>0,27 %</w:t>
            </w:r>
          </w:p>
        </w:tc>
        <w:tc>
          <w:tcPr>
            <w:tcW w:w="475" w:type="pct"/>
            <w:tcBorders>
              <w:top w:val="nil"/>
              <w:left w:val="nil"/>
              <w:bottom w:val="single" w:sz="4" w:space="0" w:color="auto"/>
              <w:right w:val="single" w:sz="4" w:space="0" w:color="auto"/>
            </w:tcBorders>
            <w:shd w:val="clear" w:color="auto" w:fill="auto"/>
            <w:noWrap/>
            <w:vAlign w:val="center"/>
            <w:hideMark/>
          </w:tcPr>
          <w:p w14:paraId="480AF5F8" w14:textId="77777777" w:rsidR="00E3750C" w:rsidRPr="00521270" w:rsidRDefault="00E3750C" w:rsidP="00047864">
            <w:pPr>
              <w:spacing w:after="0" w:line="240" w:lineRule="auto"/>
              <w:jc w:val="right"/>
              <w:rPr>
                <w:rFonts w:ascii="Arial" w:eastAsia="Times New Roman" w:hAnsi="Arial" w:cs="Arial"/>
                <w:color w:val="000000"/>
                <w:sz w:val="18"/>
                <w:szCs w:val="18"/>
                <w:lang w:eastAsia="sl-SI"/>
              </w:rPr>
            </w:pPr>
            <w:r w:rsidRPr="00521270">
              <w:rPr>
                <w:rFonts w:ascii="Arial" w:hAnsi="Arial" w:cs="Arial"/>
                <w:color w:val="000000"/>
                <w:sz w:val="18"/>
                <w:szCs w:val="18"/>
              </w:rPr>
              <w:t>0,27 %</w:t>
            </w:r>
          </w:p>
        </w:tc>
      </w:tr>
      <w:tr w:rsidR="00E3750C" w:rsidRPr="00521270" w14:paraId="18AC2235" w14:textId="77777777" w:rsidTr="00047864">
        <w:trPr>
          <w:trHeight w:val="300"/>
        </w:trPr>
        <w:tc>
          <w:tcPr>
            <w:tcW w:w="177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B0F9915" w14:textId="77777777" w:rsidR="00E3750C" w:rsidRPr="00521270" w:rsidRDefault="00E3750C" w:rsidP="00047864">
            <w:pPr>
              <w:spacing w:after="0" w:line="240" w:lineRule="auto"/>
              <w:rPr>
                <w:rFonts w:ascii="Arial" w:eastAsia="Times New Roman" w:hAnsi="Arial" w:cs="Arial"/>
                <w:b/>
                <w:bCs/>
                <w:color w:val="000000"/>
                <w:sz w:val="18"/>
                <w:szCs w:val="18"/>
                <w:lang w:eastAsia="sl-SI"/>
              </w:rPr>
            </w:pPr>
            <w:r w:rsidRPr="00521270">
              <w:rPr>
                <w:rFonts w:ascii="Arial" w:eastAsia="Times New Roman" w:hAnsi="Arial" w:cs="Arial"/>
                <w:b/>
                <w:bCs/>
                <w:color w:val="000000"/>
                <w:sz w:val="18"/>
                <w:szCs w:val="18"/>
                <w:lang w:eastAsia="sl-SI"/>
              </w:rPr>
              <w:t>Skupaj</w:t>
            </w:r>
          </w:p>
        </w:tc>
        <w:tc>
          <w:tcPr>
            <w:tcW w:w="708" w:type="pct"/>
            <w:tcBorders>
              <w:top w:val="nil"/>
              <w:left w:val="nil"/>
              <w:bottom w:val="single" w:sz="4" w:space="0" w:color="auto"/>
              <w:right w:val="single" w:sz="4" w:space="0" w:color="auto"/>
            </w:tcBorders>
            <w:shd w:val="clear" w:color="auto" w:fill="F2F2F2" w:themeFill="background1" w:themeFillShade="F2"/>
            <w:noWrap/>
            <w:vAlign w:val="center"/>
            <w:hideMark/>
          </w:tcPr>
          <w:p w14:paraId="007099B8" w14:textId="77777777" w:rsidR="00E3750C" w:rsidRPr="00521270" w:rsidRDefault="00E3750C" w:rsidP="00047864">
            <w:pPr>
              <w:spacing w:after="0" w:line="240" w:lineRule="auto"/>
              <w:jc w:val="right"/>
              <w:rPr>
                <w:rFonts w:ascii="Arial" w:eastAsia="Times New Roman" w:hAnsi="Arial" w:cs="Arial"/>
                <w:b/>
                <w:bCs/>
                <w:color w:val="000000"/>
                <w:sz w:val="18"/>
                <w:szCs w:val="18"/>
                <w:lang w:eastAsia="sl-SI"/>
              </w:rPr>
            </w:pPr>
            <w:r w:rsidRPr="00521270">
              <w:rPr>
                <w:rFonts w:ascii="Arial" w:hAnsi="Arial" w:cs="Arial"/>
                <w:b/>
                <w:bCs/>
                <w:color w:val="000000"/>
                <w:sz w:val="18"/>
                <w:szCs w:val="18"/>
              </w:rPr>
              <w:t>5.162</w:t>
            </w:r>
          </w:p>
        </w:tc>
        <w:tc>
          <w:tcPr>
            <w:tcW w:w="622" w:type="pct"/>
            <w:tcBorders>
              <w:top w:val="nil"/>
              <w:left w:val="nil"/>
              <w:bottom w:val="single" w:sz="4" w:space="0" w:color="auto"/>
              <w:right w:val="single" w:sz="4" w:space="0" w:color="auto"/>
            </w:tcBorders>
            <w:shd w:val="clear" w:color="auto" w:fill="F2F2F2" w:themeFill="background1" w:themeFillShade="F2"/>
            <w:noWrap/>
            <w:vAlign w:val="center"/>
            <w:hideMark/>
          </w:tcPr>
          <w:p w14:paraId="7AC5C836" w14:textId="77777777" w:rsidR="00E3750C" w:rsidRPr="00521270" w:rsidRDefault="00E3750C" w:rsidP="00047864">
            <w:pPr>
              <w:spacing w:after="0" w:line="240" w:lineRule="auto"/>
              <w:jc w:val="right"/>
              <w:rPr>
                <w:rFonts w:ascii="Arial" w:eastAsia="Times New Roman" w:hAnsi="Arial" w:cs="Arial"/>
                <w:b/>
                <w:bCs/>
                <w:color w:val="000000"/>
                <w:sz w:val="18"/>
                <w:szCs w:val="18"/>
                <w:lang w:eastAsia="sl-SI"/>
              </w:rPr>
            </w:pPr>
            <w:r w:rsidRPr="00521270">
              <w:rPr>
                <w:rFonts w:ascii="Arial" w:hAnsi="Arial" w:cs="Arial"/>
                <w:b/>
                <w:bCs/>
                <w:color w:val="000000"/>
                <w:sz w:val="18"/>
                <w:szCs w:val="18"/>
              </w:rPr>
              <w:t>1.422.738.797</w:t>
            </w:r>
          </w:p>
        </w:tc>
        <w:tc>
          <w:tcPr>
            <w:tcW w:w="491" w:type="pct"/>
            <w:tcBorders>
              <w:top w:val="nil"/>
              <w:left w:val="nil"/>
              <w:bottom w:val="single" w:sz="4" w:space="0" w:color="auto"/>
              <w:right w:val="single" w:sz="4" w:space="0" w:color="auto"/>
            </w:tcBorders>
            <w:shd w:val="clear" w:color="auto" w:fill="F2F2F2" w:themeFill="background1" w:themeFillShade="F2"/>
            <w:noWrap/>
            <w:vAlign w:val="center"/>
            <w:hideMark/>
          </w:tcPr>
          <w:p w14:paraId="109EAB72" w14:textId="77777777" w:rsidR="00E3750C" w:rsidRPr="00521270" w:rsidRDefault="00E3750C" w:rsidP="00047864">
            <w:pPr>
              <w:spacing w:after="0" w:line="240" w:lineRule="auto"/>
              <w:jc w:val="right"/>
              <w:rPr>
                <w:rFonts w:ascii="Arial" w:eastAsia="Times New Roman" w:hAnsi="Arial" w:cs="Arial"/>
                <w:b/>
                <w:bCs/>
                <w:color w:val="000000"/>
                <w:sz w:val="18"/>
                <w:szCs w:val="18"/>
                <w:lang w:eastAsia="sl-SI"/>
              </w:rPr>
            </w:pPr>
            <w:r w:rsidRPr="00521270">
              <w:rPr>
                <w:rFonts w:ascii="Arial" w:hAnsi="Arial" w:cs="Arial"/>
                <w:b/>
                <w:bCs/>
                <w:color w:val="000000"/>
                <w:sz w:val="18"/>
                <w:szCs w:val="18"/>
              </w:rPr>
              <w:t>100,00 %</w:t>
            </w:r>
          </w:p>
        </w:tc>
        <w:tc>
          <w:tcPr>
            <w:tcW w:w="491" w:type="pct"/>
            <w:tcBorders>
              <w:top w:val="nil"/>
              <w:left w:val="nil"/>
              <w:bottom w:val="single" w:sz="4" w:space="0" w:color="auto"/>
              <w:right w:val="single" w:sz="4" w:space="0" w:color="auto"/>
            </w:tcBorders>
            <w:shd w:val="clear" w:color="auto" w:fill="F2F2F2" w:themeFill="background1" w:themeFillShade="F2"/>
            <w:noWrap/>
            <w:vAlign w:val="center"/>
            <w:hideMark/>
          </w:tcPr>
          <w:p w14:paraId="3223DBC1" w14:textId="77777777" w:rsidR="00E3750C" w:rsidRPr="00521270" w:rsidRDefault="00E3750C" w:rsidP="00047864">
            <w:pPr>
              <w:spacing w:after="0" w:line="240" w:lineRule="auto"/>
              <w:jc w:val="right"/>
              <w:rPr>
                <w:rFonts w:ascii="Arial" w:eastAsia="Times New Roman" w:hAnsi="Arial" w:cs="Arial"/>
                <w:b/>
                <w:bCs/>
                <w:color w:val="000000"/>
                <w:sz w:val="18"/>
                <w:szCs w:val="18"/>
                <w:lang w:eastAsia="sl-SI"/>
              </w:rPr>
            </w:pPr>
            <w:r w:rsidRPr="00521270">
              <w:rPr>
                <w:rFonts w:ascii="Arial" w:hAnsi="Arial" w:cs="Arial"/>
                <w:b/>
                <w:bCs/>
                <w:color w:val="000000"/>
                <w:sz w:val="18"/>
                <w:szCs w:val="18"/>
              </w:rPr>
              <w:t>100,00 %</w:t>
            </w:r>
          </w:p>
        </w:tc>
        <w:tc>
          <w:tcPr>
            <w:tcW w:w="437" w:type="pct"/>
            <w:tcBorders>
              <w:top w:val="nil"/>
              <w:left w:val="nil"/>
              <w:bottom w:val="single" w:sz="4" w:space="0" w:color="auto"/>
              <w:right w:val="single" w:sz="4" w:space="0" w:color="auto"/>
            </w:tcBorders>
            <w:shd w:val="clear" w:color="auto" w:fill="F2F2F2" w:themeFill="background1" w:themeFillShade="F2"/>
            <w:noWrap/>
            <w:vAlign w:val="center"/>
            <w:hideMark/>
          </w:tcPr>
          <w:p w14:paraId="24B23C74" w14:textId="77777777" w:rsidR="00E3750C" w:rsidRPr="00521270" w:rsidRDefault="00E3750C" w:rsidP="00047864">
            <w:pPr>
              <w:spacing w:after="0" w:line="240" w:lineRule="auto"/>
              <w:jc w:val="right"/>
              <w:rPr>
                <w:rFonts w:ascii="Arial" w:eastAsia="Times New Roman" w:hAnsi="Arial" w:cs="Arial"/>
                <w:b/>
                <w:bCs/>
                <w:color w:val="000000"/>
                <w:sz w:val="18"/>
                <w:szCs w:val="18"/>
                <w:lang w:eastAsia="sl-SI"/>
              </w:rPr>
            </w:pPr>
            <w:r w:rsidRPr="00521270">
              <w:rPr>
                <w:rFonts w:ascii="Arial" w:hAnsi="Arial" w:cs="Arial"/>
                <w:b/>
                <w:bCs/>
                <w:color w:val="000000"/>
                <w:sz w:val="18"/>
                <w:szCs w:val="18"/>
              </w:rPr>
              <w:t>29,97 %</w:t>
            </w:r>
          </w:p>
        </w:tc>
        <w:tc>
          <w:tcPr>
            <w:tcW w:w="475" w:type="pct"/>
            <w:tcBorders>
              <w:top w:val="nil"/>
              <w:left w:val="nil"/>
              <w:bottom w:val="single" w:sz="4" w:space="0" w:color="auto"/>
              <w:right w:val="single" w:sz="4" w:space="0" w:color="auto"/>
            </w:tcBorders>
            <w:shd w:val="clear" w:color="auto" w:fill="F2F2F2" w:themeFill="background1" w:themeFillShade="F2"/>
            <w:noWrap/>
            <w:vAlign w:val="center"/>
            <w:hideMark/>
          </w:tcPr>
          <w:p w14:paraId="64C5F09A" w14:textId="77777777" w:rsidR="00E3750C" w:rsidRPr="00521270" w:rsidRDefault="00E3750C" w:rsidP="00047864">
            <w:pPr>
              <w:spacing w:after="0" w:line="240" w:lineRule="auto"/>
              <w:jc w:val="right"/>
              <w:rPr>
                <w:rFonts w:ascii="Arial" w:eastAsia="Times New Roman" w:hAnsi="Arial" w:cs="Arial"/>
                <w:b/>
                <w:bCs/>
                <w:color w:val="000000"/>
                <w:sz w:val="18"/>
                <w:szCs w:val="18"/>
                <w:lang w:eastAsia="sl-SI"/>
              </w:rPr>
            </w:pPr>
            <w:r w:rsidRPr="00521270">
              <w:rPr>
                <w:rFonts w:ascii="Arial" w:hAnsi="Arial" w:cs="Arial"/>
                <w:b/>
                <w:bCs/>
                <w:color w:val="000000"/>
                <w:sz w:val="18"/>
                <w:szCs w:val="18"/>
              </w:rPr>
              <w:t>26,26 %</w:t>
            </w:r>
          </w:p>
        </w:tc>
      </w:tr>
    </w:tbl>
    <w:p w14:paraId="1EA91210" w14:textId="77777777" w:rsidR="00E3750C" w:rsidRPr="00521270" w:rsidRDefault="00E3750C" w:rsidP="00E3750C">
      <w:pPr>
        <w:spacing w:after="0" w:line="240" w:lineRule="auto"/>
        <w:rPr>
          <w:rFonts w:ascii="Arial" w:hAnsi="Arial" w:cs="Arial"/>
          <w:sz w:val="20"/>
          <w:szCs w:val="20"/>
        </w:rPr>
      </w:pPr>
    </w:p>
    <w:p w14:paraId="5726BC3D" w14:textId="77777777" w:rsidR="00E3750C" w:rsidRPr="00421089" w:rsidRDefault="00E3750C" w:rsidP="00E3750C">
      <w:pPr>
        <w:spacing w:before="120" w:after="0" w:line="240" w:lineRule="auto"/>
        <w:rPr>
          <w:rFonts w:ascii="Arial" w:hAnsi="Arial" w:cs="Arial"/>
          <w:sz w:val="20"/>
        </w:rPr>
      </w:pPr>
      <w:r w:rsidRPr="00421089">
        <w:rPr>
          <w:rFonts w:ascii="Arial" w:hAnsi="Arial" w:cs="Arial"/>
          <w:sz w:val="20"/>
          <w:szCs w:val="20"/>
        </w:rPr>
        <w:t>Preglednica 10</w:t>
      </w:r>
      <w:r>
        <w:rPr>
          <w:rFonts w:ascii="Arial" w:hAnsi="Arial" w:cs="Arial"/>
          <w:sz w:val="20"/>
          <w:szCs w:val="20"/>
        </w:rPr>
        <w:t>1</w:t>
      </w:r>
      <w:r w:rsidRPr="00421089">
        <w:rPr>
          <w:rFonts w:ascii="Arial" w:hAnsi="Arial" w:cs="Arial"/>
          <w:sz w:val="20"/>
          <w:szCs w:val="20"/>
        </w:rPr>
        <w:t xml:space="preserve">: </w:t>
      </w:r>
      <w:r w:rsidRPr="00421089">
        <w:rPr>
          <w:rFonts w:ascii="Arial" w:hAnsi="Arial" w:cs="Arial"/>
          <w:sz w:val="20"/>
        </w:rPr>
        <w:t xml:space="preserve">Število in vrednosti ter deleži zelenih naročil glede na način vključevanja </w:t>
      </w:r>
      <w:proofErr w:type="spellStart"/>
      <w:r w:rsidRPr="00421089">
        <w:rPr>
          <w:rFonts w:ascii="Arial" w:hAnsi="Arial" w:cs="Arial"/>
          <w:sz w:val="20"/>
        </w:rPr>
        <w:t>okoljskih</w:t>
      </w:r>
      <w:proofErr w:type="spellEnd"/>
      <w:r w:rsidRPr="00421089">
        <w:rPr>
          <w:rFonts w:ascii="Arial" w:hAnsi="Arial" w:cs="Arial"/>
          <w:sz w:val="20"/>
        </w:rPr>
        <w:t xml:space="preserve"> vidikov</w:t>
      </w:r>
    </w:p>
    <w:p w14:paraId="0410547E" w14:textId="77777777" w:rsidR="00E3750C" w:rsidRPr="00421089" w:rsidRDefault="00E3750C" w:rsidP="00E3750C">
      <w:pPr>
        <w:spacing w:after="0" w:line="240" w:lineRule="auto"/>
        <w:rPr>
          <w:rFonts w:ascii="Arial" w:hAnsi="Arial" w:cs="Arial"/>
          <w:sz w:val="20"/>
        </w:rPr>
      </w:pPr>
    </w:p>
    <w:tbl>
      <w:tblPr>
        <w:tblW w:w="5000" w:type="pct"/>
        <w:tblCellMar>
          <w:left w:w="70" w:type="dxa"/>
          <w:right w:w="70" w:type="dxa"/>
        </w:tblCellMar>
        <w:tblLook w:val="04A0" w:firstRow="1" w:lastRow="0" w:firstColumn="1" w:lastColumn="0" w:noHBand="0" w:noVBand="1"/>
      </w:tblPr>
      <w:tblGrid>
        <w:gridCol w:w="3395"/>
        <w:gridCol w:w="1178"/>
        <w:gridCol w:w="1141"/>
        <w:gridCol w:w="848"/>
        <w:gridCol w:w="872"/>
        <w:gridCol w:w="868"/>
        <w:gridCol w:w="872"/>
      </w:tblGrid>
      <w:tr w:rsidR="00E3750C" w:rsidRPr="00421089" w14:paraId="05F0554F" w14:textId="77777777" w:rsidTr="00047864">
        <w:trPr>
          <w:trHeight w:val="859"/>
          <w:tblHeader/>
        </w:trPr>
        <w:tc>
          <w:tcPr>
            <w:tcW w:w="1850"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01862192" w14:textId="77777777" w:rsidR="00E3750C" w:rsidRPr="00421089" w:rsidRDefault="00E3750C" w:rsidP="00047864">
            <w:pPr>
              <w:spacing w:after="0" w:line="240" w:lineRule="auto"/>
              <w:jc w:val="center"/>
              <w:rPr>
                <w:rFonts w:ascii="Arial" w:eastAsia="Times New Roman" w:hAnsi="Arial" w:cs="Arial"/>
                <w:color w:val="000000"/>
                <w:sz w:val="18"/>
                <w:szCs w:val="18"/>
                <w:lang w:eastAsia="sl-SI"/>
              </w:rPr>
            </w:pPr>
            <w:r w:rsidRPr="00421089">
              <w:rPr>
                <w:rFonts w:ascii="Arial" w:eastAsia="Times New Roman" w:hAnsi="Arial" w:cs="Arial"/>
                <w:color w:val="000000"/>
                <w:sz w:val="18"/>
                <w:szCs w:val="18"/>
                <w:lang w:eastAsia="sl-SI"/>
              </w:rPr>
              <w:t xml:space="preserve">Način vključevanja </w:t>
            </w:r>
            <w:proofErr w:type="spellStart"/>
            <w:r w:rsidRPr="00421089">
              <w:rPr>
                <w:rFonts w:ascii="Arial" w:eastAsia="Times New Roman" w:hAnsi="Arial" w:cs="Arial"/>
                <w:color w:val="000000"/>
                <w:sz w:val="18"/>
                <w:szCs w:val="18"/>
                <w:lang w:eastAsia="sl-SI"/>
              </w:rPr>
              <w:t>okoljskih</w:t>
            </w:r>
            <w:proofErr w:type="spellEnd"/>
            <w:r w:rsidRPr="00421089">
              <w:rPr>
                <w:rFonts w:ascii="Arial" w:eastAsia="Times New Roman" w:hAnsi="Arial" w:cs="Arial"/>
                <w:color w:val="000000"/>
                <w:sz w:val="18"/>
                <w:szCs w:val="18"/>
                <w:lang w:eastAsia="sl-SI"/>
              </w:rPr>
              <w:t xml:space="preserve"> vidikov v javno naročanje</w:t>
            </w:r>
          </w:p>
        </w:tc>
        <w:tc>
          <w:tcPr>
            <w:tcW w:w="642" w:type="pct"/>
            <w:tcBorders>
              <w:top w:val="single" w:sz="4" w:space="0" w:color="auto"/>
              <w:left w:val="nil"/>
              <w:bottom w:val="single" w:sz="4" w:space="0" w:color="auto"/>
              <w:right w:val="single" w:sz="4" w:space="0" w:color="auto"/>
            </w:tcBorders>
            <w:shd w:val="clear" w:color="000000" w:fill="F2F2F2"/>
            <w:vAlign w:val="center"/>
            <w:hideMark/>
          </w:tcPr>
          <w:p w14:paraId="11C28F92" w14:textId="77777777" w:rsidR="00E3750C" w:rsidRPr="00421089" w:rsidRDefault="00E3750C" w:rsidP="00047864">
            <w:pPr>
              <w:spacing w:after="0" w:line="240" w:lineRule="auto"/>
              <w:jc w:val="center"/>
              <w:rPr>
                <w:rFonts w:ascii="Arial" w:eastAsia="Times New Roman" w:hAnsi="Arial" w:cs="Arial"/>
                <w:color w:val="000000"/>
                <w:sz w:val="18"/>
                <w:szCs w:val="18"/>
                <w:lang w:eastAsia="sl-SI"/>
              </w:rPr>
            </w:pPr>
            <w:r w:rsidRPr="00421089">
              <w:rPr>
                <w:rFonts w:ascii="Arial" w:eastAsia="Times New Roman" w:hAnsi="Arial" w:cs="Arial"/>
                <w:color w:val="000000"/>
                <w:sz w:val="18"/>
                <w:szCs w:val="18"/>
                <w:lang w:eastAsia="sl-SI"/>
              </w:rPr>
              <w:t>Št. zelenih naročil</w:t>
            </w:r>
          </w:p>
        </w:tc>
        <w:tc>
          <w:tcPr>
            <w:tcW w:w="622" w:type="pct"/>
            <w:tcBorders>
              <w:top w:val="single" w:sz="4" w:space="0" w:color="auto"/>
              <w:left w:val="nil"/>
              <w:bottom w:val="single" w:sz="4" w:space="0" w:color="auto"/>
              <w:right w:val="single" w:sz="4" w:space="0" w:color="auto"/>
            </w:tcBorders>
            <w:shd w:val="clear" w:color="000000" w:fill="F2F2F2"/>
            <w:vAlign w:val="center"/>
            <w:hideMark/>
          </w:tcPr>
          <w:p w14:paraId="700A89FC" w14:textId="77777777" w:rsidR="00E3750C" w:rsidRPr="00421089" w:rsidRDefault="00E3750C" w:rsidP="00047864">
            <w:pPr>
              <w:spacing w:after="0" w:line="240" w:lineRule="auto"/>
              <w:jc w:val="center"/>
              <w:rPr>
                <w:rFonts w:ascii="Arial" w:eastAsia="Times New Roman" w:hAnsi="Arial" w:cs="Arial"/>
                <w:color w:val="000000"/>
                <w:sz w:val="18"/>
                <w:szCs w:val="18"/>
                <w:lang w:eastAsia="sl-SI"/>
              </w:rPr>
            </w:pPr>
            <w:r w:rsidRPr="00421089">
              <w:rPr>
                <w:rFonts w:ascii="Arial" w:eastAsia="Times New Roman" w:hAnsi="Arial" w:cs="Arial"/>
                <w:color w:val="000000"/>
                <w:sz w:val="18"/>
                <w:szCs w:val="18"/>
                <w:lang w:eastAsia="sl-SI"/>
              </w:rPr>
              <w:t>Pogodbena vrednost</w:t>
            </w:r>
          </w:p>
        </w:tc>
        <w:tc>
          <w:tcPr>
            <w:tcW w:w="462" w:type="pct"/>
            <w:tcBorders>
              <w:top w:val="single" w:sz="4" w:space="0" w:color="auto"/>
              <w:left w:val="nil"/>
              <w:bottom w:val="single" w:sz="4" w:space="0" w:color="auto"/>
              <w:right w:val="single" w:sz="4" w:space="0" w:color="auto"/>
            </w:tcBorders>
            <w:shd w:val="clear" w:color="000000" w:fill="F2F2F2"/>
            <w:vAlign w:val="center"/>
            <w:hideMark/>
          </w:tcPr>
          <w:p w14:paraId="5F5C8BDB" w14:textId="77777777" w:rsidR="00E3750C" w:rsidRPr="00421089" w:rsidRDefault="00E3750C" w:rsidP="00047864">
            <w:pPr>
              <w:spacing w:after="0" w:line="240" w:lineRule="auto"/>
              <w:jc w:val="center"/>
              <w:rPr>
                <w:rFonts w:ascii="Arial" w:eastAsia="Times New Roman" w:hAnsi="Arial" w:cs="Arial"/>
                <w:color w:val="000000"/>
                <w:sz w:val="18"/>
                <w:szCs w:val="18"/>
                <w:lang w:eastAsia="sl-SI"/>
              </w:rPr>
            </w:pPr>
            <w:r w:rsidRPr="00421089">
              <w:rPr>
                <w:rFonts w:ascii="Arial" w:eastAsia="Times New Roman" w:hAnsi="Arial" w:cs="Arial"/>
                <w:color w:val="000000"/>
                <w:sz w:val="18"/>
                <w:szCs w:val="18"/>
                <w:lang w:eastAsia="sl-SI"/>
              </w:rPr>
              <w:t>Delež v št. zelenih naročil</w:t>
            </w:r>
          </w:p>
        </w:tc>
        <w:tc>
          <w:tcPr>
            <w:tcW w:w="475" w:type="pct"/>
            <w:tcBorders>
              <w:top w:val="single" w:sz="4" w:space="0" w:color="auto"/>
              <w:left w:val="nil"/>
              <w:bottom w:val="single" w:sz="4" w:space="0" w:color="auto"/>
              <w:right w:val="single" w:sz="4" w:space="0" w:color="auto"/>
            </w:tcBorders>
            <w:shd w:val="clear" w:color="000000" w:fill="F2F2F2"/>
            <w:vAlign w:val="center"/>
            <w:hideMark/>
          </w:tcPr>
          <w:p w14:paraId="7C6E4A2A" w14:textId="77777777" w:rsidR="00E3750C" w:rsidRPr="00421089" w:rsidRDefault="00E3750C" w:rsidP="00047864">
            <w:pPr>
              <w:spacing w:after="0" w:line="240" w:lineRule="auto"/>
              <w:jc w:val="center"/>
              <w:rPr>
                <w:rFonts w:ascii="Arial" w:eastAsia="Times New Roman" w:hAnsi="Arial" w:cs="Arial"/>
                <w:color w:val="000000"/>
                <w:sz w:val="18"/>
                <w:szCs w:val="18"/>
                <w:lang w:eastAsia="sl-SI"/>
              </w:rPr>
            </w:pPr>
            <w:r w:rsidRPr="00421089">
              <w:rPr>
                <w:rFonts w:ascii="Arial" w:eastAsia="Times New Roman" w:hAnsi="Arial" w:cs="Arial"/>
                <w:color w:val="000000"/>
                <w:sz w:val="18"/>
                <w:szCs w:val="18"/>
                <w:lang w:eastAsia="sl-SI"/>
              </w:rPr>
              <w:t>Delež v vrednosti zelenih naročil</w:t>
            </w:r>
          </w:p>
        </w:tc>
        <w:tc>
          <w:tcPr>
            <w:tcW w:w="473" w:type="pct"/>
            <w:tcBorders>
              <w:top w:val="single" w:sz="4" w:space="0" w:color="auto"/>
              <w:left w:val="nil"/>
              <w:bottom w:val="single" w:sz="4" w:space="0" w:color="auto"/>
              <w:right w:val="single" w:sz="4" w:space="0" w:color="auto"/>
            </w:tcBorders>
            <w:shd w:val="clear" w:color="000000" w:fill="F2F2F2"/>
            <w:vAlign w:val="center"/>
            <w:hideMark/>
          </w:tcPr>
          <w:p w14:paraId="2E2025E5" w14:textId="77777777" w:rsidR="00E3750C" w:rsidRPr="00421089" w:rsidRDefault="00E3750C" w:rsidP="00047864">
            <w:pPr>
              <w:spacing w:after="0" w:line="240" w:lineRule="auto"/>
              <w:jc w:val="center"/>
              <w:rPr>
                <w:rFonts w:ascii="Arial" w:eastAsia="Times New Roman" w:hAnsi="Arial" w:cs="Arial"/>
                <w:color w:val="000000"/>
                <w:sz w:val="18"/>
                <w:szCs w:val="18"/>
                <w:lang w:eastAsia="sl-SI"/>
              </w:rPr>
            </w:pPr>
            <w:r w:rsidRPr="00421089">
              <w:rPr>
                <w:rFonts w:ascii="Arial" w:eastAsia="Times New Roman" w:hAnsi="Arial" w:cs="Arial"/>
                <w:color w:val="000000"/>
                <w:sz w:val="18"/>
                <w:szCs w:val="18"/>
                <w:lang w:eastAsia="sl-SI"/>
              </w:rPr>
              <w:t>Delež v št. vseh naročil</w:t>
            </w:r>
          </w:p>
        </w:tc>
        <w:tc>
          <w:tcPr>
            <w:tcW w:w="475" w:type="pct"/>
            <w:tcBorders>
              <w:top w:val="single" w:sz="4" w:space="0" w:color="auto"/>
              <w:left w:val="nil"/>
              <w:bottom w:val="single" w:sz="4" w:space="0" w:color="auto"/>
              <w:right w:val="single" w:sz="4" w:space="0" w:color="auto"/>
            </w:tcBorders>
            <w:shd w:val="clear" w:color="000000" w:fill="F2F2F2"/>
            <w:vAlign w:val="center"/>
            <w:hideMark/>
          </w:tcPr>
          <w:p w14:paraId="225A86C1" w14:textId="77777777" w:rsidR="00E3750C" w:rsidRPr="00421089" w:rsidRDefault="00E3750C" w:rsidP="00047864">
            <w:pPr>
              <w:spacing w:after="0" w:line="240" w:lineRule="auto"/>
              <w:jc w:val="center"/>
              <w:rPr>
                <w:rFonts w:ascii="Arial" w:eastAsia="Times New Roman" w:hAnsi="Arial" w:cs="Arial"/>
                <w:color w:val="000000"/>
                <w:sz w:val="18"/>
                <w:szCs w:val="18"/>
                <w:lang w:eastAsia="sl-SI"/>
              </w:rPr>
            </w:pPr>
            <w:r w:rsidRPr="00421089">
              <w:rPr>
                <w:rFonts w:ascii="Arial" w:eastAsia="Times New Roman" w:hAnsi="Arial" w:cs="Arial"/>
                <w:color w:val="000000"/>
                <w:sz w:val="18"/>
                <w:szCs w:val="18"/>
                <w:lang w:eastAsia="sl-SI"/>
              </w:rPr>
              <w:t>Delež v vrednosti vseh naročil</w:t>
            </w:r>
          </w:p>
        </w:tc>
      </w:tr>
      <w:tr w:rsidR="00E3750C" w:rsidRPr="00421089" w14:paraId="69C8D774" w14:textId="77777777" w:rsidTr="00047864">
        <w:trPr>
          <w:trHeight w:val="300"/>
        </w:trPr>
        <w:tc>
          <w:tcPr>
            <w:tcW w:w="1850" w:type="pct"/>
            <w:tcBorders>
              <w:top w:val="nil"/>
              <w:left w:val="single" w:sz="4" w:space="0" w:color="auto"/>
              <w:bottom w:val="single" w:sz="4" w:space="0" w:color="auto"/>
              <w:right w:val="single" w:sz="4" w:space="0" w:color="auto"/>
            </w:tcBorders>
            <w:shd w:val="clear" w:color="auto" w:fill="auto"/>
            <w:vAlign w:val="center"/>
            <w:hideMark/>
          </w:tcPr>
          <w:p w14:paraId="70057E34" w14:textId="77777777" w:rsidR="00E3750C" w:rsidRPr="00421089" w:rsidRDefault="00E3750C" w:rsidP="00047864">
            <w:pPr>
              <w:spacing w:after="0" w:line="240" w:lineRule="auto"/>
              <w:jc w:val="both"/>
              <w:rPr>
                <w:rFonts w:ascii="Arial" w:eastAsia="Times New Roman" w:hAnsi="Arial" w:cs="Arial"/>
                <w:color w:val="000000"/>
                <w:sz w:val="18"/>
                <w:szCs w:val="18"/>
                <w:lang w:eastAsia="sl-SI"/>
              </w:rPr>
            </w:pPr>
            <w:r w:rsidRPr="00421089">
              <w:rPr>
                <w:rFonts w:ascii="Arial" w:eastAsia="Times New Roman" w:hAnsi="Arial" w:cs="Arial"/>
                <w:color w:val="000000"/>
                <w:sz w:val="18"/>
                <w:szCs w:val="18"/>
                <w:lang w:eastAsia="sl-SI"/>
              </w:rPr>
              <w:t>Tehnične specifikacije</w:t>
            </w:r>
          </w:p>
        </w:tc>
        <w:tc>
          <w:tcPr>
            <w:tcW w:w="642" w:type="pct"/>
            <w:tcBorders>
              <w:top w:val="nil"/>
              <w:left w:val="nil"/>
              <w:bottom w:val="single" w:sz="4" w:space="0" w:color="auto"/>
              <w:right w:val="single" w:sz="4" w:space="0" w:color="auto"/>
            </w:tcBorders>
            <w:shd w:val="clear" w:color="auto" w:fill="auto"/>
            <w:vAlign w:val="center"/>
            <w:hideMark/>
          </w:tcPr>
          <w:p w14:paraId="1DC78E2C" w14:textId="77777777" w:rsidR="00E3750C" w:rsidRPr="00421089" w:rsidRDefault="00E3750C" w:rsidP="00047864">
            <w:pPr>
              <w:spacing w:after="0" w:line="240" w:lineRule="auto"/>
              <w:jc w:val="right"/>
              <w:rPr>
                <w:rFonts w:ascii="Arial" w:hAnsi="Arial" w:cs="Arial"/>
                <w:color w:val="000000"/>
                <w:sz w:val="18"/>
                <w:szCs w:val="18"/>
              </w:rPr>
            </w:pPr>
            <w:r w:rsidRPr="00421089">
              <w:rPr>
                <w:rFonts w:ascii="Arial" w:hAnsi="Arial" w:cs="Arial"/>
                <w:color w:val="000000"/>
                <w:sz w:val="18"/>
                <w:szCs w:val="18"/>
              </w:rPr>
              <w:t>3.228</w:t>
            </w:r>
          </w:p>
        </w:tc>
        <w:tc>
          <w:tcPr>
            <w:tcW w:w="622" w:type="pct"/>
            <w:tcBorders>
              <w:top w:val="nil"/>
              <w:left w:val="nil"/>
              <w:bottom w:val="single" w:sz="4" w:space="0" w:color="auto"/>
              <w:right w:val="single" w:sz="4" w:space="0" w:color="auto"/>
            </w:tcBorders>
            <w:shd w:val="clear" w:color="auto" w:fill="auto"/>
            <w:vAlign w:val="center"/>
            <w:hideMark/>
          </w:tcPr>
          <w:p w14:paraId="0BA5FC70" w14:textId="77777777" w:rsidR="00E3750C" w:rsidRPr="00421089" w:rsidRDefault="00E3750C" w:rsidP="00047864">
            <w:pPr>
              <w:spacing w:after="0" w:line="240" w:lineRule="auto"/>
              <w:jc w:val="right"/>
              <w:rPr>
                <w:rFonts w:ascii="Arial" w:hAnsi="Arial" w:cs="Arial"/>
                <w:color w:val="000000"/>
                <w:sz w:val="18"/>
                <w:szCs w:val="18"/>
              </w:rPr>
            </w:pPr>
            <w:r w:rsidRPr="00421089">
              <w:rPr>
                <w:rFonts w:ascii="Arial" w:hAnsi="Arial" w:cs="Arial"/>
                <w:color w:val="000000"/>
                <w:sz w:val="18"/>
                <w:szCs w:val="18"/>
              </w:rPr>
              <w:t>967.776.478</w:t>
            </w:r>
          </w:p>
        </w:tc>
        <w:tc>
          <w:tcPr>
            <w:tcW w:w="462" w:type="pct"/>
            <w:tcBorders>
              <w:top w:val="nil"/>
              <w:left w:val="nil"/>
              <w:bottom w:val="single" w:sz="4" w:space="0" w:color="auto"/>
              <w:right w:val="single" w:sz="4" w:space="0" w:color="auto"/>
            </w:tcBorders>
            <w:shd w:val="clear" w:color="auto" w:fill="auto"/>
            <w:vAlign w:val="center"/>
            <w:hideMark/>
          </w:tcPr>
          <w:p w14:paraId="79D20EFA" w14:textId="77777777" w:rsidR="00E3750C" w:rsidRPr="00421089" w:rsidRDefault="00E3750C" w:rsidP="00047864">
            <w:pPr>
              <w:spacing w:after="0" w:line="240" w:lineRule="auto"/>
              <w:jc w:val="right"/>
              <w:rPr>
                <w:rFonts w:ascii="Arial" w:hAnsi="Arial" w:cs="Arial"/>
                <w:color w:val="000000"/>
                <w:sz w:val="18"/>
                <w:szCs w:val="18"/>
              </w:rPr>
            </w:pPr>
            <w:r w:rsidRPr="00421089">
              <w:rPr>
                <w:rFonts w:ascii="Arial" w:hAnsi="Arial" w:cs="Arial"/>
                <w:color w:val="000000"/>
                <w:sz w:val="18"/>
                <w:szCs w:val="18"/>
              </w:rPr>
              <w:t>62,53 %</w:t>
            </w:r>
          </w:p>
        </w:tc>
        <w:tc>
          <w:tcPr>
            <w:tcW w:w="475" w:type="pct"/>
            <w:tcBorders>
              <w:top w:val="nil"/>
              <w:left w:val="nil"/>
              <w:bottom w:val="single" w:sz="4" w:space="0" w:color="auto"/>
              <w:right w:val="single" w:sz="4" w:space="0" w:color="auto"/>
            </w:tcBorders>
            <w:shd w:val="clear" w:color="auto" w:fill="auto"/>
            <w:vAlign w:val="center"/>
            <w:hideMark/>
          </w:tcPr>
          <w:p w14:paraId="0A95992A" w14:textId="77777777" w:rsidR="00E3750C" w:rsidRPr="00421089" w:rsidRDefault="00E3750C" w:rsidP="00047864">
            <w:pPr>
              <w:spacing w:after="0" w:line="240" w:lineRule="auto"/>
              <w:jc w:val="right"/>
              <w:rPr>
                <w:rFonts w:ascii="Arial" w:hAnsi="Arial" w:cs="Arial"/>
                <w:color w:val="000000"/>
                <w:sz w:val="18"/>
                <w:szCs w:val="18"/>
              </w:rPr>
            </w:pPr>
            <w:r w:rsidRPr="00421089">
              <w:rPr>
                <w:rFonts w:ascii="Arial" w:hAnsi="Arial" w:cs="Arial"/>
                <w:color w:val="000000"/>
                <w:sz w:val="18"/>
                <w:szCs w:val="18"/>
              </w:rPr>
              <w:t>68,02 %</w:t>
            </w:r>
          </w:p>
        </w:tc>
        <w:tc>
          <w:tcPr>
            <w:tcW w:w="473" w:type="pct"/>
            <w:tcBorders>
              <w:top w:val="nil"/>
              <w:left w:val="nil"/>
              <w:bottom w:val="single" w:sz="4" w:space="0" w:color="auto"/>
              <w:right w:val="single" w:sz="4" w:space="0" w:color="auto"/>
            </w:tcBorders>
            <w:shd w:val="clear" w:color="auto" w:fill="auto"/>
            <w:noWrap/>
            <w:vAlign w:val="center"/>
            <w:hideMark/>
          </w:tcPr>
          <w:p w14:paraId="28219BFA" w14:textId="77777777" w:rsidR="00E3750C" w:rsidRPr="00421089" w:rsidRDefault="00E3750C" w:rsidP="00047864">
            <w:pPr>
              <w:spacing w:after="0" w:line="240" w:lineRule="auto"/>
              <w:jc w:val="right"/>
              <w:rPr>
                <w:rFonts w:ascii="Arial" w:hAnsi="Arial" w:cs="Arial"/>
                <w:color w:val="000000"/>
                <w:sz w:val="18"/>
                <w:szCs w:val="18"/>
              </w:rPr>
            </w:pPr>
            <w:r w:rsidRPr="00421089">
              <w:rPr>
                <w:rFonts w:ascii="Arial" w:hAnsi="Arial" w:cs="Arial"/>
                <w:color w:val="000000"/>
                <w:sz w:val="18"/>
                <w:szCs w:val="18"/>
              </w:rPr>
              <w:t>18,74 %</w:t>
            </w:r>
          </w:p>
        </w:tc>
        <w:tc>
          <w:tcPr>
            <w:tcW w:w="475" w:type="pct"/>
            <w:tcBorders>
              <w:top w:val="nil"/>
              <w:left w:val="nil"/>
              <w:bottom w:val="single" w:sz="4" w:space="0" w:color="auto"/>
              <w:right w:val="single" w:sz="4" w:space="0" w:color="auto"/>
            </w:tcBorders>
            <w:shd w:val="clear" w:color="auto" w:fill="auto"/>
            <w:noWrap/>
            <w:vAlign w:val="center"/>
            <w:hideMark/>
          </w:tcPr>
          <w:p w14:paraId="2C6996BF" w14:textId="77777777" w:rsidR="00E3750C" w:rsidRPr="00421089" w:rsidRDefault="00E3750C" w:rsidP="00047864">
            <w:pPr>
              <w:spacing w:after="0" w:line="240" w:lineRule="auto"/>
              <w:jc w:val="right"/>
              <w:rPr>
                <w:rFonts w:ascii="Arial" w:hAnsi="Arial" w:cs="Arial"/>
                <w:color w:val="000000"/>
                <w:sz w:val="18"/>
                <w:szCs w:val="18"/>
              </w:rPr>
            </w:pPr>
            <w:r w:rsidRPr="00421089">
              <w:rPr>
                <w:rFonts w:ascii="Arial" w:hAnsi="Arial" w:cs="Arial"/>
                <w:color w:val="000000"/>
                <w:sz w:val="18"/>
                <w:szCs w:val="18"/>
              </w:rPr>
              <w:t>17,87 %</w:t>
            </w:r>
          </w:p>
        </w:tc>
      </w:tr>
      <w:tr w:rsidR="00E3750C" w:rsidRPr="00421089" w14:paraId="28A0E5D3" w14:textId="77777777" w:rsidTr="00047864">
        <w:trPr>
          <w:trHeight w:val="300"/>
        </w:trPr>
        <w:tc>
          <w:tcPr>
            <w:tcW w:w="1850" w:type="pct"/>
            <w:tcBorders>
              <w:top w:val="nil"/>
              <w:left w:val="single" w:sz="4" w:space="0" w:color="auto"/>
              <w:bottom w:val="single" w:sz="4" w:space="0" w:color="auto"/>
              <w:right w:val="single" w:sz="4" w:space="0" w:color="auto"/>
            </w:tcBorders>
            <w:shd w:val="clear" w:color="auto" w:fill="auto"/>
            <w:vAlign w:val="center"/>
            <w:hideMark/>
          </w:tcPr>
          <w:p w14:paraId="58FE7493" w14:textId="77777777" w:rsidR="00E3750C" w:rsidRPr="00421089" w:rsidRDefault="00E3750C" w:rsidP="00047864">
            <w:pPr>
              <w:spacing w:after="0" w:line="240" w:lineRule="auto"/>
              <w:jc w:val="both"/>
              <w:rPr>
                <w:rFonts w:ascii="Arial" w:eastAsia="Times New Roman" w:hAnsi="Arial" w:cs="Arial"/>
                <w:color w:val="000000"/>
                <w:sz w:val="18"/>
                <w:szCs w:val="18"/>
                <w:lang w:eastAsia="sl-SI"/>
              </w:rPr>
            </w:pPr>
            <w:r w:rsidRPr="00421089">
              <w:rPr>
                <w:rFonts w:ascii="Arial" w:eastAsia="Times New Roman" w:hAnsi="Arial" w:cs="Arial"/>
                <w:color w:val="000000"/>
                <w:sz w:val="18"/>
                <w:szCs w:val="18"/>
                <w:lang w:eastAsia="sl-SI"/>
              </w:rPr>
              <w:t xml:space="preserve">Merila za oddajo javnega naročila </w:t>
            </w:r>
          </w:p>
        </w:tc>
        <w:tc>
          <w:tcPr>
            <w:tcW w:w="642" w:type="pct"/>
            <w:tcBorders>
              <w:top w:val="nil"/>
              <w:left w:val="nil"/>
              <w:bottom w:val="single" w:sz="4" w:space="0" w:color="auto"/>
              <w:right w:val="single" w:sz="4" w:space="0" w:color="auto"/>
            </w:tcBorders>
            <w:shd w:val="clear" w:color="auto" w:fill="auto"/>
            <w:vAlign w:val="center"/>
            <w:hideMark/>
          </w:tcPr>
          <w:p w14:paraId="34CB19C6" w14:textId="77777777" w:rsidR="00E3750C" w:rsidRPr="00421089" w:rsidRDefault="00E3750C" w:rsidP="00047864">
            <w:pPr>
              <w:spacing w:after="0" w:line="240" w:lineRule="auto"/>
              <w:jc w:val="right"/>
              <w:rPr>
                <w:rFonts w:ascii="Arial" w:hAnsi="Arial" w:cs="Arial"/>
                <w:color w:val="000000"/>
                <w:sz w:val="18"/>
                <w:szCs w:val="18"/>
              </w:rPr>
            </w:pPr>
            <w:r w:rsidRPr="00421089">
              <w:rPr>
                <w:rFonts w:ascii="Arial" w:hAnsi="Arial" w:cs="Arial"/>
                <w:color w:val="000000"/>
                <w:sz w:val="18"/>
                <w:szCs w:val="18"/>
              </w:rPr>
              <w:t>2.203</w:t>
            </w:r>
          </w:p>
        </w:tc>
        <w:tc>
          <w:tcPr>
            <w:tcW w:w="622" w:type="pct"/>
            <w:tcBorders>
              <w:top w:val="nil"/>
              <w:left w:val="nil"/>
              <w:bottom w:val="single" w:sz="4" w:space="0" w:color="auto"/>
              <w:right w:val="single" w:sz="4" w:space="0" w:color="auto"/>
            </w:tcBorders>
            <w:shd w:val="clear" w:color="auto" w:fill="auto"/>
            <w:vAlign w:val="center"/>
            <w:hideMark/>
          </w:tcPr>
          <w:p w14:paraId="6EA889C2" w14:textId="77777777" w:rsidR="00E3750C" w:rsidRPr="00421089" w:rsidRDefault="00E3750C" w:rsidP="00047864">
            <w:pPr>
              <w:spacing w:after="0" w:line="240" w:lineRule="auto"/>
              <w:jc w:val="right"/>
              <w:rPr>
                <w:rFonts w:ascii="Arial" w:hAnsi="Arial" w:cs="Arial"/>
                <w:color w:val="000000"/>
                <w:sz w:val="18"/>
                <w:szCs w:val="18"/>
              </w:rPr>
            </w:pPr>
            <w:r w:rsidRPr="00421089">
              <w:rPr>
                <w:rFonts w:ascii="Arial" w:hAnsi="Arial" w:cs="Arial"/>
                <w:color w:val="000000"/>
                <w:sz w:val="18"/>
                <w:szCs w:val="18"/>
              </w:rPr>
              <w:t>140.659.218</w:t>
            </w:r>
          </w:p>
        </w:tc>
        <w:tc>
          <w:tcPr>
            <w:tcW w:w="462" w:type="pct"/>
            <w:tcBorders>
              <w:top w:val="nil"/>
              <w:left w:val="nil"/>
              <w:bottom w:val="single" w:sz="4" w:space="0" w:color="auto"/>
              <w:right w:val="single" w:sz="4" w:space="0" w:color="auto"/>
            </w:tcBorders>
            <w:shd w:val="clear" w:color="auto" w:fill="auto"/>
            <w:vAlign w:val="center"/>
            <w:hideMark/>
          </w:tcPr>
          <w:p w14:paraId="52B9C698" w14:textId="77777777" w:rsidR="00E3750C" w:rsidRPr="00421089" w:rsidRDefault="00E3750C" w:rsidP="00047864">
            <w:pPr>
              <w:spacing w:after="0" w:line="240" w:lineRule="auto"/>
              <w:jc w:val="right"/>
              <w:rPr>
                <w:rFonts w:ascii="Arial" w:hAnsi="Arial" w:cs="Arial"/>
                <w:color w:val="000000"/>
                <w:sz w:val="18"/>
                <w:szCs w:val="18"/>
              </w:rPr>
            </w:pPr>
            <w:r w:rsidRPr="00421089">
              <w:rPr>
                <w:rFonts w:ascii="Arial" w:hAnsi="Arial" w:cs="Arial"/>
                <w:color w:val="000000"/>
                <w:sz w:val="18"/>
                <w:szCs w:val="18"/>
              </w:rPr>
              <w:t>42,68 %</w:t>
            </w:r>
          </w:p>
        </w:tc>
        <w:tc>
          <w:tcPr>
            <w:tcW w:w="475" w:type="pct"/>
            <w:tcBorders>
              <w:top w:val="nil"/>
              <w:left w:val="nil"/>
              <w:bottom w:val="single" w:sz="4" w:space="0" w:color="auto"/>
              <w:right w:val="single" w:sz="4" w:space="0" w:color="auto"/>
            </w:tcBorders>
            <w:shd w:val="clear" w:color="auto" w:fill="auto"/>
            <w:vAlign w:val="center"/>
            <w:hideMark/>
          </w:tcPr>
          <w:p w14:paraId="3C049D72" w14:textId="77777777" w:rsidR="00E3750C" w:rsidRPr="00421089" w:rsidRDefault="00E3750C" w:rsidP="00047864">
            <w:pPr>
              <w:spacing w:after="0" w:line="240" w:lineRule="auto"/>
              <w:jc w:val="right"/>
              <w:rPr>
                <w:rFonts w:ascii="Arial" w:hAnsi="Arial" w:cs="Arial"/>
                <w:color w:val="000000"/>
                <w:sz w:val="18"/>
                <w:szCs w:val="18"/>
              </w:rPr>
            </w:pPr>
            <w:r w:rsidRPr="00421089">
              <w:rPr>
                <w:rFonts w:ascii="Arial" w:hAnsi="Arial" w:cs="Arial"/>
                <w:color w:val="000000"/>
                <w:sz w:val="18"/>
                <w:szCs w:val="18"/>
              </w:rPr>
              <w:t>9,89 %</w:t>
            </w:r>
          </w:p>
        </w:tc>
        <w:tc>
          <w:tcPr>
            <w:tcW w:w="473" w:type="pct"/>
            <w:tcBorders>
              <w:top w:val="nil"/>
              <w:left w:val="nil"/>
              <w:bottom w:val="single" w:sz="4" w:space="0" w:color="auto"/>
              <w:right w:val="single" w:sz="4" w:space="0" w:color="auto"/>
            </w:tcBorders>
            <w:shd w:val="clear" w:color="auto" w:fill="auto"/>
            <w:noWrap/>
            <w:vAlign w:val="center"/>
            <w:hideMark/>
          </w:tcPr>
          <w:p w14:paraId="1818EB4B" w14:textId="77777777" w:rsidR="00E3750C" w:rsidRPr="00421089" w:rsidRDefault="00E3750C" w:rsidP="00047864">
            <w:pPr>
              <w:spacing w:after="0" w:line="240" w:lineRule="auto"/>
              <w:jc w:val="right"/>
              <w:rPr>
                <w:rFonts w:ascii="Arial" w:hAnsi="Arial" w:cs="Arial"/>
                <w:color w:val="000000"/>
                <w:sz w:val="18"/>
                <w:szCs w:val="18"/>
              </w:rPr>
            </w:pPr>
            <w:r w:rsidRPr="00421089">
              <w:rPr>
                <w:rFonts w:ascii="Arial" w:hAnsi="Arial" w:cs="Arial"/>
                <w:color w:val="000000"/>
                <w:sz w:val="18"/>
                <w:szCs w:val="18"/>
              </w:rPr>
              <w:t>12,79 %</w:t>
            </w:r>
          </w:p>
        </w:tc>
        <w:tc>
          <w:tcPr>
            <w:tcW w:w="475" w:type="pct"/>
            <w:tcBorders>
              <w:top w:val="nil"/>
              <w:left w:val="nil"/>
              <w:bottom w:val="single" w:sz="4" w:space="0" w:color="auto"/>
              <w:right w:val="single" w:sz="4" w:space="0" w:color="auto"/>
            </w:tcBorders>
            <w:shd w:val="clear" w:color="auto" w:fill="auto"/>
            <w:noWrap/>
            <w:vAlign w:val="center"/>
            <w:hideMark/>
          </w:tcPr>
          <w:p w14:paraId="0F075DA9" w14:textId="77777777" w:rsidR="00E3750C" w:rsidRPr="00421089" w:rsidRDefault="00E3750C" w:rsidP="00047864">
            <w:pPr>
              <w:spacing w:after="0" w:line="240" w:lineRule="auto"/>
              <w:jc w:val="right"/>
              <w:rPr>
                <w:rFonts w:ascii="Arial" w:hAnsi="Arial" w:cs="Arial"/>
                <w:color w:val="000000"/>
                <w:sz w:val="18"/>
                <w:szCs w:val="18"/>
              </w:rPr>
            </w:pPr>
            <w:r w:rsidRPr="00421089">
              <w:rPr>
                <w:rFonts w:ascii="Arial" w:hAnsi="Arial" w:cs="Arial"/>
                <w:color w:val="000000"/>
                <w:sz w:val="18"/>
                <w:szCs w:val="18"/>
              </w:rPr>
              <w:t>2,60 %</w:t>
            </w:r>
          </w:p>
        </w:tc>
      </w:tr>
      <w:tr w:rsidR="00E3750C" w:rsidRPr="006354EC" w14:paraId="526BAA6F" w14:textId="77777777" w:rsidTr="00047864">
        <w:trPr>
          <w:trHeight w:val="300"/>
        </w:trPr>
        <w:tc>
          <w:tcPr>
            <w:tcW w:w="1850" w:type="pct"/>
            <w:tcBorders>
              <w:top w:val="nil"/>
              <w:left w:val="single" w:sz="4" w:space="0" w:color="auto"/>
              <w:bottom w:val="single" w:sz="4" w:space="0" w:color="auto"/>
              <w:right w:val="single" w:sz="4" w:space="0" w:color="auto"/>
            </w:tcBorders>
            <w:shd w:val="clear" w:color="auto" w:fill="auto"/>
            <w:vAlign w:val="center"/>
            <w:hideMark/>
          </w:tcPr>
          <w:p w14:paraId="3F9DA9CB" w14:textId="77777777" w:rsidR="00E3750C" w:rsidRPr="00421089" w:rsidRDefault="00E3750C" w:rsidP="00047864">
            <w:pPr>
              <w:spacing w:after="0" w:line="240" w:lineRule="auto"/>
              <w:jc w:val="both"/>
              <w:rPr>
                <w:rFonts w:ascii="Arial" w:eastAsia="Times New Roman" w:hAnsi="Arial" w:cs="Arial"/>
                <w:color w:val="000000"/>
                <w:sz w:val="18"/>
                <w:szCs w:val="18"/>
                <w:lang w:eastAsia="sl-SI"/>
              </w:rPr>
            </w:pPr>
            <w:r w:rsidRPr="00421089">
              <w:rPr>
                <w:rFonts w:ascii="Arial" w:eastAsia="Times New Roman" w:hAnsi="Arial" w:cs="Arial"/>
                <w:color w:val="000000"/>
                <w:sz w:val="18"/>
                <w:szCs w:val="18"/>
                <w:lang w:eastAsia="sl-SI"/>
              </w:rPr>
              <w:t>Pogoji za sodelovanje</w:t>
            </w:r>
          </w:p>
        </w:tc>
        <w:tc>
          <w:tcPr>
            <w:tcW w:w="642" w:type="pct"/>
            <w:tcBorders>
              <w:top w:val="nil"/>
              <w:left w:val="nil"/>
              <w:bottom w:val="single" w:sz="4" w:space="0" w:color="auto"/>
              <w:right w:val="single" w:sz="4" w:space="0" w:color="auto"/>
            </w:tcBorders>
            <w:shd w:val="clear" w:color="auto" w:fill="auto"/>
            <w:vAlign w:val="center"/>
            <w:hideMark/>
          </w:tcPr>
          <w:p w14:paraId="1E8797EE" w14:textId="77777777" w:rsidR="00E3750C" w:rsidRPr="00421089" w:rsidRDefault="00E3750C" w:rsidP="00047864">
            <w:pPr>
              <w:spacing w:after="0" w:line="240" w:lineRule="auto"/>
              <w:jc w:val="right"/>
              <w:rPr>
                <w:rFonts w:ascii="Arial" w:hAnsi="Arial" w:cs="Arial"/>
                <w:color w:val="000000"/>
                <w:sz w:val="18"/>
                <w:szCs w:val="18"/>
              </w:rPr>
            </w:pPr>
            <w:r w:rsidRPr="00421089">
              <w:rPr>
                <w:rFonts w:ascii="Arial" w:hAnsi="Arial" w:cs="Arial"/>
                <w:color w:val="000000"/>
                <w:sz w:val="18"/>
                <w:szCs w:val="18"/>
              </w:rPr>
              <w:t>1.764</w:t>
            </w:r>
          </w:p>
        </w:tc>
        <w:tc>
          <w:tcPr>
            <w:tcW w:w="622" w:type="pct"/>
            <w:tcBorders>
              <w:top w:val="nil"/>
              <w:left w:val="nil"/>
              <w:bottom w:val="single" w:sz="4" w:space="0" w:color="auto"/>
              <w:right w:val="single" w:sz="4" w:space="0" w:color="auto"/>
            </w:tcBorders>
            <w:shd w:val="clear" w:color="auto" w:fill="auto"/>
            <w:vAlign w:val="center"/>
            <w:hideMark/>
          </w:tcPr>
          <w:p w14:paraId="52DC4E5E" w14:textId="77777777" w:rsidR="00E3750C" w:rsidRPr="00421089" w:rsidRDefault="00E3750C" w:rsidP="00047864">
            <w:pPr>
              <w:spacing w:after="0" w:line="240" w:lineRule="auto"/>
              <w:jc w:val="right"/>
              <w:rPr>
                <w:rFonts w:ascii="Arial" w:hAnsi="Arial" w:cs="Arial"/>
                <w:color w:val="000000"/>
                <w:sz w:val="18"/>
                <w:szCs w:val="18"/>
              </w:rPr>
            </w:pPr>
            <w:r>
              <w:rPr>
                <w:rFonts w:ascii="Arial" w:hAnsi="Arial" w:cs="Arial"/>
                <w:color w:val="000000"/>
                <w:sz w:val="18"/>
                <w:szCs w:val="18"/>
              </w:rPr>
              <w:t>4</w:t>
            </w:r>
            <w:r w:rsidRPr="00421089">
              <w:rPr>
                <w:rFonts w:ascii="Arial" w:hAnsi="Arial" w:cs="Arial"/>
                <w:color w:val="000000"/>
                <w:sz w:val="18"/>
                <w:szCs w:val="18"/>
              </w:rPr>
              <w:t>63.344.797</w:t>
            </w:r>
          </w:p>
        </w:tc>
        <w:tc>
          <w:tcPr>
            <w:tcW w:w="462" w:type="pct"/>
            <w:tcBorders>
              <w:top w:val="nil"/>
              <w:left w:val="nil"/>
              <w:bottom w:val="single" w:sz="4" w:space="0" w:color="auto"/>
              <w:right w:val="single" w:sz="4" w:space="0" w:color="auto"/>
            </w:tcBorders>
            <w:shd w:val="clear" w:color="auto" w:fill="auto"/>
            <w:vAlign w:val="center"/>
            <w:hideMark/>
          </w:tcPr>
          <w:p w14:paraId="68B73BDF" w14:textId="77777777" w:rsidR="00E3750C" w:rsidRPr="00421089" w:rsidRDefault="00E3750C" w:rsidP="00047864">
            <w:pPr>
              <w:spacing w:after="0" w:line="240" w:lineRule="auto"/>
              <w:jc w:val="right"/>
              <w:rPr>
                <w:rFonts w:ascii="Arial" w:hAnsi="Arial" w:cs="Arial"/>
                <w:color w:val="000000"/>
                <w:sz w:val="18"/>
                <w:szCs w:val="18"/>
              </w:rPr>
            </w:pPr>
            <w:r w:rsidRPr="00421089">
              <w:rPr>
                <w:rFonts w:ascii="Arial" w:hAnsi="Arial" w:cs="Arial"/>
                <w:color w:val="000000"/>
                <w:sz w:val="18"/>
                <w:szCs w:val="18"/>
              </w:rPr>
              <w:t>34,17 %</w:t>
            </w:r>
          </w:p>
        </w:tc>
        <w:tc>
          <w:tcPr>
            <w:tcW w:w="475" w:type="pct"/>
            <w:tcBorders>
              <w:top w:val="nil"/>
              <w:left w:val="nil"/>
              <w:bottom w:val="single" w:sz="4" w:space="0" w:color="auto"/>
              <w:right w:val="single" w:sz="4" w:space="0" w:color="auto"/>
            </w:tcBorders>
            <w:shd w:val="clear" w:color="auto" w:fill="auto"/>
            <w:vAlign w:val="center"/>
            <w:hideMark/>
          </w:tcPr>
          <w:p w14:paraId="5880BE0A" w14:textId="77777777" w:rsidR="00E3750C" w:rsidRPr="00421089" w:rsidRDefault="00E3750C" w:rsidP="00047864">
            <w:pPr>
              <w:spacing w:after="0" w:line="240" w:lineRule="auto"/>
              <w:jc w:val="right"/>
              <w:rPr>
                <w:rFonts w:ascii="Arial" w:hAnsi="Arial" w:cs="Arial"/>
                <w:color w:val="000000"/>
                <w:sz w:val="18"/>
                <w:szCs w:val="18"/>
              </w:rPr>
            </w:pPr>
            <w:r>
              <w:rPr>
                <w:rFonts w:ascii="Arial" w:hAnsi="Arial" w:cs="Arial"/>
                <w:color w:val="000000"/>
                <w:sz w:val="18"/>
                <w:szCs w:val="18"/>
              </w:rPr>
              <w:t>32,57</w:t>
            </w:r>
            <w:r w:rsidRPr="00421089">
              <w:rPr>
                <w:rFonts w:ascii="Arial" w:hAnsi="Arial" w:cs="Arial"/>
                <w:color w:val="000000"/>
                <w:sz w:val="18"/>
                <w:szCs w:val="18"/>
              </w:rPr>
              <w:t xml:space="preserve"> %</w:t>
            </w:r>
          </w:p>
        </w:tc>
        <w:tc>
          <w:tcPr>
            <w:tcW w:w="473" w:type="pct"/>
            <w:tcBorders>
              <w:top w:val="nil"/>
              <w:left w:val="nil"/>
              <w:bottom w:val="single" w:sz="4" w:space="0" w:color="auto"/>
              <w:right w:val="single" w:sz="4" w:space="0" w:color="auto"/>
            </w:tcBorders>
            <w:shd w:val="clear" w:color="auto" w:fill="auto"/>
            <w:noWrap/>
            <w:vAlign w:val="center"/>
            <w:hideMark/>
          </w:tcPr>
          <w:p w14:paraId="5E077247" w14:textId="77777777" w:rsidR="00E3750C" w:rsidRPr="00421089" w:rsidRDefault="00E3750C" w:rsidP="00047864">
            <w:pPr>
              <w:spacing w:after="0" w:line="240" w:lineRule="auto"/>
              <w:jc w:val="right"/>
              <w:rPr>
                <w:rFonts w:ascii="Arial" w:hAnsi="Arial" w:cs="Arial"/>
                <w:color w:val="000000"/>
                <w:sz w:val="18"/>
                <w:szCs w:val="18"/>
              </w:rPr>
            </w:pPr>
            <w:r w:rsidRPr="00421089">
              <w:rPr>
                <w:rFonts w:ascii="Arial" w:hAnsi="Arial" w:cs="Arial"/>
                <w:color w:val="000000"/>
                <w:sz w:val="18"/>
                <w:szCs w:val="18"/>
              </w:rPr>
              <w:t>10,24 %</w:t>
            </w:r>
          </w:p>
        </w:tc>
        <w:tc>
          <w:tcPr>
            <w:tcW w:w="475" w:type="pct"/>
            <w:tcBorders>
              <w:top w:val="nil"/>
              <w:left w:val="nil"/>
              <w:bottom w:val="single" w:sz="4" w:space="0" w:color="auto"/>
              <w:right w:val="single" w:sz="4" w:space="0" w:color="auto"/>
            </w:tcBorders>
            <w:shd w:val="clear" w:color="auto" w:fill="auto"/>
            <w:noWrap/>
            <w:vAlign w:val="center"/>
            <w:hideMark/>
          </w:tcPr>
          <w:p w14:paraId="5EB7F62B" w14:textId="77777777" w:rsidR="00E3750C" w:rsidRPr="006354EC" w:rsidRDefault="00E3750C" w:rsidP="00047864">
            <w:pPr>
              <w:spacing w:after="0" w:line="240" w:lineRule="auto"/>
              <w:jc w:val="right"/>
              <w:rPr>
                <w:rFonts w:ascii="Arial" w:hAnsi="Arial" w:cs="Arial"/>
                <w:color w:val="FF0000"/>
                <w:sz w:val="18"/>
                <w:szCs w:val="18"/>
              </w:rPr>
            </w:pPr>
            <w:r w:rsidRPr="006354EC">
              <w:rPr>
                <w:rFonts w:ascii="Arial" w:hAnsi="Arial" w:cs="Arial"/>
                <w:color w:val="000000" w:themeColor="text1"/>
                <w:sz w:val="18"/>
                <w:szCs w:val="18"/>
              </w:rPr>
              <w:t>8,55 %</w:t>
            </w:r>
          </w:p>
        </w:tc>
      </w:tr>
      <w:tr w:rsidR="00E3750C" w:rsidRPr="00421089" w14:paraId="0B799303" w14:textId="77777777" w:rsidTr="00047864">
        <w:trPr>
          <w:trHeight w:val="300"/>
        </w:trPr>
        <w:tc>
          <w:tcPr>
            <w:tcW w:w="1850" w:type="pct"/>
            <w:tcBorders>
              <w:top w:val="nil"/>
              <w:left w:val="single" w:sz="4" w:space="0" w:color="auto"/>
              <w:bottom w:val="single" w:sz="4" w:space="0" w:color="auto"/>
              <w:right w:val="single" w:sz="4" w:space="0" w:color="auto"/>
            </w:tcBorders>
            <w:shd w:val="clear" w:color="auto" w:fill="auto"/>
            <w:vAlign w:val="center"/>
            <w:hideMark/>
          </w:tcPr>
          <w:p w14:paraId="077643DD" w14:textId="77777777" w:rsidR="00E3750C" w:rsidRPr="00421089" w:rsidRDefault="00E3750C" w:rsidP="00047864">
            <w:pPr>
              <w:spacing w:after="0" w:line="240" w:lineRule="auto"/>
              <w:rPr>
                <w:rFonts w:ascii="Arial" w:eastAsia="Times New Roman" w:hAnsi="Arial" w:cs="Arial"/>
                <w:color w:val="000000"/>
                <w:sz w:val="18"/>
                <w:szCs w:val="18"/>
                <w:lang w:eastAsia="sl-SI"/>
              </w:rPr>
            </w:pPr>
            <w:r w:rsidRPr="00421089">
              <w:rPr>
                <w:rFonts w:ascii="Arial" w:eastAsia="Times New Roman" w:hAnsi="Arial" w:cs="Arial"/>
                <w:color w:val="000000"/>
                <w:sz w:val="18"/>
                <w:szCs w:val="18"/>
                <w:lang w:eastAsia="sl-SI"/>
              </w:rPr>
              <w:t>Pogodbena določila iz obligacijskega razmerja</w:t>
            </w:r>
          </w:p>
        </w:tc>
        <w:tc>
          <w:tcPr>
            <w:tcW w:w="642" w:type="pct"/>
            <w:tcBorders>
              <w:top w:val="nil"/>
              <w:left w:val="nil"/>
              <w:bottom w:val="single" w:sz="4" w:space="0" w:color="auto"/>
              <w:right w:val="single" w:sz="4" w:space="0" w:color="auto"/>
            </w:tcBorders>
            <w:shd w:val="clear" w:color="auto" w:fill="auto"/>
            <w:vAlign w:val="center"/>
            <w:hideMark/>
          </w:tcPr>
          <w:p w14:paraId="5F161919" w14:textId="77777777" w:rsidR="00E3750C" w:rsidRPr="00421089" w:rsidRDefault="00E3750C" w:rsidP="00047864">
            <w:pPr>
              <w:spacing w:after="0" w:line="240" w:lineRule="auto"/>
              <w:jc w:val="right"/>
              <w:rPr>
                <w:rFonts w:ascii="Arial" w:hAnsi="Arial" w:cs="Arial"/>
                <w:color w:val="000000"/>
                <w:sz w:val="18"/>
                <w:szCs w:val="18"/>
              </w:rPr>
            </w:pPr>
            <w:r w:rsidRPr="00421089">
              <w:rPr>
                <w:rFonts w:ascii="Arial" w:hAnsi="Arial" w:cs="Arial"/>
                <w:color w:val="000000"/>
                <w:sz w:val="18"/>
                <w:szCs w:val="18"/>
              </w:rPr>
              <w:t>1.776</w:t>
            </w:r>
          </w:p>
        </w:tc>
        <w:tc>
          <w:tcPr>
            <w:tcW w:w="622" w:type="pct"/>
            <w:tcBorders>
              <w:top w:val="nil"/>
              <w:left w:val="nil"/>
              <w:bottom w:val="single" w:sz="4" w:space="0" w:color="auto"/>
              <w:right w:val="single" w:sz="4" w:space="0" w:color="auto"/>
            </w:tcBorders>
            <w:shd w:val="clear" w:color="auto" w:fill="auto"/>
            <w:vAlign w:val="center"/>
            <w:hideMark/>
          </w:tcPr>
          <w:p w14:paraId="6DCDCD8A" w14:textId="77777777" w:rsidR="00E3750C" w:rsidRPr="00421089" w:rsidRDefault="00E3750C" w:rsidP="00047864">
            <w:pPr>
              <w:spacing w:after="0" w:line="240" w:lineRule="auto"/>
              <w:jc w:val="right"/>
              <w:rPr>
                <w:rFonts w:ascii="Arial" w:hAnsi="Arial" w:cs="Arial"/>
                <w:color w:val="000000"/>
                <w:sz w:val="18"/>
                <w:szCs w:val="18"/>
              </w:rPr>
            </w:pPr>
            <w:r w:rsidRPr="00421089">
              <w:rPr>
                <w:rFonts w:ascii="Arial" w:hAnsi="Arial" w:cs="Arial"/>
                <w:color w:val="000000"/>
                <w:sz w:val="18"/>
                <w:szCs w:val="18"/>
              </w:rPr>
              <w:t>258.936.132</w:t>
            </w:r>
          </w:p>
        </w:tc>
        <w:tc>
          <w:tcPr>
            <w:tcW w:w="462" w:type="pct"/>
            <w:tcBorders>
              <w:top w:val="nil"/>
              <w:left w:val="nil"/>
              <w:bottom w:val="single" w:sz="4" w:space="0" w:color="auto"/>
              <w:right w:val="single" w:sz="4" w:space="0" w:color="auto"/>
            </w:tcBorders>
            <w:shd w:val="clear" w:color="auto" w:fill="auto"/>
            <w:vAlign w:val="center"/>
            <w:hideMark/>
          </w:tcPr>
          <w:p w14:paraId="0B5311D6" w14:textId="77777777" w:rsidR="00E3750C" w:rsidRPr="00421089" w:rsidRDefault="00E3750C" w:rsidP="00047864">
            <w:pPr>
              <w:spacing w:after="0" w:line="240" w:lineRule="auto"/>
              <w:jc w:val="right"/>
              <w:rPr>
                <w:rFonts w:ascii="Arial" w:hAnsi="Arial" w:cs="Arial"/>
                <w:color w:val="000000"/>
                <w:sz w:val="18"/>
                <w:szCs w:val="18"/>
              </w:rPr>
            </w:pPr>
            <w:r w:rsidRPr="00421089">
              <w:rPr>
                <w:rFonts w:ascii="Arial" w:hAnsi="Arial" w:cs="Arial"/>
                <w:color w:val="000000"/>
                <w:sz w:val="18"/>
                <w:szCs w:val="18"/>
              </w:rPr>
              <w:t>34,41 %</w:t>
            </w:r>
          </w:p>
        </w:tc>
        <w:tc>
          <w:tcPr>
            <w:tcW w:w="475" w:type="pct"/>
            <w:tcBorders>
              <w:top w:val="nil"/>
              <w:left w:val="nil"/>
              <w:bottom w:val="single" w:sz="4" w:space="0" w:color="auto"/>
              <w:right w:val="single" w:sz="4" w:space="0" w:color="auto"/>
            </w:tcBorders>
            <w:shd w:val="clear" w:color="auto" w:fill="auto"/>
            <w:vAlign w:val="center"/>
            <w:hideMark/>
          </w:tcPr>
          <w:p w14:paraId="0CDFE509" w14:textId="77777777" w:rsidR="00E3750C" w:rsidRPr="00421089" w:rsidRDefault="00E3750C" w:rsidP="00047864">
            <w:pPr>
              <w:spacing w:after="0" w:line="240" w:lineRule="auto"/>
              <w:jc w:val="right"/>
              <w:rPr>
                <w:rFonts w:ascii="Arial" w:hAnsi="Arial" w:cs="Arial"/>
                <w:color w:val="000000"/>
                <w:sz w:val="18"/>
                <w:szCs w:val="18"/>
              </w:rPr>
            </w:pPr>
            <w:r w:rsidRPr="00421089">
              <w:rPr>
                <w:rFonts w:ascii="Arial" w:hAnsi="Arial" w:cs="Arial"/>
                <w:color w:val="000000"/>
                <w:sz w:val="18"/>
                <w:szCs w:val="18"/>
              </w:rPr>
              <w:t>18,20 %</w:t>
            </w:r>
          </w:p>
        </w:tc>
        <w:tc>
          <w:tcPr>
            <w:tcW w:w="473" w:type="pct"/>
            <w:tcBorders>
              <w:top w:val="nil"/>
              <w:left w:val="nil"/>
              <w:bottom w:val="single" w:sz="4" w:space="0" w:color="auto"/>
              <w:right w:val="single" w:sz="4" w:space="0" w:color="auto"/>
            </w:tcBorders>
            <w:shd w:val="clear" w:color="auto" w:fill="auto"/>
            <w:noWrap/>
            <w:vAlign w:val="center"/>
            <w:hideMark/>
          </w:tcPr>
          <w:p w14:paraId="046236C8" w14:textId="77777777" w:rsidR="00E3750C" w:rsidRPr="00421089" w:rsidRDefault="00E3750C" w:rsidP="00047864">
            <w:pPr>
              <w:spacing w:after="0" w:line="240" w:lineRule="auto"/>
              <w:jc w:val="right"/>
              <w:rPr>
                <w:rFonts w:ascii="Arial" w:hAnsi="Arial" w:cs="Arial"/>
                <w:color w:val="000000"/>
                <w:sz w:val="18"/>
                <w:szCs w:val="18"/>
              </w:rPr>
            </w:pPr>
            <w:r w:rsidRPr="00421089">
              <w:rPr>
                <w:rFonts w:ascii="Arial" w:hAnsi="Arial" w:cs="Arial"/>
                <w:color w:val="000000"/>
                <w:sz w:val="18"/>
                <w:szCs w:val="18"/>
              </w:rPr>
              <w:t>10,31 %</w:t>
            </w:r>
          </w:p>
        </w:tc>
        <w:tc>
          <w:tcPr>
            <w:tcW w:w="475" w:type="pct"/>
            <w:tcBorders>
              <w:top w:val="nil"/>
              <w:left w:val="nil"/>
              <w:bottom w:val="single" w:sz="4" w:space="0" w:color="auto"/>
              <w:right w:val="single" w:sz="4" w:space="0" w:color="auto"/>
            </w:tcBorders>
            <w:shd w:val="clear" w:color="auto" w:fill="auto"/>
            <w:noWrap/>
            <w:vAlign w:val="center"/>
            <w:hideMark/>
          </w:tcPr>
          <w:p w14:paraId="46DC4616" w14:textId="77777777" w:rsidR="00E3750C" w:rsidRPr="00421089" w:rsidRDefault="00E3750C" w:rsidP="00047864">
            <w:pPr>
              <w:spacing w:after="0" w:line="240" w:lineRule="auto"/>
              <w:jc w:val="right"/>
              <w:rPr>
                <w:rFonts w:ascii="Arial" w:hAnsi="Arial" w:cs="Arial"/>
                <w:color w:val="000000"/>
                <w:sz w:val="18"/>
                <w:szCs w:val="18"/>
              </w:rPr>
            </w:pPr>
            <w:r w:rsidRPr="00421089">
              <w:rPr>
                <w:rFonts w:ascii="Arial" w:hAnsi="Arial" w:cs="Arial"/>
                <w:color w:val="000000"/>
                <w:sz w:val="18"/>
                <w:szCs w:val="18"/>
              </w:rPr>
              <w:t>4,78 %</w:t>
            </w:r>
          </w:p>
        </w:tc>
      </w:tr>
      <w:tr w:rsidR="00E3750C" w:rsidRPr="00421089" w14:paraId="4C91FF7F" w14:textId="77777777" w:rsidTr="00047864">
        <w:trPr>
          <w:trHeight w:val="300"/>
        </w:trPr>
        <w:tc>
          <w:tcPr>
            <w:tcW w:w="1850" w:type="pct"/>
            <w:tcBorders>
              <w:top w:val="nil"/>
              <w:left w:val="single" w:sz="4" w:space="0" w:color="auto"/>
              <w:bottom w:val="single" w:sz="4" w:space="0" w:color="auto"/>
              <w:right w:val="single" w:sz="4" w:space="0" w:color="auto"/>
            </w:tcBorders>
            <w:shd w:val="clear" w:color="auto" w:fill="auto"/>
            <w:vAlign w:val="center"/>
            <w:hideMark/>
          </w:tcPr>
          <w:p w14:paraId="52098579" w14:textId="77777777" w:rsidR="00E3750C" w:rsidRPr="00421089" w:rsidRDefault="00E3750C" w:rsidP="00047864">
            <w:pPr>
              <w:spacing w:after="0" w:line="240" w:lineRule="auto"/>
              <w:rPr>
                <w:rFonts w:ascii="Arial" w:eastAsia="Times New Roman" w:hAnsi="Arial" w:cs="Arial"/>
                <w:color w:val="000000"/>
                <w:sz w:val="18"/>
                <w:szCs w:val="18"/>
                <w:lang w:eastAsia="sl-SI"/>
              </w:rPr>
            </w:pPr>
            <w:r w:rsidRPr="00421089">
              <w:rPr>
                <w:rFonts w:ascii="Arial" w:eastAsia="Times New Roman" w:hAnsi="Arial" w:cs="Arial"/>
                <w:color w:val="000000"/>
                <w:sz w:val="18"/>
                <w:szCs w:val="18"/>
                <w:lang w:eastAsia="sl-SI"/>
              </w:rPr>
              <w:t>Razlogi za izključitev</w:t>
            </w:r>
          </w:p>
        </w:tc>
        <w:tc>
          <w:tcPr>
            <w:tcW w:w="642" w:type="pct"/>
            <w:tcBorders>
              <w:top w:val="nil"/>
              <w:left w:val="nil"/>
              <w:bottom w:val="single" w:sz="4" w:space="0" w:color="auto"/>
              <w:right w:val="single" w:sz="4" w:space="0" w:color="auto"/>
            </w:tcBorders>
            <w:shd w:val="clear" w:color="auto" w:fill="auto"/>
            <w:vAlign w:val="center"/>
            <w:hideMark/>
          </w:tcPr>
          <w:p w14:paraId="52525350" w14:textId="77777777" w:rsidR="00E3750C" w:rsidRPr="00421089" w:rsidRDefault="00E3750C" w:rsidP="00047864">
            <w:pPr>
              <w:spacing w:after="0" w:line="240" w:lineRule="auto"/>
              <w:jc w:val="right"/>
              <w:rPr>
                <w:rFonts w:ascii="Arial" w:hAnsi="Arial" w:cs="Arial"/>
                <w:color w:val="000000"/>
                <w:sz w:val="18"/>
                <w:szCs w:val="18"/>
              </w:rPr>
            </w:pPr>
            <w:r w:rsidRPr="00421089">
              <w:rPr>
                <w:rFonts w:ascii="Arial" w:hAnsi="Arial" w:cs="Arial"/>
                <w:color w:val="000000"/>
                <w:sz w:val="18"/>
                <w:szCs w:val="18"/>
              </w:rPr>
              <w:t>927</w:t>
            </w:r>
          </w:p>
        </w:tc>
        <w:tc>
          <w:tcPr>
            <w:tcW w:w="622" w:type="pct"/>
            <w:tcBorders>
              <w:top w:val="nil"/>
              <w:left w:val="nil"/>
              <w:bottom w:val="single" w:sz="4" w:space="0" w:color="auto"/>
              <w:right w:val="single" w:sz="4" w:space="0" w:color="auto"/>
            </w:tcBorders>
            <w:shd w:val="clear" w:color="auto" w:fill="auto"/>
            <w:vAlign w:val="center"/>
            <w:hideMark/>
          </w:tcPr>
          <w:p w14:paraId="3B531488" w14:textId="77777777" w:rsidR="00E3750C" w:rsidRPr="00421089" w:rsidRDefault="00E3750C" w:rsidP="00047864">
            <w:pPr>
              <w:spacing w:after="0" w:line="240" w:lineRule="auto"/>
              <w:jc w:val="right"/>
              <w:rPr>
                <w:rFonts w:ascii="Arial" w:hAnsi="Arial" w:cs="Arial"/>
                <w:color w:val="000000"/>
                <w:sz w:val="18"/>
                <w:szCs w:val="18"/>
              </w:rPr>
            </w:pPr>
            <w:r w:rsidRPr="00421089">
              <w:rPr>
                <w:rFonts w:ascii="Arial" w:hAnsi="Arial" w:cs="Arial"/>
                <w:color w:val="000000"/>
                <w:sz w:val="18"/>
                <w:szCs w:val="18"/>
              </w:rPr>
              <w:t>43.138.393</w:t>
            </w:r>
          </w:p>
        </w:tc>
        <w:tc>
          <w:tcPr>
            <w:tcW w:w="462" w:type="pct"/>
            <w:tcBorders>
              <w:top w:val="nil"/>
              <w:left w:val="nil"/>
              <w:bottom w:val="single" w:sz="4" w:space="0" w:color="auto"/>
              <w:right w:val="single" w:sz="4" w:space="0" w:color="auto"/>
            </w:tcBorders>
            <w:shd w:val="clear" w:color="auto" w:fill="auto"/>
            <w:vAlign w:val="center"/>
            <w:hideMark/>
          </w:tcPr>
          <w:p w14:paraId="7D477188" w14:textId="77777777" w:rsidR="00E3750C" w:rsidRPr="00421089" w:rsidRDefault="00E3750C" w:rsidP="00047864">
            <w:pPr>
              <w:spacing w:after="0" w:line="240" w:lineRule="auto"/>
              <w:jc w:val="right"/>
              <w:rPr>
                <w:rFonts w:ascii="Arial" w:hAnsi="Arial" w:cs="Arial"/>
                <w:color w:val="000000"/>
                <w:sz w:val="18"/>
                <w:szCs w:val="18"/>
              </w:rPr>
            </w:pPr>
            <w:r w:rsidRPr="00421089">
              <w:rPr>
                <w:rFonts w:ascii="Arial" w:hAnsi="Arial" w:cs="Arial"/>
                <w:color w:val="000000"/>
                <w:sz w:val="18"/>
                <w:szCs w:val="18"/>
              </w:rPr>
              <w:t>17,96 %</w:t>
            </w:r>
          </w:p>
        </w:tc>
        <w:tc>
          <w:tcPr>
            <w:tcW w:w="475" w:type="pct"/>
            <w:tcBorders>
              <w:top w:val="nil"/>
              <w:left w:val="nil"/>
              <w:bottom w:val="single" w:sz="4" w:space="0" w:color="auto"/>
              <w:right w:val="single" w:sz="4" w:space="0" w:color="auto"/>
            </w:tcBorders>
            <w:shd w:val="clear" w:color="auto" w:fill="auto"/>
            <w:vAlign w:val="center"/>
            <w:hideMark/>
          </w:tcPr>
          <w:p w14:paraId="38DB5D3A" w14:textId="77777777" w:rsidR="00E3750C" w:rsidRPr="00421089" w:rsidRDefault="00E3750C" w:rsidP="00047864">
            <w:pPr>
              <w:spacing w:after="0" w:line="240" w:lineRule="auto"/>
              <w:jc w:val="right"/>
              <w:rPr>
                <w:rFonts w:ascii="Arial" w:hAnsi="Arial" w:cs="Arial"/>
                <w:color w:val="000000"/>
                <w:sz w:val="18"/>
                <w:szCs w:val="18"/>
              </w:rPr>
            </w:pPr>
            <w:r w:rsidRPr="00421089">
              <w:rPr>
                <w:rFonts w:ascii="Arial" w:hAnsi="Arial" w:cs="Arial"/>
                <w:color w:val="000000"/>
                <w:sz w:val="18"/>
                <w:szCs w:val="18"/>
              </w:rPr>
              <w:t>3,03 %</w:t>
            </w:r>
          </w:p>
        </w:tc>
        <w:tc>
          <w:tcPr>
            <w:tcW w:w="473" w:type="pct"/>
            <w:tcBorders>
              <w:top w:val="nil"/>
              <w:left w:val="nil"/>
              <w:bottom w:val="single" w:sz="4" w:space="0" w:color="auto"/>
              <w:right w:val="single" w:sz="4" w:space="0" w:color="auto"/>
            </w:tcBorders>
            <w:shd w:val="clear" w:color="auto" w:fill="auto"/>
            <w:noWrap/>
            <w:vAlign w:val="center"/>
            <w:hideMark/>
          </w:tcPr>
          <w:p w14:paraId="5294466C" w14:textId="77777777" w:rsidR="00E3750C" w:rsidRPr="00421089" w:rsidRDefault="00E3750C" w:rsidP="00047864">
            <w:pPr>
              <w:spacing w:after="0" w:line="240" w:lineRule="auto"/>
              <w:jc w:val="right"/>
              <w:rPr>
                <w:rFonts w:ascii="Arial" w:hAnsi="Arial" w:cs="Arial"/>
                <w:color w:val="000000"/>
                <w:sz w:val="18"/>
                <w:szCs w:val="18"/>
              </w:rPr>
            </w:pPr>
            <w:r w:rsidRPr="00421089">
              <w:rPr>
                <w:rFonts w:ascii="Arial" w:hAnsi="Arial" w:cs="Arial"/>
                <w:color w:val="000000"/>
                <w:sz w:val="18"/>
                <w:szCs w:val="18"/>
              </w:rPr>
              <w:t>5,38 %</w:t>
            </w:r>
          </w:p>
        </w:tc>
        <w:tc>
          <w:tcPr>
            <w:tcW w:w="475" w:type="pct"/>
            <w:tcBorders>
              <w:top w:val="nil"/>
              <w:left w:val="nil"/>
              <w:bottom w:val="single" w:sz="4" w:space="0" w:color="auto"/>
              <w:right w:val="single" w:sz="4" w:space="0" w:color="auto"/>
            </w:tcBorders>
            <w:shd w:val="clear" w:color="auto" w:fill="auto"/>
            <w:noWrap/>
            <w:vAlign w:val="center"/>
            <w:hideMark/>
          </w:tcPr>
          <w:p w14:paraId="1D5E7A99" w14:textId="77777777" w:rsidR="00E3750C" w:rsidRPr="00421089" w:rsidRDefault="00E3750C" w:rsidP="00047864">
            <w:pPr>
              <w:spacing w:after="0" w:line="240" w:lineRule="auto"/>
              <w:jc w:val="right"/>
              <w:rPr>
                <w:rFonts w:ascii="Arial" w:hAnsi="Arial" w:cs="Arial"/>
                <w:color w:val="000000"/>
                <w:sz w:val="18"/>
                <w:szCs w:val="18"/>
              </w:rPr>
            </w:pPr>
            <w:r w:rsidRPr="00421089">
              <w:rPr>
                <w:rFonts w:ascii="Arial" w:hAnsi="Arial" w:cs="Arial"/>
                <w:color w:val="000000"/>
                <w:sz w:val="18"/>
                <w:szCs w:val="18"/>
              </w:rPr>
              <w:t>0,80 %</w:t>
            </w:r>
          </w:p>
        </w:tc>
      </w:tr>
      <w:tr w:rsidR="00E3750C" w:rsidRPr="00421089" w14:paraId="585D4B4C" w14:textId="77777777" w:rsidTr="00047864">
        <w:trPr>
          <w:trHeight w:val="300"/>
        </w:trPr>
        <w:tc>
          <w:tcPr>
            <w:tcW w:w="1850" w:type="pct"/>
            <w:tcBorders>
              <w:top w:val="nil"/>
              <w:left w:val="single" w:sz="4" w:space="0" w:color="auto"/>
              <w:bottom w:val="single" w:sz="4" w:space="0" w:color="auto"/>
              <w:right w:val="single" w:sz="4" w:space="0" w:color="auto"/>
            </w:tcBorders>
            <w:shd w:val="clear" w:color="auto" w:fill="auto"/>
            <w:vAlign w:val="center"/>
            <w:hideMark/>
          </w:tcPr>
          <w:p w14:paraId="180382A8" w14:textId="77777777" w:rsidR="00E3750C" w:rsidRPr="00421089" w:rsidRDefault="00E3750C" w:rsidP="00047864">
            <w:pPr>
              <w:spacing w:after="0" w:line="240" w:lineRule="auto"/>
              <w:jc w:val="both"/>
              <w:rPr>
                <w:rFonts w:ascii="Arial" w:eastAsia="Times New Roman" w:hAnsi="Arial" w:cs="Arial"/>
                <w:color w:val="000000"/>
                <w:sz w:val="18"/>
                <w:szCs w:val="18"/>
                <w:lang w:eastAsia="sl-SI"/>
              </w:rPr>
            </w:pPr>
            <w:r w:rsidRPr="00421089">
              <w:rPr>
                <w:rFonts w:ascii="Arial" w:eastAsia="Times New Roman" w:hAnsi="Arial" w:cs="Arial"/>
                <w:color w:val="000000"/>
                <w:sz w:val="18"/>
                <w:szCs w:val="18"/>
                <w:lang w:eastAsia="sl-SI"/>
              </w:rPr>
              <w:t>Drugo</w:t>
            </w:r>
          </w:p>
        </w:tc>
        <w:tc>
          <w:tcPr>
            <w:tcW w:w="642" w:type="pct"/>
            <w:tcBorders>
              <w:top w:val="nil"/>
              <w:left w:val="nil"/>
              <w:bottom w:val="single" w:sz="4" w:space="0" w:color="auto"/>
              <w:right w:val="single" w:sz="4" w:space="0" w:color="auto"/>
            </w:tcBorders>
            <w:shd w:val="clear" w:color="auto" w:fill="auto"/>
            <w:vAlign w:val="center"/>
            <w:hideMark/>
          </w:tcPr>
          <w:p w14:paraId="59B82080" w14:textId="77777777" w:rsidR="00E3750C" w:rsidRPr="00421089" w:rsidRDefault="00E3750C" w:rsidP="00047864">
            <w:pPr>
              <w:spacing w:after="0" w:line="240" w:lineRule="auto"/>
              <w:jc w:val="right"/>
              <w:rPr>
                <w:rFonts w:ascii="Arial" w:hAnsi="Arial" w:cs="Arial"/>
                <w:color w:val="000000"/>
                <w:sz w:val="18"/>
                <w:szCs w:val="18"/>
              </w:rPr>
            </w:pPr>
            <w:r w:rsidRPr="00421089">
              <w:rPr>
                <w:rFonts w:ascii="Arial" w:hAnsi="Arial" w:cs="Arial"/>
                <w:color w:val="000000"/>
                <w:sz w:val="18"/>
                <w:szCs w:val="18"/>
              </w:rPr>
              <w:t>44</w:t>
            </w:r>
          </w:p>
        </w:tc>
        <w:tc>
          <w:tcPr>
            <w:tcW w:w="622" w:type="pct"/>
            <w:tcBorders>
              <w:top w:val="nil"/>
              <w:left w:val="nil"/>
              <w:bottom w:val="single" w:sz="4" w:space="0" w:color="auto"/>
              <w:right w:val="single" w:sz="4" w:space="0" w:color="auto"/>
            </w:tcBorders>
            <w:shd w:val="clear" w:color="auto" w:fill="auto"/>
            <w:vAlign w:val="center"/>
            <w:hideMark/>
          </w:tcPr>
          <w:p w14:paraId="07C3B48E" w14:textId="77777777" w:rsidR="00E3750C" w:rsidRPr="00421089" w:rsidRDefault="00E3750C" w:rsidP="00047864">
            <w:pPr>
              <w:spacing w:after="0" w:line="240" w:lineRule="auto"/>
              <w:jc w:val="right"/>
              <w:rPr>
                <w:rFonts w:ascii="Arial" w:hAnsi="Arial" w:cs="Arial"/>
                <w:color w:val="000000"/>
                <w:sz w:val="18"/>
                <w:szCs w:val="18"/>
              </w:rPr>
            </w:pPr>
            <w:r w:rsidRPr="00421089">
              <w:rPr>
                <w:rFonts w:ascii="Arial" w:hAnsi="Arial" w:cs="Arial"/>
                <w:color w:val="000000"/>
                <w:sz w:val="18"/>
                <w:szCs w:val="18"/>
              </w:rPr>
              <w:t>21.943.337</w:t>
            </w:r>
          </w:p>
        </w:tc>
        <w:tc>
          <w:tcPr>
            <w:tcW w:w="462" w:type="pct"/>
            <w:tcBorders>
              <w:top w:val="nil"/>
              <w:left w:val="nil"/>
              <w:bottom w:val="single" w:sz="4" w:space="0" w:color="auto"/>
              <w:right w:val="single" w:sz="4" w:space="0" w:color="auto"/>
            </w:tcBorders>
            <w:shd w:val="clear" w:color="auto" w:fill="auto"/>
            <w:vAlign w:val="center"/>
            <w:hideMark/>
          </w:tcPr>
          <w:p w14:paraId="79F26E32" w14:textId="77777777" w:rsidR="00E3750C" w:rsidRPr="00421089" w:rsidRDefault="00E3750C" w:rsidP="00047864">
            <w:pPr>
              <w:spacing w:after="0" w:line="240" w:lineRule="auto"/>
              <w:jc w:val="right"/>
              <w:rPr>
                <w:rFonts w:ascii="Arial" w:hAnsi="Arial" w:cs="Arial"/>
                <w:color w:val="000000"/>
                <w:sz w:val="18"/>
                <w:szCs w:val="18"/>
              </w:rPr>
            </w:pPr>
            <w:r w:rsidRPr="00421089">
              <w:rPr>
                <w:rFonts w:ascii="Arial" w:hAnsi="Arial" w:cs="Arial"/>
                <w:color w:val="000000"/>
                <w:sz w:val="18"/>
                <w:szCs w:val="18"/>
              </w:rPr>
              <w:t>0,85 %</w:t>
            </w:r>
          </w:p>
        </w:tc>
        <w:tc>
          <w:tcPr>
            <w:tcW w:w="475" w:type="pct"/>
            <w:tcBorders>
              <w:top w:val="nil"/>
              <w:left w:val="nil"/>
              <w:bottom w:val="single" w:sz="4" w:space="0" w:color="auto"/>
              <w:right w:val="single" w:sz="4" w:space="0" w:color="auto"/>
            </w:tcBorders>
            <w:shd w:val="clear" w:color="auto" w:fill="auto"/>
            <w:vAlign w:val="center"/>
            <w:hideMark/>
          </w:tcPr>
          <w:p w14:paraId="647A605C" w14:textId="77777777" w:rsidR="00E3750C" w:rsidRPr="00421089" w:rsidRDefault="00E3750C" w:rsidP="00047864">
            <w:pPr>
              <w:spacing w:after="0" w:line="240" w:lineRule="auto"/>
              <w:jc w:val="right"/>
              <w:rPr>
                <w:rFonts w:ascii="Arial" w:hAnsi="Arial" w:cs="Arial"/>
                <w:color w:val="000000"/>
                <w:sz w:val="18"/>
                <w:szCs w:val="18"/>
              </w:rPr>
            </w:pPr>
            <w:r w:rsidRPr="00421089">
              <w:rPr>
                <w:rFonts w:ascii="Arial" w:hAnsi="Arial" w:cs="Arial"/>
                <w:color w:val="000000"/>
                <w:sz w:val="18"/>
                <w:szCs w:val="18"/>
              </w:rPr>
              <w:t>1,54 %</w:t>
            </w:r>
          </w:p>
        </w:tc>
        <w:tc>
          <w:tcPr>
            <w:tcW w:w="473" w:type="pct"/>
            <w:tcBorders>
              <w:top w:val="nil"/>
              <w:left w:val="nil"/>
              <w:bottom w:val="single" w:sz="4" w:space="0" w:color="auto"/>
              <w:right w:val="single" w:sz="4" w:space="0" w:color="auto"/>
            </w:tcBorders>
            <w:shd w:val="clear" w:color="auto" w:fill="auto"/>
            <w:noWrap/>
            <w:vAlign w:val="center"/>
            <w:hideMark/>
          </w:tcPr>
          <w:p w14:paraId="45CF8E5A" w14:textId="77777777" w:rsidR="00E3750C" w:rsidRPr="00421089" w:rsidRDefault="00E3750C" w:rsidP="00047864">
            <w:pPr>
              <w:spacing w:after="0" w:line="240" w:lineRule="auto"/>
              <w:jc w:val="right"/>
              <w:rPr>
                <w:rFonts w:ascii="Arial" w:hAnsi="Arial" w:cs="Arial"/>
                <w:color w:val="000000"/>
                <w:sz w:val="18"/>
                <w:szCs w:val="18"/>
              </w:rPr>
            </w:pPr>
            <w:r w:rsidRPr="00421089">
              <w:rPr>
                <w:rFonts w:ascii="Arial" w:hAnsi="Arial" w:cs="Arial"/>
                <w:color w:val="000000"/>
                <w:sz w:val="18"/>
                <w:szCs w:val="18"/>
              </w:rPr>
              <w:t>0,26 %</w:t>
            </w:r>
          </w:p>
        </w:tc>
        <w:tc>
          <w:tcPr>
            <w:tcW w:w="475" w:type="pct"/>
            <w:tcBorders>
              <w:top w:val="nil"/>
              <w:left w:val="nil"/>
              <w:bottom w:val="single" w:sz="4" w:space="0" w:color="auto"/>
              <w:right w:val="single" w:sz="4" w:space="0" w:color="auto"/>
            </w:tcBorders>
            <w:shd w:val="clear" w:color="auto" w:fill="auto"/>
            <w:noWrap/>
            <w:vAlign w:val="center"/>
            <w:hideMark/>
          </w:tcPr>
          <w:p w14:paraId="4694DFDF" w14:textId="77777777" w:rsidR="00E3750C" w:rsidRPr="00421089" w:rsidRDefault="00E3750C" w:rsidP="00047864">
            <w:pPr>
              <w:spacing w:after="0" w:line="240" w:lineRule="auto"/>
              <w:jc w:val="right"/>
              <w:rPr>
                <w:rFonts w:ascii="Arial" w:hAnsi="Arial" w:cs="Arial"/>
                <w:color w:val="000000"/>
                <w:sz w:val="18"/>
                <w:szCs w:val="18"/>
              </w:rPr>
            </w:pPr>
            <w:r w:rsidRPr="00421089">
              <w:rPr>
                <w:rFonts w:ascii="Arial" w:hAnsi="Arial" w:cs="Arial"/>
                <w:color w:val="000000"/>
                <w:sz w:val="18"/>
                <w:szCs w:val="18"/>
              </w:rPr>
              <w:t>0,41 %</w:t>
            </w:r>
          </w:p>
        </w:tc>
      </w:tr>
    </w:tbl>
    <w:p w14:paraId="0E1E81EC" w14:textId="77777777" w:rsidR="00E3750C" w:rsidRPr="00421089" w:rsidRDefault="00E3750C" w:rsidP="00E3750C">
      <w:pPr>
        <w:spacing w:after="0" w:line="240" w:lineRule="auto"/>
        <w:rPr>
          <w:rFonts w:ascii="Arial" w:hAnsi="Arial" w:cs="Arial"/>
          <w:b/>
          <w:sz w:val="20"/>
        </w:rPr>
      </w:pPr>
    </w:p>
    <w:p w14:paraId="436AF002" w14:textId="77777777" w:rsidR="00E3750C" w:rsidRDefault="00E3750C" w:rsidP="00E3750C">
      <w:pPr>
        <w:rPr>
          <w:rFonts w:ascii="Arial" w:hAnsi="Arial" w:cs="Arial"/>
          <w:sz w:val="20"/>
          <w:szCs w:val="20"/>
        </w:rPr>
      </w:pPr>
      <w:r>
        <w:rPr>
          <w:rFonts w:ascii="Arial" w:hAnsi="Arial" w:cs="Arial"/>
          <w:sz w:val="20"/>
          <w:szCs w:val="20"/>
        </w:rPr>
        <w:br w:type="page"/>
      </w:r>
    </w:p>
    <w:p w14:paraId="78865C2F" w14:textId="77777777" w:rsidR="00E3750C" w:rsidRPr="00503A16" w:rsidRDefault="00E3750C" w:rsidP="00E3750C">
      <w:pPr>
        <w:spacing w:before="120" w:after="0" w:line="240" w:lineRule="auto"/>
        <w:jc w:val="both"/>
        <w:rPr>
          <w:rFonts w:ascii="Arial" w:hAnsi="Arial" w:cs="Arial"/>
          <w:sz w:val="20"/>
        </w:rPr>
      </w:pPr>
      <w:r w:rsidRPr="00503A16">
        <w:rPr>
          <w:rFonts w:ascii="Arial" w:hAnsi="Arial" w:cs="Arial"/>
          <w:sz w:val="20"/>
          <w:szCs w:val="20"/>
        </w:rPr>
        <w:lastRenderedPageBreak/>
        <w:t>Preglednica 10</w:t>
      </w:r>
      <w:r>
        <w:rPr>
          <w:rFonts w:ascii="Arial" w:hAnsi="Arial" w:cs="Arial"/>
          <w:sz w:val="20"/>
          <w:szCs w:val="20"/>
        </w:rPr>
        <w:t>2</w:t>
      </w:r>
      <w:r w:rsidRPr="00503A16">
        <w:rPr>
          <w:rFonts w:ascii="Arial" w:hAnsi="Arial" w:cs="Arial"/>
          <w:sz w:val="20"/>
          <w:szCs w:val="20"/>
        </w:rPr>
        <w:t xml:space="preserve">: </w:t>
      </w:r>
      <w:r w:rsidRPr="00503A16">
        <w:rPr>
          <w:rFonts w:ascii="Arial" w:hAnsi="Arial" w:cs="Arial"/>
          <w:sz w:val="20"/>
        </w:rPr>
        <w:t xml:space="preserve">Javna naročila, pri oddaji katerih so bili upoštevani </w:t>
      </w:r>
      <w:proofErr w:type="spellStart"/>
      <w:r w:rsidRPr="00503A16">
        <w:rPr>
          <w:rFonts w:ascii="Arial" w:hAnsi="Arial" w:cs="Arial"/>
          <w:sz w:val="20"/>
        </w:rPr>
        <w:t>okoljski</w:t>
      </w:r>
      <w:proofErr w:type="spellEnd"/>
      <w:r w:rsidRPr="00503A16">
        <w:rPr>
          <w:rFonts w:ascii="Arial" w:hAnsi="Arial" w:cs="Arial"/>
          <w:sz w:val="20"/>
        </w:rPr>
        <w:t xml:space="preserve"> vidiki glede na način upoštevanja teh vidikov</w:t>
      </w:r>
    </w:p>
    <w:p w14:paraId="558B60A6" w14:textId="77777777" w:rsidR="00E3750C" w:rsidRPr="00BF7302" w:rsidRDefault="00E3750C" w:rsidP="00E3750C">
      <w:pPr>
        <w:spacing w:after="0" w:line="240" w:lineRule="auto"/>
        <w:jc w:val="both"/>
        <w:rPr>
          <w:rFonts w:ascii="Arial" w:hAnsi="Arial" w:cs="Arial"/>
          <w:sz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1"/>
        <w:gridCol w:w="631"/>
        <w:gridCol w:w="1101"/>
        <w:gridCol w:w="1061"/>
        <w:gridCol w:w="911"/>
        <w:gridCol w:w="631"/>
        <w:gridCol w:w="868"/>
        <w:gridCol w:w="2860"/>
      </w:tblGrid>
      <w:tr w:rsidR="00E3750C" w:rsidRPr="00503A16" w14:paraId="74B4B8C4" w14:textId="77777777" w:rsidTr="00047864">
        <w:trPr>
          <w:trHeight w:val="735"/>
          <w:tblHeader/>
        </w:trPr>
        <w:tc>
          <w:tcPr>
            <w:tcW w:w="386" w:type="pct"/>
            <w:shd w:val="clear" w:color="000000" w:fill="F2F2F2"/>
            <w:vAlign w:val="center"/>
            <w:hideMark/>
          </w:tcPr>
          <w:p w14:paraId="5F079798" w14:textId="77777777" w:rsidR="00E3750C" w:rsidRPr="00503A16" w:rsidRDefault="00E3750C" w:rsidP="00047864">
            <w:pPr>
              <w:spacing w:after="0" w:line="240" w:lineRule="auto"/>
              <w:jc w:val="center"/>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xml:space="preserve">Tehnične specifikacije </w:t>
            </w:r>
          </w:p>
        </w:tc>
        <w:tc>
          <w:tcPr>
            <w:tcW w:w="332" w:type="pct"/>
            <w:shd w:val="clear" w:color="000000" w:fill="F2F2F2"/>
            <w:vAlign w:val="center"/>
            <w:hideMark/>
          </w:tcPr>
          <w:p w14:paraId="414F9383" w14:textId="77777777" w:rsidR="00E3750C" w:rsidRPr="00503A16" w:rsidRDefault="00E3750C" w:rsidP="00047864">
            <w:pPr>
              <w:spacing w:after="0" w:line="240" w:lineRule="auto"/>
              <w:jc w:val="center"/>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Merila</w:t>
            </w:r>
          </w:p>
        </w:tc>
        <w:tc>
          <w:tcPr>
            <w:tcW w:w="382" w:type="pct"/>
            <w:shd w:val="clear" w:color="000000" w:fill="F2F2F2"/>
            <w:vAlign w:val="center"/>
            <w:hideMark/>
          </w:tcPr>
          <w:p w14:paraId="24DAD4A5" w14:textId="77777777" w:rsidR="00E3750C" w:rsidRPr="00503A16" w:rsidRDefault="00E3750C" w:rsidP="00047864">
            <w:pPr>
              <w:spacing w:after="0" w:line="240" w:lineRule="auto"/>
              <w:jc w:val="center"/>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Pogoji za sodelovanje</w:t>
            </w:r>
          </w:p>
        </w:tc>
        <w:tc>
          <w:tcPr>
            <w:tcW w:w="368" w:type="pct"/>
            <w:shd w:val="clear" w:color="000000" w:fill="F2F2F2"/>
            <w:vAlign w:val="center"/>
            <w:hideMark/>
          </w:tcPr>
          <w:p w14:paraId="7A1C7F6D" w14:textId="77777777" w:rsidR="00E3750C" w:rsidRPr="00503A16" w:rsidRDefault="00E3750C" w:rsidP="00047864">
            <w:pPr>
              <w:spacing w:after="0" w:line="240" w:lineRule="auto"/>
              <w:jc w:val="center"/>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Pogodbena določila</w:t>
            </w:r>
          </w:p>
        </w:tc>
        <w:tc>
          <w:tcPr>
            <w:tcW w:w="333" w:type="pct"/>
            <w:shd w:val="clear" w:color="000000" w:fill="F2F2F2"/>
            <w:vAlign w:val="center"/>
            <w:hideMark/>
          </w:tcPr>
          <w:p w14:paraId="32516F5C" w14:textId="77777777" w:rsidR="00E3750C" w:rsidRPr="00503A16" w:rsidRDefault="00E3750C" w:rsidP="00047864">
            <w:pPr>
              <w:spacing w:after="0" w:line="240" w:lineRule="auto"/>
              <w:jc w:val="center"/>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Razlogi za izključitev</w:t>
            </w:r>
          </w:p>
        </w:tc>
        <w:tc>
          <w:tcPr>
            <w:tcW w:w="332" w:type="pct"/>
            <w:shd w:val="clear" w:color="000000" w:fill="F2F2F2"/>
            <w:vAlign w:val="center"/>
            <w:hideMark/>
          </w:tcPr>
          <w:p w14:paraId="7929F283" w14:textId="77777777" w:rsidR="00E3750C" w:rsidRPr="00503A16" w:rsidRDefault="00E3750C" w:rsidP="00047864">
            <w:pPr>
              <w:spacing w:after="0" w:line="240" w:lineRule="auto"/>
              <w:jc w:val="center"/>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Drugo</w:t>
            </w:r>
          </w:p>
        </w:tc>
        <w:tc>
          <w:tcPr>
            <w:tcW w:w="891" w:type="pct"/>
            <w:shd w:val="clear" w:color="000000" w:fill="F2F2F2"/>
            <w:vAlign w:val="center"/>
            <w:hideMark/>
          </w:tcPr>
          <w:p w14:paraId="5949807A" w14:textId="77777777" w:rsidR="00E3750C" w:rsidRPr="00503A16" w:rsidRDefault="00E3750C" w:rsidP="00047864">
            <w:pPr>
              <w:spacing w:after="0" w:line="240" w:lineRule="auto"/>
              <w:jc w:val="center"/>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Št. naročil</w:t>
            </w:r>
          </w:p>
        </w:tc>
        <w:tc>
          <w:tcPr>
            <w:tcW w:w="1976" w:type="pct"/>
            <w:shd w:val="clear" w:color="000000" w:fill="F2F2F2"/>
            <w:vAlign w:val="center"/>
            <w:hideMark/>
          </w:tcPr>
          <w:p w14:paraId="73D2AFF1" w14:textId="77777777" w:rsidR="00E3750C" w:rsidRPr="00503A16" w:rsidRDefault="00E3750C" w:rsidP="00047864">
            <w:pPr>
              <w:spacing w:after="0" w:line="240" w:lineRule="auto"/>
              <w:jc w:val="center"/>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Pogodbena vrednost</w:t>
            </w:r>
          </w:p>
        </w:tc>
      </w:tr>
      <w:tr w:rsidR="00E3750C" w:rsidRPr="00503A16" w14:paraId="0DFE2A4E" w14:textId="77777777" w:rsidTr="00047864">
        <w:trPr>
          <w:trHeight w:val="300"/>
        </w:trPr>
        <w:tc>
          <w:tcPr>
            <w:tcW w:w="386" w:type="pct"/>
            <w:shd w:val="clear" w:color="000000" w:fill="00B0F0"/>
            <w:noWrap/>
            <w:vAlign w:val="bottom"/>
            <w:hideMark/>
          </w:tcPr>
          <w:p w14:paraId="54214019"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auto" w:fill="auto"/>
            <w:noWrap/>
            <w:vAlign w:val="bottom"/>
            <w:hideMark/>
          </w:tcPr>
          <w:p w14:paraId="1AA4D387"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82" w:type="pct"/>
            <w:shd w:val="clear" w:color="auto" w:fill="auto"/>
            <w:noWrap/>
            <w:vAlign w:val="bottom"/>
            <w:hideMark/>
          </w:tcPr>
          <w:p w14:paraId="4053B0B8"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68" w:type="pct"/>
            <w:shd w:val="clear" w:color="auto" w:fill="auto"/>
            <w:noWrap/>
            <w:vAlign w:val="bottom"/>
            <w:hideMark/>
          </w:tcPr>
          <w:p w14:paraId="65AF520A"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3" w:type="pct"/>
            <w:shd w:val="clear" w:color="auto" w:fill="auto"/>
            <w:noWrap/>
            <w:vAlign w:val="bottom"/>
            <w:hideMark/>
          </w:tcPr>
          <w:p w14:paraId="11EB499D"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auto" w:fill="auto"/>
            <w:noWrap/>
            <w:vAlign w:val="bottom"/>
            <w:hideMark/>
          </w:tcPr>
          <w:p w14:paraId="0A73C8CE"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891" w:type="pct"/>
            <w:shd w:val="clear" w:color="auto" w:fill="auto"/>
            <w:vAlign w:val="center"/>
            <w:hideMark/>
          </w:tcPr>
          <w:p w14:paraId="16EB463A"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1.467</w:t>
            </w:r>
          </w:p>
        </w:tc>
        <w:tc>
          <w:tcPr>
            <w:tcW w:w="1976" w:type="pct"/>
            <w:shd w:val="clear" w:color="auto" w:fill="auto"/>
            <w:vAlign w:val="center"/>
            <w:hideMark/>
          </w:tcPr>
          <w:p w14:paraId="5AF1EC2C"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702.599.782</w:t>
            </w:r>
          </w:p>
        </w:tc>
      </w:tr>
      <w:tr w:rsidR="00E3750C" w:rsidRPr="00503A16" w14:paraId="2A66725C" w14:textId="77777777" w:rsidTr="00047864">
        <w:trPr>
          <w:trHeight w:val="300"/>
        </w:trPr>
        <w:tc>
          <w:tcPr>
            <w:tcW w:w="386" w:type="pct"/>
            <w:shd w:val="clear" w:color="auto" w:fill="auto"/>
            <w:noWrap/>
            <w:vAlign w:val="bottom"/>
            <w:hideMark/>
          </w:tcPr>
          <w:p w14:paraId="6AA9AF66"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000000" w:fill="00B0F0"/>
            <w:noWrap/>
            <w:vAlign w:val="bottom"/>
            <w:hideMark/>
          </w:tcPr>
          <w:p w14:paraId="0ABADDAF"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82" w:type="pct"/>
            <w:shd w:val="clear" w:color="auto" w:fill="auto"/>
            <w:noWrap/>
            <w:vAlign w:val="bottom"/>
            <w:hideMark/>
          </w:tcPr>
          <w:p w14:paraId="3DD73F31"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68" w:type="pct"/>
            <w:shd w:val="clear" w:color="auto" w:fill="auto"/>
            <w:noWrap/>
            <w:vAlign w:val="bottom"/>
            <w:hideMark/>
          </w:tcPr>
          <w:p w14:paraId="05A0129F"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3" w:type="pct"/>
            <w:shd w:val="clear" w:color="auto" w:fill="auto"/>
            <w:noWrap/>
            <w:vAlign w:val="bottom"/>
            <w:hideMark/>
          </w:tcPr>
          <w:p w14:paraId="68F70CBD"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auto" w:fill="auto"/>
            <w:noWrap/>
            <w:vAlign w:val="bottom"/>
            <w:hideMark/>
          </w:tcPr>
          <w:p w14:paraId="68B0AA97"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891" w:type="pct"/>
            <w:shd w:val="clear" w:color="auto" w:fill="auto"/>
            <w:vAlign w:val="center"/>
            <w:hideMark/>
          </w:tcPr>
          <w:p w14:paraId="5C8D4D54"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729</w:t>
            </w:r>
          </w:p>
        </w:tc>
        <w:tc>
          <w:tcPr>
            <w:tcW w:w="1976" w:type="pct"/>
            <w:shd w:val="clear" w:color="auto" w:fill="auto"/>
            <w:vAlign w:val="center"/>
            <w:hideMark/>
          </w:tcPr>
          <w:p w14:paraId="33DC6DA0"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60.404.553</w:t>
            </w:r>
          </w:p>
        </w:tc>
      </w:tr>
      <w:tr w:rsidR="00E3750C" w:rsidRPr="00503A16" w14:paraId="237D60DE" w14:textId="77777777" w:rsidTr="00047864">
        <w:trPr>
          <w:trHeight w:val="300"/>
        </w:trPr>
        <w:tc>
          <w:tcPr>
            <w:tcW w:w="386" w:type="pct"/>
            <w:shd w:val="clear" w:color="000000" w:fill="00B0F0"/>
            <w:noWrap/>
            <w:vAlign w:val="bottom"/>
            <w:hideMark/>
          </w:tcPr>
          <w:p w14:paraId="373E0817"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000000" w:fill="00B0F0"/>
            <w:noWrap/>
            <w:vAlign w:val="bottom"/>
            <w:hideMark/>
          </w:tcPr>
          <w:p w14:paraId="61C93DEF"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82" w:type="pct"/>
            <w:shd w:val="clear" w:color="000000" w:fill="00B0F0"/>
            <w:noWrap/>
            <w:vAlign w:val="bottom"/>
            <w:hideMark/>
          </w:tcPr>
          <w:p w14:paraId="0059E307"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68" w:type="pct"/>
            <w:shd w:val="clear" w:color="000000" w:fill="00B0F0"/>
            <w:noWrap/>
            <w:vAlign w:val="bottom"/>
            <w:hideMark/>
          </w:tcPr>
          <w:p w14:paraId="136737EC"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3" w:type="pct"/>
            <w:shd w:val="clear" w:color="000000" w:fill="00B0F0"/>
            <w:noWrap/>
            <w:vAlign w:val="bottom"/>
            <w:hideMark/>
          </w:tcPr>
          <w:p w14:paraId="79D90AEF"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auto" w:fill="auto"/>
            <w:noWrap/>
            <w:vAlign w:val="bottom"/>
            <w:hideMark/>
          </w:tcPr>
          <w:p w14:paraId="168575DC"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891" w:type="pct"/>
            <w:shd w:val="clear" w:color="auto" w:fill="auto"/>
            <w:vAlign w:val="center"/>
            <w:hideMark/>
          </w:tcPr>
          <w:p w14:paraId="1907285B"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554</w:t>
            </w:r>
          </w:p>
        </w:tc>
        <w:tc>
          <w:tcPr>
            <w:tcW w:w="1976" w:type="pct"/>
            <w:shd w:val="clear" w:color="auto" w:fill="auto"/>
            <w:vAlign w:val="center"/>
            <w:hideMark/>
          </w:tcPr>
          <w:p w14:paraId="42A3DDB6"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13.088.015</w:t>
            </w:r>
          </w:p>
        </w:tc>
      </w:tr>
      <w:tr w:rsidR="00E3750C" w:rsidRPr="00503A16" w14:paraId="1F38C8F6" w14:textId="77777777" w:rsidTr="00047864">
        <w:trPr>
          <w:trHeight w:val="300"/>
        </w:trPr>
        <w:tc>
          <w:tcPr>
            <w:tcW w:w="386" w:type="pct"/>
            <w:shd w:val="clear" w:color="auto" w:fill="auto"/>
            <w:noWrap/>
            <w:vAlign w:val="bottom"/>
            <w:hideMark/>
          </w:tcPr>
          <w:p w14:paraId="1BF9DEA5"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auto" w:fill="auto"/>
            <w:noWrap/>
            <w:vAlign w:val="bottom"/>
            <w:hideMark/>
          </w:tcPr>
          <w:p w14:paraId="5BDF2A0B"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82" w:type="pct"/>
            <w:shd w:val="clear" w:color="000000" w:fill="00B0F0"/>
            <w:noWrap/>
            <w:vAlign w:val="bottom"/>
            <w:hideMark/>
          </w:tcPr>
          <w:p w14:paraId="1B5CDA7D"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68" w:type="pct"/>
            <w:shd w:val="clear" w:color="auto" w:fill="auto"/>
            <w:noWrap/>
            <w:vAlign w:val="bottom"/>
            <w:hideMark/>
          </w:tcPr>
          <w:p w14:paraId="5436B5DD"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3" w:type="pct"/>
            <w:shd w:val="clear" w:color="auto" w:fill="auto"/>
            <w:noWrap/>
            <w:vAlign w:val="bottom"/>
            <w:hideMark/>
          </w:tcPr>
          <w:p w14:paraId="51EBD1ED"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auto" w:fill="auto"/>
            <w:noWrap/>
            <w:vAlign w:val="bottom"/>
            <w:hideMark/>
          </w:tcPr>
          <w:p w14:paraId="5EE1477D"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891" w:type="pct"/>
            <w:shd w:val="clear" w:color="auto" w:fill="auto"/>
            <w:vAlign w:val="center"/>
            <w:hideMark/>
          </w:tcPr>
          <w:p w14:paraId="038070D0"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444</w:t>
            </w:r>
          </w:p>
        </w:tc>
        <w:tc>
          <w:tcPr>
            <w:tcW w:w="1976" w:type="pct"/>
            <w:shd w:val="clear" w:color="auto" w:fill="auto"/>
            <w:vAlign w:val="center"/>
            <w:hideMark/>
          </w:tcPr>
          <w:p w14:paraId="71748C57"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269.141.988</w:t>
            </w:r>
          </w:p>
        </w:tc>
      </w:tr>
      <w:tr w:rsidR="00E3750C" w:rsidRPr="00503A16" w14:paraId="27368F19" w14:textId="77777777" w:rsidTr="00047864">
        <w:trPr>
          <w:trHeight w:val="300"/>
        </w:trPr>
        <w:tc>
          <w:tcPr>
            <w:tcW w:w="386" w:type="pct"/>
            <w:shd w:val="clear" w:color="000000" w:fill="00B0F0"/>
            <w:noWrap/>
            <w:vAlign w:val="bottom"/>
            <w:hideMark/>
          </w:tcPr>
          <w:p w14:paraId="608259CF"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000000" w:fill="00B0F0"/>
            <w:noWrap/>
            <w:vAlign w:val="bottom"/>
            <w:hideMark/>
          </w:tcPr>
          <w:p w14:paraId="03BC4F3E"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82" w:type="pct"/>
            <w:shd w:val="clear" w:color="auto" w:fill="auto"/>
            <w:noWrap/>
            <w:vAlign w:val="bottom"/>
            <w:hideMark/>
          </w:tcPr>
          <w:p w14:paraId="6A38A65B"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68" w:type="pct"/>
            <w:shd w:val="clear" w:color="auto" w:fill="auto"/>
            <w:noWrap/>
            <w:vAlign w:val="bottom"/>
            <w:hideMark/>
          </w:tcPr>
          <w:p w14:paraId="1A52F10A"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3" w:type="pct"/>
            <w:shd w:val="clear" w:color="auto" w:fill="auto"/>
            <w:noWrap/>
            <w:vAlign w:val="bottom"/>
            <w:hideMark/>
          </w:tcPr>
          <w:p w14:paraId="7AF5C965"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auto" w:fill="auto"/>
            <w:noWrap/>
            <w:vAlign w:val="bottom"/>
            <w:hideMark/>
          </w:tcPr>
          <w:p w14:paraId="423C33CF"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891" w:type="pct"/>
            <w:shd w:val="clear" w:color="auto" w:fill="auto"/>
            <w:vAlign w:val="center"/>
            <w:hideMark/>
          </w:tcPr>
          <w:p w14:paraId="1A9C5974"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394</w:t>
            </w:r>
          </w:p>
        </w:tc>
        <w:tc>
          <w:tcPr>
            <w:tcW w:w="1976" w:type="pct"/>
            <w:shd w:val="clear" w:color="auto" w:fill="auto"/>
            <w:vAlign w:val="center"/>
            <w:hideMark/>
          </w:tcPr>
          <w:p w14:paraId="7B207507"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27.779.810</w:t>
            </w:r>
          </w:p>
        </w:tc>
      </w:tr>
      <w:tr w:rsidR="00E3750C" w:rsidRPr="00503A16" w14:paraId="4331394B" w14:textId="77777777" w:rsidTr="00047864">
        <w:trPr>
          <w:trHeight w:val="300"/>
        </w:trPr>
        <w:tc>
          <w:tcPr>
            <w:tcW w:w="386" w:type="pct"/>
            <w:shd w:val="clear" w:color="auto" w:fill="auto"/>
            <w:noWrap/>
            <w:vAlign w:val="bottom"/>
            <w:hideMark/>
          </w:tcPr>
          <w:p w14:paraId="731C67CE"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000000" w:fill="00B0F0"/>
            <w:noWrap/>
            <w:vAlign w:val="bottom"/>
            <w:hideMark/>
          </w:tcPr>
          <w:p w14:paraId="23C72CBE"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82" w:type="pct"/>
            <w:shd w:val="clear" w:color="auto" w:fill="auto"/>
            <w:noWrap/>
            <w:vAlign w:val="bottom"/>
            <w:hideMark/>
          </w:tcPr>
          <w:p w14:paraId="2B0C45DF"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68" w:type="pct"/>
            <w:shd w:val="clear" w:color="000000" w:fill="00B0F0"/>
            <w:noWrap/>
            <w:vAlign w:val="bottom"/>
            <w:hideMark/>
          </w:tcPr>
          <w:p w14:paraId="10E1557B"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3" w:type="pct"/>
            <w:shd w:val="clear" w:color="auto" w:fill="auto"/>
            <w:noWrap/>
            <w:vAlign w:val="bottom"/>
            <w:hideMark/>
          </w:tcPr>
          <w:p w14:paraId="2F98FE84"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auto" w:fill="auto"/>
            <w:noWrap/>
            <w:vAlign w:val="bottom"/>
            <w:hideMark/>
          </w:tcPr>
          <w:p w14:paraId="1B68D596"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891" w:type="pct"/>
            <w:shd w:val="clear" w:color="auto" w:fill="auto"/>
            <w:vAlign w:val="center"/>
            <w:hideMark/>
          </w:tcPr>
          <w:p w14:paraId="1FD6A7D9"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333</w:t>
            </w:r>
          </w:p>
        </w:tc>
        <w:tc>
          <w:tcPr>
            <w:tcW w:w="1976" w:type="pct"/>
            <w:shd w:val="clear" w:color="auto" w:fill="auto"/>
            <w:vAlign w:val="center"/>
            <w:hideMark/>
          </w:tcPr>
          <w:p w14:paraId="08F1E6D5"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7.832.910</w:t>
            </w:r>
          </w:p>
        </w:tc>
      </w:tr>
      <w:tr w:rsidR="00E3750C" w:rsidRPr="00503A16" w14:paraId="4B93B1E5" w14:textId="77777777" w:rsidTr="00047864">
        <w:trPr>
          <w:trHeight w:val="300"/>
        </w:trPr>
        <w:tc>
          <w:tcPr>
            <w:tcW w:w="386" w:type="pct"/>
            <w:shd w:val="clear" w:color="000000" w:fill="00B0F0"/>
            <w:noWrap/>
            <w:vAlign w:val="bottom"/>
            <w:hideMark/>
          </w:tcPr>
          <w:p w14:paraId="526FC9C3"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auto" w:fill="auto"/>
            <w:noWrap/>
            <w:vAlign w:val="bottom"/>
            <w:hideMark/>
          </w:tcPr>
          <w:p w14:paraId="259C1DAD"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82" w:type="pct"/>
            <w:shd w:val="clear" w:color="000000" w:fill="00B0F0"/>
            <w:noWrap/>
            <w:vAlign w:val="bottom"/>
            <w:hideMark/>
          </w:tcPr>
          <w:p w14:paraId="712B3589"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68" w:type="pct"/>
            <w:shd w:val="clear" w:color="000000" w:fill="00B0F0"/>
            <w:noWrap/>
            <w:vAlign w:val="bottom"/>
            <w:hideMark/>
          </w:tcPr>
          <w:p w14:paraId="21B1B1BF"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3" w:type="pct"/>
            <w:shd w:val="clear" w:color="auto" w:fill="auto"/>
            <w:noWrap/>
            <w:vAlign w:val="bottom"/>
            <w:hideMark/>
          </w:tcPr>
          <w:p w14:paraId="38FCB24C"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auto" w:fill="auto"/>
            <w:noWrap/>
            <w:vAlign w:val="bottom"/>
            <w:hideMark/>
          </w:tcPr>
          <w:p w14:paraId="5150D324"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891" w:type="pct"/>
            <w:shd w:val="clear" w:color="auto" w:fill="auto"/>
            <w:vAlign w:val="center"/>
            <w:hideMark/>
          </w:tcPr>
          <w:p w14:paraId="24C0FB80"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259</w:t>
            </w:r>
          </w:p>
        </w:tc>
        <w:tc>
          <w:tcPr>
            <w:tcW w:w="1976" w:type="pct"/>
            <w:shd w:val="clear" w:color="auto" w:fill="auto"/>
            <w:vAlign w:val="center"/>
            <w:hideMark/>
          </w:tcPr>
          <w:p w14:paraId="1A7D14CD"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74.441.453</w:t>
            </w:r>
          </w:p>
        </w:tc>
      </w:tr>
      <w:tr w:rsidR="00E3750C" w:rsidRPr="00503A16" w14:paraId="54D3251E" w14:textId="77777777" w:rsidTr="00047864">
        <w:trPr>
          <w:trHeight w:val="300"/>
        </w:trPr>
        <w:tc>
          <w:tcPr>
            <w:tcW w:w="386" w:type="pct"/>
            <w:shd w:val="clear" w:color="000000" w:fill="00B0F0"/>
            <w:noWrap/>
            <w:vAlign w:val="bottom"/>
            <w:hideMark/>
          </w:tcPr>
          <w:p w14:paraId="7C1C8B95"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auto" w:fill="auto"/>
            <w:noWrap/>
            <w:vAlign w:val="bottom"/>
            <w:hideMark/>
          </w:tcPr>
          <w:p w14:paraId="6E23DAD2"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82" w:type="pct"/>
            <w:shd w:val="clear" w:color="000000" w:fill="00B0F0"/>
            <w:noWrap/>
            <w:vAlign w:val="bottom"/>
            <w:hideMark/>
          </w:tcPr>
          <w:p w14:paraId="708EA8B1"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68" w:type="pct"/>
            <w:shd w:val="clear" w:color="000000" w:fill="00B0F0"/>
            <w:noWrap/>
            <w:vAlign w:val="bottom"/>
            <w:hideMark/>
          </w:tcPr>
          <w:p w14:paraId="2BEA78A0"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3" w:type="pct"/>
            <w:shd w:val="clear" w:color="000000" w:fill="00B0F0"/>
            <w:noWrap/>
            <w:vAlign w:val="bottom"/>
            <w:hideMark/>
          </w:tcPr>
          <w:p w14:paraId="5D22625F"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auto" w:fill="auto"/>
            <w:noWrap/>
            <w:vAlign w:val="bottom"/>
            <w:hideMark/>
          </w:tcPr>
          <w:p w14:paraId="0B24C4F6"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891" w:type="pct"/>
            <w:shd w:val="clear" w:color="auto" w:fill="auto"/>
            <w:vAlign w:val="center"/>
            <w:hideMark/>
          </w:tcPr>
          <w:p w14:paraId="1CA4BACE"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205</w:t>
            </w:r>
          </w:p>
        </w:tc>
        <w:tc>
          <w:tcPr>
            <w:tcW w:w="1976" w:type="pct"/>
            <w:shd w:val="clear" w:color="auto" w:fill="auto"/>
            <w:vAlign w:val="center"/>
            <w:hideMark/>
          </w:tcPr>
          <w:p w14:paraId="769F3578"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7.938.572</w:t>
            </w:r>
          </w:p>
        </w:tc>
      </w:tr>
      <w:tr w:rsidR="00E3750C" w:rsidRPr="00503A16" w14:paraId="7C2CA3DA" w14:textId="77777777" w:rsidTr="00047864">
        <w:trPr>
          <w:trHeight w:val="300"/>
        </w:trPr>
        <w:tc>
          <w:tcPr>
            <w:tcW w:w="386" w:type="pct"/>
            <w:shd w:val="clear" w:color="auto" w:fill="auto"/>
            <w:noWrap/>
            <w:vAlign w:val="bottom"/>
            <w:hideMark/>
          </w:tcPr>
          <w:p w14:paraId="4343D8B9"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auto" w:fill="auto"/>
            <w:noWrap/>
            <w:vAlign w:val="bottom"/>
            <w:hideMark/>
          </w:tcPr>
          <w:p w14:paraId="1CDE0F78"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82" w:type="pct"/>
            <w:shd w:val="clear" w:color="auto" w:fill="auto"/>
            <w:noWrap/>
            <w:vAlign w:val="bottom"/>
            <w:hideMark/>
          </w:tcPr>
          <w:p w14:paraId="0E043568"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68" w:type="pct"/>
            <w:shd w:val="clear" w:color="000000" w:fill="00B0F0"/>
            <w:noWrap/>
            <w:vAlign w:val="bottom"/>
            <w:hideMark/>
          </w:tcPr>
          <w:p w14:paraId="52817CD8"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3" w:type="pct"/>
            <w:shd w:val="clear" w:color="auto" w:fill="auto"/>
            <w:noWrap/>
            <w:vAlign w:val="bottom"/>
            <w:hideMark/>
          </w:tcPr>
          <w:p w14:paraId="4C9F4ECC"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auto" w:fill="auto"/>
            <w:noWrap/>
            <w:vAlign w:val="bottom"/>
            <w:hideMark/>
          </w:tcPr>
          <w:p w14:paraId="169ECA45"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891" w:type="pct"/>
            <w:shd w:val="clear" w:color="auto" w:fill="auto"/>
            <w:vAlign w:val="center"/>
            <w:hideMark/>
          </w:tcPr>
          <w:p w14:paraId="64C26A98"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189</w:t>
            </w:r>
          </w:p>
        </w:tc>
        <w:tc>
          <w:tcPr>
            <w:tcW w:w="1976" w:type="pct"/>
            <w:shd w:val="clear" w:color="auto" w:fill="auto"/>
            <w:vAlign w:val="center"/>
            <w:hideMark/>
          </w:tcPr>
          <w:p w14:paraId="11802589"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65.765.349</w:t>
            </w:r>
          </w:p>
        </w:tc>
      </w:tr>
      <w:tr w:rsidR="00E3750C" w:rsidRPr="00503A16" w14:paraId="59247BC7" w14:textId="77777777" w:rsidTr="00047864">
        <w:trPr>
          <w:trHeight w:val="300"/>
        </w:trPr>
        <w:tc>
          <w:tcPr>
            <w:tcW w:w="386" w:type="pct"/>
            <w:shd w:val="clear" w:color="000000" w:fill="00B0F0"/>
            <w:noWrap/>
            <w:vAlign w:val="bottom"/>
            <w:hideMark/>
          </w:tcPr>
          <w:p w14:paraId="5796CD0B"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auto" w:fill="auto"/>
            <w:noWrap/>
            <w:vAlign w:val="bottom"/>
            <w:hideMark/>
          </w:tcPr>
          <w:p w14:paraId="4F44F9BC"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82" w:type="pct"/>
            <w:shd w:val="clear" w:color="auto" w:fill="auto"/>
            <w:noWrap/>
            <w:vAlign w:val="bottom"/>
            <w:hideMark/>
          </w:tcPr>
          <w:p w14:paraId="242D79DD"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68" w:type="pct"/>
            <w:shd w:val="clear" w:color="auto" w:fill="auto"/>
            <w:noWrap/>
            <w:vAlign w:val="bottom"/>
            <w:hideMark/>
          </w:tcPr>
          <w:p w14:paraId="7FA8E195"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3" w:type="pct"/>
            <w:shd w:val="clear" w:color="000000" w:fill="00B0F0"/>
            <w:noWrap/>
            <w:vAlign w:val="bottom"/>
            <w:hideMark/>
          </w:tcPr>
          <w:p w14:paraId="0CE30A37"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auto" w:fill="auto"/>
            <w:noWrap/>
            <w:vAlign w:val="bottom"/>
            <w:hideMark/>
          </w:tcPr>
          <w:p w14:paraId="7D0BA7D5"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891" w:type="pct"/>
            <w:shd w:val="clear" w:color="auto" w:fill="auto"/>
            <w:vAlign w:val="center"/>
            <w:hideMark/>
          </w:tcPr>
          <w:p w14:paraId="43329E00"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113</w:t>
            </w:r>
          </w:p>
        </w:tc>
        <w:tc>
          <w:tcPr>
            <w:tcW w:w="1976" w:type="pct"/>
            <w:shd w:val="clear" w:color="auto" w:fill="auto"/>
            <w:vAlign w:val="center"/>
            <w:hideMark/>
          </w:tcPr>
          <w:p w14:paraId="07E43727"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6.309.718</w:t>
            </w:r>
          </w:p>
        </w:tc>
      </w:tr>
      <w:tr w:rsidR="00E3750C" w:rsidRPr="00503A16" w14:paraId="140DA82A" w14:textId="77777777" w:rsidTr="00047864">
        <w:trPr>
          <w:trHeight w:val="300"/>
        </w:trPr>
        <w:tc>
          <w:tcPr>
            <w:tcW w:w="386" w:type="pct"/>
            <w:shd w:val="clear" w:color="000000" w:fill="00B0F0"/>
            <w:noWrap/>
            <w:vAlign w:val="bottom"/>
            <w:hideMark/>
          </w:tcPr>
          <w:p w14:paraId="67AD6C5D"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auto" w:fill="auto"/>
            <w:noWrap/>
            <w:vAlign w:val="bottom"/>
            <w:hideMark/>
          </w:tcPr>
          <w:p w14:paraId="03231B48"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82" w:type="pct"/>
            <w:shd w:val="clear" w:color="auto" w:fill="auto"/>
            <w:noWrap/>
            <w:vAlign w:val="bottom"/>
            <w:hideMark/>
          </w:tcPr>
          <w:p w14:paraId="74DA576B"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68" w:type="pct"/>
            <w:shd w:val="clear" w:color="000000" w:fill="00B0F0"/>
            <w:noWrap/>
            <w:vAlign w:val="bottom"/>
            <w:hideMark/>
          </w:tcPr>
          <w:p w14:paraId="7758A1E6"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3" w:type="pct"/>
            <w:shd w:val="clear" w:color="auto" w:fill="auto"/>
            <w:noWrap/>
            <w:vAlign w:val="bottom"/>
            <w:hideMark/>
          </w:tcPr>
          <w:p w14:paraId="1E47F968"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auto" w:fill="auto"/>
            <w:noWrap/>
            <w:vAlign w:val="bottom"/>
            <w:hideMark/>
          </w:tcPr>
          <w:p w14:paraId="4A37C034"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891" w:type="pct"/>
            <w:shd w:val="clear" w:color="auto" w:fill="auto"/>
            <w:vAlign w:val="center"/>
            <w:hideMark/>
          </w:tcPr>
          <w:p w14:paraId="57D57849"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81</w:t>
            </w:r>
          </w:p>
        </w:tc>
        <w:tc>
          <w:tcPr>
            <w:tcW w:w="1976" w:type="pct"/>
            <w:shd w:val="clear" w:color="auto" w:fill="auto"/>
            <w:vAlign w:val="center"/>
            <w:hideMark/>
          </w:tcPr>
          <w:p w14:paraId="337469DA"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60.137.800</w:t>
            </w:r>
          </w:p>
        </w:tc>
      </w:tr>
      <w:tr w:rsidR="00E3750C" w:rsidRPr="00503A16" w14:paraId="3A6A9E7F" w14:textId="77777777" w:rsidTr="00047864">
        <w:trPr>
          <w:trHeight w:val="300"/>
        </w:trPr>
        <w:tc>
          <w:tcPr>
            <w:tcW w:w="386" w:type="pct"/>
            <w:shd w:val="clear" w:color="000000" w:fill="00B0F0"/>
            <w:noWrap/>
            <w:vAlign w:val="bottom"/>
            <w:hideMark/>
          </w:tcPr>
          <w:p w14:paraId="6AF9102C"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auto" w:fill="auto"/>
            <w:noWrap/>
            <w:vAlign w:val="bottom"/>
            <w:hideMark/>
          </w:tcPr>
          <w:p w14:paraId="6FEE5BAC"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82" w:type="pct"/>
            <w:shd w:val="clear" w:color="000000" w:fill="00B0F0"/>
            <w:noWrap/>
            <w:vAlign w:val="bottom"/>
            <w:hideMark/>
          </w:tcPr>
          <w:p w14:paraId="263FC0B5"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68" w:type="pct"/>
            <w:shd w:val="clear" w:color="auto" w:fill="auto"/>
            <w:noWrap/>
            <w:vAlign w:val="bottom"/>
            <w:hideMark/>
          </w:tcPr>
          <w:p w14:paraId="76D0B6E4"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3" w:type="pct"/>
            <w:shd w:val="clear" w:color="auto" w:fill="auto"/>
            <w:noWrap/>
            <w:vAlign w:val="bottom"/>
            <w:hideMark/>
          </w:tcPr>
          <w:p w14:paraId="4005528C"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auto" w:fill="auto"/>
            <w:noWrap/>
            <w:vAlign w:val="bottom"/>
            <w:hideMark/>
          </w:tcPr>
          <w:p w14:paraId="273C994E"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891" w:type="pct"/>
            <w:shd w:val="clear" w:color="auto" w:fill="auto"/>
            <w:vAlign w:val="center"/>
            <w:hideMark/>
          </w:tcPr>
          <w:p w14:paraId="5AD21402"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80</w:t>
            </w:r>
          </w:p>
        </w:tc>
        <w:tc>
          <w:tcPr>
            <w:tcW w:w="1976" w:type="pct"/>
            <w:shd w:val="clear" w:color="auto" w:fill="auto"/>
            <w:vAlign w:val="center"/>
            <w:hideMark/>
          </w:tcPr>
          <w:p w14:paraId="4856864A"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51.866.962</w:t>
            </w:r>
          </w:p>
        </w:tc>
      </w:tr>
      <w:tr w:rsidR="00E3750C" w:rsidRPr="00503A16" w14:paraId="248E2774" w14:textId="77777777" w:rsidTr="00047864">
        <w:trPr>
          <w:trHeight w:val="300"/>
        </w:trPr>
        <w:tc>
          <w:tcPr>
            <w:tcW w:w="386" w:type="pct"/>
            <w:shd w:val="clear" w:color="auto" w:fill="auto"/>
            <w:noWrap/>
            <w:vAlign w:val="bottom"/>
            <w:hideMark/>
          </w:tcPr>
          <w:p w14:paraId="274F5145"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000000" w:fill="00B0F0"/>
            <w:noWrap/>
            <w:vAlign w:val="bottom"/>
            <w:hideMark/>
          </w:tcPr>
          <w:p w14:paraId="28ED8375"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82" w:type="pct"/>
            <w:shd w:val="clear" w:color="000000" w:fill="00B0F0"/>
            <w:noWrap/>
            <w:vAlign w:val="bottom"/>
            <w:hideMark/>
          </w:tcPr>
          <w:p w14:paraId="3AD8EC9B"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68" w:type="pct"/>
            <w:shd w:val="clear" w:color="auto" w:fill="auto"/>
            <w:noWrap/>
            <w:vAlign w:val="bottom"/>
            <w:hideMark/>
          </w:tcPr>
          <w:p w14:paraId="2EF9CCA1"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3" w:type="pct"/>
            <w:shd w:val="clear" w:color="auto" w:fill="auto"/>
            <w:noWrap/>
            <w:vAlign w:val="bottom"/>
            <w:hideMark/>
          </w:tcPr>
          <w:p w14:paraId="402BF98E"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auto" w:fill="auto"/>
            <w:noWrap/>
            <w:vAlign w:val="bottom"/>
            <w:hideMark/>
          </w:tcPr>
          <w:p w14:paraId="721197D9"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891" w:type="pct"/>
            <w:shd w:val="clear" w:color="auto" w:fill="auto"/>
            <w:vAlign w:val="center"/>
            <w:hideMark/>
          </w:tcPr>
          <w:p w14:paraId="27FB42D0"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65</w:t>
            </w:r>
          </w:p>
        </w:tc>
        <w:tc>
          <w:tcPr>
            <w:tcW w:w="1976" w:type="pct"/>
            <w:shd w:val="clear" w:color="auto" w:fill="auto"/>
            <w:vAlign w:val="center"/>
            <w:hideMark/>
          </w:tcPr>
          <w:p w14:paraId="6D3EFD73"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13.006.080</w:t>
            </w:r>
          </w:p>
        </w:tc>
      </w:tr>
      <w:tr w:rsidR="00E3750C" w:rsidRPr="00503A16" w14:paraId="3903473C" w14:textId="77777777" w:rsidTr="00047864">
        <w:trPr>
          <w:trHeight w:val="300"/>
        </w:trPr>
        <w:tc>
          <w:tcPr>
            <w:tcW w:w="386" w:type="pct"/>
            <w:shd w:val="clear" w:color="auto" w:fill="auto"/>
            <w:noWrap/>
            <w:vAlign w:val="bottom"/>
            <w:hideMark/>
          </w:tcPr>
          <w:p w14:paraId="7C8C5E96"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000000" w:fill="00B0F0"/>
            <w:noWrap/>
            <w:vAlign w:val="bottom"/>
            <w:hideMark/>
          </w:tcPr>
          <w:p w14:paraId="30158B57"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82" w:type="pct"/>
            <w:shd w:val="clear" w:color="000000" w:fill="00B0F0"/>
            <w:noWrap/>
            <w:vAlign w:val="bottom"/>
            <w:hideMark/>
          </w:tcPr>
          <w:p w14:paraId="458F6358"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68" w:type="pct"/>
            <w:shd w:val="clear" w:color="000000" w:fill="00B0F0"/>
            <w:noWrap/>
            <w:vAlign w:val="bottom"/>
            <w:hideMark/>
          </w:tcPr>
          <w:p w14:paraId="28E2FF89"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3" w:type="pct"/>
            <w:shd w:val="clear" w:color="auto" w:fill="auto"/>
            <w:noWrap/>
            <w:vAlign w:val="bottom"/>
            <w:hideMark/>
          </w:tcPr>
          <w:p w14:paraId="2771F912"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auto" w:fill="auto"/>
            <w:noWrap/>
            <w:vAlign w:val="bottom"/>
            <w:hideMark/>
          </w:tcPr>
          <w:p w14:paraId="5A6CFA42"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891" w:type="pct"/>
            <w:shd w:val="clear" w:color="auto" w:fill="auto"/>
            <w:vAlign w:val="center"/>
            <w:hideMark/>
          </w:tcPr>
          <w:p w14:paraId="21C9A433"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62</w:t>
            </w:r>
          </w:p>
        </w:tc>
        <w:tc>
          <w:tcPr>
            <w:tcW w:w="1976" w:type="pct"/>
            <w:shd w:val="clear" w:color="auto" w:fill="auto"/>
            <w:vAlign w:val="center"/>
            <w:hideMark/>
          </w:tcPr>
          <w:p w14:paraId="4FACF36C"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2.768.175</w:t>
            </w:r>
          </w:p>
        </w:tc>
      </w:tr>
      <w:tr w:rsidR="00E3750C" w:rsidRPr="00503A16" w14:paraId="1D51BF9E" w14:textId="77777777" w:rsidTr="00047864">
        <w:trPr>
          <w:trHeight w:val="300"/>
        </w:trPr>
        <w:tc>
          <w:tcPr>
            <w:tcW w:w="386" w:type="pct"/>
            <w:shd w:val="clear" w:color="auto" w:fill="auto"/>
            <w:noWrap/>
            <w:vAlign w:val="bottom"/>
            <w:hideMark/>
          </w:tcPr>
          <w:p w14:paraId="4DD089D6"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auto" w:fill="auto"/>
            <w:noWrap/>
            <w:vAlign w:val="bottom"/>
            <w:hideMark/>
          </w:tcPr>
          <w:p w14:paraId="5444A3B1"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82" w:type="pct"/>
            <w:shd w:val="clear" w:color="000000" w:fill="00B0F0"/>
            <w:noWrap/>
            <w:vAlign w:val="bottom"/>
            <w:hideMark/>
          </w:tcPr>
          <w:p w14:paraId="6848AC0B"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68" w:type="pct"/>
            <w:shd w:val="clear" w:color="000000" w:fill="00B0F0"/>
            <w:noWrap/>
            <w:vAlign w:val="bottom"/>
            <w:hideMark/>
          </w:tcPr>
          <w:p w14:paraId="46FD0DAB"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3" w:type="pct"/>
            <w:shd w:val="clear" w:color="auto" w:fill="auto"/>
            <w:noWrap/>
            <w:vAlign w:val="bottom"/>
            <w:hideMark/>
          </w:tcPr>
          <w:p w14:paraId="750233A2"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auto" w:fill="auto"/>
            <w:noWrap/>
            <w:vAlign w:val="bottom"/>
            <w:hideMark/>
          </w:tcPr>
          <w:p w14:paraId="7083B7DF"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891" w:type="pct"/>
            <w:shd w:val="clear" w:color="auto" w:fill="auto"/>
            <w:vAlign w:val="center"/>
            <w:hideMark/>
          </w:tcPr>
          <w:p w14:paraId="0831E71E"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42</w:t>
            </w:r>
          </w:p>
        </w:tc>
        <w:tc>
          <w:tcPr>
            <w:tcW w:w="1976" w:type="pct"/>
            <w:shd w:val="clear" w:color="auto" w:fill="auto"/>
            <w:vAlign w:val="center"/>
            <w:hideMark/>
          </w:tcPr>
          <w:p w14:paraId="7D7C1C2C"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7.723.392</w:t>
            </w:r>
          </w:p>
        </w:tc>
      </w:tr>
      <w:tr w:rsidR="00E3750C" w:rsidRPr="00503A16" w14:paraId="72F1B2B5" w14:textId="77777777" w:rsidTr="00047864">
        <w:trPr>
          <w:trHeight w:val="300"/>
        </w:trPr>
        <w:tc>
          <w:tcPr>
            <w:tcW w:w="386" w:type="pct"/>
            <w:shd w:val="clear" w:color="auto" w:fill="auto"/>
            <w:noWrap/>
            <w:vAlign w:val="bottom"/>
            <w:hideMark/>
          </w:tcPr>
          <w:p w14:paraId="6430DF25"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auto" w:fill="auto"/>
            <w:noWrap/>
            <w:vAlign w:val="bottom"/>
            <w:hideMark/>
          </w:tcPr>
          <w:p w14:paraId="41ED8AF9"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82" w:type="pct"/>
            <w:shd w:val="clear" w:color="auto" w:fill="auto"/>
            <w:noWrap/>
            <w:vAlign w:val="bottom"/>
            <w:hideMark/>
          </w:tcPr>
          <w:p w14:paraId="50F947F3"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68" w:type="pct"/>
            <w:shd w:val="clear" w:color="auto" w:fill="auto"/>
            <w:noWrap/>
            <w:vAlign w:val="bottom"/>
            <w:hideMark/>
          </w:tcPr>
          <w:p w14:paraId="064A18C9"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3" w:type="pct"/>
            <w:shd w:val="clear" w:color="auto" w:fill="auto"/>
            <w:noWrap/>
            <w:vAlign w:val="bottom"/>
            <w:hideMark/>
          </w:tcPr>
          <w:p w14:paraId="63A592E3"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000000" w:fill="00B0F0"/>
            <w:noWrap/>
            <w:vAlign w:val="bottom"/>
            <w:hideMark/>
          </w:tcPr>
          <w:p w14:paraId="6200ED53"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891" w:type="pct"/>
            <w:shd w:val="clear" w:color="auto" w:fill="auto"/>
            <w:vAlign w:val="center"/>
            <w:hideMark/>
          </w:tcPr>
          <w:p w14:paraId="589D6157"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33</w:t>
            </w:r>
          </w:p>
        </w:tc>
        <w:tc>
          <w:tcPr>
            <w:tcW w:w="1976" w:type="pct"/>
            <w:shd w:val="clear" w:color="auto" w:fill="auto"/>
            <w:vAlign w:val="center"/>
            <w:hideMark/>
          </w:tcPr>
          <w:p w14:paraId="28AC3ECB"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13.906.987</w:t>
            </w:r>
          </w:p>
        </w:tc>
      </w:tr>
      <w:tr w:rsidR="00E3750C" w:rsidRPr="00503A16" w14:paraId="385A62F8" w14:textId="77777777" w:rsidTr="00047864">
        <w:trPr>
          <w:trHeight w:val="300"/>
        </w:trPr>
        <w:tc>
          <w:tcPr>
            <w:tcW w:w="386" w:type="pct"/>
            <w:shd w:val="clear" w:color="000000" w:fill="00B0F0"/>
            <w:noWrap/>
            <w:vAlign w:val="bottom"/>
            <w:hideMark/>
          </w:tcPr>
          <w:p w14:paraId="3D61B61A"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000000" w:fill="00B0F0"/>
            <w:noWrap/>
            <w:vAlign w:val="bottom"/>
            <w:hideMark/>
          </w:tcPr>
          <w:p w14:paraId="6893D018"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82" w:type="pct"/>
            <w:shd w:val="clear" w:color="auto" w:fill="auto"/>
            <w:noWrap/>
            <w:vAlign w:val="bottom"/>
            <w:hideMark/>
          </w:tcPr>
          <w:p w14:paraId="09A321F5"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68" w:type="pct"/>
            <w:shd w:val="clear" w:color="000000" w:fill="00B0F0"/>
            <w:noWrap/>
            <w:vAlign w:val="bottom"/>
            <w:hideMark/>
          </w:tcPr>
          <w:p w14:paraId="525A636F"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3" w:type="pct"/>
            <w:shd w:val="clear" w:color="auto" w:fill="auto"/>
            <w:noWrap/>
            <w:vAlign w:val="bottom"/>
            <w:hideMark/>
          </w:tcPr>
          <w:p w14:paraId="70A57256"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auto" w:fill="auto"/>
            <w:noWrap/>
            <w:vAlign w:val="bottom"/>
            <w:hideMark/>
          </w:tcPr>
          <w:p w14:paraId="1620455B"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891" w:type="pct"/>
            <w:shd w:val="clear" w:color="auto" w:fill="auto"/>
            <w:vAlign w:val="center"/>
            <w:hideMark/>
          </w:tcPr>
          <w:p w14:paraId="6F116E20"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33</w:t>
            </w:r>
          </w:p>
        </w:tc>
        <w:tc>
          <w:tcPr>
            <w:tcW w:w="1976" w:type="pct"/>
            <w:shd w:val="clear" w:color="auto" w:fill="auto"/>
            <w:vAlign w:val="center"/>
            <w:hideMark/>
          </w:tcPr>
          <w:p w14:paraId="0ABAB910"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2.800.489</w:t>
            </w:r>
          </w:p>
        </w:tc>
      </w:tr>
      <w:tr w:rsidR="00E3750C" w:rsidRPr="00503A16" w14:paraId="4BD3F515" w14:textId="77777777" w:rsidTr="00047864">
        <w:trPr>
          <w:trHeight w:val="300"/>
        </w:trPr>
        <w:tc>
          <w:tcPr>
            <w:tcW w:w="386" w:type="pct"/>
            <w:shd w:val="clear" w:color="auto" w:fill="auto"/>
            <w:noWrap/>
            <w:vAlign w:val="bottom"/>
            <w:hideMark/>
          </w:tcPr>
          <w:p w14:paraId="7E939ADB"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auto" w:fill="auto"/>
            <w:noWrap/>
            <w:vAlign w:val="bottom"/>
            <w:hideMark/>
          </w:tcPr>
          <w:p w14:paraId="7FA8D0CB"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82" w:type="pct"/>
            <w:shd w:val="clear" w:color="auto" w:fill="auto"/>
            <w:noWrap/>
            <w:vAlign w:val="bottom"/>
            <w:hideMark/>
          </w:tcPr>
          <w:p w14:paraId="0A5F0B16"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68" w:type="pct"/>
            <w:shd w:val="clear" w:color="auto" w:fill="auto"/>
            <w:noWrap/>
            <w:vAlign w:val="bottom"/>
            <w:hideMark/>
          </w:tcPr>
          <w:p w14:paraId="7B3910E6"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3" w:type="pct"/>
            <w:shd w:val="clear" w:color="000000" w:fill="00B0F0"/>
            <w:noWrap/>
            <w:vAlign w:val="bottom"/>
            <w:hideMark/>
          </w:tcPr>
          <w:p w14:paraId="574A3373"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auto" w:fill="auto"/>
            <w:noWrap/>
            <w:vAlign w:val="bottom"/>
            <w:hideMark/>
          </w:tcPr>
          <w:p w14:paraId="54A4B232"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891" w:type="pct"/>
            <w:shd w:val="clear" w:color="auto" w:fill="auto"/>
            <w:vAlign w:val="center"/>
            <w:hideMark/>
          </w:tcPr>
          <w:p w14:paraId="4D5505D3"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15</w:t>
            </w:r>
          </w:p>
        </w:tc>
        <w:tc>
          <w:tcPr>
            <w:tcW w:w="1976" w:type="pct"/>
            <w:shd w:val="clear" w:color="auto" w:fill="auto"/>
            <w:vAlign w:val="center"/>
            <w:hideMark/>
          </w:tcPr>
          <w:p w14:paraId="51CD4B70"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5.657.144</w:t>
            </w:r>
          </w:p>
        </w:tc>
      </w:tr>
      <w:tr w:rsidR="00E3750C" w:rsidRPr="00503A16" w14:paraId="76A2F38B" w14:textId="77777777" w:rsidTr="00047864">
        <w:trPr>
          <w:trHeight w:val="300"/>
        </w:trPr>
        <w:tc>
          <w:tcPr>
            <w:tcW w:w="386" w:type="pct"/>
            <w:shd w:val="clear" w:color="000000" w:fill="00B0F0"/>
            <w:noWrap/>
            <w:vAlign w:val="bottom"/>
            <w:hideMark/>
          </w:tcPr>
          <w:p w14:paraId="1D6E07F7"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auto" w:fill="auto"/>
            <w:noWrap/>
            <w:vAlign w:val="bottom"/>
            <w:hideMark/>
          </w:tcPr>
          <w:p w14:paraId="21344056"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82" w:type="pct"/>
            <w:shd w:val="clear" w:color="000000" w:fill="00B0F0"/>
            <w:noWrap/>
            <w:vAlign w:val="bottom"/>
            <w:hideMark/>
          </w:tcPr>
          <w:p w14:paraId="6C94E028"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68" w:type="pct"/>
            <w:shd w:val="clear" w:color="auto" w:fill="auto"/>
            <w:noWrap/>
            <w:vAlign w:val="bottom"/>
            <w:hideMark/>
          </w:tcPr>
          <w:p w14:paraId="26685239"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3" w:type="pct"/>
            <w:shd w:val="clear" w:color="000000" w:fill="00B0F0"/>
            <w:noWrap/>
            <w:vAlign w:val="bottom"/>
            <w:hideMark/>
          </w:tcPr>
          <w:p w14:paraId="0B271992"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auto" w:fill="auto"/>
            <w:noWrap/>
            <w:vAlign w:val="bottom"/>
            <w:hideMark/>
          </w:tcPr>
          <w:p w14:paraId="760CA6BD"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891" w:type="pct"/>
            <w:shd w:val="clear" w:color="auto" w:fill="auto"/>
            <w:vAlign w:val="center"/>
            <w:hideMark/>
          </w:tcPr>
          <w:p w14:paraId="5E65A369"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15</w:t>
            </w:r>
          </w:p>
        </w:tc>
        <w:tc>
          <w:tcPr>
            <w:tcW w:w="1976" w:type="pct"/>
            <w:shd w:val="clear" w:color="auto" w:fill="auto"/>
            <w:vAlign w:val="center"/>
            <w:hideMark/>
          </w:tcPr>
          <w:p w14:paraId="7C3ACBA2"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3.606.516</w:t>
            </w:r>
          </w:p>
        </w:tc>
      </w:tr>
      <w:tr w:rsidR="00E3750C" w:rsidRPr="00503A16" w14:paraId="0B08D488" w14:textId="77777777" w:rsidTr="00047864">
        <w:trPr>
          <w:trHeight w:val="300"/>
        </w:trPr>
        <w:tc>
          <w:tcPr>
            <w:tcW w:w="386" w:type="pct"/>
            <w:shd w:val="clear" w:color="000000" w:fill="00B0F0"/>
            <w:noWrap/>
            <w:vAlign w:val="bottom"/>
            <w:hideMark/>
          </w:tcPr>
          <w:p w14:paraId="646618B3"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000000" w:fill="00B0F0"/>
            <w:noWrap/>
            <w:vAlign w:val="bottom"/>
            <w:hideMark/>
          </w:tcPr>
          <w:p w14:paraId="3BCE78F3"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82" w:type="pct"/>
            <w:shd w:val="clear" w:color="000000" w:fill="00B0F0"/>
            <w:noWrap/>
            <w:vAlign w:val="bottom"/>
            <w:hideMark/>
          </w:tcPr>
          <w:p w14:paraId="7B02C7A8"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68" w:type="pct"/>
            <w:shd w:val="clear" w:color="auto" w:fill="auto"/>
            <w:noWrap/>
            <w:vAlign w:val="bottom"/>
            <w:hideMark/>
          </w:tcPr>
          <w:p w14:paraId="34B27FE1"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3" w:type="pct"/>
            <w:shd w:val="clear" w:color="auto" w:fill="auto"/>
            <w:noWrap/>
            <w:vAlign w:val="bottom"/>
            <w:hideMark/>
          </w:tcPr>
          <w:p w14:paraId="3EE09A5A"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auto" w:fill="auto"/>
            <w:noWrap/>
            <w:vAlign w:val="bottom"/>
            <w:hideMark/>
          </w:tcPr>
          <w:p w14:paraId="498E50B4"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891" w:type="pct"/>
            <w:shd w:val="clear" w:color="auto" w:fill="auto"/>
            <w:vAlign w:val="center"/>
            <w:hideMark/>
          </w:tcPr>
          <w:p w14:paraId="73BAD358"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12</w:t>
            </w:r>
          </w:p>
        </w:tc>
        <w:tc>
          <w:tcPr>
            <w:tcW w:w="1976" w:type="pct"/>
            <w:shd w:val="clear" w:color="auto" w:fill="auto"/>
            <w:vAlign w:val="center"/>
            <w:hideMark/>
          </w:tcPr>
          <w:p w14:paraId="614ABB85"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915.809</w:t>
            </w:r>
          </w:p>
        </w:tc>
      </w:tr>
      <w:tr w:rsidR="00E3750C" w:rsidRPr="00503A16" w14:paraId="230A3181" w14:textId="77777777" w:rsidTr="00047864">
        <w:trPr>
          <w:trHeight w:val="300"/>
        </w:trPr>
        <w:tc>
          <w:tcPr>
            <w:tcW w:w="386" w:type="pct"/>
            <w:shd w:val="clear" w:color="auto" w:fill="auto"/>
            <w:noWrap/>
            <w:vAlign w:val="bottom"/>
            <w:hideMark/>
          </w:tcPr>
          <w:p w14:paraId="6CCE1881"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000000" w:fill="00B0F0"/>
            <w:noWrap/>
            <w:vAlign w:val="bottom"/>
            <w:hideMark/>
          </w:tcPr>
          <w:p w14:paraId="398F086C"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82" w:type="pct"/>
            <w:shd w:val="clear" w:color="000000" w:fill="00B0F0"/>
            <w:noWrap/>
            <w:vAlign w:val="bottom"/>
            <w:hideMark/>
          </w:tcPr>
          <w:p w14:paraId="3F42DEF1"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68" w:type="pct"/>
            <w:shd w:val="clear" w:color="000000" w:fill="00B0F0"/>
            <w:noWrap/>
            <w:vAlign w:val="bottom"/>
            <w:hideMark/>
          </w:tcPr>
          <w:p w14:paraId="036F96E0"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3" w:type="pct"/>
            <w:shd w:val="clear" w:color="000000" w:fill="00B0F0"/>
            <w:noWrap/>
            <w:vAlign w:val="bottom"/>
            <w:hideMark/>
          </w:tcPr>
          <w:p w14:paraId="6AFBC240"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auto" w:fill="auto"/>
            <w:noWrap/>
            <w:vAlign w:val="bottom"/>
            <w:hideMark/>
          </w:tcPr>
          <w:p w14:paraId="5757F7E7"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891" w:type="pct"/>
            <w:shd w:val="clear" w:color="auto" w:fill="auto"/>
            <w:vAlign w:val="center"/>
            <w:hideMark/>
          </w:tcPr>
          <w:p w14:paraId="64CE2D0F"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8</w:t>
            </w:r>
          </w:p>
        </w:tc>
        <w:tc>
          <w:tcPr>
            <w:tcW w:w="1976" w:type="pct"/>
            <w:shd w:val="clear" w:color="auto" w:fill="auto"/>
            <w:vAlign w:val="center"/>
            <w:hideMark/>
          </w:tcPr>
          <w:p w14:paraId="54A397FA"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855.106</w:t>
            </w:r>
          </w:p>
        </w:tc>
      </w:tr>
      <w:tr w:rsidR="00E3750C" w:rsidRPr="00503A16" w14:paraId="6F43B52A" w14:textId="77777777" w:rsidTr="00047864">
        <w:trPr>
          <w:trHeight w:val="300"/>
        </w:trPr>
        <w:tc>
          <w:tcPr>
            <w:tcW w:w="386" w:type="pct"/>
            <w:shd w:val="clear" w:color="000000" w:fill="00B0F0"/>
            <w:noWrap/>
            <w:vAlign w:val="bottom"/>
            <w:hideMark/>
          </w:tcPr>
          <w:p w14:paraId="5919F9FA"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000000" w:fill="00B0F0"/>
            <w:noWrap/>
            <w:vAlign w:val="bottom"/>
            <w:hideMark/>
          </w:tcPr>
          <w:p w14:paraId="5497DD09"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82" w:type="pct"/>
            <w:shd w:val="clear" w:color="000000" w:fill="00B0F0"/>
            <w:noWrap/>
            <w:vAlign w:val="bottom"/>
            <w:hideMark/>
          </w:tcPr>
          <w:p w14:paraId="61078DB7"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68" w:type="pct"/>
            <w:shd w:val="clear" w:color="auto" w:fill="auto"/>
            <w:noWrap/>
            <w:vAlign w:val="bottom"/>
            <w:hideMark/>
          </w:tcPr>
          <w:p w14:paraId="79D49173"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3" w:type="pct"/>
            <w:shd w:val="clear" w:color="000000" w:fill="00B0F0"/>
            <w:noWrap/>
            <w:vAlign w:val="bottom"/>
            <w:hideMark/>
          </w:tcPr>
          <w:p w14:paraId="6ADCDF29"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auto" w:fill="auto"/>
            <w:noWrap/>
            <w:vAlign w:val="bottom"/>
            <w:hideMark/>
          </w:tcPr>
          <w:p w14:paraId="366A27CC"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891" w:type="pct"/>
            <w:shd w:val="clear" w:color="auto" w:fill="auto"/>
            <w:vAlign w:val="center"/>
            <w:hideMark/>
          </w:tcPr>
          <w:p w14:paraId="21859959"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5</w:t>
            </w:r>
          </w:p>
        </w:tc>
        <w:tc>
          <w:tcPr>
            <w:tcW w:w="1976" w:type="pct"/>
            <w:shd w:val="clear" w:color="auto" w:fill="auto"/>
            <w:vAlign w:val="center"/>
            <w:hideMark/>
          </w:tcPr>
          <w:p w14:paraId="1D58B5D0"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81.057</w:t>
            </w:r>
          </w:p>
        </w:tc>
      </w:tr>
      <w:tr w:rsidR="00E3750C" w:rsidRPr="00503A16" w14:paraId="4B36A7A0" w14:textId="77777777" w:rsidTr="00047864">
        <w:trPr>
          <w:trHeight w:val="300"/>
        </w:trPr>
        <w:tc>
          <w:tcPr>
            <w:tcW w:w="386" w:type="pct"/>
            <w:shd w:val="clear" w:color="auto" w:fill="auto"/>
            <w:noWrap/>
            <w:vAlign w:val="bottom"/>
            <w:hideMark/>
          </w:tcPr>
          <w:p w14:paraId="138A0CD6"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000000" w:fill="00B0F0"/>
            <w:noWrap/>
            <w:vAlign w:val="bottom"/>
            <w:hideMark/>
          </w:tcPr>
          <w:p w14:paraId="321B3BE5"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82" w:type="pct"/>
            <w:shd w:val="clear" w:color="000000" w:fill="00B0F0"/>
            <w:noWrap/>
            <w:vAlign w:val="bottom"/>
            <w:hideMark/>
          </w:tcPr>
          <w:p w14:paraId="59D584F9"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68" w:type="pct"/>
            <w:shd w:val="clear" w:color="auto" w:fill="auto"/>
            <w:noWrap/>
            <w:vAlign w:val="bottom"/>
            <w:hideMark/>
          </w:tcPr>
          <w:p w14:paraId="6F5B3AEB"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3" w:type="pct"/>
            <w:shd w:val="clear" w:color="000000" w:fill="00B0F0"/>
            <w:noWrap/>
            <w:vAlign w:val="bottom"/>
            <w:hideMark/>
          </w:tcPr>
          <w:p w14:paraId="19F029E2"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auto" w:fill="auto"/>
            <w:noWrap/>
            <w:vAlign w:val="bottom"/>
            <w:hideMark/>
          </w:tcPr>
          <w:p w14:paraId="2D8374C8"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891" w:type="pct"/>
            <w:shd w:val="clear" w:color="auto" w:fill="auto"/>
            <w:vAlign w:val="center"/>
            <w:hideMark/>
          </w:tcPr>
          <w:p w14:paraId="2723E08B"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4</w:t>
            </w:r>
          </w:p>
        </w:tc>
        <w:tc>
          <w:tcPr>
            <w:tcW w:w="1976" w:type="pct"/>
            <w:shd w:val="clear" w:color="auto" w:fill="auto"/>
            <w:vAlign w:val="center"/>
            <w:hideMark/>
          </w:tcPr>
          <w:p w14:paraId="2669FDB4"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67.123</w:t>
            </w:r>
          </w:p>
        </w:tc>
      </w:tr>
      <w:tr w:rsidR="00E3750C" w:rsidRPr="00503A16" w14:paraId="174ED007" w14:textId="77777777" w:rsidTr="00047864">
        <w:trPr>
          <w:trHeight w:val="300"/>
        </w:trPr>
        <w:tc>
          <w:tcPr>
            <w:tcW w:w="386" w:type="pct"/>
            <w:shd w:val="clear" w:color="auto" w:fill="auto"/>
            <w:noWrap/>
            <w:vAlign w:val="bottom"/>
            <w:hideMark/>
          </w:tcPr>
          <w:p w14:paraId="0AC978AC"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auto" w:fill="auto"/>
            <w:noWrap/>
            <w:vAlign w:val="bottom"/>
            <w:hideMark/>
          </w:tcPr>
          <w:p w14:paraId="6E272643"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82" w:type="pct"/>
            <w:shd w:val="clear" w:color="000000" w:fill="00B0F0"/>
            <w:noWrap/>
            <w:vAlign w:val="bottom"/>
            <w:hideMark/>
          </w:tcPr>
          <w:p w14:paraId="6EF3D8FD"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68" w:type="pct"/>
            <w:shd w:val="clear" w:color="000000" w:fill="00B0F0"/>
            <w:noWrap/>
            <w:vAlign w:val="bottom"/>
            <w:hideMark/>
          </w:tcPr>
          <w:p w14:paraId="1BD85D78"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3" w:type="pct"/>
            <w:shd w:val="clear" w:color="000000" w:fill="00B0F0"/>
            <w:noWrap/>
            <w:vAlign w:val="bottom"/>
            <w:hideMark/>
          </w:tcPr>
          <w:p w14:paraId="56868C4D"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auto" w:fill="auto"/>
            <w:noWrap/>
            <w:vAlign w:val="bottom"/>
            <w:hideMark/>
          </w:tcPr>
          <w:p w14:paraId="02C1394C"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891" w:type="pct"/>
            <w:shd w:val="clear" w:color="auto" w:fill="auto"/>
            <w:vAlign w:val="center"/>
            <w:hideMark/>
          </w:tcPr>
          <w:p w14:paraId="49BFCB7C"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3</w:t>
            </w:r>
          </w:p>
        </w:tc>
        <w:tc>
          <w:tcPr>
            <w:tcW w:w="1976" w:type="pct"/>
            <w:shd w:val="clear" w:color="auto" w:fill="auto"/>
            <w:vAlign w:val="center"/>
            <w:hideMark/>
          </w:tcPr>
          <w:p w14:paraId="5DEE3AB3"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436.687</w:t>
            </w:r>
          </w:p>
        </w:tc>
      </w:tr>
      <w:tr w:rsidR="00E3750C" w:rsidRPr="00503A16" w14:paraId="2C8D3FF2" w14:textId="77777777" w:rsidTr="00047864">
        <w:trPr>
          <w:trHeight w:val="300"/>
        </w:trPr>
        <w:tc>
          <w:tcPr>
            <w:tcW w:w="386" w:type="pct"/>
            <w:shd w:val="clear" w:color="000000" w:fill="00B0F0"/>
            <w:noWrap/>
            <w:vAlign w:val="bottom"/>
            <w:hideMark/>
          </w:tcPr>
          <w:p w14:paraId="458F5EB4"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auto" w:fill="auto"/>
            <w:noWrap/>
            <w:vAlign w:val="bottom"/>
            <w:hideMark/>
          </w:tcPr>
          <w:p w14:paraId="28310824"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82" w:type="pct"/>
            <w:shd w:val="clear" w:color="auto" w:fill="auto"/>
            <w:noWrap/>
            <w:vAlign w:val="bottom"/>
            <w:hideMark/>
          </w:tcPr>
          <w:p w14:paraId="7C12245E"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68" w:type="pct"/>
            <w:shd w:val="clear" w:color="auto" w:fill="auto"/>
            <w:noWrap/>
            <w:vAlign w:val="bottom"/>
            <w:hideMark/>
          </w:tcPr>
          <w:p w14:paraId="5F0A1B70"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3" w:type="pct"/>
            <w:shd w:val="clear" w:color="auto" w:fill="auto"/>
            <w:noWrap/>
            <w:vAlign w:val="bottom"/>
            <w:hideMark/>
          </w:tcPr>
          <w:p w14:paraId="21CB8A1B"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000000" w:fill="00B0F0"/>
            <w:noWrap/>
            <w:vAlign w:val="bottom"/>
            <w:hideMark/>
          </w:tcPr>
          <w:p w14:paraId="187DEF4C"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891" w:type="pct"/>
            <w:shd w:val="clear" w:color="auto" w:fill="auto"/>
            <w:vAlign w:val="center"/>
            <w:hideMark/>
          </w:tcPr>
          <w:p w14:paraId="32520702"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3</w:t>
            </w:r>
          </w:p>
        </w:tc>
        <w:tc>
          <w:tcPr>
            <w:tcW w:w="1976" w:type="pct"/>
            <w:shd w:val="clear" w:color="auto" w:fill="auto"/>
            <w:vAlign w:val="center"/>
            <w:hideMark/>
          </w:tcPr>
          <w:p w14:paraId="0FE3ADBF"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998.198</w:t>
            </w:r>
          </w:p>
        </w:tc>
      </w:tr>
      <w:tr w:rsidR="00E3750C" w:rsidRPr="00503A16" w14:paraId="50CF6A52" w14:textId="77777777" w:rsidTr="00047864">
        <w:trPr>
          <w:trHeight w:val="300"/>
        </w:trPr>
        <w:tc>
          <w:tcPr>
            <w:tcW w:w="386" w:type="pct"/>
            <w:shd w:val="clear" w:color="000000" w:fill="00B0F0"/>
            <w:noWrap/>
            <w:vAlign w:val="bottom"/>
            <w:hideMark/>
          </w:tcPr>
          <w:p w14:paraId="41DAEC4C"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auto" w:fill="auto"/>
            <w:noWrap/>
            <w:vAlign w:val="bottom"/>
            <w:hideMark/>
          </w:tcPr>
          <w:p w14:paraId="06A80118"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82" w:type="pct"/>
            <w:shd w:val="clear" w:color="auto" w:fill="auto"/>
            <w:noWrap/>
            <w:vAlign w:val="bottom"/>
            <w:hideMark/>
          </w:tcPr>
          <w:p w14:paraId="763EB541"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68" w:type="pct"/>
            <w:shd w:val="clear" w:color="000000" w:fill="00B0F0"/>
            <w:noWrap/>
            <w:vAlign w:val="bottom"/>
            <w:hideMark/>
          </w:tcPr>
          <w:p w14:paraId="5EBC8003"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3" w:type="pct"/>
            <w:shd w:val="clear" w:color="auto" w:fill="auto"/>
            <w:noWrap/>
            <w:vAlign w:val="bottom"/>
            <w:hideMark/>
          </w:tcPr>
          <w:p w14:paraId="0087E79C"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000000" w:fill="00B0F0"/>
            <w:noWrap/>
            <w:vAlign w:val="bottom"/>
            <w:hideMark/>
          </w:tcPr>
          <w:p w14:paraId="78CCEA17"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891" w:type="pct"/>
            <w:shd w:val="clear" w:color="auto" w:fill="auto"/>
            <w:vAlign w:val="center"/>
            <w:hideMark/>
          </w:tcPr>
          <w:p w14:paraId="683D6AD1"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3</w:t>
            </w:r>
          </w:p>
        </w:tc>
        <w:tc>
          <w:tcPr>
            <w:tcW w:w="1976" w:type="pct"/>
            <w:shd w:val="clear" w:color="auto" w:fill="auto"/>
            <w:vAlign w:val="center"/>
            <w:hideMark/>
          </w:tcPr>
          <w:p w14:paraId="1737C00D"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4.499.450</w:t>
            </w:r>
          </w:p>
        </w:tc>
      </w:tr>
      <w:tr w:rsidR="00E3750C" w:rsidRPr="00503A16" w14:paraId="61BB71B9" w14:textId="77777777" w:rsidTr="00047864">
        <w:trPr>
          <w:trHeight w:val="300"/>
        </w:trPr>
        <w:tc>
          <w:tcPr>
            <w:tcW w:w="386" w:type="pct"/>
            <w:shd w:val="clear" w:color="auto" w:fill="auto"/>
            <w:noWrap/>
            <w:vAlign w:val="bottom"/>
            <w:hideMark/>
          </w:tcPr>
          <w:p w14:paraId="402E9D16"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auto" w:fill="auto"/>
            <w:noWrap/>
            <w:vAlign w:val="bottom"/>
            <w:hideMark/>
          </w:tcPr>
          <w:p w14:paraId="574D31E7"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82" w:type="pct"/>
            <w:shd w:val="clear" w:color="000000" w:fill="00B0F0"/>
            <w:noWrap/>
            <w:vAlign w:val="bottom"/>
            <w:hideMark/>
          </w:tcPr>
          <w:p w14:paraId="47804DC0"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68" w:type="pct"/>
            <w:shd w:val="clear" w:color="auto" w:fill="auto"/>
            <w:noWrap/>
            <w:vAlign w:val="bottom"/>
            <w:hideMark/>
          </w:tcPr>
          <w:p w14:paraId="203388A2"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3" w:type="pct"/>
            <w:shd w:val="clear" w:color="auto" w:fill="auto"/>
            <w:noWrap/>
            <w:vAlign w:val="bottom"/>
            <w:hideMark/>
          </w:tcPr>
          <w:p w14:paraId="740D6612"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000000" w:fill="00B0F0"/>
            <w:noWrap/>
            <w:vAlign w:val="bottom"/>
            <w:hideMark/>
          </w:tcPr>
          <w:p w14:paraId="4111BBB9"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891" w:type="pct"/>
            <w:shd w:val="clear" w:color="auto" w:fill="auto"/>
            <w:vAlign w:val="center"/>
            <w:hideMark/>
          </w:tcPr>
          <w:p w14:paraId="605B735C"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2</w:t>
            </w:r>
          </w:p>
        </w:tc>
        <w:tc>
          <w:tcPr>
            <w:tcW w:w="1976" w:type="pct"/>
            <w:shd w:val="clear" w:color="auto" w:fill="auto"/>
            <w:vAlign w:val="center"/>
            <w:hideMark/>
          </w:tcPr>
          <w:p w14:paraId="2F657161"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2.015.239</w:t>
            </w:r>
          </w:p>
        </w:tc>
      </w:tr>
      <w:tr w:rsidR="00E3750C" w:rsidRPr="00503A16" w14:paraId="5D6A8409" w14:textId="77777777" w:rsidTr="00047864">
        <w:trPr>
          <w:trHeight w:val="300"/>
        </w:trPr>
        <w:tc>
          <w:tcPr>
            <w:tcW w:w="386" w:type="pct"/>
            <w:shd w:val="clear" w:color="000000" w:fill="00B0F0"/>
            <w:noWrap/>
            <w:vAlign w:val="bottom"/>
            <w:hideMark/>
          </w:tcPr>
          <w:p w14:paraId="6F06BE17"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000000" w:fill="00B0F0"/>
            <w:noWrap/>
            <w:vAlign w:val="bottom"/>
            <w:hideMark/>
          </w:tcPr>
          <w:p w14:paraId="70B76A2B"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82" w:type="pct"/>
            <w:shd w:val="clear" w:color="000000" w:fill="00B0F0"/>
            <w:noWrap/>
            <w:vAlign w:val="bottom"/>
            <w:hideMark/>
          </w:tcPr>
          <w:p w14:paraId="4770F087"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68" w:type="pct"/>
            <w:shd w:val="clear" w:color="000000" w:fill="00B0F0"/>
            <w:noWrap/>
            <w:vAlign w:val="bottom"/>
            <w:hideMark/>
          </w:tcPr>
          <w:p w14:paraId="52C83D17"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3" w:type="pct"/>
            <w:shd w:val="clear" w:color="auto" w:fill="auto"/>
            <w:noWrap/>
            <w:vAlign w:val="bottom"/>
            <w:hideMark/>
          </w:tcPr>
          <w:p w14:paraId="66DC7139"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auto" w:fill="auto"/>
            <w:noWrap/>
            <w:vAlign w:val="bottom"/>
            <w:hideMark/>
          </w:tcPr>
          <w:p w14:paraId="31F077B1"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891" w:type="pct"/>
            <w:shd w:val="clear" w:color="auto" w:fill="auto"/>
            <w:vAlign w:val="center"/>
            <w:hideMark/>
          </w:tcPr>
          <w:p w14:paraId="712C8EEC"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2</w:t>
            </w:r>
          </w:p>
        </w:tc>
        <w:tc>
          <w:tcPr>
            <w:tcW w:w="1976" w:type="pct"/>
            <w:shd w:val="clear" w:color="auto" w:fill="auto"/>
            <w:vAlign w:val="center"/>
            <w:hideMark/>
          </w:tcPr>
          <w:p w14:paraId="5573FAD4"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10.534.500</w:t>
            </w:r>
          </w:p>
        </w:tc>
      </w:tr>
      <w:tr w:rsidR="00E3750C" w:rsidRPr="00503A16" w14:paraId="1A8EFCEE" w14:textId="77777777" w:rsidTr="00047864">
        <w:trPr>
          <w:trHeight w:val="300"/>
        </w:trPr>
        <w:tc>
          <w:tcPr>
            <w:tcW w:w="386" w:type="pct"/>
            <w:shd w:val="clear" w:color="auto" w:fill="auto"/>
            <w:noWrap/>
            <w:vAlign w:val="bottom"/>
            <w:hideMark/>
          </w:tcPr>
          <w:p w14:paraId="5A58321F"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auto" w:fill="auto"/>
            <w:noWrap/>
            <w:vAlign w:val="bottom"/>
            <w:hideMark/>
          </w:tcPr>
          <w:p w14:paraId="0487BBD6"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82" w:type="pct"/>
            <w:shd w:val="clear" w:color="000000" w:fill="00B0F0"/>
            <w:noWrap/>
            <w:vAlign w:val="bottom"/>
            <w:hideMark/>
          </w:tcPr>
          <w:p w14:paraId="663DBBC9"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68" w:type="pct"/>
            <w:shd w:val="clear" w:color="auto" w:fill="auto"/>
            <w:noWrap/>
            <w:vAlign w:val="bottom"/>
            <w:hideMark/>
          </w:tcPr>
          <w:p w14:paraId="6959ECF4"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3" w:type="pct"/>
            <w:shd w:val="clear" w:color="000000" w:fill="00B0F0"/>
            <w:noWrap/>
            <w:vAlign w:val="bottom"/>
            <w:hideMark/>
          </w:tcPr>
          <w:p w14:paraId="39E42BCD"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auto" w:fill="auto"/>
            <w:noWrap/>
            <w:vAlign w:val="bottom"/>
            <w:hideMark/>
          </w:tcPr>
          <w:p w14:paraId="0171252D"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891" w:type="pct"/>
            <w:shd w:val="clear" w:color="auto" w:fill="auto"/>
            <w:vAlign w:val="center"/>
            <w:hideMark/>
          </w:tcPr>
          <w:p w14:paraId="6CABF0AF"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2</w:t>
            </w:r>
          </w:p>
        </w:tc>
        <w:tc>
          <w:tcPr>
            <w:tcW w:w="1976" w:type="pct"/>
            <w:shd w:val="clear" w:color="auto" w:fill="auto"/>
            <w:vAlign w:val="center"/>
            <w:hideMark/>
          </w:tcPr>
          <w:p w14:paraId="1B3D5267"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4.858.123</w:t>
            </w:r>
          </w:p>
        </w:tc>
      </w:tr>
      <w:tr w:rsidR="00E3750C" w:rsidRPr="00503A16" w14:paraId="4DF8A662" w14:textId="77777777" w:rsidTr="00047864">
        <w:trPr>
          <w:trHeight w:val="300"/>
        </w:trPr>
        <w:tc>
          <w:tcPr>
            <w:tcW w:w="386" w:type="pct"/>
            <w:shd w:val="clear" w:color="auto" w:fill="auto"/>
            <w:noWrap/>
            <w:vAlign w:val="bottom"/>
            <w:hideMark/>
          </w:tcPr>
          <w:p w14:paraId="7A8A032F"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auto" w:fill="auto"/>
            <w:noWrap/>
            <w:vAlign w:val="bottom"/>
            <w:hideMark/>
          </w:tcPr>
          <w:p w14:paraId="1BA92247"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82" w:type="pct"/>
            <w:shd w:val="clear" w:color="auto" w:fill="auto"/>
            <w:noWrap/>
            <w:vAlign w:val="bottom"/>
            <w:hideMark/>
          </w:tcPr>
          <w:p w14:paraId="4294CF8A"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68" w:type="pct"/>
            <w:shd w:val="clear" w:color="000000" w:fill="00B0F0"/>
            <w:noWrap/>
            <w:vAlign w:val="bottom"/>
            <w:hideMark/>
          </w:tcPr>
          <w:p w14:paraId="61EAC17D"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3" w:type="pct"/>
            <w:shd w:val="clear" w:color="auto" w:fill="auto"/>
            <w:noWrap/>
            <w:vAlign w:val="bottom"/>
            <w:hideMark/>
          </w:tcPr>
          <w:p w14:paraId="060DC8E2"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000000" w:fill="00B0F0"/>
            <w:noWrap/>
            <w:vAlign w:val="bottom"/>
            <w:hideMark/>
          </w:tcPr>
          <w:p w14:paraId="59E02BDD"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891" w:type="pct"/>
            <w:shd w:val="clear" w:color="auto" w:fill="auto"/>
            <w:vAlign w:val="center"/>
            <w:hideMark/>
          </w:tcPr>
          <w:p w14:paraId="07FFAC1C"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1</w:t>
            </w:r>
          </w:p>
        </w:tc>
        <w:tc>
          <w:tcPr>
            <w:tcW w:w="1976" w:type="pct"/>
            <w:shd w:val="clear" w:color="auto" w:fill="auto"/>
            <w:vAlign w:val="center"/>
            <w:hideMark/>
          </w:tcPr>
          <w:p w14:paraId="767A5415"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102.500</w:t>
            </w:r>
          </w:p>
        </w:tc>
      </w:tr>
      <w:tr w:rsidR="00E3750C" w:rsidRPr="00503A16" w14:paraId="32697038" w14:textId="77777777" w:rsidTr="00047864">
        <w:trPr>
          <w:trHeight w:val="300"/>
        </w:trPr>
        <w:tc>
          <w:tcPr>
            <w:tcW w:w="386" w:type="pct"/>
            <w:shd w:val="clear" w:color="auto" w:fill="auto"/>
            <w:noWrap/>
            <w:vAlign w:val="bottom"/>
            <w:hideMark/>
          </w:tcPr>
          <w:p w14:paraId="5713E813"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auto" w:fill="auto"/>
            <w:noWrap/>
            <w:vAlign w:val="bottom"/>
            <w:hideMark/>
          </w:tcPr>
          <w:p w14:paraId="31BAFF03"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82" w:type="pct"/>
            <w:shd w:val="clear" w:color="auto" w:fill="auto"/>
            <w:noWrap/>
            <w:vAlign w:val="bottom"/>
            <w:hideMark/>
          </w:tcPr>
          <w:p w14:paraId="6DD5F552"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68" w:type="pct"/>
            <w:shd w:val="clear" w:color="auto" w:fill="auto"/>
            <w:noWrap/>
            <w:vAlign w:val="bottom"/>
            <w:hideMark/>
          </w:tcPr>
          <w:p w14:paraId="443145D2"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3" w:type="pct"/>
            <w:shd w:val="clear" w:color="000000" w:fill="00B0F0"/>
            <w:noWrap/>
            <w:vAlign w:val="bottom"/>
            <w:hideMark/>
          </w:tcPr>
          <w:p w14:paraId="31506D05"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000000" w:fill="00B0F0"/>
            <w:noWrap/>
            <w:vAlign w:val="bottom"/>
            <w:hideMark/>
          </w:tcPr>
          <w:p w14:paraId="75732996"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891" w:type="pct"/>
            <w:shd w:val="clear" w:color="auto" w:fill="auto"/>
            <w:vAlign w:val="center"/>
            <w:hideMark/>
          </w:tcPr>
          <w:p w14:paraId="5E0F585A"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1</w:t>
            </w:r>
          </w:p>
        </w:tc>
        <w:tc>
          <w:tcPr>
            <w:tcW w:w="1976" w:type="pct"/>
            <w:shd w:val="clear" w:color="auto" w:fill="auto"/>
            <w:vAlign w:val="center"/>
            <w:hideMark/>
          </w:tcPr>
          <w:p w14:paraId="0DBD4E17"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61.985</w:t>
            </w:r>
          </w:p>
        </w:tc>
      </w:tr>
      <w:tr w:rsidR="00E3750C" w:rsidRPr="00503A16" w14:paraId="55F875FD" w14:textId="77777777" w:rsidTr="00047864">
        <w:trPr>
          <w:trHeight w:val="300"/>
        </w:trPr>
        <w:tc>
          <w:tcPr>
            <w:tcW w:w="386" w:type="pct"/>
            <w:shd w:val="clear" w:color="000000" w:fill="00B0F0"/>
            <w:noWrap/>
            <w:vAlign w:val="bottom"/>
            <w:hideMark/>
          </w:tcPr>
          <w:p w14:paraId="1202E019"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auto" w:fill="auto"/>
            <w:noWrap/>
            <w:vAlign w:val="bottom"/>
            <w:hideMark/>
          </w:tcPr>
          <w:p w14:paraId="135BEB10"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82" w:type="pct"/>
            <w:shd w:val="clear" w:color="auto" w:fill="auto"/>
            <w:noWrap/>
            <w:vAlign w:val="bottom"/>
            <w:hideMark/>
          </w:tcPr>
          <w:p w14:paraId="48557F55"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68" w:type="pct"/>
            <w:shd w:val="clear" w:color="000000" w:fill="00B0F0"/>
            <w:noWrap/>
            <w:vAlign w:val="bottom"/>
            <w:hideMark/>
          </w:tcPr>
          <w:p w14:paraId="1302B467"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3" w:type="pct"/>
            <w:shd w:val="clear" w:color="000000" w:fill="00B0F0"/>
            <w:noWrap/>
            <w:vAlign w:val="bottom"/>
            <w:hideMark/>
          </w:tcPr>
          <w:p w14:paraId="69CF82B2"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auto" w:fill="auto"/>
            <w:noWrap/>
            <w:vAlign w:val="bottom"/>
            <w:hideMark/>
          </w:tcPr>
          <w:p w14:paraId="58D5D81B"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891" w:type="pct"/>
            <w:shd w:val="clear" w:color="auto" w:fill="auto"/>
            <w:vAlign w:val="center"/>
            <w:hideMark/>
          </w:tcPr>
          <w:p w14:paraId="1ED05DCD"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1</w:t>
            </w:r>
          </w:p>
        </w:tc>
        <w:tc>
          <w:tcPr>
            <w:tcW w:w="1976" w:type="pct"/>
            <w:shd w:val="clear" w:color="auto" w:fill="auto"/>
            <w:vAlign w:val="center"/>
            <w:hideMark/>
          </w:tcPr>
          <w:p w14:paraId="3AAB3AB8"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11.734</w:t>
            </w:r>
          </w:p>
        </w:tc>
      </w:tr>
      <w:tr w:rsidR="00E3750C" w:rsidRPr="00503A16" w14:paraId="5FD8710D" w14:textId="77777777" w:rsidTr="00047864">
        <w:trPr>
          <w:trHeight w:val="300"/>
        </w:trPr>
        <w:tc>
          <w:tcPr>
            <w:tcW w:w="386" w:type="pct"/>
            <w:shd w:val="clear" w:color="auto" w:fill="auto"/>
            <w:noWrap/>
            <w:vAlign w:val="bottom"/>
            <w:hideMark/>
          </w:tcPr>
          <w:p w14:paraId="37D36040"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000000" w:fill="00B0F0"/>
            <w:noWrap/>
            <w:vAlign w:val="bottom"/>
            <w:hideMark/>
          </w:tcPr>
          <w:p w14:paraId="43203BF6"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82" w:type="pct"/>
            <w:shd w:val="clear" w:color="auto" w:fill="auto"/>
            <w:noWrap/>
            <w:vAlign w:val="bottom"/>
            <w:hideMark/>
          </w:tcPr>
          <w:p w14:paraId="46A9157F"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68" w:type="pct"/>
            <w:shd w:val="clear" w:color="auto" w:fill="auto"/>
            <w:noWrap/>
            <w:vAlign w:val="bottom"/>
            <w:hideMark/>
          </w:tcPr>
          <w:p w14:paraId="5FAA8DC4"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3" w:type="pct"/>
            <w:shd w:val="clear" w:color="auto" w:fill="auto"/>
            <w:noWrap/>
            <w:vAlign w:val="bottom"/>
            <w:hideMark/>
          </w:tcPr>
          <w:p w14:paraId="2D0D6FDF"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000000" w:fill="00B0F0"/>
            <w:noWrap/>
            <w:vAlign w:val="bottom"/>
            <w:hideMark/>
          </w:tcPr>
          <w:p w14:paraId="7789856A"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891" w:type="pct"/>
            <w:shd w:val="clear" w:color="auto" w:fill="auto"/>
            <w:vAlign w:val="center"/>
            <w:hideMark/>
          </w:tcPr>
          <w:p w14:paraId="71D037AE"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1</w:t>
            </w:r>
          </w:p>
        </w:tc>
        <w:tc>
          <w:tcPr>
            <w:tcW w:w="1976" w:type="pct"/>
            <w:shd w:val="clear" w:color="auto" w:fill="auto"/>
            <w:vAlign w:val="center"/>
            <w:hideMark/>
          </w:tcPr>
          <w:p w14:paraId="5BF4F7EF"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358.978</w:t>
            </w:r>
          </w:p>
        </w:tc>
      </w:tr>
      <w:tr w:rsidR="00E3750C" w:rsidRPr="00503A16" w14:paraId="40152851" w14:textId="77777777" w:rsidTr="00047864">
        <w:trPr>
          <w:trHeight w:val="300"/>
        </w:trPr>
        <w:tc>
          <w:tcPr>
            <w:tcW w:w="386" w:type="pct"/>
            <w:shd w:val="clear" w:color="000000" w:fill="00B0F0"/>
            <w:noWrap/>
            <w:vAlign w:val="bottom"/>
            <w:hideMark/>
          </w:tcPr>
          <w:p w14:paraId="0D75E8C7"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000000" w:fill="00B0F0"/>
            <w:noWrap/>
            <w:vAlign w:val="bottom"/>
            <w:hideMark/>
          </w:tcPr>
          <w:p w14:paraId="7F6FC0BA"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82" w:type="pct"/>
            <w:shd w:val="clear" w:color="auto" w:fill="auto"/>
            <w:noWrap/>
            <w:vAlign w:val="bottom"/>
            <w:hideMark/>
          </w:tcPr>
          <w:p w14:paraId="7D41A6BD"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68" w:type="pct"/>
            <w:shd w:val="clear" w:color="auto" w:fill="auto"/>
            <w:noWrap/>
            <w:vAlign w:val="bottom"/>
            <w:hideMark/>
          </w:tcPr>
          <w:p w14:paraId="5AA69493"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3" w:type="pct"/>
            <w:shd w:val="clear" w:color="000000" w:fill="00B0F0"/>
            <w:noWrap/>
            <w:vAlign w:val="bottom"/>
            <w:hideMark/>
          </w:tcPr>
          <w:p w14:paraId="439EA53E"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332" w:type="pct"/>
            <w:shd w:val="clear" w:color="auto" w:fill="auto"/>
            <w:noWrap/>
            <w:vAlign w:val="bottom"/>
            <w:hideMark/>
          </w:tcPr>
          <w:p w14:paraId="38360D32" w14:textId="77777777" w:rsidR="00E3750C" w:rsidRPr="00503A16" w:rsidRDefault="00E3750C" w:rsidP="00047864">
            <w:pPr>
              <w:spacing w:after="0" w:line="240" w:lineRule="auto"/>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 </w:t>
            </w:r>
          </w:p>
        </w:tc>
        <w:tc>
          <w:tcPr>
            <w:tcW w:w="891" w:type="pct"/>
            <w:shd w:val="clear" w:color="auto" w:fill="auto"/>
            <w:vAlign w:val="center"/>
            <w:hideMark/>
          </w:tcPr>
          <w:p w14:paraId="0CA5108F"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1</w:t>
            </w:r>
          </w:p>
        </w:tc>
        <w:tc>
          <w:tcPr>
            <w:tcW w:w="1976" w:type="pct"/>
            <w:shd w:val="clear" w:color="auto" w:fill="auto"/>
            <w:vAlign w:val="center"/>
            <w:hideMark/>
          </w:tcPr>
          <w:p w14:paraId="3378E5D0" w14:textId="77777777" w:rsidR="00E3750C" w:rsidRPr="00503A16" w:rsidRDefault="00E3750C" w:rsidP="00047864">
            <w:pPr>
              <w:spacing w:after="0" w:line="240" w:lineRule="auto"/>
              <w:jc w:val="right"/>
              <w:rPr>
                <w:rFonts w:ascii="Arial" w:eastAsia="Times New Roman" w:hAnsi="Arial" w:cs="Arial"/>
                <w:color w:val="000000"/>
                <w:sz w:val="18"/>
                <w:szCs w:val="18"/>
                <w:lang w:eastAsia="sl-SI"/>
              </w:rPr>
            </w:pPr>
            <w:r w:rsidRPr="00503A16">
              <w:rPr>
                <w:rFonts w:ascii="Arial" w:eastAsia="Times New Roman" w:hAnsi="Arial" w:cs="Arial"/>
                <w:color w:val="000000"/>
                <w:sz w:val="18"/>
                <w:szCs w:val="18"/>
                <w:lang w:eastAsia="sl-SI"/>
              </w:rPr>
              <w:t>166.613</w:t>
            </w:r>
          </w:p>
        </w:tc>
      </w:tr>
    </w:tbl>
    <w:p w14:paraId="06B87768" w14:textId="77777777" w:rsidR="00E3750C" w:rsidRPr="00BF7302" w:rsidRDefault="00E3750C" w:rsidP="00E3750C">
      <w:pPr>
        <w:spacing w:after="0" w:line="240" w:lineRule="auto"/>
        <w:rPr>
          <w:rFonts w:ascii="Arial" w:hAnsi="Arial" w:cs="Arial"/>
          <w:sz w:val="20"/>
          <w:szCs w:val="20"/>
          <w:highlight w:val="yellow"/>
        </w:rPr>
      </w:pPr>
    </w:p>
    <w:p w14:paraId="6DC98B4C" w14:textId="77777777" w:rsidR="00E3750C" w:rsidRDefault="00E3750C" w:rsidP="00E3750C">
      <w:pPr>
        <w:rPr>
          <w:rFonts w:ascii="Arial" w:hAnsi="Arial" w:cs="Arial"/>
          <w:sz w:val="20"/>
          <w:szCs w:val="20"/>
        </w:rPr>
      </w:pPr>
      <w:r>
        <w:rPr>
          <w:rFonts w:ascii="Arial" w:hAnsi="Arial" w:cs="Arial"/>
          <w:sz w:val="20"/>
          <w:szCs w:val="20"/>
        </w:rPr>
        <w:br w:type="page"/>
      </w:r>
    </w:p>
    <w:p w14:paraId="67F1DD7D" w14:textId="77777777" w:rsidR="00E3750C" w:rsidRPr="00051915" w:rsidRDefault="00E3750C" w:rsidP="00E3750C">
      <w:pPr>
        <w:spacing w:before="120" w:after="0" w:line="240" w:lineRule="auto"/>
        <w:rPr>
          <w:rFonts w:ascii="Arial" w:hAnsi="Arial" w:cs="Arial"/>
          <w:sz w:val="20"/>
          <w:szCs w:val="20"/>
        </w:rPr>
      </w:pPr>
      <w:r w:rsidRPr="00051915">
        <w:rPr>
          <w:rFonts w:ascii="Arial" w:hAnsi="Arial" w:cs="Arial"/>
          <w:sz w:val="20"/>
          <w:szCs w:val="20"/>
        </w:rPr>
        <w:lastRenderedPageBreak/>
        <w:t>Preglednica 10</w:t>
      </w:r>
      <w:r>
        <w:rPr>
          <w:rFonts w:ascii="Arial" w:hAnsi="Arial" w:cs="Arial"/>
          <w:sz w:val="20"/>
          <w:szCs w:val="20"/>
        </w:rPr>
        <w:t>3</w:t>
      </w:r>
      <w:r w:rsidRPr="00051915">
        <w:rPr>
          <w:rFonts w:ascii="Arial" w:hAnsi="Arial" w:cs="Arial"/>
          <w:sz w:val="20"/>
          <w:szCs w:val="20"/>
        </w:rPr>
        <w:t>: Število naročnikov glede na kategorijo naročnika</w:t>
      </w:r>
    </w:p>
    <w:p w14:paraId="44CB006B" w14:textId="77777777" w:rsidR="00E3750C" w:rsidRPr="00051915" w:rsidRDefault="00E3750C" w:rsidP="00E3750C">
      <w:pPr>
        <w:spacing w:after="0" w:line="240" w:lineRule="auto"/>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2380"/>
        <w:gridCol w:w="1147"/>
        <w:gridCol w:w="1147"/>
        <w:gridCol w:w="968"/>
        <w:gridCol w:w="1292"/>
        <w:gridCol w:w="1094"/>
        <w:gridCol w:w="1146"/>
      </w:tblGrid>
      <w:tr w:rsidR="00E3750C" w:rsidRPr="00051915" w14:paraId="46DFDE7C" w14:textId="77777777" w:rsidTr="00047864">
        <w:trPr>
          <w:trHeight w:val="255"/>
        </w:trPr>
        <w:tc>
          <w:tcPr>
            <w:tcW w:w="129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DBD3F3" w14:textId="77777777" w:rsidR="00E3750C" w:rsidRPr="00051915" w:rsidRDefault="00E3750C" w:rsidP="00047864">
            <w:pPr>
              <w:spacing w:after="0" w:line="240" w:lineRule="auto"/>
              <w:jc w:val="center"/>
              <w:rPr>
                <w:rFonts w:ascii="Arial" w:eastAsia="Times New Roman" w:hAnsi="Arial" w:cs="Arial"/>
                <w:color w:val="000000"/>
                <w:sz w:val="18"/>
                <w:szCs w:val="18"/>
                <w:lang w:eastAsia="sl-SI"/>
              </w:rPr>
            </w:pPr>
            <w:r w:rsidRPr="00051915">
              <w:rPr>
                <w:rFonts w:ascii="Arial" w:eastAsia="Times New Roman" w:hAnsi="Arial" w:cs="Arial"/>
                <w:color w:val="000000"/>
                <w:sz w:val="18"/>
                <w:szCs w:val="18"/>
                <w:lang w:eastAsia="sl-SI"/>
              </w:rPr>
              <w:t>Kategorija naročnika</w:t>
            </w:r>
          </w:p>
        </w:tc>
        <w:tc>
          <w:tcPr>
            <w:tcW w:w="62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E5EEB45" w14:textId="77777777" w:rsidR="00E3750C" w:rsidRPr="00051915" w:rsidRDefault="00E3750C" w:rsidP="00047864">
            <w:pPr>
              <w:spacing w:after="0" w:line="240" w:lineRule="auto"/>
              <w:jc w:val="center"/>
              <w:rPr>
                <w:rFonts w:ascii="Arial" w:eastAsia="Times New Roman" w:hAnsi="Arial" w:cs="Arial"/>
                <w:color w:val="000000"/>
                <w:sz w:val="18"/>
                <w:szCs w:val="18"/>
                <w:lang w:eastAsia="sl-SI"/>
              </w:rPr>
            </w:pPr>
            <w:r w:rsidRPr="00051915">
              <w:rPr>
                <w:rFonts w:ascii="Arial" w:eastAsia="Times New Roman" w:hAnsi="Arial" w:cs="Arial"/>
                <w:color w:val="000000"/>
                <w:sz w:val="18"/>
                <w:szCs w:val="18"/>
                <w:lang w:eastAsia="sl-SI"/>
              </w:rPr>
              <w:t>Št. naročnikov, ki so oddali vsaj eno zeleno naročilo</w:t>
            </w:r>
          </w:p>
        </w:tc>
        <w:tc>
          <w:tcPr>
            <w:tcW w:w="62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A746F50" w14:textId="77777777" w:rsidR="00E3750C" w:rsidRPr="00051915" w:rsidRDefault="00E3750C" w:rsidP="00047864">
            <w:pPr>
              <w:spacing w:after="0" w:line="240" w:lineRule="auto"/>
              <w:jc w:val="center"/>
              <w:rPr>
                <w:rFonts w:ascii="Arial" w:eastAsia="Times New Roman" w:hAnsi="Arial" w:cs="Arial"/>
                <w:color w:val="000000"/>
                <w:sz w:val="18"/>
                <w:szCs w:val="18"/>
                <w:lang w:eastAsia="sl-SI"/>
              </w:rPr>
            </w:pPr>
            <w:r w:rsidRPr="00051915">
              <w:rPr>
                <w:rFonts w:ascii="Arial" w:eastAsia="Times New Roman" w:hAnsi="Arial" w:cs="Arial"/>
                <w:color w:val="000000"/>
                <w:sz w:val="18"/>
                <w:szCs w:val="18"/>
                <w:lang w:eastAsia="sl-SI"/>
              </w:rPr>
              <w:t>Št. naročnikov, ki so oddali vsaj eno naročilo, a nobeno ni bilo zeleno</w:t>
            </w:r>
          </w:p>
        </w:tc>
        <w:tc>
          <w:tcPr>
            <w:tcW w:w="52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FDF2136" w14:textId="77777777" w:rsidR="00E3750C" w:rsidRPr="00051915" w:rsidRDefault="00E3750C" w:rsidP="00047864">
            <w:pPr>
              <w:spacing w:after="0" w:line="240" w:lineRule="auto"/>
              <w:jc w:val="center"/>
              <w:rPr>
                <w:rFonts w:ascii="Arial" w:eastAsia="Times New Roman" w:hAnsi="Arial" w:cs="Arial"/>
                <w:color w:val="000000"/>
                <w:sz w:val="18"/>
                <w:szCs w:val="18"/>
                <w:lang w:eastAsia="sl-SI"/>
              </w:rPr>
            </w:pPr>
            <w:r w:rsidRPr="00051915">
              <w:rPr>
                <w:rFonts w:ascii="Arial" w:eastAsia="Times New Roman" w:hAnsi="Arial" w:cs="Arial"/>
                <w:color w:val="000000"/>
                <w:sz w:val="18"/>
                <w:szCs w:val="18"/>
                <w:lang w:eastAsia="sl-SI"/>
              </w:rPr>
              <w:t>Št. zelenih naročil</w:t>
            </w:r>
          </w:p>
        </w:tc>
        <w:tc>
          <w:tcPr>
            <w:tcW w:w="69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E09E397" w14:textId="77777777" w:rsidR="00E3750C" w:rsidRPr="00051915" w:rsidRDefault="00E3750C" w:rsidP="00047864">
            <w:pPr>
              <w:spacing w:after="0" w:line="240" w:lineRule="auto"/>
              <w:jc w:val="center"/>
              <w:rPr>
                <w:rFonts w:ascii="Arial" w:eastAsia="Times New Roman" w:hAnsi="Arial" w:cs="Arial"/>
                <w:color w:val="000000"/>
                <w:sz w:val="18"/>
                <w:szCs w:val="18"/>
                <w:lang w:eastAsia="sl-SI"/>
              </w:rPr>
            </w:pPr>
            <w:r w:rsidRPr="00051915">
              <w:rPr>
                <w:rFonts w:ascii="Arial" w:eastAsia="Times New Roman" w:hAnsi="Arial" w:cs="Arial"/>
                <w:color w:val="000000"/>
                <w:sz w:val="18"/>
                <w:szCs w:val="18"/>
                <w:lang w:eastAsia="sl-SI"/>
              </w:rPr>
              <w:t>Vrednost zelenih naročil</w:t>
            </w:r>
          </w:p>
        </w:tc>
        <w:tc>
          <w:tcPr>
            <w:tcW w:w="59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C6D02ED" w14:textId="77777777" w:rsidR="00E3750C" w:rsidRPr="00051915" w:rsidRDefault="00E3750C" w:rsidP="00047864">
            <w:pPr>
              <w:spacing w:after="0" w:line="240" w:lineRule="auto"/>
              <w:jc w:val="center"/>
              <w:rPr>
                <w:rFonts w:ascii="Arial" w:eastAsia="Times New Roman" w:hAnsi="Arial" w:cs="Arial"/>
                <w:color w:val="000000"/>
                <w:sz w:val="18"/>
                <w:szCs w:val="18"/>
                <w:lang w:eastAsia="sl-SI"/>
              </w:rPr>
            </w:pPr>
            <w:r w:rsidRPr="00051915">
              <w:rPr>
                <w:rFonts w:ascii="Arial" w:eastAsia="Times New Roman" w:hAnsi="Arial" w:cs="Arial"/>
                <w:color w:val="000000"/>
                <w:sz w:val="18"/>
                <w:szCs w:val="18"/>
                <w:lang w:eastAsia="sl-SI"/>
              </w:rPr>
              <w:t>Skupno število naročnikov</w:t>
            </w:r>
          </w:p>
        </w:tc>
        <w:tc>
          <w:tcPr>
            <w:tcW w:w="62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D162D98" w14:textId="77777777" w:rsidR="00E3750C" w:rsidRPr="00051915" w:rsidRDefault="00E3750C" w:rsidP="00047864">
            <w:pPr>
              <w:spacing w:after="0" w:line="240" w:lineRule="auto"/>
              <w:jc w:val="center"/>
              <w:rPr>
                <w:rFonts w:ascii="Arial" w:eastAsia="Times New Roman" w:hAnsi="Arial" w:cs="Arial"/>
                <w:color w:val="000000"/>
                <w:sz w:val="18"/>
                <w:szCs w:val="18"/>
                <w:lang w:eastAsia="sl-SI"/>
              </w:rPr>
            </w:pPr>
            <w:r w:rsidRPr="00051915">
              <w:rPr>
                <w:rFonts w:ascii="Arial" w:eastAsia="Times New Roman" w:hAnsi="Arial" w:cs="Arial"/>
                <w:color w:val="000000"/>
                <w:sz w:val="18"/>
                <w:szCs w:val="18"/>
                <w:lang w:eastAsia="sl-SI"/>
              </w:rPr>
              <w:t>Delež v št. naročnikov, ki so oddali vsaj eno zeleno naročilo</w:t>
            </w:r>
          </w:p>
        </w:tc>
      </w:tr>
      <w:tr w:rsidR="00E3750C" w:rsidRPr="00051915" w14:paraId="36905A43" w14:textId="77777777" w:rsidTr="00047864">
        <w:trPr>
          <w:trHeight w:val="255"/>
        </w:trPr>
        <w:tc>
          <w:tcPr>
            <w:tcW w:w="1299" w:type="pct"/>
            <w:tcBorders>
              <w:top w:val="nil"/>
              <w:left w:val="single" w:sz="4" w:space="0" w:color="auto"/>
              <w:bottom w:val="single" w:sz="4" w:space="0" w:color="auto"/>
              <w:right w:val="single" w:sz="4" w:space="0" w:color="auto"/>
            </w:tcBorders>
            <w:shd w:val="clear" w:color="auto" w:fill="auto"/>
            <w:vAlign w:val="center"/>
            <w:hideMark/>
          </w:tcPr>
          <w:p w14:paraId="156712B7" w14:textId="77777777" w:rsidR="00E3750C" w:rsidRPr="00051915" w:rsidRDefault="00E3750C" w:rsidP="00047864">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Organi Republike Slovenije</w:t>
            </w:r>
          </w:p>
        </w:tc>
        <w:tc>
          <w:tcPr>
            <w:tcW w:w="627" w:type="pct"/>
            <w:tcBorders>
              <w:top w:val="nil"/>
              <w:left w:val="nil"/>
              <w:bottom w:val="single" w:sz="4" w:space="0" w:color="auto"/>
              <w:right w:val="single" w:sz="4" w:space="0" w:color="auto"/>
            </w:tcBorders>
            <w:shd w:val="clear" w:color="auto" w:fill="auto"/>
            <w:vAlign w:val="center"/>
            <w:hideMark/>
          </w:tcPr>
          <w:p w14:paraId="2E45BDE3" w14:textId="77777777" w:rsidR="00E3750C" w:rsidRPr="00051915" w:rsidRDefault="00E3750C" w:rsidP="00047864">
            <w:pPr>
              <w:spacing w:after="0" w:line="240" w:lineRule="auto"/>
              <w:jc w:val="right"/>
              <w:rPr>
                <w:rFonts w:ascii="Arial" w:eastAsia="Times New Roman" w:hAnsi="Arial" w:cs="Arial"/>
                <w:color w:val="000000"/>
                <w:sz w:val="18"/>
                <w:szCs w:val="18"/>
                <w:lang w:eastAsia="sl-SI"/>
              </w:rPr>
            </w:pPr>
            <w:r w:rsidRPr="00051915">
              <w:rPr>
                <w:rFonts w:ascii="Arial" w:eastAsia="Times New Roman" w:hAnsi="Arial" w:cs="Arial"/>
                <w:color w:val="000000"/>
                <w:sz w:val="18"/>
                <w:szCs w:val="18"/>
                <w:lang w:eastAsia="sl-SI"/>
              </w:rPr>
              <w:t>30</w:t>
            </w:r>
          </w:p>
        </w:tc>
        <w:tc>
          <w:tcPr>
            <w:tcW w:w="627" w:type="pct"/>
            <w:tcBorders>
              <w:top w:val="nil"/>
              <w:left w:val="nil"/>
              <w:bottom w:val="single" w:sz="4" w:space="0" w:color="auto"/>
              <w:right w:val="single" w:sz="4" w:space="0" w:color="auto"/>
            </w:tcBorders>
            <w:shd w:val="clear" w:color="auto" w:fill="auto"/>
            <w:vAlign w:val="center"/>
            <w:hideMark/>
          </w:tcPr>
          <w:p w14:paraId="44928B46" w14:textId="77777777" w:rsidR="00E3750C" w:rsidRPr="00051915" w:rsidRDefault="00E3750C" w:rsidP="00047864">
            <w:pPr>
              <w:spacing w:after="0" w:line="240" w:lineRule="auto"/>
              <w:jc w:val="right"/>
              <w:rPr>
                <w:rFonts w:ascii="Arial" w:eastAsia="Times New Roman" w:hAnsi="Arial" w:cs="Arial"/>
                <w:color w:val="000000"/>
                <w:sz w:val="18"/>
                <w:szCs w:val="18"/>
                <w:lang w:eastAsia="sl-SI"/>
              </w:rPr>
            </w:pPr>
            <w:r w:rsidRPr="00051915">
              <w:rPr>
                <w:rFonts w:ascii="Arial" w:eastAsia="Times New Roman" w:hAnsi="Arial" w:cs="Arial"/>
                <w:color w:val="000000"/>
                <w:sz w:val="18"/>
                <w:szCs w:val="18"/>
                <w:lang w:eastAsia="sl-SI"/>
              </w:rPr>
              <w:t>27</w:t>
            </w:r>
          </w:p>
        </w:tc>
        <w:tc>
          <w:tcPr>
            <w:tcW w:w="529" w:type="pct"/>
            <w:tcBorders>
              <w:top w:val="nil"/>
              <w:left w:val="nil"/>
              <w:bottom w:val="single" w:sz="4" w:space="0" w:color="auto"/>
              <w:right w:val="single" w:sz="4" w:space="0" w:color="auto"/>
            </w:tcBorders>
            <w:shd w:val="clear" w:color="auto" w:fill="auto"/>
            <w:vAlign w:val="center"/>
            <w:hideMark/>
          </w:tcPr>
          <w:p w14:paraId="44F5E627" w14:textId="77777777" w:rsidR="00E3750C" w:rsidRPr="00051915" w:rsidRDefault="00E3750C" w:rsidP="00047864">
            <w:pPr>
              <w:spacing w:after="0" w:line="240" w:lineRule="auto"/>
              <w:jc w:val="right"/>
              <w:rPr>
                <w:rFonts w:ascii="Arial" w:eastAsia="Times New Roman" w:hAnsi="Arial" w:cs="Arial"/>
                <w:color w:val="000000"/>
                <w:sz w:val="18"/>
                <w:szCs w:val="18"/>
                <w:lang w:eastAsia="sl-SI"/>
              </w:rPr>
            </w:pPr>
            <w:r w:rsidRPr="00051915">
              <w:rPr>
                <w:rFonts w:ascii="Arial" w:hAnsi="Arial" w:cs="Arial"/>
                <w:color w:val="000000"/>
                <w:sz w:val="18"/>
                <w:szCs w:val="18"/>
              </w:rPr>
              <w:t>260</w:t>
            </w:r>
          </w:p>
        </w:tc>
        <w:tc>
          <w:tcPr>
            <w:tcW w:w="694" w:type="pct"/>
            <w:tcBorders>
              <w:top w:val="nil"/>
              <w:left w:val="nil"/>
              <w:bottom w:val="single" w:sz="4" w:space="0" w:color="auto"/>
              <w:right w:val="single" w:sz="4" w:space="0" w:color="auto"/>
            </w:tcBorders>
            <w:shd w:val="clear" w:color="auto" w:fill="auto"/>
            <w:vAlign w:val="center"/>
            <w:hideMark/>
          </w:tcPr>
          <w:p w14:paraId="288B4B53" w14:textId="77777777" w:rsidR="00E3750C" w:rsidRPr="00051915" w:rsidRDefault="00E3750C" w:rsidP="00047864">
            <w:pPr>
              <w:spacing w:after="0" w:line="240" w:lineRule="auto"/>
              <w:jc w:val="right"/>
              <w:rPr>
                <w:rFonts w:ascii="Arial" w:eastAsia="Times New Roman" w:hAnsi="Arial" w:cs="Arial"/>
                <w:color w:val="000000"/>
                <w:sz w:val="18"/>
                <w:szCs w:val="18"/>
                <w:lang w:eastAsia="sl-SI"/>
              </w:rPr>
            </w:pPr>
            <w:r w:rsidRPr="00051915">
              <w:rPr>
                <w:rFonts w:ascii="Arial" w:hAnsi="Arial" w:cs="Arial"/>
                <w:color w:val="000000"/>
                <w:sz w:val="18"/>
                <w:szCs w:val="18"/>
              </w:rPr>
              <w:t>258.467.323</w:t>
            </w:r>
          </w:p>
        </w:tc>
        <w:tc>
          <w:tcPr>
            <w:tcW w:w="598" w:type="pct"/>
            <w:tcBorders>
              <w:top w:val="nil"/>
              <w:left w:val="nil"/>
              <w:bottom w:val="single" w:sz="4" w:space="0" w:color="auto"/>
              <w:right w:val="single" w:sz="4" w:space="0" w:color="auto"/>
            </w:tcBorders>
            <w:shd w:val="clear" w:color="auto" w:fill="auto"/>
            <w:vAlign w:val="center"/>
            <w:hideMark/>
          </w:tcPr>
          <w:p w14:paraId="02D56AE0" w14:textId="77777777" w:rsidR="00E3750C" w:rsidRPr="00051915" w:rsidRDefault="00E3750C" w:rsidP="00047864">
            <w:pPr>
              <w:spacing w:after="0" w:line="240" w:lineRule="auto"/>
              <w:jc w:val="right"/>
              <w:rPr>
                <w:rFonts w:ascii="Arial" w:eastAsia="Times New Roman" w:hAnsi="Arial" w:cs="Arial"/>
                <w:color w:val="000000"/>
                <w:sz w:val="18"/>
                <w:szCs w:val="18"/>
                <w:lang w:eastAsia="sl-SI"/>
              </w:rPr>
            </w:pPr>
            <w:r w:rsidRPr="00051915">
              <w:rPr>
                <w:rFonts w:ascii="Arial" w:hAnsi="Arial" w:cs="Arial"/>
                <w:color w:val="000000"/>
                <w:sz w:val="18"/>
                <w:szCs w:val="18"/>
              </w:rPr>
              <w:t>57</w:t>
            </w:r>
          </w:p>
        </w:tc>
        <w:tc>
          <w:tcPr>
            <w:tcW w:w="626" w:type="pct"/>
            <w:tcBorders>
              <w:top w:val="nil"/>
              <w:left w:val="nil"/>
              <w:bottom w:val="single" w:sz="4" w:space="0" w:color="auto"/>
              <w:right w:val="single" w:sz="4" w:space="0" w:color="auto"/>
            </w:tcBorders>
            <w:shd w:val="clear" w:color="auto" w:fill="auto"/>
            <w:noWrap/>
            <w:vAlign w:val="center"/>
            <w:hideMark/>
          </w:tcPr>
          <w:p w14:paraId="5071BDEF" w14:textId="77777777" w:rsidR="00E3750C" w:rsidRPr="00051915" w:rsidRDefault="00E3750C" w:rsidP="00047864">
            <w:pPr>
              <w:spacing w:after="0" w:line="240" w:lineRule="auto"/>
              <w:jc w:val="right"/>
              <w:rPr>
                <w:rFonts w:ascii="Arial" w:eastAsia="Times New Roman" w:hAnsi="Arial" w:cs="Arial"/>
                <w:color w:val="000000"/>
                <w:sz w:val="18"/>
                <w:szCs w:val="18"/>
                <w:lang w:eastAsia="sl-SI"/>
              </w:rPr>
            </w:pPr>
            <w:r w:rsidRPr="00051915">
              <w:rPr>
                <w:rFonts w:ascii="Arial" w:hAnsi="Arial" w:cs="Arial"/>
                <w:color w:val="000000"/>
                <w:sz w:val="18"/>
                <w:szCs w:val="18"/>
              </w:rPr>
              <w:t>52,63 %</w:t>
            </w:r>
          </w:p>
        </w:tc>
      </w:tr>
      <w:tr w:rsidR="00E3750C" w:rsidRPr="00051915" w14:paraId="1BD4D059" w14:textId="77777777" w:rsidTr="00047864">
        <w:trPr>
          <w:trHeight w:val="255"/>
        </w:trPr>
        <w:tc>
          <w:tcPr>
            <w:tcW w:w="1299" w:type="pct"/>
            <w:tcBorders>
              <w:top w:val="nil"/>
              <w:left w:val="single" w:sz="4" w:space="0" w:color="auto"/>
              <w:bottom w:val="single" w:sz="4" w:space="0" w:color="auto"/>
              <w:right w:val="single" w:sz="4" w:space="0" w:color="auto"/>
            </w:tcBorders>
            <w:shd w:val="clear" w:color="auto" w:fill="auto"/>
            <w:vAlign w:val="center"/>
            <w:hideMark/>
          </w:tcPr>
          <w:p w14:paraId="5AE37E0D" w14:textId="77777777" w:rsidR="00E3750C" w:rsidRPr="00051915" w:rsidRDefault="00E3750C" w:rsidP="00047864">
            <w:pPr>
              <w:spacing w:after="0" w:line="240" w:lineRule="auto"/>
              <w:rPr>
                <w:rFonts w:ascii="Arial" w:eastAsia="Times New Roman" w:hAnsi="Arial" w:cs="Arial"/>
                <w:color w:val="000000"/>
                <w:sz w:val="18"/>
                <w:szCs w:val="18"/>
                <w:lang w:eastAsia="sl-SI"/>
              </w:rPr>
            </w:pPr>
            <w:r w:rsidRPr="00051915">
              <w:rPr>
                <w:rFonts w:ascii="Arial" w:eastAsia="Times New Roman" w:hAnsi="Arial" w:cs="Arial"/>
                <w:color w:val="000000"/>
                <w:sz w:val="18"/>
                <w:szCs w:val="18"/>
                <w:lang w:eastAsia="sl-SI"/>
              </w:rPr>
              <w:t>Samoupravne lokalne skupnosti</w:t>
            </w:r>
          </w:p>
        </w:tc>
        <w:tc>
          <w:tcPr>
            <w:tcW w:w="627" w:type="pct"/>
            <w:tcBorders>
              <w:top w:val="nil"/>
              <w:left w:val="nil"/>
              <w:bottom w:val="single" w:sz="4" w:space="0" w:color="auto"/>
              <w:right w:val="single" w:sz="4" w:space="0" w:color="auto"/>
            </w:tcBorders>
            <w:shd w:val="clear" w:color="auto" w:fill="auto"/>
            <w:vAlign w:val="center"/>
            <w:hideMark/>
          </w:tcPr>
          <w:p w14:paraId="64679E06" w14:textId="77777777" w:rsidR="00E3750C" w:rsidRPr="00051915" w:rsidRDefault="00E3750C" w:rsidP="00047864">
            <w:pPr>
              <w:spacing w:after="0" w:line="240" w:lineRule="auto"/>
              <w:jc w:val="right"/>
              <w:rPr>
                <w:rFonts w:ascii="Arial" w:eastAsia="Times New Roman" w:hAnsi="Arial" w:cs="Arial"/>
                <w:color w:val="000000"/>
                <w:sz w:val="18"/>
                <w:szCs w:val="18"/>
                <w:lang w:eastAsia="sl-SI"/>
              </w:rPr>
            </w:pPr>
            <w:r w:rsidRPr="00051915">
              <w:rPr>
                <w:rFonts w:ascii="Arial" w:eastAsia="Times New Roman" w:hAnsi="Arial" w:cs="Arial"/>
                <w:color w:val="000000"/>
                <w:sz w:val="18"/>
                <w:szCs w:val="18"/>
                <w:lang w:eastAsia="sl-SI"/>
              </w:rPr>
              <w:t>137</w:t>
            </w:r>
          </w:p>
        </w:tc>
        <w:tc>
          <w:tcPr>
            <w:tcW w:w="627" w:type="pct"/>
            <w:tcBorders>
              <w:top w:val="nil"/>
              <w:left w:val="nil"/>
              <w:bottom w:val="single" w:sz="4" w:space="0" w:color="auto"/>
              <w:right w:val="single" w:sz="4" w:space="0" w:color="auto"/>
            </w:tcBorders>
            <w:shd w:val="clear" w:color="auto" w:fill="auto"/>
            <w:vAlign w:val="center"/>
            <w:hideMark/>
          </w:tcPr>
          <w:p w14:paraId="76263C32" w14:textId="77777777" w:rsidR="00E3750C" w:rsidRPr="00051915" w:rsidRDefault="00E3750C" w:rsidP="00047864">
            <w:pPr>
              <w:spacing w:after="0" w:line="240" w:lineRule="auto"/>
              <w:jc w:val="right"/>
              <w:rPr>
                <w:rFonts w:ascii="Arial" w:eastAsia="Times New Roman" w:hAnsi="Arial" w:cs="Arial"/>
                <w:color w:val="000000"/>
                <w:sz w:val="18"/>
                <w:szCs w:val="18"/>
                <w:lang w:eastAsia="sl-SI"/>
              </w:rPr>
            </w:pPr>
            <w:r w:rsidRPr="00051915">
              <w:rPr>
                <w:rFonts w:ascii="Arial" w:eastAsia="Times New Roman" w:hAnsi="Arial" w:cs="Arial"/>
                <w:color w:val="000000"/>
                <w:sz w:val="18"/>
                <w:szCs w:val="18"/>
                <w:lang w:eastAsia="sl-SI"/>
              </w:rPr>
              <w:t>57</w:t>
            </w:r>
          </w:p>
        </w:tc>
        <w:tc>
          <w:tcPr>
            <w:tcW w:w="529" w:type="pct"/>
            <w:tcBorders>
              <w:top w:val="nil"/>
              <w:left w:val="nil"/>
              <w:bottom w:val="single" w:sz="4" w:space="0" w:color="auto"/>
              <w:right w:val="single" w:sz="4" w:space="0" w:color="auto"/>
            </w:tcBorders>
            <w:shd w:val="clear" w:color="auto" w:fill="auto"/>
            <w:vAlign w:val="center"/>
            <w:hideMark/>
          </w:tcPr>
          <w:p w14:paraId="33E03935" w14:textId="77777777" w:rsidR="00E3750C" w:rsidRPr="00051915" w:rsidRDefault="00E3750C" w:rsidP="00047864">
            <w:pPr>
              <w:spacing w:after="0" w:line="240" w:lineRule="auto"/>
              <w:jc w:val="right"/>
              <w:rPr>
                <w:rFonts w:ascii="Arial" w:eastAsia="Times New Roman" w:hAnsi="Arial" w:cs="Arial"/>
                <w:color w:val="000000"/>
                <w:sz w:val="18"/>
                <w:szCs w:val="18"/>
                <w:lang w:eastAsia="sl-SI"/>
              </w:rPr>
            </w:pPr>
            <w:r w:rsidRPr="00051915">
              <w:rPr>
                <w:rFonts w:ascii="Arial" w:hAnsi="Arial" w:cs="Arial"/>
                <w:color w:val="000000"/>
                <w:sz w:val="18"/>
                <w:szCs w:val="18"/>
              </w:rPr>
              <w:t>640</w:t>
            </w:r>
          </w:p>
        </w:tc>
        <w:tc>
          <w:tcPr>
            <w:tcW w:w="694" w:type="pct"/>
            <w:tcBorders>
              <w:top w:val="nil"/>
              <w:left w:val="nil"/>
              <w:bottom w:val="single" w:sz="4" w:space="0" w:color="auto"/>
              <w:right w:val="single" w:sz="4" w:space="0" w:color="auto"/>
            </w:tcBorders>
            <w:shd w:val="clear" w:color="auto" w:fill="auto"/>
            <w:vAlign w:val="center"/>
            <w:hideMark/>
          </w:tcPr>
          <w:p w14:paraId="3BFF8796" w14:textId="77777777" w:rsidR="00E3750C" w:rsidRPr="00051915" w:rsidRDefault="00E3750C" w:rsidP="00047864">
            <w:pPr>
              <w:spacing w:after="0" w:line="240" w:lineRule="auto"/>
              <w:jc w:val="right"/>
              <w:rPr>
                <w:rFonts w:ascii="Arial" w:eastAsia="Times New Roman" w:hAnsi="Arial" w:cs="Arial"/>
                <w:color w:val="000000"/>
                <w:sz w:val="18"/>
                <w:szCs w:val="18"/>
                <w:lang w:eastAsia="sl-SI"/>
              </w:rPr>
            </w:pPr>
            <w:r w:rsidRPr="00051915">
              <w:rPr>
                <w:rFonts w:ascii="Arial" w:hAnsi="Arial" w:cs="Arial"/>
                <w:color w:val="000000"/>
                <w:sz w:val="18"/>
                <w:szCs w:val="18"/>
              </w:rPr>
              <w:t>427.460.729</w:t>
            </w:r>
          </w:p>
        </w:tc>
        <w:tc>
          <w:tcPr>
            <w:tcW w:w="598" w:type="pct"/>
            <w:tcBorders>
              <w:top w:val="nil"/>
              <w:left w:val="nil"/>
              <w:bottom w:val="single" w:sz="4" w:space="0" w:color="auto"/>
              <w:right w:val="single" w:sz="4" w:space="0" w:color="auto"/>
            </w:tcBorders>
            <w:shd w:val="clear" w:color="auto" w:fill="auto"/>
            <w:vAlign w:val="center"/>
            <w:hideMark/>
          </w:tcPr>
          <w:p w14:paraId="55015D75" w14:textId="77777777" w:rsidR="00E3750C" w:rsidRPr="00051915" w:rsidRDefault="00E3750C" w:rsidP="00047864">
            <w:pPr>
              <w:spacing w:after="0" w:line="240" w:lineRule="auto"/>
              <w:jc w:val="right"/>
              <w:rPr>
                <w:rFonts w:ascii="Arial" w:eastAsia="Times New Roman" w:hAnsi="Arial" w:cs="Arial"/>
                <w:color w:val="000000"/>
                <w:sz w:val="18"/>
                <w:szCs w:val="18"/>
                <w:lang w:eastAsia="sl-SI"/>
              </w:rPr>
            </w:pPr>
            <w:r w:rsidRPr="00051915">
              <w:rPr>
                <w:rFonts w:ascii="Arial" w:hAnsi="Arial" w:cs="Arial"/>
                <w:color w:val="000000"/>
                <w:sz w:val="18"/>
                <w:szCs w:val="18"/>
              </w:rPr>
              <w:t>194</w:t>
            </w:r>
          </w:p>
        </w:tc>
        <w:tc>
          <w:tcPr>
            <w:tcW w:w="626" w:type="pct"/>
            <w:tcBorders>
              <w:top w:val="nil"/>
              <w:left w:val="nil"/>
              <w:bottom w:val="single" w:sz="4" w:space="0" w:color="auto"/>
              <w:right w:val="single" w:sz="4" w:space="0" w:color="auto"/>
            </w:tcBorders>
            <w:shd w:val="clear" w:color="auto" w:fill="auto"/>
            <w:noWrap/>
            <w:vAlign w:val="center"/>
            <w:hideMark/>
          </w:tcPr>
          <w:p w14:paraId="306B34C9" w14:textId="77777777" w:rsidR="00E3750C" w:rsidRPr="00051915" w:rsidRDefault="00E3750C" w:rsidP="00047864">
            <w:pPr>
              <w:spacing w:after="0" w:line="240" w:lineRule="auto"/>
              <w:jc w:val="right"/>
              <w:rPr>
                <w:rFonts w:ascii="Arial" w:eastAsia="Times New Roman" w:hAnsi="Arial" w:cs="Arial"/>
                <w:color w:val="000000"/>
                <w:sz w:val="18"/>
                <w:szCs w:val="18"/>
                <w:lang w:eastAsia="sl-SI"/>
              </w:rPr>
            </w:pPr>
            <w:r w:rsidRPr="00051915">
              <w:rPr>
                <w:rFonts w:ascii="Arial" w:hAnsi="Arial" w:cs="Arial"/>
                <w:color w:val="000000"/>
                <w:sz w:val="18"/>
                <w:szCs w:val="18"/>
              </w:rPr>
              <w:t>70,62 %</w:t>
            </w:r>
          </w:p>
        </w:tc>
      </w:tr>
      <w:tr w:rsidR="00E3750C" w:rsidRPr="00051915" w14:paraId="17C639EB" w14:textId="77777777" w:rsidTr="00047864">
        <w:trPr>
          <w:trHeight w:val="255"/>
        </w:trPr>
        <w:tc>
          <w:tcPr>
            <w:tcW w:w="1299" w:type="pct"/>
            <w:tcBorders>
              <w:top w:val="nil"/>
              <w:left w:val="single" w:sz="4" w:space="0" w:color="auto"/>
              <w:bottom w:val="single" w:sz="4" w:space="0" w:color="auto"/>
              <w:right w:val="single" w:sz="4" w:space="0" w:color="auto"/>
            </w:tcBorders>
            <w:shd w:val="clear" w:color="auto" w:fill="auto"/>
            <w:vAlign w:val="center"/>
            <w:hideMark/>
          </w:tcPr>
          <w:p w14:paraId="4E49AB31" w14:textId="77777777" w:rsidR="00E3750C" w:rsidRPr="00051915" w:rsidRDefault="00E3750C" w:rsidP="00047864">
            <w:pPr>
              <w:spacing w:after="0" w:line="240" w:lineRule="auto"/>
              <w:rPr>
                <w:rFonts w:ascii="Arial" w:eastAsia="Times New Roman" w:hAnsi="Arial" w:cs="Arial"/>
                <w:color w:val="000000"/>
                <w:sz w:val="18"/>
                <w:szCs w:val="18"/>
                <w:lang w:eastAsia="sl-SI"/>
              </w:rPr>
            </w:pPr>
            <w:r w:rsidRPr="00051915">
              <w:rPr>
                <w:rFonts w:ascii="Arial" w:eastAsia="Times New Roman" w:hAnsi="Arial" w:cs="Arial"/>
                <w:color w:val="000000"/>
                <w:sz w:val="18"/>
                <w:szCs w:val="18"/>
                <w:lang w:eastAsia="sl-SI"/>
              </w:rPr>
              <w:t>Javni skladi</w:t>
            </w:r>
          </w:p>
        </w:tc>
        <w:tc>
          <w:tcPr>
            <w:tcW w:w="627" w:type="pct"/>
            <w:tcBorders>
              <w:top w:val="nil"/>
              <w:left w:val="nil"/>
              <w:bottom w:val="single" w:sz="4" w:space="0" w:color="auto"/>
              <w:right w:val="single" w:sz="4" w:space="0" w:color="auto"/>
            </w:tcBorders>
            <w:shd w:val="clear" w:color="auto" w:fill="auto"/>
            <w:vAlign w:val="center"/>
            <w:hideMark/>
          </w:tcPr>
          <w:p w14:paraId="7B394DDD" w14:textId="77777777" w:rsidR="00E3750C" w:rsidRPr="00051915" w:rsidRDefault="00E3750C" w:rsidP="00047864">
            <w:pPr>
              <w:spacing w:after="0" w:line="240" w:lineRule="auto"/>
              <w:jc w:val="right"/>
              <w:rPr>
                <w:rFonts w:ascii="Arial" w:eastAsia="Times New Roman" w:hAnsi="Arial" w:cs="Arial"/>
                <w:color w:val="000000"/>
                <w:sz w:val="18"/>
                <w:szCs w:val="18"/>
                <w:lang w:eastAsia="sl-SI"/>
              </w:rPr>
            </w:pPr>
            <w:r w:rsidRPr="00051915">
              <w:rPr>
                <w:rFonts w:ascii="Arial" w:eastAsia="Times New Roman" w:hAnsi="Arial" w:cs="Arial"/>
                <w:color w:val="000000"/>
                <w:sz w:val="18"/>
                <w:szCs w:val="18"/>
                <w:lang w:eastAsia="sl-SI"/>
              </w:rPr>
              <w:t>3</w:t>
            </w:r>
          </w:p>
        </w:tc>
        <w:tc>
          <w:tcPr>
            <w:tcW w:w="627" w:type="pct"/>
            <w:tcBorders>
              <w:top w:val="nil"/>
              <w:left w:val="nil"/>
              <w:bottom w:val="single" w:sz="4" w:space="0" w:color="auto"/>
              <w:right w:val="single" w:sz="4" w:space="0" w:color="auto"/>
            </w:tcBorders>
            <w:shd w:val="clear" w:color="auto" w:fill="auto"/>
            <w:vAlign w:val="center"/>
            <w:hideMark/>
          </w:tcPr>
          <w:p w14:paraId="606D1A09" w14:textId="77777777" w:rsidR="00E3750C" w:rsidRPr="00051915" w:rsidRDefault="00E3750C" w:rsidP="00047864">
            <w:pPr>
              <w:spacing w:after="0" w:line="240" w:lineRule="auto"/>
              <w:jc w:val="right"/>
              <w:rPr>
                <w:rFonts w:ascii="Arial" w:eastAsia="Times New Roman" w:hAnsi="Arial" w:cs="Arial"/>
                <w:color w:val="000000"/>
                <w:sz w:val="18"/>
                <w:szCs w:val="18"/>
                <w:lang w:eastAsia="sl-SI"/>
              </w:rPr>
            </w:pPr>
            <w:r w:rsidRPr="00051915">
              <w:rPr>
                <w:rFonts w:ascii="Arial" w:eastAsia="Times New Roman" w:hAnsi="Arial" w:cs="Arial"/>
                <w:color w:val="000000"/>
                <w:sz w:val="18"/>
                <w:szCs w:val="18"/>
                <w:lang w:eastAsia="sl-SI"/>
              </w:rPr>
              <w:t>4</w:t>
            </w:r>
          </w:p>
        </w:tc>
        <w:tc>
          <w:tcPr>
            <w:tcW w:w="529" w:type="pct"/>
            <w:tcBorders>
              <w:top w:val="nil"/>
              <w:left w:val="nil"/>
              <w:bottom w:val="single" w:sz="4" w:space="0" w:color="auto"/>
              <w:right w:val="single" w:sz="4" w:space="0" w:color="auto"/>
            </w:tcBorders>
            <w:shd w:val="clear" w:color="auto" w:fill="auto"/>
            <w:vAlign w:val="center"/>
            <w:hideMark/>
          </w:tcPr>
          <w:p w14:paraId="548CA3C2" w14:textId="77777777" w:rsidR="00E3750C" w:rsidRPr="00051915" w:rsidRDefault="00E3750C" w:rsidP="00047864">
            <w:pPr>
              <w:spacing w:after="0" w:line="240" w:lineRule="auto"/>
              <w:jc w:val="right"/>
              <w:rPr>
                <w:rFonts w:ascii="Arial" w:eastAsia="Times New Roman" w:hAnsi="Arial" w:cs="Arial"/>
                <w:color w:val="000000"/>
                <w:sz w:val="18"/>
                <w:szCs w:val="18"/>
                <w:lang w:eastAsia="sl-SI"/>
              </w:rPr>
            </w:pPr>
            <w:r w:rsidRPr="00051915">
              <w:rPr>
                <w:rFonts w:ascii="Arial" w:hAnsi="Arial" w:cs="Arial"/>
                <w:color w:val="000000"/>
                <w:sz w:val="18"/>
                <w:szCs w:val="18"/>
              </w:rPr>
              <w:t>3</w:t>
            </w:r>
          </w:p>
        </w:tc>
        <w:tc>
          <w:tcPr>
            <w:tcW w:w="694" w:type="pct"/>
            <w:tcBorders>
              <w:top w:val="nil"/>
              <w:left w:val="nil"/>
              <w:bottom w:val="single" w:sz="4" w:space="0" w:color="auto"/>
              <w:right w:val="single" w:sz="4" w:space="0" w:color="auto"/>
            </w:tcBorders>
            <w:shd w:val="clear" w:color="auto" w:fill="auto"/>
            <w:vAlign w:val="center"/>
            <w:hideMark/>
          </w:tcPr>
          <w:p w14:paraId="3273372C" w14:textId="77777777" w:rsidR="00E3750C" w:rsidRPr="00051915" w:rsidRDefault="00E3750C" w:rsidP="00047864">
            <w:pPr>
              <w:spacing w:after="0" w:line="240" w:lineRule="auto"/>
              <w:jc w:val="right"/>
              <w:rPr>
                <w:rFonts w:ascii="Arial" w:eastAsia="Times New Roman" w:hAnsi="Arial" w:cs="Arial"/>
                <w:color w:val="000000"/>
                <w:sz w:val="18"/>
                <w:szCs w:val="18"/>
                <w:lang w:eastAsia="sl-SI"/>
              </w:rPr>
            </w:pPr>
            <w:r w:rsidRPr="00051915">
              <w:rPr>
                <w:rFonts w:ascii="Arial" w:hAnsi="Arial" w:cs="Arial"/>
                <w:color w:val="000000"/>
                <w:sz w:val="18"/>
                <w:szCs w:val="18"/>
              </w:rPr>
              <w:t>14.954.999</w:t>
            </w:r>
          </w:p>
        </w:tc>
        <w:tc>
          <w:tcPr>
            <w:tcW w:w="598" w:type="pct"/>
            <w:tcBorders>
              <w:top w:val="nil"/>
              <w:left w:val="nil"/>
              <w:bottom w:val="single" w:sz="4" w:space="0" w:color="auto"/>
              <w:right w:val="single" w:sz="4" w:space="0" w:color="auto"/>
            </w:tcBorders>
            <w:shd w:val="clear" w:color="auto" w:fill="auto"/>
            <w:vAlign w:val="center"/>
            <w:hideMark/>
          </w:tcPr>
          <w:p w14:paraId="091869D4" w14:textId="77777777" w:rsidR="00E3750C" w:rsidRPr="00051915" w:rsidRDefault="00E3750C" w:rsidP="00047864">
            <w:pPr>
              <w:spacing w:after="0" w:line="240" w:lineRule="auto"/>
              <w:jc w:val="right"/>
              <w:rPr>
                <w:rFonts w:ascii="Arial" w:eastAsia="Times New Roman" w:hAnsi="Arial" w:cs="Arial"/>
                <w:color w:val="000000"/>
                <w:sz w:val="18"/>
                <w:szCs w:val="18"/>
                <w:lang w:eastAsia="sl-SI"/>
              </w:rPr>
            </w:pPr>
            <w:r w:rsidRPr="00051915">
              <w:rPr>
                <w:rFonts w:ascii="Arial" w:hAnsi="Arial" w:cs="Arial"/>
                <w:color w:val="000000"/>
                <w:sz w:val="18"/>
                <w:szCs w:val="18"/>
              </w:rPr>
              <w:t>7</w:t>
            </w:r>
          </w:p>
        </w:tc>
        <w:tc>
          <w:tcPr>
            <w:tcW w:w="626" w:type="pct"/>
            <w:tcBorders>
              <w:top w:val="nil"/>
              <w:left w:val="nil"/>
              <w:bottom w:val="single" w:sz="4" w:space="0" w:color="auto"/>
              <w:right w:val="single" w:sz="4" w:space="0" w:color="auto"/>
            </w:tcBorders>
            <w:shd w:val="clear" w:color="auto" w:fill="auto"/>
            <w:noWrap/>
            <w:vAlign w:val="center"/>
            <w:hideMark/>
          </w:tcPr>
          <w:p w14:paraId="08A0B180" w14:textId="77777777" w:rsidR="00E3750C" w:rsidRPr="00051915" w:rsidRDefault="00E3750C" w:rsidP="00047864">
            <w:pPr>
              <w:spacing w:after="0" w:line="240" w:lineRule="auto"/>
              <w:jc w:val="right"/>
              <w:rPr>
                <w:rFonts w:ascii="Arial" w:eastAsia="Times New Roman" w:hAnsi="Arial" w:cs="Arial"/>
                <w:color w:val="000000"/>
                <w:sz w:val="18"/>
                <w:szCs w:val="18"/>
                <w:lang w:eastAsia="sl-SI"/>
              </w:rPr>
            </w:pPr>
            <w:r w:rsidRPr="00051915">
              <w:rPr>
                <w:rFonts w:ascii="Arial" w:hAnsi="Arial" w:cs="Arial"/>
                <w:color w:val="000000"/>
                <w:sz w:val="18"/>
                <w:szCs w:val="18"/>
              </w:rPr>
              <w:t>42,86 %</w:t>
            </w:r>
          </w:p>
        </w:tc>
      </w:tr>
      <w:tr w:rsidR="00E3750C" w:rsidRPr="00051915" w14:paraId="1C829E57" w14:textId="77777777" w:rsidTr="00047864">
        <w:trPr>
          <w:trHeight w:val="255"/>
        </w:trPr>
        <w:tc>
          <w:tcPr>
            <w:tcW w:w="1299" w:type="pct"/>
            <w:tcBorders>
              <w:top w:val="nil"/>
              <w:left w:val="single" w:sz="4" w:space="0" w:color="auto"/>
              <w:bottom w:val="single" w:sz="4" w:space="0" w:color="auto"/>
              <w:right w:val="single" w:sz="4" w:space="0" w:color="auto"/>
            </w:tcBorders>
            <w:shd w:val="clear" w:color="auto" w:fill="auto"/>
            <w:vAlign w:val="center"/>
            <w:hideMark/>
          </w:tcPr>
          <w:p w14:paraId="2AA8AB9D" w14:textId="77777777" w:rsidR="00E3750C" w:rsidRPr="00051915" w:rsidRDefault="00E3750C" w:rsidP="00047864">
            <w:pPr>
              <w:spacing w:after="0" w:line="240" w:lineRule="auto"/>
              <w:rPr>
                <w:rFonts w:ascii="Arial" w:eastAsia="Times New Roman" w:hAnsi="Arial" w:cs="Arial"/>
                <w:color w:val="000000"/>
                <w:sz w:val="18"/>
                <w:szCs w:val="18"/>
                <w:lang w:eastAsia="sl-SI"/>
              </w:rPr>
            </w:pPr>
            <w:r w:rsidRPr="00051915">
              <w:rPr>
                <w:rFonts w:ascii="Arial" w:eastAsia="Times New Roman" w:hAnsi="Arial" w:cs="Arial"/>
                <w:color w:val="000000"/>
                <w:sz w:val="18"/>
                <w:szCs w:val="18"/>
                <w:lang w:eastAsia="sl-SI"/>
              </w:rPr>
              <w:t>Javne agencije</w:t>
            </w:r>
          </w:p>
        </w:tc>
        <w:tc>
          <w:tcPr>
            <w:tcW w:w="627" w:type="pct"/>
            <w:tcBorders>
              <w:top w:val="nil"/>
              <w:left w:val="nil"/>
              <w:bottom w:val="single" w:sz="4" w:space="0" w:color="auto"/>
              <w:right w:val="single" w:sz="4" w:space="0" w:color="auto"/>
            </w:tcBorders>
            <w:shd w:val="clear" w:color="auto" w:fill="auto"/>
            <w:vAlign w:val="center"/>
            <w:hideMark/>
          </w:tcPr>
          <w:p w14:paraId="23CC6534" w14:textId="77777777" w:rsidR="00E3750C" w:rsidRPr="00051915" w:rsidRDefault="00E3750C" w:rsidP="00047864">
            <w:pPr>
              <w:spacing w:after="0" w:line="240" w:lineRule="auto"/>
              <w:jc w:val="right"/>
              <w:rPr>
                <w:rFonts w:ascii="Arial" w:eastAsia="Times New Roman" w:hAnsi="Arial" w:cs="Arial"/>
                <w:color w:val="000000"/>
                <w:sz w:val="18"/>
                <w:szCs w:val="18"/>
                <w:lang w:eastAsia="sl-SI"/>
              </w:rPr>
            </w:pPr>
            <w:r w:rsidRPr="00051915">
              <w:rPr>
                <w:rFonts w:ascii="Arial" w:eastAsia="Times New Roman" w:hAnsi="Arial" w:cs="Arial"/>
                <w:color w:val="000000"/>
                <w:sz w:val="18"/>
                <w:szCs w:val="18"/>
                <w:lang w:eastAsia="sl-SI"/>
              </w:rPr>
              <w:t>5</w:t>
            </w:r>
          </w:p>
        </w:tc>
        <w:tc>
          <w:tcPr>
            <w:tcW w:w="627" w:type="pct"/>
            <w:tcBorders>
              <w:top w:val="nil"/>
              <w:left w:val="nil"/>
              <w:bottom w:val="single" w:sz="4" w:space="0" w:color="auto"/>
              <w:right w:val="single" w:sz="4" w:space="0" w:color="auto"/>
            </w:tcBorders>
            <w:shd w:val="clear" w:color="auto" w:fill="auto"/>
            <w:vAlign w:val="center"/>
            <w:hideMark/>
          </w:tcPr>
          <w:p w14:paraId="73533416" w14:textId="77777777" w:rsidR="00E3750C" w:rsidRPr="00051915" w:rsidRDefault="00E3750C" w:rsidP="00047864">
            <w:pPr>
              <w:spacing w:after="0" w:line="240" w:lineRule="auto"/>
              <w:jc w:val="right"/>
              <w:rPr>
                <w:rFonts w:ascii="Arial" w:eastAsia="Times New Roman" w:hAnsi="Arial" w:cs="Arial"/>
                <w:color w:val="000000"/>
                <w:sz w:val="18"/>
                <w:szCs w:val="18"/>
                <w:lang w:eastAsia="sl-SI"/>
              </w:rPr>
            </w:pPr>
            <w:r w:rsidRPr="00051915">
              <w:rPr>
                <w:rFonts w:ascii="Arial" w:eastAsia="Times New Roman" w:hAnsi="Arial" w:cs="Arial"/>
                <w:color w:val="000000"/>
                <w:sz w:val="18"/>
                <w:szCs w:val="18"/>
                <w:lang w:eastAsia="sl-SI"/>
              </w:rPr>
              <w:t>7</w:t>
            </w:r>
          </w:p>
        </w:tc>
        <w:tc>
          <w:tcPr>
            <w:tcW w:w="529" w:type="pct"/>
            <w:tcBorders>
              <w:top w:val="nil"/>
              <w:left w:val="nil"/>
              <w:bottom w:val="single" w:sz="4" w:space="0" w:color="auto"/>
              <w:right w:val="single" w:sz="4" w:space="0" w:color="auto"/>
            </w:tcBorders>
            <w:shd w:val="clear" w:color="auto" w:fill="auto"/>
            <w:vAlign w:val="center"/>
            <w:hideMark/>
          </w:tcPr>
          <w:p w14:paraId="5A0212AC" w14:textId="77777777" w:rsidR="00E3750C" w:rsidRPr="00051915" w:rsidRDefault="00E3750C" w:rsidP="00047864">
            <w:pPr>
              <w:spacing w:after="0" w:line="240" w:lineRule="auto"/>
              <w:jc w:val="right"/>
              <w:rPr>
                <w:rFonts w:ascii="Arial" w:eastAsia="Times New Roman" w:hAnsi="Arial" w:cs="Arial"/>
                <w:color w:val="000000"/>
                <w:sz w:val="18"/>
                <w:szCs w:val="18"/>
                <w:lang w:eastAsia="sl-SI"/>
              </w:rPr>
            </w:pPr>
            <w:r w:rsidRPr="00051915">
              <w:rPr>
                <w:rFonts w:ascii="Arial" w:hAnsi="Arial" w:cs="Arial"/>
                <w:color w:val="000000"/>
                <w:sz w:val="18"/>
                <w:szCs w:val="18"/>
              </w:rPr>
              <w:t>13</w:t>
            </w:r>
          </w:p>
        </w:tc>
        <w:tc>
          <w:tcPr>
            <w:tcW w:w="694" w:type="pct"/>
            <w:tcBorders>
              <w:top w:val="nil"/>
              <w:left w:val="nil"/>
              <w:bottom w:val="single" w:sz="4" w:space="0" w:color="auto"/>
              <w:right w:val="single" w:sz="4" w:space="0" w:color="auto"/>
            </w:tcBorders>
            <w:shd w:val="clear" w:color="auto" w:fill="auto"/>
            <w:vAlign w:val="center"/>
            <w:hideMark/>
          </w:tcPr>
          <w:p w14:paraId="1C9332DE" w14:textId="77777777" w:rsidR="00E3750C" w:rsidRPr="00051915" w:rsidRDefault="00E3750C" w:rsidP="00047864">
            <w:pPr>
              <w:spacing w:after="0" w:line="240" w:lineRule="auto"/>
              <w:jc w:val="right"/>
              <w:rPr>
                <w:rFonts w:ascii="Arial" w:eastAsia="Times New Roman" w:hAnsi="Arial" w:cs="Arial"/>
                <w:color w:val="000000"/>
                <w:sz w:val="18"/>
                <w:szCs w:val="18"/>
                <w:lang w:eastAsia="sl-SI"/>
              </w:rPr>
            </w:pPr>
            <w:r w:rsidRPr="00051915">
              <w:rPr>
                <w:rFonts w:ascii="Arial" w:hAnsi="Arial" w:cs="Arial"/>
                <w:color w:val="000000"/>
                <w:sz w:val="18"/>
                <w:szCs w:val="18"/>
              </w:rPr>
              <w:t>789.321</w:t>
            </w:r>
          </w:p>
        </w:tc>
        <w:tc>
          <w:tcPr>
            <w:tcW w:w="598" w:type="pct"/>
            <w:tcBorders>
              <w:top w:val="nil"/>
              <w:left w:val="nil"/>
              <w:bottom w:val="single" w:sz="4" w:space="0" w:color="auto"/>
              <w:right w:val="single" w:sz="4" w:space="0" w:color="auto"/>
            </w:tcBorders>
            <w:shd w:val="clear" w:color="auto" w:fill="auto"/>
            <w:vAlign w:val="center"/>
            <w:hideMark/>
          </w:tcPr>
          <w:p w14:paraId="56133514" w14:textId="77777777" w:rsidR="00E3750C" w:rsidRPr="00051915" w:rsidRDefault="00E3750C" w:rsidP="00047864">
            <w:pPr>
              <w:spacing w:after="0" w:line="240" w:lineRule="auto"/>
              <w:jc w:val="right"/>
              <w:rPr>
                <w:rFonts w:ascii="Arial" w:eastAsia="Times New Roman" w:hAnsi="Arial" w:cs="Arial"/>
                <w:color w:val="000000"/>
                <w:sz w:val="18"/>
                <w:szCs w:val="18"/>
                <w:lang w:eastAsia="sl-SI"/>
              </w:rPr>
            </w:pPr>
            <w:r w:rsidRPr="00051915">
              <w:rPr>
                <w:rFonts w:ascii="Arial" w:hAnsi="Arial" w:cs="Arial"/>
                <w:color w:val="000000"/>
                <w:sz w:val="18"/>
                <w:szCs w:val="18"/>
              </w:rPr>
              <w:t>12</w:t>
            </w:r>
          </w:p>
        </w:tc>
        <w:tc>
          <w:tcPr>
            <w:tcW w:w="626" w:type="pct"/>
            <w:tcBorders>
              <w:top w:val="nil"/>
              <w:left w:val="nil"/>
              <w:bottom w:val="single" w:sz="4" w:space="0" w:color="auto"/>
              <w:right w:val="single" w:sz="4" w:space="0" w:color="auto"/>
            </w:tcBorders>
            <w:shd w:val="clear" w:color="auto" w:fill="auto"/>
            <w:noWrap/>
            <w:vAlign w:val="center"/>
            <w:hideMark/>
          </w:tcPr>
          <w:p w14:paraId="39E83694" w14:textId="77777777" w:rsidR="00E3750C" w:rsidRPr="00051915" w:rsidRDefault="00E3750C" w:rsidP="00047864">
            <w:pPr>
              <w:spacing w:after="0" w:line="240" w:lineRule="auto"/>
              <w:jc w:val="right"/>
              <w:rPr>
                <w:rFonts w:ascii="Arial" w:eastAsia="Times New Roman" w:hAnsi="Arial" w:cs="Arial"/>
                <w:color w:val="000000"/>
                <w:sz w:val="18"/>
                <w:szCs w:val="18"/>
                <w:lang w:eastAsia="sl-SI"/>
              </w:rPr>
            </w:pPr>
            <w:r w:rsidRPr="00051915">
              <w:rPr>
                <w:rFonts w:ascii="Arial" w:hAnsi="Arial" w:cs="Arial"/>
                <w:color w:val="000000"/>
                <w:sz w:val="18"/>
                <w:szCs w:val="18"/>
              </w:rPr>
              <w:t>41,67 %</w:t>
            </w:r>
          </w:p>
        </w:tc>
      </w:tr>
      <w:tr w:rsidR="00E3750C" w:rsidRPr="00051915" w14:paraId="2CD33221" w14:textId="77777777" w:rsidTr="00047864">
        <w:trPr>
          <w:trHeight w:val="255"/>
        </w:trPr>
        <w:tc>
          <w:tcPr>
            <w:tcW w:w="1299" w:type="pct"/>
            <w:tcBorders>
              <w:top w:val="nil"/>
              <w:left w:val="single" w:sz="4" w:space="0" w:color="auto"/>
              <w:bottom w:val="single" w:sz="4" w:space="0" w:color="auto"/>
              <w:right w:val="single" w:sz="4" w:space="0" w:color="auto"/>
            </w:tcBorders>
            <w:shd w:val="clear" w:color="auto" w:fill="auto"/>
            <w:vAlign w:val="center"/>
            <w:hideMark/>
          </w:tcPr>
          <w:p w14:paraId="5A012986" w14:textId="77777777" w:rsidR="00E3750C" w:rsidRPr="00051915" w:rsidRDefault="00E3750C" w:rsidP="00047864">
            <w:pPr>
              <w:spacing w:after="0" w:line="240" w:lineRule="auto"/>
              <w:rPr>
                <w:rFonts w:ascii="Arial" w:eastAsia="Times New Roman" w:hAnsi="Arial" w:cs="Arial"/>
                <w:color w:val="000000"/>
                <w:sz w:val="18"/>
                <w:szCs w:val="18"/>
                <w:lang w:eastAsia="sl-SI"/>
              </w:rPr>
            </w:pPr>
            <w:r w:rsidRPr="00051915">
              <w:rPr>
                <w:rFonts w:ascii="Arial" w:eastAsia="Times New Roman" w:hAnsi="Arial" w:cs="Arial"/>
                <w:color w:val="000000"/>
                <w:sz w:val="18"/>
                <w:szCs w:val="18"/>
                <w:lang w:eastAsia="sl-SI"/>
              </w:rPr>
              <w:t>Javni zavodi</w:t>
            </w:r>
          </w:p>
        </w:tc>
        <w:tc>
          <w:tcPr>
            <w:tcW w:w="627" w:type="pct"/>
            <w:tcBorders>
              <w:top w:val="nil"/>
              <w:left w:val="nil"/>
              <w:bottom w:val="single" w:sz="4" w:space="0" w:color="auto"/>
              <w:right w:val="single" w:sz="4" w:space="0" w:color="auto"/>
            </w:tcBorders>
            <w:shd w:val="clear" w:color="auto" w:fill="auto"/>
            <w:vAlign w:val="center"/>
            <w:hideMark/>
          </w:tcPr>
          <w:p w14:paraId="79A2E32D" w14:textId="77777777" w:rsidR="00E3750C" w:rsidRPr="00051915" w:rsidRDefault="00E3750C" w:rsidP="00047864">
            <w:pPr>
              <w:spacing w:after="0" w:line="240" w:lineRule="auto"/>
              <w:jc w:val="right"/>
              <w:rPr>
                <w:rFonts w:ascii="Arial" w:eastAsia="Times New Roman" w:hAnsi="Arial" w:cs="Arial"/>
                <w:color w:val="000000"/>
                <w:sz w:val="18"/>
                <w:szCs w:val="18"/>
                <w:lang w:eastAsia="sl-SI"/>
              </w:rPr>
            </w:pPr>
            <w:r w:rsidRPr="00051915">
              <w:rPr>
                <w:rFonts w:ascii="Arial" w:eastAsia="Times New Roman" w:hAnsi="Arial" w:cs="Arial"/>
                <w:color w:val="000000"/>
                <w:sz w:val="18"/>
                <w:szCs w:val="18"/>
                <w:lang w:eastAsia="sl-SI"/>
              </w:rPr>
              <w:t>325</w:t>
            </w:r>
          </w:p>
        </w:tc>
        <w:tc>
          <w:tcPr>
            <w:tcW w:w="627" w:type="pct"/>
            <w:tcBorders>
              <w:top w:val="nil"/>
              <w:left w:val="nil"/>
              <w:bottom w:val="single" w:sz="4" w:space="0" w:color="auto"/>
              <w:right w:val="single" w:sz="4" w:space="0" w:color="auto"/>
            </w:tcBorders>
            <w:shd w:val="clear" w:color="auto" w:fill="auto"/>
            <w:vAlign w:val="center"/>
            <w:hideMark/>
          </w:tcPr>
          <w:p w14:paraId="78F22BF5" w14:textId="77777777" w:rsidR="00E3750C" w:rsidRPr="00051915" w:rsidRDefault="00E3750C" w:rsidP="00047864">
            <w:pPr>
              <w:spacing w:after="0" w:line="240" w:lineRule="auto"/>
              <w:jc w:val="right"/>
              <w:rPr>
                <w:rFonts w:ascii="Arial" w:eastAsia="Times New Roman" w:hAnsi="Arial" w:cs="Arial"/>
                <w:color w:val="000000"/>
                <w:sz w:val="18"/>
                <w:szCs w:val="18"/>
                <w:lang w:eastAsia="sl-SI"/>
              </w:rPr>
            </w:pPr>
            <w:r w:rsidRPr="00051915">
              <w:rPr>
                <w:rFonts w:ascii="Arial" w:eastAsia="Times New Roman" w:hAnsi="Arial" w:cs="Arial"/>
                <w:color w:val="000000"/>
                <w:sz w:val="18"/>
                <w:szCs w:val="18"/>
                <w:lang w:eastAsia="sl-SI"/>
              </w:rPr>
              <w:t>158</w:t>
            </w:r>
          </w:p>
        </w:tc>
        <w:tc>
          <w:tcPr>
            <w:tcW w:w="529" w:type="pct"/>
            <w:tcBorders>
              <w:top w:val="nil"/>
              <w:left w:val="nil"/>
              <w:bottom w:val="single" w:sz="4" w:space="0" w:color="auto"/>
              <w:right w:val="single" w:sz="4" w:space="0" w:color="auto"/>
            </w:tcBorders>
            <w:shd w:val="clear" w:color="auto" w:fill="auto"/>
            <w:vAlign w:val="center"/>
            <w:hideMark/>
          </w:tcPr>
          <w:p w14:paraId="7D8D4485" w14:textId="77777777" w:rsidR="00E3750C" w:rsidRPr="00051915" w:rsidRDefault="00E3750C" w:rsidP="00047864">
            <w:pPr>
              <w:spacing w:after="0" w:line="240" w:lineRule="auto"/>
              <w:jc w:val="right"/>
              <w:rPr>
                <w:rFonts w:ascii="Arial" w:eastAsia="Times New Roman" w:hAnsi="Arial" w:cs="Arial"/>
                <w:color w:val="000000"/>
                <w:sz w:val="18"/>
                <w:szCs w:val="18"/>
                <w:lang w:eastAsia="sl-SI"/>
              </w:rPr>
            </w:pPr>
            <w:r w:rsidRPr="00051915">
              <w:rPr>
                <w:rFonts w:ascii="Arial" w:hAnsi="Arial" w:cs="Arial"/>
                <w:color w:val="000000"/>
                <w:sz w:val="18"/>
                <w:szCs w:val="18"/>
              </w:rPr>
              <w:t>3.711</w:t>
            </w:r>
          </w:p>
        </w:tc>
        <w:tc>
          <w:tcPr>
            <w:tcW w:w="694" w:type="pct"/>
            <w:tcBorders>
              <w:top w:val="nil"/>
              <w:left w:val="nil"/>
              <w:bottom w:val="single" w:sz="4" w:space="0" w:color="auto"/>
              <w:right w:val="single" w:sz="4" w:space="0" w:color="auto"/>
            </w:tcBorders>
            <w:shd w:val="clear" w:color="auto" w:fill="auto"/>
            <w:vAlign w:val="center"/>
            <w:hideMark/>
          </w:tcPr>
          <w:p w14:paraId="2F8A9F86" w14:textId="77777777" w:rsidR="00E3750C" w:rsidRPr="00051915" w:rsidRDefault="00E3750C" w:rsidP="00047864">
            <w:pPr>
              <w:spacing w:after="0" w:line="240" w:lineRule="auto"/>
              <w:jc w:val="right"/>
              <w:rPr>
                <w:rFonts w:ascii="Arial" w:eastAsia="Times New Roman" w:hAnsi="Arial" w:cs="Arial"/>
                <w:color w:val="000000"/>
                <w:sz w:val="18"/>
                <w:szCs w:val="18"/>
                <w:lang w:eastAsia="sl-SI"/>
              </w:rPr>
            </w:pPr>
            <w:r w:rsidRPr="00051915">
              <w:rPr>
                <w:rFonts w:ascii="Arial" w:hAnsi="Arial" w:cs="Arial"/>
                <w:color w:val="000000"/>
                <w:sz w:val="18"/>
                <w:szCs w:val="18"/>
              </w:rPr>
              <w:t>409.317.847</w:t>
            </w:r>
          </w:p>
        </w:tc>
        <w:tc>
          <w:tcPr>
            <w:tcW w:w="598" w:type="pct"/>
            <w:tcBorders>
              <w:top w:val="nil"/>
              <w:left w:val="nil"/>
              <w:bottom w:val="single" w:sz="4" w:space="0" w:color="auto"/>
              <w:right w:val="single" w:sz="4" w:space="0" w:color="auto"/>
            </w:tcBorders>
            <w:shd w:val="clear" w:color="auto" w:fill="auto"/>
            <w:vAlign w:val="center"/>
            <w:hideMark/>
          </w:tcPr>
          <w:p w14:paraId="74169F3C" w14:textId="77777777" w:rsidR="00E3750C" w:rsidRPr="00051915" w:rsidRDefault="00E3750C" w:rsidP="00047864">
            <w:pPr>
              <w:spacing w:after="0" w:line="240" w:lineRule="auto"/>
              <w:jc w:val="right"/>
              <w:rPr>
                <w:rFonts w:ascii="Arial" w:eastAsia="Times New Roman" w:hAnsi="Arial" w:cs="Arial"/>
                <w:color w:val="000000"/>
                <w:sz w:val="18"/>
                <w:szCs w:val="18"/>
                <w:lang w:eastAsia="sl-SI"/>
              </w:rPr>
            </w:pPr>
            <w:r w:rsidRPr="00051915">
              <w:rPr>
                <w:rFonts w:ascii="Arial" w:hAnsi="Arial" w:cs="Arial"/>
                <w:color w:val="000000"/>
                <w:sz w:val="18"/>
                <w:szCs w:val="18"/>
              </w:rPr>
              <w:t>483</w:t>
            </w:r>
          </w:p>
        </w:tc>
        <w:tc>
          <w:tcPr>
            <w:tcW w:w="626" w:type="pct"/>
            <w:tcBorders>
              <w:top w:val="nil"/>
              <w:left w:val="nil"/>
              <w:bottom w:val="single" w:sz="4" w:space="0" w:color="auto"/>
              <w:right w:val="single" w:sz="4" w:space="0" w:color="auto"/>
            </w:tcBorders>
            <w:shd w:val="clear" w:color="auto" w:fill="auto"/>
            <w:noWrap/>
            <w:vAlign w:val="center"/>
            <w:hideMark/>
          </w:tcPr>
          <w:p w14:paraId="22E7AC8C" w14:textId="77777777" w:rsidR="00E3750C" w:rsidRPr="00051915" w:rsidRDefault="00E3750C" w:rsidP="00047864">
            <w:pPr>
              <w:spacing w:after="0" w:line="240" w:lineRule="auto"/>
              <w:jc w:val="right"/>
              <w:rPr>
                <w:rFonts w:ascii="Arial" w:eastAsia="Times New Roman" w:hAnsi="Arial" w:cs="Arial"/>
                <w:color w:val="000000"/>
                <w:sz w:val="18"/>
                <w:szCs w:val="18"/>
                <w:lang w:eastAsia="sl-SI"/>
              </w:rPr>
            </w:pPr>
            <w:r w:rsidRPr="00051915">
              <w:rPr>
                <w:rFonts w:ascii="Arial" w:hAnsi="Arial" w:cs="Arial"/>
                <w:color w:val="000000"/>
                <w:sz w:val="18"/>
                <w:szCs w:val="18"/>
              </w:rPr>
              <w:t>67,29 %</w:t>
            </w:r>
          </w:p>
        </w:tc>
      </w:tr>
      <w:tr w:rsidR="00E3750C" w:rsidRPr="00051915" w14:paraId="55865F6D" w14:textId="77777777" w:rsidTr="00047864">
        <w:trPr>
          <w:trHeight w:val="255"/>
        </w:trPr>
        <w:tc>
          <w:tcPr>
            <w:tcW w:w="1299" w:type="pct"/>
            <w:tcBorders>
              <w:top w:val="nil"/>
              <w:left w:val="single" w:sz="4" w:space="0" w:color="auto"/>
              <w:bottom w:val="single" w:sz="4" w:space="0" w:color="auto"/>
              <w:right w:val="single" w:sz="4" w:space="0" w:color="auto"/>
            </w:tcBorders>
            <w:shd w:val="clear" w:color="auto" w:fill="auto"/>
            <w:vAlign w:val="center"/>
            <w:hideMark/>
          </w:tcPr>
          <w:p w14:paraId="3D36E977" w14:textId="77777777" w:rsidR="00E3750C" w:rsidRPr="00051915" w:rsidRDefault="00E3750C" w:rsidP="00047864">
            <w:pPr>
              <w:spacing w:after="0" w:line="240" w:lineRule="auto"/>
              <w:rPr>
                <w:rFonts w:ascii="Arial" w:eastAsia="Times New Roman" w:hAnsi="Arial" w:cs="Arial"/>
                <w:color w:val="000000"/>
                <w:sz w:val="18"/>
                <w:szCs w:val="18"/>
                <w:lang w:eastAsia="sl-SI"/>
              </w:rPr>
            </w:pPr>
            <w:r w:rsidRPr="00051915">
              <w:rPr>
                <w:rFonts w:ascii="Arial" w:eastAsia="Times New Roman" w:hAnsi="Arial" w:cs="Arial"/>
                <w:color w:val="000000"/>
                <w:sz w:val="18"/>
                <w:szCs w:val="18"/>
                <w:lang w:eastAsia="sl-SI"/>
              </w:rPr>
              <w:t>Javni gospodarski zavodi</w:t>
            </w:r>
          </w:p>
        </w:tc>
        <w:tc>
          <w:tcPr>
            <w:tcW w:w="627" w:type="pct"/>
            <w:tcBorders>
              <w:top w:val="nil"/>
              <w:left w:val="nil"/>
              <w:bottom w:val="single" w:sz="4" w:space="0" w:color="auto"/>
              <w:right w:val="single" w:sz="4" w:space="0" w:color="auto"/>
            </w:tcBorders>
            <w:shd w:val="clear" w:color="auto" w:fill="auto"/>
            <w:vAlign w:val="center"/>
            <w:hideMark/>
          </w:tcPr>
          <w:p w14:paraId="7EA74D06" w14:textId="77777777" w:rsidR="00E3750C" w:rsidRPr="00051915" w:rsidRDefault="00E3750C" w:rsidP="00047864">
            <w:pPr>
              <w:spacing w:after="0" w:line="240" w:lineRule="auto"/>
              <w:jc w:val="right"/>
              <w:rPr>
                <w:rFonts w:ascii="Arial" w:eastAsia="Times New Roman" w:hAnsi="Arial" w:cs="Arial"/>
                <w:color w:val="000000"/>
                <w:sz w:val="18"/>
                <w:szCs w:val="18"/>
                <w:lang w:eastAsia="sl-SI"/>
              </w:rPr>
            </w:pPr>
            <w:r w:rsidRPr="00051915">
              <w:rPr>
                <w:rFonts w:ascii="Arial" w:eastAsia="Times New Roman" w:hAnsi="Arial" w:cs="Arial"/>
                <w:color w:val="000000"/>
                <w:sz w:val="18"/>
                <w:szCs w:val="18"/>
                <w:lang w:eastAsia="sl-SI"/>
              </w:rPr>
              <w:t>7</w:t>
            </w:r>
          </w:p>
        </w:tc>
        <w:tc>
          <w:tcPr>
            <w:tcW w:w="627" w:type="pct"/>
            <w:tcBorders>
              <w:top w:val="nil"/>
              <w:left w:val="nil"/>
              <w:bottom w:val="single" w:sz="4" w:space="0" w:color="auto"/>
              <w:right w:val="single" w:sz="4" w:space="0" w:color="auto"/>
            </w:tcBorders>
            <w:shd w:val="clear" w:color="auto" w:fill="auto"/>
            <w:vAlign w:val="center"/>
            <w:hideMark/>
          </w:tcPr>
          <w:p w14:paraId="7342D45D" w14:textId="77777777" w:rsidR="00E3750C" w:rsidRPr="00051915" w:rsidRDefault="00E3750C" w:rsidP="00047864">
            <w:pPr>
              <w:spacing w:after="0" w:line="240" w:lineRule="auto"/>
              <w:jc w:val="right"/>
              <w:rPr>
                <w:rFonts w:ascii="Arial" w:eastAsia="Times New Roman" w:hAnsi="Arial" w:cs="Arial"/>
                <w:color w:val="000000"/>
                <w:sz w:val="18"/>
                <w:szCs w:val="18"/>
                <w:lang w:eastAsia="sl-SI"/>
              </w:rPr>
            </w:pPr>
            <w:r w:rsidRPr="00051915">
              <w:rPr>
                <w:rFonts w:ascii="Arial" w:eastAsia="Times New Roman" w:hAnsi="Arial" w:cs="Arial"/>
                <w:color w:val="000000"/>
                <w:sz w:val="18"/>
                <w:szCs w:val="18"/>
                <w:lang w:eastAsia="sl-SI"/>
              </w:rPr>
              <w:t>6</w:t>
            </w:r>
          </w:p>
        </w:tc>
        <w:tc>
          <w:tcPr>
            <w:tcW w:w="529" w:type="pct"/>
            <w:tcBorders>
              <w:top w:val="nil"/>
              <w:left w:val="nil"/>
              <w:bottom w:val="single" w:sz="4" w:space="0" w:color="auto"/>
              <w:right w:val="single" w:sz="4" w:space="0" w:color="auto"/>
            </w:tcBorders>
            <w:shd w:val="clear" w:color="auto" w:fill="auto"/>
            <w:vAlign w:val="center"/>
            <w:hideMark/>
          </w:tcPr>
          <w:p w14:paraId="65D9F748" w14:textId="77777777" w:rsidR="00E3750C" w:rsidRPr="00051915" w:rsidRDefault="00E3750C" w:rsidP="00047864">
            <w:pPr>
              <w:spacing w:after="0" w:line="240" w:lineRule="auto"/>
              <w:jc w:val="right"/>
              <w:rPr>
                <w:rFonts w:ascii="Arial" w:eastAsia="Times New Roman" w:hAnsi="Arial" w:cs="Arial"/>
                <w:color w:val="000000"/>
                <w:sz w:val="18"/>
                <w:szCs w:val="18"/>
                <w:lang w:eastAsia="sl-SI"/>
              </w:rPr>
            </w:pPr>
            <w:r w:rsidRPr="00051915">
              <w:rPr>
                <w:rFonts w:ascii="Arial" w:hAnsi="Arial" w:cs="Arial"/>
                <w:color w:val="000000"/>
                <w:sz w:val="18"/>
                <w:szCs w:val="18"/>
              </w:rPr>
              <w:t>29</w:t>
            </w:r>
          </w:p>
        </w:tc>
        <w:tc>
          <w:tcPr>
            <w:tcW w:w="694" w:type="pct"/>
            <w:tcBorders>
              <w:top w:val="nil"/>
              <w:left w:val="nil"/>
              <w:bottom w:val="single" w:sz="4" w:space="0" w:color="auto"/>
              <w:right w:val="single" w:sz="4" w:space="0" w:color="auto"/>
            </w:tcBorders>
            <w:shd w:val="clear" w:color="auto" w:fill="auto"/>
            <w:vAlign w:val="center"/>
            <w:hideMark/>
          </w:tcPr>
          <w:p w14:paraId="75F07CF7" w14:textId="77777777" w:rsidR="00E3750C" w:rsidRPr="00051915" w:rsidRDefault="00E3750C" w:rsidP="00047864">
            <w:pPr>
              <w:spacing w:after="0" w:line="240" w:lineRule="auto"/>
              <w:jc w:val="right"/>
              <w:rPr>
                <w:rFonts w:ascii="Arial" w:eastAsia="Times New Roman" w:hAnsi="Arial" w:cs="Arial"/>
                <w:color w:val="000000"/>
                <w:sz w:val="18"/>
                <w:szCs w:val="18"/>
                <w:lang w:eastAsia="sl-SI"/>
              </w:rPr>
            </w:pPr>
            <w:r w:rsidRPr="00051915">
              <w:rPr>
                <w:rFonts w:ascii="Arial" w:hAnsi="Arial" w:cs="Arial"/>
                <w:color w:val="000000"/>
                <w:sz w:val="18"/>
                <w:szCs w:val="18"/>
              </w:rPr>
              <w:t>2.876.277</w:t>
            </w:r>
          </w:p>
        </w:tc>
        <w:tc>
          <w:tcPr>
            <w:tcW w:w="598" w:type="pct"/>
            <w:tcBorders>
              <w:top w:val="nil"/>
              <w:left w:val="nil"/>
              <w:bottom w:val="single" w:sz="4" w:space="0" w:color="auto"/>
              <w:right w:val="single" w:sz="4" w:space="0" w:color="auto"/>
            </w:tcBorders>
            <w:shd w:val="clear" w:color="auto" w:fill="auto"/>
            <w:vAlign w:val="center"/>
            <w:hideMark/>
          </w:tcPr>
          <w:p w14:paraId="25F6FA95" w14:textId="77777777" w:rsidR="00E3750C" w:rsidRPr="00051915" w:rsidRDefault="00E3750C" w:rsidP="00047864">
            <w:pPr>
              <w:spacing w:after="0" w:line="240" w:lineRule="auto"/>
              <w:jc w:val="right"/>
              <w:rPr>
                <w:rFonts w:ascii="Arial" w:eastAsia="Times New Roman" w:hAnsi="Arial" w:cs="Arial"/>
                <w:color w:val="000000"/>
                <w:sz w:val="18"/>
                <w:szCs w:val="18"/>
                <w:lang w:eastAsia="sl-SI"/>
              </w:rPr>
            </w:pPr>
            <w:r w:rsidRPr="00051915">
              <w:rPr>
                <w:rFonts w:ascii="Arial" w:hAnsi="Arial" w:cs="Arial"/>
                <w:color w:val="000000"/>
                <w:sz w:val="18"/>
                <w:szCs w:val="18"/>
              </w:rPr>
              <w:t>13</w:t>
            </w:r>
          </w:p>
        </w:tc>
        <w:tc>
          <w:tcPr>
            <w:tcW w:w="626" w:type="pct"/>
            <w:tcBorders>
              <w:top w:val="nil"/>
              <w:left w:val="nil"/>
              <w:bottom w:val="single" w:sz="4" w:space="0" w:color="auto"/>
              <w:right w:val="single" w:sz="4" w:space="0" w:color="auto"/>
            </w:tcBorders>
            <w:shd w:val="clear" w:color="auto" w:fill="auto"/>
            <w:noWrap/>
            <w:vAlign w:val="center"/>
            <w:hideMark/>
          </w:tcPr>
          <w:p w14:paraId="0EF7DA82" w14:textId="77777777" w:rsidR="00E3750C" w:rsidRPr="00051915" w:rsidRDefault="00E3750C" w:rsidP="00047864">
            <w:pPr>
              <w:spacing w:after="0" w:line="240" w:lineRule="auto"/>
              <w:jc w:val="right"/>
              <w:rPr>
                <w:rFonts w:ascii="Arial" w:eastAsia="Times New Roman" w:hAnsi="Arial" w:cs="Arial"/>
                <w:color w:val="000000"/>
                <w:sz w:val="18"/>
                <w:szCs w:val="18"/>
                <w:lang w:eastAsia="sl-SI"/>
              </w:rPr>
            </w:pPr>
            <w:r w:rsidRPr="00051915">
              <w:rPr>
                <w:rFonts w:ascii="Arial" w:hAnsi="Arial" w:cs="Arial"/>
                <w:color w:val="000000"/>
                <w:sz w:val="18"/>
                <w:szCs w:val="18"/>
              </w:rPr>
              <w:t>53,85 %</w:t>
            </w:r>
          </w:p>
        </w:tc>
      </w:tr>
      <w:tr w:rsidR="00E3750C" w:rsidRPr="00051915" w14:paraId="658E3310" w14:textId="77777777" w:rsidTr="00047864">
        <w:trPr>
          <w:trHeight w:val="255"/>
        </w:trPr>
        <w:tc>
          <w:tcPr>
            <w:tcW w:w="1299" w:type="pct"/>
            <w:tcBorders>
              <w:top w:val="nil"/>
              <w:left w:val="single" w:sz="4" w:space="0" w:color="auto"/>
              <w:bottom w:val="single" w:sz="4" w:space="0" w:color="auto"/>
              <w:right w:val="single" w:sz="4" w:space="0" w:color="auto"/>
            </w:tcBorders>
            <w:shd w:val="clear" w:color="auto" w:fill="auto"/>
            <w:vAlign w:val="center"/>
            <w:hideMark/>
          </w:tcPr>
          <w:p w14:paraId="1F07CD43" w14:textId="77777777" w:rsidR="00E3750C" w:rsidRPr="00051915" w:rsidRDefault="00E3750C" w:rsidP="00047864">
            <w:pPr>
              <w:spacing w:after="0" w:line="240" w:lineRule="auto"/>
              <w:rPr>
                <w:rFonts w:ascii="Arial" w:eastAsia="Times New Roman" w:hAnsi="Arial" w:cs="Arial"/>
                <w:color w:val="000000"/>
                <w:sz w:val="18"/>
                <w:szCs w:val="18"/>
                <w:lang w:eastAsia="sl-SI"/>
              </w:rPr>
            </w:pPr>
            <w:r w:rsidRPr="00051915">
              <w:rPr>
                <w:rFonts w:ascii="Arial" w:eastAsia="Times New Roman" w:hAnsi="Arial" w:cs="Arial"/>
                <w:color w:val="000000"/>
                <w:sz w:val="18"/>
                <w:szCs w:val="18"/>
                <w:lang w:eastAsia="sl-SI"/>
              </w:rPr>
              <w:t>Drugi naročniki (osebe javnega prava, javna podjetja, subjekt s posebnimi infrastrukturnimi pravicami)</w:t>
            </w:r>
          </w:p>
        </w:tc>
        <w:tc>
          <w:tcPr>
            <w:tcW w:w="627" w:type="pct"/>
            <w:tcBorders>
              <w:top w:val="nil"/>
              <w:left w:val="nil"/>
              <w:bottom w:val="single" w:sz="4" w:space="0" w:color="auto"/>
              <w:right w:val="single" w:sz="4" w:space="0" w:color="auto"/>
            </w:tcBorders>
            <w:shd w:val="clear" w:color="auto" w:fill="auto"/>
            <w:vAlign w:val="center"/>
            <w:hideMark/>
          </w:tcPr>
          <w:p w14:paraId="095A5610" w14:textId="77777777" w:rsidR="00E3750C" w:rsidRPr="00051915" w:rsidRDefault="00E3750C" w:rsidP="00047864">
            <w:pPr>
              <w:spacing w:after="0" w:line="240" w:lineRule="auto"/>
              <w:jc w:val="right"/>
              <w:rPr>
                <w:rFonts w:ascii="Arial" w:eastAsia="Times New Roman" w:hAnsi="Arial" w:cs="Arial"/>
                <w:color w:val="000000"/>
                <w:sz w:val="18"/>
                <w:szCs w:val="18"/>
                <w:lang w:eastAsia="sl-SI"/>
              </w:rPr>
            </w:pPr>
            <w:r w:rsidRPr="00051915">
              <w:rPr>
                <w:rFonts w:ascii="Arial" w:eastAsia="Times New Roman" w:hAnsi="Arial" w:cs="Arial"/>
                <w:color w:val="000000"/>
                <w:sz w:val="18"/>
                <w:szCs w:val="18"/>
                <w:lang w:eastAsia="sl-SI"/>
              </w:rPr>
              <w:t>67</w:t>
            </w:r>
          </w:p>
        </w:tc>
        <w:tc>
          <w:tcPr>
            <w:tcW w:w="627" w:type="pct"/>
            <w:tcBorders>
              <w:top w:val="nil"/>
              <w:left w:val="nil"/>
              <w:bottom w:val="single" w:sz="4" w:space="0" w:color="auto"/>
              <w:right w:val="single" w:sz="4" w:space="0" w:color="auto"/>
            </w:tcBorders>
            <w:shd w:val="clear" w:color="auto" w:fill="auto"/>
            <w:vAlign w:val="center"/>
            <w:hideMark/>
          </w:tcPr>
          <w:p w14:paraId="69A46BAB" w14:textId="77777777" w:rsidR="00E3750C" w:rsidRPr="00051915" w:rsidRDefault="00E3750C" w:rsidP="00047864">
            <w:pPr>
              <w:spacing w:after="0" w:line="240" w:lineRule="auto"/>
              <w:jc w:val="right"/>
              <w:rPr>
                <w:rFonts w:ascii="Arial" w:eastAsia="Times New Roman" w:hAnsi="Arial" w:cs="Arial"/>
                <w:color w:val="000000"/>
                <w:sz w:val="18"/>
                <w:szCs w:val="18"/>
                <w:lang w:eastAsia="sl-SI"/>
              </w:rPr>
            </w:pPr>
            <w:r w:rsidRPr="00051915">
              <w:rPr>
                <w:rFonts w:ascii="Arial" w:eastAsia="Times New Roman" w:hAnsi="Arial" w:cs="Arial"/>
                <w:color w:val="000000"/>
                <w:sz w:val="18"/>
                <w:szCs w:val="18"/>
                <w:lang w:eastAsia="sl-SI"/>
              </w:rPr>
              <w:t>62</w:t>
            </w:r>
          </w:p>
        </w:tc>
        <w:tc>
          <w:tcPr>
            <w:tcW w:w="529" w:type="pct"/>
            <w:tcBorders>
              <w:top w:val="nil"/>
              <w:left w:val="nil"/>
              <w:bottom w:val="single" w:sz="4" w:space="0" w:color="auto"/>
              <w:right w:val="single" w:sz="4" w:space="0" w:color="auto"/>
            </w:tcBorders>
            <w:shd w:val="clear" w:color="auto" w:fill="auto"/>
            <w:vAlign w:val="center"/>
            <w:hideMark/>
          </w:tcPr>
          <w:p w14:paraId="63C36060" w14:textId="77777777" w:rsidR="00E3750C" w:rsidRPr="00051915" w:rsidRDefault="00E3750C" w:rsidP="00047864">
            <w:pPr>
              <w:spacing w:after="0" w:line="240" w:lineRule="auto"/>
              <w:jc w:val="right"/>
              <w:rPr>
                <w:rFonts w:ascii="Arial" w:eastAsia="Times New Roman" w:hAnsi="Arial" w:cs="Arial"/>
                <w:color w:val="000000"/>
                <w:sz w:val="18"/>
                <w:szCs w:val="18"/>
                <w:lang w:eastAsia="sl-SI"/>
              </w:rPr>
            </w:pPr>
            <w:r w:rsidRPr="00051915">
              <w:rPr>
                <w:rFonts w:ascii="Arial" w:hAnsi="Arial" w:cs="Arial"/>
                <w:color w:val="000000"/>
                <w:sz w:val="18"/>
                <w:szCs w:val="18"/>
              </w:rPr>
              <w:t>472</w:t>
            </w:r>
          </w:p>
        </w:tc>
        <w:tc>
          <w:tcPr>
            <w:tcW w:w="694" w:type="pct"/>
            <w:tcBorders>
              <w:top w:val="nil"/>
              <w:left w:val="nil"/>
              <w:bottom w:val="single" w:sz="4" w:space="0" w:color="auto"/>
              <w:right w:val="single" w:sz="4" w:space="0" w:color="auto"/>
            </w:tcBorders>
            <w:shd w:val="clear" w:color="auto" w:fill="auto"/>
            <w:vAlign w:val="center"/>
            <w:hideMark/>
          </w:tcPr>
          <w:p w14:paraId="59553A3C" w14:textId="77777777" w:rsidR="00E3750C" w:rsidRPr="00051915" w:rsidRDefault="00E3750C" w:rsidP="00047864">
            <w:pPr>
              <w:spacing w:after="0" w:line="240" w:lineRule="auto"/>
              <w:jc w:val="right"/>
              <w:rPr>
                <w:rFonts w:ascii="Arial" w:eastAsia="Times New Roman" w:hAnsi="Arial" w:cs="Arial"/>
                <w:color w:val="000000"/>
                <w:sz w:val="18"/>
                <w:szCs w:val="18"/>
                <w:lang w:eastAsia="sl-SI"/>
              </w:rPr>
            </w:pPr>
            <w:r w:rsidRPr="00051915">
              <w:rPr>
                <w:rFonts w:ascii="Arial" w:hAnsi="Arial" w:cs="Arial"/>
                <w:color w:val="000000"/>
                <w:sz w:val="18"/>
                <w:szCs w:val="18"/>
              </w:rPr>
              <w:t>294.420.003</w:t>
            </w:r>
          </w:p>
        </w:tc>
        <w:tc>
          <w:tcPr>
            <w:tcW w:w="598" w:type="pct"/>
            <w:tcBorders>
              <w:top w:val="nil"/>
              <w:left w:val="nil"/>
              <w:bottom w:val="single" w:sz="4" w:space="0" w:color="auto"/>
              <w:right w:val="single" w:sz="4" w:space="0" w:color="auto"/>
            </w:tcBorders>
            <w:shd w:val="clear" w:color="auto" w:fill="auto"/>
            <w:vAlign w:val="center"/>
            <w:hideMark/>
          </w:tcPr>
          <w:p w14:paraId="35A7F733" w14:textId="77777777" w:rsidR="00E3750C" w:rsidRPr="00051915" w:rsidRDefault="00E3750C" w:rsidP="00047864">
            <w:pPr>
              <w:spacing w:after="0" w:line="240" w:lineRule="auto"/>
              <w:jc w:val="right"/>
              <w:rPr>
                <w:rFonts w:ascii="Arial" w:eastAsia="Times New Roman" w:hAnsi="Arial" w:cs="Arial"/>
                <w:color w:val="000000"/>
                <w:sz w:val="18"/>
                <w:szCs w:val="18"/>
                <w:lang w:eastAsia="sl-SI"/>
              </w:rPr>
            </w:pPr>
            <w:r w:rsidRPr="00051915">
              <w:rPr>
                <w:rFonts w:ascii="Arial" w:hAnsi="Arial" w:cs="Arial"/>
                <w:color w:val="000000"/>
                <w:sz w:val="18"/>
                <w:szCs w:val="18"/>
              </w:rPr>
              <w:t>129</w:t>
            </w:r>
          </w:p>
        </w:tc>
        <w:tc>
          <w:tcPr>
            <w:tcW w:w="626" w:type="pct"/>
            <w:tcBorders>
              <w:top w:val="nil"/>
              <w:left w:val="nil"/>
              <w:bottom w:val="single" w:sz="4" w:space="0" w:color="auto"/>
              <w:right w:val="single" w:sz="4" w:space="0" w:color="auto"/>
            </w:tcBorders>
            <w:shd w:val="clear" w:color="auto" w:fill="auto"/>
            <w:noWrap/>
            <w:vAlign w:val="center"/>
            <w:hideMark/>
          </w:tcPr>
          <w:p w14:paraId="07C32C7C" w14:textId="77777777" w:rsidR="00E3750C" w:rsidRPr="00051915" w:rsidRDefault="00E3750C" w:rsidP="00047864">
            <w:pPr>
              <w:spacing w:after="0" w:line="240" w:lineRule="auto"/>
              <w:jc w:val="right"/>
              <w:rPr>
                <w:rFonts w:ascii="Arial" w:eastAsia="Times New Roman" w:hAnsi="Arial" w:cs="Arial"/>
                <w:color w:val="000000"/>
                <w:sz w:val="18"/>
                <w:szCs w:val="18"/>
                <w:lang w:eastAsia="sl-SI"/>
              </w:rPr>
            </w:pPr>
            <w:r w:rsidRPr="00051915">
              <w:rPr>
                <w:rFonts w:ascii="Arial" w:hAnsi="Arial" w:cs="Arial"/>
                <w:color w:val="000000"/>
                <w:sz w:val="18"/>
                <w:szCs w:val="18"/>
              </w:rPr>
              <w:t>51,94 %</w:t>
            </w:r>
          </w:p>
        </w:tc>
      </w:tr>
      <w:tr w:rsidR="00E3750C" w:rsidRPr="00051915" w14:paraId="3CFE9D2C" w14:textId="77777777" w:rsidTr="00047864">
        <w:trPr>
          <w:trHeight w:val="255"/>
        </w:trPr>
        <w:tc>
          <w:tcPr>
            <w:tcW w:w="1299" w:type="pct"/>
            <w:tcBorders>
              <w:top w:val="nil"/>
              <w:left w:val="single" w:sz="4" w:space="0" w:color="auto"/>
              <w:bottom w:val="single" w:sz="4" w:space="0" w:color="auto"/>
              <w:right w:val="single" w:sz="4" w:space="0" w:color="auto"/>
            </w:tcBorders>
            <w:shd w:val="clear" w:color="auto" w:fill="auto"/>
            <w:vAlign w:val="center"/>
            <w:hideMark/>
          </w:tcPr>
          <w:p w14:paraId="1B49D87D" w14:textId="77777777" w:rsidR="00E3750C" w:rsidRPr="00051915" w:rsidRDefault="00E3750C" w:rsidP="00047864">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Drugi subjekti</w:t>
            </w:r>
          </w:p>
        </w:tc>
        <w:tc>
          <w:tcPr>
            <w:tcW w:w="627" w:type="pct"/>
            <w:tcBorders>
              <w:top w:val="nil"/>
              <w:left w:val="nil"/>
              <w:bottom w:val="single" w:sz="4" w:space="0" w:color="auto"/>
              <w:right w:val="single" w:sz="4" w:space="0" w:color="auto"/>
            </w:tcBorders>
            <w:shd w:val="clear" w:color="auto" w:fill="auto"/>
            <w:vAlign w:val="center"/>
            <w:hideMark/>
          </w:tcPr>
          <w:p w14:paraId="7B02E78F" w14:textId="77777777" w:rsidR="00E3750C" w:rsidRPr="00051915" w:rsidRDefault="00E3750C" w:rsidP="00047864">
            <w:pPr>
              <w:spacing w:after="0" w:line="240" w:lineRule="auto"/>
              <w:jc w:val="right"/>
              <w:rPr>
                <w:rFonts w:ascii="Arial" w:eastAsia="Times New Roman" w:hAnsi="Arial" w:cs="Arial"/>
                <w:color w:val="000000"/>
                <w:sz w:val="18"/>
                <w:szCs w:val="18"/>
                <w:lang w:eastAsia="sl-SI"/>
              </w:rPr>
            </w:pPr>
            <w:r w:rsidRPr="00051915">
              <w:rPr>
                <w:rFonts w:ascii="Arial" w:eastAsia="Times New Roman" w:hAnsi="Arial" w:cs="Arial"/>
                <w:color w:val="000000"/>
                <w:sz w:val="18"/>
                <w:szCs w:val="18"/>
                <w:lang w:eastAsia="sl-SI"/>
              </w:rPr>
              <w:t>18</w:t>
            </w:r>
          </w:p>
        </w:tc>
        <w:tc>
          <w:tcPr>
            <w:tcW w:w="627" w:type="pct"/>
            <w:tcBorders>
              <w:top w:val="nil"/>
              <w:left w:val="nil"/>
              <w:bottom w:val="single" w:sz="4" w:space="0" w:color="auto"/>
              <w:right w:val="single" w:sz="4" w:space="0" w:color="auto"/>
            </w:tcBorders>
            <w:shd w:val="clear" w:color="auto" w:fill="auto"/>
            <w:vAlign w:val="center"/>
            <w:hideMark/>
          </w:tcPr>
          <w:p w14:paraId="397A42F9" w14:textId="77777777" w:rsidR="00E3750C" w:rsidRPr="00051915" w:rsidRDefault="00E3750C" w:rsidP="00047864">
            <w:pPr>
              <w:spacing w:after="0" w:line="240" w:lineRule="auto"/>
              <w:jc w:val="right"/>
              <w:rPr>
                <w:rFonts w:ascii="Arial" w:eastAsia="Times New Roman" w:hAnsi="Arial" w:cs="Arial"/>
                <w:color w:val="000000"/>
                <w:sz w:val="18"/>
                <w:szCs w:val="18"/>
                <w:lang w:eastAsia="sl-SI"/>
              </w:rPr>
            </w:pPr>
            <w:r w:rsidRPr="00051915">
              <w:rPr>
                <w:rFonts w:ascii="Arial" w:eastAsia="Times New Roman" w:hAnsi="Arial" w:cs="Arial"/>
                <w:color w:val="000000"/>
                <w:sz w:val="18"/>
                <w:szCs w:val="18"/>
                <w:lang w:eastAsia="sl-SI"/>
              </w:rPr>
              <w:t>30</w:t>
            </w:r>
          </w:p>
        </w:tc>
        <w:tc>
          <w:tcPr>
            <w:tcW w:w="529" w:type="pct"/>
            <w:tcBorders>
              <w:top w:val="nil"/>
              <w:left w:val="nil"/>
              <w:bottom w:val="single" w:sz="4" w:space="0" w:color="auto"/>
              <w:right w:val="single" w:sz="4" w:space="0" w:color="auto"/>
            </w:tcBorders>
            <w:shd w:val="clear" w:color="auto" w:fill="auto"/>
            <w:vAlign w:val="center"/>
            <w:hideMark/>
          </w:tcPr>
          <w:p w14:paraId="22682533" w14:textId="77777777" w:rsidR="00E3750C" w:rsidRPr="00051915" w:rsidRDefault="00E3750C" w:rsidP="00047864">
            <w:pPr>
              <w:spacing w:after="0" w:line="240" w:lineRule="auto"/>
              <w:jc w:val="right"/>
              <w:rPr>
                <w:rFonts w:ascii="Arial" w:eastAsia="Times New Roman" w:hAnsi="Arial" w:cs="Arial"/>
                <w:color w:val="000000"/>
                <w:sz w:val="18"/>
                <w:szCs w:val="18"/>
                <w:lang w:eastAsia="sl-SI"/>
              </w:rPr>
            </w:pPr>
            <w:r w:rsidRPr="00051915">
              <w:rPr>
                <w:rFonts w:ascii="Arial" w:hAnsi="Arial" w:cs="Arial"/>
                <w:color w:val="000000"/>
                <w:sz w:val="18"/>
                <w:szCs w:val="18"/>
              </w:rPr>
              <w:t>34</w:t>
            </w:r>
          </w:p>
        </w:tc>
        <w:tc>
          <w:tcPr>
            <w:tcW w:w="694" w:type="pct"/>
            <w:tcBorders>
              <w:top w:val="nil"/>
              <w:left w:val="nil"/>
              <w:bottom w:val="single" w:sz="4" w:space="0" w:color="auto"/>
              <w:right w:val="single" w:sz="4" w:space="0" w:color="auto"/>
            </w:tcBorders>
            <w:shd w:val="clear" w:color="auto" w:fill="auto"/>
            <w:vAlign w:val="center"/>
            <w:hideMark/>
          </w:tcPr>
          <w:p w14:paraId="1067C7BC" w14:textId="77777777" w:rsidR="00E3750C" w:rsidRPr="00051915" w:rsidRDefault="00E3750C" w:rsidP="00047864">
            <w:pPr>
              <w:spacing w:after="0" w:line="240" w:lineRule="auto"/>
              <w:jc w:val="right"/>
              <w:rPr>
                <w:rFonts w:ascii="Arial" w:eastAsia="Times New Roman" w:hAnsi="Arial" w:cs="Arial"/>
                <w:color w:val="000000"/>
                <w:sz w:val="18"/>
                <w:szCs w:val="18"/>
                <w:lang w:eastAsia="sl-SI"/>
              </w:rPr>
            </w:pPr>
            <w:r w:rsidRPr="00051915">
              <w:rPr>
                <w:rFonts w:ascii="Arial" w:hAnsi="Arial" w:cs="Arial"/>
                <w:color w:val="000000"/>
                <w:sz w:val="18"/>
                <w:szCs w:val="18"/>
              </w:rPr>
              <w:t>14.452.298</w:t>
            </w:r>
          </w:p>
        </w:tc>
        <w:tc>
          <w:tcPr>
            <w:tcW w:w="598" w:type="pct"/>
            <w:tcBorders>
              <w:top w:val="nil"/>
              <w:left w:val="nil"/>
              <w:bottom w:val="single" w:sz="4" w:space="0" w:color="auto"/>
              <w:right w:val="single" w:sz="4" w:space="0" w:color="auto"/>
            </w:tcBorders>
            <w:shd w:val="clear" w:color="auto" w:fill="auto"/>
            <w:vAlign w:val="center"/>
            <w:hideMark/>
          </w:tcPr>
          <w:p w14:paraId="78661F3B" w14:textId="77777777" w:rsidR="00E3750C" w:rsidRPr="00051915" w:rsidRDefault="00E3750C" w:rsidP="00047864">
            <w:pPr>
              <w:spacing w:after="0" w:line="240" w:lineRule="auto"/>
              <w:jc w:val="right"/>
              <w:rPr>
                <w:rFonts w:ascii="Arial" w:eastAsia="Times New Roman" w:hAnsi="Arial" w:cs="Arial"/>
                <w:color w:val="000000"/>
                <w:sz w:val="18"/>
                <w:szCs w:val="18"/>
                <w:lang w:eastAsia="sl-SI"/>
              </w:rPr>
            </w:pPr>
            <w:r w:rsidRPr="00051915">
              <w:rPr>
                <w:rFonts w:ascii="Arial" w:hAnsi="Arial" w:cs="Arial"/>
                <w:color w:val="000000"/>
                <w:sz w:val="18"/>
                <w:szCs w:val="18"/>
              </w:rPr>
              <w:t>48</w:t>
            </w:r>
          </w:p>
        </w:tc>
        <w:tc>
          <w:tcPr>
            <w:tcW w:w="626" w:type="pct"/>
            <w:tcBorders>
              <w:top w:val="nil"/>
              <w:left w:val="nil"/>
              <w:bottom w:val="single" w:sz="4" w:space="0" w:color="auto"/>
              <w:right w:val="single" w:sz="4" w:space="0" w:color="auto"/>
            </w:tcBorders>
            <w:shd w:val="clear" w:color="auto" w:fill="auto"/>
            <w:noWrap/>
            <w:vAlign w:val="center"/>
            <w:hideMark/>
          </w:tcPr>
          <w:p w14:paraId="00C91386" w14:textId="77777777" w:rsidR="00E3750C" w:rsidRPr="00051915" w:rsidRDefault="00E3750C" w:rsidP="00047864">
            <w:pPr>
              <w:spacing w:after="0" w:line="240" w:lineRule="auto"/>
              <w:jc w:val="right"/>
              <w:rPr>
                <w:rFonts w:ascii="Arial" w:eastAsia="Times New Roman" w:hAnsi="Arial" w:cs="Arial"/>
                <w:color w:val="000000"/>
                <w:sz w:val="18"/>
                <w:szCs w:val="18"/>
                <w:lang w:eastAsia="sl-SI"/>
              </w:rPr>
            </w:pPr>
            <w:r w:rsidRPr="00051915">
              <w:rPr>
                <w:rFonts w:ascii="Arial" w:hAnsi="Arial" w:cs="Arial"/>
                <w:color w:val="000000"/>
                <w:sz w:val="18"/>
                <w:szCs w:val="18"/>
              </w:rPr>
              <w:t>37,50 %</w:t>
            </w:r>
          </w:p>
        </w:tc>
      </w:tr>
      <w:tr w:rsidR="00E3750C" w:rsidRPr="00051915" w14:paraId="233814BD" w14:textId="77777777" w:rsidTr="00047864">
        <w:trPr>
          <w:trHeight w:val="255"/>
        </w:trPr>
        <w:tc>
          <w:tcPr>
            <w:tcW w:w="1299"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EE0823F" w14:textId="77777777" w:rsidR="00E3750C" w:rsidRPr="00051915" w:rsidRDefault="00E3750C" w:rsidP="00047864">
            <w:pPr>
              <w:spacing w:after="0" w:line="240" w:lineRule="auto"/>
              <w:jc w:val="both"/>
              <w:rPr>
                <w:rFonts w:ascii="Arial" w:eastAsia="Times New Roman" w:hAnsi="Arial" w:cs="Arial"/>
                <w:b/>
                <w:bCs/>
                <w:color w:val="000000"/>
                <w:sz w:val="18"/>
                <w:szCs w:val="18"/>
                <w:lang w:eastAsia="sl-SI"/>
              </w:rPr>
            </w:pPr>
            <w:r w:rsidRPr="00051915">
              <w:rPr>
                <w:rFonts w:ascii="Arial" w:eastAsia="Times New Roman" w:hAnsi="Arial" w:cs="Arial"/>
                <w:b/>
                <w:bCs/>
                <w:color w:val="000000"/>
                <w:sz w:val="18"/>
                <w:szCs w:val="18"/>
                <w:lang w:eastAsia="sl-SI"/>
              </w:rPr>
              <w:t>Skupaj</w:t>
            </w:r>
          </w:p>
        </w:tc>
        <w:tc>
          <w:tcPr>
            <w:tcW w:w="627" w:type="pct"/>
            <w:tcBorders>
              <w:top w:val="nil"/>
              <w:left w:val="nil"/>
              <w:bottom w:val="single" w:sz="4" w:space="0" w:color="auto"/>
              <w:right w:val="single" w:sz="4" w:space="0" w:color="auto"/>
            </w:tcBorders>
            <w:shd w:val="clear" w:color="auto" w:fill="F2F2F2" w:themeFill="background1" w:themeFillShade="F2"/>
            <w:vAlign w:val="center"/>
            <w:hideMark/>
          </w:tcPr>
          <w:p w14:paraId="55F160FC" w14:textId="77777777" w:rsidR="00E3750C" w:rsidRPr="00051915" w:rsidRDefault="00E3750C" w:rsidP="00047864">
            <w:pPr>
              <w:spacing w:after="0" w:line="240" w:lineRule="auto"/>
              <w:jc w:val="right"/>
              <w:rPr>
                <w:rFonts w:ascii="Arial" w:eastAsia="Times New Roman" w:hAnsi="Arial" w:cs="Arial"/>
                <w:b/>
                <w:bCs/>
                <w:color w:val="000000"/>
                <w:sz w:val="18"/>
                <w:szCs w:val="18"/>
                <w:lang w:eastAsia="sl-SI"/>
              </w:rPr>
            </w:pPr>
            <w:r w:rsidRPr="00051915">
              <w:rPr>
                <w:rFonts w:ascii="Arial" w:eastAsia="Times New Roman" w:hAnsi="Arial" w:cs="Arial"/>
                <w:b/>
                <w:bCs/>
                <w:color w:val="000000"/>
                <w:sz w:val="18"/>
                <w:szCs w:val="18"/>
                <w:lang w:eastAsia="sl-SI"/>
              </w:rPr>
              <w:t>592</w:t>
            </w:r>
          </w:p>
        </w:tc>
        <w:tc>
          <w:tcPr>
            <w:tcW w:w="627" w:type="pct"/>
            <w:tcBorders>
              <w:top w:val="nil"/>
              <w:left w:val="nil"/>
              <w:bottom w:val="single" w:sz="4" w:space="0" w:color="auto"/>
              <w:right w:val="single" w:sz="4" w:space="0" w:color="auto"/>
            </w:tcBorders>
            <w:shd w:val="clear" w:color="auto" w:fill="F2F2F2" w:themeFill="background1" w:themeFillShade="F2"/>
            <w:vAlign w:val="center"/>
            <w:hideMark/>
          </w:tcPr>
          <w:p w14:paraId="282282EF" w14:textId="77777777" w:rsidR="00E3750C" w:rsidRPr="00051915" w:rsidRDefault="00E3750C" w:rsidP="00047864">
            <w:pPr>
              <w:spacing w:after="0" w:line="240" w:lineRule="auto"/>
              <w:jc w:val="right"/>
              <w:rPr>
                <w:rFonts w:ascii="Arial" w:eastAsia="Times New Roman" w:hAnsi="Arial" w:cs="Arial"/>
                <w:b/>
                <w:bCs/>
                <w:color w:val="000000"/>
                <w:sz w:val="18"/>
                <w:szCs w:val="18"/>
                <w:lang w:eastAsia="sl-SI"/>
              </w:rPr>
            </w:pPr>
            <w:r w:rsidRPr="00051915">
              <w:rPr>
                <w:rFonts w:ascii="Arial" w:eastAsia="Times New Roman" w:hAnsi="Arial" w:cs="Arial"/>
                <w:b/>
                <w:bCs/>
                <w:color w:val="000000"/>
                <w:sz w:val="18"/>
                <w:szCs w:val="18"/>
                <w:lang w:eastAsia="sl-SI"/>
              </w:rPr>
              <w:t>351</w:t>
            </w:r>
          </w:p>
        </w:tc>
        <w:tc>
          <w:tcPr>
            <w:tcW w:w="529" w:type="pct"/>
            <w:tcBorders>
              <w:top w:val="nil"/>
              <w:left w:val="nil"/>
              <w:bottom w:val="single" w:sz="4" w:space="0" w:color="auto"/>
              <w:right w:val="single" w:sz="4" w:space="0" w:color="auto"/>
            </w:tcBorders>
            <w:shd w:val="clear" w:color="auto" w:fill="F2F2F2" w:themeFill="background1" w:themeFillShade="F2"/>
            <w:vAlign w:val="center"/>
            <w:hideMark/>
          </w:tcPr>
          <w:p w14:paraId="4F05C711" w14:textId="77777777" w:rsidR="00E3750C" w:rsidRPr="00051915" w:rsidRDefault="00E3750C" w:rsidP="00047864">
            <w:pPr>
              <w:spacing w:after="0" w:line="240" w:lineRule="auto"/>
              <w:jc w:val="right"/>
              <w:rPr>
                <w:rFonts w:ascii="Arial" w:eastAsia="Times New Roman" w:hAnsi="Arial" w:cs="Arial"/>
                <w:b/>
                <w:bCs/>
                <w:color w:val="000000"/>
                <w:sz w:val="18"/>
                <w:szCs w:val="18"/>
                <w:lang w:eastAsia="sl-SI"/>
              </w:rPr>
            </w:pPr>
            <w:r w:rsidRPr="00051915">
              <w:rPr>
                <w:rFonts w:ascii="Arial" w:hAnsi="Arial" w:cs="Arial"/>
                <w:b/>
                <w:bCs/>
                <w:color w:val="000000"/>
                <w:sz w:val="18"/>
                <w:szCs w:val="18"/>
              </w:rPr>
              <w:t>5.162</w:t>
            </w:r>
          </w:p>
        </w:tc>
        <w:tc>
          <w:tcPr>
            <w:tcW w:w="694" w:type="pct"/>
            <w:tcBorders>
              <w:top w:val="nil"/>
              <w:left w:val="nil"/>
              <w:bottom w:val="single" w:sz="4" w:space="0" w:color="auto"/>
              <w:right w:val="single" w:sz="4" w:space="0" w:color="auto"/>
            </w:tcBorders>
            <w:shd w:val="clear" w:color="auto" w:fill="F2F2F2" w:themeFill="background1" w:themeFillShade="F2"/>
            <w:vAlign w:val="center"/>
            <w:hideMark/>
          </w:tcPr>
          <w:p w14:paraId="2BB2B284" w14:textId="77777777" w:rsidR="00E3750C" w:rsidRPr="00051915" w:rsidRDefault="00E3750C" w:rsidP="00047864">
            <w:pPr>
              <w:spacing w:after="0" w:line="240" w:lineRule="auto"/>
              <w:jc w:val="right"/>
              <w:rPr>
                <w:rFonts w:ascii="Arial" w:eastAsia="Times New Roman" w:hAnsi="Arial" w:cs="Arial"/>
                <w:b/>
                <w:bCs/>
                <w:color w:val="000000"/>
                <w:sz w:val="18"/>
                <w:szCs w:val="18"/>
                <w:lang w:eastAsia="sl-SI"/>
              </w:rPr>
            </w:pPr>
            <w:r w:rsidRPr="00051915">
              <w:rPr>
                <w:rFonts w:ascii="Arial" w:hAnsi="Arial" w:cs="Arial"/>
                <w:b/>
                <w:bCs/>
                <w:color w:val="000000"/>
                <w:sz w:val="18"/>
                <w:szCs w:val="18"/>
              </w:rPr>
              <w:t>1.422.738.797</w:t>
            </w:r>
          </w:p>
        </w:tc>
        <w:tc>
          <w:tcPr>
            <w:tcW w:w="598" w:type="pct"/>
            <w:tcBorders>
              <w:top w:val="nil"/>
              <w:left w:val="nil"/>
              <w:bottom w:val="single" w:sz="4" w:space="0" w:color="auto"/>
              <w:right w:val="single" w:sz="4" w:space="0" w:color="auto"/>
            </w:tcBorders>
            <w:shd w:val="clear" w:color="auto" w:fill="F2F2F2" w:themeFill="background1" w:themeFillShade="F2"/>
            <w:vAlign w:val="center"/>
            <w:hideMark/>
          </w:tcPr>
          <w:p w14:paraId="0177358B" w14:textId="77777777" w:rsidR="00E3750C" w:rsidRPr="00051915" w:rsidRDefault="00E3750C" w:rsidP="00047864">
            <w:pPr>
              <w:spacing w:after="0" w:line="240" w:lineRule="auto"/>
              <w:jc w:val="right"/>
              <w:rPr>
                <w:rFonts w:ascii="Arial" w:eastAsia="Times New Roman" w:hAnsi="Arial" w:cs="Arial"/>
                <w:b/>
                <w:bCs/>
                <w:color w:val="000000"/>
                <w:sz w:val="18"/>
                <w:szCs w:val="18"/>
                <w:lang w:eastAsia="sl-SI"/>
              </w:rPr>
            </w:pPr>
            <w:r w:rsidRPr="00051915">
              <w:rPr>
                <w:rFonts w:ascii="Arial" w:hAnsi="Arial" w:cs="Arial"/>
                <w:b/>
                <w:bCs/>
                <w:color w:val="000000"/>
                <w:sz w:val="18"/>
                <w:szCs w:val="18"/>
              </w:rPr>
              <w:t>943</w:t>
            </w:r>
          </w:p>
        </w:tc>
        <w:tc>
          <w:tcPr>
            <w:tcW w:w="626" w:type="pct"/>
            <w:tcBorders>
              <w:top w:val="nil"/>
              <w:left w:val="nil"/>
              <w:bottom w:val="nil"/>
              <w:right w:val="nil"/>
            </w:tcBorders>
            <w:shd w:val="clear" w:color="auto" w:fill="auto"/>
            <w:noWrap/>
            <w:vAlign w:val="center"/>
            <w:hideMark/>
          </w:tcPr>
          <w:p w14:paraId="554DC2D4" w14:textId="77777777" w:rsidR="00E3750C" w:rsidRPr="00051915" w:rsidRDefault="00E3750C" w:rsidP="00047864">
            <w:pPr>
              <w:spacing w:after="0" w:line="240" w:lineRule="auto"/>
              <w:jc w:val="right"/>
              <w:rPr>
                <w:rFonts w:ascii="Arial" w:eastAsia="Times New Roman" w:hAnsi="Arial" w:cs="Arial"/>
                <w:b/>
                <w:bCs/>
                <w:color w:val="000000"/>
                <w:sz w:val="18"/>
                <w:szCs w:val="18"/>
                <w:lang w:eastAsia="sl-SI"/>
              </w:rPr>
            </w:pPr>
            <w:r w:rsidRPr="00051915">
              <w:rPr>
                <w:rFonts w:ascii="Arial" w:hAnsi="Arial" w:cs="Arial"/>
                <w:color w:val="000000"/>
                <w:sz w:val="18"/>
                <w:szCs w:val="18"/>
              </w:rPr>
              <w:t> </w:t>
            </w:r>
          </w:p>
        </w:tc>
      </w:tr>
    </w:tbl>
    <w:p w14:paraId="39804DCF" w14:textId="77777777" w:rsidR="00E3750C" w:rsidRPr="00051915" w:rsidRDefault="00E3750C" w:rsidP="00E3750C">
      <w:pPr>
        <w:spacing w:after="0" w:line="240" w:lineRule="auto"/>
        <w:rPr>
          <w:rFonts w:ascii="Arial" w:hAnsi="Arial" w:cs="Arial"/>
          <w:sz w:val="20"/>
          <w:szCs w:val="20"/>
        </w:rPr>
      </w:pPr>
    </w:p>
    <w:p w14:paraId="0A35CC0E" w14:textId="77777777" w:rsidR="00E3750C" w:rsidRPr="00893E73" w:rsidRDefault="00E3750C" w:rsidP="00E3750C">
      <w:pPr>
        <w:spacing w:before="120" w:after="0" w:line="240" w:lineRule="auto"/>
        <w:rPr>
          <w:rFonts w:ascii="Arial" w:hAnsi="Arial" w:cs="Arial"/>
          <w:sz w:val="20"/>
          <w:szCs w:val="20"/>
        </w:rPr>
      </w:pPr>
      <w:r w:rsidRPr="00893E73">
        <w:rPr>
          <w:rFonts w:ascii="Arial" w:hAnsi="Arial" w:cs="Arial"/>
          <w:sz w:val="20"/>
          <w:szCs w:val="20"/>
        </w:rPr>
        <w:t>Preglednica 10</w:t>
      </w:r>
      <w:r>
        <w:rPr>
          <w:rFonts w:ascii="Arial" w:hAnsi="Arial" w:cs="Arial"/>
          <w:sz w:val="20"/>
          <w:szCs w:val="20"/>
        </w:rPr>
        <w:t>4</w:t>
      </w:r>
      <w:r w:rsidRPr="00893E73">
        <w:rPr>
          <w:rFonts w:ascii="Arial" w:hAnsi="Arial" w:cs="Arial"/>
          <w:sz w:val="20"/>
          <w:szCs w:val="20"/>
        </w:rPr>
        <w:t>: Število in vrednosti ter deleži zelenih naročil glede na predmet naročanja in sedež ponudnika</w:t>
      </w:r>
    </w:p>
    <w:p w14:paraId="4CE1DDFF" w14:textId="77777777" w:rsidR="00E3750C" w:rsidRPr="00893E73" w:rsidRDefault="00E3750C" w:rsidP="00E3750C">
      <w:pPr>
        <w:spacing w:after="0" w:line="240" w:lineRule="auto"/>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821"/>
        <w:gridCol w:w="891"/>
        <w:gridCol w:w="711"/>
        <w:gridCol w:w="1375"/>
        <w:gridCol w:w="901"/>
        <w:gridCol w:w="901"/>
        <w:gridCol w:w="801"/>
        <w:gridCol w:w="871"/>
        <w:gridCol w:w="951"/>
        <w:gridCol w:w="951"/>
      </w:tblGrid>
      <w:tr w:rsidR="00E3750C" w:rsidRPr="00893E73" w14:paraId="2CF2D614" w14:textId="77777777" w:rsidTr="00047864">
        <w:trPr>
          <w:trHeight w:val="960"/>
        </w:trPr>
        <w:tc>
          <w:tcPr>
            <w:tcW w:w="447"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00E6039" w14:textId="77777777" w:rsidR="00E3750C" w:rsidRPr="00893E73" w:rsidRDefault="00E3750C" w:rsidP="00047864">
            <w:pPr>
              <w:spacing w:after="0" w:line="240" w:lineRule="auto"/>
              <w:jc w:val="center"/>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Predmet</w:t>
            </w:r>
          </w:p>
        </w:tc>
        <w:tc>
          <w:tcPr>
            <w:tcW w:w="507" w:type="pct"/>
            <w:tcBorders>
              <w:top w:val="single" w:sz="4" w:space="0" w:color="auto"/>
              <w:left w:val="nil"/>
              <w:bottom w:val="single" w:sz="4" w:space="0" w:color="auto"/>
              <w:right w:val="single" w:sz="4" w:space="0" w:color="auto"/>
            </w:tcBorders>
            <w:shd w:val="clear" w:color="000000" w:fill="F2F2F2"/>
            <w:vAlign w:val="center"/>
            <w:hideMark/>
          </w:tcPr>
          <w:p w14:paraId="128E235B" w14:textId="77777777" w:rsidR="00E3750C" w:rsidRPr="00893E73" w:rsidRDefault="00E3750C" w:rsidP="00047864">
            <w:pPr>
              <w:spacing w:after="0" w:line="240" w:lineRule="auto"/>
              <w:jc w:val="center"/>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Ponudnik</w:t>
            </w:r>
          </w:p>
        </w:tc>
        <w:tc>
          <w:tcPr>
            <w:tcW w:w="388" w:type="pct"/>
            <w:tcBorders>
              <w:top w:val="single" w:sz="4" w:space="0" w:color="auto"/>
              <w:left w:val="nil"/>
              <w:bottom w:val="single" w:sz="4" w:space="0" w:color="auto"/>
              <w:right w:val="single" w:sz="4" w:space="0" w:color="auto"/>
            </w:tcBorders>
            <w:shd w:val="clear" w:color="000000" w:fill="F2F2F2"/>
            <w:vAlign w:val="center"/>
            <w:hideMark/>
          </w:tcPr>
          <w:p w14:paraId="71EF19D2" w14:textId="77777777" w:rsidR="00E3750C" w:rsidRPr="00893E73" w:rsidRDefault="00E3750C" w:rsidP="00047864">
            <w:pPr>
              <w:spacing w:after="0" w:line="240" w:lineRule="auto"/>
              <w:jc w:val="center"/>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Št. zelenih naročil</w:t>
            </w:r>
          </w:p>
        </w:tc>
        <w:tc>
          <w:tcPr>
            <w:tcW w:w="798" w:type="pct"/>
            <w:tcBorders>
              <w:top w:val="single" w:sz="4" w:space="0" w:color="auto"/>
              <w:left w:val="nil"/>
              <w:bottom w:val="single" w:sz="4" w:space="0" w:color="auto"/>
              <w:right w:val="single" w:sz="4" w:space="0" w:color="auto"/>
            </w:tcBorders>
            <w:shd w:val="clear" w:color="000000" w:fill="F2F2F2"/>
            <w:vAlign w:val="center"/>
            <w:hideMark/>
          </w:tcPr>
          <w:p w14:paraId="7CBE7D3B" w14:textId="77777777" w:rsidR="00E3750C" w:rsidRPr="00893E73" w:rsidRDefault="00E3750C" w:rsidP="00047864">
            <w:pPr>
              <w:spacing w:after="0" w:line="240" w:lineRule="auto"/>
              <w:jc w:val="center"/>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Pogodbena vrednost</w:t>
            </w:r>
          </w:p>
        </w:tc>
        <w:tc>
          <w:tcPr>
            <w:tcW w:w="464" w:type="pct"/>
            <w:tcBorders>
              <w:top w:val="single" w:sz="4" w:space="0" w:color="auto"/>
              <w:left w:val="nil"/>
              <w:bottom w:val="single" w:sz="4" w:space="0" w:color="auto"/>
              <w:right w:val="single" w:sz="4" w:space="0" w:color="auto"/>
            </w:tcBorders>
            <w:shd w:val="clear" w:color="000000" w:fill="F2F2F2"/>
            <w:vAlign w:val="center"/>
            <w:hideMark/>
          </w:tcPr>
          <w:p w14:paraId="32D728A9" w14:textId="77777777" w:rsidR="00E3750C" w:rsidRPr="00893E73" w:rsidRDefault="00E3750C" w:rsidP="00047864">
            <w:pPr>
              <w:spacing w:after="0" w:line="240" w:lineRule="auto"/>
              <w:jc w:val="center"/>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Delež v št. zelenih naročil</w:t>
            </w:r>
          </w:p>
        </w:tc>
        <w:tc>
          <w:tcPr>
            <w:tcW w:w="475" w:type="pct"/>
            <w:tcBorders>
              <w:top w:val="single" w:sz="4" w:space="0" w:color="auto"/>
              <w:left w:val="nil"/>
              <w:bottom w:val="single" w:sz="4" w:space="0" w:color="auto"/>
              <w:right w:val="single" w:sz="4" w:space="0" w:color="auto"/>
            </w:tcBorders>
            <w:shd w:val="clear" w:color="000000" w:fill="F2F2F2"/>
            <w:vAlign w:val="center"/>
            <w:hideMark/>
          </w:tcPr>
          <w:p w14:paraId="033FA85A" w14:textId="77777777" w:rsidR="00E3750C" w:rsidRPr="00893E73" w:rsidRDefault="00E3750C" w:rsidP="00047864">
            <w:pPr>
              <w:spacing w:after="0" w:line="240" w:lineRule="auto"/>
              <w:jc w:val="center"/>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Delež v vrednosti zelenih naročil</w:t>
            </w:r>
          </w:p>
        </w:tc>
        <w:tc>
          <w:tcPr>
            <w:tcW w:w="409" w:type="pct"/>
            <w:tcBorders>
              <w:top w:val="single" w:sz="4" w:space="0" w:color="auto"/>
              <w:left w:val="nil"/>
              <w:bottom w:val="single" w:sz="4" w:space="0" w:color="auto"/>
              <w:right w:val="single" w:sz="4" w:space="0" w:color="auto"/>
            </w:tcBorders>
            <w:shd w:val="clear" w:color="000000" w:fill="F2F2F2"/>
            <w:vAlign w:val="center"/>
            <w:hideMark/>
          </w:tcPr>
          <w:p w14:paraId="3C2A26B7" w14:textId="77777777" w:rsidR="00E3750C" w:rsidRPr="00893E73" w:rsidRDefault="00E3750C" w:rsidP="00047864">
            <w:pPr>
              <w:spacing w:after="0" w:line="240" w:lineRule="auto"/>
              <w:jc w:val="center"/>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Delež v št. vseh naročil</w:t>
            </w:r>
          </w:p>
        </w:tc>
        <w:tc>
          <w:tcPr>
            <w:tcW w:w="475" w:type="pct"/>
            <w:tcBorders>
              <w:top w:val="single" w:sz="4" w:space="0" w:color="auto"/>
              <w:left w:val="nil"/>
              <w:bottom w:val="single" w:sz="4" w:space="0" w:color="auto"/>
              <w:right w:val="single" w:sz="4" w:space="0" w:color="auto"/>
            </w:tcBorders>
            <w:shd w:val="clear" w:color="000000" w:fill="F2F2F2"/>
            <w:vAlign w:val="center"/>
            <w:hideMark/>
          </w:tcPr>
          <w:p w14:paraId="381BFFCB" w14:textId="77777777" w:rsidR="00E3750C" w:rsidRPr="00893E73" w:rsidRDefault="00E3750C" w:rsidP="00047864">
            <w:pPr>
              <w:spacing w:after="0" w:line="240" w:lineRule="auto"/>
              <w:jc w:val="center"/>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Delež v vrednosti vseh naročil</w:t>
            </w:r>
          </w:p>
        </w:tc>
        <w:tc>
          <w:tcPr>
            <w:tcW w:w="518" w:type="pct"/>
            <w:tcBorders>
              <w:top w:val="single" w:sz="4" w:space="0" w:color="auto"/>
              <w:left w:val="nil"/>
              <w:bottom w:val="single" w:sz="4" w:space="0" w:color="auto"/>
              <w:right w:val="single" w:sz="4" w:space="0" w:color="auto"/>
            </w:tcBorders>
            <w:shd w:val="clear" w:color="000000" w:fill="F2F2F2"/>
            <w:vAlign w:val="center"/>
            <w:hideMark/>
          </w:tcPr>
          <w:p w14:paraId="2530D9E7" w14:textId="77777777" w:rsidR="00E3750C" w:rsidRPr="00893E73" w:rsidRDefault="00E3750C" w:rsidP="00047864">
            <w:pPr>
              <w:spacing w:after="0" w:line="240" w:lineRule="auto"/>
              <w:jc w:val="center"/>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Delež v št. istovrstnih naročil</w:t>
            </w:r>
          </w:p>
        </w:tc>
        <w:tc>
          <w:tcPr>
            <w:tcW w:w="518" w:type="pct"/>
            <w:tcBorders>
              <w:top w:val="single" w:sz="4" w:space="0" w:color="auto"/>
              <w:left w:val="nil"/>
              <w:bottom w:val="single" w:sz="4" w:space="0" w:color="auto"/>
              <w:right w:val="single" w:sz="4" w:space="0" w:color="auto"/>
            </w:tcBorders>
            <w:shd w:val="clear" w:color="000000" w:fill="F2F2F2"/>
            <w:vAlign w:val="center"/>
            <w:hideMark/>
          </w:tcPr>
          <w:p w14:paraId="5E242D83" w14:textId="77777777" w:rsidR="00E3750C" w:rsidRPr="00893E73" w:rsidRDefault="00E3750C" w:rsidP="00047864">
            <w:pPr>
              <w:spacing w:after="0" w:line="240" w:lineRule="auto"/>
              <w:jc w:val="center"/>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Delež v vrednosti istovrstnih naročil</w:t>
            </w:r>
          </w:p>
        </w:tc>
      </w:tr>
      <w:tr w:rsidR="00E3750C" w:rsidRPr="00893E73" w14:paraId="6C6A0489" w14:textId="77777777" w:rsidTr="00047864">
        <w:trPr>
          <w:trHeight w:val="300"/>
        </w:trPr>
        <w:tc>
          <w:tcPr>
            <w:tcW w:w="44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B0B8EC9" w14:textId="77777777" w:rsidR="00E3750C" w:rsidRPr="00893E73" w:rsidRDefault="00E3750C" w:rsidP="00047864">
            <w:pPr>
              <w:spacing w:after="0" w:line="240" w:lineRule="auto"/>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Blago</w:t>
            </w:r>
          </w:p>
        </w:tc>
        <w:tc>
          <w:tcPr>
            <w:tcW w:w="507" w:type="pct"/>
            <w:tcBorders>
              <w:top w:val="nil"/>
              <w:left w:val="nil"/>
              <w:bottom w:val="single" w:sz="4" w:space="0" w:color="auto"/>
              <w:right w:val="single" w:sz="4" w:space="0" w:color="auto"/>
            </w:tcBorders>
            <w:shd w:val="clear" w:color="auto" w:fill="auto"/>
            <w:noWrap/>
            <w:vAlign w:val="center"/>
            <w:hideMark/>
          </w:tcPr>
          <w:p w14:paraId="0571A6D7" w14:textId="77777777" w:rsidR="00E3750C" w:rsidRPr="00893E73" w:rsidRDefault="00E3750C" w:rsidP="00047864">
            <w:pPr>
              <w:spacing w:after="0" w:line="240" w:lineRule="auto"/>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Slovenija</w:t>
            </w:r>
          </w:p>
        </w:tc>
        <w:tc>
          <w:tcPr>
            <w:tcW w:w="388" w:type="pct"/>
            <w:tcBorders>
              <w:top w:val="nil"/>
              <w:left w:val="nil"/>
              <w:bottom w:val="single" w:sz="4" w:space="0" w:color="auto"/>
              <w:right w:val="single" w:sz="4" w:space="0" w:color="auto"/>
            </w:tcBorders>
            <w:shd w:val="clear" w:color="auto" w:fill="auto"/>
            <w:noWrap/>
            <w:vAlign w:val="center"/>
            <w:hideMark/>
          </w:tcPr>
          <w:p w14:paraId="741A3648"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3.920</w:t>
            </w:r>
          </w:p>
        </w:tc>
        <w:tc>
          <w:tcPr>
            <w:tcW w:w="798" w:type="pct"/>
            <w:tcBorders>
              <w:top w:val="nil"/>
              <w:left w:val="nil"/>
              <w:bottom w:val="single" w:sz="4" w:space="0" w:color="auto"/>
              <w:right w:val="single" w:sz="4" w:space="0" w:color="auto"/>
            </w:tcBorders>
            <w:shd w:val="clear" w:color="auto" w:fill="auto"/>
            <w:noWrap/>
            <w:vAlign w:val="center"/>
            <w:hideMark/>
          </w:tcPr>
          <w:p w14:paraId="2CA1607E"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276.935.989</w:t>
            </w:r>
          </w:p>
        </w:tc>
        <w:tc>
          <w:tcPr>
            <w:tcW w:w="464" w:type="pct"/>
            <w:tcBorders>
              <w:top w:val="nil"/>
              <w:left w:val="nil"/>
              <w:bottom w:val="single" w:sz="4" w:space="0" w:color="auto"/>
              <w:right w:val="single" w:sz="4" w:space="0" w:color="auto"/>
            </w:tcBorders>
            <w:shd w:val="clear" w:color="auto" w:fill="auto"/>
            <w:noWrap/>
            <w:vAlign w:val="center"/>
            <w:hideMark/>
          </w:tcPr>
          <w:p w14:paraId="45FF90D3"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75,94</w:t>
            </w:r>
            <w:r>
              <w:rPr>
                <w:rFonts w:ascii="Arial" w:eastAsia="Times New Roman" w:hAnsi="Arial" w:cs="Arial"/>
                <w:color w:val="000000"/>
                <w:sz w:val="18"/>
                <w:szCs w:val="18"/>
                <w:lang w:eastAsia="sl-SI"/>
              </w:rPr>
              <w:t xml:space="preserve"> %</w:t>
            </w:r>
          </w:p>
        </w:tc>
        <w:tc>
          <w:tcPr>
            <w:tcW w:w="475" w:type="pct"/>
            <w:tcBorders>
              <w:top w:val="nil"/>
              <w:left w:val="nil"/>
              <w:bottom w:val="single" w:sz="4" w:space="0" w:color="auto"/>
              <w:right w:val="single" w:sz="4" w:space="0" w:color="auto"/>
            </w:tcBorders>
            <w:shd w:val="clear" w:color="auto" w:fill="auto"/>
            <w:noWrap/>
            <w:vAlign w:val="center"/>
            <w:hideMark/>
          </w:tcPr>
          <w:p w14:paraId="7863BA54"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19,46</w:t>
            </w:r>
            <w:r>
              <w:rPr>
                <w:rFonts w:ascii="Arial" w:eastAsia="Times New Roman" w:hAnsi="Arial" w:cs="Arial"/>
                <w:color w:val="000000"/>
                <w:sz w:val="18"/>
                <w:szCs w:val="18"/>
                <w:lang w:eastAsia="sl-SI"/>
              </w:rPr>
              <w:t xml:space="preserve"> %</w:t>
            </w:r>
          </w:p>
        </w:tc>
        <w:tc>
          <w:tcPr>
            <w:tcW w:w="409" w:type="pct"/>
            <w:tcBorders>
              <w:top w:val="nil"/>
              <w:left w:val="nil"/>
              <w:bottom w:val="single" w:sz="4" w:space="0" w:color="auto"/>
              <w:right w:val="single" w:sz="4" w:space="0" w:color="auto"/>
            </w:tcBorders>
            <w:shd w:val="clear" w:color="auto" w:fill="auto"/>
            <w:noWrap/>
            <w:vAlign w:val="center"/>
            <w:hideMark/>
          </w:tcPr>
          <w:p w14:paraId="24F013E4"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22,76</w:t>
            </w:r>
            <w:r>
              <w:rPr>
                <w:rFonts w:ascii="Arial" w:eastAsia="Times New Roman" w:hAnsi="Arial" w:cs="Arial"/>
                <w:color w:val="000000"/>
                <w:sz w:val="18"/>
                <w:szCs w:val="18"/>
                <w:lang w:eastAsia="sl-SI"/>
              </w:rPr>
              <w:t xml:space="preserve"> %</w:t>
            </w:r>
          </w:p>
        </w:tc>
        <w:tc>
          <w:tcPr>
            <w:tcW w:w="475" w:type="pct"/>
            <w:tcBorders>
              <w:top w:val="nil"/>
              <w:left w:val="nil"/>
              <w:bottom w:val="single" w:sz="4" w:space="0" w:color="auto"/>
              <w:right w:val="single" w:sz="4" w:space="0" w:color="auto"/>
            </w:tcBorders>
            <w:shd w:val="clear" w:color="auto" w:fill="auto"/>
            <w:noWrap/>
            <w:vAlign w:val="center"/>
            <w:hideMark/>
          </w:tcPr>
          <w:p w14:paraId="2937D08B"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5,11</w:t>
            </w:r>
            <w:r>
              <w:rPr>
                <w:rFonts w:ascii="Arial" w:eastAsia="Times New Roman" w:hAnsi="Arial" w:cs="Arial"/>
                <w:color w:val="000000"/>
                <w:sz w:val="18"/>
                <w:szCs w:val="18"/>
                <w:lang w:eastAsia="sl-SI"/>
              </w:rPr>
              <w:t xml:space="preserve"> %</w:t>
            </w:r>
          </w:p>
        </w:tc>
        <w:tc>
          <w:tcPr>
            <w:tcW w:w="518" w:type="pct"/>
            <w:tcBorders>
              <w:top w:val="nil"/>
              <w:left w:val="nil"/>
              <w:bottom w:val="single" w:sz="4" w:space="0" w:color="auto"/>
              <w:right w:val="single" w:sz="4" w:space="0" w:color="auto"/>
            </w:tcBorders>
            <w:shd w:val="clear" w:color="auto" w:fill="auto"/>
            <w:noWrap/>
            <w:vAlign w:val="center"/>
            <w:hideMark/>
          </w:tcPr>
          <w:p w14:paraId="5D483F9C"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99,59</w:t>
            </w:r>
            <w:r>
              <w:rPr>
                <w:rFonts w:ascii="Arial" w:eastAsia="Times New Roman" w:hAnsi="Arial" w:cs="Arial"/>
                <w:color w:val="000000"/>
                <w:sz w:val="18"/>
                <w:szCs w:val="18"/>
                <w:lang w:eastAsia="sl-SI"/>
              </w:rPr>
              <w:t xml:space="preserve"> %</w:t>
            </w:r>
          </w:p>
        </w:tc>
        <w:tc>
          <w:tcPr>
            <w:tcW w:w="518" w:type="pct"/>
            <w:tcBorders>
              <w:top w:val="nil"/>
              <w:left w:val="nil"/>
              <w:bottom w:val="single" w:sz="4" w:space="0" w:color="auto"/>
              <w:right w:val="single" w:sz="4" w:space="0" w:color="auto"/>
            </w:tcBorders>
            <w:shd w:val="clear" w:color="auto" w:fill="auto"/>
            <w:noWrap/>
            <w:vAlign w:val="center"/>
            <w:hideMark/>
          </w:tcPr>
          <w:p w14:paraId="37BD18B7"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99,03</w:t>
            </w:r>
            <w:r>
              <w:rPr>
                <w:rFonts w:ascii="Arial" w:eastAsia="Times New Roman" w:hAnsi="Arial" w:cs="Arial"/>
                <w:color w:val="000000"/>
                <w:sz w:val="18"/>
                <w:szCs w:val="18"/>
                <w:lang w:eastAsia="sl-SI"/>
              </w:rPr>
              <w:t xml:space="preserve"> %</w:t>
            </w:r>
          </w:p>
        </w:tc>
      </w:tr>
      <w:tr w:rsidR="00E3750C" w:rsidRPr="00893E73" w14:paraId="3A49FAE6" w14:textId="77777777" w:rsidTr="00047864">
        <w:trPr>
          <w:trHeight w:val="300"/>
        </w:trPr>
        <w:tc>
          <w:tcPr>
            <w:tcW w:w="447" w:type="pct"/>
            <w:vMerge/>
            <w:tcBorders>
              <w:top w:val="nil"/>
              <w:left w:val="single" w:sz="4" w:space="0" w:color="auto"/>
              <w:bottom w:val="single" w:sz="4" w:space="0" w:color="auto"/>
              <w:right w:val="single" w:sz="4" w:space="0" w:color="auto"/>
            </w:tcBorders>
            <w:vAlign w:val="center"/>
            <w:hideMark/>
          </w:tcPr>
          <w:p w14:paraId="3A3CF6BA" w14:textId="77777777" w:rsidR="00E3750C" w:rsidRPr="00893E73" w:rsidRDefault="00E3750C" w:rsidP="00047864">
            <w:pPr>
              <w:spacing w:after="0" w:line="240" w:lineRule="auto"/>
              <w:rPr>
                <w:rFonts w:ascii="Arial" w:eastAsia="Times New Roman" w:hAnsi="Arial" w:cs="Arial"/>
                <w:color w:val="000000"/>
                <w:sz w:val="18"/>
                <w:szCs w:val="18"/>
                <w:lang w:eastAsia="sl-SI"/>
              </w:rPr>
            </w:pPr>
          </w:p>
        </w:tc>
        <w:tc>
          <w:tcPr>
            <w:tcW w:w="507" w:type="pct"/>
            <w:tcBorders>
              <w:top w:val="nil"/>
              <w:left w:val="nil"/>
              <w:bottom w:val="single" w:sz="4" w:space="0" w:color="auto"/>
              <w:right w:val="single" w:sz="4" w:space="0" w:color="auto"/>
            </w:tcBorders>
            <w:shd w:val="clear" w:color="auto" w:fill="auto"/>
            <w:noWrap/>
            <w:vAlign w:val="center"/>
            <w:hideMark/>
          </w:tcPr>
          <w:p w14:paraId="4FD21A42" w14:textId="77777777" w:rsidR="00E3750C" w:rsidRPr="00893E73" w:rsidRDefault="00E3750C" w:rsidP="00047864">
            <w:pPr>
              <w:spacing w:after="0" w:line="240" w:lineRule="auto"/>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EU</w:t>
            </w:r>
          </w:p>
        </w:tc>
        <w:tc>
          <w:tcPr>
            <w:tcW w:w="388" w:type="pct"/>
            <w:tcBorders>
              <w:top w:val="nil"/>
              <w:left w:val="nil"/>
              <w:bottom w:val="single" w:sz="4" w:space="0" w:color="auto"/>
              <w:right w:val="single" w:sz="4" w:space="0" w:color="auto"/>
            </w:tcBorders>
            <w:shd w:val="clear" w:color="auto" w:fill="auto"/>
            <w:noWrap/>
            <w:vAlign w:val="center"/>
            <w:hideMark/>
          </w:tcPr>
          <w:p w14:paraId="4A4623E7"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15</w:t>
            </w:r>
          </w:p>
        </w:tc>
        <w:tc>
          <w:tcPr>
            <w:tcW w:w="798" w:type="pct"/>
            <w:tcBorders>
              <w:top w:val="nil"/>
              <w:left w:val="nil"/>
              <w:bottom w:val="single" w:sz="4" w:space="0" w:color="auto"/>
              <w:right w:val="single" w:sz="4" w:space="0" w:color="auto"/>
            </w:tcBorders>
            <w:shd w:val="clear" w:color="auto" w:fill="auto"/>
            <w:noWrap/>
            <w:vAlign w:val="center"/>
            <w:hideMark/>
          </w:tcPr>
          <w:p w14:paraId="7FDC2B28"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2.358.235</w:t>
            </w:r>
          </w:p>
        </w:tc>
        <w:tc>
          <w:tcPr>
            <w:tcW w:w="464" w:type="pct"/>
            <w:tcBorders>
              <w:top w:val="nil"/>
              <w:left w:val="nil"/>
              <w:bottom w:val="single" w:sz="4" w:space="0" w:color="auto"/>
              <w:right w:val="single" w:sz="4" w:space="0" w:color="auto"/>
            </w:tcBorders>
            <w:shd w:val="clear" w:color="auto" w:fill="auto"/>
            <w:noWrap/>
            <w:vAlign w:val="center"/>
            <w:hideMark/>
          </w:tcPr>
          <w:p w14:paraId="3C70A05B"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0,29</w:t>
            </w:r>
            <w:r>
              <w:rPr>
                <w:rFonts w:ascii="Arial" w:eastAsia="Times New Roman" w:hAnsi="Arial" w:cs="Arial"/>
                <w:color w:val="000000"/>
                <w:sz w:val="18"/>
                <w:szCs w:val="18"/>
                <w:lang w:eastAsia="sl-SI"/>
              </w:rPr>
              <w:t xml:space="preserve"> %</w:t>
            </w:r>
          </w:p>
        </w:tc>
        <w:tc>
          <w:tcPr>
            <w:tcW w:w="475" w:type="pct"/>
            <w:tcBorders>
              <w:top w:val="nil"/>
              <w:left w:val="nil"/>
              <w:bottom w:val="single" w:sz="4" w:space="0" w:color="auto"/>
              <w:right w:val="single" w:sz="4" w:space="0" w:color="auto"/>
            </w:tcBorders>
            <w:shd w:val="clear" w:color="auto" w:fill="auto"/>
            <w:noWrap/>
            <w:vAlign w:val="center"/>
            <w:hideMark/>
          </w:tcPr>
          <w:p w14:paraId="47C4A298"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0,17</w:t>
            </w:r>
            <w:r>
              <w:rPr>
                <w:rFonts w:ascii="Arial" w:eastAsia="Times New Roman" w:hAnsi="Arial" w:cs="Arial"/>
                <w:color w:val="000000"/>
                <w:sz w:val="18"/>
                <w:szCs w:val="18"/>
                <w:lang w:eastAsia="sl-SI"/>
              </w:rPr>
              <w:t xml:space="preserve"> %</w:t>
            </w:r>
          </w:p>
        </w:tc>
        <w:tc>
          <w:tcPr>
            <w:tcW w:w="409" w:type="pct"/>
            <w:tcBorders>
              <w:top w:val="nil"/>
              <w:left w:val="nil"/>
              <w:bottom w:val="single" w:sz="4" w:space="0" w:color="auto"/>
              <w:right w:val="single" w:sz="4" w:space="0" w:color="auto"/>
            </w:tcBorders>
            <w:shd w:val="clear" w:color="auto" w:fill="auto"/>
            <w:noWrap/>
            <w:vAlign w:val="center"/>
            <w:hideMark/>
          </w:tcPr>
          <w:p w14:paraId="5D9E6B65"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0,09</w:t>
            </w:r>
            <w:r>
              <w:rPr>
                <w:rFonts w:ascii="Arial" w:eastAsia="Times New Roman" w:hAnsi="Arial" w:cs="Arial"/>
                <w:color w:val="000000"/>
                <w:sz w:val="18"/>
                <w:szCs w:val="18"/>
                <w:lang w:eastAsia="sl-SI"/>
              </w:rPr>
              <w:t xml:space="preserve"> %</w:t>
            </w:r>
          </w:p>
        </w:tc>
        <w:tc>
          <w:tcPr>
            <w:tcW w:w="475" w:type="pct"/>
            <w:tcBorders>
              <w:top w:val="nil"/>
              <w:left w:val="nil"/>
              <w:bottom w:val="single" w:sz="4" w:space="0" w:color="auto"/>
              <w:right w:val="single" w:sz="4" w:space="0" w:color="auto"/>
            </w:tcBorders>
            <w:shd w:val="clear" w:color="auto" w:fill="auto"/>
            <w:noWrap/>
            <w:vAlign w:val="center"/>
            <w:hideMark/>
          </w:tcPr>
          <w:p w14:paraId="218AFB27"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0,04</w:t>
            </w:r>
            <w:r>
              <w:rPr>
                <w:rFonts w:ascii="Arial" w:eastAsia="Times New Roman" w:hAnsi="Arial" w:cs="Arial"/>
                <w:color w:val="000000"/>
                <w:sz w:val="18"/>
                <w:szCs w:val="18"/>
                <w:lang w:eastAsia="sl-SI"/>
              </w:rPr>
              <w:t xml:space="preserve"> %</w:t>
            </w:r>
          </w:p>
        </w:tc>
        <w:tc>
          <w:tcPr>
            <w:tcW w:w="518" w:type="pct"/>
            <w:tcBorders>
              <w:top w:val="nil"/>
              <w:left w:val="nil"/>
              <w:bottom w:val="single" w:sz="4" w:space="0" w:color="auto"/>
              <w:right w:val="single" w:sz="4" w:space="0" w:color="auto"/>
            </w:tcBorders>
            <w:shd w:val="clear" w:color="auto" w:fill="auto"/>
            <w:noWrap/>
            <w:vAlign w:val="center"/>
            <w:hideMark/>
          </w:tcPr>
          <w:p w14:paraId="6BD1CB80"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0,38</w:t>
            </w:r>
            <w:r>
              <w:rPr>
                <w:rFonts w:ascii="Arial" w:eastAsia="Times New Roman" w:hAnsi="Arial" w:cs="Arial"/>
                <w:color w:val="000000"/>
                <w:sz w:val="18"/>
                <w:szCs w:val="18"/>
                <w:lang w:eastAsia="sl-SI"/>
              </w:rPr>
              <w:t xml:space="preserve"> %</w:t>
            </w:r>
          </w:p>
        </w:tc>
        <w:tc>
          <w:tcPr>
            <w:tcW w:w="518" w:type="pct"/>
            <w:tcBorders>
              <w:top w:val="nil"/>
              <w:left w:val="nil"/>
              <w:bottom w:val="single" w:sz="4" w:space="0" w:color="auto"/>
              <w:right w:val="single" w:sz="4" w:space="0" w:color="auto"/>
            </w:tcBorders>
            <w:shd w:val="clear" w:color="auto" w:fill="auto"/>
            <w:noWrap/>
            <w:vAlign w:val="center"/>
            <w:hideMark/>
          </w:tcPr>
          <w:p w14:paraId="6A78E083"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0,84</w:t>
            </w:r>
            <w:r>
              <w:rPr>
                <w:rFonts w:ascii="Arial" w:eastAsia="Times New Roman" w:hAnsi="Arial" w:cs="Arial"/>
                <w:color w:val="000000"/>
                <w:sz w:val="18"/>
                <w:szCs w:val="18"/>
                <w:lang w:eastAsia="sl-SI"/>
              </w:rPr>
              <w:t xml:space="preserve"> %</w:t>
            </w:r>
          </w:p>
        </w:tc>
      </w:tr>
      <w:tr w:rsidR="00E3750C" w:rsidRPr="00893E73" w14:paraId="15A56514" w14:textId="77777777" w:rsidTr="00047864">
        <w:trPr>
          <w:trHeight w:val="300"/>
        </w:trPr>
        <w:tc>
          <w:tcPr>
            <w:tcW w:w="447" w:type="pct"/>
            <w:vMerge/>
            <w:tcBorders>
              <w:top w:val="nil"/>
              <w:left w:val="single" w:sz="4" w:space="0" w:color="auto"/>
              <w:bottom w:val="single" w:sz="4" w:space="0" w:color="auto"/>
              <w:right w:val="single" w:sz="4" w:space="0" w:color="auto"/>
            </w:tcBorders>
            <w:vAlign w:val="center"/>
            <w:hideMark/>
          </w:tcPr>
          <w:p w14:paraId="432B2651" w14:textId="77777777" w:rsidR="00E3750C" w:rsidRPr="00893E73" w:rsidRDefault="00E3750C" w:rsidP="00047864">
            <w:pPr>
              <w:spacing w:after="0" w:line="240" w:lineRule="auto"/>
              <w:rPr>
                <w:rFonts w:ascii="Arial" w:eastAsia="Times New Roman" w:hAnsi="Arial" w:cs="Arial"/>
                <w:color w:val="000000"/>
                <w:sz w:val="18"/>
                <w:szCs w:val="18"/>
                <w:lang w:eastAsia="sl-SI"/>
              </w:rPr>
            </w:pPr>
          </w:p>
        </w:tc>
        <w:tc>
          <w:tcPr>
            <w:tcW w:w="507" w:type="pct"/>
            <w:tcBorders>
              <w:top w:val="nil"/>
              <w:left w:val="nil"/>
              <w:bottom w:val="single" w:sz="4" w:space="0" w:color="auto"/>
              <w:right w:val="single" w:sz="4" w:space="0" w:color="auto"/>
            </w:tcBorders>
            <w:shd w:val="clear" w:color="auto" w:fill="auto"/>
            <w:noWrap/>
            <w:vAlign w:val="center"/>
            <w:hideMark/>
          </w:tcPr>
          <w:p w14:paraId="6969C651" w14:textId="77777777" w:rsidR="00E3750C" w:rsidRPr="00893E73" w:rsidRDefault="00E3750C" w:rsidP="00047864">
            <w:pPr>
              <w:spacing w:after="0" w:line="240" w:lineRule="auto"/>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izven EU</w:t>
            </w:r>
          </w:p>
        </w:tc>
        <w:tc>
          <w:tcPr>
            <w:tcW w:w="388" w:type="pct"/>
            <w:tcBorders>
              <w:top w:val="nil"/>
              <w:left w:val="nil"/>
              <w:bottom w:val="single" w:sz="4" w:space="0" w:color="auto"/>
              <w:right w:val="single" w:sz="4" w:space="0" w:color="auto"/>
            </w:tcBorders>
            <w:shd w:val="clear" w:color="auto" w:fill="auto"/>
            <w:noWrap/>
            <w:vAlign w:val="center"/>
            <w:hideMark/>
          </w:tcPr>
          <w:p w14:paraId="19EA09EA"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1</w:t>
            </w:r>
          </w:p>
        </w:tc>
        <w:tc>
          <w:tcPr>
            <w:tcW w:w="798" w:type="pct"/>
            <w:tcBorders>
              <w:top w:val="nil"/>
              <w:left w:val="nil"/>
              <w:bottom w:val="single" w:sz="4" w:space="0" w:color="auto"/>
              <w:right w:val="single" w:sz="4" w:space="0" w:color="auto"/>
            </w:tcBorders>
            <w:shd w:val="clear" w:color="auto" w:fill="auto"/>
            <w:noWrap/>
            <w:vAlign w:val="center"/>
            <w:hideMark/>
          </w:tcPr>
          <w:p w14:paraId="428B0C7B"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350.000</w:t>
            </w:r>
          </w:p>
        </w:tc>
        <w:tc>
          <w:tcPr>
            <w:tcW w:w="464" w:type="pct"/>
            <w:tcBorders>
              <w:top w:val="nil"/>
              <w:left w:val="nil"/>
              <w:bottom w:val="single" w:sz="4" w:space="0" w:color="auto"/>
              <w:right w:val="single" w:sz="4" w:space="0" w:color="auto"/>
            </w:tcBorders>
            <w:shd w:val="clear" w:color="auto" w:fill="auto"/>
            <w:noWrap/>
            <w:vAlign w:val="center"/>
            <w:hideMark/>
          </w:tcPr>
          <w:p w14:paraId="6B6AA68B"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475" w:type="pct"/>
            <w:tcBorders>
              <w:top w:val="nil"/>
              <w:left w:val="nil"/>
              <w:bottom w:val="single" w:sz="4" w:space="0" w:color="auto"/>
              <w:right w:val="single" w:sz="4" w:space="0" w:color="auto"/>
            </w:tcBorders>
            <w:shd w:val="clear" w:color="auto" w:fill="auto"/>
            <w:noWrap/>
            <w:vAlign w:val="center"/>
            <w:hideMark/>
          </w:tcPr>
          <w:p w14:paraId="758416DB"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409" w:type="pct"/>
            <w:tcBorders>
              <w:top w:val="nil"/>
              <w:left w:val="nil"/>
              <w:bottom w:val="single" w:sz="4" w:space="0" w:color="auto"/>
              <w:right w:val="single" w:sz="4" w:space="0" w:color="auto"/>
            </w:tcBorders>
            <w:shd w:val="clear" w:color="auto" w:fill="auto"/>
            <w:noWrap/>
            <w:vAlign w:val="center"/>
            <w:hideMark/>
          </w:tcPr>
          <w:p w14:paraId="676DD335"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475" w:type="pct"/>
            <w:tcBorders>
              <w:top w:val="nil"/>
              <w:left w:val="nil"/>
              <w:bottom w:val="single" w:sz="4" w:space="0" w:color="auto"/>
              <w:right w:val="single" w:sz="4" w:space="0" w:color="auto"/>
            </w:tcBorders>
            <w:shd w:val="clear" w:color="auto" w:fill="auto"/>
            <w:noWrap/>
            <w:vAlign w:val="center"/>
            <w:hideMark/>
          </w:tcPr>
          <w:p w14:paraId="7B4C77A2"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518" w:type="pct"/>
            <w:tcBorders>
              <w:top w:val="nil"/>
              <w:left w:val="nil"/>
              <w:bottom w:val="single" w:sz="4" w:space="0" w:color="auto"/>
              <w:right w:val="single" w:sz="4" w:space="0" w:color="auto"/>
            </w:tcBorders>
            <w:shd w:val="clear" w:color="auto" w:fill="auto"/>
            <w:noWrap/>
            <w:vAlign w:val="center"/>
            <w:hideMark/>
          </w:tcPr>
          <w:p w14:paraId="3F968AD2"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c>
          <w:tcPr>
            <w:tcW w:w="518" w:type="pct"/>
            <w:tcBorders>
              <w:top w:val="nil"/>
              <w:left w:val="nil"/>
              <w:bottom w:val="single" w:sz="4" w:space="0" w:color="auto"/>
              <w:right w:val="single" w:sz="4" w:space="0" w:color="auto"/>
            </w:tcBorders>
            <w:shd w:val="clear" w:color="auto" w:fill="auto"/>
            <w:noWrap/>
            <w:vAlign w:val="center"/>
            <w:hideMark/>
          </w:tcPr>
          <w:p w14:paraId="0D5875A1"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0,13</w:t>
            </w:r>
            <w:r>
              <w:rPr>
                <w:rFonts w:ascii="Arial" w:eastAsia="Times New Roman" w:hAnsi="Arial" w:cs="Arial"/>
                <w:color w:val="000000"/>
                <w:sz w:val="18"/>
                <w:szCs w:val="18"/>
                <w:lang w:eastAsia="sl-SI"/>
              </w:rPr>
              <w:t xml:space="preserve"> %</w:t>
            </w:r>
          </w:p>
        </w:tc>
      </w:tr>
      <w:tr w:rsidR="00E3750C" w:rsidRPr="00893E73" w14:paraId="0F841B36" w14:textId="77777777" w:rsidTr="00047864">
        <w:trPr>
          <w:trHeight w:val="300"/>
        </w:trPr>
        <w:tc>
          <w:tcPr>
            <w:tcW w:w="447" w:type="pct"/>
            <w:vMerge/>
            <w:tcBorders>
              <w:top w:val="nil"/>
              <w:left w:val="single" w:sz="4" w:space="0" w:color="auto"/>
              <w:bottom w:val="single" w:sz="4" w:space="0" w:color="auto"/>
              <w:right w:val="single" w:sz="4" w:space="0" w:color="auto"/>
            </w:tcBorders>
            <w:vAlign w:val="center"/>
            <w:hideMark/>
          </w:tcPr>
          <w:p w14:paraId="05235D9A" w14:textId="77777777" w:rsidR="00E3750C" w:rsidRPr="00893E73" w:rsidRDefault="00E3750C" w:rsidP="00047864">
            <w:pPr>
              <w:spacing w:after="0" w:line="240" w:lineRule="auto"/>
              <w:rPr>
                <w:rFonts w:ascii="Arial" w:eastAsia="Times New Roman" w:hAnsi="Arial" w:cs="Arial"/>
                <w:color w:val="000000"/>
                <w:sz w:val="18"/>
                <w:szCs w:val="18"/>
                <w:lang w:eastAsia="sl-SI"/>
              </w:rPr>
            </w:pPr>
          </w:p>
        </w:tc>
        <w:tc>
          <w:tcPr>
            <w:tcW w:w="507" w:type="pct"/>
            <w:tcBorders>
              <w:top w:val="nil"/>
              <w:left w:val="nil"/>
              <w:bottom w:val="single" w:sz="4" w:space="0" w:color="auto"/>
              <w:right w:val="single" w:sz="4" w:space="0" w:color="auto"/>
            </w:tcBorders>
            <w:shd w:val="clear" w:color="auto" w:fill="auto"/>
            <w:noWrap/>
            <w:vAlign w:val="center"/>
            <w:hideMark/>
          </w:tcPr>
          <w:p w14:paraId="38CA8C4D" w14:textId="77777777" w:rsidR="00E3750C" w:rsidRPr="00893E73" w:rsidRDefault="00E3750C" w:rsidP="00047864">
            <w:pPr>
              <w:spacing w:after="0" w:line="240" w:lineRule="auto"/>
              <w:rPr>
                <w:rFonts w:ascii="Arial" w:eastAsia="Times New Roman" w:hAnsi="Arial" w:cs="Arial"/>
                <w:b/>
                <w:bCs/>
                <w:color w:val="000000"/>
                <w:sz w:val="18"/>
                <w:szCs w:val="18"/>
                <w:lang w:eastAsia="sl-SI"/>
              </w:rPr>
            </w:pPr>
            <w:r w:rsidRPr="00893E73">
              <w:rPr>
                <w:rFonts w:ascii="Arial" w:eastAsia="Times New Roman" w:hAnsi="Arial" w:cs="Arial"/>
                <w:b/>
                <w:bCs/>
                <w:color w:val="000000"/>
                <w:sz w:val="18"/>
                <w:szCs w:val="18"/>
                <w:lang w:eastAsia="sl-SI"/>
              </w:rPr>
              <w:t>Skupaj</w:t>
            </w:r>
          </w:p>
        </w:tc>
        <w:tc>
          <w:tcPr>
            <w:tcW w:w="388" w:type="pct"/>
            <w:tcBorders>
              <w:top w:val="nil"/>
              <w:left w:val="nil"/>
              <w:bottom w:val="single" w:sz="4" w:space="0" w:color="auto"/>
              <w:right w:val="single" w:sz="4" w:space="0" w:color="auto"/>
            </w:tcBorders>
            <w:shd w:val="clear" w:color="auto" w:fill="auto"/>
            <w:noWrap/>
            <w:vAlign w:val="center"/>
            <w:hideMark/>
          </w:tcPr>
          <w:p w14:paraId="4D753805" w14:textId="77777777" w:rsidR="00E3750C" w:rsidRPr="00893E73" w:rsidRDefault="00E3750C" w:rsidP="00047864">
            <w:pPr>
              <w:spacing w:after="0" w:line="240" w:lineRule="auto"/>
              <w:jc w:val="right"/>
              <w:rPr>
                <w:rFonts w:ascii="Arial" w:eastAsia="Times New Roman" w:hAnsi="Arial" w:cs="Arial"/>
                <w:b/>
                <w:bCs/>
                <w:color w:val="000000"/>
                <w:sz w:val="18"/>
                <w:szCs w:val="18"/>
                <w:lang w:eastAsia="sl-SI"/>
              </w:rPr>
            </w:pPr>
            <w:r w:rsidRPr="00893E73">
              <w:rPr>
                <w:rFonts w:ascii="Arial" w:eastAsia="Times New Roman" w:hAnsi="Arial" w:cs="Arial"/>
                <w:b/>
                <w:bCs/>
                <w:color w:val="000000"/>
                <w:sz w:val="18"/>
                <w:szCs w:val="18"/>
                <w:lang w:eastAsia="sl-SI"/>
              </w:rPr>
              <w:t>3.936</w:t>
            </w:r>
          </w:p>
        </w:tc>
        <w:tc>
          <w:tcPr>
            <w:tcW w:w="798" w:type="pct"/>
            <w:tcBorders>
              <w:top w:val="nil"/>
              <w:left w:val="nil"/>
              <w:bottom w:val="single" w:sz="4" w:space="0" w:color="auto"/>
              <w:right w:val="single" w:sz="4" w:space="0" w:color="auto"/>
            </w:tcBorders>
            <w:shd w:val="clear" w:color="auto" w:fill="auto"/>
            <w:noWrap/>
            <w:vAlign w:val="center"/>
            <w:hideMark/>
          </w:tcPr>
          <w:p w14:paraId="24F2EDB0" w14:textId="77777777" w:rsidR="00E3750C" w:rsidRPr="00893E73" w:rsidRDefault="00E3750C" w:rsidP="00047864">
            <w:pPr>
              <w:spacing w:after="0" w:line="240" w:lineRule="auto"/>
              <w:jc w:val="right"/>
              <w:rPr>
                <w:rFonts w:ascii="Arial" w:eastAsia="Times New Roman" w:hAnsi="Arial" w:cs="Arial"/>
                <w:b/>
                <w:bCs/>
                <w:color w:val="000000"/>
                <w:sz w:val="18"/>
                <w:szCs w:val="18"/>
                <w:lang w:eastAsia="sl-SI"/>
              </w:rPr>
            </w:pPr>
            <w:r w:rsidRPr="00893E73">
              <w:rPr>
                <w:rFonts w:ascii="Arial" w:eastAsia="Times New Roman" w:hAnsi="Arial" w:cs="Arial"/>
                <w:b/>
                <w:bCs/>
                <w:color w:val="000000"/>
                <w:sz w:val="18"/>
                <w:szCs w:val="18"/>
                <w:lang w:eastAsia="sl-SI"/>
              </w:rPr>
              <w:t>279.644.224</w:t>
            </w:r>
          </w:p>
        </w:tc>
        <w:tc>
          <w:tcPr>
            <w:tcW w:w="464" w:type="pct"/>
            <w:tcBorders>
              <w:top w:val="nil"/>
              <w:left w:val="nil"/>
              <w:bottom w:val="single" w:sz="4" w:space="0" w:color="auto"/>
              <w:right w:val="single" w:sz="4" w:space="0" w:color="auto"/>
            </w:tcBorders>
            <w:shd w:val="clear" w:color="auto" w:fill="auto"/>
            <w:noWrap/>
            <w:vAlign w:val="center"/>
            <w:hideMark/>
          </w:tcPr>
          <w:p w14:paraId="1695328F"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76,25</w:t>
            </w:r>
            <w:r>
              <w:rPr>
                <w:rFonts w:ascii="Arial" w:eastAsia="Times New Roman" w:hAnsi="Arial" w:cs="Arial"/>
                <w:color w:val="000000"/>
                <w:sz w:val="18"/>
                <w:szCs w:val="18"/>
                <w:lang w:eastAsia="sl-SI"/>
              </w:rPr>
              <w:t xml:space="preserve"> %</w:t>
            </w:r>
          </w:p>
        </w:tc>
        <w:tc>
          <w:tcPr>
            <w:tcW w:w="475" w:type="pct"/>
            <w:tcBorders>
              <w:top w:val="nil"/>
              <w:left w:val="nil"/>
              <w:bottom w:val="single" w:sz="4" w:space="0" w:color="auto"/>
              <w:right w:val="single" w:sz="4" w:space="0" w:color="auto"/>
            </w:tcBorders>
            <w:shd w:val="clear" w:color="auto" w:fill="auto"/>
            <w:noWrap/>
            <w:vAlign w:val="center"/>
            <w:hideMark/>
          </w:tcPr>
          <w:p w14:paraId="74C16592"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19,66</w:t>
            </w:r>
            <w:r>
              <w:rPr>
                <w:rFonts w:ascii="Arial" w:eastAsia="Times New Roman" w:hAnsi="Arial" w:cs="Arial"/>
                <w:color w:val="000000"/>
                <w:sz w:val="18"/>
                <w:szCs w:val="18"/>
                <w:lang w:eastAsia="sl-SI"/>
              </w:rPr>
              <w:t xml:space="preserve"> %</w:t>
            </w:r>
          </w:p>
        </w:tc>
        <w:tc>
          <w:tcPr>
            <w:tcW w:w="409" w:type="pct"/>
            <w:tcBorders>
              <w:top w:val="nil"/>
              <w:left w:val="nil"/>
              <w:bottom w:val="single" w:sz="4" w:space="0" w:color="auto"/>
              <w:right w:val="single" w:sz="4" w:space="0" w:color="auto"/>
            </w:tcBorders>
            <w:shd w:val="clear" w:color="auto" w:fill="auto"/>
            <w:noWrap/>
            <w:vAlign w:val="center"/>
            <w:hideMark/>
          </w:tcPr>
          <w:p w14:paraId="3A629923"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22,85</w:t>
            </w:r>
            <w:r>
              <w:rPr>
                <w:rFonts w:ascii="Arial" w:eastAsia="Times New Roman" w:hAnsi="Arial" w:cs="Arial"/>
                <w:color w:val="000000"/>
                <w:sz w:val="18"/>
                <w:szCs w:val="18"/>
                <w:lang w:eastAsia="sl-SI"/>
              </w:rPr>
              <w:t xml:space="preserve"> %</w:t>
            </w:r>
          </w:p>
        </w:tc>
        <w:tc>
          <w:tcPr>
            <w:tcW w:w="475" w:type="pct"/>
            <w:tcBorders>
              <w:top w:val="nil"/>
              <w:left w:val="nil"/>
              <w:bottom w:val="single" w:sz="4" w:space="0" w:color="auto"/>
              <w:right w:val="single" w:sz="4" w:space="0" w:color="auto"/>
            </w:tcBorders>
            <w:shd w:val="clear" w:color="auto" w:fill="auto"/>
            <w:noWrap/>
            <w:vAlign w:val="center"/>
            <w:hideMark/>
          </w:tcPr>
          <w:p w14:paraId="73999A5F"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5,16</w:t>
            </w:r>
            <w:r>
              <w:rPr>
                <w:rFonts w:ascii="Arial" w:eastAsia="Times New Roman" w:hAnsi="Arial" w:cs="Arial"/>
                <w:color w:val="000000"/>
                <w:sz w:val="18"/>
                <w:szCs w:val="18"/>
                <w:lang w:eastAsia="sl-SI"/>
              </w:rPr>
              <w:t xml:space="preserve"> %</w:t>
            </w:r>
          </w:p>
        </w:tc>
        <w:tc>
          <w:tcPr>
            <w:tcW w:w="518" w:type="pct"/>
            <w:tcBorders>
              <w:top w:val="nil"/>
              <w:left w:val="nil"/>
              <w:bottom w:val="single" w:sz="4" w:space="0" w:color="auto"/>
              <w:right w:val="single" w:sz="4" w:space="0" w:color="auto"/>
            </w:tcBorders>
            <w:shd w:val="clear" w:color="auto" w:fill="auto"/>
            <w:noWrap/>
            <w:vAlign w:val="center"/>
            <w:hideMark/>
          </w:tcPr>
          <w:p w14:paraId="66C4135D" w14:textId="77777777" w:rsidR="00E3750C" w:rsidRPr="00893E73" w:rsidRDefault="00E3750C" w:rsidP="00047864">
            <w:pPr>
              <w:spacing w:after="0" w:line="240" w:lineRule="auto"/>
              <w:jc w:val="right"/>
              <w:rPr>
                <w:rFonts w:ascii="Arial" w:eastAsia="Times New Roman" w:hAnsi="Arial" w:cs="Arial"/>
                <w:b/>
                <w:bCs/>
                <w:color w:val="000000"/>
                <w:sz w:val="18"/>
                <w:szCs w:val="18"/>
                <w:lang w:eastAsia="sl-SI"/>
              </w:rPr>
            </w:pPr>
            <w:r w:rsidRPr="00893E7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18" w:type="pct"/>
            <w:tcBorders>
              <w:top w:val="nil"/>
              <w:left w:val="nil"/>
              <w:bottom w:val="single" w:sz="4" w:space="0" w:color="auto"/>
              <w:right w:val="single" w:sz="4" w:space="0" w:color="auto"/>
            </w:tcBorders>
            <w:shd w:val="clear" w:color="auto" w:fill="auto"/>
            <w:noWrap/>
            <w:vAlign w:val="center"/>
            <w:hideMark/>
          </w:tcPr>
          <w:p w14:paraId="0B27C382" w14:textId="77777777" w:rsidR="00E3750C" w:rsidRPr="00893E73" w:rsidRDefault="00E3750C" w:rsidP="00047864">
            <w:pPr>
              <w:spacing w:after="0" w:line="240" w:lineRule="auto"/>
              <w:jc w:val="right"/>
              <w:rPr>
                <w:rFonts w:ascii="Arial" w:eastAsia="Times New Roman" w:hAnsi="Arial" w:cs="Arial"/>
                <w:b/>
                <w:bCs/>
                <w:color w:val="000000"/>
                <w:sz w:val="18"/>
                <w:szCs w:val="18"/>
                <w:lang w:eastAsia="sl-SI"/>
              </w:rPr>
            </w:pPr>
            <w:r w:rsidRPr="00893E7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E3750C" w:rsidRPr="00893E73" w14:paraId="152EAC6D" w14:textId="77777777" w:rsidTr="00047864">
        <w:trPr>
          <w:trHeight w:val="300"/>
        </w:trPr>
        <w:tc>
          <w:tcPr>
            <w:tcW w:w="44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1496F2" w14:textId="77777777" w:rsidR="00E3750C" w:rsidRPr="00893E73" w:rsidRDefault="00E3750C" w:rsidP="00047864">
            <w:pPr>
              <w:spacing w:after="0" w:line="240" w:lineRule="auto"/>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Storitve</w:t>
            </w:r>
          </w:p>
        </w:tc>
        <w:tc>
          <w:tcPr>
            <w:tcW w:w="507" w:type="pct"/>
            <w:tcBorders>
              <w:top w:val="nil"/>
              <w:left w:val="nil"/>
              <w:bottom w:val="single" w:sz="4" w:space="0" w:color="auto"/>
              <w:right w:val="single" w:sz="4" w:space="0" w:color="auto"/>
            </w:tcBorders>
            <w:shd w:val="clear" w:color="auto" w:fill="auto"/>
            <w:noWrap/>
            <w:vAlign w:val="center"/>
            <w:hideMark/>
          </w:tcPr>
          <w:p w14:paraId="62EFA1D2" w14:textId="77777777" w:rsidR="00E3750C" w:rsidRPr="00893E73" w:rsidRDefault="00E3750C" w:rsidP="00047864">
            <w:pPr>
              <w:spacing w:after="0" w:line="240" w:lineRule="auto"/>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Slovenija</w:t>
            </w:r>
          </w:p>
        </w:tc>
        <w:tc>
          <w:tcPr>
            <w:tcW w:w="388" w:type="pct"/>
            <w:tcBorders>
              <w:top w:val="nil"/>
              <w:left w:val="nil"/>
              <w:bottom w:val="single" w:sz="4" w:space="0" w:color="auto"/>
              <w:right w:val="single" w:sz="4" w:space="0" w:color="auto"/>
            </w:tcBorders>
            <w:shd w:val="clear" w:color="auto" w:fill="auto"/>
            <w:noWrap/>
            <w:vAlign w:val="center"/>
            <w:hideMark/>
          </w:tcPr>
          <w:p w14:paraId="1E1FE250"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565</w:t>
            </w:r>
          </w:p>
        </w:tc>
        <w:tc>
          <w:tcPr>
            <w:tcW w:w="798" w:type="pct"/>
            <w:tcBorders>
              <w:top w:val="nil"/>
              <w:left w:val="nil"/>
              <w:bottom w:val="single" w:sz="4" w:space="0" w:color="auto"/>
              <w:right w:val="single" w:sz="4" w:space="0" w:color="auto"/>
            </w:tcBorders>
            <w:shd w:val="clear" w:color="auto" w:fill="auto"/>
            <w:noWrap/>
            <w:vAlign w:val="center"/>
            <w:hideMark/>
          </w:tcPr>
          <w:p w14:paraId="4839D58D"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155.318.392</w:t>
            </w:r>
          </w:p>
        </w:tc>
        <w:tc>
          <w:tcPr>
            <w:tcW w:w="464" w:type="pct"/>
            <w:tcBorders>
              <w:top w:val="nil"/>
              <w:left w:val="nil"/>
              <w:bottom w:val="single" w:sz="4" w:space="0" w:color="auto"/>
              <w:right w:val="single" w:sz="4" w:space="0" w:color="auto"/>
            </w:tcBorders>
            <w:shd w:val="clear" w:color="auto" w:fill="auto"/>
            <w:noWrap/>
            <w:vAlign w:val="center"/>
            <w:hideMark/>
          </w:tcPr>
          <w:p w14:paraId="6DC26ECB"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10,95</w:t>
            </w:r>
            <w:r>
              <w:rPr>
                <w:rFonts w:ascii="Arial" w:eastAsia="Times New Roman" w:hAnsi="Arial" w:cs="Arial"/>
                <w:color w:val="000000"/>
                <w:sz w:val="18"/>
                <w:szCs w:val="18"/>
                <w:lang w:eastAsia="sl-SI"/>
              </w:rPr>
              <w:t xml:space="preserve"> %</w:t>
            </w:r>
          </w:p>
        </w:tc>
        <w:tc>
          <w:tcPr>
            <w:tcW w:w="475" w:type="pct"/>
            <w:tcBorders>
              <w:top w:val="nil"/>
              <w:left w:val="nil"/>
              <w:bottom w:val="single" w:sz="4" w:space="0" w:color="auto"/>
              <w:right w:val="single" w:sz="4" w:space="0" w:color="auto"/>
            </w:tcBorders>
            <w:shd w:val="clear" w:color="auto" w:fill="auto"/>
            <w:noWrap/>
            <w:vAlign w:val="center"/>
            <w:hideMark/>
          </w:tcPr>
          <w:p w14:paraId="57214327"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10,92</w:t>
            </w:r>
            <w:r>
              <w:rPr>
                <w:rFonts w:ascii="Arial" w:eastAsia="Times New Roman" w:hAnsi="Arial" w:cs="Arial"/>
                <w:color w:val="000000"/>
                <w:sz w:val="18"/>
                <w:szCs w:val="18"/>
                <w:lang w:eastAsia="sl-SI"/>
              </w:rPr>
              <w:t xml:space="preserve"> %</w:t>
            </w:r>
          </w:p>
        </w:tc>
        <w:tc>
          <w:tcPr>
            <w:tcW w:w="409" w:type="pct"/>
            <w:tcBorders>
              <w:top w:val="nil"/>
              <w:left w:val="nil"/>
              <w:bottom w:val="single" w:sz="4" w:space="0" w:color="auto"/>
              <w:right w:val="single" w:sz="4" w:space="0" w:color="auto"/>
            </w:tcBorders>
            <w:shd w:val="clear" w:color="auto" w:fill="auto"/>
            <w:noWrap/>
            <w:vAlign w:val="center"/>
            <w:hideMark/>
          </w:tcPr>
          <w:p w14:paraId="321A0E1A"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3,28</w:t>
            </w:r>
            <w:r>
              <w:rPr>
                <w:rFonts w:ascii="Arial" w:eastAsia="Times New Roman" w:hAnsi="Arial" w:cs="Arial"/>
                <w:color w:val="000000"/>
                <w:sz w:val="18"/>
                <w:szCs w:val="18"/>
                <w:lang w:eastAsia="sl-SI"/>
              </w:rPr>
              <w:t xml:space="preserve"> %</w:t>
            </w:r>
          </w:p>
        </w:tc>
        <w:tc>
          <w:tcPr>
            <w:tcW w:w="475" w:type="pct"/>
            <w:tcBorders>
              <w:top w:val="nil"/>
              <w:left w:val="nil"/>
              <w:bottom w:val="single" w:sz="4" w:space="0" w:color="auto"/>
              <w:right w:val="single" w:sz="4" w:space="0" w:color="auto"/>
            </w:tcBorders>
            <w:shd w:val="clear" w:color="auto" w:fill="auto"/>
            <w:noWrap/>
            <w:vAlign w:val="center"/>
            <w:hideMark/>
          </w:tcPr>
          <w:p w14:paraId="2C9BDA9B"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2,87</w:t>
            </w:r>
            <w:r>
              <w:rPr>
                <w:rFonts w:ascii="Arial" w:eastAsia="Times New Roman" w:hAnsi="Arial" w:cs="Arial"/>
                <w:color w:val="000000"/>
                <w:sz w:val="18"/>
                <w:szCs w:val="18"/>
                <w:lang w:eastAsia="sl-SI"/>
              </w:rPr>
              <w:t xml:space="preserve"> %</w:t>
            </w:r>
          </w:p>
        </w:tc>
        <w:tc>
          <w:tcPr>
            <w:tcW w:w="518" w:type="pct"/>
            <w:tcBorders>
              <w:top w:val="nil"/>
              <w:left w:val="nil"/>
              <w:bottom w:val="single" w:sz="4" w:space="0" w:color="auto"/>
              <w:right w:val="single" w:sz="4" w:space="0" w:color="auto"/>
            </w:tcBorders>
            <w:shd w:val="clear" w:color="auto" w:fill="auto"/>
            <w:noWrap/>
            <w:vAlign w:val="center"/>
            <w:hideMark/>
          </w:tcPr>
          <w:p w14:paraId="721E3A02"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99,30</w:t>
            </w:r>
            <w:r>
              <w:rPr>
                <w:rFonts w:ascii="Arial" w:eastAsia="Times New Roman" w:hAnsi="Arial" w:cs="Arial"/>
                <w:color w:val="000000"/>
                <w:sz w:val="18"/>
                <w:szCs w:val="18"/>
                <w:lang w:eastAsia="sl-SI"/>
              </w:rPr>
              <w:t xml:space="preserve"> %</w:t>
            </w:r>
          </w:p>
        </w:tc>
        <w:tc>
          <w:tcPr>
            <w:tcW w:w="518" w:type="pct"/>
            <w:tcBorders>
              <w:top w:val="nil"/>
              <w:left w:val="nil"/>
              <w:bottom w:val="single" w:sz="4" w:space="0" w:color="auto"/>
              <w:right w:val="single" w:sz="4" w:space="0" w:color="auto"/>
            </w:tcBorders>
            <w:shd w:val="clear" w:color="auto" w:fill="auto"/>
            <w:noWrap/>
            <w:vAlign w:val="center"/>
            <w:hideMark/>
          </w:tcPr>
          <w:p w14:paraId="0CA4466E"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99,50</w:t>
            </w:r>
            <w:r>
              <w:rPr>
                <w:rFonts w:ascii="Arial" w:eastAsia="Times New Roman" w:hAnsi="Arial" w:cs="Arial"/>
                <w:color w:val="000000"/>
                <w:sz w:val="18"/>
                <w:szCs w:val="18"/>
                <w:lang w:eastAsia="sl-SI"/>
              </w:rPr>
              <w:t xml:space="preserve"> %</w:t>
            </w:r>
          </w:p>
        </w:tc>
      </w:tr>
      <w:tr w:rsidR="00E3750C" w:rsidRPr="00893E73" w14:paraId="40096C11" w14:textId="77777777" w:rsidTr="00047864">
        <w:trPr>
          <w:trHeight w:val="300"/>
        </w:trPr>
        <w:tc>
          <w:tcPr>
            <w:tcW w:w="447" w:type="pct"/>
            <w:vMerge/>
            <w:tcBorders>
              <w:top w:val="nil"/>
              <w:left w:val="single" w:sz="4" w:space="0" w:color="auto"/>
              <w:bottom w:val="single" w:sz="4" w:space="0" w:color="auto"/>
              <w:right w:val="single" w:sz="4" w:space="0" w:color="auto"/>
            </w:tcBorders>
            <w:vAlign w:val="center"/>
            <w:hideMark/>
          </w:tcPr>
          <w:p w14:paraId="3A99897F" w14:textId="77777777" w:rsidR="00E3750C" w:rsidRPr="00893E73" w:rsidRDefault="00E3750C" w:rsidP="00047864">
            <w:pPr>
              <w:spacing w:after="0" w:line="240" w:lineRule="auto"/>
              <w:rPr>
                <w:rFonts w:ascii="Arial" w:eastAsia="Times New Roman" w:hAnsi="Arial" w:cs="Arial"/>
                <w:color w:val="000000"/>
                <w:sz w:val="18"/>
                <w:szCs w:val="18"/>
                <w:lang w:eastAsia="sl-SI"/>
              </w:rPr>
            </w:pPr>
          </w:p>
        </w:tc>
        <w:tc>
          <w:tcPr>
            <w:tcW w:w="507" w:type="pct"/>
            <w:tcBorders>
              <w:top w:val="nil"/>
              <w:left w:val="nil"/>
              <w:bottom w:val="single" w:sz="4" w:space="0" w:color="auto"/>
              <w:right w:val="single" w:sz="4" w:space="0" w:color="auto"/>
            </w:tcBorders>
            <w:shd w:val="clear" w:color="auto" w:fill="auto"/>
            <w:noWrap/>
            <w:vAlign w:val="center"/>
            <w:hideMark/>
          </w:tcPr>
          <w:p w14:paraId="2F3C93F2" w14:textId="77777777" w:rsidR="00E3750C" w:rsidRPr="00893E73" w:rsidRDefault="00E3750C" w:rsidP="00047864">
            <w:pPr>
              <w:spacing w:after="0" w:line="240" w:lineRule="auto"/>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EU</w:t>
            </w:r>
          </w:p>
        </w:tc>
        <w:tc>
          <w:tcPr>
            <w:tcW w:w="388" w:type="pct"/>
            <w:tcBorders>
              <w:top w:val="nil"/>
              <w:left w:val="nil"/>
              <w:bottom w:val="single" w:sz="4" w:space="0" w:color="auto"/>
              <w:right w:val="single" w:sz="4" w:space="0" w:color="auto"/>
            </w:tcBorders>
            <w:shd w:val="clear" w:color="auto" w:fill="auto"/>
            <w:noWrap/>
            <w:vAlign w:val="center"/>
            <w:hideMark/>
          </w:tcPr>
          <w:p w14:paraId="42047757"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4</w:t>
            </w:r>
          </w:p>
        </w:tc>
        <w:tc>
          <w:tcPr>
            <w:tcW w:w="798" w:type="pct"/>
            <w:tcBorders>
              <w:top w:val="nil"/>
              <w:left w:val="nil"/>
              <w:bottom w:val="single" w:sz="4" w:space="0" w:color="auto"/>
              <w:right w:val="single" w:sz="4" w:space="0" w:color="auto"/>
            </w:tcBorders>
            <w:shd w:val="clear" w:color="auto" w:fill="auto"/>
            <w:noWrap/>
            <w:vAlign w:val="center"/>
            <w:hideMark/>
          </w:tcPr>
          <w:p w14:paraId="406328EF"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779.583</w:t>
            </w:r>
          </w:p>
        </w:tc>
        <w:tc>
          <w:tcPr>
            <w:tcW w:w="464" w:type="pct"/>
            <w:tcBorders>
              <w:top w:val="nil"/>
              <w:left w:val="nil"/>
              <w:bottom w:val="single" w:sz="4" w:space="0" w:color="auto"/>
              <w:right w:val="single" w:sz="4" w:space="0" w:color="auto"/>
            </w:tcBorders>
            <w:shd w:val="clear" w:color="auto" w:fill="auto"/>
            <w:noWrap/>
            <w:vAlign w:val="center"/>
            <w:hideMark/>
          </w:tcPr>
          <w:p w14:paraId="37263AFB"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0,08</w:t>
            </w:r>
            <w:r>
              <w:rPr>
                <w:rFonts w:ascii="Arial" w:eastAsia="Times New Roman" w:hAnsi="Arial" w:cs="Arial"/>
                <w:color w:val="000000"/>
                <w:sz w:val="18"/>
                <w:szCs w:val="18"/>
                <w:lang w:eastAsia="sl-SI"/>
              </w:rPr>
              <w:t xml:space="preserve"> %</w:t>
            </w:r>
          </w:p>
        </w:tc>
        <w:tc>
          <w:tcPr>
            <w:tcW w:w="475" w:type="pct"/>
            <w:tcBorders>
              <w:top w:val="nil"/>
              <w:left w:val="nil"/>
              <w:bottom w:val="single" w:sz="4" w:space="0" w:color="auto"/>
              <w:right w:val="single" w:sz="4" w:space="0" w:color="auto"/>
            </w:tcBorders>
            <w:shd w:val="clear" w:color="auto" w:fill="auto"/>
            <w:noWrap/>
            <w:vAlign w:val="center"/>
            <w:hideMark/>
          </w:tcPr>
          <w:p w14:paraId="50B18713"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0,05</w:t>
            </w:r>
            <w:r>
              <w:rPr>
                <w:rFonts w:ascii="Arial" w:eastAsia="Times New Roman" w:hAnsi="Arial" w:cs="Arial"/>
                <w:color w:val="000000"/>
                <w:sz w:val="18"/>
                <w:szCs w:val="18"/>
                <w:lang w:eastAsia="sl-SI"/>
              </w:rPr>
              <w:t xml:space="preserve"> %</w:t>
            </w:r>
          </w:p>
        </w:tc>
        <w:tc>
          <w:tcPr>
            <w:tcW w:w="409" w:type="pct"/>
            <w:tcBorders>
              <w:top w:val="nil"/>
              <w:left w:val="nil"/>
              <w:bottom w:val="single" w:sz="4" w:space="0" w:color="auto"/>
              <w:right w:val="single" w:sz="4" w:space="0" w:color="auto"/>
            </w:tcBorders>
            <w:shd w:val="clear" w:color="auto" w:fill="auto"/>
            <w:noWrap/>
            <w:vAlign w:val="center"/>
            <w:hideMark/>
          </w:tcPr>
          <w:p w14:paraId="4597C037"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475" w:type="pct"/>
            <w:tcBorders>
              <w:top w:val="nil"/>
              <w:left w:val="nil"/>
              <w:bottom w:val="single" w:sz="4" w:space="0" w:color="auto"/>
              <w:right w:val="single" w:sz="4" w:space="0" w:color="auto"/>
            </w:tcBorders>
            <w:shd w:val="clear" w:color="auto" w:fill="auto"/>
            <w:noWrap/>
            <w:vAlign w:val="center"/>
            <w:hideMark/>
          </w:tcPr>
          <w:p w14:paraId="69B5CF6D"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518" w:type="pct"/>
            <w:tcBorders>
              <w:top w:val="nil"/>
              <w:left w:val="nil"/>
              <w:bottom w:val="single" w:sz="4" w:space="0" w:color="auto"/>
              <w:right w:val="single" w:sz="4" w:space="0" w:color="auto"/>
            </w:tcBorders>
            <w:shd w:val="clear" w:color="auto" w:fill="auto"/>
            <w:noWrap/>
            <w:vAlign w:val="center"/>
            <w:hideMark/>
          </w:tcPr>
          <w:p w14:paraId="7EE37371"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0,70</w:t>
            </w:r>
            <w:r>
              <w:rPr>
                <w:rFonts w:ascii="Arial" w:eastAsia="Times New Roman" w:hAnsi="Arial" w:cs="Arial"/>
                <w:color w:val="000000"/>
                <w:sz w:val="18"/>
                <w:szCs w:val="18"/>
                <w:lang w:eastAsia="sl-SI"/>
              </w:rPr>
              <w:t xml:space="preserve"> %</w:t>
            </w:r>
          </w:p>
        </w:tc>
        <w:tc>
          <w:tcPr>
            <w:tcW w:w="518" w:type="pct"/>
            <w:tcBorders>
              <w:top w:val="nil"/>
              <w:left w:val="nil"/>
              <w:bottom w:val="single" w:sz="4" w:space="0" w:color="auto"/>
              <w:right w:val="single" w:sz="4" w:space="0" w:color="auto"/>
            </w:tcBorders>
            <w:shd w:val="clear" w:color="auto" w:fill="auto"/>
            <w:noWrap/>
            <w:vAlign w:val="center"/>
            <w:hideMark/>
          </w:tcPr>
          <w:p w14:paraId="76D0B700"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0,50</w:t>
            </w:r>
            <w:r>
              <w:rPr>
                <w:rFonts w:ascii="Arial" w:eastAsia="Times New Roman" w:hAnsi="Arial" w:cs="Arial"/>
                <w:color w:val="000000"/>
                <w:sz w:val="18"/>
                <w:szCs w:val="18"/>
                <w:lang w:eastAsia="sl-SI"/>
              </w:rPr>
              <w:t xml:space="preserve"> %</w:t>
            </w:r>
          </w:p>
        </w:tc>
      </w:tr>
      <w:tr w:rsidR="00E3750C" w:rsidRPr="00893E73" w14:paraId="1FD1ECC9" w14:textId="77777777" w:rsidTr="00047864">
        <w:trPr>
          <w:trHeight w:val="300"/>
        </w:trPr>
        <w:tc>
          <w:tcPr>
            <w:tcW w:w="447" w:type="pct"/>
            <w:vMerge/>
            <w:tcBorders>
              <w:top w:val="nil"/>
              <w:left w:val="single" w:sz="4" w:space="0" w:color="auto"/>
              <w:bottom w:val="single" w:sz="4" w:space="0" w:color="auto"/>
              <w:right w:val="single" w:sz="4" w:space="0" w:color="auto"/>
            </w:tcBorders>
            <w:vAlign w:val="center"/>
            <w:hideMark/>
          </w:tcPr>
          <w:p w14:paraId="4483A5C3" w14:textId="77777777" w:rsidR="00E3750C" w:rsidRPr="00893E73" w:rsidRDefault="00E3750C" w:rsidP="00047864">
            <w:pPr>
              <w:spacing w:after="0" w:line="240" w:lineRule="auto"/>
              <w:rPr>
                <w:rFonts w:ascii="Arial" w:eastAsia="Times New Roman" w:hAnsi="Arial" w:cs="Arial"/>
                <w:color w:val="000000"/>
                <w:sz w:val="18"/>
                <w:szCs w:val="18"/>
                <w:lang w:eastAsia="sl-SI"/>
              </w:rPr>
            </w:pPr>
          </w:p>
        </w:tc>
        <w:tc>
          <w:tcPr>
            <w:tcW w:w="507" w:type="pct"/>
            <w:tcBorders>
              <w:top w:val="nil"/>
              <w:left w:val="nil"/>
              <w:bottom w:val="single" w:sz="4" w:space="0" w:color="auto"/>
              <w:right w:val="single" w:sz="4" w:space="0" w:color="auto"/>
            </w:tcBorders>
            <w:shd w:val="clear" w:color="auto" w:fill="auto"/>
            <w:noWrap/>
            <w:vAlign w:val="center"/>
            <w:hideMark/>
          </w:tcPr>
          <w:p w14:paraId="097AFEAA" w14:textId="77777777" w:rsidR="00E3750C" w:rsidRPr="00893E73" w:rsidRDefault="00E3750C" w:rsidP="00047864">
            <w:pPr>
              <w:spacing w:after="0" w:line="240" w:lineRule="auto"/>
              <w:rPr>
                <w:rFonts w:ascii="Arial" w:eastAsia="Times New Roman" w:hAnsi="Arial" w:cs="Arial"/>
                <w:b/>
                <w:bCs/>
                <w:color w:val="000000"/>
                <w:sz w:val="18"/>
                <w:szCs w:val="18"/>
                <w:lang w:eastAsia="sl-SI"/>
              </w:rPr>
            </w:pPr>
            <w:r w:rsidRPr="00893E73">
              <w:rPr>
                <w:rFonts w:ascii="Arial" w:eastAsia="Times New Roman" w:hAnsi="Arial" w:cs="Arial"/>
                <w:b/>
                <w:bCs/>
                <w:color w:val="000000"/>
                <w:sz w:val="18"/>
                <w:szCs w:val="18"/>
                <w:lang w:eastAsia="sl-SI"/>
              </w:rPr>
              <w:t>Skupaj</w:t>
            </w:r>
          </w:p>
        </w:tc>
        <w:tc>
          <w:tcPr>
            <w:tcW w:w="388" w:type="pct"/>
            <w:tcBorders>
              <w:top w:val="nil"/>
              <w:left w:val="nil"/>
              <w:bottom w:val="single" w:sz="4" w:space="0" w:color="auto"/>
              <w:right w:val="single" w:sz="4" w:space="0" w:color="auto"/>
            </w:tcBorders>
            <w:shd w:val="clear" w:color="auto" w:fill="auto"/>
            <w:noWrap/>
            <w:vAlign w:val="center"/>
            <w:hideMark/>
          </w:tcPr>
          <w:p w14:paraId="4E88648C" w14:textId="77777777" w:rsidR="00E3750C" w:rsidRPr="00893E73" w:rsidRDefault="00E3750C" w:rsidP="00047864">
            <w:pPr>
              <w:spacing w:after="0" w:line="240" w:lineRule="auto"/>
              <w:jc w:val="right"/>
              <w:rPr>
                <w:rFonts w:ascii="Arial" w:eastAsia="Times New Roman" w:hAnsi="Arial" w:cs="Arial"/>
                <w:b/>
                <w:bCs/>
                <w:color w:val="000000"/>
                <w:sz w:val="18"/>
                <w:szCs w:val="18"/>
                <w:lang w:eastAsia="sl-SI"/>
              </w:rPr>
            </w:pPr>
            <w:r w:rsidRPr="00893E73">
              <w:rPr>
                <w:rFonts w:ascii="Arial" w:eastAsia="Times New Roman" w:hAnsi="Arial" w:cs="Arial"/>
                <w:b/>
                <w:bCs/>
                <w:color w:val="000000"/>
                <w:sz w:val="18"/>
                <w:szCs w:val="18"/>
                <w:lang w:eastAsia="sl-SI"/>
              </w:rPr>
              <w:t>569</w:t>
            </w:r>
          </w:p>
        </w:tc>
        <w:tc>
          <w:tcPr>
            <w:tcW w:w="798" w:type="pct"/>
            <w:tcBorders>
              <w:top w:val="nil"/>
              <w:left w:val="nil"/>
              <w:bottom w:val="single" w:sz="4" w:space="0" w:color="auto"/>
              <w:right w:val="single" w:sz="4" w:space="0" w:color="auto"/>
            </w:tcBorders>
            <w:shd w:val="clear" w:color="auto" w:fill="auto"/>
            <w:noWrap/>
            <w:vAlign w:val="center"/>
            <w:hideMark/>
          </w:tcPr>
          <w:p w14:paraId="61862FD1" w14:textId="77777777" w:rsidR="00E3750C" w:rsidRPr="00893E73" w:rsidRDefault="00E3750C" w:rsidP="00047864">
            <w:pPr>
              <w:spacing w:after="0" w:line="240" w:lineRule="auto"/>
              <w:jc w:val="right"/>
              <w:rPr>
                <w:rFonts w:ascii="Arial" w:eastAsia="Times New Roman" w:hAnsi="Arial" w:cs="Arial"/>
                <w:b/>
                <w:bCs/>
                <w:color w:val="000000"/>
                <w:sz w:val="18"/>
                <w:szCs w:val="18"/>
                <w:lang w:eastAsia="sl-SI"/>
              </w:rPr>
            </w:pPr>
            <w:r w:rsidRPr="00893E73">
              <w:rPr>
                <w:rFonts w:ascii="Arial" w:eastAsia="Times New Roman" w:hAnsi="Arial" w:cs="Arial"/>
                <w:b/>
                <w:bCs/>
                <w:color w:val="000000"/>
                <w:sz w:val="18"/>
                <w:szCs w:val="18"/>
                <w:lang w:eastAsia="sl-SI"/>
              </w:rPr>
              <w:t>156.097.975</w:t>
            </w:r>
          </w:p>
        </w:tc>
        <w:tc>
          <w:tcPr>
            <w:tcW w:w="464" w:type="pct"/>
            <w:tcBorders>
              <w:top w:val="nil"/>
              <w:left w:val="nil"/>
              <w:bottom w:val="single" w:sz="4" w:space="0" w:color="auto"/>
              <w:right w:val="single" w:sz="4" w:space="0" w:color="auto"/>
            </w:tcBorders>
            <w:shd w:val="clear" w:color="auto" w:fill="auto"/>
            <w:noWrap/>
            <w:vAlign w:val="center"/>
            <w:hideMark/>
          </w:tcPr>
          <w:p w14:paraId="73E54069"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11,02</w:t>
            </w:r>
            <w:r>
              <w:rPr>
                <w:rFonts w:ascii="Arial" w:eastAsia="Times New Roman" w:hAnsi="Arial" w:cs="Arial"/>
                <w:color w:val="000000"/>
                <w:sz w:val="18"/>
                <w:szCs w:val="18"/>
                <w:lang w:eastAsia="sl-SI"/>
              </w:rPr>
              <w:t xml:space="preserve"> %</w:t>
            </w:r>
          </w:p>
        </w:tc>
        <w:tc>
          <w:tcPr>
            <w:tcW w:w="475" w:type="pct"/>
            <w:tcBorders>
              <w:top w:val="nil"/>
              <w:left w:val="nil"/>
              <w:bottom w:val="single" w:sz="4" w:space="0" w:color="auto"/>
              <w:right w:val="single" w:sz="4" w:space="0" w:color="auto"/>
            </w:tcBorders>
            <w:shd w:val="clear" w:color="auto" w:fill="auto"/>
            <w:noWrap/>
            <w:vAlign w:val="center"/>
            <w:hideMark/>
          </w:tcPr>
          <w:p w14:paraId="3CE4F408"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10,97</w:t>
            </w:r>
            <w:r>
              <w:rPr>
                <w:rFonts w:ascii="Arial" w:eastAsia="Times New Roman" w:hAnsi="Arial" w:cs="Arial"/>
                <w:color w:val="000000"/>
                <w:sz w:val="18"/>
                <w:szCs w:val="18"/>
                <w:lang w:eastAsia="sl-SI"/>
              </w:rPr>
              <w:t xml:space="preserve"> %</w:t>
            </w:r>
          </w:p>
        </w:tc>
        <w:tc>
          <w:tcPr>
            <w:tcW w:w="409" w:type="pct"/>
            <w:tcBorders>
              <w:top w:val="nil"/>
              <w:left w:val="nil"/>
              <w:bottom w:val="single" w:sz="4" w:space="0" w:color="auto"/>
              <w:right w:val="single" w:sz="4" w:space="0" w:color="auto"/>
            </w:tcBorders>
            <w:shd w:val="clear" w:color="auto" w:fill="auto"/>
            <w:noWrap/>
            <w:vAlign w:val="center"/>
            <w:hideMark/>
          </w:tcPr>
          <w:p w14:paraId="3672A25C"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3,30</w:t>
            </w:r>
            <w:r>
              <w:rPr>
                <w:rFonts w:ascii="Arial" w:eastAsia="Times New Roman" w:hAnsi="Arial" w:cs="Arial"/>
                <w:color w:val="000000"/>
                <w:sz w:val="18"/>
                <w:szCs w:val="18"/>
                <w:lang w:eastAsia="sl-SI"/>
              </w:rPr>
              <w:t xml:space="preserve"> %</w:t>
            </w:r>
          </w:p>
        </w:tc>
        <w:tc>
          <w:tcPr>
            <w:tcW w:w="475" w:type="pct"/>
            <w:tcBorders>
              <w:top w:val="nil"/>
              <w:left w:val="nil"/>
              <w:bottom w:val="single" w:sz="4" w:space="0" w:color="auto"/>
              <w:right w:val="single" w:sz="4" w:space="0" w:color="auto"/>
            </w:tcBorders>
            <w:shd w:val="clear" w:color="auto" w:fill="auto"/>
            <w:noWrap/>
            <w:vAlign w:val="center"/>
            <w:hideMark/>
          </w:tcPr>
          <w:p w14:paraId="66CB79E3"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2,88</w:t>
            </w:r>
            <w:r>
              <w:rPr>
                <w:rFonts w:ascii="Arial" w:eastAsia="Times New Roman" w:hAnsi="Arial" w:cs="Arial"/>
                <w:color w:val="000000"/>
                <w:sz w:val="18"/>
                <w:szCs w:val="18"/>
                <w:lang w:eastAsia="sl-SI"/>
              </w:rPr>
              <w:t xml:space="preserve"> %</w:t>
            </w:r>
          </w:p>
        </w:tc>
        <w:tc>
          <w:tcPr>
            <w:tcW w:w="518" w:type="pct"/>
            <w:tcBorders>
              <w:top w:val="nil"/>
              <w:left w:val="nil"/>
              <w:bottom w:val="single" w:sz="4" w:space="0" w:color="auto"/>
              <w:right w:val="single" w:sz="4" w:space="0" w:color="auto"/>
            </w:tcBorders>
            <w:shd w:val="clear" w:color="auto" w:fill="auto"/>
            <w:noWrap/>
            <w:vAlign w:val="center"/>
            <w:hideMark/>
          </w:tcPr>
          <w:p w14:paraId="270FEAD5" w14:textId="77777777" w:rsidR="00E3750C" w:rsidRPr="00893E73" w:rsidRDefault="00E3750C" w:rsidP="00047864">
            <w:pPr>
              <w:spacing w:after="0" w:line="240" w:lineRule="auto"/>
              <w:jc w:val="right"/>
              <w:rPr>
                <w:rFonts w:ascii="Arial" w:eastAsia="Times New Roman" w:hAnsi="Arial" w:cs="Arial"/>
                <w:b/>
                <w:bCs/>
                <w:color w:val="000000"/>
                <w:sz w:val="18"/>
                <w:szCs w:val="18"/>
                <w:lang w:eastAsia="sl-SI"/>
              </w:rPr>
            </w:pPr>
            <w:r w:rsidRPr="00893E7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18" w:type="pct"/>
            <w:tcBorders>
              <w:top w:val="nil"/>
              <w:left w:val="nil"/>
              <w:bottom w:val="single" w:sz="4" w:space="0" w:color="auto"/>
              <w:right w:val="single" w:sz="4" w:space="0" w:color="auto"/>
            </w:tcBorders>
            <w:shd w:val="clear" w:color="auto" w:fill="auto"/>
            <w:noWrap/>
            <w:vAlign w:val="center"/>
            <w:hideMark/>
          </w:tcPr>
          <w:p w14:paraId="28B0C067" w14:textId="77777777" w:rsidR="00E3750C" w:rsidRPr="00893E73" w:rsidRDefault="00E3750C" w:rsidP="00047864">
            <w:pPr>
              <w:spacing w:after="0" w:line="240" w:lineRule="auto"/>
              <w:jc w:val="right"/>
              <w:rPr>
                <w:rFonts w:ascii="Arial" w:eastAsia="Times New Roman" w:hAnsi="Arial" w:cs="Arial"/>
                <w:b/>
                <w:bCs/>
                <w:color w:val="000000"/>
                <w:sz w:val="18"/>
                <w:szCs w:val="18"/>
                <w:lang w:eastAsia="sl-SI"/>
              </w:rPr>
            </w:pPr>
            <w:r w:rsidRPr="00893E7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E3750C" w:rsidRPr="00893E73" w14:paraId="71F23B53" w14:textId="77777777" w:rsidTr="00047864">
        <w:trPr>
          <w:trHeight w:val="300"/>
        </w:trPr>
        <w:tc>
          <w:tcPr>
            <w:tcW w:w="447" w:type="pct"/>
            <w:tcBorders>
              <w:top w:val="nil"/>
              <w:left w:val="single" w:sz="4" w:space="0" w:color="auto"/>
              <w:bottom w:val="single" w:sz="4" w:space="0" w:color="auto"/>
              <w:right w:val="single" w:sz="4" w:space="0" w:color="auto"/>
            </w:tcBorders>
            <w:shd w:val="clear" w:color="auto" w:fill="auto"/>
            <w:noWrap/>
            <w:vAlign w:val="center"/>
            <w:hideMark/>
          </w:tcPr>
          <w:p w14:paraId="5375ABCB" w14:textId="77777777" w:rsidR="00E3750C" w:rsidRPr="00893E73" w:rsidRDefault="00E3750C" w:rsidP="00047864">
            <w:pPr>
              <w:spacing w:after="0" w:line="240" w:lineRule="auto"/>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Gradnje</w:t>
            </w:r>
          </w:p>
        </w:tc>
        <w:tc>
          <w:tcPr>
            <w:tcW w:w="507" w:type="pct"/>
            <w:tcBorders>
              <w:top w:val="nil"/>
              <w:left w:val="nil"/>
              <w:bottom w:val="single" w:sz="4" w:space="0" w:color="auto"/>
              <w:right w:val="single" w:sz="4" w:space="0" w:color="auto"/>
            </w:tcBorders>
            <w:shd w:val="clear" w:color="auto" w:fill="auto"/>
            <w:noWrap/>
            <w:vAlign w:val="center"/>
            <w:hideMark/>
          </w:tcPr>
          <w:p w14:paraId="644C5D3E" w14:textId="77777777" w:rsidR="00E3750C" w:rsidRPr="00893E73" w:rsidRDefault="00E3750C" w:rsidP="00047864">
            <w:pPr>
              <w:spacing w:after="0" w:line="240" w:lineRule="auto"/>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Slovenija</w:t>
            </w:r>
          </w:p>
        </w:tc>
        <w:tc>
          <w:tcPr>
            <w:tcW w:w="388" w:type="pct"/>
            <w:tcBorders>
              <w:top w:val="nil"/>
              <w:left w:val="nil"/>
              <w:bottom w:val="single" w:sz="4" w:space="0" w:color="auto"/>
              <w:right w:val="single" w:sz="4" w:space="0" w:color="auto"/>
            </w:tcBorders>
            <w:shd w:val="clear" w:color="auto" w:fill="auto"/>
            <w:noWrap/>
            <w:vAlign w:val="center"/>
            <w:hideMark/>
          </w:tcPr>
          <w:p w14:paraId="60A1ECD6" w14:textId="77777777" w:rsidR="00E3750C" w:rsidRPr="00893E73" w:rsidRDefault="00E3750C" w:rsidP="00047864">
            <w:pPr>
              <w:spacing w:after="0" w:line="240" w:lineRule="auto"/>
              <w:jc w:val="right"/>
              <w:rPr>
                <w:rFonts w:ascii="Arial" w:eastAsia="Times New Roman" w:hAnsi="Arial" w:cs="Arial"/>
                <w:b/>
                <w:bCs/>
                <w:color w:val="000000"/>
                <w:sz w:val="18"/>
                <w:szCs w:val="18"/>
                <w:lang w:eastAsia="sl-SI"/>
              </w:rPr>
            </w:pPr>
            <w:r w:rsidRPr="00893E73">
              <w:rPr>
                <w:rFonts w:ascii="Arial" w:eastAsia="Times New Roman" w:hAnsi="Arial" w:cs="Arial"/>
                <w:b/>
                <w:bCs/>
                <w:color w:val="000000"/>
                <w:sz w:val="18"/>
                <w:szCs w:val="18"/>
                <w:lang w:eastAsia="sl-SI"/>
              </w:rPr>
              <w:t>657</w:t>
            </w:r>
          </w:p>
        </w:tc>
        <w:tc>
          <w:tcPr>
            <w:tcW w:w="798" w:type="pct"/>
            <w:tcBorders>
              <w:top w:val="nil"/>
              <w:left w:val="nil"/>
              <w:bottom w:val="single" w:sz="4" w:space="0" w:color="auto"/>
              <w:right w:val="single" w:sz="4" w:space="0" w:color="auto"/>
            </w:tcBorders>
            <w:shd w:val="clear" w:color="auto" w:fill="auto"/>
            <w:noWrap/>
            <w:vAlign w:val="center"/>
            <w:hideMark/>
          </w:tcPr>
          <w:p w14:paraId="3F07BB5D" w14:textId="77777777" w:rsidR="00E3750C" w:rsidRPr="00893E73" w:rsidRDefault="00E3750C" w:rsidP="00047864">
            <w:pPr>
              <w:spacing w:after="0" w:line="240" w:lineRule="auto"/>
              <w:jc w:val="right"/>
              <w:rPr>
                <w:rFonts w:ascii="Arial" w:eastAsia="Times New Roman" w:hAnsi="Arial" w:cs="Arial"/>
                <w:b/>
                <w:bCs/>
                <w:color w:val="000000"/>
                <w:sz w:val="18"/>
                <w:szCs w:val="18"/>
                <w:lang w:eastAsia="sl-SI"/>
              </w:rPr>
            </w:pPr>
            <w:r w:rsidRPr="00893E73">
              <w:rPr>
                <w:rFonts w:ascii="Arial" w:eastAsia="Times New Roman" w:hAnsi="Arial" w:cs="Arial"/>
                <w:b/>
                <w:bCs/>
                <w:color w:val="000000"/>
                <w:sz w:val="18"/>
                <w:szCs w:val="18"/>
                <w:lang w:eastAsia="sl-SI"/>
              </w:rPr>
              <w:t>986.996.598</w:t>
            </w:r>
          </w:p>
        </w:tc>
        <w:tc>
          <w:tcPr>
            <w:tcW w:w="464" w:type="pct"/>
            <w:tcBorders>
              <w:top w:val="nil"/>
              <w:left w:val="nil"/>
              <w:bottom w:val="single" w:sz="4" w:space="0" w:color="auto"/>
              <w:right w:val="single" w:sz="4" w:space="0" w:color="auto"/>
            </w:tcBorders>
            <w:shd w:val="clear" w:color="auto" w:fill="auto"/>
            <w:noWrap/>
            <w:vAlign w:val="center"/>
            <w:hideMark/>
          </w:tcPr>
          <w:p w14:paraId="26ABAEA9"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12,73</w:t>
            </w:r>
            <w:r>
              <w:rPr>
                <w:rFonts w:ascii="Arial" w:eastAsia="Times New Roman" w:hAnsi="Arial" w:cs="Arial"/>
                <w:color w:val="000000"/>
                <w:sz w:val="18"/>
                <w:szCs w:val="18"/>
                <w:lang w:eastAsia="sl-SI"/>
              </w:rPr>
              <w:t xml:space="preserve"> %</w:t>
            </w:r>
          </w:p>
        </w:tc>
        <w:tc>
          <w:tcPr>
            <w:tcW w:w="475" w:type="pct"/>
            <w:tcBorders>
              <w:top w:val="nil"/>
              <w:left w:val="nil"/>
              <w:bottom w:val="single" w:sz="4" w:space="0" w:color="auto"/>
              <w:right w:val="single" w:sz="4" w:space="0" w:color="auto"/>
            </w:tcBorders>
            <w:shd w:val="clear" w:color="auto" w:fill="auto"/>
            <w:noWrap/>
            <w:vAlign w:val="center"/>
            <w:hideMark/>
          </w:tcPr>
          <w:p w14:paraId="23585500"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69,37</w:t>
            </w:r>
            <w:r>
              <w:rPr>
                <w:rFonts w:ascii="Arial" w:eastAsia="Times New Roman" w:hAnsi="Arial" w:cs="Arial"/>
                <w:color w:val="000000"/>
                <w:sz w:val="18"/>
                <w:szCs w:val="18"/>
                <w:lang w:eastAsia="sl-SI"/>
              </w:rPr>
              <w:t xml:space="preserve"> %</w:t>
            </w:r>
          </w:p>
        </w:tc>
        <w:tc>
          <w:tcPr>
            <w:tcW w:w="409" w:type="pct"/>
            <w:tcBorders>
              <w:top w:val="nil"/>
              <w:left w:val="nil"/>
              <w:bottom w:val="single" w:sz="4" w:space="0" w:color="auto"/>
              <w:right w:val="single" w:sz="4" w:space="0" w:color="auto"/>
            </w:tcBorders>
            <w:shd w:val="clear" w:color="auto" w:fill="auto"/>
            <w:noWrap/>
            <w:vAlign w:val="center"/>
            <w:hideMark/>
          </w:tcPr>
          <w:p w14:paraId="0EC19F0B"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3,81</w:t>
            </w:r>
            <w:r>
              <w:rPr>
                <w:rFonts w:ascii="Arial" w:eastAsia="Times New Roman" w:hAnsi="Arial" w:cs="Arial"/>
                <w:color w:val="000000"/>
                <w:sz w:val="18"/>
                <w:szCs w:val="18"/>
                <w:lang w:eastAsia="sl-SI"/>
              </w:rPr>
              <w:t xml:space="preserve"> %</w:t>
            </w:r>
          </w:p>
        </w:tc>
        <w:tc>
          <w:tcPr>
            <w:tcW w:w="475" w:type="pct"/>
            <w:tcBorders>
              <w:top w:val="nil"/>
              <w:left w:val="nil"/>
              <w:bottom w:val="single" w:sz="4" w:space="0" w:color="auto"/>
              <w:right w:val="single" w:sz="4" w:space="0" w:color="auto"/>
            </w:tcBorders>
            <w:shd w:val="clear" w:color="auto" w:fill="auto"/>
            <w:noWrap/>
            <w:vAlign w:val="center"/>
            <w:hideMark/>
          </w:tcPr>
          <w:p w14:paraId="34FF2BC2" w14:textId="77777777" w:rsidR="00E3750C" w:rsidRPr="00893E73" w:rsidRDefault="00E3750C" w:rsidP="00047864">
            <w:pPr>
              <w:spacing w:after="0" w:line="240" w:lineRule="auto"/>
              <w:jc w:val="right"/>
              <w:rPr>
                <w:rFonts w:ascii="Arial" w:eastAsia="Times New Roman" w:hAnsi="Arial" w:cs="Arial"/>
                <w:color w:val="000000"/>
                <w:sz w:val="18"/>
                <w:szCs w:val="18"/>
                <w:lang w:eastAsia="sl-SI"/>
              </w:rPr>
            </w:pPr>
            <w:r w:rsidRPr="00893E73">
              <w:rPr>
                <w:rFonts w:ascii="Arial" w:eastAsia="Times New Roman" w:hAnsi="Arial" w:cs="Arial"/>
                <w:color w:val="000000"/>
                <w:sz w:val="18"/>
                <w:szCs w:val="18"/>
                <w:lang w:eastAsia="sl-SI"/>
              </w:rPr>
              <w:t>18,22</w:t>
            </w:r>
            <w:r>
              <w:rPr>
                <w:rFonts w:ascii="Arial" w:eastAsia="Times New Roman" w:hAnsi="Arial" w:cs="Arial"/>
                <w:color w:val="000000"/>
                <w:sz w:val="18"/>
                <w:szCs w:val="18"/>
                <w:lang w:eastAsia="sl-SI"/>
              </w:rPr>
              <w:t xml:space="preserve"> %</w:t>
            </w:r>
          </w:p>
        </w:tc>
        <w:tc>
          <w:tcPr>
            <w:tcW w:w="518" w:type="pct"/>
            <w:tcBorders>
              <w:top w:val="nil"/>
              <w:left w:val="nil"/>
              <w:bottom w:val="single" w:sz="4" w:space="0" w:color="auto"/>
              <w:right w:val="single" w:sz="4" w:space="0" w:color="auto"/>
            </w:tcBorders>
            <w:shd w:val="clear" w:color="auto" w:fill="auto"/>
            <w:noWrap/>
            <w:vAlign w:val="center"/>
            <w:hideMark/>
          </w:tcPr>
          <w:p w14:paraId="3C3E853F" w14:textId="77777777" w:rsidR="00E3750C" w:rsidRPr="00893E73" w:rsidRDefault="00E3750C" w:rsidP="00047864">
            <w:pPr>
              <w:spacing w:after="0" w:line="240" w:lineRule="auto"/>
              <w:jc w:val="right"/>
              <w:rPr>
                <w:rFonts w:ascii="Arial" w:eastAsia="Times New Roman" w:hAnsi="Arial" w:cs="Arial"/>
                <w:b/>
                <w:bCs/>
                <w:color w:val="000000"/>
                <w:sz w:val="18"/>
                <w:szCs w:val="18"/>
                <w:lang w:eastAsia="sl-SI"/>
              </w:rPr>
            </w:pPr>
            <w:r w:rsidRPr="00893E7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18" w:type="pct"/>
            <w:tcBorders>
              <w:top w:val="nil"/>
              <w:left w:val="nil"/>
              <w:bottom w:val="single" w:sz="4" w:space="0" w:color="auto"/>
              <w:right w:val="single" w:sz="4" w:space="0" w:color="auto"/>
            </w:tcBorders>
            <w:shd w:val="clear" w:color="auto" w:fill="auto"/>
            <w:noWrap/>
            <w:vAlign w:val="center"/>
            <w:hideMark/>
          </w:tcPr>
          <w:p w14:paraId="458A9E93" w14:textId="77777777" w:rsidR="00E3750C" w:rsidRPr="00893E73" w:rsidRDefault="00E3750C" w:rsidP="00047864">
            <w:pPr>
              <w:spacing w:after="0" w:line="240" w:lineRule="auto"/>
              <w:jc w:val="right"/>
              <w:rPr>
                <w:rFonts w:ascii="Arial" w:eastAsia="Times New Roman" w:hAnsi="Arial" w:cs="Arial"/>
                <w:b/>
                <w:bCs/>
                <w:color w:val="000000"/>
                <w:sz w:val="18"/>
                <w:szCs w:val="18"/>
                <w:lang w:eastAsia="sl-SI"/>
              </w:rPr>
            </w:pPr>
            <w:r w:rsidRPr="00893E7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E3750C" w:rsidRPr="00893E73" w14:paraId="727A8BC4" w14:textId="77777777" w:rsidTr="00047864">
        <w:trPr>
          <w:gridAfter w:val="2"/>
          <w:wAfter w:w="1037" w:type="pct"/>
          <w:trHeight w:val="300"/>
        </w:trPr>
        <w:tc>
          <w:tcPr>
            <w:tcW w:w="95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4DADBC1" w14:textId="77777777" w:rsidR="00E3750C" w:rsidRPr="00893E73" w:rsidRDefault="00E3750C" w:rsidP="00047864">
            <w:pPr>
              <w:spacing w:after="0" w:line="240" w:lineRule="auto"/>
              <w:rPr>
                <w:rFonts w:ascii="Arial" w:eastAsia="Times New Roman" w:hAnsi="Arial" w:cs="Arial"/>
                <w:b/>
                <w:bCs/>
                <w:color w:val="000000"/>
                <w:sz w:val="18"/>
                <w:szCs w:val="18"/>
                <w:lang w:eastAsia="sl-SI"/>
              </w:rPr>
            </w:pPr>
            <w:r w:rsidRPr="00893E73">
              <w:rPr>
                <w:rFonts w:ascii="Arial" w:eastAsia="Times New Roman" w:hAnsi="Arial" w:cs="Arial"/>
                <w:b/>
                <w:bCs/>
                <w:color w:val="000000"/>
                <w:sz w:val="18"/>
                <w:szCs w:val="18"/>
                <w:lang w:eastAsia="sl-SI"/>
              </w:rPr>
              <w:t>Skupaj</w:t>
            </w:r>
          </w:p>
        </w:tc>
        <w:tc>
          <w:tcPr>
            <w:tcW w:w="388" w:type="pct"/>
            <w:tcBorders>
              <w:top w:val="nil"/>
              <w:left w:val="nil"/>
              <w:bottom w:val="single" w:sz="4" w:space="0" w:color="auto"/>
              <w:right w:val="single" w:sz="4" w:space="0" w:color="auto"/>
            </w:tcBorders>
            <w:shd w:val="clear" w:color="auto" w:fill="F2F2F2" w:themeFill="background1" w:themeFillShade="F2"/>
            <w:noWrap/>
            <w:vAlign w:val="center"/>
            <w:hideMark/>
          </w:tcPr>
          <w:p w14:paraId="0B2D7E04" w14:textId="77777777" w:rsidR="00E3750C" w:rsidRPr="00893E73" w:rsidRDefault="00E3750C" w:rsidP="00047864">
            <w:pPr>
              <w:spacing w:after="0" w:line="240" w:lineRule="auto"/>
              <w:jc w:val="right"/>
              <w:rPr>
                <w:rFonts w:ascii="Arial" w:eastAsia="Times New Roman" w:hAnsi="Arial" w:cs="Arial"/>
                <w:b/>
                <w:bCs/>
                <w:color w:val="000000"/>
                <w:sz w:val="18"/>
                <w:szCs w:val="18"/>
                <w:lang w:eastAsia="sl-SI"/>
              </w:rPr>
            </w:pPr>
            <w:r w:rsidRPr="00893E73">
              <w:rPr>
                <w:rFonts w:ascii="Arial" w:eastAsia="Times New Roman" w:hAnsi="Arial" w:cs="Arial"/>
                <w:b/>
                <w:bCs/>
                <w:color w:val="000000"/>
                <w:sz w:val="18"/>
                <w:szCs w:val="18"/>
                <w:lang w:eastAsia="sl-SI"/>
              </w:rPr>
              <w:t>5.162</w:t>
            </w:r>
          </w:p>
        </w:tc>
        <w:tc>
          <w:tcPr>
            <w:tcW w:w="798" w:type="pct"/>
            <w:tcBorders>
              <w:top w:val="nil"/>
              <w:left w:val="nil"/>
              <w:bottom w:val="single" w:sz="4" w:space="0" w:color="auto"/>
              <w:right w:val="single" w:sz="4" w:space="0" w:color="auto"/>
            </w:tcBorders>
            <w:shd w:val="clear" w:color="auto" w:fill="F2F2F2" w:themeFill="background1" w:themeFillShade="F2"/>
            <w:noWrap/>
            <w:vAlign w:val="center"/>
            <w:hideMark/>
          </w:tcPr>
          <w:p w14:paraId="6B481F84" w14:textId="77777777" w:rsidR="00E3750C" w:rsidRPr="00893E73" w:rsidRDefault="00E3750C" w:rsidP="00047864">
            <w:pPr>
              <w:spacing w:after="0" w:line="240" w:lineRule="auto"/>
              <w:jc w:val="right"/>
              <w:rPr>
                <w:rFonts w:ascii="Arial" w:eastAsia="Times New Roman" w:hAnsi="Arial" w:cs="Arial"/>
                <w:b/>
                <w:bCs/>
                <w:color w:val="000000"/>
                <w:sz w:val="18"/>
                <w:szCs w:val="18"/>
                <w:lang w:eastAsia="sl-SI"/>
              </w:rPr>
            </w:pPr>
            <w:r w:rsidRPr="00893E73">
              <w:rPr>
                <w:rFonts w:ascii="Arial" w:eastAsia="Times New Roman" w:hAnsi="Arial" w:cs="Arial"/>
                <w:b/>
                <w:bCs/>
                <w:color w:val="000000"/>
                <w:sz w:val="18"/>
                <w:szCs w:val="18"/>
                <w:lang w:eastAsia="sl-SI"/>
              </w:rPr>
              <w:t>1.422.738.797</w:t>
            </w:r>
          </w:p>
        </w:tc>
        <w:tc>
          <w:tcPr>
            <w:tcW w:w="464" w:type="pct"/>
            <w:tcBorders>
              <w:top w:val="nil"/>
              <w:left w:val="nil"/>
              <w:bottom w:val="single" w:sz="4" w:space="0" w:color="auto"/>
              <w:right w:val="single" w:sz="4" w:space="0" w:color="auto"/>
            </w:tcBorders>
            <w:shd w:val="clear" w:color="auto" w:fill="F2F2F2" w:themeFill="background1" w:themeFillShade="F2"/>
            <w:noWrap/>
            <w:vAlign w:val="center"/>
            <w:hideMark/>
          </w:tcPr>
          <w:p w14:paraId="48EDF068" w14:textId="77777777" w:rsidR="00E3750C" w:rsidRPr="00893E73" w:rsidRDefault="00E3750C" w:rsidP="00047864">
            <w:pPr>
              <w:spacing w:after="0" w:line="240" w:lineRule="auto"/>
              <w:jc w:val="right"/>
              <w:rPr>
                <w:rFonts w:ascii="Arial" w:eastAsia="Times New Roman" w:hAnsi="Arial" w:cs="Arial"/>
                <w:b/>
                <w:bCs/>
                <w:color w:val="000000"/>
                <w:sz w:val="18"/>
                <w:szCs w:val="18"/>
                <w:lang w:eastAsia="sl-SI"/>
              </w:rPr>
            </w:pPr>
            <w:r w:rsidRPr="00893E7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475" w:type="pct"/>
            <w:tcBorders>
              <w:top w:val="nil"/>
              <w:left w:val="nil"/>
              <w:bottom w:val="single" w:sz="4" w:space="0" w:color="auto"/>
              <w:right w:val="single" w:sz="4" w:space="0" w:color="auto"/>
            </w:tcBorders>
            <w:shd w:val="clear" w:color="auto" w:fill="F2F2F2" w:themeFill="background1" w:themeFillShade="F2"/>
            <w:noWrap/>
            <w:vAlign w:val="center"/>
            <w:hideMark/>
          </w:tcPr>
          <w:p w14:paraId="6B2C9D85" w14:textId="77777777" w:rsidR="00E3750C" w:rsidRPr="00893E73" w:rsidRDefault="00E3750C" w:rsidP="00047864">
            <w:pPr>
              <w:spacing w:after="0" w:line="240" w:lineRule="auto"/>
              <w:jc w:val="right"/>
              <w:rPr>
                <w:rFonts w:ascii="Arial" w:eastAsia="Times New Roman" w:hAnsi="Arial" w:cs="Arial"/>
                <w:b/>
                <w:bCs/>
                <w:color w:val="000000"/>
                <w:sz w:val="18"/>
                <w:szCs w:val="18"/>
                <w:lang w:eastAsia="sl-SI"/>
              </w:rPr>
            </w:pPr>
            <w:r w:rsidRPr="00893E7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409" w:type="pct"/>
            <w:tcBorders>
              <w:top w:val="nil"/>
              <w:left w:val="nil"/>
              <w:bottom w:val="single" w:sz="4" w:space="0" w:color="auto"/>
              <w:right w:val="single" w:sz="4" w:space="0" w:color="auto"/>
            </w:tcBorders>
            <w:shd w:val="clear" w:color="auto" w:fill="F2F2F2" w:themeFill="background1" w:themeFillShade="F2"/>
            <w:noWrap/>
            <w:vAlign w:val="center"/>
            <w:hideMark/>
          </w:tcPr>
          <w:p w14:paraId="29A3EC0E" w14:textId="77777777" w:rsidR="00E3750C" w:rsidRPr="002D0B9F" w:rsidRDefault="00E3750C" w:rsidP="00047864">
            <w:pPr>
              <w:spacing w:after="0" w:line="240" w:lineRule="auto"/>
              <w:jc w:val="right"/>
              <w:rPr>
                <w:rFonts w:ascii="Arial" w:eastAsia="Times New Roman" w:hAnsi="Arial" w:cs="Arial"/>
                <w:b/>
                <w:bCs/>
                <w:color w:val="000000"/>
                <w:sz w:val="18"/>
                <w:szCs w:val="18"/>
                <w:lang w:eastAsia="sl-SI"/>
              </w:rPr>
            </w:pPr>
            <w:r w:rsidRPr="002D0B9F">
              <w:rPr>
                <w:rFonts w:ascii="Arial" w:eastAsia="Times New Roman" w:hAnsi="Arial" w:cs="Arial"/>
                <w:b/>
                <w:bCs/>
                <w:color w:val="000000"/>
                <w:sz w:val="18"/>
                <w:szCs w:val="18"/>
                <w:lang w:eastAsia="sl-SI"/>
              </w:rPr>
              <w:t>29,97 %</w:t>
            </w:r>
          </w:p>
        </w:tc>
        <w:tc>
          <w:tcPr>
            <w:tcW w:w="475" w:type="pct"/>
            <w:tcBorders>
              <w:top w:val="nil"/>
              <w:left w:val="nil"/>
              <w:bottom w:val="single" w:sz="4" w:space="0" w:color="auto"/>
              <w:right w:val="single" w:sz="4" w:space="0" w:color="auto"/>
            </w:tcBorders>
            <w:shd w:val="clear" w:color="auto" w:fill="F2F2F2" w:themeFill="background1" w:themeFillShade="F2"/>
            <w:noWrap/>
            <w:vAlign w:val="center"/>
            <w:hideMark/>
          </w:tcPr>
          <w:p w14:paraId="10A3AEEE" w14:textId="77777777" w:rsidR="00E3750C" w:rsidRPr="002D0B9F" w:rsidRDefault="00E3750C" w:rsidP="00047864">
            <w:pPr>
              <w:spacing w:after="0" w:line="240" w:lineRule="auto"/>
              <w:jc w:val="right"/>
              <w:rPr>
                <w:rFonts w:ascii="Arial" w:eastAsia="Times New Roman" w:hAnsi="Arial" w:cs="Arial"/>
                <w:b/>
                <w:bCs/>
                <w:color w:val="000000"/>
                <w:sz w:val="18"/>
                <w:szCs w:val="18"/>
                <w:lang w:eastAsia="sl-SI"/>
              </w:rPr>
            </w:pPr>
            <w:r w:rsidRPr="002D0B9F">
              <w:rPr>
                <w:rFonts w:ascii="Arial" w:eastAsia="Times New Roman" w:hAnsi="Arial" w:cs="Arial"/>
                <w:b/>
                <w:bCs/>
                <w:color w:val="000000"/>
                <w:sz w:val="18"/>
                <w:szCs w:val="18"/>
                <w:lang w:eastAsia="sl-SI"/>
              </w:rPr>
              <w:t>26,26 %</w:t>
            </w:r>
          </w:p>
        </w:tc>
      </w:tr>
    </w:tbl>
    <w:p w14:paraId="6250DDF4" w14:textId="77777777" w:rsidR="00E3750C" w:rsidRPr="00BF7302" w:rsidRDefault="00E3750C" w:rsidP="00E3750C">
      <w:pPr>
        <w:spacing w:after="0" w:line="240" w:lineRule="auto"/>
        <w:rPr>
          <w:rFonts w:ascii="Arial" w:hAnsi="Arial" w:cs="Arial"/>
          <w:sz w:val="20"/>
          <w:szCs w:val="20"/>
          <w:highlight w:val="yellow"/>
        </w:rPr>
      </w:pPr>
    </w:p>
    <w:p w14:paraId="535FCE4E" w14:textId="77777777" w:rsidR="00E3750C" w:rsidRPr="002D0B9F" w:rsidRDefault="00E3750C" w:rsidP="00E3750C">
      <w:pPr>
        <w:spacing w:before="120" w:after="0" w:line="240" w:lineRule="auto"/>
        <w:rPr>
          <w:rFonts w:ascii="Arial" w:hAnsi="Arial" w:cs="Arial"/>
          <w:sz w:val="20"/>
          <w:szCs w:val="20"/>
        </w:rPr>
      </w:pPr>
      <w:r w:rsidRPr="002D0B9F">
        <w:rPr>
          <w:rFonts w:ascii="Arial" w:hAnsi="Arial" w:cs="Arial"/>
          <w:sz w:val="20"/>
          <w:szCs w:val="20"/>
        </w:rPr>
        <w:t>Preglednica 10</w:t>
      </w:r>
      <w:r>
        <w:rPr>
          <w:rFonts w:ascii="Arial" w:hAnsi="Arial" w:cs="Arial"/>
          <w:sz w:val="20"/>
          <w:szCs w:val="20"/>
        </w:rPr>
        <w:t>5</w:t>
      </w:r>
      <w:r w:rsidRPr="002D0B9F">
        <w:rPr>
          <w:rFonts w:ascii="Arial" w:hAnsi="Arial" w:cs="Arial"/>
          <w:sz w:val="20"/>
          <w:szCs w:val="20"/>
        </w:rPr>
        <w:t>: Število ponudnikov, ki jim je bilo oddano vsaj eno zeleno naročilo, razčlenjeno glede na vrsto predmeta in poreklo ponudnika</w:t>
      </w:r>
    </w:p>
    <w:p w14:paraId="1D7A590F" w14:textId="77777777" w:rsidR="00E3750C" w:rsidRPr="00BF7302" w:rsidRDefault="00E3750C" w:rsidP="00E3750C">
      <w:pPr>
        <w:spacing w:after="0" w:line="240" w:lineRule="auto"/>
        <w:rPr>
          <w:rFonts w:ascii="Arial" w:hAnsi="Arial" w:cs="Arial"/>
          <w:sz w:val="20"/>
          <w:szCs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9"/>
        <w:gridCol w:w="982"/>
        <w:gridCol w:w="1084"/>
        <w:gridCol w:w="980"/>
        <w:gridCol w:w="2105"/>
        <w:gridCol w:w="1084"/>
        <w:gridCol w:w="980"/>
        <w:gridCol w:w="980"/>
      </w:tblGrid>
      <w:tr w:rsidR="00E3750C" w:rsidRPr="002D0B9F" w14:paraId="2C41A1CB" w14:textId="77777777" w:rsidTr="00047864">
        <w:trPr>
          <w:trHeight w:val="720"/>
          <w:tblHeader/>
        </w:trPr>
        <w:tc>
          <w:tcPr>
            <w:tcW w:w="534" w:type="pct"/>
            <w:shd w:val="clear" w:color="000000" w:fill="F2F2F2"/>
            <w:vAlign w:val="center"/>
            <w:hideMark/>
          </w:tcPr>
          <w:p w14:paraId="79B75C4D" w14:textId="77777777" w:rsidR="00E3750C" w:rsidRPr="002D0B9F" w:rsidRDefault="00E3750C" w:rsidP="00047864">
            <w:pPr>
              <w:spacing w:after="0" w:line="240" w:lineRule="auto"/>
              <w:jc w:val="center"/>
              <w:rPr>
                <w:rFonts w:ascii="Arial" w:eastAsia="Times New Roman" w:hAnsi="Arial" w:cs="Arial"/>
                <w:color w:val="000000"/>
                <w:sz w:val="18"/>
                <w:szCs w:val="18"/>
                <w:lang w:eastAsia="sl-SI"/>
              </w:rPr>
            </w:pPr>
            <w:r w:rsidRPr="002D0B9F">
              <w:rPr>
                <w:rFonts w:ascii="Arial" w:eastAsia="Times New Roman" w:hAnsi="Arial" w:cs="Arial"/>
                <w:color w:val="000000"/>
                <w:sz w:val="18"/>
                <w:szCs w:val="18"/>
                <w:lang w:eastAsia="sl-SI"/>
              </w:rPr>
              <w:t>Predmet</w:t>
            </w:r>
          </w:p>
        </w:tc>
        <w:tc>
          <w:tcPr>
            <w:tcW w:w="535" w:type="pct"/>
            <w:shd w:val="clear" w:color="000000" w:fill="F2F2F2"/>
            <w:vAlign w:val="center"/>
            <w:hideMark/>
          </w:tcPr>
          <w:p w14:paraId="0A5CFD99" w14:textId="77777777" w:rsidR="00E3750C" w:rsidRPr="002D0B9F" w:rsidRDefault="00E3750C" w:rsidP="00047864">
            <w:pPr>
              <w:spacing w:after="0" w:line="240" w:lineRule="auto"/>
              <w:jc w:val="center"/>
              <w:rPr>
                <w:rFonts w:ascii="Arial" w:eastAsia="Times New Roman" w:hAnsi="Arial" w:cs="Arial"/>
                <w:color w:val="000000"/>
                <w:sz w:val="18"/>
                <w:szCs w:val="18"/>
                <w:lang w:eastAsia="sl-SI"/>
              </w:rPr>
            </w:pPr>
            <w:r w:rsidRPr="002D0B9F">
              <w:rPr>
                <w:rFonts w:ascii="Arial" w:eastAsia="Times New Roman" w:hAnsi="Arial" w:cs="Arial"/>
                <w:color w:val="000000"/>
                <w:sz w:val="18"/>
                <w:szCs w:val="18"/>
                <w:lang w:eastAsia="sl-SI"/>
              </w:rPr>
              <w:t>Ponudnik</w:t>
            </w:r>
          </w:p>
        </w:tc>
        <w:tc>
          <w:tcPr>
            <w:tcW w:w="591" w:type="pct"/>
            <w:shd w:val="clear" w:color="000000" w:fill="F2F2F2"/>
            <w:vAlign w:val="center"/>
            <w:hideMark/>
          </w:tcPr>
          <w:p w14:paraId="2C79815E" w14:textId="77777777" w:rsidR="00E3750C" w:rsidRPr="002D0B9F" w:rsidRDefault="00E3750C" w:rsidP="00047864">
            <w:pPr>
              <w:spacing w:after="0" w:line="240" w:lineRule="auto"/>
              <w:jc w:val="center"/>
              <w:rPr>
                <w:rFonts w:ascii="Arial" w:eastAsia="Times New Roman" w:hAnsi="Arial" w:cs="Arial"/>
                <w:color w:val="000000"/>
                <w:sz w:val="18"/>
                <w:szCs w:val="18"/>
                <w:lang w:eastAsia="sl-SI"/>
              </w:rPr>
            </w:pPr>
            <w:r w:rsidRPr="002D0B9F">
              <w:rPr>
                <w:rFonts w:ascii="Arial" w:eastAsia="Times New Roman" w:hAnsi="Arial" w:cs="Arial"/>
                <w:color w:val="000000"/>
                <w:sz w:val="18"/>
                <w:szCs w:val="18"/>
                <w:lang w:eastAsia="sl-SI"/>
              </w:rPr>
              <w:t>Št. ponudnikov</w:t>
            </w:r>
          </w:p>
        </w:tc>
        <w:tc>
          <w:tcPr>
            <w:tcW w:w="534" w:type="pct"/>
            <w:shd w:val="clear" w:color="000000" w:fill="F2F2F2"/>
            <w:vAlign w:val="center"/>
            <w:hideMark/>
          </w:tcPr>
          <w:p w14:paraId="4C64C21F" w14:textId="77777777" w:rsidR="00E3750C" w:rsidRPr="002D0B9F" w:rsidRDefault="00E3750C" w:rsidP="00047864">
            <w:pPr>
              <w:spacing w:after="0" w:line="240" w:lineRule="auto"/>
              <w:jc w:val="center"/>
              <w:rPr>
                <w:rFonts w:ascii="Arial" w:eastAsia="Times New Roman" w:hAnsi="Arial" w:cs="Arial"/>
                <w:color w:val="000000"/>
                <w:sz w:val="18"/>
                <w:szCs w:val="18"/>
                <w:lang w:eastAsia="sl-SI"/>
              </w:rPr>
            </w:pPr>
            <w:r w:rsidRPr="002D0B9F">
              <w:rPr>
                <w:rFonts w:ascii="Arial" w:eastAsia="Times New Roman" w:hAnsi="Arial" w:cs="Arial"/>
                <w:color w:val="000000"/>
                <w:sz w:val="18"/>
                <w:szCs w:val="18"/>
                <w:lang w:eastAsia="sl-SI"/>
              </w:rPr>
              <w:t>Št. zelenih naročil</w:t>
            </w:r>
          </w:p>
        </w:tc>
        <w:tc>
          <w:tcPr>
            <w:tcW w:w="1147" w:type="pct"/>
            <w:shd w:val="clear" w:color="000000" w:fill="F2F2F2"/>
            <w:vAlign w:val="center"/>
            <w:hideMark/>
          </w:tcPr>
          <w:p w14:paraId="50780A55" w14:textId="77777777" w:rsidR="00E3750C" w:rsidRPr="002D0B9F" w:rsidRDefault="00E3750C" w:rsidP="00047864">
            <w:pPr>
              <w:spacing w:after="0" w:line="240" w:lineRule="auto"/>
              <w:jc w:val="center"/>
              <w:rPr>
                <w:rFonts w:ascii="Arial" w:eastAsia="Times New Roman" w:hAnsi="Arial" w:cs="Arial"/>
                <w:color w:val="000000"/>
                <w:sz w:val="18"/>
                <w:szCs w:val="18"/>
                <w:lang w:eastAsia="sl-SI"/>
              </w:rPr>
            </w:pPr>
            <w:r w:rsidRPr="002D0B9F">
              <w:rPr>
                <w:rFonts w:ascii="Arial" w:eastAsia="Times New Roman" w:hAnsi="Arial" w:cs="Arial"/>
                <w:color w:val="000000"/>
                <w:sz w:val="18"/>
                <w:szCs w:val="18"/>
                <w:lang w:eastAsia="sl-SI"/>
              </w:rPr>
              <w:t>Pogodbena vrednost</w:t>
            </w:r>
          </w:p>
        </w:tc>
        <w:tc>
          <w:tcPr>
            <w:tcW w:w="591" w:type="pct"/>
            <w:shd w:val="clear" w:color="000000" w:fill="F2F2F2"/>
            <w:vAlign w:val="center"/>
            <w:hideMark/>
          </w:tcPr>
          <w:p w14:paraId="28314E60" w14:textId="77777777" w:rsidR="00E3750C" w:rsidRPr="002D0B9F" w:rsidRDefault="00E3750C" w:rsidP="00047864">
            <w:pPr>
              <w:spacing w:after="0" w:line="240" w:lineRule="auto"/>
              <w:jc w:val="center"/>
              <w:rPr>
                <w:rFonts w:ascii="Arial" w:eastAsia="Times New Roman" w:hAnsi="Arial" w:cs="Arial"/>
                <w:color w:val="000000"/>
                <w:sz w:val="18"/>
                <w:szCs w:val="18"/>
                <w:lang w:eastAsia="sl-SI"/>
              </w:rPr>
            </w:pPr>
            <w:r w:rsidRPr="002D0B9F">
              <w:rPr>
                <w:rFonts w:ascii="Arial" w:eastAsia="Times New Roman" w:hAnsi="Arial" w:cs="Arial"/>
                <w:color w:val="000000"/>
                <w:sz w:val="18"/>
                <w:szCs w:val="18"/>
                <w:lang w:eastAsia="sl-SI"/>
              </w:rPr>
              <w:t>Delež v št. ponudnikov</w:t>
            </w:r>
          </w:p>
        </w:tc>
        <w:tc>
          <w:tcPr>
            <w:tcW w:w="534" w:type="pct"/>
            <w:shd w:val="clear" w:color="000000" w:fill="F2F2F2"/>
            <w:vAlign w:val="center"/>
            <w:hideMark/>
          </w:tcPr>
          <w:p w14:paraId="06987725" w14:textId="77777777" w:rsidR="00E3750C" w:rsidRPr="002D0B9F" w:rsidRDefault="00E3750C" w:rsidP="00047864">
            <w:pPr>
              <w:spacing w:after="0" w:line="240" w:lineRule="auto"/>
              <w:jc w:val="center"/>
              <w:rPr>
                <w:rFonts w:ascii="Arial" w:eastAsia="Times New Roman" w:hAnsi="Arial" w:cs="Arial"/>
                <w:color w:val="000000"/>
                <w:sz w:val="18"/>
                <w:szCs w:val="18"/>
                <w:lang w:eastAsia="sl-SI"/>
              </w:rPr>
            </w:pPr>
            <w:r w:rsidRPr="002D0B9F">
              <w:rPr>
                <w:rFonts w:ascii="Arial" w:eastAsia="Times New Roman" w:hAnsi="Arial" w:cs="Arial"/>
                <w:color w:val="000000"/>
                <w:sz w:val="18"/>
                <w:szCs w:val="18"/>
                <w:lang w:eastAsia="sl-SI"/>
              </w:rPr>
              <w:t>Delež v št. naročil</w:t>
            </w:r>
          </w:p>
        </w:tc>
        <w:tc>
          <w:tcPr>
            <w:tcW w:w="534" w:type="pct"/>
            <w:shd w:val="clear" w:color="000000" w:fill="F2F2F2"/>
            <w:vAlign w:val="center"/>
            <w:hideMark/>
          </w:tcPr>
          <w:p w14:paraId="221F77BF" w14:textId="77777777" w:rsidR="00E3750C" w:rsidRPr="002D0B9F" w:rsidRDefault="00E3750C" w:rsidP="00047864">
            <w:pPr>
              <w:spacing w:after="0" w:line="240" w:lineRule="auto"/>
              <w:jc w:val="center"/>
              <w:rPr>
                <w:rFonts w:ascii="Arial" w:eastAsia="Times New Roman" w:hAnsi="Arial" w:cs="Arial"/>
                <w:color w:val="000000"/>
                <w:sz w:val="18"/>
                <w:szCs w:val="18"/>
                <w:lang w:eastAsia="sl-SI"/>
              </w:rPr>
            </w:pPr>
            <w:r w:rsidRPr="002D0B9F">
              <w:rPr>
                <w:rFonts w:ascii="Arial" w:eastAsia="Times New Roman" w:hAnsi="Arial" w:cs="Arial"/>
                <w:color w:val="000000"/>
                <w:sz w:val="18"/>
                <w:szCs w:val="18"/>
                <w:lang w:eastAsia="sl-SI"/>
              </w:rPr>
              <w:t>Delež v vrednosti</w:t>
            </w:r>
          </w:p>
        </w:tc>
      </w:tr>
      <w:tr w:rsidR="00E3750C" w:rsidRPr="002D0B9F" w14:paraId="2714E812" w14:textId="77777777" w:rsidTr="00047864">
        <w:trPr>
          <w:trHeight w:val="315"/>
        </w:trPr>
        <w:tc>
          <w:tcPr>
            <w:tcW w:w="534" w:type="pct"/>
            <w:vMerge w:val="restart"/>
            <w:shd w:val="clear" w:color="auto" w:fill="auto"/>
            <w:noWrap/>
            <w:vAlign w:val="center"/>
            <w:hideMark/>
          </w:tcPr>
          <w:p w14:paraId="6CE8C68E" w14:textId="77777777" w:rsidR="00E3750C" w:rsidRPr="002D0B9F" w:rsidRDefault="00E3750C" w:rsidP="00047864">
            <w:pPr>
              <w:spacing w:after="0" w:line="240" w:lineRule="auto"/>
              <w:rPr>
                <w:rFonts w:ascii="Arial" w:eastAsia="Times New Roman" w:hAnsi="Arial" w:cs="Arial"/>
                <w:color w:val="000000"/>
                <w:sz w:val="18"/>
                <w:szCs w:val="18"/>
                <w:lang w:eastAsia="sl-SI"/>
              </w:rPr>
            </w:pPr>
            <w:r w:rsidRPr="002D0B9F">
              <w:rPr>
                <w:rFonts w:ascii="Arial" w:eastAsia="Times New Roman" w:hAnsi="Arial" w:cs="Arial"/>
                <w:color w:val="000000"/>
                <w:sz w:val="18"/>
                <w:szCs w:val="18"/>
                <w:lang w:eastAsia="sl-SI"/>
              </w:rPr>
              <w:t>Blago</w:t>
            </w:r>
          </w:p>
        </w:tc>
        <w:tc>
          <w:tcPr>
            <w:tcW w:w="535" w:type="pct"/>
            <w:shd w:val="clear" w:color="auto" w:fill="auto"/>
            <w:noWrap/>
            <w:vAlign w:val="center"/>
            <w:hideMark/>
          </w:tcPr>
          <w:p w14:paraId="39161F4F" w14:textId="77777777" w:rsidR="00E3750C" w:rsidRPr="002D0B9F" w:rsidRDefault="00E3750C" w:rsidP="00047864">
            <w:pPr>
              <w:spacing w:after="0" w:line="240" w:lineRule="auto"/>
              <w:rPr>
                <w:rFonts w:ascii="Arial" w:eastAsia="Times New Roman" w:hAnsi="Arial" w:cs="Arial"/>
                <w:color w:val="000000"/>
                <w:sz w:val="18"/>
                <w:szCs w:val="18"/>
                <w:lang w:eastAsia="sl-SI"/>
              </w:rPr>
            </w:pPr>
            <w:r w:rsidRPr="002D0B9F">
              <w:rPr>
                <w:rFonts w:ascii="Arial" w:eastAsia="Times New Roman" w:hAnsi="Arial" w:cs="Arial"/>
                <w:color w:val="000000"/>
                <w:sz w:val="18"/>
                <w:szCs w:val="18"/>
                <w:lang w:eastAsia="sl-SI"/>
              </w:rPr>
              <w:t>Slovenija</w:t>
            </w:r>
          </w:p>
        </w:tc>
        <w:tc>
          <w:tcPr>
            <w:tcW w:w="591" w:type="pct"/>
            <w:shd w:val="clear" w:color="auto" w:fill="auto"/>
            <w:noWrap/>
            <w:vAlign w:val="center"/>
            <w:hideMark/>
          </w:tcPr>
          <w:p w14:paraId="20BBFEEE" w14:textId="77777777" w:rsidR="00E3750C" w:rsidRPr="002D0B9F" w:rsidRDefault="00E3750C" w:rsidP="00047864">
            <w:pPr>
              <w:spacing w:after="0" w:line="240" w:lineRule="auto"/>
              <w:jc w:val="right"/>
              <w:rPr>
                <w:rFonts w:ascii="Arial" w:eastAsia="Times New Roman" w:hAnsi="Arial" w:cs="Arial"/>
                <w:color w:val="000000"/>
                <w:sz w:val="18"/>
                <w:szCs w:val="18"/>
                <w:lang w:eastAsia="sl-SI"/>
              </w:rPr>
            </w:pPr>
            <w:r w:rsidRPr="002D0B9F">
              <w:rPr>
                <w:rFonts w:ascii="Arial" w:eastAsia="Times New Roman" w:hAnsi="Arial" w:cs="Arial"/>
                <w:color w:val="000000"/>
                <w:sz w:val="18"/>
                <w:szCs w:val="18"/>
                <w:lang w:eastAsia="sl-SI"/>
              </w:rPr>
              <w:t>415</w:t>
            </w:r>
          </w:p>
        </w:tc>
        <w:tc>
          <w:tcPr>
            <w:tcW w:w="534" w:type="pct"/>
            <w:shd w:val="clear" w:color="auto" w:fill="auto"/>
            <w:noWrap/>
            <w:vAlign w:val="center"/>
            <w:hideMark/>
          </w:tcPr>
          <w:p w14:paraId="672FB325" w14:textId="77777777" w:rsidR="00E3750C" w:rsidRPr="002D0B9F" w:rsidRDefault="00E3750C" w:rsidP="00047864">
            <w:pPr>
              <w:spacing w:after="0" w:line="240" w:lineRule="auto"/>
              <w:jc w:val="right"/>
              <w:rPr>
                <w:rFonts w:ascii="Arial" w:eastAsia="Times New Roman" w:hAnsi="Arial" w:cs="Arial"/>
                <w:color w:val="000000"/>
                <w:sz w:val="18"/>
                <w:szCs w:val="18"/>
                <w:lang w:eastAsia="sl-SI"/>
              </w:rPr>
            </w:pPr>
            <w:r w:rsidRPr="002D0B9F">
              <w:rPr>
                <w:rFonts w:ascii="Arial" w:eastAsia="Times New Roman" w:hAnsi="Arial" w:cs="Arial"/>
                <w:color w:val="000000"/>
                <w:sz w:val="18"/>
                <w:szCs w:val="18"/>
                <w:lang w:eastAsia="sl-SI"/>
              </w:rPr>
              <w:t>3.920</w:t>
            </w:r>
          </w:p>
        </w:tc>
        <w:tc>
          <w:tcPr>
            <w:tcW w:w="1147" w:type="pct"/>
            <w:shd w:val="clear" w:color="auto" w:fill="auto"/>
            <w:noWrap/>
            <w:vAlign w:val="center"/>
            <w:hideMark/>
          </w:tcPr>
          <w:p w14:paraId="2BF8859C" w14:textId="77777777" w:rsidR="00E3750C" w:rsidRPr="002D0B9F" w:rsidRDefault="00E3750C" w:rsidP="00047864">
            <w:pPr>
              <w:spacing w:after="0" w:line="240" w:lineRule="auto"/>
              <w:jc w:val="right"/>
              <w:rPr>
                <w:rFonts w:ascii="Arial" w:eastAsia="Times New Roman" w:hAnsi="Arial" w:cs="Arial"/>
                <w:color w:val="000000"/>
                <w:sz w:val="18"/>
                <w:szCs w:val="18"/>
                <w:lang w:eastAsia="sl-SI"/>
              </w:rPr>
            </w:pPr>
            <w:r w:rsidRPr="002D0B9F">
              <w:rPr>
                <w:rFonts w:ascii="Arial" w:eastAsia="Times New Roman" w:hAnsi="Arial" w:cs="Arial"/>
                <w:color w:val="000000"/>
                <w:sz w:val="18"/>
                <w:szCs w:val="18"/>
                <w:lang w:eastAsia="sl-SI"/>
              </w:rPr>
              <w:t>276.935.989</w:t>
            </w:r>
          </w:p>
        </w:tc>
        <w:tc>
          <w:tcPr>
            <w:tcW w:w="591" w:type="pct"/>
            <w:shd w:val="clear" w:color="auto" w:fill="auto"/>
            <w:noWrap/>
            <w:vAlign w:val="center"/>
            <w:hideMark/>
          </w:tcPr>
          <w:p w14:paraId="782A6C1D" w14:textId="77777777" w:rsidR="00E3750C" w:rsidRPr="002D0B9F" w:rsidRDefault="00E3750C" w:rsidP="00047864">
            <w:pPr>
              <w:spacing w:after="0" w:line="240" w:lineRule="auto"/>
              <w:jc w:val="right"/>
              <w:rPr>
                <w:rFonts w:ascii="Arial" w:eastAsia="Times New Roman" w:hAnsi="Arial" w:cs="Arial"/>
                <w:color w:val="000000"/>
                <w:sz w:val="18"/>
                <w:szCs w:val="18"/>
                <w:lang w:eastAsia="sl-SI"/>
              </w:rPr>
            </w:pPr>
            <w:r w:rsidRPr="002D0B9F">
              <w:rPr>
                <w:rFonts w:ascii="Arial" w:eastAsia="Times New Roman" w:hAnsi="Arial" w:cs="Arial"/>
                <w:color w:val="000000"/>
                <w:sz w:val="18"/>
                <w:szCs w:val="18"/>
                <w:lang w:eastAsia="sl-SI"/>
              </w:rPr>
              <w:t>97,19</w:t>
            </w:r>
            <w:r>
              <w:rPr>
                <w:rFonts w:ascii="Arial" w:eastAsia="Times New Roman" w:hAnsi="Arial" w:cs="Arial"/>
                <w:color w:val="000000"/>
                <w:sz w:val="18"/>
                <w:szCs w:val="18"/>
                <w:lang w:eastAsia="sl-SI"/>
              </w:rPr>
              <w:t xml:space="preserve"> %</w:t>
            </w:r>
          </w:p>
        </w:tc>
        <w:tc>
          <w:tcPr>
            <w:tcW w:w="534" w:type="pct"/>
            <w:shd w:val="clear" w:color="auto" w:fill="auto"/>
            <w:noWrap/>
            <w:vAlign w:val="center"/>
            <w:hideMark/>
          </w:tcPr>
          <w:p w14:paraId="0E828874" w14:textId="77777777" w:rsidR="00E3750C" w:rsidRPr="002D0B9F" w:rsidRDefault="00E3750C" w:rsidP="00047864">
            <w:pPr>
              <w:spacing w:after="0" w:line="240" w:lineRule="auto"/>
              <w:jc w:val="right"/>
              <w:rPr>
                <w:rFonts w:ascii="Arial" w:eastAsia="Times New Roman" w:hAnsi="Arial" w:cs="Arial"/>
                <w:color w:val="000000"/>
                <w:sz w:val="18"/>
                <w:szCs w:val="18"/>
                <w:lang w:eastAsia="sl-SI"/>
              </w:rPr>
            </w:pPr>
            <w:r w:rsidRPr="002D0B9F">
              <w:rPr>
                <w:rFonts w:ascii="Arial" w:eastAsia="Times New Roman" w:hAnsi="Arial" w:cs="Arial"/>
                <w:color w:val="000000"/>
                <w:sz w:val="18"/>
                <w:szCs w:val="18"/>
                <w:lang w:eastAsia="sl-SI"/>
              </w:rPr>
              <w:t>99,59</w:t>
            </w:r>
            <w:r>
              <w:rPr>
                <w:rFonts w:ascii="Arial" w:eastAsia="Times New Roman" w:hAnsi="Arial" w:cs="Arial"/>
                <w:color w:val="000000"/>
                <w:sz w:val="18"/>
                <w:szCs w:val="18"/>
                <w:lang w:eastAsia="sl-SI"/>
              </w:rPr>
              <w:t xml:space="preserve"> %</w:t>
            </w:r>
          </w:p>
        </w:tc>
        <w:tc>
          <w:tcPr>
            <w:tcW w:w="534" w:type="pct"/>
            <w:shd w:val="clear" w:color="auto" w:fill="auto"/>
            <w:noWrap/>
            <w:vAlign w:val="center"/>
            <w:hideMark/>
          </w:tcPr>
          <w:p w14:paraId="40B97D9E" w14:textId="77777777" w:rsidR="00E3750C" w:rsidRPr="002D0B9F" w:rsidRDefault="00E3750C" w:rsidP="00047864">
            <w:pPr>
              <w:spacing w:after="0" w:line="240" w:lineRule="auto"/>
              <w:jc w:val="right"/>
              <w:rPr>
                <w:rFonts w:ascii="Arial" w:eastAsia="Times New Roman" w:hAnsi="Arial" w:cs="Arial"/>
                <w:color w:val="000000"/>
                <w:sz w:val="18"/>
                <w:szCs w:val="18"/>
                <w:lang w:eastAsia="sl-SI"/>
              </w:rPr>
            </w:pPr>
            <w:r w:rsidRPr="002D0B9F">
              <w:rPr>
                <w:rFonts w:ascii="Arial" w:eastAsia="Times New Roman" w:hAnsi="Arial" w:cs="Arial"/>
                <w:color w:val="000000"/>
                <w:sz w:val="18"/>
                <w:szCs w:val="18"/>
                <w:lang w:eastAsia="sl-SI"/>
              </w:rPr>
              <w:t>99,03</w:t>
            </w:r>
            <w:r>
              <w:rPr>
                <w:rFonts w:ascii="Arial" w:eastAsia="Times New Roman" w:hAnsi="Arial" w:cs="Arial"/>
                <w:color w:val="000000"/>
                <w:sz w:val="18"/>
                <w:szCs w:val="18"/>
                <w:lang w:eastAsia="sl-SI"/>
              </w:rPr>
              <w:t xml:space="preserve"> %</w:t>
            </w:r>
          </w:p>
        </w:tc>
      </w:tr>
      <w:tr w:rsidR="00E3750C" w:rsidRPr="002D0B9F" w14:paraId="39E6EDEE" w14:textId="77777777" w:rsidTr="00047864">
        <w:trPr>
          <w:trHeight w:val="315"/>
        </w:trPr>
        <w:tc>
          <w:tcPr>
            <w:tcW w:w="534" w:type="pct"/>
            <w:vMerge/>
            <w:vAlign w:val="center"/>
            <w:hideMark/>
          </w:tcPr>
          <w:p w14:paraId="6817D3ED" w14:textId="77777777" w:rsidR="00E3750C" w:rsidRPr="002D0B9F" w:rsidRDefault="00E3750C" w:rsidP="00047864">
            <w:pPr>
              <w:spacing w:after="0" w:line="240" w:lineRule="auto"/>
              <w:rPr>
                <w:rFonts w:ascii="Arial" w:eastAsia="Times New Roman" w:hAnsi="Arial" w:cs="Arial"/>
                <w:color w:val="000000"/>
                <w:sz w:val="18"/>
                <w:szCs w:val="18"/>
                <w:lang w:eastAsia="sl-SI"/>
              </w:rPr>
            </w:pPr>
          </w:p>
        </w:tc>
        <w:tc>
          <w:tcPr>
            <w:tcW w:w="535" w:type="pct"/>
            <w:shd w:val="clear" w:color="auto" w:fill="auto"/>
            <w:noWrap/>
            <w:vAlign w:val="center"/>
            <w:hideMark/>
          </w:tcPr>
          <w:p w14:paraId="752A1FAF" w14:textId="77777777" w:rsidR="00E3750C" w:rsidRPr="002D0B9F" w:rsidRDefault="00E3750C" w:rsidP="00047864">
            <w:pPr>
              <w:spacing w:after="0" w:line="240" w:lineRule="auto"/>
              <w:rPr>
                <w:rFonts w:ascii="Arial" w:eastAsia="Times New Roman" w:hAnsi="Arial" w:cs="Arial"/>
                <w:color w:val="000000"/>
                <w:sz w:val="18"/>
                <w:szCs w:val="18"/>
                <w:lang w:eastAsia="sl-SI"/>
              </w:rPr>
            </w:pPr>
            <w:r w:rsidRPr="002D0B9F">
              <w:rPr>
                <w:rFonts w:ascii="Arial" w:eastAsia="Times New Roman" w:hAnsi="Arial" w:cs="Arial"/>
                <w:color w:val="000000"/>
                <w:sz w:val="18"/>
                <w:szCs w:val="18"/>
                <w:lang w:eastAsia="sl-SI"/>
              </w:rPr>
              <w:t>EU</w:t>
            </w:r>
          </w:p>
        </w:tc>
        <w:tc>
          <w:tcPr>
            <w:tcW w:w="591" w:type="pct"/>
            <w:shd w:val="clear" w:color="auto" w:fill="auto"/>
            <w:noWrap/>
            <w:vAlign w:val="center"/>
            <w:hideMark/>
          </w:tcPr>
          <w:p w14:paraId="6C0E6EB0" w14:textId="77777777" w:rsidR="00E3750C" w:rsidRPr="002D0B9F" w:rsidRDefault="00E3750C" w:rsidP="00047864">
            <w:pPr>
              <w:spacing w:after="0" w:line="240" w:lineRule="auto"/>
              <w:jc w:val="right"/>
              <w:rPr>
                <w:rFonts w:ascii="Arial" w:eastAsia="Times New Roman" w:hAnsi="Arial" w:cs="Arial"/>
                <w:color w:val="000000"/>
                <w:sz w:val="18"/>
                <w:szCs w:val="18"/>
                <w:lang w:eastAsia="sl-SI"/>
              </w:rPr>
            </w:pPr>
            <w:r w:rsidRPr="002D0B9F">
              <w:rPr>
                <w:rFonts w:ascii="Arial" w:eastAsia="Times New Roman" w:hAnsi="Arial" w:cs="Arial"/>
                <w:color w:val="000000"/>
                <w:sz w:val="18"/>
                <w:szCs w:val="18"/>
                <w:lang w:eastAsia="sl-SI"/>
              </w:rPr>
              <w:t>11</w:t>
            </w:r>
          </w:p>
        </w:tc>
        <w:tc>
          <w:tcPr>
            <w:tcW w:w="534" w:type="pct"/>
            <w:shd w:val="clear" w:color="auto" w:fill="auto"/>
            <w:noWrap/>
            <w:vAlign w:val="center"/>
            <w:hideMark/>
          </w:tcPr>
          <w:p w14:paraId="00B9485B" w14:textId="77777777" w:rsidR="00E3750C" w:rsidRPr="002D0B9F" w:rsidRDefault="00E3750C" w:rsidP="00047864">
            <w:pPr>
              <w:spacing w:after="0" w:line="240" w:lineRule="auto"/>
              <w:jc w:val="right"/>
              <w:rPr>
                <w:rFonts w:ascii="Arial" w:eastAsia="Times New Roman" w:hAnsi="Arial" w:cs="Arial"/>
                <w:color w:val="000000"/>
                <w:sz w:val="18"/>
                <w:szCs w:val="18"/>
                <w:lang w:eastAsia="sl-SI"/>
              </w:rPr>
            </w:pPr>
            <w:r w:rsidRPr="002D0B9F">
              <w:rPr>
                <w:rFonts w:ascii="Arial" w:eastAsia="Times New Roman" w:hAnsi="Arial" w:cs="Arial"/>
                <w:color w:val="000000"/>
                <w:sz w:val="18"/>
                <w:szCs w:val="18"/>
                <w:lang w:eastAsia="sl-SI"/>
              </w:rPr>
              <w:t>15</w:t>
            </w:r>
          </w:p>
        </w:tc>
        <w:tc>
          <w:tcPr>
            <w:tcW w:w="1147" w:type="pct"/>
            <w:shd w:val="clear" w:color="auto" w:fill="auto"/>
            <w:noWrap/>
            <w:vAlign w:val="center"/>
            <w:hideMark/>
          </w:tcPr>
          <w:p w14:paraId="5F198C9F" w14:textId="77777777" w:rsidR="00E3750C" w:rsidRPr="002D0B9F" w:rsidRDefault="00E3750C" w:rsidP="00047864">
            <w:pPr>
              <w:spacing w:after="0" w:line="240" w:lineRule="auto"/>
              <w:jc w:val="right"/>
              <w:rPr>
                <w:rFonts w:ascii="Arial" w:eastAsia="Times New Roman" w:hAnsi="Arial" w:cs="Arial"/>
                <w:color w:val="000000"/>
                <w:sz w:val="18"/>
                <w:szCs w:val="18"/>
                <w:lang w:eastAsia="sl-SI"/>
              </w:rPr>
            </w:pPr>
            <w:r w:rsidRPr="002D0B9F">
              <w:rPr>
                <w:rFonts w:ascii="Arial" w:eastAsia="Times New Roman" w:hAnsi="Arial" w:cs="Arial"/>
                <w:color w:val="000000"/>
                <w:sz w:val="18"/>
                <w:szCs w:val="18"/>
                <w:lang w:eastAsia="sl-SI"/>
              </w:rPr>
              <w:t>2.358.235</w:t>
            </w:r>
          </w:p>
        </w:tc>
        <w:tc>
          <w:tcPr>
            <w:tcW w:w="591" w:type="pct"/>
            <w:shd w:val="clear" w:color="auto" w:fill="auto"/>
            <w:noWrap/>
            <w:vAlign w:val="center"/>
            <w:hideMark/>
          </w:tcPr>
          <w:p w14:paraId="72348720" w14:textId="77777777" w:rsidR="00E3750C" w:rsidRPr="002D0B9F" w:rsidRDefault="00E3750C" w:rsidP="00047864">
            <w:pPr>
              <w:spacing w:after="0" w:line="240" w:lineRule="auto"/>
              <w:jc w:val="right"/>
              <w:rPr>
                <w:rFonts w:ascii="Arial" w:eastAsia="Times New Roman" w:hAnsi="Arial" w:cs="Arial"/>
                <w:color w:val="000000"/>
                <w:sz w:val="18"/>
                <w:szCs w:val="18"/>
                <w:lang w:eastAsia="sl-SI"/>
              </w:rPr>
            </w:pPr>
            <w:r w:rsidRPr="002D0B9F">
              <w:rPr>
                <w:rFonts w:ascii="Arial" w:eastAsia="Times New Roman" w:hAnsi="Arial" w:cs="Arial"/>
                <w:color w:val="000000"/>
                <w:sz w:val="18"/>
                <w:szCs w:val="18"/>
                <w:lang w:eastAsia="sl-SI"/>
              </w:rPr>
              <w:t>2,58</w:t>
            </w:r>
            <w:r>
              <w:rPr>
                <w:rFonts w:ascii="Arial" w:eastAsia="Times New Roman" w:hAnsi="Arial" w:cs="Arial"/>
                <w:color w:val="000000"/>
                <w:sz w:val="18"/>
                <w:szCs w:val="18"/>
                <w:lang w:eastAsia="sl-SI"/>
              </w:rPr>
              <w:t xml:space="preserve"> %</w:t>
            </w:r>
          </w:p>
        </w:tc>
        <w:tc>
          <w:tcPr>
            <w:tcW w:w="534" w:type="pct"/>
            <w:shd w:val="clear" w:color="auto" w:fill="auto"/>
            <w:noWrap/>
            <w:vAlign w:val="center"/>
            <w:hideMark/>
          </w:tcPr>
          <w:p w14:paraId="6430DA59" w14:textId="77777777" w:rsidR="00E3750C" w:rsidRPr="002D0B9F" w:rsidRDefault="00E3750C" w:rsidP="00047864">
            <w:pPr>
              <w:spacing w:after="0" w:line="240" w:lineRule="auto"/>
              <w:jc w:val="right"/>
              <w:rPr>
                <w:rFonts w:ascii="Arial" w:eastAsia="Times New Roman" w:hAnsi="Arial" w:cs="Arial"/>
                <w:color w:val="000000"/>
                <w:sz w:val="18"/>
                <w:szCs w:val="18"/>
                <w:lang w:eastAsia="sl-SI"/>
              </w:rPr>
            </w:pPr>
            <w:r w:rsidRPr="002D0B9F">
              <w:rPr>
                <w:rFonts w:ascii="Arial" w:eastAsia="Times New Roman" w:hAnsi="Arial" w:cs="Arial"/>
                <w:color w:val="000000"/>
                <w:sz w:val="18"/>
                <w:szCs w:val="18"/>
                <w:lang w:eastAsia="sl-SI"/>
              </w:rPr>
              <w:t>0,38</w:t>
            </w:r>
            <w:r>
              <w:rPr>
                <w:rFonts w:ascii="Arial" w:eastAsia="Times New Roman" w:hAnsi="Arial" w:cs="Arial"/>
                <w:color w:val="000000"/>
                <w:sz w:val="18"/>
                <w:szCs w:val="18"/>
                <w:lang w:eastAsia="sl-SI"/>
              </w:rPr>
              <w:t xml:space="preserve"> %</w:t>
            </w:r>
          </w:p>
        </w:tc>
        <w:tc>
          <w:tcPr>
            <w:tcW w:w="534" w:type="pct"/>
            <w:shd w:val="clear" w:color="auto" w:fill="auto"/>
            <w:noWrap/>
            <w:vAlign w:val="center"/>
            <w:hideMark/>
          </w:tcPr>
          <w:p w14:paraId="41356EC2" w14:textId="77777777" w:rsidR="00E3750C" w:rsidRPr="002D0B9F" w:rsidRDefault="00E3750C" w:rsidP="00047864">
            <w:pPr>
              <w:spacing w:after="0" w:line="240" w:lineRule="auto"/>
              <w:jc w:val="right"/>
              <w:rPr>
                <w:rFonts w:ascii="Arial" w:eastAsia="Times New Roman" w:hAnsi="Arial" w:cs="Arial"/>
                <w:color w:val="000000"/>
                <w:sz w:val="18"/>
                <w:szCs w:val="18"/>
                <w:lang w:eastAsia="sl-SI"/>
              </w:rPr>
            </w:pPr>
            <w:r w:rsidRPr="002D0B9F">
              <w:rPr>
                <w:rFonts w:ascii="Arial" w:eastAsia="Times New Roman" w:hAnsi="Arial" w:cs="Arial"/>
                <w:color w:val="000000"/>
                <w:sz w:val="18"/>
                <w:szCs w:val="18"/>
                <w:lang w:eastAsia="sl-SI"/>
              </w:rPr>
              <w:t>0,84</w:t>
            </w:r>
            <w:r>
              <w:rPr>
                <w:rFonts w:ascii="Arial" w:eastAsia="Times New Roman" w:hAnsi="Arial" w:cs="Arial"/>
                <w:color w:val="000000"/>
                <w:sz w:val="18"/>
                <w:szCs w:val="18"/>
                <w:lang w:eastAsia="sl-SI"/>
              </w:rPr>
              <w:t xml:space="preserve"> %</w:t>
            </w:r>
          </w:p>
        </w:tc>
      </w:tr>
      <w:tr w:rsidR="00E3750C" w:rsidRPr="002D0B9F" w14:paraId="07F0FEE6" w14:textId="77777777" w:rsidTr="00047864">
        <w:trPr>
          <w:trHeight w:val="315"/>
        </w:trPr>
        <w:tc>
          <w:tcPr>
            <w:tcW w:w="534" w:type="pct"/>
            <w:vMerge/>
            <w:vAlign w:val="center"/>
            <w:hideMark/>
          </w:tcPr>
          <w:p w14:paraId="6B429B0D" w14:textId="77777777" w:rsidR="00E3750C" w:rsidRPr="002D0B9F" w:rsidRDefault="00E3750C" w:rsidP="00047864">
            <w:pPr>
              <w:spacing w:after="0" w:line="240" w:lineRule="auto"/>
              <w:rPr>
                <w:rFonts w:ascii="Arial" w:eastAsia="Times New Roman" w:hAnsi="Arial" w:cs="Arial"/>
                <w:color w:val="000000"/>
                <w:sz w:val="18"/>
                <w:szCs w:val="18"/>
                <w:lang w:eastAsia="sl-SI"/>
              </w:rPr>
            </w:pPr>
          </w:p>
        </w:tc>
        <w:tc>
          <w:tcPr>
            <w:tcW w:w="535" w:type="pct"/>
            <w:shd w:val="clear" w:color="auto" w:fill="auto"/>
            <w:noWrap/>
            <w:vAlign w:val="center"/>
            <w:hideMark/>
          </w:tcPr>
          <w:p w14:paraId="75432885" w14:textId="77777777" w:rsidR="00E3750C" w:rsidRPr="002D0B9F" w:rsidRDefault="00E3750C" w:rsidP="00047864">
            <w:pPr>
              <w:spacing w:after="0" w:line="240" w:lineRule="auto"/>
              <w:rPr>
                <w:rFonts w:ascii="Arial" w:eastAsia="Times New Roman" w:hAnsi="Arial" w:cs="Arial"/>
                <w:color w:val="000000"/>
                <w:sz w:val="18"/>
                <w:szCs w:val="18"/>
                <w:lang w:eastAsia="sl-SI"/>
              </w:rPr>
            </w:pPr>
            <w:r w:rsidRPr="002D0B9F">
              <w:rPr>
                <w:rFonts w:ascii="Arial" w:eastAsia="Times New Roman" w:hAnsi="Arial" w:cs="Arial"/>
                <w:color w:val="000000"/>
                <w:sz w:val="18"/>
                <w:szCs w:val="18"/>
                <w:lang w:eastAsia="sl-SI"/>
              </w:rPr>
              <w:t>izven EU</w:t>
            </w:r>
          </w:p>
        </w:tc>
        <w:tc>
          <w:tcPr>
            <w:tcW w:w="591" w:type="pct"/>
            <w:shd w:val="clear" w:color="auto" w:fill="auto"/>
            <w:noWrap/>
            <w:vAlign w:val="center"/>
            <w:hideMark/>
          </w:tcPr>
          <w:p w14:paraId="2C767E9D" w14:textId="77777777" w:rsidR="00E3750C" w:rsidRPr="002D0B9F" w:rsidRDefault="00E3750C" w:rsidP="00047864">
            <w:pPr>
              <w:spacing w:after="0" w:line="240" w:lineRule="auto"/>
              <w:jc w:val="right"/>
              <w:rPr>
                <w:rFonts w:ascii="Arial" w:eastAsia="Times New Roman" w:hAnsi="Arial" w:cs="Arial"/>
                <w:color w:val="000000"/>
                <w:sz w:val="18"/>
                <w:szCs w:val="18"/>
                <w:lang w:eastAsia="sl-SI"/>
              </w:rPr>
            </w:pPr>
            <w:r w:rsidRPr="002D0B9F">
              <w:rPr>
                <w:rFonts w:ascii="Arial" w:eastAsia="Times New Roman" w:hAnsi="Arial" w:cs="Arial"/>
                <w:color w:val="000000"/>
                <w:sz w:val="18"/>
                <w:szCs w:val="18"/>
                <w:lang w:eastAsia="sl-SI"/>
              </w:rPr>
              <w:t>1</w:t>
            </w:r>
          </w:p>
        </w:tc>
        <w:tc>
          <w:tcPr>
            <w:tcW w:w="534" w:type="pct"/>
            <w:shd w:val="clear" w:color="auto" w:fill="auto"/>
            <w:noWrap/>
            <w:vAlign w:val="center"/>
            <w:hideMark/>
          </w:tcPr>
          <w:p w14:paraId="58E41018" w14:textId="77777777" w:rsidR="00E3750C" w:rsidRPr="002D0B9F" w:rsidRDefault="00E3750C" w:rsidP="00047864">
            <w:pPr>
              <w:spacing w:after="0" w:line="240" w:lineRule="auto"/>
              <w:jc w:val="right"/>
              <w:rPr>
                <w:rFonts w:ascii="Arial" w:eastAsia="Times New Roman" w:hAnsi="Arial" w:cs="Arial"/>
                <w:color w:val="000000"/>
                <w:sz w:val="18"/>
                <w:szCs w:val="18"/>
                <w:lang w:eastAsia="sl-SI"/>
              </w:rPr>
            </w:pPr>
            <w:r w:rsidRPr="002D0B9F">
              <w:rPr>
                <w:rFonts w:ascii="Arial" w:eastAsia="Times New Roman" w:hAnsi="Arial" w:cs="Arial"/>
                <w:color w:val="000000"/>
                <w:sz w:val="18"/>
                <w:szCs w:val="18"/>
                <w:lang w:eastAsia="sl-SI"/>
              </w:rPr>
              <w:t>1</w:t>
            </w:r>
          </w:p>
        </w:tc>
        <w:tc>
          <w:tcPr>
            <w:tcW w:w="1147" w:type="pct"/>
            <w:shd w:val="clear" w:color="auto" w:fill="auto"/>
            <w:noWrap/>
            <w:vAlign w:val="center"/>
            <w:hideMark/>
          </w:tcPr>
          <w:p w14:paraId="404A585D" w14:textId="77777777" w:rsidR="00E3750C" w:rsidRPr="002D0B9F" w:rsidRDefault="00E3750C" w:rsidP="00047864">
            <w:pPr>
              <w:spacing w:after="0" w:line="240" w:lineRule="auto"/>
              <w:jc w:val="right"/>
              <w:rPr>
                <w:rFonts w:ascii="Arial" w:eastAsia="Times New Roman" w:hAnsi="Arial" w:cs="Arial"/>
                <w:color w:val="000000"/>
                <w:sz w:val="18"/>
                <w:szCs w:val="18"/>
                <w:lang w:eastAsia="sl-SI"/>
              </w:rPr>
            </w:pPr>
            <w:r w:rsidRPr="002D0B9F">
              <w:rPr>
                <w:rFonts w:ascii="Arial" w:eastAsia="Times New Roman" w:hAnsi="Arial" w:cs="Arial"/>
                <w:color w:val="000000"/>
                <w:sz w:val="18"/>
                <w:szCs w:val="18"/>
                <w:lang w:eastAsia="sl-SI"/>
              </w:rPr>
              <w:t>350.000</w:t>
            </w:r>
          </w:p>
        </w:tc>
        <w:tc>
          <w:tcPr>
            <w:tcW w:w="591" w:type="pct"/>
            <w:shd w:val="clear" w:color="auto" w:fill="auto"/>
            <w:noWrap/>
            <w:vAlign w:val="center"/>
            <w:hideMark/>
          </w:tcPr>
          <w:p w14:paraId="7F2CB3FC" w14:textId="77777777" w:rsidR="00E3750C" w:rsidRPr="002D0B9F" w:rsidRDefault="00E3750C" w:rsidP="00047864">
            <w:pPr>
              <w:spacing w:after="0" w:line="240" w:lineRule="auto"/>
              <w:jc w:val="right"/>
              <w:rPr>
                <w:rFonts w:ascii="Arial" w:eastAsia="Times New Roman" w:hAnsi="Arial" w:cs="Arial"/>
                <w:color w:val="000000"/>
                <w:sz w:val="18"/>
                <w:szCs w:val="18"/>
                <w:lang w:eastAsia="sl-SI"/>
              </w:rPr>
            </w:pPr>
            <w:r w:rsidRPr="002D0B9F">
              <w:rPr>
                <w:rFonts w:ascii="Arial" w:eastAsia="Times New Roman" w:hAnsi="Arial" w:cs="Arial"/>
                <w:color w:val="000000"/>
                <w:sz w:val="18"/>
                <w:szCs w:val="18"/>
                <w:lang w:eastAsia="sl-SI"/>
              </w:rPr>
              <w:t>0,23</w:t>
            </w:r>
            <w:r>
              <w:rPr>
                <w:rFonts w:ascii="Arial" w:eastAsia="Times New Roman" w:hAnsi="Arial" w:cs="Arial"/>
                <w:color w:val="000000"/>
                <w:sz w:val="18"/>
                <w:szCs w:val="18"/>
                <w:lang w:eastAsia="sl-SI"/>
              </w:rPr>
              <w:t xml:space="preserve"> %</w:t>
            </w:r>
          </w:p>
        </w:tc>
        <w:tc>
          <w:tcPr>
            <w:tcW w:w="534" w:type="pct"/>
            <w:shd w:val="clear" w:color="auto" w:fill="auto"/>
            <w:noWrap/>
            <w:vAlign w:val="center"/>
            <w:hideMark/>
          </w:tcPr>
          <w:p w14:paraId="7101C055" w14:textId="77777777" w:rsidR="00E3750C" w:rsidRPr="002D0B9F" w:rsidRDefault="00E3750C" w:rsidP="00047864">
            <w:pPr>
              <w:spacing w:after="0" w:line="240" w:lineRule="auto"/>
              <w:jc w:val="right"/>
              <w:rPr>
                <w:rFonts w:ascii="Arial" w:eastAsia="Times New Roman" w:hAnsi="Arial" w:cs="Arial"/>
                <w:color w:val="000000"/>
                <w:sz w:val="18"/>
                <w:szCs w:val="18"/>
                <w:lang w:eastAsia="sl-SI"/>
              </w:rPr>
            </w:pPr>
            <w:r w:rsidRPr="002D0B9F">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c>
          <w:tcPr>
            <w:tcW w:w="534" w:type="pct"/>
            <w:shd w:val="clear" w:color="auto" w:fill="auto"/>
            <w:noWrap/>
            <w:vAlign w:val="center"/>
            <w:hideMark/>
          </w:tcPr>
          <w:p w14:paraId="6B3C6B65" w14:textId="77777777" w:rsidR="00E3750C" w:rsidRPr="002D0B9F" w:rsidRDefault="00E3750C" w:rsidP="00047864">
            <w:pPr>
              <w:spacing w:after="0" w:line="240" w:lineRule="auto"/>
              <w:jc w:val="right"/>
              <w:rPr>
                <w:rFonts w:ascii="Arial" w:eastAsia="Times New Roman" w:hAnsi="Arial" w:cs="Arial"/>
                <w:color w:val="000000"/>
                <w:sz w:val="18"/>
                <w:szCs w:val="18"/>
                <w:lang w:eastAsia="sl-SI"/>
              </w:rPr>
            </w:pPr>
            <w:r w:rsidRPr="002D0B9F">
              <w:rPr>
                <w:rFonts w:ascii="Arial" w:eastAsia="Times New Roman" w:hAnsi="Arial" w:cs="Arial"/>
                <w:color w:val="000000"/>
                <w:sz w:val="18"/>
                <w:szCs w:val="18"/>
                <w:lang w:eastAsia="sl-SI"/>
              </w:rPr>
              <w:t>0,13</w:t>
            </w:r>
            <w:r>
              <w:rPr>
                <w:rFonts w:ascii="Arial" w:eastAsia="Times New Roman" w:hAnsi="Arial" w:cs="Arial"/>
                <w:color w:val="000000"/>
                <w:sz w:val="18"/>
                <w:szCs w:val="18"/>
                <w:lang w:eastAsia="sl-SI"/>
              </w:rPr>
              <w:t xml:space="preserve"> %</w:t>
            </w:r>
          </w:p>
        </w:tc>
      </w:tr>
      <w:tr w:rsidR="00E3750C" w:rsidRPr="002D0B9F" w14:paraId="23882C47" w14:textId="77777777" w:rsidTr="00047864">
        <w:trPr>
          <w:trHeight w:val="315"/>
        </w:trPr>
        <w:tc>
          <w:tcPr>
            <w:tcW w:w="534" w:type="pct"/>
            <w:vMerge/>
            <w:vAlign w:val="center"/>
            <w:hideMark/>
          </w:tcPr>
          <w:p w14:paraId="436F851C" w14:textId="77777777" w:rsidR="00E3750C" w:rsidRPr="002D0B9F" w:rsidRDefault="00E3750C" w:rsidP="00047864">
            <w:pPr>
              <w:spacing w:after="0" w:line="240" w:lineRule="auto"/>
              <w:rPr>
                <w:rFonts w:ascii="Arial" w:eastAsia="Times New Roman" w:hAnsi="Arial" w:cs="Arial"/>
                <w:color w:val="000000"/>
                <w:sz w:val="18"/>
                <w:szCs w:val="18"/>
                <w:lang w:eastAsia="sl-SI"/>
              </w:rPr>
            </w:pPr>
          </w:p>
        </w:tc>
        <w:tc>
          <w:tcPr>
            <w:tcW w:w="535" w:type="pct"/>
            <w:shd w:val="clear" w:color="auto" w:fill="auto"/>
            <w:noWrap/>
            <w:vAlign w:val="center"/>
            <w:hideMark/>
          </w:tcPr>
          <w:p w14:paraId="28526EEC" w14:textId="77777777" w:rsidR="00E3750C" w:rsidRPr="002D0B9F" w:rsidRDefault="00E3750C" w:rsidP="00047864">
            <w:pPr>
              <w:spacing w:after="0" w:line="240" w:lineRule="auto"/>
              <w:rPr>
                <w:rFonts w:ascii="Arial" w:eastAsia="Times New Roman" w:hAnsi="Arial" w:cs="Arial"/>
                <w:b/>
                <w:bCs/>
                <w:color w:val="000000"/>
                <w:sz w:val="18"/>
                <w:szCs w:val="18"/>
                <w:lang w:eastAsia="sl-SI"/>
              </w:rPr>
            </w:pPr>
            <w:r w:rsidRPr="002D0B9F">
              <w:rPr>
                <w:rFonts w:ascii="Arial" w:eastAsia="Times New Roman" w:hAnsi="Arial" w:cs="Arial"/>
                <w:b/>
                <w:bCs/>
                <w:color w:val="000000"/>
                <w:sz w:val="18"/>
                <w:szCs w:val="18"/>
                <w:lang w:eastAsia="sl-SI"/>
              </w:rPr>
              <w:t>Skupaj</w:t>
            </w:r>
          </w:p>
        </w:tc>
        <w:tc>
          <w:tcPr>
            <w:tcW w:w="591" w:type="pct"/>
            <w:shd w:val="clear" w:color="auto" w:fill="auto"/>
            <w:noWrap/>
            <w:vAlign w:val="center"/>
            <w:hideMark/>
          </w:tcPr>
          <w:p w14:paraId="7D760ED9" w14:textId="77777777" w:rsidR="00E3750C" w:rsidRPr="002D0B9F" w:rsidRDefault="00E3750C" w:rsidP="00047864">
            <w:pPr>
              <w:spacing w:after="0" w:line="240" w:lineRule="auto"/>
              <w:jc w:val="right"/>
              <w:rPr>
                <w:rFonts w:ascii="Arial" w:eastAsia="Times New Roman" w:hAnsi="Arial" w:cs="Arial"/>
                <w:b/>
                <w:bCs/>
                <w:color w:val="000000"/>
                <w:sz w:val="18"/>
                <w:szCs w:val="18"/>
                <w:lang w:eastAsia="sl-SI"/>
              </w:rPr>
            </w:pPr>
            <w:r w:rsidRPr="002D0B9F">
              <w:rPr>
                <w:rFonts w:ascii="Arial" w:eastAsia="Times New Roman" w:hAnsi="Arial" w:cs="Arial"/>
                <w:b/>
                <w:bCs/>
                <w:color w:val="000000"/>
                <w:sz w:val="18"/>
                <w:szCs w:val="18"/>
                <w:lang w:eastAsia="sl-SI"/>
              </w:rPr>
              <w:t>427</w:t>
            </w:r>
          </w:p>
        </w:tc>
        <w:tc>
          <w:tcPr>
            <w:tcW w:w="534" w:type="pct"/>
            <w:shd w:val="clear" w:color="auto" w:fill="auto"/>
            <w:noWrap/>
            <w:vAlign w:val="center"/>
            <w:hideMark/>
          </w:tcPr>
          <w:p w14:paraId="3524A719" w14:textId="77777777" w:rsidR="00E3750C" w:rsidRPr="002D0B9F" w:rsidRDefault="00E3750C" w:rsidP="00047864">
            <w:pPr>
              <w:spacing w:after="0" w:line="240" w:lineRule="auto"/>
              <w:jc w:val="right"/>
              <w:rPr>
                <w:rFonts w:ascii="Arial" w:eastAsia="Times New Roman" w:hAnsi="Arial" w:cs="Arial"/>
                <w:b/>
                <w:bCs/>
                <w:color w:val="000000"/>
                <w:sz w:val="18"/>
                <w:szCs w:val="18"/>
                <w:lang w:eastAsia="sl-SI"/>
              </w:rPr>
            </w:pPr>
            <w:r w:rsidRPr="002D0B9F">
              <w:rPr>
                <w:rFonts w:ascii="Arial" w:eastAsia="Times New Roman" w:hAnsi="Arial" w:cs="Arial"/>
                <w:b/>
                <w:bCs/>
                <w:color w:val="000000"/>
                <w:sz w:val="18"/>
                <w:szCs w:val="18"/>
                <w:lang w:eastAsia="sl-SI"/>
              </w:rPr>
              <w:t>3.936</w:t>
            </w:r>
          </w:p>
        </w:tc>
        <w:tc>
          <w:tcPr>
            <w:tcW w:w="1147" w:type="pct"/>
            <w:shd w:val="clear" w:color="auto" w:fill="auto"/>
            <w:noWrap/>
            <w:vAlign w:val="center"/>
            <w:hideMark/>
          </w:tcPr>
          <w:p w14:paraId="5A2B451E" w14:textId="77777777" w:rsidR="00E3750C" w:rsidRPr="002D0B9F" w:rsidRDefault="00E3750C" w:rsidP="00047864">
            <w:pPr>
              <w:spacing w:after="0" w:line="240" w:lineRule="auto"/>
              <w:jc w:val="right"/>
              <w:rPr>
                <w:rFonts w:ascii="Arial" w:eastAsia="Times New Roman" w:hAnsi="Arial" w:cs="Arial"/>
                <w:b/>
                <w:bCs/>
                <w:color w:val="000000"/>
                <w:sz w:val="18"/>
                <w:szCs w:val="18"/>
                <w:lang w:eastAsia="sl-SI"/>
              </w:rPr>
            </w:pPr>
            <w:r w:rsidRPr="002D0B9F">
              <w:rPr>
                <w:rFonts w:ascii="Arial" w:eastAsia="Times New Roman" w:hAnsi="Arial" w:cs="Arial"/>
                <w:b/>
                <w:bCs/>
                <w:color w:val="000000"/>
                <w:sz w:val="18"/>
                <w:szCs w:val="18"/>
                <w:lang w:eastAsia="sl-SI"/>
              </w:rPr>
              <w:t>279.644.224</w:t>
            </w:r>
          </w:p>
        </w:tc>
        <w:tc>
          <w:tcPr>
            <w:tcW w:w="591" w:type="pct"/>
            <w:shd w:val="clear" w:color="auto" w:fill="auto"/>
            <w:noWrap/>
            <w:vAlign w:val="center"/>
            <w:hideMark/>
          </w:tcPr>
          <w:p w14:paraId="49078456" w14:textId="77777777" w:rsidR="00E3750C" w:rsidRPr="002D0B9F" w:rsidRDefault="00E3750C" w:rsidP="00047864">
            <w:pPr>
              <w:spacing w:after="0" w:line="240" w:lineRule="auto"/>
              <w:jc w:val="right"/>
              <w:rPr>
                <w:rFonts w:ascii="Arial" w:eastAsia="Times New Roman" w:hAnsi="Arial" w:cs="Arial"/>
                <w:b/>
                <w:bCs/>
                <w:color w:val="000000"/>
                <w:sz w:val="18"/>
                <w:szCs w:val="18"/>
                <w:lang w:eastAsia="sl-SI"/>
              </w:rPr>
            </w:pPr>
            <w:r w:rsidRPr="002D0B9F">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34" w:type="pct"/>
            <w:shd w:val="clear" w:color="auto" w:fill="auto"/>
            <w:noWrap/>
            <w:vAlign w:val="center"/>
            <w:hideMark/>
          </w:tcPr>
          <w:p w14:paraId="406CBB6C" w14:textId="77777777" w:rsidR="00E3750C" w:rsidRPr="002D0B9F" w:rsidRDefault="00E3750C" w:rsidP="00047864">
            <w:pPr>
              <w:spacing w:after="0" w:line="240" w:lineRule="auto"/>
              <w:jc w:val="right"/>
              <w:rPr>
                <w:rFonts w:ascii="Arial" w:eastAsia="Times New Roman" w:hAnsi="Arial" w:cs="Arial"/>
                <w:b/>
                <w:bCs/>
                <w:color w:val="000000"/>
                <w:sz w:val="18"/>
                <w:szCs w:val="18"/>
                <w:lang w:eastAsia="sl-SI"/>
              </w:rPr>
            </w:pPr>
            <w:r w:rsidRPr="002D0B9F">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34" w:type="pct"/>
            <w:shd w:val="clear" w:color="auto" w:fill="auto"/>
            <w:noWrap/>
            <w:vAlign w:val="center"/>
            <w:hideMark/>
          </w:tcPr>
          <w:p w14:paraId="265EF275" w14:textId="77777777" w:rsidR="00E3750C" w:rsidRPr="002D0B9F" w:rsidRDefault="00E3750C" w:rsidP="00047864">
            <w:pPr>
              <w:spacing w:after="0" w:line="240" w:lineRule="auto"/>
              <w:jc w:val="right"/>
              <w:rPr>
                <w:rFonts w:ascii="Arial" w:eastAsia="Times New Roman" w:hAnsi="Arial" w:cs="Arial"/>
                <w:b/>
                <w:bCs/>
                <w:color w:val="000000"/>
                <w:sz w:val="18"/>
                <w:szCs w:val="18"/>
                <w:lang w:eastAsia="sl-SI"/>
              </w:rPr>
            </w:pPr>
            <w:r w:rsidRPr="002D0B9F">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E3750C" w:rsidRPr="002D0B9F" w14:paraId="234E002C" w14:textId="77777777" w:rsidTr="00047864">
        <w:trPr>
          <w:trHeight w:val="315"/>
        </w:trPr>
        <w:tc>
          <w:tcPr>
            <w:tcW w:w="534" w:type="pct"/>
            <w:vMerge w:val="restart"/>
            <w:shd w:val="clear" w:color="auto" w:fill="auto"/>
            <w:noWrap/>
            <w:vAlign w:val="center"/>
            <w:hideMark/>
          </w:tcPr>
          <w:p w14:paraId="3A1754FE" w14:textId="77777777" w:rsidR="00E3750C" w:rsidRPr="002D0B9F" w:rsidRDefault="00E3750C" w:rsidP="00047864">
            <w:pPr>
              <w:spacing w:after="0" w:line="240" w:lineRule="auto"/>
              <w:rPr>
                <w:rFonts w:ascii="Arial" w:eastAsia="Times New Roman" w:hAnsi="Arial" w:cs="Arial"/>
                <w:color w:val="000000"/>
                <w:sz w:val="18"/>
                <w:szCs w:val="18"/>
                <w:lang w:eastAsia="sl-SI"/>
              </w:rPr>
            </w:pPr>
            <w:r w:rsidRPr="002D0B9F">
              <w:rPr>
                <w:rFonts w:ascii="Arial" w:eastAsia="Times New Roman" w:hAnsi="Arial" w:cs="Arial"/>
                <w:color w:val="000000"/>
                <w:sz w:val="18"/>
                <w:szCs w:val="18"/>
                <w:lang w:eastAsia="sl-SI"/>
              </w:rPr>
              <w:t>Storitve</w:t>
            </w:r>
          </w:p>
        </w:tc>
        <w:tc>
          <w:tcPr>
            <w:tcW w:w="535" w:type="pct"/>
            <w:shd w:val="clear" w:color="auto" w:fill="auto"/>
            <w:noWrap/>
            <w:vAlign w:val="center"/>
            <w:hideMark/>
          </w:tcPr>
          <w:p w14:paraId="2C246CC4" w14:textId="77777777" w:rsidR="00E3750C" w:rsidRPr="002D0B9F" w:rsidRDefault="00E3750C" w:rsidP="00047864">
            <w:pPr>
              <w:spacing w:after="0" w:line="240" w:lineRule="auto"/>
              <w:rPr>
                <w:rFonts w:ascii="Arial" w:eastAsia="Times New Roman" w:hAnsi="Arial" w:cs="Arial"/>
                <w:color w:val="000000"/>
                <w:sz w:val="18"/>
                <w:szCs w:val="18"/>
                <w:lang w:eastAsia="sl-SI"/>
              </w:rPr>
            </w:pPr>
            <w:r w:rsidRPr="002D0B9F">
              <w:rPr>
                <w:rFonts w:ascii="Arial" w:eastAsia="Times New Roman" w:hAnsi="Arial" w:cs="Arial"/>
                <w:color w:val="000000"/>
                <w:sz w:val="18"/>
                <w:szCs w:val="18"/>
                <w:lang w:eastAsia="sl-SI"/>
              </w:rPr>
              <w:t>Slovenija</w:t>
            </w:r>
          </w:p>
        </w:tc>
        <w:tc>
          <w:tcPr>
            <w:tcW w:w="591" w:type="pct"/>
            <w:shd w:val="clear" w:color="auto" w:fill="auto"/>
            <w:noWrap/>
            <w:vAlign w:val="center"/>
            <w:hideMark/>
          </w:tcPr>
          <w:p w14:paraId="0C6D628A" w14:textId="77777777" w:rsidR="00E3750C" w:rsidRPr="002D0B9F" w:rsidRDefault="00E3750C" w:rsidP="00047864">
            <w:pPr>
              <w:spacing w:after="0" w:line="240" w:lineRule="auto"/>
              <w:jc w:val="right"/>
              <w:rPr>
                <w:rFonts w:ascii="Arial" w:eastAsia="Times New Roman" w:hAnsi="Arial" w:cs="Arial"/>
                <w:color w:val="000000"/>
                <w:sz w:val="18"/>
                <w:szCs w:val="18"/>
                <w:lang w:eastAsia="sl-SI"/>
              </w:rPr>
            </w:pPr>
            <w:r w:rsidRPr="002D0B9F">
              <w:rPr>
                <w:rFonts w:ascii="Arial" w:eastAsia="Times New Roman" w:hAnsi="Arial" w:cs="Arial"/>
                <w:color w:val="000000"/>
                <w:sz w:val="18"/>
                <w:szCs w:val="18"/>
                <w:lang w:eastAsia="sl-SI"/>
              </w:rPr>
              <w:t>288</w:t>
            </w:r>
          </w:p>
        </w:tc>
        <w:tc>
          <w:tcPr>
            <w:tcW w:w="534" w:type="pct"/>
            <w:shd w:val="clear" w:color="auto" w:fill="auto"/>
            <w:noWrap/>
            <w:vAlign w:val="center"/>
            <w:hideMark/>
          </w:tcPr>
          <w:p w14:paraId="5B69F89C" w14:textId="77777777" w:rsidR="00E3750C" w:rsidRPr="002D0B9F" w:rsidRDefault="00E3750C" w:rsidP="00047864">
            <w:pPr>
              <w:spacing w:after="0" w:line="240" w:lineRule="auto"/>
              <w:jc w:val="right"/>
              <w:rPr>
                <w:rFonts w:ascii="Arial" w:eastAsia="Times New Roman" w:hAnsi="Arial" w:cs="Arial"/>
                <w:color w:val="000000"/>
                <w:sz w:val="18"/>
                <w:szCs w:val="18"/>
                <w:lang w:eastAsia="sl-SI"/>
              </w:rPr>
            </w:pPr>
            <w:r w:rsidRPr="002D0B9F">
              <w:rPr>
                <w:rFonts w:ascii="Arial" w:eastAsia="Times New Roman" w:hAnsi="Arial" w:cs="Arial"/>
                <w:color w:val="000000"/>
                <w:sz w:val="18"/>
                <w:szCs w:val="18"/>
                <w:lang w:eastAsia="sl-SI"/>
              </w:rPr>
              <w:t>565</w:t>
            </w:r>
          </w:p>
        </w:tc>
        <w:tc>
          <w:tcPr>
            <w:tcW w:w="1147" w:type="pct"/>
            <w:shd w:val="clear" w:color="auto" w:fill="auto"/>
            <w:noWrap/>
            <w:vAlign w:val="center"/>
            <w:hideMark/>
          </w:tcPr>
          <w:p w14:paraId="0B736685" w14:textId="77777777" w:rsidR="00E3750C" w:rsidRPr="002D0B9F" w:rsidRDefault="00E3750C" w:rsidP="00047864">
            <w:pPr>
              <w:spacing w:after="0" w:line="240" w:lineRule="auto"/>
              <w:jc w:val="right"/>
              <w:rPr>
                <w:rFonts w:ascii="Arial" w:eastAsia="Times New Roman" w:hAnsi="Arial" w:cs="Arial"/>
                <w:color w:val="000000"/>
                <w:sz w:val="18"/>
                <w:szCs w:val="18"/>
                <w:lang w:eastAsia="sl-SI"/>
              </w:rPr>
            </w:pPr>
            <w:r w:rsidRPr="002D0B9F">
              <w:rPr>
                <w:rFonts w:ascii="Arial" w:eastAsia="Times New Roman" w:hAnsi="Arial" w:cs="Arial"/>
                <w:color w:val="000000"/>
                <w:sz w:val="18"/>
                <w:szCs w:val="18"/>
                <w:lang w:eastAsia="sl-SI"/>
              </w:rPr>
              <w:t>155.318.392</w:t>
            </w:r>
          </w:p>
        </w:tc>
        <w:tc>
          <w:tcPr>
            <w:tcW w:w="591" w:type="pct"/>
            <w:shd w:val="clear" w:color="auto" w:fill="auto"/>
            <w:noWrap/>
            <w:vAlign w:val="center"/>
            <w:hideMark/>
          </w:tcPr>
          <w:p w14:paraId="6530BABB" w14:textId="77777777" w:rsidR="00E3750C" w:rsidRPr="002D0B9F" w:rsidRDefault="00E3750C" w:rsidP="00047864">
            <w:pPr>
              <w:spacing w:after="0" w:line="240" w:lineRule="auto"/>
              <w:jc w:val="right"/>
              <w:rPr>
                <w:rFonts w:ascii="Arial" w:eastAsia="Times New Roman" w:hAnsi="Arial" w:cs="Arial"/>
                <w:color w:val="000000"/>
                <w:sz w:val="18"/>
                <w:szCs w:val="18"/>
                <w:lang w:eastAsia="sl-SI"/>
              </w:rPr>
            </w:pPr>
            <w:r w:rsidRPr="002D0B9F">
              <w:rPr>
                <w:rFonts w:ascii="Arial" w:eastAsia="Times New Roman" w:hAnsi="Arial" w:cs="Arial"/>
                <w:color w:val="000000"/>
                <w:sz w:val="18"/>
                <w:szCs w:val="18"/>
                <w:lang w:eastAsia="sl-SI"/>
              </w:rPr>
              <w:t>98,63</w:t>
            </w:r>
            <w:r>
              <w:rPr>
                <w:rFonts w:ascii="Arial" w:eastAsia="Times New Roman" w:hAnsi="Arial" w:cs="Arial"/>
                <w:color w:val="000000"/>
                <w:sz w:val="18"/>
                <w:szCs w:val="18"/>
                <w:lang w:eastAsia="sl-SI"/>
              </w:rPr>
              <w:t xml:space="preserve"> %</w:t>
            </w:r>
          </w:p>
        </w:tc>
        <w:tc>
          <w:tcPr>
            <w:tcW w:w="534" w:type="pct"/>
            <w:shd w:val="clear" w:color="auto" w:fill="auto"/>
            <w:noWrap/>
            <w:vAlign w:val="center"/>
            <w:hideMark/>
          </w:tcPr>
          <w:p w14:paraId="19787D8A" w14:textId="77777777" w:rsidR="00E3750C" w:rsidRPr="002D0B9F" w:rsidRDefault="00E3750C" w:rsidP="00047864">
            <w:pPr>
              <w:spacing w:after="0" w:line="240" w:lineRule="auto"/>
              <w:jc w:val="right"/>
              <w:rPr>
                <w:rFonts w:ascii="Arial" w:eastAsia="Times New Roman" w:hAnsi="Arial" w:cs="Arial"/>
                <w:color w:val="000000"/>
                <w:sz w:val="18"/>
                <w:szCs w:val="18"/>
                <w:lang w:eastAsia="sl-SI"/>
              </w:rPr>
            </w:pPr>
            <w:r w:rsidRPr="002D0B9F">
              <w:rPr>
                <w:rFonts w:ascii="Arial" w:eastAsia="Times New Roman" w:hAnsi="Arial" w:cs="Arial"/>
                <w:color w:val="000000"/>
                <w:sz w:val="18"/>
                <w:szCs w:val="18"/>
                <w:lang w:eastAsia="sl-SI"/>
              </w:rPr>
              <w:t>99,30</w:t>
            </w:r>
            <w:r>
              <w:rPr>
                <w:rFonts w:ascii="Arial" w:eastAsia="Times New Roman" w:hAnsi="Arial" w:cs="Arial"/>
                <w:color w:val="000000"/>
                <w:sz w:val="18"/>
                <w:szCs w:val="18"/>
                <w:lang w:eastAsia="sl-SI"/>
              </w:rPr>
              <w:t xml:space="preserve"> %</w:t>
            </w:r>
          </w:p>
        </w:tc>
        <w:tc>
          <w:tcPr>
            <w:tcW w:w="534" w:type="pct"/>
            <w:shd w:val="clear" w:color="auto" w:fill="auto"/>
            <w:noWrap/>
            <w:vAlign w:val="center"/>
            <w:hideMark/>
          </w:tcPr>
          <w:p w14:paraId="3E74D64C" w14:textId="77777777" w:rsidR="00E3750C" w:rsidRPr="002D0B9F" w:rsidRDefault="00E3750C" w:rsidP="00047864">
            <w:pPr>
              <w:spacing w:after="0" w:line="240" w:lineRule="auto"/>
              <w:jc w:val="right"/>
              <w:rPr>
                <w:rFonts w:ascii="Arial" w:eastAsia="Times New Roman" w:hAnsi="Arial" w:cs="Arial"/>
                <w:color w:val="000000"/>
                <w:sz w:val="18"/>
                <w:szCs w:val="18"/>
                <w:lang w:eastAsia="sl-SI"/>
              </w:rPr>
            </w:pPr>
            <w:r w:rsidRPr="002D0B9F">
              <w:rPr>
                <w:rFonts w:ascii="Arial" w:eastAsia="Times New Roman" w:hAnsi="Arial" w:cs="Arial"/>
                <w:color w:val="000000"/>
                <w:sz w:val="18"/>
                <w:szCs w:val="18"/>
                <w:lang w:eastAsia="sl-SI"/>
              </w:rPr>
              <w:t>99,50</w:t>
            </w:r>
            <w:r>
              <w:rPr>
                <w:rFonts w:ascii="Arial" w:eastAsia="Times New Roman" w:hAnsi="Arial" w:cs="Arial"/>
                <w:color w:val="000000"/>
                <w:sz w:val="18"/>
                <w:szCs w:val="18"/>
                <w:lang w:eastAsia="sl-SI"/>
              </w:rPr>
              <w:t xml:space="preserve"> %</w:t>
            </w:r>
          </w:p>
        </w:tc>
      </w:tr>
      <w:tr w:rsidR="00E3750C" w:rsidRPr="002D0B9F" w14:paraId="5D68F20E" w14:textId="77777777" w:rsidTr="00047864">
        <w:trPr>
          <w:trHeight w:val="315"/>
        </w:trPr>
        <w:tc>
          <w:tcPr>
            <w:tcW w:w="534" w:type="pct"/>
            <w:vMerge/>
            <w:vAlign w:val="center"/>
            <w:hideMark/>
          </w:tcPr>
          <w:p w14:paraId="0269544E" w14:textId="77777777" w:rsidR="00E3750C" w:rsidRPr="002D0B9F" w:rsidRDefault="00E3750C" w:rsidP="00047864">
            <w:pPr>
              <w:spacing w:after="0" w:line="240" w:lineRule="auto"/>
              <w:rPr>
                <w:rFonts w:ascii="Arial" w:eastAsia="Times New Roman" w:hAnsi="Arial" w:cs="Arial"/>
                <w:color w:val="000000"/>
                <w:sz w:val="18"/>
                <w:szCs w:val="18"/>
                <w:lang w:eastAsia="sl-SI"/>
              </w:rPr>
            </w:pPr>
          </w:p>
        </w:tc>
        <w:tc>
          <w:tcPr>
            <w:tcW w:w="535" w:type="pct"/>
            <w:shd w:val="clear" w:color="auto" w:fill="auto"/>
            <w:noWrap/>
            <w:vAlign w:val="center"/>
            <w:hideMark/>
          </w:tcPr>
          <w:p w14:paraId="1DD3F048" w14:textId="77777777" w:rsidR="00E3750C" w:rsidRPr="002D0B9F" w:rsidRDefault="00E3750C" w:rsidP="00047864">
            <w:pPr>
              <w:spacing w:after="0" w:line="240" w:lineRule="auto"/>
              <w:rPr>
                <w:rFonts w:ascii="Arial" w:eastAsia="Times New Roman" w:hAnsi="Arial" w:cs="Arial"/>
                <w:color w:val="000000"/>
                <w:sz w:val="18"/>
                <w:szCs w:val="18"/>
                <w:lang w:eastAsia="sl-SI"/>
              </w:rPr>
            </w:pPr>
            <w:r w:rsidRPr="002D0B9F">
              <w:rPr>
                <w:rFonts w:ascii="Arial" w:eastAsia="Times New Roman" w:hAnsi="Arial" w:cs="Arial"/>
                <w:color w:val="000000"/>
                <w:sz w:val="18"/>
                <w:szCs w:val="18"/>
                <w:lang w:eastAsia="sl-SI"/>
              </w:rPr>
              <w:t>EU</w:t>
            </w:r>
          </w:p>
        </w:tc>
        <w:tc>
          <w:tcPr>
            <w:tcW w:w="591" w:type="pct"/>
            <w:shd w:val="clear" w:color="auto" w:fill="auto"/>
            <w:noWrap/>
            <w:vAlign w:val="center"/>
            <w:hideMark/>
          </w:tcPr>
          <w:p w14:paraId="66B5B99F" w14:textId="77777777" w:rsidR="00E3750C" w:rsidRPr="002D0B9F" w:rsidRDefault="00E3750C" w:rsidP="00047864">
            <w:pPr>
              <w:spacing w:after="0" w:line="240" w:lineRule="auto"/>
              <w:jc w:val="right"/>
              <w:rPr>
                <w:rFonts w:ascii="Arial" w:eastAsia="Times New Roman" w:hAnsi="Arial" w:cs="Arial"/>
                <w:color w:val="000000"/>
                <w:sz w:val="18"/>
                <w:szCs w:val="18"/>
                <w:lang w:eastAsia="sl-SI"/>
              </w:rPr>
            </w:pPr>
            <w:r w:rsidRPr="002D0B9F">
              <w:rPr>
                <w:rFonts w:ascii="Arial" w:eastAsia="Times New Roman" w:hAnsi="Arial" w:cs="Arial"/>
                <w:color w:val="000000"/>
                <w:sz w:val="18"/>
                <w:szCs w:val="18"/>
                <w:lang w:eastAsia="sl-SI"/>
              </w:rPr>
              <w:t>4</w:t>
            </w:r>
          </w:p>
        </w:tc>
        <w:tc>
          <w:tcPr>
            <w:tcW w:w="534" w:type="pct"/>
            <w:shd w:val="clear" w:color="auto" w:fill="auto"/>
            <w:noWrap/>
            <w:vAlign w:val="center"/>
            <w:hideMark/>
          </w:tcPr>
          <w:p w14:paraId="649EF3D5" w14:textId="77777777" w:rsidR="00E3750C" w:rsidRPr="002D0B9F" w:rsidRDefault="00E3750C" w:rsidP="00047864">
            <w:pPr>
              <w:spacing w:after="0" w:line="240" w:lineRule="auto"/>
              <w:jc w:val="right"/>
              <w:rPr>
                <w:rFonts w:ascii="Arial" w:eastAsia="Times New Roman" w:hAnsi="Arial" w:cs="Arial"/>
                <w:color w:val="000000"/>
                <w:sz w:val="18"/>
                <w:szCs w:val="18"/>
                <w:lang w:eastAsia="sl-SI"/>
              </w:rPr>
            </w:pPr>
            <w:r w:rsidRPr="002D0B9F">
              <w:rPr>
                <w:rFonts w:ascii="Arial" w:eastAsia="Times New Roman" w:hAnsi="Arial" w:cs="Arial"/>
                <w:color w:val="000000"/>
                <w:sz w:val="18"/>
                <w:szCs w:val="18"/>
                <w:lang w:eastAsia="sl-SI"/>
              </w:rPr>
              <w:t>4</w:t>
            </w:r>
          </w:p>
        </w:tc>
        <w:tc>
          <w:tcPr>
            <w:tcW w:w="1147" w:type="pct"/>
            <w:shd w:val="clear" w:color="auto" w:fill="auto"/>
            <w:noWrap/>
            <w:vAlign w:val="center"/>
            <w:hideMark/>
          </w:tcPr>
          <w:p w14:paraId="40FD21DF" w14:textId="77777777" w:rsidR="00E3750C" w:rsidRPr="002D0B9F" w:rsidRDefault="00E3750C" w:rsidP="00047864">
            <w:pPr>
              <w:spacing w:after="0" w:line="240" w:lineRule="auto"/>
              <w:jc w:val="right"/>
              <w:rPr>
                <w:rFonts w:ascii="Arial" w:eastAsia="Times New Roman" w:hAnsi="Arial" w:cs="Arial"/>
                <w:color w:val="000000"/>
                <w:sz w:val="18"/>
                <w:szCs w:val="18"/>
                <w:lang w:eastAsia="sl-SI"/>
              </w:rPr>
            </w:pPr>
            <w:r w:rsidRPr="002D0B9F">
              <w:rPr>
                <w:rFonts w:ascii="Arial" w:eastAsia="Times New Roman" w:hAnsi="Arial" w:cs="Arial"/>
                <w:color w:val="000000"/>
                <w:sz w:val="18"/>
                <w:szCs w:val="18"/>
                <w:lang w:eastAsia="sl-SI"/>
              </w:rPr>
              <w:t>779.583</w:t>
            </w:r>
          </w:p>
        </w:tc>
        <w:tc>
          <w:tcPr>
            <w:tcW w:w="591" w:type="pct"/>
            <w:shd w:val="clear" w:color="auto" w:fill="auto"/>
            <w:noWrap/>
            <w:vAlign w:val="center"/>
            <w:hideMark/>
          </w:tcPr>
          <w:p w14:paraId="4A094CA4" w14:textId="77777777" w:rsidR="00E3750C" w:rsidRPr="002D0B9F" w:rsidRDefault="00E3750C" w:rsidP="00047864">
            <w:pPr>
              <w:spacing w:after="0" w:line="240" w:lineRule="auto"/>
              <w:jc w:val="right"/>
              <w:rPr>
                <w:rFonts w:ascii="Arial" w:eastAsia="Times New Roman" w:hAnsi="Arial" w:cs="Arial"/>
                <w:color w:val="000000"/>
                <w:sz w:val="18"/>
                <w:szCs w:val="18"/>
                <w:lang w:eastAsia="sl-SI"/>
              </w:rPr>
            </w:pPr>
            <w:r w:rsidRPr="002D0B9F">
              <w:rPr>
                <w:rFonts w:ascii="Arial" w:eastAsia="Times New Roman" w:hAnsi="Arial" w:cs="Arial"/>
                <w:color w:val="000000"/>
                <w:sz w:val="18"/>
                <w:szCs w:val="18"/>
                <w:lang w:eastAsia="sl-SI"/>
              </w:rPr>
              <w:t>1,37</w:t>
            </w:r>
            <w:r>
              <w:rPr>
                <w:rFonts w:ascii="Arial" w:eastAsia="Times New Roman" w:hAnsi="Arial" w:cs="Arial"/>
                <w:color w:val="000000"/>
                <w:sz w:val="18"/>
                <w:szCs w:val="18"/>
                <w:lang w:eastAsia="sl-SI"/>
              </w:rPr>
              <w:t xml:space="preserve"> %</w:t>
            </w:r>
          </w:p>
        </w:tc>
        <w:tc>
          <w:tcPr>
            <w:tcW w:w="534" w:type="pct"/>
            <w:shd w:val="clear" w:color="auto" w:fill="auto"/>
            <w:noWrap/>
            <w:vAlign w:val="center"/>
            <w:hideMark/>
          </w:tcPr>
          <w:p w14:paraId="61CE073E" w14:textId="77777777" w:rsidR="00E3750C" w:rsidRPr="002D0B9F" w:rsidRDefault="00E3750C" w:rsidP="00047864">
            <w:pPr>
              <w:spacing w:after="0" w:line="240" w:lineRule="auto"/>
              <w:jc w:val="right"/>
              <w:rPr>
                <w:rFonts w:ascii="Arial" w:eastAsia="Times New Roman" w:hAnsi="Arial" w:cs="Arial"/>
                <w:color w:val="000000"/>
                <w:sz w:val="18"/>
                <w:szCs w:val="18"/>
                <w:lang w:eastAsia="sl-SI"/>
              </w:rPr>
            </w:pPr>
            <w:r w:rsidRPr="002D0B9F">
              <w:rPr>
                <w:rFonts w:ascii="Arial" w:eastAsia="Times New Roman" w:hAnsi="Arial" w:cs="Arial"/>
                <w:color w:val="000000"/>
                <w:sz w:val="18"/>
                <w:szCs w:val="18"/>
                <w:lang w:eastAsia="sl-SI"/>
              </w:rPr>
              <w:t>0,70</w:t>
            </w:r>
            <w:r>
              <w:rPr>
                <w:rFonts w:ascii="Arial" w:eastAsia="Times New Roman" w:hAnsi="Arial" w:cs="Arial"/>
                <w:color w:val="000000"/>
                <w:sz w:val="18"/>
                <w:szCs w:val="18"/>
                <w:lang w:eastAsia="sl-SI"/>
              </w:rPr>
              <w:t xml:space="preserve"> %</w:t>
            </w:r>
          </w:p>
        </w:tc>
        <w:tc>
          <w:tcPr>
            <w:tcW w:w="534" w:type="pct"/>
            <w:shd w:val="clear" w:color="auto" w:fill="auto"/>
            <w:noWrap/>
            <w:vAlign w:val="center"/>
            <w:hideMark/>
          </w:tcPr>
          <w:p w14:paraId="37F8C34B" w14:textId="77777777" w:rsidR="00E3750C" w:rsidRPr="002D0B9F" w:rsidRDefault="00E3750C" w:rsidP="00047864">
            <w:pPr>
              <w:spacing w:after="0" w:line="240" w:lineRule="auto"/>
              <w:jc w:val="right"/>
              <w:rPr>
                <w:rFonts w:ascii="Arial" w:eastAsia="Times New Roman" w:hAnsi="Arial" w:cs="Arial"/>
                <w:color w:val="000000"/>
                <w:sz w:val="18"/>
                <w:szCs w:val="18"/>
                <w:lang w:eastAsia="sl-SI"/>
              </w:rPr>
            </w:pPr>
            <w:r w:rsidRPr="002D0B9F">
              <w:rPr>
                <w:rFonts w:ascii="Arial" w:eastAsia="Times New Roman" w:hAnsi="Arial" w:cs="Arial"/>
                <w:color w:val="000000"/>
                <w:sz w:val="18"/>
                <w:szCs w:val="18"/>
                <w:lang w:eastAsia="sl-SI"/>
              </w:rPr>
              <w:t>0,50</w:t>
            </w:r>
            <w:r>
              <w:rPr>
                <w:rFonts w:ascii="Arial" w:eastAsia="Times New Roman" w:hAnsi="Arial" w:cs="Arial"/>
                <w:color w:val="000000"/>
                <w:sz w:val="18"/>
                <w:szCs w:val="18"/>
                <w:lang w:eastAsia="sl-SI"/>
              </w:rPr>
              <w:t xml:space="preserve"> %</w:t>
            </w:r>
          </w:p>
        </w:tc>
      </w:tr>
      <w:tr w:rsidR="00E3750C" w:rsidRPr="002D0B9F" w14:paraId="35AAFA9E" w14:textId="77777777" w:rsidTr="00047864">
        <w:trPr>
          <w:trHeight w:val="315"/>
        </w:trPr>
        <w:tc>
          <w:tcPr>
            <w:tcW w:w="534" w:type="pct"/>
            <w:vMerge/>
            <w:vAlign w:val="center"/>
            <w:hideMark/>
          </w:tcPr>
          <w:p w14:paraId="1E1AECD0" w14:textId="77777777" w:rsidR="00E3750C" w:rsidRPr="002D0B9F" w:rsidRDefault="00E3750C" w:rsidP="00047864">
            <w:pPr>
              <w:spacing w:after="0" w:line="240" w:lineRule="auto"/>
              <w:rPr>
                <w:rFonts w:ascii="Arial" w:eastAsia="Times New Roman" w:hAnsi="Arial" w:cs="Arial"/>
                <w:color w:val="000000"/>
                <w:sz w:val="18"/>
                <w:szCs w:val="18"/>
                <w:lang w:eastAsia="sl-SI"/>
              </w:rPr>
            </w:pPr>
          </w:p>
        </w:tc>
        <w:tc>
          <w:tcPr>
            <w:tcW w:w="535" w:type="pct"/>
            <w:shd w:val="clear" w:color="auto" w:fill="auto"/>
            <w:noWrap/>
            <w:vAlign w:val="center"/>
            <w:hideMark/>
          </w:tcPr>
          <w:p w14:paraId="09FBA65B" w14:textId="77777777" w:rsidR="00E3750C" w:rsidRPr="002D0B9F" w:rsidRDefault="00E3750C" w:rsidP="00047864">
            <w:pPr>
              <w:spacing w:after="0" w:line="240" w:lineRule="auto"/>
              <w:rPr>
                <w:rFonts w:ascii="Arial" w:eastAsia="Times New Roman" w:hAnsi="Arial" w:cs="Arial"/>
                <w:b/>
                <w:bCs/>
                <w:color w:val="000000"/>
                <w:sz w:val="18"/>
                <w:szCs w:val="18"/>
                <w:lang w:eastAsia="sl-SI"/>
              </w:rPr>
            </w:pPr>
            <w:r w:rsidRPr="002D0B9F">
              <w:rPr>
                <w:rFonts w:ascii="Arial" w:eastAsia="Times New Roman" w:hAnsi="Arial" w:cs="Arial"/>
                <w:b/>
                <w:bCs/>
                <w:color w:val="000000"/>
                <w:sz w:val="18"/>
                <w:szCs w:val="18"/>
                <w:lang w:eastAsia="sl-SI"/>
              </w:rPr>
              <w:t>Skupaj</w:t>
            </w:r>
          </w:p>
        </w:tc>
        <w:tc>
          <w:tcPr>
            <w:tcW w:w="591" w:type="pct"/>
            <w:shd w:val="clear" w:color="auto" w:fill="auto"/>
            <w:noWrap/>
            <w:vAlign w:val="center"/>
            <w:hideMark/>
          </w:tcPr>
          <w:p w14:paraId="1629ACC8" w14:textId="77777777" w:rsidR="00E3750C" w:rsidRPr="002D0B9F" w:rsidRDefault="00E3750C" w:rsidP="00047864">
            <w:pPr>
              <w:spacing w:after="0" w:line="240" w:lineRule="auto"/>
              <w:jc w:val="right"/>
              <w:rPr>
                <w:rFonts w:ascii="Arial" w:eastAsia="Times New Roman" w:hAnsi="Arial" w:cs="Arial"/>
                <w:b/>
                <w:bCs/>
                <w:color w:val="000000"/>
                <w:sz w:val="18"/>
                <w:szCs w:val="18"/>
                <w:lang w:eastAsia="sl-SI"/>
              </w:rPr>
            </w:pPr>
            <w:r w:rsidRPr="002D0B9F">
              <w:rPr>
                <w:rFonts w:ascii="Arial" w:eastAsia="Times New Roman" w:hAnsi="Arial" w:cs="Arial"/>
                <w:b/>
                <w:bCs/>
                <w:color w:val="000000"/>
                <w:sz w:val="18"/>
                <w:szCs w:val="18"/>
                <w:lang w:eastAsia="sl-SI"/>
              </w:rPr>
              <w:t>292</w:t>
            </w:r>
          </w:p>
        </w:tc>
        <w:tc>
          <w:tcPr>
            <w:tcW w:w="534" w:type="pct"/>
            <w:shd w:val="clear" w:color="auto" w:fill="auto"/>
            <w:noWrap/>
            <w:vAlign w:val="center"/>
            <w:hideMark/>
          </w:tcPr>
          <w:p w14:paraId="57D61F37" w14:textId="77777777" w:rsidR="00E3750C" w:rsidRPr="002D0B9F" w:rsidRDefault="00E3750C" w:rsidP="00047864">
            <w:pPr>
              <w:spacing w:after="0" w:line="240" w:lineRule="auto"/>
              <w:jc w:val="right"/>
              <w:rPr>
                <w:rFonts w:ascii="Arial" w:eastAsia="Times New Roman" w:hAnsi="Arial" w:cs="Arial"/>
                <w:b/>
                <w:bCs/>
                <w:color w:val="000000"/>
                <w:sz w:val="18"/>
                <w:szCs w:val="18"/>
                <w:lang w:eastAsia="sl-SI"/>
              </w:rPr>
            </w:pPr>
            <w:r w:rsidRPr="002D0B9F">
              <w:rPr>
                <w:rFonts w:ascii="Arial" w:eastAsia="Times New Roman" w:hAnsi="Arial" w:cs="Arial"/>
                <w:b/>
                <w:bCs/>
                <w:color w:val="000000"/>
                <w:sz w:val="18"/>
                <w:szCs w:val="18"/>
                <w:lang w:eastAsia="sl-SI"/>
              </w:rPr>
              <w:t>569</w:t>
            </w:r>
          </w:p>
        </w:tc>
        <w:tc>
          <w:tcPr>
            <w:tcW w:w="1147" w:type="pct"/>
            <w:shd w:val="clear" w:color="auto" w:fill="auto"/>
            <w:noWrap/>
            <w:vAlign w:val="center"/>
            <w:hideMark/>
          </w:tcPr>
          <w:p w14:paraId="4C78616A" w14:textId="77777777" w:rsidR="00E3750C" w:rsidRPr="002D0B9F" w:rsidRDefault="00E3750C" w:rsidP="00047864">
            <w:pPr>
              <w:spacing w:after="0" w:line="240" w:lineRule="auto"/>
              <w:jc w:val="right"/>
              <w:rPr>
                <w:rFonts w:ascii="Arial" w:eastAsia="Times New Roman" w:hAnsi="Arial" w:cs="Arial"/>
                <w:b/>
                <w:bCs/>
                <w:color w:val="000000"/>
                <w:sz w:val="18"/>
                <w:szCs w:val="18"/>
                <w:lang w:eastAsia="sl-SI"/>
              </w:rPr>
            </w:pPr>
            <w:r w:rsidRPr="002D0B9F">
              <w:rPr>
                <w:rFonts w:ascii="Arial" w:eastAsia="Times New Roman" w:hAnsi="Arial" w:cs="Arial"/>
                <w:b/>
                <w:bCs/>
                <w:color w:val="000000"/>
                <w:sz w:val="18"/>
                <w:szCs w:val="18"/>
                <w:lang w:eastAsia="sl-SI"/>
              </w:rPr>
              <w:t>156.097.975</w:t>
            </w:r>
          </w:p>
        </w:tc>
        <w:tc>
          <w:tcPr>
            <w:tcW w:w="591" w:type="pct"/>
            <w:shd w:val="clear" w:color="auto" w:fill="auto"/>
            <w:noWrap/>
            <w:vAlign w:val="center"/>
            <w:hideMark/>
          </w:tcPr>
          <w:p w14:paraId="413DF095" w14:textId="77777777" w:rsidR="00E3750C" w:rsidRPr="002D0B9F" w:rsidRDefault="00E3750C" w:rsidP="00047864">
            <w:pPr>
              <w:spacing w:after="0" w:line="240" w:lineRule="auto"/>
              <w:jc w:val="right"/>
              <w:rPr>
                <w:rFonts w:ascii="Arial" w:eastAsia="Times New Roman" w:hAnsi="Arial" w:cs="Arial"/>
                <w:b/>
                <w:bCs/>
                <w:color w:val="000000"/>
                <w:sz w:val="18"/>
                <w:szCs w:val="18"/>
                <w:lang w:eastAsia="sl-SI"/>
              </w:rPr>
            </w:pPr>
            <w:r w:rsidRPr="002D0B9F">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34" w:type="pct"/>
            <w:shd w:val="clear" w:color="auto" w:fill="auto"/>
            <w:noWrap/>
            <w:vAlign w:val="center"/>
            <w:hideMark/>
          </w:tcPr>
          <w:p w14:paraId="00434C24" w14:textId="77777777" w:rsidR="00E3750C" w:rsidRPr="002D0B9F" w:rsidRDefault="00E3750C" w:rsidP="00047864">
            <w:pPr>
              <w:spacing w:after="0" w:line="240" w:lineRule="auto"/>
              <w:jc w:val="right"/>
              <w:rPr>
                <w:rFonts w:ascii="Arial" w:eastAsia="Times New Roman" w:hAnsi="Arial" w:cs="Arial"/>
                <w:b/>
                <w:bCs/>
                <w:color w:val="000000"/>
                <w:sz w:val="18"/>
                <w:szCs w:val="18"/>
                <w:lang w:eastAsia="sl-SI"/>
              </w:rPr>
            </w:pPr>
            <w:r w:rsidRPr="002D0B9F">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34" w:type="pct"/>
            <w:shd w:val="clear" w:color="auto" w:fill="auto"/>
            <w:noWrap/>
            <w:vAlign w:val="center"/>
            <w:hideMark/>
          </w:tcPr>
          <w:p w14:paraId="30CCA38C" w14:textId="77777777" w:rsidR="00E3750C" w:rsidRPr="002D0B9F" w:rsidRDefault="00E3750C" w:rsidP="00047864">
            <w:pPr>
              <w:spacing w:after="0" w:line="240" w:lineRule="auto"/>
              <w:jc w:val="right"/>
              <w:rPr>
                <w:rFonts w:ascii="Arial" w:eastAsia="Times New Roman" w:hAnsi="Arial" w:cs="Arial"/>
                <w:b/>
                <w:bCs/>
                <w:color w:val="000000"/>
                <w:sz w:val="18"/>
                <w:szCs w:val="18"/>
                <w:lang w:eastAsia="sl-SI"/>
              </w:rPr>
            </w:pPr>
            <w:r w:rsidRPr="002D0B9F">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E3750C" w:rsidRPr="002D0B9F" w14:paraId="56180A1D" w14:textId="77777777" w:rsidTr="00047864">
        <w:trPr>
          <w:trHeight w:val="315"/>
        </w:trPr>
        <w:tc>
          <w:tcPr>
            <w:tcW w:w="534" w:type="pct"/>
            <w:shd w:val="clear" w:color="auto" w:fill="auto"/>
            <w:noWrap/>
            <w:vAlign w:val="center"/>
            <w:hideMark/>
          </w:tcPr>
          <w:p w14:paraId="7B5D4F92" w14:textId="77777777" w:rsidR="00E3750C" w:rsidRPr="002D0B9F" w:rsidRDefault="00E3750C" w:rsidP="00047864">
            <w:pPr>
              <w:spacing w:after="0" w:line="240" w:lineRule="auto"/>
              <w:rPr>
                <w:rFonts w:ascii="Arial" w:eastAsia="Times New Roman" w:hAnsi="Arial" w:cs="Arial"/>
                <w:color w:val="000000"/>
                <w:sz w:val="18"/>
                <w:szCs w:val="18"/>
                <w:lang w:eastAsia="sl-SI"/>
              </w:rPr>
            </w:pPr>
            <w:r w:rsidRPr="002D0B9F">
              <w:rPr>
                <w:rFonts w:ascii="Arial" w:eastAsia="Times New Roman" w:hAnsi="Arial" w:cs="Arial"/>
                <w:color w:val="000000"/>
                <w:sz w:val="18"/>
                <w:szCs w:val="18"/>
                <w:lang w:eastAsia="sl-SI"/>
              </w:rPr>
              <w:t>Gradnje</w:t>
            </w:r>
          </w:p>
        </w:tc>
        <w:tc>
          <w:tcPr>
            <w:tcW w:w="535" w:type="pct"/>
            <w:shd w:val="clear" w:color="auto" w:fill="auto"/>
            <w:noWrap/>
            <w:vAlign w:val="center"/>
            <w:hideMark/>
          </w:tcPr>
          <w:p w14:paraId="45C27B84" w14:textId="77777777" w:rsidR="00E3750C" w:rsidRPr="002D0B9F" w:rsidRDefault="00E3750C" w:rsidP="00047864">
            <w:pPr>
              <w:spacing w:after="0" w:line="240" w:lineRule="auto"/>
              <w:rPr>
                <w:rFonts w:ascii="Arial" w:eastAsia="Times New Roman" w:hAnsi="Arial" w:cs="Arial"/>
                <w:color w:val="000000"/>
                <w:sz w:val="18"/>
                <w:szCs w:val="18"/>
                <w:lang w:eastAsia="sl-SI"/>
              </w:rPr>
            </w:pPr>
            <w:r w:rsidRPr="002D0B9F">
              <w:rPr>
                <w:rFonts w:ascii="Arial" w:eastAsia="Times New Roman" w:hAnsi="Arial" w:cs="Arial"/>
                <w:color w:val="000000"/>
                <w:sz w:val="18"/>
                <w:szCs w:val="18"/>
                <w:lang w:eastAsia="sl-SI"/>
              </w:rPr>
              <w:t>Slovenija</w:t>
            </w:r>
          </w:p>
        </w:tc>
        <w:tc>
          <w:tcPr>
            <w:tcW w:w="591" w:type="pct"/>
            <w:shd w:val="clear" w:color="auto" w:fill="auto"/>
            <w:noWrap/>
            <w:vAlign w:val="center"/>
            <w:hideMark/>
          </w:tcPr>
          <w:p w14:paraId="51094AF2" w14:textId="77777777" w:rsidR="00E3750C" w:rsidRPr="002D0B9F" w:rsidRDefault="00E3750C" w:rsidP="00047864">
            <w:pPr>
              <w:spacing w:after="0" w:line="240" w:lineRule="auto"/>
              <w:jc w:val="right"/>
              <w:rPr>
                <w:rFonts w:ascii="Arial" w:eastAsia="Times New Roman" w:hAnsi="Arial" w:cs="Arial"/>
                <w:b/>
                <w:bCs/>
                <w:color w:val="000000"/>
                <w:sz w:val="18"/>
                <w:szCs w:val="18"/>
                <w:lang w:eastAsia="sl-SI"/>
              </w:rPr>
            </w:pPr>
            <w:r w:rsidRPr="002D0B9F">
              <w:rPr>
                <w:rFonts w:ascii="Arial" w:eastAsia="Times New Roman" w:hAnsi="Arial" w:cs="Arial"/>
                <w:b/>
                <w:bCs/>
                <w:color w:val="000000"/>
                <w:sz w:val="18"/>
                <w:szCs w:val="18"/>
                <w:lang w:eastAsia="sl-SI"/>
              </w:rPr>
              <w:t>258</w:t>
            </w:r>
          </w:p>
        </w:tc>
        <w:tc>
          <w:tcPr>
            <w:tcW w:w="534" w:type="pct"/>
            <w:shd w:val="clear" w:color="auto" w:fill="auto"/>
            <w:noWrap/>
            <w:vAlign w:val="center"/>
            <w:hideMark/>
          </w:tcPr>
          <w:p w14:paraId="6C8D1781" w14:textId="77777777" w:rsidR="00E3750C" w:rsidRPr="002D0B9F" w:rsidRDefault="00E3750C" w:rsidP="00047864">
            <w:pPr>
              <w:spacing w:after="0" w:line="240" w:lineRule="auto"/>
              <w:jc w:val="right"/>
              <w:rPr>
                <w:rFonts w:ascii="Arial" w:eastAsia="Times New Roman" w:hAnsi="Arial" w:cs="Arial"/>
                <w:b/>
                <w:bCs/>
                <w:color w:val="000000"/>
                <w:sz w:val="18"/>
                <w:szCs w:val="18"/>
                <w:lang w:eastAsia="sl-SI"/>
              </w:rPr>
            </w:pPr>
            <w:r w:rsidRPr="002D0B9F">
              <w:rPr>
                <w:rFonts w:ascii="Arial" w:eastAsia="Times New Roman" w:hAnsi="Arial" w:cs="Arial"/>
                <w:b/>
                <w:bCs/>
                <w:color w:val="000000"/>
                <w:sz w:val="18"/>
                <w:szCs w:val="18"/>
                <w:lang w:eastAsia="sl-SI"/>
              </w:rPr>
              <w:t>657</w:t>
            </w:r>
          </w:p>
        </w:tc>
        <w:tc>
          <w:tcPr>
            <w:tcW w:w="1147" w:type="pct"/>
            <w:shd w:val="clear" w:color="auto" w:fill="auto"/>
            <w:noWrap/>
            <w:vAlign w:val="center"/>
            <w:hideMark/>
          </w:tcPr>
          <w:p w14:paraId="7BCB97C9" w14:textId="77777777" w:rsidR="00E3750C" w:rsidRPr="002D0B9F" w:rsidRDefault="00E3750C" w:rsidP="00047864">
            <w:pPr>
              <w:spacing w:after="0" w:line="240" w:lineRule="auto"/>
              <w:jc w:val="right"/>
              <w:rPr>
                <w:rFonts w:ascii="Arial" w:eastAsia="Times New Roman" w:hAnsi="Arial" w:cs="Arial"/>
                <w:b/>
                <w:bCs/>
                <w:color w:val="000000"/>
                <w:sz w:val="18"/>
                <w:szCs w:val="18"/>
                <w:lang w:eastAsia="sl-SI"/>
              </w:rPr>
            </w:pPr>
            <w:r w:rsidRPr="002D0B9F">
              <w:rPr>
                <w:rFonts w:ascii="Arial" w:eastAsia="Times New Roman" w:hAnsi="Arial" w:cs="Arial"/>
                <w:b/>
                <w:bCs/>
                <w:color w:val="000000"/>
                <w:sz w:val="18"/>
                <w:szCs w:val="18"/>
                <w:lang w:eastAsia="sl-SI"/>
              </w:rPr>
              <w:t>986.996.598</w:t>
            </w:r>
          </w:p>
        </w:tc>
        <w:tc>
          <w:tcPr>
            <w:tcW w:w="591" w:type="pct"/>
            <w:shd w:val="clear" w:color="auto" w:fill="auto"/>
            <w:noWrap/>
            <w:vAlign w:val="center"/>
            <w:hideMark/>
          </w:tcPr>
          <w:p w14:paraId="4C8AF7D3" w14:textId="77777777" w:rsidR="00E3750C" w:rsidRPr="002D0B9F" w:rsidRDefault="00E3750C" w:rsidP="00047864">
            <w:pPr>
              <w:spacing w:after="0" w:line="240" w:lineRule="auto"/>
              <w:jc w:val="right"/>
              <w:rPr>
                <w:rFonts w:ascii="Arial" w:eastAsia="Times New Roman" w:hAnsi="Arial" w:cs="Arial"/>
                <w:b/>
                <w:bCs/>
                <w:color w:val="000000"/>
                <w:sz w:val="18"/>
                <w:szCs w:val="18"/>
                <w:lang w:eastAsia="sl-SI"/>
              </w:rPr>
            </w:pPr>
            <w:r w:rsidRPr="002D0B9F">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34" w:type="pct"/>
            <w:shd w:val="clear" w:color="auto" w:fill="auto"/>
            <w:noWrap/>
            <w:vAlign w:val="center"/>
            <w:hideMark/>
          </w:tcPr>
          <w:p w14:paraId="0A523299" w14:textId="77777777" w:rsidR="00E3750C" w:rsidRPr="002D0B9F" w:rsidRDefault="00E3750C" w:rsidP="00047864">
            <w:pPr>
              <w:spacing w:after="0" w:line="240" w:lineRule="auto"/>
              <w:jc w:val="right"/>
              <w:rPr>
                <w:rFonts w:ascii="Arial" w:eastAsia="Times New Roman" w:hAnsi="Arial" w:cs="Arial"/>
                <w:b/>
                <w:bCs/>
                <w:color w:val="000000"/>
                <w:sz w:val="18"/>
                <w:szCs w:val="18"/>
                <w:lang w:eastAsia="sl-SI"/>
              </w:rPr>
            </w:pPr>
            <w:r w:rsidRPr="002D0B9F">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534" w:type="pct"/>
            <w:shd w:val="clear" w:color="auto" w:fill="auto"/>
            <w:noWrap/>
            <w:vAlign w:val="center"/>
            <w:hideMark/>
          </w:tcPr>
          <w:p w14:paraId="0E6BBC00" w14:textId="77777777" w:rsidR="00E3750C" w:rsidRPr="002D0B9F" w:rsidRDefault="00E3750C" w:rsidP="00047864">
            <w:pPr>
              <w:spacing w:after="0" w:line="240" w:lineRule="auto"/>
              <w:jc w:val="right"/>
              <w:rPr>
                <w:rFonts w:ascii="Arial" w:eastAsia="Times New Roman" w:hAnsi="Arial" w:cs="Arial"/>
                <w:b/>
                <w:bCs/>
                <w:color w:val="000000"/>
                <w:sz w:val="18"/>
                <w:szCs w:val="18"/>
                <w:lang w:eastAsia="sl-SI"/>
              </w:rPr>
            </w:pPr>
            <w:r w:rsidRPr="002D0B9F">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r w:rsidR="00E3750C" w:rsidRPr="002D0B9F" w14:paraId="671C978E" w14:textId="77777777" w:rsidTr="00047864">
        <w:trPr>
          <w:gridAfter w:val="3"/>
          <w:wAfter w:w="1659" w:type="pct"/>
          <w:trHeight w:val="300"/>
        </w:trPr>
        <w:tc>
          <w:tcPr>
            <w:tcW w:w="1069" w:type="pct"/>
            <w:gridSpan w:val="2"/>
            <w:shd w:val="clear" w:color="auto" w:fill="F2F2F2" w:themeFill="background1" w:themeFillShade="F2"/>
            <w:noWrap/>
            <w:vAlign w:val="center"/>
            <w:hideMark/>
          </w:tcPr>
          <w:p w14:paraId="7348EAA0" w14:textId="77777777" w:rsidR="00E3750C" w:rsidRPr="002D0B9F" w:rsidRDefault="00E3750C" w:rsidP="00047864">
            <w:pPr>
              <w:spacing w:after="0" w:line="240" w:lineRule="auto"/>
              <w:rPr>
                <w:rFonts w:ascii="Arial" w:eastAsia="Times New Roman" w:hAnsi="Arial" w:cs="Arial"/>
                <w:b/>
                <w:bCs/>
                <w:color w:val="000000"/>
                <w:sz w:val="18"/>
                <w:szCs w:val="18"/>
                <w:lang w:eastAsia="sl-SI"/>
              </w:rPr>
            </w:pPr>
            <w:r w:rsidRPr="002D0B9F">
              <w:rPr>
                <w:rFonts w:ascii="Arial" w:eastAsia="Times New Roman" w:hAnsi="Arial" w:cs="Arial"/>
                <w:b/>
                <w:bCs/>
                <w:color w:val="000000"/>
                <w:sz w:val="18"/>
                <w:szCs w:val="18"/>
                <w:lang w:eastAsia="sl-SI"/>
              </w:rPr>
              <w:t>Skupaj</w:t>
            </w:r>
          </w:p>
        </w:tc>
        <w:tc>
          <w:tcPr>
            <w:tcW w:w="591" w:type="pct"/>
            <w:shd w:val="clear" w:color="auto" w:fill="F2F2F2" w:themeFill="background1" w:themeFillShade="F2"/>
            <w:noWrap/>
            <w:vAlign w:val="center"/>
            <w:hideMark/>
          </w:tcPr>
          <w:p w14:paraId="4F5DF223" w14:textId="77777777" w:rsidR="00E3750C" w:rsidRPr="002D0B9F" w:rsidRDefault="00E3750C" w:rsidP="00047864">
            <w:pPr>
              <w:spacing w:after="0" w:line="240" w:lineRule="auto"/>
              <w:jc w:val="right"/>
              <w:rPr>
                <w:rFonts w:ascii="Arial" w:eastAsia="Times New Roman" w:hAnsi="Arial" w:cs="Arial"/>
                <w:b/>
                <w:bCs/>
                <w:color w:val="000000"/>
                <w:sz w:val="18"/>
                <w:szCs w:val="18"/>
                <w:lang w:eastAsia="sl-SI"/>
              </w:rPr>
            </w:pPr>
            <w:r w:rsidRPr="002D0B9F">
              <w:rPr>
                <w:rFonts w:ascii="Arial" w:eastAsia="Times New Roman" w:hAnsi="Arial" w:cs="Arial"/>
                <w:b/>
                <w:bCs/>
                <w:color w:val="000000"/>
                <w:sz w:val="18"/>
                <w:szCs w:val="18"/>
                <w:lang w:eastAsia="sl-SI"/>
              </w:rPr>
              <w:t>977</w:t>
            </w:r>
          </w:p>
        </w:tc>
        <w:tc>
          <w:tcPr>
            <w:tcW w:w="534" w:type="pct"/>
            <w:shd w:val="clear" w:color="auto" w:fill="F2F2F2" w:themeFill="background1" w:themeFillShade="F2"/>
            <w:noWrap/>
            <w:vAlign w:val="center"/>
            <w:hideMark/>
          </w:tcPr>
          <w:p w14:paraId="621F05D9" w14:textId="77777777" w:rsidR="00E3750C" w:rsidRPr="002D0B9F" w:rsidRDefault="00E3750C" w:rsidP="00047864">
            <w:pPr>
              <w:spacing w:after="0" w:line="240" w:lineRule="auto"/>
              <w:jc w:val="right"/>
              <w:rPr>
                <w:rFonts w:ascii="Arial" w:eastAsia="Times New Roman" w:hAnsi="Arial" w:cs="Arial"/>
                <w:b/>
                <w:bCs/>
                <w:color w:val="000000"/>
                <w:sz w:val="18"/>
                <w:szCs w:val="18"/>
                <w:lang w:eastAsia="sl-SI"/>
              </w:rPr>
            </w:pPr>
            <w:r w:rsidRPr="002D0B9F">
              <w:rPr>
                <w:rFonts w:ascii="Arial" w:eastAsia="Times New Roman" w:hAnsi="Arial" w:cs="Arial"/>
                <w:b/>
                <w:bCs/>
                <w:color w:val="000000"/>
                <w:sz w:val="18"/>
                <w:szCs w:val="18"/>
                <w:lang w:eastAsia="sl-SI"/>
              </w:rPr>
              <w:t>5.162</w:t>
            </w:r>
          </w:p>
        </w:tc>
        <w:tc>
          <w:tcPr>
            <w:tcW w:w="1147" w:type="pct"/>
            <w:shd w:val="clear" w:color="auto" w:fill="F2F2F2" w:themeFill="background1" w:themeFillShade="F2"/>
            <w:noWrap/>
            <w:vAlign w:val="center"/>
            <w:hideMark/>
          </w:tcPr>
          <w:p w14:paraId="5B304D91" w14:textId="77777777" w:rsidR="00E3750C" w:rsidRPr="002D0B9F" w:rsidRDefault="00E3750C" w:rsidP="00047864">
            <w:pPr>
              <w:spacing w:after="0" w:line="240" w:lineRule="auto"/>
              <w:jc w:val="right"/>
              <w:rPr>
                <w:rFonts w:ascii="Arial" w:eastAsia="Times New Roman" w:hAnsi="Arial" w:cs="Arial"/>
                <w:b/>
                <w:bCs/>
                <w:color w:val="000000"/>
                <w:sz w:val="18"/>
                <w:szCs w:val="18"/>
                <w:lang w:eastAsia="sl-SI"/>
              </w:rPr>
            </w:pPr>
            <w:r w:rsidRPr="002D0B9F">
              <w:rPr>
                <w:rFonts w:ascii="Arial" w:eastAsia="Times New Roman" w:hAnsi="Arial" w:cs="Arial"/>
                <w:b/>
                <w:bCs/>
                <w:color w:val="000000"/>
                <w:sz w:val="18"/>
                <w:szCs w:val="18"/>
                <w:lang w:eastAsia="sl-SI"/>
              </w:rPr>
              <w:t>1.422.738.797</w:t>
            </w:r>
          </w:p>
        </w:tc>
      </w:tr>
    </w:tbl>
    <w:p w14:paraId="4EEF014B" w14:textId="77777777" w:rsidR="00E3750C" w:rsidRPr="00BF7302" w:rsidRDefault="00E3750C" w:rsidP="00E3750C">
      <w:pPr>
        <w:spacing w:after="0" w:line="240" w:lineRule="auto"/>
        <w:rPr>
          <w:rFonts w:ascii="Arial" w:hAnsi="Arial" w:cs="Arial"/>
          <w:sz w:val="20"/>
          <w:szCs w:val="20"/>
          <w:highlight w:val="yellow"/>
        </w:rPr>
      </w:pPr>
    </w:p>
    <w:p w14:paraId="42118ADD" w14:textId="77777777" w:rsidR="00E3750C" w:rsidRPr="009C46B1" w:rsidRDefault="00E3750C" w:rsidP="00E3750C">
      <w:pPr>
        <w:spacing w:before="120" w:after="0" w:line="240" w:lineRule="auto"/>
        <w:rPr>
          <w:rFonts w:ascii="Arial" w:hAnsi="Arial" w:cs="Arial"/>
          <w:sz w:val="20"/>
          <w:szCs w:val="20"/>
        </w:rPr>
      </w:pPr>
      <w:r w:rsidRPr="009C46B1">
        <w:rPr>
          <w:rFonts w:ascii="Arial" w:hAnsi="Arial" w:cs="Arial"/>
          <w:sz w:val="20"/>
          <w:szCs w:val="20"/>
        </w:rPr>
        <w:t>Preglednica 10</w:t>
      </w:r>
      <w:r>
        <w:rPr>
          <w:rFonts w:ascii="Arial" w:hAnsi="Arial" w:cs="Arial"/>
          <w:sz w:val="20"/>
          <w:szCs w:val="20"/>
        </w:rPr>
        <w:t>6</w:t>
      </w:r>
      <w:r w:rsidRPr="009C46B1">
        <w:rPr>
          <w:rFonts w:ascii="Arial" w:hAnsi="Arial" w:cs="Arial"/>
          <w:sz w:val="20"/>
          <w:szCs w:val="20"/>
        </w:rPr>
        <w:t>: Število ponudnikov, ki jim je bilo oddano vsaj eno zeleno naročilo, razčlenjeno glede na vrsto predmeta in velikost ponudnika</w:t>
      </w:r>
    </w:p>
    <w:p w14:paraId="36091A5A" w14:textId="77777777" w:rsidR="00E3750C" w:rsidRPr="00BF7302" w:rsidRDefault="00E3750C" w:rsidP="00E3750C">
      <w:pPr>
        <w:spacing w:after="0" w:line="240" w:lineRule="auto"/>
        <w:rPr>
          <w:rFonts w:ascii="Arial" w:hAnsi="Arial" w:cs="Arial"/>
          <w:sz w:val="20"/>
          <w:szCs w:val="20"/>
          <w:highlight w:val="yellow"/>
        </w:rPr>
      </w:pPr>
    </w:p>
    <w:tbl>
      <w:tblPr>
        <w:tblW w:w="5000" w:type="pct"/>
        <w:tblLayout w:type="fixed"/>
        <w:tblCellMar>
          <w:left w:w="70" w:type="dxa"/>
          <w:right w:w="70" w:type="dxa"/>
        </w:tblCellMar>
        <w:tblLook w:val="04A0" w:firstRow="1" w:lastRow="0" w:firstColumn="1" w:lastColumn="0" w:noHBand="0" w:noVBand="1"/>
      </w:tblPr>
      <w:tblGrid>
        <w:gridCol w:w="845"/>
        <w:gridCol w:w="1844"/>
        <w:gridCol w:w="1134"/>
        <w:gridCol w:w="850"/>
        <w:gridCol w:w="1418"/>
        <w:gridCol w:w="1134"/>
        <w:gridCol w:w="991"/>
        <w:gridCol w:w="958"/>
      </w:tblGrid>
      <w:tr w:rsidR="00E3750C" w:rsidRPr="009C46B1" w14:paraId="3B067BBA" w14:textId="77777777" w:rsidTr="00047864">
        <w:trPr>
          <w:trHeight w:val="720"/>
          <w:tblHeader/>
        </w:trPr>
        <w:tc>
          <w:tcPr>
            <w:tcW w:w="461"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644AEE9" w14:textId="77777777" w:rsidR="00E3750C" w:rsidRPr="009C46B1" w:rsidRDefault="00E3750C" w:rsidP="00047864">
            <w:pPr>
              <w:spacing w:after="0" w:line="240" w:lineRule="auto"/>
              <w:jc w:val="center"/>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Predmet</w:t>
            </w:r>
          </w:p>
        </w:tc>
        <w:tc>
          <w:tcPr>
            <w:tcW w:w="1005" w:type="pct"/>
            <w:tcBorders>
              <w:top w:val="single" w:sz="4" w:space="0" w:color="auto"/>
              <w:left w:val="nil"/>
              <w:bottom w:val="single" w:sz="4" w:space="0" w:color="auto"/>
              <w:right w:val="single" w:sz="4" w:space="0" w:color="auto"/>
            </w:tcBorders>
            <w:shd w:val="clear" w:color="000000" w:fill="F2F2F2"/>
            <w:vAlign w:val="center"/>
            <w:hideMark/>
          </w:tcPr>
          <w:p w14:paraId="63F6EDAB" w14:textId="77777777" w:rsidR="00E3750C" w:rsidRPr="009C46B1" w:rsidRDefault="00E3750C" w:rsidP="00047864">
            <w:pPr>
              <w:spacing w:after="0" w:line="240" w:lineRule="auto"/>
              <w:jc w:val="center"/>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Velikost ponudnika</w:t>
            </w:r>
          </w:p>
        </w:tc>
        <w:tc>
          <w:tcPr>
            <w:tcW w:w="618" w:type="pct"/>
            <w:tcBorders>
              <w:top w:val="single" w:sz="4" w:space="0" w:color="auto"/>
              <w:left w:val="nil"/>
              <w:bottom w:val="single" w:sz="4" w:space="0" w:color="auto"/>
              <w:right w:val="single" w:sz="4" w:space="0" w:color="auto"/>
            </w:tcBorders>
            <w:shd w:val="clear" w:color="000000" w:fill="F2F2F2"/>
            <w:vAlign w:val="center"/>
            <w:hideMark/>
          </w:tcPr>
          <w:p w14:paraId="1308AED6" w14:textId="77777777" w:rsidR="00E3750C" w:rsidRPr="009C46B1" w:rsidRDefault="00E3750C" w:rsidP="00047864">
            <w:pPr>
              <w:spacing w:after="0" w:line="240" w:lineRule="auto"/>
              <w:jc w:val="center"/>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Št. ponudnikov</w:t>
            </w:r>
          </w:p>
        </w:tc>
        <w:tc>
          <w:tcPr>
            <w:tcW w:w="463" w:type="pct"/>
            <w:tcBorders>
              <w:top w:val="single" w:sz="4" w:space="0" w:color="auto"/>
              <w:left w:val="nil"/>
              <w:bottom w:val="single" w:sz="4" w:space="0" w:color="auto"/>
              <w:right w:val="single" w:sz="4" w:space="0" w:color="auto"/>
            </w:tcBorders>
            <w:shd w:val="clear" w:color="000000" w:fill="F2F2F2"/>
            <w:vAlign w:val="center"/>
            <w:hideMark/>
          </w:tcPr>
          <w:p w14:paraId="4F2808EE" w14:textId="77777777" w:rsidR="00E3750C" w:rsidRPr="009C46B1" w:rsidRDefault="00E3750C" w:rsidP="00047864">
            <w:pPr>
              <w:spacing w:after="0" w:line="240" w:lineRule="auto"/>
              <w:jc w:val="center"/>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Št. zelenih naročil</w:t>
            </w:r>
          </w:p>
        </w:tc>
        <w:tc>
          <w:tcPr>
            <w:tcW w:w="773" w:type="pct"/>
            <w:tcBorders>
              <w:top w:val="single" w:sz="4" w:space="0" w:color="auto"/>
              <w:left w:val="nil"/>
              <w:bottom w:val="single" w:sz="4" w:space="0" w:color="auto"/>
              <w:right w:val="single" w:sz="4" w:space="0" w:color="auto"/>
            </w:tcBorders>
            <w:shd w:val="clear" w:color="000000" w:fill="F2F2F2"/>
            <w:vAlign w:val="center"/>
            <w:hideMark/>
          </w:tcPr>
          <w:p w14:paraId="4DEB6D59" w14:textId="77777777" w:rsidR="00E3750C" w:rsidRPr="009C46B1" w:rsidRDefault="00E3750C" w:rsidP="00047864">
            <w:pPr>
              <w:spacing w:after="0" w:line="240" w:lineRule="auto"/>
              <w:jc w:val="center"/>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Pogodbena vrednost</w:t>
            </w:r>
          </w:p>
        </w:tc>
        <w:tc>
          <w:tcPr>
            <w:tcW w:w="618" w:type="pct"/>
            <w:tcBorders>
              <w:top w:val="single" w:sz="4" w:space="0" w:color="auto"/>
              <w:left w:val="nil"/>
              <w:bottom w:val="single" w:sz="4" w:space="0" w:color="auto"/>
              <w:right w:val="single" w:sz="4" w:space="0" w:color="auto"/>
            </w:tcBorders>
            <w:shd w:val="clear" w:color="000000" w:fill="F2F2F2"/>
            <w:vAlign w:val="center"/>
            <w:hideMark/>
          </w:tcPr>
          <w:p w14:paraId="5BCED5D5" w14:textId="77777777" w:rsidR="00E3750C" w:rsidRPr="009C46B1" w:rsidRDefault="00E3750C" w:rsidP="00047864">
            <w:pPr>
              <w:spacing w:after="0" w:line="240" w:lineRule="auto"/>
              <w:jc w:val="center"/>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Delež v št. ponudnikov</w:t>
            </w:r>
          </w:p>
        </w:tc>
        <w:tc>
          <w:tcPr>
            <w:tcW w:w="540" w:type="pct"/>
            <w:tcBorders>
              <w:top w:val="single" w:sz="4" w:space="0" w:color="auto"/>
              <w:left w:val="nil"/>
              <w:bottom w:val="single" w:sz="4" w:space="0" w:color="auto"/>
              <w:right w:val="single" w:sz="4" w:space="0" w:color="auto"/>
            </w:tcBorders>
            <w:shd w:val="clear" w:color="000000" w:fill="F2F2F2"/>
            <w:vAlign w:val="center"/>
            <w:hideMark/>
          </w:tcPr>
          <w:p w14:paraId="28EE38CD" w14:textId="77777777" w:rsidR="00E3750C" w:rsidRPr="009C46B1" w:rsidRDefault="00E3750C" w:rsidP="00047864">
            <w:pPr>
              <w:spacing w:after="0" w:line="240" w:lineRule="auto"/>
              <w:jc w:val="center"/>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Delež v št. naročil</w:t>
            </w:r>
          </w:p>
        </w:tc>
        <w:tc>
          <w:tcPr>
            <w:tcW w:w="522" w:type="pct"/>
            <w:tcBorders>
              <w:top w:val="single" w:sz="4" w:space="0" w:color="auto"/>
              <w:left w:val="nil"/>
              <w:bottom w:val="single" w:sz="4" w:space="0" w:color="auto"/>
              <w:right w:val="single" w:sz="4" w:space="0" w:color="auto"/>
            </w:tcBorders>
            <w:shd w:val="clear" w:color="000000" w:fill="F2F2F2"/>
            <w:vAlign w:val="center"/>
            <w:hideMark/>
          </w:tcPr>
          <w:p w14:paraId="5605E3F1" w14:textId="77777777" w:rsidR="00E3750C" w:rsidRPr="009C46B1" w:rsidRDefault="00E3750C" w:rsidP="00047864">
            <w:pPr>
              <w:spacing w:after="0" w:line="240" w:lineRule="auto"/>
              <w:jc w:val="center"/>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Delež v vrednosti</w:t>
            </w:r>
          </w:p>
        </w:tc>
      </w:tr>
      <w:tr w:rsidR="00E3750C" w:rsidRPr="009C46B1" w14:paraId="3309970E" w14:textId="77777777" w:rsidTr="00047864">
        <w:trPr>
          <w:trHeight w:val="300"/>
        </w:trPr>
        <w:tc>
          <w:tcPr>
            <w:tcW w:w="46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2C56CFC" w14:textId="77777777" w:rsidR="00E3750C" w:rsidRPr="009C46B1" w:rsidRDefault="00E3750C" w:rsidP="00047864">
            <w:pPr>
              <w:spacing w:after="0" w:line="240" w:lineRule="auto"/>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Blago</w:t>
            </w:r>
          </w:p>
        </w:tc>
        <w:tc>
          <w:tcPr>
            <w:tcW w:w="1005" w:type="pct"/>
            <w:tcBorders>
              <w:top w:val="nil"/>
              <w:left w:val="nil"/>
              <w:bottom w:val="single" w:sz="4" w:space="0" w:color="auto"/>
              <w:right w:val="single" w:sz="4" w:space="0" w:color="auto"/>
            </w:tcBorders>
            <w:shd w:val="clear" w:color="auto" w:fill="auto"/>
            <w:noWrap/>
            <w:vAlign w:val="center"/>
            <w:hideMark/>
          </w:tcPr>
          <w:p w14:paraId="6AF2ADED" w14:textId="77777777" w:rsidR="00E3750C" w:rsidRPr="009C46B1" w:rsidRDefault="00E3750C" w:rsidP="00047864">
            <w:pPr>
              <w:spacing w:after="0" w:line="240" w:lineRule="auto"/>
              <w:rPr>
                <w:rFonts w:ascii="Arial" w:eastAsia="Times New Roman" w:hAnsi="Arial" w:cs="Arial"/>
                <w:color w:val="000000"/>
                <w:sz w:val="18"/>
                <w:szCs w:val="18"/>
                <w:lang w:eastAsia="sl-SI"/>
              </w:rPr>
            </w:pPr>
            <w:proofErr w:type="spellStart"/>
            <w:r w:rsidRPr="009C46B1">
              <w:rPr>
                <w:rFonts w:ascii="Arial" w:eastAsia="Times New Roman" w:hAnsi="Arial" w:cs="Arial"/>
                <w:color w:val="000000"/>
                <w:sz w:val="18"/>
                <w:szCs w:val="18"/>
                <w:lang w:eastAsia="sl-SI"/>
              </w:rPr>
              <w:t>Mikro</w:t>
            </w:r>
            <w:proofErr w:type="spellEnd"/>
            <w:r w:rsidRPr="009C46B1">
              <w:rPr>
                <w:rFonts w:ascii="Arial" w:eastAsia="Times New Roman" w:hAnsi="Arial" w:cs="Arial"/>
                <w:color w:val="000000"/>
                <w:sz w:val="18"/>
                <w:szCs w:val="18"/>
                <w:lang w:eastAsia="sl-SI"/>
              </w:rPr>
              <w:t xml:space="preserve"> enote</w:t>
            </w:r>
          </w:p>
        </w:tc>
        <w:tc>
          <w:tcPr>
            <w:tcW w:w="618" w:type="pct"/>
            <w:tcBorders>
              <w:top w:val="nil"/>
              <w:left w:val="nil"/>
              <w:bottom w:val="single" w:sz="4" w:space="0" w:color="auto"/>
              <w:right w:val="single" w:sz="4" w:space="0" w:color="auto"/>
            </w:tcBorders>
            <w:shd w:val="clear" w:color="auto" w:fill="auto"/>
            <w:noWrap/>
            <w:vAlign w:val="center"/>
            <w:hideMark/>
          </w:tcPr>
          <w:p w14:paraId="7B0747A5"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76</w:t>
            </w:r>
          </w:p>
        </w:tc>
        <w:tc>
          <w:tcPr>
            <w:tcW w:w="463" w:type="pct"/>
            <w:tcBorders>
              <w:top w:val="nil"/>
              <w:left w:val="nil"/>
              <w:bottom w:val="single" w:sz="4" w:space="0" w:color="auto"/>
              <w:right w:val="single" w:sz="4" w:space="0" w:color="auto"/>
            </w:tcBorders>
            <w:shd w:val="clear" w:color="auto" w:fill="auto"/>
            <w:noWrap/>
            <w:vAlign w:val="center"/>
            <w:hideMark/>
          </w:tcPr>
          <w:p w14:paraId="61548119"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218</w:t>
            </w:r>
          </w:p>
        </w:tc>
        <w:tc>
          <w:tcPr>
            <w:tcW w:w="773" w:type="pct"/>
            <w:tcBorders>
              <w:top w:val="nil"/>
              <w:left w:val="nil"/>
              <w:bottom w:val="single" w:sz="4" w:space="0" w:color="auto"/>
              <w:right w:val="single" w:sz="4" w:space="0" w:color="auto"/>
            </w:tcBorders>
            <w:shd w:val="clear" w:color="auto" w:fill="auto"/>
            <w:noWrap/>
            <w:vAlign w:val="center"/>
            <w:hideMark/>
          </w:tcPr>
          <w:p w14:paraId="01E9752D"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9.895.433</w:t>
            </w:r>
          </w:p>
        </w:tc>
        <w:tc>
          <w:tcPr>
            <w:tcW w:w="618" w:type="pct"/>
            <w:tcBorders>
              <w:top w:val="nil"/>
              <w:left w:val="nil"/>
              <w:bottom w:val="single" w:sz="4" w:space="0" w:color="auto"/>
              <w:right w:val="single" w:sz="4" w:space="0" w:color="auto"/>
            </w:tcBorders>
            <w:shd w:val="clear" w:color="auto" w:fill="auto"/>
            <w:noWrap/>
            <w:vAlign w:val="center"/>
            <w:hideMark/>
          </w:tcPr>
          <w:p w14:paraId="7440F1B2"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17,80 %</w:t>
            </w:r>
          </w:p>
        </w:tc>
        <w:tc>
          <w:tcPr>
            <w:tcW w:w="540" w:type="pct"/>
            <w:tcBorders>
              <w:top w:val="nil"/>
              <w:left w:val="nil"/>
              <w:bottom w:val="single" w:sz="4" w:space="0" w:color="auto"/>
              <w:right w:val="single" w:sz="4" w:space="0" w:color="auto"/>
            </w:tcBorders>
            <w:shd w:val="clear" w:color="auto" w:fill="auto"/>
            <w:noWrap/>
            <w:vAlign w:val="center"/>
            <w:hideMark/>
          </w:tcPr>
          <w:p w14:paraId="7A853C43"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5,54 %</w:t>
            </w:r>
          </w:p>
        </w:tc>
        <w:tc>
          <w:tcPr>
            <w:tcW w:w="522" w:type="pct"/>
            <w:tcBorders>
              <w:top w:val="nil"/>
              <w:left w:val="nil"/>
              <w:bottom w:val="single" w:sz="4" w:space="0" w:color="auto"/>
              <w:right w:val="single" w:sz="4" w:space="0" w:color="auto"/>
            </w:tcBorders>
            <w:shd w:val="clear" w:color="auto" w:fill="auto"/>
            <w:noWrap/>
            <w:vAlign w:val="center"/>
            <w:hideMark/>
          </w:tcPr>
          <w:p w14:paraId="6465DE2F"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3,54 %</w:t>
            </w:r>
          </w:p>
        </w:tc>
      </w:tr>
      <w:tr w:rsidR="00E3750C" w:rsidRPr="009C46B1" w14:paraId="47B403D6" w14:textId="77777777" w:rsidTr="00047864">
        <w:trPr>
          <w:trHeight w:val="300"/>
        </w:trPr>
        <w:tc>
          <w:tcPr>
            <w:tcW w:w="461" w:type="pct"/>
            <w:vMerge/>
            <w:tcBorders>
              <w:top w:val="nil"/>
              <w:left w:val="single" w:sz="4" w:space="0" w:color="auto"/>
              <w:bottom w:val="single" w:sz="4" w:space="0" w:color="auto"/>
              <w:right w:val="single" w:sz="4" w:space="0" w:color="auto"/>
            </w:tcBorders>
            <w:vAlign w:val="center"/>
            <w:hideMark/>
          </w:tcPr>
          <w:p w14:paraId="11F4AFBB" w14:textId="77777777" w:rsidR="00E3750C" w:rsidRPr="009C46B1" w:rsidRDefault="00E3750C" w:rsidP="00047864">
            <w:pPr>
              <w:spacing w:after="0" w:line="240" w:lineRule="auto"/>
              <w:rPr>
                <w:rFonts w:ascii="Arial" w:eastAsia="Times New Roman" w:hAnsi="Arial" w:cs="Arial"/>
                <w:color w:val="000000"/>
                <w:sz w:val="18"/>
                <w:szCs w:val="18"/>
                <w:lang w:eastAsia="sl-SI"/>
              </w:rPr>
            </w:pPr>
          </w:p>
        </w:tc>
        <w:tc>
          <w:tcPr>
            <w:tcW w:w="1005" w:type="pct"/>
            <w:tcBorders>
              <w:top w:val="nil"/>
              <w:left w:val="nil"/>
              <w:bottom w:val="single" w:sz="4" w:space="0" w:color="auto"/>
              <w:right w:val="single" w:sz="4" w:space="0" w:color="auto"/>
            </w:tcBorders>
            <w:shd w:val="clear" w:color="auto" w:fill="auto"/>
            <w:noWrap/>
            <w:vAlign w:val="center"/>
            <w:hideMark/>
          </w:tcPr>
          <w:p w14:paraId="730662E3" w14:textId="77777777" w:rsidR="00E3750C" w:rsidRPr="009C46B1" w:rsidRDefault="00E3750C" w:rsidP="00047864">
            <w:pPr>
              <w:spacing w:after="0" w:line="240" w:lineRule="auto"/>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Majhne enote</w:t>
            </w:r>
          </w:p>
        </w:tc>
        <w:tc>
          <w:tcPr>
            <w:tcW w:w="618" w:type="pct"/>
            <w:tcBorders>
              <w:top w:val="nil"/>
              <w:left w:val="nil"/>
              <w:bottom w:val="single" w:sz="4" w:space="0" w:color="auto"/>
              <w:right w:val="single" w:sz="4" w:space="0" w:color="auto"/>
            </w:tcBorders>
            <w:shd w:val="clear" w:color="auto" w:fill="auto"/>
            <w:noWrap/>
            <w:vAlign w:val="center"/>
            <w:hideMark/>
          </w:tcPr>
          <w:p w14:paraId="570C8304"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178</w:t>
            </w:r>
          </w:p>
        </w:tc>
        <w:tc>
          <w:tcPr>
            <w:tcW w:w="463" w:type="pct"/>
            <w:tcBorders>
              <w:top w:val="nil"/>
              <w:left w:val="nil"/>
              <w:bottom w:val="single" w:sz="4" w:space="0" w:color="auto"/>
              <w:right w:val="single" w:sz="4" w:space="0" w:color="auto"/>
            </w:tcBorders>
            <w:shd w:val="clear" w:color="auto" w:fill="auto"/>
            <w:noWrap/>
            <w:vAlign w:val="center"/>
            <w:hideMark/>
          </w:tcPr>
          <w:p w14:paraId="160B27AB"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1.171</w:t>
            </w:r>
          </w:p>
        </w:tc>
        <w:tc>
          <w:tcPr>
            <w:tcW w:w="773" w:type="pct"/>
            <w:tcBorders>
              <w:top w:val="nil"/>
              <w:left w:val="nil"/>
              <w:bottom w:val="single" w:sz="4" w:space="0" w:color="auto"/>
              <w:right w:val="single" w:sz="4" w:space="0" w:color="auto"/>
            </w:tcBorders>
            <w:shd w:val="clear" w:color="auto" w:fill="auto"/>
            <w:noWrap/>
            <w:vAlign w:val="center"/>
            <w:hideMark/>
          </w:tcPr>
          <w:p w14:paraId="44FD7E39"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61.906.990</w:t>
            </w:r>
          </w:p>
        </w:tc>
        <w:tc>
          <w:tcPr>
            <w:tcW w:w="618" w:type="pct"/>
            <w:tcBorders>
              <w:top w:val="nil"/>
              <w:left w:val="nil"/>
              <w:bottom w:val="single" w:sz="4" w:space="0" w:color="auto"/>
              <w:right w:val="single" w:sz="4" w:space="0" w:color="auto"/>
            </w:tcBorders>
            <w:shd w:val="clear" w:color="auto" w:fill="auto"/>
            <w:noWrap/>
            <w:vAlign w:val="center"/>
            <w:hideMark/>
          </w:tcPr>
          <w:p w14:paraId="4BE025E6"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41,69 %</w:t>
            </w:r>
          </w:p>
        </w:tc>
        <w:tc>
          <w:tcPr>
            <w:tcW w:w="540" w:type="pct"/>
            <w:tcBorders>
              <w:top w:val="nil"/>
              <w:left w:val="nil"/>
              <w:bottom w:val="single" w:sz="4" w:space="0" w:color="auto"/>
              <w:right w:val="single" w:sz="4" w:space="0" w:color="auto"/>
            </w:tcBorders>
            <w:shd w:val="clear" w:color="auto" w:fill="auto"/>
            <w:noWrap/>
            <w:vAlign w:val="center"/>
            <w:hideMark/>
          </w:tcPr>
          <w:p w14:paraId="711AD68C"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29,75 %</w:t>
            </w:r>
          </w:p>
        </w:tc>
        <w:tc>
          <w:tcPr>
            <w:tcW w:w="522" w:type="pct"/>
            <w:tcBorders>
              <w:top w:val="nil"/>
              <w:left w:val="nil"/>
              <w:bottom w:val="single" w:sz="4" w:space="0" w:color="auto"/>
              <w:right w:val="single" w:sz="4" w:space="0" w:color="auto"/>
            </w:tcBorders>
            <w:shd w:val="clear" w:color="auto" w:fill="auto"/>
            <w:noWrap/>
            <w:vAlign w:val="center"/>
            <w:hideMark/>
          </w:tcPr>
          <w:p w14:paraId="2DA5AB93"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22,14 %</w:t>
            </w:r>
          </w:p>
        </w:tc>
      </w:tr>
      <w:tr w:rsidR="00E3750C" w:rsidRPr="009C46B1" w14:paraId="498799C5" w14:textId="77777777" w:rsidTr="00047864">
        <w:trPr>
          <w:trHeight w:val="300"/>
        </w:trPr>
        <w:tc>
          <w:tcPr>
            <w:tcW w:w="461" w:type="pct"/>
            <w:vMerge/>
            <w:tcBorders>
              <w:top w:val="nil"/>
              <w:left w:val="single" w:sz="4" w:space="0" w:color="auto"/>
              <w:bottom w:val="single" w:sz="4" w:space="0" w:color="auto"/>
              <w:right w:val="single" w:sz="4" w:space="0" w:color="auto"/>
            </w:tcBorders>
            <w:vAlign w:val="center"/>
            <w:hideMark/>
          </w:tcPr>
          <w:p w14:paraId="600415FC" w14:textId="77777777" w:rsidR="00E3750C" w:rsidRPr="009C46B1" w:rsidRDefault="00E3750C" w:rsidP="00047864">
            <w:pPr>
              <w:spacing w:after="0" w:line="240" w:lineRule="auto"/>
              <w:rPr>
                <w:rFonts w:ascii="Arial" w:eastAsia="Times New Roman" w:hAnsi="Arial" w:cs="Arial"/>
                <w:color w:val="000000"/>
                <w:sz w:val="18"/>
                <w:szCs w:val="18"/>
                <w:lang w:eastAsia="sl-SI"/>
              </w:rPr>
            </w:pPr>
          </w:p>
        </w:tc>
        <w:tc>
          <w:tcPr>
            <w:tcW w:w="1005" w:type="pct"/>
            <w:tcBorders>
              <w:top w:val="nil"/>
              <w:left w:val="nil"/>
              <w:bottom w:val="single" w:sz="4" w:space="0" w:color="auto"/>
              <w:right w:val="single" w:sz="4" w:space="0" w:color="auto"/>
            </w:tcBorders>
            <w:shd w:val="clear" w:color="auto" w:fill="auto"/>
            <w:noWrap/>
            <w:vAlign w:val="center"/>
            <w:hideMark/>
          </w:tcPr>
          <w:p w14:paraId="17CC5E4F" w14:textId="77777777" w:rsidR="00E3750C" w:rsidRPr="009C46B1" w:rsidRDefault="00E3750C" w:rsidP="00047864">
            <w:pPr>
              <w:spacing w:after="0" w:line="240" w:lineRule="auto"/>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Srednje enote</w:t>
            </w:r>
          </w:p>
        </w:tc>
        <w:tc>
          <w:tcPr>
            <w:tcW w:w="618" w:type="pct"/>
            <w:tcBorders>
              <w:top w:val="nil"/>
              <w:left w:val="nil"/>
              <w:bottom w:val="single" w:sz="4" w:space="0" w:color="auto"/>
              <w:right w:val="single" w:sz="4" w:space="0" w:color="auto"/>
            </w:tcBorders>
            <w:shd w:val="clear" w:color="auto" w:fill="auto"/>
            <w:noWrap/>
            <w:vAlign w:val="center"/>
            <w:hideMark/>
          </w:tcPr>
          <w:p w14:paraId="164AB68C"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90</w:t>
            </w:r>
          </w:p>
        </w:tc>
        <w:tc>
          <w:tcPr>
            <w:tcW w:w="463" w:type="pct"/>
            <w:tcBorders>
              <w:top w:val="nil"/>
              <w:left w:val="nil"/>
              <w:bottom w:val="single" w:sz="4" w:space="0" w:color="auto"/>
              <w:right w:val="single" w:sz="4" w:space="0" w:color="auto"/>
            </w:tcBorders>
            <w:shd w:val="clear" w:color="auto" w:fill="auto"/>
            <w:noWrap/>
            <w:vAlign w:val="center"/>
            <w:hideMark/>
          </w:tcPr>
          <w:p w14:paraId="4B49D507"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1.313</w:t>
            </w:r>
          </w:p>
        </w:tc>
        <w:tc>
          <w:tcPr>
            <w:tcW w:w="773" w:type="pct"/>
            <w:tcBorders>
              <w:top w:val="nil"/>
              <w:left w:val="nil"/>
              <w:bottom w:val="single" w:sz="4" w:space="0" w:color="auto"/>
              <w:right w:val="single" w:sz="4" w:space="0" w:color="auto"/>
            </w:tcBorders>
            <w:shd w:val="clear" w:color="auto" w:fill="auto"/>
            <w:noWrap/>
            <w:vAlign w:val="center"/>
            <w:hideMark/>
          </w:tcPr>
          <w:p w14:paraId="6A7E41E9"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118.283.438</w:t>
            </w:r>
          </w:p>
        </w:tc>
        <w:tc>
          <w:tcPr>
            <w:tcW w:w="618" w:type="pct"/>
            <w:tcBorders>
              <w:top w:val="nil"/>
              <w:left w:val="nil"/>
              <w:bottom w:val="single" w:sz="4" w:space="0" w:color="auto"/>
              <w:right w:val="single" w:sz="4" w:space="0" w:color="auto"/>
            </w:tcBorders>
            <w:shd w:val="clear" w:color="auto" w:fill="auto"/>
            <w:noWrap/>
            <w:vAlign w:val="center"/>
            <w:hideMark/>
          </w:tcPr>
          <w:p w14:paraId="08B375B8"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21,08 %</w:t>
            </w:r>
          </w:p>
        </w:tc>
        <w:tc>
          <w:tcPr>
            <w:tcW w:w="540" w:type="pct"/>
            <w:tcBorders>
              <w:top w:val="nil"/>
              <w:left w:val="nil"/>
              <w:bottom w:val="single" w:sz="4" w:space="0" w:color="auto"/>
              <w:right w:val="single" w:sz="4" w:space="0" w:color="auto"/>
            </w:tcBorders>
            <w:shd w:val="clear" w:color="auto" w:fill="auto"/>
            <w:noWrap/>
            <w:vAlign w:val="center"/>
            <w:hideMark/>
          </w:tcPr>
          <w:p w14:paraId="67B7C0CC"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33,36 %</w:t>
            </w:r>
          </w:p>
        </w:tc>
        <w:tc>
          <w:tcPr>
            <w:tcW w:w="522" w:type="pct"/>
            <w:tcBorders>
              <w:top w:val="nil"/>
              <w:left w:val="nil"/>
              <w:bottom w:val="single" w:sz="4" w:space="0" w:color="auto"/>
              <w:right w:val="single" w:sz="4" w:space="0" w:color="auto"/>
            </w:tcBorders>
            <w:shd w:val="clear" w:color="auto" w:fill="auto"/>
            <w:noWrap/>
            <w:vAlign w:val="center"/>
            <w:hideMark/>
          </w:tcPr>
          <w:p w14:paraId="0F6C51B7"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42,30 %</w:t>
            </w:r>
          </w:p>
        </w:tc>
      </w:tr>
      <w:tr w:rsidR="00E3750C" w:rsidRPr="009C46B1" w14:paraId="58183599" w14:textId="77777777" w:rsidTr="00047864">
        <w:trPr>
          <w:trHeight w:val="300"/>
        </w:trPr>
        <w:tc>
          <w:tcPr>
            <w:tcW w:w="461" w:type="pct"/>
            <w:vMerge/>
            <w:tcBorders>
              <w:top w:val="nil"/>
              <w:left w:val="single" w:sz="4" w:space="0" w:color="auto"/>
              <w:bottom w:val="single" w:sz="4" w:space="0" w:color="auto"/>
              <w:right w:val="single" w:sz="4" w:space="0" w:color="auto"/>
            </w:tcBorders>
            <w:vAlign w:val="center"/>
            <w:hideMark/>
          </w:tcPr>
          <w:p w14:paraId="7222EE8F" w14:textId="77777777" w:rsidR="00E3750C" w:rsidRPr="009C46B1" w:rsidRDefault="00E3750C" w:rsidP="00047864">
            <w:pPr>
              <w:spacing w:after="0" w:line="240" w:lineRule="auto"/>
              <w:rPr>
                <w:rFonts w:ascii="Arial" w:eastAsia="Times New Roman" w:hAnsi="Arial" w:cs="Arial"/>
                <w:color w:val="000000"/>
                <w:sz w:val="18"/>
                <w:szCs w:val="18"/>
                <w:lang w:eastAsia="sl-SI"/>
              </w:rPr>
            </w:pPr>
          </w:p>
        </w:tc>
        <w:tc>
          <w:tcPr>
            <w:tcW w:w="1005" w:type="pct"/>
            <w:tcBorders>
              <w:top w:val="nil"/>
              <w:left w:val="nil"/>
              <w:bottom w:val="single" w:sz="4" w:space="0" w:color="auto"/>
              <w:right w:val="single" w:sz="4" w:space="0" w:color="auto"/>
            </w:tcBorders>
            <w:shd w:val="clear" w:color="auto" w:fill="auto"/>
            <w:noWrap/>
            <w:vAlign w:val="center"/>
            <w:hideMark/>
          </w:tcPr>
          <w:p w14:paraId="4126D58A" w14:textId="77777777" w:rsidR="00E3750C" w:rsidRPr="009C46B1" w:rsidRDefault="00E3750C" w:rsidP="00047864">
            <w:pPr>
              <w:spacing w:after="0" w:line="240" w:lineRule="auto"/>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Velike enote</w:t>
            </w:r>
          </w:p>
        </w:tc>
        <w:tc>
          <w:tcPr>
            <w:tcW w:w="618" w:type="pct"/>
            <w:tcBorders>
              <w:top w:val="nil"/>
              <w:left w:val="nil"/>
              <w:bottom w:val="single" w:sz="4" w:space="0" w:color="auto"/>
              <w:right w:val="single" w:sz="4" w:space="0" w:color="auto"/>
            </w:tcBorders>
            <w:shd w:val="clear" w:color="auto" w:fill="auto"/>
            <w:noWrap/>
            <w:vAlign w:val="center"/>
            <w:hideMark/>
          </w:tcPr>
          <w:p w14:paraId="09DAF710"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41</w:t>
            </w:r>
          </w:p>
        </w:tc>
        <w:tc>
          <w:tcPr>
            <w:tcW w:w="463" w:type="pct"/>
            <w:tcBorders>
              <w:top w:val="nil"/>
              <w:left w:val="nil"/>
              <w:bottom w:val="single" w:sz="4" w:space="0" w:color="auto"/>
              <w:right w:val="single" w:sz="4" w:space="0" w:color="auto"/>
            </w:tcBorders>
            <w:shd w:val="clear" w:color="auto" w:fill="auto"/>
            <w:noWrap/>
            <w:vAlign w:val="center"/>
            <w:hideMark/>
          </w:tcPr>
          <w:p w14:paraId="3044D1D1"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1.164</w:t>
            </w:r>
          </w:p>
        </w:tc>
        <w:tc>
          <w:tcPr>
            <w:tcW w:w="773" w:type="pct"/>
            <w:tcBorders>
              <w:top w:val="nil"/>
              <w:left w:val="nil"/>
              <w:bottom w:val="single" w:sz="4" w:space="0" w:color="auto"/>
              <w:right w:val="single" w:sz="4" w:space="0" w:color="auto"/>
            </w:tcBorders>
            <w:shd w:val="clear" w:color="auto" w:fill="auto"/>
            <w:noWrap/>
            <w:vAlign w:val="center"/>
            <w:hideMark/>
          </w:tcPr>
          <w:p w14:paraId="5B3210D2"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85.127.176</w:t>
            </w:r>
          </w:p>
        </w:tc>
        <w:tc>
          <w:tcPr>
            <w:tcW w:w="618" w:type="pct"/>
            <w:tcBorders>
              <w:top w:val="nil"/>
              <w:left w:val="nil"/>
              <w:bottom w:val="single" w:sz="4" w:space="0" w:color="auto"/>
              <w:right w:val="single" w:sz="4" w:space="0" w:color="auto"/>
            </w:tcBorders>
            <w:shd w:val="clear" w:color="auto" w:fill="auto"/>
            <w:noWrap/>
            <w:vAlign w:val="center"/>
            <w:hideMark/>
          </w:tcPr>
          <w:p w14:paraId="2ABC3696"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9,60 %</w:t>
            </w:r>
          </w:p>
        </w:tc>
        <w:tc>
          <w:tcPr>
            <w:tcW w:w="540" w:type="pct"/>
            <w:tcBorders>
              <w:top w:val="nil"/>
              <w:left w:val="nil"/>
              <w:bottom w:val="single" w:sz="4" w:space="0" w:color="auto"/>
              <w:right w:val="single" w:sz="4" w:space="0" w:color="auto"/>
            </w:tcBorders>
            <w:shd w:val="clear" w:color="auto" w:fill="auto"/>
            <w:noWrap/>
            <w:vAlign w:val="center"/>
            <w:hideMark/>
          </w:tcPr>
          <w:p w14:paraId="1186DA5B"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29,57 %</w:t>
            </w:r>
          </w:p>
        </w:tc>
        <w:tc>
          <w:tcPr>
            <w:tcW w:w="522" w:type="pct"/>
            <w:tcBorders>
              <w:top w:val="nil"/>
              <w:left w:val="nil"/>
              <w:bottom w:val="single" w:sz="4" w:space="0" w:color="auto"/>
              <w:right w:val="single" w:sz="4" w:space="0" w:color="auto"/>
            </w:tcBorders>
            <w:shd w:val="clear" w:color="auto" w:fill="auto"/>
            <w:noWrap/>
            <w:vAlign w:val="center"/>
            <w:hideMark/>
          </w:tcPr>
          <w:p w14:paraId="7D73A1EE"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30,44 %</w:t>
            </w:r>
          </w:p>
        </w:tc>
      </w:tr>
      <w:tr w:rsidR="00E3750C" w:rsidRPr="009C46B1" w14:paraId="7D5418E8" w14:textId="77777777" w:rsidTr="00047864">
        <w:trPr>
          <w:trHeight w:val="300"/>
        </w:trPr>
        <w:tc>
          <w:tcPr>
            <w:tcW w:w="461" w:type="pct"/>
            <w:vMerge/>
            <w:tcBorders>
              <w:top w:val="nil"/>
              <w:left w:val="single" w:sz="4" w:space="0" w:color="auto"/>
              <w:bottom w:val="single" w:sz="4" w:space="0" w:color="auto"/>
              <w:right w:val="single" w:sz="4" w:space="0" w:color="auto"/>
            </w:tcBorders>
            <w:vAlign w:val="center"/>
            <w:hideMark/>
          </w:tcPr>
          <w:p w14:paraId="33CD1E73" w14:textId="77777777" w:rsidR="00E3750C" w:rsidRPr="009C46B1" w:rsidRDefault="00E3750C" w:rsidP="00047864">
            <w:pPr>
              <w:spacing w:after="0" w:line="240" w:lineRule="auto"/>
              <w:rPr>
                <w:rFonts w:ascii="Arial" w:eastAsia="Times New Roman" w:hAnsi="Arial" w:cs="Arial"/>
                <w:color w:val="000000"/>
                <w:sz w:val="18"/>
                <w:szCs w:val="18"/>
                <w:lang w:eastAsia="sl-SI"/>
              </w:rPr>
            </w:pPr>
          </w:p>
        </w:tc>
        <w:tc>
          <w:tcPr>
            <w:tcW w:w="1005" w:type="pct"/>
            <w:tcBorders>
              <w:top w:val="nil"/>
              <w:left w:val="nil"/>
              <w:bottom w:val="single" w:sz="4" w:space="0" w:color="auto"/>
              <w:right w:val="single" w:sz="4" w:space="0" w:color="auto"/>
            </w:tcBorders>
            <w:shd w:val="clear" w:color="auto" w:fill="auto"/>
            <w:noWrap/>
            <w:vAlign w:val="center"/>
            <w:hideMark/>
          </w:tcPr>
          <w:p w14:paraId="5F1602E2" w14:textId="77777777" w:rsidR="00E3750C" w:rsidRPr="009C46B1" w:rsidRDefault="00E3750C" w:rsidP="00047864">
            <w:pPr>
              <w:spacing w:after="0" w:line="240" w:lineRule="auto"/>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Velikost RS se ne izračunava</w:t>
            </w:r>
          </w:p>
        </w:tc>
        <w:tc>
          <w:tcPr>
            <w:tcW w:w="618" w:type="pct"/>
            <w:tcBorders>
              <w:top w:val="nil"/>
              <w:left w:val="nil"/>
              <w:bottom w:val="single" w:sz="4" w:space="0" w:color="auto"/>
              <w:right w:val="single" w:sz="4" w:space="0" w:color="auto"/>
            </w:tcBorders>
            <w:shd w:val="clear" w:color="auto" w:fill="auto"/>
            <w:noWrap/>
            <w:vAlign w:val="center"/>
            <w:hideMark/>
          </w:tcPr>
          <w:p w14:paraId="6A798186"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24</w:t>
            </w:r>
          </w:p>
        </w:tc>
        <w:tc>
          <w:tcPr>
            <w:tcW w:w="463" w:type="pct"/>
            <w:tcBorders>
              <w:top w:val="nil"/>
              <w:left w:val="nil"/>
              <w:bottom w:val="single" w:sz="4" w:space="0" w:color="auto"/>
              <w:right w:val="single" w:sz="4" w:space="0" w:color="auto"/>
            </w:tcBorders>
            <w:shd w:val="clear" w:color="auto" w:fill="auto"/>
            <w:noWrap/>
            <w:vAlign w:val="center"/>
            <w:hideMark/>
          </w:tcPr>
          <w:p w14:paraId="526AE152"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39</w:t>
            </w:r>
          </w:p>
        </w:tc>
        <w:tc>
          <w:tcPr>
            <w:tcW w:w="773" w:type="pct"/>
            <w:tcBorders>
              <w:top w:val="nil"/>
              <w:left w:val="nil"/>
              <w:bottom w:val="single" w:sz="4" w:space="0" w:color="auto"/>
              <w:right w:val="single" w:sz="4" w:space="0" w:color="auto"/>
            </w:tcBorders>
            <w:shd w:val="clear" w:color="auto" w:fill="auto"/>
            <w:noWrap/>
            <w:vAlign w:val="center"/>
            <w:hideMark/>
          </w:tcPr>
          <w:p w14:paraId="6952F95A"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1.462.879</w:t>
            </w:r>
          </w:p>
        </w:tc>
        <w:tc>
          <w:tcPr>
            <w:tcW w:w="618" w:type="pct"/>
            <w:tcBorders>
              <w:top w:val="nil"/>
              <w:left w:val="nil"/>
              <w:bottom w:val="single" w:sz="4" w:space="0" w:color="auto"/>
              <w:right w:val="single" w:sz="4" w:space="0" w:color="auto"/>
            </w:tcBorders>
            <w:shd w:val="clear" w:color="auto" w:fill="auto"/>
            <w:noWrap/>
            <w:vAlign w:val="center"/>
            <w:hideMark/>
          </w:tcPr>
          <w:p w14:paraId="2F34E77C"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5,62 %</w:t>
            </w:r>
          </w:p>
        </w:tc>
        <w:tc>
          <w:tcPr>
            <w:tcW w:w="540" w:type="pct"/>
            <w:tcBorders>
              <w:top w:val="nil"/>
              <w:left w:val="nil"/>
              <w:bottom w:val="single" w:sz="4" w:space="0" w:color="auto"/>
              <w:right w:val="single" w:sz="4" w:space="0" w:color="auto"/>
            </w:tcBorders>
            <w:shd w:val="clear" w:color="auto" w:fill="auto"/>
            <w:noWrap/>
            <w:vAlign w:val="center"/>
            <w:hideMark/>
          </w:tcPr>
          <w:p w14:paraId="1BA14835"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0,99 %</w:t>
            </w:r>
          </w:p>
        </w:tc>
        <w:tc>
          <w:tcPr>
            <w:tcW w:w="522" w:type="pct"/>
            <w:tcBorders>
              <w:top w:val="nil"/>
              <w:left w:val="nil"/>
              <w:bottom w:val="single" w:sz="4" w:space="0" w:color="auto"/>
              <w:right w:val="single" w:sz="4" w:space="0" w:color="auto"/>
            </w:tcBorders>
            <w:shd w:val="clear" w:color="auto" w:fill="auto"/>
            <w:noWrap/>
            <w:vAlign w:val="center"/>
            <w:hideMark/>
          </w:tcPr>
          <w:p w14:paraId="155BC9A9"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0,52 %</w:t>
            </w:r>
          </w:p>
        </w:tc>
      </w:tr>
      <w:tr w:rsidR="00E3750C" w:rsidRPr="009C46B1" w14:paraId="524E58C3" w14:textId="77777777" w:rsidTr="00047864">
        <w:trPr>
          <w:trHeight w:val="300"/>
        </w:trPr>
        <w:tc>
          <w:tcPr>
            <w:tcW w:w="461" w:type="pct"/>
            <w:vMerge/>
            <w:tcBorders>
              <w:top w:val="nil"/>
              <w:left w:val="single" w:sz="4" w:space="0" w:color="auto"/>
              <w:bottom w:val="single" w:sz="4" w:space="0" w:color="auto"/>
              <w:right w:val="single" w:sz="4" w:space="0" w:color="auto"/>
            </w:tcBorders>
            <w:vAlign w:val="center"/>
            <w:hideMark/>
          </w:tcPr>
          <w:p w14:paraId="1E4C652F" w14:textId="77777777" w:rsidR="00E3750C" w:rsidRPr="009C46B1" w:rsidRDefault="00E3750C" w:rsidP="00047864">
            <w:pPr>
              <w:spacing w:after="0" w:line="240" w:lineRule="auto"/>
              <w:rPr>
                <w:rFonts w:ascii="Arial" w:eastAsia="Times New Roman" w:hAnsi="Arial" w:cs="Arial"/>
                <w:color w:val="000000"/>
                <w:sz w:val="18"/>
                <w:szCs w:val="18"/>
                <w:lang w:eastAsia="sl-SI"/>
              </w:rPr>
            </w:pPr>
          </w:p>
        </w:tc>
        <w:tc>
          <w:tcPr>
            <w:tcW w:w="1005" w:type="pct"/>
            <w:tcBorders>
              <w:top w:val="nil"/>
              <w:left w:val="nil"/>
              <w:bottom w:val="single" w:sz="4" w:space="0" w:color="auto"/>
              <w:right w:val="single" w:sz="4" w:space="0" w:color="auto"/>
            </w:tcBorders>
            <w:shd w:val="clear" w:color="auto" w:fill="auto"/>
            <w:noWrap/>
            <w:vAlign w:val="center"/>
            <w:hideMark/>
          </w:tcPr>
          <w:p w14:paraId="73D27AF0" w14:textId="77777777" w:rsidR="00E3750C" w:rsidRPr="009C46B1" w:rsidRDefault="00E3750C" w:rsidP="00047864">
            <w:pPr>
              <w:spacing w:after="0" w:line="240" w:lineRule="auto"/>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Ni podatka o velikosti</w:t>
            </w:r>
          </w:p>
        </w:tc>
        <w:tc>
          <w:tcPr>
            <w:tcW w:w="618" w:type="pct"/>
            <w:tcBorders>
              <w:top w:val="nil"/>
              <w:left w:val="nil"/>
              <w:bottom w:val="single" w:sz="4" w:space="0" w:color="auto"/>
              <w:right w:val="single" w:sz="4" w:space="0" w:color="auto"/>
            </w:tcBorders>
            <w:shd w:val="clear" w:color="auto" w:fill="auto"/>
            <w:noWrap/>
            <w:vAlign w:val="center"/>
            <w:hideMark/>
          </w:tcPr>
          <w:p w14:paraId="6CC3323C"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18</w:t>
            </w:r>
          </w:p>
        </w:tc>
        <w:tc>
          <w:tcPr>
            <w:tcW w:w="463" w:type="pct"/>
            <w:tcBorders>
              <w:top w:val="nil"/>
              <w:left w:val="nil"/>
              <w:bottom w:val="single" w:sz="4" w:space="0" w:color="auto"/>
              <w:right w:val="single" w:sz="4" w:space="0" w:color="auto"/>
            </w:tcBorders>
            <w:shd w:val="clear" w:color="auto" w:fill="auto"/>
            <w:noWrap/>
            <w:vAlign w:val="center"/>
            <w:hideMark/>
          </w:tcPr>
          <w:p w14:paraId="176B1B1D"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31</w:t>
            </w:r>
          </w:p>
        </w:tc>
        <w:tc>
          <w:tcPr>
            <w:tcW w:w="773" w:type="pct"/>
            <w:tcBorders>
              <w:top w:val="nil"/>
              <w:left w:val="nil"/>
              <w:bottom w:val="single" w:sz="4" w:space="0" w:color="auto"/>
              <w:right w:val="single" w:sz="4" w:space="0" w:color="auto"/>
            </w:tcBorders>
            <w:shd w:val="clear" w:color="auto" w:fill="auto"/>
            <w:noWrap/>
            <w:vAlign w:val="center"/>
            <w:hideMark/>
          </w:tcPr>
          <w:p w14:paraId="02FBEFFF"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2.968.308</w:t>
            </w:r>
          </w:p>
        </w:tc>
        <w:tc>
          <w:tcPr>
            <w:tcW w:w="618" w:type="pct"/>
            <w:tcBorders>
              <w:top w:val="nil"/>
              <w:left w:val="nil"/>
              <w:bottom w:val="single" w:sz="4" w:space="0" w:color="auto"/>
              <w:right w:val="single" w:sz="4" w:space="0" w:color="auto"/>
            </w:tcBorders>
            <w:shd w:val="clear" w:color="auto" w:fill="auto"/>
            <w:noWrap/>
            <w:vAlign w:val="center"/>
            <w:hideMark/>
          </w:tcPr>
          <w:p w14:paraId="1632AF8E"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4,22 %</w:t>
            </w:r>
          </w:p>
        </w:tc>
        <w:tc>
          <w:tcPr>
            <w:tcW w:w="540" w:type="pct"/>
            <w:tcBorders>
              <w:top w:val="nil"/>
              <w:left w:val="nil"/>
              <w:bottom w:val="single" w:sz="4" w:space="0" w:color="auto"/>
              <w:right w:val="single" w:sz="4" w:space="0" w:color="auto"/>
            </w:tcBorders>
            <w:shd w:val="clear" w:color="auto" w:fill="auto"/>
            <w:noWrap/>
            <w:vAlign w:val="center"/>
            <w:hideMark/>
          </w:tcPr>
          <w:p w14:paraId="31858A9E"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0,79 %</w:t>
            </w:r>
          </w:p>
        </w:tc>
        <w:tc>
          <w:tcPr>
            <w:tcW w:w="522" w:type="pct"/>
            <w:tcBorders>
              <w:top w:val="nil"/>
              <w:left w:val="nil"/>
              <w:bottom w:val="single" w:sz="4" w:space="0" w:color="auto"/>
              <w:right w:val="single" w:sz="4" w:space="0" w:color="auto"/>
            </w:tcBorders>
            <w:shd w:val="clear" w:color="auto" w:fill="auto"/>
            <w:noWrap/>
            <w:vAlign w:val="center"/>
            <w:hideMark/>
          </w:tcPr>
          <w:p w14:paraId="6B23AA6F"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1,06 %</w:t>
            </w:r>
          </w:p>
        </w:tc>
      </w:tr>
      <w:tr w:rsidR="00E3750C" w:rsidRPr="009C46B1" w14:paraId="630FF78C" w14:textId="77777777" w:rsidTr="00047864">
        <w:trPr>
          <w:trHeight w:val="300"/>
        </w:trPr>
        <w:tc>
          <w:tcPr>
            <w:tcW w:w="461" w:type="pct"/>
            <w:vMerge/>
            <w:tcBorders>
              <w:top w:val="nil"/>
              <w:left w:val="single" w:sz="4" w:space="0" w:color="auto"/>
              <w:bottom w:val="single" w:sz="4" w:space="0" w:color="auto"/>
              <w:right w:val="single" w:sz="4" w:space="0" w:color="auto"/>
            </w:tcBorders>
            <w:vAlign w:val="center"/>
            <w:hideMark/>
          </w:tcPr>
          <w:p w14:paraId="22B0152C" w14:textId="77777777" w:rsidR="00E3750C" w:rsidRPr="009C46B1" w:rsidRDefault="00E3750C" w:rsidP="00047864">
            <w:pPr>
              <w:spacing w:after="0" w:line="240" w:lineRule="auto"/>
              <w:rPr>
                <w:rFonts w:ascii="Arial" w:eastAsia="Times New Roman" w:hAnsi="Arial" w:cs="Arial"/>
                <w:color w:val="000000"/>
                <w:sz w:val="18"/>
                <w:szCs w:val="18"/>
                <w:lang w:eastAsia="sl-SI"/>
              </w:rPr>
            </w:pPr>
          </w:p>
        </w:tc>
        <w:tc>
          <w:tcPr>
            <w:tcW w:w="1005" w:type="pct"/>
            <w:tcBorders>
              <w:top w:val="nil"/>
              <w:left w:val="nil"/>
              <w:bottom w:val="single" w:sz="4" w:space="0" w:color="auto"/>
              <w:right w:val="single" w:sz="4" w:space="0" w:color="auto"/>
            </w:tcBorders>
            <w:shd w:val="clear" w:color="auto" w:fill="auto"/>
            <w:noWrap/>
            <w:vAlign w:val="center"/>
            <w:hideMark/>
          </w:tcPr>
          <w:p w14:paraId="5828F4C7" w14:textId="77777777" w:rsidR="00E3750C" w:rsidRPr="009C46B1" w:rsidRDefault="00E3750C" w:rsidP="00047864">
            <w:pPr>
              <w:spacing w:after="0" w:line="240" w:lineRule="auto"/>
              <w:rPr>
                <w:rFonts w:ascii="Arial" w:eastAsia="Times New Roman" w:hAnsi="Arial" w:cs="Arial"/>
                <w:b/>
                <w:bCs/>
                <w:color w:val="000000"/>
                <w:sz w:val="18"/>
                <w:szCs w:val="18"/>
                <w:lang w:eastAsia="sl-SI"/>
              </w:rPr>
            </w:pPr>
            <w:r w:rsidRPr="009C46B1">
              <w:rPr>
                <w:rFonts w:ascii="Arial" w:eastAsia="Times New Roman" w:hAnsi="Arial" w:cs="Arial"/>
                <w:b/>
                <w:bCs/>
                <w:color w:val="000000"/>
                <w:sz w:val="18"/>
                <w:szCs w:val="18"/>
                <w:lang w:eastAsia="sl-SI"/>
              </w:rPr>
              <w:t>Skupaj</w:t>
            </w:r>
          </w:p>
        </w:tc>
        <w:tc>
          <w:tcPr>
            <w:tcW w:w="618" w:type="pct"/>
            <w:tcBorders>
              <w:top w:val="nil"/>
              <w:left w:val="nil"/>
              <w:bottom w:val="single" w:sz="4" w:space="0" w:color="auto"/>
              <w:right w:val="single" w:sz="4" w:space="0" w:color="auto"/>
            </w:tcBorders>
            <w:shd w:val="clear" w:color="auto" w:fill="auto"/>
            <w:noWrap/>
            <w:vAlign w:val="center"/>
            <w:hideMark/>
          </w:tcPr>
          <w:p w14:paraId="36434E2F" w14:textId="77777777" w:rsidR="00E3750C" w:rsidRPr="009C46B1" w:rsidRDefault="00E3750C" w:rsidP="00047864">
            <w:pPr>
              <w:spacing w:after="0" w:line="240" w:lineRule="auto"/>
              <w:jc w:val="right"/>
              <w:rPr>
                <w:rFonts w:ascii="Arial" w:eastAsia="Times New Roman" w:hAnsi="Arial" w:cs="Arial"/>
                <w:b/>
                <w:bCs/>
                <w:color w:val="000000"/>
                <w:sz w:val="18"/>
                <w:szCs w:val="18"/>
                <w:lang w:eastAsia="sl-SI"/>
              </w:rPr>
            </w:pPr>
            <w:r w:rsidRPr="009C46B1">
              <w:rPr>
                <w:rFonts w:ascii="Arial" w:eastAsia="Times New Roman" w:hAnsi="Arial" w:cs="Arial"/>
                <w:b/>
                <w:bCs/>
                <w:color w:val="000000"/>
                <w:sz w:val="18"/>
                <w:szCs w:val="18"/>
                <w:lang w:eastAsia="sl-SI"/>
              </w:rPr>
              <w:t>427</w:t>
            </w:r>
          </w:p>
        </w:tc>
        <w:tc>
          <w:tcPr>
            <w:tcW w:w="463" w:type="pct"/>
            <w:tcBorders>
              <w:top w:val="nil"/>
              <w:left w:val="nil"/>
              <w:bottom w:val="single" w:sz="4" w:space="0" w:color="auto"/>
              <w:right w:val="single" w:sz="4" w:space="0" w:color="auto"/>
            </w:tcBorders>
            <w:shd w:val="clear" w:color="auto" w:fill="auto"/>
            <w:noWrap/>
            <w:vAlign w:val="center"/>
            <w:hideMark/>
          </w:tcPr>
          <w:p w14:paraId="4F1B3D63" w14:textId="77777777" w:rsidR="00E3750C" w:rsidRPr="009C46B1" w:rsidRDefault="00E3750C" w:rsidP="00047864">
            <w:pPr>
              <w:spacing w:after="0" w:line="240" w:lineRule="auto"/>
              <w:jc w:val="right"/>
              <w:rPr>
                <w:rFonts w:ascii="Arial" w:eastAsia="Times New Roman" w:hAnsi="Arial" w:cs="Arial"/>
                <w:b/>
                <w:bCs/>
                <w:color w:val="000000"/>
                <w:sz w:val="18"/>
                <w:szCs w:val="18"/>
                <w:lang w:eastAsia="sl-SI"/>
              </w:rPr>
            </w:pPr>
            <w:r w:rsidRPr="009C46B1">
              <w:rPr>
                <w:rFonts w:ascii="Arial" w:eastAsia="Times New Roman" w:hAnsi="Arial" w:cs="Arial"/>
                <w:b/>
                <w:bCs/>
                <w:color w:val="000000"/>
                <w:sz w:val="18"/>
                <w:szCs w:val="18"/>
                <w:lang w:eastAsia="sl-SI"/>
              </w:rPr>
              <w:t>3.936</w:t>
            </w:r>
          </w:p>
        </w:tc>
        <w:tc>
          <w:tcPr>
            <w:tcW w:w="773" w:type="pct"/>
            <w:tcBorders>
              <w:top w:val="nil"/>
              <w:left w:val="nil"/>
              <w:bottom w:val="single" w:sz="4" w:space="0" w:color="auto"/>
              <w:right w:val="single" w:sz="4" w:space="0" w:color="auto"/>
            </w:tcBorders>
            <w:shd w:val="clear" w:color="auto" w:fill="auto"/>
            <w:noWrap/>
            <w:vAlign w:val="center"/>
            <w:hideMark/>
          </w:tcPr>
          <w:p w14:paraId="630ED069" w14:textId="77777777" w:rsidR="00E3750C" w:rsidRPr="009C46B1" w:rsidRDefault="00E3750C" w:rsidP="00047864">
            <w:pPr>
              <w:spacing w:after="0" w:line="240" w:lineRule="auto"/>
              <w:jc w:val="right"/>
              <w:rPr>
                <w:rFonts w:ascii="Arial" w:eastAsia="Times New Roman" w:hAnsi="Arial" w:cs="Arial"/>
                <w:b/>
                <w:bCs/>
                <w:color w:val="000000"/>
                <w:sz w:val="18"/>
                <w:szCs w:val="18"/>
                <w:lang w:eastAsia="sl-SI"/>
              </w:rPr>
            </w:pPr>
            <w:r w:rsidRPr="009C46B1">
              <w:rPr>
                <w:rFonts w:ascii="Arial" w:eastAsia="Times New Roman" w:hAnsi="Arial" w:cs="Arial"/>
                <w:b/>
                <w:bCs/>
                <w:color w:val="000000"/>
                <w:sz w:val="18"/>
                <w:szCs w:val="18"/>
                <w:lang w:eastAsia="sl-SI"/>
              </w:rPr>
              <w:t>279.644.224</w:t>
            </w:r>
          </w:p>
        </w:tc>
        <w:tc>
          <w:tcPr>
            <w:tcW w:w="618" w:type="pct"/>
            <w:tcBorders>
              <w:top w:val="nil"/>
              <w:left w:val="nil"/>
              <w:bottom w:val="single" w:sz="4" w:space="0" w:color="auto"/>
              <w:right w:val="single" w:sz="4" w:space="0" w:color="auto"/>
            </w:tcBorders>
            <w:shd w:val="clear" w:color="auto" w:fill="auto"/>
            <w:noWrap/>
            <w:vAlign w:val="center"/>
            <w:hideMark/>
          </w:tcPr>
          <w:p w14:paraId="4A5E36FE" w14:textId="77777777" w:rsidR="00E3750C" w:rsidRPr="009C46B1" w:rsidRDefault="00E3750C" w:rsidP="00047864">
            <w:pPr>
              <w:spacing w:after="0" w:line="240" w:lineRule="auto"/>
              <w:jc w:val="right"/>
              <w:rPr>
                <w:rFonts w:ascii="Arial" w:eastAsia="Times New Roman" w:hAnsi="Arial" w:cs="Arial"/>
                <w:b/>
                <w:bCs/>
                <w:color w:val="000000"/>
                <w:sz w:val="18"/>
                <w:szCs w:val="18"/>
                <w:lang w:eastAsia="sl-SI"/>
              </w:rPr>
            </w:pPr>
            <w:r w:rsidRPr="009C46B1">
              <w:rPr>
                <w:rFonts w:ascii="Arial" w:eastAsia="Times New Roman" w:hAnsi="Arial" w:cs="Arial"/>
                <w:b/>
                <w:bCs/>
                <w:color w:val="000000"/>
                <w:sz w:val="18"/>
                <w:szCs w:val="18"/>
                <w:lang w:eastAsia="sl-SI"/>
              </w:rPr>
              <w:t>100,00 %</w:t>
            </w:r>
          </w:p>
        </w:tc>
        <w:tc>
          <w:tcPr>
            <w:tcW w:w="540" w:type="pct"/>
            <w:tcBorders>
              <w:top w:val="nil"/>
              <w:left w:val="nil"/>
              <w:bottom w:val="single" w:sz="4" w:space="0" w:color="auto"/>
              <w:right w:val="single" w:sz="4" w:space="0" w:color="auto"/>
            </w:tcBorders>
            <w:shd w:val="clear" w:color="auto" w:fill="auto"/>
            <w:noWrap/>
            <w:vAlign w:val="center"/>
            <w:hideMark/>
          </w:tcPr>
          <w:p w14:paraId="1B7088DD" w14:textId="77777777" w:rsidR="00E3750C" w:rsidRPr="009C46B1" w:rsidRDefault="00E3750C" w:rsidP="00047864">
            <w:pPr>
              <w:spacing w:after="0" w:line="240" w:lineRule="auto"/>
              <w:jc w:val="right"/>
              <w:rPr>
                <w:rFonts w:ascii="Arial" w:eastAsia="Times New Roman" w:hAnsi="Arial" w:cs="Arial"/>
                <w:b/>
                <w:bCs/>
                <w:color w:val="000000"/>
                <w:sz w:val="18"/>
                <w:szCs w:val="18"/>
                <w:lang w:eastAsia="sl-SI"/>
              </w:rPr>
            </w:pPr>
            <w:r w:rsidRPr="009C46B1">
              <w:rPr>
                <w:rFonts w:ascii="Arial" w:eastAsia="Times New Roman" w:hAnsi="Arial" w:cs="Arial"/>
                <w:b/>
                <w:bCs/>
                <w:color w:val="000000"/>
                <w:sz w:val="18"/>
                <w:szCs w:val="18"/>
                <w:lang w:eastAsia="sl-SI"/>
              </w:rPr>
              <w:t>100,00 %</w:t>
            </w:r>
          </w:p>
        </w:tc>
        <w:tc>
          <w:tcPr>
            <w:tcW w:w="522" w:type="pct"/>
            <w:tcBorders>
              <w:top w:val="nil"/>
              <w:left w:val="nil"/>
              <w:bottom w:val="single" w:sz="4" w:space="0" w:color="auto"/>
              <w:right w:val="single" w:sz="4" w:space="0" w:color="auto"/>
            </w:tcBorders>
            <w:shd w:val="clear" w:color="auto" w:fill="auto"/>
            <w:noWrap/>
            <w:vAlign w:val="center"/>
            <w:hideMark/>
          </w:tcPr>
          <w:p w14:paraId="473F50EA" w14:textId="77777777" w:rsidR="00E3750C" w:rsidRPr="009C46B1" w:rsidRDefault="00E3750C" w:rsidP="00047864">
            <w:pPr>
              <w:spacing w:after="0" w:line="240" w:lineRule="auto"/>
              <w:jc w:val="right"/>
              <w:rPr>
                <w:rFonts w:ascii="Arial" w:eastAsia="Times New Roman" w:hAnsi="Arial" w:cs="Arial"/>
                <w:b/>
                <w:bCs/>
                <w:color w:val="000000"/>
                <w:sz w:val="18"/>
                <w:szCs w:val="18"/>
                <w:lang w:eastAsia="sl-SI"/>
              </w:rPr>
            </w:pPr>
            <w:r w:rsidRPr="009C46B1">
              <w:rPr>
                <w:rFonts w:ascii="Arial" w:eastAsia="Times New Roman" w:hAnsi="Arial" w:cs="Arial"/>
                <w:b/>
                <w:bCs/>
                <w:color w:val="000000"/>
                <w:sz w:val="18"/>
                <w:szCs w:val="18"/>
                <w:lang w:eastAsia="sl-SI"/>
              </w:rPr>
              <w:t>100,00 %</w:t>
            </w:r>
          </w:p>
        </w:tc>
      </w:tr>
      <w:tr w:rsidR="00E3750C" w:rsidRPr="009C46B1" w14:paraId="164023BE" w14:textId="77777777" w:rsidTr="00047864">
        <w:trPr>
          <w:trHeight w:val="300"/>
        </w:trPr>
        <w:tc>
          <w:tcPr>
            <w:tcW w:w="46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698AE31" w14:textId="77777777" w:rsidR="00E3750C" w:rsidRPr="009C46B1" w:rsidRDefault="00E3750C" w:rsidP="00047864">
            <w:pPr>
              <w:spacing w:after="0" w:line="240" w:lineRule="auto"/>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Storitve</w:t>
            </w:r>
          </w:p>
        </w:tc>
        <w:tc>
          <w:tcPr>
            <w:tcW w:w="1005" w:type="pct"/>
            <w:tcBorders>
              <w:top w:val="nil"/>
              <w:left w:val="nil"/>
              <w:bottom w:val="single" w:sz="4" w:space="0" w:color="auto"/>
              <w:right w:val="single" w:sz="4" w:space="0" w:color="auto"/>
            </w:tcBorders>
            <w:shd w:val="clear" w:color="auto" w:fill="auto"/>
            <w:noWrap/>
            <w:vAlign w:val="center"/>
            <w:hideMark/>
          </w:tcPr>
          <w:p w14:paraId="5A5F8310" w14:textId="77777777" w:rsidR="00E3750C" w:rsidRPr="009C46B1" w:rsidRDefault="00E3750C" w:rsidP="00047864">
            <w:pPr>
              <w:spacing w:after="0" w:line="240" w:lineRule="auto"/>
              <w:rPr>
                <w:rFonts w:ascii="Arial" w:eastAsia="Times New Roman" w:hAnsi="Arial" w:cs="Arial"/>
                <w:color w:val="000000"/>
                <w:sz w:val="18"/>
                <w:szCs w:val="18"/>
                <w:lang w:eastAsia="sl-SI"/>
              </w:rPr>
            </w:pPr>
            <w:proofErr w:type="spellStart"/>
            <w:r w:rsidRPr="009C46B1">
              <w:rPr>
                <w:rFonts w:ascii="Arial" w:eastAsia="Times New Roman" w:hAnsi="Arial" w:cs="Arial"/>
                <w:color w:val="000000"/>
                <w:sz w:val="18"/>
                <w:szCs w:val="18"/>
                <w:lang w:eastAsia="sl-SI"/>
              </w:rPr>
              <w:t>Mikro</w:t>
            </w:r>
            <w:proofErr w:type="spellEnd"/>
            <w:r w:rsidRPr="009C46B1">
              <w:rPr>
                <w:rFonts w:ascii="Arial" w:eastAsia="Times New Roman" w:hAnsi="Arial" w:cs="Arial"/>
                <w:color w:val="000000"/>
                <w:sz w:val="18"/>
                <w:szCs w:val="18"/>
                <w:lang w:eastAsia="sl-SI"/>
              </w:rPr>
              <w:t xml:space="preserve"> enote</w:t>
            </w:r>
          </w:p>
        </w:tc>
        <w:tc>
          <w:tcPr>
            <w:tcW w:w="618" w:type="pct"/>
            <w:tcBorders>
              <w:top w:val="nil"/>
              <w:left w:val="nil"/>
              <w:bottom w:val="single" w:sz="4" w:space="0" w:color="auto"/>
              <w:right w:val="single" w:sz="4" w:space="0" w:color="auto"/>
            </w:tcBorders>
            <w:shd w:val="clear" w:color="auto" w:fill="auto"/>
            <w:noWrap/>
            <w:vAlign w:val="center"/>
            <w:hideMark/>
          </w:tcPr>
          <w:p w14:paraId="1D33E0FE"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122</w:t>
            </w:r>
          </w:p>
        </w:tc>
        <w:tc>
          <w:tcPr>
            <w:tcW w:w="463" w:type="pct"/>
            <w:tcBorders>
              <w:top w:val="nil"/>
              <w:left w:val="nil"/>
              <w:bottom w:val="single" w:sz="4" w:space="0" w:color="auto"/>
              <w:right w:val="single" w:sz="4" w:space="0" w:color="auto"/>
            </w:tcBorders>
            <w:shd w:val="clear" w:color="auto" w:fill="auto"/>
            <w:noWrap/>
            <w:vAlign w:val="center"/>
            <w:hideMark/>
          </w:tcPr>
          <w:p w14:paraId="6A4B447E"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197</w:t>
            </w:r>
          </w:p>
        </w:tc>
        <w:tc>
          <w:tcPr>
            <w:tcW w:w="773" w:type="pct"/>
            <w:tcBorders>
              <w:top w:val="nil"/>
              <w:left w:val="nil"/>
              <w:bottom w:val="single" w:sz="4" w:space="0" w:color="auto"/>
              <w:right w:val="single" w:sz="4" w:space="0" w:color="auto"/>
            </w:tcBorders>
            <w:shd w:val="clear" w:color="auto" w:fill="auto"/>
            <w:noWrap/>
            <w:vAlign w:val="center"/>
            <w:hideMark/>
          </w:tcPr>
          <w:p w14:paraId="648F75E8"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24.651.715</w:t>
            </w:r>
          </w:p>
        </w:tc>
        <w:tc>
          <w:tcPr>
            <w:tcW w:w="618" w:type="pct"/>
            <w:tcBorders>
              <w:top w:val="nil"/>
              <w:left w:val="nil"/>
              <w:bottom w:val="single" w:sz="4" w:space="0" w:color="auto"/>
              <w:right w:val="single" w:sz="4" w:space="0" w:color="auto"/>
            </w:tcBorders>
            <w:shd w:val="clear" w:color="auto" w:fill="auto"/>
            <w:noWrap/>
            <w:vAlign w:val="center"/>
            <w:hideMark/>
          </w:tcPr>
          <w:p w14:paraId="6EAB20D7"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41,78 %</w:t>
            </w:r>
          </w:p>
        </w:tc>
        <w:tc>
          <w:tcPr>
            <w:tcW w:w="540" w:type="pct"/>
            <w:tcBorders>
              <w:top w:val="nil"/>
              <w:left w:val="nil"/>
              <w:bottom w:val="single" w:sz="4" w:space="0" w:color="auto"/>
              <w:right w:val="single" w:sz="4" w:space="0" w:color="auto"/>
            </w:tcBorders>
            <w:shd w:val="clear" w:color="auto" w:fill="auto"/>
            <w:noWrap/>
            <w:vAlign w:val="center"/>
            <w:hideMark/>
          </w:tcPr>
          <w:p w14:paraId="3617D6F6"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34,62 %</w:t>
            </w:r>
          </w:p>
        </w:tc>
        <w:tc>
          <w:tcPr>
            <w:tcW w:w="522" w:type="pct"/>
            <w:tcBorders>
              <w:top w:val="nil"/>
              <w:left w:val="nil"/>
              <w:bottom w:val="single" w:sz="4" w:space="0" w:color="auto"/>
              <w:right w:val="single" w:sz="4" w:space="0" w:color="auto"/>
            </w:tcBorders>
            <w:shd w:val="clear" w:color="auto" w:fill="auto"/>
            <w:noWrap/>
            <w:vAlign w:val="center"/>
            <w:hideMark/>
          </w:tcPr>
          <w:p w14:paraId="4B9E62C6"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15,79 %</w:t>
            </w:r>
          </w:p>
        </w:tc>
      </w:tr>
      <w:tr w:rsidR="00E3750C" w:rsidRPr="009C46B1" w14:paraId="19032511" w14:textId="77777777" w:rsidTr="00047864">
        <w:trPr>
          <w:trHeight w:val="300"/>
        </w:trPr>
        <w:tc>
          <w:tcPr>
            <w:tcW w:w="461" w:type="pct"/>
            <w:vMerge/>
            <w:tcBorders>
              <w:top w:val="nil"/>
              <w:left w:val="single" w:sz="4" w:space="0" w:color="auto"/>
              <w:bottom w:val="single" w:sz="4" w:space="0" w:color="auto"/>
              <w:right w:val="single" w:sz="4" w:space="0" w:color="auto"/>
            </w:tcBorders>
            <w:vAlign w:val="center"/>
            <w:hideMark/>
          </w:tcPr>
          <w:p w14:paraId="35A7F363" w14:textId="77777777" w:rsidR="00E3750C" w:rsidRPr="009C46B1" w:rsidRDefault="00E3750C" w:rsidP="00047864">
            <w:pPr>
              <w:spacing w:after="0" w:line="240" w:lineRule="auto"/>
              <w:rPr>
                <w:rFonts w:ascii="Arial" w:eastAsia="Times New Roman" w:hAnsi="Arial" w:cs="Arial"/>
                <w:color w:val="000000"/>
                <w:sz w:val="18"/>
                <w:szCs w:val="18"/>
                <w:lang w:eastAsia="sl-SI"/>
              </w:rPr>
            </w:pPr>
          </w:p>
        </w:tc>
        <w:tc>
          <w:tcPr>
            <w:tcW w:w="1005" w:type="pct"/>
            <w:tcBorders>
              <w:top w:val="nil"/>
              <w:left w:val="nil"/>
              <w:bottom w:val="single" w:sz="4" w:space="0" w:color="auto"/>
              <w:right w:val="single" w:sz="4" w:space="0" w:color="auto"/>
            </w:tcBorders>
            <w:shd w:val="clear" w:color="auto" w:fill="auto"/>
            <w:noWrap/>
            <w:vAlign w:val="center"/>
            <w:hideMark/>
          </w:tcPr>
          <w:p w14:paraId="0730DBC2" w14:textId="77777777" w:rsidR="00E3750C" w:rsidRPr="009C46B1" w:rsidRDefault="00E3750C" w:rsidP="00047864">
            <w:pPr>
              <w:spacing w:after="0" w:line="240" w:lineRule="auto"/>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Majhne enote</w:t>
            </w:r>
          </w:p>
        </w:tc>
        <w:tc>
          <w:tcPr>
            <w:tcW w:w="618" w:type="pct"/>
            <w:tcBorders>
              <w:top w:val="nil"/>
              <w:left w:val="nil"/>
              <w:bottom w:val="single" w:sz="4" w:space="0" w:color="auto"/>
              <w:right w:val="single" w:sz="4" w:space="0" w:color="auto"/>
            </w:tcBorders>
            <w:shd w:val="clear" w:color="auto" w:fill="auto"/>
            <w:noWrap/>
            <w:vAlign w:val="center"/>
            <w:hideMark/>
          </w:tcPr>
          <w:p w14:paraId="786B5D31"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93</w:t>
            </w:r>
          </w:p>
        </w:tc>
        <w:tc>
          <w:tcPr>
            <w:tcW w:w="463" w:type="pct"/>
            <w:tcBorders>
              <w:top w:val="nil"/>
              <w:left w:val="nil"/>
              <w:bottom w:val="single" w:sz="4" w:space="0" w:color="auto"/>
              <w:right w:val="single" w:sz="4" w:space="0" w:color="auto"/>
            </w:tcBorders>
            <w:shd w:val="clear" w:color="auto" w:fill="auto"/>
            <w:noWrap/>
            <w:vAlign w:val="center"/>
            <w:hideMark/>
          </w:tcPr>
          <w:p w14:paraId="49E31816"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185</w:t>
            </w:r>
          </w:p>
        </w:tc>
        <w:tc>
          <w:tcPr>
            <w:tcW w:w="773" w:type="pct"/>
            <w:tcBorders>
              <w:top w:val="nil"/>
              <w:left w:val="nil"/>
              <w:bottom w:val="single" w:sz="4" w:space="0" w:color="auto"/>
              <w:right w:val="single" w:sz="4" w:space="0" w:color="auto"/>
            </w:tcBorders>
            <w:shd w:val="clear" w:color="auto" w:fill="auto"/>
            <w:noWrap/>
            <w:vAlign w:val="center"/>
            <w:hideMark/>
          </w:tcPr>
          <w:p w14:paraId="281FE46D"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57.164.980</w:t>
            </w:r>
          </w:p>
        </w:tc>
        <w:tc>
          <w:tcPr>
            <w:tcW w:w="618" w:type="pct"/>
            <w:tcBorders>
              <w:top w:val="nil"/>
              <w:left w:val="nil"/>
              <w:bottom w:val="single" w:sz="4" w:space="0" w:color="auto"/>
              <w:right w:val="single" w:sz="4" w:space="0" w:color="auto"/>
            </w:tcBorders>
            <w:shd w:val="clear" w:color="auto" w:fill="auto"/>
            <w:noWrap/>
            <w:vAlign w:val="center"/>
            <w:hideMark/>
          </w:tcPr>
          <w:p w14:paraId="6A8AFAAB"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31,85 %</w:t>
            </w:r>
          </w:p>
        </w:tc>
        <w:tc>
          <w:tcPr>
            <w:tcW w:w="540" w:type="pct"/>
            <w:tcBorders>
              <w:top w:val="nil"/>
              <w:left w:val="nil"/>
              <w:bottom w:val="single" w:sz="4" w:space="0" w:color="auto"/>
              <w:right w:val="single" w:sz="4" w:space="0" w:color="auto"/>
            </w:tcBorders>
            <w:shd w:val="clear" w:color="auto" w:fill="auto"/>
            <w:noWrap/>
            <w:vAlign w:val="center"/>
            <w:hideMark/>
          </w:tcPr>
          <w:p w14:paraId="70BF607D"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32,51 %</w:t>
            </w:r>
          </w:p>
        </w:tc>
        <w:tc>
          <w:tcPr>
            <w:tcW w:w="522" w:type="pct"/>
            <w:tcBorders>
              <w:top w:val="nil"/>
              <w:left w:val="nil"/>
              <w:bottom w:val="single" w:sz="4" w:space="0" w:color="auto"/>
              <w:right w:val="single" w:sz="4" w:space="0" w:color="auto"/>
            </w:tcBorders>
            <w:shd w:val="clear" w:color="auto" w:fill="auto"/>
            <w:noWrap/>
            <w:vAlign w:val="center"/>
            <w:hideMark/>
          </w:tcPr>
          <w:p w14:paraId="78E58A9A"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36,62 %</w:t>
            </w:r>
          </w:p>
        </w:tc>
      </w:tr>
      <w:tr w:rsidR="00E3750C" w:rsidRPr="009C46B1" w14:paraId="5B931EA2" w14:textId="77777777" w:rsidTr="00047864">
        <w:trPr>
          <w:trHeight w:val="300"/>
        </w:trPr>
        <w:tc>
          <w:tcPr>
            <w:tcW w:w="461" w:type="pct"/>
            <w:vMerge/>
            <w:tcBorders>
              <w:top w:val="nil"/>
              <w:left w:val="single" w:sz="4" w:space="0" w:color="auto"/>
              <w:bottom w:val="single" w:sz="4" w:space="0" w:color="auto"/>
              <w:right w:val="single" w:sz="4" w:space="0" w:color="auto"/>
            </w:tcBorders>
            <w:vAlign w:val="center"/>
            <w:hideMark/>
          </w:tcPr>
          <w:p w14:paraId="28B1BF0A" w14:textId="77777777" w:rsidR="00E3750C" w:rsidRPr="009C46B1" w:rsidRDefault="00E3750C" w:rsidP="00047864">
            <w:pPr>
              <w:spacing w:after="0" w:line="240" w:lineRule="auto"/>
              <w:rPr>
                <w:rFonts w:ascii="Arial" w:eastAsia="Times New Roman" w:hAnsi="Arial" w:cs="Arial"/>
                <w:color w:val="000000"/>
                <w:sz w:val="18"/>
                <w:szCs w:val="18"/>
                <w:lang w:eastAsia="sl-SI"/>
              </w:rPr>
            </w:pPr>
          </w:p>
        </w:tc>
        <w:tc>
          <w:tcPr>
            <w:tcW w:w="1005" w:type="pct"/>
            <w:tcBorders>
              <w:top w:val="nil"/>
              <w:left w:val="nil"/>
              <w:bottom w:val="single" w:sz="4" w:space="0" w:color="auto"/>
              <w:right w:val="single" w:sz="4" w:space="0" w:color="auto"/>
            </w:tcBorders>
            <w:shd w:val="clear" w:color="auto" w:fill="auto"/>
            <w:noWrap/>
            <w:vAlign w:val="center"/>
            <w:hideMark/>
          </w:tcPr>
          <w:p w14:paraId="45FAAF82" w14:textId="77777777" w:rsidR="00E3750C" w:rsidRPr="009C46B1" w:rsidRDefault="00E3750C" w:rsidP="00047864">
            <w:pPr>
              <w:spacing w:after="0" w:line="240" w:lineRule="auto"/>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Srednje enote</w:t>
            </w:r>
          </w:p>
        </w:tc>
        <w:tc>
          <w:tcPr>
            <w:tcW w:w="618" w:type="pct"/>
            <w:tcBorders>
              <w:top w:val="nil"/>
              <w:left w:val="nil"/>
              <w:bottom w:val="single" w:sz="4" w:space="0" w:color="auto"/>
              <w:right w:val="single" w:sz="4" w:space="0" w:color="auto"/>
            </w:tcBorders>
            <w:shd w:val="clear" w:color="auto" w:fill="auto"/>
            <w:noWrap/>
            <w:vAlign w:val="center"/>
            <w:hideMark/>
          </w:tcPr>
          <w:p w14:paraId="3D2BF601"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36</w:t>
            </w:r>
          </w:p>
        </w:tc>
        <w:tc>
          <w:tcPr>
            <w:tcW w:w="463" w:type="pct"/>
            <w:tcBorders>
              <w:top w:val="nil"/>
              <w:left w:val="nil"/>
              <w:bottom w:val="single" w:sz="4" w:space="0" w:color="auto"/>
              <w:right w:val="single" w:sz="4" w:space="0" w:color="auto"/>
            </w:tcBorders>
            <w:shd w:val="clear" w:color="auto" w:fill="auto"/>
            <w:noWrap/>
            <w:vAlign w:val="center"/>
            <w:hideMark/>
          </w:tcPr>
          <w:p w14:paraId="5A894DCB"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85</w:t>
            </w:r>
          </w:p>
        </w:tc>
        <w:tc>
          <w:tcPr>
            <w:tcW w:w="773" w:type="pct"/>
            <w:tcBorders>
              <w:top w:val="nil"/>
              <w:left w:val="nil"/>
              <w:bottom w:val="single" w:sz="4" w:space="0" w:color="auto"/>
              <w:right w:val="single" w:sz="4" w:space="0" w:color="auto"/>
            </w:tcBorders>
            <w:shd w:val="clear" w:color="auto" w:fill="auto"/>
            <w:noWrap/>
            <w:vAlign w:val="center"/>
            <w:hideMark/>
          </w:tcPr>
          <w:p w14:paraId="607A3EE2"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32.200.698</w:t>
            </w:r>
          </w:p>
        </w:tc>
        <w:tc>
          <w:tcPr>
            <w:tcW w:w="618" w:type="pct"/>
            <w:tcBorders>
              <w:top w:val="nil"/>
              <w:left w:val="nil"/>
              <w:bottom w:val="single" w:sz="4" w:space="0" w:color="auto"/>
              <w:right w:val="single" w:sz="4" w:space="0" w:color="auto"/>
            </w:tcBorders>
            <w:shd w:val="clear" w:color="auto" w:fill="auto"/>
            <w:noWrap/>
            <w:vAlign w:val="center"/>
            <w:hideMark/>
          </w:tcPr>
          <w:p w14:paraId="4CCB51A5"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12,33 %</w:t>
            </w:r>
          </w:p>
        </w:tc>
        <w:tc>
          <w:tcPr>
            <w:tcW w:w="540" w:type="pct"/>
            <w:tcBorders>
              <w:top w:val="nil"/>
              <w:left w:val="nil"/>
              <w:bottom w:val="single" w:sz="4" w:space="0" w:color="auto"/>
              <w:right w:val="single" w:sz="4" w:space="0" w:color="auto"/>
            </w:tcBorders>
            <w:shd w:val="clear" w:color="auto" w:fill="auto"/>
            <w:noWrap/>
            <w:vAlign w:val="center"/>
            <w:hideMark/>
          </w:tcPr>
          <w:p w14:paraId="2F081636"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14,94 %</w:t>
            </w:r>
          </w:p>
        </w:tc>
        <w:tc>
          <w:tcPr>
            <w:tcW w:w="522" w:type="pct"/>
            <w:tcBorders>
              <w:top w:val="nil"/>
              <w:left w:val="nil"/>
              <w:bottom w:val="single" w:sz="4" w:space="0" w:color="auto"/>
              <w:right w:val="single" w:sz="4" w:space="0" w:color="auto"/>
            </w:tcBorders>
            <w:shd w:val="clear" w:color="auto" w:fill="auto"/>
            <w:noWrap/>
            <w:vAlign w:val="center"/>
            <w:hideMark/>
          </w:tcPr>
          <w:p w14:paraId="6448E557"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20,63 %</w:t>
            </w:r>
          </w:p>
        </w:tc>
      </w:tr>
      <w:tr w:rsidR="00E3750C" w:rsidRPr="009C46B1" w14:paraId="416E2C04" w14:textId="77777777" w:rsidTr="00047864">
        <w:trPr>
          <w:trHeight w:val="300"/>
        </w:trPr>
        <w:tc>
          <w:tcPr>
            <w:tcW w:w="461" w:type="pct"/>
            <w:vMerge/>
            <w:tcBorders>
              <w:top w:val="nil"/>
              <w:left w:val="single" w:sz="4" w:space="0" w:color="auto"/>
              <w:bottom w:val="single" w:sz="4" w:space="0" w:color="auto"/>
              <w:right w:val="single" w:sz="4" w:space="0" w:color="auto"/>
            </w:tcBorders>
            <w:vAlign w:val="center"/>
            <w:hideMark/>
          </w:tcPr>
          <w:p w14:paraId="360B1980" w14:textId="77777777" w:rsidR="00E3750C" w:rsidRPr="009C46B1" w:rsidRDefault="00E3750C" w:rsidP="00047864">
            <w:pPr>
              <w:spacing w:after="0" w:line="240" w:lineRule="auto"/>
              <w:rPr>
                <w:rFonts w:ascii="Arial" w:eastAsia="Times New Roman" w:hAnsi="Arial" w:cs="Arial"/>
                <w:color w:val="000000"/>
                <w:sz w:val="18"/>
                <w:szCs w:val="18"/>
                <w:lang w:eastAsia="sl-SI"/>
              </w:rPr>
            </w:pPr>
          </w:p>
        </w:tc>
        <w:tc>
          <w:tcPr>
            <w:tcW w:w="1005" w:type="pct"/>
            <w:tcBorders>
              <w:top w:val="nil"/>
              <w:left w:val="nil"/>
              <w:bottom w:val="single" w:sz="4" w:space="0" w:color="auto"/>
              <w:right w:val="single" w:sz="4" w:space="0" w:color="auto"/>
            </w:tcBorders>
            <w:shd w:val="clear" w:color="auto" w:fill="auto"/>
            <w:noWrap/>
            <w:vAlign w:val="center"/>
            <w:hideMark/>
          </w:tcPr>
          <w:p w14:paraId="62DE0583" w14:textId="77777777" w:rsidR="00E3750C" w:rsidRPr="009C46B1" w:rsidRDefault="00E3750C" w:rsidP="00047864">
            <w:pPr>
              <w:spacing w:after="0" w:line="240" w:lineRule="auto"/>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Velike enote</w:t>
            </w:r>
          </w:p>
        </w:tc>
        <w:tc>
          <w:tcPr>
            <w:tcW w:w="618" w:type="pct"/>
            <w:tcBorders>
              <w:top w:val="nil"/>
              <w:left w:val="nil"/>
              <w:bottom w:val="single" w:sz="4" w:space="0" w:color="auto"/>
              <w:right w:val="single" w:sz="4" w:space="0" w:color="auto"/>
            </w:tcBorders>
            <w:shd w:val="clear" w:color="auto" w:fill="auto"/>
            <w:noWrap/>
            <w:vAlign w:val="center"/>
            <w:hideMark/>
          </w:tcPr>
          <w:p w14:paraId="7A864D66"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20</w:t>
            </w:r>
          </w:p>
        </w:tc>
        <w:tc>
          <w:tcPr>
            <w:tcW w:w="463" w:type="pct"/>
            <w:tcBorders>
              <w:top w:val="nil"/>
              <w:left w:val="nil"/>
              <w:bottom w:val="single" w:sz="4" w:space="0" w:color="auto"/>
              <w:right w:val="single" w:sz="4" w:space="0" w:color="auto"/>
            </w:tcBorders>
            <w:shd w:val="clear" w:color="auto" w:fill="auto"/>
            <w:noWrap/>
            <w:vAlign w:val="center"/>
            <w:hideMark/>
          </w:tcPr>
          <w:p w14:paraId="0D5447F4"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75</w:t>
            </w:r>
          </w:p>
        </w:tc>
        <w:tc>
          <w:tcPr>
            <w:tcW w:w="773" w:type="pct"/>
            <w:tcBorders>
              <w:top w:val="nil"/>
              <w:left w:val="nil"/>
              <w:bottom w:val="single" w:sz="4" w:space="0" w:color="auto"/>
              <w:right w:val="single" w:sz="4" w:space="0" w:color="auto"/>
            </w:tcBorders>
            <w:shd w:val="clear" w:color="auto" w:fill="auto"/>
            <w:noWrap/>
            <w:vAlign w:val="center"/>
            <w:hideMark/>
          </w:tcPr>
          <w:p w14:paraId="755925E4"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38.177.056</w:t>
            </w:r>
          </w:p>
        </w:tc>
        <w:tc>
          <w:tcPr>
            <w:tcW w:w="618" w:type="pct"/>
            <w:tcBorders>
              <w:top w:val="nil"/>
              <w:left w:val="nil"/>
              <w:bottom w:val="single" w:sz="4" w:space="0" w:color="auto"/>
              <w:right w:val="single" w:sz="4" w:space="0" w:color="auto"/>
            </w:tcBorders>
            <w:shd w:val="clear" w:color="auto" w:fill="auto"/>
            <w:noWrap/>
            <w:vAlign w:val="center"/>
            <w:hideMark/>
          </w:tcPr>
          <w:p w14:paraId="780F9C41"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6,85 %</w:t>
            </w:r>
          </w:p>
        </w:tc>
        <w:tc>
          <w:tcPr>
            <w:tcW w:w="540" w:type="pct"/>
            <w:tcBorders>
              <w:top w:val="nil"/>
              <w:left w:val="nil"/>
              <w:bottom w:val="single" w:sz="4" w:space="0" w:color="auto"/>
              <w:right w:val="single" w:sz="4" w:space="0" w:color="auto"/>
            </w:tcBorders>
            <w:shd w:val="clear" w:color="auto" w:fill="auto"/>
            <w:noWrap/>
            <w:vAlign w:val="center"/>
            <w:hideMark/>
          </w:tcPr>
          <w:p w14:paraId="09EA5058"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13,18 %</w:t>
            </w:r>
          </w:p>
        </w:tc>
        <w:tc>
          <w:tcPr>
            <w:tcW w:w="522" w:type="pct"/>
            <w:tcBorders>
              <w:top w:val="nil"/>
              <w:left w:val="nil"/>
              <w:bottom w:val="single" w:sz="4" w:space="0" w:color="auto"/>
              <w:right w:val="single" w:sz="4" w:space="0" w:color="auto"/>
            </w:tcBorders>
            <w:shd w:val="clear" w:color="auto" w:fill="auto"/>
            <w:noWrap/>
            <w:vAlign w:val="center"/>
            <w:hideMark/>
          </w:tcPr>
          <w:p w14:paraId="7D18F4A4"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24,46 %</w:t>
            </w:r>
          </w:p>
        </w:tc>
      </w:tr>
      <w:tr w:rsidR="00E3750C" w:rsidRPr="009C46B1" w14:paraId="50FFB8EF" w14:textId="77777777" w:rsidTr="00047864">
        <w:trPr>
          <w:trHeight w:val="300"/>
        </w:trPr>
        <w:tc>
          <w:tcPr>
            <w:tcW w:w="461" w:type="pct"/>
            <w:vMerge/>
            <w:tcBorders>
              <w:top w:val="nil"/>
              <w:left w:val="single" w:sz="4" w:space="0" w:color="auto"/>
              <w:bottom w:val="single" w:sz="4" w:space="0" w:color="auto"/>
              <w:right w:val="single" w:sz="4" w:space="0" w:color="auto"/>
            </w:tcBorders>
            <w:vAlign w:val="center"/>
            <w:hideMark/>
          </w:tcPr>
          <w:p w14:paraId="3A9B79C8" w14:textId="77777777" w:rsidR="00E3750C" w:rsidRPr="009C46B1" w:rsidRDefault="00E3750C" w:rsidP="00047864">
            <w:pPr>
              <w:spacing w:after="0" w:line="240" w:lineRule="auto"/>
              <w:rPr>
                <w:rFonts w:ascii="Arial" w:eastAsia="Times New Roman" w:hAnsi="Arial" w:cs="Arial"/>
                <w:color w:val="000000"/>
                <w:sz w:val="18"/>
                <w:szCs w:val="18"/>
                <w:lang w:eastAsia="sl-SI"/>
              </w:rPr>
            </w:pPr>
          </w:p>
        </w:tc>
        <w:tc>
          <w:tcPr>
            <w:tcW w:w="1005" w:type="pct"/>
            <w:tcBorders>
              <w:top w:val="nil"/>
              <w:left w:val="nil"/>
              <w:bottom w:val="single" w:sz="4" w:space="0" w:color="auto"/>
              <w:right w:val="single" w:sz="4" w:space="0" w:color="auto"/>
            </w:tcBorders>
            <w:shd w:val="clear" w:color="auto" w:fill="auto"/>
            <w:noWrap/>
            <w:vAlign w:val="center"/>
            <w:hideMark/>
          </w:tcPr>
          <w:p w14:paraId="799BCFCF" w14:textId="77777777" w:rsidR="00E3750C" w:rsidRPr="009C46B1" w:rsidRDefault="00E3750C" w:rsidP="00047864">
            <w:pPr>
              <w:spacing w:after="0" w:line="240" w:lineRule="auto"/>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Velikost RS se ne izračunava</w:t>
            </w:r>
          </w:p>
        </w:tc>
        <w:tc>
          <w:tcPr>
            <w:tcW w:w="618" w:type="pct"/>
            <w:tcBorders>
              <w:top w:val="nil"/>
              <w:left w:val="nil"/>
              <w:bottom w:val="single" w:sz="4" w:space="0" w:color="auto"/>
              <w:right w:val="single" w:sz="4" w:space="0" w:color="auto"/>
            </w:tcBorders>
            <w:shd w:val="clear" w:color="auto" w:fill="auto"/>
            <w:noWrap/>
            <w:vAlign w:val="center"/>
            <w:hideMark/>
          </w:tcPr>
          <w:p w14:paraId="69803674"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16</w:t>
            </w:r>
          </w:p>
        </w:tc>
        <w:tc>
          <w:tcPr>
            <w:tcW w:w="463" w:type="pct"/>
            <w:tcBorders>
              <w:top w:val="nil"/>
              <w:left w:val="nil"/>
              <w:bottom w:val="single" w:sz="4" w:space="0" w:color="auto"/>
              <w:right w:val="single" w:sz="4" w:space="0" w:color="auto"/>
            </w:tcBorders>
            <w:shd w:val="clear" w:color="auto" w:fill="auto"/>
            <w:noWrap/>
            <w:vAlign w:val="center"/>
            <w:hideMark/>
          </w:tcPr>
          <w:p w14:paraId="76B5DC86"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22</w:t>
            </w:r>
          </w:p>
        </w:tc>
        <w:tc>
          <w:tcPr>
            <w:tcW w:w="773" w:type="pct"/>
            <w:tcBorders>
              <w:top w:val="nil"/>
              <w:left w:val="nil"/>
              <w:bottom w:val="single" w:sz="4" w:space="0" w:color="auto"/>
              <w:right w:val="single" w:sz="4" w:space="0" w:color="auto"/>
            </w:tcBorders>
            <w:shd w:val="clear" w:color="auto" w:fill="auto"/>
            <w:noWrap/>
            <w:vAlign w:val="center"/>
            <w:hideMark/>
          </w:tcPr>
          <w:p w14:paraId="39D9FF76"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3.040.221</w:t>
            </w:r>
          </w:p>
        </w:tc>
        <w:tc>
          <w:tcPr>
            <w:tcW w:w="618" w:type="pct"/>
            <w:tcBorders>
              <w:top w:val="nil"/>
              <w:left w:val="nil"/>
              <w:bottom w:val="single" w:sz="4" w:space="0" w:color="auto"/>
              <w:right w:val="single" w:sz="4" w:space="0" w:color="auto"/>
            </w:tcBorders>
            <w:shd w:val="clear" w:color="auto" w:fill="auto"/>
            <w:noWrap/>
            <w:vAlign w:val="center"/>
            <w:hideMark/>
          </w:tcPr>
          <w:p w14:paraId="7B2A123A"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5,48 %</w:t>
            </w:r>
          </w:p>
        </w:tc>
        <w:tc>
          <w:tcPr>
            <w:tcW w:w="540" w:type="pct"/>
            <w:tcBorders>
              <w:top w:val="nil"/>
              <w:left w:val="nil"/>
              <w:bottom w:val="single" w:sz="4" w:space="0" w:color="auto"/>
              <w:right w:val="single" w:sz="4" w:space="0" w:color="auto"/>
            </w:tcBorders>
            <w:shd w:val="clear" w:color="auto" w:fill="auto"/>
            <w:noWrap/>
            <w:vAlign w:val="center"/>
            <w:hideMark/>
          </w:tcPr>
          <w:p w14:paraId="180A3C66"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3,87 %</w:t>
            </w:r>
          </w:p>
        </w:tc>
        <w:tc>
          <w:tcPr>
            <w:tcW w:w="522" w:type="pct"/>
            <w:tcBorders>
              <w:top w:val="nil"/>
              <w:left w:val="nil"/>
              <w:bottom w:val="single" w:sz="4" w:space="0" w:color="auto"/>
              <w:right w:val="single" w:sz="4" w:space="0" w:color="auto"/>
            </w:tcBorders>
            <w:shd w:val="clear" w:color="auto" w:fill="auto"/>
            <w:noWrap/>
            <w:vAlign w:val="center"/>
            <w:hideMark/>
          </w:tcPr>
          <w:p w14:paraId="5BBBDC4F"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1,95 %</w:t>
            </w:r>
          </w:p>
        </w:tc>
      </w:tr>
      <w:tr w:rsidR="00E3750C" w:rsidRPr="009C46B1" w14:paraId="7EF71AF9" w14:textId="77777777" w:rsidTr="00047864">
        <w:trPr>
          <w:trHeight w:val="300"/>
        </w:trPr>
        <w:tc>
          <w:tcPr>
            <w:tcW w:w="461" w:type="pct"/>
            <w:vMerge/>
            <w:tcBorders>
              <w:top w:val="nil"/>
              <w:left w:val="single" w:sz="4" w:space="0" w:color="auto"/>
              <w:bottom w:val="single" w:sz="4" w:space="0" w:color="auto"/>
              <w:right w:val="single" w:sz="4" w:space="0" w:color="auto"/>
            </w:tcBorders>
            <w:vAlign w:val="center"/>
            <w:hideMark/>
          </w:tcPr>
          <w:p w14:paraId="7D669AC9" w14:textId="77777777" w:rsidR="00E3750C" w:rsidRPr="009C46B1" w:rsidRDefault="00E3750C" w:rsidP="00047864">
            <w:pPr>
              <w:spacing w:after="0" w:line="240" w:lineRule="auto"/>
              <w:rPr>
                <w:rFonts w:ascii="Arial" w:eastAsia="Times New Roman" w:hAnsi="Arial" w:cs="Arial"/>
                <w:color w:val="000000"/>
                <w:sz w:val="18"/>
                <w:szCs w:val="18"/>
                <w:lang w:eastAsia="sl-SI"/>
              </w:rPr>
            </w:pPr>
          </w:p>
        </w:tc>
        <w:tc>
          <w:tcPr>
            <w:tcW w:w="1005" w:type="pct"/>
            <w:tcBorders>
              <w:top w:val="nil"/>
              <w:left w:val="nil"/>
              <w:bottom w:val="single" w:sz="4" w:space="0" w:color="auto"/>
              <w:right w:val="single" w:sz="4" w:space="0" w:color="auto"/>
            </w:tcBorders>
            <w:shd w:val="clear" w:color="auto" w:fill="auto"/>
            <w:noWrap/>
            <w:vAlign w:val="center"/>
            <w:hideMark/>
          </w:tcPr>
          <w:p w14:paraId="644D1BC9" w14:textId="77777777" w:rsidR="00E3750C" w:rsidRPr="009C46B1" w:rsidRDefault="00E3750C" w:rsidP="00047864">
            <w:pPr>
              <w:spacing w:after="0" w:line="240" w:lineRule="auto"/>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Ni podatka o velikosti</w:t>
            </w:r>
          </w:p>
        </w:tc>
        <w:tc>
          <w:tcPr>
            <w:tcW w:w="618" w:type="pct"/>
            <w:tcBorders>
              <w:top w:val="nil"/>
              <w:left w:val="nil"/>
              <w:bottom w:val="single" w:sz="4" w:space="0" w:color="auto"/>
              <w:right w:val="single" w:sz="4" w:space="0" w:color="auto"/>
            </w:tcBorders>
            <w:shd w:val="clear" w:color="auto" w:fill="auto"/>
            <w:noWrap/>
            <w:vAlign w:val="center"/>
            <w:hideMark/>
          </w:tcPr>
          <w:p w14:paraId="7D2FD724"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5</w:t>
            </w:r>
          </w:p>
        </w:tc>
        <w:tc>
          <w:tcPr>
            <w:tcW w:w="463" w:type="pct"/>
            <w:tcBorders>
              <w:top w:val="nil"/>
              <w:left w:val="nil"/>
              <w:bottom w:val="single" w:sz="4" w:space="0" w:color="auto"/>
              <w:right w:val="single" w:sz="4" w:space="0" w:color="auto"/>
            </w:tcBorders>
            <w:shd w:val="clear" w:color="auto" w:fill="auto"/>
            <w:noWrap/>
            <w:vAlign w:val="center"/>
            <w:hideMark/>
          </w:tcPr>
          <w:p w14:paraId="2F5D7A36"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5</w:t>
            </w:r>
          </w:p>
        </w:tc>
        <w:tc>
          <w:tcPr>
            <w:tcW w:w="773" w:type="pct"/>
            <w:tcBorders>
              <w:top w:val="nil"/>
              <w:left w:val="nil"/>
              <w:bottom w:val="single" w:sz="4" w:space="0" w:color="auto"/>
              <w:right w:val="single" w:sz="4" w:space="0" w:color="auto"/>
            </w:tcBorders>
            <w:shd w:val="clear" w:color="auto" w:fill="auto"/>
            <w:noWrap/>
            <w:vAlign w:val="center"/>
            <w:hideMark/>
          </w:tcPr>
          <w:p w14:paraId="30264674"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863.305</w:t>
            </w:r>
          </w:p>
        </w:tc>
        <w:tc>
          <w:tcPr>
            <w:tcW w:w="618" w:type="pct"/>
            <w:tcBorders>
              <w:top w:val="nil"/>
              <w:left w:val="nil"/>
              <w:bottom w:val="single" w:sz="4" w:space="0" w:color="auto"/>
              <w:right w:val="single" w:sz="4" w:space="0" w:color="auto"/>
            </w:tcBorders>
            <w:shd w:val="clear" w:color="auto" w:fill="auto"/>
            <w:noWrap/>
            <w:vAlign w:val="center"/>
            <w:hideMark/>
          </w:tcPr>
          <w:p w14:paraId="4769AC01"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1,71 %</w:t>
            </w:r>
          </w:p>
        </w:tc>
        <w:tc>
          <w:tcPr>
            <w:tcW w:w="540" w:type="pct"/>
            <w:tcBorders>
              <w:top w:val="nil"/>
              <w:left w:val="nil"/>
              <w:bottom w:val="single" w:sz="4" w:space="0" w:color="auto"/>
              <w:right w:val="single" w:sz="4" w:space="0" w:color="auto"/>
            </w:tcBorders>
            <w:shd w:val="clear" w:color="auto" w:fill="auto"/>
            <w:noWrap/>
            <w:vAlign w:val="center"/>
            <w:hideMark/>
          </w:tcPr>
          <w:p w14:paraId="3BF8705D"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0,88 %</w:t>
            </w:r>
          </w:p>
        </w:tc>
        <w:tc>
          <w:tcPr>
            <w:tcW w:w="522" w:type="pct"/>
            <w:tcBorders>
              <w:top w:val="nil"/>
              <w:left w:val="nil"/>
              <w:bottom w:val="single" w:sz="4" w:space="0" w:color="auto"/>
              <w:right w:val="single" w:sz="4" w:space="0" w:color="auto"/>
            </w:tcBorders>
            <w:shd w:val="clear" w:color="auto" w:fill="auto"/>
            <w:noWrap/>
            <w:vAlign w:val="center"/>
            <w:hideMark/>
          </w:tcPr>
          <w:p w14:paraId="44FB7CFF"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0,55 %</w:t>
            </w:r>
          </w:p>
        </w:tc>
      </w:tr>
      <w:tr w:rsidR="00E3750C" w:rsidRPr="009C46B1" w14:paraId="7E2D9265" w14:textId="77777777" w:rsidTr="00047864">
        <w:trPr>
          <w:trHeight w:val="300"/>
        </w:trPr>
        <w:tc>
          <w:tcPr>
            <w:tcW w:w="461" w:type="pct"/>
            <w:vMerge/>
            <w:tcBorders>
              <w:top w:val="nil"/>
              <w:left w:val="single" w:sz="4" w:space="0" w:color="auto"/>
              <w:bottom w:val="single" w:sz="4" w:space="0" w:color="auto"/>
              <w:right w:val="single" w:sz="4" w:space="0" w:color="auto"/>
            </w:tcBorders>
            <w:vAlign w:val="center"/>
            <w:hideMark/>
          </w:tcPr>
          <w:p w14:paraId="68D2C894" w14:textId="77777777" w:rsidR="00E3750C" w:rsidRPr="009C46B1" w:rsidRDefault="00E3750C" w:rsidP="00047864">
            <w:pPr>
              <w:spacing w:after="0" w:line="240" w:lineRule="auto"/>
              <w:rPr>
                <w:rFonts w:ascii="Arial" w:eastAsia="Times New Roman" w:hAnsi="Arial" w:cs="Arial"/>
                <w:color w:val="000000"/>
                <w:sz w:val="18"/>
                <w:szCs w:val="18"/>
                <w:lang w:eastAsia="sl-SI"/>
              </w:rPr>
            </w:pPr>
          </w:p>
        </w:tc>
        <w:tc>
          <w:tcPr>
            <w:tcW w:w="1005" w:type="pct"/>
            <w:tcBorders>
              <w:top w:val="nil"/>
              <w:left w:val="nil"/>
              <w:bottom w:val="single" w:sz="4" w:space="0" w:color="auto"/>
              <w:right w:val="single" w:sz="4" w:space="0" w:color="auto"/>
            </w:tcBorders>
            <w:shd w:val="clear" w:color="auto" w:fill="auto"/>
            <w:noWrap/>
            <w:vAlign w:val="center"/>
            <w:hideMark/>
          </w:tcPr>
          <w:p w14:paraId="7965B4FF" w14:textId="77777777" w:rsidR="00E3750C" w:rsidRPr="009C46B1" w:rsidRDefault="00E3750C" w:rsidP="00047864">
            <w:pPr>
              <w:spacing w:after="0" w:line="240" w:lineRule="auto"/>
              <w:rPr>
                <w:rFonts w:ascii="Arial" w:eastAsia="Times New Roman" w:hAnsi="Arial" w:cs="Arial"/>
                <w:b/>
                <w:bCs/>
                <w:color w:val="000000"/>
                <w:sz w:val="18"/>
                <w:szCs w:val="18"/>
                <w:lang w:eastAsia="sl-SI"/>
              </w:rPr>
            </w:pPr>
            <w:r w:rsidRPr="009C46B1">
              <w:rPr>
                <w:rFonts w:ascii="Arial" w:eastAsia="Times New Roman" w:hAnsi="Arial" w:cs="Arial"/>
                <w:b/>
                <w:bCs/>
                <w:color w:val="000000"/>
                <w:sz w:val="18"/>
                <w:szCs w:val="18"/>
                <w:lang w:eastAsia="sl-SI"/>
              </w:rPr>
              <w:t>Skupaj</w:t>
            </w:r>
          </w:p>
        </w:tc>
        <w:tc>
          <w:tcPr>
            <w:tcW w:w="618" w:type="pct"/>
            <w:tcBorders>
              <w:top w:val="nil"/>
              <w:left w:val="nil"/>
              <w:bottom w:val="single" w:sz="4" w:space="0" w:color="auto"/>
              <w:right w:val="single" w:sz="4" w:space="0" w:color="auto"/>
            </w:tcBorders>
            <w:shd w:val="clear" w:color="auto" w:fill="auto"/>
            <w:noWrap/>
            <w:vAlign w:val="center"/>
            <w:hideMark/>
          </w:tcPr>
          <w:p w14:paraId="4DDD95AB" w14:textId="77777777" w:rsidR="00E3750C" w:rsidRPr="009C46B1" w:rsidRDefault="00E3750C" w:rsidP="00047864">
            <w:pPr>
              <w:spacing w:after="0" w:line="240" w:lineRule="auto"/>
              <w:jc w:val="right"/>
              <w:rPr>
                <w:rFonts w:ascii="Arial" w:eastAsia="Times New Roman" w:hAnsi="Arial" w:cs="Arial"/>
                <w:b/>
                <w:bCs/>
                <w:color w:val="000000"/>
                <w:sz w:val="18"/>
                <w:szCs w:val="18"/>
                <w:lang w:eastAsia="sl-SI"/>
              </w:rPr>
            </w:pPr>
            <w:r w:rsidRPr="009C46B1">
              <w:rPr>
                <w:rFonts w:ascii="Arial" w:eastAsia="Times New Roman" w:hAnsi="Arial" w:cs="Arial"/>
                <w:b/>
                <w:bCs/>
                <w:color w:val="000000"/>
                <w:sz w:val="18"/>
                <w:szCs w:val="18"/>
                <w:lang w:eastAsia="sl-SI"/>
              </w:rPr>
              <w:t>292</w:t>
            </w:r>
          </w:p>
        </w:tc>
        <w:tc>
          <w:tcPr>
            <w:tcW w:w="463" w:type="pct"/>
            <w:tcBorders>
              <w:top w:val="nil"/>
              <w:left w:val="nil"/>
              <w:bottom w:val="single" w:sz="4" w:space="0" w:color="auto"/>
              <w:right w:val="single" w:sz="4" w:space="0" w:color="auto"/>
            </w:tcBorders>
            <w:shd w:val="clear" w:color="auto" w:fill="auto"/>
            <w:noWrap/>
            <w:vAlign w:val="center"/>
            <w:hideMark/>
          </w:tcPr>
          <w:p w14:paraId="48C3A4DA" w14:textId="77777777" w:rsidR="00E3750C" w:rsidRPr="009C46B1" w:rsidRDefault="00E3750C" w:rsidP="00047864">
            <w:pPr>
              <w:spacing w:after="0" w:line="240" w:lineRule="auto"/>
              <w:jc w:val="right"/>
              <w:rPr>
                <w:rFonts w:ascii="Arial" w:eastAsia="Times New Roman" w:hAnsi="Arial" w:cs="Arial"/>
                <w:b/>
                <w:bCs/>
                <w:color w:val="000000"/>
                <w:sz w:val="18"/>
                <w:szCs w:val="18"/>
                <w:lang w:eastAsia="sl-SI"/>
              </w:rPr>
            </w:pPr>
            <w:r w:rsidRPr="009C46B1">
              <w:rPr>
                <w:rFonts w:ascii="Arial" w:eastAsia="Times New Roman" w:hAnsi="Arial" w:cs="Arial"/>
                <w:b/>
                <w:bCs/>
                <w:color w:val="000000"/>
                <w:sz w:val="18"/>
                <w:szCs w:val="18"/>
                <w:lang w:eastAsia="sl-SI"/>
              </w:rPr>
              <w:t>569</w:t>
            </w:r>
          </w:p>
        </w:tc>
        <w:tc>
          <w:tcPr>
            <w:tcW w:w="773" w:type="pct"/>
            <w:tcBorders>
              <w:top w:val="nil"/>
              <w:left w:val="nil"/>
              <w:bottom w:val="single" w:sz="4" w:space="0" w:color="auto"/>
              <w:right w:val="single" w:sz="4" w:space="0" w:color="auto"/>
            </w:tcBorders>
            <w:shd w:val="clear" w:color="auto" w:fill="auto"/>
            <w:noWrap/>
            <w:vAlign w:val="center"/>
            <w:hideMark/>
          </w:tcPr>
          <w:p w14:paraId="14980FF9" w14:textId="77777777" w:rsidR="00E3750C" w:rsidRPr="009C46B1" w:rsidRDefault="00E3750C" w:rsidP="00047864">
            <w:pPr>
              <w:spacing w:after="0" w:line="240" w:lineRule="auto"/>
              <w:jc w:val="right"/>
              <w:rPr>
                <w:rFonts w:ascii="Arial" w:eastAsia="Times New Roman" w:hAnsi="Arial" w:cs="Arial"/>
                <w:b/>
                <w:bCs/>
                <w:color w:val="000000"/>
                <w:sz w:val="18"/>
                <w:szCs w:val="18"/>
                <w:lang w:eastAsia="sl-SI"/>
              </w:rPr>
            </w:pPr>
            <w:r w:rsidRPr="009C46B1">
              <w:rPr>
                <w:rFonts w:ascii="Arial" w:eastAsia="Times New Roman" w:hAnsi="Arial" w:cs="Arial"/>
                <w:b/>
                <w:bCs/>
                <w:color w:val="000000"/>
                <w:sz w:val="18"/>
                <w:szCs w:val="18"/>
                <w:lang w:eastAsia="sl-SI"/>
              </w:rPr>
              <w:t>156.097.975</w:t>
            </w:r>
          </w:p>
        </w:tc>
        <w:tc>
          <w:tcPr>
            <w:tcW w:w="618" w:type="pct"/>
            <w:tcBorders>
              <w:top w:val="nil"/>
              <w:left w:val="nil"/>
              <w:bottom w:val="single" w:sz="4" w:space="0" w:color="auto"/>
              <w:right w:val="single" w:sz="4" w:space="0" w:color="auto"/>
            </w:tcBorders>
            <w:shd w:val="clear" w:color="auto" w:fill="auto"/>
            <w:noWrap/>
            <w:vAlign w:val="center"/>
            <w:hideMark/>
          </w:tcPr>
          <w:p w14:paraId="28A96F97" w14:textId="77777777" w:rsidR="00E3750C" w:rsidRPr="009C46B1" w:rsidRDefault="00E3750C" w:rsidP="00047864">
            <w:pPr>
              <w:spacing w:after="0" w:line="240" w:lineRule="auto"/>
              <w:jc w:val="right"/>
              <w:rPr>
                <w:rFonts w:ascii="Arial" w:eastAsia="Times New Roman" w:hAnsi="Arial" w:cs="Arial"/>
                <w:b/>
                <w:bCs/>
                <w:color w:val="000000"/>
                <w:sz w:val="18"/>
                <w:szCs w:val="18"/>
                <w:lang w:eastAsia="sl-SI"/>
              </w:rPr>
            </w:pPr>
            <w:r w:rsidRPr="009C46B1">
              <w:rPr>
                <w:rFonts w:ascii="Arial" w:eastAsia="Times New Roman" w:hAnsi="Arial" w:cs="Arial"/>
                <w:b/>
                <w:bCs/>
                <w:color w:val="000000"/>
                <w:sz w:val="18"/>
                <w:szCs w:val="18"/>
                <w:lang w:eastAsia="sl-SI"/>
              </w:rPr>
              <w:t>100,00 %</w:t>
            </w:r>
          </w:p>
        </w:tc>
        <w:tc>
          <w:tcPr>
            <w:tcW w:w="540" w:type="pct"/>
            <w:tcBorders>
              <w:top w:val="nil"/>
              <w:left w:val="nil"/>
              <w:bottom w:val="single" w:sz="4" w:space="0" w:color="auto"/>
              <w:right w:val="single" w:sz="4" w:space="0" w:color="auto"/>
            </w:tcBorders>
            <w:shd w:val="clear" w:color="auto" w:fill="auto"/>
            <w:noWrap/>
            <w:vAlign w:val="center"/>
            <w:hideMark/>
          </w:tcPr>
          <w:p w14:paraId="072ACD2C" w14:textId="77777777" w:rsidR="00E3750C" w:rsidRPr="009C46B1" w:rsidRDefault="00E3750C" w:rsidP="00047864">
            <w:pPr>
              <w:spacing w:after="0" w:line="240" w:lineRule="auto"/>
              <w:jc w:val="right"/>
              <w:rPr>
                <w:rFonts w:ascii="Arial" w:eastAsia="Times New Roman" w:hAnsi="Arial" w:cs="Arial"/>
                <w:b/>
                <w:bCs/>
                <w:color w:val="000000"/>
                <w:sz w:val="18"/>
                <w:szCs w:val="18"/>
                <w:lang w:eastAsia="sl-SI"/>
              </w:rPr>
            </w:pPr>
            <w:r w:rsidRPr="009C46B1">
              <w:rPr>
                <w:rFonts w:ascii="Arial" w:eastAsia="Times New Roman" w:hAnsi="Arial" w:cs="Arial"/>
                <w:b/>
                <w:bCs/>
                <w:color w:val="000000"/>
                <w:sz w:val="18"/>
                <w:szCs w:val="18"/>
                <w:lang w:eastAsia="sl-SI"/>
              </w:rPr>
              <w:t>100,00 %</w:t>
            </w:r>
          </w:p>
        </w:tc>
        <w:tc>
          <w:tcPr>
            <w:tcW w:w="522" w:type="pct"/>
            <w:tcBorders>
              <w:top w:val="nil"/>
              <w:left w:val="nil"/>
              <w:bottom w:val="single" w:sz="4" w:space="0" w:color="auto"/>
              <w:right w:val="single" w:sz="4" w:space="0" w:color="auto"/>
            </w:tcBorders>
            <w:shd w:val="clear" w:color="auto" w:fill="auto"/>
            <w:noWrap/>
            <w:vAlign w:val="center"/>
            <w:hideMark/>
          </w:tcPr>
          <w:p w14:paraId="100DD83F" w14:textId="77777777" w:rsidR="00E3750C" w:rsidRPr="009C46B1" w:rsidRDefault="00E3750C" w:rsidP="00047864">
            <w:pPr>
              <w:spacing w:after="0" w:line="240" w:lineRule="auto"/>
              <w:jc w:val="right"/>
              <w:rPr>
                <w:rFonts w:ascii="Arial" w:eastAsia="Times New Roman" w:hAnsi="Arial" w:cs="Arial"/>
                <w:b/>
                <w:bCs/>
                <w:color w:val="000000"/>
                <w:sz w:val="18"/>
                <w:szCs w:val="18"/>
                <w:lang w:eastAsia="sl-SI"/>
              </w:rPr>
            </w:pPr>
            <w:r w:rsidRPr="009C46B1">
              <w:rPr>
                <w:rFonts w:ascii="Arial" w:eastAsia="Times New Roman" w:hAnsi="Arial" w:cs="Arial"/>
                <w:b/>
                <w:bCs/>
                <w:color w:val="000000"/>
                <w:sz w:val="18"/>
                <w:szCs w:val="18"/>
                <w:lang w:eastAsia="sl-SI"/>
              </w:rPr>
              <w:t>100,00 %</w:t>
            </w:r>
          </w:p>
        </w:tc>
      </w:tr>
      <w:tr w:rsidR="00E3750C" w:rsidRPr="009C46B1" w14:paraId="340EC91D" w14:textId="77777777" w:rsidTr="00047864">
        <w:trPr>
          <w:trHeight w:val="300"/>
        </w:trPr>
        <w:tc>
          <w:tcPr>
            <w:tcW w:w="46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5561EA9" w14:textId="77777777" w:rsidR="00E3750C" w:rsidRPr="009C46B1" w:rsidRDefault="00E3750C" w:rsidP="00047864">
            <w:pPr>
              <w:spacing w:after="0" w:line="240" w:lineRule="auto"/>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Gradnje</w:t>
            </w:r>
          </w:p>
        </w:tc>
        <w:tc>
          <w:tcPr>
            <w:tcW w:w="1005" w:type="pct"/>
            <w:tcBorders>
              <w:top w:val="nil"/>
              <w:left w:val="nil"/>
              <w:bottom w:val="single" w:sz="4" w:space="0" w:color="auto"/>
              <w:right w:val="single" w:sz="4" w:space="0" w:color="auto"/>
            </w:tcBorders>
            <w:shd w:val="clear" w:color="auto" w:fill="auto"/>
            <w:noWrap/>
            <w:vAlign w:val="center"/>
            <w:hideMark/>
          </w:tcPr>
          <w:p w14:paraId="43E2F783" w14:textId="77777777" w:rsidR="00E3750C" w:rsidRPr="009C46B1" w:rsidRDefault="00E3750C" w:rsidP="00047864">
            <w:pPr>
              <w:spacing w:after="0" w:line="240" w:lineRule="auto"/>
              <w:rPr>
                <w:rFonts w:ascii="Arial" w:eastAsia="Times New Roman" w:hAnsi="Arial" w:cs="Arial"/>
                <w:color w:val="000000"/>
                <w:sz w:val="18"/>
                <w:szCs w:val="18"/>
                <w:lang w:eastAsia="sl-SI"/>
              </w:rPr>
            </w:pPr>
            <w:proofErr w:type="spellStart"/>
            <w:r w:rsidRPr="009C46B1">
              <w:rPr>
                <w:rFonts w:ascii="Arial" w:eastAsia="Times New Roman" w:hAnsi="Arial" w:cs="Arial"/>
                <w:color w:val="000000"/>
                <w:sz w:val="18"/>
                <w:szCs w:val="18"/>
                <w:lang w:eastAsia="sl-SI"/>
              </w:rPr>
              <w:t>Mikro</w:t>
            </w:r>
            <w:proofErr w:type="spellEnd"/>
            <w:r w:rsidRPr="009C46B1">
              <w:rPr>
                <w:rFonts w:ascii="Arial" w:eastAsia="Times New Roman" w:hAnsi="Arial" w:cs="Arial"/>
                <w:color w:val="000000"/>
                <w:sz w:val="18"/>
                <w:szCs w:val="18"/>
                <w:lang w:eastAsia="sl-SI"/>
              </w:rPr>
              <w:t xml:space="preserve"> enote</w:t>
            </w:r>
          </w:p>
        </w:tc>
        <w:tc>
          <w:tcPr>
            <w:tcW w:w="618" w:type="pct"/>
            <w:tcBorders>
              <w:top w:val="nil"/>
              <w:left w:val="nil"/>
              <w:bottom w:val="single" w:sz="4" w:space="0" w:color="auto"/>
              <w:right w:val="single" w:sz="4" w:space="0" w:color="auto"/>
            </w:tcBorders>
            <w:shd w:val="clear" w:color="auto" w:fill="auto"/>
            <w:noWrap/>
            <w:vAlign w:val="center"/>
            <w:hideMark/>
          </w:tcPr>
          <w:p w14:paraId="753E2651"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48</w:t>
            </w:r>
          </w:p>
        </w:tc>
        <w:tc>
          <w:tcPr>
            <w:tcW w:w="463" w:type="pct"/>
            <w:tcBorders>
              <w:top w:val="nil"/>
              <w:left w:val="nil"/>
              <w:bottom w:val="single" w:sz="4" w:space="0" w:color="auto"/>
              <w:right w:val="single" w:sz="4" w:space="0" w:color="auto"/>
            </w:tcBorders>
            <w:shd w:val="clear" w:color="auto" w:fill="auto"/>
            <w:noWrap/>
            <w:vAlign w:val="center"/>
            <w:hideMark/>
          </w:tcPr>
          <w:p w14:paraId="6C50E76F"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70</w:t>
            </w:r>
          </w:p>
        </w:tc>
        <w:tc>
          <w:tcPr>
            <w:tcW w:w="773" w:type="pct"/>
            <w:tcBorders>
              <w:top w:val="nil"/>
              <w:left w:val="nil"/>
              <w:bottom w:val="single" w:sz="4" w:space="0" w:color="auto"/>
              <w:right w:val="single" w:sz="4" w:space="0" w:color="auto"/>
            </w:tcBorders>
            <w:shd w:val="clear" w:color="auto" w:fill="auto"/>
            <w:noWrap/>
            <w:vAlign w:val="center"/>
            <w:hideMark/>
          </w:tcPr>
          <w:p w14:paraId="76CB90D2"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12.219.109</w:t>
            </w:r>
          </w:p>
        </w:tc>
        <w:tc>
          <w:tcPr>
            <w:tcW w:w="618" w:type="pct"/>
            <w:tcBorders>
              <w:top w:val="nil"/>
              <w:left w:val="nil"/>
              <w:bottom w:val="single" w:sz="4" w:space="0" w:color="auto"/>
              <w:right w:val="single" w:sz="4" w:space="0" w:color="auto"/>
            </w:tcBorders>
            <w:shd w:val="clear" w:color="auto" w:fill="auto"/>
            <w:noWrap/>
            <w:vAlign w:val="center"/>
            <w:hideMark/>
          </w:tcPr>
          <w:p w14:paraId="7A7FC019"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18,60 %</w:t>
            </w:r>
          </w:p>
        </w:tc>
        <w:tc>
          <w:tcPr>
            <w:tcW w:w="540" w:type="pct"/>
            <w:tcBorders>
              <w:top w:val="nil"/>
              <w:left w:val="nil"/>
              <w:bottom w:val="single" w:sz="4" w:space="0" w:color="auto"/>
              <w:right w:val="single" w:sz="4" w:space="0" w:color="auto"/>
            </w:tcBorders>
            <w:shd w:val="clear" w:color="auto" w:fill="auto"/>
            <w:noWrap/>
            <w:vAlign w:val="center"/>
            <w:hideMark/>
          </w:tcPr>
          <w:p w14:paraId="11F96A02"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10,65 %</w:t>
            </w:r>
          </w:p>
        </w:tc>
        <w:tc>
          <w:tcPr>
            <w:tcW w:w="522" w:type="pct"/>
            <w:tcBorders>
              <w:top w:val="nil"/>
              <w:left w:val="nil"/>
              <w:bottom w:val="single" w:sz="4" w:space="0" w:color="auto"/>
              <w:right w:val="single" w:sz="4" w:space="0" w:color="auto"/>
            </w:tcBorders>
            <w:shd w:val="clear" w:color="auto" w:fill="auto"/>
            <w:noWrap/>
            <w:vAlign w:val="center"/>
            <w:hideMark/>
          </w:tcPr>
          <w:p w14:paraId="286489FF"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1,24 %</w:t>
            </w:r>
          </w:p>
        </w:tc>
      </w:tr>
      <w:tr w:rsidR="00E3750C" w:rsidRPr="009C46B1" w14:paraId="4A71E58B" w14:textId="77777777" w:rsidTr="00047864">
        <w:trPr>
          <w:trHeight w:val="300"/>
        </w:trPr>
        <w:tc>
          <w:tcPr>
            <w:tcW w:w="461" w:type="pct"/>
            <w:vMerge/>
            <w:tcBorders>
              <w:top w:val="nil"/>
              <w:left w:val="single" w:sz="4" w:space="0" w:color="auto"/>
              <w:bottom w:val="single" w:sz="4" w:space="0" w:color="auto"/>
              <w:right w:val="single" w:sz="4" w:space="0" w:color="auto"/>
            </w:tcBorders>
            <w:vAlign w:val="center"/>
            <w:hideMark/>
          </w:tcPr>
          <w:p w14:paraId="36463055" w14:textId="77777777" w:rsidR="00E3750C" w:rsidRPr="009C46B1" w:rsidRDefault="00E3750C" w:rsidP="00047864">
            <w:pPr>
              <w:spacing w:after="0" w:line="240" w:lineRule="auto"/>
              <w:rPr>
                <w:rFonts w:ascii="Arial" w:eastAsia="Times New Roman" w:hAnsi="Arial" w:cs="Arial"/>
                <w:color w:val="000000"/>
                <w:sz w:val="18"/>
                <w:szCs w:val="18"/>
                <w:lang w:eastAsia="sl-SI"/>
              </w:rPr>
            </w:pPr>
          </w:p>
        </w:tc>
        <w:tc>
          <w:tcPr>
            <w:tcW w:w="1005" w:type="pct"/>
            <w:tcBorders>
              <w:top w:val="nil"/>
              <w:left w:val="nil"/>
              <w:bottom w:val="single" w:sz="4" w:space="0" w:color="auto"/>
              <w:right w:val="single" w:sz="4" w:space="0" w:color="auto"/>
            </w:tcBorders>
            <w:shd w:val="clear" w:color="auto" w:fill="auto"/>
            <w:noWrap/>
            <w:vAlign w:val="center"/>
            <w:hideMark/>
          </w:tcPr>
          <w:p w14:paraId="3DB8FBB4" w14:textId="77777777" w:rsidR="00E3750C" w:rsidRPr="009C46B1" w:rsidRDefault="00E3750C" w:rsidP="00047864">
            <w:pPr>
              <w:spacing w:after="0" w:line="240" w:lineRule="auto"/>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Majhne enote</w:t>
            </w:r>
          </w:p>
        </w:tc>
        <w:tc>
          <w:tcPr>
            <w:tcW w:w="618" w:type="pct"/>
            <w:tcBorders>
              <w:top w:val="nil"/>
              <w:left w:val="nil"/>
              <w:bottom w:val="single" w:sz="4" w:space="0" w:color="auto"/>
              <w:right w:val="single" w:sz="4" w:space="0" w:color="auto"/>
            </w:tcBorders>
            <w:shd w:val="clear" w:color="auto" w:fill="auto"/>
            <w:noWrap/>
            <w:vAlign w:val="center"/>
            <w:hideMark/>
          </w:tcPr>
          <w:p w14:paraId="7C9D0586"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147</w:t>
            </w:r>
          </w:p>
        </w:tc>
        <w:tc>
          <w:tcPr>
            <w:tcW w:w="463" w:type="pct"/>
            <w:tcBorders>
              <w:top w:val="nil"/>
              <w:left w:val="nil"/>
              <w:bottom w:val="single" w:sz="4" w:space="0" w:color="auto"/>
              <w:right w:val="single" w:sz="4" w:space="0" w:color="auto"/>
            </w:tcBorders>
            <w:shd w:val="clear" w:color="auto" w:fill="auto"/>
            <w:noWrap/>
            <w:vAlign w:val="center"/>
            <w:hideMark/>
          </w:tcPr>
          <w:p w14:paraId="2EE9DD6B"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306</w:t>
            </w:r>
          </w:p>
        </w:tc>
        <w:tc>
          <w:tcPr>
            <w:tcW w:w="773" w:type="pct"/>
            <w:tcBorders>
              <w:top w:val="nil"/>
              <w:left w:val="nil"/>
              <w:bottom w:val="single" w:sz="4" w:space="0" w:color="auto"/>
              <w:right w:val="single" w:sz="4" w:space="0" w:color="auto"/>
            </w:tcBorders>
            <w:shd w:val="clear" w:color="auto" w:fill="auto"/>
            <w:noWrap/>
            <w:vAlign w:val="center"/>
            <w:hideMark/>
          </w:tcPr>
          <w:p w14:paraId="5CE00F89"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164.002.230</w:t>
            </w:r>
          </w:p>
        </w:tc>
        <w:tc>
          <w:tcPr>
            <w:tcW w:w="618" w:type="pct"/>
            <w:tcBorders>
              <w:top w:val="nil"/>
              <w:left w:val="nil"/>
              <w:bottom w:val="single" w:sz="4" w:space="0" w:color="auto"/>
              <w:right w:val="single" w:sz="4" w:space="0" w:color="auto"/>
            </w:tcBorders>
            <w:shd w:val="clear" w:color="auto" w:fill="auto"/>
            <w:noWrap/>
            <w:vAlign w:val="center"/>
            <w:hideMark/>
          </w:tcPr>
          <w:p w14:paraId="1AC0E76B"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56,98 %</w:t>
            </w:r>
          </w:p>
        </w:tc>
        <w:tc>
          <w:tcPr>
            <w:tcW w:w="540" w:type="pct"/>
            <w:tcBorders>
              <w:top w:val="nil"/>
              <w:left w:val="nil"/>
              <w:bottom w:val="single" w:sz="4" w:space="0" w:color="auto"/>
              <w:right w:val="single" w:sz="4" w:space="0" w:color="auto"/>
            </w:tcBorders>
            <w:shd w:val="clear" w:color="auto" w:fill="auto"/>
            <w:noWrap/>
            <w:vAlign w:val="center"/>
            <w:hideMark/>
          </w:tcPr>
          <w:p w14:paraId="757AB5E1"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46,58 %</w:t>
            </w:r>
          </w:p>
        </w:tc>
        <w:tc>
          <w:tcPr>
            <w:tcW w:w="522" w:type="pct"/>
            <w:tcBorders>
              <w:top w:val="nil"/>
              <w:left w:val="nil"/>
              <w:bottom w:val="single" w:sz="4" w:space="0" w:color="auto"/>
              <w:right w:val="single" w:sz="4" w:space="0" w:color="auto"/>
            </w:tcBorders>
            <w:shd w:val="clear" w:color="auto" w:fill="auto"/>
            <w:noWrap/>
            <w:vAlign w:val="center"/>
            <w:hideMark/>
          </w:tcPr>
          <w:p w14:paraId="7FA079E9"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16,62 %</w:t>
            </w:r>
          </w:p>
        </w:tc>
      </w:tr>
      <w:tr w:rsidR="00E3750C" w:rsidRPr="009C46B1" w14:paraId="379E6F44" w14:textId="77777777" w:rsidTr="00047864">
        <w:trPr>
          <w:trHeight w:val="300"/>
        </w:trPr>
        <w:tc>
          <w:tcPr>
            <w:tcW w:w="461" w:type="pct"/>
            <w:vMerge/>
            <w:tcBorders>
              <w:top w:val="nil"/>
              <w:left w:val="single" w:sz="4" w:space="0" w:color="auto"/>
              <w:bottom w:val="single" w:sz="4" w:space="0" w:color="auto"/>
              <w:right w:val="single" w:sz="4" w:space="0" w:color="auto"/>
            </w:tcBorders>
            <w:vAlign w:val="center"/>
            <w:hideMark/>
          </w:tcPr>
          <w:p w14:paraId="0E7FCFC1" w14:textId="77777777" w:rsidR="00E3750C" w:rsidRPr="009C46B1" w:rsidRDefault="00E3750C" w:rsidP="00047864">
            <w:pPr>
              <w:spacing w:after="0" w:line="240" w:lineRule="auto"/>
              <w:rPr>
                <w:rFonts w:ascii="Arial" w:eastAsia="Times New Roman" w:hAnsi="Arial" w:cs="Arial"/>
                <w:color w:val="000000"/>
                <w:sz w:val="18"/>
                <w:szCs w:val="18"/>
                <w:lang w:eastAsia="sl-SI"/>
              </w:rPr>
            </w:pPr>
          </w:p>
        </w:tc>
        <w:tc>
          <w:tcPr>
            <w:tcW w:w="1005" w:type="pct"/>
            <w:tcBorders>
              <w:top w:val="nil"/>
              <w:left w:val="nil"/>
              <w:bottom w:val="single" w:sz="4" w:space="0" w:color="auto"/>
              <w:right w:val="single" w:sz="4" w:space="0" w:color="auto"/>
            </w:tcBorders>
            <w:shd w:val="clear" w:color="auto" w:fill="auto"/>
            <w:noWrap/>
            <w:vAlign w:val="center"/>
            <w:hideMark/>
          </w:tcPr>
          <w:p w14:paraId="5851D2D0" w14:textId="77777777" w:rsidR="00E3750C" w:rsidRPr="009C46B1" w:rsidRDefault="00E3750C" w:rsidP="00047864">
            <w:pPr>
              <w:spacing w:after="0" w:line="240" w:lineRule="auto"/>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Srednje enote</w:t>
            </w:r>
          </w:p>
        </w:tc>
        <w:tc>
          <w:tcPr>
            <w:tcW w:w="618" w:type="pct"/>
            <w:tcBorders>
              <w:top w:val="nil"/>
              <w:left w:val="nil"/>
              <w:bottom w:val="single" w:sz="4" w:space="0" w:color="auto"/>
              <w:right w:val="single" w:sz="4" w:space="0" w:color="auto"/>
            </w:tcBorders>
            <w:shd w:val="clear" w:color="auto" w:fill="auto"/>
            <w:noWrap/>
            <w:vAlign w:val="center"/>
            <w:hideMark/>
          </w:tcPr>
          <w:p w14:paraId="56115C23"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41</w:t>
            </w:r>
          </w:p>
        </w:tc>
        <w:tc>
          <w:tcPr>
            <w:tcW w:w="463" w:type="pct"/>
            <w:tcBorders>
              <w:top w:val="nil"/>
              <w:left w:val="nil"/>
              <w:bottom w:val="single" w:sz="4" w:space="0" w:color="auto"/>
              <w:right w:val="single" w:sz="4" w:space="0" w:color="auto"/>
            </w:tcBorders>
            <w:shd w:val="clear" w:color="auto" w:fill="auto"/>
            <w:noWrap/>
            <w:vAlign w:val="center"/>
            <w:hideMark/>
          </w:tcPr>
          <w:p w14:paraId="73089E1A"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165</w:t>
            </w:r>
          </w:p>
        </w:tc>
        <w:tc>
          <w:tcPr>
            <w:tcW w:w="773" w:type="pct"/>
            <w:tcBorders>
              <w:top w:val="nil"/>
              <w:left w:val="nil"/>
              <w:bottom w:val="single" w:sz="4" w:space="0" w:color="auto"/>
              <w:right w:val="single" w:sz="4" w:space="0" w:color="auto"/>
            </w:tcBorders>
            <w:shd w:val="clear" w:color="auto" w:fill="auto"/>
            <w:noWrap/>
            <w:vAlign w:val="center"/>
            <w:hideMark/>
          </w:tcPr>
          <w:p w14:paraId="2CA64129"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254.544.351</w:t>
            </w:r>
          </w:p>
        </w:tc>
        <w:tc>
          <w:tcPr>
            <w:tcW w:w="618" w:type="pct"/>
            <w:tcBorders>
              <w:top w:val="nil"/>
              <w:left w:val="nil"/>
              <w:bottom w:val="single" w:sz="4" w:space="0" w:color="auto"/>
              <w:right w:val="single" w:sz="4" w:space="0" w:color="auto"/>
            </w:tcBorders>
            <w:shd w:val="clear" w:color="auto" w:fill="auto"/>
            <w:noWrap/>
            <w:vAlign w:val="center"/>
            <w:hideMark/>
          </w:tcPr>
          <w:p w14:paraId="011E8329"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15,89 %</w:t>
            </w:r>
          </w:p>
        </w:tc>
        <w:tc>
          <w:tcPr>
            <w:tcW w:w="540" w:type="pct"/>
            <w:tcBorders>
              <w:top w:val="nil"/>
              <w:left w:val="nil"/>
              <w:bottom w:val="single" w:sz="4" w:space="0" w:color="auto"/>
              <w:right w:val="single" w:sz="4" w:space="0" w:color="auto"/>
            </w:tcBorders>
            <w:shd w:val="clear" w:color="auto" w:fill="auto"/>
            <w:noWrap/>
            <w:vAlign w:val="center"/>
            <w:hideMark/>
          </w:tcPr>
          <w:p w14:paraId="0A9A7764"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25,11 %</w:t>
            </w:r>
          </w:p>
        </w:tc>
        <w:tc>
          <w:tcPr>
            <w:tcW w:w="522" w:type="pct"/>
            <w:tcBorders>
              <w:top w:val="nil"/>
              <w:left w:val="nil"/>
              <w:bottom w:val="single" w:sz="4" w:space="0" w:color="auto"/>
              <w:right w:val="single" w:sz="4" w:space="0" w:color="auto"/>
            </w:tcBorders>
            <w:shd w:val="clear" w:color="auto" w:fill="auto"/>
            <w:noWrap/>
            <w:vAlign w:val="center"/>
            <w:hideMark/>
          </w:tcPr>
          <w:p w14:paraId="62E2F358"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25,79 %</w:t>
            </w:r>
          </w:p>
        </w:tc>
      </w:tr>
      <w:tr w:rsidR="00E3750C" w:rsidRPr="009C46B1" w14:paraId="25E16E1B" w14:textId="77777777" w:rsidTr="00047864">
        <w:trPr>
          <w:trHeight w:val="300"/>
        </w:trPr>
        <w:tc>
          <w:tcPr>
            <w:tcW w:w="461" w:type="pct"/>
            <w:vMerge/>
            <w:tcBorders>
              <w:top w:val="nil"/>
              <w:left w:val="single" w:sz="4" w:space="0" w:color="auto"/>
              <w:bottom w:val="single" w:sz="4" w:space="0" w:color="auto"/>
              <w:right w:val="single" w:sz="4" w:space="0" w:color="auto"/>
            </w:tcBorders>
            <w:vAlign w:val="center"/>
            <w:hideMark/>
          </w:tcPr>
          <w:p w14:paraId="541F6243" w14:textId="77777777" w:rsidR="00E3750C" w:rsidRPr="009C46B1" w:rsidRDefault="00E3750C" w:rsidP="00047864">
            <w:pPr>
              <w:spacing w:after="0" w:line="240" w:lineRule="auto"/>
              <w:rPr>
                <w:rFonts w:ascii="Arial" w:eastAsia="Times New Roman" w:hAnsi="Arial" w:cs="Arial"/>
                <w:color w:val="000000"/>
                <w:sz w:val="18"/>
                <w:szCs w:val="18"/>
                <w:lang w:eastAsia="sl-SI"/>
              </w:rPr>
            </w:pPr>
          </w:p>
        </w:tc>
        <w:tc>
          <w:tcPr>
            <w:tcW w:w="1005" w:type="pct"/>
            <w:tcBorders>
              <w:top w:val="nil"/>
              <w:left w:val="nil"/>
              <w:bottom w:val="single" w:sz="4" w:space="0" w:color="auto"/>
              <w:right w:val="single" w:sz="4" w:space="0" w:color="auto"/>
            </w:tcBorders>
            <w:shd w:val="clear" w:color="auto" w:fill="auto"/>
            <w:noWrap/>
            <w:vAlign w:val="center"/>
            <w:hideMark/>
          </w:tcPr>
          <w:p w14:paraId="53098705" w14:textId="77777777" w:rsidR="00E3750C" w:rsidRPr="009C46B1" w:rsidRDefault="00E3750C" w:rsidP="00047864">
            <w:pPr>
              <w:spacing w:after="0" w:line="240" w:lineRule="auto"/>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Velike enote</w:t>
            </w:r>
          </w:p>
        </w:tc>
        <w:tc>
          <w:tcPr>
            <w:tcW w:w="618" w:type="pct"/>
            <w:tcBorders>
              <w:top w:val="nil"/>
              <w:left w:val="nil"/>
              <w:bottom w:val="single" w:sz="4" w:space="0" w:color="auto"/>
              <w:right w:val="single" w:sz="4" w:space="0" w:color="auto"/>
            </w:tcBorders>
            <w:shd w:val="clear" w:color="auto" w:fill="auto"/>
            <w:noWrap/>
            <w:vAlign w:val="center"/>
            <w:hideMark/>
          </w:tcPr>
          <w:p w14:paraId="2F8DAD20"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19</w:t>
            </w:r>
          </w:p>
        </w:tc>
        <w:tc>
          <w:tcPr>
            <w:tcW w:w="463" w:type="pct"/>
            <w:tcBorders>
              <w:top w:val="nil"/>
              <w:left w:val="nil"/>
              <w:bottom w:val="single" w:sz="4" w:space="0" w:color="auto"/>
              <w:right w:val="single" w:sz="4" w:space="0" w:color="auto"/>
            </w:tcBorders>
            <w:shd w:val="clear" w:color="auto" w:fill="auto"/>
            <w:noWrap/>
            <w:vAlign w:val="center"/>
            <w:hideMark/>
          </w:tcPr>
          <w:p w14:paraId="69376416"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113</w:t>
            </w:r>
          </w:p>
        </w:tc>
        <w:tc>
          <w:tcPr>
            <w:tcW w:w="773" w:type="pct"/>
            <w:tcBorders>
              <w:top w:val="nil"/>
              <w:left w:val="nil"/>
              <w:bottom w:val="single" w:sz="4" w:space="0" w:color="auto"/>
              <w:right w:val="single" w:sz="4" w:space="0" w:color="auto"/>
            </w:tcBorders>
            <w:shd w:val="clear" w:color="auto" w:fill="auto"/>
            <w:noWrap/>
            <w:vAlign w:val="center"/>
            <w:hideMark/>
          </w:tcPr>
          <w:p w14:paraId="0D079A6E"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555.860.915</w:t>
            </w:r>
          </w:p>
        </w:tc>
        <w:tc>
          <w:tcPr>
            <w:tcW w:w="618" w:type="pct"/>
            <w:tcBorders>
              <w:top w:val="nil"/>
              <w:left w:val="nil"/>
              <w:bottom w:val="single" w:sz="4" w:space="0" w:color="auto"/>
              <w:right w:val="single" w:sz="4" w:space="0" w:color="auto"/>
            </w:tcBorders>
            <w:shd w:val="clear" w:color="auto" w:fill="auto"/>
            <w:noWrap/>
            <w:vAlign w:val="center"/>
            <w:hideMark/>
          </w:tcPr>
          <w:p w14:paraId="77BC19CA"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7,36 %</w:t>
            </w:r>
          </w:p>
        </w:tc>
        <w:tc>
          <w:tcPr>
            <w:tcW w:w="540" w:type="pct"/>
            <w:tcBorders>
              <w:top w:val="nil"/>
              <w:left w:val="nil"/>
              <w:bottom w:val="single" w:sz="4" w:space="0" w:color="auto"/>
              <w:right w:val="single" w:sz="4" w:space="0" w:color="auto"/>
            </w:tcBorders>
            <w:shd w:val="clear" w:color="auto" w:fill="auto"/>
            <w:noWrap/>
            <w:vAlign w:val="center"/>
            <w:hideMark/>
          </w:tcPr>
          <w:p w14:paraId="0636648E"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17,20 %</w:t>
            </w:r>
          </w:p>
        </w:tc>
        <w:tc>
          <w:tcPr>
            <w:tcW w:w="522" w:type="pct"/>
            <w:tcBorders>
              <w:top w:val="nil"/>
              <w:left w:val="nil"/>
              <w:bottom w:val="single" w:sz="4" w:space="0" w:color="auto"/>
              <w:right w:val="single" w:sz="4" w:space="0" w:color="auto"/>
            </w:tcBorders>
            <w:shd w:val="clear" w:color="auto" w:fill="auto"/>
            <w:noWrap/>
            <w:vAlign w:val="center"/>
            <w:hideMark/>
          </w:tcPr>
          <w:p w14:paraId="6FBC4CF6"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56,32 %</w:t>
            </w:r>
          </w:p>
        </w:tc>
      </w:tr>
      <w:tr w:rsidR="00E3750C" w:rsidRPr="009C46B1" w14:paraId="0EE3AAFD" w14:textId="77777777" w:rsidTr="00047864">
        <w:trPr>
          <w:trHeight w:val="300"/>
        </w:trPr>
        <w:tc>
          <w:tcPr>
            <w:tcW w:w="461" w:type="pct"/>
            <w:vMerge/>
            <w:tcBorders>
              <w:top w:val="nil"/>
              <w:left w:val="single" w:sz="4" w:space="0" w:color="auto"/>
              <w:bottom w:val="single" w:sz="4" w:space="0" w:color="auto"/>
              <w:right w:val="single" w:sz="4" w:space="0" w:color="auto"/>
            </w:tcBorders>
            <w:vAlign w:val="center"/>
            <w:hideMark/>
          </w:tcPr>
          <w:p w14:paraId="5449DBA6" w14:textId="77777777" w:rsidR="00E3750C" w:rsidRPr="009C46B1" w:rsidRDefault="00E3750C" w:rsidP="00047864">
            <w:pPr>
              <w:spacing w:after="0" w:line="240" w:lineRule="auto"/>
              <w:rPr>
                <w:rFonts w:ascii="Arial" w:eastAsia="Times New Roman" w:hAnsi="Arial" w:cs="Arial"/>
                <w:color w:val="000000"/>
                <w:sz w:val="18"/>
                <w:szCs w:val="18"/>
                <w:lang w:eastAsia="sl-SI"/>
              </w:rPr>
            </w:pPr>
          </w:p>
        </w:tc>
        <w:tc>
          <w:tcPr>
            <w:tcW w:w="1005" w:type="pct"/>
            <w:tcBorders>
              <w:top w:val="nil"/>
              <w:left w:val="nil"/>
              <w:bottom w:val="single" w:sz="4" w:space="0" w:color="auto"/>
              <w:right w:val="single" w:sz="4" w:space="0" w:color="auto"/>
            </w:tcBorders>
            <w:shd w:val="clear" w:color="auto" w:fill="auto"/>
            <w:noWrap/>
            <w:vAlign w:val="center"/>
            <w:hideMark/>
          </w:tcPr>
          <w:p w14:paraId="307C40FA" w14:textId="77777777" w:rsidR="00E3750C" w:rsidRPr="009C46B1" w:rsidRDefault="00E3750C" w:rsidP="00047864">
            <w:pPr>
              <w:spacing w:after="0" w:line="240" w:lineRule="auto"/>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Velikost RS se ne izračunava</w:t>
            </w:r>
          </w:p>
        </w:tc>
        <w:tc>
          <w:tcPr>
            <w:tcW w:w="618" w:type="pct"/>
            <w:tcBorders>
              <w:top w:val="nil"/>
              <w:left w:val="nil"/>
              <w:bottom w:val="single" w:sz="4" w:space="0" w:color="auto"/>
              <w:right w:val="single" w:sz="4" w:space="0" w:color="auto"/>
            </w:tcBorders>
            <w:shd w:val="clear" w:color="auto" w:fill="auto"/>
            <w:noWrap/>
            <w:vAlign w:val="center"/>
            <w:hideMark/>
          </w:tcPr>
          <w:p w14:paraId="29D59036"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2</w:t>
            </w:r>
          </w:p>
        </w:tc>
        <w:tc>
          <w:tcPr>
            <w:tcW w:w="463" w:type="pct"/>
            <w:tcBorders>
              <w:top w:val="nil"/>
              <w:left w:val="nil"/>
              <w:bottom w:val="single" w:sz="4" w:space="0" w:color="auto"/>
              <w:right w:val="single" w:sz="4" w:space="0" w:color="auto"/>
            </w:tcBorders>
            <w:shd w:val="clear" w:color="auto" w:fill="auto"/>
            <w:noWrap/>
            <w:vAlign w:val="center"/>
            <w:hideMark/>
          </w:tcPr>
          <w:p w14:paraId="010A35D9"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2</w:t>
            </w:r>
          </w:p>
        </w:tc>
        <w:tc>
          <w:tcPr>
            <w:tcW w:w="773" w:type="pct"/>
            <w:tcBorders>
              <w:top w:val="nil"/>
              <w:left w:val="nil"/>
              <w:bottom w:val="single" w:sz="4" w:space="0" w:color="auto"/>
              <w:right w:val="single" w:sz="4" w:space="0" w:color="auto"/>
            </w:tcBorders>
            <w:shd w:val="clear" w:color="auto" w:fill="auto"/>
            <w:noWrap/>
            <w:vAlign w:val="center"/>
            <w:hideMark/>
          </w:tcPr>
          <w:p w14:paraId="7FC06B38"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170.792</w:t>
            </w:r>
          </w:p>
        </w:tc>
        <w:tc>
          <w:tcPr>
            <w:tcW w:w="618" w:type="pct"/>
            <w:tcBorders>
              <w:top w:val="nil"/>
              <w:left w:val="nil"/>
              <w:bottom w:val="single" w:sz="4" w:space="0" w:color="auto"/>
              <w:right w:val="single" w:sz="4" w:space="0" w:color="auto"/>
            </w:tcBorders>
            <w:shd w:val="clear" w:color="auto" w:fill="auto"/>
            <w:noWrap/>
            <w:vAlign w:val="center"/>
            <w:hideMark/>
          </w:tcPr>
          <w:p w14:paraId="13DE35B0"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0,78 %</w:t>
            </w:r>
          </w:p>
        </w:tc>
        <w:tc>
          <w:tcPr>
            <w:tcW w:w="540" w:type="pct"/>
            <w:tcBorders>
              <w:top w:val="nil"/>
              <w:left w:val="nil"/>
              <w:bottom w:val="single" w:sz="4" w:space="0" w:color="auto"/>
              <w:right w:val="single" w:sz="4" w:space="0" w:color="auto"/>
            </w:tcBorders>
            <w:shd w:val="clear" w:color="auto" w:fill="auto"/>
            <w:noWrap/>
            <w:vAlign w:val="center"/>
            <w:hideMark/>
          </w:tcPr>
          <w:p w14:paraId="4EBE66FF"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0,30 %</w:t>
            </w:r>
          </w:p>
        </w:tc>
        <w:tc>
          <w:tcPr>
            <w:tcW w:w="522" w:type="pct"/>
            <w:tcBorders>
              <w:top w:val="nil"/>
              <w:left w:val="nil"/>
              <w:bottom w:val="single" w:sz="4" w:space="0" w:color="auto"/>
              <w:right w:val="single" w:sz="4" w:space="0" w:color="auto"/>
            </w:tcBorders>
            <w:shd w:val="clear" w:color="auto" w:fill="auto"/>
            <w:noWrap/>
            <w:vAlign w:val="center"/>
            <w:hideMark/>
          </w:tcPr>
          <w:p w14:paraId="7982181B"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0,02 %</w:t>
            </w:r>
          </w:p>
        </w:tc>
      </w:tr>
      <w:tr w:rsidR="00E3750C" w:rsidRPr="009C46B1" w14:paraId="18AFF127" w14:textId="77777777" w:rsidTr="00047864">
        <w:trPr>
          <w:trHeight w:val="300"/>
        </w:trPr>
        <w:tc>
          <w:tcPr>
            <w:tcW w:w="461" w:type="pct"/>
            <w:vMerge/>
            <w:tcBorders>
              <w:top w:val="nil"/>
              <w:left w:val="single" w:sz="4" w:space="0" w:color="auto"/>
              <w:bottom w:val="single" w:sz="4" w:space="0" w:color="auto"/>
              <w:right w:val="single" w:sz="4" w:space="0" w:color="auto"/>
            </w:tcBorders>
            <w:vAlign w:val="center"/>
            <w:hideMark/>
          </w:tcPr>
          <w:p w14:paraId="4F236408" w14:textId="77777777" w:rsidR="00E3750C" w:rsidRPr="009C46B1" w:rsidRDefault="00E3750C" w:rsidP="00047864">
            <w:pPr>
              <w:spacing w:after="0" w:line="240" w:lineRule="auto"/>
              <w:rPr>
                <w:rFonts w:ascii="Arial" w:eastAsia="Times New Roman" w:hAnsi="Arial" w:cs="Arial"/>
                <w:color w:val="000000"/>
                <w:sz w:val="18"/>
                <w:szCs w:val="18"/>
                <w:lang w:eastAsia="sl-SI"/>
              </w:rPr>
            </w:pPr>
          </w:p>
        </w:tc>
        <w:tc>
          <w:tcPr>
            <w:tcW w:w="1005" w:type="pct"/>
            <w:tcBorders>
              <w:top w:val="nil"/>
              <w:left w:val="nil"/>
              <w:bottom w:val="single" w:sz="4" w:space="0" w:color="auto"/>
              <w:right w:val="single" w:sz="4" w:space="0" w:color="auto"/>
            </w:tcBorders>
            <w:shd w:val="clear" w:color="auto" w:fill="auto"/>
            <w:noWrap/>
            <w:vAlign w:val="center"/>
            <w:hideMark/>
          </w:tcPr>
          <w:p w14:paraId="1BC1629F" w14:textId="77777777" w:rsidR="00E3750C" w:rsidRPr="009C46B1" w:rsidRDefault="00E3750C" w:rsidP="00047864">
            <w:pPr>
              <w:spacing w:after="0" w:line="240" w:lineRule="auto"/>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Ni podatka o velikosti</w:t>
            </w:r>
          </w:p>
        </w:tc>
        <w:tc>
          <w:tcPr>
            <w:tcW w:w="618" w:type="pct"/>
            <w:tcBorders>
              <w:top w:val="nil"/>
              <w:left w:val="nil"/>
              <w:bottom w:val="single" w:sz="4" w:space="0" w:color="auto"/>
              <w:right w:val="single" w:sz="4" w:space="0" w:color="auto"/>
            </w:tcBorders>
            <w:shd w:val="clear" w:color="auto" w:fill="auto"/>
            <w:noWrap/>
            <w:vAlign w:val="center"/>
            <w:hideMark/>
          </w:tcPr>
          <w:p w14:paraId="64F12DD3"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1</w:t>
            </w:r>
          </w:p>
        </w:tc>
        <w:tc>
          <w:tcPr>
            <w:tcW w:w="463" w:type="pct"/>
            <w:tcBorders>
              <w:top w:val="nil"/>
              <w:left w:val="nil"/>
              <w:bottom w:val="single" w:sz="4" w:space="0" w:color="auto"/>
              <w:right w:val="single" w:sz="4" w:space="0" w:color="auto"/>
            </w:tcBorders>
            <w:shd w:val="clear" w:color="auto" w:fill="auto"/>
            <w:noWrap/>
            <w:vAlign w:val="center"/>
            <w:hideMark/>
          </w:tcPr>
          <w:p w14:paraId="1377DD1C"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1</w:t>
            </w:r>
          </w:p>
        </w:tc>
        <w:tc>
          <w:tcPr>
            <w:tcW w:w="773" w:type="pct"/>
            <w:tcBorders>
              <w:top w:val="nil"/>
              <w:left w:val="nil"/>
              <w:bottom w:val="single" w:sz="4" w:space="0" w:color="auto"/>
              <w:right w:val="single" w:sz="4" w:space="0" w:color="auto"/>
            </w:tcBorders>
            <w:shd w:val="clear" w:color="auto" w:fill="auto"/>
            <w:noWrap/>
            <w:vAlign w:val="center"/>
            <w:hideMark/>
          </w:tcPr>
          <w:p w14:paraId="786A2C66"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199.201</w:t>
            </w:r>
          </w:p>
        </w:tc>
        <w:tc>
          <w:tcPr>
            <w:tcW w:w="618" w:type="pct"/>
            <w:tcBorders>
              <w:top w:val="nil"/>
              <w:left w:val="nil"/>
              <w:bottom w:val="single" w:sz="4" w:space="0" w:color="auto"/>
              <w:right w:val="single" w:sz="4" w:space="0" w:color="auto"/>
            </w:tcBorders>
            <w:shd w:val="clear" w:color="auto" w:fill="auto"/>
            <w:noWrap/>
            <w:vAlign w:val="center"/>
            <w:hideMark/>
          </w:tcPr>
          <w:p w14:paraId="1C362BDC"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0,39 %</w:t>
            </w:r>
          </w:p>
        </w:tc>
        <w:tc>
          <w:tcPr>
            <w:tcW w:w="540" w:type="pct"/>
            <w:tcBorders>
              <w:top w:val="nil"/>
              <w:left w:val="nil"/>
              <w:bottom w:val="single" w:sz="4" w:space="0" w:color="auto"/>
              <w:right w:val="single" w:sz="4" w:space="0" w:color="auto"/>
            </w:tcBorders>
            <w:shd w:val="clear" w:color="auto" w:fill="auto"/>
            <w:noWrap/>
            <w:vAlign w:val="center"/>
            <w:hideMark/>
          </w:tcPr>
          <w:p w14:paraId="653D527D"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0,15 %</w:t>
            </w:r>
          </w:p>
        </w:tc>
        <w:tc>
          <w:tcPr>
            <w:tcW w:w="522" w:type="pct"/>
            <w:tcBorders>
              <w:top w:val="nil"/>
              <w:left w:val="nil"/>
              <w:bottom w:val="single" w:sz="4" w:space="0" w:color="auto"/>
              <w:right w:val="single" w:sz="4" w:space="0" w:color="auto"/>
            </w:tcBorders>
            <w:shd w:val="clear" w:color="auto" w:fill="auto"/>
            <w:noWrap/>
            <w:vAlign w:val="center"/>
            <w:hideMark/>
          </w:tcPr>
          <w:p w14:paraId="7C926EC2" w14:textId="77777777" w:rsidR="00E3750C" w:rsidRPr="009C46B1" w:rsidRDefault="00E3750C" w:rsidP="00047864">
            <w:pPr>
              <w:spacing w:after="0" w:line="240" w:lineRule="auto"/>
              <w:jc w:val="right"/>
              <w:rPr>
                <w:rFonts w:ascii="Arial" w:eastAsia="Times New Roman" w:hAnsi="Arial" w:cs="Arial"/>
                <w:color w:val="000000"/>
                <w:sz w:val="18"/>
                <w:szCs w:val="18"/>
                <w:lang w:eastAsia="sl-SI"/>
              </w:rPr>
            </w:pPr>
            <w:r w:rsidRPr="009C46B1">
              <w:rPr>
                <w:rFonts w:ascii="Arial" w:eastAsia="Times New Roman" w:hAnsi="Arial" w:cs="Arial"/>
                <w:color w:val="000000"/>
                <w:sz w:val="18"/>
                <w:szCs w:val="18"/>
                <w:lang w:eastAsia="sl-SI"/>
              </w:rPr>
              <w:t>0,02 %</w:t>
            </w:r>
          </w:p>
        </w:tc>
      </w:tr>
      <w:tr w:rsidR="00E3750C" w:rsidRPr="009C46B1" w14:paraId="7DF7FA27" w14:textId="77777777" w:rsidTr="00047864">
        <w:trPr>
          <w:trHeight w:val="300"/>
        </w:trPr>
        <w:tc>
          <w:tcPr>
            <w:tcW w:w="461" w:type="pct"/>
            <w:vMerge/>
            <w:tcBorders>
              <w:top w:val="nil"/>
              <w:left w:val="single" w:sz="4" w:space="0" w:color="auto"/>
              <w:bottom w:val="single" w:sz="4" w:space="0" w:color="auto"/>
              <w:right w:val="single" w:sz="4" w:space="0" w:color="auto"/>
            </w:tcBorders>
            <w:vAlign w:val="center"/>
            <w:hideMark/>
          </w:tcPr>
          <w:p w14:paraId="30C33591" w14:textId="77777777" w:rsidR="00E3750C" w:rsidRPr="009C46B1" w:rsidRDefault="00E3750C" w:rsidP="00047864">
            <w:pPr>
              <w:spacing w:after="0" w:line="240" w:lineRule="auto"/>
              <w:rPr>
                <w:rFonts w:ascii="Arial" w:eastAsia="Times New Roman" w:hAnsi="Arial" w:cs="Arial"/>
                <w:color w:val="000000"/>
                <w:sz w:val="18"/>
                <w:szCs w:val="18"/>
                <w:lang w:eastAsia="sl-SI"/>
              </w:rPr>
            </w:pPr>
          </w:p>
        </w:tc>
        <w:tc>
          <w:tcPr>
            <w:tcW w:w="1005" w:type="pct"/>
            <w:tcBorders>
              <w:top w:val="nil"/>
              <w:left w:val="nil"/>
              <w:bottom w:val="single" w:sz="4" w:space="0" w:color="auto"/>
              <w:right w:val="single" w:sz="4" w:space="0" w:color="auto"/>
            </w:tcBorders>
            <w:shd w:val="clear" w:color="auto" w:fill="auto"/>
            <w:noWrap/>
            <w:vAlign w:val="center"/>
            <w:hideMark/>
          </w:tcPr>
          <w:p w14:paraId="4BEAD1B1" w14:textId="77777777" w:rsidR="00E3750C" w:rsidRPr="009C46B1" w:rsidRDefault="00E3750C" w:rsidP="00047864">
            <w:pPr>
              <w:spacing w:after="0" w:line="240" w:lineRule="auto"/>
              <w:rPr>
                <w:rFonts w:ascii="Arial" w:eastAsia="Times New Roman" w:hAnsi="Arial" w:cs="Arial"/>
                <w:b/>
                <w:bCs/>
                <w:color w:val="000000"/>
                <w:sz w:val="18"/>
                <w:szCs w:val="18"/>
                <w:lang w:eastAsia="sl-SI"/>
              </w:rPr>
            </w:pPr>
            <w:r w:rsidRPr="009C46B1">
              <w:rPr>
                <w:rFonts w:ascii="Arial" w:eastAsia="Times New Roman" w:hAnsi="Arial" w:cs="Arial"/>
                <w:b/>
                <w:bCs/>
                <w:color w:val="000000"/>
                <w:sz w:val="18"/>
                <w:szCs w:val="18"/>
                <w:lang w:eastAsia="sl-SI"/>
              </w:rPr>
              <w:t>Skupaj</w:t>
            </w:r>
          </w:p>
        </w:tc>
        <w:tc>
          <w:tcPr>
            <w:tcW w:w="618" w:type="pct"/>
            <w:tcBorders>
              <w:top w:val="nil"/>
              <w:left w:val="nil"/>
              <w:bottom w:val="single" w:sz="4" w:space="0" w:color="auto"/>
              <w:right w:val="single" w:sz="4" w:space="0" w:color="auto"/>
            </w:tcBorders>
            <w:shd w:val="clear" w:color="auto" w:fill="auto"/>
            <w:noWrap/>
            <w:vAlign w:val="center"/>
            <w:hideMark/>
          </w:tcPr>
          <w:p w14:paraId="0A7B6139" w14:textId="77777777" w:rsidR="00E3750C" w:rsidRPr="009C46B1" w:rsidRDefault="00E3750C" w:rsidP="00047864">
            <w:pPr>
              <w:spacing w:after="0" w:line="240" w:lineRule="auto"/>
              <w:jc w:val="right"/>
              <w:rPr>
                <w:rFonts w:ascii="Arial" w:eastAsia="Times New Roman" w:hAnsi="Arial" w:cs="Arial"/>
                <w:b/>
                <w:bCs/>
                <w:color w:val="000000"/>
                <w:sz w:val="18"/>
                <w:szCs w:val="18"/>
                <w:lang w:eastAsia="sl-SI"/>
              </w:rPr>
            </w:pPr>
            <w:r w:rsidRPr="009C46B1">
              <w:rPr>
                <w:rFonts w:ascii="Arial" w:eastAsia="Times New Roman" w:hAnsi="Arial" w:cs="Arial"/>
                <w:b/>
                <w:bCs/>
                <w:color w:val="000000"/>
                <w:sz w:val="18"/>
                <w:szCs w:val="18"/>
                <w:lang w:eastAsia="sl-SI"/>
              </w:rPr>
              <w:t>258</w:t>
            </w:r>
          </w:p>
        </w:tc>
        <w:tc>
          <w:tcPr>
            <w:tcW w:w="463" w:type="pct"/>
            <w:tcBorders>
              <w:top w:val="nil"/>
              <w:left w:val="nil"/>
              <w:bottom w:val="single" w:sz="4" w:space="0" w:color="auto"/>
              <w:right w:val="single" w:sz="4" w:space="0" w:color="auto"/>
            </w:tcBorders>
            <w:shd w:val="clear" w:color="auto" w:fill="auto"/>
            <w:noWrap/>
            <w:vAlign w:val="center"/>
            <w:hideMark/>
          </w:tcPr>
          <w:p w14:paraId="3A4D8D17" w14:textId="77777777" w:rsidR="00E3750C" w:rsidRPr="009C46B1" w:rsidRDefault="00E3750C" w:rsidP="00047864">
            <w:pPr>
              <w:spacing w:after="0" w:line="240" w:lineRule="auto"/>
              <w:jc w:val="right"/>
              <w:rPr>
                <w:rFonts w:ascii="Arial" w:eastAsia="Times New Roman" w:hAnsi="Arial" w:cs="Arial"/>
                <w:b/>
                <w:bCs/>
                <w:color w:val="000000"/>
                <w:sz w:val="18"/>
                <w:szCs w:val="18"/>
                <w:lang w:eastAsia="sl-SI"/>
              </w:rPr>
            </w:pPr>
            <w:r w:rsidRPr="009C46B1">
              <w:rPr>
                <w:rFonts w:ascii="Arial" w:eastAsia="Times New Roman" w:hAnsi="Arial" w:cs="Arial"/>
                <w:b/>
                <w:bCs/>
                <w:color w:val="000000"/>
                <w:sz w:val="18"/>
                <w:szCs w:val="18"/>
                <w:lang w:eastAsia="sl-SI"/>
              </w:rPr>
              <w:t>657</w:t>
            </w:r>
          </w:p>
        </w:tc>
        <w:tc>
          <w:tcPr>
            <w:tcW w:w="773" w:type="pct"/>
            <w:tcBorders>
              <w:top w:val="nil"/>
              <w:left w:val="nil"/>
              <w:bottom w:val="single" w:sz="4" w:space="0" w:color="auto"/>
              <w:right w:val="single" w:sz="4" w:space="0" w:color="auto"/>
            </w:tcBorders>
            <w:shd w:val="clear" w:color="auto" w:fill="auto"/>
            <w:noWrap/>
            <w:vAlign w:val="center"/>
            <w:hideMark/>
          </w:tcPr>
          <w:p w14:paraId="4C2A8CD6" w14:textId="77777777" w:rsidR="00E3750C" w:rsidRPr="009C46B1" w:rsidRDefault="00E3750C" w:rsidP="00047864">
            <w:pPr>
              <w:spacing w:after="0" w:line="240" w:lineRule="auto"/>
              <w:jc w:val="right"/>
              <w:rPr>
                <w:rFonts w:ascii="Arial" w:eastAsia="Times New Roman" w:hAnsi="Arial" w:cs="Arial"/>
                <w:b/>
                <w:bCs/>
                <w:color w:val="000000"/>
                <w:sz w:val="18"/>
                <w:szCs w:val="18"/>
                <w:lang w:eastAsia="sl-SI"/>
              </w:rPr>
            </w:pPr>
            <w:r w:rsidRPr="009C46B1">
              <w:rPr>
                <w:rFonts w:ascii="Arial" w:eastAsia="Times New Roman" w:hAnsi="Arial" w:cs="Arial"/>
                <w:b/>
                <w:bCs/>
                <w:color w:val="000000"/>
                <w:sz w:val="18"/>
                <w:szCs w:val="18"/>
                <w:lang w:eastAsia="sl-SI"/>
              </w:rPr>
              <w:t>986.996.598</w:t>
            </w:r>
          </w:p>
        </w:tc>
        <w:tc>
          <w:tcPr>
            <w:tcW w:w="618" w:type="pct"/>
            <w:tcBorders>
              <w:top w:val="nil"/>
              <w:left w:val="nil"/>
              <w:bottom w:val="single" w:sz="4" w:space="0" w:color="auto"/>
              <w:right w:val="single" w:sz="4" w:space="0" w:color="auto"/>
            </w:tcBorders>
            <w:shd w:val="clear" w:color="auto" w:fill="auto"/>
            <w:noWrap/>
            <w:vAlign w:val="center"/>
            <w:hideMark/>
          </w:tcPr>
          <w:p w14:paraId="1769D3A6" w14:textId="77777777" w:rsidR="00E3750C" w:rsidRPr="009C46B1" w:rsidRDefault="00E3750C" w:rsidP="00047864">
            <w:pPr>
              <w:spacing w:after="0" w:line="240" w:lineRule="auto"/>
              <w:jc w:val="right"/>
              <w:rPr>
                <w:rFonts w:ascii="Arial" w:eastAsia="Times New Roman" w:hAnsi="Arial" w:cs="Arial"/>
                <w:b/>
                <w:bCs/>
                <w:color w:val="000000"/>
                <w:sz w:val="18"/>
                <w:szCs w:val="18"/>
                <w:lang w:eastAsia="sl-SI"/>
              </w:rPr>
            </w:pPr>
            <w:r w:rsidRPr="009C46B1">
              <w:rPr>
                <w:rFonts w:ascii="Arial" w:eastAsia="Times New Roman" w:hAnsi="Arial" w:cs="Arial"/>
                <w:b/>
                <w:bCs/>
                <w:color w:val="000000"/>
                <w:sz w:val="18"/>
                <w:szCs w:val="18"/>
                <w:lang w:eastAsia="sl-SI"/>
              </w:rPr>
              <w:t>100,00 %</w:t>
            </w:r>
          </w:p>
        </w:tc>
        <w:tc>
          <w:tcPr>
            <w:tcW w:w="540" w:type="pct"/>
            <w:tcBorders>
              <w:top w:val="nil"/>
              <w:left w:val="nil"/>
              <w:bottom w:val="single" w:sz="4" w:space="0" w:color="auto"/>
              <w:right w:val="single" w:sz="4" w:space="0" w:color="auto"/>
            </w:tcBorders>
            <w:shd w:val="clear" w:color="auto" w:fill="auto"/>
            <w:noWrap/>
            <w:vAlign w:val="center"/>
            <w:hideMark/>
          </w:tcPr>
          <w:p w14:paraId="51E93BFA" w14:textId="77777777" w:rsidR="00E3750C" w:rsidRPr="009C46B1" w:rsidRDefault="00E3750C" w:rsidP="00047864">
            <w:pPr>
              <w:spacing w:after="0" w:line="240" w:lineRule="auto"/>
              <w:jc w:val="right"/>
              <w:rPr>
                <w:rFonts w:ascii="Arial" w:eastAsia="Times New Roman" w:hAnsi="Arial" w:cs="Arial"/>
                <w:b/>
                <w:bCs/>
                <w:color w:val="000000"/>
                <w:sz w:val="18"/>
                <w:szCs w:val="18"/>
                <w:lang w:eastAsia="sl-SI"/>
              </w:rPr>
            </w:pPr>
            <w:r w:rsidRPr="009C46B1">
              <w:rPr>
                <w:rFonts w:ascii="Arial" w:eastAsia="Times New Roman" w:hAnsi="Arial" w:cs="Arial"/>
                <w:b/>
                <w:bCs/>
                <w:color w:val="000000"/>
                <w:sz w:val="18"/>
                <w:szCs w:val="18"/>
                <w:lang w:eastAsia="sl-SI"/>
              </w:rPr>
              <w:t>100,00 %</w:t>
            </w:r>
          </w:p>
        </w:tc>
        <w:tc>
          <w:tcPr>
            <w:tcW w:w="522" w:type="pct"/>
            <w:tcBorders>
              <w:top w:val="nil"/>
              <w:left w:val="nil"/>
              <w:bottom w:val="single" w:sz="4" w:space="0" w:color="auto"/>
              <w:right w:val="single" w:sz="4" w:space="0" w:color="auto"/>
            </w:tcBorders>
            <w:shd w:val="clear" w:color="auto" w:fill="auto"/>
            <w:noWrap/>
            <w:vAlign w:val="center"/>
            <w:hideMark/>
          </w:tcPr>
          <w:p w14:paraId="7BAEDA41" w14:textId="77777777" w:rsidR="00E3750C" w:rsidRPr="009C46B1" w:rsidRDefault="00E3750C" w:rsidP="00047864">
            <w:pPr>
              <w:spacing w:after="0" w:line="240" w:lineRule="auto"/>
              <w:jc w:val="right"/>
              <w:rPr>
                <w:rFonts w:ascii="Arial" w:eastAsia="Times New Roman" w:hAnsi="Arial" w:cs="Arial"/>
                <w:b/>
                <w:bCs/>
                <w:color w:val="000000"/>
                <w:sz w:val="18"/>
                <w:szCs w:val="18"/>
                <w:lang w:eastAsia="sl-SI"/>
              </w:rPr>
            </w:pPr>
            <w:r w:rsidRPr="009C46B1">
              <w:rPr>
                <w:rFonts w:ascii="Arial" w:eastAsia="Times New Roman" w:hAnsi="Arial" w:cs="Arial"/>
                <w:b/>
                <w:bCs/>
                <w:color w:val="000000"/>
                <w:sz w:val="18"/>
                <w:szCs w:val="18"/>
                <w:lang w:eastAsia="sl-SI"/>
              </w:rPr>
              <w:t>100,00 %</w:t>
            </w:r>
          </w:p>
        </w:tc>
      </w:tr>
      <w:tr w:rsidR="00E3750C" w:rsidRPr="009C46B1" w14:paraId="321DAE28" w14:textId="77777777" w:rsidTr="00047864">
        <w:trPr>
          <w:gridAfter w:val="3"/>
          <w:wAfter w:w="1680" w:type="pct"/>
          <w:trHeight w:val="300"/>
        </w:trPr>
        <w:tc>
          <w:tcPr>
            <w:tcW w:w="146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D44A4D4" w14:textId="77777777" w:rsidR="00E3750C" w:rsidRPr="009C46B1" w:rsidRDefault="00E3750C" w:rsidP="00047864">
            <w:pPr>
              <w:spacing w:after="0" w:line="240" w:lineRule="auto"/>
              <w:rPr>
                <w:rFonts w:ascii="Arial" w:eastAsia="Times New Roman" w:hAnsi="Arial" w:cs="Arial"/>
                <w:b/>
                <w:bCs/>
                <w:color w:val="000000"/>
                <w:sz w:val="18"/>
                <w:szCs w:val="18"/>
                <w:lang w:eastAsia="sl-SI"/>
              </w:rPr>
            </w:pPr>
            <w:r w:rsidRPr="009C46B1">
              <w:rPr>
                <w:rFonts w:ascii="Arial" w:eastAsia="Times New Roman" w:hAnsi="Arial" w:cs="Arial"/>
                <w:b/>
                <w:bCs/>
                <w:color w:val="000000"/>
                <w:sz w:val="18"/>
                <w:szCs w:val="18"/>
                <w:lang w:eastAsia="sl-SI"/>
              </w:rPr>
              <w:t>Skupaj</w:t>
            </w:r>
          </w:p>
        </w:tc>
        <w:tc>
          <w:tcPr>
            <w:tcW w:w="618" w:type="pct"/>
            <w:tcBorders>
              <w:top w:val="nil"/>
              <w:left w:val="nil"/>
              <w:bottom w:val="single" w:sz="4" w:space="0" w:color="auto"/>
              <w:right w:val="single" w:sz="4" w:space="0" w:color="auto"/>
            </w:tcBorders>
            <w:shd w:val="clear" w:color="auto" w:fill="F2F2F2" w:themeFill="background1" w:themeFillShade="F2"/>
            <w:noWrap/>
            <w:vAlign w:val="center"/>
            <w:hideMark/>
          </w:tcPr>
          <w:p w14:paraId="3D7419D4" w14:textId="77777777" w:rsidR="00E3750C" w:rsidRPr="009C46B1" w:rsidRDefault="00E3750C" w:rsidP="00047864">
            <w:pPr>
              <w:spacing w:after="0" w:line="240" w:lineRule="auto"/>
              <w:jc w:val="right"/>
              <w:rPr>
                <w:rFonts w:ascii="Arial" w:eastAsia="Times New Roman" w:hAnsi="Arial" w:cs="Arial"/>
                <w:b/>
                <w:bCs/>
                <w:color w:val="000000"/>
                <w:sz w:val="18"/>
                <w:szCs w:val="18"/>
                <w:lang w:eastAsia="sl-SI"/>
              </w:rPr>
            </w:pPr>
            <w:r w:rsidRPr="009C46B1">
              <w:rPr>
                <w:rFonts w:ascii="Arial" w:eastAsia="Times New Roman" w:hAnsi="Arial" w:cs="Arial"/>
                <w:b/>
                <w:bCs/>
                <w:color w:val="000000"/>
                <w:sz w:val="18"/>
                <w:szCs w:val="18"/>
                <w:lang w:eastAsia="sl-SI"/>
              </w:rPr>
              <w:t>977</w:t>
            </w:r>
          </w:p>
        </w:tc>
        <w:tc>
          <w:tcPr>
            <w:tcW w:w="463" w:type="pct"/>
            <w:tcBorders>
              <w:top w:val="nil"/>
              <w:left w:val="nil"/>
              <w:bottom w:val="single" w:sz="4" w:space="0" w:color="auto"/>
              <w:right w:val="single" w:sz="4" w:space="0" w:color="auto"/>
            </w:tcBorders>
            <w:shd w:val="clear" w:color="auto" w:fill="F2F2F2" w:themeFill="background1" w:themeFillShade="F2"/>
            <w:noWrap/>
            <w:vAlign w:val="center"/>
            <w:hideMark/>
          </w:tcPr>
          <w:p w14:paraId="2A0FB86D" w14:textId="77777777" w:rsidR="00E3750C" w:rsidRPr="009C46B1" w:rsidRDefault="00E3750C" w:rsidP="00047864">
            <w:pPr>
              <w:spacing w:after="0" w:line="240" w:lineRule="auto"/>
              <w:jc w:val="right"/>
              <w:rPr>
                <w:rFonts w:ascii="Arial" w:eastAsia="Times New Roman" w:hAnsi="Arial" w:cs="Arial"/>
                <w:b/>
                <w:bCs/>
                <w:color w:val="000000"/>
                <w:sz w:val="18"/>
                <w:szCs w:val="18"/>
                <w:lang w:eastAsia="sl-SI"/>
              </w:rPr>
            </w:pPr>
            <w:r w:rsidRPr="009C46B1">
              <w:rPr>
                <w:rFonts w:ascii="Arial" w:eastAsia="Times New Roman" w:hAnsi="Arial" w:cs="Arial"/>
                <w:b/>
                <w:bCs/>
                <w:color w:val="000000"/>
                <w:sz w:val="18"/>
                <w:szCs w:val="18"/>
                <w:lang w:eastAsia="sl-SI"/>
              </w:rPr>
              <w:t>5.162</w:t>
            </w:r>
          </w:p>
        </w:tc>
        <w:tc>
          <w:tcPr>
            <w:tcW w:w="773" w:type="pct"/>
            <w:tcBorders>
              <w:top w:val="nil"/>
              <w:left w:val="nil"/>
              <w:bottom w:val="single" w:sz="4" w:space="0" w:color="auto"/>
              <w:right w:val="single" w:sz="4" w:space="0" w:color="auto"/>
            </w:tcBorders>
            <w:shd w:val="clear" w:color="auto" w:fill="F2F2F2" w:themeFill="background1" w:themeFillShade="F2"/>
            <w:noWrap/>
            <w:vAlign w:val="center"/>
            <w:hideMark/>
          </w:tcPr>
          <w:p w14:paraId="38230258" w14:textId="77777777" w:rsidR="00E3750C" w:rsidRPr="009C46B1" w:rsidRDefault="00E3750C" w:rsidP="00047864">
            <w:pPr>
              <w:spacing w:after="0" w:line="240" w:lineRule="auto"/>
              <w:jc w:val="right"/>
              <w:rPr>
                <w:rFonts w:ascii="Arial" w:eastAsia="Times New Roman" w:hAnsi="Arial" w:cs="Arial"/>
                <w:b/>
                <w:bCs/>
                <w:color w:val="000000"/>
                <w:sz w:val="18"/>
                <w:szCs w:val="18"/>
                <w:lang w:eastAsia="sl-SI"/>
              </w:rPr>
            </w:pPr>
            <w:r w:rsidRPr="009C46B1">
              <w:rPr>
                <w:rFonts w:ascii="Arial" w:eastAsia="Times New Roman" w:hAnsi="Arial" w:cs="Arial"/>
                <w:b/>
                <w:bCs/>
                <w:color w:val="000000"/>
                <w:sz w:val="18"/>
                <w:szCs w:val="18"/>
                <w:lang w:eastAsia="sl-SI"/>
              </w:rPr>
              <w:t>1.422.738.797</w:t>
            </w:r>
          </w:p>
        </w:tc>
      </w:tr>
    </w:tbl>
    <w:p w14:paraId="37AEF33F" w14:textId="77777777" w:rsidR="00E3750C" w:rsidRPr="00BF7302" w:rsidRDefault="00E3750C" w:rsidP="00E3750C">
      <w:pPr>
        <w:spacing w:after="0" w:line="240" w:lineRule="auto"/>
        <w:rPr>
          <w:highlight w:val="yellow"/>
        </w:rPr>
      </w:pPr>
    </w:p>
    <w:p w14:paraId="4DB69300" w14:textId="77777777" w:rsidR="00E3750C" w:rsidRDefault="00E3750C" w:rsidP="00E3750C">
      <w:pPr>
        <w:spacing w:before="120" w:after="0" w:line="240" w:lineRule="auto"/>
        <w:jc w:val="both"/>
        <w:rPr>
          <w:rFonts w:ascii="Arial" w:hAnsi="Arial" w:cs="Arial"/>
          <w:sz w:val="20"/>
        </w:rPr>
      </w:pPr>
      <w:r w:rsidRPr="00655B43">
        <w:rPr>
          <w:rFonts w:ascii="Arial" w:hAnsi="Arial" w:cs="Arial"/>
          <w:sz w:val="20"/>
        </w:rPr>
        <w:t>Preglednica 10</w:t>
      </w:r>
      <w:r>
        <w:rPr>
          <w:rFonts w:ascii="Arial" w:hAnsi="Arial" w:cs="Arial"/>
          <w:sz w:val="20"/>
        </w:rPr>
        <w:t>7</w:t>
      </w:r>
      <w:r w:rsidRPr="00655B43">
        <w:rPr>
          <w:rFonts w:ascii="Arial" w:hAnsi="Arial" w:cs="Arial"/>
          <w:sz w:val="20"/>
        </w:rPr>
        <w:t xml:space="preserve">: Seznam naročnikov, ki so v letu 2022 oddali javna naročila ali izvedli postopek javnega naročanja za sklenitev okvirnega sporazuma </w:t>
      </w:r>
    </w:p>
    <w:p w14:paraId="70323C0A" w14:textId="77777777" w:rsidR="00E3750C" w:rsidRDefault="00E3750C" w:rsidP="00E3750C">
      <w:pPr>
        <w:spacing w:after="0" w:line="240" w:lineRule="auto"/>
        <w:jc w:val="both"/>
        <w:rPr>
          <w:rFonts w:ascii="Arial" w:hAnsi="Arial" w:cs="Arial"/>
          <w:sz w:val="20"/>
        </w:rPr>
      </w:pPr>
    </w:p>
    <w:tbl>
      <w:tblPr>
        <w:tblW w:w="5000" w:type="pct"/>
        <w:tblLayout w:type="fixed"/>
        <w:tblCellMar>
          <w:left w:w="70" w:type="dxa"/>
          <w:right w:w="70" w:type="dxa"/>
        </w:tblCellMar>
        <w:tblLook w:val="04A0" w:firstRow="1" w:lastRow="0" w:firstColumn="1" w:lastColumn="0" w:noHBand="0" w:noVBand="1"/>
      </w:tblPr>
      <w:tblGrid>
        <w:gridCol w:w="711"/>
        <w:gridCol w:w="1294"/>
        <w:gridCol w:w="1004"/>
        <w:gridCol w:w="6165"/>
      </w:tblGrid>
      <w:tr w:rsidR="00E3750C" w:rsidRPr="00415AB3" w14:paraId="39A9C684" w14:textId="77777777" w:rsidTr="00047864">
        <w:trPr>
          <w:trHeight w:val="300"/>
          <w:tblHeader/>
        </w:trPr>
        <w:tc>
          <w:tcPr>
            <w:tcW w:w="38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236520E" w14:textId="77777777" w:rsidR="00E3750C" w:rsidRPr="00415AB3" w:rsidRDefault="00E3750C" w:rsidP="00047864">
            <w:pPr>
              <w:spacing w:after="0" w:line="240" w:lineRule="auto"/>
              <w:jc w:val="center"/>
              <w:rPr>
                <w:rFonts w:ascii="Arial" w:eastAsia="Times New Roman" w:hAnsi="Arial" w:cs="Arial"/>
                <w:color w:val="000000"/>
                <w:sz w:val="18"/>
                <w:szCs w:val="18"/>
                <w:lang w:eastAsia="sl-SI"/>
              </w:rPr>
            </w:pPr>
            <w:proofErr w:type="spellStart"/>
            <w:r>
              <w:rPr>
                <w:rFonts w:ascii="Arial" w:eastAsia="Times New Roman" w:hAnsi="Arial" w:cs="Arial"/>
                <w:color w:val="000000"/>
                <w:sz w:val="18"/>
                <w:szCs w:val="18"/>
                <w:lang w:eastAsia="sl-SI"/>
              </w:rPr>
              <w:t>Zap</w:t>
            </w:r>
            <w:proofErr w:type="spellEnd"/>
            <w:r>
              <w:rPr>
                <w:rFonts w:ascii="Arial" w:eastAsia="Times New Roman" w:hAnsi="Arial" w:cs="Arial"/>
                <w:color w:val="000000"/>
                <w:sz w:val="18"/>
                <w:szCs w:val="18"/>
                <w:lang w:eastAsia="sl-SI"/>
              </w:rPr>
              <w:t>. št.</w:t>
            </w:r>
          </w:p>
        </w:tc>
        <w:tc>
          <w:tcPr>
            <w:tcW w:w="70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8F6B7D5" w14:textId="77777777" w:rsidR="00E3750C" w:rsidRPr="00415AB3" w:rsidRDefault="00E3750C" w:rsidP="00047864">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Matična številka</w:t>
            </w:r>
          </w:p>
        </w:tc>
        <w:tc>
          <w:tcPr>
            <w:tcW w:w="54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BF72A8F" w14:textId="77777777" w:rsidR="00E3750C" w:rsidRPr="00415AB3" w:rsidRDefault="00E3750C" w:rsidP="00047864">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Davčna številka</w:t>
            </w:r>
          </w:p>
        </w:tc>
        <w:tc>
          <w:tcPr>
            <w:tcW w:w="3360"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428BB64" w14:textId="77777777" w:rsidR="00E3750C" w:rsidRPr="00415AB3" w:rsidRDefault="00E3750C" w:rsidP="00047864">
            <w:pPr>
              <w:spacing w:after="0" w:line="240" w:lineRule="auto"/>
              <w:jc w:val="center"/>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N</w:t>
            </w:r>
            <w:r>
              <w:rPr>
                <w:rFonts w:ascii="Arial" w:eastAsia="Times New Roman" w:hAnsi="Arial" w:cs="Arial"/>
                <w:color w:val="000000"/>
                <w:sz w:val="18"/>
                <w:szCs w:val="18"/>
                <w:lang w:eastAsia="sl-SI"/>
              </w:rPr>
              <w:t>aziv naročnika</w:t>
            </w:r>
          </w:p>
        </w:tc>
      </w:tr>
      <w:tr w:rsidR="00E3750C" w:rsidRPr="00415AB3" w14:paraId="71BDC62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13191F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w:t>
            </w:r>
          </w:p>
        </w:tc>
        <w:tc>
          <w:tcPr>
            <w:tcW w:w="705" w:type="pct"/>
            <w:tcBorders>
              <w:top w:val="nil"/>
              <w:left w:val="nil"/>
              <w:bottom w:val="single" w:sz="4" w:space="0" w:color="auto"/>
              <w:right w:val="single" w:sz="4" w:space="0" w:color="auto"/>
            </w:tcBorders>
            <w:shd w:val="clear" w:color="auto" w:fill="auto"/>
            <w:noWrap/>
            <w:vAlign w:val="center"/>
            <w:hideMark/>
          </w:tcPr>
          <w:p w14:paraId="25B98CA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3348008000</w:t>
            </w:r>
          </w:p>
        </w:tc>
        <w:tc>
          <w:tcPr>
            <w:tcW w:w="547" w:type="pct"/>
            <w:tcBorders>
              <w:top w:val="nil"/>
              <w:left w:val="nil"/>
              <w:bottom w:val="single" w:sz="4" w:space="0" w:color="auto"/>
              <w:right w:val="single" w:sz="4" w:space="0" w:color="auto"/>
            </w:tcBorders>
            <w:shd w:val="clear" w:color="auto" w:fill="auto"/>
            <w:noWrap/>
            <w:vAlign w:val="center"/>
            <w:hideMark/>
          </w:tcPr>
          <w:p w14:paraId="5A56511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52959856</w:t>
            </w:r>
          </w:p>
        </w:tc>
        <w:tc>
          <w:tcPr>
            <w:tcW w:w="3360" w:type="pct"/>
            <w:tcBorders>
              <w:top w:val="nil"/>
              <w:left w:val="nil"/>
              <w:bottom w:val="single" w:sz="4" w:space="0" w:color="auto"/>
              <w:right w:val="single" w:sz="4" w:space="0" w:color="auto"/>
            </w:tcBorders>
            <w:shd w:val="clear" w:color="auto" w:fill="auto"/>
            <w:vAlign w:val="center"/>
            <w:hideMark/>
          </w:tcPr>
          <w:p w14:paraId="3C71B87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 OSNOVNA ŠOLA SLOVENSKA BISTRICA</w:t>
            </w:r>
          </w:p>
        </w:tc>
      </w:tr>
      <w:tr w:rsidR="00E3750C" w:rsidRPr="00415AB3" w14:paraId="3CDD8CC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866BC3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w:t>
            </w:r>
          </w:p>
        </w:tc>
        <w:tc>
          <w:tcPr>
            <w:tcW w:w="705" w:type="pct"/>
            <w:tcBorders>
              <w:top w:val="nil"/>
              <w:left w:val="nil"/>
              <w:bottom w:val="single" w:sz="4" w:space="0" w:color="auto"/>
              <w:right w:val="single" w:sz="4" w:space="0" w:color="auto"/>
            </w:tcBorders>
            <w:shd w:val="clear" w:color="auto" w:fill="auto"/>
            <w:noWrap/>
            <w:vAlign w:val="center"/>
            <w:hideMark/>
          </w:tcPr>
          <w:p w14:paraId="384FC7A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7096283000</w:t>
            </w:r>
          </w:p>
        </w:tc>
        <w:tc>
          <w:tcPr>
            <w:tcW w:w="547" w:type="pct"/>
            <w:tcBorders>
              <w:top w:val="nil"/>
              <w:left w:val="nil"/>
              <w:bottom w:val="single" w:sz="4" w:space="0" w:color="auto"/>
              <w:right w:val="single" w:sz="4" w:space="0" w:color="auto"/>
            </w:tcBorders>
            <w:shd w:val="clear" w:color="auto" w:fill="auto"/>
            <w:noWrap/>
            <w:vAlign w:val="center"/>
            <w:hideMark/>
          </w:tcPr>
          <w:p w14:paraId="67AA14B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91611369</w:t>
            </w:r>
          </w:p>
        </w:tc>
        <w:tc>
          <w:tcPr>
            <w:tcW w:w="3360" w:type="pct"/>
            <w:tcBorders>
              <w:top w:val="nil"/>
              <w:left w:val="nil"/>
              <w:bottom w:val="single" w:sz="4" w:space="0" w:color="auto"/>
              <w:right w:val="single" w:sz="4" w:space="0" w:color="auto"/>
            </w:tcBorders>
            <w:shd w:val="clear" w:color="auto" w:fill="auto"/>
            <w:vAlign w:val="center"/>
            <w:hideMark/>
          </w:tcPr>
          <w:p w14:paraId="02E8ED2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2TDK, DRUŽBA ZA RAZVOJ PROJEKTA, D.O.O.</w:t>
            </w:r>
          </w:p>
        </w:tc>
      </w:tr>
      <w:tr w:rsidR="00E3750C" w:rsidRPr="00415AB3" w14:paraId="2E139474"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A6EE2A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w:t>
            </w:r>
          </w:p>
        </w:tc>
        <w:tc>
          <w:tcPr>
            <w:tcW w:w="705" w:type="pct"/>
            <w:tcBorders>
              <w:top w:val="nil"/>
              <w:left w:val="nil"/>
              <w:bottom w:val="single" w:sz="4" w:space="0" w:color="auto"/>
              <w:right w:val="single" w:sz="4" w:space="0" w:color="auto"/>
            </w:tcBorders>
            <w:shd w:val="clear" w:color="auto" w:fill="auto"/>
            <w:noWrap/>
            <w:vAlign w:val="center"/>
            <w:hideMark/>
          </w:tcPr>
          <w:p w14:paraId="2AF9CCC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1732803000</w:t>
            </w:r>
          </w:p>
        </w:tc>
        <w:tc>
          <w:tcPr>
            <w:tcW w:w="547" w:type="pct"/>
            <w:tcBorders>
              <w:top w:val="nil"/>
              <w:left w:val="nil"/>
              <w:bottom w:val="single" w:sz="4" w:space="0" w:color="auto"/>
              <w:right w:val="single" w:sz="4" w:space="0" w:color="auto"/>
            </w:tcBorders>
            <w:shd w:val="clear" w:color="auto" w:fill="auto"/>
            <w:noWrap/>
            <w:vAlign w:val="center"/>
            <w:hideMark/>
          </w:tcPr>
          <w:p w14:paraId="4C32ADC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14717468</w:t>
            </w:r>
          </w:p>
        </w:tc>
        <w:tc>
          <w:tcPr>
            <w:tcW w:w="3360" w:type="pct"/>
            <w:tcBorders>
              <w:top w:val="nil"/>
              <w:left w:val="nil"/>
              <w:bottom w:val="single" w:sz="4" w:space="0" w:color="auto"/>
              <w:right w:val="single" w:sz="4" w:space="0" w:color="auto"/>
            </w:tcBorders>
            <w:shd w:val="clear" w:color="auto" w:fill="auto"/>
            <w:vAlign w:val="center"/>
            <w:hideMark/>
          </w:tcPr>
          <w:p w14:paraId="4F41E5A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AGENCIJA REPUBLIKE SLOVENIJE ZA JAVNOPRAVNE EVIDENCE IN STORITVE</w:t>
            </w:r>
          </w:p>
        </w:tc>
      </w:tr>
      <w:tr w:rsidR="00E3750C" w:rsidRPr="00415AB3" w14:paraId="28784F7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032F1B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w:t>
            </w:r>
          </w:p>
        </w:tc>
        <w:tc>
          <w:tcPr>
            <w:tcW w:w="705" w:type="pct"/>
            <w:tcBorders>
              <w:top w:val="nil"/>
              <w:left w:val="nil"/>
              <w:bottom w:val="single" w:sz="4" w:space="0" w:color="auto"/>
              <w:right w:val="single" w:sz="4" w:space="0" w:color="auto"/>
            </w:tcBorders>
            <w:shd w:val="clear" w:color="auto" w:fill="auto"/>
            <w:noWrap/>
            <w:vAlign w:val="center"/>
            <w:hideMark/>
          </w:tcPr>
          <w:p w14:paraId="7D70EA6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1993666000</w:t>
            </w:r>
          </w:p>
        </w:tc>
        <w:tc>
          <w:tcPr>
            <w:tcW w:w="547" w:type="pct"/>
            <w:tcBorders>
              <w:top w:val="nil"/>
              <w:left w:val="nil"/>
              <w:bottom w:val="single" w:sz="4" w:space="0" w:color="auto"/>
              <w:right w:val="single" w:sz="4" w:space="0" w:color="auto"/>
            </w:tcBorders>
            <w:shd w:val="clear" w:color="auto" w:fill="auto"/>
            <w:noWrap/>
            <w:vAlign w:val="center"/>
            <w:hideMark/>
          </w:tcPr>
          <w:p w14:paraId="6FDE40B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45123136</w:t>
            </w:r>
          </w:p>
        </w:tc>
        <w:tc>
          <w:tcPr>
            <w:tcW w:w="3360" w:type="pct"/>
            <w:tcBorders>
              <w:top w:val="nil"/>
              <w:left w:val="nil"/>
              <w:bottom w:val="single" w:sz="4" w:space="0" w:color="auto"/>
              <w:right w:val="single" w:sz="4" w:space="0" w:color="auto"/>
            </w:tcBorders>
            <w:shd w:val="clear" w:color="auto" w:fill="auto"/>
            <w:vAlign w:val="center"/>
            <w:hideMark/>
          </w:tcPr>
          <w:p w14:paraId="3C65CD0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AGENCIJA ZA ENERGIJO</w:t>
            </w:r>
          </w:p>
        </w:tc>
      </w:tr>
      <w:tr w:rsidR="00E3750C" w:rsidRPr="00415AB3" w14:paraId="54649AF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A8CE5E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5</w:t>
            </w:r>
          </w:p>
        </w:tc>
        <w:tc>
          <w:tcPr>
            <w:tcW w:w="705" w:type="pct"/>
            <w:tcBorders>
              <w:top w:val="nil"/>
              <w:left w:val="nil"/>
              <w:bottom w:val="single" w:sz="4" w:space="0" w:color="auto"/>
              <w:right w:val="single" w:sz="4" w:space="0" w:color="auto"/>
            </w:tcBorders>
            <w:shd w:val="clear" w:color="auto" w:fill="auto"/>
            <w:noWrap/>
            <w:vAlign w:val="center"/>
            <w:hideMark/>
          </w:tcPr>
          <w:p w14:paraId="7A5D148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3476278000</w:t>
            </w:r>
          </w:p>
        </w:tc>
        <w:tc>
          <w:tcPr>
            <w:tcW w:w="547" w:type="pct"/>
            <w:tcBorders>
              <w:top w:val="nil"/>
              <w:left w:val="nil"/>
              <w:bottom w:val="single" w:sz="4" w:space="0" w:color="auto"/>
              <w:right w:val="single" w:sz="4" w:space="0" w:color="auto"/>
            </w:tcBorders>
            <w:shd w:val="clear" w:color="auto" w:fill="auto"/>
            <w:noWrap/>
            <w:vAlign w:val="center"/>
            <w:hideMark/>
          </w:tcPr>
          <w:p w14:paraId="5FE8722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10031251</w:t>
            </w:r>
          </w:p>
        </w:tc>
        <w:tc>
          <w:tcPr>
            <w:tcW w:w="3360" w:type="pct"/>
            <w:tcBorders>
              <w:top w:val="nil"/>
              <w:left w:val="nil"/>
              <w:bottom w:val="single" w:sz="4" w:space="0" w:color="auto"/>
              <w:right w:val="single" w:sz="4" w:space="0" w:color="auto"/>
            </w:tcBorders>
            <w:shd w:val="clear" w:color="auto" w:fill="auto"/>
            <w:vAlign w:val="center"/>
            <w:hideMark/>
          </w:tcPr>
          <w:p w14:paraId="737115F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AGENCIJA ZA JAVNI NADZOR NAD REVIDIRANJEM</w:t>
            </w:r>
          </w:p>
        </w:tc>
      </w:tr>
      <w:tr w:rsidR="00E3750C" w:rsidRPr="00415AB3" w14:paraId="213B1673"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299E7D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w:t>
            </w:r>
          </w:p>
        </w:tc>
        <w:tc>
          <w:tcPr>
            <w:tcW w:w="705" w:type="pct"/>
            <w:tcBorders>
              <w:top w:val="nil"/>
              <w:left w:val="nil"/>
              <w:bottom w:val="single" w:sz="4" w:space="0" w:color="auto"/>
              <w:right w:val="single" w:sz="4" w:space="0" w:color="auto"/>
            </w:tcBorders>
            <w:shd w:val="clear" w:color="auto" w:fill="auto"/>
            <w:noWrap/>
            <w:vAlign w:val="center"/>
            <w:hideMark/>
          </w:tcPr>
          <w:p w14:paraId="55603BC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1332899000</w:t>
            </w:r>
          </w:p>
        </w:tc>
        <w:tc>
          <w:tcPr>
            <w:tcW w:w="547" w:type="pct"/>
            <w:tcBorders>
              <w:top w:val="nil"/>
              <w:left w:val="nil"/>
              <w:bottom w:val="single" w:sz="4" w:space="0" w:color="auto"/>
              <w:right w:val="single" w:sz="4" w:space="0" w:color="auto"/>
            </w:tcBorders>
            <w:shd w:val="clear" w:color="auto" w:fill="auto"/>
            <w:noWrap/>
            <w:vAlign w:val="center"/>
            <w:hideMark/>
          </w:tcPr>
          <w:p w14:paraId="67E3551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10482369</w:t>
            </w:r>
          </w:p>
        </w:tc>
        <w:tc>
          <w:tcPr>
            <w:tcW w:w="3360" w:type="pct"/>
            <w:tcBorders>
              <w:top w:val="nil"/>
              <w:left w:val="nil"/>
              <w:bottom w:val="single" w:sz="4" w:space="0" w:color="auto"/>
              <w:right w:val="single" w:sz="4" w:space="0" w:color="auto"/>
            </w:tcBorders>
            <w:shd w:val="clear" w:color="auto" w:fill="auto"/>
            <w:vAlign w:val="center"/>
            <w:hideMark/>
          </w:tcPr>
          <w:p w14:paraId="1743DB2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AGENCIJA ZA KOMUNIKACIJSKA OMREŽJA IN STORITVE REPUBLIKE SLOVENIJE</w:t>
            </w:r>
          </w:p>
        </w:tc>
      </w:tr>
      <w:tr w:rsidR="00E3750C" w:rsidRPr="00415AB3" w14:paraId="21B292E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2D904D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w:t>
            </w:r>
          </w:p>
        </w:tc>
        <w:tc>
          <w:tcPr>
            <w:tcW w:w="705" w:type="pct"/>
            <w:tcBorders>
              <w:top w:val="nil"/>
              <w:left w:val="nil"/>
              <w:bottom w:val="single" w:sz="4" w:space="0" w:color="auto"/>
              <w:right w:val="single" w:sz="4" w:space="0" w:color="auto"/>
            </w:tcBorders>
            <w:shd w:val="clear" w:color="auto" w:fill="auto"/>
            <w:noWrap/>
            <w:vAlign w:val="center"/>
            <w:hideMark/>
          </w:tcPr>
          <w:p w14:paraId="0A9C1F8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5833566000</w:t>
            </w:r>
          </w:p>
        </w:tc>
        <w:tc>
          <w:tcPr>
            <w:tcW w:w="547" w:type="pct"/>
            <w:tcBorders>
              <w:top w:val="nil"/>
              <w:left w:val="nil"/>
              <w:bottom w:val="single" w:sz="4" w:space="0" w:color="auto"/>
              <w:right w:val="single" w:sz="4" w:space="0" w:color="auto"/>
            </w:tcBorders>
            <w:shd w:val="clear" w:color="auto" w:fill="auto"/>
            <w:noWrap/>
            <w:vAlign w:val="center"/>
            <w:hideMark/>
          </w:tcPr>
          <w:p w14:paraId="22731D8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43586350</w:t>
            </w:r>
          </w:p>
        </w:tc>
        <w:tc>
          <w:tcPr>
            <w:tcW w:w="3360" w:type="pct"/>
            <w:tcBorders>
              <w:top w:val="nil"/>
              <w:left w:val="nil"/>
              <w:bottom w:val="single" w:sz="4" w:space="0" w:color="auto"/>
              <w:right w:val="single" w:sz="4" w:space="0" w:color="auto"/>
            </w:tcBorders>
            <w:shd w:val="clear" w:color="auto" w:fill="auto"/>
            <w:vAlign w:val="center"/>
            <w:hideMark/>
          </w:tcPr>
          <w:p w14:paraId="3541359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AGENCIJA ZA TRG VREDNOSTNIH PAPIRJEV</w:t>
            </w:r>
          </w:p>
        </w:tc>
      </w:tr>
      <w:tr w:rsidR="00E3750C" w:rsidRPr="00415AB3" w14:paraId="14F80C1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AB9F9E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w:t>
            </w:r>
          </w:p>
        </w:tc>
        <w:tc>
          <w:tcPr>
            <w:tcW w:w="705" w:type="pct"/>
            <w:tcBorders>
              <w:top w:val="nil"/>
              <w:left w:val="nil"/>
              <w:bottom w:val="single" w:sz="4" w:space="0" w:color="auto"/>
              <w:right w:val="single" w:sz="4" w:space="0" w:color="auto"/>
            </w:tcBorders>
            <w:shd w:val="clear" w:color="auto" w:fill="auto"/>
            <w:noWrap/>
            <w:vAlign w:val="center"/>
            <w:hideMark/>
          </w:tcPr>
          <w:p w14:paraId="2BB54B9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1332856000</w:t>
            </w:r>
          </w:p>
        </w:tc>
        <w:tc>
          <w:tcPr>
            <w:tcW w:w="547" w:type="pct"/>
            <w:tcBorders>
              <w:top w:val="nil"/>
              <w:left w:val="nil"/>
              <w:bottom w:val="single" w:sz="4" w:space="0" w:color="auto"/>
              <w:right w:val="single" w:sz="4" w:space="0" w:color="auto"/>
            </w:tcBorders>
            <w:shd w:val="clear" w:color="auto" w:fill="auto"/>
            <w:noWrap/>
            <w:vAlign w:val="center"/>
            <w:hideMark/>
          </w:tcPr>
          <w:p w14:paraId="6522BC6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18962343</w:t>
            </w:r>
          </w:p>
        </w:tc>
        <w:tc>
          <w:tcPr>
            <w:tcW w:w="3360" w:type="pct"/>
            <w:tcBorders>
              <w:top w:val="nil"/>
              <w:left w:val="nil"/>
              <w:bottom w:val="single" w:sz="4" w:space="0" w:color="auto"/>
              <w:right w:val="single" w:sz="4" w:space="0" w:color="auto"/>
            </w:tcBorders>
            <w:shd w:val="clear" w:color="auto" w:fill="auto"/>
            <w:vAlign w:val="center"/>
            <w:hideMark/>
          </w:tcPr>
          <w:p w14:paraId="00A354C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AGENCIJA ZA ZAVAROVALNI NADZOR</w:t>
            </w:r>
          </w:p>
        </w:tc>
      </w:tr>
      <w:tr w:rsidR="00E3750C" w:rsidRPr="00415AB3" w14:paraId="15B54D8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AF4B83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w:t>
            </w:r>
          </w:p>
        </w:tc>
        <w:tc>
          <w:tcPr>
            <w:tcW w:w="705" w:type="pct"/>
            <w:tcBorders>
              <w:top w:val="nil"/>
              <w:left w:val="nil"/>
              <w:bottom w:val="single" w:sz="4" w:space="0" w:color="auto"/>
              <w:right w:val="single" w:sz="4" w:space="0" w:color="auto"/>
            </w:tcBorders>
            <w:shd w:val="clear" w:color="auto" w:fill="auto"/>
            <w:noWrap/>
            <w:vAlign w:val="center"/>
            <w:hideMark/>
          </w:tcPr>
          <w:p w14:paraId="694C87A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5618100000</w:t>
            </w:r>
          </w:p>
        </w:tc>
        <w:tc>
          <w:tcPr>
            <w:tcW w:w="547" w:type="pct"/>
            <w:tcBorders>
              <w:top w:val="nil"/>
              <w:left w:val="nil"/>
              <w:bottom w:val="single" w:sz="4" w:space="0" w:color="auto"/>
              <w:right w:val="single" w:sz="4" w:space="0" w:color="auto"/>
            </w:tcBorders>
            <w:shd w:val="clear" w:color="auto" w:fill="auto"/>
            <w:noWrap/>
            <w:vAlign w:val="center"/>
            <w:hideMark/>
          </w:tcPr>
          <w:p w14:paraId="37FD46E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65799739</w:t>
            </w:r>
          </w:p>
        </w:tc>
        <w:tc>
          <w:tcPr>
            <w:tcW w:w="3360" w:type="pct"/>
            <w:tcBorders>
              <w:top w:val="nil"/>
              <w:left w:val="nil"/>
              <w:bottom w:val="single" w:sz="4" w:space="0" w:color="auto"/>
              <w:right w:val="single" w:sz="4" w:space="0" w:color="auto"/>
            </w:tcBorders>
            <w:shd w:val="clear" w:color="auto" w:fill="auto"/>
            <w:vAlign w:val="center"/>
            <w:hideMark/>
          </w:tcPr>
          <w:p w14:paraId="0A951E3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AKADEMSKA IN RAZISKOVALNA MREŽA SLOVENIJE</w:t>
            </w:r>
          </w:p>
        </w:tc>
      </w:tr>
      <w:tr w:rsidR="00E3750C" w:rsidRPr="00415AB3" w14:paraId="20133CE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76CA95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w:t>
            </w:r>
          </w:p>
        </w:tc>
        <w:tc>
          <w:tcPr>
            <w:tcW w:w="705" w:type="pct"/>
            <w:tcBorders>
              <w:top w:val="nil"/>
              <w:left w:val="nil"/>
              <w:bottom w:val="single" w:sz="4" w:space="0" w:color="auto"/>
              <w:right w:val="single" w:sz="4" w:space="0" w:color="auto"/>
            </w:tcBorders>
            <w:shd w:val="clear" w:color="auto" w:fill="auto"/>
            <w:noWrap/>
            <w:vAlign w:val="center"/>
            <w:hideMark/>
          </w:tcPr>
          <w:p w14:paraId="4EA9FC6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5523192000</w:t>
            </w:r>
          </w:p>
        </w:tc>
        <w:tc>
          <w:tcPr>
            <w:tcW w:w="547" w:type="pct"/>
            <w:tcBorders>
              <w:top w:val="nil"/>
              <w:left w:val="nil"/>
              <w:bottom w:val="single" w:sz="4" w:space="0" w:color="auto"/>
              <w:right w:val="single" w:sz="4" w:space="0" w:color="auto"/>
            </w:tcBorders>
            <w:shd w:val="clear" w:color="auto" w:fill="auto"/>
            <w:noWrap/>
            <w:vAlign w:val="center"/>
            <w:hideMark/>
          </w:tcPr>
          <w:p w14:paraId="6A45987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54646499</w:t>
            </w:r>
          </w:p>
        </w:tc>
        <w:tc>
          <w:tcPr>
            <w:tcW w:w="3360" w:type="pct"/>
            <w:tcBorders>
              <w:top w:val="nil"/>
              <w:left w:val="nil"/>
              <w:bottom w:val="single" w:sz="4" w:space="0" w:color="auto"/>
              <w:right w:val="single" w:sz="4" w:space="0" w:color="auto"/>
            </w:tcBorders>
            <w:shd w:val="clear" w:color="auto" w:fill="auto"/>
            <w:vAlign w:val="center"/>
            <w:hideMark/>
          </w:tcPr>
          <w:p w14:paraId="0AF625C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ANDRAGOŠKI CENTER REPUBLIKE SLOVENIJE</w:t>
            </w:r>
          </w:p>
        </w:tc>
      </w:tr>
      <w:tr w:rsidR="00E3750C" w:rsidRPr="00415AB3" w14:paraId="50E7B8E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D13161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w:t>
            </w:r>
          </w:p>
        </w:tc>
        <w:tc>
          <w:tcPr>
            <w:tcW w:w="705" w:type="pct"/>
            <w:tcBorders>
              <w:top w:val="nil"/>
              <w:left w:val="nil"/>
              <w:bottom w:val="single" w:sz="4" w:space="0" w:color="auto"/>
              <w:right w:val="single" w:sz="4" w:space="0" w:color="auto"/>
            </w:tcBorders>
            <w:shd w:val="clear" w:color="auto" w:fill="auto"/>
            <w:noWrap/>
            <w:vAlign w:val="center"/>
            <w:hideMark/>
          </w:tcPr>
          <w:p w14:paraId="004383D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5053013000</w:t>
            </w:r>
          </w:p>
        </w:tc>
        <w:tc>
          <w:tcPr>
            <w:tcW w:w="547" w:type="pct"/>
            <w:tcBorders>
              <w:top w:val="nil"/>
              <w:left w:val="nil"/>
              <w:bottom w:val="single" w:sz="4" w:space="0" w:color="auto"/>
              <w:right w:val="single" w:sz="4" w:space="0" w:color="auto"/>
            </w:tcBorders>
            <w:shd w:val="clear" w:color="auto" w:fill="auto"/>
            <w:noWrap/>
            <w:vAlign w:val="center"/>
            <w:hideMark/>
          </w:tcPr>
          <w:p w14:paraId="3924AE6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18783724</w:t>
            </w:r>
          </w:p>
        </w:tc>
        <w:tc>
          <w:tcPr>
            <w:tcW w:w="3360" w:type="pct"/>
            <w:tcBorders>
              <w:top w:val="nil"/>
              <w:left w:val="nil"/>
              <w:bottom w:val="single" w:sz="4" w:space="0" w:color="auto"/>
              <w:right w:val="single" w:sz="4" w:space="0" w:color="auto"/>
            </w:tcBorders>
            <w:shd w:val="clear" w:color="auto" w:fill="auto"/>
            <w:vAlign w:val="center"/>
            <w:hideMark/>
          </w:tcPr>
          <w:p w14:paraId="4F42CE0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ANDRAGOŠKI ZAVOD LJUDSKA UNIVERZA VELENJE</w:t>
            </w:r>
          </w:p>
        </w:tc>
      </w:tr>
      <w:tr w:rsidR="00E3750C" w:rsidRPr="00415AB3" w14:paraId="3419168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4ACD97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w:t>
            </w:r>
          </w:p>
        </w:tc>
        <w:tc>
          <w:tcPr>
            <w:tcW w:w="705" w:type="pct"/>
            <w:tcBorders>
              <w:top w:val="nil"/>
              <w:left w:val="nil"/>
              <w:bottom w:val="single" w:sz="4" w:space="0" w:color="auto"/>
              <w:right w:val="single" w:sz="4" w:space="0" w:color="auto"/>
            </w:tcBorders>
            <w:shd w:val="clear" w:color="auto" w:fill="auto"/>
            <w:noWrap/>
            <w:vAlign w:val="center"/>
            <w:hideMark/>
          </w:tcPr>
          <w:p w14:paraId="561EC35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5052734000</w:t>
            </w:r>
          </w:p>
        </w:tc>
        <w:tc>
          <w:tcPr>
            <w:tcW w:w="547" w:type="pct"/>
            <w:tcBorders>
              <w:top w:val="nil"/>
              <w:left w:val="nil"/>
              <w:bottom w:val="single" w:sz="4" w:space="0" w:color="auto"/>
              <w:right w:val="single" w:sz="4" w:space="0" w:color="auto"/>
            </w:tcBorders>
            <w:shd w:val="clear" w:color="auto" w:fill="auto"/>
            <w:noWrap/>
            <w:vAlign w:val="center"/>
            <w:hideMark/>
          </w:tcPr>
          <w:p w14:paraId="753944D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20079346</w:t>
            </w:r>
          </w:p>
        </w:tc>
        <w:tc>
          <w:tcPr>
            <w:tcW w:w="3360" w:type="pct"/>
            <w:tcBorders>
              <w:top w:val="nil"/>
              <w:left w:val="nil"/>
              <w:bottom w:val="single" w:sz="4" w:space="0" w:color="auto"/>
              <w:right w:val="single" w:sz="4" w:space="0" w:color="auto"/>
            </w:tcBorders>
            <w:shd w:val="clear" w:color="auto" w:fill="auto"/>
            <w:vAlign w:val="center"/>
            <w:hideMark/>
          </w:tcPr>
          <w:p w14:paraId="3112AA3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ANDRAGOŠKI ZAVOD MARIBOR-LJUDSKA UNIVERZA</w:t>
            </w:r>
          </w:p>
        </w:tc>
      </w:tr>
      <w:tr w:rsidR="00E3750C" w:rsidRPr="00415AB3" w14:paraId="4A9F86A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181763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w:t>
            </w:r>
          </w:p>
        </w:tc>
        <w:tc>
          <w:tcPr>
            <w:tcW w:w="705" w:type="pct"/>
            <w:tcBorders>
              <w:top w:val="nil"/>
              <w:left w:val="nil"/>
              <w:bottom w:val="single" w:sz="4" w:space="0" w:color="auto"/>
              <w:right w:val="single" w:sz="4" w:space="0" w:color="auto"/>
            </w:tcBorders>
            <w:shd w:val="clear" w:color="auto" w:fill="auto"/>
            <w:noWrap/>
            <w:vAlign w:val="center"/>
            <w:hideMark/>
          </w:tcPr>
          <w:p w14:paraId="1EA0A83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5526329000</w:t>
            </w:r>
          </w:p>
        </w:tc>
        <w:tc>
          <w:tcPr>
            <w:tcW w:w="547" w:type="pct"/>
            <w:tcBorders>
              <w:top w:val="nil"/>
              <w:left w:val="nil"/>
              <w:bottom w:val="single" w:sz="4" w:space="0" w:color="auto"/>
              <w:right w:val="single" w:sz="4" w:space="0" w:color="auto"/>
            </w:tcBorders>
            <w:shd w:val="clear" w:color="auto" w:fill="auto"/>
            <w:noWrap/>
            <w:vAlign w:val="center"/>
            <w:hideMark/>
          </w:tcPr>
          <w:p w14:paraId="146150F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32495854</w:t>
            </w:r>
          </w:p>
        </w:tc>
        <w:tc>
          <w:tcPr>
            <w:tcW w:w="3360" w:type="pct"/>
            <w:tcBorders>
              <w:top w:val="nil"/>
              <w:left w:val="nil"/>
              <w:bottom w:val="single" w:sz="4" w:space="0" w:color="auto"/>
              <w:right w:val="single" w:sz="4" w:space="0" w:color="auto"/>
            </w:tcBorders>
            <w:shd w:val="clear" w:color="auto" w:fill="auto"/>
            <w:vAlign w:val="center"/>
            <w:hideMark/>
          </w:tcPr>
          <w:p w14:paraId="746B120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ARAO - AGENCIJA ZA RADIOAKTIVNE ODPADKE</w:t>
            </w:r>
          </w:p>
        </w:tc>
      </w:tr>
      <w:tr w:rsidR="00E3750C" w:rsidRPr="00415AB3" w14:paraId="4CBE96F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4FCEAD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w:t>
            </w:r>
          </w:p>
        </w:tc>
        <w:tc>
          <w:tcPr>
            <w:tcW w:w="705" w:type="pct"/>
            <w:tcBorders>
              <w:top w:val="nil"/>
              <w:left w:val="nil"/>
              <w:bottom w:val="single" w:sz="4" w:space="0" w:color="auto"/>
              <w:right w:val="single" w:sz="4" w:space="0" w:color="auto"/>
            </w:tcBorders>
            <w:shd w:val="clear" w:color="auto" w:fill="auto"/>
            <w:noWrap/>
            <w:vAlign w:val="center"/>
            <w:hideMark/>
          </w:tcPr>
          <w:p w14:paraId="55CAFD5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5051894000</w:t>
            </w:r>
          </w:p>
        </w:tc>
        <w:tc>
          <w:tcPr>
            <w:tcW w:w="547" w:type="pct"/>
            <w:tcBorders>
              <w:top w:val="nil"/>
              <w:left w:val="nil"/>
              <w:bottom w:val="single" w:sz="4" w:space="0" w:color="auto"/>
              <w:right w:val="single" w:sz="4" w:space="0" w:color="auto"/>
            </w:tcBorders>
            <w:shd w:val="clear" w:color="auto" w:fill="auto"/>
            <w:noWrap/>
            <w:vAlign w:val="center"/>
            <w:hideMark/>
          </w:tcPr>
          <w:p w14:paraId="676609B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16505638</w:t>
            </w:r>
          </w:p>
        </w:tc>
        <w:tc>
          <w:tcPr>
            <w:tcW w:w="3360" w:type="pct"/>
            <w:tcBorders>
              <w:top w:val="nil"/>
              <w:left w:val="nil"/>
              <w:bottom w:val="single" w:sz="4" w:space="0" w:color="auto"/>
              <w:right w:val="single" w:sz="4" w:space="0" w:color="auto"/>
            </w:tcBorders>
            <w:shd w:val="clear" w:color="auto" w:fill="auto"/>
            <w:vAlign w:val="center"/>
            <w:hideMark/>
          </w:tcPr>
          <w:p w14:paraId="5090594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ARBORETUM VOLČJI POTOK</w:t>
            </w:r>
          </w:p>
        </w:tc>
      </w:tr>
      <w:tr w:rsidR="00E3750C" w:rsidRPr="00415AB3" w14:paraId="1277ABD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6B18FB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w:t>
            </w:r>
          </w:p>
        </w:tc>
        <w:tc>
          <w:tcPr>
            <w:tcW w:w="705" w:type="pct"/>
            <w:tcBorders>
              <w:top w:val="nil"/>
              <w:left w:val="nil"/>
              <w:bottom w:val="single" w:sz="4" w:space="0" w:color="auto"/>
              <w:right w:val="single" w:sz="4" w:space="0" w:color="auto"/>
            </w:tcBorders>
            <w:shd w:val="clear" w:color="auto" w:fill="auto"/>
            <w:noWrap/>
            <w:vAlign w:val="center"/>
            <w:hideMark/>
          </w:tcPr>
          <w:p w14:paraId="24E2419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5263433000</w:t>
            </w:r>
          </w:p>
        </w:tc>
        <w:tc>
          <w:tcPr>
            <w:tcW w:w="547" w:type="pct"/>
            <w:tcBorders>
              <w:top w:val="nil"/>
              <w:left w:val="nil"/>
              <w:bottom w:val="single" w:sz="4" w:space="0" w:color="auto"/>
              <w:right w:val="single" w:sz="4" w:space="0" w:color="auto"/>
            </w:tcBorders>
            <w:shd w:val="clear" w:color="auto" w:fill="auto"/>
            <w:noWrap/>
            <w:vAlign w:val="center"/>
            <w:hideMark/>
          </w:tcPr>
          <w:p w14:paraId="16FBBC0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31727077</w:t>
            </w:r>
          </w:p>
        </w:tc>
        <w:tc>
          <w:tcPr>
            <w:tcW w:w="3360" w:type="pct"/>
            <w:tcBorders>
              <w:top w:val="nil"/>
              <w:left w:val="nil"/>
              <w:bottom w:val="single" w:sz="4" w:space="0" w:color="auto"/>
              <w:right w:val="single" w:sz="4" w:space="0" w:color="auto"/>
            </w:tcBorders>
            <w:shd w:val="clear" w:color="auto" w:fill="auto"/>
            <w:vAlign w:val="center"/>
            <w:hideMark/>
          </w:tcPr>
          <w:p w14:paraId="52689DB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ARRIVA, DRUŽBA ZA PREVOZ POTNIKOV, D.O.O.</w:t>
            </w:r>
          </w:p>
        </w:tc>
      </w:tr>
      <w:tr w:rsidR="00E3750C" w:rsidRPr="00415AB3" w14:paraId="1521616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408CEB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w:t>
            </w:r>
          </w:p>
        </w:tc>
        <w:tc>
          <w:tcPr>
            <w:tcW w:w="705" w:type="pct"/>
            <w:tcBorders>
              <w:top w:val="nil"/>
              <w:left w:val="nil"/>
              <w:bottom w:val="single" w:sz="4" w:space="0" w:color="auto"/>
              <w:right w:val="single" w:sz="4" w:space="0" w:color="auto"/>
            </w:tcBorders>
            <w:shd w:val="clear" w:color="auto" w:fill="auto"/>
            <w:noWrap/>
            <w:vAlign w:val="center"/>
            <w:hideMark/>
          </w:tcPr>
          <w:p w14:paraId="30F0353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5023912000</w:t>
            </w:r>
          </w:p>
        </w:tc>
        <w:tc>
          <w:tcPr>
            <w:tcW w:w="547" w:type="pct"/>
            <w:tcBorders>
              <w:top w:val="nil"/>
              <w:left w:val="nil"/>
              <w:bottom w:val="single" w:sz="4" w:space="0" w:color="auto"/>
              <w:right w:val="single" w:sz="4" w:space="0" w:color="auto"/>
            </w:tcBorders>
            <w:shd w:val="clear" w:color="auto" w:fill="auto"/>
            <w:noWrap/>
            <w:vAlign w:val="center"/>
            <w:hideMark/>
          </w:tcPr>
          <w:p w14:paraId="0A36C29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92582087</w:t>
            </w:r>
          </w:p>
        </w:tc>
        <w:tc>
          <w:tcPr>
            <w:tcW w:w="3360" w:type="pct"/>
            <w:tcBorders>
              <w:top w:val="nil"/>
              <w:left w:val="nil"/>
              <w:bottom w:val="single" w:sz="4" w:space="0" w:color="auto"/>
              <w:right w:val="single" w:sz="4" w:space="0" w:color="auto"/>
            </w:tcBorders>
            <w:shd w:val="clear" w:color="auto" w:fill="auto"/>
            <w:vAlign w:val="center"/>
            <w:hideMark/>
          </w:tcPr>
          <w:p w14:paraId="71D50B5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BANKA SLOVENIJE</w:t>
            </w:r>
          </w:p>
        </w:tc>
      </w:tr>
      <w:tr w:rsidR="00E3750C" w:rsidRPr="00415AB3" w14:paraId="09E4E36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CA1661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w:t>
            </w:r>
          </w:p>
        </w:tc>
        <w:tc>
          <w:tcPr>
            <w:tcW w:w="705" w:type="pct"/>
            <w:tcBorders>
              <w:top w:val="nil"/>
              <w:left w:val="nil"/>
              <w:bottom w:val="single" w:sz="4" w:space="0" w:color="auto"/>
              <w:right w:val="single" w:sz="4" w:space="0" w:color="auto"/>
            </w:tcBorders>
            <w:shd w:val="clear" w:color="auto" w:fill="auto"/>
            <w:noWrap/>
            <w:vAlign w:val="center"/>
            <w:hideMark/>
          </w:tcPr>
          <w:p w14:paraId="16D6150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5052149000</w:t>
            </w:r>
          </w:p>
        </w:tc>
        <w:tc>
          <w:tcPr>
            <w:tcW w:w="547" w:type="pct"/>
            <w:tcBorders>
              <w:top w:val="nil"/>
              <w:left w:val="nil"/>
              <w:bottom w:val="single" w:sz="4" w:space="0" w:color="auto"/>
              <w:right w:val="single" w:sz="4" w:space="0" w:color="auto"/>
            </w:tcBorders>
            <w:shd w:val="clear" w:color="auto" w:fill="auto"/>
            <w:noWrap/>
            <w:vAlign w:val="center"/>
            <w:hideMark/>
          </w:tcPr>
          <w:p w14:paraId="2DF1D93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23901233</w:t>
            </w:r>
          </w:p>
        </w:tc>
        <w:tc>
          <w:tcPr>
            <w:tcW w:w="3360" w:type="pct"/>
            <w:tcBorders>
              <w:top w:val="nil"/>
              <w:left w:val="nil"/>
              <w:bottom w:val="single" w:sz="4" w:space="0" w:color="auto"/>
              <w:right w:val="single" w:sz="4" w:space="0" w:color="auto"/>
            </w:tcBorders>
            <w:shd w:val="clear" w:color="auto" w:fill="auto"/>
            <w:vAlign w:val="center"/>
            <w:hideMark/>
          </w:tcPr>
          <w:p w14:paraId="32267F0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BELOKRANJSKI MUZEJ METLIKA</w:t>
            </w:r>
          </w:p>
        </w:tc>
      </w:tr>
      <w:tr w:rsidR="00E3750C" w:rsidRPr="00415AB3" w14:paraId="3965267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CF58DF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w:t>
            </w:r>
          </w:p>
        </w:tc>
        <w:tc>
          <w:tcPr>
            <w:tcW w:w="705" w:type="pct"/>
            <w:tcBorders>
              <w:top w:val="nil"/>
              <w:left w:val="nil"/>
              <w:bottom w:val="single" w:sz="4" w:space="0" w:color="auto"/>
              <w:right w:val="single" w:sz="4" w:space="0" w:color="auto"/>
            </w:tcBorders>
            <w:shd w:val="clear" w:color="auto" w:fill="auto"/>
            <w:noWrap/>
            <w:vAlign w:val="center"/>
            <w:hideMark/>
          </w:tcPr>
          <w:p w14:paraId="6352F2A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5085454000</w:t>
            </w:r>
          </w:p>
        </w:tc>
        <w:tc>
          <w:tcPr>
            <w:tcW w:w="547" w:type="pct"/>
            <w:tcBorders>
              <w:top w:val="nil"/>
              <w:left w:val="nil"/>
              <w:bottom w:val="single" w:sz="4" w:space="0" w:color="auto"/>
              <w:right w:val="single" w:sz="4" w:space="0" w:color="auto"/>
            </w:tcBorders>
            <w:shd w:val="clear" w:color="auto" w:fill="auto"/>
            <w:noWrap/>
            <w:vAlign w:val="center"/>
            <w:hideMark/>
          </w:tcPr>
          <w:p w14:paraId="0033A89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42181216</w:t>
            </w:r>
          </w:p>
        </w:tc>
        <w:tc>
          <w:tcPr>
            <w:tcW w:w="3360" w:type="pct"/>
            <w:tcBorders>
              <w:top w:val="nil"/>
              <w:left w:val="nil"/>
              <w:bottom w:val="single" w:sz="4" w:space="0" w:color="auto"/>
              <w:right w:val="single" w:sz="4" w:space="0" w:color="auto"/>
            </w:tcBorders>
            <w:shd w:val="clear" w:color="auto" w:fill="auto"/>
            <w:vAlign w:val="center"/>
            <w:hideMark/>
          </w:tcPr>
          <w:p w14:paraId="58D6897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BIOTEHNIŠKA ŠOLA MARIBOR</w:t>
            </w:r>
          </w:p>
        </w:tc>
      </w:tr>
      <w:tr w:rsidR="00E3750C" w:rsidRPr="00415AB3" w14:paraId="6F1F448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881E2A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w:t>
            </w:r>
          </w:p>
        </w:tc>
        <w:tc>
          <w:tcPr>
            <w:tcW w:w="705" w:type="pct"/>
            <w:tcBorders>
              <w:top w:val="nil"/>
              <w:left w:val="nil"/>
              <w:bottom w:val="single" w:sz="4" w:space="0" w:color="auto"/>
              <w:right w:val="single" w:sz="4" w:space="0" w:color="auto"/>
            </w:tcBorders>
            <w:shd w:val="clear" w:color="auto" w:fill="auto"/>
            <w:noWrap/>
            <w:vAlign w:val="center"/>
            <w:hideMark/>
          </w:tcPr>
          <w:p w14:paraId="29E1BDD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5088739000</w:t>
            </w:r>
          </w:p>
        </w:tc>
        <w:tc>
          <w:tcPr>
            <w:tcW w:w="547" w:type="pct"/>
            <w:tcBorders>
              <w:top w:val="nil"/>
              <w:left w:val="nil"/>
              <w:bottom w:val="single" w:sz="4" w:space="0" w:color="auto"/>
              <w:right w:val="single" w:sz="4" w:space="0" w:color="auto"/>
            </w:tcBorders>
            <w:shd w:val="clear" w:color="auto" w:fill="auto"/>
            <w:noWrap/>
            <w:vAlign w:val="center"/>
            <w:hideMark/>
          </w:tcPr>
          <w:p w14:paraId="543CEDE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66817994</w:t>
            </w:r>
          </w:p>
        </w:tc>
        <w:tc>
          <w:tcPr>
            <w:tcW w:w="3360" w:type="pct"/>
            <w:tcBorders>
              <w:top w:val="nil"/>
              <w:left w:val="nil"/>
              <w:bottom w:val="single" w:sz="4" w:space="0" w:color="auto"/>
              <w:right w:val="single" w:sz="4" w:space="0" w:color="auto"/>
            </w:tcBorders>
            <w:shd w:val="clear" w:color="auto" w:fill="auto"/>
            <w:vAlign w:val="center"/>
            <w:hideMark/>
          </w:tcPr>
          <w:p w14:paraId="407F4FA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BIOTEHNIŠKI CENTER NAKLO</w:t>
            </w:r>
          </w:p>
        </w:tc>
      </w:tr>
      <w:tr w:rsidR="00E3750C" w:rsidRPr="00415AB3" w14:paraId="1D4544B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D94FC3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w:t>
            </w:r>
          </w:p>
        </w:tc>
        <w:tc>
          <w:tcPr>
            <w:tcW w:w="705" w:type="pct"/>
            <w:tcBorders>
              <w:top w:val="nil"/>
              <w:left w:val="nil"/>
              <w:bottom w:val="single" w:sz="4" w:space="0" w:color="auto"/>
              <w:right w:val="single" w:sz="4" w:space="0" w:color="auto"/>
            </w:tcBorders>
            <w:shd w:val="clear" w:color="auto" w:fill="auto"/>
            <w:noWrap/>
            <w:vAlign w:val="center"/>
            <w:hideMark/>
          </w:tcPr>
          <w:p w14:paraId="779C5F2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5084571000</w:t>
            </w:r>
          </w:p>
        </w:tc>
        <w:tc>
          <w:tcPr>
            <w:tcW w:w="547" w:type="pct"/>
            <w:tcBorders>
              <w:top w:val="nil"/>
              <w:left w:val="nil"/>
              <w:bottom w:val="single" w:sz="4" w:space="0" w:color="auto"/>
              <w:right w:val="single" w:sz="4" w:space="0" w:color="auto"/>
            </w:tcBorders>
            <w:shd w:val="clear" w:color="auto" w:fill="auto"/>
            <w:noWrap/>
            <w:vAlign w:val="center"/>
            <w:hideMark/>
          </w:tcPr>
          <w:p w14:paraId="44FC776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95277145</w:t>
            </w:r>
          </w:p>
        </w:tc>
        <w:tc>
          <w:tcPr>
            <w:tcW w:w="3360" w:type="pct"/>
            <w:tcBorders>
              <w:top w:val="nil"/>
              <w:left w:val="nil"/>
              <w:bottom w:val="single" w:sz="4" w:space="0" w:color="auto"/>
              <w:right w:val="single" w:sz="4" w:space="0" w:color="auto"/>
            </w:tcBorders>
            <w:shd w:val="clear" w:color="auto" w:fill="auto"/>
            <w:vAlign w:val="center"/>
            <w:hideMark/>
          </w:tcPr>
          <w:p w14:paraId="247E531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BIOTEHNIŠKI IZOBRAŽEVALNI CENTER LJUBLJANA</w:t>
            </w:r>
          </w:p>
        </w:tc>
      </w:tr>
      <w:tr w:rsidR="00E3750C" w:rsidRPr="00415AB3" w14:paraId="7D8C3CF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569C0E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w:t>
            </w:r>
          </w:p>
        </w:tc>
        <w:tc>
          <w:tcPr>
            <w:tcW w:w="705" w:type="pct"/>
            <w:tcBorders>
              <w:top w:val="nil"/>
              <w:left w:val="nil"/>
              <w:bottom w:val="single" w:sz="4" w:space="0" w:color="auto"/>
              <w:right w:val="single" w:sz="4" w:space="0" w:color="auto"/>
            </w:tcBorders>
            <w:shd w:val="clear" w:color="auto" w:fill="auto"/>
            <w:noWrap/>
            <w:vAlign w:val="center"/>
            <w:hideMark/>
          </w:tcPr>
          <w:p w14:paraId="451B108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5054940000</w:t>
            </w:r>
          </w:p>
        </w:tc>
        <w:tc>
          <w:tcPr>
            <w:tcW w:w="547" w:type="pct"/>
            <w:tcBorders>
              <w:top w:val="nil"/>
              <w:left w:val="nil"/>
              <w:bottom w:val="single" w:sz="4" w:space="0" w:color="auto"/>
              <w:right w:val="single" w:sz="4" w:space="0" w:color="auto"/>
            </w:tcBorders>
            <w:shd w:val="clear" w:color="auto" w:fill="auto"/>
            <w:noWrap/>
            <w:vAlign w:val="center"/>
            <w:hideMark/>
          </w:tcPr>
          <w:p w14:paraId="3A55C90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17330246</w:t>
            </w:r>
          </w:p>
        </w:tc>
        <w:tc>
          <w:tcPr>
            <w:tcW w:w="3360" w:type="pct"/>
            <w:tcBorders>
              <w:top w:val="nil"/>
              <w:left w:val="nil"/>
              <w:bottom w:val="single" w:sz="4" w:space="0" w:color="auto"/>
              <w:right w:val="single" w:sz="4" w:space="0" w:color="auto"/>
            </w:tcBorders>
            <w:shd w:val="clear" w:color="auto" w:fill="auto"/>
            <w:vAlign w:val="center"/>
            <w:hideMark/>
          </w:tcPr>
          <w:p w14:paraId="080D33E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BOLNIŠNICA SEŽANA</w:t>
            </w:r>
          </w:p>
        </w:tc>
      </w:tr>
      <w:tr w:rsidR="00E3750C" w:rsidRPr="00415AB3" w14:paraId="34DC2A4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80CB89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w:t>
            </w:r>
          </w:p>
        </w:tc>
        <w:tc>
          <w:tcPr>
            <w:tcW w:w="705" w:type="pct"/>
            <w:tcBorders>
              <w:top w:val="nil"/>
              <w:left w:val="nil"/>
              <w:bottom w:val="single" w:sz="4" w:space="0" w:color="auto"/>
              <w:right w:val="single" w:sz="4" w:space="0" w:color="auto"/>
            </w:tcBorders>
            <w:shd w:val="clear" w:color="auto" w:fill="auto"/>
            <w:noWrap/>
            <w:vAlign w:val="center"/>
            <w:hideMark/>
          </w:tcPr>
          <w:p w14:paraId="6B1223F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5820570000</w:t>
            </w:r>
          </w:p>
        </w:tc>
        <w:tc>
          <w:tcPr>
            <w:tcW w:w="547" w:type="pct"/>
            <w:tcBorders>
              <w:top w:val="nil"/>
              <w:left w:val="nil"/>
              <w:bottom w:val="single" w:sz="4" w:space="0" w:color="auto"/>
              <w:right w:val="single" w:sz="4" w:space="0" w:color="auto"/>
            </w:tcBorders>
            <w:shd w:val="clear" w:color="auto" w:fill="auto"/>
            <w:noWrap/>
            <w:vAlign w:val="center"/>
            <w:hideMark/>
          </w:tcPr>
          <w:p w14:paraId="31F9990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64971635</w:t>
            </w:r>
          </w:p>
        </w:tc>
        <w:tc>
          <w:tcPr>
            <w:tcW w:w="3360" w:type="pct"/>
            <w:tcBorders>
              <w:top w:val="nil"/>
              <w:left w:val="nil"/>
              <w:bottom w:val="single" w:sz="4" w:space="0" w:color="auto"/>
              <w:right w:val="single" w:sz="4" w:space="0" w:color="auto"/>
            </w:tcBorders>
            <w:shd w:val="clear" w:color="auto" w:fill="auto"/>
            <w:vAlign w:val="center"/>
            <w:hideMark/>
          </w:tcPr>
          <w:p w14:paraId="4F70C90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BOLNIŠNICA TOPOLŠICA</w:t>
            </w:r>
          </w:p>
        </w:tc>
      </w:tr>
      <w:tr w:rsidR="00E3750C" w:rsidRPr="00415AB3" w14:paraId="1BF254D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D4F4D8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w:t>
            </w:r>
          </w:p>
        </w:tc>
        <w:tc>
          <w:tcPr>
            <w:tcW w:w="705" w:type="pct"/>
            <w:tcBorders>
              <w:top w:val="nil"/>
              <w:left w:val="nil"/>
              <w:bottom w:val="single" w:sz="4" w:space="0" w:color="auto"/>
              <w:right w:val="single" w:sz="4" w:space="0" w:color="auto"/>
            </w:tcBorders>
            <w:shd w:val="clear" w:color="auto" w:fill="auto"/>
            <w:noWrap/>
            <w:vAlign w:val="center"/>
            <w:hideMark/>
          </w:tcPr>
          <w:p w14:paraId="665EC69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5053820000</w:t>
            </w:r>
          </w:p>
        </w:tc>
        <w:tc>
          <w:tcPr>
            <w:tcW w:w="547" w:type="pct"/>
            <w:tcBorders>
              <w:top w:val="nil"/>
              <w:left w:val="nil"/>
              <w:bottom w:val="single" w:sz="4" w:space="0" w:color="auto"/>
              <w:right w:val="single" w:sz="4" w:space="0" w:color="auto"/>
            </w:tcBorders>
            <w:shd w:val="clear" w:color="auto" w:fill="auto"/>
            <w:noWrap/>
            <w:vAlign w:val="center"/>
            <w:hideMark/>
          </w:tcPr>
          <w:p w14:paraId="5CF509F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41851455</w:t>
            </w:r>
          </w:p>
        </w:tc>
        <w:tc>
          <w:tcPr>
            <w:tcW w:w="3360" w:type="pct"/>
            <w:tcBorders>
              <w:top w:val="nil"/>
              <w:left w:val="nil"/>
              <w:bottom w:val="single" w:sz="4" w:space="0" w:color="auto"/>
              <w:right w:val="single" w:sz="4" w:space="0" w:color="auto"/>
            </w:tcBorders>
            <w:shd w:val="clear" w:color="auto" w:fill="auto"/>
            <w:vAlign w:val="center"/>
            <w:hideMark/>
          </w:tcPr>
          <w:p w14:paraId="3F8CE9C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BOLNIŠNICA ZA GINEKOLOGIJO IN PORODNIŠTVO KRANJ</w:t>
            </w:r>
          </w:p>
        </w:tc>
      </w:tr>
      <w:tr w:rsidR="00E3750C" w:rsidRPr="00415AB3" w14:paraId="72FAE33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AAD56C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24</w:t>
            </w:r>
          </w:p>
        </w:tc>
        <w:tc>
          <w:tcPr>
            <w:tcW w:w="705" w:type="pct"/>
            <w:tcBorders>
              <w:top w:val="nil"/>
              <w:left w:val="nil"/>
              <w:bottom w:val="single" w:sz="4" w:space="0" w:color="auto"/>
              <w:right w:val="single" w:sz="4" w:space="0" w:color="auto"/>
            </w:tcBorders>
            <w:shd w:val="clear" w:color="auto" w:fill="auto"/>
            <w:noWrap/>
            <w:vAlign w:val="center"/>
            <w:hideMark/>
          </w:tcPr>
          <w:p w14:paraId="26E7039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5053650000</w:t>
            </w:r>
          </w:p>
        </w:tc>
        <w:tc>
          <w:tcPr>
            <w:tcW w:w="547" w:type="pct"/>
            <w:tcBorders>
              <w:top w:val="nil"/>
              <w:left w:val="nil"/>
              <w:bottom w:val="single" w:sz="4" w:space="0" w:color="auto"/>
              <w:right w:val="single" w:sz="4" w:space="0" w:color="auto"/>
            </w:tcBorders>
            <w:shd w:val="clear" w:color="auto" w:fill="auto"/>
            <w:noWrap/>
            <w:vAlign w:val="center"/>
            <w:hideMark/>
          </w:tcPr>
          <w:p w14:paraId="0782400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59445475</w:t>
            </w:r>
          </w:p>
        </w:tc>
        <w:tc>
          <w:tcPr>
            <w:tcW w:w="3360" w:type="pct"/>
            <w:tcBorders>
              <w:top w:val="nil"/>
              <w:left w:val="nil"/>
              <w:bottom w:val="single" w:sz="4" w:space="0" w:color="auto"/>
              <w:right w:val="single" w:sz="4" w:space="0" w:color="auto"/>
            </w:tcBorders>
            <w:shd w:val="clear" w:color="auto" w:fill="auto"/>
            <w:vAlign w:val="center"/>
            <w:hideMark/>
          </w:tcPr>
          <w:p w14:paraId="2AE01E6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BOLNIŠNICA ZA OTROKE ŠENTVID PRI STIČNI</w:t>
            </w:r>
          </w:p>
        </w:tc>
      </w:tr>
      <w:tr w:rsidR="00E3750C" w:rsidRPr="00415AB3" w14:paraId="1D50374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DEB2BE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25</w:t>
            </w:r>
          </w:p>
        </w:tc>
        <w:tc>
          <w:tcPr>
            <w:tcW w:w="705" w:type="pct"/>
            <w:tcBorders>
              <w:top w:val="nil"/>
              <w:left w:val="nil"/>
              <w:bottom w:val="single" w:sz="4" w:space="0" w:color="auto"/>
              <w:right w:val="single" w:sz="4" w:space="0" w:color="auto"/>
            </w:tcBorders>
            <w:shd w:val="clear" w:color="auto" w:fill="auto"/>
            <w:noWrap/>
            <w:vAlign w:val="center"/>
            <w:hideMark/>
          </w:tcPr>
          <w:p w14:paraId="62008AB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5779197000</w:t>
            </w:r>
          </w:p>
        </w:tc>
        <w:tc>
          <w:tcPr>
            <w:tcW w:w="547" w:type="pct"/>
            <w:tcBorders>
              <w:top w:val="nil"/>
              <w:left w:val="nil"/>
              <w:bottom w:val="single" w:sz="4" w:space="0" w:color="auto"/>
              <w:right w:val="single" w:sz="4" w:space="0" w:color="auto"/>
            </w:tcBorders>
            <w:shd w:val="clear" w:color="auto" w:fill="auto"/>
            <w:noWrap/>
            <w:vAlign w:val="center"/>
            <w:hideMark/>
          </w:tcPr>
          <w:p w14:paraId="49D799F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44498403</w:t>
            </w:r>
          </w:p>
        </w:tc>
        <w:tc>
          <w:tcPr>
            <w:tcW w:w="3360" w:type="pct"/>
            <w:tcBorders>
              <w:top w:val="nil"/>
              <w:left w:val="nil"/>
              <w:bottom w:val="single" w:sz="4" w:space="0" w:color="auto"/>
              <w:right w:val="single" w:sz="4" w:space="0" w:color="auto"/>
            </w:tcBorders>
            <w:shd w:val="clear" w:color="auto" w:fill="auto"/>
            <w:vAlign w:val="center"/>
            <w:hideMark/>
          </w:tcPr>
          <w:p w14:paraId="6F39F3F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BOLNIŠNICA ZA ŽENSKE BOLEZNI IN PORODNIŠTVO POSTOJNA</w:t>
            </w:r>
          </w:p>
        </w:tc>
      </w:tr>
      <w:tr w:rsidR="00E3750C" w:rsidRPr="00415AB3" w14:paraId="5C7C537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965404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26</w:t>
            </w:r>
          </w:p>
        </w:tc>
        <w:tc>
          <w:tcPr>
            <w:tcW w:w="705" w:type="pct"/>
            <w:tcBorders>
              <w:top w:val="nil"/>
              <w:left w:val="nil"/>
              <w:bottom w:val="single" w:sz="4" w:space="0" w:color="auto"/>
              <w:right w:val="single" w:sz="4" w:space="0" w:color="auto"/>
            </w:tcBorders>
            <w:shd w:val="clear" w:color="auto" w:fill="auto"/>
            <w:noWrap/>
            <w:vAlign w:val="center"/>
            <w:hideMark/>
          </w:tcPr>
          <w:p w14:paraId="2C6011C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1613383000</w:t>
            </w:r>
          </w:p>
        </w:tc>
        <w:tc>
          <w:tcPr>
            <w:tcW w:w="547" w:type="pct"/>
            <w:tcBorders>
              <w:top w:val="nil"/>
              <w:left w:val="nil"/>
              <w:bottom w:val="single" w:sz="4" w:space="0" w:color="auto"/>
              <w:right w:val="single" w:sz="4" w:space="0" w:color="auto"/>
            </w:tcBorders>
            <w:shd w:val="clear" w:color="auto" w:fill="auto"/>
            <w:noWrap/>
            <w:vAlign w:val="center"/>
            <w:hideMark/>
          </w:tcPr>
          <w:p w14:paraId="7C96D04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27799468</w:t>
            </w:r>
          </w:p>
        </w:tc>
        <w:tc>
          <w:tcPr>
            <w:tcW w:w="3360" w:type="pct"/>
            <w:tcBorders>
              <w:top w:val="nil"/>
              <w:left w:val="nil"/>
              <w:bottom w:val="single" w:sz="4" w:space="0" w:color="auto"/>
              <w:right w:val="single" w:sz="4" w:space="0" w:color="auto"/>
            </w:tcBorders>
            <w:shd w:val="clear" w:color="auto" w:fill="auto"/>
            <w:vAlign w:val="center"/>
            <w:hideMark/>
          </w:tcPr>
          <w:p w14:paraId="40C18E4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BORZEN, OPERATER TRGA Z ELEKTRIKO, D. O. O.</w:t>
            </w:r>
          </w:p>
        </w:tc>
      </w:tr>
      <w:tr w:rsidR="00E3750C" w:rsidRPr="00415AB3" w14:paraId="0917C64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89B115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27</w:t>
            </w:r>
          </w:p>
        </w:tc>
        <w:tc>
          <w:tcPr>
            <w:tcW w:w="705" w:type="pct"/>
            <w:tcBorders>
              <w:top w:val="nil"/>
              <w:left w:val="nil"/>
              <w:bottom w:val="single" w:sz="4" w:space="0" w:color="auto"/>
              <w:right w:val="single" w:sz="4" w:space="0" w:color="auto"/>
            </w:tcBorders>
            <w:shd w:val="clear" w:color="auto" w:fill="auto"/>
            <w:noWrap/>
            <w:vAlign w:val="center"/>
            <w:hideMark/>
          </w:tcPr>
          <w:p w14:paraId="5FF4FBE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5891019000</w:t>
            </w:r>
          </w:p>
        </w:tc>
        <w:tc>
          <w:tcPr>
            <w:tcW w:w="547" w:type="pct"/>
            <w:tcBorders>
              <w:top w:val="nil"/>
              <w:left w:val="nil"/>
              <w:bottom w:val="single" w:sz="4" w:space="0" w:color="auto"/>
              <w:right w:val="single" w:sz="4" w:space="0" w:color="auto"/>
            </w:tcBorders>
            <w:shd w:val="clear" w:color="auto" w:fill="auto"/>
            <w:noWrap/>
            <w:vAlign w:val="center"/>
            <w:hideMark/>
          </w:tcPr>
          <w:p w14:paraId="54711A8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32865597</w:t>
            </w:r>
          </w:p>
        </w:tc>
        <w:tc>
          <w:tcPr>
            <w:tcW w:w="3360" w:type="pct"/>
            <w:tcBorders>
              <w:top w:val="nil"/>
              <w:left w:val="nil"/>
              <w:bottom w:val="single" w:sz="4" w:space="0" w:color="auto"/>
              <w:right w:val="single" w:sz="4" w:space="0" w:color="auto"/>
            </w:tcBorders>
            <w:shd w:val="clear" w:color="auto" w:fill="auto"/>
            <w:vAlign w:val="center"/>
            <w:hideMark/>
          </w:tcPr>
          <w:p w14:paraId="12134A5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BSC, POSLOVNO PODPORNI CENTER, D.O.O., KRANJ</w:t>
            </w:r>
          </w:p>
        </w:tc>
      </w:tr>
      <w:tr w:rsidR="00E3750C" w:rsidRPr="00415AB3" w14:paraId="7F3E578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01E16A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28</w:t>
            </w:r>
          </w:p>
        </w:tc>
        <w:tc>
          <w:tcPr>
            <w:tcW w:w="705" w:type="pct"/>
            <w:tcBorders>
              <w:top w:val="nil"/>
              <w:left w:val="nil"/>
              <w:bottom w:val="single" w:sz="4" w:space="0" w:color="auto"/>
              <w:right w:val="single" w:sz="4" w:space="0" w:color="auto"/>
            </w:tcBorders>
            <w:shd w:val="clear" w:color="auto" w:fill="auto"/>
            <w:noWrap/>
            <w:vAlign w:val="center"/>
            <w:hideMark/>
          </w:tcPr>
          <w:p w14:paraId="4D584A2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5099471000</w:t>
            </w:r>
          </w:p>
        </w:tc>
        <w:tc>
          <w:tcPr>
            <w:tcW w:w="547" w:type="pct"/>
            <w:tcBorders>
              <w:top w:val="nil"/>
              <w:left w:val="nil"/>
              <w:bottom w:val="single" w:sz="4" w:space="0" w:color="auto"/>
              <w:right w:val="single" w:sz="4" w:space="0" w:color="auto"/>
            </w:tcBorders>
            <w:shd w:val="clear" w:color="auto" w:fill="auto"/>
            <w:noWrap/>
            <w:vAlign w:val="center"/>
            <w:hideMark/>
          </w:tcPr>
          <w:p w14:paraId="4F22990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27164136</w:t>
            </w:r>
          </w:p>
        </w:tc>
        <w:tc>
          <w:tcPr>
            <w:tcW w:w="3360" w:type="pct"/>
            <w:tcBorders>
              <w:top w:val="nil"/>
              <w:left w:val="nil"/>
              <w:bottom w:val="single" w:sz="4" w:space="0" w:color="auto"/>
              <w:right w:val="single" w:sz="4" w:space="0" w:color="auto"/>
            </w:tcBorders>
            <w:shd w:val="clear" w:color="auto" w:fill="auto"/>
            <w:vAlign w:val="center"/>
            <w:hideMark/>
          </w:tcPr>
          <w:p w14:paraId="7D569FD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CANKARJEV DOM, KULTURNI IN KONGRESNI CENTER</w:t>
            </w:r>
          </w:p>
        </w:tc>
      </w:tr>
      <w:tr w:rsidR="00E3750C" w:rsidRPr="00415AB3" w14:paraId="1AA0773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5B0322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29</w:t>
            </w:r>
          </w:p>
        </w:tc>
        <w:tc>
          <w:tcPr>
            <w:tcW w:w="705" w:type="pct"/>
            <w:tcBorders>
              <w:top w:val="nil"/>
              <w:left w:val="nil"/>
              <w:bottom w:val="single" w:sz="4" w:space="0" w:color="auto"/>
              <w:right w:val="single" w:sz="4" w:space="0" w:color="auto"/>
            </w:tcBorders>
            <w:shd w:val="clear" w:color="auto" w:fill="auto"/>
            <w:noWrap/>
            <w:vAlign w:val="center"/>
            <w:hideMark/>
          </w:tcPr>
          <w:p w14:paraId="2380DBD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5052394000</w:t>
            </w:r>
          </w:p>
        </w:tc>
        <w:tc>
          <w:tcPr>
            <w:tcW w:w="547" w:type="pct"/>
            <w:tcBorders>
              <w:top w:val="nil"/>
              <w:left w:val="nil"/>
              <w:bottom w:val="single" w:sz="4" w:space="0" w:color="auto"/>
              <w:right w:val="single" w:sz="4" w:space="0" w:color="auto"/>
            </w:tcBorders>
            <w:shd w:val="clear" w:color="auto" w:fill="auto"/>
            <w:noWrap/>
            <w:vAlign w:val="center"/>
            <w:hideMark/>
          </w:tcPr>
          <w:p w14:paraId="217F4AA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33782067</w:t>
            </w:r>
          </w:p>
        </w:tc>
        <w:tc>
          <w:tcPr>
            <w:tcW w:w="3360" w:type="pct"/>
            <w:tcBorders>
              <w:top w:val="nil"/>
              <w:left w:val="nil"/>
              <w:bottom w:val="single" w:sz="4" w:space="0" w:color="auto"/>
              <w:right w:val="single" w:sz="4" w:space="0" w:color="auto"/>
            </w:tcBorders>
            <w:shd w:val="clear" w:color="auto" w:fill="auto"/>
            <w:vAlign w:val="center"/>
            <w:hideMark/>
          </w:tcPr>
          <w:p w14:paraId="2B5FF0A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CANKARJEVA KNJIŽNICA VRHNIKA</w:t>
            </w:r>
          </w:p>
        </w:tc>
      </w:tr>
      <w:tr w:rsidR="00E3750C" w:rsidRPr="00415AB3" w14:paraId="05AF061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90B0B9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30</w:t>
            </w:r>
          </w:p>
        </w:tc>
        <w:tc>
          <w:tcPr>
            <w:tcW w:w="705" w:type="pct"/>
            <w:tcBorders>
              <w:top w:val="nil"/>
              <w:left w:val="nil"/>
              <w:bottom w:val="single" w:sz="4" w:space="0" w:color="auto"/>
              <w:right w:val="single" w:sz="4" w:space="0" w:color="auto"/>
            </w:tcBorders>
            <w:shd w:val="clear" w:color="auto" w:fill="auto"/>
            <w:noWrap/>
            <w:vAlign w:val="center"/>
            <w:hideMark/>
          </w:tcPr>
          <w:p w14:paraId="57C8950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5053617000</w:t>
            </w:r>
          </w:p>
        </w:tc>
        <w:tc>
          <w:tcPr>
            <w:tcW w:w="547" w:type="pct"/>
            <w:tcBorders>
              <w:top w:val="nil"/>
              <w:left w:val="nil"/>
              <w:bottom w:val="single" w:sz="4" w:space="0" w:color="auto"/>
              <w:right w:val="single" w:sz="4" w:space="0" w:color="auto"/>
            </w:tcBorders>
            <w:shd w:val="clear" w:color="auto" w:fill="auto"/>
            <w:noWrap/>
            <w:vAlign w:val="center"/>
            <w:hideMark/>
          </w:tcPr>
          <w:p w14:paraId="450AA42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96612401</w:t>
            </w:r>
          </w:p>
        </w:tc>
        <w:tc>
          <w:tcPr>
            <w:tcW w:w="3360" w:type="pct"/>
            <w:tcBorders>
              <w:top w:val="nil"/>
              <w:left w:val="nil"/>
              <w:bottom w:val="single" w:sz="4" w:space="0" w:color="auto"/>
              <w:right w:val="single" w:sz="4" w:space="0" w:color="auto"/>
            </w:tcBorders>
            <w:shd w:val="clear" w:color="auto" w:fill="auto"/>
            <w:vAlign w:val="center"/>
            <w:hideMark/>
          </w:tcPr>
          <w:p w14:paraId="44477DB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CELJSKE LEKARNE JAVNI LEKARNIŠKI ZAVOD</w:t>
            </w:r>
          </w:p>
        </w:tc>
      </w:tr>
      <w:tr w:rsidR="00E3750C" w:rsidRPr="00415AB3" w14:paraId="6328E151"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68958B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31</w:t>
            </w:r>
          </w:p>
        </w:tc>
        <w:tc>
          <w:tcPr>
            <w:tcW w:w="705" w:type="pct"/>
            <w:tcBorders>
              <w:top w:val="nil"/>
              <w:left w:val="nil"/>
              <w:bottom w:val="single" w:sz="4" w:space="0" w:color="auto"/>
              <w:right w:val="single" w:sz="4" w:space="0" w:color="auto"/>
            </w:tcBorders>
            <w:shd w:val="clear" w:color="auto" w:fill="auto"/>
            <w:noWrap/>
            <w:vAlign w:val="center"/>
            <w:hideMark/>
          </w:tcPr>
          <w:p w14:paraId="7E1CBBA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2024675000</w:t>
            </w:r>
          </w:p>
        </w:tc>
        <w:tc>
          <w:tcPr>
            <w:tcW w:w="547" w:type="pct"/>
            <w:tcBorders>
              <w:top w:val="nil"/>
              <w:left w:val="nil"/>
              <w:bottom w:val="single" w:sz="4" w:space="0" w:color="auto"/>
              <w:right w:val="single" w:sz="4" w:space="0" w:color="auto"/>
            </w:tcBorders>
            <w:shd w:val="clear" w:color="auto" w:fill="auto"/>
            <w:noWrap/>
            <w:vAlign w:val="center"/>
            <w:hideMark/>
          </w:tcPr>
          <w:p w14:paraId="2F57830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93902662</w:t>
            </w:r>
          </w:p>
        </w:tc>
        <w:tc>
          <w:tcPr>
            <w:tcW w:w="3360" w:type="pct"/>
            <w:tcBorders>
              <w:top w:val="nil"/>
              <w:left w:val="nil"/>
              <w:bottom w:val="single" w:sz="4" w:space="0" w:color="auto"/>
              <w:right w:val="single" w:sz="4" w:space="0" w:color="auto"/>
            </w:tcBorders>
            <w:shd w:val="clear" w:color="auto" w:fill="auto"/>
            <w:vAlign w:val="center"/>
            <w:hideMark/>
          </w:tcPr>
          <w:p w14:paraId="4B49A41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CELJSKI MLADINSKI CENTER, JAVNI ZAVOD ZA MLADINSKO KULTURO, IZOBRAŽEVANJE, INFORMIRANJE IN ŠPORT</w:t>
            </w:r>
          </w:p>
        </w:tc>
      </w:tr>
      <w:tr w:rsidR="00E3750C" w:rsidRPr="00415AB3" w14:paraId="00D226E5"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258CDE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32</w:t>
            </w:r>
          </w:p>
        </w:tc>
        <w:tc>
          <w:tcPr>
            <w:tcW w:w="705" w:type="pct"/>
            <w:tcBorders>
              <w:top w:val="nil"/>
              <w:left w:val="nil"/>
              <w:bottom w:val="single" w:sz="4" w:space="0" w:color="auto"/>
              <w:right w:val="single" w:sz="4" w:space="0" w:color="auto"/>
            </w:tcBorders>
            <w:shd w:val="clear" w:color="auto" w:fill="auto"/>
            <w:noWrap/>
            <w:vAlign w:val="center"/>
            <w:hideMark/>
          </w:tcPr>
          <w:p w14:paraId="13DFB27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5051134000</w:t>
            </w:r>
          </w:p>
        </w:tc>
        <w:tc>
          <w:tcPr>
            <w:tcW w:w="547" w:type="pct"/>
            <w:tcBorders>
              <w:top w:val="nil"/>
              <w:left w:val="nil"/>
              <w:bottom w:val="single" w:sz="4" w:space="0" w:color="auto"/>
              <w:right w:val="single" w:sz="4" w:space="0" w:color="auto"/>
            </w:tcBorders>
            <w:shd w:val="clear" w:color="auto" w:fill="auto"/>
            <w:noWrap/>
            <w:vAlign w:val="center"/>
            <w:hideMark/>
          </w:tcPr>
          <w:p w14:paraId="07CF5F9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94559899</w:t>
            </w:r>
          </w:p>
        </w:tc>
        <w:tc>
          <w:tcPr>
            <w:tcW w:w="3360" w:type="pct"/>
            <w:tcBorders>
              <w:top w:val="nil"/>
              <w:left w:val="nil"/>
              <w:bottom w:val="single" w:sz="4" w:space="0" w:color="auto"/>
              <w:right w:val="single" w:sz="4" w:space="0" w:color="auto"/>
            </w:tcBorders>
            <w:shd w:val="clear" w:color="auto" w:fill="auto"/>
            <w:vAlign w:val="center"/>
            <w:hideMark/>
          </w:tcPr>
          <w:p w14:paraId="3994140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CENTER IRIS - CENTER ZA IZOBRAŽEVANJE, REHABILITACIJO, INKLUZIJO IN SVETOVANJE ZA SLEPE IN SLABOVIDNE</w:t>
            </w:r>
          </w:p>
        </w:tc>
      </w:tr>
      <w:tr w:rsidR="00E3750C" w:rsidRPr="00415AB3" w14:paraId="1C216AA8"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92ACF7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33</w:t>
            </w:r>
          </w:p>
        </w:tc>
        <w:tc>
          <w:tcPr>
            <w:tcW w:w="705" w:type="pct"/>
            <w:tcBorders>
              <w:top w:val="nil"/>
              <w:left w:val="nil"/>
              <w:bottom w:val="single" w:sz="4" w:space="0" w:color="auto"/>
              <w:right w:val="single" w:sz="4" w:space="0" w:color="auto"/>
            </w:tcBorders>
            <w:shd w:val="clear" w:color="auto" w:fill="auto"/>
            <w:noWrap/>
            <w:vAlign w:val="center"/>
            <w:hideMark/>
          </w:tcPr>
          <w:p w14:paraId="1A65215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1833006000</w:t>
            </w:r>
          </w:p>
        </w:tc>
        <w:tc>
          <w:tcPr>
            <w:tcW w:w="547" w:type="pct"/>
            <w:tcBorders>
              <w:top w:val="nil"/>
              <w:left w:val="nil"/>
              <w:bottom w:val="single" w:sz="4" w:space="0" w:color="auto"/>
              <w:right w:val="single" w:sz="4" w:space="0" w:color="auto"/>
            </w:tcBorders>
            <w:shd w:val="clear" w:color="auto" w:fill="auto"/>
            <w:noWrap/>
            <w:vAlign w:val="center"/>
            <w:hideMark/>
          </w:tcPr>
          <w:p w14:paraId="34BD765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33171629</w:t>
            </w:r>
          </w:p>
        </w:tc>
        <w:tc>
          <w:tcPr>
            <w:tcW w:w="3360" w:type="pct"/>
            <w:tcBorders>
              <w:top w:val="nil"/>
              <w:left w:val="nil"/>
              <w:bottom w:val="single" w:sz="4" w:space="0" w:color="auto"/>
              <w:right w:val="single" w:sz="4" w:space="0" w:color="auto"/>
            </w:tcBorders>
            <w:shd w:val="clear" w:color="auto" w:fill="auto"/>
            <w:vAlign w:val="center"/>
            <w:hideMark/>
          </w:tcPr>
          <w:p w14:paraId="6371B45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CENTER REPUBLIKE SLOVENIJE ZA MOBILNOST IN EVROPSKE PROGRAME IZOBRAŽEVANJA IN USPOSABLJANJA</w:t>
            </w:r>
          </w:p>
        </w:tc>
      </w:tr>
      <w:tr w:rsidR="00E3750C" w:rsidRPr="00415AB3" w14:paraId="3E6025D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9056B6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34</w:t>
            </w:r>
          </w:p>
        </w:tc>
        <w:tc>
          <w:tcPr>
            <w:tcW w:w="705" w:type="pct"/>
            <w:tcBorders>
              <w:top w:val="nil"/>
              <w:left w:val="nil"/>
              <w:bottom w:val="single" w:sz="4" w:space="0" w:color="auto"/>
              <w:right w:val="single" w:sz="4" w:space="0" w:color="auto"/>
            </w:tcBorders>
            <w:shd w:val="clear" w:color="auto" w:fill="auto"/>
            <w:noWrap/>
            <w:vAlign w:val="center"/>
            <w:hideMark/>
          </w:tcPr>
          <w:p w14:paraId="6FF6F78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5910668000</w:t>
            </w:r>
          </w:p>
        </w:tc>
        <w:tc>
          <w:tcPr>
            <w:tcW w:w="547" w:type="pct"/>
            <w:tcBorders>
              <w:top w:val="nil"/>
              <w:left w:val="nil"/>
              <w:bottom w:val="single" w:sz="4" w:space="0" w:color="auto"/>
              <w:right w:val="single" w:sz="4" w:space="0" w:color="auto"/>
            </w:tcBorders>
            <w:shd w:val="clear" w:color="auto" w:fill="auto"/>
            <w:noWrap/>
            <w:vAlign w:val="center"/>
            <w:hideMark/>
          </w:tcPr>
          <w:p w14:paraId="708217E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44648537</w:t>
            </w:r>
          </w:p>
        </w:tc>
        <w:tc>
          <w:tcPr>
            <w:tcW w:w="3360" w:type="pct"/>
            <w:tcBorders>
              <w:top w:val="nil"/>
              <w:left w:val="nil"/>
              <w:bottom w:val="single" w:sz="4" w:space="0" w:color="auto"/>
              <w:right w:val="single" w:sz="4" w:space="0" w:color="auto"/>
            </w:tcBorders>
            <w:shd w:val="clear" w:color="auto" w:fill="auto"/>
            <w:vAlign w:val="center"/>
            <w:hideMark/>
          </w:tcPr>
          <w:p w14:paraId="49DD004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CENTER REPUBLIKE SLOVENIJE ZA POKLICNO IZOBRAŽEVANJE</w:t>
            </w:r>
          </w:p>
        </w:tc>
      </w:tr>
      <w:tr w:rsidR="00E3750C" w:rsidRPr="00415AB3" w14:paraId="0AE4EDB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997991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35</w:t>
            </w:r>
          </w:p>
        </w:tc>
        <w:tc>
          <w:tcPr>
            <w:tcW w:w="705" w:type="pct"/>
            <w:tcBorders>
              <w:top w:val="nil"/>
              <w:left w:val="nil"/>
              <w:bottom w:val="single" w:sz="4" w:space="0" w:color="auto"/>
              <w:right w:val="single" w:sz="4" w:space="0" w:color="auto"/>
            </w:tcBorders>
            <w:shd w:val="clear" w:color="auto" w:fill="auto"/>
            <w:noWrap/>
            <w:vAlign w:val="center"/>
            <w:hideMark/>
          </w:tcPr>
          <w:p w14:paraId="17D9033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5050715000</w:t>
            </w:r>
          </w:p>
        </w:tc>
        <w:tc>
          <w:tcPr>
            <w:tcW w:w="547" w:type="pct"/>
            <w:tcBorders>
              <w:top w:val="nil"/>
              <w:left w:val="nil"/>
              <w:bottom w:val="single" w:sz="4" w:space="0" w:color="auto"/>
              <w:right w:val="single" w:sz="4" w:space="0" w:color="auto"/>
            </w:tcBorders>
            <w:shd w:val="clear" w:color="auto" w:fill="auto"/>
            <w:noWrap/>
            <w:vAlign w:val="center"/>
            <w:hideMark/>
          </w:tcPr>
          <w:p w14:paraId="7B5D121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30350611</w:t>
            </w:r>
          </w:p>
        </w:tc>
        <w:tc>
          <w:tcPr>
            <w:tcW w:w="3360" w:type="pct"/>
            <w:tcBorders>
              <w:top w:val="nil"/>
              <w:left w:val="nil"/>
              <w:bottom w:val="single" w:sz="4" w:space="0" w:color="auto"/>
              <w:right w:val="single" w:sz="4" w:space="0" w:color="auto"/>
            </w:tcBorders>
            <w:shd w:val="clear" w:color="auto" w:fill="auto"/>
            <w:vAlign w:val="center"/>
            <w:hideMark/>
          </w:tcPr>
          <w:p w14:paraId="3C8D117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CENTER SLEPIH, SLABOVIDNIH IN STAREJŠIH ŠKOFJA LOKA</w:t>
            </w:r>
          </w:p>
        </w:tc>
      </w:tr>
      <w:tr w:rsidR="00E3750C" w:rsidRPr="00415AB3" w14:paraId="40FA5FF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B8017E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w:t>
            </w:r>
          </w:p>
        </w:tc>
        <w:tc>
          <w:tcPr>
            <w:tcW w:w="705" w:type="pct"/>
            <w:tcBorders>
              <w:top w:val="nil"/>
              <w:left w:val="nil"/>
              <w:bottom w:val="single" w:sz="4" w:space="0" w:color="auto"/>
              <w:right w:val="single" w:sz="4" w:space="0" w:color="auto"/>
            </w:tcBorders>
            <w:shd w:val="clear" w:color="auto" w:fill="auto"/>
            <w:noWrap/>
            <w:vAlign w:val="center"/>
            <w:hideMark/>
          </w:tcPr>
          <w:p w14:paraId="4C2239B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5671221000</w:t>
            </w:r>
          </w:p>
        </w:tc>
        <w:tc>
          <w:tcPr>
            <w:tcW w:w="547" w:type="pct"/>
            <w:tcBorders>
              <w:top w:val="nil"/>
              <w:left w:val="nil"/>
              <w:bottom w:val="single" w:sz="4" w:space="0" w:color="auto"/>
              <w:right w:val="single" w:sz="4" w:space="0" w:color="auto"/>
            </w:tcBorders>
            <w:shd w:val="clear" w:color="auto" w:fill="auto"/>
            <w:noWrap/>
            <w:vAlign w:val="center"/>
            <w:hideMark/>
          </w:tcPr>
          <w:p w14:paraId="580CBC7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89446046</w:t>
            </w:r>
          </w:p>
        </w:tc>
        <w:tc>
          <w:tcPr>
            <w:tcW w:w="3360" w:type="pct"/>
            <w:tcBorders>
              <w:top w:val="nil"/>
              <w:left w:val="nil"/>
              <w:bottom w:val="single" w:sz="4" w:space="0" w:color="auto"/>
              <w:right w:val="single" w:sz="4" w:space="0" w:color="auto"/>
            </w:tcBorders>
            <w:shd w:val="clear" w:color="auto" w:fill="auto"/>
            <w:vAlign w:val="center"/>
            <w:hideMark/>
          </w:tcPr>
          <w:p w14:paraId="7BA696F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CENTER ŠOLSKIH IN OBŠOLSKIH DEJAVNOSTI</w:t>
            </w:r>
          </w:p>
        </w:tc>
      </w:tr>
      <w:tr w:rsidR="00E3750C" w:rsidRPr="00415AB3" w14:paraId="6C710D6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0415A3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37</w:t>
            </w:r>
          </w:p>
        </w:tc>
        <w:tc>
          <w:tcPr>
            <w:tcW w:w="705" w:type="pct"/>
            <w:tcBorders>
              <w:top w:val="nil"/>
              <w:left w:val="nil"/>
              <w:bottom w:val="single" w:sz="4" w:space="0" w:color="auto"/>
              <w:right w:val="single" w:sz="4" w:space="0" w:color="auto"/>
            </w:tcBorders>
            <w:shd w:val="clear" w:color="auto" w:fill="auto"/>
            <w:noWrap/>
            <w:vAlign w:val="center"/>
            <w:hideMark/>
          </w:tcPr>
          <w:p w14:paraId="462F63C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3313069000</w:t>
            </w:r>
          </w:p>
        </w:tc>
        <w:tc>
          <w:tcPr>
            <w:tcW w:w="547" w:type="pct"/>
            <w:tcBorders>
              <w:top w:val="nil"/>
              <w:left w:val="nil"/>
              <w:bottom w:val="single" w:sz="4" w:space="0" w:color="auto"/>
              <w:right w:val="single" w:sz="4" w:space="0" w:color="auto"/>
            </w:tcBorders>
            <w:shd w:val="clear" w:color="auto" w:fill="auto"/>
            <w:noWrap/>
            <w:vAlign w:val="center"/>
            <w:hideMark/>
          </w:tcPr>
          <w:p w14:paraId="2314653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58809015</w:t>
            </w:r>
          </w:p>
        </w:tc>
        <w:tc>
          <w:tcPr>
            <w:tcW w:w="3360" w:type="pct"/>
            <w:tcBorders>
              <w:top w:val="nil"/>
              <w:left w:val="nil"/>
              <w:bottom w:val="single" w:sz="4" w:space="0" w:color="auto"/>
              <w:right w:val="single" w:sz="4" w:space="0" w:color="auto"/>
            </w:tcBorders>
            <w:shd w:val="clear" w:color="auto" w:fill="auto"/>
            <w:vAlign w:val="center"/>
            <w:hideMark/>
          </w:tcPr>
          <w:p w14:paraId="607B121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CENTER URBANE KULTURE KINO ŠIŠKA</w:t>
            </w:r>
          </w:p>
        </w:tc>
      </w:tr>
      <w:tr w:rsidR="00E3750C" w:rsidRPr="00415AB3" w14:paraId="3C142C7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81B686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38</w:t>
            </w:r>
          </w:p>
        </w:tc>
        <w:tc>
          <w:tcPr>
            <w:tcW w:w="705" w:type="pct"/>
            <w:tcBorders>
              <w:top w:val="nil"/>
              <w:left w:val="nil"/>
              <w:bottom w:val="single" w:sz="4" w:space="0" w:color="auto"/>
              <w:right w:val="single" w:sz="4" w:space="0" w:color="auto"/>
            </w:tcBorders>
            <w:shd w:val="clear" w:color="auto" w:fill="auto"/>
            <w:noWrap/>
            <w:vAlign w:val="center"/>
            <w:hideMark/>
          </w:tcPr>
          <w:p w14:paraId="5E82194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6558615000</w:t>
            </w:r>
          </w:p>
        </w:tc>
        <w:tc>
          <w:tcPr>
            <w:tcW w:w="547" w:type="pct"/>
            <w:tcBorders>
              <w:top w:val="nil"/>
              <w:left w:val="nil"/>
              <w:bottom w:val="single" w:sz="4" w:space="0" w:color="auto"/>
              <w:right w:val="single" w:sz="4" w:space="0" w:color="auto"/>
            </w:tcBorders>
            <w:shd w:val="clear" w:color="auto" w:fill="auto"/>
            <w:noWrap/>
            <w:vAlign w:val="center"/>
            <w:hideMark/>
          </w:tcPr>
          <w:p w14:paraId="40119AE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17102740</w:t>
            </w:r>
          </w:p>
        </w:tc>
        <w:tc>
          <w:tcPr>
            <w:tcW w:w="3360" w:type="pct"/>
            <w:tcBorders>
              <w:top w:val="nil"/>
              <w:left w:val="nil"/>
              <w:bottom w:val="single" w:sz="4" w:space="0" w:color="auto"/>
              <w:right w:val="single" w:sz="4" w:space="0" w:color="auto"/>
            </w:tcBorders>
            <w:shd w:val="clear" w:color="auto" w:fill="auto"/>
            <w:vAlign w:val="center"/>
            <w:hideMark/>
          </w:tcPr>
          <w:p w14:paraId="7E707A6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CENTER VESOLJSKIH TEHNOLOGIJ HERMANA POTOČNIKA NOORDUNGA</w:t>
            </w:r>
          </w:p>
        </w:tc>
      </w:tr>
      <w:tr w:rsidR="00E3750C" w:rsidRPr="00415AB3" w14:paraId="7D10724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CF9A3E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39</w:t>
            </w:r>
          </w:p>
        </w:tc>
        <w:tc>
          <w:tcPr>
            <w:tcW w:w="705" w:type="pct"/>
            <w:tcBorders>
              <w:top w:val="nil"/>
              <w:left w:val="nil"/>
              <w:bottom w:val="single" w:sz="4" w:space="0" w:color="auto"/>
              <w:right w:val="single" w:sz="4" w:space="0" w:color="auto"/>
            </w:tcBorders>
            <w:shd w:val="clear" w:color="auto" w:fill="auto"/>
            <w:noWrap/>
            <w:vAlign w:val="center"/>
            <w:hideMark/>
          </w:tcPr>
          <w:p w14:paraId="4012696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5269547000</w:t>
            </w:r>
          </w:p>
        </w:tc>
        <w:tc>
          <w:tcPr>
            <w:tcW w:w="547" w:type="pct"/>
            <w:tcBorders>
              <w:top w:val="nil"/>
              <w:left w:val="nil"/>
              <w:bottom w:val="single" w:sz="4" w:space="0" w:color="auto"/>
              <w:right w:val="single" w:sz="4" w:space="0" w:color="auto"/>
            </w:tcBorders>
            <w:shd w:val="clear" w:color="auto" w:fill="auto"/>
            <w:noWrap/>
            <w:vAlign w:val="center"/>
            <w:hideMark/>
          </w:tcPr>
          <w:p w14:paraId="1D62782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94367531</w:t>
            </w:r>
          </w:p>
        </w:tc>
        <w:tc>
          <w:tcPr>
            <w:tcW w:w="3360" w:type="pct"/>
            <w:tcBorders>
              <w:top w:val="nil"/>
              <w:left w:val="nil"/>
              <w:bottom w:val="single" w:sz="4" w:space="0" w:color="auto"/>
              <w:right w:val="single" w:sz="4" w:space="0" w:color="auto"/>
            </w:tcBorders>
            <w:shd w:val="clear" w:color="auto" w:fill="auto"/>
            <w:vAlign w:val="center"/>
            <w:hideMark/>
          </w:tcPr>
          <w:p w14:paraId="65A81A9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CENTER ZA DOPISNO IZOBRAŽEVANJE UNIVERZUM</w:t>
            </w:r>
          </w:p>
        </w:tc>
      </w:tr>
      <w:tr w:rsidR="00E3750C" w:rsidRPr="00415AB3" w14:paraId="78652A8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AFC4DA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40</w:t>
            </w:r>
          </w:p>
        </w:tc>
        <w:tc>
          <w:tcPr>
            <w:tcW w:w="705" w:type="pct"/>
            <w:tcBorders>
              <w:top w:val="nil"/>
              <w:left w:val="nil"/>
              <w:bottom w:val="single" w:sz="4" w:space="0" w:color="auto"/>
              <w:right w:val="single" w:sz="4" w:space="0" w:color="auto"/>
            </w:tcBorders>
            <w:shd w:val="clear" w:color="auto" w:fill="auto"/>
            <w:noWrap/>
            <w:vAlign w:val="center"/>
            <w:hideMark/>
          </w:tcPr>
          <w:p w14:paraId="3C3BED4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5102332000</w:t>
            </w:r>
          </w:p>
        </w:tc>
        <w:tc>
          <w:tcPr>
            <w:tcW w:w="547" w:type="pct"/>
            <w:tcBorders>
              <w:top w:val="nil"/>
              <w:left w:val="nil"/>
              <w:bottom w:val="single" w:sz="4" w:space="0" w:color="auto"/>
              <w:right w:val="single" w:sz="4" w:space="0" w:color="auto"/>
            </w:tcBorders>
            <w:shd w:val="clear" w:color="auto" w:fill="auto"/>
            <w:noWrap/>
            <w:vAlign w:val="center"/>
            <w:hideMark/>
          </w:tcPr>
          <w:p w14:paraId="620AFFD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32185782</w:t>
            </w:r>
          </w:p>
        </w:tc>
        <w:tc>
          <w:tcPr>
            <w:tcW w:w="3360" w:type="pct"/>
            <w:tcBorders>
              <w:top w:val="nil"/>
              <w:left w:val="nil"/>
              <w:bottom w:val="single" w:sz="4" w:space="0" w:color="auto"/>
              <w:right w:val="single" w:sz="4" w:space="0" w:color="auto"/>
            </w:tcBorders>
            <w:shd w:val="clear" w:color="auto" w:fill="auto"/>
            <w:vAlign w:val="center"/>
            <w:hideMark/>
          </w:tcPr>
          <w:p w14:paraId="5B0560F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CENTER ZA IZOBRAŽEVANJE IN KULTURO TREBNJE</w:t>
            </w:r>
          </w:p>
        </w:tc>
      </w:tr>
      <w:tr w:rsidR="00E3750C" w:rsidRPr="00415AB3" w14:paraId="1642E6CF"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C1E997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41</w:t>
            </w:r>
          </w:p>
        </w:tc>
        <w:tc>
          <w:tcPr>
            <w:tcW w:w="705" w:type="pct"/>
            <w:tcBorders>
              <w:top w:val="nil"/>
              <w:left w:val="nil"/>
              <w:bottom w:val="single" w:sz="4" w:space="0" w:color="auto"/>
              <w:right w:val="single" w:sz="4" w:space="0" w:color="auto"/>
            </w:tcBorders>
            <w:shd w:val="clear" w:color="auto" w:fill="auto"/>
            <w:noWrap/>
            <w:vAlign w:val="center"/>
            <w:hideMark/>
          </w:tcPr>
          <w:p w14:paraId="1CF1A10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5049768000</w:t>
            </w:r>
          </w:p>
        </w:tc>
        <w:tc>
          <w:tcPr>
            <w:tcW w:w="547" w:type="pct"/>
            <w:tcBorders>
              <w:top w:val="nil"/>
              <w:left w:val="nil"/>
              <w:bottom w:val="single" w:sz="4" w:space="0" w:color="auto"/>
              <w:right w:val="single" w:sz="4" w:space="0" w:color="auto"/>
            </w:tcBorders>
            <w:shd w:val="clear" w:color="auto" w:fill="auto"/>
            <w:noWrap/>
            <w:vAlign w:val="center"/>
            <w:hideMark/>
          </w:tcPr>
          <w:p w14:paraId="7CBB519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99621053</w:t>
            </w:r>
          </w:p>
        </w:tc>
        <w:tc>
          <w:tcPr>
            <w:tcW w:w="3360" w:type="pct"/>
            <w:tcBorders>
              <w:top w:val="nil"/>
              <w:left w:val="nil"/>
              <w:bottom w:val="single" w:sz="4" w:space="0" w:color="auto"/>
              <w:right w:val="single" w:sz="4" w:space="0" w:color="auto"/>
            </w:tcBorders>
            <w:shd w:val="clear" w:color="auto" w:fill="auto"/>
            <w:vAlign w:val="center"/>
            <w:hideMark/>
          </w:tcPr>
          <w:p w14:paraId="393736E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CENTER ZA IZOBRAŽEVANJE, REHABILITACIJO IN USPOSABLJANJE KAMNIK</w:t>
            </w:r>
          </w:p>
        </w:tc>
      </w:tr>
      <w:tr w:rsidR="00E3750C" w:rsidRPr="00415AB3" w14:paraId="16E37E5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F9D5C5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42</w:t>
            </w:r>
          </w:p>
        </w:tc>
        <w:tc>
          <w:tcPr>
            <w:tcW w:w="705" w:type="pct"/>
            <w:tcBorders>
              <w:top w:val="nil"/>
              <w:left w:val="nil"/>
              <w:bottom w:val="single" w:sz="4" w:space="0" w:color="auto"/>
              <w:right w:val="single" w:sz="4" w:space="0" w:color="auto"/>
            </w:tcBorders>
            <w:shd w:val="clear" w:color="auto" w:fill="auto"/>
            <w:noWrap/>
            <w:vAlign w:val="center"/>
            <w:hideMark/>
          </w:tcPr>
          <w:p w14:paraId="72EBE72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5049695000</w:t>
            </w:r>
          </w:p>
        </w:tc>
        <w:tc>
          <w:tcPr>
            <w:tcW w:w="547" w:type="pct"/>
            <w:tcBorders>
              <w:top w:val="nil"/>
              <w:left w:val="nil"/>
              <w:bottom w:val="single" w:sz="4" w:space="0" w:color="auto"/>
              <w:right w:val="single" w:sz="4" w:space="0" w:color="auto"/>
            </w:tcBorders>
            <w:shd w:val="clear" w:color="auto" w:fill="auto"/>
            <w:noWrap/>
            <w:vAlign w:val="center"/>
            <w:hideMark/>
          </w:tcPr>
          <w:p w14:paraId="5F0F4E1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38503034</w:t>
            </w:r>
          </w:p>
        </w:tc>
        <w:tc>
          <w:tcPr>
            <w:tcW w:w="3360" w:type="pct"/>
            <w:tcBorders>
              <w:top w:val="nil"/>
              <w:left w:val="nil"/>
              <w:bottom w:val="single" w:sz="4" w:space="0" w:color="auto"/>
              <w:right w:val="single" w:sz="4" w:space="0" w:color="auto"/>
            </w:tcBorders>
            <w:shd w:val="clear" w:color="auto" w:fill="auto"/>
            <w:vAlign w:val="center"/>
            <w:hideMark/>
          </w:tcPr>
          <w:p w14:paraId="69344FB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CENTER ZA IZOBRAŽEVANJE, REHABILITACIJO IN USPOSABLJANJE VIPAVA</w:t>
            </w:r>
          </w:p>
        </w:tc>
      </w:tr>
      <w:tr w:rsidR="00E3750C" w:rsidRPr="00415AB3" w14:paraId="015AE4D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071CAE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43</w:t>
            </w:r>
          </w:p>
        </w:tc>
        <w:tc>
          <w:tcPr>
            <w:tcW w:w="705" w:type="pct"/>
            <w:tcBorders>
              <w:top w:val="nil"/>
              <w:left w:val="nil"/>
              <w:bottom w:val="single" w:sz="4" w:space="0" w:color="auto"/>
              <w:right w:val="single" w:sz="4" w:space="0" w:color="auto"/>
            </w:tcBorders>
            <w:shd w:val="clear" w:color="auto" w:fill="auto"/>
            <w:noWrap/>
            <w:vAlign w:val="center"/>
            <w:hideMark/>
          </w:tcPr>
          <w:p w14:paraId="18820C3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5055393000</w:t>
            </w:r>
          </w:p>
        </w:tc>
        <w:tc>
          <w:tcPr>
            <w:tcW w:w="547" w:type="pct"/>
            <w:tcBorders>
              <w:top w:val="nil"/>
              <w:left w:val="nil"/>
              <w:bottom w:val="single" w:sz="4" w:space="0" w:color="auto"/>
              <w:right w:val="single" w:sz="4" w:space="0" w:color="auto"/>
            </w:tcBorders>
            <w:shd w:val="clear" w:color="auto" w:fill="auto"/>
            <w:noWrap/>
            <w:vAlign w:val="center"/>
            <w:hideMark/>
          </w:tcPr>
          <w:p w14:paraId="501A421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54026245</w:t>
            </w:r>
          </w:p>
        </w:tc>
        <w:tc>
          <w:tcPr>
            <w:tcW w:w="3360" w:type="pct"/>
            <w:tcBorders>
              <w:top w:val="nil"/>
              <w:left w:val="nil"/>
              <w:bottom w:val="single" w:sz="4" w:space="0" w:color="auto"/>
              <w:right w:val="single" w:sz="4" w:space="0" w:color="auto"/>
            </w:tcBorders>
            <w:shd w:val="clear" w:color="auto" w:fill="auto"/>
            <w:vAlign w:val="center"/>
            <w:hideMark/>
          </w:tcPr>
          <w:p w14:paraId="1A67209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CENTER ZA KOMUNIKACIJO, SLUH IN GOVOR PORTOROŽ</w:t>
            </w:r>
          </w:p>
        </w:tc>
      </w:tr>
      <w:tr w:rsidR="00E3750C" w:rsidRPr="00415AB3" w14:paraId="45531A8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70A536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44</w:t>
            </w:r>
          </w:p>
        </w:tc>
        <w:tc>
          <w:tcPr>
            <w:tcW w:w="705" w:type="pct"/>
            <w:tcBorders>
              <w:top w:val="nil"/>
              <w:left w:val="nil"/>
              <w:bottom w:val="single" w:sz="4" w:space="0" w:color="auto"/>
              <w:right w:val="single" w:sz="4" w:space="0" w:color="auto"/>
            </w:tcBorders>
            <w:shd w:val="clear" w:color="auto" w:fill="auto"/>
            <w:noWrap/>
            <w:vAlign w:val="center"/>
            <w:hideMark/>
          </w:tcPr>
          <w:p w14:paraId="022EE9A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1263323000</w:t>
            </w:r>
          </w:p>
        </w:tc>
        <w:tc>
          <w:tcPr>
            <w:tcW w:w="547" w:type="pct"/>
            <w:tcBorders>
              <w:top w:val="nil"/>
              <w:left w:val="nil"/>
              <w:bottom w:val="single" w:sz="4" w:space="0" w:color="auto"/>
              <w:right w:val="single" w:sz="4" w:space="0" w:color="auto"/>
            </w:tcBorders>
            <w:shd w:val="clear" w:color="auto" w:fill="auto"/>
            <w:noWrap/>
            <w:vAlign w:val="center"/>
            <w:hideMark/>
          </w:tcPr>
          <w:p w14:paraId="5CC61FA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36128503</w:t>
            </w:r>
          </w:p>
        </w:tc>
        <w:tc>
          <w:tcPr>
            <w:tcW w:w="3360" w:type="pct"/>
            <w:tcBorders>
              <w:top w:val="nil"/>
              <w:left w:val="nil"/>
              <w:bottom w:val="single" w:sz="4" w:space="0" w:color="auto"/>
              <w:right w:val="single" w:sz="4" w:space="0" w:color="auto"/>
            </w:tcBorders>
            <w:shd w:val="clear" w:color="auto" w:fill="auto"/>
            <w:vAlign w:val="center"/>
            <w:hideMark/>
          </w:tcPr>
          <w:p w14:paraId="37B8BDB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CENTER ZA PODJETNIŠTVO IN TURIZEM KRŠKO</w:t>
            </w:r>
          </w:p>
        </w:tc>
      </w:tr>
      <w:tr w:rsidR="00E3750C" w:rsidRPr="00415AB3" w14:paraId="1D1C88F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02E83D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45</w:t>
            </w:r>
          </w:p>
        </w:tc>
        <w:tc>
          <w:tcPr>
            <w:tcW w:w="705" w:type="pct"/>
            <w:tcBorders>
              <w:top w:val="nil"/>
              <w:left w:val="nil"/>
              <w:bottom w:val="single" w:sz="4" w:space="0" w:color="auto"/>
              <w:right w:val="single" w:sz="4" w:space="0" w:color="auto"/>
            </w:tcBorders>
            <w:shd w:val="clear" w:color="auto" w:fill="auto"/>
            <w:noWrap/>
            <w:vAlign w:val="center"/>
            <w:hideMark/>
          </w:tcPr>
          <w:p w14:paraId="3384A92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1694987000</w:t>
            </w:r>
          </w:p>
        </w:tc>
        <w:tc>
          <w:tcPr>
            <w:tcW w:w="547" w:type="pct"/>
            <w:tcBorders>
              <w:top w:val="nil"/>
              <w:left w:val="nil"/>
              <w:bottom w:val="single" w:sz="4" w:space="0" w:color="auto"/>
              <w:right w:val="single" w:sz="4" w:space="0" w:color="auto"/>
            </w:tcBorders>
            <w:shd w:val="clear" w:color="auto" w:fill="auto"/>
            <w:noWrap/>
            <w:vAlign w:val="center"/>
            <w:hideMark/>
          </w:tcPr>
          <w:p w14:paraId="035ABD3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62088351</w:t>
            </w:r>
          </w:p>
        </w:tc>
        <w:tc>
          <w:tcPr>
            <w:tcW w:w="3360" w:type="pct"/>
            <w:tcBorders>
              <w:top w:val="nil"/>
              <w:left w:val="nil"/>
              <w:bottom w:val="single" w:sz="4" w:space="0" w:color="auto"/>
              <w:right w:val="single" w:sz="4" w:space="0" w:color="auto"/>
            </w:tcBorders>
            <w:shd w:val="clear" w:color="auto" w:fill="auto"/>
            <w:vAlign w:val="center"/>
            <w:hideMark/>
          </w:tcPr>
          <w:p w14:paraId="4B191A8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CENTER ZA POMOČ NA DOMU MARIBOR</w:t>
            </w:r>
          </w:p>
        </w:tc>
      </w:tr>
      <w:tr w:rsidR="00E3750C" w:rsidRPr="00415AB3" w14:paraId="163DE60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ABE205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46</w:t>
            </w:r>
          </w:p>
        </w:tc>
        <w:tc>
          <w:tcPr>
            <w:tcW w:w="705" w:type="pct"/>
            <w:tcBorders>
              <w:top w:val="nil"/>
              <w:left w:val="nil"/>
              <w:bottom w:val="single" w:sz="4" w:space="0" w:color="auto"/>
              <w:right w:val="single" w:sz="4" w:space="0" w:color="auto"/>
            </w:tcBorders>
            <w:shd w:val="clear" w:color="auto" w:fill="auto"/>
            <w:noWrap/>
            <w:vAlign w:val="center"/>
            <w:hideMark/>
          </w:tcPr>
          <w:p w14:paraId="1AECDDC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2117711000</w:t>
            </w:r>
          </w:p>
        </w:tc>
        <w:tc>
          <w:tcPr>
            <w:tcW w:w="547" w:type="pct"/>
            <w:tcBorders>
              <w:top w:val="nil"/>
              <w:left w:val="nil"/>
              <w:bottom w:val="single" w:sz="4" w:space="0" w:color="auto"/>
              <w:right w:val="single" w:sz="4" w:space="0" w:color="auto"/>
            </w:tcBorders>
            <w:shd w:val="clear" w:color="auto" w:fill="auto"/>
            <w:noWrap/>
            <w:vAlign w:val="center"/>
            <w:hideMark/>
          </w:tcPr>
          <w:p w14:paraId="0C04685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64201643</w:t>
            </w:r>
          </w:p>
        </w:tc>
        <w:tc>
          <w:tcPr>
            <w:tcW w:w="3360" w:type="pct"/>
            <w:tcBorders>
              <w:top w:val="nil"/>
              <w:left w:val="nil"/>
              <w:bottom w:val="single" w:sz="4" w:space="0" w:color="auto"/>
              <w:right w:val="single" w:sz="4" w:space="0" w:color="auto"/>
            </w:tcBorders>
            <w:shd w:val="clear" w:color="auto" w:fill="auto"/>
            <w:vAlign w:val="center"/>
            <w:hideMark/>
          </w:tcPr>
          <w:p w14:paraId="2023BE0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CENTER ZA RAVNANJE Z ODPADKI ZASAVJE, D.O.O.</w:t>
            </w:r>
          </w:p>
        </w:tc>
      </w:tr>
      <w:tr w:rsidR="00E3750C" w:rsidRPr="00415AB3" w14:paraId="70EF8CD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FADE84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47</w:t>
            </w:r>
          </w:p>
        </w:tc>
        <w:tc>
          <w:tcPr>
            <w:tcW w:w="705" w:type="pct"/>
            <w:tcBorders>
              <w:top w:val="nil"/>
              <w:left w:val="nil"/>
              <w:bottom w:val="single" w:sz="4" w:space="0" w:color="auto"/>
              <w:right w:val="single" w:sz="4" w:space="0" w:color="auto"/>
            </w:tcBorders>
            <w:shd w:val="clear" w:color="auto" w:fill="auto"/>
            <w:noWrap/>
            <w:vAlign w:val="center"/>
            <w:hideMark/>
          </w:tcPr>
          <w:p w14:paraId="2DB4571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5054141000</w:t>
            </w:r>
          </w:p>
        </w:tc>
        <w:tc>
          <w:tcPr>
            <w:tcW w:w="547" w:type="pct"/>
            <w:tcBorders>
              <w:top w:val="nil"/>
              <w:left w:val="nil"/>
              <w:bottom w:val="single" w:sz="4" w:space="0" w:color="auto"/>
              <w:right w:val="single" w:sz="4" w:space="0" w:color="auto"/>
            </w:tcBorders>
            <w:shd w:val="clear" w:color="auto" w:fill="auto"/>
            <w:noWrap/>
            <w:vAlign w:val="center"/>
            <w:hideMark/>
          </w:tcPr>
          <w:p w14:paraId="7A7EC84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86790455</w:t>
            </w:r>
          </w:p>
        </w:tc>
        <w:tc>
          <w:tcPr>
            <w:tcW w:w="3360" w:type="pct"/>
            <w:tcBorders>
              <w:top w:val="nil"/>
              <w:left w:val="nil"/>
              <w:bottom w:val="single" w:sz="4" w:space="0" w:color="auto"/>
              <w:right w:val="single" w:sz="4" w:space="0" w:color="auto"/>
            </w:tcBorders>
            <w:shd w:val="clear" w:color="auto" w:fill="auto"/>
            <w:vAlign w:val="center"/>
            <w:hideMark/>
          </w:tcPr>
          <w:p w14:paraId="6CD6365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CENTER ZA SLUH IN GOVOR MARIBOR</w:t>
            </w:r>
          </w:p>
        </w:tc>
      </w:tr>
      <w:tr w:rsidR="00E3750C" w:rsidRPr="00415AB3" w14:paraId="424764E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0FAB08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48</w:t>
            </w:r>
          </w:p>
        </w:tc>
        <w:tc>
          <w:tcPr>
            <w:tcW w:w="705" w:type="pct"/>
            <w:tcBorders>
              <w:top w:val="nil"/>
              <w:left w:val="nil"/>
              <w:bottom w:val="single" w:sz="4" w:space="0" w:color="auto"/>
              <w:right w:val="single" w:sz="4" w:space="0" w:color="auto"/>
            </w:tcBorders>
            <w:shd w:val="clear" w:color="auto" w:fill="auto"/>
            <w:noWrap/>
            <w:vAlign w:val="center"/>
            <w:hideMark/>
          </w:tcPr>
          <w:p w14:paraId="1C5218B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8283630000</w:t>
            </w:r>
          </w:p>
        </w:tc>
        <w:tc>
          <w:tcPr>
            <w:tcW w:w="547" w:type="pct"/>
            <w:tcBorders>
              <w:top w:val="nil"/>
              <w:left w:val="nil"/>
              <w:bottom w:val="single" w:sz="4" w:space="0" w:color="auto"/>
              <w:right w:val="single" w:sz="4" w:space="0" w:color="auto"/>
            </w:tcBorders>
            <w:shd w:val="clear" w:color="auto" w:fill="auto"/>
            <w:noWrap/>
            <w:vAlign w:val="center"/>
            <w:hideMark/>
          </w:tcPr>
          <w:p w14:paraId="148ABB6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73356298</w:t>
            </w:r>
          </w:p>
        </w:tc>
        <w:tc>
          <w:tcPr>
            <w:tcW w:w="3360" w:type="pct"/>
            <w:tcBorders>
              <w:top w:val="nil"/>
              <w:left w:val="nil"/>
              <w:bottom w:val="single" w:sz="4" w:space="0" w:color="auto"/>
              <w:right w:val="single" w:sz="4" w:space="0" w:color="auto"/>
            </w:tcBorders>
            <w:shd w:val="clear" w:color="auto" w:fill="auto"/>
            <w:vAlign w:val="center"/>
            <w:hideMark/>
          </w:tcPr>
          <w:p w14:paraId="294474F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CENTER ZA SOCIALNO DELO CELJE</w:t>
            </w:r>
          </w:p>
        </w:tc>
      </w:tr>
      <w:tr w:rsidR="00E3750C" w:rsidRPr="00415AB3" w14:paraId="632423C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7F67E2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49</w:t>
            </w:r>
          </w:p>
        </w:tc>
        <w:tc>
          <w:tcPr>
            <w:tcW w:w="705" w:type="pct"/>
            <w:tcBorders>
              <w:top w:val="nil"/>
              <w:left w:val="nil"/>
              <w:bottom w:val="single" w:sz="4" w:space="0" w:color="auto"/>
              <w:right w:val="single" w:sz="4" w:space="0" w:color="auto"/>
            </w:tcBorders>
            <w:shd w:val="clear" w:color="auto" w:fill="auto"/>
            <w:noWrap/>
            <w:vAlign w:val="center"/>
            <w:hideMark/>
          </w:tcPr>
          <w:p w14:paraId="5651A92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8284725000</w:t>
            </w:r>
          </w:p>
        </w:tc>
        <w:tc>
          <w:tcPr>
            <w:tcW w:w="547" w:type="pct"/>
            <w:tcBorders>
              <w:top w:val="nil"/>
              <w:left w:val="nil"/>
              <w:bottom w:val="single" w:sz="4" w:space="0" w:color="auto"/>
              <w:right w:val="single" w:sz="4" w:space="0" w:color="auto"/>
            </w:tcBorders>
            <w:shd w:val="clear" w:color="auto" w:fill="auto"/>
            <w:noWrap/>
            <w:vAlign w:val="center"/>
            <w:hideMark/>
          </w:tcPr>
          <w:p w14:paraId="15D23B7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52033155</w:t>
            </w:r>
          </w:p>
        </w:tc>
        <w:tc>
          <w:tcPr>
            <w:tcW w:w="3360" w:type="pct"/>
            <w:tcBorders>
              <w:top w:val="nil"/>
              <w:left w:val="nil"/>
              <w:bottom w:val="single" w:sz="4" w:space="0" w:color="auto"/>
              <w:right w:val="single" w:sz="4" w:space="0" w:color="auto"/>
            </w:tcBorders>
            <w:shd w:val="clear" w:color="auto" w:fill="auto"/>
            <w:vAlign w:val="center"/>
            <w:hideMark/>
          </w:tcPr>
          <w:p w14:paraId="3D40345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CENTER ZA SOCIALNO DELO DOLENJSKA IN BELA KRAJINA</w:t>
            </w:r>
          </w:p>
        </w:tc>
      </w:tr>
      <w:tr w:rsidR="00E3750C" w:rsidRPr="00415AB3" w14:paraId="7037EFC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C7E4C8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w:t>
            </w:r>
          </w:p>
        </w:tc>
        <w:tc>
          <w:tcPr>
            <w:tcW w:w="705" w:type="pct"/>
            <w:tcBorders>
              <w:top w:val="nil"/>
              <w:left w:val="nil"/>
              <w:bottom w:val="single" w:sz="4" w:space="0" w:color="auto"/>
              <w:right w:val="single" w:sz="4" w:space="0" w:color="auto"/>
            </w:tcBorders>
            <w:shd w:val="clear" w:color="auto" w:fill="auto"/>
            <w:noWrap/>
            <w:vAlign w:val="center"/>
            <w:hideMark/>
          </w:tcPr>
          <w:p w14:paraId="144AEE2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8285411000</w:t>
            </w:r>
          </w:p>
        </w:tc>
        <w:tc>
          <w:tcPr>
            <w:tcW w:w="547" w:type="pct"/>
            <w:tcBorders>
              <w:top w:val="nil"/>
              <w:left w:val="nil"/>
              <w:bottom w:val="single" w:sz="4" w:space="0" w:color="auto"/>
              <w:right w:val="single" w:sz="4" w:space="0" w:color="auto"/>
            </w:tcBorders>
            <w:shd w:val="clear" w:color="auto" w:fill="auto"/>
            <w:noWrap/>
            <w:vAlign w:val="center"/>
            <w:hideMark/>
          </w:tcPr>
          <w:p w14:paraId="199FF61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57069174</w:t>
            </w:r>
          </w:p>
        </w:tc>
        <w:tc>
          <w:tcPr>
            <w:tcW w:w="3360" w:type="pct"/>
            <w:tcBorders>
              <w:top w:val="nil"/>
              <w:left w:val="nil"/>
              <w:bottom w:val="single" w:sz="4" w:space="0" w:color="auto"/>
              <w:right w:val="single" w:sz="4" w:space="0" w:color="auto"/>
            </w:tcBorders>
            <w:shd w:val="clear" w:color="auto" w:fill="auto"/>
            <w:vAlign w:val="center"/>
            <w:hideMark/>
          </w:tcPr>
          <w:p w14:paraId="28AF82C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CENTER ZA SOCIALNO DELO GORENJSKA</w:t>
            </w:r>
          </w:p>
        </w:tc>
      </w:tr>
      <w:tr w:rsidR="00E3750C" w:rsidRPr="00415AB3" w14:paraId="3D59064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CF6214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w:t>
            </w:r>
          </w:p>
        </w:tc>
        <w:tc>
          <w:tcPr>
            <w:tcW w:w="705" w:type="pct"/>
            <w:tcBorders>
              <w:top w:val="nil"/>
              <w:left w:val="nil"/>
              <w:bottom w:val="single" w:sz="4" w:space="0" w:color="auto"/>
              <w:right w:val="single" w:sz="4" w:space="0" w:color="auto"/>
            </w:tcBorders>
            <w:shd w:val="clear" w:color="auto" w:fill="auto"/>
            <w:noWrap/>
            <w:vAlign w:val="center"/>
            <w:hideMark/>
          </w:tcPr>
          <w:p w14:paraId="79664F3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8285632000</w:t>
            </w:r>
          </w:p>
        </w:tc>
        <w:tc>
          <w:tcPr>
            <w:tcW w:w="547" w:type="pct"/>
            <w:tcBorders>
              <w:top w:val="nil"/>
              <w:left w:val="nil"/>
              <w:bottom w:val="single" w:sz="4" w:space="0" w:color="auto"/>
              <w:right w:val="single" w:sz="4" w:space="0" w:color="auto"/>
            </w:tcBorders>
            <w:shd w:val="clear" w:color="auto" w:fill="auto"/>
            <w:noWrap/>
            <w:vAlign w:val="center"/>
            <w:hideMark/>
          </w:tcPr>
          <w:p w14:paraId="64F9EF4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52315819</w:t>
            </w:r>
          </w:p>
        </w:tc>
        <w:tc>
          <w:tcPr>
            <w:tcW w:w="3360" w:type="pct"/>
            <w:tcBorders>
              <w:top w:val="nil"/>
              <w:left w:val="nil"/>
              <w:bottom w:val="single" w:sz="4" w:space="0" w:color="auto"/>
              <w:right w:val="single" w:sz="4" w:space="0" w:color="auto"/>
            </w:tcBorders>
            <w:shd w:val="clear" w:color="auto" w:fill="auto"/>
            <w:vAlign w:val="center"/>
            <w:hideMark/>
          </w:tcPr>
          <w:p w14:paraId="635E8D2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CENTER ZA SOCIALNO DELO JUŽNA PRIMORSKA</w:t>
            </w:r>
          </w:p>
        </w:tc>
      </w:tr>
      <w:tr w:rsidR="00E3750C" w:rsidRPr="00415AB3" w14:paraId="0400147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B51A83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w:t>
            </w:r>
          </w:p>
        </w:tc>
        <w:tc>
          <w:tcPr>
            <w:tcW w:w="705" w:type="pct"/>
            <w:tcBorders>
              <w:top w:val="nil"/>
              <w:left w:val="nil"/>
              <w:bottom w:val="single" w:sz="4" w:space="0" w:color="auto"/>
              <w:right w:val="single" w:sz="4" w:space="0" w:color="auto"/>
            </w:tcBorders>
            <w:shd w:val="clear" w:color="auto" w:fill="auto"/>
            <w:noWrap/>
            <w:vAlign w:val="center"/>
            <w:hideMark/>
          </w:tcPr>
          <w:p w14:paraId="26AFB74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8282927000</w:t>
            </w:r>
          </w:p>
        </w:tc>
        <w:tc>
          <w:tcPr>
            <w:tcW w:w="547" w:type="pct"/>
            <w:tcBorders>
              <w:top w:val="nil"/>
              <w:left w:val="nil"/>
              <w:bottom w:val="single" w:sz="4" w:space="0" w:color="auto"/>
              <w:right w:val="single" w:sz="4" w:space="0" w:color="auto"/>
            </w:tcBorders>
            <w:shd w:val="clear" w:color="auto" w:fill="auto"/>
            <w:noWrap/>
            <w:vAlign w:val="center"/>
            <w:hideMark/>
          </w:tcPr>
          <w:p w14:paraId="3E15E79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15882314</w:t>
            </w:r>
          </w:p>
        </w:tc>
        <w:tc>
          <w:tcPr>
            <w:tcW w:w="3360" w:type="pct"/>
            <w:tcBorders>
              <w:top w:val="nil"/>
              <w:left w:val="nil"/>
              <w:bottom w:val="single" w:sz="4" w:space="0" w:color="auto"/>
              <w:right w:val="single" w:sz="4" w:space="0" w:color="auto"/>
            </w:tcBorders>
            <w:shd w:val="clear" w:color="auto" w:fill="auto"/>
            <w:vAlign w:val="center"/>
            <w:hideMark/>
          </w:tcPr>
          <w:p w14:paraId="696287C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CENTER ZA SOCIALNO DELO KOROŠKA</w:t>
            </w:r>
          </w:p>
        </w:tc>
      </w:tr>
      <w:tr w:rsidR="00E3750C" w:rsidRPr="00415AB3" w14:paraId="586B1CE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21F03E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53</w:t>
            </w:r>
          </w:p>
        </w:tc>
        <w:tc>
          <w:tcPr>
            <w:tcW w:w="705" w:type="pct"/>
            <w:tcBorders>
              <w:top w:val="nil"/>
              <w:left w:val="nil"/>
              <w:bottom w:val="single" w:sz="4" w:space="0" w:color="auto"/>
              <w:right w:val="single" w:sz="4" w:space="0" w:color="auto"/>
            </w:tcBorders>
            <w:shd w:val="clear" w:color="auto" w:fill="auto"/>
            <w:noWrap/>
            <w:vAlign w:val="center"/>
            <w:hideMark/>
          </w:tcPr>
          <w:p w14:paraId="4AE4D45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8288151000</w:t>
            </w:r>
          </w:p>
        </w:tc>
        <w:tc>
          <w:tcPr>
            <w:tcW w:w="547" w:type="pct"/>
            <w:tcBorders>
              <w:top w:val="nil"/>
              <w:left w:val="nil"/>
              <w:bottom w:val="single" w:sz="4" w:space="0" w:color="auto"/>
              <w:right w:val="single" w:sz="4" w:space="0" w:color="auto"/>
            </w:tcBorders>
            <w:shd w:val="clear" w:color="auto" w:fill="auto"/>
            <w:noWrap/>
            <w:vAlign w:val="center"/>
            <w:hideMark/>
          </w:tcPr>
          <w:p w14:paraId="47B2BBE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97282782</w:t>
            </w:r>
          </w:p>
        </w:tc>
        <w:tc>
          <w:tcPr>
            <w:tcW w:w="3360" w:type="pct"/>
            <w:tcBorders>
              <w:top w:val="nil"/>
              <w:left w:val="nil"/>
              <w:bottom w:val="single" w:sz="4" w:space="0" w:color="auto"/>
              <w:right w:val="single" w:sz="4" w:space="0" w:color="auto"/>
            </w:tcBorders>
            <w:shd w:val="clear" w:color="auto" w:fill="auto"/>
            <w:vAlign w:val="center"/>
            <w:hideMark/>
          </w:tcPr>
          <w:p w14:paraId="2EDFBD3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CENTER ZA SOCIALNO DELO LJUBLJANA</w:t>
            </w:r>
          </w:p>
        </w:tc>
      </w:tr>
      <w:tr w:rsidR="00E3750C" w:rsidRPr="00415AB3" w14:paraId="1178C34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040CB0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w:t>
            </w:r>
          </w:p>
        </w:tc>
        <w:tc>
          <w:tcPr>
            <w:tcW w:w="705" w:type="pct"/>
            <w:tcBorders>
              <w:top w:val="nil"/>
              <w:left w:val="nil"/>
              <w:bottom w:val="single" w:sz="4" w:space="0" w:color="auto"/>
              <w:right w:val="single" w:sz="4" w:space="0" w:color="auto"/>
            </w:tcBorders>
            <w:shd w:val="clear" w:color="auto" w:fill="auto"/>
            <w:noWrap/>
            <w:vAlign w:val="center"/>
            <w:hideMark/>
          </w:tcPr>
          <w:p w14:paraId="70B9576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8275009000</w:t>
            </w:r>
          </w:p>
        </w:tc>
        <w:tc>
          <w:tcPr>
            <w:tcW w:w="547" w:type="pct"/>
            <w:tcBorders>
              <w:top w:val="nil"/>
              <w:left w:val="nil"/>
              <w:bottom w:val="single" w:sz="4" w:space="0" w:color="auto"/>
              <w:right w:val="single" w:sz="4" w:space="0" w:color="auto"/>
            </w:tcBorders>
            <w:shd w:val="clear" w:color="auto" w:fill="auto"/>
            <w:noWrap/>
            <w:vAlign w:val="center"/>
            <w:hideMark/>
          </w:tcPr>
          <w:p w14:paraId="115A18E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61795461</w:t>
            </w:r>
          </w:p>
        </w:tc>
        <w:tc>
          <w:tcPr>
            <w:tcW w:w="3360" w:type="pct"/>
            <w:tcBorders>
              <w:top w:val="nil"/>
              <w:left w:val="nil"/>
              <w:bottom w:val="single" w:sz="4" w:space="0" w:color="auto"/>
              <w:right w:val="single" w:sz="4" w:space="0" w:color="auto"/>
            </w:tcBorders>
            <w:shd w:val="clear" w:color="auto" w:fill="auto"/>
            <w:vAlign w:val="center"/>
            <w:hideMark/>
          </w:tcPr>
          <w:p w14:paraId="487A28B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CENTER ZA SOCIALNO DELO MARIBOR</w:t>
            </w:r>
          </w:p>
        </w:tc>
      </w:tr>
      <w:tr w:rsidR="00E3750C" w:rsidRPr="00415AB3" w14:paraId="3CBDA38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0E9647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w:t>
            </w:r>
          </w:p>
        </w:tc>
        <w:tc>
          <w:tcPr>
            <w:tcW w:w="705" w:type="pct"/>
            <w:tcBorders>
              <w:top w:val="nil"/>
              <w:left w:val="nil"/>
              <w:bottom w:val="single" w:sz="4" w:space="0" w:color="auto"/>
              <w:right w:val="single" w:sz="4" w:space="0" w:color="auto"/>
            </w:tcBorders>
            <w:shd w:val="clear" w:color="auto" w:fill="auto"/>
            <w:noWrap/>
            <w:vAlign w:val="center"/>
            <w:hideMark/>
          </w:tcPr>
          <w:p w14:paraId="74C0475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8286957000</w:t>
            </w:r>
          </w:p>
        </w:tc>
        <w:tc>
          <w:tcPr>
            <w:tcW w:w="547" w:type="pct"/>
            <w:tcBorders>
              <w:top w:val="nil"/>
              <w:left w:val="nil"/>
              <w:bottom w:val="single" w:sz="4" w:space="0" w:color="auto"/>
              <w:right w:val="single" w:sz="4" w:space="0" w:color="auto"/>
            </w:tcBorders>
            <w:shd w:val="clear" w:color="auto" w:fill="auto"/>
            <w:noWrap/>
            <w:vAlign w:val="center"/>
            <w:hideMark/>
          </w:tcPr>
          <w:p w14:paraId="0F7D456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94756562</w:t>
            </w:r>
          </w:p>
        </w:tc>
        <w:tc>
          <w:tcPr>
            <w:tcW w:w="3360" w:type="pct"/>
            <w:tcBorders>
              <w:top w:val="nil"/>
              <w:left w:val="nil"/>
              <w:bottom w:val="single" w:sz="4" w:space="0" w:color="auto"/>
              <w:right w:val="single" w:sz="4" w:space="0" w:color="auto"/>
            </w:tcBorders>
            <w:shd w:val="clear" w:color="auto" w:fill="auto"/>
            <w:vAlign w:val="center"/>
            <w:hideMark/>
          </w:tcPr>
          <w:p w14:paraId="53DC127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CENTER ZA SOCIALNO DELO OSREDNJA SLOVENIJA - VZHOD</w:t>
            </w:r>
          </w:p>
        </w:tc>
      </w:tr>
      <w:tr w:rsidR="00E3750C" w:rsidRPr="00415AB3" w14:paraId="4A5064B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237E17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w:t>
            </w:r>
          </w:p>
        </w:tc>
        <w:tc>
          <w:tcPr>
            <w:tcW w:w="705" w:type="pct"/>
            <w:tcBorders>
              <w:top w:val="nil"/>
              <w:left w:val="nil"/>
              <w:bottom w:val="single" w:sz="4" w:space="0" w:color="auto"/>
              <w:right w:val="single" w:sz="4" w:space="0" w:color="auto"/>
            </w:tcBorders>
            <w:shd w:val="clear" w:color="auto" w:fill="auto"/>
            <w:noWrap/>
            <w:vAlign w:val="center"/>
            <w:hideMark/>
          </w:tcPr>
          <w:p w14:paraId="44D06CA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8286728000</w:t>
            </w:r>
          </w:p>
        </w:tc>
        <w:tc>
          <w:tcPr>
            <w:tcW w:w="547" w:type="pct"/>
            <w:tcBorders>
              <w:top w:val="nil"/>
              <w:left w:val="nil"/>
              <w:bottom w:val="single" w:sz="4" w:space="0" w:color="auto"/>
              <w:right w:val="single" w:sz="4" w:space="0" w:color="auto"/>
            </w:tcBorders>
            <w:shd w:val="clear" w:color="auto" w:fill="auto"/>
            <w:noWrap/>
            <w:vAlign w:val="center"/>
            <w:hideMark/>
          </w:tcPr>
          <w:p w14:paraId="0AE4991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27448657</w:t>
            </w:r>
          </w:p>
        </w:tc>
        <w:tc>
          <w:tcPr>
            <w:tcW w:w="3360" w:type="pct"/>
            <w:tcBorders>
              <w:top w:val="nil"/>
              <w:left w:val="nil"/>
              <w:bottom w:val="single" w:sz="4" w:space="0" w:color="auto"/>
              <w:right w:val="single" w:sz="4" w:space="0" w:color="auto"/>
            </w:tcBorders>
            <w:shd w:val="clear" w:color="auto" w:fill="auto"/>
            <w:vAlign w:val="center"/>
            <w:hideMark/>
          </w:tcPr>
          <w:p w14:paraId="7ED19BB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CENTER ZA SOCIALNO DELO OSREDNJA SLOVENIJA - ZAHOD</w:t>
            </w:r>
          </w:p>
        </w:tc>
      </w:tr>
      <w:tr w:rsidR="00E3750C" w:rsidRPr="00415AB3" w14:paraId="42C1AE5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934D69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w:t>
            </w:r>
          </w:p>
        </w:tc>
        <w:tc>
          <w:tcPr>
            <w:tcW w:w="705" w:type="pct"/>
            <w:tcBorders>
              <w:top w:val="nil"/>
              <w:left w:val="nil"/>
              <w:bottom w:val="single" w:sz="4" w:space="0" w:color="auto"/>
              <w:right w:val="single" w:sz="4" w:space="0" w:color="auto"/>
            </w:tcBorders>
            <w:shd w:val="clear" w:color="auto" w:fill="auto"/>
            <w:noWrap/>
            <w:vAlign w:val="center"/>
            <w:hideMark/>
          </w:tcPr>
          <w:p w14:paraId="4B18257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8284806000</w:t>
            </w:r>
          </w:p>
        </w:tc>
        <w:tc>
          <w:tcPr>
            <w:tcW w:w="547" w:type="pct"/>
            <w:tcBorders>
              <w:top w:val="nil"/>
              <w:left w:val="nil"/>
              <w:bottom w:val="single" w:sz="4" w:space="0" w:color="auto"/>
              <w:right w:val="single" w:sz="4" w:space="0" w:color="auto"/>
            </w:tcBorders>
            <w:shd w:val="clear" w:color="auto" w:fill="auto"/>
            <w:noWrap/>
            <w:vAlign w:val="center"/>
            <w:hideMark/>
          </w:tcPr>
          <w:p w14:paraId="7862D15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42694795</w:t>
            </w:r>
          </w:p>
        </w:tc>
        <w:tc>
          <w:tcPr>
            <w:tcW w:w="3360" w:type="pct"/>
            <w:tcBorders>
              <w:top w:val="nil"/>
              <w:left w:val="nil"/>
              <w:bottom w:val="single" w:sz="4" w:space="0" w:color="auto"/>
              <w:right w:val="single" w:sz="4" w:space="0" w:color="auto"/>
            </w:tcBorders>
            <w:shd w:val="clear" w:color="auto" w:fill="auto"/>
            <w:vAlign w:val="center"/>
            <w:hideMark/>
          </w:tcPr>
          <w:p w14:paraId="0206323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CENTER ZA SOCIALNO DELO POMURJE</w:t>
            </w:r>
          </w:p>
        </w:tc>
      </w:tr>
      <w:tr w:rsidR="00E3750C" w:rsidRPr="00415AB3" w14:paraId="1C46BB3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B492BB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w:t>
            </w:r>
          </w:p>
        </w:tc>
        <w:tc>
          <w:tcPr>
            <w:tcW w:w="705" w:type="pct"/>
            <w:tcBorders>
              <w:top w:val="nil"/>
              <w:left w:val="nil"/>
              <w:bottom w:val="single" w:sz="4" w:space="0" w:color="auto"/>
              <w:right w:val="single" w:sz="4" w:space="0" w:color="auto"/>
            </w:tcBorders>
            <w:shd w:val="clear" w:color="auto" w:fill="auto"/>
            <w:noWrap/>
            <w:vAlign w:val="center"/>
            <w:hideMark/>
          </w:tcPr>
          <w:p w14:paraId="611E4D7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8283770000</w:t>
            </w:r>
          </w:p>
        </w:tc>
        <w:tc>
          <w:tcPr>
            <w:tcW w:w="547" w:type="pct"/>
            <w:tcBorders>
              <w:top w:val="nil"/>
              <w:left w:val="nil"/>
              <w:bottom w:val="single" w:sz="4" w:space="0" w:color="auto"/>
              <w:right w:val="single" w:sz="4" w:space="0" w:color="auto"/>
            </w:tcBorders>
            <w:shd w:val="clear" w:color="auto" w:fill="auto"/>
            <w:noWrap/>
            <w:vAlign w:val="center"/>
            <w:hideMark/>
          </w:tcPr>
          <w:p w14:paraId="628DB29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14765853</w:t>
            </w:r>
          </w:p>
        </w:tc>
        <w:tc>
          <w:tcPr>
            <w:tcW w:w="3360" w:type="pct"/>
            <w:tcBorders>
              <w:top w:val="nil"/>
              <w:left w:val="nil"/>
              <w:bottom w:val="single" w:sz="4" w:space="0" w:color="auto"/>
              <w:right w:val="single" w:sz="4" w:space="0" w:color="auto"/>
            </w:tcBorders>
            <w:shd w:val="clear" w:color="auto" w:fill="auto"/>
            <w:vAlign w:val="center"/>
            <w:hideMark/>
          </w:tcPr>
          <w:p w14:paraId="7109B3E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CENTER ZA SOCIALNO DELO POSAVJE</w:t>
            </w:r>
          </w:p>
        </w:tc>
      </w:tr>
      <w:tr w:rsidR="00E3750C" w:rsidRPr="00415AB3" w14:paraId="5A897C2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0883BC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w:t>
            </w:r>
          </w:p>
        </w:tc>
        <w:tc>
          <w:tcPr>
            <w:tcW w:w="705" w:type="pct"/>
            <w:tcBorders>
              <w:top w:val="nil"/>
              <w:left w:val="nil"/>
              <w:bottom w:val="single" w:sz="4" w:space="0" w:color="auto"/>
              <w:right w:val="single" w:sz="4" w:space="0" w:color="auto"/>
            </w:tcBorders>
            <w:shd w:val="clear" w:color="auto" w:fill="auto"/>
            <w:noWrap/>
            <w:vAlign w:val="center"/>
            <w:hideMark/>
          </w:tcPr>
          <w:p w14:paraId="6569966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8283583000</w:t>
            </w:r>
          </w:p>
        </w:tc>
        <w:tc>
          <w:tcPr>
            <w:tcW w:w="547" w:type="pct"/>
            <w:tcBorders>
              <w:top w:val="nil"/>
              <w:left w:val="nil"/>
              <w:bottom w:val="single" w:sz="4" w:space="0" w:color="auto"/>
              <w:right w:val="single" w:sz="4" w:space="0" w:color="auto"/>
            </w:tcBorders>
            <w:shd w:val="clear" w:color="auto" w:fill="auto"/>
            <w:noWrap/>
            <w:vAlign w:val="center"/>
            <w:hideMark/>
          </w:tcPr>
          <w:p w14:paraId="1EBCFE1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99388685</w:t>
            </w:r>
          </w:p>
        </w:tc>
        <w:tc>
          <w:tcPr>
            <w:tcW w:w="3360" w:type="pct"/>
            <w:tcBorders>
              <w:top w:val="nil"/>
              <w:left w:val="nil"/>
              <w:bottom w:val="single" w:sz="4" w:space="0" w:color="auto"/>
              <w:right w:val="single" w:sz="4" w:space="0" w:color="auto"/>
            </w:tcBorders>
            <w:shd w:val="clear" w:color="auto" w:fill="auto"/>
            <w:vAlign w:val="center"/>
            <w:hideMark/>
          </w:tcPr>
          <w:p w14:paraId="536B683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CENTER ZA SOCIALNO DELO SAVINJSKO-ŠALEŠKA</w:t>
            </w:r>
          </w:p>
        </w:tc>
      </w:tr>
      <w:tr w:rsidR="00E3750C" w:rsidRPr="00415AB3" w14:paraId="3ED2C8D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76D38F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60</w:t>
            </w:r>
          </w:p>
        </w:tc>
        <w:tc>
          <w:tcPr>
            <w:tcW w:w="705" w:type="pct"/>
            <w:tcBorders>
              <w:top w:val="nil"/>
              <w:left w:val="nil"/>
              <w:bottom w:val="single" w:sz="4" w:space="0" w:color="auto"/>
              <w:right w:val="single" w:sz="4" w:space="0" w:color="auto"/>
            </w:tcBorders>
            <w:shd w:val="clear" w:color="auto" w:fill="auto"/>
            <w:noWrap/>
            <w:vAlign w:val="center"/>
            <w:hideMark/>
          </w:tcPr>
          <w:p w14:paraId="642F302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8284857000</w:t>
            </w:r>
          </w:p>
        </w:tc>
        <w:tc>
          <w:tcPr>
            <w:tcW w:w="547" w:type="pct"/>
            <w:tcBorders>
              <w:top w:val="nil"/>
              <w:left w:val="nil"/>
              <w:bottom w:val="single" w:sz="4" w:space="0" w:color="auto"/>
              <w:right w:val="single" w:sz="4" w:space="0" w:color="auto"/>
            </w:tcBorders>
            <w:shd w:val="clear" w:color="auto" w:fill="auto"/>
            <w:noWrap/>
            <w:vAlign w:val="center"/>
            <w:hideMark/>
          </w:tcPr>
          <w:p w14:paraId="0157FD0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93702183</w:t>
            </w:r>
          </w:p>
        </w:tc>
        <w:tc>
          <w:tcPr>
            <w:tcW w:w="3360" w:type="pct"/>
            <w:tcBorders>
              <w:top w:val="nil"/>
              <w:left w:val="nil"/>
              <w:bottom w:val="single" w:sz="4" w:space="0" w:color="auto"/>
              <w:right w:val="single" w:sz="4" w:space="0" w:color="auto"/>
            </w:tcBorders>
            <w:shd w:val="clear" w:color="auto" w:fill="auto"/>
            <w:vAlign w:val="center"/>
            <w:hideMark/>
          </w:tcPr>
          <w:p w14:paraId="27929E6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CENTER ZA SOCIALNO DELO SEVERNA PRIMORSKA</w:t>
            </w:r>
          </w:p>
        </w:tc>
      </w:tr>
      <w:tr w:rsidR="00E3750C" w:rsidRPr="00415AB3" w14:paraId="73A74F0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77041D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61</w:t>
            </w:r>
          </w:p>
        </w:tc>
        <w:tc>
          <w:tcPr>
            <w:tcW w:w="705" w:type="pct"/>
            <w:tcBorders>
              <w:top w:val="nil"/>
              <w:left w:val="nil"/>
              <w:bottom w:val="single" w:sz="4" w:space="0" w:color="auto"/>
              <w:right w:val="single" w:sz="4" w:space="0" w:color="auto"/>
            </w:tcBorders>
            <w:shd w:val="clear" w:color="auto" w:fill="auto"/>
            <w:noWrap/>
            <w:vAlign w:val="center"/>
            <w:hideMark/>
          </w:tcPr>
          <w:p w14:paraId="689A301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8285233000</w:t>
            </w:r>
          </w:p>
        </w:tc>
        <w:tc>
          <w:tcPr>
            <w:tcW w:w="547" w:type="pct"/>
            <w:tcBorders>
              <w:top w:val="nil"/>
              <w:left w:val="nil"/>
              <w:bottom w:val="single" w:sz="4" w:space="0" w:color="auto"/>
              <w:right w:val="single" w:sz="4" w:space="0" w:color="auto"/>
            </w:tcBorders>
            <w:shd w:val="clear" w:color="auto" w:fill="auto"/>
            <w:noWrap/>
            <w:vAlign w:val="center"/>
            <w:hideMark/>
          </w:tcPr>
          <w:p w14:paraId="7E33C68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70569606</w:t>
            </w:r>
          </w:p>
        </w:tc>
        <w:tc>
          <w:tcPr>
            <w:tcW w:w="3360" w:type="pct"/>
            <w:tcBorders>
              <w:top w:val="nil"/>
              <w:left w:val="nil"/>
              <w:bottom w:val="single" w:sz="4" w:space="0" w:color="auto"/>
              <w:right w:val="single" w:sz="4" w:space="0" w:color="auto"/>
            </w:tcBorders>
            <w:shd w:val="clear" w:color="auto" w:fill="auto"/>
            <w:vAlign w:val="center"/>
            <w:hideMark/>
          </w:tcPr>
          <w:p w14:paraId="235449F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CENTER ZA SOCIALNO DELO SPODNJE PODRAVJE</w:t>
            </w:r>
          </w:p>
        </w:tc>
      </w:tr>
      <w:tr w:rsidR="00E3750C" w:rsidRPr="00415AB3" w14:paraId="31944D3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490348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62</w:t>
            </w:r>
          </w:p>
        </w:tc>
        <w:tc>
          <w:tcPr>
            <w:tcW w:w="705" w:type="pct"/>
            <w:tcBorders>
              <w:top w:val="nil"/>
              <w:left w:val="nil"/>
              <w:bottom w:val="single" w:sz="4" w:space="0" w:color="auto"/>
              <w:right w:val="single" w:sz="4" w:space="0" w:color="auto"/>
            </w:tcBorders>
            <w:shd w:val="clear" w:color="auto" w:fill="auto"/>
            <w:noWrap/>
            <w:vAlign w:val="center"/>
            <w:hideMark/>
          </w:tcPr>
          <w:p w14:paraId="5B3D2A9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6551211000</w:t>
            </w:r>
          </w:p>
        </w:tc>
        <w:tc>
          <w:tcPr>
            <w:tcW w:w="547" w:type="pct"/>
            <w:tcBorders>
              <w:top w:val="nil"/>
              <w:left w:val="nil"/>
              <w:bottom w:val="single" w:sz="4" w:space="0" w:color="auto"/>
              <w:right w:val="single" w:sz="4" w:space="0" w:color="auto"/>
            </w:tcBorders>
            <w:shd w:val="clear" w:color="auto" w:fill="auto"/>
            <w:noWrap/>
            <w:vAlign w:val="center"/>
            <w:hideMark/>
          </w:tcPr>
          <w:p w14:paraId="5497B83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59075899</w:t>
            </w:r>
          </w:p>
        </w:tc>
        <w:tc>
          <w:tcPr>
            <w:tcW w:w="3360" w:type="pct"/>
            <w:tcBorders>
              <w:top w:val="nil"/>
              <w:left w:val="nil"/>
              <w:bottom w:val="single" w:sz="4" w:space="0" w:color="auto"/>
              <w:right w:val="single" w:sz="4" w:space="0" w:color="auto"/>
            </w:tcBorders>
            <w:shd w:val="clear" w:color="auto" w:fill="auto"/>
            <w:vAlign w:val="center"/>
            <w:hideMark/>
          </w:tcPr>
          <w:p w14:paraId="5B82521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CENTER ZA UPRAVLJANJE Z DEDIŠČINO ŽIVEGA SREBRA IDRIJA</w:t>
            </w:r>
          </w:p>
        </w:tc>
      </w:tr>
      <w:tr w:rsidR="00E3750C" w:rsidRPr="00415AB3" w14:paraId="60F10E9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1622EE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63</w:t>
            </w:r>
          </w:p>
        </w:tc>
        <w:tc>
          <w:tcPr>
            <w:tcW w:w="705" w:type="pct"/>
            <w:tcBorders>
              <w:top w:val="nil"/>
              <w:left w:val="nil"/>
              <w:bottom w:val="single" w:sz="4" w:space="0" w:color="auto"/>
              <w:right w:val="single" w:sz="4" w:space="0" w:color="auto"/>
            </w:tcBorders>
            <w:shd w:val="clear" w:color="auto" w:fill="auto"/>
            <w:noWrap/>
            <w:vAlign w:val="center"/>
            <w:hideMark/>
          </w:tcPr>
          <w:p w14:paraId="4EAE7FE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5055792000</w:t>
            </w:r>
          </w:p>
        </w:tc>
        <w:tc>
          <w:tcPr>
            <w:tcW w:w="547" w:type="pct"/>
            <w:tcBorders>
              <w:top w:val="nil"/>
              <w:left w:val="nil"/>
              <w:bottom w:val="single" w:sz="4" w:space="0" w:color="auto"/>
              <w:right w:val="single" w:sz="4" w:space="0" w:color="auto"/>
            </w:tcBorders>
            <w:shd w:val="clear" w:color="auto" w:fill="auto"/>
            <w:noWrap/>
            <w:vAlign w:val="center"/>
            <w:hideMark/>
          </w:tcPr>
          <w:p w14:paraId="176CAF6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20966407</w:t>
            </w:r>
          </w:p>
        </w:tc>
        <w:tc>
          <w:tcPr>
            <w:tcW w:w="3360" w:type="pct"/>
            <w:tcBorders>
              <w:top w:val="nil"/>
              <w:left w:val="nil"/>
              <w:bottom w:val="single" w:sz="4" w:space="0" w:color="auto"/>
              <w:right w:val="single" w:sz="4" w:space="0" w:color="auto"/>
            </w:tcBorders>
            <w:shd w:val="clear" w:color="auto" w:fill="auto"/>
            <w:vAlign w:val="center"/>
            <w:hideMark/>
          </w:tcPr>
          <w:p w14:paraId="3F920C5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CENTER ZA USPOSABLJANJE, DELO IN VARSTVO ČRNA NA KOROŠKEM</w:t>
            </w:r>
          </w:p>
        </w:tc>
      </w:tr>
      <w:tr w:rsidR="00E3750C" w:rsidRPr="00415AB3" w14:paraId="145DEDB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ACAC48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64</w:t>
            </w:r>
          </w:p>
        </w:tc>
        <w:tc>
          <w:tcPr>
            <w:tcW w:w="705" w:type="pct"/>
            <w:tcBorders>
              <w:top w:val="nil"/>
              <w:left w:val="nil"/>
              <w:bottom w:val="single" w:sz="4" w:space="0" w:color="auto"/>
              <w:right w:val="single" w:sz="4" w:space="0" w:color="auto"/>
            </w:tcBorders>
            <w:shd w:val="clear" w:color="auto" w:fill="auto"/>
            <w:noWrap/>
            <w:vAlign w:val="center"/>
            <w:hideMark/>
          </w:tcPr>
          <w:p w14:paraId="6FE13B1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5083672000</w:t>
            </w:r>
          </w:p>
        </w:tc>
        <w:tc>
          <w:tcPr>
            <w:tcW w:w="547" w:type="pct"/>
            <w:tcBorders>
              <w:top w:val="nil"/>
              <w:left w:val="nil"/>
              <w:bottom w:val="single" w:sz="4" w:space="0" w:color="auto"/>
              <w:right w:val="single" w:sz="4" w:space="0" w:color="auto"/>
            </w:tcBorders>
            <w:shd w:val="clear" w:color="auto" w:fill="auto"/>
            <w:noWrap/>
            <w:vAlign w:val="center"/>
            <w:hideMark/>
          </w:tcPr>
          <w:p w14:paraId="2EA3C97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59831588</w:t>
            </w:r>
          </w:p>
        </w:tc>
        <w:tc>
          <w:tcPr>
            <w:tcW w:w="3360" w:type="pct"/>
            <w:tcBorders>
              <w:top w:val="nil"/>
              <w:left w:val="nil"/>
              <w:bottom w:val="single" w:sz="4" w:space="0" w:color="auto"/>
              <w:right w:val="single" w:sz="4" w:space="0" w:color="auto"/>
            </w:tcBorders>
            <w:shd w:val="clear" w:color="auto" w:fill="auto"/>
            <w:vAlign w:val="center"/>
            <w:hideMark/>
          </w:tcPr>
          <w:p w14:paraId="5C75201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CENTER ZA USPOSABLJANJE, DELO IN VARSTVO DOBRNA</w:t>
            </w:r>
          </w:p>
        </w:tc>
      </w:tr>
      <w:tr w:rsidR="00E3750C" w:rsidRPr="00415AB3" w14:paraId="12507084"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275AF5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65</w:t>
            </w:r>
          </w:p>
        </w:tc>
        <w:tc>
          <w:tcPr>
            <w:tcW w:w="705" w:type="pct"/>
            <w:tcBorders>
              <w:top w:val="nil"/>
              <w:left w:val="nil"/>
              <w:bottom w:val="single" w:sz="4" w:space="0" w:color="auto"/>
              <w:right w:val="single" w:sz="4" w:space="0" w:color="auto"/>
            </w:tcBorders>
            <w:shd w:val="clear" w:color="auto" w:fill="auto"/>
            <w:noWrap/>
            <w:vAlign w:val="center"/>
            <w:hideMark/>
          </w:tcPr>
          <w:p w14:paraId="27D4945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5185530000</w:t>
            </w:r>
          </w:p>
        </w:tc>
        <w:tc>
          <w:tcPr>
            <w:tcW w:w="547" w:type="pct"/>
            <w:tcBorders>
              <w:top w:val="nil"/>
              <w:left w:val="nil"/>
              <w:bottom w:val="single" w:sz="4" w:space="0" w:color="auto"/>
              <w:right w:val="single" w:sz="4" w:space="0" w:color="auto"/>
            </w:tcBorders>
            <w:shd w:val="clear" w:color="auto" w:fill="auto"/>
            <w:noWrap/>
            <w:vAlign w:val="center"/>
            <w:hideMark/>
          </w:tcPr>
          <w:p w14:paraId="214BB1A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17708605</w:t>
            </w:r>
          </w:p>
        </w:tc>
        <w:tc>
          <w:tcPr>
            <w:tcW w:w="3360" w:type="pct"/>
            <w:tcBorders>
              <w:top w:val="nil"/>
              <w:left w:val="nil"/>
              <w:bottom w:val="single" w:sz="4" w:space="0" w:color="auto"/>
              <w:right w:val="single" w:sz="4" w:space="0" w:color="auto"/>
            </w:tcBorders>
            <w:shd w:val="clear" w:color="auto" w:fill="auto"/>
            <w:vAlign w:val="center"/>
            <w:hideMark/>
          </w:tcPr>
          <w:p w14:paraId="6FEA807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CENTER ZA USPOSABLJANJE, DELO IN VARSTVO DOLFKE BOŠTJANČIČ, DRAGA</w:t>
            </w:r>
          </w:p>
        </w:tc>
      </w:tr>
      <w:tr w:rsidR="00E3750C" w:rsidRPr="00415AB3" w14:paraId="4FC5CCAB"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2F92C7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66</w:t>
            </w:r>
          </w:p>
        </w:tc>
        <w:tc>
          <w:tcPr>
            <w:tcW w:w="705" w:type="pct"/>
            <w:tcBorders>
              <w:top w:val="nil"/>
              <w:left w:val="nil"/>
              <w:bottom w:val="single" w:sz="4" w:space="0" w:color="auto"/>
              <w:right w:val="single" w:sz="4" w:space="0" w:color="auto"/>
            </w:tcBorders>
            <w:shd w:val="clear" w:color="auto" w:fill="auto"/>
            <w:noWrap/>
            <w:vAlign w:val="center"/>
            <w:hideMark/>
          </w:tcPr>
          <w:p w14:paraId="1C2C2AD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5867380000</w:t>
            </w:r>
          </w:p>
        </w:tc>
        <w:tc>
          <w:tcPr>
            <w:tcW w:w="547" w:type="pct"/>
            <w:tcBorders>
              <w:top w:val="nil"/>
              <w:left w:val="nil"/>
              <w:bottom w:val="single" w:sz="4" w:space="0" w:color="auto"/>
              <w:right w:val="single" w:sz="4" w:space="0" w:color="auto"/>
            </w:tcBorders>
            <w:shd w:val="clear" w:color="auto" w:fill="auto"/>
            <w:noWrap/>
            <w:vAlign w:val="center"/>
            <w:hideMark/>
          </w:tcPr>
          <w:p w14:paraId="6573A6B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72034955</w:t>
            </w:r>
          </w:p>
        </w:tc>
        <w:tc>
          <w:tcPr>
            <w:tcW w:w="3360" w:type="pct"/>
            <w:tcBorders>
              <w:top w:val="nil"/>
              <w:left w:val="nil"/>
              <w:bottom w:val="single" w:sz="4" w:space="0" w:color="auto"/>
              <w:right w:val="single" w:sz="4" w:space="0" w:color="auto"/>
            </w:tcBorders>
            <w:shd w:val="clear" w:color="auto" w:fill="auto"/>
            <w:vAlign w:val="center"/>
            <w:hideMark/>
          </w:tcPr>
          <w:p w14:paraId="20CF679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CENTER ZA USPOSABLJANJE, DELO IN VARSTVO MATEVŽA LANGUSA, RADOVLJICA</w:t>
            </w:r>
          </w:p>
        </w:tc>
      </w:tr>
      <w:tr w:rsidR="00E3750C" w:rsidRPr="00415AB3" w14:paraId="561771EF"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2499A8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67</w:t>
            </w:r>
          </w:p>
        </w:tc>
        <w:tc>
          <w:tcPr>
            <w:tcW w:w="705" w:type="pct"/>
            <w:tcBorders>
              <w:top w:val="nil"/>
              <w:left w:val="nil"/>
              <w:bottom w:val="single" w:sz="4" w:space="0" w:color="auto"/>
              <w:right w:val="single" w:sz="4" w:space="0" w:color="auto"/>
            </w:tcBorders>
            <w:shd w:val="clear" w:color="auto" w:fill="auto"/>
            <w:noWrap/>
            <w:vAlign w:val="center"/>
            <w:hideMark/>
          </w:tcPr>
          <w:p w14:paraId="0CBA282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5050758000</w:t>
            </w:r>
          </w:p>
        </w:tc>
        <w:tc>
          <w:tcPr>
            <w:tcW w:w="547" w:type="pct"/>
            <w:tcBorders>
              <w:top w:val="nil"/>
              <w:left w:val="nil"/>
              <w:bottom w:val="single" w:sz="4" w:space="0" w:color="auto"/>
              <w:right w:val="single" w:sz="4" w:space="0" w:color="auto"/>
            </w:tcBorders>
            <w:shd w:val="clear" w:color="auto" w:fill="auto"/>
            <w:noWrap/>
            <w:vAlign w:val="center"/>
            <w:hideMark/>
          </w:tcPr>
          <w:p w14:paraId="5CA3246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94338558</w:t>
            </w:r>
          </w:p>
        </w:tc>
        <w:tc>
          <w:tcPr>
            <w:tcW w:w="3360" w:type="pct"/>
            <w:tcBorders>
              <w:top w:val="nil"/>
              <w:left w:val="nil"/>
              <w:bottom w:val="single" w:sz="4" w:space="0" w:color="auto"/>
              <w:right w:val="single" w:sz="4" w:space="0" w:color="auto"/>
            </w:tcBorders>
            <w:shd w:val="clear" w:color="auto" w:fill="auto"/>
            <w:vAlign w:val="center"/>
            <w:hideMark/>
          </w:tcPr>
          <w:p w14:paraId="79B955A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CENTER ZA USPOSABLJANJE, VZGOJO IN IZOBRAŽEVANJE JANEZA LEVCA LJUBLJANA</w:t>
            </w:r>
          </w:p>
        </w:tc>
      </w:tr>
      <w:tr w:rsidR="00E3750C" w:rsidRPr="00415AB3" w14:paraId="3A38DB1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C7AB35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68</w:t>
            </w:r>
          </w:p>
        </w:tc>
        <w:tc>
          <w:tcPr>
            <w:tcW w:w="705" w:type="pct"/>
            <w:tcBorders>
              <w:top w:val="nil"/>
              <w:left w:val="nil"/>
              <w:bottom w:val="single" w:sz="4" w:space="0" w:color="auto"/>
              <w:right w:val="single" w:sz="4" w:space="0" w:color="auto"/>
            </w:tcBorders>
            <w:shd w:val="clear" w:color="auto" w:fill="auto"/>
            <w:noWrap/>
            <w:vAlign w:val="center"/>
            <w:hideMark/>
          </w:tcPr>
          <w:p w14:paraId="6A3E0DE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5083664000</w:t>
            </w:r>
          </w:p>
        </w:tc>
        <w:tc>
          <w:tcPr>
            <w:tcW w:w="547" w:type="pct"/>
            <w:tcBorders>
              <w:top w:val="nil"/>
              <w:left w:val="nil"/>
              <w:bottom w:val="single" w:sz="4" w:space="0" w:color="auto"/>
              <w:right w:val="single" w:sz="4" w:space="0" w:color="auto"/>
            </w:tcBorders>
            <w:shd w:val="clear" w:color="auto" w:fill="auto"/>
            <w:noWrap/>
            <w:vAlign w:val="center"/>
            <w:hideMark/>
          </w:tcPr>
          <w:p w14:paraId="69A945B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13792717</w:t>
            </w:r>
          </w:p>
        </w:tc>
        <w:tc>
          <w:tcPr>
            <w:tcW w:w="3360" w:type="pct"/>
            <w:tcBorders>
              <w:top w:val="nil"/>
              <w:left w:val="nil"/>
              <w:bottom w:val="single" w:sz="4" w:space="0" w:color="auto"/>
              <w:right w:val="single" w:sz="4" w:space="0" w:color="auto"/>
            </w:tcBorders>
            <w:shd w:val="clear" w:color="auto" w:fill="auto"/>
            <w:vAlign w:val="center"/>
            <w:hideMark/>
          </w:tcPr>
          <w:p w14:paraId="1DE3762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CENTER ZA VARSTVO IN DELO GOLOVEC CELJE</w:t>
            </w:r>
          </w:p>
        </w:tc>
      </w:tr>
      <w:tr w:rsidR="00E3750C" w:rsidRPr="00415AB3" w14:paraId="11189F1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239ACD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69</w:t>
            </w:r>
          </w:p>
        </w:tc>
        <w:tc>
          <w:tcPr>
            <w:tcW w:w="705" w:type="pct"/>
            <w:tcBorders>
              <w:top w:val="nil"/>
              <w:left w:val="nil"/>
              <w:bottom w:val="single" w:sz="4" w:space="0" w:color="auto"/>
              <w:right w:val="single" w:sz="4" w:space="0" w:color="auto"/>
            </w:tcBorders>
            <w:shd w:val="clear" w:color="auto" w:fill="auto"/>
            <w:noWrap/>
            <w:vAlign w:val="center"/>
            <w:hideMark/>
          </w:tcPr>
          <w:p w14:paraId="69A78EE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5088232000</w:t>
            </w:r>
          </w:p>
        </w:tc>
        <w:tc>
          <w:tcPr>
            <w:tcW w:w="547" w:type="pct"/>
            <w:tcBorders>
              <w:top w:val="nil"/>
              <w:left w:val="nil"/>
              <w:bottom w:val="single" w:sz="4" w:space="0" w:color="auto"/>
              <w:right w:val="single" w:sz="4" w:space="0" w:color="auto"/>
            </w:tcBorders>
            <w:shd w:val="clear" w:color="auto" w:fill="auto"/>
            <w:noWrap/>
            <w:vAlign w:val="center"/>
            <w:hideMark/>
          </w:tcPr>
          <w:p w14:paraId="5C2186C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72747684</w:t>
            </w:r>
          </w:p>
        </w:tc>
        <w:tc>
          <w:tcPr>
            <w:tcW w:w="3360" w:type="pct"/>
            <w:tcBorders>
              <w:top w:val="nil"/>
              <w:left w:val="nil"/>
              <w:bottom w:val="single" w:sz="4" w:space="0" w:color="auto"/>
              <w:right w:val="single" w:sz="4" w:space="0" w:color="auto"/>
            </w:tcBorders>
            <w:shd w:val="clear" w:color="auto" w:fill="auto"/>
            <w:vAlign w:val="center"/>
            <w:hideMark/>
          </w:tcPr>
          <w:p w14:paraId="0D3DA61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CENTER ZA VZGOJO, IZOBRAŽEVANJE IN USPOSABLJANJE VELENJE</w:t>
            </w:r>
          </w:p>
        </w:tc>
      </w:tr>
      <w:tr w:rsidR="00E3750C" w:rsidRPr="00415AB3" w14:paraId="293F75BE"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89CD33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70</w:t>
            </w:r>
          </w:p>
        </w:tc>
        <w:tc>
          <w:tcPr>
            <w:tcW w:w="705" w:type="pct"/>
            <w:tcBorders>
              <w:top w:val="nil"/>
              <w:left w:val="nil"/>
              <w:bottom w:val="single" w:sz="4" w:space="0" w:color="auto"/>
              <w:right w:val="single" w:sz="4" w:space="0" w:color="auto"/>
            </w:tcBorders>
            <w:shd w:val="clear" w:color="auto" w:fill="auto"/>
            <w:noWrap/>
            <w:vAlign w:val="center"/>
            <w:hideMark/>
          </w:tcPr>
          <w:p w14:paraId="335F708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5085411000</w:t>
            </w:r>
          </w:p>
        </w:tc>
        <w:tc>
          <w:tcPr>
            <w:tcW w:w="547" w:type="pct"/>
            <w:tcBorders>
              <w:top w:val="nil"/>
              <w:left w:val="nil"/>
              <w:bottom w:val="single" w:sz="4" w:space="0" w:color="auto"/>
              <w:right w:val="single" w:sz="4" w:space="0" w:color="auto"/>
            </w:tcBorders>
            <w:shd w:val="clear" w:color="auto" w:fill="auto"/>
            <w:noWrap/>
            <w:vAlign w:val="center"/>
            <w:hideMark/>
          </w:tcPr>
          <w:p w14:paraId="6F6C774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24210978</w:t>
            </w:r>
          </w:p>
        </w:tc>
        <w:tc>
          <w:tcPr>
            <w:tcW w:w="3360" w:type="pct"/>
            <w:tcBorders>
              <w:top w:val="nil"/>
              <w:left w:val="nil"/>
              <w:bottom w:val="single" w:sz="4" w:space="0" w:color="auto"/>
              <w:right w:val="single" w:sz="4" w:space="0" w:color="auto"/>
            </w:tcBorders>
            <w:shd w:val="clear" w:color="auto" w:fill="auto"/>
            <w:vAlign w:val="center"/>
            <w:hideMark/>
          </w:tcPr>
          <w:p w14:paraId="2F27E9C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CENTER ZA VZGOJO, IZOBRAŽEVANJE, USPOSABLJANJE IN SVETOVANJE GUSTAVA ŠILIHA MARIBOR</w:t>
            </w:r>
          </w:p>
        </w:tc>
      </w:tr>
      <w:tr w:rsidR="00E3750C" w:rsidRPr="00415AB3" w14:paraId="026D43B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294D1B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w:t>
            </w:r>
          </w:p>
        </w:tc>
        <w:tc>
          <w:tcPr>
            <w:tcW w:w="705" w:type="pct"/>
            <w:tcBorders>
              <w:top w:val="nil"/>
              <w:left w:val="nil"/>
              <w:bottom w:val="single" w:sz="4" w:space="0" w:color="auto"/>
              <w:right w:val="single" w:sz="4" w:space="0" w:color="auto"/>
            </w:tcBorders>
            <w:shd w:val="clear" w:color="auto" w:fill="auto"/>
            <w:noWrap/>
            <w:vAlign w:val="center"/>
            <w:hideMark/>
          </w:tcPr>
          <w:p w14:paraId="223D3AB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6974708000</w:t>
            </w:r>
          </w:p>
        </w:tc>
        <w:tc>
          <w:tcPr>
            <w:tcW w:w="547" w:type="pct"/>
            <w:tcBorders>
              <w:top w:val="nil"/>
              <w:left w:val="nil"/>
              <w:bottom w:val="single" w:sz="4" w:space="0" w:color="auto"/>
              <w:right w:val="single" w:sz="4" w:space="0" w:color="auto"/>
            </w:tcBorders>
            <w:shd w:val="clear" w:color="auto" w:fill="auto"/>
            <w:noWrap/>
            <w:vAlign w:val="center"/>
            <w:hideMark/>
          </w:tcPr>
          <w:p w14:paraId="22020F9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49198475</w:t>
            </w:r>
          </w:p>
        </w:tc>
        <w:tc>
          <w:tcPr>
            <w:tcW w:w="3360" w:type="pct"/>
            <w:tcBorders>
              <w:top w:val="nil"/>
              <w:left w:val="nil"/>
              <w:bottom w:val="single" w:sz="4" w:space="0" w:color="auto"/>
              <w:right w:val="single" w:sz="4" w:space="0" w:color="auto"/>
            </w:tcBorders>
            <w:shd w:val="clear" w:color="auto" w:fill="auto"/>
            <w:vAlign w:val="center"/>
            <w:hideMark/>
          </w:tcPr>
          <w:p w14:paraId="441C080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CENTER ZA ZAŠČITO IN REŠEVANJE DOMŽALE</w:t>
            </w:r>
          </w:p>
        </w:tc>
      </w:tr>
      <w:tr w:rsidR="00E3750C" w:rsidRPr="00415AB3" w14:paraId="4C4141A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4CBCCC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w:t>
            </w:r>
          </w:p>
        </w:tc>
        <w:tc>
          <w:tcPr>
            <w:tcW w:w="705" w:type="pct"/>
            <w:tcBorders>
              <w:top w:val="nil"/>
              <w:left w:val="nil"/>
              <w:bottom w:val="single" w:sz="4" w:space="0" w:color="auto"/>
              <w:right w:val="single" w:sz="4" w:space="0" w:color="auto"/>
            </w:tcBorders>
            <w:shd w:val="clear" w:color="auto" w:fill="auto"/>
            <w:noWrap/>
            <w:vAlign w:val="center"/>
            <w:hideMark/>
          </w:tcPr>
          <w:p w14:paraId="097AB29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5052050000</w:t>
            </w:r>
          </w:p>
        </w:tc>
        <w:tc>
          <w:tcPr>
            <w:tcW w:w="547" w:type="pct"/>
            <w:tcBorders>
              <w:top w:val="nil"/>
              <w:left w:val="nil"/>
              <w:bottom w:val="single" w:sz="4" w:space="0" w:color="auto"/>
              <w:right w:val="single" w:sz="4" w:space="0" w:color="auto"/>
            </w:tcBorders>
            <w:shd w:val="clear" w:color="auto" w:fill="auto"/>
            <w:noWrap/>
            <w:vAlign w:val="center"/>
            <w:hideMark/>
          </w:tcPr>
          <w:p w14:paraId="4322880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23576430</w:t>
            </w:r>
          </w:p>
        </w:tc>
        <w:tc>
          <w:tcPr>
            <w:tcW w:w="3360" w:type="pct"/>
            <w:tcBorders>
              <w:top w:val="nil"/>
              <w:left w:val="nil"/>
              <w:bottom w:val="single" w:sz="4" w:space="0" w:color="auto"/>
              <w:right w:val="single" w:sz="4" w:space="0" w:color="auto"/>
            </w:tcBorders>
            <w:shd w:val="clear" w:color="auto" w:fill="auto"/>
            <w:vAlign w:val="center"/>
            <w:hideMark/>
          </w:tcPr>
          <w:p w14:paraId="1ECA26D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CENTRALNA TEHNIŠKA KNJIŽNICA UNIVERZE V LJUBLJANI</w:t>
            </w:r>
          </w:p>
        </w:tc>
      </w:tr>
      <w:tr w:rsidR="00E3750C" w:rsidRPr="00415AB3" w14:paraId="798837E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E806FF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74</w:t>
            </w:r>
          </w:p>
        </w:tc>
        <w:tc>
          <w:tcPr>
            <w:tcW w:w="705" w:type="pct"/>
            <w:tcBorders>
              <w:top w:val="nil"/>
              <w:left w:val="nil"/>
              <w:bottom w:val="single" w:sz="4" w:space="0" w:color="auto"/>
              <w:right w:val="single" w:sz="4" w:space="0" w:color="auto"/>
            </w:tcBorders>
            <w:shd w:val="clear" w:color="auto" w:fill="auto"/>
            <w:noWrap/>
            <w:vAlign w:val="center"/>
            <w:hideMark/>
          </w:tcPr>
          <w:p w14:paraId="20536D4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2156890000</w:t>
            </w:r>
          </w:p>
        </w:tc>
        <w:tc>
          <w:tcPr>
            <w:tcW w:w="547" w:type="pct"/>
            <w:tcBorders>
              <w:top w:val="nil"/>
              <w:left w:val="nil"/>
              <w:bottom w:val="single" w:sz="4" w:space="0" w:color="auto"/>
              <w:right w:val="single" w:sz="4" w:space="0" w:color="auto"/>
            </w:tcBorders>
            <w:shd w:val="clear" w:color="auto" w:fill="auto"/>
            <w:noWrap/>
            <w:vAlign w:val="center"/>
            <w:hideMark/>
          </w:tcPr>
          <w:p w14:paraId="3B9533C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66262399</w:t>
            </w:r>
          </w:p>
        </w:tc>
        <w:tc>
          <w:tcPr>
            <w:tcW w:w="3360" w:type="pct"/>
            <w:tcBorders>
              <w:top w:val="nil"/>
              <w:left w:val="nil"/>
              <w:bottom w:val="single" w:sz="4" w:space="0" w:color="auto"/>
              <w:right w:val="single" w:sz="4" w:space="0" w:color="auto"/>
            </w:tcBorders>
            <w:shd w:val="clear" w:color="auto" w:fill="auto"/>
            <w:vAlign w:val="center"/>
            <w:hideMark/>
          </w:tcPr>
          <w:p w14:paraId="65F16A4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CEROD, CENTER ZA RAVNANJE Z ODPADKI, D.O.O., JAVNO PODJETJE</w:t>
            </w:r>
          </w:p>
        </w:tc>
      </w:tr>
      <w:tr w:rsidR="00E3750C" w:rsidRPr="00415AB3" w14:paraId="1AFDF253"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9D6A07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75</w:t>
            </w:r>
          </w:p>
        </w:tc>
        <w:tc>
          <w:tcPr>
            <w:tcW w:w="705" w:type="pct"/>
            <w:tcBorders>
              <w:top w:val="nil"/>
              <w:left w:val="nil"/>
              <w:bottom w:val="single" w:sz="4" w:space="0" w:color="auto"/>
              <w:right w:val="single" w:sz="4" w:space="0" w:color="auto"/>
            </w:tcBorders>
            <w:shd w:val="clear" w:color="auto" w:fill="auto"/>
            <w:noWrap/>
            <w:vAlign w:val="center"/>
            <w:hideMark/>
          </w:tcPr>
          <w:p w14:paraId="39D7E58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8316830000</w:t>
            </w:r>
          </w:p>
        </w:tc>
        <w:tc>
          <w:tcPr>
            <w:tcW w:w="547" w:type="pct"/>
            <w:tcBorders>
              <w:top w:val="nil"/>
              <w:left w:val="nil"/>
              <w:bottom w:val="single" w:sz="4" w:space="0" w:color="auto"/>
              <w:right w:val="single" w:sz="4" w:space="0" w:color="auto"/>
            </w:tcBorders>
            <w:shd w:val="clear" w:color="auto" w:fill="auto"/>
            <w:noWrap/>
            <w:vAlign w:val="center"/>
            <w:hideMark/>
          </w:tcPr>
          <w:p w14:paraId="2A8C56B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17129214</w:t>
            </w:r>
          </w:p>
        </w:tc>
        <w:tc>
          <w:tcPr>
            <w:tcW w:w="3360" w:type="pct"/>
            <w:tcBorders>
              <w:top w:val="nil"/>
              <w:left w:val="nil"/>
              <w:bottom w:val="single" w:sz="4" w:space="0" w:color="auto"/>
              <w:right w:val="single" w:sz="4" w:space="0" w:color="auto"/>
            </w:tcBorders>
            <w:shd w:val="clear" w:color="auto" w:fill="auto"/>
            <w:vAlign w:val="center"/>
            <w:hideMark/>
          </w:tcPr>
          <w:p w14:paraId="64E75D9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CERO-DBK, CENTER ZA RAVNANJE Z ODPADKI DOLENJSKE IN BELE KRAJINE, D.O.O., JAVNO PODJETJE.</w:t>
            </w:r>
          </w:p>
        </w:tc>
      </w:tr>
      <w:tr w:rsidR="00E3750C" w:rsidRPr="00415AB3" w14:paraId="27A9442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B4621C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78</w:t>
            </w:r>
          </w:p>
        </w:tc>
        <w:tc>
          <w:tcPr>
            <w:tcW w:w="705" w:type="pct"/>
            <w:tcBorders>
              <w:top w:val="nil"/>
              <w:left w:val="nil"/>
              <w:bottom w:val="single" w:sz="4" w:space="0" w:color="auto"/>
              <w:right w:val="single" w:sz="4" w:space="0" w:color="auto"/>
            </w:tcBorders>
            <w:shd w:val="clear" w:color="auto" w:fill="auto"/>
            <w:noWrap/>
            <w:vAlign w:val="center"/>
            <w:hideMark/>
          </w:tcPr>
          <w:p w14:paraId="6C8AE85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5141729000</w:t>
            </w:r>
          </w:p>
        </w:tc>
        <w:tc>
          <w:tcPr>
            <w:tcW w:w="547" w:type="pct"/>
            <w:tcBorders>
              <w:top w:val="nil"/>
              <w:left w:val="nil"/>
              <w:bottom w:val="single" w:sz="4" w:space="0" w:color="auto"/>
              <w:right w:val="single" w:sz="4" w:space="0" w:color="auto"/>
            </w:tcBorders>
            <w:shd w:val="clear" w:color="auto" w:fill="auto"/>
            <w:noWrap/>
            <w:vAlign w:val="center"/>
            <w:hideMark/>
          </w:tcPr>
          <w:p w14:paraId="280161E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81079435</w:t>
            </w:r>
          </w:p>
        </w:tc>
        <w:tc>
          <w:tcPr>
            <w:tcW w:w="3360" w:type="pct"/>
            <w:tcBorders>
              <w:top w:val="nil"/>
              <w:left w:val="nil"/>
              <w:bottom w:val="single" w:sz="4" w:space="0" w:color="auto"/>
              <w:right w:val="single" w:sz="4" w:space="0" w:color="auto"/>
            </w:tcBorders>
            <w:shd w:val="clear" w:color="auto" w:fill="auto"/>
            <w:vAlign w:val="center"/>
            <w:hideMark/>
          </w:tcPr>
          <w:p w14:paraId="58148E7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ČEBELARSKA ZVEZA SLOVENIJE</w:t>
            </w:r>
          </w:p>
        </w:tc>
      </w:tr>
      <w:tr w:rsidR="00E3750C" w:rsidRPr="00415AB3" w14:paraId="6337D05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3A7F0A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79</w:t>
            </w:r>
          </w:p>
        </w:tc>
        <w:tc>
          <w:tcPr>
            <w:tcW w:w="705" w:type="pct"/>
            <w:tcBorders>
              <w:top w:val="nil"/>
              <w:left w:val="nil"/>
              <w:bottom w:val="single" w:sz="4" w:space="0" w:color="auto"/>
              <w:right w:val="single" w:sz="4" w:space="0" w:color="auto"/>
            </w:tcBorders>
            <w:shd w:val="clear" w:color="auto" w:fill="auto"/>
            <w:noWrap/>
            <w:vAlign w:val="center"/>
            <w:hideMark/>
          </w:tcPr>
          <w:p w14:paraId="7CC8B6E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1197380000</w:t>
            </w:r>
          </w:p>
        </w:tc>
        <w:tc>
          <w:tcPr>
            <w:tcW w:w="547" w:type="pct"/>
            <w:tcBorders>
              <w:top w:val="nil"/>
              <w:left w:val="nil"/>
              <w:bottom w:val="single" w:sz="4" w:space="0" w:color="auto"/>
              <w:right w:val="single" w:sz="4" w:space="0" w:color="auto"/>
            </w:tcBorders>
            <w:shd w:val="clear" w:color="auto" w:fill="auto"/>
            <w:noWrap/>
            <w:vAlign w:val="center"/>
            <w:hideMark/>
          </w:tcPr>
          <w:p w14:paraId="3B1E5DA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39046923</w:t>
            </w:r>
          </w:p>
        </w:tc>
        <w:tc>
          <w:tcPr>
            <w:tcW w:w="3360" w:type="pct"/>
            <w:tcBorders>
              <w:top w:val="nil"/>
              <w:left w:val="nil"/>
              <w:bottom w:val="single" w:sz="4" w:space="0" w:color="auto"/>
              <w:right w:val="single" w:sz="4" w:space="0" w:color="auto"/>
            </w:tcBorders>
            <w:shd w:val="clear" w:color="auto" w:fill="auto"/>
            <w:vAlign w:val="center"/>
            <w:hideMark/>
          </w:tcPr>
          <w:p w14:paraId="16FC2C2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ČISTA NARAVA, JAVNO KOMUNALNO PODJETJE D.O.O.</w:t>
            </w:r>
          </w:p>
        </w:tc>
      </w:tr>
      <w:tr w:rsidR="00E3750C" w:rsidRPr="00415AB3" w14:paraId="0A07437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F40FF4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80</w:t>
            </w:r>
          </w:p>
        </w:tc>
        <w:tc>
          <w:tcPr>
            <w:tcW w:w="705" w:type="pct"/>
            <w:tcBorders>
              <w:top w:val="nil"/>
              <w:left w:val="nil"/>
              <w:bottom w:val="single" w:sz="4" w:space="0" w:color="auto"/>
              <w:right w:val="single" w:sz="4" w:space="0" w:color="auto"/>
            </w:tcBorders>
            <w:shd w:val="clear" w:color="auto" w:fill="auto"/>
            <w:noWrap/>
            <w:vAlign w:val="center"/>
            <w:hideMark/>
          </w:tcPr>
          <w:p w14:paraId="2B8D7CC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1646877000</w:t>
            </w:r>
          </w:p>
        </w:tc>
        <w:tc>
          <w:tcPr>
            <w:tcW w:w="547" w:type="pct"/>
            <w:tcBorders>
              <w:top w:val="nil"/>
              <w:left w:val="nil"/>
              <w:bottom w:val="single" w:sz="4" w:space="0" w:color="auto"/>
              <w:right w:val="single" w:sz="4" w:space="0" w:color="auto"/>
            </w:tcBorders>
            <w:shd w:val="clear" w:color="auto" w:fill="auto"/>
            <w:noWrap/>
            <w:vAlign w:val="center"/>
            <w:hideMark/>
          </w:tcPr>
          <w:p w14:paraId="6DF8335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63283786</w:t>
            </w:r>
          </w:p>
        </w:tc>
        <w:tc>
          <w:tcPr>
            <w:tcW w:w="3360" w:type="pct"/>
            <w:tcBorders>
              <w:top w:val="nil"/>
              <w:left w:val="nil"/>
              <w:bottom w:val="single" w:sz="4" w:space="0" w:color="auto"/>
              <w:right w:val="single" w:sz="4" w:space="0" w:color="auto"/>
            </w:tcBorders>
            <w:shd w:val="clear" w:color="auto" w:fill="auto"/>
            <w:vAlign w:val="center"/>
            <w:hideMark/>
          </w:tcPr>
          <w:p w14:paraId="65D7273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D.S.U., DRUŽBA ZA SVETOVANJE IN UPRAVLJANJE, D.O.O.</w:t>
            </w:r>
          </w:p>
        </w:tc>
      </w:tr>
      <w:tr w:rsidR="00E3750C" w:rsidRPr="00415AB3" w14:paraId="2375585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3B3FCB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81</w:t>
            </w:r>
          </w:p>
        </w:tc>
        <w:tc>
          <w:tcPr>
            <w:tcW w:w="705" w:type="pct"/>
            <w:tcBorders>
              <w:top w:val="nil"/>
              <w:left w:val="nil"/>
              <w:bottom w:val="single" w:sz="4" w:space="0" w:color="auto"/>
              <w:right w:val="single" w:sz="4" w:space="0" w:color="auto"/>
            </w:tcBorders>
            <w:shd w:val="clear" w:color="auto" w:fill="auto"/>
            <w:noWrap/>
            <w:vAlign w:val="center"/>
            <w:hideMark/>
          </w:tcPr>
          <w:p w14:paraId="3AF2626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5840481000</w:t>
            </w:r>
          </w:p>
        </w:tc>
        <w:tc>
          <w:tcPr>
            <w:tcW w:w="547" w:type="pct"/>
            <w:tcBorders>
              <w:top w:val="nil"/>
              <w:left w:val="nil"/>
              <w:bottom w:val="single" w:sz="4" w:space="0" w:color="auto"/>
              <w:right w:val="single" w:sz="4" w:space="0" w:color="auto"/>
            </w:tcBorders>
            <w:shd w:val="clear" w:color="auto" w:fill="auto"/>
            <w:noWrap/>
            <w:vAlign w:val="center"/>
            <w:hideMark/>
          </w:tcPr>
          <w:p w14:paraId="7FB4E6A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25019562</w:t>
            </w:r>
          </w:p>
        </w:tc>
        <w:tc>
          <w:tcPr>
            <w:tcW w:w="3360" w:type="pct"/>
            <w:tcBorders>
              <w:top w:val="nil"/>
              <w:left w:val="nil"/>
              <w:bottom w:val="single" w:sz="4" w:space="0" w:color="auto"/>
              <w:right w:val="single" w:sz="4" w:space="0" w:color="auto"/>
            </w:tcBorders>
            <w:shd w:val="clear" w:color="auto" w:fill="auto"/>
            <w:vAlign w:val="center"/>
            <w:hideMark/>
          </w:tcPr>
          <w:p w14:paraId="5A02409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DELOVNO IN SOCIALNO SODIŠČE V LJUBLJANI</w:t>
            </w:r>
          </w:p>
        </w:tc>
      </w:tr>
      <w:tr w:rsidR="00E3750C" w:rsidRPr="00415AB3" w14:paraId="08F966F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7CB003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82</w:t>
            </w:r>
          </w:p>
        </w:tc>
        <w:tc>
          <w:tcPr>
            <w:tcW w:w="705" w:type="pct"/>
            <w:tcBorders>
              <w:top w:val="nil"/>
              <w:left w:val="nil"/>
              <w:bottom w:val="single" w:sz="4" w:space="0" w:color="auto"/>
              <w:right w:val="single" w:sz="4" w:space="0" w:color="auto"/>
            </w:tcBorders>
            <w:shd w:val="clear" w:color="auto" w:fill="auto"/>
            <w:noWrap/>
            <w:vAlign w:val="center"/>
            <w:hideMark/>
          </w:tcPr>
          <w:p w14:paraId="71D4D69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5022584000</w:t>
            </w:r>
          </w:p>
        </w:tc>
        <w:tc>
          <w:tcPr>
            <w:tcW w:w="547" w:type="pct"/>
            <w:tcBorders>
              <w:top w:val="nil"/>
              <w:left w:val="nil"/>
              <w:bottom w:val="single" w:sz="4" w:space="0" w:color="auto"/>
              <w:right w:val="single" w:sz="4" w:space="0" w:color="auto"/>
            </w:tcBorders>
            <w:shd w:val="clear" w:color="auto" w:fill="auto"/>
            <w:noWrap/>
            <w:vAlign w:val="center"/>
            <w:hideMark/>
          </w:tcPr>
          <w:p w14:paraId="0D391BB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58934294</w:t>
            </w:r>
          </w:p>
        </w:tc>
        <w:tc>
          <w:tcPr>
            <w:tcW w:w="3360" w:type="pct"/>
            <w:tcBorders>
              <w:top w:val="nil"/>
              <w:left w:val="nil"/>
              <w:bottom w:val="single" w:sz="4" w:space="0" w:color="auto"/>
              <w:right w:val="single" w:sz="4" w:space="0" w:color="auto"/>
            </w:tcBorders>
            <w:shd w:val="clear" w:color="auto" w:fill="auto"/>
            <w:vAlign w:val="center"/>
            <w:hideMark/>
          </w:tcPr>
          <w:p w14:paraId="62E8686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DELOVNO SODIŠČE V KOPRU</w:t>
            </w:r>
          </w:p>
        </w:tc>
      </w:tr>
      <w:tr w:rsidR="00E3750C" w:rsidRPr="00415AB3" w14:paraId="7A6E58C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2EF289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83</w:t>
            </w:r>
          </w:p>
        </w:tc>
        <w:tc>
          <w:tcPr>
            <w:tcW w:w="705" w:type="pct"/>
            <w:tcBorders>
              <w:top w:val="nil"/>
              <w:left w:val="nil"/>
              <w:bottom w:val="single" w:sz="4" w:space="0" w:color="auto"/>
              <w:right w:val="single" w:sz="4" w:space="0" w:color="auto"/>
            </w:tcBorders>
            <w:shd w:val="clear" w:color="auto" w:fill="auto"/>
            <w:noWrap/>
            <w:vAlign w:val="center"/>
            <w:hideMark/>
          </w:tcPr>
          <w:p w14:paraId="0BF5A23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5051037000</w:t>
            </w:r>
          </w:p>
        </w:tc>
        <w:tc>
          <w:tcPr>
            <w:tcW w:w="547" w:type="pct"/>
            <w:tcBorders>
              <w:top w:val="nil"/>
              <w:left w:val="nil"/>
              <w:bottom w:val="single" w:sz="4" w:space="0" w:color="auto"/>
              <w:right w:val="single" w:sz="4" w:space="0" w:color="auto"/>
            </w:tcBorders>
            <w:shd w:val="clear" w:color="auto" w:fill="auto"/>
            <w:noWrap/>
            <w:vAlign w:val="center"/>
            <w:hideMark/>
          </w:tcPr>
          <w:p w14:paraId="695D050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62534483</w:t>
            </w:r>
          </w:p>
        </w:tc>
        <w:tc>
          <w:tcPr>
            <w:tcW w:w="3360" w:type="pct"/>
            <w:tcBorders>
              <w:top w:val="nil"/>
              <w:left w:val="nil"/>
              <w:bottom w:val="single" w:sz="4" w:space="0" w:color="auto"/>
              <w:right w:val="single" w:sz="4" w:space="0" w:color="auto"/>
            </w:tcBorders>
            <w:shd w:val="clear" w:color="auto" w:fill="auto"/>
            <w:vAlign w:val="center"/>
            <w:hideMark/>
          </w:tcPr>
          <w:p w14:paraId="3095B5D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DIJAŠKI DOM BEŽIGRAD LJUBLJANA</w:t>
            </w:r>
          </w:p>
        </w:tc>
      </w:tr>
      <w:tr w:rsidR="00E3750C" w:rsidRPr="00415AB3" w14:paraId="362607B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650389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84</w:t>
            </w:r>
          </w:p>
        </w:tc>
        <w:tc>
          <w:tcPr>
            <w:tcW w:w="705" w:type="pct"/>
            <w:tcBorders>
              <w:top w:val="nil"/>
              <w:left w:val="nil"/>
              <w:bottom w:val="single" w:sz="4" w:space="0" w:color="auto"/>
              <w:right w:val="single" w:sz="4" w:space="0" w:color="auto"/>
            </w:tcBorders>
            <w:shd w:val="clear" w:color="auto" w:fill="auto"/>
            <w:noWrap/>
            <w:vAlign w:val="center"/>
            <w:hideMark/>
          </w:tcPr>
          <w:p w14:paraId="7E98979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5920671000</w:t>
            </w:r>
          </w:p>
        </w:tc>
        <w:tc>
          <w:tcPr>
            <w:tcW w:w="547" w:type="pct"/>
            <w:tcBorders>
              <w:top w:val="nil"/>
              <w:left w:val="nil"/>
              <w:bottom w:val="single" w:sz="4" w:space="0" w:color="auto"/>
              <w:right w:val="single" w:sz="4" w:space="0" w:color="auto"/>
            </w:tcBorders>
            <w:shd w:val="clear" w:color="auto" w:fill="auto"/>
            <w:noWrap/>
            <w:vAlign w:val="center"/>
            <w:hideMark/>
          </w:tcPr>
          <w:p w14:paraId="3EFCF48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66034400</w:t>
            </w:r>
          </w:p>
        </w:tc>
        <w:tc>
          <w:tcPr>
            <w:tcW w:w="3360" w:type="pct"/>
            <w:tcBorders>
              <w:top w:val="nil"/>
              <w:left w:val="nil"/>
              <w:bottom w:val="single" w:sz="4" w:space="0" w:color="auto"/>
              <w:right w:val="single" w:sz="4" w:space="0" w:color="auto"/>
            </w:tcBorders>
            <w:shd w:val="clear" w:color="auto" w:fill="auto"/>
            <w:vAlign w:val="center"/>
            <w:hideMark/>
          </w:tcPr>
          <w:p w14:paraId="093E4D3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DIJAŠKI DOM DRAVA MARIBOR</w:t>
            </w:r>
          </w:p>
        </w:tc>
      </w:tr>
      <w:tr w:rsidR="00E3750C" w:rsidRPr="00415AB3" w14:paraId="52F9E82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C028FD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85</w:t>
            </w:r>
          </w:p>
        </w:tc>
        <w:tc>
          <w:tcPr>
            <w:tcW w:w="705" w:type="pct"/>
            <w:tcBorders>
              <w:top w:val="nil"/>
              <w:left w:val="nil"/>
              <w:bottom w:val="single" w:sz="4" w:space="0" w:color="auto"/>
              <w:right w:val="single" w:sz="4" w:space="0" w:color="auto"/>
            </w:tcBorders>
            <w:shd w:val="clear" w:color="auto" w:fill="auto"/>
            <w:noWrap/>
            <w:vAlign w:val="center"/>
            <w:hideMark/>
          </w:tcPr>
          <w:p w14:paraId="3954B97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5051258000</w:t>
            </w:r>
          </w:p>
        </w:tc>
        <w:tc>
          <w:tcPr>
            <w:tcW w:w="547" w:type="pct"/>
            <w:tcBorders>
              <w:top w:val="nil"/>
              <w:left w:val="nil"/>
              <w:bottom w:val="single" w:sz="4" w:space="0" w:color="auto"/>
              <w:right w:val="single" w:sz="4" w:space="0" w:color="auto"/>
            </w:tcBorders>
            <w:shd w:val="clear" w:color="auto" w:fill="auto"/>
            <w:noWrap/>
            <w:vAlign w:val="center"/>
            <w:hideMark/>
          </w:tcPr>
          <w:p w14:paraId="025CEBD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21107815</w:t>
            </w:r>
          </w:p>
        </w:tc>
        <w:tc>
          <w:tcPr>
            <w:tcW w:w="3360" w:type="pct"/>
            <w:tcBorders>
              <w:top w:val="nil"/>
              <w:left w:val="nil"/>
              <w:bottom w:val="single" w:sz="4" w:space="0" w:color="auto"/>
              <w:right w:val="single" w:sz="4" w:space="0" w:color="auto"/>
            </w:tcBorders>
            <w:shd w:val="clear" w:color="auto" w:fill="auto"/>
            <w:vAlign w:val="center"/>
            <w:hideMark/>
          </w:tcPr>
          <w:p w14:paraId="41CF90F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DIJAŠKI DOM LIZIKE JANČAR</w:t>
            </w:r>
          </w:p>
        </w:tc>
      </w:tr>
      <w:tr w:rsidR="00E3750C" w:rsidRPr="00415AB3" w14:paraId="5C47687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84BA0B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86</w:t>
            </w:r>
          </w:p>
        </w:tc>
        <w:tc>
          <w:tcPr>
            <w:tcW w:w="705" w:type="pct"/>
            <w:tcBorders>
              <w:top w:val="nil"/>
              <w:left w:val="nil"/>
              <w:bottom w:val="single" w:sz="4" w:space="0" w:color="auto"/>
              <w:right w:val="single" w:sz="4" w:space="0" w:color="auto"/>
            </w:tcBorders>
            <w:shd w:val="clear" w:color="auto" w:fill="auto"/>
            <w:noWrap/>
            <w:vAlign w:val="center"/>
            <w:hideMark/>
          </w:tcPr>
          <w:p w14:paraId="68608A8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5050529000</w:t>
            </w:r>
          </w:p>
        </w:tc>
        <w:tc>
          <w:tcPr>
            <w:tcW w:w="547" w:type="pct"/>
            <w:tcBorders>
              <w:top w:val="nil"/>
              <w:left w:val="nil"/>
              <w:bottom w:val="single" w:sz="4" w:space="0" w:color="auto"/>
              <w:right w:val="single" w:sz="4" w:space="0" w:color="auto"/>
            </w:tcBorders>
            <w:shd w:val="clear" w:color="auto" w:fill="auto"/>
            <w:noWrap/>
            <w:vAlign w:val="center"/>
            <w:hideMark/>
          </w:tcPr>
          <w:p w14:paraId="5AB044C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69609322</w:t>
            </w:r>
          </w:p>
        </w:tc>
        <w:tc>
          <w:tcPr>
            <w:tcW w:w="3360" w:type="pct"/>
            <w:tcBorders>
              <w:top w:val="nil"/>
              <w:left w:val="nil"/>
              <w:bottom w:val="single" w:sz="4" w:space="0" w:color="auto"/>
              <w:right w:val="single" w:sz="4" w:space="0" w:color="auto"/>
            </w:tcBorders>
            <w:shd w:val="clear" w:color="auto" w:fill="auto"/>
            <w:vAlign w:val="center"/>
            <w:hideMark/>
          </w:tcPr>
          <w:p w14:paraId="374B3BF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DIJAŠKI DOM NOVA GORICA</w:t>
            </w:r>
          </w:p>
        </w:tc>
      </w:tr>
      <w:tr w:rsidR="00E3750C" w:rsidRPr="00415AB3" w14:paraId="21CE80F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A80586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87</w:t>
            </w:r>
          </w:p>
        </w:tc>
        <w:tc>
          <w:tcPr>
            <w:tcW w:w="705" w:type="pct"/>
            <w:tcBorders>
              <w:top w:val="nil"/>
              <w:left w:val="nil"/>
              <w:bottom w:val="single" w:sz="4" w:space="0" w:color="auto"/>
              <w:right w:val="single" w:sz="4" w:space="0" w:color="auto"/>
            </w:tcBorders>
            <w:shd w:val="clear" w:color="auto" w:fill="auto"/>
            <w:noWrap/>
            <w:vAlign w:val="center"/>
            <w:hideMark/>
          </w:tcPr>
          <w:p w14:paraId="68CB5A5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5268362000</w:t>
            </w:r>
          </w:p>
        </w:tc>
        <w:tc>
          <w:tcPr>
            <w:tcW w:w="547" w:type="pct"/>
            <w:tcBorders>
              <w:top w:val="nil"/>
              <w:left w:val="nil"/>
              <w:bottom w:val="single" w:sz="4" w:space="0" w:color="auto"/>
              <w:right w:val="single" w:sz="4" w:space="0" w:color="auto"/>
            </w:tcBorders>
            <w:shd w:val="clear" w:color="auto" w:fill="auto"/>
            <w:noWrap/>
            <w:vAlign w:val="center"/>
            <w:hideMark/>
          </w:tcPr>
          <w:p w14:paraId="5C55213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73565962</w:t>
            </w:r>
          </w:p>
        </w:tc>
        <w:tc>
          <w:tcPr>
            <w:tcW w:w="3360" w:type="pct"/>
            <w:tcBorders>
              <w:top w:val="nil"/>
              <w:left w:val="nil"/>
              <w:bottom w:val="single" w:sz="4" w:space="0" w:color="auto"/>
              <w:right w:val="single" w:sz="4" w:space="0" w:color="auto"/>
            </w:tcBorders>
            <w:shd w:val="clear" w:color="auto" w:fill="auto"/>
            <w:vAlign w:val="center"/>
            <w:hideMark/>
          </w:tcPr>
          <w:p w14:paraId="48E8B0A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DIJAŠKI DOM POLJANE</w:t>
            </w:r>
          </w:p>
        </w:tc>
      </w:tr>
      <w:tr w:rsidR="00E3750C" w:rsidRPr="00415AB3" w14:paraId="0D1AF20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A364C5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88</w:t>
            </w:r>
          </w:p>
        </w:tc>
        <w:tc>
          <w:tcPr>
            <w:tcW w:w="705" w:type="pct"/>
            <w:tcBorders>
              <w:top w:val="nil"/>
              <w:left w:val="nil"/>
              <w:bottom w:val="single" w:sz="4" w:space="0" w:color="auto"/>
              <w:right w:val="single" w:sz="4" w:space="0" w:color="auto"/>
            </w:tcBorders>
            <w:shd w:val="clear" w:color="auto" w:fill="auto"/>
            <w:noWrap/>
            <w:vAlign w:val="center"/>
            <w:hideMark/>
          </w:tcPr>
          <w:p w14:paraId="601B597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5055555000</w:t>
            </w:r>
          </w:p>
        </w:tc>
        <w:tc>
          <w:tcPr>
            <w:tcW w:w="547" w:type="pct"/>
            <w:tcBorders>
              <w:top w:val="nil"/>
              <w:left w:val="nil"/>
              <w:bottom w:val="single" w:sz="4" w:space="0" w:color="auto"/>
              <w:right w:val="single" w:sz="4" w:space="0" w:color="auto"/>
            </w:tcBorders>
            <w:shd w:val="clear" w:color="auto" w:fill="auto"/>
            <w:noWrap/>
            <w:vAlign w:val="center"/>
            <w:hideMark/>
          </w:tcPr>
          <w:p w14:paraId="1443ABA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60977329</w:t>
            </w:r>
          </w:p>
        </w:tc>
        <w:tc>
          <w:tcPr>
            <w:tcW w:w="3360" w:type="pct"/>
            <w:tcBorders>
              <w:top w:val="nil"/>
              <w:left w:val="nil"/>
              <w:bottom w:val="single" w:sz="4" w:space="0" w:color="auto"/>
              <w:right w:val="single" w:sz="4" w:space="0" w:color="auto"/>
            </w:tcBorders>
            <w:shd w:val="clear" w:color="auto" w:fill="auto"/>
            <w:vAlign w:val="center"/>
            <w:hideMark/>
          </w:tcPr>
          <w:p w14:paraId="031D10D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DIJAŠKI DOM TABOR</w:t>
            </w:r>
          </w:p>
        </w:tc>
      </w:tr>
      <w:tr w:rsidR="00E3750C" w:rsidRPr="00415AB3" w14:paraId="6A453C2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DC3B0B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89</w:t>
            </w:r>
          </w:p>
        </w:tc>
        <w:tc>
          <w:tcPr>
            <w:tcW w:w="705" w:type="pct"/>
            <w:tcBorders>
              <w:top w:val="nil"/>
              <w:left w:val="nil"/>
              <w:bottom w:val="single" w:sz="4" w:space="0" w:color="auto"/>
              <w:right w:val="single" w:sz="4" w:space="0" w:color="auto"/>
            </w:tcBorders>
            <w:shd w:val="clear" w:color="auto" w:fill="auto"/>
            <w:noWrap/>
            <w:vAlign w:val="center"/>
            <w:hideMark/>
          </w:tcPr>
          <w:p w14:paraId="375E3EF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5050278000</w:t>
            </w:r>
          </w:p>
        </w:tc>
        <w:tc>
          <w:tcPr>
            <w:tcW w:w="547" w:type="pct"/>
            <w:tcBorders>
              <w:top w:val="nil"/>
              <w:left w:val="nil"/>
              <w:bottom w:val="single" w:sz="4" w:space="0" w:color="auto"/>
              <w:right w:val="single" w:sz="4" w:space="0" w:color="auto"/>
            </w:tcBorders>
            <w:shd w:val="clear" w:color="auto" w:fill="auto"/>
            <w:noWrap/>
            <w:vAlign w:val="center"/>
            <w:hideMark/>
          </w:tcPr>
          <w:p w14:paraId="35A2A85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93128436</w:t>
            </w:r>
          </w:p>
        </w:tc>
        <w:tc>
          <w:tcPr>
            <w:tcW w:w="3360" w:type="pct"/>
            <w:tcBorders>
              <w:top w:val="nil"/>
              <w:left w:val="nil"/>
              <w:bottom w:val="single" w:sz="4" w:space="0" w:color="auto"/>
              <w:right w:val="single" w:sz="4" w:space="0" w:color="auto"/>
            </w:tcBorders>
            <w:shd w:val="clear" w:color="auto" w:fill="auto"/>
            <w:vAlign w:val="center"/>
            <w:hideMark/>
          </w:tcPr>
          <w:p w14:paraId="3C2172F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DIJAŠKI DOM VIČ</w:t>
            </w:r>
          </w:p>
        </w:tc>
      </w:tr>
      <w:tr w:rsidR="00E3750C" w:rsidRPr="00415AB3" w14:paraId="207BC78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D20D79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90</w:t>
            </w:r>
          </w:p>
        </w:tc>
        <w:tc>
          <w:tcPr>
            <w:tcW w:w="705" w:type="pct"/>
            <w:tcBorders>
              <w:top w:val="nil"/>
              <w:left w:val="nil"/>
              <w:bottom w:val="single" w:sz="4" w:space="0" w:color="auto"/>
              <w:right w:val="single" w:sz="4" w:space="0" w:color="auto"/>
            </w:tcBorders>
            <w:shd w:val="clear" w:color="auto" w:fill="auto"/>
            <w:noWrap/>
            <w:vAlign w:val="center"/>
            <w:hideMark/>
          </w:tcPr>
          <w:p w14:paraId="6FFBA3A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5049814000</w:t>
            </w:r>
          </w:p>
        </w:tc>
        <w:tc>
          <w:tcPr>
            <w:tcW w:w="547" w:type="pct"/>
            <w:tcBorders>
              <w:top w:val="nil"/>
              <w:left w:val="nil"/>
              <w:bottom w:val="single" w:sz="4" w:space="0" w:color="auto"/>
              <w:right w:val="single" w:sz="4" w:space="0" w:color="auto"/>
            </w:tcBorders>
            <w:shd w:val="clear" w:color="auto" w:fill="auto"/>
            <w:noWrap/>
            <w:vAlign w:val="center"/>
            <w:hideMark/>
          </w:tcPr>
          <w:p w14:paraId="23C1475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97013064</w:t>
            </w:r>
          </w:p>
        </w:tc>
        <w:tc>
          <w:tcPr>
            <w:tcW w:w="3360" w:type="pct"/>
            <w:tcBorders>
              <w:top w:val="nil"/>
              <w:left w:val="nil"/>
              <w:bottom w:val="single" w:sz="4" w:space="0" w:color="auto"/>
              <w:right w:val="single" w:sz="4" w:space="0" w:color="auto"/>
            </w:tcBorders>
            <w:shd w:val="clear" w:color="auto" w:fill="auto"/>
            <w:vAlign w:val="center"/>
            <w:hideMark/>
          </w:tcPr>
          <w:p w14:paraId="48DB4F3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DIJAŠKI IN ŠTUDENTSKI DOM KRANJ</w:t>
            </w:r>
          </w:p>
        </w:tc>
      </w:tr>
      <w:tr w:rsidR="00E3750C" w:rsidRPr="00415AB3" w14:paraId="34177CD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7A357B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91</w:t>
            </w:r>
          </w:p>
        </w:tc>
        <w:tc>
          <w:tcPr>
            <w:tcW w:w="705" w:type="pct"/>
            <w:tcBorders>
              <w:top w:val="nil"/>
              <w:left w:val="nil"/>
              <w:bottom w:val="single" w:sz="4" w:space="0" w:color="auto"/>
              <w:right w:val="single" w:sz="4" w:space="0" w:color="auto"/>
            </w:tcBorders>
            <w:shd w:val="clear" w:color="auto" w:fill="auto"/>
            <w:noWrap/>
            <w:vAlign w:val="center"/>
            <w:hideMark/>
          </w:tcPr>
          <w:p w14:paraId="606A06F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5050537000</w:t>
            </w:r>
          </w:p>
        </w:tc>
        <w:tc>
          <w:tcPr>
            <w:tcW w:w="547" w:type="pct"/>
            <w:tcBorders>
              <w:top w:val="nil"/>
              <w:left w:val="nil"/>
              <w:bottom w:val="single" w:sz="4" w:space="0" w:color="auto"/>
              <w:right w:val="single" w:sz="4" w:space="0" w:color="auto"/>
            </w:tcBorders>
            <w:shd w:val="clear" w:color="auto" w:fill="auto"/>
            <w:noWrap/>
            <w:vAlign w:val="center"/>
            <w:hideMark/>
          </w:tcPr>
          <w:p w14:paraId="5E99FDA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41262735</w:t>
            </w:r>
          </w:p>
        </w:tc>
        <w:tc>
          <w:tcPr>
            <w:tcW w:w="3360" w:type="pct"/>
            <w:tcBorders>
              <w:top w:val="nil"/>
              <w:left w:val="nil"/>
              <w:bottom w:val="single" w:sz="4" w:space="0" w:color="auto"/>
              <w:right w:val="single" w:sz="4" w:space="0" w:color="auto"/>
            </w:tcBorders>
            <w:shd w:val="clear" w:color="auto" w:fill="auto"/>
            <w:vAlign w:val="center"/>
            <w:hideMark/>
          </w:tcPr>
          <w:p w14:paraId="54A409C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DIJAŠKI IN ŠTUDENTSKI DOM NOVO MESTO</w:t>
            </w:r>
          </w:p>
        </w:tc>
      </w:tr>
      <w:tr w:rsidR="00E3750C" w:rsidRPr="00415AB3" w14:paraId="47C18AA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41D3FB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92</w:t>
            </w:r>
          </w:p>
        </w:tc>
        <w:tc>
          <w:tcPr>
            <w:tcW w:w="705" w:type="pct"/>
            <w:tcBorders>
              <w:top w:val="nil"/>
              <w:left w:val="nil"/>
              <w:bottom w:val="single" w:sz="4" w:space="0" w:color="auto"/>
              <w:right w:val="single" w:sz="4" w:space="0" w:color="auto"/>
            </w:tcBorders>
            <w:shd w:val="clear" w:color="auto" w:fill="auto"/>
            <w:noWrap/>
            <w:vAlign w:val="center"/>
            <w:hideMark/>
          </w:tcPr>
          <w:p w14:paraId="7123044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5198984000</w:t>
            </w:r>
          </w:p>
        </w:tc>
        <w:tc>
          <w:tcPr>
            <w:tcW w:w="547" w:type="pct"/>
            <w:tcBorders>
              <w:top w:val="nil"/>
              <w:left w:val="nil"/>
              <w:bottom w:val="single" w:sz="4" w:space="0" w:color="auto"/>
              <w:right w:val="single" w:sz="4" w:space="0" w:color="auto"/>
            </w:tcBorders>
            <w:shd w:val="clear" w:color="auto" w:fill="auto"/>
            <w:noWrap/>
            <w:vAlign w:val="center"/>
            <w:hideMark/>
          </w:tcPr>
          <w:p w14:paraId="6767469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32984375</w:t>
            </w:r>
          </w:p>
        </w:tc>
        <w:tc>
          <w:tcPr>
            <w:tcW w:w="3360" w:type="pct"/>
            <w:tcBorders>
              <w:top w:val="nil"/>
              <w:left w:val="nil"/>
              <w:bottom w:val="single" w:sz="4" w:space="0" w:color="auto"/>
              <w:right w:val="single" w:sz="4" w:space="0" w:color="auto"/>
            </w:tcBorders>
            <w:shd w:val="clear" w:color="auto" w:fill="auto"/>
            <w:vAlign w:val="center"/>
            <w:hideMark/>
          </w:tcPr>
          <w:p w14:paraId="000B2CC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DOLENJSKE LEKARNE NOVO MESTO P.O.</w:t>
            </w:r>
          </w:p>
        </w:tc>
      </w:tr>
      <w:tr w:rsidR="00E3750C" w:rsidRPr="00415AB3" w14:paraId="1F80C30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6F244D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93</w:t>
            </w:r>
          </w:p>
        </w:tc>
        <w:tc>
          <w:tcPr>
            <w:tcW w:w="705" w:type="pct"/>
            <w:tcBorders>
              <w:top w:val="nil"/>
              <w:left w:val="nil"/>
              <w:bottom w:val="single" w:sz="4" w:space="0" w:color="auto"/>
              <w:right w:val="single" w:sz="4" w:space="0" w:color="auto"/>
            </w:tcBorders>
            <w:shd w:val="clear" w:color="auto" w:fill="auto"/>
            <w:noWrap/>
            <w:vAlign w:val="center"/>
            <w:hideMark/>
          </w:tcPr>
          <w:p w14:paraId="7748282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5052211000</w:t>
            </w:r>
          </w:p>
        </w:tc>
        <w:tc>
          <w:tcPr>
            <w:tcW w:w="547" w:type="pct"/>
            <w:tcBorders>
              <w:top w:val="nil"/>
              <w:left w:val="nil"/>
              <w:bottom w:val="single" w:sz="4" w:space="0" w:color="auto"/>
              <w:right w:val="single" w:sz="4" w:space="0" w:color="auto"/>
            </w:tcBorders>
            <w:shd w:val="clear" w:color="auto" w:fill="auto"/>
            <w:noWrap/>
            <w:vAlign w:val="center"/>
            <w:hideMark/>
          </w:tcPr>
          <w:p w14:paraId="263A1D0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97644781</w:t>
            </w:r>
          </w:p>
        </w:tc>
        <w:tc>
          <w:tcPr>
            <w:tcW w:w="3360" w:type="pct"/>
            <w:tcBorders>
              <w:top w:val="nil"/>
              <w:left w:val="nil"/>
              <w:bottom w:val="single" w:sz="4" w:space="0" w:color="auto"/>
              <w:right w:val="single" w:sz="4" w:space="0" w:color="auto"/>
            </w:tcBorders>
            <w:shd w:val="clear" w:color="auto" w:fill="auto"/>
            <w:vAlign w:val="center"/>
            <w:hideMark/>
          </w:tcPr>
          <w:p w14:paraId="1E78E89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DOLENJSKI MUZEJ NOVO MESTO</w:t>
            </w:r>
          </w:p>
        </w:tc>
      </w:tr>
      <w:tr w:rsidR="00E3750C" w:rsidRPr="00415AB3" w14:paraId="5F2602B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9C69DE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94</w:t>
            </w:r>
          </w:p>
        </w:tc>
        <w:tc>
          <w:tcPr>
            <w:tcW w:w="705" w:type="pct"/>
            <w:tcBorders>
              <w:top w:val="nil"/>
              <w:left w:val="nil"/>
              <w:bottom w:val="single" w:sz="4" w:space="0" w:color="auto"/>
              <w:right w:val="single" w:sz="4" w:space="0" w:color="auto"/>
            </w:tcBorders>
            <w:shd w:val="clear" w:color="auto" w:fill="auto"/>
            <w:noWrap/>
            <w:vAlign w:val="center"/>
            <w:hideMark/>
          </w:tcPr>
          <w:p w14:paraId="43A4E09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5050367000</w:t>
            </w:r>
          </w:p>
        </w:tc>
        <w:tc>
          <w:tcPr>
            <w:tcW w:w="547" w:type="pct"/>
            <w:tcBorders>
              <w:top w:val="nil"/>
              <w:left w:val="nil"/>
              <w:bottom w:val="single" w:sz="4" w:space="0" w:color="auto"/>
              <w:right w:val="single" w:sz="4" w:space="0" w:color="auto"/>
            </w:tcBorders>
            <w:shd w:val="clear" w:color="auto" w:fill="auto"/>
            <w:noWrap/>
            <w:vAlign w:val="center"/>
            <w:hideMark/>
          </w:tcPr>
          <w:p w14:paraId="2748DEB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53650719</w:t>
            </w:r>
          </w:p>
        </w:tc>
        <w:tc>
          <w:tcPr>
            <w:tcW w:w="3360" w:type="pct"/>
            <w:tcBorders>
              <w:top w:val="nil"/>
              <w:left w:val="nil"/>
              <w:bottom w:val="single" w:sz="4" w:space="0" w:color="auto"/>
              <w:right w:val="single" w:sz="4" w:space="0" w:color="auto"/>
            </w:tcBorders>
            <w:shd w:val="clear" w:color="auto" w:fill="auto"/>
            <w:vAlign w:val="center"/>
            <w:hideMark/>
          </w:tcPr>
          <w:p w14:paraId="3195E95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DOM DANICE VOGRINEC MARIBOR</w:t>
            </w:r>
          </w:p>
        </w:tc>
      </w:tr>
      <w:tr w:rsidR="00E3750C" w:rsidRPr="00415AB3" w14:paraId="3EB585D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0437C0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95</w:t>
            </w:r>
          </w:p>
        </w:tc>
        <w:tc>
          <w:tcPr>
            <w:tcW w:w="705" w:type="pct"/>
            <w:tcBorders>
              <w:top w:val="nil"/>
              <w:left w:val="nil"/>
              <w:bottom w:val="single" w:sz="4" w:space="0" w:color="auto"/>
              <w:right w:val="single" w:sz="4" w:space="0" w:color="auto"/>
            </w:tcBorders>
            <w:shd w:val="clear" w:color="auto" w:fill="auto"/>
            <w:noWrap/>
            <w:vAlign w:val="center"/>
            <w:hideMark/>
          </w:tcPr>
          <w:p w14:paraId="47F9E5F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5095549000</w:t>
            </w:r>
          </w:p>
        </w:tc>
        <w:tc>
          <w:tcPr>
            <w:tcW w:w="547" w:type="pct"/>
            <w:tcBorders>
              <w:top w:val="nil"/>
              <w:left w:val="nil"/>
              <w:bottom w:val="single" w:sz="4" w:space="0" w:color="auto"/>
              <w:right w:val="single" w:sz="4" w:space="0" w:color="auto"/>
            </w:tcBorders>
            <w:shd w:val="clear" w:color="auto" w:fill="auto"/>
            <w:noWrap/>
            <w:vAlign w:val="center"/>
            <w:hideMark/>
          </w:tcPr>
          <w:p w14:paraId="58F740B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79863892</w:t>
            </w:r>
          </w:p>
        </w:tc>
        <w:tc>
          <w:tcPr>
            <w:tcW w:w="3360" w:type="pct"/>
            <w:tcBorders>
              <w:top w:val="nil"/>
              <w:left w:val="nil"/>
              <w:bottom w:val="single" w:sz="4" w:space="0" w:color="auto"/>
              <w:right w:val="single" w:sz="4" w:space="0" w:color="auto"/>
            </w:tcBorders>
            <w:shd w:val="clear" w:color="auto" w:fill="auto"/>
            <w:vAlign w:val="center"/>
            <w:hideMark/>
          </w:tcPr>
          <w:p w14:paraId="207B8BF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DOM DR. JANKA BENEDIKA RADOVLJICA</w:t>
            </w:r>
          </w:p>
        </w:tc>
      </w:tr>
      <w:tr w:rsidR="00E3750C" w:rsidRPr="00415AB3" w14:paraId="6C93E1C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4DCF77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96</w:t>
            </w:r>
          </w:p>
        </w:tc>
        <w:tc>
          <w:tcPr>
            <w:tcW w:w="705" w:type="pct"/>
            <w:tcBorders>
              <w:top w:val="nil"/>
              <w:left w:val="nil"/>
              <w:bottom w:val="single" w:sz="4" w:space="0" w:color="auto"/>
              <w:right w:val="single" w:sz="4" w:space="0" w:color="auto"/>
            </w:tcBorders>
            <w:shd w:val="clear" w:color="auto" w:fill="auto"/>
            <w:noWrap/>
            <w:vAlign w:val="center"/>
            <w:hideMark/>
          </w:tcPr>
          <w:p w14:paraId="3C0DEF4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5050723000</w:t>
            </w:r>
          </w:p>
        </w:tc>
        <w:tc>
          <w:tcPr>
            <w:tcW w:w="547" w:type="pct"/>
            <w:tcBorders>
              <w:top w:val="nil"/>
              <w:left w:val="nil"/>
              <w:bottom w:val="single" w:sz="4" w:space="0" w:color="auto"/>
              <w:right w:val="single" w:sz="4" w:space="0" w:color="auto"/>
            </w:tcBorders>
            <w:shd w:val="clear" w:color="auto" w:fill="auto"/>
            <w:noWrap/>
            <w:vAlign w:val="center"/>
            <w:hideMark/>
          </w:tcPr>
          <w:p w14:paraId="7DA0BA2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52804186</w:t>
            </w:r>
          </w:p>
        </w:tc>
        <w:tc>
          <w:tcPr>
            <w:tcW w:w="3360" w:type="pct"/>
            <w:tcBorders>
              <w:top w:val="nil"/>
              <w:left w:val="nil"/>
              <w:bottom w:val="single" w:sz="4" w:space="0" w:color="auto"/>
              <w:right w:val="single" w:sz="4" w:space="0" w:color="auto"/>
            </w:tcBorders>
            <w:shd w:val="clear" w:color="auto" w:fill="auto"/>
            <w:vAlign w:val="center"/>
            <w:hideMark/>
          </w:tcPr>
          <w:p w14:paraId="1A132C3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DOM DR. JOŽETA POTRČA POLJČANE</w:t>
            </w:r>
          </w:p>
        </w:tc>
      </w:tr>
      <w:tr w:rsidR="00E3750C" w:rsidRPr="00415AB3" w14:paraId="09A61C7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049075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97</w:t>
            </w:r>
          </w:p>
        </w:tc>
        <w:tc>
          <w:tcPr>
            <w:tcW w:w="705" w:type="pct"/>
            <w:tcBorders>
              <w:top w:val="nil"/>
              <w:left w:val="nil"/>
              <w:bottom w:val="single" w:sz="4" w:space="0" w:color="auto"/>
              <w:right w:val="single" w:sz="4" w:space="0" w:color="auto"/>
            </w:tcBorders>
            <w:shd w:val="clear" w:color="auto" w:fill="auto"/>
            <w:noWrap/>
            <w:vAlign w:val="center"/>
            <w:hideMark/>
          </w:tcPr>
          <w:p w14:paraId="0CABD7F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5051207000</w:t>
            </w:r>
          </w:p>
        </w:tc>
        <w:tc>
          <w:tcPr>
            <w:tcW w:w="547" w:type="pct"/>
            <w:tcBorders>
              <w:top w:val="nil"/>
              <w:left w:val="nil"/>
              <w:bottom w:val="single" w:sz="4" w:space="0" w:color="auto"/>
              <w:right w:val="single" w:sz="4" w:space="0" w:color="auto"/>
            </w:tcBorders>
            <w:shd w:val="clear" w:color="auto" w:fill="auto"/>
            <w:noWrap/>
            <w:vAlign w:val="center"/>
            <w:hideMark/>
          </w:tcPr>
          <w:p w14:paraId="378826F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60615346</w:t>
            </w:r>
          </w:p>
        </w:tc>
        <w:tc>
          <w:tcPr>
            <w:tcW w:w="3360" w:type="pct"/>
            <w:tcBorders>
              <w:top w:val="nil"/>
              <w:left w:val="nil"/>
              <w:bottom w:val="single" w:sz="4" w:space="0" w:color="auto"/>
              <w:right w:val="single" w:sz="4" w:space="0" w:color="auto"/>
            </w:tcBorders>
            <w:shd w:val="clear" w:color="auto" w:fill="auto"/>
            <w:vAlign w:val="center"/>
            <w:hideMark/>
          </w:tcPr>
          <w:p w14:paraId="7D4CE2C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DOM LUKAVCI</w:t>
            </w:r>
          </w:p>
        </w:tc>
      </w:tr>
      <w:tr w:rsidR="00E3750C" w:rsidRPr="00415AB3" w14:paraId="42A47A0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49F692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98</w:t>
            </w:r>
          </w:p>
        </w:tc>
        <w:tc>
          <w:tcPr>
            <w:tcW w:w="705" w:type="pct"/>
            <w:tcBorders>
              <w:top w:val="nil"/>
              <w:left w:val="nil"/>
              <w:bottom w:val="single" w:sz="4" w:space="0" w:color="auto"/>
              <w:right w:val="single" w:sz="4" w:space="0" w:color="auto"/>
            </w:tcBorders>
            <w:shd w:val="clear" w:color="auto" w:fill="auto"/>
            <w:noWrap/>
            <w:vAlign w:val="center"/>
            <w:hideMark/>
          </w:tcPr>
          <w:p w14:paraId="32911E0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5478448000</w:t>
            </w:r>
          </w:p>
        </w:tc>
        <w:tc>
          <w:tcPr>
            <w:tcW w:w="547" w:type="pct"/>
            <w:tcBorders>
              <w:top w:val="nil"/>
              <w:left w:val="nil"/>
              <w:bottom w:val="single" w:sz="4" w:space="0" w:color="auto"/>
              <w:right w:val="single" w:sz="4" w:space="0" w:color="auto"/>
            </w:tcBorders>
            <w:shd w:val="clear" w:color="auto" w:fill="auto"/>
            <w:noWrap/>
            <w:vAlign w:val="center"/>
            <w:hideMark/>
          </w:tcPr>
          <w:p w14:paraId="043918B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70284253</w:t>
            </w:r>
          </w:p>
        </w:tc>
        <w:tc>
          <w:tcPr>
            <w:tcW w:w="3360" w:type="pct"/>
            <w:tcBorders>
              <w:top w:val="nil"/>
              <w:left w:val="nil"/>
              <w:bottom w:val="single" w:sz="4" w:space="0" w:color="auto"/>
              <w:right w:val="single" w:sz="4" w:space="0" w:color="auto"/>
            </w:tcBorders>
            <w:shd w:val="clear" w:color="auto" w:fill="auto"/>
            <w:vAlign w:val="center"/>
            <w:hideMark/>
          </w:tcPr>
          <w:p w14:paraId="1D75936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DOM NA KRASU</w:t>
            </w:r>
          </w:p>
        </w:tc>
      </w:tr>
      <w:tr w:rsidR="00E3750C" w:rsidRPr="00415AB3" w14:paraId="4EEA61D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AE9834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99</w:t>
            </w:r>
          </w:p>
        </w:tc>
        <w:tc>
          <w:tcPr>
            <w:tcW w:w="705" w:type="pct"/>
            <w:tcBorders>
              <w:top w:val="nil"/>
              <w:left w:val="nil"/>
              <w:bottom w:val="single" w:sz="4" w:space="0" w:color="auto"/>
              <w:right w:val="single" w:sz="4" w:space="0" w:color="auto"/>
            </w:tcBorders>
            <w:shd w:val="clear" w:color="auto" w:fill="auto"/>
            <w:noWrap/>
            <w:vAlign w:val="center"/>
            <w:hideMark/>
          </w:tcPr>
          <w:p w14:paraId="2B5E31D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5055890000</w:t>
            </w:r>
          </w:p>
        </w:tc>
        <w:tc>
          <w:tcPr>
            <w:tcW w:w="547" w:type="pct"/>
            <w:tcBorders>
              <w:top w:val="nil"/>
              <w:left w:val="nil"/>
              <w:bottom w:val="single" w:sz="4" w:space="0" w:color="auto"/>
              <w:right w:val="single" w:sz="4" w:space="0" w:color="auto"/>
            </w:tcBorders>
            <w:shd w:val="clear" w:color="auto" w:fill="auto"/>
            <w:noWrap/>
            <w:vAlign w:val="center"/>
            <w:hideMark/>
          </w:tcPr>
          <w:p w14:paraId="57AB6A1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87163403</w:t>
            </w:r>
          </w:p>
        </w:tc>
        <w:tc>
          <w:tcPr>
            <w:tcW w:w="3360" w:type="pct"/>
            <w:tcBorders>
              <w:top w:val="nil"/>
              <w:left w:val="nil"/>
              <w:bottom w:val="single" w:sz="4" w:space="0" w:color="auto"/>
              <w:right w:val="single" w:sz="4" w:space="0" w:color="auto"/>
            </w:tcBorders>
            <w:shd w:val="clear" w:color="auto" w:fill="auto"/>
            <w:vAlign w:val="center"/>
            <w:hideMark/>
          </w:tcPr>
          <w:p w14:paraId="6611AB6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DOM NINE POKORN GRMOVJE</w:t>
            </w:r>
          </w:p>
        </w:tc>
      </w:tr>
      <w:tr w:rsidR="00E3750C" w:rsidRPr="00415AB3" w14:paraId="7D76837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0B86ED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100</w:t>
            </w:r>
          </w:p>
        </w:tc>
        <w:tc>
          <w:tcPr>
            <w:tcW w:w="705" w:type="pct"/>
            <w:tcBorders>
              <w:top w:val="nil"/>
              <w:left w:val="nil"/>
              <w:bottom w:val="single" w:sz="4" w:space="0" w:color="auto"/>
              <w:right w:val="single" w:sz="4" w:space="0" w:color="auto"/>
            </w:tcBorders>
            <w:shd w:val="clear" w:color="auto" w:fill="auto"/>
            <w:noWrap/>
            <w:vAlign w:val="center"/>
            <w:hideMark/>
          </w:tcPr>
          <w:p w14:paraId="0E81F47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5049571000</w:t>
            </w:r>
          </w:p>
        </w:tc>
        <w:tc>
          <w:tcPr>
            <w:tcW w:w="547" w:type="pct"/>
            <w:tcBorders>
              <w:top w:val="nil"/>
              <w:left w:val="nil"/>
              <w:bottom w:val="single" w:sz="4" w:space="0" w:color="auto"/>
              <w:right w:val="single" w:sz="4" w:space="0" w:color="auto"/>
            </w:tcBorders>
            <w:shd w:val="clear" w:color="auto" w:fill="auto"/>
            <w:noWrap/>
            <w:vAlign w:val="center"/>
            <w:hideMark/>
          </w:tcPr>
          <w:p w14:paraId="2A8D684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76851184</w:t>
            </w:r>
          </w:p>
        </w:tc>
        <w:tc>
          <w:tcPr>
            <w:tcW w:w="3360" w:type="pct"/>
            <w:tcBorders>
              <w:top w:val="nil"/>
              <w:left w:val="nil"/>
              <w:bottom w:val="single" w:sz="4" w:space="0" w:color="auto"/>
              <w:right w:val="single" w:sz="4" w:space="0" w:color="auto"/>
            </w:tcBorders>
            <w:shd w:val="clear" w:color="auto" w:fill="auto"/>
            <w:vAlign w:val="center"/>
            <w:hideMark/>
          </w:tcPr>
          <w:p w14:paraId="0DE74CB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DOM OB SAVINJI CELJE</w:t>
            </w:r>
          </w:p>
        </w:tc>
      </w:tr>
      <w:tr w:rsidR="00E3750C" w:rsidRPr="00415AB3" w14:paraId="6EA4D35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69E193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101</w:t>
            </w:r>
          </w:p>
        </w:tc>
        <w:tc>
          <w:tcPr>
            <w:tcW w:w="705" w:type="pct"/>
            <w:tcBorders>
              <w:top w:val="nil"/>
              <w:left w:val="nil"/>
              <w:bottom w:val="single" w:sz="4" w:space="0" w:color="auto"/>
              <w:right w:val="single" w:sz="4" w:space="0" w:color="auto"/>
            </w:tcBorders>
            <w:shd w:val="clear" w:color="auto" w:fill="auto"/>
            <w:noWrap/>
            <w:vAlign w:val="center"/>
            <w:hideMark/>
          </w:tcPr>
          <w:p w14:paraId="3A391FA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5181895000</w:t>
            </w:r>
          </w:p>
        </w:tc>
        <w:tc>
          <w:tcPr>
            <w:tcW w:w="547" w:type="pct"/>
            <w:tcBorders>
              <w:top w:val="nil"/>
              <w:left w:val="nil"/>
              <w:bottom w:val="single" w:sz="4" w:space="0" w:color="auto"/>
              <w:right w:val="single" w:sz="4" w:space="0" w:color="auto"/>
            </w:tcBorders>
            <w:shd w:val="clear" w:color="auto" w:fill="auto"/>
            <w:noWrap/>
            <w:vAlign w:val="center"/>
            <w:hideMark/>
          </w:tcPr>
          <w:p w14:paraId="3C81168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71142649</w:t>
            </w:r>
          </w:p>
        </w:tc>
        <w:tc>
          <w:tcPr>
            <w:tcW w:w="3360" w:type="pct"/>
            <w:tcBorders>
              <w:top w:val="nil"/>
              <w:left w:val="nil"/>
              <w:bottom w:val="single" w:sz="4" w:space="0" w:color="auto"/>
              <w:right w:val="single" w:sz="4" w:space="0" w:color="auto"/>
            </w:tcBorders>
            <w:shd w:val="clear" w:color="auto" w:fill="auto"/>
            <w:vAlign w:val="center"/>
            <w:hideMark/>
          </w:tcPr>
          <w:p w14:paraId="3F49007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DOM PETRA UZARJA</w:t>
            </w:r>
          </w:p>
        </w:tc>
      </w:tr>
      <w:tr w:rsidR="00E3750C" w:rsidRPr="00415AB3" w14:paraId="514DDAA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44D7EB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102</w:t>
            </w:r>
          </w:p>
        </w:tc>
        <w:tc>
          <w:tcPr>
            <w:tcW w:w="705" w:type="pct"/>
            <w:tcBorders>
              <w:top w:val="nil"/>
              <w:left w:val="nil"/>
              <w:bottom w:val="single" w:sz="4" w:space="0" w:color="auto"/>
              <w:right w:val="single" w:sz="4" w:space="0" w:color="auto"/>
            </w:tcBorders>
            <w:shd w:val="clear" w:color="auto" w:fill="auto"/>
            <w:noWrap/>
            <w:vAlign w:val="center"/>
            <w:hideMark/>
          </w:tcPr>
          <w:p w14:paraId="6C02E38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5049644000</w:t>
            </w:r>
          </w:p>
        </w:tc>
        <w:tc>
          <w:tcPr>
            <w:tcW w:w="547" w:type="pct"/>
            <w:tcBorders>
              <w:top w:val="nil"/>
              <w:left w:val="nil"/>
              <w:bottom w:val="single" w:sz="4" w:space="0" w:color="auto"/>
              <w:right w:val="single" w:sz="4" w:space="0" w:color="auto"/>
            </w:tcBorders>
            <w:shd w:val="clear" w:color="auto" w:fill="auto"/>
            <w:noWrap/>
            <w:vAlign w:val="center"/>
            <w:hideMark/>
          </w:tcPr>
          <w:p w14:paraId="45E0BDD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53602200</w:t>
            </w:r>
          </w:p>
        </w:tc>
        <w:tc>
          <w:tcPr>
            <w:tcW w:w="3360" w:type="pct"/>
            <w:tcBorders>
              <w:top w:val="nil"/>
              <w:left w:val="nil"/>
              <w:bottom w:val="single" w:sz="4" w:space="0" w:color="auto"/>
              <w:right w:val="single" w:sz="4" w:space="0" w:color="auto"/>
            </w:tcBorders>
            <w:shd w:val="clear" w:color="auto" w:fill="auto"/>
            <w:vAlign w:val="center"/>
            <w:hideMark/>
          </w:tcPr>
          <w:p w14:paraId="59DEBEE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DOM POČITKA MENGEŠ</w:t>
            </w:r>
          </w:p>
        </w:tc>
      </w:tr>
      <w:tr w:rsidR="00E3750C" w:rsidRPr="00415AB3" w14:paraId="55A0C23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2C986B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103</w:t>
            </w:r>
          </w:p>
        </w:tc>
        <w:tc>
          <w:tcPr>
            <w:tcW w:w="705" w:type="pct"/>
            <w:tcBorders>
              <w:top w:val="nil"/>
              <w:left w:val="nil"/>
              <w:bottom w:val="single" w:sz="4" w:space="0" w:color="auto"/>
              <w:right w:val="single" w:sz="4" w:space="0" w:color="auto"/>
            </w:tcBorders>
            <w:shd w:val="clear" w:color="auto" w:fill="auto"/>
            <w:noWrap/>
            <w:vAlign w:val="center"/>
            <w:hideMark/>
          </w:tcPr>
          <w:p w14:paraId="7841083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5865948000</w:t>
            </w:r>
          </w:p>
        </w:tc>
        <w:tc>
          <w:tcPr>
            <w:tcW w:w="547" w:type="pct"/>
            <w:tcBorders>
              <w:top w:val="nil"/>
              <w:left w:val="nil"/>
              <w:bottom w:val="single" w:sz="4" w:space="0" w:color="auto"/>
              <w:right w:val="single" w:sz="4" w:space="0" w:color="auto"/>
            </w:tcBorders>
            <w:shd w:val="clear" w:color="auto" w:fill="auto"/>
            <w:noWrap/>
            <w:vAlign w:val="center"/>
            <w:hideMark/>
          </w:tcPr>
          <w:p w14:paraId="71E536F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61758884</w:t>
            </w:r>
          </w:p>
        </w:tc>
        <w:tc>
          <w:tcPr>
            <w:tcW w:w="3360" w:type="pct"/>
            <w:tcBorders>
              <w:top w:val="nil"/>
              <w:left w:val="nil"/>
              <w:bottom w:val="single" w:sz="4" w:space="0" w:color="auto"/>
              <w:right w:val="single" w:sz="4" w:space="0" w:color="auto"/>
            </w:tcBorders>
            <w:shd w:val="clear" w:color="auto" w:fill="auto"/>
            <w:vAlign w:val="center"/>
            <w:hideMark/>
          </w:tcPr>
          <w:p w14:paraId="017A8DD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DOM STAREJŠIH LENDAVA</w:t>
            </w:r>
          </w:p>
        </w:tc>
      </w:tr>
      <w:tr w:rsidR="00E3750C" w:rsidRPr="00415AB3" w14:paraId="70D3111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34829B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104</w:t>
            </w:r>
          </w:p>
        </w:tc>
        <w:tc>
          <w:tcPr>
            <w:tcW w:w="705" w:type="pct"/>
            <w:tcBorders>
              <w:top w:val="nil"/>
              <w:left w:val="nil"/>
              <w:bottom w:val="single" w:sz="4" w:space="0" w:color="auto"/>
              <w:right w:val="single" w:sz="4" w:space="0" w:color="auto"/>
            </w:tcBorders>
            <w:shd w:val="clear" w:color="auto" w:fill="auto"/>
            <w:noWrap/>
            <w:vAlign w:val="center"/>
            <w:hideMark/>
          </w:tcPr>
          <w:p w14:paraId="52749C4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1453823000</w:t>
            </w:r>
          </w:p>
        </w:tc>
        <w:tc>
          <w:tcPr>
            <w:tcW w:w="547" w:type="pct"/>
            <w:tcBorders>
              <w:top w:val="nil"/>
              <w:left w:val="nil"/>
              <w:bottom w:val="single" w:sz="4" w:space="0" w:color="auto"/>
              <w:right w:val="single" w:sz="4" w:space="0" w:color="auto"/>
            </w:tcBorders>
            <w:shd w:val="clear" w:color="auto" w:fill="auto"/>
            <w:noWrap/>
            <w:vAlign w:val="center"/>
            <w:hideMark/>
          </w:tcPr>
          <w:p w14:paraId="5E9C515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57359032</w:t>
            </w:r>
          </w:p>
        </w:tc>
        <w:tc>
          <w:tcPr>
            <w:tcW w:w="3360" w:type="pct"/>
            <w:tcBorders>
              <w:top w:val="nil"/>
              <w:left w:val="nil"/>
              <w:bottom w:val="single" w:sz="4" w:space="0" w:color="auto"/>
              <w:right w:val="single" w:sz="4" w:space="0" w:color="auto"/>
            </w:tcBorders>
            <w:shd w:val="clear" w:color="auto" w:fill="auto"/>
            <w:vAlign w:val="center"/>
            <w:hideMark/>
          </w:tcPr>
          <w:p w14:paraId="2DE978F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DOM STAREJŠIH LOGATEC</w:t>
            </w:r>
          </w:p>
        </w:tc>
      </w:tr>
      <w:tr w:rsidR="00E3750C" w:rsidRPr="00415AB3" w14:paraId="6BEBA16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C44A73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105</w:t>
            </w:r>
          </w:p>
        </w:tc>
        <w:tc>
          <w:tcPr>
            <w:tcW w:w="705" w:type="pct"/>
            <w:tcBorders>
              <w:top w:val="nil"/>
              <w:left w:val="nil"/>
              <w:bottom w:val="single" w:sz="4" w:space="0" w:color="auto"/>
              <w:right w:val="single" w:sz="4" w:space="0" w:color="auto"/>
            </w:tcBorders>
            <w:shd w:val="clear" w:color="auto" w:fill="auto"/>
            <w:noWrap/>
            <w:vAlign w:val="center"/>
            <w:hideMark/>
          </w:tcPr>
          <w:p w14:paraId="20D05BA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1602608000</w:t>
            </w:r>
          </w:p>
        </w:tc>
        <w:tc>
          <w:tcPr>
            <w:tcW w:w="547" w:type="pct"/>
            <w:tcBorders>
              <w:top w:val="nil"/>
              <w:left w:val="nil"/>
              <w:bottom w:val="single" w:sz="4" w:space="0" w:color="auto"/>
              <w:right w:val="single" w:sz="4" w:space="0" w:color="auto"/>
            </w:tcBorders>
            <w:shd w:val="clear" w:color="auto" w:fill="auto"/>
            <w:noWrap/>
            <w:vAlign w:val="center"/>
            <w:hideMark/>
          </w:tcPr>
          <w:p w14:paraId="7459BC3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79096298</w:t>
            </w:r>
          </w:p>
        </w:tc>
        <w:tc>
          <w:tcPr>
            <w:tcW w:w="3360" w:type="pct"/>
            <w:tcBorders>
              <w:top w:val="nil"/>
              <w:left w:val="nil"/>
              <w:bottom w:val="single" w:sz="4" w:space="0" w:color="auto"/>
              <w:right w:val="single" w:sz="4" w:space="0" w:color="auto"/>
            </w:tcBorders>
            <w:shd w:val="clear" w:color="auto" w:fill="auto"/>
            <w:vAlign w:val="center"/>
            <w:hideMark/>
          </w:tcPr>
          <w:p w14:paraId="31963E9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DOM STAREJŠIH NA FARI</w:t>
            </w:r>
          </w:p>
        </w:tc>
      </w:tr>
      <w:tr w:rsidR="00E3750C" w:rsidRPr="00415AB3" w14:paraId="0CD3813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99B22D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106</w:t>
            </w:r>
          </w:p>
        </w:tc>
        <w:tc>
          <w:tcPr>
            <w:tcW w:w="705" w:type="pct"/>
            <w:tcBorders>
              <w:top w:val="nil"/>
              <w:left w:val="nil"/>
              <w:bottom w:val="single" w:sz="4" w:space="0" w:color="auto"/>
              <w:right w:val="single" w:sz="4" w:space="0" w:color="auto"/>
            </w:tcBorders>
            <w:shd w:val="clear" w:color="auto" w:fill="auto"/>
            <w:noWrap/>
            <w:vAlign w:val="center"/>
            <w:hideMark/>
          </w:tcPr>
          <w:p w14:paraId="5F945DD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5242169000</w:t>
            </w:r>
          </w:p>
        </w:tc>
        <w:tc>
          <w:tcPr>
            <w:tcW w:w="547" w:type="pct"/>
            <w:tcBorders>
              <w:top w:val="nil"/>
              <w:left w:val="nil"/>
              <w:bottom w:val="single" w:sz="4" w:space="0" w:color="auto"/>
              <w:right w:val="single" w:sz="4" w:space="0" w:color="auto"/>
            </w:tcBorders>
            <w:shd w:val="clear" w:color="auto" w:fill="auto"/>
            <w:noWrap/>
            <w:vAlign w:val="center"/>
            <w:hideMark/>
          </w:tcPr>
          <w:p w14:paraId="59E18CE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89835611</w:t>
            </w:r>
          </w:p>
        </w:tc>
        <w:tc>
          <w:tcPr>
            <w:tcW w:w="3360" w:type="pct"/>
            <w:tcBorders>
              <w:top w:val="nil"/>
              <w:left w:val="nil"/>
              <w:bottom w:val="single" w:sz="4" w:space="0" w:color="auto"/>
              <w:right w:val="single" w:sz="4" w:space="0" w:color="auto"/>
            </w:tcBorders>
            <w:shd w:val="clear" w:color="auto" w:fill="auto"/>
            <w:vAlign w:val="center"/>
            <w:hideMark/>
          </w:tcPr>
          <w:p w14:paraId="3CE7347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DOM STAREJŠIH OBČANOV AJDOVŠČINA</w:t>
            </w:r>
          </w:p>
        </w:tc>
      </w:tr>
      <w:tr w:rsidR="00E3750C" w:rsidRPr="00415AB3" w14:paraId="3662F58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910A3E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107</w:t>
            </w:r>
          </w:p>
        </w:tc>
        <w:tc>
          <w:tcPr>
            <w:tcW w:w="705" w:type="pct"/>
            <w:tcBorders>
              <w:top w:val="nil"/>
              <w:left w:val="nil"/>
              <w:bottom w:val="single" w:sz="4" w:space="0" w:color="auto"/>
              <w:right w:val="single" w:sz="4" w:space="0" w:color="auto"/>
            </w:tcBorders>
            <w:shd w:val="clear" w:color="auto" w:fill="auto"/>
            <w:noWrap/>
            <w:vAlign w:val="center"/>
            <w:hideMark/>
          </w:tcPr>
          <w:p w14:paraId="7E6C79A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5274508000</w:t>
            </w:r>
          </w:p>
        </w:tc>
        <w:tc>
          <w:tcPr>
            <w:tcW w:w="547" w:type="pct"/>
            <w:tcBorders>
              <w:top w:val="nil"/>
              <w:left w:val="nil"/>
              <w:bottom w:val="single" w:sz="4" w:space="0" w:color="auto"/>
              <w:right w:val="single" w:sz="4" w:space="0" w:color="auto"/>
            </w:tcBorders>
            <w:shd w:val="clear" w:color="auto" w:fill="auto"/>
            <w:noWrap/>
            <w:vAlign w:val="center"/>
            <w:hideMark/>
          </w:tcPr>
          <w:p w14:paraId="228315D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54512336</w:t>
            </w:r>
          </w:p>
        </w:tc>
        <w:tc>
          <w:tcPr>
            <w:tcW w:w="3360" w:type="pct"/>
            <w:tcBorders>
              <w:top w:val="nil"/>
              <w:left w:val="nil"/>
              <w:bottom w:val="single" w:sz="4" w:space="0" w:color="auto"/>
              <w:right w:val="single" w:sz="4" w:space="0" w:color="auto"/>
            </w:tcBorders>
            <w:shd w:val="clear" w:color="auto" w:fill="auto"/>
            <w:vAlign w:val="center"/>
            <w:hideMark/>
          </w:tcPr>
          <w:p w14:paraId="19E9B8C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DOM STAREJŠIH OBČANOV ČRNOMELJ</w:t>
            </w:r>
          </w:p>
        </w:tc>
      </w:tr>
      <w:tr w:rsidR="00E3750C" w:rsidRPr="00415AB3" w14:paraId="6516ADE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D70FA5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108</w:t>
            </w:r>
          </w:p>
        </w:tc>
        <w:tc>
          <w:tcPr>
            <w:tcW w:w="705" w:type="pct"/>
            <w:tcBorders>
              <w:top w:val="nil"/>
              <w:left w:val="nil"/>
              <w:bottom w:val="single" w:sz="4" w:space="0" w:color="auto"/>
              <w:right w:val="single" w:sz="4" w:space="0" w:color="auto"/>
            </w:tcBorders>
            <w:shd w:val="clear" w:color="auto" w:fill="auto"/>
            <w:noWrap/>
            <w:vAlign w:val="center"/>
            <w:hideMark/>
          </w:tcPr>
          <w:p w14:paraId="42413A2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1827162000</w:t>
            </w:r>
          </w:p>
        </w:tc>
        <w:tc>
          <w:tcPr>
            <w:tcW w:w="547" w:type="pct"/>
            <w:tcBorders>
              <w:top w:val="nil"/>
              <w:left w:val="nil"/>
              <w:bottom w:val="single" w:sz="4" w:space="0" w:color="auto"/>
              <w:right w:val="single" w:sz="4" w:space="0" w:color="auto"/>
            </w:tcBorders>
            <w:shd w:val="clear" w:color="auto" w:fill="auto"/>
            <w:noWrap/>
            <w:vAlign w:val="center"/>
            <w:hideMark/>
          </w:tcPr>
          <w:p w14:paraId="5B60630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59514116</w:t>
            </w:r>
          </w:p>
        </w:tc>
        <w:tc>
          <w:tcPr>
            <w:tcW w:w="3360" w:type="pct"/>
            <w:tcBorders>
              <w:top w:val="nil"/>
              <w:left w:val="nil"/>
              <w:bottom w:val="single" w:sz="4" w:space="0" w:color="auto"/>
              <w:right w:val="single" w:sz="4" w:space="0" w:color="auto"/>
            </w:tcBorders>
            <w:shd w:val="clear" w:color="auto" w:fill="auto"/>
            <w:vAlign w:val="center"/>
            <w:hideMark/>
          </w:tcPr>
          <w:p w14:paraId="1BC4B9C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DOM STAREJŠIH OBČANOV FUŽINE</w:t>
            </w:r>
          </w:p>
        </w:tc>
      </w:tr>
      <w:tr w:rsidR="00E3750C" w:rsidRPr="00415AB3" w14:paraId="1F20CD1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21B394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109</w:t>
            </w:r>
          </w:p>
        </w:tc>
        <w:tc>
          <w:tcPr>
            <w:tcW w:w="705" w:type="pct"/>
            <w:tcBorders>
              <w:top w:val="nil"/>
              <w:left w:val="nil"/>
              <w:bottom w:val="single" w:sz="4" w:space="0" w:color="auto"/>
              <w:right w:val="single" w:sz="4" w:space="0" w:color="auto"/>
            </w:tcBorders>
            <w:shd w:val="clear" w:color="auto" w:fill="auto"/>
            <w:noWrap/>
            <w:vAlign w:val="center"/>
            <w:hideMark/>
          </w:tcPr>
          <w:p w14:paraId="597082D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5241952000</w:t>
            </w:r>
          </w:p>
        </w:tc>
        <w:tc>
          <w:tcPr>
            <w:tcW w:w="547" w:type="pct"/>
            <w:tcBorders>
              <w:top w:val="nil"/>
              <w:left w:val="nil"/>
              <w:bottom w:val="single" w:sz="4" w:space="0" w:color="auto"/>
              <w:right w:val="single" w:sz="4" w:space="0" w:color="auto"/>
            </w:tcBorders>
            <w:shd w:val="clear" w:color="auto" w:fill="auto"/>
            <w:noWrap/>
            <w:vAlign w:val="center"/>
            <w:hideMark/>
          </w:tcPr>
          <w:p w14:paraId="4C58B1E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53318862</w:t>
            </w:r>
          </w:p>
        </w:tc>
        <w:tc>
          <w:tcPr>
            <w:tcW w:w="3360" w:type="pct"/>
            <w:tcBorders>
              <w:top w:val="nil"/>
              <w:left w:val="nil"/>
              <w:bottom w:val="single" w:sz="4" w:space="0" w:color="auto"/>
              <w:right w:val="single" w:sz="4" w:space="0" w:color="auto"/>
            </w:tcBorders>
            <w:shd w:val="clear" w:color="auto" w:fill="auto"/>
            <w:vAlign w:val="center"/>
            <w:hideMark/>
          </w:tcPr>
          <w:p w14:paraId="01AE849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DOM STAREJŠIH OBČANOV GROSUPLJE</w:t>
            </w:r>
          </w:p>
        </w:tc>
      </w:tr>
      <w:tr w:rsidR="00E3750C" w:rsidRPr="00415AB3" w14:paraId="1A7898D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8682B4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110</w:t>
            </w:r>
          </w:p>
        </w:tc>
        <w:tc>
          <w:tcPr>
            <w:tcW w:w="705" w:type="pct"/>
            <w:tcBorders>
              <w:top w:val="nil"/>
              <w:left w:val="nil"/>
              <w:bottom w:val="single" w:sz="4" w:space="0" w:color="auto"/>
              <w:right w:val="single" w:sz="4" w:space="0" w:color="auto"/>
            </w:tcBorders>
            <w:shd w:val="clear" w:color="auto" w:fill="auto"/>
            <w:noWrap/>
            <w:vAlign w:val="center"/>
            <w:hideMark/>
          </w:tcPr>
          <w:p w14:paraId="5F51C17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5500389000</w:t>
            </w:r>
          </w:p>
        </w:tc>
        <w:tc>
          <w:tcPr>
            <w:tcW w:w="547" w:type="pct"/>
            <w:tcBorders>
              <w:top w:val="nil"/>
              <w:left w:val="nil"/>
              <w:bottom w:val="single" w:sz="4" w:space="0" w:color="auto"/>
              <w:right w:val="single" w:sz="4" w:space="0" w:color="auto"/>
            </w:tcBorders>
            <w:shd w:val="clear" w:color="auto" w:fill="auto"/>
            <w:noWrap/>
            <w:vAlign w:val="center"/>
            <w:hideMark/>
          </w:tcPr>
          <w:p w14:paraId="5E78280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65045238</w:t>
            </w:r>
          </w:p>
        </w:tc>
        <w:tc>
          <w:tcPr>
            <w:tcW w:w="3360" w:type="pct"/>
            <w:tcBorders>
              <w:top w:val="nil"/>
              <w:left w:val="nil"/>
              <w:bottom w:val="single" w:sz="4" w:space="0" w:color="auto"/>
              <w:right w:val="single" w:sz="4" w:space="0" w:color="auto"/>
            </w:tcBorders>
            <w:shd w:val="clear" w:color="auto" w:fill="auto"/>
            <w:vAlign w:val="center"/>
            <w:hideMark/>
          </w:tcPr>
          <w:p w14:paraId="42A3A18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DOM STAREJŠIH OBČANOV ILIRSKA BISTRICA</w:t>
            </w:r>
          </w:p>
        </w:tc>
      </w:tr>
      <w:tr w:rsidR="00E3750C" w:rsidRPr="00415AB3" w14:paraId="40E2296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F8CB0C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111</w:t>
            </w:r>
          </w:p>
        </w:tc>
        <w:tc>
          <w:tcPr>
            <w:tcW w:w="705" w:type="pct"/>
            <w:tcBorders>
              <w:top w:val="nil"/>
              <w:left w:val="nil"/>
              <w:bottom w:val="single" w:sz="4" w:space="0" w:color="auto"/>
              <w:right w:val="single" w:sz="4" w:space="0" w:color="auto"/>
            </w:tcBorders>
            <w:shd w:val="clear" w:color="auto" w:fill="auto"/>
            <w:noWrap/>
            <w:vAlign w:val="center"/>
            <w:hideMark/>
          </w:tcPr>
          <w:p w14:paraId="7365692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5049784000</w:t>
            </w:r>
          </w:p>
        </w:tc>
        <w:tc>
          <w:tcPr>
            <w:tcW w:w="547" w:type="pct"/>
            <w:tcBorders>
              <w:top w:val="nil"/>
              <w:left w:val="nil"/>
              <w:bottom w:val="single" w:sz="4" w:space="0" w:color="auto"/>
              <w:right w:val="single" w:sz="4" w:space="0" w:color="auto"/>
            </w:tcBorders>
            <w:shd w:val="clear" w:color="auto" w:fill="auto"/>
            <w:noWrap/>
            <w:vAlign w:val="center"/>
            <w:hideMark/>
          </w:tcPr>
          <w:p w14:paraId="147FC7E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85433900</w:t>
            </w:r>
          </w:p>
        </w:tc>
        <w:tc>
          <w:tcPr>
            <w:tcW w:w="3360" w:type="pct"/>
            <w:tcBorders>
              <w:top w:val="nil"/>
              <w:left w:val="nil"/>
              <w:bottom w:val="single" w:sz="4" w:space="0" w:color="auto"/>
              <w:right w:val="single" w:sz="4" w:space="0" w:color="auto"/>
            </w:tcBorders>
            <w:shd w:val="clear" w:color="auto" w:fill="auto"/>
            <w:vAlign w:val="center"/>
            <w:hideMark/>
          </w:tcPr>
          <w:p w14:paraId="0523939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DOM STAREJŠIH OBČANOV KAMNIK</w:t>
            </w:r>
          </w:p>
        </w:tc>
      </w:tr>
      <w:tr w:rsidR="00E3750C" w:rsidRPr="00415AB3" w14:paraId="0F7CBC4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F5B1F9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112</w:t>
            </w:r>
          </w:p>
        </w:tc>
        <w:tc>
          <w:tcPr>
            <w:tcW w:w="705" w:type="pct"/>
            <w:tcBorders>
              <w:top w:val="nil"/>
              <w:left w:val="nil"/>
              <w:bottom w:val="single" w:sz="4" w:space="0" w:color="auto"/>
              <w:right w:val="single" w:sz="4" w:space="0" w:color="auto"/>
            </w:tcBorders>
            <w:shd w:val="clear" w:color="auto" w:fill="auto"/>
            <w:noWrap/>
            <w:vAlign w:val="center"/>
            <w:hideMark/>
          </w:tcPr>
          <w:p w14:paraId="25D7050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5255783000</w:t>
            </w:r>
          </w:p>
        </w:tc>
        <w:tc>
          <w:tcPr>
            <w:tcW w:w="547" w:type="pct"/>
            <w:tcBorders>
              <w:top w:val="nil"/>
              <w:left w:val="nil"/>
              <w:bottom w:val="single" w:sz="4" w:space="0" w:color="auto"/>
              <w:right w:val="single" w:sz="4" w:space="0" w:color="auto"/>
            </w:tcBorders>
            <w:shd w:val="clear" w:color="auto" w:fill="auto"/>
            <w:noWrap/>
            <w:vAlign w:val="center"/>
            <w:hideMark/>
          </w:tcPr>
          <w:p w14:paraId="44E7862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44663633</w:t>
            </w:r>
          </w:p>
        </w:tc>
        <w:tc>
          <w:tcPr>
            <w:tcW w:w="3360" w:type="pct"/>
            <w:tcBorders>
              <w:top w:val="nil"/>
              <w:left w:val="nil"/>
              <w:bottom w:val="single" w:sz="4" w:space="0" w:color="auto"/>
              <w:right w:val="single" w:sz="4" w:space="0" w:color="auto"/>
            </w:tcBorders>
            <w:shd w:val="clear" w:color="auto" w:fill="auto"/>
            <w:vAlign w:val="center"/>
            <w:hideMark/>
          </w:tcPr>
          <w:p w14:paraId="01114B2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DOM STAREJŠIH OBČANOV KOČEVJE</w:t>
            </w:r>
          </w:p>
        </w:tc>
      </w:tr>
      <w:tr w:rsidR="00E3750C" w:rsidRPr="00415AB3" w14:paraId="1E8DD9D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F4F067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113</w:t>
            </w:r>
          </w:p>
        </w:tc>
        <w:tc>
          <w:tcPr>
            <w:tcW w:w="705" w:type="pct"/>
            <w:tcBorders>
              <w:top w:val="nil"/>
              <w:left w:val="nil"/>
              <w:bottom w:val="single" w:sz="4" w:space="0" w:color="auto"/>
              <w:right w:val="single" w:sz="4" w:space="0" w:color="auto"/>
            </w:tcBorders>
            <w:shd w:val="clear" w:color="auto" w:fill="auto"/>
            <w:noWrap/>
            <w:vAlign w:val="center"/>
            <w:hideMark/>
          </w:tcPr>
          <w:p w14:paraId="55B719E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5902967000</w:t>
            </w:r>
          </w:p>
        </w:tc>
        <w:tc>
          <w:tcPr>
            <w:tcW w:w="547" w:type="pct"/>
            <w:tcBorders>
              <w:top w:val="nil"/>
              <w:left w:val="nil"/>
              <w:bottom w:val="single" w:sz="4" w:space="0" w:color="auto"/>
              <w:right w:val="single" w:sz="4" w:space="0" w:color="auto"/>
            </w:tcBorders>
            <w:shd w:val="clear" w:color="auto" w:fill="auto"/>
            <w:noWrap/>
            <w:vAlign w:val="center"/>
            <w:hideMark/>
          </w:tcPr>
          <w:p w14:paraId="6C6A2E1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81466757</w:t>
            </w:r>
          </w:p>
        </w:tc>
        <w:tc>
          <w:tcPr>
            <w:tcW w:w="3360" w:type="pct"/>
            <w:tcBorders>
              <w:top w:val="nil"/>
              <w:left w:val="nil"/>
              <w:bottom w:val="single" w:sz="4" w:space="0" w:color="auto"/>
              <w:right w:val="single" w:sz="4" w:space="0" w:color="auto"/>
            </w:tcBorders>
            <w:shd w:val="clear" w:color="auto" w:fill="auto"/>
            <w:vAlign w:val="center"/>
            <w:hideMark/>
          </w:tcPr>
          <w:p w14:paraId="407689B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DOM STAREJŠIH OBČANOV KRŠKO</w:t>
            </w:r>
          </w:p>
        </w:tc>
      </w:tr>
      <w:tr w:rsidR="00E3750C" w:rsidRPr="00415AB3" w14:paraId="534429A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2EBEFD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114</w:t>
            </w:r>
          </w:p>
        </w:tc>
        <w:tc>
          <w:tcPr>
            <w:tcW w:w="705" w:type="pct"/>
            <w:tcBorders>
              <w:top w:val="nil"/>
              <w:left w:val="nil"/>
              <w:bottom w:val="single" w:sz="4" w:space="0" w:color="auto"/>
              <w:right w:val="single" w:sz="4" w:space="0" w:color="auto"/>
            </w:tcBorders>
            <w:shd w:val="clear" w:color="auto" w:fill="auto"/>
            <w:noWrap/>
            <w:vAlign w:val="center"/>
            <w:hideMark/>
          </w:tcPr>
          <w:p w14:paraId="705BFA6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5159628000</w:t>
            </w:r>
          </w:p>
        </w:tc>
        <w:tc>
          <w:tcPr>
            <w:tcW w:w="547" w:type="pct"/>
            <w:tcBorders>
              <w:top w:val="nil"/>
              <w:left w:val="nil"/>
              <w:bottom w:val="single" w:sz="4" w:space="0" w:color="auto"/>
              <w:right w:val="single" w:sz="4" w:space="0" w:color="auto"/>
            </w:tcBorders>
            <w:shd w:val="clear" w:color="auto" w:fill="auto"/>
            <w:noWrap/>
            <w:vAlign w:val="center"/>
            <w:hideMark/>
          </w:tcPr>
          <w:p w14:paraId="13A2BE6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18613691</w:t>
            </w:r>
          </w:p>
        </w:tc>
        <w:tc>
          <w:tcPr>
            <w:tcW w:w="3360" w:type="pct"/>
            <w:tcBorders>
              <w:top w:val="nil"/>
              <w:left w:val="nil"/>
              <w:bottom w:val="single" w:sz="4" w:space="0" w:color="auto"/>
              <w:right w:val="single" w:sz="4" w:space="0" w:color="auto"/>
            </w:tcBorders>
            <w:shd w:val="clear" w:color="auto" w:fill="auto"/>
            <w:vAlign w:val="center"/>
            <w:hideMark/>
          </w:tcPr>
          <w:p w14:paraId="656E4B1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DOM STAREJŠIH OBČANOV LJUBLJANA BEŽIGRAD</w:t>
            </w:r>
          </w:p>
        </w:tc>
      </w:tr>
      <w:tr w:rsidR="00E3750C" w:rsidRPr="00415AB3" w14:paraId="7FF62D4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8FF5D4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115</w:t>
            </w:r>
          </w:p>
        </w:tc>
        <w:tc>
          <w:tcPr>
            <w:tcW w:w="705" w:type="pct"/>
            <w:tcBorders>
              <w:top w:val="nil"/>
              <w:left w:val="nil"/>
              <w:bottom w:val="single" w:sz="4" w:space="0" w:color="auto"/>
              <w:right w:val="single" w:sz="4" w:space="0" w:color="auto"/>
            </w:tcBorders>
            <w:shd w:val="clear" w:color="auto" w:fill="auto"/>
            <w:noWrap/>
            <w:vAlign w:val="center"/>
            <w:hideMark/>
          </w:tcPr>
          <w:p w14:paraId="77AB97E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5050740000</w:t>
            </w:r>
          </w:p>
        </w:tc>
        <w:tc>
          <w:tcPr>
            <w:tcW w:w="547" w:type="pct"/>
            <w:tcBorders>
              <w:top w:val="nil"/>
              <w:left w:val="nil"/>
              <w:bottom w:val="single" w:sz="4" w:space="0" w:color="auto"/>
              <w:right w:val="single" w:sz="4" w:space="0" w:color="auto"/>
            </w:tcBorders>
            <w:shd w:val="clear" w:color="auto" w:fill="auto"/>
            <w:noWrap/>
            <w:vAlign w:val="center"/>
            <w:hideMark/>
          </w:tcPr>
          <w:p w14:paraId="0CEEA06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36355992</w:t>
            </w:r>
          </w:p>
        </w:tc>
        <w:tc>
          <w:tcPr>
            <w:tcW w:w="3360" w:type="pct"/>
            <w:tcBorders>
              <w:top w:val="nil"/>
              <w:left w:val="nil"/>
              <w:bottom w:val="single" w:sz="4" w:space="0" w:color="auto"/>
              <w:right w:val="single" w:sz="4" w:space="0" w:color="auto"/>
            </w:tcBorders>
            <w:shd w:val="clear" w:color="auto" w:fill="auto"/>
            <w:vAlign w:val="center"/>
            <w:hideMark/>
          </w:tcPr>
          <w:p w14:paraId="398D620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DOM STAREJŠIH OBČANOV LJUBLJANA VIČ RUDNIK</w:t>
            </w:r>
          </w:p>
        </w:tc>
      </w:tr>
      <w:tr w:rsidR="00E3750C" w:rsidRPr="00415AB3" w14:paraId="5FC140B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23430B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116</w:t>
            </w:r>
          </w:p>
        </w:tc>
        <w:tc>
          <w:tcPr>
            <w:tcW w:w="705" w:type="pct"/>
            <w:tcBorders>
              <w:top w:val="nil"/>
              <w:left w:val="nil"/>
              <w:bottom w:val="single" w:sz="4" w:space="0" w:color="auto"/>
              <w:right w:val="single" w:sz="4" w:space="0" w:color="auto"/>
            </w:tcBorders>
            <w:shd w:val="clear" w:color="auto" w:fill="auto"/>
            <w:noWrap/>
            <w:vAlign w:val="center"/>
            <w:hideMark/>
          </w:tcPr>
          <w:p w14:paraId="473CFB2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5227046000</w:t>
            </w:r>
          </w:p>
        </w:tc>
        <w:tc>
          <w:tcPr>
            <w:tcW w:w="547" w:type="pct"/>
            <w:tcBorders>
              <w:top w:val="nil"/>
              <w:left w:val="nil"/>
              <w:bottom w:val="single" w:sz="4" w:space="0" w:color="auto"/>
              <w:right w:val="single" w:sz="4" w:space="0" w:color="auto"/>
            </w:tcBorders>
            <w:shd w:val="clear" w:color="auto" w:fill="auto"/>
            <w:noWrap/>
            <w:vAlign w:val="center"/>
            <w:hideMark/>
          </w:tcPr>
          <w:p w14:paraId="097BBC8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61326232</w:t>
            </w:r>
          </w:p>
        </w:tc>
        <w:tc>
          <w:tcPr>
            <w:tcW w:w="3360" w:type="pct"/>
            <w:tcBorders>
              <w:top w:val="nil"/>
              <w:left w:val="nil"/>
              <w:bottom w:val="single" w:sz="4" w:space="0" w:color="auto"/>
              <w:right w:val="single" w:sz="4" w:space="0" w:color="auto"/>
            </w:tcBorders>
            <w:shd w:val="clear" w:color="auto" w:fill="auto"/>
            <w:vAlign w:val="center"/>
            <w:hideMark/>
          </w:tcPr>
          <w:p w14:paraId="6AFBFA6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DOM STAREJŠIH OBČANOV LJUBLJANA-MOSTE-POLJE</w:t>
            </w:r>
          </w:p>
        </w:tc>
      </w:tr>
      <w:tr w:rsidR="00E3750C" w:rsidRPr="00415AB3" w14:paraId="70FBD9A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3DB9E0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117</w:t>
            </w:r>
          </w:p>
        </w:tc>
        <w:tc>
          <w:tcPr>
            <w:tcW w:w="705" w:type="pct"/>
            <w:tcBorders>
              <w:top w:val="nil"/>
              <w:left w:val="nil"/>
              <w:bottom w:val="single" w:sz="4" w:space="0" w:color="auto"/>
              <w:right w:val="single" w:sz="4" w:space="0" w:color="auto"/>
            </w:tcBorders>
            <w:shd w:val="clear" w:color="auto" w:fill="auto"/>
            <w:noWrap/>
            <w:vAlign w:val="center"/>
            <w:hideMark/>
          </w:tcPr>
          <w:p w14:paraId="6B4ADA5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5062292000</w:t>
            </w:r>
          </w:p>
        </w:tc>
        <w:tc>
          <w:tcPr>
            <w:tcW w:w="547" w:type="pct"/>
            <w:tcBorders>
              <w:top w:val="nil"/>
              <w:left w:val="nil"/>
              <w:bottom w:val="single" w:sz="4" w:space="0" w:color="auto"/>
              <w:right w:val="single" w:sz="4" w:space="0" w:color="auto"/>
            </w:tcBorders>
            <w:shd w:val="clear" w:color="auto" w:fill="auto"/>
            <w:noWrap/>
            <w:vAlign w:val="center"/>
            <w:hideMark/>
          </w:tcPr>
          <w:p w14:paraId="31A8483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55143172</w:t>
            </w:r>
          </w:p>
        </w:tc>
        <w:tc>
          <w:tcPr>
            <w:tcW w:w="3360" w:type="pct"/>
            <w:tcBorders>
              <w:top w:val="nil"/>
              <w:left w:val="nil"/>
              <w:bottom w:val="single" w:sz="4" w:space="0" w:color="auto"/>
              <w:right w:val="single" w:sz="4" w:space="0" w:color="auto"/>
            </w:tcBorders>
            <w:shd w:val="clear" w:color="auto" w:fill="auto"/>
            <w:vAlign w:val="center"/>
            <w:hideMark/>
          </w:tcPr>
          <w:p w14:paraId="1FE6B6B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DOM STAREJŠIH OBČANOV LJUBLJANA-ŠIŠKA</w:t>
            </w:r>
          </w:p>
        </w:tc>
      </w:tr>
      <w:tr w:rsidR="00E3750C" w:rsidRPr="00415AB3" w14:paraId="5A59590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8D8BED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118</w:t>
            </w:r>
          </w:p>
        </w:tc>
        <w:tc>
          <w:tcPr>
            <w:tcW w:w="705" w:type="pct"/>
            <w:tcBorders>
              <w:top w:val="nil"/>
              <w:left w:val="nil"/>
              <w:bottom w:val="single" w:sz="4" w:space="0" w:color="auto"/>
              <w:right w:val="single" w:sz="4" w:space="0" w:color="auto"/>
            </w:tcBorders>
            <w:shd w:val="clear" w:color="auto" w:fill="auto"/>
            <w:noWrap/>
            <w:vAlign w:val="center"/>
            <w:hideMark/>
          </w:tcPr>
          <w:p w14:paraId="7E1E37B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1606689000</w:t>
            </w:r>
          </w:p>
        </w:tc>
        <w:tc>
          <w:tcPr>
            <w:tcW w:w="547" w:type="pct"/>
            <w:tcBorders>
              <w:top w:val="nil"/>
              <w:left w:val="nil"/>
              <w:bottom w:val="single" w:sz="4" w:space="0" w:color="auto"/>
              <w:right w:val="single" w:sz="4" w:space="0" w:color="auto"/>
            </w:tcBorders>
            <w:shd w:val="clear" w:color="auto" w:fill="auto"/>
            <w:noWrap/>
            <w:vAlign w:val="center"/>
            <w:hideMark/>
          </w:tcPr>
          <w:p w14:paraId="684C39C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30529999</w:t>
            </w:r>
          </w:p>
        </w:tc>
        <w:tc>
          <w:tcPr>
            <w:tcW w:w="3360" w:type="pct"/>
            <w:tcBorders>
              <w:top w:val="nil"/>
              <w:left w:val="nil"/>
              <w:bottom w:val="single" w:sz="4" w:space="0" w:color="auto"/>
              <w:right w:val="single" w:sz="4" w:space="0" w:color="auto"/>
            </w:tcBorders>
            <w:shd w:val="clear" w:color="auto" w:fill="auto"/>
            <w:vAlign w:val="center"/>
            <w:hideMark/>
          </w:tcPr>
          <w:p w14:paraId="4F5065A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DOM STAREJŠIH OBČANOV LJUTOMER</w:t>
            </w:r>
          </w:p>
        </w:tc>
      </w:tr>
      <w:tr w:rsidR="00E3750C" w:rsidRPr="00415AB3" w14:paraId="14541E3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0B9C18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119</w:t>
            </w:r>
          </w:p>
        </w:tc>
        <w:tc>
          <w:tcPr>
            <w:tcW w:w="705" w:type="pct"/>
            <w:tcBorders>
              <w:top w:val="nil"/>
              <w:left w:val="nil"/>
              <w:bottom w:val="single" w:sz="4" w:space="0" w:color="auto"/>
              <w:right w:val="single" w:sz="4" w:space="0" w:color="auto"/>
            </w:tcBorders>
            <w:shd w:val="clear" w:color="auto" w:fill="auto"/>
            <w:noWrap/>
            <w:vAlign w:val="center"/>
            <w:hideMark/>
          </w:tcPr>
          <w:p w14:paraId="614148C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5050464000</w:t>
            </w:r>
          </w:p>
        </w:tc>
        <w:tc>
          <w:tcPr>
            <w:tcW w:w="547" w:type="pct"/>
            <w:tcBorders>
              <w:top w:val="nil"/>
              <w:left w:val="nil"/>
              <w:bottom w:val="single" w:sz="4" w:space="0" w:color="auto"/>
              <w:right w:val="single" w:sz="4" w:space="0" w:color="auto"/>
            </w:tcBorders>
            <w:shd w:val="clear" w:color="auto" w:fill="auto"/>
            <w:noWrap/>
            <w:vAlign w:val="center"/>
            <w:hideMark/>
          </w:tcPr>
          <w:p w14:paraId="2091EF1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32589948</w:t>
            </w:r>
          </w:p>
        </w:tc>
        <w:tc>
          <w:tcPr>
            <w:tcW w:w="3360" w:type="pct"/>
            <w:tcBorders>
              <w:top w:val="nil"/>
              <w:left w:val="nil"/>
              <w:bottom w:val="single" w:sz="4" w:space="0" w:color="auto"/>
              <w:right w:val="single" w:sz="4" w:space="0" w:color="auto"/>
            </w:tcBorders>
            <w:shd w:val="clear" w:color="auto" w:fill="auto"/>
            <w:vAlign w:val="center"/>
            <w:hideMark/>
          </w:tcPr>
          <w:p w14:paraId="198EBF7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DOM STAREJŠIH OBČANOV METLIKA</w:t>
            </w:r>
          </w:p>
        </w:tc>
      </w:tr>
      <w:tr w:rsidR="00E3750C" w:rsidRPr="00415AB3" w14:paraId="05B1884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A17B94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120</w:t>
            </w:r>
          </w:p>
        </w:tc>
        <w:tc>
          <w:tcPr>
            <w:tcW w:w="705" w:type="pct"/>
            <w:tcBorders>
              <w:top w:val="nil"/>
              <w:left w:val="nil"/>
              <w:bottom w:val="single" w:sz="4" w:space="0" w:color="auto"/>
              <w:right w:val="single" w:sz="4" w:space="0" w:color="auto"/>
            </w:tcBorders>
            <w:shd w:val="clear" w:color="auto" w:fill="auto"/>
            <w:noWrap/>
            <w:vAlign w:val="center"/>
            <w:hideMark/>
          </w:tcPr>
          <w:p w14:paraId="7B2B094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5174350000</w:t>
            </w:r>
          </w:p>
        </w:tc>
        <w:tc>
          <w:tcPr>
            <w:tcW w:w="547" w:type="pct"/>
            <w:tcBorders>
              <w:top w:val="nil"/>
              <w:left w:val="nil"/>
              <w:bottom w:val="single" w:sz="4" w:space="0" w:color="auto"/>
              <w:right w:val="single" w:sz="4" w:space="0" w:color="auto"/>
            </w:tcBorders>
            <w:shd w:val="clear" w:color="auto" w:fill="auto"/>
            <w:noWrap/>
            <w:vAlign w:val="center"/>
            <w:hideMark/>
          </w:tcPr>
          <w:p w14:paraId="3D1066E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15354997</w:t>
            </w:r>
          </w:p>
        </w:tc>
        <w:tc>
          <w:tcPr>
            <w:tcW w:w="3360" w:type="pct"/>
            <w:tcBorders>
              <w:top w:val="nil"/>
              <w:left w:val="nil"/>
              <w:bottom w:val="single" w:sz="4" w:space="0" w:color="auto"/>
              <w:right w:val="single" w:sz="4" w:space="0" w:color="auto"/>
            </w:tcBorders>
            <w:shd w:val="clear" w:color="auto" w:fill="auto"/>
            <w:vAlign w:val="center"/>
            <w:hideMark/>
          </w:tcPr>
          <w:p w14:paraId="3947771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DOM STAREJŠIH OBČANOV NOVO MESTO</w:t>
            </w:r>
          </w:p>
        </w:tc>
      </w:tr>
      <w:tr w:rsidR="00E3750C" w:rsidRPr="00415AB3" w14:paraId="2D9B6A2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6C5BF1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121</w:t>
            </w:r>
          </w:p>
        </w:tc>
        <w:tc>
          <w:tcPr>
            <w:tcW w:w="705" w:type="pct"/>
            <w:tcBorders>
              <w:top w:val="nil"/>
              <w:left w:val="nil"/>
              <w:bottom w:val="single" w:sz="4" w:space="0" w:color="auto"/>
              <w:right w:val="single" w:sz="4" w:space="0" w:color="auto"/>
            </w:tcBorders>
            <w:shd w:val="clear" w:color="auto" w:fill="auto"/>
            <w:noWrap/>
            <w:vAlign w:val="center"/>
            <w:hideMark/>
          </w:tcPr>
          <w:p w14:paraId="6B41CBF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5206758000</w:t>
            </w:r>
          </w:p>
        </w:tc>
        <w:tc>
          <w:tcPr>
            <w:tcW w:w="547" w:type="pct"/>
            <w:tcBorders>
              <w:top w:val="nil"/>
              <w:left w:val="nil"/>
              <w:bottom w:val="single" w:sz="4" w:space="0" w:color="auto"/>
              <w:right w:val="single" w:sz="4" w:space="0" w:color="auto"/>
            </w:tcBorders>
            <w:shd w:val="clear" w:color="auto" w:fill="auto"/>
            <w:noWrap/>
            <w:vAlign w:val="center"/>
            <w:hideMark/>
          </w:tcPr>
          <w:p w14:paraId="563BD74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20806434</w:t>
            </w:r>
          </w:p>
        </w:tc>
        <w:tc>
          <w:tcPr>
            <w:tcW w:w="3360" w:type="pct"/>
            <w:tcBorders>
              <w:top w:val="nil"/>
              <w:left w:val="nil"/>
              <w:bottom w:val="single" w:sz="4" w:space="0" w:color="auto"/>
              <w:right w:val="single" w:sz="4" w:space="0" w:color="auto"/>
            </w:tcBorders>
            <w:shd w:val="clear" w:color="auto" w:fill="auto"/>
            <w:vAlign w:val="center"/>
            <w:hideMark/>
          </w:tcPr>
          <w:p w14:paraId="50BE3F9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DOM STAREJŠIH OBČANOV POLDE EBERL-JAMSKI</w:t>
            </w:r>
          </w:p>
        </w:tc>
      </w:tr>
      <w:tr w:rsidR="00E3750C" w:rsidRPr="00415AB3" w14:paraId="2251D89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E4497F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122</w:t>
            </w:r>
          </w:p>
        </w:tc>
        <w:tc>
          <w:tcPr>
            <w:tcW w:w="705" w:type="pct"/>
            <w:tcBorders>
              <w:top w:val="nil"/>
              <w:left w:val="nil"/>
              <w:bottom w:val="single" w:sz="4" w:space="0" w:color="auto"/>
              <w:right w:val="single" w:sz="4" w:space="0" w:color="auto"/>
            </w:tcBorders>
            <w:shd w:val="clear" w:color="auto" w:fill="auto"/>
            <w:noWrap/>
            <w:vAlign w:val="center"/>
            <w:hideMark/>
          </w:tcPr>
          <w:p w14:paraId="688695E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5049857000</w:t>
            </w:r>
          </w:p>
        </w:tc>
        <w:tc>
          <w:tcPr>
            <w:tcW w:w="547" w:type="pct"/>
            <w:tcBorders>
              <w:top w:val="nil"/>
              <w:left w:val="nil"/>
              <w:bottom w:val="single" w:sz="4" w:space="0" w:color="auto"/>
              <w:right w:val="single" w:sz="4" w:space="0" w:color="auto"/>
            </w:tcBorders>
            <w:shd w:val="clear" w:color="auto" w:fill="auto"/>
            <w:noWrap/>
            <w:vAlign w:val="center"/>
            <w:hideMark/>
          </w:tcPr>
          <w:p w14:paraId="0E30A69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96539275</w:t>
            </w:r>
          </w:p>
        </w:tc>
        <w:tc>
          <w:tcPr>
            <w:tcW w:w="3360" w:type="pct"/>
            <w:tcBorders>
              <w:top w:val="nil"/>
              <w:left w:val="nil"/>
              <w:bottom w:val="single" w:sz="4" w:space="0" w:color="auto"/>
              <w:right w:val="single" w:sz="4" w:space="0" w:color="auto"/>
            </w:tcBorders>
            <w:shd w:val="clear" w:color="auto" w:fill="auto"/>
            <w:vAlign w:val="center"/>
            <w:hideMark/>
          </w:tcPr>
          <w:p w14:paraId="7B73BE2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DOM STAREJŠIH OBČANOV PREDDVOR</w:t>
            </w:r>
          </w:p>
        </w:tc>
      </w:tr>
      <w:tr w:rsidR="00E3750C" w:rsidRPr="00415AB3" w14:paraId="25DF433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8EE382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123</w:t>
            </w:r>
          </w:p>
        </w:tc>
        <w:tc>
          <w:tcPr>
            <w:tcW w:w="705" w:type="pct"/>
            <w:tcBorders>
              <w:top w:val="nil"/>
              <w:left w:val="nil"/>
              <w:bottom w:val="single" w:sz="4" w:space="0" w:color="auto"/>
              <w:right w:val="single" w:sz="4" w:space="0" w:color="auto"/>
            </w:tcBorders>
            <w:shd w:val="clear" w:color="auto" w:fill="auto"/>
            <w:noWrap/>
            <w:vAlign w:val="center"/>
            <w:hideMark/>
          </w:tcPr>
          <w:p w14:paraId="25EBEA5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1778439000</w:t>
            </w:r>
          </w:p>
        </w:tc>
        <w:tc>
          <w:tcPr>
            <w:tcW w:w="547" w:type="pct"/>
            <w:tcBorders>
              <w:top w:val="nil"/>
              <w:left w:val="nil"/>
              <w:bottom w:val="single" w:sz="4" w:space="0" w:color="auto"/>
              <w:right w:val="single" w:sz="4" w:space="0" w:color="auto"/>
            </w:tcBorders>
            <w:shd w:val="clear" w:color="auto" w:fill="auto"/>
            <w:noWrap/>
            <w:vAlign w:val="center"/>
            <w:hideMark/>
          </w:tcPr>
          <w:p w14:paraId="668A90E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27791050</w:t>
            </w:r>
          </w:p>
        </w:tc>
        <w:tc>
          <w:tcPr>
            <w:tcW w:w="3360" w:type="pct"/>
            <w:tcBorders>
              <w:top w:val="nil"/>
              <w:left w:val="nil"/>
              <w:bottom w:val="single" w:sz="4" w:space="0" w:color="auto"/>
              <w:right w:val="single" w:sz="4" w:space="0" w:color="auto"/>
            </w:tcBorders>
            <w:shd w:val="clear" w:color="auto" w:fill="auto"/>
            <w:vAlign w:val="center"/>
            <w:hideMark/>
          </w:tcPr>
          <w:p w14:paraId="6CE4F03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DOM STAREJŠIH OBČANOV TEZNO</w:t>
            </w:r>
          </w:p>
        </w:tc>
      </w:tr>
      <w:tr w:rsidR="00E3750C" w:rsidRPr="00415AB3" w14:paraId="3081C16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12296D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124</w:t>
            </w:r>
          </w:p>
        </w:tc>
        <w:tc>
          <w:tcPr>
            <w:tcW w:w="705" w:type="pct"/>
            <w:tcBorders>
              <w:top w:val="nil"/>
              <w:left w:val="nil"/>
              <w:bottom w:val="single" w:sz="4" w:space="0" w:color="auto"/>
              <w:right w:val="single" w:sz="4" w:space="0" w:color="auto"/>
            </w:tcBorders>
            <w:shd w:val="clear" w:color="auto" w:fill="auto"/>
            <w:noWrap/>
            <w:vAlign w:val="center"/>
            <w:hideMark/>
          </w:tcPr>
          <w:p w14:paraId="27013AE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1392123000</w:t>
            </w:r>
          </w:p>
        </w:tc>
        <w:tc>
          <w:tcPr>
            <w:tcW w:w="547" w:type="pct"/>
            <w:tcBorders>
              <w:top w:val="nil"/>
              <w:left w:val="nil"/>
              <w:bottom w:val="single" w:sz="4" w:space="0" w:color="auto"/>
              <w:right w:val="single" w:sz="4" w:space="0" w:color="auto"/>
            </w:tcBorders>
            <w:shd w:val="clear" w:color="auto" w:fill="auto"/>
            <w:noWrap/>
            <w:vAlign w:val="center"/>
            <w:hideMark/>
          </w:tcPr>
          <w:p w14:paraId="753D7B5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64948315</w:t>
            </w:r>
          </w:p>
        </w:tc>
        <w:tc>
          <w:tcPr>
            <w:tcW w:w="3360" w:type="pct"/>
            <w:tcBorders>
              <w:top w:val="nil"/>
              <w:left w:val="nil"/>
              <w:bottom w:val="single" w:sz="4" w:space="0" w:color="auto"/>
              <w:right w:val="single" w:sz="4" w:space="0" w:color="auto"/>
            </w:tcBorders>
            <w:shd w:val="clear" w:color="auto" w:fill="auto"/>
            <w:vAlign w:val="center"/>
            <w:hideMark/>
          </w:tcPr>
          <w:p w14:paraId="52B2CD7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DOM STAREJŠIH OBČANOV TREBNJE</w:t>
            </w:r>
          </w:p>
        </w:tc>
      </w:tr>
      <w:tr w:rsidR="00E3750C" w:rsidRPr="00415AB3" w14:paraId="7C286A2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CE4439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125</w:t>
            </w:r>
          </w:p>
        </w:tc>
        <w:tc>
          <w:tcPr>
            <w:tcW w:w="705" w:type="pct"/>
            <w:tcBorders>
              <w:top w:val="nil"/>
              <w:left w:val="nil"/>
              <w:bottom w:val="single" w:sz="4" w:space="0" w:color="auto"/>
              <w:right w:val="single" w:sz="4" w:space="0" w:color="auto"/>
            </w:tcBorders>
            <w:shd w:val="clear" w:color="auto" w:fill="auto"/>
            <w:noWrap/>
            <w:vAlign w:val="center"/>
            <w:hideMark/>
          </w:tcPr>
          <w:p w14:paraId="5C02994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5050499000</w:t>
            </w:r>
          </w:p>
        </w:tc>
        <w:tc>
          <w:tcPr>
            <w:tcW w:w="547" w:type="pct"/>
            <w:tcBorders>
              <w:top w:val="nil"/>
              <w:left w:val="nil"/>
              <w:bottom w:val="single" w:sz="4" w:space="0" w:color="auto"/>
              <w:right w:val="single" w:sz="4" w:space="0" w:color="auto"/>
            </w:tcBorders>
            <w:shd w:val="clear" w:color="auto" w:fill="auto"/>
            <w:noWrap/>
            <w:vAlign w:val="center"/>
            <w:hideMark/>
          </w:tcPr>
          <w:p w14:paraId="6AC012E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21658196</w:t>
            </w:r>
          </w:p>
        </w:tc>
        <w:tc>
          <w:tcPr>
            <w:tcW w:w="3360" w:type="pct"/>
            <w:tcBorders>
              <w:top w:val="nil"/>
              <w:left w:val="nil"/>
              <w:bottom w:val="single" w:sz="4" w:space="0" w:color="auto"/>
              <w:right w:val="single" w:sz="4" w:space="0" w:color="auto"/>
            </w:tcBorders>
            <w:shd w:val="clear" w:color="auto" w:fill="auto"/>
            <w:vAlign w:val="center"/>
            <w:hideMark/>
          </w:tcPr>
          <w:p w14:paraId="65A1683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DOM STAREJŠIH RAKIČAN</w:t>
            </w:r>
          </w:p>
        </w:tc>
      </w:tr>
      <w:tr w:rsidR="00E3750C" w:rsidRPr="00415AB3" w14:paraId="1AC6D7B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57C9E3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126</w:t>
            </w:r>
          </w:p>
        </w:tc>
        <w:tc>
          <w:tcPr>
            <w:tcW w:w="705" w:type="pct"/>
            <w:tcBorders>
              <w:top w:val="nil"/>
              <w:left w:val="nil"/>
              <w:bottom w:val="single" w:sz="4" w:space="0" w:color="auto"/>
              <w:right w:val="single" w:sz="4" w:space="0" w:color="auto"/>
            </w:tcBorders>
            <w:shd w:val="clear" w:color="auto" w:fill="auto"/>
            <w:noWrap/>
            <w:vAlign w:val="center"/>
            <w:hideMark/>
          </w:tcPr>
          <w:p w14:paraId="08CEE4E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1306405000</w:t>
            </w:r>
          </w:p>
        </w:tc>
        <w:tc>
          <w:tcPr>
            <w:tcW w:w="547" w:type="pct"/>
            <w:tcBorders>
              <w:top w:val="nil"/>
              <w:left w:val="nil"/>
              <w:bottom w:val="single" w:sz="4" w:space="0" w:color="auto"/>
              <w:right w:val="single" w:sz="4" w:space="0" w:color="auto"/>
            </w:tcBorders>
            <w:shd w:val="clear" w:color="auto" w:fill="auto"/>
            <w:noWrap/>
            <w:vAlign w:val="center"/>
            <w:hideMark/>
          </w:tcPr>
          <w:p w14:paraId="0431010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28235649</w:t>
            </w:r>
          </w:p>
        </w:tc>
        <w:tc>
          <w:tcPr>
            <w:tcW w:w="3360" w:type="pct"/>
            <w:tcBorders>
              <w:top w:val="nil"/>
              <w:left w:val="nil"/>
              <w:bottom w:val="single" w:sz="4" w:space="0" w:color="auto"/>
              <w:right w:val="single" w:sz="4" w:space="0" w:color="auto"/>
            </w:tcBorders>
            <w:shd w:val="clear" w:color="auto" w:fill="auto"/>
            <w:vAlign w:val="center"/>
            <w:hideMark/>
          </w:tcPr>
          <w:p w14:paraId="67008A4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DOM STAREJŠIH ŠENTJUR</w:t>
            </w:r>
          </w:p>
        </w:tc>
      </w:tr>
      <w:tr w:rsidR="00E3750C" w:rsidRPr="00415AB3" w14:paraId="51663F4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94E20E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127</w:t>
            </w:r>
          </w:p>
        </w:tc>
        <w:tc>
          <w:tcPr>
            <w:tcW w:w="705" w:type="pct"/>
            <w:tcBorders>
              <w:top w:val="nil"/>
              <w:left w:val="nil"/>
              <w:bottom w:val="single" w:sz="4" w:space="0" w:color="auto"/>
              <w:right w:val="single" w:sz="4" w:space="0" w:color="auto"/>
            </w:tcBorders>
            <w:shd w:val="clear" w:color="auto" w:fill="auto"/>
            <w:noWrap/>
            <w:vAlign w:val="center"/>
            <w:hideMark/>
          </w:tcPr>
          <w:p w14:paraId="255047A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5049920000</w:t>
            </w:r>
          </w:p>
        </w:tc>
        <w:tc>
          <w:tcPr>
            <w:tcW w:w="547" w:type="pct"/>
            <w:tcBorders>
              <w:top w:val="nil"/>
              <w:left w:val="nil"/>
              <w:bottom w:val="single" w:sz="4" w:space="0" w:color="auto"/>
              <w:right w:val="single" w:sz="4" w:space="0" w:color="auto"/>
            </w:tcBorders>
            <w:shd w:val="clear" w:color="auto" w:fill="auto"/>
            <w:noWrap/>
            <w:vAlign w:val="center"/>
            <w:hideMark/>
          </w:tcPr>
          <w:p w14:paraId="13DAC64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95839798</w:t>
            </w:r>
          </w:p>
        </w:tc>
        <w:tc>
          <w:tcPr>
            <w:tcW w:w="3360" w:type="pct"/>
            <w:tcBorders>
              <w:top w:val="nil"/>
              <w:left w:val="nil"/>
              <w:bottom w:val="single" w:sz="4" w:space="0" w:color="auto"/>
              <w:right w:val="single" w:sz="4" w:space="0" w:color="auto"/>
            </w:tcBorders>
            <w:shd w:val="clear" w:color="auto" w:fill="auto"/>
            <w:vAlign w:val="center"/>
            <w:hideMark/>
          </w:tcPr>
          <w:p w14:paraId="4AF5C3D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DOM TISJE ŠMARTNO PRI LITIJI</w:t>
            </w:r>
          </w:p>
        </w:tc>
      </w:tr>
      <w:tr w:rsidR="00E3750C" w:rsidRPr="00415AB3" w14:paraId="4ACFAC7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A97826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128</w:t>
            </w:r>
          </w:p>
        </w:tc>
        <w:tc>
          <w:tcPr>
            <w:tcW w:w="705" w:type="pct"/>
            <w:tcBorders>
              <w:top w:val="nil"/>
              <w:left w:val="nil"/>
              <w:bottom w:val="single" w:sz="4" w:space="0" w:color="auto"/>
              <w:right w:val="single" w:sz="4" w:space="0" w:color="auto"/>
            </w:tcBorders>
            <w:shd w:val="clear" w:color="auto" w:fill="auto"/>
            <w:noWrap/>
            <w:vAlign w:val="center"/>
            <w:hideMark/>
          </w:tcPr>
          <w:p w14:paraId="0171A46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5051070000</w:t>
            </w:r>
          </w:p>
        </w:tc>
        <w:tc>
          <w:tcPr>
            <w:tcW w:w="547" w:type="pct"/>
            <w:tcBorders>
              <w:top w:val="nil"/>
              <w:left w:val="nil"/>
              <w:bottom w:val="single" w:sz="4" w:space="0" w:color="auto"/>
              <w:right w:val="single" w:sz="4" w:space="0" w:color="auto"/>
            </w:tcBorders>
            <w:shd w:val="clear" w:color="auto" w:fill="auto"/>
            <w:noWrap/>
            <w:vAlign w:val="center"/>
            <w:hideMark/>
          </w:tcPr>
          <w:p w14:paraId="7FBD8D4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87980193</w:t>
            </w:r>
          </w:p>
        </w:tc>
        <w:tc>
          <w:tcPr>
            <w:tcW w:w="3360" w:type="pct"/>
            <w:tcBorders>
              <w:top w:val="nil"/>
              <w:left w:val="nil"/>
              <w:bottom w:val="single" w:sz="4" w:space="0" w:color="auto"/>
              <w:right w:val="single" w:sz="4" w:space="0" w:color="auto"/>
            </w:tcBorders>
            <w:shd w:val="clear" w:color="auto" w:fill="auto"/>
            <w:vAlign w:val="center"/>
            <w:hideMark/>
          </w:tcPr>
          <w:p w14:paraId="25E12ED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DOM UPOKOJENCEV CENTER TABOR - POLJANE</w:t>
            </w:r>
          </w:p>
        </w:tc>
      </w:tr>
      <w:tr w:rsidR="00E3750C" w:rsidRPr="00415AB3" w14:paraId="647BA86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C18962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129</w:t>
            </w:r>
          </w:p>
        </w:tc>
        <w:tc>
          <w:tcPr>
            <w:tcW w:w="705" w:type="pct"/>
            <w:tcBorders>
              <w:top w:val="nil"/>
              <w:left w:val="nil"/>
              <w:bottom w:val="single" w:sz="4" w:space="0" w:color="auto"/>
              <w:right w:val="single" w:sz="4" w:space="0" w:color="auto"/>
            </w:tcBorders>
            <w:shd w:val="clear" w:color="auto" w:fill="auto"/>
            <w:noWrap/>
            <w:vAlign w:val="center"/>
            <w:hideMark/>
          </w:tcPr>
          <w:p w14:paraId="7644CA6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5049750000</w:t>
            </w:r>
          </w:p>
        </w:tc>
        <w:tc>
          <w:tcPr>
            <w:tcW w:w="547" w:type="pct"/>
            <w:tcBorders>
              <w:top w:val="nil"/>
              <w:left w:val="nil"/>
              <w:bottom w:val="single" w:sz="4" w:space="0" w:color="auto"/>
              <w:right w:val="single" w:sz="4" w:space="0" w:color="auto"/>
            </w:tcBorders>
            <w:shd w:val="clear" w:color="auto" w:fill="auto"/>
            <w:noWrap/>
            <w:vAlign w:val="center"/>
            <w:hideMark/>
          </w:tcPr>
          <w:p w14:paraId="4815BDC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81288379</w:t>
            </w:r>
          </w:p>
        </w:tc>
        <w:tc>
          <w:tcPr>
            <w:tcW w:w="3360" w:type="pct"/>
            <w:tcBorders>
              <w:top w:val="nil"/>
              <w:left w:val="nil"/>
              <w:bottom w:val="single" w:sz="4" w:space="0" w:color="auto"/>
              <w:right w:val="single" w:sz="4" w:space="0" w:color="auto"/>
            </w:tcBorders>
            <w:shd w:val="clear" w:color="auto" w:fill="auto"/>
            <w:vAlign w:val="center"/>
            <w:hideMark/>
          </w:tcPr>
          <w:p w14:paraId="051DD4D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DOM UPOKOJENCEV DR. FRANCETA BERGELJA, JESENICE</w:t>
            </w:r>
          </w:p>
        </w:tc>
      </w:tr>
      <w:tr w:rsidR="00E3750C" w:rsidRPr="00415AB3" w14:paraId="08D9F02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6F959C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130</w:t>
            </w:r>
          </w:p>
        </w:tc>
        <w:tc>
          <w:tcPr>
            <w:tcW w:w="705" w:type="pct"/>
            <w:tcBorders>
              <w:top w:val="nil"/>
              <w:left w:val="nil"/>
              <w:bottom w:val="single" w:sz="4" w:space="0" w:color="auto"/>
              <w:right w:val="single" w:sz="4" w:space="0" w:color="auto"/>
            </w:tcBorders>
            <w:shd w:val="clear" w:color="auto" w:fill="auto"/>
            <w:noWrap/>
            <w:vAlign w:val="center"/>
            <w:hideMark/>
          </w:tcPr>
          <w:p w14:paraId="56F51A2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5101859000</w:t>
            </w:r>
          </w:p>
        </w:tc>
        <w:tc>
          <w:tcPr>
            <w:tcW w:w="547" w:type="pct"/>
            <w:tcBorders>
              <w:top w:val="nil"/>
              <w:left w:val="nil"/>
              <w:bottom w:val="single" w:sz="4" w:space="0" w:color="auto"/>
              <w:right w:val="single" w:sz="4" w:space="0" w:color="auto"/>
            </w:tcBorders>
            <w:shd w:val="clear" w:color="auto" w:fill="auto"/>
            <w:noWrap/>
            <w:vAlign w:val="center"/>
            <w:hideMark/>
          </w:tcPr>
          <w:p w14:paraId="13F835B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30739551</w:t>
            </w:r>
          </w:p>
        </w:tc>
        <w:tc>
          <w:tcPr>
            <w:tcW w:w="3360" w:type="pct"/>
            <w:tcBorders>
              <w:top w:val="nil"/>
              <w:left w:val="nil"/>
              <w:bottom w:val="single" w:sz="4" w:space="0" w:color="auto"/>
              <w:right w:val="single" w:sz="4" w:space="0" w:color="auto"/>
            </w:tcBorders>
            <w:shd w:val="clear" w:color="auto" w:fill="auto"/>
            <w:vAlign w:val="center"/>
            <w:hideMark/>
          </w:tcPr>
          <w:p w14:paraId="34324DA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DOM UPOKOJENCEV FRANC SALAMON TRBOVLJE</w:t>
            </w:r>
          </w:p>
        </w:tc>
      </w:tr>
      <w:tr w:rsidR="00E3750C" w:rsidRPr="00415AB3" w14:paraId="4BC4B82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BDE3AD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131</w:t>
            </w:r>
          </w:p>
        </w:tc>
        <w:tc>
          <w:tcPr>
            <w:tcW w:w="705" w:type="pct"/>
            <w:tcBorders>
              <w:top w:val="nil"/>
              <w:left w:val="nil"/>
              <w:bottom w:val="single" w:sz="4" w:space="0" w:color="auto"/>
              <w:right w:val="single" w:sz="4" w:space="0" w:color="auto"/>
            </w:tcBorders>
            <w:shd w:val="clear" w:color="auto" w:fill="auto"/>
            <w:noWrap/>
            <w:vAlign w:val="center"/>
            <w:hideMark/>
          </w:tcPr>
          <w:p w14:paraId="078438E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5050502000</w:t>
            </w:r>
          </w:p>
        </w:tc>
        <w:tc>
          <w:tcPr>
            <w:tcW w:w="547" w:type="pct"/>
            <w:tcBorders>
              <w:top w:val="nil"/>
              <w:left w:val="nil"/>
              <w:bottom w:val="single" w:sz="4" w:space="0" w:color="auto"/>
              <w:right w:val="single" w:sz="4" w:space="0" w:color="auto"/>
            </w:tcBorders>
            <w:shd w:val="clear" w:color="auto" w:fill="auto"/>
            <w:noWrap/>
            <w:vAlign w:val="center"/>
            <w:hideMark/>
          </w:tcPr>
          <w:p w14:paraId="7688A85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15958957</w:t>
            </w:r>
          </w:p>
        </w:tc>
        <w:tc>
          <w:tcPr>
            <w:tcW w:w="3360" w:type="pct"/>
            <w:tcBorders>
              <w:top w:val="nil"/>
              <w:left w:val="nil"/>
              <w:bottom w:val="single" w:sz="4" w:space="0" w:color="auto"/>
              <w:right w:val="single" w:sz="4" w:space="0" w:color="auto"/>
            </w:tcBorders>
            <w:shd w:val="clear" w:color="auto" w:fill="auto"/>
            <w:vAlign w:val="center"/>
            <w:hideMark/>
          </w:tcPr>
          <w:p w14:paraId="73B0414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DOM UPOKOJENCEV GRADIŠČE</w:t>
            </w:r>
          </w:p>
        </w:tc>
      </w:tr>
      <w:tr w:rsidR="00E3750C" w:rsidRPr="00415AB3" w14:paraId="683E014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4DA748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132</w:t>
            </w:r>
          </w:p>
        </w:tc>
        <w:tc>
          <w:tcPr>
            <w:tcW w:w="705" w:type="pct"/>
            <w:tcBorders>
              <w:top w:val="nil"/>
              <w:left w:val="nil"/>
              <w:bottom w:val="single" w:sz="4" w:space="0" w:color="auto"/>
              <w:right w:val="single" w:sz="4" w:space="0" w:color="auto"/>
            </w:tcBorders>
            <w:shd w:val="clear" w:color="auto" w:fill="auto"/>
            <w:noWrap/>
            <w:vAlign w:val="center"/>
            <w:hideMark/>
          </w:tcPr>
          <w:p w14:paraId="5BB56B9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5050669000</w:t>
            </w:r>
          </w:p>
        </w:tc>
        <w:tc>
          <w:tcPr>
            <w:tcW w:w="547" w:type="pct"/>
            <w:tcBorders>
              <w:top w:val="nil"/>
              <w:left w:val="nil"/>
              <w:bottom w:val="single" w:sz="4" w:space="0" w:color="auto"/>
              <w:right w:val="single" w:sz="4" w:space="0" w:color="auto"/>
            </w:tcBorders>
            <w:shd w:val="clear" w:color="auto" w:fill="auto"/>
            <w:noWrap/>
            <w:vAlign w:val="center"/>
            <w:hideMark/>
          </w:tcPr>
          <w:p w14:paraId="59EE103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48982822</w:t>
            </w:r>
          </w:p>
        </w:tc>
        <w:tc>
          <w:tcPr>
            <w:tcW w:w="3360" w:type="pct"/>
            <w:tcBorders>
              <w:top w:val="nil"/>
              <w:left w:val="nil"/>
              <w:bottom w:val="single" w:sz="4" w:space="0" w:color="auto"/>
              <w:right w:val="single" w:sz="4" w:space="0" w:color="auto"/>
            </w:tcBorders>
            <w:shd w:val="clear" w:color="auto" w:fill="auto"/>
            <w:vAlign w:val="center"/>
            <w:hideMark/>
          </w:tcPr>
          <w:p w14:paraId="1CF1184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DOM UPOKOJENCEV IN OSKRBOVANCEV IMPOLJCA</w:t>
            </w:r>
          </w:p>
        </w:tc>
      </w:tr>
      <w:tr w:rsidR="00E3750C" w:rsidRPr="00415AB3" w14:paraId="153FEFB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DC43A0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133</w:t>
            </w:r>
          </w:p>
        </w:tc>
        <w:tc>
          <w:tcPr>
            <w:tcW w:w="705" w:type="pct"/>
            <w:tcBorders>
              <w:top w:val="nil"/>
              <w:left w:val="nil"/>
              <w:bottom w:val="single" w:sz="4" w:space="0" w:color="auto"/>
              <w:right w:val="single" w:sz="4" w:space="0" w:color="auto"/>
            </w:tcBorders>
            <w:shd w:val="clear" w:color="auto" w:fill="auto"/>
            <w:noWrap/>
            <w:vAlign w:val="center"/>
            <w:hideMark/>
          </w:tcPr>
          <w:p w14:paraId="5BF285E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5049741000</w:t>
            </w:r>
          </w:p>
        </w:tc>
        <w:tc>
          <w:tcPr>
            <w:tcW w:w="547" w:type="pct"/>
            <w:tcBorders>
              <w:top w:val="nil"/>
              <w:left w:val="nil"/>
              <w:bottom w:val="single" w:sz="4" w:space="0" w:color="auto"/>
              <w:right w:val="single" w:sz="4" w:space="0" w:color="auto"/>
            </w:tcBorders>
            <w:shd w:val="clear" w:color="auto" w:fill="auto"/>
            <w:noWrap/>
            <w:vAlign w:val="center"/>
            <w:hideMark/>
          </w:tcPr>
          <w:p w14:paraId="02075EE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18512097</w:t>
            </w:r>
          </w:p>
        </w:tc>
        <w:tc>
          <w:tcPr>
            <w:tcW w:w="3360" w:type="pct"/>
            <w:tcBorders>
              <w:top w:val="nil"/>
              <w:left w:val="nil"/>
              <w:bottom w:val="single" w:sz="4" w:space="0" w:color="auto"/>
              <w:right w:val="single" w:sz="4" w:space="0" w:color="auto"/>
            </w:tcBorders>
            <w:shd w:val="clear" w:color="auto" w:fill="auto"/>
            <w:vAlign w:val="center"/>
            <w:hideMark/>
          </w:tcPr>
          <w:p w14:paraId="6FCFE2E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DOM UPOKOJENCEV IZOLA</w:t>
            </w:r>
          </w:p>
        </w:tc>
      </w:tr>
      <w:tr w:rsidR="00E3750C" w:rsidRPr="00415AB3" w14:paraId="0A85381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0DB1FF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134</w:t>
            </w:r>
          </w:p>
        </w:tc>
        <w:tc>
          <w:tcPr>
            <w:tcW w:w="705" w:type="pct"/>
            <w:tcBorders>
              <w:top w:val="nil"/>
              <w:left w:val="nil"/>
              <w:bottom w:val="single" w:sz="4" w:space="0" w:color="auto"/>
              <w:right w:val="single" w:sz="4" w:space="0" w:color="auto"/>
            </w:tcBorders>
            <w:shd w:val="clear" w:color="auto" w:fill="auto"/>
            <w:noWrap/>
            <w:vAlign w:val="center"/>
            <w:hideMark/>
          </w:tcPr>
          <w:p w14:paraId="0165DED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5051002000</w:t>
            </w:r>
          </w:p>
        </w:tc>
        <w:tc>
          <w:tcPr>
            <w:tcW w:w="547" w:type="pct"/>
            <w:tcBorders>
              <w:top w:val="nil"/>
              <w:left w:val="nil"/>
              <w:bottom w:val="single" w:sz="4" w:space="0" w:color="auto"/>
              <w:right w:val="single" w:sz="4" w:space="0" w:color="auto"/>
            </w:tcBorders>
            <w:shd w:val="clear" w:color="auto" w:fill="auto"/>
            <w:noWrap/>
            <w:vAlign w:val="center"/>
            <w:hideMark/>
          </w:tcPr>
          <w:p w14:paraId="3C23642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31802435</w:t>
            </w:r>
          </w:p>
        </w:tc>
        <w:tc>
          <w:tcPr>
            <w:tcW w:w="3360" w:type="pct"/>
            <w:tcBorders>
              <w:top w:val="nil"/>
              <w:left w:val="nil"/>
              <w:bottom w:val="single" w:sz="4" w:space="0" w:color="auto"/>
              <w:right w:val="single" w:sz="4" w:space="0" w:color="auto"/>
            </w:tcBorders>
            <w:shd w:val="clear" w:color="auto" w:fill="auto"/>
            <w:vAlign w:val="center"/>
            <w:hideMark/>
          </w:tcPr>
          <w:p w14:paraId="34C5276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DOM UPOKOJENCEV KRANJ</w:t>
            </w:r>
          </w:p>
        </w:tc>
      </w:tr>
      <w:tr w:rsidR="00E3750C" w:rsidRPr="00415AB3" w14:paraId="4A61303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3C5A18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135</w:t>
            </w:r>
          </w:p>
        </w:tc>
        <w:tc>
          <w:tcPr>
            <w:tcW w:w="705" w:type="pct"/>
            <w:tcBorders>
              <w:top w:val="nil"/>
              <w:left w:val="nil"/>
              <w:bottom w:val="single" w:sz="4" w:space="0" w:color="auto"/>
              <w:right w:val="single" w:sz="4" w:space="0" w:color="auto"/>
            </w:tcBorders>
            <w:shd w:val="clear" w:color="auto" w:fill="auto"/>
            <w:noWrap/>
            <w:vAlign w:val="center"/>
            <w:hideMark/>
          </w:tcPr>
          <w:p w14:paraId="3FD1687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5057078000</w:t>
            </w:r>
          </w:p>
        </w:tc>
        <w:tc>
          <w:tcPr>
            <w:tcW w:w="547" w:type="pct"/>
            <w:tcBorders>
              <w:top w:val="nil"/>
              <w:left w:val="nil"/>
              <w:bottom w:val="single" w:sz="4" w:space="0" w:color="auto"/>
              <w:right w:val="single" w:sz="4" w:space="0" w:color="auto"/>
            </w:tcBorders>
            <w:shd w:val="clear" w:color="auto" w:fill="auto"/>
            <w:noWrap/>
            <w:vAlign w:val="center"/>
            <w:hideMark/>
          </w:tcPr>
          <w:p w14:paraId="5FA27E1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38590522</w:t>
            </w:r>
          </w:p>
        </w:tc>
        <w:tc>
          <w:tcPr>
            <w:tcW w:w="3360" w:type="pct"/>
            <w:tcBorders>
              <w:top w:val="nil"/>
              <w:left w:val="nil"/>
              <w:bottom w:val="single" w:sz="4" w:space="0" w:color="auto"/>
              <w:right w:val="single" w:sz="4" w:space="0" w:color="auto"/>
            </w:tcBorders>
            <w:shd w:val="clear" w:color="auto" w:fill="auto"/>
            <w:vAlign w:val="center"/>
            <w:hideMark/>
          </w:tcPr>
          <w:p w14:paraId="77CB394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DOM UPOKOJENCEV NOVA GORICA</w:t>
            </w:r>
          </w:p>
        </w:tc>
      </w:tr>
      <w:tr w:rsidR="00E3750C" w:rsidRPr="00415AB3" w14:paraId="207B475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D8446B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136</w:t>
            </w:r>
          </w:p>
        </w:tc>
        <w:tc>
          <w:tcPr>
            <w:tcW w:w="705" w:type="pct"/>
            <w:tcBorders>
              <w:top w:val="nil"/>
              <w:left w:val="nil"/>
              <w:bottom w:val="single" w:sz="4" w:space="0" w:color="auto"/>
              <w:right w:val="single" w:sz="4" w:space="0" w:color="auto"/>
            </w:tcBorders>
            <w:shd w:val="clear" w:color="auto" w:fill="auto"/>
            <w:noWrap/>
            <w:vAlign w:val="center"/>
            <w:hideMark/>
          </w:tcPr>
          <w:p w14:paraId="269A8B7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5050804000</w:t>
            </w:r>
          </w:p>
        </w:tc>
        <w:tc>
          <w:tcPr>
            <w:tcW w:w="547" w:type="pct"/>
            <w:tcBorders>
              <w:top w:val="nil"/>
              <w:left w:val="nil"/>
              <w:bottom w:val="single" w:sz="4" w:space="0" w:color="auto"/>
              <w:right w:val="single" w:sz="4" w:space="0" w:color="auto"/>
            </w:tcBorders>
            <w:shd w:val="clear" w:color="auto" w:fill="auto"/>
            <w:noWrap/>
            <w:vAlign w:val="center"/>
            <w:hideMark/>
          </w:tcPr>
          <w:p w14:paraId="11E42C2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90097114</w:t>
            </w:r>
          </w:p>
        </w:tc>
        <w:tc>
          <w:tcPr>
            <w:tcW w:w="3360" w:type="pct"/>
            <w:tcBorders>
              <w:top w:val="nil"/>
              <w:left w:val="nil"/>
              <w:bottom w:val="single" w:sz="4" w:space="0" w:color="auto"/>
              <w:right w:val="single" w:sz="4" w:space="0" w:color="auto"/>
            </w:tcBorders>
            <w:shd w:val="clear" w:color="auto" w:fill="auto"/>
            <w:vAlign w:val="center"/>
            <w:hideMark/>
          </w:tcPr>
          <w:p w14:paraId="797F375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DOM UPOKOJENCEV PODBRDO</w:t>
            </w:r>
          </w:p>
        </w:tc>
      </w:tr>
      <w:tr w:rsidR="00E3750C" w:rsidRPr="00415AB3" w14:paraId="43D258E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46CD81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137</w:t>
            </w:r>
          </w:p>
        </w:tc>
        <w:tc>
          <w:tcPr>
            <w:tcW w:w="705" w:type="pct"/>
            <w:tcBorders>
              <w:top w:val="nil"/>
              <w:left w:val="nil"/>
              <w:bottom w:val="single" w:sz="4" w:space="0" w:color="auto"/>
              <w:right w:val="single" w:sz="4" w:space="0" w:color="auto"/>
            </w:tcBorders>
            <w:shd w:val="clear" w:color="auto" w:fill="auto"/>
            <w:noWrap/>
            <w:vAlign w:val="center"/>
            <w:hideMark/>
          </w:tcPr>
          <w:p w14:paraId="4EAB552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5055903000</w:t>
            </w:r>
          </w:p>
        </w:tc>
        <w:tc>
          <w:tcPr>
            <w:tcW w:w="547" w:type="pct"/>
            <w:tcBorders>
              <w:top w:val="nil"/>
              <w:left w:val="nil"/>
              <w:bottom w:val="single" w:sz="4" w:space="0" w:color="auto"/>
              <w:right w:val="single" w:sz="4" w:space="0" w:color="auto"/>
            </w:tcBorders>
            <w:shd w:val="clear" w:color="auto" w:fill="auto"/>
            <w:noWrap/>
            <w:vAlign w:val="center"/>
            <w:hideMark/>
          </w:tcPr>
          <w:p w14:paraId="1DEFA99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78494214</w:t>
            </w:r>
          </w:p>
        </w:tc>
        <w:tc>
          <w:tcPr>
            <w:tcW w:w="3360" w:type="pct"/>
            <w:tcBorders>
              <w:top w:val="nil"/>
              <w:left w:val="nil"/>
              <w:bottom w:val="single" w:sz="4" w:space="0" w:color="auto"/>
              <w:right w:val="single" w:sz="4" w:space="0" w:color="auto"/>
            </w:tcBorders>
            <w:shd w:val="clear" w:color="auto" w:fill="auto"/>
            <w:vAlign w:val="center"/>
            <w:hideMark/>
          </w:tcPr>
          <w:p w14:paraId="0E49E49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DOM UPOKOJENCEV POLZELA</w:t>
            </w:r>
          </w:p>
        </w:tc>
      </w:tr>
      <w:tr w:rsidR="00E3750C" w:rsidRPr="00415AB3" w14:paraId="54CFB48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7AA7C8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138</w:t>
            </w:r>
          </w:p>
        </w:tc>
        <w:tc>
          <w:tcPr>
            <w:tcW w:w="705" w:type="pct"/>
            <w:tcBorders>
              <w:top w:val="nil"/>
              <w:left w:val="nil"/>
              <w:bottom w:val="single" w:sz="4" w:space="0" w:color="auto"/>
              <w:right w:val="single" w:sz="4" w:space="0" w:color="auto"/>
            </w:tcBorders>
            <w:shd w:val="clear" w:color="auto" w:fill="auto"/>
            <w:noWrap/>
            <w:vAlign w:val="center"/>
            <w:hideMark/>
          </w:tcPr>
          <w:p w14:paraId="6278074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5050588000</w:t>
            </w:r>
          </w:p>
        </w:tc>
        <w:tc>
          <w:tcPr>
            <w:tcW w:w="547" w:type="pct"/>
            <w:tcBorders>
              <w:top w:val="nil"/>
              <w:left w:val="nil"/>
              <w:bottom w:val="single" w:sz="4" w:space="0" w:color="auto"/>
              <w:right w:val="single" w:sz="4" w:space="0" w:color="auto"/>
            </w:tcBorders>
            <w:shd w:val="clear" w:color="auto" w:fill="auto"/>
            <w:noWrap/>
            <w:vAlign w:val="center"/>
            <w:hideMark/>
          </w:tcPr>
          <w:p w14:paraId="31BB3C1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62399101</w:t>
            </w:r>
          </w:p>
        </w:tc>
        <w:tc>
          <w:tcPr>
            <w:tcW w:w="3360" w:type="pct"/>
            <w:tcBorders>
              <w:top w:val="nil"/>
              <w:left w:val="nil"/>
              <w:bottom w:val="single" w:sz="4" w:space="0" w:color="auto"/>
              <w:right w:val="single" w:sz="4" w:space="0" w:color="auto"/>
            </w:tcBorders>
            <w:shd w:val="clear" w:color="auto" w:fill="auto"/>
            <w:vAlign w:val="center"/>
            <w:hideMark/>
          </w:tcPr>
          <w:p w14:paraId="76FCA19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DOM UPOKOJENCEV POSTOJNA</w:t>
            </w:r>
          </w:p>
        </w:tc>
      </w:tr>
      <w:tr w:rsidR="00E3750C" w:rsidRPr="00415AB3" w14:paraId="497DA7F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F4EAD4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139</w:t>
            </w:r>
          </w:p>
        </w:tc>
        <w:tc>
          <w:tcPr>
            <w:tcW w:w="705" w:type="pct"/>
            <w:tcBorders>
              <w:top w:val="nil"/>
              <w:left w:val="nil"/>
              <w:bottom w:val="single" w:sz="4" w:space="0" w:color="auto"/>
              <w:right w:val="single" w:sz="4" w:space="0" w:color="auto"/>
            </w:tcBorders>
            <w:shd w:val="clear" w:color="auto" w:fill="auto"/>
            <w:noWrap/>
            <w:vAlign w:val="center"/>
            <w:hideMark/>
          </w:tcPr>
          <w:p w14:paraId="485AB37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5050618000</w:t>
            </w:r>
          </w:p>
        </w:tc>
        <w:tc>
          <w:tcPr>
            <w:tcW w:w="547" w:type="pct"/>
            <w:tcBorders>
              <w:top w:val="nil"/>
              <w:left w:val="nil"/>
              <w:bottom w:val="single" w:sz="4" w:space="0" w:color="auto"/>
              <w:right w:val="single" w:sz="4" w:space="0" w:color="auto"/>
            </w:tcBorders>
            <w:shd w:val="clear" w:color="auto" w:fill="auto"/>
            <w:noWrap/>
            <w:vAlign w:val="center"/>
            <w:hideMark/>
          </w:tcPr>
          <w:p w14:paraId="5AA3D64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83684921</w:t>
            </w:r>
          </w:p>
        </w:tc>
        <w:tc>
          <w:tcPr>
            <w:tcW w:w="3360" w:type="pct"/>
            <w:tcBorders>
              <w:top w:val="nil"/>
              <w:left w:val="nil"/>
              <w:bottom w:val="single" w:sz="4" w:space="0" w:color="auto"/>
              <w:right w:val="single" w:sz="4" w:space="0" w:color="auto"/>
            </w:tcBorders>
            <w:shd w:val="clear" w:color="auto" w:fill="auto"/>
            <w:vAlign w:val="center"/>
            <w:hideMark/>
          </w:tcPr>
          <w:p w14:paraId="5A60AA9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DOM UPOKOJENCEV PTUJ</w:t>
            </w:r>
          </w:p>
        </w:tc>
      </w:tr>
      <w:tr w:rsidR="00E3750C" w:rsidRPr="00415AB3" w14:paraId="3C2889B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4A2912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140</w:t>
            </w:r>
          </w:p>
        </w:tc>
        <w:tc>
          <w:tcPr>
            <w:tcW w:w="705" w:type="pct"/>
            <w:tcBorders>
              <w:top w:val="nil"/>
              <w:left w:val="nil"/>
              <w:bottom w:val="single" w:sz="4" w:space="0" w:color="auto"/>
              <w:right w:val="single" w:sz="4" w:space="0" w:color="auto"/>
            </w:tcBorders>
            <w:shd w:val="clear" w:color="auto" w:fill="auto"/>
            <w:noWrap/>
            <w:vAlign w:val="center"/>
            <w:hideMark/>
          </w:tcPr>
          <w:p w14:paraId="1BA6F21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5050677000</w:t>
            </w:r>
          </w:p>
        </w:tc>
        <w:tc>
          <w:tcPr>
            <w:tcW w:w="547" w:type="pct"/>
            <w:tcBorders>
              <w:top w:val="nil"/>
              <w:left w:val="nil"/>
              <w:bottom w:val="single" w:sz="4" w:space="0" w:color="auto"/>
              <w:right w:val="single" w:sz="4" w:space="0" w:color="auto"/>
            </w:tcBorders>
            <w:shd w:val="clear" w:color="auto" w:fill="auto"/>
            <w:noWrap/>
            <w:vAlign w:val="center"/>
            <w:hideMark/>
          </w:tcPr>
          <w:p w14:paraId="6EA11D8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58155309</w:t>
            </w:r>
          </w:p>
        </w:tc>
        <w:tc>
          <w:tcPr>
            <w:tcW w:w="3360" w:type="pct"/>
            <w:tcBorders>
              <w:top w:val="nil"/>
              <w:left w:val="nil"/>
              <w:bottom w:val="single" w:sz="4" w:space="0" w:color="auto"/>
              <w:right w:val="single" w:sz="4" w:space="0" w:color="auto"/>
            </w:tcBorders>
            <w:shd w:val="clear" w:color="auto" w:fill="auto"/>
            <w:vAlign w:val="center"/>
            <w:hideMark/>
          </w:tcPr>
          <w:p w14:paraId="35F6124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DOM UPOKOJENCEV SEŽANA</w:t>
            </w:r>
          </w:p>
        </w:tc>
      </w:tr>
      <w:tr w:rsidR="00E3750C" w:rsidRPr="00415AB3" w14:paraId="29DE1D7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A37C30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141</w:t>
            </w:r>
          </w:p>
        </w:tc>
        <w:tc>
          <w:tcPr>
            <w:tcW w:w="705" w:type="pct"/>
            <w:tcBorders>
              <w:top w:val="nil"/>
              <w:left w:val="nil"/>
              <w:bottom w:val="single" w:sz="4" w:space="0" w:color="auto"/>
              <w:right w:val="single" w:sz="4" w:space="0" w:color="auto"/>
            </w:tcBorders>
            <w:shd w:val="clear" w:color="auto" w:fill="auto"/>
            <w:noWrap/>
            <w:vAlign w:val="center"/>
            <w:hideMark/>
          </w:tcPr>
          <w:p w14:paraId="4841374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5055857000</w:t>
            </w:r>
          </w:p>
        </w:tc>
        <w:tc>
          <w:tcPr>
            <w:tcW w:w="547" w:type="pct"/>
            <w:tcBorders>
              <w:top w:val="nil"/>
              <w:left w:val="nil"/>
              <w:bottom w:val="single" w:sz="4" w:space="0" w:color="auto"/>
              <w:right w:val="single" w:sz="4" w:space="0" w:color="auto"/>
            </w:tcBorders>
            <w:shd w:val="clear" w:color="auto" w:fill="auto"/>
            <w:noWrap/>
            <w:vAlign w:val="center"/>
            <w:hideMark/>
          </w:tcPr>
          <w:p w14:paraId="08F1D1D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91348030</w:t>
            </w:r>
          </w:p>
        </w:tc>
        <w:tc>
          <w:tcPr>
            <w:tcW w:w="3360" w:type="pct"/>
            <w:tcBorders>
              <w:top w:val="nil"/>
              <w:left w:val="nil"/>
              <w:bottom w:val="single" w:sz="4" w:space="0" w:color="auto"/>
              <w:right w:val="single" w:sz="4" w:space="0" w:color="auto"/>
            </w:tcBorders>
            <w:shd w:val="clear" w:color="auto" w:fill="auto"/>
            <w:vAlign w:val="center"/>
            <w:hideMark/>
          </w:tcPr>
          <w:p w14:paraId="400C106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DOM UPOKOJENCEV ŠMARJE PRI JELŠAH</w:t>
            </w:r>
          </w:p>
        </w:tc>
      </w:tr>
      <w:tr w:rsidR="00E3750C" w:rsidRPr="00415AB3" w14:paraId="7DC071D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91CC36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142</w:t>
            </w:r>
          </w:p>
        </w:tc>
        <w:tc>
          <w:tcPr>
            <w:tcW w:w="705" w:type="pct"/>
            <w:tcBorders>
              <w:top w:val="nil"/>
              <w:left w:val="nil"/>
              <w:bottom w:val="single" w:sz="4" w:space="0" w:color="auto"/>
              <w:right w:val="single" w:sz="4" w:space="0" w:color="auto"/>
            </w:tcBorders>
            <w:shd w:val="clear" w:color="auto" w:fill="auto"/>
            <w:noWrap/>
            <w:vAlign w:val="center"/>
            <w:hideMark/>
          </w:tcPr>
          <w:p w14:paraId="6F81459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5050847000</w:t>
            </w:r>
          </w:p>
        </w:tc>
        <w:tc>
          <w:tcPr>
            <w:tcW w:w="547" w:type="pct"/>
            <w:tcBorders>
              <w:top w:val="nil"/>
              <w:left w:val="nil"/>
              <w:bottom w:val="single" w:sz="4" w:space="0" w:color="auto"/>
              <w:right w:val="single" w:sz="4" w:space="0" w:color="auto"/>
            </w:tcBorders>
            <w:shd w:val="clear" w:color="auto" w:fill="auto"/>
            <w:noWrap/>
            <w:vAlign w:val="center"/>
            <w:hideMark/>
          </w:tcPr>
          <w:p w14:paraId="4D56D53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81248504</w:t>
            </w:r>
          </w:p>
        </w:tc>
        <w:tc>
          <w:tcPr>
            <w:tcW w:w="3360" w:type="pct"/>
            <w:tcBorders>
              <w:top w:val="nil"/>
              <w:left w:val="nil"/>
              <w:bottom w:val="single" w:sz="4" w:space="0" w:color="auto"/>
              <w:right w:val="single" w:sz="4" w:space="0" w:color="auto"/>
            </w:tcBorders>
            <w:shd w:val="clear" w:color="auto" w:fill="auto"/>
            <w:vAlign w:val="center"/>
            <w:hideMark/>
          </w:tcPr>
          <w:p w14:paraId="173F983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DOM UPOKOJENCEV VRHNIKA</w:t>
            </w:r>
          </w:p>
        </w:tc>
      </w:tr>
      <w:tr w:rsidR="00E3750C" w:rsidRPr="00415AB3" w14:paraId="1E6D157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ADD285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143</w:t>
            </w:r>
          </w:p>
        </w:tc>
        <w:tc>
          <w:tcPr>
            <w:tcW w:w="705" w:type="pct"/>
            <w:tcBorders>
              <w:top w:val="nil"/>
              <w:left w:val="nil"/>
              <w:bottom w:val="single" w:sz="4" w:space="0" w:color="auto"/>
              <w:right w:val="single" w:sz="4" w:space="0" w:color="auto"/>
            </w:tcBorders>
            <w:shd w:val="clear" w:color="auto" w:fill="auto"/>
            <w:noWrap/>
            <w:vAlign w:val="center"/>
            <w:hideMark/>
          </w:tcPr>
          <w:p w14:paraId="7161719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5057167000</w:t>
            </w:r>
          </w:p>
        </w:tc>
        <w:tc>
          <w:tcPr>
            <w:tcW w:w="547" w:type="pct"/>
            <w:tcBorders>
              <w:top w:val="nil"/>
              <w:left w:val="nil"/>
              <w:bottom w:val="single" w:sz="4" w:space="0" w:color="auto"/>
              <w:right w:val="single" w:sz="4" w:space="0" w:color="auto"/>
            </w:tcBorders>
            <w:shd w:val="clear" w:color="auto" w:fill="auto"/>
            <w:noWrap/>
            <w:vAlign w:val="center"/>
            <w:hideMark/>
          </w:tcPr>
          <w:p w14:paraId="424F7B7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66702895</w:t>
            </w:r>
          </w:p>
        </w:tc>
        <w:tc>
          <w:tcPr>
            <w:tcW w:w="3360" w:type="pct"/>
            <w:tcBorders>
              <w:top w:val="nil"/>
              <w:left w:val="nil"/>
              <w:bottom w:val="single" w:sz="4" w:space="0" w:color="auto"/>
              <w:right w:val="single" w:sz="4" w:space="0" w:color="auto"/>
            </w:tcBorders>
            <w:shd w:val="clear" w:color="auto" w:fill="auto"/>
            <w:vAlign w:val="center"/>
            <w:hideMark/>
          </w:tcPr>
          <w:p w14:paraId="7E40FE6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DOM ZA VARSTVO ODRASLIH VELENJE</w:t>
            </w:r>
          </w:p>
        </w:tc>
      </w:tr>
      <w:tr w:rsidR="00E3750C" w:rsidRPr="00415AB3" w14:paraId="729CD14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9DCE12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144</w:t>
            </w:r>
          </w:p>
        </w:tc>
        <w:tc>
          <w:tcPr>
            <w:tcW w:w="705" w:type="pct"/>
            <w:tcBorders>
              <w:top w:val="nil"/>
              <w:left w:val="nil"/>
              <w:bottom w:val="single" w:sz="4" w:space="0" w:color="auto"/>
              <w:right w:val="single" w:sz="4" w:space="0" w:color="auto"/>
            </w:tcBorders>
            <w:shd w:val="clear" w:color="auto" w:fill="auto"/>
            <w:noWrap/>
            <w:vAlign w:val="center"/>
            <w:hideMark/>
          </w:tcPr>
          <w:p w14:paraId="09B7539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5044286000</w:t>
            </w:r>
          </w:p>
        </w:tc>
        <w:tc>
          <w:tcPr>
            <w:tcW w:w="547" w:type="pct"/>
            <w:tcBorders>
              <w:top w:val="nil"/>
              <w:left w:val="nil"/>
              <w:bottom w:val="single" w:sz="4" w:space="0" w:color="auto"/>
              <w:right w:val="single" w:sz="4" w:space="0" w:color="auto"/>
            </w:tcBorders>
            <w:shd w:val="clear" w:color="auto" w:fill="auto"/>
            <w:noWrap/>
            <w:vAlign w:val="center"/>
            <w:hideMark/>
          </w:tcPr>
          <w:p w14:paraId="590F86D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96254459</w:t>
            </w:r>
          </w:p>
        </w:tc>
        <w:tc>
          <w:tcPr>
            <w:tcW w:w="3360" w:type="pct"/>
            <w:tcBorders>
              <w:top w:val="nil"/>
              <w:left w:val="nil"/>
              <w:bottom w:val="single" w:sz="4" w:space="0" w:color="auto"/>
              <w:right w:val="single" w:sz="4" w:space="0" w:color="auto"/>
            </w:tcBorders>
            <w:shd w:val="clear" w:color="auto" w:fill="auto"/>
            <w:vAlign w:val="center"/>
            <w:hideMark/>
          </w:tcPr>
          <w:p w14:paraId="43B42FD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DRAVSKE ELEKTRARNE MARIBOR D.O.O.</w:t>
            </w:r>
          </w:p>
        </w:tc>
      </w:tr>
      <w:tr w:rsidR="00E3750C" w:rsidRPr="00415AB3" w14:paraId="2EE19E5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515802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145</w:t>
            </w:r>
          </w:p>
        </w:tc>
        <w:tc>
          <w:tcPr>
            <w:tcW w:w="705" w:type="pct"/>
            <w:tcBorders>
              <w:top w:val="nil"/>
              <w:left w:val="nil"/>
              <w:bottom w:val="single" w:sz="4" w:space="0" w:color="auto"/>
              <w:right w:val="single" w:sz="4" w:space="0" w:color="auto"/>
            </w:tcBorders>
            <w:shd w:val="clear" w:color="auto" w:fill="auto"/>
            <w:noWrap/>
            <w:vAlign w:val="center"/>
            <w:hideMark/>
          </w:tcPr>
          <w:p w14:paraId="24E1958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5269652000</w:t>
            </w:r>
          </w:p>
        </w:tc>
        <w:tc>
          <w:tcPr>
            <w:tcW w:w="547" w:type="pct"/>
            <w:tcBorders>
              <w:top w:val="nil"/>
              <w:left w:val="nil"/>
              <w:bottom w:val="single" w:sz="4" w:space="0" w:color="auto"/>
              <w:right w:val="single" w:sz="4" w:space="0" w:color="auto"/>
            </w:tcBorders>
            <w:shd w:val="clear" w:color="auto" w:fill="auto"/>
            <w:noWrap/>
            <w:vAlign w:val="center"/>
            <w:hideMark/>
          </w:tcPr>
          <w:p w14:paraId="7D33566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47991119</w:t>
            </w:r>
          </w:p>
        </w:tc>
        <w:tc>
          <w:tcPr>
            <w:tcW w:w="3360" w:type="pct"/>
            <w:tcBorders>
              <w:top w:val="nil"/>
              <w:left w:val="nil"/>
              <w:bottom w:val="single" w:sz="4" w:space="0" w:color="auto"/>
              <w:right w:val="single" w:sz="4" w:space="0" w:color="auto"/>
            </w:tcBorders>
            <w:shd w:val="clear" w:color="auto" w:fill="auto"/>
            <w:vAlign w:val="center"/>
            <w:hideMark/>
          </w:tcPr>
          <w:p w14:paraId="35879EB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DRI UPRAVLJANJE INVESTICIJ, DRUŽBA ZA RAZVOJ INFRASTRUKTURE, D.O.O.</w:t>
            </w:r>
          </w:p>
        </w:tc>
      </w:tr>
      <w:tr w:rsidR="00E3750C" w:rsidRPr="00415AB3" w14:paraId="2DE3E0B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08435B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146</w:t>
            </w:r>
          </w:p>
        </w:tc>
        <w:tc>
          <w:tcPr>
            <w:tcW w:w="705" w:type="pct"/>
            <w:tcBorders>
              <w:top w:val="nil"/>
              <w:left w:val="nil"/>
              <w:bottom w:val="single" w:sz="4" w:space="0" w:color="auto"/>
              <w:right w:val="single" w:sz="4" w:space="0" w:color="auto"/>
            </w:tcBorders>
            <w:shd w:val="clear" w:color="auto" w:fill="auto"/>
            <w:noWrap/>
            <w:vAlign w:val="center"/>
            <w:hideMark/>
          </w:tcPr>
          <w:p w14:paraId="0B0E6E1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5635772000</w:t>
            </w:r>
          </w:p>
        </w:tc>
        <w:tc>
          <w:tcPr>
            <w:tcW w:w="547" w:type="pct"/>
            <w:tcBorders>
              <w:top w:val="nil"/>
              <w:left w:val="nil"/>
              <w:bottom w:val="single" w:sz="4" w:space="0" w:color="auto"/>
              <w:right w:val="single" w:sz="4" w:space="0" w:color="auto"/>
            </w:tcBorders>
            <w:shd w:val="clear" w:color="auto" w:fill="auto"/>
            <w:noWrap/>
            <w:vAlign w:val="center"/>
            <w:hideMark/>
          </w:tcPr>
          <w:p w14:paraId="43A2982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22973389</w:t>
            </w:r>
          </w:p>
        </w:tc>
        <w:tc>
          <w:tcPr>
            <w:tcW w:w="3360" w:type="pct"/>
            <w:tcBorders>
              <w:top w:val="nil"/>
              <w:left w:val="nil"/>
              <w:bottom w:val="single" w:sz="4" w:space="0" w:color="auto"/>
              <w:right w:val="single" w:sz="4" w:space="0" w:color="auto"/>
            </w:tcBorders>
            <w:shd w:val="clear" w:color="auto" w:fill="auto"/>
            <w:vAlign w:val="center"/>
            <w:hideMark/>
          </w:tcPr>
          <w:p w14:paraId="4FB3558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DRUGA OSNOVNA ŠOLA SLOVENJ GRADEC</w:t>
            </w:r>
          </w:p>
        </w:tc>
      </w:tr>
      <w:tr w:rsidR="00E3750C" w:rsidRPr="00415AB3" w14:paraId="62E8D04E"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A30EF2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147</w:t>
            </w:r>
          </w:p>
        </w:tc>
        <w:tc>
          <w:tcPr>
            <w:tcW w:w="705" w:type="pct"/>
            <w:tcBorders>
              <w:top w:val="nil"/>
              <w:left w:val="nil"/>
              <w:bottom w:val="single" w:sz="4" w:space="0" w:color="auto"/>
              <w:right w:val="single" w:sz="4" w:space="0" w:color="auto"/>
            </w:tcBorders>
            <w:shd w:val="clear" w:color="auto" w:fill="auto"/>
            <w:noWrap/>
            <w:vAlign w:val="center"/>
            <w:hideMark/>
          </w:tcPr>
          <w:p w14:paraId="62536BC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1210998000</w:t>
            </w:r>
          </w:p>
        </w:tc>
        <w:tc>
          <w:tcPr>
            <w:tcW w:w="547" w:type="pct"/>
            <w:tcBorders>
              <w:top w:val="nil"/>
              <w:left w:val="nil"/>
              <w:bottom w:val="single" w:sz="4" w:space="0" w:color="auto"/>
              <w:right w:val="single" w:sz="4" w:space="0" w:color="auto"/>
            </w:tcBorders>
            <w:shd w:val="clear" w:color="auto" w:fill="auto"/>
            <w:noWrap/>
            <w:vAlign w:val="center"/>
            <w:hideMark/>
          </w:tcPr>
          <w:p w14:paraId="3559BAF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24872458</w:t>
            </w:r>
          </w:p>
        </w:tc>
        <w:tc>
          <w:tcPr>
            <w:tcW w:w="3360" w:type="pct"/>
            <w:tcBorders>
              <w:top w:val="nil"/>
              <w:left w:val="nil"/>
              <w:bottom w:val="single" w:sz="4" w:space="0" w:color="auto"/>
              <w:right w:val="single" w:sz="4" w:space="0" w:color="auto"/>
            </w:tcBorders>
            <w:shd w:val="clear" w:color="auto" w:fill="auto"/>
            <w:vAlign w:val="center"/>
            <w:hideMark/>
          </w:tcPr>
          <w:p w14:paraId="4E67104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DRUŠTVO KULTURNO, INFORMACIJSKO IN SVETOVALNO SREDIŠČE LEGEBITRA</w:t>
            </w:r>
          </w:p>
        </w:tc>
      </w:tr>
      <w:tr w:rsidR="00E3750C" w:rsidRPr="00415AB3" w14:paraId="263298D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88C2FF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148</w:t>
            </w:r>
          </w:p>
        </w:tc>
        <w:tc>
          <w:tcPr>
            <w:tcW w:w="705" w:type="pct"/>
            <w:tcBorders>
              <w:top w:val="nil"/>
              <w:left w:val="nil"/>
              <w:bottom w:val="single" w:sz="4" w:space="0" w:color="auto"/>
              <w:right w:val="single" w:sz="4" w:space="0" w:color="auto"/>
            </w:tcBorders>
            <w:shd w:val="clear" w:color="auto" w:fill="auto"/>
            <w:noWrap/>
            <w:vAlign w:val="center"/>
            <w:hideMark/>
          </w:tcPr>
          <w:p w14:paraId="55197C6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5725453000</w:t>
            </w:r>
          </w:p>
        </w:tc>
        <w:tc>
          <w:tcPr>
            <w:tcW w:w="547" w:type="pct"/>
            <w:tcBorders>
              <w:top w:val="nil"/>
              <w:left w:val="nil"/>
              <w:bottom w:val="single" w:sz="4" w:space="0" w:color="auto"/>
              <w:right w:val="single" w:sz="4" w:space="0" w:color="auto"/>
            </w:tcBorders>
            <w:shd w:val="clear" w:color="auto" w:fill="auto"/>
            <w:noWrap/>
            <w:vAlign w:val="center"/>
            <w:hideMark/>
          </w:tcPr>
          <w:p w14:paraId="4DC5B16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84016663</w:t>
            </w:r>
          </w:p>
        </w:tc>
        <w:tc>
          <w:tcPr>
            <w:tcW w:w="3360" w:type="pct"/>
            <w:tcBorders>
              <w:top w:val="nil"/>
              <w:left w:val="nil"/>
              <w:bottom w:val="single" w:sz="4" w:space="0" w:color="auto"/>
              <w:right w:val="single" w:sz="4" w:space="0" w:color="auto"/>
            </w:tcBorders>
            <w:shd w:val="clear" w:color="auto" w:fill="auto"/>
            <w:vAlign w:val="center"/>
            <w:hideMark/>
          </w:tcPr>
          <w:p w14:paraId="3433117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DRUŠTVO NOVOMEŠKIH ŠTUDENTOV</w:t>
            </w:r>
          </w:p>
        </w:tc>
      </w:tr>
      <w:tr w:rsidR="00E3750C" w:rsidRPr="00415AB3" w14:paraId="639A42F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E1D4A7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149</w:t>
            </w:r>
          </w:p>
        </w:tc>
        <w:tc>
          <w:tcPr>
            <w:tcW w:w="705" w:type="pct"/>
            <w:tcBorders>
              <w:top w:val="nil"/>
              <w:left w:val="nil"/>
              <w:bottom w:val="single" w:sz="4" w:space="0" w:color="auto"/>
              <w:right w:val="single" w:sz="4" w:space="0" w:color="auto"/>
            </w:tcBorders>
            <w:shd w:val="clear" w:color="auto" w:fill="auto"/>
            <w:noWrap/>
            <w:vAlign w:val="center"/>
            <w:hideMark/>
          </w:tcPr>
          <w:p w14:paraId="44BD939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5888417000</w:t>
            </w:r>
          </w:p>
        </w:tc>
        <w:tc>
          <w:tcPr>
            <w:tcW w:w="547" w:type="pct"/>
            <w:tcBorders>
              <w:top w:val="nil"/>
              <w:left w:val="nil"/>
              <w:bottom w:val="single" w:sz="4" w:space="0" w:color="auto"/>
              <w:right w:val="single" w:sz="4" w:space="0" w:color="auto"/>
            </w:tcBorders>
            <w:shd w:val="clear" w:color="auto" w:fill="auto"/>
            <w:noWrap/>
            <w:vAlign w:val="center"/>
            <w:hideMark/>
          </w:tcPr>
          <w:p w14:paraId="37D3C6B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72959070</w:t>
            </w:r>
          </w:p>
        </w:tc>
        <w:tc>
          <w:tcPr>
            <w:tcW w:w="3360" w:type="pct"/>
            <w:tcBorders>
              <w:top w:val="nil"/>
              <w:left w:val="nil"/>
              <w:bottom w:val="single" w:sz="4" w:space="0" w:color="auto"/>
              <w:right w:val="single" w:sz="4" w:space="0" w:color="auto"/>
            </w:tcBorders>
            <w:shd w:val="clear" w:color="auto" w:fill="auto"/>
            <w:vAlign w:val="center"/>
            <w:hideMark/>
          </w:tcPr>
          <w:p w14:paraId="527B69E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DRUŠTVO ŠTUDENTOV BREŽICE</w:t>
            </w:r>
          </w:p>
        </w:tc>
      </w:tr>
      <w:tr w:rsidR="00E3750C" w:rsidRPr="00415AB3" w14:paraId="1DEC72C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008EB1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150</w:t>
            </w:r>
          </w:p>
        </w:tc>
        <w:tc>
          <w:tcPr>
            <w:tcW w:w="705" w:type="pct"/>
            <w:tcBorders>
              <w:top w:val="nil"/>
              <w:left w:val="nil"/>
              <w:bottom w:val="single" w:sz="4" w:space="0" w:color="auto"/>
              <w:right w:val="single" w:sz="4" w:space="0" w:color="auto"/>
            </w:tcBorders>
            <w:shd w:val="clear" w:color="auto" w:fill="auto"/>
            <w:noWrap/>
            <w:vAlign w:val="center"/>
            <w:hideMark/>
          </w:tcPr>
          <w:p w14:paraId="612F522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5215412000</w:t>
            </w:r>
          </w:p>
        </w:tc>
        <w:tc>
          <w:tcPr>
            <w:tcW w:w="547" w:type="pct"/>
            <w:tcBorders>
              <w:top w:val="nil"/>
              <w:left w:val="nil"/>
              <w:bottom w:val="single" w:sz="4" w:space="0" w:color="auto"/>
              <w:right w:val="single" w:sz="4" w:space="0" w:color="auto"/>
            </w:tcBorders>
            <w:shd w:val="clear" w:color="auto" w:fill="auto"/>
            <w:noWrap/>
            <w:vAlign w:val="center"/>
            <w:hideMark/>
          </w:tcPr>
          <w:p w14:paraId="6F70887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68956029</w:t>
            </w:r>
          </w:p>
        </w:tc>
        <w:tc>
          <w:tcPr>
            <w:tcW w:w="3360" w:type="pct"/>
            <w:tcBorders>
              <w:top w:val="nil"/>
              <w:left w:val="nil"/>
              <w:bottom w:val="single" w:sz="4" w:space="0" w:color="auto"/>
              <w:right w:val="single" w:sz="4" w:space="0" w:color="auto"/>
            </w:tcBorders>
            <w:shd w:val="clear" w:color="auto" w:fill="auto"/>
            <w:vAlign w:val="center"/>
            <w:hideMark/>
          </w:tcPr>
          <w:p w14:paraId="4B307B0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DRUŠTVO ZA OPAZOVANJE IN PROUČEVANJE PTIC SLOVENIJE</w:t>
            </w:r>
          </w:p>
        </w:tc>
      </w:tr>
      <w:tr w:rsidR="00E3750C" w:rsidRPr="00415AB3" w14:paraId="112579F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2FB9E0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151</w:t>
            </w:r>
          </w:p>
        </w:tc>
        <w:tc>
          <w:tcPr>
            <w:tcW w:w="705" w:type="pct"/>
            <w:tcBorders>
              <w:top w:val="nil"/>
              <w:left w:val="nil"/>
              <w:bottom w:val="single" w:sz="4" w:space="0" w:color="auto"/>
              <w:right w:val="single" w:sz="4" w:space="0" w:color="auto"/>
            </w:tcBorders>
            <w:shd w:val="clear" w:color="auto" w:fill="auto"/>
            <w:noWrap/>
            <w:vAlign w:val="center"/>
            <w:hideMark/>
          </w:tcPr>
          <w:p w14:paraId="59EA175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5814251000</w:t>
            </w:r>
          </w:p>
        </w:tc>
        <w:tc>
          <w:tcPr>
            <w:tcW w:w="547" w:type="pct"/>
            <w:tcBorders>
              <w:top w:val="nil"/>
              <w:left w:val="nil"/>
              <w:bottom w:val="single" w:sz="4" w:space="0" w:color="auto"/>
              <w:right w:val="single" w:sz="4" w:space="0" w:color="auto"/>
            </w:tcBorders>
            <w:shd w:val="clear" w:color="auto" w:fill="auto"/>
            <w:noWrap/>
            <w:vAlign w:val="center"/>
            <w:hideMark/>
          </w:tcPr>
          <w:p w14:paraId="048DF8D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92473717</w:t>
            </w:r>
          </w:p>
        </w:tc>
        <w:tc>
          <w:tcPr>
            <w:tcW w:w="3360" w:type="pct"/>
            <w:tcBorders>
              <w:top w:val="nil"/>
              <w:left w:val="nil"/>
              <w:bottom w:val="single" w:sz="4" w:space="0" w:color="auto"/>
              <w:right w:val="single" w:sz="4" w:space="0" w:color="auto"/>
            </w:tcBorders>
            <w:shd w:val="clear" w:color="auto" w:fill="auto"/>
            <w:vAlign w:val="center"/>
            <w:hideMark/>
          </w:tcPr>
          <w:p w14:paraId="5590053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DRUŽBA ZA AVTOCESTE V REPUBLIKI SLOVENIJI D.D.</w:t>
            </w:r>
          </w:p>
        </w:tc>
      </w:tr>
      <w:tr w:rsidR="00E3750C" w:rsidRPr="00415AB3" w14:paraId="35FDF53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5C4777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152</w:t>
            </w:r>
          </w:p>
        </w:tc>
        <w:tc>
          <w:tcPr>
            <w:tcW w:w="705" w:type="pct"/>
            <w:tcBorders>
              <w:top w:val="nil"/>
              <w:left w:val="nil"/>
              <w:bottom w:val="single" w:sz="4" w:space="0" w:color="auto"/>
              <w:right w:val="single" w:sz="4" w:space="0" w:color="auto"/>
            </w:tcBorders>
            <w:shd w:val="clear" w:color="auto" w:fill="auto"/>
            <w:noWrap/>
            <w:vAlign w:val="center"/>
            <w:hideMark/>
          </w:tcPr>
          <w:p w14:paraId="3D2799F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6339620000</w:t>
            </w:r>
          </w:p>
        </w:tc>
        <w:tc>
          <w:tcPr>
            <w:tcW w:w="547" w:type="pct"/>
            <w:tcBorders>
              <w:top w:val="nil"/>
              <w:left w:val="nil"/>
              <w:bottom w:val="single" w:sz="4" w:space="0" w:color="auto"/>
              <w:right w:val="single" w:sz="4" w:space="0" w:color="auto"/>
            </w:tcBorders>
            <w:shd w:val="clear" w:color="auto" w:fill="auto"/>
            <w:noWrap/>
            <w:vAlign w:val="center"/>
            <w:hideMark/>
          </w:tcPr>
          <w:p w14:paraId="334AB07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41251482</w:t>
            </w:r>
          </w:p>
        </w:tc>
        <w:tc>
          <w:tcPr>
            <w:tcW w:w="3360" w:type="pct"/>
            <w:tcBorders>
              <w:top w:val="nil"/>
              <w:left w:val="nil"/>
              <w:bottom w:val="single" w:sz="4" w:space="0" w:color="auto"/>
              <w:right w:val="single" w:sz="4" w:space="0" w:color="auto"/>
            </w:tcBorders>
            <w:shd w:val="clear" w:color="auto" w:fill="auto"/>
            <w:vAlign w:val="center"/>
            <w:hideMark/>
          </w:tcPr>
          <w:p w14:paraId="536071E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DRUŽBA ZA UPRAVLJANJE TERJATEV BANK, D.D.</w:t>
            </w:r>
          </w:p>
        </w:tc>
      </w:tr>
      <w:tr w:rsidR="00E3750C" w:rsidRPr="00415AB3" w14:paraId="63FA93DD"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AB44FE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153</w:t>
            </w:r>
          </w:p>
        </w:tc>
        <w:tc>
          <w:tcPr>
            <w:tcW w:w="705" w:type="pct"/>
            <w:tcBorders>
              <w:top w:val="nil"/>
              <w:left w:val="nil"/>
              <w:bottom w:val="single" w:sz="4" w:space="0" w:color="auto"/>
              <w:right w:val="single" w:sz="4" w:space="0" w:color="auto"/>
            </w:tcBorders>
            <w:shd w:val="clear" w:color="auto" w:fill="auto"/>
            <w:noWrap/>
            <w:vAlign w:val="center"/>
            <w:hideMark/>
          </w:tcPr>
          <w:p w14:paraId="226B7CB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1332716000</w:t>
            </w:r>
          </w:p>
        </w:tc>
        <w:tc>
          <w:tcPr>
            <w:tcW w:w="547" w:type="pct"/>
            <w:tcBorders>
              <w:top w:val="nil"/>
              <w:left w:val="nil"/>
              <w:bottom w:val="single" w:sz="4" w:space="0" w:color="auto"/>
              <w:right w:val="single" w:sz="4" w:space="0" w:color="auto"/>
            </w:tcBorders>
            <w:shd w:val="clear" w:color="auto" w:fill="auto"/>
            <w:noWrap/>
            <w:vAlign w:val="center"/>
            <w:hideMark/>
          </w:tcPr>
          <w:p w14:paraId="109B1EE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63712857</w:t>
            </w:r>
          </w:p>
        </w:tc>
        <w:tc>
          <w:tcPr>
            <w:tcW w:w="3360" w:type="pct"/>
            <w:tcBorders>
              <w:top w:val="nil"/>
              <w:left w:val="nil"/>
              <w:bottom w:val="single" w:sz="4" w:space="0" w:color="auto"/>
              <w:right w:val="single" w:sz="4" w:space="0" w:color="auto"/>
            </w:tcBorders>
            <w:shd w:val="clear" w:color="auto" w:fill="auto"/>
            <w:vAlign w:val="center"/>
            <w:hideMark/>
          </w:tcPr>
          <w:p w14:paraId="29FCD81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DRŽAVNA REVIZIJSKA KOMISIJA ZA REVIZIJO POSTOPKOV ODDAJE JAVNIH NAROČIL</w:t>
            </w:r>
          </w:p>
        </w:tc>
      </w:tr>
      <w:tr w:rsidR="00E3750C" w:rsidRPr="00415AB3" w14:paraId="36F09C9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F07774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154</w:t>
            </w:r>
          </w:p>
        </w:tc>
        <w:tc>
          <w:tcPr>
            <w:tcW w:w="705" w:type="pct"/>
            <w:tcBorders>
              <w:top w:val="nil"/>
              <w:left w:val="nil"/>
              <w:bottom w:val="single" w:sz="4" w:space="0" w:color="auto"/>
              <w:right w:val="single" w:sz="4" w:space="0" w:color="auto"/>
            </w:tcBorders>
            <w:shd w:val="clear" w:color="auto" w:fill="auto"/>
            <w:noWrap/>
            <w:vAlign w:val="center"/>
            <w:hideMark/>
          </w:tcPr>
          <w:p w14:paraId="7C76B6A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5525098000</w:t>
            </w:r>
          </w:p>
        </w:tc>
        <w:tc>
          <w:tcPr>
            <w:tcW w:w="547" w:type="pct"/>
            <w:tcBorders>
              <w:top w:val="nil"/>
              <w:left w:val="nil"/>
              <w:bottom w:val="single" w:sz="4" w:space="0" w:color="auto"/>
              <w:right w:val="single" w:sz="4" w:space="0" w:color="auto"/>
            </w:tcBorders>
            <w:shd w:val="clear" w:color="auto" w:fill="auto"/>
            <w:noWrap/>
            <w:vAlign w:val="center"/>
            <w:hideMark/>
          </w:tcPr>
          <w:p w14:paraId="714A0DC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79826989</w:t>
            </w:r>
          </w:p>
        </w:tc>
        <w:tc>
          <w:tcPr>
            <w:tcW w:w="3360" w:type="pct"/>
            <w:tcBorders>
              <w:top w:val="nil"/>
              <w:left w:val="nil"/>
              <w:bottom w:val="single" w:sz="4" w:space="0" w:color="auto"/>
              <w:right w:val="single" w:sz="4" w:space="0" w:color="auto"/>
            </w:tcBorders>
            <w:shd w:val="clear" w:color="auto" w:fill="auto"/>
            <w:vAlign w:val="center"/>
            <w:hideMark/>
          </w:tcPr>
          <w:p w14:paraId="40FFF89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DRŽAVNA VOLILNA KOMISIJA</w:t>
            </w:r>
          </w:p>
        </w:tc>
      </w:tr>
      <w:tr w:rsidR="00E3750C" w:rsidRPr="00415AB3" w14:paraId="2184FB7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7B3F74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155</w:t>
            </w:r>
          </w:p>
        </w:tc>
        <w:tc>
          <w:tcPr>
            <w:tcW w:w="705" w:type="pct"/>
            <w:tcBorders>
              <w:top w:val="nil"/>
              <w:left w:val="nil"/>
              <w:bottom w:val="single" w:sz="4" w:space="0" w:color="auto"/>
              <w:right w:val="single" w:sz="4" w:space="0" w:color="auto"/>
            </w:tcBorders>
            <w:shd w:val="clear" w:color="auto" w:fill="auto"/>
            <w:noWrap/>
            <w:vAlign w:val="center"/>
            <w:hideMark/>
          </w:tcPr>
          <w:p w14:paraId="5E21BE3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5768063000</w:t>
            </w:r>
          </w:p>
        </w:tc>
        <w:tc>
          <w:tcPr>
            <w:tcW w:w="547" w:type="pct"/>
            <w:tcBorders>
              <w:top w:val="nil"/>
              <w:left w:val="nil"/>
              <w:bottom w:val="single" w:sz="4" w:space="0" w:color="auto"/>
              <w:right w:val="single" w:sz="4" w:space="0" w:color="auto"/>
            </w:tcBorders>
            <w:shd w:val="clear" w:color="auto" w:fill="auto"/>
            <w:noWrap/>
            <w:vAlign w:val="center"/>
            <w:hideMark/>
          </w:tcPr>
          <w:p w14:paraId="4F8A83D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75000270</w:t>
            </w:r>
          </w:p>
        </w:tc>
        <w:tc>
          <w:tcPr>
            <w:tcW w:w="3360" w:type="pct"/>
            <w:tcBorders>
              <w:top w:val="nil"/>
              <w:left w:val="nil"/>
              <w:bottom w:val="single" w:sz="4" w:space="0" w:color="auto"/>
              <w:right w:val="single" w:sz="4" w:space="0" w:color="auto"/>
            </w:tcBorders>
            <w:shd w:val="clear" w:color="auto" w:fill="auto"/>
            <w:vAlign w:val="center"/>
            <w:hideMark/>
          </w:tcPr>
          <w:p w14:paraId="0FF0BCB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DRŽAVNI IZPITNI CENTER</w:t>
            </w:r>
          </w:p>
        </w:tc>
      </w:tr>
      <w:tr w:rsidR="00E3750C" w:rsidRPr="00415AB3" w14:paraId="4EB850A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5AF100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156</w:t>
            </w:r>
          </w:p>
        </w:tc>
        <w:tc>
          <w:tcPr>
            <w:tcW w:w="705" w:type="pct"/>
            <w:tcBorders>
              <w:top w:val="nil"/>
              <w:left w:val="nil"/>
              <w:bottom w:val="single" w:sz="4" w:space="0" w:color="auto"/>
              <w:right w:val="single" w:sz="4" w:space="0" w:color="auto"/>
            </w:tcBorders>
            <w:shd w:val="clear" w:color="auto" w:fill="auto"/>
            <w:noWrap/>
            <w:vAlign w:val="center"/>
            <w:hideMark/>
          </w:tcPr>
          <w:p w14:paraId="28064DD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5648122000</w:t>
            </w:r>
          </w:p>
        </w:tc>
        <w:tc>
          <w:tcPr>
            <w:tcW w:w="547" w:type="pct"/>
            <w:tcBorders>
              <w:top w:val="nil"/>
              <w:left w:val="nil"/>
              <w:bottom w:val="single" w:sz="4" w:space="0" w:color="auto"/>
              <w:right w:val="single" w:sz="4" w:space="0" w:color="auto"/>
            </w:tcBorders>
            <w:shd w:val="clear" w:color="auto" w:fill="auto"/>
            <w:noWrap/>
            <w:vAlign w:val="center"/>
            <w:hideMark/>
          </w:tcPr>
          <w:p w14:paraId="14E5B3B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30558255</w:t>
            </w:r>
          </w:p>
        </w:tc>
        <w:tc>
          <w:tcPr>
            <w:tcW w:w="3360" w:type="pct"/>
            <w:tcBorders>
              <w:top w:val="nil"/>
              <w:left w:val="nil"/>
              <w:bottom w:val="single" w:sz="4" w:space="0" w:color="auto"/>
              <w:right w:val="single" w:sz="4" w:space="0" w:color="auto"/>
            </w:tcBorders>
            <w:shd w:val="clear" w:color="auto" w:fill="auto"/>
            <w:vAlign w:val="center"/>
            <w:hideMark/>
          </w:tcPr>
          <w:p w14:paraId="4B2B145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DRŽAVNI SVET REPUBLIKE SLOVENIJE</w:t>
            </w:r>
          </w:p>
        </w:tc>
      </w:tr>
      <w:tr w:rsidR="00E3750C" w:rsidRPr="00415AB3" w14:paraId="47FFF01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FFB0AF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157</w:t>
            </w:r>
          </w:p>
        </w:tc>
        <w:tc>
          <w:tcPr>
            <w:tcW w:w="705" w:type="pct"/>
            <w:tcBorders>
              <w:top w:val="nil"/>
              <w:left w:val="nil"/>
              <w:bottom w:val="single" w:sz="4" w:space="0" w:color="auto"/>
              <w:right w:val="single" w:sz="4" w:space="0" w:color="auto"/>
            </w:tcBorders>
            <w:shd w:val="clear" w:color="auto" w:fill="auto"/>
            <w:noWrap/>
            <w:vAlign w:val="center"/>
            <w:hideMark/>
          </w:tcPr>
          <w:p w14:paraId="2CE02F3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5022924000</w:t>
            </w:r>
          </w:p>
        </w:tc>
        <w:tc>
          <w:tcPr>
            <w:tcW w:w="547" w:type="pct"/>
            <w:tcBorders>
              <w:top w:val="nil"/>
              <w:left w:val="nil"/>
              <w:bottom w:val="single" w:sz="4" w:space="0" w:color="auto"/>
              <w:right w:val="single" w:sz="4" w:space="0" w:color="auto"/>
            </w:tcBorders>
            <w:shd w:val="clear" w:color="auto" w:fill="auto"/>
            <w:noWrap/>
            <w:vAlign w:val="center"/>
            <w:hideMark/>
          </w:tcPr>
          <w:p w14:paraId="2F81605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21881677</w:t>
            </w:r>
          </w:p>
        </w:tc>
        <w:tc>
          <w:tcPr>
            <w:tcW w:w="3360" w:type="pct"/>
            <w:tcBorders>
              <w:top w:val="nil"/>
              <w:left w:val="nil"/>
              <w:bottom w:val="single" w:sz="4" w:space="0" w:color="auto"/>
              <w:right w:val="single" w:sz="4" w:space="0" w:color="auto"/>
            </w:tcBorders>
            <w:shd w:val="clear" w:color="auto" w:fill="auto"/>
            <w:vAlign w:val="center"/>
            <w:hideMark/>
          </w:tcPr>
          <w:p w14:paraId="115A15B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DRŽAVNI ZBOR REPUBLIKE SLOVENIJE</w:t>
            </w:r>
          </w:p>
        </w:tc>
      </w:tr>
      <w:tr w:rsidR="00E3750C" w:rsidRPr="00415AB3" w14:paraId="159DE7F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0AA575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158</w:t>
            </w:r>
          </w:p>
        </w:tc>
        <w:tc>
          <w:tcPr>
            <w:tcW w:w="705" w:type="pct"/>
            <w:tcBorders>
              <w:top w:val="nil"/>
              <w:left w:val="nil"/>
              <w:bottom w:val="single" w:sz="4" w:space="0" w:color="auto"/>
              <w:right w:val="single" w:sz="4" w:space="0" w:color="auto"/>
            </w:tcBorders>
            <w:shd w:val="clear" w:color="auto" w:fill="auto"/>
            <w:noWrap/>
            <w:vAlign w:val="center"/>
            <w:hideMark/>
          </w:tcPr>
          <w:p w14:paraId="61E51B7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5022797000</w:t>
            </w:r>
          </w:p>
        </w:tc>
        <w:tc>
          <w:tcPr>
            <w:tcW w:w="547" w:type="pct"/>
            <w:tcBorders>
              <w:top w:val="nil"/>
              <w:left w:val="nil"/>
              <w:bottom w:val="single" w:sz="4" w:space="0" w:color="auto"/>
              <w:right w:val="single" w:sz="4" w:space="0" w:color="auto"/>
            </w:tcBorders>
            <w:shd w:val="clear" w:color="auto" w:fill="auto"/>
            <w:noWrap/>
            <w:vAlign w:val="center"/>
            <w:hideMark/>
          </w:tcPr>
          <w:p w14:paraId="2D5B77E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88928616</w:t>
            </w:r>
          </w:p>
        </w:tc>
        <w:tc>
          <w:tcPr>
            <w:tcW w:w="3360" w:type="pct"/>
            <w:tcBorders>
              <w:top w:val="nil"/>
              <w:left w:val="nil"/>
              <w:bottom w:val="single" w:sz="4" w:space="0" w:color="auto"/>
              <w:right w:val="single" w:sz="4" w:space="0" w:color="auto"/>
            </w:tcBorders>
            <w:shd w:val="clear" w:color="auto" w:fill="auto"/>
            <w:vAlign w:val="center"/>
            <w:hideMark/>
          </w:tcPr>
          <w:p w14:paraId="291494D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DRŽAVNO ODVETNIŠTVO REPUBLIKE SLOVENIJE</w:t>
            </w:r>
          </w:p>
        </w:tc>
      </w:tr>
      <w:tr w:rsidR="00E3750C" w:rsidRPr="00415AB3" w14:paraId="2E53AF3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5D9115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159</w:t>
            </w:r>
          </w:p>
        </w:tc>
        <w:tc>
          <w:tcPr>
            <w:tcW w:w="705" w:type="pct"/>
            <w:tcBorders>
              <w:top w:val="nil"/>
              <w:left w:val="nil"/>
              <w:bottom w:val="single" w:sz="4" w:space="0" w:color="auto"/>
              <w:right w:val="single" w:sz="4" w:space="0" w:color="auto"/>
            </w:tcBorders>
            <w:shd w:val="clear" w:color="auto" w:fill="auto"/>
            <w:noWrap/>
            <w:vAlign w:val="center"/>
            <w:hideMark/>
          </w:tcPr>
          <w:p w14:paraId="537A7D2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2399326000</w:t>
            </w:r>
          </w:p>
        </w:tc>
        <w:tc>
          <w:tcPr>
            <w:tcW w:w="547" w:type="pct"/>
            <w:tcBorders>
              <w:top w:val="nil"/>
              <w:left w:val="nil"/>
              <w:bottom w:val="single" w:sz="4" w:space="0" w:color="auto"/>
              <w:right w:val="single" w:sz="4" w:space="0" w:color="auto"/>
            </w:tcBorders>
            <w:shd w:val="clear" w:color="auto" w:fill="auto"/>
            <w:noWrap/>
            <w:vAlign w:val="center"/>
            <w:hideMark/>
          </w:tcPr>
          <w:p w14:paraId="1D1F755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65930690</w:t>
            </w:r>
          </w:p>
        </w:tc>
        <w:tc>
          <w:tcPr>
            <w:tcW w:w="3360" w:type="pct"/>
            <w:tcBorders>
              <w:top w:val="nil"/>
              <w:left w:val="nil"/>
              <w:bottom w:val="single" w:sz="4" w:space="0" w:color="auto"/>
              <w:right w:val="single" w:sz="4" w:space="0" w:color="auto"/>
            </w:tcBorders>
            <w:shd w:val="clear" w:color="auto" w:fill="auto"/>
            <w:vAlign w:val="center"/>
            <w:hideMark/>
          </w:tcPr>
          <w:p w14:paraId="5AE56B5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DRŽAVNOTOŽILSKI SVET</w:t>
            </w:r>
          </w:p>
        </w:tc>
      </w:tr>
      <w:tr w:rsidR="00E3750C" w:rsidRPr="00415AB3" w14:paraId="308585B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B74A25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160</w:t>
            </w:r>
          </w:p>
        </w:tc>
        <w:tc>
          <w:tcPr>
            <w:tcW w:w="705" w:type="pct"/>
            <w:tcBorders>
              <w:top w:val="nil"/>
              <w:left w:val="nil"/>
              <w:bottom w:val="single" w:sz="4" w:space="0" w:color="auto"/>
              <w:right w:val="single" w:sz="4" w:space="0" w:color="auto"/>
            </w:tcBorders>
            <w:shd w:val="clear" w:color="auto" w:fill="auto"/>
            <w:noWrap/>
            <w:vAlign w:val="center"/>
            <w:hideMark/>
          </w:tcPr>
          <w:p w14:paraId="2484147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5086078000</w:t>
            </w:r>
          </w:p>
        </w:tc>
        <w:tc>
          <w:tcPr>
            <w:tcW w:w="547" w:type="pct"/>
            <w:tcBorders>
              <w:top w:val="nil"/>
              <w:left w:val="nil"/>
              <w:bottom w:val="single" w:sz="4" w:space="0" w:color="auto"/>
              <w:right w:val="single" w:sz="4" w:space="0" w:color="auto"/>
            </w:tcBorders>
            <w:shd w:val="clear" w:color="auto" w:fill="auto"/>
            <w:noWrap/>
            <w:vAlign w:val="center"/>
            <w:hideMark/>
          </w:tcPr>
          <w:p w14:paraId="7A1293B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97102318</w:t>
            </w:r>
          </w:p>
        </w:tc>
        <w:tc>
          <w:tcPr>
            <w:tcW w:w="3360" w:type="pct"/>
            <w:tcBorders>
              <w:top w:val="nil"/>
              <w:left w:val="nil"/>
              <w:bottom w:val="single" w:sz="4" w:space="0" w:color="auto"/>
              <w:right w:val="single" w:sz="4" w:space="0" w:color="auto"/>
            </w:tcBorders>
            <w:shd w:val="clear" w:color="auto" w:fill="auto"/>
            <w:vAlign w:val="center"/>
            <w:hideMark/>
          </w:tcPr>
          <w:p w14:paraId="35B9B5F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DVOJEZIČNA OSNOVNA ŠOLA DOBROVNIK</w:t>
            </w:r>
          </w:p>
        </w:tc>
      </w:tr>
      <w:tr w:rsidR="00E3750C" w:rsidRPr="00415AB3" w14:paraId="06806CD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D687D6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161</w:t>
            </w:r>
          </w:p>
        </w:tc>
        <w:tc>
          <w:tcPr>
            <w:tcW w:w="705" w:type="pct"/>
            <w:tcBorders>
              <w:top w:val="nil"/>
              <w:left w:val="nil"/>
              <w:bottom w:val="single" w:sz="4" w:space="0" w:color="auto"/>
              <w:right w:val="single" w:sz="4" w:space="0" w:color="auto"/>
            </w:tcBorders>
            <w:shd w:val="clear" w:color="auto" w:fill="auto"/>
            <w:noWrap/>
            <w:vAlign w:val="center"/>
            <w:hideMark/>
          </w:tcPr>
          <w:p w14:paraId="7CA0894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5089735000</w:t>
            </w:r>
          </w:p>
        </w:tc>
        <w:tc>
          <w:tcPr>
            <w:tcW w:w="547" w:type="pct"/>
            <w:tcBorders>
              <w:top w:val="nil"/>
              <w:left w:val="nil"/>
              <w:bottom w:val="single" w:sz="4" w:space="0" w:color="auto"/>
              <w:right w:val="single" w:sz="4" w:space="0" w:color="auto"/>
            </w:tcBorders>
            <w:shd w:val="clear" w:color="auto" w:fill="auto"/>
            <w:noWrap/>
            <w:vAlign w:val="center"/>
            <w:hideMark/>
          </w:tcPr>
          <w:p w14:paraId="35C02C7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31391320</w:t>
            </w:r>
          </w:p>
        </w:tc>
        <w:tc>
          <w:tcPr>
            <w:tcW w:w="3360" w:type="pct"/>
            <w:tcBorders>
              <w:top w:val="nil"/>
              <w:left w:val="nil"/>
              <w:bottom w:val="single" w:sz="4" w:space="0" w:color="auto"/>
              <w:right w:val="single" w:sz="4" w:space="0" w:color="auto"/>
            </w:tcBorders>
            <w:shd w:val="clear" w:color="auto" w:fill="auto"/>
            <w:vAlign w:val="center"/>
            <w:hideMark/>
          </w:tcPr>
          <w:p w14:paraId="28775EE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DVOJEZIČNA OSNOVNA ŠOLA GENTEROVCI</w:t>
            </w:r>
          </w:p>
        </w:tc>
      </w:tr>
      <w:tr w:rsidR="00E3750C" w:rsidRPr="00415AB3" w14:paraId="254BCFB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7DBE19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162</w:t>
            </w:r>
          </w:p>
        </w:tc>
        <w:tc>
          <w:tcPr>
            <w:tcW w:w="705" w:type="pct"/>
            <w:tcBorders>
              <w:top w:val="nil"/>
              <w:left w:val="nil"/>
              <w:bottom w:val="single" w:sz="4" w:space="0" w:color="auto"/>
              <w:right w:val="single" w:sz="4" w:space="0" w:color="auto"/>
            </w:tcBorders>
            <w:shd w:val="clear" w:color="auto" w:fill="auto"/>
            <w:noWrap/>
            <w:vAlign w:val="center"/>
            <w:hideMark/>
          </w:tcPr>
          <w:p w14:paraId="196A899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5089727000</w:t>
            </w:r>
          </w:p>
        </w:tc>
        <w:tc>
          <w:tcPr>
            <w:tcW w:w="547" w:type="pct"/>
            <w:tcBorders>
              <w:top w:val="nil"/>
              <w:left w:val="nil"/>
              <w:bottom w:val="single" w:sz="4" w:space="0" w:color="auto"/>
              <w:right w:val="single" w:sz="4" w:space="0" w:color="auto"/>
            </w:tcBorders>
            <w:shd w:val="clear" w:color="auto" w:fill="auto"/>
            <w:noWrap/>
            <w:vAlign w:val="center"/>
            <w:hideMark/>
          </w:tcPr>
          <w:p w14:paraId="272D4BF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50448625</w:t>
            </w:r>
          </w:p>
        </w:tc>
        <w:tc>
          <w:tcPr>
            <w:tcW w:w="3360" w:type="pct"/>
            <w:tcBorders>
              <w:top w:val="nil"/>
              <w:left w:val="nil"/>
              <w:bottom w:val="single" w:sz="4" w:space="0" w:color="auto"/>
              <w:right w:val="single" w:sz="4" w:space="0" w:color="auto"/>
            </w:tcBorders>
            <w:shd w:val="clear" w:color="auto" w:fill="auto"/>
            <w:vAlign w:val="center"/>
            <w:hideMark/>
          </w:tcPr>
          <w:p w14:paraId="0FC8CC2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 xml:space="preserve">DVOJEZIČNA OSNOVNA ŠOLA I LENDAVA I. </w:t>
            </w:r>
          </w:p>
        </w:tc>
      </w:tr>
      <w:tr w:rsidR="00E3750C" w:rsidRPr="00415AB3" w14:paraId="78591C6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86BEB5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163</w:t>
            </w:r>
          </w:p>
        </w:tc>
        <w:tc>
          <w:tcPr>
            <w:tcW w:w="705" w:type="pct"/>
            <w:tcBorders>
              <w:top w:val="nil"/>
              <w:left w:val="nil"/>
              <w:bottom w:val="single" w:sz="4" w:space="0" w:color="auto"/>
              <w:right w:val="single" w:sz="4" w:space="0" w:color="auto"/>
            </w:tcBorders>
            <w:shd w:val="clear" w:color="auto" w:fill="auto"/>
            <w:noWrap/>
            <w:vAlign w:val="center"/>
            <w:hideMark/>
          </w:tcPr>
          <w:p w14:paraId="0F2FE58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5083338000</w:t>
            </w:r>
          </w:p>
        </w:tc>
        <w:tc>
          <w:tcPr>
            <w:tcW w:w="547" w:type="pct"/>
            <w:tcBorders>
              <w:top w:val="nil"/>
              <w:left w:val="nil"/>
              <w:bottom w:val="single" w:sz="4" w:space="0" w:color="auto"/>
              <w:right w:val="single" w:sz="4" w:space="0" w:color="auto"/>
            </w:tcBorders>
            <w:shd w:val="clear" w:color="auto" w:fill="auto"/>
            <w:noWrap/>
            <w:vAlign w:val="center"/>
            <w:hideMark/>
          </w:tcPr>
          <w:p w14:paraId="3B85817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72087528</w:t>
            </w:r>
          </w:p>
        </w:tc>
        <w:tc>
          <w:tcPr>
            <w:tcW w:w="3360" w:type="pct"/>
            <w:tcBorders>
              <w:top w:val="nil"/>
              <w:left w:val="nil"/>
              <w:bottom w:val="single" w:sz="4" w:space="0" w:color="auto"/>
              <w:right w:val="single" w:sz="4" w:space="0" w:color="auto"/>
            </w:tcBorders>
            <w:shd w:val="clear" w:color="auto" w:fill="auto"/>
            <w:vAlign w:val="center"/>
            <w:hideMark/>
          </w:tcPr>
          <w:p w14:paraId="0BC3F9F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 xml:space="preserve">DVOJEZIČNA OSNOVNA ŠOLA II LENDAVA - 2. </w:t>
            </w:r>
          </w:p>
        </w:tc>
      </w:tr>
      <w:tr w:rsidR="00E3750C" w:rsidRPr="00415AB3" w14:paraId="1C69F90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DA33A3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164</w:t>
            </w:r>
          </w:p>
        </w:tc>
        <w:tc>
          <w:tcPr>
            <w:tcW w:w="705" w:type="pct"/>
            <w:tcBorders>
              <w:top w:val="nil"/>
              <w:left w:val="nil"/>
              <w:bottom w:val="single" w:sz="4" w:space="0" w:color="auto"/>
              <w:right w:val="single" w:sz="4" w:space="0" w:color="auto"/>
            </w:tcBorders>
            <w:shd w:val="clear" w:color="auto" w:fill="auto"/>
            <w:noWrap/>
            <w:vAlign w:val="center"/>
            <w:hideMark/>
          </w:tcPr>
          <w:p w14:paraId="49FD1CA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5243289000</w:t>
            </w:r>
          </w:p>
        </w:tc>
        <w:tc>
          <w:tcPr>
            <w:tcW w:w="547" w:type="pct"/>
            <w:tcBorders>
              <w:top w:val="nil"/>
              <w:left w:val="nil"/>
              <w:bottom w:val="single" w:sz="4" w:space="0" w:color="auto"/>
              <w:right w:val="single" w:sz="4" w:space="0" w:color="auto"/>
            </w:tcBorders>
            <w:shd w:val="clear" w:color="auto" w:fill="auto"/>
            <w:noWrap/>
            <w:vAlign w:val="center"/>
            <w:hideMark/>
          </w:tcPr>
          <w:p w14:paraId="0E4045B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67749925</w:t>
            </w:r>
          </w:p>
        </w:tc>
        <w:tc>
          <w:tcPr>
            <w:tcW w:w="3360" w:type="pct"/>
            <w:tcBorders>
              <w:top w:val="nil"/>
              <w:left w:val="nil"/>
              <w:bottom w:val="single" w:sz="4" w:space="0" w:color="auto"/>
              <w:right w:val="single" w:sz="4" w:space="0" w:color="auto"/>
            </w:tcBorders>
            <w:shd w:val="clear" w:color="auto" w:fill="auto"/>
            <w:vAlign w:val="center"/>
            <w:hideMark/>
          </w:tcPr>
          <w:p w14:paraId="52BFA00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 xml:space="preserve">DVOJEZIČNA OSNOVNA ŠOLA PROSENJAKOVCI </w:t>
            </w:r>
          </w:p>
        </w:tc>
      </w:tr>
      <w:tr w:rsidR="00E3750C" w:rsidRPr="00415AB3" w14:paraId="49AF451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882E03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165</w:t>
            </w:r>
          </w:p>
        </w:tc>
        <w:tc>
          <w:tcPr>
            <w:tcW w:w="705" w:type="pct"/>
            <w:tcBorders>
              <w:top w:val="nil"/>
              <w:left w:val="nil"/>
              <w:bottom w:val="single" w:sz="4" w:space="0" w:color="auto"/>
              <w:right w:val="single" w:sz="4" w:space="0" w:color="auto"/>
            </w:tcBorders>
            <w:shd w:val="clear" w:color="auto" w:fill="auto"/>
            <w:noWrap/>
            <w:vAlign w:val="center"/>
            <w:hideMark/>
          </w:tcPr>
          <w:p w14:paraId="3FDFE4E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5084067000</w:t>
            </w:r>
          </w:p>
        </w:tc>
        <w:tc>
          <w:tcPr>
            <w:tcW w:w="547" w:type="pct"/>
            <w:tcBorders>
              <w:top w:val="nil"/>
              <w:left w:val="nil"/>
              <w:bottom w:val="single" w:sz="4" w:space="0" w:color="auto"/>
              <w:right w:val="single" w:sz="4" w:space="0" w:color="auto"/>
            </w:tcBorders>
            <w:shd w:val="clear" w:color="auto" w:fill="auto"/>
            <w:noWrap/>
            <w:vAlign w:val="center"/>
            <w:hideMark/>
          </w:tcPr>
          <w:p w14:paraId="0B5CA29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39462692</w:t>
            </w:r>
          </w:p>
        </w:tc>
        <w:tc>
          <w:tcPr>
            <w:tcW w:w="3360" w:type="pct"/>
            <w:tcBorders>
              <w:top w:val="nil"/>
              <w:left w:val="nil"/>
              <w:bottom w:val="single" w:sz="4" w:space="0" w:color="auto"/>
              <w:right w:val="single" w:sz="4" w:space="0" w:color="auto"/>
            </w:tcBorders>
            <w:shd w:val="clear" w:color="auto" w:fill="auto"/>
            <w:vAlign w:val="center"/>
            <w:hideMark/>
          </w:tcPr>
          <w:p w14:paraId="7BD5872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DVOJEZIČNA SREDNJA ŠOLA LENDAVA</w:t>
            </w:r>
          </w:p>
        </w:tc>
      </w:tr>
      <w:tr w:rsidR="00E3750C" w:rsidRPr="00415AB3" w14:paraId="7C55DD5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3F9DC9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166</w:t>
            </w:r>
          </w:p>
        </w:tc>
        <w:tc>
          <w:tcPr>
            <w:tcW w:w="705" w:type="pct"/>
            <w:tcBorders>
              <w:top w:val="nil"/>
              <w:left w:val="nil"/>
              <w:bottom w:val="single" w:sz="4" w:space="0" w:color="auto"/>
              <w:right w:val="single" w:sz="4" w:space="0" w:color="auto"/>
            </w:tcBorders>
            <w:shd w:val="clear" w:color="auto" w:fill="auto"/>
            <w:noWrap/>
            <w:vAlign w:val="center"/>
            <w:hideMark/>
          </w:tcPr>
          <w:p w14:paraId="039176C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5854067000</w:t>
            </w:r>
          </w:p>
        </w:tc>
        <w:tc>
          <w:tcPr>
            <w:tcW w:w="547" w:type="pct"/>
            <w:tcBorders>
              <w:top w:val="nil"/>
              <w:left w:val="nil"/>
              <w:bottom w:val="single" w:sz="4" w:space="0" w:color="auto"/>
              <w:right w:val="single" w:sz="4" w:space="0" w:color="auto"/>
            </w:tcBorders>
            <w:shd w:val="clear" w:color="auto" w:fill="auto"/>
            <w:noWrap/>
            <w:vAlign w:val="center"/>
            <w:hideMark/>
          </w:tcPr>
          <w:p w14:paraId="7E85D6C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10677798</w:t>
            </w:r>
          </w:p>
        </w:tc>
        <w:tc>
          <w:tcPr>
            <w:tcW w:w="3360" w:type="pct"/>
            <w:tcBorders>
              <w:top w:val="nil"/>
              <w:left w:val="nil"/>
              <w:bottom w:val="single" w:sz="4" w:space="0" w:color="auto"/>
              <w:right w:val="single" w:sz="4" w:space="0" w:color="auto"/>
            </w:tcBorders>
            <w:shd w:val="clear" w:color="auto" w:fill="auto"/>
            <w:vAlign w:val="center"/>
            <w:hideMark/>
          </w:tcPr>
          <w:p w14:paraId="6F8C81A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EKO SKLAD, SLOVENSKI OKOLJSKI JAVNI SKLAD</w:t>
            </w:r>
          </w:p>
        </w:tc>
      </w:tr>
      <w:tr w:rsidR="00E3750C" w:rsidRPr="00415AB3" w14:paraId="5BF00DD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51878E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167</w:t>
            </w:r>
          </w:p>
        </w:tc>
        <w:tc>
          <w:tcPr>
            <w:tcW w:w="705" w:type="pct"/>
            <w:tcBorders>
              <w:top w:val="nil"/>
              <w:left w:val="nil"/>
              <w:bottom w:val="single" w:sz="4" w:space="0" w:color="auto"/>
              <w:right w:val="single" w:sz="4" w:space="0" w:color="auto"/>
            </w:tcBorders>
            <w:shd w:val="clear" w:color="auto" w:fill="auto"/>
            <w:noWrap/>
            <w:vAlign w:val="center"/>
            <w:hideMark/>
          </w:tcPr>
          <w:p w14:paraId="16E3990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5921724000</w:t>
            </w:r>
          </w:p>
        </w:tc>
        <w:tc>
          <w:tcPr>
            <w:tcW w:w="547" w:type="pct"/>
            <w:tcBorders>
              <w:top w:val="nil"/>
              <w:left w:val="nil"/>
              <w:bottom w:val="single" w:sz="4" w:space="0" w:color="auto"/>
              <w:right w:val="single" w:sz="4" w:space="0" w:color="auto"/>
            </w:tcBorders>
            <w:shd w:val="clear" w:color="auto" w:fill="auto"/>
            <w:noWrap/>
            <w:vAlign w:val="center"/>
            <w:hideMark/>
          </w:tcPr>
          <w:p w14:paraId="34726A3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95864717</w:t>
            </w:r>
          </w:p>
        </w:tc>
        <w:tc>
          <w:tcPr>
            <w:tcW w:w="3360" w:type="pct"/>
            <w:tcBorders>
              <w:top w:val="nil"/>
              <w:left w:val="nil"/>
              <w:bottom w:val="single" w:sz="4" w:space="0" w:color="auto"/>
              <w:right w:val="single" w:sz="4" w:space="0" w:color="auto"/>
            </w:tcBorders>
            <w:shd w:val="clear" w:color="auto" w:fill="auto"/>
            <w:vAlign w:val="center"/>
            <w:hideMark/>
          </w:tcPr>
          <w:p w14:paraId="2461EDE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EKONOMSKA GIMNAZIJA IN SREDNJA ŠOLA RADOVLJICA</w:t>
            </w:r>
          </w:p>
        </w:tc>
      </w:tr>
      <w:tr w:rsidR="00E3750C" w:rsidRPr="00415AB3" w14:paraId="3961DB0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350761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168</w:t>
            </w:r>
          </w:p>
        </w:tc>
        <w:tc>
          <w:tcPr>
            <w:tcW w:w="705" w:type="pct"/>
            <w:tcBorders>
              <w:top w:val="nil"/>
              <w:left w:val="nil"/>
              <w:bottom w:val="single" w:sz="4" w:space="0" w:color="auto"/>
              <w:right w:val="single" w:sz="4" w:space="0" w:color="auto"/>
            </w:tcBorders>
            <w:shd w:val="clear" w:color="auto" w:fill="auto"/>
            <w:noWrap/>
            <w:vAlign w:val="center"/>
            <w:hideMark/>
          </w:tcPr>
          <w:p w14:paraId="60CED03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6280684000</w:t>
            </w:r>
          </w:p>
        </w:tc>
        <w:tc>
          <w:tcPr>
            <w:tcW w:w="547" w:type="pct"/>
            <w:tcBorders>
              <w:top w:val="nil"/>
              <w:left w:val="nil"/>
              <w:bottom w:val="single" w:sz="4" w:space="0" w:color="auto"/>
              <w:right w:val="single" w:sz="4" w:space="0" w:color="auto"/>
            </w:tcBorders>
            <w:shd w:val="clear" w:color="auto" w:fill="auto"/>
            <w:noWrap/>
            <w:vAlign w:val="center"/>
            <w:hideMark/>
          </w:tcPr>
          <w:p w14:paraId="79164D2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56965346</w:t>
            </w:r>
          </w:p>
        </w:tc>
        <w:tc>
          <w:tcPr>
            <w:tcW w:w="3360" w:type="pct"/>
            <w:tcBorders>
              <w:top w:val="nil"/>
              <w:left w:val="nil"/>
              <w:bottom w:val="single" w:sz="4" w:space="0" w:color="auto"/>
              <w:right w:val="single" w:sz="4" w:space="0" w:color="auto"/>
            </w:tcBorders>
            <w:shd w:val="clear" w:color="auto" w:fill="auto"/>
            <w:vAlign w:val="center"/>
            <w:hideMark/>
          </w:tcPr>
          <w:p w14:paraId="679AD17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EKONOMSKA ŠOLA CELJE</w:t>
            </w:r>
          </w:p>
        </w:tc>
      </w:tr>
      <w:tr w:rsidR="00E3750C" w:rsidRPr="00415AB3" w14:paraId="77C4D49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A1D7D5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169</w:t>
            </w:r>
          </w:p>
        </w:tc>
        <w:tc>
          <w:tcPr>
            <w:tcW w:w="705" w:type="pct"/>
            <w:tcBorders>
              <w:top w:val="nil"/>
              <w:left w:val="nil"/>
              <w:bottom w:val="single" w:sz="4" w:space="0" w:color="auto"/>
              <w:right w:val="single" w:sz="4" w:space="0" w:color="auto"/>
            </w:tcBorders>
            <w:shd w:val="clear" w:color="auto" w:fill="auto"/>
            <w:noWrap/>
            <w:vAlign w:val="center"/>
            <w:hideMark/>
          </w:tcPr>
          <w:p w14:paraId="585EDAA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1318861000</w:t>
            </w:r>
          </w:p>
        </w:tc>
        <w:tc>
          <w:tcPr>
            <w:tcW w:w="547" w:type="pct"/>
            <w:tcBorders>
              <w:top w:val="nil"/>
              <w:left w:val="nil"/>
              <w:bottom w:val="single" w:sz="4" w:space="0" w:color="auto"/>
              <w:right w:val="single" w:sz="4" w:space="0" w:color="auto"/>
            </w:tcBorders>
            <w:shd w:val="clear" w:color="auto" w:fill="auto"/>
            <w:noWrap/>
            <w:vAlign w:val="center"/>
            <w:hideMark/>
          </w:tcPr>
          <w:p w14:paraId="49F74DB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59942720</w:t>
            </w:r>
          </w:p>
        </w:tc>
        <w:tc>
          <w:tcPr>
            <w:tcW w:w="3360" w:type="pct"/>
            <w:tcBorders>
              <w:top w:val="nil"/>
              <w:left w:val="nil"/>
              <w:bottom w:val="single" w:sz="4" w:space="0" w:color="auto"/>
              <w:right w:val="single" w:sz="4" w:space="0" w:color="auto"/>
            </w:tcBorders>
            <w:shd w:val="clear" w:color="auto" w:fill="auto"/>
            <w:vAlign w:val="center"/>
            <w:hideMark/>
          </w:tcPr>
          <w:p w14:paraId="2F6CB0B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EKONOMSKA ŠOLA LJUBLJANA</w:t>
            </w:r>
          </w:p>
        </w:tc>
      </w:tr>
      <w:tr w:rsidR="00E3750C" w:rsidRPr="00415AB3" w14:paraId="65E311B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51BA85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170</w:t>
            </w:r>
          </w:p>
        </w:tc>
        <w:tc>
          <w:tcPr>
            <w:tcW w:w="705" w:type="pct"/>
            <w:tcBorders>
              <w:top w:val="nil"/>
              <w:left w:val="nil"/>
              <w:bottom w:val="single" w:sz="4" w:space="0" w:color="auto"/>
              <w:right w:val="single" w:sz="4" w:space="0" w:color="auto"/>
            </w:tcBorders>
            <w:shd w:val="clear" w:color="auto" w:fill="auto"/>
            <w:noWrap/>
            <w:vAlign w:val="center"/>
            <w:hideMark/>
          </w:tcPr>
          <w:p w14:paraId="2115567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5089115000</w:t>
            </w:r>
          </w:p>
        </w:tc>
        <w:tc>
          <w:tcPr>
            <w:tcW w:w="547" w:type="pct"/>
            <w:tcBorders>
              <w:top w:val="nil"/>
              <w:left w:val="nil"/>
              <w:bottom w:val="single" w:sz="4" w:space="0" w:color="auto"/>
              <w:right w:val="single" w:sz="4" w:space="0" w:color="auto"/>
            </w:tcBorders>
            <w:shd w:val="clear" w:color="auto" w:fill="auto"/>
            <w:noWrap/>
            <w:vAlign w:val="center"/>
            <w:hideMark/>
          </w:tcPr>
          <w:p w14:paraId="4AA3C72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84477849</w:t>
            </w:r>
          </w:p>
        </w:tc>
        <w:tc>
          <w:tcPr>
            <w:tcW w:w="3360" w:type="pct"/>
            <w:tcBorders>
              <w:top w:val="nil"/>
              <w:left w:val="nil"/>
              <w:bottom w:val="single" w:sz="4" w:space="0" w:color="auto"/>
              <w:right w:val="single" w:sz="4" w:space="0" w:color="auto"/>
            </w:tcBorders>
            <w:shd w:val="clear" w:color="auto" w:fill="auto"/>
            <w:vAlign w:val="center"/>
            <w:hideMark/>
          </w:tcPr>
          <w:p w14:paraId="081D44B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EKONOMSKA ŠOLA NOVO MESTO</w:t>
            </w:r>
          </w:p>
        </w:tc>
      </w:tr>
      <w:tr w:rsidR="00E3750C" w:rsidRPr="00415AB3" w14:paraId="32B5810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32BEB3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171</w:t>
            </w:r>
          </w:p>
        </w:tc>
        <w:tc>
          <w:tcPr>
            <w:tcW w:w="705" w:type="pct"/>
            <w:tcBorders>
              <w:top w:val="nil"/>
              <w:left w:val="nil"/>
              <w:bottom w:val="single" w:sz="4" w:space="0" w:color="auto"/>
              <w:right w:val="single" w:sz="4" w:space="0" w:color="auto"/>
            </w:tcBorders>
            <w:shd w:val="clear" w:color="auto" w:fill="auto"/>
            <w:noWrap/>
            <w:vAlign w:val="center"/>
            <w:hideMark/>
          </w:tcPr>
          <w:p w14:paraId="56EB138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1953524000</w:t>
            </w:r>
          </w:p>
        </w:tc>
        <w:tc>
          <w:tcPr>
            <w:tcW w:w="547" w:type="pct"/>
            <w:tcBorders>
              <w:top w:val="nil"/>
              <w:left w:val="nil"/>
              <w:bottom w:val="single" w:sz="4" w:space="0" w:color="auto"/>
              <w:right w:val="single" w:sz="4" w:space="0" w:color="auto"/>
            </w:tcBorders>
            <w:shd w:val="clear" w:color="auto" w:fill="auto"/>
            <w:noWrap/>
            <w:vAlign w:val="center"/>
            <w:hideMark/>
          </w:tcPr>
          <w:p w14:paraId="1359735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87430401</w:t>
            </w:r>
          </w:p>
        </w:tc>
        <w:tc>
          <w:tcPr>
            <w:tcW w:w="3360" w:type="pct"/>
            <w:tcBorders>
              <w:top w:val="nil"/>
              <w:left w:val="nil"/>
              <w:bottom w:val="single" w:sz="4" w:space="0" w:color="auto"/>
              <w:right w:val="single" w:sz="4" w:space="0" w:color="auto"/>
            </w:tcBorders>
            <w:shd w:val="clear" w:color="auto" w:fill="auto"/>
            <w:vAlign w:val="center"/>
            <w:hideMark/>
          </w:tcPr>
          <w:p w14:paraId="69A9D0A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EKO-PARK D.O.O. LENDAVA, JAVNO PODJETJE OKO-PARK</w:t>
            </w:r>
          </w:p>
        </w:tc>
      </w:tr>
      <w:tr w:rsidR="00E3750C" w:rsidRPr="00415AB3" w14:paraId="56D8B64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8241A3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172</w:t>
            </w:r>
          </w:p>
        </w:tc>
        <w:tc>
          <w:tcPr>
            <w:tcW w:w="705" w:type="pct"/>
            <w:tcBorders>
              <w:top w:val="nil"/>
              <w:left w:val="nil"/>
              <w:bottom w:val="single" w:sz="4" w:space="0" w:color="auto"/>
              <w:right w:val="single" w:sz="4" w:space="0" w:color="auto"/>
            </w:tcBorders>
            <w:shd w:val="clear" w:color="auto" w:fill="auto"/>
            <w:noWrap/>
            <w:vAlign w:val="center"/>
            <w:hideMark/>
          </w:tcPr>
          <w:p w14:paraId="1C0EE26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5223067000</w:t>
            </w:r>
          </w:p>
        </w:tc>
        <w:tc>
          <w:tcPr>
            <w:tcW w:w="547" w:type="pct"/>
            <w:tcBorders>
              <w:top w:val="nil"/>
              <w:left w:val="nil"/>
              <w:bottom w:val="single" w:sz="4" w:space="0" w:color="auto"/>
              <w:right w:val="single" w:sz="4" w:space="0" w:color="auto"/>
            </w:tcBorders>
            <w:shd w:val="clear" w:color="auto" w:fill="auto"/>
            <w:noWrap/>
            <w:vAlign w:val="center"/>
            <w:hideMark/>
          </w:tcPr>
          <w:p w14:paraId="020FB62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62166859</w:t>
            </w:r>
          </w:p>
        </w:tc>
        <w:tc>
          <w:tcPr>
            <w:tcW w:w="3360" w:type="pct"/>
            <w:tcBorders>
              <w:top w:val="nil"/>
              <w:left w:val="nil"/>
              <w:bottom w:val="single" w:sz="4" w:space="0" w:color="auto"/>
              <w:right w:val="single" w:sz="4" w:space="0" w:color="auto"/>
            </w:tcBorders>
            <w:shd w:val="clear" w:color="auto" w:fill="auto"/>
            <w:vAlign w:val="center"/>
            <w:hideMark/>
          </w:tcPr>
          <w:p w14:paraId="2FCC976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ELEKTRO CELJE, PODJETJE ZA DISTRIBUCIJO ELEKTRIČNE ENERGIJE, D.D.</w:t>
            </w:r>
          </w:p>
        </w:tc>
      </w:tr>
      <w:tr w:rsidR="00E3750C" w:rsidRPr="00415AB3" w14:paraId="6A5999E1"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2D51E8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173</w:t>
            </w:r>
          </w:p>
        </w:tc>
        <w:tc>
          <w:tcPr>
            <w:tcW w:w="705" w:type="pct"/>
            <w:tcBorders>
              <w:top w:val="nil"/>
              <w:left w:val="nil"/>
              <w:bottom w:val="single" w:sz="4" w:space="0" w:color="auto"/>
              <w:right w:val="single" w:sz="4" w:space="0" w:color="auto"/>
            </w:tcBorders>
            <w:shd w:val="clear" w:color="auto" w:fill="auto"/>
            <w:noWrap/>
            <w:vAlign w:val="center"/>
            <w:hideMark/>
          </w:tcPr>
          <w:p w14:paraId="54FFFF7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5175348000</w:t>
            </w:r>
          </w:p>
        </w:tc>
        <w:tc>
          <w:tcPr>
            <w:tcW w:w="547" w:type="pct"/>
            <w:tcBorders>
              <w:top w:val="nil"/>
              <w:left w:val="nil"/>
              <w:bottom w:val="single" w:sz="4" w:space="0" w:color="auto"/>
              <w:right w:val="single" w:sz="4" w:space="0" w:color="auto"/>
            </w:tcBorders>
            <w:shd w:val="clear" w:color="auto" w:fill="auto"/>
            <w:noWrap/>
            <w:vAlign w:val="center"/>
            <w:hideMark/>
          </w:tcPr>
          <w:p w14:paraId="7BF993A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20389264</w:t>
            </w:r>
          </w:p>
        </w:tc>
        <w:tc>
          <w:tcPr>
            <w:tcW w:w="3360" w:type="pct"/>
            <w:tcBorders>
              <w:top w:val="nil"/>
              <w:left w:val="nil"/>
              <w:bottom w:val="single" w:sz="4" w:space="0" w:color="auto"/>
              <w:right w:val="single" w:sz="4" w:space="0" w:color="auto"/>
            </w:tcBorders>
            <w:shd w:val="clear" w:color="auto" w:fill="auto"/>
            <w:vAlign w:val="center"/>
            <w:hideMark/>
          </w:tcPr>
          <w:p w14:paraId="30A2A32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ELEKTRO GORENJSKA, PODJETJE ZA DISTRIBUCIJO ELEKTRIČNE ENERGIJE, D.D.</w:t>
            </w:r>
          </w:p>
        </w:tc>
      </w:tr>
      <w:tr w:rsidR="00E3750C" w:rsidRPr="00415AB3" w14:paraId="153E26A8"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A714BF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174</w:t>
            </w:r>
          </w:p>
        </w:tc>
        <w:tc>
          <w:tcPr>
            <w:tcW w:w="705" w:type="pct"/>
            <w:tcBorders>
              <w:top w:val="nil"/>
              <w:left w:val="nil"/>
              <w:bottom w:val="single" w:sz="4" w:space="0" w:color="auto"/>
              <w:right w:val="single" w:sz="4" w:space="0" w:color="auto"/>
            </w:tcBorders>
            <w:shd w:val="clear" w:color="auto" w:fill="auto"/>
            <w:noWrap/>
            <w:vAlign w:val="center"/>
            <w:hideMark/>
          </w:tcPr>
          <w:p w14:paraId="377C2CE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5227992000</w:t>
            </w:r>
          </w:p>
        </w:tc>
        <w:tc>
          <w:tcPr>
            <w:tcW w:w="547" w:type="pct"/>
            <w:tcBorders>
              <w:top w:val="nil"/>
              <w:left w:val="nil"/>
              <w:bottom w:val="single" w:sz="4" w:space="0" w:color="auto"/>
              <w:right w:val="single" w:sz="4" w:space="0" w:color="auto"/>
            </w:tcBorders>
            <w:shd w:val="clear" w:color="auto" w:fill="auto"/>
            <w:noWrap/>
            <w:vAlign w:val="center"/>
            <w:hideMark/>
          </w:tcPr>
          <w:p w14:paraId="31D3828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49977725</w:t>
            </w:r>
          </w:p>
        </w:tc>
        <w:tc>
          <w:tcPr>
            <w:tcW w:w="3360" w:type="pct"/>
            <w:tcBorders>
              <w:top w:val="nil"/>
              <w:left w:val="nil"/>
              <w:bottom w:val="single" w:sz="4" w:space="0" w:color="auto"/>
              <w:right w:val="single" w:sz="4" w:space="0" w:color="auto"/>
            </w:tcBorders>
            <w:shd w:val="clear" w:color="auto" w:fill="auto"/>
            <w:vAlign w:val="center"/>
            <w:hideMark/>
          </w:tcPr>
          <w:p w14:paraId="1A42F1A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ELEKTRO LJUBLJANA, PODJETJE ZA DISTRIBUCIJO ELEKTRIČNE ENERGIJE, D.D.</w:t>
            </w:r>
          </w:p>
        </w:tc>
      </w:tr>
      <w:tr w:rsidR="00E3750C" w:rsidRPr="00415AB3" w14:paraId="67119C5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C5DC65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175</w:t>
            </w:r>
          </w:p>
        </w:tc>
        <w:tc>
          <w:tcPr>
            <w:tcW w:w="705" w:type="pct"/>
            <w:tcBorders>
              <w:top w:val="nil"/>
              <w:left w:val="nil"/>
              <w:bottom w:val="single" w:sz="4" w:space="0" w:color="auto"/>
              <w:right w:val="single" w:sz="4" w:space="0" w:color="auto"/>
            </w:tcBorders>
            <w:shd w:val="clear" w:color="auto" w:fill="auto"/>
            <w:noWrap/>
            <w:vAlign w:val="center"/>
            <w:hideMark/>
          </w:tcPr>
          <w:p w14:paraId="048E99C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5231698000</w:t>
            </w:r>
          </w:p>
        </w:tc>
        <w:tc>
          <w:tcPr>
            <w:tcW w:w="547" w:type="pct"/>
            <w:tcBorders>
              <w:top w:val="nil"/>
              <w:left w:val="nil"/>
              <w:bottom w:val="single" w:sz="4" w:space="0" w:color="auto"/>
              <w:right w:val="single" w:sz="4" w:space="0" w:color="auto"/>
            </w:tcBorders>
            <w:shd w:val="clear" w:color="auto" w:fill="auto"/>
            <w:noWrap/>
            <w:vAlign w:val="center"/>
            <w:hideMark/>
          </w:tcPr>
          <w:p w14:paraId="6DAE142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46419853</w:t>
            </w:r>
          </w:p>
        </w:tc>
        <w:tc>
          <w:tcPr>
            <w:tcW w:w="3360" w:type="pct"/>
            <w:tcBorders>
              <w:top w:val="nil"/>
              <w:left w:val="nil"/>
              <w:bottom w:val="single" w:sz="4" w:space="0" w:color="auto"/>
              <w:right w:val="single" w:sz="4" w:space="0" w:color="auto"/>
            </w:tcBorders>
            <w:shd w:val="clear" w:color="auto" w:fill="auto"/>
            <w:vAlign w:val="center"/>
            <w:hideMark/>
          </w:tcPr>
          <w:p w14:paraId="4A48D49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ELEKTRO MARIBOR, PODJETJE ZA DISTRIBUCIJO ELEKTRIČNE ENERGIJE, D.D.</w:t>
            </w:r>
          </w:p>
        </w:tc>
      </w:tr>
      <w:tr w:rsidR="00E3750C" w:rsidRPr="00415AB3" w14:paraId="46644AA6"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9A6D75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176</w:t>
            </w:r>
          </w:p>
        </w:tc>
        <w:tc>
          <w:tcPr>
            <w:tcW w:w="705" w:type="pct"/>
            <w:tcBorders>
              <w:top w:val="nil"/>
              <w:left w:val="nil"/>
              <w:bottom w:val="single" w:sz="4" w:space="0" w:color="auto"/>
              <w:right w:val="single" w:sz="4" w:space="0" w:color="auto"/>
            </w:tcBorders>
            <w:shd w:val="clear" w:color="auto" w:fill="auto"/>
            <w:noWrap/>
            <w:vAlign w:val="center"/>
            <w:hideMark/>
          </w:tcPr>
          <w:p w14:paraId="00A037D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5229839000</w:t>
            </w:r>
          </w:p>
        </w:tc>
        <w:tc>
          <w:tcPr>
            <w:tcW w:w="547" w:type="pct"/>
            <w:tcBorders>
              <w:top w:val="nil"/>
              <w:left w:val="nil"/>
              <w:bottom w:val="single" w:sz="4" w:space="0" w:color="auto"/>
              <w:right w:val="single" w:sz="4" w:space="0" w:color="auto"/>
            </w:tcBorders>
            <w:shd w:val="clear" w:color="auto" w:fill="auto"/>
            <w:noWrap/>
            <w:vAlign w:val="center"/>
            <w:hideMark/>
          </w:tcPr>
          <w:p w14:paraId="1D8B0A0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37102656</w:t>
            </w:r>
          </w:p>
        </w:tc>
        <w:tc>
          <w:tcPr>
            <w:tcW w:w="3360" w:type="pct"/>
            <w:tcBorders>
              <w:top w:val="nil"/>
              <w:left w:val="nil"/>
              <w:bottom w:val="single" w:sz="4" w:space="0" w:color="auto"/>
              <w:right w:val="single" w:sz="4" w:space="0" w:color="auto"/>
            </w:tcBorders>
            <w:shd w:val="clear" w:color="auto" w:fill="auto"/>
            <w:vAlign w:val="center"/>
            <w:hideMark/>
          </w:tcPr>
          <w:p w14:paraId="7A0C56A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ELEKTRO PRIMORSKA PODJETJE ZA DISTRIBUCIJO ELEKTRIČNE ENERGIJE, D.D.</w:t>
            </w:r>
          </w:p>
        </w:tc>
      </w:tr>
      <w:tr w:rsidR="00E3750C" w:rsidRPr="00415AB3" w14:paraId="67951D3A"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090909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177</w:t>
            </w:r>
          </w:p>
        </w:tc>
        <w:tc>
          <w:tcPr>
            <w:tcW w:w="705" w:type="pct"/>
            <w:tcBorders>
              <w:top w:val="nil"/>
              <w:left w:val="nil"/>
              <w:bottom w:val="single" w:sz="4" w:space="0" w:color="auto"/>
              <w:right w:val="single" w:sz="4" w:space="0" w:color="auto"/>
            </w:tcBorders>
            <w:shd w:val="clear" w:color="auto" w:fill="auto"/>
            <w:noWrap/>
            <w:vAlign w:val="center"/>
            <w:hideMark/>
          </w:tcPr>
          <w:p w14:paraId="15085D0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5427223000</w:t>
            </w:r>
          </w:p>
        </w:tc>
        <w:tc>
          <w:tcPr>
            <w:tcW w:w="547" w:type="pct"/>
            <w:tcBorders>
              <w:top w:val="nil"/>
              <w:left w:val="nil"/>
              <w:bottom w:val="single" w:sz="4" w:space="0" w:color="auto"/>
              <w:right w:val="single" w:sz="4" w:space="0" w:color="auto"/>
            </w:tcBorders>
            <w:shd w:val="clear" w:color="auto" w:fill="auto"/>
            <w:noWrap/>
            <w:vAlign w:val="center"/>
            <w:hideMark/>
          </w:tcPr>
          <w:p w14:paraId="7CE5C3C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20874731</w:t>
            </w:r>
          </w:p>
        </w:tc>
        <w:tc>
          <w:tcPr>
            <w:tcW w:w="3360" w:type="pct"/>
            <w:tcBorders>
              <w:top w:val="nil"/>
              <w:left w:val="nil"/>
              <w:bottom w:val="single" w:sz="4" w:space="0" w:color="auto"/>
              <w:right w:val="single" w:sz="4" w:space="0" w:color="auto"/>
            </w:tcBorders>
            <w:shd w:val="clear" w:color="auto" w:fill="auto"/>
            <w:vAlign w:val="center"/>
            <w:hideMark/>
          </w:tcPr>
          <w:p w14:paraId="1593F11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ELES, D.O.O., SISTEMSKI OPERATER PRENOSNEGA ELEKTROENERGETSKEGA OMREŽJA</w:t>
            </w:r>
          </w:p>
        </w:tc>
      </w:tr>
      <w:tr w:rsidR="00E3750C" w:rsidRPr="00415AB3" w14:paraId="2E5B0F5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E8F2F6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178</w:t>
            </w:r>
          </w:p>
        </w:tc>
        <w:tc>
          <w:tcPr>
            <w:tcW w:w="705" w:type="pct"/>
            <w:tcBorders>
              <w:top w:val="nil"/>
              <w:left w:val="nil"/>
              <w:bottom w:val="single" w:sz="4" w:space="0" w:color="auto"/>
              <w:right w:val="single" w:sz="4" w:space="0" w:color="auto"/>
            </w:tcBorders>
            <w:shd w:val="clear" w:color="auto" w:fill="auto"/>
            <w:noWrap/>
            <w:vAlign w:val="center"/>
            <w:hideMark/>
          </w:tcPr>
          <w:p w14:paraId="361A93D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5914531000</w:t>
            </w:r>
          </w:p>
        </w:tc>
        <w:tc>
          <w:tcPr>
            <w:tcW w:w="547" w:type="pct"/>
            <w:tcBorders>
              <w:top w:val="nil"/>
              <w:left w:val="nil"/>
              <w:bottom w:val="single" w:sz="4" w:space="0" w:color="auto"/>
              <w:right w:val="single" w:sz="4" w:space="0" w:color="auto"/>
            </w:tcBorders>
            <w:shd w:val="clear" w:color="auto" w:fill="auto"/>
            <w:noWrap/>
            <w:vAlign w:val="center"/>
            <w:hideMark/>
          </w:tcPr>
          <w:p w14:paraId="34A701B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31013180</w:t>
            </w:r>
          </w:p>
        </w:tc>
        <w:tc>
          <w:tcPr>
            <w:tcW w:w="3360" w:type="pct"/>
            <w:tcBorders>
              <w:top w:val="nil"/>
              <w:left w:val="nil"/>
              <w:bottom w:val="single" w:sz="4" w:space="0" w:color="auto"/>
              <w:right w:val="single" w:sz="4" w:space="0" w:color="auto"/>
            </w:tcBorders>
            <w:shd w:val="clear" w:color="auto" w:fill="auto"/>
            <w:vAlign w:val="center"/>
            <w:hideMark/>
          </w:tcPr>
          <w:p w14:paraId="05F8A19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ENERGETIKA CELJE JAVNO PODJETJE, D.O.O.</w:t>
            </w:r>
          </w:p>
        </w:tc>
      </w:tr>
      <w:tr w:rsidR="00E3750C" w:rsidRPr="00415AB3" w14:paraId="60AA87E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6686A5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179</w:t>
            </w:r>
          </w:p>
        </w:tc>
        <w:tc>
          <w:tcPr>
            <w:tcW w:w="705" w:type="pct"/>
            <w:tcBorders>
              <w:top w:val="nil"/>
              <w:left w:val="nil"/>
              <w:bottom w:val="single" w:sz="4" w:space="0" w:color="auto"/>
              <w:right w:val="single" w:sz="4" w:space="0" w:color="auto"/>
            </w:tcBorders>
            <w:shd w:val="clear" w:color="auto" w:fill="auto"/>
            <w:noWrap/>
            <w:vAlign w:val="center"/>
            <w:hideMark/>
          </w:tcPr>
          <w:p w14:paraId="1EC5C2B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2213222000</w:t>
            </w:r>
          </w:p>
        </w:tc>
        <w:tc>
          <w:tcPr>
            <w:tcW w:w="547" w:type="pct"/>
            <w:tcBorders>
              <w:top w:val="nil"/>
              <w:left w:val="nil"/>
              <w:bottom w:val="single" w:sz="4" w:space="0" w:color="auto"/>
              <w:right w:val="single" w:sz="4" w:space="0" w:color="auto"/>
            </w:tcBorders>
            <w:shd w:val="clear" w:color="auto" w:fill="auto"/>
            <w:noWrap/>
            <w:vAlign w:val="center"/>
            <w:hideMark/>
          </w:tcPr>
          <w:p w14:paraId="23CA9D4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31306543</w:t>
            </w:r>
          </w:p>
        </w:tc>
        <w:tc>
          <w:tcPr>
            <w:tcW w:w="3360" w:type="pct"/>
            <w:tcBorders>
              <w:top w:val="nil"/>
              <w:left w:val="nil"/>
              <w:bottom w:val="single" w:sz="4" w:space="0" w:color="auto"/>
              <w:right w:val="single" w:sz="4" w:space="0" w:color="auto"/>
            </w:tcBorders>
            <w:shd w:val="clear" w:color="auto" w:fill="auto"/>
            <w:vAlign w:val="center"/>
            <w:hideMark/>
          </w:tcPr>
          <w:p w14:paraId="2F0151C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ENERGETSKO PODNEBNA AGENCIJA ZA PODRAVJE</w:t>
            </w:r>
          </w:p>
        </w:tc>
      </w:tr>
      <w:tr w:rsidR="00E3750C" w:rsidRPr="00415AB3" w14:paraId="232CB0C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92D39A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180</w:t>
            </w:r>
          </w:p>
        </w:tc>
        <w:tc>
          <w:tcPr>
            <w:tcW w:w="705" w:type="pct"/>
            <w:tcBorders>
              <w:top w:val="nil"/>
              <w:left w:val="nil"/>
              <w:bottom w:val="single" w:sz="4" w:space="0" w:color="auto"/>
              <w:right w:val="single" w:sz="4" w:space="0" w:color="auto"/>
            </w:tcBorders>
            <w:shd w:val="clear" w:color="auto" w:fill="auto"/>
            <w:noWrap/>
            <w:vAlign w:val="center"/>
            <w:hideMark/>
          </w:tcPr>
          <w:p w14:paraId="2709C27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6600794000</w:t>
            </w:r>
          </w:p>
        </w:tc>
        <w:tc>
          <w:tcPr>
            <w:tcW w:w="547" w:type="pct"/>
            <w:tcBorders>
              <w:top w:val="nil"/>
              <w:left w:val="nil"/>
              <w:bottom w:val="single" w:sz="4" w:space="0" w:color="auto"/>
              <w:right w:val="single" w:sz="4" w:space="0" w:color="auto"/>
            </w:tcBorders>
            <w:shd w:val="clear" w:color="auto" w:fill="auto"/>
            <w:noWrap/>
            <w:vAlign w:val="center"/>
            <w:hideMark/>
          </w:tcPr>
          <w:p w14:paraId="3C76204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72121858</w:t>
            </w:r>
          </w:p>
        </w:tc>
        <w:tc>
          <w:tcPr>
            <w:tcW w:w="3360" w:type="pct"/>
            <w:tcBorders>
              <w:top w:val="nil"/>
              <w:left w:val="nil"/>
              <w:bottom w:val="single" w:sz="4" w:space="0" w:color="auto"/>
              <w:right w:val="single" w:sz="4" w:space="0" w:color="auto"/>
            </w:tcBorders>
            <w:shd w:val="clear" w:color="auto" w:fill="auto"/>
            <w:vAlign w:val="center"/>
            <w:hideMark/>
          </w:tcPr>
          <w:p w14:paraId="1AC2185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ENOS OTE, OSKRBA Z VROČO VODO, D.O.O.</w:t>
            </w:r>
          </w:p>
        </w:tc>
      </w:tr>
      <w:tr w:rsidR="00E3750C" w:rsidRPr="00415AB3" w14:paraId="632411E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487713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181</w:t>
            </w:r>
          </w:p>
        </w:tc>
        <w:tc>
          <w:tcPr>
            <w:tcW w:w="705" w:type="pct"/>
            <w:tcBorders>
              <w:top w:val="nil"/>
              <w:left w:val="nil"/>
              <w:bottom w:val="single" w:sz="4" w:space="0" w:color="auto"/>
              <w:right w:val="single" w:sz="4" w:space="0" w:color="auto"/>
            </w:tcBorders>
            <w:shd w:val="clear" w:color="auto" w:fill="auto"/>
            <w:noWrap/>
            <w:vAlign w:val="center"/>
            <w:hideMark/>
          </w:tcPr>
          <w:p w14:paraId="5B0FA63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5852498000</w:t>
            </w:r>
          </w:p>
        </w:tc>
        <w:tc>
          <w:tcPr>
            <w:tcW w:w="547" w:type="pct"/>
            <w:tcBorders>
              <w:top w:val="nil"/>
              <w:left w:val="nil"/>
              <w:bottom w:val="single" w:sz="4" w:space="0" w:color="auto"/>
              <w:right w:val="single" w:sz="4" w:space="0" w:color="auto"/>
            </w:tcBorders>
            <w:shd w:val="clear" w:color="auto" w:fill="auto"/>
            <w:noWrap/>
            <w:vAlign w:val="center"/>
            <w:hideMark/>
          </w:tcPr>
          <w:p w14:paraId="02689E9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23641738</w:t>
            </w:r>
          </w:p>
        </w:tc>
        <w:tc>
          <w:tcPr>
            <w:tcW w:w="3360" w:type="pct"/>
            <w:tcBorders>
              <w:top w:val="nil"/>
              <w:left w:val="nil"/>
              <w:bottom w:val="single" w:sz="4" w:space="0" w:color="auto"/>
              <w:right w:val="single" w:sz="4" w:space="0" w:color="auto"/>
            </w:tcBorders>
            <w:shd w:val="clear" w:color="auto" w:fill="auto"/>
            <w:vAlign w:val="center"/>
            <w:hideMark/>
          </w:tcPr>
          <w:p w14:paraId="0299D8F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ENOS, OSKRBA S TOPLO VODO, PARO, ELEKTRIKO IN PLINOM, D.D.</w:t>
            </w:r>
          </w:p>
        </w:tc>
      </w:tr>
      <w:tr w:rsidR="00E3750C" w:rsidRPr="00415AB3" w14:paraId="75BD16E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9CED96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182</w:t>
            </w:r>
          </w:p>
        </w:tc>
        <w:tc>
          <w:tcPr>
            <w:tcW w:w="705" w:type="pct"/>
            <w:tcBorders>
              <w:top w:val="nil"/>
              <w:left w:val="nil"/>
              <w:bottom w:val="single" w:sz="4" w:space="0" w:color="auto"/>
              <w:right w:val="single" w:sz="4" w:space="0" w:color="auto"/>
            </w:tcBorders>
            <w:shd w:val="clear" w:color="auto" w:fill="auto"/>
            <w:noWrap/>
            <w:vAlign w:val="center"/>
            <w:hideMark/>
          </w:tcPr>
          <w:p w14:paraId="0F76E92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6726909000</w:t>
            </w:r>
          </w:p>
        </w:tc>
        <w:tc>
          <w:tcPr>
            <w:tcW w:w="547" w:type="pct"/>
            <w:tcBorders>
              <w:top w:val="nil"/>
              <w:left w:val="nil"/>
              <w:bottom w:val="single" w:sz="4" w:space="0" w:color="auto"/>
              <w:right w:val="single" w:sz="4" w:space="0" w:color="auto"/>
            </w:tcBorders>
            <w:shd w:val="clear" w:color="auto" w:fill="auto"/>
            <w:noWrap/>
            <w:vAlign w:val="center"/>
            <w:hideMark/>
          </w:tcPr>
          <w:p w14:paraId="5FDA977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40952240</w:t>
            </w:r>
          </w:p>
        </w:tc>
        <w:tc>
          <w:tcPr>
            <w:tcW w:w="3360" w:type="pct"/>
            <w:tcBorders>
              <w:top w:val="nil"/>
              <w:left w:val="nil"/>
              <w:bottom w:val="single" w:sz="4" w:space="0" w:color="auto"/>
              <w:right w:val="single" w:sz="4" w:space="0" w:color="auto"/>
            </w:tcBorders>
            <w:shd w:val="clear" w:color="auto" w:fill="auto"/>
            <w:vAlign w:val="center"/>
            <w:hideMark/>
          </w:tcPr>
          <w:p w14:paraId="5FF283F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FABCE, LETALSKE STORITVE, D.O.O.</w:t>
            </w:r>
          </w:p>
        </w:tc>
      </w:tr>
      <w:tr w:rsidR="00E3750C" w:rsidRPr="00415AB3" w14:paraId="378BD12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224B85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183</w:t>
            </w:r>
          </w:p>
        </w:tc>
        <w:tc>
          <w:tcPr>
            <w:tcW w:w="705" w:type="pct"/>
            <w:tcBorders>
              <w:top w:val="nil"/>
              <w:left w:val="nil"/>
              <w:bottom w:val="single" w:sz="4" w:space="0" w:color="auto"/>
              <w:right w:val="single" w:sz="4" w:space="0" w:color="auto"/>
            </w:tcBorders>
            <w:shd w:val="clear" w:color="auto" w:fill="auto"/>
            <w:noWrap/>
            <w:vAlign w:val="center"/>
            <w:hideMark/>
          </w:tcPr>
          <w:p w14:paraId="05C1D22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3375650000</w:t>
            </w:r>
          </w:p>
        </w:tc>
        <w:tc>
          <w:tcPr>
            <w:tcW w:w="547" w:type="pct"/>
            <w:tcBorders>
              <w:top w:val="nil"/>
              <w:left w:val="nil"/>
              <w:bottom w:val="single" w:sz="4" w:space="0" w:color="auto"/>
              <w:right w:val="single" w:sz="4" w:space="0" w:color="auto"/>
            </w:tcBorders>
            <w:shd w:val="clear" w:color="auto" w:fill="auto"/>
            <w:noWrap/>
            <w:vAlign w:val="center"/>
            <w:hideMark/>
          </w:tcPr>
          <w:p w14:paraId="77A8F51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54608821</w:t>
            </w:r>
          </w:p>
        </w:tc>
        <w:tc>
          <w:tcPr>
            <w:tcW w:w="3360" w:type="pct"/>
            <w:tcBorders>
              <w:top w:val="nil"/>
              <w:left w:val="nil"/>
              <w:bottom w:val="single" w:sz="4" w:space="0" w:color="auto"/>
              <w:right w:val="single" w:sz="4" w:space="0" w:color="auto"/>
            </w:tcBorders>
            <w:shd w:val="clear" w:color="auto" w:fill="auto"/>
            <w:vAlign w:val="center"/>
            <w:hideMark/>
          </w:tcPr>
          <w:p w14:paraId="27CE7C8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FAKULTETA ZA INFORMACIJSKE ŠTUDIJE V NOVEM MESTU</w:t>
            </w:r>
          </w:p>
        </w:tc>
      </w:tr>
      <w:tr w:rsidR="00E3750C" w:rsidRPr="00415AB3" w14:paraId="04D249C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9E3D96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184</w:t>
            </w:r>
          </w:p>
        </w:tc>
        <w:tc>
          <w:tcPr>
            <w:tcW w:w="705" w:type="pct"/>
            <w:tcBorders>
              <w:top w:val="nil"/>
              <w:left w:val="nil"/>
              <w:bottom w:val="single" w:sz="4" w:space="0" w:color="auto"/>
              <w:right w:val="single" w:sz="4" w:space="0" w:color="auto"/>
            </w:tcBorders>
            <w:shd w:val="clear" w:color="auto" w:fill="auto"/>
            <w:noWrap/>
            <w:vAlign w:val="center"/>
            <w:hideMark/>
          </w:tcPr>
          <w:p w14:paraId="05171CA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2230526000</w:t>
            </w:r>
          </w:p>
        </w:tc>
        <w:tc>
          <w:tcPr>
            <w:tcW w:w="547" w:type="pct"/>
            <w:tcBorders>
              <w:top w:val="nil"/>
              <w:left w:val="nil"/>
              <w:bottom w:val="single" w:sz="4" w:space="0" w:color="auto"/>
              <w:right w:val="single" w:sz="4" w:space="0" w:color="auto"/>
            </w:tcBorders>
            <w:shd w:val="clear" w:color="auto" w:fill="auto"/>
            <w:noWrap/>
            <w:vAlign w:val="center"/>
            <w:hideMark/>
          </w:tcPr>
          <w:p w14:paraId="62B3184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10636200</w:t>
            </w:r>
          </w:p>
        </w:tc>
        <w:tc>
          <w:tcPr>
            <w:tcW w:w="3360" w:type="pct"/>
            <w:tcBorders>
              <w:top w:val="nil"/>
              <w:left w:val="nil"/>
              <w:bottom w:val="single" w:sz="4" w:space="0" w:color="auto"/>
              <w:right w:val="single" w:sz="4" w:space="0" w:color="auto"/>
            </w:tcBorders>
            <w:shd w:val="clear" w:color="auto" w:fill="auto"/>
            <w:vAlign w:val="center"/>
            <w:hideMark/>
          </w:tcPr>
          <w:p w14:paraId="0BB6F49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FAKULTETA ZA UPORABNE DRUŽBENE ŠTUDIJE V NOVI GORICI</w:t>
            </w:r>
          </w:p>
        </w:tc>
      </w:tr>
      <w:tr w:rsidR="00E3750C" w:rsidRPr="00415AB3" w14:paraId="4F195EF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26539F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185</w:t>
            </w:r>
          </w:p>
        </w:tc>
        <w:tc>
          <w:tcPr>
            <w:tcW w:w="705" w:type="pct"/>
            <w:tcBorders>
              <w:top w:val="nil"/>
              <w:left w:val="nil"/>
              <w:bottom w:val="single" w:sz="4" w:space="0" w:color="auto"/>
              <w:right w:val="single" w:sz="4" w:space="0" w:color="auto"/>
            </w:tcBorders>
            <w:shd w:val="clear" w:color="auto" w:fill="auto"/>
            <w:noWrap/>
            <w:vAlign w:val="center"/>
            <w:hideMark/>
          </w:tcPr>
          <w:p w14:paraId="506DE7C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5053277000</w:t>
            </w:r>
          </w:p>
        </w:tc>
        <w:tc>
          <w:tcPr>
            <w:tcW w:w="547" w:type="pct"/>
            <w:tcBorders>
              <w:top w:val="nil"/>
              <w:left w:val="nil"/>
              <w:bottom w:val="single" w:sz="4" w:space="0" w:color="auto"/>
              <w:right w:val="single" w:sz="4" w:space="0" w:color="auto"/>
            </w:tcBorders>
            <w:shd w:val="clear" w:color="auto" w:fill="auto"/>
            <w:noWrap/>
            <w:vAlign w:val="center"/>
            <w:hideMark/>
          </w:tcPr>
          <w:p w14:paraId="236109A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74608002</w:t>
            </w:r>
          </w:p>
        </w:tc>
        <w:tc>
          <w:tcPr>
            <w:tcW w:w="3360" w:type="pct"/>
            <w:tcBorders>
              <w:top w:val="nil"/>
              <w:left w:val="nil"/>
              <w:bottom w:val="single" w:sz="4" w:space="0" w:color="auto"/>
              <w:right w:val="single" w:sz="4" w:space="0" w:color="auto"/>
            </w:tcBorders>
            <w:shd w:val="clear" w:color="auto" w:fill="auto"/>
            <w:vAlign w:val="center"/>
            <w:hideMark/>
          </w:tcPr>
          <w:p w14:paraId="5CBCB93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FESTIVAL LJUBLJANA</w:t>
            </w:r>
          </w:p>
        </w:tc>
      </w:tr>
      <w:tr w:rsidR="00E3750C" w:rsidRPr="00415AB3" w14:paraId="4DF9C26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B5E407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186</w:t>
            </w:r>
          </w:p>
        </w:tc>
        <w:tc>
          <w:tcPr>
            <w:tcW w:w="705" w:type="pct"/>
            <w:tcBorders>
              <w:top w:val="nil"/>
              <w:left w:val="nil"/>
              <w:bottom w:val="single" w:sz="4" w:space="0" w:color="auto"/>
              <w:right w:val="single" w:sz="4" w:space="0" w:color="auto"/>
            </w:tcBorders>
            <w:shd w:val="clear" w:color="auto" w:fill="auto"/>
            <w:noWrap/>
            <w:vAlign w:val="center"/>
            <w:hideMark/>
          </w:tcPr>
          <w:p w14:paraId="09DB06C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3305970000</w:t>
            </w:r>
          </w:p>
        </w:tc>
        <w:tc>
          <w:tcPr>
            <w:tcW w:w="547" w:type="pct"/>
            <w:tcBorders>
              <w:top w:val="nil"/>
              <w:left w:val="nil"/>
              <w:bottom w:val="single" w:sz="4" w:space="0" w:color="auto"/>
              <w:right w:val="single" w:sz="4" w:space="0" w:color="auto"/>
            </w:tcBorders>
            <w:shd w:val="clear" w:color="auto" w:fill="auto"/>
            <w:noWrap/>
            <w:vAlign w:val="center"/>
            <w:hideMark/>
          </w:tcPr>
          <w:p w14:paraId="32A0681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37531212</w:t>
            </w:r>
          </w:p>
        </w:tc>
        <w:tc>
          <w:tcPr>
            <w:tcW w:w="3360" w:type="pct"/>
            <w:tcBorders>
              <w:top w:val="nil"/>
              <w:left w:val="nil"/>
              <w:bottom w:val="single" w:sz="4" w:space="0" w:color="auto"/>
              <w:right w:val="single" w:sz="4" w:space="0" w:color="auto"/>
            </w:tcBorders>
            <w:shd w:val="clear" w:color="auto" w:fill="auto"/>
            <w:vAlign w:val="center"/>
            <w:hideMark/>
          </w:tcPr>
          <w:p w14:paraId="4EC746F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FESTIVAL VELENJE</w:t>
            </w:r>
          </w:p>
        </w:tc>
      </w:tr>
      <w:tr w:rsidR="00E3750C" w:rsidRPr="00415AB3" w14:paraId="7B1E65C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1A2BE8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187</w:t>
            </w:r>
          </w:p>
        </w:tc>
        <w:tc>
          <w:tcPr>
            <w:tcW w:w="705" w:type="pct"/>
            <w:tcBorders>
              <w:top w:val="nil"/>
              <w:left w:val="nil"/>
              <w:bottom w:val="single" w:sz="4" w:space="0" w:color="auto"/>
              <w:right w:val="single" w:sz="4" w:space="0" w:color="auto"/>
            </w:tcBorders>
            <w:shd w:val="clear" w:color="auto" w:fill="auto"/>
            <w:noWrap/>
            <w:vAlign w:val="center"/>
            <w:hideMark/>
          </w:tcPr>
          <w:p w14:paraId="5B734EB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5848482000</w:t>
            </w:r>
          </w:p>
        </w:tc>
        <w:tc>
          <w:tcPr>
            <w:tcW w:w="547" w:type="pct"/>
            <w:tcBorders>
              <w:top w:val="nil"/>
              <w:left w:val="nil"/>
              <w:bottom w:val="single" w:sz="4" w:space="0" w:color="auto"/>
              <w:right w:val="single" w:sz="4" w:space="0" w:color="auto"/>
            </w:tcBorders>
            <w:shd w:val="clear" w:color="auto" w:fill="auto"/>
            <w:noWrap/>
            <w:vAlign w:val="center"/>
            <w:hideMark/>
          </w:tcPr>
          <w:p w14:paraId="719F222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91095042</w:t>
            </w:r>
          </w:p>
        </w:tc>
        <w:tc>
          <w:tcPr>
            <w:tcW w:w="3360" w:type="pct"/>
            <w:tcBorders>
              <w:top w:val="nil"/>
              <w:left w:val="nil"/>
              <w:bottom w:val="single" w:sz="4" w:space="0" w:color="auto"/>
              <w:right w:val="single" w:sz="4" w:space="0" w:color="auto"/>
            </w:tcBorders>
            <w:shd w:val="clear" w:color="auto" w:fill="auto"/>
            <w:vAlign w:val="center"/>
            <w:hideMark/>
          </w:tcPr>
          <w:p w14:paraId="00EF65B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FILMSKI STUDIO VIBA FILM LJUBLJANA</w:t>
            </w:r>
          </w:p>
        </w:tc>
      </w:tr>
      <w:tr w:rsidR="00E3750C" w:rsidRPr="00415AB3" w14:paraId="1E2B9F3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832D7D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188</w:t>
            </w:r>
          </w:p>
        </w:tc>
        <w:tc>
          <w:tcPr>
            <w:tcW w:w="705" w:type="pct"/>
            <w:tcBorders>
              <w:top w:val="nil"/>
              <w:left w:val="nil"/>
              <w:bottom w:val="single" w:sz="4" w:space="0" w:color="auto"/>
              <w:right w:val="single" w:sz="4" w:space="0" w:color="auto"/>
            </w:tcBorders>
            <w:shd w:val="clear" w:color="auto" w:fill="auto"/>
            <w:noWrap/>
            <w:vAlign w:val="center"/>
            <w:hideMark/>
          </w:tcPr>
          <w:p w14:paraId="318F04A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2516241000</w:t>
            </w:r>
          </w:p>
        </w:tc>
        <w:tc>
          <w:tcPr>
            <w:tcW w:w="547" w:type="pct"/>
            <w:tcBorders>
              <w:top w:val="nil"/>
              <w:left w:val="nil"/>
              <w:bottom w:val="single" w:sz="4" w:space="0" w:color="auto"/>
              <w:right w:val="single" w:sz="4" w:space="0" w:color="auto"/>
            </w:tcBorders>
            <w:shd w:val="clear" w:color="auto" w:fill="auto"/>
            <w:noWrap/>
            <w:vAlign w:val="center"/>
            <w:hideMark/>
          </w:tcPr>
          <w:p w14:paraId="56B1972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15171230</w:t>
            </w:r>
          </w:p>
        </w:tc>
        <w:tc>
          <w:tcPr>
            <w:tcW w:w="3360" w:type="pct"/>
            <w:tcBorders>
              <w:top w:val="nil"/>
              <w:left w:val="nil"/>
              <w:bottom w:val="single" w:sz="4" w:space="0" w:color="auto"/>
              <w:right w:val="single" w:sz="4" w:space="0" w:color="auto"/>
            </w:tcBorders>
            <w:shd w:val="clear" w:color="auto" w:fill="auto"/>
            <w:vAlign w:val="center"/>
            <w:hideMark/>
          </w:tcPr>
          <w:p w14:paraId="7600F7B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FISKALNI SVET</w:t>
            </w:r>
          </w:p>
        </w:tc>
      </w:tr>
      <w:tr w:rsidR="00E3750C" w:rsidRPr="00415AB3" w14:paraId="2F2AF82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A88C1E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189</w:t>
            </w:r>
          </w:p>
        </w:tc>
        <w:tc>
          <w:tcPr>
            <w:tcW w:w="705" w:type="pct"/>
            <w:tcBorders>
              <w:top w:val="nil"/>
              <w:left w:val="nil"/>
              <w:bottom w:val="single" w:sz="4" w:space="0" w:color="auto"/>
              <w:right w:val="single" w:sz="4" w:space="0" w:color="auto"/>
            </w:tcBorders>
            <w:shd w:val="clear" w:color="auto" w:fill="auto"/>
            <w:noWrap/>
            <w:vAlign w:val="center"/>
            <w:hideMark/>
          </w:tcPr>
          <w:p w14:paraId="3B836D1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5142768000</w:t>
            </w:r>
          </w:p>
        </w:tc>
        <w:tc>
          <w:tcPr>
            <w:tcW w:w="547" w:type="pct"/>
            <w:tcBorders>
              <w:top w:val="nil"/>
              <w:left w:val="nil"/>
              <w:bottom w:val="single" w:sz="4" w:space="0" w:color="auto"/>
              <w:right w:val="single" w:sz="4" w:space="0" w:color="auto"/>
            </w:tcBorders>
            <w:shd w:val="clear" w:color="auto" w:fill="auto"/>
            <w:noWrap/>
            <w:vAlign w:val="center"/>
            <w:hideMark/>
          </w:tcPr>
          <w:p w14:paraId="3BFE0C9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12574856</w:t>
            </w:r>
          </w:p>
        </w:tc>
        <w:tc>
          <w:tcPr>
            <w:tcW w:w="3360" w:type="pct"/>
            <w:tcBorders>
              <w:top w:val="nil"/>
              <w:left w:val="nil"/>
              <w:bottom w:val="single" w:sz="4" w:space="0" w:color="auto"/>
              <w:right w:val="single" w:sz="4" w:space="0" w:color="auto"/>
            </w:tcBorders>
            <w:shd w:val="clear" w:color="auto" w:fill="auto"/>
            <w:vAlign w:val="center"/>
            <w:hideMark/>
          </w:tcPr>
          <w:p w14:paraId="1C34C30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FRAPORT SLOVENIJA, UPRAVLJANJE LETALIŠČ, D.O.O.</w:t>
            </w:r>
          </w:p>
        </w:tc>
      </w:tr>
      <w:tr w:rsidR="00E3750C" w:rsidRPr="00415AB3" w14:paraId="3ECA277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E7DC4E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190</w:t>
            </w:r>
          </w:p>
        </w:tc>
        <w:tc>
          <w:tcPr>
            <w:tcW w:w="705" w:type="pct"/>
            <w:tcBorders>
              <w:top w:val="nil"/>
              <w:left w:val="nil"/>
              <w:bottom w:val="single" w:sz="4" w:space="0" w:color="auto"/>
              <w:right w:val="single" w:sz="4" w:space="0" w:color="auto"/>
            </w:tcBorders>
            <w:shd w:val="clear" w:color="auto" w:fill="auto"/>
            <w:noWrap/>
            <w:vAlign w:val="center"/>
            <w:hideMark/>
          </w:tcPr>
          <w:p w14:paraId="59F6E31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1504592000</w:t>
            </w:r>
          </w:p>
        </w:tc>
        <w:tc>
          <w:tcPr>
            <w:tcW w:w="547" w:type="pct"/>
            <w:tcBorders>
              <w:top w:val="nil"/>
              <w:left w:val="nil"/>
              <w:bottom w:val="single" w:sz="4" w:space="0" w:color="auto"/>
              <w:right w:val="single" w:sz="4" w:space="0" w:color="auto"/>
            </w:tcBorders>
            <w:shd w:val="clear" w:color="auto" w:fill="auto"/>
            <w:noWrap/>
            <w:vAlign w:val="center"/>
            <w:hideMark/>
          </w:tcPr>
          <w:p w14:paraId="6F731D7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22709495</w:t>
            </w:r>
          </w:p>
        </w:tc>
        <w:tc>
          <w:tcPr>
            <w:tcW w:w="3360" w:type="pct"/>
            <w:tcBorders>
              <w:top w:val="nil"/>
              <w:left w:val="nil"/>
              <w:bottom w:val="single" w:sz="4" w:space="0" w:color="auto"/>
              <w:right w:val="single" w:sz="4" w:space="0" w:color="auto"/>
            </w:tcBorders>
            <w:shd w:val="clear" w:color="auto" w:fill="auto"/>
            <w:vAlign w:val="center"/>
            <w:hideMark/>
          </w:tcPr>
          <w:p w14:paraId="2E3EEB0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FUNDACIJA ZA IZBOLJŠANJE ZAPOSLITVENIH MOŽNOSTI PRIZMA, USTANOVA</w:t>
            </w:r>
          </w:p>
        </w:tc>
      </w:tr>
      <w:tr w:rsidR="00E3750C" w:rsidRPr="00415AB3" w14:paraId="0B0C3FA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C587FC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191</w:t>
            </w:r>
          </w:p>
        </w:tc>
        <w:tc>
          <w:tcPr>
            <w:tcW w:w="705" w:type="pct"/>
            <w:tcBorders>
              <w:top w:val="nil"/>
              <w:left w:val="nil"/>
              <w:bottom w:val="single" w:sz="4" w:space="0" w:color="auto"/>
              <w:right w:val="single" w:sz="4" w:space="0" w:color="auto"/>
            </w:tcBorders>
            <w:shd w:val="clear" w:color="auto" w:fill="auto"/>
            <w:noWrap/>
            <w:vAlign w:val="center"/>
            <w:hideMark/>
          </w:tcPr>
          <w:p w14:paraId="1A2AF20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5007593000</w:t>
            </w:r>
          </w:p>
        </w:tc>
        <w:tc>
          <w:tcPr>
            <w:tcW w:w="547" w:type="pct"/>
            <w:tcBorders>
              <w:top w:val="nil"/>
              <w:left w:val="nil"/>
              <w:bottom w:val="single" w:sz="4" w:space="0" w:color="auto"/>
              <w:right w:val="single" w:sz="4" w:space="0" w:color="auto"/>
            </w:tcBorders>
            <w:shd w:val="clear" w:color="auto" w:fill="auto"/>
            <w:noWrap/>
            <w:vAlign w:val="center"/>
            <w:hideMark/>
          </w:tcPr>
          <w:p w14:paraId="7C94A0D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82533105</w:t>
            </w:r>
          </w:p>
        </w:tc>
        <w:tc>
          <w:tcPr>
            <w:tcW w:w="3360" w:type="pct"/>
            <w:tcBorders>
              <w:top w:val="nil"/>
              <w:left w:val="nil"/>
              <w:bottom w:val="single" w:sz="4" w:space="0" w:color="auto"/>
              <w:right w:val="single" w:sz="4" w:space="0" w:color="auto"/>
            </w:tcBorders>
            <w:shd w:val="clear" w:color="auto" w:fill="auto"/>
            <w:vAlign w:val="center"/>
            <w:hideMark/>
          </w:tcPr>
          <w:p w14:paraId="6CEAE97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GALERIJA BOŽIDAR JAKAC KOSTANJEVICA NA KRKI</w:t>
            </w:r>
          </w:p>
        </w:tc>
      </w:tr>
      <w:tr w:rsidR="00E3750C" w:rsidRPr="00415AB3" w14:paraId="29E55ED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FF271A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192</w:t>
            </w:r>
          </w:p>
        </w:tc>
        <w:tc>
          <w:tcPr>
            <w:tcW w:w="705" w:type="pct"/>
            <w:tcBorders>
              <w:top w:val="nil"/>
              <w:left w:val="nil"/>
              <w:bottom w:val="single" w:sz="4" w:space="0" w:color="auto"/>
              <w:right w:val="single" w:sz="4" w:space="0" w:color="auto"/>
            </w:tcBorders>
            <w:shd w:val="clear" w:color="auto" w:fill="auto"/>
            <w:noWrap/>
            <w:vAlign w:val="center"/>
            <w:hideMark/>
          </w:tcPr>
          <w:p w14:paraId="4300311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5676304000</w:t>
            </w:r>
          </w:p>
        </w:tc>
        <w:tc>
          <w:tcPr>
            <w:tcW w:w="547" w:type="pct"/>
            <w:tcBorders>
              <w:top w:val="nil"/>
              <w:left w:val="nil"/>
              <w:bottom w:val="single" w:sz="4" w:space="0" w:color="auto"/>
              <w:right w:val="single" w:sz="4" w:space="0" w:color="auto"/>
            </w:tcBorders>
            <w:shd w:val="clear" w:color="auto" w:fill="auto"/>
            <w:noWrap/>
            <w:vAlign w:val="center"/>
            <w:hideMark/>
          </w:tcPr>
          <w:p w14:paraId="7969577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88640485</w:t>
            </w:r>
          </w:p>
        </w:tc>
        <w:tc>
          <w:tcPr>
            <w:tcW w:w="3360" w:type="pct"/>
            <w:tcBorders>
              <w:top w:val="nil"/>
              <w:left w:val="nil"/>
              <w:bottom w:val="single" w:sz="4" w:space="0" w:color="auto"/>
              <w:right w:val="single" w:sz="4" w:space="0" w:color="auto"/>
            </w:tcBorders>
            <w:shd w:val="clear" w:color="auto" w:fill="auto"/>
            <w:vAlign w:val="center"/>
            <w:hideMark/>
          </w:tcPr>
          <w:p w14:paraId="594E3F7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GALERIJA MURSKA SOBOTA</w:t>
            </w:r>
          </w:p>
        </w:tc>
      </w:tr>
      <w:tr w:rsidR="00E3750C" w:rsidRPr="00415AB3" w14:paraId="272AA3B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F7366A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193</w:t>
            </w:r>
          </w:p>
        </w:tc>
        <w:tc>
          <w:tcPr>
            <w:tcW w:w="705" w:type="pct"/>
            <w:tcBorders>
              <w:top w:val="nil"/>
              <w:left w:val="nil"/>
              <w:bottom w:val="single" w:sz="4" w:space="0" w:color="auto"/>
              <w:right w:val="single" w:sz="4" w:space="0" w:color="auto"/>
            </w:tcBorders>
            <w:shd w:val="clear" w:color="auto" w:fill="auto"/>
            <w:noWrap/>
            <w:vAlign w:val="center"/>
            <w:hideMark/>
          </w:tcPr>
          <w:p w14:paraId="693699C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5022711000</w:t>
            </w:r>
          </w:p>
        </w:tc>
        <w:tc>
          <w:tcPr>
            <w:tcW w:w="547" w:type="pct"/>
            <w:tcBorders>
              <w:top w:val="nil"/>
              <w:left w:val="nil"/>
              <w:bottom w:val="single" w:sz="4" w:space="0" w:color="auto"/>
              <w:right w:val="single" w:sz="4" w:space="0" w:color="auto"/>
            </w:tcBorders>
            <w:shd w:val="clear" w:color="auto" w:fill="auto"/>
            <w:noWrap/>
            <w:vAlign w:val="center"/>
            <w:hideMark/>
          </w:tcPr>
          <w:p w14:paraId="6EB6DB4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21654255</w:t>
            </w:r>
          </w:p>
        </w:tc>
        <w:tc>
          <w:tcPr>
            <w:tcW w:w="3360" w:type="pct"/>
            <w:tcBorders>
              <w:top w:val="nil"/>
              <w:left w:val="nil"/>
              <w:bottom w:val="single" w:sz="4" w:space="0" w:color="auto"/>
              <w:right w:val="single" w:sz="4" w:space="0" w:color="auto"/>
            </w:tcBorders>
            <w:shd w:val="clear" w:color="auto" w:fill="auto"/>
            <w:vAlign w:val="center"/>
            <w:hideMark/>
          </w:tcPr>
          <w:p w14:paraId="78065CF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GASILSKA BRIGADA LJUBLJANA</w:t>
            </w:r>
          </w:p>
        </w:tc>
      </w:tr>
      <w:tr w:rsidR="00E3750C" w:rsidRPr="00415AB3" w14:paraId="1FFB742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9D8624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194</w:t>
            </w:r>
          </w:p>
        </w:tc>
        <w:tc>
          <w:tcPr>
            <w:tcW w:w="705" w:type="pct"/>
            <w:tcBorders>
              <w:top w:val="nil"/>
              <w:left w:val="nil"/>
              <w:bottom w:val="single" w:sz="4" w:space="0" w:color="auto"/>
              <w:right w:val="single" w:sz="4" w:space="0" w:color="auto"/>
            </w:tcBorders>
            <w:shd w:val="clear" w:color="auto" w:fill="auto"/>
            <w:noWrap/>
            <w:vAlign w:val="center"/>
            <w:hideMark/>
          </w:tcPr>
          <w:p w14:paraId="6D3FF93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5115698000</w:t>
            </w:r>
          </w:p>
        </w:tc>
        <w:tc>
          <w:tcPr>
            <w:tcW w:w="547" w:type="pct"/>
            <w:tcBorders>
              <w:top w:val="nil"/>
              <w:left w:val="nil"/>
              <w:bottom w:val="single" w:sz="4" w:space="0" w:color="auto"/>
              <w:right w:val="single" w:sz="4" w:space="0" w:color="auto"/>
            </w:tcBorders>
            <w:shd w:val="clear" w:color="auto" w:fill="auto"/>
            <w:noWrap/>
            <w:vAlign w:val="center"/>
            <w:hideMark/>
          </w:tcPr>
          <w:p w14:paraId="4A498E1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35353627</w:t>
            </w:r>
          </w:p>
        </w:tc>
        <w:tc>
          <w:tcPr>
            <w:tcW w:w="3360" w:type="pct"/>
            <w:tcBorders>
              <w:top w:val="nil"/>
              <w:left w:val="nil"/>
              <w:bottom w:val="single" w:sz="4" w:space="0" w:color="auto"/>
              <w:right w:val="single" w:sz="4" w:space="0" w:color="auto"/>
            </w:tcBorders>
            <w:shd w:val="clear" w:color="auto" w:fill="auto"/>
            <w:vAlign w:val="center"/>
            <w:hideMark/>
          </w:tcPr>
          <w:p w14:paraId="02DE29E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GASILSKA ZVEZA CELJE</w:t>
            </w:r>
          </w:p>
        </w:tc>
      </w:tr>
      <w:tr w:rsidR="00E3750C" w:rsidRPr="00415AB3" w14:paraId="303710F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CA44DE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195</w:t>
            </w:r>
          </w:p>
        </w:tc>
        <w:tc>
          <w:tcPr>
            <w:tcW w:w="705" w:type="pct"/>
            <w:tcBorders>
              <w:top w:val="nil"/>
              <w:left w:val="nil"/>
              <w:bottom w:val="single" w:sz="4" w:space="0" w:color="auto"/>
              <w:right w:val="single" w:sz="4" w:space="0" w:color="auto"/>
            </w:tcBorders>
            <w:shd w:val="clear" w:color="auto" w:fill="auto"/>
            <w:noWrap/>
            <w:vAlign w:val="center"/>
            <w:hideMark/>
          </w:tcPr>
          <w:p w14:paraId="164D247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1176412000</w:t>
            </w:r>
          </w:p>
        </w:tc>
        <w:tc>
          <w:tcPr>
            <w:tcW w:w="547" w:type="pct"/>
            <w:tcBorders>
              <w:top w:val="nil"/>
              <w:left w:val="nil"/>
              <w:bottom w:val="single" w:sz="4" w:space="0" w:color="auto"/>
              <w:right w:val="single" w:sz="4" w:space="0" w:color="auto"/>
            </w:tcBorders>
            <w:shd w:val="clear" w:color="auto" w:fill="auto"/>
            <w:noWrap/>
            <w:vAlign w:val="center"/>
            <w:hideMark/>
          </w:tcPr>
          <w:p w14:paraId="287D57C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51542196</w:t>
            </w:r>
          </w:p>
        </w:tc>
        <w:tc>
          <w:tcPr>
            <w:tcW w:w="3360" w:type="pct"/>
            <w:tcBorders>
              <w:top w:val="nil"/>
              <w:left w:val="nil"/>
              <w:bottom w:val="single" w:sz="4" w:space="0" w:color="auto"/>
              <w:right w:val="single" w:sz="4" w:space="0" w:color="auto"/>
            </w:tcBorders>
            <w:shd w:val="clear" w:color="auto" w:fill="auto"/>
            <w:vAlign w:val="center"/>
            <w:hideMark/>
          </w:tcPr>
          <w:p w14:paraId="6B9E3A7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GASILSKA ZVEZA CERKNO</w:t>
            </w:r>
          </w:p>
        </w:tc>
      </w:tr>
      <w:tr w:rsidR="00E3750C" w:rsidRPr="00415AB3" w14:paraId="292C3EF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B92FD9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196</w:t>
            </w:r>
          </w:p>
        </w:tc>
        <w:tc>
          <w:tcPr>
            <w:tcW w:w="705" w:type="pct"/>
            <w:tcBorders>
              <w:top w:val="nil"/>
              <w:left w:val="nil"/>
              <w:bottom w:val="single" w:sz="4" w:space="0" w:color="auto"/>
              <w:right w:val="single" w:sz="4" w:space="0" w:color="auto"/>
            </w:tcBorders>
            <w:shd w:val="clear" w:color="auto" w:fill="auto"/>
            <w:noWrap/>
            <w:vAlign w:val="center"/>
            <w:hideMark/>
          </w:tcPr>
          <w:p w14:paraId="6117819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5155533000</w:t>
            </w:r>
          </w:p>
        </w:tc>
        <w:tc>
          <w:tcPr>
            <w:tcW w:w="547" w:type="pct"/>
            <w:tcBorders>
              <w:top w:val="nil"/>
              <w:left w:val="nil"/>
              <w:bottom w:val="single" w:sz="4" w:space="0" w:color="auto"/>
              <w:right w:val="single" w:sz="4" w:space="0" w:color="auto"/>
            </w:tcBorders>
            <w:shd w:val="clear" w:color="auto" w:fill="auto"/>
            <w:noWrap/>
            <w:vAlign w:val="center"/>
            <w:hideMark/>
          </w:tcPr>
          <w:p w14:paraId="5DD361B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95689583</w:t>
            </w:r>
          </w:p>
        </w:tc>
        <w:tc>
          <w:tcPr>
            <w:tcW w:w="3360" w:type="pct"/>
            <w:tcBorders>
              <w:top w:val="nil"/>
              <w:left w:val="nil"/>
              <w:bottom w:val="single" w:sz="4" w:space="0" w:color="auto"/>
              <w:right w:val="single" w:sz="4" w:space="0" w:color="auto"/>
            </w:tcBorders>
            <w:shd w:val="clear" w:color="auto" w:fill="auto"/>
            <w:vAlign w:val="center"/>
            <w:hideMark/>
          </w:tcPr>
          <w:p w14:paraId="1159480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GASILSKA ZVEZA KOČEVJE</w:t>
            </w:r>
          </w:p>
        </w:tc>
      </w:tr>
      <w:tr w:rsidR="00E3750C" w:rsidRPr="00415AB3" w14:paraId="698AD0B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178FD4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197</w:t>
            </w:r>
          </w:p>
        </w:tc>
        <w:tc>
          <w:tcPr>
            <w:tcW w:w="705" w:type="pct"/>
            <w:tcBorders>
              <w:top w:val="nil"/>
              <w:left w:val="nil"/>
              <w:bottom w:val="single" w:sz="4" w:space="0" w:color="auto"/>
              <w:right w:val="single" w:sz="4" w:space="0" w:color="auto"/>
            </w:tcBorders>
            <w:shd w:val="clear" w:color="auto" w:fill="auto"/>
            <w:noWrap/>
            <w:vAlign w:val="center"/>
            <w:hideMark/>
          </w:tcPr>
          <w:p w14:paraId="3998407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5916780000</w:t>
            </w:r>
          </w:p>
        </w:tc>
        <w:tc>
          <w:tcPr>
            <w:tcW w:w="547" w:type="pct"/>
            <w:tcBorders>
              <w:top w:val="nil"/>
              <w:left w:val="nil"/>
              <w:bottom w:val="single" w:sz="4" w:space="0" w:color="auto"/>
              <w:right w:val="single" w:sz="4" w:space="0" w:color="auto"/>
            </w:tcBorders>
            <w:shd w:val="clear" w:color="auto" w:fill="auto"/>
            <w:noWrap/>
            <w:vAlign w:val="center"/>
            <w:hideMark/>
          </w:tcPr>
          <w:p w14:paraId="20EDE24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91098769</w:t>
            </w:r>
          </w:p>
        </w:tc>
        <w:tc>
          <w:tcPr>
            <w:tcW w:w="3360" w:type="pct"/>
            <w:tcBorders>
              <w:top w:val="nil"/>
              <w:left w:val="nil"/>
              <w:bottom w:val="single" w:sz="4" w:space="0" w:color="auto"/>
              <w:right w:val="single" w:sz="4" w:space="0" w:color="auto"/>
            </w:tcBorders>
            <w:shd w:val="clear" w:color="auto" w:fill="auto"/>
            <w:vAlign w:val="center"/>
            <w:hideMark/>
          </w:tcPr>
          <w:p w14:paraId="610DCD5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GASILSKA ZVEZA LJUBLJANA</w:t>
            </w:r>
          </w:p>
        </w:tc>
      </w:tr>
      <w:tr w:rsidR="00E3750C" w:rsidRPr="00415AB3" w14:paraId="41C5B5E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D75644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198</w:t>
            </w:r>
          </w:p>
        </w:tc>
        <w:tc>
          <w:tcPr>
            <w:tcW w:w="705" w:type="pct"/>
            <w:tcBorders>
              <w:top w:val="nil"/>
              <w:left w:val="nil"/>
              <w:bottom w:val="single" w:sz="4" w:space="0" w:color="auto"/>
              <w:right w:val="single" w:sz="4" w:space="0" w:color="auto"/>
            </w:tcBorders>
            <w:shd w:val="clear" w:color="auto" w:fill="auto"/>
            <w:noWrap/>
            <w:vAlign w:val="center"/>
            <w:hideMark/>
          </w:tcPr>
          <w:p w14:paraId="6B94DE4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5179831000</w:t>
            </w:r>
          </w:p>
        </w:tc>
        <w:tc>
          <w:tcPr>
            <w:tcW w:w="547" w:type="pct"/>
            <w:tcBorders>
              <w:top w:val="nil"/>
              <w:left w:val="nil"/>
              <w:bottom w:val="single" w:sz="4" w:space="0" w:color="auto"/>
              <w:right w:val="single" w:sz="4" w:space="0" w:color="auto"/>
            </w:tcBorders>
            <w:shd w:val="clear" w:color="auto" w:fill="auto"/>
            <w:noWrap/>
            <w:vAlign w:val="center"/>
            <w:hideMark/>
          </w:tcPr>
          <w:p w14:paraId="4920CFA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31068464</w:t>
            </w:r>
          </w:p>
        </w:tc>
        <w:tc>
          <w:tcPr>
            <w:tcW w:w="3360" w:type="pct"/>
            <w:tcBorders>
              <w:top w:val="nil"/>
              <w:left w:val="nil"/>
              <w:bottom w:val="single" w:sz="4" w:space="0" w:color="auto"/>
              <w:right w:val="single" w:sz="4" w:space="0" w:color="auto"/>
            </w:tcBorders>
            <w:shd w:val="clear" w:color="auto" w:fill="auto"/>
            <w:vAlign w:val="center"/>
            <w:hideMark/>
          </w:tcPr>
          <w:p w14:paraId="0ACBA6A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GASILSKA ZVEZA METLIKA</w:t>
            </w:r>
          </w:p>
        </w:tc>
      </w:tr>
      <w:tr w:rsidR="00E3750C" w:rsidRPr="00415AB3" w14:paraId="373DBF4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8E0393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199</w:t>
            </w:r>
          </w:p>
        </w:tc>
        <w:tc>
          <w:tcPr>
            <w:tcW w:w="705" w:type="pct"/>
            <w:tcBorders>
              <w:top w:val="nil"/>
              <w:left w:val="nil"/>
              <w:bottom w:val="single" w:sz="4" w:space="0" w:color="auto"/>
              <w:right w:val="single" w:sz="4" w:space="0" w:color="auto"/>
            </w:tcBorders>
            <w:shd w:val="clear" w:color="auto" w:fill="auto"/>
            <w:noWrap/>
            <w:vAlign w:val="center"/>
            <w:hideMark/>
          </w:tcPr>
          <w:p w14:paraId="2CFF7B6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5147379000</w:t>
            </w:r>
          </w:p>
        </w:tc>
        <w:tc>
          <w:tcPr>
            <w:tcW w:w="547" w:type="pct"/>
            <w:tcBorders>
              <w:top w:val="nil"/>
              <w:left w:val="nil"/>
              <w:bottom w:val="single" w:sz="4" w:space="0" w:color="auto"/>
              <w:right w:val="single" w:sz="4" w:space="0" w:color="auto"/>
            </w:tcBorders>
            <w:shd w:val="clear" w:color="auto" w:fill="auto"/>
            <w:noWrap/>
            <w:vAlign w:val="center"/>
            <w:hideMark/>
          </w:tcPr>
          <w:p w14:paraId="602CD28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63471736</w:t>
            </w:r>
          </w:p>
        </w:tc>
        <w:tc>
          <w:tcPr>
            <w:tcW w:w="3360" w:type="pct"/>
            <w:tcBorders>
              <w:top w:val="nil"/>
              <w:left w:val="nil"/>
              <w:bottom w:val="single" w:sz="4" w:space="0" w:color="auto"/>
              <w:right w:val="single" w:sz="4" w:space="0" w:color="auto"/>
            </w:tcBorders>
            <w:shd w:val="clear" w:color="auto" w:fill="auto"/>
            <w:vAlign w:val="center"/>
            <w:hideMark/>
          </w:tcPr>
          <w:p w14:paraId="3295C89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GASILSKA ZVEZA SLOVENIJE</w:t>
            </w:r>
          </w:p>
        </w:tc>
      </w:tr>
      <w:tr w:rsidR="00E3750C" w:rsidRPr="00415AB3" w14:paraId="404FC5F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6E08A0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200</w:t>
            </w:r>
          </w:p>
        </w:tc>
        <w:tc>
          <w:tcPr>
            <w:tcW w:w="705" w:type="pct"/>
            <w:tcBorders>
              <w:top w:val="nil"/>
              <w:left w:val="nil"/>
              <w:bottom w:val="single" w:sz="4" w:space="0" w:color="auto"/>
              <w:right w:val="single" w:sz="4" w:space="0" w:color="auto"/>
            </w:tcBorders>
            <w:shd w:val="clear" w:color="auto" w:fill="auto"/>
            <w:noWrap/>
            <w:vAlign w:val="center"/>
            <w:hideMark/>
          </w:tcPr>
          <w:p w14:paraId="7F1CB41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5154871000</w:t>
            </w:r>
          </w:p>
        </w:tc>
        <w:tc>
          <w:tcPr>
            <w:tcW w:w="547" w:type="pct"/>
            <w:tcBorders>
              <w:top w:val="nil"/>
              <w:left w:val="nil"/>
              <w:bottom w:val="single" w:sz="4" w:space="0" w:color="auto"/>
              <w:right w:val="single" w:sz="4" w:space="0" w:color="auto"/>
            </w:tcBorders>
            <w:shd w:val="clear" w:color="auto" w:fill="auto"/>
            <w:noWrap/>
            <w:vAlign w:val="center"/>
            <w:hideMark/>
          </w:tcPr>
          <w:p w14:paraId="0B36C0D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84521830</w:t>
            </w:r>
          </w:p>
        </w:tc>
        <w:tc>
          <w:tcPr>
            <w:tcW w:w="3360" w:type="pct"/>
            <w:tcBorders>
              <w:top w:val="nil"/>
              <w:left w:val="nil"/>
              <w:bottom w:val="single" w:sz="4" w:space="0" w:color="auto"/>
              <w:right w:val="single" w:sz="4" w:space="0" w:color="auto"/>
            </w:tcBorders>
            <w:shd w:val="clear" w:color="auto" w:fill="auto"/>
            <w:vAlign w:val="center"/>
            <w:hideMark/>
          </w:tcPr>
          <w:p w14:paraId="4E91895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GASILSKA ZVEZA ZAGORJE OB SAVI</w:t>
            </w:r>
          </w:p>
        </w:tc>
      </w:tr>
      <w:tr w:rsidR="00E3750C" w:rsidRPr="00415AB3" w14:paraId="63B682D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F6BA23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201</w:t>
            </w:r>
          </w:p>
        </w:tc>
        <w:tc>
          <w:tcPr>
            <w:tcW w:w="705" w:type="pct"/>
            <w:tcBorders>
              <w:top w:val="nil"/>
              <w:left w:val="nil"/>
              <w:bottom w:val="single" w:sz="4" w:space="0" w:color="auto"/>
              <w:right w:val="single" w:sz="4" w:space="0" w:color="auto"/>
            </w:tcBorders>
            <w:shd w:val="clear" w:color="auto" w:fill="auto"/>
            <w:noWrap/>
            <w:vAlign w:val="center"/>
            <w:hideMark/>
          </w:tcPr>
          <w:p w14:paraId="6F3B55B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5199824000</w:t>
            </w:r>
          </w:p>
        </w:tc>
        <w:tc>
          <w:tcPr>
            <w:tcW w:w="547" w:type="pct"/>
            <w:tcBorders>
              <w:top w:val="nil"/>
              <w:left w:val="nil"/>
              <w:bottom w:val="single" w:sz="4" w:space="0" w:color="auto"/>
              <w:right w:val="single" w:sz="4" w:space="0" w:color="auto"/>
            </w:tcBorders>
            <w:shd w:val="clear" w:color="auto" w:fill="auto"/>
            <w:noWrap/>
            <w:vAlign w:val="center"/>
            <w:hideMark/>
          </w:tcPr>
          <w:p w14:paraId="52538A9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26522870</w:t>
            </w:r>
          </w:p>
        </w:tc>
        <w:tc>
          <w:tcPr>
            <w:tcW w:w="3360" w:type="pct"/>
            <w:tcBorders>
              <w:top w:val="nil"/>
              <w:left w:val="nil"/>
              <w:bottom w:val="single" w:sz="4" w:space="0" w:color="auto"/>
              <w:right w:val="single" w:sz="4" w:space="0" w:color="auto"/>
            </w:tcBorders>
            <w:shd w:val="clear" w:color="auto" w:fill="auto"/>
            <w:vAlign w:val="center"/>
            <w:hideMark/>
          </w:tcPr>
          <w:p w14:paraId="69F7D51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GASILSKO DRUŠTVO LJUBLJANA MESTO</w:t>
            </w:r>
          </w:p>
        </w:tc>
      </w:tr>
      <w:tr w:rsidR="00E3750C" w:rsidRPr="00415AB3" w14:paraId="74F55A2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BC711E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202</w:t>
            </w:r>
          </w:p>
        </w:tc>
        <w:tc>
          <w:tcPr>
            <w:tcW w:w="705" w:type="pct"/>
            <w:tcBorders>
              <w:top w:val="nil"/>
              <w:left w:val="nil"/>
              <w:bottom w:val="single" w:sz="4" w:space="0" w:color="auto"/>
              <w:right w:val="single" w:sz="4" w:space="0" w:color="auto"/>
            </w:tcBorders>
            <w:shd w:val="clear" w:color="auto" w:fill="auto"/>
            <w:noWrap/>
            <w:vAlign w:val="center"/>
            <w:hideMark/>
          </w:tcPr>
          <w:p w14:paraId="4F06BEE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1657402000</w:t>
            </w:r>
          </w:p>
        </w:tc>
        <w:tc>
          <w:tcPr>
            <w:tcW w:w="547" w:type="pct"/>
            <w:tcBorders>
              <w:top w:val="nil"/>
              <w:left w:val="nil"/>
              <w:bottom w:val="single" w:sz="4" w:space="0" w:color="auto"/>
              <w:right w:val="single" w:sz="4" w:space="0" w:color="auto"/>
            </w:tcBorders>
            <w:shd w:val="clear" w:color="auto" w:fill="auto"/>
            <w:noWrap/>
            <w:vAlign w:val="center"/>
            <w:hideMark/>
          </w:tcPr>
          <w:p w14:paraId="50D6AB0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43712037</w:t>
            </w:r>
          </w:p>
        </w:tc>
        <w:tc>
          <w:tcPr>
            <w:tcW w:w="3360" w:type="pct"/>
            <w:tcBorders>
              <w:top w:val="nil"/>
              <w:left w:val="nil"/>
              <w:bottom w:val="single" w:sz="4" w:space="0" w:color="auto"/>
              <w:right w:val="single" w:sz="4" w:space="0" w:color="auto"/>
            </w:tcBorders>
            <w:shd w:val="clear" w:color="auto" w:fill="auto"/>
            <w:vAlign w:val="center"/>
            <w:hideMark/>
          </w:tcPr>
          <w:p w14:paraId="566B7F0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GASILSKO REŠEVALNA SLUŽBA JESENICE</w:t>
            </w:r>
          </w:p>
        </w:tc>
      </w:tr>
      <w:tr w:rsidR="00E3750C" w:rsidRPr="00415AB3" w14:paraId="385359E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3907AD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203</w:t>
            </w:r>
          </w:p>
        </w:tc>
        <w:tc>
          <w:tcPr>
            <w:tcW w:w="705" w:type="pct"/>
            <w:tcBorders>
              <w:top w:val="nil"/>
              <w:left w:val="nil"/>
              <w:bottom w:val="single" w:sz="4" w:space="0" w:color="auto"/>
              <w:right w:val="single" w:sz="4" w:space="0" w:color="auto"/>
            </w:tcBorders>
            <w:shd w:val="clear" w:color="auto" w:fill="auto"/>
            <w:noWrap/>
            <w:vAlign w:val="center"/>
            <w:hideMark/>
          </w:tcPr>
          <w:p w14:paraId="58C62AF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5015561000</w:t>
            </w:r>
          </w:p>
        </w:tc>
        <w:tc>
          <w:tcPr>
            <w:tcW w:w="547" w:type="pct"/>
            <w:tcBorders>
              <w:top w:val="nil"/>
              <w:left w:val="nil"/>
              <w:bottom w:val="single" w:sz="4" w:space="0" w:color="auto"/>
              <w:right w:val="single" w:sz="4" w:space="0" w:color="auto"/>
            </w:tcBorders>
            <w:shd w:val="clear" w:color="auto" w:fill="auto"/>
            <w:noWrap/>
            <w:vAlign w:val="center"/>
            <w:hideMark/>
          </w:tcPr>
          <w:p w14:paraId="456AB51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65639642</w:t>
            </w:r>
          </w:p>
        </w:tc>
        <w:tc>
          <w:tcPr>
            <w:tcW w:w="3360" w:type="pct"/>
            <w:tcBorders>
              <w:top w:val="nil"/>
              <w:left w:val="nil"/>
              <w:bottom w:val="single" w:sz="4" w:space="0" w:color="auto"/>
              <w:right w:val="single" w:sz="4" w:space="0" w:color="auto"/>
            </w:tcBorders>
            <w:shd w:val="clear" w:color="auto" w:fill="auto"/>
            <w:vAlign w:val="center"/>
            <w:hideMark/>
          </w:tcPr>
          <w:p w14:paraId="29B24D7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GASILSKO REŠEVALNA SLUŽBA KRANJ</w:t>
            </w:r>
          </w:p>
        </w:tc>
      </w:tr>
      <w:tr w:rsidR="00E3750C" w:rsidRPr="00415AB3" w14:paraId="7C01CA9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0ABB95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204</w:t>
            </w:r>
          </w:p>
        </w:tc>
        <w:tc>
          <w:tcPr>
            <w:tcW w:w="705" w:type="pct"/>
            <w:tcBorders>
              <w:top w:val="nil"/>
              <w:left w:val="nil"/>
              <w:bottom w:val="single" w:sz="4" w:space="0" w:color="auto"/>
              <w:right w:val="single" w:sz="4" w:space="0" w:color="auto"/>
            </w:tcBorders>
            <w:shd w:val="clear" w:color="auto" w:fill="auto"/>
            <w:noWrap/>
            <w:vAlign w:val="center"/>
            <w:hideMark/>
          </w:tcPr>
          <w:p w14:paraId="06F15B8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5818982000</w:t>
            </w:r>
          </w:p>
        </w:tc>
        <w:tc>
          <w:tcPr>
            <w:tcW w:w="547" w:type="pct"/>
            <w:tcBorders>
              <w:top w:val="nil"/>
              <w:left w:val="nil"/>
              <w:bottom w:val="single" w:sz="4" w:space="0" w:color="auto"/>
              <w:right w:val="single" w:sz="4" w:space="0" w:color="auto"/>
            </w:tcBorders>
            <w:shd w:val="clear" w:color="auto" w:fill="auto"/>
            <w:noWrap/>
            <w:vAlign w:val="center"/>
            <w:hideMark/>
          </w:tcPr>
          <w:p w14:paraId="7452054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30474132</w:t>
            </w:r>
          </w:p>
        </w:tc>
        <w:tc>
          <w:tcPr>
            <w:tcW w:w="3360" w:type="pct"/>
            <w:tcBorders>
              <w:top w:val="nil"/>
              <w:left w:val="nil"/>
              <w:bottom w:val="single" w:sz="4" w:space="0" w:color="auto"/>
              <w:right w:val="single" w:sz="4" w:space="0" w:color="auto"/>
            </w:tcBorders>
            <w:shd w:val="clear" w:color="auto" w:fill="auto"/>
            <w:vAlign w:val="center"/>
            <w:hideMark/>
          </w:tcPr>
          <w:p w14:paraId="09A0E1C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GASILSKO REŠEVALNI CENTER AJDOVŠČINA</w:t>
            </w:r>
          </w:p>
        </w:tc>
      </w:tr>
      <w:tr w:rsidR="00E3750C" w:rsidRPr="00415AB3" w14:paraId="0F8645C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BC5A0A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205</w:t>
            </w:r>
          </w:p>
        </w:tc>
        <w:tc>
          <w:tcPr>
            <w:tcW w:w="705" w:type="pct"/>
            <w:tcBorders>
              <w:top w:val="nil"/>
              <w:left w:val="nil"/>
              <w:bottom w:val="single" w:sz="4" w:space="0" w:color="auto"/>
              <w:right w:val="single" w:sz="4" w:space="0" w:color="auto"/>
            </w:tcBorders>
            <w:shd w:val="clear" w:color="auto" w:fill="auto"/>
            <w:noWrap/>
            <w:vAlign w:val="center"/>
            <w:hideMark/>
          </w:tcPr>
          <w:p w14:paraId="17B1F21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5015472000</w:t>
            </w:r>
          </w:p>
        </w:tc>
        <w:tc>
          <w:tcPr>
            <w:tcW w:w="547" w:type="pct"/>
            <w:tcBorders>
              <w:top w:val="nil"/>
              <w:left w:val="nil"/>
              <w:bottom w:val="single" w:sz="4" w:space="0" w:color="auto"/>
              <w:right w:val="single" w:sz="4" w:space="0" w:color="auto"/>
            </w:tcBorders>
            <w:shd w:val="clear" w:color="auto" w:fill="auto"/>
            <w:noWrap/>
            <w:vAlign w:val="center"/>
            <w:hideMark/>
          </w:tcPr>
          <w:p w14:paraId="20A0AC0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41644506</w:t>
            </w:r>
          </w:p>
        </w:tc>
        <w:tc>
          <w:tcPr>
            <w:tcW w:w="3360" w:type="pct"/>
            <w:tcBorders>
              <w:top w:val="nil"/>
              <w:left w:val="nil"/>
              <w:bottom w:val="single" w:sz="4" w:space="0" w:color="auto"/>
              <w:right w:val="single" w:sz="4" w:space="0" w:color="auto"/>
            </w:tcBorders>
            <w:shd w:val="clear" w:color="auto" w:fill="auto"/>
            <w:vAlign w:val="center"/>
            <w:hideMark/>
          </w:tcPr>
          <w:p w14:paraId="4EF45C5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GASILSKO-REŠEVALNI CENTER NOVO MESTO</w:t>
            </w:r>
          </w:p>
        </w:tc>
      </w:tr>
      <w:tr w:rsidR="00E3750C" w:rsidRPr="00415AB3" w14:paraId="34FF371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D2EA4A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206</w:t>
            </w:r>
          </w:p>
        </w:tc>
        <w:tc>
          <w:tcPr>
            <w:tcW w:w="705" w:type="pct"/>
            <w:tcBorders>
              <w:top w:val="nil"/>
              <w:left w:val="nil"/>
              <w:bottom w:val="single" w:sz="4" w:space="0" w:color="auto"/>
              <w:right w:val="single" w:sz="4" w:space="0" w:color="auto"/>
            </w:tcBorders>
            <w:shd w:val="clear" w:color="auto" w:fill="auto"/>
            <w:noWrap/>
            <w:vAlign w:val="center"/>
            <w:hideMark/>
          </w:tcPr>
          <w:p w14:paraId="7170571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1646613000</w:t>
            </w:r>
          </w:p>
        </w:tc>
        <w:tc>
          <w:tcPr>
            <w:tcW w:w="547" w:type="pct"/>
            <w:tcBorders>
              <w:top w:val="nil"/>
              <w:left w:val="nil"/>
              <w:bottom w:val="single" w:sz="4" w:space="0" w:color="auto"/>
              <w:right w:val="single" w:sz="4" w:space="0" w:color="auto"/>
            </w:tcBorders>
            <w:shd w:val="clear" w:color="auto" w:fill="auto"/>
            <w:noWrap/>
            <w:vAlign w:val="center"/>
            <w:hideMark/>
          </w:tcPr>
          <w:p w14:paraId="7DC9E9D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44454686</w:t>
            </w:r>
          </w:p>
        </w:tc>
        <w:tc>
          <w:tcPr>
            <w:tcW w:w="3360" w:type="pct"/>
            <w:tcBorders>
              <w:top w:val="nil"/>
              <w:left w:val="nil"/>
              <w:bottom w:val="single" w:sz="4" w:space="0" w:color="auto"/>
              <w:right w:val="single" w:sz="4" w:space="0" w:color="auto"/>
            </w:tcBorders>
            <w:shd w:val="clear" w:color="auto" w:fill="auto"/>
            <w:vAlign w:val="center"/>
            <w:hideMark/>
          </w:tcPr>
          <w:p w14:paraId="461BD67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GEN ENERGIJA D.O.O.</w:t>
            </w:r>
          </w:p>
        </w:tc>
      </w:tr>
      <w:tr w:rsidR="00E3750C" w:rsidRPr="00415AB3" w14:paraId="168CFA0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DF27A5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207</w:t>
            </w:r>
          </w:p>
        </w:tc>
        <w:tc>
          <w:tcPr>
            <w:tcW w:w="705" w:type="pct"/>
            <w:tcBorders>
              <w:top w:val="nil"/>
              <w:left w:val="nil"/>
              <w:bottom w:val="single" w:sz="4" w:space="0" w:color="auto"/>
              <w:right w:val="single" w:sz="4" w:space="0" w:color="auto"/>
            </w:tcBorders>
            <w:shd w:val="clear" w:color="auto" w:fill="auto"/>
            <w:noWrap/>
            <w:vAlign w:val="center"/>
            <w:hideMark/>
          </w:tcPr>
          <w:p w14:paraId="1A4BA8B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1590146000</w:t>
            </w:r>
          </w:p>
        </w:tc>
        <w:tc>
          <w:tcPr>
            <w:tcW w:w="547" w:type="pct"/>
            <w:tcBorders>
              <w:top w:val="nil"/>
              <w:left w:val="nil"/>
              <w:bottom w:val="single" w:sz="4" w:space="0" w:color="auto"/>
              <w:right w:val="single" w:sz="4" w:space="0" w:color="auto"/>
            </w:tcBorders>
            <w:shd w:val="clear" w:color="auto" w:fill="auto"/>
            <w:noWrap/>
            <w:vAlign w:val="center"/>
            <w:hideMark/>
          </w:tcPr>
          <w:p w14:paraId="6394DAF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41332954</w:t>
            </w:r>
          </w:p>
        </w:tc>
        <w:tc>
          <w:tcPr>
            <w:tcW w:w="3360" w:type="pct"/>
            <w:tcBorders>
              <w:top w:val="nil"/>
              <w:left w:val="nil"/>
              <w:bottom w:val="single" w:sz="4" w:space="0" w:color="auto"/>
              <w:right w:val="single" w:sz="4" w:space="0" w:color="auto"/>
            </w:tcBorders>
            <w:shd w:val="clear" w:color="auto" w:fill="auto"/>
            <w:vAlign w:val="center"/>
            <w:hideMark/>
          </w:tcPr>
          <w:p w14:paraId="60A0DEB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GENERALNI SEKRETARIAT VLADE REPUBLIKE SLOVENIJE</w:t>
            </w:r>
          </w:p>
        </w:tc>
      </w:tr>
      <w:tr w:rsidR="00E3750C" w:rsidRPr="00415AB3" w14:paraId="6E34C8C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960DFC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208</w:t>
            </w:r>
          </w:p>
        </w:tc>
        <w:tc>
          <w:tcPr>
            <w:tcW w:w="705" w:type="pct"/>
            <w:tcBorders>
              <w:top w:val="nil"/>
              <w:left w:val="nil"/>
              <w:bottom w:val="single" w:sz="4" w:space="0" w:color="auto"/>
              <w:right w:val="single" w:sz="4" w:space="0" w:color="auto"/>
            </w:tcBorders>
            <w:shd w:val="clear" w:color="auto" w:fill="auto"/>
            <w:noWrap/>
            <w:vAlign w:val="center"/>
            <w:hideMark/>
          </w:tcPr>
          <w:p w14:paraId="5476553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1587714000</w:t>
            </w:r>
          </w:p>
        </w:tc>
        <w:tc>
          <w:tcPr>
            <w:tcW w:w="547" w:type="pct"/>
            <w:tcBorders>
              <w:top w:val="nil"/>
              <w:left w:val="nil"/>
              <w:bottom w:val="single" w:sz="4" w:space="0" w:color="auto"/>
              <w:right w:val="single" w:sz="4" w:space="0" w:color="auto"/>
            </w:tcBorders>
            <w:shd w:val="clear" w:color="auto" w:fill="auto"/>
            <w:noWrap/>
            <w:vAlign w:val="center"/>
            <w:hideMark/>
          </w:tcPr>
          <w:p w14:paraId="5AB13E4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71345442</w:t>
            </w:r>
          </w:p>
        </w:tc>
        <w:tc>
          <w:tcPr>
            <w:tcW w:w="3360" w:type="pct"/>
            <w:tcBorders>
              <w:top w:val="nil"/>
              <w:left w:val="nil"/>
              <w:bottom w:val="single" w:sz="4" w:space="0" w:color="auto"/>
              <w:right w:val="single" w:sz="4" w:space="0" w:color="auto"/>
            </w:tcBorders>
            <w:shd w:val="clear" w:color="auto" w:fill="auto"/>
            <w:vAlign w:val="center"/>
            <w:hideMark/>
          </w:tcPr>
          <w:p w14:paraId="5CB0302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GEN-I, TRGOVANJE IN PRODAJA ELEKTRIČNE ENERGIJE, D.O.O.</w:t>
            </w:r>
          </w:p>
        </w:tc>
      </w:tr>
      <w:tr w:rsidR="00E3750C" w:rsidRPr="00415AB3" w14:paraId="436D187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A08188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209</w:t>
            </w:r>
          </w:p>
        </w:tc>
        <w:tc>
          <w:tcPr>
            <w:tcW w:w="705" w:type="pct"/>
            <w:tcBorders>
              <w:top w:val="nil"/>
              <w:left w:val="nil"/>
              <w:bottom w:val="single" w:sz="4" w:space="0" w:color="auto"/>
              <w:right w:val="single" w:sz="4" w:space="0" w:color="auto"/>
            </w:tcBorders>
            <w:shd w:val="clear" w:color="auto" w:fill="auto"/>
            <w:noWrap/>
            <w:vAlign w:val="center"/>
            <w:hideMark/>
          </w:tcPr>
          <w:p w14:paraId="23A17B1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5051649000</w:t>
            </w:r>
          </w:p>
        </w:tc>
        <w:tc>
          <w:tcPr>
            <w:tcW w:w="547" w:type="pct"/>
            <w:tcBorders>
              <w:top w:val="nil"/>
              <w:left w:val="nil"/>
              <w:bottom w:val="single" w:sz="4" w:space="0" w:color="auto"/>
              <w:right w:val="single" w:sz="4" w:space="0" w:color="auto"/>
            </w:tcBorders>
            <w:shd w:val="clear" w:color="auto" w:fill="auto"/>
            <w:noWrap/>
            <w:vAlign w:val="center"/>
            <w:hideMark/>
          </w:tcPr>
          <w:p w14:paraId="04FAD91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81498756</w:t>
            </w:r>
          </w:p>
        </w:tc>
        <w:tc>
          <w:tcPr>
            <w:tcW w:w="3360" w:type="pct"/>
            <w:tcBorders>
              <w:top w:val="nil"/>
              <w:left w:val="nil"/>
              <w:bottom w:val="single" w:sz="4" w:space="0" w:color="auto"/>
              <w:right w:val="single" w:sz="4" w:space="0" w:color="auto"/>
            </w:tcBorders>
            <w:shd w:val="clear" w:color="auto" w:fill="auto"/>
            <w:vAlign w:val="center"/>
            <w:hideMark/>
          </w:tcPr>
          <w:p w14:paraId="2666739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GEODETSKI INŠTITUT SLOVENIJE</w:t>
            </w:r>
          </w:p>
        </w:tc>
      </w:tr>
      <w:tr w:rsidR="00E3750C" w:rsidRPr="00415AB3" w14:paraId="5308D74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B51227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210</w:t>
            </w:r>
          </w:p>
        </w:tc>
        <w:tc>
          <w:tcPr>
            <w:tcW w:w="705" w:type="pct"/>
            <w:tcBorders>
              <w:top w:val="nil"/>
              <w:left w:val="nil"/>
              <w:bottom w:val="single" w:sz="4" w:space="0" w:color="auto"/>
              <w:right w:val="single" w:sz="4" w:space="0" w:color="auto"/>
            </w:tcBorders>
            <w:shd w:val="clear" w:color="auto" w:fill="auto"/>
            <w:noWrap/>
            <w:vAlign w:val="center"/>
            <w:hideMark/>
          </w:tcPr>
          <w:p w14:paraId="02A40BC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5051410000</w:t>
            </w:r>
          </w:p>
        </w:tc>
        <w:tc>
          <w:tcPr>
            <w:tcW w:w="547" w:type="pct"/>
            <w:tcBorders>
              <w:top w:val="nil"/>
              <w:left w:val="nil"/>
              <w:bottom w:val="single" w:sz="4" w:space="0" w:color="auto"/>
              <w:right w:val="single" w:sz="4" w:space="0" w:color="auto"/>
            </w:tcBorders>
            <w:shd w:val="clear" w:color="auto" w:fill="auto"/>
            <w:noWrap/>
            <w:vAlign w:val="center"/>
            <w:hideMark/>
          </w:tcPr>
          <w:p w14:paraId="6A64448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23064145</w:t>
            </w:r>
          </w:p>
        </w:tc>
        <w:tc>
          <w:tcPr>
            <w:tcW w:w="3360" w:type="pct"/>
            <w:tcBorders>
              <w:top w:val="nil"/>
              <w:left w:val="nil"/>
              <w:bottom w:val="single" w:sz="4" w:space="0" w:color="auto"/>
              <w:right w:val="single" w:sz="4" w:space="0" w:color="auto"/>
            </w:tcBorders>
            <w:shd w:val="clear" w:color="auto" w:fill="auto"/>
            <w:vAlign w:val="center"/>
            <w:hideMark/>
          </w:tcPr>
          <w:p w14:paraId="23A6DA1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GEOLOŠKI ZAVOD SLOVENIJE</w:t>
            </w:r>
          </w:p>
        </w:tc>
      </w:tr>
      <w:tr w:rsidR="00E3750C" w:rsidRPr="00415AB3" w14:paraId="13D035B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536B5F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239</w:t>
            </w:r>
          </w:p>
        </w:tc>
        <w:tc>
          <w:tcPr>
            <w:tcW w:w="705" w:type="pct"/>
            <w:tcBorders>
              <w:top w:val="nil"/>
              <w:left w:val="nil"/>
              <w:bottom w:val="single" w:sz="4" w:space="0" w:color="auto"/>
              <w:right w:val="single" w:sz="4" w:space="0" w:color="auto"/>
            </w:tcBorders>
            <w:shd w:val="clear" w:color="auto" w:fill="auto"/>
            <w:noWrap/>
            <w:vAlign w:val="center"/>
            <w:hideMark/>
          </w:tcPr>
          <w:p w14:paraId="6EEFF7B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5086892000</w:t>
            </w:r>
          </w:p>
        </w:tc>
        <w:tc>
          <w:tcPr>
            <w:tcW w:w="547" w:type="pct"/>
            <w:tcBorders>
              <w:top w:val="nil"/>
              <w:left w:val="nil"/>
              <w:bottom w:val="single" w:sz="4" w:space="0" w:color="auto"/>
              <w:right w:val="single" w:sz="4" w:space="0" w:color="auto"/>
            </w:tcBorders>
            <w:shd w:val="clear" w:color="auto" w:fill="auto"/>
            <w:noWrap/>
            <w:vAlign w:val="center"/>
            <w:hideMark/>
          </w:tcPr>
          <w:p w14:paraId="06FFBED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54783020</w:t>
            </w:r>
          </w:p>
        </w:tc>
        <w:tc>
          <w:tcPr>
            <w:tcW w:w="3360" w:type="pct"/>
            <w:tcBorders>
              <w:top w:val="nil"/>
              <w:left w:val="nil"/>
              <w:bottom w:val="single" w:sz="4" w:space="0" w:color="auto"/>
              <w:right w:val="single" w:sz="4" w:space="0" w:color="auto"/>
            </w:tcBorders>
            <w:shd w:val="clear" w:color="auto" w:fill="auto"/>
            <w:vAlign w:val="center"/>
            <w:hideMark/>
          </w:tcPr>
          <w:p w14:paraId="1C48116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GIMNAZIJA ANTONIO SEMA PIRAN</w:t>
            </w:r>
          </w:p>
        </w:tc>
      </w:tr>
      <w:tr w:rsidR="00E3750C" w:rsidRPr="00415AB3" w14:paraId="6F21C18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5AAA30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212</w:t>
            </w:r>
          </w:p>
        </w:tc>
        <w:tc>
          <w:tcPr>
            <w:tcW w:w="705" w:type="pct"/>
            <w:tcBorders>
              <w:top w:val="nil"/>
              <w:left w:val="nil"/>
              <w:bottom w:val="single" w:sz="4" w:space="0" w:color="auto"/>
              <w:right w:val="single" w:sz="4" w:space="0" w:color="auto"/>
            </w:tcBorders>
            <w:shd w:val="clear" w:color="auto" w:fill="auto"/>
            <w:noWrap/>
            <w:vAlign w:val="center"/>
            <w:hideMark/>
          </w:tcPr>
          <w:p w14:paraId="6E3BFCD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5083451000</w:t>
            </w:r>
          </w:p>
        </w:tc>
        <w:tc>
          <w:tcPr>
            <w:tcW w:w="547" w:type="pct"/>
            <w:tcBorders>
              <w:top w:val="nil"/>
              <w:left w:val="nil"/>
              <w:bottom w:val="single" w:sz="4" w:space="0" w:color="auto"/>
              <w:right w:val="single" w:sz="4" w:space="0" w:color="auto"/>
            </w:tcBorders>
            <w:shd w:val="clear" w:color="auto" w:fill="auto"/>
            <w:noWrap/>
            <w:vAlign w:val="center"/>
            <w:hideMark/>
          </w:tcPr>
          <w:p w14:paraId="0E5F5C5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64618471</w:t>
            </w:r>
          </w:p>
        </w:tc>
        <w:tc>
          <w:tcPr>
            <w:tcW w:w="3360" w:type="pct"/>
            <w:tcBorders>
              <w:top w:val="nil"/>
              <w:left w:val="nil"/>
              <w:bottom w:val="single" w:sz="4" w:space="0" w:color="auto"/>
              <w:right w:val="single" w:sz="4" w:space="0" w:color="auto"/>
            </w:tcBorders>
            <w:shd w:val="clear" w:color="auto" w:fill="auto"/>
            <w:vAlign w:val="center"/>
            <w:hideMark/>
          </w:tcPr>
          <w:p w14:paraId="7B650FF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GIMNAZIJA BEŽIGRAD</w:t>
            </w:r>
          </w:p>
        </w:tc>
      </w:tr>
      <w:tr w:rsidR="00E3750C" w:rsidRPr="00415AB3" w14:paraId="64CB409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D0A59B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213</w:t>
            </w:r>
          </w:p>
        </w:tc>
        <w:tc>
          <w:tcPr>
            <w:tcW w:w="705" w:type="pct"/>
            <w:tcBorders>
              <w:top w:val="nil"/>
              <w:left w:val="nil"/>
              <w:bottom w:val="single" w:sz="4" w:space="0" w:color="auto"/>
              <w:right w:val="single" w:sz="4" w:space="0" w:color="auto"/>
            </w:tcBorders>
            <w:shd w:val="clear" w:color="auto" w:fill="auto"/>
            <w:noWrap/>
            <w:vAlign w:val="center"/>
            <w:hideMark/>
          </w:tcPr>
          <w:p w14:paraId="1121B80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1458540000</w:t>
            </w:r>
          </w:p>
        </w:tc>
        <w:tc>
          <w:tcPr>
            <w:tcW w:w="547" w:type="pct"/>
            <w:tcBorders>
              <w:top w:val="nil"/>
              <w:left w:val="nil"/>
              <w:bottom w:val="single" w:sz="4" w:space="0" w:color="auto"/>
              <w:right w:val="single" w:sz="4" w:space="0" w:color="auto"/>
            </w:tcBorders>
            <w:shd w:val="clear" w:color="auto" w:fill="auto"/>
            <w:noWrap/>
            <w:vAlign w:val="center"/>
            <w:hideMark/>
          </w:tcPr>
          <w:p w14:paraId="559E7F1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42615011</w:t>
            </w:r>
          </w:p>
        </w:tc>
        <w:tc>
          <w:tcPr>
            <w:tcW w:w="3360" w:type="pct"/>
            <w:tcBorders>
              <w:top w:val="nil"/>
              <w:left w:val="nil"/>
              <w:bottom w:val="single" w:sz="4" w:space="0" w:color="auto"/>
              <w:right w:val="single" w:sz="4" w:space="0" w:color="auto"/>
            </w:tcBorders>
            <w:shd w:val="clear" w:color="auto" w:fill="auto"/>
            <w:vAlign w:val="center"/>
            <w:hideMark/>
          </w:tcPr>
          <w:p w14:paraId="3C7EBAA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GIMNAZIJA BREŽICE</w:t>
            </w:r>
          </w:p>
        </w:tc>
      </w:tr>
      <w:tr w:rsidR="00E3750C" w:rsidRPr="00415AB3" w14:paraId="121E5FA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47A4D0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214</w:t>
            </w:r>
          </w:p>
        </w:tc>
        <w:tc>
          <w:tcPr>
            <w:tcW w:w="705" w:type="pct"/>
            <w:tcBorders>
              <w:top w:val="nil"/>
              <w:left w:val="nil"/>
              <w:bottom w:val="single" w:sz="4" w:space="0" w:color="auto"/>
              <w:right w:val="single" w:sz="4" w:space="0" w:color="auto"/>
            </w:tcBorders>
            <w:shd w:val="clear" w:color="auto" w:fill="auto"/>
            <w:noWrap/>
            <w:vAlign w:val="center"/>
            <w:hideMark/>
          </w:tcPr>
          <w:p w14:paraId="42E9F3C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5082625000</w:t>
            </w:r>
          </w:p>
        </w:tc>
        <w:tc>
          <w:tcPr>
            <w:tcW w:w="547" w:type="pct"/>
            <w:tcBorders>
              <w:top w:val="nil"/>
              <w:left w:val="nil"/>
              <w:bottom w:val="single" w:sz="4" w:space="0" w:color="auto"/>
              <w:right w:val="single" w:sz="4" w:space="0" w:color="auto"/>
            </w:tcBorders>
            <w:shd w:val="clear" w:color="auto" w:fill="auto"/>
            <w:noWrap/>
            <w:vAlign w:val="center"/>
            <w:hideMark/>
          </w:tcPr>
          <w:p w14:paraId="2439611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44240562</w:t>
            </w:r>
          </w:p>
        </w:tc>
        <w:tc>
          <w:tcPr>
            <w:tcW w:w="3360" w:type="pct"/>
            <w:tcBorders>
              <w:top w:val="nil"/>
              <w:left w:val="nil"/>
              <w:bottom w:val="single" w:sz="4" w:space="0" w:color="auto"/>
              <w:right w:val="single" w:sz="4" w:space="0" w:color="auto"/>
            </w:tcBorders>
            <w:shd w:val="clear" w:color="auto" w:fill="auto"/>
            <w:vAlign w:val="center"/>
            <w:hideMark/>
          </w:tcPr>
          <w:p w14:paraId="484ECD1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GIMNAZIJA CELJE - CENTER</w:t>
            </w:r>
          </w:p>
        </w:tc>
      </w:tr>
      <w:tr w:rsidR="00E3750C" w:rsidRPr="00415AB3" w14:paraId="41611A1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248F01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215</w:t>
            </w:r>
          </w:p>
        </w:tc>
        <w:tc>
          <w:tcPr>
            <w:tcW w:w="705" w:type="pct"/>
            <w:tcBorders>
              <w:top w:val="nil"/>
              <w:left w:val="nil"/>
              <w:bottom w:val="single" w:sz="4" w:space="0" w:color="auto"/>
              <w:right w:val="single" w:sz="4" w:space="0" w:color="auto"/>
            </w:tcBorders>
            <w:shd w:val="clear" w:color="auto" w:fill="auto"/>
            <w:noWrap/>
            <w:vAlign w:val="center"/>
            <w:hideMark/>
          </w:tcPr>
          <w:p w14:paraId="332ED14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5084652000</w:t>
            </w:r>
          </w:p>
        </w:tc>
        <w:tc>
          <w:tcPr>
            <w:tcW w:w="547" w:type="pct"/>
            <w:tcBorders>
              <w:top w:val="nil"/>
              <w:left w:val="nil"/>
              <w:bottom w:val="single" w:sz="4" w:space="0" w:color="auto"/>
              <w:right w:val="single" w:sz="4" w:space="0" w:color="auto"/>
            </w:tcBorders>
            <w:shd w:val="clear" w:color="auto" w:fill="auto"/>
            <w:noWrap/>
            <w:vAlign w:val="center"/>
            <w:hideMark/>
          </w:tcPr>
          <w:p w14:paraId="261FA2D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32934335</w:t>
            </w:r>
          </w:p>
        </w:tc>
        <w:tc>
          <w:tcPr>
            <w:tcW w:w="3360" w:type="pct"/>
            <w:tcBorders>
              <w:top w:val="nil"/>
              <w:left w:val="nil"/>
              <w:bottom w:val="single" w:sz="4" w:space="0" w:color="auto"/>
              <w:right w:val="single" w:sz="4" w:space="0" w:color="auto"/>
            </w:tcBorders>
            <w:shd w:val="clear" w:color="auto" w:fill="auto"/>
            <w:vAlign w:val="center"/>
            <w:hideMark/>
          </w:tcPr>
          <w:p w14:paraId="26B6798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GIMNAZIJA FRANCA MIKLOŠIČA LJUTOMER</w:t>
            </w:r>
          </w:p>
        </w:tc>
      </w:tr>
      <w:tr w:rsidR="00E3750C" w:rsidRPr="00415AB3" w14:paraId="5758871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531D8D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216</w:t>
            </w:r>
          </w:p>
        </w:tc>
        <w:tc>
          <w:tcPr>
            <w:tcW w:w="705" w:type="pct"/>
            <w:tcBorders>
              <w:top w:val="nil"/>
              <w:left w:val="nil"/>
              <w:bottom w:val="single" w:sz="4" w:space="0" w:color="auto"/>
              <w:right w:val="single" w:sz="4" w:space="0" w:color="auto"/>
            </w:tcBorders>
            <w:shd w:val="clear" w:color="auto" w:fill="auto"/>
            <w:noWrap/>
            <w:vAlign w:val="center"/>
            <w:hideMark/>
          </w:tcPr>
          <w:p w14:paraId="245881B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6286186000</w:t>
            </w:r>
          </w:p>
        </w:tc>
        <w:tc>
          <w:tcPr>
            <w:tcW w:w="547" w:type="pct"/>
            <w:tcBorders>
              <w:top w:val="nil"/>
              <w:left w:val="nil"/>
              <w:bottom w:val="single" w:sz="4" w:space="0" w:color="auto"/>
              <w:right w:val="single" w:sz="4" w:space="0" w:color="auto"/>
            </w:tcBorders>
            <w:shd w:val="clear" w:color="auto" w:fill="auto"/>
            <w:noWrap/>
            <w:vAlign w:val="center"/>
            <w:hideMark/>
          </w:tcPr>
          <w:p w14:paraId="7274A8C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84484047</w:t>
            </w:r>
          </w:p>
        </w:tc>
        <w:tc>
          <w:tcPr>
            <w:tcW w:w="3360" w:type="pct"/>
            <w:tcBorders>
              <w:top w:val="nil"/>
              <w:left w:val="nil"/>
              <w:bottom w:val="single" w:sz="4" w:space="0" w:color="auto"/>
              <w:right w:val="single" w:sz="4" w:space="0" w:color="auto"/>
            </w:tcBorders>
            <w:shd w:val="clear" w:color="auto" w:fill="auto"/>
            <w:vAlign w:val="center"/>
            <w:hideMark/>
          </w:tcPr>
          <w:p w14:paraId="007D05E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GIMNAZIJA FRANCETA PREŠERNA</w:t>
            </w:r>
          </w:p>
        </w:tc>
      </w:tr>
      <w:tr w:rsidR="00E3750C" w:rsidRPr="00415AB3" w14:paraId="66E3FD9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A43A08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217</w:t>
            </w:r>
          </w:p>
        </w:tc>
        <w:tc>
          <w:tcPr>
            <w:tcW w:w="705" w:type="pct"/>
            <w:tcBorders>
              <w:top w:val="nil"/>
              <w:left w:val="nil"/>
              <w:bottom w:val="single" w:sz="4" w:space="0" w:color="auto"/>
              <w:right w:val="single" w:sz="4" w:space="0" w:color="auto"/>
            </w:tcBorders>
            <w:shd w:val="clear" w:color="auto" w:fill="auto"/>
            <w:noWrap/>
            <w:vAlign w:val="center"/>
            <w:hideMark/>
          </w:tcPr>
          <w:p w14:paraId="0F7317B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5083885000</w:t>
            </w:r>
          </w:p>
        </w:tc>
        <w:tc>
          <w:tcPr>
            <w:tcW w:w="547" w:type="pct"/>
            <w:tcBorders>
              <w:top w:val="nil"/>
              <w:left w:val="nil"/>
              <w:bottom w:val="single" w:sz="4" w:space="0" w:color="auto"/>
              <w:right w:val="single" w:sz="4" w:space="0" w:color="auto"/>
            </w:tcBorders>
            <w:shd w:val="clear" w:color="auto" w:fill="auto"/>
            <w:noWrap/>
            <w:vAlign w:val="center"/>
            <w:hideMark/>
          </w:tcPr>
          <w:p w14:paraId="4D60AC7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70662908</w:t>
            </w:r>
          </w:p>
        </w:tc>
        <w:tc>
          <w:tcPr>
            <w:tcW w:w="3360" w:type="pct"/>
            <w:tcBorders>
              <w:top w:val="nil"/>
              <w:left w:val="nil"/>
              <w:bottom w:val="single" w:sz="4" w:space="0" w:color="auto"/>
              <w:right w:val="single" w:sz="4" w:space="0" w:color="auto"/>
            </w:tcBorders>
            <w:shd w:val="clear" w:color="auto" w:fill="auto"/>
            <w:vAlign w:val="center"/>
            <w:hideMark/>
          </w:tcPr>
          <w:p w14:paraId="10C4BF1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GIMNAZIJA GIAN RINALDO CARLI KOPER</w:t>
            </w:r>
          </w:p>
        </w:tc>
      </w:tr>
      <w:tr w:rsidR="00E3750C" w:rsidRPr="00415AB3" w14:paraId="6AA4FE3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3839B8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218</w:t>
            </w:r>
          </w:p>
        </w:tc>
        <w:tc>
          <w:tcPr>
            <w:tcW w:w="705" w:type="pct"/>
            <w:tcBorders>
              <w:top w:val="nil"/>
              <w:left w:val="nil"/>
              <w:bottom w:val="single" w:sz="4" w:space="0" w:color="auto"/>
              <w:right w:val="single" w:sz="4" w:space="0" w:color="auto"/>
            </w:tcBorders>
            <w:shd w:val="clear" w:color="auto" w:fill="auto"/>
            <w:noWrap/>
            <w:vAlign w:val="center"/>
            <w:hideMark/>
          </w:tcPr>
          <w:p w14:paraId="7AF3AEC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5090202000</w:t>
            </w:r>
          </w:p>
        </w:tc>
        <w:tc>
          <w:tcPr>
            <w:tcW w:w="547" w:type="pct"/>
            <w:tcBorders>
              <w:top w:val="nil"/>
              <w:left w:val="nil"/>
              <w:bottom w:val="single" w:sz="4" w:space="0" w:color="auto"/>
              <w:right w:val="single" w:sz="4" w:space="0" w:color="auto"/>
            </w:tcBorders>
            <w:shd w:val="clear" w:color="auto" w:fill="auto"/>
            <w:noWrap/>
            <w:vAlign w:val="center"/>
            <w:hideMark/>
          </w:tcPr>
          <w:p w14:paraId="71846BA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93274211</w:t>
            </w:r>
          </w:p>
        </w:tc>
        <w:tc>
          <w:tcPr>
            <w:tcW w:w="3360" w:type="pct"/>
            <w:tcBorders>
              <w:top w:val="nil"/>
              <w:left w:val="nil"/>
              <w:bottom w:val="single" w:sz="4" w:space="0" w:color="auto"/>
              <w:right w:val="single" w:sz="4" w:space="0" w:color="auto"/>
            </w:tcBorders>
            <w:shd w:val="clear" w:color="auto" w:fill="auto"/>
            <w:vAlign w:val="center"/>
            <w:hideMark/>
          </w:tcPr>
          <w:p w14:paraId="002370A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GIMNAZIJA IN EKONOMSKA SREDNJA ŠOLA TRBOVLJE</w:t>
            </w:r>
          </w:p>
        </w:tc>
      </w:tr>
      <w:tr w:rsidR="00E3750C" w:rsidRPr="00415AB3" w14:paraId="569C32E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6BA995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219</w:t>
            </w:r>
          </w:p>
        </w:tc>
        <w:tc>
          <w:tcPr>
            <w:tcW w:w="705" w:type="pct"/>
            <w:tcBorders>
              <w:top w:val="nil"/>
              <w:left w:val="nil"/>
              <w:bottom w:val="single" w:sz="4" w:space="0" w:color="auto"/>
              <w:right w:val="single" w:sz="4" w:space="0" w:color="auto"/>
            </w:tcBorders>
            <w:shd w:val="clear" w:color="auto" w:fill="auto"/>
            <w:noWrap/>
            <w:vAlign w:val="center"/>
            <w:hideMark/>
          </w:tcPr>
          <w:p w14:paraId="4F99A0C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6214312000</w:t>
            </w:r>
          </w:p>
        </w:tc>
        <w:tc>
          <w:tcPr>
            <w:tcW w:w="547" w:type="pct"/>
            <w:tcBorders>
              <w:top w:val="nil"/>
              <w:left w:val="nil"/>
              <w:bottom w:val="single" w:sz="4" w:space="0" w:color="auto"/>
              <w:right w:val="single" w:sz="4" w:space="0" w:color="auto"/>
            </w:tcBorders>
            <w:shd w:val="clear" w:color="auto" w:fill="auto"/>
            <w:noWrap/>
            <w:vAlign w:val="center"/>
            <w:hideMark/>
          </w:tcPr>
          <w:p w14:paraId="53B8F98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22854509</w:t>
            </w:r>
          </w:p>
        </w:tc>
        <w:tc>
          <w:tcPr>
            <w:tcW w:w="3360" w:type="pct"/>
            <w:tcBorders>
              <w:top w:val="nil"/>
              <w:left w:val="nil"/>
              <w:bottom w:val="single" w:sz="4" w:space="0" w:color="auto"/>
              <w:right w:val="single" w:sz="4" w:space="0" w:color="auto"/>
            </w:tcBorders>
            <w:shd w:val="clear" w:color="auto" w:fill="auto"/>
            <w:vAlign w:val="center"/>
            <w:hideMark/>
          </w:tcPr>
          <w:p w14:paraId="7A48D18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GIMNAZIJA IN SREDNJA ŠOLA KOČEVJE</w:t>
            </w:r>
          </w:p>
        </w:tc>
      </w:tr>
      <w:tr w:rsidR="00E3750C" w:rsidRPr="00415AB3" w14:paraId="694E521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15A1E7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220</w:t>
            </w:r>
          </w:p>
        </w:tc>
        <w:tc>
          <w:tcPr>
            <w:tcW w:w="705" w:type="pct"/>
            <w:tcBorders>
              <w:top w:val="nil"/>
              <w:left w:val="nil"/>
              <w:bottom w:val="single" w:sz="4" w:space="0" w:color="auto"/>
              <w:right w:val="single" w:sz="4" w:space="0" w:color="auto"/>
            </w:tcBorders>
            <w:shd w:val="clear" w:color="auto" w:fill="auto"/>
            <w:noWrap/>
            <w:vAlign w:val="center"/>
            <w:hideMark/>
          </w:tcPr>
          <w:p w14:paraId="394E89F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5178924000</w:t>
            </w:r>
          </w:p>
        </w:tc>
        <w:tc>
          <w:tcPr>
            <w:tcW w:w="547" w:type="pct"/>
            <w:tcBorders>
              <w:top w:val="nil"/>
              <w:left w:val="nil"/>
              <w:bottom w:val="single" w:sz="4" w:space="0" w:color="auto"/>
              <w:right w:val="single" w:sz="4" w:space="0" w:color="auto"/>
            </w:tcBorders>
            <w:shd w:val="clear" w:color="auto" w:fill="auto"/>
            <w:noWrap/>
            <w:vAlign w:val="center"/>
            <w:hideMark/>
          </w:tcPr>
          <w:p w14:paraId="150F124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27380297</w:t>
            </w:r>
          </w:p>
        </w:tc>
        <w:tc>
          <w:tcPr>
            <w:tcW w:w="3360" w:type="pct"/>
            <w:tcBorders>
              <w:top w:val="nil"/>
              <w:left w:val="nil"/>
              <w:bottom w:val="single" w:sz="4" w:space="0" w:color="auto"/>
              <w:right w:val="single" w:sz="4" w:space="0" w:color="auto"/>
            </w:tcBorders>
            <w:shd w:val="clear" w:color="auto" w:fill="auto"/>
            <w:vAlign w:val="center"/>
            <w:hideMark/>
          </w:tcPr>
          <w:p w14:paraId="7E3C45C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GIMNAZIJA IN SREDNJA ŠOLA RUDOLFA MAISTRA KAMNIK</w:t>
            </w:r>
          </w:p>
        </w:tc>
      </w:tr>
      <w:tr w:rsidR="00E3750C" w:rsidRPr="00415AB3" w14:paraId="3DA242A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CB011F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221</w:t>
            </w:r>
          </w:p>
        </w:tc>
        <w:tc>
          <w:tcPr>
            <w:tcW w:w="705" w:type="pct"/>
            <w:tcBorders>
              <w:top w:val="nil"/>
              <w:left w:val="nil"/>
              <w:bottom w:val="single" w:sz="4" w:space="0" w:color="auto"/>
              <w:right w:val="single" w:sz="4" w:space="0" w:color="auto"/>
            </w:tcBorders>
            <w:shd w:val="clear" w:color="auto" w:fill="auto"/>
            <w:noWrap/>
            <w:vAlign w:val="center"/>
            <w:hideMark/>
          </w:tcPr>
          <w:p w14:paraId="09AF551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5085861000</w:t>
            </w:r>
          </w:p>
        </w:tc>
        <w:tc>
          <w:tcPr>
            <w:tcW w:w="547" w:type="pct"/>
            <w:tcBorders>
              <w:top w:val="nil"/>
              <w:left w:val="nil"/>
              <w:bottom w:val="single" w:sz="4" w:space="0" w:color="auto"/>
              <w:right w:val="single" w:sz="4" w:space="0" w:color="auto"/>
            </w:tcBorders>
            <w:shd w:val="clear" w:color="auto" w:fill="auto"/>
            <w:noWrap/>
            <w:vAlign w:val="center"/>
            <w:hideMark/>
          </w:tcPr>
          <w:p w14:paraId="265FBA6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11732199</w:t>
            </w:r>
          </w:p>
        </w:tc>
        <w:tc>
          <w:tcPr>
            <w:tcW w:w="3360" w:type="pct"/>
            <w:tcBorders>
              <w:top w:val="nil"/>
              <w:left w:val="nil"/>
              <w:bottom w:val="single" w:sz="4" w:space="0" w:color="auto"/>
              <w:right w:val="single" w:sz="4" w:space="0" w:color="auto"/>
            </w:tcBorders>
            <w:shd w:val="clear" w:color="auto" w:fill="auto"/>
            <w:vAlign w:val="center"/>
            <w:hideMark/>
          </w:tcPr>
          <w:p w14:paraId="417EEEF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GIMNAZIJA IN SREDNJA ŠOLA ZA KEMIJO IN FARMACIJO RUŠE</w:t>
            </w:r>
          </w:p>
        </w:tc>
      </w:tr>
      <w:tr w:rsidR="00E3750C" w:rsidRPr="00415AB3" w14:paraId="16FD3A0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4E336F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222</w:t>
            </w:r>
          </w:p>
        </w:tc>
        <w:tc>
          <w:tcPr>
            <w:tcW w:w="705" w:type="pct"/>
            <w:tcBorders>
              <w:top w:val="nil"/>
              <w:left w:val="nil"/>
              <w:bottom w:val="single" w:sz="4" w:space="0" w:color="auto"/>
              <w:right w:val="single" w:sz="4" w:space="0" w:color="auto"/>
            </w:tcBorders>
            <w:shd w:val="clear" w:color="auto" w:fill="auto"/>
            <w:noWrap/>
            <w:vAlign w:val="center"/>
            <w:hideMark/>
          </w:tcPr>
          <w:p w14:paraId="6BBF793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5854091000</w:t>
            </w:r>
          </w:p>
        </w:tc>
        <w:tc>
          <w:tcPr>
            <w:tcW w:w="547" w:type="pct"/>
            <w:tcBorders>
              <w:top w:val="nil"/>
              <w:left w:val="nil"/>
              <w:bottom w:val="single" w:sz="4" w:space="0" w:color="auto"/>
              <w:right w:val="single" w:sz="4" w:space="0" w:color="auto"/>
            </w:tcBorders>
            <w:shd w:val="clear" w:color="auto" w:fill="auto"/>
            <w:noWrap/>
            <w:vAlign w:val="center"/>
            <w:hideMark/>
          </w:tcPr>
          <w:p w14:paraId="2B9A1FA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93902751</w:t>
            </w:r>
          </w:p>
        </w:tc>
        <w:tc>
          <w:tcPr>
            <w:tcW w:w="3360" w:type="pct"/>
            <w:tcBorders>
              <w:top w:val="nil"/>
              <w:left w:val="nil"/>
              <w:bottom w:val="single" w:sz="4" w:space="0" w:color="auto"/>
              <w:right w:val="single" w:sz="4" w:space="0" w:color="auto"/>
            </w:tcBorders>
            <w:shd w:val="clear" w:color="auto" w:fill="auto"/>
            <w:vAlign w:val="center"/>
            <w:hideMark/>
          </w:tcPr>
          <w:p w14:paraId="52BC25A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GIMNAZIJA JESENICE</w:t>
            </w:r>
          </w:p>
        </w:tc>
      </w:tr>
      <w:tr w:rsidR="00E3750C" w:rsidRPr="00415AB3" w14:paraId="1112F49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BA9026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223</w:t>
            </w:r>
          </w:p>
        </w:tc>
        <w:tc>
          <w:tcPr>
            <w:tcW w:w="705" w:type="pct"/>
            <w:tcBorders>
              <w:top w:val="nil"/>
              <w:left w:val="nil"/>
              <w:bottom w:val="single" w:sz="4" w:space="0" w:color="auto"/>
              <w:right w:val="single" w:sz="4" w:space="0" w:color="auto"/>
            </w:tcBorders>
            <w:shd w:val="clear" w:color="auto" w:fill="auto"/>
            <w:noWrap/>
            <w:vAlign w:val="center"/>
            <w:hideMark/>
          </w:tcPr>
          <w:p w14:paraId="6DCD0E2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1214144000</w:t>
            </w:r>
          </w:p>
        </w:tc>
        <w:tc>
          <w:tcPr>
            <w:tcW w:w="547" w:type="pct"/>
            <w:tcBorders>
              <w:top w:val="nil"/>
              <w:left w:val="nil"/>
              <w:bottom w:val="single" w:sz="4" w:space="0" w:color="auto"/>
              <w:right w:val="single" w:sz="4" w:space="0" w:color="auto"/>
            </w:tcBorders>
            <w:shd w:val="clear" w:color="auto" w:fill="auto"/>
            <w:noWrap/>
            <w:vAlign w:val="center"/>
            <w:hideMark/>
          </w:tcPr>
          <w:p w14:paraId="6EA553A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71266909</w:t>
            </w:r>
          </w:p>
        </w:tc>
        <w:tc>
          <w:tcPr>
            <w:tcW w:w="3360" w:type="pct"/>
            <w:tcBorders>
              <w:top w:val="nil"/>
              <w:left w:val="nil"/>
              <w:bottom w:val="single" w:sz="4" w:space="0" w:color="auto"/>
              <w:right w:val="single" w:sz="4" w:space="0" w:color="auto"/>
            </w:tcBorders>
            <w:shd w:val="clear" w:color="auto" w:fill="auto"/>
            <w:vAlign w:val="center"/>
            <w:hideMark/>
          </w:tcPr>
          <w:p w14:paraId="5787D56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GIMNAZIJA JOŽETA PLEČNIKA LJUBLJANA</w:t>
            </w:r>
          </w:p>
        </w:tc>
      </w:tr>
      <w:tr w:rsidR="00E3750C" w:rsidRPr="00415AB3" w14:paraId="67CB4F5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F3DF75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224</w:t>
            </w:r>
          </w:p>
        </w:tc>
        <w:tc>
          <w:tcPr>
            <w:tcW w:w="705" w:type="pct"/>
            <w:tcBorders>
              <w:top w:val="nil"/>
              <w:left w:val="nil"/>
              <w:bottom w:val="single" w:sz="4" w:space="0" w:color="auto"/>
              <w:right w:val="single" w:sz="4" w:space="0" w:color="auto"/>
            </w:tcBorders>
            <w:shd w:val="clear" w:color="auto" w:fill="auto"/>
            <w:noWrap/>
            <w:vAlign w:val="center"/>
            <w:hideMark/>
          </w:tcPr>
          <w:p w14:paraId="2747483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5085969000</w:t>
            </w:r>
          </w:p>
        </w:tc>
        <w:tc>
          <w:tcPr>
            <w:tcW w:w="547" w:type="pct"/>
            <w:tcBorders>
              <w:top w:val="nil"/>
              <w:left w:val="nil"/>
              <w:bottom w:val="single" w:sz="4" w:space="0" w:color="auto"/>
              <w:right w:val="single" w:sz="4" w:space="0" w:color="auto"/>
            </w:tcBorders>
            <w:shd w:val="clear" w:color="auto" w:fill="auto"/>
            <w:noWrap/>
            <w:vAlign w:val="center"/>
            <w:hideMark/>
          </w:tcPr>
          <w:p w14:paraId="74AAE80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34857788</w:t>
            </w:r>
          </w:p>
        </w:tc>
        <w:tc>
          <w:tcPr>
            <w:tcW w:w="3360" w:type="pct"/>
            <w:tcBorders>
              <w:top w:val="nil"/>
              <w:left w:val="nil"/>
              <w:bottom w:val="single" w:sz="4" w:space="0" w:color="auto"/>
              <w:right w:val="single" w:sz="4" w:space="0" w:color="auto"/>
            </w:tcBorders>
            <w:shd w:val="clear" w:color="auto" w:fill="auto"/>
            <w:vAlign w:val="center"/>
            <w:hideMark/>
          </w:tcPr>
          <w:p w14:paraId="5B946A9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GIMNAZIJA JURIJA VEGE IDRIJA</w:t>
            </w:r>
          </w:p>
        </w:tc>
      </w:tr>
      <w:tr w:rsidR="00E3750C" w:rsidRPr="00415AB3" w14:paraId="77BD644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DB0C1C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225</w:t>
            </w:r>
          </w:p>
        </w:tc>
        <w:tc>
          <w:tcPr>
            <w:tcW w:w="705" w:type="pct"/>
            <w:tcBorders>
              <w:top w:val="nil"/>
              <w:left w:val="nil"/>
              <w:bottom w:val="single" w:sz="4" w:space="0" w:color="auto"/>
              <w:right w:val="single" w:sz="4" w:space="0" w:color="auto"/>
            </w:tcBorders>
            <w:shd w:val="clear" w:color="auto" w:fill="auto"/>
            <w:noWrap/>
            <w:vAlign w:val="center"/>
            <w:hideMark/>
          </w:tcPr>
          <w:p w14:paraId="0107006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5083869000</w:t>
            </w:r>
          </w:p>
        </w:tc>
        <w:tc>
          <w:tcPr>
            <w:tcW w:w="547" w:type="pct"/>
            <w:tcBorders>
              <w:top w:val="nil"/>
              <w:left w:val="nil"/>
              <w:bottom w:val="single" w:sz="4" w:space="0" w:color="auto"/>
              <w:right w:val="single" w:sz="4" w:space="0" w:color="auto"/>
            </w:tcBorders>
            <w:shd w:val="clear" w:color="auto" w:fill="auto"/>
            <w:noWrap/>
            <w:vAlign w:val="center"/>
            <w:hideMark/>
          </w:tcPr>
          <w:p w14:paraId="04A84FA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61745685</w:t>
            </w:r>
          </w:p>
        </w:tc>
        <w:tc>
          <w:tcPr>
            <w:tcW w:w="3360" w:type="pct"/>
            <w:tcBorders>
              <w:top w:val="nil"/>
              <w:left w:val="nil"/>
              <w:bottom w:val="single" w:sz="4" w:space="0" w:color="auto"/>
              <w:right w:val="single" w:sz="4" w:space="0" w:color="auto"/>
            </w:tcBorders>
            <w:shd w:val="clear" w:color="auto" w:fill="auto"/>
            <w:vAlign w:val="center"/>
            <w:hideMark/>
          </w:tcPr>
          <w:p w14:paraId="4804B5C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GIMNAZIJA KOPER - GINNASIO CAPODISTRIA</w:t>
            </w:r>
          </w:p>
        </w:tc>
      </w:tr>
      <w:tr w:rsidR="00E3750C" w:rsidRPr="00415AB3" w14:paraId="6596D39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7BD6E2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226</w:t>
            </w:r>
          </w:p>
        </w:tc>
        <w:tc>
          <w:tcPr>
            <w:tcW w:w="705" w:type="pct"/>
            <w:tcBorders>
              <w:top w:val="nil"/>
              <w:left w:val="nil"/>
              <w:bottom w:val="single" w:sz="4" w:space="0" w:color="auto"/>
              <w:right w:val="single" w:sz="4" w:space="0" w:color="auto"/>
            </w:tcBorders>
            <w:shd w:val="clear" w:color="auto" w:fill="auto"/>
            <w:noWrap/>
            <w:vAlign w:val="center"/>
            <w:hideMark/>
          </w:tcPr>
          <w:p w14:paraId="7937D75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5083923000</w:t>
            </w:r>
          </w:p>
        </w:tc>
        <w:tc>
          <w:tcPr>
            <w:tcW w:w="547" w:type="pct"/>
            <w:tcBorders>
              <w:top w:val="nil"/>
              <w:left w:val="nil"/>
              <w:bottom w:val="single" w:sz="4" w:space="0" w:color="auto"/>
              <w:right w:val="single" w:sz="4" w:space="0" w:color="auto"/>
            </w:tcBorders>
            <w:shd w:val="clear" w:color="auto" w:fill="auto"/>
            <w:noWrap/>
            <w:vAlign w:val="center"/>
            <w:hideMark/>
          </w:tcPr>
          <w:p w14:paraId="6E4DD4A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55313680</w:t>
            </w:r>
          </w:p>
        </w:tc>
        <w:tc>
          <w:tcPr>
            <w:tcW w:w="3360" w:type="pct"/>
            <w:tcBorders>
              <w:top w:val="nil"/>
              <w:left w:val="nil"/>
              <w:bottom w:val="single" w:sz="4" w:space="0" w:color="auto"/>
              <w:right w:val="single" w:sz="4" w:space="0" w:color="auto"/>
            </w:tcBorders>
            <w:shd w:val="clear" w:color="auto" w:fill="auto"/>
            <w:vAlign w:val="center"/>
            <w:hideMark/>
          </w:tcPr>
          <w:p w14:paraId="3AE45B7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GIMNAZIJA KRANJ</w:t>
            </w:r>
          </w:p>
        </w:tc>
      </w:tr>
      <w:tr w:rsidR="00E3750C" w:rsidRPr="00415AB3" w14:paraId="2A66312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640AB3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227</w:t>
            </w:r>
          </w:p>
        </w:tc>
        <w:tc>
          <w:tcPr>
            <w:tcW w:w="705" w:type="pct"/>
            <w:tcBorders>
              <w:top w:val="nil"/>
              <w:left w:val="nil"/>
              <w:bottom w:val="single" w:sz="4" w:space="0" w:color="auto"/>
              <w:right w:val="single" w:sz="4" w:space="0" w:color="auto"/>
            </w:tcBorders>
            <w:shd w:val="clear" w:color="auto" w:fill="auto"/>
            <w:noWrap/>
            <w:vAlign w:val="center"/>
            <w:hideMark/>
          </w:tcPr>
          <w:p w14:paraId="59F42E0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5084202000</w:t>
            </w:r>
          </w:p>
        </w:tc>
        <w:tc>
          <w:tcPr>
            <w:tcW w:w="547" w:type="pct"/>
            <w:tcBorders>
              <w:top w:val="nil"/>
              <w:left w:val="nil"/>
              <w:bottom w:val="single" w:sz="4" w:space="0" w:color="auto"/>
              <w:right w:val="single" w:sz="4" w:space="0" w:color="auto"/>
            </w:tcBorders>
            <w:shd w:val="clear" w:color="auto" w:fill="auto"/>
            <w:noWrap/>
            <w:vAlign w:val="center"/>
            <w:hideMark/>
          </w:tcPr>
          <w:p w14:paraId="0796710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24546208</w:t>
            </w:r>
          </w:p>
        </w:tc>
        <w:tc>
          <w:tcPr>
            <w:tcW w:w="3360" w:type="pct"/>
            <w:tcBorders>
              <w:top w:val="nil"/>
              <w:left w:val="nil"/>
              <w:bottom w:val="single" w:sz="4" w:space="0" w:color="auto"/>
              <w:right w:val="single" w:sz="4" w:space="0" w:color="auto"/>
            </w:tcBorders>
            <w:shd w:val="clear" w:color="auto" w:fill="auto"/>
            <w:vAlign w:val="center"/>
            <w:hideMark/>
          </w:tcPr>
          <w:p w14:paraId="3179D82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GIMNAZIJA LEDINA</w:t>
            </w:r>
          </w:p>
        </w:tc>
      </w:tr>
      <w:tr w:rsidR="00E3750C" w:rsidRPr="00415AB3" w14:paraId="1219251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D77741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228</w:t>
            </w:r>
          </w:p>
        </w:tc>
        <w:tc>
          <w:tcPr>
            <w:tcW w:w="705" w:type="pct"/>
            <w:tcBorders>
              <w:top w:val="nil"/>
              <w:left w:val="nil"/>
              <w:bottom w:val="single" w:sz="4" w:space="0" w:color="auto"/>
              <w:right w:val="single" w:sz="4" w:space="0" w:color="auto"/>
            </w:tcBorders>
            <w:shd w:val="clear" w:color="auto" w:fill="auto"/>
            <w:noWrap/>
            <w:vAlign w:val="center"/>
            <w:hideMark/>
          </w:tcPr>
          <w:p w14:paraId="5AAE4E0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1201379000</w:t>
            </w:r>
          </w:p>
        </w:tc>
        <w:tc>
          <w:tcPr>
            <w:tcW w:w="547" w:type="pct"/>
            <w:tcBorders>
              <w:top w:val="nil"/>
              <w:left w:val="nil"/>
              <w:bottom w:val="single" w:sz="4" w:space="0" w:color="auto"/>
              <w:right w:val="single" w:sz="4" w:space="0" w:color="auto"/>
            </w:tcBorders>
            <w:shd w:val="clear" w:color="auto" w:fill="auto"/>
            <w:noWrap/>
            <w:vAlign w:val="center"/>
            <w:hideMark/>
          </w:tcPr>
          <w:p w14:paraId="6BF560E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56971192</w:t>
            </w:r>
          </w:p>
        </w:tc>
        <w:tc>
          <w:tcPr>
            <w:tcW w:w="3360" w:type="pct"/>
            <w:tcBorders>
              <w:top w:val="nil"/>
              <w:left w:val="nil"/>
              <w:bottom w:val="single" w:sz="4" w:space="0" w:color="auto"/>
              <w:right w:val="single" w:sz="4" w:space="0" w:color="auto"/>
            </w:tcBorders>
            <w:shd w:val="clear" w:color="auto" w:fill="auto"/>
            <w:vAlign w:val="center"/>
            <w:hideMark/>
          </w:tcPr>
          <w:p w14:paraId="3F93546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GIMNAZIJA LITIJA</w:t>
            </w:r>
          </w:p>
        </w:tc>
      </w:tr>
      <w:tr w:rsidR="00E3750C" w:rsidRPr="00415AB3" w14:paraId="3674F90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9B1D0D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229</w:t>
            </w:r>
          </w:p>
        </w:tc>
        <w:tc>
          <w:tcPr>
            <w:tcW w:w="705" w:type="pct"/>
            <w:tcBorders>
              <w:top w:val="nil"/>
              <w:left w:val="nil"/>
              <w:bottom w:val="single" w:sz="4" w:space="0" w:color="auto"/>
              <w:right w:val="single" w:sz="4" w:space="0" w:color="auto"/>
            </w:tcBorders>
            <w:shd w:val="clear" w:color="auto" w:fill="auto"/>
            <w:noWrap/>
            <w:vAlign w:val="center"/>
            <w:hideMark/>
          </w:tcPr>
          <w:p w14:paraId="65A63D0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5084318000</w:t>
            </w:r>
          </w:p>
        </w:tc>
        <w:tc>
          <w:tcPr>
            <w:tcW w:w="547" w:type="pct"/>
            <w:tcBorders>
              <w:top w:val="nil"/>
              <w:left w:val="nil"/>
              <w:bottom w:val="single" w:sz="4" w:space="0" w:color="auto"/>
              <w:right w:val="single" w:sz="4" w:space="0" w:color="auto"/>
            </w:tcBorders>
            <w:shd w:val="clear" w:color="auto" w:fill="auto"/>
            <w:noWrap/>
            <w:vAlign w:val="center"/>
            <w:hideMark/>
          </w:tcPr>
          <w:p w14:paraId="3580C6E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79887520</w:t>
            </w:r>
          </w:p>
        </w:tc>
        <w:tc>
          <w:tcPr>
            <w:tcW w:w="3360" w:type="pct"/>
            <w:tcBorders>
              <w:top w:val="nil"/>
              <w:left w:val="nil"/>
              <w:bottom w:val="single" w:sz="4" w:space="0" w:color="auto"/>
              <w:right w:val="single" w:sz="4" w:space="0" w:color="auto"/>
            </w:tcBorders>
            <w:shd w:val="clear" w:color="auto" w:fill="auto"/>
            <w:vAlign w:val="center"/>
            <w:hideMark/>
          </w:tcPr>
          <w:p w14:paraId="285A978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GIMNAZIJA MOSTE, LJUBLJANA</w:t>
            </w:r>
          </w:p>
        </w:tc>
      </w:tr>
      <w:tr w:rsidR="00E3750C" w:rsidRPr="00415AB3" w14:paraId="3625EF2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083591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230</w:t>
            </w:r>
          </w:p>
        </w:tc>
        <w:tc>
          <w:tcPr>
            <w:tcW w:w="705" w:type="pct"/>
            <w:tcBorders>
              <w:top w:val="nil"/>
              <w:left w:val="nil"/>
              <w:bottom w:val="single" w:sz="4" w:space="0" w:color="auto"/>
              <w:right w:val="single" w:sz="4" w:space="0" w:color="auto"/>
            </w:tcBorders>
            <w:shd w:val="clear" w:color="auto" w:fill="auto"/>
            <w:noWrap/>
            <w:vAlign w:val="center"/>
            <w:hideMark/>
          </w:tcPr>
          <w:p w14:paraId="09FD9A6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5508541000</w:t>
            </w:r>
          </w:p>
        </w:tc>
        <w:tc>
          <w:tcPr>
            <w:tcW w:w="547" w:type="pct"/>
            <w:tcBorders>
              <w:top w:val="nil"/>
              <w:left w:val="nil"/>
              <w:bottom w:val="single" w:sz="4" w:space="0" w:color="auto"/>
              <w:right w:val="single" w:sz="4" w:space="0" w:color="auto"/>
            </w:tcBorders>
            <w:shd w:val="clear" w:color="auto" w:fill="auto"/>
            <w:noWrap/>
            <w:vAlign w:val="center"/>
            <w:hideMark/>
          </w:tcPr>
          <w:p w14:paraId="6118389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78559537</w:t>
            </w:r>
          </w:p>
        </w:tc>
        <w:tc>
          <w:tcPr>
            <w:tcW w:w="3360" w:type="pct"/>
            <w:tcBorders>
              <w:top w:val="nil"/>
              <w:left w:val="nil"/>
              <w:bottom w:val="single" w:sz="4" w:space="0" w:color="auto"/>
              <w:right w:val="single" w:sz="4" w:space="0" w:color="auto"/>
            </w:tcBorders>
            <w:shd w:val="clear" w:color="auto" w:fill="auto"/>
            <w:vAlign w:val="center"/>
            <w:hideMark/>
          </w:tcPr>
          <w:p w14:paraId="7940631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GIMNAZIJA MURSKA SOBOTA</w:t>
            </w:r>
          </w:p>
        </w:tc>
      </w:tr>
      <w:tr w:rsidR="00E3750C" w:rsidRPr="00415AB3" w14:paraId="2C8C7CC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853780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231</w:t>
            </w:r>
          </w:p>
        </w:tc>
        <w:tc>
          <w:tcPr>
            <w:tcW w:w="705" w:type="pct"/>
            <w:tcBorders>
              <w:top w:val="nil"/>
              <w:left w:val="nil"/>
              <w:bottom w:val="single" w:sz="4" w:space="0" w:color="auto"/>
              <w:right w:val="single" w:sz="4" w:space="0" w:color="auto"/>
            </w:tcBorders>
            <w:shd w:val="clear" w:color="auto" w:fill="auto"/>
            <w:noWrap/>
            <w:vAlign w:val="center"/>
            <w:hideMark/>
          </w:tcPr>
          <w:p w14:paraId="652FFFA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5089131000</w:t>
            </w:r>
          </w:p>
        </w:tc>
        <w:tc>
          <w:tcPr>
            <w:tcW w:w="547" w:type="pct"/>
            <w:tcBorders>
              <w:top w:val="nil"/>
              <w:left w:val="nil"/>
              <w:bottom w:val="single" w:sz="4" w:space="0" w:color="auto"/>
              <w:right w:val="single" w:sz="4" w:space="0" w:color="auto"/>
            </w:tcBorders>
            <w:shd w:val="clear" w:color="auto" w:fill="auto"/>
            <w:noWrap/>
            <w:vAlign w:val="center"/>
            <w:hideMark/>
          </w:tcPr>
          <w:p w14:paraId="7D7081F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77209737</w:t>
            </w:r>
          </w:p>
        </w:tc>
        <w:tc>
          <w:tcPr>
            <w:tcW w:w="3360" w:type="pct"/>
            <w:tcBorders>
              <w:top w:val="nil"/>
              <w:left w:val="nil"/>
              <w:bottom w:val="single" w:sz="4" w:space="0" w:color="auto"/>
              <w:right w:val="single" w:sz="4" w:space="0" w:color="auto"/>
            </w:tcBorders>
            <w:shd w:val="clear" w:color="auto" w:fill="auto"/>
            <w:vAlign w:val="center"/>
            <w:hideMark/>
          </w:tcPr>
          <w:p w14:paraId="6036ACB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GIMNAZIJA NOVO MESTO</w:t>
            </w:r>
          </w:p>
        </w:tc>
      </w:tr>
      <w:tr w:rsidR="00E3750C" w:rsidRPr="00415AB3" w14:paraId="6D6989B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49C0D7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232</w:t>
            </w:r>
          </w:p>
        </w:tc>
        <w:tc>
          <w:tcPr>
            <w:tcW w:w="705" w:type="pct"/>
            <w:tcBorders>
              <w:top w:val="nil"/>
              <w:left w:val="nil"/>
              <w:bottom w:val="single" w:sz="4" w:space="0" w:color="auto"/>
              <w:right w:val="single" w:sz="4" w:space="0" w:color="auto"/>
            </w:tcBorders>
            <w:shd w:val="clear" w:color="auto" w:fill="auto"/>
            <w:noWrap/>
            <w:vAlign w:val="center"/>
            <w:hideMark/>
          </w:tcPr>
          <w:p w14:paraId="11BDCEB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5249619000</w:t>
            </w:r>
          </w:p>
        </w:tc>
        <w:tc>
          <w:tcPr>
            <w:tcW w:w="547" w:type="pct"/>
            <w:tcBorders>
              <w:top w:val="nil"/>
              <w:left w:val="nil"/>
              <w:bottom w:val="single" w:sz="4" w:space="0" w:color="auto"/>
              <w:right w:val="single" w:sz="4" w:space="0" w:color="auto"/>
            </w:tcBorders>
            <w:shd w:val="clear" w:color="auto" w:fill="auto"/>
            <w:noWrap/>
            <w:vAlign w:val="center"/>
            <w:hideMark/>
          </w:tcPr>
          <w:p w14:paraId="39B05B0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79262341</w:t>
            </w:r>
          </w:p>
        </w:tc>
        <w:tc>
          <w:tcPr>
            <w:tcW w:w="3360" w:type="pct"/>
            <w:tcBorders>
              <w:top w:val="nil"/>
              <w:left w:val="nil"/>
              <w:bottom w:val="single" w:sz="4" w:space="0" w:color="auto"/>
              <w:right w:val="single" w:sz="4" w:space="0" w:color="auto"/>
            </w:tcBorders>
            <w:shd w:val="clear" w:color="auto" w:fill="auto"/>
            <w:vAlign w:val="center"/>
            <w:hideMark/>
          </w:tcPr>
          <w:p w14:paraId="3DA13B3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GIMNAZIJA POLJANE LJUBLJANA</w:t>
            </w:r>
          </w:p>
        </w:tc>
      </w:tr>
      <w:tr w:rsidR="00E3750C" w:rsidRPr="00415AB3" w14:paraId="26AC7EF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4D612E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233</w:t>
            </w:r>
          </w:p>
        </w:tc>
        <w:tc>
          <w:tcPr>
            <w:tcW w:w="705" w:type="pct"/>
            <w:tcBorders>
              <w:top w:val="nil"/>
              <w:left w:val="nil"/>
              <w:bottom w:val="single" w:sz="4" w:space="0" w:color="auto"/>
              <w:right w:val="single" w:sz="4" w:space="0" w:color="auto"/>
            </w:tcBorders>
            <w:shd w:val="clear" w:color="auto" w:fill="auto"/>
            <w:noWrap/>
            <w:vAlign w:val="center"/>
            <w:hideMark/>
          </w:tcPr>
          <w:p w14:paraId="23A0939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1636855000</w:t>
            </w:r>
          </w:p>
        </w:tc>
        <w:tc>
          <w:tcPr>
            <w:tcW w:w="547" w:type="pct"/>
            <w:tcBorders>
              <w:top w:val="nil"/>
              <w:left w:val="nil"/>
              <w:bottom w:val="single" w:sz="4" w:space="0" w:color="auto"/>
              <w:right w:val="single" w:sz="4" w:space="0" w:color="auto"/>
            </w:tcBorders>
            <w:shd w:val="clear" w:color="auto" w:fill="auto"/>
            <w:noWrap/>
            <w:vAlign w:val="center"/>
            <w:hideMark/>
          </w:tcPr>
          <w:p w14:paraId="624A057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31808093</w:t>
            </w:r>
          </w:p>
        </w:tc>
        <w:tc>
          <w:tcPr>
            <w:tcW w:w="3360" w:type="pct"/>
            <w:tcBorders>
              <w:top w:val="nil"/>
              <w:left w:val="nil"/>
              <w:bottom w:val="single" w:sz="4" w:space="0" w:color="auto"/>
              <w:right w:val="single" w:sz="4" w:space="0" w:color="auto"/>
            </w:tcBorders>
            <w:shd w:val="clear" w:color="auto" w:fill="auto"/>
            <w:vAlign w:val="center"/>
            <w:hideMark/>
          </w:tcPr>
          <w:p w14:paraId="4CC1176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GIMNAZIJA PTUJ</w:t>
            </w:r>
          </w:p>
        </w:tc>
      </w:tr>
      <w:tr w:rsidR="00E3750C" w:rsidRPr="00415AB3" w14:paraId="23C4620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28FF02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234</w:t>
            </w:r>
          </w:p>
        </w:tc>
        <w:tc>
          <w:tcPr>
            <w:tcW w:w="705" w:type="pct"/>
            <w:tcBorders>
              <w:top w:val="nil"/>
              <w:left w:val="nil"/>
              <w:bottom w:val="single" w:sz="4" w:space="0" w:color="auto"/>
              <w:right w:val="single" w:sz="4" w:space="0" w:color="auto"/>
            </w:tcBorders>
            <w:shd w:val="clear" w:color="auto" w:fill="auto"/>
            <w:noWrap/>
            <w:vAlign w:val="center"/>
            <w:hideMark/>
          </w:tcPr>
          <w:p w14:paraId="26FCA58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5084962000</w:t>
            </w:r>
          </w:p>
        </w:tc>
        <w:tc>
          <w:tcPr>
            <w:tcW w:w="547" w:type="pct"/>
            <w:tcBorders>
              <w:top w:val="nil"/>
              <w:left w:val="nil"/>
              <w:bottom w:val="single" w:sz="4" w:space="0" w:color="auto"/>
              <w:right w:val="single" w:sz="4" w:space="0" w:color="auto"/>
            </w:tcBorders>
            <w:shd w:val="clear" w:color="auto" w:fill="auto"/>
            <w:noWrap/>
            <w:vAlign w:val="center"/>
            <w:hideMark/>
          </w:tcPr>
          <w:p w14:paraId="456780C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40605035</w:t>
            </w:r>
          </w:p>
        </w:tc>
        <w:tc>
          <w:tcPr>
            <w:tcW w:w="3360" w:type="pct"/>
            <w:tcBorders>
              <w:top w:val="nil"/>
              <w:left w:val="nil"/>
              <w:bottom w:val="single" w:sz="4" w:space="0" w:color="auto"/>
              <w:right w:val="single" w:sz="4" w:space="0" w:color="auto"/>
            </w:tcBorders>
            <w:shd w:val="clear" w:color="auto" w:fill="auto"/>
            <w:vAlign w:val="center"/>
            <w:hideMark/>
          </w:tcPr>
          <w:p w14:paraId="2EC3ACA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GIMNAZIJA ŠENTVID LJUBLJANA</w:t>
            </w:r>
          </w:p>
        </w:tc>
      </w:tr>
      <w:tr w:rsidR="00E3750C" w:rsidRPr="00415AB3" w14:paraId="55A030E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FF0B58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235</w:t>
            </w:r>
          </w:p>
        </w:tc>
        <w:tc>
          <w:tcPr>
            <w:tcW w:w="705" w:type="pct"/>
            <w:tcBorders>
              <w:top w:val="nil"/>
              <w:left w:val="nil"/>
              <w:bottom w:val="single" w:sz="4" w:space="0" w:color="auto"/>
              <w:right w:val="single" w:sz="4" w:space="0" w:color="auto"/>
            </w:tcBorders>
            <w:shd w:val="clear" w:color="auto" w:fill="auto"/>
            <w:noWrap/>
            <w:vAlign w:val="center"/>
            <w:hideMark/>
          </w:tcPr>
          <w:p w14:paraId="1071BF5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5671159000</w:t>
            </w:r>
          </w:p>
        </w:tc>
        <w:tc>
          <w:tcPr>
            <w:tcW w:w="547" w:type="pct"/>
            <w:tcBorders>
              <w:top w:val="nil"/>
              <w:left w:val="nil"/>
              <w:bottom w:val="single" w:sz="4" w:space="0" w:color="auto"/>
              <w:right w:val="single" w:sz="4" w:space="0" w:color="auto"/>
            </w:tcBorders>
            <w:shd w:val="clear" w:color="auto" w:fill="auto"/>
            <w:noWrap/>
            <w:vAlign w:val="center"/>
            <w:hideMark/>
          </w:tcPr>
          <w:p w14:paraId="76C6FDC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57801606</w:t>
            </w:r>
          </w:p>
        </w:tc>
        <w:tc>
          <w:tcPr>
            <w:tcW w:w="3360" w:type="pct"/>
            <w:tcBorders>
              <w:top w:val="nil"/>
              <w:left w:val="nil"/>
              <w:bottom w:val="single" w:sz="4" w:space="0" w:color="auto"/>
              <w:right w:val="single" w:sz="4" w:space="0" w:color="auto"/>
            </w:tcBorders>
            <w:shd w:val="clear" w:color="auto" w:fill="auto"/>
            <w:vAlign w:val="center"/>
            <w:hideMark/>
          </w:tcPr>
          <w:p w14:paraId="4B0338A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GIMNAZIJA ŠIŠKA</w:t>
            </w:r>
          </w:p>
        </w:tc>
      </w:tr>
      <w:tr w:rsidR="00E3750C" w:rsidRPr="00415AB3" w14:paraId="7473B66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D812BD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236</w:t>
            </w:r>
          </w:p>
        </w:tc>
        <w:tc>
          <w:tcPr>
            <w:tcW w:w="705" w:type="pct"/>
            <w:tcBorders>
              <w:top w:val="nil"/>
              <w:left w:val="nil"/>
              <w:bottom w:val="single" w:sz="4" w:space="0" w:color="auto"/>
              <w:right w:val="single" w:sz="4" w:space="0" w:color="auto"/>
            </w:tcBorders>
            <w:shd w:val="clear" w:color="auto" w:fill="auto"/>
            <w:noWrap/>
            <w:vAlign w:val="center"/>
            <w:hideMark/>
          </w:tcPr>
          <w:p w14:paraId="5F7CB99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5087864000</w:t>
            </w:r>
          </w:p>
        </w:tc>
        <w:tc>
          <w:tcPr>
            <w:tcW w:w="547" w:type="pct"/>
            <w:tcBorders>
              <w:top w:val="nil"/>
              <w:left w:val="nil"/>
              <w:bottom w:val="single" w:sz="4" w:space="0" w:color="auto"/>
              <w:right w:val="single" w:sz="4" w:space="0" w:color="auto"/>
            </w:tcBorders>
            <w:shd w:val="clear" w:color="auto" w:fill="auto"/>
            <w:noWrap/>
            <w:vAlign w:val="center"/>
            <w:hideMark/>
          </w:tcPr>
          <w:p w14:paraId="4EE8BCE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75358247</w:t>
            </w:r>
          </w:p>
        </w:tc>
        <w:tc>
          <w:tcPr>
            <w:tcW w:w="3360" w:type="pct"/>
            <w:tcBorders>
              <w:top w:val="nil"/>
              <w:left w:val="nil"/>
              <w:bottom w:val="single" w:sz="4" w:space="0" w:color="auto"/>
              <w:right w:val="single" w:sz="4" w:space="0" w:color="auto"/>
            </w:tcBorders>
            <w:shd w:val="clear" w:color="auto" w:fill="auto"/>
            <w:vAlign w:val="center"/>
            <w:hideMark/>
          </w:tcPr>
          <w:p w14:paraId="51A2FA9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GIMNAZIJA ŠKOFJA LOKA</w:t>
            </w:r>
          </w:p>
        </w:tc>
      </w:tr>
      <w:tr w:rsidR="00E3750C" w:rsidRPr="00415AB3" w14:paraId="1705677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628DDC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237</w:t>
            </w:r>
          </w:p>
        </w:tc>
        <w:tc>
          <w:tcPr>
            <w:tcW w:w="705" w:type="pct"/>
            <w:tcBorders>
              <w:top w:val="nil"/>
              <w:left w:val="nil"/>
              <w:bottom w:val="single" w:sz="4" w:space="0" w:color="auto"/>
              <w:right w:val="single" w:sz="4" w:space="0" w:color="auto"/>
            </w:tcBorders>
            <w:shd w:val="clear" w:color="auto" w:fill="auto"/>
            <w:noWrap/>
            <w:vAlign w:val="center"/>
            <w:hideMark/>
          </w:tcPr>
          <w:p w14:paraId="38D06DF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5272661000</w:t>
            </w:r>
          </w:p>
        </w:tc>
        <w:tc>
          <w:tcPr>
            <w:tcW w:w="547" w:type="pct"/>
            <w:tcBorders>
              <w:top w:val="nil"/>
              <w:left w:val="nil"/>
              <w:bottom w:val="single" w:sz="4" w:space="0" w:color="auto"/>
              <w:right w:val="single" w:sz="4" w:space="0" w:color="auto"/>
            </w:tcBorders>
            <w:shd w:val="clear" w:color="auto" w:fill="auto"/>
            <w:noWrap/>
            <w:vAlign w:val="center"/>
            <w:hideMark/>
          </w:tcPr>
          <w:p w14:paraId="2F17545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96796219</w:t>
            </w:r>
          </w:p>
        </w:tc>
        <w:tc>
          <w:tcPr>
            <w:tcW w:w="3360" w:type="pct"/>
            <w:tcBorders>
              <w:top w:val="nil"/>
              <w:left w:val="nil"/>
              <w:bottom w:val="single" w:sz="4" w:space="0" w:color="auto"/>
              <w:right w:val="single" w:sz="4" w:space="0" w:color="auto"/>
            </w:tcBorders>
            <w:shd w:val="clear" w:color="auto" w:fill="auto"/>
            <w:vAlign w:val="center"/>
            <w:hideMark/>
          </w:tcPr>
          <w:p w14:paraId="2D0AEBD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GIMNAZIJA TOLMIN</w:t>
            </w:r>
          </w:p>
        </w:tc>
      </w:tr>
      <w:tr w:rsidR="00E3750C" w:rsidRPr="00415AB3" w14:paraId="207B236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55F6FC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238</w:t>
            </w:r>
          </w:p>
        </w:tc>
        <w:tc>
          <w:tcPr>
            <w:tcW w:w="705" w:type="pct"/>
            <w:tcBorders>
              <w:top w:val="nil"/>
              <w:left w:val="nil"/>
              <w:bottom w:val="single" w:sz="4" w:space="0" w:color="auto"/>
              <w:right w:val="single" w:sz="4" w:space="0" w:color="auto"/>
            </w:tcBorders>
            <w:shd w:val="clear" w:color="auto" w:fill="auto"/>
            <w:noWrap/>
            <w:vAlign w:val="center"/>
            <w:hideMark/>
          </w:tcPr>
          <w:p w14:paraId="7950624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5084563000</w:t>
            </w:r>
          </w:p>
        </w:tc>
        <w:tc>
          <w:tcPr>
            <w:tcW w:w="547" w:type="pct"/>
            <w:tcBorders>
              <w:top w:val="nil"/>
              <w:left w:val="nil"/>
              <w:bottom w:val="single" w:sz="4" w:space="0" w:color="auto"/>
              <w:right w:val="single" w:sz="4" w:space="0" w:color="auto"/>
            </w:tcBorders>
            <w:shd w:val="clear" w:color="auto" w:fill="auto"/>
            <w:noWrap/>
            <w:vAlign w:val="center"/>
            <w:hideMark/>
          </w:tcPr>
          <w:p w14:paraId="1BD681E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54767695</w:t>
            </w:r>
          </w:p>
        </w:tc>
        <w:tc>
          <w:tcPr>
            <w:tcW w:w="3360" w:type="pct"/>
            <w:tcBorders>
              <w:top w:val="nil"/>
              <w:left w:val="nil"/>
              <w:bottom w:val="single" w:sz="4" w:space="0" w:color="auto"/>
              <w:right w:val="single" w:sz="4" w:space="0" w:color="auto"/>
            </w:tcBorders>
            <w:shd w:val="clear" w:color="auto" w:fill="auto"/>
            <w:vAlign w:val="center"/>
            <w:hideMark/>
          </w:tcPr>
          <w:p w14:paraId="0F4335F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GIMNAZIJA VIČ</w:t>
            </w:r>
          </w:p>
        </w:tc>
      </w:tr>
      <w:tr w:rsidR="00E3750C" w:rsidRPr="00415AB3" w14:paraId="6C9D3F7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F09B68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240</w:t>
            </w:r>
          </w:p>
        </w:tc>
        <w:tc>
          <w:tcPr>
            <w:tcW w:w="705" w:type="pct"/>
            <w:tcBorders>
              <w:top w:val="nil"/>
              <w:left w:val="nil"/>
              <w:bottom w:val="single" w:sz="4" w:space="0" w:color="auto"/>
              <w:right w:val="single" w:sz="4" w:space="0" w:color="auto"/>
            </w:tcBorders>
            <w:shd w:val="clear" w:color="auto" w:fill="auto"/>
            <w:noWrap/>
            <w:vAlign w:val="center"/>
            <w:hideMark/>
          </w:tcPr>
          <w:p w14:paraId="22AC34E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5083591000</w:t>
            </w:r>
          </w:p>
        </w:tc>
        <w:tc>
          <w:tcPr>
            <w:tcW w:w="547" w:type="pct"/>
            <w:tcBorders>
              <w:top w:val="nil"/>
              <w:left w:val="nil"/>
              <w:bottom w:val="single" w:sz="4" w:space="0" w:color="auto"/>
              <w:right w:val="single" w:sz="4" w:space="0" w:color="auto"/>
            </w:tcBorders>
            <w:shd w:val="clear" w:color="auto" w:fill="auto"/>
            <w:noWrap/>
            <w:vAlign w:val="center"/>
            <w:hideMark/>
          </w:tcPr>
          <w:p w14:paraId="4376764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27184188</w:t>
            </w:r>
          </w:p>
        </w:tc>
        <w:tc>
          <w:tcPr>
            <w:tcW w:w="3360" w:type="pct"/>
            <w:tcBorders>
              <w:top w:val="nil"/>
              <w:left w:val="nil"/>
              <w:bottom w:val="single" w:sz="4" w:space="0" w:color="auto"/>
              <w:right w:val="single" w:sz="4" w:space="0" w:color="auto"/>
            </w:tcBorders>
            <w:shd w:val="clear" w:color="auto" w:fill="auto"/>
            <w:vAlign w:val="center"/>
            <w:hideMark/>
          </w:tcPr>
          <w:p w14:paraId="32A4855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GLASBENA ŠOLA BREŽICE</w:t>
            </w:r>
          </w:p>
        </w:tc>
      </w:tr>
      <w:tr w:rsidR="00E3750C" w:rsidRPr="00415AB3" w14:paraId="2E3C519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7997E2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241</w:t>
            </w:r>
          </w:p>
        </w:tc>
        <w:tc>
          <w:tcPr>
            <w:tcW w:w="705" w:type="pct"/>
            <w:tcBorders>
              <w:top w:val="nil"/>
              <w:left w:val="nil"/>
              <w:bottom w:val="single" w:sz="4" w:space="0" w:color="auto"/>
              <w:right w:val="single" w:sz="4" w:space="0" w:color="auto"/>
            </w:tcBorders>
            <w:shd w:val="clear" w:color="auto" w:fill="auto"/>
            <w:noWrap/>
            <w:vAlign w:val="center"/>
            <w:hideMark/>
          </w:tcPr>
          <w:p w14:paraId="068A16D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5083630000</w:t>
            </w:r>
          </w:p>
        </w:tc>
        <w:tc>
          <w:tcPr>
            <w:tcW w:w="547" w:type="pct"/>
            <w:tcBorders>
              <w:top w:val="nil"/>
              <w:left w:val="nil"/>
              <w:bottom w:val="single" w:sz="4" w:space="0" w:color="auto"/>
              <w:right w:val="single" w:sz="4" w:space="0" w:color="auto"/>
            </w:tcBorders>
            <w:shd w:val="clear" w:color="auto" w:fill="auto"/>
            <w:noWrap/>
            <w:vAlign w:val="center"/>
            <w:hideMark/>
          </w:tcPr>
          <w:p w14:paraId="7A9BA43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78363209</w:t>
            </w:r>
          </w:p>
        </w:tc>
        <w:tc>
          <w:tcPr>
            <w:tcW w:w="3360" w:type="pct"/>
            <w:tcBorders>
              <w:top w:val="nil"/>
              <w:left w:val="nil"/>
              <w:bottom w:val="single" w:sz="4" w:space="0" w:color="auto"/>
              <w:right w:val="single" w:sz="4" w:space="0" w:color="auto"/>
            </w:tcBorders>
            <w:shd w:val="clear" w:color="auto" w:fill="auto"/>
            <w:vAlign w:val="center"/>
            <w:hideMark/>
          </w:tcPr>
          <w:p w14:paraId="3FF828A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GLASBENA ŠOLA CELJE</w:t>
            </w:r>
          </w:p>
        </w:tc>
      </w:tr>
      <w:tr w:rsidR="00E3750C" w:rsidRPr="00415AB3" w14:paraId="082DF3B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B127C7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242</w:t>
            </w:r>
          </w:p>
        </w:tc>
        <w:tc>
          <w:tcPr>
            <w:tcW w:w="705" w:type="pct"/>
            <w:tcBorders>
              <w:top w:val="nil"/>
              <w:left w:val="nil"/>
              <w:bottom w:val="single" w:sz="4" w:space="0" w:color="auto"/>
              <w:right w:val="single" w:sz="4" w:space="0" w:color="auto"/>
            </w:tcBorders>
            <w:shd w:val="clear" w:color="auto" w:fill="auto"/>
            <w:noWrap/>
            <w:vAlign w:val="center"/>
            <w:hideMark/>
          </w:tcPr>
          <w:p w14:paraId="6F3E026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5084725000</w:t>
            </w:r>
          </w:p>
        </w:tc>
        <w:tc>
          <w:tcPr>
            <w:tcW w:w="547" w:type="pct"/>
            <w:tcBorders>
              <w:top w:val="nil"/>
              <w:left w:val="nil"/>
              <w:bottom w:val="single" w:sz="4" w:space="0" w:color="auto"/>
              <w:right w:val="single" w:sz="4" w:space="0" w:color="auto"/>
            </w:tcBorders>
            <w:shd w:val="clear" w:color="auto" w:fill="auto"/>
            <w:noWrap/>
            <w:vAlign w:val="center"/>
            <w:hideMark/>
          </w:tcPr>
          <w:p w14:paraId="38EEF81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13776819</w:t>
            </w:r>
          </w:p>
        </w:tc>
        <w:tc>
          <w:tcPr>
            <w:tcW w:w="3360" w:type="pct"/>
            <w:tcBorders>
              <w:top w:val="nil"/>
              <w:left w:val="nil"/>
              <w:bottom w:val="single" w:sz="4" w:space="0" w:color="auto"/>
              <w:right w:val="single" w:sz="4" w:space="0" w:color="auto"/>
            </w:tcBorders>
            <w:shd w:val="clear" w:color="auto" w:fill="auto"/>
            <w:vAlign w:val="center"/>
            <w:hideMark/>
          </w:tcPr>
          <w:p w14:paraId="42B0801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GLASBENA ŠOLA ČRNOMELJ</w:t>
            </w:r>
          </w:p>
        </w:tc>
      </w:tr>
      <w:tr w:rsidR="00E3750C" w:rsidRPr="00415AB3" w14:paraId="4096AAB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5EC017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243</w:t>
            </w:r>
          </w:p>
        </w:tc>
        <w:tc>
          <w:tcPr>
            <w:tcW w:w="705" w:type="pct"/>
            <w:tcBorders>
              <w:top w:val="nil"/>
              <w:left w:val="nil"/>
              <w:bottom w:val="single" w:sz="4" w:space="0" w:color="auto"/>
              <w:right w:val="single" w:sz="4" w:space="0" w:color="auto"/>
            </w:tcBorders>
            <w:shd w:val="clear" w:color="auto" w:fill="auto"/>
            <w:noWrap/>
            <w:vAlign w:val="center"/>
            <w:hideMark/>
          </w:tcPr>
          <w:p w14:paraId="2A00CC0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5082862000</w:t>
            </w:r>
          </w:p>
        </w:tc>
        <w:tc>
          <w:tcPr>
            <w:tcW w:w="547" w:type="pct"/>
            <w:tcBorders>
              <w:top w:val="nil"/>
              <w:left w:val="nil"/>
              <w:bottom w:val="single" w:sz="4" w:space="0" w:color="auto"/>
              <w:right w:val="single" w:sz="4" w:space="0" w:color="auto"/>
            </w:tcBorders>
            <w:shd w:val="clear" w:color="auto" w:fill="auto"/>
            <w:noWrap/>
            <w:vAlign w:val="center"/>
            <w:hideMark/>
          </w:tcPr>
          <w:p w14:paraId="7B9F2EC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45558264</w:t>
            </w:r>
          </w:p>
        </w:tc>
        <w:tc>
          <w:tcPr>
            <w:tcW w:w="3360" w:type="pct"/>
            <w:tcBorders>
              <w:top w:val="nil"/>
              <w:left w:val="nil"/>
              <w:bottom w:val="single" w:sz="4" w:space="0" w:color="auto"/>
              <w:right w:val="single" w:sz="4" w:space="0" w:color="auto"/>
            </w:tcBorders>
            <w:shd w:val="clear" w:color="auto" w:fill="auto"/>
            <w:vAlign w:val="center"/>
            <w:hideMark/>
          </w:tcPr>
          <w:p w14:paraId="24D2A87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GLASBENA ŠOLA DOMŽALE</w:t>
            </w:r>
          </w:p>
        </w:tc>
      </w:tr>
      <w:tr w:rsidR="00E3750C" w:rsidRPr="00415AB3" w14:paraId="3BF3FE4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F20DAA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244</w:t>
            </w:r>
          </w:p>
        </w:tc>
        <w:tc>
          <w:tcPr>
            <w:tcW w:w="705" w:type="pct"/>
            <w:tcBorders>
              <w:top w:val="nil"/>
              <w:left w:val="nil"/>
              <w:bottom w:val="single" w:sz="4" w:space="0" w:color="auto"/>
              <w:right w:val="single" w:sz="4" w:space="0" w:color="auto"/>
            </w:tcBorders>
            <w:shd w:val="clear" w:color="auto" w:fill="auto"/>
            <w:noWrap/>
            <w:vAlign w:val="center"/>
            <w:hideMark/>
          </w:tcPr>
          <w:p w14:paraId="5A70B87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5088313000</w:t>
            </w:r>
          </w:p>
        </w:tc>
        <w:tc>
          <w:tcPr>
            <w:tcW w:w="547" w:type="pct"/>
            <w:tcBorders>
              <w:top w:val="nil"/>
              <w:left w:val="nil"/>
              <w:bottom w:val="single" w:sz="4" w:space="0" w:color="auto"/>
              <w:right w:val="single" w:sz="4" w:space="0" w:color="auto"/>
            </w:tcBorders>
            <w:shd w:val="clear" w:color="auto" w:fill="auto"/>
            <w:noWrap/>
            <w:vAlign w:val="center"/>
            <w:hideMark/>
          </w:tcPr>
          <w:p w14:paraId="3160B26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79789960</w:t>
            </w:r>
          </w:p>
        </w:tc>
        <w:tc>
          <w:tcPr>
            <w:tcW w:w="3360" w:type="pct"/>
            <w:tcBorders>
              <w:top w:val="nil"/>
              <w:left w:val="nil"/>
              <w:bottom w:val="single" w:sz="4" w:space="0" w:color="auto"/>
              <w:right w:val="single" w:sz="4" w:space="0" w:color="auto"/>
            </w:tcBorders>
            <w:shd w:val="clear" w:color="auto" w:fill="auto"/>
            <w:vAlign w:val="center"/>
            <w:hideMark/>
          </w:tcPr>
          <w:p w14:paraId="65A9BE3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GLASBENA ŠOLA FRAN KORUN KOŽELJSKI VELENJE</w:t>
            </w:r>
          </w:p>
        </w:tc>
      </w:tr>
      <w:tr w:rsidR="00E3750C" w:rsidRPr="00415AB3" w14:paraId="4AD7CC3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A6FCF8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245</w:t>
            </w:r>
          </w:p>
        </w:tc>
        <w:tc>
          <w:tcPr>
            <w:tcW w:w="705" w:type="pct"/>
            <w:tcBorders>
              <w:top w:val="nil"/>
              <w:left w:val="nil"/>
              <w:bottom w:val="single" w:sz="4" w:space="0" w:color="auto"/>
              <w:right w:val="single" w:sz="4" w:space="0" w:color="auto"/>
            </w:tcBorders>
            <w:shd w:val="clear" w:color="auto" w:fill="auto"/>
            <w:noWrap/>
            <w:vAlign w:val="center"/>
            <w:hideMark/>
          </w:tcPr>
          <w:p w14:paraId="4E78412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5083702000</w:t>
            </w:r>
          </w:p>
        </w:tc>
        <w:tc>
          <w:tcPr>
            <w:tcW w:w="547" w:type="pct"/>
            <w:tcBorders>
              <w:top w:val="nil"/>
              <w:left w:val="nil"/>
              <w:bottom w:val="single" w:sz="4" w:space="0" w:color="auto"/>
              <w:right w:val="single" w:sz="4" w:space="0" w:color="auto"/>
            </w:tcBorders>
            <w:shd w:val="clear" w:color="auto" w:fill="auto"/>
            <w:noWrap/>
            <w:vAlign w:val="center"/>
            <w:hideMark/>
          </w:tcPr>
          <w:p w14:paraId="7669803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96787163</w:t>
            </w:r>
          </w:p>
        </w:tc>
        <w:tc>
          <w:tcPr>
            <w:tcW w:w="3360" w:type="pct"/>
            <w:tcBorders>
              <w:top w:val="nil"/>
              <w:left w:val="nil"/>
              <w:bottom w:val="single" w:sz="4" w:space="0" w:color="auto"/>
              <w:right w:val="single" w:sz="4" w:space="0" w:color="auto"/>
            </w:tcBorders>
            <w:shd w:val="clear" w:color="auto" w:fill="auto"/>
            <w:vAlign w:val="center"/>
            <w:hideMark/>
          </w:tcPr>
          <w:p w14:paraId="4867A2A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GLASBENA ŠOLA FRANA GERBIČA CERKNICA</w:t>
            </w:r>
          </w:p>
        </w:tc>
      </w:tr>
      <w:tr w:rsidR="00E3750C" w:rsidRPr="00415AB3" w14:paraId="18ACC54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3C1406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246</w:t>
            </w:r>
          </w:p>
        </w:tc>
        <w:tc>
          <w:tcPr>
            <w:tcW w:w="705" w:type="pct"/>
            <w:tcBorders>
              <w:top w:val="nil"/>
              <w:left w:val="nil"/>
              <w:bottom w:val="single" w:sz="4" w:space="0" w:color="auto"/>
              <w:right w:val="single" w:sz="4" w:space="0" w:color="auto"/>
            </w:tcBorders>
            <w:shd w:val="clear" w:color="auto" w:fill="auto"/>
            <w:noWrap/>
            <w:vAlign w:val="center"/>
            <w:hideMark/>
          </w:tcPr>
          <w:p w14:paraId="37CF952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5090024000</w:t>
            </w:r>
          </w:p>
        </w:tc>
        <w:tc>
          <w:tcPr>
            <w:tcW w:w="547" w:type="pct"/>
            <w:tcBorders>
              <w:top w:val="nil"/>
              <w:left w:val="nil"/>
              <w:bottom w:val="single" w:sz="4" w:space="0" w:color="auto"/>
              <w:right w:val="single" w:sz="4" w:space="0" w:color="auto"/>
            </w:tcBorders>
            <w:shd w:val="clear" w:color="auto" w:fill="auto"/>
            <w:noWrap/>
            <w:vAlign w:val="center"/>
            <w:hideMark/>
          </w:tcPr>
          <w:p w14:paraId="31995FF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82488649</w:t>
            </w:r>
          </w:p>
        </w:tc>
        <w:tc>
          <w:tcPr>
            <w:tcW w:w="3360" w:type="pct"/>
            <w:tcBorders>
              <w:top w:val="nil"/>
              <w:left w:val="nil"/>
              <w:bottom w:val="single" w:sz="4" w:space="0" w:color="auto"/>
              <w:right w:val="single" w:sz="4" w:space="0" w:color="auto"/>
            </w:tcBorders>
            <w:shd w:val="clear" w:color="auto" w:fill="auto"/>
            <w:vAlign w:val="center"/>
            <w:hideMark/>
          </w:tcPr>
          <w:p w14:paraId="64046BE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GLASBENA ŠOLA FRANCA ŠTURMA</w:t>
            </w:r>
          </w:p>
        </w:tc>
      </w:tr>
      <w:tr w:rsidR="00E3750C" w:rsidRPr="00415AB3" w14:paraId="23AE3D9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719036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247</w:t>
            </w:r>
          </w:p>
        </w:tc>
        <w:tc>
          <w:tcPr>
            <w:tcW w:w="705" w:type="pct"/>
            <w:tcBorders>
              <w:top w:val="nil"/>
              <w:left w:val="nil"/>
              <w:bottom w:val="single" w:sz="4" w:space="0" w:color="auto"/>
              <w:right w:val="single" w:sz="4" w:space="0" w:color="auto"/>
            </w:tcBorders>
            <w:shd w:val="clear" w:color="auto" w:fill="auto"/>
            <w:noWrap/>
            <w:vAlign w:val="center"/>
            <w:hideMark/>
          </w:tcPr>
          <w:p w14:paraId="55A401E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5083770000</w:t>
            </w:r>
          </w:p>
        </w:tc>
        <w:tc>
          <w:tcPr>
            <w:tcW w:w="547" w:type="pct"/>
            <w:tcBorders>
              <w:top w:val="nil"/>
              <w:left w:val="nil"/>
              <w:bottom w:val="single" w:sz="4" w:space="0" w:color="auto"/>
              <w:right w:val="single" w:sz="4" w:space="0" w:color="auto"/>
            </w:tcBorders>
            <w:shd w:val="clear" w:color="auto" w:fill="auto"/>
            <w:noWrap/>
            <w:vAlign w:val="center"/>
            <w:hideMark/>
          </w:tcPr>
          <w:p w14:paraId="0FEA987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72010185</w:t>
            </w:r>
          </w:p>
        </w:tc>
        <w:tc>
          <w:tcPr>
            <w:tcW w:w="3360" w:type="pct"/>
            <w:tcBorders>
              <w:top w:val="nil"/>
              <w:left w:val="nil"/>
              <w:bottom w:val="single" w:sz="4" w:space="0" w:color="auto"/>
              <w:right w:val="single" w:sz="4" w:space="0" w:color="auto"/>
            </w:tcBorders>
            <w:shd w:val="clear" w:color="auto" w:fill="auto"/>
            <w:vAlign w:val="center"/>
            <w:hideMark/>
          </w:tcPr>
          <w:p w14:paraId="35E8165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GLASBENA ŠOLA HRASTNIK</w:t>
            </w:r>
          </w:p>
        </w:tc>
      </w:tr>
      <w:tr w:rsidR="00E3750C" w:rsidRPr="00415AB3" w14:paraId="0E00243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E7E450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248</w:t>
            </w:r>
          </w:p>
        </w:tc>
        <w:tc>
          <w:tcPr>
            <w:tcW w:w="705" w:type="pct"/>
            <w:tcBorders>
              <w:top w:val="nil"/>
              <w:left w:val="nil"/>
              <w:bottom w:val="single" w:sz="4" w:space="0" w:color="auto"/>
              <w:right w:val="single" w:sz="4" w:space="0" w:color="auto"/>
            </w:tcBorders>
            <w:shd w:val="clear" w:color="auto" w:fill="auto"/>
            <w:noWrap/>
            <w:vAlign w:val="center"/>
            <w:hideMark/>
          </w:tcPr>
          <w:p w14:paraId="7D2A7EE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5082994000</w:t>
            </w:r>
          </w:p>
        </w:tc>
        <w:tc>
          <w:tcPr>
            <w:tcW w:w="547" w:type="pct"/>
            <w:tcBorders>
              <w:top w:val="nil"/>
              <w:left w:val="nil"/>
              <w:bottom w:val="single" w:sz="4" w:space="0" w:color="auto"/>
              <w:right w:val="single" w:sz="4" w:space="0" w:color="auto"/>
            </w:tcBorders>
            <w:shd w:val="clear" w:color="auto" w:fill="auto"/>
            <w:noWrap/>
            <w:vAlign w:val="center"/>
            <w:hideMark/>
          </w:tcPr>
          <w:p w14:paraId="62530C4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31493092</w:t>
            </w:r>
          </w:p>
        </w:tc>
        <w:tc>
          <w:tcPr>
            <w:tcW w:w="3360" w:type="pct"/>
            <w:tcBorders>
              <w:top w:val="nil"/>
              <w:left w:val="nil"/>
              <w:bottom w:val="single" w:sz="4" w:space="0" w:color="auto"/>
              <w:right w:val="single" w:sz="4" w:space="0" w:color="auto"/>
            </w:tcBorders>
            <w:shd w:val="clear" w:color="auto" w:fill="auto"/>
            <w:vAlign w:val="center"/>
            <w:hideMark/>
          </w:tcPr>
          <w:p w14:paraId="270BE29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GLASBENA ŠOLA IDRIJA</w:t>
            </w:r>
          </w:p>
        </w:tc>
      </w:tr>
      <w:tr w:rsidR="00E3750C" w:rsidRPr="00415AB3" w14:paraId="047E0B3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67AA47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249</w:t>
            </w:r>
          </w:p>
        </w:tc>
        <w:tc>
          <w:tcPr>
            <w:tcW w:w="705" w:type="pct"/>
            <w:tcBorders>
              <w:top w:val="nil"/>
              <w:left w:val="nil"/>
              <w:bottom w:val="single" w:sz="4" w:space="0" w:color="auto"/>
              <w:right w:val="single" w:sz="4" w:space="0" w:color="auto"/>
            </w:tcBorders>
            <w:shd w:val="clear" w:color="auto" w:fill="auto"/>
            <w:noWrap/>
            <w:vAlign w:val="center"/>
            <w:hideMark/>
          </w:tcPr>
          <w:p w14:paraId="1A03D8C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5088674000</w:t>
            </w:r>
          </w:p>
        </w:tc>
        <w:tc>
          <w:tcPr>
            <w:tcW w:w="547" w:type="pct"/>
            <w:tcBorders>
              <w:top w:val="nil"/>
              <w:left w:val="nil"/>
              <w:bottom w:val="single" w:sz="4" w:space="0" w:color="auto"/>
              <w:right w:val="single" w:sz="4" w:space="0" w:color="auto"/>
            </w:tcBorders>
            <w:shd w:val="clear" w:color="auto" w:fill="auto"/>
            <w:noWrap/>
            <w:vAlign w:val="center"/>
            <w:hideMark/>
          </w:tcPr>
          <w:p w14:paraId="209EF2B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22501576</w:t>
            </w:r>
          </w:p>
        </w:tc>
        <w:tc>
          <w:tcPr>
            <w:tcW w:w="3360" w:type="pct"/>
            <w:tcBorders>
              <w:top w:val="nil"/>
              <w:left w:val="nil"/>
              <w:bottom w:val="single" w:sz="4" w:space="0" w:color="auto"/>
              <w:right w:val="single" w:sz="4" w:space="0" w:color="auto"/>
            </w:tcBorders>
            <w:shd w:val="clear" w:color="auto" w:fill="auto"/>
            <w:vAlign w:val="center"/>
            <w:hideMark/>
          </w:tcPr>
          <w:p w14:paraId="0CD28D2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GLASBENA ŠOLA ILIRSKA BISTRICA</w:t>
            </w:r>
          </w:p>
        </w:tc>
      </w:tr>
      <w:tr w:rsidR="00E3750C" w:rsidRPr="00415AB3" w14:paraId="45EDA96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28185C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250</w:t>
            </w:r>
          </w:p>
        </w:tc>
        <w:tc>
          <w:tcPr>
            <w:tcW w:w="705" w:type="pct"/>
            <w:tcBorders>
              <w:top w:val="nil"/>
              <w:left w:val="nil"/>
              <w:bottom w:val="single" w:sz="4" w:space="0" w:color="auto"/>
              <w:right w:val="single" w:sz="4" w:space="0" w:color="auto"/>
            </w:tcBorders>
            <w:shd w:val="clear" w:color="auto" w:fill="auto"/>
            <w:noWrap/>
            <w:vAlign w:val="center"/>
            <w:hideMark/>
          </w:tcPr>
          <w:p w14:paraId="6DF6686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5083087000</w:t>
            </w:r>
          </w:p>
        </w:tc>
        <w:tc>
          <w:tcPr>
            <w:tcW w:w="547" w:type="pct"/>
            <w:tcBorders>
              <w:top w:val="nil"/>
              <w:left w:val="nil"/>
              <w:bottom w:val="single" w:sz="4" w:space="0" w:color="auto"/>
              <w:right w:val="single" w:sz="4" w:space="0" w:color="auto"/>
            </w:tcBorders>
            <w:shd w:val="clear" w:color="auto" w:fill="auto"/>
            <w:noWrap/>
            <w:vAlign w:val="center"/>
            <w:hideMark/>
          </w:tcPr>
          <w:p w14:paraId="211119E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85120065</w:t>
            </w:r>
          </w:p>
        </w:tc>
        <w:tc>
          <w:tcPr>
            <w:tcW w:w="3360" w:type="pct"/>
            <w:tcBorders>
              <w:top w:val="nil"/>
              <w:left w:val="nil"/>
              <w:bottom w:val="single" w:sz="4" w:space="0" w:color="auto"/>
              <w:right w:val="single" w:sz="4" w:space="0" w:color="auto"/>
            </w:tcBorders>
            <w:shd w:val="clear" w:color="auto" w:fill="auto"/>
            <w:vAlign w:val="center"/>
            <w:hideMark/>
          </w:tcPr>
          <w:p w14:paraId="281B99F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GLASBENA ŠOLA KAMNIK</w:t>
            </w:r>
          </w:p>
        </w:tc>
      </w:tr>
      <w:tr w:rsidR="00E3750C" w:rsidRPr="00415AB3" w14:paraId="4FEF826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98817F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251</w:t>
            </w:r>
          </w:p>
        </w:tc>
        <w:tc>
          <w:tcPr>
            <w:tcW w:w="705" w:type="pct"/>
            <w:tcBorders>
              <w:top w:val="nil"/>
              <w:left w:val="nil"/>
              <w:bottom w:val="single" w:sz="4" w:space="0" w:color="auto"/>
              <w:right w:val="single" w:sz="4" w:space="0" w:color="auto"/>
            </w:tcBorders>
            <w:shd w:val="clear" w:color="auto" w:fill="auto"/>
            <w:noWrap/>
            <w:vAlign w:val="center"/>
            <w:hideMark/>
          </w:tcPr>
          <w:p w14:paraId="050BAF1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5087236000</w:t>
            </w:r>
          </w:p>
        </w:tc>
        <w:tc>
          <w:tcPr>
            <w:tcW w:w="547" w:type="pct"/>
            <w:tcBorders>
              <w:top w:val="nil"/>
              <w:left w:val="nil"/>
              <w:bottom w:val="single" w:sz="4" w:space="0" w:color="auto"/>
              <w:right w:val="single" w:sz="4" w:space="0" w:color="auto"/>
            </w:tcBorders>
            <w:shd w:val="clear" w:color="auto" w:fill="auto"/>
            <w:noWrap/>
            <w:vAlign w:val="center"/>
            <w:hideMark/>
          </w:tcPr>
          <w:p w14:paraId="2C48580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83834672</w:t>
            </w:r>
          </w:p>
        </w:tc>
        <w:tc>
          <w:tcPr>
            <w:tcW w:w="3360" w:type="pct"/>
            <w:tcBorders>
              <w:top w:val="nil"/>
              <w:left w:val="nil"/>
              <w:bottom w:val="single" w:sz="4" w:space="0" w:color="auto"/>
              <w:right w:val="single" w:sz="4" w:space="0" w:color="auto"/>
            </w:tcBorders>
            <w:shd w:val="clear" w:color="auto" w:fill="auto"/>
            <w:vAlign w:val="center"/>
            <w:hideMark/>
          </w:tcPr>
          <w:p w14:paraId="6E65BC2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GLASBENA ŠOLA KAROL PAHOR PTUJ</w:t>
            </w:r>
          </w:p>
        </w:tc>
      </w:tr>
      <w:tr w:rsidR="00E3750C" w:rsidRPr="00415AB3" w14:paraId="27F5309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26979D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252</w:t>
            </w:r>
          </w:p>
        </w:tc>
        <w:tc>
          <w:tcPr>
            <w:tcW w:w="705" w:type="pct"/>
            <w:tcBorders>
              <w:top w:val="nil"/>
              <w:left w:val="nil"/>
              <w:bottom w:val="single" w:sz="4" w:space="0" w:color="auto"/>
              <w:right w:val="single" w:sz="4" w:space="0" w:color="auto"/>
            </w:tcBorders>
            <w:shd w:val="clear" w:color="auto" w:fill="auto"/>
            <w:noWrap/>
            <w:vAlign w:val="center"/>
            <w:hideMark/>
          </w:tcPr>
          <w:p w14:paraId="1374D6B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5083109000</w:t>
            </w:r>
          </w:p>
        </w:tc>
        <w:tc>
          <w:tcPr>
            <w:tcW w:w="547" w:type="pct"/>
            <w:tcBorders>
              <w:top w:val="nil"/>
              <w:left w:val="nil"/>
              <w:bottom w:val="single" w:sz="4" w:space="0" w:color="auto"/>
              <w:right w:val="single" w:sz="4" w:space="0" w:color="auto"/>
            </w:tcBorders>
            <w:shd w:val="clear" w:color="auto" w:fill="auto"/>
            <w:noWrap/>
            <w:vAlign w:val="center"/>
            <w:hideMark/>
          </w:tcPr>
          <w:p w14:paraId="045E3CF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99694891</w:t>
            </w:r>
          </w:p>
        </w:tc>
        <w:tc>
          <w:tcPr>
            <w:tcW w:w="3360" w:type="pct"/>
            <w:tcBorders>
              <w:top w:val="nil"/>
              <w:left w:val="nil"/>
              <w:bottom w:val="single" w:sz="4" w:space="0" w:color="auto"/>
              <w:right w:val="single" w:sz="4" w:space="0" w:color="auto"/>
            </w:tcBorders>
            <w:shd w:val="clear" w:color="auto" w:fill="auto"/>
            <w:vAlign w:val="center"/>
            <w:hideMark/>
          </w:tcPr>
          <w:p w14:paraId="2E55ADB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GLASBENA ŠOLA KOČEVJE</w:t>
            </w:r>
          </w:p>
        </w:tc>
      </w:tr>
      <w:tr w:rsidR="00E3750C" w:rsidRPr="00415AB3" w14:paraId="2E4C3FB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4563A7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253</w:t>
            </w:r>
          </w:p>
        </w:tc>
        <w:tc>
          <w:tcPr>
            <w:tcW w:w="705" w:type="pct"/>
            <w:tcBorders>
              <w:top w:val="nil"/>
              <w:left w:val="nil"/>
              <w:bottom w:val="single" w:sz="4" w:space="0" w:color="auto"/>
              <w:right w:val="single" w:sz="4" w:space="0" w:color="auto"/>
            </w:tcBorders>
            <w:shd w:val="clear" w:color="auto" w:fill="auto"/>
            <w:noWrap/>
            <w:vAlign w:val="center"/>
            <w:hideMark/>
          </w:tcPr>
          <w:p w14:paraId="7B0ED69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5083184000</w:t>
            </w:r>
          </w:p>
        </w:tc>
        <w:tc>
          <w:tcPr>
            <w:tcW w:w="547" w:type="pct"/>
            <w:tcBorders>
              <w:top w:val="nil"/>
              <w:left w:val="nil"/>
              <w:bottom w:val="single" w:sz="4" w:space="0" w:color="auto"/>
              <w:right w:val="single" w:sz="4" w:space="0" w:color="auto"/>
            </w:tcBorders>
            <w:shd w:val="clear" w:color="auto" w:fill="auto"/>
            <w:noWrap/>
            <w:vAlign w:val="center"/>
            <w:hideMark/>
          </w:tcPr>
          <w:p w14:paraId="034BC23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63820749</w:t>
            </w:r>
          </w:p>
        </w:tc>
        <w:tc>
          <w:tcPr>
            <w:tcW w:w="3360" w:type="pct"/>
            <w:tcBorders>
              <w:top w:val="nil"/>
              <w:left w:val="nil"/>
              <w:bottom w:val="single" w:sz="4" w:space="0" w:color="auto"/>
              <w:right w:val="single" w:sz="4" w:space="0" w:color="auto"/>
            </w:tcBorders>
            <w:shd w:val="clear" w:color="auto" w:fill="auto"/>
            <w:vAlign w:val="center"/>
            <w:hideMark/>
          </w:tcPr>
          <w:p w14:paraId="0C65892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GLASBENA ŠOLA KOPER</w:t>
            </w:r>
          </w:p>
        </w:tc>
      </w:tr>
      <w:tr w:rsidR="00E3750C" w:rsidRPr="00415AB3" w14:paraId="5B7544A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E3635E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254</w:t>
            </w:r>
          </w:p>
        </w:tc>
        <w:tc>
          <w:tcPr>
            <w:tcW w:w="705" w:type="pct"/>
            <w:tcBorders>
              <w:top w:val="nil"/>
              <w:left w:val="nil"/>
              <w:bottom w:val="single" w:sz="4" w:space="0" w:color="auto"/>
              <w:right w:val="single" w:sz="4" w:space="0" w:color="auto"/>
            </w:tcBorders>
            <w:shd w:val="clear" w:color="auto" w:fill="auto"/>
            <w:noWrap/>
            <w:vAlign w:val="center"/>
            <w:hideMark/>
          </w:tcPr>
          <w:p w14:paraId="40BFB4D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5083273000</w:t>
            </w:r>
          </w:p>
        </w:tc>
        <w:tc>
          <w:tcPr>
            <w:tcW w:w="547" w:type="pct"/>
            <w:tcBorders>
              <w:top w:val="nil"/>
              <w:left w:val="nil"/>
              <w:bottom w:val="single" w:sz="4" w:space="0" w:color="auto"/>
              <w:right w:val="single" w:sz="4" w:space="0" w:color="auto"/>
            </w:tcBorders>
            <w:shd w:val="clear" w:color="auto" w:fill="auto"/>
            <w:noWrap/>
            <w:vAlign w:val="center"/>
            <w:hideMark/>
          </w:tcPr>
          <w:p w14:paraId="1589F8F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89649001</w:t>
            </w:r>
          </w:p>
        </w:tc>
        <w:tc>
          <w:tcPr>
            <w:tcW w:w="3360" w:type="pct"/>
            <w:tcBorders>
              <w:top w:val="nil"/>
              <w:left w:val="nil"/>
              <w:bottom w:val="single" w:sz="4" w:space="0" w:color="auto"/>
              <w:right w:val="single" w:sz="4" w:space="0" w:color="auto"/>
            </w:tcBorders>
            <w:shd w:val="clear" w:color="auto" w:fill="auto"/>
            <w:vAlign w:val="center"/>
            <w:hideMark/>
          </w:tcPr>
          <w:p w14:paraId="6922146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GLASBENA ŠOLA KRANJ</w:t>
            </w:r>
          </w:p>
        </w:tc>
      </w:tr>
      <w:tr w:rsidR="00E3750C" w:rsidRPr="00415AB3" w14:paraId="16B4F2E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CD78BF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255</w:t>
            </w:r>
          </w:p>
        </w:tc>
        <w:tc>
          <w:tcPr>
            <w:tcW w:w="705" w:type="pct"/>
            <w:tcBorders>
              <w:top w:val="nil"/>
              <w:left w:val="nil"/>
              <w:bottom w:val="single" w:sz="4" w:space="0" w:color="auto"/>
              <w:right w:val="single" w:sz="4" w:space="0" w:color="auto"/>
            </w:tcBorders>
            <w:shd w:val="clear" w:color="auto" w:fill="auto"/>
            <w:noWrap/>
            <w:vAlign w:val="center"/>
            <w:hideMark/>
          </w:tcPr>
          <w:p w14:paraId="34215FA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5085055000</w:t>
            </w:r>
          </w:p>
        </w:tc>
        <w:tc>
          <w:tcPr>
            <w:tcW w:w="547" w:type="pct"/>
            <w:tcBorders>
              <w:top w:val="nil"/>
              <w:left w:val="nil"/>
              <w:bottom w:val="single" w:sz="4" w:space="0" w:color="auto"/>
              <w:right w:val="single" w:sz="4" w:space="0" w:color="auto"/>
            </w:tcBorders>
            <w:shd w:val="clear" w:color="auto" w:fill="auto"/>
            <w:noWrap/>
            <w:vAlign w:val="center"/>
            <w:hideMark/>
          </w:tcPr>
          <w:p w14:paraId="7F5EF96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73939641</w:t>
            </w:r>
          </w:p>
        </w:tc>
        <w:tc>
          <w:tcPr>
            <w:tcW w:w="3360" w:type="pct"/>
            <w:tcBorders>
              <w:top w:val="nil"/>
              <w:left w:val="nil"/>
              <w:bottom w:val="single" w:sz="4" w:space="0" w:color="auto"/>
              <w:right w:val="single" w:sz="4" w:space="0" w:color="auto"/>
            </w:tcBorders>
            <w:shd w:val="clear" w:color="auto" w:fill="auto"/>
            <w:vAlign w:val="center"/>
            <w:hideMark/>
          </w:tcPr>
          <w:p w14:paraId="7992FB0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GLASBENA ŠOLA KRŠKO</w:t>
            </w:r>
          </w:p>
        </w:tc>
      </w:tr>
      <w:tr w:rsidR="00E3750C" w:rsidRPr="00415AB3" w14:paraId="3831572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6D7DDD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256</w:t>
            </w:r>
          </w:p>
        </w:tc>
        <w:tc>
          <w:tcPr>
            <w:tcW w:w="705" w:type="pct"/>
            <w:tcBorders>
              <w:top w:val="nil"/>
              <w:left w:val="nil"/>
              <w:bottom w:val="single" w:sz="4" w:space="0" w:color="auto"/>
              <w:right w:val="single" w:sz="4" w:space="0" w:color="auto"/>
            </w:tcBorders>
            <w:shd w:val="clear" w:color="auto" w:fill="auto"/>
            <w:noWrap/>
            <w:vAlign w:val="center"/>
            <w:hideMark/>
          </w:tcPr>
          <w:p w14:paraId="12664AF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5089778000</w:t>
            </w:r>
          </w:p>
        </w:tc>
        <w:tc>
          <w:tcPr>
            <w:tcW w:w="547" w:type="pct"/>
            <w:tcBorders>
              <w:top w:val="nil"/>
              <w:left w:val="nil"/>
              <w:bottom w:val="single" w:sz="4" w:space="0" w:color="auto"/>
              <w:right w:val="single" w:sz="4" w:space="0" w:color="auto"/>
            </w:tcBorders>
            <w:shd w:val="clear" w:color="auto" w:fill="auto"/>
            <w:noWrap/>
            <w:vAlign w:val="center"/>
            <w:hideMark/>
          </w:tcPr>
          <w:p w14:paraId="7957832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42272459</w:t>
            </w:r>
          </w:p>
        </w:tc>
        <w:tc>
          <w:tcPr>
            <w:tcW w:w="3360" w:type="pct"/>
            <w:tcBorders>
              <w:top w:val="nil"/>
              <w:left w:val="nil"/>
              <w:bottom w:val="single" w:sz="4" w:space="0" w:color="auto"/>
              <w:right w:val="single" w:sz="4" w:space="0" w:color="auto"/>
            </w:tcBorders>
            <w:shd w:val="clear" w:color="auto" w:fill="auto"/>
            <w:vAlign w:val="center"/>
            <w:hideMark/>
          </w:tcPr>
          <w:p w14:paraId="2D4E842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GLASBENA ŠOLA LENDAVA</w:t>
            </w:r>
          </w:p>
        </w:tc>
      </w:tr>
      <w:tr w:rsidR="00E3750C" w:rsidRPr="00415AB3" w14:paraId="03FCF3B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7E8BAA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257</w:t>
            </w:r>
          </w:p>
        </w:tc>
        <w:tc>
          <w:tcPr>
            <w:tcW w:w="705" w:type="pct"/>
            <w:tcBorders>
              <w:top w:val="nil"/>
              <w:left w:val="nil"/>
              <w:bottom w:val="single" w:sz="4" w:space="0" w:color="auto"/>
              <w:right w:val="single" w:sz="4" w:space="0" w:color="auto"/>
            </w:tcBorders>
            <w:shd w:val="clear" w:color="auto" w:fill="auto"/>
            <w:noWrap/>
            <w:vAlign w:val="center"/>
            <w:hideMark/>
          </w:tcPr>
          <w:p w14:paraId="164E33F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5090156000</w:t>
            </w:r>
          </w:p>
        </w:tc>
        <w:tc>
          <w:tcPr>
            <w:tcW w:w="547" w:type="pct"/>
            <w:tcBorders>
              <w:top w:val="nil"/>
              <w:left w:val="nil"/>
              <w:bottom w:val="single" w:sz="4" w:space="0" w:color="auto"/>
              <w:right w:val="single" w:sz="4" w:space="0" w:color="auto"/>
            </w:tcBorders>
            <w:shd w:val="clear" w:color="auto" w:fill="auto"/>
            <w:noWrap/>
            <w:vAlign w:val="center"/>
            <w:hideMark/>
          </w:tcPr>
          <w:p w14:paraId="512CA8F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16555333</w:t>
            </w:r>
          </w:p>
        </w:tc>
        <w:tc>
          <w:tcPr>
            <w:tcW w:w="3360" w:type="pct"/>
            <w:tcBorders>
              <w:top w:val="nil"/>
              <w:left w:val="nil"/>
              <w:bottom w:val="single" w:sz="4" w:space="0" w:color="auto"/>
              <w:right w:val="single" w:sz="4" w:space="0" w:color="auto"/>
            </w:tcBorders>
            <w:shd w:val="clear" w:color="auto" w:fill="auto"/>
            <w:vAlign w:val="center"/>
            <w:hideMark/>
          </w:tcPr>
          <w:p w14:paraId="395B70A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GLASBENA ŠOLA LJUBLJANA MOSTE-POLJE</w:t>
            </w:r>
          </w:p>
        </w:tc>
      </w:tr>
      <w:tr w:rsidR="00E3750C" w:rsidRPr="00415AB3" w14:paraId="1388120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A1D4B9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258</w:t>
            </w:r>
          </w:p>
        </w:tc>
        <w:tc>
          <w:tcPr>
            <w:tcW w:w="705" w:type="pct"/>
            <w:tcBorders>
              <w:top w:val="nil"/>
              <w:left w:val="nil"/>
              <w:bottom w:val="single" w:sz="4" w:space="0" w:color="auto"/>
              <w:right w:val="single" w:sz="4" w:space="0" w:color="auto"/>
            </w:tcBorders>
            <w:shd w:val="clear" w:color="auto" w:fill="auto"/>
            <w:noWrap/>
            <w:vAlign w:val="center"/>
            <w:hideMark/>
          </w:tcPr>
          <w:p w14:paraId="70E93FC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5088810000</w:t>
            </w:r>
          </w:p>
        </w:tc>
        <w:tc>
          <w:tcPr>
            <w:tcW w:w="547" w:type="pct"/>
            <w:tcBorders>
              <w:top w:val="nil"/>
              <w:left w:val="nil"/>
              <w:bottom w:val="single" w:sz="4" w:space="0" w:color="auto"/>
              <w:right w:val="single" w:sz="4" w:space="0" w:color="auto"/>
            </w:tcBorders>
            <w:shd w:val="clear" w:color="auto" w:fill="auto"/>
            <w:noWrap/>
            <w:vAlign w:val="center"/>
            <w:hideMark/>
          </w:tcPr>
          <w:p w14:paraId="3F40E5C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29129095</w:t>
            </w:r>
          </w:p>
        </w:tc>
        <w:tc>
          <w:tcPr>
            <w:tcW w:w="3360" w:type="pct"/>
            <w:tcBorders>
              <w:top w:val="nil"/>
              <w:left w:val="nil"/>
              <w:bottom w:val="single" w:sz="4" w:space="0" w:color="auto"/>
              <w:right w:val="single" w:sz="4" w:space="0" w:color="auto"/>
            </w:tcBorders>
            <w:shd w:val="clear" w:color="auto" w:fill="auto"/>
            <w:vAlign w:val="center"/>
            <w:hideMark/>
          </w:tcPr>
          <w:p w14:paraId="37BAC79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GLASBENA ŠOLA LJUBLJANA VIČ-RUDNIK</w:t>
            </w:r>
          </w:p>
        </w:tc>
      </w:tr>
      <w:tr w:rsidR="00E3750C" w:rsidRPr="00415AB3" w14:paraId="6745047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6292B8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259</w:t>
            </w:r>
          </w:p>
        </w:tc>
        <w:tc>
          <w:tcPr>
            <w:tcW w:w="705" w:type="pct"/>
            <w:tcBorders>
              <w:top w:val="nil"/>
              <w:left w:val="nil"/>
              <w:bottom w:val="single" w:sz="4" w:space="0" w:color="auto"/>
              <w:right w:val="single" w:sz="4" w:space="0" w:color="auto"/>
            </w:tcBorders>
            <w:shd w:val="clear" w:color="auto" w:fill="auto"/>
            <w:noWrap/>
            <w:vAlign w:val="center"/>
            <w:hideMark/>
          </w:tcPr>
          <w:p w14:paraId="5478AE3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5086400000</w:t>
            </w:r>
          </w:p>
        </w:tc>
        <w:tc>
          <w:tcPr>
            <w:tcW w:w="547" w:type="pct"/>
            <w:tcBorders>
              <w:top w:val="nil"/>
              <w:left w:val="nil"/>
              <w:bottom w:val="single" w:sz="4" w:space="0" w:color="auto"/>
              <w:right w:val="single" w:sz="4" w:space="0" w:color="auto"/>
            </w:tcBorders>
            <w:shd w:val="clear" w:color="auto" w:fill="auto"/>
            <w:noWrap/>
            <w:vAlign w:val="center"/>
            <w:hideMark/>
          </w:tcPr>
          <w:p w14:paraId="34C066B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87901706</w:t>
            </w:r>
          </w:p>
        </w:tc>
        <w:tc>
          <w:tcPr>
            <w:tcW w:w="3360" w:type="pct"/>
            <w:tcBorders>
              <w:top w:val="nil"/>
              <w:left w:val="nil"/>
              <w:bottom w:val="single" w:sz="4" w:space="0" w:color="auto"/>
              <w:right w:val="single" w:sz="4" w:space="0" w:color="auto"/>
            </w:tcBorders>
            <w:shd w:val="clear" w:color="auto" w:fill="auto"/>
            <w:vAlign w:val="center"/>
            <w:hideMark/>
          </w:tcPr>
          <w:p w14:paraId="5430980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GLASBENA ŠOLA MARJANA KOZINE NOVO MESTO</w:t>
            </w:r>
          </w:p>
        </w:tc>
      </w:tr>
      <w:tr w:rsidR="00E3750C" w:rsidRPr="00415AB3" w14:paraId="69145FD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DC8D40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260</w:t>
            </w:r>
          </w:p>
        </w:tc>
        <w:tc>
          <w:tcPr>
            <w:tcW w:w="705" w:type="pct"/>
            <w:tcBorders>
              <w:top w:val="nil"/>
              <w:left w:val="nil"/>
              <w:bottom w:val="single" w:sz="4" w:space="0" w:color="auto"/>
              <w:right w:val="single" w:sz="4" w:space="0" w:color="auto"/>
            </w:tcBorders>
            <w:shd w:val="clear" w:color="auto" w:fill="auto"/>
            <w:noWrap/>
            <w:vAlign w:val="center"/>
            <w:hideMark/>
          </w:tcPr>
          <w:p w14:paraId="7C7AA3A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5085756000</w:t>
            </w:r>
          </w:p>
        </w:tc>
        <w:tc>
          <w:tcPr>
            <w:tcW w:w="547" w:type="pct"/>
            <w:tcBorders>
              <w:top w:val="nil"/>
              <w:left w:val="nil"/>
              <w:bottom w:val="single" w:sz="4" w:space="0" w:color="auto"/>
              <w:right w:val="single" w:sz="4" w:space="0" w:color="auto"/>
            </w:tcBorders>
            <w:shd w:val="clear" w:color="auto" w:fill="auto"/>
            <w:noWrap/>
            <w:vAlign w:val="center"/>
            <w:hideMark/>
          </w:tcPr>
          <w:p w14:paraId="07E4FD5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79064540</w:t>
            </w:r>
          </w:p>
        </w:tc>
        <w:tc>
          <w:tcPr>
            <w:tcW w:w="3360" w:type="pct"/>
            <w:tcBorders>
              <w:top w:val="nil"/>
              <w:left w:val="nil"/>
              <w:bottom w:val="single" w:sz="4" w:space="0" w:color="auto"/>
              <w:right w:val="single" w:sz="4" w:space="0" w:color="auto"/>
            </w:tcBorders>
            <w:shd w:val="clear" w:color="auto" w:fill="auto"/>
            <w:vAlign w:val="center"/>
            <w:hideMark/>
          </w:tcPr>
          <w:p w14:paraId="76D8752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GLASBENA ŠOLA MURSKA SOBOTA</w:t>
            </w:r>
          </w:p>
        </w:tc>
      </w:tr>
      <w:tr w:rsidR="00E3750C" w:rsidRPr="00415AB3" w14:paraId="7408A9F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DADBE4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261</w:t>
            </w:r>
          </w:p>
        </w:tc>
        <w:tc>
          <w:tcPr>
            <w:tcW w:w="705" w:type="pct"/>
            <w:tcBorders>
              <w:top w:val="nil"/>
              <w:left w:val="nil"/>
              <w:bottom w:val="single" w:sz="4" w:space="0" w:color="auto"/>
              <w:right w:val="single" w:sz="4" w:space="0" w:color="auto"/>
            </w:tcBorders>
            <w:shd w:val="clear" w:color="auto" w:fill="auto"/>
            <w:noWrap/>
            <w:vAlign w:val="center"/>
            <w:hideMark/>
          </w:tcPr>
          <w:p w14:paraId="1D6A923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5086434000</w:t>
            </w:r>
          </w:p>
        </w:tc>
        <w:tc>
          <w:tcPr>
            <w:tcW w:w="547" w:type="pct"/>
            <w:tcBorders>
              <w:top w:val="nil"/>
              <w:left w:val="nil"/>
              <w:bottom w:val="single" w:sz="4" w:space="0" w:color="auto"/>
              <w:right w:val="single" w:sz="4" w:space="0" w:color="auto"/>
            </w:tcBorders>
            <w:shd w:val="clear" w:color="auto" w:fill="auto"/>
            <w:noWrap/>
            <w:vAlign w:val="center"/>
            <w:hideMark/>
          </w:tcPr>
          <w:p w14:paraId="1C777C8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87546698</w:t>
            </w:r>
          </w:p>
        </w:tc>
        <w:tc>
          <w:tcPr>
            <w:tcW w:w="3360" w:type="pct"/>
            <w:tcBorders>
              <w:top w:val="nil"/>
              <w:left w:val="nil"/>
              <w:bottom w:val="single" w:sz="4" w:space="0" w:color="auto"/>
              <w:right w:val="single" w:sz="4" w:space="0" w:color="auto"/>
            </w:tcBorders>
            <w:shd w:val="clear" w:color="auto" w:fill="auto"/>
            <w:vAlign w:val="center"/>
            <w:hideMark/>
          </w:tcPr>
          <w:p w14:paraId="2EF1244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GLASBENA ŠOLA ORMOŽ</w:t>
            </w:r>
          </w:p>
        </w:tc>
      </w:tr>
      <w:tr w:rsidR="00E3750C" w:rsidRPr="00415AB3" w14:paraId="02BF45A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B6CD56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262</w:t>
            </w:r>
          </w:p>
        </w:tc>
        <w:tc>
          <w:tcPr>
            <w:tcW w:w="705" w:type="pct"/>
            <w:tcBorders>
              <w:top w:val="nil"/>
              <w:left w:val="nil"/>
              <w:bottom w:val="single" w:sz="4" w:space="0" w:color="auto"/>
              <w:right w:val="single" w:sz="4" w:space="0" w:color="auto"/>
            </w:tcBorders>
            <w:shd w:val="clear" w:color="auto" w:fill="auto"/>
            <w:noWrap/>
            <w:vAlign w:val="center"/>
            <w:hideMark/>
          </w:tcPr>
          <w:p w14:paraId="6943894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5086965000</w:t>
            </w:r>
          </w:p>
        </w:tc>
        <w:tc>
          <w:tcPr>
            <w:tcW w:w="547" w:type="pct"/>
            <w:tcBorders>
              <w:top w:val="nil"/>
              <w:left w:val="nil"/>
              <w:bottom w:val="single" w:sz="4" w:space="0" w:color="auto"/>
              <w:right w:val="single" w:sz="4" w:space="0" w:color="auto"/>
            </w:tcBorders>
            <w:shd w:val="clear" w:color="auto" w:fill="auto"/>
            <w:noWrap/>
            <w:vAlign w:val="center"/>
            <w:hideMark/>
          </w:tcPr>
          <w:p w14:paraId="5EF6B08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82076910</w:t>
            </w:r>
          </w:p>
        </w:tc>
        <w:tc>
          <w:tcPr>
            <w:tcW w:w="3360" w:type="pct"/>
            <w:tcBorders>
              <w:top w:val="nil"/>
              <w:left w:val="nil"/>
              <w:bottom w:val="single" w:sz="4" w:space="0" w:color="auto"/>
              <w:right w:val="single" w:sz="4" w:space="0" w:color="auto"/>
            </w:tcBorders>
            <w:shd w:val="clear" w:color="auto" w:fill="auto"/>
            <w:vAlign w:val="center"/>
            <w:hideMark/>
          </w:tcPr>
          <w:p w14:paraId="38DFF4C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GLASBENA ŠOLA POSTOJNA</w:t>
            </w:r>
          </w:p>
        </w:tc>
      </w:tr>
      <w:tr w:rsidR="00E3750C" w:rsidRPr="00415AB3" w14:paraId="353EF73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EE0B23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263</w:t>
            </w:r>
          </w:p>
        </w:tc>
        <w:tc>
          <w:tcPr>
            <w:tcW w:w="705" w:type="pct"/>
            <w:tcBorders>
              <w:top w:val="nil"/>
              <w:left w:val="nil"/>
              <w:bottom w:val="single" w:sz="4" w:space="0" w:color="auto"/>
              <w:right w:val="single" w:sz="4" w:space="0" w:color="auto"/>
            </w:tcBorders>
            <w:shd w:val="clear" w:color="auto" w:fill="auto"/>
            <w:noWrap/>
            <w:vAlign w:val="center"/>
            <w:hideMark/>
          </w:tcPr>
          <w:p w14:paraId="0D220D4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5087350000</w:t>
            </w:r>
          </w:p>
        </w:tc>
        <w:tc>
          <w:tcPr>
            <w:tcW w:w="547" w:type="pct"/>
            <w:tcBorders>
              <w:top w:val="nil"/>
              <w:left w:val="nil"/>
              <w:bottom w:val="single" w:sz="4" w:space="0" w:color="auto"/>
              <w:right w:val="single" w:sz="4" w:space="0" w:color="auto"/>
            </w:tcBorders>
            <w:shd w:val="clear" w:color="auto" w:fill="auto"/>
            <w:noWrap/>
            <w:vAlign w:val="center"/>
            <w:hideMark/>
          </w:tcPr>
          <w:p w14:paraId="6E641BC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28776950</w:t>
            </w:r>
          </w:p>
        </w:tc>
        <w:tc>
          <w:tcPr>
            <w:tcW w:w="3360" w:type="pct"/>
            <w:tcBorders>
              <w:top w:val="nil"/>
              <w:left w:val="nil"/>
              <w:bottom w:val="single" w:sz="4" w:space="0" w:color="auto"/>
              <w:right w:val="single" w:sz="4" w:space="0" w:color="auto"/>
            </w:tcBorders>
            <w:shd w:val="clear" w:color="auto" w:fill="auto"/>
            <w:vAlign w:val="center"/>
            <w:hideMark/>
          </w:tcPr>
          <w:p w14:paraId="118BA4D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GLASBENA ŠOLA RADOVLJICA</w:t>
            </w:r>
          </w:p>
        </w:tc>
      </w:tr>
      <w:tr w:rsidR="00E3750C" w:rsidRPr="00415AB3" w14:paraId="2018D43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B9EB42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264</w:t>
            </w:r>
          </w:p>
        </w:tc>
        <w:tc>
          <w:tcPr>
            <w:tcW w:w="705" w:type="pct"/>
            <w:tcBorders>
              <w:top w:val="nil"/>
              <w:left w:val="nil"/>
              <w:bottom w:val="single" w:sz="4" w:space="0" w:color="auto"/>
              <w:right w:val="single" w:sz="4" w:space="0" w:color="auto"/>
            </w:tcBorders>
            <w:shd w:val="clear" w:color="auto" w:fill="auto"/>
            <w:noWrap/>
            <w:vAlign w:val="center"/>
            <w:hideMark/>
          </w:tcPr>
          <w:p w14:paraId="2272E8D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5089310000</w:t>
            </w:r>
          </w:p>
        </w:tc>
        <w:tc>
          <w:tcPr>
            <w:tcW w:w="547" w:type="pct"/>
            <w:tcBorders>
              <w:top w:val="nil"/>
              <w:left w:val="nil"/>
              <w:bottom w:val="single" w:sz="4" w:space="0" w:color="auto"/>
              <w:right w:val="single" w:sz="4" w:space="0" w:color="auto"/>
            </w:tcBorders>
            <w:shd w:val="clear" w:color="auto" w:fill="auto"/>
            <w:noWrap/>
            <w:vAlign w:val="center"/>
            <w:hideMark/>
          </w:tcPr>
          <w:p w14:paraId="2D5BF07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59083204</w:t>
            </w:r>
          </w:p>
        </w:tc>
        <w:tc>
          <w:tcPr>
            <w:tcW w:w="3360" w:type="pct"/>
            <w:tcBorders>
              <w:top w:val="nil"/>
              <w:left w:val="nil"/>
              <w:bottom w:val="single" w:sz="4" w:space="0" w:color="auto"/>
              <w:right w:val="single" w:sz="4" w:space="0" w:color="auto"/>
            </w:tcBorders>
            <w:shd w:val="clear" w:color="auto" w:fill="auto"/>
            <w:vAlign w:val="center"/>
            <w:hideMark/>
          </w:tcPr>
          <w:p w14:paraId="3B2546C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GLASBENA ŠOLA RIBNICA</w:t>
            </w:r>
          </w:p>
        </w:tc>
      </w:tr>
      <w:tr w:rsidR="00E3750C" w:rsidRPr="00415AB3" w14:paraId="0C3446C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39274A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265</w:t>
            </w:r>
          </w:p>
        </w:tc>
        <w:tc>
          <w:tcPr>
            <w:tcW w:w="705" w:type="pct"/>
            <w:tcBorders>
              <w:top w:val="nil"/>
              <w:left w:val="nil"/>
              <w:bottom w:val="single" w:sz="4" w:space="0" w:color="auto"/>
              <w:right w:val="single" w:sz="4" w:space="0" w:color="auto"/>
            </w:tcBorders>
            <w:shd w:val="clear" w:color="auto" w:fill="auto"/>
            <w:noWrap/>
            <w:vAlign w:val="center"/>
            <w:hideMark/>
          </w:tcPr>
          <w:p w14:paraId="54933F9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1451227000</w:t>
            </w:r>
          </w:p>
        </w:tc>
        <w:tc>
          <w:tcPr>
            <w:tcW w:w="547" w:type="pct"/>
            <w:tcBorders>
              <w:top w:val="nil"/>
              <w:left w:val="nil"/>
              <w:bottom w:val="single" w:sz="4" w:space="0" w:color="auto"/>
              <w:right w:val="single" w:sz="4" w:space="0" w:color="auto"/>
            </w:tcBorders>
            <w:shd w:val="clear" w:color="auto" w:fill="auto"/>
            <w:noWrap/>
            <w:vAlign w:val="center"/>
            <w:hideMark/>
          </w:tcPr>
          <w:p w14:paraId="2FFB011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61431702</w:t>
            </w:r>
          </w:p>
        </w:tc>
        <w:tc>
          <w:tcPr>
            <w:tcW w:w="3360" w:type="pct"/>
            <w:tcBorders>
              <w:top w:val="nil"/>
              <w:left w:val="nil"/>
              <w:bottom w:val="single" w:sz="4" w:space="0" w:color="auto"/>
              <w:right w:val="single" w:sz="4" w:space="0" w:color="auto"/>
            </w:tcBorders>
            <w:shd w:val="clear" w:color="auto" w:fill="auto"/>
            <w:vAlign w:val="center"/>
            <w:hideMark/>
          </w:tcPr>
          <w:p w14:paraId="4B65672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GLASBENA ŠOLA SEVNICA</w:t>
            </w:r>
          </w:p>
        </w:tc>
      </w:tr>
      <w:tr w:rsidR="00E3750C" w:rsidRPr="00415AB3" w14:paraId="4EC9E60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C8BE57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266</w:t>
            </w:r>
          </w:p>
        </w:tc>
        <w:tc>
          <w:tcPr>
            <w:tcW w:w="705" w:type="pct"/>
            <w:tcBorders>
              <w:top w:val="nil"/>
              <w:left w:val="nil"/>
              <w:bottom w:val="single" w:sz="4" w:space="0" w:color="auto"/>
              <w:right w:val="single" w:sz="4" w:space="0" w:color="auto"/>
            </w:tcBorders>
            <w:shd w:val="clear" w:color="auto" w:fill="auto"/>
            <w:noWrap/>
            <w:vAlign w:val="center"/>
            <w:hideMark/>
          </w:tcPr>
          <w:p w14:paraId="2DEE96F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5210445000</w:t>
            </w:r>
          </w:p>
        </w:tc>
        <w:tc>
          <w:tcPr>
            <w:tcW w:w="547" w:type="pct"/>
            <w:tcBorders>
              <w:top w:val="nil"/>
              <w:left w:val="nil"/>
              <w:bottom w:val="single" w:sz="4" w:space="0" w:color="auto"/>
              <w:right w:val="single" w:sz="4" w:space="0" w:color="auto"/>
            </w:tcBorders>
            <w:shd w:val="clear" w:color="auto" w:fill="auto"/>
            <w:noWrap/>
            <w:vAlign w:val="center"/>
            <w:hideMark/>
          </w:tcPr>
          <w:p w14:paraId="3521626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23814063</w:t>
            </w:r>
          </w:p>
        </w:tc>
        <w:tc>
          <w:tcPr>
            <w:tcW w:w="3360" w:type="pct"/>
            <w:tcBorders>
              <w:top w:val="nil"/>
              <w:left w:val="nil"/>
              <w:bottom w:val="single" w:sz="4" w:space="0" w:color="auto"/>
              <w:right w:val="single" w:sz="4" w:space="0" w:color="auto"/>
            </w:tcBorders>
            <w:shd w:val="clear" w:color="auto" w:fill="auto"/>
            <w:vAlign w:val="center"/>
            <w:hideMark/>
          </w:tcPr>
          <w:p w14:paraId="5CCA0FB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GLASBENA ŠOLA SEŽANA</w:t>
            </w:r>
          </w:p>
        </w:tc>
      </w:tr>
      <w:tr w:rsidR="00E3750C" w:rsidRPr="00415AB3" w14:paraId="106AC51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28B634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267</w:t>
            </w:r>
          </w:p>
        </w:tc>
        <w:tc>
          <w:tcPr>
            <w:tcW w:w="705" w:type="pct"/>
            <w:tcBorders>
              <w:top w:val="nil"/>
              <w:left w:val="nil"/>
              <w:bottom w:val="single" w:sz="4" w:space="0" w:color="auto"/>
              <w:right w:val="single" w:sz="4" w:space="0" w:color="auto"/>
            </w:tcBorders>
            <w:shd w:val="clear" w:color="auto" w:fill="auto"/>
            <w:noWrap/>
            <w:vAlign w:val="center"/>
            <w:hideMark/>
          </w:tcPr>
          <w:p w14:paraId="286B88F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5007143000</w:t>
            </w:r>
          </w:p>
        </w:tc>
        <w:tc>
          <w:tcPr>
            <w:tcW w:w="547" w:type="pct"/>
            <w:tcBorders>
              <w:top w:val="nil"/>
              <w:left w:val="nil"/>
              <w:bottom w:val="single" w:sz="4" w:space="0" w:color="auto"/>
              <w:right w:val="single" w:sz="4" w:space="0" w:color="auto"/>
            </w:tcBorders>
            <w:shd w:val="clear" w:color="auto" w:fill="auto"/>
            <w:noWrap/>
            <w:vAlign w:val="center"/>
            <w:hideMark/>
          </w:tcPr>
          <w:p w14:paraId="4072F34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84058609</w:t>
            </w:r>
          </w:p>
        </w:tc>
        <w:tc>
          <w:tcPr>
            <w:tcW w:w="3360" w:type="pct"/>
            <w:tcBorders>
              <w:top w:val="nil"/>
              <w:left w:val="nil"/>
              <w:bottom w:val="single" w:sz="4" w:space="0" w:color="auto"/>
              <w:right w:val="single" w:sz="4" w:space="0" w:color="auto"/>
            </w:tcBorders>
            <w:shd w:val="clear" w:color="auto" w:fill="auto"/>
            <w:vAlign w:val="center"/>
            <w:hideMark/>
          </w:tcPr>
          <w:p w14:paraId="14EAD7F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GLASBENA ŠOLA SKLADATELJEV IPAVCEV ŠENTJUR</w:t>
            </w:r>
          </w:p>
        </w:tc>
      </w:tr>
      <w:tr w:rsidR="00E3750C" w:rsidRPr="00415AB3" w14:paraId="27FE1E0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B16DD7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268</w:t>
            </w:r>
          </w:p>
        </w:tc>
        <w:tc>
          <w:tcPr>
            <w:tcW w:w="705" w:type="pct"/>
            <w:tcBorders>
              <w:top w:val="nil"/>
              <w:left w:val="nil"/>
              <w:bottom w:val="single" w:sz="4" w:space="0" w:color="auto"/>
              <w:right w:val="single" w:sz="4" w:space="0" w:color="auto"/>
            </w:tcBorders>
            <w:shd w:val="clear" w:color="auto" w:fill="auto"/>
            <w:noWrap/>
            <w:vAlign w:val="center"/>
            <w:hideMark/>
          </w:tcPr>
          <w:p w14:paraId="673AF23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5084679000</w:t>
            </w:r>
          </w:p>
        </w:tc>
        <w:tc>
          <w:tcPr>
            <w:tcW w:w="547" w:type="pct"/>
            <w:tcBorders>
              <w:top w:val="nil"/>
              <w:left w:val="nil"/>
              <w:bottom w:val="single" w:sz="4" w:space="0" w:color="auto"/>
              <w:right w:val="single" w:sz="4" w:space="0" w:color="auto"/>
            </w:tcBorders>
            <w:shd w:val="clear" w:color="auto" w:fill="auto"/>
            <w:noWrap/>
            <w:vAlign w:val="center"/>
            <w:hideMark/>
          </w:tcPr>
          <w:p w14:paraId="5B6B665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25923323</w:t>
            </w:r>
          </w:p>
        </w:tc>
        <w:tc>
          <w:tcPr>
            <w:tcW w:w="3360" w:type="pct"/>
            <w:tcBorders>
              <w:top w:val="nil"/>
              <w:left w:val="nil"/>
              <w:bottom w:val="single" w:sz="4" w:space="0" w:color="auto"/>
              <w:right w:val="single" w:sz="4" w:space="0" w:color="auto"/>
            </w:tcBorders>
            <w:shd w:val="clear" w:color="auto" w:fill="auto"/>
            <w:vAlign w:val="center"/>
            <w:hideMark/>
          </w:tcPr>
          <w:p w14:paraId="4243396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GLASBENA ŠOLA SLAVKA OSTERCA LJUTOMER</w:t>
            </w:r>
          </w:p>
        </w:tc>
      </w:tr>
      <w:tr w:rsidR="00E3750C" w:rsidRPr="00415AB3" w14:paraId="6673A06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AD2C4D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269</w:t>
            </w:r>
          </w:p>
        </w:tc>
        <w:tc>
          <w:tcPr>
            <w:tcW w:w="705" w:type="pct"/>
            <w:tcBorders>
              <w:top w:val="nil"/>
              <w:left w:val="nil"/>
              <w:bottom w:val="single" w:sz="4" w:space="0" w:color="auto"/>
              <w:right w:val="single" w:sz="4" w:space="0" w:color="auto"/>
            </w:tcBorders>
            <w:shd w:val="clear" w:color="auto" w:fill="auto"/>
            <w:noWrap/>
            <w:vAlign w:val="center"/>
            <w:hideMark/>
          </w:tcPr>
          <w:p w14:paraId="62D54A5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3768210000</w:t>
            </w:r>
          </w:p>
        </w:tc>
        <w:tc>
          <w:tcPr>
            <w:tcW w:w="547" w:type="pct"/>
            <w:tcBorders>
              <w:top w:val="nil"/>
              <w:left w:val="nil"/>
              <w:bottom w:val="single" w:sz="4" w:space="0" w:color="auto"/>
              <w:right w:val="single" w:sz="4" w:space="0" w:color="auto"/>
            </w:tcBorders>
            <w:shd w:val="clear" w:color="auto" w:fill="auto"/>
            <w:noWrap/>
            <w:vAlign w:val="center"/>
            <w:hideMark/>
          </w:tcPr>
          <w:p w14:paraId="2B9198D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96241446</w:t>
            </w:r>
          </w:p>
        </w:tc>
        <w:tc>
          <w:tcPr>
            <w:tcW w:w="3360" w:type="pct"/>
            <w:tcBorders>
              <w:top w:val="nil"/>
              <w:left w:val="nil"/>
              <w:bottom w:val="single" w:sz="4" w:space="0" w:color="auto"/>
              <w:right w:val="single" w:sz="4" w:space="0" w:color="auto"/>
            </w:tcBorders>
            <w:shd w:val="clear" w:color="auto" w:fill="auto"/>
            <w:vAlign w:val="center"/>
            <w:hideMark/>
          </w:tcPr>
          <w:p w14:paraId="0BA2250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GLASBENA ŠOLA SLOVENSKA BISTRICA</w:t>
            </w:r>
          </w:p>
        </w:tc>
      </w:tr>
      <w:tr w:rsidR="00E3750C" w:rsidRPr="00415AB3" w14:paraId="6E64A48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CDEBE2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270</w:t>
            </w:r>
          </w:p>
        </w:tc>
        <w:tc>
          <w:tcPr>
            <w:tcW w:w="705" w:type="pct"/>
            <w:tcBorders>
              <w:top w:val="nil"/>
              <w:left w:val="nil"/>
              <w:bottom w:val="single" w:sz="4" w:space="0" w:color="auto"/>
              <w:right w:val="single" w:sz="4" w:space="0" w:color="auto"/>
            </w:tcBorders>
            <w:shd w:val="clear" w:color="auto" w:fill="auto"/>
            <w:noWrap/>
            <w:vAlign w:val="center"/>
            <w:hideMark/>
          </w:tcPr>
          <w:p w14:paraId="0832CE3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5087767000</w:t>
            </w:r>
          </w:p>
        </w:tc>
        <w:tc>
          <w:tcPr>
            <w:tcW w:w="547" w:type="pct"/>
            <w:tcBorders>
              <w:top w:val="nil"/>
              <w:left w:val="nil"/>
              <w:bottom w:val="single" w:sz="4" w:space="0" w:color="auto"/>
              <w:right w:val="single" w:sz="4" w:space="0" w:color="auto"/>
            </w:tcBorders>
            <w:shd w:val="clear" w:color="auto" w:fill="auto"/>
            <w:noWrap/>
            <w:vAlign w:val="center"/>
            <w:hideMark/>
          </w:tcPr>
          <w:p w14:paraId="201DF63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70401268</w:t>
            </w:r>
          </w:p>
        </w:tc>
        <w:tc>
          <w:tcPr>
            <w:tcW w:w="3360" w:type="pct"/>
            <w:tcBorders>
              <w:top w:val="nil"/>
              <w:left w:val="nil"/>
              <w:bottom w:val="single" w:sz="4" w:space="0" w:color="auto"/>
              <w:right w:val="single" w:sz="4" w:space="0" w:color="auto"/>
            </w:tcBorders>
            <w:shd w:val="clear" w:color="auto" w:fill="auto"/>
            <w:vAlign w:val="center"/>
            <w:hideMark/>
          </w:tcPr>
          <w:p w14:paraId="387B547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GLASBENA ŠOLA SLOVENSKE KONJICE</w:t>
            </w:r>
          </w:p>
        </w:tc>
      </w:tr>
      <w:tr w:rsidR="00E3750C" w:rsidRPr="00415AB3" w14:paraId="1AA4250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608076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271</w:t>
            </w:r>
          </w:p>
        </w:tc>
        <w:tc>
          <w:tcPr>
            <w:tcW w:w="705" w:type="pct"/>
            <w:tcBorders>
              <w:top w:val="nil"/>
              <w:left w:val="nil"/>
              <w:bottom w:val="single" w:sz="4" w:space="0" w:color="auto"/>
              <w:right w:val="single" w:sz="4" w:space="0" w:color="auto"/>
            </w:tcBorders>
            <w:shd w:val="clear" w:color="auto" w:fill="auto"/>
            <w:noWrap/>
            <w:vAlign w:val="center"/>
            <w:hideMark/>
          </w:tcPr>
          <w:p w14:paraId="1D112E7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5087899000</w:t>
            </w:r>
          </w:p>
        </w:tc>
        <w:tc>
          <w:tcPr>
            <w:tcW w:w="547" w:type="pct"/>
            <w:tcBorders>
              <w:top w:val="nil"/>
              <w:left w:val="nil"/>
              <w:bottom w:val="single" w:sz="4" w:space="0" w:color="auto"/>
              <w:right w:val="single" w:sz="4" w:space="0" w:color="auto"/>
            </w:tcBorders>
            <w:shd w:val="clear" w:color="auto" w:fill="auto"/>
            <w:noWrap/>
            <w:vAlign w:val="center"/>
            <w:hideMark/>
          </w:tcPr>
          <w:p w14:paraId="37309DF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89665503</w:t>
            </w:r>
          </w:p>
        </w:tc>
        <w:tc>
          <w:tcPr>
            <w:tcW w:w="3360" w:type="pct"/>
            <w:tcBorders>
              <w:top w:val="nil"/>
              <w:left w:val="nil"/>
              <w:bottom w:val="single" w:sz="4" w:space="0" w:color="auto"/>
              <w:right w:val="single" w:sz="4" w:space="0" w:color="auto"/>
            </w:tcBorders>
            <w:shd w:val="clear" w:color="auto" w:fill="auto"/>
            <w:vAlign w:val="center"/>
            <w:hideMark/>
          </w:tcPr>
          <w:p w14:paraId="5F27F30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GLASBENA ŠOLA ŠKOFJA LOKA</w:t>
            </w:r>
          </w:p>
        </w:tc>
      </w:tr>
      <w:tr w:rsidR="00E3750C" w:rsidRPr="00415AB3" w14:paraId="4692B68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62D0ED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272</w:t>
            </w:r>
          </w:p>
        </w:tc>
        <w:tc>
          <w:tcPr>
            <w:tcW w:w="705" w:type="pct"/>
            <w:tcBorders>
              <w:top w:val="nil"/>
              <w:left w:val="nil"/>
              <w:bottom w:val="single" w:sz="4" w:space="0" w:color="auto"/>
              <w:right w:val="single" w:sz="4" w:space="0" w:color="auto"/>
            </w:tcBorders>
            <w:shd w:val="clear" w:color="auto" w:fill="auto"/>
            <w:noWrap/>
            <w:vAlign w:val="center"/>
            <w:hideMark/>
          </w:tcPr>
          <w:p w14:paraId="299F997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5690919000</w:t>
            </w:r>
          </w:p>
        </w:tc>
        <w:tc>
          <w:tcPr>
            <w:tcW w:w="547" w:type="pct"/>
            <w:tcBorders>
              <w:top w:val="nil"/>
              <w:left w:val="nil"/>
              <w:bottom w:val="single" w:sz="4" w:space="0" w:color="auto"/>
              <w:right w:val="single" w:sz="4" w:space="0" w:color="auto"/>
            </w:tcBorders>
            <w:shd w:val="clear" w:color="auto" w:fill="auto"/>
            <w:noWrap/>
            <w:vAlign w:val="center"/>
            <w:hideMark/>
          </w:tcPr>
          <w:p w14:paraId="6ACF1CA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23727381</w:t>
            </w:r>
          </w:p>
        </w:tc>
        <w:tc>
          <w:tcPr>
            <w:tcW w:w="3360" w:type="pct"/>
            <w:tcBorders>
              <w:top w:val="nil"/>
              <w:left w:val="nil"/>
              <w:bottom w:val="single" w:sz="4" w:space="0" w:color="auto"/>
              <w:right w:val="single" w:sz="4" w:space="0" w:color="auto"/>
            </w:tcBorders>
            <w:shd w:val="clear" w:color="auto" w:fill="auto"/>
            <w:vAlign w:val="center"/>
            <w:hideMark/>
          </w:tcPr>
          <w:p w14:paraId="268B3C3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GLASBENA ŠOLA TOLMIN</w:t>
            </w:r>
          </w:p>
        </w:tc>
      </w:tr>
      <w:tr w:rsidR="00E3750C" w:rsidRPr="00415AB3" w14:paraId="43BD035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570D54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273</w:t>
            </w:r>
          </w:p>
        </w:tc>
        <w:tc>
          <w:tcPr>
            <w:tcW w:w="705" w:type="pct"/>
            <w:tcBorders>
              <w:top w:val="nil"/>
              <w:left w:val="nil"/>
              <w:bottom w:val="single" w:sz="4" w:space="0" w:color="auto"/>
              <w:right w:val="single" w:sz="4" w:space="0" w:color="auto"/>
            </w:tcBorders>
            <w:shd w:val="clear" w:color="auto" w:fill="auto"/>
            <w:noWrap/>
            <w:vAlign w:val="center"/>
            <w:hideMark/>
          </w:tcPr>
          <w:p w14:paraId="54B39B4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5088054000</w:t>
            </w:r>
          </w:p>
        </w:tc>
        <w:tc>
          <w:tcPr>
            <w:tcW w:w="547" w:type="pct"/>
            <w:tcBorders>
              <w:top w:val="nil"/>
              <w:left w:val="nil"/>
              <w:bottom w:val="single" w:sz="4" w:space="0" w:color="auto"/>
              <w:right w:val="single" w:sz="4" w:space="0" w:color="auto"/>
            </w:tcBorders>
            <w:shd w:val="clear" w:color="auto" w:fill="auto"/>
            <w:noWrap/>
            <w:vAlign w:val="center"/>
            <w:hideMark/>
          </w:tcPr>
          <w:p w14:paraId="0959B8E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45428271</w:t>
            </w:r>
          </w:p>
        </w:tc>
        <w:tc>
          <w:tcPr>
            <w:tcW w:w="3360" w:type="pct"/>
            <w:tcBorders>
              <w:top w:val="nil"/>
              <w:left w:val="nil"/>
              <w:bottom w:val="single" w:sz="4" w:space="0" w:color="auto"/>
              <w:right w:val="single" w:sz="4" w:space="0" w:color="auto"/>
            </w:tcBorders>
            <w:shd w:val="clear" w:color="auto" w:fill="auto"/>
            <w:vAlign w:val="center"/>
            <w:hideMark/>
          </w:tcPr>
          <w:p w14:paraId="52167CC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GLASBENA ŠOLA TRBOVLJE</w:t>
            </w:r>
          </w:p>
        </w:tc>
      </w:tr>
      <w:tr w:rsidR="00E3750C" w:rsidRPr="00415AB3" w14:paraId="446FBF3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5359A1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274</w:t>
            </w:r>
          </w:p>
        </w:tc>
        <w:tc>
          <w:tcPr>
            <w:tcW w:w="705" w:type="pct"/>
            <w:tcBorders>
              <w:top w:val="nil"/>
              <w:left w:val="nil"/>
              <w:bottom w:val="single" w:sz="4" w:space="0" w:color="auto"/>
              <w:right w:val="single" w:sz="4" w:space="0" w:color="auto"/>
            </w:tcBorders>
            <w:shd w:val="clear" w:color="auto" w:fill="auto"/>
            <w:noWrap/>
            <w:vAlign w:val="center"/>
            <w:hideMark/>
          </w:tcPr>
          <w:p w14:paraId="34651F6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5796008000</w:t>
            </w:r>
          </w:p>
        </w:tc>
        <w:tc>
          <w:tcPr>
            <w:tcW w:w="547" w:type="pct"/>
            <w:tcBorders>
              <w:top w:val="nil"/>
              <w:left w:val="nil"/>
              <w:bottom w:val="single" w:sz="4" w:space="0" w:color="auto"/>
              <w:right w:val="single" w:sz="4" w:space="0" w:color="auto"/>
            </w:tcBorders>
            <w:shd w:val="clear" w:color="auto" w:fill="auto"/>
            <w:noWrap/>
            <w:vAlign w:val="center"/>
            <w:hideMark/>
          </w:tcPr>
          <w:p w14:paraId="26726AF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85946605</w:t>
            </w:r>
          </w:p>
        </w:tc>
        <w:tc>
          <w:tcPr>
            <w:tcW w:w="3360" w:type="pct"/>
            <w:tcBorders>
              <w:top w:val="nil"/>
              <w:left w:val="nil"/>
              <w:bottom w:val="single" w:sz="4" w:space="0" w:color="auto"/>
              <w:right w:val="single" w:sz="4" w:space="0" w:color="auto"/>
            </w:tcBorders>
            <w:shd w:val="clear" w:color="auto" w:fill="auto"/>
            <w:vAlign w:val="center"/>
            <w:hideMark/>
          </w:tcPr>
          <w:p w14:paraId="0E7F4B1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GLASBENA ŠOLA TREBNJE</w:t>
            </w:r>
          </w:p>
        </w:tc>
      </w:tr>
      <w:tr w:rsidR="00E3750C" w:rsidRPr="00415AB3" w14:paraId="5E73E2B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E086ED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275</w:t>
            </w:r>
          </w:p>
        </w:tc>
        <w:tc>
          <w:tcPr>
            <w:tcW w:w="705" w:type="pct"/>
            <w:tcBorders>
              <w:top w:val="nil"/>
              <w:left w:val="nil"/>
              <w:bottom w:val="single" w:sz="4" w:space="0" w:color="auto"/>
              <w:right w:val="single" w:sz="4" w:space="0" w:color="auto"/>
            </w:tcBorders>
            <w:shd w:val="clear" w:color="auto" w:fill="auto"/>
            <w:noWrap/>
            <w:vAlign w:val="center"/>
            <w:hideMark/>
          </w:tcPr>
          <w:p w14:paraId="7491D6B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5656001000</w:t>
            </w:r>
          </w:p>
        </w:tc>
        <w:tc>
          <w:tcPr>
            <w:tcW w:w="547" w:type="pct"/>
            <w:tcBorders>
              <w:top w:val="nil"/>
              <w:left w:val="nil"/>
              <w:bottom w:val="single" w:sz="4" w:space="0" w:color="auto"/>
              <w:right w:val="single" w:sz="4" w:space="0" w:color="auto"/>
            </w:tcBorders>
            <w:shd w:val="clear" w:color="auto" w:fill="auto"/>
            <w:noWrap/>
            <w:vAlign w:val="center"/>
            <w:hideMark/>
          </w:tcPr>
          <w:p w14:paraId="19E83BA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92679064</w:t>
            </w:r>
          </w:p>
        </w:tc>
        <w:tc>
          <w:tcPr>
            <w:tcW w:w="3360" w:type="pct"/>
            <w:tcBorders>
              <w:top w:val="nil"/>
              <w:left w:val="nil"/>
              <w:bottom w:val="single" w:sz="4" w:space="0" w:color="auto"/>
              <w:right w:val="single" w:sz="4" w:space="0" w:color="auto"/>
            </w:tcBorders>
            <w:shd w:val="clear" w:color="auto" w:fill="auto"/>
            <w:vAlign w:val="center"/>
            <w:hideMark/>
          </w:tcPr>
          <w:p w14:paraId="7D45164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GLASBENA ŠOLA TRŽIČ</w:t>
            </w:r>
          </w:p>
        </w:tc>
      </w:tr>
      <w:tr w:rsidR="00E3750C" w:rsidRPr="00415AB3" w14:paraId="5A0FA4A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ECCEFA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276</w:t>
            </w:r>
          </w:p>
        </w:tc>
        <w:tc>
          <w:tcPr>
            <w:tcW w:w="705" w:type="pct"/>
            <w:tcBorders>
              <w:top w:val="nil"/>
              <w:left w:val="nil"/>
              <w:bottom w:val="single" w:sz="4" w:space="0" w:color="auto"/>
              <w:right w:val="single" w:sz="4" w:space="0" w:color="auto"/>
            </w:tcBorders>
            <w:shd w:val="clear" w:color="auto" w:fill="auto"/>
            <w:noWrap/>
            <w:vAlign w:val="center"/>
            <w:hideMark/>
          </w:tcPr>
          <w:p w14:paraId="3711BDF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5082552000</w:t>
            </w:r>
          </w:p>
        </w:tc>
        <w:tc>
          <w:tcPr>
            <w:tcW w:w="547" w:type="pct"/>
            <w:tcBorders>
              <w:top w:val="nil"/>
              <w:left w:val="nil"/>
              <w:bottom w:val="single" w:sz="4" w:space="0" w:color="auto"/>
              <w:right w:val="single" w:sz="4" w:space="0" w:color="auto"/>
            </w:tcBorders>
            <w:shd w:val="clear" w:color="auto" w:fill="auto"/>
            <w:noWrap/>
            <w:vAlign w:val="center"/>
            <w:hideMark/>
          </w:tcPr>
          <w:p w14:paraId="3EB19BB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18855202</w:t>
            </w:r>
          </w:p>
        </w:tc>
        <w:tc>
          <w:tcPr>
            <w:tcW w:w="3360" w:type="pct"/>
            <w:tcBorders>
              <w:top w:val="nil"/>
              <w:left w:val="nil"/>
              <w:bottom w:val="single" w:sz="4" w:space="0" w:color="auto"/>
              <w:right w:val="single" w:sz="4" w:space="0" w:color="auto"/>
            </w:tcBorders>
            <w:shd w:val="clear" w:color="auto" w:fill="auto"/>
            <w:vAlign w:val="center"/>
            <w:hideMark/>
          </w:tcPr>
          <w:p w14:paraId="3EAEFC3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GLASBENA ŠOLA VINKA VODOPIVCA AJDOVŠČINA</w:t>
            </w:r>
          </w:p>
        </w:tc>
      </w:tr>
      <w:tr w:rsidR="00E3750C" w:rsidRPr="00415AB3" w14:paraId="214BC1B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52D45A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277</w:t>
            </w:r>
          </w:p>
        </w:tc>
        <w:tc>
          <w:tcPr>
            <w:tcW w:w="705" w:type="pct"/>
            <w:tcBorders>
              <w:top w:val="nil"/>
              <w:left w:val="nil"/>
              <w:bottom w:val="single" w:sz="4" w:space="0" w:color="auto"/>
              <w:right w:val="single" w:sz="4" w:space="0" w:color="auto"/>
            </w:tcBorders>
            <w:shd w:val="clear" w:color="auto" w:fill="auto"/>
            <w:noWrap/>
            <w:vAlign w:val="center"/>
            <w:hideMark/>
          </w:tcPr>
          <w:p w14:paraId="54D527F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5009090000</w:t>
            </w:r>
          </w:p>
        </w:tc>
        <w:tc>
          <w:tcPr>
            <w:tcW w:w="547" w:type="pct"/>
            <w:tcBorders>
              <w:top w:val="nil"/>
              <w:left w:val="nil"/>
              <w:bottom w:val="single" w:sz="4" w:space="0" w:color="auto"/>
              <w:right w:val="single" w:sz="4" w:space="0" w:color="auto"/>
            </w:tcBorders>
            <w:shd w:val="clear" w:color="auto" w:fill="auto"/>
            <w:noWrap/>
            <w:vAlign w:val="center"/>
            <w:hideMark/>
          </w:tcPr>
          <w:p w14:paraId="106A75C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16334213</w:t>
            </w:r>
          </w:p>
        </w:tc>
        <w:tc>
          <w:tcPr>
            <w:tcW w:w="3360" w:type="pct"/>
            <w:tcBorders>
              <w:top w:val="nil"/>
              <w:left w:val="nil"/>
              <w:bottom w:val="single" w:sz="4" w:space="0" w:color="auto"/>
              <w:right w:val="single" w:sz="4" w:space="0" w:color="auto"/>
            </w:tcBorders>
            <w:shd w:val="clear" w:color="auto" w:fill="auto"/>
            <w:vAlign w:val="center"/>
            <w:hideMark/>
          </w:tcPr>
          <w:p w14:paraId="5F35780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GLASBENA ŠOLA VRHNIKA</w:t>
            </w:r>
          </w:p>
        </w:tc>
      </w:tr>
      <w:tr w:rsidR="00E3750C" w:rsidRPr="00415AB3" w14:paraId="0068AB0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252B93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278</w:t>
            </w:r>
          </w:p>
        </w:tc>
        <w:tc>
          <w:tcPr>
            <w:tcW w:w="705" w:type="pct"/>
            <w:tcBorders>
              <w:top w:val="nil"/>
              <w:left w:val="nil"/>
              <w:bottom w:val="single" w:sz="4" w:space="0" w:color="auto"/>
              <w:right w:val="single" w:sz="4" w:space="0" w:color="auto"/>
            </w:tcBorders>
            <w:shd w:val="clear" w:color="auto" w:fill="auto"/>
            <w:noWrap/>
            <w:vAlign w:val="center"/>
            <w:hideMark/>
          </w:tcPr>
          <w:p w14:paraId="6A98F80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5088437000</w:t>
            </w:r>
          </w:p>
        </w:tc>
        <w:tc>
          <w:tcPr>
            <w:tcW w:w="547" w:type="pct"/>
            <w:tcBorders>
              <w:top w:val="nil"/>
              <w:left w:val="nil"/>
              <w:bottom w:val="single" w:sz="4" w:space="0" w:color="auto"/>
              <w:right w:val="single" w:sz="4" w:space="0" w:color="auto"/>
            </w:tcBorders>
            <w:shd w:val="clear" w:color="auto" w:fill="auto"/>
            <w:noWrap/>
            <w:vAlign w:val="center"/>
            <w:hideMark/>
          </w:tcPr>
          <w:p w14:paraId="09701E7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67004415</w:t>
            </w:r>
          </w:p>
        </w:tc>
        <w:tc>
          <w:tcPr>
            <w:tcW w:w="3360" w:type="pct"/>
            <w:tcBorders>
              <w:top w:val="nil"/>
              <w:left w:val="nil"/>
              <w:bottom w:val="single" w:sz="4" w:space="0" w:color="auto"/>
              <w:right w:val="single" w:sz="4" w:space="0" w:color="auto"/>
            </w:tcBorders>
            <w:shd w:val="clear" w:color="auto" w:fill="auto"/>
            <w:vAlign w:val="center"/>
            <w:hideMark/>
          </w:tcPr>
          <w:p w14:paraId="2D4D0FE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GLASBENA ŠOLA ZAGORJE OB SAVI</w:t>
            </w:r>
          </w:p>
        </w:tc>
      </w:tr>
      <w:tr w:rsidR="00E3750C" w:rsidRPr="00415AB3" w14:paraId="45A4CF8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A75DA4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279</w:t>
            </w:r>
          </w:p>
        </w:tc>
        <w:tc>
          <w:tcPr>
            <w:tcW w:w="705" w:type="pct"/>
            <w:tcBorders>
              <w:top w:val="nil"/>
              <w:left w:val="nil"/>
              <w:bottom w:val="single" w:sz="4" w:space="0" w:color="auto"/>
              <w:right w:val="single" w:sz="4" w:space="0" w:color="auto"/>
            </w:tcBorders>
            <w:shd w:val="clear" w:color="auto" w:fill="auto"/>
            <w:noWrap/>
            <w:vAlign w:val="center"/>
            <w:hideMark/>
          </w:tcPr>
          <w:p w14:paraId="26447CA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9020047000</w:t>
            </w:r>
          </w:p>
        </w:tc>
        <w:tc>
          <w:tcPr>
            <w:tcW w:w="547" w:type="pct"/>
            <w:tcBorders>
              <w:top w:val="nil"/>
              <w:left w:val="nil"/>
              <w:bottom w:val="single" w:sz="4" w:space="0" w:color="auto"/>
              <w:right w:val="single" w:sz="4" w:space="0" w:color="auto"/>
            </w:tcBorders>
            <w:shd w:val="clear" w:color="auto" w:fill="auto"/>
            <w:noWrap/>
            <w:vAlign w:val="center"/>
            <w:hideMark/>
          </w:tcPr>
          <w:p w14:paraId="2C6E581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26854872</w:t>
            </w:r>
          </w:p>
        </w:tc>
        <w:tc>
          <w:tcPr>
            <w:tcW w:w="3360" w:type="pct"/>
            <w:tcBorders>
              <w:top w:val="nil"/>
              <w:left w:val="nil"/>
              <w:bottom w:val="single" w:sz="4" w:space="0" w:color="auto"/>
              <w:right w:val="single" w:sz="4" w:space="0" w:color="auto"/>
            </w:tcBorders>
            <w:shd w:val="clear" w:color="auto" w:fill="auto"/>
            <w:vAlign w:val="center"/>
            <w:hideMark/>
          </w:tcPr>
          <w:p w14:paraId="2035A91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GO! 2025 - EVROPSKA PRESTOLNICA KULTURE, NOVA GORICA</w:t>
            </w:r>
          </w:p>
        </w:tc>
      </w:tr>
      <w:tr w:rsidR="00E3750C" w:rsidRPr="00415AB3" w14:paraId="74B8916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EBAC87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280</w:t>
            </w:r>
          </w:p>
        </w:tc>
        <w:tc>
          <w:tcPr>
            <w:tcW w:w="705" w:type="pct"/>
            <w:tcBorders>
              <w:top w:val="nil"/>
              <w:left w:val="nil"/>
              <w:bottom w:val="single" w:sz="4" w:space="0" w:color="auto"/>
              <w:right w:val="single" w:sz="4" w:space="0" w:color="auto"/>
            </w:tcBorders>
            <w:shd w:val="clear" w:color="auto" w:fill="auto"/>
            <w:noWrap/>
            <w:vAlign w:val="center"/>
            <w:hideMark/>
          </w:tcPr>
          <w:p w14:paraId="3EA91CD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5052530000</w:t>
            </w:r>
          </w:p>
        </w:tc>
        <w:tc>
          <w:tcPr>
            <w:tcW w:w="547" w:type="pct"/>
            <w:tcBorders>
              <w:top w:val="nil"/>
              <w:left w:val="nil"/>
              <w:bottom w:val="single" w:sz="4" w:space="0" w:color="auto"/>
              <w:right w:val="single" w:sz="4" w:space="0" w:color="auto"/>
            </w:tcBorders>
            <w:shd w:val="clear" w:color="auto" w:fill="auto"/>
            <w:noWrap/>
            <w:vAlign w:val="center"/>
            <w:hideMark/>
          </w:tcPr>
          <w:p w14:paraId="78C4A3B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21498954</w:t>
            </w:r>
          </w:p>
        </w:tc>
        <w:tc>
          <w:tcPr>
            <w:tcW w:w="3360" w:type="pct"/>
            <w:tcBorders>
              <w:top w:val="nil"/>
              <w:left w:val="nil"/>
              <w:bottom w:val="single" w:sz="4" w:space="0" w:color="auto"/>
              <w:right w:val="single" w:sz="4" w:space="0" w:color="auto"/>
            </w:tcBorders>
            <w:shd w:val="clear" w:color="auto" w:fill="auto"/>
            <w:vAlign w:val="center"/>
            <w:hideMark/>
          </w:tcPr>
          <w:p w14:paraId="2AC8CEF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GORENJSKI MUZEJ</w:t>
            </w:r>
          </w:p>
        </w:tc>
      </w:tr>
      <w:tr w:rsidR="00E3750C" w:rsidRPr="00415AB3" w14:paraId="3FE6DE3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7AEF4A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281</w:t>
            </w:r>
          </w:p>
        </w:tc>
        <w:tc>
          <w:tcPr>
            <w:tcW w:w="705" w:type="pct"/>
            <w:tcBorders>
              <w:top w:val="nil"/>
              <w:left w:val="nil"/>
              <w:bottom w:val="single" w:sz="4" w:space="0" w:color="auto"/>
              <w:right w:val="single" w:sz="4" w:space="0" w:color="auto"/>
            </w:tcBorders>
            <w:shd w:val="clear" w:color="auto" w:fill="auto"/>
            <w:noWrap/>
            <w:vAlign w:val="center"/>
            <w:hideMark/>
          </w:tcPr>
          <w:p w14:paraId="3DEDB68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5052777000</w:t>
            </w:r>
          </w:p>
        </w:tc>
        <w:tc>
          <w:tcPr>
            <w:tcW w:w="547" w:type="pct"/>
            <w:tcBorders>
              <w:top w:val="nil"/>
              <w:left w:val="nil"/>
              <w:bottom w:val="single" w:sz="4" w:space="0" w:color="auto"/>
              <w:right w:val="single" w:sz="4" w:space="0" w:color="auto"/>
            </w:tcBorders>
            <w:shd w:val="clear" w:color="auto" w:fill="auto"/>
            <w:noWrap/>
            <w:vAlign w:val="center"/>
            <w:hideMark/>
          </w:tcPr>
          <w:p w14:paraId="637FB0B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27962547</w:t>
            </w:r>
          </w:p>
        </w:tc>
        <w:tc>
          <w:tcPr>
            <w:tcW w:w="3360" w:type="pct"/>
            <w:tcBorders>
              <w:top w:val="nil"/>
              <w:left w:val="nil"/>
              <w:bottom w:val="single" w:sz="4" w:space="0" w:color="auto"/>
              <w:right w:val="single" w:sz="4" w:space="0" w:color="auto"/>
            </w:tcBorders>
            <w:shd w:val="clear" w:color="auto" w:fill="auto"/>
            <w:vAlign w:val="center"/>
            <w:hideMark/>
          </w:tcPr>
          <w:p w14:paraId="34ABDA6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GORIŠKA KNJIŽNICA FRANCETA BEVKA NOVA GORICA</w:t>
            </w:r>
          </w:p>
        </w:tc>
      </w:tr>
      <w:tr w:rsidR="00E3750C" w:rsidRPr="00415AB3" w14:paraId="68CEA86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6E899D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282</w:t>
            </w:r>
          </w:p>
        </w:tc>
        <w:tc>
          <w:tcPr>
            <w:tcW w:w="705" w:type="pct"/>
            <w:tcBorders>
              <w:top w:val="nil"/>
              <w:left w:val="nil"/>
              <w:bottom w:val="single" w:sz="4" w:space="0" w:color="auto"/>
              <w:right w:val="single" w:sz="4" w:space="0" w:color="auto"/>
            </w:tcBorders>
            <w:shd w:val="clear" w:color="auto" w:fill="auto"/>
            <w:noWrap/>
            <w:vAlign w:val="center"/>
            <w:hideMark/>
          </w:tcPr>
          <w:p w14:paraId="7461774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5054532000</w:t>
            </w:r>
          </w:p>
        </w:tc>
        <w:tc>
          <w:tcPr>
            <w:tcW w:w="547" w:type="pct"/>
            <w:tcBorders>
              <w:top w:val="nil"/>
              <w:left w:val="nil"/>
              <w:bottom w:val="single" w:sz="4" w:space="0" w:color="auto"/>
              <w:right w:val="single" w:sz="4" w:space="0" w:color="auto"/>
            </w:tcBorders>
            <w:shd w:val="clear" w:color="auto" w:fill="auto"/>
            <w:noWrap/>
            <w:vAlign w:val="center"/>
            <w:hideMark/>
          </w:tcPr>
          <w:p w14:paraId="5A290FB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35629711</w:t>
            </w:r>
          </w:p>
        </w:tc>
        <w:tc>
          <w:tcPr>
            <w:tcW w:w="3360" w:type="pct"/>
            <w:tcBorders>
              <w:top w:val="nil"/>
              <w:left w:val="nil"/>
              <w:bottom w:val="single" w:sz="4" w:space="0" w:color="auto"/>
              <w:right w:val="single" w:sz="4" w:space="0" w:color="auto"/>
            </w:tcBorders>
            <w:shd w:val="clear" w:color="auto" w:fill="auto"/>
            <w:vAlign w:val="center"/>
            <w:hideMark/>
          </w:tcPr>
          <w:p w14:paraId="744DD41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GORIŠKA LEKARNA NOVA GORICA</w:t>
            </w:r>
          </w:p>
        </w:tc>
      </w:tr>
      <w:tr w:rsidR="00E3750C" w:rsidRPr="00415AB3" w14:paraId="7966882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B1EA79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283</w:t>
            </w:r>
          </w:p>
        </w:tc>
        <w:tc>
          <w:tcPr>
            <w:tcW w:w="705" w:type="pct"/>
            <w:tcBorders>
              <w:top w:val="nil"/>
              <w:left w:val="nil"/>
              <w:bottom w:val="single" w:sz="4" w:space="0" w:color="auto"/>
              <w:right w:val="single" w:sz="4" w:space="0" w:color="auto"/>
            </w:tcBorders>
            <w:shd w:val="clear" w:color="auto" w:fill="auto"/>
            <w:noWrap/>
            <w:vAlign w:val="center"/>
            <w:hideMark/>
          </w:tcPr>
          <w:p w14:paraId="4211477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2196719000</w:t>
            </w:r>
          </w:p>
        </w:tc>
        <w:tc>
          <w:tcPr>
            <w:tcW w:w="547" w:type="pct"/>
            <w:tcBorders>
              <w:top w:val="nil"/>
              <w:left w:val="nil"/>
              <w:bottom w:val="single" w:sz="4" w:space="0" w:color="auto"/>
              <w:right w:val="single" w:sz="4" w:space="0" w:color="auto"/>
            </w:tcBorders>
            <w:shd w:val="clear" w:color="auto" w:fill="auto"/>
            <w:noWrap/>
            <w:vAlign w:val="center"/>
            <w:hideMark/>
          </w:tcPr>
          <w:p w14:paraId="2BEE9B3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78059038</w:t>
            </w:r>
          </w:p>
        </w:tc>
        <w:tc>
          <w:tcPr>
            <w:tcW w:w="3360" w:type="pct"/>
            <w:tcBorders>
              <w:top w:val="nil"/>
              <w:left w:val="nil"/>
              <w:bottom w:val="single" w:sz="4" w:space="0" w:color="auto"/>
              <w:right w:val="single" w:sz="4" w:space="0" w:color="auto"/>
            </w:tcBorders>
            <w:shd w:val="clear" w:color="auto" w:fill="auto"/>
            <w:vAlign w:val="center"/>
            <w:hideMark/>
          </w:tcPr>
          <w:p w14:paraId="7BC616D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GORIŠKA LOKALNA ENERGETSKA AGENCIJA, NOVA GORICA</w:t>
            </w:r>
          </w:p>
        </w:tc>
      </w:tr>
      <w:tr w:rsidR="00E3750C" w:rsidRPr="00415AB3" w14:paraId="3E596F0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D82F2F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284</w:t>
            </w:r>
          </w:p>
        </w:tc>
        <w:tc>
          <w:tcPr>
            <w:tcW w:w="705" w:type="pct"/>
            <w:tcBorders>
              <w:top w:val="nil"/>
              <w:left w:val="nil"/>
              <w:bottom w:val="single" w:sz="4" w:space="0" w:color="auto"/>
              <w:right w:val="single" w:sz="4" w:space="0" w:color="auto"/>
            </w:tcBorders>
            <w:shd w:val="clear" w:color="auto" w:fill="auto"/>
            <w:noWrap/>
            <w:vAlign w:val="center"/>
            <w:hideMark/>
          </w:tcPr>
          <w:p w14:paraId="53B119F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5052173000</w:t>
            </w:r>
          </w:p>
        </w:tc>
        <w:tc>
          <w:tcPr>
            <w:tcW w:w="547" w:type="pct"/>
            <w:tcBorders>
              <w:top w:val="nil"/>
              <w:left w:val="nil"/>
              <w:bottom w:val="single" w:sz="4" w:space="0" w:color="auto"/>
              <w:right w:val="single" w:sz="4" w:space="0" w:color="auto"/>
            </w:tcBorders>
            <w:shd w:val="clear" w:color="auto" w:fill="auto"/>
            <w:noWrap/>
            <w:vAlign w:val="center"/>
            <w:hideMark/>
          </w:tcPr>
          <w:p w14:paraId="4C3D35C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20443625</w:t>
            </w:r>
          </w:p>
        </w:tc>
        <w:tc>
          <w:tcPr>
            <w:tcW w:w="3360" w:type="pct"/>
            <w:tcBorders>
              <w:top w:val="nil"/>
              <w:left w:val="nil"/>
              <w:bottom w:val="single" w:sz="4" w:space="0" w:color="auto"/>
              <w:right w:val="single" w:sz="4" w:space="0" w:color="auto"/>
            </w:tcBorders>
            <w:shd w:val="clear" w:color="auto" w:fill="auto"/>
            <w:vAlign w:val="center"/>
            <w:hideMark/>
          </w:tcPr>
          <w:p w14:paraId="6343E29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GORIŠKI MUZEJ KROMBERK - NOVA GORICA</w:t>
            </w:r>
          </w:p>
        </w:tc>
      </w:tr>
      <w:tr w:rsidR="00E3750C" w:rsidRPr="00415AB3" w14:paraId="0191EB2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805897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285</w:t>
            </w:r>
          </w:p>
        </w:tc>
        <w:tc>
          <w:tcPr>
            <w:tcW w:w="705" w:type="pct"/>
            <w:tcBorders>
              <w:top w:val="nil"/>
              <w:left w:val="nil"/>
              <w:bottom w:val="single" w:sz="4" w:space="0" w:color="auto"/>
              <w:right w:val="single" w:sz="4" w:space="0" w:color="auto"/>
            </w:tcBorders>
            <w:shd w:val="clear" w:color="auto" w:fill="auto"/>
            <w:noWrap/>
            <w:vAlign w:val="center"/>
            <w:hideMark/>
          </w:tcPr>
          <w:p w14:paraId="57780C0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5541255000</w:t>
            </w:r>
          </w:p>
        </w:tc>
        <w:tc>
          <w:tcPr>
            <w:tcW w:w="547" w:type="pct"/>
            <w:tcBorders>
              <w:top w:val="nil"/>
              <w:left w:val="nil"/>
              <w:bottom w:val="single" w:sz="4" w:space="0" w:color="auto"/>
              <w:right w:val="single" w:sz="4" w:space="0" w:color="auto"/>
            </w:tcBorders>
            <w:shd w:val="clear" w:color="auto" w:fill="auto"/>
            <w:noWrap/>
            <w:vAlign w:val="center"/>
            <w:hideMark/>
          </w:tcPr>
          <w:p w14:paraId="337221F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63347300</w:t>
            </w:r>
          </w:p>
        </w:tc>
        <w:tc>
          <w:tcPr>
            <w:tcW w:w="3360" w:type="pct"/>
            <w:tcBorders>
              <w:top w:val="nil"/>
              <w:left w:val="nil"/>
              <w:bottom w:val="single" w:sz="4" w:space="0" w:color="auto"/>
              <w:right w:val="single" w:sz="4" w:space="0" w:color="auto"/>
            </w:tcBorders>
            <w:shd w:val="clear" w:color="auto" w:fill="auto"/>
            <w:vAlign w:val="center"/>
            <w:hideMark/>
          </w:tcPr>
          <w:p w14:paraId="3C8CD34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GORNJESAVSKI MUZEJ JESENICE</w:t>
            </w:r>
          </w:p>
        </w:tc>
      </w:tr>
      <w:tr w:rsidR="00E3750C" w:rsidRPr="00415AB3" w14:paraId="2A5DAB1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5F76FB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286</w:t>
            </w:r>
          </w:p>
        </w:tc>
        <w:tc>
          <w:tcPr>
            <w:tcW w:w="705" w:type="pct"/>
            <w:tcBorders>
              <w:top w:val="nil"/>
              <w:left w:val="nil"/>
              <w:bottom w:val="single" w:sz="4" w:space="0" w:color="auto"/>
              <w:right w:val="single" w:sz="4" w:space="0" w:color="auto"/>
            </w:tcBorders>
            <w:shd w:val="clear" w:color="auto" w:fill="auto"/>
            <w:noWrap/>
            <w:vAlign w:val="center"/>
            <w:hideMark/>
          </w:tcPr>
          <w:p w14:paraId="1085A7E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5051673000</w:t>
            </w:r>
          </w:p>
        </w:tc>
        <w:tc>
          <w:tcPr>
            <w:tcW w:w="547" w:type="pct"/>
            <w:tcBorders>
              <w:top w:val="nil"/>
              <w:left w:val="nil"/>
              <w:bottom w:val="single" w:sz="4" w:space="0" w:color="auto"/>
              <w:right w:val="single" w:sz="4" w:space="0" w:color="auto"/>
            </w:tcBorders>
            <w:shd w:val="clear" w:color="auto" w:fill="auto"/>
            <w:noWrap/>
            <w:vAlign w:val="center"/>
            <w:hideMark/>
          </w:tcPr>
          <w:p w14:paraId="728842B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37808052</w:t>
            </w:r>
          </w:p>
        </w:tc>
        <w:tc>
          <w:tcPr>
            <w:tcW w:w="3360" w:type="pct"/>
            <w:tcBorders>
              <w:top w:val="nil"/>
              <w:left w:val="nil"/>
              <w:bottom w:val="single" w:sz="4" w:space="0" w:color="auto"/>
              <w:right w:val="single" w:sz="4" w:space="0" w:color="auto"/>
            </w:tcBorders>
            <w:shd w:val="clear" w:color="auto" w:fill="auto"/>
            <w:vAlign w:val="center"/>
            <w:hideMark/>
          </w:tcPr>
          <w:p w14:paraId="7073ED2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GOZDARSKI INŠTITUT SLOVENIJE</w:t>
            </w:r>
          </w:p>
        </w:tc>
      </w:tr>
      <w:tr w:rsidR="00E3750C" w:rsidRPr="00415AB3" w14:paraId="0117DF1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679549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287</w:t>
            </w:r>
          </w:p>
        </w:tc>
        <w:tc>
          <w:tcPr>
            <w:tcW w:w="705" w:type="pct"/>
            <w:tcBorders>
              <w:top w:val="nil"/>
              <w:left w:val="nil"/>
              <w:bottom w:val="single" w:sz="4" w:space="0" w:color="auto"/>
              <w:right w:val="single" w:sz="4" w:space="0" w:color="auto"/>
            </w:tcBorders>
            <w:shd w:val="clear" w:color="auto" w:fill="auto"/>
            <w:noWrap/>
            <w:vAlign w:val="center"/>
            <w:hideMark/>
          </w:tcPr>
          <w:p w14:paraId="57AE15E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6041426000</w:t>
            </w:r>
          </w:p>
        </w:tc>
        <w:tc>
          <w:tcPr>
            <w:tcW w:w="547" w:type="pct"/>
            <w:tcBorders>
              <w:top w:val="nil"/>
              <w:left w:val="nil"/>
              <w:bottom w:val="single" w:sz="4" w:space="0" w:color="auto"/>
              <w:right w:val="single" w:sz="4" w:space="0" w:color="auto"/>
            </w:tcBorders>
            <w:shd w:val="clear" w:color="auto" w:fill="auto"/>
            <w:noWrap/>
            <w:vAlign w:val="center"/>
            <w:hideMark/>
          </w:tcPr>
          <w:p w14:paraId="4C8AB62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17124328</w:t>
            </w:r>
          </w:p>
        </w:tc>
        <w:tc>
          <w:tcPr>
            <w:tcW w:w="3360" w:type="pct"/>
            <w:tcBorders>
              <w:top w:val="nil"/>
              <w:left w:val="nil"/>
              <w:bottom w:val="single" w:sz="4" w:space="0" w:color="auto"/>
              <w:right w:val="single" w:sz="4" w:space="0" w:color="auto"/>
            </w:tcBorders>
            <w:shd w:val="clear" w:color="auto" w:fill="auto"/>
            <w:vAlign w:val="center"/>
            <w:hideMark/>
          </w:tcPr>
          <w:p w14:paraId="007AC65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GRADNJE STARŠE, JAVNO PODJETJE, D.O.O.</w:t>
            </w:r>
          </w:p>
        </w:tc>
      </w:tr>
      <w:tr w:rsidR="00E3750C" w:rsidRPr="00415AB3" w14:paraId="2E01B07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BD5FC8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288</w:t>
            </w:r>
          </w:p>
        </w:tc>
        <w:tc>
          <w:tcPr>
            <w:tcW w:w="705" w:type="pct"/>
            <w:tcBorders>
              <w:top w:val="nil"/>
              <w:left w:val="nil"/>
              <w:bottom w:val="single" w:sz="4" w:space="0" w:color="auto"/>
              <w:right w:val="single" w:sz="4" w:space="0" w:color="auto"/>
            </w:tcBorders>
            <w:shd w:val="clear" w:color="auto" w:fill="auto"/>
            <w:noWrap/>
            <w:vAlign w:val="center"/>
            <w:hideMark/>
          </w:tcPr>
          <w:p w14:paraId="2B467CF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5089107000</w:t>
            </w:r>
          </w:p>
        </w:tc>
        <w:tc>
          <w:tcPr>
            <w:tcW w:w="547" w:type="pct"/>
            <w:tcBorders>
              <w:top w:val="nil"/>
              <w:left w:val="nil"/>
              <w:bottom w:val="single" w:sz="4" w:space="0" w:color="auto"/>
              <w:right w:val="single" w:sz="4" w:space="0" w:color="auto"/>
            </w:tcBorders>
            <w:shd w:val="clear" w:color="auto" w:fill="auto"/>
            <w:noWrap/>
            <w:vAlign w:val="center"/>
            <w:hideMark/>
          </w:tcPr>
          <w:p w14:paraId="4A358CE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46571558</w:t>
            </w:r>
          </w:p>
        </w:tc>
        <w:tc>
          <w:tcPr>
            <w:tcW w:w="3360" w:type="pct"/>
            <w:tcBorders>
              <w:top w:val="nil"/>
              <w:left w:val="nil"/>
              <w:bottom w:val="single" w:sz="4" w:space="0" w:color="auto"/>
              <w:right w:val="single" w:sz="4" w:space="0" w:color="auto"/>
            </w:tcBorders>
            <w:shd w:val="clear" w:color="auto" w:fill="auto"/>
            <w:vAlign w:val="center"/>
            <w:hideMark/>
          </w:tcPr>
          <w:p w14:paraId="036AA9D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GRM NOVO MESTO - CENTER BIOTEHNIKE IN TURIZMA</w:t>
            </w:r>
          </w:p>
        </w:tc>
      </w:tr>
      <w:tr w:rsidR="00E3750C" w:rsidRPr="00415AB3" w14:paraId="654F77E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1DB6A2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289</w:t>
            </w:r>
          </w:p>
        </w:tc>
        <w:tc>
          <w:tcPr>
            <w:tcW w:w="705" w:type="pct"/>
            <w:tcBorders>
              <w:top w:val="nil"/>
              <w:left w:val="nil"/>
              <w:bottom w:val="single" w:sz="4" w:space="0" w:color="auto"/>
              <w:right w:val="single" w:sz="4" w:space="0" w:color="auto"/>
            </w:tcBorders>
            <w:shd w:val="clear" w:color="auto" w:fill="auto"/>
            <w:noWrap/>
            <w:vAlign w:val="center"/>
            <w:hideMark/>
          </w:tcPr>
          <w:p w14:paraId="2984E28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3306763000</w:t>
            </w:r>
          </w:p>
        </w:tc>
        <w:tc>
          <w:tcPr>
            <w:tcW w:w="547" w:type="pct"/>
            <w:tcBorders>
              <w:top w:val="nil"/>
              <w:left w:val="nil"/>
              <w:bottom w:val="single" w:sz="4" w:space="0" w:color="auto"/>
              <w:right w:val="single" w:sz="4" w:space="0" w:color="auto"/>
            </w:tcBorders>
            <w:shd w:val="clear" w:color="auto" w:fill="auto"/>
            <w:noWrap/>
            <w:vAlign w:val="center"/>
            <w:hideMark/>
          </w:tcPr>
          <w:p w14:paraId="69F2B53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20274173</w:t>
            </w:r>
          </w:p>
        </w:tc>
        <w:tc>
          <w:tcPr>
            <w:tcW w:w="3360" w:type="pct"/>
            <w:tcBorders>
              <w:top w:val="nil"/>
              <w:left w:val="nil"/>
              <w:bottom w:val="single" w:sz="4" w:space="0" w:color="auto"/>
              <w:right w:val="single" w:sz="4" w:space="0" w:color="auto"/>
            </w:tcBorders>
            <w:shd w:val="clear" w:color="auto" w:fill="auto"/>
            <w:vAlign w:val="center"/>
            <w:hideMark/>
          </w:tcPr>
          <w:p w14:paraId="1F1E37C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HIDROELEKTRARNE NA SPODNJI SAVI, D.O.O.</w:t>
            </w:r>
          </w:p>
        </w:tc>
      </w:tr>
      <w:tr w:rsidR="00E3750C" w:rsidRPr="00415AB3" w14:paraId="0DE9C8D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4B6ECB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290</w:t>
            </w:r>
          </w:p>
        </w:tc>
        <w:tc>
          <w:tcPr>
            <w:tcW w:w="705" w:type="pct"/>
            <w:tcBorders>
              <w:top w:val="nil"/>
              <w:left w:val="nil"/>
              <w:bottom w:val="single" w:sz="4" w:space="0" w:color="auto"/>
              <w:right w:val="single" w:sz="4" w:space="0" w:color="auto"/>
            </w:tcBorders>
            <w:shd w:val="clear" w:color="auto" w:fill="auto"/>
            <w:noWrap/>
            <w:vAlign w:val="center"/>
            <w:hideMark/>
          </w:tcPr>
          <w:p w14:paraId="68A443F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5025311000</w:t>
            </w:r>
          </w:p>
        </w:tc>
        <w:tc>
          <w:tcPr>
            <w:tcW w:w="547" w:type="pct"/>
            <w:tcBorders>
              <w:top w:val="nil"/>
              <w:left w:val="nil"/>
              <w:bottom w:val="single" w:sz="4" w:space="0" w:color="auto"/>
              <w:right w:val="single" w:sz="4" w:space="0" w:color="auto"/>
            </w:tcBorders>
            <w:shd w:val="clear" w:color="auto" w:fill="auto"/>
            <w:noWrap/>
            <w:vAlign w:val="center"/>
            <w:hideMark/>
          </w:tcPr>
          <w:p w14:paraId="00CFE42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72828013</w:t>
            </w:r>
          </w:p>
        </w:tc>
        <w:tc>
          <w:tcPr>
            <w:tcW w:w="3360" w:type="pct"/>
            <w:tcBorders>
              <w:top w:val="nil"/>
              <w:left w:val="nil"/>
              <w:bottom w:val="single" w:sz="4" w:space="0" w:color="auto"/>
              <w:right w:val="single" w:sz="4" w:space="0" w:color="auto"/>
            </w:tcBorders>
            <w:shd w:val="clear" w:color="auto" w:fill="auto"/>
            <w:vAlign w:val="center"/>
            <w:hideMark/>
          </w:tcPr>
          <w:p w14:paraId="4271417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HOLDING KOBILARNA LIPICA, D.O.O.</w:t>
            </w:r>
          </w:p>
        </w:tc>
      </w:tr>
      <w:tr w:rsidR="00E3750C" w:rsidRPr="00415AB3" w14:paraId="2FAA785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CCA345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291</w:t>
            </w:r>
          </w:p>
        </w:tc>
        <w:tc>
          <w:tcPr>
            <w:tcW w:w="705" w:type="pct"/>
            <w:tcBorders>
              <w:top w:val="nil"/>
              <w:left w:val="nil"/>
              <w:bottom w:val="single" w:sz="4" w:space="0" w:color="auto"/>
              <w:right w:val="single" w:sz="4" w:space="0" w:color="auto"/>
            </w:tcBorders>
            <w:shd w:val="clear" w:color="auto" w:fill="auto"/>
            <w:noWrap/>
            <w:vAlign w:val="center"/>
            <w:hideMark/>
          </w:tcPr>
          <w:p w14:paraId="5447112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1662970000</w:t>
            </w:r>
          </w:p>
        </w:tc>
        <w:tc>
          <w:tcPr>
            <w:tcW w:w="547" w:type="pct"/>
            <w:tcBorders>
              <w:top w:val="nil"/>
              <w:left w:val="nil"/>
              <w:bottom w:val="single" w:sz="4" w:space="0" w:color="auto"/>
              <w:right w:val="single" w:sz="4" w:space="0" w:color="auto"/>
            </w:tcBorders>
            <w:shd w:val="clear" w:color="auto" w:fill="auto"/>
            <w:noWrap/>
            <w:vAlign w:val="center"/>
            <w:hideMark/>
          </w:tcPr>
          <w:p w14:paraId="456AB2D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99666189</w:t>
            </w:r>
          </w:p>
        </w:tc>
        <w:tc>
          <w:tcPr>
            <w:tcW w:w="3360" w:type="pct"/>
            <w:tcBorders>
              <w:top w:val="nil"/>
              <w:left w:val="nil"/>
              <w:bottom w:val="single" w:sz="4" w:space="0" w:color="auto"/>
              <w:right w:val="single" w:sz="4" w:space="0" w:color="auto"/>
            </w:tcBorders>
            <w:shd w:val="clear" w:color="auto" w:fill="auto"/>
            <w:vAlign w:val="center"/>
            <w:hideMark/>
          </w:tcPr>
          <w:p w14:paraId="295B53C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HOLDING SLOVENSKE ELEKTRARNE D.O.O.</w:t>
            </w:r>
          </w:p>
        </w:tc>
      </w:tr>
      <w:tr w:rsidR="00E3750C" w:rsidRPr="00415AB3" w14:paraId="708BAC2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9D7D3D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292</w:t>
            </w:r>
          </w:p>
        </w:tc>
        <w:tc>
          <w:tcPr>
            <w:tcW w:w="705" w:type="pct"/>
            <w:tcBorders>
              <w:top w:val="nil"/>
              <w:left w:val="nil"/>
              <w:bottom w:val="single" w:sz="4" w:space="0" w:color="auto"/>
              <w:right w:val="single" w:sz="4" w:space="0" w:color="auto"/>
            </w:tcBorders>
            <w:shd w:val="clear" w:color="auto" w:fill="auto"/>
            <w:noWrap/>
            <w:vAlign w:val="center"/>
            <w:hideMark/>
          </w:tcPr>
          <w:p w14:paraId="27E77D7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5035511000</w:t>
            </w:r>
          </w:p>
        </w:tc>
        <w:tc>
          <w:tcPr>
            <w:tcW w:w="547" w:type="pct"/>
            <w:tcBorders>
              <w:top w:val="nil"/>
              <w:left w:val="nil"/>
              <w:bottom w:val="single" w:sz="4" w:space="0" w:color="auto"/>
              <w:right w:val="single" w:sz="4" w:space="0" w:color="auto"/>
            </w:tcBorders>
            <w:shd w:val="clear" w:color="auto" w:fill="auto"/>
            <w:noWrap/>
            <w:vAlign w:val="center"/>
            <w:hideMark/>
          </w:tcPr>
          <w:p w14:paraId="76C5BA5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68195346</w:t>
            </w:r>
          </w:p>
        </w:tc>
        <w:tc>
          <w:tcPr>
            <w:tcW w:w="3360" w:type="pct"/>
            <w:tcBorders>
              <w:top w:val="nil"/>
              <w:left w:val="nil"/>
              <w:bottom w:val="single" w:sz="4" w:space="0" w:color="auto"/>
              <w:right w:val="single" w:sz="4" w:space="0" w:color="auto"/>
            </w:tcBorders>
            <w:shd w:val="clear" w:color="auto" w:fill="auto"/>
            <w:vAlign w:val="center"/>
            <w:hideMark/>
          </w:tcPr>
          <w:p w14:paraId="1A8B641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HSE - ENERGETSKA DRUŽBA TRBOVLJE D.O.O.</w:t>
            </w:r>
          </w:p>
        </w:tc>
      </w:tr>
      <w:tr w:rsidR="00E3750C" w:rsidRPr="00415AB3" w14:paraId="72C26CBA"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9595B2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293</w:t>
            </w:r>
          </w:p>
        </w:tc>
        <w:tc>
          <w:tcPr>
            <w:tcW w:w="705" w:type="pct"/>
            <w:tcBorders>
              <w:top w:val="nil"/>
              <w:left w:val="nil"/>
              <w:bottom w:val="single" w:sz="4" w:space="0" w:color="auto"/>
              <w:right w:val="single" w:sz="4" w:space="0" w:color="auto"/>
            </w:tcBorders>
            <w:shd w:val="clear" w:color="auto" w:fill="auto"/>
            <w:noWrap/>
            <w:vAlign w:val="center"/>
            <w:hideMark/>
          </w:tcPr>
          <w:p w14:paraId="340A6CC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1574256000</w:t>
            </w:r>
          </w:p>
        </w:tc>
        <w:tc>
          <w:tcPr>
            <w:tcW w:w="547" w:type="pct"/>
            <w:tcBorders>
              <w:top w:val="nil"/>
              <w:left w:val="nil"/>
              <w:bottom w:val="single" w:sz="4" w:space="0" w:color="auto"/>
              <w:right w:val="single" w:sz="4" w:space="0" w:color="auto"/>
            </w:tcBorders>
            <w:shd w:val="clear" w:color="auto" w:fill="auto"/>
            <w:noWrap/>
            <w:vAlign w:val="center"/>
            <w:hideMark/>
          </w:tcPr>
          <w:p w14:paraId="0EFC4CC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43635750</w:t>
            </w:r>
          </w:p>
        </w:tc>
        <w:tc>
          <w:tcPr>
            <w:tcW w:w="3360" w:type="pct"/>
            <w:tcBorders>
              <w:top w:val="nil"/>
              <w:left w:val="nil"/>
              <w:bottom w:val="single" w:sz="4" w:space="0" w:color="auto"/>
              <w:right w:val="single" w:sz="4" w:space="0" w:color="auto"/>
            </w:tcBorders>
            <w:shd w:val="clear" w:color="auto" w:fill="auto"/>
            <w:vAlign w:val="center"/>
            <w:hideMark/>
          </w:tcPr>
          <w:p w14:paraId="0019A45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HSE INVEST DRUŽBA ZA INŽENIRING IN IZGRADNJO ENERGETSKIH OBJEKTOV D.O.O.</w:t>
            </w:r>
          </w:p>
        </w:tc>
      </w:tr>
      <w:tr w:rsidR="00E3750C" w:rsidRPr="00415AB3" w14:paraId="7706371A"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7D2149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294</w:t>
            </w:r>
          </w:p>
        </w:tc>
        <w:tc>
          <w:tcPr>
            <w:tcW w:w="705" w:type="pct"/>
            <w:tcBorders>
              <w:top w:val="nil"/>
              <w:left w:val="nil"/>
              <w:bottom w:val="single" w:sz="4" w:space="0" w:color="auto"/>
              <w:right w:val="single" w:sz="4" w:space="0" w:color="auto"/>
            </w:tcBorders>
            <w:shd w:val="clear" w:color="auto" w:fill="auto"/>
            <w:noWrap/>
            <w:vAlign w:val="center"/>
            <w:hideMark/>
          </w:tcPr>
          <w:p w14:paraId="416C66B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1470647000</w:t>
            </w:r>
          </w:p>
        </w:tc>
        <w:tc>
          <w:tcPr>
            <w:tcW w:w="547" w:type="pct"/>
            <w:tcBorders>
              <w:top w:val="nil"/>
              <w:left w:val="nil"/>
              <w:bottom w:val="single" w:sz="4" w:space="0" w:color="auto"/>
              <w:right w:val="single" w:sz="4" w:space="0" w:color="auto"/>
            </w:tcBorders>
            <w:shd w:val="clear" w:color="auto" w:fill="auto"/>
            <w:noWrap/>
            <w:vAlign w:val="center"/>
            <w:hideMark/>
          </w:tcPr>
          <w:p w14:paraId="76ADDC2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66669413</w:t>
            </w:r>
          </w:p>
        </w:tc>
        <w:tc>
          <w:tcPr>
            <w:tcW w:w="3360" w:type="pct"/>
            <w:tcBorders>
              <w:top w:val="nil"/>
              <w:left w:val="nil"/>
              <w:bottom w:val="single" w:sz="4" w:space="0" w:color="auto"/>
              <w:right w:val="single" w:sz="4" w:space="0" w:color="auto"/>
            </w:tcBorders>
            <w:shd w:val="clear" w:color="auto" w:fill="auto"/>
            <w:vAlign w:val="center"/>
            <w:hideMark/>
          </w:tcPr>
          <w:p w14:paraId="06E414F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HTZ HARMONIJA TEHNOLOGIJE IN ZNANJA, INVALIDSKO PODJETJE, D.O.O. VELENJE</w:t>
            </w:r>
          </w:p>
        </w:tc>
      </w:tr>
      <w:tr w:rsidR="00E3750C" w:rsidRPr="00415AB3" w14:paraId="432FEF0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47CD0B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295</w:t>
            </w:r>
          </w:p>
        </w:tc>
        <w:tc>
          <w:tcPr>
            <w:tcW w:w="705" w:type="pct"/>
            <w:tcBorders>
              <w:top w:val="nil"/>
              <w:left w:val="nil"/>
              <w:bottom w:val="single" w:sz="4" w:space="0" w:color="auto"/>
              <w:right w:val="single" w:sz="4" w:space="0" w:color="auto"/>
            </w:tcBorders>
            <w:shd w:val="clear" w:color="auto" w:fill="auto"/>
            <w:noWrap/>
            <w:vAlign w:val="center"/>
            <w:hideMark/>
          </w:tcPr>
          <w:p w14:paraId="035ECDA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5073251000</w:t>
            </w:r>
          </w:p>
        </w:tc>
        <w:tc>
          <w:tcPr>
            <w:tcW w:w="547" w:type="pct"/>
            <w:tcBorders>
              <w:top w:val="nil"/>
              <w:left w:val="nil"/>
              <w:bottom w:val="single" w:sz="4" w:space="0" w:color="auto"/>
              <w:right w:val="single" w:sz="4" w:space="0" w:color="auto"/>
            </w:tcBorders>
            <w:shd w:val="clear" w:color="auto" w:fill="auto"/>
            <w:noWrap/>
            <w:vAlign w:val="center"/>
            <w:hideMark/>
          </w:tcPr>
          <w:p w14:paraId="6705223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50590049</w:t>
            </w:r>
          </w:p>
        </w:tc>
        <w:tc>
          <w:tcPr>
            <w:tcW w:w="3360" w:type="pct"/>
            <w:tcBorders>
              <w:top w:val="nil"/>
              <w:left w:val="nil"/>
              <w:bottom w:val="single" w:sz="4" w:space="0" w:color="auto"/>
              <w:right w:val="single" w:sz="4" w:space="0" w:color="auto"/>
            </w:tcBorders>
            <w:shd w:val="clear" w:color="auto" w:fill="auto"/>
            <w:vAlign w:val="center"/>
            <w:hideMark/>
          </w:tcPr>
          <w:p w14:paraId="4AFF676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HYDROVOD D.O.O., DRUŽBA ZA KOMUNALNO DEJAVNOST</w:t>
            </w:r>
          </w:p>
        </w:tc>
      </w:tr>
      <w:tr w:rsidR="00E3750C" w:rsidRPr="00415AB3" w14:paraId="38F8200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0F1DA5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296</w:t>
            </w:r>
          </w:p>
        </w:tc>
        <w:tc>
          <w:tcPr>
            <w:tcW w:w="705" w:type="pct"/>
            <w:tcBorders>
              <w:top w:val="nil"/>
              <w:left w:val="nil"/>
              <w:bottom w:val="single" w:sz="4" w:space="0" w:color="auto"/>
              <w:right w:val="single" w:sz="4" w:space="0" w:color="auto"/>
            </w:tcBorders>
            <w:shd w:val="clear" w:color="auto" w:fill="auto"/>
            <w:noWrap/>
            <w:vAlign w:val="center"/>
            <w:hideMark/>
          </w:tcPr>
          <w:p w14:paraId="79527D5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5084717000</w:t>
            </w:r>
          </w:p>
        </w:tc>
        <w:tc>
          <w:tcPr>
            <w:tcW w:w="547" w:type="pct"/>
            <w:tcBorders>
              <w:top w:val="nil"/>
              <w:left w:val="nil"/>
              <w:bottom w:val="single" w:sz="4" w:space="0" w:color="auto"/>
              <w:right w:val="single" w:sz="4" w:space="0" w:color="auto"/>
            </w:tcBorders>
            <w:shd w:val="clear" w:color="auto" w:fill="auto"/>
            <w:noWrap/>
            <w:vAlign w:val="center"/>
            <w:hideMark/>
          </w:tcPr>
          <w:p w14:paraId="6CA074B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26398303</w:t>
            </w:r>
          </w:p>
        </w:tc>
        <w:tc>
          <w:tcPr>
            <w:tcW w:w="3360" w:type="pct"/>
            <w:tcBorders>
              <w:top w:val="nil"/>
              <w:left w:val="nil"/>
              <w:bottom w:val="single" w:sz="4" w:space="0" w:color="auto"/>
              <w:right w:val="single" w:sz="4" w:space="0" w:color="auto"/>
            </w:tcBorders>
            <w:shd w:val="clear" w:color="auto" w:fill="auto"/>
            <w:vAlign w:val="center"/>
            <w:hideMark/>
          </w:tcPr>
          <w:p w14:paraId="62AA43C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I. GIMNAZIJA V CELJU</w:t>
            </w:r>
          </w:p>
        </w:tc>
      </w:tr>
      <w:tr w:rsidR="00E3750C" w:rsidRPr="00415AB3" w14:paraId="02307DC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1F0D55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297</w:t>
            </w:r>
          </w:p>
        </w:tc>
        <w:tc>
          <w:tcPr>
            <w:tcW w:w="705" w:type="pct"/>
            <w:tcBorders>
              <w:top w:val="nil"/>
              <w:left w:val="nil"/>
              <w:bottom w:val="single" w:sz="4" w:space="0" w:color="auto"/>
              <w:right w:val="single" w:sz="4" w:space="0" w:color="auto"/>
            </w:tcBorders>
            <w:shd w:val="clear" w:color="auto" w:fill="auto"/>
            <w:noWrap/>
            <w:vAlign w:val="center"/>
            <w:hideMark/>
          </w:tcPr>
          <w:p w14:paraId="2F34C0D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5082609000</w:t>
            </w:r>
          </w:p>
        </w:tc>
        <w:tc>
          <w:tcPr>
            <w:tcW w:w="547" w:type="pct"/>
            <w:tcBorders>
              <w:top w:val="nil"/>
              <w:left w:val="nil"/>
              <w:bottom w:val="single" w:sz="4" w:space="0" w:color="auto"/>
              <w:right w:val="single" w:sz="4" w:space="0" w:color="auto"/>
            </w:tcBorders>
            <w:shd w:val="clear" w:color="auto" w:fill="auto"/>
            <w:noWrap/>
            <w:vAlign w:val="center"/>
            <w:hideMark/>
          </w:tcPr>
          <w:p w14:paraId="15D7FE2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90567226</w:t>
            </w:r>
          </w:p>
        </w:tc>
        <w:tc>
          <w:tcPr>
            <w:tcW w:w="3360" w:type="pct"/>
            <w:tcBorders>
              <w:top w:val="nil"/>
              <w:left w:val="nil"/>
              <w:bottom w:val="single" w:sz="4" w:space="0" w:color="auto"/>
              <w:right w:val="single" w:sz="4" w:space="0" w:color="auto"/>
            </w:tcBorders>
            <w:shd w:val="clear" w:color="auto" w:fill="auto"/>
            <w:vAlign w:val="center"/>
            <w:hideMark/>
          </w:tcPr>
          <w:p w14:paraId="1A3F1C6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I. OSNOVNA ŠOLA CELJE</w:t>
            </w:r>
          </w:p>
        </w:tc>
      </w:tr>
      <w:tr w:rsidR="00E3750C" w:rsidRPr="00415AB3" w14:paraId="4B25B79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955C1D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298</w:t>
            </w:r>
          </w:p>
        </w:tc>
        <w:tc>
          <w:tcPr>
            <w:tcW w:w="705" w:type="pct"/>
            <w:tcBorders>
              <w:top w:val="nil"/>
              <w:left w:val="nil"/>
              <w:bottom w:val="single" w:sz="4" w:space="0" w:color="auto"/>
              <w:right w:val="single" w:sz="4" w:space="0" w:color="auto"/>
            </w:tcBorders>
            <w:shd w:val="clear" w:color="auto" w:fill="auto"/>
            <w:noWrap/>
            <w:vAlign w:val="center"/>
            <w:hideMark/>
          </w:tcPr>
          <w:p w14:paraId="09F91AD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5088917000</w:t>
            </w:r>
          </w:p>
        </w:tc>
        <w:tc>
          <w:tcPr>
            <w:tcW w:w="547" w:type="pct"/>
            <w:tcBorders>
              <w:top w:val="nil"/>
              <w:left w:val="nil"/>
              <w:bottom w:val="single" w:sz="4" w:space="0" w:color="auto"/>
              <w:right w:val="single" w:sz="4" w:space="0" w:color="auto"/>
            </w:tcBorders>
            <w:shd w:val="clear" w:color="auto" w:fill="auto"/>
            <w:noWrap/>
            <w:vAlign w:val="center"/>
            <w:hideMark/>
          </w:tcPr>
          <w:p w14:paraId="34875F2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62721046</w:t>
            </w:r>
          </w:p>
        </w:tc>
        <w:tc>
          <w:tcPr>
            <w:tcW w:w="3360" w:type="pct"/>
            <w:tcBorders>
              <w:top w:val="nil"/>
              <w:left w:val="nil"/>
              <w:bottom w:val="single" w:sz="4" w:space="0" w:color="auto"/>
              <w:right w:val="single" w:sz="4" w:space="0" w:color="auto"/>
            </w:tcBorders>
            <w:shd w:val="clear" w:color="auto" w:fill="auto"/>
            <w:vAlign w:val="center"/>
            <w:hideMark/>
          </w:tcPr>
          <w:p w14:paraId="485A4C1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II. GIMNAZIJA MARIBOR</w:t>
            </w:r>
          </w:p>
        </w:tc>
      </w:tr>
      <w:tr w:rsidR="00E3750C" w:rsidRPr="00415AB3" w14:paraId="407290F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1000BC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299</w:t>
            </w:r>
          </w:p>
        </w:tc>
        <w:tc>
          <w:tcPr>
            <w:tcW w:w="705" w:type="pct"/>
            <w:tcBorders>
              <w:top w:val="nil"/>
              <w:left w:val="nil"/>
              <w:bottom w:val="single" w:sz="4" w:space="0" w:color="auto"/>
              <w:right w:val="single" w:sz="4" w:space="0" w:color="auto"/>
            </w:tcBorders>
            <w:shd w:val="clear" w:color="auto" w:fill="auto"/>
            <w:noWrap/>
            <w:vAlign w:val="center"/>
            <w:hideMark/>
          </w:tcPr>
          <w:p w14:paraId="79D0531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5082617000</w:t>
            </w:r>
          </w:p>
        </w:tc>
        <w:tc>
          <w:tcPr>
            <w:tcW w:w="547" w:type="pct"/>
            <w:tcBorders>
              <w:top w:val="nil"/>
              <w:left w:val="nil"/>
              <w:bottom w:val="single" w:sz="4" w:space="0" w:color="auto"/>
              <w:right w:val="single" w:sz="4" w:space="0" w:color="auto"/>
            </w:tcBorders>
            <w:shd w:val="clear" w:color="auto" w:fill="auto"/>
            <w:noWrap/>
            <w:vAlign w:val="center"/>
            <w:hideMark/>
          </w:tcPr>
          <w:p w14:paraId="481080F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18983022</w:t>
            </w:r>
          </w:p>
        </w:tc>
        <w:tc>
          <w:tcPr>
            <w:tcW w:w="3360" w:type="pct"/>
            <w:tcBorders>
              <w:top w:val="nil"/>
              <w:left w:val="nil"/>
              <w:bottom w:val="single" w:sz="4" w:space="0" w:color="auto"/>
              <w:right w:val="single" w:sz="4" w:space="0" w:color="auto"/>
            </w:tcBorders>
            <w:shd w:val="clear" w:color="auto" w:fill="auto"/>
            <w:vAlign w:val="center"/>
            <w:hideMark/>
          </w:tcPr>
          <w:p w14:paraId="3C310AA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II. OSNOVNA ŠOLA CELJE</w:t>
            </w:r>
          </w:p>
        </w:tc>
      </w:tr>
      <w:tr w:rsidR="00E3750C" w:rsidRPr="00415AB3" w14:paraId="6AAAB04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6304DF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300</w:t>
            </w:r>
          </w:p>
        </w:tc>
        <w:tc>
          <w:tcPr>
            <w:tcW w:w="705" w:type="pct"/>
            <w:tcBorders>
              <w:top w:val="nil"/>
              <w:left w:val="nil"/>
              <w:bottom w:val="single" w:sz="4" w:space="0" w:color="auto"/>
              <w:right w:val="single" w:sz="4" w:space="0" w:color="auto"/>
            </w:tcBorders>
            <w:shd w:val="clear" w:color="auto" w:fill="auto"/>
            <w:noWrap/>
            <w:vAlign w:val="center"/>
            <w:hideMark/>
          </w:tcPr>
          <w:p w14:paraId="062AD3D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5081297000</w:t>
            </w:r>
          </w:p>
        </w:tc>
        <w:tc>
          <w:tcPr>
            <w:tcW w:w="547" w:type="pct"/>
            <w:tcBorders>
              <w:top w:val="nil"/>
              <w:left w:val="nil"/>
              <w:bottom w:val="single" w:sz="4" w:space="0" w:color="auto"/>
              <w:right w:val="single" w:sz="4" w:space="0" w:color="auto"/>
            </w:tcBorders>
            <w:shd w:val="clear" w:color="auto" w:fill="auto"/>
            <w:noWrap/>
            <w:vAlign w:val="center"/>
            <w:hideMark/>
          </w:tcPr>
          <w:p w14:paraId="340DCF4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86876651</w:t>
            </w:r>
          </w:p>
        </w:tc>
        <w:tc>
          <w:tcPr>
            <w:tcW w:w="3360" w:type="pct"/>
            <w:tcBorders>
              <w:top w:val="nil"/>
              <w:left w:val="nil"/>
              <w:bottom w:val="single" w:sz="4" w:space="0" w:color="auto"/>
              <w:right w:val="single" w:sz="4" w:space="0" w:color="auto"/>
            </w:tcBorders>
            <w:shd w:val="clear" w:color="auto" w:fill="auto"/>
            <w:vAlign w:val="center"/>
            <w:hideMark/>
          </w:tcPr>
          <w:p w14:paraId="10D5870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III. GIMNAZIJA MARIBOR</w:t>
            </w:r>
          </w:p>
        </w:tc>
      </w:tr>
      <w:tr w:rsidR="00E3750C" w:rsidRPr="00415AB3" w14:paraId="7662525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13A44C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301</w:t>
            </w:r>
          </w:p>
        </w:tc>
        <w:tc>
          <w:tcPr>
            <w:tcW w:w="705" w:type="pct"/>
            <w:tcBorders>
              <w:top w:val="nil"/>
              <w:left w:val="nil"/>
              <w:bottom w:val="single" w:sz="4" w:space="0" w:color="auto"/>
              <w:right w:val="single" w:sz="4" w:space="0" w:color="auto"/>
            </w:tcBorders>
            <w:shd w:val="clear" w:color="auto" w:fill="auto"/>
            <w:noWrap/>
            <w:vAlign w:val="center"/>
            <w:hideMark/>
          </w:tcPr>
          <w:p w14:paraId="236C5E3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5083613000</w:t>
            </w:r>
          </w:p>
        </w:tc>
        <w:tc>
          <w:tcPr>
            <w:tcW w:w="547" w:type="pct"/>
            <w:tcBorders>
              <w:top w:val="nil"/>
              <w:left w:val="nil"/>
              <w:bottom w:val="single" w:sz="4" w:space="0" w:color="auto"/>
              <w:right w:val="single" w:sz="4" w:space="0" w:color="auto"/>
            </w:tcBorders>
            <w:shd w:val="clear" w:color="auto" w:fill="auto"/>
            <w:noWrap/>
            <w:vAlign w:val="center"/>
            <w:hideMark/>
          </w:tcPr>
          <w:p w14:paraId="0F67C72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48097535</w:t>
            </w:r>
          </w:p>
        </w:tc>
        <w:tc>
          <w:tcPr>
            <w:tcW w:w="3360" w:type="pct"/>
            <w:tcBorders>
              <w:top w:val="nil"/>
              <w:left w:val="nil"/>
              <w:bottom w:val="single" w:sz="4" w:space="0" w:color="auto"/>
              <w:right w:val="single" w:sz="4" w:space="0" w:color="auto"/>
            </w:tcBorders>
            <w:shd w:val="clear" w:color="auto" w:fill="auto"/>
            <w:vAlign w:val="center"/>
            <w:hideMark/>
          </w:tcPr>
          <w:p w14:paraId="1B5065E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III. OSNOVNA ŠOLA CELJE</w:t>
            </w:r>
          </w:p>
        </w:tc>
      </w:tr>
      <w:tr w:rsidR="00E3750C" w:rsidRPr="00415AB3" w14:paraId="7B0585E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4FDC46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302</w:t>
            </w:r>
          </w:p>
        </w:tc>
        <w:tc>
          <w:tcPr>
            <w:tcW w:w="705" w:type="pct"/>
            <w:tcBorders>
              <w:top w:val="nil"/>
              <w:left w:val="nil"/>
              <w:bottom w:val="single" w:sz="4" w:space="0" w:color="auto"/>
              <w:right w:val="single" w:sz="4" w:space="0" w:color="auto"/>
            </w:tcBorders>
            <w:shd w:val="clear" w:color="auto" w:fill="auto"/>
            <w:noWrap/>
            <w:vAlign w:val="center"/>
            <w:hideMark/>
          </w:tcPr>
          <w:p w14:paraId="0663589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1867571000</w:t>
            </w:r>
          </w:p>
        </w:tc>
        <w:tc>
          <w:tcPr>
            <w:tcW w:w="547" w:type="pct"/>
            <w:tcBorders>
              <w:top w:val="nil"/>
              <w:left w:val="nil"/>
              <w:bottom w:val="single" w:sz="4" w:space="0" w:color="auto"/>
              <w:right w:val="single" w:sz="4" w:space="0" w:color="auto"/>
            </w:tcBorders>
            <w:shd w:val="clear" w:color="auto" w:fill="auto"/>
            <w:noWrap/>
            <w:vAlign w:val="center"/>
            <w:hideMark/>
          </w:tcPr>
          <w:p w14:paraId="2C4A57C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89502868</w:t>
            </w:r>
          </w:p>
        </w:tc>
        <w:tc>
          <w:tcPr>
            <w:tcW w:w="3360" w:type="pct"/>
            <w:tcBorders>
              <w:top w:val="nil"/>
              <w:left w:val="nil"/>
              <w:bottom w:val="single" w:sz="4" w:space="0" w:color="auto"/>
              <w:right w:val="single" w:sz="4" w:space="0" w:color="auto"/>
            </w:tcBorders>
            <w:shd w:val="clear" w:color="auto" w:fill="auto"/>
            <w:vAlign w:val="center"/>
            <w:hideMark/>
          </w:tcPr>
          <w:p w14:paraId="3B16F6C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INFORMACIJSKI POOBLAŠČENEC</w:t>
            </w:r>
          </w:p>
        </w:tc>
      </w:tr>
      <w:tr w:rsidR="00E3750C" w:rsidRPr="00415AB3" w14:paraId="10C154D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DEE104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303</w:t>
            </w:r>
          </w:p>
        </w:tc>
        <w:tc>
          <w:tcPr>
            <w:tcW w:w="705" w:type="pct"/>
            <w:tcBorders>
              <w:top w:val="nil"/>
              <w:left w:val="nil"/>
              <w:bottom w:val="single" w:sz="4" w:space="0" w:color="auto"/>
              <w:right w:val="single" w:sz="4" w:space="0" w:color="auto"/>
            </w:tcBorders>
            <w:shd w:val="clear" w:color="auto" w:fill="auto"/>
            <w:noWrap/>
            <w:vAlign w:val="center"/>
            <w:hideMark/>
          </w:tcPr>
          <w:p w14:paraId="50F38A9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5259363000</w:t>
            </w:r>
          </w:p>
        </w:tc>
        <w:tc>
          <w:tcPr>
            <w:tcW w:w="547" w:type="pct"/>
            <w:tcBorders>
              <w:top w:val="nil"/>
              <w:left w:val="nil"/>
              <w:bottom w:val="single" w:sz="4" w:space="0" w:color="auto"/>
              <w:right w:val="single" w:sz="4" w:space="0" w:color="auto"/>
            </w:tcBorders>
            <w:shd w:val="clear" w:color="auto" w:fill="auto"/>
            <w:noWrap/>
            <w:vAlign w:val="center"/>
            <w:hideMark/>
          </w:tcPr>
          <w:p w14:paraId="2A19E84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70666130</w:t>
            </w:r>
          </w:p>
        </w:tc>
        <w:tc>
          <w:tcPr>
            <w:tcW w:w="3360" w:type="pct"/>
            <w:tcBorders>
              <w:top w:val="nil"/>
              <w:left w:val="nil"/>
              <w:bottom w:val="single" w:sz="4" w:space="0" w:color="auto"/>
              <w:right w:val="single" w:sz="4" w:space="0" w:color="auto"/>
            </w:tcBorders>
            <w:shd w:val="clear" w:color="auto" w:fill="auto"/>
            <w:vAlign w:val="center"/>
            <w:hideMark/>
          </w:tcPr>
          <w:p w14:paraId="3EEFCE1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INFORMATIKA INFORMACIJSKE STORITVE IN INŽENIRING D.O.O.</w:t>
            </w:r>
          </w:p>
        </w:tc>
      </w:tr>
      <w:tr w:rsidR="00E3750C" w:rsidRPr="00415AB3" w14:paraId="3343F6B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3DFAC5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304</w:t>
            </w:r>
          </w:p>
        </w:tc>
        <w:tc>
          <w:tcPr>
            <w:tcW w:w="705" w:type="pct"/>
            <w:tcBorders>
              <w:top w:val="nil"/>
              <w:left w:val="nil"/>
              <w:bottom w:val="single" w:sz="4" w:space="0" w:color="auto"/>
              <w:right w:val="single" w:sz="4" w:space="0" w:color="auto"/>
            </w:tcBorders>
            <w:shd w:val="clear" w:color="auto" w:fill="auto"/>
            <w:noWrap/>
            <w:vAlign w:val="center"/>
            <w:hideMark/>
          </w:tcPr>
          <w:p w14:paraId="16E289D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1946510000</w:t>
            </w:r>
          </w:p>
        </w:tc>
        <w:tc>
          <w:tcPr>
            <w:tcW w:w="547" w:type="pct"/>
            <w:tcBorders>
              <w:top w:val="nil"/>
              <w:left w:val="nil"/>
              <w:bottom w:val="single" w:sz="4" w:space="0" w:color="auto"/>
              <w:right w:val="single" w:sz="4" w:space="0" w:color="auto"/>
            </w:tcBorders>
            <w:shd w:val="clear" w:color="auto" w:fill="auto"/>
            <w:noWrap/>
            <w:vAlign w:val="center"/>
            <w:hideMark/>
          </w:tcPr>
          <w:p w14:paraId="0BCE3AC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60617357</w:t>
            </w:r>
          </w:p>
        </w:tc>
        <w:tc>
          <w:tcPr>
            <w:tcW w:w="3360" w:type="pct"/>
            <w:tcBorders>
              <w:top w:val="nil"/>
              <w:left w:val="nil"/>
              <w:bottom w:val="single" w:sz="4" w:space="0" w:color="auto"/>
              <w:right w:val="single" w:sz="4" w:space="0" w:color="auto"/>
            </w:tcBorders>
            <w:shd w:val="clear" w:color="auto" w:fill="auto"/>
            <w:vAlign w:val="center"/>
            <w:hideMark/>
          </w:tcPr>
          <w:p w14:paraId="01B2611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INFRA IZVAJANJE INVESTICIJSKE DEJAVNOSTI D.O.O.</w:t>
            </w:r>
          </w:p>
        </w:tc>
      </w:tr>
      <w:tr w:rsidR="00E3750C" w:rsidRPr="00415AB3" w14:paraId="4A24F7C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15D97C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305</w:t>
            </w:r>
          </w:p>
        </w:tc>
        <w:tc>
          <w:tcPr>
            <w:tcW w:w="705" w:type="pct"/>
            <w:tcBorders>
              <w:top w:val="nil"/>
              <w:left w:val="nil"/>
              <w:bottom w:val="single" w:sz="4" w:space="0" w:color="auto"/>
              <w:right w:val="single" w:sz="4" w:space="0" w:color="auto"/>
            </w:tcBorders>
            <w:shd w:val="clear" w:color="auto" w:fill="auto"/>
            <w:noWrap/>
            <w:vAlign w:val="center"/>
            <w:hideMark/>
          </w:tcPr>
          <w:p w14:paraId="0E94024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1525638000</w:t>
            </w:r>
          </w:p>
        </w:tc>
        <w:tc>
          <w:tcPr>
            <w:tcW w:w="547" w:type="pct"/>
            <w:tcBorders>
              <w:top w:val="nil"/>
              <w:left w:val="nil"/>
              <w:bottom w:val="single" w:sz="4" w:space="0" w:color="auto"/>
              <w:right w:val="single" w:sz="4" w:space="0" w:color="auto"/>
            </w:tcBorders>
            <w:shd w:val="clear" w:color="auto" w:fill="auto"/>
            <w:noWrap/>
            <w:vAlign w:val="center"/>
            <w:hideMark/>
          </w:tcPr>
          <w:p w14:paraId="5F287A5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87091712</w:t>
            </w:r>
          </w:p>
        </w:tc>
        <w:tc>
          <w:tcPr>
            <w:tcW w:w="3360" w:type="pct"/>
            <w:tcBorders>
              <w:top w:val="nil"/>
              <w:left w:val="nil"/>
              <w:bottom w:val="single" w:sz="4" w:space="0" w:color="auto"/>
              <w:right w:val="single" w:sz="4" w:space="0" w:color="auto"/>
            </w:tcBorders>
            <w:shd w:val="clear" w:color="auto" w:fill="auto"/>
            <w:vAlign w:val="center"/>
            <w:hideMark/>
          </w:tcPr>
          <w:p w14:paraId="2EE9606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INFRASTRUKTURA BLED D.O.O.</w:t>
            </w:r>
          </w:p>
        </w:tc>
      </w:tr>
      <w:tr w:rsidR="00E3750C" w:rsidRPr="00415AB3" w14:paraId="48E6E942"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741B63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306</w:t>
            </w:r>
          </w:p>
        </w:tc>
        <w:tc>
          <w:tcPr>
            <w:tcW w:w="705" w:type="pct"/>
            <w:tcBorders>
              <w:top w:val="nil"/>
              <w:left w:val="nil"/>
              <w:bottom w:val="single" w:sz="4" w:space="0" w:color="auto"/>
              <w:right w:val="single" w:sz="4" w:space="0" w:color="auto"/>
            </w:tcBorders>
            <w:shd w:val="clear" w:color="auto" w:fill="auto"/>
            <w:noWrap/>
            <w:vAlign w:val="center"/>
            <w:hideMark/>
          </w:tcPr>
          <w:p w14:paraId="7EF8A65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7233817000</w:t>
            </w:r>
          </w:p>
        </w:tc>
        <w:tc>
          <w:tcPr>
            <w:tcW w:w="547" w:type="pct"/>
            <w:tcBorders>
              <w:top w:val="nil"/>
              <w:left w:val="nil"/>
              <w:bottom w:val="single" w:sz="4" w:space="0" w:color="auto"/>
              <w:right w:val="single" w:sz="4" w:space="0" w:color="auto"/>
            </w:tcBorders>
            <w:shd w:val="clear" w:color="auto" w:fill="auto"/>
            <w:noWrap/>
            <w:vAlign w:val="center"/>
            <w:hideMark/>
          </w:tcPr>
          <w:p w14:paraId="241308B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65332547</w:t>
            </w:r>
          </w:p>
        </w:tc>
        <w:tc>
          <w:tcPr>
            <w:tcW w:w="3360" w:type="pct"/>
            <w:tcBorders>
              <w:top w:val="nil"/>
              <w:left w:val="nil"/>
              <w:bottom w:val="single" w:sz="4" w:space="0" w:color="auto"/>
              <w:right w:val="single" w:sz="4" w:space="0" w:color="auto"/>
            </w:tcBorders>
            <w:shd w:val="clear" w:color="auto" w:fill="auto"/>
            <w:vAlign w:val="center"/>
            <w:hideMark/>
          </w:tcPr>
          <w:p w14:paraId="0942208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INNORENEW COE CENTER ODLIČNOSTI ZA RAZISKAVE IN INOVACIJE NA PODROČJU OBNOVLJIVIH MATERIALOV IN ZDRAVEGA BIVANJSKEGA OKOLJA</w:t>
            </w:r>
          </w:p>
        </w:tc>
      </w:tr>
      <w:tr w:rsidR="00E3750C" w:rsidRPr="00415AB3" w14:paraId="4A9C11D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D8F596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307</w:t>
            </w:r>
          </w:p>
        </w:tc>
        <w:tc>
          <w:tcPr>
            <w:tcW w:w="705" w:type="pct"/>
            <w:tcBorders>
              <w:top w:val="nil"/>
              <w:left w:val="nil"/>
              <w:bottom w:val="single" w:sz="4" w:space="0" w:color="auto"/>
              <w:right w:val="single" w:sz="4" w:space="0" w:color="auto"/>
            </w:tcBorders>
            <w:shd w:val="clear" w:color="auto" w:fill="auto"/>
            <w:noWrap/>
            <w:vAlign w:val="center"/>
            <w:hideMark/>
          </w:tcPr>
          <w:p w14:paraId="5F648DE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5258880000</w:t>
            </w:r>
          </w:p>
        </w:tc>
        <w:tc>
          <w:tcPr>
            <w:tcW w:w="547" w:type="pct"/>
            <w:tcBorders>
              <w:top w:val="nil"/>
              <w:left w:val="nil"/>
              <w:bottom w:val="single" w:sz="4" w:space="0" w:color="auto"/>
              <w:right w:val="single" w:sz="4" w:space="0" w:color="auto"/>
            </w:tcBorders>
            <w:shd w:val="clear" w:color="auto" w:fill="auto"/>
            <w:noWrap/>
            <w:vAlign w:val="center"/>
            <w:hideMark/>
          </w:tcPr>
          <w:p w14:paraId="2FA451C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98148486</w:t>
            </w:r>
          </w:p>
        </w:tc>
        <w:tc>
          <w:tcPr>
            <w:tcW w:w="3360" w:type="pct"/>
            <w:tcBorders>
              <w:top w:val="nil"/>
              <w:left w:val="nil"/>
              <w:bottom w:val="single" w:sz="4" w:space="0" w:color="auto"/>
              <w:right w:val="single" w:sz="4" w:space="0" w:color="auto"/>
            </w:tcBorders>
            <w:shd w:val="clear" w:color="auto" w:fill="auto"/>
            <w:vAlign w:val="center"/>
            <w:hideMark/>
          </w:tcPr>
          <w:p w14:paraId="4DE0F82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INSTITUT INFORMACIJSKIH ZNANOSTI</w:t>
            </w:r>
          </w:p>
        </w:tc>
      </w:tr>
      <w:tr w:rsidR="00E3750C" w:rsidRPr="00415AB3" w14:paraId="3E5A08D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064FE4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308</w:t>
            </w:r>
          </w:p>
        </w:tc>
        <w:tc>
          <w:tcPr>
            <w:tcW w:w="705" w:type="pct"/>
            <w:tcBorders>
              <w:top w:val="nil"/>
              <w:left w:val="nil"/>
              <w:bottom w:val="single" w:sz="4" w:space="0" w:color="auto"/>
              <w:right w:val="single" w:sz="4" w:space="0" w:color="auto"/>
            </w:tcBorders>
            <w:shd w:val="clear" w:color="auto" w:fill="auto"/>
            <w:noWrap/>
            <w:vAlign w:val="center"/>
            <w:hideMark/>
          </w:tcPr>
          <w:p w14:paraId="1D7BEB3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5051606000</w:t>
            </w:r>
          </w:p>
        </w:tc>
        <w:tc>
          <w:tcPr>
            <w:tcW w:w="547" w:type="pct"/>
            <w:tcBorders>
              <w:top w:val="nil"/>
              <w:left w:val="nil"/>
              <w:bottom w:val="single" w:sz="4" w:space="0" w:color="auto"/>
              <w:right w:val="single" w:sz="4" w:space="0" w:color="auto"/>
            </w:tcBorders>
            <w:shd w:val="clear" w:color="auto" w:fill="auto"/>
            <w:noWrap/>
            <w:vAlign w:val="center"/>
            <w:hideMark/>
          </w:tcPr>
          <w:p w14:paraId="35FAAB3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55560822</w:t>
            </w:r>
          </w:p>
        </w:tc>
        <w:tc>
          <w:tcPr>
            <w:tcW w:w="3360" w:type="pct"/>
            <w:tcBorders>
              <w:top w:val="nil"/>
              <w:left w:val="nil"/>
              <w:bottom w:val="single" w:sz="4" w:space="0" w:color="auto"/>
              <w:right w:val="single" w:sz="4" w:space="0" w:color="auto"/>
            </w:tcBorders>
            <w:shd w:val="clear" w:color="auto" w:fill="auto"/>
            <w:vAlign w:val="center"/>
            <w:hideMark/>
          </w:tcPr>
          <w:p w14:paraId="6C88275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INSTITUT JOŽEF STEFAN</w:t>
            </w:r>
          </w:p>
        </w:tc>
      </w:tr>
      <w:tr w:rsidR="00E3750C" w:rsidRPr="00415AB3" w14:paraId="46E0526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F1166C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309</w:t>
            </w:r>
          </w:p>
        </w:tc>
        <w:tc>
          <w:tcPr>
            <w:tcW w:w="705" w:type="pct"/>
            <w:tcBorders>
              <w:top w:val="nil"/>
              <w:left w:val="nil"/>
              <w:bottom w:val="single" w:sz="4" w:space="0" w:color="auto"/>
              <w:right w:val="single" w:sz="4" w:space="0" w:color="auto"/>
            </w:tcBorders>
            <w:shd w:val="clear" w:color="auto" w:fill="auto"/>
            <w:noWrap/>
            <w:vAlign w:val="center"/>
            <w:hideMark/>
          </w:tcPr>
          <w:p w14:paraId="79A1089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5966604000</w:t>
            </w:r>
          </w:p>
        </w:tc>
        <w:tc>
          <w:tcPr>
            <w:tcW w:w="547" w:type="pct"/>
            <w:tcBorders>
              <w:top w:val="nil"/>
              <w:left w:val="nil"/>
              <w:bottom w:val="single" w:sz="4" w:space="0" w:color="auto"/>
              <w:right w:val="single" w:sz="4" w:space="0" w:color="auto"/>
            </w:tcBorders>
            <w:shd w:val="clear" w:color="auto" w:fill="auto"/>
            <w:noWrap/>
            <w:vAlign w:val="center"/>
            <w:hideMark/>
          </w:tcPr>
          <w:p w14:paraId="31D3149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13936409</w:t>
            </w:r>
          </w:p>
        </w:tc>
        <w:tc>
          <w:tcPr>
            <w:tcW w:w="3360" w:type="pct"/>
            <w:tcBorders>
              <w:top w:val="nil"/>
              <w:left w:val="nil"/>
              <w:bottom w:val="single" w:sz="4" w:space="0" w:color="auto"/>
              <w:right w:val="single" w:sz="4" w:space="0" w:color="auto"/>
            </w:tcBorders>
            <w:shd w:val="clear" w:color="auto" w:fill="auto"/>
            <w:vAlign w:val="center"/>
            <w:hideMark/>
          </w:tcPr>
          <w:p w14:paraId="09CADF2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INŠTITUT REPUBLIKE SLOVENIJE ZA SOCIALNO VARSTVO</w:t>
            </w:r>
          </w:p>
        </w:tc>
      </w:tr>
      <w:tr w:rsidR="00E3750C" w:rsidRPr="00415AB3" w14:paraId="7C031A49"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6C72FB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310</w:t>
            </w:r>
          </w:p>
        </w:tc>
        <w:tc>
          <w:tcPr>
            <w:tcW w:w="705" w:type="pct"/>
            <w:tcBorders>
              <w:top w:val="nil"/>
              <w:left w:val="nil"/>
              <w:bottom w:val="single" w:sz="4" w:space="0" w:color="auto"/>
              <w:right w:val="single" w:sz="4" w:space="0" w:color="auto"/>
            </w:tcBorders>
            <w:shd w:val="clear" w:color="auto" w:fill="auto"/>
            <w:noWrap/>
            <w:vAlign w:val="center"/>
            <w:hideMark/>
          </w:tcPr>
          <w:p w14:paraId="427D31B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1279084000</w:t>
            </w:r>
          </w:p>
        </w:tc>
        <w:tc>
          <w:tcPr>
            <w:tcW w:w="547" w:type="pct"/>
            <w:tcBorders>
              <w:top w:val="nil"/>
              <w:left w:val="nil"/>
              <w:bottom w:val="single" w:sz="4" w:space="0" w:color="auto"/>
              <w:right w:val="single" w:sz="4" w:space="0" w:color="auto"/>
            </w:tcBorders>
            <w:shd w:val="clear" w:color="auto" w:fill="auto"/>
            <w:noWrap/>
            <w:vAlign w:val="center"/>
            <w:hideMark/>
          </w:tcPr>
          <w:p w14:paraId="57E98EA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15237591</w:t>
            </w:r>
          </w:p>
        </w:tc>
        <w:tc>
          <w:tcPr>
            <w:tcW w:w="3360" w:type="pct"/>
            <w:tcBorders>
              <w:top w:val="nil"/>
              <w:left w:val="nil"/>
              <w:bottom w:val="single" w:sz="4" w:space="0" w:color="auto"/>
              <w:right w:val="single" w:sz="4" w:space="0" w:color="auto"/>
            </w:tcBorders>
            <w:shd w:val="clear" w:color="auto" w:fill="auto"/>
            <w:vAlign w:val="center"/>
            <w:hideMark/>
          </w:tcPr>
          <w:p w14:paraId="36126D9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INŠTITUT UNIVERZE V LJUBLJANI FAKULTETE ZA GRADBENIŠTVO IN GEODEZIJO, D.O.O.</w:t>
            </w:r>
          </w:p>
        </w:tc>
      </w:tr>
      <w:tr w:rsidR="00E3750C" w:rsidRPr="00415AB3" w14:paraId="6D6788F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E1459F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311</w:t>
            </w:r>
          </w:p>
        </w:tc>
        <w:tc>
          <w:tcPr>
            <w:tcW w:w="705" w:type="pct"/>
            <w:tcBorders>
              <w:top w:val="nil"/>
              <w:left w:val="nil"/>
              <w:bottom w:val="single" w:sz="4" w:space="0" w:color="auto"/>
              <w:right w:val="single" w:sz="4" w:space="0" w:color="auto"/>
            </w:tcBorders>
            <w:shd w:val="clear" w:color="auto" w:fill="auto"/>
            <w:noWrap/>
            <w:vAlign w:val="center"/>
            <w:hideMark/>
          </w:tcPr>
          <w:p w14:paraId="0DCBD42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5051762000</w:t>
            </w:r>
          </w:p>
        </w:tc>
        <w:tc>
          <w:tcPr>
            <w:tcW w:w="547" w:type="pct"/>
            <w:tcBorders>
              <w:top w:val="nil"/>
              <w:left w:val="nil"/>
              <w:bottom w:val="single" w:sz="4" w:space="0" w:color="auto"/>
              <w:right w:val="single" w:sz="4" w:space="0" w:color="auto"/>
            </w:tcBorders>
            <w:shd w:val="clear" w:color="auto" w:fill="auto"/>
            <w:noWrap/>
            <w:vAlign w:val="center"/>
            <w:hideMark/>
          </w:tcPr>
          <w:p w14:paraId="5F96FFA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93987161</w:t>
            </w:r>
          </w:p>
        </w:tc>
        <w:tc>
          <w:tcPr>
            <w:tcW w:w="3360" w:type="pct"/>
            <w:tcBorders>
              <w:top w:val="nil"/>
              <w:left w:val="nil"/>
              <w:bottom w:val="single" w:sz="4" w:space="0" w:color="auto"/>
              <w:right w:val="single" w:sz="4" w:space="0" w:color="auto"/>
            </w:tcBorders>
            <w:shd w:val="clear" w:color="auto" w:fill="auto"/>
            <w:vAlign w:val="center"/>
            <w:hideMark/>
          </w:tcPr>
          <w:p w14:paraId="3EDADD4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INŠTITUT ZA HMELJARSTVO IN PIVOVARSTVO SLOVENIJE</w:t>
            </w:r>
          </w:p>
        </w:tc>
      </w:tr>
      <w:tr w:rsidR="00E3750C" w:rsidRPr="00415AB3" w14:paraId="42F5092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7FE50F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312</w:t>
            </w:r>
          </w:p>
        </w:tc>
        <w:tc>
          <w:tcPr>
            <w:tcW w:w="705" w:type="pct"/>
            <w:tcBorders>
              <w:top w:val="nil"/>
              <w:left w:val="nil"/>
              <w:bottom w:val="single" w:sz="4" w:space="0" w:color="auto"/>
              <w:right w:val="single" w:sz="4" w:space="0" w:color="auto"/>
            </w:tcBorders>
            <w:shd w:val="clear" w:color="auto" w:fill="auto"/>
            <w:noWrap/>
            <w:vAlign w:val="center"/>
            <w:hideMark/>
          </w:tcPr>
          <w:p w14:paraId="3274B02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5051622000</w:t>
            </w:r>
          </w:p>
        </w:tc>
        <w:tc>
          <w:tcPr>
            <w:tcW w:w="547" w:type="pct"/>
            <w:tcBorders>
              <w:top w:val="nil"/>
              <w:left w:val="nil"/>
              <w:bottom w:val="single" w:sz="4" w:space="0" w:color="auto"/>
              <w:right w:val="single" w:sz="4" w:space="0" w:color="auto"/>
            </w:tcBorders>
            <w:shd w:val="clear" w:color="auto" w:fill="auto"/>
            <w:noWrap/>
            <w:vAlign w:val="center"/>
            <w:hideMark/>
          </w:tcPr>
          <w:p w14:paraId="4195B5C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19230052</w:t>
            </w:r>
          </w:p>
        </w:tc>
        <w:tc>
          <w:tcPr>
            <w:tcW w:w="3360" w:type="pct"/>
            <w:tcBorders>
              <w:top w:val="nil"/>
              <w:left w:val="nil"/>
              <w:bottom w:val="single" w:sz="4" w:space="0" w:color="auto"/>
              <w:right w:val="single" w:sz="4" w:space="0" w:color="auto"/>
            </w:tcBorders>
            <w:shd w:val="clear" w:color="auto" w:fill="auto"/>
            <w:vAlign w:val="center"/>
            <w:hideMark/>
          </w:tcPr>
          <w:p w14:paraId="276AB02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INŠTITUT ZA KOVINSKE MATERIALE IN TEHNOLOGIJE</w:t>
            </w:r>
          </w:p>
        </w:tc>
      </w:tr>
      <w:tr w:rsidR="00E3750C" w:rsidRPr="00415AB3" w14:paraId="0E394B0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D6E265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313</w:t>
            </w:r>
          </w:p>
        </w:tc>
        <w:tc>
          <w:tcPr>
            <w:tcW w:w="705" w:type="pct"/>
            <w:tcBorders>
              <w:top w:val="nil"/>
              <w:left w:val="nil"/>
              <w:bottom w:val="single" w:sz="4" w:space="0" w:color="auto"/>
              <w:right w:val="single" w:sz="4" w:space="0" w:color="auto"/>
            </w:tcBorders>
            <w:shd w:val="clear" w:color="auto" w:fill="auto"/>
            <w:noWrap/>
            <w:vAlign w:val="center"/>
            <w:hideMark/>
          </w:tcPr>
          <w:p w14:paraId="15C0CDE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5055598000</w:t>
            </w:r>
          </w:p>
        </w:tc>
        <w:tc>
          <w:tcPr>
            <w:tcW w:w="547" w:type="pct"/>
            <w:tcBorders>
              <w:top w:val="nil"/>
              <w:left w:val="nil"/>
              <w:bottom w:val="single" w:sz="4" w:space="0" w:color="auto"/>
              <w:right w:val="single" w:sz="4" w:space="0" w:color="auto"/>
            </w:tcBorders>
            <w:shd w:val="clear" w:color="auto" w:fill="auto"/>
            <w:noWrap/>
            <w:vAlign w:val="center"/>
            <w:hideMark/>
          </w:tcPr>
          <w:p w14:paraId="20A75CD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45597162</w:t>
            </w:r>
          </w:p>
        </w:tc>
        <w:tc>
          <w:tcPr>
            <w:tcW w:w="3360" w:type="pct"/>
            <w:tcBorders>
              <w:top w:val="nil"/>
              <w:left w:val="nil"/>
              <w:bottom w:val="single" w:sz="4" w:space="0" w:color="auto"/>
              <w:right w:val="single" w:sz="4" w:space="0" w:color="auto"/>
            </w:tcBorders>
            <w:shd w:val="clear" w:color="auto" w:fill="auto"/>
            <w:vAlign w:val="center"/>
            <w:hideMark/>
          </w:tcPr>
          <w:p w14:paraId="4FA1D37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INŠTITUT ZA MATEMATIKO, FIZIKO IN MEHANIKO</w:t>
            </w:r>
          </w:p>
        </w:tc>
      </w:tr>
      <w:tr w:rsidR="00E3750C" w:rsidRPr="00415AB3" w14:paraId="0323651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7000F2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314</w:t>
            </w:r>
          </w:p>
        </w:tc>
        <w:tc>
          <w:tcPr>
            <w:tcW w:w="705" w:type="pct"/>
            <w:tcBorders>
              <w:top w:val="nil"/>
              <w:left w:val="nil"/>
              <w:bottom w:val="single" w:sz="4" w:space="0" w:color="auto"/>
              <w:right w:val="single" w:sz="4" w:space="0" w:color="auto"/>
            </w:tcBorders>
            <w:shd w:val="clear" w:color="auto" w:fill="auto"/>
            <w:noWrap/>
            <w:vAlign w:val="center"/>
            <w:hideMark/>
          </w:tcPr>
          <w:p w14:paraId="685138A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5051517000</w:t>
            </w:r>
          </w:p>
        </w:tc>
        <w:tc>
          <w:tcPr>
            <w:tcW w:w="547" w:type="pct"/>
            <w:tcBorders>
              <w:top w:val="nil"/>
              <w:left w:val="nil"/>
              <w:bottom w:val="single" w:sz="4" w:space="0" w:color="auto"/>
              <w:right w:val="single" w:sz="4" w:space="0" w:color="auto"/>
            </w:tcBorders>
            <w:shd w:val="clear" w:color="auto" w:fill="auto"/>
            <w:noWrap/>
            <w:vAlign w:val="center"/>
            <w:hideMark/>
          </w:tcPr>
          <w:p w14:paraId="0EF8674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48643769</w:t>
            </w:r>
          </w:p>
        </w:tc>
        <w:tc>
          <w:tcPr>
            <w:tcW w:w="3360" w:type="pct"/>
            <w:tcBorders>
              <w:top w:val="nil"/>
              <w:left w:val="nil"/>
              <w:bottom w:val="single" w:sz="4" w:space="0" w:color="auto"/>
              <w:right w:val="single" w:sz="4" w:space="0" w:color="auto"/>
            </w:tcBorders>
            <w:shd w:val="clear" w:color="auto" w:fill="auto"/>
            <w:vAlign w:val="center"/>
            <w:hideMark/>
          </w:tcPr>
          <w:p w14:paraId="6A9F7A4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INŠTITUT ZA NARODNOSTNA VPRAŠANJA</w:t>
            </w:r>
          </w:p>
        </w:tc>
      </w:tr>
      <w:tr w:rsidR="00E3750C" w:rsidRPr="00415AB3" w14:paraId="78D2D28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FEAE98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315</w:t>
            </w:r>
          </w:p>
        </w:tc>
        <w:tc>
          <w:tcPr>
            <w:tcW w:w="705" w:type="pct"/>
            <w:tcBorders>
              <w:top w:val="nil"/>
              <w:left w:val="nil"/>
              <w:bottom w:val="single" w:sz="4" w:space="0" w:color="auto"/>
              <w:right w:val="single" w:sz="4" w:space="0" w:color="auto"/>
            </w:tcBorders>
            <w:shd w:val="clear" w:color="auto" w:fill="auto"/>
            <w:noWrap/>
            <w:vAlign w:val="center"/>
            <w:hideMark/>
          </w:tcPr>
          <w:p w14:paraId="720D60F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5057116000</w:t>
            </w:r>
          </w:p>
        </w:tc>
        <w:tc>
          <w:tcPr>
            <w:tcW w:w="547" w:type="pct"/>
            <w:tcBorders>
              <w:top w:val="nil"/>
              <w:left w:val="nil"/>
              <w:bottom w:val="single" w:sz="4" w:space="0" w:color="auto"/>
              <w:right w:val="single" w:sz="4" w:space="0" w:color="auto"/>
            </w:tcBorders>
            <w:shd w:val="clear" w:color="auto" w:fill="auto"/>
            <w:noWrap/>
            <w:vAlign w:val="center"/>
            <w:hideMark/>
          </w:tcPr>
          <w:p w14:paraId="064CF55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43695990</w:t>
            </w:r>
          </w:p>
        </w:tc>
        <w:tc>
          <w:tcPr>
            <w:tcW w:w="3360" w:type="pct"/>
            <w:tcBorders>
              <w:top w:val="nil"/>
              <w:left w:val="nil"/>
              <w:bottom w:val="single" w:sz="4" w:space="0" w:color="auto"/>
              <w:right w:val="single" w:sz="4" w:space="0" w:color="auto"/>
            </w:tcBorders>
            <w:shd w:val="clear" w:color="auto" w:fill="auto"/>
            <w:vAlign w:val="center"/>
            <w:hideMark/>
          </w:tcPr>
          <w:p w14:paraId="516DB55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INŠTITUT ZA NOVEJŠO ZGODOVINO</w:t>
            </w:r>
          </w:p>
        </w:tc>
      </w:tr>
      <w:tr w:rsidR="00E3750C" w:rsidRPr="00415AB3" w14:paraId="1194F63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AE34B8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316</w:t>
            </w:r>
          </w:p>
        </w:tc>
        <w:tc>
          <w:tcPr>
            <w:tcW w:w="705" w:type="pct"/>
            <w:tcBorders>
              <w:top w:val="nil"/>
              <w:left w:val="nil"/>
              <w:bottom w:val="single" w:sz="4" w:space="0" w:color="auto"/>
              <w:right w:val="single" w:sz="4" w:space="0" w:color="auto"/>
            </w:tcBorders>
            <w:shd w:val="clear" w:color="auto" w:fill="auto"/>
            <w:noWrap/>
            <w:vAlign w:val="center"/>
            <w:hideMark/>
          </w:tcPr>
          <w:p w14:paraId="0CD6373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5055253000</w:t>
            </w:r>
          </w:p>
        </w:tc>
        <w:tc>
          <w:tcPr>
            <w:tcW w:w="547" w:type="pct"/>
            <w:tcBorders>
              <w:top w:val="nil"/>
              <w:left w:val="nil"/>
              <w:bottom w:val="single" w:sz="4" w:space="0" w:color="auto"/>
              <w:right w:val="single" w:sz="4" w:space="0" w:color="auto"/>
            </w:tcBorders>
            <w:shd w:val="clear" w:color="auto" w:fill="auto"/>
            <w:noWrap/>
            <w:vAlign w:val="center"/>
            <w:hideMark/>
          </w:tcPr>
          <w:p w14:paraId="11110E6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97072842</w:t>
            </w:r>
          </w:p>
        </w:tc>
        <w:tc>
          <w:tcPr>
            <w:tcW w:w="3360" w:type="pct"/>
            <w:tcBorders>
              <w:top w:val="nil"/>
              <w:left w:val="nil"/>
              <w:bottom w:val="single" w:sz="4" w:space="0" w:color="auto"/>
              <w:right w:val="single" w:sz="4" w:space="0" w:color="auto"/>
            </w:tcBorders>
            <w:shd w:val="clear" w:color="auto" w:fill="auto"/>
            <w:vAlign w:val="center"/>
            <w:hideMark/>
          </w:tcPr>
          <w:p w14:paraId="56623B9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INŠTITUT ZA VODE REPUBLIKE SLOVENIJE</w:t>
            </w:r>
          </w:p>
        </w:tc>
      </w:tr>
      <w:tr w:rsidR="00E3750C" w:rsidRPr="00415AB3" w14:paraId="4388AC2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AB62DB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76</w:t>
            </w:r>
          </w:p>
        </w:tc>
        <w:tc>
          <w:tcPr>
            <w:tcW w:w="705" w:type="pct"/>
            <w:tcBorders>
              <w:top w:val="nil"/>
              <w:left w:val="nil"/>
              <w:bottom w:val="single" w:sz="4" w:space="0" w:color="auto"/>
              <w:right w:val="single" w:sz="4" w:space="0" w:color="auto"/>
            </w:tcBorders>
            <w:shd w:val="clear" w:color="auto" w:fill="auto"/>
            <w:noWrap/>
            <w:vAlign w:val="center"/>
            <w:hideMark/>
          </w:tcPr>
          <w:p w14:paraId="5A05875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5170087000</w:t>
            </w:r>
          </w:p>
        </w:tc>
        <w:tc>
          <w:tcPr>
            <w:tcW w:w="547" w:type="pct"/>
            <w:tcBorders>
              <w:top w:val="nil"/>
              <w:left w:val="nil"/>
              <w:bottom w:val="single" w:sz="4" w:space="0" w:color="auto"/>
              <w:right w:val="single" w:sz="4" w:space="0" w:color="auto"/>
            </w:tcBorders>
            <w:shd w:val="clear" w:color="auto" w:fill="auto"/>
            <w:noWrap/>
            <w:vAlign w:val="center"/>
            <w:hideMark/>
          </w:tcPr>
          <w:p w14:paraId="21272DF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55764622</w:t>
            </w:r>
          </w:p>
        </w:tc>
        <w:tc>
          <w:tcPr>
            <w:tcW w:w="3360" w:type="pct"/>
            <w:tcBorders>
              <w:top w:val="nil"/>
              <w:left w:val="nil"/>
              <w:bottom w:val="single" w:sz="4" w:space="0" w:color="auto"/>
              <w:right w:val="single" w:sz="4" w:space="0" w:color="auto"/>
            </w:tcBorders>
            <w:shd w:val="clear" w:color="auto" w:fill="auto"/>
            <w:vAlign w:val="center"/>
            <w:hideMark/>
          </w:tcPr>
          <w:p w14:paraId="771A35A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ITALIJANSKA SAMOUPRAVNA NARODNA SKUPNOST-IZOLA</w:t>
            </w:r>
          </w:p>
        </w:tc>
      </w:tr>
      <w:tr w:rsidR="00E3750C" w:rsidRPr="00415AB3" w14:paraId="055B023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D41D47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317</w:t>
            </w:r>
          </w:p>
        </w:tc>
        <w:tc>
          <w:tcPr>
            <w:tcW w:w="705" w:type="pct"/>
            <w:tcBorders>
              <w:top w:val="nil"/>
              <w:left w:val="nil"/>
              <w:bottom w:val="single" w:sz="4" w:space="0" w:color="auto"/>
              <w:right w:val="single" w:sz="4" w:space="0" w:color="auto"/>
            </w:tcBorders>
            <w:shd w:val="clear" w:color="auto" w:fill="auto"/>
            <w:noWrap/>
            <w:vAlign w:val="center"/>
            <w:hideMark/>
          </w:tcPr>
          <w:p w14:paraId="1181F50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5082633000</w:t>
            </w:r>
          </w:p>
        </w:tc>
        <w:tc>
          <w:tcPr>
            <w:tcW w:w="547" w:type="pct"/>
            <w:tcBorders>
              <w:top w:val="nil"/>
              <w:left w:val="nil"/>
              <w:bottom w:val="single" w:sz="4" w:space="0" w:color="auto"/>
              <w:right w:val="single" w:sz="4" w:space="0" w:color="auto"/>
            </w:tcBorders>
            <w:shd w:val="clear" w:color="auto" w:fill="auto"/>
            <w:noWrap/>
            <w:vAlign w:val="center"/>
            <w:hideMark/>
          </w:tcPr>
          <w:p w14:paraId="41A23F7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82175420</w:t>
            </w:r>
          </w:p>
        </w:tc>
        <w:tc>
          <w:tcPr>
            <w:tcW w:w="3360" w:type="pct"/>
            <w:tcBorders>
              <w:top w:val="nil"/>
              <w:left w:val="nil"/>
              <w:bottom w:val="single" w:sz="4" w:space="0" w:color="auto"/>
              <w:right w:val="single" w:sz="4" w:space="0" w:color="auto"/>
            </w:tcBorders>
            <w:shd w:val="clear" w:color="auto" w:fill="auto"/>
            <w:vAlign w:val="center"/>
            <w:hideMark/>
          </w:tcPr>
          <w:p w14:paraId="086AD43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IV. OSNOVNA ŠOLA CELJE</w:t>
            </w:r>
          </w:p>
        </w:tc>
      </w:tr>
      <w:tr w:rsidR="00E3750C" w:rsidRPr="00415AB3" w14:paraId="65A1C40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F71BEF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318</w:t>
            </w:r>
          </w:p>
        </w:tc>
        <w:tc>
          <w:tcPr>
            <w:tcW w:w="705" w:type="pct"/>
            <w:tcBorders>
              <w:top w:val="nil"/>
              <w:left w:val="nil"/>
              <w:bottom w:val="single" w:sz="4" w:space="0" w:color="auto"/>
              <w:right w:val="single" w:sz="4" w:space="0" w:color="auto"/>
            </w:tcBorders>
            <w:shd w:val="clear" w:color="auto" w:fill="auto"/>
            <w:noWrap/>
            <w:vAlign w:val="center"/>
            <w:hideMark/>
          </w:tcPr>
          <w:p w14:paraId="19B7FDA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5085438000</w:t>
            </w:r>
          </w:p>
        </w:tc>
        <w:tc>
          <w:tcPr>
            <w:tcW w:w="547" w:type="pct"/>
            <w:tcBorders>
              <w:top w:val="nil"/>
              <w:left w:val="nil"/>
              <w:bottom w:val="single" w:sz="4" w:space="0" w:color="auto"/>
              <w:right w:val="single" w:sz="4" w:space="0" w:color="auto"/>
            </w:tcBorders>
            <w:shd w:val="clear" w:color="auto" w:fill="auto"/>
            <w:noWrap/>
            <w:vAlign w:val="center"/>
            <w:hideMark/>
          </w:tcPr>
          <w:p w14:paraId="428A7CB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63009820</w:t>
            </w:r>
          </w:p>
        </w:tc>
        <w:tc>
          <w:tcPr>
            <w:tcW w:w="3360" w:type="pct"/>
            <w:tcBorders>
              <w:top w:val="nil"/>
              <w:left w:val="nil"/>
              <w:bottom w:val="single" w:sz="4" w:space="0" w:color="auto"/>
              <w:right w:val="single" w:sz="4" w:space="0" w:color="auto"/>
            </w:tcBorders>
            <w:shd w:val="clear" w:color="auto" w:fill="auto"/>
            <w:vAlign w:val="center"/>
            <w:hideMark/>
          </w:tcPr>
          <w:p w14:paraId="55DEF67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IZOBRAŽEVALNI CENTER PIRAMIDA MARIBOR</w:t>
            </w:r>
          </w:p>
        </w:tc>
      </w:tr>
      <w:tr w:rsidR="00E3750C" w:rsidRPr="00415AB3" w14:paraId="2CBE74E4"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9E99B4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319</w:t>
            </w:r>
          </w:p>
        </w:tc>
        <w:tc>
          <w:tcPr>
            <w:tcW w:w="705" w:type="pct"/>
            <w:tcBorders>
              <w:top w:val="nil"/>
              <w:left w:val="nil"/>
              <w:bottom w:val="single" w:sz="4" w:space="0" w:color="auto"/>
              <w:right w:val="single" w:sz="4" w:space="0" w:color="auto"/>
            </w:tcBorders>
            <w:shd w:val="clear" w:color="auto" w:fill="auto"/>
            <w:noWrap/>
            <w:vAlign w:val="center"/>
            <w:hideMark/>
          </w:tcPr>
          <w:p w14:paraId="61F7CE9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6283519000</w:t>
            </w:r>
          </w:p>
        </w:tc>
        <w:tc>
          <w:tcPr>
            <w:tcW w:w="547" w:type="pct"/>
            <w:tcBorders>
              <w:top w:val="nil"/>
              <w:left w:val="nil"/>
              <w:bottom w:val="single" w:sz="4" w:space="0" w:color="auto"/>
              <w:right w:val="single" w:sz="4" w:space="0" w:color="auto"/>
            </w:tcBorders>
            <w:shd w:val="clear" w:color="auto" w:fill="auto"/>
            <w:noWrap/>
            <w:vAlign w:val="center"/>
            <w:hideMark/>
          </w:tcPr>
          <w:p w14:paraId="7ABE174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97712663</w:t>
            </w:r>
          </w:p>
        </w:tc>
        <w:tc>
          <w:tcPr>
            <w:tcW w:w="3360" w:type="pct"/>
            <w:tcBorders>
              <w:top w:val="nil"/>
              <w:left w:val="nil"/>
              <w:bottom w:val="single" w:sz="4" w:space="0" w:color="auto"/>
              <w:right w:val="single" w:sz="4" w:space="0" w:color="auto"/>
            </w:tcBorders>
            <w:shd w:val="clear" w:color="auto" w:fill="auto"/>
            <w:vAlign w:val="center"/>
            <w:hideMark/>
          </w:tcPr>
          <w:p w14:paraId="698EF79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JAVNA AGENCIJA REPUBLIKE SLOVENIJE ZA SPODBUJANJE PODJETNIŠTVA, INTERNACIONALIZACIJE, TUJIH INVESTICIJ IN TEHNOLOGIJE</w:t>
            </w:r>
          </w:p>
        </w:tc>
      </w:tr>
      <w:tr w:rsidR="00E3750C" w:rsidRPr="00415AB3" w14:paraId="32A2C03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197186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320</w:t>
            </w:r>
          </w:p>
        </w:tc>
        <w:tc>
          <w:tcPr>
            <w:tcW w:w="705" w:type="pct"/>
            <w:tcBorders>
              <w:top w:val="nil"/>
              <w:left w:val="nil"/>
              <w:bottom w:val="single" w:sz="4" w:space="0" w:color="auto"/>
              <w:right w:val="single" w:sz="4" w:space="0" w:color="auto"/>
            </w:tcBorders>
            <w:shd w:val="clear" w:color="auto" w:fill="auto"/>
            <w:noWrap/>
            <w:vAlign w:val="center"/>
            <w:hideMark/>
          </w:tcPr>
          <w:p w14:paraId="3C9035D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6889859000</w:t>
            </w:r>
          </w:p>
        </w:tc>
        <w:tc>
          <w:tcPr>
            <w:tcW w:w="547" w:type="pct"/>
            <w:tcBorders>
              <w:top w:val="nil"/>
              <w:left w:val="nil"/>
              <w:bottom w:val="single" w:sz="4" w:space="0" w:color="auto"/>
              <w:right w:val="single" w:sz="4" w:space="0" w:color="auto"/>
            </w:tcBorders>
            <w:shd w:val="clear" w:color="auto" w:fill="auto"/>
            <w:noWrap/>
            <w:vAlign w:val="center"/>
            <w:hideMark/>
          </w:tcPr>
          <w:p w14:paraId="036EF7D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93477902</w:t>
            </w:r>
          </w:p>
        </w:tc>
        <w:tc>
          <w:tcPr>
            <w:tcW w:w="3360" w:type="pct"/>
            <w:tcBorders>
              <w:top w:val="nil"/>
              <w:left w:val="nil"/>
              <w:bottom w:val="single" w:sz="4" w:space="0" w:color="auto"/>
              <w:right w:val="single" w:sz="4" w:space="0" w:color="auto"/>
            </w:tcBorders>
            <w:shd w:val="clear" w:color="auto" w:fill="auto"/>
            <w:vAlign w:val="center"/>
            <w:hideMark/>
          </w:tcPr>
          <w:p w14:paraId="5327A2F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JAVNA AGENCIJA REPUBLIKE SLOVENIJE ZA TRŽENJE IN PROMOCIJO TURIZMA</w:t>
            </w:r>
          </w:p>
        </w:tc>
      </w:tr>
      <w:tr w:rsidR="00E3750C" w:rsidRPr="00415AB3" w14:paraId="425B650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8B5789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321</w:t>
            </w:r>
          </w:p>
        </w:tc>
        <w:tc>
          <w:tcPr>
            <w:tcW w:w="705" w:type="pct"/>
            <w:tcBorders>
              <w:top w:val="nil"/>
              <w:left w:val="nil"/>
              <w:bottom w:val="single" w:sz="4" w:space="0" w:color="auto"/>
              <w:right w:val="single" w:sz="4" w:space="0" w:color="auto"/>
            </w:tcBorders>
            <w:shd w:val="clear" w:color="auto" w:fill="auto"/>
            <w:noWrap/>
            <w:vAlign w:val="center"/>
            <w:hideMark/>
          </w:tcPr>
          <w:p w14:paraId="54E10F6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3788164000</w:t>
            </w:r>
          </w:p>
        </w:tc>
        <w:tc>
          <w:tcPr>
            <w:tcW w:w="547" w:type="pct"/>
            <w:tcBorders>
              <w:top w:val="nil"/>
              <w:left w:val="nil"/>
              <w:bottom w:val="single" w:sz="4" w:space="0" w:color="auto"/>
              <w:right w:val="single" w:sz="4" w:space="0" w:color="auto"/>
            </w:tcBorders>
            <w:shd w:val="clear" w:color="auto" w:fill="auto"/>
            <w:noWrap/>
            <w:vAlign w:val="center"/>
            <w:hideMark/>
          </w:tcPr>
          <w:p w14:paraId="5919B41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23272856</w:t>
            </w:r>
          </w:p>
        </w:tc>
        <w:tc>
          <w:tcPr>
            <w:tcW w:w="3360" w:type="pct"/>
            <w:tcBorders>
              <w:top w:val="nil"/>
              <w:left w:val="nil"/>
              <w:bottom w:val="single" w:sz="4" w:space="0" w:color="auto"/>
              <w:right w:val="single" w:sz="4" w:space="0" w:color="auto"/>
            </w:tcBorders>
            <w:shd w:val="clear" w:color="auto" w:fill="auto"/>
            <w:vAlign w:val="center"/>
            <w:hideMark/>
          </w:tcPr>
          <w:p w14:paraId="4A1FD5D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JAVNA AGENCIJA REPUBLIKE SLOVENIJE ZA VARNOST PROMETA</w:t>
            </w:r>
          </w:p>
        </w:tc>
      </w:tr>
      <w:tr w:rsidR="00E3750C" w:rsidRPr="00415AB3" w14:paraId="6C9E7A7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73ED7A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322</w:t>
            </w:r>
          </w:p>
        </w:tc>
        <w:tc>
          <w:tcPr>
            <w:tcW w:w="705" w:type="pct"/>
            <w:tcBorders>
              <w:top w:val="nil"/>
              <w:left w:val="nil"/>
              <w:bottom w:val="single" w:sz="4" w:space="0" w:color="auto"/>
              <w:right w:val="single" w:sz="4" w:space="0" w:color="auto"/>
            </w:tcBorders>
            <w:shd w:val="clear" w:color="auto" w:fill="auto"/>
            <w:noWrap/>
            <w:vAlign w:val="center"/>
            <w:hideMark/>
          </w:tcPr>
          <w:p w14:paraId="50E3873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6280757000</w:t>
            </w:r>
          </w:p>
        </w:tc>
        <w:tc>
          <w:tcPr>
            <w:tcW w:w="547" w:type="pct"/>
            <w:tcBorders>
              <w:top w:val="nil"/>
              <w:left w:val="nil"/>
              <w:bottom w:val="single" w:sz="4" w:space="0" w:color="auto"/>
              <w:right w:val="single" w:sz="4" w:space="0" w:color="auto"/>
            </w:tcBorders>
            <w:shd w:val="clear" w:color="auto" w:fill="auto"/>
            <w:noWrap/>
            <w:vAlign w:val="center"/>
            <w:hideMark/>
          </w:tcPr>
          <w:p w14:paraId="43C7449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17283035</w:t>
            </w:r>
          </w:p>
        </w:tc>
        <w:tc>
          <w:tcPr>
            <w:tcW w:w="3360" w:type="pct"/>
            <w:tcBorders>
              <w:top w:val="nil"/>
              <w:left w:val="nil"/>
              <w:bottom w:val="single" w:sz="4" w:space="0" w:color="auto"/>
              <w:right w:val="single" w:sz="4" w:space="0" w:color="auto"/>
            </w:tcBorders>
            <w:shd w:val="clear" w:color="auto" w:fill="auto"/>
            <w:vAlign w:val="center"/>
            <w:hideMark/>
          </w:tcPr>
          <w:p w14:paraId="4EA009A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JAVNA AGENCIJA REPUBLIKE SLOVENIJE ZA VARSTVO KONKURENCE</w:t>
            </w:r>
          </w:p>
        </w:tc>
      </w:tr>
      <w:tr w:rsidR="00E3750C" w:rsidRPr="00415AB3" w14:paraId="27EECB28"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6CC452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323</w:t>
            </w:r>
          </w:p>
        </w:tc>
        <w:tc>
          <w:tcPr>
            <w:tcW w:w="705" w:type="pct"/>
            <w:tcBorders>
              <w:top w:val="nil"/>
              <w:left w:val="nil"/>
              <w:bottom w:val="single" w:sz="4" w:space="0" w:color="auto"/>
              <w:right w:val="single" w:sz="4" w:space="0" w:color="auto"/>
            </w:tcBorders>
            <w:shd w:val="clear" w:color="auto" w:fill="auto"/>
            <w:noWrap/>
            <w:vAlign w:val="center"/>
            <w:hideMark/>
          </w:tcPr>
          <w:p w14:paraId="3585A5A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2256584000</w:t>
            </w:r>
          </w:p>
        </w:tc>
        <w:tc>
          <w:tcPr>
            <w:tcW w:w="547" w:type="pct"/>
            <w:tcBorders>
              <w:top w:val="nil"/>
              <w:left w:val="nil"/>
              <w:bottom w:val="single" w:sz="4" w:space="0" w:color="auto"/>
              <w:right w:val="single" w:sz="4" w:space="0" w:color="auto"/>
            </w:tcBorders>
            <w:shd w:val="clear" w:color="auto" w:fill="auto"/>
            <w:noWrap/>
            <w:vAlign w:val="center"/>
            <w:hideMark/>
          </w:tcPr>
          <w:p w14:paraId="6330281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24862185</w:t>
            </w:r>
          </w:p>
        </w:tc>
        <w:tc>
          <w:tcPr>
            <w:tcW w:w="3360" w:type="pct"/>
            <w:tcBorders>
              <w:top w:val="nil"/>
              <w:left w:val="nil"/>
              <w:bottom w:val="single" w:sz="4" w:space="0" w:color="auto"/>
              <w:right w:val="single" w:sz="4" w:space="0" w:color="auto"/>
            </w:tcBorders>
            <w:shd w:val="clear" w:color="auto" w:fill="auto"/>
            <w:vAlign w:val="center"/>
            <w:hideMark/>
          </w:tcPr>
          <w:p w14:paraId="497EFE4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JAVNA AGENCIJA REPUBLIKE SLOVENIJE ZA ZDRAVILA IN MEDICINSKE PRIPOMOČKE</w:t>
            </w:r>
          </w:p>
        </w:tc>
      </w:tr>
      <w:tr w:rsidR="00E3750C" w:rsidRPr="00415AB3" w14:paraId="2F2637E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EF488B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324</w:t>
            </w:r>
          </w:p>
        </w:tc>
        <w:tc>
          <w:tcPr>
            <w:tcW w:w="705" w:type="pct"/>
            <w:tcBorders>
              <w:top w:val="nil"/>
              <w:left w:val="nil"/>
              <w:bottom w:val="single" w:sz="4" w:space="0" w:color="auto"/>
              <w:right w:val="single" w:sz="4" w:space="0" w:color="auto"/>
            </w:tcBorders>
            <w:shd w:val="clear" w:color="auto" w:fill="auto"/>
            <w:noWrap/>
            <w:vAlign w:val="center"/>
            <w:hideMark/>
          </w:tcPr>
          <w:p w14:paraId="562C828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3933083000</w:t>
            </w:r>
          </w:p>
        </w:tc>
        <w:tc>
          <w:tcPr>
            <w:tcW w:w="547" w:type="pct"/>
            <w:tcBorders>
              <w:top w:val="nil"/>
              <w:left w:val="nil"/>
              <w:bottom w:val="single" w:sz="4" w:space="0" w:color="auto"/>
              <w:right w:val="single" w:sz="4" w:space="0" w:color="auto"/>
            </w:tcBorders>
            <w:shd w:val="clear" w:color="auto" w:fill="auto"/>
            <w:noWrap/>
            <w:vAlign w:val="center"/>
            <w:hideMark/>
          </w:tcPr>
          <w:p w14:paraId="049876E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62730436</w:t>
            </w:r>
          </w:p>
        </w:tc>
        <w:tc>
          <w:tcPr>
            <w:tcW w:w="3360" w:type="pct"/>
            <w:tcBorders>
              <w:top w:val="nil"/>
              <w:left w:val="nil"/>
              <w:bottom w:val="single" w:sz="4" w:space="0" w:color="auto"/>
              <w:right w:val="single" w:sz="4" w:space="0" w:color="auto"/>
            </w:tcBorders>
            <w:shd w:val="clear" w:color="auto" w:fill="auto"/>
            <w:vAlign w:val="center"/>
            <w:hideMark/>
          </w:tcPr>
          <w:p w14:paraId="681600B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JAVNA AGENCIJA ZA CIVILNO LETALSTVO REPUBLIKE SLOVENIJE</w:t>
            </w:r>
          </w:p>
        </w:tc>
      </w:tr>
      <w:tr w:rsidR="00E3750C" w:rsidRPr="00415AB3" w14:paraId="707918F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83CA24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325</w:t>
            </w:r>
          </w:p>
        </w:tc>
        <w:tc>
          <w:tcPr>
            <w:tcW w:w="705" w:type="pct"/>
            <w:tcBorders>
              <w:top w:val="nil"/>
              <w:left w:val="nil"/>
              <w:bottom w:val="single" w:sz="4" w:space="0" w:color="auto"/>
              <w:right w:val="single" w:sz="4" w:space="0" w:color="auto"/>
            </w:tcBorders>
            <w:shd w:val="clear" w:color="auto" w:fill="auto"/>
            <w:noWrap/>
            <w:vAlign w:val="center"/>
            <w:hideMark/>
          </w:tcPr>
          <w:p w14:paraId="792AE23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3367622000</w:t>
            </w:r>
          </w:p>
        </w:tc>
        <w:tc>
          <w:tcPr>
            <w:tcW w:w="547" w:type="pct"/>
            <w:tcBorders>
              <w:top w:val="nil"/>
              <w:left w:val="nil"/>
              <w:bottom w:val="single" w:sz="4" w:space="0" w:color="auto"/>
              <w:right w:val="single" w:sz="4" w:space="0" w:color="auto"/>
            </w:tcBorders>
            <w:shd w:val="clear" w:color="auto" w:fill="auto"/>
            <w:noWrap/>
            <w:vAlign w:val="center"/>
            <w:hideMark/>
          </w:tcPr>
          <w:p w14:paraId="7D36844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68569203</w:t>
            </w:r>
          </w:p>
        </w:tc>
        <w:tc>
          <w:tcPr>
            <w:tcW w:w="3360" w:type="pct"/>
            <w:tcBorders>
              <w:top w:val="nil"/>
              <w:left w:val="nil"/>
              <w:bottom w:val="single" w:sz="4" w:space="0" w:color="auto"/>
              <w:right w:val="single" w:sz="4" w:space="0" w:color="auto"/>
            </w:tcBorders>
            <w:shd w:val="clear" w:color="auto" w:fill="auto"/>
            <w:vAlign w:val="center"/>
            <w:hideMark/>
          </w:tcPr>
          <w:p w14:paraId="2F7D2EC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JAVNA AGENCIJA ZA KNJIGO REPUBLIKE SLOVENIJE</w:t>
            </w:r>
          </w:p>
        </w:tc>
      </w:tr>
      <w:tr w:rsidR="00E3750C" w:rsidRPr="00415AB3" w14:paraId="3D8B647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0BF487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326</w:t>
            </w:r>
          </w:p>
        </w:tc>
        <w:tc>
          <w:tcPr>
            <w:tcW w:w="705" w:type="pct"/>
            <w:tcBorders>
              <w:top w:val="nil"/>
              <w:left w:val="nil"/>
              <w:bottom w:val="single" w:sz="4" w:space="0" w:color="auto"/>
              <w:right w:val="single" w:sz="4" w:space="0" w:color="auto"/>
            </w:tcBorders>
            <w:shd w:val="clear" w:color="auto" w:fill="auto"/>
            <w:noWrap/>
            <w:vAlign w:val="center"/>
            <w:hideMark/>
          </w:tcPr>
          <w:p w14:paraId="754BF8E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1937286000</w:t>
            </w:r>
          </w:p>
        </w:tc>
        <w:tc>
          <w:tcPr>
            <w:tcW w:w="547" w:type="pct"/>
            <w:tcBorders>
              <w:top w:val="nil"/>
              <w:left w:val="nil"/>
              <w:bottom w:val="single" w:sz="4" w:space="0" w:color="auto"/>
              <w:right w:val="single" w:sz="4" w:space="0" w:color="auto"/>
            </w:tcBorders>
            <w:shd w:val="clear" w:color="auto" w:fill="auto"/>
            <w:noWrap/>
            <w:vAlign w:val="center"/>
            <w:hideMark/>
          </w:tcPr>
          <w:p w14:paraId="7E99E4D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88431452</w:t>
            </w:r>
          </w:p>
        </w:tc>
        <w:tc>
          <w:tcPr>
            <w:tcW w:w="3360" w:type="pct"/>
            <w:tcBorders>
              <w:top w:val="nil"/>
              <w:left w:val="nil"/>
              <w:bottom w:val="single" w:sz="4" w:space="0" w:color="auto"/>
              <w:right w:val="single" w:sz="4" w:space="0" w:color="auto"/>
            </w:tcBorders>
            <w:shd w:val="clear" w:color="auto" w:fill="auto"/>
            <w:vAlign w:val="center"/>
            <w:hideMark/>
          </w:tcPr>
          <w:p w14:paraId="70EC8A8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JAVNA AGENCIJA ZA RAZISKOVALNO DEJAVNOST REPUBLIKE SLOVENIJE</w:t>
            </w:r>
          </w:p>
        </w:tc>
      </w:tr>
      <w:tr w:rsidR="00E3750C" w:rsidRPr="00415AB3" w14:paraId="3CA77AB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798FF3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327</w:t>
            </w:r>
          </w:p>
        </w:tc>
        <w:tc>
          <w:tcPr>
            <w:tcW w:w="705" w:type="pct"/>
            <w:tcBorders>
              <w:top w:val="nil"/>
              <w:left w:val="nil"/>
              <w:bottom w:val="single" w:sz="4" w:space="0" w:color="auto"/>
              <w:right w:val="single" w:sz="4" w:space="0" w:color="auto"/>
            </w:tcBorders>
            <w:shd w:val="clear" w:color="auto" w:fill="auto"/>
            <w:noWrap/>
            <w:vAlign w:val="center"/>
            <w:hideMark/>
          </w:tcPr>
          <w:p w14:paraId="3383DBB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1834452000</w:t>
            </w:r>
          </w:p>
        </w:tc>
        <w:tc>
          <w:tcPr>
            <w:tcW w:w="547" w:type="pct"/>
            <w:tcBorders>
              <w:top w:val="nil"/>
              <w:left w:val="nil"/>
              <w:bottom w:val="single" w:sz="4" w:space="0" w:color="auto"/>
              <w:right w:val="single" w:sz="4" w:space="0" w:color="auto"/>
            </w:tcBorders>
            <w:shd w:val="clear" w:color="auto" w:fill="auto"/>
            <w:noWrap/>
            <w:vAlign w:val="center"/>
            <w:hideMark/>
          </w:tcPr>
          <w:p w14:paraId="6490C32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19339496</w:t>
            </w:r>
          </w:p>
        </w:tc>
        <w:tc>
          <w:tcPr>
            <w:tcW w:w="3360" w:type="pct"/>
            <w:tcBorders>
              <w:top w:val="nil"/>
              <w:left w:val="nil"/>
              <w:bottom w:val="single" w:sz="4" w:space="0" w:color="auto"/>
              <w:right w:val="single" w:sz="4" w:space="0" w:color="auto"/>
            </w:tcBorders>
            <w:shd w:val="clear" w:color="auto" w:fill="auto"/>
            <w:vAlign w:val="center"/>
            <w:hideMark/>
          </w:tcPr>
          <w:p w14:paraId="209CDBC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JAVNA AGENCIJA ZA ŽELEZNIŠKI PROMET REPUBLIKE SLOVENIJE</w:t>
            </w:r>
          </w:p>
        </w:tc>
      </w:tr>
      <w:tr w:rsidR="00E3750C" w:rsidRPr="00415AB3" w14:paraId="23FC6AEA"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01BA52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328</w:t>
            </w:r>
          </w:p>
        </w:tc>
        <w:tc>
          <w:tcPr>
            <w:tcW w:w="705" w:type="pct"/>
            <w:tcBorders>
              <w:top w:val="nil"/>
              <w:left w:val="nil"/>
              <w:bottom w:val="single" w:sz="4" w:space="0" w:color="auto"/>
              <w:right w:val="single" w:sz="4" w:space="0" w:color="auto"/>
            </w:tcBorders>
            <w:shd w:val="clear" w:color="auto" w:fill="auto"/>
            <w:noWrap/>
            <w:vAlign w:val="center"/>
            <w:hideMark/>
          </w:tcPr>
          <w:p w14:paraId="3F9ADD5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3441890000</w:t>
            </w:r>
          </w:p>
        </w:tc>
        <w:tc>
          <w:tcPr>
            <w:tcW w:w="547" w:type="pct"/>
            <w:tcBorders>
              <w:top w:val="nil"/>
              <w:left w:val="nil"/>
              <w:bottom w:val="single" w:sz="4" w:space="0" w:color="auto"/>
              <w:right w:val="single" w:sz="4" w:space="0" w:color="auto"/>
            </w:tcBorders>
            <w:shd w:val="clear" w:color="auto" w:fill="auto"/>
            <w:noWrap/>
            <w:vAlign w:val="center"/>
            <w:hideMark/>
          </w:tcPr>
          <w:p w14:paraId="332A6A9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92851525</w:t>
            </w:r>
          </w:p>
        </w:tc>
        <w:tc>
          <w:tcPr>
            <w:tcW w:w="3360" w:type="pct"/>
            <w:tcBorders>
              <w:top w:val="nil"/>
              <w:left w:val="nil"/>
              <w:bottom w:val="single" w:sz="4" w:space="0" w:color="auto"/>
              <w:right w:val="single" w:sz="4" w:space="0" w:color="auto"/>
            </w:tcBorders>
            <w:shd w:val="clear" w:color="auto" w:fill="auto"/>
            <w:vAlign w:val="center"/>
            <w:hideMark/>
          </w:tcPr>
          <w:p w14:paraId="7D46E64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JAVNE SLUŽBE PTUJ, PODJETJE ZA IZVAJANJE GOSPODARSKIH JAVNIH SLUŽB IN DRUGIH DEJAVNOSTI, D.O.O.</w:t>
            </w:r>
          </w:p>
        </w:tc>
      </w:tr>
      <w:tr w:rsidR="00E3750C" w:rsidRPr="00415AB3" w14:paraId="79B1C66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59E4D1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329</w:t>
            </w:r>
          </w:p>
        </w:tc>
        <w:tc>
          <w:tcPr>
            <w:tcW w:w="705" w:type="pct"/>
            <w:tcBorders>
              <w:top w:val="nil"/>
              <w:left w:val="nil"/>
              <w:bottom w:val="single" w:sz="4" w:space="0" w:color="auto"/>
              <w:right w:val="single" w:sz="4" w:space="0" w:color="auto"/>
            </w:tcBorders>
            <w:shd w:val="clear" w:color="auto" w:fill="auto"/>
            <w:noWrap/>
            <w:vAlign w:val="center"/>
            <w:hideMark/>
          </w:tcPr>
          <w:p w14:paraId="44FFC95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1685953000</w:t>
            </w:r>
          </w:p>
        </w:tc>
        <w:tc>
          <w:tcPr>
            <w:tcW w:w="547" w:type="pct"/>
            <w:tcBorders>
              <w:top w:val="nil"/>
              <w:left w:val="nil"/>
              <w:bottom w:val="single" w:sz="4" w:space="0" w:color="auto"/>
              <w:right w:val="single" w:sz="4" w:space="0" w:color="auto"/>
            </w:tcBorders>
            <w:shd w:val="clear" w:color="auto" w:fill="auto"/>
            <w:noWrap/>
            <w:vAlign w:val="center"/>
            <w:hideMark/>
          </w:tcPr>
          <w:p w14:paraId="23DBD69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17471257</w:t>
            </w:r>
          </w:p>
        </w:tc>
        <w:tc>
          <w:tcPr>
            <w:tcW w:w="3360" w:type="pct"/>
            <w:tcBorders>
              <w:top w:val="nil"/>
              <w:left w:val="nil"/>
              <w:bottom w:val="single" w:sz="4" w:space="0" w:color="auto"/>
              <w:right w:val="single" w:sz="4" w:space="0" w:color="auto"/>
            </w:tcBorders>
            <w:shd w:val="clear" w:color="auto" w:fill="auto"/>
            <w:vAlign w:val="center"/>
            <w:hideMark/>
          </w:tcPr>
          <w:p w14:paraId="43C50DD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GOSPODARSKI ZAVOD PROTOKOLARNE STORITVE REPUBLIKE SLOVENIJE</w:t>
            </w:r>
          </w:p>
        </w:tc>
      </w:tr>
      <w:tr w:rsidR="00E3750C" w:rsidRPr="00415AB3" w14:paraId="60BB497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415459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330</w:t>
            </w:r>
          </w:p>
        </w:tc>
        <w:tc>
          <w:tcPr>
            <w:tcW w:w="705" w:type="pct"/>
            <w:tcBorders>
              <w:top w:val="nil"/>
              <w:left w:val="nil"/>
              <w:bottom w:val="single" w:sz="4" w:space="0" w:color="auto"/>
              <w:right w:val="single" w:sz="4" w:space="0" w:color="auto"/>
            </w:tcBorders>
            <w:shd w:val="clear" w:color="auto" w:fill="auto"/>
            <w:noWrap/>
            <w:vAlign w:val="center"/>
            <w:hideMark/>
          </w:tcPr>
          <w:p w14:paraId="2F1AB81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6785867000</w:t>
            </w:r>
          </w:p>
        </w:tc>
        <w:tc>
          <w:tcPr>
            <w:tcW w:w="547" w:type="pct"/>
            <w:tcBorders>
              <w:top w:val="nil"/>
              <w:left w:val="nil"/>
              <w:bottom w:val="single" w:sz="4" w:space="0" w:color="auto"/>
              <w:right w:val="single" w:sz="4" w:space="0" w:color="auto"/>
            </w:tcBorders>
            <w:shd w:val="clear" w:color="auto" w:fill="auto"/>
            <w:noWrap/>
            <w:vAlign w:val="center"/>
            <w:hideMark/>
          </w:tcPr>
          <w:p w14:paraId="2F156A8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74107879</w:t>
            </w:r>
          </w:p>
        </w:tc>
        <w:tc>
          <w:tcPr>
            <w:tcW w:w="3360" w:type="pct"/>
            <w:tcBorders>
              <w:top w:val="nil"/>
              <w:left w:val="nil"/>
              <w:bottom w:val="single" w:sz="4" w:space="0" w:color="auto"/>
              <w:right w:val="single" w:sz="4" w:space="0" w:color="auto"/>
            </w:tcBorders>
            <w:shd w:val="clear" w:color="auto" w:fill="auto"/>
            <w:vAlign w:val="center"/>
            <w:hideMark/>
          </w:tcPr>
          <w:p w14:paraId="63A58A6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GOSPODARSKI ZAVOD RINKA</w:t>
            </w:r>
          </w:p>
        </w:tc>
      </w:tr>
      <w:tr w:rsidR="00E3750C" w:rsidRPr="00415AB3" w14:paraId="2A56DA4E"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BFE2EF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331</w:t>
            </w:r>
          </w:p>
        </w:tc>
        <w:tc>
          <w:tcPr>
            <w:tcW w:w="705" w:type="pct"/>
            <w:tcBorders>
              <w:top w:val="nil"/>
              <w:left w:val="nil"/>
              <w:bottom w:val="single" w:sz="4" w:space="0" w:color="auto"/>
              <w:right w:val="single" w:sz="4" w:space="0" w:color="auto"/>
            </w:tcBorders>
            <w:shd w:val="clear" w:color="auto" w:fill="auto"/>
            <w:noWrap/>
            <w:vAlign w:val="center"/>
            <w:hideMark/>
          </w:tcPr>
          <w:p w14:paraId="315CF10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5860199000</w:t>
            </w:r>
          </w:p>
        </w:tc>
        <w:tc>
          <w:tcPr>
            <w:tcW w:w="547" w:type="pct"/>
            <w:tcBorders>
              <w:top w:val="nil"/>
              <w:left w:val="nil"/>
              <w:bottom w:val="single" w:sz="4" w:space="0" w:color="auto"/>
              <w:right w:val="single" w:sz="4" w:space="0" w:color="auto"/>
            </w:tcBorders>
            <w:shd w:val="clear" w:color="auto" w:fill="auto"/>
            <w:noWrap/>
            <w:vAlign w:val="center"/>
            <w:hideMark/>
          </w:tcPr>
          <w:p w14:paraId="5596987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57209294</w:t>
            </w:r>
          </w:p>
        </w:tc>
        <w:tc>
          <w:tcPr>
            <w:tcW w:w="3360" w:type="pct"/>
            <w:tcBorders>
              <w:top w:val="nil"/>
              <w:left w:val="nil"/>
              <w:bottom w:val="single" w:sz="4" w:space="0" w:color="auto"/>
              <w:right w:val="single" w:sz="4" w:space="0" w:color="auto"/>
            </w:tcBorders>
            <w:shd w:val="clear" w:color="auto" w:fill="auto"/>
            <w:vAlign w:val="center"/>
            <w:hideMark/>
          </w:tcPr>
          <w:p w14:paraId="0D63022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HOLDING LJUBLJANA, D.O.O., DRUŽBA ZA IZVAJANJE STROKOVNIH IN RAZVOJNIH NALOG NA PODROČJU GOSPODARSKIH JAVNIH SLUŽB</w:t>
            </w:r>
          </w:p>
        </w:tc>
      </w:tr>
      <w:tr w:rsidR="00E3750C" w:rsidRPr="00415AB3" w14:paraId="3E0C2123"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1019C0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332</w:t>
            </w:r>
          </w:p>
        </w:tc>
        <w:tc>
          <w:tcPr>
            <w:tcW w:w="705" w:type="pct"/>
            <w:tcBorders>
              <w:top w:val="nil"/>
              <w:left w:val="nil"/>
              <w:bottom w:val="single" w:sz="4" w:space="0" w:color="auto"/>
              <w:right w:val="single" w:sz="4" w:space="0" w:color="auto"/>
            </w:tcBorders>
            <w:shd w:val="clear" w:color="auto" w:fill="auto"/>
            <w:noWrap/>
            <w:vAlign w:val="center"/>
            <w:hideMark/>
          </w:tcPr>
          <w:p w14:paraId="15CBB38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8709459000</w:t>
            </w:r>
          </w:p>
        </w:tc>
        <w:tc>
          <w:tcPr>
            <w:tcW w:w="547" w:type="pct"/>
            <w:tcBorders>
              <w:top w:val="nil"/>
              <w:left w:val="nil"/>
              <w:bottom w:val="single" w:sz="4" w:space="0" w:color="auto"/>
              <w:right w:val="single" w:sz="4" w:space="0" w:color="auto"/>
            </w:tcBorders>
            <w:shd w:val="clear" w:color="auto" w:fill="auto"/>
            <w:noWrap/>
            <w:vAlign w:val="center"/>
            <w:hideMark/>
          </w:tcPr>
          <w:p w14:paraId="42B2121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56143028</w:t>
            </w:r>
          </w:p>
        </w:tc>
        <w:tc>
          <w:tcPr>
            <w:tcW w:w="3360" w:type="pct"/>
            <w:tcBorders>
              <w:top w:val="nil"/>
              <w:left w:val="nil"/>
              <w:bottom w:val="single" w:sz="4" w:space="0" w:color="auto"/>
              <w:right w:val="single" w:sz="4" w:space="0" w:color="auto"/>
            </w:tcBorders>
            <w:shd w:val="clear" w:color="auto" w:fill="auto"/>
            <w:vAlign w:val="center"/>
            <w:hideMark/>
          </w:tcPr>
          <w:p w14:paraId="446DA97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HOLDING MARIBOR, DRUŽBA ZA IZVAJANJE STROKOVNIH IN RAZVOJNIH NALOG NA PODROČJU GOSPODARSKIH JAVNIH SLUŽB D.O.O.</w:t>
            </w:r>
          </w:p>
        </w:tc>
      </w:tr>
      <w:tr w:rsidR="00E3750C" w:rsidRPr="00415AB3" w14:paraId="390E269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26017C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333</w:t>
            </w:r>
          </w:p>
        </w:tc>
        <w:tc>
          <w:tcPr>
            <w:tcW w:w="705" w:type="pct"/>
            <w:tcBorders>
              <w:top w:val="nil"/>
              <w:left w:val="nil"/>
              <w:bottom w:val="single" w:sz="4" w:space="0" w:color="auto"/>
              <w:right w:val="single" w:sz="4" w:space="0" w:color="auto"/>
            </w:tcBorders>
            <w:shd w:val="clear" w:color="auto" w:fill="auto"/>
            <w:noWrap/>
            <w:vAlign w:val="center"/>
            <w:hideMark/>
          </w:tcPr>
          <w:p w14:paraId="6B7DF66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5053838000</w:t>
            </w:r>
          </w:p>
        </w:tc>
        <w:tc>
          <w:tcPr>
            <w:tcW w:w="547" w:type="pct"/>
            <w:tcBorders>
              <w:top w:val="nil"/>
              <w:left w:val="nil"/>
              <w:bottom w:val="single" w:sz="4" w:space="0" w:color="auto"/>
              <w:right w:val="single" w:sz="4" w:space="0" w:color="auto"/>
            </w:tcBorders>
            <w:shd w:val="clear" w:color="auto" w:fill="auto"/>
            <w:noWrap/>
            <w:vAlign w:val="center"/>
            <w:hideMark/>
          </w:tcPr>
          <w:p w14:paraId="5A61B81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95883312</w:t>
            </w:r>
          </w:p>
        </w:tc>
        <w:tc>
          <w:tcPr>
            <w:tcW w:w="3360" w:type="pct"/>
            <w:tcBorders>
              <w:top w:val="nil"/>
              <w:left w:val="nil"/>
              <w:bottom w:val="single" w:sz="4" w:space="0" w:color="auto"/>
              <w:right w:val="single" w:sz="4" w:space="0" w:color="auto"/>
            </w:tcBorders>
            <w:shd w:val="clear" w:color="auto" w:fill="auto"/>
            <w:vAlign w:val="center"/>
            <w:hideMark/>
          </w:tcPr>
          <w:p w14:paraId="71DFFD8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LEKARNIŠKI ZAVOD GORENJSKE LEKARNE</w:t>
            </w:r>
          </w:p>
        </w:tc>
      </w:tr>
      <w:tr w:rsidR="00E3750C" w:rsidRPr="00415AB3" w14:paraId="621463F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EEA72B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334</w:t>
            </w:r>
          </w:p>
        </w:tc>
        <w:tc>
          <w:tcPr>
            <w:tcW w:w="705" w:type="pct"/>
            <w:tcBorders>
              <w:top w:val="nil"/>
              <w:left w:val="nil"/>
              <w:bottom w:val="single" w:sz="4" w:space="0" w:color="auto"/>
              <w:right w:val="single" w:sz="4" w:space="0" w:color="auto"/>
            </w:tcBorders>
            <w:shd w:val="clear" w:color="auto" w:fill="auto"/>
            <w:noWrap/>
            <w:vAlign w:val="center"/>
            <w:hideMark/>
          </w:tcPr>
          <w:p w14:paraId="333F17B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5054419000</w:t>
            </w:r>
          </w:p>
        </w:tc>
        <w:tc>
          <w:tcPr>
            <w:tcW w:w="547" w:type="pct"/>
            <w:tcBorders>
              <w:top w:val="nil"/>
              <w:left w:val="nil"/>
              <w:bottom w:val="single" w:sz="4" w:space="0" w:color="auto"/>
              <w:right w:val="single" w:sz="4" w:space="0" w:color="auto"/>
            </w:tcBorders>
            <w:shd w:val="clear" w:color="auto" w:fill="auto"/>
            <w:noWrap/>
            <w:vAlign w:val="center"/>
            <w:hideMark/>
          </w:tcPr>
          <w:p w14:paraId="167CB30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30129915</w:t>
            </w:r>
          </w:p>
        </w:tc>
        <w:tc>
          <w:tcPr>
            <w:tcW w:w="3360" w:type="pct"/>
            <w:tcBorders>
              <w:top w:val="nil"/>
              <w:left w:val="nil"/>
              <w:bottom w:val="single" w:sz="4" w:space="0" w:color="auto"/>
              <w:right w:val="single" w:sz="4" w:space="0" w:color="auto"/>
            </w:tcBorders>
            <w:shd w:val="clear" w:color="auto" w:fill="auto"/>
            <w:vAlign w:val="center"/>
            <w:hideMark/>
          </w:tcPr>
          <w:p w14:paraId="48EDB3B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LEKARNIŠKI ZAVOD MARIBORSKE LEKARNE MARIBOR</w:t>
            </w:r>
          </w:p>
        </w:tc>
      </w:tr>
      <w:tr w:rsidR="00E3750C" w:rsidRPr="00415AB3" w14:paraId="5B4EAFA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34B2D6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335</w:t>
            </w:r>
          </w:p>
        </w:tc>
        <w:tc>
          <w:tcPr>
            <w:tcW w:w="705" w:type="pct"/>
            <w:tcBorders>
              <w:top w:val="nil"/>
              <w:left w:val="nil"/>
              <w:bottom w:val="single" w:sz="4" w:space="0" w:color="auto"/>
              <w:right w:val="single" w:sz="4" w:space="0" w:color="auto"/>
            </w:tcBorders>
            <w:shd w:val="clear" w:color="auto" w:fill="auto"/>
            <w:noWrap/>
            <w:vAlign w:val="center"/>
            <w:hideMark/>
          </w:tcPr>
          <w:p w14:paraId="3619B73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5805295000</w:t>
            </w:r>
          </w:p>
        </w:tc>
        <w:tc>
          <w:tcPr>
            <w:tcW w:w="547" w:type="pct"/>
            <w:tcBorders>
              <w:top w:val="nil"/>
              <w:left w:val="nil"/>
              <w:bottom w:val="single" w:sz="4" w:space="0" w:color="auto"/>
              <w:right w:val="single" w:sz="4" w:space="0" w:color="auto"/>
            </w:tcBorders>
            <w:shd w:val="clear" w:color="auto" w:fill="auto"/>
            <w:noWrap/>
            <w:vAlign w:val="center"/>
            <w:hideMark/>
          </w:tcPr>
          <w:p w14:paraId="13976B7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21002266</w:t>
            </w:r>
          </w:p>
        </w:tc>
        <w:tc>
          <w:tcPr>
            <w:tcW w:w="3360" w:type="pct"/>
            <w:tcBorders>
              <w:top w:val="nil"/>
              <w:left w:val="nil"/>
              <w:bottom w:val="single" w:sz="4" w:space="0" w:color="auto"/>
              <w:right w:val="single" w:sz="4" w:space="0" w:color="auto"/>
            </w:tcBorders>
            <w:shd w:val="clear" w:color="auto" w:fill="auto"/>
            <w:vAlign w:val="center"/>
            <w:hideMark/>
          </w:tcPr>
          <w:p w14:paraId="33017E1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MEDOBČINSKI STANOVANJSKI SKLAD MARIBOR</w:t>
            </w:r>
          </w:p>
        </w:tc>
      </w:tr>
      <w:tr w:rsidR="00E3750C" w:rsidRPr="00415AB3" w14:paraId="7E2BB691" w14:textId="77777777" w:rsidTr="00047864">
        <w:trPr>
          <w:trHeight w:val="9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4B5E3E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336</w:t>
            </w:r>
          </w:p>
        </w:tc>
        <w:tc>
          <w:tcPr>
            <w:tcW w:w="705" w:type="pct"/>
            <w:tcBorders>
              <w:top w:val="nil"/>
              <w:left w:val="nil"/>
              <w:bottom w:val="single" w:sz="4" w:space="0" w:color="auto"/>
              <w:right w:val="single" w:sz="4" w:space="0" w:color="auto"/>
            </w:tcBorders>
            <w:shd w:val="clear" w:color="auto" w:fill="auto"/>
            <w:noWrap/>
            <w:vAlign w:val="center"/>
            <w:hideMark/>
          </w:tcPr>
          <w:p w14:paraId="00F4D1E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5888298000</w:t>
            </w:r>
          </w:p>
        </w:tc>
        <w:tc>
          <w:tcPr>
            <w:tcW w:w="547" w:type="pct"/>
            <w:tcBorders>
              <w:top w:val="nil"/>
              <w:left w:val="nil"/>
              <w:bottom w:val="single" w:sz="4" w:space="0" w:color="auto"/>
              <w:right w:val="single" w:sz="4" w:space="0" w:color="auto"/>
            </w:tcBorders>
            <w:shd w:val="clear" w:color="auto" w:fill="auto"/>
            <w:noWrap/>
            <w:vAlign w:val="center"/>
            <w:hideMark/>
          </w:tcPr>
          <w:p w14:paraId="4B25AC1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76367029</w:t>
            </w:r>
          </w:p>
        </w:tc>
        <w:tc>
          <w:tcPr>
            <w:tcW w:w="3360" w:type="pct"/>
            <w:tcBorders>
              <w:top w:val="nil"/>
              <w:left w:val="nil"/>
              <w:bottom w:val="single" w:sz="4" w:space="0" w:color="auto"/>
              <w:right w:val="single" w:sz="4" w:space="0" w:color="auto"/>
            </w:tcBorders>
            <w:shd w:val="clear" w:color="auto" w:fill="auto"/>
            <w:vAlign w:val="center"/>
            <w:hideMark/>
          </w:tcPr>
          <w:p w14:paraId="7F47BD0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SKLAD REPUBLIKE SLOVENIJE ZA FINANCIRANJE RAZGRADNJE NUKLEARNE ELEKTRARNE KRŠKO IN ODLAGANJA RADIOAKTIVNIH ODPADKOV IN IZRABLJENEGA GORIVA IZ NUKLEARNE ELEKTRARNE KRŠKO</w:t>
            </w:r>
          </w:p>
        </w:tc>
      </w:tr>
      <w:tr w:rsidR="00E3750C" w:rsidRPr="00415AB3" w14:paraId="6756C3A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E07D0C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337</w:t>
            </w:r>
          </w:p>
        </w:tc>
        <w:tc>
          <w:tcPr>
            <w:tcW w:w="705" w:type="pct"/>
            <w:tcBorders>
              <w:top w:val="nil"/>
              <w:left w:val="nil"/>
              <w:bottom w:val="single" w:sz="4" w:space="0" w:color="auto"/>
              <w:right w:val="single" w:sz="4" w:space="0" w:color="auto"/>
            </w:tcBorders>
            <w:shd w:val="clear" w:color="auto" w:fill="auto"/>
            <w:noWrap/>
            <w:vAlign w:val="center"/>
            <w:hideMark/>
          </w:tcPr>
          <w:p w14:paraId="3CE18F7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5523362000</w:t>
            </w:r>
          </w:p>
        </w:tc>
        <w:tc>
          <w:tcPr>
            <w:tcW w:w="547" w:type="pct"/>
            <w:tcBorders>
              <w:top w:val="nil"/>
              <w:left w:val="nil"/>
              <w:bottom w:val="single" w:sz="4" w:space="0" w:color="auto"/>
              <w:right w:val="single" w:sz="4" w:space="0" w:color="auto"/>
            </w:tcBorders>
            <w:shd w:val="clear" w:color="auto" w:fill="auto"/>
            <w:noWrap/>
            <w:vAlign w:val="center"/>
            <w:hideMark/>
          </w:tcPr>
          <w:p w14:paraId="3449264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58045473</w:t>
            </w:r>
          </w:p>
        </w:tc>
        <w:tc>
          <w:tcPr>
            <w:tcW w:w="3360" w:type="pct"/>
            <w:tcBorders>
              <w:top w:val="nil"/>
              <w:left w:val="nil"/>
              <w:bottom w:val="single" w:sz="4" w:space="0" w:color="auto"/>
              <w:right w:val="single" w:sz="4" w:space="0" w:color="auto"/>
            </w:tcBorders>
            <w:shd w:val="clear" w:color="auto" w:fill="auto"/>
            <w:vAlign w:val="center"/>
            <w:hideMark/>
          </w:tcPr>
          <w:p w14:paraId="754EB3D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SKLAD REPUBLIKE SLOVENIJE ZA PODJETNIŠTVO</w:t>
            </w:r>
          </w:p>
        </w:tc>
      </w:tr>
      <w:tr w:rsidR="00E3750C" w:rsidRPr="00415AB3" w14:paraId="6D76F948"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69BE70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338</w:t>
            </w:r>
          </w:p>
        </w:tc>
        <w:tc>
          <w:tcPr>
            <w:tcW w:w="705" w:type="pct"/>
            <w:tcBorders>
              <w:top w:val="nil"/>
              <w:left w:val="nil"/>
              <w:bottom w:val="single" w:sz="4" w:space="0" w:color="auto"/>
              <w:right w:val="single" w:sz="4" w:space="0" w:color="auto"/>
            </w:tcBorders>
            <w:shd w:val="clear" w:color="auto" w:fill="auto"/>
            <w:noWrap/>
            <w:vAlign w:val="center"/>
            <w:hideMark/>
          </w:tcPr>
          <w:p w14:paraId="25FBEFA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5940117000</w:t>
            </w:r>
          </w:p>
        </w:tc>
        <w:tc>
          <w:tcPr>
            <w:tcW w:w="547" w:type="pct"/>
            <w:tcBorders>
              <w:top w:val="nil"/>
              <w:left w:val="nil"/>
              <w:bottom w:val="single" w:sz="4" w:space="0" w:color="auto"/>
              <w:right w:val="single" w:sz="4" w:space="0" w:color="auto"/>
            </w:tcBorders>
            <w:shd w:val="clear" w:color="auto" w:fill="auto"/>
            <w:noWrap/>
            <w:vAlign w:val="center"/>
            <w:hideMark/>
          </w:tcPr>
          <w:p w14:paraId="4D26E01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92466834</w:t>
            </w:r>
          </w:p>
        </w:tc>
        <w:tc>
          <w:tcPr>
            <w:tcW w:w="3360" w:type="pct"/>
            <w:tcBorders>
              <w:top w:val="nil"/>
              <w:left w:val="nil"/>
              <w:bottom w:val="single" w:sz="4" w:space="0" w:color="auto"/>
              <w:right w:val="single" w:sz="4" w:space="0" w:color="auto"/>
            </w:tcBorders>
            <w:shd w:val="clear" w:color="auto" w:fill="auto"/>
            <w:vAlign w:val="center"/>
            <w:hideMark/>
          </w:tcPr>
          <w:p w14:paraId="6770CD0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SKLAD REPUBLIKE SLOVENIJE ZA REGIONALNI RAZVOJ IN RAZVOJ PODEŽELJA</w:t>
            </w:r>
          </w:p>
        </w:tc>
      </w:tr>
      <w:tr w:rsidR="00E3750C" w:rsidRPr="00415AB3" w14:paraId="3D170C9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8463AA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339</w:t>
            </w:r>
          </w:p>
        </w:tc>
        <w:tc>
          <w:tcPr>
            <w:tcW w:w="705" w:type="pct"/>
            <w:tcBorders>
              <w:top w:val="nil"/>
              <w:left w:val="nil"/>
              <w:bottom w:val="single" w:sz="4" w:space="0" w:color="auto"/>
              <w:right w:val="single" w:sz="4" w:space="0" w:color="auto"/>
            </w:tcBorders>
            <w:shd w:val="clear" w:color="auto" w:fill="auto"/>
            <w:noWrap/>
            <w:vAlign w:val="center"/>
            <w:hideMark/>
          </w:tcPr>
          <w:p w14:paraId="0944663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5839114000</w:t>
            </w:r>
          </w:p>
        </w:tc>
        <w:tc>
          <w:tcPr>
            <w:tcW w:w="547" w:type="pct"/>
            <w:tcBorders>
              <w:top w:val="nil"/>
              <w:left w:val="nil"/>
              <w:bottom w:val="single" w:sz="4" w:space="0" w:color="auto"/>
              <w:right w:val="single" w:sz="4" w:space="0" w:color="auto"/>
            </w:tcBorders>
            <w:shd w:val="clear" w:color="auto" w:fill="auto"/>
            <w:noWrap/>
            <w:vAlign w:val="center"/>
            <w:hideMark/>
          </w:tcPr>
          <w:p w14:paraId="2013290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30762553</w:t>
            </w:r>
          </w:p>
        </w:tc>
        <w:tc>
          <w:tcPr>
            <w:tcW w:w="3360" w:type="pct"/>
            <w:tcBorders>
              <w:top w:val="nil"/>
              <w:left w:val="nil"/>
              <w:bottom w:val="single" w:sz="4" w:space="0" w:color="auto"/>
              <w:right w:val="single" w:sz="4" w:space="0" w:color="auto"/>
            </w:tcBorders>
            <w:shd w:val="clear" w:color="auto" w:fill="auto"/>
            <w:vAlign w:val="center"/>
            <w:hideMark/>
          </w:tcPr>
          <w:p w14:paraId="1A189BA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STANOVANJSKI SKLAD MESTNE OBČINE KOPER</w:t>
            </w:r>
          </w:p>
        </w:tc>
      </w:tr>
      <w:tr w:rsidR="00E3750C" w:rsidRPr="00415AB3" w14:paraId="54E9728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849B61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340</w:t>
            </w:r>
          </w:p>
        </w:tc>
        <w:tc>
          <w:tcPr>
            <w:tcW w:w="705" w:type="pct"/>
            <w:tcBorders>
              <w:top w:val="nil"/>
              <w:left w:val="nil"/>
              <w:bottom w:val="single" w:sz="4" w:space="0" w:color="auto"/>
              <w:right w:val="single" w:sz="4" w:space="0" w:color="auto"/>
            </w:tcBorders>
            <w:shd w:val="clear" w:color="auto" w:fill="auto"/>
            <w:noWrap/>
            <w:vAlign w:val="center"/>
            <w:hideMark/>
          </w:tcPr>
          <w:p w14:paraId="7EDAAE7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1719572000</w:t>
            </w:r>
          </w:p>
        </w:tc>
        <w:tc>
          <w:tcPr>
            <w:tcW w:w="547" w:type="pct"/>
            <w:tcBorders>
              <w:top w:val="nil"/>
              <w:left w:val="nil"/>
              <w:bottom w:val="single" w:sz="4" w:space="0" w:color="auto"/>
              <w:right w:val="single" w:sz="4" w:space="0" w:color="auto"/>
            </w:tcBorders>
            <w:shd w:val="clear" w:color="auto" w:fill="auto"/>
            <w:noWrap/>
            <w:vAlign w:val="center"/>
            <w:hideMark/>
          </w:tcPr>
          <w:p w14:paraId="266535C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41717031</w:t>
            </w:r>
          </w:p>
        </w:tc>
        <w:tc>
          <w:tcPr>
            <w:tcW w:w="3360" w:type="pct"/>
            <w:tcBorders>
              <w:top w:val="nil"/>
              <w:left w:val="nil"/>
              <w:bottom w:val="single" w:sz="4" w:space="0" w:color="auto"/>
              <w:right w:val="single" w:sz="4" w:space="0" w:color="auto"/>
            </w:tcBorders>
            <w:shd w:val="clear" w:color="auto" w:fill="auto"/>
            <w:vAlign w:val="center"/>
            <w:hideMark/>
          </w:tcPr>
          <w:p w14:paraId="13CDB01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STANOVANJSKI SKLAD MESTNE OBČINE LJUBLJANA</w:t>
            </w:r>
          </w:p>
        </w:tc>
      </w:tr>
      <w:tr w:rsidR="00E3750C" w:rsidRPr="00415AB3" w14:paraId="6714E27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ADB1E1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341</w:t>
            </w:r>
          </w:p>
        </w:tc>
        <w:tc>
          <w:tcPr>
            <w:tcW w:w="705" w:type="pct"/>
            <w:tcBorders>
              <w:top w:val="nil"/>
              <w:left w:val="nil"/>
              <w:bottom w:val="single" w:sz="4" w:space="0" w:color="auto"/>
              <w:right w:val="single" w:sz="4" w:space="0" w:color="auto"/>
            </w:tcBorders>
            <w:shd w:val="clear" w:color="auto" w:fill="auto"/>
            <w:noWrap/>
            <w:vAlign w:val="center"/>
            <w:hideMark/>
          </w:tcPr>
          <w:p w14:paraId="631D9CD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5929512000</w:t>
            </w:r>
          </w:p>
        </w:tc>
        <w:tc>
          <w:tcPr>
            <w:tcW w:w="547" w:type="pct"/>
            <w:tcBorders>
              <w:top w:val="nil"/>
              <w:left w:val="nil"/>
              <w:bottom w:val="single" w:sz="4" w:space="0" w:color="auto"/>
              <w:right w:val="single" w:sz="4" w:space="0" w:color="auto"/>
            </w:tcBorders>
            <w:shd w:val="clear" w:color="auto" w:fill="auto"/>
            <w:noWrap/>
            <w:vAlign w:val="center"/>
            <w:hideMark/>
          </w:tcPr>
          <w:p w14:paraId="02179B9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69687943</w:t>
            </w:r>
          </w:p>
        </w:tc>
        <w:tc>
          <w:tcPr>
            <w:tcW w:w="3360" w:type="pct"/>
            <w:tcBorders>
              <w:top w:val="nil"/>
              <w:left w:val="nil"/>
              <w:bottom w:val="single" w:sz="4" w:space="0" w:color="auto"/>
              <w:right w:val="single" w:sz="4" w:space="0" w:color="auto"/>
            </w:tcBorders>
            <w:shd w:val="clear" w:color="auto" w:fill="auto"/>
            <w:vAlign w:val="center"/>
            <w:hideMark/>
          </w:tcPr>
          <w:p w14:paraId="5EB8800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STANOVANJSKI SKLAD MESTNE OBČINE MURSKA SOBOTA</w:t>
            </w:r>
          </w:p>
        </w:tc>
      </w:tr>
      <w:tr w:rsidR="00E3750C" w:rsidRPr="00415AB3" w14:paraId="0770A8F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740D01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342</w:t>
            </w:r>
          </w:p>
        </w:tc>
        <w:tc>
          <w:tcPr>
            <w:tcW w:w="705" w:type="pct"/>
            <w:tcBorders>
              <w:top w:val="nil"/>
              <w:left w:val="nil"/>
              <w:bottom w:val="single" w:sz="4" w:space="0" w:color="auto"/>
              <w:right w:val="single" w:sz="4" w:space="0" w:color="auto"/>
            </w:tcBorders>
            <w:shd w:val="clear" w:color="auto" w:fill="auto"/>
            <w:noWrap/>
            <w:vAlign w:val="center"/>
            <w:hideMark/>
          </w:tcPr>
          <w:p w14:paraId="7C7CBD0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9188037000</w:t>
            </w:r>
          </w:p>
        </w:tc>
        <w:tc>
          <w:tcPr>
            <w:tcW w:w="547" w:type="pct"/>
            <w:tcBorders>
              <w:top w:val="nil"/>
              <w:left w:val="nil"/>
              <w:bottom w:val="single" w:sz="4" w:space="0" w:color="auto"/>
              <w:right w:val="single" w:sz="4" w:space="0" w:color="auto"/>
            </w:tcBorders>
            <w:shd w:val="clear" w:color="auto" w:fill="auto"/>
            <w:noWrap/>
            <w:vAlign w:val="center"/>
            <w:hideMark/>
          </w:tcPr>
          <w:p w14:paraId="586D97B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63051958</w:t>
            </w:r>
          </w:p>
        </w:tc>
        <w:tc>
          <w:tcPr>
            <w:tcW w:w="3360" w:type="pct"/>
            <w:tcBorders>
              <w:top w:val="nil"/>
              <w:left w:val="nil"/>
              <w:bottom w:val="single" w:sz="4" w:space="0" w:color="auto"/>
              <w:right w:val="single" w:sz="4" w:space="0" w:color="auto"/>
            </w:tcBorders>
            <w:shd w:val="clear" w:color="auto" w:fill="auto"/>
            <w:vAlign w:val="center"/>
            <w:hideMark/>
          </w:tcPr>
          <w:p w14:paraId="7F62AC1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STANOVANJSKI SKLAD MESTNE OBČINE NOVO MESTO</w:t>
            </w:r>
          </w:p>
        </w:tc>
      </w:tr>
      <w:tr w:rsidR="00E3750C" w:rsidRPr="00415AB3" w14:paraId="7674B60B"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80E4DE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343</w:t>
            </w:r>
          </w:p>
        </w:tc>
        <w:tc>
          <w:tcPr>
            <w:tcW w:w="705" w:type="pct"/>
            <w:tcBorders>
              <w:top w:val="nil"/>
              <w:left w:val="nil"/>
              <w:bottom w:val="single" w:sz="4" w:space="0" w:color="auto"/>
              <w:right w:val="single" w:sz="4" w:space="0" w:color="auto"/>
            </w:tcBorders>
            <w:shd w:val="clear" w:color="auto" w:fill="auto"/>
            <w:noWrap/>
            <w:vAlign w:val="center"/>
            <w:hideMark/>
          </w:tcPr>
          <w:p w14:paraId="27CFE97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1198459000</w:t>
            </w:r>
          </w:p>
        </w:tc>
        <w:tc>
          <w:tcPr>
            <w:tcW w:w="547" w:type="pct"/>
            <w:tcBorders>
              <w:top w:val="nil"/>
              <w:left w:val="nil"/>
              <w:bottom w:val="single" w:sz="4" w:space="0" w:color="auto"/>
              <w:right w:val="single" w:sz="4" w:space="0" w:color="auto"/>
            </w:tcBorders>
            <w:shd w:val="clear" w:color="auto" w:fill="auto"/>
            <w:noWrap/>
            <w:vAlign w:val="center"/>
            <w:hideMark/>
          </w:tcPr>
          <w:p w14:paraId="6E3C63C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86279670</w:t>
            </w:r>
          </w:p>
        </w:tc>
        <w:tc>
          <w:tcPr>
            <w:tcW w:w="3360" w:type="pct"/>
            <w:tcBorders>
              <w:top w:val="nil"/>
              <w:left w:val="nil"/>
              <w:bottom w:val="single" w:sz="4" w:space="0" w:color="auto"/>
              <w:right w:val="single" w:sz="4" w:space="0" w:color="auto"/>
            </w:tcBorders>
            <w:shd w:val="clear" w:color="auto" w:fill="auto"/>
            <w:vAlign w:val="center"/>
            <w:hideMark/>
          </w:tcPr>
          <w:p w14:paraId="1DCDAD0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ŠTIPENDIJSKI, RAZVOJNI, INVALIDSKI IN PREŽIVNINSKI SKLAD REPUBLIKE SLOVENIJE</w:t>
            </w:r>
          </w:p>
        </w:tc>
      </w:tr>
      <w:tr w:rsidR="00E3750C" w:rsidRPr="00415AB3" w14:paraId="758F8507"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678BA8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344</w:t>
            </w:r>
          </w:p>
        </w:tc>
        <w:tc>
          <w:tcPr>
            <w:tcW w:w="705" w:type="pct"/>
            <w:tcBorders>
              <w:top w:val="nil"/>
              <w:left w:val="nil"/>
              <w:bottom w:val="single" w:sz="4" w:space="0" w:color="auto"/>
              <w:right w:val="single" w:sz="4" w:space="0" w:color="auto"/>
            </w:tcBorders>
            <w:shd w:val="clear" w:color="auto" w:fill="auto"/>
            <w:noWrap/>
            <w:vAlign w:val="center"/>
            <w:hideMark/>
          </w:tcPr>
          <w:p w14:paraId="1098DB0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5086990000</w:t>
            </w:r>
          </w:p>
        </w:tc>
        <w:tc>
          <w:tcPr>
            <w:tcW w:w="547" w:type="pct"/>
            <w:tcBorders>
              <w:top w:val="nil"/>
              <w:left w:val="nil"/>
              <w:bottom w:val="single" w:sz="4" w:space="0" w:color="auto"/>
              <w:right w:val="single" w:sz="4" w:space="0" w:color="auto"/>
            </w:tcBorders>
            <w:shd w:val="clear" w:color="auto" w:fill="auto"/>
            <w:noWrap/>
            <w:vAlign w:val="center"/>
            <w:hideMark/>
          </w:tcPr>
          <w:p w14:paraId="5317A3D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68493002</w:t>
            </w:r>
          </w:p>
        </w:tc>
        <w:tc>
          <w:tcPr>
            <w:tcW w:w="3360" w:type="pct"/>
            <w:tcBorders>
              <w:top w:val="nil"/>
              <w:left w:val="nil"/>
              <w:bottom w:val="single" w:sz="4" w:space="0" w:color="auto"/>
              <w:right w:val="single" w:sz="4" w:space="0" w:color="auto"/>
            </w:tcBorders>
            <w:shd w:val="clear" w:color="auto" w:fill="auto"/>
            <w:vAlign w:val="center"/>
            <w:hideMark/>
          </w:tcPr>
          <w:p w14:paraId="4CF5321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VZGOJNO IZOBRAŽEVALNI ZAVOD OSNOVNA ŠOLA DESTRNIK - TRNOVSKA VAS</w:t>
            </w:r>
          </w:p>
        </w:tc>
      </w:tr>
      <w:tr w:rsidR="00E3750C" w:rsidRPr="00415AB3" w14:paraId="150CE445"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DEF543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345</w:t>
            </w:r>
          </w:p>
        </w:tc>
        <w:tc>
          <w:tcPr>
            <w:tcW w:w="705" w:type="pct"/>
            <w:tcBorders>
              <w:top w:val="nil"/>
              <w:left w:val="nil"/>
              <w:bottom w:val="single" w:sz="4" w:space="0" w:color="auto"/>
              <w:right w:val="single" w:sz="4" w:space="0" w:color="auto"/>
            </w:tcBorders>
            <w:shd w:val="clear" w:color="auto" w:fill="auto"/>
            <w:noWrap/>
            <w:vAlign w:val="center"/>
            <w:hideMark/>
          </w:tcPr>
          <w:p w14:paraId="017F2A7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5084016000</w:t>
            </w:r>
          </w:p>
        </w:tc>
        <w:tc>
          <w:tcPr>
            <w:tcW w:w="547" w:type="pct"/>
            <w:tcBorders>
              <w:top w:val="nil"/>
              <w:left w:val="nil"/>
              <w:bottom w:val="single" w:sz="4" w:space="0" w:color="auto"/>
              <w:right w:val="single" w:sz="4" w:space="0" w:color="auto"/>
            </w:tcBorders>
            <w:shd w:val="clear" w:color="auto" w:fill="auto"/>
            <w:noWrap/>
            <w:vAlign w:val="center"/>
            <w:hideMark/>
          </w:tcPr>
          <w:p w14:paraId="068DA2B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43386024</w:t>
            </w:r>
          </w:p>
        </w:tc>
        <w:tc>
          <w:tcPr>
            <w:tcW w:w="3360" w:type="pct"/>
            <w:tcBorders>
              <w:top w:val="nil"/>
              <w:left w:val="nil"/>
              <w:bottom w:val="single" w:sz="4" w:space="0" w:color="auto"/>
              <w:right w:val="single" w:sz="4" w:space="0" w:color="auto"/>
            </w:tcBorders>
            <w:shd w:val="clear" w:color="auto" w:fill="auto"/>
            <w:vAlign w:val="center"/>
            <w:hideMark/>
          </w:tcPr>
          <w:p w14:paraId="02A87E9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VZGOJNO-IZOBRAŽEVALNI IN VZGOJNO-VARSTVENI ZAVOD OSNOVNA ŠOLA CERKVENJAK-VITOMARCI</w:t>
            </w:r>
          </w:p>
        </w:tc>
      </w:tr>
      <w:tr w:rsidR="00E3750C" w:rsidRPr="00415AB3" w14:paraId="6B554633"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A9DDFD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346</w:t>
            </w:r>
          </w:p>
        </w:tc>
        <w:tc>
          <w:tcPr>
            <w:tcW w:w="705" w:type="pct"/>
            <w:tcBorders>
              <w:top w:val="nil"/>
              <w:left w:val="nil"/>
              <w:bottom w:val="single" w:sz="4" w:space="0" w:color="auto"/>
              <w:right w:val="single" w:sz="4" w:space="0" w:color="auto"/>
            </w:tcBorders>
            <w:shd w:val="clear" w:color="auto" w:fill="auto"/>
            <w:noWrap/>
            <w:vAlign w:val="center"/>
            <w:hideMark/>
          </w:tcPr>
          <w:p w14:paraId="05A23AE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5084024000</w:t>
            </w:r>
          </w:p>
        </w:tc>
        <w:tc>
          <w:tcPr>
            <w:tcW w:w="547" w:type="pct"/>
            <w:tcBorders>
              <w:top w:val="nil"/>
              <w:left w:val="nil"/>
              <w:bottom w:val="single" w:sz="4" w:space="0" w:color="auto"/>
              <w:right w:val="single" w:sz="4" w:space="0" w:color="auto"/>
            </w:tcBorders>
            <w:shd w:val="clear" w:color="auto" w:fill="auto"/>
            <w:noWrap/>
            <w:vAlign w:val="center"/>
            <w:hideMark/>
          </w:tcPr>
          <w:p w14:paraId="3BB9464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94208247</w:t>
            </w:r>
          </w:p>
        </w:tc>
        <w:tc>
          <w:tcPr>
            <w:tcW w:w="3360" w:type="pct"/>
            <w:tcBorders>
              <w:top w:val="nil"/>
              <w:left w:val="nil"/>
              <w:bottom w:val="single" w:sz="4" w:space="0" w:color="auto"/>
              <w:right w:val="single" w:sz="4" w:space="0" w:color="auto"/>
            </w:tcBorders>
            <w:shd w:val="clear" w:color="auto" w:fill="auto"/>
            <w:vAlign w:val="center"/>
            <w:hideMark/>
          </w:tcPr>
          <w:p w14:paraId="4DCA777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VZGOJNO-IZOBRAŽEVALNI IN VZGOJNO-VARSTVENI ZAVOD OSNOVNA ŠOLA IN VRTEC SV. TROJICA</w:t>
            </w:r>
          </w:p>
        </w:tc>
      </w:tr>
      <w:tr w:rsidR="00E3750C" w:rsidRPr="00415AB3" w14:paraId="7FBB5B39"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173010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347</w:t>
            </w:r>
          </w:p>
        </w:tc>
        <w:tc>
          <w:tcPr>
            <w:tcW w:w="705" w:type="pct"/>
            <w:tcBorders>
              <w:top w:val="nil"/>
              <w:left w:val="nil"/>
              <w:bottom w:val="single" w:sz="4" w:space="0" w:color="auto"/>
              <w:right w:val="single" w:sz="4" w:space="0" w:color="auto"/>
            </w:tcBorders>
            <w:shd w:val="clear" w:color="auto" w:fill="auto"/>
            <w:noWrap/>
            <w:vAlign w:val="center"/>
            <w:hideMark/>
          </w:tcPr>
          <w:p w14:paraId="73FC003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5090105000</w:t>
            </w:r>
          </w:p>
        </w:tc>
        <w:tc>
          <w:tcPr>
            <w:tcW w:w="547" w:type="pct"/>
            <w:tcBorders>
              <w:top w:val="nil"/>
              <w:left w:val="nil"/>
              <w:bottom w:val="single" w:sz="4" w:space="0" w:color="auto"/>
              <w:right w:val="single" w:sz="4" w:space="0" w:color="auto"/>
            </w:tcBorders>
            <w:shd w:val="clear" w:color="auto" w:fill="auto"/>
            <w:noWrap/>
            <w:vAlign w:val="center"/>
            <w:hideMark/>
          </w:tcPr>
          <w:p w14:paraId="25A0926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40918807</w:t>
            </w:r>
          </w:p>
        </w:tc>
        <w:tc>
          <w:tcPr>
            <w:tcW w:w="3360" w:type="pct"/>
            <w:tcBorders>
              <w:top w:val="nil"/>
              <w:left w:val="nil"/>
              <w:bottom w:val="single" w:sz="4" w:space="0" w:color="auto"/>
              <w:right w:val="single" w:sz="4" w:space="0" w:color="auto"/>
            </w:tcBorders>
            <w:shd w:val="clear" w:color="auto" w:fill="auto"/>
            <w:vAlign w:val="center"/>
            <w:hideMark/>
          </w:tcPr>
          <w:p w14:paraId="1C1C2B7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VZGOJNO-IZOBRAŽEVALNI IN VZGOJNOVARSTVENI ZAVOD OSNOVNA ŠOLA JOŽETA HUDALESA JUROVSKI DOL</w:t>
            </w:r>
          </w:p>
        </w:tc>
      </w:tr>
      <w:tr w:rsidR="00E3750C" w:rsidRPr="00415AB3" w14:paraId="76E8B81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1A79D5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348</w:t>
            </w:r>
          </w:p>
        </w:tc>
        <w:tc>
          <w:tcPr>
            <w:tcW w:w="705" w:type="pct"/>
            <w:tcBorders>
              <w:top w:val="nil"/>
              <w:left w:val="nil"/>
              <w:bottom w:val="single" w:sz="4" w:space="0" w:color="auto"/>
              <w:right w:val="single" w:sz="4" w:space="0" w:color="auto"/>
            </w:tcBorders>
            <w:shd w:val="clear" w:color="auto" w:fill="auto"/>
            <w:noWrap/>
            <w:vAlign w:val="center"/>
            <w:hideMark/>
          </w:tcPr>
          <w:p w14:paraId="264C8B7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5050987000</w:t>
            </w:r>
          </w:p>
        </w:tc>
        <w:tc>
          <w:tcPr>
            <w:tcW w:w="547" w:type="pct"/>
            <w:tcBorders>
              <w:top w:val="nil"/>
              <w:left w:val="nil"/>
              <w:bottom w:val="single" w:sz="4" w:space="0" w:color="auto"/>
              <w:right w:val="single" w:sz="4" w:space="0" w:color="auto"/>
            </w:tcBorders>
            <w:shd w:val="clear" w:color="auto" w:fill="auto"/>
            <w:noWrap/>
            <w:vAlign w:val="center"/>
            <w:hideMark/>
          </w:tcPr>
          <w:p w14:paraId="618E50A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53006933</w:t>
            </w:r>
          </w:p>
        </w:tc>
        <w:tc>
          <w:tcPr>
            <w:tcW w:w="3360" w:type="pct"/>
            <w:tcBorders>
              <w:top w:val="nil"/>
              <w:left w:val="nil"/>
              <w:bottom w:val="single" w:sz="4" w:space="0" w:color="auto"/>
              <w:right w:val="single" w:sz="4" w:space="0" w:color="auto"/>
            </w:tcBorders>
            <w:shd w:val="clear" w:color="auto" w:fill="auto"/>
            <w:vAlign w:val="center"/>
            <w:hideMark/>
          </w:tcPr>
          <w:p w14:paraId="2BB9185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VZGOJNO-IZOBRAŽEVALNI ZAVOD - VRTEC SEMEDELA</w:t>
            </w:r>
          </w:p>
        </w:tc>
      </w:tr>
      <w:tr w:rsidR="00E3750C" w:rsidRPr="00415AB3" w14:paraId="0A41C75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8EB6AC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349</w:t>
            </w:r>
          </w:p>
        </w:tc>
        <w:tc>
          <w:tcPr>
            <w:tcW w:w="705" w:type="pct"/>
            <w:tcBorders>
              <w:top w:val="nil"/>
              <w:left w:val="nil"/>
              <w:bottom w:val="single" w:sz="4" w:space="0" w:color="auto"/>
              <w:right w:val="single" w:sz="4" w:space="0" w:color="auto"/>
            </w:tcBorders>
            <w:shd w:val="clear" w:color="auto" w:fill="auto"/>
            <w:noWrap/>
            <w:vAlign w:val="center"/>
            <w:hideMark/>
          </w:tcPr>
          <w:p w14:paraId="5A6C2A1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5800790000</w:t>
            </w:r>
          </w:p>
        </w:tc>
        <w:tc>
          <w:tcPr>
            <w:tcW w:w="547" w:type="pct"/>
            <w:tcBorders>
              <w:top w:val="nil"/>
              <w:left w:val="nil"/>
              <w:bottom w:val="single" w:sz="4" w:space="0" w:color="auto"/>
              <w:right w:val="single" w:sz="4" w:space="0" w:color="auto"/>
            </w:tcBorders>
            <w:shd w:val="clear" w:color="auto" w:fill="auto"/>
            <w:noWrap/>
            <w:vAlign w:val="center"/>
            <w:hideMark/>
          </w:tcPr>
          <w:p w14:paraId="0297670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60942991</w:t>
            </w:r>
          </w:p>
        </w:tc>
        <w:tc>
          <w:tcPr>
            <w:tcW w:w="3360" w:type="pct"/>
            <w:tcBorders>
              <w:top w:val="nil"/>
              <w:left w:val="nil"/>
              <w:bottom w:val="single" w:sz="4" w:space="0" w:color="auto"/>
              <w:right w:val="single" w:sz="4" w:space="0" w:color="auto"/>
            </w:tcBorders>
            <w:shd w:val="clear" w:color="auto" w:fill="auto"/>
            <w:vAlign w:val="center"/>
            <w:hideMark/>
          </w:tcPr>
          <w:p w14:paraId="0557897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VZGOJNO-IZOBRAŽEVALNI ZAVOD GLASBENA ŠOLA NAZARJE</w:t>
            </w:r>
          </w:p>
        </w:tc>
      </w:tr>
      <w:tr w:rsidR="00E3750C" w:rsidRPr="00415AB3" w14:paraId="3710F752"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8884F8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350</w:t>
            </w:r>
          </w:p>
        </w:tc>
        <w:tc>
          <w:tcPr>
            <w:tcW w:w="705" w:type="pct"/>
            <w:tcBorders>
              <w:top w:val="nil"/>
              <w:left w:val="nil"/>
              <w:bottom w:val="single" w:sz="4" w:space="0" w:color="auto"/>
              <w:right w:val="single" w:sz="4" w:space="0" w:color="auto"/>
            </w:tcBorders>
            <w:shd w:val="clear" w:color="auto" w:fill="auto"/>
            <w:noWrap/>
            <w:vAlign w:val="center"/>
            <w:hideMark/>
          </w:tcPr>
          <w:p w14:paraId="405FA1D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5676509000</w:t>
            </w:r>
          </w:p>
        </w:tc>
        <w:tc>
          <w:tcPr>
            <w:tcW w:w="547" w:type="pct"/>
            <w:tcBorders>
              <w:top w:val="nil"/>
              <w:left w:val="nil"/>
              <w:bottom w:val="single" w:sz="4" w:space="0" w:color="auto"/>
              <w:right w:val="single" w:sz="4" w:space="0" w:color="auto"/>
            </w:tcBorders>
            <w:shd w:val="clear" w:color="auto" w:fill="auto"/>
            <w:noWrap/>
            <w:vAlign w:val="center"/>
            <w:hideMark/>
          </w:tcPr>
          <w:p w14:paraId="2FD0D06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13973665</w:t>
            </w:r>
          </w:p>
        </w:tc>
        <w:tc>
          <w:tcPr>
            <w:tcW w:w="3360" w:type="pct"/>
            <w:tcBorders>
              <w:top w:val="nil"/>
              <w:left w:val="nil"/>
              <w:bottom w:val="single" w:sz="4" w:space="0" w:color="auto"/>
              <w:right w:val="single" w:sz="4" w:space="0" w:color="auto"/>
            </w:tcBorders>
            <w:shd w:val="clear" w:color="auto" w:fill="auto"/>
            <w:vAlign w:val="center"/>
            <w:hideMark/>
          </w:tcPr>
          <w:p w14:paraId="78D8FA8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VZGOJNO-IZOBRAŽEVALNI ZAVOD GLASBENA ŠOLA ROGAŠKA SLATINA</w:t>
            </w:r>
          </w:p>
        </w:tc>
      </w:tr>
      <w:tr w:rsidR="00E3750C" w:rsidRPr="00415AB3" w14:paraId="274DCB6C"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0ECE79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351</w:t>
            </w:r>
          </w:p>
        </w:tc>
        <w:tc>
          <w:tcPr>
            <w:tcW w:w="705" w:type="pct"/>
            <w:tcBorders>
              <w:top w:val="nil"/>
              <w:left w:val="nil"/>
              <w:bottom w:val="single" w:sz="4" w:space="0" w:color="auto"/>
              <w:right w:val="single" w:sz="4" w:space="0" w:color="auto"/>
            </w:tcBorders>
            <w:shd w:val="clear" w:color="auto" w:fill="auto"/>
            <w:noWrap/>
            <w:vAlign w:val="center"/>
            <w:hideMark/>
          </w:tcPr>
          <w:p w14:paraId="3B7E88A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5087953000</w:t>
            </w:r>
          </w:p>
        </w:tc>
        <w:tc>
          <w:tcPr>
            <w:tcW w:w="547" w:type="pct"/>
            <w:tcBorders>
              <w:top w:val="nil"/>
              <w:left w:val="nil"/>
              <w:bottom w:val="single" w:sz="4" w:space="0" w:color="auto"/>
              <w:right w:val="single" w:sz="4" w:space="0" w:color="auto"/>
            </w:tcBorders>
            <w:shd w:val="clear" w:color="auto" w:fill="auto"/>
            <w:noWrap/>
            <w:vAlign w:val="center"/>
            <w:hideMark/>
          </w:tcPr>
          <w:p w14:paraId="004CD92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16457617</w:t>
            </w:r>
          </w:p>
        </w:tc>
        <w:tc>
          <w:tcPr>
            <w:tcW w:w="3360" w:type="pct"/>
            <w:tcBorders>
              <w:top w:val="nil"/>
              <w:left w:val="nil"/>
              <w:bottom w:val="single" w:sz="4" w:space="0" w:color="auto"/>
              <w:right w:val="single" w:sz="4" w:space="0" w:color="auto"/>
            </w:tcBorders>
            <w:shd w:val="clear" w:color="auto" w:fill="auto"/>
            <w:vAlign w:val="center"/>
            <w:hideMark/>
          </w:tcPr>
          <w:p w14:paraId="1F33F51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VZGOJNO-IZOBRAŽEVALNI ZAVOD I. OSNOVNA ŠOLA ROGAŠKA SLATINA</w:t>
            </w:r>
          </w:p>
        </w:tc>
      </w:tr>
      <w:tr w:rsidR="00E3750C" w:rsidRPr="00415AB3" w14:paraId="7E917693"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E81B73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352</w:t>
            </w:r>
          </w:p>
        </w:tc>
        <w:tc>
          <w:tcPr>
            <w:tcW w:w="705" w:type="pct"/>
            <w:tcBorders>
              <w:top w:val="nil"/>
              <w:left w:val="nil"/>
              <w:bottom w:val="single" w:sz="4" w:space="0" w:color="auto"/>
              <w:right w:val="single" w:sz="4" w:space="0" w:color="auto"/>
            </w:tcBorders>
            <w:shd w:val="clear" w:color="auto" w:fill="auto"/>
            <w:noWrap/>
            <w:vAlign w:val="center"/>
            <w:hideMark/>
          </w:tcPr>
          <w:p w14:paraId="015E8FA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5278945000</w:t>
            </w:r>
          </w:p>
        </w:tc>
        <w:tc>
          <w:tcPr>
            <w:tcW w:w="547" w:type="pct"/>
            <w:tcBorders>
              <w:top w:val="nil"/>
              <w:left w:val="nil"/>
              <w:bottom w:val="single" w:sz="4" w:space="0" w:color="auto"/>
              <w:right w:val="single" w:sz="4" w:space="0" w:color="auto"/>
            </w:tcBorders>
            <w:shd w:val="clear" w:color="auto" w:fill="auto"/>
            <w:noWrap/>
            <w:vAlign w:val="center"/>
            <w:hideMark/>
          </w:tcPr>
          <w:p w14:paraId="23BA997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60425571</w:t>
            </w:r>
          </w:p>
        </w:tc>
        <w:tc>
          <w:tcPr>
            <w:tcW w:w="3360" w:type="pct"/>
            <w:tcBorders>
              <w:top w:val="nil"/>
              <w:left w:val="nil"/>
              <w:bottom w:val="single" w:sz="4" w:space="0" w:color="auto"/>
              <w:right w:val="single" w:sz="4" w:space="0" w:color="auto"/>
            </w:tcBorders>
            <w:shd w:val="clear" w:color="auto" w:fill="auto"/>
            <w:vAlign w:val="center"/>
            <w:hideMark/>
          </w:tcPr>
          <w:p w14:paraId="489E5E3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VZGOJNO-IZOBRAŽEVALNI ZAVOD II. OSNOVNA ŠOLA ROGAŠKA SLATINA</w:t>
            </w:r>
          </w:p>
        </w:tc>
      </w:tr>
      <w:tr w:rsidR="00E3750C" w:rsidRPr="00415AB3" w14:paraId="4E7A2DE1"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D7EE10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353</w:t>
            </w:r>
          </w:p>
        </w:tc>
        <w:tc>
          <w:tcPr>
            <w:tcW w:w="705" w:type="pct"/>
            <w:tcBorders>
              <w:top w:val="nil"/>
              <w:left w:val="nil"/>
              <w:bottom w:val="single" w:sz="4" w:space="0" w:color="auto"/>
              <w:right w:val="single" w:sz="4" w:space="0" w:color="auto"/>
            </w:tcBorders>
            <w:shd w:val="clear" w:color="auto" w:fill="auto"/>
            <w:noWrap/>
            <w:vAlign w:val="center"/>
            <w:hideMark/>
          </w:tcPr>
          <w:p w14:paraId="778BE50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5087961000</w:t>
            </w:r>
          </w:p>
        </w:tc>
        <w:tc>
          <w:tcPr>
            <w:tcW w:w="547" w:type="pct"/>
            <w:tcBorders>
              <w:top w:val="nil"/>
              <w:left w:val="nil"/>
              <w:bottom w:val="single" w:sz="4" w:space="0" w:color="auto"/>
              <w:right w:val="single" w:sz="4" w:space="0" w:color="auto"/>
            </w:tcBorders>
            <w:shd w:val="clear" w:color="auto" w:fill="auto"/>
            <w:noWrap/>
            <w:vAlign w:val="center"/>
            <w:hideMark/>
          </w:tcPr>
          <w:p w14:paraId="4CDDC6F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49830082</w:t>
            </w:r>
          </w:p>
        </w:tc>
        <w:tc>
          <w:tcPr>
            <w:tcW w:w="3360" w:type="pct"/>
            <w:tcBorders>
              <w:top w:val="nil"/>
              <w:left w:val="nil"/>
              <w:bottom w:val="single" w:sz="4" w:space="0" w:color="auto"/>
              <w:right w:val="single" w:sz="4" w:space="0" w:color="auto"/>
            </w:tcBorders>
            <w:shd w:val="clear" w:color="auto" w:fill="auto"/>
            <w:vAlign w:val="center"/>
            <w:hideMark/>
          </w:tcPr>
          <w:p w14:paraId="7327873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VZGOJNO-IZOBRAŽEVALNI ZAVOD III. OSNOVNA ŠOLA ROGAŠKA SLATINA</w:t>
            </w:r>
          </w:p>
        </w:tc>
      </w:tr>
      <w:tr w:rsidR="00E3750C" w:rsidRPr="00415AB3" w14:paraId="7B16BB0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03EEAE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354</w:t>
            </w:r>
          </w:p>
        </w:tc>
        <w:tc>
          <w:tcPr>
            <w:tcW w:w="705" w:type="pct"/>
            <w:tcBorders>
              <w:top w:val="nil"/>
              <w:left w:val="nil"/>
              <w:bottom w:val="single" w:sz="4" w:space="0" w:color="auto"/>
              <w:right w:val="single" w:sz="4" w:space="0" w:color="auto"/>
            </w:tcBorders>
            <w:shd w:val="clear" w:color="auto" w:fill="auto"/>
            <w:noWrap/>
            <w:vAlign w:val="center"/>
            <w:hideMark/>
          </w:tcPr>
          <w:p w14:paraId="48C580E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5084032000</w:t>
            </w:r>
          </w:p>
        </w:tc>
        <w:tc>
          <w:tcPr>
            <w:tcW w:w="547" w:type="pct"/>
            <w:tcBorders>
              <w:top w:val="nil"/>
              <w:left w:val="nil"/>
              <w:bottom w:val="single" w:sz="4" w:space="0" w:color="auto"/>
              <w:right w:val="single" w:sz="4" w:space="0" w:color="auto"/>
            </w:tcBorders>
            <w:shd w:val="clear" w:color="auto" w:fill="auto"/>
            <w:noWrap/>
            <w:vAlign w:val="center"/>
            <w:hideMark/>
          </w:tcPr>
          <w:p w14:paraId="5BEFA6A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83252517</w:t>
            </w:r>
          </w:p>
        </w:tc>
        <w:tc>
          <w:tcPr>
            <w:tcW w:w="3360" w:type="pct"/>
            <w:tcBorders>
              <w:top w:val="nil"/>
              <w:left w:val="nil"/>
              <w:bottom w:val="single" w:sz="4" w:space="0" w:color="auto"/>
              <w:right w:val="single" w:sz="4" w:space="0" w:color="auto"/>
            </w:tcBorders>
            <w:shd w:val="clear" w:color="auto" w:fill="auto"/>
            <w:vAlign w:val="center"/>
            <w:hideMark/>
          </w:tcPr>
          <w:p w14:paraId="13D8B14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VZGOJNO-IZOBRAŽEVALNI ZAVOD OSNOVNA ŠOLA BENEDIKT</w:t>
            </w:r>
          </w:p>
        </w:tc>
      </w:tr>
      <w:tr w:rsidR="00E3750C" w:rsidRPr="00415AB3" w14:paraId="7582913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210DBA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355</w:t>
            </w:r>
          </w:p>
        </w:tc>
        <w:tc>
          <w:tcPr>
            <w:tcW w:w="705" w:type="pct"/>
            <w:tcBorders>
              <w:top w:val="nil"/>
              <w:left w:val="nil"/>
              <w:bottom w:val="single" w:sz="4" w:space="0" w:color="auto"/>
              <w:right w:val="single" w:sz="4" w:space="0" w:color="auto"/>
            </w:tcBorders>
            <w:shd w:val="clear" w:color="auto" w:fill="auto"/>
            <w:noWrap/>
            <w:vAlign w:val="center"/>
            <w:hideMark/>
          </w:tcPr>
          <w:p w14:paraId="4BC7317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5088836000</w:t>
            </w:r>
          </w:p>
        </w:tc>
        <w:tc>
          <w:tcPr>
            <w:tcW w:w="547" w:type="pct"/>
            <w:tcBorders>
              <w:top w:val="nil"/>
              <w:left w:val="nil"/>
              <w:bottom w:val="single" w:sz="4" w:space="0" w:color="auto"/>
              <w:right w:val="single" w:sz="4" w:space="0" w:color="auto"/>
            </w:tcBorders>
            <w:shd w:val="clear" w:color="auto" w:fill="auto"/>
            <w:noWrap/>
            <w:vAlign w:val="center"/>
            <w:hideMark/>
          </w:tcPr>
          <w:p w14:paraId="33C18AF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10092293</w:t>
            </w:r>
          </w:p>
        </w:tc>
        <w:tc>
          <w:tcPr>
            <w:tcW w:w="3360" w:type="pct"/>
            <w:tcBorders>
              <w:top w:val="nil"/>
              <w:left w:val="nil"/>
              <w:bottom w:val="single" w:sz="4" w:space="0" w:color="auto"/>
              <w:right w:val="single" w:sz="4" w:space="0" w:color="auto"/>
            </w:tcBorders>
            <w:shd w:val="clear" w:color="auto" w:fill="auto"/>
            <w:vAlign w:val="center"/>
            <w:hideMark/>
          </w:tcPr>
          <w:p w14:paraId="22FD967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VZGOJNOIZOBRAŽEVALNI ZAVOD OŠ JAKOBSKI DOL</w:t>
            </w:r>
          </w:p>
        </w:tc>
      </w:tr>
      <w:tr w:rsidR="00E3750C" w:rsidRPr="00415AB3" w14:paraId="1594A4C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D0B104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356</w:t>
            </w:r>
          </w:p>
        </w:tc>
        <w:tc>
          <w:tcPr>
            <w:tcW w:w="705" w:type="pct"/>
            <w:tcBorders>
              <w:top w:val="nil"/>
              <w:left w:val="nil"/>
              <w:bottom w:val="single" w:sz="4" w:space="0" w:color="auto"/>
              <w:right w:val="single" w:sz="4" w:space="0" w:color="auto"/>
            </w:tcBorders>
            <w:shd w:val="clear" w:color="auto" w:fill="auto"/>
            <w:noWrap/>
            <w:vAlign w:val="center"/>
            <w:hideMark/>
          </w:tcPr>
          <w:p w14:paraId="1C7D41E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5049806000</w:t>
            </w:r>
          </w:p>
        </w:tc>
        <w:tc>
          <w:tcPr>
            <w:tcW w:w="547" w:type="pct"/>
            <w:tcBorders>
              <w:top w:val="nil"/>
              <w:left w:val="nil"/>
              <w:bottom w:val="single" w:sz="4" w:space="0" w:color="auto"/>
              <w:right w:val="single" w:sz="4" w:space="0" w:color="auto"/>
            </w:tcBorders>
            <w:shd w:val="clear" w:color="auto" w:fill="auto"/>
            <w:noWrap/>
            <w:vAlign w:val="center"/>
            <w:hideMark/>
          </w:tcPr>
          <w:p w14:paraId="0C55EBE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33963878</w:t>
            </w:r>
          </w:p>
        </w:tc>
        <w:tc>
          <w:tcPr>
            <w:tcW w:w="3360" w:type="pct"/>
            <w:tcBorders>
              <w:top w:val="nil"/>
              <w:left w:val="nil"/>
              <w:bottom w:val="single" w:sz="4" w:space="0" w:color="auto"/>
              <w:right w:val="single" w:sz="4" w:space="0" w:color="auto"/>
            </w:tcBorders>
            <w:shd w:val="clear" w:color="auto" w:fill="auto"/>
            <w:vAlign w:val="center"/>
            <w:hideMark/>
          </w:tcPr>
          <w:p w14:paraId="57488EA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VZGOJNO-IZOBRAŽEVALNI ZAVOD VRTEC KOPER</w:t>
            </w:r>
          </w:p>
        </w:tc>
      </w:tr>
      <w:tr w:rsidR="00E3750C" w:rsidRPr="00415AB3" w14:paraId="177B148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28274E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357</w:t>
            </w:r>
          </w:p>
        </w:tc>
        <w:tc>
          <w:tcPr>
            <w:tcW w:w="705" w:type="pct"/>
            <w:tcBorders>
              <w:top w:val="nil"/>
              <w:left w:val="nil"/>
              <w:bottom w:val="single" w:sz="4" w:space="0" w:color="auto"/>
              <w:right w:val="single" w:sz="4" w:space="0" w:color="auto"/>
            </w:tcBorders>
            <w:shd w:val="clear" w:color="auto" w:fill="auto"/>
            <w:noWrap/>
            <w:vAlign w:val="center"/>
            <w:hideMark/>
          </w:tcPr>
          <w:p w14:paraId="61CACEF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5929768000</w:t>
            </w:r>
          </w:p>
        </w:tc>
        <w:tc>
          <w:tcPr>
            <w:tcW w:w="547" w:type="pct"/>
            <w:tcBorders>
              <w:top w:val="nil"/>
              <w:left w:val="nil"/>
              <w:bottom w:val="single" w:sz="4" w:space="0" w:color="auto"/>
              <w:right w:val="single" w:sz="4" w:space="0" w:color="auto"/>
            </w:tcBorders>
            <w:shd w:val="clear" w:color="auto" w:fill="auto"/>
            <w:noWrap/>
            <w:vAlign w:val="center"/>
            <w:hideMark/>
          </w:tcPr>
          <w:p w14:paraId="3C73349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81674791</w:t>
            </w:r>
          </w:p>
        </w:tc>
        <w:tc>
          <w:tcPr>
            <w:tcW w:w="3360" w:type="pct"/>
            <w:tcBorders>
              <w:top w:val="nil"/>
              <w:left w:val="nil"/>
              <w:bottom w:val="single" w:sz="4" w:space="0" w:color="auto"/>
              <w:right w:val="single" w:sz="4" w:space="0" w:color="auto"/>
            </w:tcBorders>
            <w:shd w:val="clear" w:color="auto" w:fill="auto"/>
            <w:vAlign w:val="center"/>
            <w:hideMark/>
          </w:tcPr>
          <w:p w14:paraId="2AB5B20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VZGOJNO-IZOBRAŽEVALNI ZAVOD VRTEC ROGAŠKA SLATINA</w:t>
            </w:r>
          </w:p>
        </w:tc>
      </w:tr>
      <w:tr w:rsidR="00E3750C" w:rsidRPr="00415AB3" w14:paraId="6116936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7CF470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358</w:t>
            </w:r>
          </w:p>
        </w:tc>
        <w:tc>
          <w:tcPr>
            <w:tcW w:w="705" w:type="pct"/>
            <w:tcBorders>
              <w:top w:val="nil"/>
              <w:left w:val="nil"/>
              <w:bottom w:val="single" w:sz="4" w:space="0" w:color="auto"/>
              <w:right w:val="single" w:sz="4" w:space="0" w:color="auto"/>
            </w:tcBorders>
            <w:shd w:val="clear" w:color="auto" w:fill="auto"/>
            <w:noWrap/>
            <w:vAlign w:val="center"/>
            <w:hideMark/>
          </w:tcPr>
          <w:p w14:paraId="15E5868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6461921000</w:t>
            </w:r>
          </w:p>
        </w:tc>
        <w:tc>
          <w:tcPr>
            <w:tcW w:w="547" w:type="pct"/>
            <w:tcBorders>
              <w:top w:val="nil"/>
              <w:left w:val="nil"/>
              <w:bottom w:val="single" w:sz="4" w:space="0" w:color="auto"/>
              <w:right w:val="single" w:sz="4" w:space="0" w:color="auto"/>
            </w:tcBorders>
            <w:shd w:val="clear" w:color="auto" w:fill="auto"/>
            <w:noWrap/>
            <w:vAlign w:val="center"/>
            <w:hideMark/>
          </w:tcPr>
          <w:p w14:paraId="2167BE5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37502808</w:t>
            </w:r>
          </w:p>
        </w:tc>
        <w:tc>
          <w:tcPr>
            <w:tcW w:w="3360" w:type="pct"/>
            <w:tcBorders>
              <w:top w:val="nil"/>
              <w:left w:val="nil"/>
              <w:bottom w:val="single" w:sz="4" w:space="0" w:color="auto"/>
              <w:right w:val="single" w:sz="4" w:space="0" w:color="auto"/>
            </w:tcBorders>
            <w:shd w:val="clear" w:color="auto" w:fill="auto"/>
            <w:vAlign w:val="center"/>
            <w:hideMark/>
          </w:tcPr>
          <w:p w14:paraId="23FDF7C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 PARK VOJAŠKE ZGODOVINE PIVKA</w:t>
            </w:r>
          </w:p>
        </w:tc>
      </w:tr>
      <w:tr w:rsidR="00E3750C" w:rsidRPr="00415AB3" w14:paraId="7200D1E0"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A21028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359</w:t>
            </w:r>
          </w:p>
        </w:tc>
        <w:tc>
          <w:tcPr>
            <w:tcW w:w="705" w:type="pct"/>
            <w:tcBorders>
              <w:top w:val="nil"/>
              <w:left w:val="nil"/>
              <w:bottom w:val="single" w:sz="4" w:space="0" w:color="auto"/>
              <w:right w:val="single" w:sz="4" w:space="0" w:color="auto"/>
            </w:tcBorders>
            <w:shd w:val="clear" w:color="auto" w:fill="auto"/>
            <w:noWrap/>
            <w:vAlign w:val="center"/>
            <w:hideMark/>
          </w:tcPr>
          <w:p w14:paraId="1F69B18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8556792000</w:t>
            </w:r>
          </w:p>
        </w:tc>
        <w:tc>
          <w:tcPr>
            <w:tcW w:w="547" w:type="pct"/>
            <w:tcBorders>
              <w:top w:val="nil"/>
              <w:left w:val="nil"/>
              <w:bottom w:val="single" w:sz="4" w:space="0" w:color="auto"/>
              <w:right w:val="single" w:sz="4" w:space="0" w:color="auto"/>
            </w:tcBorders>
            <w:shd w:val="clear" w:color="auto" w:fill="auto"/>
            <w:noWrap/>
            <w:vAlign w:val="center"/>
            <w:hideMark/>
          </w:tcPr>
          <w:p w14:paraId="34CD723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14318725</w:t>
            </w:r>
          </w:p>
        </w:tc>
        <w:tc>
          <w:tcPr>
            <w:tcW w:w="3360" w:type="pct"/>
            <w:tcBorders>
              <w:top w:val="nil"/>
              <w:left w:val="nil"/>
              <w:bottom w:val="single" w:sz="4" w:space="0" w:color="auto"/>
              <w:right w:val="single" w:sz="4" w:space="0" w:color="auto"/>
            </w:tcBorders>
            <w:shd w:val="clear" w:color="auto" w:fill="auto"/>
            <w:vAlign w:val="center"/>
            <w:hideMark/>
          </w:tcPr>
          <w:p w14:paraId="48A4B6A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973, ZAVOD ZA ORGANIZACIJO PRIREDITEV IN DOGODKOV ŠKOFJA LOKA</w:t>
            </w:r>
          </w:p>
        </w:tc>
      </w:tr>
      <w:tr w:rsidR="00E3750C" w:rsidRPr="00415AB3" w14:paraId="36CF625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480861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360</w:t>
            </w:r>
          </w:p>
        </w:tc>
        <w:tc>
          <w:tcPr>
            <w:tcW w:w="705" w:type="pct"/>
            <w:tcBorders>
              <w:top w:val="nil"/>
              <w:left w:val="nil"/>
              <w:bottom w:val="single" w:sz="4" w:space="0" w:color="auto"/>
              <w:right w:val="single" w:sz="4" w:space="0" w:color="auto"/>
            </w:tcBorders>
            <w:shd w:val="clear" w:color="auto" w:fill="auto"/>
            <w:noWrap/>
            <w:vAlign w:val="center"/>
            <w:hideMark/>
          </w:tcPr>
          <w:p w14:paraId="71A4389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5052017000</w:t>
            </w:r>
          </w:p>
        </w:tc>
        <w:tc>
          <w:tcPr>
            <w:tcW w:w="547" w:type="pct"/>
            <w:tcBorders>
              <w:top w:val="nil"/>
              <w:left w:val="nil"/>
              <w:bottom w:val="single" w:sz="4" w:space="0" w:color="auto"/>
              <w:right w:val="single" w:sz="4" w:space="0" w:color="auto"/>
            </w:tcBorders>
            <w:shd w:val="clear" w:color="auto" w:fill="auto"/>
            <w:noWrap/>
            <w:vAlign w:val="center"/>
            <w:hideMark/>
          </w:tcPr>
          <w:p w14:paraId="441B700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19354266</w:t>
            </w:r>
          </w:p>
        </w:tc>
        <w:tc>
          <w:tcPr>
            <w:tcW w:w="3360" w:type="pct"/>
            <w:tcBorders>
              <w:top w:val="nil"/>
              <w:left w:val="nil"/>
              <w:bottom w:val="single" w:sz="4" w:space="0" w:color="auto"/>
              <w:right w:val="single" w:sz="4" w:space="0" w:color="auto"/>
            </w:tcBorders>
            <w:shd w:val="clear" w:color="auto" w:fill="auto"/>
            <w:vAlign w:val="center"/>
            <w:hideMark/>
          </w:tcPr>
          <w:p w14:paraId="6BA512C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CENE ŠTUPAR - CENTER ZA IZOBRAŽEVANJE LJUBLJANA</w:t>
            </w:r>
          </w:p>
        </w:tc>
      </w:tr>
      <w:tr w:rsidR="00E3750C" w:rsidRPr="00415AB3" w14:paraId="3D03F75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CFDA1F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361</w:t>
            </w:r>
          </w:p>
        </w:tc>
        <w:tc>
          <w:tcPr>
            <w:tcW w:w="705" w:type="pct"/>
            <w:tcBorders>
              <w:top w:val="nil"/>
              <w:left w:val="nil"/>
              <w:bottom w:val="single" w:sz="4" w:space="0" w:color="auto"/>
              <w:right w:val="single" w:sz="4" w:space="0" w:color="auto"/>
            </w:tcBorders>
            <w:shd w:val="clear" w:color="auto" w:fill="auto"/>
            <w:noWrap/>
            <w:vAlign w:val="center"/>
            <w:hideMark/>
          </w:tcPr>
          <w:p w14:paraId="393B573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1227912000</w:t>
            </w:r>
          </w:p>
        </w:tc>
        <w:tc>
          <w:tcPr>
            <w:tcW w:w="547" w:type="pct"/>
            <w:tcBorders>
              <w:top w:val="nil"/>
              <w:left w:val="nil"/>
              <w:bottom w:val="single" w:sz="4" w:space="0" w:color="auto"/>
              <w:right w:val="single" w:sz="4" w:space="0" w:color="auto"/>
            </w:tcBorders>
            <w:shd w:val="clear" w:color="auto" w:fill="auto"/>
            <w:noWrap/>
            <w:vAlign w:val="center"/>
            <w:hideMark/>
          </w:tcPr>
          <w:p w14:paraId="348D0A8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83823352</w:t>
            </w:r>
          </w:p>
        </w:tc>
        <w:tc>
          <w:tcPr>
            <w:tcW w:w="3360" w:type="pct"/>
            <w:tcBorders>
              <w:top w:val="nil"/>
              <w:left w:val="nil"/>
              <w:bottom w:val="single" w:sz="4" w:space="0" w:color="auto"/>
              <w:right w:val="single" w:sz="4" w:space="0" w:color="auto"/>
            </w:tcBorders>
            <w:shd w:val="clear" w:color="auto" w:fill="auto"/>
            <w:vAlign w:val="center"/>
            <w:hideMark/>
          </w:tcPr>
          <w:p w14:paraId="21D9D66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CENTER ZA MLADE DOMŽALE</w:t>
            </w:r>
          </w:p>
        </w:tc>
      </w:tr>
      <w:tr w:rsidR="00E3750C" w:rsidRPr="00415AB3" w14:paraId="6337855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C34224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362</w:t>
            </w:r>
          </w:p>
        </w:tc>
        <w:tc>
          <w:tcPr>
            <w:tcW w:w="705" w:type="pct"/>
            <w:tcBorders>
              <w:top w:val="nil"/>
              <w:left w:val="nil"/>
              <w:bottom w:val="single" w:sz="4" w:space="0" w:color="auto"/>
              <w:right w:val="single" w:sz="4" w:space="0" w:color="auto"/>
            </w:tcBorders>
            <w:shd w:val="clear" w:color="auto" w:fill="auto"/>
            <w:noWrap/>
            <w:vAlign w:val="center"/>
            <w:hideMark/>
          </w:tcPr>
          <w:p w14:paraId="5714436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7105924000</w:t>
            </w:r>
          </w:p>
        </w:tc>
        <w:tc>
          <w:tcPr>
            <w:tcW w:w="547" w:type="pct"/>
            <w:tcBorders>
              <w:top w:val="nil"/>
              <w:left w:val="nil"/>
              <w:bottom w:val="single" w:sz="4" w:space="0" w:color="auto"/>
              <w:right w:val="single" w:sz="4" w:space="0" w:color="auto"/>
            </w:tcBorders>
            <w:shd w:val="clear" w:color="auto" w:fill="auto"/>
            <w:noWrap/>
            <w:vAlign w:val="center"/>
            <w:hideMark/>
          </w:tcPr>
          <w:p w14:paraId="3F69B98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21706506</w:t>
            </w:r>
          </w:p>
        </w:tc>
        <w:tc>
          <w:tcPr>
            <w:tcW w:w="3360" w:type="pct"/>
            <w:tcBorders>
              <w:top w:val="nil"/>
              <w:left w:val="nil"/>
              <w:bottom w:val="single" w:sz="4" w:space="0" w:color="auto"/>
              <w:right w:val="single" w:sz="4" w:space="0" w:color="auto"/>
            </w:tcBorders>
            <w:shd w:val="clear" w:color="auto" w:fill="auto"/>
            <w:vAlign w:val="center"/>
            <w:hideMark/>
          </w:tcPr>
          <w:p w14:paraId="560043D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CENTER ZA RAZVOJ TERCIARNEGA IZOBRAŽEVANJA SAŠA VELENJE</w:t>
            </w:r>
          </w:p>
        </w:tc>
      </w:tr>
      <w:tr w:rsidR="00E3750C" w:rsidRPr="00415AB3" w14:paraId="5E9DC274"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4034C9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363</w:t>
            </w:r>
          </w:p>
        </w:tc>
        <w:tc>
          <w:tcPr>
            <w:tcW w:w="705" w:type="pct"/>
            <w:tcBorders>
              <w:top w:val="nil"/>
              <w:left w:val="nil"/>
              <w:bottom w:val="single" w:sz="4" w:space="0" w:color="auto"/>
              <w:right w:val="single" w:sz="4" w:space="0" w:color="auto"/>
            </w:tcBorders>
            <w:shd w:val="clear" w:color="auto" w:fill="auto"/>
            <w:noWrap/>
            <w:vAlign w:val="center"/>
            <w:hideMark/>
          </w:tcPr>
          <w:p w14:paraId="6D9D617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5186048000</w:t>
            </w:r>
          </w:p>
        </w:tc>
        <w:tc>
          <w:tcPr>
            <w:tcW w:w="547" w:type="pct"/>
            <w:tcBorders>
              <w:top w:val="nil"/>
              <w:left w:val="nil"/>
              <w:bottom w:val="single" w:sz="4" w:space="0" w:color="auto"/>
              <w:right w:val="single" w:sz="4" w:space="0" w:color="auto"/>
            </w:tcBorders>
            <w:shd w:val="clear" w:color="auto" w:fill="auto"/>
            <w:noWrap/>
            <w:vAlign w:val="center"/>
            <w:hideMark/>
          </w:tcPr>
          <w:p w14:paraId="49B0152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72918985</w:t>
            </w:r>
          </w:p>
        </w:tc>
        <w:tc>
          <w:tcPr>
            <w:tcW w:w="3360" w:type="pct"/>
            <w:tcBorders>
              <w:top w:val="nil"/>
              <w:left w:val="nil"/>
              <w:bottom w:val="single" w:sz="4" w:space="0" w:color="auto"/>
              <w:right w:val="single" w:sz="4" w:space="0" w:color="auto"/>
            </w:tcBorders>
            <w:shd w:val="clear" w:color="auto" w:fill="auto"/>
            <w:vAlign w:val="center"/>
            <w:hideMark/>
          </w:tcPr>
          <w:p w14:paraId="0329333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DESETKA CELJE, FINANČNO - RAČUNOVODSKE IN SVETOVALNE STORITVE ZA ZAVODE</w:t>
            </w:r>
          </w:p>
        </w:tc>
      </w:tr>
      <w:tr w:rsidR="00E3750C" w:rsidRPr="00415AB3" w14:paraId="6D4E7FA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539CC4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364</w:t>
            </w:r>
          </w:p>
        </w:tc>
        <w:tc>
          <w:tcPr>
            <w:tcW w:w="705" w:type="pct"/>
            <w:tcBorders>
              <w:top w:val="nil"/>
              <w:left w:val="nil"/>
              <w:bottom w:val="single" w:sz="4" w:space="0" w:color="auto"/>
              <w:right w:val="single" w:sz="4" w:space="0" w:color="auto"/>
            </w:tcBorders>
            <w:shd w:val="clear" w:color="auto" w:fill="auto"/>
            <w:noWrap/>
            <w:vAlign w:val="center"/>
            <w:hideMark/>
          </w:tcPr>
          <w:p w14:paraId="755FE05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5241626000</w:t>
            </w:r>
          </w:p>
        </w:tc>
        <w:tc>
          <w:tcPr>
            <w:tcW w:w="547" w:type="pct"/>
            <w:tcBorders>
              <w:top w:val="nil"/>
              <w:left w:val="nil"/>
              <w:bottom w:val="single" w:sz="4" w:space="0" w:color="auto"/>
              <w:right w:val="single" w:sz="4" w:space="0" w:color="auto"/>
            </w:tcBorders>
            <w:shd w:val="clear" w:color="auto" w:fill="auto"/>
            <w:noWrap/>
            <w:vAlign w:val="center"/>
            <w:hideMark/>
          </w:tcPr>
          <w:p w14:paraId="7A2D79A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98576801</w:t>
            </w:r>
          </w:p>
        </w:tc>
        <w:tc>
          <w:tcPr>
            <w:tcW w:w="3360" w:type="pct"/>
            <w:tcBorders>
              <w:top w:val="nil"/>
              <w:left w:val="nil"/>
              <w:bottom w:val="single" w:sz="4" w:space="0" w:color="auto"/>
              <w:right w:val="single" w:sz="4" w:space="0" w:color="auto"/>
            </w:tcBorders>
            <w:shd w:val="clear" w:color="auto" w:fill="auto"/>
            <w:vAlign w:val="center"/>
            <w:hideMark/>
          </w:tcPr>
          <w:p w14:paraId="3DA13A8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GASILSKA BRIGADA KOPER</w:t>
            </w:r>
          </w:p>
        </w:tc>
      </w:tr>
      <w:tr w:rsidR="00E3750C" w:rsidRPr="00415AB3" w14:paraId="39149F5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7839E6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365</w:t>
            </w:r>
          </w:p>
        </w:tc>
        <w:tc>
          <w:tcPr>
            <w:tcW w:w="705" w:type="pct"/>
            <w:tcBorders>
              <w:top w:val="nil"/>
              <w:left w:val="nil"/>
              <w:bottom w:val="single" w:sz="4" w:space="0" w:color="auto"/>
              <w:right w:val="single" w:sz="4" w:space="0" w:color="auto"/>
            </w:tcBorders>
            <w:shd w:val="clear" w:color="auto" w:fill="auto"/>
            <w:noWrap/>
            <w:vAlign w:val="center"/>
            <w:hideMark/>
          </w:tcPr>
          <w:p w14:paraId="0F61B28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5067979000</w:t>
            </w:r>
          </w:p>
        </w:tc>
        <w:tc>
          <w:tcPr>
            <w:tcW w:w="547" w:type="pct"/>
            <w:tcBorders>
              <w:top w:val="nil"/>
              <w:left w:val="nil"/>
              <w:bottom w:val="single" w:sz="4" w:space="0" w:color="auto"/>
              <w:right w:val="single" w:sz="4" w:space="0" w:color="auto"/>
            </w:tcBorders>
            <w:shd w:val="clear" w:color="auto" w:fill="auto"/>
            <w:noWrap/>
            <w:vAlign w:val="center"/>
            <w:hideMark/>
          </w:tcPr>
          <w:p w14:paraId="320A094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23284161</w:t>
            </w:r>
          </w:p>
        </w:tc>
        <w:tc>
          <w:tcPr>
            <w:tcW w:w="3360" w:type="pct"/>
            <w:tcBorders>
              <w:top w:val="nil"/>
              <w:left w:val="nil"/>
              <w:bottom w:val="single" w:sz="4" w:space="0" w:color="auto"/>
              <w:right w:val="single" w:sz="4" w:space="0" w:color="auto"/>
            </w:tcBorders>
            <w:shd w:val="clear" w:color="auto" w:fill="auto"/>
            <w:vAlign w:val="center"/>
            <w:hideMark/>
          </w:tcPr>
          <w:p w14:paraId="4611EF4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GASILSKA BRIGADA MARIBOR</w:t>
            </w:r>
          </w:p>
        </w:tc>
      </w:tr>
      <w:tr w:rsidR="00E3750C" w:rsidRPr="00415AB3" w14:paraId="2C4C365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7321A8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366</w:t>
            </w:r>
          </w:p>
        </w:tc>
        <w:tc>
          <w:tcPr>
            <w:tcW w:w="705" w:type="pct"/>
            <w:tcBorders>
              <w:top w:val="nil"/>
              <w:left w:val="nil"/>
              <w:bottom w:val="single" w:sz="4" w:space="0" w:color="auto"/>
              <w:right w:val="single" w:sz="4" w:space="0" w:color="auto"/>
            </w:tcBorders>
            <w:shd w:val="clear" w:color="auto" w:fill="auto"/>
            <w:noWrap/>
            <w:vAlign w:val="center"/>
            <w:hideMark/>
          </w:tcPr>
          <w:p w14:paraId="082FCCC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1193694000</w:t>
            </w:r>
          </w:p>
        </w:tc>
        <w:tc>
          <w:tcPr>
            <w:tcW w:w="547" w:type="pct"/>
            <w:tcBorders>
              <w:top w:val="nil"/>
              <w:left w:val="nil"/>
              <w:bottom w:val="single" w:sz="4" w:space="0" w:color="auto"/>
              <w:right w:val="single" w:sz="4" w:space="0" w:color="auto"/>
            </w:tcBorders>
            <w:shd w:val="clear" w:color="auto" w:fill="auto"/>
            <w:noWrap/>
            <w:vAlign w:val="center"/>
            <w:hideMark/>
          </w:tcPr>
          <w:p w14:paraId="2CCF1F0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80508642</w:t>
            </w:r>
          </w:p>
        </w:tc>
        <w:tc>
          <w:tcPr>
            <w:tcW w:w="3360" w:type="pct"/>
            <w:tcBorders>
              <w:top w:val="nil"/>
              <w:left w:val="nil"/>
              <w:bottom w:val="single" w:sz="4" w:space="0" w:color="auto"/>
              <w:right w:val="single" w:sz="4" w:space="0" w:color="auto"/>
            </w:tcBorders>
            <w:shd w:val="clear" w:color="auto" w:fill="auto"/>
            <w:vAlign w:val="center"/>
            <w:hideMark/>
          </w:tcPr>
          <w:p w14:paraId="20E5D5E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GLASBENA ŠOLA LAŠKO - RADEČE</w:t>
            </w:r>
          </w:p>
        </w:tc>
      </w:tr>
      <w:tr w:rsidR="00E3750C" w:rsidRPr="00415AB3" w14:paraId="66FCFF0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2CD9AA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367</w:t>
            </w:r>
          </w:p>
        </w:tc>
        <w:tc>
          <w:tcPr>
            <w:tcW w:w="705" w:type="pct"/>
            <w:tcBorders>
              <w:top w:val="nil"/>
              <w:left w:val="nil"/>
              <w:bottom w:val="single" w:sz="4" w:space="0" w:color="auto"/>
              <w:right w:val="single" w:sz="4" w:space="0" w:color="auto"/>
            </w:tcBorders>
            <w:shd w:val="clear" w:color="auto" w:fill="auto"/>
            <w:noWrap/>
            <w:vAlign w:val="center"/>
            <w:hideMark/>
          </w:tcPr>
          <w:p w14:paraId="24B198A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9022635000</w:t>
            </w:r>
          </w:p>
        </w:tc>
        <w:tc>
          <w:tcPr>
            <w:tcW w:w="547" w:type="pct"/>
            <w:tcBorders>
              <w:top w:val="nil"/>
              <w:left w:val="nil"/>
              <w:bottom w:val="single" w:sz="4" w:space="0" w:color="auto"/>
              <w:right w:val="single" w:sz="4" w:space="0" w:color="auto"/>
            </w:tcBorders>
            <w:shd w:val="clear" w:color="auto" w:fill="auto"/>
            <w:noWrap/>
            <w:vAlign w:val="center"/>
            <w:hideMark/>
          </w:tcPr>
          <w:p w14:paraId="4C3954A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20581904</w:t>
            </w:r>
          </w:p>
        </w:tc>
        <w:tc>
          <w:tcPr>
            <w:tcW w:w="3360" w:type="pct"/>
            <w:tcBorders>
              <w:top w:val="nil"/>
              <w:left w:val="nil"/>
              <w:bottom w:val="single" w:sz="4" w:space="0" w:color="auto"/>
              <w:right w:val="single" w:sz="4" w:space="0" w:color="auto"/>
            </w:tcBorders>
            <w:shd w:val="clear" w:color="auto" w:fill="auto"/>
            <w:vAlign w:val="center"/>
            <w:hideMark/>
          </w:tcPr>
          <w:p w14:paraId="4E712DF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HIŠA ZA OTROKE</w:t>
            </w:r>
          </w:p>
        </w:tc>
      </w:tr>
      <w:tr w:rsidR="00E3750C" w:rsidRPr="00415AB3" w14:paraId="43171F9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2D1508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368</w:t>
            </w:r>
          </w:p>
        </w:tc>
        <w:tc>
          <w:tcPr>
            <w:tcW w:w="705" w:type="pct"/>
            <w:tcBorders>
              <w:top w:val="nil"/>
              <w:left w:val="nil"/>
              <w:bottom w:val="single" w:sz="4" w:space="0" w:color="auto"/>
              <w:right w:val="single" w:sz="4" w:space="0" w:color="auto"/>
            </w:tcBorders>
            <w:shd w:val="clear" w:color="auto" w:fill="auto"/>
            <w:noWrap/>
            <w:vAlign w:val="center"/>
            <w:hideMark/>
          </w:tcPr>
          <w:p w14:paraId="030BAE8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3345548000</w:t>
            </w:r>
          </w:p>
        </w:tc>
        <w:tc>
          <w:tcPr>
            <w:tcW w:w="547" w:type="pct"/>
            <w:tcBorders>
              <w:top w:val="nil"/>
              <w:left w:val="nil"/>
              <w:bottom w:val="single" w:sz="4" w:space="0" w:color="auto"/>
              <w:right w:val="single" w:sz="4" w:space="0" w:color="auto"/>
            </w:tcBorders>
            <w:shd w:val="clear" w:color="auto" w:fill="auto"/>
            <w:noWrap/>
            <w:vAlign w:val="center"/>
            <w:hideMark/>
          </w:tcPr>
          <w:p w14:paraId="7233363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12753173</w:t>
            </w:r>
          </w:p>
        </w:tc>
        <w:tc>
          <w:tcPr>
            <w:tcW w:w="3360" w:type="pct"/>
            <w:tcBorders>
              <w:top w:val="nil"/>
              <w:left w:val="nil"/>
              <w:bottom w:val="single" w:sz="4" w:space="0" w:color="auto"/>
              <w:right w:val="single" w:sz="4" w:space="0" w:color="auto"/>
            </w:tcBorders>
            <w:shd w:val="clear" w:color="auto" w:fill="auto"/>
            <w:vAlign w:val="center"/>
            <w:hideMark/>
          </w:tcPr>
          <w:p w14:paraId="31B3357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KINODVOR</w:t>
            </w:r>
          </w:p>
        </w:tc>
      </w:tr>
      <w:tr w:rsidR="00E3750C" w:rsidRPr="00415AB3" w14:paraId="5D63206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923223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369</w:t>
            </w:r>
          </w:p>
        </w:tc>
        <w:tc>
          <w:tcPr>
            <w:tcW w:w="705" w:type="pct"/>
            <w:tcBorders>
              <w:top w:val="nil"/>
              <w:left w:val="nil"/>
              <w:bottom w:val="single" w:sz="4" w:space="0" w:color="auto"/>
              <w:right w:val="single" w:sz="4" w:space="0" w:color="auto"/>
            </w:tcBorders>
            <w:shd w:val="clear" w:color="auto" w:fill="auto"/>
            <w:noWrap/>
            <w:vAlign w:val="center"/>
            <w:hideMark/>
          </w:tcPr>
          <w:p w14:paraId="03E493B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5966949000</w:t>
            </w:r>
          </w:p>
        </w:tc>
        <w:tc>
          <w:tcPr>
            <w:tcW w:w="547" w:type="pct"/>
            <w:tcBorders>
              <w:top w:val="nil"/>
              <w:left w:val="nil"/>
              <w:bottom w:val="single" w:sz="4" w:space="0" w:color="auto"/>
              <w:right w:val="single" w:sz="4" w:space="0" w:color="auto"/>
            </w:tcBorders>
            <w:shd w:val="clear" w:color="auto" w:fill="auto"/>
            <w:noWrap/>
            <w:vAlign w:val="center"/>
            <w:hideMark/>
          </w:tcPr>
          <w:p w14:paraId="73029C8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72905689</w:t>
            </w:r>
          </w:p>
        </w:tc>
        <w:tc>
          <w:tcPr>
            <w:tcW w:w="3360" w:type="pct"/>
            <w:tcBorders>
              <w:top w:val="nil"/>
              <w:left w:val="nil"/>
              <w:bottom w:val="single" w:sz="4" w:space="0" w:color="auto"/>
              <w:right w:val="single" w:sz="4" w:space="0" w:color="auto"/>
            </w:tcBorders>
            <w:shd w:val="clear" w:color="auto" w:fill="auto"/>
            <w:vAlign w:val="center"/>
            <w:hideMark/>
          </w:tcPr>
          <w:p w14:paraId="463AEB5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KNJIŽNICA LAŠKO</w:t>
            </w:r>
          </w:p>
        </w:tc>
      </w:tr>
      <w:tr w:rsidR="00E3750C" w:rsidRPr="00415AB3" w14:paraId="6D2D891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EDFDBC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370</w:t>
            </w:r>
          </w:p>
        </w:tc>
        <w:tc>
          <w:tcPr>
            <w:tcW w:w="705" w:type="pct"/>
            <w:tcBorders>
              <w:top w:val="nil"/>
              <w:left w:val="nil"/>
              <w:bottom w:val="single" w:sz="4" w:space="0" w:color="auto"/>
              <w:right w:val="single" w:sz="4" w:space="0" w:color="auto"/>
            </w:tcBorders>
            <w:shd w:val="clear" w:color="auto" w:fill="auto"/>
            <w:noWrap/>
            <w:vAlign w:val="center"/>
            <w:hideMark/>
          </w:tcPr>
          <w:p w14:paraId="2D00180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1930621000</w:t>
            </w:r>
          </w:p>
        </w:tc>
        <w:tc>
          <w:tcPr>
            <w:tcW w:w="547" w:type="pct"/>
            <w:tcBorders>
              <w:top w:val="nil"/>
              <w:left w:val="nil"/>
              <w:bottom w:val="single" w:sz="4" w:space="0" w:color="auto"/>
              <w:right w:val="single" w:sz="4" w:space="0" w:color="auto"/>
            </w:tcBorders>
            <w:shd w:val="clear" w:color="auto" w:fill="auto"/>
            <w:noWrap/>
            <w:vAlign w:val="center"/>
            <w:hideMark/>
          </w:tcPr>
          <w:p w14:paraId="77A65BC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84837730</w:t>
            </w:r>
          </w:p>
        </w:tc>
        <w:tc>
          <w:tcPr>
            <w:tcW w:w="3360" w:type="pct"/>
            <w:tcBorders>
              <w:top w:val="nil"/>
              <w:left w:val="nil"/>
              <w:bottom w:val="single" w:sz="4" w:space="0" w:color="auto"/>
              <w:right w:val="single" w:sz="4" w:space="0" w:color="auto"/>
            </w:tcBorders>
            <w:shd w:val="clear" w:color="auto" w:fill="auto"/>
            <w:vAlign w:val="center"/>
            <w:hideMark/>
          </w:tcPr>
          <w:p w14:paraId="441B7A3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KRAJINSKI PARK GORIČKO</w:t>
            </w:r>
          </w:p>
        </w:tc>
      </w:tr>
      <w:tr w:rsidR="00E3750C" w:rsidRPr="00415AB3" w14:paraId="1777EB7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6F13F2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371</w:t>
            </w:r>
          </w:p>
        </w:tc>
        <w:tc>
          <w:tcPr>
            <w:tcW w:w="705" w:type="pct"/>
            <w:tcBorders>
              <w:top w:val="nil"/>
              <w:left w:val="nil"/>
              <w:bottom w:val="single" w:sz="4" w:space="0" w:color="auto"/>
              <w:right w:val="single" w:sz="4" w:space="0" w:color="auto"/>
            </w:tcBorders>
            <w:shd w:val="clear" w:color="auto" w:fill="auto"/>
            <w:noWrap/>
            <w:vAlign w:val="center"/>
            <w:hideMark/>
          </w:tcPr>
          <w:p w14:paraId="700F8D8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3630242000</w:t>
            </w:r>
          </w:p>
        </w:tc>
        <w:tc>
          <w:tcPr>
            <w:tcW w:w="547" w:type="pct"/>
            <w:tcBorders>
              <w:top w:val="nil"/>
              <w:left w:val="nil"/>
              <w:bottom w:val="single" w:sz="4" w:space="0" w:color="auto"/>
              <w:right w:val="single" w:sz="4" w:space="0" w:color="auto"/>
            </w:tcBorders>
            <w:shd w:val="clear" w:color="auto" w:fill="auto"/>
            <w:noWrap/>
            <w:vAlign w:val="center"/>
            <w:hideMark/>
          </w:tcPr>
          <w:p w14:paraId="1FB6861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82828130</w:t>
            </w:r>
          </w:p>
        </w:tc>
        <w:tc>
          <w:tcPr>
            <w:tcW w:w="3360" w:type="pct"/>
            <w:tcBorders>
              <w:top w:val="nil"/>
              <w:left w:val="nil"/>
              <w:bottom w:val="single" w:sz="4" w:space="0" w:color="auto"/>
              <w:right w:val="single" w:sz="4" w:space="0" w:color="auto"/>
            </w:tcBorders>
            <w:shd w:val="clear" w:color="auto" w:fill="auto"/>
            <w:vAlign w:val="center"/>
            <w:hideMark/>
          </w:tcPr>
          <w:p w14:paraId="3843AE0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KRAJINSKI PARK LJUBLJANSKO BARJE</w:t>
            </w:r>
          </w:p>
        </w:tc>
      </w:tr>
      <w:tr w:rsidR="00E3750C" w:rsidRPr="00415AB3" w14:paraId="4C2989D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E90A1B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372</w:t>
            </w:r>
          </w:p>
        </w:tc>
        <w:tc>
          <w:tcPr>
            <w:tcW w:w="705" w:type="pct"/>
            <w:tcBorders>
              <w:top w:val="nil"/>
              <w:left w:val="nil"/>
              <w:bottom w:val="single" w:sz="4" w:space="0" w:color="auto"/>
              <w:right w:val="single" w:sz="4" w:space="0" w:color="auto"/>
            </w:tcBorders>
            <w:shd w:val="clear" w:color="auto" w:fill="auto"/>
            <w:noWrap/>
            <w:vAlign w:val="center"/>
            <w:hideMark/>
          </w:tcPr>
          <w:p w14:paraId="3D99153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3452085000</w:t>
            </w:r>
          </w:p>
        </w:tc>
        <w:tc>
          <w:tcPr>
            <w:tcW w:w="547" w:type="pct"/>
            <w:tcBorders>
              <w:top w:val="nil"/>
              <w:left w:val="nil"/>
              <w:bottom w:val="single" w:sz="4" w:space="0" w:color="auto"/>
              <w:right w:val="single" w:sz="4" w:space="0" w:color="auto"/>
            </w:tcBorders>
            <w:shd w:val="clear" w:color="auto" w:fill="auto"/>
            <w:noWrap/>
            <w:vAlign w:val="center"/>
            <w:hideMark/>
          </w:tcPr>
          <w:p w14:paraId="34CFC51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33414009</w:t>
            </w:r>
          </w:p>
        </w:tc>
        <w:tc>
          <w:tcPr>
            <w:tcW w:w="3360" w:type="pct"/>
            <w:tcBorders>
              <w:top w:val="nil"/>
              <w:left w:val="nil"/>
              <w:bottom w:val="single" w:sz="4" w:space="0" w:color="auto"/>
              <w:right w:val="single" w:sz="4" w:space="0" w:color="auto"/>
            </w:tcBorders>
            <w:shd w:val="clear" w:color="auto" w:fill="auto"/>
            <w:vAlign w:val="center"/>
            <w:hideMark/>
          </w:tcPr>
          <w:p w14:paraId="21C98CC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KRAJINSKI PARK STRUNJAN</w:t>
            </w:r>
          </w:p>
        </w:tc>
      </w:tr>
      <w:tr w:rsidR="00E3750C" w:rsidRPr="00415AB3" w14:paraId="585455E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09948F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373</w:t>
            </w:r>
          </w:p>
        </w:tc>
        <w:tc>
          <w:tcPr>
            <w:tcW w:w="705" w:type="pct"/>
            <w:tcBorders>
              <w:top w:val="nil"/>
              <w:left w:val="nil"/>
              <w:bottom w:val="single" w:sz="4" w:space="0" w:color="auto"/>
              <w:right w:val="single" w:sz="4" w:space="0" w:color="auto"/>
            </w:tcBorders>
            <w:shd w:val="clear" w:color="auto" w:fill="auto"/>
            <w:noWrap/>
            <w:vAlign w:val="center"/>
            <w:hideMark/>
          </w:tcPr>
          <w:p w14:paraId="4390A8A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1227564000</w:t>
            </w:r>
          </w:p>
        </w:tc>
        <w:tc>
          <w:tcPr>
            <w:tcW w:w="547" w:type="pct"/>
            <w:tcBorders>
              <w:top w:val="nil"/>
              <w:left w:val="nil"/>
              <w:bottom w:val="single" w:sz="4" w:space="0" w:color="auto"/>
              <w:right w:val="single" w:sz="4" w:space="0" w:color="auto"/>
            </w:tcBorders>
            <w:shd w:val="clear" w:color="auto" w:fill="auto"/>
            <w:noWrap/>
            <w:vAlign w:val="center"/>
            <w:hideMark/>
          </w:tcPr>
          <w:p w14:paraId="1FA3242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26167832</w:t>
            </w:r>
          </w:p>
        </w:tc>
        <w:tc>
          <w:tcPr>
            <w:tcW w:w="3360" w:type="pct"/>
            <w:tcBorders>
              <w:top w:val="nil"/>
              <w:left w:val="nil"/>
              <w:bottom w:val="single" w:sz="4" w:space="0" w:color="auto"/>
              <w:right w:val="single" w:sz="4" w:space="0" w:color="auto"/>
            </w:tcBorders>
            <w:shd w:val="clear" w:color="auto" w:fill="auto"/>
            <w:vAlign w:val="center"/>
            <w:hideMark/>
          </w:tcPr>
          <w:p w14:paraId="50AEADF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KRAŠKE LEKARNE ILIRSKA BISTRICA</w:t>
            </w:r>
          </w:p>
        </w:tc>
      </w:tr>
      <w:tr w:rsidR="00E3750C" w:rsidRPr="00415AB3" w14:paraId="2FCB0CF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670B78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374</w:t>
            </w:r>
          </w:p>
        </w:tc>
        <w:tc>
          <w:tcPr>
            <w:tcW w:w="705" w:type="pct"/>
            <w:tcBorders>
              <w:top w:val="nil"/>
              <w:left w:val="nil"/>
              <w:bottom w:val="single" w:sz="4" w:space="0" w:color="auto"/>
              <w:right w:val="single" w:sz="4" w:space="0" w:color="auto"/>
            </w:tcBorders>
            <w:shd w:val="clear" w:color="auto" w:fill="auto"/>
            <w:noWrap/>
            <w:vAlign w:val="center"/>
            <w:hideMark/>
          </w:tcPr>
          <w:p w14:paraId="1D3E188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5182638000</w:t>
            </w:r>
          </w:p>
        </w:tc>
        <w:tc>
          <w:tcPr>
            <w:tcW w:w="547" w:type="pct"/>
            <w:tcBorders>
              <w:top w:val="nil"/>
              <w:left w:val="nil"/>
              <w:bottom w:val="single" w:sz="4" w:space="0" w:color="auto"/>
              <w:right w:val="single" w:sz="4" w:space="0" w:color="auto"/>
            </w:tcBorders>
            <w:shd w:val="clear" w:color="auto" w:fill="auto"/>
            <w:noWrap/>
            <w:vAlign w:val="center"/>
            <w:hideMark/>
          </w:tcPr>
          <w:p w14:paraId="7240B6E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21034249</w:t>
            </w:r>
          </w:p>
        </w:tc>
        <w:tc>
          <w:tcPr>
            <w:tcW w:w="3360" w:type="pct"/>
            <w:tcBorders>
              <w:top w:val="nil"/>
              <w:left w:val="nil"/>
              <w:bottom w:val="single" w:sz="4" w:space="0" w:color="auto"/>
              <w:right w:val="single" w:sz="4" w:space="0" w:color="auto"/>
            </w:tcBorders>
            <w:shd w:val="clear" w:color="auto" w:fill="auto"/>
            <w:vAlign w:val="center"/>
            <w:hideMark/>
          </w:tcPr>
          <w:p w14:paraId="37B4D7E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KULTURNI DOM NOVA GORICA</w:t>
            </w:r>
          </w:p>
        </w:tc>
      </w:tr>
      <w:tr w:rsidR="00E3750C" w:rsidRPr="00415AB3" w14:paraId="050683B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BBC152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375</w:t>
            </w:r>
          </w:p>
        </w:tc>
        <w:tc>
          <w:tcPr>
            <w:tcW w:w="705" w:type="pct"/>
            <w:tcBorders>
              <w:top w:val="nil"/>
              <w:left w:val="nil"/>
              <w:bottom w:val="single" w:sz="4" w:space="0" w:color="auto"/>
              <w:right w:val="single" w:sz="4" w:space="0" w:color="auto"/>
            </w:tcBorders>
            <w:shd w:val="clear" w:color="auto" w:fill="auto"/>
            <w:noWrap/>
            <w:vAlign w:val="center"/>
            <w:hideMark/>
          </w:tcPr>
          <w:p w14:paraId="1983407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5053986000</w:t>
            </w:r>
          </w:p>
        </w:tc>
        <w:tc>
          <w:tcPr>
            <w:tcW w:w="547" w:type="pct"/>
            <w:tcBorders>
              <w:top w:val="nil"/>
              <w:left w:val="nil"/>
              <w:bottom w:val="single" w:sz="4" w:space="0" w:color="auto"/>
              <w:right w:val="single" w:sz="4" w:space="0" w:color="auto"/>
            </w:tcBorders>
            <w:shd w:val="clear" w:color="auto" w:fill="auto"/>
            <w:noWrap/>
            <w:vAlign w:val="center"/>
            <w:hideMark/>
          </w:tcPr>
          <w:p w14:paraId="5B4D1F3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49894595</w:t>
            </w:r>
          </w:p>
        </w:tc>
        <w:tc>
          <w:tcPr>
            <w:tcW w:w="3360" w:type="pct"/>
            <w:tcBorders>
              <w:top w:val="nil"/>
              <w:left w:val="nil"/>
              <w:bottom w:val="single" w:sz="4" w:space="0" w:color="auto"/>
              <w:right w:val="single" w:sz="4" w:space="0" w:color="auto"/>
            </w:tcBorders>
            <w:shd w:val="clear" w:color="auto" w:fill="auto"/>
            <w:vAlign w:val="center"/>
            <w:hideMark/>
          </w:tcPr>
          <w:p w14:paraId="38B4A40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LEKARNA LJUBLJANA</w:t>
            </w:r>
          </w:p>
        </w:tc>
      </w:tr>
      <w:tr w:rsidR="00E3750C" w:rsidRPr="00415AB3" w14:paraId="0865AD7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5F7695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376</w:t>
            </w:r>
          </w:p>
        </w:tc>
        <w:tc>
          <w:tcPr>
            <w:tcW w:w="705" w:type="pct"/>
            <w:tcBorders>
              <w:top w:val="nil"/>
              <w:left w:val="nil"/>
              <w:bottom w:val="single" w:sz="4" w:space="0" w:color="auto"/>
              <w:right w:val="single" w:sz="4" w:space="0" w:color="auto"/>
            </w:tcBorders>
            <w:shd w:val="clear" w:color="auto" w:fill="auto"/>
            <w:noWrap/>
            <w:vAlign w:val="center"/>
            <w:hideMark/>
          </w:tcPr>
          <w:p w14:paraId="5F90ACA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3887359000</w:t>
            </w:r>
          </w:p>
        </w:tc>
        <w:tc>
          <w:tcPr>
            <w:tcW w:w="547" w:type="pct"/>
            <w:tcBorders>
              <w:top w:val="nil"/>
              <w:left w:val="nil"/>
              <w:bottom w:val="single" w:sz="4" w:space="0" w:color="auto"/>
              <w:right w:val="single" w:sz="4" w:space="0" w:color="auto"/>
            </w:tcBorders>
            <w:shd w:val="clear" w:color="auto" w:fill="auto"/>
            <w:noWrap/>
            <w:vAlign w:val="center"/>
            <w:hideMark/>
          </w:tcPr>
          <w:p w14:paraId="4C3C8D8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82858632</w:t>
            </w:r>
          </w:p>
        </w:tc>
        <w:tc>
          <w:tcPr>
            <w:tcW w:w="3360" w:type="pct"/>
            <w:tcBorders>
              <w:top w:val="nil"/>
              <w:left w:val="nil"/>
              <w:bottom w:val="single" w:sz="4" w:space="0" w:color="auto"/>
              <w:right w:val="single" w:sz="4" w:space="0" w:color="auto"/>
            </w:tcBorders>
            <w:shd w:val="clear" w:color="auto" w:fill="auto"/>
            <w:vAlign w:val="center"/>
            <w:hideMark/>
          </w:tcPr>
          <w:p w14:paraId="4A0DA45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LJUBLJANSKI GRAD</w:t>
            </w:r>
          </w:p>
        </w:tc>
      </w:tr>
      <w:tr w:rsidR="00E3750C" w:rsidRPr="00415AB3" w14:paraId="107BA5C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FBB7EC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377</w:t>
            </w:r>
          </w:p>
        </w:tc>
        <w:tc>
          <w:tcPr>
            <w:tcW w:w="705" w:type="pct"/>
            <w:tcBorders>
              <w:top w:val="nil"/>
              <w:left w:val="nil"/>
              <w:bottom w:val="single" w:sz="4" w:space="0" w:color="auto"/>
              <w:right w:val="single" w:sz="4" w:space="0" w:color="auto"/>
            </w:tcBorders>
            <w:shd w:val="clear" w:color="auto" w:fill="auto"/>
            <w:noWrap/>
            <w:vAlign w:val="center"/>
            <w:hideMark/>
          </w:tcPr>
          <w:p w14:paraId="16FA562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6636454000</w:t>
            </w:r>
          </w:p>
        </w:tc>
        <w:tc>
          <w:tcPr>
            <w:tcW w:w="547" w:type="pct"/>
            <w:tcBorders>
              <w:top w:val="nil"/>
              <w:left w:val="nil"/>
              <w:bottom w:val="single" w:sz="4" w:space="0" w:color="auto"/>
              <w:right w:val="single" w:sz="4" w:space="0" w:color="auto"/>
            </w:tcBorders>
            <w:shd w:val="clear" w:color="auto" w:fill="auto"/>
            <w:noWrap/>
            <w:vAlign w:val="center"/>
            <w:hideMark/>
          </w:tcPr>
          <w:p w14:paraId="1CC7FE2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38302586</w:t>
            </w:r>
          </w:p>
        </w:tc>
        <w:tc>
          <w:tcPr>
            <w:tcW w:w="3360" w:type="pct"/>
            <w:tcBorders>
              <w:top w:val="nil"/>
              <w:left w:val="nil"/>
              <w:bottom w:val="single" w:sz="4" w:space="0" w:color="auto"/>
              <w:right w:val="single" w:sz="4" w:space="0" w:color="auto"/>
            </w:tcBorders>
            <w:shd w:val="clear" w:color="auto" w:fill="auto"/>
            <w:vAlign w:val="center"/>
            <w:hideMark/>
          </w:tcPr>
          <w:p w14:paraId="3F6E95F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MALA ULICA - CENTER ZA OTROKE IN DRUŽINE V LJUBLJANI</w:t>
            </w:r>
          </w:p>
        </w:tc>
      </w:tr>
      <w:tr w:rsidR="00E3750C" w:rsidRPr="00415AB3" w14:paraId="26FA263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293B1F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378</w:t>
            </w:r>
          </w:p>
        </w:tc>
        <w:tc>
          <w:tcPr>
            <w:tcW w:w="705" w:type="pct"/>
            <w:tcBorders>
              <w:top w:val="nil"/>
              <w:left w:val="nil"/>
              <w:bottom w:val="single" w:sz="4" w:space="0" w:color="auto"/>
              <w:right w:val="single" w:sz="4" w:space="0" w:color="auto"/>
            </w:tcBorders>
            <w:shd w:val="clear" w:color="auto" w:fill="auto"/>
            <w:noWrap/>
            <w:vAlign w:val="center"/>
            <w:hideMark/>
          </w:tcPr>
          <w:p w14:paraId="271F0F1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5053722000</w:t>
            </w:r>
          </w:p>
        </w:tc>
        <w:tc>
          <w:tcPr>
            <w:tcW w:w="547" w:type="pct"/>
            <w:tcBorders>
              <w:top w:val="nil"/>
              <w:left w:val="nil"/>
              <w:bottom w:val="single" w:sz="4" w:space="0" w:color="auto"/>
              <w:right w:val="single" w:sz="4" w:space="0" w:color="auto"/>
            </w:tcBorders>
            <w:shd w:val="clear" w:color="auto" w:fill="auto"/>
            <w:noWrap/>
            <w:vAlign w:val="center"/>
            <w:hideMark/>
          </w:tcPr>
          <w:p w14:paraId="6D92042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98654322</w:t>
            </w:r>
          </w:p>
        </w:tc>
        <w:tc>
          <w:tcPr>
            <w:tcW w:w="3360" w:type="pct"/>
            <w:tcBorders>
              <w:top w:val="nil"/>
              <w:left w:val="nil"/>
              <w:bottom w:val="single" w:sz="4" w:space="0" w:color="auto"/>
              <w:right w:val="single" w:sz="4" w:space="0" w:color="auto"/>
            </w:tcBorders>
            <w:shd w:val="clear" w:color="auto" w:fill="auto"/>
            <w:vAlign w:val="center"/>
            <w:hideMark/>
          </w:tcPr>
          <w:p w14:paraId="15B6F5A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MESTNE LEKARNE</w:t>
            </w:r>
          </w:p>
        </w:tc>
      </w:tr>
      <w:tr w:rsidR="00E3750C" w:rsidRPr="00415AB3" w14:paraId="72F0D040"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597CD3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379</w:t>
            </w:r>
          </w:p>
        </w:tc>
        <w:tc>
          <w:tcPr>
            <w:tcW w:w="705" w:type="pct"/>
            <w:tcBorders>
              <w:top w:val="nil"/>
              <w:left w:val="nil"/>
              <w:bottom w:val="single" w:sz="4" w:space="0" w:color="auto"/>
              <w:right w:val="single" w:sz="4" w:space="0" w:color="auto"/>
            </w:tcBorders>
            <w:shd w:val="clear" w:color="auto" w:fill="auto"/>
            <w:noWrap/>
            <w:vAlign w:val="center"/>
            <w:hideMark/>
          </w:tcPr>
          <w:p w14:paraId="0BA87F4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3630099000</w:t>
            </w:r>
          </w:p>
        </w:tc>
        <w:tc>
          <w:tcPr>
            <w:tcW w:w="547" w:type="pct"/>
            <w:tcBorders>
              <w:top w:val="nil"/>
              <w:left w:val="nil"/>
              <w:bottom w:val="single" w:sz="4" w:space="0" w:color="auto"/>
              <w:right w:val="single" w:sz="4" w:space="0" w:color="auto"/>
            </w:tcBorders>
            <w:shd w:val="clear" w:color="auto" w:fill="auto"/>
            <w:noWrap/>
            <w:vAlign w:val="center"/>
            <w:hideMark/>
          </w:tcPr>
          <w:p w14:paraId="5A27F83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13480855</w:t>
            </w:r>
          </w:p>
        </w:tc>
        <w:tc>
          <w:tcPr>
            <w:tcW w:w="3360" w:type="pct"/>
            <w:tcBorders>
              <w:top w:val="nil"/>
              <w:left w:val="nil"/>
              <w:bottom w:val="single" w:sz="4" w:space="0" w:color="auto"/>
              <w:right w:val="single" w:sz="4" w:space="0" w:color="auto"/>
            </w:tcBorders>
            <w:shd w:val="clear" w:color="auto" w:fill="auto"/>
            <w:vAlign w:val="center"/>
            <w:hideMark/>
          </w:tcPr>
          <w:p w14:paraId="4A6A815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MLADI ZMAJI - CENTER ZA KAKOVOSTNO PREŽIVLJANJE PROSTEGA ČASA MLADIH</w:t>
            </w:r>
          </w:p>
        </w:tc>
      </w:tr>
      <w:tr w:rsidR="00E3750C" w:rsidRPr="00415AB3" w14:paraId="02A34C0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B722BC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380</w:t>
            </w:r>
          </w:p>
        </w:tc>
        <w:tc>
          <w:tcPr>
            <w:tcW w:w="705" w:type="pct"/>
            <w:tcBorders>
              <w:top w:val="nil"/>
              <w:left w:val="nil"/>
              <w:bottom w:val="single" w:sz="4" w:space="0" w:color="auto"/>
              <w:right w:val="single" w:sz="4" w:space="0" w:color="auto"/>
            </w:tcBorders>
            <w:shd w:val="clear" w:color="auto" w:fill="auto"/>
            <w:noWrap/>
            <w:vAlign w:val="center"/>
            <w:hideMark/>
          </w:tcPr>
          <w:p w14:paraId="0607176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5924774000</w:t>
            </w:r>
          </w:p>
        </w:tc>
        <w:tc>
          <w:tcPr>
            <w:tcW w:w="547" w:type="pct"/>
            <w:tcBorders>
              <w:top w:val="nil"/>
              <w:left w:val="nil"/>
              <w:bottom w:val="single" w:sz="4" w:space="0" w:color="auto"/>
              <w:right w:val="single" w:sz="4" w:space="0" w:color="auto"/>
            </w:tcBorders>
            <w:shd w:val="clear" w:color="auto" w:fill="auto"/>
            <w:noWrap/>
            <w:vAlign w:val="center"/>
            <w:hideMark/>
          </w:tcPr>
          <w:p w14:paraId="5919087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21421382</w:t>
            </w:r>
          </w:p>
        </w:tc>
        <w:tc>
          <w:tcPr>
            <w:tcW w:w="3360" w:type="pct"/>
            <w:tcBorders>
              <w:top w:val="nil"/>
              <w:left w:val="nil"/>
              <w:bottom w:val="single" w:sz="4" w:space="0" w:color="auto"/>
              <w:right w:val="single" w:sz="4" w:space="0" w:color="auto"/>
            </w:tcBorders>
            <w:shd w:val="clear" w:color="auto" w:fill="auto"/>
            <w:vAlign w:val="center"/>
            <w:hideMark/>
          </w:tcPr>
          <w:p w14:paraId="3067368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OTROŠKI VRTEC ŠMARJE PRI JELŠAH</w:t>
            </w:r>
          </w:p>
        </w:tc>
      </w:tr>
      <w:tr w:rsidR="00E3750C" w:rsidRPr="00415AB3" w14:paraId="6FDEAE1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DA7AB5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381</w:t>
            </w:r>
          </w:p>
        </w:tc>
        <w:tc>
          <w:tcPr>
            <w:tcW w:w="705" w:type="pct"/>
            <w:tcBorders>
              <w:top w:val="nil"/>
              <w:left w:val="nil"/>
              <w:bottom w:val="single" w:sz="4" w:space="0" w:color="auto"/>
              <w:right w:val="single" w:sz="4" w:space="0" w:color="auto"/>
            </w:tcBorders>
            <w:shd w:val="clear" w:color="auto" w:fill="auto"/>
            <w:noWrap/>
            <w:vAlign w:val="center"/>
            <w:hideMark/>
          </w:tcPr>
          <w:p w14:paraId="3464EE7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1686674000</w:t>
            </w:r>
          </w:p>
        </w:tc>
        <w:tc>
          <w:tcPr>
            <w:tcW w:w="547" w:type="pct"/>
            <w:tcBorders>
              <w:top w:val="nil"/>
              <w:left w:val="nil"/>
              <w:bottom w:val="single" w:sz="4" w:space="0" w:color="auto"/>
              <w:right w:val="single" w:sz="4" w:space="0" w:color="auto"/>
            </w:tcBorders>
            <w:shd w:val="clear" w:color="auto" w:fill="auto"/>
            <w:noWrap/>
            <w:vAlign w:val="center"/>
            <w:hideMark/>
          </w:tcPr>
          <w:p w14:paraId="1F1C3A9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90717163</w:t>
            </w:r>
          </w:p>
        </w:tc>
        <w:tc>
          <w:tcPr>
            <w:tcW w:w="3360" w:type="pct"/>
            <w:tcBorders>
              <w:top w:val="nil"/>
              <w:left w:val="nil"/>
              <w:bottom w:val="single" w:sz="4" w:space="0" w:color="auto"/>
              <w:right w:val="single" w:sz="4" w:space="0" w:color="auto"/>
            </w:tcBorders>
            <w:shd w:val="clear" w:color="auto" w:fill="auto"/>
            <w:vAlign w:val="center"/>
            <w:hideMark/>
          </w:tcPr>
          <w:p w14:paraId="1901A9E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REGIJSKO VIŠJE IN VISOKOŠOLSKO SREDIŠČE</w:t>
            </w:r>
          </w:p>
        </w:tc>
      </w:tr>
      <w:tr w:rsidR="00E3750C" w:rsidRPr="00415AB3" w14:paraId="617881C5"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CCABA7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382</w:t>
            </w:r>
          </w:p>
        </w:tc>
        <w:tc>
          <w:tcPr>
            <w:tcW w:w="705" w:type="pct"/>
            <w:tcBorders>
              <w:top w:val="nil"/>
              <w:left w:val="nil"/>
              <w:bottom w:val="single" w:sz="4" w:space="0" w:color="auto"/>
              <w:right w:val="single" w:sz="4" w:space="0" w:color="auto"/>
            </w:tcBorders>
            <w:shd w:val="clear" w:color="auto" w:fill="auto"/>
            <w:noWrap/>
            <w:vAlign w:val="center"/>
            <w:hideMark/>
          </w:tcPr>
          <w:p w14:paraId="18616EE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1423215000</w:t>
            </w:r>
          </w:p>
        </w:tc>
        <w:tc>
          <w:tcPr>
            <w:tcW w:w="547" w:type="pct"/>
            <w:tcBorders>
              <w:top w:val="nil"/>
              <w:left w:val="nil"/>
              <w:bottom w:val="single" w:sz="4" w:space="0" w:color="auto"/>
              <w:right w:val="single" w:sz="4" w:space="0" w:color="auto"/>
            </w:tcBorders>
            <w:shd w:val="clear" w:color="auto" w:fill="auto"/>
            <w:noWrap/>
            <w:vAlign w:val="center"/>
            <w:hideMark/>
          </w:tcPr>
          <w:p w14:paraId="6CE7984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45991413</w:t>
            </w:r>
          </w:p>
        </w:tc>
        <w:tc>
          <w:tcPr>
            <w:tcW w:w="3360" w:type="pct"/>
            <w:tcBorders>
              <w:top w:val="nil"/>
              <w:left w:val="nil"/>
              <w:bottom w:val="single" w:sz="4" w:space="0" w:color="auto"/>
              <w:right w:val="single" w:sz="4" w:space="0" w:color="auto"/>
            </w:tcBorders>
            <w:shd w:val="clear" w:color="auto" w:fill="auto"/>
            <w:vAlign w:val="center"/>
            <w:hideMark/>
          </w:tcPr>
          <w:p w14:paraId="0BCA0D9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REPUBLIKE SLOVENIJE ZA VARSTVO KULTURNE DEDIŠČINE</w:t>
            </w:r>
          </w:p>
        </w:tc>
      </w:tr>
      <w:tr w:rsidR="00E3750C" w:rsidRPr="00415AB3" w14:paraId="64D2F44C"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7173E9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383</w:t>
            </w:r>
          </w:p>
        </w:tc>
        <w:tc>
          <w:tcPr>
            <w:tcW w:w="705" w:type="pct"/>
            <w:tcBorders>
              <w:top w:val="nil"/>
              <w:left w:val="nil"/>
              <w:bottom w:val="single" w:sz="4" w:space="0" w:color="auto"/>
              <w:right w:val="single" w:sz="4" w:space="0" w:color="auto"/>
            </w:tcBorders>
            <w:shd w:val="clear" w:color="auto" w:fill="auto"/>
            <w:noWrap/>
            <w:vAlign w:val="center"/>
            <w:hideMark/>
          </w:tcPr>
          <w:p w14:paraId="01C88FB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3824187000</w:t>
            </w:r>
          </w:p>
        </w:tc>
        <w:tc>
          <w:tcPr>
            <w:tcW w:w="547" w:type="pct"/>
            <w:tcBorders>
              <w:top w:val="nil"/>
              <w:left w:val="nil"/>
              <w:bottom w:val="single" w:sz="4" w:space="0" w:color="auto"/>
              <w:right w:val="single" w:sz="4" w:space="0" w:color="auto"/>
            </w:tcBorders>
            <w:shd w:val="clear" w:color="auto" w:fill="auto"/>
            <w:noWrap/>
            <w:vAlign w:val="center"/>
            <w:hideMark/>
          </w:tcPr>
          <w:p w14:paraId="063DC15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48383791</w:t>
            </w:r>
          </w:p>
        </w:tc>
        <w:tc>
          <w:tcPr>
            <w:tcW w:w="3360" w:type="pct"/>
            <w:tcBorders>
              <w:top w:val="nil"/>
              <w:left w:val="nil"/>
              <w:bottom w:val="single" w:sz="4" w:space="0" w:color="auto"/>
              <w:right w:val="single" w:sz="4" w:space="0" w:color="auto"/>
            </w:tcBorders>
            <w:shd w:val="clear" w:color="auto" w:fill="auto"/>
            <w:vAlign w:val="center"/>
            <w:hideMark/>
          </w:tcPr>
          <w:p w14:paraId="0A2FBF8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ROKODELSKI CENTER RIBNICA - ZAVOD ZA ROKODELSTVO, MUZEJSKO IN GALERIJSKO DEJAVNOST</w:t>
            </w:r>
          </w:p>
        </w:tc>
      </w:tr>
      <w:tr w:rsidR="00E3750C" w:rsidRPr="00415AB3" w14:paraId="68B1D242"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BF2F1E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384</w:t>
            </w:r>
          </w:p>
        </w:tc>
        <w:tc>
          <w:tcPr>
            <w:tcW w:w="705" w:type="pct"/>
            <w:tcBorders>
              <w:top w:val="nil"/>
              <w:left w:val="nil"/>
              <w:bottom w:val="single" w:sz="4" w:space="0" w:color="auto"/>
              <w:right w:val="single" w:sz="4" w:space="0" w:color="auto"/>
            </w:tcBorders>
            <w:shd w:val="clear" w:color="auto" w:fill="auto"/>
            <w:noWrap/>
            <w:vAlign w:val="center"/>
            <w:hideMark/>
          </w:tcPr>
          <w:p w14:paraId="0236621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3372421000</w:t>
            </w:r>
          </w:p>
        </w:tc>
        <w:tc>
          <w:tcPr>
            <w:tcW w:w="547" w:type="pct"/>
            <w:tcBorders>
              <w:top w:val="nil"/>
              <w:left w:val="nil"/>
              <w:bottom w:val="single" w:sz="4" w:space="0" w:color="auto"/>
              <w:right w:val="single" w:sz="4" w:space="0" w:color="auto"/>
            </w:tcBorders>
            <w:shd w:val="clear" w:color="auto" w:fill="auto"/>
            <w:noWrap/>
            <w:vAlign w:val="center"/>
            <w:hideMark/>
          </w:tcPr>
          <w:p w14:paraId="7B5DD0E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58270574</w:t>
            </w:r>
          </w:p>
        </w:tc>
        <w:tc>
          <w:tcPr>
            <w:tcW w:w="3360" w:type="pct"/>
            <w:tcBorders>
              <w:top w:val="nil"/>
              <w:left w:val="nil"/>
              <w:bottom w:val="single" w:sz="4" w:space="0" w:color="auto"/>
              <w:right w:val="single" w:sz="4" w:space="0" w:color="auto"/>
            </w:tcBorders>
            <w:shd w:val="clear" w:color="auto" w:fill="auto"/>
            <w:vAlign w:val="center"/>
            <w:hideMark/>
          </w:tcPr>
          <w:p w14:paraId="5924829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ŠKTM ZA ŠPORT, KULTURO, TURIZEM IN MLADINO RADLJE OB DRAVI</w:t>
            </w:r>
          </w:p>
        </w:tc>
      </w:tr>
      <w:tr w:rsidR="00E3750C" w:rsidRPr="00415AB3" w14:paraId="635231F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8DC292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385</w:t>
            </w:r>
          </w:p>
        </w:tc>
        <w:tc>
          <w:tcPr>
            <w:tcW w:w="705" w:type="pct"/>
            <w:tcBorders>
              <w:top w:val="nil"/>
              <w:left w:val="nil"/>
              <w:bottom w:val="single" w:sz="4" w:space="0" w:color="auto"/>
              <w:right w:val="single" w:sz="4" w:space="0" w:color="auto"/>
            </w:tcBorders>
            <w:shd w:val="clear" w:color="auto" w:fill="auto"/>
            <w:noWrap/>
            <w:vAlign w:val="center"/>
            <w:hideMark/>
          </w:tcPr>
          <w:p w14:paraId="0123D50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5145414000</w:t>
            </w:r>
          </w:p>
        </w:tc>
        <w:tc>
          <w:tcPr>
            <w:tcW w:w="547" w:type="pct"/>
            <w:tcBorders>
              <w:top w:val="nil"/>
              <w:left w:val="nil"/>
              <w:bottom w:val="single" w:sz="4" w:space="0" w:color="auto"/>
              <w:right w:val="single" w:sz="4" w:space="0" w:color="auto"/>
            </w:tcBorders>
            <w:shd w:val="clear" w:color="auto" w:fill="auto"/>
            <w:noWrap/>
            <w:vAlign w:val="center"/>
            <w:hideMark/>
          </w:tcPr>
          <w:p w14:paraId="56B10E5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63489767</w:t>
            </w:r>
          </w:p>
        </w:tc>
        <w:tc>
          <w:tcPr>
            <w:tcW w:w="3360" w:type="pct"/>
            <w:tcBorders>
              <w:top w:val="nil"/>
              <w:left w:val="nil"/>
              <w:bottom w:val="single" w:sz="4" w:space="0" w:color="auto"/>
              <w:right w:val="single" w:sz="4" w:space="0" w:color="auto"/>
            </w:tcBorders>
            <w:shd w:val="clear" w:color="auto" w:fill="auto"/>
            <w:vAlign w:val="center"/>
            <w:hideMark/>
          </w:tcPr>
          <w:p w14:paraId="617F14E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ŠPORT LJUBLJANA</w:t>
            </w:r>
          </w:p>
        </w:tc>
      </w:tr>
      <w:tr w:rsidR="00E3750C" w:rsidRPr="00415AB3" w14:paraId="7C1DA9F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354C71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386</w:t>
            </w:r>
          </w:p>
        </w:tc>
        <w:tc>
          <w:tcPr>
            <w:tcW w:w="705" w:type="pct"/>
            <w:tcBorders>
              <w:top w:val="nil"/>
              <w:left w:val="nil"/>
              <w:bottom w:val="single" w:sz="4" w:space="0" w:color="auto"/>
              <w:right w:val="single" w:sz="4" w:space="0" w:color="auto"/>
            </w:tcBorders>
            <w:shd w:val="clear" w:color="auto" w:fill="auto"/>
            <w:noWrap/>
            <w:vAlign w:val="center"/>
            <w:hideMark/>
          </w:tcPr>
          <w:p w14:paraId="4665E9A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5915376000</w:t>
            </w:r>
          </w:p>
        </w:tc>
        <w:tc>
          <w:tcPr>
            <w:tcW w:w="547" w:type="pct"/>
            <w:tcBorders>
              <w:top w:val="nil"/>
              <w:left w:val="nil"/>
              <w:bottom w:val="single" w:sz="4" w:space="0" w:color="auto"/>
              <w:right w:val="single" w:sz="4" w:space="0" w:color="auto"/>
            </w:tcBorders>
            <w:shd w:val="clear" w:color="auto" w:fill="auto"/>
            <w:noWrap/>
            <w:vAlign w:val="center"/>
            <w:hideMark/>
          </w:tcPr>
          <w:p w14:paraId="4EC1D65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37238221</w:t>
            </w:r>
          </w:p>
        </w:tc>
        <w:tc>
          <w:tcPr>
            <w:tcW w:w="3360" w:type="pct"/>
            <w:tcBorders>
              <w:top w:val="nil"/>
              <w:left w:val="nil"/>
              <w:bottom w:val="single" w:sz="4" w:space="0" w:color="auto"/>
              <w:right w:val="single" w:sz="4" w:space="0" w:color="auto"/>
            </w:tcBorders>
            <w:shd w:val="clear" w:color="auto" w:fill="auto"/>
            <w:vAlign w:val="center"/>
            <w:hideMark/>
          </w:tcPr>
          <w:p w14:paraId="7D49325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ŠPORTNI IN MLADINSKI CENTER PIRAN</w:t>
            </w:r>
          </w:p>
        </w:tc>
      </w:tr>
      <w:tr w:rsidR="00E3750C" w:rsidRPr="00415AB3" w14:paraId="7D61674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90E71E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387</w:t>
            </w:r>
          </w:p>
        </w:tc>
        <w:tc>
          <w:tcPr>
            <w:tcW w:w="705" w:type="pct"/>
            <w:tcBorders>
              <w:top w:val="nil"/>
              <w:left w:val="nil"/>
              <w:bottom w:val="single" w:sz="4" w:space="0" w:color="auto"/>
              <w:right w:val="single" w:sz="4" w:space="0" w:color="auto"/>
            </w:tcBorders>
            <w:shd w:val="clear" w:color="auto" w:fill="auto"/>
            <w:noWrap/>
            <w:vAlign w:val="center"/>
            <w:hideMark/>
          </w:tcPr>
          <w:p w14:paraId="5A355B0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1619004000</w:t>
            </w:r>
          </w:p>
        </w:tc>
        <w:tc>
          <w:tcPr>
            <w:tcW w:w="547" w:type="pct"/>
            <w:tcBorders>
              <w:top w:val="nil"/>
              <w:left w:val="nil"/>
              <w:bottom w:val="single" w:sz="4" w:space="0" w:color="auto"/>
              <w:right w:val="single" w:sz="4" w:space="0" w:color="auto"/>
            </w:tcBorders>
            <w:shd w:val="clear" w:color="auto" w:fill="auto"/>
            <w:noWrap/>
            <w:vAlign w:val="center"/>
            <w:hideMark/>
          </w:tcPr>
          <w:p w14:paraId="4BF2E64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37967550</w:t>
            </w:r>
          </w:p>
        </w:tc>
        <w:tc>
          <w:tcPr>
            <w:tcW w:w="3360" w:type="pct"/>
            <w:tcBorders>
              <w:top w:val="nil"/>
              <w:left w:val="nil"/>
              <w:bottom w:val="single" w:sz="4" w:space="0" w:color="auto"/>
              <w:right w:val="single" w:sz="4" w:space="0" w:color="auto"/>
            </w:tcBorders>
            <w:shd w:val="clear" w:color="auto" w:fill="auto"/>
            <w:vAlign w:val="center"/>
            <w:hideMark/>
          </w:tcPr>
          <w:p w14:paraId="4079027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ŠPORTNI PARK RUŠE</w:t>
            </w:r>
          </w:p>
        </w:tc>
      </w:tr>
      <w:tr w:rsidR="00E3750C" w:rsidRPr="00415AB3" w14:paraId="4FAB886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CC4D26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388</w:t>
            </w:r>
          </w:p>
        </w:tc>
        <w:tc>
          <w:tcPr>
            <w:tcW w:w="705" w:type="pct"/>
            <w:tcBorders>
              <w:top w:val="nil"/>
              <w:left w:val="nil"/>
              <w:bottom w:val="single" w:sz="4" w:space="0" w:color="auto"/>
              <w:right w:val="single" w:sz="4" w:space="0" w:color="auto"/>
            </w:tcBorders>
            <w:shd w:val="clear" w:color="auto" w:fill="auto"/>
            <w:noWrap/>
            <w:vAlign w:val="center"/>
            <w:hideMark/>
          </w:tcPr>
          <w:p w14:paraId="45C8CD1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5163846000</w:t>
            </w:r>
          </w:p>
        </w:tc>
        <w:tc>
          <w:tcPr>
            <w:tcW w:w="547" w:type="pct"/>
            <w:tcBorders>
              <w:top w:val="nil"/>
              <w:left w:val="nil"/>
              <w:bottom w:val="single" w:sz="4" w:space="0" w:color="auto"/>
              <w:right w:val="single" w:sz="4" w:space="0" w:color="auto"/>
            </w:tcBorders>
            <w:shd w:val="clear" w:color="auto" w:fill="auto"/>
            <w:noWrap/>
            <w:vAlign w:val="center"/>
            <w:hideMark/>
          </w:tcPr>
          <w:p w14:paraId="437138C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79422837</w:t>
            </w:r>
          </w:p>
        </w:tc>
        <w:tc>
          <w:tcPr>
            <w:tcW w:w="3360" w:type="pct"/>
            <w:tcBorders>
              <w:top w:val="nil"/>
              <w:left w:val="nil"/>
              <w:bottom w:val="single" w:sz="4" w:space="0" w:color="auto"/>
              <w:right w:val="single" w:sz="4" w:space="0" w:color="auto"/>
            </w:tcBorders>
            <w:shd w:val="clear" w:color="auto" w:fill="auto"/>
            <w:vAlign w:val="center"/>
            <w:hideMark/>
          </w:tcPr>
          <w:p w14:paraId="699D394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TRIGLAVSKI NARODNI PARK</w:t>
            </w:r>
          </w:p>
        </w:tc>
      </w:tr>
      <w:tr w:rsidR="00E3750C" w:rsidRPr="00415AB3" w14:paraId="38F8852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29D8E7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389</w:t>
            </w:r>
          </w:p>
        </w:tc>
        <w:tc>
          <w:tcPr>
            <w:tcW w:w="705" w:type="pct"/>
            <w:tcBorders>
              <w:top w:val="nil"/>
              <w:left w:val="nil"/>
              <w:bottom w:val="single" w:sz="4" w:space="0" w:color="auto"/>
              <w:right w:val="single" w:sz="4" w:space="0" w:color="auto"/>
            </w:tcBorders>
            <w:shd w:val="clear" w:color="auto" w:fill="auto"/>
            <w:noWrap/>
            <w:vAlign w:val="center"/>
            <w:hideMark/>
          </w:tcPr>
          <w:p w14:paraId="716E84E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1121782000</w:t>
            </w:r>
          </w:p>
        </w:tc>
        <w:tc>
          <w:tcPr>
            <w:tcW w:w="547" w:type="pct"/>
            <w:tcBorders>
              <w:top w:val="nil"/>
              <w:left w:val="nil"/>
              <w:bottom w:val="single" w:sz="4" w:space="0" w:color="auto"/>
              <w:right w:val="single" w:sz="4" w:space="0" w:color="auto"/>
            </w:tcBorders>
            <w:shd w:val="clear" w:color="auto" w:fill="auto"/>
            <w:noWrap/>
            <w:vAlign w:val="center"/>
            <w:hideMark/>
          </w:tcPr>
          <w:p w14:paraId="37EC80E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10544194</w:t>
            </w:r>
          </w:p>
        </w:tc>
        <w:tc>
          <w:tcPr>
            <w:tcW w:w="3360" w:type="pct"/>
            <w:tcBorders>
              <w:top w:val="nil"/>
              <w:left w:val="nil"/>
              <w:bottom w:val="single" w:sz="4" w:space="0" w:color="auto"/>
              <w:right w:val="single" w:sz="4" w:space="0" w:color="auto"/>
            </w:tcBorders>
            <w:shd w:val="clear" w:color="auto" w:fill="auto"/>
            <w:vAlign w:val="center"/>
            <w:hideMark/>
          </w:tcPr>
          <w:p w14:paraId="071B2F7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TURIZEM BLED</w:t>
            </w:r>
          </w:p>
        </w:tc>
      </w:tr>
      <w:tr w:rsidR="00E3750C" w:rsidRPr="00415AB3" w14:paraId="57A65CB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119075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390</w:t>
            </w:r>
          </w:p>
        </w:tc>
        <w:tc>
          <w:tcPr>
            <w:tcW w:w="705" w:type="pct"/>
            <w:tcBorders>
              <w:top w:val="nil"/>
              <w:left w:val="nil"/>
              <w:bottom w:val="single" w:sz="4" w:space="0" w:color="auto"/>
              <w:right w:val="single" w:sz="4" w:space="0" w:color="auto"/>
            </w:tcBorders>
            <w:shd w:val="clear" w:color="auto" w:fill="auto"/>
            <w:noWrap/>
            <w:vAlign w:val="center"/>
            <w:hideMark/>
          </w:tcPr>
          <w:p w14:paraId="283BEDE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3683516000</w:t>
            </w:r>
          </w:p>
        </w:tc>
        <w:tc>
          <w:tcPr>
            <w:tcW w:w="547" w:type="pct"/>
            <w:tcBorders>
              <w:top w:val="nil"/>
              <w:left w:val="nil"/>
              <w:bottom w:val="single" w:sz="4" w:space="0" w:color="auto"/>
              <w:right w:val="single" w:sz="4" w:space="0" w:color="auto"/>
            </w:tcBorders>
            <w:shd w:val="clear" w:color="auto" w:fill="auto"/>
            <w:noWrap/>
            <w:vAlign w:val="center"/>
            <w:hideMark/>
          </w:tcPr>
          <w:p w14:paraId="1E22611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71535586</w:t>
            </w:r>
          </w:p>
        </w:tc>
        <w:tc>
          <w:tcPr>
            <w:tcW w:w="3360" w:type="pct"/>
            <w:tcBorders>
              <w:top w:val="nil"/>
              <w:left w:val="nil"/>
              <w:bottom w:val="single" w:sz="4" w:space="0" w:color="auto"/>
              <w:right w:val="single" w:sz="4" w:space="0" w:color="auto"/>
            </w:tcBorders>
            <w:shd w:val="clear" w:color="auto" w:fill="auto"/>
            <w:vAlign w:val="center"/>
            <w:hideMark/>
          </w:tcPr>
          <w:p w14:paraId="27F4066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TURIZEM IN KULTURA RADOVLJICA</w:t>
            </w:r>
          </w:p>
        </w:tc>
      </w:tr>
      <w:tr w:rsidR="00E3750C" w:rsidRPr="00415AB3" w14:paraId="7580504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4405E6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391</w:t>
            </w:r>
          </w:p>
        </w:tc>
        <w:tc>
          <w:tcPr>
            <w:tcW w:w="705" w:type="pct"/>
            <w:tcBorders>
              <w:top w:val="nil"/>
              <w:left w:val="nil"/>
              <w:bottom w:val="single" w:sz="4" w:space="0" w:color="auto"/>
              <w:right w:val="single" w:sz="4" w:space="0" w:color="auto"/>
            </w:tcBorders>
            <w:shd w:val="clear" w:color="auto" w:fill="auto"/>
            <w:noWrap/>
            <w:vAlign w:val="center"/>
            <w:hideMark/>
          </w:tcPr>
          <w:p w14:paraId="54737C6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5987296000</w:t>
            </w:r>
          </w:p>
        </w:tc>
        <w:tc>
          <w:tcPr>
            <w:tcW w:w="547" w:type="pct"/>
            <w:tcBorders>
              <w:top w:val="nil"/>
              <w:left w:val="nil"/>
              <w:bottom w:val="single" w:sz="4" w:space="0" w:color="auto"/>
              <w:right w:val="single" w:sz="4" w:space="0" w:color="auto"/>
            </w:tcBorders>
            <w:shd w:val="clear" w:color="auto" w:fill="auto"/>
            <w:noWrap/>
            <w:vAlign w:val="center"/>
            <w:hideMark/>
          </w:tcPr>
          <w:p w14:paraId="6D78381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51997100</w:t>
            </w:r>
          </w:p>
        </w:tc>
        <w:tc>
          <w:tcPr>
            <w:tcW w:w="3360" w:type="pct"/>
            <w:tcBorders>
              <w:top w:val="nil"/>
              <w:left w:val="nil"/>
              <w:bottom w:val="single" w:sz="4" w:space="0" w:color="auto"/>
              <w:right w:val="single" w:sz="4" w:space="0" w:color="auto"/>
            </w:tcBorders>
            <w:shd w:val="clear" w:color="auto" w:fill="auto"/>
            <w:vAlign w:val="center"/>
            <w:hideMark/>
          </w:tcPr>
          <w:p w14:paraId="380D68F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VRTEC ZREČE</w:t>
            </w:r>
          </w:p>
        </w:tc>
      </w:tr>
      <w:tr w:rsidR="00E3750C" w:rsidRPr="00415AB3" w14:paraId="63B309A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69576E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392</w:t>
            </w:r>
          </w:p>
        </w:tc>
        <w:tc>
          <w:tcPr>
            <w:tcW w:w="705" w:type="pct"/>
            <w:tcBorders>
              <w:top w:val="nil"/>
              <w:left w:val="nil"/>
              <w:bottom w:val="single" w:sz="4" w:space="0" w:color="auto"/>
              <w:right w:val="single" w:sz="4" w:space="0" w:color="auto"/>
            </w:tcBorders>
            <w:shd w:val="clear" w:color="auto" w:fill="auto"/>
            <w:noWrap/>
            <w:vAlign w:val="center"/>
            <w:hideMark/>
          </w:tcPr>
          <w:p w14:paraId="3EFE9EE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8815321000</w:t>
            </w:r>
          </w:p>
        </w:tc>
        <w:tc>
          <w:tcPr>
            <w:tcW w:w="547" w:type="pct"/>
            <w:tcBorders>
              <w:top w:val="nil"/>
              <w:left w:val="nil"/>
              <w:bottom w:val="single" w:sz="4" w:space="0" w:color="auto"/>
              <w:right w:val="single" w:sz="4" w:space="0" w:color="auto"/>
            </w:tcBorders>
            <w:shd w:val="clear" w:color="auto" w:fill="auto"/>
            <w:noWrap/>
            <w:vAlign w:val="center"/>
            <w:hideMark/>
          </w:tcPr>
          <w:p w14:paraId="492400B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79553451</w:t>
            </w:r>
          </w:p>
        </w:tc>
        <w:tc>
          <w:tcPr>
            <w:tcW w:w="3360" w:type="pct"/>
            <w:tcBorders>
              <w:top w:val="nil"/>
              <w:left w:val="nil"/>
              <w:bottom w:val="single" w:sz="4" w:space="0" w:color="auto"/>
              <w:right w:val="single" w:sz="4" w:space="0" w:color="auto"/>
            </w:tcBorders>
            <w:shd w:val="clear" w:color="auto" w:fill="auto"/>
            <w:vAlign w:val="center"/>
            <w:hideMark/>
          </w:tcPr>
          <w:p w14:paraId="053BD6F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ZA DOLGOTRAJNO OSKRBO RAST RUŠE</w:t>
            </w:r>
          </w:p>
        </w:tc>
      </w:tr>
      <w:tr w:rsidR="00E3750C" w:rsidRPr="00415AB3" w14:paraId="15FF20BC"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685A3B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393</w:t>
            </w:r>
          </w:p>
        </w:tc>
        <w:tc>
          <w:tcPr>
            <w:tcW w:w="705" w:type="pct"/>
            <w:tcBorders>
              <w:top w:val="nil"/>
              <w:left w:val="nil"/>
              <w:bottom w:val="single" w:sz="4" w:space="0" w:color="auto"/>
              <w:right w:val="single" w:sz="4" w:space="0" w:color="auto"/>
            </w:tcBorders>
            <w:shd w:val="clear" w:color="auto" w:fill="auto"/>
            <w:noWrap/>
            <w:vAlign w:val="center"/>
            <w:hideMark/>
          </w:tcPr>
          <w:p w14:paraId="2FE71DE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5518741000</w:t>
            </w:r>
          </w:p>
        </w:tc>
        <w:tc>
          <w:tcPr>
            <w:tcW w:w="547" w:type="pct"/>
            <w:tcBorders>
              <w:top w:val="nil"/>
              <w:left w:val="nil"/>
              <w:bottom w:val="single" w:sz="4" w:space="0" w:color="auto"/>
              <w:right w:val="single" w:sz="4" w:space="0" w:color="auto"/>
            </w:tcBorders>
            <w:shd w:val="clear" w:color="auto" w:fill="auto"/>
            <w:noWrap/>
            <w:vAlign w:val="center"/>
            <w:hideMark/>
          </w:tcPr>
          <w:p w14:paraId="50728F5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92367151</w:t>
            </w:r>
          </w:p>
        </w:tc>
        <w:tc>
          <w:tcPr>
            <w:tcW w:w="3360" w:type="pct"/>
            <w:tcBorders>
              <w:top w:val="nil"/>
              <w:left w:val="nil"/>
              <w:bottom w:val="single" w:sz="4" w:space="0" w:color="auto"/>
              <w:right w:val="single" w:sz="4" w:space="0" w:color="auto"/>
            </w:tcBorders>
            <w:shd w:val="clear" w:color="auto" w:fill="auto"/>
            <w:vAlign w:val="center"/>
            <w:hideMark/>
          </w:tcPr>
          <w:p w14:paraId="55F0E7F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ZA GASILSKO IN REŠEVALNO DEJAVNOST -GASILSKA ENOTA NOVA GORICA</w:t>
            </w:r>
          </w:p>
        </w:tc>
      </w:tr>
      <w:tr w:rsidR="00E3750C" w:rsidRPr="00415AB3" w14:paraId="672CD7A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7977C6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394</w:t>
            </w:r>
          </w:p>
        </w:tc>
        <w:tc>
          <w:tcPr>
            <w:tcW w:w="705" w:type="pct"/>
            <w:tcBorders>
              <w:top w:val="nil"/>
              <w:left w:val="nil"/>
              <w:bottom w:val="single" w:sz="4" w:space="0" w:color="auto"/>
              <w:right w:val="single" w:sz="4" w:space="0" w:color="auto"/>
            </w:tcBorders>
            <w:shd w:val="clear" w:color="auto" w:fill="auto"/>
            <w:noWrap/>
            <w:vAlign w:val="center"/>
            <w:hideMark/>
          </w:tcPr>
          <w:p w14:paraId="098C466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6558470000</w:t>
            </w:r>
          </w:p>
        </w:tc>
        <w:tc>
          <w:tcPr>
            <w:tcW w:w="547" w:type="pct"/>
            <w:tcBorders>
              <w:top w:val="nil"/>
              <w:left w:val="nil"/>
              <w:bottom w:val="single" w:sz="4" w:space="0" w:color="auto"/>
              <w:right w:val="single" w:sz="4" w:space="0" w:color="auto"/>
            </w:tcBorders>
            <w:shd w:val="clear" w:color="auto" w:fill="auto"/>
            <w:noWrap/>
            <w:vAlign w:val="center"/>
            <w:hideMark/>
          </w:tcPr>
          <w:p w14:paraId="6576705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64124266</w:t>
            </w:r>
          </w:p>
        </w:tc>
        <w:tc>
          <w:tcPr>
            <w:tcW w:w="3360" w:type="pct"/>
            <w:tcBorders>
              <w:top w:val="nil"/>
              <w:left w:val="nil"/>
              <w:bottom w:val="single" w:sz="4" w:space="0" w:color="auto"/>
              <w:right w:val="single" w:sz="4" w:space="0" w:color="auto"/>
            </w:tcBorders>
            <w:shd w:val="clear" w:color="auto" w:fill="auto"/>
            <w:vAlign w:val="center"/>
            <w:hideMark/>
          </w:tcPr>
          <w:p w14:paraId="0BC0313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ZA KULTURO IN TURIZEM PRIJETNO DOMAČE IVANČNA GORICA</w:t>
            </w:r>
          </w:p>
        </w:tc>
      </w:tr>
      <w:tr w:rsidR="00E3750C" w:rsidRPr="00415AB3" w14:paraId="6C6403E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E5934B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395</w:t>
            </w:r>
          </w:p>
        </w:tc>
        <w:tc>
          <w:tcPr>
            <w:tcW w:w="705" w:type="pct"/>
            <w:tcBorders>
              <w:top w:val="nil"/>
              <w:left w:val="nil"/>
              <w:bottom w:val="single" w:sz="4" w:space="0" w:color="auto"/>
              <w:right w:val="single" w:sz="4" w:space="0" w:color="auto"/>
            </w:tcBorders>
            <w:shd w:val="clear" w:color="auto" w:fill="auto"/>
            <w:noWrap/>
            <w:vAlign w:val="center"/>
            <w:hideMark/>
          </w:tcPr>
          <w:p w14:paraId="7F4872F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8180431000</w:t>
            </w:r>
          </w:p>
        </w:tc>
        <w:tc>
          <w:tcPr>
            <w:tcW w:w="547" w:type="pct"/>
            <w:tcBorders>
              <w:top w:val="nil"/>
              <w:left w:val="nil"/>
              <w:bottom w:val="single" w:sz="4" w:space="0" w:color="auto"/>
              <w:right w:val="single" w:sz="4" w:space="0" w:color="auto"/>
            </w:tcBorders>
            <w:shd w:val="clear" w:color="auto" w:fill="auto"/>
            <w:noWrap/>
            <w:vAlign w:val="center"/>
            <w:hideMark/>
          </w:tcPr>
          <w:p w14:paraId="1970A00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19359713</w:t>
            </w:r>
          </w:p>
        </w:tc>
        <w:tc>
          <w:tcPr>
            <w:tcW w:w="3360" w:type="pct"/>
            <w:tcBorders>
              <w:top w:val="nil"/>
              <w:left w:val="nil"/>
              <w:bottom w:val="single" w:sz="4" w:space="0" w:color="auto"/>
              <w:right w:val="single" w:sz="4" w:space="0" w:color="auto"/>
            </w:tcBorders>
            <w:shd w:val="clear" w:color="auto" w:fill="auto"/>
            <w:vAlign w:val="center"/>
            <w:hideMark/>
          </w:tcPr>
          <w:p w14:paraId="10B78B3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ZA KULTURO KAMNIK</w:t>
            </w:r>
          </w:p>
        </w:tc>
      </w:tr>
      <w:tr w:rsidR="00E3750C" w:rsidRPr="00415AB3" w14:paraId="55EF9A2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3F5E59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396</w:t>
            </w:r>
          </w:p>
        </w:tc>
        <w:tc>
          <w:tcPr>
            <w:tcW w:w="705" w:type="pct"/>
            <w:tcBorders>
              <w:top w:val="nil"/>
              <w:left w:val="nil"/>
              <w:bottom w:val="single" w:sz="4" w:space="0" w:color="auto"/>
              <w:right w:val="single" w:sz="4" w:space="0" w:color="auto"/>
            </w:tcBorders>
            <w:shd w:val="clear" w:color="auto" w:fill="auto"/>
            <w:noWrap/>
            <w:vAlign w:val="center"/>
            <w:hideMark/>
          </w:tcPr>
          <w:p w14:paraId="1B74DE3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6301819000</w:t>
            </w:r>
          </w:p>
        </w:tc>
        <w:tc>
          <w:tcPr>
            <w:tcW w:w="547" w:type="pct"/>
            <w:tcBorders>
              <w:top w:val="nil"/>
              <w:left w:val="nil"/>
              <w:bottom w:val="single" w:sz="4" w:space="0" w:color="auto"/>
              <w:right w:val="single" w:sz="4" w:space="0" w:color="auto"/>
            </w:tcBorders>
            <w:shd w:val="clear" w:color="auto" w:fill="auto"/>
            <w:noWrap/>
            <w:vAlign w:val="center"/>
            <w:hideMark/>
          </w:tcPr>
          <w:p w14:paraId="6D7EBFF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13109154</w:t>
            </w:r>
          </w:p>
        </w:tc>
        <w:tc>
          <w:tcPr>
            <w:tcW w:w="3360" w:type="pct"/>
            <w:tcBorders>
              <w:top w:val="nil"/>
              <w:left w:val="nil"/>
              <w:bottom w:val="single" w:sz="4" w:space="0" w:color="auto"/>
              <w:right w:val="single" w:sz="4" w:space="0" w:color="auto"/>
            </w:tcBorders>
            <w:shd w:val="clear" w:color="auto" w:fill="auto"/>
            <w:vAlign w:val="center"/>
            <w:hideMark/>
          </w:tcPr>
          <w:p w14:paraId="3296956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ZA KULTURO, MLADINO IN ŠPORT LITIJA</w:t>
            </w:r>
          </w:p>
        </w:tc>
      </w:tr>
      <w:tr w:rsidR="00E3750C" w:rsidRPr="00415AB3" w14:paraId="102CD8A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3FA2B1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397</w:t>
            </w:r>
          </w:p>
        </w:tc>
        <w:tc>
          <w:tcPr>
            <w:tcW w:w="705" w:type="pct"/>
            <w:tcBorders>
              <w:top w:val="nil"/>
              <w:left w:val="nil"/>
              <w:bottom w:val="single" w:sz="4" w:space="0" w:color="auto"/>
              <w:right w:val="single" w:sz="4" w:space="0" w:color="auto"/>
            </w:tcBorders>
            <w:shd w:val="clear" w:color="auto" w:fill="auto"/>
            <w:noWrap/>
            <w:vAlign w:val="center"/>
            <w:hideMark/>
          </w:tcPr>
          <w:p w14:paraId="0F54693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5186609000</w:t>
            </w:r>
          </w:p>
        </w:tc>
        <w:tc>
          <w:tcPr>
            <w:tcW w:w="547" w:type="pct"/>
            <w:tcBorders>
              <w:top w:val="nil"/>
              <w:left w:val="nil"/>
              <w:bottom w:val="single" w:sz="4" w:space="0" w:color="auto"/>
              <w:right w:val="single" w:sz="4" w:space="0" w:color="auto"/>
            </w:tcBorders>
            <w:shd w:val="clear" w:color="auto" w:fill="auto"/>
            <w:noWrap/>
            <w:vAlign w:val="center"/>
            <w:hideMark/>
          </w:tcPr>
          <w:p w14:paraId="3455955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44537069</w:t>
            </w:r>
          </w:p>
        </w:tc>
        <w:tc>
          <w:tcPr>
            <w:tcW w:w="3360" w:type="pct"/>
            <w:tcBorders>
              <w:top w:val="nil"/>
              <w:left w:val="nil"/>
              <w:bottom w:val="single" w:sz="4" w:space="0" w:color="auto"/>
              <w:right w:val="single" w:sz="4" w:space="0" w:color="auto"/>
            </w:tcBorders>
            <w:shd w:val="clear" w:color="auto" w:fill="auto"/>
            <w:vAlign w:val="center"/>
            <w:hideMark/>
          </w:tcPr>
          <w:p w14:paraId="524DDD3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ZA KULTURO, ŠPORT, MLADINO IN TURIZEM HRASTNIK</w:t>
            </w:r>
          </w:p>
        </w:tc>
      </w:tr>
      <w:tr w:rsidR="00E3750C" w:rsidRPr="00415AB3" w14:paraId="450696B0"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37F7B2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398</w:t>
            </w:r>
          </w:p>
        </w:tc>
        <w:tc>
          <w:tcPr>
            <w:tcW w:w="705" w:type="pct"/>
            <w:tcBorders>
              <w:top w:val="nil"/>
              <w:left w:val="nil"/>
              <w:bottom w:val="single" w:sz="4" w:space="0" w:color="auto"/>
              <w:right w:val="single" w:sz="4" w:space="0" w:color="auto"/>
            </w:tcBorders>
            <w:shd w:val="clear" w:color="auto" w:fill="auto"/>
            <w:noWrap/>
            <w:vAlign w:val="center"/>
            <w:hideMark/>
          </w:tcPr>
          <w:p w14:paraId="6CA502E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2171724000</w:t>
            </w:r>
          </w:p>
        </w:tc>
        <w:tc>
          <w:tcPr>
            <w:tcW w:w="547" w:type="pct"/>
            <w:tcBorders>
              <w:top w:val="nil"/>
              <w:left w:val="nil"/>
              <w:bottom w:val="single" w:sz="4" w:space="0" w:color="auto"/>
              <w:right w:val="single" w:sz="4" w:space="0" w:color="auto"/>
            </w:tcBorders>
            <w:shd w:val="clear" w:color="auto" w:fill="auto"/>
            <w:noWrap/>
            <w:vAlign w:val="center"/>
            <w:hideMark/>
          </w:tcPr>
          <w:p w14:paraId="116E23E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59571098</w:t>
            </w:r>
          </w:p>
        </w:tc>
        <w:tc>
          <w:tcPr>
            <w:tcW w:w="3360" w:type="pct"/>
            <w:tcBorders>
              <w:top w:val="nil"/>
              <w:left w:val="nil"/>
              <w:bottom w:val="single" w:sz="4" w:space="0" w:color="auto"/>
              <w:right w:val="single" w:sz="4" w:space="0" w:color="auto"/>
            </w:tcBorders>
            <w:shd w:val="clear" w:color="auto" w:fill="auto"/>
            <w:vAlign w:val="center"/>
            <w:hideMark/>
          </w:tcPr>
          <w:p w14:paraId="49650F3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ZA KULTURO, ŠPORT, TURIZEM IN MLADINSKE DEJAVNOSTI SEVNICA</w:t>
            </w:r>
          </w:p>
        </w:tc>
      </w:tr>
      <w:tr w:rsidR="00E3750C" w:rsidRPr="00415AB3" w14:paraId="0E3C07F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8CFBD9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399</w:t>
            </w:r>
          </w:p>
        </w:tc>
        <w:tc>
          <w:tcPr>
            <w:tcW w:w="705" w:type="pct"/>
            <w:tcBorders>
              <w:top w:val="nil"/>
              <w:left w:val="nil"/>
              <w:bottom w:val="single" w:sz="4" w:space="0" w:color="auto"/>
              <w:right w:val="single" w:sz="4" w:space="0" w:color="auto"/>
            </w:tcBorders>
            <w:shd w:val="clear" w:color="auto" w:fill="auto"/>
            <w:noWrap/>
            <w:vAlign w:val="center"/>
            <w:hideMark/>
          </w:tcPr>
          <w:p w14:paraId="44AA54E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1569805000</w:t>
            </w:r>
          </w:p>
        </w:tc>
        <w:tc>
          <w:tcPr>
            <w:tcW w:w="547" w:type="pct"/>
            <w:tcBorders>
              <w:top w:val="nil"/>
              <w:left w:val="nil"/>
              <w:bottom w:val="single" w:sz="4" w:space="0" w:color="auto"/>
              <w:right w:val="single" w:sz="4" w:space="0" w:color="auto"/>
            </w:tcBorders>
            <w:shd w:val="clear" w:color="auto" w:fill="auto"/>
            <w:noWrap/>
            <w:vAlign w:val="center"/>
            <w:hideMark/>
          </w:tcPr>
          <w:p w14:paraId="5587069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84120312</w:t>
            </w:r>
          </w:p>
        </w:tc>
        <w:tc>
          <w:tcPr>
            <w:tcW w:w="3360" w:type="pct"/>
            <w:tcBorders>
              <w:top w:val="nil"/>
              <w:left w:val="nil"/>
              <w:bottom w:val="single" w:sz="4" w:space="0" w:color="auto"/>
              <w:right w:val="single" w:sz="4" w:space="0" w:color="auto"/>
            </w:tcBorders>
            <w:shd w:val="clear" w:color="auto" w:fill="auto"/>
            <w:vAlign w:val="center"/>
            <w:hideMark/>
          </w:tcPr>
          <w:p w14:paraId="3814BA4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ZA KULTURO, TURIZEM IN RAZVOJ OBČINE ROGATEC</w:t>
            </w:r>
          </w:p>
        </w:tc>
      </w:tr>
      <w:tr w:rsidR="00E3750C" w:rsidRPr="00415AB3" w14:paraId="677445BD"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0099EF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400</w:t>
            </w:r>
          </w:p>
        </w:tc>
        <w:tc>
          <w:tcPr>
            <w:tcW w:w="705" w:type="pct"/>
            <w:tcBorders>
              <w:top w:val="nil"/>
              <w:left w:val="nil"/>
              <w:bottom w:val="single" w:sz="4" w:space="0" w:color="auto"/>
              <w:right w:val="single" w:sz="4" w:space="0" w:color="auto"/>
            </w:tcBorders>
            <w:shd w:val="clear" w:color="auto" w:fill="auto"/>
            <w:noWrap/>
            <w:vAlign w:val="center"/>
            <w:hideMark/>
          </w:tcPr>
          <w:p w14:paraId="7C2336B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5640237000</w:t>
            </w:r>
          </w:p>
        </w:tc>
        <w:tc>
          <w:tcPr>
            <w:tcW w:w="547" w:type="pct"/>
            <w:tcBorders>
              <w:top w:val="nil"/>
              <w:left w:val="nil"/>
              <w:bottom w:val="single" w:sz="4" w:space="0" w:color="auto"/>
              <w:right w:val="single" w:sz="4" w:space="0" w:color="auto"/>
            </w:tcBorders>
            <w:shd w:val="clear" w:color="auto" w:fill="auto"/>
            <w:noWrap/>
            <w:vAlign w:val="center"/>
            <w:hideMark/>
          </w:tcPr>
          <w:p w14:paraId="6DF759B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23313285</w:t>
            </w:r>
          </w:p>
        </w:tc>
        <w:tc>
          <w:tcPr>
            <w:tcW w:w="3360" w:type="pct"/>
            <w:tcBorders>
              <w:top w:val="nil"/>
              <w:left w:val="nil"/>
              <w:bottom w:val="single" w:sz="4" w:space="0" w:color="auto"/>
              <w:right w:val="single" w:sz="4" w:space="0" w:color="auto"/>
            </w:tcBorders>
            <w:shd w:val="clear" w:color="auto" w:fill="auto"/>
            <w:vAlign w:val="center"/>
            <w:hideMark/>
          </w:tcPr>
          <w:p w14:paraId="453A44F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ZA OPRAVLJANJE SPREMLJAJOČIH DEJAVNOSTI VZGOJE IN IZOBRAŽEVANJA MURSKA SOBOTA</w:t>
            </w:r>
          </w:p>
        </w:tc>
      </w:tr>
      <w:tr w:rsidR="00E3750C" w:rsidRPr="00415AB3" w14:paraId="7C6FDDBD"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2A4629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401</w:t>
            </w:r>
          </w:p>
        </w:tc>
        <w:tc>
          <w:tcPr>
            <w:tcW w:w="705" w:type="pct"/>
            <w:tcBorders>
              <w:top w:val="nil"/>
              <w:left w:val="nil"/>
              <w:bottom w:val="single" w:sz="4" w:space="0" w:color="auto"/>
              <w:right w:val="single" w:sz="4" w:space="0" w:color="auto"/>
            </w:tcBorders>
            <w:shd w:val="clear" w:color="auto" w:fill="auto"/>
            <w:noWrap/>
            <w:vAlign w:val="center"/>
            <w:hideMark/>
          </w:tcPr>
          <w:p w14:paraId="2767092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7060947000</w:t>
            </w:r>
          </w:p>
        </w:tc>
        <w:tc>
          <w:tcPr>
            <w:tcW w:w="547" w:type="pct"/>
            <w:tcBorders>
              <w:top w:val="nil"/>
              <w:left w:val="nil"/>
              <w:bottom w:val="single" w:sz="4" w:space="0" w:color="auto"/>
              <w:right w:val="single" w:sz="4" w:space="0" w:color="auto"/>
            </w:tcBorders>
            <w:shd w:val="clear" w:color="auto" w:fill="auto"/>
            <w:noWrap/>
            <w:vAlign w:val="center"/>
            <w:hideMark/>
          </w:tcPr>
          <w:p w14:paraId="36D7165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72323906</w:t>
            </w:r>
          </w:p>
        </w:tc>
        <w:tc>
          <w:tcPr>
            <w:tcW w:w="3360" w:type="pct"/>
            <w:tcBorders>
              <w:top w:val="nil"/>
              <w:left w:val="nil"/>
              <w:bottom w:val="single" w:sz="4" w:space="0" w:color="auto"/>
              <w:right w:val="single" w:sz="4" w:space="0" w:color="auto"/>
            </w:tcBorders>
            <w:shd w:val="clear" w:color="auto" w:fill="auto"/>
            <w:vAlign w:val="center"/>
            <w:hideMark/>
          </w:tcPr>
          <w:p w14:paraId="7480635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ZA SPODBUJANJE PODJETNIŠTVA IN RAZVOJNE PROJEKTE OBČINE IZOLA</w:t>
            </w:r>
          </w:p>
        </w:tc>
      </w:tr>
      <w:tr w:rsidR="00E3750C" w:rsidRPr="00415AB3" w14:paraId="1C51900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A9A937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402</w:t>
            </w:r>
          </w:p>
        </w:tc>
        <w:tc>
          <w:tcPr>
            <w:tcW w:w="705" w:type="pct"/>
            <w:tcBorders>
              <w:top w:val="nil"/>
              <w:left w:val="nil"/>
              <w:bottom w:val="single" w:sz="4" w:space="0" w:color="auto"/>
              <w:right w:val="single" w:sz="4" w:space="0" w:color="auto"/>
            </w:tcBorders>
            <w:shd w:val="clear" w:color="auto" w:fill="auto"/>
            <w:noWrap/>
            <w:vAlign w:val="center"/>
            <w:hideMark/>
          </w:tcPr>
          <w:p w14:paraId="47184D8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1870998000</w:t>
            </w:r>
          </w:p>
        </w:tc>
        <w:tc>
          <w:tcPr>
            <w:tcW w:w="547" w:type="pct"/>
            <w:tcBorders>
              <w:top w:val="nil"/>
              <w:left w:val="nil"/>
              <w:bottom w:val="single" w:sz="4" w:space="0" w:color="auto"/>
              <w:right w:val="single" w:sz="4" w:space="0" w:color="auto"/>
            </w:tcBorders>
            <w:shd w:val="clear" w:color="auto" w:fill="auto"/>
            <w:noWrap/>
            <w:vAlign w:val="center"/>
            <w:hideMark/>
          </w:tcPr>
          <w:p w14:paraId="0A62A28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43277675</w:t>
            </w:r>
          </w:p>
        </w:tc>
        <w:tc>
          <w:tcPr>
            <w:tcW w:w="3360" w:type="pct"/>
            <w:tcBorders>
              <w:top w:val="nil"/>
              <w:left w:val="nil"/>
              <w:bottom w:val="single" w:sz="4" w:space="0" w:color="auto"/>
              <w:right w:val="single" w:sz="4" w:space="0" w:color="auto"/>
            </w:tcBorders>
            <w:shd w:val="clear" w:color="auto" w:fill="auto"/>
            <w:vAlign w:val="center"/>
            <w:hideMark/>
          </w:tcPr>
          <w:p w14:paraId="0501421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ZA ŠPORT MESTNE OBČINE KOPER</w:t>
            </w:r>
          </w:p>
        </w:tc>
      </w:tr>
      <w:tr w:rsidR="00E3750C" w:rsidRPr="00415AB3" w14:paraId="3FA5409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00E1E7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403</w:t>
            </w:r>
          </w:p>
        </w:tc>
        <w:tc>
          <w:tcPr>
            <w:tcW w:w="705" w:type="pct"/>
            <w:tcBorders>
              <w:top w:val="nil"/>
              <w:left w:val="nil"/>
              <w:bottom w:val="single" w:sz="4" w:space="0" w:color="auto"/>
              <w:right w:val="single" w:sz="4" w:space="0" w:color="auto"/>
            </w:tcBorders>
            <w:shd w:val="clear" w:color="auto" w:fill="auto"/>
            <w:noWrap/>
            <w:vAlign w:val="center"/>
            <w:hideMark/>
          </w:tcPr>
          <w:p w14:paraId="38B3027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5987261000</w:t>
            </w:r>
          </w:p>
        </w:tc>
        <w:tc>
          <w:tcPr>
            <w:tcW w:w="547" w:type="pct"/>
            <w:tcBorders>
              <w:top w:val="nil"/>
              <w:left w:val="nil"/>
              <w:bottom w:val="single" w:sz="4" w:space="0" w:color="auto"/>
              <w:right w:val="single" w:sz="4" w:space="0" w:color="auto"/>
            </w:tcBorders>
            <w:shd w:val="clear" w:color="auto" w:fill="auto"/>
            <w:noWrap/>
            <w:vAlign w:val="center"/>
            <w:hideMark/>
          </w:tcPr>
          <w:p w14:paraId="4671424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19123426</w:t>
            </w:r>
          </w:p>
        </w:tc>
        <w:tc>
          <w:tcPr>
            <w:tcW w:w="3360" w:type="pct"/>
            <w:tcBorders>
              <w:top w:val="nil"/>
              <w:left w:val="nil"/>
              <w:bottom w:val="single" w:sz="4" w:space="0" w:color="auto"/>
              <w:right w:val="single" w:sz="4" w:space="0" w:color="auto"/>
            </w:tcBorders>
            <w:shd w:val="clear" w:color="auto" w:fill="auto"/>
            <w:vAlign w:val="center"/>
            <w:hideMark/>
          </w:tcPr>
          <w:p w14:paraId="0209739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ZA ŠPORT NOVA GORICA</w:t>
            </w:r>
          </w:p>
        </w:tc>
      </w:tr>
      <w:tr w:rsidR="00E3750C" w:rsidRPr="00415AB3" w14:paraId="5520CCC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1AC235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404</w:t>
            </w:r>
          </w:p>
        </w:tc>
        <w:tc>
          <w:tcPr>
            <w:tcW w:w="705" w:type="pct"/>
            <w:tcBorders>
              <w:top w:val="nil"/>
              <w:left w:val="nil"/>
              <w:bottom w:val="single" w:sz="4" w:space="0" w:color="auto"/>
              <w:right w:val="single" w:sz="4" w:space="0" w:color="auto"/>
            </w:tcBorders>
            <w:shd w:val="clear" w:color="auto" w:fill="auto"/>
            <w:noWrap/>
            <w:vAlign w:val="center"/>
            <w:hideMark/>
          </w:tcPr>
          <w:p w14:paraId="03D5D2A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2187094000</w:t>
            </w:r>
          </w:p>
        </w:tc>
        <w:tc>
          <w:tcPr>
            <w:tcW w:w="547" w:type="pct"/>
            <w:tcBorders>
              <w:top w:val="nil"/>
              <w:left w:val="nil"/>
              <w:bottom w:val="single" w:sz="4" w:space="0" w:color="auto"/>
              <w:right w:val="single" w:sz="4" w:space="0" w:color="auto"/>
            </w:tcBorders>
            <w:shd w:val="clear" w:color="auto" w:fill="auto"/>
            <w:noWrap/>
            <w:vAlign w:val="center"/>
            <w:hideMark/>
          </w:tcPr>
          <w:p w14:paraId="3CFFDE2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24827932</w:t>
            </w:r>
          </w:p>
        </w:tc>
        <w:tc>
          <w:tcPr>
            <w:tcW w:w="3360" w:type="pct"/>
            <w:tcBorders>
              <w:top w:val="nil"/>
              <w:left w:val="nil"/>
              <w:bottom w:val="single" w:sz="4" w:space="0" w:color="auto"/>
              <w:right w:val="single" w:sz="4" w:space="0" w:color="auto"/>
            </w:tcBorders>
            <w:shd w:val="clear" w:color="auto" w:fill="auto"/>
            <w:vAlign w:val="center"/>
            <w:hideMark/>
          </w:tcPr>
          <w:p w14:paraId="3EFB98C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ZA ŠPORT OBČINE KOČEVJE</w:t>
            </w:r>
          </w:p>
        </w:tc>
      </w:tr>
      <w:tr w:rsidR="00E3750C" w:rsidRPr="00415AB3" w14:paraId="48D295AC"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65BE65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405</w:t>
            </w:r>
          </w:p>
        </w:tc>
        <w:tc>
          <w:tcPr>
            <w:tcW w:w="705" w:type="pct"/>
            <w:tcBorders>
              <w:top w:val="nil"/>
              <w:left w:val="nil"/>
              <w:bottom w:val="single" w:sz="4" w:space="0" w:color="auto"/>
              <w:right w:val="single" w:sz="4" w:space="0" w:color="auto"/>
            </w:tcBorders>
            <w:shd w:val="clear" w:color="auto" w:fill="auto"/>
            <w:noWrap/>
            <w:vAlign w:val="center"/>
            <w:hideMark/>
          </w:tcPr>
          <w:p w14:paraId="6EA1B7A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2148528000</w:t>
            </w:r>
          </w:p>
        </w:tc>
        <w:tc>
          <w:tcPr>
            <w:tcW w:w="547" w:type="pct"/>
            <w:tcBorders>
              <w:top w:val="nil"/>
              <w:left w:val="nil"/>
              <w:bottom w:val="single" w:sz="4" w:space="0" w:color="auto"/>
              <w:right w:val="single" w:sz="4" w:space="0" w:color="auto"/>
            </w:tcBorders>
            <w:shd w:val="clear" w:color="auto" w:fill="auto"/>
            <w:noWrap/>
            <w:vAlign w:val="center"/>
            <w:hideMark/>
          </w:tcPr>
          <w:p w14:paraId="4D10810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43651348</w:t>
            </w:r>
          </w:p>
        </w:tc>
        <w:tc>
          <w:tcPr>
            <w:tcW w:w="3360" w:type="pct"/>
            <w:tcBorders>
              <w:top w:val="nil"/>
              <w:left w:val="nil"/>
              <w:bottom w:val="single" w:sz="4" w:space="0" w:color="auto"/>
              <w:right w:val="single" w:sz="4" w:space="0" w:color="auto"/>
            </w:tcBorders>
            <w:shd w:val="clear" w:color="auto" w:fill="auto"/>
            <w:vAlign w:val="center"/>
            <w:hideMark/>
          </w:tcPr>
          <w:p w14:paraId="0D31C15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ZA ŠPORT, TURIZEM, KULTURO, MLADINO IN SOCIALNO VARSTVENE STORITVE SOTOČJE MEDVODE</w:t>
            </w:r>
          </w:p>
        </w:tc>
      </w:tr>
      <w:tr w:rsidR="00E3750C" w:rsidRPr="00415AB3" w14:paraId="7B48A90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1C4BF6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406</w:t>
            </w:r>
          </w:p>
        </w:tc>
        <w:tc>
          <w:tcPr>
            <w:tcW w:w="705" w:type="pct"/>
            <w:tcBorders>
              <w:top w:val="nil"/>
              <w:left w:val="nil"/>
              <w:bottom w:val="single" w:sz="4" w:space="0" w:color="auto"/>
              <w:right w:val="single" w:sz="4" w:space="0" w:color="auto"/>
            </w:tcBorders>
            <w:shd w:val="clear" w:color="auto" w:fill="auto"/>
            <w:noWrap/>
            <w:vAlign w:val="center"/>
            <w:hideMark/>
          </w:tcPr>
          <w:p w14:paraId="03EEA23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7260300000</w:t>
            </w:r>
          </w:p>
        </w:tc>
        <w:tc>
          <w:tcPr>
            <w:tcW w:w="547" w:type="pct"/>
            <w:tcBorders>
              <w:top w:val="nil"/>
              <w:left w:val="nil"/>
              <w:bottom w:val="single" w:sz="4" w:space="0" w:color="auto"/>
              <w:right w:val="single" w:sz="4" w:space="0" w:color="auto"/>
            </w:tcBorders>
            <w:shd w:val="clear" w:color="auto" w:fill="auto"/>
            <w:noWrap/>
            <w:vAlign w:val="center"/>
            <w:hideMark/>
          </w:tcPr>
          <w:p w14:paraId="74D0DCE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15230627</w:t>
            </w:r>
          </w:p>
        </w:tc>
        <w:tc>
          <w:tcPr>
            <w:tcW w:w="3360" w:type="pct"/>
            <w:tcBorders>
              <w:top w:val="nil"/>
              <w:left w:val="nil"/>
              <w:bottom w:val="single" w:sz="4" w:space="0" w:color="auto"/>
              <w:right w:val="single" w:sz="4" w:space="0" w:color="auto"/>
            </w:tcBorders>
            <w:shd w:val="clear" w:color="auto" w:fill="auto"/>
            <w:vAlign w:val="center"/>
            <w:hideMark/>
          </w:tcPr>
          <w:p w14:paraId="0BB6B4F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ZA TURIZEM DOLINA SOČE</w:t>
            </w:r>
          </w:p>
        </w:tc>
      </w:tr>
      <w:tr w:rsidR="00E3750C" w:rsidRPr="00415AB3" w14:paraId="28E323C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D88D70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407</w:t>
            </w:r>
          </w:p>
        </w:tc>
        <w:tc>
          <w:tcPr>
            <w:tcW w:w="705" w:type="pct"/>
            <w:tcBorders>
              <w:top w:val="nil"/>
              <w:left w:val="nil"/>
              <w:bottom w:val="single" w:sz="4" w:space="0" w:color="auto"/>
              <w:right w:val="single" w:sz="4" w:space="0" w:color="auto"/>
            </w:tcBorders>
            <w:shd w:val="clear" w:color="auto" w:fill="auto"/>
            <w:noWrap/>
            <w:vAlign w:val="center"/>
            <w:hideMark/>
          </w:tcPr>
          <w:p w14:paraId="75ADA94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6952992000</w:t>
            </w:r>
          </w:p>
        </w:tc>
        <w:tc>
          <w:tcPr>
            <w:tcW w:w="547" w:type="pct"/>
            <w:tcBorders>
              <w:top w:val="nil"/>
              <w:left w:val="nil"/>
              <w:bottom w:val="single" w:sz="4" w:space="0" w:color="auto"/>
              <w:right w:val="single" w:sz="4" w:space="0" w:color="auto"/>
            </w:tcBorders>
            <w:shd w:val="clear" w:color="auto" w:fill="auto"/>
            <w:noWrap/>
            <w:vAlign w:val="center"/>
            <w:hideMark/>
          </w:tcPr>
          <w:p w14:paraId="2243765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97767735</w:t>
            </w:r>
          </w:p>
        </w:tc>
        <w:tc>
          <w:tcPr>
            <w:tcW w:w="3360" w:type="pct"/>
            <w:tcBorders>
              <w:top w:val="nil"/>
              <w:left w:val="nil"/>
              <w:bottom w:val="single" w:sz="4" w:space="0" w:color="auto"/>
              <w:right w:val="single" w:sz="4" w:space="0" w:color="auto"/>
            </w:tcBorders>
            <w:shd w:val="clear" w:color="auto" w:fill="auto"/>
            <w:vAlign w:val="center"/>
            <w:hideMark/>
          </w:tcPr>
          <w:p w14:paraId="11208D8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ZA TURIZEM IN KULTURO KOČEVJE</w:t>
            </w:r>
          </w:p>
        </w:tc>
      </w:tr>
      <w:tr w:rsidR="00E3750C" w:rsidRPr="00415AB3" w14:paraId="2620311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CE1578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408</w:t>
            </w:r>
          </w:p>
        </w:tc>
        <w:tc>
          <w:tcPr>
            <w:tcW w:w="705" w:type="pct"/>
            <w:tcBorders>
              <w:top w:val="nil"/>
              <w:left w:val="nil"/>
              <w:bottom w:val="single" w:sz="4" w:space="0" w:color="auto"/>
              <w:right w:val="single" w:sz="4" w:space="0" w:color="auto"/>
            </w:tcBorders>
            <w:shd w:val="clear" w:color="auto" w:fill="auto"/>
            <w:noWrap/>
            <w:vAlign w:val="center"/>
            <w:hideMark/>
          </w:tcPr>
          <w:p w14:paraId="5BE87B2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8240949000</w:t>
            </w:r>
          </w:p>
        </w:tc>
        <w:tc>
          <w:tcPr>
            <w:tcW w:w="547" w:type="pct"/>
            <w:tcBorders>
              <w:top w:val="nil"/>
              <w:left w:val="nil"/>
              <w:bottom w:val="single" w:sz="4" w:space="0" w:color="auto"/>
              <w:right w:val="single" w:sz="4" w:space="0" w:color="auto"/>
            </w:tcBorders>
            <w:shd w:val="clear" w:color="auto" w:fill="auto"/>
            <w:noWrap/>
            <w:vAlign w:val="center"/>
            <w:hideMark/>
          </w:tcPr>
          <w:p w14:paraId="00C9C3E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42891051</w:t>
            </w:r>
          </w:p>
        </w:tc>
        <w:tc>
          <w:tcPr>
            <w:tcW w:w="3360" w:type="pct"/>
            <w:tcBorders>
              <w:top w:val="nil"/>
              <w:left w:val="nil"/>
              <w:bottom w:val="single" w:sz="4" w:space="0" w:color="auto"/>
              <w:right w:val="single" w:sz="4" w:space="0" w:color="auto"/>
            </w:tcBorders>
            <w:shd w:val="clear" w:color="auto" w:fill="auto"/>
            <w:vAlign w:val="center"/>
            <w:hideMark/>
          </w:tcPr>
          <w:p w14:paraId="576DB0B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ZA TURIZEM NOVA GORICA IN VIPAVSKA DOLINA</w:t>
            </w:r>
          </w:p>
        </w:tc>
      </w:tr>
      <w:tr w:rsidR="00E3750C" w:rsidRPr="00415AB3" w14:paraId="61591A8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C0947C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409</w:t>
            </w:r>
          </w:p>
        </w:tc>
        <w:tc>
          <w:tcPr>
            <w:tcW w:w="705" w:type="pct"/>
            <w:tcBorders>
              <w:top w:val="nil"/>
              <w:left w:val="nil"/>
              <w:bottom w:val="single" w:sz="4" w:space="0" w:color="auto"/>
              <w:right w:val="single" w:sz="4" w:space="0" w:color="auto"/>
            </w:tcBorders>
            <w:shd w:val="clear" w:color="auto" w:fill="auto"/>
            <w:noWrap/>
            <w:vAlign w:val="center"/>
            <w:hideMark/>
          </w:tcPr>
          <w:p w14:paraId="4B129A9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7040245000</w:t>
            </w:r>
          </w:p>
        </w:tc>
        <w:tc>
          <w:tcPr>
            <w:tcW w:w="547" w:type="pct"/>
            <w:tcBorders>
              <w:top w:val="nil"/>
              <w:left w:val="nil"/>
              <w:bottom w:val="single" w:sz="4" w:space="0" w:color="auto"/>
              <w:right w:val="single" w:sz="4" w:space="0" w:color="auto"/>
            </w:tcBorders>
            <w:shd w:val="clear" w:color="auto" w:fill="auto"/>
            <w:noWrap/>
            <w:vAlign w:val="center"/>
            <w:hideMark/>
          </w:tcPr>
          <w:p w14:paraId="23C281A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87736586</w:t>
            </w:r>
          </w:p>
        </w:tc>
        <w:tc>
          <w:tcPr>
            <w:tcW w:w="3360" w:type="pct"/>
            <w:tcBorders>
              <w:top w:val="nil"/>
              <w:left w:val="nil"/>
              <w:bottom w:val="single" w:sz="4" w:space="0" w:color="auto"/>
              <w:right w:val="single" w:sz="4" w:space="0" w:color="auto"/>
            </w:tcBorders>
            <w:shd w:val="clear" w:color="auto" w:fill="auto"/>
            <w:vAlign w:val="center"/>
            <w:hideMark/>
          </w:tcPr>
          <w:p w14:paraId="77F3DC5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ZA TURIZEM PTUJ</w:t>
            </w:r>
          </w:p>
        </w:tc>
      </w:tr>
      <w:tr w:rsidR="00E3750C" w:rsidRPr="00415AB3" w14:paraId="0D4D510A"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25B589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410</w:t>
            </w:r>
          </w:p>
        </w:tc>
        <w:tc>
          <w:tcPr>
            <w:tcW w:w="705" w:type="pct"/>
            <w:tcBorders>
              <w:top w:val="nil"/>
              <w:left w:val="nil"/>
              <w:bottom w:val="single" w:sz="4" w:space="0" w:color="auto"/>
              <w:right w:val="single" w:sz="4" w:space="0" w:color="auto"/>
            </w:tcBorders>
            <w:shd w:val="clear" w:color="auto" w:fill="auto"/>
            <w:noWrap/>
            <w:vAlign w:val="center"/>
            <w:hideMark/>
          </w:tcPr>
          <w:p w14:paraId="7561EDB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3391817000</w:t>
            </w:r>
          </w:p>
        </w:tc>
        <w:tc>
          <w:tcPr>
            <w:tcW w:w="547" w:type="pct"/>
            <w:tcBorders>
              <w:top w:val="nil"/>
              <w:left w:val="nil"/>
              <w:bottom w:val="single" w:sz="4" w:space="0" w:color="auto"/>
              <w:right w:val="single" w:sz="4" w:space="0" w:color="auto"/>
            </w:tcBorders>
            <w:shd w:val="clear" w:color="auto" w:fill="auto"/>
            <w:noWrap/>
            <w:vAlign w:val="center"/>
            <w:hideMark/>
          </w:tcPr>
          <w:p w14:paraId="48E8ADE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83975071</w:t>
            </w:r>
          </w:p>
        </w:tc>
        <w:tc>
          <w:tcPr>
            <w:tcW w:w="3360" w:type="pct"/>
            <w:tcBorders>
              <w:top w:val="nil"/>
              <w:left w:val="nil"/>
              <w:bottom w:val="single" w:sz="4" w:space="0" w:color="auto"/>
              <w:right w:val="single" w:sz="4" w:space="0" w:color="auto"/>
            </w:tcBorders>
            <w:shd w:val="clear" w:color="auto" w:fill="auto"/>
            <w:vAlign w:val="center"/>
            <w:hideMark/>
          </w:tcPr>
          <w:p w14:paraId="2163D0C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JAVNI ZAVOD ZA TURIZEM, ŠPORT, MLADINSKE IN SOCIALNE PROGRAME SPOTUR SLOVENJ GRADEC</w:t>
            </w:r>
          </w:p>
        </w:tc>
      </w:tr>
      <w:tr w:rsidR="00E3750C" w:rsidRPr="00415AB3" w14:paraId="4E949A6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A2AB1F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411</w:t>
            </w:r>
          </w:p>
        </w:tc>
        <w:tc>
          <w:tcPr>
            <w:tcW w:w="705" w:type="pct"/>
            <w:tcBorders>
              <w:top w:val="nil"/>
              <w:left w:val="nil"/>
              <w:bottom w:val="single" w:sz="4" w:space="0" w:color="auto"/>
              <w:right w:val="single" w:sz="4" w:space="0" w:color="auto"/>
            </w:tcBorders>
            <w:shd w:val="clear" w:color="auto" w:fill="auto"/>
            <w:noWrap/>
            <w:vAlign w:val="center"/>
            <w:hideMark/>
          </w:tcPr>
          <w:p w14:paraId="02F9451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1694758000</w:t>
            </w:r>
          </w:p>
        </w:tc>
        <w:tc>
          <w:tcPr>
            <w:tcW w:w="547" w:type="pct"/>
            <w:tcBorders>
              <w:top w:val="nil"/>
              <w:left w:val="nil"/>
              <w:bottom w:val="single" w:sz="4" w:space="0" w:color="auto"/>
              <w:right w:val="single" w:sz="4" w:space="0" w:color="auto"/>
            </w:tcBorders>
            <w:shd w:val="clear" w:color="auto" w:fill="auto"/>
            <w:noWrap/>
            <w:vAlign w:val="center"/>
            <w:hideMark/>
          </w:tcPr>
          <w:p w14:paraId="2FDB60D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62608037</w:t>
            </w:r>
          </w:p>
        </w:tc>
        <w:tc>
          <w:tcPr>
            <w:tcW w:w="3360" w:type="pct"/>
            <w:tcBorders>
              <w:top w:val="nil"/>
              <w:left w:val="nil"/>
              <w:bottom w:val="single" w:sz="4" w:space="0" w:color="auto"/>
              <w:right w:val="single" w:sz="4" w:space="0" w:color="auto"/>
            </w:tcBorders>
            <w:shd w:val="clear" w:color="auto" w:fill="auto"/>
            <w:vAlign w:val="center"/>
            <w:hideMark/>
          </w:tcPr>
          <w:p w14:paraId="0E1ECC6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 xml:space="preserve">JAVNI ZAVOD </w:t>
            </w:r>
            <w:proofErr w:type="spellStart"/>
            <w:r w:rsidRPr="00415AB3">
              <w:rPr>
                <w:rFonts w:ascii="Arial" w:eastAsia="Times New Roman" w:hAnsi="Arial" w:cs="Arial"/>
                <w:color w:val="000000"/>
                <w:sz w:val="18"/>
                <w:szCs w:val="18"/>
                <w:lang w:eastAsia="sl-SI"/>
              </w:rPr>
              <w:t>ZAVOD</w:t>
            </w:r>
            <w:proofErr w:type="spellEnd"/>
            <w:r w:rsidRPr="00415AB3">
              <w:rPr>
                <w:rFonts w:ascii="Arial" w:eastAsia="Times New Roman" w:hAnsi="Arial" w:cs="Arial"/>
                <w:color w:val="000000"/>
                <w:sz w:val="18"/>
                <w:szCs w:val="18"/>
                <w:lang w:eastAsia="sl-SI"/>
              </w:rPr>
              <w:t xml:space="preserve"> ZA MLADINO IN ŠPORT TRBOVLJE</w:t>
            </w:r>
          </w:p>
        </w:tc>
      </w:tr>
      <w:tr w:rsidR="00E3750C" w:rsidRPr="00415AB3" w14:paraId="2F2D77C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5F36AF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412</w:t>
            </w:r>
          </w:p>
        </w:tc>
        <w:tc>
          <w:tcPr>
            <w:tcW w:w="705" w:type="pct"/>
            <w:tcBorders>
              <w:top w:val="nil"/>
              <w:left w:val="nil"/>
              <w:bottom w:val="single" w:sz="4" w:space="0" w:color="auto"/>
              <w:right w:val="single" w:sz="4" w:space="0" w:color="auto"/>
            </w:tcBorders>
            <w:shd w:val="clear" w:color="auto" w:fill="auto"/>
            <w:noWrap/>
            <w:vAlign w:val="center"/>
            <w:hideMark/>
          </w:tcPr>
          <w:p w14:paraId="565B0C2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5945151000</w:t>
            </w:r>
          </w:p>
        </w:tc>
        <w:tc>
          <w:tcPr>
            <w:tcW w:w="547" w:type="pct"/>
            <w:tcBorders>
              <w:top w:val="nil"/>
              <w:left w:val="nil"/>
              <w:bottom w:val="single" w:sz="4" w:space="0" w:color="auto"/>
              <w:right w:val="single" w:sz="4" w:space="0" w:color="auto"/>
            </w:tcBorders>
            <w:shd w:val="clear" w:color="auto" w:fill="auto"/>
            <w:noWrap/>
            <w:vAlign w:val="center"/>
            <w:hideMark/>
          </w:tcPr>
          <w:p w14:paraId="7DEEE5A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22513434</w:t>
            </w:r>
          </w:p>
        </w:tc>
        <w:tc>
          <w:tcPr>
            <w:tcW w:w="3360" w:type="pct"/>
            <w:tcBorders>
              <w:top w:val="nil"/>
              <w:left w:val="nil"/>
              <w:bottom w:val="single" w:sz="4" w:space="0" w:color="auto"/>
              <w:right w:val="single" w:sz="4" w:space="0" w:color="auto"/>
            </w:tcBorders>
            <w:shd w:val="clear" w:color="auto" w:fill="auto"/>
            <w:vAlign w:val="center"/>
            <w:hideMark/>
          </w:tcPr>
          <w:p w14:paraId="50ED003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JAVNO KOMUNALNO PODJETJE BREZOVICA D.O.O.</w:t>
            </w:r>
          </w:p>
        </w:tc>
      </w:tr>
      <w:tr w:rsidR="00E3750C" w:rsidRPr="00415AB3" w14:paraId="404A642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E58B93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413</w:t>
            </w:r>
          </w:p>
        </w:tc>
        <w:tc>
          <w:tcPr>
            <w:tcW w:w="705" w:type="pct"/>
            <w:tcBorders>
              <w:top w:val="nil"/>
              <w:left w:val="nil"/>
              <w:bottom w:val="single" w:sz="4" w:space="0" w:color="auto"/>
              <w:right w:val="single" w:sz="4" w:space="0" w:color="auto"/>
            </w:tcBorders>
            <w:shd w:val="clear" w:color="auto" w:fill="auto"/>
            <w:noWrap/>
            <w:vAlign w:val="center"/>
            <w:hideMark/>
          </w:tcPr>
          <w:p w14:paraId="2CC5C44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5213258000</w:t>
            </w:r>
          </w:p>
        </w:tc>
        <w:tc>
          <w:tcPr>
            <w:tcW w:w="547" w:type="pct"/>
            <w:tcBorders>
              <w:top w:val="nil"/>
              <w:left w:val="nil"/>
              <w:bottom w:val="single" w:sz="4" w:space="0" w:color="auto"/>
              <w:right w:val="single" w:sz="4" w:space="0" w:color="auto"/>
            </w:tcBorders>
            <w:shd w:val="clear" w:color="auto" w:fill="auto"/>
            <w:noWrap/>
            <w:vAlign w:val="center"/>
            <w:hideMark/>
          </w:tcPr>
          <w:p w14:paraId="3A0891A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72013257</w:t>
            </w:r>
          </w:p>
        </w:tc>
        <w:tc>
          <w:tcPr>
            <w:tcW w:w="3360" w:type="pct"/>
            <w:tcBorders>
              <w:top w:val="nil"/>
              <w:left w:val="nil"/>
              <w:bottom w:val="single" w:sz="4" w:space="0" w:color="auto"/>
              <w:right w:val="single" w:sz="4" w:space="0" w:color="auto"/>
            </w:tcBorders>
            <w:shd w:val="clear" w:color="auto" w:fill="auto"/>
            <w:vAlign w:val="center"/>
            <w:hideMark/>
          </w:tcPr>
          <w:p w14:paraId="75C922D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JAVNO KOMUNALNO PODJETJE DRAVOGRAD D.O.O.</w:t>
            </w:r>
          </w:p>
        </w:tc>
      </w:tr>
      <w:tr w:rsidR="00E3750C" w:rsidRPr="00415AB3" w14:paraId="78D1115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0F1021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414</w:t>
            </w:r>
          </w:p>
        </w:tc>
        <w:tc>
          <w:tcPr>
            <w:tcW w:w="705" w:type="pct"/>
            <w:tcBorders>
              <w:top w:val="nil"/>
              <w:left w:val="nil"/>
              <w:bottom w:val="single" w:sz="4" w:space="0" w:color="auto"/>
              <w:right w:val="single" w:sz="4" w:space="0" w:color="auto"/>
            </w:tcBorders>
            <w:shd w:val="clear" w:color="auto" w:fill="auto"/>
            <w:noWrap/>
            <w:vAlign w:val="center"/>
            <w:hideMark/>
          </w:tcPr>
          <w:p w14:paraId="38EAD32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5144574000</w:t>
            </w:r>
          </w:p>
        </w:tc>
        <w:tc>
          <w:tcPr>
            <w:tcW w:w="547" w:type="pct"/>
            <w:tcBorders>
              <w:top w:val="nil"/>
              <w:left w:val="nil"/>
              <w:bottom w:val="single" w:sz="4" w:space="0" w:color="auto"/>
              <w:right w:val="single" w:sz="4" w:space="0" w:color="auto"/>
            </w:tcBorders>
            <w:shd w:val="clear" w:color="auto" w:fill="auto"/>
            <w:noWrap/>
            <w:vAlign w:val="center"/>
            <w:hideMark/>
          </w:tcPr>
          <w:p w14:paraId="23B23C2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65119037</w:t>
            </w:r>
          </w:p>
        </w:tc>
        <w:tc>
          <w:tcPr>
            <w:tcW w:w="3360" w:type="pct"/>
            <w:tcBorders>
              <w:top w:val="nil"/>
              <w:left w:val="nil"/>
              <w:bottom w:val="single" w:sz="4" w:space="0" w:color="auto"/>
              <w:right w:val="single" w:sz="4" w:space="0" w:color="auto"/>
            </w:tcBorders>
            <w:shd w:val="clear" w:color="auto" w:fill="auto"/>
            <w:vAlign w:val="center"/>
            <w:hideMark/>
          </w:tcPr>
          <w:p w14:paraId="07B9AA9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JAVNO KOMUNALNO PODJETJE GROSUPLJE D.O.O.</w:t>
            </w:r>
          </w:p>
        </w:tc>
      </w:tr>
      <w:tr w:rsidR="00E3750C" w:rsidRPr="00415AB3" w14:paraId="3F0312C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793AEF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415</w:t>
            </w:r>
          </w:p>
        </w:tc>
        <w:tc>
          <w:tcPr>
            <w:tcW w:w="705" w:type="pct"/>
            <w:tcBorders>
              <w:top w:val="nil"/>
              <w:left w:val="nil"/>
              <w:bottom w:val="single" w:sz="4" w:space="0" w:color="auto"/>
              <w:right w:val="single" w:sz="4" w:space="0" w:color="auto"/>
            </w:tcBorders>
            <w:shd w:val="clear" w:color="auto" w:fill="auto"/>
            <w:noWrap/>
            <w:vAlign w:val="center"/>
            <w:hideMark/>
          </w:tcPr>
          <w:p w14:paraId="47AD258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5067804000</w:t>
            </w:r>
          </w:p>
        </w:tc>
        <w:tc>
          <w:tcPr>
            <w:tcW w:w="547" w:type="pct"/>
            <w:tcBorders>
              <w:top w:val="nil"/>
              <w:left w:val="nil"/>
              <w:bottom w:val="single" w:sz="4" w:space="0" w:color="auto"/>
              <w:right w:val="single" w:sz="4" w:space="0" w:color="auto"/>
            </w:tcBorders>
            <w:shd w:val="clear" w:color="auto" w:fill="auto"/>
            <w:noWrap/>
            <w:vAlign w:val="center"/>
            <w:hideMark/>
          </w:tcPr>
          <w:p w14:paraId="5884C0E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10626271</w:t>
            </w:r>
          </w:p>
        </w:tc>
        <w:tc>
          <w:tcPr>
            <w:tcW w:w="3360" w:type="pct"/>
            <w:tcBorders>
              <w:top w:val="nil"/>
              <w:left w:val="nil"/>
              <w:bottom w:val="single" w:sz="4" w:space="0" w:color="auto"/>
              <w:right w:val="single" w:sz="4" w:space="0" w:color="auto"/>
            </w:tcBorders>
            <w:shd w:val="clear" w:color="auto" w:fill="auto"/>
            <w:vAlign w:val="center"/>
            <w:hideMark/>
          </w:tcPr>
          <w:p w14:paraId="77E8F4C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JAVNO KOMUNALNO PODJETJE KOMUNALA KOČEVJE D.O.O.</w:t>
            </w:r>
          </w:p>
        </w:tc>
      </w:tr>
      <w:tr w:rsidR="00E3750C" w:rsidRPr="00415AB3" w14:paraId="78C6E3E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3F3C3F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416</w:t>
            </w:r>
          </w:p>
        </w:tc>
        <w:tc>
          <w:tcPr>
            <w:tcW w:w="705" w:type="pct"/>
            <w:tcBorders>
              <w:top w:val="nil"/>
              <w:left w:val="nil"/>
              <w:bottom w:val="single" w:sz="4" w:space="0" w:color="auto"/>
              <w:right w:val="single" w:sz="4" w:space="0" w:color="auto"/>
            </w:tcBorders>
            <w:shd w:val="clear" w:color="auto" w:fill="auto"/>
            <w:noWrap/>
            <w:vAlign w:val="center"/>
            <w:hideMark/>
          </w:tcPr>
          <w:p w14:paraId="69B0CD1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5068053000</w:t>
            </w:r>
          </w:p>
        </w:tc>
        <w:tc>
          <w:tcPr>
            <w:tcW w:w="547" w:type="pct"/>
            <w:tcBorders>
              <w:top w:val="nil"/>
              <w:left w:val="nil"/>
              <w:bottom w:val="single" w:sz="4" w:space="0" w:color="auto"/>
              <w:right w:val="single" w:sz="4" w:space="0" w:color="auto"/>
            </w:tcBorders>
            <w:shd w:val="clear" w:color="auto" w:fill="auto"/>
            <w:noWrap/>
            <w:vAlign w:val="center"/>
            <w:hideMark/>
          </w:tcPr>
          <w:p w14:paraId="3EB9C65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81322496</w:t>
            </w:r>
          </w:p>
        </w:tc>
        <w:tc>
          <w:tcPr>
            <w:tcW w:w="3360" w:type="pct"/>
            <w:tcBorders>
              <w:top w:val="nil"/>
              <w:left w:val="nil"/>
              <w:bottom w:val="single" w:sz="4" w:space="0" w:color="auto"/>
              <w:right w:val="single" w:sz="4" w:space="0" w:color="auto"/>
            </w:tcBorders>
            <w:shd w:val="clear" w:color="auto" w:fill="auto"/>
            <w:vAlign w:val="center"/>
            <w:hideMark/>
          </w:tcPr>
          <w:p w14:paraId="77FB24F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JAVNO KOMUNALNO PODJETJE KOMUNALA RIBNICA D.O.O.</w:t>
            </w:r>
          </w:p>
        </w:tc>
      </w:tr>
      <w:tr w:rsidR="00E3750C" w:rsidRPr="00415AB3" w14:paraId="74C0DC4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1215D8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417</w:t>
            </w:r>
          </w:p>
        </w:tc>
        <w:tc>
          <w:tcPr>
            <w:tcW w:w="705" w:type="pct"/>
            <w:tcBorders>
              <w:top w:val="nil"/>
              <w:left w:val="nil"/>
              <w:bottom w:val="single" w:sz="4" w:space="0" w:color="auto"/>
              <w:right w:val="single" w:sz="4" w:space="0" w:color="auto"/>
            </w:tcBorders>
            <w:shd w:val="clear" w:color="auto" w:fill="auto"/>
            <w:noWrap/>
            <w:vAlign w:val="center"/>
            <w:hideMark/>
          </w:tcPr>
          <w:p w14:paraId="780E94D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5102103000</w:t>
            </w:r>
          </w:p>
        </w:tc>
        <w:tc>
          <w:tcPr>
            <w:tcW w:w="547" w:type="pct"/>
            <w:tcBorders>
              <w:top w:val="nil"/>
              <w:left w:val="nil"/>
              <w:bottom w:val="single" w:sz="4" w:space="0" w:color="auto"/>
              <w:right w:val="single" w:sz="4" w:space="0" w:color="auto"/>
            </w:tcBorders>
            <w:shd w:val="clear" w:color="auto" w:fill="auto"/>
            <w:noWrap/>
            <w:vAlign w:val="center"/>
            <w:hideMark/>
          </w:tcPr>
          <w:p w14:paraId="62717CF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23002107</w:t>
            </w:r>
          </w:p>
        </w:tc>
        <w:tc>
          <w:tcPr>
            <w:tcW w:w="3360" w:type="pct"/>
            <w:tcBorders>
              <w:top w:val="nil"/>
              <w:left w:val="nil"/>
              <w:bottom w:val="single" w:sz="4" w:space="0" w:color="auto"/>
              <w:right w:val="single" w:sz="4" w:space="0" w:color="auto"/>
            </w:tcBorders>
            <w:shd w:val="clear" w:color="auto" w:fill="auto"/>
            <w:vAlign w:val="center"/>
            <w:hideMark/>
          </w:tcPr>
          <w:p w14:paraId="36D3C1D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JAVNO KOMUNALNO PODJETJE LOG D.O.O.</w:t>
            </w:r>
          </w:p>
        </w:tc>
      </w:tr>
      <w:tr w:rsidR="00E3750C" w:rsidRPr="00415AB3" w14:paraId="1781B59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5CE807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418</w:t>
            </w:r>
          </w:p>
        </w:tc>
        <w:tc>
          <w:tcPr>
            <w:tcW w:w="705" w:type="pct"/>
            <w:tcBorders>
              <w:top w:val="nil"/>
              <w:left w:val="nil"/>
              <w:bottom w:val="single" w:sz="4" w:space="0" w:color="auto"/>
              <w:right w:val="single" w:sz="4" w:space="0" w:color="auto"/>
            </w:tcBorders>
            <w:shd w:val="clear" w:color="auto" w:fill="auto"/>
            <w:noWrap/>
            <w:vAlign w:val="center"/>
            <w:hideMark/>
          </w:tcPr>
          <w:p w14:paraId="7E22D00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5227739000</w:t>
            </w:r>
          </w:p>
        </w:tc>
        <w:tc>
          <w:tcPr>
            <w:tcW w:w="547" w:type="pct"/>
            <w:tcBorders>
              <w:top w:val="nil"/>
              <w:left w:val="nil"/>
              <w:bottom w:val="single" w:sz="4" w:space="0" w:color="auto"/>
              <w:right w:val="single" w:sz="4" w:space="0" w:color="auto"/>
            </w:tcBorders>
            <w:shd w:val="clear" w:color="auto" w:fill="auto"/>
            <w:noWrap/>
            <w:vAlign w:val="center"/>
            <w:hideMark/>
          </w:tcPr>
          <w:p w14:paraId="1894BB3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54471656</w:t>
            </w:r>
          </w:p>
        </w:tc>
        <w:tc>
          <w:tcPr>
            <w:tcW w:w="3360" w:type="pct"/>
            <w:tcBorders>
              <w:top w:val="nil"/>
              <w:left w:val="nil"/>
              <w:bottom w:val="single" w:sz="4" w:space="0" w:color="auto"/>
              <w:right w:val="single" w:sz="4" w:space="0" w:color="auto"/>
            </w:tcBorders>
            <w:shd w:val="clear" w:color="auto" w:fill="auto"/>
            <w:vAlign w:val="center"/>
            <w:hideMark/>
          </w:tcPr>
          <w:p w14:paraId="1CDE4EC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JAVNO KOMUNALNO PODJETJE PRODNIK D.O.O.</w:t>
            </w:r>
          </w:p>
        </w:tc>
      </w:tr>
      <w:tr w:rsidR="00E3750C" w:rsidRPr="00415AB3" w14:paraId="472EB74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6200E4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419</w:t>
            </w:r>
          </w:p>
        </w:tc>
        <w:tc>
          <w:tcPr>
            <w:tcW w:w="705" w:type="pct"/>
            <w:tcBorders>
              <w:top w:val="nil"/>
              <w:left w:val="nil"/>
              <w:bottom w:val="single" w:sz="4" w:space="0" w:color="auto"/>
              <w:right w:val="single" w:sz="4" w:space="0" w:color="auto"/>
            </w:tcBorders>
            <w:shd w:val="clear" w:color="auto" w:fill="auto"/>
            <w:noWrap/>
            <w:vAlign w:val="center"/>
            <w:hideMark/>
          </w:tcPr>
          <w:p w14:paraId="76D0FBB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7197187000</w:t>
            </w:r>
          </w:p>
        </w:tc>
        <w:tc>
          <w:tcPr>
            <w:tcW w:w="547" w:type="pct"/>
            <w:tcBorders>
              <w:top w:val="nil"/>
              <w:left w:val="nil"/>
              <w:bottom w:val="single" w:sz="4" w:space="0" w:color="auto"/>
              <w:right w:val="single" w:sz="4" w:space="0" w:color="auto"/>
            </w:tcBorders>
            <w:shd w:val="clear" w:color="auto" w:fill="auto"/>
            <w:noWrap/>
            <w:vAlign w:val="center"/>
            <w:hideMark/>
          </w:tcPr>
          <w:p w14:paraId="4A552BE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20356846</w:t>
            </w:r>
          </w:p>
        </w:tc>
        <w:tc>
          <w:tcPr>
            <w:tcW w:w="3360" w:type="pct"/>
            <w:tcBorders>
              <w:top w:val="nil"/>
              <w:left w:val="nil"/>
              <w:bottom w:val="single" w:sz="4" w:space="0" w:color="auto"/>
              <w:right w:val="single" w:sz="4" w:space="0" w:color="auto"/>
            </w:tcBorders>
            <w:shd w:val="clear" w:color="auto" w:fill="auto"/>
            <w:vAlign w:val="center"/>
            <w:hideMark/>
          </w:tcPr>
          <w:p w14:paraId="40819B4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JAVNO KOMUNALNO PODJETJE RAVNE NA KOROŠKEM, D.O.O.</w:t>
            </w:r>
          </w:p>
        </w:tc>
      </w:tr>
      <w:tr w:rsidR="00E3750C" w:rsidRPr="00415AB3" w14:paraId="4039E2A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639F96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420</w:t>
            </w:r>
          </w:p>
        </w:tc>
        <w:tc>
          <w:tcPr>
            <w:tcW w:w="705" w:type="pct"/>
            <w:tcBorders>
              <w:top w:val="nil"/>
              <w:left w:val="nil"/>
              <w:bottom w:val="single" w:sz="4" w:space="0" w:color="auto"/>
              <w:right w:val="single" w:sz="4" w:space="0" w:color="auto"/>
            </w:tcBorders>
            <w:shd w:val="clear" w:color="auto" w:fill="auto"/>
            <w:noWrap/>
            <w:vAlign w:val="center"/>
            <w:hideMark/>
          </w:tcPr>
          <w:p w14:paraId="5920EF3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5068134000</w:t>
            </w:r>
          </w:p>
        </w:tc>
        <w:tc>
          <w:tcPr>
            <w:tcW w:w="547" w:type="pct"/>
            <w:tcBorders>
              <w:top w:val="nil"/>
              <w:left w:val="nil"/>
              <w:bottom w:val="single" w:sz="4" w:space="0" w:color="auto"/>
              <w:right w:val="single" w:sz="4" w:space="0" w:color="auto"/>
            </w:tcBorders>
            <w:shd w:val="clear" w:color="auto" w:fill="auto"/>
            <w:noWrap/>
            <w:vAlign w:val="center"/>
            <w:hideMark/>
          </w:tcPr>
          <w:p w14:paraId="5F8680F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94086362</w:t>
            </w:r>
          </w:p>
        </w:tc>
        <w:tc>
          <w:tcPr>
            <w:tcW w:w="3360" w:type="pct"/>
            <w:tcBorders>
              <w:top w:val="nil"/>
              <w:left w:val="nil"/>
              <w:bottom w:val="single" w:sz="4" w:space="0" w:color="auto"/>
              <w:right w:val="single" w:sz="4" w:space="0" w:color="auto"/>
            </w:tcBorders>
            <w:shd w:val="clear" w:color="auto" w:fill="auto"/>
            <w:vAlign w:val="center"/>
            <w:hideMark/>
          </w:tcPr>
          <w:p w14:paraId="460EC8C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JAVNO KOMUNALNO PODJETJE ŽALEC, D.O.O.</w:t>
            </w:r>
          </w:p>
        </w:tc>
      </w:tr>
      <w:tr w:rsidR="00E3750C" w:rsidRPr="00415AB3" w14:paraId="2518E889"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7B8B80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421</w:t>
            </w:r>
          </w:p>
        </w:tc>
        <w:tc>
          <w:tcPr>
            <w:tcW w:w="705" w:type="pct"/>
            <w:tcBorders>
              <w:top w:val="nil"/>
              <w:left w:val="nil"/>
              <w:bottom w:val="single" w:sz="4" w:space="0" w:color="auto"/>
              <w:right w:val="single" w:sz="4" w:space="0" w:color="auto"/>
            </w:tcBorders>
            <w:shd w:val="clear" w:color="auto" w:fill="auto"/>
            <w:noWrap/>
            <w:vAlign w:val="center"/>
            <w:hideMark/>
          </w:tcPr>
          <w:p w14:paraId="5479719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5067782000</w:t>
            </w:r>
          </w:p>
        </w:tc>
        <w:tc>
          <w:tcPr>
            <w:tcW w:w="547" w:type="pct"/>
            <w:tcBorders>
              <w:top w:val="nil"/>
              <w:left w:val="nil"/>
              <w:bottom w:val="single" w:sz="4" w:space="0" w:color="auto"/>
              <w:right w:val="single" w:sz="4" w:space="0" w:color="auto"/>
            </w:tcBorders>
            <w:shd w:val="clear" w:color="auto" w:fill="auto"/>
            <w:noWrap/>
            <w:vAlign w:val="center"/>
            <w:hideMark/>
          </w:tcPr>
          <w:p w14:paraId="520851E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25717715</w:t>
            </w:r>
          </w:p>
        </w:tc>
        <w:tc>
          <w:tcPr>
            <w:tcW w:w="3360" w:type="pct"/>
            <w:tcBorders>
              <w:top w:val="nil"/>
              <w:left w:val="nil"/>
              <w:bottom w:val="single" w:sz="4" w:space="0" w:color="auto"/>
              <w:right w:val="single" w:sz="4" w:space="0" w:color="auto"/>
            </w:tcBorders>
            <w:shd w:val="clear" w:color="auto" w:fill="auto"/>
            <w:vAlign w:val="center"/>
            <w:hideMark/>
          </w:tcPr>
          <w:p w14:paraId="243BCC4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JAVNO PODJETJE - AZIENDA PUBLICA RIŽANSKI VODOVOD KOPER D.O.O. - S.R.L.</w:t>
            </w:r>
          </w:p>
        </w:tc>
      </w:tr>
      <w:tr w:rsidR="00E3750C" w:rsidRPr="00415AB3" w14:paraId="20B267F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79D855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422</w:t>
            </w:r>
          </w:p>
        </w:tc>
        <w:tc>
          <w:tcPr>
            <w:tcW w:w="705" w:type="pct"/>
            <w:tcBorders>
              <w:top w:val="nil"/>
              <w:left w:val="nil"/>
              <w:bottom w:val="single" w:sz="4" w:space="0" w:color="auto"/>
              <w:right w:val="single" w:sz="4" w:space="0" w:color="auto"/>
            </w:tcBorders>
            <w:shd w:val="clear" w:color="auto" w:fill="auto"/>
            <w:noWrap/>
            <w:vAlign w:val="center"/>
            <w:hideMark/>
          </w:tcPr>
          <w:p w14:paraId="011155F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3356655000</w:t>
            </w:r>
          </w:p>
        </w:tc>
        <w:tc>
          <w:tcPr>
            <w:tcW w:w="547" w:type="pct"/>
            <w:tcBorders>
              <w:top w:val="nil"/>
              <w:left w:val="nil"/>
              <w:bottom w:val="single" w:sz="4" w:space="0" w:color="auto"/>
              <w:right w:val="single" w:sz="4" w:space="0" w:color="auto"/>
            </w:tcBorders>
            <w:shd w:val="clear" w:color="auto" w:fill="auto"/>
            <w:noWrap/>
            <w:vAlign w:val="center"/>
            <w:hideMark/>
          </w:tcPr>
          <w:p w14:paraId="111AB14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67396704</w:t>
            </w:r>
          </w:p>
        </w:tc>
        <w:tc>
          <w:tcPr>
            <w:tcW w:w="3360" w:type="pct"/>
            <w:tcBorders>
              <w:top w:val="nil"/>
              <w:left w:val="nil"/>
              <w:bottom w:val="single" w:sz="4" w:space="0" w:color="auto"/>
              <w:right w:val="single" w:sz="4" w:space="0" w:color="auto"/>
            </w:tcBorders>
            <w:shd w:val="clear" w:color="auto" w:fill="auto"/>
            <w:vAlign w:val="center"/>
            <w:hideMark/>
          </w:tcPr>
          <w:p w14:paraId="480FC98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JAVNO PODJETJE CENTER ZA RAVNANJE Z ODPADKI PUCONCI D.O.O.</w:t>
            </w:r>
          </w:p>
        </w:tc>
      </w:tr>
      <w:tr w:rsidR="00E3750C" w:rsidRPr="00415AB3" w14:paraId="0CDC2377"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74B47E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423</w:t>
            </w:r>
          </w:p>
        </w:tc>
        <w:tc>
          <w:tcPr>
            <w:tcW w:w="705" w:type="pct"/>
            <w:tcBorders>
              <w:top w:val="nil"/>
              <w:left w:val="nil"/>
              <w:bottom w:val="single" w:sz="4" w:space="0" w:color="auto"/>
              <w:right w:val="single" w:sz="4" w:space="0" w:color="auto"/>
            </w:tcBorders>
            <w:shd w:val="clear" w:color="auto" w:fill="auto"/>
            <w:noWrap/>
            <w:vAlign w:val="center"/>
            <w:hideMark/>
          </w:tcPr>
          <w:p w14:paraId="1E11FBE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5227747000</w:t>
            </w:r>
          </w:p>
        </w:tc>
        <w:tc>
          <w:tcPr>
            <w:tcW w:w="547" w:type="pct"/>
            <w:tcBorders>
              <w:top w:val="nil"/>
              <w:left w:val="nil"/>
              <w:bottom w:val="single" w:sz="4" w:space="0" w:color="auto"/>
              <w:right w:val="single" w:sz="4" w:space="0" w:color="auto"/>
            </w:tcBorders>
            <w:shd w:val="clear" w:color="auto" w:fill="auto"/>
            <w:noWrap/>
            <w:vAlign w:val="center"/>
            <w:hideMark/>
          </w:tcPr>
          <w:p w14:paraId="32F8989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18604692</w:t>
            </w:r>
          </w:p>
        </w:tc>
        <w:tc>
          <w:tcPr>
            <w:tcW w:w="3360" w:type="pct"/>
            <w:tcBorders>
              <w:top w:val="nil"/>
              <w:left w:val="nil"/>
              <w:bottom w:val="single" w:sz="4" w:space="0" w:color="auto"/>
              <w:right w:val="single" w:sz="4" w:space="0" w:color="auto"/>
            </w:tcBorders>
            <w:shd w:val="clear" w:color="auto" w:fill="auto"/>
            <w:vAlign w:val="center"/>
            <w:hideMark/>
          </w:tcPr>
          <w:p w14:paraId="0601C48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JAVNO PODJETJE CENTRALNA ČISTILNA NAPRAVA DOMŽALE - KAMNIK D.O.O.</w:t>
            </w:r>
          </w:p>
        </w:tc>
      </w:tr>
      <w:tr w:rsidR="00E3750C" w:rsidRPr="00415AB3" w14:paraId="25595A8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449523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424</w:t>
            </w:r>
          </w:p>
        </w:tc>
        <w:tc>
          <w:tcPr>
            <w:tcW w:w="705" w:type="pct"/>
            <w:tcBorders>
              <w:top w:val="nil"/>
              <w:left w:val="nil"/>
              <w:bottom w:val="single" w:sz="4" w:space="0" w:color="auto"/>
              <w:right w:val="single" w:sz="4" w:space="0" w:color="auto"/>
            </w:tcBorders>
            <w:shd w:val="clear" w:color="auto" w:fill="auto"/>
            <w:noWrap/>
            <w:vAlign w:val="center"/>
            <w:hideMark/>
          </w:tcPr>
          <w:p w14:paraId="3BE3D47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1683683000</w:t>
            </w:r>
          </w:p>
        </w:tc>
        <w:tc>
          <w:tcPr>
            <w:tcW w:w="547" w:type="pct"/>
            <w:tcBorders>
              <w:top w:val="nil"/>
              <w:left w:val="nil"/>
              <w:bottom w:val="single" w:sz="4" w:space="0" w:color="auto"/>
              <w:right w:val="single" w:sz="4" w:space="0" w:color="auto"/>
            </w:tcBorders>
            <w:shd w:val="clear" w:color="auto" w:fill="auto"/>
            <w:noWrap/>
            <w:vAlign w:val="center"/>
            <w:hideMark/>
          </w:tcPr>
          <w:p w14:paraId="2E5B5E0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90170296</w:t>
            </w:r>
          </w:p>
        </w:tc>
        <w:tc>
          <w:tcPr>
            <w:tcW w:w="3360" w:type="pct"/>
            <w:tcBorders>
              <w:top w:val="nil"/>
              <w:left w:val="nil"/>
              <w:bottom w:val="single" w:sz="4" w:space="0" w:color="auto"/>
              <w:right w:val="single" w:sz="4" w:space="0" w:color="auto"/>
            </w:tcBorders>
            <w:shd w:val="clear" w:color="auto" w:fill="auto"/>
            <w:vAlign w:val="center"/>
            <w:hideMark/>
          </w:tcPr>
          <w:p w14:paraId="0234241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JAVNO PODJETJE EDŠ - EKOLOŠKA DRUŽBA, D.O.O. ŠENTJERNEJ</w:t>
            </w:r>
          </w:p>
        </w:tc>
      </w:tr>
      <w:tr w:rsidR="00E3750C" w:rsidRPr="00415AB3" w14:paraId="1DE30CA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FF1B9A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425</w:t>
            </w:r>
          </w:p>
        </w:tc>
        <w:tc>
          <w:tcPr>
            <w:tcW w:w="705" w:type="pct"/>
            <w:tcBorders>
              <w:top w:val="nil"/>
              <w:left w:val="nil"/>
              <w:bottom w:val="single" w:sz="4" w:space="0" w:color="auto"/>
              <w:right w:val="single" w:sz="4" w:space="0" w:color="auto"/>
            </w:tcBorders>
            <w:shd w:val="clear" w:color="auto" w:fill="auto"/>
            <w:noWrap/>
            <w:vAlign w:val="center"/>
            <w:hideMark/>
          </w:tcPr>
          <w:p w14:paraId="276CA57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5226406000</w:t>
            </w:r>
          </w:p>
        </w:tc>
        <w:tc>
          <w:tcPr>
            <w:tcW w:w="547" w:type="pct"/>
            <w:tcBorders>
              <w:top w:val="nil"/>
              <w:left w:val="nil"/>
              <w:bottom w:val="single" w:sz="4" w:space="0" w:color="auto"/>
              <w:right w:val="single" w:sz="4" w:space="0" w:color="auto"/>
            </w:tcBorders>
            <w:shd w:val="clear" w:color="auto" w:fill="auto"/>
            <w:noWrap/>
            <w:vAlign w:val="center"/>
            <w:hideMark/>
          </w:tcPr>
          <w:p w14:paraId="0E13D57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23034033</w:t>
            </w:r>
          </w:p>
        </w:tc>
        <w:tc>
          <w:tcPr>
            <w:tcW w:w="3360" w:type="pct"/>
            <w:tcBorders>
              <w:top w:val="nil"/>
              <w:left w:val="nil"/>
              <w:bottom w:val="single" w:sz="4" w:space="0" w:color="auto"/>
              <w:right w:val="single" w:sz="4" w:space="0" w:color="auto"/>
            </w:tcBorders>
            <w:shd w:val="clear" w:color="auto" w:fill="auto"/>
            <w:vAlign w:val="center"/>
            <w:hideMark/>
          </w:tcPr>
          <w:p w14:paraId="29F101E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JAVNO PODJETJE ENERGETIKA LJUBLJANA D.O.O.</w:t>
            </w:r>
          </w:p>
        </w:tc>
      </w:tr>
      <w:tr w:rsidR="00E3750C" w:rsidRPr="00415AB3" w14:paraId="74745CC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A6947A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426</w:t>
            </w:r>
          </w:p>
        </w:tc>
        <w:tc>
          <w:tcPr>
            <w:tcW w:w="705" w:type="pct"/>
            <w:tcBorders>
              <w:top w:val="nil"/>
              <w:left w:val="nil"/>
              <w:bottom w:val="single" w:sz="4" w:space="0" w:color="auto"/>
              <w:right w:val="single" w:sz="4" w:space="0" w:color="auto"/>
            </w:tcBorders>
            <w:shd w:val="clear" w:color="auto" w:fill="auto"/>
            <w:noWrap/>
            <w:vAlign w:val="center"/>
            <w:hideMark/>
          </w:tcPr>
          <w:p w14:paraId="23EF65A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5107199000</w:t>
            </w:r>
          </w:p>
        </w:tc>
        <w:tc>
          <w:tcPr>
            <w:tcW w:w="547" w:type="pct"/>
            <w:tcBorders>
              <w:top w:val="nil"/>
              <w:left w:val="nil"/>
              <w:bottom w:val="single" w:sz="4" w:space="0" w:color="auto"/>
              <w:right w:val="single" w:sz="4" w:space="0" w:color="auto"/>
            </w:tcBorders>
            <w:shd w:val="clear" w:color="auto" w:fill="auto"/>
            <w:noWrap/>
            <w:vAlign w:val="center"/>
            <w:hideMark/>
          </w:tcPr>
          <w:p w14:paraId="321AAAA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77722922</w:t>
            </w:r>
          </w:p>
        </w:tc>
        <w:tc>
          <w:tcPr>
            <w:tcW w:w="3360" w:type="pct"/>
            <w:tcBorders>
              <w:top w:val="nil"/>
              <w:left w:val="nil"/>
              <w:bottom w:val="single" w:sz="4" w:space="0" w:color="auto"/>
              <w:right w:val="single" w:sz="4" w:space="0" w:color="auto"/>
            </w:tcBorders>
            <w:shd w:val="clear" w:color="auto" w:fill="auto"/>
            <w:vAlign w:val="center"/>
            <w:hideMark/>
          </w:tcPr>
          <w:p w14:paraId="4411A85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JAVNO PODJETJE ENERGETIKA MARIBOR D.O.O.</w:t>
            </w:r>
          </w:p>
        </w:tc>
      </w:tr>
      <w:tr w:rsidR="00E3750C" w:rsidRPr="00415AB3" w14:paraId="2EC422E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F19626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427</w:t>
            </w:r>
          </w:p>
        </w:tc>
        <w:tc>
          <w:tcPr>
            <w:tcW w:w="705" w:type="pct"/>
            <w:tcBorders>
              <w:top w:val="nil"/>
              <w:left w:val="nil"/>
              <w:bottom w:val="single" w:sz="4" w:space="0" w:color="auto"/>
              <w:right w:val="single" w:sz="4" w:space="0" w:color="auto"/>
            </w:tcBorders>
            <w:shd w:val="clear" w:color="auto" w:fill="auto"/>
            <w:noWrap/>
            <w:vAlign w:val="center"/>
            <w:hideMark/>
          </w:tcPr>
          <w:p w14:paraId="7BE1680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6319220000</w:t>
            </w:r>
          </w:p>
        </w:tc>
        <w:tc>
          <w:tcPr>
            <w:tcW w:w="547" w:type="pct"/>
            <w:tcBorders>
              <w:top w:val="nil"/>
              <w:left w:val="nil"/>
              <w:bottom w:val="single" w:sz="4" w:space="0" w:color="auto"/>
              <w:right w:val="single" w:sz="4" w:space="0" w:color="auto"/>
            </w:tcBorders>
            <w:shd w:val="clear" w:color="auto" w:fill="auto"/>
            <w:noWrap/>
            <w:vAlign w:val="center"/>
            <w:hideMark/>
          </w:tcPr>
          <w:p w14:paraId="1160C77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67401961</w:t>
            </w:r>
          </w:p>
        </w:tc>
        <w:tc>
          <w:tcPr>
            <w:tcW w:w="3360" w:type="pct"/>
            <w:tcBorders>
              <w:top w:val="nil"/>
              <w:left w:val="nil"/>
              <w:bottom w:val="single" w:sz="4" w:space="0" w:color="auto"/>
              <w:right w:val="single" w:sz="4" w:space="0" w:color="auto"/>
            </w:tcBorders>
            <w:shd w:val="clear" w:color="auto" w:fill="auto"/>
            <w:vAlign w:val="center"/>
            <w:hideMark/>
          </w:tcPr>
          <w:p w14:paraId="48D1AC1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JAVNO PODJETJE KANALIZACIJA IN ČISTILNA NAPRAVA RADLJE, D.O.O.</w:t>
            </w:r>
          </w:p>
        </w:tc>
      </w:tr>
      <w:tr w:rsidR="00E3750C" w:rsidRPr="00415AB3" w14:paraId="2F5B82F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57CFB3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428</w:t>
            </w:r>
          </w:p>
        </w:tc>
        <w:tc>
          <w:tcPr>
            <w:tcW w:w="705" w:type="pct"/>
            <w:tcBorders>
              <w:top w:val="nil"/>
              <w:left w:val="nil"/>
              <w:bottom w:val="single" w:sz="4" w:space="0" w:color="auto"/>
              <w:right w:val="single" w:sz="4" w:space="0" w:color="auto"/>
            </w:tcBorders>
            <w:shd w:val="clear" w:color="auto" w:fill="auto"/>
            <w:noWrap/>
            <w:vAlign w:val="center"/>
            <w:hideMark/>
          </w:tcPr>
          <w:p w14:paraId="16BE8FB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6069185000</w:t>
            </w:r>
          </w:p>
        </w:tc>
        <w:tc>
          <w:tcPr>
            <w:tcW w:w="547" w:type="pct"/>
            <w:tcBorders>
              <w:top w:val="nil"/>
              <w:left w:val="nil"/>
              <w:bottom w:val="single" w:sz="4" w:space="0" w:color="auto"/>
              <w:right w:val="single" w:sz="4" w:space="0" w:color="auto"/>
            </w:tcBorders>
            <w:shd w:val="clear" w:color="auto" w:fill="auto"/>
            <w:noWrap/>
            <w:vAlign w:val="center"/>
            <w:hideMark/>
          </w:tcPr>
          <w:p w14:paraId="279C9A2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21101906</w:t>
            </w:r>
          </w:p>
        </w:tc>
        <w:tc>
          <w:tcPr>
            <w:tcW w:w="3360" w:type="pct"/>
            <w:tcBorders>
              <w:top w:val="nil"/>
              <w:left w:val="nil"/>
              <w:bottom w:val="single" w:sz="4" w:space="0" w:color="auto"/>
              <w:right w:val="single" w:sz="4" w:space="0" w:color="auto"/>
            </w:tcBorders>
            <w:shd w:val="clear" w:color="auto" w:fill="auto"/>
            <w:vAlign w:val="center"/>
            <w:hideMark/>
          </w:tcPr>
          <w:p w14:paraId="3DD1A95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JAVNO PODJETJE KOMUNALA BREŽICE D.O.O.</w:t>
            </w:r>
          </w:p>
        </w:tc>
      </w:tr>
      <w:tr w:rsidR="00E3750C" w:rsidRPr="00415AB3" w14:paraId="6D8DE7D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4BD302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429</w:t>
            </w:r>
          </w:p>
        </w:tc>
        <w:tc>
          <w:tcPr>
            <w:tcW w:w="705" w:type="pct"/>
            <w:tcBorders>
              <w:top w:val="nil"/>
              <w:left w:val="nil"/>
              <w:bottom w:val="single" w:sz="4" w:space="0" w:color="auto"/>
              <w:right w:val="single" w:sz="4" w:space="0" w:color="auto"/>
            </w:tcBorders>
            <w:shd w:val="clear" w:color="auto" w:fill="auto"/>
            <w:noWrap/>
            <w:vAlign w:val="center"/>
            <w:hideMark/>
          </w:tcPr>
          <w:p w14:paraId="48EE096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5067758000</w:t>
            </w:r>
          </w:p>
        </w:tc>
        <w:tc>
          <w:tcPr>
            <w:tcW w:w="547" w:type="pct"/>
            <w:tcBorders>
              <w:top w:val="nil"/>
              <w:left w:val="nil"/>
              <w:bottom w:val="single" w:sz="4" w:space="0" w:color="auto"/>
              <w:right w:val="single" w:sz="4" w:space="0" w:color="auto"/>
            </w:tcBorders>
            <w:shd w:val="clear" w:color="auto" w:fill="auto"/>
            <w:noWrap/>
            <w:vAlign w:val="center"/>
            <w:hideMark/>
          </w:tcPr>
          <w:p w14:paraId="6EEAE90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77038037</w:t>
            </w:r>
          </w:p>
        </w:tc>
        <w:tc>
          <w:tcPr>
            <w:tcW w:w="3360" w:type="pct"/>
            <w:tcBorders>
              <w:top w:val="nil"/>
              <w:left w:val="nil"/>
              <w:bottom w:val="single" w:sz="4" w:space="0" w:color="auto"/>
              <w:right w:val="single" w:sz="4" w:space="0" w:color="auto"/>
            </w:tcBorders>
            <w:shd w:val="clear" w:color="auto" w:fill="auto"/>
            <w:vAlign w:val="center"/>
            <w:hideMark/>
          </w:tcPr>
          <w:p w14:paraId="44FB08D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JAVNO PODJETJE KOMUNALA CERKNICA D.O.O. CERKNICA</w:t>
            </w:r>
          </w:p>
        </w:tc>
      </w:tr>
      <w:tr w:rsidR="00E3750C" w:rsidRPr="00415AB3" w14:paraId="07D1742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804A3A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430</w:t>
            </w:r>
          </w:p>
        </w:tc>
        <w:tc>
          <w:tcPr>
            <w:tcW w:w="705" w:type="pct"/>
            <w:tcBorders>
              <w:top w:val="nil"/>
              <w:left w:val="nil"/>
              <w:bottom w:val="single" w:sz="4" w:space="0" w:color="auto"/>
              <w:right w:val="single" w:sz="4" w:space="0" w:color="auto"/>
            </w:tcBorders>
            <w:shd w:val="clear" w:color="auto" w:fill="auto"/>
            <w:noWrap/>
            <w:vAlign w:val="center"/>
            <w:hideMark/>
          </w:tcPr>
          <w:p w14:paraId="650761D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5062403000</w:t>
            </w:r>
          </w:p>
        </w:tc>
        <w:tc>
          <w:tcPr>
            <w:tcW w:w="547" w:type="pct"/>
            <w:tcBorders>
              <w:top w:val="nil"/>
              <w:left w:val="nil"/>
              <w:bottom w:val="single" w:sz="4" w:space="0" w:color="auto"/>
              <w:right w:val="single" w:sz="4" w:space="0" w:color="auto"/>
            </w:tcBorders>
            <w:shd w:val="clear" w:color="auto" w:fill="auto"/>
            <w:noWrap/>
            <w:vAlign w:val="center"/>
            <w:hideMark/>
          </w:tcPr>
          <w:p w14:paraId="674127A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66111889</w:t>
            </w:r>
          </w:p>
        </w:tc>
        <w:tc>
          <w:tcPr>
            <w:tcW w:w="3360" w:type="pct"/>
            <w:tcBorders>
              <w:top w:val="nil"/>
              <w:left w:val="nil"/>
              <w:bottom w:val="single" w:sz="4" w:space="0" w:color="auto"/>
              <w:right w:val="single" w:sz="4" w:space="0" w:color="auto"/>
            </w:tcBorders>
            <w:shd w:val="clear" w:color="auto" w:fill="auto"/>
            <w:vAlign w:val="center"/>
            <w:hideMark/>
          </w:tcPr>
          <w:p w14:paraId="499C2F5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JAVNO PODJETJE KOMUNALA ČRNOMELJ D.O.O.</w:t>
            </w:r>
          </w:p>
        </w:tc>
      </w:tr>
      <w:tr w:rsidR="00E3750C" w:rsidRPr="00415AB3" w14:paraId="1092618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962AC1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431</w:t>
            </w:r>
          </w:p>
        </w:tc>
        <w:tc>
          <w:tcPr>
            <w:tcW w:w="705" w:type="pct"/>
            <w:tcBorders>
              <w:top w:val="nil"/>
              <w:left w:val="nil"/>
              <w:bottom w:val="single" w:sz="4" w:space="0" w:color="auto"/>
              <w:right w:val="single" w:sz="4" w:space="0" w:color="auto"/>
            </w:tcBorders>
            <w:shd w:val="clear" w:color="auto" w:fill="auto"/>
            <w:noWrap/>
            <w:vAlign w:val="center"/>
            <w:hideMark/>
          </w:tcPr>
          <w:p w14:paraId="29704AE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5068088000</w:t>
            </w:r>
          </w:p>
        </w:tc>
        <w:tc>
          <w:tcPr>
            <w:tcW w:w="547" w:type="pct"/>
            <w:tcBorders>
              <w:top w:val="nil"/>
              <w:left w:val="nil"/>
              <w:bottom w:val="single" w:sz="4" w:space="0" w:color="auto"/>
              <w:right w:val="single" w:sz="4" w:space="0" w:color="auto"/>
            </w:tcBorders>
            <w:shd w:val="clear" w:color="auto" w:fill="auto"/>
            <w:noWrap/>
            <w:vAlign w:val="center"/>
            <w:hideMark/>
          </w:tcPr>
          <w:p w14:paraId="53F6D01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90581121</w:t>
            </w:r>
          </w:p>
        </w:tc>
        <w:tc>
          <w:tcPr>
            <w:tcW w:w="3360" w:type="pct"/>
            <w:tcBorders>
              <w:top w:val="nil"/>
              <w:left w:val="nil"/>
              <w:bottom w:val="single" w:sz="4" w:space="0" w:color="auto"/>
              <w:right w:val="single" w:sz="4" w:space="0" w:color="auto"/>
            </w:tcBorders>
            <w:shd w:val="clear" w:color="auto" w:fill="auto"/>
            <w:vAlign w:val="center"/>
            <w:hideMark/>
          </w:tcPr>
          <w:p w14:paraId="3E990CF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JAVNO PODJETJE KOMUNALA D.O.O. SEVNICA</w:t>
            </w:r>
          </w:p>
        </w:tc>
      </w:tr>
      <w:tr w:rsidR="00E3750C" w:rsidRPr="00415AB3" w14:paraId="2F8ADDC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AB53C8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432</w:t>
            </w:r>
          </w:p>
        </w:tc>
        <w:tc>
          <w:tcPr>
            <w:tcW w:w="705" w:type="pct"/>
            <w:tcBorders>
              <w:top w:val="nil"/>
              <w:left w:val="nil"/>
              <w:bottom w:val="single" w:sz="4" w:space="0" w:color="auto"/>
              <w:right w:val="single" w:sz="4" w:space="0" w:color="auto"/>
            </w:tcBorders>
            <w:shd w:val="clear" w:color="auto" w:fill="auto"/>
            <w:noWrap/>
            <w:vAlign w:val="center"/>
            <w:hideMark/>
          </w:tcPr>
          <w:p w14:paraId="75E107B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5144647000</w:t>
            </w:r>
          </w:p>
        </w:tc>
        <w:tc>
          <w:tcPr>
            <w:tcW w:w="547" w:type="pct"/>
            <w:tcBorders>
              <w:top w:val="nil"/>
              <w:left w:val="nil"/>
              <w:bottom w:val="single" w:sz="4" w:space="0" w:color="auto"/>
              <w:right w:val="single" w:sz="4" w:space="0" w:color="auto"/>
            </w:tcBorders>
            <w:shd w:val="clear" w:color="auto" w:fill="auto"/>
            <w:noWrap/>
            <w:vAlign w:val="center"/>
            <w:hideMark/>
          </w:tcPr>
          <w:p w14:paraId="54F232E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13286218</w:t>
            </w:r>
          </w:p>
        </w:tc>
        <w:tc>
          <w:tcPr>
            <w:tcW w:w="3360" w:type="pct"/>
            <w:tcBorders>
              <w:top w:val="nil"/>
              <w:left w:val="nil"/>
              <w:bottom w:val="single" w:sz="4" w:space="0" w:color="auto"/>
              <w:right w:val="single" w:sz="4" w:space="0" w:color="auto"/>
            </w:tcBorders>
            <w:shd w:val="clear" w:color="auto" w:fill="auto"/>
            <w:vAlign w:val="center"/>
            <w:hideMark/>
          </w:tcPr>
          <w:p w14:paraId="6A96A02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JAVNO PODJETJE KOMUNALA IDRIJA D.O.O.</w:t>
            </w:r>
          </w:p>
        </w:tc>
      </w:tr>
      <w:tr w:rsidR="00E3750C" w:rsidRPr="00415AB3" w14:paraId="55B9C07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D6AB41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433</w:t>
            </w:r>
          </w:p>
        </w:tc>
        <w:tc>
          <w:tcPr>
            <w:tcW w:w="705" w:type="pct"/>
            <w:tcBorders>
              <w:top w:val="nil"/>
              <w:left w:val="nil"/>
              <w:bottom w:val="single" w:sz="4" w:space="0" w:color="auto"/>
              <w:right w:val="single" w:sz="4" w:space="0" w:color="auto"/>
            </w:tcBorders>
            <w:shd w:val="clear" w:color="auto" w:fill="auto"/>
            <w:noWrap/>
            <w:vAlign w:val="center"/>
            <w:hideMark/>
          </w:tcPr>
          <w:p w14:paraId="018BDB4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5016100000</w:t>
            </w:r>
          </w:p>
        </w:tc>
        <w:tc>
          <w:tcPr>
            <w:tcW w:w="547" w:type="pct"/>
            <w:tcBorders>
              <w:top w:val="nil"/>
              <w:left w:val="nil"/>
              <w:bottom w:val="single" w:sz="4" w:space="0" w:color="auto"/>
              <w:right w:val="single" w:sz="4" w:space="0" w:color="auto"/>
            </w:tcBorders>
            <w:shd w:val="clear" w:color="auto" w:fill="auto"/>
            <w:noWrap/>
            <w:vAlign w:val="center"/>
            <w:hideMark/>
          </w:tcPr>
          <w:p w14:paraId="6D68159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37819127</w:t>
            </w:r>
          </w:p>
        </w:tc>
        <w:tc>
          <w:tcPr>
            <w:tcW w:w="3360" w:type="pct"/>
            <w:tcBorders>
              <w:top w:val="nil"/>
              <w:left w:val="nil"/>
              <w:bottom w:val="single" w:sz="4" w:space="0" w:color="auto"/>
              <w:right w:val="single" w:sz="4" w:space="0" w:color="auto"/>
            </w:tcBorders>
            <w:shd w:val="clear" w:color="auto" w:fill="auto"/>
            <w:vAlign w:val="center"/>
            <w:hideMark/>
          </w:tcPr>
          <w:p w14:paraId="4D12650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JAVNO PODJETJE KOMUNALA ILIRSKA BISTRICA, D.O.O.</w:t>
            </w:r>
          </w:p>
        </w:tc>
      </w:tr>
      <w:tr w:rsidR="00E3750C" w:rsidRPr="00415AB3" w14:paraId="6F3C830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21A4F2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434</w:t>
            </w:r>
          </w:p>
        </w:tc>
        <w:tc>
          <w:tcPr>
            <w:tcW w:w="705" w:type="pct"/>
            <w:tcBorders>
              <w:top w:val="nil"/>
              <w:left w:val="nil"/>
              <w:bottom w:val="single" w:sz="4" w:space="0" w:color="auto"/>
              <w:right w:val="single" w:sz="4" w:space="0" w:color="auto"/>
            </w:tcBorders>
            <w:shd w:val="clear" w:color="auto" w:fill="auto"/>
            <w:noWrap/>
            <w:vAlign w:val="center"/>
            <w:hideMark/>
          </w:tcPr>
          <w:p w14:paraId="565C746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5156858000</w:t>
            </w:r>
          </w:p>
        </w:tc>
        <w:tc>
          <w:tcPr>
            <w:tcW w:w="547" w:type="pct"/>
            <w:tcBorders>
              <w:top w:val="nil"/>
              <w:left w:val="nil"/>
              <w:bottom w:val="single" w:sz="4" w:space="0" w:color="auto"/>
              <w:right w:val="single" w:sz="4" w:space="0" w:color="auto"/>
            </w:tcBorders>
            <w:shd w:val="clear" w:color="auto" w:fill="auto"/>
            <w:noWrap/>
            <w:vAlign w:val="center"/>
            <w:hideMark/>
          </w:tcPr>
          <w:p w14:paraId="33EA3AF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70981515</w:t>
            </w:r>
          </w:p>
        </w:tc>
        <w:tc>
          <w:tcPr>
            <w:tcW w:w="3360" w:type="pct"/>
            <w:tcBorders>
              <w:top w:val="nil"/>
              <w:left w:val="nil"/>
              <w:bottom w:val="single" w:sz="4" w:space="0" w:color="auto"/>
              <w:right w:val="single" w:sz="4" w:space="0" w:color="auto"/>
            </w:tcBorders>
            <w:shd w:val="clear" w:color="auto" w:fill="auto"/>
            <w:vAlign w:val="center"/>
            <w:hideMark/>
          </w:tcPr>
          <w:p w14:paraId="3BE5856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 xml:space="preserve">JAVNO PODJETJE KOMUNALA IZOLA, D.O.O. </w:t>
            </w:r>
          </w:p>
        </w:tc>
      </w:tr>
      <w:tr w:rsidR="00E3750C" w:rsidRPr="00415AB3" w14:paraId="5A61DC6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F7CB5D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435</w:t>
            </w:r>
          </w:p>
        </w:tc>
        <w:tc>
          <w:tcPr>
            <w:tcW w:w="705" w:type="pct"/>
            <w:tcBorders>
              <w:top w:val="nil"/>
              <w:left w:val="nil"/>
              <w:bottom w:val="single" w:sz="4" w:space="0" w:color="auto"/>
              <w:right w:val="single" w:sz="4" w:space="0" w:color="auto"/>
            </w:tcBorders>
            <w:shd w:val="clear" w:color="auto" w:fill="auto"/>
            <w:noWrap/>
            <w:vAlign w:val="center"/>
            <w:hideMark/>
          </w:tcPr>
          <w:p w14:paraId="6E588F0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5255317000</w:t>
            </w:r>
          </w:p>
        </w:tc>
        <w:tc>
          <w:tcPr>
            <w:tcW w:w="547" w:type="pct"/>
            <w:tcBorders>
              <w:top w:val="nil"/>
              <w:left w:val="nil"/>
              <w:bottom w:val="single" w:sz="4" w:space="0" w:color="auto"/>
              <w:right w:val="single" w:sz="4" w:space="0" w:color="auto"/>
            </w:tcBorders>
            <w:shd w:val="clear" w:color="auto" w:fill="auto"/>
            <w:noWrap/>
            <w:vAlign w:val="center"/>
            <w:hideMark/>
          </w:tcPr>
          <w:p w14:paraId="567514D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48279242</w:t>
            </w:r>
          </w:p>
        </w:tc>
        <w:tc>
          <w:tcPr>
            <w:tcW w:w="3360" w:type="pct"/>
            <w:tcBorders>
              <w:top w:val="nil"/>
              <w:left w:val="nil"/>
              <w:bottom w:val="single" w:sz="4" w:space="0" w:color="auto"/>
              <w:right w:val="single" w:sz="4" w:space="0" w:color="auto"/>
            </w:tcBorders>
            <w:shd w:val="clear" w:color="auto" w:fill="auto"/>
            <w:vAlign w:val="center"/>
            <w:hideMark/>
          </w:tcPr>
          <w:p w14:paraId="64ACF5E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JAVNO PODJETJE KOMUNALA LAŠKO D.O.O.</w:t>
            </w:r>
          </w:p>
        </w:tc>
      </w:tr>
      <w:tr w:rsidR="00E3750C" w:rsidRPr="00415AB3" w14:paraId="53F19AA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7506A0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436</w:t>
            </w:r>
          </w:p>
        </w:tc>
        <w:tc>
          <w:tcPr>
            <w:tcW w:w="705" w:type="pct"/>
            <w:tcBorders>
              <w:top w:val="nil"/>
              <w:left w:val="nil"/>
              <w:bottom w:val="single" w:sz="4" w:space="0" w:color="auto"/>
              <w:right w:val="single" w:sz="4" w:space="0" w:color="auto"/>
            </w:tcBorders>
            <w:shd w:val="clear" w:color="auto" w:fill="auto"/>
            <w:noWrap/>
            <w:vAlign w:val="center"/>
            <w:hideMark/>
          </w:tcPr>
          <w:p w14:paraId="6301556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5475988000</w:t>
            </w:r>
          </w:p>
        </w:tc>
        <w:tc>
          <w:tcPr>
            <w:tcW w:w="547" w:type="pct"/>
            <w:tcBorders>
              <w:top w:val="nil"/>
              <w:left w:val="nil"/>
              <w:bottom w:val="single" w:sz="4" w:space="0" w:color="auto"/>
              <w:right w:val="single" w:sz="4" w:space="0" w:color="auto"/>
            </w:tcBorders>
            <w:shd w:val="clear" w:color="auto" w:fill="auto"/>
            <w:noWrap/>
            <w:vAlign w:val="center"/>
            <w:hideMark/>
          </w:tcPr>
          <w:p w14:paraId="4535505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30080070</w:t>
            </w:r>
          </w:p>
        </w:tc>
        <w:tc>
          <w:tcPr>
            <w:tcW w:w="3360" w:type="pct"/>
            <w:tcBorders>
              <w:top w:val="nil"/>
              <w:left w:val="nil"/>
              <w:bottom w:val="single" w:sz="4" w:space="0" w:color="auto"/>
              <w:right w:val="single" w:sz="4" w:space="0" w:color="auto"/>
            </w:tcBorders>
            <w:shd w:val="clear" w:color="auto" w:fill="auto"/>
            <w:vAlign w:val="center"/>
            <w:hideMark/>
          </w:tcPr>
          <w:p w14:paraId="2958EFB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JAVNO PODJETJE KOMUNALA RADEČE D.O.O.</w:t>
            </w:r>
          </w:p>
        </w:tc>
      </w:tr>
      <w:tr w:rsidR="00E3750C" w:rsidRPr="00415AB3" w14:paraId="39A2205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6C6913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437</w:t>
            </w:r>
          </w:p>
        </w:tc>
        <w:tc>
          <w:tcPr>
            <w:tcW w:w="705" w:type="pct"/>
            <w:tcBorders>
              <w:top w:val="nil"/>
              <w:left w:val="nil"/>
              <w:bottom w:val="single" w:sz="4" w:space="0" w:color="auto"/>
              <w:right w:val="single" w:sz="4" w:space="0" w:color="auto"/>
            </w:tcBorders>
            <w:shd w:val="clear" w:color="auto" w:fill="auto"/>
            <w:noWrap/>
            <w:vAlign w:val="center"/>
            <w:hideMark/>
          </w:tcPr>
          <w:p w14:paraId="3ABEE78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5072107000</w:t>
            </w:r>
          </w:p>
        </w:tc>
        <w:tc>
          <w:tcPr>
            <w:tcW w:w="547" w:type="pct"/>
            <w:tcBorders>
              <w:top w:val="nil"/>
              <w:left w:val="nil"/>
              <w:bottom w:val="single" w:sz="4" w:space="0" w:color="auto"/>
              <w:right w:val="single" w:sz="4" w:space="0" w:color="auto"/>
            </w:tcBorders>
            <w:shd w:val="clear" w:color="auto" w:fill="auto"/>
            <w:noWrap/>
            <w:vAlign w:val="center"/>
            <w:hideMark/>
          </w:tcPr>
          <w:p w14:paraId="48C5884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53440978</w:t>
            </w:r>
          </w:p>
        </w:tc>
        <w:tc>
          <w:tcPr>
            <w:tcW w:w="3360" w:type="pct"/>
            <w:tcBorders>
              <w:top w:val="nil"/>
              <w:left w:val="nil"/>
              <w:bottom w:val="single" w:sz="4" w:space="0" w:color="auto"/>
              <w:right w:val="single" w:sz="4" w:space="0" w:color="auto"/>
            </w:tcBorders>
            <w:shd w:val="clear" w:color="auto" w:fill="auto"/>
            <w:vAlign w:val="center"/>
            <w:hideMark/>
          </w:tcPr>
          <w:p w14:paraId="5D08E76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JAVNO PODJETJE KOMUNALA SLOVENJ GRADEC D.O.O.</w:t>
            </w:r>
          </w:p>
        </w:tc>
      </w:tr>
      <w:tr w:rsidR="00E3750C" w:rsidRPr="00415AB3" w14:paraId="6381491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BBEFC0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438</w:t>
            </w:r>
          </w:p>
        </w:tc>
        <w:tc>
          <w:tcPr>
            <w:tcW w:w="705" w:type="pct"/>
            <w:tcBorders>
              <w:top w:val="nil"/>
              <w:left w:val="nil"/>
              <w:bottom w:val="single" w:sz="4" w:space="0" w:color="auto"/>
              <w:right w:val="single" w:sz="4" w:space="0" w:color="auto"/>
            </w:tcBorders>
            <w:shd w:val="clear" w:color="auto" w:fill="auto"/>
            <w:noWrap/>
            <w:vAlign w:val="center"/>
            <w:hideMark/>
          </w:tcPr>
          <w:p w14:paraId="08D847C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8569061000</w:t>
            </w:r>
          </w:p>
        </w:tc>
        <w:tc>
          <w:tcPr>
            <w:tcW w:w="547" w:type="pct"/>
            <w:tcBorders>
              <w:top w:val="nil"/>
              <w:left w:val="nil"/>
              <w:bottom w:val="single" w:sz="4" w:space="0" w:color="auto"/>
              <w:right w:val="single" w:sz="4" w:space="0" w:color="auto"/>
            </w:tcBorders>
            <w:shd w:val="clear" w:color="auto" w:fill="auto"/>
            <w:noWrap/>
            <w:vAlign w:val="center"/>
            <w:hideMark/>
          </w:tcPr>
          <w:p w14:paraId="6C467AF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67105874</w:t>
            </w:r>
          </w:p>
        </w:tc>
        <w:tc>
          <w:tcPr>
            <w:tcW w:w="3360" w:type="pct"/>
            <w:tcBorders>
              <w:top w:val="nil"/>
              <w:left w:val="nil"/>
              <w:bottom w:val="single" w:sz="4" w:space="0" w:color="auto"/>
              <w:right w:val="single" w:sz="4" w:space="0" w:color="auto"/>
            </w:tcBorders>
            <w:shd w:val="clear" w:color="auto" w:fill="auto"/>
            <w:vAlign w:val="center"/>
            <w:hideMark/>
          </w:tcPr>
          <w:p w14:paraId="66E7BE6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JAVNO PODJETJE KOMUNALA ŠKOFJA LOKA D.O.O.</w:t>
            </w:r>
          </w:p>
        </w:tc>
      </w:tr>
      <w:tr w:rsidR="00E3750C" w:rsidRPr="00415AB3" w14:paraId="2847911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1DCF97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439</w:t>
            </w:r>
          </w:p>
        </w:tc>
        <w:tc>
          <w:tcPr>
            <w:tcW w:w="705" w:type="pct"/>
            <w:tcBorders>
              <w:top w:val="nil"/>
              <w:left w:val="nil"/>
              <w:bottom w:val="single" w:sz="4" w:space="0" w:color="auto"/>
              <w:right w:val="single" w:sz="4" w:space="0" w:color="auto"/>
            </w:tcBorders>
            <w:shd w:val="clear" w:color="auto" w:fill="auto"/>
            <w:noWrap/>
            <w:vAlign w:val="center"/>
            <w:hideMark/>
          </w:tcPr>
          <w:p w14:paraId="455B912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5015731000</w:t>
            </w:r>
          </w:p>
        </w:tc>
        <w:tc>
          <w:tcPr>
            <w:tcW w:w="547" w:type="pct"/>
            <w:tcBorders>
              <w:top w:val="nil"/>
              <w:left w:val="nil"/>
              <w:bottom w:val="single" w:sz="4" w:space="0" w:color="auto"/>
              <w:right w:val="single" w:sz="4" w:space="0" w:color="auto"/>
            </w:tcBorders>
            <w:shd w:val="clear" w:color="auto" w:fill="auto"/>
            <w:noWrap/>
            <w:vAlign w:val="center"/>
            <w:hideMark/>
          </w:tcPr>
          <w:p w14:paraId="64DCDBF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40870057</w:t>
            </w:r>
          </w:p>
        </w:tc>
        <w:tc>
          <w:tcPr>
            <w:tcW w:w="3360" w:type="pct"/>
            <w:tcBorders>
              <w:top w:val="nil"/>
              <w:left w:val="nil"/>
              <w:bottom w:val="single" w:sz="4" w:space="0" w:color="auto"/>
              <w:right w:val="single" w:sz="4" w:space="0" w:color="auto"/>
            </w:tcBorders>
            <w:shd w:val="clear" w:color="auto" w:fill="auto"/>
            <w:vAlign w:val="center"/>
            <w:hideMark/>
          </w:tcPr>
          <w:p w14:paraId="07F049B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JAVNO PODJETJE KOMUNALA TRBOVLJE D.O.O.</w:t>
            </w:r>
          </w:p>
        </w:tc>
      </w:tr>
      <w:tr w:rsidR="00E3750C" w:rsidRPr="00415AB3" w14:paraId="06784A4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C9538D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440</w:t>
            </w:r>
          </w:p>
        </w:tc>
        <w:tc>
          <w:tcPr>
            <w:tcW w:w="705" w:type="pct"/>
            <w:tcBorders>
              <w:top w:val="nil"/>
              <w:left w:val="nil"/>
              <w:bottom w:val="single" w:sz="4" w:space="0" w:color="auto"/>
              <w:right w:val="single" w:sz="4" w:space="0" w:color="auto"/>
            </w:tcBorders>
            <w:shd w:val="clear" w:color="auto" w:fill="auto"/>
            <w:noWrap/>
            <w:vAlign w:val="center"/>
            <w:hideMark/>
          </w:tcPr>
          <w:p w14:paraId="63B2F0D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2135655000</w:t>
            </w:r>
          </w:p>
        </w:tc>
        <w:tc>
          <w:tcPr>
            <w:tcW w:w="547" w:type="pct"/>
            <w:tcBorders>
              <w:top w:val="nil"/>
              <w:left w:val="nil"/>
              <w:bottom w:val="single" w:sz="4" w:space="0" w:color="auto"/>
              <w:right w:val="single" w:sz="4" w:space="0" w:color="auto"/>
            </w:tcBorders>
            <w:shd w:val="clear" w:color="auto" w:fill="auto"/>
            <w:noWrap/>
            <w:vAlign w:val="center"/>
            <w:hideMark/>
          </w:tcPr>
          <w:p w14:paraId="62CD51C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85158640</w:t>
            </w:r>
          </w:p>
        </w:tc>
        <w:tc>
          <w:tcPr>
            <w:tcW w:w="3360" w:type="pct"/>
            <w:tcBorders>
              <w:top w:val="nil"/>
              <w:left w:val="nil"/>
              <w:bottom w:val="single" w:sz="4" w:space="0" w:color="auto"/>
              <w:right w:val="single" w:sz="4" w:space="0" w:color="auto"/>
            </w:tcBorders>
            <w:shd w:val="clear" w:color="auto" w:fill="auto"/>
            <w:vAlign w:val="center"/>
            <w:hideMark/>
          </w:tcPr>
          <w:p w14:paraId="79C7F11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JAVNO PODJETJE KOMUNALA VODICE, D.O.O.</w:t>
            </w:r>
          </w:p>
        </w:tc>
      </w:tr>
      <w:tr w:rsidR="00E3750C" w:rsidRPr="00415AB3" w14:paraId="1AF559B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FC77B7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441</w:t>
            </w:r>
          </w:p>
        </w:tc>
        <w:tc>
          <w:tcPr>
            <w:tcW w:w="705" w:type="pct"/>
            <w:tcBorders>
              <w:top w:val="nil"/>
              <w:left w:val="nil"/>
              <w:bottom w:val="single" w:sz="4" w:space="0" w:color="auto"/>
              <w:right w:val="single" w:sz="4" w:space="0" w:color="auto"/>
            </w:tcBorders>
            <w:shd w:val="clear" w:color="auto" w:fill="auto"/>
            <w:noWrap/>
            <w:vAlign w:val="center"/>
            <w:hideMark/>
          </w:tcPr>
          <w:p w14:paraId="32D831A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5073103000</w:t>
            </w:r>
          </w:p>
        </w:tc>
        <w:tc>
          <w:tcPr>
            <w:tcW w:w="547" w:type="pct"/>
            <w:tcBorders>
              <w:top w:val="nil"/>
              <w:left w:val="nil"/>
              <w:bottom w:val="single" w:sz="4" w:space="0" w:color="auto"/>
              <w:right w:val="single" w:sz="4" w:space="0" w:color="auto"/>
            </w:tcBorders>
            <w:shd w:val="clear" w:color="auto" w:fill="auto"/>
            <w:noWrap/>
            <w:vAlign w:val="center"/>
            <w:hideMark/>
          </w:tcPr>
          <w:p w14:paraId="2AF516E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82253536</w:t>
            </w:r>
          </w:p>
        </w:tc>
        <w:tc>
          <w:tcPr>
            <w:tcW w:w="3360" w:type="pct"/>
            <w:tcBorders>
              <w:top w:val="nil"/>
              <w:left w:val="nil"/>
              <w:bottom w:val="single" w:sz="4" w:space="0" w:color="auto"/>
              <w:right w:val="single" w:sz="4" w:space="0" w:color="auto"/>
            </w:tcBorders>
            <w:shd w:val="clear" w:color="auto" w:fill="auto"/>
            <w:vAlign w:val="center"/>
            <w:hideMark/>
          </w:tcPr>
          <w:p w14:paraId="177C69D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JAVNO PODJETJE KOMUNALA ZAGORJE, D.O.O.</w:t>
            </w:r>
          </w:p>
        </w:tc>
      </w:tr>
      <w:tr w:rsidR="00E3750C" w:rsidRPr="00415AB3" w14:paraId="6A8ECFA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17F779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442</w:t>
            </w:r>
          </w:p>
        </w:tc>
        <w:tc>
          <w:tcPr>
            <w:tcW w:w="705" w:type="pct"/>
            <w:tcBorders>
              <w:top w:val="nil"/>
              <w:left w:val="nil"/>
              <w:bottom w:val="single" w:sz="4" w:space="0" w:color="auto"/>
              <w:right w:val="single" w:sz="4" w:space="0" w:color="auto"/>
            </w:tcBorders>
            <w:shd w:val="clear" w:color="auto" w:fill="auto"/>
            <w:noWrap/>
            <w:vAlign w:val="center"/>
            <w:hideMark/>
          </w:tcPr>
          <w:p w14:paraId="221B482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5221897000</w:t>
            </w:r>
          </w:p>
        </w:tc>
        <w:tc>
          <w:tcPr>
            <w:tcW w:w="547" w:type="pct"/>
            <w:tcBorders>
              <w:top w:val="nil"/>
              <w:left w:val="nil"/>
              <w:bottom w:val="single" w:sz="4" w:space="0" w:color="auto"/>
              <w:right w:val="single" w:sz="4" w:space="0" w:color="auto"/>
            </w:tcBorders>
            <w:shd w:val="clear" w:color="auto" w:fill="auto"/>
            <w:noWrap/>
            <w:vAlign w:val="center"/>
            <w:hideMark/>
          </w:tcPr>
          <w:p w14:paraId="0BABBC6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25344650</w:t>
            </w:r>
          </w:p>
        </w:tc>
        <w:tc>
          <w:tcPr>
            <w:tcW w:w="3360" w:type="pct"/>
            <w:tcBorders>
              <w:top w:val="nil"/>
              <w:left w:val="nil"/>
              <w:bottom w:val="single" w:sz="4" w:space="0" w:color="auto"/>
              <w:right w:val="single" w:sz="4" w:space="0" w:color="auto"/>
            </w:tcBorders>
            <w:shd w:val="clear" w:color="auto" w:fill="auto"/>
            <w:vAlign w:val="center"/>
            <w:hideMark/>
          </w:tcPr>
          <w:p w14:paraId="5667E37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JAVNO PODJETJE KOMUNALA, D.O.O. MOZIRJE</w:t>
            </w:r>
          </w:p>
        </w:tc>
      </w:tr>
      <w:tr w:rsidR="00E3750C" w:rsidRPr="00415AB3" w14:paraId="591FDCF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3C04D8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443</w:t>
            </w:r>
          </w:p>
        </w:tc>
        <w:tc>
          <w:tcPr>
            <w:tcW w:w="705" w:type="pct"/>
            <w:tcBorders>
              <w:top w:val="nil"/>
              <w:left w:val="nil"/>
              <w:bottom w:val="single" w:sz="4" w:space="0" w:color="auto"/>
              <w:right w:val="single" w:sz="4" w:space="0" w:color="auto"/>
            </w:tcBorders>
            <w:shd w:val="clear" w:color="auto" w:fill="auto"/>
            <w:noWrap/>
            <w:vAlign w:val="center"/>
            <w:hideMark/>
          </w:tcPr>
          <w:p w14:paraId="036BC99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5231787000</w:t>
            </w:r>
          </w:p>
        </w:tc>
        <w:tc>
          <w:tcPr>
            <w:tcW w:w="547" w:type="pct"/>
            <w:tcBorders>
              <w:top w:val="nil"/>
              <w:left w:val="nil"/>
              <w:bottom w:val="single" w:sz="4" w:space="0" w:color="auto"/>
              <w:right w:val="single" w:sz="4" w:space="0" w:color="auto"/>
            </w:tcBorders>
            <w:shd w:val="clear" w:color="auto" w:fill="auto"/>
            <w:noWrap/>
            <w:vAlign w:val="center"/>
            <w:hideMark/>
          </w:tcPr>
          <w:p w14:paraId="592104D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71747761</w:t>
            </w:r>
          </w:p>
        </w:tc>
        <w:tc>
          <w:tcPr>
            <w:tcW w:w="3360" w:type="pct"/>
            <w:tcBorders>
              <w:top w:val="nil"/>
              <w:left w:val="nil"/>
              <w:bottom w:val="single" w:sz="4" w:space="0" w:color="auto"/>
              <w:right w:val="single" w:sz="4" w:space="0" w:color="auto"/>
            </w:tcBorders>
            <w:shd w:val="clear" w:color="auto" w:fill="auto"/>
            <w:vAlign w:val="center"/>
            <w:hideMark/>
          </w:tcPr>
          <w:p w14:paraId="62C2756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JAVNO PODJETJE KOMUNALNA ENERGETIKA NOVA GORICA D.O.O.</w:t>
            </w:r>
          </w:p>
        </w:tc>
      </w:tr>
      <w:tr w:rsidR="00E3750C" w:rsidRPr="00415AB3" w14:paraId="7EABCB1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66BFD8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444</w:t>
            </w:r>
          </w:p>
        </w:tc>
        <w:tc>
          <w:tcPr>
            <w:tcW w:w="705" w:type="pct"/>
            <w:tcBorders>
              <w:top w:val="nil"/>
              <w:left w:val="nil"/>
              <w:bottom w:val="single" w:sz="4" w:space="0" w:color="auto"/>
              <w:right w:val="single" w:sz="4" w:space="0" w:color="auto"/>
            </w:tcBorders>
            <w:shd w:val="clear" w:color="auto" w:fill="auto"/>
            <w:noWrap/>
            <w:vAlign w:val="center"/>
            <w:hideMark/>
          </w:tcPr>
          <w:p w14:paraId="67EA77D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5827558000</w:t>
            </w:r>
          </w:p>
        </w:tc>
        <w:tc>
          <w:tcPr>
            <w:tcW w:w="547" w:type="pct"/>
            <w:tcBorders>
              <w:top w:val="nil"/>
              <w:left w:val="nil"/>
              <w:bottom w:val="single" w:sz="4" w:space="0" w:color="auto"/>
              <w:right w:val="single" w:sz="4" w:space="0" w:color="auto"/>
            </w:tcBorders>
            <w:shd w:val="clear" w:color="auto" w:fill="auto"/>
            <w:noWrap/>
            <w:vAlign w:val="center"/>
            <w:hideMark/>
          </w:tcPr>
          <w:p w14:paraId="2905463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88743926</w:t>
            </w:r>
          </w:p>
        </w:tc>
        <w:tc>
          <w:tcPr>
            <w:tcW w:w="3360" w:type="pct"/>
            <w:tcBorders>
              <w:top w:val="nil"/>
              <w:left w:val="nil"/>
              <w:bottom w:val="single" w:sz="4" w:space="0" w:color="auto"/>
              <w:right w:val="single" w:sz="4" w:space="0" w:color="auto"/>
            </w:tcBorders>
            <w:shd w:val="clear" w:color="auto" w:fill="auto"/>
            <w:vAlign w:val="center"/>
            <w:hideMark/>
          </w:tcPr>
          <w:p w14:paraId="4A64235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JAVNO PODJETJE KOMUNALNO PODJETJE LOGATEC, D.O.O.</w:t>
            </w:r>
          </w:p>
        </w:tc>
      </w:tr>
      <w:tr w:rsidR="00E3750C" w:rsidRPr="00415AB3" w14:paraId="4A0DCEA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F9C1EE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445</w:t>
            </w:r>
          </w:p>
        </w:tc>
        <w:tc>
          <w:tcPr>
            <w:tcW w:w="705" w:type="pct"/>
            <w:tcBorders>
              <w:top w:val="nil"/>
              <w:left w:val="nil"/>
              <w:bottom w:val="single" w:sz="4" w:space="0" w:color="auto"/>
              <w:right w:val="single" w:sz="4" w:space="0" w:color="auto"/>
            </w:tcBorders>
            <w:shd w:val="clear" w:color="auto" w:fill="auto"/>
            <w:noWrap/>
            <w:vAlign w:val="center"/>
            <w:hideMark/>
          </w:tcPr>
          <w:p w14:paraId="435B72F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5015707000</w:t>
            </w:r>
          </w:p>
        </w:tc>
        <w:tc>
          <w:tcPr>
            <w:tcW w:w="547" w:type="pct"/>
            <w:tcBorders>
              <w:top w:val="nil"/>
              <w:left w:val="nil"/>
              <w:bottom w:val="single" w:sz="4" w:space="0" w:color="auto"/>
              <w:right w:val="single" w:sz="4" w:space="0" w:color="auto"/>
            </w:tcBorders>
            <w:shd w:val="clear" w:color="auto" w:fill="auto"/>
            <w:noWrap/>
            <w:vAlign w:val="center"/>
            <w:hideMark/>
          </w:tcPr>
          <w:p w14:paraId="26574EA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75879611</w:t>
            </w:r>
          </w:p>
        </w:tc>
        <w:tc>
          <w:tcPr>
            <w:tcW w:w="3360" w:type="pct"/>
            <w:tcBorders>
              <w:top w:val="nil"/>
              <w:left w:val="nil"/>
              <w:bottom w:val="single" w:sz="4" w:space="0" w:color="auto"/>
              <w:right w:val="single" w:sz="4" w:space="0" w:color="auto"/>
            </w:tcBorders>
            <w:shd w:val="clear" w:color="auto" w:fill="auto"/>
            <w:vAlign w:val="center"/>
            <w:hideMark/>
          </w:tcPr>
          <w:p w14:paraId="7E70D7A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JAVNO PODJETJE KOMUNALNO PODJETJE VRHNIKA, D.O.O.</w:t>
            </w:r>
          </w:p>
        </w:tc>
      </w:tr>
      <w:tr w:rsidR="00E3750C" w:rsidRPr="00415AB3" w14:paraId="3E19974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EBCA95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446</w:t>
            </w:r>
          </w:p>
        </w:tc>
        <w:tc>
          <w:tcPr>
            <w:tcW w:w="705" w:type="pct"/>
            <w:tcBorders>
              <w:top w:val="nil"/>
              <w:left w:val="nil"/>
              <w:bottom w:val="single" w:sz="4" w:space="0" w:color="auto"/>
              <w:right w:val="single" w:sz="4" w:space="0" w:color="auto"/>
            </w:tcBorders>
            <w:shd w:val="clear" w:color="auto" w:fill="auto"/>
            <w:noWrap/>
            <w:vAlign w:val="center"/>
            <w:hideMark/>
          </w:tcPr>
          <w:p w14:paraId="76BA3B6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8608393000</w:t>
            </w:r>
          </w:p>
        </w:tc>
        <w:tc>
          <w:tcPr>
            <w:tcW w:w="547" w:type="pct"/>
            <w:tcBorders>
              <w:top w:val="nil"/>
              <w:left w:val="nil"/>
              <w:bottom w:val="single" w:sz="4" w:space="0" w:color="auto"/>
              <w:right w:val="single" w:sz="4" w:space="0" w:color="auto"/>
            </w:tcBorders>
            <w:shd w:val="clear" w:color="auto" w:fill="auto"/>
            <w:noWrap/>
            <w:vAlign w:val="center"/>
            <w:hideMark/>
          </w:tcPr>
          <w:p w14:paraId="61870BA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85629138</w:t>
            </w:r>
          </w:p>
        </w:tc>
        <w:tc>
          <w:tcPr>
            <w:tcW w:w="3360" w:type="pct"/>
            <w:tcBorders>
              <w:top w:val="nil"/>
              <w:left w:val="nil"/>
              <w:bottom w:val="single" w:sz="4" w:space="0" w:color="auto"/>
              <w:right w:val="single" w:sz="4" w:space="0" w:color="auto"/>
            </w:tcBorders>
            <w:shd w:val="clear" w:color="auto" w:fill="auto"/>
            <w:vAlign w:val="center"/>
            <w:hideMark/>
          </w:tcPr>
          <w:p w14:paraId="14D803E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JAVNO PODJETJE KOPRSKA PRISTANIŠKA PILOTAŽA D.O.O.</w:t>
            </w:r>
          </w:p>
        </w:tc>
      </w:tr>
      <w:tr w:rsidR="00E3750C" w:rsidRPr="00415AB3" w14:paraId="63C82A6A"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6CD054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447</w:t>
            </w:r>
          </w:p>
        </w:tc>
        <w:tc>
          <w:tcPr>
            <w:tcW w:w="705" w:type="pct"/>
            <w:tcBorders>
              <w:top w:val="nil"/>
              <w:left w:val="nil"/>
              <w:bottom w:val="single" w:sz="4" w:space="0" w:color="auto"/>
              <w:right w:val="single" w:sz="4" w:space="0" w:color="auto"/>
            </w:tcBorders>
            <w:shd w:val="clear" w:color="auto" w:fill="auto"/>
            <w:noWrap/>
            <w:vAlign w:val="center"/>
            <w:hideMark/>
          </w:tcPr>
          <w:p w14:paraId="3251A05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5015367000</w:t>
            </w:r>
          </w:p>
        </w:tc>
        <w:tc>
          <w:tcPr>
            <w:tcW w:w="547" w:type="pct"/>
            <w:tcBorders>
              <w:top w:val="nil"/>
              <w:left w:val="nil"/>
              <w:bottom w:val="single" w:sz="4" w:space="0" w:color="auto"/>
              <w:right w:val="single" w:sz="4" w:space="0" w:color="auto"/>
            </w:tcBorders>
            <w:shd w:val="clear" w:color="auto" w:fill="auto"/>
            <w:noWrap/>
            <w:vAlign w:val="center"/>
            <w:hideMark/>
          </w:tcPr>
          <w:p w14:paraId="0080C7C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17322057</w:t>
            </w:r>
          </w:p>
        </w:tc>
        <w:tc>
          <w:tcPr>
            <w:tcW w:w="3360" w:type="pct"/>
            <w:tcBorders>
              <w:top w:val="nil"/>
              <w:left w:val="nil"/>
              <w:bottom w:val="single" w:sz="4" w:space="0" w:color="auto"/>
              <w:right w:val="single" w:sz="4" w:space="0" w:color="auto"/>
            </w:tcBorders>
            <w:shd w:val="clear" w:color="auto" w:fill="auto"/>
            <w:vAlign w:val="center"/>
            <w:hideMark/>
          </w:tcPr>
          <w:p w14:paraId="677DE50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JAVNO PODJETJE KOVOD POSTOJNA, VODOVOD, KANALIZACIJA, D.O.O., POSTOJNA</w:t>
            </w:r>
          </w:p>
        </w:tc>
      </w:tr>
      <w:tr w:rsidR="00E3750C" w:rsidRPr="00415AB3" w14:paraId="40F8AC6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11006E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448</w:t>
            </w:r>
          </w:p>
        </w:tc>
        <w:tc>
          <w:tcPr>
            <w:tcW w:w="705" w:type="pct"/>
            <w:tcBorders>
              <w:top w:val="nil"/>
              <w:left w:val="nil"/>
              <w:bottom w:val="single" w:sz="4" w:space="0" w:color="auto"/>
              <w:right w:val="single" w:sz="4" w:space="0" w:color="auto"/>
            </w:tcBorders>
            <w:shd w:val="clear" w:color="auto" w:fill="auto"/>
            <w:noWrap/>
            <w:vAlign w:val="center"/>
            <w:hideMark/>
          </w:tcPr>
          <w:p w14:paraId="2EE51F4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5072999000</w:t>
            </w:r>
          </w:p>
        </w:tc>
        <w:tc>
          <w:tcPr>
            <w:tcW w:w="547" w:type="pct"/>
            <w:tcBorders>
              <w:top w:val="nil"/>
              <w:left w:val="nil"/>
              <w:bottom w:val="single" w:sz="4" w:space="0" w:color="auto"/>
              <w:right w:val="single" w:sz="4" w:space="0" w:color="auto"/>
            </w:tcBorders>
            <w:shd w:val="clear" w:color="auto" w:fill="auto"/>
            <w:noWrap/>
            <w:vAlign w:val="center"/>
            <w:hideMark/>
          </w:tcPr>
          <w:p w14:paraId="26ED1D4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89997271</w:t>
            </w:r>
          </w:p>
        </w:tc>
        <w:tc>
          <w:tcPr>
            <w:tcW w:w="3360" w:type="pct"/>
            <w:tcBorders>
              <w:top w:val="nil"/>
              <w:left w:val="nil"/>
              <w:bottom w:val="single" w:sz="4" w:space="0" w:color="auto"/>
              <w:right w:val="single" w:sz="4" w:space="0" w:color="auto"/>
            </w:tcBorders>
            <w:shd w:val="clear" w:color="auto" w:fill="auto"/>
            <w:vAlign w:val="center"/>
            <w:hideMark/>
          </w:tcPr>
          <w:p w14:paraId="7189727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JAVNO PODJETJE KRAŠKI VODOVOD SEŽANA D.O.O.</w:t>
            </w:r>
          </w:p>
        </w:tc>
      </w:tr>
      <w:tr w:rsidR="00E3750C" w:rsidRPr="00415AB3" w14:paraId="020743D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EFB94D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449</w:t>
            </w:r>
          </w:p>
        </w:tc>
        <w:tc>
          <w:tcPr>
            <w:tcW w:w="705" w:type="pct"/>
            <w:tcBorders>
              <w:top w:val="nil"/>
              <w:left w:val="nil"/>
              <w:bottom w:val="single" w:sz="4" w:space="0" w:color="auto"/>
              <w:right w:val="single" w:sz="4" w:space="0" w:color="auto"/>
            </w:tcBorders>
            <w:shd w:val="clear" w:color="auto" w:fill="auto"/>
            <w:noWrap/>
            <w:vAlign w:val="center"/>
            <w:hideMark/>
          </w:tcPr>
          <w:p w14:paraId="3488A06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5607906000</w:t>
            </w:r>
          </w:p>
        </w:tc>
        <w:tc>
          <w:tcPr>
            <w:tcW w:w="547" w:type="pct"/>
            <w:tcBorders>
              <w:top w:val="nil"/>
              <w:left w:val="nil"/>
              <w:bottom w:val="single" w:sz="4" w:space="0" w:color="auto"/>
              <w:right w:val="single" w:sz="4" w:space="0" w:color="auto"/>
            </w:tcBorders>
            <w:shd w:val="clear" w:color="auto" w:fill="auto"/>
            <w:noWrap/>
            <w:vAlign w:val="center"/>
            <w:hideMark/>
          </w:tcPr>
          <w:p w14:paraId="787EECD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50652613</w:t>
            </w:r>
          </w:p>
        </w:tc>
        <w:tc>
          <w:tcPr>
            <w:tcW w:w="3360" w:type="pct"/>
            <w:tcBorders>
              <w:top w:val="nil"/>
              <w:left w:val="nil"/>
              <w:bottom w:val="single" w:sz="4" w:space="0" w:color="auto"/>
              <w:right w:val="single" w:sz="4" w:space="0" w:color="auto"/>
            </w:tcBorders>
            <w:shd w:val="clear" w:color="auto" w:fill="auto"/>
            <w:vAlign w:val="center"/>
            <w:hideMark/>
          </w:tcPr>
          <w:p w14:paraId="3850778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JAVNO PODJETJE LJUBLJANSKA PARKIRIŠČA IN TRŽNICE, D.O.O.</w:t>
            </w:r>
          </w:p>
        </w:tc>
      </w:tr>
      <w:tr w:rsidR="00E3750C" w:rsidRPr="00415AB3" w14:paraId="208DD50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BC2BDB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450</w:t>
            </w:r>
          </w:p>
        </w:tc>
        <w:tc>
          <w:tcPr>
            <w:tcW w:w="705" w:type="pct"/>
            <w:tcBorders>
              <w:top w:val="nil"/>
              <w:left w:val="nil"/>
              <w:bottom w:val="single" w:sz="4" w:space="0" w:color="auto"/>
              <w:right w:val="single" w:sz="4" w:space="0" w:color="auto"/>
            </w:tcBorders>
            <w:shd w:val="clear" w:color="auto" w:fill="auto"/>
            <w:noWrap/>
            <w:vAlign w:val="center"/>
            <w:hideMark/>
          </w:tcPr>
          <w:p w14:paraId="28F3EB5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5222966000</w:t>
            </w:r>
          </w:p>
        </w:tc>
        <w:tc>
          <w:tcPr>
            <w:tcW w:w="547" w:type="pct"/>
            <w:tcBorders>
              <w:top w:val="nil"/>
              <w:left w:val="nil"/>
              <w:bottom w:val="single" w:sz="4" w:space="0" w:color="auto"/>
              <w:right w:val="single" w:sz="4" w:space="0" w:color="auto"/>
            </w:tcBorders>
            <w:shd w:val="clear" w:color="auto" w:fill="auto"/>
            <w:noWrap/>
            <w:vAlign w:val="center"/>
            <w:hideMark/>
          </w:tcPr>
          <w:p w14:paraId="3097863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66742790</w:t>
            </w:r>
          </w:p>
        </w:tc>
        <w:tc>
          <w:tcPr>
            <w:tcW w:w="3360" w:type="pct"/>
            <w:tcBorders>
              <w:top w:val="nil"/>
              <w:left w:val="nil"/>
              <w:bottom w:val="single" w:sz="4" w:space="0" w:color="auto"/>
              <w:right w:val="single" w:sz="4" w:space="0" w:color="auto"/>
            </w:tcBorders>
            <w:shd w:val="clear" w:color="auto" w:fill="auto"/>
            <w:vAlign w:val="center"/>
            <w:hideMark/>
          </w:tcPr>
          <w:p w14:paraId="400525F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JAVNO PODJETJE LJUBLJANSKI POTNIŠKI PROMET, D.O.O.</w:t>
            </w:r>
          </w:p>
        </w:tc>
      </w:tr>
      <w:tr w:rsidR="00E3750C" w:rsidRPr="00415AB3" w14:paraId="326469D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C329A7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451</w:t>
            </w:r>
          </w:p>
        </w:tc>
        <w:tc>
          <w:tcPr>
            <w:tcW w:w="705" w:type="pct"/>
            <w:tcBorders>
              <w:top w:val="nil"/>
              <w:left w:val="nil"/>
              <w:bottom w:val="single" w:sz="4" w:space="0" w:color="auto"/>
              <w:right w:val="single" w:sz="4" w:space="0" w:color="auto"/>
            </w:tcBorders>
            <w:shd w:val="clear" w:color="auto" w:fill="auto"/>
            <w:noWrap/>
            <w:vAlign w:val="center"/>
            <w:hideMark/>
          </w:tcPr>
          <w:p w14:paraId="3C5D1CD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5066310000</w:t>
            </w:r>
          </w:p>
        </w:tc>
        <w:tc>
          <w:tcPr>
            <w:tcW w:w="547" w:type="pct"/>
            <w:tcBorders>
              <w:top w:val="nil"/>
              <w:left w:val="nil"/>
              <w:bottom w:val="single" w:sz="4" w:space="0" w:color="auto"/>
              <w:right w:val="single" w:sz="4" w:space="0" w:color="auto"/>
            </w:tcBorders>
            <w:shd w:val="clear" w:color="auto" w:fill="auto"/>
            <w:noWrap/>
            <w:vAlign w:val="center"/>
            <w:hideMark/>
          </w:tcPr>
          <w:p w14:paraId="5B28ABA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71083715</w:t>
            </w:r>
          </w:p>
        </w:tc>
        <w:tc>
          <w:tcPr>
            <w:tcW w:w="3360" w:type="pct"/>
            <w:tcBorders>
              <w:top w:val="nil"/>
              <w:left w:val="nil"/>
              <w:bottom w:val="single" w:sz="4" w:space="0" w:color="auto"/>
              <w:right w:val="single" w:sz="4" w:space="0" w:color="auto"/>
            </w:tcBorders>
            <w:shd w:val="clear" w:color="auto" w:fill="auto"/>
            <w:vAlign w:val="center"/>
            <w:hideMark/>
          </w:tcPr>
          <w:p w14:paraId="424D814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JAVNO PODJETJE NIGRAD, KOMUNALNO PODJETJE, D. O. O.</w:t>
            </w:r>
          </w:p>
        </w:tc>
      </w:tr>
      <w:tr w:rsidR="00E3750C" w:rsidRPr="00415AB3" w14:paraId="3BFFD7A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13C2A2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452</w:t>
            </w:r>
          </w:p>
        </w:tc>
        <w:tc>
          <w:tcPr>
            <w:tcW w:w="705" w:type="pct"/>
            <w:tcBorders>
              <w:top w:val="nil"/>
              <w:left w:val="nil"/>
              <w:bottom w:val="single" w:sz="4" w:space="0" w:color="auto"/>
              <w:right w:val="single" w:sz="4" w:space="0" w:color="auto"/>
            </w:tcBorders>
            <w:shd w:val="clear" w:color="auto" w:fill="auto"/>
            <w:noWrap/>
            <w:vAlign w:val="center"/>
            <w:hideMark/>
          </w:tcPr>
          <w:p w14:paraId="0C2AE37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5105633000</w:t>
            </w:r>
          </w:p>
        </w:tc>
        <w:tc>
          <w:tcPr>
            <w:tcW w:w="547" w:type="pct"/>
            <w:tcBorders>
              <w:top w:val="nil"/>
              <w:left w:val="nil"/>
              <w:bottom w:val="single" w:sz="4" w:space="0" w:color="auto"/>
              <w:right w:val="single" w:sz="4" w:space="0" w:color="auto"/>
            </w:tcBorders>
            <w:shd w:val="clear" w:color="auto" w:fill="auto"/>
            <w:noWrap/>
            <w:vAlign w:val="center"/>
            <w:hideMark/>
          </w:tcPr>
          <w:p w14:paraId="6465A51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73819174</w:t>
            </w:r>
          </w:p>
        </w:tc>
        <w:tc>
          <w:tcPr>
            <w:tcW w:w="3360" w:type="pct"/>
            <w:tcBorders>
              <w:top w:val="nil"/>
              <w:left w:val="nil"/>
              <w:bottom w:val="single" w:sz="4" w:space="0" w:color="auto"/>
              <w:right w:val="single" w:sz="4" w:space="0" w:color="auto"/>
            </w:tcBorders>
            <w:shd w:val="clear" w:color="auto" w:fill="auto"/>
            <w:vAlign w:val="center"/>
            <w:hideMark/>
          </w:tcPr>
          <w:p w14:paraId="2A7A970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JAVNO PODJETJE OKOLJE PIRAN, D.O.O.</w:t>
            </w:r>
          </w:p>
        </w:tc>
      </w:tr>
      <w:tr w:rsidR="00E3750C" w:rsidRPr="00415AB3" w14:paraId="34C5CB8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10211A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453</w:t>
            </w:r>
          </w:p>
        </w:tc>
        <w:tc>
          <w:tcPr>
            <w:tcW w:w="705" w:type="pct"/>
            <w:tcBorders>
              <w:top w:val="nil"/>
              <w:left w:val="nil"/>
              <w:bottom w:val="single" w:sz="4" w:space="0" w:color="auto"/>
              <w:right w:val="single" w:sz="4" w:space="0" w:color="auto"/>
            </w:tcBorders>
            <w:shd w:val="clear" w:color="auto" w:fill="auto"/>
            <w:noWrap/>
            <w:vAlign w:val="center"/>
            <w:hideMark/>
          </w:tcPr>
          <w:p w14:paraId="276B9BD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3637905000</w:t>
            </w:r>
          </w:p>
        </w:tc>
        <w:tc>
          <w:tcPr>
            <w:tcW w:w="547" w:type="pct"/>
            <w:tcBorders>
              <w:top w:val="nil"/>
              <w:left w:val="nil"/>
              <w:bottom w:val="single" w:sz="4" w:space="0" w:color="auto"/>
              <w:right w:val="single" w:sz="4" w:space="0" w:color="auto"/>
            </w:tcBorders>
            <w:shd w:val="clear" w:color="auto" w:fill="auto"/>
            <w:noWrap/>
            <w:vAlign w:val="center"/>
            <w:hideMark/>
          </w:tcPr>
          <w:p w14:paraId="66466A1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34813144</w:t>
            </w:r>
          </w:p>
        </w:tc>
        <w:tc>
          <w:tcPr>
            <w:tcW w:w="3360" w:type="pct"/>
            <w:tcBorders>
              <w:top w:val="nil"/>
              <w:left w:val="nil"/>
              <w:bottom w:val="single" w:sz="4" w:space="0" w:color="auto"/>
              <w:right w:val="single" w:sz="4" w:space="0" w:color="auto"/>
            </w:tcBorders>
            <w:shd w:val="clear" w:color="auto" w:fill="auto"/>
            <w:vAlign w:val="center"/>
            <w:hideMark/>
          </w:tcPr>
          <w:p w14:paraId="3660A5C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JAVNO PODJETJE PRLEKIJA D.O.O.</w:t>
            </w:r>
          </w:p>
        </w:tc>
      </w:tr>
      <w:tr w:rsidR="00E3750C" w:rsidRPr="00415AB3" w14:paraId="761937DF"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31E691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454</w:t>
            </w:r>
          </w:p>
        </w:tc>
        <w:tc>
          <w:tcPr>
            <w:tcW w:w="705" w:type="pct"/>
            <w:tcBorders>
              <w:top w:val="nil"/>
              <w:left w:val="nil"/>
              <w:bottom w:val="single" w:sz="4" w:space="0" w:color="auto"/>
              <w:right w:val="single" w:sz="4" w:space="0" w:color="auto"/>
            </w:tcBorders>
            <w:shd w:val="clear" w:color="auto" w:fill="auto"/>
            <w:noWrap/>
            <w:vAlign w:val="center"/>
            <w:hideMark/>
          </w:tcPr>
          <w:p w14:paraId="60B1754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5067855000</w:t>
            </w:r>
          </w:p>
        </w:tc>
        <w:tc>
          <w:tcPr>
            <w:tcW w:w="547" w:type="pct"/>
            <w:tcBorders>
              <w:top w:val="nil"/>
              <w:left w:val="nil"/>
              <w:bottom w:val="single" w:sz="4" w:space="0" w:color="auto"/>
              <w:right w:val="single" w:sz="4" w:space="0" w:color="auto"/>
            </w:tcBorders>
            <w:shd w:val="clear" w:color="auto" w:fill="auto"/>
            <w:noWrap/>
            <w:vAlign w:val="center"/>
            <w:hideMark/>
          </w:tcPr>
          <w:p w14:paraId="12ED4FA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22223576</w:t>
            </w:r>
          </w:p>
        </w:tc>
        <w:tc>
          <w:tcPr>
            <w:tcW w:w="3360" w:type="pct"/>
            <w:tcBorders>
              <w:top w:val="nil"/>
              <w:left w:val="nil"/>
              <w:bottom w:val="single" w:sz="4" w:space="0" w:color="auto"/>
              <w:right w:val="single" w:sz="4" w:space="0" w:color="auto"/>
            </w:tcBorders>
            <w:shd w:val="clear" w:color="auto" w:fill="auto"/>
            <w:vAlign w:val="center"/>
            <w:hideMark/>
          </w:tcPr>
          <w:p w14:paraId="3514B2B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JAVNO PODJETJE SNAGA, PODJETJE ZA RAVNANJE Z ODPADKI IN DRUGE KOMUNALNE STORITVE, D.O.O.</w:t>
            </w:r>
          </w:p>
        </w:tc>
      </w:tr>
      <w:tr w:rsidR="00E3750C" w:rsidRPr="00415AB3" w14:paraId="457290C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0816FF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455</w:t>
            </w:r>
          </w:p>
        </w:tc>
        <w:tc>
          <w:tcPr>
            <w:tcW w:w="705" w:type="pct"/>
            <w:tcBorders>
              <w:top w:val="nil"/>
              <w:left w:val="nil"/>
              <w:bottom w:val="single" w:sz="4" w:space="0" w:color="auto"/>
              <w:right w:val="single" w:sz="4" w:space="0" w:color="auto"/>
            </w:tcBorders>
            <w:shd w:val="clear" w:color="auto" w:fill="auto"/>
            <w:noWrap/>
            <w:vAlign w:val="center"/>
            <w:hideMark/>
          </w:tcPr>
          <w:p w14:paraId="40B0CCE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5033284000</w:t>
            </w:r>
          </w:p>
        </w:tc>
        <w:tc>
          <w:tcPr>
            <w:tcW w:w="547" w:type="pct"/>
            <w:tcBorders>
              <w:top w:val="nil"/>
              <w:left w:val="nil"/>
              <w:bottom w:val="single" w:sz="4" w:space="0" w:color="auto"/>
              <w:right w:val="single" w:sz="4" w:space="0" w:color="auto"/>
            </w:tcBorders>
            <w:shd w:val="clear" w:color="auto" w:fill="auto"/>
            <w:noWrap/>
            <w:vAlign w:val="center"/>
            <w:hideMark/>
          </w:tcPr>
          <w:p w14:paraId="59B20EB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85360040</w:t>
            </w:r>
          </w:p>
        </w:tc>
        <w:tc>
          <w:tcPr>
            <w:tcW w:w="3360" w:type="pct"/>
            <w:tcBorders>
              <w:top w:val="nil"/>
              <w:left w:val="nil"/>
              <w:bottom w:val="single" w:sz="4" w:space="0" w:color="auto"/>
              <w:right w:val="single" w:sz="4" w:space="0" w:color="auto"/>
            </w:tcBorders>
            <w:shd w:val="clear" w:color="auto" w:fill="auto"/>
            <w:vAlign w:val="center"/>
            <w:hideMark/>
          </w:tcPr>
          <w:p w14:paraId="1EEB56E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JAVNO PODJETJE URADNI LIST REPUBLIKE SLOVENIJE, D.O.O.</w:t>
            </w:r>
          </w:p>
        </w:tc>
      </w:tr>
      <w:tr w:rsidR="00E3750C" w:rsidRPr="00415AB3" w14:paraId="1C95A12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728CB2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456</w:t>
            </w:r>
          </w:p>
        </w:tc>
        <w:tc>
          <w:tcPr>
            <w:tcW w:w="705" w:type="pct"/>
            <w:tcBorders>
              <w:top w:val="nil"/>
              <w:left w:val="nil"/>
              <w:bottom w:val="single" w:sz="4" w:space="0" w:color="auto"/>
              <w:right w:val="single" w:sz="4" w:space="0" w:color="auto"/>
            </w:tcBorders>
            <w:shd w:val="clear" w:color="auto" w:fill="auto"/>
            <w:noWrap/>
            <w:vAlign w:val="center"/>
            <w:hideMark/>
          </w:tcPr>
          <w:p w14:paraId="53058A9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5046688000</w:t>
            </w:r>
          </w:p>
        </w:tc>
        <w:tc>
          <w:tcPr>
            <w:tcW w:w="547" w:type="pct"/>
            <w:tcBorders>
              <w:top w:val="nil"/>
              <w:left w:val="nil"/>
              <w:bottom w:val="single" w:sz="4" w:space="0" w:color="auto"/>
              <w:right w:val="single" w:sz="4" w:space="0" w:color="auto"/>
            </w:tcBorders>
            <w:shd w:val="clear" w:color="auto" w:fill="auto"/>
            <w:noWrap/>
            <w:vAlign w:val="center"/>
            <w:hideMark/>
          </w:tcPr>
          <w:p w14:paraId="16A3191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64520463</w:t>
            </w:r>
          </w:p>
        </w:tc>
        <w:tc>
          <w:tcPr>
            <w:tcW w:w="3360" w:type="pct"/>
            <w:tcBorders>
              <w:top w:val="nil"/>
              <w:left w:val="nil"/>
              <w:bottom w:val="single" w:sz="4" w:space="0" w:color="auto"/>
              <w:right w:val="single" w:sz="4" w:space="0" w:color="auto"/>
            </w:tcBorders>
            <w:shd w:val="clear" w:color="auto" w:fill="auto"/>
            <w:vAlign w:val="center"/>
            <w:hideMark/>
          </w:tcPr>
          <w:p w14:paraId="0A05D3A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JAVNO PODJETJE VODOVOD KANALIZACIJA SNAGA D.O.O.</w:t>
            </w:r>
          </w:p>
        </w:tc>
      </w:tr>
      <w:tr w:rsidR="00E3750C" w:rsidRPr="00415AB3" w14:paraId="7847425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3536BA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457</w:t>
            </w:r>
          </w:p>
        </w:tc>
        <w:tc>
          <w:tcPr>
            <w:tcW w:w="705" w:type="pct"/>
            <w:tcBorders>
              <w:top w:val="nil"/>
              <w:left w:val="nil"/>
              <w:bottom w:val="single" w:sz="4" w:space="0" w:color="auto"/>
              <w:right w:val="single" w:sz="4" w:space="0" w:color="auto"/>
            </w:tcBorders>
            <w:shd w:val="clear" w:color="auto" w:fill="auto"/>
            <w:noWrap/>
            <w:vAlign w:val="center"/>
            <w:hideMark/>
          </w:tcPr>
          <w:p w14:paraId="2256628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6564178000</w:t>
            </w:r>
          </w:p>
        </w:tc>
        <w:tc>
          <w:tcPr>
            <w:tcW w:w="547" w:type="pct"/>
            <w:tcBorders>
              <w:top w:val="nil"/>
              <w:left w:val="nil"/>
              <w:bottom w:val="single" w:sz="4" w:space="0" w:color="auto"/>
              <w:right w:val="single" w:sz="4" w:space="0" w:color="auto"/>
            </w:tcBorders>
            <w:shd w:val="clear" w:color="auto" w:fill="auto"/>
            <w:noWrap/>
            <w:vAlign w:val="center"/>
            <w:hideMark/>
          </w:tcPr>
          <w:p w14:paraId="670F967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64838595</w:t>
            </w:r>
          </w:p>
        </w:tc>
        <w:tc>
          <w:tcPr>
            <w:tcW w:w="3360" w:type="pct"/>
            <w:tcBorders>
              <w:top w:val="nil"/>
              <w:left w:val="nil"/>
              <w:bottom w:val="single" w:sz="4" w:space="0" w:color="auto"/>
              <w:right w:val="single" w:sz="4" w:space="0" w:color="auto"/>
            </w:tcBorders>
            <w:shd w:val="clear" w:color="auto" w:fill="auto"/>
            <w:vAlign w:val="center"/>
            <w:hideMark/>
          </w:tcPr>
          <w:p w14:paraId="5C0CF60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JAVNO PODJETJE VODOVOD SISTEMA B D.O.O.</w:t>
            </w:r>
          </w:p>
        </w:tc>
      </w:tr>
      <w:tr w:rsidR="00E3750C" w:rsidRPr="00415AB3" w14:paraId="4AAD7D8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0C998C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458</w:t>
            </w:r>
          </w:p>
        </w:tc>
        <w:tc>
          <w:tcPr>
            <w:tcW w:w="705" w:type="pct"/>
            <w:tcBorders>
              <w:top w:val="nil"/>
              <w:left w:val="nil"/>
              <w:bottom w:val="single" w:sz="4" w:space="0" w:color="auto"/>
              <w:right w:val="single" w:sz="4" w:space="0" w:color="auto"/>
            </w:tcBorders>
            <w:shd w:val="clear" w:color="auto" w:fill="auto"/>
            <w:noWrap/>
            <w:vAlign w:val="center"/>
            <w:hideMark/>
          </w:tcPr>
          <w:p w14:paraId="30F66CD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3992071000</w:t>
            </w:r>
          </w:p>
        </w:tc>
        <w:tc>
          <w:tcPr>
            <w:tcW w:w="547" w:type="pct"/>
            <w:tcBorders>
              <w:top w:val="nil"/>
              <w:left w:val="nil"/>
              <w:bottom w:val="single" w:sz="4" w:space="0" w:color="auto"/>
              <w:right w:val="single" w:sz="4" w:space="0" w:color="auto"/>
            </w:tcBorders>
            <w:shd w:val="clear" w:color="auto" w:fill="auto"/>
            <w:noWrap/>
            <w:vAlign w:val="center"/>
            <w:hideMark/>
          </w:tcPr>
          <w:p w14:paraId="78BA8BE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92859976</w:t>
            </w:r>
          </w:p>
        </w:tc>
        <w:tc>
          <w:tcPr>
            <w:tcW w:w="3360" w:type="pct"/>
            <w:tcBorders>
              <w:top w:val="nil"/>
              <w:left w:val="nil"/>
              <w:bottom w:val="single" w:sz="4" w:space="0" w:color="auto"/>
              <w:right w:val="single" w:sz="4" w:space="0" w:color="auto"/>
            </w:tcBorders>
            <w:shd w:val="clear" w:color="auto" w:fill="auto"/>
            <w:vAlign w:val="center"/>
            <w:hideMark/>
          </w:tcPr>
          <w:p w14:paraId="279643A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JAVNO PODJETJE ZA MESTNI POTNIŠKI PROMET MARPROM, D.O.O.</w:t>
            </w:r>
          </w:p>
        </w:tc>
      </w:tr>
      <w:tr w:rsidR="00E3750C" w:rsidRPr="00415AB3" w14:paraId="2C968C76"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CB5C8E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459</w:t>
            </w:r>
          </w:p>
        </w:tc>
        <w:tc>
          <w:tcPr>
            <w:tcW w:w="705" w:type="pct"/>
            <w:tcBorders>
              <w:top w:val="nil"/>
              <w:left w:val="nil"/>
              <w:bottom w:val="single" w:sz="4" w:space="0" w:color="auto"/>
              <w:right w:val="single" w:sz="4" w:space="0" w:color="auto"/>
            </w:tcBorders>
            <w:shd w:val="clear" w:color="auto" w:fill="auto"/>
            <w:noWrap/>
            <w:vAlign w:val="center"/>
            <w:hideMark/>
          </w:tcPr>
          <w:p w14:paraId="64E8775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8035440000</w:t>
            </w:r>
          </w:p>
        </w:tc>
        <w:tc>
          <w:tcPr>
            <w:tcW w:w="547" w:type="pct"/>
            <w:tcBorders>
              <w:top w:val="nil"/>
              <w:left w:val="nil"/>
              <w:bottom w:val="single" w:sz="4" w:space="0" w:color="auto"/>
              <w:right w:val="single" w:sz="4" w:space="0" w:color="auto"/>
            </w:tcBorders>
            <w:shd w:val="clear" w:color="auto" w:fill="auto"/>
            <w:noWrap/>
            <w:vAlign w:val="center"/>
            <w:hideMark/>
          </w:tcPr>
          <w:p w14:paraId="453649F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18572073</w:t>
            </w:r>
          </w:p>
        </w:tc>
        <w:tc>
          <w:tcPr>
            <w:tcW w:w="3360" w:type="pct"/>
            <w:tcBorders>
              <w:top w:val="nil"/>
              <w:left w:val="nil"/>
              <w:bottom w:val="single" w:sz="4" w:space="0" w:color="auto"/>
              <w:right w:val="single" w:sz="4" w:space="0" w:color="auto"/>
            </w:tcBorders>
            <w:shd w:val="clear" w:color="auto" w:fill="auto"/>
            <w:vAlign w:val="center"/>
            <w:hideMark/>
          </w:tcPr>
          <w:p w14:paraId="4EBFBBD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JAVNO PODJETJE ZA PROIZVODNJO IN DOBAVO TOPLOTNE ENERGIJE DOLB BOVEC D.O.O.</w:t>
            </w:r>
          </w:p>
        </w:tc>
      </w:tr>
      <w:tr w:rsidR="00E3750C" w:rsidRPr="00415AB3" w14:paraId="7B3330D6"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69764C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460</w:t>
            </w:r>
          </w:p>
        </w:tc>
        <w:tc>
          <w:tcPr>
            <w:tcW w:w="705" w:type="pct"/>
            <w:tcBorders>
              <w:top w:val="nil"/>
              <w:left w:val="nil"/>
              <w:bottom w:val="single" w:sz="4" w:space="0" w:color="auto"/>
              <w:right w:val="single" w:sz="4" w:space="0" w:color="auto"/>
            </w:tcBorders>
            <w:shd w:val="clear" w:color="auto" w:fill="auto"/>
            <w:noWrap/>
            <w:vAlign w:val="center"/>
            <w:hideMark/>
          </w:tcPr>
          <w:p w14:paraId="1902254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8557217000</w:t>
            </w:r>
          </w:p>
        </w:tc>
        <w:tc>
          <w:tcPr>
            <w:tcW w:w="547" w:type="pct"/>
            <w:tcBorders>
              <w:top w:val="nil"/>
              <w:left w:val="nil"/>
              <w:bottom w:val="single" w:sz="4" w:space="0" w:color="auto"/>
              <w:right w:val="single" w:sz="4" w:space="0" w:color="auto"/>
            </w:tcBorders>
            <w:shd w:val="clear" w:color="auto" w:fill="auto"/>
            <w:noWrap/>
            <w:vAlign w:val="center"/>
            <w:hideMark/>
          </w:tcPr>
          <w:p w14:paraId="025DA9E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85060453</w:t>
            </w:r>
          </w:p>
        </w:tc>
        <w:tc>
          <w:tcPr>
            <w:tcW w:w="3360" w:type="pct"/>
            <w:tcBorders>
              <w:top w:val="nil"/>
              <w:left w:val="nil"/>
              <w:bottom w:val="single" w:sz="4" w:space="0" w:color="auto"/>
              <w:right w:val="single" w:sz="4" w:space="0" w:color="auto"/>
            </w:tcBorders>
            <w:shd w:val="clear" w:color="auto" w:fill="auto"/>
            <w:vAlign w:val="center"/>
            <w:hideMark/>
          </w:tcPr>
          <w:p w14:paraId="5E4AEB5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JAVNO PODJETJE ZELENICE, DRUŽBA ZA UREJANJE ZELENIH IN DRUGIH JAVNIH POVRŠIN, D.O.O.</w:t>
            </w:r>
          </w:p>
        </w:tc>
      </w:tr>
      <w:tr w:rsidR="00E3750C" w:rsidRPr="00415AB3" w14:paraId="1DFCF5F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5E5767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461</w:t>
            </w:r>
          </w:p>
        </w:tc>
        <w:tc>
          <w:tcPr>
            <w:tcW w:w="705" w:type="pct"/>
            <w:tcBorders>
              <w:top w:val="nil"/>
              <w:left w:val="nil"/>
              <w:bottom w:val="single" w:sz="4" w:space="0" w:color="auto"/>
              <w:right w:val="single" w:sz="4" w:space="0" w:color="auto"/>
            </w:tcBorders>
            <w:shd w:val="clear" w:color="auto" w:fill="auto"/>
            <w:noWrap/>
            <w:vAlign w:val="center"/>
            <w:hideMark/>
          </w:tcPr>
          <w:p w14:paraId="7EFF268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5072255000</w:t>
            </w:r>
          </w:p>
        </w:tc>
        <w:tc>
          <w:tcPr>
            <w:tcW w:w="547" w:type="pct"/>
            <w:tcBorders>
              <w:top w:val="nil"/>
              <w:left w:val="nil"/>
              <w:bottom w:val="single" w:sz="4" w:space="0" w:color="auto"/>
              <w:right w:val="single" w:sz="4" w:space="0" w:color="auto"/>
            </w:tcBorders>
            <w:shd w:val="clear" w:color="auto" w:fill="auto"/>
            <w:noWrap/>
            <w:vAlign w:val="center"/>
            <w:hideMark/>
          </w:tcPr>
          <w:p w14:paraId="1D75B46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32375204</w:t>
            </w:r>
          </w:p>
        </w:tc>
        <w:tc>
          <w:tcPr>
            <w:tcW w:w="3360" w:type="pct"/>
            <w:tcBorders>
              <w:top w:val="nil"/>
              <w:left w:val="nil"/>
              <w:bottom w:val="single" w:sz="4" w:space="0" w:color="auto"/>
              <w:right w:val="single" w:sz="4" w:space="0" w:color="auto"/>
            </w:tcBorders>
            <w:shd w:val="clear" w:color="auto" w:fill="auto"/>
            <w:vAlign w:val="center"/>
            <w:hideMark/>
          </w:tcPr>
          <w:p w14:paraId="47979A0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JAVNO PODJETJE-AZIENDA PUBBLICA MARJETICA KOPER, D.O.O.-S.R.L.</w:t>
            </w:r>
          </w:p>
        </w:tc>
      </w:tr>
      <w:tr w:rsidR="00E3750C" w:rsidRPr="00415AB3" w14:paraId="79BD7BE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C75663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462</w:t>
            </w:r>
          </w:p>
        </w:tc>
        <w:tc>
          <w:tcPr>
            <w:tcW w:w="705" w:type="pct"/>
            <w:tcBorders>
              <w:top w:val="nil"/>
              <w:left w:val="nil"/>
              <w:bottom w:val="single" w:sz="4" w:space="0" w:color="auto"/>
              <w:right w:val="single" w:sz="4" w:space="0" w:color="auto"/>
            </w:tcBorders>
            <w:shd w:val="clear" w:color="auto" w:fill="auto"/>
            <w:noWrap/>
            <w:vAlign w:val="center"/>
            <w:hideMark/>
          </w:tcPr>
          <w:p w14:paraId="0EDE2EA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6284949000</w:t>
            </w:r>
          </w:p>
        </w:tc>
        <w:tc>
          <w:tcPr>
            <w:tcW w:w="547" w:type="pct"/>
            <w:tcBorders>
              <w:top w:val="nil"/>
              <w:left w:val="nil"/>
              <w:bottom w:val="single" w:sz="4" w:space="0" w:color="auto"/>
              <w:right w:val="single" w:sz="4" w:space="0" w:color="auto"/>
            </w:tcBorders>
            <w:shd w:val="clear" w:color="auto" w:fill="auto"/>
            <w:noWrap/>
            <w:vAlign w:val="center"/>
            <w:hideMark/>
          </w:tcPr>
          <w:p w14:paraId="7CAFC59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73044296</w:t>
            </w:r>
          </w:p>
        </w:tc>
        <w:tc>
          <w:tcPr>
            <w:tcW w:w="3360" w:type="pct"/>
            <w:tcBorders>
              <w:top w:val="nil"/>
              <w:left w:val="nil"/>
              <w:bottom w:val="single" w:sz="4" w:space="0" w:color="auto"/>
              <w:right w:val="single" w:sz="4" w:space="0" w:color="auto"/>
            </w:tcBorders>
            <w:shd w:val="clear" w:color="auto" w:fill="auto"/>
            <w:vAlign w:val="center"/>
            <w:hideMark/>
          </w:tcPr>
          <w:p w14:paraId="7E3CB37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JAVNO VZGOJNO-IZOBRAŽEVALNI ZAVOD VRTEC ŠKOFLJICA</w:t>
            </w:r>
          </w:p>
        </w:tc>
      </w:tr>
      <w:tr w:rsidR="00E3750C" w:rsidRPr="00415AB3" w14:paraId="38277DB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54806A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463</w:t>
            </w:r>
          </w:p>
        </w:tc>
        <w:tc>
          <w:tcPr>
            <w:tcW w:w="705" w:type="pct"/>
            <w:tcBorders>
              <w:top w:val="nil"/>
              <w:left w:val="nil"/>
              <w:bottom w:val="single" w:sz="4" w:space="0" w:color="auto"/>
              <w:right w:val="single" w:sz="4" w:space="0" w:color="auto"/>
            </w:tcBorders>
            <w:shd w:val="clear" w:color="auto" w:fill="auto"/>
            <w:noWrap/>
            <w:vAlign w:val="center"/>
            <w:hideMark/>
          </w:tcPr>
          <w:p w14:paraId="6733AFC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5926823000</w:t>
            </w:r>
          </w:p>
        </w:tc>
        <w:tc>
          <w:tcPr>
            <w:tcW w:w="547" w:type="pct"/>
            <w:tcBorders>
              <w:top w:val="nil"/>
              <w:left w:val="nil"/>
              <w:bottom w:val="single" w:sz="4" w:space="0" w:color="auto"/>
              <w:right w:val="single" w:sz="4" w:space="0" w:color="auto"/>
            </w:tcBorders>
            <w:shd w:val="clear" w:color="auto" w:fill="auto"/>
            <w:noWrap/>
            <w:vAlign w:val="center"/>
            <w:hideMark/>
          </w:tcPr>
          <w:p w14:paraId="44EC067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67496717</w:t>
            </w:r>
          </w:p>
        </w:tc>
        <w:tc>
          <w:tcPr>
            <w:tcW w:w="3360" w:type="pct"/>
            <w:tcBorders>
              <w:top w:val="nil"/>
              <w:left w:val="nil"/>
              <w:bottom w:val="single" w:sz="4" w:space="0" w:color="auto"/>
              <w:right w:val="single" w:sz="4" w:space="0" w:color="auto"/>
            </w:tcBorders>
            <w:shd w:val="clear" w:color="auto" w:fill="auto"/>
            <w:vAlign w:val="center"/>
            <w:hideMark/>
          </w:tcPr>
          <w:p w14:paraId="2DBFF50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JEKO, JAVNO KOMUNALNO PODJETJE, D.O.O., JESENICE</w:t>
            </w:r>
          </w:p>
        </w:tc>
      </w:tr>
      <w:tr w:rsidR="00E3750C" w:rsidRPr="00415AB3" w14:paraId="0B98A0A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E0F629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464</w:t>
            </w:r>
          </w:p>
        </w:tc>
        <w:tc>
          <w:tcPr>
            <w:tcW w:w="705" w:type="pct"/>
            <w:tcBorders>
              <w:top w:val="nil"/>
              <w:left w:val="nil"/>
              <w:bottom w:val="single" w:sz="4" w:space="0" w:color="auto"/>
              <w:right w:val="single" w:sz="4" w:space="0" w:color="auto"/>
            </w:tcBorders>
            <w:shd w:val="clear" w:color="auto" w:fill="auto"/>
            <w:noWrap/>
            <w:vAlign w:val="center"/>
            <w:hideMark/>
          </w:tcPr>
          <w:p w14:paraId="0F4758F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5466016000</w:t>
            </w:r>
          </w:p>
        </w:tc>
        <w:tc>
          <w:tcPr>
            <w:tcW w:w="547" w:type="pct"/>
            <w:tcBorders>
              <w:top w:val="nil"/>
              <w:left w:val="nil"/>
              <w:bottom w:val="single" w:sz="4" w:space="0" w:color="auto"/>
              <w:right w:val="single" w:sz="4" w:space="0" w:color="auto"/>
            </w:tcBorders>
            <w:shd w:val="clear" w:color="auto" w:fill="auto"/>
            <w:noWrap/>
            <w:vAlign w:val="center"/>
            <w:hideMark/>
          </w:tcPr>
          <w:p w14:paraId="3F2D929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54691877</w:t>
            </w:r>
          </w:p>
        </w:tc>
        <w:tc>
          <w:tcPr>
            <w:tcW w:w="3360" w:type="pct"/>
            <w:tcBorders>
              <w:top w:val="nil"/>
              <w:left w:val="nil"/>
              <w:bottom w:val="single" w:sz="4" w:space="0" w:color="auto"/>
              <w:right w:val="single" w:sz="4" w:space="0" w:color="auto"/>
            </w:tcBorders>
            <w:shd w:val="clear" w:color="auto" w:fill="auto"/>
            <w:vAlign w:val="center"/>
            <w:hideMark/>
          </w:tcPr>
          <w:p w14:paraId="525E6D6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JKP ŠENTJUR, JAVNO KOMUNALNO PODJETJE, D.O.O.</w:t>
            </w:r>
          </w:p>
        </w:tc>
      </w:tr>
      <w:tr w:rsidR="00E3750C" w:rsidRPr="00415AB3" w14:paraId="298FD12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957E70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465</w:t>
            </w:r>
          </w:p>
        </w:tc>
        <w:tc>
          <w:tcPr>
            <w:tcW w:w="705" w:type="pct"/>
            <w:tcBorders>
              <w:top w:val="nil"/>
              <w:left w:val="nil"/>
              <w:bottom w:val="single" w:sz="4" w:space="0" w:color="auto"/>
              <w:right w:val="single" w:sz="4" w:space="0" w:color="auto"/>
            </w:tcBorders>
            <w:shd w:val="clear" w:color="auto" w:fill="auto"/>
            <w:noWrap/>
            <w:vAlign w:val="center"/>
            <w:hideMark/>
          </w:tcPr>
          <w:p w14:paraId="3C46F8D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5068126000</w:t>
            </w:r>
          </w:p>
        </w:tc>
        <w:tc>
          <w:tcPr>
            <w:tcW w:w="547" w:type="pct"/>
            <w:tcBorders>
              <w:top w:val="nil"/>
              <w:left w:val="nil"/>
              <w:bottom w:val="single" w:sz="4" w:space="0" w:color="auto"/>
              <w:right w:val="single" w:sz="4" w:space="0" w:color="auto"/>
            </w:tcBorders>
            <w:shd w:val="clear" w:color="auto" w:fill="auto"/>
            <w:noWrap/>
            <w:vAlign w:val="center"/>
            <w:hideMark/>
          </w:tcPr>
          <w:p w14:paraId="09C64A4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85452360</w:t>
            </w:r>
          </w:p>
        </w:tc>
        <w:tc>
          <w:tcPr>
            <w:tcW w:w="3360" w:type="pct"/>
            <w:tcBorders>
              <w:top w:val="nil"/>
              <w:left w:val="nil"/>
              <w:bottom w:val="single" w:sz="4" w:space="0" w:color="auto"/>
              <w:right w:val="single" w:sz="4" w:space="0" w:color="auto"/>
            </w:tcBorders>
            <w:shd w:val="clear" w:color="auto" w:fill="auto"/>
            <w:vAlign w:val="center"/>
            <w:hideMark/>
          </w:tcPr>
          <w:p w14:paraId="171C08F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JKP, JAVNO KOMUNALNO PODJETJE D.O.O. SLOVENSKE KONJICE</w:t>
            </w:r>
          </w:p>
        </w:tc>
      </w:tr>
      <w:tr w:rsidR="00E3750C" w:rsidRPr="00415AB3" w14:paraId="7DB34C1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D57A99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466</w:t>
            </w:r>
          </w:p>
        </w:tc>
        <w:tc>
          <w:tcPr>
            <w:tcW w:w="705" w:type="pct"/>
            <w:tcBorders>
              <w:top w:val="nil"/>
              <w:left w:val="nil"/>
              <w:bottom w:val="single" w:sz="4" w:space="0" w:color="auto"/>
              <w:right w:val="single" w:sz="4" w:space="0" w:color="auto"/>
            </w:tcBorders>
            <w:shd w:val="clear" w:color="auto" w:fill="auto"/>
            <w:noWrap/>
            <w:vAlign w:val="center"/>
            <w:hideMark/>
          </w:tcPr>
          <w:p w14:paraId="77112F2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5089956000</w:t>
            </w:r>
          </w:p>
        </w:tc>
        <w:tc>
          <w:tcPr>
            <w:tcW w:w="547" w:type="pct"/>
            <w:tcBorders>
              <w:top w:val="nil"/>
              <w:left w:val="nil"/>
              <w:bottom w:val="single" w:sz="4" w:space="0" w:color="auto"/>
              <w:right w:val="single" w:sz="4" w:space="0" w:color="auto"/>
            </w:tcBorders>
            <w:shd w:val="clear" w:color="auto" w:fill="auto"/>
            <w:noWrap/>
            <w:vAlign w:val="center"/>
            <w:hideMark/>
          </w:tcPr>
          <w:p w14:paraId="694B320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44770103</w:t>
            </w:r>
          </w:p>
        </w:tc>
        <w:tc>
          <w:tcPr>
            <w:tcW w:w="3360" w:type="pct"/>
            <w:tcBorders>
              <w:top w:val="nil"/>
              <w:left w:val="nil"/>
              <w:bottom w:val="single" w:sz="4" w:space="0" w:color="auto"/>
              <w:right w:val="single" w:sz="4" w:space="0" w:color="auto"/>
            </w:tcBorders>
            <w:shd w:val="clear" w:color="auto" w:fill="auto"/>
            <w:vAlign w:val="center"/>
            <w:hideMark/>
          </w:tcPr>
          <w:p w14:paraId="04CB136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JVIZ OSNOVNA ŠOLA DOBREPOLJE</w:t>
            </w:r>
          </w:p>
        </w:tc>
      </w:tr>
      <w:tr w:rsidR="00E3750C" w:rsidRPr="00415AB3" w14:paraId="7A6B983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27B4F7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467</w:t>
            </w:r>
          </w:p>
        </w:tc>
        <w:tc>
          <w:tcPr>
            <w:tcW w:w="705" w:type="pct"/>
            <w:tcBorders>
              <w:top w:val="nil"/>
              <w:left w:val="nil"/>
              <w:bottom w:val="single" w:sz="4" w:space="0" w:color="auto"/>
              <w:right w:val="single" w:sz="4" w:space="0" w:color="auto"/>
            </w:tcBorders>
            <w:shd w:val="clear" w:color="auto" w:fill="auto"/>
            <w:noWrap/>
            <w:vAlign w:val="center"/>
            <w:hideMark/>
          </w:tcPr>
          <w:p w14:paraId="2FA3A5B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5171008000</w:t>
            </w:r>
          </w:p>
        </w:tc>
        <w:tc>
          <w:tcPr>
            <w:tcW w:w="547" w:type="pct"/>
            <w:tcBorders>
              <w:top w:val="nil"/>
              <w:left w:val="nil"/>
              <w:bottom w:val="single" w:sz="4" w:space="0" w:color="auto"/>
              <w:right w:val="single" w:sz="4" w:space="0" w:color="auto"/>
            </w:tcBorders>
            <w:shd w:val="clear" w:color="auto" w:fill="auto"/>
            <w:noWrap/>
            <w:vAlign w:val="center"/>
            <w:hideMark/>
          </w:tcPr>
          <w:p w14:paraId="3418A35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71818065</w:t>
            </w:r>
          </w:p>
        </w:tc>
        <w:tc>
          <w:tcPr>
            <w:tcW w:w="3360" w:type="pct"/>
            <w:tcBorders>
              <w:top w:val="nil"/>
              <w:left w:val="nil"/>
              <w:bottom w:val="single" w:sz="4" w:space="0" w:color="auto"/>
              <w:right w:val="single" w:sz="4" w:space="0" w:color="auto"/>
            </w:tcBorders>
            <w:shd w:val="clear" w:color="auto" w:fill="auto"/>
            <w:vAlign w:val="center"/>
            <w:hideMark/>
          </w:tcPr>
          <w:p w14:paraId="303EF5E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JVIZ, JAVNI VZGOJNO-IZOBRAŽEVALNI ZAVOD MOZIRJE</w:t>
            </w:r>
          </w:p>
        </w:tc>
      </w:tr>
      <w:tr w:rsidR="00E3750C" w:rsidRPr="00415AB3" w14:paraId="2071424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CBA9FB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468</w:t>
            </w:r>
          </w:p>
        </w:tc>
        <w:tc>
          <w:tcPr>
            <w:tcW w:w="705" w:type="pct"/>
            <w:tcBorders>
              <w:top w:val="nil"/>
              <w:left w:val="nil"/>
              <w:bottom w:val="single" w:sz="4" w:space="0" w:color="auto"/>
              <w:right w:val="single" w:sz="4" w:space="0" w:color="auto"/>
            </w:tcBorders>
            <w:shd w:val="clear" w:color="auto" w:fill="auto"/>
            <w:noWrap/>
            <w:vAlign w:val="center"/>
            <w:hideMark/>
          </w:tcPr>
          <w:p w14:paraId="6E8EECF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5053846000</w:t>
            </w:r>
          </w:p>
        </w:tc>
        <w:tc>
          <w:tcPr>
            <w:tcW w:w="547" w:type="pct"/>
            <w:tcBorders>
              <w:top w:val="nil"/>
              <w:left w:val="nil"/>
              <w:bottom w:val="single" w:sz="4" w:space="0" w:color="auto"/>
              <w:right w:val="single" w:sz="4" w:space="0" w:color="auto"/>
            </w:tcBorders>
            <w:shd w:val="clear" w:color="auto" w:fill="auto"/>
            <w:noWrap/>
            <w:vAlign w:val="center"/>
            <w:hideMark/>
          </w:tcPr>
          <w:p w14:paraId="7C25179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35510277</w:t>
            </w:r>
          </w:p>
        </w:tc>
        <w:tc>
          <w:tcPr>
            <w:tcW w:w="3360" w:type="pct"/>
            <w:tcBorders>
              <w:top w:val="nil"/>
              <w:left w:val="nil"/>
              <w:bottom w:val="single" w:sz="4" w:space="0" w:color="auto"/>
              <w:right w:val="single" w:sz="4" w:space="0" w:color="auto"/>
            </w:tcBorders>
            <w:shd w:val="clear" w:color="auto" w:fill="auto"/>
            <w:vAlign w:val="center"/>
            <w:hideMark/>
          </w:tcPr>
          <w:p w14:paraId="3606081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JZ LEKARNA KRŠKO</w:t>
            </w:r>
          </w:p>
        </w:tc>
      </w:tr>
      <w:tr w:rsidR="00E3750C" w:rsidRPr="00415AB3" w14:paraId="5F9321B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4089B8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469</w:t>
            </w:r>
          </w:p>
        </w:tc>
        <w:tc>
          <w:tcPr>
            <w:tcW w:w="705" w:type="pct"/>
            <w:tcBorders>
              <w:top w:val="nil"/>
              <w:left w:val="nil"/>
              <w:bottom w:val="single" w:sz="4" w:space="0" w:color="auto"/>
              <w:right w:val="single" w:sz="4" w:space="0" w:color="auto"/>
            </w:tcBorders>
            <w:shd w:val="clear" w:color="auto" w:fill="auto"/>
            <w:noWrap/>
            <w:vAlign w:val="center"/>
            <w:hideMark/>
          </w:tcPr>
          <w:p w14:paraId="4943359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1775405000</w:t>
            </w:r>
          </w:p>
        </w:tc>
        <w:tc>
          <w:tcPr>
            <w:tcW w:w="547" w:type="pct"/>
            <w:tcBorders>
              <w:top w:val="nil"/>
              <w:left w:val="nil"/>
              <w:bottom w:val="single" w:sz="4" w:space="0" w:color="auto"/>
              <w:right w:val="single" w:sz="4" w:space="0" w:color="auto"/>
            </w:tcBorders>
            <w:shd w:val="clear" w:color="auto" w:fill="auto"/>
            <w:noWrap/>
            <w:vAlign w:val="center"/>
            <w:hideMark/>
          </w:tcPr>
          <w:p w14:paraId="326B36B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80447414</w:t>
            </w:r>
          </w:p>
        </w:tc>
        <w:tc>
          <w:tcPr>
            <w:tcW w:w="3360" w:type="pct"/>
            <w:tcBorders>
              <w:top w:val="nil"/>
              <w:left w:val="nil"/>
              <w:bottom w:val="single" w:sz="4" w:space="0" w:color="auto"/>
              <w:right w:val="single" w:sz="4" w:space="0" w:color="auto"/>
            </w:tcBorders>
            <w:shd w:val="clear" w:color="auto" w:fill="auto"/>
            <w:vAlign w:val="center"/>
            <w:hideMark/>
          </w:tcPr>
          <w:p w14:paraId="561E32E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JZ SOCIO - JAVNI ZAVOD ZA SOCIALNO VARSTVENE DEJAVNOSTI CELJE</w:t>
            </w:r>
          </w:p>
        </w:tc>
      </w:tr>
      <w:tr w:rsidR="00E3750C" w:rsidRPr="00415AB3" w14:paraId="250286A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A80DE2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470</w:t>
            </w:r>
          </w:p>
        </w:tc>
        <w:tc>
          <w:tcPr>
            <w:tcW w:w="705" w:type="pct"/>
            <w:tcBorders>
              <w:top w:val="nil"/>
              <w:left w:val="nil"/>
              <w:bottom w:val="single" w:sz="4" w:space="0" w:color="auto"/>
              <w:right w:val="single" w:sz="4" w:space="0" w:color="auto"/>
            </w:tcBorders>
            <w:shd w:val="clear" w:color="auto" w:fill="auto"/>
            <w:noWrap/>
            <w:vAlign w:val="center"/>
            <w:hideMark/>
          </w:tcPr>
          <w:p w14:paraId="2CD7E10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5241839000</w:t>
            </w:r>
          </w:p>
        </w:tc>
        <w:tc>
          <w:tcPr>
            <w:tcW w:w="547" w:type="pct"/>
            <w:tcBorders>
              <w:top w:val="nil"/>
              <w:left w:val="nil"/>
              <w:bottom w:val="single" w:sz="4" w:space="0" w:color="auto"/>
              <w:right w:val="single" w:sz="4" w:space="0" w:color="auto"/>
            </w:tcBorders>
            <w:shd w:val="clear" w:color="auto" w:fill="auto"/>
            <w:noWrap/>
            <w:vAlign w:val="center"/>
            <w:hideMark/>
          </w:tcPr>
          <w:p w14:paraId="70E189D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67640656</w:t>
            </w:r>
          </w:p>
        </w:tc>
        <w:tc>
          <w:tcPr>
            <w:tcW w:w="3360" w:type="pct"/>
            <w:tcBorders>
              <w:top w:val="nil"/>
              <w:left w:val="nil"/>
              <w:bottom w:val="single" w:sz="4" w:space="0" w:color="auto"/>
              <w:right w:val="single" w:sz="4" w:space="0" w:color="auto"/>
            </w:tcBorders>
            <w:shd w:val="clear" w:color="auto" w:fill="auto"/>
            <w:vAlign w:val="center"/>
            <w:hideMark/>
          </w:tcPr>
          <w:p w14:paraId="1772AA7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KABINET PREDSEDNIKA VLADE REPUBLIKE SLOVENIJE</w:t>
            </w:r>
          </w:p>
        </w:tc>
      </w:tr>
      <w:tr w:rsidR="00E3750C" w:rsidRPr="00415AB3" w14:paraId="3938697C"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CF46BF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471</w:t>
            </w:r>
          </w:p>
        </w:tc>
        <w:tc>
          <w:tcPr>
            <w:tcW w:w="705" w:type="pct"/>
            <w:tcBorders>
              <w:top w:val="nil"/>
              <w:left w:val="nil"/>
              <w:bottom w:val="single" w:sz="4" w:space="0" w:color="auto"/>
              <w:right w:val="single" w:sz="4" w:space="0" w:color="auto"/>
            </w:tcBorders>
            <w:shd w:val="clear" w:color="auto" w:fill="auto"/>
            <w:noWrap/>
            <w:vAlign w:val="center"/>
            <w:hideMark/>
          </w:tcPr>
          <w:p w14:paraId="77DEBE8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5986010000</w:t>
            </w:r>
          </w:p>
        </w:tc>
        <w:tc>
          <w:tcPr>
            <w:tcW w:w="547" w:type="pct"/>
            <w:tcBorders>
              <w:top w:val="nil"/>
              <w:left w:val="nil"/>
              <w:bottom w:val="single" w:sz="4" w:space="0" w:color="auto"/>
              <w:right w:val="single" w:sz="4" w:space="0" w:color="auto"/>
            </w:tcBorders>
            <w:shd w:val="clear" w:color="auto" w:fill="auto"/>
            <w:noWrap/>
            <w:vAlign w:val="center"/>
            <w:hideMark/>
          </w:tcPr>
          <w:p w14:paraId="373FBB6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59093927</w:t>
            </w:r>
          </w:p>
        </w:tc>
        <w:tc>
          <w:tcPr>
            <w:tcW w:w="3360" w:type="pct"/>
            <w:tcBorders>
              <w:top w:val="nil"/>
              <w:left w:val="nil"/>
              <w:bottom w:val="single" w:sz="4" w:space="0" w:color="auto"/>
              <w:right w:val="single" w:sz="4" w:space="0" w:color="auto"/>
            </w:tcBorders>
            <w:shd w:val="clear" w:color="auto" w:fill="auto"/>
            <w:vAlign w:val="center"/>
            <w:hideMark/>
          </w:tcPr>
          <w:p w14:paraId="2306069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KAPITALSKA DRUŽBA POKOJNINSKEGA IN INVALIDSKEGA ZAVAROVANJA, D.D.</w:t>
            </w:r>
          </w:p>
        </w:tc>
      </w:tr>
      <w:tr w:rsidR="00E3750C" w:rsidRPr="00415AB3" w14:paraId="3C90501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433999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472</w:t>
            </w:r>
          </w:p>
        </w:tc>
        <w:tc>
          <w:tcPr>
            <w:tcW w:w="705" w:type="pct"/>
            <w:tcBorders>
              <w:top w:val="nil"/>
              <w:left w:val="nil"/>
              <w:bottom w:val="single" w:sz="4" w:space="0" w:color="auto"/>
              <w:right w:val="single" w:sz="4" w:space="0" w:color="auto"/>
            </w:tcBorders>
            <w:shd w:val="clear" w:color="auto" w:fill="auto"/>
            <w:noWrap/>
            <w:vAlign w:val="center"/>
            <w:hideMark/>
          </w:tcPr>
          <w:p w14:paraId="0A97B35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5051592000</w:t>
            </w:r>
          </w:p>
        </w:tc>
        <w:tc>
          <w:tcPr>
            <w:tcW w:w="547" w:type="pct"/>
            <w:tcBorders>
              <w:top w:val="nil"/>
              <w:left w:val="nil"/>
              <w:bottom w:val="single" w:sz="4" w:space="0" w:color="auto"/>
              <w:right w:val="single" w:sz="4" w:space="0" w:color="auto"/>
            </w:tcBorders>
            <w:shd w:val="clear" w:color="auto" w:fill="auto"/>
            <w:noWrap/>
            <w:vAlign w:val="center"/>
            <w:hideMark/>
          </w:tcPr>
          <w:p w14:paraId="78C6B0C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33840890</w:t>
            </w:r>
          </w:p>
        </w:tc>
        <w:tc>
          <w:tcPr>
            <w:tcW w:w="3360" w:type="pct"/>
            <w:tcBorders>
              <w:top w:val="nil"/>
              <w:left w:val="nil"/>
              <w:bottom w:val="single" w:sz="4" w:space="0" w:color="auto"/>
              <w:right w:val="single" w:sz="4" w:space="0" w:color="auto"/>
            </w:tcBorders>
            <w:shd w:val="clear" w:color="auto" w:fill="auto"/>
            <w:vAlign w:val="center"/>
            <w:hideMark/>
          </w:tcPr>
          <w:p w14:paraId="7979467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KEMIJSKI INŠTITUT</w:t>
            </w:r>
          </w:p>
        </w:tc>
      </w:tr>
      <w:tr w:rsidR="00E3750C" w:rsidRPr="00415AB3" w14:paraId="16FEEC6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75C6F2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473</w:t>
            </w:r>
          </w:p>
        </w:tc>
        <w:tc>
          <w:tcPr>
            <w:tcW w:w="705" w:type="pct"/>
            <w:tcBorders>
              <w:top w:val="nil"/>
              <w:left w:val="nil"/>
              <w:bottom w:val="single" w:sz="4" w:space="0" w:color="auto"/>
              <w:right w:val="single" w:sz="4" w:space="0" w:color="auto"/>
            </w:tcBorders>
            <w:shd w:val="clear" w:color="auto" w:fill="auto"/>
            <w:noWrap/>
            <w:vAlign w:val="center"/>
            <w:hideMark/>
          </w:tcPr>
          <w:p w14:paraId="001FD50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5750946000</w:t>
            </w:r>
          </w:p>
        </w:tc>
        <w:tc>
          <w:tcPr>
            <w:tcW w:w="547" w:type="pct"/>
            <w:tcBorders>
              <w:top w:val="nil"/>
              <w:left w:val="nil"/>
              <w:bottom w:val="single" w:sz="4" w:space="0" w:color="auto"/>
              <w:right w:val="single" w:sz="4" w:space="0" w:color="auto"/>
            </w:tcBorders>
            <w:shd w:val="clear" w:color="auto" w:fill="auto"/>
            <w:noWrap/>
            <w:vAlign w:val="center"/>
            <w:hideMark/>
          </w:tcPr>
          <w:p w14:paraId="603C1C1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49218042</w:t>
            </w:r>
          </w:p>
        </w:tc>
        <w:tc>
          <w:tcPr>
            <w:tcW w:w="3360" w:type="pct"/>
            <w:tcBorders>
              <w:top w:val="nil"/>
              <w:left w:val="nil"/>
              <w:bottom w:val="single" w:sz="4" w:space="0" w:color="auto"/>
              <w:right w:val="single" w:sz="4" w:space="0" w:color="auto"/>
            </w:tcBorders>
            <w:shd w:val="clear" w:color="auto" w:fill="auto"/>
            <w:vAlign w:val="center"/>
            <w:hideMark/>
          </w:tcPr>
          <w:p w14:paraId="7D0DD70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KLUB AJDOVSKIH ŠTUDENTOV IN DIJAKOV</w:t>
            </w:r>
          </w:p>
        </w:tc>
      </w:tr>
      <w:tr w:rsidR="00E3750C" w:rsidRPr="00415AB3" w14:paraId="15DABE2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CC0028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474</w:t>
            </w:r>
          </w:p>
        </w:tc>
        <w:tc>
          <w:tcPr>
            <w:tcW w:w="705" w:type="pct"/>
            <w:tcBorders>
              <w:top w:val="nil"/>
              <w:left w:val="nil"/>
              <w:bottom w:val="single" w:sz="4" w:space="0" w:color="auto"/>
              <w:right w:val="single" w:sz="4" w:space="0" w:color="auto"/>
            </w:tcBorders>
            <w:shd w:val="clear" w:color="auto" w:fill="auto"/>
            <w:noWrap/>
            <w:vAlign w:val="center"/>
            <w:hideMark/>
          </w:tcPr>
          <w:p w14:paraId="7D2F0B4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1129503000</w:t>
            </w:r>
          </w:p>
        </w:tc>
        <w:tc>
          <w:tcPr>
            <w:tcW w:w="547" w:type="pct"/>
            <w:tcBorders>
              <w:top w:val="nil"/>
              <w:left w:val="nil"/>
              <w:bottom w:val="single" w:sz="4" w:space="0" w:color="auto"/>
              <w:right w:val="single" w:sz="4" w:space="0" w:color="auto"/>
            </w:tcBorders>
            <w:shd w:val="clear" w:color="auto" w:fill="auto"/>
            <w:noWrap/>
            <w:vAlign w:val="center"/>
            <w:hideMark/>
          </w:tcPr>
          <w:p w14:paraId="10D183A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24374440</w:t>
            </w:r>
          </w:p>
        </w:tc>
        <w:tc>
          <w:tcPr>
            <w:tcW w:w="3360" w:type="pct"/>
            <w:tcBorders>
              <w:top w:val="nil"/>
              <w:left w:val="nil"/>
              <w:bottom w:val="single" w:sz="4" w:space="0" w:color="auto"/>
              <w:right w:val="single" w:sz="4" w:space="0" w:color="auto"/>
            </w:tcBorders>
            <w:shd w:val="clear" w:color="auto" w:fill="auto"/>
            <w:vAlign w:val="center"/>
            <w:hideMark/>
          </w:tcPr>
          <w:p w14:paraId="50B39EA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KLUB B - KLUB TRBOVELJSKIH ŠTUDENTOV</w:t>
            </w:r>
          </w:p>
        </w:tc>
      </w:tr>
      <w:tr w:rsidR="00E3750C" w:rsidRPr="00415AB3" w14:paraId="788214F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3BE4C5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475</w:t>
            </w:r>
          </w:p>
        </w:tc>
        <w:tc>
          <w:tcPr>
            <w:tcW w:w="705" w:type="pct"/>
            <w:tcBorders>
              <w:top w:val="nil"/>
              <w:left w:val="nil"/>
              <w:bottom w:val="single" w:sz="4" w:space="0" w:color="auto"/>
              <w:right w:val="single" w:sz="4" w:space="0" w:color="auto"/>
            </w:tcBorders>
            <w:shd w:val="clear" w:color="auto" w:fill="auto"/>
            <w:noWrap/>
            <w:vAlign w:val="center"/>
            <w:hideMark/>
          </w:tcPr>
          <w:p w14:paraId="3684765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5725437000</w:t>
            </w:r>
          </w:p>
        </w:tc>
        <w:tc>
          <w:tcPr>
            <w:tcW w:w="547" w:type="pct"/>
            <w:tcBorders>
              <w:top w:val="nil"/>
              <w:left w:val="nil"/>
              <w:bottom w:val="single" w:sz="4" w:space="0" w:color="auto"/>
              <w:right w:val="single" w:sz="4" w:space="0" w:color="auto"/>
            </w:tcBorders>
            <w:shd w:val="clear" w:color="auto" w:fill="auto"/>
            <w:noWrap/>
            <w:vAlign w:val="center"/>
            <w:hideMark/>
          </w:tcPr>
          <w:p w14:paraId="12BC7FF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88461475</w:t>
            </w:r>
          </w:p>
        </w:tc>
        <w:tc>
          <w:tcPr>
            <w:tcW w:w="3360" w:type="pct"/>
            <w:tcBorders>
              <w:top w:val="nil"/>
              <w:left w:val="nil"/>
              <w:bottom w:val="single" w:sz="4" w:space="0" w:color="auto"/>
              <w:right w:val="single" w:sz="4" w:space="0" w:color="auto"/>
            </w:tcBorders>
            <w:shd w:val="clear" w:color="auto" w:fill="auto"/>
            <w:vAlign w:val="center"/>
            <w:hideMark/>
          </w:tcPr>
          <w:p w14:paraId="6485B51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KLUB BELOKRANJSKIH ŠTUDENTOV</w:t>
            </w:r>
          </w:p>
        </w:tc>
      </w:tr>
      <w:tr w:rsidR="00E3750C" w:rsidRPr="00415AB3" w14:paraId="61327B5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16A419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476</w:t>
            </w:r>
          </w:p>
        </w:tc>
        <w:tc>
          <w:tcPr>
            <w:tcW w:w="705" w:type="pct"/>
            <w:tcBorders>
              <w:top w:val="nil"/>
              <w:left w:val="nil"/>
              <w:bottom w:val="single" w:sz="4" w:space="0" w:color="auto"/>
              <w:right w:val="single" w:sz="4" w:space="0" w:color="auto"/>
            </w:tcBorders>
            <w:shd w:val="clear" w:color="auto" w:fill="auto"/>
            <w:noWrap/>
            <w:vAlign w:val="center"/>
            <w:hideMark/>
          </w:tcPr>
          <w:p w14:paraId="5463D26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5507359000</w:t>
            </w:r>
          </w:p>
        </w:tc>
        <w:tc>
          <w:tcPr>
            <w:tcW w:w="547" w:type="pct"/>
            <w:tcBorders>
              <w:top w:val="nil"/>
              <w:left w:val="nil"/>
              <w:bottom w:val="single" w:sz="4" w:space="0" w:color="auto"/>
              <w:right w:val="single" w:sz="4" w:space="0" w:color="auto"/>
            </w:tcBorders>
            <w:shd w:val="clear" w:color="auto" w:fill="auto"/>
            <w:noWrap/>
            <w:vAlign w:val="center"/>
            <w:hideMark/>
          </w:tcPr>
          <w:p w14:paraId="148C170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98238027</w:t>
            </w:r>
          </w:p>
        </w:tc>
        <w:tc>
          <w:tcPr>
            <w:tcW w:w="3360" w:type="pct"/>
            <w:tcBorders>
              <w:top w:val="nil"/>
              <w:left w:val="nil"/>
              <w:bottom w:val="single" w:sz="4" w:space="0" w:color="auto"/>
              <w:right w:val="single" w:sz="4" w:space="0" w:color="auto"/>
            </w:tcBorders>
            <w:shd w:val="clear" w:color="auto" w:fill="auto"/>
            <w:vAlign w:val="center"/>
            <w:hideMark/>
          </w:tcPr>
          <w:p w14:paraId="5D5D592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KLUB GORIŠKIH ŠTUDENTOV</w:t>
            </w:r>
          </w:p>
        </w:tc>
      </w:tr>
      <w:tr w:rsidR="00E3750C" w:rsidRPr="00415AB3" w14:paraId="0F89CB9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8B3C08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477</w:t>
            </w:r>
          </w:p>
        </w:tc>
        <w:tc>
          <w:tcPr>
            <w:tcW w:w="705" w:type="pct"/>
            <w:tcBorders>
              <w:top w:val="nil"/>
              <w:left w:val="nil"/>
              <w:bottom w:val="single" w:sz="4" w:space="0" w:color="auto"/>
              <w:right w:val="single" w:sz="4" w:space="0" w:color="auto"/>
            </w:tcBorders>
            <w:shd w:val="clear" w:color="auto" w:fill="auto"/>
            <w:noWrap/>
            <w:vAlign w:val="center"/>
            <w:hideMark/>
          </w:tcPr>
          <w:p w14:paraId="52EEE7A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5623278000</w:t>
            </w:r>
          </w:p>
        </w:tc>
        <w:tc>
          <w:tcPr>
            <w:tcW w:w="547" w:type="pct"/>
            <w:tcBorders>
              <w:top w:val="nil"/>
              <w:left w:val="nil"/>
              <w:bottom w:val="single" w:sz="4" w:space="0" w:color="auto"/>
              <w:right w:val="single" w:sz="4" w:space="0" w:color="auto"/>
            </w:tcBorders>
            <w:shd w:val="clear" w:color="auto" w:fill="auto"/>
            <w:noWrap/>
            <w:vAlign w:val="center"/>
            <w:hideMark/>
          </w:tcPr>
          <w:p w14:paraId="3239798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58789898</w:t>
            </w:r>
          </w:p>
        </w:tc>
        <w:tc>
          <w:tcPr>
            <w:tcW w:w="3360" w:type="pct"/>
            <w:tcBorders>
              <w:top w:val="nil"/>
              <w:left w:val="nil"/>
              <w:bottom w:val="single" w:sz="4" w:space="0" w:color="auto"/>
              <w:right w:val="single" w:sz="4" w:space="0" w:color="auto"/>
            </w:tcBorders>
            <w:shd w:val="clear" w:color="auto" w:fill="auto"/>
            <w:vAlign w:val="center"/>
            <w:hideMark/>
          </w:tcPr>
          <w:p w14:paraId="61F8596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KLUB IDRIJSKIH ŠTUDENTOV</w:t>
            </w:r>
          </w:p>
        </w:tc>
      </w:tr>
      <w:tr w:rsidR="00E3750C" w:rsidRPr="00415AB3" w14:paraId="1C7E033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453075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478</w:t>
            </w:r>
          </w:p>
        </w:tc>
        <w:tc>
          <w:tcPr>
            <w:tcW w:w="705" w:type="pct"/>
            <w:tcBorders>
              <w:top w:val="nil"/>
              <w:left w:val="nil"/>
              <w:bottom w:val="single" w:sz="4" w:space="0" w:color="auto"/>
              <w:right w:val="single" w:sz="4" w:space="0" w:color="auto"/>
            </w:tcBorders>
            <w:shd w:val="clear" w:color="auto" w:fill="auto"/>
            <w:noWrap/>
            <w:vAlign w:val="center"/>
            <w:hideMark/>
          </w:tcPr>
          <w:p w14:paraId="704C642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5826543000</w:t>
            </w:r>
          </w:p>
        </w:tc>
        <w:tc>
          <w:tcPr>
            <w:tcW w:w="547" w:type="pct"/>
            <w:tcBorders>
              <w:top w:val="nil"/>
              <w:left w:val="nil"/>
              <w:bottom w:val="single" w:sz="4" w:space="0" w:color="auto"/>
              <w:right w:val="single" w:sz="4" w:space="0" w:color="auto"/>
            </w:tcBorders>
            <w:shd w:val="clear" w:color="auto" w:fill="auto"/>
            <w:noWrap/>
            <w:vAlign w:val="center"/>
            <w:hideMark/>
          </w:tcPr>
          <w:p w14:paraId="3DAAE8B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30856086</w:t>
            </w:r>
          </w:p>
        </w:tc>
        <w:tc>
          <w:tcPr>
            <w:tcW w:w="3360" w:type="pct"/>
            <w:tcBorders>
              <w:top w:val="nil"/>
              <w:left w:val="nil"/>
              <w:bottom w:val="single" w:sz="4" w:space="0" w:color="auto"/>
              <w:right w:val="single" w:sz="4" w:space="0" w:color="auto"/>
            </w:tcBorders>
            <w:shd w:val="clear" w:color="auto" w:fill="auto"/>
            <w:vAlign w:val="center"/>
            <w:hideMark/>
          </w:tcPr>
          <w:p w14:paraId="60AE5EF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 xml:space="preserve">KLUB IZOLSKIH ŠTUDENTOV IN DIJAKOV </w:t>
            </w:r>
          </w:p>
        </w:tc>
      </w:tr>
      <w:tr w:rsidR="00E3750C" w:rsidRPr="00415AB3" w14:paraId="5DE12CA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94D6A5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479</w:t>
            </w:r>
          </w:p>
        </w:tc>
        <w:tc>
          <w:tcPr>
            <w:tcW w:w="705" w:type="pct"/>
            <w:tcBorders>
              <w:top w:val="nil"/>
              <w:left w:val="nil"/>
              <w:bottom w:val="single" w:sz="4" w:space="0" w:color="auto"/>
              <w:right w:val="single" w:sz="4" w:space="0" w:color="auto"/>
            </w:tcBorders>
            <w:shd w:val="clear" w:color="auto" w:fill="auto"/>
            <w:noWrap/>
            <w:vAlign w:val="center"/>
            <w:hideMark/>
          </w:tcPr>
          <w:p w14:paraId="19F6130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5666058000</w:t>
            </w:r>
          </w:p>
        </w:tc>
        <w:tc>
          <w:tcPr>
            <w:tcW w:w="547" w:type="pct"/>
            <w:tcBorders>
              <w:top w:val="nil"/>
              <w:left w:val="nil"/>
              <w:bottom w:val="single" w:sz="4" w:space="0" w:color="auto"/>
              <w:right w:val="single" w:sz="4" w:space="0" w:color="auto"/>
            </w:tcBorders>
            <w:shd w:val="clear" w:color="auto" w:fill="auto"/>
            <w:noWrap/>
            <w:vAlign w:val="center"/>
            <w:hideMark/>
          </w:tcPr>
          <w:p w14:paraId="1045CC7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26830574</w:t>
            </w:r>
          </w:p>
        </w:tc>
        <w:tc>
          <w:tcPr>
            <w:tcW w:w="3360" w:type="pct"/>
            <w:tcBorders>
              <w:top w:val="nil"/>
              <w:left w:val="nil"/>
              <w:bottom w:val="single" w:sz="4" w:space="0" w:color="auto"/>
              <w:right w:val="single" w:sz="4" w:space="0" w:color="auto"/>
            </w:tcBorders>
            <w:shd w:val="clear" w:color="auto" w:fill="auto"/>
            <w:vAlign w:val="center"/>
            <w:hideMark/>
          </w:tcPr>
          <w:p w14:paraId="60C0C20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KLUB JESENIŠKIH ŠTUDENTOV</w:t>
            </w:r>
          </w:p>
        </w:tc>
      </w:tr>
      <w:tr w:rsidR="00E3750C" w:rsidRPr="00415AB3" w14:paraId="62659AB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27A40B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480</w:t>
            </w:r>
          </w:p>
        </w:tc>
        <w:tc>
          <w:tcPr>
            <w:tcW w:w="705" w:type="pct"/>
            <w:tcBorders>
              <w:top w:val="nil"/>
              <w:left w:val="nil"/>
              <w:bottom w:val="single" w:sz="4" w:space="0" w:color="auto"/>
              <w:right w:val="single" w:sz="4" w:space="0" w:color="auto"/>
            </w:tcBorders>
            <w:shd w:val="clear" w:color="auto" w:fill="auto"/>
            <w:noWrap/>
            <w:vAlign w:val="center"/>
            <w:hideMark/>
          </w:tcPr>
          <w:p w14:paraId="471225C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5737770000</w:t>
            </w:r>
          </w:p>
        </w:tc>
        <w:tc>
          <w:tcPr>
            <w:tcW w:w="547" w:type="pct"/>
            <w:tcBorders>
              <w:top w:val="nil"/>
              <w:left w:val="nil"/>
              <w:bottom w:val="single" w:sz="4" w:space="0" w:color="auto"/>
              <w:right w:val="single" w:sz="4" w:space="0" w:color="auto"/>
            </w:tcBorders>
            <w:shd w:val="clear" w:color="auto" w:fill="auto"/>
            <w:noWrap/>
            <w:vAlign w:val="center"/>
            <w:hideMark/>
          </w:tcPr>
          <w:p w14:paraId="1E3FB64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47631384</w:t>
            </w:r>
          </w:p>
        </w:tc>
        <w:tc>
          <w:tcPr>
            <w:tcW w:w="3360" w:type="pct"/>
            <w:tcBorders>
              <w:top w:val="nil"/>
              <w:left w:val="nil"/>
              <w:bottom w:val="single" w:sz="4" w:space="0" w:color="auto"/>
              <w:right w:val="single" w:sz="4" w:space="0" w:color="auto"/>
            </w:tcBorders>
            <w:shd w:val="clear" w:color="auto" w:fill="auto"/>
            <w:vAlign w:val="center"/>
            <w:hideMark/>
          </w:tcPr>
          <w:p w14:paraId="0D3FC49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KLUB KOROŠKIH ŠTUDENTOV</w:t>
            </w:r>
          </w:p>
        </w:tc>
      </w:tr>
      <w:tr w:rsidR="00E3750C" w:rsidRPr="00415AB3" w14:paraId="6AAD536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EEC36D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481</w:t>
            </w:r>
          </w:p>
        </w:tc>
        <w:tc>
          <w:tcPr>
            <w:tcW w:w="705" w:type="pct"/>
            <w:tcBorders>
              <w:top w:val="nil"/>
              <w:left w:val="nil"/>
              <w:bottom w:val="single" w:sz="4" w:space="0" w:color="auto"/>
              <w:right w:val="single" w:sz="4" w:space="0" w:color="auto"/>
            </w:tcBorders>
            <w:shd w:val="clear" w:color="auto" w:fill="auto"/>
            <w:noWrap/>
            <w:vAlign w:val="center"/>
            <w:hideMark/>
          </w:tcPr>
          <w:p w14:paraId="7701AFD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1161733000</w:t>
            </w:r>
          </w:p>
        </w:tc>
        <w:tc>
          <w:tcPr>
            <w:tcW w:w="547" w:type="pct"/>
            <w:tcBorders>
              <w:top w:val="nil"/>
              <w:left w:val="nil"/>
              <w:bottom w:val="single" w:sz="4" w:space="0" w:color="auto"/>
              <w:right w:val="single" w:sz="4" w:space="0" w:color="auto"/>
            </w:tcBorders>
            <w:shd w:val="clear" w:color="auto" w:fill="auto"/>
            <w:noWrap/>
            <w:vAlign w:val="center"/>
            <w:hideMark/>
          </w:tcPr>
          <w:p w14:paraId="16C30F1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48463124</w:t>
            </w:r>
          </w:p>
        </w:tc>
        <w:tc>
          <w:tcPr>
            <w:tcW w:w="3360" w:type="pct"/>
            <w:tcBorders>
              <w:top w:val="nil"/>
              <w:left w:val="nil"/>
              <w:bottom w:val="single" w:sz="4" w:space="0" w:color="auto"/>
              <w:right w:val="single" w:sz="4" w:space="0" w:color="auto"/>
            </w:tcBorders>
            <w:shd w:val="clear" w:color="auto" w:fill="auto"/>
            <w:vAlign w:val="center"/>
            <w:hideMark/>
          </w:tcPr>
          <w:p w14:paraId="5426AC5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KLUB LITIJSKIH IN ŠMARSKIH ŠTUDENTOV</w:t>
            </w:r>
          </w:p>
        </w:tc>
      </w:tr>
      <w:tr w:rsidR="00E3750C" w:rsidRPr="00415AB3" w14:paraId="63840D1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66658B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482</w:t>
            </w:r>
          </w:p>
        </w:tc>
        <w:tc>
          <w:tcPr>
            <w:tcW w:w="705" w:type="pct"/>
            <w:tcBorders>
              <w:top w:val="nil"/>
              <w:left w:val="nil"/>
              <w:bottom w:val="single" w:sz="4" w:space="0" w:color="auto"/>
              <w:right w:val="single" w:sz="4" w:space="0" w:color="auto"/>
            </w:tcBorders>
            <w:shd w:val="clear" w:color="auto" w:fill="auto"/>
            <w:noWrap/>
            <w:vAlign w:val="center"/>
            <w:hideMark/>
          </w:tcPr>
          <w:p w14:paraId="6F65147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5738016000</w:t>
            </w:r>
          </w:p>
        </w:tc>
        <w:tc>
          <w:tcPr>
            <w:tcW w:w="547" w:type="pct"/>
            <w:tcBorders>
              <w:top w:val="nil"/>
              <w:left w:val="nil"/>
              <w:bottom w:val="single" w:sz="4" w:space="0" w:color="auto"/>
              <w:right w:val="single" w:sz="4" w:space="0" w:color="auto"/>
            </w:tcBorders>
            <w:shd w:val="clear" w:color="auto" w:fill="auto"/>
            <w:noWrap/>
            <w:vAlign w:val="center"/>
            <w:hideMark/>
          </w:tcPr>
          <w:p w14:paraId="13CF838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42473756</w:t>
            </w:r>
          </w:p>
        </w:tc>
        <w:tc>
          <w:tcPr>
            <w:tcW w:w="3360" w:type="pct"/>
            <w:tcBorders>
              <w:top w:val="nil"/>
              <w:left w:val="nil"/>
              <w:bottom w:val="single" w:sz="4" w:space="0" w:color="auto"/>
              <w:right w:val="single" w:sz="4" w:space="0" w:color="auto"/>
            </w:tcBorders>
            <w:shd w:val="clear" w:color="auto" w:fill="auto"/>
            <w:vAlign w:val="center"/>
            <w:hideMark/>
          </w:tcPr>
          <w:p w14:paraId="1AF5D1F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KLUB LOGAŠKIH ŠTUDENTOV</w:t>
            </w:r>
          </w:p>
        </w:tc>
      </w:tr>
      <w:tr w:rsidR="00E3750C" w:rsidRPr="00415AB3" w14:paraId="0B0FBFC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BF67BC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483</w:t>
            </w:r>
          </w:p>
        </w:tc>
        <w:tc>
          <w:tcPr>
            <w:tcW w:w="705" w:type="pct"/>
            <w:tcBorders>
              <w:top w:val="nil"/>
              <w:left w:val="nil"/>
              <w:bottom w:val="single" w:sz="4" w:space="0" w:color="auto"/>
              <w:right w:val="single" w:sz="4" w:space="0" w:color="auto"/>
            </w:tcBorders>
            <w:shd w:val="clear" w:color="auto" w:fill="auto"/>
            <w:noWrap/>
            <w:vAlign w:val="center"/>
            <w:hideMark/>
          </w:tcPr>
          <w:p w14:paraId="19F74E0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1047876000</w:t>
            </w:r>
          </w:p>
        </w:tc>
        <w:tc>
          <w:tcPr>
            <w:tcW w:w="547" w:type="pct"/>
            <w:tcBorders>
              <w:top w:val="nil"/>
              <w:left w:val="nil"/>
              <w:bottom w:val="single" w:sz="4" w:space="0" w:color="auto"/>
              <w:right w:val="single" w:sz="4" w:space="0" w:color="auto"/>
            </w:tcBorders>
            <w:shd w:val="clear" w:color="auto" w:fill="auto"/>
            <w:noWrap/>
            <w:vAlign w:val="center"/>
            <w:hideMark/>
          </w:tcPr>
          <w:p w14:paraId="3F78EFA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56122934</w:t>
            </w:r>
          </w:p>
        </w:tc>
        <w:tc>
          <w:tcPr>
            <w:tcW w:w="3360" w:type="pct"/>
            <w:tcBorders>
              <w:top w:val="nil"/>
              <w:left w:val="nil"/>
              <w:bottom w:val="single" w:sz="4" w:space="0" w:color="auto"/>
              <w:right w:val="single" w:sz="4" w:space="0" w:color="auto"/>
            </w:tcBorders>
            <w:shd w:val="clear" w:color="auto" w:fill="auto"/>
            <w:vAlign w:val="center"/>
            <w:hideMark/>
          </w:tcPr>
          <w:p w14:paraId="1D8ED1B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KLUB MARIBORSKIH ŠTUDENTOV</w:t>
            </w:r>
          </w:p>
        </w:tc>
      </w:tr>
      <w:tr w:rsidR="00E3750C" w:rsidRPr="00415AB3" w14:paraId="0B17183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63D29E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484</w:t>
            </w:r>
          </w:p>
        </w:tc>
        <w:tc>
          <w:tcPr>
            <w:tcW w:w="705" w:type="pct"/>
            <w:tcBorders>
              <w:top w:val="nil"/>
              <w:left w:val="nil"/>
              <w:bottom w:val="single" w:sz="4" w:space="0" w:color="auto"/>
              <w:right w:val="single" w:sz="4" w:space="0" w:color="auto"/>
            </w:tcBorders>
            <w:shd w:val="clear" w:color="auto" w:fill="auto"/>
            <w:noWrap/>
            <w:vAlign w:val="center"/>
            <w:hideMark/>
          </w:tcPr>
          <w:p w14:paraId="237C8ED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5650909000</w:t>
            </w:r>
          </w:p>
        </w:tc>
        <w:tc>
          <w:tcPr>
            <w:tcW w:w="547" w:type="pct"/>
            <w:tcBorders>
              <w:top w:val="nil"/>
              <w:left w:val="nil"/>
              <w:bottom w:val="single" w:sz="4" w:space="0" w:color="auto"/>
              <w:right w:val="single" w:sz="4" w:space="0" w:color="auto"/>
            </w:tcBorders>
            <w:shd w:val="clear" w:color="auto" w:fill="auto"/>
            <w:noWrap/>
            <w:vAlign w:val="center"/>
            <w:hideMark/>
          </w:tcPr>
          <w:p w14:paraId="7C81339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50923684</w:t>
            </w:r>
          </w:p>
        </w:tc>
        <w:tc>
          <w:tcPr>
            <w:tcW w:w="3360" w:type="pct"/>
            <w:tcBorders>
              <w:top w:val="nil"/>
              <w:left w:val="nil"/>
              <w:bottom w:val="single" w:sz="4" w:space="0" w:color="auto"/>
              <w:right w:val="single" w:sz="4" w:space="0" w:color="auto"/>
            </w:tcBorders>
            <w:shd w:val="clear" w:color="auto" w:fill="auto"/>
            <w:vAlign w:val="center"/>
            <w:hideMark/>
          </w:tcPr>
          <w:p w14:paraId="03A5CF8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KLUB ORMOŠKIH ŠTUDENTOV</w:t>
            </w:r>
          </w:p>
        </w:tc>
      </w:tr>
      <w:tr w:rsidR="00E3750C" w:rsidRPr="00415AB3" w14:paraId="1A4140B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0094D0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485</w:t>
            </w:r>
          </w:p>
        </w:tc>
        <w:tc>
          <w:tcPr>
            <w:tcW w:w="705" w:type="pct"/>
            <w:tcBorders>
              <w:top w:val="nil"/>
              <w:left w:val="nil"/>
              <w:bottom w:val="single" w:sz="4" w:space="0" w:color="auto"/>
              <w:right w:val="single" w:sz="4" w:space="0" w:color="auto"/>
            </w:tcBorders>
            <w:shd w:val="clear" w:color="auto" w:fill="auto"/>
            <w:noWrap/>
            <w:vAlign w:val="center"/>
            <w:hideMark/>
          </w:tcPr>
          <w:p w14:paraId="4FDCC4D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5978688000</w:t>
            </w:r>
          </w:p>
        </w:tc>
        <w:tc>
          <w:tcPr>
            <w:tcW w:w="547" w:type="pct"/>
            <w:tcBorders>
              <w:top w:val="nil"/>
              <w:left w:val="nil"/>
              <w:bottom w:val="single" w:sz="4" w:space="0" w:color="auto"/>
              <w:right w:val="single" w:sz="4" w:space="0" w:color="auto"/>
            </w:tcBorders>
            <w:shd w:val="clear" w:color="auto" w:fill="auto"/>
            <w:noWrap/>
            <w:vAlign w:val="center"/>
            <w:hideMark/>
          </w:tcPr>
          <w:p w14:paraId="6378F20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66700841</w:t>
            </w:r>
          </w:p>
        </w:tc>
        <w:tc>
          <w:tcPr>
            <w:tcW w:w="3360" w:type="pct"/>
            <w:tcBorders>
              <w:top w:val="nil"/>
              <w:left w:val="nil"/>
              <w:bottom w:val="single" w:sz="4" w:space="0" w:color="auto"/>
              <w:right w:val="single" w:sz="4" w:space="0" w:color="auto"/>
            </w:tcBorders>
            <w:shd w:val="clear" w:color="auto" w:fill="auto"/>
            <w:vAlign w:val="center"/>
            <w:hideMark/>
          </w:tcPr>
          <w:p w14:paraId="31EADD8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KLUB PTUJSKIH ŠTUDENTOV</w:t>
            </w:r>
          </w:p>
        </w:tc>
      </w:tr>
      <w:tr w:rsidR="00E3750C" w:rsidRPr="00415AB3" w14:paraId="5B0A2CA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45D4B1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486</w:t>
            </w:r>
          </w:p>
        </w:tc>
        <w:tc>
          <w:tcPr>
            <w:tcW w:w="705" w:type="pct"/>
            <w:tcBorders>
              <w:top w:val="nil"/>
              <w:left w:val="nil"/>
              <w:bottom w:val="single" w:sz="4" w:space="0" w:color="auto"/>
              <w:right w:val="single" w:sz="4" w:space="0" w:color="auto"/>
            </w:tcBorders>
            <w:shd w:val="clear" w:color="auto" w:fill="auto"/>
            <w:noWrap/>
            <w:vAlign w:val="center"/>
            <w:hideMark/>
          </w:tcPr>
          <w:p w14:paraId="1A1635D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5569079000</w:t>
            </w:r>
          </w:p>
        </w:tc>
        <w:tc>
          <w:tcPr>
            <w:tcW w:w="547" w:type="pct"/>
            <w:tcBorders>
              <w:top w:val="nil"/>
              <w:left w:val="nil"/>
              <w:bottom w:val="single" w:sz="4" w:space="0" w:color="auto"/>
              <w:right w:val="single" w:sz="4" w:space="0" w:color="auto"/>
            </w:tcBorders>
            <w:shd w:val="clear" w:color="auto" w:fill="auto"/>
            <w:noWrap/>
            <w:vAlign w:val="center"/>
            <w:hideMark/>
          </w:tcPr>
          <w:p w14:paraId="611CC22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47890983</w:t>
            </w:r>
          </w:p>
        </w:tc>
        <w:tc>
          <w:tcPr>
            <w:tcW w:w="3360" w:type="pct"/>
            <w:tcBorders>
              <w:top w:val="nil"/>
              <w:left w:val="nil"/>
              <w:bottom w:val="single" w:sz="4" w:space="0" w:color="auto"/>
              <w:right w:val="single" w:sz="4" w:space="0" w:color="auto"/>
            </w:tcBorders>
            <w:shd w:val="clear" w:color="auto" w:fill="auto"/>
            <w:vAlign w:val="center"/>
            <w:hideMark/>
          </w:tcPr>
          <w:p w14:paraId="27509FA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KLUB RADOVLJIŠKIH ŠTUDENTOV</w:t>
            </w:r>
          </w:p>
        </w:tc>
      </w:tr>
      <w:tr w:rsidR="00E3750C" w:rsidRPr="00415AB3" w14:paraId="68BA132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05ED73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487</w:t>
            </w:r>
          </w:p>
        </w:tc>
        <w:tc>
          <w:tcPr>
            <w:tcW w:w="705" w:type="pct"/>
            <w:tcBorders>
              <w:top w:val="nil"/>
              <w:left w:val="nil"/>
              <w:bottom w:val="single" w:sz="4" w:space="0" w:color="auto"/>
              <w:right w:val="single" w:sz="4" w:space="0" w:color="auto"/>
            </w:tcBorders>
            <w:shd w:val="clear" w:color="auto" w:fill="auto"/>
            <w:noWrap/>
            <w:vAlign w:val="center"/>
            <w:hideMark/>
          </w:tcPr>
          <w:p w14:paraId="4173DBD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5192897000</w:t>
            </w:r>
          </w:p>
        </w:tc>
        <w:tc>
          <w:tcPr>
            <w:tcW w:w="547" w:type="pct"/>
            <w:tcBorders>
              <w:top w:val="nil"/>
              <w:left w:val="nil"/>
              <w:bottom w:val="single" w:sz="4" w:space="0" w:color="auto"/>
              <w:right w:val="single" w:sz="4" w:space="0" w:color="auto"/>
            </w:tcBorders>
            <w:shd w:val="clear" w:color="auto" w:fill="auto"/>
            <w:noWrap/>
            <w:vAlign w:val="center"/>
            <w:hideMark/>
          </w:tcPr>
          <w:p w14:paraId="14C6503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17688272</w:t>
            </w:r>
          </w:p>
        </w:tc>
        <w:tc>
          <w:tcPr>
            <w:tcW w:w="3360" w:type="pct"/>
            <w:tcBorders>
              <w:top w:val="nil"/>
              <w:left w:val="nil"/>
              <w:bottom w:val="single" w:sz="4" w:space="0" w:color="auto"/>
              <w:right w:val="single" w:sz="4" w:space="0" w:color="auto"/>
            </w:tcBorders>
            <w:shd w:val="clear" w:color="auto" w:fill="auto"/>
            <w:vAlign w:val="center"/>
            <w:hideMark/>
          </w:tcPr>
          <w:p w14:paraId="16FFA71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KLUB ŠKOFJELOŠKIH ŠTUDENTOV ŠKOFJA LOKA</w:t>
            </w:r>
          </w:p>
        </w:tc>
      </w:tr>
      <w:tr w:rsidR="00E3750C" w:rsidRPr="00415AB3" w14:paraId="160CE24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57D3A9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488</w:t>
            </w:r>
          </w:p>
        </w:tc>
        <w:tc>
          <w:tcPr>
            <w:tcW w:w="705" w:type="pct"/>
            <w:tcBorders>
              <w:top w:val="nil"/>
              <w:left w:val="nil"/>
              <w:bottom w:val="single" w:sz="4" w:space="0" w:color="auto"/>
              <w:right w:val="single" w:sz="4" w:space="0" w:color="auto"/>
            </w:tcBorders>
            <w:shd w:val="clear" w:color="auto" w:fill="auto"/>
            <w:noWrap/>
            <w:vAlign w:val="center"/>
            <w:hideMark/>
          </w:tcPr>
          <w:p w14:paraId="703DD65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5937655000</w:t>
            </w:r>
          </w:p>
        </w:tc>
        <w:tc>
          <w:tcPr>
            <w:tcW w:w="547" w:type="pct"/>
            <w:tcBorders>
              <w:top w:val="nil"/>
              <w:left w:val="nil"/>
              <w:bottom w:val="single" w:sz="4" w:space="0" w:color="auto"/>
              <w:right w:val="single" w:sz="4" w:space="0" w:color="auto"/>
            </w:tcBorders>
            <w:shd w:val="clear" w:color="auto" w:fill="auto"/>
            <w:noWrap/>
            <w:vAlign w:val="center"/>
            <w:hideMark/>
          </w:tcPr>
          <w:p w14:paraId="0F54FB3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92886256</w:t>
            </w:r>
          </w:p>
        </w:tc>
        <w:tc>
          <w:tcPr>
            <w:tcW w:w="3360" w:type="pct"/>
            <w:tcBorders>
              <w:top w:val="nil"/>
              <w:left w:val="nil"/>
              <w:bottom w:val="single" w:sz="4" w:space="0" w:color="auto"/>
              <w:right w:val="single" w:sz="4" w:space="0" w:color="auto"/>
            </w:tcBorders>
            <w:shd w:val="clear" w:color="auto" w:fill="auto"/>
            <w:vAlign w:val="center"/>
            <w:hideMark/>
          </w:tcPr>
          <w:p w14:paraId="4A36093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KLUB ŠTUDENTOV ILIRSKA BISTRICA</w:t>
            </w:r>
          </w:p>
        </w:tc>
      </w:tr>
      <w:tr w:rsidR="00E3750C" w:rsidRPr="00415AB3" w14:paraId="732393C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7512FA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489</w:t>
            </w:r>
          </w:p>
        </w:tc>
        <w:tc>
          <w:tcPr>
            <w:tcW w:w="705" w:type="pct"/>
            <w:tcBorders>
              <w:top w:val="nil"/>
              <w:left w:val="nil"/>
              <w:bottom w:val="single" w:sz="4" w:space="0" w:color="auto"/>
              <w:right w:val="single" w:sz="4" w:space="0" w:color="auto"/>
            </w:tcBorders>
            <w:shd w:val="clear" w:color="auto" w:fill="auto"/>
            <w:noWrap/>
            <w:vAlign w:val="center"/>
            <w:hideMark/>
          </w:tcPr>
          <w:p w14:paraId="509D270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5414725000</w:t>
            </w:r>
          </w:p>
        </w:tc>
        <w:tc>
          <w:tcPr>
            <w:tcW w:w="547" w:type="pct"/>
            <w:tcBorders>
              <w:top w:val="nil"/>
              <w:left w:val="nil"/>
              <w:bottom w:val="single" w:sz="4" w:space="0" w:color="auto"/>
              <w:right w:val="single" w:sz="4" w:space="0" w:color="auto"/>
            </w:tcBorders>
            <w:shd w:val="clear" w:color="auto" w:fill="auto"/>
            <w:noWrap/>
            <w:vAlign w:val="center"/>
            <w:hideMark/>
          </w:tcPr>
          <w:p w14:paraId="37EF14D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72728019</w:t>
            </w:r>
          </w:p>
        </w:tc>
        <w:tc>
          <w:tcPr>
            <w:tcW w:w="3360" w:type="pct"/>
            <w:tcBorders>
              <w:top w:val="nil"/>
              <w:left w:val="nil"/>
              <w:bottom w:val="single" w:sz="4" w:space="0" w:color="auto"/>
              <w:right w:val="single" w:sz="4" w:space="0" w:color="auto"/>
            </w:tcBorders>
            <w:shd w:val="clear" w:color="auto" w:fill="auto"/>
            <w:vAlign w:val="center"/>
            <w:hideMark/>
          </w:tcPr>
          <w:p w14:paraId="69FEE85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KLUB ŠTUDENTOV KRANJ</w:t>
            </w:r>
          </w:p>
        </w:tc>
      </w:tr>
      <w:tr w:rsidR="00E3750C" w:rsidRPr="00415AB3" w14:paraId="1D538B6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6E98BD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490</w:t>
            </w:r>
          </w:p>
        </w:tc>
        <w:tc>
          <w:tcPr>
            <w:tcW w:w="705" w:type="pct"/>
            <w:tcBorders>
              <w:top w:val="nil"/>
              <w:left w:val="nil"/>
              <w:bottom w:val="single" w:sz="4" w:space="0" w:color="auto"/>
              <w:right w:val="single" w:sz="4" w:space="0" w:color="auto"/>
            </w:tcBorders>
            <w:shd w:val="clear" w:color="auto" w:fill="auto"/>
            <w:noWrap/>
            <w:vAlign w:val="center"/>
            <w:hideMark/>
          </w:tcPr>
          <w:p w14:paraId="38A6A0D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1163329000</w:t>
            </w:r>
          </w:p>
        </w:tc>
        <w:tc>
          <w:tcPr>
            <w:tcW w:w="547" w:type="pct"/>
            <w:tcBorders>
              <w:top w:val="nil"/>
              <w:left w:val="nil"/>
              <w:bottom w:val="single" w:sz="4" w:space="0" w:color="auto"/>
              <w:right w:val="single" w:sz="4" w:space="0" w:color="auto"/>
            </w:tcBorders>
            <w:shd w:val="clear" w:color="auto" w:fill="auto"/>
            <w:noWrap/>
            <w:vAlign w:val="center"/>
            <w:hideMark/>
          </w:tcPr>
          <w:p w14:paraId="6B74CA2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85468622</w:t>
            </w:r>
          </w:p>
        </w:tc>
        <w:tc>
          <w:tcPr>
            <w:tcW w:w="3360" w:type="pct"/>
            <w:tcBorders>
              <w:top w:val="nil"/>
              <w:left w:val="nil"/>
              <w:bottom w:val="single" w:sz="4" w:space="0" w:color="auto"/>
              <w:right w:val="single" w:sz="4" w:space="0" w:color="auto"/>
            </w:tcBorders>
            <w:shd w:val="clear" w:color="auto" w:fill="auto"/>
            <w:vAlign w:val="center"/>
            <w:hideMark/>
          </w:tcPr>
          <w:p w14:paraId="7A7CB5B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KLUB ŠTUDENTOV LENDAVA</w:t>
            </w:r>
          </w:p>
        </w:tc>
      </w:tr>
      <w:tr w:rsidR="00E3750C" w:rsidRPr="00415AB3" w14:paraId="473263E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9173C7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491</w:t>
            </w:r>
          </w:p>
        </w:tc>
        <w:tc>
          <w:tcPr>
            <w:tcW w:w="705" w:type="pct"/>
            <w:tcBorders>
              <w:top w:val="nil"/>
              <w:left w:val="nil"/>
              <w:bottom w:val="single" w:sz="4" w:space="0" w:color="auto"/>
              <w:right w:val="single" w:sz="4" w:space="0" w:color="auto"/>
            </w:tcBorders>
            <w:shd w:val="clear" w:color="auto" w:fill="auto"/>
            <w:noWrap/>
            <w:vAlign w:val="center"/>
            <w:hideMark/>
          </w:tcPr>
          <w:p w14:paraId="7B768EF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1643096000</w:t>
            </w:r>
          </w:p>
        </w:tc>
        <w:tc>
          <w:tcPr>
            <w:tcW w:w="547" w:type="pct"/>
            <w:tcBorders>
              <w:top w:val="nil"/>
              <w:left w:val="nil"/>
              <w:bottom w:val="single" w:sz="4" w:space="0" w:color="auto"/>
              <w:right w:val="single" w:sz="4" w:space="0" w:color="auto"/>
            </w:tcBorders>
            <w:shd w:val="clear" w:color="auto" w:fill="auto"/>
            <w:noWrap/>
            <w:vAlign w:val="center"/>
            <w:hideMark/>
          </w:tcPr>
          <w:p w14:paraId="0E57AAB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11365765</w:t>
            </w:r>
          </w:p>
        </w:tc>
        <w:tc>
          <w:tcPr>
            <w:tcW w:w="3360" w:type="pct"/>
            <w:tcBorders>
              <w:top w:val="nil"/>
              <w:left w:val="nil"/>
              <w:bottom w:val="single" w:sz="4" w:space="0" w:color="auto"/>
              <w:right w:val="single" w:sz="4" w:space="0" w:color="auto"/>
            </w:tcBorders>
            <w:shd w:val="clear" w:color="auto" w:fill="auto"/>
            <w:vAlign w:val="center"/>
            <w:hideMark/>
          </w:tcPr>
          <w:p w14:paraId="543D1A9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KLUB ŠTUDENTOV OBČINE CELJE</w:t>
            </w:r>
          </w:p>
        </w:tc>
      </w:tr>
      <w:tr w:rsidR="00E3750C" w:rsidRPr="00415AB3" w14:paraId="76ECB4F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32F8C9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492</w:t>
            </w:r>
          </w:p>
        </w:tc>
        <w:tc>
          <w:tcPr>
            <w:tcW w:w="705" w:type="pct"/>
            <w:tcBorders>
              <w:top w:val="nil"/>
              <w:left w:val="nil"/>
              <w:bottom w:val="single" w:sz="4" w:space="0" w:color="auto"/>
              <w:right w:val="single" w:sz="4" w:space="0" w:color="auto"/>
            </w:tcBorders>
            <w:shd w:val="clear" w:color="auto" w:fill="auto"/>
            <w:noWrap/>
            <w:vAlign w:val="center"/>
            <w:hideMark/>
          </w:tcPr>
          <w:p w14:paraId="0230E6A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5810566000</w:t>
            </w:r>
          </w:p>
        </w:tc>
        <w:tc>
          <w:tcPr>
            <w:tcW w:w="547" w:type="pct"/>
            <w:tcBorders>
              <w:top w:val="nil"/>
              <w:left w:val="nil"/>
              <w:bottom w:val="single" w:sz="4" w:space="0" w:color="auto"/>
              <w:right w:val="single" w:sz="4" w:space="0" w:color="auto"/>
            </w:tcBorders>
            <w:shd w:val="clear" w:color="auto" w:fill="auto"/>
            <w:noWrap/>
            <w:vAlign w:val="center"/>
            <w:hideMark/>
          </w:tcPr>
          <w:p w14:paraId="290E5DA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57985979</w:t>
            </w:r>
          </w:p>
        </w:tc>
        <w:tc>
          <w:tcPr>
            <w:tcW w:w="3360" w:type="pct"/>
            <w:tcBorders>
              <w:top w:val="nil"/>
              <w:left w:val="nil"/>
              <w:bottom w:val="single" w:sz="4" w:space="0" w:color="auto"/>
              <w:right w:val="single" w:sz="4" w:space="0" w:color="auto"/>
            </w:tcBorders>
            <w:shd w:val="clear" w:color="auto" w:fill="auto"/>
            <w:vAlign w:val="center"/>
            <w:hideMark/>
          </w:tcPr>
          <w:p w14:paraId="272CA61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KLUB ŠTUDENTOV OBČINE TREBNJE</w:t>
            </w:r>
          </w:p>
        </w:tc>
      </w:tr>
      <w:tr w:rsidR="00E3750C" w:rsidRPr="00415AB3" w14:paraId="1FCD74F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1E673A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493</w:t>
            </w:r>
          </w:p>
        </w:tc>
        <w:tc>
          <w:tcPr>
            <w:tcW w:w="705" w:type="pct"/>
            <w:tcBorders>
              <w:top w:val="nil"/>
              <w:left w:val="nil"/>
              <w:bottom w:val="single" w:sz="4" w:space="0" w:color="auto"/>
              <w:right w:val="single" w:sz="4" w:space="0" w:color="auto"/>
            </w:tcBorders>
            <w:shd w:val="clear" w:color="auto" w:fill="auto"/>
            <w:noWrap/>
            <w:vAlign w:val="center"/>
            <w:hideMark/>
          </w:tcPr>
          <w:p w14:paraId="30F0332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4026764000</w:t>
            </w:r>
          </w:p>
        </w:tc>
        <w:tc>
          <w:tcPr>
            <w:tcW w:w="547" w:type="pct"/>
            <w:tcBorders>
              <w:top w:val="nil"/>
              <w:left w:val="nil"/>
              <w:bottom w:val="single" w:sz="4" w:space="0" w:color="auto"/>
              <w:right w:val="single" w:sz="4" w:space="0" w:color="auto"/>
            </w:tcBorders>
            <w:shd w:val="clear" w:color="auto" w:fill="auto"/>
            <w:noWrap/>
            <w:vAlign w:val="center"/>
            <w:hideMark/>
          </w:tcPr>
          <w:p w14:paraId="09E806E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82885974</w:t>
            </w:r>
          </w:p>
        </w:tc>
        <w:tc>
          <w:tcPr>
            <w:tcW w:w="3360" w:type="pct"/>
            <w:tcBorders>
              <w:top w:val="nil"/>
              <w:left w:val="nil"/>
              <w:bottom w:val="single" w:sz="4" w:space="0" w:color="auto"/>
              <w:right w:val="single" w:sz="4" w:space="0" w:color="auto"/>
            </w:tcBorders>
            <w:shd w:val="clear" w:color="auto" w:fill="auto"/>
            <w:vAlign w:val="center"/>
            <w:hideMark/>
          </w:tcPr>
          <w:p w14:paraId="255DF00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KLUB ŠTUDENTOV RUŠ, SELNICE IN LOVRENCA</w:t>
            </w:r>
          </w:p>
        </w:tc>
      </w:tr>
      <w:tr w:rsidR="00E3750C" w:rsidRPr="00415AB3" w14:paraId="13C3B14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80DD5D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494</w:t>
            </w:r>
          </w:p>
        </w:tc>
        <w:tc>
          <w:tcPr>
            <w:tcW w:w="705" w:type="pct"/>
            <w:tcBorders>
              <w:top w:val="nil"/>
              <w:left w:val="nil"/>
              <w:bottom w:val="single" w:sz="4" w:space="0" w:color="auto"/>
              <w:right w:val="single" w:sz="4" w:space="0" w:color="auto"/>
            </w:tcBorders>
            <w:shd w:val="clear" w:color="auto" w:fill="auto"/>
            <w:noWrap/>
            <w:vAlign w:val="center"/>
            <w:hideMark/>
          </w:tcPr>
          <w:p w14:paraId="35D1815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5697026000</w:t>
            </w:r>
          </w:p>
        </w:tc>
        <w:tc>
          <w:tcPr>
            <w:tcW w:w="547" w:type="pct"/>
            <w:tcBorders>
              <w:top w:val="nil"/>
              <w:left w:val="nil"/>
              <w:bottom w:val="single" w:sz="4" w:space="0" w:color="auto"/>
              <w:right w:val="single" w:sz="4" w:space="0" w:color="auto"/>
            </w:tcBorders>
            <w:shd w:val="clear" w:color="auto" w:fill="auto"/>
            <w:noWrap/>
            <w:vAlign w:val="center"/>
            <w:hideMark/>
          </w:tcPr>
          <w:p w14:paraId="415B66C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77595157</w:t>
            </w:r>
          </w:p>
        </w:tc>
        <w:tc>
          <w:tcPr>
            <w:tcW w:w="3360" w:type="pct"/>
            <w:tcBorders>
              <w:top w:val="nil"/>
              <w:left w:val="nil"/>
              <w:bottom w:val="single" w:sz="4" w:space="0" w:color="auto"/>
              <w:right w:val="single" w:sz="4" w:space="0" w:color="auto"/>
            </w:tcBorders>
            <w:shd w:val="clear" w:color="auto" w:fill="auto"/>
            <w:vAlign w:val="center"/>
            <w:hideMark/>
          </w:tcPr>
          <w:p w14:paraId="6A81E1E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KLUB ŠTUDENTOV SEŽANA</w:t>
            </w:r>
          </w:p>
        </w:tc>
      </w:tr>
      <w:tr w:rsidR="00E3750C" w:rsidRPr="00415AB3" w14:paraId="098E97C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5740B1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495</w:t>
            </w:r>
          </w:p>
        </w:tc>
        <w:tc>
          <w:tcPr>
            <w:tcW w:w="705" w:type="pct"/>
            <w:tcBorders>
              <w:top w:val="nil"/>
              <w:left w:val="nil"/>
              <w:bottom w:val="single" w:sz="4" w:space="0" w:color="auto"/>
              <w:right w:val="single" w:sz="4" w:space="0" w:color="auto"/>
            </w:tcBorders>
            <w:shd w:val="clear" w:color="auto" w:fill="auto"/>
            <w:noWrap/>
            <w:vAlign w:val="center"/>
            <w:hideMark/>
          </w:tcPr>
          <w:p w14:paraId="5FDB451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5877342000</w:t>
            </w:r>
          </w:p>
        </w:tc>
        <w:tc>
          <w:tcPr>
            <w:tcW w:w="547" w:type="pct"/>
            <w:tcBorders>
              <w:top w:val="nil"/>
              <w:left w:val="nil"/>
              <w:bottom w:val="single" w:sz="4" w:space="0" w:color="auto"/>
              <w:right w:val="single" w:sz="4" w:space="0" w:color="auto"/>
            </w:tcBorders>
            <w:shd w:val="clear" w:color="auto" w:fill="auto"/>
            <w:noWrap/>
            <w:vAlign w:val="center"/>
            <w:hideMark/>
          </w:tcPr>
          <w:p w14:paraId="79F5FF8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71800085</w:t>
            </w:r>
          </w:p>
        </w:tc>
        <w:tc>
          <w:tcPr>
            <w:tcW w:w="3360" w:type="pct"/>
            <w:tcBorders>
              <w:top w:val="nil"/>
              <w:left w:val="nil"/>
              <w:bottom w:val="single" w:sz="4" w:space="0" w:color="auto"/>
              <w:right w:val="single" w:sz="4" w:space="0" w:color="auto"/>
            </w:tcBorders>
            <w:shd w:val="clear" w:color="auto" w:fill="auto"/>
            <w:vAlign w:val="center"/>
            <w:hideMark/>
          </w:tcPr>
          <w:p w14:paraId="6D58FA7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KLUB ŠTUDENTOV SLOVENSKA BISTRICA</w:t>
            </w:r>
          </w:p>
        </w:tc>
      </w:tr>
      <w:tr w:rsidR="00E3750C" w:rsidRPr="00415AB3" w14:paraId="00FEBE0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E62803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496</w:t>
            </w:r>
          </w:p>
        </w:tc>
        <w:tc>
          <w:tcPr>
            <w:tcW w:w="705" w:type="pct"/>
            <w:tcBorders>
              <w:top w:val="nil"/>
              <w:left w:val="nil"/>
              <w:bottom w:val="single" w:sz="4" w:space="0" w:color="auto"/>
              <w:right w:val="single" w:sz="4" w:space="0" w:color="auto"/>
            </w:tcBorders>
            <w:shd w:val="clear" w:color="auto" w:fill="auto"/>
            <w:noWrap/>
            <w:vAlign w:val="center"/>
            <w:hideMark/>
          </w:tcPr>
          <w:p w14:paraId="63DCC72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5614651000</w:t>
            </w:r>
          </w:p>
        </w:tc>
        <w:tc>
          <w:tcPr>
            <w:tcW w:w="547" w:type="pct"/>
            <w:tcBorders>
              <w:top w:val="nil"/>
              <w:left w:val="nil"/>
              <w:bottom w:val="single" w:sz="4" w:space="0" w:color="auto"/>
              <w:right w:val="single" w:sz="4" w:space="0" w:color="auto"/>
            </w:tcBorders>
            <w:shd w:val="clear" w:color="auto" w:fill="auto"/>
            <w:noWrap/>
            <w:vAlign w:val="center"/>
            <w:hideMark/>
          </w:tcPr>
          <w:p w14:paraId="27D0AD2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35134232</w:t>
            </w:r>
          </w:p>
        </w:tc>
        <w:tc>
          <w:tcPr>
            <w:tcW w:w="3360" w:type="pct"/>
            <w:tcBorders>
              <w:top w:val="nil"/>
              <w:left w:val="nil"/>
              <w:bottom w:val="single" w:sz="4" w:space="0" w:color="auto"/>
              <w:right w:val="single" w:sz="4" w:space="0" w:color="auto"/>
            </w:tcBorders>
            <w:shd w:val="clear" w:color="auto" w:fill="auto"/>
            <w:vAlign w:val="center"/>
            <w:hideMark/>
          </w:tcPr>
          <w:p w14:paraId="0B8ED14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KLUB TOLMINSKIH ŠTUDENTOV</w:t>
            </w:r>
          </w:p>
        </w:tc>
      </w:tr>
      <w:tr w:rsidR="00E3750C" w:rsidRPr="00415AB3" w14:paraId="47FAA5A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7CBC47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497</w:t>
            </w:r>
          </w:p>
        </w:tc>
        <w:tc>
          <w:tcPr>
            <w:tcW w:w="705" w:type="pct"/>
            <w:tcBorders>
              <w:top w:val="nil"/>
              <w:left w:val="nil"/>
              <w:bottom w:val="single" w:sz="4" w:space="0" w:color="auto"/>
              <w:right w:val="single" w:sz="4" w:space="0" w:color="auto"/>
            </w:tcBorders>
            <w:shd w:val="clear" w:color="auto" w:fill="auto"/>
            <w:noWrap/>
            <w:vAlign w:val="center"/>
            <w:hideMark/>
          </w:tcPr>
          <w:p w14:paraId="6F3DDBF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5614597000</w:t>
            </w:r>
          </w:p>
        </w:tc>
        <w:tc>
          <w:tcPr>
            <w:tcW w:w="547" w:type="pct"/>
            <w:tcBorders>
              <w:top w:val="nil"/>
              <w:left w:val="nil"/>
              <w:bottom w:val="single" w:sz="4" w:space="0" w:color="auto"/>
              <w:right w:val="single" w:sz="4" w:space="0" w:color="auto"/>
            </w:tcBorders>
            <w:shd w:val="clear" w:color="auto" w:fill="auto"/>
            <w:noWrap/>
            <w:vAlign w:val="center"/>
            <w:hideMark/>
          </w:tcPr>
          <w:p w14:paraId="332D190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95641874</w:t>
            </w:r>
          </w:p>
        </w:tc>
        <w:tc>
          <w:tcPr>
            <w:tcW w:w="3360" w:type="pct"/>
            <w:tcBorders>
              <w:top w:val="nil"/>
              <w:left w:val="nil"/>
              <w:bottom w:val="single" w:sz="4" w:space="0" w:color="auto"/>
              <w:right w:val="single" w:sz="4" w:space="0" w:color="auto"/>
            </w:tcBorders>
            <w:shd w:val="clear" w:color="auto" w:fill="auto"/>
            <w:vAlign w:val="center"/>
            <w:hideMark/>
          </w:tcPr>
          <w:p w14:paraId="6427051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KLUB TRŽIŠKIH ŠTUDENTOV</w:t>
            </w:r>
          </w:p>
        </w:tc>
      </w:tr>
      <w:tr w:rsidR="00E3750C" w:rsidRPr="00415AB3" w14:paraId="3BAF8C2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5B3071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498</w:t>
            </w:r>
          </w:p>
        </w:tc>
        <w:tc>
          <w:tcPr>
            <w:tcW w:w="705" w:type="pct"/>
            <w:tcBorders>
              <w:top w:val="nil"/>
              <w:left w:val="nil"/>
              <w:bottom w:val="single" w:sz="4" w:space="0" w:color="auto"/>
              <w:right w:val="single" w:sz="4" w:space="0" w:color="auto"/>
            </w:tcBorders>
            <w:shd w:val="clear" w:color="auto" w:fill="auto"/>
            <w:noWrap/>
            <w:vAlign w:val="center"/>
            <w:hideMark/>
          </w:tcPr>
          <w:p w14:paraId="7024A38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1051784000</w:t>
            </w:r>
          </w:p>
        </w:tc>
        <w:tc>
          <w:tcPr>
            <w:tcW w:w="547" w:type="pct"/>
            <w:tcBorders>
              <w:top w:val="nil"/>
              <w:left w:val="nil"/>
              <w:bottom w:val="single" w:sz="4" w:space="0" w:color="auto"/>
              <w:right w:val="single" w:sz="4" w:space="0" w:color="auto"/>
            </w:tcBorders>
            <w:shd w:val="clear" w:color="auto" w:fill="auto"/>
            <w:noWrap/>
            <w:vAlign w:val="center"/>
            <w:hideMark/>
          </w:tcPr>
          <w:p w14:paraId="48A22A5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38234394</w:t>
            </w:r>
          </w:p>
        </w:tc>
        <w:tc>
          <w:tcPr>
            <w:tcW w:w="3360" w:type="pct"/>
            <w:tcBorders>
              <w:top w:val="nil"/>
              <w:left w:val="nil"/>
              <w:bottom w:val="single" w:sz="4" w:space="0" w:color="auto"/>
              <w:right w:val="single" w:sz="4" w:space="0" w:color="auto"/>
            </w:tcBorders>
            <w:shd w:val="clear" w:color="auto" w:fill="auto"/>
            <w:vAlign w:val="center"/>
            <w:hideMark/>
          </w:tcPr>
          <w:p w14:paraId="103E28C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KLUB VRHNIŠKIH ŠTUDENTOV</w:t>
            </w:r>
          </w:p>
        </w:tc>
      </w:tr>
      <w:tr w:rsidR="00E3750C" w:rsidRPr="00415AB3" w14:paraId="2751478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8A1561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499</w:t>
            </w:r>
          </w:p>
        </w:tc>
        <w:tc>
          <w:tcPr>
            <w:tcW w:w="705" w:type="pct"/>
            <w:tcBorders>
              <w:top w:val="nil"/>
              <w:left w:val="nil"/>
              <w:bottom w:val="single" w:sz="4" w:space="0" w:color="auto"/>
              <w:right w:val="single" w:sz="4" w:space="0" w:color="auto"/>
            </w:tcBorders>
            <w:shd w:val="clear" w:color="auto" w:fill="auto"/>
            <w:noWrap/>
            <w:vAlign w:val="center"/>
            <w:hideMark/>
          </w:tcPr>
          <w:p w14:paraId="406F9B1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5055431000</w:t>
            </w:r>
          </w:p>
        </w:tc>
        <w:tc>
          <w:tcPr>
            <w:tcW w:w="547" w:type="pct"/>
            <w:tcBorders>
              <w:top w:val="nil"/>
              <w:left w:val="nil"/>
              <w:bottom w:val="single" w:sz="4" w:space="0" w:color="auto"/>
              <w:right w:val="single" w:sz="4" w:space="0" w:color="auto"/>
            </w:tcBorders>
            <w:shd w:val="clear" w:color="auto" w:fill="auto"/>
            <w:noWrap/>
            <w:vAlign w:val="center"/>
            <w:hideMark/>
          </w:tcPr>
          <w:p w14:paraId="149DEE8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23887729</w:t>
            </w:r>
          </w:p>
        </w:tc>
        <w:tc>
          <w:tcPr>
            <w:tcW w:w="3360" w:type="pct"/>
            <w:tcBorders>
              <w:top w:val="nil"/>
              <w:left w:val="nil"/>
              <w:bottom w:val="single" w:sz="4" w:space="0" w:color="auto"/>
              <w:right w:val="single" w:sz="4" w:space="0" w:color="auto"/>
            </w:tcBorders>
            <w:shd w:val="clear" w:color="auto" w:fill="auto"/>
            <w:vAlign w:val="center"/>
            <w:hideMark/>
          </w:tcPr>
          <w:p w14:paraId="09D40F0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KMETIJSKI INŠTITUT SLOVENIJE</w:t>
            </w:r>
          </w:p>
        </w:tc>
      </w:tr>
      <w:tr w:rsidR="00E3750C" w:rsidRPr="00415AB3" w14:paraId="431FE2E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432B50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500</w:t>
            </w:r>
          </w:p>
        </w:tc>
        <w:tc>
          <w:tcPr>
            <w:tcW w:w="705" w:type="pct"/>
            <w:tcBorders>
              <w:top w:val="nil"/>
              <w:left w:val="nil"/>
              <w:bottom w:val="single" w:sz="4" w:space="0" w:color="auto"/>
              <w:right w:val="single" w:sz="4" w:space="0" w:color="auto"/>
            </w:tcBorders>
            <w:shd w:val="clear" w:color="auto" w:fill="auto"/>
            <w:noWrap/>
            <w:vAlign w:val="center"/>
            <w:hideMark/>
          </w:tcPr>
          <w:p w14:paraId="5858A2D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1332848000</w:t>
            </w:r>
          </w:p>
        </w:tc>
        <w:tc>
          <w:tcPr>
            <w:tcW w:w="547" w:type="pct"/>
            <w:tcBorders>
              <w:top w:val="nil"/>
              <w:left w:val="nil"/>
              <w:bottom w:val="single" w:sz="4" w:space="0" w:color="auto"/>
              <w:right w:val="single" w:sz="4" w:space="0" w:color="auto"/>
            </w:tcBorders>
            <w:shd w:val="clear" w:color="auto" w:fill="auto"/>
            <w:noWrap/>
            <w:vAlign w:val="center"/>
            <w:hideMark/>
          </w:tcPr>
          <w:p w14:paraId="5B6BFA5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47075406</w:t>
            </w:r>
          </w:p>
        </w:tc>
        <w:tc>
          <w:tcPr>
            <w:tcW w:w="3360" w:type="pct"/>
            <w:tcBorders>
              <w:top w:val="nil"/>
              <w:left w:val="nil"/>
              <w:bottom w:val="single" w:sz="4" w:space="0" w:color="auto"/>
              <w:right w:val="single" w:sz="4" w:space="0" w:color="auto"/>
            </w:tcBorders>
            <w:shd w:val="clear" w:color="auto" w:fill="auto"/>
            <w:vAlign w:val="center"/>
            <w:hideMark/>
          </w:tcPr>
          <w:p w14:paraId="586F5BC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KMETIJSKO GOZDARSKA ZBORNICA SLOVENIJE</w:t>
            </w:r>
          </w:p>
        </w:tc>
      </w:tr>
      <w:tr w:rsidR="00E3750C" w:rsidRPr="00415AB3" w14:paraId="2E5BE77F"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9500E4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w:t>
            </w:r>
          </w:p>
        </w:tc>
        <w:tc>
          <w:tcPr>
            <w:tcW w:w="705" w:type="pct"/>
            <w:tcBorders>
              <w:top w:val="nil"/>
              <w:left w:val="nil"/>
              <w:bottom w:val="single" w:sz="4" w:space="0" w:color="auto"/>
              <w:right w:val="single" w:sz="4" w:space="0" w:color="auto"/>
            </w:tcBorders>
            <w:shd w:val="clear" w:color="auto" w:fill="auto"/>
            <w:noWrap/>
            <w:vAlign w:val="center"/>
            <w:hideMark/>
          </w:tcPr>
          <w:p w14:paraId="4F3FD41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5254655000</w:t>
            </w:r>
          </w:p>
        </w:tc>
        <w:tc>
          <w:tcPr>
            <w:tcW w:w="547" w:type="pct"/>
            <w:tcBorders>
              <w:top w:val="nil"/>
              <w:left w:val="nil"/>
              <w:bottom w:val="single" w:sz="4" w:space="0" w:color="auto"/>
              <w:right w:val="single" w:sz="4" w:space="0" w:color="auto"/>
            </w:tcBorders>
            <w:shd w:val="clear" w:color="auto" w:fill="auto"/>
            <w:noWrap/>
            <w:vAlign w:val="center"/>
            <w:hideMark/>
          </w:tcPr>
          <w:p w14:paraId="5EB94A1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13468308</w:t>
            </w:r>
          </w:p>
        </w:tc>
        <w:tc>
          <w:tcPr>
            <w:tcW w:w="3360" w:type="pct"/>
            <w:tcBorders>
              <w:top w:val="nil"/>
              <w:left w:val="nil"/>
              <w:bottom w:val="single" w:sz="4" w:space="0" w:color="auto"/>
              <w:right w:val="single" w:sz="4" w:space="0" w:color="auto"/>
            </w:tcBorders>
            <w:shd w:val="clear" w:color="auto" w:fill="auto"/>
            <w:vAlign w:val="center"/>
            <w:hideMark/>
          </w:tcPr>
          <w:p w14:paraId="055BD08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KMETIJSKO GOZDARSKA ZBORNICA SLOVENIJE KMETIJSKO GOZDARSKI ZAVOD CELJE</w:t>
            </w:r>
          </w:p>
        </w:tc>
      </w:tr>
      <w:tr w:rsidR="00E3750C" w:rsidRPr="00415AB3" w14:paraId="7403EA0E"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6CCB0C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w:t>
            </w:r>
          </w:p>
        </w:tc>
        <w:tc>
          <w:tcPr>
            <w:tcW w:w="705" w:type="pct"/>
            <w:tcBorders>
              <w:top w:val="nil"/>
              <w:left w:val="nil"/>
              <w:bottom w:val="single" w:sz="4" w:space="0" w:color="auto"/>
              <w:right w:val="single" w:sz="4" w:space="0" w:color="auto"/>
            </w:tcBorders>
            <w:shd w:val="clear" w:color="auto" w:fill="auto"/>
            <w:noWrap/>
            <w:vAlign w:val="center"/>
            <w:hideMark/>
          </w:tcPr>
          <w:p w14:paraId="45A7951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5151074000</w:t>
            </w:r>
          </w:p>
        </w:tc>
        <w:tc>
          <w:tcPr>
            <w:tcW w:w="547" w:type="pct"/>
            <w:tcBorders>
              <w:top w:val="nil"/>
              <w:left w:val="nil"/>
              <w:bottom w:val="single" w:sz="4" w:space="0" w:color="auto"/>
              <w:right w:val="single" w:sz="4" w:space="0" w:color="auto"/>
            </w:tcBorders>
            <w:shd w:val="clear" w:color="auto" w:fill="auto"/>
            <w:noWrap/>
            <w:vAlign w:val="center"/>
            <w:hideMark/>
          </w:tcPr>
          <w:p w14:paraId="4910884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91502543</w:t>
            </w:r>
          </w:p>
        </w:tc>
        <w:tc>
          <w:tcPr>
            <w:tcW w:w="3360" w:type="pct"/>
            <w:tcBorders>
              <w:top w:val="nil"/>
              <w:left w:val="nil"/>
              <w:bottom w:val="single" w:sz="4" w:space="0" w:color="auto"/>
              <w:right w:val="single" w:sz="4" w:space="0" w:color="auto"/>
            </w:tcBorders>
            <w:shd w:val="clear" w:color="auto" w:fill="auto"/>
            <w:vAlign w:val="center"/>
            <w:hideMark/>
          </w:tcPr>
          <w:p w14:paraId="1A48C03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KMETIJSKO GOZDARSKA ZBORNICA SLOVENIJE KMETIJSKO GOZDARSKI ZAVOD KRANJ</w:t>
            </w:r>
          </w:p>
        </w:tc>
      </w:tr>
      <w:tr w:rsidR="00E3750C" w:rsidRPr="00415AB3" w14:paraId="79D52865"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5370BA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503</w:t>
            </w:r>
          </w:p>
        </w:tc>
        <w:tc>
          <w:tcPr>
            <w:tcW w:w="705" w:type="pct"/>
            <w:tcBorders>
              <w:top w:val="nil"/>
              <w:left w:val="nil"/>
              <w:bottom w:val="single" w:sz="4" w:space="0" w:color="auto"/>
              <w:right w:val="single" w:sz="4" w:space="0" w:color="auto"/>
            </w:tcBorders>
            <w:shd w:val="clear" w:color="auto" w:fill="auto"/>
            <w:noWrap/>
            <w:vAlign w:val="center"/>
            <w:hideMark/>
          </w:tcPr>
          <w:p w14:paraId="3BC5F2B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5129770000</w:t>
            </w:r>
          </w:p>
        </w:tc>
        <w:tc>
          <w:tcPr>
            <w:tcW w:w="547" w:type="pct"/>
            <w:tcBorders>
              <w:top w:val="nil"/>
              <w:left w:val="nil"/>
              <w:bottom w:val="single" w:sz="4" w:space="0" w:color="auto"/>
              <w:right w:val="single" w:sz="4" w:space="0" w:color="auto"/>
            </w:tcBorders>
            <w:shd w:val="clear" w:color="auto" w:fill="auto"/>
            <w:noWrap/>
            <w:vAlign w:val="center"/>
            <w:hideMark/>
          </w:tcPr>
          <w:p w14:paraId="33FDE89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88840620</w:t>
            </w:r>
          </w:p>
        </w:tc>
        <w:tc>
          <w:tcPr>
            <w:tcW w:w="3360" w:type="pct"/>
            <w:tcBorders>
              <w:top w:val="nil"/>
              <w:left w:val="nil"/>
              <w:bottom w:val="single" w:sz="4" w:space="0" w:color="auto"/>
              <w:right w:val="single" w:sz="4" w:space="0" w:color="auto"/>
            </w:tcBorders>
            <w:shd w:val="clear" w:color="auto" w:fill="auto"/>
            <w:vAlign w:val="center"/>
            <w:hideMark/>
          </w:tcPr>
          <w:p w14:paraId="2ECFED7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KMETIJSKO GOZDARSKA ZBORNICA SLOVENIJE KMETIJSKO GOZDARSKI ZAVOD LJUBLJANA</w:t>
            </w:r>
          </w:p>
        </w:tc>
      </w:tr>
      <w:tr w:rsidR="00E3750C" w:rsidRPr="00415AB3" w14:paraId="0F377055"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17B9FC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504</w:t>
            </w:r>
          </w:p>
        </w:tc>
        <w:tc>
          <w:tcPr>
            <w:tcW w:w="705" w:type="pct"/>
            <w:tcBorders>
              <w:top w:val="nil"/>
              <w:left w:val="nil"/>
              <w:bottom w:val="single" w:sz="4" w:space="0" w:color="auto"/>
              <w:right w:val="single" w:sz="4" w:space="0" w:color="auto"/>
            </w:tcBorders>
            <w:shd w:val="clear" w:color="auto" w:fill="auto"/>
            <w:noWrap/>
            <w:vAlign w:val="center"/>
            <w:hideMark/>
          </w:tcPr>
          <w:p w14:paraId="7EAE781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5129877000</w:t>
            </w:r>
          </w:p>
        </w:tc>
        <w:tc>
          <w:tcPr>
            <w:tcW w:w="547" w:type="pct"/>
            <w:tcBorders>
              <w:top w:val="nil"/>
              <w:left w:val="nil"/>
              <w:bottom w:val="single" w:sz="4" w:space="0" w:color="auto"/>
              <w:right w:val="single" w:sz="4" w:space="0" w:color="auto"/>
            </w:tcBorders>
            <w:shd w:val="clear" w:color="auto" w:fill="auto"/>
            <w:noWrap/>
            <w:vAlign w:val="center"/>
            <w:hideMark/>
          </w:tcPr>
          <w:p w14:paraId="064173B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64054233</w:t>
            </w:r>
          </w:p>
        </w:tc>
        <w:tc>
          <w:tcPr>
            <w:tcW w:w="3360" w:type="pct"/>
            <w:tcBorders>
              <w:top w:val="nil"/>
              <w:left w:val="nil"/>
              <w:bottom w:val="single" w:sz="4" w:space="0" w:color="auto"/>
              <w:right w:val="single" w:sz="4" w:space="0" w:color="auto"/>
            </w:tcBorders>
            <w:shd w:val="clear" w:color="auto" w:fill="auto"/>
            <w:vAlign w:val="center"/>
            <w:hideMark/>
          </w:tcPr>
          <w:p w14:paraId="1801917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KMETIJSKO GOZDARSKA ZBORNICA SLOVENIJE KMETIJSKO GOZDARSKI ZAVOD MARIBOR</w:t>
            </w:r>
          </w:p>
        </w:tc>
      </w:tr>
      <w:tr w:rsidR="00E3750C" w:rsidRPr="00415AB3" w14:paraId="3D5605B7"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CDD336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w:t>
            </w:r>
          </w:p>
        </w:tc>
        <w:tc>
          <w:tcPr>
            <w:tcW w:w="705" w:type="pct"/>
            <w:tcBorders>
              <w:top w:val="nil"/>
              <w:left w:val="nil"/>
              <w:bottom w:val="single" w:sz="4" w:space="0" w:color="auto"/>
              <w:right w:val="single" w:sz="4" w:space="0" w:color="auto"/>
            </w:tcBorders>
            <w:shd w:val="clear" w:color="auto" w:fill="auto"/>
            <w:noWrap/>
            <w:vAlign w:val="center"/>
            <w:hideMark/>
          </w:tcPr>
          <w:p w14:paraId="2D0933E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5129940000</w:t>
            </w:r>
          </w:p>
        </w:tc>
        <w:tc>
          <w:tcPr>
            <w:tcW w:w="547" w:type="pct"/>
            <w:tcBorders>
              <w:top w:val="nil"/>
              <w:left w:val="nil"/>
              <w:bottom w:val="single" w:sz="4" w:space="0" w:color="auto"/>
              <w:right w:val="single" w:sz="4" w:space="0" w:color="auto"/>
            </w:tcBorders>
            <w:shd w:val="clear" w:color="auto" w:fill="auto"/>
            <w:noWrap/>
            <w:vAlign w:val="center"/>
            <w:hideMark/>
          </w:tcPr>
          <w:p w14:paraId="5518338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69697205</w:t>
            </w:r>
          </w:p>
        </w:tc>
        <w:tc>
          <w:tcPr>
            <w:tcW w:w="3360" w:type="pct"/>
            <w:tcBorders>
              <w:top w:val="nil"/>
              <w:left w:val="nil"/>
              <w:bottom w:val="single" w:sz="4" w:space="0" w:color="auto"/>
              <w:right w:val="single" w:sz="4" w:space="0" w:color="auto"/>
            </w:tcBorders>
            <w:shd w:val="clear" w:color="auto" w:fill="auto"/>
            <w:vAlign w:val="center"/>
            <w:hideMark/>
          </w:tcPr>
          <w:p w14:paraId="1C7E88E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KMETIJSKO GOZDARSKA ZBORNICA SLOVENIJE KMETIJSKO GOZDARSKI ZAVOD MURSKA SOBOTA</w:t>
            </w:r>
          </w:p>
        </w:tc>
      </w:tr>
      <w:tr w:rsidR="00E3750C" w:rsidRPr="00415AB3" w14:paraId="508B09F0"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8261F7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506</w:t>
            </w:r>
          </w:p>
        </w:tc>
        <w:tc>
          <w:tcPr>
            <w:tcW w:w="705" w:type="pct"/>
            <w:tcBorders>
              <w:top w:val="nil"/>
              <w:left w:val="nil"/>
              <w:bottom w:val="single" w:sz="4" w:space="0" w:color="auto"/>
              <w:right w:val="single" w:sz="4" w:space="0" w:color="auto"/>
            </w:tcBorders>
            <w:shd w:val="clear" w:color="auto" w:fill="auto"/>
            <w:noWrap/>
            <w:vAlign w:val="center"/>
            <w:hideMark/>
          </w:tcPr>
          <w:p w14:paraId="5992C85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5051754000</w:t>
            </w:r>
          </w:p>
        </w:tc>
        <w:tc>
          <w:tcPr>
            <w:tcW w:w="547" w:type="pct"/>
            <w:tcBorders>
              <w:top w:val="nil"/>
              <w:left w:val="nil"/>
              <w:bottom w:val="single" w:sz="4" w:space="0" w:color="auto"/>
              <w:right w:val="single" w:sz="4" w:space="0" w:color="auto"/>
            </w:tcBorders>
            <w:shd w:val="clear" w:color="auto" w:fill="auto"/>
            <w:noWrap/>
            <w:vAlign w:val="center"/>
            <w:hideMark/>
          </w:tcPr>
          <w:p w14:paraId="6F1D7C5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19169884</w:t>
            </w:r>
          </w:p>
        </w:tc>
        <w:tc>
          <w:tcPr>
            <w:tcW w:w="3360" w:type="pct"/>
            <w:tcBorders>
              <w:top w:val="nil"/>
              <w:left w:val="nil"/>
              <w:bottom w:val="single" w:sz="4" w:space="0" w:color="auto"/>
              <w:right w:val="single" w:sz="4" w:space="0" w:color="auto"/>
            </w:tcBorders>
            <w:shd w:val="clear" w:color="auto" w:fill="auto"/>
            <w:vAlign w:val="center"/>
            <w:hideMark/>
          </w:tcPr>
          <w:p w14:paraId="5937E64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KMETIJSKO GOZDARSKA ZBORNICA SLOVENIJE KMETIJSKO GOZDARSKI ZAVOD NOVA GORICA</w:t>
            </w:r>
          </w:p>
        </w:tc>
      </w:tr>
      <w:tr w:rsidR="00E3750C" w:rsidRPr="00415AB3" w14:paraId="354A86A8"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109209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507</w:t>
            </w:r>
          </w:p>
        </w:tc>
        <w:tc>
          <w:tcPr>
            <w:tcW w:w="705" w:type="pct"/>
            <w:tcBorders>
              <w:top w:val="nil"/>
              <w:left w:val="nil"/>
              <w:bottom w:val="single" w:sz="4" w:space="0" w:color="auto"/>
              <w:right w:val="single" w:sz="4" w:space="0" w:color="auto"/>
            </w:tcBorders>
            <w:shd w:val="clear" w:color="auto" w:fill="auto"/>
            <w:noWrap/>
            <w:vAlign w:val="center"/>
            <w:hideMark/>
          </w:tcPr>
          <w:p w14:paraId="563429F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5095859000</w:t>
            </w:r>
          </w:p>
        </w:tc>
        <w:tc>
          <w:tcPr>
            <w:tcW w:w="547" w:type="pct"/>
            <w:tcBorders>
              <w:top w:val="nil"/>
              <w:left w:val="nil"/>
              <w:bottom w:val="single" w:sz="4" w:space="0" w:color="auto"/>
              <w:right w:val="single" w:sz="4" w:space="0" w:color="auto"/>
            </w:tcBorders>
            <w:shd w:val="clear" w:color="auto" w:fill="auto"/>
            <w:noWrap/>
            <w:vAlign w:val="center"/>
            <w:hideMark/>
          </w:tcPr>
          <w:p w14:paraId="2A3B55F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62299964</w:t>
            </w:r>
          </w:p>
        </w:tc>
        <w:tc>
          <w:tcPr>
            <w:tcW w:w="3360" w:type="pct"/>
            <w:tcBorders>
              <w:top w:val="nil"/>
              <w:left w:val="nil"/>
              <w:bottom w:val="single" w:sz="4" w:space="0" w:color="auto"/>
              <w:right w:val="single" w:sz="4" w:space="0" w:color="auto"/>
            </w:tcBorders>
            <w:shd w:val="clear" w:color="auto" w:fill="auto"/>
            <w:vAlign w:val="center"/>
            <w:hideMark/>
          </w:tcPr>
          <w:p w14:paraId="415D59C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KMETIJSKO GOZDARSKA ZBORNICA SLOVENIJE KMETIJSKO GOZDARSKI ZAVOD PTUJ</w:t>
            </w:r>
          </w:p>
        </w:tc>
      </w:tr>
      <w:tr w:rsidR="00E3750C" w:rsidRPr="00415AB3" w14:paraId="6AAB747F"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71CA09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w:t>
            </w:r>
          </w:p>
        </w:tc>
        <w:tc>
          <w:tcPr>
            <w:tcW w:w="705" w:type="pct"/>
            <w:tcBorders>
              <w:top w:val="nil"/>
              <w:left w:val="nil"/>
              <w:bottom w:val="single" w:sz="4" w:space="0" w:color="auto"/>
              <w:right w:val="single" w:sz="4" w:space="0" w:color="auto"/>
            </w:tcBorders>
            <w:shd w:val="clear" w:color="auto" w:fill="auto"/>
            <w:noWrap/>
            <w:vAlign w:val="center"/>
            <w:hideMark/>
          </w:tcPr>
          <w:p w14:paraId="7048A3B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5932165000</w:t>
            </w:r>
          </w:p>
        </w:tc>
        <w:tc>
          <w:tcPr>
            <w:tcW w:w="547" w:type="pct"/>
            <w:tcBorders>
              <w:top w:val="nil"/>
              <w:left w:val="nil"/>
              <w:bottom w:val="single" w:sz="4" w:space="0" w:color="auto"/>
              <w:right w:val="single" w:sz="4" w:space="0" w:color="auto"/>
            </w:tcBorders>
            <w:shd w:val="clear" w:color="auto" w:fill="auto"/>
            <w:noWrap/>
            <w:vAlign w:val="center"/>
            <w:hideMark/>
          </w:tcPr>
          <w:p w14:paraId="2DBE1A9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85563943</w:t>
            </w:r>
          </w:p>
        </w:tc>
        <w:tc>
          <w:tcPr>
            <w:tcW w:w="3360" w:type="pct"/>
            <w:tcBorders>
              <w:top w:val="nil"/>
              <w:left w:val="nil"/>
              <w:bottom w:val="single" w:sz="4" w:space="0" w:color="auto"/>
              <w:right w:val="single" w:sz="4" w:space="0" w:color="auto"/>
            </w:tcBorders>
            <w:shd w:val="clear" w:color="auto" w:fill="auto"/>
            <w:vAlign w:val="center"/>
            <w:hideMark/>
          </w:tcPr>
          <w:p w14:paraId="710F152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KNJIŽNICA - KULTURNI CENTER LENDAVA - LENDVAI KÖNYVTAR ÉS KULTURÁLIS KÖZPONT</w:t>
            </w:r>
          </w:p>
        </w:tc>
      </w:tr>
      <w:tr w:rsidR="00E3750C" w:rsidRPr="00415AB3" w14:paraId="5419C7C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EA12BB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509</w:t>
            </w:r>
          </w:p>
        </w:tc>
        <w:tc>
          <w:tcPr>
            <w:tcW w:w="705" w:type="pct"/>
            <w:tcBorders>
              <w:top w:val="nil"/>
              <w:left w:val="nil"/>
              <w:bottom w:val="single" w:sz="4" w:space="0" w:color="auto"/>
              <w:right w:val="single" w:sz="4" w:space="0" w:color="auto"/>
            </w:tcBorders>
            <w:shd w:val="clear" w:color="auto" w:fill="auto"/>
            <w:noWrap/>
            <w:vAlign w:val="center"/>
            <w:hideMark/>
          </w:tcPr>
          <w:p w14:paraId="1817D85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1787063000</w:t>
            </w:r>
          </w:p>
        </w:tc>
        <w:tc>
          <w:tcPr>
            <w:tcW w:w="547" w:type="pct"/>
            <w:tcBorders>
              <w:top w:val="nil"/>
              <w:left w:val="nil"/>
              <w:bottom w:val="single" w:sz="4" w:space="0" w:color="auto"/>
              <w:right w:val="single" w:sz="4" w:space="0" w:color="auto"/>
            </w:tcBorders>
            <w:shd w:val="clear" w:color="auto" w:fill="auto"/>
            <w:noWrap/>
            <w:vAlign w:val="center"/>
            <w:hideMark/>
          </w:tcPr>
          <w:p w14:paraId="65D2490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36778885</w:t>
            </w:r>
          </w:p>
        </w:tc>
        <w:tc>
          <w:tcPr>
            <w:tcW w:w="3360" w:type="pct"/>
            <w:tcBorders>
              <w:top w:val="nil"/>
              <w:left w:val="nil"/>
              <w:bottom w:val="single" w:sz="4" w:space="0" w:color="auto"/>
              <w:right w:val="single" w:sz="4" w:space="0" w:color="auto"/>
            </w:tcBorders>
            <w:shd w:val="clear" w:color="auto" w:fill="auto"/>
            <w:vAlign w:val="center"/>
            <w:hideMark/>
          </w:tcPr>
          <w:p w14:paraId="4F498FA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KNJIŽNICA ANTONA SOVRETA HRASTNIK</w:t>
            </w:r>
          </w:p>
        </w:tc>
      </w:tr>
      <w:tr w:rsidR="00E3750C" w:rsidRPr="00415AB3" w14:paraId="1C89A93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C11CE4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510</w:t>
            </w:r>
          </w:p>
        </w:tc>
        <w:tc>
          <w:tcPr>
            <w:tcW w:w="705" w:type="pct"/>
            <w:tcBorders>
              <w:top w:val="nil"/>
              <w:left w:val="nil"/>
              <w:bottom w:val="single" w:sz="4" w:space="0" w:color="auto"/>
              <w:right w:val="single" w:sz="4" w:space="0" w:color="auto"/>
            </w:tcBorders>
            <w:shd w:val="clear" w:color="auto" w:fill="auto"/>
            <w:noWrap/>
            <w:vAlign w:val="center"/>
            <w:hideMark/>
          </w:tcPr>
          <w:p w14:paraId="52240B8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5055644000</w:t>
            </w:r>
          </w:p>
        </w:tc>
        <w:tc>
          <w:tcPr>
            <w:tcW w:w="547" w:type="pct"/>
            <w:tcBorders>
              <w:top w:val="nil"/>
              <w:left w:val="nil"/>
              <w:bottom w:val="single" w:sz="4" w:space="0" w:color="auto"/>
              <w:right w:val="single" w:sz="4" w:space="0" w:color="auto"/>
            </w:tcBorders>
            <w:shd w:val="clear" w:color="auto" w:fill="auto"/>
            <w:noWrap/>
            <w:vAlign w:val="center"/>
            <w:hideMark/>
          </w:tcPr>
          <w:p w14:paraId="4BDA423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55424970</w:t>
            </w:r>
          </w:p>
        </w:tc>
        <w:tc>
          <w:tcPr>
            <w:tcW w:w="3360" w:type="pct"/>
            <w:tcBorders>
              <w:top w:val="nil"/>
              <w:left w:val="nil"/>
              <w:bottom w:val="single" w:sz="4" w:space="0" w:color="auto"/>
              <w:right w:val="single" w:sz="4" w:space="0" w:color="auto"/>
            </w:tcBorders>
            <w:shd w:val="clear" w:color="auto" w:fill="auto"/>
            <w:vAlign w:val="center"/>
            <w:hideMark/>
          </w:tcPr>
          <w:p w14:paraId="0F2BC0A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KNJIŽNICA ANTONA TOMAŽA LINHARTA RADOVLJICA</w:t>
            </w:r>
          </w:p>
        </w:tc>
      </w:tr>
      <w:tr w:rsidR="00E3750C" w:rsidRPr="00415AB3" w14:paraId="6BB78E1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82E97A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511</w:t>
            </w:r>
          </w:p>
        </w:tc>
        <w:tc>
          <w:tcPr>
            <w:tcW w:w="705" w:type="pct"/>
            <w:tcBorders>
              <w:top w:val="nil"/>
              <w:left w:val="nil"/>
              <w:bottom w:val="single" w:sz="4" w:space="0" w:color="auto"/>
              <w:right w:val="single" w:sz="4" w:space="0" w:color="auto"/>
            </w:tcBorders>
            <w:shd w:val="clear" w:color="auto" w:fill="auto"/>
            <w:noWrap/>
            <w:vAlign w:val="center"/>
            <w:hideMark/>
          </w:tcPr>
          <w:p w14:paraId="5E7D8DC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5052297000</w:t>
            </w:r>
          </w:p>
        </w:tc>
        <w:tc>
          <w:tcPr>
            <w:tcW w:w="547" w:type="pct"/>
            <w:tcBorders>
              <w:top w:val="nil"/>
              <w:left w:val="nil"/>
              <w:bottom w:val="single" w:sz="4" w:space="0" w:color="auto"/>
              <w:right w:val="single" w:sz="4" w:space="0" w:color="auto"/>
            </w:tcBorders>
            <w:shd w:val="clear" w:color="auto" w:fill="auto"/>
            <w:noWrap/>
            <w:vAlign w:val="center"/>
            <w:hideMark/>
          </w:tcPr>
          <w:p w14:paraId="11B4110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97818739</w:t>
            </w:r>
          </w:p>
        </w:tc>
        <w:tc>
          <w:tcPr>
            <w:tcW w:w="3360" w:type="pct"/>
            <w:tcBorders>
              <w:top w:val="nil"/>
              <w:left w:val="nil"/>
              <w:bottom w:val="single" w:sz="4" w:space="0" w:color="auto"/>
              <w:right w:val="single" w:sz="4" w:space="0" w:color="auto"/>
            </w:tcBorders>
            <w:shd w:val="clear" w:color="auto" w:fill="auto"/>
            <w:vAlign w:val="center"/>
            <w:hideMark/>
          </w:tcPr>
          <w:p w14:paraId="43FD692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KNJIŽNICA BENA ZUPANČIČA POSTOJNA</w:t>
            </w:r>
          </w:p>
        </w:tc>
      </w:tr>
      <w:tr w:rsidR="00E3750C" w:rsidRPr="00415AB3" w14:paraId="02B8C7D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BD3573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512</w:t>
            </w:r>
          </w:p>
        </w:tc>
        <w:tc>
          <w:tcPr>
            <w:tcW w:w="705" w:type="pct"/>
            <w:tcBorders>
              <w:top w:val="nil"/>
              <w:left w:val="nil"/>
              <w:bottom w:val="single" w:sz="4" w:space="0" w:color="auto"/>
              <w:right w:val="single" w:sz="4" w:space="0" w:color="auto"/>
            </w:tcBorders>
            <w:shd w:val="clear" w:color="auto" w:fill="auto"/>
            <w:noWrap/>
            <w:vAlign w:val="center"/>
            <w:hideMark/>
          </w:tcPr>
          <w:p w14:paraId="75C65FE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5665094000</w:t>
            </w:r>
          </w:p>
        </w:tc>
        <w:tc>
          <w:tcPr>
            <w:tcW w:w="547" w:type="pct"/>
            <w:tcBorders>
              <w:top w:val="nil"/>
              <w:left w:val="nil"/>
              <w:bottom w:val="single" w:sz="4" w:space="0" w:color="auto"/>
              <w:right w:val="single" w:sz="4" w:space="0" w:color="auto"/>
            </w:tcBorders>
            <w:shd w:val="clear" w:color="auto" w:fill="auto"/>
            <w:noWrap/>
            <w:vAlign w:val="center"/>
            <w:hideMark/>
          </w:tcPr>
          <w:p w14:paraId="565A094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60519690</w:t>
            </w:r>
          </w:p>
        </w:tc>
        <w:tc>
          <w:tcPr>
            <w:tcW w:w="3360" w:type="pct"/>
            <w:tcBorders>
              <w:top w:val="nil"/>
              <w:left w:val="nil"/>
              <w:bottom w:val="single" w:sz="4" w:space="0" w:color="auto"/>
              <w:right w:val="single" w:sz="4" w:space="0" w:color="auto"/>
            </w:tcBorders>
            <w:shd w:val="clear" w:color="auto" w:fill="auto"/>
            <w:vAlign w:val="center"/>
            <w:hideMark/>
          </w:tcPr>
          <w:p w14:paraId="57235D2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KNJIŽNICA BREŽICE</w:t>
            </w:r>
          </w:p>
        </w:tc>
      </w:tr>
      <w:tr w:rsidR="00E3750C" w:rsidRPr="00415AB3" w14:paraId="345083E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5D7E29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513</w:t>
            </w:r>
          </w:p>
        </w:tc>
        <w:tc>
          <w:tcPr>
            <w:tcW w:w="705" w:type="pct"/>
            <w:tcBorders>
              <w:top w:val="nil"/>
              <w:left w:val="nil"/>
              <w:bottom w:val="single" w:sz="4" w:space="0" w:color="auto"/>
              <w:right w:val="single" w:sz="4" w:space="0" w:color="auto"/>
            </w:tcBorders>
            <w:shd w:val="clear" w:color="auto" w:fill="auto"/>
            <w:noWrap/>
            <w:vAlign w:val="center"/>
            <w:hideMark/>
          </w:tcPr>
          <w:p w14:paraId="461D9AD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5052980000</w:t>
            </w:r>
          </w:p>
        </w:tc>
        <w:tc>
          <w:tcPr>
            <w:tcW w:w="547" w:type="pct"/>
            <w:tcBorders>
              <w:top w:val="nil"/>
              <w:left w:val="nil"/>
              <w:bottom w:val="single" w:sz="4" w:space="0" w:color="auto"/>
              <w:right w:val="single" w:sz="4" w:space="0" w:color="auto"/>
            </w:tcBorders>
            <w:shd w:val="clear" w:color="auto" w:fill="auto"/>
            <w:noWrap/>
            <w:vAlign w:val="center"/>
            <w:hideMark/>
          </w:tcPr>
          <w:p w14:paraId="78CB34D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94679479</w:t>
            </w:r>
          </w:p>
        </w:tc>
        <w:tc>
          <w:tcPr>
            <w:tcW w:w="3360" w:type="pct"/>
            <w:tcBorders>
              <w:top w:val="nil"/>
              <w:left w:val="nil"/>
              <w:bottom w:val="single" w:sz="4" w:space="0" w:color="auto"/>
              <w:right w:val="single" w:sz="4" w:space="0" w:color="auto"/>
            </w:tcBorders>
            <w:shd w:val="clear" w:color="auto" w:fill="auto"/>
            <w:vAlign w:val="center"/>
            <w:hideMark/>
          </w:tcPr>
          <w:p w14:paraId="26B6225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KNJIŽNICA CIRILA KOSMAČA TOLMIN</w:t>
            </w:r>
          </w:p>
        </w:tc>
      </w:tr>
      <w:tr w:rsidR="00E3750C" w:rsidRPr="00415AB3" w14:paraId="45BE3B9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FE0168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514</w:t>
            </w:r>
          </w:p>
        </w:tc>
        <w:tc>
          <w:tcPr>
            <w:tcW w:w="705" w:type="pct"/>
            <w:tcBorders>
              <w:top w:val="nil"/>
              <w:left w:val="nil"/>
              <w:bottom w:val="single" w:sz="4" w:space="0" w:color="auto"/>
              <w:right w:val="single" w:sz="4" w:space="0" w:color="auto"/>
            </w:tcBorders>
            <w:shd w:val="clear" w:color="auto" w:fill="auto"/>
            <w:noWrap/>
            <w:vAlign w:val="center"/>
            <w:hideMark/>
          </w:tcPr>
          <w:p w14:paraId="22CCC69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1924559000</w:t>
            </w:r>
          </w:p>
        </w:tc>
        <w:tc>
          <w:tcPr>
            <w:tcW w:w="547" w:type="pct"/>
            <w:tcBorders>
              <w:top w:val="nil"/>
              <w:left w:val="nil"/>
              <w:bottom w:val="single" w:sz="4" w:space="0" w:color="auto"/>
              <w:right w:val="single" w:sz="4" w:space="0" w:color="auto"/>
            </w:tcBorders>
            <w:shd w:val="clear" w:color="auto" w:fill="auto"/>
            <w:noWrap/>
            <w:vAlign w:val="center"/>
            <w:hideMark/>
          </w:tcPr>
          <w:p w14:paraId="24EBFD6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86832751</w:t>
            </w:r>
          </w:p>
        </w:tc>
        <w:tc>
          <w:tcPr>
            <w:tcW w:w="3360" w:type="pct"/>
            <w:tcBorders>
              <w:top w:val="nil"/>
              <w:left w:val="nil"/>
              <w:bottom w:val="single" w:sz="4" w:space="0" w:color="auto"/>
              <w:right w:val="single" w:sz="4" w:space="0" w:color="auto"/>
            </w:tcBorders>
            <w:shd w:val="clear" w:color="auto" w:fill="auto"/>
            <w:vAlign w:val="center"/>
            <w:hideMark/>
          </w:tcPr>
          <w:p w14:paraId="0C6625A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KNJIŽNICA ČRNOMELJ</w:t>
            </w:r>
          </w:p>
        </w:tc>
      </w:tr>
      <w:tr w:rsidR="00E3750C" w:rsidRPr="00415AB3" w14:paraId="661A940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E01399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515</w:t>
            </w:r>
          </w:p>
        </w:tc>
        <w:tc>
          <w:tcPr>
            <w:tcW w:w="705" w:type="pct"/>
            <w:tcBorders>
              <w:top w:val="nil"/>
              <w:left w:val="nil"/>
              <w:bottom w:val="single" w:sz="4" w:space="0" w:color="auto"/>
              <w:right w:val="single" w:sz="4" w:space="0" w:color="auto"/>
            </w:tcBorders>
            <w:shd w:val="clear" w:color="auto" w:fill="auto"/>
            <w:noWrap/>
            <w:vAlign w:val="center"/>
            <w:hideMark/>
          </w:tcPr>
          <w:p w14:paraId="000A597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5269849000</w:t>
            </w:r>
          </w:p>
        </w:tc>
        <w:tc>
          <w:tcPr>
            <w:tcW w:w="547" w:type="pct"/>
            <w:tcBorders>
              <w:top w:val="nil"/>
              <w:left w:val="nil"/>
              <w:bottom w:val="single" w:sz="4" w:space="0" w:color="auto"/>
              <w:right w:val="single" w:sz="4" w:space="0" w:color="auto"/>
            </w:tcBorders>
            <w:shd w:val="clear" w:color="auto" w:fill="auto"/>
            <w:noWrap/>
            <w:vAlign w:val="center"/>
            <w:hideMark/>
          </w:tcPr>
          <w:p w14:paraId="2817631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79466591</w:t>
            </w:r>
          </w:p>
        </w:tc>
        <w:tc>
          <w:tcPr>
            <w:tcW w:w="3360" w:type="pct"/>
            <w:tcBorders>
              <w:top w:val="nil"/>
              <w:left w:val="nil"/>
              <w:bottom w:val="single" w:sz="4" w:space="0" w:color="auto"/>
              <w:right w:val="single" w:sz="4" w:space="0" w:color="auto"/>
            </w:tcBorders>
            <w:shd w:val="clear" w:color="auto" w:fill="auto"/>
            <w:vAlign w:val="center"/>
            <w:hideMark/>
          </w:tcPr>
          <w:p w14:paraId="2440D43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KNJIŽNICA DOMŽALE</w:t>
            </w:r>
          </w:p>
        </w:tc>
      </w:tr>
      <w:tr w:rsidR="00E3750C" w:rsidRPr="00415AB3" w14:paraId="6B6D245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4ACC98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516</w:t>
            </w:r>
          </w:p>
        </w:tc>
        <w:tc>
          <w:tcPr>
            <w:tcW w:w="705" w:type="pct"/>
            <w:tcBorders>
              <w:top w:val="nil"/>
              <w:left w:val="nil"/>
              <w:bottom w:val="single" w:sz="4" w:space="0" w:color="auto"/>
              <w:right w:val="single" w:sz="4" w:space="0" w:color="auto"/>
            </w:tcBorders>
            <w:shd w:val="clear" w:color="auto" w:fill="auto"/>
            <w:noWrap/>
            <w:vAlign w:val="center"/>
            <w:hideMark/>
          </w:tcPr>
          <w:p w14:paraId="13BBE76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1451120000</w:t>
            </w:r>
          </w:p>
        </w:tc>
        <w:tc>
          <w:tcPr>
            <w:tcW w:w="547" w:type="pct"/>
            <w:tcBorders>
              <w:top w:val="nil"/>
              <w:left w:val="nil"/>
              <w:bottom w:val="single" w:sz="4" w:space="0" w:color="auto"/>
              <w:right w:val="single" w:sz="4" w:space="0" w:color="auto"/>
            </w:tcBorders>
            <w:shd w:val="clear" w:color="auto" w:fill="auto"/>
            <w:noWrap/>
            <w:vAlign w:val="center"/>
            <w:hideMark/>
          </w:tcPr>
          <w:p w14:paraId="2AA85BF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93811403</w:t>
            </w:r>
          </w:p>
        </w:tc>
        <w:tc>
          <w:tcPr>
            <w:tcW w:w="3360" w:type="pct"/>
            <w:tcBorders>
              <w:top w:val="nil"/>
              <w:left w:val="nil"/>
              <w:bottom w:val="single" w:sz="4" w:space="0" w:color="auto"/>
              <w:right w:val="single" w:sz="4" w:space="0" w:color="auto"/>
            </w:tcBorders>
            <w:shd w:val="clear" w:color="auto" w:fill="auto"/>
            <w:vAlign w:val="center"/>
            <w:hideMark/>
          </w:tcPr>
          <w:p w14:paraId="17DBEF0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KNJIŽNICA DR. TONETA PRETNARJA</w:t>
            </w:r>
          </w:p>
        </w:tc>
      </w:tr>
      <w:tr w:rsidR="00E3750C" w:rsidRPr="00415AB3" w14:paraId="4977081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518578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517</w:t>
            </w:r>
          </w:p>
        </w:tc>
        <w:tc>
          <w:tcPr>
            <w:tcW w:w="705" w:type="pct"/>
            <w:tcBorders>
              <w:top w:val="nil"/>
              <w:left w:val="nil"/>
              <w:bottom w:val="single" w:sz="4" w:space="0" w:color="auto"/>
              <w:right w:val="single" w:sz="4" w:space="0" w:color="auto"/>
            </w:tcBorders>
            <w:shd w:val="clear" w:color="auto" w:fill="auto"/>
            <w:noWrap/>
            <w:vAlign w:val="center"/>
            <w:hideMark/>
          </w:tcPr>
          <w:p w14:paraId="21E1BC5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1273957000</w:t>
            </w:r>
          </w:p>
        </w:tc>
        <w:tc>
          <w:tcPr>
            <w:tcW w:w="547" w:type="pct"/>
            <w:tcBorders>
              <w:top w:val="nil"/>
              <w:left w:val="nil"/>
              <w:bottom w:val="single" w:sz="4" w:space="0" w:color="auto"/>
              <w:right w:val="single" w:sz="4" w:space="0" w:color="auto"/>
            </w:tcBorders>
            <w:shd w:val="clear" w:color="auto" w:fill="auto"/>
            <w:noWrap/>
            <w:vAlign w:val="center"/>
            <w:hideMark/>
          </w:tcPr>
          <w:p w14:paraId="6C04271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74525344</w:t>
            </w:r>
          </w:p>
        </w:tc>
        <w:tc>
          <w:tcPr>
            <w:tcW w:w="3360" w:type="pct"/>
            <w:tcBorders>
              <w:top w:val="nil"/>
              <w:left w:val="nil"/>
              <w:bottom w:val="single" w:sz="4" w:space="0" w:color="auto"/>
              <w:right w:val="single" w:sz="4" w:space="0" w:color="auto"/>
            </w:tcBorders>
            <w:shd w:val="clear" w:color="auto" w:fill="auto"/>
            <w:vAlign w:val="center"/>
            <w:hideMark/>
          </w:tcPr>
          <w:p w14:paraId="765C2EA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KNJIŽNICA DRAVOGRAD</w:t>
            </w:r>
          </w:p>
        </w:tc>
      </w:tr>
      <w:tr w:rsidR="00E3750C" w:rsidRPr="00415AB3" w14:paraId="65CD848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67E86E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518</w:t>
            </w:r>
          </w:p>
        </w:tc>
        <w:tc>
          <w:tcPr>
            <w:tcW w:w="705" w:type="pct"/>
            <w:tcBorders>
              <w:top w:val="nil"/>
              <w:left w:val="nil"/>
              <w:bottom w:val="single" w:sz="4" w:space="0" w:color="auto"/>
              <w:right w:val="single" w:sz="4" w:space="0" w:color="auto"/>
            </w:tcBorders>
            <w:shd w:val="clear" w:color="auto" w:fill="auto"/>
            <w:noWrap/>
            <w:vAlign w:val="center"/>
            <w:hideMark/>
          </w:tcPr>
          <w:p w14:paraId="6F0AA50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5627460000</w:t>
            </w:r>
          </w:p>
        </w:tc>
        <w:tc>
          <w:tcPr>
            <w:tcW w:w="547" w:type="pct"/>
            <w:tcBorders>
              <w:top w:val="nil"/>
              <w:left w:val="nil"/>
              <w:bottom w:val="single" w:sz="4" w:space="0" w:color="auto"/>
              <w:right w:val="single" w:sz="4" w:space="0" w:color="auto"/>
            </w:tcBorders>
            <w:shd w:val="clear" w:color="auto" w:fill="auto"/>
            <w:noWrap/>
            <w:vAlign w:val="center"/>
            <w:hideMark/>
          </w:tcPr>
          <w:p w14:paraId="066B199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88074412</w:t>
            </w:r>
          </w:p>
        </w:tc>
        <w:tc>
          <w:tcPr>
            <w:tcW w:w="3360" w:type="pct"/>
            <w:tcBorders>
              <w:top w:val="nil"/>
              <w:left w:val="nil"/>
              <w:bottom w:val="single" w:sz="4" w:space="0" w:color="auto"/>
              <w:right w:val="single" w:sz="4" w:space="0" w:color="auto"/>
            </w:tcBorders>
            <w:shd w:val="clear" w:color="auto" w:fill="auto"/>
            <w:vAlign w:val="center"/>
            <w:hideMark/>
          </w:tcPr>
          <w:p w14:paraId="55C0F03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KNJIŽNICA FRANCA KSAVRA MEŠKA ORMOŽ</w:t>
            </w:r>
          </w:p>
        </w:tc>
      </w:tr>
      <w:tr w:rsidR="00E3750C" w:rsidRPr="00415AB3" w14:paraId="337767F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862924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519</w:t>
            </w:r>
          </w:p>
        </w:tc>
        <w:tc>
          <w:tcPr>
            <w:tcW w:w="705" w:type="pct"/>
            <w:tcBorders>
              <w:top w:val="nil"/>
              <w:left w:val="nil"/>
              <w:bottom w:val="single" w:sz="4" w:space="0" w:color="auto"/>
              <w:right w:val="single" w:sz="4" w:space="0" w:color="auto"/>
            </w:tcBorders>
            <w:shd w:val="clear" w:color="auto" w:fill="auto"/>
            <w:noWrap/>
            <w:vAlign w:val="center"/>
            <w:hideMark/>
          </w:tcPr>
          <w:p w14:paraId="18936A9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5543452000</w:t>
            </w:r>
          </w:p>
        </w:tc>
        <w:tc>
          <w:tcPr>
            <w:tcW w:w="547" w:type="pct"/>
            <w:tcBorders>
              <w:top w:val="nil"/>
              <w:left w:val="nil"/>
              <w:bottom w:val="single" w:sz="4" w:space="0" w:color="auto"/>
              <w:right w:val="single" w:sz="4" w:space="0" w:color="auto"/>
            </w:tcBorders>
            <w:shd w:val="clear" w:color="auto" w:fill="auto"/>
            <w:noWrap/>
            <w:vAlign w:val="center"/>
            <w:hideMark/>
          </w:tcPr>
          <w:p w14:paraId="6A6CFBC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20620586</w:t>
            </w:r>
          </w:p>
        </w:tc>
        <w:tc>
          <w:tcPr>
            <w:tcW w:w="3360" w:type="pct"/>
            <w:tcBorders>
              <w:top w:val="nil"/>
              <w:left w:val="nil"/>
              <w:bottom w:val="single" w:sz="4" w:space="0" w:color="auto"/>
              <w:right w:val="single" w:sz="4" w:space="0" w:color="auto"/>
            </w:tcBorders>
            <w:shd w:val="clear" w:color="auto" w:fill="auto"/>
            <w:vAlign w:val="center"/>
            <w:hideMark/>
          </w:tcPr>
          <w:p w14:paraId="72048BE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KNJIŽNICA FRANCETA BALANTIČA KAMNIK</w:t>
            </w:r>
          </w:p>
        </w:tc>
      </w:tr>
      <w:tr w:rsidR="00E3750C" w:rsidRPr="00415AB3" w14:paraId="13C0924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6DB78B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520</w:t>
            </w:r>
          </w:p>
        </w:tc>
        <w:tc>
          <w:tcPr>
            <w:tcW w:w="705" w:type="pct"/>
            <w:tcBorders>
              <w:top w:val="nil"/>
              <w:left w:val="nil"/>
              <w:bottom w:val="single" w:sz="4" w:space="0" w:color="auto"/>
              <w:right w:val="single" w:sz="4" w:space="0" w:color="auto"/>
            </w:tcBorders>
            <w:shd w:val="clear" w:color="auto" w:fill="auto"/>
            <w:noWrap/>
            <w:vAlign w:val="center"/>
            <w:hideMark/>
          </w:tcPr>
          <w:p w14:paraId="2CB3017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5052815000</w:t>
            </w:r>
          </w:p>
        </w:tc>
        <w:tc>
          <w:tcPr>
            <w:tcW w:w="547" w:type="pct"/>
            <w:tcBorders>
              <w:top w:val="nil"/>
              <w:left w:val="nil"/>
              <w:bottom w:val="single" w:sz="4" w:space="0" w:color="auto"/>
              <w:right w:val="single" w:sz="4" w:space="0" w:color="auto"/>
            </w:tcBorders>
            <w:shd w:val="clear" w:color="auto" w:fill="auto"/>
            <w:noWrap/>
            <w:vAlign w:val="center"/>
            <w:hideMark/>
          </w:tcPr>
          <w:p w14:paraId="6A4BE4C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75749319</w:t>
            </w:r>
          </w:p>
        </w:tc>
        <w:tc>
          <w:tcPr>
            <w:tcW w:w="3360" w:type="pct"/>
            <w:tcBorders>
              <w:top w:val="nil"/>
              <w:left w:val="nil"/>
              <w:bottom w:val="single" w:sz="4" w:space="0" w:color="auto"/>
              <w:right w:val="single" w:sz="4" w:space="0" w:color="auto"/>
            </w:tcBorders>
            <w:shd w:val="clear" w:color="auto" w:fill="auto"/>
            <w:vAlign w:val="center"/>
            <w:hideMark/>
          </w:tcPr>
          <w:p w14:paraId="7C95A3F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KNJIŽNICA IVANA POTRČA PTUJ</w:t>
            </w:r>
          </w:p>
        </w:tc>
      </w:tr>
      <w:tr w:rsidR="00E3750C" w:rsidRPr="00415AB3" w14:paraId="57719C8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DB95DC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521</w:t>
            </w:r>
          </w:p>
        </w:tc>
        <w:tc>
          <w:tcPr>
            <w:tcW w:w="705" w:type="pct"/>
            <w:tcBorders>
              <w:top w:val="nil"/>
              <w:left w:val="nil"/>
              <w:bottom w:val="single" w:sz="4" w:space="0" w:color="auto"/>
              <w:right w:val="single" w:sz="4" w:space="0" w:color="auto"/>
            </w:tcBorders>
            <w:shd w:val="clear" w:color="auto" w:fill="auto"/>
            <w:noWrap/>
            <w:vAlign w:val="center"/>
            <w:hideMark/>
          </w:tcPr>
          <w:p w14:paraId="2B4F71E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5052963000</w:t>
            </w:r>
          </w:p>
        </w:tc>
        <w:tc>
          <w:tcPr>
            <w:tcW w:w="547" w:type="pct"/>
            <w:tcBorders>
              <w:top w:val="nil"/>
              <w:left w:val="nil"/>
              <w:bottom w:val="single" w:sz="4" w:space="0" w:color="auto"/>
              <w:right w:val="single" w:sz="4" w:space="0" w:color="auto"/>
            </w:tcBorders>
            <w:shd w:val="clear" w:color="auto" w:fill="auto"/>
            <w:noWrap/>
            <w:vAlign w:val="center"/>
            <w:hideMark/>
          </w:tcPr>
          <w:p w14:paraId="21D1D09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27048870</w:t>
            </w:r>
          </w:p>
        </w:tc>
        <w:tc>
          <w:tcPr>
            <w:tcW w:w="3360" w:type="pct"/>
            <w:tcBorders>
              <w:top w:val="nil"/>
              <w:left w:val="nil"/>
              <w:bottom w:val="single" w:sz="4" w:space="0" w:color="auto"/>
              <w:right w:val="single" w:sz="4" w:space="0" w:color="auto"/>
            </w:tcBorders>
            <w:shd w:val="clear" w:color="auto" w:fill="auto"/>
            <w:vAlign w:val="center"/>
            <w:hideMark/>
          </w:tcPr>
          <w:p w14:paraId="093BD54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KNJIŽNICA IVANA TAVČARJA ŠKOFJA LOKA</w:t>
            </w:r>
          </w:p>
        </w:tc>
      </w:tr>
      <w:tr w:rsidR="00E3750C" w:rsidRPr="00415AB3" w14:paraId="750F857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C8F709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522</w:t>
            </w:r>
          </w:p>
        </w:tc>
        <w:tc>
          <w:tcPr>
            <w:tcW w:w="705" w:type="pct"/>
            <w:tcBorders>
              <w:top w:val="nil"/>
              <w:left w:val="nil"/>
              <w:bottom w:val="single" w:sz="4" w:space="0" w:color="auto"/>
              <w:right w:val="single" w:sz="4" w:space="0" w:color="auto"/>
            </w:tcBorders>
            <w:shd w:val="clear" w:color="auto" w:fill="auto"/>
            <w:noWrap/>
            <w:vAlign w:val="center"/>
            <w:hideMark/>
          </w:tcPr>
          <w:p w14:paraId="65DF208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5052939000</w:t>
            </w:r>
          </w:p>
        </w:tc>
        <w:tc>
          <w:tcPr>
            <w:tcW w:w="547" w:type="pct"/>
            <w:tcBorders>
              <w:top w:val="nil"/>
              <w:left w:val="nil"/>
              <w:bottom w:val="single" w:sz="4" w:space="0" w:color="auto"/>
              <w:right w:val="single" w:sz="4" w:space="0" w:color="auto"/>
            </w:tcBorders>
            <w:shd w:val="clear" w:color="auto" w:fill="auto"/>
            <w:noWrap/>
            <w:vAlign w:val="center"/>
            <w:hideMark/>
          </w:tcPr>
          <w:p w14:paraId="3BEED1E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38720671</w:t>
            </w:r>
          </w:p>
        </w:tc>
        <w:tc>
          <w:tcPr>
            <w:tcW w:w="3360" w:type="pct"/>
            <w:tcBorders>
              <w:top w:val="nil"/>
              <w:left w:val="nil"/>
              <w:bottom w:val="single" w:sz="4" w:space="0" w:color="auto"/>
              <w:right w:val="single" w:sz="4" w:space="0" w:color="auto"/>
            </w:tcBorders>
            <w:shd w:val="clear" w:color="auto" w:fill="auto"/>
            <w:vAlign w:val="center"/>
            <w:hideMark/>
          </w:tcPr>
          <w:p w14:paraId="53F83B8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KNJIŽNICA JOSIPA VOŠNJAKA SLOVENSKA BISTRICA</w:t>
            </w:r>
          </w:p>
        </w:tc>
      </w:tr>
      <w:tr w:rsidR="00E3750C" w:rsidRPr="00415AB3" w14:paraId="318573F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F815DD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523</w:t>
            </w:r>
          </w:p>
        </w:tc>
        <w:tc>
          <w:tcPr>
            <w:tcW w:w="705" w:type="pct"/>
            <w:tcBorders>
              <w:top w:val="nil"/>
              <w:left w:val="nil"/>
              <w:bottom w:val="single" w:sz="4" w:space="0" w:color="auto"/>
              <w:right w:val="single" w:sz="4" w:space="0" w:color="auto"/>
            </w:tcBorders>
            <w:shd w:val="clear" w:color="auto" w:fill="auto"/>
            <w:noWrap/>
            <w:vAlign w:val="center"/>
            <w:hideMark/>
          </w:tcPr>
          <w:p w14:paraId="50F9A89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5818508000</w:t>
            </w:r>
          </w:p>
        </w:tc>
        <w:tc>
          <w:tcPr>
            <w:tcW w:w="547" w:type="pct"/>
            <w:tcBorders>
              <w:top w:val="nil"/>
              <w:left w:val="nil"/>
              <w:bottom w:val="single" w:sz="4" w:space="0" w:color="auto"/>
              <w:right w:val="single" w:sz="4" w:space="0" w:color="auto"/>
            </w:tcBorders>
            <w:shd w:val="clear" w:color="auto" w:fill="auto"/>
            <w:noWrap/>
            <w:vAlign w:val="center"/>
            <w:hideMark/>
          </w:tcPr>
          <w:p w14:paraId="14C59E9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44918160</w:t>
            </w:r>
          </w:p>
        </w:tc>
        <w:tc>
          <w:tcPr>
            <w:tcW w:w="3360" w:type="pct"/>
            <w:tcBorders>
              <w:top w:val="nil"/>
              <w:left w:val="nil"/>
              <w:bottom w:val="single" w:sz="4" w:space="0" w:color="auto"/>
              <w:right w:val="single" w:sz="4" w:space="0" w:color="auto"/>
            </w:tcBorders>
            <w:shd w:val="clear" w:color="auto" w:fill="auto"/>
            <w:vAlign w:val="center"/>
            <w:hideMark/>
          </w:tcPr>
          <w:p w14:paraId="7C61083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KNJIŽNICA JOŽETA UDOVIČA CERKNICA</w:t>
            </w:r>
          </w:p>
        </w:tc>
      </w:tr>
      <w:tr w:rsidR="00E3750C" w:rsidRPr="00415AB3" w14:paraId="75E0F2C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7BE649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524</w:t>
            </w:r>
          </w:p>
        </w:tc>
        <w:tc>
          <w:tcPr>
            <w:tcW w:w="705" w:type="pct"/>
            <w:tcBorders>
              <w:top w:val="nil"/>
              <w:left w:val="nil"/>
              <w:bottom w:val="single" w:sz="4" w:space="0" w:color="auto"/>
              <w:right w:val="single" w:sz="4" w:space="0" w:color="auto"/>
            </w:tcBorders>
            <w:shd w:val="clear" w:color="auto" w:fill="auto"/>
            <w:noWrap/>
            <w:vAlign w:val="center"/>
            <w:hideMark/>
          </w:tcPr>
          <w:p w14:paraId="0E25752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5518164000</w:t>
            </w:r>
          </w:p>
        </w:tc>
        <w:tc>
          <w:tcPr>
            <w:tcW w:w="547" w:type="pct"/>
            <w:tcBorders>
              <w:top w:val="nil"/>
              <w:left w:val="nil"/>
              <w:bottom w:val="single" w:sz="4" w:space="0" w:color="auto"/>
              <w:right w:val="single" w:sz="4" w:space="0" w:color="auto"/>
            </w:tcBorders>
            <w:shd w:val="clear" w:color="auto" w:fill="auto"/>
            <w:noWrap/>
            <w:vAlign w:val="center"/>
            <w:hideMark/>
          </w:tcPr>
          <w:p w14:paraId="4E0C4EE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60703067</w:t>
            </w:r>
          </w:p>
        </w:tc>
        <w:tc>
          <w:tcPr>
            <w:tcW w:w="3360" w:type="pct"/>
            <w:tcBorders>
              <w:top w:val="nil"/>
              <w:left w:val="nil"/>
              <w:bottom w:val="single" w:sz="4" w:space="0" w:color="auto"/>
              <w:right w:val="single" w:sz="4" w:space="0" w:color="auto"/>
            </w:tcBorders>
            <w:shd w:val="clear" w:color="auto" w:fill="auto"/>
            <w:vAlign w:val="center"/>
            <w:hideMark/>
          </w:tcPr>
          <w:p w14:paraId="493AF54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KNJIŽNICA KSAVERJA MEŠKA SLOVENJ GRADEC</w:t>
            </w:r>
          </w:p>
        </w:tc>
      </w:tr>
      <w:tr w:rsidR="00E3750C" w:rsidRPr="00415AB3" w14:paraId="6A7B01C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1CE561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525</w:t>
            </w:r>
          </w:p>
        </w:tc>
        <w:tc>
          <w:tcPr>
            <w:tcW w:w="705" w:type="pct"/>
            <w:tcBorders>
              <w:top w:val="nil"/>
              <w:left w:val="nil"/>
              <w:bottom w:val="single" w:sz="4" w:space="0" w:color="auto"/>
              <w:right w:val="single" w:sz="4" w:space="0" w:color="auto"/>
            </w:tcBorders>
            <w:shd w:val="clear" w:color="auto" w:fill="auto"/>
            <w:noWrap/>
            <w:vAlign w:val="center"/>
            <w:hideMark/>
          </w:tcPr>
          <w:p w14:paraId="73C8B69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1917269000</w:t>
            </w:r>
          </w:p>
        </w:tc>
        <w:tc>
          <w:tcPr>
            <w:tcW w:w="547" w:type="pct"/>
            <w:tcBorders>
              <w:top w:val="nil"/>
              <w:left w:val="nil"/>
              <w:bottom w:val="single" w:sz="4" w:space="0" w:color="auto"/>
              <w:right w:val="single" w:sz="4" w:space="0" w:color="auto"/>
            </w:tcBorders>
            <w:shd w:val="clear" w:color="auto" w:fill="auto"/>
            <w:noWrap/>
            <w:vAlign w:val="center"/>
            <w:hideMark/>
          </w:tcPr>
          <w:p w14:paraId="7611DF0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16672500</w:t>
            </w:r>
          </w:p>
        </w:tc>
        <w:tc>
          <w:tcPr>
            <w:tcW w:w="3360" w:type="pct"/>
            <w:tcBorders>
              <w:top w:val="nil"/>
              <w:left w:val="nil"/>
              <w:bottom w:val="single" w:sz="4" w:space="0" w:color="auto"/>
              <w:right w:val="single" w:sz="4" w:space="0" w:color="auto"/>
            </w:tcBorders>
            <w:shd w:val="clear" w:color="auto" w:fill="auto"/>
            <w:vAlign w:val="center"/>
            <w:hideMark/>
          </w:tcPr>
          <w:p w14:paraId="26A6DD0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KNJIŽNICA LITIJA</w:t>
            </w:r>
          </w:p>
        </w:tc>
      </w:tr>
      <w:tr w:rsidR="00E3750C" w:rsidRPr="00415AB3" w14:paraId="638FAC0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C00292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526</w:t>
            </w:r>
          </w:p>
        </w:tc>
        <w:tc>
          <w:tcPr>
            <w:tcW w:w="705" w:type="pct"/>
            <w:tcBorders>
              <w:top w:val="nil"/>
              <w:left w:val="nil"/>
              <w:bottom w:val="single" w:sz="4" w:space="0" w:color="auto"/>
              <w:right w:val="single" w:sz="4" w:space="0" w:color="auto"/>
            </w:tcBorders>
            <w:shd w:val="clear" w:color="auto" w:fill="auto"/>
            <w:noWrap/>
            <w:vAlign w:val="center"/>
            <w:hideMark/>
          </w:tcPr>
          <w:p w14:paraId="7D3697C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5051860000</w:t>
            </w:r>
          </w:p>
        </w:tc>
        <w:tc>
          <w:tcPr>
            <w:tcW w:w="547" w:type="pct"/>
            <w:tcBorders>
              <w:top w:val="nil"/>
              <w:left w:val="nil"/>
              <w:bottom w:val="single" w:sz="4" w:space="0" w:color="auto"/>
              <w:right w:val="single" w:sz="4" w:space="0" w:color="auto"/>
            </w:tcBorders>
            <w:shd w:val="clear" w:color="auto" w:fill="auto"/>
            <w:noWrap/>
            <w:vAlign w:val="center"/>
            <w:hideMark/>
          </w:tcPr>
          <w:p w14:paraId="326A71E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57869197</w:t>
            </w:r>
          </w:p>
        </w:tc>
        <w:tc>
          <w:tcPr>
            <w:tcW w:w="3360" w:type="pct"/>
            <w:tcBorders>
              <w:top w:val="nil"/>
              <w:left w:val="nil"/>
              <w:bottom w:val="single" w:sz="4" w:space="0" w:color="auto"/>
              <w:right w:val="single" w:sz="4" w:space="0" w:color="auto"/>
            </w:tcBorders>
            <w:shd w:val="clear" w:color="auto" w:fill="auto"/>
            <w:vAlign w:val="center"/>
            <w:hideMark/>
          </w:tcPr>
          <w:p w14:paraId="389FBFD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KNJIŽNICA MAKSE SAMSA ILIRSKA BISTRICA</w:t>
            </w:r>
          </w:p>
        </w:tc>
      </w:tr>
      <w:tr w:rsidR="00E3750C" w:rsidRPr="00415AB3" w14:paraId="2F2314C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9C6FA8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527</w:t>
            </w:r>
          </w:p>
        </w:tc>
        <w:tc>
          <w:tcPr>
            <w:tcW w:w="705" w:type="pct"/>
            <w:tcBorders>
              <w:top w:val="nil"/>
              <w:left w:val="nil"/>
              <w:bottom w:val="single" w:sz="4" w:space="0" w:color="auto"/>
              <w:right w:val="single" w:sz="4" w:space="0" w:color="auto"/>
            </w:tcBorders>
            <w:shd w:val="clear" w:color="auto" w:fill="auto"/>
            <w:noWrap/>
            <w:vAlign w:val="center"/>
            <w:hideMark/>
          </w:tcPr>
          <w:p w14:paraId="01860E8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3517608000</w:t>
            </w:r>
          </w:p>
        </w:tc>
        <w:tc>
          <w:tcPr>
            <w:tcW w:w="547" w:type="pct"/>
            <w:tcBorders>
              <w:top w:val="nil"/>
              <w:left w:val="nil"/>
              <w:bottom w:val="single" w:sz="4" w:space="0" w:color="auto"/>
              <w:right w:val="single" w:sz="4" w:space="0" w:color="auto"/>
            </w:tcBorders>
            <w:shd w:val="clear" w:color="auto" w:fill="auto"/>
            <w:noWrap/>
            <w:vAlign w:val="center"/>
            <w:hideMark/>
          </w:tcPr>
          <w:p w14:paraId="0EE7D95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68239459</w:t>
            </w:r>
          </w:p>
        </w:tc>
        <w:tc>
          <w:tcPr>
            <w:tcW w:w="3360" w:type="pct"/>
            <w:tcBorders>
              <w:top w:val="nil"/>
              <w:left w:val="nil"/>
              <w:bottom w:val="single" w:sz="4" w:space="0" w:color="auto"/>
              <w:right w:val="single" w:sz="4" w:space="0" w:color="auto"/>
            </w:tcBorders>
            <w:shd w:val="clear" w:color="auto" w:fill="auto"/>
            <w:vAlign w:val="center"/>
            <w:hideMark/>
          </w:tcPr>
          <w:p w14:paraId="6F8A7E7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KNJIŽNICA MEDVODE</w:t>
            </w:r>
          </w:p>
        </w:tc>
      </w:tr>
      <w:tr w:rsidR="00E3750C" w:rsidRPr="00415AB3" w14:paraId="4BDAE4C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FE101A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528</w:t>
            </w:r>
          </w:p>
        </w:tc>
        <w:tc>
          <w:tcPr>
            <w:tcW w:w="705" w:type="pct"/>
            <w:tcBorders>
              <w:top w:val="nil"/>
              <w:left w:val="nil"/>
              <w:bottom w:val="single" w:sz="4" w:space="0" w:color="auto"/>
              <w:right w:val="single" w:sz="4" w:space="0" w:color="auto"/>
            </w:tcBorders>
            <w:shd w:val="clear" w:color="auto" w:fill="auto"/>
            <w:noWrap/>
            <w:vAlign w:val="center"/>
            <w:hideMark/>
          </w:tcPr>
          <w:p w14:paraId="2609BBC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5052220000</w:t>
            </w:r>
          </w:p>
        </w:tc>
        <w:tc>
          <w:tcPr>
            <w:tcW w:w="547" w:type="pct"/>
            <w:tcBorders>
              <w:top w:val="nil"/>
              <w:left w:val="nil"/>
              <w:bottom w:val="single" w:sz="4" w:space="0" w:color="auto"/>
              <w:right w:val="single" w:sz="4" w:space="0" w:color="auto"/>
            </w:tcBorders>
            <w:shd w:val="clear" w:color="auto" w:fill="auto"/>
            <w:noWrap/>
            <w:vAlign w:val="center"/>
            <w:hideMark/>
          </w:tcPr>
          <w:p w14:paraId="5E74FBF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17928095</w:t>
            </w:r>
          </w:p>
        </w:tc>
        <w:tc>
          <w:tcPr>
            <w:tcW w:w="3360" w:type="pct"/>
            <w:tcBorders>
              <w:top w:val="nil"/>
              <w:left w:val="nil"/>
              <w:bottom w:val="single" w:sz="4" w:space="0" w:color="auto"/>
              <w:right w:val="single" w:sz="4" w:space="0" w:color="auto"/>
            </w:tcBorders>
            <w:shd w:val="clear" w:color="auto" w:fill="auto"/>
            <w:vAlign w:val="center"/>
            <w:hideMark/>
          </w:tcPr>
          <w:p w14:paraId="48F3CBB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KNJIŽNICA MIRANA JARCA NOVO MESTO</w:t>
            </w:r>
          </w:p>
        </w:tc>
      </w:tr>
      <w:tr w:rsidR="00E3750C" w:rsidRPr="00415AB3" w14:paraId="2166AC8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788649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529</w:t>
            </w:r>
          </w:p>
        </w:tc>
        <w:tc>
          <w:tcPr>
            <w:tcW w:w="705" w:type="pct"/>
            <w:tcBorders>
              <w:top w:val="nil"/>
              <w:left w:val="nil"/>
              <w:bottom w:val="single" w:sz="4" w:space="0" w:color="auto"/>
              <w:right w:val="single" w:sz="4" w:space="0" w:color="auto"/>
            </w:tcBorders>
            <w:shd w:val="clear" w:color="auto" w:fill="auto"/>
            <w:noWrap/>
            <w:vAlign w:val="center"/>
            <w:hideMark/>
          </w:tcPr>
          <w:p w14:paraId="3687BFB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1909738000</w:t>
            </w:r>
          </w:p>
        </w:tc>
        <w:tc>
          <w:tcPr>
            <w:tcW w:w="547" w:type="pct"/>
            <w:tcBorders>
              <w:top w:val="nil"/>
              <w:left w:val="nil"/>
              <w:bottom w:val="single" w:sz="4" w:space="0" w:color="auto"/>
              <w:right w:val="single" w:sz="4" w:space="0" w:color="auto"/>
            </w:tcBorders>
            <w:shd w:val="clear" w:color="auto" w:fill="auto"/>
            <w:noWrap/>
            <w:vAlign w:val="center"/>
            <w:hideMark/>
          </w:tcPr>
          <w:p w14:paraId="10D26E3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77168232</w:t>
            </w:r>
          </w:p>
        </w:tc>
        <w:tc>
          <w:tcPr>
            <w:tcW w:w="3360" w:type="pct"/>
            <w:tcBorders>
              <w:top w:val="nil"/>
              <w:left w:val="nil"/>
              <w:bottom w:val="single" w:sz="4" w:space="0" w:color="auto"/>
              <w:right w:val="single" w:sz="4" w:space="0" w:color="auto"/>
            </w:tcBorders>
            <w:shd w:val="clear" w:color="auto" w:fill="auto"/>
            <w:vAlign w:val="center"/>
            <w:hideMark/>
          </w:tcPr>
          <w:p w14:paraId="73DA867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KNJIŽNICA PAVLA GOLIE TREBNJE</w:t>
            </w:r>
          </w:p>
        </w:tc>
      </w:tr>
      <w:tr w:rsidR="00E3750C" w:rsidRPr="00415AB3" w14:paraId="0DB53E9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AF56A3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530</w:t>
            </w:r>
          </w:p>
        </w:tc>
        <w:tc>
          <w:tcPr>
            <w:tcW w:w="705" w:type="pct"/>
            <w:tcBorders>
              <w:top w:val="nil"/>
              <w:left w:val="nil"/>
              <w:bottom w:val="single" w:sz="4" w:space="0" w:color="auto"/>
              <w:right w:val="single" w:sz="4" w:space="0" w:color="auto"/>
            </w:tcBorders>
            <w:shd w:val="clear" w:color="auto" w:fill="auto"/>
            <w:noWrap/>
            <w:vAlign w:val="center"/>
            <w:hideMark/>
          </w:tcPr>
          <w:p w14:paraId="33F8C28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5814197000</w:t>
            </w:r>
          </w:p>
        </w:tc>
        <w:tc>
          <w:tcPr>
            <w:tcW w:w="547" w:type="pct"/>
            <w:tcBorders>
              <w:top w:val="nil"/>
              <w:left w:val="nil"/>
              <w:bottom w:val="single" w:sz="4" w:space="0" w:color="auto"/>
              <w:right w:val="single" w:sz="4" w:space="0" w:color="auto"/>
            </w:tcBorders>
            <w:shd w:val="clear" w:color="auto" w:fill="auto"/>
            <w:noWrap/>
            <w:vAlign w:val="center"/>
            <w:hideMark/>
          </w:tcPr>
          <w:p w14:paraId="694AB8E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81782268</w:t>
            </w:r>
          </w:p>
        </w:tc>
        <w:tc>
          <w:tcPr>
            <w:tcW w:w="3360" w:type="pct"/>
            <w:tcBorders>
              <w:top w:val="nil"/>
              <w:left w:val="nil"/>
              <w:bottom w:val="single" w:sz="4" w:space="0" w:color="auto"/>
              <w:right w:val="single" w:sz="4" w:space="0" w:color="auto"/>
            </w:tcBorders>
            <w:shd w:val="clear" w:color="auto" w:fill="auto"/>
            <w:vAlign w:val="center"/>
            <w:hideMark/>
          </w:tcPr>
          <w:p w14:paraId="72A3B72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KNJIŽNICA RADLJE OB DRAVI</w:t>
            </w:r>
          </w:p>
        </w:tc>
      </w:tr>
      <w:tr w:rsidR="00E3750C" w:rsidRPr="00415AB3" w14:paraId="10FA4EE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D2ED2F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531</w:t>
            </w:r>
          </w:p>
        </w:tc>
        <w:tc>
          <w:tcPr>
            <w:tcW w:w="705" w:type="pct"/>
            <w:tcBorders>
              <w:top w:val="nil"/>
              <w:left w:val="nil"/>
              <w:bottom w:val="single" w:sz="4" w:space="0" w:color="auto"/>
              <w:right w:val="single" w:sz="4" w:space="0" w:color="auto"/>
            </w:tcBorders>
            <w:shd w:val="clear" w:color="auto" w:fill="auto"/>
            <w:noWrap/>
            <w:vAlign w:val="center"/>
            <w:hideMark/>
          </w:tcPr>
          <w:p w14:paraId="08610D3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1614436000</w:t>
            </w:r>
          </w:p>
        </w:tc>
        <w:tc>
          <w:tcPr>
            <w:tcW w:w="547" w:type="pct"/>
            <w:tcBorders>
              <w:top w:val="nil"/>
              <w:left w:val="nil"/>
              <w:bottom w:val="single" w:sz="4" w:space="0" w:color="auto"/>
              <w:right w:val="single" w:sz="4" w:space="0" w:color="auto"/>
            </w:tcBorders>
            <w:shd w:val="clear" w:color="auto" w:fill="auto"/>
            <w:noWrap/>
            <w:vAlign w:val="center"/>
            <w:hideMark/>
          </w:tcPr>
          <w:p w14:paraId="0E45315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68502460</w:t>
            </w:r>
          </w:p>
        </w:tc>
        <w:tc>
          <w:tcPr>
            <w:tcW w:w="3360" w:type="pct"/>
            <w:tcBorders>
              <w:top w:val="nil"/>
              <w:left w:val="nil"/>
              <w:bottom w:val="single" w:sz="4" w:space="0" w:color="auto"/>
              <w:right w:val="single" w:sz="4" w:space="0" w:color="auto"/>
            </w:tcBorders>
            <w:shd w:val="clear" w:color="auto" w:fill="auto"/>
            <w:vAlign w:val="center"/>
            <w:hideMark/>
          </w:tcPr>
          <w:p w14:paraId="0F82336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KNJIŽNICA SEVNICA</w:t>
            </w:r>
          </w:p>
        </w:tc>
      </w:tr>
      <w:tr w:rsidR="00E3750C" w:rsidRPr="00415AB3" w14:paraId="622AA27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DB2E4D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532</w:t>
            </w:r>
          </w:p>
        </w:tc>
        <w:tc>
          <w:tcPr>
            <w:tcW w:w="705" w:type="pct"/>
            <w:tcBorders>
              <w:top w:val="nil"/>
              <w:left w:val="nil"/>
              <w:bottom w:val="single" w:sz="4" w:space="0" w:color="auto"/>
              <w:right w:val="single" w:sz="4" w:space="0" w:color="auto"/>
            </w:tcBorders>
            <w:shd w:val="clear" w:color="auto" w:fill="auto"/>
            <w:noWrap/>
            <w:vAlign w:val="center"/>
            <w:hideMark/>
          </w:tcPr>
          <w:p w14:paraId="0302DB6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1803794000</w:t>
            </w:r>
          </w:p>
        </w:tc>
        <w:tc>
          <w:tcPr>
            <w:tcW w:w="547" w:type="pct"/>
            <w:tcBorders>
              <w:top w:val="nil"/>
              <w:left w:val="nil"/>
              <w:bottom w:val="single" w:sz="4" w:space="0" w:color="auto"/>
              <w:right w:val="single" w:sz="4" w:space="0" w:color="auto"/>
            </w:tcBorders>
            <w:shd w:val="clear" w:color="auto" w:fill="auto"/>
            <w:noWrap/>
            <w:vAlign w:val="center"/>
            <w:hideMark/>
          </w:tcPr>
          <w:p w14:paraId="1FA81EF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61028797</w:t>
            </w:r>
          </w:p>
        </w:tc>
        <w:tc>
          <w:tcPr>
            <w:tcW w:w="3360" w:type="pct"/>
            <w:tcBorders>
              <w:top w:val="nil"/>
              <w:left w:val="nil"/>
              <w:bottom w:val="single" w:sz="4" w:space="0" w:color="auto"/>
              <w:right w:val="single" w:sz="4" w:space="0" w:color="auto"/>
            </w:tcBorders>
            <w:shd w:val="clear" w:color="auto" w:fill="auto"/>
            <w:vAlign w:val="center"/>
            <w:hideMark/>
          </w:tcPr>
          <w:p w14:paraId="0FB9B39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KNJIŽNICA ŠMARJE PRI JELŠAH</w:t>
            </w:r>
          </w:p>
        </w:tc>
      </w:tr>
      <w:tr w:rsidR="00E3750C" w:rsidRPr="00415AB3" w14:paraId="0DE12C8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8A83C9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533</w:t>
            </w:r>
          </w:p>
        </w:tc>
        <w:tc>
          <w:tcPr>
            <w:tcW w:w="705" w:type="pct"/>
            <w:tcBorders>
              <w:top w:val="nil"/>
              <w:left w:val="nil"/>
              <w:bottom w:val="single" w:sz="4" w:space="0" w:color="auto"/>
              <w:right w:val="single" w:sz="4" w:space="0" w:color="auto"/>
            </w:tcBorders>
            <w:shd w:val="clear" w:color="auto" w:fill="auto"/>
            <w:noWrap/>
            <w:vAlign w:val="center"/>
            <w:hideMark/>
          </w:tcPr>
          <w:p w14:paraId="0929935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5052378000</w:t>
            </w:r>
          </w:p>
        </w:tc>
        <w:tc>
          <w:tcPr>
            <w:tcW w:w="547" w:type="pct"/>
            <w:tcBorders>
              <w:top w:val="nil"/>
              <w:left w:val="nil"/>
              <w:bottom w:val="single" w:sz="4" w:space="0" w:color="auto"/>
              <w:right w:val="single" w:sz="4" w:space="0" w:color="auto"/>
            </w:tcBorders>
            <w:shd w:val="clear" w:color="auto" w:fill="auto"/>
            <w:noWrap/>
            <w:vAlign w:val="center"/>
            <w:hideMark/>
          </w:tcPr>
          <w:p w14:paraId="1B06880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15673073</w:t>
            </w:r>
          </w:p>
        </w:tc>
        <w:tc>
          <w:tcPr>
            <w:tcW w:w="3360" w:type="pct"/>
            <w:tcBorders>
              <w:top w:val="nil"/>
              <w:left w:val="nil"/>
              <w:bottom w:val="single" w:sz="4" w:space="0" w:color="auto"/>
              <w:right w:val="single" w:sz="4" w:space="0" w:color="auto"/>
            </w:tcBorders>
            <w:shd w:val="clear" w:color="auto" w:fill="auto"/>
            <w:vAlign w:val="center"/>
            <w:hideMark/>
          </w:tcPr>
          <w:p w14:paraId="649D9EC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KNJIŽNICA TONETA SELIŠKARJA TRBOVLJE</w:t>
            </w:r>
          </w:p>
        </w:tc>
      </w:tr>
      <w:tr w:rsidR="00E3750C" w:rsidRPr="00415AB3" w14:paraId="01C2B58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275468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534</w:t>
            </w:r>
          </w:p>
        </w:tc>
        <w:tc>
          <w:tcPr>
            <w:tcW w:w="705" w:type="pct"/>
            <w:tcBorders>
              <w:top w:val="nil"/>
              <w:left w:val="nil"/>
              <w:bottom w:val="single" w:sz="4" w:space="0" w:color="auto"/>
              <w:right w:val="single" w:sz="4" w:space="0" w:color="auto"/>
            </w:tcBorders>
            <w:shd w:val="clear" w:color="auto" w:fill="auto"/>
            <w:noWrap/>
            <w:vAlign w:val="center"/>
            <w:hideMark/>
          </w:tcPr>
          <w:p w14:paraId="381E7D1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1899597000</w:t>
            </w:r>
          </w:p>
        </w:tc>
        <w:tc>
          <w:tcPr>
            <w:tcW w:w="547" w:type="pct"/>
            <w:tcBorders>
              <w:top w:val="nil"/>
              <w:left w:val="nil"/>
              <w:bottom w:val="single" w:sz="4" w:space="0" w:color="auto"/>
              <w:right w:val="single" w:sz="4" w:space="0" w:color="auto"/>
            </w:tcBorders>
            <w:shd w:val="clear" w:color="auto" w:fill="auto"/>
            <w:noWrap/>
            <w:vAlign w:val="center"/>
            <w:hideMark/>
          </w:tcPr>
          <w:p w14:paraId="04B16DA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17617138</w:t>
            </w:r>
          </w:p>
        </w:tc>
        <w:tc>
          <w:tcPr>
            <w:tcW w:w="3360" w:type="pct"/>
            <w:tcBorders>
              <w:top w:val="nil"/>
              <w:left w:val="nil"/>
              <w:bottom w:val="single" w:sz="4" w:space="0" w:color="auto"/>
              <w:right w:val="single" w:sz="4" w:space="0" w:color="auto"/>
            </w:tcBorders>
            <w:shd w:val="clear" w:color="auto" w:fill="auto"/>
            <w:vAlign w:val="center"/>
            <w:hideMark/>
          </w:tcPr>
          <w:p w14:paraId="25C7EC5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KNJIŽNICA VELENJE</w:t>
            </w:r>
          </w:p>
        </w:tc>
      </w:tr>
      <w:tr w:rsidR="00E3750C" w:rsidRPr="00415AB3" w14:paraId="69655F7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5BBA3F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535</w:t>
            </w:r>
          </w:p>
        </w:tc>
        <w:tc>
          <w:tcPr>
            <w:tcW w:w="705" w:type="pct"/>
            <w:tcBorders>
              <w:top w:val="nil"/>
              <w:left w:val="nil"/>
              <w:bottom w:val="single" w:sz="4" w:space="0" w:color="auto"/>
              <w:right w:val="single" w:sz="4" w:space="0" w:color="auto"/>
            </w:tcBorders>
            <w:shd w:val="clear" w:color="auto" w:fill="auto"/>
            <w:noWrap/>
            <w:vAlign w:val="center"/>
            <w:hideMark/>
          </w:tcPr>
          <w:p w14:paraId="2A8CED2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8331499000</w:t>
            </w:r>
          </w:p>
        </w:tc>
        <w:tc>
          <w:tcPr>
            <w:tcW w:w="547" w:type="pct"/>
            <w:tcBorders>
              <w:top w:val="nil"/>
              <w:left w:val="nil"/>
              <w:bottom w:val="single" w:sz="4" w:space="0" w:color="auto"/>
              <w:right w:val="single" w:sz="4" w:space="0" w:color="auto"/>
            </w:tcBorders>
            <w:shd w:val="clear" w:color="auto" w:fill="auto"/>
            <w:noWrap/>
            <w:vAlign w:val="center"/>
            <w:hideMark/>
          </w:tcPr>
          <w:p w14:paraId="7B71EBA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11587687</w:t>
            </w:r>
          </w:p>
        </w:tc>
        <w:tc>
          <w:tcPr>
            <w:tcW w:w="3360" w:type="pct"/>
            <w:tcBorders>
              <w:top w:val="nil"/>
              <w:left w:val="nil"/>
              <w:bottom w:val="single" w:sz="4" w:space="0" w:color="auto"/>
              <w:right w:val="single" w:sz="4" w:space="0" w:color="auto"/>
            </w:tcBorders>
            <w:shd w:val="clear" w:color="auto" w:fill="auto"/>
            <w:vAlign w:val="center"/>
            <w:hideMark/>
          </w:tcPr>
          <w:p w14:paraId="5C69FEE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KOBILARNA LIPICA D.O.O.</w:t>
            </w:r>
          </w:p>
        </w:tc>
      </w:tr>
      <w:tr w:rsidR="00E3750C" w:rsidRPr="00415AB3" w14:paraId="6324839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10BB60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536</w:t>
            </w:r>
          </w:p>
        </w:tc>
        <w:tc>
          <w:tcPr>
            <w:tcW w:w="705" w:type="pct"/>
            <w:tcBorders>
              <w:top w:val="nil"/>
              <w:left w:val="nil"/>
              <w:bottom w:val="single" w:sz="4" w:space="0" w:color="auto"/>
              <w:right w:val="single" w:sz="4" w:space="0" w:color="auto"/>
            </w:tcBorders>
            <w:shd w:val="clear" w:color="auto" w:fill="auto"/>
            <w:noWrap/>
            <w:vAlign w:val="center"/>
            <w:hideMark/>
          </w:tcPr>
          <w:p w14:paraId="6954643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6086381000</w:t>
            </w:r>
          </w:p>
        </w:tc>
        <w:tc>
          <w:tcPr>
            <w:tcW w:w="547" w:type="pct"/>
            <w:tcBorders>
              <w:top w:val="nil"/>
              <w:left w:val="nil"/>
              <w:bottom w:val="single" w:sz="4" w:space="0" w:color="auto"/>
              <w:right w:val="single" w:sz="4" w:space="0" w:color="auto"/>
            </w:tcBorders>
            <w:shd w:val="clear" w:color="auto" w:fill="auto"/>
            <w:noWrap/>
            <w:vAlign w:val="center"/>
            <w:hideMark/>
          </w:tcPr>
          <w:p w14:paraId="6596960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94050198</w:t>
            </w:r>
          </w:p>
        </w:tc>
        <w:tc>
          <w:tcPr>
            <w:tcW w:w="3360" w:type="pct"/>
            <w:tcBorders>
              <w:top w:val="nil"/>
              <w:left w:val="nil"/>
              <w:bottom w:val="single" w:sz="4" w:space="0" w:color="auto"/>
              <w:right w:val="single" w:sz="4" w:space="0" w:color="auto"/>
            </w:tcBorders>
            <w:shd w:val="clear" w:color="auto" w:fill="auto"/>
            <w:vAlign w:val="center"/>
            <w:hideMark/>
          </w:tcPr>
          <w:p w14:paraId="5D06A63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KOCEROD, DRUŽBA ZA RAVNANJE Z ODPADKI D.O.O.</w:t>
            </w:r>
          </w:p>
        </w:tc>
      </w:tr>
      <w:tr w:rsidR="00E3750C" w:rsidRPr="00415AB3" w14:paraId="4E2C3D9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AD94DB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537</w:t>
            </w:r>
          </w:p>
        </w:tc>
        <w:tc>
          <w:tcPr>
            <w:tcW w:w="705" w:type="pct"/>
            <w:tcBorders>
              <w:top w:val="nil"/>
              <w:left w:val="nil"/>
              <w:bottom w:val="single" w:sz="4" w:space="0" w:color="auto"/>
              <w:right w:val="single" w:sz="4" w:space="0" w:color="auto"/>
            </w:tcBorders>
            <w:shd w:val="clear" w:color="auto" w:fill="auto"/>
            <w:noWrap/>
            <w:vAlign w:val="center"/>
            <w:hideMark/>
          </w:tcPr>
          <w:p w14:paraId="4D8723B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6812694000</w:t>
            </w:r>
          </w:p>
        </w:tc>
        <w:tc>
          <w:tcPr>
            <w:tcW w:w="547" w:type="pct"/>
            <w:tcBorders>
              <w:top w:val="nil"/>
              <w:left w:val="nil"/>
              <w:bottom w:val="single" w:sz="4" w:space="0" w:color="auto"/>
              <w:right w:val="single" w:sz="4" w:space="0" w:color="auto"/>
            </w:tcBorders>
            <w:shd w:val="clear" w:color="auto" w:fill="auto"/>
            <w:noWrap/>
            <w:vAlign w:val="center"/>
            <w:hideMark/>
          </w:tcPr>
          <w:p w14:paraId="54732E0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13197797</w:t>
            </w:r>
          </w:p>
        </w:tc>
        <w:tc>
          <w:tcPr>
            <w:tcW w:w="3360" w:type="pct"/>
            <w:tcBorders>
              <w:top w:val="nil"/>
              <w:left w:val="nil"/>
              <w:bottom w:val="single" w:sz="4" w:space="0" w:color="auto"/>
              <w:right w:val="single" w:sz="4" w:space="0" w:color="auto"/>
            </w:tcBorders>
            <w:shd w:val="clear" w:color="auto" w:fill="auto"/>
            <w:vAlign w:val="center"/>
            <w:hideMark/>
          </w:tcPr>
          <w:p w14:paraId="61BA967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KOČEVSKI LES, DRUŽBA ZA LESNO PROIZVODNJO, D.O.O.</w:t>
            </w:r>
          </w:p>
        </w:tc>
      </w:tr>
      <w:tr w:rsidR="00E3750C" w:rsidRPr="00415AB3" w14:paraId="397E716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24366D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538</w:t>
            </w:r>
          </w:p>
        </w:tc>
        <w:tc>
          <w:tcPr>
            <w:tcW w:w="705" w:type="pct"/>
            <w:tcBorders>
              <w:top w:val="nil"/>
              <w:left w:val="nil"/>
              <w:bottom w:val="single" w:sz="4" w:space="0" w:color="auto"/>
              <w:right w:val="single" w:sz="4" w:space="0" w:color="auto"/>
            </w:tcBorders>
            <w:shd w:val="clear" w:color="auto" w:fill="auto"/>
            <w:noWrap/>
            <w:vAlign w:val="center"/>
            <w:hideMark/>
          </w:tcPr>
          <w:p w14:paraId="3ECD9E5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2015609000</w:t>
            </w:r>
          </w:p>
        </w:tc>
        <w:tc>
          <w:tcPr>
            <w:tcW w:w="547" w:type="pct"/>
            <w:tcBorders>
              <w:top w:val="nil"/>
              <w:left w:val="nil"/>
              <w:bottom w:val="single" w:sz="4" w:space="0" w:color="auto"/>
              <w:right w:val="single" w:sz="4" w:space="0" w:color="auto"/>
            </w:tcBorders>
            <w:shd w:val="clear" w:color="auto" w:fill="auto"/>
            <w:noWrap/>
            <w:vAlign w:val="center"/>
            <w:hideMark/>
          </w:tcPr>
          <w:p w14:paraId="71409E6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21739609</w:t>
            </w:r>
          </w:p>
        </w:tc>
        <w:tc>
          <w:tcPr>
            <w:tcW w:w="3360" w:type="pct"/>
            <w:tcBorders>
              <w:top w:val="nil"/>
              <w:left w:val="nil"/>
              <w:bottom w:val="single" w:sz="4" w:space="0" w:color="auto"/>
              <w:right w:val="single" w:sz="4" w:space="0" w:color="auto"/>
            </w:tcBorders>
            <w:shd w:val="clear" w:color="auto" w:fill="auto"/>
            <w:vAlign w:val="center"/>
            <w:hideMark/>
          </w:tcPr>
          <w:p w14:paraId="570A196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KOMISIJA ZA PREPREČEVANJE KORUPCIJE</w:t>
            </w:r>
          </w:p>
        </w:tc>
      </w:tr>
      <w:tr w:rsidR="00E3750C" w:rsidRPr="00415AB3" w14:paraId="755060A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2D100C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539</w:t>
            </w:r>
          </w:p>
        </w:tc>
        <w:tc>
          <w:tcPr>
            <w:tcW w:w="705" w:type="pct"/>
            <w:tcBorders>
              <w:top w:val="nil"/>
              <w:left w:val="nil"/>
              <w:bottom w:val="single" w:sz="4" w:space="0" w:color="auto"/>
              <w:right w:val="single" w:sz="4" w:space="0" w:color="auto"/>
            </w:tcBorders>
            <w:shd w:val="clear" w:color="auto" w:fill="auto"/>
            <w:noWrap/>
            <w:vAlign w:val="center"/>
            <w:hideMark/>
          </w:tcPr>
          <w:p w14:paraId="6717273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5015812000</w:t>
            </w:r>
          </w:p>
        </w:tc>
        <w:tc>
          <w:tcPr>
            <w:tcW w:w="547" w:type="pct"/>
            <w:tcBorders>
              <w:top w:val="nil"/>
              <w:left w:val="nil"/>
              <w:bottom w:val="single" w:sz="4" w:space="0" w:color="auto"/>
              <w:right w:val="single" w:sz="4" w:space="0" w:color="auto"/>
            </w:tcBorders>
            <w:shd w:val="clear" w:color="auto" w:fill="auto"/>
            <w:noWrap/>
            <w:vAlign w:val="center"/>
            <w:hideMark/>
          </w:tcPr>
          <w:p w14:paraId="7E480B7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98491881</w:t>
            </w:r>
          </w:p>
        </w:tc>
        <w:tc>
          <w:tcPr>
            <w:tcW w:w="3360" w:type="pct"/>
            <w:tcBorders>
              <w:top w:val="nil"/>
              <w:left w:val="nil"/>
              <w:bottom w:val="single" w:sz="4" w:space="0" w:color="auto"/>
              <w:right w:val="single" w:sz="4" w:space="0" w:color="auto"/>
            </w:tcBorders>
            <w:shd w:val="clear" w:color="auto" w:fill="auto"/>
            <w:vAlign w:val="center"/>
            <w:hideMark/>
          </w:tcPr>
          <w:p w14:paraId="2CEC038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KOMUNALA KOMUNALNO PODJETJE NOVA GORICA D.D.</w:t>
            </w:r>
          </w:p>
        </w:tc>
      </w:tr>
      <w:tr w:rsidR="00E3750C" w:rsidRPr="00415AB3" w14:paraId="2E3B2BC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797F3B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540</w:t>
            </w:r>
          </w:p>
        </w:tc>
        <w:tc>
          <w:tcPr>
            <w:tcW w:w="705" w:type="pct"/>
            <w:tcBorders>
              <w:top w:val="nil"/>
              <w:left w:val="nil"/>
              <w:bottom w:val="single" w:sz="4" w:space="0" w:color="auto"/>
              <w:right w:val="single" w:sz="4" w:space="0" w:color="auto"/>
            </w:tcBorders>
            <w:shd w:val="clear" w:color="auto" w:fill="auto"/>
            <w:noWrap/>
            <w:vAlign w:val="center"/>
            <w:hideMark/>
          </w:tcPr>
          <w:p w14:paraId="0B6E0E8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5067731000</w:t>
            </w:r>
          </w:p>
        </w:tc>
        <w:tc>
          <w:tcPr>
            <w:tcW w:w="547" w:type="pct"/>
            <w:tcBorders>
              <w:top w:val="nil"/>
              <w:left w:val="nil"/>
              <w:bottom w:val="single" w:sz="4" w:space="0" w:color="auto"/>
              <w:right w:val="single" w:sz="4" w:space="0" w:color="auto"/>
            </w:tcBorders>
            <w:shd w:val="clear" w:color="auto" w:fill="auto"/>
            <w:noWrap/>
            <w:vAlign w:val="center"/>
            <w:hideMark/>
          </w:tcPr>
          <w:p w14:paraId="182EF58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72495421</w:t>
            </w:r>
          </w:p>
        </w:tc>
        <w:tc>
          <w:tcPr>
            <w:tcW w:w="3360" w:type="pct"/>
            <w:tcBorders>
              <w:top w:val="nil"/>
              <w:left w:val="nil"/>
              <w:bottom w:val="single" w:sz="4" w:space="0" w:color="auto"/>
              <w:right w:val="single" w:sz="4" w:space="0" w:color="auto"/>
            </w:tcBorders>
            <w:shd w:val="clear" w:color="auto" w:fill="auto"/>
            <w:vAlign w:val="center"/>
            <w:hideMark/>
          </w:tcPr>
          <w:p w14:paraId="5C8D27C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KOMUNALA KRANJ, JAVNO PODJETJE, D.O.O.</w:t>
            </w:r>
          </w:p>
        </w:tc>
      </w:tr>
      <w:tr w:rsidR="00E3750C" w:rsidRPr="00415AB3" w14:paraId="2E4B607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F0B0CC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541</w:t>
            </w:r>
          </w:p>
        </w:tc>
        <w:tc>
          <w:tcPr>
            <w:tcW w:w="705" w:type="pct"/>
            <w:tcBorders>
              <w:top w:val="nil"/>
              <w:left w:val="nil"/>
              <w:bottom w:val="single" w:sz="4" w:space="0" w:color="auto"/>
              <w:right w:val="single" w:sz="4" w:space="0" w:color="auto"/>
            </w:tcBorders>
            <w:shd w:val="clear" w:color="auto" w:fill="auto"/>
            <w:noWrap/>
            <w:vAlign w:val="center"/>
            <w:hideMark/>
          </w:tcPr>
          <w:p w14:paraId="55F6949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5157064000</w:t>
            </w:r>
          </w:p>
        </w:tc>
        <w:tc>
          <w:tcPr>
            <w:tcW w:w="547" w:type="pct"/>
            <w:tcBorders>
              <w:top w:val="nil"/>
              <w:left w:val="nil"/>
              <w:bottom w:val="single" w:sz="4" w:space="0" w:color="auto"/>
              <w:right w:val="single" w:sz="4" w:space="0" w:color="auto"/>
            </w:tcBorders>
            <w:shd w:val="clear" w:color="auto" w:fill="auto"/>
            <w:noWrap/>
            <w:vAlign w:val="center"/>
            <w:hideMark/>
          </w:tcPr>
          <w:p w14:paraId="6FB07F8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38241528</w:t>
            </w:r>
          </w:p>
        </w:tc>
        <w:tc>
          <w:tcPr>
            <w:tcW w:w="3360" w:type="pct"/>
            <w:tcBorders>
              <w:top w:val="nil"/>
              <w:left w:val="nil"/>
              <w:bottom w:val="single" w:sz="4" w:space="0" w:color="auto"/>
              <w:right w:val="single" w:sz="4" w:space="0" w:color="auto"/>
            </w:tcBorders>
            <w:shd w:val="clear" w:color="auto" w:fill="auto"/>
            <w:vAlign w:val="center"/>
            <w:hideMark/>
          </w:tcPr>
          <w:p w14:paraId="61199A9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KOMUNALA METLIKA JAVNO PODJETJE D.O.O.</w:t>
            </w:r>
          </w:p>
        </w:tc>
      </w:tr>
      <w:tr w:rsidR="00E3750C" w:rsidRPr="00415AB3" w14:paraId="76DBA8B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CC0095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542</w:t>
            </w:r>
          </w:p>
        </w:tc>
        <w:tc>
          <w:tcPr>
            <w:tcW w:w="705" w:type="pct"/>
            <w:tcBorders>
              <w:top w:val="nil"/>
              <w:left w:val="nil"/>
              <w:bottom w:val="single" w:sz="4" w:space="0" w:color="auto"/>
              <w:right w:val="single" w:sz="4" w:space="0" w:color="auto"/>
            </w:tcBorders>
            <w:shd w:val="clear" w:color="auto" w:fill="auto"/>
            <w:noWrap/>
            <w:vAlign w:val="center"/>
            <w:hideMark/>
          </w:tcPr>
          <w:p w14:paraId="0E327E1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1534424000</w:t>
            </w:r>
          </w:p>
        </w:tc>
        <w:tc>
          <w:tcPr>
            <w:tcW w:w="547" w:type="pct"/>
            <w:tcBorders>
              <w:top w:val="nil"/>
              <w:left w:val="nil"/>
              <w:bottom w:val="single" w:sz="4" w:space="0" w:color="auto"/>
              <w:right w:val="single" w:sz="4" w:space="0" w:color="auto"/>
            </w:tcBorders>
            <w:shd w:val="clear" w:color="auto" w:fill="auto"/>
            <w:noWrap/>
            <w:vAlign w:val="center"/>
            <w:hideMark/>
          </w:tcPr>
          <w:p w14:paraId="421AD52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73310948</w:t>
            </w:r>
          </w:p>
        </w:tc>
        <w:tc>
          <w:tcPr>
            <w:tcW w:w="3360" w:type="pct"/>
            <w:tcBorders>
              <w:top w:val="nil"/>
              <w:left w:val="nil"/>
              <w:bottom w:val="single" w:sz="4" w:space="0" w:color="auto"/>
              <w:right w:val="single" w:sz="4" w:space="0" w:color="auto"/>
            </w:tcBorders>
            <w:shd w:val="clear" w:color="auto" w:fill="auto"/>
            <w:vAlign w:val="center"/>
            <w:hideMark/>
          </w:tcPr>
          <w:p w14:paraId="1A70DD0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KOMUNALA MEŽICA JAVNO KOMUNALNO PODJETJE D.O.O.</w:t>
            </w:r>
          </w:p>
        </w:tc>
      </w:tr>
      <w:tr w:rsidR="00E3750C" w:rsidRPr="00415AB3" w14:paraId="7E14740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3E51CA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543</w:t>
            </w:r>
          </w:p>
        </w:tc>
        <w:tc>
          <w:tcPr>
            <w:tcW w:w="705" w:type="pct"/>
            <w:tcBorders>
              <w:top w:val="nil"/>
              <w:left w:val="nil"/>
              <w:bottom w:val="single" w:sz="4" w:space="0" w:color="auto"/>
              <w:right w:val="single" w:sz="4" w:space="0" w:color="auto"/>
            </w:tcBorders>
            <w:shd w:val="clear" w:color="auto" w:fill="auto"/>
            <w:noWrap/>
            <w:vAlign w:val="center"/>
            <w:hideMark/>
          </w:tcPr>
          <w:p w14:paraId="6789CD5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5073120000</w:t>
            </w:r>
          </w:p>
        </w:tc>
        <w:tc>
          <w:tcPr>
            <w:tcW w:w="547" w:type="pct"/>
            <w:tcBorders>
              <w:top w:val="nil"/>
              <w:left w:val="nil"/>
              <w:bottom w:val="single" w:sz="4" w:space="0" w:color="auto"/>
              <w:right w:val="single" w:sz="4" w:space="0" w:color="auto"/>
            </w:tcBorders>
            <w:shd w:val="clear" w:color="auto" w:fill="auto"/>
            <w:noWrap/>
            <w:vAlign w:val="center"/>
            <w:hideMark/>
          </w:tcPr>
          <w:p w14:paraId="2C989C0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13503766</w:t>
            </w:r>
          </w:p>
        </w:tc>
        <w:tc>
          <w:tcPr>
            <w:tcW w:w="3360" w:type="pct"/>
            <w:tcBorders>
              <w:top w:val="nil"/>
              <w:left w:val="nil"/>
              <w:bottom w:val="single" w:sz="4" w:space="0" w:color="auto"/>
              <w:right w:val="single" w:sz="4" w:space="0" w:color="auto"/>
            </w:tcBorders>
            <w:shd w:val="clear" w:color="auto" w:fill="auto"/>
            <w:vAlign w:val="center"/>
            <w:hideMark/>
          </w:tcPr>
          <w:p w14:paraId="75A60B8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KOMUNALA NOVO MESTO D.O.O., JAVNO PODJETJE</w:t>
            </w:r>
          </w:p>
        </w:tc>
      </w:tr>
      <w:tr w:rsidR="00E3750C" w:rsidRPr="00415AB3" w14:paraId="39DE46A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1B54AC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544</w:t>
            </w:r>
          </w:p>
        </w:tc>
        <w:tc>
          <w:tcPr>
            <w:tcW w:w="705" w:type="pct"/>
            <w:tcBorders>
              <w:top w:val="nil"/>
              <w:left w:val="nil"/>
              <w:bottom w:val="single" w:sz="4" w:space="0" w:color="auto"/>
              <w:right w:val="single" w:sz="4" w:space="0" w:color="auto"/>
            </w:tcBorders>
            <w:shd w:val="clear" w:color="auto" w:fill="auto"/>
            <w:noWrap/>
            <w:vAlign w:val="center"/>
            <w:hideMark/>
          </w:tcPr>
          <w:p w14:paraId="53027A5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2117975000</w:t>
            </w:r>
          </w:p>
        </w:tc>
        <w:tc>
          <w:tcPr>
            <w:tcW w:w="547" w:type="pct"/>
            <w:tcBorders>
              <w:top w:val="nil"/>
              <w:left w:val="nil"/>
              <w:bottom w:val="single" w:sz="4" w:space="0" w:color="auto"/>
              <w:right w:val="single" w:sz="4" w:space="0" w:color="auto"/>
            </w:tcBorders>
            <w:shd w:val="clear" w:color="auto" w:fill="auto"/>
            <w:noWrap/>
            <w:vAlign w:val="center"/>
            <w:hideMark/>
          </w:tcPr>
          <w:p w14:paraId="211CA23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69673195</w:t>
            </w:r>
          </w:p>
        </w:tc>
        <w:tc>
          <w:tcPr>
            <w:tcW w:w="3360" w:type="pct"/>
            <w:tcBorders>
              <w:top w:val="nil"/>
              <w:left w:val="nil"/>
              <w:bottom w:val="single" w:sz="4" w:space="0" w:color="auto"/>
              <w:right w:val="single" w:sz="4" w:space="0" w:color="auto"/>
            </w:tcBorders>
            <w:shd w:val="clear" w:color="auto" w:fill="auto"/>
            <w:vAlign w:val="center"/>
            <w:hideMark/>
          </w:tcPr>
          <w:p w14:paraId="6288EC4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KOMUNALA RADGONA, JAVNO PODJETJE D.O.O.</w:t>
            </w:r>
          </w:p>
        </w:tc>
      </w:tr>
      <w:tr w:rsidR="00E3750C" w:rsidRPr="00415AB3" w14:paraId="7DA78A1A"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F483D3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545</w:t>
            </w:r>
          </w:p>
        </w:tc>
        <w:tc>
          <w:tcPr>
            <w:tcW w:w="705" w:type="pct"/>
            <w:tcBorders>
              <w:top w:val="nil"/>
              <w:left w:val="nil"/>
              <w:bottom w:val="single" w:sz="4" w:space="0" w:color="auto"/>
              <w:right w:val="single" w:sz="4" w:space="0" w:color="auto"/>
            </w:tcBorders>
            <w:shd w:val="clear" w:color="auto" w:fill="auto"/>
            <w:noWrap/>
            <w:vAlign w:val="center"/>
            <w:hideMark/>
          </w:tcPr>
          <w:p w14:paraId="31625A8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5063485000</w:t>
            </w:r>
          </w:p>
        </w:tc>
        <w:tc>
          <w:tcPr>
            <w:tcW w:w="547" w:type="pct"/>
            <w:tcBorders>
              <w:top w:val="nil"/>
              <w:left w:val="nil"/>
              <w:bottom w:val="single" w:sz="4" w:space="0" w:color="auto"/>
              <w:right w:val="single" w:sz="4" w:space="0" w:color="auto"/>
            </w:tcBorders>
            <w:shd w:val="clear" w:color="auto" w:fill="auto"/>
            <w:noWrap/>
            <w:vAlign w:val="center"/>
            <w:hideMark/>
          </w:tcPr>
          <w:p w14:paraId="2538A3B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98605275</w:t>
            </w:r>
          </w:p>
        </w:tc>
        <w:tc>
          <w:tcPr>
            <w:tcW w:w="3360" w:type="pct"/>
            <w:tcBorders>
              <w:top w:val="nil"/>
              <w:left w:val="nil"/>
              <w:bottom w:val="single" w:sz="4" w:space="0" w:color="auto"/>
              <w:right w:val="single" w:sz="4" w:space="0" w:color="auto"/>
            </w:tcBorders>
            <w:shd w:val="clear" w:color="auto" w:fill="auto"/>
            <w:vAlign w:val="center"/>
            <w:hideMark/>
          </w:tcPr>
          <w:p w14:paraId="08ECC0A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KOMUNALA RADOVLJICA, JAVNO PODJETJE ZA KOMUNALNO DEJAVNOST, D.O.O.</w:t>
            </w:r>
          </w:p>
        </w:tc>
      </w:tr>
      <w:tr w:rsidR="00E3750C" w:rsidRPr="00415AB3" w14:paraId="59A33088"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F69F39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546</w:t>
            </w:r>
          </w:p>
        </w:tc>
        <w:tc>
          <w:tcPr>
            <w:tcW w:w="705" w:type="pct"/>
            <w:tcBorders>
              <w:top w:val="nil"/>
              <w:left w:val="nil"/>
              <w:bottom w:val="single" w:sz="4" w:space="0" w:color="auto"/>
              <w:right w:val="single" w:sz="4" w:space="0" w:color="auto"/>
            </w:tcBorders>
            <w:shd w:val="clear" w:color="auto" w:fill="auto"/>
            <w:noWrap/>
            <w:vAlign w:val="center"/>
            <w:hideMark/>
          </w:tcPr>
          <w:p w14:paraId="3EB1DFB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5073162000</w:t>
            </w:r>
          </w:p>
        </w:tc>
        <w:tc>
          <w:tcPr>
            <w:tcW w:w="547" w:type="pct"/>
            <w:tcBorders>
              <w:top w:val="nil"/>
              <w:left w:val="nil"/>
              <w:bottom w:val="single" w:sz="4" w:space="0" w:color="auto"/>
              <w:right w:val="single" w:sz="4" w:space="0" w:color="auto"/>
            </w:tcBorders>
            <w:shd w:val="clear" w:color="auto" w:fill="auto"/>
            <w:noWrap/>
            <w:vAlign w:val="center"/>
            <w:hideMark/>
          </w:tcPr>
          <w:p w14:paraId="48E0216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32621213</w:t>
            </w:r>
          </w:p>
        </w:tc>
        <w:tc>
          <w:tcPr>
            <w:tcW w:w="3360" w:type="pct"/>
            <w:tcBorders>
              <w:top w:val="nil"/>
              <w:left w:val="nil"/>
              <w:bottom w:val="single" w:sz="4" w:space="0" w:color="auto"/>
              <w:right w:val="single" w:sz="4" w:space="0" w:color="auto"/>
            </w:tcBorders>
            <w:shd w:val="clear" w:color="auto" w:fill="auto"/>
            <w:vAlign w:val="center"/>
            <w:hideMark/>
          </w:tcPr>
          <w:p w14:paraId="596D856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KOMUNALA SLOVENSKA BISTRICA PODJETJE ZA KOMUNALNE IN DRUGE STORITVE D.O.O.</w:t>
            </w:r>
          </w:p>
        </w:tc>
      </w:tr>
      <w:tr w:rsidR="00E3750C" w:rsidRPr="00415AB3" w14:paraId="0E53771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489BE2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547</w:t>
            </w:r>
          </w:p>
        </w:tc>
        <w:tc>
          <w:tcPr>
            <w:tcW w:w="705" w:type="pct"/>
            <w:tcBorders>
              <w:top w:val="nil"/>
              <w:left w:val="nil"/>
              <w:bottom w:val="single" w:sz="4" w:space="0" w:color="auto"/>
              <w:right w:val="single" w:sz="4" w:space="0" w:color="auto"/>
            </w:tcBorders>
            <w:shd w:val="clear" w:color="auto" w:fill="auto"/>
            <w:noWrap/>
            <w:vAlign w:val="center"/>
            <w:hideMark/>
          </w:tcPr>
          <w:p w14:paraId="134FC0F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5077532000</w:t>
            </w:r>
          </w:p>
        </w:tc>
        <w:tc>
          <w:tcPr>
            <w:tcW w:w="547" w:type="pct"/>
            <w:tcBorders>
              <w:top w:val="nil"/>
              <w:left w:val="nil"/>
              <w:bottom w:val="single" w:sz="4" w:space="0" w:color="auto"/>
              <w:right w:val="single" w:sz="4" w:space="0" w:color="auto"/>
            </w:tcBorders>
            <w:shd w:val="clear" w:color="auto" w:fill="auto"/>
            <w:noWrap/>
            <w:vAlign w:val="center"/>
            <w:hideMark/>
          </w:tcPr>
          <w:p w14:paraId="75AAC0C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97143499</w:t>
            </w:r>
          </w:p>
        </w:tc>
        <w:tc>
          <w:tcPr>
            <w:tcW w:w="3360" w:type="pct"/>
            <w:tcBorders>
              <w:top w:val="nil"/>
              <w:left w:val="nil"/>
              <w:bottom w:val="single" w:sz="4" w:space="0" w:color="auto"/>
              <w:right w:val="single" w:sz="4" w:space="0" w:color="auto"/>
            </w:tcBorders>
            <w:shd w:val="clear" w:color="auto" w:fill="auto"/>
            <w:vAlign w:val="center"/>
            <w:hideMark/>
          </w:tcPr>
          <w:p w14:paraId="32B2BEE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KOMUNALA TOLMIN, JAVNO PODJETJE, D.O.O.</w:t>
            </w:r>
          </w:p>
        </w:tc>
      </w:tr>
      <w:tr w:rsidR="00E3750C" w:rsidRPr="00415AB3" w14:paraId="2156A23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30D9EC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548</w:t>
            </w:r>
          </w:p>
        </w:tc>
        <w:tc>
          <w:tcPr>
            <w:tcW w:w="705" w:type="pct"/>
            <w:tcBorders>
              <w:top w:val="nil"/>
              <w:left w:val="nil"/>
              <w:bottom w:val="single" w:sz="4" w:space="0" w:color="auto"/>
              <w:right w:val="single" w:sz="4" w:space="0" w:color="auto"/>
            </w:tcBorders>
            <w:shd w:val="clear" w:color="auto" w:fill="auto"/>
            <w:noWrap/>
            <w:vAlign w:val="center"/>
            <w:hideMark/>
          </w:tcPr>
          <w:p w14:paraId="2C90185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5243858000</w:t>
            </w:r>
          </w:p>
        </w:tc>
        <w:tc>
          <w:tcPr>
            <w:tcW w:w="547" w:type="pct"/>
            <w:tcBorders>
              <w:top w:val="nil"/>
              <w:left w:val="nil"/>
              <w:bottom w:val="single" w:sz="4" w:space="0" w:color="auto"/>
              <w:right w:val="single" w:sz="4" w:space="0" w:color="auto"/>
            </w:tcBorders>
            <w:shd w:val="clear" w:color="auto" w:fill="auto"/>
            <w:noWrap/>
            <w:vAlign w:val="center"/>
            <w:hideMark/>
          </w:tcPr>
          <w:p w14:paraId="2F01E33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96907436</w:t>
            </w:r>
          </w:p>
        </w:tc>
        <w:tc>
          <w:tcPr>
            <w:tcW w:w="3360" w:type="pct"/>
            <w:tcBorders>
              <w:top w:val="nil"/>
              <w:left w:val="nil"/>
              <w:bottom w:val="single" w:sz="4" w:space="0" w:color="auto"/>
              <w:right w:val="single" w:sz="4" w:space="0" w:color="auto"/>
            </w:tcBorders>
            <w:shd w:val="clear" w:color="auto" w:fill="auto"/>
            <w:vAlign w:val="center"/>
            <w:hideMark/>
          </w:tcPr>
          <w:p w14:paraId="7675D41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KOMUNALA TREBNJE D.O.O.</w:t>
            </w:r>
          </w:p>
        </w:tc>
      </w:tr>
      <w:tr w:rsidR="00E3750C" w:rsidRPr="00415AB3" w14:paraId="0BCEC89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39AF26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549</w:t>
            </w:r>
          </w:p>
        </w:tc>
        <w:tc>
          <w:tcPr>
            <w:tcW w:w="705" w:type="pct"/>
            <w:tcBorders>
              <w:top w:val="nil"/>
              <w:left w:val="nil"/>
              <w:bottom w:val="single" w:sz="4" w:space="0" w:color="auto"/>
              <w:right w:val="single" w:sz="4" w:space="0" w:color="auto"/>
            </w:tcBorders>
            <w:shd w:val="clear" w:color="auto" w:fill="auto"/>
            <w:noWrap/>
            <w:vAlign w:val="center"/>
            <w:hideMark/>
          </w:tcPr>
          <w:p w14:paraId="3A511C2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5145023000</w:t>
            </w:r>
          </w:p>
        </w:tc>
        <w:tc>
          <w:tcPr>
            <w:tcW w:w="547" w:type="pct"/>
            <w:tcBorders>
              <w:top w:val="nil"/>
              <w:left w:val="nil"/>
              <w:bottom w:val="single" w:sz="4" w:space="0" w:color="auto"/>
              <w:right w:val="single" w:sz="4" w:space="0" w:color="auto"/>
            </w:tcBorders>
            <w:shd w:val="clear" w:color="auto" w:fill="auto"/>
            <w:noWrap/>
            <w:vAlign w:val="center"/>
            <w:hideMark/>
          </w:tcPr>
          <w:p w14:paraId="54B1BE6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45105138</w:t>
            </w:r>
          </w:p>
        </w:tc>
        <w:tc>
          <w:tcPr>
            <w:tcW w:w="3360" w:type="pct"/>
            <w:tcBorders>
              <w:top w:val="nil"/>
              <w:left w:val="nil"/>
              <w:bottom w:val="single" w:sz="4" w:space="0" w:color="auto"/>
              <w:right w:val="single" w:sz="4" w:space="0" w:color="auto"/>
            </w:tcBorders>
            <w:shd w:val="clear" w:color="auto" w:fill="auto"/>
            <w:vAlign w:val="center"/>
            <w:hideMark/>
          </w:tcPr>
          <w:p w14:paraId="41E1BAF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KOMUNALA TRŽIČ D.O.O.</w:t>
            </w:r>
          </w:p>
        </w:tc>
      </w:tr>
      <w:tr w:rsidR="00E3750C" w:rsidRPr="00415AB3" w14:paraId="4732F41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6F1EC1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550</w:t>
            </w:r>
          </w:p>
        </w:tc>
        <w:tc>
          <w:tcPr>
            <w:tcW w:w="705" w:type="pct"/>
            <w:tcBorders>
              <w:top w:val="nil"/>
              <w:left w:val="nil"/>
              <w:bottom w:val="single" w:sz="4" w:space="0" w:color="auto"/>
              <w:right w:val="single" w:sz="4" w:space="0" w:color="auto"/>
            </w:tcBorders>
            <w:shd w:val="clear" w:color="auto" w:fill="auto"/>
            <w:noWrap/>
            <w:vAlign w:val="center"/>
            <w:hideMark/>
          </w:tcPr>
          <w:p w14:paraId="59FA569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5777372000</w:t>
            </w:r>
          </w:p>
        </w:tc>
        <w:tc>
          <w:tcPr>
            <w:tcW w:w="547" w:type="pct"/>
            <w:tcBorders>
              <w:top w:val="nil"/>
              <w:left w:val="nil"/>
              <w:bottom w:val="single" w:sz="4" w:space="0" w:color="auto"/>
              <w:right w:val="single" w:sz="4" w:space="0" w:color="auto"/>
            </w:tcBorders>
            <w:shd w:val="clear" w:color="auto" w:fill="auto"/>
            <w:noWrap/>
            <w:vAlign w:val="center"/>
            <w:hideMark/>
          </w:tcPr>
          <w:p w14:paraId="73D9AA5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85712990</w:t>
            </w:r>
          </w:p>
        </w:tc>
        <w:tc>
          <w:tcPr>
            <w:tcW w:w="3360" w:type="pct"/>
            <w:tcBorders>
              <w:top w:val="nil"/>
              <w:left w:val="nil"/>
              <w:bottom w:val="single" w:sz="4" w:space="0" w:color="auto"/>
              <w:right w:val="single" w:sz="4" w:space="0" w:color="auto"/>
            </w:tcBorders>
            <w:shd w:val="clear" w:color="auto" w:fill="auto"/>
            <w:vAlign w:val="center"/>
            <w:hideMark/>
          </w:tcPr>
          <w:p w14:paraId="0068954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KOMUNALA VITANJE, JAVNO PODJETJE D.O.O.,</w:t>
            </w:r>
          </w:p>
        </w:tc>
      </w:tr>
      <w:tr w:rsidR="00E3750C" w:rsidRPr="00415AB3" w14:paraId="70D218D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8CB24E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551</w:t>
            </w:r>
          </w:p>
        </w:tc>
        <w:tc>
          <w:tcPr>
            <w:tcW w:w="705" w:type="pct"/>
            <w:tcBorders>
              <w:top w:val="nil"/>
              <w:left w:val="nil"/>
              <w:bottom w:val="single" w:sz="4" w:space="0" w:color="auto"/>
              <w:right w:val="single" w:sz="4" w:space="0" w:color="auto"/>
            </w:tcBorders>
            <w:shd w:val="clear" w:color="auto" w:fill="auto"/>
            <w:noWrap/>
            <w:vAlign w:val="center"/>
            <w:hideMark/>
          </w:tcPr>
          <w:p w14:paraId="7452534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5067936000</w:t>
            </w:r>
          </w:p>
        </w:tc>
        <w:tc>
          <w:tcPr>
            <w:tcW w:w="547" w:type="pct"/>
            <w:tcBorders>
              <w:top w:val="nil"/>
              <w:left w:val="nil"/>
              <w:bottom w:val="single" w:sz="4" w:space="0" w:color="auto"/>
              <w:right w:val="single" w:sz="4" w:space="0" w:color="auto"/>
            </w:tcBorders>
            <w:shd w:val="clear" w:color="auto" w:fill="auto"/>
            <w:noWrap/>
            <w:vAlign w:val="center"/>
            <w:hideMark/>
          </w:tcPr>
          <w:p w14:paraId="1552BE7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61364576</w:t>
            </w:r>
          </w:p>
        </w:tc>
        <w:tc>
          <w:tcPr>
            <w:tcW w:w="3360" w:type="pct"/>
            <w:tcBorders>
              <w:top w:val="nil"/>
              <w:left w:val="nil"/>
              <w:bottom w:val="single" w:sz="4" w:space="0" w:color="auto"/>
              <w:right w:val="single" w:sz="4" w:space="0" w:color="auto"/>
            </w:tcBorders>
            <w:shd w:val="clear" w:color="auto" w:fill="auto"/>
            <w:vAlign w:val="center"/>
            <w:hideMark/>
          </w:tcPr>
          <w:p w14:paraId="2260A62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KOMUNALA, JAVNO PODJETJE D.O.O.</w:t>
            </w:r>
          </w:p>
        </w:tc>
      </w:tr>
      <w:tr w:rsidR="00E3750C" w:rsidRPr="00415AB3" w14:paraId="530878B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7104D5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552</w:t>
            </w:r>
          </w:p>
        </w:tc>
        <w:tc>
          <w:tcPr>
            <w:tcW w:w="705" w:type="pct"/>
            <w:tcBorders>
              <w:top w:val="nil"/>
              <w:left w:val="nil"/>
              <w:bottom w:val="single" w:sz="4" w:space="0" w:color="auto"/>
              <w:right w:val="single" w:sz="4" w:space="0" w:color="auto"/>
            </w:tcBorders>
            <w:shd w:val="clear" w:color="auto" w:fill="auto"/>
            <w:noWrap/>
            <w:vAlign w:val="center"/>
            <w:hideMark/>
          </w:tcPr>
          <w:p w14:paraId="5774F7D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5918375000</w:t>
            </w:r>
          </w:p>
        </w:tc>
        <w:tc>
          <w:tcPr>
            <w:tcW w:w="547" w:type="pct"/>
            <w:tcBorders>
              <w:top w:val="nil"/>
              <w:left w:val="nil"/>
              <w:bottom w:val="single" w:sz="4" w:space="0" w:color="auto"/>
              <w:right w:val="single" w:sz="4" w:space="0" w:color="auto"/>
            </w:tcBorders>
            <w:shd w:val="clear" w:color="auto" w:fill="auto"/>
            <w:noWrap/>
            <w:vAlign w:val="center"/>
            <w:hideMark/>
          </w:tcPr>
          <w:p w14:paraId="3D5429F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43632319</w:t>
            </w:r>
          </w:p>
        </w:tc>
        <w:tc>
          <w:tcPr>
            <w:tcW w:w="3360" w:type="pct"/>
            <w:tcBorders>
              <w:top w:val="nil"/>
              <w:left w:val="nil"/>
              <w:bottom w:val="single" w:sz="4" w:space="0" w:color="auto"/>
              <w:right w:val="single" w:sz="4" w:space="0" w:color="auto"/>
            </w:tcBorders>
            <w:shd w:val="clear" w:color="auto" w:fill="auto"/>
            <w:vAlign w:val="center"/>
            <w:hideMark/>
          </w:tcPr>
          <w:p w14:paraId="60DB2AD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KOMUNALA, JAVNO PODJETJE, KRANJSKA GORA, D.O.O.</w:t>
            </w:r>
          </w:p>
        </w:tc>
      </w:tr>
      <w:tr w:rsidR="00E3750C" w:rsidRPr="00415AB3" w14:paraId="0DF57F8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70AE35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553</w:t>
            </w:r>
          </w:p>
        </w:tc>
        <w:tc>
          <w:tcPr>
            <w:tcW w:w="705" w:type="pct"/>
            <w:tcBorders>
              <w:top w:val="nil"/>
              <w:left w:val="nil"/>
              <w:bottom w:val="single" w:sz="4" w:space="0" w:color="auto"/>
              <w:right w:val="single" w:sz="4" w:space="0" w:color="auto"/>
            </w:tcBorders>
            <w:shd w:val="clear" w:color="auto" w:fill="auto"/>
            <w:noWrap/>
            <w:vAlign w:val="center"/>
            <w:hideMark/>
          </w:tcPr>
          <w:p w14:paraId="47BF32B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5073049000</w:t>
            </w:r>
          </w:p>
        </w:tc>
        <w:tc>
          <w:tcPr>
            <w:tcW w:w="547" w:type="pct"/>
            <w:tcBorders>
              <w:top w:val="nil"/>
              <w:left w:val="nil"/>
              <w:bottom w:val="single" w:sz="4" w:space="0" w:color="auto"/>
              <w:right w:val="single" w:sz="4" w:space="0" w:color="auto"/>
            </w:tcBorders>
            <w:shd w:val="clear" w:color="auto" w:fill="auto"/>
            <w:noWrap/>
            <w:vAlign w:val="center"/>
            <w:hideMark/>
          </w:tcPr>
          <w:p w14:paraId="0D08F78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66338441</w:t>
            </w:r>
          </w:p>
        </w:tc>
        <w:tc>
          <w:tcPr>
            <w:tcW w:w="3360" w:type="pct"/>
            <w:tcBorders>
              <w:top w:val="nil"/>
              <w:left w:val="nil"/>
              <w:bottom w:val="single" w:sz="4" w:space="0" w:color="auto"/>
              <w:right w:val="single" w:sz="4" w:space="0" w:color="auto"/>
            </w:tcBorders>
            <w:shd w:val="clear" w:color="auto" w:fill="auto"/>
            <w:vAlign w:val="center"/>
            <w:hideMark/>
          </w:tcPr>
          <w:p w14:paraId="2C0D1BF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KOMUNALNO PODJETJE ORMOŽ D.O.O.</w:t>
            </w:r>
          </w:p>
        </w:tc>
      </w:tr>
      <w:tr w:rsidR="00E3750C" w:rsidRPr="00415AB3" w14:paraId="79AAD21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E29765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554</w:t>
            </w:r>
          </w:p>
        </w:tc>
        <w:tc>
          <w:tcPr>
            <w:tcW w:w="705" w:type="pct"/>
            <w:tcBorders>
              <w:top w:val="nil"/>
              <w:left w:val="nil"/>
              <w:bottom w:val="single" w:sz="4" w:space="0" w:color="auto"/>
              <w:right w:val="single" w:sz="4" w:space="0" w:color="auto"/>
            </w:tcBorders>
            <w:shd w:val="clear" w:color="auto" w:fill="auto"/>
            <w:noWrap/>
            <w:vAlign w:val="center"/>
            <w:hideMark/>
          </w:tcPr>
          <w:p w14:paraId="37ADD8D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5321387000</w:t>
            </w:r>
          </w:p>
        </w:tc>
        <w:tc>
          <w:tcPr>
            <w:tcW w:w="547" w:type="pct"/>
            <w:tcBorders>
              <w:top w:val="nil"/>
              <w:left w:val="nil"/>
              <w:bottom w:val="single" w:sz="4" w:space="0" w:color="auto"/>
              <w:right w:val="single" w:sz="4" w:space="0" w:color="auto"/>
            </w:tcBorders>
            <w:shd w:val="clear" w:color="auto" w:fill="auto"/>
            <w:noWrap/>
            <w:vAlign w:val="center"/>
            <w:hideMark/>
          </w:tcPr>
          <w:p w14:paraId="2363DBB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65735676</w:t>
            </w:r>
          </w:p>
        </w:tc>
        <w:tc>
          <w:tcPr>
            <w:tcW w:w="3360" w:type="pct"/>
            <w:tcBorders>
              <w:top w:val="nil"/>
              <w:left w:val="nil"/>
              <w:bottom w:val="single" w:sz="4" w:space="0" w:color="auto"/>
              <w:right w:val="single" w:sz="4" w:space="0" w:color="auto"/>
            </w:tcBorders>
            <w:shd w:val="clear" w:color="auto" w:fill="auto"/>
            <w:vAlign w:val="center"/>
            <w:hideMark/>
          </w:tcPr>
          <w:p w14:paraId="48F1A74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KOMUNALNO PODJETJE PTUJ D.D.</w:t>
            </w:r>
          </w:p>
        </w:tc>
      </w:tr>
      <w:tr w:rsidR="00E3750C" w:rsidRPr="00415AB3" w14:paraId="50AFFE3F"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94A95E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555</w:t>
            </w:r>
          </w:p>
        </w:tc>
        <w:tc>
          <w:tcPr>
            <w:tcW w:w="705" w:type="pct"/>
            <w:tcBorders>
              <w:top w:val="nil"/>
              <w:left w:val="nil"/>
              <w:bottom w:val="single" w:sz="4" w:space="0" w:color="auto"/>
              <w:right w:val="single" w:sz="4" w:space="0" w:color="auto"/>
            </w:tcBorders>
            <w:shd w:val="clear" w:color="auto" w:fill="auto"/>
            <w:noWrap/>
            <w:vAlign w:val="center"/>
            <w:hideMark/>
          </w:tcPr>
          <w:p w14:paraId="2D654E6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5222109000</w:t>
            </w:r>
          </w:p>
        </w:tc>
        <w:tc>
          <w:tcPr>
            <w:tcW w:w="547" w:type="pct"/>
            <w:tcBorders>
              <w:top w:val="nil"/>
              <w:left w:val="nil"/>
              <w:bottom w:val="single" w:sz="4" w:space="0" w:color="auto"/>
              <w:right w:val="single" w:sz="4" w:space="0" w:color="auto"/>
            </w:tcBorders>
            <w:shd w:val="clear" w:color="auto" w:fill="auto"/>
            <w:noWrap/>
            <w:vAlign w:val="center"/>
            <w:hideMark/>
          </w:tcPr>
          <w:p w14:paraId="227E9C7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55713998</w:t>
            </w:r>
          </w:p>
        </w:tc>
        <w:tc>
          <w:tcPr>
            <w:tcW w:w="3360" w:type="pct"/>
            <w:tcBorders>
              <w:top w:val="nil"/>
              <w:left w:val="nil"/>
              <w:bottom w:val="single" w:sz="4" w:space="0" w:color="auto"/>
              <w:right w:val="single" w:sz="4" w:space="0" w:color="auto"/>
            </w:tcBorders>
            <w:shd w:val="clear" w:color="auto" w:fill="auto"/>
            <w:vAlign w:val="center"/>
            <w:hideMark/>
          </w:tcPr>
          <w:p w14:paraId="6E4463A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KOMUNALNO PODJETJE VELENJE IZVAJANJE KOMUNALNIH DEJAVNOSTI, D.O.O</w:t>
            </w:r>
          </w:p>
        </w:tc>
      </w:tr>
      <w:tr w:rsidR="00E3750C" w:rsidRPr="00415AB3" w14:paraId="654B0EF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AB9850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556</w:t>
            </w:r>
          </w:p>
        </w:tc>
        <w:tc>
          <w:tcPr>
            <w:tcW w:w="705" w:type="pct"/>
            <w:tcBorders>
              <w:top w:val="nil"/>
              <w:left w:val="nil"/>
              <w:bottom w:val="single" w:sz="4" w:space="0" w:color="auto"/>
              <w:right w:val="single" w:sz="4" w:space="0" w:color="auto"/>
            </w:tcBorders>
            <w:shd w:val="clear" w:color="auto" w:fill="auto"/>
            <w:noWrap/>
            <w:vAlign w:val="center"/>
            <w:hideMark/>
          </w:tcPr>
          <w:p w14:paraId="0A31956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5210461000</w:t>
            </w:r>
          </w:p>
        </w:tc>
        <w:tc>
          <w:tcPr>
            <w:tcW w:w="547" w:type="pct"/>
            <w:tcBorders>
              <w:top w:val="nil"/>
              <w:left w:val="nil"/>
              <w:bottom w:val="single" w:sz="4" w:space="0" w:color="auto"/>
              <w:right w:val="single" w:sz="4" w:space="0" w:color="auto"/>
            </w:tcBorders>
            <w:shd w:val="clear" w:color="auto" w:fill="auto"/>
            <w:noWrap/>
            <w:vAlign w:val="center"/>
            <w:hideMark/>
          </w:tcPr>
          <w:p w14:paraId="2B3DF9F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68647336</w:t>
            </w:r>
          </w:p>
        </w:tc>
        <w:tc>
          <w:tcPr>
            <w:tcW w:w="3360" w:type="pct"/>
            <w:tcBorders>
              <w:top w:val="nil"/>
              <w:left w:val="nil"/>
              <w:bottom w:val="single" w:sz="4" w:space="0" w:color="auto"/>
              <w:right w:val="single" w:sz="4" w:space="0" w:color="auto"/>
            </w:tcBorders>
            <w:shd w:val="clear" w:color="auto" w:fill="auto"/>
            <w:vAlign w:val="center"/>
            <w:hideMark/>
          </w:tcPr>
          <w:p w14:paraId="03AB7F9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KOMUNALNO STANOVANJSKA DRUŽBA D.O.O. AJDOVŠČINA</w:t>
            </w:r>
          </w:p>
        </w:tc>
      </w:tr>
      <w:tr w:rsidR="00E3750C" w:rsidRPr="00415AB3" w14:paraId="6C35D55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B8AC3C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557</w:t>
            </w:r>
          </w:p>
        </w:tc>
        <w:tc>
          <w:tcPr>
            <w:tcW w:w="705" w:type="pct"/>
            <w:tcBorders>
              <w:top w:val="nil"/>
              <w:left w:val="nil"/>
              <w:bottom w:val="single" w:sz="4" w:space="0" w:color="auto"/>
              <w:right w:val="single" w:sz="4" w:space="0" w:color="auto"/>
            </w:tcBorders>
            <w:shd w:val="clear" w:color="auto" w:fill="auto"/>
            <w:noWrap/>
            <w:vAlign w:val="center"/>
            <w:hideMark/>
          </w:tcPr>
          <w:p w14:paraId="6586325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5110246000</w:t>
            </w:r>
          </w:p>
        </w:tc>
        <w:tc>
          <w:tcPr>
            <w:tcW w:w="547" w:type="pct"/>
            <w:tcBorders>
              <w:top w:val="nil"/>
              <w:left w:val="nil"/>
              <w:bottom w:val="single" w:sz="4" w:space="0" w:color="auto"/>
              <w:right w:val="single" w:sz="4" w:space="0" w:color="auto"/>
            </w:tcBorders>
            <w:shd w:val="clear" w:color="auto" w:fill="auto"/>
            <w:noWrap/>
            <w:vAlign w:val="center"/>
            <w:hideMark/>
          </w:tcPr>
          <w:p w14:paraId="684512A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48190675</w:t>
            </w:r>
          </w:p>
        </w:tc>
        <w:tc>
          <w:tcPr>
            <w:tcW w:w="3360" w:type="pct"/>
            <w:tcBorders>
              <w:top w:val="nil"/>
              <w:left w:val="nil"/>
              <w:bottom w:val="single" w:sz="4" w:space="0" w:color="auto"/>
              <w:right w:val="single" w:sz="4" w:space="0" w:color="auto"/>
            </w:tcBorders>
            <w:shd w:val="clear" w:color="auto" w:fill="auto"/>
            <w:vAlign w:val="center"/>
            <w:hideMark/>
          </w:tcPr>
          <w:p w14:paraId="3CE9B0F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KONSERVATORIJ ZA GLASBO IN BALET MARIBOR</w:t>
            </w:r>
          </w:p>
        </w:tc>
      </w:tr>
      <w:tr w:rsidR="00E3750C" w:rsidRPr="00415AB3" w14:paraId="262FF05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845F82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558</w:t>
            </w:r>
          </w:p>
        </w:tc>
        <w:tc>
          <w:tcPr>
            <w:tcW w:w="705" w:type="pct"/>
            <w:tcBorders>
              <w:top w:val="nil"/>
              <w:left w:val="nil"/>
              <w:bottom w:val="single" w:sz="4" w:space="0" w:color="auto"/>
              <w:right w:val="single" w:sz="4" w:space="0" w:color="auto"/>
            </w:tcBorders>
            <w:shd w:val="clear" w:color="auto" w:fill="auto"/>
            <w:noWrap/>
            <w:vAlign w:val="center"/>
            <w:hideMark/>
          </w:tcPr>
          <w:p w14:paraId="5F4E5ED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1913301000</w:t>
            </w:r>
          </w:p>
        </w:tc>
        <w:tc>
          <w:tcPr>
            <w:tcW w:w="547" w:type="pct"/>
            <w:tcBorders>
              <w:top w:val="nil"/>
              <w:left w:val="nil"/>
              <w:bottom w:val="single" w:sz="4" w:space="0" w:color="auto"/>
              <w:right w:val="single" w:sz="4" w:space="0" w:color="auto"/>
            </w:tcBorders>
            <w:shd w:val="clear" w:color="auto" w:fill="auto"/>
            <w:noWrap/>
            <w:vAlign w:val="center"/>
            <w:hideMark/>
          </w:tcPr>
          <w:p w14:paraId="5C983F8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18930492</w:t>
            </w:r>
          </w:p>
        </w:tc>
        <w:tc>
          <w:tcPr>
            <w:tcW w:w="3360" w:type="pct"/>
            <w:tcBorders>
              <w:top w:val="nil"/>
              <w:left w:val="nil"/>
              <w:bottom w:val="single" w:sz="4" w:space="0" w:color="auto"/>
              <w:right w:val="single" w:sz="4" w:space="0" w:color="auto"/>
            </w:tcBorders>
            <w:shd w:val="clear" w:color="auto" w:fill="auto"/>
            <w:vAlign w:val="center"/>
            <w:hideMark/>
          </w:tcPr>
          <w:p w14:paraId="57CB1D4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KONTROLA ZRAČNEGA PROMETA SLOVENIJE, D.O.O.</w:t>
            </w:r>
          </w:p>
        </w:tc>
      </w:tr>
      <w:tr w:rsidR="00E3750C" w:rsidRPr="00415AB3" w14:paraId="79C93A2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823D32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559</w:t>
            </w:r>
          </w:p>
        </w:tc>
        <w:tc>
          <w:tcPr>
            <w:tcW w:w="705" w:type="pct"/>
            <w:tcBorders>
              <w:top w:val="nil"/>
              <w:left w:val="nil"/>
              <w:bottom w:val="single" w:sz="4" w:space="0" w:color="auto"/>
              <w:right w:val="single" w:sz="4" w:space="0" w:color="auto"/>
            </w:tcBorders>
            <w:shd w:val="clear" w:color="auto" w:fill="auto"/>
            <w:noWrap/>
            <w:vAlign w:val="center"/>
            <w:hideMark/>
          </w:tcPr>
          <w:p w14:paraId="31687D0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5518156000</w:t>
            </w:r>
          </w:p>
        </w:tc>
        <w:tc>
          <w:tcPr>
            <w:tcW w:w="547" w:type="pct"/>
            <w:tcBorders>
              <w:top w:val="nil"/>
              <w:left w:val="nil"/>
              <w:bottom w:val="single" w:sz="4" w:space="0" w:color="auto"/>
              <w:right w:val="single" w:sz="4" w:space="0" w:color="auto"/>
            </w:tcBorders>
            <w:shd w:val="clear" w:color="auto" w:fill="auto"/>
            <w:noWrap/>
            <w:vAlign w:val="center"/>
            <w:hideMark/>
          </w:tcPr>
          <w:p w14:paraId="1092153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55926215</w:t>
            </w:r>
          </w:p>
        </w:tc>
        <w:tc>
          <w:tcPr>
            <w:tcW w:w="3360" w:type="pct"/>
            <w:tcBorders>
              <w:top w:val="nil"/>
              <w:left w:val="nil"/>
              <w:bottom w:val="single" w:sz="4" w:space="0" w:color="auto"/>
              <w:right w:val="single" w:sz="4" w:space="0" w:color="auto"/>
            </w:tcBorders>
            <w:shd w:val="clear" w:color="auto" w:fill="auto"/>
            <w:vAlign w:val="center"/>
            <w:hideMark/>
          </w:tcPr>
          <w:p w14:paraId="4F43DED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KOROŠKA GALERIJA LIKOVNIH UMETNOSTI</w:t>
            </w:r>
          </w:p>
        </w:tc>
      </w:tr>
      <w:tr w:rsidR="00E3750C" w:rsidRPr="00415AB3" w14:paraId="0202337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7C96FD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560</w:t>
            </w:r>
          </w:p>
        </w:tc>
        <w:tc>
          <w:tcPr>
            <w:tcW w:w="705" w:type="pct"/>
            <w:tcBorders>
              <w:top w:val="nil"/>
              <w:left w:val="nil"/>
              <w:bottom w:val="single" w:sz="4" w:space="0" w:color="auto"/>
              <w:right w:val="single" w:sz="4" w:space="0" w:color="auto"/>
            </w:tcBorders>
            <w:shd w:val="clear" w:color="auto" w:fill="auto"/>
            <w:noWrap/>
            <w:vAlign w:val="center"/>
            <w:hideMark/>
          </w:tcPr>
          <w:p w14:paraId="45D389D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5055709000</w:t>
            </w:r>
          </w:p>
        </w:tc>
        <w:tc>
          <w:tcPr>
            <w:tcW w:w="547" w:type="pct"/>
            <w:tcBorders>
              <w:top w:val="nil"/>
              <w:left w:val="nil"/>
              <w:bottom w:val="single" w:sz="4" w:space="0" w:color="auto"/>
              <w:right w:val="single" w:sz="4" w:space="0" w:color="auto"/>
            </w:tcBorders>
            <w:shd w:val="clear" w:color="auto" w:fill="auto"/>
            <w:noWrap/>
            <w:vAlign w:val="center"/>
            <w:hideMark/>
          </w:tcPr>
          <w:p w14:paraId="5F5C63B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40712974</w:t>
            </w:r>
          </w:p>
        </w:tc>
        <w:tc>
          <w:tcPr>
            <w:tcW w:w="3360" w:type="pct"/>
            <w:tcBorders>
              <w:top w:val="nil"/>
              <w:left w:val="nil"/>
              <w:bottom w:val="single" w:sz="4" w:space="0" w:color="auto"/>
              <w:right w:val="single" w:sz="4" w:space="0" w:color="auto"/>
            </w:tcBorders>
            <w:shd w:val="clear" w:color="auto" w:fill="auto"/>
            <w:vAlign w:val="center"/>
            <w:hideMark/>
          </w:tcPr>
          <w:p w14:paraId="766B009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KOROŠKA LEKARNA</w:t>
            </w:r>
          </w:p>
        </w:tc>
      </w:tr>
      <w:tr w:rsidR="00E3750C" w:rsidRPr="00415AB3" w14:paraId="6D4CB43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97C2B5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561</w:t>
            </w:r>
          </w:p>
        </w:tc>
        <w:tc>
          <w:tcPr>
            <w:tcW w:w="705" w:type="pct"/>
            <w:tcBorders>
              <w:top w:val="nil"/>
              <w:left w:val="nil"/>
              <w:bottom w:val="single" w:sz="4" w:space="0" w:color="auto"/>
              <w:right w:val="single" w:sz="4" w:space="0" w:color="auto"/>
            </w:tcBorders>
            <w:shd w:val="clear" w:color="auto" w:fill="auto"/>
            <w:noWrap/>
            <w:vAlign w:val="center"/>
            <w:hideMark/>
          </w:tcPr>
          <w:p w14:paraId="1B96EE9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5049679000</w:t>
            </w:r>
          </w:p>
        </w:tc>
        <w:tc>
          <w:tcPr>
            <w:tcW w:w="547" w:type="pct"/>
            <w:tcBorders>
              <w:top w:val="nil"/>
              <w:left w:val="nil"/>
              <w:bottom w:val="single" w:sz="4" w:space="0" w:color="auto"/>
              <w:right w:val="single" w:sz="4" w:space="0" w:color="auto"/>
            </w:tcBorders>
            <w:shd w:val="clear" w:color="auto" w:fill="auto"/>
            <w:noWrap/>
            <w:vAlign w:val="center"/>
            <w:hideMark/>
          </w:tcPr>
          <w:p w14:paraId="084CD74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66420385</w:t>
            </w:r>
          </w:p>
        </w:tc>
        <w:tc>
          <w:tcPr>
            <w:tcW w:w="3360" w:type="pct"/>
            <w:tcBorders>
              <w:top w:val="nil"/>
              <w:left w:val="nil"/>
              <w:bottom w:val="single" w:sz="4" w:space="0" w:color="auto"/>
              <w:right w:val="single" w:sz="4" w:space="0" w:color="auto"/>
            </w:tcBorders>
            <w:shd w:val="clear" w:color="auto" w:fill="auto"/>
            <w:vAlign w:val="center"/>
            <w:hideMark/>
          </w:tcPr>
          <w:p w14:paraId="06EA806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KOROŠKI DOM STAROSTNIKOV</w:t>
            </w:r>
          </w:p>
        </w:tc>
      </w:tr>
      <w:tr w:rsidR="00E3750C" w:rsidRPr="00415AB3" w14:paraId="09279E9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2A9FEF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562</w:t>
            </w:r>
          </w:p>
        </w:tc>
        <w:tc>
          <w:tcPr>
            <w:tcW w:w="705" w:type="pct"/>
            <w:tcBorders>
              <w:top w:val="nil"/>
              <w:left w:val="nil"/>
              <w:bottom w:val="single" w:sz="4" w:space="0" w:color="auto"/>
              <w:right w:val="single" w:sz="4" w:space="0" w:color="auto"/>
            </w:tcBorders>
            <w:shd w:val="clear" w:color="auto" w:fill="auto"/>
            <w:noWrap/>
            <w:vAlign w:val="center"/>
            <w:hideMark/>
          </w:tcPr>
          <w:p w14:paraId="3EA8107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5867886000</w:t>
            </w:r>
          </w:p>
        </w:tc>
        <w:tc>
          <w:tcPr>
            <w:tcW w:w="547" w:type="pct"/>
            <w:tcBorders>
              <w:top w:val="nil"/>
              <w:left w:val="nil"/>
              <w:bottom w:val="single" w:sz="4" w:space="0" w:color="auto"/>
              <w:right w:val="single" w:sz="4" w:space="0" w:color="auto"/>
            </w:tcBorders>
            <w:shd w:val="clear" w:color="auto" w:fill="auto"/>
            <w:noWrap/>
            <w:vAlign w:val="center"/>
            <w:hideMark/>
          </w:tcPr>
          <w:p w14:paraId="508D90C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41943732</w:t>
            </w:r>
          </w:p>
        </w:tc>
        <w:tc>
          <w:tcPr>
            <w:tcW w:w="3360" w:type="pct"/>
            <w:tcBorders>
              <w:top w:val="nil"/>
              <w:left w:val="nil"/>
              <w:bottom w:val="single" w:sz="4" w:space="0" w:color="auto"/>
              <w:right w:val="single" w:sz="4" w:space="0" w:color="auto"/>
            </w:tcBorders>
            <w:shd w:val="clear" w:color="auto" w:fill="auto"/>
            <w:vAlign w:val="center"/>
            <w:hideMark/>
          </w:tcPr>
          <w:p w14:paraId="61F82EC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KOROŠKI GASILSKI ZAVOD</w:t>
            </w:r>
          </w:p>
        </w:tc>
      </w:tr>
      <w:tr w:rsidR="00E3750C" w:rsidRPr="00415AB3" w14:paraId="525BAFF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FFC3BA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563</w:t>
            </w:r>
          </w:p>
        </w:tc>
        <w:tc>
          <w:tcPr>
            <w:tcW w:w="705" w:type="pct"/>
            <w:tcBorders>
              <w:top w:val="nil"/>
              <w:left w:val="nil"/>
              <w:bottom w:val="single" w:sz="4" w:space="0" w:color="auto"/>
              <w:right w:val="single" w:sz="4" w:space="0" w:color="auto"/>
            </w:tcBorders>
            <w:shd w:val="clear" w:color="auto" w:fill="auto"/>
            <w:noWrap/>
            <w:vAlign w:val="center"/>
            <w:hideMark/>
          </w:tcPr>
          <w:p w14:paraId="1A89815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1782681000</w:t>
            </w:r>
          </w:p>
        </w:tc>
        <w:tc>
          <w:tcPr>
            <w:tcW w:w="547" w:type="pct"/>
            <w:tcBorders>
              <w:top w:val="nil"/>
              <w:left w:val="nil"/>
              <w:bottom w:val="single" w:sz="4" w:space="0" w:color="auto"/>
              <w:right w:val="single" w:sz="4" w:space="0" w:color="auto"/>
            </w:tcBorders>
            <w:shd w:val="clear" w:color="auto" w:fill="auto"/>
            <w:noWrap/>
            <w:vAlign w:val="center"/>
            <w:hideMark/>
          </w:tcPr>
          <w:p w14:paraId="283389E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36339954</w:t>
            </w:r>
          </w:p>
        </w:tc>
        <w:tc>
          <w:tcPr>
            <w:tcW w:w="3360" w:type="pct"/>
            <w:tcBorders>
              <w:top w:val="nil"/>
              <w:left w:val="nil"/>
              <w:bottom w:val="single" w:sz="4" w:space="0" w:color="auto"/>
              <w:right w:val="single" w:sz="4" w:space="0" w:color="auto"/>
            </w:tcBorders>
            <w:shd w:val="clear" w:color="auto" w:fill="auto"/>
            <w:vAlign w:val="center"/>
            <w:hideMark/>
          </w:tcPr>
          <w:p w14:paraId="5C3E053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KOROŠKI POKRAJINSKI MUZEJ</w:t>
            </w:r>
          </w:p>
        </w:tc>
      </w:tr>
      <w:tr w:rsidR="00E3750C" w:rsidRPr="00415AB3" w14:paraId="24FE64D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27AFA3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564</w:t>
            </w:r>
          </w:p>
        </w:tc>
        <w:tc>
          <w:tcPr>
            <w:tcW w:w="705" w:type="pct"/>
            <w:tcBorders>
              <w:top w:val="nil"/>
              <w:left w:val="nil"/>
              <w:bottom w:val="single" w:sz="4" w:space="0" w:color="auto"/>
              <w:right w:val="single" w:sz="4" w:space="0" w:color="auto"/>
            </w:tcBorders>
            <w:shd w:val="clear" w:color="auto" w:fill="auto"/>
            <w:noWrap/>
            <w:vAlign w:val="center"/>
            <w:hideMark/>
          </w:tcPr>
          <w:p w14:paraId="62DDD52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5515513000</w:t>
            </w:r>
          </w:p>
        </w:tc>
        <w:tc>
          <w:tcPr>
            <w:tcW w:w="547" w:type="pct"/>
            <w:tcBorders>
              <w:top w:val="nil"/>
              <w:left w:val="nil"/>
              <w:bottom w:val="single" w:sz="4" w:space="0" w:color="auto"/>
              <w:right w:val="single" w:sz="4" w:space="0" w:color="auto"/>
            </w:tcBorders>
            <w:shd w:val="clear" w:color="auto" w:fill="auto"/>
            <w:noWrap/>
            <w:vAlign w:val="center"/>
            <w:hideMark/>
          </w:tcPr>
          <w:p w14:paraId="734692A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92762778</w:t>
            </w:r>
          </w:p>
        </w:tc>
        <w:tc>
          <w:tcPr>
            <w:tcW w:w="3360" w:type="pct"/>
            <w:tcBorders>
              <w:top w:val="nil"/>
              <w:left w:val="nil"/>
              <w:bottom w:val="single" w:sz="4" w:space="0" w:color="auto"/>
              <w:right w:val="single" w:sz="4" w:space="0" w:color="auto"/>
            </w:tcBorders>
            <w:shd w:val="clear" w:color="auto" w:fill="auto"/>
            <w:vAlign w:val="center"/>
            <w:hideMark/>
          </w:tcPr>
          <w:p w14:paraId="757502E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KOSOVELOV DOM SEŽANA - KULTURNI CENTER KRASA</w:t>
            </w:r>
          </w:p>
        </w:tc>
      </w:tr>
      <w:tr w:rsidR="00E3750C" w:rsidRPr="00415AB3" w14:paraId="1BC83B7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E6E5F3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565</w:t>
            </w:r>
          </w:p>
        </w:tc>
        <w:tc>
          <w:tcPr>
            <w:tcW w:w="705" w:type="pct"/>
            <w:tcBorders>
              <w:top w:val="nil"/>
              <w:left w:val="nil"/>
              <w:bottom w:val="single" w:sz="4" w:space="0" w:color="auto"/>
              <w:right w:val="single" w:sz="4" w:space="0" w:color="auto"/>
            </w:tcBorders>
            <w:shd w:val="clear" w:color="auto" w:fill="auto"/>
            <w:noWrap/>
            <w:vAlign w:val="center"/>
            <w:hideMark/>
          </w:tcPr>
          <w:p w14:paraId="7B48CC0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5009405000</w:t>
            </w:r>
          </w:p>
        </w:tc>
        <w:tc>
          <w:tcPr>
            <w:tcW w:w="547" w:type="pct"/>
            <w:tcBorders>
              <w:top w:val="nil"/>
              <w:left w:val="nil"/>
              <w:bottom w:val="single" w:sz="4" w:space="0" w:color="auto"/>
              <w:right w:val="single" w:sz="4" w:space="0" w:color="auto"/>
            </w:tcBorders>
            <w:shd w:val="clear" w:color="auto" w:fill="auto"/>
            <w:noWrap/>
            <w:vAlign w:val="center"/>
            <w:hideMark/>
          </w:tcPr>
          <w:p w14:paraId="32C70D3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16382803</w:t>
            </w:r>
          </w:p>
        </w:tc>
        <w:tc>
          <w:tcPr>
            <w:tcW w:w="3360" w:type="pct"/>
            <w:tcBorders>
              <w:top w:val="nil"/>
              <w:left w:val="nil"/>
              <w:bottom w:val="single" w:sz="4" w:space="0" w:color="auto"/>
              <w:right w:val="single" w:sz="4" w:space="0" w:color="auto"/>
            </w:tcBorders>
            <w:shd w:val="clear" w:color="auto" w:fill="auto"/>
            <w:vAlign w:val="center"/>
            <w:hideMark/>
          </w:tcPr>
          <w:p w14:paraId="1952E28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KOŠARKARSKA ZVEZA SLOVENIJE</w:t>
            </w:r>
          </w:p>
        </w:tc>
      </w:tr>
      <w:tr w:rsidR="00E3750C" w:rsidRPr="00415AB3" w14:paraId="3ACF315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B9D29F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566</w:t>
            </w:r>
          </w:p>
        </w:tc>
        <w:tc>
          <w:tcPr>
            <w:tcW w:w="705" w:type="pct"/>
            <w:tcBorders>
              <w:top w:val="nil"/>
              <w:left w:val="nil"/>
              <w:bottom w:val="single" w:sz="4" w:space="0" w:color="auto"/>
              <w:right w:val="single" w:sz="4" w:space="0" w:color="auto"/>
            </w:tcBorders>
            <w:shd w:val="clear" w:color="auto" w:fill="auto"/>
            <w:noWrap/>
            <w:vAlign w:val="center"/>
            <w:hideMark/>
          </w:tcPr>
          <w:p w14:paraId="075F4F8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5243220000</w:t>
            </w:r>
          </w:p>
        </w:tc>
        <w:tc>
          <w:tcPr>
            <w:tcW w:w="547" w:type="pct"/>
            <w:tcBorders>
              <w:top w:val="nil"/>
              <w:left w:val="nil"/>
              <w:bottom w:val="single" w:sz="4" w:space="0" w:color="auto"/>
              <w:right w:val="single" w:sz="4" w:space="0" w:color="auto"/>
            </w:tcBorders>
            <w:shd w:val="clear" w:color="auto" w:fill="auto"/>
            <w:noWrap/>
            <w:vAlign w:val="center"/>
            <w:hideMark/>
          </w:tcPr>
          <w:p w14:paraId="6E7BD33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10104135</w:t>
            </w:r>
          </w:p>
        </w:tc>
        <w:tc>
          <w:tcPr>
            <w:tcW w:w="3360" w:type="pct"/>
            <w:tcBorders>
              <w:top w:val="nil"/>
              <w:left w:val="nil"/>
              <w:bottom w:val="single" w:sz="4" w:space="0" w:color="auto"/>
              <w:right w:val="single" w:sz="4" w:space="0" w:color="auto"/>
            </w:tcBorders>
            <w:shd w:val="clear" w:color="auto" w:fill="auto"/>
            <w:vAlign w:val="center"/>
            <w:hideMark/>
          </w:tcPr>
          <w:p w14:paraId="1F632D5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KOZJANSKI PARK</w:t>
            </w:r>
          </w:p>
        </w:tc>
      </w:tr>
      <w:tr w:rsidR="00E3750C" w:rsidRPr="00415AB3" w14:paraId="2BF7F464"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9A5463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567</w:t>
            </w:r>
          </w:p>
        </w:tc>
        <w:tc>
          <w:tcPr>
            <w:tcW w:w="705" w:type="pct"/>
            <w:tcBorders>
              <w:top w:val="nil"/>
              <w:left w:val="nil"/>
              <w:bottom w:val="single" w:sz="4" w:space="0" w:color="auto"/>
              <w:right w:val="single" w:sz="4" w:space="0" w:color="auto"/>
            </w:tcBorders>
            <w:shd w:val="clear" w:color="auto" w:fill="auto"/>
            <w:noWrap/>
            <w:vAlign w:val="center"/>
            <w:hideMark/>
          </w:tcPr>
          <w:p w14:paraId="1483F49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5015405000</w:t>
            </w:r>
          </w:p>
        </w:tc>
        <w:tc>
          <w:tcPr>
            <w:tcW w:w="547" w:type="pct"/>
            <w:tcBorders>
              <w:top w:val="nil"/>
              <w:left w:val="nil"/>
              <w:bottom w:val="single" w:sz="4" w:space="0" w:color="auto"/>
              <w:right w:val="single" w:sz="4" w:space="0" w:color="auto"/>
            </w:tcBorders>
            <w:shd w:val="clear" w:color="auto" w:fill="auto"/>
            <w:noWrap/>
            <w:vAlign w:val="center"/>
            <w:hideMark/>
          </w:tcPr>
          <w:p w14:paraId="254A1BD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30209889</w:t>
            </w:r>
          </w:p>
        </w:tc>
        <w:tc>
          <w:tcPr>
            <w:tcW w:w="3360" w:type="pct"/>
            <w:tcBorders>
              <w:top w:val="nil"/>
              <w:left w:val="nil"/>
              <w:bottom w:val="single" w:sz="4" w:space="0" w:color="auto"/>
              <w:right w:val="single" w:sz="4" w:space="0" w:color="auto"/>
            </w:tcBorders>
            <w:shd w:val="clear" w:color="auto" w:fill="auto"/>
            <w:vAlign w:val="center"/>
            <w:hideMark/>
          </w:tcPr>
          <w:p w14:paraId="271A032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KPL, DRUŽBA ZA GRADNJO IN VZDRŽEVANJE CEST, ZELENIH POVRŠIN TER INŽENIRING D.O.O.</w:t>
            </w:r>
          </w:p>
        </w:tc>
      </w:tr>
      <w:tr w:rsidR="00E3750C" w:rsidRPr="00415AB3" w14:paraId="6A03D6A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267788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568</w:t>
            </w:r>
          </w:p>
        </w:tc>
        <w:tc>
          <w:tcPr>
            <w:tcW w:w="705" w:type="pct"/>
            <w:tcBorders>
              <w:top w:val="nil"/>
              <w:left w:val="nil"/>
              <w:bottom w:val="single" w:sz="4" w:space="0" w:color="auto"/>
              <w:right w:val="single" w:sz="4" w:space="0" w:color="auto"/>
            </w:tcBorders>
            <w:shd w:val="clear" w:color="auto" w:fill="auto"/>
            <w:noWrap/>
            <w:vAlign w:val="center"/>
            <w:hideMark/>
          </w:tcPr>
          <w:p w14:paraId="3687582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5026610000</w:t>
            </w:r>
          </w:p>
        </w:tc>
        <w:tc>
          <w:tcPr>
            <w:tcW w:w="547" w:type="pct"/>
            <w:tcBorders>
              <w:top w:val="nil"/>
              <w:left w:val="nil"/>
              <w:bottom w:val="single" w:sz="4" w:space="0" w:color="auto"/>
              <w:right w:val="single" w:sz="4" w:space="0" w:color="auto"/>
            </w:tcBorders>
            <w:shd w:val="clear" w:color="auto" w:fill="auto"/>
            <w:noWrap/>
            <w:vAlign w:val="center"/>
            <w:hideMark/>
          </w:tcPr>
          <w:p w14:paraId="014D1E0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37952226</w:t>
            </w:r>
          </w:p>
        </w:tc>
        <w:tc>
          <w:tcPr>
            <w:tcW w:w="3360" w:type="pct"/>
            <w:tcBorders>
              <w:top w:val="nil"/>
              <w:left w:val="nil"/>
              <w:bottom w:val="single" w:sz="4" w:space="0" w:color="auto"/>
              <w:right w:val="single" w:sz="4" w:space="0" w:color="auto"/>
            </w:tcBorders>
            <w:shd w:val="clear" w:color="auto" w:fill="auto"/>
            <w:vAlign w:val="center"/>
            <w:hideMark/>
          </w:tcPr>
          <w:p w14:paraId="068651F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AJDOVŠČINA</w:t>
            </w:r>
          </w:p>
        </w:tc>
      </w:tr>
      <w:tr w:rsidR="00E3750C" w:rsidRPr="00415AB3" w14:paraId="5B72E00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04FEE5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569</w:t>
            </w:r>
          </w:p>
        </w:tc>
        <w:tc>
          <w:tcPr>
            <w:tcW w:w="705" w:type="pct"/>
            <w:tcBorders>
              <w:top w:val="nil"/>
              <w:left w:val="nil"/>
              <w:bottom w:val="single" w:sz="4" w:space="0" w:color="auto"/>
              <w:right w:val="single" w:sz="4" w:space="0" w:color="auto"/>
            </w:tcBorders>
            <w:shd w:val="clear" w:color="auto" w:fill="auto"/>
            <w:noWrap/>
            <w:vAlign w:val="center"/>
            <w:hideMark/>
          </w:tcPr>
          <w:p w14:paraId="0578713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5016681000</w:t>
            </w:r>
          </w:p>
        </w:tc>
        <w:tc>
          <w:tcPr>
            <w:tcW w:w="547" w:type="pct"/>
            <w:tcBorders>
              <w:top w:val="nil"/>
              <w:left w:val="nil"/>
              <w:bottom w:val="single" w:sz="4" w:space="0" w:color="auto"/>
              <w:right w:val="single" w:sz="4" w:space="0" w:color="auto"/>
            </w:tcBorders>
            <w:shd w:val="clear" w:color="auto" w:fill="auto"/>
            <w:noWrap/>
            <w:vAlign w:val="center"/>
            <w:hideMark/>
          </w:tcPr>
          <w:p w14:paraId="789C992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84063700</w:t>
            </w:r>
          </w:p>
        </w:tc>
        <w:tc>
          <w:tcPr>
            <w:tcW w:w="3360" w:type="pct"/>
            <w:tcBorders>
              <w:top w:val="nil"/>
              <w:left w:val="nil"/>
              <w:bottom w:val="single" w:sz="4" w:space="0" w:color="auto"/>
              <w:right w:val="single" w:sz="4" w:space="0" w:color="auto"/>
            </w:tcBorders>
            <w:shd w:val="clear" w:color="auto" w:fill="auto"/>
            <w:vAlign w:val="center"/>
            <w:hideMark/>
          </w:tcPr>
          <w:p w14:paraId="2AAD751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ARTIČE</w:t>
            </w:r>
          </w:p>
        </w:tc>
      </w:tr>
      <w:tr w:rsidR="00E3750C" w:rsidRPr="00415AB3" w14:paraId="1B9A491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1096E7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570</w:t>
            </w:r>
          </w:p>
        </w:tc>
        <w:tc>
          <w:tcPr>
            <w:tcW w:w="705" w:type="pct"/>
            <w:tcBorders>
              <w:top w:val="nil"/>
              <w:left w:val="nil"/>
              <w:bottom w:val="single" w:sz="4" w:space="0" w:color="auto"/>
              <w:right w:val="single" w:sz="4" w:space="0" w:color="auto"/>
            </w:tcBorders>
            <w:shd w:val="clear" w:color="auto" w:fill="auto"/>
            <w:noWrap/>
            <w:vAlign w:val="center"/>
            <w:hideMark/>
          </w:tcPr>
          <w:p w14:paraId="41DFCA1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5031745000</w:t>
            </w:r>
          </w:p>
        </w:tc>
        <w:tc>
          <w:tcPr>
            <w:tcW w:w="547" w:type="pct"/>
            <w:tcBorders>
              <w:top w:val="nil"/>
              <w:left w:val="nil"/>
              <w:bottom w:val="single" w:sz="4" w:space="0" w:color="auto"/>
              <w:right w:val="single" w:sz="4" w:space="0" w:color="auto"/>
            </w:tcBorders>
            <w:shd w:val="clear" w:color="auto" w:fill="auto"/>
            <w:noWrap/>
            <w:vAlign w:val="center"/>
            <w:hideMark/>
          </w:tcPr>
          <w:p w14:paraId="4158755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96968265</w:t>
            </w:r>
          </w:p>
        </w:tc>
        <w:tc>
          <w:tcPr>
            <w:tcW w:w="3360" w:type="pct"/>
            <w:tcBorders>
              <w:top w:val="nil"/>
              <w:left w:val="nil"/>
              <w:bottom w:val="single" w:sz="4" w:space="0" w:color="auto"/>
              <w:right w:val="single" w:sz="4" w:space="0" w:color="auto"/>
            </w:tcBorders>
            <w:shd w:val="clear" w:color="auto" w:fill="auto"/>
            <w:vAlign w:val="center"/>
            <w:hideMark/>
          </w:tcPr>
          <w:p w14:paraId="7999C7F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BANJŠICE</w:t>
            </w:r>
          </w:p>
        </w:tc>
      </w:tr>
      <w:tr w:rsidR="00E3750C" w:rsidRPr="00415AB3" w14:paraId="30BFE39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8F3E8D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571</w:t>
            </w:r>
          </w:p>
        </w:tc>
        <w:tc>
          <w:tcPr>
            <w:tcW w:w="705" w:type="pct"/>
            <w:tcBorders>
              <w:top w:val="nil"/>
              <w:left w:val="nil"/>
              <w:bottom w:val="single" w:sz="4" w:space="0" w:color="auto"/>
              <w:right w:val="single" w:sz="4" w:space="0" w:color="auto"/>
            </w:tcBorders>
            <w:shd w:val="clear" w:color="auto" w:fill="auto"/>
            <w:noWrap/>
            <w:vAlign w:val="center"/>
            <w:hideMark/>
          </w:tcPr>
          <w:p w14:paraId="1037DA3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5016525000</w:t>
            </w:r>
          </w:p>
        </w:tc>
        <w:tc>
          <w:tcPr>
            <w:tcW w:w="547" w:type="pct"/>
            <w:tcBorders>
              <w:top w:val="nil"/>
              <w:left w:val="nil"/>
              <w:bottom w:val="single" w:sz="4" w:space="0" w:color="auto"/>
              <w:right w:val="single" w:sz="4" w:space="0" w:color="auto"/>
            </w:tcBorders>
            <w:shd w:val="clear" w:color="auto" w:fill="auto"/>
            <w:noWrap/>
            <w:vAlign w:val="center"/>
            <w:hideMark/>
          </w:tcPr>
          <w:p w14:paraId="49BA671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85007188</w:t>
            </w:r>
          </w:p>
        </w:tc>
        <w:tc>
          <w:tcPr>
            <w:tcW w:w="3360" w:type="pct"/>
            <w:tcBorders>
              <w:top w:val="nil"/>
              <w:left w:val="nil"/>
              <w:bottom w:val="single" w:sz="4" w:space="0" w:color="auto"/>
              <w:right w:val="single" w:sz="4" w:space="0" w:color="auto"/>
            </w:tcBorders>
            <w:shd w:val="clear" w:color="auto" w:fill="auto"/>
            <w:vAlign w:val="center"/>
            <w:hideMark/>
          </w:tcPr>
          <w:p w14:paraId="0F11964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BATUJE</w:t>
            </w:r>
          </w:p>
        </w:tc>
      </w:tr>
      <w:tr w:rsidR="00E3750C" w:rsidRPr="00415AB3" w14:paraId="7DCB085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C8BB72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572</w:t>
            </w:r>
          </w:p>
        </w:tc>
        <w:tc>
          <w:tcPr>
            <w:tcW w:w="705" w:type="pct"/>
            <w:tcBorders>
              <w:top w:val="nil"/>
              <w:left w:val="nil"/>
              <w:bottom w:val="single" w:sz="4" w:space="0" w:color="auto"/>
              <w:right w:val="single" w:sz="4" w:space="0" w:color="auto"/>
            </w:tcBorders>
            <w:shd w:val="clear" w:color="auto" w:fill="auto"/>
            <w:noWrap/>
            <w:vAlign w:val="center"/>
            <w:hideMark/>
          </w:tcPr>
          <w:p w14:paraId="26FD569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5028493000</w:t>
            </w:r>
          </w:p>
        </w:tc>
        <w:tc>
          <w:tcPr>
            <w:tcW w:w="547" w:type="pct"/>
            <w:tcBorders>
              <w:top w:val="nil"/>
              <w:left w:val="nil"/>
              <w:bottom w:val="single" w:sz="4" w:space="0" w:color="auto"/>
              <w:right w:val="single" w:sz="4" w:space="0" w:color="auto"/>
            </w:tcBorders>
            <w:shd w:val="clear" w:color="auto" w:fill="auto"/>
            <w:noWrap/>
            <w:vAlign w:val="center"/>
            <w:hideMark/>
          </w:tcPr>
          <w:p w14:paraId="5FEEA98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17000653</w:t>
            </w:r>
          </w:p>
        </w:tc>
        <w:tc>
          <w:tcPr>
            <w:tcW w:w="3360" w:type="pct"/>
            <w:tcBorders>
              <w:top w:val="nil"/>
              <w:left w:val="nil"/>
              <w:bottom w:val="single" w:sz="4" w:space="0" w:color="auto"/>
              <w:right w:val="single" w:sz="4" w:space="0" w:color="auto"/>
            </w:tcBorders>
            <w:shd w:val="clear" w:color="auto" w:fill="auto"/>
            <w:vAlign w:val="center"/>
            <w:hideMark/>
          </w:tcPr>
          <w:p w14:paraId="61EA8A5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BERTOKI</w:t>
            </w:r>
          </w:p>
        </w:tc>
      </w:tr>
      <w:tr w:rsidR="00E3750C" w:rsidRPr="00415AB3" w14:paraId="60926B6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10B194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573</w:t>
            </w:r>
          </w:p>
        </w:tc>
        <w:tc>
          <w:tcPr>
            <w:tcW w:w="705" w:type="pct"/>
            <w:tcBorders>
              <w:top w:val="nil"/>
              <w:left w:val="nil"/>
              <w:bottom w:val="single" w:sz="4" w:space="0" w:color="auto"/>
              <w:right w:val="single" w:sz="4" w:space="0" w:color="auto"/>
            </w:tcBorders>
            <w:shd w:val="clear" w:color="auto" w:fill="auto"/>
            <w:noWrap/>
            <w:vAlign w:val="center"/>
            <w:hideMark/>
          </w:tcPr>
          <w:p w14:paraId="51D519B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5027047000</w:t>
            </w:r>
          </w:p>
        </w:tc>
        <w:tc>
          <w:tcPr>
            <w:tcW w:w="547" w:type="pct"/>
            <w:tcBorders>
              <w:top w:val="nil"/>
              <w:left w:val="nil"/>
              <w:bottom w:val="single" w:sz="4" w:space="0" w:color="auto"/>
              <w:right w:val="single" w:sz="4" w:space="0" w:color="auto"/>
            </w:tcBorders>
            <w:shd w:val="clear" w:color="auto" w:fill="auto"/>
            <w:noWrap/>
            <w:vAlign w:val="center"/>
            <w:hideMark/>
          </w:tcPr>
          <w:p w14:paraId="7747B35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45701725</w:t>
            </w:r>
          </w:p>
        </w:tc>
        <w:tc>
          <w:tcPr>
            <w:tcW w:w="3360" w:type="pct"/>
            <w:tcBorders>
              <w:top w:val="nil"/>
              <w:left w:val="nil"/>
              <w:bottom w:val="single" w:sz="4" w:space="0" w:color="auto"/>
              <w:right w:val="single" w:sz="4" w:space="0" w:color="auto"/>
            </w:tcBorders>
            <w:shd w:val="clear" w:color="auto" w:fill="auto"/>
            <w:vAlign w:val="center"/>
            <w:hideMark/>
          </w:tcPr>
          <w:p w14:paraId="14B78C6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BESNICA</w:t>
            </w:r>
          </w:p>
        </w:tc>
      </w:tr>
      <w:tr w:rsidR="00E3750C" w:rsidRPr="00415AB3" w14:paraId="510BF56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C2EAD9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574</w:t>
            </w:r>
          </w:p>
        </w:tc>
        <w:tc>
          <w:tcPr>
            <w:tcW w:w="705" w:type="pct"/>
            <w:tcBorders>
              <w:top w:val="nil"/>
              <w:left w:val="nil"/>
              <w:bottom w:val="single" w:sz="4" w:space="0" w:color="auto"/>
              <w:right w:val="single" w:sz="4" w:space="0" w:color="auto"/>
            </w:tcBorders>
            <w:shd w:val="clear" w:color="auto" w:fill="auto"/>
            <w:noWrap/>
            <w:vAlign w:val="center"/>
            <w:hideMark/>
          </w:tcPr>
          <w:p w14:paraId="55C6B15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5032822000</w:t>
            </w:r>
          </w:p>
        </w:tc>
        <w:tc>
          <w:tcPr>
            <w:tcW w:w="547" w:type="pct"/>
            <w:tcBorders>
              <w:top w:val="nil"/>
              <w:left w:val="nil"/>
              <w:bottom w:val="single" w:sz="4" w:space="0" w:color="auto"/>
              <w:right w:val="single" w:sz="4" w:space="0" w:color="auto"/>
            </w:tcBorders>
            <w:shd w:val="clear" w:color="auto" w:fill="auto"/>
            <w:noWrap/>
            <w:vAlign w:val="center"/>
            <w:hideMark/>
          </w:tcPr>
          <w:p w14:paraId="428EC3C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85608955</w:t>
            </w:r>
          </w:p>
        </w:tc>
        <w:tc>
          <w:tcPr>
            <w:tcW w:w="3360" w:type="pct"/>
            <w:tcBorders>
              <w:top w:val="nil"/>
              <w:left w:val="nil"/>
              <w:bottom w:val="single" w:sz="4" w:space="0" w:color="auto"/>
              <w:right w:val="single" w:sz="4" w:space="0" w:color="auto"/>
            </w:tcBorders>
            <w:shd w:val="clear" w:color="auto" w:fill="auto"/>
            <w:vAlign w:val="center"/>
            <w:hideMark/>
          </w:tcPr>
          <w:p w14:paraId="79F898D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BEZINA</w:t>
            </w:r>
          </w:p>
        </w:tc>
      </w:tr>
      <w:tr w:rsidR="00E3750C" w:rsidRPr="00415AB3" w14:paraId="24902AF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2D32C8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575</w:t>
            </w:r>
          </w:p>
        </w:tc>
        <w:tc>
          <w:tcPr>
            <w:tcW w:w="705" w:type="pct"/>
            <w:tcBorders>
              <w:top w:val="nil"/>
              <w:left w:val="nil"/>
              <w:bottom w:val="single" w:sz="4" w:space="0" w:color="auto"/>
              <w:right w:val="single" w:sz="4" w:space="0" w:color="auto"/>
            </w:tcBorders>
            <w:shd w:val="clear" w:color="auto" w:fill="auto"/>
            <w:noWrap/>
            <w:vAlign w:val="center"/>
            <w:hideMark/>
          </w:tcPr>
          <w:p w14:paraId="0A60911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5029198000</w:t>
            </w:r>
          </w:p>
        </w:tc>
        <w:tc>
          <w:tcPr>
            <w:tcW w:w="547" w:type="pct"/>
            <w:tcBorders>
              <w:top w:val="nil"/>
              <w:left w:val="nil"/>
              <w:bottom w:val="single" w:sz="4" w:space="0" w:color="auto"/>
              <w:right w:val="single" w:sz="4" w:space="0" w:color="auto"/>
            </w:tcBorders>
            <w:shd w:val="clear" w:color="auto" w:fill="auto"/>
            <w:noWrap/>
            <w:vAlign w:val="center"/>
            <w:hideMark/>
          </w:tcPr>
          <w:p w14:paraId="35AAC27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36606758</w:t>
            </w:r>
          </w:p>
        </w:tc>
        <w:tc>
          <w:tcPr>
            <w:tcW w:w="3360" w:type="pct"/>
            <w:tcBorders>
              <w:top w:val="nil"/>
              <w:left w:val="nil"/>
              <w:bottom w:val="single" w:sz="4" w:space="0" w:color="auto"/>
              <w:right w:val="single" w:sz="4" w:space="0" w:color="auto"/>
            </w:tcBorders>
            <w:shd w:val="clear" w:color="auto" w:fill="auto"/>
            <w:vAlign w:val="center"/>
            <w:hideMark/>
          </w:tcPr>
          <w:p w14:paraId="72F4633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BIRČNA VAS</w:t>
            </w:r>
          </w:p>
        </w:tc>
      </w:tr>
      <w:tr w:rsidR="00E3750C" w:rsidRPr="00415AB3" w14:paraId="1ACACA0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9CC75A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576</w:t>
            </w:r>
          </w:p>
        </w:tc>
        <w:tc>
          <w:tcPr>
            <w:tcW w:w="705" w:type="pct"/>
            <w:tcBorders>
              <w:top w:val="nil"/>
              <w:left w:val="nil"/>
              <w:bottom w:val="single" w:sz="4" w:space="0" w:color="auto"/>
              <w:right w:val="single" w:sz="4" w:space="0" w:color="auto"/>
            </w:tcBorders>
            <w:shd w:val="clear" w:color="auto" w:fill="auto"/>
            <w:noWrap/>
            <w:vAlign w:val="center"/>
            <w:hideMark/>
          </w:tcPr>
          <w:p w14:paraId="43C99B0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5031397000</w:t>
            </w:r>
          </w:p>
        </w:tc>
        <w:tc>
          <w:tcPr>
            <w:tcW w:w="547" w:type="pct"/>
            <w:tcBorders>
              <w:top w:val="nil"/>
              <w:left w:val="nil"/>
              <w:bottom w:val="single" w:sz="4" w:space="0" w:color="auto"/>
              <w:right w:val="single" w:sz="4" w:space="0" w:color="auto"/>
            </w:tcBorders>
            <w:shd w:val="clear" w:color="auto" w:fill="auto"/>
            <w:noWrap/>
            <w:vAlign w:val="center"/>
            <w:hideMark/>
          </w:tcPr>
          <w:p w14:paraId="284D007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36178110</w:t>
            </w:r>
          </w:p>
        </w:tc>
        <w:tc>
          <w:tcPr>
            <w:tcW w:w="3360" w:type="pct"/>
            <w:tcBorders>
              <w:top w:val="nil"/>
              <w:left w:val="nil"/>
              <w:bottom w:val="single" w:sz="4" w:space="0" w:color="auto"/>
              <w:right w:val="single" w:sz="4" w:space="0" w:color="auto"/>
            </w:tcBorders>
            <w:shd w:val="clear" w:color="auto" w:fill="auto"/>
            <w:vAlign w:val="center"/>
            <w:hideMark/>
          </w:tcPr>
          <w:p w14:paraId="2D185D9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BITNJE</w:t>
            </w:r>
          </w:p>
        </w:tc>
      </w:tr>
      <w:tr w:rsidR="00E3750C" w:rsidRPr="00415AB3" w14:paraId="4BCA52A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0B4A75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577</w:t>
            </w:r>
          </w:p>
        </w:tc>
        <w:tc>
          <w:tcPr>
            <w:tcW w:w="705" w:type="pct"/>
            <w:tcBorders>
              <w:top w:val="nil"/>
              <w:left w:val="nil"/>
              <w:bottom w:val="single" w:sz="4" w:space="0" w:color="auto"/>
              <w:right w:val="single" w:sz="4" w:space="0" w:color="auto"/>
            </w:tcBorders>
            <w:shd w:val="clear" w:color="auto" w:fill="auto"/>
            <w:noWrap/>
            <w:vAlign w:val="center"/>
            <w:hideMark/>
          </w:tcPr>
          <w:p w14:paraId="5D855F3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5019516000</w:t>
            </w:r>
          </w:p>
        </w:tc>
        <w:tc>
          <w:tcPr>
            <w:tcW w:w="547" w:type="pct"/>
            <w:tcBorders>
              <w:top w:val="nil"/>
              <w:left w:val="nil"/>
              <w:bottom w:val="single" w:sz="4" w:space="0" w:color="auto"/>
              <w:right w:val="single" w:sz="4" w:space="0" w:color="auto"/>
            </w:tcBorders>
            <w:shd w:val="clear" w:color="auto" w:fill="auto"/>
            <w:noWrap/>
            <w:vAlign w:val="center"/>
            <w:hideMark/>
          </w:tcPr>
          <w:p w14:paraId="60A1D4D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89126793</w:t>
            </w:r>
          </w:p>
        </w:tc>
        <w:tc>
          <w:tcPr>
            <w:tcW w:w="3360" w:type="pct"/>
            <w:tcBorders>
              <w:top w:val="nil"/>
              <w:left w:val="nil"/>
              <w:bottom w:val="single" w:sz="4" w:space="0" w:color="auto"/>
              <w:right w:val="single" w:sz="4" w:space="0" w:color="auto"/>
            </w:tcBorders>
            <w:shd w:val="clear" w:color="auto" w:fill="auto"/>
            <w:vAlign w:val="center"/>
            <w:hideMark/>
          </w:tcPr>
          <w:p w14:paraId="3B6FD1A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BIZELJSKO</w:t>
            </w:r>
          </w:p>
        </w:tc>
      </w:tr>
      <w:tr w:rsidR="00E3750C" w:rsidRPr="00415AB3" w14:paraId="58470FC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BD099F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578</w:t>
            </w:r>
          </w:p>
        </w:tc>
        <w:tc>
          <w:tcPr>
            <w:tcW w:w="705" w:type="pct"/>
            <w:tcBorders>
              <w:top w:val="nil"/>
              <w:left w:val="nil"/>
              <w:bottom w:val="single" w:sz="4" w:space="0" w:color="auto"/>
              <w:right w:val="single" w:sz="4" w:space="0" w:color="auto"/>
            </w:tcBorders>
            <w:shd w:val="clear" w:color="auto" w:fill="auto"/>
            <w:noWrap/>
            <w:vAlign w:val="center"/>
            <w:hideMark/>
          </w:tcPr>
          <w:p w14:paraId="7CB0854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5032440000</w:t>
            </w:r>
          </w:p>
        </w:tc>
        <w:tc>
          <w:tcPr>
            <w:tcW w:w="547" w:type="pct"/>
            <w:tcBorders>
              <w:top w:val="nil"/>
              <w:left w:val="nil"/>
              <w:bottom w:val="single" w:sz="4" w:space="0" w:color="auto"/>
              <w:right w:val="single" w:sz="4" w:space="0" w:color="auto"/>
            </w:tcBorders>
            <w:shd w:val="clear" w:color="auto" w:fill="auto"/>
            <w:noWrap/>
            <w:vAlign w:val="center"/>
            <w:hideMark/>
          </w:tcPr>
          <w:p w14:paraId="1AF5029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41550757</w:t>
            </w:r>
          </w:p>
        </w:tc>
        <w:tc>
          <w:tcPr>
            <w:tcW w:w="3360" w:type="pct"/>
            <w:tcBorders>
              <w:top w:val="nil"/>
              <w:left w:val="nil"/>
              <w:bottom w:val="single" w:sz="4" w:space="0" w:color="auto"/>
              <w:right w:val="single" w:sz="4" w:space="0" w:color="auto"/>
            </w:tcBorders>
            <w:shd w:val="clear" w:color="auto" w:fill="auto"/>
            <w:vAlign w:val="center"/>
            <w:hideMark/>
          </w:tcPr>
          <w:p w14:paraId="4471AEA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BLAGOVNA</w:t>
            </w:r>
          </w:p>
        </w:tc>
      </w:tr>
      <w:tr w:rsidR="00E3750C" w:rsidRPr="00415AB3" w14:paraId="4621C91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935BCA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579</w:t>
            </w:r>
          </w:p>
        </w:tc>
        <w:tc>
          <w:tcPr>
            <w:tcW w:w="705" w:type="pct"/>
            <w:tcBorders>
              <w:top w:val="nil"/>
              <w:left w:val="nil"/>
              <w:bottom w:val="single" w:sz="4" w:space="0" w:color="auto"/>
              <w:right w:val="single" w:sz="4" w:space="0" w:color="auto"/>
            </w:tcBorders>
            <w:shd w:val="clear" w:color="auto" w:fill="auto"/>
            <w:noWrap/>
            <w:vAlign w:val="center"/>
            <w:hideMark/>
          </w:tcPr>
          <w:p w14:paraId="5D925D2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5020778000</w:t>
            </w:r>
          </w:p>
        </w:tc>
        <w:tc>
          <w:tcPr>
            <w:tcW w:w="547" w:type="pct"/>
            <w:tcBorders>
              <w:top w:val="nil"/>
              <w:left w:val="nil"/>
              <w:bottom w:val="single" w:sz="4" w:space="0" w:color="auto"/>
              <w:right w:val="single" w:sz="4" w:space="0" w:color="auto"/>
            </w:tcBorders>
            <w:shd w:val="clear" w:color="auto" w:fill="auto"/>
            <w:noWrap/>
            <w:vAlign w:val="center"/>
            <w:hideMark/>
          </w:tcPr>
          <w:p w14:paraId="530D8EB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91548705</w:t>
            </w:r>
          </w:p>
        </w:tc>
        <w:tc>
          <w:tcPr>
            <w:tcW w:w="3360" w:type="pct"/>
            <w:tcBorders>
              <w:top w:val="nil"/>
              <w:left w:val="nil"/>
              <w:bottom w:val="single" w:sz="4" w:space="0" w:color="auto"/>
              <w:right w:val="single" w:sz="4" w:space="0" w:color="auto"/>
            </w:tcBorders>
            <w:shd w:val="clear" w:color="auto" w:fill="auto"/>
            <w:vAlign w:val="center"/>
            <w:hideMark/>
          </w:tcPr>
          <w:p w14:paraId="4A29F17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BLANCA</w:t>
            </w:r>
          </w:p>
        </w:tc>
      </w:tr>
      <w:tr w:rsidR="00E3750C" w:rsidRPr="00415AB3" w14:paraId="5841A79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92C1CD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580</w:t>
            </w:r>
          </w:p>
        </w:tc>
        <w:tc>
          <w:tcPr>
            <w:tcW w:w="705" w:type="pct"/>
            <w:tcBorders>
              <w:top w:val="nil"/>
              <w:left w:val="nil"/>
              <w:bottom w:val="single" w:sz="4" w:space="0" w:color="auto"/>
              <w:right w:val="single" w:sz="4" w:space="0" w:color="auto"/>
            </w:tcBorders>
            <w:shd w:val="clear" w:color="auto" w:fill="auto"/>
            <w:noWrap/>
            <w:vAlign w:val="center"/>
            <w:hideMark/>
          </w:tcPr>
          <w:p w14:paraId="4C5A773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5030129000</w:t>
            </w:r>
          </w:p>
        </w:tc>
        <w:tc>
          <w:tcPr>
            <w:tcW w:w="547" w:type="pct"/>
            <w:tcBorders>
              <w:top w:val="nil"/>
              <w:left w:val="nil"/>
              <w:bottom w:val="single" w:sz="4" w:space="0" w:color="auto"/>
              <w:right w:val="single" w:sz="4" w:space="0" w:color="auto"/>
            </w:tcBorders>
            <w:shd w:val="clear" w:color="auto" w:fill="auto"/>
            <w:noWrap/>
            <w:vAlign w:val="center"/>
            <w:hideMark/>
          </w:tcPr>
          <w:p w14:paraId="459D158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74521152</w:t>
            </w:r>
          </w:p>
        </w:tc>
        <w:tc>
          <w:tcPr>
            <w:tcW w:w="3360" w:type="pct"/>
            <w:tcBorders>
              <w:top w:val="nil"/>
              <w:left w:val="nil"/>
              <w:bottom w:val="single" w:sz="4" w:space="0" w:color="auto"/>
              <w:right w:val="single" w:sz="4" w:space="0" w:color="auto"/>
            </w:tcBorders>
            <w:shd w:val="clear" w:color="auto" w:fill="auto"/>
            <w:vAlign w:val="center"/>
            <w:hideMark/>
          </w:tcPr>
          <w:p w14:paraId="3650E3D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BORŠT</w:t>
            </w:r>
          </w:p>
        </w:tc>
      </w:tr>
      <w:tr w:rsidR="00E3750C" w:rsidRPr="00415AB3" w14:paraId="647659C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9C728B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581</w:t>
            </w:r>
          </w:p>
        </w:tc>
        <w:tc>
          <w:tcPr>
            <w:tcW w:w="705" w:type="pct"/>
            <w:tcBorders>
              <w:top w:val="nil"/>
              <w:left w:val="nil"/>
              <w:bottom w:val="single" w:sz="4" w:space="0" w:color="auto"/>
              <w:right w:val="single" w:sz="4" w:space="0" w:color="auto"/>
            </w:tcBorders>
            <w:shd w:val="clear" w:color="auto" w:fill="auto"/>
            <w:noWrap/>
            <w:vAlign w:val="center"/>
            <w:hideMark/>
          </w:tcPr>
          <w:p w14:paraId="1870EA2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5018803000</w:t>
            </w:r>
          </w:p>
        </w:tc>
        <w:tc>
          <w:tcPr>
            <w:tcW w:w="547" w:type="pct"/>
            <w:tcBorders>
              <w:top w:val="nil"/>
              <w:left w:val="nil"/>
              <w:bottom w:val="single" w:sz="4" w:space="0" w:color="auto"/>
              <w:right w:val="single" w:sz="4" w:space="0" w:color="auto"/>
            </w:tcBorders>
            <w:shd w:val="clear" w:color="auto" w:fill="auto"/>
            <w:noWrap/>
            <w:vAlign w:val="center"/>
            <w:hideMark/>
          </w:tcPr>
          <w:p w14:paraId="3ED41B4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59543019</w:t>
            </w:r>
          </w:p>
        </w:tc>
        <w:tc>
          <w:tcPr>
            <w:tcW w:w="3360" w:type="pct"/>
            <w:tcBorders>
              <w:top w:val="nil"/>
              <w:left w:val="nil"/>
              <w:bottom w:val="single" w:sz="4" w:space="0" w:color="auto"/>
              <w:right w:val="single" w:sz="4" w:space="0" w:color="auto"/>
            </w:tcBorders>
            <w:shd w:val="clear" w:color="auto" w:fill="auto"/>
            <w:vAlign w:val="center"/>
            <w:hideMark/>
          </w:tcPr>
          <w:p w14:paraId="6A26902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BOŠTANJ</w:t>
            </w:r>
          </w:p>
        </w:tc>
      </w:tr>
      <w:tr w:rsidR="00E3750C" w:rsidRPr="00415AB3" w14:paraId="333B5F9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B5F070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582</w:t>
            </w:r>
          </w:p>
        </w:tc>
        <w:tc>
          <w:tcPr>
            <w:tcW w:w="705" w:type="pct"/>
            <w:tcBorders>
              <w:top w:val="nil"/>
              <w:left w:val="nil"/>
              <w:bottom w:val="single" w:sz="4" w:space="0" w:color="auto"/>
              <w:right w:val="single" w:sz="4" w:space="0" w:color="auto"/>
            </w:tcBorders>
            <w:shd w:val="clear" w:color="auto" w:fill="auto"/>
            <w:noWrap/>
            <w:vAlign w:val="center"/>
            <w:hideMark/>
          </w:tcPr>
          <w:p w14:paraId="779E5CC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5017181000</w:t>
            </w:r>
          </w:p>
        </w:tc>
        <w:tc>
          <w:tcPr>
            <w:tcW w:w="547" w:type="pct"/>
            <w:tcBorders>
              <w:top w:val="nil"/>
              <w:left w:val="nil"/>
              <w:bottom w:val="single" w:sz="4" w:space="0" w:color="auto"/>
              <w:right w:val="single" w:sz="4" w:space="0" w:color="auto"/>
            </w:tcBorders>
            <w:shd w:val="clear" w:color="auto" w:fill="auto"/>
            <w:noWrap/>
            <w:vAlign w:val="center"/>
            <w:hideMark/>
          </w:tcPr>
          <w:p w14:paraId="115B37E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30284058</w:t>
            </w:r>
          </w:p>
        </w:tc>
        <w:tc>
          <w:tcPr>
            <w:tcW w:w="3360" w:type="pct"/>
            <w:tcBorders>
              <w:top w:val="nil"/>
              <w:left w:val="nil"/>
              <w:bottom w:val="single" w:sz="4" w:space="0" w:color="auto"/>
              <w:right w:val="single" w:sz="4" w:space="0" w:color="auto"/>
            </w:tcBorders>
            <w:shd w:val="clear" w:color="auto" w:fill="auto"/>
            <w:vAlign w:val="center"/>
            <w:hideMark/>
          </w:tcPr>
          <w:p w14:paraId="737D914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BRANIK</w:t>
            </w:r>
          </w:p>
        </w:tc>
      </w:tr>
      <w:tr w:rsidR="00E3750C" w:rsidRPr="00415AB3" w14:paraId="5A39DA9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7CF9F3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583</w:t>
            </w:r>
          </w:p>
        </w:tc>
        <w:tc>
          <w:tcPr>
            <w:tcW w:w="705" w:type="pct"/>
            <w:tcBorders>
              <w:top w:val="nil"/>
              <w:left w:val="nil"/>
              <w:bottom w:val="single" w:sz="4" w:space="0" w:color="auto"/>
              <w:right w:val="single" w:sz="4" w:space="0" w:color="auto"/>
            </w:tcBorders>
            <w:shd w:val="clear" w:color="auto" w:fill="auto"/>
            <w:noWrap/>
            <w:vAlign w:val="center"/>
            <w:hideMark/>
          </w:tcPr>
          <w:p w14:paraId="431CD08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5228034000</w:t>
            </w:r>
          </w:p>
        </w:tc>
        <w:tc>
          <w:tcPr>
            <w:tcW w:w="547" w:type="pct"/>
            <w:tcBorders>
              <w:top w:val="nil"/>
              <w:left w:val="nil"/>
              <w:bottom w:val="single" w:sz="4" w:space="0" w:color="auto"/>
              <w:right w:val="single" w:sz="4" w:space="0" w:color="auto"/>
            </w:tcBorders>
            <w:shd w:val="clear" w:color="auto" w:fill="auto"/>
            <w:noWrap/>
            <w:vAlign w:val="center"/>
            <w:hideMark/>
          </w:tcPr>
          <w:p w14:paraId="4377F3E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74369512</w:t>
            </w:r>
          </w:p>
        </w:tc>
        <w:tc>
          <w:tcPr>
            <w:tcW w:w="3360" w:type="pct"/>
            <w:tcBorders>
              <w:top w:val="nil"/>
              <w:left w:val="nil"/>
              <w:bottom w:val="single" w:sz="4" w:space="0" w:color="auto"/>
              <w:right w:val="single" w:sz="4" w:space="0" w:color="auto"/>
            </w:tcBorders>
            <w:shd w:val="clear" w:color="auto" w:fill="auto"/>
            <w:vAlign w:val="center"/>
            <w:hideMark/>
          </w:tcPr>
          <w:p w14:paraId="6BD4B53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BRATOV SMUK</w:t>
            </w:r>
          </w:p>
        </w:tc>
      </w:tr>
      <w:tr w:rsidR="00E3750C" w:rsidRPr="00415AB3" w14:paraId="1543A0B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883052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584</w:t>
            </w:r>
          </w:p>
        </w:tc>
        <w:tc>
          <w:tcPr>
            <w:tcW w:w="705" w:type="pct"/>
            <w:tcBorders>
              <w:top w:val="nil"/>
              <w:left w:val="nil"/>
              <w:bottom w:val="single" w:sz="4" w:space="0" w:color="auto"/>
              <w:right w:val="single" w:sz="4" w:space="0" w:color="auto"/>
            </w:tcBorders>
            <w:shd w:val="clear" w:color="auto" w:fill="auto"/>
            <w:noWrap/>
            <w:vAlign w:val="center"/>
            <w:hideMark/>
          </w:tcPr>
          <w:p w14:paraId="55699B8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5020042000</w:t>
            </w:r>
          </w:p>
        </w:tc>
        <w:tc>
          <w:tcPr>
            <w:tcW w:w="547" w:type="pct"/>
            <w:tcBorders>
              <w:top w:val="nil"/>
              <w:left w:val="nil"/>
              <w:bottom w:val="single" w:sz="4" w:space="0" w:color="auto"/>
              <w:right w:val="single" w:sz="4" w:space="0" w:color="auto"/>
            </w:tcBorders>
            <w:shd w:val="clear" w:color="auto" w:fill="auto"/>
            <w:noWrap/>
            <w:vAlign w:val="center"/>
            <w:hideMark/>
          </w:tcPr>
          <w:p w14:paraId="4F7FAB4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18569803</w:t>
            </w:r>
          </w:p>
        </w:tc>
        <w:tc>
          <w:tcPr>
            <w:tcW w:w="3360" w:type="pct"/>
            <w:tcBorders>
              <w:top w:val="nil"/>
              <w:left w:val="nil"/>
              <w:bottom w:val="single" w:sz="4" w:space="0" w:color="auto"/>
              <w:right w:val="single" w:sz="4" w:space="0" w:color="auto"/>
            </w:tcBorders>
            <w:shd w:val="clear" w:color="auto" w:fill="auto"/>
            <w:vAlign w:val="center"/>
            <w:hideMark/>
          </w:tcPr>
          <w:p w14:paraId="6FD9E56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BRESTANICA</w:t>
            </w:r>
          </w:p>
        </w:tc>
      </w:tr>
      <w:tr w:rsidR="00E3750C" w:rsidRPr="00415AB3" w14:paraId="310B9D4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E79CB7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585</w:t>
            </w:r>
          </w:p>
        </w:tc>
        <w:tc>
          <w:tcPr>
            <w:tcW w:w="705" w:type="pct"/>
            <w:tcBorders>
              <w:top w:val="nil"/>
              <w:left w:val="nil"/>
              <w:bottom w:val="single" w:sz="4" w:space="0" w:color="auto"/>
              <w:right w:val="single" w:sz="4" w:space="0" w:color="auto"/>
            </w:tcBorders>
            <w:shd w:val="clear" w:color="auto" w:fill="auto"/>
            <w:noWrap/>
            <w:vAlign w:val="center"/>
            <w:hideMark/>
          </w:tcPr>
          <w:p w14:paraId="017FBAE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5016584000</w:t>
            </w:r>
          </w:p>
        </w:tc>
        <w:tc>
          <w:tcPr>
            <w:tcW w:w="547" w:type="pct"/>
            <w:tcBorders>
              <w:top w:val="nil"/>
              <w:left w:val="nil"/>
              <w:bottom w:val="single" w:sz="4" w:space="0" w:color="auto"/>
              <w:right w:val="single" w:sz="4" w:space="0" w:color="auto"/>
            </w:tcBorders>
            <w:shd w:val="clear" w:color="auto" w:fill="auto"/>
            <w:noWrap/>
            <w:vAlign w:val="center"/>
            <w:hideMark/>
          </w:tcPr>
          <w:p w14:paraId="1C30D5A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44480873</w:t>
            </w:r>
          </w:p>
        </w:tc>
        <w:tc>
          <w:tcPr>
            <w:tcW w:w="3360" w:type="pct"/>
            <w:tcBorders>
              <w:top w:val="nil"/>
              <w:left w:val="nil"/>
              <w:bottom w:val="single" w:sz="4" w:space="0" w:color="auto"/>
              <w:right w:val="single" w:sz="4" w:space="0" w:color="auto"/>
            </w:tcBorders>
            <w:shd w:val="clear" w:color="auto" w:fill="auto"/>
            <w:vAlign w:val="center"/>
            <w:hideMark/>
          </w:tcPr>
          <w:p w14:paraId="18813CF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BREŽICE</w:t>
            </w:r>
          </w:p>
        </w:tc>
      </w:tr>
      <w:tr w:rsidR="00E3750C" w:rsidRPr="00415AB3" w14:paraId="4B93F2B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59DF6C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586</w:t>
            </w:r>
          </w:p>
        </w:tc>
        <w:tc>
          <w:tcPr>
            <w:tcW w:w="705" w:type="pct"/>
            <w:tcBorders>
              <w:top w:val="nil"/>
              <w:left w:val="nil"/>
              <w:bottom w:val="single" w:sz="4" w:space="0" w:color="auto"/>
              <w:right w:val="single" w:sz="4" w:space="0" w:color="auto"/>
            </w:tcBorders>
            <w:shd w:val="clear" w:color="auto" w:fill="auto"/>
            <w:noWrap/>
            <w:vAlign w:val="center"/>
            <w:hideMark/>
          </w:tcPr>
          <w:p w14:paraId="381074F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5016533000</w:t>
            </w:r>
          </w:p>
        </w:tc>
        <w:tc>
          <w:tcPr>
            <w:tcW w:w="547" w:type="pct"/>
            <w:tcBorders>
              <w:top w:val="nil"/>
              <w:left w:val="nil"/>
              <w:bottom w:val="single" w:sz="4" w:space="0" w:color="auto"/>
              <w:right w:val="single" w:sz="4" w:space="0" w:color="auto"/>
            </w:tcBorders>
            <w:shd w:val="clear" w:color="auto" w:fill="auto"/>
            <w:noWrap/>
            <w:vAlign w:val="center"/>
            <w:hideMark/>
          </w:tcPr>
          <w:p w14:paraId="6A64DD7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36001139</w:t>
            </w:r>
          </w:p>
        </w:tc>
        <w:tc>
          <w:tcPr>
            <w:tcW w:w="3360" w:type="pct"/>
            <w:tcBorders>
              <w:top w:val="nil"/>
              <w:left w:val="nil"/>
              <w:bottom w:val="single" w:sz="4" w:space="0" w:color="auto"/>
              <w:right w:val="single" w:sz="4" w:space="0" w:color="auto"/>
            </w:tcBorders>
            <w:shd w:val="clear" w:color="auto" w:fill="auto"/>
            <w:vAlign w:val="center"/>
            <w:hideMark/>
          </w:tcPr>
          <w:p w14:paraId="3A90442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BRJE</w:t>
            </w:r>
          </w:p>
        </w:tc>
      </w:tr>
      <w:tr w:rsidR="00E3750C" w:rsidRPr="00415AB3" w14:paraId="0945AF2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5D3798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w:t>
            </w:r>
          </w:p>
        </w:tc>
        <w:tc>
          <w:tcPr>
            <w:tcW w:w="705" w:type="pct"/>
            <w:tcBorders>
              <w:top w:val="nil"/>
              <w:left w:val="nil"/>
              <w:bottom w:val="single" w:sz="4" w:space="0" w:color="auto"/>
              <w:right w:val="single" w:sz="4" w:space="0" w:color="auto"/>
            </w:tcBorders>
            <w:shd w:val="clear" w:color="auto" w:fill="auto"/>
            <w:noWrap/>
            <w:vAlign w:val="center"/>
            <w:hideMark/>
          </w:tcPr>
          <w:p w14:paraId="1CE9ED1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5009243000</w:t>
            </w:r>
          </w:p>
        </w:tc>
        <w:tc>
          <w:tcPr>
            <w:tcW w:w="547" w:type="pct"/>
            <w:tcBorders>
              <w:top w:val="nil"/>
              <w:left w:val="nil"/>
              <w:bottom w:val="single" w:sz="4" w:space="0" w:color="auto"/>
              <w:right w:val="single" w:sz="4" w:space="0" w:color="auto"/>
            </w:tcBorders>
            <w:shd w:val="clear" w:color="auto" w:fill="auto"/>
            <w:noWrap/>
            <w:vAlign w:val="center"/>
            <w:hideMark/>
          </w:tcPr>
          <w:p w14:paraId="553A266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44692897</w:t>
            </w:r>
          </w:p>
        </w:tc>
        <w:tc>
          <w:tcPr>
            <w:tcW w:w="3360" w:type="pct"/>
            <w:tcBorders>
              <w:top w:val="nil"/>
              <w:left w:val="nil"/>
              <w:bottom w:val="single" w:sz="4" w:space="0" w:color="auto"/>
              <w:right w:val="single" w:sz="4" w:space="0" w:color="auto"/>
            </w:tcBorders>
            <w:shd w:val="clear" w:color="auto" w:fill="auto"/>
            <w:vAlign w:val="center"/>
            <w:hideMark/>
          </w:tcPr>
          <w:p w14:paraId="32E1534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BRŠLJIN NOVO MESTO</w:t>
            </w:r>
          </w:p>
        </w:tc>
      </w:tr>
      <w:tr w:rsidR="00E3750C" w:rsidRPr="00415AB3" w14:paraId="57CB04A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15D408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w:t>
            </w:r>
          </w:p>
        </w:tc>
        <w:tc>
          <w:tcPr>
            <w:tcW w:w="705" w:type="pct"/>
            <w:tcBorders>
              <w:top w:val="nil"/>
              <w:left w:val="nil"/>
              <w:bottom w:val="single" w:sz="4" w:space="0" w:color="auto"/>
              <w:right w:val="single" w:sz="4" w:space="0" w:color="auto"/>
            </w:tcBorders>
            <w:shd w:val="clear" w:color="auto" w:fill="auto"/>
            <w:noWrap/>
            <w:vAlign w:val="center"/>
            <w:hideMark/>
          </w:tcPr>
          <w:p w14:paraId="0180B72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5018285000</w:t>
            </w:r>
          </w:p>
        </w:tc>
        <w:tc>
          <w:tcPr>
            <w:tcW w:w="547" w:type="pct"/>
            <w:tcBorders>
              <w:top w:val="nil"/>
              <w:left w:val="nil"/>
              <w:bottom w:val="single" w:sz="4" w:space="0" w:color="auto"/>
              <w:right w:val="single" w:sz="4" w:space="0" w:color="auto"/>
            </w:tcBorders>
            <w:shd w:val="clear" w:color="auto" w:fill="auto"/>
            <w:noWrap/>
            <w:vAlign w:val="center"/>
            <w:hideMark/>
          </w:tcPr>
          <w:p w14:paraId="41FF640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91508681</w:t>
            </w:r>
          </w:p>
        </w:tc>
        <w:tc>
          <w:tcPr>
            <w:tcW w:w="3360" w:type="pct"/>
            <w:tcBorders>
              <w:top w:val="nil"/>
              <w:left w:val="nil"/>
              <w:bottom w:val="single" w:sz="4" w:space="0" w:color="auto"/>
              <w:right w:val="single" w:sz="4" w:space="0" w:color="auto"/>
            </w:tcBorders>
            <w:shd w:val="clear" w:color="auto" w:fill="auto"/>
            <w:vAlign w:val="center"/>
            <w:hideMark/>
          </w:tcPr>
          <w:p w14:paraId="7DAC587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BUČNA VAS</w:t>
            </w:r>
          </w:p>
        </w:tc>
      </w:tr>
      <w:tr w:rsidR="00E3750C" w:rsidRPr="00415AB3" w14:paraId="51D246D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27E6DA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589</w:t>
            </w:r>
          </w:p>
        </w:tc>
        <w:tc>
          <w:tcPr>
            <w:tcW w:w="705" w:type="pct"/>
            <w:tcBorders>
              <w:top w:val="nil"/>
              <w:left w:val="nil"/>
              <w:bottom w:val="single" w:sz="4" w:space="0" w:color="auto"/>
              <w:right w:val="single" w:sz="4" w:space="0" w:color="auto"/>
            </w:tcBorders>
            <w:shd w:val="clear" w:color="auto" w:fill="auto"/>
            <w:noWrap/>
            <w:vAlign w:val="center"/>
            <w:hideMark/>
          </w:tcPr>
          <w:p w14:paraId="6742A57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5028132000</w:t>
            </w:r>
          </w:p>
        </w:tc>
        <w:tc>
          <w:tcPr>
            <w:tcW w:w="547" w:type="pct"/>
            <w:tcBorders>
              <w:top w:val="nil"/>
              <w:left w:val="nil"/>
              <w:bottom w:val="single" w:sz="4" w:space="0" w:color="auto"/>
              <w:right w:val="single" w:sz="4" w:space="0" w:color="auto"/>
            </w:tcBorders>
            <w:shd w:val="clear" w:color="auto" w:fill="auto"/>
            <w:noWrap/>
            <w:vAlign w:val="center"/>
            <w:hideMark/>
          </w:tcPr>
          <w:p w14:paraId="02D1DC3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37070541</w:t>
            </w:r>
          </w:p>
        </w:tc>
        <w:tc>
          <w:tcPr>
            <w:tcW w:w="3360" w:type="pct"/>
            <w:tcBorders>
              <w:top w:val="nil"/>
              <w:left w:val="nil"/>
              <w:bottom w:val="single" w:sz="4" w:space="0" w:color="auto"/>
              <w:right w:val="single" w:sz="4" w:space="0" w:color="auto"/>
            </w:tcBorders>
            <w:shd w:val="clear" w:color="auto" w:fill="auto"/>
            <w:vAlign w:val="center"/>
            <w:hideMark/>
          </w:tcPr>
          <w:p w14:paraId="47F9B64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BUDANJE</w:t>
            </w:r>
          </w:p>
        </w:tc>
      </w:tr>
      <w:tr w:rsidR="00E3750C" w:rsidRPr="00415AB3" w14:paraId="006F6E2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AF390E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590</w:t>
            </w:r>
          </w:p>
        </w:tc>
        <w:tc>
          <w:tcPr>
            <w:tcW w:w="705" w:type="pct"/>
            <w:tcBorders>
              <w:top w:val="nil"/>
              <w:left w:val="nil"/>
              <w:bottom w:val="single" w:sz="4" w:space="0" w:color="auto"/>
              <w:right w:val="single" w:sz="4" w:space="0" w:color="auto"/>
            </w:tcBorders>
            <w:shd w:val="clear" w:color="auto" w:fill="auto"/>
            <w:noWrap/>
            <w:vAlign w:val="center"/>
            <w:hideMark/>
          </w:tcPr>
          <w:p w14:paraId="3D0B952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5026954000</w:t>
            </w:r>
          </w:p>
        </w:tc>
        <w:tc>
          <w:tcPr>
            <w:tcW w:w="547" w:type="pct"/>
            <w:tcBorders>
              <w:top w:val="nil"/>
              <w:left w:val="nil"/>
              <w:bottom w:val="single" w:sz="4" w:space="0" w:color="auto"/>
              <w:right w:val="single" w:sz="4" w:space="0" w:color="auto"/>
            </w:tcBorders>
            <w:shd w:val="clear" w:color="auto" w:fill="auto"/>
            <w:noWrap/>
            <w:vAlign w:val="center"/>
            <w:hideMark/>
          </w:tcPr>
          <w:p w14:paraId="00652CA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88667383</w:t>
            </w:r>
          </w:p>
        </w:tc>
        <w:tc>
          <w:tcPr>
            <w:tcW w:w="3360" w:type="pct"/>
            <w:tcBorders>
              <w:top w:val="nil"/>
              <w:left w:val="nil"/>
              <w:bottom w:val="single" w:sz="4" w:space="0" w:color="auto"/>
              <w:right w:val="single" w:sz="4" w:space="0" w:color="auto"/>
            </w:tcBorders>
            <w:shd w:val="clear" w:color="auto" w:fill="auto"/>
            <w:vAlign w:val="center"/>
            <w:hideMark/>
          </w:tcPr>
          <w:p w14:paraId="446F648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CENTER</w:t>
            </w:r>
          </w:p>
        </w:tc>
      </w:tr>
      <w:tr w:rsidR="00E3750C" w:rsidRPr="00415AB3" w14:paraId="162F596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DE276E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591</w:t>
            </w:r>
          </w:p>
        </w:tc>
        <w:tc>
          <w:tcPr>
            <w:tcW w:w="705" w:type="pct"/>
            <w:tcBorders>
              <w:top w:val="nil"/>
              <w:left w:val="nil"/>
              <w:bottom w:val="single" w:sz="4" w:space="0" w:color="auto"/>
              <w:right w:val="single" w:sz="4" w:space="0" w:color="auto"/>
            </w:tcBorders>
            <w:shd w:val="clear" w:color="auto" w:fill="auto"/>
            <w:noWrap/>
            <w:vAlign w:val="center"/>
            <w:hideMark/>
          </w:tcPr>
          <w:p w14:paraId="03F7A15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5016690000</w:t>
            </w:r>
          </w:p>
        </w:tc>
        <w:tc>
          <w:tcPr>
            <w:tcW w:w="547" w:type="pct"/>
            <w:tcBorders>
              <w:top w:val="nil"/>
              <w:left w:val="nil"/>
              <w:bottom w:val="single" w:sz="4" w:space="0" w:color="auto"/>
              <w:right w:val="single" w:sz="4" w:space="0" w:color="auto"/>
            </w:tcBorders>
            <w:shd w:val="clear" w:color="auto" w:fill="auto"/>
            <w:noWrap/>
            <w:vAlign w:val="center"/>
            <w:hideMark/>
          </w:tcPr>
          <w:p w14:paraId="4DF5080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35740183</w:t>
            </w:r>
          </w:p>
        </w:tc>
        <w:tc>
          <w:tcPr>
            <w:tcW w:w="3360" w:type="pct"/>
            <w:tcBorders>
              <w:top w:val="nil"/>
              <w:left w:val="nil"/>
              <w:bottom w:val="single" w:sz="4" w:space="0" w:color="auto"/>
              <w:right w:val="single" w:sz="4" w:space="0" w:color="auto"/>
            </w:tcBorders>
            <w:shd w:val="clear" w:color="auto" w:fill="auto"/>
            <w:vAlign w:val="center"/>
            <w:hideMark/>
          </w:tcPr>
          <w:p w14:paraId="4C41DFB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CERKLJE OB KRKI</w:t>
            </w:r>
          </w:p>
        </w:tc>
      </w:tr>
      <w:tr w:rsidR="00E3750C" w:rsidRPr="00415AB3" w14:paraId="7693337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1857E9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592</w:t>
            </w:r>
          </w:p>
        </w:tc>
        <w:tc>
          <w:tcPr>
            <w:tcW w:w="705" w:type="pct"/>
            <w:tcBorders>
              <w:top w:val="nil"/>
              <w:left w:val="nil"/>
              <w:bottom w:val="single" w:sz="4" w:space="0" w:color="auto"/>
              <w:right w:val="single" w:sz="4" w:space="0" w:color="auto"/>
            </w:tcBorders>
            <w:shd w:val="clear" w:color="auto" w:fill="auto"/>
            <w:noWrap/>
            <w:vAlign w:val="center"/>
            <w:hideMark/>
          </w:tcPr>
          <w:p w14:paraId="6955325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5484430000</w:t>
            </w:r>
          </w:p>
        </w:tc>
        <w:tc>
          <w:tcPr>
            <w:tcW w:w="547" w:type="pct"/>
            <w:tcBorders>
              <w:top w:val="nil"/>
              <w:left w:val="nil"/>
              <w:bottom w:val="single" w:sz="4" w:space="0" w:color="auto"/>
              <w:right w:val="single" w:sz="4" w:space="0" w:color="auto"/>
            </w:tcBorders>
            <w:shd w:val="clear" w:color="auto" w:fill="auto"/>
            <w:noWrap/>
            <w:vAlign w:val="center"/>
            <w:hideMark/>
          </w:tcPr>
          <w:p w14:paraId="047990F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24078506</w:t>
            </w:r>
          </w:p>
        </w:tc>
        <w:tc>
          <w:tcPr>
            <w:tcW w:w="3360" w:type="pct"/>
            <w:tcBorders>
              <w:top w:val="nil"/>
              <w:left w:val="nil"/>
              <w:bottom w:val="single" w:sz="4" w:space="0" w:color="auto"/>
              <w:right w:val="single" w:sz="4" w:space="0" w:color="auto"/>
            </w:tcBorders>
            <w:shd w:val="clear" w:color="auto" w:fill="auto"/>
            <w:vAlign w:val="center"/>
            <w:hideMark/>
          </w:tcPr>
          <w:p w14:paraId="46BA5D1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CESTA</w:t>
            </w:r>
          </w:p>
        </w:tc>
      </w:tr>
      <w:tr w:rsidR="00E3750C" w:rsidRPr="00415AB3" w14:paraId="25C73E0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82B62A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593</w:t>
            </w:r>
          </w:p>
        </w:tc>
        <w:tc>
          <w:tcPr>
            <w:tcW w:w="705" w:type="pct"/>
            <w:tcBorders>
              <w:top w:val="nil"/>
              <w:left w:val="nil"/>
              <w:bottom w:val="single" w:sz="4" w:space="0" w:color="auto"/>
              <w:right w:val="single" w:sz="4" w:space="0" w:color="auto"/>
            </w:tcBorders>
            <w:shd w:val="clear" w:color="auto" w:fill="auto"/>
            <w:noWrap/>
            <w:vAlign w:val="center"/>
            <w:hideMark/>
          </w:tcPr>
          <w:p w14:paraId="03759B6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5028060000</w:t>
            </w:r>
          </w:p>
        </w:tc>
        <w:tc>
          <w:tcPr>
            <w:tcW w:w="547" w:type="pct"/>
            <w:tcBorders>
              <w:top w:val="nil"/>
              <w:left w:val="nil"/>
              <w:bottom w:val="single" w:sz="4" w:space="0" w:color="auto"/>
              <w:right w:val="single" w:sz="4" w:space="0" w:color="auto"/>
            </w:tcBorders>
            <w:shd w:val="clear" w:color="auto" w:fill="auto"/>
            <w:noWrap/>
            <w:vAlign w:val="center"/>
            <w:hideMark/>
          </w:tcPr>
          <w:p w14:paraId="51D8AC3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30904854</w:t>
            </w:r>
          </w:p>
        </w:tc>
        <w:tc>
          <w:tcPr>
            <w:tcW w:w="3360" w:type="pct"/>
            <w:tcBorders>
              <w:top w:val="nil"/>
              <w:left w:val="nil"/>
              <w:bottom w:val="single" w:sz="4" w:space="0" w:color="auto"/>
              <w:right w:val="single" w:sz="4" w:space="0" w:color="auto"/>
            </w:tcBorders>
            <w:shd w:val="clear" w:color="auto" w:fill="auto"/>
            <w:vAlign w:val="center"/>
            <w:hideMark/>
          </w:tcPr>
          <w:p w14:paraId="0053B15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COL</w:t>
            </w:r>
          </w:p>
        </w:tc>
      </w:tr>
      <w:tr w:rsidR="00E3750C" w:rsidRPr="00415AB3" w14:paraId="275CFB8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7A29FA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594</w:t>
            </w:r>
          </w:p>
        </w:tc>
        <w:tc>
          <w:tcPr>
            <w:tcW w:w="705" w:type="pct"/>
            <w:tcBorders>
              <w:top w:val="nil"/>
              <w:left w:val="nil"/>
              <w:bottom w:val="single" w:sz="4" w:space="0" w:color="auto"/>
              <w:right w:val="single" w:sz="4" w:space="0" w:color="auto"/>
            </w:tcBorders>
            <w:shd w:val="clear" w:color="auto" w:fill="auto"/>
            <w:noWrap/>
            <w:vAlign w:val="center"/>
            <w:hideMark/>
          </w:tcPr>
          <w:p w14:paraId="64D4ACF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5031788000</w:t>
            </w:r>
          </w:p>
        </w:tc>
        <w:tc>
          <w:tcPr>
            <w:tcW w:w="547" w:type="pct"/>
            <w:tcBorders>
              <w:top w:val="nil"/>
              <w:left w:val="nil"/>
              <w:bottom w:val="single" w:sz="4" w:space="0" w:color="auto"/>
              <w:right w:val="single" w:sz="4" w:space="0" w:color="auto"/>
            </w:tcBorders>
            <w:shd w:val="clear" w:color="auto" w:fill="auto"/>
            <w:noWrap/>
            <w:vAlign w:val="center"/>
            <w:hideMark/>
          </w:tcPr>
          <w:p w14:paraId="4DFCD9B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58106081</w:t>
            </w:r>
          </w:p>
        </w:tc>
        <w:tc>
          <w:tcPr>
            <w:tcW w:w="3360" w:type="pct"/>
            <w:tcBorders>
              <w:top w:val="nil"/>
              <w:left w:val="nil"/>
              <w:bottom w:val="single" w:sz="4" w:space="0" w:color="auto"/>
              <w:right w:val="single" w:sz="4" w:space="0" w:color="auto"/>
            </w:tcBorders>
            <w:shd w:val="clear" w:color="auto" w:fill="auto"/>
            <w:vAlign w:val="center"/>
            <w:hideMark/>
          </w:tcPr>
          <w:p w14:paraId="78386A9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ČEPOVAN</w:t>
            </w:r>
          </w:p>
        </w:tc>
      </w:tr>
      <w:tr w:rsidR="00E3750C" w:rsidRPr="00415AB3" w14:paraId="339D7E4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52AC64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595</w:t>
            </w:r>
          </w:p>
        </w:tc>
        <w:tc>
          <w:tcPr>
            <w:tcW w:w="705" w:type="pct"/>
            <w:tcBorders>
              <w:top w:val="nil"/>
              <w:left w:val="nil"/>
              <w:bottom w:val="single" w:sz="4" w:space="0" w:color="auto"/>
              <w:right w:val="single" w:sz="4" w:space="0" w:color="auto"/>
            </w:tcBorders>
            <w:shd w:val="clear" w:color="auto" w:fill="auto"/>
            <w:noWrap/>
            <w:vAlign w:val="center"/>
            <w:hideMark/>
          </w:tcPr>
          <w:p w14:paraId="4504A5B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5020875000</w:t>
            </w:r>
          </w:p>
        </w:tc>
        <w:tc>
          <w:tcPr>
            <w:tcW w:w="547" w:type="pct"/>
            <w:tcBorders>
              <w:top w:val="nil"/>
              <w:left w:val="nil"/>
              <w:bottom w:val="single" w:sz="4" w:space="0" w:color="auto"/>
              <w:right w:val="single" w:sz="4" w:space="0" w:color="auto"/>
            </w:tcBorders>
            <w:shd w:val="clear" w:color="auto" w:fill="auto"/>
            <w:noWrap/>
            <w:vAlign w:val="center"/>
            <w:hideMark/>
          </w:tcPr>
          <w:p w14:paraId="5E576D1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29406498</w:t>
            </w:r>
          </w:p>
        </w:tc>
        <w:tc>
          <w:tcPr>
            <w:tcW w:w="3360" w:type="pct"/>
            <w:tcBorders>
              <w:top w:val="nil"/>
              <w:left w:val="nil"/>
              <w:bottom w:val="single" w:sz="4" w:space="0" w:color="auto"/>
              <w:right w:val="single" w:sz="4" w:space="0" w:color="auto"/>
            </w:tcBorders>
            <w:shd w:val="clear" w:color="auto" w:fill="auto"/>
            <w:vAlign w:val="center"/>
            <w:hideMark/>
          </w:tcPr>
          <w:p w14:paraId="5B003FD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ČREŠNJEVEC</w:t>
            </w:r>
          </w:p>
        </w:tc>
      </w:tr>
      <w:tr w:rsidR="00E3750C" w:rsidRPr="00415AB3" w14:paraId="1C37753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C01867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596</w:t>
            </w:r>
          </w:p>
        </w:tc>
        <w:tc>
          <w:tcPr>
            <w:tcW w:w="705" w:type="pct"/>
            <w:tcBorders>
              <w:top w:val="nil"/>
              <w:left w:val="nil"/>
              <w:bottom w:val="single" w:sz="4" w:space="0" w:color="auto"/>
              <w:right w:val="single" w:sz="4" w:space="0" w:color="auto"/>
            </w:tcBorders>
            <w:shd w:val="clear" w:color="auto" w:fill="auto"/>
            <w:noWrap/>
            <w:vAlign w:val="center"/>
            <w:hideMark/>
          </w:tcPr>
          <w:p w14:paraId="218F561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5030749000</w:t>
            </w:r>
          </w:p>
        </w:tc>
        <w:tc>
          <w:tcPr>
            <w:tcW w:w="547" w:type="pct"/>
            <w:tcBorders>
              <w:top w:val="nil"/>
              <w:left w:val="nil"/>
              <w:bottom w:val="single" w:sz="4" w:space="0" w:color="auto"/>
              <w:right w:val="single" w:sz="4" w:space="0" w:color="auto"/>
            </w:tcBorders>
            <w:shd w:val="clear" w:color="auto" w:fill="auto"/>
            <w:noWrap/>
            <w:vAlign w:val="center"/>
            <w:hideMark/>
          </w:tcPr>
          <w:p w14:paraId="12E5D32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99782669</w:t>
            </w:r>
          </w:p>
        </w:tc>
        <w:tc>
          <w:tcPr>
            <w:tcW w:w="3360" w:type="pct"/>
            <w:tcBorders>
              <w:top w:val="nil"/>
              <w:left w:val="nil"/>
              <w:bottom w:val="single" w:sz="4" w:space="0" w:color="auto"/>
              <w:right w:val="single" w:sz="4" w:space="0" w:color="auto"/>
            </w:tcBorders>
            <w:shd w:val="clear" w:color="auto" w:fill="auto"/>
            <w:vAlign w:val="center"/>
            <w:hideMark/>
          </w:tcPr>
          <w:p w14:paraId="15E20DC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ČRNIČE-RAVNE</w:t>
            </w:r>
          </w:p>
        </w:tc>
      </w:tr>
      <w:tr w:rsidR="00E3750C" w:rsidRPr="00415AB3" w14:paraId="57E7BE5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6999F3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597</w:t>
            </w:r>
          </w:p>
        </w:tc>
        <w:tc>
          <w:tcPr>
            <w:tcW w:w="705" w:type="pct"/>
            <w:tcBorders>
              <w:top w:val="nil"/>
              <w:left w:val="nil"/>
              <w:bottom w:val="single" w:sz="4" w:space="0" w:color="auto"/>
              <w:right w:val="single" w:sz="4" w:space="0" w:color="auto"/>
            </w:tcBorders>
            <w:shd w:val="clear" w:color="auto" w:fill="auto"/>
            <w:noWrap/>
            <w:vAlign w:val="center"/>
            <w:hideMark/>
          </w:tcPr>
          <w:p w14:paraId="1E7DFD1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5030862000</w:t>
            </w:r>
          </w:p>
        </w:tc>
        <w:tc>
          <w:tcPr>
            <w:tcW w:w="547" w:type="pct"/>
            <w:tcBorders>
              <w:top w:val="nil"/>
              <w:left w:val="nil"/>
              <w:bottom w:val="single" w:sz="4" w:space="0" w:color="auto"/>
              <w:right w:val="single" w:sz="4" w:space="0" w:color="auto"/>
            </w:tcBorders>
            <w:shd w:val="clear" w:color="auto" w:fill="auto"/>
            <w:noWrap/>
            <w:vAlign w:val="center"/>
            <w:hideMark/>
          </w:tcPr>
          <w:p w14:paraId="626220D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87697840</w:t>
            </w:r>
          </w:p>
        </w:tc>
        <w:tc>
          <w:tcPr>
            <w:tcW w:w="3360" w:type="pct"/>
            <w:tcBorders>
              <w:top w:val="nil"/>
              <w:left w:val="nil"/>
              <w:bottom w:val="single" w:sz="4" w:space="0" w:color="auto"/>
              <w:right w:val="single" w:sz="4" w:space="0" w:color="auto"/>
            </w:tcBorders>
            <w:shd w:val="clear" w:color="auto" w:fill="auto"/>
            <w:vAlign w:val="center"/>
            <w:hideMark/>
          </w:tcPr>
          <w:p w14:paraId="69936DC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DOBOVA</w:t>
            </w:r>
          </w:p>
        </w:tc>
      </w:tr>
      <w:tr w:rsidR="00E3750C" w:rsidRPr="00415AB3" w14:paraId="38F135F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07EE9C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598</w:t>
            </w:r>
          </w:p>
        </w:tc>
        <w:tc>
          <w:tcPr>
            <w:tcW w:w="705" w:type="pct"/>
            <w:tcBorders>
              <w:top w:val="nil"/>
              <w:left w:val="nil"/>
              <w:bottom w:val="single" w:sz="4" w:space="0" w:color="auto"/>
              <w:right w:val="single" w:sz="4" w:space="0" w:color="auto"/>
            </w:tcBorders>
            <w:shd w:val="clear" w:color="auto" w:fill="auto"/>
            <w:noWrap/>
            <w:vAlign w:val="center"/>
            <w:hideMark/>
          </w:tcPr>
          <w:p w14:paraId="4FDB31A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5032873000</w:t>
            </w:r>
          </w:p>
        </w:tc>
        <w:tc>
          <w:tcPr>
            <w:tcW w:w="547" w:type="pct"/>
            <w:tcBorders>
              <w:top w:val="nil"/>
              <w:left w:val="nil"/>
              <w:bottom w:val="single" w:sz="4" w:space="0" w:color="auto"/>
              <w:right w:val="single" w:sz="4" w:space="0" w:color="auto"/>
            </w:tcBorders>
            <w:shd w:val="clear" w:color="auto" w:fill="auto"/>
            <w:noWrap/>
            <w:vAlign w:val="center"/>
            <w:hideMark/>
          </w:tcPr>
          <w:p w14:paraId="270D0D6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63196115</w:t>
            </w:r>
          </w:p>
        </w:tc>
        <w:tc>
          <w:tcPr>
            <w:tcW w:w="3360" w:type="pct"/>
            <w:tcBorders>
              <w:top w:val="nil"/>
              <w:left w:val="nil"/>
              <w:bottom w:val="single" w:sz="4" w:space="0" w:color="auto"/>
              <w:right w:val="single" w:sz="4" w:space="0" w:color="auto"/>
            </w:tcBorders>
            <w:shd w:val="clear" w:color="auto" w:fill="auto"/>
            <w:vAlign w:val="center"/>
            <w:hideMark/>
          </w:tcPr>
          <w:p w14:paraId="3AC8805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DOBRAVA - GABROVLJE</w:t>
            </w:r>
          </w:p>
        </w:tc>
      </w:tr>
      <w:tr w:rsidR="00E3750C" w:rsidRPr="00415AB3" w14:paraId="58E624A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8B132A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599</w:t>
            </w:r>
          </w:p>
        </w:tc>
        <w:tc>
          <w:tcPr>
            <w:tcW w:w="705" w:type="pct"/>
            <w:tcBorders>
              <w:top w:val="nil"/>
              <w:left w:val="nil"/>
              <w:bottom w:val="single" w:sz="4" w:space="0" w:color="auto"/>
              <w:right w:val="single" w:sz="4" w:space="0" w:color="auto"/>
            </w:tcBorders>
            <w:shd w:val="clear" w:color="auto" w:fill="auto"/>
            <w:noWrap/>
            <w:vAlign w:val="center"/>
            <w:hideMark/>
          </w:tcPr>
          <w:p w14:paraId="60F21C2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5016673000</w:t>
            </w:r>
          </w:p>
        </w:tc>
        <w:tc>
          <w:tcPr>
            <w:tcW w:w="547" w:type="pct"/>
            <w:tcBorders>
              <w:top w:val="nil"/>
              <w:left w:val="nil"/>
              <w:bottom w:val="single" w:sz="4" w:space="0" w:color="auto"/>
              <w:right w:val="single" w:sz="4" w:space="0" w:color="auto"/>
            </w:tcBorders>
            <w:shd w:val="clear" w:color="auto" w:fill="auto"/>
            <w:noWrap/>
            <w:vAlign w:val="center"/>
            <w:hideMark/>
          </w:tcPr>
          <w:p w14:paraId="432E969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65351452</w:t>
            </w:r>
          </w:p>
        </w:tc>
        <w:tc>
          <w:tcPr>
            <w:tcW w:w="3360" w:type="pct"/>
            <w:tcBorders>
              <w:top w:val="nil"/>
              <w:left w:val="nil"/>
              <w:bottom w:val="single" w:sz="4" w:space="0" w:color="auto"/>
              <w:right w:val="single" w:sz="4" w:space="0" w:color="auto"/>
            </w:tcBorders>
            <w:shd w:val="clear" w:color="auto" w:fill="auto"/>
            <w:vAlign w:val="center"/>
            <w:hideMark/>
          </w:tcPr>
          <w:p w14:paraId="6D545FA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DOBRAVLJE</w:t>
            </w:r>
          </w:p>
        </w:tc>
      </w:tr>
      <w:tr w:rsidR="00E3750C" w:rsidRPr="00415AB3" w14:paraId="38F045D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018906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600</w:t>
            </w:r>
          </w:p>
        </w:tc>
        <w:tc>
          <w:tcPr>
            <w:tcW w:w="705" w:type="pct"/>
            <w:tcBorders>
              <w:top w:val="nil"/>
              <w:left w:val="nil"/>
              <w:bottom w:val="single" w:sz="4" w:space="0" w:color="auto"/>
              <w:right w:val="single" w:sz="4" w:space="0" w:color="auto"/>
            </w:tcBorders>
            <w:shd w:val="clear" w:color="auto" w:fill="auto"/>
            <w:noWrap/>
            <w:vAlign w:val="center"/>
            <w:hideMark/>
          </w:tcPr>
          <w:p w14:paraId="19689DA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5915350000</w:t>
            </w:r>
          </w:p>
        </w:tc>
        <w:tc>
          <w:tcPr>
            <w:tcW w:w="547" w:type="pct"/>
            <w:tcBorders>
              <w:top w:val="nil"/>
              <w:left w:val="nil"/>
              <w:bottom w:val="single" w:sz="4" w:space="0" w:color="auto"/>
              <w:right w:val="single" w:sz="4" w:space="0" w:color="auto"/>
            </w:tcBorders>
            <w:shd w:val="clear" w:color="auto" w:fill="auto"/>
            <w:noWrap/>
            <w:vAlign w:val="center"/>
            <w:hideMark/>
          </w:tcPr>
          <w:p w14:paraId="5D75E30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55790712</w:t>
            </w:r>
          </w:p>
        </w:tc>
        <w:tc>
          <w:tcPr>
            <w:tcW w:w="3360" w:type="pct"/>
            <w:tcBorders>
              <w:top w:val="nil"/>
              <w:left w:val="nil"/>
              <w:bottom w:val="single" w:sz="4" w:space="0" w:color="auto"/>
              <w:right w:val="single" w:sz="4" w:space="0" w:color="auto"/>
            </w:tcBorders>
            <w:shd w:val="clear" w:color="auto" w:fill="auto"/>
            <w:vAlign w:val="center"/>
            <w:hideMark/>
          </w:tcPr>
          <w:p w14:paraId="0E93033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DOBROVLJE</w:t>
            </w:r>
          </w:p>
        </w:tc>
      </w:tr>
      <w:tr w:rsidR="00E3750C" w:rsidRPr="00415AB3" w14:paraId="7BC436E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4B49E5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601</w:t>
            </w:r>
          </w:p>
        </w:tc>
        <w:tc>
          <w:tcPr>
            <w:tcW w:w="705" w:type="pct"/>
            <w:tcBorders>
              <w:top w:val="nil"/>
              <w:left w:val="nil"/>
              <w:bottom w:val="single" w:sz="4" w:space="0" w:color="auto"/>
              <w:right w:val="single" w:sz="4" w:space="0" w:color="auto"/>
            </w:tcBorders>
            <w:shd w:val="clear" w:color="auto" w:fill="auto"/>
            <w:noWrap/>
            <w:vAlign w:val="center"/>
            <w:hideMark/>
          </w:tcPr>
          <w:p w14:paraId="502BBA9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5026938000</w:t>
            </w:r>
          </w:p>
        </w:tc>
        <w:tc>
          <w:tcPr>
            <w:tcW w:w="547" w:type="pct"/>
            <w:tcBorders>
              <w:top w:val="nil"/>
              <w:left w:val="nil"/>
              <w:bottom w:val="single" w:sz="4" w:space="0" w:color="auto"/>
              <w:right w:val="single" w:sz="4" w:space="0" w:color="auto"/>
            </w:tcBorders>
            <w:shd w:val="clear" w:color="auto" w:fill="auto"/>
            <w:noWrap/>
            <w:vAlign w:val="center"/>
            <w:hideMark/>
          </w:tcPr>
          <w:p w14:paraId="38A1E8E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75139553</w:t>
            </w:r>
          </w:p>
        </w:tc>
        <w:tc>
          <w:tcPr>
            <w:tcW w:w="3360" w:type="pct"/>
            <w:tcBorders>
              <w:top w:val="nil"/>
              <w:left w:val="nil"/>
              <w:bottom w:val="single" w:sz="4" w:space="0" w:color="auto"/>
              <w:right w:val="single" w:sz="4" w:space="0" w:color="auto"/>
            </w:tcBorders>
            <w:shd w:val="clear" w:color="auto" w:fill="auto"/>
            <w:vAlign w:val="center"/>
            <w:hideMark/>
          </w:tcPr>
          <w:p w14:paraId="366FD82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DOLENJA VAS</w:t>
            </w:r>
          </w:p>
        </w:tc>
      </w:tr>
      <w:tr w:rsidR="00E3750C" w:rsidRPr="00415AB3" w14:paraId="3B79E53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17ACA2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602</w:t>
            </w:r>
          </w:p>
        </w:tc>
        <w:tc>
          <w:tcPr>
            <w:tcW w:w="705" w:type="pct"/>
            <w:tcBorders>
              <w:top w:val="nil"/>
              <w:left w:val="nil"/>
              <w:bottom w:val="single" w:sz="4" w:space="0" w:color="auto"/>
              <w:right w:val="single" w:sz="4" w:space="0" w:color="auto"/>
            </w:tcBorders>
            <w:shd w:val="clear" w:color="auto" w:fill="auto"/>
            <w:noWrap/>
            <w:vAlign w:val="center"/>
            <w:hideMark/>
          </w:tcPr>
          <w:p w14:paraId="4EAA27C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2283034000</w:t>
            </w:r>
          </w:p>
        </w:tc>
        <w:tc>
          <w:tcPr>
            <w:tcW w:w="547" w:type="pct"/>
            <w:tcBorders>
              <w:top w:val="nil"/>
              <w:left w:val="nil"/>
              <w:bottom w:val="single" w:sz="4" w:space="0" w:color="auto"/>
              <w:right w:val="single" w:sz="4" w:space="0" w:color="auto"/>
            </w:tcBorders>
            <w:shd w:val="clear" w:color="auto" w:fill="auto"/>
            <w:noWrap/>
            <w:vAlign w:val="center"/>
            <w:hideMark/>
          </w:tcPr>
          <w:p w14:paraId="70C5404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52550931</w:t>
            </w:r>
          </w:p>
        </w:tc>
        <w:tc>
          <w:tcPr>
            <w:tcW w:w="3360" w:type="pct"/>
            <w:tcBorders>
              <w:top w:val="nil"/>
              <w:left w:val="nil"/>
              <w:bottom w:val="single" w:sz="4" w:space="0" w:color="auto"/>
              <w:right w:val="single" w:sz="4" w:space="0" w:color="auto"/>
            </w:tcBorders>
            <w:shd w:val="clear" w:color="auto" w:fill="auto"/>
            <w:vAlign w:val="center"/>
            <w:hideMark/>
          </w:tcPr>
          <w:p w14:paraId="5A3EEF9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DOLGA GORA</w:t>
            </w:r>
          </w:p>
        </w:tc>
      </w:tr>
      <w:tr w:rsidR="00E3750C" w:rsidRPr="00415AB3" w14:paraId="02C8474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E5C6B9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603</w:t>
            </w:r>
          </w:p>
        </w:tc>
        <w:tc>
          <w:tcPr>
            <w:tcW w:w="705" w:type="pct"/>
            <w:tcBorders>
              <w:top w:val="nil"/>
              <w:left w:val="nil"/>
              <w:bottom w:val="single" w:sz="4" w:space="0" w:color="auto"/>
              <w:right w:val="single" w:sz="4" w:space="0" w:color="auto"/>
            </w:tcBorders>
            <w:shd w:val="clear" w:color="auto" w:fill="auto"/>
            <w:noWrap/>
            <w:vAlign w:val="center"/>
            <w:hideMark/>
          </w:tcPr>
          <w:p w14:paraId="4A995C0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5021332000</w:t>
            </w:r>
          </w:p>
        </w:tc>
        <w:tc>
          <w:tcPr>
            <w:tcW w:w="547" w:type="pct"/>
            <w:tcBorders>
              <w:top w:val="nil"/>
              <w:left w:val="nil"/>
              <w:bottom w:val="single" w:sz="4" w:space="0" w:color="auto"/>
              <w:right w:val="single" w:sz="4" w:space="0" w:color="auto"/>
            </w:tcBorders>
            <w:shd w:val="clear" w:color="auto" w:fill="auto"/>
            <w:noWrap/>
            <w:vAlign w:val="center"/>
            <w:hideMark/>
          </w:tcPr>
          <w:p w14:paraId="786D156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49398750</w:t>
            </w:r>
          </w:p>
        </w:tc>
        <w:tc>
          <w:tcPr>
            <w:tcW w:w="3360" w:type="pct"/>
            <w:tcBorders>
              <w:top w:val="nil"/>
              <w:left w:val="nil"/>
              <w:bottom w:val="single" w:sz="4" w:space="0" w:color="auto"/>
              <w:right w:val="single" w:sz="4" w:space="0" w:color="auto"/>
            </w:tcBorders>
            <w:shd w:val="clear" w:color="auto" w:fill="auto"/>
            <w:vAlign w:val="center"/>
            <w:hideMark/>
          </w:tcPr>
          <w:p w14:paraId="0BDB9AA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DOLGA POLJANA</w:t>
            </w:r>
          </w:p>
        </w:tc>
      </w:tr>
      <w:tr w:rsidR="00E3750C" w:rsidRPr="00415AB3" w14:paraId="4A79B39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863C72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604</w:t>
            </w:r>
          </w:p>
        </w:tc>
        <w:tc>
          <w:tcPr>
            <w:tcW w:w="705" w:type="pct"/>
            <w:tcBorders>
              <w:top w:val="nil"/>
              <w:left w:val="nil"/>
              <w:bottom w:val="single" w:sz="4" w:space="0" w:color="auto"/>
              <w:right w:val="single" w:sz="4" w:space="0" w:color="auto"/>
            </w:tcBorders>
            <w:shd w:val="clear" w:color="auto" w:fill="auto"/>
            <w:noWrap/>
            <w:vAlign w:val="center"/>
            <w:hideMark/>
          </w:tcPr>
          <w:p w14:paraId="06DD461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2482916000</w:t>
            </w:r>
          </w:p>
        </w:tc>
        <w:tc>
          <w:tcPr>
            <w:tcW w:w="547" w:type="pct"/>
            <w:tcBorders>
              <w:top w:val="nil"/>
              <w:left w:val="nil"/>
              <w:bottom w:val="single" w:sz="4" w:space="0" w:color="auto"/>
              <w:right w:val="single" w:sz="4" w:space="0" w:color="auto"/>
            </w:tcBorders>
            <w:shd w:val="clear" w:color="auto" w:fill="auto"/>
            <w:noWrap/>
            <w:vAlign w:val="center"/>
            <w:hideMark/>
          </w:tcPr>
          <w:p w14:paraId="71D6E66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79207260</w:t>
            </w:r>
          </w:p>
        </w:tc>
        <w:tc>
          <w:tcPr>
            <w:tcW w:w="3360" w:type="pct"/>
            <w:tcBorders>
              <w:top w:val="nil"/>
              <w:left w:val="nil"/>
              <w:bottom w:val="single" w:sz="4" w:space="0" w:color="auto"/>
              <w:right w:val="single" w:sz="4" w:space="0" w:color="auto"/>
            </w:tcBorders>
            <w:shd w:val="clear" w:color="auto" w:fill="auto"/>
            <w:vAlign w:val="center"/>
            <w:hideMark/>
          </w:tcPr>
          <w:p w14:paraId="5C51D58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DOLNJE BREZOVO</w:t>
            </w:r>
          </w:p>
        </w:tc>
      </w:tr>
      <w:tr w:rsidR="00E3750C" w:rsidRPr="00415AB3" w14:paraId="0D236A2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9ECC63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605</w:t>
            </w:r>
          </w:p>
        </w:tc>
        <w:tc>
          <w:tcPr>
            <w:tcW w:w="705" w:type="pct"/>
            <w:tcBorders>
              <w:top w:val="nil"/>
              <w:left w:val="nil"/>
              <w:bottom w:val="single" w:sz="4" w:space="0" w:color="auto"/>
              <w:right w:val="single" w:sz="4" w:space="0" w:color="auto"/>
            </w:tcBorders>
            <w:shd w:val="clear" w:color="auto" w:fill="auto"/>
            <w:noWrap/>
            <w:vAlign w:val="center"/>
            <w:hideMark/>
          </w:tcPr>
          <w:p w14:paraId="4B7CCB3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5238757000</w:t>
            </w:r>
          </w:p>
        </w:tc>
        <w:tc>
          <w:tcPr>
            <w:tcW w:w="547" w:type="pct"/>
            <w:tcBorders>
              <w:top w:val="nil"/>
              <w:left w:val="nil"/>
              <w:bottom w:val="single" w:sz="4" w:space="0" w:color="auto"/>
              <w:right w:val="single" w:sz="4" w:space="0" w:color="auto"/>
            </w:tcBorders>
            <w:shd w:val="clear" w:color="auto" w:fill="auto"/>
            <w:noWrap/>
            <w:vAlign w:val="center"/>
            <w:hideMark/>
          </w:tcPr>
          <w:p w14:paraId="0D8D401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48071455</w:t>
            </w:r>
          </w:p>
        </w:tc>
        <w:tc>
          <w:tcPr>
            <w:tcW w:w="3360" w:type="pct"/>
            <w:tcBorders>
              <w:top w:val="nil"/>
              <w:left w:val="nil"/>
              <w:bottom w:val="single" w:sz="4" w:space="0" w:color="auto"/>
              <w:right w:val="single" w:sz="4" w:space="0" w:color="auto"/>
            </w:tcBorders>
            <w:shd w:val="clear" w:color="auto" w:fill="auto"/>
            <w:vAlign w:val="center"/>
            <w:hideMark/>
          </w:tcPr>
          <w:p w14:paraId="7EE0B24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DOLŽ</w:t>
            </w:r>
          </w:p>
        </w:tc>
      </w:tr>
      <w:tr w:rsidR="00E3750C" w:rsidRPr="00415AB3" w14:paraId="7A12565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2ABAAB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606</w:t>
            </w:r>
          </w:p>
        </w:tc>
        <w:tc>
          <w:tcPr>
            <w:tcW w:w="705" w:type="pct"/>
            <w:tcBorders>
              <w:top w:val="nil"/>
              <w:left w:val="nil"/>
              <w:bottom w:val="single" w:sz="4" w:space="0" w:color="auto"/>
              <w:right w:val="single" w:sz="4" w:space="0" w:color="auto"/>
            </w:tcBorders>
            <w:shd w:val="clear" w:color="auto" w:fill="auto"/>
            <w:noWrap/>
            <w:vAlign w:val="center"/>
            <w:hideMark/>
          </w:tcPr>
          <w:p w14:paraId="2EC1EF5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5020522000</w:t>
            </w:r>
          </w:p>
        </w:tc>
        <w:tc>
          <w:tcPr>
            <w:tcW w:w="547" w:type="pct"/>
            <w:tcBorders>
              <w:top w:val="nil"/>
              <w:left w:val="nil"/>
              <w:bottom w:val="single" w:sz="4" w:space="0" w:color="auto"/>
              <w:right w:val="single" w:sz="4" w:space="0" w:color="auto"/>
            </w:tcBorders>
            <w:shd w:val="clear" w:color="auto" w:fill="auto"/>
            <w:noWrap/>
            <w:vAlign w:val="center"/>
            <w:hideMark/>
          </w:tcPr>
          <w:p w14:paraId="610714B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42550599</w:t>
            </w:r>
          </w:p>
        </w:tc>
        <w:tc>
          <w:tcPr>
            <w:tcW w:w="3360" w:type="pct"/>
            <w:tcBorders>
              <w:top w:val="nil"/>
              <w:left w:val="nil"/>
              <w:bottom w:val="single" w:sz="4" w:space="0" w:color="auto"/>
              <w:right w:val="single" w:sz="4" w:space="0" w:color="auto"/>
            </w:tcBorders>
            <w:shd w:val="clear" w:color="auto" w:fill="auto"/>
            <w:vAlign w:val="center"/>
            <w:hideMark/>
          </w:tcPr>
          <w:p w14:paraId="67B3DC2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DORNBERK</w:t>
            </w:r>
          </w:p>
        </w:tc>
      </w:tr>
      <w:tr w:rsidR="00E3750C" w:rsidRPr="00415AB3" w14:paraId="7454431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C86C64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607</w:t>
            </w:r>
          </w:p>
        </w:tc>
        <w:tc>
          <w:tcPr>
            <w:tcW w:w="705" w:type="pct"/>
            <w:tcBorders>
              <w:top w:val="nil"/>
              <w:left w:val="nil"/>
              <w:bottom w:val="single" w:sz="4" w:space="0" w:color="auto"/>
              <w:right w:val="single" w:sz="4" w:space="0" w:color="auto"/>
            </w:tcBorders>
            <w:shd w:val="clear" w:color="auto" w:fill="auto"/>
            <w:noWrap/>
            <w:vAlign w:val="center"/>
            <w:hideMark/>
          </w:tcPr>
          <w:p w14:paraId="4970A1A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5020930000</w:t>
            </w:r>
          </w:p>
        </w:tc>
        <w:tc>
          <w:tcPr>
            <w:tcW w:w="547" w:type="pct"/>
            <w:tcBorders>
              <w:top w:val="nil"/>
              <w:left w:val="nil"/>
              <w:bottom w:val="single" w:sz="4" w:space="0" w:color="auto"/>
              <w:right w:val="single" w:sz="4" w:space="0" w:color="auto"/>
            </w:tcBorders>
            <w:shd w:val="clear" w:color="auto" w:fill="auto"/>
            <w:noWrap/>
            <w:vAlign w:val="center"/>
            <w:hideMark/>
          </w:tcPr>
          <w:p w14:paraId="00F5543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34302719</w:t>
            </w:r>
          </w:p>
        </w:tc>
        <w:tc>
          <w:tcPr>
            <w:tcW w:w="3360" w:type="pct"/>
            <w:tcBorders>
              <w:top w:val="nil"/>
              <w:left w:val="nil"/>
              <w:bottom w:val="single" w:sz="4" w:space="0" w:color="auto"/>
              <w:right w:val="single" w:sz="4" w:space="0" w:color="auto"/>
            </w:tcBorders>
            <w:shd w:val="clear" w:color="auto" w:fill="auto"/>
            <w:vAlign w:val="center"/>
            <w:hideMark/>
          </w:tcPr>
          <w:p w14:paraId="5EAB7FD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DRAMLJE</w:t>
            </w:r>
          </w:p>
        </w:tc>
      </w:tr>
      <w:tr w:rsidR="00E3750C" w:rsidRPr="00415AB3" w14:paraId="3E548D8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F9F4C9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608</w:t>
            </w:r>
          </w:p>
        </w:tc>
        <w:tc>
          <w:tcPr>
            <w:tcW w:w="705" w:type="pct"/>
            <w:tcBorders>
              <w:top w:val="nil"/>
              <w:left w:val="nil"/>
              <w:bottom w:val="single" w:sz="4" w:space="0" w:color="auto"/>
              <w:right w:val="single" w:sz="4" w:space="0" w:color="auto"/>
            </w:tcBorders>
            <w:shd w:val="clear" w:color="auto" w:fill="auto"/>
            <w:noWrap/>
            <w:vAlign w:val="center"/>
            <w:hideMark/>
          </w:tcPr>
          <w:p w14:paraId="7D4AC26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5021740000</w:t>
            </w:r>
          </w:p>
        </w:tc>
        <w:tc>
          <w:tcPr>
            <w:tcW w:w="547" w:type="pct"/>
            <w:tcBorders>
              <w:top w:val="nil"/>
              <w:left w:val="nil"/>
              <w:bottom w:val="single" w:sz="4" w:space="0" w:color="auto"/>
              <w:right w:val="single" w:sz="4" w:space="0" w:color="auto"/>
            </w:tcBorders>
            <w:shd w:val="clear" w:color="auto" w:fill="auto"/>
            <w:noWrap/>
            <w:vAlign w:val="center"/>
            <w:hideMark/>
          </w:tcPr>
          <w:p w14:paraId="3811D3E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74509730</w:t>
            </w:r>
          </w:p>
        </w:tc>
        <w:tc>
          <w:tcPr>
            <w:tcW w:w="3360" w:type="pct"/>
            <w:tcBorders>
              <w:top w:val="nil"/>
              <w:left w:val="nil"/>
              <w:bottom w:val="single" w:sz="4" w:space="0" w:color="auto"/>
              <w:right w:val="single" w:sz="4" w:space="0" w:color="auto"/>
            </w:tcBorders>
            <w:shd w:val="clear" w:color="auto" w:fill="auto"/>
            <w:vAlign w:val="center"/>
            <w:hideMark/>
          </w:tcPr>
          <w:p w14:paraId="1EFBD62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DRAŽA VAS</w:t>
            </w:r>
          </w:p>
        </w:tc>
      </w:tr>
      <w:tr w:rsidR="00E3750C" w:rsidRPr="00415AB3" w14:paraId="448E234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CC7818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609</w:t>
            </w:r>
          </w:p>
        </w:tc>
        <w:tc>
          <w:tcPr>
            <w:tcW w:w="705" w:type="pct"/>
            <w:tcBorders>
              <w:top w:val="nil"/>
              <w:left w:val="nil"/>
              <w:bottom w:val="single" w:sz="4" w:space="0" w:color="auto"/>
              <w:right w:val="single" w:sz="4" w:space="0" w:color="auto"/>
            </w:tcBorders>
            <w:shd w:val="clear" w:color="auto" w:fill="auto"/>
            <w:noWrap/>
            <w:vAlign w:val="center"/>
            <w:hideMark/>
          </w:tcPr>
          <w:p w14:paraId="1CC155C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5016541000</w:t>
            </w:r>
          </w:p>
        </w:tc>
        <w:tc>
          <w:tcPr>
            <w:tcW w:w="547" w:type="pct"/>
            <w:tcBorders>
              <w:top w:val="nil"/>
              <w:left w:val="nil"/>
              <w:bottom w:val="single" w:sz="4" w:space="0" w:color="auto"/>
              <w:right w:val="single" w:sz="4" w:space="0" w:color="auto"/>
            </w:tcBorders>
            <w:shd w:val="clear" w:color="auto" w:fill="auto"/>
            <w:noWrap/>
            <w:vAlign w:val="center"/>
            <w:hideMark/>
          </w:tcPr>
          <w:p w14:paraId="4003F06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75781514</w:t>
            </w:r>
          </w:p>
        </w:tc>
        <w:tc>
          <w:tcPr>
            <w:tcW w:w="3360" w:type="pct"/>
            <w:tcBorders>
              <w:top w:val="nil"/>
              <w:left w:val="nil"/>
              <w:bottom w:val="single" w:sz="4" w:space="0" w:color="auto"/>
              <w:right w:val="single" w:sz="4" w:space="0" w:color="auto"/>
            </w:tcBorders>
            <w:shd w:val="clear" w:color="auto" w:fill="auto"/>
            <w:vAlign w:val="center"/>
            <w:hideMark/>
          </w:tcPr>
          <w:p w14:paraId="7229B19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GABERJE</w:t>
            </w:r>
          </w:p>
        </w:tc>
      </w:tr>
      <w:tr w:rsidR="00E3750C" w:rsidRPr="00415AB3" w14:paraId="2767DB4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BED252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610</w:t>
            </w:r>
          </w:p>
        </w:tc>
        <w:tc>
          <w:tcPr>
            <w:tcW w:w="705" w:type="pct"/>
            <w:tcBorders>
              <w:top w:val="nil"/>
              <w:left w:val="nil"/>
              <w:bottom w:val="single" w:sz="4" w:space="0" w:color="auto"/>
              <w:right w:val="single" w:sz="4" w:space="0" w:color="auto"/>
            </w:tcBorders>
            <w:shd w:val="clear" w:color="auto" w:fill="auto"/>
            <w:noWrap/>
            <w:vAlign w:val="center"/>
            <w:hideMark/>
          </w:tcPr>
          <w:p w14:paraId="73B71D6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5019508000</w:t>
            </w:r>
          </w:p>
        </w:tc>
        <w:tc>
          <w:tcPr>
            <w:tcW w:w="547" w:type="pct"/>
            <w:tcBorders>
              <w:top w:val="nil"/>
              <w:left w:val="nil"/>
              <w:bottom w:val="single" w:sz="4" w:space="0" w:color="auto"/>
              <w:right w:val="single" w:sz="4" w:space="0" w:color="auto"/>
            </w:tcBorders>
            <w:shd w:val="clear" w:color="auto" w:fill="auto"/>
            <w:noWrap/>
            <w:vAlign w:val="center"/>
            <w:hideMark/>
          </w:tcPr>
          <w:p w14:paraId="52EF3F1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82731489</w:t>
            </w:r>
          </w:p>
        </w:tc>
        <w:tc>
          <w:tcPr>
            <w:tcW w:w="3360" w:type="pct"/>
            <w:tcBorders>
              <w:top w:val="nil"/>
              <w:left w:val="nil"/>
              <w:bottom w:val="single" w:sz="4" w:space="0" w:color="auto"/>
              <w:right w:val="single" w:sz="4" w:space="0" w:color="auto"/>
            </w:tcBorders>
            <w:shd w:val="clear" w:color="auto" w:fill="auto"/>
            <w:vAlign w:val="center"/>
            <w:hideMark/>
          </w:tcPr>
          <w:p w14:paraId="3F547DB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GLOBOKO</w:t>
            </w:r>
          </w:p>
        </w:tc>
      </w:tr>
      <w:tr w:rsidR="00E3750C" w:rsidRPr="00415AB3" w14:paraId="7B50E5F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655028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611</w:t>
            </w:r>
          </w:p>
        </w:tc>
        <w:tc>
          <w:tcPr>
            <w:tcW w:w="705" w:type="pct"/>
            <w:tcBorders>
              <w:top w:val="nil"/>
              <w:left w:val="nil"/>
              <w:bottom w:val="single" w:sz="4" w:space="0" w:color="auto"/>
              <w:right w:val="single" w:sz="4" w:space="0" w:color="auto"/>
            </w:tcBorders>
            <w:shd w:val="clear" w:color="auto" w:fill="auto"/>
            <w:noWrap/>
            <w:vAlign w:val="center"/>
            <w:hideMark/>
          </w:tcPr>
          <w:p w14:paraId="164F8C1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5019494000</w:t>
            </w:r>
          </w:p>
        </w:tc>
        <w:tc>
          <w:tcPr>
            <w:tcW w:w="547" w:type="pct"/>
            <w:tcBorders>
              <w:top w:val="nil"/>
              <w:left w:val="nil"/>
              <w:bottom w:val="single" w:sz="4" w:space="0" w:color="auto"/>
              <w:right w:val="single" w:sz="4" w:space="0" w:color="auto"/>
            </w:tcBorders>
            <w:shd w:val="clear" w:color="auto" w:fill="auto"/>
            <w:noWrap/>
            <w:vAlign w:val="center"/>
            <w:hideMark/>
          </w:tcPr>
          <w:p w14:paraId="04BD9F3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38348985</w:t>
            </w:r>
          </w:p>
        </w:tc>
        <w:tc>
          <w:tcPr>
            <w:tcW w:w="3360" w:type="pct"/>
            <w:tcBorders>
              <w:top w:val="nil"/>
              <w:left w:val="nil"/>
              <w:bottom w:val="single" w:sz="4" w:space="0" w:color="auto"/>
              <w:right w:val="single" w:sz="4" w:space="0" w:color="auto"/>
            </w:tcBorders>
            <w:shd w:val="clear" w:color="auto" w:fill="auto"/>
            <w:vAlign w:val="center"/>
            <w:hideMark/>
          </w:tcPr>
          <w:p w14:paraId="7992443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GOJAČE MALOVŠE</w:t>
            </w:r>
          </w:p>
        </w:tc>
      </w:tr>
      <w:tr w:rsidR="00E3750C" w:rsidRPr="00415AB3" w14:paraId="14EF47A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99461F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612</w:t>
            </w:r>
          </w:p>
        </w:tc>
        <w:tc>
          <w:tcPr>
            <w:tcW w:w="705" w:type="pct"/>
            <w:tcBorders>
              <w:top w:val="nil"/>
              <w:left w:val="nil"/>
              <w:bottom w:val="single" w:sz="4" w:space="0" w:color="auto"/>
              <w:right w:val="single" w:sz="4" w:space="0" w:color="auto"/>
            </w:tcBorders>
            <w:shd w:val="clear" w:color="auto" w:fill="auto"/>
            <w:noWrap/>
            <w:vAlign w:val="center"/>
            <w:hideMark/>
          </w:tcPr>
          <w:p w14:paraId="7C803EF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5031036000</w:t>
            </w:r>
          </w:p>
        </w:tc>
        <w:tc>
          <w:tcPr>
            <w:tcW w:w="547" w:type="pct"/>
            <w:tcBorders>
              <w:top w:val="nil"/>
              <w:left w:val="nil"/>
              <w:bottom w:val="single" w:sz="4" w:space="0" w:color="auto"/>
              <w:right w:val="single" w:sz="4" w:space="0" w:color="auto"/>
            </w:tcBorders>
            <w:shd w:val="clear" w:color="auto" w:fill="auto"/>
            <w:noWrap/>
            <w:vAlign w:val="center"/>
            <w:hideMark/>
          </w:tcPr>
          <w:p w14:paraId="5EFB6C1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74342576</w:t>
            </w:r>
          </w:p>
        </w:tc>
        <w:tc>
          <w:tcPr>
            <w:tcW w:w="3360" w:type="pct"/>
            <w:tcBorders>
              <w:top w:val="nil"/>
              <w:left w:val="nil"/>
              <w:bottom w:val="single" w:sz="4" w:space="0" w:color="auto"/>
              <w:right w:val="single" w:sz="4" w:space="0" w:color="auto"/>
            </w:tcBorders>
            <w:shd w:val="clear" w:color="auto" w:fill="auto"/>
            <w:vAlign w:val="center"/>
            <w:hideMark/>
          </w:tcPr>
          <w:p w14:paraId="6E6E34D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GOLNIK</w:t>
            </w:r>
          </w:p>
        </w:tc>
      </w:tr>
      <w:tr w:rsidR="00E3750C" w:rsidRPr="00415AB3" w14:paraId="485FF81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A9C6FD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613</w:t>
            </w:r>
          </w:p>
        </w:tc>
        <w:tc>
          <w:tcPr>
            <w:tcW w:w="705" w:type="pct"/>
            <w:tcBorders>
              <w:top w:val="nil"/>
              <w:left w:val="nil"/>
              <w:bottom w:val="single" w:sz="4" w:space="0" w:color="auto"/>
              <w:right w:val="single" w:sz="4" w:space="0" w:color="auto"/>
            </w:tcBorders>
            <w:shd w:val="clear" w:color="auto" w:fill="auto"/>
            <w:noWrap/>
            <w:vAlign w:val="center"/>
            <w:hideMark/>
          </w:tcPr>
          <w:p w14:paraId="1E7C52D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5030366000</w:t>
            </w:r>
          </w:p>
        </w:tc>
        <w:tc>
          <w:tcPr>
            <w:tcW w:w="547" w:type="pct"/>
            <w:tcBorders>
              <w:top w:val="nil"/>
              <w:left w:val="nil"/>
              <w:bottom w:val="single" w:sz="4" w:space="0" w:color="auto"/>
              <w:right w:val="single" w:sz="4" w:space="0" w:color="auto"/>
            </w:tcBorders>
            <w:shd w:val="clear" w:color="auto" w:fill="auto"/>
            <w:noWrap/>
            <w:vAlign w:val="center"/>
            <w:hideMark/>
          </w:tcPr>
          <w:p w14:paraId="2282EEF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71748768</w:t>
            </w:r>
          </w:p>
        </w:tc>
        <w:tc>
          <w:tcPr>
            <w:tcW w:w="3360" w:type="pct"/>
            <w:tcBorders>
              <w:top w:val="nil"/>
              <w:left w:val="nil"/>
              <w:bottom w:val="single" w:sz="4" w:space="0" w:color="auto"/>
              <w:right w:val="single" w:sz="4" w:space="0" w:color="auto"/>
            </w:tcBorders>
            <w:shd w:val="clear" w:color="auto" w:fill="auto"/>
            <w:vAlign w:val="center"/>
            <w:hideMark/>
          </w:tcPr>
          <w:p w14:paraId="1416C3B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GORA</w:t>
            </w:r>
          </w:p>
        </w:tc>
      </w:tr>
      <w:tr w:rsidR="00E3750C" w:rsidRPr="00415AB3" w14:paraId="451978B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4BE2AD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614</w:t>
            </w:r>
          </w:p>
        </w:tc>
        <w:tc>
          <w:tcPr>
            <w:tcW w:w="705" w:type="pct"/>
            <w:tcBorders>
              <w:top w:val="nil"/>
              <w:left w:val="nil"/>
              <w:bottom w:val="single" w:sz="4" w:space="0" w:color="auto"/>
              <w:right w:val="single" w:sz="4" w:space="0" w:color="auto"/>
            </w:tcBorders>
            <w:shd w:val="clear" w:color="auto" w:fill="auto"/>
            <w:noWrap/>
            <w:vAlign w:val="center"/>
            <w:hideMark/>
          </w:tcPr>
          <w:p w14:paraId="2E7DECF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5030072000</w:t>
            </w:r>
          </w:p>
        </w:tc>
        <w:tc>
          <w:tcPr>
            <w:tcW w:w="547" w:type="pct"/>
            <w:tcBorders>
              <w:top w:val="nil"/>
              <w:left w:val="nil"/>
              <w:bottom w:val="single" w:sz="4" w:space="0" w:color="auto"/>
              <w:right w:val="single" w:sz="4" w:space="0" w:color="auto"/>
            </w:tcBorders>
            <w:shd w:val="clear" w:color="auto" w:fill="auto"/>
            <w:noWrap/>
            <w:vAlign w:val="center"/>
            <w:hideMark/>
          </w:tcPr>
          <w:p w14:paraId="2FF9AE4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49679554</w:t>
            </w:r>
          </w:p>
        </w:tc>
        <w:tc>
          <w:tcPr>
            <w:tcW w:w="3360" w:type="pct"/>
            <w:tcBorders>
              <w:top w:val="nil"/>
              <w:left w:val="nil"/>
              <w:bottom w:val="single" w:sz="4" w:space="0" w:color="auto"/>
              <w:right w:val="single" w:sz="4" w:space="0" w:color="auto"/>
            </w:tcBorders>
            <w:shd w:val="clear" w:color="auto" w:fill="auto"/>
            <w:vAlign w:val="center"/>
            <w:hideMark/>
          </w:tcPr>
          <w:p w14:paraId="189FCA1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GORENJE</w:t>
            </w:r>
          </w:p>
        </w:tc>
      </w:tr>
      <w:tr w:rsidR="00E3750C" w:rsidRPr="00415AB3" w14:paraId="7CDA616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D39484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615</w:t>
            </w:r>
          </w:p>
        </w:tc>
        <w:tc>
          <w:tcPr>
            <w:tcW w:w="705" w:type="pct"/>
            <w:tcBorders>
              <w:top w:val="nil"/>
              <w:left w:val="nil"/>
              <w:bottom w:val="single" w:sz="4" w:space="0" w:color="auto"/>
              <w:right w:val="single" w:sz="4" w:space="0" w:color="auto"/>
            </w:tcBorders>
            <w:shd w:val="clear" w:color="auto" w:fill="auto"/>
            <w:noWrap/>
            <w:vAlign w:val="center"/>
            <w:hideMark/>
          </w:tcPr>
          <w:p w14:paraId="19964A9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5027632000</w:t>
            </w:r>
          </w:p>
        </w:tc>
        <w:tc>
          <w:tcPr>
            <w:tcW w:w="547" w:type="pct"/>
            <w:tcBorders>
              <w:top w:val="nil"/>
              <w:left w:val="nil"/>
              <w:bottom w:val="single" w:sz="4" w:space="0" w:color="auto"/>
              <w:right w:val="single" w:sz="4" w:space="0" w:color="auto"/>
            </w:tcBorders>
            <w:shd w:val="clear" w:color="auto" w:fill="auto"/>
            <w:noWrap/>
            <w:vAlign w:val="center"/>
            <w:hideMark/>
          </w:tcPr>
          <w:p w14:paraId="35B886A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80209815</w:t>
            </w:r>
          </w:p>
        </w:tc>
        <w:tc>
          <w:tcPr>
            <w:tcW w:w="3360" w:type="pct"/>
            <w:tcBorders>
              <w:top w:val="nil"/>
              <w:left w:val="nil"/>
              <w:bottom w:val="single" w:sz="4" w:space="0" w:color="auto"/>
              <w:right w:val="single" w:sz="4" w:space="0" w:color="auto"/>
            </w:tcBorders>
            <w:shd w:val="clear" w:color="auto" w:fill="auto"/>
            <w:vAlign w:val="center"/>
            <w:hideMark/>
          </w:tcPr>
          <w:p w14:paraId="0312A1E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GORICA PRI SLIVNICI</w:t>
            </w:r>
          </w:p>
        </w:tc>
      </w:tr>
      <w:tr w:rsidR="00E3750C" w:rsidRPr="00415AB3" w14:paraId="2BC5796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0D78CA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616</w:t>
            </w:r>
          </w:p>
        </w:tc>
        <w:tc>
          <w:tcPr>
            <w:tcW w:w="705" w:type="pct"/>
            <w:tcBorders>
              <w:top w:val="nil"/>
              <w:left w:val="nil"/>
              <w:bottom w:val="single" w:sz="4" w:space="0" w:color="auto"/>
              <w:right w:val="single" w:sz="4" w:space="0" w:color="auto"/>
            </w:tcBorders>
            <w:shd w:val="clear" w:color="auto" w:fill="auto"/>
            <w:noWrap/>
            <w:vAlign w:val="center"/>
            <w:hideMark/>
          </w:tcPr>
          <w:p w14:paraId="483ACFB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5029031000</w:t>
            </w:r>
          </w:p>
        </w:tc>
        <w:tc>
          <w:tcPr>
            <w:tcW w:w="547" w:type="pct"/>
            <w:tcBorders>
              <w:top w:val="nil"/>
              <w:left w:val="nil"/>
              <w:bottom w:val="single" w:sz="4" w:space="0" w:color="auto"/>
              <w:right w:val="single" w:sz="4" w:space="0" w:color="auto"/>
            </w:tcBorders>
            <w:shd w:val="clear" w:color="auto" w:fill="auto"/>
            <w:noWrap/>
            <w:vAlign w:val="center"/>
            <w:hideMark/>
          </w:tcPr>
          <w:p w14:paraId="1340319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41633083</w:t>
            </w:r>
          </w:p>
        </w:tc>
        <w:tc>
          <w:tcPr>
            <w:tcW w:w="3360" w:type="pct"/>
            <w:tcBorders>
              <w:top w:val="nil"/>
              <w:left w:val="nil"/>
              <w:bottom w:val="single" w:sz="4" w:space="0" w:color="auto"/>
              <w:right w:val="single" w:sz="4" w:space="0" w:color="auto"/>
            </w:tcBorders>
            <w:shd w:val="clear" w:color="auto" w:fill="auto"/>
            <w:vAlign w:val="center"/>
            <w:hideMark/>
          </w:tcPr>
          <w:p w14:paraId="20BA727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GRADIN</w:t>
            </w:r>
          </w:p>
        </w:tc>
      </w:tr>
      <w:tr w:rsidR="00E3750C" w:rsidRPr="00415AB3" w14:paraId="4F27710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1CF0CC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617</w:t>
            </w:r>
          </w:p>
        </w:tc>
        <w:tc>
          <w:tcPr>
            <w:tcW w:w="705" w:type="pct"/>
            <w:tcBorders>
              <w:top w:val="nil"/>
              <w:left w:val="nil"/>
              <w:bottom w:val="single" w:sz="4" w:space="0" w:color="auto"/>
              <w:right w:val="single" w:sz="4" w:space="0" w:color="auto"/>
            </w:tcBorders>
            <w:shd w:val="clear" w:color="auto" w:fill="auto"/>
            <w:noWrap/>
            <w:vAlign w:val="center"/>
            <w:hideMark/>
          </w:tcPr>
          <w:p w14:paraId="0F2B110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5031877000</w:t>
            </w:r>
          </w:p>
        </w:tc>
        <w:tc>
          <w:tcPr>
            <w:tcW w:w="547" w:type="pct"/>
            <w:tcBorders>
              <w:top w:val="nil"/>
              <w:left w:val="nil"/>
              <w:bottom w:val="single" w:sz="4" w:space="0" w:color="auto"/>
              <w:right w:val="single" w:sz="4" w:space="0" w:color="auto"/>
            </w:tcBorders>
            <w:shd w:val="clear" w:color="auto" w:fill="auto"/>
            <w:noWrap/>
            <w:vAlign w:val="center"/>
            <w:hideMark/>
          </w:tcPr>
          <w:p w14:paraId="023828D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90848241</w:t>
            </w:r>
          </w:p>
        </w:tc>
        <w:tc>
          <w:tcPr>
            <w:tcW w:w="3360" w:type="pct"/>
            <w:tcBorders>
              <w:top w:val="nil"/>
              <w:left w:val="nil"/>
              <w:bottom w:val="single" w:sz="4" w:space="0" w:color="auto"/>
              <w:right w:val="single" w:sz="4" w:space="0" w:color="auto"/>
            </w:tcBorders>
            <w:shd w:val="clear" w:color="auto" w:fill="auto"/>
            <w:vAlign w:val="center"/>
            <w:hideMark/>
          </w:tcPr>
          <w:p w14:paraId="3F843D1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GRADIŠČE</w:t>
            </w:r>
          </w:p>
        </w:tc>
      </w:tr>
      <w:tr w:rsidR="00E3750C" w:rsidRPr="00415AB3" w14:paraId="3DD4079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728A8D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618</w:t>
            </w:r>
          </w:p>
        </w:tc>
        <w:tc>
          <w:tcPr>
            <w:tcW w:w="705" w:type="pct"/>
            <w:tcBorders>
              <w:top w:val="nil"/>
              <w:left w:val="nil"/>
              <w:bottom w:val="single" w:sz="4" w:space="0" w:color="auto"/>
              <w:right w:val="single" w:sz="4" w:space="0" w:color="auto"/>
            </w:tcBorders>
            <w:shd w:val="clear" w:color="auto" w:fill="auto"/>
            <w:noWrap/>
            <w:vAlign w:val="center"/>
            <w:hideMark/>
          </w:tcPr>
          <w:p w14:paraId="2DE2CF0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5020549000</w:t>
            </w:r>
          </w:p>
        </w:tc>
        <w:tc>
          <w:tcPr>
            <w:tcW w:w="547" w:type="pct"/>
            <w:tcBorders>
              <w:top w:val="nil"/>
              <w:left w:val="nil"/>
              <w:bottom w:val="single" w:sz="4" w:space="0" w:color="auto"/>
              <w:right w:val="single" w:sz="4" w:space="0" w:color="auto"/>
            </w:tcBorders>
            <w:shd w:val="clear" w:color="auto" w:fill="auto"/>
            <w:noWrap/>
            <w:vAlign w:val="center"/>
            <w:hideMark/>
          </w:tcPr>
          <w:p w14:paraId="712DD20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74722085</w:t>
            </w:r>
          </w:p>
        </w:tc>
        <w:tc>
          <w:tcPr>
            <w:tcW w:w="3360" w:type="pct"/>
            <w:tcBorders>
              <w:top w:val="nil"/>
              <w:left w:val="nil"/>
              <w:bottom w:val="single" w:sz="4" w:space="0" w:color="auto"/>
              <w:right w:val="single" w:sz="4" w:space="0" w:color="auto"/>
            </w:tcBorders>
            <w:shd w:val="clear" w:color="auto" w:fill="auto"/>
            <w:vAlign w:val="center"/>
            <w:hideMark/>
          </w:tcPr>
          <w:p w14:paraId="05DE579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GRGAR</w:t>
            </w:r>
          </w:p>
        </w:tc>
      </w:tr>
      <w:tr w:rsidR="00E3750C" w:rsidRPr="00415AB3" w14:paraId="782568C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A32FDE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619</w:t>
            </w:r>
          </w:p>
        </w:tc>
        <w:tc>
          <w:tcPr>
            <w:tcW w:w="705" w:type="pct"/>
            <w:tcBorders>
              <w:top w:val="nil"/>
              <w:left w:val="nil"/>
              <w:bottom w:val="single" w:sz="4" w:space="0" w:color="auto"/>
              <w:right w:val="single" w:sz="4" w:space="0" w:color="auto"/>
            </w:tcBorders>
            <w:shd w:val="clear" w:color="auto" w:fill="auto"/>
            <w:noWrap/>
            <w:vAlign w:val="center"/>
            <w:hideMark/>
          </w:tcPr>
          <w:p w14:paraId="614236B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5032156000</w:t>
            </w:r>
          </w:p>
        </w:tc>
        <w:tc>
          <w:tcPr>
            <w:tcW w:w="547" w:type="pct"/>
            <w:tcBorders>
              <w:top w:val="nil"/>
              <w:left w:val="nil"/>
              <w:bottom w:val="single" w:sz="4" w:space="0" w:color="auto"/>
              <w:right w:val="single" w:sz="4" w:space="0" w:color="auto"/>
            </w:tcBorders>
            <w:shd w:val="clear" w:color="auto" w:fill="auto"/>
            <w:noWrap/>
            <w:vAlign w:val="center"/>
            <w:hideMark/>
          </w:tcPr>
          <w:p w14:paraId="4439069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89109996</w:t>
            </w:r>
          </w:p>
        </w:tc>
        <w:tc>
          <w:tcPr>
            <w:tcW w:w="3360" w:type="pct"/>
            <w:tcBorders>
              <w:top w:val="nil"/>
              <w:left w:val="nil"/>
              <w:bottom w:val="single" w:sz="4" w:space="0" w:color="auto"/>
              <w:right w:val="single" w:sz="4" w:space="0" w:color="auto"/>
            </w:tcBorders>
            <w:shd w:val="clear" w:color="auto" w:fill="auto"/>
            <w:vAlign w:val="center"/>
            <w:hideMark/>
          </w:tcPr>
          <w:p w14:paraId="5ABF4E2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GRGARSKE RAVNE-BATE</w:t>
            </w:r>
          </w:p>
        </w:tc>
      </w:tr>
      <w:tr w:rsidR="00E3750C" w:rsidRPr="00415AB3" w14:paraId="0441C6E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E31B93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620</w:t>
            </w:r>
          </w:p>
        </w:tc>
        <w:tc>
          <w:tcPr>
            <w:tcW w:w="705" w:type="pct"/>
            <w:tcBorders>
              <w:top w:val="nil"/>
              <w:left w:val="nil"/>
              <w:bottom w:val="single" w:sz="4" w:space="0" w:color="auto"/>
              <w:right w:val="single" w:sz="4" w:space="0" w:color="auto"/>
            </w:tcBorders>
            <w:shd w:val="clear" w:color="auto" w:fill="auto"/>
            <w:noWrap/>
            <w:vAlign w:val="center"/>
            <w:hideMark/>
          </w:tcPr>
          <w:p w14:paraId="649B56D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2254891000</w:t>
            </w:r>
          </w:p>
        </w:tc>
        <w:tc>
          <w:tcPr>
            <w:tcW w:w="547" w:type="pct"/>
            <w:tcBorders>
              <w:top w:val="nil"/>
              <w:left w:val="nil"/>
              <w:bottom w:val="single" w:sz="4" w:space="0" w:color="auto"/>
              <w:right w:val="single" w:sz="4" w:space="0" w:color="auto"/>
            </w:tcBorders>
            <w:shd w:val="clear" w:color="auto" w:fill="auto"/>
            <w:noWrap/>
            <w:vAlign w:val="center"/>
            <w:hideMark/>
          </w:tcPr>
          <w:p w14:paraId="366014A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34185909</w:t>
            </w:r>
          </w:p>
        </w:tc>
        <w:tc>
          <w:tcPr>
            <w:tcW w:w="3360" w:type="pct"/>
            <w:tcBorders>
              <w:top w:val="nil"/>
              <w:left w:val="nil"/>
              <w:bottom w:val="single" w:sz="4" w:space="0" w:color="auto"/>
              <w:right w:val="single" w:sz="4" w:space="0" w:color="auto"/>
            </w:tcBorders>
            <w:shd w:val="clear" w:color="auto" w:fill="auto"/>
            <w:vAlign w:val="center"/>
            <w:hideMark/>
          </w:tcPr>
          <w:p w14:paraId="1F04551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GROBELNO</w:t>
            </w:r>
          </w:p>
        </w:tc>
      </w:tr>
      <w:tr w:rsidR="00E3750C" w:rsidRPr="00415AB3" w14:paraId="202C6D4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A773F9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621</w:t>
            </w:r>
          </w:p>
        </w:tc>
        <w:tc>
          <w:tcPr>
            <w:tcW w:w="705" w:type="pct"/>
            <w:tcBorders>
              <w:top w:val="nil"/>
              <w:left w:val="nil"/>
              <w:bottom w:val="single" w:sz="4" w:space="0" w:color="auto"/>
              <w:right w:val="single" w:sz="4" w:space="0" w:color="auto"/>
            </w:tcBorders>
            <w:shd w:val="clear" w:color="auto" w:fill="auto"/>
            <w:noWrap/>
            <w:vAlign w:val="center"/>
            <w:hideMark/>
          </w:tcPr>
          <w:p w14:paraId="7BCF50E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5019974000</w:t>
            </w:r>
          </w:p>
        </w:tc>
        <w:tc>
          <w:tcPr>
            <w:tcW w:w="547" w:type="pct"/>
            <w:tcBorders>
              <w:top w:val="nil"/>
              <w:left w:val="nil"/>
              <w:bottom w:val="single" w:sz="4" w:space="0" w:color="auto"/>
              <w:right w:val="single" w:sz="4" w:space="0" w:color="auto"/>
            </w:tcBorders>
            <w:shd w:val="clear" w:color="auto" w:fill="auto"/>
            <w:noWrap/>
            <w:vAlign w:val="center"/>
            <w:hideMark/>
          </w:tcPr>
          <w:p w14:paraId="5B5EBD7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29608775</w:t>
            </w:r>
          </w:p>
        </w:tc>
        <w:tc>
          <w:tcPr>
            <w:tcW w:w="3360" w:type="pct"/>
            <w:tcBorders>
              <w:top w:val="nil"/>
              <w:left w:val="nil"/>
              <w:bottom w:val="single" w:sz="4" w:space="0" w:color="auto"/>
              <w:right w:val="single" w:sz="4" w:space="0" w:color="auto"/>
            </w:tcBorders>
            <w:shd w:val="clear" w:color="auto" w:fill="auto"/>
            <w:vAlign w:val="center"/>
            <w:hideMark/>
          </w:tcPr>
          <w:p w14:paraId="5C96CC6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HRVATINI</w:t>
            </w:r>
          </w:p>
        </w:tc>
      </w:tr>
      <w:tr w:rsidR="00E3750C" w:rsidRPr="00415AB3" w14:paraId="186C221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368F8C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622</w:t>
            </w:r>
          </w:p>
        </w:tc>
        <w:tc>
          <w:tcPr>
            <w:tcW w:w="705" w:type="pct"/>
            <w:tcBorders>
              <w:top w:val="nil"/>
              <w:left w:val="nil"/>
              <w:bottom w:val="single" w:sz="4" w:space="0" w:color="auto"/>
              <w:right w:val="single" w:sz="4" w:space="0" w:color="auto"/>
            </w:tcBorders>
            <w:shd w:val="clear" w:color="auto" w:fill="auto"/>
            <w:noWrap/>
            <w:vAlign w:val="center"/>
            <w:hideMark/>
          </w:tcPr>
          <w:p w14:paraId="4D1E09F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5020697000</w:t>
            </w:r>
          </w:p>
        </w:tc>
        <w:tc>
          <w:tcPr>
            <w:tcW w:w="547" w:type="pct"/>
            <w:tcBorders>
              <w:top w:val="nil"/>
              <w:left w:val="nil"/>
              <w:bottom w:val="single" w:sz="4" w:space="0" w:color="auto"/>
              <w:right w:val="single" w:sz="4" w:space="0" w:color="auto"/>
            </w:tcBorders>
            <w:shd w:val="clear" w:color="auto" w:fill="auto"/>
            <w:noWrap/>
            <w:vAlign w:val="center"/>
            <w:hideMark/>
          </w:tcPr>
          <w:p w14:paraId="14724B9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87735750</w:t>
            </w:r>
          </w:p>
        </w:tc>
        <w:tc>
          <w:tcPr>
            <w:tcW w:w="3360" w:type="pct"/>
            <w:tcBorders>
              <w:top w:val="nil"/>
              <w:left w:val="nil"/>
              <w:bottom w:val="single" w:sz="4" w:space="0" w:color="auto"/>
              <w:right w:val="single" w:sz="4" w:space="0" w:color="auto"/>
            </w:tcBorders>
            <w:shd w:val="clear" w:color="auto" w:fill="auto"/>
            <w:vAlign w:val="center"/>
            <w:hideMark/>
          </w:tcPr>
          <w:p w14:paraId="7FCA8C0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IVANJKOVCI</w:t>
            </w:r>
          </w:p>
        </w:tc>
      </w:tr>
      <w:tr w:rsidR="00E3750C" w:rsidRPr="00415AB3" w14:paraId="693D841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764DC4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623</w:t>
            </w:r>
          </w:p>
        </w:tc>
        <w:tc>
          <w:tcPr>
            <w:tcW w:w="705" w:type="pct"/>
            <w:tcBorders>
              <w:top w:val="nil"/>
              <w:left w:val="nil"/>
              <w:bottom w:val="single" w:sz="4" w:space="0" w:color="auto"/>
              <w:right w:val="single" w:sz="4" w:space="0" w:color="auto"/>
            </w:tcBorders>
            <w:shd w:val="clear" w:color="auto" w:fill="auto"/>
            <w:noWrap/>
            <w:vAlign w:val="center"/>
            <w:hideMark/>
          </w:tcPr>
          <w:p w14:paraId="4364007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5028655000</w:t>
            </w:r>
          </w:p>
        </w:tc>
        <w:tc>
          <w:tcPr>
            <w:tcW w:w="547" w:type="pct"/>
            <w:tcBorders>
              <w:top w:val="nil"/>
              <w:left w:val="nil"/>
              <w:bottom w:val="single" w:sz="4" w:space="0" w:color="auto"/>
              <w:right w:val="single" w:sz="4" w:space="0" w:color="auto"/>
            </w:tcBorders>
            <w:shd w:val="clear" w:color="auto" w:fill="auto"/>
            <w:noWrap/>
            <w:vAlign w:val="center"/>
            <w:hideMark/>
          </w:tcPr>
          <w:p w14:paraId="6E72993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60720212</w:t>
            </w:r>
          </w:p>
        </w:tc>
        <w:tc>
          <w:tcPr>
            <w:tcW w:w="3360" w:type="pct"/>
            <w:tcBorders>
              <w:top w:val="nil"/>
              <w:left w:val="nil"/>
              <w:bottom w:val="single" w:sz="4" w:space="0" w:color="auto"/>
              <w:right w:val="single" w:sz="4" w:space="0" w:color="auto"/>
            </w:tcBorders>
            <w:shd w:val="clear" w:color="auto" w:fill="auto"/>
            <w:vAlign w:val="center"/>
            <w:hideMark/>
          </w:tcPr>
          <w:p w14:paraId="3D6BBCF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JESENICE NA DOLENJSKEM</w:t>
            </w:r>
          </w:p>
        </w:tc>
      </w:tr>
      <w:tr w:rsidR="00E3750C" w:rsidRPr="00415AB3" w14:paraId="1990CA0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800FB7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624</w:t>
            </w:r>
          </w:p>
        </w:tc>
        <w:tc>
          <w:tcPr>
            <w:tcW w:w="705" w:type="pct"/>
            <w:tcBorders>
              <w:top w:val="nil"/>
              <w:left w:val="nil"/>
              <w:bottom w:val="single" w:sz="4" w:space="0" w:color="auto"/>
              <w:right w:val="single" w:sz="4" w:space="0" w:color="auto"/>
            </w:tcBorders>
            <w:shd w:val="clear" w:color="auto" w:fill="auto"/>
            <w:noWrap/>
            <w:vAlign w:val="center"/>
            <w:hideMark/>
          </w:tcPr>
          <w:p w14:paraId="58BCA66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5030323000</w:t>
            </w:r>
          </w:p>
        </w:tc>
        <w:tc>
          <w:tcPr>
            <w:tcW w:w="547" w:type="pct"/>
            <w:tcBorders>
              <w:top w:val="nil"/>
              <w:left w:val="nil"/>
              <w:bottom w:val="single" w:sz="4" w:space="0" w:color="auto"/>
              <w:right w:val="single" w:sz="4" w:space="0" w:color="auto"/>
            </w:tcBorders>
            <w:shd w:val="clear" w:color="auto" w:fill="auto"/>
            <w:noWrap/>
            <w:vAlign w:val="center"/>
            <w:hideMark/>
          </w:tcPr>
          <w:p w14:paraId="5849907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23554282</w:t>
            </w:r>
          </w:p>
        </w:tc>
        <w:tc>
          <w:tcPr>
            <w:tcW w:w="3360" w:type="pct"/>
            <w:tcBorders>
              <w:top w:val="nil"/>
              <w:left w:val="nil"/>
              <w:bottom w:val="single" w:sz="4" w:space="0" w:color="auto"/>
              <w:right w:val="single" w:sz="4" w:space="0" w:color="auto"/>
            </w:tcBorders>
            <w:shd w:val="clear" w:color="auto" w:fill="auto"/>
            <w:vAlign w:val="center"/>
            <w:hideMark/>
          </w:tcPr>
          <w:p w14:paraId="1938228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JOŠT</w:t>
            </w:r>
          </w:p>
        </w:tc>
      </w:tr>
      <w:tr w:rsidR="00E3750C" w:rsidRPr="00415AB3" w14:paraId="673A9A0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2A3C24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625</w:t>
            </w:r>
          </w:p>
        </w:tc>
        <w:tc>
          <w:tcPr>
            <w:tcW w:w="705" w:type="pct"/>
            <w:tcBorders>
              <w:top w:val="nil"/>
              <w:left w:val="nil"/>
              <w:bottom w:val="single" w:sz="4" w:space="0" w:color="auto"/>
              <w:right w:val="single" w:sz="4" w:space="0" w:color="auto"/>
            </w:tcBorders>
            <w:shd w:val="clear" w:color="auto" w:fill="auto"/>
            <w:noWrap/>
            <w:vAlign w:val="center"/>
            <w:hideMark/>
          </w:tcPr>
          <w:p w14:paraId="3F6176D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5020948000</w:t>
            </w:r>
          </w:p>
        </w:tc>
        <w:tc>
          <w:tcPr>
            <w:tcW w:w="547" w:type="pct"/>
            <w:tcBorders>
              <w:top w:val="nil"/>
              <w:left w:val="nil"/>
              <w:bottom w:val="single" w:sz="4" w:space="0" w:color="auto"/>
              <w:right w:val="single" w:sz="4" w:space="0" w:color="auto"/>
            </w:tcBorders>
            <w:shd w:val="clear" w:color="auto" w:fill="auto"/>
            <w:noWrap/>
            <w:vAlign w:val="center"/>
            <w:hideMark/>
          </w:tcPr>
          <w:p w14:paraId="1919B7E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96646691</w:t>
            </w:r>
          </w:p>
        </w:tc>
        <w:tc>
          <w:tcPr>
            <w:tcW w:w="3360" w:type="pct"/>
            <w:tcBorders>
              <w:top w:val="nil"/>
              <w:left w:val="nil"/>
              <w:bottom w:val="single" w:sz="4" w:space="0" w:color="auto"/>
              <w:right w:val="single" w:sz="4" w:space="0" w:color="auto"/>
            </w:tcBorders>
            <w:shd w:val="clear" w:color="auto" w:fill="auto"/>
            <w:vAlign w:val="center"/>
            <w:hideMark/>
          </w:tcPr>
          <w:p w14:paraId="0AB1EF6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KALOBJE</w:t>
            </w:r>
          </w:p>
        </w:tc>
      </w:tr>
      <w:tr w:rsidR="00E3750C" w:rsidRPr="00415AB3" w14:paraId="6875660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E35288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626</w:t>
            </w:r>
          </w:p>
        </w:tc>
        <w:tc>
          <w:tcPr>
            <w:tcW w:w="705" w:type="pct"/>
            <w:tcBorders>
              <w:top w:val="nil"/>
              <w:left w:val="nil"/>
              <w:bottom w:val="single" w:sz="4" w:space="0" w:color="auto"/>
              <w:right w:val="single" w:sz="4" w:space="0" w:color="auto"/>
            </w:tcBorders>
            <w:shd w:val="clear" w:color="auto" w:fill="auto"/>
            <w:noWrap/>
            <w:vAlign w:val="center"/>
            <w:hideMark/>
          </w:tcPr>
          <w:p w14:paraId="685FF51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5028027000</w:t>
            </w:r>
          </w:p>
        </w:tc>
        <w:tc>
          <w:tcPr>
            <w:tcW w:w="547" w:type="pct"/>
            <w:tcBorders>
              <w:top w:val="nil"/>
              <w:left w:val="nil"/>
              <w:bottom w:val="single" w:sz="4" w:space="0" w:color="auto"/>
              <w:right w:val="single" w:sz="4" w:space="0" w:color="auto"/>
            </w:tcBorders>
            <w:shd w:val="clear" w:color="auto" w:fill="auto"/>
            <w:noWrap/>
            <w:vAlign w:val="center"/>
            <w:hideMark/>
          </w:tcPr>
          <w:p w14:paraId="444B5D5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64560422</w:t>
            </w:r>
          </w:p>
        </w:tc>
        <w:tc>
          <w:tcPr>
            <w:tcW w:w="3360" w:type="pct"/>
            <w:tcBorders>
              <w:top w:val="nil"/>
              <w:left w:val="nil"/>
              <w:bottom w:val="single" w:sz="4" w:space="0" w:color="auto"/>
              <w:right w:val="single" w:sz="4" w:space="0" w:color="auto"/>
            </w:tcBorders>
            <w:shd w:val="clear" w:color="auto" w:fill="auto"/>
            <w:vAlign w:val="center"/>
            <w:hideMark/>
          </w:tcPr>
          <w:p w14:paraId="1A48732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KAMNJE-POTOČE</w:t>
            </w:r>
          </w:p>
        </w:tc>
      </w:tr>
      <w:tr w:rsidR="00E3750C" w:rsidRPr="00415AB3" w14:paraId="5986B34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AD7AE0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627</w:t>
            </w:r>
          </w:p>
        </w:tc>
        <w:tc>
          <w:tcPr>
            <w:tcW w:w="705" w:type="pct"/>
            <w:tcBorders>
              <w:top w:val="nil"/>
              <w:left w:val="nil"/>
              <w:bottom w:val="single" w:sz="4" w:space="0" w:color="auto"/>
              <w:right w:val="single" w:sz="4" w:space="0" w:color="auto"/>
            </w:tcBorders>
            <w:shd w:val="clear" w:color="auto" w:fill="auto"/>
            <w:noWrap/>
            <w:vAlign w:val="center"/>
            <w:hideMark/>
          </w:tcPr>
          <w:p w14:paraId="3F3BFEB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5062527000</w:t>
            </w:r>
          </w:p>
        </w:tc>
        <w:tc>
          <w:tcPr>
            <w:tcW w:w="547" w:type="pct"/>
            <w:tcBorders>
              <w:top w:val="nil"/>
              <w:left w:val="nil"/>
              <w:bottom w:val="single" w:sz="4" w:space="0" w:color="auto"/>
              <w:right w:val="single" w:sz="4" w:space="0" w:color="auto"/>
            </w:tcBorders>
            <w:shd w:val="clear" w:color="auto" w:fill="auto"/>
            <w:noWrap/>
            <w:vAlign w:val="center"/>
            <w:hideMark/>
          </w:tcPr>
          <w:p w14:paraId="7BA7608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93324120</w:t>
            </w:r>
          </w:p>
        </w:tc>
        <w:tc>
          <w:tcPr>
            <w:tcW w:w="3360" w:type="pct"/>
            <w:tcBorders>
              <w:top w:val="nil"/>
              <w:left w:val="nil"/>
              <w:bottom w:val="single" w:sz="4" w:space="0" w:color="auto"/>
              <w:right w:val="single" w:sz="4" w:space="0" w:color="auto"/>
            </w:tcBorders>
            <w:shd w:val="clear" w:color="auto" w:fill="auto"/>
            <w:vAlign w:val="center"/>
            <w:hideMark/>
          </w:tcPr>
          <w:p w14:paraId="5F3042F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KANDIJA-GRM NOVO MESTO</w:t>
            </w:r>
          </w:p>
        </w:tc>
      </w:tr>
      <w:tr w:rsidR="00E3750C" w:rsidRPr="00415AB3" w14:paraId="530608E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F97D28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628</w:t>
            </w:r>
          </w:p>
        </w:tc>
        <w:tc>
          <w:tcPr>
            <w:tcW w:w="705" w:type="pct"/>
            <w:tcBorders>
              <w:top w:val="nil"/>
              <w:left w:val="nil"/>
              <w:bottom w:val="single" w:sz="4" w:space="0" w:color="auto"/>
              <w:right w:val="single" w:sz="4" w:space="0" w:color="auto"/>
            </w:tcBorders>
            <w:shd w:val="clear" w:color="auto" w:fill="auto"/>
            <w:noWrap/>
            <w:vAlign w:val="center"/>
            <w:hideMark/>
          </w:tcPr>
          <w:p w14:paraId="1E745FE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5029309000</w:t>
            </w:r>
          </w:p>
        </w:tc>
        <w:tc>
          <w:tcPr>
            <w:tcW w:w="547" w:type="pct"/>
            <w:tcBorders>
              <w:top w:val="nil"/>
              <w:left w:val="nil"/>
              <w:bottom w:val="single" w:sz="4" w:space="0" w:color="auto"/>
              <w:right w:val="single" w:sz="4" w:space="0" w:color="auto"/>
            </w:tcBorders>
            <w:shd w:val="clear" w:color="auto" w:fill="auto"/>
            <w:noWrap/>
            <w:vAlign w:val="center"/>
            <w:hideMark/>
          </w:tcPr>
          <w:p w14:paraId="719113F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46446451</w:t>
            </w:r>
          </w:p>
        </w:tc>
        <w:tc>
          <w:tcPr>
            <w:tcW w:w="3360" w:type="pct"/>
            <w:tcBorders>
              <w:top w:val="nil"/>
              <w:left w:val="nil"/>
              <w:bottom w:val="single" w:sz="4" w:space="0" w:color="auto"/>
              <w:right w:val="single" w:sz="4" w:space="0" w:color="auto"/>
            </w:tcBorders>
            <w:shd w:val="clear" w:color="auto" w:fill="auto"/>
            <w:vAlign w:val="center"/>
            <w:hideMark/>
          </w:tcPr>
          <w:p w14:paraId="65B7B0C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KAPELE</w:t>
            </w:r>
          </w:p>
        </w:tc>
      </w:tr>
      <w:tr w:rsidR="00E3750C" w:rsidRPr="00415AB3" w14:paraId="3D55F4A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9915A3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629</w:t>
            </w:r>
          </w:p>
        </w:tc>
        <w:tc>
          <w:tcPr>
            <w:tcW w:w="705" w:type="pct"/>
            <w:tcBorders>
              <w:top w:val="nil"/>
              <w:left w:val="nil"/>
              <w:bottom w:val="single" w:sz="4" w:space="0" w:color="auto"/>
              <w:right w:val="single" w:sz="4" w:space="0" w:color="auto"/>
            </w:tcBorders>
            <w:shd w:val="clear" w:color="auto" w:fill="auto"/>
            <w:noWrap/>
            <w:vAlign w:val="center"/>
            <w:hideMark/>
          </w:tcPr>
          <w:p w14:paraId="483FD6D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5020883000</w:t>
            </w:r>
          </w:p>
        </w:tc>
        <w:tc>
          <w:tcPr>
            <w:tcW w:w="547" w:type="pct"/>
            <w:tcBorders>
              <w:top w:val="nil"/>
              <w:left w:val="nil"/>
              <w:bottom w:val="single" w:sz="4" w:space="0" w:color="auto"/>
              <w:right w:val="single" w:sz="4" w:space="0" w:color="auto"/>
            </w:tcBorders>
            <w:shd w:val="clear" w:color="auto" w:fill="auto"/>
            <w:noWrap/>
            <w:vAlign w:val="center"/>
            <w:hideMark/>
          </w:tcPr>
          <w:p w14:paraId="5420BEA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60915331</w:t>
            </w:r>
          </w:p>
        </w:tc>
        <w:tc>
          <w:tcPr>
            <w:tcW w:w="3360" w:type="pct"/>
            <w:tcBorders>
              <w:top w:val="nil"/>
              <w:left w:val="nil"/>
              <w:bottom w:val="single" w:sz="4" w:space="0" w:color="auto"/>
              <w:right w:val="single" w:sz="4" w:space="0" w:color="auto"/>
            </w:tcBorders>
            <w:shd w:val="clear" w:color="auto" w:fill="auto"/>
            <w:vAlign w:val="center"/>
            <w:hideMark/>
          </w:tcPr>
          <w:p w14:paraId="0740003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KEBELJ</w:t>
            </w:r>
          </w:p>
        </w:tc>
      </w:tr>
      <w:tr w:rsidR="00E3750C" w:rsidRPr="00415AB3" w14:paraId="16916FD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596C7D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630</w:t>
            </w:r>
          </w:p>
        </w:tc>
        <w:tc>
          <w:tcPr>
            <w:tcW w:w="705" w:type="pct"/>
            <w:tcBorders>
              <w:top w:val="nil"/>
              <w:left w:val="nil"/>
              <w:bottom w:val="single" w:sz="4" w:space="0" w:color="auto"/>
              <w:right w:val="single" w:sz="4" w:space="0" w:color="auto"/>
            </w:tcBorders>
            <w:shd w:val="clear" w:color="auto" w:fill="auto"/>
            <w:noWrap/>
            <w:vAlign w:val="center"/>
            <w:hideMark/>
          </w:tcPr>
          <w:p w14:paraId="247D468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5021677000</w:t>
            </w:r>
          </w:p>
        </w:tc>
        <w:tc>
          <w:tcPr>
            <w:tcW w:w="547" w:type="pct"/>
            <w:tcBorders>
              <w:top w:val="nil"/>
              <w:left w:val="nil"/>
              <w:bottom w:val="single" w:sz="4" w:space="0" w:color="auto"/>
              <w:right w:val="single" w:sz="4" w:space="0" w:color="auto"/>
            </w:tcBorders>
            <w:shd w:val="clear" w:color="auto" w:fill="auto"/>
            <w:noWrap/>
            <w:vAlign w:val="center"/>
            <w:hideMark/>
          </w:tcPr>
          <w:p w14:paraId="7508084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61866512</w:t>
            </w:r>
          </w:p>
        </w:tc>
        <w:tc>
          <w:tcPr>
            <w:tcW w:w="3360" w:type="pct"/>
            <w:tcBorders>
              <w:top w:val="nil"/>
              <w:left w:val="nil"/>
              <w:bottom w:val="single" w:sz="4" w:space="0" w:color="auto"/>
              <w:right w:val="single" w:sz="4" w:space="0" w:color="auto"/>
            </w:tcBorders>
            <w:shd w:val="clear" w:color="auto" w:fill="auto"/>
            <w:vAlign w:val="center"/>
            <w:hideMark/>
          </w:tcPr>
          <w:p w14:paraId="5031839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KOG</w:t>
            </w:r>
          </w:p>
        </w:tc>
      </w:tr>
      <w:tr w:rsidR="00E3750C" w:rsidRPr="00415AB3" w14:paraId="61BC88F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47CC2A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631</w:t>
            </w:r>
          </w:p>
        </w:tc>
        <w:tc>
          <w:tcPr>
            <w:tcW w:w="705" w:type="pct"/>
            <w:tcBorders>
              <w:top w:val="nil"/>
              <w:left w:val="nil"/>
              <w:bottom w:val="single" w:sz="4" w:space="0" w:color="auto"/>
              <w:right w:val="single" w:sz="4" w:space="0" w:color="auto"/>
            </w:tcBorders>
            <w:shd w:val="clear" w:color="auto" w:fill="auto"/>
            <w:noWrap/>
            <w:vAlign w:val="center"/>
            <w:hideMark/>
          </w:tcPr>
          <w:p w14:paraId="214567C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5017238000</w:t>
            </w:r>
          </w:p>
        </w:tc>
        <w:tc>
          <w:tcPr>
            <w:tcW w:w="547" w:type="pct"/>
            <w:tcBorders>
              <w:top w:val="nil"/>
              <w:left w:val="nil"/>
              <w:bottom w:val="single" w:sz="4" w:space="0" w:color="auto"/>
              <w:right w:val="single" w:sz="4" w:space="0" w:color="auto"/>
            </w:tcBorders>
            <w:shd w:val="clear" w:color="auto" w:fill="auto"/>
            <w:noWrap/>
            <w:vAlign w:val="center"/>
            <w:hideMark/>
          </w:tcPr>
          <w:p w14:paraId="7EABEE1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39579492</w:t>
            </w:r>
          </w:p>
        </w:tc>
        <w:tc>
          <w:tcPr>
            <w:tcW w:w="3360" w:type="pct"/>
            <w:tcBorders>
              <w:top w:val="nil"/>
              <w:left w:val="nil"/>
              <w:bottom w:val="single" w:sz="4" w:space="0" w:color="auto"/>
              <w:right w:val="single" w:sz="4" w:space="0" w:color="auto"/>
            </w:tcBorders>
            <w:shd w:val="clear" w:color="auto" w:fill="auto"/>
            <w:vAlign w:val="center"/>
            <w:hideMark/>
          </w:tcPr>
          <w:p w14:paraId="24DA31F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KOKRICA</w:t>
            </w:r>
          </w:p>
        </w:tc>
      </w:tr>
      <w:tr w:rsidR="00E3750C" w:rsidRPr="00415AB3" w14:paraId="0C2FC87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8DEF4E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632</w:t>
            </w:r>
          </w:p>
        </w:tc>
        <w:tc>
          <w:tcPr>
            <w:tcW w:w="705" w:type="pct"/>
            <w:tcBorders>
              <w:top w:val="nil"/>
              <w:left w:val="nil"/>
              <w:bottom w:val="single" w:sz="4" w:space="0" w:color="auto"/>
              <w:right w:val="single" w:sz="4" w:space="0" w:color="auto"/>
            </w:tcBorders>
            <w:shd w:val="clear" w:color="auto" w:fill="auto"/>
            <w:noWrap/>
            <w:vAlign w:val="center"/>
            <w:hideMark/>
          </w:tcPr>
          <w:p w14:paraId="3C64EEF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5018978000</w:t>
            </w:r>
          </w:p>
        </w:tc>
        <w:tc>
          <w:tcPr>
            <w:tcW w:w="547" w:type="pct"/>
            <w:tcBorders>
              <w:top w:val="nil"/>
              <w:left w:val="nil"/>
              <w:bottom w:val="single" w:sz="4" w:space="0" w:color="auto"/>
              <w:right w:val="single" w:sz="4" w:space="0" w:color="auto"/>
            </w:tcBorders>
            <w:shd w:val="clear" w:color="auto" w:fill="auto"/>
            <w:noWrap/>
            <w:vAlign w:val="center"/>
            <w:hideMark/>
          </w:tcPr>
          <w:p w14:paraId="07317A4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41179994</w:t>
            </w:r>
          </w:p>
        </w:tc>
        <w:tc>
          <w:tcPr>
            <w:tcW w:w="3360" w:type="pct"/>
            <w:tcBorders>
              <w:top w:val="nil"/>
              <w:left w:val="nil"/>
              <w:bottom w:val="single" w:sz="4" w:space="0" w:color="auto"/>
              <w:right w:val="single" w:sz="4" w:space="0" w:color="auto"/>
            </w:tcBorders>
            <w:shd w:val="clear" w:color="auto" w:fill="auto"/>
            <w:vAlign w:val="center"/>
            <w:hideMark/>
          </w:tcPr>
          <w:p w14:paraId="102C3D1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KONJIŠKA VAS</w:t>
            </w:r>
          </w:p>
        </w:tc>
      </w:tr>
      <w:tr w:rsidR="00E3750C" w:rsidRPr="00415AB3" w14:paraId="3584C0F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02B1AE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633</w:t>
            </w:r>
          </w:p>
        </w:tc>
        <w:tc>
          <w:tcPr>
            <w:tcW w:w="705" w:type="pct"/>
            <w:tcBorders>
              <w:top w:val="nil"/>
              <w:left w:val="nil"/>
              <w:bottom w:val="single" w:sz="4" w:space="0" w:color="auto"/>
              <w:right w:val="single" w:sz="4" w:space="0" w:color="auto"/>
            </w:tcBorders>
            <w:shd w:val="clear" w:color="auto" w:fill="auto"/>
            <w:noWrap/>
            <w:vAlign w:val="center"/>
            <w:hideMark/>
          </w:tcPr>
          <w:p w14:paraId="30B50D2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5031575000</w:t>
            </w:r>
          </w:p>
        </w:tc>
        <w:tc>
          <w:tcPr>
            <w:tcW w:w="547" w:type="pct"/>
            <w:tcBorders>
              <w:top w:val="nil"/>
              <w:left w:val="nil"/>
              <w:bottom w:val="single" w:sz="4" w:space="0" w:color="auto"/>
              <w:right w:val="single" w:sz="4" w:space="0" w:color="auto"/>
            </w:tcBorders>
            <w:shd w:val="clear" w:color="auto" w:fill="auto"/>
            <w:noWrap/>
            <w:vAlign w:val="center"/>
            <w:hideMark/>
          </w:tcPr>
          <w:p w14:paraId="2CC6723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36671070</w:t>
            </w:r>
          </w:p>
        </w:tc>
        <w:tc>
          <w:tcPr>
            <w:tcW w:w="3360" w:type="pct"/>
            <w:tcBorders>
              <w:top w:val="nil"/>
              <w:left w:val="nil"/>
              <w:bottom w:val="single" w:sz="4" w:space="0" w:color="auto"/>
              <w:right w:val="single" w:sz="4" w:space="0" w:color="auto"/>
            </w:tcBorders>
            <w:shd w:val="clear" w:color="auto" w:fill="auto"/>
            <w:vAlign w:val="center"/>
            <w:hideMark/>
          </w:tcPr>
          <w:p w14:paraId="5417F0F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KOPER-CENTER</w:t>
            </w:r>
          </w:p>
        </w:tc>
      </w:tr>
      <w:tr w:rsidR="00E3750C" w:rsidRPr="00415AB3" w14:paraId="3A1D6B4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0EAF61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634</w:t>
            </w:r>
          </w:p>
        </w:tc>
        <w:tc>
          <w:tcPr>
            <w:tcW w:w="705" w:type="pct"/>
            <w:tcBorders>
              <w:top w:val="nil"/>
              <w:left w:val="nil"/>
              <w:bottom w:val="single" w:sz="4" w:space="0" w:color="auto"/>
              <w:right w:val="single" w:sz="4" w:space="0" w:color="auto"/>
            </w:tcBorders>
            <w:shd w:val="clear" w:color="auto" w:fill="auto"/>
            <w:noWrap/>
            <w:vAlign w:val="center"/>
            <w:hideMark/>
          </w:tcPr>
          <w:p w14:paraId="10F03CC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5028531000</w:t>
            </w:r>
          </w:p>
        </w:tc>
        <w:tc>
          <w:tcPr>
            <w:tcW w:w="547" w:type="pct"/>
            <w:tcBorders>
              <w:top w:val="nil"/>
              <w:left w:val="nil"/>
              <w:bottom w:val="single" w:sz="4" w:space="0" w:color="auto"/>
              <w:right w:val="single" w:sz="4" w:space="0" w:color="auto"/>
            </w:tcBorders>
            <w:shd w:val="clear" w:color="auto" w:fill="auto"/>
            <w:noWrap/>
            <w:vAlign w:val="center"/>
            <w:hideMark/>
          </w:tcPr>
          <w:p w14:paraId="6B5794D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65518888</w:t>
            </w:r>
          </w:p>
        </w:tc>
        <w:tc>
          <w:tcPr>
            <w:tcW w:w="3360" w:type="pct"/>
            <w:tcBorders>
              <w:top w:val="nil"/>
              <w:left w:val="nil"/>
              <w:bottom w:val="single" w:sz="4" w:space="0" w:color="auto"/>
              <w:right w:val="single" w:sz="4" w:space="0" w:color="auto"/>
            </w:tcBorders>
            <w:shd w:val="clear" w:color="auto" w:fill="auto"/>
            <w:vAlign w:val="center"/>
            <w:hideMark/>
          </w:tcPr>
          <w:p w14:paraId="19F72A4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KOPER-SEMEDELA</w:t>
            </w:r>
          </w:p>
        </w:tc>
      </w:tr>
      <w:tr w:rsidR="00E3750C" w:rsidRPr="00415AB3" w14:paraId="73F30D5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5A8CD2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635</w:t>
            </w:r>
          </w:p>
        </w:tc>
        <w:tc>
          <w:tcPr>
            <w:tcW w:w="705" w:type="pct"/>
            <w:tcBorders>
              <w:top w:val="nil"/>
              <w:left w:val="nil"/>
              <w:bottom w:val="single" w:sz="4" w:space="0" w:color="auto"/>
              <w:right w:val="single" w:sz="4" w:space="0" w:color="auto"/>
            </w:tcBorders>
            <w:shd w:val="clear" w:color="auto" w:fill="auto"/>
            <w:noWrap/>
            <w:vAlign w:val="center"/>
            <w:hideMark/>
          </w:tcPr>
          <w:p w14:paraId="07D2DC3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5250099000</w:t>
            </w:r>
          </w:p>
        </w:tc>
        <w:tc>
          <w:tcPr>
            <w:tcW w:w="547" w:type="pct"/>
            <w:tcBorders>
              <w:top w:val="nil"/>
              <w:left w:val="nil"/>
              <w:bottom w:val="single" w:sz="4" w:space="0" w:color="auto"/>
              <w:right w:val="single" w:sz="4" w:space="0" w:color="auto"/>
            </w:tcBorders>
            <w:shd w:val="clear" w:color="auto" w:fill="auto"/>
            <w:noWrap/>
            <w:vAlign w:val="center"/>
            <w:hideMark/>
          </w:tcPr>
          <w:p w14:paraId="3F55C57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46094091</w:t>
            </w:r>
          </w:p>
        </w:tc>
        <w:tc>
          <w:tcPr>
            <w:tcW w:w="3360" w:type="pct"/>
            <w:tcBorders>
              <w:top w:val="nil"/>
              <w:left w:val="nil"/>
              <w:bottom w:val="single" w:sz="4" w:space="0" w:color="auto"/>
              <w:right w:val="single" w:sz="4" w:space="0" w:color="auto"/>
            </w:tcBorders>
            <w:shd w:val="clear" w:color="auto" w:fill="auto"/>
            <w:vAlign w:val="center"/>
            <w:hideMark/>
          </w:tcPr>
          <w:p w14:paraId="5884A67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KOPER-ZA GRADOM</w:t>
            </w:r>
          </w:p>
        </w:tc>
      </w:tr>
      <w:tr w:rsidR="00E3750C" w:rsidRPr="00415AB3" w14:paraId="1D607D9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E53312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636</w:t>
            </w:r>
          </w:p>
        </w:tc>
        <w:tc>
          <w:tcPr>
            <w:tcW w:w="705" w:type="pct"/>
            <w:tcBorders>
              <w:top w:val="nil"/>
              <w:left w:val="nil"/>
              <w:bottom w:val="single" w:sz="4" w:space="0" w:color="auto"/>
              <w:right w:val="single" w:sz="4" w:space="0" w:color="auto"/>
            </w:tcBorders>
            <w:shd w:val="clear" w:color="auto" w:fill="auto"/>
            <w:noWrap/>
            <w:vAlign w:val="center"/>
            <w:hideMark/>
          </w:tcPr>
          <w:p w14:paraId="68914C5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5027055000</w:t>
            </w:r>
          </w:p>
        </w:tc>
        <w:tc>
          <w:tcPr>
            <w:tcW w:w="547" w:type="pct"/>
            <w:tcBorders>
              <w:top w:val="nil"/>
              <w:left w:val="nil"/>
              <w:bottom w:val="single" w:sz="4" w:space="0" w:color="auto"/>
              <w:right w:val="single" w:sz="4" w:space="0" w:color="auto"/>
            </w:tcBorders>
            <w:shd w:val="clear" w:color="auto" w:fill="auto"/>
            <w:noWrap/>
            <w:vAlign w:val="center"/>
            <w:hideMark/>
          </w:tcPr>
          <w:p w14:paraId="292B18D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77308093</w:t>
            </w:r>
          </w:p>
        </w:tc>
        <w:tc>
          <w:tcPr>
            <w:tcW w:w="3360" w:type="pct"/>
            <w:tcBorders>
              <w:top w:val="nil"/>
              <w:left w:val="nil"/>
              <w:bottom w:val="single" w:sz="4" w:space="0" w:color="auto"/>
              <w:right w:val="single" w:sz="4" w:space="0" w:color="auto"/>
            </w:tcBorders>
            <w:shd w:val="clear" w:color="auto" w:fill="auto"/>
            <w:vAlign w:val="center"/>
            <w:hideMark/>
          </w:tcPr>
          <w:p w14:paraId="7564215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KOPRIVNICA</w:t>
            </w:r>
          </w:p>
        </w:tc>
      </w:tr>
      <w:tr w:rsidR="00E3750C" w:rsidRPr="00415AB3" w14:paraId="0518855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9BE17E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637</w:t>
            </w:r>
          </w:p>
        </w:tc>
        <w:tc>
          <w:tcPr>
            <w:tcW w:w="705" w:type="pct"/>
            <w:tcBorders>
              <w:top w:val="nil"/>
              <w:left w:val="nil"/>
              <w:bottom w:val="single" w:sz="4" w:space="0" w:color="auto"/>
              <w:right w:val="single" w:sz="4" w:space="0" w:color="auto"/>
            </w:tcBorders>
            <w:shd w:val="clear" w:color="auto" w:fill="auto"/>
            <w:noWrap/>
            <w:vAlign w:val="center"/>
            <w:hideMark/>
          </w:tcPr>
          <w:p w14:paraId="2CA7551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5021839000</w:t>
            </w:r>
          </w:p>
        </w:tc>
        <w:tc>
          <w:tcPr>
            <w:tcW w:w="547" w:type="pct"/>
            <w:tcBorders>
              <w:top w:val="nil"/>
              <w:left w:val="nil"/>
              <w:bottom w:val="single" w:sz="4" w:space="0" w:color="auto"/>
              <w:right w:val="single" w:sz="4" w:space="0" w:color="auto"/>
            </w:tcBorders>
            <w:shd w:val="clear" w:color="auto" w:fill="auto"/>
            <w:noWrap/>
            <w:vAlign w:val="center"/>
            <w:hideMark/>
          </w:tcPr>
          <w:p w14:paraId="2A78A70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74934163</w:t>
            </w:r>
          </w:p>
        </w:tc>
        <w:tc>
          <w:tcPr>
            <w:tcW w:w="3360" w:type="pct"/>
            <w:tcBorders>
              <w:top w:val="nil"/>
              <w:left w:val="nil"/>
              <w:bottom w:val="single" w:sz="4" w:space="0" w:color="auto"/>
              <w:right w:val="single" w:sz="4" w:space="0" w:color="auto"/>
            </w:tcBorders>
            <w:shd w:val="clear" w:color="auto" w:fill="auto"/>
            <w:vAlign w:val="center"/>
            <w:hideMark/>
          </w:tcPr>
          <w:p w14:paraId="71AC968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KRISTAN VRH</w:t>
            </w:r>
          </w:p>
        </w:tc>
      </w:tr>
      <w:tr w:rsidR="00E3750C" w:rsidRPr="00415AB3" w14:paraId="4EEF7CD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8C0975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638</w:t>
            </w:r>
          </w:p>
        </w:tc>
        <w:tc>
          <w:tcPr>
            <w:tcW w:w="705" w:type="pct"/>
            <w:tcBorders>
              <w:top w:val="nil"/>
              <w:left w:val="nil"/>
              <w:bottom w:val="single" w:sz="4" w:space="0" w:color="auto"/>
              <w:right w:val="single" w:sz="4" w:space="0" w:color="auto"/>
            </w:tcBorders>
            <w:shd w:val="clear" w:color="auto" w:fill="auto"/>
            <w:noWrap/>
            <w:vAlign w:val="center"/>
            <w:hideMark/>
          </w:tcPr>
          <w:p w14:paraId="2F7B206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5030102000</w:t>
            </w:r>
          </w:p>
        </w:tc>
        <w:tc>
          <w:tcPr>
            <w:tcW w:w="547" w:type="pct"/>
            <w:tcBorders>
              <w:top w:val="nil"/>
              <w:left w:val="nil"/>
              <w:bottom w:val="single" w:sz="4" w:space="0" w:color="auto"/>
              <w:right w:val="single" w:sz="4" w:space="0" w:color="auto"/>
            </w:tcBorders>
            <w:shd w:val="clear" w:color="auto" w:fill="auto"/>
            <w:noWrap/>
            <w:vAlign w:val="center"/>
            <w:hideMark/>
          </w:tcPr>
          <w:p w14:paraId="2195E40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76214753</w:t>
            </w:r>
          </w:p>
        </w:tc>
        <w:tc>
          <w:tcPr>
            <w:tcW w:w="3360" w:type="pct"/>
            <w:tcBorders>
              <w:top w:val="nil"/>
              <w:left w:val="nil"/>
              <w:bottom w:val="single" w:sz="4" w:space="0" w:color="auto"/>
              <w:right w:val="single" w:sz="4" w:space="0" w:color="auto"/>
            </w:tcBorders>
            <w:shd w:val="clear" w:color="auto" w:fill="auto"/>
            <w:vAlign w:val="center"/>
            <w:hideMark/>
          </w:tcPr>
          <w:p w14:paraId="0E5ADD7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KRIŽE</w:t>
            </w:r>
          </w:p>
        </w:tc>
      </w:tr>
      <w:tr w:rsidR="00E3750C" w:rsidRPr="00415AB3" w14:paraId="40D7F3E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495370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639</w:t>
            </w:r>
          </w:p>
        </w:tc>
        <w:tc>
          <w:tcPr>
            <w:tcW w:w="705" w:type="pct"/>
            <w:tcBorders>
              <w:top w:val="nil"/>
              <w:left w:val="nil"/>
              <w:bottom w:val="single" w:sz="4" w:space="0" w:color="auto"/>
              <w:right w:val="single" w:sz="4" w:space="0" w:color="auto"/>
            </w:tcBorders>
            <w:shd w:val="clear" w:color="auto" w:fill="auto"/>
            <w:noWrap/>
            <w:vAlign w:val="center"/>
            <w:hideMark/>
          </w:tcPr>
          <w:p w14:paraId="7B6D934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5018811000</w:t>
            </w:r>
          </w:p>
        </w:tc>
        <w:tc>
          <w:tcPr>
            <w:tcW w:w="547" w:type="pct"/>
            <w:tcBorders>
              <w:top w:val="nil"/>
              <w:left w:val="nil"/>
              <w:bottom w:val="single" w:sz="4" w:space="0" w:color="auto"/>
              <w:right w:val="single" w:sz="4" w:space="0" w:color="auto"/>
            </w:tcBorders>
            <w:shd w:val="clear" w:color="auto" w:fill="auto"/>
            <w:noWrap/>
            <w:vAlign w:val="center"/>
            <w:hideMark/>
          </w:tcPr>
          <w:p w14:paraId="35B74B4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45552479</w:t>
            </w:r>
          </w:p>
        </w:tc>
        <w:tc>
          <w:tcPr>
            <w:tcW w:w="3360" w:type="pct"/>
            <w:tcBorders>
              <w:top w:val="nil"/>
              <w:left w:val="nil"/>
              <w:bottom w:val="single" w:sz="4" w:space="0" w:color="auto"/>
              <w:right w:val="single" w:sz="4" w:space="0" w:color="auto"/>
            </w:tcBorders>
            <w:shd w:val="clear" w:color="auto" w:fill="auto"/>
            <w:vAlign w:val="center"/>
            <w:hideMark/>
          </w:tcPr>
          <w:p w14:paraId="53CED54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KRMELJ</w:t>
            </w:r>
          </w:p>
        </w:tc>
      </w:tr>
      <w:tr w:rsidR="00E3750C" w:rsidRPr="00415AB3" w14:paraId="123C371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7B3F3B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640</w:t>
            </w:r>
          </w:p>
        </w:tc>
        <w:tc>
          <w:tcPr>
            <w:tcW w:w="705" w:type="pct"/>
            <w:tcBorders>
              <w:top w:val="nil"/>
              <w:left w:val="nil"/>
              <w:bottom w:val="single" w:sz="4" w:space="0" w:color="auto"/>
              <w:right w:val="single" w:sz="4" w:space="0" w:color="auto"/>
            </w:tcBorders>
            <w:shd w:val="clear" w:color="auto" w:fill="auto"/>
            <w:noWrap/>
            <w:vAlign w:val="center"/>
            <w:hideMark/>
          </w:tcPr>
          <w:p w14:paraId="0D9908A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5018234000</w:t>
            </w:r>
          </w:p>
        </w:tc>
        <w:tc>
          <w:tcPr>
            <w:tcW w:w="547" w:type="pct"/>
            <w:tcBorders>
              <w:top w:val="nil"/>
              <w:left w:val="nil"/>
              <w:bottom w:val="single" w:sz="4" w:space="0" w:color="auto"/>
              <w:right w:val="single" w:sz="4" w:space="0" w:color="auto"/>
            </w:tcBorders>
            <w:shd w:val="clear" w:color="auto" w:fill="auto"/>
            <w:noWrap/>
            <w:vAlign w:val="center"/>
            <w:hideMark/>
          </w:tcPr>
          <w:p w14:paraId="42EC997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91634202</w:t>
            </w:r>
          </w:p>
        </w:tc>
        <w:tc>
          <w:tcPr>
            <w:tcW w:w="3360" w:type="pct"/>
            <w:tcBorders>
              <w:top w:val="nil"/>
              <w:left w:val="nil"/>
              <w:bottom w:val="single" w:sz="4" w:space="0" w:color="auto"/>
              <w:right w:val="single" w:sz="4" w:space="0" w:color="auto"/>
            </w:tcBorders>
            <w:shd w:val="clear" w:color="auto" w:fill="auto"/>
            <w:vAlign w:val="center"/>
            <w:hideMark/>
          </w:tcPr>
          <w:p w14:paraId="09C97FE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KROMBERK - LOKE</w:t>
            </w:r>
          </w:p>
        </w:tc>
      </w:tr>
      <w:tr w:rsidR="00E3750C" w:rsidRPr="00415AB3" w14:paraId="0FB2190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B1AC22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641</w:t>
            </w:r>
          </w:p>
        </w:tc>
        <w:tc>
          <w:tcPr>
            <w:tcW w:w="705" w:type="pct"/>
            <w:tcBorders>
              <w:top w:val="nil"/>
              <w:left w:val="nil"/>
              <w:bottom w:val="single" w:sz="4" w:space="0" w:color="auto"/>
              <w:right w:val="single" w:sz="4" w:space="0" w:color="auto"/>
            </w:tcBorders>
            <w:shd w:val="clear" w:color="auto" w:fill="auto"/>
            <w:noWrap/>
            <w:vAlign w:val="center"/>
            <w:hideMark/>
          </w:tcPr>
          <w:p w14:paraId="3C97269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5185858000</w:t>
            </w:r>
          </w:p>
        </w:tc>
        <w:tc>
          <w:tcPr>
            <w:tcW w:w="547" w:type="pct"/>
            <w:tcBorders>
              <w:top w:val="nil"/>
              <w:left w:val="nil"/>
              <w:bottom w:val="single" w:sz="4" w:space="0" w:color="auto"/>
              <w:right w:val="single" w:sz="4" w:space="0" w:color="auto"/>
            </w:tcBorders>
            <w:shd w:val="clear" w:color="auto" w:fill="auto"/>
            <w:noWrap/>
            <w:vAlign w:val="center"/>
            <w:hideMark/>
          </w:tcPr>
          <w:p w14:paraId="0DB123B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54065151</w:t>
            </w:r>
          </w:p>
        </w:tc>
        <w:tc>
          <w:tcPr>
            <w:tcW w:w="3360" w:type="pct"/>
            <w:tcBorders>
              <w:top w:val="nil"/>
              <w:left w:val="nil"/>
              <w:bottom w:val="single" w:sz="4" w:space="0" w:color="auto"/>
              <w:right w:val="single" w:sz="4" w:space="0" w:color="auto"/>
            </w:tcBorders>
            <w:shd w:val="clear" w:color="auto" w:fill="auto"/>
            <w:vAlign w:val="center"/>
            <w:hideMark/>
          </w:tcPr>
          <w:p w14:paraId="5FB3CC5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KRŠKO POLJE</w:t>
            </w:r>
          </w:p>
        </w:tc>
      </w:tr>
      <w:tr w:rsidR="00E3750C" w:rsidRPr="00415AB3" w14:paraId="46D0803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E7777C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642</w:t>
            </w:r>
          </w:p>
        </w:tc>
        <w:tc>
          <w:tcPr>
            <w:tcW w:w="705" w:type="pct"/>
            <w:tcBorders>
              <w:top w:val="nil"/>
              <w:left w:val="nil"/>
              <w:bottom w:val="single" w:sz="4" w:space="0" w:color="auto"/>
              <w:right w:val="single" w:sz="4" w:space="0" w:color="auto"/>
            </w:tcBorders>
            <w:shd w:val="clear" w:color="auto" w:fill="auto"/>
            <w:noWrap/>
            <w:vAlign w:val="center"/>
            <w:hideMark/>
          </w:tcPr>
          <w:p w14:paraId="083A599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5028744000</w:t>
            </w:r>
          </w:p>
        </w:tc>
        <w:tc>
          <w:tcPr>
            <w:tcW w:w="547" w:type="pct"/>
            <w:tcBorders>
              <w:top w:val="nil"/>
              <w:left w:val="nil"/>
              <w:bottom w:val="single" w:sz="4" w:space="0" w:color="auto"/>
              <w:right w:val="single" w:sz="4" w:space="0" w:color="auto"/>
            </w:tcBorders>
            <w:shd w:val="clear" w:color="auto" w:fill="auto"/>
            <w:noWrap/>
            <w:vAlign w:val="center"/>
            <w:hideMark/>
          </w:tcPr>
          <w:p w14:paraId="418BE95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54809444</w:t>
            </w:r>
          </w:p>
        </w:tc>
        <w:tc>
          <w:tcPr>
            <w:tcW w:w="3360" w:type="pct"/>
            <w:tcBorders>
              <w:top w:val="nil"/>
              <w:left w:val="nil"/>
              <w:bottom w:val="single" w:sz="4" w:space="0" w:color="auto"/>
              <w:right w:val="single" w:sz="4" w:space="0" w:color="auto"/>
            </w:tcBorders>
            <w:shd w:val="clear" w:color="auto" w:fill="auto"/>
            <w:vAlign w:val="center"/>
            <w:hideMark/>
          </w:tcPr>
          <w:p w14:paraId="2F82C51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LESKOVEC PRI KRŠKEM</w:t>
            </w:r>
          </w:p>
        </w:tc>
      </w:tr>
      <w:tr w:rsidR="00E3750C" w:rsidRPr="00415AB3" w14:paraId="017128B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7D47F6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643</w:t>
            </w:r>
          </w:p>
        </w:tc>
        <w:tc>
          <w:tcPr>
            <w:tcW w:w="705" w:type="pct"/>
            <w:tcBorders>
              <w:top w:val="nil"/>
              <w:left w:val="nil"/>
              <w:bottom w:val="single" w:sz="4" w:space="0" w:color="auto"/>
              <w:right w:val="single" w:sz="4" w:space="0" w:color="auto"/>
            </w:tcBorders>
            <w:shd w:val="clear" w:color="auto" w:fill="auto"/>
            <w:noWrap/>
            <w:vAlign w:val="center"/>
            <w:hideMark/>
          </w:tcPr>
          <w:p w14:paraId="3E29353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5020913000</w:t>
            </w:r>
          </w:p>
        </w:tc>
        <w:tc>
          <w:tcPr>
            <w:tcW w:w="547" w:type="pct"/>
            <w:tcBorders>
              <w:top w:val="nil"/>
              <w:left w:val="nil"/>
              <w:bottom w:val="single" w:sz="4" w:space="0" w:color="auto"/>
              <w:right w:val="single" w:sz="4" w:space="0" w:color="auto"/>
            </w:tcBorders>
            <w:shd w:val="clear" w:color="auto" w:fill="auto"/>
            <w:noWrap/>
            <w:vAlign w:val="center"/>
            <w:hideMark/>
          </w:tcPr>
          <w:p w14:paraId="4DEB56C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19775172</w:t>
            </w:r>
          </w:p>
        </w:tc>
        <w:tc>
          <w:tcPr>
            <w:tcW w:w="3360" w:type="pct"/>
            <w:tcBorders>
              <w:top w:val="nil"/>
              <w:left w:val="nil"/>
              <w:bottom w:val="single" w:sz="4" w:space="0" w:color="auto"/>
              <w:right w:val="single" w:sz="4" w:space="0" w:color="auto"/>
            </w:tcBorders>
            <w:shd w:val="clear" w:color="auto" w:fill="auto"/>
            <w:vAlign w:val="center"/>
            <w:hideMark/>
          </w:tcPr>
          <w:p w14:paraId="586DA57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LOČE</w:t>
            </w:r>
          </w:p>
        </w:tc>
      </w:tr>
      <w:tr w:rsidR="00E3750C" w:rsidRPr="00415AB3" w14:paraId="555E9AB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D33923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644</w:t>
            </w:r>
          </w:p>
        </w:tc>
        <w:tc>
          <w:tcPr>
            <w:tcW w:w="705" w:type="pct"/>
            <w:tcBorders>
              <w:top w:val="nil"/>
              <w:left w:val="nil"/>
              <w:bottom w:val="single" w:sz="4" w:space="0" w:color="auto"/>
              <w:right w:val="single" w:sz="4" w:space="0" w:color="auto"/>
            </w:tcBorders>
            <w:shd w:val="clear" w:color="auto" w:fill="auto"/>
            <w:noWrap/>
            <w:vAlign w:val="center"/>
            <w:hideMark/>
          </w:tcPr>
          <w:p w14:paraId="6E7D992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5020794000</w:t>
            </w:r>
          </w:p>
        </w:tc>
        <w:tc>
          <w:tcPr>
            <w:tcW w:w="547" w:type="pct"/>
            <w:tcBorders>
              <w:top w:val="nil"/>
              <w:left w:val="nil"/>
              <w:bottom w:val="single" w:sz="4" w:space="0" w:color="auto"/>
              <w:right w:val="single" w:sz="4" w:space="0" w:color="auto"/>
            </w:tcBorders>
            <w:shd w:val="clear" w:color="auto" w:fill="auto"/>
            <w:noWrap/>
            <w:vAlign w:val="center"/>
            <w:hideMark/>
          </w:tcPr>
          <w:p w14:paraId="636A647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59522259</w:t>
            </w:r>
          </w:p>
        </w:tc>
        <w:tc>
          <w:tcPr>
            <w:tcW w:w="3360" w:type="pct"/>
            <w:tcBorders>
              <w:top w:val="nil"/>
              <w:left w:val="nil"/>
              <w:bottom w:val="single" w:sz="4" w:space="0" w:color="auto"/>
              <w:right w:val="single" w:sz="4" w:space="0" w:color="auto"/>
            </w:tcBorders>
            <w:shd w:val="clear" w:color="auto" w:fill="auto"/>
            <w:vAlign w:val="center"/>
            <w:hideMark/>
          </w:tcPr>
          <w:p w14:paraId="039DBCB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LOKA PRI ZIDANEM MOSTU</w:t>
            </w:r>
          </w:p>
        </w:tc>
      </w:tr>
      <w:tr w:rsidR="00E3750C" w:rsidRPr="00415AB3" w14:paraId="6BDCF3B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9633D1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645</w:t>
            </w:r>
          </w:p>
        </w:tc>
        <w:tc>
          <w:tcPr>
            <w:tcW w:w="705" w:type="pct"/>
            <w:tcBorders>
              <w:top w:val="nil"/>
              <w:left w:val="nil"/>
              <w:bottom w:val="single" w:sz="4" w:space="0" w:color="auto"/>
              <w:right w:val="single" w:sz="4" w:space="0" w:color="auto"/>
            </w:tcBorders>
            <w:shd w:val="clear" w:color="auto" w:fill="auto"/>
            <w:noWrap/>
            <w:vAlign w:val="center"/>
            <w:hideMark/>
          </w:tcPr>
          <w:p w14:paraId="5F2AB16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5020956000</w:t>
            </w:r>
          </w:p>
        </w:tc>
        <w:tc>
          <w:tcPr>
            <w:tcW w:w="547" w:type="pct"/>
            <w:tcBorders>
              <w:top w:val="nil"/>
              <w:left w:val="nil"/>
              <w:bottom w:val="single" w:sz="4" w:space="0" w:color="auto"/>
              <w:right w:val="single" w:sz="4" w:space="0" w:color="auto"/>
            </w:tcBorders>
            <w:shd w:val="clear" w:color="auto" w:fill="auto"/>
            <w:noWrap/>
            <w:vAlign w:val="center"/>
            <w:hideMark/>
          </w:tcPr>
          <w:p w14:paraId="03E4C2C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19695624</w:t>
            </w:r>
          </w:p>
        </w:tc>
        <w:tc>
          <w:tcPr>
            <w:tcW w:w="3360" w:type="pct"/>
            <w:tcBorders>
              <w:top w:val="nil"/>
              <w:left w:val="nil"/>
              <w:bottom w:val="single" w:sz="4" w:space="0" w:color="auto"/>
              <w:right w:val="single" w:sz="4" w:space="0" w:color="auto"/>
            </w:tcBorders>
            <w:shd w:val="clear" w:color="auto" w:fill="auto"/>
            <w:vAlign w:val="center"/>
            <w:hideMark/>
          </w:tcPr>
          <w:p w14:paraId="7A10A6D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LOKA PRI ŽUSMU</w:t>
            </w:r>
          </w:p>
        </w:tc>
      </w:tr>
      <w:tr w:rsidR="00E3750C" w:rsidRPr="00415AB3" w14:paraId="1D5B42B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67FD36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646</w:t>
            </w:r>
          </w:p>
        </w:tc>
        <w:tc>
          <w:tcPr>
            <w:tcW w:w="705" w:type="pct"/>
            <w:tcBorders>
              <w:top w:val="nil"/>
              <w:left w:val="nil"/>
              <w:bottom w:val="single" w:sz="4" w:space="0" w:color="auto"/>
              <w:right w:val="single" w:sz="4" w:space="0" w:color="auto"/>
            </w:tcBorders>
            <w:shd w:val="clear" w:color="auto" w:fill="auto"/>
            <w:noWrap/>
            <w:vAlign w:val="center"/>
            <w:hideMark/>
          </w:tcPr>
          <w:p w14:paraId="40DE21B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5026652000</w:t>
            </w:r>
          </w:p>
        </w:tc>
        <w:tc>
          <w:tcPr>
            <w:tcW w:w="547" w:type="pct"/>
            <w:tcBorders>
              <w:top w:val="nil"/>
              <w:left w:val="nil"/>
              <w:bottom w:val="single" w:sz="4" w:space="0" w:color="auto"/>
              <w:right w:val="single" w:sz="4" w:space="0" w:color="auto"/>
            </w:tcBorders>
            <w:shd w:val="clear" w:color="auto" w:fill="auto"/>
            <w:noWrap/>
            <w:vAlign w:val="center"/>
            <w:hideMark/>
          </w:tcPr>
          <w:p w14:paraId="24C0104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94202613</w:t>
            </w:r>
          </w:p>
        </w:tc>
        <w:tc>
          <w:tcPr>
            <w:tcW w:w="3360" w:type="pct"/>
            <w:tcBorders>
              <w:top w:val="nil"/>
              <w:left w:val="nil"/>
              <w:bottom w:val="single" w:sz="4" w:space="0" w:color="auto"/>
              <w:right w:val="single" w:sz="4" w:space="0" w:color="auto"/>
            </w:tcBorders>
            <w:shd w:val="clear" w:color="auto" w:fill="auto"/>
            <w:vAlign w:val="center"/>
            <w:hideMark/>
          </w:tcPr>
          <w:p w14:paraId="773DEA8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LOKAVEC</w:t>
            </w:r>
          </w:p>
        </w:tc>
      </w:tr>
      <w:tr w:rsidR="00E3750C" w:rsidRPr="00415AB3" w14:paraId="50C9008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11B421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647</w:t>
            </w:r>
          </w:p>
        </w:tc>
        <w:tc>
          <w:tcPr>
            <w:tcW w:w="705" w:type="pct"/>
            <w:tcBorders>
              <w:top w:val="nil"/>
              <w:left w:val="nil"/>
              <w:bottom w:val="single" w:sz="4" w:space="0" w:color="auto"/>
              <w:right w:val="single" w:sz="4" w:space="0" w:color="auto"/>
            </w:tcBorders>
            <w:shd w:val="clear" w:color="auto" w:fill="auto"/>
            <w:noWrap/>
            <w:vAlign w:val="center"/>
            <w:hideMark/>
          </w:tcPr>
          <w:p w14:paraId="1DC4585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5027560000</w:t>
            </w:r>
          </w:p>
        </w:tc>
        <w:tc>
          <w:tcPr>
            <w:tcW w:w="547" w:type="pct"/>
            <w:tcBorders>
              <w:top w:val="nil"/>
              <w:left w:val="nil"/>
              <w:bottom w:val="single" w:sz="4" w:space="0" w:color="auto"/>
              <w:right w:val="single" w:sz="4" w:space="0" w:color="auto"/>
            </w:tcBorders>
            <w:shd w:val="clear" w:color="auto" w:fill="auto"/>
            <w:noWrap/>
            <w:vAlign w:val="center"/>
            <w:hideMark/>
          </w:tcPr>
          <w:p w14:paraId="107E84A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45231273</w:t>
            </w:r>
          </w:p>
        </w:tc>
        <w:tc>
          <w:tcPr>
            <w:tcW w:w="3360" w:type="pct"/>
            <w:tcBorders>
              <w:top w:val="nil"/>
              <w:left w:val="nil"/>
              <w:bottom w:val="single" w:sz="4" w:space="0" w:color="auto"/>
              <w:right w:val="single" w:sz="4" w:space="0" w:color="auto"/>
            </w:tcBorders>
            <w:shd w:val="clear" w:color="auto" w:fill="auto"/>
            <w:vAlign w:val="center"/>
            <w:hideMark/>
          </w:tcPr>
          <w:p w14:paraId="60B3121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LOKOVEC</w:t>
            </w:r>
          </w:p>
        </w:tc>
      </w:tr>
      <w:tr w:rsidR="00E3750C" w:rsidRPr="00415AB3" w14:paraId="163E982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A24FEA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648</w:t>
            </w:r>
          </w:p>
        </w:tc>
        <w:tc>
          <w:tcPr>
            <w:tcW w:w="705" w:type="pct"/>
            <w:tcBorders>
              <w:top w:val="nil"/>
              <w:left w:val="nil"/>
              <w:bottom w:val="single" w:sz="4" w:space="0" w:color="auto"/>
              <w:right w:val="single" w:sz="4" w:space="0" w:color="auto"/>
            </w:tcBorders>
            <w:shd w:val="clear" w:color="auto" w:fill="auto"/>
            <w:noWrap/>
            <w:vAlign w:val="center"/>
            <w:hideMark/>
          </w:tcPr>
          <w:p w14:paraId="084AF3F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5020565000</w:t>
            </w:r>
          </w:p>
        </w:tc>
        <w:tc>
          <w:tcPr>
            <w:tcW w:w="547" w:type="pct"/>
            <w:tcBorders>
              <w:top w:val="nil"/>
              <w:left w:val="nil"/>
              <w:bottom w:val="single" w:sz="4" w:space="0" w:color="auto"/>
              <w:right w:val="single" w:sz="4" w:space="0" w:color="auto"/>
            </w:tcBorders>
            <w:shd w:val="clear" w:color="auto" w:fill="auto"/>
            <w:noWrap/>
            <w:vAlign w:val="center"/>
            <w:hideMark/>
          </w:tcPr>
          <w:p w14:paraId="3E7DF84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28673107</w:t>
            </w:r>
          </w:p>
        </w:tc>
        <w:tc>
          <w:tcPr>
            <w:tcW w:w="3360" w:type="pct"/>
            <w:tcBorders>
              <w:top w:val="nil"/>
              <w:left w:val="nil"/>
              <w:bottom w:val="single" w:sz="4" w:space="0" w:color="auto"/>
              <w:right w:val="single" w:sz="4" w:space="0" w:color="auto"/>
            </w:tcBorders>
            <w:shd w:val="clear" w:color="auto" w:fill="auto"/>
            <w:vAlign w:val="center"/>
            <w:hideMark/>
          </w:tcPr>
          <w:p w14:paraId="01AAF32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LOKVE - LAZNA</w:t>
            </w:r>
          </w:p>
        </w:tc>
      </w:tr>
      <w:tr w:rsidR="00E3750C" w:rsidRPr="00415AB3" w14:paraId="2C2C9DF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A5EDA9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649</w:t>
            </w:r>
          </w:p>
        </w:tc>
        <w:tc>
          <w:tcPr>
            <w:tcW w:w="705" w:type="pct"/>
            <w:tcBorders>
              <w:top w:val="nil"/>
              <w:left w:val="nil"/>
              <w:bottom w:val="single" w:sz="4" w:space="0" w:color="auto"/>
              <w:right w:val="single" w:sz="4" w:space="0" w:color="auto"/>
            </w:tcBorders>
            <w:shd w:val="clear" w:color="auto" w:fill="auto"/>
            <w:noWrap/>
            <w:vAlign w:val="center"/>
            <w:hideMark/>
          </w:tcPr>
          <w:p w14:paraId="23F5CBD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5031494000</w:t>
            </w:r>
          </w:p>
        </w:tc>
        <w:tc>
          <w:tcPr>
            <w:tcW w:w="547" w:type="pct"/>
            <w:tcBorders>
              <w:top w:val="nil"/>
              <w:left w:val="nil"/>
              <w:bottom w:val="single" w:sz="4" w:space="0" w:color="auto"/>
              <w:right w:val="single" w:sz="4" w:space="0" w:color="auto"/>
            </w:tcBorders>
            <w:shd w:val="clear" w:color="auto" w:fill="auto"/>
            <w:noWrap/>
            <w:vAlign w:val="center"/>
            <w:hideMark/>
          </w:tcPr>
          <w:p w14:paraId="27990AD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90880994</w:t>
            </w:r>
          </w:p>
        </w:tc>
        <w:tc>
          <w:tcPr>
            <w:tcW w:w="3360" w:type="pct"/>
            <w:tcBorders>
              <w:top w:val="nil"/>
              <w:left w:val="nil"/>
              <w:bottom w:val="single" w:sz="4" w:space="0" w:color="auto"/>
              <w:right w:val="single" w:sz="4" w:space="0" w:color="auto"/>
            </w:tcBorders>
            <w:shd w:val="clear" w:color="auto" w:fill="auto"/>
            <w:vAlign w:val="center"/>
            <w:hideMark/>
          </w:tcPr>
          <w:p w14:paraId="35417B8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MAREZIGE</w:t>
            </w:r>
          </w:p>
        </w:tc>
      </w:tr>
      <w:tr w:rsidR="00E3750C" w:rsidRPr="00415AB3" w14:paraId="0E23069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6B5083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650</w:t>
            </w:r>
          </w:p>
        </w:tc>
        <w:tc>
          <w:tcPr>
            <w:tcW w:w="705" w:type="pct"/>
            <w:tcBorders>
              <w:top w:val="nil"/>
              <w:left w:val="nil"/>
              <w:bottom w:val="single" w:sz="4" w:space="0" w:color="auto"/>
              <w:right w:val="single" w:sz="4" w:space="0" w:color="auto"/>
            </w:tcBorders>
            <w:shd w:val="clear" w:color="auto" w:fill="auto"/>
            <w:noWrap/>
            <w:vAlign w:val="center"/>
            <w:hideMark/>
          </w:tcPr>
          <w:p w14:paraId="2A08E6A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5017254000</w:t>
            </w:r>
          </w:p>
        </w:tc>
        <w:tc>
          <w:tcPr>
            <w:tcW w:w="547" w:type="pct"/>
            <w:tcBorders>
              <w:top w:val="nil"/>
              <w:left w:val="nil"/>
              <w:bottom w:val="single" w:sz="4" w:space="0" w:color="auto"/>
              <w:right w:val="single" w:sz="4" w:space="0" w:color="auto"/>
            </w:tcBorders>
            <w:shd w:val="clear" w:color="auto" w:fill="auto"/>
            <w:noWrap/>
            <w:vAlign w:val="center"/>
            <w:hideMark/>
          </w:tcPr>
          <w:p w14:paraId="3285186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66255236</w:t>
            </w:r>
          </w:p>
        </w:tc>
        <w:tc>
          <w:tcPr>
            <w:tcW w:w="3360" w:type="pct"/>
            <w:tcBorders>
              <w:top w:val="nil"/>
              <w:left w:val="nil"/>
              <w:bottom w:val="single" w:sz="4" w:space="0" w:color="auto"/>
              <w:right w:val="single" w:sz="4" w:space="0" w:color="auto"/>
            </w:tcBorders>
            <w:shd w:val="clear" w:color="auto" w:fill="auto"/>
            <w:vAlign w:val="center"/>
            <w:hideMark/>
          </w:tcPr>
          <w:p w14:paraId="3706777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MAVČIČE</w:t>
            </w:r>
          </w:p>
        </w:tc>
      </w:tr>
      <w:tr w:rsidR="00E3750C" w:rsidRPr="00415AB3" w14:paraId="362E0F3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0BFFB2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651</w:t>
            </w:r>
          </w:p>
        </w:tc>
        <w:tc>
          <w:tcPr>
            <w:tcW w:w="705" w:type="pct"/>
            <w:tcBorders>
              <w:top w:val="nil"/>
              <w:left w:val="nil"/>
              <w:bottom w:val="single" w:sz="4" w:space="0" w:color="auto"/>
              <w:right w:val="single" w:sz="4" w:space="0" w:color="auto"/>
            </w:tcBorders>
            <w:shd w:val="clear" w:color="auto" w:fill="auto"/>
            <w:noWrap/>
            <w:vAlign w:val="center"/>
            <w:hideMark/>
          </w:tcPr>
          <w:p w14:paraId="101331D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5020069000</w:t>
            </w:r>
          </w:p>
        </w:tc>
        <w:tc>
          <w:tcPr>
            <w:tcW w:w="547" w:type="pct"/>
            <w:tcBorders>
              <w:top w:val="nil"/>
              <w:left w:val="nil"/>
              <w:bottom w:val="single" w:sz="4" w:space="0" w:color="auto"/>
              <w:right w:val="single" w:sz="4" w:space="0" w:color="auto"/>
            </w:tcBorders>
            <w:shd w:val="clear" w:color="auto" w:fill="auto"/>
            <w:noWrap/>
            <w:vAlign w:val="center"/>
            <w:hideMark/>
          </w:tcPr>
          <w:p w14:paraId="4B6C700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31120679</w:t>
            </w:r>
          </w:p>
        </w:tc>
        <w:tc>
          <w:tcPr>
            <w:tcW w:w="3360" w:type="pct"/>
            <w:tcBorders>
              <w:top w:val="nil"/>
              <w:left w:val="nil"/>
              <w:bottom w:val="single" w:sz="4" w:space="0" w:color="auto"/>
              <w:right w:val="single" w:sz="4" w:space="0" w:color="auto"/>
            </w:tcBorders>
            <w:shd w:val="clear" w:color="auto" w:fill="auto"/>
            <w:vAlign w:val="center"/>
            <w:hideMark/>
          </w:tcPr>
          <w:p w14:paraId="1A11C13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MESTA KRŠKO</w:t>
            </w:r>
          </w:p>
        </w:tc>
      </w:tr>
      <w:tr w:rsidR="00E3750C" w:rsidRPr="00415AB3" w14:paraId="3521E06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00A2EE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652</w:t>
            </w:r>
          </w:p>
        </w:tc>
        <w:tc>
          <w:tcPr>
            <w:tcW w:w="705" w:type="pct"/>
            <w:tcBorders>
              <w:top w:val="nil"/>
              <w:left w:val="nil"/>
              <w:bottom w:val="single" w:sz="4" w:space="0" w:color="auto"/>
              <w:right w:val="single" w:sz="4" w:space="0" w:color="auto"/>
            </w:tcBorders>
            <w:shd w:val="clear" w:color="auto" w:fill="auto"/>
            <w:noWrap/>
            <w:vAlign w:val="center"/>
            <w:hideMark/>
          </w:tcPr>
          <w:p w14:paraId="41B56AA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5027861000</w:t>
            </w:r>
          </w:p>
        </w:tc>
        <w:tc>
          <w:tcPr>
            <w:tcW w:w="547" w:type="pct"/>
            <w:tcBorders>
              <w:top w:val="nil"/>
              <w:left w:val="nil"/>
              <w:bottom w:val="single" w:sz="4" w:space="0" w:color="auto"/>
              <w:right w:val="single" w:sz="4" w:space="0" w:color="auto"/>
            </w:tcBorders>
            <w:shd w:val="clear" w:color="auto" w:fill="auto"/>
            <w:noWrap/>
            <w:vAlign w:val="center"/>
            <w:hideMark/>
          </w:tcPr>
          <w:p w14:paraId="67C90DE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88518752</w:t>
            </w:r>
          </w:p>
        </w:tc>
        <w:tc>
          <w:tcPr>
            <w:tcW w:w="3360" w:type="pct"/>
            <w:tcBorders>
              <w:top w:val="nil"/>
              <w:left w:val="nil"/>
              <w:bottom w:val="single" w:sz="4" w:space="0" w:color="auto"/>
              <w:right w:val="single" w:sz="4" w:space="0" w:color="auto"/>
            </w:tcBorders>
            <w:shd w:val="clear" w:color="auto" w:fill="auto"/>
            <w:vAlign w:val="center"/>
            <w:hideMark/>
          </w:tcPr>
          <w:p w14:paraId="272798E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MESTINJE</w:t>
            </w:r>
          </w:p>
        </w:tc>
      </w:tr>
      <w:tr w:rsidR="00E3750C" w:rsidRPr="00415AB3" w14:paraId="6A4695A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FAA033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653</w:t>
            </w:r>
          </w:p>
        </w:tc>
        <w:tc>
          <w:tcPr>
            <w:tcW w:w="705" w:type="pct"/>
            <w:tcBorders>
              <w:top w:val="nil"/>
              <w:left w:val="nil"/>
              <w:bottom w:val="single" w:sz="4" w:space="0" w:color="auto"/>
              <w:right w:val="single" w:sz="4" w:space="0" w:color="auto"/>
            </w:tcBorders>
            <w:shd w:val="clear" w:color="auto" w:fill="auto"/>
            <w:noWrap/>
            <w:vAlign w:val="center"/>
            <w:hideMark/>
          </w:tcPr>
          <w:p w14:paraId="684A393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5018323000</w:t>
            </w:r>
          </w:p>
        </w:tc>
        <w:tc>
          <w:tcPr>
            <w:tcW w:w="547" w:type="pct"/>
            <w:tcBorders>
              <w:top w:val="nil"/>
              <w:left w:val="nil"/>
              <w:bottom w:val="single" w:sz="4" w:space="0" w:color="auto"/>
              <w:right w:val="single" w:sz="4" w:space="0" w:color="auto"/>
            </w:tcBorders>
            <w:shd w:val="clear" w:color="auto" w:fill="auto"/>
            <w:noWrap/>
            <w:vAlign w:val="center"/>
            <w:hideMark/>
          </w:tcPr>
          <w:p w14:paraId="02828E2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14828499</w:t>
            </w:r>
          </w:p>
        </w:tc>
        <w:tc>
          <w:tcPr>
            <w:tcW w:w="3360" w:type="pct"/>
            <w:tcBorders>
              <w:top w:val="nil"/>
              <w:left w:val="nil"/>
              <w:bottom w:val="single" w:sz="4" w:space="0" w:color="auto"/>
              <w:right w:val="single" w:sz="4" w:space="0" w:color="auto"/>
            </w:tcBorders>
            <w:shd w:val="clear" w:color="auto" w:fill="auto"/>
            <w:vAlign w:val="center"/>
            <w:hideMark/>
          </w:tcPr>
          <w:p w14:paraId="6593984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MIKLAVŽ PRI ORMOŽU</w:t>
            </w:r>
          </w:p>
        </w:tc>
      </w:tr>
      <w:tr w:rsidR="00E3750C" w:rsidRPr="00415AB3" w14:paraId="14A7CC8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0E8ADD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654</w:t>
            </w:r>
          </w:p>
        </w:tc>
        <w:tc>
          <w:tcPr>
            <w:tcW w:w="705" w:type="pct"/>
            <w:tcBorders>
              <w:top w:val="nil"/>
              <w:left w:val="nil"/>
              <w:bottom w:val="single" w:sz="4" w:space="0" w:color="auto"/>
              <w:right w:val="single" w:sz="4" w:space="0" w:color="auto"/>
            </w:tcBorders>
            <w:shd w:val="clear" w:color="auto" w:fill="auto"/>
            <w:noWrap/>
            <w:vAlign w:val="center"/>
            <w:hideMark/>
          </w:tcPr>
          <w:p w14:paraId="6962007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5365775000</w:t>
            </w:r>
          </w:p>
        </w:tc>
        <w:tc>
          <w:tcPr>
            <w:tcW w:w="547" w:type="pct"/>
            <w:tcBorders>
              <w:top w:val="nil"/>
              <w:left w:val="nil"/>
              <w:bottom w:val="single" w:sz="4" w:space="0" w:color="auto"/>
              <w:right w:val="single" w:sz="4" w:space="0" w:color="auto"/>
            </w:tcBorders>
            <w:shd w:val="clear" w:color="auto" w:fill="auto"/>
            <w:noWrap/>
            <w:vAlign w:val="center"/>
            <w:hideMark/>
          </w:tcPr>
          <w:p w14:paraId="6FB8127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84832541</w:t>
            </w:r>
          </w:p>
        </w:tc>
        <w:tc>
          <w:tcPr>
            <w:tcW w:w="3360" w:type="pct"/>
            <w:tcBorders>
              <w:top w:val="nil"/>
              <w:left w:val="nil"/>
              <w:bottom w:val="single" w:sz="4" w:space="0" w:color="auto"/>
              <w:right w:val="single" w:sz="4" w:space="0" w:color="auto"/>
            </w:tcBorders>
            <w:shd w:val="clear" w:color="auto" w:fill="auto"/>
            <w:vAlign w:val="center"/>
            <w:hideMark/>
          </w:tcPr>
          <w:p w14:paraId="03A9658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NOVA GORICA</w:t>
            </w:r>
          </w:p>
        </w:tc>
      </w:tr>
      <w:tr w:rsidR="00E3750C" w:rsidRPr="00415AB3" w14:paraId="1F23569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45DEF2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655</w:t>
            </w:r>
          </w:p>
        </w:tc>
        <w:tc>
          <w:tcPr>
            <w:tcW w:w="705" w:type="pct"/>
            <w:tcBorders>
              <w:top w:val="nil"/>
              <w:left w:val="nil"/>
              <w:bottom w:val="single" w:sz="4" w:space="0" w:color="auto"/>
              <w:right w:val="single" w:sz="4" w:space="0" w:color="auto"/>
            </w:tcBorders>
            <w:shd w:val="clear" w:color="auto" w:fill="auto"/>
            <w:noWrap/>
            <w:vAlign w:val="center"/>
            <w:hideMark/>
          </w:tcPr>
          <w:p w14:paraId="22AD313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5020000000</w:t>
            </w:r>
          </w:p>
        </w:tc>
        <w:tc>
          <w:tcPr>
            <w:tcW w:w="547" w:type="pct"/>
            <w:tcBorders>
              <w:top w:val="nil"/>
              <w:left w:val="nil"/>
              <w:bottom w:val="single" w:sz="4" w:space="0" w:color="auto"/>
              <w:right w:val="single" w:sz="4" w:space="0" w:color="auto"/>
            </w:tcBorders>
            <w:shd w:val="clear" w:color="auto" w:fill="auto"/>
            <w:noWrap/>
            <w:vAlign w:val="center"/>
            <w:hideMark/>
          </w:tcPr>
          <w:p w14:paraId="6945063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25403885</w:t>
            </w:r>
          </w:p>
        </w:tc>
        <w:tc>
          <w:tcPr>
            <w:tcW w:w="3360" w:type="pct"/>
            <w:tcBorders>
              <w:top w:val="nil"/>
              <w:left w:val="nil"/>
              <w:bottom w:val="single" w:sz="4" w:space="0" w:color="auto"/>
              <w:right w:val="single" w:sz="4" w:space="0" w:color="auto"/>
            </w:tcBorders>
            <w:shd w:val="clear" w:color="auto" w:fill="auto"/>
            <w:vAlign w:val="center"/>
            <w:hideMark/>
          </w:tcPr>
          <w:p w14:paraId="180BFE3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OREHEK-DRULOVKA</w:t>
            </w:r>
          </w:p>
        </w:tc>
      </w:tr>
      <w:tr w:rsidR="00E3750C" w:rsidRPr="00415AB3" w14:paraId="7A5FC5F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9BDF94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656</w:t>
            </w:r>
          </w:p>
        </w:tc>
        <w:tc>
          <w:tcPr>
            <w:tcW w:w="705" w:type="pct"/>
            <w:tcBorders>
              <w:top w:val="nil"/>
              <w:left w:val="nil"/>
              <w:bottom w:val="single" w:sz="4" w:space="0" w:color="auto"/>
              <w:right w:val="single" w:sz="4" w:space="0" w:color="auto"/>
            </w:tcBorders>
            <w:shd w:val="clear" w:color="auto" w:fill="auto"/>
            <w:noWrap/>
            <w:vAlign w:val="center"/>
            <w:hideMark/>
          </w:tcPr>
          <w:p w14:paraId="781126D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5031770000</w:t>
            </w:r>
          </w:p>
        </w:tc>
        <w:tc>
          <w:tcPr>
            <w:tcW w:w="547" w:type="pct"/>
            <w:tcBorders>
              <w:top w:val="nil"/>
              <w:left w:val="nil"/>
              <w:bottom w:val="single" w:sz="4" w:space="0" w:color="auto"/>
              <w:right w:val="single" w:sz="4" w:space="0" w:color="auto"/>
            </w:tcBorders>
            <w:shd w:val="clear" w:color="auto" w:fill="auto"/>
            <w:noWrap/>
            <w:vAlign w:val="center"/>
            <w:hideMark/>
          </w:tcPr>
          <w:p w14:paraId="450C886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52506347</w:t>
            </w:r>
          </w:p>
        </w:tc>
        <w:tc>
          <w:tcPr>
            <w:tcW w:w="3360" w:type="pct"/>
            <w:tcBorders>
              <w:top w:val="nil"/>
              <w:left w:val="nil"/>
              <w:bottom w:val="single" w:sz="4" w:space="0" w:color="auto"/>
              <w:right w:val="single" w:sz="4" w:space="0" w:color="auto"/>
            </w:tcBorders>
            <w:shd w:val="clear" w:color="auto" w:fill="auto"/>
            <w:vAlign w:val="center"/>
            <w:hideMark/>
          </w:tcPr>
          <w:p w14:paraId="0CD8F5F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ORMOŽ</w:t>
            </w:r>
          </w:p>
        </w:tc>
      </w:tr>
      <w:tr w:rsidR="00E3750C" w:rsidRPr="00415AB3" w14:paraId="090CC5D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73A5D0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657</w:t>
            </w:r>
          </w:p>
        </w:tc>
        <w:tc>
          <w:tcPr>
            <w:tcW w:w="705" w:type="pct"/>
            <w:tcBorders>
              <w:top w:val="nil"/>
              <w:left w:val="nil"/>
              <w:bottom w:val="single" w:sz="4" w:space="0" w:color="auto"/>
              <w:right w:val="single" w:sz="4" w:space="0" w:color="auto"/>
            </w:tcBorders>
            <w:shd w:val="clear" w:color="auto" w:fill="auto"/>
            <w:noWrap/>
            <w:vAlign w:val="center"/>
            <w:hideMark/>
          </w:tcPr>
          <w:p w14:paraId="2510070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5020581000</w:t>
            </w:r>
          </w:p>
        </w:tc>
        <w:tc>
          <w:tcPr>
            <w:tcW w:w="547" w:type="pct"/>
            <w:tcBorders>
              <w:top w:val="nil"/>
              <w:left w:val="nil"/>
              <w:bottom w:val="single" w:sz="4" w:space="0" w:color="auto"/>
              <w:right w:val="single" w:sz="4" w:space="0" w:color="auto"/>
            </w:tcBorders>
            <w:shd w:val="clear" w:color="auto" w:fill="auto"/>
            <w:noWrap/>
            <w:vAlign w:val="center"/>
            <w:hideMark/>
          </w:tcPr>
          <w:p w14:paraId="72EB3CF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19273614</w:t>
            </w:r>
          </w:p>
        </w:tc>
        <w:tc>
          <w:tcPr>
            <w:tcW w:w="3360" w:type="pct"/>
            <w:tcBorders>
              <w:top w:val="nil"/>
              <w:left w:val="nil"/>
              <w:bottom w:val="single" w:sz="4" w:space="0" w:color="auto"/>
              <w:right w:val="single" w:sz="4" w:space="0" w:color="auto"/>
            </w:tcBorders>
            <w:shd w:val="clear" w:color="auto" w:fill="auto"/>
            <w:vAlign w:val="center"/>
            <w:hideMark/>
          </w:tcPr>
          <w:p w14:paraId="458E8EE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OSEK-VITOVLJE</w:t>
            </w:r>
          </w:p>
        </w:tc>
      </w:tr>
      <w:tr w:rsidR="00E3750C" w:rsidRPr="00415AB3" w14:paraId="70ED436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A0E194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658</w:t>
            </w:r>
          </w:p>
        </w:tc>
        <w:tc>
          <w:tcPr>
            <w:tcW w:w="705" w:type="pct"/>
            <w:tcBorders>
              <w:top w:val="nil"/>
              <w:left w:val="nil"/>
              <w:bottom w:val="single" w:sz="4" w:space="0" w:color="auto"/>
              <w:right w:val="single" w:sz="4" w:space="0" w:color="auto"/>
            </w:tcBorders>
            <w:shd w:val="clear" w:color="auto" w:fill="auto"/>
            <w:noWrap/>
            <w:vAlign w:val="center"/>
            <w:hideMark/>
          </w:tcPr>
          <w:p w14:paraId="19ED7D2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5016550000</w:t>
            </w:r>
          </w:p>
        </w:tc>
        <w:tc>
          <w:tcPr>
            <w:tcW w:w="547" w:type="pct"/>
            <w:tcBorders>
              <w:top w:val="nil"/>
              <w:left w:val="nil"/>
              <w:bottom w:val="single" w:sz="4" w:space="0" w:color="auto"/>
              <w:right w:val="single" w:sz="4" w:space="0" w:color="auto"/>
            </w:tcBorders>
            <w:shd w:val="clear" w:color="auto" w:fill="auto"/>
            <w:noWrap/>
            <w:vAlign w:val="center"/>
            <w:hideMark/>
          </w:tcPr>
          <w:p w14:paraId="46E74DB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34882294</w:t>
            </w:r>
          </w:p>
        </w:tc>
        <w:tc>
          <w:tcPr>
            <w:tcW w:w="3360" w:type="pct"/>
            <w:tcBorders>
              <w:top w:val="nil"/>
              <w:left w:val="nil"/>
              <w:bottom w:val="single" w:sz="4" w:space="0" w:color="auto"/>
              <w:right w:val="single" w:sz="4" w:space="0" w:color="auto"/>
            </w:tcBorders>
            <w:shd w:val="clear" w:color="auto" w:fill="auto"/>
            <w:vAlign w:val="center"/>
            <w:hideMark/>
          </w:tcPr>
          <w:p w14:paraId="329DF5D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OTLICA-KOVK</w:t>
            </w:r>
          </w:p>
        </w:tc>
      </w:tr>
      <w:tr w:rsidR="00E3750C" w:rsidRPr="00415AB3" w14:paraId="52FB9FB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9406BE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659</w:t>
            </w:r>
          </w:p>
        </w:tc>
        <w:tc>
          <w:tcPr>
            <w:tcW w:w="705" w:type="pct"/>
            <w:tcBorders>
              <w:top w:val="nil"/>
              <w:left w:val="nil"/>
              <w:bottom w:val="single" w:sz="4" w:space="0" w:color="auto"/>
              <w:right w:val="single" w:sz="4" w:space="0" w:color="auto"/>
            </w:tcBorders>
            <w:shd w:val="clear" w:color="auto" w:fill="auto"/>
            <w:noWrap/>
            <w:vAlign w:val="center"/>
            <w:hideMark/>
          </w:tcPr>
          <w:p w14:paraId="1778B63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5032075000</w:t>
            </w:r>
          </w:p>
        </w:tc>
        <w:tc>
          <w:tcPr>
            <w:tcW w:w="547" w:type="pct"/>
            <w:tcBorders>
              <w:top w:val="nil"/>
              <w:left w:val="nil"/>
              <w:bottom w:val="single" w:sz="4" w:space="0" w:color="auto"/>
              <w:right w:val="single" w:sz="4" w:space="0" w:color="auto"/>
            </w:tcBorders>
            <w:shd w:val="clear" w:color="auto" w:fill="auto"/>
            <w:noWrap/>
            <w:vAlign w:val="center"/>
            <w:hideMark/>
          </w:tcPr>
          <w:p w14:paraId="0CF33D6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64762963</w:t>
            </w:r>
          </w:p>
        </w:tc>
        <w:tc>
          <w:tcPr>
            <w:tcW w:w="3360" w:type="pct"/>
            <w:tcBorders>
              <w:top w:val="nil"/>
              <w:left w:val="nil"/>
              <w:bottom w:val="single" w:sz="4" w:space="0" w:color="auto"/>
              <w:right w:val="single" w:sz="4" w:space="0" w:color="auto"/>
            </w:tcBorders>
            <w:shd w:val="clear" w:color="auto" w:fill="auto"/>
            <w:vAlign w:val="center"/>
            <w:hideMark/>
          </w:tcPr>
          <w:p w14:paraId="6A86DDE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OZELJAN - ŠMIHEL</w:t>
            </w:r>
          </w:p>
        </w:tc>
      </w:tr>
      <w:tr w:rsidR="00E3750C" w:rsidRPr="00415AB3" w14:paraId="1FB17ED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A2AFD2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660</w:t>
            </w:r>
          </w:p>
        </w:tc>
        <w:tc>
          <w:tcPr>
            <w:tcW w:w="705" w:type="pct"/>
            <w:tcBorders>
              <w:top w:val="nil"/>
              <w:left w:val="nil"/>
              <w:bottom w:val="single" w:sz="4" w:space="0" w:color="auto"/>
              <w:right w:val="single" w:sz="4" w:space="0" w:color="auto"/>
            </w:tcBorders>
            <w:shd w:val="clear" w:color="auto" w:fill="auto"/>
            <w:noWrap/>
            <w:vAlign w:val="center"/>
            <w:hideMark/>
          </w:tcPr>
          <w:p w14:paraId="7E3FB56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1747789000</w:t>
            </w:r>
          </w:p>
        </w:tc>
        <w:tc>
          <w:tcPr>
            <w:tcW w:w="547" w:type="pct"/>
            <w:tcBorders>
              <w:top w:val="nil"/>
              <w:left w:val="nil"/>
              <w:bottom w:val="single" w:sz="4" w:space="0" w:color="auto"/>
              <w:right w:val="single" w:sz="4" w:space="0" w:color="auto"/>
            </w:tcBorders>
            <w:shd w:val="clear" w:color="auto" w:fill="auto"/>
            <w:noWrap/>
            <w:vAlign w:val="center"/>
            <w:hideMark/>
          </w:tcPr>
          <w:p w14:paraId="6D1F65F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15579034</w:t>
            </w:r>
          </w:p>
        </w:tc>
        <w:tc>
          <w:tcPr>
            <w:tcW w:w="3360" w:type="pct"/>
            <w:tcBorders>
              <w:top w:val="nil"/>
              <w:left w:val="nil"/>
              <w:bottom w:val="single" w:sz="4" w:space="0" w:color="auto"/>
              <w:right w:val="single" w:sz="4" w:space="0" w:color="auto"/>
            </w:tcBorders>
            <w:shd w:val="clear" w:color="auto" w:fill="auto"/>
            <w:vAlign w:val="center"/>
            <w:hideMark/>
          </w:tcPr>
          <w:p w14:paraId="6897B96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PEČICE</w:t>
            </w:r>
          </w:p>
        </w:tc>
      </w:tr>
      <w:tr w:rsidR="00E3750C" w:rsidRPr="00415AB3" w14:paraId="295D798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75AC0D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661</w:t>
            </w:r>
          </w:p>
        </w:tc>
        <w:tc>
          <w:tcPr>
            <w:tcW w:w="705" w:type="pct"/>
            <w:tcBorders>
              <w:top w:val="nil"/>
              <w:left w:val="nil"/>
              <w:bottom w:val="single" w:sz="4" w:space="0" w:color="auto"/>
              <w:right w:val="single" w:sz="4" w:space="0" w:color="auto"/>
            </w:tcBorders>
            <w:shd w:val="clear" w:color="auto" w:fill="auto"/>
            <w:noWrap/>
            <w:vAlign w:val="center"/>
            <w:hideMark/>
          </w:tcPr>
          <w:p w14:paraId="6FA4B25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5016703000</w:t>
            </w:r>
          </w:p>
        </w:tc>
        <w:tc>
          <w:tcPr>
            <w:tcW w:w="547" w:type="pct"/>
            <w:tcBorders>
              <w:top w:val="nil"/>
              <w:left w:val="nil"/>
              <w:bottom w:val="single" w:sz="4" w:space="0" w:color="auto"/>
              <w:right w:val="single" w:sz="4" w:space="0" w:color="auto"/>
            </w:tcBorders>
            <w:shd w:val="clear" w:color="auto" w:fill="auto"/>
            <w:noWrap/>
            <w:vAlign w:val="center"/>
            <w:hideMark/>
          </w:tcPr>
          <w:p w14:paraId="1C59F93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83404279</w:t>
            </w:r>
          </w:p>
        </w:tc>
        <w:tc>
          <w:tcPr>
            <w:tcW w:w="3360" w:type="pct"/>
            <w:tcBorders>
              <w:top w:val="nil"/>
              <w:left w:val="nil"/>
              <w:bottom w:val="single" w:sz="4" w:space="0" w:color="auto"/>
              <w:right w:val="single" w:sz="4" w:space="0" w:color="auto"/>
            </w:tcBorders>
            <w:shd w:val="clear" w:color="auto" w:fill="auto"/>
            <w:vAlign w:val="center"/>
            <w:hideMark/>
          </w:tcPr>
          <w:p w14:paraId="42BB5FF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PIŠECE</w:t>
            </w:r>
          </w:p>
        </w:tc>
      </w:tr>
      <w:tr w:rsidR="00E3750C" w:rsidRPr="00415AB3" w14:paraId="216D145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20BC7A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662</w:t>
            </w:r>
          </w:p>
        </w:tc>
        <w:tc>
          <w:tcPr>
            <w:tcW w:w="705" w:type="pct"/>
            <w:tcBorders>
              <w:top w:val="nil"/>
              <w:left w:val="nil"/>
              <w:bottom w:val="single" w:sz="4" w:space="0" w:color="auto"/>
              <w:right w:val="single" w:sz="4" w:space="0" w:color="auto"/>
            </w:tcBorders>
            <w:shd w:val="clear" w:color="auto" w:fill="auto"/>
            <w:noWrap/>
            <w:vAlign w:val="center"/>
            <w:hideMark/>
          </w:tcPr>
          <w:p w14:paraId="18F6E71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2516276000</w:t>
            </w:r>
          </w:p>
        </w:tc>
        <w:tc>
          <w:tcPr>
            <w:tcW w:w="547" w:type="pct"/>
            <w:tcBorders>
              <w:top w:val="nil"/>
              <w:left w:val="nil"/>
              <w:bottom w:val="single" w:sz="4" w:space="0" w:color="auto"/>
              <w:right w:val="single" w:sz="4" w:space="0" w:color="auto"/>
            </w:tcBorders>
            <w:shd w:val="clear" w:color="auto" w:fill="auto"/>
            <w:noWrap/>
            <w:vAlign w:val="center"/>
            <w:hideMark/>
          </w:tcPr>
          <w:p w14:paraId="530C81F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31816851</w:t>
            </w:r>
          </w:p>
        </w:tc>
        <w:tc>
          <w:tcPr>
            <w:tcW w:w="3360" w:type="pct"/>
            <w:tcBorders>
              <w:top w:val="nil"/>
              <w:left w:val="nil"/>
              <w:bottom w:val="single" w:sz="4" w:space="0" w:color="auto"/>
              <w:right w:val="single" w:sz="4" w:space="0" w:color="auto"/>
            </w:tcBorders>
            <w:shd w:val="clear" w:color="auto" w:fill="auto"/>
            <w:vAlign w:val="center"/>
            <w:hideMark/>
          </w:tcPr>
          <w:p w14:paraId="21E320C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PLAČE</w:t>
            </w:r>
          </w:p>
        </w:tc>
      </w:tr>
      <w:tr w:rsidR="00E3750C" w:rsidRPr="00415AB3" w14:paraId="42F7B32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0B1065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663</w:t>
            </w:r>
          </w:p>
        </w:tc>
        <w:tc>
          <w:tcPr>
            <w:tcW w:w="705" w:type="pct"/>
            <w:tcBorders>
              <w:top w:val="nil"/>
              <w:left w:val="nil"/>
              <w:bottom w:val="single" w:sz="4" w:space="0" w:color="auto"/>
              <w:right w:val="single" w:sz="4" w:space="0" w:color="auto"/>
            </w:tcBorders>
            <w:shd w:val="clear" w:color="auto" w:fill="auto"/>
            <w:noWrap/>
            <w:vAlign w:val="center"/>
            <w:hideMark/>
          </w:tcPr>
          <w:p w14:paraId="524E450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5017246000</w:t>
            </w:r>
          </w:p>
        </w:tc>
        <w:tc>
          <w:tcPr>
            <w:tcW w:w="547" w:type="pct"/>
            <w:tcBorders>
              <w:top w:val="nil"/>
              <w:left w:val="nil"/>
              <w:bottom w:val="single" w:sz="4" w:space="0" w:color="auto"/>
              <w:right w:val="single" w:sz="4" w:space="0" w:color="auto"/>
            </w:tcBorders>
            <w:shd w:val="clear" w:color="auto" w:fill="auto"/>
            <w:noWrap/>
            <w:vAlign w:val="center"/>
            <w:hideMark/>
          </w:tcPr>
          <w:p w14:paraId="1FBAE13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23703172</w:t>
            </w:r>
          </w:p>
        </w:tc>
        <w:tc>
          <w:tcPr>
            <w:tcW w:w="3360" w:type="pct"/>
            <w:tcBorders>
              <w:top w:val="nil"/>
              <w:left w:val="nil"/>
              <w:bottom w:val="single" w:sz="4" w:space="0" w:color="auto"/>
              <w:right w:val="single" w:sz="4" w:space="0" w:color="auto"/>
            </w:tcBorders>
            <w:shd w:val="clear" w:color="auto" w:fill="auto"/>
            <w:vAlign w:val="center"/>
            <w:hideMark/>
          </w:tcPr>
          <w:p w14:paraId="5F5E628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PLANINA</w:t>
            </w:r>
          </w:p>
        </w:tc>
      </w:tr>
      <w:tr w:rsidR="00E3750C" w:rsidRPr="00415AB3" w14:paraId="3F7DC53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3A1E47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664</w:t>
            </w:r>
          </w:p>
        </w:tc>
        <w:tc>
          <w:tcPr>
            <w:tcW w:w="705" w:type="pct"/>
            <w:tcBorders>
              <w:top w:val="nil"/>
              <w:left w:val="nil"/>
              <w:bottom w:val="single" w:sz="4" w:space="0" w:color="auto"/>
              <w:right w:val="single" w:sz="4" w:space="0" w:color="auto"/>
            </w:tcBorders>
            <w:shd w:val="clear" w:color="auto" w:fill="auto"/>
            <w:noWrap/>
            <w:vAlign w:val="center"/>
            <w:hideMark/>
          </w:tcPr>
          <w:p w14:paraId="64C7AE7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5027896000</w:t>
            </w:r>
          </w:p>
        </w:tc>
        <w:tc>
          <w:tcPr>
            <w:tcW w:w="547" w:type="pct"/>
            <w:tcBorders>
              <w:top w:val="nil"/>
              <w:left w:val="nil"/>
              <w:bottom w:val="single" w:sz="4" w:space="0" w:color="auto"/>
              <w:right w:val="single" w:sz="4" w:space="0" w:color="auto"/>
            </w:tcBorders>
            <w:shd w:val="clear" w:color="auto" w:fill="auto"/>
            <w:noWrap/>
            <w:vAlign w:val="center"/>
            <w:hideMark/>
          </w:tcPr>
          <w:p w14:paraId="5B7D966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99288486</w:t>
            </w:r>
          </w:p>
        </w:tc>
        <w:tc>
          <w:tcPr>
            <w:tcW w:w="3360" w:type="pct"/>
            <w:tcBorders>
              <w:top w:val="nil"/>
              <w:left w:val="nil"/>
              <w:bottom w:val="single" w:sz="4" w:space="0" w:color="auto"/>
              <w:right w:val="single" w:sz="4" w:space="0" w:color="auto"/>
            </w:tcBorders>
            <w:shd w:val="clear" w:color="auto" w:fill="auto"/>
            <w:vAlign w:val="center"/>
            <w:hideMark/>
          </w:tcPr>
          <w:p w14:paraId="7C00A31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PLANINA</w:t>
            </w:r>
          </w:p>
        </w:tc>
      </w:tr>
      <w:tr w:rsidR="00E3750C" w:rsidRPr="00415AB3" w14:paraId="56CF62D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70354E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665</w:t>
            </w:r>
          </w:p>
        </w:tc>
        <w:tc>
          <w:tcPr>
            <w:tcW w:w="705" w:type="pct"/>
            <w:tcBorders>
              <w:top w:val="nil"/>
              <w:left w:val="nil"/>
              <w:bottom w:val="single" w:sz="4" w:space="0" w:color="auto"/>
              <w:right w:val="single" w:sz="4" w:space="0" w:color="auto"/>
            </w:tcBorders>
            <w:shd w:val="clear" w:color="auto" w:fill="auto"/>
            <w:noWrap/>
            <w:vAlign w:val="center"/>
            <w:hideMark/>
          </w:tcPr>
          <w:p w14:paraId="35DCE2C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5019036000</w:t>
            </w:r>
          </w:p>
        </w:tc>
        <w:tc>
          <w:tcPr>
            <w:tcW w:w="547" w:type="pct"/>
            <w:tcBorders>
              <w:top w:val="nil"/>
              <w:left w:val="nil"/>
              <w:bottom w:val="single" w:sz="4" w:space="0" w:color="auto"/>
              <w:right w:val="single" w:sz="4" w:space="0" w:color="auto"/>
            </w:tcBorders>
            <w:shd w:val="clear" w:color="auto" w:fill="auto"/>
            <w:noWrap/>
            <w:vAlign w:val="center"/>
            <w:hideMark/>
          </w:tcPr>
          <w:p w14:paraId="75F5DE3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23936436</w:t>
            </w:r>
          </w:p>
        </w:tc>
        <w:tc>
          <w:tcPr>
            <w:tcW w:w="3360" w:type="pct"/>
            <w:tcBorders>
              <w:top w:val="nil"/>
              <w:left w:val="nil"/>
              <w:bottom w:val="single" w:sz="4" w:space="0" w:color="auto"/>
              <w:right w:val="single" w:sz="4" w:space="0" w:color="auto"/>
            </w:tcBorders>
            <w:shd w:val="clear" w:color="auto" w:fill="auto"/>
            <w:vAlign w:val="center"/>
            <w:hideMark/>
          </w:tcPr>
          <w:p w14:paraId="745AB49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PLANINA PRI SEVNICI</w:t>
            </w:r>
          </w:p>
        </w:tc>
      </w:tr>
      <w:tr w:rsidR="00E3750C" w:rsidRPr="00415AB3" w14:paraId="793989E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D10C04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666</w:t>
            </w:r>
          </w:p>
        </w:tc>
        <w:tc>
          <w:tcPr>
            <w:tcW w:w="705" w:type="pct"/>
            <w:tcBorders>
              <w:top w:val="nil"/>
              <w:left w:val="nil"/>
              <w:bottom w:val="single" w:sz="4" w:space="0" w:color="auto"/>
              <w:right w:val="single" w:sz="4" w:space="0" w:color="auto"/>
            </w:tcBorders>
            <w:shd w:val="clear" w:color="auto" w:fill="auto"/>
            <w:noWrap/>
            <w:vAlign w:val="center"/>
            <w:hideMark/>
          </w:tcPr>
          <w:p w14:paraId="36AD57A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5017203000</w:t>
            </w:r>
          </w:p>
        </w:tc>
        <w:tc>
          <w:tcPr>
            <w:tcW w:w="547" w:type="pct"/>
            <w:tcBorders>
              <w:top w:val="nil"/>
              <w:left w:val="nil"/>
              <w:bottom w:val="single" w:sz="4" w:space="0" w:color="auto"/>
              <w:right w:val="single" w:sz="4" w:space="0" w:color="auto"/>
            </w:tcBorders>
            <w:shd w:val="clear" w:color="auto" w:fill="auto"/>
            <w:noWrap/>
            <w:vAlign w:val="center"/>
            <w:hideMark/>
          </w:tcPr>
          <w:p w14:paraId="3307B4C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42416566</w:t>
            </w:r>
          </w:p>
        </w:tc>
        <w:tc>
          <w:tcPr>
            <w:tcW w:w="3360" w:type="pct"/>
            <w:tcBorders>
              <w:top w:val="nil"/>
              <w:left w:val="nil"/>
              <w:bottom w:val="single" w:sz="4" w:space="0" w:color="auto"/>
              <w:right w:val="single" w:sz="4" w:space="0" w:color="auto"/>
            </w:tcBorders>
            <w:shd w:val="clear" w:color="auto" w:fill="auto"/>
            <w:vAlign w:val="center"/>
            <w:hideMark/>
          </w:tcPr>
          <w:p w14:paraId="49AFD2D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POBEGI-ČEŽARJI</w:t>
            </w:r>
          </w:p>
        </w:tc>
      </w:tr>
      <w:tr w:rsidR="00E3750C" w:rsidRPr="00415AB3" w14:paraId="2461CCB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F6C5B6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667</w:t>
            </w:r>
          </w:p>
        </w:tc>
        <w:tc>
          <w:tcPr>
            <w:tcW w:w="705" w:type="pct"/>
            <w:tcBorders>
              <w:top w:val="nil"/>
              <w:left w:val="nil"/>
              <w:bottom w:val="single" w:sz="4" w:space="0" w:color="auto"/>
              <w:right w:val="single" w:sz="4" w:space="0" w:color="auto"/>
            </w:tcBorders>
            <w:shd w:val="clear" w:color="auto" w:fill="auto"/>
            <w:noWrap/>
            <w:vAlign w:val="center"/>
            <w:hideMark/>
          </w:tcPr>
          <w:p w14:paraId="6AFB5B4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5029171000</w:t>
            </w:r>
          </w:p>
        </w:tc>
        <w:tc>
          <w:tcPr>
            <w:tcW w:w="547" w:type="pct"/>
            <w:tcBorders>
              <w:top w:val="nil"/>
              <w:left w:val="nil"/>
              <w:bottom w:val="single" w:sz="4" w:space="0" w:color="auto"/>
              <w:right w:val="single" w:sz="4" w:space="0" w:color="auto"/>
            </w:tcBorders>
            <w:shd w:val="clear" w:color="auto" w:fill="auto"/>
            <w:noWrap/>
            <w:vAlign w:val="center"/>
            <w:hideMark/>
          </w:tcPr>
          <w:p w14:paraId="47E8A87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20750692</w:t>
            </w:r>
          </w:p>
        </w:tc>
        <w:tc>
          <w:tcPr>
            <w:tcW w:w="3360" w:type="pct"/>
            <w:tcBorders>
              <w:top w:val="nil"/>
              <w:left w:val="nil"/>
              <w:bottom w:val="single" w:sz="4" w:space="0" w:color="auto"/>
              <w:right w:val="single" w:sz="4" w:space="0" w:color="auto"/>
            </w:tcBorders>
            <w:shd w:val="clear" w:color="auto" w:fill="auto"/>
            <w:vAlign w:val="center"/>
            <w:hideMark/>
          </w:tcPr>
          <w:p w14:paraId="43941E7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PODBLICA</w:t>
            </w:r>
          </w:p>
        </w:tc>
      </w:tr>
      <w:tr w:rsidR="00E3750C" w:rsidRPr="00415AB3" w14:paraId="3A345E2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6F8651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668</w:t>
            </w:r>
          </w:p>
        </w:tc>
        <w:tc>
          <w:tcPr>
            <w:tcW w:w="705" w:type="pct"/>
            <w:tcBorders>
              <w:top w:val="nil"/>
              <w:left w:val="nil"/>
              <w:bottom w:val="single" w:sz="4" w:space="0" w:color="auto"/>
              <w:right w:val="single" w:sz="4" w:space="0" w:color="auto"/>
            </w:tcBorders>
            <w:shd w:val="clear" w:color="auto" w:fill="auto"/>
            <w:noWrap/>
            <w:vAlign w:val="center"/>
            <w:hideMark/>
          </w:tcPr>
          <w:p w14:paraId="124C36C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5028787000</w:t>
            </w:r>
          </w:p>
        </w:tc>
        <w:tc>
          <w:tcPr>
            <w:tcW w:w="547" w:type="pct"/>
            <w:tcBorders>
              <w:top w:val="nil"/>
              <w:left w:val="nil"/>
              <w:bottom w:val="single" w:sz="4" w:space="0" w:color="auto"/>
              <w:right w:val="single" w:sz="4" w:space="0" w:color="auto"/>
            </w:tcBorders>
            <w:shd w:val="clear" w:color="auto" w:fill="auto"/>
            <w:noWrap/>
            <w:vAlign w:val="center"/>
            <w:hideMark/>
          </w:tcPr>
          <w:p w14:paraId="10DDFB9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71175482</w:t>
            </w:r>
          </w:p>
        </w:tc>
        <w:tc>
          <w:tcPr>
            <w:tcW w:w="3360" w:type="pct"/>
            <w:tcBorders>
              <w:top w:val="nil"/>
              <w:left w:val="nil"/>
              <w:bottom w:val="single" w:sz="4" w:space="0" w:color="auto"/>
              <w:right w:val="single" w:sz="4" w:space="0" w:color="auto"/>
            </w:tcBorders>
            <w:shd w:val="clear" w:color="auto" w:fill="auto"/>
            <w:vAlign w:val="center"/>
            <w:hideMark/>
          </w:tcPr>
          <w:p w14:paraId="2F0A538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PODBOČJE</w:t>
            </w:r>
          </w:p>
        </w:tc>
      </w:tr>
      <w:tr w:rsidR="00E3750C" w:rsidRPr="00415AB3" w14:paraId="0FE0D8C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60CE9C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669</w:t>
            </w:r>
          </w:p>
        </w:tc>
        <w:tc>
          <w:tcPr>
            <w:tcW w:w="705" w:type="pct"/>
            <w:tcBorders>
              <w:top w:val="nil"/>
              <w:left w:val="nil"/>
              <w:bottom w:val="single" w:sz="4" w:space="0" w:color="auto"/>
              <w:right w:val="single" w:sz="4" w:space="0" w:color="auto"/>
            </w:tcBorders>
            <w:shd w:val="clear" w:color="auto" w:fill="auto"/>
            <w:noWrap/>
            <w:vAlign w:val="center"/>
            <w:hideMark/>
          </w:tcPr>
          <w:p w14:paraId="3870D7C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5018340000</w:t>
            </w:r>
          </w:p>
        </w:tc>
        <w:tc>
          <w:tcPr>
            <w:tcW w:w="547" w:type="pct"/>
            <w:tcBorders>
              <w:top w:val="nil"/>
              <w:left w:val="nil"/>
              <w:bottom w:val="single" w:sz="4" w:space="0" w:color="auto"/>
              <w:right w:val="single" w:sz="4" w:space="0" w:color="auto"/>
            </w:tcBorders>
            <w:shd w:val="clear" w:color="auto" w:fill="auto"/>
            <w:noWrap/>
            <w:vAlign w:val="center"/>
            <w:hideMark/>
          </w:tcPr>
          <w:p w14:paraId="5C11A88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59091274</w:t>
            </w:r>
          </w:p>
        </w:tc>
        <w:tc>
          <w:tcPr>
            <w:tcW w:w="3360" w:type="pct"/>
            <w:tcBorders>
              <w:top w:val="nil"/>
              <w:left w:val="nil"/>
              <w:bottom w:val="single" w:sz="4" w:space="0" w:color="auto"/>
              <w:right w:val="single" w:sz="4" w:space="0" w:color="auto"/>
            </w:tcBorders>
            <w:shd w:val="clear" w:color="auto" w:fill="auto"/>
            <w:vAlign w:val="center"/>
            <w:hideMark/>
          </w:tcPr>
          <w:p w14:paraId="2C7B43B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PODGORCI</w:t>
            </w:r>
          </w:p>
        </w:tc>
      </w:tr>
      <w:tr w:rsidR="00E3750C" w:rsidRPr="00415AB3" w14:paraId="30BA2A3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FE957A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670</w:t>
            </w:r>
          </w:p>
        </w:tc>
        <w:tc>
          <w:tcPr>
            <w:tcW w:w="705" w:type="pct"/>
            <w:tcBorders>
              <w:top w:val="nil"/>
              <w:left w:val="nil"/>
              <w:bottom w:val="single" w:sz="4" w:space="0" w:color="auto"/>
              <w:right w:val="single" w:sz="4" w:space="0" w:color="auto"/>
            </w:tcBorders>
            <w:shd w:val="clear" w:color="auto" w:fill="auto"/>
            <w:noWrap/>
            <w:vAlign w:val="center"/>
            <w:hideMark/>
          </w:tcPr>
          <w:p w14:paraId="75D5A50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5016568000</w:t>
            </w:r>
          </w:p>
        </w:tc>
        <w:tc>
          <w:tcPr>
            <w:tcW w:w="547" w:type="pct"/>
            <w:tcBorders>
              <w:top w:val="nil"/>
              <w:left w:val="nil"/>
              <w:bottom w:val="single" w:sz="4" w:space="0" w:color="auto"/>
              <w:right w:val="single" w:sz="4" w:space="0" w:color="auto"/>
            </w:tcBorders>
            <w:shd w:val="clear" w:color="auto" w:fill="auto"/>
            <w:noWrap/>
            <w:vAlign w:val="center"/>
            <w:hideMark/>
          </w:tcPr>
          <w:p w14:paraId="20299A5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45820651</w:t>
            </w:r>
          </w:p>
        </w:tc>
        <w:tc>
          <w:tcPr>
            <w:tcW w:w="3360" w:type="pct"/>
            <w:tcBorders>
              <w:top w:val="nil"/>
              <w:left w:val="nil"/>
              <w:bottom w:val="single" w:sz="4" w:space="0" w:color="auto"/>
              <w:right w:val="single" w:sz="4" w:space="0" w:color="auto"/>
            </w:tcBorders>
            <w:shd w:val="clear" w:color="auto" w:fill="auto"/>
            <w:vAlign w:val="center"/>
            <w:hideMark/>
          </w:tcPr>
          <w:p w14:paraId="77130BD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PODKRAJ</w:t>
            </w:r>
          </w:p>
        </w:tc>
      </w:tr>
      <w:tr w:rsidR="00E3750C" w:rsidRPr="00415AB3" w14:paraId="3FB9242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0F19A0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671</w:t>
            </w:r>
          </w:p>
        </w:tc>
        <w:tc>
          <w:tcPr>
            <w:tcW w:w="705" w:type="pct"/>
            <w:tcBorders>
              <w:top w:val="nil"/>
              <w:left w:val="nil"/>
              <w:bottom w:val="single" w:sz="4" w:space="0" w:color="auto"/>
              <w:right w:val="single" w:sz="4" w:space="0" w:color="auto"/>
            </w:tcBorders>
            <w:shd w:val="clear" w:color="auto" w:fill="auto"/>
            <w:noWrap/>
            <w:vAlign w:val="center"/>
            <w:hideMark/>
          </w:tcPr>
          <w:p w14:paraId="7FADEA0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5019044000</w:t>
            </w:r>
          </w:p>
        </w:tc>
        <w:tc>
          <w:tcPr>
            <w:tcW w:w="547" w:type="pct"/>
            <w:tcBorders>
              <w:top w:val="nil"/>
              <w:left w:val="nil"/>
              <w:bottom w:val="single" w:sz="4" w:space="0" w:color="auto"/>
              <w:right w:val="single" w:sz="4" w:space="0" w:color="auto"/>
            </w:tcBorders>
            <w:shd w:val="clear" w:color="auto" w:fill="auto"/>
            <w:noWrap/>
            <w:vAlign w:val="center"/>
            <w:hideMark/>
          </w:tcPr>
          <w:p w14:paraId="4DF834C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43883320</w:t>
            </w:r>
          </w:p>
        </w:tc>
        <w:tc>
          <w:tcPr>
            <w:tcW w:w="3360" w:type="pct"/>
            <w:tcBorders>
              <w:top w:val="nil"/>
              <w:left w:val="nil"/>
              <w:bottom w:val="single" w:sz="4" w:space="0" w:color="auto"/>
              <w:right w:val="single" w:sz="4" w:space="0" w:color="auto"/>
            </w:tcBorders>
            <w:shd w:val="clear" w:color="auto" w:fill="auto"/>
            <w:vAlign w:val="center"/>
            <w:hideMark/>
          </w:tcPr>
          <w:p w14:paraId="460EC57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PONIKVA</w:t>
            </w:r>
          </w:p>
        </w:tc>
      </w:tr>
      <w:tr w:rsidR="00E3750C" w:rsidRPr="00415AB3" w14:paraId="3086395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CAD4E3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672</w:t>
            </w:r>
          </w:p>
        </w:tc>
        <w:tc>
          <w:tcPr>
            <w:tcW w:w="705" w:type="pct"/>
            <w:tcBorders>
              <w:top w:val="nil"/>
              <w:left w:val="nil"/>
              <w:bottom w:val="single" w:sz="4" w:space="0" w:color="auto"/>
              <w:right w:val="single" w:sz="4" w:space="0" w:color="auto"/>
            </w:tcBorders>
            <w:shd w:val="clear" w:color="auto" w:fill="auto"/>
            <w:noWrap/>
            <w:vAlign w:val="center"/>
            <w:hideMark/>
          </w:tcPr>
          <w:p w14:paraId="5F9EE14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5021731000</w:t>
            </w:r>
          </w:p>
        </w:tc>
        <w:tc>
          <w:tcPr>
            <w:tcW w:w="547" w:type="pct"/>
            <w:tcBorders>
              <w:top w:val="nil"/>
              <w:left w:val="nil"/>
              <w:bottom w:val="single" w:sz="4" w:space="0" w:color="auto"/>
              <w:right w:val="single" w:sz="4" w:space="0" w:color="auto"/>
            </w:tcBorders>
            <w:shd w:val="clear" w:color="auto" w:fill="auto"/>
            <w:noWrap/>
            <w:vAlign w:val="center"/>
            <w:hideMark/>
          </w:tcPr>
          <w:p w14:paraId="6D357BA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69765502</w:t>
            </w:r>
          </w:p>
        </w:tc>
        <w:tc>
          <w:tcPr>
            <w:tcW w:w="3360" w:type="pct"/>
            <w:tcBorders>
              <w:top w:val="nil"/>
              <w:left w:val="nil"/>
              <w:bottom w:val="single" w:sz="4" w:space="0" w:color="auto"/>
              <w:right w:val="single" w:sz="4" w:space="0" w:color="auto"/>
            </w:tcBorders>
            <w:shd w:val="clear" w:color="auto" w:fill="auto"/>
            <w:vAlign w:val="center"/>
            <w:hideMark/>
          </w:tcPr>
          <w:p w14:paraId="37D63A4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PRAGERSKO - GAJ</w:t>
            </w:r>
          </w:p>
        </w:tc>
      </w:tr>
      <w:tr w:rsidR="00E3750C" w:rsidRPr="00415AB3" w14:paraId="1158D1C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851A08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673</w:t>
            </w:r>
          </w:p>
        </w:tc>
        <w:tc>
          <w:tcPr>
            <w:tcW w:w="705" w:type="pct"/>
            <w:tcBorders>
              <w:top w:val="nil"/>
              <w:left w:val="nil"/>
              <w:bottom w:val="single" w:sz="4" w:space="0" w:color="auto"/>
              <w:right w:val="single" w:sz="4" w:space="0" w:color="auto"/>
            </w:tcBorders>
            <w:shd w:val="clear" w:color="auto" w:fill="auto"/>
            <w:noWrap/>
            <w:vAlign w:val="center"/>
            <w:hideMark/>
          </w:tcPr>
          <w:p w14:paraId="5E876B0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5030269000</w:t>
            </w:r>
          </w:p>
        </w:tc>
        <w:tc>
          <w:tcPr>
            <w:tcW w:w="547" w:type="pct"/>
            <w:tcBorders>
              <w:top w:val="nil"/>
              <w:left w:val="nil"/>
              <w:bottom w:val="single" w:sz="4" w:space="0" w:color="auto"/>
              <w:right w:val="single" w:sz="4" w:space="0" w:color="auto"/>
            </w:tcBorders>
            <w:shd w:val="clear" w:color="auto" w:fill="auto"/>
            <w:noWrap/>
            <w:vAlign w:val="center"/>
            <w:hideMark/>
          </w:tcPr>
          <w:p w14:paraId="0C21B02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68789670</w:t>
            </w:r>
          </w:p>
        </w:tc>
        <w:tc>
          <w:tcPr>
            <w:tcW w:w="3360" w:type="pct"/>
            <w:tcBorders>
              <w:top w:val="nil"/>
              <w:left w:val="nil"/>
              <w:bottom w:val="single" w:sz="4" w:space="0" w:color="auto"/>
              <w:right w:val="single" w:sz="4" w:space="0" w:color="auto"/>
            </w:tcBorders>
            <w:shd w:val="clear" w:color="auto" w:fill="auto"/>
            <w:vAlign w:val="center"/>
            <w:hideMark/>
          </w:tcPr>
          <w:p w14:paraId="037096E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PREČNA</w:t>
            </w:r>
          </w:p>
        </w:tc>
      </w:tr>
      <w:tr w:rsidR="00E3750C" w:rsidRPr="00415AB3" w14:paraId="2D4A733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773FD2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674</w:t>
            </w:r>
          </w:p>
        </w:tc>
        <w:tc>
          <w:tcPr>
            <w:tcW w:w="705" w:type="pct"/>
            <w:tcBorders>
              <w:top w:val="nil"/>
              <w:left w:val="nil"/>
              <w:bottom w:val="single" w:sz="4" w:space="0" w:color="auto"/>
              <w:right w:val="single" w:sz="4" w:space="0" w:color="auto"/>
            </w:tcBorders>
            <w:shd w:val="clear" w:color="auto" w:fill="auto"/>
            <w:noWrap/>
            <w:vAlign w:val="center"/>
            <w:hideMark/>
          </w:tcPr>
          <w:p w14:paraId="57C2CC4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5019451000</w:t>
            </w:r>
          </w:p>
        </w:tc>
        <w:tc>
          <w:tcPr>
            <w:tcW w:w="547" w:type="pct"/>
            <w:tcBorders>
              <w:top w:val="nil"/>
              <w:left w:val="nil"/>
              <w:bottom w:val="single" w:sz="4" w:space="0" w:color="auto"/>
              <w:right w:val="single" w:sz="4" w:space="0" w:color="auto"/>
            </w:tcBorders>
            <w:shd w:val="clear" w:color="auto" w:fill="auto"/>
            <w:noWrap/>
            <w:vAlign w:val="center"/>
            <w:hideMark/>
          </w:tcPr>
          <w:p w14:paraId="6723B23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47469056</w:t>
            </w:r>
          </w:p>
        </w:tc>
        <w:tc>
          <w:tcPr>
            <w:tcW w:w="3360" w:type="pct"/>
            <w:tcBorders>
              <w:top w:val="nil"/>
              <w:left w:val="nil"/>
              <w:bottom w:val="single" w:sz="4" w:space="0" w:color="auto"/>
              <w:right w:val="single" w:sz="4" w:space="0" w:color="auto"/>
            </w:tcBorders>
            <w:shd w:val="clear" w:color="auto" w:fill="auto"/>
            <w:vAlign w:val="center"/>
            <w:hideMark/>
          </w:tcPr>
          <w:p w14:paraId="5F78831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PREDMEJA</w:t>
            </w:r>
          </w:p>
        </w:tc>
      </w:tr>
      <w:tr w:rsidR="00E3750C" w:rsidRPr="00415AB3" w14:paraId="3B5A547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C328E4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675</w:t>
            </w:r>
          </w:p>
        </w:tc>
        <w:tc>
          <w:tcPr>
            <w:tcW w:w="705" w:type="pct"/>
            <w:tcBorders>
              <w:top w:val="nil"/>
              <w:left w:val="nil"/>
              <w:bottom w:val="single" w:sz="4" w:space="0" w:color="auto"/>
              <w:right w:val="single" w:sz="4" w:space="0" w:color="auto"/>
            </w:tcBorders>
            <w:shd w:val="clear" w:color="auto" w:fill="auto"/>
            <w:noWrap/>
            <w:vAlign w:val="center"/>
            <w:hideMark/>
          </w:tcPr>
          <w:p w14:paraId="5A88DAF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5031192000</w:t>
            </w:r>
          </w:p>
        </w:tc>
        <w:tc>
          <w:tcPr>
            <w:tcW w:w="547" w:type="pct"/>
            <w:tcBorders>
              <w:top w:val="nil"/>
              <w:left w:val="nil"/>
              <w:bottom w:val="single" w:sz="4" w:space="0" w:color="auto"/>
              <w:right w:val="single" w:sz="4" w:space="0" w:color="auto"/>
            </w:tcBorders>
            <w:shd w:val="clear" w:color="auto" w:fill="auto"/>
            <w:noWrap/>
            <w:vAlign w:val="center"/>
            <w:hideMark/>
          </w:tcPr>
          <w:p w14:paraId="4F45E14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40810062</w:t>
            </w:r>
          </w:p>
        </w:tc>
        <w:tc>
          <w:tcPr>
            <w:tcW w:w="3360" w:type="pct"/>
            <w:tcBorders>
              <w:top w:val="nil"/>
              <w:left w:val="nil"/>
              <w:bottom w:val="single" w:sz="4" w:space="0" w:color="auto"/>
              <w:right w:val="single" w:sz="4" w:space="0" w:color="auto"/>
            </w:tcBorders>
            <w:shd w:val="clear" w:color="auto" w:fill="auto"/>
            <w:vAlign w:val="center"/>
            <w:hideMark/>
          </w:tcPr>
          <w:p w14:paraId="46E0DBB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PREDOSLJE</w:t>
            </w:r>
          </w:p>
        </w:tc>
      </w:tr>
      <w:tr w:rsidR="00E3750C" w:rsidRPr="00415AB3" w14:paraId="05CC2E2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36780F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676</w:t>
            </w:r>
          </w:p>
        </w:tc>
        <w:tc>
          <w:tcPr>
            <w:tcW w:w="705" w:type="pct"/>
            <w:tcBorders>
              <w:top w:val="nil"/>
              <w:left w:val="nil"/>
              <w:bottom w:val="single" w:sz="4" w:space="0" w:color="auto"/>
              <w:right w:val="single" w:sz="4" w:space="0" w:color="auto"/>
            </w:tcBorders>
            <w:shd w:val="clear" w:color="auto" w:fill="auto"/>
            <w:noWrap/>
            <w:vAlign w:val="center"/>
            <w:hideMark/>
          </w:tcPr>
          <w:p w14:paraId="04CC84B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5020964000</w:t>
            </w:r>
          </w:p>
        </w:tc>
        <w:tc>
          <w:tcPr>
            <w:tcW w:w="547" w:type="pct"/>
            <w:tcBorders>
              <w:top w:val="nil"/>
              <w:left w:val="nil"/>
              <w:bottom w:val="single" w:sz="4" w:space="0" w:color="auto"/>
              <w:right w:val="single" w:sz="4" w:space="0" w:color="auto"/>
            </w:tcBorders>
            <w:shd w:val="clear" w:color="auto" w:fill="auto"/>
            <w:noWrap/>
            <w:vAlign w:val="center"/>
            <w:hideMark/>
          </w:tcPr>
          <w:p w14:paraId="350C1E4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75020190</w:t>
            </w:r>
          </w:p>
        </w:tc>
        <w:tc>
          <w:tcPr>
            <w:tcW w:w="3360" w:type="pct"/>
            <w:tcBorders>
              <w:top w:val="nil"/>
              <w:left w:val="nil"/>
              <w:bottom w:val="single" w:sz="4" w:space="0" w:color="auto"/>
              <w:right w:val="single" w:sz="4" w:space="0" w:color="auto"/>
            </w:tcBorders>
            <w:shd w:val="clear" w:color="auto" w:fill="auto"/>
            <w:vAlign w:val="center"/>
            <w:hideMark/>
          </w:tcPr>
          <w:p w14:paraId="2CF31DD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PREVORJE</w:t>
            </w:r>
          </w:p>
        </w:tc>
      </w:tr>
      <w:tr w:rsidR="00E3750C" w:rsidRPr="00415AB3" w14:paraId="1C09A2E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513435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677</w:t>
            </w:r>
          </w:p>
        </w:tc>
        <w:tc>
          <w:tcPr>
            <w:tcW w:w="705" w:type="pct"/>
            <w:tcBorders>
              <w:top w:val="nil"/>
              <w:left w:val="nil"/>
              <w:bottom w:val="single" w:sz="4" w:space="0" w:color="auto"/>
              <w:right w:val="single" w:sz="4" w:space="0" w:color="auto"/>
            </w:tcBorders>
            <w:shd w:val="clear" w:color="auto" w:fill="auto"/>
            <w:noWrap/>
            <w:vAlign w:val="center"/>
            <w:hideMark/>
          </w:tcPr>
          <w:p w14:paraId="4F0C45A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5032466000</w:t>
            </w:r>
          </w:p>
        </w:tc>
        <w:tc>
          <w:tcPr>
            <w:tcW w:w="547" w:type="pct"/>
            <w:tcBorders>
              <w:top w:val="nil"/>
              <w:left w:val="nil"/>
              <w:bottom w:val="single" w:sz="4" w:space="0" w:color="auto"/>
              <w:right w:val="single" w:sz="4" w:space="0" w:color="auto"/>
            </w:tcBorders>
            <w:shd w:val="clear" w:color="auto" w:fill="auto"/>
            <w:noWrap/>
            <w:vAlign w:val="center"/>
            <w:hideMark/>
          </w:tcPr>
          <w:p w14:paraId="24D86BE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76077292</w:t>
            </w:r>
          </w:p>
        </w:tc>
        <w:tc>
          <w:tcPr>
            <w:tcW w:w="3360" w:type="pct"/>
            <w:tcBorders>
              <w:top w:val="nil"/>
              <w:left w:val="nil"/>
              <w:bottom w:val="single" w:sz="4" w:space="0" w:color="auto"/>
              <w:right w:val="single" w:sz="4" w:space="0" w:color="auto"/>
            </w:tcBorders>
            <w:shd w:val="clear" w:color="auto" w:fill="auto"/>
            <w:vAlign w:val="center"/>
            <w:hideMark/>
          </w:tcPr>
          <w:p w14:paraId="1DB0A07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PRIMOŽ</w:t>
            </w:r>
          </w:p>
        </w:tc>
      </w:tr>
      <w:tr w:rsidR="00E3750C" w:rsidRPr="00415AB3" w14:paraId="1B18990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8BAE99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678</w:t>
            </w:r>
          </w:p>
        </w:tc>
        <w:tc>
          <w:tcPr>
            <w:tcW w:w="705" w:type="pct"/>
            <w:tcBorders>
              <w:top w:val="nil"/>
              <w:left w:val="nil"/>
              <w:bottom w:val="single" w:sz="4" w:space="0" w:color="auto"/>
              <w:right w:val="single" w:sz="4" w:space="0" w:color="auto"/>
            </w:tcBorders>
            <w:shd w:val="clear" w:color="auto" w:fill="auto"/>
            <w:noWrap/>
            <w:vAlign w:val="center"/>
            <w:hideMark/>
          </w:tcPr>
          <w:p w14:paraId="75A0C4E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5032113000</w:t>
            </w:r>
          </w:p>
        </w:tc>
        <w:tc>
          <w:tcPr>
            <w:tcW w:w="547" w:type="pct"/>
            <w:tcBorders>
              <w:top w:val="nil"/>
              <w:left w:val="nil"/>
              <w:bottom w:val="single" w:sz="4" w:space="0" w:color="auto"/>
              <w:right w:val="single" w:sz="4" w:space="0" w:color="auto"/>
            </w:tcBorders>
            <w:shd w:val="clear" w:color="auto" w:fill="auto"/>
            <w:noWrap/>
            <w:vAlign w:val="center"/>
            <w:hideMark/>
          </w:tcPr>
          <w:p w14:paraId="33AF042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13725378</w:t>
            </w:r>
          </w:p>
        </w:tc>
        <w:tc>
          <w:tcPr>
            <w:tcW w:w="3360" w:type="pct"/>
            <w:tcBorders>
              <w:top w:val="nil"/>
              <w:left w:val="nil"/>
              <w:bottom w:val="single" w:sz="4" w:space="0" w:color="auto"/>
              <w:right w:val="single" w:sz="4" w:space="0" w:color="auto"/>
            </w:tcBorders>
            <w:shd w:val="clear" w:color="auto" w:fill="auto"/>
            <w:vAlign w:val="center"/>
            <w:hideMark/>
          </w:tcPr>
          <w:p w14:paraId="5C3FEA9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PRVAČINA</w:t>
            </w:r>
          </w:p>
        </w:tc>
      </w:tr>
      <w:tr w:rsidR="00E3750C" w:rsidRPr="00415AB3" w14:paraId="689AF3B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9B43F8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679</w:t>
            </w:r>
          </w:p>
        </w:tc>
        <w:tc>
          <w:tcPr>
            <w:tcW w:w="705" w:type="pct"/>
            <w:tcBorders>
              <w:top w:val="nil"/>
              <w:left w:val="nil"/>
              <w:bottom w:val="single" w:sz="4" w:space="0" w:color="auto"/>
              <w:right w:val="single" w:sz="4" w:space="0" w:color="auto"/>
            </w:tcBorders>
            <w:shd w:val="clear" w:color="auto" w:fill="auto"/>
            <w:noWrap/>
            <w:vAlign w:val="center"/>
            <w:hideMark/>
          </w:tcPr>
          <w:p w14:paraId="32F69DB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5030234000</w:t>
            </w:r>
          </w:p>
        </w:tc>
        <w:tc>
          <w:tcPr>
            <w:tcW w:w="547" w:type="pct"/>
            <w:tcBorders>
              <w:top w:val="nil"/>
              <w:left w:val="nil"/>
              <w:bottom w:val="single" w:sz="4" w:space="0" w:color="auto"/>
              <w:right w:val="single" w:sz="4" w:space="0" w:color="auto"/>
            </w:tcBorders>
            <w:shd w:val="clear" w:color="auto" w:fill="auto"/>
            <w:noWrap/>
            <w:vAlign w:val="center"/>
            <w:hideMark/>
          </w:tcPr>
          <w:p w14:paraId="3A0CAC9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81992149</w:t>
            </w:r>
          </w:p>
        </w:tc>
        <w:tc>
          <w:tcPr>
            <w:tcW w:w="3360" w:type="pct"/>
            <w:tcBorders>
              <w:top w:val="nil"/>
              <w:left w:val="nil"/>
              <w:bottom w:val="single" w:sz="4" w:space="0" w:color="auto"/>
              <w:right w:val="single" w:sz="4" w:space="0" w:color="auto"/>
            </w:tcBorders>
            <w:shd w:val="clear" w:color="auto" w:fill="auto"/>
            <w:vAlign w:val="center"/>
            <w:hideMark/>
          </w:tcPr>
          <w:p w14:paraId="1345675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RAKA</w:t>
            </w:r>
          </w:p>
        </w:tc>
      </w:tr>
      <w:tr w:rsidR="00E3750C" w:rsidRPr="00415AB3" w14:paraId="2A82D82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B855FC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680</w:t>
            </w:r>
          </w:p>
        </w:tc>
        <w:tc>
          <w:tcPr>
            <w:tcW w:w="705" w:type="pct"/>
            <w:tcBorders>
              <w:top w:val="nil"/>
              <w:left w:val="nil"/>
              <w:bottom w:val="single" w:sz="4" w:space="0" w:color="auto"/>
              <w:right w:val="single" w:sz="4" w:space="0" w:color="auto"/>
            </w:tcBorders>
            <w:shd w:val="clear" w:color="auto" w:fill="auto"/>
            <w:noWrap/>
            <w:vAlign w:val="center"/>
            <w:hideMark/>
          </w:tcPr>
          <w:p w14:paraId="66B8C92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5033004000</w:t>
            </w:r>
          </w:p>
        </w:tc>
        <w:tc>
          <w:tcPr>
            <w:tcW w:w="547" w:type="pct"/>
            <w:tcBorders>
              <w:top w:val="nil"/>
              <w:left w:val="nil"/>
              <w:bottom w:val="single" w:sz="4" w:space="0" w:color="auto"/>
              <w:right w:val="single" w:sz="4" w:space="0" w:color="auto"/>
            </w:tcBorders>
            <w:shd w:val="clear" w:color="auto" w:fill="auto"/>
            <w:noWrap/>
            <w:vAlign w:val="center"/>
            <w:hideMark/>
          </w:tcPr>
          <w:p w14:paraId="5A0AF32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56330456</w:t>
            </w:r>
          </w:p>
        </w:tc>
        <w:tc>
          <w:tcPr>
            <w:tcW w:w="3360" w:type="pct"/>
            <w:tcBorders>
              <w:top w:val="nil"/>
              <w:left w:val="nil"/>
              <w:bottom w:val="single" w:sz="4" w:space="0" w:color="auto"/>
              <w:right w:val="single" w:sz="4" w:space="0" w:color="auto"/>
            </w:tcBorders>
            <w:shd w:val="clear" w:color="auto" w:fill="auto"/>
            <w:vAlign w:val="center"/>
            <w:hideMark/>
          </w:tcPr>
          <w:p w14:paraId="711E17C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RAKITOVEC</w:t>
            </w:r>
          </w:p>
        </w:tc>
      </w:tr>
      <w:tr w:rsidR="00E3750C" w:rsidRPr="00415AB3" w14:paraId="77197D1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8AB261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681</w:t>
            </w:r>
          </w:p>
        </w:tc>
        <w:tc>
          <w:tcPr>
            <w:tcW w:w="705" w:type="pct"/>
            <w:tcBorders>
              <w:top w:val="nil"/>
              <w:left w:val="nil"/>
              <w:bottom w:val="single" w:sz="4" w:space="0" w:color="auto"/>
              <w:right w:val="single" w:sz="4" w:space="0" w:color="auto"/>
            </w:tcBorders>
            <w:shd w:val="clear" w:color="auto" w:fill="auto"/>
            <w:noWrap/>
            <w:vAlign w:val="center"/>
            <w:hideMark/>
          </w:tcPr>
          <w:p w14:paraId="58E1E71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5027454000</w:t>
            </w:r>
          </w:p>
        </w:tc>
        <w:tc>
          <w:tcPr>
            <w:tcW w:w="547" w:type="pct"/>
            <w:tcBorders>
              <w:top w:val="nil"/>
              <w:left w:val="nil"/>
              <w:bottom w:val="single" w:sz="4" w:space="0" w:color="auto"/>
              <w:right w:val="single" w:sz="4" w:space="0" w:color="auto"/>
            </w:tcBorders>
            <w:shd w:val="clear" w:color="auto" w:fill="auto"/>
            <w:noWrap/>
            <w:vAlign w:val="center"/>
            <w:hideMark/>
          </w:tcPr>
          <w:p w14:paraId="6D6C804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30275601</w:t>
            </w:r>
          </w:p>
        </w:tc>
        <w:tc>
          <w:tcPr>
            <w:tcW w:w="3360" w:type="pct"/>
            <w:tcBorders>
              <w:top w:val="nil"/>
              <w:left w:val="nil"/>
              <w:bottom w:val="single" w:sz="4" w:space="0" w:color="auto"/>
              <w:right w:val="single" w:sz="4" w:space="0" w:color="auto"/>
            </w:tcBorders>
            <w:shd w:val="clear" w:color="auto" w:fill="auto"/>
            <w:vAlign w:val="center"/>
            <w:hideMark/>
          </w:tcPr>
          <w:p w14:paraId="768212D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RAVNICA</w:t>
            </w:r>
          </w:p>
        </w:tc>
      </w:tr>
      <w:tr w:rsidR="00E3750C" w:rsidRPr="00415AB3" w14:paraId="646C862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7E019F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682</w:t>
            </w:r>
          </w:p>
        </w:tc>
        <w:tc>
          <w:tcPr>
            <w:tcW w:w="705" w:type="pct"/>
            <w:tcBorders>
              <w:top w:val="nil"/>
              <w:left w:val="nil"/>
              <w:bottom w:val="single" w:sz="4" w:space="0" w:color="auto"/>
              <w:right w:val="single" w:sz="4" w:space="0" w:color="auto"/>
            </w:tcBorders>
            <w:shd w:val="clear" w:color="auto" w:fill="auto"/>
            <w:noWrap/>
            <w:vAlign w:val="center"/>
            <w:hideMark/>
          </w:tcPr>
          <w:p w14:paraId="5B501CD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5032903000</w:t>
            </w:r>
          </w:p>
        </w:tc>
        <w:tc>
          <w:tcPr>
            <w:tcW w:w="547" w:type="pct"/>
            <w:tcBorders>
              <w:top w:val="nil"/>
              <w:left w:val="nil"/>
              <w:bottom w:val="single" w:sz="4" w:space="0" w:color="auto"/>
              <w:right w:val="single" w:sz="4" w:space="0" w:color="auto"/>
            </w:tcBorders>
            <w:shd w:val="clear" w:color="auto" w:fill="auto"/>
            <w:noWrap/>
            <w:vAlign w:val="center"/>
            <w:hideMark/>
          </w:tcPr>
          <w:p w14:paraId="2B708D8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80387233</w:t>
            </w:r>
          </w:p>
        </w:tc>
        <w:tc>
          <w:tcPr>
            <w:tcW w:w="3360" w:type="pct"/>
            <w:tcBorders>
              <w:top w:val="nil"/>
              <w:left w:val="nil"/>
              <w:bottom w:val="single" w:sz="4" w:space="0" w:color="auto"/>
              <w:right w:val="single" w:sz="4" w:space="0" w:color="auto"/>
            </w:tcBorders>
            <w:shd w:val="clear" w:color="auto" w:fill="auto"/>
            <w:vAlign w:val="center"/>
            <w:hideMark/>
          </w:tcPr>
          <w:p w14:paraId="17F31B5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RESNIK</w:t>
            </w:r>
          </w:p>
        </w:tc>
      </w:tr>
      <w:tr w:rsidR="00E3750C" w:rsidRPr="00415AB3" w14:paraId="40706AD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263BD8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683</w:t>
            </w:r>
          </w:p>
        </w:tc>
        <w:tc>
          <w:tcPr>
            <w:tcW w:w="705" w:type="pct"/>
            <w:tcBorders>
              <w:top w:val="nil"/>
              <w:left w:val="nil"/>
              <w:bottom w:val="single" w:sz="4" w:space="0" w:color="auto"/>
              <w:right w:val="single" w:sz="4" w:space="0" w:color="auto"/>
            </w:tcBorders>
            <w:shd w:val="clear" w:color="auto" w:fill="auto"/>
            <w:noWrap/>
            <w:vAlign w:val="center"/>
            <w:hideMark/>
          </w:tcPr>
          <w:p w14:paraId="376A5D0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5020611000</w:t>
            </w:r>
          </w:p>
        </w:tc>
        <w:tc>
          <w:tcPr>
            <w:tcW w:w="547" w:type="pct"/>
            <w:tcBorders>
              <w:top w:val="nil"/>
              <w:left w:val="nil"/>
              <w:bottom w:val="single" w:sz="4" w:space="0" w:color="auto"/>
              <w:right w:val="single" w:sz="4" w:space="0" w:color="auto"/>
            </w:tcBorders>
            <w:shd w:val="clear" w:color="auto" w:fill="auto"/>
            <w:noWrap/>
            <w:vAlign w:val="center"/>
            <w:hideMark/>
          </w:tcPr>
          <w:p w14:paraId="067E9FF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26849267</w:t>
            </w:r>
          </w:p>
        </w:tc>
        <w:tc>
          <w:tcPr>
            <w:tcW w:w="3360" w:type="pct"/>
            <w:tcBorders>
              <w:top w:val="nil"/>
              <w:left w:val="nil"/>
              <w:bottom w:val="single" w:sz="4" w:space="0" w:color="auto"/>
              <w:right w:val="single" w:sz="4" w:space="0" w:color="auto"/>
            </w:tcBorders>
            <w:shd w:val="clear" w:color="auto" w:fill="auto"/>
            <w:vAlign w:val="center"/>
            <w:hideMark/>
          </w:tcPr>
          <w:p w14:paraId="42CCA8B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ROŽNA DOLINA</w:t>
            </w:r>
          </w:p>
        </w:tc>
      </w:tr>
      <w:tr w:rsidR="00E3750C" w:rsidRPr="00415AB3" w14:paraId="2CC036F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3BF7A1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684</w:t>
            </w:r>
          </w:p>
        </w:tc>
        <w:tc>
          <w:tcPr>
            <w:tcW w:w="705" w:type="pct"/>
            <w:tcBorders>
              <w:top w:val="nil"/>
              <w:left w:val="nil"/>
              <w:bottom w:val="single" w:sz="4" w:space="0" w:color="auto"/>
              <w:right w:val="single" w:sz="4" w:space="0" w:color="auto"/>
            </w:tcBorders>
            <w:shd w:val="clear" w:color="auto" w:fill="auto"/>
            <w:noWrap/>
            <w:vAlign w:val="center"/>
            <w:hideMark/>
          </w:tcPr>
          <w:p w14:paraId="53BBC93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5022088000</w:t>
            </w:r>
          </w:p>
        </w:tc>
        <w:tc>
          <w:tcPr>
            <w:tcW w:w="547" w:type="pct"/>
            <w:tcBorders>
              <w:top w:val="nil"/>
              <w:left w:val="nil"/>
              <w:bottom w:val="single" w:sz="4" w:space="0" w:color="auto"/>
              <w:right w:val="single" w:sz="4" w:space="0" w:color="auto"/>
            </w:tcBorders>
            <w:shd w:val="clear" w:color="auto" w:fill="auto"/>
            <w:noWrap/>
            <w:vAlign w:val="center"/>
            <w:hideMark/>
          </w:tcPr>
          <w:p w14:paraId="6622AB9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69405972</w:t>
            </w:r>
          </w:p>
        </w:tc>
        <w:tc>
          <w:tcPr>
            <w:tcW w:w="3360" w:type="pct"/>
            <w:tcBorders>
              <w:top w:val="nil"/>
              <w:left w:val="nil"/>
              <w:bottom w:val="single" w:sz="4" w:space="0" w:color="auto"/>
              <w:right w:val="single" w:sz="4" w:space="0" w:color="auto"/>
            </w:tcBorders>
            <w:shd w:val="clear" w:color="auto" w:fill="auto"/>
            <w:vAlign w:val="center"/>
            <w:hideMark/>
          </w:tcPr>
          <w:p w14:paraId="5B1E195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ROŽNO PRESLADOL</w:t>
            </w:r>
          </w:p>
        </w:tc>
      </w:tr>
      <w:tr w:rsidR="00E3750C" w:rsidRPr="00415AB3" w14:paraId="1230B1D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509795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685</w:t>
            </w:r>
          </w:p>
        </w:tc>
        <w:tc>
          <w:tcPr>
            <w:tcW w:w="705" w:type="pct"/>
            <w:tcBorders>
              <w:top w:val="nil"/>
              <w:left w:val="nil"/>
              <w:bottom w:val="single" w:sz="4" w:space="0" w:color="auto"/>
              <w:right w:val="single" w:sz="4" w:space="0" w:color="auto"/>
            </w:tcBorders>
            <w:shd w:val="clear" w:color="auto" w:fill="auto"/>
            <w:noWrap/>
            <w:vAlign w:val="center"/>
            <w:hideMark/>
          </w:tcPr>
          <w:p w14:paraId="3780259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5026709000</w:t>
            </w:r>
          </w:p>
        </w:tc>
        <w:tc>
          <w:tcPr>
            <w:tcW w:w="547" w:type="pct"/>
            <w:tcBorders>
              <w:top w:val="nil"/>
              <w:left w:val="nil"/>
              <w:bottom w:val="single" w:sz="4" w:space="0" w:color="auto"/>
              <w:right w:val="single" w:sz="4" w:space="0" w:color="auto"/>
            </w:tcBorders>
            <w:shd w:val="clear" w:color="auto" w:fill="auto"/>
            <w:noWrap/>
            <w:vAlign w:val="center"/>
            <w:hideMark/>
          </w:tcPr>
          <w:p w14:paraId="4A2EF3C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19267843</w:t>
            </w:r>
          </w:p>
        </w:tc>
        <w:tc>
          <w:tcPr>
            <w:tcW w:w="3360" w:type="pct"/>
            <w:tcBorders>
              <w:top w:val="nil"/>
              <w:left w:val="nil"/>
              <w:bottom w:val="single" w:sz="4" w:space="0" w:color="auto"/>
              <w:right w:val="single" w:sz="4" w:space="0" w:color="auto"/>
            </w:tcBorders>
            <w:shd w:val="clear" w:color="auto" w:fill="auto"/>
            <w:vAlign w:val="center"/>
            <w:hideMark/>
          </w:tcPr>
          <w:p w14:paraId="064B4F5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SELO</w:t>
            </w:r>
          </w:p>
        </w:tc>
      </w:tr>
      <w:tr w:rsidR="00E3750C" w:rsidRPr="00415AB3" w14:paraId="5E68CEB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122BBF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686</w:t>
            </w:r>
          </w:p>
        </w:tc>
        <w:tc>
          <w:tcPr>
            <w:tcW w:w="705" w:type="pct"/>
            <w:tcBorders>
              <w:top w:val="nil"/>
              <w:left w:val="nil"/>
              <w:bottom w:val="single" w:sz="4" w:space="0" w:color="auto"/>
              <w:right w:val="single" w:sz="4" w:space="0" w:color="auto"/>
            </w:tcBorders>
            <w:shd w:val="clear" w:color="auto" w:fill="auto"/>
            <w:noWrap/>
            <w:vAlign w:val="center"/>
            <w:hideMark/>
          </w:tcPr>
          <w:p w14:paraId="5C9234D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5031486000</w:t>
            </w:r>
          </w:p>
        </w:tc>
        <w:tc>
          <w:tcPr>
            <w:tcW w:w="547" w:type="pct"/>
            <w:tcBorders>
              <w:top w:val="nil"/>
              <w:left w:val="nil"/>
              <w:bottom w:val="single" w:sz="4" w:space="0" w:color="auto"/>
              <w:right w:val="single" w:sz="4" w:space="0" w:color="auto"/>
            </w:tcBorders>
            <w:shd w:val="clear" w:color="auto" w:fill="auto"/>
            <w:noWrap/>
            <w:vAlign w:val="center"/>
            <w:hideMark/>
          </w:tcPr>
          <w:p w14:paraId="70031AC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82991065</w:t>
            </w:r>
          </w:p>
        </w:tc>
        <w:tc>
          <w:tcPr>
            <w:tcW w:w="3360" w:type="pct"/>
            <w:tcBorders>
              <w:top w:val="nil"/>
              <w:left w:val="nil"/>
              <w:bottom w:val="single" w:sz="4" w:space="0" w:color="auto"/>
              <w:right w:val="single" w:sz="4" w:space="0" w:color="auto"/>
            </w:tcBorders>
            <w:shd w:val="clear" w:color="auto" w:fill="auto"/>
            <w:vAlign w:val="center"/>
            <w:hideMark/>
          </w:tcPr>
          <w:p w14:paraId="42269D2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SENOVO</w:t>
            </w:r>
          </w:p>
        </w:tc>
      </w:tr>
      <w:tr w:rsidR="00E3750C" w:rsidRPr="00415AB3" w14:paraId="3A5DBF7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5D0317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687</w:t>
            </w:r>
          </w:p>
        </w:tc>
        <w:tc>
          <w:tcPr>
            <w:tcW w:w="705" w:type="pct"/>
            <w:tcBorders>
              <w:top w:val="nil"/>
              <w:left w:val="nil"/>
              <w:bottom w:val="single" w:sz="4" w:space="0" w:color="auto"/>
              <w:right w:val="single" w:sz="4" w:space="0" w:color="auto"/>
            </w:tcBorders>
            <w:shd w:val="clear" w:color="auto" w:fill="auto"/>
            <w:noWrap/>
            <w:vAlign w:val="center"/>
            <w:hideMark/>
          </w:tcPr>
          <w:p w14:paraId="4F07091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5178916000</w:t>
            </w:r>
          </w:p>
        </w:tc>
        <w:tc>
          <w:tcPr>
            <w:tcW w:w="547" w:type="pct"/>
            <w:tcBorders>
              <w:top w:val="nil"/>
              <w:left w:val="nil"/>
              <w:bottom w:val="single" w:sz="4" w:space="0" w:color="auto"/>
              <w:right w:val="single" w:sz="4" w:space="0" w:color="auto"/>
            </w:tcBorders>
            <w:shd w:val="clear" w:color="auto" w:fill="auto"/>
            <w:noWrap/>
            <w:vAlign w:val="center"/>
            <w:hideMark/>
          </w:tcPr>
          <w:p w14:paraId="5BF45CE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95752315</w:t>
            </w:r>
          </w:p>
        </w:tc>
        <w:tc>
          <w:tcPr>
            <w:tcW w:w="3360" w:type="pct"/>
            <w:tcBorders>
              <w:top w:val="nil"/>
              <w:left w:val="nil"/>
              <w:bottom w:val="single" w:sz="4" w:space="0" w:color="auto"/>
              <w:right w:val="single" w:sz="4" w:space="0" w:color="auto"/>
            </w:tcBorders>
            <w:shd w:val="clear" w:color="auto" w:fill="auto"/>
            <w:vAlign w:val="center"/>
            <w:hideMark/>
          </w:tcPr>
          <w:p w14:paraId="489C971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SENUŠE</w:t>
            </w:r>
          </w:p>
        </w:tc>
      </w:tr>
      <w:tr w:rsidR="00E3750C" w:rsidRPr="00415AB3" w14:paraId="5011082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986740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688</w:t>
            </w:r>
          </w:p>
        </w:tc>
        <w:tc>
          <w:tcPr>
            <w:tcW w:w="705" w:type="pct"/>
            <w:tcBorders>
              <w:top w:val="nil"/>
              <w:left w:val="nil"/>
              <w:bottom w:val="single" w:sz="4" w:space="0" w:color="auto"/>
              <w:right w:val="single" w:sz="4" w:space="0" w:color="auto"/>
            </w:tcBorders>
            <w:shd w:val="clear" w:color="auto" w:fill="auto"/>
            <w:noWrap/>
            <w:vAlign w:val="center"/>
            <w:hideMark/>
          </w:tcPr>
          <w:p w14:paraId="761EBEF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5018838000</w:t>
            </w:r>
          </w:p>
        </w:tc>
        <w:tc>
          <w:tcPr>
            <w:tcW w:w="547" w:type="pct"/>
            <w:tcBorders>
              <w:top w:val="nil"/>
              <w:left w:val="nil"/>
              <w:bottom w:val="single" w:sz="4" w:space="0" w:color="auto"/>
              <w:right w:val="single" w:sz="4" w:space="0" w:color="auto"/>
            </w:tcBorders>
            <w:shd w:val="clear" w:color="auto" w:fill="auto"/>
            <w:noWrap/>
            <w:vAlign w:val="center"/>
            <w:hideMark/>
          </w:tcPr>
          <w:p w14:paraId="1490AB9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65049373</w:t>
            </w:r>
          </w:p>
        </w:tc>
        <w:tc>
          <w:tcPr>
            <w:tcW w:w="3360" w:type="pct"/>
            <w:tcBorders>
              <w:top w:val="nil"/>
              <w:left w:val="nil"/>
              <w:bottom w:val="single" w:sz="4" w:space="0" w:color="auto"/>
              <w:right w:val="single" w:sz="4" w:space="0" w:color="auto"/>
            </w:tcBorders>
            <w:shd w:val="clear" w:color="auto" w:fill="auto"/>
            <w:vAlign w:val="center"/>
            <w:hideMark/>
          </w:tcPr>
          <w:p w14:paraId="0D13EA5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SEVNICA</w:t>
            </w:r>
          </w:p>
        </w:tc>
      </w:tr>
      <w:tr w:rsidR="00E3750C" w:rsidRPr="00415AB3" w14:paraId="644F50D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873B5F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689</w:t>
            </w:r>
          </w:p>
        </w:tc>
        <w:tc>
          <w:tcPr>
            <w:tcW w:w="705" w:type="pct"/>
            <w:tcBorders>
              <w:top w:val="nil"/>
              <w:left w:val="nil"/>
              <w:bottom w:val="single" w:sz="4" w:space="0" w:color="auto"/>
              <w:right w:val="single" w:sz="4" w:space="0" w:color="auto"/>
            </w:tcBorders>
            <w:shd w:val="clear" w:color="auto" w:fill="auto"/>
            <w:noWrap/>
            <w:vAlign w:val="center"/>
            <w:hideMark/>
          </w:tcPr>
          <w:p w14:paraId="4A19664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5032946000</w:t>
            </w:r>
          </w:p>
        </w:tc>
        <w:tc>
          <w:tcPr>
            <w:tcW w:w="547" w:type="pct"/>
            <w:tcBorders>
              <w:top w:val="nil"/>
              <w:left w:val="nil"/>
              <w:bottom w:val="single" w:sz="4" w:space="0" w:color="auto"/>
              <w:right w:val="single" w:sz="4" w:space="0" w:color="auto"/>
            </w:tcBorders>
            <w:shd w:val="clear" w:color="auto" w:fill="auto"/>
            <w:noWrap/>
            <w:vAlign w:val="center"/>
            <w:hideMark/>
          </w:tcPr>
          <w:p w14:paraId="4B74A00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15985687</w:t>
            </w:r>
          </w:p>
        </w:tc>
        <w:tc>
          <w:tcPr>
            <w:tcW w:w="3360" w:type="pct"/>
            <w:tcBorders>
              <w:top w:val="nil"/>
              <w:left w:val="nil"/>
              <w:bottom w:val="single" w:sz="4" w:space="0" w:color="auto"/>
              <w:right w:val="single" w:sz="4" w:space="0" w:color="auto"/>
            </w:tcBorders>
            <w:shd w:val="clear" w:color="auto" w:fill="auto"/>
            <w:vAlign w:val="center"/>
            <w:hideMark/>
          </w:tcPr>
          <w:p w14:paraId="542D2E1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SKOMARJE</w:t>
            </w:r>
          </w:p>
        </w:tc>
      </w:tr>
      <w:tr w:rsidR="00E3750C" w:rsidRPr="00415AB3" w14:paraId="3B27E98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1DC884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690</w:t>
            </w:r>
          </w:p>
        </w:tc>
        <w:tc>
          <w:tcPr>
            <w:tcW w:w="705" w:type="pct"/>
            <w:tcBorders>
              <w:top w:val="nil"/>
              <w:left w:val="nil"/>
              <w:bottom w:val="single" w:sz="4" w:space="0" w:color="auto"/>
              <w:right w:val="single" w:sz="4" w:space="0" w:color="auto"/>
            </w:tcBorders>
            <w:shd w:val="clear" w:color="auto" w:fill="auto"/>
            <w:noWrap/>
            <w:vAlign w:val="center"/>
            <w:hideMark/>
          </w:tcPr>
          <w:p w14:paraId="14647BD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5028558000</w:t>
            </w:r>
          </w:p>
        </w:tc>
        <w:tc>
          <w:tcPr>
            <w:tcW w:w="547" w:type="pct"/>
            <w:tcBorders>
              <w:top w:val="nil"/>
              <w:left w:val="nil"/>
              <w:bottom w:val="single" w:sz="4" w:space="0" w:color="auto"/>
              <w:right w:val="single" w:sz="4" w:space="0" w:color="auto"/>
            </w:tcBorders>
            <w:shd w:val="clear" w:color="auto" w:fill="auto"/>
            <w:noWrap/>
            <w:vAlign w:val="center"/>
            <w:hideMark/>
          </w:tcPr>
          <w:p w14:paraId="6DEF802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73105635</w:t>
            </w:r>
          </w:p>
        </w:tc>
        <w:tc>
          <w:tcPr>
            <w:tcW w:w="3360" w:type="pct"/>
            <w:tcBorders>
              <w:top w:val="nil"/>
              <w:left w:val="nil"/>
              <w:bottom w:val="single" w:sz="4" w:space="0" w:color="auto"/>
              <w:right w:val="single" w:sz="4" w:space="0" w:color="auto"/>
            </w:tcBorders>
            <w:shd w:val="clear" w:color="auto" w:fill="auto"/>
            <w:vAlign w:val="center"/>
            <w:hideMark/>
          </w:tcPr>
          <w:p w14:paraId="1813657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SKOPICE</w:t>
            </w:r>
          </w:p>
        </w:tc>
      </w:tr>
      <w:tr w:rsidR="00E3750C" w:rsidRPr="00415AB3" w14:paraId="3E94A7A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536F0C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691</w:t>
            </w:r>
          </w:p>
        </w:tc>
        <w:tc>
          <w:tcPr>
            <w:tcW w:w="705" w:type="pct"/>
            <w:tcBorders>
              <w:top w:val="nil"/>
              <w:left w:val="nil"/>
              <w:bottom w:val="single" w:sz="4" w:space="0" w:color="auto"/>
              <w:right w:val="single" w:sz="4" w:space="0" w:color="auto"/>
            </w:tcBorders>
            <w:shd w:val="clear" w:color="auto" w:fill="auto"/>
            <w:noWrap/>
            <w:vAlign w:val="center"/>
            <w:hideMark/>
          </w:tcPr>
          <w:p w14:paraId="27C0E5F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5026741000</w:t>
            </w:r>
          </w:p>
        </w:tc>
        <w:tc>
          <w:tcPr>
            <w:tcW w:w="547" w:type="pct"/>
            <w:tcBorders>
              <w:top w:val="nil"/>
              <w:left w:val="nil"/>
              <w:bottom w:val="single" w:sz="4" w:space="0" w:color="auto"/>
              <w:right w:val="single" w:sz="4" w:space="0" w:color="auto"/>
            </w:tcBorders>
            <w:shd w:val="clear" w:color="auto" w:fill="auto"/>
            <w:noWrap/>
            <w:vAlign w:val="center"/>
            <w:hideMark/>
          </w:tcPr>
          <w:p w14:paraId="2E438B2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57597197</w:t>
            </w:r>
          </w:p>
        </w:tc>
        <w:tc>
          <w:tcPr>
            <w:tcW w:w="3360" w:type="pct"/>
            <w:tcBorders>
              <w:top w:val="nil"/>
              <w:left w:val="nil"/>
              <w:bottom w:val="single" w:sz="4" w:space="0" w:color="auto"/>
              <w:right w:val="single" w:sz="4" w:space="0" w:color="auto"/>
            </w:tcBorders>
            <w:shd w:val="clear" w:color="auto" w:fill="auto"/>
            <w:vAlign w:val="center"/>
            <w:hideMark/>
          </w:tcPr>
          <w:p w14:paraId="703F11A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SKRILJE</w:t>
            </w:r>
          </w:p>
        </w:tc>
      </w:tr>
      <w:tr w:rsidR="00E3750C" w:rsidRPr="00415AB3" w14:paraId="1CC3C08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7F195A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692</w:t>
            </w:r>
          </w:p>
        </w:tc>
        <w:tc>
          <w:tcPr>
            <w:tcW w:w="705" w:type="pct"/>
            <w:tcBorders>
              <w:top w:val="nil"/>
              <w:left w:val="nil"/>
              <w:bottom w:val="single" w:sz="4" w:space="0" w:color="auto"/>
              <w:right w:val="single" w:sz="4" w:space="0" w:color="auto"/>
            </w:tcBorders>
            <w:shd w:val="clear" w:color="auto" w:fill="auto"/>
            <w:noWrap/>
            <w:vAlign w:val="center"/>
            <w:hideMark/>
          </w:tcPr>
          <w:p w14:paraId="3A07008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5018986000</w:t>
            </w:r>
          </w:p>
        </w:tc>
        <w:tc>
          <w:tcPr>
            <w:tcW w:w="547" w:type="pct"/>
            <w:tcBorders>
              <w:top w:val="nil"/>
              <w:left w:val="nil"/>
              <w:bottom w:val="single" w:sz="4" w:space="0" w:color="auto"/>
              <w:right w:val="single" w:sz="4" w:space="0" w:color="auto"/>
            </w:tcBorders>
            <w:shd w:val="clear" w:color="auto" w:fill="auto"/>
            <w:noWrap/>
            <w:vAlign w:val="center"/>
            <w:hideMark/>
          </w:tcPr>
          <w:p w14:paraId="39AC4B9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33171262</w:t>
            </w:r>
          </w:p>
        </w:tc>
        <w:tc>
          <w:tcPr>
            <w:tcW w:w="3360" w:type="pct"/>
            <w:tcBorders>
              <w:top w:val="nil"/>
              <w:left w:val="nil"/>
              <w:bottom w:val="single" w:sz="4" w:space="0" w:color="auto"/>
              <w:right w:val="single" w:sz="4" w:space="0" w:color="auto"/>
            </w:tcBorders>
            <w:shd w:val="clear" w:color="auto" w:fill="auto"/>
            <w:vAlign w:val="center"/>
            <w:hideMark/>
          </w:tcPr>
          <w:p w14:paraId="21DC555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SLOVENSKE KONJICE</w:t>
            </w:r>
          </w:p>
        </w:tc>
      </w:tr>
      <w:tr w:rsidR="00E3750C" w:rsidRPr="00415AB3" w14:paraId="5D32BBC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CBCE80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693</w:t>
            </w:r>
          </w:p>
        </w:tc>
        <w:tc>
          <w:tcPr>
            <w:tcW w:w="705" w:type="pct"/>
            <w:tcBorders>
              <w:top w:val="nil"/>
              <w:left w:val="nil"/>
              <w:bottom w:val="single" w:sz="4" w:space="0" w:color="auto"/>
              <w:right w:val="single" w:sz="4" w:space="0" w:color="auto"/>
            </w:tcBorders>
            <w:shd w:val="clear" w:color="auto" w:fill="auto"/>
            <w:noWrap/>
            <w:vAlign w:val="center"/>
            <w:hideMark/>
          </w:tcPr>
          <w:p w14:paraId="161E6C9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5030218000</w:t>
            </w:r>
          </w:p>
        </w:tc>
        <w:tc>
          <w:tcPr>
            <w:tcW w:w="547" w:type="pct"/>
            <w:tcBorders>
              <w:top w:val="nil"/>
              <w:left w:val="nil"/>
              <w:bottom w:val="single" w:sz="4" w:space="0" w:color="auto"/>
              <w:right w:val="single" w:sz="4" w:space="0" w:color="auto"/>
            </w:tcBorders>
            <w:shd w:val="clear" w:color="auto" w:fill="auto"/>
            <w:noWrap/>
            <w:vAlign w:val="center"/>
            <w:hideMark/>
          </w:tcPr>
          <w:p w14:paraId="28380BE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66802156</w:t>
            </w:r>
          </w:p>
        </w:tc>
        <w:tc>
          <w:tcPr>
            <w:tcW w:w="3360" w:type="pct"/>
            <w:tcBorders>
              <w:top w:val="nil"/>
              <w:left w:val="nil"/>
              <w:bottom w:val="single" w:sz="4" w:space="0" w:color="auto"/>
              <w:right w:val="single" w:sz="4" w:space="0" w:color="auto"/>
            </w:tcBorders>
            <w:shd w:val="clear" w:color="auto" w:fill="auto"/>
            <w:vAlign w:val="center"/>
            <w:hideMark/>
          </w:tcPr>
          <w:p w14:paraId="092EA31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SOJEK-KAMNA GORA</w:t>
            </w:r>
          </w:p>
        </w:tc>
      </w:tr>
      <w:tr w:rsidR="00E3750C" w:rsidRPr="00415AB3" w14:paraId="496BAC4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E5BDEF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694</w:t>
            </w:r>
          </w:p>
        </w:tc>
        <w:tc>
          <w:tcPr>
            <w:tcW w:w="705" w:type="pct"/>
            <w:tcBorders>
              <w:top w:val="nil"/>
              <w:left w:val="nil"/>
              <w:bottom w:val="single" w:sz="4" w:space="0" w:color="auto"/>
              <w:right w:val="single" w:sz="4" w:space="0" w:color="auto"/>
            </w:tcBorders>
            <w:shd w:val="clear" w:color="auto" w:fill="auto"/>
            <w:noWrap/>
            <w:vAlign w:val="center"/>
            <w:hideMark/>
          </w:tcPr>
          <w:p w14:paraId="2585CA1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5030188000</w:t>
            </w:r>
          </w:p>
        </w:tc>
        <w:tc>
          <w:tcPr>
            <w:tcW w:w="547" w:type="pct"/>
            <w:tcBorders>
              <w:top w:val="nil"/>
              <w:left w:val="nil"/>
              <w:bottom w:val="single" w:sz="4" w:space="0" w:color="auto"/>
              <w:right w:val="single" w:sz="4" w:space="0" w:color="auto"/>
            </w:tcBorders>
            <w:shd w:val="clear" w:color="auto" w:fill="auto"/>
            <w:noWrap/>
            <w:vAlign w:val="center"/>
            <w:hideMark/>
          </w:tcPr>
          <w:p w14:paraId="18A6300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56544146</w:t>
            </w:r>
          </w:p>
        </w:tc>
        <w:tc>
          <w:tcPr>
            <w:tcW w:w="3360" w:type="pct"/>
            <w:tcBorders>
              <w:top w:val="nil"/>
              <w:left w:val="nil"/>
              <w:bottom w:val="single" w:sz="4" w:space="0" w:color="auto"/>
              <w:right w:val="single" w:sz="4" w:space="0" w:color="auto"/>
            </w:tcBorders>
            <w:shd w:val="clear" w:color="auto" w:fill="auto"/>
            <w:vAlign w:val="center"/>
            <w:hideMark/>
          </w:tcPr>
          <w:p w14:paraId="3A8CDF9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SOLKAN NOVA GORICA</w:t>
            </w:r>
          </w:p>
        </w:tc>
      </w:tr>
      <w:tr w:rsidR="00E3750C" w:rsidRPr="00415AB3" w14:paraId="2740631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2BC1D1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695</w:t>
            </w:r>
          </w:p>
        </w:tc>
        <w:tc>
          <w:tcPr>
            <w:tcW w:w="705" w:type="pct"/>
            <w:tcBorders>
              <w:top w:val="nil"/>
              <w:left w:val="nil"/>
              <w:bottom w:val="single" w:sz="4" w:space="0" w:color="auto"/>
              <w:right w:val="single" w:sz="4" w:space="0" w:color="auto"/>
            </w:tcBorders>
            <w:shd w:val="clear" w:color="auto" w:fill="auto"/>
            <w:noWrap/>
            <w:vAlign w:val="center"/>
            <w:hideMark/>
          </w:tcPr>
          <w:p w14:paraId="45B5EA2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5030137000</w:t>
            </w:r>
          </w:p>
        </w:tc>
        <w:tc>
          <w:tcPr>
            <w:tcW w:w="547" w:type="pct"/>
            <w:tcBorders>
              <w:top w:val="nil"/>
              <w:left w:val="nil"/>
              <w:bottom w:val="single" w:sz="4" w:space="0" w:color="auto"/>
              <w:right w:val="single" w:sz="4" w:space="0" w:color="auto"/>
            </w:tcBorders>
            <w:shd w:val="clear" w:color="auto" w:fill="auto"/>
            <w:noWrap/>
            <w:vAlign w:val="center"/>
            <w:hideMark/>
          </w:tcPr>
          <w:p w14:paraId="6EE3D2D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63053497</w:t>
            </w:r>
          </w:p>
        </w:tc>
        <w:tc>
          <w:tcPr>
            <w:tcW w:w="3360" w:type="pct"/>
            <w:tcBorders>
              <w:top w:val="nil"/>
              <w:left w:val="nil"/>
              <w:bottom w:val="single" w:sz="4" w:space="0" w:color="auto"/>
              <w:right w:val="single" w:sz="4" w:space="0" w:color="auto"/>
            </w:tcBorders>
            <w:shd w:val="clear" w:color="auto" w:fill="auto"/>
            <w:vAlign w:val="center"/>
            <w:hideMark/>
          </w:tcPr>
          <w:p w14:paraId="351CA70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SPODNJE GRUŠOVJE</w:t>
            </w:r>
          </w:p>
        </w:tc>
      </w:tr>
      <w:tr w:rsidR="00E3750C" w:rsidRPr="00415AB3" w14:paraId="78EE4A4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C25BE3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696</w:t>
            </w:r>
          </w:p>
        </w:tc>
        <w:tc>
          <w:tcPr>
            <w:tcW w:w="705" w:type="pct"/>
            <w:tcBorders>
              <w:top w:val="nil"/>
              <w:left w:val="nil"/>
              <w:bottom w:val="single" w:sz="4" w:space="0" w:color="auto"/>
              <w:right w:val="single" w:sz="4" w:space="0" w:color="auto"/>
            </w:tcBorders>
            <w:shd w:val="clear" w:color="auto" w:fill="auto"/>
            <w:noWrap/>
            <w:vAlign w:val="center"/>
            <w:hideMark/>
          </w:tcPr>
          <w:p w14:paraId="7EFE6C6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2330717000</w:t>
            </w:r>
          </w:p>
        </w:tc>
        <w:tc>
          <w:tcPr>
            <w:tcW w:w="547" w:type="pct"/>
            <w:tcBorders>
              <w:top w:val="nil"/>
              <w:left w:val="nil"/>
              <w:bottom w:val="single" w:sz="4" w:space="0" w:color="auto"/>
              <w:right w:val="single" w:sz="4" w:space="0" w:color="auto"/>
            </w:tcBorders>
            <w:shd w:val="clear" w:color="auto" w:fill="auto"/>
            <w:noWrap/>
            <w:vAlign w:val="center"/>
            <w:hideMark/>
          </w:tcPr>
          <w:p w14:paraId="0191054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54676878</w:t>
            </w:r>
          </w:p>
        </w:tc>
        <w:tc>
          <w:tcPr>
            <w:tcW w:w="3360" w:type="pct"/>
            <w:tcBorders>
              <w:top w:val="nil"/>
              <w:left w:val="nil"/>
              <w:bottom w:val="single" w:sz="4" w:space="0" w:color="auto"/>
              <w:right w:val="single" w:sz="4" w:space="0" w:color="auto"/>
            </w:tcBorders>
            <w:shd w:val="clear" w:color="auto" w:fill="auto"/>
            <w:vAlign w:val="center"/>
            <w:hideMark/>
          </w:tcPr>
          <w:p w14:paraId="3384639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SPODNJI STARI GRAD - SPODNJA LIBNA</w:t>
            </w:r>
          </w:p>
        </w:tc>
      </w:tr>
      <w:tr w:rsidR="00E3750C" w:rsidRPr="00415AB3" w14:paraId="02E21CC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8A5C0F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697</w:t>
            </w:r>
          </w:p>
        </w:tc>
        <w:tc>
          <w:tcPr>
            <w:tcW w:w="705" w:type="pct"/>
            <w:tcBorders>
              <w:top w:val="nil"/>
              <w:left w:val="nil"/>
              <w:bottom w:val="single" w:sz="4" w:space="0" w:color="auto"/>
              <w:right w:val="single" w:sz="4" w:space="0" w:color="auto"/>
            </w:tcBorders>
            <w:shd w:val="clear" w:color="auto" w:fill="auto"/>
            <w:noWrap/>
            <w:vAlign w:val="center"/>
            <w:hideMark/>
          </w:tcPr>
          <w:p w14:paraId="39E849C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5016606000</w:t>
            </w:r>
          </w:p>
        </w:tc>
        <w:tc>
          <w:tcPr>
            <w:tcW w:w="547" w:type="pct"/>
            <w:tcBorders>
              <w:top w:val="nil"/>
              <w:left w:val="nil"/>
              <w:bottom w:val="single" w:sz="4" w:space="0" w:color="auto"/>
              <w:right w:val="single" w:sz="4" w:space="0" w:color="auto"/>
            </w:tcBorders>
            <w:shd w:val="clear" w:color="auto" w:fill="auto"/>
            <w:noWrap/>
            <w:vAlign w:val="center"/>
            <w:hideMark/>
          </w:tcPr>
          <w:p w14:paraId="1F640C4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40932109</w:t>
            </w:r>
          </w:p>
        </w:tc>
        <w:tc>
          <w:tcPr>
            <w:tcW w:w="3360" w:type="pct"/>
            <w:tcBorders>
              <w:top w:val="nil"/>
              <w:left w:val="nil"/>
              <w:bottom w:val="single" w:sz="4" w:space="0" w:color="auto"/>
              <w:right w:val="single" w:sz="4" w:space="0" w:color="auto"/>
            </w:tcBorders>
            <w:shd w:val="clear" w:color="auto" w:fill="auto"/>
            <w:vAlign w:val="center"/>
            <w:hideMark/>
          </w:tcPr>
          <w:p w14:paraId="5C389CB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SROMLJE</w:t>
            </w:r>
          </w:p>
        </w:tc>
      </w:tr>
      <w:tr w:rsidR="00E3750C" w:rsidRPr="00415AB3" w14:paraId="6CC877B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776225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698</w:t>
            </w:r>
          </w:p>
        </w:tc>
        <w:tc>
          <w:tcPr>
            <w:tcW w:w="705" w:type="pct"/>
            <w:tcBorders>
              <w:top w:val="nil"/>
              <w:left w:val="nil"/>
              <w:bottom w:val="single" w:sz="4" w:space="0" w:color="auto"/>
              <w:right w:val="single" w:sz="4" w:space="0" w:color="auto"/>
            </w:tcBorders>
            <w:shd w:val="clear" w:color="auto" w:fill="auto"/>
            <w:noWrap/>
            <w:vAlign w:val="center"/>
            <w:hideMark/>
          </w:tcPr>
          <w:p w14:paraId="4A10DBC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5030781000</w:t>
            </w:r>
          </w:p>
        </w:tc>
        <w:tc>
          <w:tcPr>
            <w:tcW w:w="547" w:type="pct"/>
            <w:tcBorders>
              <w:top w:val="nil"/>
              <w:left w:val="nil"/>
              <w:bottom w:val="single" w:sz="4" w:space="0" w:color="auto"/>
              <w:right w:val="single" w:sz="4" w:space="0" w:color="auto"/>
            </w:tcBorders>
            <w:shd w:val="clear" w:color="auto" w:fill="auto"/>
            <w:noWrap/>
            <w:vAlign w:val="center"/>
            <w:hideMark/>
          </w:tcPr>
          <w:p w14:paraId="03CBF5D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50623346</w:t>
            </w:r>
          </w:p>
        </w:tc>
        <w:tc>
          <w:tcPr>
            <w:tcW w:w="3360" w:type="pct"/>
            <w:tcBorders>
              <w:top w:val="nil"/>
              <w:left w:val="nil"/>
              <w:bottom w:val="single" w:sz="4" w:space="0" w:color="auto"/>
              <w:right w:val="single" w:sz="4" w:space="0" w:color="auto"/>
            </w:tcBorders>
            <w:shd w:val="clear" w:color="auto" w:fill="auto"/>
            <w:vAlign w:val="center"/>
            <w:hideMark/>
          </w:tcPr>
          <w:p w14:paraId="42A270A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STOMAŽ</w:t>
            </w:r>
          </w:p>
        </w:tc>
      </w:tr>
      <w:tr w:rsidR="00E3750C" w:rsidRPr="00415AB3" w14:paraId="7E99038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1A527B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699</w:t>
            </w:r>
          </w:p>
        </w:tc>
        <w:tc>
          <w:tcPr>
            <w:tcW w:w="705" w:type="pct"/>
            <w:tcBorders>
              <w:top w:val="nil"/>
              <w:left w:val="nil"/>
              <w:bottom w:val="single" w:sz="4" w:space="0" w:color="auto"/>
              <w:right w:val="single" w:sz="4" w:space="0" w:color="auto"/>
            </w:tcBorders>
            <w:shd w:val="clear" w:color="auto" w:fill="auto"/>
            <w:noWrap/>
            <w:vAlign w:val="center"/>
            <w:hideMark/>
          </w:tcPr>
          <w:p w14:paraId="17F1133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5018994000</w:t>
            </w:r>
          </w:p>
        </w:tc>
        <w:tc>
          <w:tcPr>
            <w:tcW w:w="547" w:type="pct"/>
            <w:tcBorders>
              <w:top w:val="nil"/>
              <w:left w:val="nil"/>
              <w:bottom w:val="single" w:sz="4" w:space="0" w:color="auto"/>
              <w:right w:val="single" w:sz="4" w:space="0" w:color="auto"/>
            </w:tcBorders>
            <w:shd w:val="clear" w:color="auto" w:fill="auto"/>
            <w:noWrap/>
            <w:vAlign w:val="center"/>
            <w:hideMark/>
          </w:tcPr>
          <w:p w14:paraId="167ACAE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85348180</w:t>
            </w:r>
          </w:p>
        </w:tc>
        <w:tc>
          <w:tcPr>
            <w:tcW w:w="3360" w:type="pct"/>
            <w:tcBorders>
              <w:top w:val="nil"/>
              <w:left w:val="nil"/>
              <w:bottom w:val="single" w:sz="4" w:space="0" w:color="auto"/>
              <w:right w:val="single" w:sz="4" w:space="0" w:color="auto"/>
            </w:tcBorders>
            <w:shd w:val="clear" w:color="auto" w:fill="auto"/>
            <w:vAlign w:val="center"/>
            <w:hideMark/>
          </w:tcPr>
          <w:p w14:paraId="7FC6899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STRANICE</w:t>
            </w:r>
          </w:p>
        </w:tc>
      </w:tr>
      <w:tr w:rsidR="00E3750C" w:rsidRPr="00415AB3" w14:paraId="038CD6D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F29292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700</w:t>
            </w:r>
          </w:p>
        </w:tc>
        <w:tc>
          <w:tcPr>
            <w:tcW w:w="705" w:type="pct"/>
            <w:tcBorders>
              <w:top w:val="nil"/>
              <w:left w:val="nil"/>
              <w:bottom w:val="single" w:sz="4" w:space="0" w:color="auto"/>
              <w:right w:val="single" w:sz="4" w:space="0" w:color="auto"/>
            </w:tcBorders>
            <w:shd w:val="clear" w:color="auto" w:fill="auto"/>
            <w:noWrap/>
            <w:vAlign w:val="center"/>
            <w:hideMark/>
          </w:tcPr>
          <w:p w14:paraId="791DD38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5029139000</w:t>
            </w:r>
          </w:p>
        </w:tc>
        <w:tc>
          <w:tcPr>
            <w:tcW w:w="547" w:type="pct"/>
            <w:tcBorders>
              <w:top w:val="nil"/>
              <w:left w:val="nil"/>
              <w:bottom w:val="single" w:sz="4" w:space="0" w:color="auto"/>
              <w:right w:val="single" w:sz="4" w:space="0" w:color="auto"/>
            </w:tcBorders>
            <w:shd w:val="clear" w:color="auto" w:fill="auto"/>
            <w:noWrap/>
            <w:vAlign w:val="center"/>
            <w:hideMark/>
          </w:tcPr>
          <w:p w14:paraId="0847D72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93451091</w:t>
            </w:r>
          </w:p>
        </w:tc>
        <w:tc>
          <w:tcPr>
            <w:tcW w:w="3360" w:type="pct"/>
            <w:tcBorders>
              <w:top w:val="nil"/>
              <w:left w:val="nil"/>
              <w:bottom w:val="single" w:sz="4" w:space="0" w:color="auto"/>
              <w:right w:val="single" w:sz="4" w:space="0" w:color="auto"/>
            </w:tcBorders>
            <w:shd w:val="clear" w:color="auto" w:fill="auto"/>
            <w:vAlign w:val="center"/>
            <w:hideMark/>
          </w:tcPr>
          <w:p w14:paraId="4714C9C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STRAŽIŠČE</w:t>
            </w:r>
          </w:p>
        </w:tc>
      </w:tr>
      <w:tr w:rsidR="00E3750C" w:rsidRPr="00415AB3" w14:paraId="691A970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D1BCFC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701</w:t>
            </w:r>
          </w:p>
        </w:tc>
        <w:tc>
          <w:tcPr>
            <w:tcW w:w="705" w:type="pct"/>
            <w:tcBorders>
              <w:top w:val="nil"/>
              <w:left w:val="nil"/>
              <w:bottom w:val="single" w:sz="4" w:space="0" w:color="auto"/>
              <w:right w:val="single" w:sz="4" w:space="0" w:color="auto"/>
            </w:tcBorders>
            <w:shd w:val="clear" w:color="auto" w:fill="auto"/>
            <w:noWrap/>
            <w:vAlign w:val="center"/>
            <w:hideMark/>
          </w:tcPr>
          <w:p w14:paraId="3EFDCF1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5027705000</w:t>
            </w:r>
          </w:p>
        </w:tc>
        <w:tc>
          <w:tcPr>
            <w:tcW w:w="547" w:type="pct"/>
            <w:tcBorders>
              <w:top w:val="nil"/>
              <w:left w:val="nil"/>
              <w:bottom w:val="single" w:sz="4" w:space="0" w:color="auto"/>
              <w:right w:val="single" w:sz="4" w:space="0" w:color="auto"/>
            </w:tcBorders>
            <w:shd w:val="clear" w:color="auto" w:fill="auto"/>
            <w:noWrap/>
            <w:vAlign w:val="center"/>
            <w:hideMark/>
          </w:tcPr>
          <w:p w14:paraId="29FDA29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98259806</w:t>
            </w:r>
          </w:p>
        </w:tc>
        <w:tc>
          <w:tcPr>
            <w:tcW w:w="3360" w:type="pct"/>
            <w:tcBorders>
              <w:top w:val="nil"/>
              <w:left w:val="nil"/>
              <w:bottom w:val="single" w:sz="4" w:space="0" w:color="auto"/>
              <w:right w:val="single" w:sz="4" w:space="0" w:color="auto"/>
            </w:tcBorders>
            <w:shd w:val="clear" w:color="auto" w:fill="auto"/>
            <w:vAlign w:val="center"/>
            <w:hideMark/>
          </w:tcPr>
          <w:p w14:paraId="0253EF9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STUDENEC</w:t>
            </w:r>
          </w:p>
        </w:tc>
      </w:tr>
      <w:tr w:rsidR="00E3750C" w:rsidRPr="00415AB3" w14:paraId="30509B2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C2072A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702</w:t>
            </w:r>
          </w:p>
        </w:tc>
        <w:tc>
          <w:tcPr>
            <w:tcW w:w="705" w:type="pct"/>
            <w:tcBorders>
              <w:top w:val="nil"/>
              <w:left w:val="nil"/>
              <w:bottom w:val="single" w:sz="4" w:space="0" w:color="auto"/>
              <w:right w:val="single" w:sz="4" w:space="0" w:color="auto"/>
            </w:tcBorders>
            <w:shd w:val="clear" w:color="auto" w:fill="auto"/>
            <w:noWrap/>
            <w:vAlign w:val="center"/>
            <w:hideMark/>
          </w:tcPr>
          <w:p w14:paraId="43DA9D3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5018960000</w:t>
            </w:r>
          </w:p>
        </w:tc>
        <w:tc>
          <w:tcPr>
            <w:tcW w:w="547" w:type="pct"/>
            <w:tcBorders>
              <w:top w:val="nil"/>
              <w:left w:val="nil"/>
              <w:bottom w:val="single" w:sz="4" w:space="0" w:color="auto"/>
              <w:right w:val="single" w:sz="4" w:space="0" w:color="auto"/>
            </w:tcBorders>
            <w:shd w:val="clear" w:color="auto" w:fill="auto"/>
            <w:noWrap/>
            <w:vAlign w:val="center"/>
            <w:hideMark/>
          </w:tcPr>
          <w:p w14:paraId="34CD7A0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16702760</w:t>
            </w:r>
          </w:p>
        </w:tc>
        <w:tc>
          <w:tcPr>
            <w:tcW w:w="3360" w:type="pct"/>
            <w:tcBorders>
              <w:top w:val="nil"/>
              <w:left w:val="nil"/>
              <w:bottom w:val="single" w:sz="4" w:space="0" w:color="auto"/>
              <w:right w:val="single" w:sz="4" w:space="0" w:color="auto"/>
            </w:tcBorders>
            <w:shd w:val="clear" w:color="auto" w:fill="auto"/>
            <w:vAlign w:val="center"/>
            <w:hideMark/>
          </w:tcPr>
          <w:p w14:paraId="49CF49D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SVETI JERNEJ</w:t>
            </w:r>
          </w:p>
        </w:tc>
      </w:tr>
      <w:tr w:rsidR="00E3750C" w:rsidRPr="00415AB3" w14:paraId="27AC0DC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F5C8C5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703</w:t>
            </w:r>
          </w:p>
        </w:tc>
        <w:tc>
          <w:tcPr>
            <w:tcW w:w="705" w:type="pct"/>
            <w:tcBorders>
              <w:top w:val="nil"/>
              <w:left w:val="nil"/>
              <w:bottom w:val="single" w:sz="4" w:space="0" w:color="auto"/>
              <w:right w:val="single" w:sz="4" w:space="0" w:color="auto"/>
            </w:tcBorders>
            <w:shd w:val="clear" w:color="auto" w:fill="auto"/>
            <w:noWrap/>
            <w:vAlign w:val="center"/>
            <w:hideMark/>
          </w:tcPr>
          <w:p w14:paraId="3C80E4C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5032733000</w:t>
            </w:r>
          </w:p>
        </w:tc>
        <w:tc>
          <w:tcPr>
            <w:tcW w:w="547" w:type="pct"/>
            <w:tcBorders>
              <w:top w:val="nil"/>
              <w:left w:val="nil"/>
              <w:bottom w:val="single" w:sz="4" w:space="0" w:color="auto"/>
              <w:right w:val="single" w:sz="4" w:space="0" w:color="auto"/>
            </w:tcBorders>
            <w:shd w:val="clear" w:color="auto" w:fill="auto"/>
            <w:noWrap/>
            <w:vAlign w:val="center"/>
            <w:hideMark/>
          </w:tcPr>
          <w:p w14:paraId="37D4C9A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51765675</w:t>
            </w:r>
          </w:p>
        </w:tc>
        <w:tc>
          <w:tcPr>
            <w:tcW w:w="3360" w:type="pct"/>
            <w:tcBorders>
              <w:top w:val="nil"/>
              <w:left w:val="nil"/>
              <w:bottom w:val="single" w:sz="4" w:space="0" w:color="auto"/>
              <w:right w:val="single" w:sz="4" w:space="0" w:color="auto"/>
            </w:tcBorders>
            <w:shd w:val="clear" w:color="auto" w:fill="auto"/>
            <w:vAlign w:val="center"/>
            <w:hideMark/>
          </w:tcPr>
          <w:p w14:paraId="794A04E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SVETI ŠTEFAN</w:t>
            </w:r>
          </w:p>
        </w:tc>
      </w:tr>
      <w:tr w:rsidR="00E3750C" w:rsidRPr="00415AB3" w14:paraId="6B26112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E9A6EA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704</w:t>
            </w:r>
          </w:p>
        </w:tc>
        <w:tc>
          <w:tcPr>
            <w:tcW w:w="705" w:type="pct"/>
            <w:tcBorders>
              <w:top w:val="nil"/>
              <w:left w:val="nil"/>
              <w:bottom w:val="single" w:sz="4" w:space="0" w:color="auto"/>
              <w:right w:val="single" w:sz="4" w:space="0" w:color="auto"/>
            </w:tcBorders>
            <w:shd w:val="clear" w:color="auto" w:fill="auto"/>
            <w:noWrap/>
            <w:vAlign w:val="center"/>
            <w:hideMark/>
          </w:tcPr>
          <w:p w14:paraId="5594D0B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5030226000</w:t>
            </w:r>
          </w:p>
        </w:tc>
        <w:tc>
          <w:tcPr>
            <w:tcW w:w="547" w:type="pct"/>
            <w:tcBorders>
              <w:top w:val="nil"/>
              <w:left w:val="nil"/>
              <w:bottom w:val="single" w:sz="4" w:space="0" w:color="auto"/>
              <w:right w:val="single" w:sz="4" w:space="0" w:color="auto"/>
            </w:tcBorders>
            <w:shd w:val="clear" w:color="auto" w:fill="auto"/>
            <w:noWrap/>
            <w:vAlign w:val="center"/>
            <w:hideMark/>
          </w:tcPr>
          <w:p w14:paraId="4916FB1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35829532</w:t>
            </w:r>
          </w:p>
        </w:tc>
        <w:tc>
          <w:tcPr>
            <w:tcW w:w="3360" w:type="pct"/>
            <w:tcBorders>
              <w:top w:val="nil"/>
              <w:left w:val="nil"/>
              <w:bottom w:val="single" w:sz="4" w:space="0" w:color="auto"/>
              <w:right w:val="single" w:sz="4" w:space="0" w:color="auto"/>
            </w:tcBorders>
            <w:shd w:val="clear" w:color="auto" w:fill="auto"/>
            <w:vAlign w:val="center"/>
            <w:hideMark/>
          </w:tcPr>
          <w:p w14:paraId="11AB13D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ŠEMPAS</w:t>
            </w:r>
          </w:p>
        </w:tc>
      </w:tr>
      <w:tr w:rsidR="00E3750C" w:rsidRPr="00415AB3" w14:paraId="18763B8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E6DC9E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705</w:t>
            </w:r>
          </w:p>
        </w:tc>
        <w:tc>
          <w:tcPr>
            <w:tcW w:w="705" w:type="pct"/>
            <w:tcBorders>
              <w:top w:val="nil"/>
              <w:left w:val="nil"/>
              <w:bottom w:val="single" w:sz="4" w:space="0" w:color="auto"/>
              <w:right w:val="single" w:sz="4" w:space="0" w:color="auto"/>
            </w:tcBorders>
            <w:shd w:val="clear" w:color="auto" w:fill="auto"/>
            <w:noWrap/>
            <w:vAlign w:val="center"/>
            <w:hideMark/>
          </w:tcPr>
          <w:p w14:paraId="44E7AC1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5018820000</w:t>
            </w:r>
          </w:p>
        </w:tc>
        <w:tc>
          <w:tcPr>
            <w:tcW w:w="547" w:type="pct"/>
            <w:tcBorders>
              <w:top w:val="nil"/>
              <w:left w:val="nil"/>
              <w:bottom w:val="single" w:sz="4" w:space="0" w:color="auto"/>
              <w:right w:val="single" w:sz="4" w:space="0" w:color="auto"/>
            </w:tcBorders>
            <w:shd w:val="clear" w:color="auto" w:fill="auto"/>
            <w:noWrap/>
            <w:vAlign w:val="center"/>
            <w:hideMark/>
          </w:tcPr>
          <w:p w14:paraId="06C29E6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77562054</w:t>
            </w:r>
          </w:p>
        </w:tc>
        <w:tc>
          <w:tcPr>
            <w:tcW w:w="3360" w:type="pct"/>
            <w:tcBorders>
              <w:top w:val="nil"/>
              <w:left w:val="nil"/>
              <w:bottom w:val="single" w:sz="4" w:space="0" w:color="auto"/>
              <w:right w:val="single" w:sz="4" w:space="0" w:color="auto"/>
            </w:tcBorders>
            <w:shd w:val="clear" w:color="auto" w:fill="auto"/>
            <w:vAlign w:val="center"/>
            <w:hideMark/>
          </w:tcPr>
          <w:p w14:paraId="7344261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ŠENTJANŽ</w:t>
            </w:r>
          </w:p>
        </w:tc>
      </w:tr>
      <w:tr w:rsidR="00E3750C" w:rsidRPr="00415AB3" w14:paraId="17B01A8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AD6E84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706</w:t>
            </w:r>
          </w:p>
        </w:tc>
        <w:tc>
          <w:tcPr>
            <w:tcW w:w="705" w:type="pct"/>
            <w:tcBorders>
              <w:top w:val="nil"/>
              <w:left w:val="nil"/>
              <w:bottom w:val="single" w:sz="4" w:space="0" w:color="auto"/>
              <w:right w:val="single" w:sz="4" w:space="0" w:color="auto"/>
            </w:tcBorders>
            <w:shd w:val="clear" w:color="auto" w:fill="auto"/>
            <w:noWrap/>
            <w:vAlign w:val="center"/>
            <w:hideMark/>
          </w:tcPr>
          <w:p w14:paraId="719A197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2254875000</w:t>
            </w:r>
          </w:p>
        </w:tc>
        <w:tc>
          <w:tcPr>
            <w:tcW w:w="547" w:type="pct"/>
            <w:tcBorders>
              <w:top w:val="nil"/>
              <w:left w:val="nil"/>
              <w:bottom w:val="single" w:sz="4" w:space="0" w:color="auto"/>
              <w:right w:val="single" w:sz="4" w:space="0" w:color="auto"/>
            </w:tcBorders>
            <w:shd w:val="clear" w:color="auto" w:fill="auto"/>
            <w:noWrap/>
            <w:vAlign w:val="center"/>
            <w:hideMark/>
          </w:tcPr>
          <w:p w14:paraId="3FD038C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49737058</w:t>
            </w:r>
          </w:p>
        </w:tc>
        <w:tc>
          <w:tcPr>
            <w:tcW w:w="3360" w:type="pct"/>
            <w:tcBorders>
              <w:top w:val="nil"/>
              <w:left w:val="nil"/>
              <w:bottom w:val="single" w:sz="4" w:space="0" w:color="auto"/>
              <w:right w:val="single" w:sz="4" w:space="0" w:color="auto"/>
            </w:tcBorders>
            <w:shd w:val="clear" w:color="auto" w:fill="auto"/>
            <w:vAlign w:val="center"/>
            <w:hideMark/>
          </w:tcPr>
          <w:p w14:paraId="32202EC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ŠENTJUR - RIFNIK</w:t>
            </w:r>
          </w:p>
        </w:tc>
      </w:tr>
      <w:tr w:rsidR="00E3750C" w:rsidRPr="00415AB3" w14:paraId="6AF7F73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9F6A5C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707</w:t>
            </w:r>
          </w:p>
        </w:tc>
        <w:tc>
          <w:tcPr>
            <w:tcW w:w="705" w:type="pct"/>
            <w:tcBorders>
              <w:top w:val="nil"/>
              <w:left w:val="nil"/>
              <w:bottom w:val="single" w:sz="4" w:space="0" w:color="auto"/>
              <w:right w:val="single" w:sz="4" w:space="0" w:color="auto"/>
            </w:tcBorders>
            <w:shd w:val="clear" w:color="auto" w:fill="auto"/>
            <w:noWrap/>
            <w:vAlign w:val="center"/>
            <w:hideMark/>
          </w:tcPr>
          <w:p w14:paraId="6641A87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5030919000</w:t>
            </w:r>
          </w:p>
        </w:tc>
        <w:tc>
          <w:tcPr>
            <w:tcW w:w="547" w:type="pct"/>
            <w:tcBorders>
              <w:top w:val="nil"/>
              <w:left w:val="nil"/>
              <w:bottom w:val="single" w:sz="4" w:space="0" w:color="auto"/>
              <w:right w:val="single" w:sz="4" w:space="0" w:color="auto"/>
            </w:tcBorders>
            <w:shd w:val="clear" w:color="auto" w:fill="auto"/>
            <w:noWrap/>
            <w:vAlign w:val="center"/>
            <w:hideMark/>
          </w:tcPr>
          <w:p w14:paraId="7FE9B94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43806414</w:t>
            </w:r>
          </w:p>
        </w:tc>
        <w:tc>
          <w:tcPr>
            <w:tcW w:w="3360" w:type="pct"/>
            <w:tcBorders>
              <w:top w:val="nil"/>
              <w:left w:val="nil"/>
              <w:bottom w:val="single" w:sz="4" w:space="0" w:color="auto"/>
              <w:right w:val="single" w:sz="4" w:space="0" w:color="auto"/>
            </w:tcBorders>
            <w:shd w:val="clear" w:color="auto" w:fill="auto"/>
            <w:vAlign w:val="center"/>
            <w:hideMark/>
          </w:tcPr>
          <w:p w14:paraId="4475818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ŠENTLENART</w:t>
            </w:r>
          </w:p>
        </w:tc>
      </w:tr>
      <w:tr w:rsidR="00E3750C" w:rsidRPr="00415AB3" w14:paraId="7F202C4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5D479A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708</w:t>
            </w:r>
          </w:p>
        </w:tc>
        <w:tc>
          <w:tcPr>
            <w:tcW w:w="705" w:type="pct"/>
            <w:tcBorders>
              <w:top w:val="nil"/>
              <w:left w:val="nil"/>
              <w:bottom w:val="single" w:sz="4" w:space="0" w:color="auto"/>
              <w:right w:val="single" w:sz="4" w:space="0" w:color="auto"/>
            </w:tcBorders>
            <w:shd w:val="clear" w:color="auto" w:fill="auto"/>
            <w:noWrap/>
            <w:vAlign w:val="center"/>
            <w:hideMark/>
          </w:tcPr>
          <w:p w14:paraId="034D141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5021065000</w:t>
            </w:r>
          </w:p>
        </w:tc>
        <w:tc>
          <w:tcPr>
            <w:tcW w:w="547" w:type="pct"/>
            <w:tcBorders>
              <w:top w:val="nil"/>
              <w:left w:val="nil"/>
              <w:bottom w:val="single" w:sz="4" w:space="0" w:color="auto"/>
              <w:right w:val="single" w:sz="4" w:space="0" w:color="auto"/>
            </w:tcBorders>
            <w:shd w:val="clear" w:color="auto" w:fill="auto"/>
            <w:noWrap/>
            <w:vAlign w:val="center"/>
            <w:hideMark/>
          </w:tcPr>
          <w:p w14:paraId="3F09080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11132108</w:t>
            </w:r>
          </w:p>
        </w:tc>
        <w:tc>
          <w:tcPr>
            <w:tcW w:w="3360" w:type="pct"/>
            <w:tcBorders>
              <w:top w:val="nil"/>
              <w:left w:val="nil"/>
              <w:bottom w:val="single" w:sz="4" w:space="0" w:color="auto"/>
              <w:right w:val="single" w:sz="4" w:space="0" w:color="auto"/>
            </w:tcBorders>
            <w:shd w:val="clear" w:color="auto" w:fill="auto"/>
            <w:vAlign w:val="center"/>
            <w:hideMark/>
          </w:tcPr>
          <w:p w14:paraId="5884F10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ŠENTVID PRI GROBELNEM</w:t>
            </w:r>
          </w:p>
        </w:tc>
      </w:tr>
      <w:tr w:rsidR="00E3750C" w:rsidRPr="00415AB3" w14:paraId="754D23F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050891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709</w:t>
            </w:r>
          </w:p>
        </w:tc>
        <w:tc>
          <w:tcPr>
            <w:tcW w:w="705" w:type="pct"/>
            <w:tcBorders>
              <w:top w:val="nil"/>
              <w:left w:val="nil"/>
              <w:bottom w:val="single" w:sz="4" w:space="0" w:color="auto"/>
              <w:right w:val="single" w:sz="4" w:space="0" w:color="auto"/>
            </w:tcBorders>
            <w:shd w:val="clear" w:color="auto" w:fill="auto"/>
            <w:noWrap/>
            <w:vAlign w:val="center"/>
            <w:hideMark/>
          </w:tcPr>
          <w:p w14:paraId="7CA8591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5159008000</w:t>
            </w:r>
          </w:p>
        </w:tc>
        <w:tc>
          <w:tcPr>
            <w:tcW w:w="547" w:type="pct"/>
            <w:tcBorders>
              <w:top w:val="nil"/>
              <w:left w:val="nil"/>
              <w:bottom w:val="single" w:sz="4" w:space="0" w:color="auto"/>
              <w:right w:val="single" w:sz="4" w:space="0" w:color="auto"/>
            </w:tcBorders>
            <w:shd w:val="clear" w:color="auto" w:fill="auto"/>
            <w:noWrap/>
            <w:vAlign w:val="center"/>
            <w:hideMark/>
          </w:tcPr>
          <w:p w14:paraId="617000A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69428344</w:t>
            </w:r>
          </w:p>
        </w:tc>
        <w:tc>
          <w:tcPr>
            <w:tcW w:w="3360" w:type="pct"/>
            <w:tcBorders>
              <w:top w:val="nil"/>
              <w:left w:val="nil"/>
              <w:bottom w:val="single" w:sz="4" w:space="0" w:color="auto"/>
              <w:right w:val="single" w:sz="4" w:space="0" w:color="auto"/>
            </w:tcBorders>
            <w:shd w:val="clear" w:color="auto" w:fill="auto"/>
            <w:vAlign w:val="center"/>
            <w:hideMark/>
          </w:tcPr>
          <w:p w14:paraId="20D70E5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ŠKOCJAN</w:t>
            </w:r>
          </w:p>
        </w:tc>
      </w:tr>
      <w:tr w:rsidR="00E3750C" w:rsidRPr="00415AB3" w14:paraId="0075534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B69EC8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710</w:t>
            </w:r>
          </w:p>
        </w:tc>
        <w:tc>
          <w:tcPr>
            <w:tcW w:w="705" w:type="pct"/>
            <w:tcBorders>
              <w:top w:val="nil"/>
              <w:left w:val="nil"/>
              <w:bottom w:val="single" w:sz="4" w:space="0" w:color="auto"/>
              <w:right w:val="single" w:sz="4" w:space="0" w:color="auto"/>
            </w:tcBorders>
            <w:shd w:val="clear" w:color="auto" w:fill="auto"/>
            <w:noWrap/>
            <w:vAlign w:val="center"/>
            <w:hideMark/>
          </w:tcPr>
          <w:p w14:paraId="19A41EF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5027853000</w:t>
            </w:r>
          </w:p>
        </w:tc>
        <w:tc>
          <w:tcPr>
            <w:tcW w:w="547" w:type="pct"/>
            <w:tcBorders>
              <w:top w:val="nil"/>
              <w:left w:val="nil"/>
              <w:bottom w:val="single" w:sz="4" w:space="0" w:color="auto"/>
              <w:right w:val="single" w:sz="4" w:space="0" w:color="auto"/>
            </w:tcBorders>
            <w:shd w:val="clear" w:color="auto" w:fill="auto"/>
            <w:noWrap/>
            <w:vAlign w:val="center"/>
            <w:hideMark/>
          </w:tcPr>
          <w:p w14:paraId="4844790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29490642</w:t>
            </w:r>
          </w:p>
        </w:tc>
        <w:tc>
          <w:tcPr>
            <w:tcW w:w="3360" w:type="pct"/>
            <w:tcBorders>
              <w:top w:val="nil"/>
              <w:left w:val="nil"/>
              <w:bottom w:val="single" w:sz="4" w:space="0" w:color="auto"/>
              <w:right w:val="single" w:sz="4" w:space="0" w:color="auto"/>
            </w:tcBorders>
            <w:shd w:val="clear" w:color="auto" w:fill="auto"/>
            <w:vAlign w:val="center"/>
            <w:hideMark/>
          </w:tcPr>
          <w:p w14:paraId="05E36A6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ŠMARJE</w:t>
            </w:r>
          </w:p>
        </w:tc>
      </w:tr>
      <w:tr w:rsidR="00E3750C" w:rsidRPr="00415AB3" w14:paraId="0C3DF9E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00963B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711</w:t>
            </w:r>
          </w:p>
        </w:tc>
        <w:tc>
          <w:tcPr>
            <w:tcW w:w="705" w:type="pct"/>
            <w:tcBorders>
              <w:top w:val="nil"/>
              <w:left w:val="nil"/>
              <w:bottom w:val="single" w:sz="4" w:space="0" w:color="auto"/>
              <w:right w:val="single" w:sz="4" w:space="0" w:color="auto"/>
            </w:tcBorders>
            <w:shd w:val="clear" w:color="auto" w:fill="auto"/>
            <w:noWrap/>
            <w:vAlign w:val="center"/>
            <w:hideMark/>
          </w:tcPr>
          <w:p w14:paraId="7342A2B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5019125000</w:t>
            </w:r>
          </w:p>
        </w:tc>
        <w:tc>
          <w:tcPr>
            <w:tcW w:w="547" w:type="pct"/>
            <w:tcBorders>
              <w:top w:val="nil"/>
              <w:left w:val="nil"/>
              <w:bottom w:val="single" w:sz="4" w:space="0" w:color="auto"/>
              <w:right w:val="single" w:sz="4" w:space="0" w:color="auto"/>
            </w:tcBorders>
            <w:shd w:val="clear" w:color="auto" w:fill="auto"/>
            <w:noWrap/>
            <w:vAlign w:val="center"/>
            <w:hideMark/>
          </w:tcPr>
          <w:p w14:paraId="5E6A3AC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22736697</w:t>
            </w:r>
          </w:p>
        </w:tc>
        <w:tc>
          <w:tcPr>
            <w:tcW w:w="3360" w:type="pct"/>
            <w:tcBorders>
              <w:top w:val="nil"/>
              <w:left w:val="nil"/>
              <w:bottom w:val="single" w:sz="4" w:space="0" w:color="auto"/>
              <w:right w:val="single" w:sz="4" w:space="0" w:color="auto"/>
            </w:tcBorders>
            <w:shd w:val="clear" w:color="auto" w:fill="auto"/>
            <w:vAlign w:val="center"/>
            <w:hideMark/>
          </w:tcPr>
          <w:p w14:paraId="2C5D241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ŠMARJE PRI JELŠAH</w:t>
            </w:r>
          </w:p>
        </w:tc>
      </w:tr>
      <w:tr w:rsidR="00E3750C" w:rsidRPr="00415AB3" w14:paraId="0C78FC0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0A9805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712</w:t>
            </w:r>
          </w:p>
        </w:tc>
        <w:tc>
          <w:tcPr>
            <w:tcW w:w="705" w:type="pct"/>
            <w:tcBorders>
              <w:top w:val="nil"/>
              <w:left w:val="nil"/>
              <w:bottom w:val="single" w:sz="4" w:space="0" w:color="auto"/>
              <w:right w:val="single" w:sz="4" w:space="0" w:color="auto"/>
            </w:tcBorders>
            <w:shd w:val="clear" w:color="auto" w:fill="auto"/>
            <w:noWrap/>
            <w:vAlign w:val="center"/>
            <w:hideMark/>
          </w:tcPr>
          <w:p w14:paraId="41AE616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5032997000</w:t>
            </w:r>
          </w:p>
        </w:tc>
        <w:tc>
          <w:tcPr>
            <w:tcW w:w="547" w:type="pct"/>
            <w:tcBorders>
              <w:top w:val="nil"/>
              <w:left w:val="nil"/>
              <w:bottom w:val="single" w:sz="4" w:space="0" w:color="auto"/>
              <w:right w:val="single" w:sz="4" w:space="0" w:color="auto"/>
            </w:tcBorders>
            <w:shd w:val="clear" w:color="auto" w:fill="auto"/>
            <w:noWrap/>
            <w:vAlign w:val="center"/>
            <w:hideMark/>
          </w:tcPr>
          <w:p w14:paraId="59DA87C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22006885</w:t>
            </w:r>
          </w:p>
        </w:tc>
        <w:tc>
          <w:tcPr>
            <w:tcW w:w="3360" w:type="pct"/>
            <w:tcBorders>
              <w:top w:val="nil"/>
              <w:left w:val="nil"/>
              <w:bottom w:val="single" w:sz="4" w:space="0" w:color="auto"/>
              <w:right w:val="single" w:sz="4" w:space="0" w:color="auto"/>
            </w:tcBorders>
            <w:shd w:val="clear" w:color="auto" w:fill="auto"/>
            <w:vAlign w:val="center"/>
            <w:hideMark/>
          </w:tcPr>
          <w:p w14:paraId="2F989AD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ŠPITALIČ</w:t>
            </w:r>
          </w:p>
        </w:tc>
      </w:tr>
      <w:tr w:rsidR="00E3750C" w:rsidRPr="00415AB3" w14:paraId="6E745FB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8687A4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713</w:t>
            </w:r>
          </w:p>
        </w:tc>
        <w:tc>
          <w:tcPr>
            <w:tcW w:w="705" w:type="pct"/>
            <w:tcBorders>
              <w:top w:val="nil"/>
              <w:left w:val="nil"/>
              <w:bottom w:val="single" w:sz="4" w:space="0" w:color="auto"/>
              <w:right w:val="single" w:sz="4" w:space="0" w:color="auto"/>
            </w:tcBorders>
            <w:shd w:val="clear" w:color="auto" w:fill="auto"/>
            <w:noWrap/>
            <w:vAlign w:val="center"/>
            <w:hideMark/>
          </w:tcPr>
          <w:p w14:paraId="7B28777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5027713000</w:t>
            </w:r>
          </w:p>
        </w:tc>
        <w:tc>
          <w:tcPr>
            <w:tcW w:w="547" w:type="pct"/>
            <w:tcBorders>
              <w:top w:val="nil"/>
              <w:left w:val="nil"/>
              <w:bottom w:val="single" w:sz="4" w:space="0" w:color="auto"/>
              <w:right w:val="single" w:sz="4" w:space="0" w:color="auto"/>
            </w:tcBorders>
            <w:shd w:val="clear" w:color="auto" w:fill="auto"/>
            <w:noWrap/>
            <w:vAlign w:val="center"/>
            <w:hideMark/>
          </w:tcPr>
          <w:p w14:paraId="5A7C29D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92088287</w:t>
            </w:r>
          </w:p>
        </w:tc>
        <w:tc>
          <w:tcPr>
            <w:tcW w:w="3360" w:type="pct"/>
            <w:tcBorders>
              <w:top w:val="nil"/>
              <w:left w:val="nil"/>
              <w:bottom w:val="single" w:sz="4" w:space="0" w:color="auto"/>
              <w:right w:val="single" w:sz="4" w:space="0" w:color="auto"/>
            </w:tcBorders>
            <w:shd w:val="clear" w:color="auto" w:fill="auto"/>
            <w:vAlign w:val="center"/>
            <w:hideMark/>
          </w:tcPr>
          <w:p w14:paraId="685DB84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TEPANJE</w:t>
            </w:r>
          </w:p>
        </w:tc>
      </w:tr>
      <w:tr w:rsidR="00E3750C" w:rsidRPr="00415AB3" w14:paraId="6E9F612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1884E4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714</w:t>
            </w:r>
          </w:p>
        </w:tc>
        <w:tc>
          <w:tcPr>
            <w:tcW w:w="705" w:type="pct"/>
            <w:tcBorders>
              <w:top w:val="nil"/>
              <w:left w:val="nil"/>
              <w:bottom w:val="single" w:sz="4" w:space="0" w:color="auto"/>
              <w:right w:val="single" w:sz="4" w:space="0" w:color="auto"/>
            </w:tcBorders>
            <w:shd w:val="clear" w:color="auto" w:fill="auto"/>
            <w:noWrap/>
            <w:vAlign w:val="center"/>
            <w:hideMark/>
          </w:tcPr>
          <w:p w14:paraId="653034E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5027934000</w:t>
            </w:r>
          </w:p>
        </w:tc>
        <w:tc>
          <w:tcPr>
            <w:tcW w:w="547" w:type="pct"/>
            <w:tcBorders>
              <w:top w:val="nil"/>
              <w:left w:val="nil"/>
              <w:bottom w:val="single" w:sz="4" w:space="0" w:color="auto"/>
              <w:right w:val="single" w:sz="4" w:space="0" w:color="auto"/>
            </w:tcBorders>
            <w:shd w:val="clear" w:color="auto" w:fill="auto"/>
            <w:noWrap/>
            <w:vAlign w:val="center"/>
            <w:hideMark/>
          </w:tcPr>
          <w:p w14:paraId="0569D7A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25154940</w:t>
            </w:r>
          </w:p>
        </w:tc>
        <w:tc>
          <w:tcPr>
            <w:tcW w:w="3360" w:type="pct"/>
            <w:tcBorders>
              <w:top w:val="nil"/>
              <w:left w:val="nil"/>
              <w:bottom w:val="single" w:sz="4" w:space="0" w:color="auto"/>
              <w:right w:val="single" w:sz="4" w:space="0" w:color="auto"/>
            </w:tcBorders>
            <w:shd w:val="clear" w:color="auto" w:fill="auto"/>
            <w:vAlign w:val="center"/>
            <w:hideMark/>
          </w:tcPr>
          <w:p w14:paraId="4883429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TINSKO</w:t>
            </w:r>
          </w:p>
        </w:tc>
      </w:tr>
      <w:tr w:rsidR="00E3750C" w:rsidRPr="00415AB3" w14:paraId="284C94F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35F8A2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715</w:t>
            </w:r>
          </w:p>
        </w:tc>
        <w:tc>
          <w:tcPr>
            <w:tcW w:w="705" w:type="pct"/>
            <w:tcBorders>
              <w:top w:val="nil"/>
              <w:left w:val="nil"/>
              <w:bottom w:val="single" w:sz="4" w:space="0" w:color="auto"/>
              <w:right w:val="single" w:sz="4" w:space="0" w:color="auto"/>
            </w:tcBorders>
            <w:shd w:val="clear" w:color="auto" w:fill="auto"/>
            <w:noWrap/>
            <w:vAlign w:val="center"/>
            <w:hideMark/>
          </w:tcPr>
          <w:p w14:paraId="334505B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5020620000</w:t>
            </w:r>
          </w:p>
        </w:tc>
        <w:tc>
          <w:tcPr>
            <w:tcW w:w="547" w:type="pct"/>
            <w:tcBorders>
              <w:top w:val="nil"/>
              <w:left w:val="nil"/>
              <w:bottom w:val="single" w:sz="4" w:space="0" w:color="auto"/>
              <w:right w:val="single" w:sz="4" w:space="0" w:color="auto"/>
            </w:tcBorders>
            <w:shd w:val="clear" w:color="auto" w:fill="auto"/>
            <w:noWrap/>
            <w:vAlign w:val="center"/>
            <w:hideMark/>
          </w:tcPr>
          <w:p w14:paraId="79F912D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97310476</w:t>
            </w:r>
          </w:p>
        </w:tc>
        <w:tc>
          <w:tcPr>
            <w:tcW w:w="3360" w:type="pct"/>
            <w:tcBorders>
              <w:top w:val="nil"/>
              <w:left w:val="nil"/>
              <w:bottom w:val="single" w:sz="4" w:space="0" w:color="auto"/>
              <w:right w:val="single" w:sz="4" w:space="0" w:color="auto"/>
            </w:tcBorders>
            <w:shd w:val="clear" w:color="auto" w:fill="auto"/>
            <w:vAlign w:val="center"/>
            <w:hideMark/>
          </w:tcPr>
          <w:p w14:paraId="6353FE3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TRNOVO</w:t>
            </w:r>
          </w:p>
        </w:tc>
      </w:tr>
      <w:tr w:rsidR="00E3750C" w:rsidRPr="00415AB3" w14:paraId="7DB163A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CFBB3C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716</w:t>
            </w:r>
          </w:p>
        </w:tc>
        <w:tc>
          <w:tcPr>
            <w:tcW w:w="705" w:type="pct"/>
            <w:tcBorders>
              <w:top w:val="nil"/>
              <w:left w:val="nil"/>
              <w:bottom w:val="single" w:sz="4" w:space="0" w:color="auto"/>
              <w:right w:val="single" w:sz="4" w:space="0" w:color="auto"/>
            </w:tcBorders>
            <w:shd w:val="clear" w:color="auto" w:fill="auto"/>
            <w:noWrap/>
            <w:vAlign w:val="center"/>
            <w:hideMark/>
          </w:tcPr>
          <w:p w14:paraId="7F2CB04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5030196000</w:t>
            </w:r>
          </w:p>
        </w:tc>
        <w:tc>
          <w:tcPr>
            <w:tcW w:w="547" w:type="pct"/>
            <w:tcBorders>
              <w:top w:val="nil"/>
              <w:left w:val="nil"/>
              <w:bottom w:val="single" w:sz="4" w:space="0" w:color="auto"/>
              <w:right w:val="single" w:sz="4" w:space="0" w:color="auto"/>
            </w:tcBorders>
            <w:shd w:val="clear" w:color="auto" w:fill="auto"/>
            <w:noWrap/>
            <w:vAlign w:val="center"/>
            <w:hideMark/>
          </w:tcPr>
          <w:p w14:paraId="7073B5E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57179409</w:t>
            </w:r>
          </w:p>
        </w:tc>
        <w:tc>
          <w:tcPr>
            <w:tcW w:w="3360" w:type="pct"/>
            <w:tcBorders>
              <w:top w:val="nil"/>
              <w:left w:val="nil"/>
              <w:bottom w:val="single" w:sz="4" w:space="0" w:color="auto"/>
              <w:right w:val="single" w:sz="4" w:space="0" w:color="auto"/>
            </w:tcBorders>
            <w:shd w:val="clear" w:color="auto" w:fill="auto"/>
            <w:vAlign w:val="center"/>
            <w:hideMark/>
          </w:tcPr>
          <w:p w14:paraId="221794B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TRSTENIK</w:t>
            </w:r>
          </w:p>
        </w:tc>
      </w:tr>
      <w:tr w:rsidR="00E3750C" w:rsidRPr="00415AB3" w14:paraId="3658A38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948234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717</w:t>
            </w:r>
          </w:p>
        </w:tc>
        <w:tc>
          <w:tcPr>
            <w:tcW w:w="705" w:type="pct"/>
            <w:tcBorders>
              <w:top w:val="nil"/>
              <w:left w:val="nil"/>
              <w:bottom w:val="single" w:sz="4" w:space="0" w:color="auto"/>
              <w:right w:val="single" w:sz="4" w:space="0" w:color="auto"/>
            </w:tcBorders>
            <w:shd w:val="clear" w:color="auto" w:fill="auto"/>
            <w:noWrap/>
            <w:vAlign w:val="center"/>
            <w:hideMark/>
          </w:tcPr>
          <w:p w14:paraId="7F7F3F1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5029643000</w:t>
            </w:r>
          </w:p>
        </w:tc>
        <w:tc>
          <w:tcPr>
            <w:tcW w:w="547" w:type="pct"/>
            <w:tcBorders>
              <w:top w:val="nil"/>
              <w:left w:val="nil"/>
              <w:bottom w:val="single" w:sz="4" w:space="0" w:color="auto"/>
              <w:right w:val="single" w:sz="4" w:space="0" w:color="auto"/>
            </w:tcBorders>
            <w:shd w:val="clear" w:color="auto" w:fill="auto"/>
            <w:noWrap/>
            <w:vAlign w:val="center"/>
            <w:hideMark/>
          </w:tcPr>
          <w:p w14:paraId="4FA3B0A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73437280</w:t>
            </w:r>
          </w:p>
        </w:tc>
        <w:tc>
          <w:tcPr>
            <w:tcW w:w="3360" w:type="pct"/>
            <w:tcBorders>
              <w:top w:val="nil"/>
              <w:left w:val="nil"/>
              <w:bottom w:val="single" w:sz="4" w:space="0" w:color="auto"/>
              <w:right w:val="single" w:sz="4" w:space="0" w:color="auto"/>
            </w:tcBorders>
            <w:shd w:val="clear" w:color="auto" w:fill="auto"/>
            <w:vAlign w:val="center"/>
            <w:hideMark/>
          </w:tcPr>
          <w:p w14:paraId="55BC5D6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TRŽIŠČE</w:t>
            </w:r>
          </w:p>
        </w:tc>
      </w:tr>
      <w:tr w:rsidR="00E3750C" w:rsidRPr="00415AB3" w14:paraId="656F53C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186E4E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718</w:t>
            </w:r>
          </w:p>
        </w:tc>
        <w:tc>
          <w:tcPr>
            <w:tcW w:w="705" w:type="pct"/>
            <w:tcBorders>
              <w:top w:val="nil"/>
              <w:left w:val="nil"/>
              <w:bottom w:val="single" w:sz="4" w:space="0" w:color="auto"/>
              <w:right w:val="single" w:sz="4" w:space="0" w:color="auto"/>
            </w:tcBorders>
            <w:shd w:val="clear" w:color="auto" w:fill="auto"/>
            <w:noWrap/>
            <w:vAlign w:val="center"/>
            <w:hideMark/>
          </w:tcPr>
          <w:p w14:paraId="2F07A6B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5031737000</w:t>
            </w:r>
          </w:p>
        </w:tc>
        <w:tc>
          <w:tcPr>
            <w:tcW w:w="547" w:type="pct"/>
            <w:tcBorders>
              <w:top w:val="nil"/>
              <w:left w:val="nil"/>
              <w:bottom w:val="single" w:sz="4" w:space="0" w:color="auto"/>
              <w:right w:val="single" w:sz="4" w:space="0" w:color="auto"/>
            </w:tcBorders>
            <w:shd w:val="clear" w:color="auto" w:fill="auto"/>
            <w:noWrap/>
            <w:vAlign w:val="center"/>
            <w:hideMark/>
          </w:tcPr>
          <w:p w14:paraId="5392A00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27450902</w:t>
            </w:r>
          </w:p>
        </w:tc>
        <w:tc>
          <w:tcPr>
            <w:tcW w:w="3360" w:type="pct"/>
            <w:tcBorders>
              <w:top w:val="nil"/>
              <w:left w:val="nil"/>
              <w:bottom w:val="single" w:sz="4" w:space="0" w:color="auto"/>
              <w:right w:val="single" w:sz="4" w:space="0" w:color="auto"/>
            </w:tcBorders>
            <w:shd w:val="clear" w:color="auto" w:fill="auto"/>
            <w:vAlign w:val="center"/>
            <w:hideMark/>
          </w:tcPr>
          <w:p w14:paraId="3B13109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URŠNA SELA</w:t>
            </w:r>
          </w:p>
        </w:tc>
      </w:tr>
      <w:tr w:rsidR="00E3750C" w:rsidRPr="00415AB3" w14:paraId="347D7ED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AEEEA7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719</w:t>
            </w:r>
          </w:p>
        </w:tc>
        <w:tc>
          <w:tcPr>
            <w:tcW w:w="705" w:type="pct"/>
            <w:tcBorders>
              <w:top w:val="nil"/>
              <w:left w:val="nil"/>
              <w:bottom w:val="single" w:sz="4" w:space="0" w:color="auto"/>
              <w:right w:val="single" w:sz="4" w:space="0" w:color="auto"/>
            </w:tcBorders>
            <w:shd w:val="clear" w:color="auto" w:fill="auto"/>
            <w:noWrap/>
            <w:vAlign w:val="center"/>
            <w:hideMark/>
          </w:tcPr>
          <w:p w14:paraId="3AA5AEE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5027802000</w:t>
            </w:r>
          </w:p>
        </w:tc>
        <w:tc>
          <w:tcPr>
            <w:tcW w:w="547" w:type="pct"/>
            <w:tcBorders>
              <w:top w:val="nil"/>
              <w:left w:val="nil"/>
              <w:bottom w:val="single" w:sz="4" w:space="0" w:color="auto"/>
              <w:right w:val="single" w:sz="4" w:space="0" w:color="auto"/>
            </w:tcBorders>
            <w:shd w:val="clear" w:color="auto" w:fill="auto"/>
            <w:noWrap/>
            <w:vAlign w:val="center"/>
            <w:hideMark/>
          </w:tcPr>
          <w:p w14:paraId="0133751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23798904</w:t>
            </w:r>
          </w:p>
        </w:tc>
        <w:tc>
          <w:tcPr>
            <w:tcW w:w="3360" w:type="pct"/>
            <w:tcBorders>
              <w:top w:val="nil"/>
              <w:left w:val="nil"/>
              <w:bottom w:val="single" w:sz="4" w:space="0" w:color="auto"/>
              <w:right w:val="single" w:sz="4" w:space="0" w:color="auto"/>
            </w:tcBorders>
            <w:shd w:val="clear" w:color="auto" w:fill="auto"/>
            <w:vAlign w:val="center"/>
            <w:hideMark/>
          </w:tcPr>
          <w:p w14:paraId="2E209EE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USTJE</w:t>
            </w:r>
          </w:p>
        </w:tc>
      </w:tr>
      <w:tr w:rsidR="00E3750C" w:rsidRPr="00415AB3" w14:paraId="5F15FA8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D78629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720</w:t>
            </w:r>
          </w:p>
        </w:tc>
        <w:tc>
          <w:tcPr>
            <w:tcW w:w="705" w:type="pct"/>
            <w:tcBorders>
              <w:top w:val="nil"/>
              <w:left w:val="nil"/>
              <w:bottom w:val="single" w:sz="4" w:space="0" w:color="auto"/>
              <w:right w:val="single" w:sz="4" w:space="0" w:color="auto"/>
            </w:tcBorders>
            <w:shd w:val="clear" w:color="auto" w:fill="auto"/>
            <w:noWrap/>
            <w:vAlign w:val="center"/>
            <w:hideMark/>
          </w:tcPr>
          <w:p w14:paraId="1E6B714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5031532000</w:t>
            </w:r>
          </w:p>
        </w:tc>
        <w:tc>
          <w:tcPr>
            <w:tcW w:w="547" w:type="pct"/>
            <w:tcBorders>
              <w:top w:val="nil"/>
              <w:left w:val="nil"/>
              <w:bottom w:val="single" w:sz="4" w:space="0" w:color="auto"/>
              <w:right w:val="single" w:sz="4" w:space="0" w:color="auto"/>
            </w:tcBorders>
            <w:shd w:val="clear" w:color="auto" w:fill="auto"/>
            <w:noWrap/>
            <w:vAlign w:val="center"/>
            <w:hideMark/>
          </w:tcPr>
          <w:p w14:paraId="1AE5329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37837516</w:t>
            </w:r>
          </w:p>
        </w:tc>
        <w:tc>
          <w:tcPr>
            <w:tcW w:w="3360" w:type="pct"/>
            <w:tcBorders>
              <w:top w:val="nil"/>
              <w:left w:val="nil"/>
              <w:bottom w:val="single" w:sz="4" w:space="0" w:color="auto"/>
              <w:right w:val="single" w:sz="4" w:space="0" w:color="auto"/>
            </w:tcBorders>
            <w:shd w:val="clear" w:color="auto" w:fill="auto"/>
            <w:vAlign w:val="center"/>
            <w:hideMark/>
          </w:tcPr>
          <w:p w14:paraId="65D2B27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VANGANEL</w:t>
            </w:r>
          </w:p>
        </w:tc>
      </w:tr>
      <w:tr w:rsidR="00E3750C" w:rsidRPr="00415AB3" w14:paraId="2299DA0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939628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721</w:t>
            </w:r>
          </w:p>
        </w:tc>
        <w:tc>
          <w:tcPr>
            <w:tcW w:w="705" w:type="pct"/>
            <w:tcBorders>
              <w:top w:val="nil"/>
              <w:left w:val="nil"/>
              <w:bottom w:val="single" w:sz="4" w:space="0" w:color="auto"/>
              <w:right w:val="single" w:sz="4" w:space="0" w:color="auto"/>
            </w:tcBorders>
            <w:shd w:val="clear" w:color="auto" w:fill="auto"/>
            <w:noWrap/>
            <w:vAlign w:val="center"/>
            <w:hideMark/>
          </w:tcPr>
          <w:p w14:paraId="5985286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5029350000</w:t>
            </w:r>
          </w:p>
        </w:tc>
        <w:tc>
          <w:tcPr>
            <w:tcW w:w="547" w:type="pct"/>
            <w:tcBorders>
              <w:top w:val="nil"/>
              <w:left w:val="nil"/>
              <w:bottom w:val="single" w:sz="4" w:space="0" w:color="auto"/>
              <w:right w:val="single" w:sz="4" w:space="0" w:color="auto"/>
            </w:tcBorders>
            <w:shd w:val="clear" w:color="auto" w:fill="auto"/>
            <w:noWrap/>
            <w:vAlign w:val="center"/>
            <w:hideMark/>
          </w:tcPr>
          <w:p w14:paraId="646B2DE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77531540</w:t>
            </w:r>
          </w:p>
        </w:tc>
        <w:tc>
          <w:tcPr>
            <w:tcW w:w="3360" w:type="pct"/>
            <w:tcBorders>
              <w:top w:val="nil"/>
              <w:left w:val="nil"/>
              <w:bottom w:val="single" w:sz="4" w:space="0" w:color="auto"/>
              <w:right w:val="single" w:sz="4" w:space="0" w:color="auto"/>
            </w:tcBorders>
            <w:shd w:val="clear" w:color="auto" w:fill="auto"/>
            <w:vAlign w:val="center"/>
            <w:hideMark/>
          </w:tcPr>
          <w:p w14:paraId="7ECD3C9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VELIKA NEDELJA</w:t>
            </w:r>
          </w:p>
        </w:tc>
      </w:tr>
      <w:tr w:rsidR="00E3750C" w:rsidRPr="00415AB3" w14:paraId="67F21D1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34EE7F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722</w:t>
            </w:r>
          </w:p>
        </w:tc>
        <w:tc>
          <w:tcPr>
            <w:tcW w:w="705" w:type="pct"/>
            <w:tcBorders>
              <w:top w:val="nil"/>
              <w:left w:val="nil"/>
              <w:bottom w:val="single" w:sz="4" w:space="0" w:color="auto"/>
              <w:right w:val="single" w:sz="4" w:space="0" w:color="auto"/>
            </w:tcBorders>
            <w:shd w:val="clear" w:color="auto" w:fill="auto"/>
            <w:noWrap/>
            <w:vAlign w:val="center"/>
            <w:hideMark/>
          </w:tcPr>
          <w:p w14:paraId="0524930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5028477000</w:t>
            </w:r>
          </w:p>
        </w:tc>
        <w:tc>
          <w:tcPr>
            <w:tcW w:w="547" w:type="pct"/>
            <w:tcBorders>
              <w:top w:val="nil"/>
              <w:left w:val="nil"/>
              <w:bottom w:val="single" w:sz="4" w:space="0" w:color="auto"/>
              <w:right w:val="single" w:sz="4" w:space="0" w:color="auto"/>
            </w:tcBorders>
            <w:shd w:val="clear" w:color="auto" w:fill="auto"/>
            <w:noWrap/>
            <w:vAlign w:val="center"/>
            <w:hideMark/>
          </w:tcPr>
          <w:p w14:paraId="6729D0F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91286336</w:t>
            </w:r>
          </w:p>
        </w:tc>
        <w:tc>
          <w:tcPr>
            <w:tcW w:w="3360" w:type="pct"/>
            <w:tcBorders>
              <w:top w:val="nil"/>
              <w:left w:val="nil"/>
              <w:bottom w:val="single" w:sz="4" w:space="0" w:color="auto"/>
              <w:right w:val="single" w:sz="4" w:space="0" w:color="auto"/>
            </w:tcBorders>
            <w:shd w:val="clear" w:color="auto" w:fill="auto"/>
            <w:vAlign w:val="center"/>
            <w:hideMark/>
          </w:tcPr>
          <w:p w14:paraId="4A422E2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VELIKE ŽABLJE</w:t>
            </w:r>
          </w:p>
        </w:tc>
      </w:tr>
      <w:tr w:rsidR="00E3750C" w:rsidRPr="00415AB3" w14:paraId="211747A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E538DD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723</w:t>
            </w:r>
          </w:p>
        </w:tc>
        <w:tc>
          <w:tcPr>
            <w:tcW w:w="705" w:type="pct"/>
            <w:tcBorders>
              <w:top w:val="nil"/>
              <w:left w:val="nil"/>
              <w:bottom w:val="single" w:sz="4" w:space="0" w:color="auto"/>
              <w:right w:val="single" w:sz="4" w:space="0" w:color="auto"/>
            </w:tcBorders>
            <w:shd w:val="clear" w:color="auto" w:fill="auto"/>
            <w:noWrap/>
            <w:vAlign w:val="center"/>
            <w:hideMark/>
          </w:tcPr>
          <w:p w14:paraId="7674722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5185521000</w:t>
            </w:r>
          </w:p>
        </w:tc>
        <w:tc>
          <w:tcPr>
            <w:tcW w:w="547" w:type="pct"/>
            <w:tcBorders>
              <w:top w:val="nil"/>
              <w:left w:val="nil"/>
              <w:bottom w:val="single" w:sz="4" w:space="0" w:color="auto"/>
              <w:right w:val="single" w:sz="4" w:space="0" w:color="auto"/>
            </w:tcBorders>
            <w:shd w:val="clear" w:color="auto" w:fill="auto"/>
            <w:noWrap/>
            <w:vAlign w:val="center"/>
            <w:hideMark/>
          </w:tcPr>
          <w:p w14:paraId="6C4D0DB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17135974</w:t>
            </w:r>
          </w:p>
        </w:tc>
        <w:tc>
          <w:tcPr>
            <w:tcW w:w="3360" w:type="pct"/>
            <w:tcBorders>
              <w:top w:val="nil"/>
              <w:left w:val="nil"/>
              <w:bottom w:val="single" w:sz="4" w:space="0" w:color="auto"/>
              <w:right w:val="single" w:sz="4" w:space="0" w:color="auto"/>
            </w:tcBorders>
            <w:shd w:val="clear" w:color="auto" w:fill="auto"/>
            <w:vAlign w:val="center"/>
            <w:hideMark/>
          </w:tcPr>
          <w:p w14:paraId="6314694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VELIKI PODLOG</w:t>
            </w:r>
          </w:p>
        </w:tc>
      </w:tr>
      <w:tr w:rsidR="00E3750C" w:rsidRPr="00415AB3" w14:paraId="32D734A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5254F8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724</w:t>
            </w:r>
          </w:p>
        </w:tc>
        <w:tc>
          <w:tcPr>
            <w:tcW w:w="705" w:type="pct"/>
            <w:tcBorders>
              <w:top w:val="nil"/>
              <w:left w:val="nil"/>
              <w:bottom w:val="single" w:sz="4" w:space="0" w:color="auto"/>
              <w:right w:val="single" w:sz="4" w:space="0" w:color="auto"/>
            </w:tcBorders>
            <w:shd w:val="clear" w:color="auto" w:fill="auto"/>
            <w:noWrap/>
            <w:vAlign w:val="center"/>
            <w:hideMark/>
          </w:tcPr>
          <w:p w14:paraId="5368B0C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5020077000</w:t>
            </w:r>
          </w:p>
        </w:tc>
        <w:tc>
          <w:tcPr>
            <w:tcW w:w="547" w:type="pct"/>
            <w:tcBorders>
              <w:top w:val="nil"/>
              <w:left w:val="nil"/>
              <w:bottom w:val="single" w:sz="4" w:space="0" w:color="auto"/>
              <w:right w:val="single" w:sz="4" w:space="0" w:color="auto"/>
            </w:tcBorders>
            <w:shd w:val="clear" w:color="auto" w:fill="auto"/>
            <w:noWrap/>
            <w:vAlign w:val="center"/>
            <w:hideMark/>
          </w:tcPr>
          <w:p w14:paraId="7253A29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69465690</w:t>
            </w:r>
          </w:p>
        </w:tc>
        <w:tc>
          <w:tcPr>
            <w:tcW w:w="3360" w:type="pct"/>
            <w:tcBorders>
              <w:top w:val="nil"/>
              <w:left w:val="nil"/>
              <w:bottom w:val="single" w:sz="4" w:space="0" w:color="auto"/>
              <w:right w:val="single" w:sz="4" w:space="0" w:color="auto"/>
            </w:tcBorders>
            <w:shd w:val="clear" w:color="auto" w:fill="auto"/>
            <w:vAlign w:val="center"/>
            <w:hideMark/>
          </w:tcPr>
          <w:p w14:paraId="0D91F10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VELIKI TRN</w:t>
            </w:r>
          </w:p>
        </w:tc>
      </w:tr>
      <w:tr w:rsidR="00E3750C" w:rsidRPr="00415AB3" w14:paraId="1FCAF2B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50B2E6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725</w:t>
            </w:r>
          </w:p>
        </w:tc>
        <w:tc>
          <w:tcPr>
            <w:tcW w:w="705" w:type="pct"/>
            <w:tcBorders>
              <w:top w:val="nil"/>
              <w:left w:val="nil"/>
              <w:bottom w:val="single" w:sz="4" w:space="0" w:color="auto"/>
              <w:right w:val="single" w:sz="4" w:space="0" w:color="auto"/>
            </w:tcBorders>
            <w:shd w:val="clear" w:color="auto" w:fill="auto"/>
            <w:noWrap/>
            <w:vAlign w:val="center"/>
            <w:hideMark/>
          </w:tcPr>
          <w:p w14:paraId="1900E3F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5032377000</w:t>
            </w:r>
          </w:p>
        </w:tc>
        <w:tc>
          <w:tcPr>
            <w:tcW w:w="547" w:type="pct"/>
            <w:tcBorders>
              <w:top w:val="nil"/>
              <w:left w:val="nil"/>
              <w:bottom w:val="single" w:sz="4" w:space="0" w:color="auto"/>
              <w:right w:val="single" w:sz="4" w:space="0" w:color="auto"/>
            </w:tcBorders>
            <w:shd w:val="clear" w:color="auto" w:fill="auto"/>
            <w:noWrap/>
            <w:vAlign w:val="center"/>
            <w:hideMark/>
          </w:tcPr>
          <w:p w14:paraId="52354DF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16663527</w:t>
            </w:r>
          </w:p>
        </w:tc>
        <w:tc>
          <w:tcPr>
            <w:tcW w:w="3360" w:type="pct"/>
            <w:tcBorders>
              <w:top w:val="nil"/>
              <w:left w:val="nil"/>
              <w:bottom w:val="single" w:sz="4" w:space="0" w:color="auto"/>
              <w:right w:val="single" w:sz="4" w:space="0" w:color="auto"/>
            </w:tcBorders>
            <w:shd w:val="clear" w:color="auto" w:fill="auto"/>
            <w:vAlign w:val="center"/>
            <w:hideMark/>
          </w:tcPr>
          <w:p w14:paraId="61FC1BF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VEŠENIK - BRDO</w:t>
            </w:r>
          </w:p>
        </w:tc>
      </w:tr>
      <w:tr w:rsidR="00E3750C" w:rsidRPr="00415AB3" w14:paraId="55DF9BE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7CEDBC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726</w:t>
            </w:r>
          </w:p>
        </w:tc>
        <w:tc>
          <w:tcPr>
            <w:tcW w:w="705" w:type="pct"/>
            <w:tcBorders>
              <w:top w:val="nil"/>
              <w:left w:val="nil"/>
              <w:bottom w:val="single" w:sz="4" w:space="0" w:color="auto"/>
              <w:right w:val="single" w:sz="4" w:space="0" w:color="auto"/>
            </w:tcBorders>
            <w:shd w:val="clear" w:color="auto" w:fill="auto"/>
            <w:noWrap/>
            <w:vAlign w:val="center"/>
            <w:hideMark/>
          </w:tcPr>
          <w:p w14:paraId="65D1639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5019478000</w:t>
            </w:r>
          </w:p>
        </w:tc>
        <w:tc>
          <w:tcPr>
            <w:tcW w:w="547" w:type="pct"/>
            <w:tcBorders>
              <w:top w:val="nil"/>
              <w:left w:val="nil"/>
              <w:bottom w:val="single" w:sz="4" w:space="0" w:color="auto"/>
              <w:right w:val="single" w:sz="4" w:space="0" w:color="auto"/>
            </w:tcBorders>
            <w:shd w:val="clear" w:color="auto" w:fill="auto"/>
            <w:noWrap/>
            <w:vAlign w:val="center"/>
            <w:hideMark/>
          </w:tcPr>
          <w:p w14:paraId="2CE56D1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44218117</w:t>
            </w:r>
          </w:p>
        </w:tc>
        <w:tc>
          <w:tcPr>
            <w:tcW w:w="3360" w:type="pct"/>
            <w:tcBorders>
              <w:top w:val="nil"/>
              <w:left w:val="nil"/>
              <w:bottom w:val="single" w:sz="4" w:space="0" w:color="auto"/>
              <w:right w:val="single" w:sz="4" w:space="0" w:color="auto"/>
            </w:tcBorders>
            <w:shd w:val="clear" w:color="auto" w:fill="auto"/>
            <w:vAlign w:val="center"/>
            <w:hideMark/>
          </w:tcPr>
          <w:p w14:paraId="78970D2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VIPAVSKI KRIŽ</w:t>
            </w:r>
          </w:p>
        </w:tc>
      </w:tr>
      <w:tr w:rsidR="00E3750C" w:rsidRPr="00415AB3" w14:paraId="1D23C7C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E6CE2E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727</w:t>
            </w:r>
          </w:p>
        </w:tc>
        <w:tc>
          <w:tcPr>
            <w:tcW w:w="705" w:type="pct"/>
            <w:tcBorders>
              <w:top w:val="nil"/>
              <w:left w:val="nil"/>
              <w:bottom w:val="single" w:sz="4" w:space="0" w:color="auto"/>
              <w:right w:val="single" w:sz="4" w:space="0" w:color="auto"/>
            </w:tcBorders>
            <w:shd w:val="clear" w:color="auto" w:fill="auto"/>
            <w:noWrap/>
            <w:vAlign w:val="center"/>
            <w:hideMark/>
          </w:tcPr>
          <w:p w14:paraId="324AA18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5017262000</w:t>
            </w:r>
          </w:p>
        </w:tc>
        <w:tc>
          <w:tcPr>
            <w:tcW w:w="547" w:type="pct"/>
            <w:tcBorders>
              <w:top w:val="nil"/>
              <w:left w:val="nil"/>
              <w:bottom w:val="single" w:sz="4" w:space="0" w:color="auto"/>
              <w:right w:val="single" w:sz="4" w:space="0" w:color="auto"/>
            </w:tcBorders>
            <w:shd w:val="clear" w:color="auto" w:fill="auto"/>
            <w:noWrap/>
            <w:vAlign w:val="center"/>
            <w:hideMark/>
          </w:tcPr>
          <w:p w14:paraId="74235C3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73099236</w:t>
            </w:r>
          </w:p>
        </w:tc>
        <w:tc>
          <w:tcPr>
            <w:tcW w:w="3360" w:type="pct"/>
            <w:tcBorders>
              <w:top w:val="nil"/>
              <w:left w:val="nil"/>
              <w:bottom w:val="single" w:sz="4" w:space="0" w:color="auto"/>
              <w:right w:val="single" w:sz="4" w:space="0" w:color="auto"/>
            </w:tcBorders>
            <w:shd w:val="clear" w:color="auto" w:fill="auto"/>
            <w:vAlign w:val="center"/>
            <w:hideMark/>
          </w:tcPr>
          <w:p w14:paraId="0B96396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VODOVODNI STOLP</w:t>
            </w:r>
          </w:p>
        </w:tc>
      </w:tr>
      <w:tr w:rsidR="00E3750C" w:rsidRPr="00415AB3" w14:paraId="208F6FE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0B3139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728</w:t>
            </w:r>
          </w:p>
        </w:tc>
        <w:tc>
          <w:tcPr>
            <w:tcW w:w="705" w:type="pct"/>
            <w:tcBorders>
              <w:top w:val="nil"/>
              <w:left w:val="nil"/>
              <w:bottom w:val="single" w:sz="4" w:space="0" w:color="auto"/>
              <w:right w:val="single" w:sz="4" w:space="0" w:color="auto"/>
            </w:tcBorders>
            <w:shd w:val="clear" w:color="auto" w:fill="auto"/>
            <w:noWrap/>
            <w:vAlign w:val="center"/>
            <w:hideMark/>
          </w:tcPr>
          <w:p w14:paraId="7102CDC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2254883000</w:t>
            </w:r>
          </w:p>
        </w:tc>
        <w:tc>
          <w:tcPr>
            <w:tcW w:w="547" w:type="pct"/>
            <w:tcBorders>
              <w:top w:val="nil"/>
              <w:left w:val="nil"/>
              <w:bottom w:val="single" w:sz="4" w:space="0" w:color="auto"/>
              <w:right w:val="single" w:sz="4" w:space="0" w:color="auto"/>
            </w:tcBorders>
            <w:shd w:val="clear" w:color="auto" w:fill="auto"/>
            <w:noWrap/>
            <w:vAlign w:val="center"/>
            <w:hideMark/>
          </w:tcPr>
          <w:p w14:paraId="139D7AA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99133121</w:t>
            </w:r>
          </w:p>
        </w:tc>
        <w:tc>
          <w:tcPr>
            <w:tcW w:w="3360" w:type="pct"/>
            <w:tcBorders>
              <w:top w:val="nil"/>
              <w:left w:val="nil"/>
              <w:bottom w:val="single" w:sz="4" w:space="0" w:color="auto"/>
              <w:right w:val="single" w:sz="4" w:space="0" w:color="auto"/>
            </w:tcBorders>
            <w:shd w:val="clear" w:color="auto" w:fill="auto"/>
            <w:vAlign w:val="center"/>
            <w:hideMark/>
          </w:tcPr>
          <w:p w14:paraId="1B76330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VRBNO - PODGRAD</w:t>
            </w:r>
          </w:p>
        </w:tc>
      </w:tr>
      <w:tr w:rsidR="00E3750C" w:rsidRPr="00415AB3" w14:paraId="0EA3083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9C4AFC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729</w:t>
            </w:r>
          </w:p>
        </w:tc>
        <w:tc>
          <w:tcPr>
            <w:tcW w:w="705" w:type="pct"/>
            <w:tcBorders>
              <w:top w:val="nil"/>
              <w:left w:val="nil"/>
              <w:bottom w:val="single" w:sz="4" w:space="0" w:color="auto"/>
              <w:right w:val="single" w:sz="4" w:space="0" w:color="auto"/>
            </w:tcBorders>
            <w:shd w:val="clear" w:color="auto" w:fill="auto"/>
            <w:noWrap/>
            <w:vAlign w:val="center"/>
            <w:hideMark/>
          </w:tcPr>
          <w:p w14:paraId="499874B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5026733000</w:t>
            </w:r>
          </w:p>
        </w:tc>
        <w:tc>
          <w:tcPr>
            <w:tcW w:w="547" w:type="pct"/>
            <w:tcBorders>
              <w:top w:val="nil"/>
              <w:left w:val="nil"/>
              <w:bottom w:val="single" w:sz="4" w:space="0" w:color="auto"/>
              <w:right w:val="single" w:sz="4" w:space="0" w:color="auto"/>
            </w:tcBorders>
            <w:shd w:val="clear" w:color="auto" w:fill="auto"/>
            <w:noWrap/>
            <w:vAlign w:val="center"/>
            <w:hideMark/>
          </w:tcPr>
          <w:p w14:paraId="78C2108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11032278</w:t>
            </w:r>
          </w:p>
        </w:tc>
        <w:tc>
          <w:tcPr>
            <w:tcW w:w="3360" w:type="pct"/>
            <w:tcBorders>
              <w:top w:val="nil"/>
              <w:left w:val="nil"/>
              <w:bottom w:val="single" w:sz="4" w:space="0" w:color="auto"/>
              <w:right w:val="single" w:sz="4" w:space="0" w:color="auto"/>
            </w:tcBorders>
            <w:shd w:val="clear" w:color="auto" w:fill="auto"/>
            <w:vAlign w:val="center"/>
            <w:hideMark/>
          </w:tcPr>
          <w:p w14:paraId="4801F86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VRTOVIN</w:t>
            </w:r>
          </w:p>
        </w:tc>
      </w:tr>
      <w:tr w:rsidR="00E3750C" w:rsidRPr="00415AB3" w14:paraId="4856FA4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F800C4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730</w:t>
            </w:r>
          </w:p>
        </w:tc>
        <w:tc>
          <w:tcPr>
            <w:tcW w:w="705" w:type="pct"/>
            <w:tcBorders>
              <w:top w:val="nil"/>
              <w:left w:val="nil"/>
              <w:bottom w:val="single" w:sz="4" w:space="0" w:color="auto"/>
              <w:right w:val="single" w:sz="4" w:space="0" w:color="auto"/>
            </w:tcBorders>
            <w:shd w:val="clear" w:color="auto" w:fill="auto"/>
            <w:noWrap/>
            <w:vAlign w:val="center"/>
            <w:hideMark/>
          </w:tcPr>
          <w:p w14:paraId="0E643D9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5020808000</w:t>
            </w:r>
          </w:p>
        </w:tc>
        <w:tc>
          <w:tcPr>
            <w:tcW w:w="547" w:type="pct"/>
            <w:tcBorders>
              <w:top w:val="nil"/>
              <w:left w:val="nil"/>
              <w:bottom w:val="single" w:sz="4" w:space="0" w:color="auto"/>
              <w:right w:val="single" w:sz="4" w:space="0" w:color="auto"/>
            </w:tcBorders>
            <w:shd w:val="clear" w:color="auto" w:fill="auto"/>
            <w:noWrap/>
            <w:vAlign w:val="center"/>
            <w:hideMark/>
          </w:tcPr>
          <w:p w14:paraId="369B810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88731391</w:t>
            </w:r>
          </w:p>
        </w:tc>
        <w:tc>
          <w:tcPr>
            <w:tcW w:w="3360" w:type="pct"/>
            <w:tcBorders>
              <w:top w:val="nil"/>
              <w:left w:val="nil"/>
              <w:bottom w:val="single" w:sz="4" w:space="0" w:color="auto"/>
              <w:right w:val="single" w:sz="4" w:space="0" w:color="auto"/>
            </w:tcBorders>
            <w:shd w:val="clear" w:color="auto" w:fill="auto"/>
            <w:vAlign w:val="center"/>
            <w:hideMark/>
          </w:tcPr>
          <w:p w14:paraId="06B0D13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ZABUKOVJE</w:t>
            </w:r>
          </w:p>
        </w:tc>
      </w:tr>
      <w:tr w:rsidR="00E3750C" w:rsidRPr="00415AB3" w14:paraId="75DEC99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BCB703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731</w:t>
            </w:r>
          </w:p>
        </w:tc>
        <w:tc>
          <w:tcPr>
            <w:tcW w:w="705" w:type="pct"/>
            <w:tcBorders>
              <w:top w:val="nil"/>
              <w:left w:val="nil"/>
              <w:bottom w:val="single" w:sz="4" w:space="0" w:color="auto"/>
              <w:right w:val="single" w:sz="4" w:space="0" w:color="auto"/>
            </w:tcBorders>
            <w:shd w:val="clear" w:color="auto" w:fill="auto"/>
            <w:noWrap/>
            <w:vAlign w:val="center"/>
            <w:hideMark/>
          </w:tcPr>
          <w:p w14:paraId="569C0D2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5028647000</w:t>
            </w:r>
          </w:p>
        </w:tc>
        <w:tc>
          <w:tcPr>
            <w:tcW w:w="547" w:type="pct"/>
            <w:tcBorders>
              <w:top w:val="nil"/>
              <w:left w:val="nil"/>
              <w:bottom w:val="single" w:sz="4" w:space="0" w:color="auto"/>
              <w:right w:val="single" w:sz="4" w:space="0" w:color="auto"/>
            </w:tcBorders>
            <w:shd w:val="clear" w:color="auto" w:fill="auto"/>
            <w:noWrap/>
            <w:vAlign w:val="center"/>
            <w:hideMark/>
          </w:tcPr>
          <w:p w14:paraId="3BB2371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87567644</w:t>
            </w:r>
          </w:p>
        </w:tc>
        <w:tc>
          <w:tcPr>
            <w:tcW w:w="3360" w:type="pct"/>
            <w:tcBorders>
              <w:top w:val="nil"/>
              <w:left w:val="nil"/>
              <w:bottom w:val="single" w:sz="4" w:space="0" w:color="auto"/>
              <w:right w:val="single" w:sz="4" w:space="0" w:color="auto"/>
            </w:tcBorders>
            <w:shd w:val="clear" w:color="auto" w:fill="auto"/>
            <w:vAlign w:val="center"/>
            <w:hideMark/>
          </w:tcPr>
          <w:p w14:paraId="3EF91D1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ZAKOT-BUKOŠEK-TRNJE</w:t>
            </w:r>
          </w:p>
        </w:tc>
      </w:tr>
      <w:tr w:rsidR="00E3750C" w:rsidRPr="00415AB3" w14:paraId="7395FEF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EE94AF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732</w:t>
            </w:r>
          </w:p>
        </w:tc>
        <w:tc>
          <w:tcPr>
            <w:tcW w:w="705" w:type="pct"/>
            <w:tcBorders>
              <w:top w:val="nil"/>
              <w:left w:val="nil"/>
              <w:bottom w:val="single" w:sz="4" w:space="0" w:color="auto"/>
              <w:right w:val="single" w:sz="4" w:space="0" w:color="auto"/>
            </w:tcBorders>
            <w:shd w:val="clear" w:color="auto" w:fill="auto"/>
            <w:noWrap/>
            <w:vAlign w:val="center"/>
            <w:hideMark/>
          </w:tcPr>
          <w:p w14:paraId="56EE227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5019001000</w:t>
            </w:r>
          </w:p>
        </w:tc>
        <w:tc>
          <w:tcPr>
            <w:tcW w:w="547" w:type="pct"/>
            <w:tcBorders>
              <w:top w:val="nil"/>
              <w:left w:val="nil"/>
              <w:bottom w:val="single" w:sz="4" w:space="0" w:color="auto"/>
              <w:right w:val="single" w:sz="4" w:space="0" w:color="auto"/>
            </w:tcBorders>
            <w:shd w:val="clear" w:color="auto" w:fill="auto"/>
            <w:noWrap/>
            <w:vAlign w:val="center"/>
            <w:hideMark/>
          </w:tcPr>
          <w:p w14:paraId="08AD6B1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85574805</w:t>
            </w:r>
          </w:p>
        </w:tc>
        <w:tc>
          <w:tcPr>
            <w:tcW w:w="3360" w:type="pct"/>
            <w:tcBorders>
              <w:top w:val="nil"/>
              <w:left w:val="nil"/>
              <w:bottom w:val="single" w:sz="4" w:space="0" w:color="auto"/>
              <w:right w:val="single" w:sz="4" w:space="0" w:color="auto"/>
            </w:tcBorders>
            <w:shd w:val="clear" w:color="auto" w:fill="auto"/>
            <w:vAlign w:val="center"/>
            <w:hideMark/>
          </w:tcPr>
          <w:p w14:paraId="7FF1A00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ZBELOVO</w:t>
            </w:r>
          </w:p>
        </w:tc>
      </w:tr>
      <w:tr w:rsidR="00E3750C" w:rsidRPr="00415AB3" w14:paraId="6EF328D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C64423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733</w:t>
            </w:r>
          </w:p>
        </w:tc>
        <w:tc>
          <w:tcPr>
            <w:tcW w:w="705" w:type="pct"/>
            <w:tcBorders>
              <w:top w:val="nil"/>
              <w:left w:val="nil"/>
              <w:bottom w:val="single" w:sz="4" w:space="0" w:color="auto"/>
              <w:right w:val="single" w:sz="4" w:space="0" w:color="auto"/>
            </w:tcBorders>
            <w:shd w:val="clear" w:color="auto" w:fill="auto"/>
            <w:noWrap/>
            <w:vAlign w:val="center"/>
            <w:hideMark/>
          </w:tcPr>
          <w:p w14:paraId="0D4E3AF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5031567000</w:t>
            </w:r>
          </w:p>
        </w:tc>
        <w:tc>
          <w:tcPr>
            <w:tcW w:w="547" w:type="pct"/>
            <w:tcBorders>
              <w:top w:val="nil"/>
              <w:left w:val="nil"/>
              <w:bottom w:val="single" w:sz="4" w:space="0" w:color="auto"/>
              <w:right w:val="single" w:sz="4" w:space="0" w:color="auto"/>
            </w:tcBorders>
            <w:shd w:val="clear" w:color="auto" w:fill="auto"/>
            <w:noWrap/>
            <w:vAlign w:val="center"/>
            <w:hideMark/>
          </w:tcPr>
          <w:p w14:paraId="0D39B60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23380144</w:t>
            </w:r>
          </w:p>
        </w:tc>
        <w:tc>
          <w:tcPr>
            <w:tcW w:w="3360" w:type="pct"/>
            <w:tcBorders>
              <w:top w:val="nil"/>
              <w:left w:val="nil"/>
              <w:bottom w:val="single" w:sz="4" w:space="0" w:color="auto"/>
              <w:right w:val="single" w:sz="4" w:space="0" w:color="auto"/>
            </w:tcBorders>
            <w:shd w:val="clear" w:color="auto" w:fill="auto"/>
            <w:vAlign w:val="center"/>
            <w:hideMark/>
          </w:tcPr>
          <w:p w14:paraId="7A0A0F2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ZDOLE</w:t>
            </w:r>
          </w:p>
        </w:tc>
      </w:tr>
      <w:tr w:rsidR="00E3750C" w:rsidRPr="00415AB3" w14:paraId="740406D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173E2B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734</w:t>
            </w:r>
          </w:p>
        </w:tc>
        <w:tc>
          <w:tcPr>
            <w:tcW w:w="705" w:type="pct"/>
            <w:tcBorders>
              <w:top w:val="nil"/>
              <w:left w:val="nil"/>
              <w:bottom w:val="single" w:sz="4" w:space="0" w:color="auto"/>
              <w:right w:val="single" w:sz="4" w:space="0" w:color="auto"/>
            </w:tcBorders>
            <w:shd w:val="clear" w:color="auto" w:fill="auto"/>
            <w:noWrap/>
            <w:vAlign w:val="center"/>
            <w:hideMark/>
          </w:tcPr>
          <w:p w14:paraId="55CDF32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5032407000</w:t>
            </w:r>
          </w:p>
        </w:tc>
        <w:tc>
          <w:tcPr>
            <w:tcW w:w="547" w:type="pct"/>
            <w:tcBorders>
              <w:top w:val="nil"/>
              <w:left w:val="nil"/>
              <w:bottom w:val="single" w:sz="4" w:space="0" w:color="auto"/>
              <w:right w:val="single" w:sz="4" w:space="0" w:color="auto"/>
            </w:tcBorders>
            <w:shd w:val="clear" w:color="auto" w:fill="auto"/>
            <w:noWrap/>
            <w:vAlign w:val="center"/>
            <w:hideMark/>
          </w:tcPr>
          <w:p w14:paraId="58F6FDF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33990611</w:t>
            </w:r>
          </w:p>
        </w:tc>
        <w:tc>
          <w:tcPr>
            <w:tcW w:w="3360" w:type="pct"/>
            <w:tcBorders>
              <w:top w:val="nil"/>
              <w:left w:val="nil"/>
              <w:bottom w:val="single" w:sz="4" w:space="0" w:color="auto"/>
              <w:right w:val="single" w:sz="4" w:space="0" w:color="auto"/>
            </w:tcBorders>
            <w:shd w:val="clear" w:color="auto" w:fill="auto"/>
            <w:vAlign w:val="center"/>
            <w:hideMark/>
          </w:tcPr>
          <w:p w14:paraId="167A7C6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ZEČE</w:t>
            </w:r>
          </w:p>
        </w:tc>
      </w:tr>
      <w:tr w:rsidR="00E3750C" w:rsidRPr="00415AB3" w14:paraId="2EA1C35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987242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735</w:t>
            </w:r>
          </w:p>
        </w:tc>
        <w:tc>
          <w:tcPr>
            <w:tcW w:w="705" w:type="pct"/>
            <w:tcBorders>
              <w:top w:val="nil"/>
              <w:left w:val="nil"/>
              <w:bottom w:val="single" w:sz="4" w:space="0" w:color="auto"/>
              <w:right w:val="single" w:sz="4" w:space="0" w:color="auto"/>
            </w:tcBorders>
            <w:shd w:val="clear" w:color="auto" w:fill="auto"/>
            <w:noWrap/>
            <w:vAlign w:val="center"/>
            <w:hideMark/>
          </w:tcPr>
          <w:p w14:paraId="3082889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5032776000</w:t>
            </w:r>
          </w:p>
        </w:tc>
        <w:tc>
          <w:tcPr>
            <w:tcW w:w="547" w:type="pct"/>
            <w:tcBorders>
              <w:top w:val="nil"/>
              <w:left w:val="nil"/>
              <w:bottom w:val="single" w:sz="4" w:space="0" w:color="auto"/>
              <w:right w:val="single" w:sz="4" w:space="0" w:color="auto"/>
            </w:tcBorders>
            <w:shd w:val="clear" w:color="auto" w:fill="auto"/>
            <w:noWrap/>
            <w:vAlign w:val="center"/>
            <w:hideMark/>
          </w:tcPr>
          <w:p w14:paraId="1ABDF67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34632298</w:t>
            </w:r>
          </w:p>
        </w:tc>
        <w:tc>
          <w:tcPr>
            <w:tcW w:w="3360" w:type="pct"/>
            <w:tcBorders>
              <w:top w:val="nil"/>
              <w:left w:val="nil"/>
              <w:bottom w:val="single" w:sz="4" w:space="0" w:color="auto"/>
              <w:right w:val="single" w:sz="4" w:space="0" w:color="auto"/>
            </w:tcBorders>
            <w:shd w:val="clear" w:color="auto" w:fill="auto"/>
            <w:vAlign w:val="center"/>
            <w:hideMark/>
          </w:tcPr>
          <w:p w14:paraId="04A4501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ZIBIKA</w:t>
            </w:r>
          </w:p>
        </w:tc>
      </w:tr>
      <w:tr w:rsidR="00E3750C" w:rsidRPr="00415AB3" w14:paraId="527FC95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ED0E9C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736</w:t>
            </w:r>
          </w:p>
        </w:tc>
        <w:tc>
          <w:tcPr>
            <w:tcW w:w="705" w:type="pct"/>
            <w:tcBorders>
              <w:top w:val="nil"/>
              <w:left w:val="nil"/>
              <w:bottom w:val="single" w:sz="4" w:space="0" w:color="auto"/>
              <w:right w:val="single" w:sz="4" w:space="0" w:color="auto"/>
            </w:tcBorders>
            <w:shd w:val="clear" w:color="auto" w:fill="auto"/>
            <w:noWrap/>
            <w:vAlign w:val="center"/>
            <w:hideMark/>
          </w:tcPr>
          <w:p w14:paraId="7FA46D9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5017289000</w:t>
            </w:r>
          </w:p>
        </w:tc>
        <w:tc>
          <w:tcPr>
            <w:tcW w:w="547" w:type="pct"/>
            <w:tcBorders>
              <w:top w:val="nil"/>
              <w:left w:val="nil"/>
              <w:bottom w:val="single" w:sz="4" w:space="0" w:color="auto"/>
              <w:right w:val="single" w:sz="4" w:space="0" w:color="auto"/>
            </w:tcBorders>
            <w:shd w:val="clear" w:color="auto" w:fill="auto"/>
            <w:noWrap/>
            <w:vAlign w:val="center"/>
            <w:hideMark/>
          </w:tcPr>
          <w:p w14:paraId="620C7FC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94363951</w:t>
            </w:r>
          </w:p>
        </w:tc>
        <w:tc>
          <w:tcPr>
            <w:tcW w:w="3360" w:type="pct"/>
            <w:tcBorders>
              <w:top w:val="nil"/>
              <w:left w:val="nil"/>
              <w:bottom w:val="single" w:sz="4" w:space="0" w:color="auto"/>
              <w:right w:val="single" w:sz="4" w:space="0" w:color="auto"/>
            </w:tcBorders>
            <w:shd w:val="clear" w:color="auto" w:fill="auto"/>
            <w:vAlign w:val="center"/>
            <w:hideMark/>
          </w:tcPr>
          <w:p w14:paraId="148F24B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ZLATO POLJE</w:t>
            </w:r>
          </w:p>
        </w:tc>
      </w:tr>
      <w:tr w:rsidR="00E3750C" w:rsidRPr="00415AB3" w14:paraId="794C12F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B5BA7B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737</w:t>
            </w:r>
          </w:p>
        </w:tc>
        <w:tc>
          <w:tcPr>
            <w:tcW w:w="705" w:type="pct"/>
            <w:tcBorders>
              <w:top w:val="nil"/>
              <w:left w:val="nil"/>
              <w:bottom w:val="single" w:sz="4" w:space="0" w:color="auto"/>
              <w:right w:val="single" w:sz="4" w:space="0" w:color="auto"/>
            </w:tcBorders>
            <w:shd w:val="clear" w:color="auto" w:fill="auto"/>
            <w:noWrap/>
            <w:vAlign w:val="center"/>
            <w:hideMark/>
          </w:tcPr>
          <w:p w14:paraId="563D9ED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5019010000</w:t>
            </w:r>
          </w:p>
        </w:tc>
        <w:tc>
          <w:tcPr>
            <w:tcW w:w="547" w:type="pct"/>
            <w:tcBorders>
              <w:top w:val="nil"/>
              <w:left w:val="nil"/>
              <w:bottom w:val="single" w:sz="4" w:space="0" w:color="auto"/>
              <w:right w:val="single" w:sz="4" w:space="0" w:color="auto"/>
            </w:tcBorders>
            <w:shd w:val="clear" w:color="auto" w:fill="auto"/>
            <w:noWrap/>
            <w:vAlign w:val="center"/>
            <w:hideMark/>
          </w:tcPr>
          <w:p w14:paraId="1502D6D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37492799</w:t>
            </w:r>
          </w:p>
        </w:tc>
        <w:tc>
          <w:tcPr>
            <w:tcW w:w="3360" w:type="pct"/>
            <w:tcBorders>
              <w:top w:val="nil"/>
              <w:left w:val="nil"/>
              <w:bottom w:val="single" w:sz="4" w:space="0" w:color="auto"/>
              <w:right w:val="single" w:sz="4" w:space="0" w:color="auto"/>
            </w:tcBorders>
            <w:shd w:val="clear" w:color="auto" w:fill="auto"/>
            <w:vAlign w:val="center"/>
            <w:hideMark/>
          </w:tcPr>
          <w:p w14:paraId="28F926A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ZREČE</w:t>
            </w:r>
          </w:p>
        </w:tc>
      </w:tr>
      <w:tr w:rsidR="00E3750C" w:rsidRPr="00415AB3" w14:paraId="6F7573E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6800F6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738</w:t>
            </w:r>
          </w:p>
        </w:tc>
        <w:tc>
          <w:tcPr>
            <w:tcW w:w="705" w:type="pct"/>
            <w:tcBorders>
              <w:top w:val="nil"/>
              <w:left w:val="nil"/>
              <w:bottom w:val="single" w:sz="4" w:space="0" w:color="auto"/>
              <w:right w:val="single" w:sz="4" w:space="0" w:color="auto"/>
            </w:tcBorders>
            <w:shd w:val="clear" w:color="auto" w:fill="auto"/>
            <w:noWrap/>
            <w:vAlign w:val="center"/>
            <w:hideMark/>
          </w:tcPr>
          <w:p w14:paraId="29DAD61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5028663000</w:t>
            </w:r>
          </w:p>
        </w:tc>
        <w:tc>
          <w:tcPr>
            <w:tcW w:w="547" w:type="pct"/>
            <w:tcBorders>
              <w:top w:val="nil"/>
              <w:left w:val="nil"/>
              <w:bottom w:val="single" w:sz="4" w:space="0" w:color="auto"/>
              <w:right w:val="single" w:sz="4" w:space="0" w:color="auto"/>
            </w:tcBorders>
            <w:shd w:val="clear" w:color="auto" w:fill="auto"/>
            <w:noWrap/>
            <w:vAlign w:val="center"/>
            <w:hideMark/>
          </w:tcPr>
          <w:p w14:paraId="4B538F0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68344384</w:t>
            </w:r>
          </w:p>
        </w:tc>
        <w:tc>
          <w:tcPr>
            <w:tcW w:w="3360" w:type="pct"/>
            <w:tcBorders>
              <w:top w:val="nil"/>
              <w:left w:val="nil"/>
              <w:bottom w:val="single" w:sz="4" w:space="0" w:color="auto"/>
              <w:right w:val="single" w:sz="4" w:space="0" w:color="auto"/>
            </w:tcBorders>
            <w:shd w:val="clear" w:color="auto" w:fill="auto"/>
            <w:vAlign w:val="center"/>
            <w:hideMark/>
          </w:tcPr>
          <w:p w14:paraId="5FA2467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ŽABNICA</w:t>
            </w:r>
          </w:p>
        </w:tc>
      </w:tr>
      <w:tr w:rsidR="00E3750C" w:rsidRPr="00415AB3" w14:paraId="0955B3A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7EB713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739</w:t>
            </w:r>
          </w:p>
        </w:tc>
        <w:tc>
          <w:tcPr>
            <w:tcW w:w="705" w:type="pct"/>
            <w:tcBorders>
              <w:top w:val="nil"/>
              <w:left w:val="nil"/>
              <w:bottom w:val="single" w:sz="4" w:space="0" w:color="auto"/>
              <w:right w:val="single" w:sz="4" w:space="0" w:color="auto"/>
            </w:tcBorders>
            <w:shd w:val="clear" w:color="auto" w:fill="auto"/>
            <w:noWrap/>
            <w:vAlign w:val="center"/>
            <w:hideMark/>
          </w:tcPr>
          <w:p w14:paraId="6E63ACE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5030820000</w:t>
            </w:r>
          </w:p>
        </w:tc>
        <w:tc>
          <w:tcPr>
            <w:tcW w:w="547" w:type="pct"/>
            <w:tcBorders>
              <w:top w:val="nil"/>
              <w:left w:val="nil"/>
              <w:bottom w:val="single" w:sz="4" w:space="0" w:color="auto"/>
              <w:right w:val="single" w:sz="4" w:space="0" w:color="auto"/>
            </w:tcBorders>
            <w:shd w:val="clear" w:color="auto" w:fill="auto"/>
            <w:noWrap/>
            <w:vAlign w:val="center"/>
            <w:hideMark/>
          </w:tcPr>
          <w:p w14:paraId="00EC731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80713980</w:t>
            </w:r>
          </w:p>
        </w:tc>
        <w:tc>
          <w:tcPr>
            <w:tcW w:w="3360" w:type="pct"/>
            <w:tcBorders>
              <w:top w:val="nil"/>
              <w:left w:val="nil"/>
              <w:bottom w:val="single" w:sz="4" w:space="0" w:color="auto"/>
              <w:right w:val="single" w:sz="4" w:space="0" w:color="auto"/>
            </w:tcBorders>
            <w:shd w:val="clear" w:color="auto" w:fill="auto"/>
            <w:vAlign w:val="center"/>
            <w:hideMark/>
          </w:tcPr>
          <w:p w14:paraId="0A08A95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ŽAPUŽE</w:t>
            </w:r>
          </w:p>
        </w:tc>
      </w:tr>
      <w:tr w:rsidR="00E3750C" w:rsidRPr="00415AB3" w14:paraId="47EDABD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7DA818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740</w:t>
            </w:r>
          </w:p>
        </w:tc>
        <w:tc>
          <w:tcPr>
            <w:tcW w:w="705" w:type="pct"/>
            <w:tcBorders>
              <w:top w:val="nil"/>
              <w:left w:val="nil"/>
              <w:bottom w:val="single" w:sz="4" w:space="0" w:color="auto"/>
              <w:right w:val="single" w:sz="4" w:space="0" w:color="auto"/>
            </w:tcBorders>
            <w:shd w:val="clear" w:color="auto" w:fill="auto"/>
            <w:noWrap/>
            <w:vAlign w:val="center"/>
            <w:hideMark/>
          </w:tcPr>
          <w:p w14:paraId="54A7BE1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5021758000</w:t>
            </w:r>
          </w:p>
        </w:tc>
        <w:tc>
          <w:tcPr>
            <w:tcW w:w="547" w:type="pct"/>
            <w:tcBorders>
              <w:top w:val="nil"/>
              <w:left w:val="nil"/>
              <w:bottom w:val="single" w:sz="4" w:space="0" w:color="auto"/>
              <w:right w:val="single" w:sz="4" w:space="0" w:color="auto"/>
            </w:tcBorders>
            <w:shd w:val="clear" w:color="auto" w:fill="auto"/>
            <w:noWrap/>
            <w:vAlign w:val="center"/>
            <w:hideMark/>
          </w:tcPr>
          <w:p w14:paraId="4233862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15689271</w:t>
            </w:r>
          </w:p>
        </w:tc>
        <w:tc>
          <w:tcPr>
            <w:tcW w:w="3360" w:type="pct"/>
            <w:tcBorders>
              <w:top w:val="nil"/>
              <w:left w:val="nil"/>
              <w:bottom w:val="single" w:sz="4" w:space="0" w:color="auto"/>
              <w:right w:val="single" w:sz="4" w:space="0" w:color="auto"/>
            </w:tcBorders>
            <w:shd w:val="clear" w:color="auto" w:fill="auto"/>
            <w:vAlign w:val="center"/>
            <w:hideMark/>
          </w:tcPr>
          <w:p w14:paraId="4DAED9F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ŽIČE</w:t>
            </w:r>
          </w:p>
        </w:tc>
      </w:tr>
      <w:tr w:rsidR="00E3750C" w:rsidRPr="00415AB3" w14:paraId="20DC03E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3E6CE7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741</w:t>
            </w:r>
          </w:p>
        </w:tc>
        <w:tc>
          <w:tcPr>
            <w:tcW w:w="705" w:type="pct"/>
            <w:tcBorders>
              <w:top w:val="nil"/>
              <w:left w:val="nil"/>
              <w:bottom w:val="single" w:sz="4" w:space="0" w:color="auto"/>
              <w:right w:val="single" w:sz="4" w:space="0" w:color="auto"/>
            </w:tcBorders>
            <w:shd w:val="clear" w:color="auto" w:fill="auto"/>
            <w:noWrap/>
            <w:vAlign w:val="center"/>
            <w:hideMark/>
          </w:tcPr>
          <w:p w14:paraId="488AB5B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5028418000</w:t>
            </w:r>
          </w:p>
        </w:tc>
        <w:tc>
          <w:tcPr>
            <w:tcW w:w="547" w:type="pct"/>
            <w:tcBorders>
              <w:top w:val="nil"/>
              <w:left w:val="nil"/>
              <w:bottom w:val="single" w:sz="4" w:space="0" w:color="auto"/>
              <w:right w:val="single" w:sz="4" w:space="0" w:color="auto"/>
            </w:tcBorders>
            <w:shd w:val="clear" w:color="auto" w:fill="auto"/>
            <w:noWrap/>
            <w:vAlign w:val="center"/>
            <w:hideMark/>
          </w:tcPr>
          <w:p w14:paraId="0C6B1B0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58037519</w:t>
            </w:r>
          </w:p>
        </w:tc>
        <w:tc>
          <w:tcPr>
            <w:tcW w:w="3360" w:type="pct"/>
            <w:tcBorders>
              <w:top w:val="nil"/>
              <w:left w:val="nil"/>
              <w:bottom w:val="single" w:sz="4" w:space="0" w:color="auto"/>
              <w:right w:val="single" w:sz="4" w:space="0" w:color="auto"/>
            </w:tcBorders>
            <w:shd w:val="clear" w:color="auto" w:fill="auto"/>
            <w:vAlign w:val="center"/>
            <w:hideMark/>
          </w:tcPr>
          <w:p w14:paraId="03F9CA8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KRAJEVNA SKUPNOST ŽUSTERNA</w:t>
            </w:r>
          </w:p>
        </w:tc>
      </w:tr>
      <w:tr w:rsidR="00E3750C" w:rsidRPr="00415AB3" w14:paraId="634099E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38E5A6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742</w:t>
            </w:r>
          </w:p>
        </w:tc>
        <w:tc>
          <w:tcPr>
            <w:tcW w:w="705" w:type="pct"/>
            <w:tcBorders>
              <w:top w:val="nil"/>
              <w:left w:val="nil"/>
              <w:bottom w:val="single" w:sz="4" w:space="0" w:color="auto"/>
              <w:right w:val="single" w:sz="4" w:space="0" w:color="auto"/>
            </w:tcBorders>
            <w:shd w:val="clear" w:color="auto" w:fill="auto"/>
            <w:noWrap/>
            <w:vAlign w:val="center"/>
            <w:hideMark/>
          </w:tcPr>
          <w:p w14:paraId="772E348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5049849000</w:t>
            </w:r>
          </w:p>
        </w:tc>
        <w:tc>
          <w:tcPr>
            <w:tcW w:w="547" w:type="pct"/>
            <w:tcBorders>
              <w:top w:val="nil"/>
              <w:left w:val="nil"/>
              <w:bottom w:val="single" w:sz="4" w:space="0" w:color="auto"/>
              <w:right w:val="single" w:sz="4" w:space="0" w:color="auto"/>
            </w:tcBorders>
            <w:shd w:val="clear" w:color="auto" w:fill="auto"/>
            <w:noWrap/>
            <w:vAlign w:val="center"/>
            <w:hideMark/>
          </w:tcPr>
          <w:p w14:paraId="42A2BB9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42191297</w:t>
            </w:r>
          </w:p>
        </w:tc>
        <w:tc>
          <w:tcPr>
            <w:tcW w:w="3360" w:type="pct"/>
            <w:tcBorders>
              <w:top w:val="nil"/>
              <w:left w:val="nil"/>
              <w:bottom w:val="single" w:sz="4" w:space="0" w:color="auto"/>
              <w:right w:val="single" w:sz="4" w:space="0" w:color="auto"/>
            </w:tcBorders>
            <w:shd w:val="clear" w:color="auto" w:fill="auto"/>
            <w:vAlign w:val="center"/>
            <w:hideMark/>
          </w:tcPr>
          <w:p w14:paraId="780497C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KRANJSKI VRTCI</w:t>
            </w:r>
          </w:p>
        </w:tc>
      </w:tr>
      <w:tr w:rsidR="00E3750C" w:rsidRPr="00415AB3" w14:paraId="7F97182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05CBAF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743</w:t>
            </w:r>
          </w:p>
        </w:tc>
        <w:tc>
          <w:tcPr>
            <w:tcW w:w="705" w:type="pct"/>
            <w:tcBorders>
              <w:top w:val="nil"/>
              <w:left w:val="nil"/>
              <w:bottom w:val="single" w:sz="4" w:space="0" w:color="auto"/>
              <w:right w:val="single" w:sz="4" w:space="0" w:color="auto"/>
            </w:tcBorders>
            <w:shd w:val="clear" w:color="auto" w:fill="auto"/>
            <w:noWrap/>
            <w:vAlign w:val="center"/>
            <w:hideMark/>
          </w:tcPr>
          <w:p w14:paraId="407C4D5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8889724000</w:t>
            </w:r>
          </w:p>
        </w:tc>
        <w:tc>
          <w:tcPr>
            <w:tcW w:w="547" w:type="pct"/>
            <w:tcBorders>
              <w:top w:val="nil"/>
              <w:left w:val="nil"/>
              <w:bottom w:val="single" w:sz="4" w:space="0" w:color="auto"/>
              <w:right w:val="single" w:sz="4" w:space="0" w:color="auto"/>
            </w:tcBorders>
            <w:shd w:val="clear" w:color="auto" w:fill="auto"/>
            <w:noWrap/>
            <w:vAlign w:val="center"/>
            <w:hideMark/>
          </w:tcPr>
          <w:p w14:paraId="7BB11A9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79671977</w:t>
            </w:r>
          </w:p>
        </w:tc>
        <w:tc>
          <w:tcPr>
            <w:tcW w:w="3360" w:type="pct"/>
            <w:tcBorders>
              <w:top w:val="nil"/>
              <w:left w:val="nil"/>
              <w:bottom w:val="single" w:sz="4" w:space="0" w:color="auto"/>
              <w:right w:val="single" w:sz="4" w:space="0" w:color="auto"/>
            </w:tcBorders>
            <w:shd w:val="clear" w:color="auto" w:fill="auto"/>
            <w:vAlign w:val="center"/>
            <w:hideMark/>
          </w:tcPr>
          <w:p w14:paraId="5455EDF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KREATIVNO SREDIŠČE CENTER ROG</w:t>
            </w:r>
          </w:p>
        </w:tc>
      </w:tr>
      <w:tr w:rsidR="00E3750C" w:rsidRPr="00415AB3" w14:paraId="3BFB28A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285D6C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744</w:t>
            </w:r>
          </w:p>
        </w:tc>
        <w:tc>
          <w:tcPr>
            <w:tcW w:w="705" w:type="pct"/>
            <w:tcBorders>
              <w:top w:val="nil"/>
              <w:left w:val="nil"/>
              <w:bottom w:val="single" w:sz="4" w:space="0" w:color="auto"/>
              <w:right w:val="single" w:sz="4" w:space="0" w:color="auto"/>
            </w:tcBorders>
            <w:shd w:val="clear" w:color="auto" w:fill="auto"/>
            <w:noWrap/>
            <w:vAlign w:val="center"/>
            <w:hideMark/>
          </w:tcPr>
          <w:p w14:paraId="438D3EA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3377342000</w:t>
            </w:r>
          </w:p>
        </w:tc>
        <w:tc>
          <w:tcPr>
            <w:tcW w:w="547" w:type="pct"/>
            <w:tcBorders>
              <w:top w:val="nil"/>
              <w:left w:val="nil"/>
              <w:bottom w:val="single" w:sz="4" w:space="0" w:color="auto"/>
              <w:right w:val="single" w:sz="4" w:space="0" w:color="auto"/>
            </w:tcBorders>
            <w:shd w:val="clear" w:color="auto" w:fill="auto"/>
            <w:noWrap/>
            <w:vAlign w:val="center"/>
            <w:hideMark/>
          </w:tcPr>
          <w:p w14:paraId="1CAA370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69087156</w:t>
            </w:r>
          </w:p>
        </w:tc>
        <w:tc>
          <w:tcPr>
            <w:tcW w:w="3360" w:type="pct"/>
            <w:tcBorders>
              <w:top w:val="nil"/>
              <w:left w:val="nil"/>
              <w:bottom w:val="single" w:sz="4" w:space="0" w:color="auto"/>
              <w:right w:val="single" w:sz="4" w:space="0" w:color="auto"/>
            </w:tcBorders>
            <w:shd w:val="clear" w:color="auto" w:fill="auto"/>
            <w:vAlign w:val="center"/>
            <w:hideMark/>
          </w:tcPr>
          <w:p w14:paraId="490E12F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KULTURNI CENTER SEMIČ</w:t>
            </w:r>
          </w:p>
        </w:tc>
      </w:tr>
      <w:tr w:rsidR="00E3750C" w:rsidRPr="00415AB3" w14:paraId="0CE370F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D53B07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745</w:t>
            </w:r>
          </w:p>
        </w:tc>
        <w:tc>
          <w:tcPr>
            <w:tcW w:w="705" w:type="pct"/>
            <w:tcBorders>
              <w:top w:val="nil"/>
              <w:left w:val="nil"/>
              <w:bottom w:val="single" w:sz="4" w:space="0" w:color="auto"/>
              <w:right w:val="single" w:sz="4" w:space="0" w:color="auto"/>
            </w:tcBorders>
            <w:shd w:val="clear" w:color="auto" w:fill="auto"/>
            <w:noWrap/>
            <w:vAlign w:val="center"/>
            <w:hideMark/>
          </w:tcPr>
          <w:p w14:paraId="7EA498B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1263099000</w:t>
            </w:r>
          </w:p>
        </w:tc>
        <w:tc>
          <w:tcPr>
            <w:tcW w:w="547" w:type="pct"/>
            <w:tcBorders>
              <w:top w:val="nil"/>
              <w:left w:val="nil"/>
              <w:bottom w:val="single" w:sz="4" w:space="0" w:color="auto"/>
              <w:right w:val="single" w:sz="4" w:space="0" w:color="auto"/>
            </w:tcBorders>
            <w:shd w:val="clear" w:color="auto" w:fill="auto"/>
            <w:noWrap/>
            <w:vAlign w:val="center"/>
            <w:hideMark/>
          </w:tcPr>
          <w:p w14:paraId="0B84ABF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46606831</w:t>
            </w:r>
          </w:p>
        </w:tc>
        <w:tc>
          <w:tcPr>
            <w:tcW w:w="3360" w:type="pct"/>
            <w:tcBorders>
              <w:top w:val="nil"/>
              <w:left w:val="nil"/>
              <w:bottom w:val="single" w:sz="4" w:space="0" w:color="auto"/>
              <w:right w:val="single" w:sz="4" w:space="0" w:color="auto"/>
            </w:tcBorders>
            <w:shd w:val="clear" w:color="auto" w:fill="auto"/>
            <w:vAlign w:val="center"/>
            <w:hideMark/>
          </w:tcPr>
          <w:p w14:paraId="7BC698D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KULTURNI DOM FRANCA BERNIKA DOMŽALE</w:t>
            </w:r>
          </w:p>
        </w:tc>
      </w:tr>
      <w:tr w:rsidR="00E3750C" w:rsidRPr="00415AB3" w14:paraId="1A4F14B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C707D6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746</w:t>
            </w:r>
          </w:p>
        </w:tc>
        <w:tc>
          <w:tcPr>
            <w:tcW w:w="705" w:type="pct"/>
            <w:tcBorders>
              <w:top w:val="nil"/>
              <w:left w:val="nil"/>
              <w:bottom w:val="single" w:sz="4" w:space="0" w:color="auto"/>
              <w:right w:val="single" w:sz="4" w:space="0" w:color="auto"/>
            </w:tcBorders>
            <w:shd w:val="clear" w:color="auto" w:fill="auto"/>
            <w:noWrap/>
            <w:vAlign w:val="center"/>
            <w:hideMark/>
          </w:tcPr>
          <w:p w14:paraId="5288C16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5096944000</w:t>
            </w:r>
          </w:p>
        </w:tc>
        <w:tc>
          <w:tcPr>
            <w:tcW w:w="547" w:type="pct"/>
            <w:tcBorders>
              <w:top w:val="nil"/>
              <w:left w:val="nil"/>
              <w:bottom w:val="single" w:sz="4" w:space="0" w:color="auto"/>
              <w:right w:val="single" w:sz="4" w:space="0" w:color="auto"/>
            </w:tcBorders>
            <w:shd w:val="clear" w:color="auto" w:fill="auto"/>
            <w:noWrap/>
            <w:vAlign w:val="center"/>
            <w:hideMark/>
          </w:tcPr>
          <w:p w14:paraId="63712B9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30027110</w:t>
            </w:r>
          </w:p>
        </w:tc>
        <w:tc>
          <w:tcPr>
            <w:tcW w:w="3360" w:type="pct"/>
            <w:tcBorders>
              <w:top w:val="nil"/>
              <w:left w:val="nil"/>
              <w:bottom w:val="single" w:sz="4" w:space="0" w:color="auto"/>
              <w:right w:val="single" w:sz="4" w:space="0" w:color="auto"/>
            </w:tcBorders>
            <w:shd w:val="clear" w:color="auto" w:fill="auto"/>
            <w:vAlign w:val="center"/>
            <w:hideMark/>
          </w:tcPr>
          <w:p w14:paraId="07A32F0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KULTURNI DOM KRŠKO</w:t>
            </w:r>
          </w:p>
        </w:tc>
      </w:tr>
      <w:tr w:rsidR="00E3750C" w:rsidRPr="00415AB3" w14:paraId="3400264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6DA00F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747</w:t>
            </w:r>
          </w:p>
        </w:tc>
        <w:tc>
          <w:tcPr>
            <w:tcW w:w="705" w:type="pct"/>
            <w:tcBorders>
              <w:top w:val="nil"/>
              <w:left w:val="nil"/>
              <w:bottom w:val="single" w:sz="4" w:space="0" w:color="auto"/>
              <w:right w:val="single" w:sz="4" w:space="0" w:color="auto"/>
            </w:tcBorders>
            <w:shd w:val="clear" w:color="auto" w:fill="auto"/>
            <w:noWrap/>
            <w:vAlign w:val="center"/>
            <w:hideMark/>
          </w:tcPr>
          <w:p w14:paraId="54644A8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5650437000</w:t>
            </w:r>
          </w:p>
        </w:tc>
        <w:tc>
          <w:tcPr>
            <w:tcW w:w="547" w:type="pct"/>
            <w:tcBorders>
              <w:top w:val="nil"/>
              <w:left w:val="nil"/>
              <w:bottom w:val="single" w:sz="4" w:space="0" w:color="auto"/>
              <w:right w:val="single" w:sz="4" w:space="0" w:color="auto"/>
            </w:tcBorders>
            <w:shd w:val="clear" w:color="auto" w:fill="auto"/>
            <w:noWrap/>
            <w:vAlign w:val="center"/>
            <w:hideMark/>
          </w:tcPr>
          <w:p w14:paraId="268B7FA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24909165</w:t>
            </w:r>
          </w:p>
        </w:tc>
        <w:tc>
          <w:tcPr>
            <w:tcW w:w="3360" w:type="pct"/>
            <w:tcBorders>
              <w:top w:val="nil"/>
              <w:left w:val="nil"/>
              <w:bottom w:val="single" w:sz="4" w:space="0" w:color="auto"/>
              <w:right w:val="single" w:sz="4" w:space="0" w:color="auto"/>
            </w:tcBorders>
            <w:shd w:val="clear" w:color="auto" w:fill="auto"/>
            <w:vAlign w:val="center"/>
            <w:hideMark/>
          </w:tcPr>
          <w:p w14:paraId="50ADBB8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KULTURNO PRIREDITVENI CENTER NARODNI DOM MARIBOR</w:t>
            </w:r>
          </w:p>
        </w:tc>
      </w:tr>
      <w:tr w:rsidR="00E3750C" w:rsidRPr="00415AB3" w14:paraId="592F7B4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4C92B6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748</w:t>
            </w:r>
          </w:p>
        </w:tc>
        <w:tc>
          <w:tcPr>
            <w:tcW w:w="705" w:type="pct"/>
            <w:tcBorders>
              <w:top w:val="nil"/>
              <w:left w:val="nil"/>
              <w:bottom w:val="single" w:sz="4" w:space="0" w:color="auto"/>
              <w:right w:val="single" w:sz="4" w:space="0" w:color="auto"/>
            </w:tcBorders>
            <w:shd w:val="clear" w:color="auto" w:fill="auto"/>
            <w:noWrap/>
            <w:vAlign w:val="center"/>
            <w:hideMark/>
          </w:tcPr>
          <w:p w14:paraId="34934F2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5055849000</w:t>
            </w:r>
          </w:p>
        </w:tc>
        <w:tc>
          <w:tcPr>
            <w:tcW w:w="547" w:type="pct"/>
            <w:tcBorders>
              <w:top w:val="nil"/>
              <w:left w:val="nil"/>
              <w:bottom w:val="single" w:sz="4" w:space="0" w:color="auto"/>
              <w:right w:val="single" w:sz="4" w:space="0" w:color="auto"/>
            </w:tcBorders>
            <w:shd w:val="clear" w:color="auto" w:fill="auto"/>
            <w:noWrap/>
            <w:vAlign w:val="center"/>
            <w:hideMark/>
          </w:tcPr>
          <w:p w14:paraId="124FAC1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71668454</w:t>
            </w:r>
          </w:p>
        </w:tc>
        <w:tc>
          <w:tcPr>
            <w:tcW w:w="3360" w:type="pct"/>
            <w:tcBorders>
              <w:top w:val="nil"/>
              <w:left w:val="nil"/>
              <w:bottom w:val="single" w:sz="4" w:space="0" w:color="auto"/>
              <w:right w:val="single" w:sz="4" w:space="0" w:color="auto"/>
            </w:tcBorders>
            <w:shd w:val="clear" w:color="auto" w:fill="auto"/>
            <w:vAlign w:val="center"/>
            <w:hideMark/>
          </w:tcPr>
          <w:p w14:paraId="15898E9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LAMBRECHTOV DOM, SLOVENSKE KONJICE</w:t>
            </w:r>
          </w:p>
        </w:tc>
      </w:tr>
      <w:tr w:rsidR="00E3750C" w:rsidRPr="00415AB3" w14:paraId="5994FE5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D99903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749</w:t>
            </w:r>
          </w:p>
        </w:tc>
        <w:tc>
          <w:tcPr>
            <w:tcW w:w="705" w:type="pct"/>
            <w:tcBorders>
              <w:top w:val="nil"/>
              <w:left w:val="nil"/>
              <w:bottom w:val="single" w:sz="4" w:space="0" w:color="auto"/>
              <w:right w:val="single" w:sz="4" w:space="0" w:color="auto"/>
            </w:tcBorders>
            <w:shd w:val="clear" w:color="auto" w:fill="auto"/>
            <w:noWrap/>
            <w:vAlign w:val="center"/>
            <w:hideMark/>
          </w:tcPr>
          <w:p w14:paraId="573E48A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5097916000</w:t>
            </w:r>
          </w:p>
        </w:tc>
        <w:tc>
          <w:tcPr>
            <w:tcW w:w="547" w:type="pct"/>
            <w:tcBorders>
              <w:top w:val="nil"/>
              <w:left w:val="nil"/>
              <w:bottom w:val="single" w:sz="4" w:space="0" w:color="auto"/>
              <w:right w:val="single" w:sz="4" w:space="0" w:color="auto"/>
            </w:tcBorders>
            <w:shd w:val="clear" w:color="auto" w:fill="auto"/>
            <w:noWrap/>
            <w:vAlign w:val="center"/>
            <w:hideMark/>
          </w:tcPr>
          <w:p w14:paraId="0B75EAC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34913858</w:t>
            </w:r>
          </w:p>
        </w:tc>
        <w:tc>
          <w:tcPr>
            <w:tcW w:w="3360" w:type="pct"/>
            <w:tcBorders>
              <w:top w:val="nil"/>
              <w:left w:val="nil"/>
              <w:bottom w:val="single" w:sz="4" w:space="0" w:color="auto"/>
              <w:right w:val="single" w:sz="4" w:space="0" w:color="auto"/>
            </w:tcBorders>
            <w:shd w:val="clear" w:color="auto" w:fill="auto"/>
            <w:vAlign w:val="center"/>
            <w:hideMark/>
          </w:tcPr>
          <w:p w14:paraId="45BC083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LAŠKI AKADEMSKI KLUB</w:t>
            </w:r>
          </w:p>
        </w:tc>
      </w:tr>
      <w:tr w:rsidR="00E3750C" w:rsidRPr="00415AB3" w14:paraId="62EFD39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3EE95A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750</w:t>
            </w:r>
          </w:p>
        </w:tc>
        <w:tc>
          <w:tcPr>
            <w:tcW w:w="705" w:type="pct"/>
            <w:tcBorders>
              <w:top w:val="nil"/>
              <w:left w:val="nil"/>
              <w:bottom w:val="single" w:sz="4" w:space="0" w:color="auto"/>
              <w:right w:val="single" w:sz="4" w:space="0" w:color="auto"/>
            </w:tcBorders>
            <w:shd w:val="clear" w:color="auto" w:fill="auto"/>
            <w:noWrap/>
            <w:vAlign w:val="center"/>
            <w:hideMark/>
          </w:tcPr>
          <w:p w14:paraId="32EF915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1434276000</w:t>
            </w:r>
          </w:p>
        </w:tc>
        <w:tc>
          <w:tcPr>
            <w:tcW w:w="547" w:type="pct"/>
            <w:tcBorders>
              <w:top w:val="nil"/>
              <w:left w:val="nil"/>
              <w:bottom w:val="single" w:sz="4" w:space="0" w:color="auto"/>
              <w:right w:val="single" w:sz="4" w:space="0" w:color="auto"/>
            </w:tcBorders>
            <w:shd w:val="clear" w:color="auto" w:fill="auto"/>
            <w:noWrap/>
            <w:vAlign w:val="center"/>
            <w:hideMark/>
          </w:tcPr>
          <w:p w14:paraId="2BA78B8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16935870</w:t>
            </w:r>
          </w:p>
        </w:tc>
        <w:tc>
          <w:tcPr>
            <w:tcW w:w="3360" w:type="pct"/>
            <w:tcBorders>
              <w:top w:val="nil"/>
              <w:left w:val="nil"/>
              <w:bottom w:val="single" w:sz="4" w:space="0" w:color="auto"/>
              <w:right w:val="single" w:sz="4" w:space="0" w:color="auto"/>
            </w:tcBorders>
            <w:shd w:val="clear" w:color="auto" w:fill="auto"/>
            <w:vAlign w:val="center"/>
            <w:hideMark/>
          </w:tcPr>
          <w:p w14:paraId="559F7F9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LAVRIČEVA KNJIŽNICA AJDOVŠČINA</w:t>
            </w:r>
          </w:p>
        </w:tc>
      </w:tr>
      <w:tr w:rsidR="00E3750C" w:rsidRPr="00415AB3" w14:paraId="45379FD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595707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751</w:t>
            </w:r>
          </w:p>
        </w:tc>
        <w:tc>
          <w:tcPr>
            <w:tcW w:w="705" w:type="pct"/>
            <w:tcBorders>
              <w:top w:val="nil"/>
              <w:left w:val="nil"/>
              <w:bottom w:val="single" w:sz="4" w:space="0" w:color="auto"/>
              <w:right w:val="single" w:sz="4" w:space="0" w:color="auto"/>
            </w:tcBorders>
            <w:shd w:val="clear" w:color="auto" w:fill="auto"/>
            <w:noWrap/>
            <w:vAlign w:val="center"/>
            <w:hideMark/>
          </w:tcPr>
          <w:p w14:paraId="7107936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5053498000</w:t>
            </w:r>
          </w:p>
        </w:tc>
        <w:tc>
          <w:tcPr>
            <w:tcW w:w="547" w:type="pct"/>
            <w:tcBorders>
              <w:top w:val="nil"/>
              <w:left w:val="nil"/>
              <w:bottom w:val="single" w:sz="4" w:space="0" w:color="auto"/>
              <w:right w:val="single" w:sz="4" w:space="0" w:color="auto"/>
            </w:tcBorders>
            <w:shd w:val="clear" w:color="auto" w:fill="auto"/>
            <w:noWrap/>
            <w:vAlign w:val="center"/>
            <w:hideMark/>
          </w:tcPr>
          <w:p w14:paraId="4AAF26B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71037519</w:t>
            </w:r>
          </w:p>
        </w:tc>
        <w:tc>
          <w:tcPr>
            <w:tcW w:w="3360" w:type="pct"/>
            <w:tcBorders>
              <w:top w:val="nil"/>
              <w:left w:val="nil"/>
              <w:bottom w:val="single" w:sz="4" w:space="0" w:color="auto"/>
              <w:right w:val="single" w:sz="4" w:space="0" w:color="auto"/>
            </w:tcBorders>
            <w:shd w:val="clear" w:color="auto" w:fill="auto"/>
            <w:vAlign w:val="center"/>
            <w:hideMark/>
          </w:tcPr>
          <w:p w14:paraId="3C6D392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LEKARNA AJDOVŠČINA</w:t>
            </w:r>
          </w:p>
        </w:tc>
      </w:tr>
      <w:tr w:rsidR="00E3750C" w:rsidRPr="00415AB3" w14:paraId="28EA689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1FB8D7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752</w:t>
            </w:r>
          </w:p>
        </w:tc>
        <w:tc>
          <w:tcPr>
            <w:tcW w:w="705" w:type="pct"/>
            <w:tcBorders>
              <w:top w:val="nil"/>
              <w:left w:val="nil"/>
              <w:bottom w:val="single" w:sz="4" w:space="0" w:color="auto"/>
              <w:right w:val="single" w:sz="4" w:space="0" w:color="auto"/>
            </w:tcBorders>
            <w:shd w:val="clear" w:color="auto" w:fill="auto"/>
            <w:noWrap/>
            <w:vAlign w:val="center"/>
            <w:hideMark/>
          </w:tcPr>
          <w:p w14:paraId="2A6ED4F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5053510000</w:t>
            </w:r>
          </w:p>
        </w:tc>
        <w:tc>
          <w:tcPr>
            <w:tcW w:w="547" w:type="pct"/>
            <w:tcBorders>
              <w:top w:val="nil"/>
              <w:left w:val="nil"/>
              <w:bottom w:val="single" w:sz="4" w:space="0" w:color="auto"/>
              <w:right w:val="single" w:sz="4" w:space="0" w:color="auto"/>
            </w:tcBorders>
            <w:shd w:val="clear" w:color="auto" w:fill="auto"/>
            <w:noWrap/>
            <w:vAlign w:val="center"/>
            <w:hideMark/>
          </w:tcPr>
          <w:p w14:paraId="78ECCD3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68123302</w:t>
            </w:r>
          </w:p>
        </w:tc>
        <w:tc>
          <w:tcPr>
            <w:tcW w:w="3360" w:type="pct"/>
            <w:tcBorders>
              <w:top w:val="nil"/>
              <w:left w:val="nil"/>
              <w:bottom w:val="single" w:sz="4" w:space="0" w:color="auto"/>
              <w:right w:val="single" w:sz="4" w:space="0" w:color="auto"/>
            </w:tcBorders>
            <w:shd w:val="clear" w:color="auto" w:fill="auto"/>
            <w:vAlign w:val="center"/>
            <w:hideMark/>
          </w:tcPr>
          <w:p w14:paraId="2F88A9E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LEKARNA BREŽICE</w:t>
            </w:r>
          </w:p>
        </w:tc>
      </w:tr>
      <w:tr w:rsidR="00E3750C" w:rsidRPr="00415AB3" w14:paraId="2B9BB3A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3BC589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753</w:t>
            </w:r>
          </w:p>
        </w:tc>
        <w:tc>
          <w:tcPr>
            <w:tcW w:w="705" w:type="pct"/>
            <w:tcBorders>
              <w:top w:val="nil"/>
              <w:left w:val="nil"/>
              <w:bottom w:val="single" w:sz="4" w:space="0" w:color="auto"/>
              <w:right w:val="single" w:sz="4" w:space="0" w:color="auto"/>
            </w:tcBorders>
            <w:shd w:val="clear" w:color="auto" w:fill="auto"/>
            <w:noWrap/>
            <w:vAlign w:val="center"/>
            <w:hideMark/>
          </w:tcPr>
          <w:p w14:paraId="2B9FF8A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5053749000</w:t>
            </w:r>
          </w:p>
        </w:tc>
        <w:tc>
          <w:tcPr>
            <w:tcW w:w="547" w:type="pct"/>
            <w:tcBorders>
              <w:top w:val="nil"/>
              <w:left w:val="nil"/>
              <w:bottom w:val="single" w:sz="4" w:space="0" w:color="auto"/>
              <w:right w:val="single" w:sz="4" w:space="0" w:color="auto"/>
            </w:tcBorders>
            <w:shd w:val="clear" w:color="auto" w:fill="auto"/>
            <w:noWrap/>
            <w:vAlign w:val="center"/>
            <w:hideMark/>
          </w:tcPr>
          <w:p w14:paraId="3313811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26345137</w:t>
            </w:r>
          </w:p>
        </w:tc>
        <w:tc>
          <w:tcPr>
            <w:tcW w:w="3360" w:type="pct"/>
            <w:tcBorders>
              <w:top w:val="nil"/>
              <w:left w:val="nil"/>
              <w:bottom w:val="single" w:sz="4" w:space="0" w:color="auto"/>
              <w:right w:val="single" w:sz="4" w:space="0" w:color="auto"/>
            </w:tcBorders>
            <w:shd w:val="clear" w:color="auto" w:fill="auto"/>
            <w:vAlign w:val="center"/>
            <w:hideMark/>
          </w:tcPr>
          <w:p w14:paraId="0E4C992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LEKARNA KOČEVJE</w:t>
            </w:r>
          </w:p>
        </w:tc>
      </w:tr>
      <w:tr w:rsidR="00E3750C" w:rsidRPr="00415AB3" w14:paraId="7CCF14E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F46C7C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754</w:t>
            </w:r>
          </w:p>
        </w:tc>
        <w:tc>
          <w:tcPr>
            <w:tcW w:w="705" w:type="pct"/>
            <w:tcBorders>
              <w:top w:val="nil"/>
              <w:left w:val="nil"/>
              <w:bottom w:val="single" w:sz="4" w:space="0" w:color="auto"/>
              <w:right w:val="single" w:sz="4" w:space="0" w:color="auto"/>
            </w:tcBorders>
            <w:shd w:val="clear" w:color="auto" w:fill="auto"/>
            <w:noWrap/>
            <w:vAlign w:val="center"/>
            <w:hideMark/>
          </w:tcPr>
          <w:p w14:paraId="296B288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5588090000</w:t>
            </w:r>
          </w:p>
        </w:tc>
        <w:tc>
          <w:tcPr>
            <w:tcW w:w="547" w:type="pct"/>
            <w:tcBorders>
              <w:top w:val="nil"/>
              <w:left w:val="nil"/>
              <w:bottom w:val="single" w:sz="4" w:space="0" w:color="auto"/>
              <w:right w:val="single" w:sz="4" w:space="0" w:color="auto"/>
            </w:tcBorders>
            <w:shd w:val="clear" w:color="auto" w:fill="auto"/>
            <w:noWrap/>
            <w:vAlign w:val="center"/>
            <w:hideMark/>
          </w:tcPr>
          <w:p w14:paraId="0EFDEFC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68619723</w:t>
            </w:r>
          </w:p>
        </w:tc>
        <w:tc>
          <w:tcPr>
            <w:tcW w:w="3360" w:type="pct"/>
            <w:tcBorders>
              <w:top w:val="nil"/>
              <w:left w:val="nil"/>
              <w:bottom w:val="single" w:sz="4" w:space="0" w:color="auto"/>
              <w:right w:val="single" w:sz="4" w:space="0" w:color="auto"/>
            </w:tcBorders>
            <w:shd w:val="clear" w:color="auto" w:fill="auto"/>
            <w:vAlign w:val="center"/>
            <w:hideMark/>
          </w:tcPr>
          <w:p w14:paraId="3EE5468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LEKARNA MOZIRJE</w:t>
            </w:r>
          </w:p>
        </w:tc>
      </w:tr>
      <w:tr w:rsidR="00E3750C" w:rsidRPr="00415AB3" w14:paraId="01630E1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F6127A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755</w:t>
            </w:r>
          </w:p>
        </w:tc>
        <w:tc>
          <w:tcPr>
            <w:tcW w:w="705" w:type="pct"/>
            <w:tcBorders>
              <w:top w:val="nil"/>
              <w:left w:val="nil"/>
              <w:bottom w:val="single" w:sz="4" w:space="0" w:color="auto"/>
              <w:right w:val="single" w:sz="4" w:space="0" w:color="auto"/>
            </w:tcBorders>
            <w:shd w:val="clear" w:color="auto" w:fill="auto"/>
            <w:noWrap/>
            <w:vAlign w:val="center"/>
            <w:hideMark/>
          </w:tcPr>
          <w:p w14:paraId="3D39F2F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5691150000</w:t>
            </w:r>
          </w:p>
        </w:tc>
        <w:tc>
          <w:tcPr>
            <w:tcW w:w="547" w:type="pct"/>
            <w:tcBorders>
              <w:top w:val="nil"/>
              <w:left w:val="nil"/>
              <w:bottom w:val="single" w:sz="4" w:space="0" w:color="auto"/>
              <w:right w:val="single" w:sz="4" w:space="0" w:color="auto"/>
            </w:tcBorders>
            <w:shd w:val="clear" w:color="auto" w:fill="auto"/>
            <w:noWrap/>
            <w:vAlign w:val="center"/>
            <w:hideMark/>
          </w:tcPr>
          <w:p w14:paraId="732B301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99876469</w:t>
            </w:r>
          </w:p>
        </w:tc>
        <w:tc>
          <w:tcPr>
            <w:tcW w:w="3360" w:type="pct"/>
            <w:tcBorders>
              <w:top w:val="nil"/>
              <w:left w:val="nil"/>
              <w:bottom w:val="single" w:sz="4" w:space="0" w:color="auto"/>
              <w:right w:val="single" w:sz="4" w:space="0" w:color="auto"/>
            </w:tcBorders>
            <w:shd w:val="clear" w:color="auto" w:fill="auto"/>
            <w:vAlign w:val="center"/>
            <w:hideMark/>
          </w:tcPr>
          <w:p w14:paraId="5AE0E94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LEKARNA ORMOŽ</w:t>
            </w:r>
          </w:p>
        </w:tc>
      </w:tr>
      <w:tr w:rsidR="00E3750C" w:rsidRPr="00415AB3" w14:paraId="61EF724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01F1C2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756</w:t>
            </w:r>
          </w:p>
        </w:tc>
        <w:tc>
          <w:tcPr>
            <w:tcW w:w="705" w:type="pct"/>
            <w:tcBorders>
              <w:top w:val="nil"/>
              <w:left w:val="nil"/>
              <w:bottom w:val="single" w:sz="4" w:space="0" w:color="auto"/>
              <w:right w:val="single" w:sz="4" w:space="0" w:color="auto"/>
            </w:tcBorders>
            <w:shd w:val="clear" w:color="auto" w:fill="auto"/>
            <w:noWrap/>
            <w:vAlign w:val="center"/>
            <w:hideMark/>
          </w:tcPr>
          <w:p w14:paraId="5488FC8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5753309000</w:t>
            </w:r>
          </w:p>
        </w:tc>
        <w:tc>
          <w:tcPr>
            <w:tcW w:w="547" w:type="pct"/>
            <w:tcBorders>
              <w:top w:val="nil"/>
              <w:left w:val="nil"/>
              <w:bottom w:val="single" w:sz="4" w:space="0" w:color="auto"/>
              <w:right w:val="single" w:sz="4" w:space="0" w:color="auto"/>
            </w:tcBorders>
            <w:shd w:val="clear" w:color="auto" w:fill="auto"/>
            <w:noWrap/>
            <w:vAlign w:val="center"/>
            <w:hideMark/>
          </w:tcPr>
          <w:p w14:paraId="264CE15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85953075</w:t>
            </w:r>
          </w:p>
        </w:tc>
        <w:tc>
          <w:tcPr>
            <w:tcW w:w="3360" w:type="pct"/>
            <w:tcBorders>
              <w:top w:val="nil"/>
              <w:left w:val="nil"/>
              <w:bottom w:val="single" w:sz="4" w:space="0" w:color="auto"/>
              <w:right w:val="single" w:sz="4" w:space="0" w:color="auto"/>
            </w:tcBorders>
            <w:shd w:val="clear" w:color="auto" w:fill="auto"/>
            <w:vAlign w:val="center"/>
            <w:hideMark/>
          </w:tcPr>
          <w:p w14:paraId="6E6CE08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LEKARNA RIBNICA</w:t>
            </w:r>
          </w:p>
        </w:tc>
      </w:tr>
      <w:tr w:rsidR="00E3750C" w:rsidRPr="00415AB3" w14:paraId="7628DF5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A005E7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757</w:t>
            </w:r>
          </w:p>
        </w:tc>
        <w:tc>
          <w:tcPr>
            <w:tcW w:w="705" w:type="pct"/>
            <w:tcBorders>
              <w:top w:val="nil"/>
              <w:left w:val="nil"/>
              <w:bottom w:val="single" w:sz="4" w:space="0" w:color="auto"/>
              <w:right w:val="single" w:sz="4" w:space="0" w:color="auto"/>
            </w:tcBorders>
            <w:shd w:val="clear" w:color="auto" w:fill="auto"/>
            <w:noWrap/>
            <w:vAlign w:val="center"/>
            <w:hideMark/>
          </w:tcPr>
          <w:p w14:paraId="3B34F66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5054931000</w:t>
            </w:r>
          </w:p>
        </w:tc>
        <w:tc>
          <w:tcPr>
            <w:tcW w:w="547" w:type="pct"/>
            <w:tcBorders>
              <w:top w:val="nil"/>
              <w:left w:val="nil"/>
              <w:bottom w:val="single" w:sz="4" w:space="0" w:color="auto"/>
              <w:right w:val="single" w:sz="4" w:space="0" w:color="auto"/>
            </w:tcBorders>
            <w:shd w:val="clear" w:color="auto" w:fill="auto"/>
            <w:noWrap/>
            <w:vAlign w:val="center"/>
            <w:hideMark/>
          </w:tcPr>
          <w:p w14:paraId="79DE0BA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58996974</w:t>
            </w:r>
          </w:p>
        </w:tc>
        <w:tc>
          <w:tcPr>
            <w:tcW w:w="3360" w:type="pct"/>
            <w:tcBorders>
              <w:top w:val="nil"/>
              <w:left w:val="nil"/>
              <w:bottom w:val="single" w:sz="4" w:space="0" w:color="auto"/>
              <w:right w:val="single" w:sz="4" w:space="0" w:color="auto"/>
            </w:tcBorders>
            <w:shd w:val="clear" w:color="auto" w:fill="auto"/>
            <w:vAlign w:val="center"/>
            <w:hideMark/>
          </w:tcPr>
          <w:p w14:paraId="5672335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LEKARNA SEVNICA</w:t>
            </w:r>
          </w:p>
        </w:tc>
      </w:tr>
      <w:tr w:rsidR="00E3750C" w:rsidRPr="00415AB3" w14:paraId="702E8EF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90C9F5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758</w:t>
            </w:r>
          </w:p>
        </w:tc>
        <w:tc>
          <w:tcPr>
            <w:tcW w:w="705" w:type="pct"/>
            <w:tcBorders>
              <w:top w:val="nil"/>
              <w:left w:val="nil"/>
              <w:bottom w:val="single" w:sz="4" w:space="0" w:color="auto"/>
              <w:right w:val="single" w:sz="4" w:space="0" w:color="auto"/>
            </w:tcBorders>
            <w:shd w:val="clear" w:color="auto" w:fill="auto"/>
            <w:noWrap/>
            <w:vAlign w:val="center"/>
            <w:hideMark/>
          </w:tcPr>
          <w:p w14:paraId="14498FF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5054966000</w:t>
            </w:r>
          </w:p>
        </w:tc>
        <w:tc>
          <w:tcPr>
            <w:tcW w:w="547" w:type="pct"/>
            <w:tcBorders>
              <w:top w:val="nil"/>
              <w:left w:val="nil"/>
              <w:bottom w:val="single" w:sz="4" w:space="0" w:color="auto"/>
              <w:right w:val="single" w:sz="4" w:space="0" w:color="auto"/>
            </w:tcBorders>
            <w:shd w:val="clear" w:color="auto" w:fill="auto"/>
            <w:noWrap/>
            <w:vAlign w:val="center"/>
            <w:hideMark/>
          </w:tcPr>
          <w:p w14:paraId="6524DBE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84301171</w:t>
            </w:r>
          </w:p>
        </w:tc>
        <w:tc>
          <w:tcPr>
            <w:tcW w:w="3360" w:type="pct"/>
            <w:tcBorders>
              <w:top w:val="nil"/>
              <w:left w:val="nil"/>
              <w:bottom w:val="single" w:sz="4" w:space="0" w:color="auto"/>
              <w:right w:val="single" w:sz="4" w:space="0" w:color="auto"/>
            </w:tcBorders>
            <w:shd w:val="clear" w:color="auto" w:fill="auto"/>
            <w:vAlign w:val="center"/>
            <w:hideMark/>
          </w:tcPr>
          <w:p w14:paraId="52144F2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LEKARNA SLOVENSKA BISTRICA</w:t>
            </w:r>
          </w:p>
        </w:tc>
      </w:tr>
      <w:tr w:rsidR="00E3750C" w:rsidRPr="00415AB3" w14:paraId="76E366B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530AD1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759</w:t>
            </w:r>
          </w:p>
        </w:tc>
        <w:tc>
          <w:tcPr>
            <w:tcW w:w="705" w:type="pct"/>
            <w:tcBorders>
              <w:top w:val="nil"/>
              <w:left w:val="nil"/>
              <w:bottom w:val="single" w:sz="4" w:space="0" w:color="auto"/>
              <w:right w:val="single" w:sz="4" w:space="0" w:color="auto"/>
            </w:tcBorders>
            <w:shd w:val="clear" w:color="auto" w:fill="auto"/>
            <w:noWrap/>
            <w:vAlign w:val="center"/>
            <w:hideMark/>
          </w:tcPr>
          <w:p w14:paraId="776C5CA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5820405000</w:t>
            </w:r>
          </w:p>
        </w:tc>
        <w:tc>
          <w:tcPr>
            <w:tcW w:w="547" w:type="pct"/>
            <w:tcBorders>
              <w:top w:val="nil"/>
              <w:left w:val="nil"/>
              <w:bottom w:val="single" w:sz="4" w:space="0" w:color="auto"/>
              <w:right w:val="single" w:sz="4" w:space="0" w:color="auto"/>
            </w:tcBorders>
            <w:shd w:val="clear" w:color="auto" w:fill="auto"/>
            <w:noWrap/>
            <w:vAlign w:val="center"/>
            <w:hideMark/>
          </w:tcPr>
          <w:p w14:paraId="132C9AE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81195826</w:t>
            </w:r>
          </w:p>
        </w:tc>
        <w:tc>
          <w:tcPr>
            <w:tcW w:w="3360" w:type="pct"/>
            <w:tcBorders>
              <w:top w:val="nil"/>
              <w:left w:val="nil"/>
              <w:bottom w:val="single" w:sz="4" w:space="0" w:color="auto"/>
              <w:right w:val="single" w:sz="4" w:space="0" w:color="auto"/>
            </w:tcBorders>
            <w:shd w:val="clear" w:color="auto" w:fill="auto"/>
            <w:vAlign w:val="center"/>
            <w:hideMark/>
          </w:tcPr>
          <w:p w14:paraId="313FC7D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LEKARNA VELENJE</w:t>
            </w:r>
          </w:p>
        </w:tc>
      </w:tr>
      <w:tr w:rsidR="00E3750C" w:rsidRPr="00415AB3" w14:paraId="6BD70E6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CE856D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760</w:t>
            </w:r>
          </w:p>
        </w:tc>
        <w:tc>
          <w:tcPr>
            <w:tcW w:w="705" w:type="pct"/>
            <w:tcBorders>
              <w:top w:val="nil"/>
              <w:left w:val="nil"/>
              <w:bottom w:val="single" w:sz="4" w:space="0" w:color="auto"/>
              <w:right w:val="single" w:sz="4" w:space="0" w:color="auto"/>
            </w:tcBorders>
            <w:shd w:val="clear" w:color="auto" w:fill="auto"/>
            <w:noWrap/>
            <w:vAlign w:val="center"/>
            <w:hideMark/>
          </w:tcPr>
          <w:p w14:paraId="48595B2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5054800000</w:t>
            </w:r>
          </w:p>
        </w:tc>
        <w:tc>
          <w:tcPr>
            <w:tcW w:w="547" w:type="pct"/>
            <w:tcBorders>
              <w:top w:val="nil"/>
              <w:left w:val="nil"/>
              <w:bottom w:val="single" w:sz="4" w:space="0" w:color="auto"/>
              <w:right w:val="single" w:sz="4" w:space="0" w:color="auto"/>
            </w:tcBorders>
            <w:shd w:val="clear" w:color="auto" w:fill="auto"/>
            <w:noWrap/>
            <w:vAlign w:val="center"/>
            <w:hideMark/>
          </w:tcPr>
          <w:p w14:paraId="270A3B6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21691223</w:t>
            </w:r>
          </w:p>
        </w:tc>
        <w:tc>
          <w:tcPr>
            <w:tcW w:w="3360" w:type="pct"/>
            <w:tcBorders>
              <w:top w:val="nil"/>
              <w:left w:val="nil"/>
              <w:bottom w:val="single" w:sz="4" w:space="0" w:color="auto"/>
              <w:right w:val="single" w:sz="4" w:space="0" w:color="auto"/>
            </w:tcBorders>
            <w:shd w:val="clear" w:color="auto" w:fill="auto"/>
            <w:vAlign w:val="center"/>
            <w:hideMark/>
          </w:tcPr>
          <w:p w14:paraId="4E9601F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LEKARNE PTUJ</w:t>
            </w:r>
          </w:p>
        </w:tc>
      </w:tr>
      <w:tr w:rsidR="00E3750C" w:rsidRPr="00415AB3" w14:paraId="6B808EE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44FF71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761</w:t>
            </w:r>
          </w:p>
        </w:tc>
        <w:tc>
          <w:tcPr>
            <w:tcW w:w="705" w:type="pct"/>
            <w:tcBorders>
              <w:top w:val="nil"/>
              <w:left w:val="nil"/>
              <w:bottom w:val="single" w:sz="4" w:space="0" w:color="auto"/>
              <w:right w:val="single" w:sz="4" w:space="0" w:color="auto"/>
            </w:tcBorders>
            <w:shd w:val="clear" w:color="auto" w:fill="auto"/>
            <w:noWrap/>
            <w:vAlign w:val="center"/>
            <w:hideMark/>
          </w:tcPr>
          <w:p w14:paraId="7AC7AC7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5053897000</w:t>
            </w:r>
          </w:p>
        </w:tc>
        <w:tc>
          <w:tcPr>
            <w:tcW w:w="547" w:type="pct"/>
            <w:tcBorders>
              <w:top w:val="nil"/>
              <w:left w:val="nil"/>
              <w:bottom w:val="single" w:sz="4" w:space="0" w:color="auto"/>
              <w:right w:val="single" w:sz="4" w:space="0" w:color="auto"/>
            </w:tcBorders>
            <w:shd w:val="clear" w:color="auto" w:fill="auto"/>
            <w:noWrap/>
            <w:vAlign w:val="center"/>
            <w:hideMark/>
          </w:tcPr>
          <w:p w14:paraId="5930FD8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32009933</w:t>
            </w:r>
          </w:p>
        </w:tc>
        <w:tc>
          <w:tcPr>
            <w:tcW w:w="3360" w:type="pct"/>
            <w:tcBorders>
              <w:top w:val="nil"/>
              <w:left w:val="nil"/>
              <w:bottom w:val="single" w:sz="4" w:space="0" w:color="auto"/>
              <w:right w:val="single" w:sz="4" w:space="0" w:color="auto"/>
            </w:tcBorders>
            <w:shd w:val="clear" w:color="auto" w:fill="auto"/>
            <w:vAlign w:val="center"/>
            <w:hideMark/>
          </w:tcPr>
          <w:p w14:paraId="477B97E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LEKARNIŠKA ZBORNICA SLOVENIJE</w:t>
            </w:r>
          </w:p>
        </w:tc>
      </w:tr>
      <w:tr w:rsidR="00E3750C" w:rsidRPr="00415AB3" w14:paraId="157B011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DF62C8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762</w:t>
            </w:r>
          </w:p>
        </w:tc>
        <w:tc>
          <w:tcPr>
            <w:tcW w:w="705" w:type="pct"/>
            <w:tcBorders>
              <w:top w:val="nil"/>
              <w:left w:val="nil"/>
              <w:bottom w:val="single" w:sz="4" w:space="0" w:color="auto"/>
              <w:right w:val="single" w:sz="4" w:space="0" w:color="auto"/>
            </w:tcBorders>
            <w:shd w:val="clear" w:color="auto" w:fill="auto"/>
            <w:noWrap/>
            <w:vAlign w:val="center"/>
            <w:hideMark/>
          </w:tcPr>
          <w:p w14:paraId="2816E1F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1969960000</w:t>
            </w:r>
          </w:p>
        </w:tc>
        <w:tc>
          <w:tcPr>
            <w:tcW w:w="547" w:type="pct"/>
            <w:tcBorders>
              <w:top w:val="nil"/>
              <w:left w:val="nil"/>
              <w:bottom w:val="single" w:sz="4" w:space="0" w:color="auto"/>
              <w:right w:val="single" w:sz="4" w:space="0" w:color="auto"/>
            </w:tcBorders>
            <w:shd w:val="clear" w:color="auto" w:fill="auto"/>
            <w:noWrap/>
            <w:vAlign w:val="center"/>
            <w:hideMark/>
          </w:tcPr>
          <w:p w14:paraId="10E810B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96518138</w:t>
            </w:r>
          </w:p>
        </w:tc>
        <w:tc>
          <w:tcPr>
            <w:tcW w:w="3360" w:type="pct"/>
            <w:tcBorders>
              <w:top w:val="nil"/>
              <w:left w:val="nil"/>
              <w:bottom w:val="single" w:sz="4" w:space="0" w:color="auto"/>
              <w:right w:val="single" w:sz="4" w:space="0" w:color="auto"/>
            </w:tcBorders>
            <w:shd w:val="clear" w:color="auto" w:fill="auto"/>
            <w:vAlign w:val="center"/>
            <w:hideMark/>
          </w:tcPr>
          <w:p w14:paraId="31D6B8C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LJUBLJANSKI UNIVERZITETNI INKUBATOR, D.O.O.</w:t>
            </w:r>
          </w:p>
        </w:tc>
      </w:tr>
      <w:tr w:rsidR="00E3750C" w:rsidRPr="00415AB3" w14:paraId="4433251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AE5603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763</w:t>
            </w:r>
          </w:p>
        </w:tc>
        <w:tc>
          <w:tcPr>
            <w:tcW w:w="705" w:type="pct"/>
            <w:tcBorders>
              <w:top w:val="nil"/>
              <w:left w:val="nil"/>
              <w:bottom w:val="single" w:sz="4" w:space="0" w:color="auto"/>
              <w:right w:val="single" w:sz="4" w:space="0" w:color="auto"/>
            </w:tcBorders>
            <w:shd w:val="clear" w:color="auto" w:fill="auto"/>
            <w:noWrap/>
            <w:vAlign w:val="center"/>
            <w:hideMark/>
          </w:tcPr>
          <w:p w14:paraId="3CA8F2C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5617413000</w:t>
            </w:r>
          </w:p>
        </w:tc>
        <w:tc>
          <w:tcPr>
            <w:tcW w:w="547" w:type="pct"/>
            <w:tcBorders>
              <w:top w:val="nil"/>
              <w:left w:val="nil"/>
              <w:bottom w:val="single" w:sz="4" w:space="0" w:color="auto"/>
              <w:right w:val="single" w:sz="4" w:space="0" w:color="auto"/>
            </w:tcBorders>
            <w:shd w:val="clear" w:color="auto" w:fill="auto"/>
            <w:noWrap/>
            <w:vAlign w:val="center"/>
            <w:hideMark/>
          </w:tcPr>
          <w:p w14:paraId="38776DA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74652613</w:t>
            </w:r>
          </w:p>
        </w:tc>
        <w:tc>
          <w:tcPr>
            <w:tcW w:w="3360" w:type="pct"/>
            <w:tcBorders>
              <w:top w:val="nil"/>
              <w:left w:val="nil"/>
              <w:bottom w:val="single" w:sz="4" w:space="0" w:color="auto"/>
              <w:right w:val="single" w:sz="4" w:space="0" w:color="auto"/>
            </w:tcBorders>
            <w:shd w:val="clear" w:color="auto" w:fill="auto"/>
            <w:vAlign w:val="center"/>
            <w:hideMark/>
          </w:tcPr>
          <w:p w14:paraId="58B5741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LJUDSKA KNJIŽNICA METLIKA</w:t>
            </w:r>
          </w:p>
        </w:tc>
      </w:tr>
      <w:tr w:rsidR="00E3750C" w:rsidRPr="00415AB3" w14:paraId="4962F4C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923C16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764</w:t>
            </w:r>
          </w:p>
        </w:tc>
        <w:tc>
          <w:tcPr>
            <w:tcW w:w="705" w:type="pct"/>
            <w:tcBorders>
              <w:top w:val="nil"/>
              <w:left w:val="nil"/>
              <w:bottom w:val="single" w:sz="4" w:space="0" w:color="auto"/>
              <w:right w:val="single" w:sz="4" w:space="0" w:color="auto"/>
            </w:tcBorders>
            <w:shd w:val="clear" w:color="auto" w:fill="auto"/>
            <w:noWrap/>
            <w:vAlign w:val="center"/>
            <w:hideMark/>
          </w:tcPr>
          <w:p w14:paraId="6BC017A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1434233000</w:t>
            </w:r>
          </w:p>
        </w:tc>
        <w:tc>
          <w:tcPr>
            <w:tcW w:w="547" w:type="pct"/>
            <w:tcBorders>
              <w:top w:val="nil"/>
              <w:left w:val="nil"/>
              <w:bottom w:val="single" w:sz="4" w:space="0" w:color="auto"/>
              <w:right w:val="single" w:sz="4" w:space="0" w:color="auto"/>
            </w:tcBorders>
            <w:shd w:val="clear" w:color="auto" w:fill="auto"/>
            <w:noWrap/>
            <w:vAlign w:val="center"/>
            <w:hideMark/>
          </w:tcPr>
          <w:p w14:paraId="4359917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88942767</w:t>
            </w:r>
          </w:p>
        </w:tc>
        <w:tc>
          <w:tcPr>
            <w:tcW w:w="3360" w:type="pct"/>
            <w:tcBorders>
              <w:top w:val="nil"/>
              <w:left w:val="nil"/>
              <w:bottom w:val="single" w:sz="4" w:space="0" w:color="auto"/>
              <w:right w:val="single" w:sz="4" w:space="0" w:color="auto"/>
            </w:tcBorders>
            <w:shd w:val="clear" w:color="auto" w:fill="auto"/>
            <w:vAlign w:val="center"/>
            <w:hideMark/>
          </w:tcPr>
          <w:p w14:paraId="5E2EEDB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LJUDSKA UNIVERZA AJDOVŠČINA</w:t>
            </w:r>
          </w:p>
        </w:tc>
      </w:tr>
      <w:tr w:rsidR="00E3750C" w:rsidRPr="00415AB3" w14:paraId="5C15D24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4563C7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765</w:t>
            </w:r>
          </w:p>
        </w:tc>
        <w:tc>
          <w:tcPr>
            <w:tcW w:w="705" w:type="pct"/>
            <w:tcBorders>
              <w:top w:val="nil"/>
              <w:left w:val="nil"/>
              <w:bottom w:val="single" w:sz="4" w:space="0" w:color="auto"/>
              <w:right w:val="single" w:sz="4" w:space="0" w:color="auto"/>
            </w:tcBorders>
            <w:shd w:val="clear" w:color="auto" w:fill="auto"/>
            <w:noWrap/>
            <w:vAlign w:val="center"/>
            <w:hideMark/>
          </w:tcPr>
          <w:p w14:paraId="2B5A222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5086582000</w:t>
            </w:r>
          </w:p>
        </w:tc>
        <w:tc>
          <w:tcPr>
            <w:tcW w:w="547" w:type="pct"/>
            <w:tcBorders>
              <w:top w:val="nil"/>
              <w:left w:val="nil"/>
              <w:bottom w:val="single" w:sz="4" w:space="0" w:color="auto"/>
              <w:right w:val="single" w:sz="4" w:space="0" w:color="auto"/>
            </w:tcBorders>
            <w:shd w:val="clear" w:color="auto" w:fill="auto"/>
            <w:noWrap/>
            <w:vAlign w:val="center"/>
            <w:hideMark/>
          </w:tcPr>
          <w:p w14:paraId="3BDC2CB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63033755</w:t>
            </w:r>
          </w:p>
        </w:tc>
        <w:tc>
          <w:tcPr>
            <w:tcW w:w="3360" w:type="pct"/>
            <w:tcBorders>
              <w:top w:val="nil"/>
              <w:left w:val="nil"/>
              <w:bottom w:val="single" w:sz="4" w:space="0" w:color="auto"/>
              <w:right w:val="single" w:sz="4" w:space="0" w:color="auto"/>
            </w:tcBorders>
            <w:shd w:val="clear" w:color="auto" w:fill="auto"/>
            <w:vAlign w:val="center"/>
            <w:hideMark/>
          </w:tcPr>
          <w:p w14:paraId="08AC7BC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LJUDSKA UNIVERZA JESENICE</w:t>
            </w:r>
          </w:p>
        </w:tc>
      </w:tr>
      <w:tr w:rsidR="00E3750C" w:rsidRPr="00415AB3" w14:paraId="0A53987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C306B6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766</w:t>
            </w:r>
          </w:p>
        </w:tc>
        <w:tc>
          <w:tcPr>
            <w:tcW w:w="705" w:type="pct"/>
            <w:tcBorders>
              <w:top w:val="nil"/>
              <w:left w:val="nil"/>
              <w:bottom w:val="single" w:sz="4" w:space="0" w:color="auto"/>
              <w:right w:val="single" w:sz="4" w:space="0" w:color="auto"/>
            </w:tcBorders>
            <w:shd w:val="clear" w:color="auto" w:fill="auto"/>
            <w:noWrap/>
            <w:vAlign w:val="center"/>
            <w:hideMark/>
          </w:tcPr>
          <w:p w14:paraId="7894E2B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5051959000</w:t>
            </w:r>
          </w:p>
        </w:tc>
        <w:tc>
          <w:tcPr>
            <w:tcW w:w="547" w:type="pct"/>
            <w:tcBorders>
              <w:top w:val="nil"/>
              <w:left w:val="nil"/>
              <w:bottom w:val="single" w:sz="4" w:space="0" w:color="auto"/>
              <w:right w:val="single" w:sz="4" w:space="0" w:color="auto"/>
            </w:tcBorders>
            <w:shd w:val="clear" w:color="auto" w:fill="auto"/>
            <w:noWrap/>
            <w:vAlign w:val="center"/>
            <w:hideMark/>
          </w:tcPr>
          <w:p w14:paraId="02CAB5A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68719906</w:t>
            </w:r>
          </w:p>
        </w:tc>
        <w:tc>
          <w:tcPr>
            <w:tcW w:w="3360" w:type="pct"/>
            <w:tcBorders>
              <w:top w:val="nil"/>
              <w:left w:val="nil"/>
              <w:bottom w:val="single" w:sz="4" w:space="0" w:color="auto"/>
              <w:right w:val="single" w:sz="4" w:space="0" w:color="auto"/>
            </w:tcBorders>
            <w:shd w:val="clear" w:color="auto" w:fill="auto"/>
            <w:vAlign w:val="center"/>
            <w:hideMark/>
          </w:tcPr>
          <w:p w14:paraId="35A8084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LJUDSKA UNIVERZA KOPER UNIVERSITA' POPOLARE CAPODISTRIA</w:t>
            </w:r>
          </w:p>
        </w:tc>
      </w:tr>
      <w:tr w:rsidR="00E3750C" w:rsidRPr="00415AB3" w14:paraId="330D882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40CEEF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767</w:t>
            </w:r>
          </w:p>
        </w:tc>
        <w:tc>
          <w:tcPr>
            <w:tcW w:w="705" w:type="pct"/>
            <w:tcBorders>
              <w:top w:val="nil"/>
              <w:left w:val="nil"/>
              <w:bottom w:val="single" w:sz="4" w:space="0" w:color="auto"/>
              <w:right w:val="single" w:sz="4" w:space="0" w:color="auto"/>
            </w:tcBorders>
            <w:shd w:val="clear" w:color="auto" w:fill="auto"/>
            <w:noWrap/>
            <w:vAlign w:val="center"/>
            <w:hideMark/>
          </w:tcPr>
          <w:p w14:paraId="3F3741A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5051983000</w:t>
            </w:r>
          </w:p>
        </w:tc>
        <w:tc>
          <w:tcPr>
            <w:tcW w:w="547" w:type="pct"/>
            <w:tcBorders>
              <w:top w:val="nil"/>
              <w:left w:val="nil"/>
              <w:bottom w:val="single" w:sz="4" w:space="0" w:color="auto"/>
              <w:right w:val="single" w:sz="4" w:space="0" w:color="auto"/>
            </w:tcBorders>
            <w:shd w:val="clear" w:color="auto" w:fill="auto"/>
            <w:noWrap/>
            <w:vAlign w:val="center"/>
            <w:hideMark/>
          </w:tcPr>
          <w:p w14:paraId="45DDB28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87043726</w:t>
            </w:r>
          </w:p>
        </w:tc>
        <w:tc>
          <w:tcPr>
            <w:tcW w:w="3360" w:type="pct"/>
            <w:tcBorders>
              <w:top w:val="nil"/>
              <w:left w:val="nil"/>
              <w:bottom w:val="single" w:sz="4" w:space="0" w:color="auto"/>
              <w:right w:val="single" w:sz="4" w:space="0" w:color="auto"/>
            </w:tcBorders>
            <w:shd w:val="clear" w:color="auto" w:fill="auto"/>
            <w:vAlign w:val="center"/>
            <w:hideMark/>
          </w:tcPr>
          <w:p w14:paraId="6516B43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LJUDSKA UNIVERZA KRANJ, CENTER ZA IZOBRAŽEVANJE IN KULTURO</w:t>
            </w:r>
          </w:p>
        </w:tc>
      </w:tr>
      <w:tr w:rsidR="00E3750C" w:rsidRPr="00415AB3" w14:paraId="040AB66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92C89D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768</w:t>
            </w:r>
          </w:p>
        </w:tc>
        <w:tc>
          <w:tcPr>
            <w:tcW w:w="705" w:type="pct"/>
            <w:tcBorders>
              <w:top w:val="nil"/>
              <w:left w:val="nil"/>
              <w:bottom w:val="single" w:sz="4" w:space="0" w:color="auto"/>
              <w:right w:val="single" w:sz="4" w:space="0" w:color="auto"/>
            </w:tcBorders>
            <w:shd w:val="clear" w:color="auto" w:fill="auto"/>
            <w:noWrap/>
            <w:vAlign w:val="center"/>
            <w:hideMark/>
          </w:tcPr>
          <w:p w14:paraId="2CB1093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5052181000</w:t>
            </w:r>
          </w:p>
        </w:tc>
        <w:tc>
          <w:tcPr>
            <w:tcW w:w="547" w:type="pct"/>
            <w:tcBorders>
              <w:top w:val="nil"/>
              <w:left w:val="nil"/>
              <w:bottom w:val="single" w:sz="4" w:space="0" w:color="auto"/>
              <w:right w:val="single" w:sz="4" w:space="0" w:color="auto"/>
            </w:tcBorders>
            <w:shd w:val="clear" w:color="auto" w:fill="auto"/>
            <w:noWrap/>
            <w:vAlign w:val="center"/>
            <w:hideMark/>
          </w:tcPr>
          <w:p w14:paraId="1EBB9CD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44944209</w:t>
            </w:r>
          </w:p>
        </w:tc>
        <w:tc>
          <w:tcPr>
            <w:tcW w:w="3360" w:type="pct"/>
            <w:tcBorders>
              <w:top w:val="nil"/>
              <w:left w:val="nil"/>
              <w:bottom w:val="single" w:sz="4" w:space="0" w:color="auto"/>
              <w:right w:val="single" w:sz="4" w:space="0" w:color="auto"/>
            </w:tcBorders>
            <w:shd w:val="clear" w:color="auto" w:fill="auto"/>
            <w:vAlign w:val="center"/>
            <w:hideMark/>
          </w:tcPr>
          <w:p w14:paraId="1E7B878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LJUDSKA UNIVERZA NOVA GORICA</w:t>
            </w:r>
          </w:p>
        </w:tc>
      </w:tr>
      <w:tr w:rsidR="00E3750C" w:rsidRPr="00415AB3" w14:paraId="223E74F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A03A8D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769</w:t>
            </w:r>
          </w:p>
        </w:tc>
        <w:tc>
          <w:tcPr>
            <w:tcW w:w="705" w:type="pct"/>
            <w:tcBorders>
              <w:top w:val="nil"/>
              <w:left w:val="nil"/>
              <w:bottom w:val="single" w:sz="4" w:space="0" w:color="auto"/>
              <w:right w:val="single" w:sz="4" w:space="0" w:color="auto"/>
            </w:tcBorders>
            <w:shd w:val="clear" w:color="auto" w:fill="auto"/>
            <w:noWrap/>
            <w:vAlign w:val="center"/>
            <w:hideMark/>
          </w:tcPr>
          <w:p w14:paraId="6972094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5053234000</w:t>
            </w:r>
          </w:p>
        </w:tc>
        <w:tc>
          <w:tcPr>
            <w:tcW w:w="547" w:type="pct"/>
            <w:tcBorders>
              <w:top w:val="nil"/>
              <w:left w:val="nil"/>
              <w:bottom w:val="single" w:sz="4" w:space="0" w:color="auto"/>
              <w:right w:val="single" w:sz="4" w:space="0" w:color="auto"/>
            </w:tcBorders>
            <w:shd w:val="clear" w:color="auto" w:fill="auto"/>
            <w:noWrap/>
            <w:vAlign w:val="center"/>
            <w:hideMark/>
          </w:tcPr>
          <w:p w14:paraId="56DA4D8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78774047</w:t>
            </w:r>
          </w:p>
        </w:tc>
        <w:tc>
          <w:tcPr>
            <w:tcW w:w="3360" w:type="pct"/>
            <w:tcBorders>
              <w:top w:val="nil"/>
              <w:left w:val="nil"/>
              <w:bottom w:val="single" w:sz="4" w:space="0" w:color="auto"/>
              <w:right w:val="single" w:sz="4" w:space="0" w:color="auto"/>
            </w:tcBorders>
            <w:shd w:val="clear" w:color="auto" w:fill="auto"/>
            <w:vAlign w:val="center"/>
            <w:hideMark/>
          </w:tcPr>
          <w:p w14:paraId="0FDCBCA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LJUDSKA UNIVERZA RAVNE NA KOROŠKEM</w:t>
            </w:r>
          </w:p>
        </w:tc>
      </w:tr>
      <w:tr w:rsidR="00E3750C" w:rsidRPr="00415AB3" w14:paraId="763D5BE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119EBD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770</w:t>
            </w:r>
          </w:p>
        </w:tc>
        <w:tc>
          <w:tcPr>
            <w:tcW w:w="705" w:type="pct"/>
            <w:tcBorders>
              <w:top w:val="nil"/>
              <w:left w:val="nil"/>
              <w:bottom w:val="single" w:sz="4" w:space="0" w:color="auto"/>
              <w:right w:val="single" w:sz="4" w:space="0" w:color="auto"/>
            </w:tcBorders>
            <w:shd w:val="clear" w:color="auto" w:fill="auto"/>
            <w:noWrap/>
            <w:vAlign w:val="center"/>
            <w:hideMark/>
          </w:tcPr>
          <w:p w14:paraId="6A79753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1451073000</w:t>
            </w:r>
          </w:p>
        </w:tc>
        <w:tc>
          <w:tcPr>
            <w:tcW w:w="547" w:type="pct"/>
            <w:tcBorders>
              <w:top w:val="nil"/>
              <w:left w:val="nil"/>
              <w:bottom w:val="single" w:sz="4" w:space="0" w:color="auto"/>
              <w:right w:val="single" w:sz="4" w:space="0" w:color="auto"/>
            </w:tcBorders>
            <w:shd w:val="clear" w:color="auto" w:fill="auto"/>
            <w:noWrap/>
            <w:vAlign w:val="center"/>
            <w:hideMark/>
          </w:tcPr>
          <w:p w14:paraId="50929E3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52994643</w:t>
            </w:r>
          </w:p>
        </w:tc>
        <w:tc>
          <w:tcPr>
            <w:tcW w:w="3360" w:type="pct"/>
            <w:tcBorders>
              <w:top w:val="nil"/>
              <w:left w:val="nil"/>
              <w:bottom w:val="single" w:sz="4" w:space="0" w:color="auto"/>
              <w:right w:val="single" w:sz="4" w:space="0" w:color="auto"/>
            </w:tcBorders>
            <w:shd w:val="clear" w:color="auto" w:fill="auto"/>
            <w:vAlign w:val="center"/>
            <w:hideMark/>
          </w:tcPr>
          <w:p w14:paraId="23CC78A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LJUDSKA UNIVERZA TRŽIČ</w:t>
            </w:r>
          </w:p>
        </w:tc>
      </w:tr>
      <w:tr w:rsidR="00E3750C" w:rsidRPr="00415AB3" w14:paraId="5A8DE6D6"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AFAD64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771</w:t>
            </w:r>
          </w:p>
        </w:tc>
        <w:tc>
          <w:tcPr>
            <w:tcW w:w="705" w:type="pct"/>
            <w:tcBorders>
              <w:top w:val="nil"/>
              <w:left w:val="nil"/>
              <w:bottom w:val="single" w:sz="4" w:space="0" w:color="auto"/>
              <w:right w:val="single" w:sz="4" w:space="0" w:color="auto"/>
            </w:tcBorders>
            <w:shd w:val="clear" w:color="auto" w:fill="auto"/>
            <w:noWrap/>
            <w:vAlign w:val="center"/>
            <w:hideMark/>
          </w:tcPr>
          <w:p w14:paraId="73FC22B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5052971000</w:t>
            </w:r>
          </w:p>
        </w:tc>
        <w:tc>
          <w:tcPr>
            <w:tcW w:w="547" w:type="pct"/>
            <w:tcBorders>
              <w:top w:val="nil"/>
              <w:left w:val="nil"/>
              <w:bottom w:val="single" w:sz="4" w:space="0" w:color="auto"/>
              <w:right w:val="single" w:sz="4" w:space="0" w:color="auto"/>
            </w:tcBorders>
            <w:shd w:val="clear" w:color="auto" w:fill="auto"/>
            <w:noWrap/>
            <w:vAlign w:val="center"/>
            <w:hideMark/>
          </w:tcPr>
          <w:p w14:paraId="2ACC78A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55131603</w:t>
            </w:r>
          </w:p>
        </w:tc>
        <w:tc>
          <w:tcPr>
            <w:tcW w:w="3360" w:type="pct"/>
            <w:tcBorders>
              <w:top w:val="nil"/>
              <w:left w:val="nil"/>
              <w:bottom w:val="single" w:sz="4" w:space="0" w:color="auto"/>
              <w:right w:val="single" w:sz="4" w:space="0" w:color="auto"/>
            </w:tcBorders>
            <w:shd w:val="clear" w:color="auto" w:fill="auto"/>
            <w:vAlign w:val="center"/>
            <w:hideMark/>
          </w:tcPr>
          <w:p w14:paraId="013EA00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LJUDSKA UNIVERZA, ZAVOD ZA IZOBRAŽEVANJE IN KULTURO, ROGAŠKA SLATINA</w:t>
            </w:r>
          </w:p>
        </w:tc>
      </w:tr>
      <w:tr w:rsidR="00E3750C" w:rsidRPr="00415AB3" w14:paraId="2093BD38"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0DD85B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772</w:t>
            </w:r>
          </w:p>
        </w:tc>
        <w:tc>
          <w:tcPr>
            <w:tcW w:w="705" w:type="pct"/>
            <w:tcBorders>
              <w:top w:val="nil"/>
              <w:left w:val="nil"/>
              <w:bottom w:val="single" w:sz="4" w:space="0" w:color="auto"/>
              <w:right w:val="single" w:sz="4" w:space="0" w:color="auto"/>
            </w:tcBorders>
            <w:shd w:val="clear" w:color="auto" w:fill="auto"/>
            <w:noWrap/>
            <w:vAlign w:val="center"/>
            <w:hideMark/>
          </w:tcPr>
          <w:p w14:paraId="1D5FD15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3628663000</w:t>
            </w:r>
          </w:p>
        </w:tc>
        <w:tc>
          <w:tcPr>
            <w:tcW w:w="547" w:type="pct"/>
            <w:tcBorders>
              <w:top w:val="nil"/>
              <w:left w:val="nil"/>
              <w:bottom w:val="single" w:sz="4" w:space="0" w:color="auto"/>
              <w:right w:val="single" w:sz="4" w:space="0" w:color="auto"/>
            </w:tcBorders>
            <w:shd w:val="clear" w:color="auto" w:fill="auto"/>
            <w:noWrap/>
            <w:vAlign w:val="center"/>
            <w:hideMark/>
          </w:tcPr>
          <w:p w14:paraId="7FEDD25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89010787</w:t>
            </w:r>
          </w:p>
        </w:tc>
        <w:tc>
          <w:tcPr>
            <w:tcW w:w="3360" w:type="pct"/>
            <w:tcBorders>
              <w:top w:val="nil"/>
              <w:left w:val="nil"/>
              <w:bottom w:val="single" w:sz="4" w:space="0" w:color="auto"/>
              <w:right w:val="single" w:sz="4" w:space="0" w:color="auto"/>
            </w:tcBorders>
            <w:shd w:val="clear" w:color="auto" w:fill="auto"/>
            <w:vAlign w:val="center"/>
            <w:hideMark/>
          </w:tcPr>
          <w:p w14:paraId="61AC0DA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LL GROSIST DRUŽBA ZA PRODAJO FARMACEVTSKIH, MEDICINSKIH IN DRUGIH PROIZVODOV NA DEBELO D.O.O.</w:t>
            </w:r>
          </w:p>
        </w:tc>
      </w:tr>
      <w:tr w:rsidR="00E3750C" w:rsidRPr="00415AB3" w14:paraId="099D296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ECEDE1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773</w:t>
            </w:r>
          </w:p>
        </w:tc>
        <w:tc>
          <w:tcPr>
            <w:tcW w:w="705" w:type="pct"/>
            <w:tcBorders>
              <w:top w:val="nil"/>
              <w:left w:val="nil"/>
              <w:bottom w:val="single" w:sz="4" w:space="0" w:color="auto"/>
              <w:right w:val="single" w:sz="4" w:space="0" w:color="auto"/>
            </w:tcBorders>
            <w:shd w:val="clear" w:color="auto" w:fill="auto"/>
            <w:noWrap/>
            <w:vAlign w:val="center"/>
            <w:hideMark/>
          </w:tcPr>
          <w:p w14:paraId="412BF76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3531333000</w:t>
            </w:r>
          </w:p>
        </w:tc>
        <w:tc>
          <w:tcPr>
            <w:tcW w:w="547" w:type="pct"/>
            <w:tcBorders>
              <w:top w:val="nil"/>
              <w:left w:val="nil"/>
              <w:bottom w:val="single" w:sz="4" w:space="0" w:color="auto"/>
              <w:right w:val="single" w:sz="4" w:space="0" w:color="auto"/>
            </w:tcBorders>
            <w:shd w:val="clear" w:color="auto" w:fill="auto"/>
            <w:noWrap/>
            <w:vAlign w:val="center"/>
            <w:hideMark/>
          </w:tcPr>
          <w:p w14:paraId="4EBEB70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83738975</w:t>
            </w:r>
          </w:p>
        </w:tc>
        <w:tc>
          <w:tcPr>
            <w:tcW w:w="3360" w:type="pct"/>
            <w:tcBorders>
              <w:top w:val="nil"/>
              <w:left w:val="nil"/>
              <w:bottom w:val="single" w:sz="4" w:space="0" w:color="auto"/>
              <w:right w:val="single" w:sz="4" w:space="0" w:color="auto"/>
            </w:tcBorders>
            <w:shd w:val="clear" w:color="auto" w:fill="auto"/>
            <w:vAlign w:val="center"/>
            <w:hideMark/>
          </w:tcPr>
          <w:p w14:paraId="057F8EF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LOKALNA ENERGETSKA AGENCIJA GORENJSKE</w:t>
            </w:r>
          </w:p>
        </w:tc>
      </w:tr>
      <w:tr w:rsidR="00E3750C" w:rsidRPr="00415AB3" w14:paraId="28CD58F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D4ADFD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774</w:t>
            </w:r>
          </w:p>
        </w:tc>
        <w:tc>
          <w:tcPr>
            <w:tcW w:w="705" w:type="pct"/>
            <w:tcBorders>
              <w:top w:val="nil"/>
              <w:left w:val="nil"/>
              <w:bottom w:val="single" w:sz="4" w:space="0" w:color="auto"/>
              <w:right w:val="single" w:sz="4" w:space="0" w:color="auto"/>
            </w:tcBorders>
            <w:shd w:val="clear" w:color="auto" w:fill="auto"/>
            <w:noWrap/>
            <w:vAlign w:val="center"/>
            <w:hideMark/>
          </w:tcPr>
          <w:p w14:paraId="6C79F92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1700669000</w:t>
            </w:r>
          </w:p>
        </w:tc>
        <w:tc>
          <w:tcPr>
            <w:tcW w:w="547" w:type="pct"/>
            <w:tcBorders>
              <w:top w:val="nil"/>
              <w:left w:val="nil"/>
              <w:bottom w:val="single" w:sz="4" w:space="0" w:color="auto"/>
              <w:right w:val="single" w:sz="4" w:space="0" w:color="auto"/>
            </w:tcBorders>
            <w:shd w:val="clear" w:color="auto" w:fill="auto"/>
            <w:noWrap/>
            <w:vAlign w:val="center"/>
            <w:hideMark/>
          </w:tcPr>
          <w:p w14:paraId="1E57E99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22085076</w:t>
            </w:r>
          </w:p>
        </w:tc>
        <w:tc>
          <w:tcPr>
            <w:tcW w:w="3360" w:type="pct"/>
            <w:tcBorders>
              <w:top w:val="nil"/>
              <w:left w:val="nil"/>
              <w:bottom w:val="single" w:sz="4" w:space="0" w:color="auto"/>
              <w:right w:val="single" w:sz="4" w:space="0" w:color="auto"/>
            </w:tcBorders>
            <w:shd w:val="clear" w:color="auto" w:fill="auto"/>
            <w:vAlign w:val="center"/>
            <w:hideMark/>
          </w:tcPr>
          <w:p w14:paraId="2DA8338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LOKALNA TURISTIČNA ORGANIZACIJA LAUFAR CERKNO</w:t>
            </w:r>
          </w:p>
        </w:tc>
      </w:tr>
      <w:tr w:rsidR="00E3750C" w:rsidRPr="00415AB3" w14:paraId="6B13D9C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8DB124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775</w:t>
            </w:r>
          </w:p>
        </w:tc>
        <w:tc>
          <w:tcPr>
            <w:tcW w:w="705" w:type="pct"/>
            <w:tcBorders>
              <w:top w:val="nil"/>
              <w:left w:val="nil"/>
              <w:bottom w:val="single" w:sz="4" w:space="0" w:color="auto"/>
              <w:right w:val="single" w:sz="4" w:space="0" w:color="auto"/>
            </w:tcBorders>
            <w:shd w:val="clear" w:color="auto" w:fill="auto"/>
            <w:noWrap/>
            <w:vAlign w:val="center"/>
            <w:hideMark/>
          </w:tcPr>
          <w:p w14:paraId="37586AF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5052955000</w:t>
            </w:r>
          </w:p>
        </w:tc>
        <w:tc>
          <w:tcPr>
            <w:tcW w:w="547" w:type="pct"/>
            <w:tcBorders>
              <w:top w:val="nil"/>
              <w:left w:val="nil"/>
              <w:bottom w:val="single" w:sz="4" w:space="0" w:color="auto"/>
              <w:right w:val="single" w:sz="4" w:space="0" w:color="auto"/>
            </w:tcBorders>
            <w:shd w:val="clear" w:color="auto" w:fill="auto"/>
            <w:noWrap/>
            <w:vAlign w:val="center"/>
            <w:hideMark/>
          </w:tcPr>
          <w:p w14:paraId="560C11F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27805476</w:t>
            </w:r>
          </w:p>
        </w:tc>
        <w:tc>
          <w:tcPr>
            <w:tcW w:w="3360" w:type="pct"/>
            <w:tcBorders>
              <w:top w:val="nil"/>
              <w:left w:val="nil"/>
              <w:bottom w:val="single" w:sz="4" w:space="0" w:color="auto"/>
              <w:right w:val="single" w:sz="4" w:space="0" w:color="auto"/>
            </w:tcBorders>
            <w:shd w:val="clear" w:color="auto" w:fill="auto"/>
            <w:vAlign w:val="center"/>
            <w:hideMark/>
          </w:tcPr>
          <w:p w14:paraId="28193BB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LOŠKI MUZEJ ŠKOFJA LOKA</w:t>
            </w:r>
          </w:p>
        </w:tc>
      </w:tr>
      <w:tr w:rsidR="00E3750C" w:rsidRPr="00415AB3" w14:paraId="104B8FD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396976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776</w:t>
            </w:r>
          </w:p>
        </w:tc>
        <w:tc>
          <w:tcPr>
            <w:tcW w:w="705" w:type="pct"/>
            <w:tcBorders>
              <w:top w:val="nil"/>
              <w:left w:val="nil"/>
              <w:bottom w:val="single" w:sz="4" w:space="0" w:color="auto"/>
              <w:right w:val="single" w:sz="4" w:space="0" w:color="auto"/>
            </w:tcBorders>
            <w:shd w:val="clear" w:color="auto" w:fill="auto"/>
            <w:noWrap/>
            <w:vAlign w:val="center"/>
            <w:hideMark/>
          </w:tcPr>
          <w:p w14:paraId="733A809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5918707000</w:t>
            </w:r>
          </w:p>
        </w:tc>
        <w:tc>
          <w:tcPr>
            <w:tcW w:w="547" w:type="pct"/>
            <w:tcBorders>
              <w:top w:val="nil"/>
              <w:left w:val="nil"/>
              <w:bottom w:val="single" w:sz="4" w:space="0" w:color="auto"/>
              <w:right w:val="single" w:sz="4" w:space="0" w:color="auto"/>
            </w:tcBorders>
            <w:shd w:val="clear" w:color="auto" w:fill="auto"/>
            <w:noWrap/>
            <w:vAlign w:val="center"/>
            <w:hideMark/>
          </w:tcPr>
          <w:p w14:paraId="2664E42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73047813</w:t>
            </w:r>
          </w:p>
        </w:tc>
        <w:tc>
          <w:tcPr>
            <w:tcW w:w="3360" w:type="pct"/>
            <w:tcBorders>
              <w:top w:val="nil"/>
              <w:left w:val="nil"/>
              <w:bottom w:val="single" w:sz="4" w:space="0" w:color="auto"/>
              <w:right w:val="single" w:sz="4" w:space="0" w:color="auto"/>
            </w:tcBorders>
            <w:shd w:val="clear" w:color="auto" w:fill="auto"/>
            <w:vAlign w:val="center"/>
            <w:hideMark/>
          </w:tcPr>
          <w:p w14:paraId="07923D6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LUKA KOPER INPO - INVALIDSKO PODJETJE, D.O.O.</w:t>
            </w:r>
          </w:p>
        </w:tc>
      </w:tr>
      <w:tr w:rsidR="00E3750C" w:rsidRPr="00415AB3" w14:paraId="5362388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DD8D2C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777</w:t>
            </w:r>
          </w:p>
        </w:tc>
        <w:tc>
          <w:tcPr>
            <w:tcW w:w="705" w:type="pct"/>
            <w:tcBorders>
              <w:top w:val="nil"/>
              <w:left w:val="nil"/>
              <w:bottom w:val="single" w:sz="4" w:space="0" w:color="auto"/>
              <w:right w:val="single" w:sz="4" w:space="0" w:color="auto"/>
            </w:tcBorders>
            <w:shd w:val="clear" w:color="auto" w:fill="auto"/>
            <w:noWrap/>
            <w:vAlign w:val="center"/>
            <w:hideMark/>
          </w:tcPr>
          <w:p w14:paraId="421B5A0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5144353000</w:t>
            </w:r>
          </w:p>
        </w:tc>
        <w:tc>
          <w:tcPr>
            <w:tcW w:w="547" w:type="pct"/>
            <w:tcBorders>
              <w:top w:val="nil"/>
              <w:left w:val="nil"/>
              <w:bottom w:val="single" w:sz="4" w:space="0" w:color="auto"/>
              <w:right w:val="single" w:sz="4" w:space="0" w:color="auto"/>
            </w:tcBorders>
            <w:shd w:val="clear" w:color="auto" w:fill="auto"/>
            <w:noWrap/>
            <w:vAlign w:val="center"/>
            <w:hideMark/>
          </w:tcPr>
          <w:p w14:paraId="2E58FBA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89190033</w:t>
            </w:r>
          </w:p>
        </w:tc>
        <w:tc>
          <w:tcPr>
            <w:tcW w:w="3360" w:type="pct"/>
            <w:tcBorders>
              <w:top w:val="nil"/>
              <w:left w:val="nil"/>
              <w:bottom w:val="single" w:sz="4" w:space="0" w:color="auto"/>
              <w:right w:val="single" w:sz="4" w:space="0" w:color="auto"/>
            </w:tcBorders>
            <w:shd w:val="clear" w:color="auto" w:fill="auto"/>
            <w:vAlign w:val="center"/>
            <w:hideMark/>
          </w:tcPr>
          <w:p w14:paraId="26BA47D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LUKA KOPER, PRISTANIŠKI IN LOGISTIČNI SISTEM, DELNIŠKA DRUŽBA</w:t>
            </w:r>
          </w:p>
        </w:tc>
      </w:tr>
      <w:tr w:rsidR="00E3750C" w:rsidRPr="00415AB3" w14:paraId="3A7D3A3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A205D5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778</w:t>
            </w:r>
          </w:p>
        </w:tc>
        <w:tc>
          <w:tcPr>
            <w:tcW w:w="705" w:type="pct"/>
            <w:tcBorders>
              <w:top w:val="nil"/>
              <w:left w:val="nil"/>
              <w:bottom w:val="single" w:sz="4" w:space="0" w:color="auto"/>
              <w:right w:val="single" w:sz="4" w:space="0" w:color="auto"/>
            </w:tcBorders>
            <w:shd w:val="clear" w:color="auto" w:fill="auto"/>
            <w:noWrap/>
            <w:vAlign w:val="center"/>
            <w:hideMark/>
          </w:tcPr>
          <w:p w14:paraId="46A92CC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5056756000</w:t>
            </w:r>
          </w:p>
        </w:tc>
        <w:tc>
          <w:tcPr>
            <w:tcW w:w="547" w:type="pct"/>
            <w:tcBorders>
              <w:top w:val="nil"/>
              <w:left w:val="nil"/>
              <w:bottom w:val="single" w:sz="4" w:space="0" w:color="auto"/>
              <w:right w:val="single" w:sz="4" w:space="0" w:color="auto"/>
            </w:tcBorders>
            <w:shd w:val="clear" w:color="auto" w:fill="auto"/>
            <w:noWrap/>
            <w:vAlign w:val="center"/>
            <w:hideMark/>
          </w:tcPr>
          <w:p w14:paraId="63273F8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87016362</w:t>
            </w:r>
          </w:p>
        </w:tc>
        <w:tc>
          <w:tcPr>
            <w:tcW w:w="3360" w:type="pct"/>
            <w:tcBorders>
              <w:top w:val="nil"/>
              <w:left w:val="nil"/>
              <w:bottom w:val="single" w:sz="4" w:space="0" w:color="auto"/>
              <w:right w:val="single" w:sz="4" w:space="0" w:color="auto"/>
            </w:tcBorders>
            <w:shd w:val="clear" w:color="auto" w:fill="auto"/>
            <w:vAlign w:val="center"/>
            <w:hideMark/>
          </w:tcPr>
          <w:p w14:paraId="73BD268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LUTKOVNO GLEDALIŠČE LJUBLJANA</w:t>
            </w:r>
          </w:p>
        </w:tc>
      </w:tr>
      <w:tr w:rsidR="00E3750C" w:rsidRPr="00415AB3" w14:paraId="713954E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12EB94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779</w:t>
            </w:r>
          </w:p>
        </w:tc>
        <w:tc>
          <w:tcPr>
            <w:tcW w:w="705" w:type="pct"/>
            <w:tcBorders>
              <w:top w:val="nil"/>
              <w:left w:val="nil"/>
              <w:bottom w:val="single" w:sz="4" w:space="0" w:color="auto"/>
              <w:right w:val="single" w:sz="4" w:space="0" w:color="auto"/>
            </w:tcBorders>
            <w:shd w:val="clear" w:color="auto" w:fill="auto"/>
            <w:noWrap/>
            <w:vAlign w:val="center"/>
            <w:hideMark/>
          </w:tcPr>
          <w:p w14:paraId="2886B13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5103959000</w:t>
            </w:r>
          </w:p>
        </w:tc>
        <w:tc>
          <w:tcPr>
            <w:tcW w:w="547" w:type="pct"/>
            <w:tcBorders>
              <w:top w:val="nil"/>
              <w:left w:val="nil"/>
              <w:bottom w:val="single" w:sz="4" w:space="0" w:color="auto"/>
              <w:right w:val="single" w:sz="4" w:space="0" w:color="auto"/>
            </w:tcBorders>
            <w:shd w:val="clear" w:color="auto" w:fill="auto"/>
            <w:noWrap/>
            <w:vAlign w:val="center"/>
            <w:hideMark/>
          </w:tcPr>
          <w:p w14:paraId="524924F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39815480</w:t>
            </w:r>
          </w:p>
        </w:tc>
        <w:tc>
          <w:tcPr>
            <w:tcW w:w="3360" w:type="pct"/>
            <w:tcBorders>
              <w:top w:val="nil"/>
              <w:left w:val="nil"/>
              <w:bottom w:val="single" w:sz="4" w:space="0" w:color="auto"/>
              <w:right w:val="single" w:sz="4" w:space="0" w:color="auto"/>
            </w:tcBorders>
            <w:shd w:val="clear" w:color="auto" w:fill="auto"/>
            <w:vAlign w:val="center"/>
            <w:hideMark/>
          </w:tcPr>
          <w:p w14:paraId="5B1C8C2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LUTKOVNO GLEDALIŠČE MARIBOR</w:t>
            </w:r>
          </w:p>
        </w:tc>
      </w:tr>
      <w:tr w:rsidR="00E3750C" w:rsidRPr="00415AB3" w14:paraId="7AEC7DE3"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F7B56F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780</w:t>
            </w:r>
          </w:p>
        </w:tc>
        <w:tc>
          <w:tcPr>
            <w:tcW w:w="705" w:type="pct"/>
            <w:tcBorders>
              <w:top w:val="nil"/>
              <w:left w:val="nil"/>
              <w:bottom w:val="single" w:sz="4" w:space="0" w:color="auto"/>
              <w:right w:val="single" w:sz="4" w:space="0" w:color="auto"/>
            </w:tcBorders>
            <w:shd w:val="clear" w:color="auto" w:fill="auto"/>
            <w:noWrap/>
            <w:vAlign w:val="center"/>
            <w:hideMark/>
          </w:tcPr>
          <w:p w14:paraId="79C355C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5917468000</w:t>
            </w:r>
          </w:p>
        </w:tc>
        <w:tc>
          <w:tcPr>
            <w:tcW w:w="547" w:type="pct"/>
            <w:tcBorders>
              <w:top w:val="nil"/>
              <w:left w:val="nil"/>
              <w:bottom w:val="single" w:sz="4" w:space="0" w:color="auto"/>
              <w:right w:val="single" w:sz="4" w:space="0" w:color="auto"/>
            </w:tcBorders>
            <w:shd w:val="clear" w:color="auto" w:fill="auto"/>
            <w:noWrap/>
            <w:vAlign w:val="center"/>
            <w:hideMark/>
          </w:tcPr>
          <w:p w14:paraId="55BDD72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12329860</w:t>
            </w:r>
          </w:p>
        </w:tc>
        <w:tc>
          <w:tcPr>
            <w:tcW w:w="3360" w:type="pct"/>
            <w:tcBorders>
              <w:top w:val="nil"/>
              <w:left w:val="nil"/>
              <w:bottom w:val="single" w:sz="4" w:space="0" w:color="auto"/>
              <w:right w:val="single" w:sz="4" w:space="0" w:color="auto"/>
            </w:tcBorders>
            <w:shd w:val="clear" w:color="auto" w:fill="auto"/>
            <w:vAlign w:val="center"/>
            <w:hideMark/>
          </w:tcPr>
          <w:p w14:paraId="6EF2FD4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MADŽARSKA SAMOUPRAVNA NARODNA SKUPNOST OBČINE LENDAVA</w:t>
            </w:r>
          </w:p>
        </w:tc>
      </w:tr>
      <w:tr w:rsidR="00E3750C" w:rsidRPr="00415AB3" w14:paraId="061B003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DA664A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781</w:t>
            </w:r>
          </w:p>
        </w:tc>
        <w:tc>
          <w:tcPr>
            <w:tcW w:w="705" w:type="pct"/>
            <w:tcBorders>
              <w:top w:val="nil"/>
              <w:left w:val="nil"/>
              <w:bottom w:val="single" w:sz="4" w:space="0" w:color="auto"/>
              <w:right w:val="single" w:sz="4" w:space="0" w:color="auto"/>
            </w:tcBorders>
            <w:shd w:val="clear" w:color="auto" w:fill="auto"/>
            <w:noWrap/>
            <w:vAlign w:val="center"/>
            <w:hideMark/>
          </w:tcPr>
          <w:p w14:paraId="53711A6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5055636000</w:t>
            </w:r>
          </w:p>
        </w:tc>
        <w:tc>
          <w:tcPr>
            <w:tcW w:w="547" w:type="pct"/>
            <w:tcBorders>
              <w:top w:val="nil"/>
              <w:left w:val="nil"/>
              <w:bottom w:val="single" w:sz="4" w:space="0" w:color="auto"/>
              <w:right w:val="single" w:sz="4" w:space="0" w:color="auto"/>
            </w:tcBorders>
            <w:shd w:val="clear" w:color="auto" w:fill="auto"/>
            <w:noWrap/>
            <w:vAlign w:val="center"/>
            <w:hideMark/>
          </w:tcPr>
          <w:p w14:paraId="350E242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99698722</w:t>
            </w:r>
          </w:p>
        </w:tc>
        <w:tc>
          <w:tcPr>
            <w:tcW w:w="3360" w:type="pct"/>
            <w:tcBorders>
              <w:top w:val="nil"/>
              <w:left w:val="nil"/>
              <w:bottom w:val="single" w:sz="4" w:space="0" w:color="auto"/>
              <w:right w:val="single" w:sz="4" w:space="0" w:color="auto"/>
            </w:tcBorders>
            <w:shd w:val="clear" w:color="auto" w:fill="auto"/>
            <w:vAlign w:val="center"/>
            <w:hideMark/>
          </w:tcPr>
          <w:p w14:paraId="7A8CC97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MARIBORSKA KNJIŽNICA MARIBOR PUBLIC LIBRARY</w:t>
            </w:r>
          </w:p>
        </w:tc>
      </w:tr>
      <w:tr w:rsidR="00E3750C" w:rsidRPr="00415AB3" w14:paraId="0C6D75E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4E48AE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782</w:t>
            </w:r>
          </w:p>
        </w:tc>
        <w:tc>
          <w:tcPr>
            <w:tcW w:w="705" w:type="pct"/>
            <w:tcBorders>
              <w:top w:val="nil"/>
              <w:left w:val="nil"/>
              <w:bottom w:val="single" w:sz="4" w:space="0" w:color="auto"/>
              <w:right w:val="single" w:sz="4" w:space="0" w:color="auto"/>
            </w:tcBorders>
            <w:shd w:val="clear" w:color="auto" w:fill="auto"/>
            <w:noWrap/>
            <w:vAlign w:val="center"/>
            <w:hideMark/>
          </w:tcPr>
          <w:p w14:paraId="5EB1DE5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5067880000</w:t>
            </w:r>
          </w:p>
        </w:tc>
        <w:tc>
          <w:tcPr>
            <w:tcW w:w="547" w:type="pct"/>
            <w:tcBorders>
              <w:top w:val="nil"/>
              <w:left w:val="nil"/>
              <w:bottom w:val="single" w:sz="4" w:space="0" w:color="auto"/>
              <w:right w:val="single" w:sz="4" w:space="0" w:color="auto"/>
            </w:tcBorders>
            <w:shd w:val="clear" w:color="auto" w:fill="auto"/>
            <w:noWrap/>
            <w:vAlign w:val="center"/>
            <w:hideMark/>
          </w:tcPr>
          <w:p w14:paraId="68AAA2D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68041527</w:t>
            </w:r>
          </w:p>
        </w:tc>
        <w:tc>
          <w:tcPr>
            <w:tcW w:w="3360" w:type="pct"/>
            <w:tcBorders>
              <w:top w:val="nil"/>
              <w:left w:val="nil"/>
              <w:bottom w:val="single" w:sz="4" w:space="0" w:color="auto"/>
              <w:right w:val="single" w:sz="4" w:space="0" w:color="auto"/>
            </w:tcBorders>
            <w:shd w:val="clear" w:color="auto" w:fill="auto"/>
            <w:vAlign w:val="center"/>
            <w:hideMark/>
          </w:tcPr>
          <w:p w14:paraId="7534FA2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MARIBORSKI VODOVOD, JAVNO PODJETJE, D.O.O.</w:t>
            </w:r>
          </w:p>
        </w:tc>
      </w:tr>
      <w:tr w:rsidR="00E3750C" w:rsidRPr="00415AB3" w14:paraId="629737A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E51AAC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783</w:t>
            </w:r>
          </w:p>
        </w:tc>
        <w:tc>
          <w:tcPr>
            <w:tcW w:w="705" w:type="pct"/>
            <w:tcBorders>
              <w:top w:val="nil"/>
              <w:left w:val="nil"/>
              <w:bottom w:val="single" w:sz="4" w:space="0" w:color="auto"/>
              <w:right w:val="single" w:sz="4" w:space="0" w:color="auto"/>
            </w:tcBorders>
            <w:shd w:val="clear" w:color="auto" w:fill="auto"/>
            <w:noWrap/>
            <w:vAlign w:val="center"/>
            <w:hideMark/>
          </w:tcPr>
          <w:p w14:paraId="7E11C8D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2213818000</w:t>
            </w:r>
          </w:p>
        </w:tc>
        <w:tc>
          <w:tcPr>
            <w:tcW w:w="547" w:type="pct"/>
            <w:tcBorders>
              <w:top w:val="nil"/>
              <w:left w:val="nil"/>
              <w:bottom w:val="single" w:sz="4" w:space="0" w:color="auto"/>
              <w:right w:val="single" w:sz="4" w:space="0" w:color="auto"/>
            </w:tcBorders>
            <w:shd w:val="clear" w:color="auto" w:fill="auto"/>
            <w:noWrap/>
            <w:vAlign w:val="center"/>
            <w:hideMark/>
          </w:tcPr>
          <w:p w14:paraId="0B53E36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95628428</w:t>
            </w:r>
          </w:p>
        </w:tc>
        <w:tc>
          <w:tcPr>
            <w:tcW w:w="3360" w:type="pct"/>
            <w:tcBorders>
              <w:top w:val="nil"/>
              <w:left w:val="nil"/>
              <w:bottom w:val="single" w:sz="4" w:space="0" w:color="auto"/>
              <w:right w:val="single" w:sz="4" w:space="0" w:color="auto"/>
            </w:tcBorders>
            <w:shd w:val="clear" w:color="auto" w:fill="auto"/>
            <w:vAlign w:val="center"/>
            <w:hideMark/>
          </w:tcPr>
          <w:p w14:paraId="2C48093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MEDNARODNA FAKULTETA ZA DRUŽBENE IN POSLOVNE ŠTUDIJE</w:t>
            </w:r>
          </w:p>
        </w:tc>
      </w:tr>
      <w:tr w:rsidR="00E3750C" w:rsidRPr="00415AB3" w14:paraId="0E47852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E401C3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784</w:t>
            </w:r>
          </w:p>
        </w:tc>
        <w:tc>
          <w:tcPr>
            <w:tcW w:w="705" w:type="pct"/>
            <w:tcBorders>
              <w:top w:val="nil"/>
              <w:left w:val="nil"/>
              <w:bottom w:val="single" w:sz="4" w:space="0" w:color="auto"/>
              <w:right w:val="single" w:sz="4" w:space="0" w:color="auto"/>
            </w:tcBorders>
            <w:shd w:val="clear" w:color="auto" w:fill="auto"/>
            <w:noWrap/>
            <w:vAlign w:val="center"/>
            <w:hideMark/>
          </w:tcPr>
          <w:p w14:paraId="5C86B26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5269903000</w:t>
            </w:r>
          </w:p>
        </w:tc>
        <w:tc>
          <w:tcPr>
            <w:tcW w:w="547" w:type="pct"/>
            <w:tcBorders>
              <w:top w:val="nil"/>
              <w:left w:val="nil"/>
              <w:bottom w:val="single" w:sz="4" w:space="0" w:color="auto"/>
              <w:right w:val="single" w:sz="4" w:space="0" w:color="auto"/>
            </w:tcBorders>
            <w:shd w:val="clear" w:color="auto" w:fill="auto"/>
            <w:noWrap/>
            <w:vAlign w:val="center"/>
            <w:hideMark/>
          </w:tcPr>
          <w:p w14:paraId="36763BF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39110079</w:t>
            </w:r>
          </w:p>
        </w:tc>
        <w:tc>
          <w:tcPr>
            <w:tcW w:w="3360" w:type="pct"/>
            <w:tcBorders>
              <w:top w:val="nil"/>
              <w:left w:val="nil"/>
              <w:bottom w:val="single" w:sz="4" w:space="0" w:color="auto"/>
              <w:right w:val="single" w:sz="4" w:space="0" w:color="auto"/>
            </w:tcBorders>
            <w:shd w:val="clear" w:color="auto" w:fill="auto"/>
            <w:vAlign w:val="center"/>
            <w:hideMark/>
          </w:tcPr>
          <w:p w14:paraId="70E7F8F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MEDNARODNI GRAFIČNI LIKOVNI CENTER</w:t>
            </w:r>
          </w:p>
        </w:tc>
      </w:tr>
      <w:tr w:rsidR="00E3750C" w:rsidRPr="00415AB3" w14:paraId="109E1D4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8CB3BF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785</w:t>
            </w:r>
          </w:p>
        </w:tc>
        <w:tc>
          <w:tcPr>
            <w:tcW w:w="705" w:type="pct"/>
            <w:tcBorders>
              <w:top w:val="nil"/>
              <w:left w:val="nil"/>
              <w:bottom w:val="single" w:sz="4" w:space="0" w:color="auto"/>
              <w:right w:val="single" w:sz="4" w:space="0" w:color="auto"/>
            </w:tcBorders>
            <w:shd w:val="clear" w:color="auto" w:fill="auto"/>
            <w:noWrap/>
            <w:vAlign w:val="center"/>
            <w:hideMark/>
          </w:tcPr>
          <w:p w14:paraId="57C98CE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1708520000</w:t>
            </w:r>
          </w:p>
        </w:tc>
        <w:tc>
          <w:tcPr>
            <w:tcW w:w="547" w:type="pct"/>
            <w:tcBorders>
              <w:top w:val="nil"/>
              <w:left w:val="nil"/>
              <w:bottom w:val="single" w:sz="4" w:space="0" w:color="auto"/>
              <w:right w:val="single" w:sz="4" w:space="0" w:color="auto"/>
            </w:tcBorders>
            <w:shd w:val="clear" w:color="auto" w:fill="auto"/>
            <w:noWrap/>
            <w:vAlign w:val="center"/>
            <w:hideMark/>
          </w:tcPr>
          <w:p w14:paraId="6A2EC5D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41123506</w:t>
            </w:r>
          </w:p>
        </w:tc>
        <w:tc>
          <w:tcPr>
            <w:tcW w:w="3360" w:type="pct"/>
            <w:tcBorders>
              <w:top w:val="nil"/>
              <w:left w:val="nil"/>
              <w:bottom w:val="single" w:sz="4" w:space="0" w:color="auto"/>
              <w:right w:val="single" w:sz="4" w:space="0" w:color="auto"/>
            </w:tcBorders>
            <w:shd w:val="clear" w:color="auto" w:fill="auto"/>
            <w:vAlign w:val="center"/>
            <w:hideMark/>
          </w:tcPr>
          <w:p w14:paraId="1F68C01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MEDOBČINSKA SPLOŠNA KNJIŽNICA ŽALEC</w:t>
            </w:r>
          </w:p>
        </w:tc>
      </w:tr>
      <w:tr w:rsidR="00E3750C" w:rsidRPr="00415AB3" w14:paraId="47B18E0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CD60E5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786</w:t>
            </w:r>
          </w:p>
        </w:tc>
        <w:tc>
          <w:tcPr>
            <w:tcW w:w="705" w:type="pct"/>
            <w:tcBorders>
              <w:top w:val="nil"/>
              <w:left w:val="nil"/>
              <w:bottom w:val="single" w:sz="4" w:space="0" w:color="auto"/>
              <w:right w:val="single" w:sz="4" w:space="0" w:color="auto"/>
            </w:tcBorders>
            <w:shd w:val="clear" w:color="auto" w:fill="auto"/>
            <w:noWrap/>
            <w:vAlign w:val="center"/>
            <w:hideMark/>
          </w:tcPr>
          <w:p w14:paraId="5AF1593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5095417000</w:t>
            </w:r>
          </w:p>
        </w:tc>
        <w:tc>
          <w:tcPr>
            <w:tcW w:w="547" w:type="pct"/>
            <w:tcBorders>
              <w:top w:val="nil"/>
              <w:left w:val="nil"/>
              <w:bottom w:val="single" w:sz="4" w:space="0" w:color="auto"/>
              <w:right w:val="single" w:sz="4" w:space="0" w:color="auto"/>
            </w:tcBorders>
            <w:shd w:val="clear" w:color="auto" w:fill="auto"/>
            <w:noWrap/>
            <w:vAlign w:val="center"/>
            <w:hideMark/>
          </w:tcPr>
          <w:p w14:paraId="77F7F6C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92474519</w:t>
            </w:r>
          </w:p>
        </w:tc>
        <w:tc>
          <w:tcPr>
            <w:tcW w:w="3360" w:type="pct"/>
            <w:tcBorders>
              <w:top w:val="nil"/>
              <w:left w:val="nil"/>
              <w:bottom w:val="single" w:sz="4" w:space="0" w:color="auto"/>
              <w:right w:val="single" w:sz="4" w:space="0" w:color="auto"/>
            </w:tcBorders>
            <w:shd w:val="clear" w:color="auto" w:fill="auto"/>
            <w:vAlign w:val="center"/>
            <w:hideMark/>
          </w:tcPr>
          <w:p w14:paraId="7EC431A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MEDOBČINSKI MUZEJ KAMNIK</w:t>
            </w:r>
          </w:p>
        </w:tc>
      </w:tr>
      <w:tr w:rsidR="00E3750C" w:rsidRPr="00415AB3" w14:paraId="6933ED3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1A2DC4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787</w:t>
            </w:r>
          </w:p>
        </w:tc>
        <w:tc>
          <w:tcPr>
            <w:tcW w:w="705" w:type="pct"/>
            <w:tcBorders>
              <w:top w:val="nil"/>
              <w:left w:val="nil"/>
              <w:bottom w:val="single" w:sz="4" w:space="0" w:color="auto"/>
              <w:right w:val="single" w:sz="4" w:space="0" w:color="auto"/>
            </w:tcBorders>
            <w:shd w:val="clear" w:color="auto" w:fill="auto"/>
            <w:noWrap/>
            <w:vAlign w:val="center"/>
            <w:hideMark/>
          </w:tcPr>
          <w:p w14:paraId="5FE9E7B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5559723000</w:t>
            </w:r>
          </w:p>
        </w:tc>
        <w:tc>
          <w:tcPr>
            <w:tcW w:w="547" w:type="pct"/>
            <w:tcBorders>
              <w:top w:val="nil"/>
              <w:left w:val="nil"/>
              <w:bottom w:val="single" w:sz="4" w:space="0" w:color="auto"/>
              <w:right w:val="single" w:sz="4" w:space="0" w:color="auto"/>
            </w:tcBorders>
            <w:shd w:val="clear" w:color="auto" w:fill="auto"/>
            <w:noWrap/>
            <w:vAlign w:val="center"/>
            <w:hideMark/>
          </w:tcPr>
          <w:p w14:paraId="2B6C03D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65477405</w:t>
            </w:r>
          </w:p>
        </w:tc>
        <w:tc>
          <w:tcPr>
            <w:tcW w:w="3360" w:type="pct"/>
            <w:tcBorders>
              <w:top w:val="nil"/>
              <w:left w:val="nil"/>
              <w:bottom w:val="single" w:sz="4" w:space="0" w:color="auto"/>
              <w:right w:val="single" w:sz="4" w:space="0" w:color="auto"/>
            </w:tcBorders>
            <w:shd w:val="clear" w:color="auto" w:fill="auto"/>
            <w:vAlign w:val="center"/>
            <w:hideMark/>
          </w:tcPr>
          <w:p w14:paraId="69DD488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MESTNA KNJIŽNICA GROSUPLJE</w:t>
            </w:r>
          </w:p>
        </w:tc>
      </w:tr>
      <w:tr w:rsidR="00E3750C" w:rsidRPr="00415AB3" w14:paraId="426D588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820E54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788</w:t>
            </w:r>
          </w:p>
        </w:tc>
        <w:tc>
          <w:tcPr>
            <w:tcW w:w="705" w:type="pct"/>
            <w:tcBorders>
              <w:top w:val="nil"/>
              <w:left w:val="nil"/>
              <w:bottom w:val="single" w:sz="4" w:space="0" w:color="auto"/>
              <w:right w:val="single" w:sz="4" w:space="0" w:color="auto"/>
            </w:tcBorders>
            <w:shd w:val="clear" w:color="auto" w:fill="auto"/>
            <w:noWrap/>
            <w:vAlign w:val="center"/>
            <w:hideMark/>
          </w:tcPr>
          <w:p w14:paraId="7107828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5055474000</w:t>
            </w:r>
          </w:p>
        </w:tc>
        <w:tc>
          <w:tcPr>
            <w:tcW w:w="547" w:type="pct"/>
            <w:tcBorders>
              <w:top w:val="nil"/>
              <w:left w:val="nil"/>
              <w:bottom w:val="single" w:sz="4" w:space="0" w:color="auto"/>
              <w:right w:val="single" w:sz="4" w:space="0" w:color="auto"/>
            </w:tcBorders>
            <w:shd w:val="clear" w:color="auto" w:fill="auto"/>
            <w:noWrap/>
            <w:vAlign w:val="center"/>
            <w:hideMark/>
          </w:tcPr>
          <w:p w14:paraId="4827F47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56698798</w:t>
            </w:r>
          </w:p>
        </w:tc>
        <w:tc>
          <w:tcPr>
            <w:tcW w:w="3360" w:type="pct"/>
            <w:tcBorders>
              <w:top w:val="nil"/>
              <w:left w:val="nil"/>
              <w:bottom w:val="single" w:sz="4" w:space="0" w:color="auto"/>
              <w:right w:val="single" w:sz="4" w:space="0" w:color="auto"/>
            </w:tcBorders>
            <w:shd w:val="clear" w:color="auto" w:fill="auto"/>
            <w:vAlign w:val="center"/>
            <w:hideMark/>
          </w:tcPr>
          <w:p w14:paraId="3FDAA80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MESTNA KNJIŽNICA IN ČITALNICA IDRIJA</w:t>
            </w:r>
          </w:p>
        </w:tc>
      </w:tr>
      <w:tr w:rsidR="00E3750C" w:rsidRPr="00415AB3" w14:paraId="5E75C7F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7EB200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789</w:t>
            </w:r>
          </w:p>
        </w:tc>
        <w:tc>
          <w:tcPr>
            <w:tcW w:w="705" w:type="pct"/>
            <w:tcBorders>
              <w:top w:val="nil"/>
              <w:left w:val="nil"/>
              <w:bottom w:val="single" w:sz="4" w:space="0" w:color="auto"/>
              <w:right w:val="single" w:sz="4" w:space="0" w:color="auto"/>
            </w:tcBorders>
            <w:shd w:val="clear" w:color="auto" w:fill="auto"/>
            <w:noWrap/>
            <w:vAlign w:val="center"/>
            <w:hideMark/>
          </w:tcPr>
          <w:p w14:paraId="123830E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5051878000</w:t>
            </w:r>
          </w:p>
        </w:tc>
        <w:tc>
          <w:tcPr>
            <w:tcW w:w="547" w:type="pct"/>
            <w:tcBorders>
              <w:top w:val="nil"/>
              <w:left w:val="nil"/>
              <w:bottom w:val="single" w:sz="4" w:space="0" w:color="auto"/>
              <w:right w:val="single" w:sz="4" w:space="0" w:color="auto"/>
            </w:tcBorders>
            <w:shd w:val="clear" w:color="auto" w:fill="auto"/>
            <w:noWrap/>
            <w:vAlign w:val="center"/>
            <w:hideMark/>
          </w:tcPr>
          <w:p w14:paraId="10B862F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54747503</w:t>
            </w:r>
          </w:p>
        </w:tc>
        <w:tc>
          <w:tcPr>
            <w:tcW w:w="3360" w:type="pct"/>
            <w:tcBorders>
              <w:top w:val="nil"/>
              <w:left w:val="nil"/>
              <w:bottom w:val="single" w:sz="4" w:space="0" w:color="auto"/>
              <w:right w:val="single" w:sz="4" w:space="0" w:color="auto"/>
            </w:tcBorders>
            <w:shd w:val="clear" w:color="auto" w:fill="auto"/>
            <w:vAlign w:val="center"/>
            <w:hideMark/>
          </w:tcPr>
          <w:p w14:paraId="0CBA345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MESTNA KNJIŽNICA IZOLA - BIBLIOTECA CIVICA DI ISOLA</w:t>
            </w:r>
          </w:p>
        </w:tc>
      </w:tr>
      <w:tr w:rsidR="00E3750C" w:rsidRPr="00415AB3" w14:paraId="2B1F1A9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7842B1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790</w:t>
            </w:r>
          </w:p>
        </w:tc>
        <w:tc>
          <w:tcPr>
            <w:tcW w:w="705" w:type="pct"/>
            <w:tcBorders>
              <w:top w:val="nil"/>
              <w:left w:val="nil"/>
              <w:bottom w:val="single" w:sz="4" w:space="0" w:color="auto"/>
              <w:right w:val="single" w:sz="4" w:space="0" w:color="auto"/>
            </w:tcBorders>
            <w:shd w:val="clear" w:color="auto" w:fill="auto"/>
            <w:noWrap/>
            <w:vAlign w:val="center"/>
            <w:hideMark/>
          </w:tcPr>
          <w:p w14:paraId="5475D03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5052556000</w:t>
            </w:r>
          </w:p>
        </w:tc>
        <w:tc>
          <w:tcPr>
            <w:tcW w:w="547" w:type="pct"/>
            <w:tcBorders>
              <w:top w:val="nil"/>
              <w:left w:val="nil"/>
              <w:bottom w:val="single" w:sz="4" w:space="0" w:color="auto"/>
              <w:right w:val="single" w:sz="4" w:space="0" w:color="auto"/>
            </w:tcBorders>
            <w:shd w:val="clear" w:color="auto" w:fill="auto"/>
            <w:noWrap/>
            <w:vAlign w:val="center"/>
            <w:hideMark/>
          </w:tcPr>
          <w:p w14:paraId="46C1DD6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51239523</w:t>
            </w:r>
          </w:p>
        </w:tc>
        <w:tc>
          <w:tcPr>
            <w:tcW w:w="3360" w:type="pct"/>
            <w:tcBorders>
              <w:top w:val="nil"/>
              <w:left w:val="nil"/>
              <w:bottom w:val="single" w:sz="4" w:space="0" w:color="auto"/>
              <w:right w:val="single" w:sz="4" w:space="0" w:color="auto"/>
            </w:tcBorders>
            <w:shd w:val="clear" w:color="auto" w:fill="auto"/>
            <w:vAlign w:val="center"/>
            <w:hideMark/>
          </w:tcPr>
          <w:p w14:paraId="1657387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MESTNA KNJIŽNICA KRANJ</w:t>
            </w:r>
          </w:p>
        </w:tc>
      </w:tr>
      <w:tr w:rsidR="00E3750C" w:rsidRPr="00415AB3" w14:paraId="1A64B7A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34B93A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791</w:t>
            </w:r>
          </w:p>
        </w:tc>
        <w:tc>
          <w:tcPr>
            <w:tcW w:w="705" w:type="pct"/>
            <w:tcBorders>
              <w:top w:val="nil"/>
              <w:left w:val="nil"/>
              <w:bottom w:val="single" w:sz="4" w:space="0" w:color="auto"/>
              <w:right w:val="single" w:sz="4" w:space="0" w:color="auto"/>
            </w:tcBorders>
            <w:shd w:val="clear" w:color="auto" w:fill="auto"/>
            <w:noWrap/>
            <w:vAlign w:val="center"/>
            <w:hideMark/>
          </w:tcPr>
          <w:p w14:paraId="656D53F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3336905000</w:t>
            </w:r>
          </w:p>
        </w:tc>
        <w:tc>
          <w:tcPr>
            <w:tcW w:w="547" w:type="pct"/>
            <w:tcBorders>
              <w:top w:val="nil"/>
              <w:left w:val="nil"/>
              <w:bottom w:val="single" w:sz="4" w:space="0" w:color="auto"/>
              <w:right w:val="single" w:sz="4" w:space="0" w:color="auto"/>
            </w:tcBorders>
            <w:shd w:val="clear" w:color="auto" w:fill="auto"/>
            <w:noWrap/>
            <w:vAlign w:val="center"/>
            <w:hideMark/>
          </w:tcPr>
          <w:p w14:paraId="2E3B688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62825844</w:t>
            </w:r>
          </w:p>
        </w:tc>
        <w:tc>
          <w:tcPr>
            <w:tcW w:w="3360" w:type="pct"/>
            <w:tcBorders>
              <w:top w:val="nil"/>
              <w:left w:val="nil"/>
              <w:bottom w:val="single" w:sz="4" w:space="0" w:color="auto"/>
              <w:right w:val="single" w:sz="4" w:space="0" w:color="auto"/>
            </w:tcBorders>
            <w:shd w:val="clear" w:color="auto" w:fill="auto"/>
            <w:vAlign w:val="center"/>
            <w:hideMark/>
          </w:tcPr>
          <w:p w14:paraId="3825BA3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MESTNA KNJIŽNICA LJUBLJANA</w:t>
            </w:r>
          </w:p>
        </w:tc>
      </w:tr>
      <w:tr w:rsidR="00E3750C" w:rsidRPr="00415AB3" w14:paraId="29DFB2E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4E650F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792</w:t>
            </w:r>
          </w:p>
        </w:tc>
        <w:tc>
          <w:tcPr>
            <w:tcW w:w="705" w:type="pct"/>
            <w:tcBorders>
              <w:top w:val="nil"/>
              <w:left w:val="nil"/>
              <w:bottom w:val="single" w:sz="4" w:space="0" w:color="auto"/>
              <w:right w:val="single" w:sz="4" w:space="0" w:color="auto"/>
            </w:tcBorders>
            <w:shd w:val="clear" w:color="auto" w:fill="auto"/>
            <w:noWrap/>
            <w:vAlign w:val="center"/>
            <w:hideMark/>
          </w:tcPr>
          <w:p w14:paraId="32BC0E2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5052246000</w:t>
            </w:r>
          </w:p>
        </w:tc>
        <w:tc>
          <w:tcPr>
            <w:tcW w:w="547" w:type="pct"/>
            <w:tcBorders>
              <w:top w:val="nil"/>
              <w:left w:val="nil"/>
              <w:bottom w:val="single" w:sz="4" w:space="0" w:color="auto"/>
              <w:right w:val="single" w:sz="4" w:space="0" w:color="auto"/>
            </w:tcBorders>
            <w:shd w:val="clear" w:color="auto" w:fill="auto"/>
            <w:noWrap/>
            <w:vAlign w:val="center"/>
            <w:hideMark/>
          </w:tcPr>
          <w:p w14:paraId="73770D5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31640567</w:t>
            </w:r>
          </w:p>
        </w:tc>
        <w:tc>
          <w:tcPr>
            <w:tcW w:w="3360" w:type="pct"/>
            <w:tcBorders>
              <w:top w:val="nil"/>
              <w:left w:val="nil"/>
              <w:bottom w:val="single" w:sz="4" w:space="0" w:color="auto"/>
              <w:right w:val="single" w:sz="4" w:space="0" w:color="auto"/>
            </w:tcBorders>
            <w:shd w:val="clear" w:color="auto" w:fill="auto"/>
            <w:vAlign w:val="center"/>
            <w:hideMark/>
          </w:tcPr>
          <w:p w14:paraId="3948688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MESTNA KNJIŽNICA PIRAN BIBLIOTECA CIVICA PIRANO</w:t>
            </w:r>
          </w:p>
        </w:tc>
      </w:tr>
      <w:tr w:rsidR="00E3750C" w:rsidRPr="00415AB3" w14:paraId="035AD70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5DE2A6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793</w:t>
            </w:r>
          </w:p>
        </w:tc>
        <w:tc>
          <w:tcPr>
            <w:tcW w:w="705" w:type="pct"/>
            <w:tcBorders>
              <w:top w:val="nil"/>
              <w:left w:val="nil"/>
              <w:bottom w:val="single" w:sz="4" w:space="0" w:color="auto"/>
              <w:right w:val="single" w:sz="4" w:space="0" w:color="auto"/>
            </w:tcBorders>
            <w:shd w:val="clear" w:color="auto" w:fill="auto"/>
            <w:noWrap/>
            <w:vAlign w:val="center"/>
            <w:hideMark/>
          </w:tcPr>
          <w:p w14:paraId="370E2C0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5021057000</w:t>
            </w:r>
          </w:p>
        </w:tc>
        <w:tc>
          <w:tcPr>
            <w:tcW w:w="547" w:type="pct"/>
            <w:tcBorders>
              <w:top w:val="nil"/>
              <w:left w:val="nil"/>
              <w:bottom w:val="single" w:sz="4" w:space="0" w:color="auto"/>
              <w:right w:val="single" w:sz="4" w:space="0" w:color="auto"/>
            </w:tcBorders>
            <w:shd w:val="clear" w:color="auto" w:fill="auto"/>
            <w:noWrap/>
            <w:vAlign w:val="center"/>
            <w:hideMark/>
          </w:tcPr>
          <w:p w14:paraId="35BCDF1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97226564</w:t>
            </w:r>
          </w:p>
        </w:tc>
        <w:tc>
          <w:tcPr>
            <w:tcW w:w="3360" w:type="pct"/>
            <w:tcBorders>
              <w:top w:val="nil"/>
              <w:left w:val="nil"/>
              <w:bottom w:val="single" w:sz="4" w:space="0" w:color="auto"/>
              <w:right w:val="single" w:sz="4" w:space="0" w:color="auto"/>
            </w:tcBorders>
            <w:shd w:val="clear" w:color="auto" w:fill="auto"/>
            <w:vAlign w:val="center"/>
            <w:hideMark/>
          </w:tcPr>
          <w:p w14:paraId="29C8470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MESTNA KRAJEVNA SKUPNOST ROGAŠKA SLATINA</w:t>
            </w:r>
          </w:p>
        </w:tc>
      </w:tr>
      <w:tr w:rsidR="00E3750C" w:rsidRPr="00415AB3" w14:paraId="1DBF631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EF7F37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794</w:t>
            </w:r>
          </w:p>
        </w:tc>
        <w:tc>
          <w:tcPr>
            <w:tcW w:w="705" w:type="pct"/>
            <w:tcBorders>
              <w:top w:val="nil"/>
              <w:left w:val="nil"/>
              <w:bottom w:val="single" w:sz="4" w:space="0" w:color="auto"/>
              <w:right w:val="single" w:sz="4" w:space="0" w:color="auto"/>
            </w:tcBorders>
            <w:shd w:val="clear" w:color="auto" w:fill="auto"/>
            <w:noWrap/>
            <w:vAlign w:val="center"/>
            <w:hideMark/>
          </w:tcPr>
          <w:p w14:paraId="1943365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5880360000</w:t>
            </w:r>
          </w:p>
        </w:tc>
        <w:tc>
          <w:tcPr>
            <w:tcW w:w="547" w:type="pct"/>
            <w:tcBorders>
              <w:top w:val="nil"/>
              <w:left w:val="nil"/>
              <w:bottom w:val="single" w:sz="4" w:space="0" w:color="auto"/>
              <w:right w:val="single" w:sz="4" w:space="0" w:color="auto"/>
            </w:tcBorders>
            <w:shd w:val="clear" w:color="auto" w:fill="auto"/>
            <w:noWrap/>
            <w:vAlign w:val="center"/>
            <w:hideMark/>
          </w:tcPr>
          <w:p w14:paraId="42880D2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56012390</w:t>
            </w:r>
          </w:p>
        </w:tc>
        <w:tc>
          <w:tcPr>
            <w:tcW w:w="3360" w:type="pct"/>
            <w:tcBorders>
              <w:top w:val="nil"/>
              <w:left w:val="nil"/>
              <w:bottom w:val="single" w:sz="4" w:space="0" w:color="auto"/>
              <w:right w:val="single" w:sz="4" w:space="0" w:color="auto"/>
            </w:tcBorders>
            <w:shd w:val="clear" w:color="auto" w:fill="auto"/>
            <w:vAlign w:val="center"/>
            <w:hideMark/>
          </w:tcPr>
          <w:p w14:paraId="786D8CC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MESTNA OBČINA CELJE</w:t>
            </w:r>
          </w:p>
        </w:tc>
      </w:tr>
      <w:tr w:rsidR="00E3750C" w:rsidRPr="00415AB3" w14:paraId="61AD787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248983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795</w:t>
            </w:r>
          </w:p>
        </w:tc>
        <w:tc>
          <w:tcPr>
            <w:tcW w:w="705" w:type="pct"/>
            <w:tcBorders>
              <w:top w:val="nil"/>
              <w:left w:val="nil"/>
              <w:bottom w:val="single" w:sz="4" w:space="0" w:color="auto"/>
              <w:right w:val="single" w:sz="4" w:space="0" w:color="auto"/>
            </w:tcBorders>
            <w:shd w:val="clear" w:color="auto" w:fill="auto"/>
            <w:noWrap/>
            <w:vAlign w:val="center"/>
            <w:hideMark/>
          </w:tcPr>
          <w:p w14:paraId="46040DF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5874424000</w:t>
            </w:r>
          </w:p>
        </w:tc>
        <w:tc>
          <w:tcPr>
            <w:tcW w:w="547" w:type="pct"/>
            <w:tcBorders>
              <w:top w:val="nil"/>
              <w:left w:val="nil"/>
              <w:bottom w:val="single" w:sz="4" w:space="0" w:color="auto"/>
              <w:right w:val="single" w:sz="4" w:space="0" w:color="auto"/>
            </w:tcBorders>
            <w:shd w:val="clear" w:color="auto" w:fill="auto"/>
            <w:noWrap/>
            <w:vAlign w:val="center"/>
            <w:hideMark/>
          </w:tcPr>
          <w:p w14:paraId="24984EA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40016803</w:t>
            </w:r>
          </w:p>
        </w:tc>
        <w:tc>
          <w:tcPr>
            <w:tcW w:w="3360" w:type="pct"/>
            <w:tcBorders>
              <w:top w:val="nil"/>
              <w:left w:val="nil"/>
              <w:bottom w:val="single" w:sz="4" w:space="0" w:color="auto"/>
              <w:right w:val="single" w:sz="4" w:space="0" w:color="auto"/>
            </w:tcBorders>
            <w:shd w:val="clear" w:color="auto" w:fill="auto"/>
            <w:vAlign w:val="center"/>
            <w:hideMark/>
          </w:tcPr>
          <w:p w14:paraId="020DACD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MESTNA OBČINA KOPER</w:t>
            </w:r>
          </w:p>
        </w:tc>
      </w:tr>
      <w:tr w:rsidR="00E3750C" w:rsidRPr="00415AB3" w14:paraId="15A74D7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6F379C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796</w:t>
            </w:r>
          </w:p>
        </w:tc>
        <w:tc>
          <w:tcPr>
            <w:tcW w:w="705" w:type="pct"/>
            <w:tcBorders>
              <w:top w:val="nil"/>
              <w:left w:val="nil"/>
              <w:bottom w:val="single" w:sz="4" w:space="0" w:color="auto"/>
              <w:right w:val="single" w:sz="4" w:space="0" w:color="auto"/>
            </w:tcBorders>
            <w:shd w:val="clear" w:color="auto" w:fill="auto"/>
            <w:noWrap/>
            <w:vAlign w:val="center"/>
            <w:hideMark/>
          </w:tcPr>
          <w:p w14:paraId="55946EA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5026997000</w:t>
            </w:r>
          </w:p>
        </w:tc>
        <w:tc>
          <w:tcPr>
            <w:tcW w:w="547" w:type="pct"/>
            <w:tcBorders>
              <w:top w:val="nil"/>
              <w:left w:val="nil"/>
              <w:bottom w:val="single" w:sz="4" w:space="0" w:color="auto"/>
              <w:right w:val="single" w:sz="4" w:space="0" w:color="auto"/>
            </w:tcBorders>
            <w:shd w:val="clear" w:color="auto" w:fill="auto"/>
            <w:noWrap/>
            <w:vAlign w:val="center"/>
            <w:hideMark/>
          </w:tcPr>
          <w:p w14:paraId="3A66244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78947235</w:t>
            </w:r>
          </w:p>
        </w:tc>
        <w:tc>
          <w:tcPr>
            <w:tcW w:w="3360" w:type="pct"/>
            <w:tcBorders>
              <w:top w:val="nil"/>
              <w:left w:val="nil"/>
              <w:bottom w:val="single" w:sz="4" w:space="0" w:color="auto"/>
              <w:right w:val="single" w:sz="4" w:space="0" w:color="auto"/>
            </w:tcBorders>
            <w:shd w:val="clear" w:color="auto" w:fill="auto"/>
            <w:vAlign w:val="center"/>
            <w:hideMark/>
          </w:tcPr>
          <w:p w14:paraId="7B8AC4A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MESTNA OBČINA KOPER KRAJEVNA SKUPNOST ŠKOFIJE</w:t>
            </w:r>
          </w:p>
        </w:tc>
      </w:tr>
      <w:tr w:rsidR="00E3750C" w:rsidRPr="00415AB3" w14:paraId="04ACE1A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E532EA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797</w:t>
            </w:r>
          </w:p>
        </w:tc>
        <w:tc>
          <w:tcPr>
            <w:tcW w:w="705" w:type="pct"/>
            <w:tcBorders>
              <w:top w:val="nil"/>
              <w:left w:val="nil"/>
              <w:bottom w:val="single" w:sz="4" w:space="0" w:color="auto"/>
              <w:right w:val="single" w:sz="4" w:space="0" w:color="auto"/>
            </w:tcBorders>
            <w:shd w:val="clear" w:color="auto" w:fill="auto"/>
            <w:noWrap/>
            <w:vAlign w:val="center"/>
            <w:hideMark/>
          </w:tcPr>
          <w:p w14:paraId="6832DDB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5874653000</w:t>
            </w:r>
          </w:p>
        </w:tc>
        <w:tc>
          <w:tcPr>
            <w:tcW w:w="547" w:type="pct"/>
            <w:tcBorders>
              <w:top w:val="nil"/>
              <w:left w:val="nil"/>
              <w:bottom w:val="single" w:sz="4" w:space="0" w:color="auto"/>
              <w:right w:val="single" w:sz="4" w:space="0" w:color="auto"/>
            </w:tcBorders>
            <w:shd w:val="clear" w:color="auto" w:fill="auto"/>
            <w:noWrap/>
            <w:vAlign w:val="center"/>
            <w:hideMark/>
          </w:tcPr>
          <w:p w14:paraId="0270B62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55789935</w:t>
            </w:r>
          </w:p>
        </w:tc>
        <w:tc>
          <w:tcPr>
            <w:tcW w:w="3360" w:type="pct"/>
            <w:tcBorders>
              <w:top w:val="nil"/>
              <w:left w:val="nil"/>
              <w:bottom w:val="single" w:sz="4" w:space="0" w:color="auto"/>
              <w:right w:val="single" w:sz="4" w:space="0" w:color="auto"/>
            </w:tcBorders>
            <w:shd w:val="clear" w:color="auto" w:fill="auto"/>
            <w:vAlign w:val="center"/>
            <w:hideMark/>
          </w:tcPr>
          <w:p w14:paraId="39080B7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MESTNA OBČINA KRANJ</w:t>
            </w:r>
          </w:p>
        </w:tc>
      </w:tr>
      <w:tr w:rsidR="00E3750C" w:rsidRPr="00415AB3" w14:paraId="6900699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758783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798</w:t>
            </w:r>
          </w:p>
        </w:tc>
        <w:tc>
          <w:tcPr>
            <w:tcW w:w="705" w:type="pct"/>
            <w:tcBorders>
              <w:top w:val="nil"/>
              <w:left w:val="nil"/>
              <w:bottom w:val="single" w:sz="4" w:space="0" w:color="auto"/>
              <w:right w:val="single" w:sz="4" w:space="0" w:color="auto"/>
            </w:tcBorders>
            <w:shd w:val="clear" w:color="auto" w:fill="auto"/>
            <w:noWrap/>
            <w:vAlign w:val="center"/>
            <w:hideMark/>
          </w:tcPr>
          <w:p w14:paraId="1809901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5874572000</w:t>
            </w:r>
          </w:p>
        </w:tc>
        <w:tc>
          <w:tcPr>
            <w:tcW w:w="547" w:type="pct"/>
            <w:tcBorders>
              <w:top w:val="nil"/>
              <w:left w:val="nil"/>
              <w:bottom w:val="single" w:sz="4" w:space="0" w:color="auto"/>
              <w:right w:val="single" w:sz="4" w:space="0" w:color="auto"/>
            </w:tcBorders>
            <w:shd w:val="clear" w:color="auto" w:fill="auto"/>
            <w:noWrap/>
            <w:vAlign w:val="center"/>
            <w:hideMark/>
          </w:tcPr>
          <w:p w14:paraId="41E939E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18845673</w:t>
            </w:r>
          </w:p>
        </w:tc>
        <w:tc>
          <w:tcPr>
            <w:tcW w:w="3360" w:type="pct"/>
            <w:tcBorders>
              <w:top w:val="nil"/>
              <w:left w:val="nil"/>
              <w:bottom w:val="single" w:sz="4" w:space="0" w:color="auto"/>
              <w:right w:val="single" w:sz="4" w:space="0" w:color="auto"/>
            </w:tcBorders>
            <w:shd w:val="clear" w:color="auto" w:fill="auto"/>
            <w:vAlign w:val="center"/>
            <w:hideMark/>
          </w:tcPr>
          <w:p w14:paraId="2B5EA58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MESTNA OBČINA KRŠKO</w:t>
            </w:r>
          </w:p>
        </w:tc>
      </w:tr>
      <w:tr w:rsidR="00E3750C" w:rsidRPr="00415AB3" w14:paraId="43F7306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FDF4E8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799</w:t>
            </w:r>
          </w:p>
        </w:tc>
        <w:tc>
          <w:tcPr>
            <w:tcW w:w="705" w:type="pct"/>
            <w:tcBorders>
              <w:top w:val="nil"/>
              <w:left w:val="nil"/>
              <w:bottom w:val="single" w:sz="4" w:space="0" w:color="auto"/>
              <w:right w:val="single" w:sz="4" w:space="0" w:color="auto"/>
            </w:tcBorders>
            <w:shd w:val="clear" w:color="auto" w:fill="auto"/>
            <w:noWrap/>
            <w:vAlign w:val="center"/>
            <w:hideMark/>
          </w:tcPr>
          <w:p w14:paraId="44D52D6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5874025000</w:t>
            </w:r>
          </w:p>
        </w:tc>
        <w:tc>
          <w:tcPr>
            <w:tcW w:w="547" w:type="pct"/>
            <w:tcBorders>
              <w:top w:val="nil"/>
              <w:left w:val="nil"/>
              <w:bottom w:val="single" w:sz="4" w:space="0" w:color="auto"/>
              <w:right w:val="single" w:sz="4" w:space="0" w:color="auto"/>
            </w:tcBorders>
            <w:shd w:val="clear" w:color="auto" w:fill="auto"/>
            <w:noWrap/>
            <w:vAlign w:val="center"/>
            <w:hideMark/>
          </w:tcPr>
          <w:p w14:paraId="413B620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67593321</w:t>
            </w:r>
          </w:p>
        </w:tc>
        <w:tc>
          <w:tcPr>
            <w:tcW w:w="3360" w:type="pct"/>
            <w:tcBorders>
              <w:top w:val="nil"/>
              <w:left w:val="nil"/>
              <w:bottom w:val="single" w:sz="4" w:space="0" w:color="auto"/>
              <w:right w:val="single" w:sz="4" w:space="0" w:color="auto"/>
            </w:tcBorders>
            <w:shd w:val="clear" w:color="auto" w:fill="auto"/>
            <w:vAlign w:val="center"/>
            <w:hideMark/>
          </w:tcPr>
          <w:p w14:paraId="1E2D1E7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MESTNA OBČINA LJUBLJANA</w:t>
            </w:r>
          </w:p>
        </w:tc>
      </w:tr>
      <w:tr w:rsidR="00E3750C" w:rsidRPr="00415AB3" w14:paraId="62F9CB8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D08791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800</w:t>
            </w:r>
          </w:p>
        </w:tc>
        <w:tc>
          <w:tcPr>
            <w:tcW w:w="705" w:type="pct"/>
            <w:tcBorders>
              <w:top w:val="nil"/>
              <w:left w:val="nil"/>
              <w:bottom w:val="single" w:sz="4" w:space="0" w:color="auto"/>
              <w:right w:val="single" w:sz="4" w:space="0" w:color="auto"/>
            </w:tcBorders>
            <w:shd w:val="clear" w:color="auto" w:fill="auto"/>
            <w:noWrap/>
            <w:vAlign w:val="center"/>
            <w:hideMark/>
          </w:tcPr>
          <w:p w14:paraId="491B595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5883369000</w:t>
            </w:r>
          </w:p>
        </w:tc>
        <w:tc>
          <w:tcPr>
            <w:tcW w:w="547" w:type="pct"/>
            <w:tcBorders>
              <w:top w:val="nil"/>
              <w:left w:val="nil"/>
              <w:bottom w:val="single" w:sz="4" w:space="0" w:color="auto"/>
              <w:right w:val="single" w:sz="4" w:space="0" w:color="auto"/>
            </w:tcBorders>
            <w:shd w:val="clear" w:color="auto" w:fill="auto"/>
            <w:noWrap/>
            <w:vAlign w:val="center"/>
            <w:hideMark/>
          </w:tcPr>
          <w:p w14:paraId="393FA97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12709590</w:t>
            </w:r>
          </w:p>
        </w:tc>
        <w:tc>
          <w:tcPr>
            <w:tcW w:w="3360" w:type="pct"/>
            <w:tcBorders>
              <w:top w:val="nil"/>
              <w:left w:val="nil"/>
              <w:bottom w:val="single" w:sz="4" w:space="0" w:color="auto"/>
              <w:right w:val="single" w:sz="4" w:space="0" w:color="auto"/>
            </w:tcBorders>
            <w:shd w:val="clear" w:color="auto" w:fill="auto"/>
            <w:vAlign w:val="center"/>
            <w:hideMark/>
          </w:tcPr>
          <w:p w14:paraId="5A53FC1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MESTNA OBČINA MARIBOR</w:t>
            </w:r>
          </w:p>
        </w:tc>
      </w:tr>
      <w:tr w:rsidR="00E3750C" w:rsidRPr="00415AB3" w14:paraId="31E19CC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400D79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801</w:t>
            </w:r>
          </w:p>
        </w:tc>
        <w:tc>
          <w:tcPr>
            <w:tcW w:w="705" w:type="pct"/>
            <w:tcBorders>
              <w:top w:val="nil"/>
              <w:left w:val="nil"/>
              <w:bottom w:val="single" w:sz="4" w:space="0" w:color="auto"/>
              <w:right w:val="single" w:sz="4" w:space="0" w:color="auto"/>
            </w:tcBorders>
            <w:shd w:val="clear" w:color="auto" w:fill="auto"/>
            <w:noWrap/>
            <w:vAlign w:val="center"/>
            <w:hideMark/>
          </w:tcPr>
          <w:p w14:paraId="4F5BEA3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5883172000</w:t>
            </w:r>
          </w:p>
        </w:tc>
        <w:tc>
          <w:tcPr>
            <w:tcW w:w="547" w:type="pct"/>
            <w:tcBorders>
              <w:top w:val="nil"/>
              <w:left w:val="nil"/>
              <w:bottom w:val="single" w:sz="4" w:space="0" w:color="auto"/>
              <w:right w:val="single" w:sz="4" w:space="0" w:color="auto"/>
            </w:tcBorders>
            <w:shd w:val="clear" w:color="auto" w:fill="auto"/>
            <w:noWrap/>
            <w:vAlign w:val="center"/>
            <w:hideMark/>
          </w:tcPr>
          <w:p w14:paraId="14350D7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32339828</w:t>
            </w:r>
          </w:p>
        </w:tc>
        <w:tc>
          <w:tcPr>
            <w:tcW w:w="3360" w:type="pct"/>
            <w:tcBorders>
              <w:top w:val="nil"/>
              <w:left w:val="nil"/>
              <w:bottom w:val="single" w:sz="4" w:space="0" w:color="auto"/>
              <w:right w:val="single" w:sz="4" w:space="0" w:color="auto"/>
            </w:tcBorders>
            <w:shd w:val="clear" w:color="auto" w:fill="auto"/>
            <w:vAlign w:val="center"/>
            <w:hideMark/>
          </w:tcPr>
          <w:p w14:paraId="5252144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MESTNA OBČINA MURSKA SOBOTA</w:t>
            </w:r>
          </w:p>
        </w:tc>
      </w:tr>
      <w:tr w:rsidR="00E3750C" w:rsidRPr="00415AB3" w14:paraId="0F28A55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7491B3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802</w:t>
            </w:r>
          </w:p>
        </w:tc>
        <w:tc>
          <w:tcPr>
            <w:tcW w:w="705" w:type="pct"/>
            <w:tcBorders>
              <w:top w:val="nil"/>
              <w:left w:val="nil"/>
              <w:bottom w:val="single" w:sz="4" w:space="0" w:color="auto"/>
              <w:right w:val="single" w:sz="4" w:space="0" w:color="auto"/>
            </w:tcBorders>
            <w:shd w:val="clear" w:color="auto" w:fill="auto"/>
            <w:noWrap/>
            <w:vAlign w:val="center"/>
            <w:hideMark/>
          </w:tcPr>
          <w:p w14:paraId="0AA7114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5881773000</w:t>
            </w:r>
          </w:p>
        </w:tc>
        <w:tc>
          <w:tcPr>
            <w:tcW w:w="547" w:type="pct"/>
            <w:tcBorders>
              <w:top w:val="nil"/>
              <w:left w:val="nil"/>
              <w:bottom w:val="single" w:sz="4" w:space="0" w:color="auto"/>
              <w:right w:val="single" w:sz="4" w:space="0" w:color="auto"/>
            </w:tcBorders>
            <w:shd w:val="clear" w:color="auto" w:fill="auto"/>
            <w:noWrap/>
            <w:vAlign w:val="center"/>
            <w:hideMark/>
          </w:tcPr>
          <w:p w14:paraId="464DF4D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53055730</w:t>
            </w:r>
          </w:p>
        </w:tc>
        <w:tc>
          <w:tcPr>
            <w:tcW w:w="3360" w:type="pct"/>
            <w:tcBorders>
              <w:top w:val="nil"/>
              <w:left w:val="nil"/>
              <w:bottom w:val="single" w:sz="4" w:space="0" w:color="auto"/>
              <w:right w:val="single" w:sz="4" w:space="0" w:color="auto"/>
            </w:tcBorders>
            <w:shd w:val="clear" w:color="auto" w:fill="auto"/>
            <w:vAlign w:val="center"/>
            <w:hideMark/>
          </w:tcPr>
          <w:p w14:paraId="37B7544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MESTNA OBČINA NOVA GORICA</w:t>
            </w:r>
          </w:p>
        </w:tc>
      </w:tr>
      <w:tr w:rsidR="00E3750C" w:rsidRPr="00415AB3" w14:paraId="557F733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55B14D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803</w:t>
            </w:r>
          </w:p>
        </w:tc>
        <w:tc>
          <w:tcPr>
            <w:tcW w:w="705" w:type="pct"/>
            <w:tcBorders>
              <w:top w:val="nil"/>
              <w:left w:val="nil"/>
              <w:bottom w:val="single" w:sz="4" w:space="0" w:color="auto"/>
              <w:right w:val="single" w:sz="4" w:space="0" w:color="auto"/>
            </w:tcBorders>
            <w:shd w:val="clear" w:color="auto" w:fill="auto"/>
            <w:noWrap/>
            <w:vAlign w:val="center"/>
            <w:hideMark/>
          </w:tcPr>
          <w:p w14:paraId="323BD5C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5883288000</w:t>
            </w:r>
          </w:p>
        </w:tc>
        <w:tc>
          <w:tcPr>
            <w:tcW w:w="547" w:type="pct"/>
            <w:tcBorders>
              <w:top w:val="nil"/>
              <w:left w:val="nil"/>
              <w:bottom w:val="single" w:sz="4" w:space="0" w:color="auto"/>
              <w:right w:val="single" w:sz="4" w:space="0" w:color="auto"/>
            </w:tcBorders>
            <w:shd w:val="clear" w:color="auto" w:fill="auto"/>
            <w:noWrap/>
            <w:vAlign w:val="center"/>
            <w:hideMark/>
          </w:tcPr>
          <w:p w14:paraId="3C84D9F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48768111</w:t>
            </w:r>
          </w:p>
        </w:tc>
        <w:tc>
          <w:tcPr>
            <w:tcW w:w="3360" w:type="pct"/>
            <w:tcBorders>
              <w:top w:val="nil"/>
              <w:left w:val="nil"/>
              <w:bottom w:val="single" w:sz="4" w:space="0" w:color="auto"/>
              <w:right w:val="single" w:sz="4" w:space="0" w:color="auto"/>
            </w:tcBorders>
            <w:shd w:val="clear" w:color="auto" w:fill="auto"/>
            <w:vAlign w:val="center"/>
            <w:hideMark/>
          </w:tcPr>
          <w:p w14:paraId="4FAA5B5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MESTNA OBČINA NOVO MESTO</w:t>
            </w:r>
          </w:p>
        </w:tc>
      </w:tr>
      <w:tr w:rsidR="00E3750C" w:rsidRPr="00415AB3" w14:paraId="201564B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57512C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804</w:t>
            </w:r>
          </w:p>
        </w:tc>
        <w:tc>
          <w:tcPr>
            <w:tcW w:w="705" w:type="pct"/>
            <w:tcBorders>
              <w:top w:val="nil"/>
              <w:left w:val="nil"/>
              <w:bottom w:val="single" w:sz="4" w:space="0" w:color="auto"/>
              <w:right w:val="single" w:sz="4" w:space="0" w:color="auto"/>
            </w:tcBorders>
            <w:shd w:val="clear" w:color="auto" w:fill="auto"/>
            <w:noWrap/>
            <w:vAlign w:val="center"/>
            <w:hideMark/>
          </w:tcPr>
          <w:p w14:paraId="475E1C6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5883598000</w:t>
            </w:r>
          </w:p>
        </w:tc>
        <w:tc>
          <w:tcPr>
            <w:tcW w:w="547" w:type="pct"/>
            <w:tcBorders>
              <w:top w:val="nil"/>
              <w:left w:val="nil"/>
              <w:bottom w:val="single" w:sz="4" w:space="0" w:color="auto"/>
              <w:right w:val="single" w:sz="4" w:space="0" w:color="auto"/>
            </w:tcBorders>
            <w:shd w:val="clear" w:color="auto" w:fill="auto"/>
            <w:noWrap/>
            <w:vAlign w:val="center"/>
            <w:hideMark/>
          </w:tcPr>
          <w:p w14:paraId="0075946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85675237</w:t>
            </w:r>
          </w:p>
        </w:tc>
        <w:tc>
          <w:tcPr>
            <w:tcW w:w="3360" w:type="pct"/>
            <w:tcBorders>
              <w:top w:val="nil"/>
              <w:left w:val="nil"/>
              <w:bottom w:val="single" w:sz="4" w:space="0" w:color="auto"/>
              <w:right w:val="single" w:sz="4" w:space="0" w:color="auto"/>
            </w:tcBorders>
            <w:shd w:val="clear" w:color="auto" w:fill="auto"/>
            <w:vAlign w:val="center"/>
            <w:hideMark/>
          </w:tcPr>
          <w:p w14:paraId="39CA471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MESTNA OBČINA PTUJ</w:t>
            </w:r>
          </w:p>
        </w:tc>
      </w:tr>
      <w:tr w:rsidR="00E3750C" w:rsidRPr="00415AB3" w14:paraId="0F72529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FC5AA5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805</w:t>
            </w:r>
          </w:p>
        </w:tc>
        <w:tc>
          <w:tcPr>
            <w:tcW w:w="705" w:type="pct"/>
            <w:tcBorders>
              <w:top w:val="nil"/>
              <w:left w:val="nil"/>
              <w:bottom w:val="single" w:sz="4" w:space="0" w:color="auto"/>
              <w:right w:val="single" w:sz="4" w:space="0" w:color="auto"/>
            </w:tcBorders>
            <w:shd w:val="clear" w:color="auto" w:fill="auto"/>
            <w:noWrap/>
            <w:vAlign w:val="center"/>
            <w:hideMark/>
          </w:tcPr>
          <w:p w14:paraId="0D2531C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5883903000</w:t>
            </w:r>
          </w:p>
        </w:tc>
        <w:tc>
          <w:tcPr>
            <w:tcW w:w="547" w:type="pct"/>
            <w:tcBorders>
              <w:top w:val="nil"/>
              <w:left w:val="nil"/>
              <w:bottom w:val="single" w:sz="4" w:space="0" w:color="auto"/>
              <w:right w:val="single" w:sz="4" w:space="0" w:color="auto"/>
            </w:tcBorders>
            <w:shd w:val="clear" w:color="auto" w:fill="auto"/>
            <w:noWrap/>
            <w:vAlign w:val="center"/>
            <w:hideMark/>
          </w:tcPr>
          <w:p w14:paraId="66F3C5D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92076912</w:t>
            </w:r>
          </w:p>
        </w:tc>
        <w:tc>
          <w:tcPr>
            <w:tcW w:w="3360" w:type="pct"/>
            <w:tcBorders>
              <w:top w:val="nil"/>
              <w:left w:val="nil"/>
              <w:bottom w:val="single" w:sz="4" w:space="0" w:color="auto"/>
              <w:right w:val="single" w:sz="4" w:space="0" w:color="auto"/>
            </w:tcBorders>
            <w:shd w:val="clear" w:color="auto" w:fill="auto"/>
            <w:vAlign w:val="center"/>
            <w:hideMark/>
          </w:tcPr>
          <w:p w14:paraId="30FA5A9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MESTNA OBČINA SLOVENJ GRADEC</w:t>
            </w:r>
          </w:p>
        </w:tc>
      </w:tr>
      <w:tr w:rsidR="00E3750C" w:rsidRPr="00415AB3" w14:paraId="2FFE4C7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FD7F8E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806</w:t>
            </w:r>
          </w:p>
        </w:tc>
        <w:tc>
          <w:tcPr>
            <w:tcW w:w="705" w:type="pct"/>
            <w:tcBorders>
              <w:top w:val="nil"/>
              <w:left w:val="nil"/>
              <w:bottom w:val="single" w:sz="4" w:space="0" w:color="auto"/>
              <w:right w:val="single" w:sz="4" w:space="0" w:color="auto"/>
            </w:tcBorders>
            <w:shd w:val="clear" w:color="auto" w:fill="auto"/>
            <w:noWrap/>
            <w:vAlign w:val="center"/>
            <w:hideMark/>
          </w:tcPr>
          <w:p w14:paraId="0B745B5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5884268000</w:t>
            </w:r>
          </w:p>
        </w:tc>
        <w:tc>
          <w:tcPr>
            <w:tcW w:w="547" w:type="pct"/>
            <w:tcBorders>
              <w:top w:val="nil"/>
              <w:left w:val="nil"/>
              <w:bottom w:val="single" w:sz="4" w:space="0" w:color="auto"/>
              <w:right w:val="single" w:sz="4" w:space="0" w:color="auto"/>
            </w:tcBorders>
            <w:shd w:val="clear" w:color="auto" w:fill="auto"/>
            <w:noWrap/>
            <w:vAlign w:val="center"/>
            <w:hideMark/>
          </w:tcPr>
          <w:p w14:paraId="09DFB1A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49082884</w:t>
            </w:r>
          </w:p>
        </w:tc>
        <w:tc>
          <w:tcPr>
            <w:tcW w:w="3360" w:type="pct"/>
            <w:tcBorders>
              <w:top w:val="nil"/>
              <w:left w:val="nil"/>
              <w:bottom w:val="single" w:sz="4" w:space="0" w:color="auto"/>
              <w:right w:val="single" w:sz="4" w:space="0" w:color="auto"/>
            </w:tcBorders>
            <w:shd w:val="clear" w:color="auto" w:fill="auto"/>
            <w:vAlign w:val="center"/>
            <w:hideMark/>
          </w:tcPr>
          <w:p w14:paraId="65B01AB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MESTNA OBČINA VELENJE</w:t>
            </w:r>
          </w:p>
        </w:tc>
      </w:tr>
      <w:tr w:rsidR="00E3750C" w:rsidRPr="00415AB3" w14:paraId="561282F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9C7D3C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807</w:t>
            </w:r>
          </w:p>
        </w:tc>
        <w:tc>
          <w:tcPr>
            <w:tcW w:w="705" w:type="pct"/>
            <w:tcBorders>
              <w:top w:val="nil"/>
              <w:left w:val="nil"/>
              <w:bottom w:val="single" w:sz="4" w:space="0" w:color="auto"/>
              <w:right w:val="single" w:sz="4" w:space="0" w:color="auto"/>
            </w:tcBorders>
            <w:shd w:val="clear" w:color="auto" w:fill="auto"/>
            <w:noWrap/>
            <w:vAlign w:val="center"/>
            <w:hideMark/>
          </w:tcPr>
          <w:p w14:paraId="1214911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5021766000</w:t>
            </w:r>
          </w:p>
        </w:tc>
        <w:tc>
          <w:tcPr>
            <w:tcW w:w="547" w:type="pct"/>
            <w:tcBorders>
              <w:top w:val="nil"/>
              <w:left w:val="nil"/>
              <w:bottom w:val="single" w:sz="4" w:space="0" w:color="auto"/>
              <w:right w:val="single" w:sz="4" w:space="0" w:color="auto"/>
            </w:tcBorders>
            <w:shd w:val="clear" w:color="auto" w:fill="auto"/>
            <w:noWrap/>
            <w:vAlign w:val="center"/>
            <w:hideMark/>
          </w:tcPr>
          <w:p w14:paraId="3A0F461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64636313</w:t>
            </w:r>
          </w:p>
        </w:tc>
        <w:tc>
          <w:tcPr>
            <w:tcW w:w="3360" w:type="pct"/>
            <w:tcBorders>
              <w:top w:val="nil"/>
              <w:left w:val="nil"/>
              <w:bottom w:val="single" w:sz="4" w:space="0" w:color="auto"/>
              <w:right w:val="single" w:sz="4" w:space="0" w:color="auto"/>
            </w:tcBorders>
            <w:shd w:val="clear" w:color="auto" w:fill="auto"/>
            <w:vAlign w:val="center"/>
            <w:hideMark/>
          </w:tcPr>
          <w:p w14:paraId="7700002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MESTNA SKUPNOST ŠENTJUR</w:t>
            </w:r>
          </w:p>
        </w:tc>
      </w:tr>
      <w:tr w:rsidR="00E3750C" w:rsidRPr="00415AB3" w14:paraId="3284EEFB"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F3699B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808</w:t>
            </w:r>
          </w:p>
        </w:tc>
        <w:tc>
          <w:tcPr>
            <w:tcW w:w="705" w:type="pct"/>
            <w:tcBorders>
              <w:top w:val="nil"/>
              <w:left w:val="nil"/>
              <w:bottom w:val="single" w:sz="4" w:space="0" w:color="auto"/>
              <w:right w:val="single" w:sz="4" w:space="0" w:color="auto"/>
            </w:tcBorders>
            <w:shd w:val="clear" w:color="auto" w:fill="auto"/>
            <w:noWrap/>
            <w:vAlign w:val="center"/>
            <w:hideMark/>
          </w:tcPr>
          <w:p w14:paraId="0CB2E6F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1580515000</w:t>
            </w:r>
          </w:p>
        </w:tc>
        <w:tc>
          <w:tcPr>
            <w:tcW w:w="547" w:type="pct"/>
            <w:tcBorders>
              <w:top w:val="nil"/>
              <w:left w:val="nil"/>
              <w:bottom w:val="single" w:sz="4" w:space="0" w:color="auto"/>
              <w:right w:val="single" w:sz="4" w:space="0" w:color="auto"/>
            </w:tcBorders>
            <w:shd w:val="clear" w:color="auto" w:fill="auto"/>
            <w:noWrap/>
            <w:vAlign w:val="center"/>
            <w:hideMark/>
          </w:tcPr>
          <w:p w14:paraId="4653F03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69962529</w:t>
            </w:r>
          </w:p>
        </w:tc>
        <w:tc>
          <w:tcPr>
            <w:tcW w:w="3360" w:type="pct"/>
            <w:tcBorders>
              <w:top w:val="nil"/>
              <w:left w:val="nil"/>
              <w:bottom w:val="single" w:sz="4" w:space="0" w:color="auto"/>
              <w:right w:val="single" w:sz="4" w:space="0" w:color="auto"/>
            </w:tcBorders>
            <w:shd w:val="clear" w:color="auto" w:fill="auto"/>
            <w:vAlign w:val="center"/>
            <w:hideMark/>
          </w:tcPr>
          <w:p w14:paraId="1D326CC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MESTNE STORITVE, JAVNO PODJETJE ZA UREJANJE MESTA, D.O.O., NOVA GORICA</w:t>
            </w:r>
          </w:p>
        </w:tc>
      </w:tr>
      <w:tr w:rsidR="00E3750C" w:rsidRPr="00415AB3" w14:paraId="025BA85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0D0EC5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809</w:t>
            </w:r>
          </w:p>
        </w:tc>
        <w:tc>
          <w:tcPr>
            <w:tcW w:w="705" w:type="pct"/>
            <w:tcBorders>
              <w:top w:val="nil"/>
              <w:left w:val="nil"/>
              <w:bottom w:val="single" w:sz="4" w:space="0" w:color="auto"/>
              <w:right w:val="single" w:sz="4" w:space="0" w:color="auto"/>
            </w:tcBorders>
            <w:shd w:val="clear" w:color="auto" w:fill="auto"/>
            <w:noWrap/>
            <w:vAlign w:val="center"/>
            <w:hideMark/>
          </w:tcPr>
          <w:p w14:paraId="5A07F20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5053161000</w:t>
            </w:r>
          </w:p>
        </w:tc>
        <w:tc>
          <w:tcPr>
            <w:tcW w:w="547" w:type="pct"/>
            <w:tcBorders>
              <w:top w:val="nil"/>
              <w:left w:val="nil"/>
              <w:bottom w:val="single" w:sz="4" w:space="0" w:color="auto"/>
              <w:right w:val="single" w:sz="4" w:space="0" w:color="auto"/>
            </w:tcBorders>
            <w:shd w:val="clear" w:color="auto" w:fill="auto"/>
            <w:noWrap/>
            <w:vAlign w:val="center"/>
            <w:hideMark/>
          </w:tcPr>
          <w:p w14:paraId="7DDC5B9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77805526</w:t>
            </w:r>
          </w:p>
        </w:tc>
        <w:tc>
          <w:tcPr>
            <w:tcW w:w="3360" w:type="pct"/>
            <w:tcBorders>
              <w:top w:val="nil"/>
              <w:left w:val="nil"/>
              <w:bottom w:val="single" w:sz="4" w:space="0" w:color="auto"/>
              <w:right w:val="single" w:sz="4" w:space="0" w:color="auto"/>
            </w:tcBorders>
            <w:shd w:val="clear" w:color="auto" w:fill="auto"/>
            <w:vAlign w:val="center"/>
            <w:hideMark/>
          </w:tcPr>
          <w:p w14:paraId="09B1BAE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MESTNO GLEDALIŠČE LJUBLJANSKO</w:t>
            </w:r>
          </w:p>
        </w:tc>
      </w:tr>
      <w:tr w:rsidR="00E3750C" w:rsidRPr="00415AB3" w14:paraId="1EBCAFAB"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156514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810</w:t>
            </w:r>
          </w:p>
        </w:tc>
        <w:tc>
          <w:tcPr>
            <w:tcW w:w="705" w:type="pct"/>
            <w:tcBorders>
              <w:top w:val="nil"/>
              <w:left w:val="nil"/>
              <w:bottom w:val="single" w:sz="4" w:space="0" w:color="auto"/>
              <w:right w:val="single" w:sz="4" w:space="0" w:color="auto"/>
            </w:tcBorders>
            <w:shd w:val="clear" w:color="auto" w:fill="auto"/>
            <w:noWrap/>
            <w:vAlign w:val="center"/>
            <w:hideMark/>
          </w:tcPr>
          <w:p w14:paraId="3778B65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1190393000</w:t>
            </w:r>
          </w:p>
        </w:tc>
        <w:tc>
          <w:tcPr>
            <w:tcW w:w="547" w:type="pct"/>
            <w:tcBorders>
              <w:top w:val="nil"/>
              <w:left w:val="nil"/>
              <w:bottom w:val="single" w:sz="4" w:space="0" w:color="auto"/>
              <w:right w:val="single" w:sz="4" w:space="0" w:color="auto"/>
            </w:tcBorders>
            <w:shd w:val="clear" w:color="auto" w:fill="auto"/>
            <w:noWrap/>
            <w:vAlign w:val="center"/>
            <w:hideMark/>
          </w:tcPr>
          <w:p w14:paraId="2CF7CBC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79524575</w:t>
            </w:r>
          </w:p>
        </w:tc>
        <w:tc>
          <w:tcPr>
            <w:tcW w:w="3360" w:type="pct"/>
            <w:tcBorders>
              <w:top w:val="nil"/>
              <w:left w:val="nil"/>
              <w:bottom w:val="single" w:sz="4" w:space="0" w:color="auto"/>
              <w:right w:val="single" w:sz="4" w:space="0" w:color="auto"/>
            </w:tcBorders>
            <w:shd w:val="clear" w:color="auto" w:fill="auto"/>
            <w:vAlign w:val="center"/>
            <w:hideMark/>
          </w:tcPr>
          <w:p w14:paraId="395220A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MINISTRSTVO ZA DELO, DRUŽINO, SOCIALNE ZADEVE IN ENAKE MOŽNOSTI INŠPEKTORAT REPUBLIKE SLOVENIJE ZA DELO</w:t>
            </w:r>
          </w:p>
        </w:tc>
      </w:tr>
      <w:tr w:rsidR="00E3750C" w:rsidRPr="00415AB3" w14:paraId="1DE2D4D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7AC01A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811</w:t>
            </w:r>
          </w:p>
        </w:tc>
        <w:tc>
          <w:tcPr>
            <w:tcW w:w="705" w:type="pct"/>
            <w:tcBorders>
              <w:top w:val="nil"/>
              <w:left w:val="nil"/>
              <w:bottom w:val="single" w:sz="4" w:space="0" w:color="auto"/>
              <w:right w:val="single" w:sz="4" w:space="0" w:color="auto"/>
            </w:tcBorders>
            <w:shd w:val="clear" w:color="auto" w:fill="auto"/>
            <w:noWrap/>
            <w:vAlign w:val="center"/>
            <w:hideMark/>
          </w:tcPr>
          <w:p w14:paraId="2CC7FE9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5028256000</w:t>
            </w:r>
          </w:p>
        </w:tc>
        <w:tc>
          <w:tcPr>
            <w:tcW w:w="547" w:type="pct"/>
            <w:tcBorders>
              <w:top w:val="nil"/>
              <w:left w:val="nil"/>
              <w:bottom w:val="single" w:sz="4" w:space="0" w:color="auto"/>
              <w:right w:val="single" w:sz="4" w:space="0" w:color="auto"/>
            </w:tcBorders>
            <w:shd w:val="clear" w:color="auto" w:fill="auto"/>
            <w:noWrap/>
            <w:vAlign w:val="center"/>
            <w:hideMark/>
          </w:tcPr>
          <w:p w14:paraId="0F7DE28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23348887</w:t>
            </w:r>
          </w:p>
        </w:tc>
        <w:tc>
          <w:tcPr>
            <w:tcW w:w="3360" w:type="pct"/>
            <w:tcBorders>
              <w:top w:val="nil"/>
              <w:left w:val="nil"/>
              <w:bottom w:val="single" w:sz="4" w:space="0" w:color="auto"/>
              <w:right w:val="single" w:sz="4" w:space="0" w:color="auto"/>
            </w:tcBorders>
            <w:shd w:val="clear" w:color="auto" w:fill="auto"/>
            <w:vAlign w:val="center"/>
            <w:hideMark/>
          </w:tcPr>
          <w:p w14:paraId="6B685DC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MINISTRSTVO ZA FINANCE</w:t>
            </w:r>
          </w:p>
        </w:tc>
      </w:tr>
      <w:tr w:rsidR="00E3750C" w:rsidRPr="00415AB3" w14:paraId="3B3F1D02"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20B25E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812</w:t>
            </w:r>
          </w:p>
        </w:tc>
        <w:tc>
          <w:tcPr>
            <w:tcW w:w="705" w:type="pct"/>
            <w:tcBorders>
              <w:top w:val="nil"/>
              <w:left w:val="nil"/>
              <w:bottom w:val="single" w:sz="4" w:space="0" w:color="auto"/>
              <w:right w:val="single" w:sz="4" w:space="0" w:color="auto"/>
            </w:tcBorders>
            <w:shd w:val="clear" w:color="auto" w:fill="auto"/>
            <w:noWrap/>
            <w:vAlign w:val="center"/>
            <w:hideMark/>
          </w:tcPr>
          <w:p w14:paraId="20B8D4F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2482711000</w:t>
            </w:r>
          </w:p>
        </w:tc>
        <w:tc>
          <w:tcPr>
            <w:tcW w:w="547" w:type="pct"/>
            <w:tcBorders>
              <w:top w:val="nil"/>
              <w:left w:val="nil"/>
              <w:bottom w:val="single" w:sz="4" w:space="0" w:color="auto"/>
              <w:right w:val="single" w:sz="4" w:space="0" w:color="auto"/>
            </w:tcBorders>
            <w:shd w:val="clear" w:color="auto" w:fill="auto"/>
            <w:noWrap/>
            <w:vAlign w:val="center"/>
            <w:hideMark/>
          </w:tcPr>
          <w:p w14:paraId="6DCE283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77695771</w:t>
            </w:r>
          </w:p>
        </w:tc>
        <w:tc>
          <w:tcPr>
            <w:tcW w:w="3360" w:type="pct"/>
            <w:tcBorders>
              <w:top w:val="nil"/>
              <w:left w:val="nil"/>
              <w:bottom w:val="single" w:sz="4" w:space="0" w:color="auto"/>
              <w:right w:val="single" w:sz="4" w:space="0" w:color="auto"/>
            </w:tcBorders>
            <w:shd w:val="clear" w:color="auto" w:fill="auto"/>
            <w:vAlign w:val="center"/>
            <w:hideMark/>
          </w:tcPr>
          <w:p w14:paraId="18E8EFA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MINISTRSTVO ZA FINANCE FINANČNA UPRAVA REPUBLIKE SLOVENIJE</w:t>
            </w:r>
          </w:p>
        </w:tc>
      </w:tr>
      <w:tr w:rsidR="00E3750C" w:rsidRPr="00415AB3" w14:paraId="674E0283"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F489DC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813</w:t>
            </w:r>
          </w:p>
        </w:tc>
        <w:tc>
          <w:tcPr>
            <w:tcW w:w="705" w:type="pct"/>
            <w:tcBorders>
              <w:top w:val="nil"/>
              <w:left w:val="nil"/>
              <w:bottom w:val="single" w:sz="4" w:space="0" w:color="auto"/>
              <w:right w:val="single" w:sz="4" w:space="0" w:color="auto"/>
            </w:tcBorders>
            <w:shd w:val="clear" w:color="auto" w:fill="auto"/>
            <w:noWrap/>
            <w:vAlign w:val="center"/>
            <w:hideMark/>
          </w:tcPr>
          <w:p w14:paraId="1FDADE0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5816947000</w:t>
            </w:r>
          </w:p>
        </w:tc>
        <w:tc>
          <w:tcPr>
            <w:tcW w:w="547" w:type="pct"/>
            <w:tcBorders>
              <w:top w:val="nil"/>
              <w:left w:val="nil"/>
              <w:bottom w:val="single" w:sz="4" w:space="0" w:color="auto"/>
              <w:right w:val="single" w:sz="4" w:space="0" w:color="auto"/>
            </w:tcBorders>
            <w:shd w:val="clear" w:color="auto" w:fill="auto"/>
            <w:noWrap/>
            <w:vAlign w:val="center"/>
            <w:hideMark/>
          </w:tcPr>
          <w:p w14:paraId="2A836AB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40520056</w:t>
            </w:r>
          </w:p>
        </w:tc>
        <w:tc>
          <w:tcPr>
            <w:tcW w:w="3360" w:type="pct"/>
            <w:tcBorders>
              <w:top w:val="nil"/>
              <w:left w:val="nil"/>
              <w:bottom w:val="single" w:sz="4" w:space="0" w:color="auto"/>
              <w:right w:val="single" w:sz="4" w:space="0" w:color="auto"/>
            </w:tcBorders>
            <w:shd w:val="clear" w:color="auto" w:fill="auto"/>
            <w:vAlign w:val="center"/>
            <w:hideMark/>
          </w:tcPr>
          <w:p w14:paraId="0EA1914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MINISTRSTVO ZA FINANCE RS GENERALNI SEKRETARIAT - SLUŽBA ZA ANALIZE IN RAZVOJ</w:t>
            </w:r>
          </w:p>
        </w:tc>
      </w:tr>
      <w:tr w:rsidR="00E3750C" w:rsidRPr="00415AB3" w14:paraId="166886BB"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6C3599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814</w:t>
            </w:r>
          </w:p>
        </w:tc>
        <w:tc>
          <w:tcPr>
            <w:tcW w:w="705" w:type="pct"/>
            <w:tcBorders>
              <w:top w:val="nil"/>
              <w:left w:val="nil"/>
              <w:bottom w:val="single" w:sz="4" w:space="0" w:color="auto"/>
              <w:right w:val="single" w:sz="4" w:space="0" w:color="auto"/>
            </w:tcBorders>
            <w:shd w:val="clear" w:color="auto" w:fill="auto"/>
            <w:noWrap/>
            <w:vAlign w:val="center"/>
            <w:hideMark/>
          </w:tcPr>
          <w:p w14:paraId="7F51F02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1572814000</w:t>
            </w:r>
          </w:p>
        </w:tc>
        <w:tc>
          <w:tcPr>
            <w:tcW w:w="547" w:type="pct"/>
            <w:tcBorders>
              <w:top w:val="nil"/>
              <w:left w:val="nil"/>
              <w:bottom w:val="single" w:sz="4" w:space="0" w:color="auto"/>
              <w:right w:val="single" w:sz="4" w:space="0" w:color="auto"/>
            </w:tcBorders>
            <w:shd w:val="clear" w:color="auto" w:fill="auto"/>
            <w:noWrap/>
            <w:vAlign w:val="center"/>
            <w:hideMark/>
          </w:tcPr>
          <w:p w14:paraId="05777F6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10641424</w:t>
            </w:r>
          </w:p>
        </w:tc>
        <w:tc>
          <w:tcPr>
            <w:tcW w:w="3360" w:type="pct"/>
            <w:tcBorders>
              <w:top w:val="nil"/>
              <w:left w:val="nil"/>
              <w:bottom w:val="single" w:sz="4" w:space="0" w:color="auto"/>
              <w:right w:val="single" w:sz="4" w:space="0" w:color="auto"/>
            </w:tcBorders>
            <w:shd w:val="clear" w:color="auto" w:fill="auto"/>
            <w:vAlign w:val="center"/>
            <w:hideMark/>
          </w:tcPr>
          <w:p w14:paraId="546088A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MINISTRSTVO ZA FINANCE UPRAVA REPUBLIKE SLOVENIJE ZA JAVNA PLAČILA</w:t>
            </w:r>
          </w:p>
        </w:tc>
      </w:tr>
      <w:tr w:rsidR="00E3750C" w:rsidRPr="00415AB3" w14:paraId="57158502"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3056FA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815</w:t>
            </w:r>
          </w:p>
        </w:tc>
        <w:tc>
          <w:tcPr>
            <w:tcW w:w="705" w:type="pct"/>
            <w:tcBorders>
              <w:top w:val="nil"/>
              <w:left w:val="nil"/>
              <w:bottom w:val="single" w:sz="4" w:space="0" w:color="auto"/>
              <w:right w:val="single" w:sz="4" w:space="0" w:color="auto"/>
            </w:tcBorders>
            <w:shd w:val="clear" w:color="auto" w:fill="auto"/>
            <w:noWrap/>
            <w:vAlign w:val="center"/>
            <w:hideMark/>
          </w:tcPr>
          <w:p w14:paraId="42992A9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1870491000</w:t>
            </w:r>
          </w:p>
        </w:tc>
        <w:tc>
          <w:tcPr>
            <w:tcW w:w="547" w:type="pct"/>
            <w:tcBorders>
              <w:top w:val="nil"/>
              <w:left w:val="nil"/>
              <w:bottom w:val="single" w:sz="4" w:space="0" w:color="auto"/>
              <w:right w:val="single" w:sz="4" w:space="0" w:color="auto"/>
            </w:tcBorders>
            <w:shd w:val="clear" w:color="auto" w:fill="auto"/>
            <w:noWrap/>
            <w:vAlign w:val="center"/>
            <w:hideMark/>
          </w:tcPr>
          <w:p w14:paraId="0903C34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29066042</w:t>
            </w:r>
          </w:p>
        </w:tc>
        <w:tc>
          <w:tcPr>
            <w:tcW w:w="3360" w:type="pct"/>
            <w:tcBorders>
              <w:top w:val="nil"/>
              <w:left w:val="nil"/>
              <w:bottom w:val="single" w:sz="4" w:space="0" w:color="auto"/>
              <w:right w:val="single" w:sz="4" w:space="0" w:color="auto"/>
            </w:tcBorders>
            <w:shd w:val="clear" w:color="auto" w:fill="auto"/>
            <w:vAlign w:val="center"/>
            <w:hideMark/>
          </w:tcPr>
          <w:p w14:paraId="7067BEF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MINISTRSTVO ZA FINANCE URAD REPUBLIKE SLOVENIJE ZA NADZOR PRORAČUNA</w:t>
            </w:r>
          </w:p>
        </w:tc>
      </w:tr>
      <w:tr w:rsidR="00E3750C" w:rsidRPr="00415AB3" w14:paraId="6D7DDE9B"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F9C8CF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816</w:t>
            </w:r>
          </w:p>
        </w:tc>
        <w:tc>
          <w:tcPr>
            <w:tcW w:w="705" w:type="pct"/>
            <w:tcBorders>
              <w:top w:val="nil"/>
              <w:left w:val="nil"/>
              <w:bottom w:val="single" w:sz="4" w:space="0" w:color="auto"/>
              <w:right w:val="single" w:sz="4" w:space="0" w:color="auto"/>
            </w:tcBorders>
            <w:shd w:val="clear" w:color="auto" w:fill="auto"/>
            <w:noWrap/>
            <w:vAlign w:val="center"/>
            <w:hideMark/>
          </w:tcPr>
          <w:p w14:paraId="63D9E25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5875021000</w:t>
            </w:r>
          </w:p>
        </w:tc>
        <w:tc>
          <w:tcPr>
            <w:tcW w:w="547" w:type="pct"/>
            <w:tcBorders>
              <w:top w:val="nil"/>
              <w:left w:val="nil"/>
              <w:bottom w:val="single" w:sz="4" w:space="0" w:color="auto"/>
              <w:right w:val="single" w:sz="4" w:space="0" w:color="auto"/>
            </w:tcBorders>
            <w:shd w:val="clear" w:color="auto" w:fill="auto"/>
            <w:noWrap/>
            <w:vAlign w:val="center"/>
            <w:hideMark/>
          </w:tcPr>
          <w:p w14:paraId="38CDC77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60330279</w:t>
            </w:r>
          </w:p>
        </w:tc>
        <w:tc>
          <w:tcPr>
            <w:tcW w:w="3360" w:type="pct"/>
            <w:tcBorders>
              <w:top w:val="nil"/>
              <w:left w:val="nil"/>
              <w:bottom w:val="single" w:sz="4" w:space="0" w:color="auto"/>
              <w:right w:val="single" w:sz="4" w:space="0" w:color="auto"/>
            </w:tcBorders>
            <w:shd w:val="clear" w:color="auto" w:fill="auto"/>
            <w:vAlign w:val="center"/>
            <w:hideMark/>
          </w:tcPr>
          <w:p w14:paraId="4969736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MINISTRSTVO ZA FINANCE URAD REPUBLIKE SLOVENIJE ZA PREPREČEVANJE PRANJA DENARJA</w:t>
            </w:r>
          </w:p>
        </w:tc>
      </w:tr>
      <w:tr w:rsidR="00E3750C" w:rsidRPr="00415AB3" w14:paraId="3D0C3E7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0D1E17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817</w:t>
            </w:r>
          </w:p>
        </w:tc>
        <w:tc>
          <w:tcPr>
            <w:tcW w:w="705" w:type="pct"/>
            <w:tcBorders>
              <w:top w:val="nil"/>
              <w:left w:val="nil"/>
              <w:bottom w:val="single" w:sz="4" w:space="0" w:color="auto"/>
              <w:right w:val="single" w:sz="4" w:space="0" w:color="auto"/>
            </w:tcBorders>
            <w:shd w:val="clear" w:color="auto" w:fill="auto"/>
            <w:noWrap/>
            <w:vAlign w:val="center"/>
            <w:hideMark/>
          </w:tcPr>
          <w:p w14:paraId="5EC4319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2399245000</w:t>
            </w:r>
          </w:p>
        </w:tc>
        <w:tc>
          <w:tcPr>
            <w:tcW w:w="547" w:type="pct"/>
            <w:tcBorders>
              <w:top w:val="nil"/>
              <w:left w:val="nil"/>
              <w:bottom w:val="single" w:sz="4" w:space="0" w:color="auto"/>
              <w:right w:val="single" w:sz="4" w:space="0" w:color="auto"/>
            </w:tcBorders>
            <w:shd w:val="clear" w:color="auto" w:fill="auto"/>
            <w:noWrap/>
            <w:vAlign w:val="center"/>
            <w:hideMark/>
          </w:tcPr>
          <w:p w14:paraId="27AEEB4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43159290</w:t>
            </w:r>
          </w:p>
        </w:tc>
        <w:tc>
          <w:tcPr>
            <w:tcW w:w="3360" w:type="pct"/>
            <w:tcBorders>
              <w:top w:val="nil"/>
              <w:left w:val="nil"/>
              <w:bottom w:val="single" w:sz="4" w:space="0" w:color="auto"/>
              <w:right w:val="single" w:sz="4" w:space="0" w:color="auto"/>
            </w:tcBorders>
            <w:shd w:val="clear" w:color="auto" w:fill="auto"/>
            <w:vAlign w:val="center"/>
            <w:hideMark/>
          </w:tcPr>
          <w:p w14:paraId="7C8608C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MINISTRSTVO ZA GOSPODARSKI RAZVOJ IN TEHNOLOGIJO</w:t>
            </w:r>
          </w:p>
        </w:tc>
      </w:tr>
      <w:tr w:rsidR="00E3750C" w:rsidRPr="00415AB3" w14:paraId="06F11ED3"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9C4681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818</w:t>
            </w:r>
          </w:p>
        </w:tc>
        <w:tc>
          <w:tcPr>
            <w:tcW w:w="705" w:type="pct"/>
            <w:tcBorders>
              <w:top w:val="nil"/>
              <w:left w:val="nil"/>
              <w:bottom w:val="single" w:sz="4" w:space="0" w:color="auto"/>
              <w:right w:val="single" w:sz="4" w:space="0" w:color="auto"/>
            </w:tcBorders>
            <w:shd w:val="clear" w:color="auto" w:fill="auto"/>
            <w:noWrap/>
            <w:vAlign w:val="center"/>
            <w:hideMark/>
          </w:tcPr>
          <w:p w14:paraId="1ED9270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5875099000</w:t>
            </w:r>
          </w:p>
        </w:tc>
        <w:tc>
          <w:tcPr>
            <w:tcW w:w="547" w:type="pct"/>
            <w:tcBorders>
              <w:top w:val="nil"/>
              <w:left w:val="nil"/>
              <w:bottom w:val="single" w:sz="4" w:space="0" w:color="auto"/>
              <w:right w:val="single" w:sz="4" w:space="0" w:color="auto"/>
            </w:tcBorders>
            <w:shd w:val="clear" w:color="auto" w:fill="auto"/>
            <w:noWrap/>
            <w:vAlign w:val="center"/>
            <w:hideMark/>
          </w:tcPr>
          <w:p w14:paraId="0BBBCD2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44287135</w:t>
            </w:r>
          </w:p>
        </w:tc>
        <w:tc>
          <w:tcPr>
            <w:tcW w:w="3360" w:type="pct"/>
            <w:tcBorders>
              <w:top w:val="nil"/>
              <w:left w:val="nil"/>
              <w:bottom w:val="single" w:sz="4" w:space="0" w:color="auto"/>
              <w:right w:val="single" w:sz="4" w:space="0" w:color="auto"/>
            </w:tcBorders>
            <w:shd w:val="clear" w:color="auto" w:fill="auto"/>
            <w:vAlign w:val="center"/>
            <w:hideMark/>
          </w:tcPr>
          <w:p w14:paraId="3EBA2A2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MINISTRSTVO ZA GOSPODARSKI RAZVOJ IN TEHNOLOGIJO - TRŽNI INŠPEKTORAT REPUBLIKE SLOVENIJE</w:t>
            </w:r>
          </w:p>
        </w:tc>
      </w:tr>
      <w:tr w:rsidR="00E3750C" w:rsidRPr="00415AB3" w14:paraId="235F03A2"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B383EA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819</w:t>
            </w:r>
          </w:p>
        </w:tc>
        <w:tc>
          <w:tcPr>
            <w:tcW w:w="705" w:type="pct"/>
            <w:tcBorders>
              <w:top w:val="nil"/>
              <w:left w:val="nil"/>
              <w:bottom w:val="single" w:sz="4" w:space="0" w:color="auto"/>
              <w:right w:val="single" w:sz="4" w:space="0" w:color="auto"/>
            </w:tcBorders>
            <w:shd w:val="clear" w:color="auto" w:fill="auto"/>
            <w:noWrap/>
            <w:vAlign w:val="center"/>
            <w:hideMark/>
          </w:tcPr>
          <w:p w14:paraId="67C8306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5521858000</w:t>
            </w:r>
          </w:p>
        </w:tc>
        <w:tc>
          <w:tcPr>
            <w:tcW w:w="547" w:type="pct"/>
            <w:tcBorders>
              <w:top w:val="nil"/>
              <w:left w:val="nil"/>
              <w:bottom w:val="single" w:sz="4" w:space="0" w:color="auto"/>
              <w:right w:val="single" w:sz="4" w:space="0" w:color="auto"/>
            </w:tcBorders>
            <w:shd w:val="clear" w:color="auto" w:fill="auto"/>
            <w:noWrap/>
            <w:vAlign w:val="center"/>
            <w:hideMark/>
          </w:tcPr>
          <w:p w14:paraId="05F5F85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41705211</w:t>
            </w:r>
          </w:p>
        </w:tc>
        <w:tc>
          <w:tcPr>
            <w:tcW w:w="3360" w:type="pct"/>
            <w:tcBorders>
              <w:top w:val="nil"/>
              <w:left w:val="nil"/>
              <w:bottom w:val="single" w:sz="4" w:space="0" w:color="auto"/>
              <w:right w:val="single" w:sz="4" w:space="0" w:color="auto"/>
            </w:tcBorders>
            <w:shd w:val="clear" w:color="auto" w:fill="auto"/>
            <w:vAlign w:val="center"/>
            <w:hideMark/>
          </w:tcPr>
          <w:p w14:paraId="48453DC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MINISTRSTVO ZA GOSPODARSKI RAZVOJ IN TEHNOLOGIJO - URAD REPUBLIKE SLOVENIJE ZA INTELEKTUALNO LASTNINO</w:t>
            </w:r>
          </w:p>
        </w:tc>
      </w:tr>
      <w:tr w:rsidR="00E3750C" w:rsidRPr="00415AB3" w14:paraId="3FD27F13"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F1B349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820</w:t>
            </w:r>
          </w:p>
        </w:tc>
        <w:tc>
          <w:tcPr>
            <w:tcW w:w="705" w:type="pct"/>
            <w:tcBorders>
              <w:top w:val="nil"/>
              <w:left w:val="nil"/>
              <w:bottom w:val="single" w:sz="4" w:space="0" w:color="auto"/>
              <w:right w:val="single" w:sz="4" w:space="0" w:color="auto"/>
            </w:tcBorders>
            <w:shd w:val="clear" w:color="auto" w:fill="auto"/>
            <w:noWrap/>
            <w:vAlign w:val="center"/>
            <w:hideMark/>
          </w:tcPr>
          <w:p w14:paraId="21BE784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5518016000</w:t>
            </w:r>
          </w:p>
        </w:tc>
        <w:tc>
          <w:tcPr>
            <w:tcW w:w="547" w:type="pct"/>
            <w:tcBorders>
              <w:top w:val="nil"/>
              <w:left w:val="nil"/>
              <w:bottom w:val="single" w:sz="4" w:space="0" w:color="auto"/>
              <w:right w:val="single" w:sz="4" w:space="0" w:color="auto"/>
            </w:tcBorders>
            <w:shd w:val="clear" w:color="auto" w:fill="auto"/>
            <w:noWrap/>
            <w:vAlign w:val="center"/>
            <w:hideMark/>
          </w:tcPr>
          <w:p w14:paraId="2318FE5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75839172</w:t>
            </w:r>
          </w:p>
        </w:tc>
        <w:tc>
          <w:tcPr>
            <w:tcW w:w="3360" w:type="pct"/>
            <w:tcBorders>
              <w:top w:val="nil"/>
              <w:left w:val="nil"/>
              <w:bottom w:val="single" w:sz="4" w:space="0" w:color="auto"/>
              <w:right w:val="single" w:sz="4" w:space="0" w:color="auto"/>
            </w:tcBorders>
            <w:shd w:val="clear" w:color="auto" w:fill="auto"/>
            <w:vAlign w:val="center"/>
            <w:hideMark/>
          </w:tcPr>
          <w:p w14:paraId="10E1C1B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MINISTRSTVO ZA GOSPODARSKI RAZVOJ IN TEHNOLOGIJO - URAD REPUBLIKE SLOVENIJE ZA MEROSLOVJE</w:t>
            </w:r>
          </w:p>
        </w:tc>
      </w:tr>
      <w:tr w:rsidR="00E3750C" w:rsidRPr="00415AB3" w14:paraId="0BA0DE9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961C8B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821</w:t>
            </w:r>
          </w:p>
        </w:tc>
        <w:tc>
          <w:tcPr>
            <w:tcW w:w="705" w:type="pct"/>
            <w:tcBorders>
              <w:top w:val="nil"/>
              <w:left w:val="nil"/>
              <w:bottom w:val="single" w:sz="4" w:space="0" w:color="auto"/>
              <w:right w:val="single" w:sz="4" w:space="0" w:color="auto"/>
            </w:tcBorders>
            <w:shd w:val="clear" w:color="auto" w:fill="auto"/>
            <w:noWrap/>
            <w:vAlign w:val="center"/>
            <w:hideMark/>
          </w:tcPr>
          <w:p w14:paraId="075D823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2399270000</w:t>
            </w:r>
          </w:p>
        </w:tc>
        <w:tc>
          <w:tcPr>
            <w:tcW w:w="547" w:type="pct"/>
            <w:tcBorders>
              <w:top w:val="nil"/>
              <w:left w:val="nil"/>
              <w:bottom w:val="single" w:sz="4" w:space="0" w:color="auto"/>
              <w:right w:val="single" w:sz="4" w:space="0" w:color="auto"/>
            </w:tcBorders>
            <w:shd w:val="clear" w:color="auto" w:fill="auto"/>
            <w:noWrap/>
            <w:vAlign w:val="center"/>
            <w:hideMark/>
          </w:tcPr>
          <w:p w14:paraId="2958AC1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25967061</w:t>
            </w:r>
          </w:p>
        </w:tc>
        <w:tc>
          <w:tcPr>
            <w:tcW w:w="3360" w:type="pct"/>
            <w:tcBorders>
              <w:top w:val="nil"/>
              <w:left w:val="nil"/>
              <w:bottom w:val="single" w:sz="4" w:space="0" w:color="auto"/>
              <w:right w:val="single" w:sz="4" w:space="0" w:color="auto"/>
            </w:tcBorders>
            <w:shd w:val="clear" w:color="auto" w:fill="auto"/>
            <w:vAlign w:val="center"/>
            <w:hideMark/>
          </w:tcPr>
          <w:p w14:paraId="49CE550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MINISTRSTVO ZA INFRASTRUKTURO</w:t>
            </w:r>
          </w:p>
        </w:tc>
      </w:tr>
      <w:tr w:rsidR="00E3750C" w:rsidRPr="00415AB3" w14:paraId="461187BA"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588E42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822</w:t>
            </w:r>
          </w:p>
        </w:tc>
        <w:tc>
          <w:tcPr>
            <w:tcW w:w="705" w:type="pct"/>
            <w:tcBorders>
              <w:top w:val="nil"/>
              <w:left w:val="nil"/>
              <w:bottom w:val="single" w:sz="4" w:space="0" w:color="auto"/>
              <w:right w:val="single" w:sz="4" w:space="0" w:color="auto"/>
            </w:tcBorders>
            <w:shd w:val="clear" w:color="auto" w:fill="auto"/>
            <w:noWrap/>
            <w:vAlign w:val="center"/>
            <w:hideMark/>
          </w:tcPr>
          <w:p w14:paraId="5FA6ACE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5300177000</w:t>
            </w:r>
          </w:p>
        </w:tc>
        <w:tc>
          <w:tcPr>
            <w:tcW w:w="547" w:type="pct"/>
            <w:tcBorders>
              <w:top w:val="nil"/>
              <w:left w:val="nil"/>
              <w:bottom w:val="single" w:sz="4" w:space="0" w:color="auto"/>
              <w:right w:val="single" w:sz="4" w:space="0" w:color="auto"/>
            </w:tcBorders>
            <w:shd w:val="clear" w:color="auto" w:fill="auto"/>
            <w:noWrap/>
            <w:vAlign w:val="center"/>
            <w:hideMark/>
          </w:tcPr>
          <w:p w14:paraId="1844CF6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75827735</w:t>
            </w:r>
          </w:p>
        </w:tc>
        <w:tc>
          <w:tcPr>
            <w:tcW w:w="3360" w:type="pct"/>
            <w:tcBorders>
              <w:top w:val="nil"/>
              <w:left w:val="nil"/>
              <w:bottom w:val="single" w:sz="4" w:space="0" w:color="auto"/>
              <w:right w:val="single" w:sz="4" w:space="0" w:color="auto"/>
            </w:tcBorders>
            <w:shd w:val="clear" w:color="auto" w:fill="auto"/>
            <w:vAlign w:val="center"/>
            <w:hideMark/>
          </w:tcPr>
          <w:p w14:paraId="22D4501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MINISTRSTVO ZA INFRASTRUKTURO, DIREKCIJA REPUBLIKE SLOVENIJE ZA INFRASTRUKTURO</w:t>
            </w:r>
          </w:p>
        </w:tc>
      </w:tr>
      <w:tr w:rsidR="00E3750C" w:rsidRPr="00415AB3" w14:paraId="2734DFF0"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990D0B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823</w:t>
            </w:r>
          </w:p>
        </w:tc>
        <w:tc>
          <w:tcPr>
            <w:tcW w:w="705" w:type="pct"/>
            <w:tcBorders>
              <w:top w:val="nil"/>
              <w:left w:val="nil"/>
              <w:bottom w:val="single" w:sz="4" w:space="0" w:color="auto"/>
              <w:right w:val="single" w:sz="4" w:space="0" w:color="auto"/>
            </w:tcBorders>
            <w:shd w:val="clear" w:color="auto" w:fill="auto"/>
            <w:noWrap/>
            <w:vAlign w:val="center"/>
            <w:hideMark/>
          </w:tcPr>
          <w:p w14:paraId="33A32C9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2399288000</w:t>
            </w:r>
          </w:p>
        </w:tc>
        <w:tc>
          <w:tcPr>
            <w:tcW w:w="547" w:type="pct"/>
            <w:tcBorders>
              <w:top w:val="nil"/>
              <w:left w:val="nil"/>
              <w:bottom w:val="single" w:sz="4" w:space="0" w:color="auto"/>
              <w:right w:val="single" w:sz="4" w:space="0" w:color="auto"/>
            </w:tcBorders>
            <w:shd w:val="clear" w:color="auto" w:fill="auto"/>
            <w:noWrap/>
            <w:vAlign w:val="center"/>
            <w:hideMark/>
          </w:tcPr>
          <w:p w14:paraId="15F31E6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75141051</w:t>
            </w:r>
          </w:p>
        </w:tc>
        <w:tc>
          <w:tcPr>
            <w:tcW w:w="3360" w:type="pct"/>
            <w:tcBorders>
              <w:top w:val="nil"/>
              <w:left w:val="nil"/>
              <w:bottom w:val="single" w:sz="4" w:space="0" w:color="auto"/>
              <w:right w:val="single" w:sz="4" w:space="0" w:color="auto"/>
            </w:tcBorders>
            <w:shd w:val="clear" w:color="auto" w:fill="auto"/>
            <w:vAlign w:val="center"/>
            <w:hideMark/>
          </w:tcPr>
          <w:p w14:paraId="2AE17AE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MINISTRSTVO ZA INFRASTRUKTURO, INŠPEKTORAT REPUBLIKE SLOVENIJE ZA INFRASTRUKTURO</w:t>
            </w:r>
          </w:p>
        </w:tc>
      </w:tr>
      <w:tr w:rsidR="00E3750C" w:rsidRPr="00415AB3" w14:paraId="077E91EB"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27FC2D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824</w:t>
            </w:r>
          </w:p>
        </w:tc>
        <w:tc>
          <w:tcPr>
            <w:tcW w:w="705" w:type="pct"/>
            <w:tcBorders>
              <w:top w:val="nil"/>
              <w:left w:val="nil"/>
              <w:bottom w:val="single" w:sz="4" w:space="0" w:color="auto"/>
              <w:right w:val="single" w:sz="4" w:space="0" w:color="auto"/>
            </w:tcBorders>
            <w:shd w:val="clear" w:color="auto" w:fill="auto"/>
            <w:noWrap/>
            <w:vAlign w:val="center"/>
            <w:hideMark/>
          </w:tcPr>
          <w:p w14:paraId="6A639FD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5022592000</w:t>
            </w:r>
          </w:p>
        </w:tc>
        <w:tc>
          <w:tcPr>
            <w:tcW w:w="547" w:type="pct"/>
            <w:tcBorders>
              <w:top w:val="nil"/>
              <w:left w:val="nil"/>
              <w:bottom w:val="single" w:sz="4" w:space="0" w:color="auto"/>
              <w:right w:val="single" w:sz="4" w:space="0" w:color="auto"/>
            </w:tcBorders>
            <w:shd w:val="clear" w:color="auto" w:fill="auto"/>
            <w:noWrap/>
            <w:vAlign w:val="center"/>
            <w:hideMark/>
          </w:tcPr>
          <w:p w14:paraId="0AF7786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95586377</w:t>
            </w:r>
          </w:p>
        </w:tc>
        <w:tc>
          <w:tcPr>
            <w:tcW w:w="3360" w:type="pct"/>
            <w:tcBorders>
              <w:top w:val="nil"/>
              <w:left w:val="nil"/>
              <w:bottom w:val="single" w:sz="4" w:space="0" w:color="auto"/>
              <w:right w:val="single" w:sz="4" w:space="0" w:color="auto"/>
            </w:tcBorders>
            <w:shd w:val="clear" w:color="auto" w:fill="auto"/>
            <w:vAlign w:val="center"/>
            <w:hideMark/>
          </w:tcPr>
          <w:p w14:paraId="52D3194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MINISTRSTVO ZA INFRASTRUKTURO, UPRAVA REPUBLIKE SLOVENIJE ZA POMORSTVO</w:t>
            </w:r>
          </w:p>
        </w:tc>
      </w:tr>
      <w:tr w:rsidR="00E3750C" w:rsidRPr="00415AB3" w14:paraId="595C1B6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DB089E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825</w:t>
            </w:r>
          </w:p>
        </w:tc>
        <w:tc>
          <w:tcPr>
            <w:tcW w:w="705" w:type="pct"/>
            <w:tcBorders>
              <w:top w:val="nil"/>
              <w:left w:val="nil"/>
              <w:bottom w:val="single" w:sz="4" w:space="0" w:color="auto"/>
              <w:right w:val="single" w:sz="4" w:space="0" w:color="auto"/>
            </w:tcBorders>
            <w:shd w:val="clear" w:color="auto" w:fill="auto"/>
            <w:noWrap/>
            <w:vAlign w:val="center"/>
            <w:hideMark/>
          </w:tcPr>
          <w:p w14:paraId="18A7899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2399300000</w:t>
            </w:r>
          </w:p>
        </w:tc>
        <w:tc>
          <w:tcPr>
            <w:tcW w:w="547" w:type="pct"/>
            <w:tcBorders>
              <w:top w:val="nil"/>
              <w:left w:val="nil"/>
              <w:bottom w:val="single" w:sz="4" w:space="0" w:color="auto"/>
              <w:right w:val="single" w:sz="4" w:space="0" w:color="auto"/>
            </w:tcBorders>
            <w:shd w:val="clear" w:color="auto" w:fill="auto"/>
            <w:noWrap/>
            <w:vAlign w:val="center"/>
            <w:hideMark/>
          </w:tcPr>
          <w:p w14:paraId="6E550B9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14246821</w:t>
            </w:r>
          </w:p>
        </w:tc>
        <w:tc>
          <w:tcPr>
            <w:tcW w:w="3360" w:type="pct"/>
            <w:tcBorders>
              <w:top w:val="nil"/>
              <w:left w:val="nil"/>
              <w:bottom w:val="single" w:sz="4" w:space="0" w:color="auto"/>
              <w:right w:val="single" w:sz="4" w:space="0" w:color="auto"/>
            </w:tcBorders>
            <w:shd w:val="clear" w:color="auto" w:fill="auto"/>
            <w:vAlign w:val="center"/>
            <w:hideMark/>
          </w:tcPr>
          <w:p w14:paraId="4FAA752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MINISTRSTVO ZA IZOBRAŽEVANJE, ZNANOST IN ŠPORT</w:t>
            </w:r>
          </w:p>
        </w:tc>
      </w:tr>
      <w:tr w:rsidR="00E3750C" w:rsidRPr="00415AB3" w14:paraId="44AE4718"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D93080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826</w:t>
            </w:r>
          </w:p>
        </w:tc>
        <w:tc>
          <w:tcPr>
            <w:tcW w:w="705" w:type="pct"/>
            <w:tcBorders>
              <w:top w:val="nil"/>
              <w:left w:val="nil"/>
              <w:bottom w:val="single" w:sz="4" w:space="0" w:color="auto"/>
              <w:right w:val="single" w:sz="4" w:space="0" w:color="auto"/>
            </w:tcBorders>
            <w:shd w:val="clear" w:color="auto" w:fill="auto"/>
            <w:noWrap/>
            <w:vAlign w:val="center"/>
            <w:hideMark/>
          </w:tcPr>
          <w:p w14:paraId="4CA8637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5875102000</w:t>
            </w:r>
          </w:p>
        </w:tc>
        <w:tc>
          <w:tcPr>
            <w:tcW w:w="547" w:type="pct"/>
            <w:tcBorders>
              <w:top w:val="nil"/>
              <w:left w:val="nil"/>
              <w:bottom w:val="single" w:sz="4" w:space="0" w:color="auto"/>
              <w:right w:val="single" w:sz="4" w:space="0" w:color="auto"/>
            </w:tcBorders>
            <w:shd w:val="clear" w:color="auto" w:fill="auto"/>
            <w:noWrap/>
            <w:vAlign w:val="center"/>
            <w:hideMark/>
          </w:tcPr>
          <w:p w14:paraId="72FD95E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25672061</w:t>
            </w:r>
          </w:p>
        </w:tc>
        <w:tc>
          <w:tcPr>
            <w:tcW w:w="3360" w:type="pct"/>
            <w:tcBorders>
              <w:top w:val="nil"/>
              <w:left w:val="nil"/>
              <w:bottom w:val="single" w:sz="4" w:space="0" w:color="auto"/>
              <w:right w:val="single" w:sz="4" w:space="0" w:color="auto"/>
            </w:tcBorders>
            <w:shd w:val="clear" w:color="auto" w:fill="auto"/>
            <w:vAlign w:val="center"/>
            <w:hideMark/>
          </w:tcPr>
          <w:p w14:paraId="056D143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MINISTRSTVO ZA IZOBRAŽEVANJE, ZNANOST IN ŠPORT, INŠPEKTORAT REPUBLIKE SLOVENIJE ZA ŠOLSTVO IN ŠPORT</w:t>
            </w:r>
          </w:p>
        </w:tc>
      </w:tr>
      <w:tr w:rsidR="00E3750C" w:rsidRPr="00415AB3" w14:paraId="709A1E67"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CEA42E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827</w:t>
            </w:r>
          </w:p>
        </w:tc>
        <w:tc>
          <w:tcPr>
            <w:tcW w:w="705" w:type="pct"/>
            <w:tcBorders>
              <w:top w:val="nil"/>
              <w:left w:val="nil"/>
              <w:bottom w:val="single" w:sz="4" w:space="0" w:color="auto"/>
              <w:right w:val="single" w:sz="4" w:space="0" w:color="auto"/>
            </w:tcBorders>
            <w:shd w:val="clear" w:color="auto" w:fill="auto"/>
            <w:noWrap/>
            <w:vAlign w:val="center"/>
            <w:hideMark/>
          </w:tcPr>
          <w:p w14:paraId="72147F7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5543363000</w:t>
            </w:r>
          </w:p>
        </w:tc>
        <w:tc>
          <w:tcPr>
            <w:tcW w:w="547" w:type="pct"/>
            <w:tcBorders>
              <w:top w:val="nil"/>
              <w:left w:val="nil"/>
              <w:bottom w:val="single" w:sz="4" w:space="0" w:color="auto"/>
              <w:right w:val="single" w:sz="4" w:space="0" w:color="auto"/>
            </w:tcBorders>
            <w:shd w:val="clear" w:color="auto" w:fill="auto"/>
            <w:noWrap/>
            <w:vAlign w:val="center"/>
            <w:hideMark/>
          </w:tcPr>
          <w:p w14:paraId="1769D37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67767664</w:t>
            </w:r>
          </w:p>
        </w:tc>
        <w:tc>
          <w:tcPr>
            <w:tcW w:w="3360" w:type="pct"/>
            <w:tcBorders>
              <w:top w:val="nil"/>
              <w:left w:val="nil"/>
              <w:bottom w:val="single" w:sz="4" w:space="0" w:color="auto"/>
              <w:right w:val="single" w:sz="4" w:space="0" w:color="auto"/>
            </w:tcBorders>
            <w:shd w:val="clear" w:color="auto" w:fill="auto"/>
            <w:vAlign w:val="center"/>
            <w:hideMark/>
          </w:tcPr>
          <w:p w14:paraId="51E245B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MINISTRSTVO ZA IZOBRAŽEVANJE, ZNANOST IN ŠPORT, URAD REPUBLIKE SLOVENIJE ZA MLADINO</w:t>
            </w:r>
          </w:p>
        </w:tc>
      </w:tr>
      <w:tr w:rsidR="00E3750C" w:rsidRPr="00415AB3" w14:paraId="53D6BE8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38D3ED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828</w:t>
            </w:r>
          </w:p>
        </w:tc>
        <w:tc>
          <w:tcPr>
            <w:tcW w:w="705" w:type="pct"/>
            <w:tcBorders>
              <w:top w:val="nil"/>
              <w:left w:val="nil"/>
              <w:bottom w:val="single" w:sz="4" w:space="0" w:color="auto"/>
              <w:right w:val="single" w:sz="4" w:space="0" w:color="auto"/>
            </w:tcBorders>
            <w:shd w:val="clear" w:color="auto" w:fill="auto"/>
            <w:noWrap/>
            <w:vAlign w:val="center"/>
            <w:hideMark/>
          </w:tcPr>
          <w:p w14:paraId="3CB0ADD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2482762000</w:t>
            </w:r>
          </w:p>
        </w:tc>
        <w:tc>
          <w:tcPr>
            <w:tcW w:w="547" w:type="pct"/>
            <w:tcBorders>
              <w:top w:val="nil"/>
              <w:left w:val="nil"/>
              <w:bottom w:val="single" w:sz="4" w:space="0" w:color="auto"/>
              <w:right w:val="single" w:sz="4" w:space="0" w:color="auto"/>
            </w:tcBorders>
            <w:shd w:val="clear" w:color="auto" w:fill="auto"/>
            <w:noWrap/>
            <w:vAlign w:val="center"/>
            <w:hideMark/>
          </w:tcPr>
          <w:p w14:paraId="61094AD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91838983</w:t>
            </w:r>
          </w:p>
        </w:tc>
        <w:tc>
          <w:tcPr>
            <w:tcW w:w="3360" w:type="pct"/>
            <w:tcBorders>
              <w:top w:val="nil"/>
              <w:left w:val="nil"/>
              <w:bottom w:val="single" w:sz="4" w:space="0" w:color="auto"/>
              <w:right w:val="single" w:sz="4" w:space="0" w:color="auto"/>
            </w:tcBorders>
            <w:shd w:val="clear" w:color="auto" w:fill="auto"/>
            <w:vAlign w:val="center"/>
            <w:hideMark/>
          </w:tcPr>
          <w:p w14:paraId="3C884BF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MINISTRSTVO ZA JAVNO UPRAVO</w:t>
            </w:r>
          </w:p>
        </w:tc>
      </w:tr>
      <w:tr w:rsidR="00E3750C" w:rsidRPr="00415AB3" w14:paraId="60F3745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058610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829</w:t>
            </w:r>
          </w:p>
        </w:tc>
        <w:tc>
          <w:tcPr>
            <w:tcW w:w="705" w:type="pct"/>
            <w:tcBorders>
              <w:top w:val="nil"/>
              <w:left w:val="nil"/>
              <w:bottom w:val="single" w:sz="4" w:space="0" w:color="auto"/>
              <w:right w:val="single" w:sz="4" w:space="0" w:color="auto"/>
            </w:tcBorders>
            <w:shd w:val="clear" w:color="auto" w:fill="auto"/>
            <w:noWrap/>
            <w:vAlign w:val="center"/>
            <w:hideMark/>
          </w:tcPr>
          <w:p w14:paraId="098EA8B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2482908000</w:t>
            </w:r>
          </w:p>
        </w:tc>
        <w:tc>
          <w:tcPr>
            <w:tcW w:w="547" w:type="pct"/>
            <w:tcBorders>
              <w:top w:val="nil"/>
              <w:left w:val="nil"/>
              <w:bottom w:val="single" w:sz="4" w:space="0" w:color="auto"/>
              <w:right w:val="single" w:sz="4" w:space="0" w:color="auto"/>
            </w:tcBorders>
            <w:shd w:val="clear" w:color="auto" w:fill="auto"/>
            <w:noWrap/>
            <w:vAlign w:val="center"/>
            <w:hideMark/>
          </w:tcPr>
          <w:p w14:paraId="40EBAC2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35787406</w:t>
            </w:r>
          </w:p>
        </w:tc>
        <w:tc>
          <w:tcPr>
            <w:tcW w:w="3360" w:type="pct"/>
            <w:tcBorders>
              <w:top w:val="nil"/>
              <w:left w:val="nil"/>
              <w:bottom w:val="single" w:sz="4" w:space="0" w:color="auto"/>
              <w:right w:val="single" w:sz="4" w:space="0" w:color="auto"/>
            </w:tcBorders>
            <w:shd w:val="clear" w:color="auto" w:fill="auto"/>
            <w:vAlign w:val="center"/>
            <w:hideMark/>
          </w:tcPr>
          <w:p w14:paraId="2C374F8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MINISTRSTVO ZA JAVNO UPRAVO, INŠPEKTORAT ZA JAVNI SEKTOR</w:t>
            </w:r>
          </w:p>
        </w:tc>
      </w:tr>
      <w:tr w:rsidR="00E3750C" w:rsidRPr="00415AB3" w14:paraId="1C5905C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6C4111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830</w:t>
            </w:r>
          </w:p>
        </w:tc>
        <w:tc>
          <w:tcPr>
            <w:tcW w:w="705" w:type="pct"/>
            <w:tcBorders>
              <w:top w:val="nil"/>
              <w:left w:val="nil"/>
              <w:bottom w:val="single" w:sz="4" w:space="0" w:color="auto"/>
              <w:right w:val="single" w:sz="4" w:space="0" w:color="auto"/>
            </w:tcBorders>
            <w:shd w:val="clear" w:color="auto" w:fill="auto"/>
            <w:noWrap/>
            <w:vAlign w:val="center"/>
            <w:hideMark/>
          </w:tcPr>
          <w:p w14:paraId="5ACF87A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2399253000</w:t>
            </w:r>
          </w:p>
        </w:tc>
        <w:tc>
          <w:tcPr>
            <w:tcW w:w="547" w:type="pct"/>
            <w:tcBorders>
              <w:top w:val="nil"/>
              <w:left w:val="nil"/>
              <w:bottom w:val="single" w:sz="4" w:space="0" w:color="auto"/>
              <w:right w:val="single" w:sz="4" w:space="0" w:color="auto"/>
            </w:tcBorders>
            <w:shd w:val="clear" w:color="auto" w:fill="auto"/>
            <w:noWrap/>
            <w:vAlign w:val="center"/>
            <w:hideMark/>
          </w:tcPr>
          <w:p w14:paraId="6692E5D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31162991</w:t>
            </w:r>
          </w:p>
        </w:tc>
        <w:tc>
          <w:tcPr>
            <w:tcW w:w="3360" w:type="pct"/>
            <w:tcBorders>
              <w:top w:val="nil"/>
              <w:left w:val="nil"/>
              <w:bottom w:val="single" w:sz="4" w:space="0" w:color="auto"/>
              <w:right w:val="single" w:sz="4" w:space="0" w:color="auto"/>
            </w:tcBorders>
            <w:shd w:val="clear" w:color="auto" w:fill="auto"/>
            <w:vAlign w:val="center"/>
            <w:hideMark/>
          </w:tcPr>
          <w:p w14:paraId="2C88EF8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MINISTRSTVO ZA KMETIJSTVO, GOZDARSTVO IN PREHRANO</w:t>
            </w:r>
          </w:p>
        </w:tc>
      </w:tr>
      <w:tr w:rsidR="00E3750C" w:rsidRPr="00415AB3" w14:paraId="1AECD5AC" w14:textId="77777777" w:rsidTr="00047864">
        <w:trPr>
          <w:trHeight w:val="9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E3E611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831</w:t>
            </w:r>
          </w:p>
        </w:tc>
        <w:tc>
          <w:tcPr>
            <w:tcW w:w="705" w:type="pct"/>
            <w:tcBorders>
              <w:top w:val="nil"/>
              <w:left w:val="nil"/>
              <w:bottom w:val="single" w:sz="4" w:space="0" w:color="auto"/>
              <w:right w:val="single" w:sz="4" w:space="0" w:color="auto"/>
            </w:tcBorders>
            <w:shd w:val="clear" w:color="auto" w:fill="auto"/>
            <w:noWrap/>
            <w:vAlign w:val="center"/>
            <w:hideMark/>
          </w:tcPr>
          <w:p w14:paraId="5A1F1D4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2399261000</w:t>
            </w:r>
          </w:p>
        </w:tc>
        <w:tc>
          <w:tcPr>
            <w:tcW w:w="547" w:type="pct"/>
            <w:tcBorders>
              <w:top w:val="nil"/>
              <w:left w:val="nil"/>
              <w:bottom w:val="single" w:sz="4" w:space="0" w:color="auto"/>
              <w:right w:val="single" w:sz="4" w:space="0" w:color="auto"/>
            </w:tcBorders>
            <w:shd w:val="clear" w:color="auto" w:fill="auto"/>
            <w:noWrap/>
            <w:vAlign w:val="center"/>
            <w:hideMark/>
          </w:tcPr>
          <w:p w14:paraId="76B3CF1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17924430</w:t>
            </w:r>
          </w:p>
        </w:tc>
        <w:tc>
          <w:tcPr>
            <w:tcW w:w="3360" w:type="pct"/>
            <w:tcBorders>
              <w:top w:val="nil"/>
              <w:left w:val="nil"/>
              <w:bottom w:val="single" w:sz="4" w:space="0" w:color="auto"/>
              <w:right w:val="single" w:sz="4" w:space="0" w:color="auto"/>
            </w:tcBorders>
            <w:shd w:val="clear" w:color="auto" w:fill="auto"/>
            <w:vAlign w:val="center"/>
            <w:hideMark/>
          </w:tcPr>
          <w:p w14:paraId="6B1B8C9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MINISTRSTVO ZA KMETIJSTVO, GOZDARSTVO IN PREHRANO, INŠPEKTORAT REPUBLIKE SLOVENIJE ZA KMETIJSTVO, GOZDARSTVO, LOVSTVO IN RIBIŠTVO</w:t>
            </w:r>
          </w:p>
        </w:tc>
      </w:tr>
      <w:tr w:rsidR="00E3750C" w:rsidRPr="00415AB3" w14:paraId="3C7EBA46" w14:textId="77777777" w:rsidTr="00047864">
        <w:trPr>
          <w:trHeight w:val="9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ACDDB1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832</w:t>
            </w:r>
          </w:p>
        </w:tc>
        <w:tc>
          <w:tcPr>
            <w:tcW w:w="705" w:type="pct"/>
            <w:tcBorders>
              <w:top w:val="nil"/>
              <w:left w:val="nil"/>
              <w:bottom w:val="single" w:sz="4" w:space="0" w:color="auto"/>
              <w:right w:val="single" w:sz="4" w:space="0" w:color="auto"/>
            </w:tcBorders>
            <w:shd w:val="clear" w:color="auto" w:fill="auto"/>
            <w:noWrap/>
            <w:vAlign w:val="center"/>
            <w:hideMark/>
          </w:tcPr>
          <w:p w14:paraId="165BA0C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2399334000</w:t>
            </w:r>
          </w:p>
        </w:tc>
        <w:tc>
          <w:tcPr>
            <w:tcW w:w="547" w:type="pct"/>
            <w:tcBorders>
              <w:top w:val="nil"/>
              <w:left w:val="nil"/>
              <w:bottom w:val="single" w:sz="4" w:space="0" w:color="auto"/>
              <w:right w:val="single" w:sz="4" w:space="0" w:color="auto"/>
            </w:tcBorders>
            <w:shd w:val="clear" w:color="auto" w:fill="auto"/>
            <w:noWrap/>
            <w:vAlign w:val="center"/>
            <w:hideMark/>
          </w:tcPr>
          <w:p w14:paraId="5433E9C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59739746</w:t>
            </w:r>
          </w:p>
        </w:tc>
        <w:tc>
          <w:tcPr>
            <w:tcW w:w="3360" w:type="pct"/>
            <w:tcBorders>
              <w:top w:val="nil"/>
              <w:left w:val="nil"/>
              <w:bottom w:val="single" w:sz="4" w:space="0" w:color="auto"/>
              <w:right w:val="single" w:sz="4" w:space="0" w:color="auto"/>
            </w:tcBorders>
            <w:shd w:val="clear" w:color="auto" w:fill="auto"/>
            <w:vAlign w:val="center"/>
            <w:hideMark/>
          </w:tcPr>
          <w:p w14:paraId="669D52C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MINISTRSTVO ZA KMETIJSTVO, GOZDARSTVO IN PREHRANO, UPRAVA REPUBLIKE SLOVENIJE ZA VARNO HRANO, VETERINARSTVO IN VARSTVO RASTLIN</w:t>
            </w:r>
          </w:p>
        </w:tc>
      </w:tr>
      <w:tr w:rsidR="00E3750C" w:rsidRPr="00415AB3" w14:paraId="5D6DE7B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4BCD88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833</w:t>
            </w:r>
          </w:p>
        </w:tc>
        <w:tc>
          <w:tcPr>
            <w:tcW w:w="705" w:type="pct"/>
            <w:tcBorders>
              <w:top w:val="nil"/>
              <w:left w:val="nil"/>
              <w:bottom w:val="single" w:sz="4" w:space="0" w:color="auto"/>
              <w:right w:val="single" w:sz="4" w:space="0" w:color="auto"/>
            </w:tcBorders>
            <w:shd w:val="clear" w:color="auto" w:fill="auto"/>
            <w:noWrap/>
            <w:vAlign w:val="center"/>
            <w:hideMark/>
          </w:tcPr>
          <w:p w14:paraId="3BCCCA9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2399342000</w:t>
            </w:r>
          </w:p>
        </w:tc>
        <w:tc>
          <w:tcPr>
            <w:tcW w:w="547" w:type="pct"/>
            <w:tcBorders>
              <w:top w:val="nil"/>
              <w:left w:val="nil"/>
              <w:bottom w:val="single" w:sz="4" w:space="0" w:color="auto"/>
              <w:right w:val="single" w:sz="4" w:space="0" w:color="auto"/>
            </w:tcBorders>
            <w:shd w:val="clear" w:color="auto" w:fill="auto"/>
            <w:noWrap/>
            <w:vAlign w:val="center"/>
            <w:hideMark/>
          </w:tcPr>
          <w:p w14:paraId="3A84676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70949417</w:t>
            </w:r>
          </w:p>
        </w:tc>
        <w:tc>
          <w:tcPr>
            <w:tcW w:w="3360" w:type="pct"/>
            <w:tcBorders>
              <w:top w:val="nil"/>
              <w:left w:val="nil"/>
              <w:bottom w:val="single" w:sz="4" w:space="0" w:color="auto"/>
              <w:right w:val="single" w:sz="4" w:space="0" w:color="auto"/>
            </w:tcBorders>
            <w:shd w:val="clear" w:color="auto" w:fill="auto"/>
            <w:vAlign w:val="center"/>
            <w:hideMark/>
          </w:tcPr>
          <w:p w14:paraId="0480D4B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MINISTRSTVO ZA KULTURO</w:t>
            </w:r>
          </w:p>
        </w:tc>
      </w:tr>
      <w:tr w:rsidR="00E3750C" w:rsidRPr="00415AB3" w14:paraId="231FF53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C604DB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834</w:t>
            </w:r>
          </w:p>
        </w:tc>
        <w:tc>
          <w:tcPr>
            <w:tcW w:w="705" w:type="pct"/>
            <w:tcBorders>
              <w:top w:val="nil"/>
              <w:left w:val="nil"/>
              <w:bottom w:val="single" w:sz="4" w:space="0" w:color="auto"/>
              <w:right w:val="single" w:sz="4" w:space="0" w:color="auto"/>
            </w:tcBorders>
            <w:shd w:val="clear" w:color="auto" w:fill="auto"/>
            <w:noWrap/>
            <w:vAlign w:val="center"/>
            <w:hideMark/>
          </w:tcPr>
          <w:p w14:paraId="75937D8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2399369000</w:t>
            </w:r>
          </w:p>
        </w:tc>
        <w:tc>
          <w:tcPr>
            <w:tcW w:w="547" w:type="pct"/>
            <w:tcBorders>
              <w:top w:val="nil"/>
              <w:left w:val="nil"/>
              <w:bottom w:val="single" w:sz="4" w:space="0" w:color="auto"/>
              <w:right w:val="single" w:sz="4" w:space="0" w:color="auto"/>
            </w:tcBorders>
            <w:shd w:val="clear" w:color="auto" w:fill="auto"/>
            <w:noWrap/>
            <w:vAlign w:val="center"/>
            <w:hideMark/>
          </w:tcPr>
          <w:p w14:paraId="3643F93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12356824</w:t>
            </w:r>
          </w:p>
        </w:tc>
        <w:tc>
          <w:tcPr>
            <w:tcW w:w="3360" w:type="pct"/>
            <w:tcBorders>
              <w:top w:val="nil"/>
              <w:left w:val="nil"/>
              <w:bottom w:val="single" w:sz="4" w:space="0" w:color="auto"/>
              <w:right w:val="single" w:sz="4" w:space="0" w:color="auto"/>
            </w:tcBorders>
            <w:shd w:val="clear" w:color="auto" w:fill="auto"/>
            <w:vAlign w:val="center"/>
            <w:hideMark/>
          </w:tcPr>
          <w:p w14:paraId="68BC83F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MINISTRSTVO ZA KULTURO ARHIV REPUBLIKE SLOVENIJE</w:t>
            </w:r>
          </w:p>
        </w:tc>
      </w:tr>
      <w:tr w:rsidR="00E3750C" w:rsidRPr="00415AB3" w14:paraId="5E30D687"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C0F58A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835</w:t>
            </w:r>
          </w:p>
        </w:tc>
        <w:tc>
          <w:tcPr>
            <w:tcW w:w="705" w:type="pct"/>
            <w:tcBorders>
              <w:top w:val="nil"/>
              <w:left w:val="nil"/>
              <w:bottom w:val="single" w:sz="4" w:space="0" w:color="auto"/>
              <w:right w:val="single" w:sz="4" w:space="0" w:color="auto"/>
            </w:tcBorders>
            <w:shd w:val="clear" w:color="auto" w:fill="auto"/>
            <w:noWrap/>
            <w:vAlign w:val="center"/>
            <w:hideMark/>
          </w:tcPr>
          <w:p w14:paraId="13C913C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2399377000</w:t>
            </w:r>
          </w:p>
        </w:tc>
        <w:tc>
          <w:tcPr>
            <w:tcW w:w="547" w:type="pct"/>
            <w:tcBorders>
              <w:top w:val="nil"/>
              <w:left w:val="nil"/>
              <w:bottom w:val="single" w:sz="4" w:space="0" w:color="auto"/>
              <w:right w:val="single" w:sz="4" w:space="0" w:color="auto"/>
            </w:tcBorders>
            <w:shd w:val="clear" w:color="auto" w:fill="auto"/>
            <w:noWrap/>
            <w:vAlign w:val="center"/>
            <w:hideMark/>
          </w:tcPr>
          <w:p w14:paraId="24087E9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41159101</w:t>
            </w:r>
          </w:p>
        </w:tc>
        <w:tc>
          <w:tcPr>
            <w:tcW w:w="3360" w:type="pct"/>
            <w:tcBorders>
              <w:top w:val="nil"/>
              <w:left w:val="nil"/>
              <w:bottom w:val="single" w:sz="4" w:space="0" w:color="auto"/>
              <w:right w:val="single" w:sz="4" w:space="0" w:color="auto"/>
            </w:tcBorders>
            <w:shd w:val="clear" w:color="auto" w:fill="auto"/>
            <w:vAlign w:val="center"/>
            <w:hideMark/>
          </w:tcPr>
          <w:p w14:paraId="74EDB47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MINISTRSTVO ZA KULTURO INŠPEKTORAT REPUBLIKE SLOVENIJE ZA KULTURO IN MEDIJE</w:t>
            </w:r>
          </w:p>
        </w:tc>
      </w:tr>
      <w:tr w:rsidR="00E3750C" w:rsidRPr="00415AB3" w14:paraId="26E57FA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2A2D3C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836</w:t>
            </w:r>
          </w:p>
        </w:tc>
        <w:tc>
          <w:tcPr>
            <w:tcW w:w="705" w:type="pct"/>
            <w:tcBorders>
              <w:top w:val="nil"/>
              <w:left w:val="nil"/>
              <w:bottom w:val="single" w:sz="4" w:space="0" w:color="auto"/>
              <w:right w:val="single" w:sz="4" w:space="0" w:color="auto"/>
            </w:tcBorders>
            <w:shd w:val="clear" w:color="auto" w:fill="auto"/>
            <w:noWrap/>
            <w:vAlign w:val="center"/>
            <w:hideMark/>
          </w:tcPr>
          <w:p w14:paraId="0BA3783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5030200000</w:t>
            </w:r>
          </w:p>
        </w:tc>
        <w:tc>
          <w:tcPr>
            <w:tcW w:w="547" w:type="pct"/>
            <w:tcBorders>
              <w:top w:val="nil"/>
              <w:left w:val="nil"/>
              <w:bottom w:val="single" w:sz="4" w:space="0" w:color="auto"/>
              <w:right w:val="single" w:sz="4" w:space="0" w:color="auto"/>
            </w:tcBorders>
            <w:shd w:val="clear" w:color="auto" w:fill="auto"/>
            <w:noWrap/>
            <w:vAlign w:val="center"/>
            <w:hideMark/>
          </w:tcPr>
          <w:p w14:paraId="1947F10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52817652</w:t>
            </w:r>
          </w:p>
        </w:tc>
        <w:tc>
          <w:tcPr>
            <w:tcW w:w="3360" w:type="pct"/>
            <w:tcBorders>
              <w:top w:val="nil"/>
              <w:left w:val="nil"/>
              <w:bottom w:val="single" w:sz="4" w:space="0" w:color="auto"/>
              <w:right w:val="single" w:sz="4" w:space="0" w:color="auto"/>
            </w:tcBorders>
            <w:shd w:val="clear" w:color="auto" w:fill="auto"/>
            <w:vAlign w:val="center"/>
            <w:hideMark/>
          </w:tcPr>
          <w:p w14:paraId="77F5AC7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MINISTRSTVO ZA NOTRANJE ZADEVE</w:t>
            </w:r>
          </w:p>
        </w:tc>
      </w:tr>
      <w:tr w:rsidR="00E3750C" w:rsidRPr="00415AB3" w14:paraId="34F9EA1A"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D5E4B2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837</w:t>
            </w:r>
          </w:p>
        </w:tc>
        <w:tc>
          <w:tcPr>
            <w:tcW w:w="705" w:type="pct"/>
            <w:tcBorders>
              <w:top w:val="nil"/>
              <w:left w:val="nil"/>
              <w:bottom w:val="single" w:sz="4" w:space="0" w:color="auto"/>
              <w:right w:val="single" w:sz="4" w:space="0" w:color="auto"/>
            </w:tcBorders>
            <w:shd w:val="clear" w:color="auto" w:fill="auto"/>
            <w:noWrap/>
            <w:vAlign w:val="center"/>
            <w:hideMark/>
          </w:tcPr>
          <w:p w14:paraId="3577220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1902407000</w:t>
            </w:r>
          </w:p>
        </w:tc>
        <w:tc>
          <w:tcPr>
            <w:tcW w:w="547" w:type="pct"/>
            <w:tcBorders>
              <w:top w:val="nil"/>
              <w:left w:val="nil"/>
              <w:bottom w:val="single" w:sz="4" w:space="0" w:color="auto"/>
              <w:right w:val="single" w:sz="4" w:space="0" w:color="auto"/>
            </w:tcBorders>
            <w:shd w:val="clear" w:color="auto" w:fill="auto"/>
            <w:noWrap/>
            <w:vAlign w:val="center"/>
            <w:hideMark/>
          </w:tcPr>
          <w:p w14:paraId="3661BCE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37990608</w:t>
            </w:r>
          </w:p>
        </w:tc>
        <w:tc>
          <w:tcPr>
            <w:tcW w:w="3360" w:type="pct"/>
            <w:tcBorders>
              <w:top w:val="nil"/>
              <w:left w:val="nil"/>
              <w:bottom w:val="single" w:sz="4" w:space="0" w:color="auto"/>
              <w:right w:val="single" w:sz="4" w:space="0" w:color="auto"/>
            </w:tcBorders>
            <w:shd w:val="clear" w:color="auto" w:fill="auto"/>
            <w:vAlign w:val="center"/>
            <w:hideMark/>
          </w:tcPr>
          <w:p w14:paraId="5E992A5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MINISTRSTVO ZA NOTRANJE ZADEVE INŠPEKTORAT REPUBLIKE SLOVENIJE ZA NOTRANJE ZADEVE</w:t>
            </w:r>
          </w:p>
        </w:tc>
      </w:tr>
      <w:tr w:rsidR="00E3750C" w:rsidRPr="00415AB3" w14:paraId="73D3C38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296BE8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838</w:t>
            </w:r>
          </w:p>
        </w:tc>
        <w:tc>
          <w:tcPr>
            <w:tcW w:w="705" w:type="pct"/>
            <w:tcBorders>
              <w:top w:val="nil"/>
              <w:left w:val="nil"/>
              <w:bottom w:val="single" w:sz="4" w:space="0" w:color="auto"/>
              <w:right w:val="single" w:sz="4" w:space="0" w:color="auto"/>
            </w:tcBorders>
            <w:shd w:val="clear" w:color="auto" w:fill="auto"/>
            <w:noWrap/>
            <w:vAlign w:val="center"/>
            <w:hideMark/>
          </w:tcPr>
          <w:p w14:paraId="1C1783F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1332813054</w:t>
            </w:r>
          </w:p>
        </w:tc>
        <w:tc>
          <w:tcPr>
            <w:tcW w:w="547" w:type="pct"/>
            <w:tcBorders>
              <w:top w:val="nil"/>
              <w:left w:val="nil"/>
              <w:bottom w:val="single" w:sz="4" w:space="0" w:color="auto"/>
              <w:right w:val="single" w:sz="4" w:space="0" w:color="auto"/>
            </w:tcBorders>
            <w:shd w:val="clear" w:color="auto" w:fill="auto"/>
            <w:noWrap/>
            <w:vAlign w:val="center"/>
            <w:hideMark/>
          </w:tcPr>
          <w:p w14:paraId="4D2EE64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47429518</w:t>
            </w:r>
          </w:p>
        </w:tc>
        <w:tc>
          <w:tcPr>
            <w:tcW w:w="3360" w:type="pct"/>
            <w:tcBorders>
              <w:top w:val="nil"/>
              <w:left w:val="nil"/>
              <w:bottom w:val="single" w:sz="4" w:space="0" w:color="auto"/>
              <w:right w:val="single" w:sz="4" w:space="0" w:color="auto"/>
            </w:tcBorders>
            <w:shd w:val="clear" w:color="auto" w:fill="auto"/>
            <w:vAlign w:val="center"/>
            <w:hideMark/>
          </w:tcPr>
          <w:p w14:paraId="1B46526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MINISTRSTVO ZA NOTRANJE ZADEVE POLICIJA</w:t>
            </w:r>
          </w:p>
        </w:tc>
      </w:tr>
      <w:tr w:rsidR="00E3750C" w:rsidRPr="00415AB3" w14:paraId="4D44CD0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E01264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839</w:t>
            </w:r>
          </w:p>
        </w:tc>
        <w:tc>
          <w:tcPr>
            <w:tcW w:w="705" w:type="pct"/>
            <w:tcBorders>
              <w:top w:val="nil"/>
              <w:left w:val="nil"/>
              <w:bottom w:val="single" w:sz="4" w:space="0" w:color="auto"/>
              <w:right w:val="single" w:sz="4" w:space="0" w:color="auto"/>
            </w:tcBorders>
            <w:shd w:val="clear" w:color="auto" w:fill="auto"/>
            <w:noWrap/>
            <w:vAlign w:val="center"/>
            <w:hideMark/>
          </w:tcPr>
          <w:p w14:paraId="2D254A2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1332813000</w:t>
            </w:r>
          </w:p>
        </w:tc>
        <w:tc>
          <w:tcPr>
            <w:tcW w:w="547" w:type="pct"/>
            <w:tcBorders>
              <w:top w:val="nil"/>
              <w:left w:val="nil"/>
              <w:bottom w:val="single" w:sz="4" w:space="0" w:color="auto"/>
              <w:right w:val="single" w:sz="4" w:space="0" w:color="auto"/>
            </w:tcBorders>
            <w:shd w:val="clear" w:color="auto" w:fill="auto"/>
            <w:noWrap/>
            <w:vAlign w:val="center"/>
            <w:hideMark/>
          </w:tcPr>
          <w:p w14:paraId="0A9B93E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47429518</w:t>
            </w:r>
          </w:p>
        </w:tc>
        <w:tc>
          <w:tcPr>
            <w:tcW w:w="3360" w:type="pct"/>
            <w:tcBorders>
              <w:top w:val="nil"/>
              <w:left w:val="nil"/>
              <w:bottom w:val="single" w:sz="4" w:space="0" w:color="auto"/>
              <w:right w:val="single" w:sz="4" w:space="0" w:color="auto"/>
            </w:tcBorders>
            <w:shd w:val="clear" w:color="auto" w:fill="auto"/>
            <w:vAlign w:val="center"/>
            <w:hideMark/>
          </w:tcPr>
          <w:p w14:paraId="0D8548C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MINISTRSTVO ZA NOTRANJE ZADEVE POLICIJA</w:t>
            </w:r>
          </w:p>
        </w:tc>
      </w:tr>
      <w:tr w:rsidR="00E3750C" w:rsidRPr="00415AB3" w14:paraId="0D66B3F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37B941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840</w:t>
            </w:r>
          </w:p>
        </w:tc>
        <w:tc>
          <w:tcPr>
            <w:tcW w:w="705" w:type="pct"/>
            <w:tcBorders>
              <w:top w:val="nil"/>
              <w:left w:val="nil"/>
              <w:bottom w:val="single" w:sz="4" w:space="0" w:color="auto"/>
              <w:right w:val="single" w:sz="4" w:space="0" w:color="auto"/>
            </w:tcBorders>
            <w:shd w:val="clear" w:color="auto" w:fill="auto"/>
            <w:noWrap/>
            <w:vAlign w:val="center"/>
            <w:hideMark/>
          </w:tcPr>
          <w:p w14:paraId="16ECEF7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5268923000</w:t>
            </w:r>
          </w:p>
        </w:tc>
        <w:tc>
          <w:tcPr>
            <w:tcW w:w="547" w:type="pct"/>
            <w:tcBorders>
              <w:top w:val="nil"/>
              <w:left w:val="nil"/>
              <w:bottom w:val="single" w:sz="4" w:space="0" w:color="auto"/>
              <w:right w:val="single" w:sz="4" w:space="0" w:color="auto"/>
            </w:tcBorders>
            <w:shd w:val="clear" w:color="auto" w:fill="auto"/>
            <w:noWrap/>
            <w:vAlign w:val="center"/>
            <w:hideMark/>
          </w:tcPr>
          <w:p w14:paraId="1AAAF85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47978457</w:t>
            </w:r>
          </w:p>
        </w:tc>
        <w:tc>
          <w:tcPr>
            <w:tcW w:w="3360" w:type="pct"/>
            <w:tcBorders>
              <w:top w:val="nil"/>
              <w:left w:val="nil"/>
              <w:bottom w:val="single" w:sz="4" w:space="0" w:color="auto"/>
              <w:right w:val="single" w:sz="4" w:space="0" w:color="auto"/>
            </w:tcBorders>
            <w:shd w:val="clear" w:color="auto" w:fill="auto"/>
            <w:vAlign w:val="center"/>
            <w:hideMark/>
          </w:tcPr>
          <w:p w14:paraId="2C066BE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MINISTRSTVO ZA OBRAMBO</w:t>
            </w:r>
          </w:p>
        </w:tc>
      </w:tr>
      <w:tr w:rsidR="00E3750C" w:rsidRPr="00415AB3" w14:paraId="7799DE3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813014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841</w:t>
            </w:r>
          </w:p>
        </w:tc>
        <w:tc>
          <w:tcPr>
            <w:tcW w:w="705" w:type="pct"/>
            <w:tcBorders>
              <w:top w:val="nil"/>
              <w:left w:val="nil"/>
              <w:bottom w:val="single" w:sz="4" w:space="0" w:color="auto"/>
              <w:right w:val="single" w:sz="4" w:space="0" w:color="auto"/>
            </w:tcBorders>
            <w:shd w:val="clear" w:color="auto" w:fill="auto"/>
            <w:noWrap/>
            <w:vAlign w:val="center"/>
            <w:hideMark/>
          </w:tcPr>
          <w:p w14:paraId="4C24752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2482789000</w:t>
            </w:r>
          </w:p>
        </w:tc>
        <w:tc>
          <w:tcPr>
            <w:tcW w:w="547" w:type="pct"/>
            <w:tcBorders>
              <w:top w:val="nil"/>
              <w:left w:val="nil"/>
              <w:bottom w:val="single" w:sz="4" w:space="0" w:color="auto"/>
              <w:right w:val="single" w:sz="4" w:space="0" w:color="auto"/>
            </w:tcBorders>
            <w:shd w:val="clear" w:color="auto" w:fill="auto"/>
            <w:noWrap/>
            <w:vAlign w:val="center"/>
            <w:hideMark/>
          </w:tcPr>
          <w:p w14:paraId="2DB039A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55058515</w:t>
            </w:r>
          </w:p>
        </w:tc>
        <w:tc>
          <w:tcPr>
            <w:tcW w:w="3360" w:type="pct"/>
            <w:tcBorders>
              <w:top w:val="nil"/>
              <w:left w:val="nil"/>
              <w:bottom w:val="single" w:sz="4" w:space="0" w:color="auto"/>
              <w:right w:val="single" w:sz="4" w:space="0" w:color="auto"/>
            </w:tcBorders>
            <w:shd w:val="clear" w:color="auto" w:fill="auto"/>
            <w:vAlign w:val="center"/>
            <w:hideMark/>
          </w:tcPr>
          <w:p w14:paraId="5C9FC01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MINISTRSTVO ZA OKOLJE IN PROSTOR</w:t>
            </w:r>
          </w:p>
        </w:tc>
      </w:tr>
      <w:tr w:rsidR="00E3750C" w:rsidRPr="00415AB3" w14:paraId="31F7DA40"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4EEE15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842</w:t>
            </w:r>
          </w:p>
        </w:tc>
        <w:tc>
          <w:tcPr>
            <w:tcW w:w="705" w:type="pct"/>
            <w:tcBorders>
              <w:top w:val="nil"/>
              <w:left w:val="nil"/>
              <w:bottom w:val="single" w:sz="4" w:space="0" w:color="auto"/>
              <w:right w:val="single" w:sz="4" w:space="0" w:color="auto"/>
            </w:tcBorders>
            <w:shd w:val="clear" w:color="auto" w:fill="auto"/>
            <w:noWrap/>
            <w:vAlign w:val="center"/>
            <w:hideMark/>
          </w:tcPr>
          <w:p w14:paraId="3B4775B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2516152000</w:t>
            </w:r>
          </w:p>
        </w:tc>
        <w:tc>
          <w:tcPr>
            <w:tcW w:w="547" w:type="pct"/>
            <w:tcBorders>
              <w:top w:val="nil"/>
              <w:left w:val="nil"/>
              <w:bottom w:val="single" w:sz="4" w:space="0" w:color="auto"/>
              <w:right w:val="single" w:sz="4" w:space="0" w:color="auto"/>
            </w:tcBorders>
            <w:shd w:val="clear" w:color="auto" w:fill="auto"/>
            <w:noWrap/>
            <w:vAlign w:val="center"/>
            <w:hideMark/>
          </w:tcPr>
          <w:p w14:paraId="3F7C90C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34921567</w:t>
            </w:r>
          </w:p>
        </w:tc>
        <w:tc>
          <w:tcPr>
            <w:tcW w:w="3360" w:type="pct"/>
            <w:tcBorders>
              <w:top w:val="nil"/>
              <w:left w:val="nil"/>
              <w:bottom w:val="single" w:sz="4" w:space="0" w:color="auto"/>
              <w:right w:val="single" w:sz="4" w:space="0" w:color="auto"/>
            </w:tcBorders>
            <w:shd w:val="clear" w:color="auto" w:fill="auto"/>
            <w:vAlign w:val="center"/>
            <w:hideMark/>
          </w:tcPr>
          <w:p w14:paraId="28CBEAB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MINISTRSTVO ZA OKOLJE IN PROSTOR DIREKCIJA REPUBLIKE SLOVENIJE ZA VODE</w:t>
            </w:r>
          </w:p>
        </w:tc>
      </w:tr>
      <w:tr w:rsidR="00E3750C" w:rsidRPr="00415AB3" w14:paraId="7C41335B"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C7CA17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843</w:t>
            </w:r>
          </w:p>
        </w:tc>
        <w:tc>
          <w:tcPr>
            <w:tcW w:w="705" w:type="pct"/>
            <w:tcBorders>
              <w:top w:val="nil"/>
              <w:left w:val="nil"/>
              <w:bottom w:val="single" w:sz="4" w:space="0" w:color="auto"/>
              <w:right w:val="single" w:sz="4" w:space="0" w:color="auto"/>
            </w:tcBorders>
            <w:shd w:val="clear" w:color="auto" w:fill="auto"/>
            <w:noWrap/>
            <w:vAlign w:val="center"/>
            <w:hideMark/>
          </w:tcPr>
          <w:p w14:paraId="244A3DE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2482878000</w:t>
            </w:r>
          </w:p>
        </w:tc>
        <w:tc>
          <w:tcPr>
            <w:tcW w:w="547" w:type="pct"/>
            <w:tcBorders>
              <w:top w:val="nil"/>
              <w:left w:val="nil"/>
              <w:bottom w:val="single" w:sz="4" w:space="0" w:color="auto"/>
              <w:right w:val="single" w:sz="4" w:space="0" w:color="auto"/>
            </w:tcBorders>
            <w:shd w:val="clear" w:color="auto" w:fill="auto"/>
            <w:noWrap/>
            <w:vAlign w:val="center"/>
            <w:hideMark/>
          </w:tcPr>
          <w:p w14:paraId="4F347B5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18945082</w:t>
            </w:r>
          </w:p>
        </w:tc>
        <w:tc>
          <w:tcPr>
            <w:tcW w:w="3360" w:type="pct"/>
            <w:tcBorders>
              <w:top w:val="nil"/>
              <w:left w:val="nil"/>
              <w:bottom w:val="single" w:sz="4" w:space="0" w:color="auto"/>
              <w:right w:val="single" w:sz="4" w:space="0" w:color="auto"/>
            </w:tcBorders>
            <w:shd w:val="clear" w:color="auto" w:fill="auto"/>
            <w:vAlign w:val="center"/>
            <w:hideMark/>
          </w:tcPr>
          <w:p w14:paraId="2B6C7E9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MINISTRSTVO ZA OKOLJE IN PROSTOR, AGENCIJA REPUBLIKE SLOVENIJE ZA OKOLJE</w:t>
            </w:r>
          </w:p>
        </w:tc>
      </w:tr>
      <w:tr w:rsidR="00E3750C" w:rsidRPr="00415AB3" w14:paraId="136F7657"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C5C155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844</w:t>
            </w:r>
          </w:p>
        </w:tc>
        <w:tc>
          <w:tcPr>
            <w:tcW w:w="705" w:type="pct"/>
            <w:tcBorders>
              <w:top w:val="nil"/>
              <w:left w:val="nil"/>
              <w:bottom w:val="single" w:sz="4" w:space="0" w:color="auto"/>
              <w:right w:val="single" w:sz="4" w:space="0" w:color="auto"/>
            </w:tcBorders>
            <w:shd w:val="clear" w:color="auto" w:fill="auto"/>
            <w:noWrap/>
            <w:vAlign w:val="center"/>
            <w:hideMark/>
          </w:tcPr>
          <w:p w14:paraId="23AC221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2482886000</w:t>
            </w:r>
          </w:p>
        </w:tc>
        <w:tc>
          <w:tcPr>
            <w:tcW w:w="547" w:type="pct"/>
            <w:tcBorders>
              <w:top w:val="nil"/>
              <w:left w:val="nil"/>
              <w:bottom w:val="single" w:sz="4" w:space="0" w:color="auto"/>
              <w:right w:val="single" w:sz="4" w:space="0" w:color="auto"/>
            </w:tcBorders>
            <w:shd w:val="clear" w:color="auto" w:fill="auto"/>
            <w:noWrap/>
            <w:vAlign w:val="center"/>
            <w:hideMark/>
          </w:tcPr>
          <w:p w14:paraId="1DA4CB1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57410763</w:t>
            </w:r>
          </w:p>
        </w:tc>
        <w:tc>
          <w:tcPr>
            <w:tcW w:w="3360" w:type="pct"/>
            <w:tcBorders>
              <w:top w:val="nil"/>
              <w:left w:val="nil"/>
              <w:bottom w:val="single" w:sz="4" w:space="0" w:color="auto"/>
              <w:right w:val="single" w:sz="4" w:space="0" w:color="auto"/>
            </w:tcBorders>
            <w:shd w:val="clear" w:color="auto" w:fill="auto"/>
            <w:vAlign w:val="center"/>
            <w:hideMark/>
          </w:tcPr>
          <w:p w14:paraId="560EDE3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MINISTRSTVO ZA OKOLJE IN PROSTOR, GEODETSKA UPRAVA REPUBLIKE SLOVENIJE</w:t>
            </w:r>
          </w:p>
        </w:tc>
      </w:tr>
      <w:tr w:rsidR="00E3750C" w:rsidRPr="00415AB3" w14:paraId="74DB93AC"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61BAE5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845</w:t>
            </w:r>
          </w:p>
        </w:tc>
        <w:tc>
          <w:tcPr>
            <w:tcW w:w="705" w:type="pct"/>
            <w:tcBorders>
              <w:top w:val="nil"/>
              <w:left w:val="nil"/>
              <w:bottom w:val="single" w:sz="4" w:space="0" w:color="auto"/>
              <w:right w:val="single" w:sz="4" w:space="0" w:color="auto"/>
            </w:tcBorders>
            <w:shd w:val="clear" w:color="auto" w:fill="auto"/>
            <w:noWrap/>
            <w:vAlign w:val="center"/>
            <w:hideMark/>
          </w:tcPr>
          <w:p w14:paraId="5EFC051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2482894000</w:t>
            </w:r>
          </w:p>
        </w:tc>
        <w:tc>
          <w:tcPr>
            <w:tcW w:w="547" w:type="pct"/>
            <w:tcBorders>
              <w:top w:val="nil"/>
              <w:left w:val="nil"/>
              <w:bottom w:val="single" w:sz="4" w:space="0" w:color="auto"/>
              <w:right w:val="single" w:sz="4" w:space="0" w:color="auto"/>
            </w:tcBorders>
            <w:shd w:val="clear" w:color="auto" w:fill="auto"/>
            <w:noWrap/>
            <w:vAlign w:val="center"/>
            <w:hideMark/>
          </w:tcPr>
          <w:p w14:paraId="055B1F4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46975268</w:t>
            </w:r>
          </w:p>
        </w:tc>
        <w:tc>
          <w:tcPr>
            <w:tcW w:w="3360" w:type="pct"/>
            <w:tcBorders>
              <w:top w:val="nil"/>
              <w:left w:val="nil"/>
              <w:bottom w:val="single" w:sz="4" w:space="0" w:color="auto"/>
              <w:right w:val="single" w:sz="4" w:space="0" w:color="auto"/>
            </w:tcBorders>
            <w:shd w:val="clear" w:color="auto" w:fill="auto"/>
            <w:vAlign w:val="center"/>
            <w:hideMark/>
          </w:tcPr>
          <w:p w14:paraId="13CB2F2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MINISTRSTVO ZA OKOLJE IN PROSTOR, INŠPEKTORAT REPUBLIKE SLOVENIJE ZA OKOLJE IN PROSTOR</w:t>
            </w:r>
          </w:p>
        </w:tc>
      </w:tr>
      <w:tr w:rsidR="00E3750C" w:rsidRPr="00415AB3" w14:paraId="27491C51"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6BD1E6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846</w:t>
            </w:r>
          </w:p>
        </w:tc>
        <w:tc>
          <w:tcPr>
            <w:tcW w:w="705" w:type="pct"/>
            <w:tcBorders>
              <w:top w:val="nil"/>
              <w:left w:val="nil"/>
              <w:bottom w:val="single" w:sz="4" w:space="0" w:color="auto"/>
              <w:right w:val="single" w:sz="4" w:space="0" w:color="auto"/>
            </w:tcBorders>
            <w:shd w:val="clear" w:color="auto" w:fill="auto"/>
            <w:noWrap/>
            <w:vAlign w:val="center"/>
            <w:hideMark/>
          </w:tcPr>
          <w:p w14:paraId="4044251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2482860000</w:t>
            </w:r>
          </w:p>
        </w:tc>
        <w:tc>
          <w:tcPr>
            <w:tcW w:w="547" w:type="pct"/>
            <w:tcBorders>
              <w:top w:val="nil"/>
              <w:left w:val="nil"/>
              <w:bottom w:val="single" w:sz="4" w:space="0" w:color="auto"/>
              <w:right w:val="single" w:sz="4" w:space="0" w:color="auto"/>
            </w:tcBorders>
            <w:shd w:val="clear" w:color="auto" w:fill="auto"/>
            <w:noWrap/>
            <w:vAlign w:val="center"/>
            <w:hideMark/>
          </w:tcPr>
          <w:p w14:paraId="114EDA3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85030791</w:t>
            </w:r>
          </w:p>
        </w:tc>
        <w:tc>
          <w:tcPr>
            <w:tcW w:w="3360" w:type="pct"/>
            <w:tcBorders>
              <w:top w:val="nil"/>
              <w:left w:val="nil"/>
              <w:bottom w:val="single" w:sz="4" w:space="0" w:color="auto"/>
              <w:right w:val="single" w:sz="4" w:space="0" w:color="auto"/>
            </w:tcBorders>
            <w:shd w:val="clear" w:color="auto" w:fill="auto"/>
            <w:vAlign w:val="center"/>
            <w:hideMark/>
          </w:tcPr>
          <w:p w14:paraId="1917209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MINISTRSTVO ZA OKOLJE IN PROSTOR, UPRAVA REPUBLIKE SLOVENIJE ZA JEDRSKO VARNOST</w:t>
            </w:r>
          </w:p>
        </w:tc>
      </w:tr>
      <w:tr w:rsidR="00E3750C" w:rsidRPr="00415AB3" w14:paraId="5B64186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AD0076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847</w:t>
            </w:r>
          </w:p>
        </w:tc>
        <w:tc>
          <w:tcPr>
            <w:tcW w:w="705" w:type="pct"/>
            <w:tcBorders>
              <w:top w:val="nil"/>
              <w:left w:val="nil"/>
              <w:bottom w:val="single" w:sz="4" w:space="0" w:color="auto"/>
              <w:right w:val="single" w:sz="4" w:space="0" w:color="auto"/>
            </w:tcBorders>
            <w:shd w:val="clear" w:color="auto" w:fill="auto"/>
            <w:noWrap/>
            <w:vAlign w:val="center"/>
            <w:hideMark/>
          </w:tcPr>
          <w:p w14:paraId="59B8A1D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2399237000</w:t>
            </w:r>
          </w:p>
        </w:tc>
        <w:tc>
          <w:tcPr>
            <w:tcW w:w="547" w:type="pct"/>
            <w:tcBorders>
              <w:top w:val="nil"/>
              <w:left w:val="nil"/>
              <w:bottom w:val="single" w:sz="4" w:space="0" w:color="auto"/>
              <w:right w:val="single" w:sz="4" w:space="0" w:color="auto"/>
            </w:tcBorders>
            <w:shd w:val="clear" w:color="auto" w:fill="auto"/>
            <w:noWrap/>
            <w:vAlign w:val="center"/>
            <w:hideMark/>
          </w:tcPr>
          <w:p w14:paraId="1B2530B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32179090</w:t>
            </w:r>
          </w:p>
        </w:tc>
        <w:tc>
          <w:tcPr>
            <w:tcW w:w="3360" w:type="pct"/>
            <w:tcBorders>
              <w:top w:val="nil"/>
              <w:left w:val="nil"/>
              <w:bottom w:val="single" w:sz="4" w:space="0" w:color="auto"/>
              <w:right w:val="single" w:sz="4" w:space="0" w:color="auto"/>
            </w:tcBorders>
            <w:shd w:val="clear" w:color="auto" w:fill="auto"/>
            <w:vAlign w:val="center"/>
            <w:hideMark/>
          </w:tcPr>
          <w:p w14:paraId="7CC98E4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MINISTRSTVO ZA PRAVOSODJE</w:t>
            </w:r>
          </w:p>
        </w:tc>
      </w:tr>
      <w:tr w:rsidR="00E3750C" w:rsidRPr="00415AB3" w14:paraId="11BAAB5E"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A09F75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848</w:t>
            </w:r>
          </w:p>
        </w:tc>
        <w:tc>
          <w:tcPr>
            <w:tcW w:w="705" w:type="pct"/>
            <w:tcBorders>
              <w:top w:val="nil"/>
              <w:left w:val="nil"/>
              <w:bottom w:val="single" w:sz="4" w:space="0" w:color="auto"/>
              <w:right w:val="single" w:sz="4" w:space="0" w:color="auto"/>
            </w:tcBorders>
            <w:shd w:val="clear" w:color="auto" w:fill="auto"/>
            <w:noWrap/>
            <w:vAlign w:val="center"/>
            <w:hideMark/>
          </w:tcPr>
          <w:p w14:paraId="5B61E9F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2516268000</w:t>
            </w:r>
          </w:p>
        </w:tc>
        <w:tc>
          <w:tcPr>
            <w:tcW w:w="547" w:type="pct"/>
            <w:tcBorders>
              <w:top w:val="nil"/>
              <w:left w:val="nil"/>
              <w:bottom w:val="single" w:sz="4" w:space="0" w:color="auto"/>
              <w:right w:val="single" w:sz="4" w:space="0" w:color="auto"/>
            </w:tcBorders>
            <w:shd w:val="clear" w:color="auto" w:fill="auto"/>
            <w:noWrap/>
            <w:vAlign w:val="center"/>
            <w:hideMark/>
          </w:tcPr>
          <w:p w14:paraId="5658A4A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93314272</w:t>
            </w:r>
          </w:p>
        </w:tc>
        <w:tc>
          <w:tcPr>
            <w:tcW w:w="3360" w:type="pct"/>
            <w:tcBorders>
              <w:top w:val="nil"/>
              <w:left w:val="nil"/>
              <w:bottom w:val="single" w:sz="4" w:space="0" w:color="auto"/>
              <w:right w:val="single" w:sz="4" w:space="0" w:color="auto"/>
            </w:tcBorders>
            <w:shd w:val="clear" w:color="auto" w:fill="auto"/>
            <w:vAlign w:val="center"/>
            <w:hideMark/>
          </w:tcPr>
          <w:p w14:paraId="21B0ABC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MINISTRSTVO ZA PRAVOSODJE UPRAVA REPUBLIKE SLOVENIJE ZA PROBACIJO</w:t>
            </w:r>
          </w:p>
        </w:tc>
      </w:tr>
      <w:tr w:rsidR="00E3750C" w:rsidRPr="00415AB3" w14:paraId="3E342B27"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14CDFD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849</w:t>
            </w:r>
          </w:p>
        </w:tc>
        <w:tc>
          <w:tcPr>
            <w:tcW w:w="705" w:type="pct"/>
            <w:tcBorders>
              <w:top w:val="nil"/>
              <w:left w:val="nil"/>
              <w:bottom w:val="single" w:sz="4" w:space="0" w:color="auto"/>
              <w:right w:val="single" w:sz="4" w:space="0" w:color="auto"/>
            </w:tcBorders>
            <w:shd w:val="clear" w:color="auto" w:fill="auto"/>
            <w:noWrap/>
            <w:vAlign w:val="center"/>
            <w:hideMark/>
          </w:tcPr>
          <w:p w14:paraId="3D34C2E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5888093000</w:t>
            </w:r>
          </w:p>
        </w:tc>
        <w:tc>
          <w:tcPr>
            <w:tcW w:w="547" w:type="pct"/>
            <w:tcBorders>
              <w:top w:val="nil"/>
              <w:left w:val="nil"/>
              <w:bottom w:val="single" w:sz="4" w:space="0" w:color="auto"/>
              <w:right w:val="single" w:sz="4" w:space="0" w:color="auto"/>
            </w:tcBorders>
            <w:shd w:val="clear" w:color="auto" w:fill="auto"/>
            <w:noWrap/>
            <w:vAlign w:val="center"/>
            <w:hideMark/>
          </w:tcPr>
          <w:p w14:paraId="2C26ED4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26731622</w:t>
            </w:r>
          </w:p>
        </w:tc>
        <w:tc>
          <w:tcPr>
            <w:tcW w:w="3360" w:type="pct"/>
            <w:tcBorders>
              <w:top w:val="nil"/>
              <w:left w:val="nil"/>
              <w:bottom w:val="single" w:sz="4" w:space="0" w:color="auto"/>
              <w:right w:val="single" w:sz="4" w:space="0" w:color="auto"/>
            </w:tcBorders>
            <w:shd w:val="clear" w:color="auto" w:fill="auto"/>
            <w:vAlign w:val="center"/>
            <w:hideMark/>
          </w:tcPr>
          <w:p w14:paraId="6C6A1F0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MINISTRSTVO ZA PRAVOSODJE UPRAVA RS ZA IZVRŠEVANJE KAZENSKIH SANKCIJ</w:t>
            </w:r>
          </w:p>
        </w:tc>
      </w:tr>
      <w:tr w:rsidR="00E3750C" w:rsidRPr="00415AB3" w14:paraId="5804F9D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2683D3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850</w:t>
            </w:r>
          </w:p>
        </w:tc>
        <w:tc>
          <w:tcPr>
            <w:tcW w:w="705" w:type="pct"/>
            <w:tcBorders>
              <w:top w:val="nil"/>
              <w:left w:val="nil"/>
              <w:bottom w:val="single" w:sz="4" w:space="0" w:color="auto"/>
              <w:right w:val="single" w:sz="4" w:space="0" w:color="auto"/>
            </w:tcBorders>
            <w:shd w:val="clear" w:color="auto" w:fill="auto"/>
            <w:noWrap/>
            <w:vAlign w:val="center"/>
            <w:hideMark/>
          </w:tcPr>
          <w:p w14:paraId="2401AD8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5030544000</w:t>
            </w:r>
          </w:p>
        </w:tc>
        <w:tc>
          <w:tcPr>
            <w:tcW w:w="547" w:type="pct"/>
            <w:tcBorders>
              <w:top w:val="nil"/>
              <w:left w:val="nil"/>
              <w:bottom w:val="single" w:sz="4" w:space="0" w:color="auto"/>
              <w:right w:val="single" w:sz="4" w:space="0" w:color="auto"/>
            </w:tcBorders>
            <w:shd w:val="clear" w:color="auto" w:fill="auto"/>
            <w:noWrap/>
            <w:vAlign w:val="center"/>
            <w:hideMark/>
          </w:tcPr>
          <w:p w14:paraId="6F6B6E7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96395265</w:t>
            </w:r>
          </w:p>
        </w:tc>
        <w:tc>
          <w:tcPr>
            <w:tcW w:w="3360" w:type="pct"/>
            <w:tcBorders>
              <w:top w:val="nil"/>
              <w:left w:val="nil"/>
              <w:bottom w:val="single" w:sz="4" w:space="0" w:color="auto"/>
              <w:right w:val="single" w:sz="4" w:space="0" w:color="auto"/>
            </w:tcBorders>
            <w:shd w:val="clear" w:color="auto" w:fill="auto"/>
            <w:vAlign w:val="center"/>
            <w:hideMark/>
          </w:tcPr>
          <w:p w14:paraId="07796AD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MINISTRSTVO ZA ZDRAVJE</w:t>
            </w:r>
          </w:p>
        </w:tc>
      </w:tr>
      <w:tr w:rsidR="00E3750C" w:rsidRPr="00415AB3" w14:paraId="55FE14E1"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1F1CCB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851</w:t>
            </w:r>
          </w:p>
        </w:tc>
        <w:tc>
          <w:tcPr>
            <w:tcW w:w="705" w:type="pct"/>
            <w:tcBorders>
              <w:top w:val="nil"/>
              <w:left w:val="nil"/>
              <w:bottom w:val="single" w:sz="4" w:space="0" w:color="auto"/>
              <w:right w:val="single" w:sz="4" w:space="0" w:color="auto"/>
            </w:tcBorders>
            <w:shd w:val="clear" w:color="auto" w:fill="auto"/>
            <w:noWrap/>
            <w:vAlign w:val="center"/>
            <w:hideMark/>
          </w:tcPr>
          <w:p w14:paraId="4446EB2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1729489000</w:t>
            </w:r>
          </w:p>
        </w:tc>
        <w:tc>
          <w:tcPr>
            <w:tcW w:w="547" w:type="pct"/>
            <w:tcBorders>
              <w:top w:val="nil"/>
              <w:left w:val="nil"/>
              <w:bottom w:val="single" w:sz="4" w:space="0" w:color="auto"/>
              <w:right w:val="single" w:sz="4" w:space="0" w:color="auto"/>
            </w:tcBorders>
            <w:shd w:val="clear" w:color="auto" w:fill="auto"/>
            <w:noWrap/>
            <w:vAlign w:val="center"/>
            <w:hideMark/>
          </w:tcPr>
          <w:p w14:paraId="6FB9431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19179766</w:t>
            </w:r>
          </w:p>
        </w:tc>
        <w:tc>
          <w:tcPr>
            <w:tcW w:w="3360" w:type="pct"/>
            <w:tcBorders>
              <w:top w:val="nil"/>
              <w:left w:val="nil"/>
              <w:bottom w:val="single" w:sz="4" w:space="0" w:color="auto"/>
              <w:right w:val="single" w:sz="4" w:space="0" w:color="auto"/>
            </w:tcBorders>
            <w:shd w:val="clear" w:color="auto" w:fill="auto"/>
            <w:vAlign w:val="center"/>
            <w:hideMark/>
          </w:tcPr>
          <w:p w14:paraId="314F9B1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MINISTRSTVO ZA ZDRAVJE UPRAVA REPUBLIKE SLOVENIJE ZA VARSTVO PRED SEVANJI</w:t>
            </w:r>
          </w:p>
        </w:tc>
      </w:tr>
      <w:tr w:rsidR="00E3750C" w:rsidRPr="00415AB3" w14:paraId="2DD1CA5B"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F73CCD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852</w:t>
            </w:r>
          </w:p>
        </w:tc>
        <w:tc>
          <w:tcPr>
            <w:tcW w:w="705" w:type="pct"/>
            <w:tcBorders>
              <w:top w:val="nil"/>
              <w:left w:val="nil"/>
              <w:bottom w:val="single" w:sz="4" w:space="0" w:color="auto"/>
              <w:right w:val="single" w:sz="4" w:space="0" w:color="auto"/>
            </w:tcBorders>
            <w:shd w:val="clear" w:color="auto" w:fill="auto"/>
            <w:noWrap/>
            <w:vAlign w:val="center"/>
            <w:hideMark/>
          </w:tcPr>
          <w:p w14:paraId="68850F9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5875048000</w:t>
            </w:r>
          </w:p>
        </w:tc>
        <w:tc>
          <w:tcPr>
            <w:tcW w:w="547" w:type="pct"/>
            <w:tcBorders>
              <w:top w:val="nil"/>
              <w:left w:val="nil"/>
              <w:bottom w:val="single" w:sz="4" w:space="0" w:color="auto"/>
              <w:right w:val="single" w:sz="4" w:space="0" w:color="auto"/>
            </w:tcBorders>
            <w:shd w:val="clear" w:color="auto" w:fill="auto"/>
            <w:noWrap/>
            <w:vAlign w:val="center"/>
            <w:hideMark/>
          </w:tcPr>
          <w:p w14:paraId="53B31CD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61552160</w:t>
            </w:r>
          </w:p>
        </w:tc>
        <w:tc>
          <w:tcPr>
            <w:tcW w:w="3360" w:type="pct"/>
            <w:tcBorders>
              <w:top w:val="nil"/>
              <w:left w:val="nil"/>
              <w:bottom w:val="single" w:sz="4" w:space="0" w:color="auto"/>
              <w:right w:val="single" w:sz="4" w:space="0" w:color="auto"/>
            </w:tcBorders>
            <w:shd w:val="clear" w:color="auto" w:fill="auto"/>
            <w:vAlign w:val="center"/>
            <w:hideMark/>
          </w:tcPr>
          <w:p w14:paraId="19675FC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MINISTRSTVO ZA ZDRAVJE ZDRAVSTVENI INŠPEKTORAT REPUBLIKE SLOVENIJE</w:t>
            </w:r>
          </w:p>
        </w:tc>
      </w:tr>
      <w:tr w:rsidR="00E3750C" w:rsidRPr="00415AB3" w14:paraId="6D67EA3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44CCAF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853</w:t>
            </w:r>
          </w:p>
        </w:tc>
        <w:tc>
          <w:tcPr>
            <w:tcW w:w="705" w:type="pct"/>
            <w:tcBorders>
              <w:top w:val="nil"/>
              <w:left w:val="nil"/>
              <w:bottom w:val="single" w:sz="4" w:space="0" w:color="auto"/>
              <w:right w:val="single" w:sz="4" w:space="0" w:color="auto"/>
            </w:tcBorders>
            <w:shd w:val="clear" w:color="auto" w:fill="auto"/>
            <w:noWrap/>
            <w:vAlign w:val="center"/>
            <w:hideMark/>
          </w:tcPr>
          <w:p w14:paraId="711351A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5186722000</w:t>
            </w:r>
          </w:p>
        </w:tc>
        <w:tc>
          <w:tcPr>
            <w:tcW w:w="547" w:type="pct"/>
            <w:tcBorders>
              <w:top w:val="nil"/>
              <w:left w:val="nil"/>
              <w:bottom w:val="single" w:sz="4" w:space="0" w:color="auto"/>
              <w:right w:val="single" w:sz="4" w:space="0" w:color="auto"/>
            </w:tcBorders>
            <w:shd w:val="clear" w:color="auto" w:fill="auto"/>
            <w:noWrap/>
            <w:vAlign w:val="center"/>
            <w:hideMark/>
          </w:tcPr>
          <w:p w14:paraId="0D2F568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96258420</w:t>
            </w:r>
          </w:p>
        </w:tc>
        <w:tc>
          <w:tcPr>
            <w:tcW w:w="3360" w:type="pct"/>
            <w:tcBorders>
              <w:top w:val="nil"/>
              <w:left w:val="nil"/>
              <w:bottom w:val="single" w:sz="4" w:space="0" w:color="auto"/>
              <w:right w:val="single" w:sz="4" w:space="0" w:color="auto"/>
            </w:tcBorders>
            <w:shd w:val="clear" w:color="auto" w:fill="auto"/>
            <w:vAlign w:val="center"/>
            <w:hideMark/>
          </w:tcPr>
          <w:p w14:paraId="6C17F03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MINISTRSTVO ZA ZUNANJE IN EVROPSKE ZADEVE</w:t>
            </w:r>
          </w:p>
        </w:tc>
      </w:tr>
      <w:tr w:rsidR="00E3750C" w:rsidRPr="00415AB3" w14:paraId="0BA203B2"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6901CD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854</w:t>
            </w:r>
          </w:p>
        </w:tc>
        <w:tc>
          <w:tcPr>
            <w:tcW w:w="705" w:type="pct"/>
            <w:tcBorders>
              <w:top w:val="nil"/>
              <w:left w:val="nil"/>
              <w:bottom w:val="single" w:sz="4" w:space="0" w:color="auto"/>
              <w:right w:val="single" w:sz="4" w:space="0" w:color="auto"/>
            </w:tcBorders>
            <w:shd w:val="clear" w:color="auto" w:fill="auto"/>
            <w:noWrap/>
            <w:vAlign w:val="center"/>
            <w:hideMark/>
          </w:tcPr>
          <w:p w14:paraId="21B013A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5986567000</w:t>
            </w:r>
          </w:p>
        </w:tc>
        <w:tc>
          <w:tcPr>
            <w:tcW w:w="547" w:type="pct"/>
            <w:tcBorders>
              <w:top w:val="nil"/>
              <w:left w:val="nil"/>
              <w:bottom w:val="single" w:sz="4" w:space="0" w:color="auto"/>
              <w:right w:val="single" w:sz="4" w:space="0" w:color="auto"/>
            </w:tcBorders>
            <w:shd w:val="clear" w:color="auto" w:fill="auto"/>
            <w:noWrap/>
            <w:vAlign w:val="center"/>
            <w:hideMark/>
          </w:tcPr>
          <w:p w14:paraId="7AEE4DB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87432382</w:t>
            </w:r>
          </w:p>
        </w:tc>
        <w:tc>
          <w:tcPr>
            <w:tcW w:w="3360" w:type="pct"/>
            <w:tcBorders>
              <w:top w:val="nil"/>
              <w:left w:val="nil"/>
              <w:bottom w:val="single" w:sz="4" w:space="0" w:color="auto"/>
              <w:right w:val="single" w:sz="4" w:space="0" w:color="auto"/>
            </w:tcBorders>
            <w:shd w:val="clear" w:color="auto" w:fill="auto"/>
            <w:vAlign w:val="center"/>
            <w:hideMark/>
          </w:tcPr>
          <w:p w14:paraId="23298A0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MLADINSKI CENTER VELENJE KULTURA IN IZOBRAŽEVANJE, ŠALEŠKA CESTA 3, VELENJE</w:t>
            </w:r>
          </w:p>
        </w:tc>
      </w:tr>
      <w:tr w:rsidR="00E3750C" w:rsidRPr="00415AB3" w14:paraId="03FD43F0"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174778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855</w:t>
            </w:r>
          </w:p>
        </w:tc>
        <w:tc>
          <w:tcPr>
            <w:tcW w:w="705" w:type="pct"/>
            <w:tcBorders>
              <w:top w:val="nil"/>
              <w:left w:val="nil"/>
              <w:bottom w:val="single" w:sz="4" w:space="0" w:color="auto"/>
              <w:right w:val="single" w:sz="4" w:space="0" w:color="auto"/>
            </w:tcBorders>
            <w:shd w:val="clear" w:color="auto" w:fill="auto"/>
            <w:noWrap/>
            <w:vAlign w:val="center"/>
            <w:hideMark/>
          </w:tcPr>
          <w:p w14:paraId="4C19D11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8645329000</w:t>
            </w:r>
          </w:p>
        </w:tc>
        <w:tc>
          <w:tcPr>
            <w:tcW w:w="547" w:type="pct"/>
            <w:tcBorders>
              <w:top w:val="nil"/>
              <w:left w:val="nil"/>
              <w:bottom w:val="single" w:sz="4" w:space="0" w:color="auto"/>
              <w:right w:val="single" w:sz="4" w:space="0" w:color="auto"/>
            </w:tcBorders>
            <w:shd w:val="clear" w:color="auto" w:fill="auto"/>
            <w:noWrap/>
            <w:vAlign w:val="center"/>
            <w:hideMark/>
          </w:tcPr>
          <w:p w14:paraId="1577BD9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36305642</w:t>
            </w:r>
          </w:p>
        </w:tc>
        <w:tc>
          <w:tcPr>
            <w:tcW w:w="3360" w:type="pct"/>
            <w:tcBorders>
              <w:top w:val="nil"/>
              <w:left w:val="nil"/>
              <w:bottom w:val="single" w:sz="4" w:space="0" w:color="auto"/>
              <w:right w:val="single" w:sz="4" w:space="0" w:color="auto"/>
            </w:tcBorders>
            <w:shd w:val="clear" w:color="auto" w:fill="auto"/>
            <w:vAlign w:val="center"/>
            <w:hideMark/>
          </w:tcPr>
          <w:p w14:paraId="2DB1405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MLADINSKI CENTER ŽALEC, JAVNI ZAVOD ZA MLADINSKO KULTURO, IZOBRAŽEVANJE, INFORMIRANJE IN REKREACIJO</w:t>
            </w:r>
          </w:p>
        </w:tc>
      </w:tr>
      <w:tr w:rsidR="00E3750C" w:rsidRPr="00415AB3" w14:paraId="1B90DFA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623FFD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856</w:t>
            </w:r>
          </w:p>
        </w:tc>
        <w:tc>
          <w:tcPr>
            <w:tcW w:w="705" w:type="pct"/>
            <w:tcBorders>
              <w:top w:val="nil"/>
              <w:left w:val="nil"/>
              <w:bottom w:val="single" w:sz="4" w:space="0" w:color="auto"/>
              <w:right w:val="single" w:sz="4" w:space="0" w:color="auto"/>
            </w:tcBorders>
            <w:shd w:val="clear" w:color="auto" w:fill="auto"/>
            <w:noWrap/>
            <w:vAlign w:val="center"/>
            <w:hideMark/>
          </w:tcPr>
          <w:p w14:paraId="4E1BAB8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5051096000</w:t>
            </w:r>
          </w:p>
        </w:tc>
        <w:tc>
          <w:tcPr>
            <w:tcW w:w="547" w:type="pct"/>
            <w:tcBorders>
              <w:top w:val="nil"/>
              <w:left w:val="nil"/>
              <w:bottom w:val="single" w:sz="4" w:space="0" w:color="auto"/>
              <w:right w:val="single" w:sz="4" w:space="0" w:color="auto"/>
            </w:tcBorders>
            <w:shd w:val="clear" w:color="auto" w:fill="auto"/>
            <w:noWrap/>
            <w:vAlign w:val="center"/>
            <w:hideMark/>
          </w:tcPr>
          <w:p w14:paraId="16906FF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68056087</w:t>
            </w:r>
          </w:p>
        </w:tc>
        <w:tc>
          <w:tcPr>
            <w:tcW w:w="3360" w:type="pct"/>
            <w:tcBorders>
              <w:top w:val="nil"/>
              <w:left w:val="nil"/>
              <w:bottom w:val="single" w:sz="4" w:space="0" w:color="auto"/>
              <w:right w:val="single" w:sz="4" w:space="0" w:color="auto"/>
            </w:tcBorders>
            <w:shd w:val="clear" w:color="auto" w:fill="auto"/>
            <w:vAlign w:val="center"/>
            <w:hideMark/>
          </w:tcPr>
          <w:p w14:paraId="3E248F0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MLADINSKI DOM JARŠE</w:t>
            </w:r>
          </w:p>
        </w:tc>
      </w:tr>
      <w:tr w:rsidR="00E3750C" w:rsidRPr="00415AB3" w14:paraId="7DE2E94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FE011A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857</w:t>
            </w:r>
          </w:p>
        </w:tc>
        <w:tc>
          <w:tcPr>
            <w:tcW w:w="705" w:type="pct"/>
            <w:tcBorders>
              <w:top w:val="nil"/>
              <w:left w:val="nil"/>
              <w:bottom w:val="single" w:sz="4" w:space="0" w:color="auto"/>
              <w:right w:val="single" w:sz="4" w:space="0" w:color="auto"/>
            </w:tcBorders>
            <w:shd w:val="clear" w:color="auto" w:fill="auto"/>
            <w:noWrap/>
            <w:vAlign w:val="center"/>
            <w:hideMark/>
          </w:tcPr>
          <w:p w14:paraId="72114E2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5050448000</w:t>
            </w:r>
          </w:p>
        </w:tc>
        <w:tc>
          <w:tcPr>
            <w:tcW w:w="547" w:type="pct"/>
            <w:tcBorders>
              <w:top w:val="nil"/>
              <w:left w:val="nil"/>
              <w:bottom w:val="single" w:sz="4" w:space="0" w:color="auto"/>
              <w:right w:val="single" w:sz="4" w:space="0" w:color="auto"/>
            </w:tcBorders>
            <w:shd w:val="clear" w:color="auto" w:fill="auto"/>
            <w:noWrap/>
            <w:vAlign w:val="center"/>
            <w:hideMark/>
          </w:tcPr>
          <w:p w14:paraId="1CEF903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95581537</w:t>
            </w:r>
          </w:p>
        </w:tc>
        <w:tc>
          <w:tcPr>
            <w:tcW w:w="3360" w:type="pct"/>
            <w:tcBorders>
              <w:top w:val="nil"/>
              <w:left w:val="nil"/>
              <w:bottom w:val="single" w:sz="4" w:space="0" w:color="auto"/>
              <w:right w:val="single" w:sz="4" w:space="0" w:color="auto"/>
            </w:tcBorders>
            <w:shd w:val="clear" w:color="auto" w:fill="auto"/>
            <w:vAlign w:val="center"/>
            <w:hideMark/>
          </w:tcPr>
          <w:p w14:paraId="2D7BB53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MLADINSKI DOM MARIBOR</w:t>
            </w:r>
          </w:p>
        </w:tc>
      </w:tr>
      <w:tr w:rsidR="00E3750C" w:rsidRPr="00415AB3" w14:paraId="4B7CABB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51BFF6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858</w:t>
            </w:r>
          </w:p>
        </w:tc>
        <w:tc>
          <w:tcPr>
            <w:tcW w:w="705" w:type="pct"/>
            <w:tcBorders>
              <w:top w:val="nil"/>
              <w:left w:val="nil"/>
              <w:bottom w:val="single" w:sz="4" w:space="0" w:color="auto"/>
              <w:right w:val="single" w:sz="4" w:space="0" w:color="auto"/>
            </w:tcBorders>
            <w:shd w:val="clear" w:color="auto" w:fill="auto"/>
            <w:noWrap/>
            <w:vAlign w:val="center"/>
            <w:hideMark/>
          </w:tcPr>
          <w:p w14:paraId="1E226F6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5986435000</w:t>
            </w:r>
          </w:p>
        </w:tc>
        <w:tc>
          <w:tcPr>
            <w:tcW w:w="547" w:type="pct"/>
            <w:tcBorders>
              <w:top w:val="nil"/>
              <w:left w:val="nil"/>
              <w:bottom w:val="single" w:sz="4" w:space="0" w:color="auto"/>
              <w:right w:val="single" w:sz="4" w:space="0" w:color="auto"/>
            </w:tcBorders>
            <w:shd w:val="clear" w:color="auto" w:fill="auto"/>
            <w:noWrap/>
            <w:vAlign w:val="center"/>
            <w:hideMark/>
          </w:tcPr>
          <w:p w14:paraId="2A17CF5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78192072</w:t>
            </w:r>
          </w:p>
        </w:tc>
        <w:tc>
          <w:tcPr>
            <w:tcW w:w="3360" w:type="pct"/>
            <w:tcBorders>
              <w:top w:val="nil"/>
              <w:left w:val="nil"/>
              <w:bottom w:val="single" w:sz="4" w:space="0" w:color="auto"/>
              <w:right w:val="single" w:sz="4" w:space="0" w:color="auto"/>
            </w:tcBorders>
            <w:shd w:val="clear" w:color="auto" w:fill="auto"/>
            <w:vAlign w:val="center"/>
            <w:hideMark/>
          </w:tcPr>
          <w:p w14:paraId="6E79A35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MLADINSKI INFORMATIVNI IN KULTURNI KLUB MURSKA SOBOTA</w:t>
            </w:r>
          </w:p>
        </w:tc>
      </w:tr>
      <w:tr w:rsidR="00E3750C" w:rsidRPr="00415AB3" w14:paraId="39F97AB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8D4FE7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859</w:t>
            </w:r>
          </w:p>
        </w:tc>
        <w:tc>
          <w:tcPr>
            <w:tcW w:w="705" w:type="pct"/>
            <w:tcBorders>
              <w:top w:val="nil"/>
              <w:left w:val="nil"/>
              <w:bottom w:val="single" w:sz="4" w:space="0" w:color="auto"/>
              <w:right w:val="single" w:sz="4" w:space="0" w:color="auto"/>
            </w:tcBorders>
            <w:shd w:val="clear" w:color="auto" w:fill="auto"/>
            <w:noWrap/>
            <w:vAlign w:val="center"/>
            <w:hideMark/>
          </w:tcPr>
          <w:p w14:paraId="6E33441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5821371000</w:t>
            </w:r>
          </w:p>
        </w:tc>
        <w:tc>
          <w:tcPr>
            <w:tcW w:w="547" w:type="pct"/>
            <w:tcBorders>
              <w:top w:val="nil"/>
              <w:left w:val="nil"/>
              <w:bottom w:val="single" w:sz="4" w:space="0" w:color="auto"/>
              <w:right w:val="single" w:sz="4" w:space="0" w:color="auto"/>
            </w:tcBorders>
            <w:shd w:val="clear" w:color="auto" w:fill="auto"/>
            <w:noWrap/>
            <w:vAlign w:val="center"/>
            <w:hideMark/>
          </w:tcPr>
          <w:p w14:paraId="3FC91CC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32972822</w:t>
            </w:r>
          </w:p>
        </w:tc>
        <w:tc>
          <w:tcPr>
            <w:tcW w:w="3360" w:type="pct"/>
            <w:tcBorders>
              <w:top w:val="nil"/>
              <w:left w:val="nil"/>
              <w:bottom w:val="single" w:sz="4" w:space="0" w:color="auto"/>
              <w:right w:val="single" w:sz="4" w:space="0" w:color="auto"/>
            </w:tcBorders>
            <w:shd w:val="clear" w:color="auto" w:fill="auto"/>
            <w:vAlign w:val="center"/>
            <w:hideMark/>
          </w:tcPr>
          <w:p w14:paraId="2161A4B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MLADINSKI KULTURNI CENTER MARIBOR</w:t>
            </w:r>
          </w:p>
        </w:tc>
      </w:tr>
      <w:tr w:rsidR="00E3750C" w:rsidRPr="00415AB3" w14:paraId="7E0BD99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2E6989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860</w:t>
            </w:r>
          </w:p>
        </w:tc>
        <w:tc>
          <w:tcPr>
            <w:tcW w:w="705" w:type="pct"/>
            <w:tcBorders>
              <w:top w:val="nil"/>
              <w:left w:val="nil"/>
              <w:bottom w:val="single" w:sz="4" w:space="0" w:color="auto"/>
              <w:right w:val="single" w:sz="4" w:space="0" w:color="auto"/>
            </w:tcBorders>
            <w:shd w:val="clear" w:color="auto" w:fill="auto"/>
            <w:noWrap/>
            <w:vAlign w:val="center"/>
            <w:hideMark/>
          </w:tcPr>
          <w:p w14:paraId="5378192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5273943000</w:t>
            </w:r>
          </w:p>
        </w:tc>
        <w:tc>
          <w:tcPr>
            <w:tcW w:w="547" w:type="pct"/>
            <w:tcBorders>
              <w:top w:val="nil"/>
              <w:left w:val="nil"/>
              <w:bottom w:val="single" w:sz="4" w:space="0" w:color="auto"/>
              <w:right w:val="single" w:sz="4" w:space="0" w:color="auto"/>
            </w:tcBorders>
            <w:shd w:val="clear" w:color="auto" w:fill="auto"/>
            <w:noWrap/>
            <w:vAlign w:val="center"/>
            <w:hideMark/>
          </w:tcPr>
          <w:p w14:paraId="416A515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28277678</w:t>
            </w:r>
          </w:p>
        </w:tc>
        <w:tc>
          <w:tcPr>
            <w:tcW w:w="3360" w:type="pct"/>
            <w:tcBorders>
              <w:top w:val="nil"/>
              <w:left w:val="nil"/>
              <w:bottom w:val="single" w:sz="4" w:space="0" w:color="auto"/>
              <w:right w:val="single" w:sz="4" w:space="0" w:color="auto"/>
            </w:tcBorders>
            <w:shd w:val="clear" w:color="auto" w:fill="auto"/>
            <w:vAlign w:val="center"/>
            <w:hideMark/>
          </w:tcPr>
          <w:p w14:paraId="26BEBAA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MLADINSKO KLIMATSKO ZDRAVILIŠČE RAKITNA</w:t>
            </w:r>
          </w:p>
        </w:tc>
      </w:tr>
      <w:tr w:rsidR="00E3750C" w:rsidRPr="00415AB3" w14:paraId="78AE6ED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7A804F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861</w:t>
            </w:r>
          </w:p>
        </w:tc>
        <w:tc>
          <w:tcPr>
            <w:tcW w:w="705" w:type="pct"/>
            <w:tcBorders>
              <w:top w:val="nil"/>
              <w:left w:val="nil"/>
              <w:bottom w:val="single" w:sz="4" w:space="0" w:color="auto"/>
              <w:right w:val="single" w:sz="4" w:space="0" w:color="auto"/>
            </w:tcBorders>
            <w:shd w:val="clear" w:color="auto" w:fill="auto"/>
            <w:noWrap/>
            <w:vAlign w:val="center"/>
            <w:hideMark/>
          </w:tcPr>
          <w:p w14:paraId="73D298A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5055610000</w:t>
            </w:r>
          </w:p>
        </w:tc>
        <w:tc>
          <w:tcPr>
            <w:tcW w:w="547" w:type="pct"/>
            <w:tcBorders>
              <w:top w:val="nil"/>
              <w:left w:val="nil"/>
              <w:bottom w:val="single" w:sz="4" w:space="0" w:color="auto"/>
              <w:right w:val="single" w:sz="4" w:space="0" w:color="auto"/>
            </w:tcBorders>
            <w:shd w:val="clear" w:color="auto" w:fill="auto"/>
            <w:noWrap/>
            <w:vAlign w:val="center"/>
            <w:hideMark/>
          </w:tcPr>
          <w:p w14:paraId="7136DEE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77185161</w:t>
            </w:r>
          </w:p>
        </w:tc>
        <w:tc>
          <w:tcPr>
            <w:tcW w:w="3360" w:type="pct"/>
            <w:tcBorders>
              <w:top w:val="nil"/>
              <w:left w:val="nil"/>
              <w:bottom w:val="single" w:sz="4" w:space="0" w:color="auto"/>
              <w:right w:val="single" w:sz="4" w:space="0" w:color="auto"/>
            </w:tcBorders>
            <w:shd w:val="clear" w:color="auto" w:fill="auto"/>
            <w:vAlign w:val="center"/>
            <w:hideMark/>
          </w:tcPr>
          <w:p w14:paraId="6111888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MODERNA GALERIJA</w:t>
            </w:r>
          </w:p>
        </w:tc>
      </w:tr>
      <w:tr w:rsidR="00E3750C" w:rsidRPr="00415AB3" w14:paraId="02173FD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6DF0DD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862</w:t>
            </w:r>
          </w:p>
        </w:tc>
        <w:tc>
          <w:tcPr>
            <w:tcW w:w="705" w:type="pct"/>
            <w:tcBorders>
              <w:top w:val="nil"/>
              <w:left w:val="nil"/>
              <w:bottom w:val="single" w:sz="4" w:space="0" w:color="auto"/>
              <w:right w:val="single" w:sz="4" w:space="0" w:color="auto"/>
            </w:tcBorders>
            <w:shd w:val="clear" w:color="auto" w:fill="auto"/>
            <w:noWrap/>
            <w:vAlign w:val="center"/>
            <w:hideMark/>
          </w:tcPr>
          <w:p w14:paraId="4623B68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3454428000</w:t>
            </w:r>
          </w:p>
        </w:tc>
        <w:tc>
          <w:tcPr>
            <w:tcW w:w="547" w:type="pct"/>
            <w:tcBorders>
              <w:top w:val="nil"/>
              <w:left w:val="nil"/>
              <w:bottom w:val="single" w:sz="4" w:space="0" w:color="auto"/>
              <w:right w:val="single" w:sz="4" w:space="0" w:color="auto"/>
            </w:tcBorders>
            <w:shd w:val="clear" w:color="auto" w:fill="auto"/>
            <w:noWrap/>
            <w:vAlign w:val="center"/>
            <w:hideMark/>
          </w:tcPr>
          <w:p w14:paraId="631DE0F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48922366</w:t>
            </w:r>
          </w:p>
        </w:tc>
        <w:tc>
          <w:tcPr>
            <w:tcW w:w="3360" w:type="pct"/>
            <w:tcBorders>
              <w:top w:val="nil"/>
              <w:left w:val="nil"/>
              <w:bottom w:val="single" w:sz="4" w:space="0" w:color="auto"/>
              <w:right w:val="single" w:sz="4" w:space="0" w:color="auto"/>
            </w:tcBorders>
            <w:shd w:val="clear" w:color="auto" w:fill="auto"/>
            <w:vAlign w:val="center"/>
            <w:hideMark/>
          </w:tcPr>
          <w:p w14:paraId="0C4D072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MUZEJ IN GALERIJE MESTA LJUBLJANE</w:t>
            </w:r>
          </w:p>
        </w:tc>
      </w:tr>
      <w:tr w:rsidR="00E3750C" w:rsidRPr="00415AB3" w14:paraId="34A1C76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0F85C6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863</w:t>
            </w:r>
          </w:p>
        </w:tc>
        <w:tc>
          <w:tcPr>
            <w:tcW w:w="705" w:type="pct"/>
            <w:tcBorders>
              <w:top w:val="nil"/>
              <w:left w:val="nil"/>
              <w:bottom w:val="single" w:sz="4" w:space="0" w:color="auto"/>
              <w:right w:val="single" w:sz="4" w:space="0" w:color="auto"/>
            </w:tcBorders>
            <w:shd w:val="clear" w:color="auto" w:fill="auto"/>
            <w:noWrap/>
            <w:vAlign w:val="center"/>
            <w:hideMark/>
          </w:tcPr>
          <w:p w14:paraId="62FD40E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1882350000</w:t>
            </w:r>
          </w:p>
        </w:tc>
        <w:tc>
          <w:tcPr>
            <w:tcW w:w="547" w:type="pct"/>
            <w:tcBorders>
              <w:top w:val="nil"/>
              <w:left w:val="nil"/>
              <w:bottom w:val="single" w:sz="4" w:space="0" w:color="auto"/>
              <w:right w:val="single" w:sz="4" w:space="0" w:color="auto"/>
            </w:tcBorders>
            <w:shd w:val="clear" w:color="auto" w:fill="auto"/>
            <w:noWrap/>
            <w:vAlign w:val="center"/>
            <w:hideMark/>
          </w:tcPr>
          <w:p w14:paraId="28AF767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18539351</w:t>
            </w:r>
          </w:p>
        </w:tc>
        <w:tc>
          <w:tcPr>
            <w:tcW w:w="3360" w:type="pct"/>
            <w:tcBorders>
              <w:top w:val="nil"/>
              <w:left w:val="nil"/>
              <w:bottom w:val="single" w:sz="4" w:space="0" w:color="auto"/>
              <w:right w:val="single" w:sz="4" w:space="0" w:color="auto"/>
            </w:tcBorders>
            <w:shd w:val="clear" w:color="auto" w:fill="auto"/>
            <w:vAlign w:val="center"/>
            <w:hideMark/>
          </w:tcPr>
          <w:p w14:paraId="6E61AFC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MUZEJ KRŠČANSTVA NA SLOVENSKEM</w:t>
            </w:r>
          </w:p>
        </w:tc>
      </w:tr>
      <w:tr w:rsidR="00E3750C" w:rsidRPr="00415AB3" w14:paraId="07FB750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D6C81E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864</w:t>
            </w:r>
          </w:p>
        </w:tc>
        <w:tc>
          <w:tcPr>
            <w:tcW w:w="705" w:type="pct"/>
            <w:tcBorders>
              <w:top w:val="nil"/>
              <w:left w:val="nil"/>
              <w:bottom w:val="single" w:sz="4" w:space="0" w:color="auto"/>
              <w:right w:val="single" w:sz="4" w:space="0" w:color="auto"/>
            </w:tcBorders>
            <w:shd w:val="clear" w:color="auto" w:fill="auto"/>
            <w:noWrap/>
            <w:vAlign w:val="center"/>
            <w:hideMark/>
          </w:tcPr>
          <w:p w14:paraId="06C15F6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5052718000</w:t>
            </w:r>
          </w:p>
        </w:tc>
        <w:tc>
          <w:tcPr>
            <w:tcW w:w="547" w:type="pct"/>
            <w:tcBorders>
              <w:top w:val="nil"/>
              <w:left w:val="nil"/>
              <w:bottom w:val="single" w:sz="4" w:space="0" w:color="auto"/>
              <w:right w:val="single" w:sz="4" w:space="0" w:color="auto"/>
            </w:tcBorders>
            <w:shd w:val="clear" w:color="auto" w:fill="auto"/>
            <w:noWrap/>
            <w:vAlign w:val="center"/>
            <w:hideMark/>
          </w:tcPr>
          <w:p w14:paraId="4376BBE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56772637</w:t>
            </w:r>
          </w:p>
        </w:tc>
        <w:tc>
          <w:tcPr>
            <w:tcW w:w="3360" w:type="pct"/>
            <w:tcBorders>
              <w:top w:val="nil"/>
              <w:left w:val="nil"/>
              <w:bottom w:val="single" w:sz="4" w:space="0" w:color="auto"/>
              <w:right w:val="single" w:sz="4" w:space="0" w:color="auto"/>
            </w:tcBorders>
            <w:shd w:val="clear" w:color="auto" w:fill="auto"/>
            <w:vAlign w:val="center"/>
            <w:hideMark/>
          </w:tcPr>
          <w:p w14:paraId="3D12741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MUZEJ NARODNE OSVOBODITVE MARIBOR</w:t>
            </w:r>
          </w:p>
        </w:tc>
      </w:tr>
      <w:tr w:rsidR="00E3750C" w:rsidRPr="00415AB3" w14:paraId="1D747CE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4C5B15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865</w:t>
            </w:r>
          </w:p>
        </w:tc>
        <w:tc>
          <w:tcPr>
            <w:tcW w:w="705" w:type="pct"/>
            <w:tcBorders>
              <w:top w:val="nil"/>
              <w:left w:val="nil"/>
              <w:bottom w:val="single" w:sz="4" w:space="0" w:color="auto"/>
              <w:right w:val="single" w:sz="4" w:space="0" w:color="auto"/>
            </w:tcBorders>
            <w:shd w:val="clear" w:color="auto" w:fill="auto"/>
            <w:noWrap/>
            <w:vAlign w:val="center"/>
            <w:hideMark/>
          </w:tcPr>
          <w:p w14:paraId="3F310CA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5051843000</w:t>
            </w:r>
          </w:p>
        </w:tc>
        <w:tc>
          <w:tcPr>
            <w:tcW w:w="547" w:type="pct"/>
            <w:tcBorders>
              <w:top w:val="nil"/>
              <w:left w:val="nil"/>
              <w:bottom w:val="single" w:sz="4" w:space="0" w:color="auto"/>
              <w:right w:val="single" w:sz="4" w:space="0" w:color="auto"/>
            </w:tcBorders>
            <w:shd w:val="clear" w:color="auto" w:fill="auto"/>
            <w:noWrap/>
            <w:vAlign w:val="center"/>
            <w:hideMark/>
          </w:tcPr>
          <w:p w14:paraId="57BE54E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55651151</w:t>
            </w:r>
          </w:p>
        </w:tc>
        <w:tc>
          <w:tcPr>
            <w:tcW w:w="3360" w:type="pct"/>
            <w:tcBorders>
              <w:top w:val="nil"/>
              <w:left w:val="nil"/>
              <w:bottom w:val="single" w:sz="4" w:space="0" w:color="auto"/>
              <w:right w:val="single" w:sz="4" w:space="0" w:color="auto"/>
            </w:tcBorders>
            <w:shd w:val="clear" w:color="auto" w:fill="auto"/>
            <w:vAlign w:val="center"/>
            <w:hideMark/>
          </w:tcPr>
          <w:p w14:paraId="3BCC08A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MUZEJ NOVEJŠE ZGODOVINE CELJE</w:t>
            </w:r>
          </w:p>
        </w:tc>
      </w:tr>
      <w:tr w:rsidR="00E3750C" w:rsidRPr="00415AB3" w14:paraId="550758C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8E8976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866</w:t>
            </w:r>
          </w:p>
        </w:tc>
        <w:tc>
          <w:tcPr>
            <w:tcW w:w="705" w:type="pct"/>
            <w:tcBorders>
              <w:top w:val="nil"/>
              <w:left w:val="nil"/>
              <w:bottom w:val="single" w:sz="4" w:space="0" w:color="auto"/>
              <w:right w:val="single" w:sz="4" w:space="0" w:color="auto"/>
            </w:tcBorders>
            <w:shd w:val="clear" w:color="auto" w:fill="auto"/>
            <w:noWrap/>
            <w:vAlign w:val="center"/>
            <w:hideMark/>
          </w:tcPr>
          <w:p w14:paraId="2E04994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1899546000</w:t>
            </w:r>
          </w:p>
        </w:tc>
        <w:tc>
          <w:tcPr>
            <w:tcW w:w="547" w:type="pct"/>
            <w:tcBorders>
              <w:top w:val="nil"/>
              <w:left w:val="nil"/>
              <w:bottom w:val="single" w:sz="4" w:space="0" w:color="auto"/>
              <w:right w:val="single" w:sz="4" w:space="0" w:color="auto"/>
            </w:tcBorders>
            <w:shd w:val="clear" w:color="auto" w:fill="auto"/>
            <w:noWrap/>
            <w:vAlign w:val="center"/>
            <w:hideMark/>
          </w:tcPr>
          <w:p w14:paraId="0178998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38527383</w:t>
            </w:r>
          </w:p>
        </w:tc>
        <w:tc>
          <w:tcPr>
            <w:tcW w:w="3360" w:type="pct"/>
            <w:tcBorders>
              <w:top w:val="nil"/>
              <w:left w:val="nil"/>
              <w:bottom w:val="single" w:sz="4" w:space="0" w:color="auto"/>
              <w:right w:val="single" w:sz="4" w:space="0" w:color="auto"/>
            </w:tcBorders>
            <w:shd w:val="clear" w:color="auto" w:fill="auto"/>
            <w:vAlign w:val="center"/>
            <w:hideMark/>
          </w:tcPr>
          <w:p w14:paraId="0AA7738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MUZEJ VELENJE</w:t>
            </w:r>
          </w:p>
        </w:tc>
      </w:tr>
      <w:tr w:rsidR="00E3750C" w:rsidRPr="00415AB3" w14:paraId="7D7619F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5E4EC9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867</w:t>
            </w:r>
          </w:p>
        </w:tc>
        <w:tc>
          <w:tcPr>
            <w:tcW w:w="705" w:type="pct"/>
            <w:tcBorders>
              <w:top w:val="nil"/>
              <w:left w:val="nil"/>
              <w:bottom w:val="single" w:sz="4" w:space="0" w:color="auto"/>
              <w:right w:val="single" w:sz="4" w:space="0" w:color="auto"/>
            </w:tcBorders>
            <w:shd w:val="clear" w:color="auto" w:fill="auto"/>
            <w:noWrap/>
            <w:vAlign w:val="center"/>
            <w:hideMark/>
          </w:tcPr>
          <w:p w14:paraId="0A556AC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1534807000</w:t>
            </w:r>
          </w:p>
        </w:tc>
        <w:tc>
          <w:tcPr>
            <w:tcW w:w="547" w:type="pct"/>
            <w:tcBorders>
              <w:top w:val="nil"/>
              <w:left w:val="nil"/>
              <w:bottom w:val="single" w:sz="4" w:space="0" w:color="auto"/>
              <w:right w:val="single" w:sz="4" w:space="0" w:color="auto"/>
            </w:tcBorders>
            <w:shd w:val="clear" w:color="auto" w:fill="auto"/>
            <w:noWrap/>
            <w:vAlign w:val="center"/>
            <w:hideMark/>
          </w:tcPr>
          <w:p w14:paraId="09EDE27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17881447</w:t>
            </w:r>
          </w:p>
        </w:tc>
        <w:tc>
          <w:tcPr>
            <w:tcW w:w="3360" w:type="pct"/>
            <w:tcBorders>
              <w:top w:val="nil"/>
              <w:left w:val="nil"/>
              <w:bottom w:val="single" w:sz="4" w:space="0" w:color="auto"/>
              <w:right w:val="single" w:sz="4" w:space="0" w:color="auto"/>
            </w:tcBorders>
            <w:shd w:val="clear" w:color="auto" w:fill="auto"/>
            <w:vAlign w:val="center"/>
            <w:hideMark/>
          </w:tcPr>
          <w:p w14:paraId="061562A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MUZEJ VRBOVEC, MUZEJ GOZDARSTVA IN LESARSTVA</w:t>
            </w:r>
          </w:p>
        </w:tc>
      </w:tr>
      <w:tr w:rsidR="00E3750C" w:rsidRPr="00415AB3" w14:paraId="107C980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6D0457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868</w:t>
            </w:r>
          </w:p>
        </w:tc>
        <w:tc>
          <w:tcPr>
            <w:tcW w:w="705" w:type="pct"/>
            <w:tcBorders>
              <w:top w:val="nil"/>
              <w:left w:val="nil"/>
              <w:bottom w:val="single" w:sz="4" w:space="0" w:color="auto"/>
              <w:right w:val="single" w:sz="4" w:space="0" w:color="auto"/>
            </w:tcBorders>
            <w:shd w:val="clear" w:color="auto" w:fill="auto"/>
            <w:noWrap/>
            <w:vAlign w:val="center"/>
            <w:hideMark/>
          </w:tcPr>
          <w:p w14:paraId="6F05F3E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5052106000</w:t>
            </w:r>
          </w:p>
        </w:tc>
        <w:tc>
          <w:tcPr>
            <w:tcW w:w="547" w:type="pct"/>
            <w:tcBorders>
              <w:top w:val="nil"/>
              <w:left w:val="nil"/>
              <w:bottom w:val="single" w:sz="4" w:space="0" w:color="auto"/>
              <w:right w:val="single" w:sz="4" w:space="0" w:color="auto"/>
            </w:tcBorders>
            <w:shd w:val="clear" w:color="auto" w:fill="auto"/>
            <w:noWrap/>
            <w:vAlign w:val="center"/>
            <w:hideMark/>
          </w:tcPr>
          <w:p w14:paraId="526B6AB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14219468</w:t>
            </w:r>
          </w:p>
        </w:tc>
        <w:tc>
          <w:tcPr>
            <w:tcW w:w="3360" w:type="pct"/>
            <w:tcBorders>
              <w:top w:val="nil"/>
              <w:left w:val="nil"/>
              <w:bottom w:val="single" w:sz="4" w:space="0" w:color="auto"/>
              <w:right w:val="single" w:sz="4" w:space="0" w:color="auto"/>
            </w:tcBorders>
            <w:shd w:val="clear" w:color="auto" w:fill="auto"/>
            <w:vAlign w:val="center"/>
            <w:hideMark/>
          </w:tcPr>
          <w:p w14:paraId="7DE9E17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MUZEJ ZA ARHITEKTURO IN OBLIKOVANJE</w:t>
            </w:r>
          </w:p>
        </w:tc>
      </w:tr>
      <w:tr w:rsidR="00E3750C" w:rsidRPr="00415AB3" w14:paraId="6D821AE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6E05AA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869</w:t>
            </w:r>
          </w:p>
        </w:tc>
        <w:tc>
          <w:tcPr>
            <w:tcW w:w="705" w:type="pct"/>
            <w:tcBorders>
              <w:top w:val="nil"/>
              <w:left w:val="nil"/>
              <w:bottom w:val="single" w:sz="4" w:space="0" w:color="auto"/>
              <w:right w:val="single" w:sz="4" w:space="0" w:color="auto"/>
            </w:tcBorders>
            <w:shd w:val="clear" w:color="auto" w:fill="auto"/>
            <w:noWrap/>
            <w:vAlign w:val="center"/>
            <w:hideMark/>
          </w:tcPr>
          <w:p w14:paraId="3803391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5052840000</w:t>
            </w:r>
          </w:p>
        </w:tc>
        <w:tc>
          <w:tcPr>
            <w:tcW w:w="547" w:type="pct"/>
            <w:tcBorders>
              <w:top w:val="nil"/>
              <w:left w:val="nil"/>
              <w:bottom w:val="single" w:sz="4" w:space="0" w:color="auto"/>
              <w:right w:val="single" w:sz="4" w:space="0" w:color="auto"/>
            </w:tcBorders>
            <w:shd w:val="clear" w:color="auto" w:fill="auto"/>
            <w:noWrap/>
            <w:vAlign w:val="center"/>
            <w:hideMark/>
          </w:tcPr>
          <w:p w14:paraId="6EB1576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37713922</w:t>
            </w:r>
          </w:p>
        </w:tc>
        <w:tc>
          <w:tcPr>
            <w:tcW w:w="3360" w:type="pct"/>
            <w:tcBorders>
              <w:top w:val="nil"/>
              <w:left w:val="nil"/>
              <w:bottom w:val="single" w:sz="4" w:space="0" w:color="auto"/>
              <w:right w:val="single" w:sz="4" w:space="0" w:color="auto"/>
            </w:tcBorders>
            <w:shd w:val="clear" w:color="auto" w:fill="auto"/>
            <w:vAlign w:val="center"/>
            <w:hideMark/>
          </w:tcPr>
          <w:p w14:paraId="247311E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MUZEJI RADOVLJIŠKE OBČINE</w:t>
            </w:r>
          </w:p>
        </w:tc>
      </w:tr>
      <w:tr w:rsidR="00E3750C" w:rsidRPr="00415AB3" w14:paraId="15C0B12A"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34E661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870</w:t>
            </w:r>
          </w:p>
        </w:tc>
        <w:tc>
          <w:tcPr>
            <w:tcW w:w="705" w:type="pct"/>
            <w:tcBorders>
              <w:top w:val="nil"/>
              <w:left w:val="nil"/>
              <w:bottom w:val="single" w:sz="4" w:space="0" w:color="auto"/>
              <w:right w:val="single" w:sz="4" w:space="0" w:color="auto"/>
            </w:tcBorders>
            <w:shd w:val="clear" w:color="auto" w:fill="auto"/>
            <w:noWrap/>
            <w:vAlign w:val="center"/>
            <w:hideMark/>
          </w:tcPr>
          <w:p w14:paraId="61B00C8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3705480000</w:t>
            </w:r>
          </w:p>
        </w:tc>
        <w:tc>
          <w:tcPr>
            <w:tcW w:w="547" w:type="pct"/>
            <w:tcBorders>
              <w:top w:val="nil"/>
              <w:left w:val="nil"/>
              <w:bottom w:val="single" w:sz="4" w:space="0" w:color="auto"/>
              <w:right w:val="single" w:sz="4" w:space="0" w:color="auto"/>
            </w:tcBorders>
            <w:shd w:val="clear" w:color="auto" w:fill="auto"/>
            <w:noWrap/>
            <w:vAlign w:val="center"/>
            <w:hideMark/>
          </w:tcPr>
          <w:p w14:paraId="39DD4E0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13496140</w:t>
            </w:r>
          </w:p>
        </w:tc>
        <w:tc>
          <w:tcPr>
            <w:tcW w:w="3360" w:type="pct"/>
            <w:tcBorders>
              <w:top w:val="nil"/>
              <w:left w:val="nil"/>
              <w:bottom w:val="single" w:sz="4" w:space="0" w:color="auto"/>
              <w:right w:val="single" w:sz="4" w:space="0" w:color="auto"/>
            </w:tcBorders>
            <w:shd w:val="clear" w:color="auto" w:fill="auto"/>
            <w:vAlign w:val="center"/>
            <w:hideMark/>
          </w:tcPr>
          <w:p w14:paraId="7A07BBE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NACIONALNA AGENCIJA REPUBLIKE SLOVENIJE ZA KAKOVOST V VISOKEM ŠOLSTVU</w:t>
            </w:r>
          </w:p>
        </w:tc>
      </w:tr>
      <w:tr w:rsidR="00E3750C" w:rsidRPr="00415AB3" w14:paraId="3A7714B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C5951B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871</w:t>
            </w:r>
          </w:p>
        </w:tc>
        <w:tc>
          <w:tcPr>
            <w:tcW w:w="705" w:type="pct"/>
            <w:tcBorders>
              <w:top w:val="nil"/>
              <w:left w:val="nil"/>
              <w:bottom w:val="single" w:sz="4" w:space="0" w:color="auto"/>
              <w:right w:val="single" w:sz="4" w:space="0" w:color="auto"/>
            </w:tcBorders>
            <w:shd w:val="clear" w:color="auto" w:fill="auto"/>
            <w:noWrap/>
            <w:vAlign w:val="center"/>
            <w:hideMark/>
          </w:tcPr>
          <w:p w14:paraId="29A132A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5055784000</w:t>
            </w:r>
          </w:p>
        </w:tc>
        <w:tc>
          <w:tcPr>
            <w:tcW w:w="547" w:type="pct"/>
            <w:tcBorders>
              <w:top w:val="nil"/>
              <w:left w:val="nil"/>
              <w:bottom w:val="single" w:sz="4" w:space="0" w:color="auto"/>
              <w:right w:val="single" w:sz="4" w:space="0" w:color="auto"/>
            </w:tcBorders>
            <w:shd w:val="clear" w:color="auto" w:fill="auto"/>
            <w:noWrap/>
            <w:vAlign w:val="center"/>
            <w:hideMark/>
          </w:tcPr>
          <w:p w14:paraId="281FE6B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83534784</w:t>
            </w:r>
          </w:p>
        </w:tc>
        <w:tc>
          <w:tcPr>
            <w:tcW w:w="3360" w:type="pct"/>
            <w:tcBorders>
              <w:top w:val="nil"/>
              <w:left w:val="nil"/>
              <w:bottom w:val="single" w:sz="4" w:space="0" w:color="auto"/>
              <w:right w:val="single" w:sz="4" w:space="0" w:color="auto"/>
            </w:tcBorders>
            <w:shd w:val="clear" w:color="auto" w:fill="auto"/>
            <w:vAlign w:val="center"/>
            <w:hideMark/>
          </w:tcPr>
          <w:p w14:paraId="6AE3A67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NACIONALNI INŠTITUT ZA BIOLOGIJO</w:t>
            </w:r>
          </w:p>
        </w:tc>
      </w:tr>
      <w:tr w:rsidR="00E3750C" w:rsidRPr="00415AB3" w14:paraId="3014ACE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5620AA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872</w:t>
            </w:r>
          </w:p>
        </w:tc>
        <w:tc>
          <w:tcPr>
            <w:tcW w:w="705" w:type="pct"/>
            <w:tcBorders>
              <w:top w:val="nil"/>
              <w:left w:val="nil"/>
              <w:bottom w:val="single" w:sz="4" w:space="0" w:color="auto"/>
              <w:right w:val="single" w:sz="4" w:space="0" w:color="auto"/>
            </w:tcBorders>
            <w:shd w:val="clear" w:color="auto" w:fill="auto"/>
            <w:noWrap/>
            <w:vAlign w:val="center"/>
            <w:hideMark/>
          </w:tcPr>
          <w:p w14:paraId="1D3F19D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6462642000</w:t>
            </w:r>
          </w:p>
        </w:tc>
        <w:tc>
          <w:tcPr>
            <w:tcW w:w="547" w:type="pct"/>
            <w:tcBorders>
              <w:top w:val="nil"/>
              <w:left w:val="nil"/>
              <w:bottom w:val="single" w:sz="4" w:space="0" w:color="auto"/>
              <w:right w:val="single" w:sz="4" w:space="0" w:color="auto"/>
            </w:tcBorders>
            <w:shd w:val="clear" w:color="auto" w:fill="auto"/>
            <w:noWrap/>
            <w:vAlign w:val="center"/>
            <w:hideMark/>
          </w:tcPr>
          <w:p w14:paraId="18CEDB9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44724535</w:t>
            </w:r>
          </w:p>
        </w:tc>
        <w:tc>
          <w:tcPr>
            <w:tcW w:w="3360" w:type="pct"/>
            <w:tcBorders>
              <w:top w:val="nil"/>
              <w:left w:val="nil"/>
              <w:bottom w:val="single" w:sz="4" w:space="0" w:color="auto"/>
              <w:right w:val="single" w:sz="4" w:space="0" w:color="auto"/>
            </w:tcBorders>
            <w:shd w:val="clear" w:color="auto" w:fill="auto"/>
            <w:vAlign w:val="center"/>
            <w:hideMark/>
          </w:tcPr>
          <w:p w14:paraId="52CA25B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NACIONALNI INŠTITUT ZA JAVNO ZDRAVJE</w:t>
            </w:r>
          </w:p>
        </w:tc>
      </w:tr>
      <w:tr w:rsidR="00E3750C" w:rsidRPr="00415AB3" w14:paraId="1359849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438E25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873</w:t>
            </w:r>
          </w:p>
        </w:tc>
        <w:tc>
          <w:tcPr>
            <w:tcW w:w="705" w:type="pct"/>
            <w:tcBorders>
              <w:top w:val="nil"/>
              <w:left w:val="nil"/>
              <w:bottom w:val="single" w:sz="4" w:space="0" w:color="auto"/>
              <w:right w:val="single" w:sz="4" w:space="0" w:color="auto"/>
            </w:tcBorders>
            <w:shd w:val="clear" w:color="auto" w:fill="auto"/>
            <w:noWrap/>
            <w:vAlign w:val="center"/>
            <w:hideMark/>
          </w:tcPr>
          <w:p w14:paraId="3550230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6489087000</w:t>
            </w:r>
          </w:p>
        </w:tc>
        <w:tc>
          <w:tcPr>
            <w:tcW w:w="547" w:type="pct"/>
            <w:tcBorders>
              <w:top w:val="nil"/>
              <w:left w:val="nil"/>
              <w:bottom w:val="single" w:sz="4" w:space="0" w:color="auto"/>
              <w:right w:val="single" w:sz="4" w:space="0" w:color="auto"/>
            </w:tcBorders>
            <w:shd w:val="clear" w:color="auto" w:fill="auto"/>
            <w:noWrap/>
            <w:vAlign w:val="center"/>
            <w:hideMark/>
          </w:tcPr>
          <w:p w14:paraId="5E5DCF2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19651295</w:t>
            </w:r>
          </w:p>
        </w:tc>
        <w:tc>
          <w:tcPr>
            <w:tcW w:w="3360" w:type="pct"/>
            <w:tcBorders>
              <w:top w:val="nil"/>
              <w:left w:val="nil"/>
              <w:bottom w:val="single" w:sz="4" w:space="0" w:color="auto"/>
              <w:right w:val="single" w:sz="4" w:space="0" w:color="auto"/>
            </w:tcBorders>
            <w:shd w:val="clear" w:color="auto" w:fill="auto"/>
            <w:vAlign w:val="center"/>
            <w:hideMark/>
          </w:tcPr>
          <w:p w14:paraId="4FE15A7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NACIONALNI LABORATORIJ ZA ZDRAVJE, OKOLJE IN HRANO</w:t>
            </w:r>
          </w:p>
        </w:tc>
      </w:tr>
      <w:tr w:rsidR="00E3750C" w:rsidRPr="00415AB3" w14:paraId="23FDF7A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C416A0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874</w:t>
            </w:r>
          </w:p>
        </w:tc>
        <w:tc>
          <w:tcPr>
            <w:tcW w:w="705" w:type="pct"/>
            <w:tcBorders>
              <w:top w:val="nil"/>
              <w:left w:val="nil"/>
              <w:bottom w:val="single" w:sz="4" w:space="0" w:color="auto"/>
              <w:right w:val="single" w:sz="4" w:space="0" w:color="auto"/>
            </w:tcBorders>
            <w:shd w:val="clear" w:color="auto" w:fill="auto"/>
            <w:noWrap/>
            <w:vAlign w:val="center"/>
            <w:hideMark/>
          </w:tcPr>
          <w:p w14:paraId="248C829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5052076000</w:t>
            </w:r>
          </w:p>
        </w:tc>
        <w:tc>
          <w:tcPr>
            <w:tcW w:w="547" w:type="pct"/>
            <w:tcBorders>
              <w:top w:val="nil"/>
              <w:left w:val="nil"/>
              <w:bottom w:val="single" w:sz="4" w:space="0" w:color="auto"/>
              <w:right w:val="single" w:sz="4" w:space="0" w:color="auto"/>
            </w:tcBorders>
            <w:shd w:val="clear" w:color="auto" w:fill="auto"/>
            <w:noWrap/>
            <w:vAlign w:val="center"/>
            <w:hideMark/>
          </w:tcPr>
          <w:p w14:paraId="3D7A35E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38676770</w:t>
            </w:r>
          </w:p>
        </w:tc>
        <w:tc>
          <w:tcPr>
            <w:tcW w:w="3360" w:type="pct"/>
            <w:tcBorders>
              <w:top w:val="nil"/>
              <w:left w:val="nil"/>
              <w:bottom w:val="single" w:sz="4" w:space="0" w:color="auto"/>
              <w:right w:val="single" w:sz="4" w:space="0" w:color="auto"/>
            </w:tcBorders>
            <w:shd w:val="clear" w:color="auto" w:fill="auto"/>
            <w:vAlign w:val="center"/>
            <w:hideMark/>
          </w:tcPr>
          <w:p w14:paraId="14733D2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NARODNA GALERIJA</w:t>
            </w:r>
          </w:p>
        </w:tc>
      </w:tr>
      <w:tr w:rsidR="00E3750C" w:rsidRPr="00415AB3" w14:paraId="0229128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111BBF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875</w:t>
            </w:r>
          </w:p>
        </w:tc>
        <w:tc>
          <w:tcPr>
            <w:tcW w:w="705" w:type="pct"/>
            <w:tcBorders>
              <w:top w:val="nil"/>
              <w:left w:val="nil"/>
              <w:bottom w:val="single" w:sz="4" w:space="0" w:color="auto"/>
              <w:right w:val="single" w:sz="4" w:space="0" w:color="auto"/>
            </w:tcBorders>
            <w:shd w:val="clear" w:color="auto" w:fill="auto"/>
            <w:noWrap/>
            <w:vAlign w:val="center"/>
            <w:hideMark/>
          </w:tcPr>
          <w:p w14:paraId="0065FDA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5056730000</w:t>
            </w:r>
          </w:p>
        </w:tc>
        <w:tc>
          <w:tcPr>
            <w:tcW w:w="547" w:type="pct"/>
            <w:tcBorders>
              <w:top w:val="nil"/>
              <w:left w:val="nil"/>
              <w:bottom w:val="single" w:sz="4" w:space="0" w:color="auto"/>
              <w:right w:val="single" w:sz="4" w:space="0" w:color="auto"/>
            </w:tcBorders>
            <w:shd w:val="clear" w:color="auto" w:fill="auto"/>
            <w:noWrap/>
            <w:vAlign w:val="center"/>
            <w:hideMark/>
          </w:tcPr>
          <w:p w14:paraId="63C1C01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79713513</w:t>
            </w:r>
          </w:p>
        </w:tc>
        <w:tc>
          <w:tcPr>
            <w:tcW w:w="3360" w:type="pct"/>
            <w:tcBorders>
              <w:top w:val="nil"/>
              <w:left w:val="nil"/>
              <w:bottom w:val="single" w:sz="4" w:space="0" w:color="auto"/>
              <w:right w:val="single" w:sz="4" w:space="0" w:color="auto"/>
            </w:tcBorders>
            <w:shd w:val="clear" w:color="auto" w:fill="auto"/>
            <w:vAlign w:val="center"/>
            <w:hideMark/>
          </w:tcPr>
          <w:p w14:paraId="1AF3484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NARODNA IN UNIVERZITETNA KNJIŽNICA</w:t>
            </w:r>
          </w:p>
        </w:tc>
      </w:tr>
      <w:tr w:rsidR="00E3750C" w:rsidRPr="00415AB3" w14:paraId="05DD695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CB7AD9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876</w:t>
            </w:r>
          </w:p>
        </w:tc>
        <w:tc>
          <w:tcPr>
            <w:tcW w:w="705" w:type="pct"/>
            <w:tcBorders>
              <w:top w:val="nil"/>
              <w:left w:val="nil"/>
              <w:bottom w:val="single" w:sz="4" w:space="0" w:color="auto"/>
              <w:right w:val="single" w:sz="4" w:space="0" w:color="auto"/>
            </w:tcBorders>
            <w:shd w:val="clear" w:color="auto" w:fill="auto"/>
            <w:noWrap/>
            <w:vAlign w:val="center"/>
            <w:hideMark/>
          </w:tcPr>
          <w:p w14:paraId="2D8C363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5055482000</w:t>
            </w:r>
          </w:p>
        </w:tc>
        <w:tc>
          <w:tcPr>
            <w:tcW w:w="547" w:type="pct"/>
            <w:tcBorders>
              <w:top w:val="nil"/>
              <w:left w:val="nil"/>
              <w:bottom w:val="single" w:sz="4" w:space="0" w:color="auto"/>
              <w:right w:val="single" w:sz="4" w:space="0" w:color="auto"/>
            </w:tcBorders>
            <w:shd w:val="clear" w:color="auto" w:fill="auto"/>
            <w:noWrap/>
            <w:vAlign w:val="center"/>
            <w:hideMark/>
          </w:tcPr>
          <w:p w14:paraId="7708557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70031568</w:t>
            </w:r>
          </w:p>
        </w:tc>
        <w:tc>
          <w:tcPr>
            <w:tcW w:w="3360" w:type="pct"/>
            <w:tcBorders>
              <w:top w:val="nil"/>
              <w:left w:val="nil"/>
              <w:bottom w:val="single" w:sz="4" w:space="0" w:color="auto"/>
              <w:right w:val="single" w:sz="4" w:space="0" w:color="auto"/>
            </w:tcBorders>
            <w:shd w:val="clear" w:color="auto" w:fill="auto"/>
            <w:vAlign w:val="center"/>
            <w:hideMark/>
          </w:tcPr>
          <w:p w14:paraId="15C3714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NARODNI MUZEJ SLOVENIJE</w:t>
            </w:r>
          </w:p>
        </w:tc>
      </w:tr>
      <w:tr w:rsidR="00E3750C" w:rsidRPr="00415AB3" w14:paraId="48043A85"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A1FF3F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877</w:t>
            </w:r>
          </w:p>
        </w:tc>
        <w:tc>
          <w:tcPr>
            <w:tcW w:w="705" w:type="pct"/>
            <w:tcBorders>
              <w:top w:val="nil"/>
              <w:left w:val="nil"/>
              <w:bottom w:val="single" w:sz="4" w:space="0" w:color="auto"/>
              <w:right w:val="single" w:sz="4" w:space="0" w:color="auto"/>
            </w:tcBorders>
            <w:shd w:val="clear" w:color="auto" w:fill="auto"/>
            <w:noWrap/>
            <w:vAlign w:val="center"/>
            <w:hideMark/>
          </w:tcPr>
          <w:p w14:paraId="56DE589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1468952000</w:t>
            </w:r>
          </w:p>
        </w:tc>
        <w:tc>
          <w:tcPr>
            <w:tcW w:w="547" w:type="pct"/>
            <w:tcBorders>
              <w:top w:val="nil"/>
              <w:left w:val="nil"/>
              <w:bottom w:val="single" w:sz="4" w:space="0" w:color="auto"/>
              <w:right w:val="single" w:sz="4" w:space="0" w:color="auto"/>
            </w:tcBorders>
            <w:shd w:val="clear" w:color="auto" w:fill="auto"/>
            <w:noWrap/>
            <w:vAlign w:val="center"/>
            <w:hideMark/>
          </w:tcPr>
          <w:p w14:paraId="2AFA66B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36092215</w:t>
            </w:r>
          </w:p>
        </w:tc>
        <w:tc>
          <w:tcPr>
            <w:tcW w:w="3360" w:type="pct"/>
            <w:tcBorders>
              <w:top w:val="nil"/>
              <w:left w:val="nil"/>
              <w:bottom w:val="single" w:sz="4" w:space="0" w:color="auto"/>
              <w:right w:val="single" w:sz="4" w:space="0" w:color="auto"/>
            </w:tcBorders>
            <w:shd w:val="clear" w:color="auto" w:fill="auto"/>
            <w:vAlign w:val="center"/>
            <w:hideMark/>
          </w:tcPr>
          <w:p w14:paraId="6344231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NEPREMIČNINE CELJE, UPRAVLJANJE, GOSPODARJENJE IN TRGOVANJE Z NEPREMIČNINAMI D.O.O.</w:t>
            </w:r>
          </w:p>
        </w:tc>
      </w:tr>
      <w:tr w:rsidR="00E3750C" w:rsidRPr="00415AB3" w14:paraId="303A8E8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545ED7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878</w:t>
            </w:r>
          </w:p>
        </w:tc>
        <w:tc>
          <w:tcPr>
            <w:tcW w:w="705" w:type="pct"/>
            <w:tcBorders>
              <w:top w:val="nil"/>
              <w:left w:val="nil"/>
              <w:bottom w:val="single" w:sz="4" w:space="0" w:color="auto"/>
              <w:right w:val="single" w:sz="4" w:space="0" w:color="auto"/>
            </w:tcBorders>
            <w:shd w:val="clear" w:color="auto" w:fill="auto"/>
            <w:noWrap/>
            <w:vAlign w:val="center"/>
            <w:hideMark/>
          </w:tcPr>
          <w:p w14:paraId="46B4A0D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5143373000</w:t>
            </w:r>
          </w:p>
        </w:tc>
        <w:tc>
          <w:tcPr>
            <w:tcW w:w="547" w:type="pct"/>
            <w:tcBorders>
              <w:top w:val="nil"/>
              <w:left w:val="nil"/>
              <w:bottom w:val="single" w:sz="4" w:space="0" w:color="auto"/>
              <w:right w:val="single" w:sz="4" w:space="0" w:color="auto"/>
            </w:tcBorders>
            <w:shd w:val="clear" w:color="auto" w:fill="auto"/>
            <w:noWrap/>
            <w:vAlign w:val="center"/>
            <w:hideMark/>
          </w:tcPr>
          <w:p w14:paraId="1A8B161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52398790</w:t>
            </w:r>
          </w:p>
        </w:tc>
        <w:tc>
          <w:tcPr>
            <w:tcW w:w="3360" w:type="pct"/>
            <w:tcBorders>
              <w:top w:val="nil"/>
              <w:left w:val="nil"/>
              <w:bottom w:val="single" w:sz="4" w:space="0" w:color="auto"/>
              <w:right w:val="single" w:sz="4" w:space="0" w:color="auto"/>
            </w:tcBorders>
            <w:shd w:val="clear" w:color="auto" w:fill="auto"/>
            <w:vAlign w:val="center"/>
            <w:hideMark/>
          </w:tcPr>
          <w:p w14:paraId="64DA92B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NOMAGO, STORITVE MOBILNOSTI IN POTOVANJ, D.O.O.</w:t>
            </w:r>
          </w:p>
        </w:tc>
      </w:tr>
      <w:tr w:rsidR="00E3750C" w:rsidRPr="00415AB3" w14:paraId="23FDACD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17BB9E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879</w:t>
            </w:r>
          </w:p>
        </w:tc>
        <w:tc>
          <w:tcPr>
            <w:tcW w:w="705" w:type="pct"/>
            <w:tcBorders>
              <w:top w:val="nil"/>
              <w:left w:val="nil"/>
              <w:bottom w:val="single" w:sz="4" w:space="0" w:color="auto"/>
              <w:right w:val="single" w:sz="4" w:space="0" w:color="auto"/>
            </w:tcBorders>
            <w:shd w:val="clear" w:color="auto" w:fill="auto"/>
            <w:noWrap/>
            <w:vAlign w:val="center"/>
            <w:hideMark/>
          </w:tcPr>
          <w:p w14:paraId="12977E0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1840193000</w:t>
            </w:r>
          </w:p>
        </w:tc>
        <w:tc>
          <w:tcPr>
            <w:tcW w:w="547" w:type="pct"/>
            <w:tcBorders>
              <w:top w:val="nil"/>
              <w:left w:val="nil"/>
              <w:bottom w:val="single" w:sz="4" w:space="0" w:color="auto"/>
              <w:right w:val="single" w:sz="4" w:space="0" w:color="auto"/>
            </w:tcBorders>
            <w:shd w:val="clear" w:color="auto" w:fill="auto"/>
            <w:noWrap/>
            <w:vAlign w:val="center"/>
            <w:hideMark/>
          </w:tcPr>
          <w:p w14:paraId="58C9B0D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86615181</w:t>
            </w:r>
          </w:p>
        </w:tc>
        <w:tc>
          <w:tcPr>
            <w:tcW w:w="3360" w:type="pct"/>
            <w:tcBorders>
              <w:top w:val="nil"/>
              <w:left w:val="nil"/>
              <w:bottom w:val="single" w:sz="4" w:space="0" w:color="auto"/>
              <w:right w:val="single" w:sz="4" w:space="0" w:color="auto"/>
            </w:tcBorders>
            <w:shd w:val="clear" w:color="auto" w:fill="auto"/>
            <w:vAlign w:val="center"/>
            <w:hideMark/>
          </w:tcPr>
          <w:p w14:paraId="4C924F6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NOTRANJSKI REGIJSKI PARK</w:t>
            </w:r>
          </w:p>
        </w:tc>
      </w:tr>
      <w:tr w:rsidR="00E3750C" w:rsidRPr="00415AB3" w14:paraId="4433F89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5DD70D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880</w:t>
            </w:r>
          </w:p>
        </w:tc>
        <w:tc>
          <w:tcPr>
            <w:tcW w:w="705" w:type="pct"/>
            <w:tcBorders>
              <w:top w:val="nil"/>
              <w:left w:val="nil"/>
              <w:bottom w:val="single" w:sz="4" w:space="0" w:color="auto"/>
              <w:right w:val="single" w:sz="4" w:space="0" w:color="auto"/>
            </w:tcBorders>
            <w:shd w:val="clear" w:color="auto" w:fill="auto"/>
            <w:noWrap/>
            <w:vAlign w:val="center"/>
            <w:hideMark/>
          </w:tcPr>
          <w:p w14:paraId="2B3E46F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5737877000</w:t>
            </w:r>
          </w:p>
        </w:tc>
        <w:tc>
          <w:tcPr>
            <w:tcW w:w="547" w:type="pct"/>
            <w:tcBorders>
              <w:top w:val="nil"/>
              <w:left w:val="nil"/>
              <w:bottom w:val="single" w:sz="4" w:space="0" w:color="auto"/>
              <w:right w:val="single" w:sz="4" w:space="0" w:color="auto"/>
            </w:tcBorders>
            <w:shd w:val="clear" w:color="auto" w:fill="auto"/>
            <w:noWrap/>
            <w:vAlign w:val="center"/>
            <w:hideMark/>
          </w:tcPr>
          <w:p w14:paraId="0F3626D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96005564</w:t>
            </w:r>
          </w:p>
        </w:tc>
        <w:tc>
          <w:tcPr>
            <w:tcW w:w="3360" w:type="pct"/>
            <w:tcBorders>
              <w:top w:val="nil"/>
              <w:left w:val="nil"/>
              <w:bottom w:val="single" w:sz="4" w:space="0" w:color="auto"/>
              <w:right w:val="single" w:sz="4" w:space="0" w:color="auto"/>
            </w:tcBorders>
            <w:shd w:val="clear" w:color="auto" w:fill="auto"/>
            <w:vAlign w:val="center"/>
            <w:hideMark/>
          </w:tcPr>
          <w:p w14:paraId="2B7BB74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NOTRANJSKI ŠTUDENTSKI KLUB</w:t>
            </w:r>
          </w:p>
        </w:tc>
      </w:tr>
      <w:tr w:rsidR="00E3750C" w:rsidRPr="00415AB3" w14:paraId="23CBE36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8D476C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881</w:t>
            </w:r>
          </w:p>
        </w:tc>
        <w:tc>
          <w:tcPr>
            <w:tcW w:w="705" w:type="pct"/>
            <w:tcBorders>
              <w:top w:val="nil"/>
              <w:left w:val="nil"/>
              <w:bottom w:val="single" w:sz="4" w:space="0" w:color="auto"/>
              <w:right w:val="single" w:sz="4" w:space="0" w:color="auto"/>
            </w:tcBorders>
            <w:shd w:val="clear" w:color="auto" w:fill="auto"/>
            <w:noWrap/>
            <w:vAlign w:val="center"/>
            <w:hideMark/>
          </w:tcPr>
          <w:p w14:paraId="29DC589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5034345000</w:t>
            </w:r>
          </w:p>
        </w:tc>
        <w:tc>
          <w:tcPr>
            <w:tcW w:w="547" w:type="pct"/>
            <w:tcBorders>
              <w:top w:val="nil"/>
              <w:left w:val="nil"/>
              <w:bottom w:val="single" w:sz="4" w:space="0" w:color="auto"/>
              <w:right w:val="single" w:sz="4" w:space="0" w:color="auto"/>
            </w:tcBorders>
            <w:shd w:val="clear" w:color="auto" w:fill="auto"/>
            <w:noWrap/>
            <w:vAlign w:val="center"/>
            <w:hideMark/>
          </w:tcPr>
          <w:p w14:paraId="053EDB6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61082597</w:t>
            </w:r>
          </w:p>
        </w:tc>
        <w:tc>
          <w:tcPr>
            <w:tcW w:w="3360" w:type="pct"/>
            <w:tcBorders>
              <w:top w:val="nil"/>
              <w:left w:val="nil"/>
              <w:bottom w:val="single" w:sz="4" w:space="0" w:color="auto"/>
              <w:right w:val="single" w:sz="4" w:space="0" w:color="auto"/>
            </w:tcBorders>
            <w:shd w:val="clear" w:color="auto" w:fill="auto"/>
            <w:vAlign w:val="center"/>
            <w:hideMark/>
          </w:tcPr>
          <w:p w14:paraId="57744D7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NUKLEARNA ELEKTRARNA KRŠKO D.O.O.</w:t>
            </w:r>
          </w:p>
        </w:tc>
      </w:tr>
      <w:tr w:rsidR="00E3750C" w:rsidRPr="00415AB3" w14:paraId="3AE8B86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FDEFFB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882</w:t>
            </w:r>
          </w:p>
        </w:tc>
        <w:tc>
          <w:tcPr>
            <w:tcW w:w="705" w:type="pct"/>
            <w:tcBorders>
              <w:top w:val="nil"/>
              <w:left w:val="nil"/>
              <w:bottom w:val="single" w:sz="4" w:space="0" w:color="auto"/>
              <w:right w:val="single" w:sz="4" w:space="0" w:color="auto"/>
            </w:tcBorders>
            <w:shd w:val="clear" w:color="auto" w:fill="auto"/>
            <w:noWrap/>
            <w:vAlign w:val="center"/>
            <w:hideMark/>
          </w:tcPr>
          <w:p w14:paraId="0904020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5062187000</w:t>
            </w:r>
          </w:p>
        </w:tc>
        <w:tc>
          <w:tcPr>
            <w:tcW w:w="547" w:type="pct"/>
            <w:tcBorders>
              <w:top w:val="nil"/>
              <w:left w:val="nil"/>
              <w:bottom w:val="single" w:sz="4" w:space="0" w:color="auto"/>
              <w:right w:val="single" w:sz="4" w:space="0" w:color="auto"/>
            </w:tcBorders>
            <w:shd w:val="clear" w:color="auto" w:fill="auto"/>
            <w:noWrap/>
            <w:vAlign w:val="center"/>
            <w:hideMark/>
          </w:tcPr>
          <w:p w14:paraId="79CE2FB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74632507</w:t>
            </w:r>
          </w:p>
        </w:tc>
        <w:tc>
          <w:tcPr>
            <w:tcW w:w="3360" w:type="pct"/>
            <w:tcBorders>
              <w:top w:val="nil"/>
              <w:left w:val="nil"/>
              <w:bottom w:val="single" w:sz="4" w:space="0" w:color="auto"/>
              <w:right w:val="single" w:sz="4" w:space="0" w:color="auto"/>
            </w:tcBorders>
            <w:shd w:val="clear" w:color="auto" w:fill="auto"/>
            <w:vAlign w:val="center"/>
            <w:hideMark/>
          </w:tcPr>
          <w:p w14:paraId="760863C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OBALNA GASILSKA ZVEZA KOPER</w:t>
            </w:r>
          </w:p>
        </w:tc>
      </w:tr>
      <w:tr w:rsidR="00E3750C" w:rsidRPr="00415AB3" w14:paraId="19B7044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CF77C6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883</w:t>
            </w:r>
          </w:p>
        </w:tc>
        <w:tc>
          <w:tcPr>
            <w:tcW w:w="705" w:type="pct"/>
            <w:tcBorders>
              <w:top w:val="nil"/>
              <w:left w:val="nil"/>
              <w:bottom w:val="single" w:sz="4" w:space="0" w:color="auto"/>
              <w:right w:val="single" w:sz="4" w:space="0" w:color="auto"/>
            </w:tcBorders>
            <w:shd w:val="clear" w:color="auto" w:fill="auto"/>
            <w:noWrap/>
            <w:vAlign w:val="center"/>
            <w:hideMark/>
          </w:tcPr>
          <w:p w14:paraId="0D6B156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5009227000</w:t>
            </w:r>
          </w:p>
        </w:tc>
        <w:tc>
          <w:tcPr>
            <w:tcW w:w="547" w:type="pct"/>
            <w:tcBorders>
              <w:top w:val="nil"/>
              <w:left w:val="nil"/>
              <w:bottom w:val="single" w:sz="4" w:space="0" w:color="auto"/>
              <w:right w:val="single" w:sz="4" w:space="0" w:color="auto"/>
            </w:tcBorders>
            <w:shd w:val="clear" w:color="auto" w:fill="auto"/>
            <w:noWrap/>
            <w:vAlign w:val="center"/>
            <w:hideMark/>
          </w:tcPr>
          <w:p w14:paraId="60205EB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62740997</w:t>
            </w:r>
          </w:p>
        </w:tc>
        <w:tc>
          <w:tcPr>
            <w:tcW w:w="3360" w:type="pct"/>
            <w:tcBorders>
              <w:top w:val="nil"/>
              <w:left w:val="nil"/>
              <w:bottom w:val="single" w:sz="4" w:space="0" w:color="auto"/>
              <w:right w:val="single" w:sz="4" w:space="0" w:color="auto"/>
            </w:tcBorders>
            <w:shd w:val="clear" w:color="auto" w:fill="auto"/>
            <w:vAlign w:val="center"/>
            <w:hideMark/>
          </w:tcPr>
          <w:p w14:paraId="54DF687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OBALNA SAMOUPRAVNA SKUPNOST ITALIJANSKE NARODNOSTI</w:t>
            </w:r>
          </w:p>
        </w:tc>
      </w:tr>
      <w:tr w:rsidR="00E3750C" w:rsidRPr="00415AB3" w14:paraId="23EA041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D2C055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884</w:t>
            </w:r>
          </w:p>
        </w:tc>
        <w:tc>
          <w:tcPr>
            <w:tcW w:w="705" w:type="pct"/>
            <w:tcBorders>
              <w:top w:val="nil"/>
              <w:left w:val="nil"/>
              <w:bottom w:val="single" w:sz="4" w:space="0" w:color="auto"/>
              <w:right w:val="single" w:sz="4" w:space="0" w:color="auto"/>
            </w:tcBorders>
            <w:shd w:val="clear" w:color="auto" w:fill="auto"/>
            <w:noWrap/>
            <w:vAlign w:val="center"/>
            <w:hideMark/>
          </w:tcPr>
          <w:p w14:paraId="3CD5A38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5053781000</w:t>
            </w:r>
          </w:p>
        </w:tc>
        <w:tc>
          <w:tcPr>
            <w:tcW w:w="547" w:type="pct"/>
            <w:tcBorders>
              <w:top w:val="nil"/>
              <w:left w:val="nil"/>
              <w:bottom w:val="single" w:sz="4" w:space="0" w:color="auto"/>
              <w:right w:val="single" w:sz="4" w:space="0" w:color="auto"/>
            </w:tcBorders>
            <w:shd w:val="clear" w:color="auto" w:fill="auto"/>
            <w:noWrap/>
            <w:vAlign w:val="center"/>
            <w:hideMark/>
          </w:tcPr>
          <w:p w14:paraId="6AEEA85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21706468</w:t>
            </w:r>
          </w:p>
        </w:tc>
        <w:tc>
          <w:tcPr>
            <w:tcW w:w="3360" w:type="pct"/>
            <w:tcBorders>
              <w:top w:val="nil"/>
              <w:left w:val="nil"/>
              <w:bottom w:val="single" w:sz="4" w:space="0" w:color="auto"/>
              <w:right w:val="single" w:sz="4" w:space="0" w:color="auto"/>
            </w:tcBorders>
            <w:shd w:val="clear" w:color="auto" w:fill="auto"/>
            <w:vAlign w:val="center"/>
            <w:hideMark/>
          </w:tcPr>
          <w:p w14:paraId="60BBE91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OBALNE LEKARNE KOPER</w:t>
            </w:r>
          </w:p>
        </w:tc>
      </w:tr>
      <w:tr w:rsidR="00E3750C" w:rsidRPr="00415AB3" w14:paraId="50B6D4B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3AB3C3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885</w:t>
            </w:r>
          </w:p>
        </w:tc>
        <w:tc>
          <w:tcPr>
            <w:tcW w:w="705" w:type="pct"/>
            <w:tcBorders>
              <w:top w:val="nil"/>
              <w:left w:val="nil"/>
              <w:bottom w:val="single" w:sz="4" w:space="0" w:color="auto"/>
              <w:right w:val="single" w:sz="4" w:space="0" w:color="auto"/>
            </w:tcBorders>
            <w:shd w:val="clear" w:color="auto" w:fill="auto"/>
            <w:noWrap/>
            <w:vAlign w:val="center"/>
            <w:hideMark/>
          </w:tcPr>
          <w:p w14:paraId="3B33139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5198917000</w:t>
            </w:r>
          </w:p>
        </w:tc>
        <w:tc>
          <w:tcPr>
            <w:tcW w:w="547" w:type="pct"/>
            <w:tcBorders>
              <w:top w:val="nil"/>
              <w:left w:val="nil"/>
              <w:bottom w:val="single" w:sz="4" w:space="0" w:color="auto"/>
              <w:right w:val="single" w:sz="4" w:space="0" w:color="auto"/>
            </w:tcBorders>
            <w:shd w:val="clear" w:color="auto" w:fill="auto"/>
            <w:noWrap/>
            <w:vAlign w:val="center"/>
            <w:hideMark/>
          </w:tcPr>
          <w:p w14:paraId="3182F4A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57138664</w:t>
            </w:r>
          </w:p>
        </w:tc>
        <w:tc>
          <w:tcPr>
            <w:tcW w:w="3360" w:type="pct"/>
            <w:tcBorders>
              <w:top w:val="nil"/>
              <w:left w:val="nil"/>
              <w:bottom w:val="single" w:sz="4" w:space="0" w:color="auto"/>
              <w:right w:val="single" w:sz="4" w:space="0" w:color="auto"/>
            </w:tcBorders>
            <w:shd w:val="clear" w:color="auto" w:fill="auto"/>
            <w:vAlign w:val="center"/>
            <w:hideMark/>
          </w:tcPr>
          <w:p w14:paraId="07F1578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OBALNI DOM UPOKOJENCEV KOPER</w:t>
            </w:r>
          </w:p>
        </w:tc>
      </w:tr>
      <w:tr w:rsidR="00E3750C" w:rsidRPr="00415AB3" w14:paraId="31C82BC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10B5D0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886</w:t>
            </w:r>
          </w:p>
        </w:tc>
        <w:tc>
          <w:tcPr>
            <w:tcW w:w="705" w:type="pct"/>
            <w:tcBorders>
              <w:top w:val="nil"/>
              <w:left w:val="nil"/>
              <w:bottom w:val="single" w:sz="4" w:space="0" w:color="auto"/>
              <w:right w:val="single" w:sz="4" w:space="0" w:color="auto"/>
            </w:tcBorders>
            <w:shd w:val="clear" w:color="auto" w:fill="auto"/>
            <w:noWrap/>
            <w:vAlign w:val="center"/>
            <w:hideMark/>
          </w:tcPr>
          <w:p w14:paraId="7BFD9D2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5879914000</w:t>
            </w:r>
          </w:p>
        </w:tc>
        <w:tc>
          <w:tcPr>
            <w:tcW w:w="547" w:type="pct"/>
            <w:tcBorders>
              <w:top w:val="nil"/>
              <w:left w:val="nil"/>
              <w:bottom w:val="single" w:sz="4" w:space="0" w:color="auto"/>
              <w:right w:val="single" w:sz="4" w:space="0" w:color="auto"/>
            </w:tcBorders>
            <w:shd w:val="clear" w:color="auto" w:fill="auto"/>
            <w:noWrap/>
            <w:vAlign w:val="center"/>
            <w:hideMark/>
          </w:tcPr>
          <w:p w14:paraId="4B81D9E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51533251</w:t>
            </w:r>
          </w:p>
        </w:tc>
        <w:tc>
          <w:tcPr>
            <w:tcW w:w="3360" w:type="pct"/>
            <w:tcBorders>
              <w:top w:val="nil"/>
              <w:left w:val="nil"/>
              <w:bottom w:val="single" w:sz="4" w:space="0" w:color="auto"/>
              <w:right w:val="single" w:sz="4" w:space="0" w:color="auto"/>
            </w:tcBorders>
            <w:shd w:val="clear" w:color="auto" w:fill="auto"/>
            <w:vAlign w:val="center"/>
            <w:hideMark/>
          </w:tcPr>
          <w:p w14:paraId="4F9211F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AJDOVŠČINA</w:t>
            </w:r>
          </w:p>
        </w:tc>
      </w:tr>
      <w:tr w:rsidR="00E3750C" w:rsidRPr="00415AB3" w14:paraId="6582BDB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743BB6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887</w:t>
            </w:r>
          </w:p>
        </w:tc>
        <w:tc>
          <w:tcPr>
            <w:tcW w:w="705" w:type="pct"/>
            <w:tcBorders>
              <w:top w:val="nil"/>
              <w:left w:val="nil"/>
              <w:bottom w:val="single" w:sz="4" w:space="0" w:color="auto"/>
              <w:right w:val="single" w:sz="4" w:space="0" w:color="auto"/>
            </w:tcBorders>
            <w:shd w:val="clear" w:color="auto" w:fill="auto"/>
            <w:noWrap/>
            <w:vAlign w:val="center"/>
            <w:hideMark/>
          </w:tcPr>
          <w:p w14:paraId="2C79E11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2482851000</w:t>
            </w:r>
          </w:p>
        </w:tc>
        <w:tc>
          <w:tcPr>
            <w:tcW w:w="547" w:type="pct"/>
            <w:tcBorders>
              <w:top w:val="nil"/>
              <w:left w:val="nil"/>
              <w:bottom w:val="single" w:sz="4" w:space="0" w:color="auto"/>
              <w:right w:val="single" w:sz="4" w:space="0" w:color="auto"/>
            </w:tcBorders>
            <w:shd w:val="clear" w:color="auto" w:fill="auto"/>
            <w:noWrap/>
            <w:vAlign w:val="center"/>
            <w:hideMark/>
          </w:tcPr>
          <w:p w14:paraId="5ABC4A4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71620176</w:t>
            </w:r>
          </w:p>
        </w:tc>
        <w:tc>
          <w:tcPr>
            <w:tcW w:w="3360" w:type="pct"/>
            <w:tcBorders>
              <w:top w:val="nil"/>
              <w:left w:val="nil"/>
              <w:bottom w:val="single" w:sz="4" w:space="0" w:color="auto"/>
              <w:right w:val="single" w:sz="4" w:space="0" w:color="auto"/>
            </w:tcBorders>
            <w:shd w:val="clear" w:color="auto" w:fill="auto"/>
            <w:vAlign w:val="center"/>
            <w:hideMark/>
          </w:tcPr>
          <w:p w14:paraId="047A5E5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ANKARAN</w:t>
            </w:r>
          </w:p>
        </w:tc>
      </w:tr>
      <w:tr w:rsidR="00E3750C" w:rsidRPr="00415AB3" w14:paraId="24433C7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3B534E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888</w:t>
            </w:r>
          </w:p>
        </w:tc>
        <w:tc>
          <w:tcPr>
            <w:tcW w:w="705" w:type="pct"/>
            <w:tcBorders>
              <w:top w:val="nil"/>
              <w:left w:val="nil"/>
              <w:bottom w:val="single" w:sz="4" w:space="0" w:color="auto"/>
              <w:right w:val="single" w:sz="4" w:space="0" w:color="auto"/>
            </w:tcBorders>
            <w:shd w:val="clear" w:color="auto" w:fill="auto"/>
            <w:noWrap/>
            <w:vAlign w:val="center"/>
            <w:hideMark/>
          </w:tcPr>
          <w:p w14:paraId="39BC565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2215632000</w:t>
            </w:r>
          </w:p>
        </w:tc>
        <w:tc>
          <w:tcPr>
            <w:tcW w:w="547" w:type="pct"/>
            <w:tcBorders>
              <w:top w:val="nil"/>
              <w:left w:val="nil"/>
              <w:bottom w:val="single" w:sz="4" w:space="0" w:color="auto"/>
              <w:right w:val="single" w:sz="4" w:space="0" w:color="auto"/>
            </w:tcBorders>
            <w:shd w:val="clear" w:color="auto" w:fill="auto"/>
            <w:noWrap/>
            <w:vAlign w:val="center"/>
            <w:hideMark/>
          </w:tcPr>
          <w:p w14:paraId="094842B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91194652</w:t>
            </w:r>
          </w:p>
        </w:tc>
        <w:tc>
          <w:tcPr>
            <w:tcW w:w="3360" w:type="pct"/>
            <w:tcBorders>
              <w:top w:val="nil"/>
              <w:left w:val="nil"/>
              <w:bottom w:val="single" w:sz="4" w:space="0" w:color="auto"/>
              <w:right w:val="single" w:sz="4" w:space="0" w:color="auto"/>
            </w:tcBorders>
            <w:shd w:val="clear" w:color="auto" w:fill="auto"/>
            <w:vAlign w:val="center"/>
            <w:hideMark/>
          </w:tcPr>
          <w:p w14:paraId="3433049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APAČE</w:t>
            </w:r>
          </w:p>
        </w:tc>
      </w:tr>
      <w:tr w:rsidR="00E3750C" w:rsidRPr="00415AB3" w14:paraId="7436E55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272880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889</w:t>
            </w:r>
          </w:p>
        </w:tc>
        <w:tc>
          <w:tcPr>
            <w:tcW w:w="705" w:type="pct"/>
            <w:tcBorders>
              <w:top w:val="nil"/>
              <w:left w:val="nil"/>
              <w:bottom w:val="single" w:sz="4" w:space="0" w:color="auto"/>
              <w:right w:val="single" w:sz="4" w:space="0" w:color="auto"/>
            </w:tcBorders>
            <w:shd w:val="clear" w:color="auto" w:fill="auto"/>
            <w:noWrap/>
            <w:vAlign w:val="center"/>
            <w:hideMark/>
          </w:tcPr>
          <w:p w14:paraId="3ED856B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5883016000</w:t>
            </w:r>
          </w:p>
        </w:tc>
        <w:tc>
          <w:tcPr>
            <w:tcW w:w="547" w:type="pct"/>
            <w:tcBorders>
              <w:top w:val="nil"/>
              <w:left w:val="nil"/>
              <w:bottom w:val="single" w:sz="4" w:space="0" w:color="auto"/>
              <w:right w:val="single" w:sz="4" w:space="0" w:color="auto"/>
            </w:tcBorders>
            <w:shd w:val="clear" w:color="auto" w:fill="auto"/>
            <w:noWrap/>
            <w:vAlign w:val="center"/>
            <w:hideMark/>
          </w:tcPr>
          <w:p w14:paraId="0C84A2B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39587282</w:t>
            </w:r>
          </w:p>
        </w:tc>
        <w:tc>
          <w:tcPr>
            <w:tcW w:w="3360" w:type="pct"/>
            <w:tcBorders>
              <w:top w:val="nil"/>
              <w:left w:val="nil"/>
              <w:bottom w:val="single" w:sz="4" w:space="0" w:color="auto"/>
              <w:right w:val="single" w:sz="4" w:space="0" w:color="auto"/>
            </w:tcBorders>
            <w:shd w:val="clear" w:color="auto" w:fill="auto"/>
            <w:vAlign w:val="center"/>
            <w:hideMark/>
          </w:tcPr>
          <w:p w14:paraId="5762612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BELTINCI</w:t>
            </w:r>
          </w:p>
        </w:tc>
      </w:tr>
      <w:tr w:rsidR="00E3750C" w:rsidRPr="00415AB3" w14:paraId="5A76108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90A482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890</w:t>
            </w:r>
          </w:p>
        </w:tc>
        <w:tc>
          <w:tcPr>
            <w:tcW w:w="705" w:type="pct"/>
            <w:tcBorders>
              <w:top w:val="nil"/>
              <w:left w:val="nil"/>
              <w:bottom w:val="single" w:sz="4" w:space="0" w:color="auto"/>
              <w:right w:val="single" w:sz="4" w:space="0" w:color="auto"/>
            </w:tcBorders>
            <w:shd w:val="clear" w:color="auto" w:fill="auto"/>
            <w:noWrap/>
            <w:vAlign w:val="center"/>
            <w:hideMark/>
          </w:tcPr>
          <w:p w14:paraId="1A7FB81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1332139000</w:t>
            </w:r>
          </w:p>
        </w:tc>
        <w:tc>
          <w:tcPr>
            <w:tcW w:w="547" w:type="pct"/>
            <w:tcBorders>
              <w:top w:val="nil"/>
              <w:left w:val="nil"/>
              <w:bottom w:val="single" w:sz="4" w:space="0" w:color="auto"/>
              <w:right w:val="single" w:sz="4" w:space="0" w:color="auto"/>
            </w:tcBorders>
            <w:shd w:val="clear" w:color="auto" w:fill="auto"/>
            <w:noWrap/>
            <w:vAlign w:val="center"/>
            <w:hideMark/>
          </w:tcPr>
          <w:p w14:paraId="30C6512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77399935</w:t>
            </w:r>
          </w:p>
        </w:tc>
        <w:tc>
          <w:tcPr>
            <w:tcW w:w="3360" w:type="pct"/>
            <w:tcBorders>
              <w:top w:val="nil"/>
              <w:left w:val="nil"/>
              <w:bottom w:val="single" w:sz="4" w:space="0" w:color="auto"/>
              <w:right w:val="single" w:sz="4" w:space="0" w:color="auto"/>
            </w:tcBorders>
            <w:shd w:val="clear" w:color="auto" w:fill="auto"/>
            <w:vAlign w:val="center"/>
            <w:hideMark/>
          </w:tcPr>
          <w:p w14:paraId="4324163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BENEDIKT</w:t>
            </w:r>
          </w:p>
        </w:tc>
      </w:tr>
      <w:tr w:rsidR="00E3750C" w:rsidRPr="00415AB3" w14:paraId="75605E4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E64FA3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891</w:t>
            </w:r>
          </w:p>
        </w:tc>
        <w:tc>
          <w:tcPr>
            <w:tcW w:w="705" w:type="pct"/>
            <w:tcBorders>
              <w:top w:val="nil"/>
              <w:left w:val="nil"/>
              <w:bottom w:val="single" w:sz="4" w:space="0" w:color="auto"/>
              <w:right w:val="single" w:sz="4" w:space="0" w:color="auto"/>
            </w:tcBorders>
            <w:shd w:val="clear" w:color="auto" w:fill="auto"/>
            <w:noWrap/>
            <w:vAlign w:val="center"/>
            <w:hideMark/>
          </w:tcPr>
          <w:p w14:paraId="02E0BEE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5883539000</w:t>
            </w:r>
          </w:p>
        </w:tc>
        <w:tc>
          <w:tcPr>
            <w:tcW w:w="547" w:type="pct"/>
            <w:tcBorders>
              <w:top w:val="nil"/>
              <w:left w:val="nil"/>
              <w:bottom w:val="single" w:sz="4" w:space="0" w:color="auto"/>
              <w:right w:val="single" w:sz="4" w:space="0" w:color="auto"/>
            </w:tcBorders>
            <w:shd w:val="clear" w:color="auto" w:fill="auto"/>
            <w:noWrap/>
            <w:vAlign w:val="center"/>
            <w:hideMark/>
          </w:tcPr>
          <w:p w14:paraId="0308FF3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75845687</w:t>
            </w:r>
          </w:p>
        </w:tc>
        <w:tc>
          <w:tcPr>
            <w:tcW w:w="3360" w:type="pct"/>
            <w:tcBorders>
              <w:top w:val="nil"/>
              <w:left w:val="nil"/>
              <w:bottom w:val="single" w:sz="4" w:space="0" w:color="auto"/>
              <w:right w:val="single" w:sz="4" w:space="0" w:color="auto"/>
            </w:tcBorders>
            <w:shd w:val="clear" w:color="auto" w:fill="auto"/>
            <w:vAlign w:val="center"/>
            <w:hideMark/>
          </w:tcPr>
          <w:p w14:paraId="0B346DA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BLED</w:t>
            </w:r>
          </w:p>
        </w:tc>
      </w:tr>
      <w:tr w:rsidR="00E3750C" w:rsidRPr="00415AB3" w14:paraId="698C095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D0CE91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892</w:t>
            </w:r>
          </w:p>
        </w:tc>
        <w:tc>
          <w:tcPr>
            <w:tcW w:w="705" w:type="pct"/>
            <w:tcBorders>
              <w:top w:val="nil"/>
              <w:left w:val="nil"/>
              <w:bottom w:val="single" w:sz="4" w:space="0" w:color="auto"/>
              <w:right w:val="single" w:sz="4" w:space="0" w:color="auto"/>
            </w:tcBorders>
            <w:shd w:val="clear" w:color="auto" w:fill="auto"/>
            <w:noWrap/>
            <w:vAlign w:val="center"/>
            <w:hideMark/>
          </w:tcPr>
          <w:p w14:paraId="435689A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1358456000</w:t>
            </w:r>
          </w:p>
        </w:tc>
        <w:tc>
          <w:tcPr>
            <w:tcW w:w="547" w:type="pct"/>
            <w:tcBorders>
              <w:top w:val="nil"/>
              <w:left w:val="nil"/>
              <w:bottom w:val="single" w:sz="4" w:space="0" w:color="auto"/>
              <w:right w:val="single" w:sz="4" w:space="0" w:color="auto"/>
            </w:tcBorders>
            <w:shd w:val="clear" w:color="auto" w:fill="auto"/>
            <w:noWrap/>
            <w:vAlign w:val="center"/>
            <w:hideMark/>
          </w:tcPr>
          <w:p w14:paraId="69EB4F9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47254629</w:t>
            </w:r>
          </w:p>
        </w:tc>
        <w:tc>
          <w:tcPr>
            <w:tcW w:w="3360" w:type="pct"/>
            <w:tcBorders>
              <w:top w:val="nil"/>
              <w:left w:val="nil"/>
              <w:bottom w:val="single" w:sz="4" w:space="0" w:color="auto"/>
              <w:right w:val="single" w:sz="4" w:space="0" w:color="auto"/>
            </w:tcBorders>
            <w:shd w:val="clear" w:color="auto" w:fill="auto"/>
            <w:vAlign w:val="center"/>
            <w:hideMark/>
          </w:tcPr>
          <w:p w14:paraId="0358323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BLOKE</w:t>
            </w:r>
          </w:p>
        </w:tc>
      </w:tr>
      <w:tr w:rsidR="00E3750C" w:rsidRPr="00415AB3" w14:paraId="061C184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C4FAE9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893</w:t>
            </w:r>
          </w:p>
        </w:tc>
        <w:tc>
          <w:tcPr>
            <w:tcW w:w="705" w:type="pct"/>
            <w:tcBorders>
              <w:top w:val="nil"/>
              <w:left w:val="nil"/>
              <w:bottom w:val="single" w:sz="4" w:space="0" w:color="auto"/>
              <w:right w:val="single" w:sz="4" w:space="0" w:color="auto"/>
            </w:tcBorders>
            <w:shd w:val="clear" w:color="auto" w:fill="auto"/>
            <w:noWrap/>
            <w:vAlign w:val="center"/>
            <w:hideMark/>
          </w:tcPr>
          <w:p w14:paraId="57E8C79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5883415000</w:t>
            </w:r>
          </w:p>
        </w:tc>
        <w:tc>
          <w:tcPr>
            <w:tcW w:w="547" w:type="pct"/>
            <w:tcBorders>
              <w:top w:val="nil"/>
              <w:left w:val="nil"/>
              <w:bottom w:val="single" w:sz="4" w:space="0" w:color="auto"/>
              <w:right w:val="single" w:sz="4" w:space="0" w:color="auto"/>
            </w:tcBorders>
            <w:shd w:val="clear" w:color="auto" w:fill="auto"/>
            <w:noWrap/>
            <w:vAlign w:val="center"/>
            <w:hideMark/>
          </w:tcPr>
          <w:p w14:paraId="183DE0A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43302904</w:t>
            </w:r>
          </w:p>
        </w:tc>
        <w:tc>
          <w:tcPr>
            <w:tcW w:w="3360" w:type="pct"/>
            <w:tcBorders>
              <w:top w:val="nil"/>
              <w:left w:val="nil"/>
              <w:bottom w:val="single" w:sz="4" w:space="0" w:color="auto"/>
              <w:right w:val="single" w:sz="4" w:space="0" w:color="auto"/>
            </w:tcBorders>
            <w:shd w:val="clear" w:color="auto" w:fill="auto"/>
            <w:vAlign w:val="center"/>
            <w:hideMark/>
          </w:tcPr>
          <w:p w14:paraId="18E0E0C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BOHINJ</w:t>
            </w:r>
          </w:p>
        </w:tc>
      </w:tr>
      <w:tr w:rsidR="00E3750C" w:rsidRPr="00415AB3" w14:paraId="3E54E93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EDBF11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894</w:t>
            </w:r>
          </w:p>
        </w:tc>
        <w:tc>
          <w:tcPr>
            <w:tcW w:w="705" w:type="pct"/>
            <w:tcBorders>
              <w:top w:val="nil"/>
              <w:left w:val="nil"/>
              <w:bottom w:val="single" w:sz="4" w:space="0" w:color="auto"/>
              <w:right w:val="single" w:sz="4" w:space="0" w:color="auto"/>
            </w:tcBorders>
            <w:shd w:val="clear" w:color="auto" w:fill="auto"/>
            <w:noWrap/>
            <w:vAlign w:val="center"/>
            <w:hideMark/>
          </w:tcPr>
          <w:p w14:paraId="56BC2FD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5883393000</w:t>
            </w:r>
          </w:p>
        </w:tc>
        <w:tc>
          <w:tcPr>
            <w:tcW w:w="547" w:type="pct"/>
            <w:tcBorders>
              <w:top w:val="nil"/>
              <w:left w:val="nil"/>
              <w:bottom w:val="single" w:sz="4" w:space="0" w:color="auto"/>
              <w:right w:val="single" w:sz="4" w:space="0" w:color="auto"/>
            </w:tcBorders>
            <w:shd w:val="clear" w:color="auto" w:fill="auto"/>
            <w:noWrap/>
            <w:vAlign w:val="center"/>
            <w:hideMark/>
          </w:tcPr>
          <w:p w14:paraId="0C84C93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94882134</w:t>
            </w:r>
          </w:p>
        </w:tc>
        <w:tc>
          <w:tcPr>
            <w:tcW w:w="3360" w:type="pct"/>
            <w:tcBorders>
              <w:top w:val="nil"/>
              <w:left w:val="nil"/>
              <w:bottom w:val="single" w:sz="4" w:space="0" w:color="auto"/>
              <w:right w:val="single" w:sz="4" w:space="0" w:color="auto"/>
            </w:tcBorders>
            <w:shd w:val="clear" w:color="auto" w:fill="auto"/>
            <w:vAlign w:val="center"/>
            <w:hideMark/>
          </w:tcPr>
          <w:p w14:paraId="5D270E1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BOROVNICA</w:t>
            </w:r>
          </w:p>
        </w:tc>
      </w:tr>
      <w:tr w:rsidR="00E3750C" w:rsidRPr="00415AB3" w14:paraId="19668AC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A83C0C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895</w:t>
            </w:r>
          </w:p>
        </w:tc>
        <w:tc>
          <w:tcPr>
            <w:tcW w:w="705" w:type="pct"/>
            <w:tcBorders>
              <w:top w:val="nil"/>
              <w:left w:val="nil"/>
              <w:bottom w:val="single" w:sz="4" w:space="0" w:color="auto"/>
              <w:right w:val="single" w:sz="4" w:space="0" w:color="auto"/>
            </w:tcBorders>
            <w:shd w:val="clear" w:color="auto" w:fill="auto"/>
            <w:noWrap/>
            <w:vAlign w:val="center"/>
            <w:hideMark/>
          </w:tcPr>
          <w:p w14:paraId="0B87EF1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5881498000</w:t>
            </w:r>
          </w:p>
        </w:tc>
        <w:tc>
          <w:tcPr>
            <w:tcW w:w="547" w:type="pct"/>
            <w:tcBorders>
              <w:top w:val="nil"/>
              <w:left w:val="nil"/>
              <w:bottom w:val="single" w:sz="4" w:space="0" w:color="auto"/>
              <w:right w:val="single" w:sz="4" w:space="0" w:color="auto"/>
            </w:tcBorders>
            <w:shd w:val="clear" w:color="auto" w:fill="auto"/>
            <w:noWrap/>
            <w:vAlign w:val="center"/>
            <w:hideMark/>
          </w:tcPr>
          <w:p w14:paraId="78ECC3F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36828866</w:t>
            </w:r>
          </w:p>
        </w:tc>
        <w:tc>
          <w:tcPr>
            <w:tcW w:w="3360" w:type="pct"/>
            <w:tcBorders>
              <w:top w:val="nil"/>
              <w:left w:val="nil"/>
              <w:bottom w:val="single" w:sz="4" w:space="0" w:color="auto"/>
              <w:right w:val="single" w:sz="4" w:space="0" w:color="auto"/>
            </w:tcBorders>
            <w:shd w:val="clear" w:color="auto" w:fill="auto"/>
            <w:vAlign w:val="center"/>
            <w:hideMark/>
          </w:tcPr>
          <w:p w14:paraId="2E26967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BOVEC</w:t>
            </w:r>
          </w:p>
        </w:tc>
      </w:tr>
      <w:tr w:rsidR="00E3750C" w:rsidRPr="00415AB3" w14:paraId="49FBCF5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DE6B55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896</w:t>
            </w:r>
          </w:p>
        </w:tc>
        <w:tc>
          <w:tcPr>
            <w:tcW w:w="705" w:type="pct"/>
            <w:tcBorders>
              <w:top w:val="nil"/>
              <w:left w:val="nil"/>
              <w:bottom w:val="single" w:sz="4" w:space="0" w:color="auto"/>
              <w:right w:val="single" w:sz="4" w:space="0" w:color="auto"/>
            </w:tcBorders>
            <w:shd w:val="clear" w:color="auto" w:fill="auto"/>
            <w:noWrap/>
            <w:vAlign w:val="center"/>
            <w:hideMark/>
          </w:tcPr>
          <w:p w14:paraId="66C74AD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1357557000</w:t>
            </w:r>
          </w:p>
        </w:tc>
        <w:tc>
          <w:tcPr>
            <w:tcW w:w="547" w:type="pct"/>
            <w:tcBorders>
              <w:top w:val="nil"/>
              <w:left w:val="nil"/>
              <w:bottom w:val="single" w:sz="4" w:space="0" w:color="auto"/>
              <w:right w:val="single" w:sz="4" w:space="0" w:color="auto"/>
            </w:tcBorders>
            <w:shd w:val="clear" w:color="auto" w:fill="auto"/>
            <w:noWrap/>
            <w:vAlign w:val="center"/>
            <w:hideMark/>
          </w:tcPr>
          <w:p w14:paraId="068E95C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49877445</w:t>
            </w:r>
          </w:p>
        </w:tc>
        <w:tc>
          <w:tcPr>
            <w:tcW w:w="3360" w:type="pct"/>
            <w:tcBorders>
              <w:top w:val="nil"/>
              <w:left w:val="nil"/>
              <w:bottom w:val="single" w:sz="4" w:space="0" w:color="auto"/>
              <w:right w:val="single" w:sz="4" w:space="0" w:color="auto"/>
            </w:tcBorders>
            <w:shd w:val="clear" w:color="auto" w:fill="auto"/>
            <w:vAlign w:val="center"/>
            <w:hideMark/>
          </w:tcPr>
          <w:p w14:paraId="27141F2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BRASLOVČE</w:t>
            </w:r>
          </w:p>
        </w:tc>
      </w:tr>
      <w:tr w:rsidR="00E3750C" w:rsidRPr="00415AB3" w14:paraId="2BF9C9E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C4D407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897</w:t>
            </w:r>
          </w:p>
        </w:tc>
        <w:tc>
          <w:tcPr>
            <w:tcW w:w="705" w:type="pct"/>
            <w:tcBorders>
              <w:top w:val="nil"/>
              <w:left w:val="nil"/>
              <w:bottom w:val="single" w:sz="4" w:space="0" w:color="auto"/>
              <w:right w:val="single" w:sz="4" w:space="0" w:color="auto"/>
            </w:tcBorders>
            <w:shd w:val="clear" w:color="auto" w:fill="auto"/>
            <w:noWrap/>
            <w:vAlign w:val="center"/>
            <w:hideMark/>
          </w:tcPr>
          <w:p w14:paraId="1AAE567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5881781000</w:t>
            </w:r>
          </w:p>
        </w:tc>
        <w:tc>
          <w:tcPr>
            <w:tcW w:w="547" w:type="pct"/>
            <w:tcBorders>
              <w:top w:val="nil"/>
              <w:left w:val="nil"/>
              <w:bottom w:val="single" w:sz="4" w:space="0" w:color="auto"/>
              <w:right w:val="single" w:sz="4" w:space="0" w:color="auto"/>
            </w:tcBorders>
            <w:shd w:val="clear" w:color="auto" w:fill="auto"/>
            <w:noWrap/>
            <w:vAlign w:val="center"/>
            <w:hideMark/>
          </w:tcPr>
          <w:p w14:paraId="2D36FEA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58633391</w:t>
            </w:r>
          </w:p>
        </w:tc>
        <w:tc>
          <w:tcPr>
            <w:tcW w:w="3360" w:type="pct"/>
            <w:tcBorders>
              <w:top w:val="nil"/>
              <w:left w:val="nil"/>
              <w:bottom w:val="single" w:sz="4" w:space="0" w:color="auto"/>
              <w:right w:val="single" w:sz="4" w:space="0" w:color="auto"/>
            </w:tcBorders>
            <w:shd w:val="clear" w:color="auto" w:fill="auto"/>
            <w:vAlign w:val="center"/>
            <w:hideMark/>
          </w:tcPr>
          <w:p w14:paraId="31D3F8B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BRDA</w:t>
            </w:r>
          </w:p>
        </w:tc>
      </w:tr>
      <w:tr w:rsidR="00E3750C" w:rsidRPr="00415AB3" w14:paraId="3FD7CC9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8C407C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898</w:t>
            </w:r>
          </w:p>
        </w:tc>
        <w:tc>
          <w:tcPr>
            <w:tcW w:w="705" w:type="pct"/>
            <w:tcBorders>
              <w:top w:val="nil"/>
              <w:left w:val="nil"/>
              <w:bottom w:val="single" w:sz="4" w:space="0" w:color="auto"/>
              <w:right w:val="single" w:sz="4" w:space="0" w:color="auto"/>
            </w:tcBorders>
            <w:shd w:val="clear" w:color="auto" w:fill="auto"/>
            <w:noWrap/>
            <w:vAlign w:val="center"/>
            <w:hideMark/>
          </w:tcPr>
          <w:p w14:paraId="036A204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5874971000</w:t>
            </w:r>
          </w:p>
        </w:tc>
        <w:tc>
          <w:tcPr>
            <w:tcW w:w="547" w:type="pct"/>
            <w:tcBorders>
              <w:top w:val="nil"/>
              <w:left w:val="nil"/>
              <w:bottom w:val="single" w:sz="4" w:space="0" w:color="auto"/>
              <w:right w:val="single" w:sz="4" w:space="0" w:color="auto"/>
            </w:tcBorders>
            <w:shd w:val="clear" w:color="auto" w:fill="auto"/>
            <w:noWrap/>
            <w:vAlign w:val="center"/>
            <w:hideMark/>
          </w:tcPr>
          <w:p w14:paraId="1964066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10773703</w:t>
            </w:r>
          </w:p>
        </w:tc>
        <w:tc>
          <w:tcPr>
            <w:tcW w:w="3360" w:type="pct"/>
            <w:tcBorders>
              <w:top w:val="nil"/>
              <w:left w:val="nil"/>
              <w:bottom w:val="single" w:sz="4" w:space="0" w:color="auto"/>
              <w:right w:val="single" w:sz="4" w:space="0" w:color="auto"/>
            </w:tcBorders>
            <w:shd w:val="clear" w:color="auto" w:fill="auto"/>
            <w:vAlign w:val="center"/>
            <w:hideMark/>
          </w:tcPr>
          <w:p w14:paraId="2D55638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BREZOVICA</w:t>
            </w:r>
          </w:p>
        </w:tc>
      </w:tr>
      <w:tr w:rsidR="00E3750C" w:rsidRPr="00415AB3" w14:paraId="1D2A154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4CFBC0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899</w:t>
            </w:r>
          </w:p>
        </w:tc>
        <w:tc>
          <w:tcPr>
            <w:tcW w:w="705" w:type="pct"/>
            <w:tcBorders>
              <w:top w:val="nil"/>
              <w:left w:val="nil"/>
              <w:bottom w:val="single" w:sz="4" w:space="0" w:color="auto"/>
              <w:right w:val="single" w:sz="4" w:space="0" w:color="auto"/>
            </w:tcBorders>
            <w:shd w:val="clear" w:color="auto" w:fill="auto"/>
            <w:noWrap/>
            <w:vAlign w:val="center"/>
            <w:hideMark/>
          </w:tcPr>
          <w:p w14:paraId="406E35B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5880173000</w:t>
            </w:r>
          </w:p>
        </w:tc>
        <w:tc>
          <w:tcPr>
            <w:tcW w:w="547" w:type="pct"/>
            <w:tcBorders>
              <w:top w:val="nil"/>
              <w:left w:val="nil"/>
              <w:bottom w:val="single" w:sz="4" w:space="0" w:color="auto"/>
              <w:right w:val="single" w:sz="4" w:space="0" w:color="auto"/>
            </w:tcBorders>
            <w:shd w:val="clear" w:color="auto" w:fill="auto"/>
            <w:noWrap/>
            <w:vAlign w:val="center"/>
            <w:hideMark/>
          </w:tcPr>
          <w:p w14:paraId="5F0F4BA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34944745</w:t>
            </w:r>
          </w:p>
        </w:tc>
        <w:tc>
          <w:tcPr>
            <w:tcW w:w="3360" w:type="pct"/>
            <w:tcBorders>
              <w:top w:val="nil"/>
              <w:left w:val="nil"/>
              <w:bottom w:val="single" w:sz="4" w:space="0" w:color="auto"/>
              <w:right w:val="single" w:sz="4" w:space="0" w:color="auto"/>
            </w:tcBorders>
            <w:shd w:val="clear" w:color="auto" w:fill="auto"/>
            <w:vAlign w:val="center"/>
            <w:hideMark/>
          </w:tcPr>
          <w:p w14:paraId="68D70D6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BREŽICE</w:t>
            </w:r>
          </w:p>
        </w:tc>
      </w:tr>
      <w:tr w:rsidR="00E3750C" w:rsidRPr="00415AB3" w14:paraId="4581506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27F8EC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900</w:t>
            </w:r>
          </w:p>
        </w:tc>
        <w:tc>
          <w:tcPr>
            <w:tcW w:w="705" w:type="pct"/>
            <w:tcBorders>
              <w:top w:val="nil"/>
              <w:left w:val="nil"/>
              <w:bottom w:val="single" w:sz="4" w:space="0" w:color="auto"/>
              <w:right w:val="single" w:sz="4" w:space="0" w:color="auto"/>
            </w:tcBorders>
            <w:shd w:val="clear" w:color="auto" w:fill="auto"/>
            <w:noWrap/>
            <w:vAlign w:val="center"/>
            <w:hideMark/>
          </w:tcPr>
          <w:p w14:paraId="22961CE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1365789000</w:t>
            </w:r>
          </w:p>
        </w:tc>
        <w:tc>
          <w:tcPr>
            <w:tcW w:w="547" w:type="pct"/>
            <w:tcBorders>
              <w:top w:val="nil"/>
              <w:left w:val="nil"/>
              <w:bottom w:val="single" w:sz="4" w:space="0" w:color="auto"/>
              <w:right w:val="single" w:sz="4" w:space="0" w:color="auto"/>
            </w:tcBorders>
            <w:shd w:val="clear" w:color="auto" w:fill="auto"/>
            <w:noWrap/>
            <w:vAlign w:val="center"/>
            <w:hideMark/>
          </w:tcPr>
          <w:p w14:paraId="73E06A7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96320923</w:t>
            </w:r>
          </w:p>
        </w:tc>
        <w:tc>
          <w:tcPr>
            <w:tcW w:w="3360" w:type="pct"/>
            <w:tcBorders>
              <w:top w:val="nil"/>
              <w:left w:val="nil"/>
              <w:bottom w:val="single" w:sz="4" w:space="0" w:color="auto"/>
              <w:right w:val="single" w:sz="4" w:space="0" w:color="auto"/>
            </w:tcBorders>
            <w:shd w:val="clear" w:color="auto" w:fill="auto"/>
            <w:vAlign w:val="center"/>
            <w:hideMark/>
          </w:tcPr>
          <w:p w14:paraId="0361442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CANKOVA</w:t>
            </w:r>
          </w:p>
        </w:tc>
      </w:tr>
      <w:tr w:rsidR="00E3750C" w:rsidRPr="00415AB3" w14:paraId="7901604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CF597D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901</w:t>
            </w:r>
          </w:p>
        </w:tc>
        <w:tc>
          <w:tcPr>
            <w:tcW w:w="705" w:type="pct"/>
            <w:tcBorders>
              <w:top w:val="nil"/>
              <w:left w:val="nil"/>
              <w:bottom w:val="single" w:sz="4" w:space="0" w:color="auto"/>
              <w:right w:val="single" w:sz="4" w:space="0" w:color="auto"/>
            </w:tcBorders>
            <w:shd w:val="clear" w:color="auto" w:fill="auto"/>
            <w:noWrap/>
            <w:vAlign w:val="center"/>
            <w:hideMark/>
          </w:tcPr>
          <w:p w14:paraId="44CFF87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5874670000</w:t>
            </w:r>
          </w:p>
        </w:tc>
        <w:tc>
          <w:tcPr>
            <w:tcW w:w="547" w:type="pct"/>
            <w:tcBorders>
              <w:top w:val="nil"/>
              <w:left w:val="nil"/>
              <w:bottom w:val="single" w:sz="4" w:space="0" w:color="auto"/>
              <w:right w:val="single" w:sz="4" w:space="0" w:color="auto"/>
            </w:tcBorders>
            <w:shd w:val="clear" w:color="auto" w:fill="auto"/>
            <w:noWrap/>
            <w:vAlign w:val="center"/>
            <w:hideMark/>
          </w:tcPr>
          <w:p w14:paraId="797AC3E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14251086</w:t>
            </w:r>
          </w:p>
        </w:tc>
        <w:tc>
          <w:tcPr>
            <w:tcW w:w="3360" w:type="pct"/>
            <w:tcBorders>
              <w:top w:val="nil"/>
              <w:left w:val="nil"/>
              <w:bottom w:val="single" w:sz="4" w:space="0" w:color="auto"/>
              <w:right w:val="single" w:sz="4" w:space="0" w:color="auto"/>
            </w:tcBorders>
            <w:shd w:val="clear" w:color="auto" w:fill="auto"/>
            <w:vAlign w:val="center"/>
            <w:hideMark/>
          </w:tcPr>
          <w:p w14:paraId="75B9EE8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CERKLJE NA GORENJSKEM</w:t>
            </w:r>
          </w:p>
        </w:tc>
      </w:tr>
      <w:tr w:rsidR="00E3750C" w:rsidRPr="00415AB3" w14:paraId="0C0BFD5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4D7618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902</w:t>
            </w:r>
          </w:p>
        </w:tc>
        <w:tc>
          <w:tcPr>
            <w:tcW w:w="705" w:type="pct"/>
            <w:tcBorders>
              <w:top w:val="nil"/>
              <w:left w:val="nil"/>
              <w:bottom w:val="single" w:sz="4" w:space="0" w:color="auto"/>
              <w:right w:val="single" w:sz="4" w:space="0" w:color="auto"/>
            </w:tcBorders>
            <w:shd w:val="clear" w:color="auto" w:fill="auto"/>
            <w:noWrap/>
            <w:vAlign w:val="center"/>
            <w:hideMark/>
          </w:tcPr>
          <w:p w14:paraId="15C55AE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5880157000</w:t>
            </w:r>
          </w:p>
        </w:tc>
        <w:tc>
          <w:tcPr>
            <w:tcW w:w="547" w:type="pct"/>
            <w:tcBorders>
              <w:top w:val="nil"/>
              <w:left w:val="nil"/>
              <w:bottom w:val="single" w:sz="4" w:space="0" w:color="auto"/>
              <w:right w:val="single" w:sz="4" w:space="0" w:color="auto"/>
            </w:tcBorders>
            <w:shd w:val="clear" w:color="auto" w:fill="auto"/>
            <w:noWrap/>
            <w:vAlign w:val="center"/>
            <w:hideMark/>
          </w:tcPr>
          <w:p w14:paraId="4F3C0D4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72799595</w:t>
            </w:r>
          </w:p>
        </w:tc>
        <w:tc>
          <w:tcPr>
            <w:tcW w:w="3360" w:type="pct"/>
            <w:tcBorders>
              <w:top w:val="nil"/>
              <w:left w:val="nil"/>
              <w:bottom w:val="single" w:sz="4" w:space="0" w:color="auto"/>
              <w:right w:val="single" w:sz="4" w:space="0" w:color="auto"/>
            </w:tcBorders>
            <w:shd w:val="clear" w:color="auto" w:fill="auto"/>
            <w:vAlign w:val="center"/>
            <w:hideMark/>
          </w:tcPr>
          <w:p w14:paraId="4DD5543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CERKNICA</w:t>
            </w:r>
          </w:p>
        </w:tc>
      </w:tr>
      <w:tr w:rsidR="00E3750C" w:rsidRPr="00415AB3" w14:paraId="5D57AB4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3030A7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903</w:t>
            </w:r>
          </w:p>
        </w:tc>
        <w:tc>
          <w:tcPr>
            <w:tcW w:w="705" w:type="pct"/>
            <w:tcBorders>
              <w:top w:val="nil"/>
              <w:left w:val="nil"/>
              <w:bottom w:val="single" w:sz="4" w:space="0" w:color="auto"/>
              <w:right w:val="single" w:sz="4" w:space="0" w:color="auto"/>
            </w:tcBorders>
            <w:shd w:val="clear" w:color="auto" w:fill="auto"/>
            <w:noWrap/>
            <w:vAlign w:val="center"/>
            <w:hideMark/>
          </w:tcPr>
          <w:p w14:paraId="66B6180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5880076000</w:t>
            </w:r>
          </w:p>
        </w:tc>
        <w:tc>
          <w:tcPr>
            <w:tcW w:w="547" w:type="pct"/>
            <w:tcBorders>
              <w:top w:val="nil"/>
              <w:left w:val="nil"/>
              <w:bottom w:val="single" w:sz="4" w:space="0" w:color="auto"/>
              <w:right w:val="single" w:sz="4" w:space="0" w:color="auto"/>
            </w:tcBorders>
            <w:shd w:val="clear" w:color="auto" w:fill="auto"/>
            <w:noWrap/>
            <w:vAlign w:val="center"/>
            <w:hideMark/>
          </w:tcPr>
          <w:p w14:paraId="72C3B9D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54677696</w:t>
            </w:r>
          </w:p>
        </w:tc>
        <w:tc>
          <w:tcPr>
            <w:tcW w:w="3360" w:type="pct"/>
            <w:tcBorders>
              <w:top w:val="nil"/>
              <w:left w:val="nil"/>
              <w:bottom w:val="single" w:sz="4" w:space="0" w:color="auto"/>
              <w:right w:val="single" w:sz="4" w:space="0" w:color="auto"/>
            </w:tcBorders>
            <w:shd w:val="clear" w:color="auto" w:fill="auto"/>
            <w:vAlign w:val="center"/>
            <w:hideMark/>
          </w:tcPr>
          <w:p w14:paraId="59BDB1B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CERKNO</w:t>
            </w:r>
          </w:p>
        </w:tc>
      </w:tr>
      <w:tr w:rsidR="00E3750C" w:rsidRPr="00415AB3" w14:paraId="0B2F320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753591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904</w:t>
            </w:r>
          </w:p>
        </w:tc>
        <w:tc>
          <w:tcPr>
            <w:tcW w:w="705" w:type="pct"/>
            <w:tcBorders>
              <w:top w:val="nil"/>
              <w:left w:val="nil"/>
              <w:bottom w:val="single" w:sz="4" w:space="0" w:color="auto"/>
              <w:right w:val="single" w:sz="4" w:space="0" w:color="auto"/>
            </w:tcBorders>
            <w:shd w:val="clear" w:color="auto" w:fill="auto"/>
            <w:noWrap/>
            <w:vAlign w:val="center"/>
            <w:hideMark/>
          </w:tcPr>
          <w:p w14:paraId="238D1F4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1332066000</w:t>
            </w:r>
          </w:p>
        </w:tc>
        <w:tc>
          <w:tcPr>
            <w:tcW w:w="547" w:type="pct"/>
            <w:tcBorders>
              <w:top w:val="nil"/>
              <w:left w:val="nil"/>
              <w:bottom w:val="single" w:sz="4" w:space="0" w:color="auto"/>
              <w:right w:val="single" w:sz="4" w:space="0" w:color="auto"/>
            </w:tcBorders>
            <w:shd w:val="clear" w:color="auto" w:fill="auto"/>
            <w:noWrap/>
            <w:vAlign w:val="center"/>
            <w:hideMark/>
          </w:tcPr>
          <w:p w14:paraId="77F56D1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78110475</w:t>
            </w:r>
          </w:p>
        </w:tc>
        <w:tc>
          <w:tcPr>
            <w:tcW w:w="3360" w:type="pct"/>
            <w:tcBorders>
              <w:top w:val="nil"/>
              <w:left w:val="nil"/>
              <w:bottom w:val="single" w:sz="4" w:space="0" w:color="auto"/>
              <w:right w:val="single" w:sz="4" w:space="0" w:color="auto"/>
            </w:tcBorders>
            <w:shd w:val="clear" w:color="auto" w:fill="auto"/>
            <w:vAlign w:val="center"/>
            <w:hideMark/>
          </w:tcPr>
          <w:p w14:paraId="1D66C8B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CERKVENJAK</w:t>
            </w:r>
          </w:p>
        </w:tc>
      </w:tr>
      <w:tr w:rsidR="00E3750C" w:rsidRPr="00415AB3" w14:paraId="25AB125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CA01C8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905</w:t>
            </w:r>
          </w:p>
        </w:tc>
        <w:tc>
          <w:tcPr>
            <w:tcW w:w="705" w:type="pct"/>
            <w:tcBorders>
              <w:top w:val="nil"/>
              <w:left w:val="nil"/>
              <w:bottom w:val="single" w:sz="4" w:space="0" w:color="auto"/>
              <w:right w:val="single" w:sz="4" w:space="0" w:color="auto"/>
            </w:tcBorders>
            <w:shd w:val="clear" w:color="auto" w:fill="auto"/>
            <w:noWrap/>
            <w:vAlign w:val="center"/>
            <w:hideMark/>
          </w:tcPr>
          <w:p w14:paraId="1574226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2242770000</w:t>
            </w:r>
          </w:p>
        </w:tc>
        <w:tc>
          <w:tcPr>
            <w:tcW w:w="547" w:type="pct"/>
            <w:tcBorders>
              <w:top w:val="nil"/>
              <w:left w:val="nil"/>
              <w:bottom w:val="single" w:sz="4" w:space="0" w:color="auto"/>
              <w:right w:val="single" w:sz="4" w:space="0" w:color="auto"/>
            </w:tcBorders>
            <w:shd w:val="clear" w:color="auto" w:fill="auto"/>
            <w:noWrap/>
            <w:vAlign w:val="center"/>
            <w:hideMark/>
          </w:tcPr>
          <w:p w14:paraId="23592A8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52739813</w:t>
            </w:r>
          </w:p>
        </w:tc>
        <w:tc>
          <w:tcPr>
            <w:tcW w:w="3360" w:type="pct"/>
            <w:tcBorders>
              <w:top w:val="nil"/>
              <w:left w:val="nil"/>
              <w:bottom w:val="single" w:sz="4" w:space="0" w:color="auto"/>
              <w:right w:val="single" w:sz="4" w:space="0" w:color="auto"/>
            </w:tcBorders>
            <w:shd w:val="clear" w:color="auto" w:fill="auto"/>
            <w:vAlign w:val="center"/>
            <w:hideMark/>
          </w:tcPr>
          <w:p w14:paraId="2EC0633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CIRKULANE</w:t>
            </w:r>
          </w:p>
        </w:tc>
      </w:tr>
      <w:tr w:rsidR="00E3750C" w:rsidRPr="00415AB3" w14:paraId="0B1D2E0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EEB79E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906</w:t>
            </w:r>
          </w:p>
        </w:tc>
        <w:tc>
          <w:tcPr>
            <w:tcW w:w="705" w:type="pct"/>
            <w:tcBorders>
              <w:top w:val="nil"/>
              <w:left w:val="nil"/>
              <w:bottom w:val="single" w:sz="4" w:space="0" w:color="auto"/>
              <w:right w:val="single" w:sz="4" w:space="0" w:color="auto"/>
            </w:tcBorders>
            <w:shd w:val="clear" w:color="auto" w:fill="auto"/>
            <w:noWrap/>
            <w:vAlign w:val="center"/>
            <w:hideMark/>
          </w:tcPr>
          <w:p w14:paraId="1AAFAA9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5874726000</w:t>
            </w:r>
          </w:p>
        </w:tc>
        <w:tc>
          <w:tcPr>
            <w:tcW w:w="547" w:type="pct"/>
            <w:tcBorders>
              <w:top w:val="nil"/>
              <w:left w:val="nil"/>
              <w:bottom w:val="single" w:sz="4" w:space="0" w:color="auto"/>
              <w:right w:val="single" w:sz="4" w:space="0" w:color="auto"/>
            </w:tcBorders>
            <w:shd w:val="clear" w:color="auto" w:fill="auto"/>
            <w:noWrap/>
            <w:vAlign w:val="center"/>
            <w:hideMark/>
          </w:tcPr>
          <w:p w14:paraId="60314F3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23656484</w:t>
            </w:r>
          </w:p>
        </w:tc>
        <w:tc>
          <w:tcPr>
            <w:tcW w:w="3360" w:type="pct"/>
            <w:tcBorders>
              <w:top w:val="nil"/>
              <w:left w:val="nil"/>
              <w:bottom w:val="single" w:sz="4" w:space="0" w:color="auto"/>
              <w:right w:val="single" w:sz="4" w:space="0" w:color="auto"/>
            </w:tcBorders>
            <w:shd w:val="clear" w:color="auto" w:fill="auto"/>
            <w:vAlign w:val="center"/>
            <w:hideMark/>
          </w:tcPr>
          <w:p w14:paraId="5EB9707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ČRENŠOVCI</w:t>
            </w:r>
          </w:p>
        </w:tc>
      </w:tr>
      <w:tr w:rsidR="00E3750C" w:rsidRPr="00415AB3" w14:paraId="3A41762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97B620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907</w:t>
            </w:r>
          </w:p>
        </w:tc>
        <w:tc>
          <w:tcPr>
            <w:tcW w:w="705" w:type="pct"/>
            <w:tcBorders>
              <w:top w:val="nil"/>
              <w:left w:val="nil"/>
              <w:bottom w:val="single" w:sz="4" w:space="0" w:color="auto"/>
              <w:right w:val="single" w:sz="4" w:space="0" w:color="auto"/>
            </w:tcBorders>
            <w:shd w:val="clear" w:color="auto" w:fill="auto"/>
            <w:noWrap/>
            <w:vAlign w:val="center"/>
            <w:hideMark/>
          </w:tcPr>
          <w:p w14:paraId="0D6BF20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5883679000</w:t>
            </w:r>
          </w:p>
        </w:tc>
        <w:tc>
          <w:tcPr>
            <w:tcW w:w="547" w:type="pct"/>
            <w:tcBorders>
              <w:top w:val="nil"/>
              <w:left w:val="nil"/>
              <w:bottom w:val="single" w:sz="4" w:space="0" w:color="auto"/>
              <w:right w:val="single" w:sz="4" w:space="0" w:color="auto"/>
            </w:tcBorders>
            <w:shd w:val="clear" w:color="auto" w:fill="auto"/>
            <w:noWrap/>
            <w:vAlign w:val="center"/>
            <w:hideMark/>
          </w:tcPr>
          <w:p w14:paraId="0130771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44743548</w:t>
            </w:r>
          </w:p>
        </w:tc>
        <w:tc>
          <w:tcPr>
            <w:tcW w:w="3360" w:type="pct"/>
            <w:tcBorders>
              <w:top w:val="nil"/>
              <w:left w:val="nil"/>
              <w:bottom w:val="single" w:sz="4" w:space="0" w:color="auto"/>
              <w:right w:val="single" w:sz="4" w:space="0" w:color="auto"/>
            </w:tcBorders>
            <w:shd w:val="clear" w:color="auto" w:fill="auto"/>
            <w:vAlign w:val="center"/>
            <w:hideMark/>
          </w:tcPr>
          <w:p w14:paraId="3B54AB6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ČRNA NA KOROŠKEM</w:t>
            </w:r>
          </w:p>
        </w:tc>
      </w:tr>
      <w:tr w:rsidR="00E3750C" w:rsidRPr="00415AB3" w14:paraId="5B630E9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C5E774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908</w:t>
            </w:r>
          </w:p>
        </w:tc>
        <w:tc>
          <w:tcPr>
            <w:tcW w:w="705" w:type="pct"/>
            <w:tcBorders>
              <w:top w:val="nil"/>
              <w:left w:val="nil"/>
              <w:bottom w:val="single" w:sz="4" w:space="0" w:color="auto"/>
              <w:right w:val="single" w:sz="4" w:space="0" w:color="auto"/>
            </w:tcBorders>
            <w:shd w:val="clear" w:color="auto" w:fill="auto"/>
            <w:noWrap/>
            <w:vAlign w:val="center"/>
            <w:hideMark/>
          </w:tcPr>
          <w:p w14:paraId="4F12D91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5880254000</w:t>
            </w:r>
          </w:p>
        </w:tc>
        <w:tc>
          <w:tcPr>
            <w:tcW w:w="547" w:type="pct"/>
            <w:tcBorders>
              <w:top w:val="nil"/>
              <w:left w:val="nil"/>
              <w:bottom w:val="single" w:sz="4" w:space="0" w:color="auto"/>
              <w:right w:val="single" w:sz="4" w:space="0" w:color="auto"/>
            </w:tcBorders>
            <w:shd w:val="clear" w:color="auto" w:fill="auto"/>
            <w:noWrap/>
            <w:vAlign w:val="center"/>
            <w:hideMark/>
          </w:tcPr>
          <w:p w14:paraId="211E988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83111697</w:t>
            </w:r>
          </w:p>
        </w:tc>
        <w:tc>
          <w:tcPr>
            <w:tcW w:w="3360" w:type="pct"/>
            <w:tcBorders>
              <w:top w:val="nil"/>
              <w:left w:val="nil"/>
              <w:bottom w:val="single" w:sz="4" w:space="0" w:color="auto"/>
              <w:right w:val="single" w:sz="4" w:space="0" w:color="auto"/>
            </w:tcBorders>
            <w:shd w:val="clear" w:color="auto" w:fill="auto"/>
            <w:vAlign w:val="center"/>
            <w:hideMark/>
          </w:tcPr>
          <w:p w14:paraId="2DCE38B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ČRNOMELJ</w:t>
            </w:r>
          </w:p>
        </w:tc>
      </w:tr>
      <w:tr w:rsidR="00E3750C" w:rsidRPr="00415AB3" w14:paraId="7B7EB91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2327FB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909</w:t>
            </w:r>
          </w:p>
        </w:tc>
        <w:tc>
          <w:tcPr>
            <w:tcW w:w="705" w:type="pct"/>
            <w:tcBorders>
              <w:top w:val="nil"/>
              <w:left w:val="nil"/>
              <w:bottom w:val="single" w:sz="4" w:space="0" w:color="auto"/>
              <w:right w:val="single" w:sz="4" w:space="0" w:color="auto"/>
            </w:tcBorders>
            <w:shd w:val="clear" w:color="auto" w:fill="auto"/>
            <w:noWrap/>
            <w:vAlign w:val="center"/>
            <w:hideMark/>
          </w:tcPr>
          <w:p w14:paraId="665B057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5882966000</w:t>
            </w:r>
          </w:p>
        </w:tc>
        <w:tc>
          <w:tcPr>
            <w:tcW w:w="547" w:type="pct"/>
            <w:tcBorders>
              <w:top w:val="nil"/>
              <w:left w:val="nil"/>
              <w:bottom w:val="single" w:sz="4" w:space="0" w:color="auto"/>
              <w:right w:val="single" w:sz="4" w:space="0" w:color="auto"/>
            </w:tcBorders>
            <w:shd w:val="clear" w:color="auto" w:fill="auto"/>
            <w:noWrap/>
            <w:vAlign w:val="center"/>
            <w:hideMark/>
          </w:tcPr>
          <w:p w14:paraId="4CEDB2F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76286193</w:t>
            </w:r>
          </w:p>
        </w:tc>
        <w:tc>
          <w:tcPr>
            <w:tcW w:w="3360" w:type="pct"/>
            <w:tcBorders>
              <w:top w:val="nil"/>
              <w:left w:val="nil"/>
              <w:bottom w:val="single" w:sz="4" w:space="0" w:color="auto"/>
              <w:right w:val="single" w:sz="4" w:space="0" w:color="auto"/>
            </w:tcBorders>
            <w:shd w:val="clear" w:color="auto" w:fill="auto"/>
            <w:vAlign w:val="center"/>
            <w:hideMark/>
          </w:tcPr>
          <w:p w14:paraId="55F6E36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DESTRNIK</w:t>
            </w:r>
          </w:p>
        </w:tc>
      </w:tr>
      <w:tr w:rsidR="00E3750C" w:rsidRPr="00415AB3" w14:paraId="15FFF37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78E821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910</w:t>
            </w:r>
          </w:p>
        </w:tc>
        <w:tc>
          <w:tcPr>
            <w:tcW w:w="705" w:type="pct"/>
            <w:tcBorders>
              <w:top w:val="nil"/>
              <w:left w:val="nil"/>
              <w:bottom w:val="single" w:sz="4" w:space="0" w:color="auto"/>
              <w:right w:val="single" w:sz="4" w:space="0" w:color="auto"/>
            </w:tcBorders>
            <w:shd w:val="clear" w:color="auto" w:fill="auto"/>
            <w:noWrap/>
            <w:vAlign w:val="center"/>
            <w:hideMark/>
          </w:tcPr>
          <w:p w14:paraId="4120855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5882974000</w:t>
            </w:r>
          </w:p>
        </w:tc>
        <w:tc>
          <w:tcPr>
            <w:tcW w:w="547" w:type="pct"/>
            <w:tcBorders>
              <w:top w:val="nil"/>
              <w:left w:val="nil"/>
              <w:bottom w:val="single" w:sz="4" w:space="0" w:color="auto"/>
              <w:right w:val="single" w:sz="4" w:space="0" w:color="auto"/>
            </w:tcBorders>
            <w:shd w:val="clear" w:color="auto" w:fill="auto"/>
            <w:noWrap/>
            <w:vAlign w:val="center"/>
            <w:hideMark/>
          </w:tcPr>
          <w:p w14:paraId="17A8392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48502502</w:t>
            </w:r>
          </w:p>
        </w:tc>
        <w:tc>
          <w:tcPr>
            <w:tcW w:w="3360" w:type="pct"/>
            <w:tcBorders>
              <w:top w:val="nil"/>
              <w:left w:val="nil"/>
              <w:bottom w:val="single" w:sz="4" w:space="0" w:color="auto"/>
              <w:right w:val="single" w:sz="4" w:space="0" w:color="auto"/>
            </w:tcBorders>
            <w:shd w:val="clear" w:color="auto" w:fill="auto"/>
            <w:vAlign w:val="center"/>
            <w:hideMark/>
          </w:tcPr>
          <w:p w14:paraId="2BA5E2F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DIVAČA</w:t>
            </w:r>
          </w:p>
        </w:tc>
      </w:tr>
      <w:tr w:rsidR="00E3750C" w:rsidRPr="00415AB3" w14:paraId="26C736E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72D0E9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911</w:t>
            </w:r>
          </w:p>
        </w:tc>
        <w:tc>
          <w:tcPr>
            <w:tcW w:w="705" w:type="pct"/>
            <w:tcBorders>
              <w:top w:val="nil"/>
              <w:left w:val="nil"/>
              <w:bottom w:val="single" w:sz="4" w:space="0" w:color="auto"/>
              <w:right w:val="single" w:sz="4" w:space="0" w:color="auto"/>
            </w:tcBorders>
            <w:shd w:val="clear" w:color="auto" w:fill="auto"/>
            <w:noWrap/>
            <w:vAlign w:val="center"/>
            <w:hideMark/>
          </w:tcPr>
          <w:p w14:paraId="3695FE0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1357409000</w:t>
            </w:r>
          </w:p>
        </w:tc>
        <w:tc>
          <w:tcPr>
            <w:tcW w:w="547" w:type="pct"/>
            <w:tcBorders>
              <w:top w:val="nil"/>
              <w:left w:val="nil"/>
              <w:bottom w:val="single" w:sz="4" w:space="0" w:color="auto"/>
              <w:right w:val="single" w:sz="4" w:space="0" w:color="auto"/>
            </w:tcBorders>
            <w:shd w:val="clear" w:color="auto" w:fill="auto"/>
            <w:noWrap/>
            <w:vAlign w:val="center"/>
            <w:hideMark/>
          </w:tcPr>
          <w:p w14:paraId="333EB1A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22084665</w:t>
            </w:r>
          </w:p>
        </w:tc>
        <w:tc>
          <w:tcPr>
            <w:tcW w:w="3360" w:type="pct"/>
            <w:tcBorders>
              <w:top w:val="nil"/>
              <w:left w:val="nil"/>
              <w:bottom w:val="single" w:sz="4" w:space="0" w:color="auto"/>
              <w:right w:val="single" w:sz="4" w:space="0" w:color="auto"/>
            </w:tcBorders>
            <w:shd w:val="clear" w:color="auto" w:fill="auto"/>
            <w:vAlign w:val="center"/>
            <w:hideMark/>
          </w:tcPr>
          <w:p w14:paraId="0732111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DOBJE</w:t>
            </w:r>
          </w:p>
        </w:tc>
      </w:tr>
      <w:tr w:rsidR="00E3750C" w:rsidRPr="00415AB3" w14:paraId="29849F6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3927D6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912</w:t>
            </w:r>
          </w:p>
        </w:tc>
        <w:tc>
          <w:tcPr>
            <w:tcW w:w="705" w:type="pct"/>
            <w:tcBorders>
              <w:top w:val="nil"/>
              <w:left w:val="nil"/>
              <w:bottom w:val="single" w:sz="4" w:space="0" w:color="auto"/>
              <w:right w:val="single" w:sz="4" w:space="0" w:color="auto"/>
            </w:tcBorders>
            <w:shd w:val="clear" w:color="auto" w:fill="auto"/>
            <w:noWrap/>
            <w:vAlign w:val="center"/>
            <w:hideMark/>
          </w:tcPr>
          <w:p w14:paraId="65E0F24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5886252000</w:t>
            </w:r>
          </w:p>
        </w:tc>
        <w:tc>
          <w:tcPr>
            <w:tcW w:w="547" w:type="pct"/>
            <w:tcBorders>
              <w:top w:val="nil"/>
              <w:left w:val="nil"/>
              <w:bottom w:val="single" w:sz="4" w:space="0" w:color="auto"/>
              <w:right w:val="single" w:sz="4" w:space="0" w:color="auto"/>
            </w:tcBorders>
            <w:shd w:val="clear" w:color="auto" w:fill="auto"/>
            <w:noWrap/>
            <w:vAlign w:val="center"/>
            <w:hideMark/>
          </w:tcPr>
          <w:p w14:paraId="01BBEAF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57506396</w:t>
            </w:r>
          </w:p>
        </w:tc>
        <w:tc>
          <w:tcPr>
            <w:tcW w:w="3360" w:type="pct"/>
            <w:tcBorders>
              <w:top w:val="nil"/>
              <w:left w:val="nil"/>
              <w:bottom w:val="single" w:sz="4" w:space="0" w:color="auto"/>
              <w:right w:val="single" w:sz="4" w:space="0" w:color="auto"/>
            </w:tcBorders>
            <w:shd w:val="clear" w:color="auto" w:fill="auto"/>
            <w:vAlign w:val="center"/>
            <w:hideMark/>
          </w:tcPr>
          <w:p w14:paraId="213280D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DOBREPOLJE</w:t>
            </w:r>
          </w:p>
        </w:tc>
      </w:tr>
      <w:tr w:rsidR="00E3750C" w:rsidRPr="00415AB3" w14:paraId="0784102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FE41C3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913</w:t>
            </w:r>
          </w:p>
        </w:tc>
        <w:tc>
          <w:tcPr>
            <w:tcW w:w="705" w:type="pct"/>
            <w:tcBorders>
              <w:top w:val="nil"/>
              <w:left w:val="nil"/>
              <w:bottom w:val="single" w:sz="4" w:space="0" w:color="auto"/>
              <w:right w:val="single" w:sz="4" w:space="0" w:color="auto"/>
            </w:tcBorders>
            <w:shd w:val="clear" w:color="auto" w:fill="auto"/>
            <w:noWrap/>
            <w:vAlign w:val="center"/>
            <w:hideMark/>
          </w:tcPr>
          <w:p w14:paraId="4D1B561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1358570000</w:t>
            </w:r>
          </w:p>
        </w:tc>
        <w:tc>
          <w:tcPr>
            <w:tcW w:w="547" w:type="pct"/>
            <w:tcBorders>
              <w:top w:val="nil"/>
              <w:left w:val="nil"/>
              <w:bottom w:val="single" w:sz="4" w:space="0" w:color="auto"/>
              <w:right w:val="single" w:sz="4" w:space="0" w:color="auto"/>
            </w:tcBorders>
            <w:shd w:val="clear" w:color="auto" w:fill="auto"/>
            <w:noWrap/>
            <w:vAlign w:val="center"/>
            <w:hideMark/>
          </w:tcPr>
          <w:p w14:paraId="2CC3016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71772626</w:t>
            </w:r>
          </w:p>
        </w:tc>
        <w:tc>
          <w:tcPr>
            <w:tcW w:w="3360" w:type="pct"/>
            <w:tcBorders>
              <w:top w:val="nil"/>
              <w:left w:val="nil"/>
              <w:bottom w:val="single" w:sz="4" w:space="0" w:color="auto"/>
              <w:right w:val="single" w:sz="4" w:space="0" w:color="auto"/>
            </w:tcBorders>
            <w:shd w:val="clear" w:color="auto" w:fill="auto"/>
            <w:vAlign w:val="center"/>
            <w:hideMark/>
          </w:tcPr>
          <w:p w14:paraId="5019C41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DOBRNA</w:t>
            </w:r>
          </w:p>
        </w:tc>
      </w:tr>
      <w:tr w:rsidR="00E3750C" w:rsidRPr="00415AB3" w14:paraId="048375F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06D712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914</w:t>
            </w:r>
          </w:p>
        </w:tc>
        <w:tc>
          <w:tcPr>
            <w:tcW w:w="705" w:type="pct"/>
            <w:tcBorders>
              <w:top w:val="nil"/>
              <w:left w:val="nil"/>
              <w:bottom w:val="single" w:sz="4" w:space="0" w:color="auto"/>
              <w:right w:val="single" w:sz="4" w:space="0" w:color="auto"/>
            </w:tcBorders>
            <w:shd w:val="clear" w:color="auto" w:fill="auto"/>
            <w:noWrap/>
            <w:vAlign w:val="center"/>
            <w:hideMark/>
          </w:tcPr>
          <w:p w14:paraId="319BBB9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5874998000</w:t>
            </w:r>
          </w:p>
        </w:tc>
        <w:tc>
          <w:tcPr>
            <w:tcW w:w="547" w:type="pct"/>
            <w:tcBorders>
              <w:top w:val="nil"/>
              <w:left w:val="nil"/>
              <w:bottom w:val="single" w:sz="4" w:space="0" w:color="auto"/>
              <w:right w:val="single" w:sz="4" w:space="0" w:color="auto"/>
            </w:tcBorders>
            <w:shd w:val="clear" w:color="auto" w:fill="auto"/>
            <w:noWrap/>
            <w:vAlign w:val="center"/>
            <w:hideMark/>
          </w:tcPr>
          <w:p w14:paraId="3E786D9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91166004</w:t>
            </w:r>
          </w:p>
        </w:tc>
        <w:tc>
          <w:tcPr>
            <w:tcW w:w="3360" w:type="pct"/>
            <w:tcBorders>
              <w:top w:val="nil"/>
              <w:left w:val="nil"/>
              <w:bottom w:val="single" w:sz="4" w:space="0" w:color="auto"/>
              <w:right w:val="single" w:sz="4" w:space="0" w:color="auto"/>
            </w:tcBorders>
            <w:shd w:val="clear" w:color="auto" w:fill="auto"/>
            <w:vAlign w:val="center"/>
            <w:hideMark/>
          </w:tcPr>
          <w:p w14:paraId="2D111C9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DOBROVA-POLHOV GRADEC</w:t>
            </w:r>
          </w:p>
        </w:tc>
      </w:tr>
      <w:tr w:rsidR="00E3750C" w:rsidRPr="00415AB3" w14:paraId="3C9DE70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250A69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915</w:t>
            </w:r>
          </w:p>
        </w:tc>
        <w:tc>
          <w:tcPr>
            <w:tcW w:w="705" w:type="pct"/>
            <w:tcBorders>
              <w:top w:val="nil"/>
              <w:left w:val="nil"/>
              <w:bottom w:val="single" w:sz="4" w:space="0" w:color="auto"/>
              <w:right w:val="single" w:sz="4" w:space="0" w:color="auto"/>
            </w:tcBorders>
            <w:shd w:val="clear" w:color="auto" w:fill="auto"/>
            <w:noWrap/>
            <w:vAlign w:val="center"/>
            <w:hideMark/>
          </w:tcPr>
          <w:p w14:paraId="2B14F63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1332198000</w:t>
            </w:r>
          </w:p>
        </w:tc>
        <w:tc>
          <w:tcPr>
            <w:tcW w:w="547" w:type="pct"/>
            <w:tcBorders>
              <w:top w:val="nil"/>
              <w:left w:val="nil"/>
              <w:bottom w:val="single" w:sz="4" w:space="0" w:color="auto"/>
              <w:right w:val="single" w:sz="4" w:space="0" w:color="auto"/>
            </w:tcBorders>
            <w:shd w:val="clear" w:color="auto" w:fill="auto"/>
            <w:noWrap/>
            <w:vAlign w:val="center"/>
            <w:hideMark/>
          </w:tcPr>
          <w:p w14:paraId="5E361DE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72637706</w:t>
            </w:r>
          </w:p>
        </w:tc>
        <w:tc>
          <w:tcPr>
            <w:tcW w:w="3360" w:type="pct"/>
            <w:tcBorders>
              <w:top w:val="nil"/>
              <w:left w:val="nil"/>
              <w:bottom w:val="single" w:sz="4" w:space="0" w:color="auto"/>
              <w:right w:val="single" w:sz="4" w:space="0" w:color="auto"/>
            </w:tcBorders>
            <w:shd w:val="clear" w:color="auto" w:fill="auto"/>
            <w:vAlign w:val="center"/>
            <w:hideMark/>
          </w:tcPr>
          <w:p w14:paraId="5D2702A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DOBROVNIK DOBRONAK KOZSEG</w:t>
            </w:r>
          </w:p>
        </w:tc>
      </w:tr>
      <w:tr w:rsidR="00E3750C" w:rsidRPr="00415AB3" w14:paraId="7EF04ED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0B41AD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916</w:t>
            </w:r>
          </w:p>
        </w:tc>
        <w:tc>
          <w:tcPr>
            <w:tcW w:w="705" w:type="pct"/>
            <w:tcBorders>
              <w:top w:val="nil"/>
              <w:left w:val="nil"/>
              <w:bottom w:val="single" w:sz="4" w:space="0" w:color="auto"/>
              <w:right w:val="single" w:sz="4" w:space="0" w:color="auto"/>
            </w:tcBorders>
            <w:shd w:val="clear" w:color="auto" w:fill="auto"/>
            <w:noWrap/>
            <w:vAlign w:val="center"/>
            <w:hideMark/>
          </w:tcPr>
          <w:p w14:paraId="6877294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5874173000</w:t>
            </w:r>
          </w:p>
        </w:tc>
        <w:tc>
          <w:tcPr>
            <w:tcW w:w="547" w:type="pct"/>
            <w:tcBorders>
              <w:top w:val="nil"/>
              <w:left w:val="nil"/>
              <w:bottom w:val="single" w:sz="4" w:space="0" w:color="auto"/>
              <w:right w:val="single" w:sz="4" w:space="0" w:color="auto"/>
            </w:tcBorders>
            <w:shd w:val="clear" w:color="auto" w:fill="auto"/>
            <w:noWrap/>
            <w:vAlign w:val="center"/>
            <w:hideMark/>
          </w:tcPr>
          <w:p w14:paraId="3E78AF2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81226748</w:t>
            </w:r>
          </w:p>
        </w:tc>
        <w:tc>
          <w:tcPr>
            <w:tcW w:w="3360" w:type="pct"/>
            <w:tcBorders>
              <w:top w:val="nil"/>
              <w:left w:val="nil"/>
              <w:bottom w:val="single" w:sz="4" w:space="0" w:color="auto"/>
              <w:right w:val="single" w:sz="4" w:space="0" w:color="auto"/>
            </w:tcBorders>
            <w:shd w:val="clear" w:color="auto" w:fill="auto"/>
            <w:vAlign w:val="center"/>
            <w:hideMark/>
          </w:tcPr>
          <w:p w14:paraId="36E4B49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DOL PRI LJUBLJANI</w:t>
            </w:r>
          </w:p>
        </w:tc>
      </w:tr>
      <w:tr w:rsidR="00E3750C" w:rsidRPr="00415AB3" w14:paraId="5C83ABD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40D1CA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917</w:t>
            </w:r>
          </w:p>
        </w:tc>
        <w:tc>
          <w:tcPr>
            <w:tcW w:w="705" w:type="pct"/>
            <w:tcBorders>
              <w:top w:val="nil"/>
              <w:left w:val="nil"/>
              <w:bottom w:val="single" w:sz="4" w:space="0" w:color="auto"/>
              <w:right w:val="single" w:sz="4" w:space="0" w:color="auto"/>
            </w:tcBorders>
            <w:shd w:val="clear" w:color="auto" w:fill="auto"/>
            <w:noWrap/>
            <w:vAlign w:val="center"/>
            <w:hideMark/>
          </w:tcPr>
          <w:p w14:paraId="6610A2B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1365720000</w:t>
            </w:r>
          </w:p>
        </w:tc>
        <w:tc>
          <w:tcPr>
            <w:tcW w:w="547" w:type="pct"/>
            <w:tcBorders>
              <w:top w:val="nil"/>
              <w:left w:val="nil"/>
              <w:bottom w:val="single" w:sz="4" w:space="0" w:color="auto"/>
              <w:right w:val="single" w:sz="4" w:space="0" w:color="auto"/>
            </w:tcBorders>
            <w:shd w:val="clear" w:color="auto" w:fill="auto"/>
            <w:noWrap/>
            <w:vAlign w:val="center"/>
            <w:hideMark/>
          </w:tcPr>
          <w:p w14:paraId="273EDF8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29941318</w:t>
            </w:r>
          </w:p>
        </w:tc>
        <w:tc>
          <w:tcPr>
            <w:tcW w:w="3360" w:type="pct"/>
            <w:tcBorders>
              <w:top w:val="nil"/>
              <w:left w:val="nil"/>
              <w:bottom w:val="single" w:sz="4" w:space="0" w:color="auto"/>
              <w:right w:val="single" w:sz="4" w:space="0" w:color="auto"/>
            </w:tcBorders>
            <w:shd w:val="clear" w:color="auto" w:fill="auto"/>
            <w:vAlign w:val="center"/>
            <w:hideMark/>
          </w:tcPr>
          <w:p w14:paraId="32114B5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DOLENJSKE TOPLICE</w:t>
            </w:r>
          </w:p>
        </w:tc>
      </w:tr>
      <w:tr w:rsidR="00E3750C" w:rsidRPr="00415AB3" w14:paraId="381FD7A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263EDC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918</w:t>
            </w:r>
          </w:p>
        </w:tc>
        <w:tc>
          <w:tcPr>
            <w:tcW w:w="705" w:type="pct"/>
            <w:tcBorders>
              <w:top w:val="nil"/>
              <w:left w:val="nil"/>
              <w:bottom w:val="single" w:sz="4" w:space="0" w:color="auto"/>
              <w:right w:val="single" w:sz="4" w:space="0" w:color="auto"/>
            </w:tcBorders>
            <w:shd w:val="clear" w:color="auto" w:fill="auto"/>
            <w:noWrap/>
            <w:vAlign w:val="center"/>
            <w:hideMark/>
          </w:tcPr>
          <w:p w14:paraId="0EA6F97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5880513000</w:t>
            </w:r>
          </w:p>
        </w:tc>
        <w:tc>
          <w:tcPr>
            <w:tcW w:w="547" w:type="pct"/>
            <w:tcBorders>
              <w:top w:val="nil"/>
              <w:left w:val="nil"/>
              <w:bottom w:val="single" w:sz="4" w:space="0" w:color="auto"/>
              <w:right w:val="single" w:sz="4" w:space="0" w:color="auto"/>
            </w:tcBorders>
            <w:shd w:val="clear" w:color="auto" w:fill="auto"/>
            <w:noWrap/>
            <w:vAlign w:val="center"/>
            <w:hideMark/>
          </w:tcPr>
          <w:p w14:paraId="36BD06D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62862006</w:t>
            </w:r>
          </w:p>
        </w:tc>
        <w:tc>
          <w:tcPr>
            <w:tcW w:w="3360" w:type="pct"/>
            <w:tcBorders>
              <w:top w:val="nil"/>
              <w:left w:val="nil"/>
              <w:bottom w:val="single" w:sz="4" w:space="0" w:color="auto"/>
              <w:right w:val="single" w:sz="4" w:space="0" w:color="auto"/>
            </w:tcBorders>
            <w:shd w:val="clear" w:color="auto" w:fill="auto"/>
            <w:vAlign w:val="center"/>
            <w:hideMark/>
          </w:tcPr>
          <w:p w14:paraId="0CBC8AA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DOMŽALE</w:t>
            </w:r>
          </w:p>
        </w:tc>
      </w:tr>
      <w:tr w:rsidR="00E3750C" w:rsidRPr="00415AB3" w14:paraId="46B440D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8A0D0E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919</w:t>
            </w:r>
          </w:p>
        </w:tc>
        <w:tc>
          <w:tcPr>
            <w:tcW w:w="705" w:type="pct"/>
            <w:tcBorders>
              <w:top w:val="nil"/>
              <w:left w:val="nil"/>
              <w:bottom w:val="single" w:sz="4" w:space="0" w:color="auto"/>
              <w:right w:val="single" w:sz="4" w:space="0" w:color="auto"/>
            </w:tcBorders>
            <w:shd w:val="clear" w:color="auto" w:fill="auto"/>
            <w:noWrap/>
            <w:vAlign w:val="center"/>
            <w:hideMark/>
          </w:tcPr>
          <w:p w14:paraId="0C79E57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5884039000</w:t>
            </w:r>
          </w:p>
        </w:tc>
        <w:tc>
          <w:tcPr>
            <w:tcW w:w="547" w:type="pct"/>
            <w:tcBorders>
              <w:top w:val="nil"/>
              <w:left w:val="nil"/>
              <w:bottom w:val="single" w:sz="4" w:space="0" w:color="auto"/>
              <w:right w:val="single" w:sz="4" w:space="0" w:color="auto"/>
            </w:tcBorders>
            <w:shd w:val="clear" w:color="auto" w:fill="auto"/>
            <w:noWrap/>
            <w:vAlign w:val="center"/>
            <w:hideMark/>
          </w:tcPr>
          <w:p w14:paraId="3B65A42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44295839</w:t>
            </w:r>
          </w:p>
        </w:tc>
        <w:tc>
          <w:tcPr>
            <w:tcW w:w="3360" w:type="pct"/>
            <w:tcBorders>
              <w:top w:val="nil"/>
              <w:left w:val="nil"/>
              <w:bottom w:val="single" w:sz="4" w:space="0" w:color="auto"/>
              <w:right w:val="single" w:sz="4" w:space="0" w:color="auto"/>
            </w:tcBorders>
            <w:shd w:val="clear" w:color="auto" w:fill="auto"/>
            <w:vAlign w:val="center"/>
            <w:hideMark/>
          </w:tcPr>
          <w:p w14:paraId="455771C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DORNAVA</w:t>
            </w:r>
          </w:p>
        </w:tc>
      </w:tr>
      <w:tr w:rsidR="00E3750C" w:rsidRPr="00415AB3" w14:paraId="189AD8A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C298E9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920</w:t>
            </w:r>
          </w:p>
        </w:tc>
        <w:tc>
          <w:tcPr>
            <w:tcW w:w="705" w:type="pct"/>
            <w:tcBorders>
              <w:top w:val="nil"/>
              <w:left w:val="nil"/>
              <w:bottom w:val="single" w:sz="4" w:space="0" w:color="auto"/>
              <w:right w:val="single" w:sz="4" w:space="0" w:color="auto"/>
            </w:tcBorders>
            <w:shd w:val="clear" w:color="auto" w:fill="auto"/>
            <w:noWrap/>
            <w:vAlign w:val="center"/>
            <w:hideMark/>
          </w:tcPr>
          <w:p w14:paraId="3150200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5880351000</w:t>
            </w:r>
          </w:p>
        </w:tc>
        <w:tc>
          <w:tcPr>
            <w:tcW w:w="547" w:type="pct"/>
            <w:tcBorders>
              <w:top w:val="nil"/>
              <w:left w:val="nil"/>
              <w:bottom w:val="single" w:sz="4" w:space="0" w:color="auto"/>
              <w:right w:val="single" w:sz="4" w:space="0" w:color="auto"/>
            </w:tcBorders>
            <w:shd w:val="clear" w:color="auto" w:fill="auto"/>
            <w:noWrap/>
            <w:vAlign w:val="center"/>
            <w:hideMark/>
          </w:tcPr>
          <w:p w14:paraId="69EA93D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47554851</w:t>
            </w:r>
          </w:p>
        </w:tc>
        <w:tc>
          <w:tcPr>
            <w:tcW w:w="3360" w:type="pct"/>
            <w:tcBorders>
              <w:top w:val="nil"/>
              <w:left w:val="nil"/>
              <w:bottom w:val="single" w:sz="4" w:space="0" w:color="auto"/>
              <w:right w:val="single" w:sz="4" w:space="0" w:color="auto"/>
            </w:tcBorders>
            <w:shd w:val="clear" w:color="auto" w:fill="auto"/>
            <w:vAlign w:val="center"/>
            <w:hideMark/>
          </w:tcPr>
          <w:p w14:paraId="6735DE3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DRAVOGRAD</w:t>
            </w:r>
          </w:p>
        </w:tc>
      </w:tr>
      <w:tr w:rsidR="00E3750C" w:rsidRPr="00415AB3" w14:paraId="5DC178E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77604A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921</w:t>
            </w:r>
          </w:p>
        </w:tc>
        <w:tc>
          <w:tcPr>
            <w:tcW w:w="705" w:type="pct"/>
            <w:tcBorders>
              <w:top w:val="nil"/>
              <w:left w:val="nil"/>
              <w:bottom w:val="single" w:sz="4" w:space="0" w:color="auto"/>
              <w:right w:val="single" w:sz="4" w:space="0" w:color="auto"/>
            </w:tcBorders>
            <w:shd w:val="clear" w:color="auto" w:fill="auto"/>
            <w:noWrap/>
            <w:vAlign w:val="center"/>
            <w:hideMark/>
          </w:tcPr>
          <w:p w14:paraId="559DB59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5883300000</w:t>
            </w:r>
          </w:p>
        </w:tc>
        <w:tc>
          <w:tcPr>
            <w:tcW w:w="547" w:type="pct"/>
            <w:tcBorders>
              <w:top w:val="nil"/>
              <w:left w:val="nil"/>
              <w:bottom w:val="single" w:sz="4" w:space="0" w:color="auto"/>
              <w:right w:val="single" w:sz="4" w:space="0" w:color="auto"/>
            </w:tcBorders>
            <w:shd w:val="clear" w:color="auto" w:fill="auto"/>
            <w:noWrap/>
            <w:vAlign w:val="center"/>
            <w:hideMark/>
          </w:tcPr>
          <w:p w14:paraId="1E4D294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41316819</w:t>
            </w:r>
          </w:p>
        </w:tc>
        <w:tc>
          <w:tcPr>
            <w:tcW w:w="3360" w:type="pct"/>
            <w:tcBorders>
              <w:top w:val="nil"/>
              <w:left w:val="nil"/>
              <w:bottom w:val="single" w:sz="4" w:space="0" w:color="auto"/>
              <w:right w:val="single" w:sz="4" w:space="0" w:color="auto"/>
            </w:tcBorders>
            <w:shd w:val="clear" w:color="auto" w:fill="auto"/>
            <w:vAlign w:val="center"/>
            <w:hideMark/>
          </w:tcPr>
          <w:p w14:paraId="1135F33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DUPLEK</w:t>
            </w:r>
          </w:p>
        </w:tc>
      </w:tr>
      <w:tr w:rsidR="00E3750C" w:rsidRPr="00415AB3" w14:paraId="7AC7F42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248E90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922</w:t>
            </w:r>
          </w:p>
        </w:tc>
        <w:tc>
          <w:tcPr>
            <w:tcW w:w="705" w:type="pct"/>
            <w:tcBorders>
              <w:top w:val="nil"/>
              <w:left w:val="nil"/>
              <w:bottom w:val="single" w:sz="4" w:space="0" w:color="auto"/>
              <w:right w:val="single" w:sz="4" w:space="0" w:color="auto"/>
            </w:tcBorders>
            <w:shd w:val="clear" w:color="auto" w:fill="auto"/>
            <w:noWrap/>
            <w:vAlign w:val="center"/>
            <w:hideMark/>
          </w:tcPr>
          <w:p w14:paraId="2221601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5883261000</w:t>
            </w:r>
          </w:p>
        </w:tc>
        <w:tc>
          <w:tcPr>
            <w:tcW w:w="547" w:type="pct"/>
            <w:tcBorders>
              <w:top w:val="nil"/>
              <w:left w:val="nil"/>
              <w:bottom w:val="single" w:sz="4" w:space="0" w:color="auto"/>
              <w:right w:val="single" w:sz="4" w:space="0" w:color="auto"/>
            </w:tcBorders>
            <w:shd w:val="clear" w:color="auto" w:fill="auto"/>
            <w:noWrap/>
            <w:vAlign w:val="center"/>
            <w:hideMark/>
          </w:tcPr>
          <w:p w14:paraId="7570B11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63943026</w:t>
            </w:r>
          </w:p>
        </w:tc>
        <w:tc>
          <w:tcPr>
            <w:tcW w:w="3360" w:type="pct"/>
            <w:tcBorders>
              <w:top w:val="nil"/>
              <w:left w:val="nil"/>
              <w:bottom w:val="single" w:sz="4" w:space="0" w:color="auto"/>
              <w:right w:val="single" w:sz="4" w:space="0" w:color="auto"/>
            </w:tcBorders>
            <w:shd w:val="clear" w:color="auto" w:fill="auto"/>
            <w:vAlign w:val="center"/>
            <w:hideMark/>
          </w:tcPr>
          <w:p w14:paraId="7F47A66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GORENJA VAS-POLJANE</w:t>
            </w:r>
          </w:p>
        </w:tc>
      </w:tr>
      <w:tr w:rsidR="00E3750C" w:rsidRPr="00415AB3" w14:paraId="6554B0A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3EEF05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923</w:t>
            </w:r>
          </w:p>
        </w:tc>
        <w:tc>
          <w:tcPr>
            <w:tcW w:w="705" w:type="pct"/>
            <w:tcBorders>
              <w:top w:val="nil"/>
              <w:left w:val="nil"/>
              <w:bottom w:val="single" w:sz="4" w:space="0" w:color="auto"/>
              <w:right w:val="single" w:sz="4" w:space="0" w:color="auto"/>
            </w:tcBorders>
            <w:shd w:val="clear" w:color="auto" w:fill="auto"/>
            <w:noWrap/>
            <w:vAlign w:val="center"/>
            <w:hideMark/>
          </w:tcPr>
          <w:p w14:paraId="6087D20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5883962000</w:t>
            </w:r>
          </w:p>
        </w:tc>
        <w:tc>
          <w:tcPr>
            <w:tcW w:w="547" w:type="pct"/>
            <w:tcBorders>
              <w:top w:val="nil"/>
              <w:left w:val="nil"/>
              <w:bottom w:val="single" w:sz="4" w:space="0" w:color="auto"/>
              <w:right w:val="single" w:sz="4" w:space="0" w:color="auto"/>
            </w:tcBorders>
            <w:shd w:val="clear" w:color="auto" w:fill="auto"/>
            <w:noWrap/>
            <w:vAlign w:val="center"/>
            <w:hideMark/>
          </w:tcPr>
          <w:p w14:paraId="5592851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81877790</w:t>
            </w:r>
          </w:p>
        </w:tc>
        <w:tc>
          <w:tcPr>
            <w:tcW w:w="3360" w:type="pct"/>
            <w:tcBorders>
              <w:top w:val="nil"/>
              <w:left w:val="nil"/>
              <w:bottom w:val="single" w:sz="4" w:space="0" w:color="auto"/>
              <w:right w:val="single" w:sz="4" w:space="0" w:color="auto"/>
            </w:tcBorders>
            <w:shd w:val="clear" w:color="auto" w:fill="auto"/>
            <w:vAlign w:val="center"/>
            <w:hideMark/>
          </w:tcPr>
          <w:p w14:paraId="7108453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GORIŠNICA</w:t>
            </w:r>
          </w:p>
        </w:tc>
      </w:tr>
      <w:tr w:rsidR="00E3750C" w:rsidRPr="00415AB3" w14:paraId="23C0A09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D0A477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924</w:t>
            </w:r>
          </w:p>
        </w:tc>
        <w:tc>
          <w:tcPr>
            <w:tcW w:w="705" w:type="pct"/>
            <w:tcBorders>
              <w:top w:val="nil"/>
              <w:left w:val="nil"/>
              <w:bottom w:val="single" w:sz="4" w:space="0" w:color="auto"/>
              <w:right w:val="single" w:sz="4" w:space="0" w:color="auto"/>
            </w:tcBorders>
            <w:shd w:val="clear" w:color="auto" w:fill="auto"/>
            <w:noWrap/>
            <w:vAlign w:val="center"/>
            <w:hideMark/>
          </w:tcPr>
          <w:p w14:paraId="0E658F8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2209721000</w:t>
            </w:r>
          </w:p>
        </w:tc>
        <w:tc>
          <w:tcPr>
            <w:tcW w:w="547" w:type="pct"/>
            <w:tcBorders>
              <w:top w:val="nil"/>
              <w:left w:val="nil"/>
              <w:bottom w:val="single" w:sz="4" w:space="0" w:color="auto"/>
              <w:right w:val="single" w:sz="4" w:space="0" w:color="auto"/>
            </w:tcBorders>
            <w:shd w:val="clear" w:color="auto" w:fill="auto"/>
            <w:noWrap/>
            <w:vAlign w:val="center"/>
            <w:hideMark/>
          </w:tcPr>
          <w:p w14:paraId="6940177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66614198</w:t>
            </w:r>
          </w:p>
        </w:tc>
        <w:tc>
          <w:tcPr>
            <w:tcW w:w="3360" w:type="pct"/>
            <w:tcBorders>
              <w:top w:val="nil"/>
              <w:left w:val="nil"/>
              <w:bottom w:val="single" w:sz="4" w:space="0" w:color="auto"/>
              <w:right w:val="single" w:sz="4" w:space="0" w:color="auto"/>
            </w:tcBorders>
            <w:shd w:val="clear" w:color="auto" w:fill="auto"/>
            <w:vAlign w:val="center"/>
            <w:hideMark/>
          </w:tcPr>
          <w:p w14:paraId="5AD11FD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GORJE</w:t>
            </w:r>
          </w:p>
        </w:tc>
      </w:tr>
      <w:tr w:rsidR="00E3750C" w:rsidRPr="00415AB3" w14:paraId="5E5C10F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FDD1D3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925</w:t>
            </w:r>
          </w:p>
        </w:tc>
        <w:tc>
          <w:tcPr>
            <w:tcW w:w="705" w:type="pct"/>
            <w:tcBorders>
              <w:top w:val="nil"/>
              <w:left w:val="nil"/>
              <w:bottom w:val="single" w:sz="4" w:space="0" w:color="auto"/>
              <w:right w:val="single" w:sz="4" w:space="0" w:color="auto"/>
            </w:tcBorders>
            <w:shd w:val="clear" w:color="auto" w:fill="auto"/>
            <w:noWrap/>
            <w:vAlign w:val="center"/>
            <w:hideMark/>
          </w:tcPr>
          <w:p w14:paraId="50B5A8F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5880289000</w:t>
            </w:r>
          </w:p>
        </w:tc>
        <w:tc>
          <w:tcPr>
            <w:tcW w:w="547" w:type="pct"/>
            <w:tcBorders>
              <w:top w:val="nil"/>
              <w:left w:val="nil"/>
              <w:bottom w:val="single" w:sz="4" w:space="0" w:color="auto"/>
              <w:right w:val="single" w:sz="4" w:space="0" w:color="auto"/>
            </w:tcBorders>
            <w:shd w:val="clear" w:color="auto" w:fill="auto"/>
            <w:noWrap/>
            <w:vAlign w:val="center"/>
            <w:hideMark/>
          </w:tcPr>
          <w:p w14:paraId="641F95C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40051846</w:t>
            </w:r>
          </w:p>
        </w:tc>
        <w:tc>
          <w:tcPr>
            <w:tcW w:w="3360" w:type="pct"/>
            <w:tcBorders>
              <w:top w:val="nil"/>
              <w:left w:val="nil"/>
              <w:bottom w:val="single" w:sz="4" w:space="0" w:color="auto"/>
              <w:right w:val="single" w:sz="4" w:space="0" w:color="auto"/>
            </w:tcBorders>
            <w:shd w:val="clear" w:color="auto" w:fill="auto"/>
            <w:vAlign w:val="center"/>
            <w:hideMark/>
          </w:tcPr>
          <w:p w14:paraId="2AC18D7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GORNJA RADGONA</w:t>
            </w:r>
          </w:p>
        </w:tc>
      </w:tr>
      <w:tr w:rsidR="00E3750C" w:rsidRPr="00415AB3" w14:paraId="4F2FAD4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D031F8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926</w:t>
            </w:r>
          </w:p>
        </w:tc>
        <w:tc>
          <w:tcPr>
            <w:tcW w:w="705" w:type="pct"/>
            <w:tcBorders>
              <w:top w:val="nil"/>
              <w:left w:val="nil"/>
              <w:bottom w:val="single" w:sz="4" w:space="0" w:color="auto"/>
              <w:right w:val="single" w:sz="4" w:space="0" w:color="auto"/>
            </w:tcBorders>
            <w:shd w:val="clear" w:color="auto" w:fill="auto"/>
            <w:noWrap/>
            <w:vAlign w:val="center"/>
            <w:hideMark/>
          </w:tcPr>
          <w:p w14:paraId="4BDC80E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5883776000</w:t>
            </w:r>
          </w:p>
        </w:tc>
        <w:tc>
          <w:tcPr>
            <w:tcW w:w="547" w:type="pct"/>
            <w:tcBorders>
              <w:top w:val="nil"/>
              <w:left w:val="nil"/>
              <w:bottom w:val="single" w:sz="4" w:space="0" w:color="auto"/>
              <w:right w:val="single" w:sz="4" w:space="0" w:color="auto"/>
            </w:tcBorders>
            <w:shd w:val="clear" w:color="auto" w:fill="auto"/>
            <w:noWrap/>
            <w:vAlign w:val="center"/>
            <w:hideMark/>
          </w:tcPr>
          <w:p w14:paraId="654A5DC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89964268</w:t>
            </w:r>
          </w:p>
        </w:tc>
        <w:tc>
          <w:tcPr>
            <w:tcW w:w="3360" w:type="pct"/>
            <w:tcBorders>
              <w:top w:val="nil"/>
              <w:left w:val="nil"/>
              <w:bottom w:val="single" w:sz="4" w:space="0" w:color="auto"/>
              <w:right w:val="single" w:sz="4" w:space="0" w:color="auto"/>
            </w:tcBorders>
            <w:shd w:val="clear" w:color="auto" w:fill="auto"/>
            <w:vAlign w:val="center"/>
            <w:hideMark/>
          </w:tcPr>
          <w:p w14:paraId="70FDAF0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GORNJI GRAD</w:t>
            </w:r>
          </w:p>
        </w:tc>
      </w:tr>
      <w:tr w:rsidR="00E3750C" w:rsidRPr="00415AB3" w14:paraId="2C0A0AB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31756A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927</w:t>
            </w:r>
          </w:p>
        </w:tc>
        <w:tc>
          <w:tcPr>
            <w:tcW w:w="705" w:type="pct"/>
            <w:tcBorders>
              <w:top w:val="nil"/>
              <w:left w:val="nil"/>
              <w:bottom w:val="single" w:sz="4" w:space="0" w:color="auto"/>
              <w:right w:val="single" w:sz="4" w:space="0" w:color="auto"/>
            </w:tcBorders>
            <w:shd w:val="clear" w:color="auto" w:fill="auto"/>
            <w:noWrap/>
            <w:vAlign w:val="center"/>
            <w:hideMark/>
          </w:tcPr>
          <w:p w14:paraId="6163568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5883075000</w:t>
            </w:r>
          </w:p>
        </w:tc>
        <w:tc>
          <w:tcPr>
            <w:tcW w:w="547" w:type="pct"/>
            <w:tcBorders>
              <w:top w:val="nil"/>
              <w:left w:val="nil"/>
              <w:bottom w:val="single" w:sz="4" w:space="0" w:color="auto"/>
              <w:right w:val="single" w:sz="4" w:space="0" w:color="auto"/>
            </w:tcBorders>
            <w:shd w:val="clear" w:color="auto" w:fill="auto"/>
            <w:noWrap/>
            <w:vAlign w:val="center"/>
            <w:hideMark/>
          </w:tcPr>
          <w:p w14:paraId="3AFB2C3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69366144</w:t>
            </w:r>
          </w:p>
        </w:tc>
        <w:tc>
          <w:tcPr>
            <w:tcW w:w="3360" w:type="pct"/>
            <w:tcBorders>
              <w:top w:val="nil"/>
              <w:left w:val="nil"/>
              <w:bottom w:val="single" w:sz="4" w:space="0" w:color="auto"/>
              <w:right w:val="single" w:sz="4" w:space="0" w:color="auto"/>
            </w:tcBorders>
            <w:shd w:val="clear" w:color="auto" w:fill="auto"/>
            <w:vAlign w:val="center"/>
            <w:hideMark/>
          </w:tcPr>
          <w:p w14:paraId="50DC3C8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GORNJI PETROVCI</w:t>
            </w:r>
          </w:p>
        </w:tc>
      </w:tr>
      <w:tr w:rsidR="00E3750C" w:rsidRPr="00415AB3" w14:paraId="16892BA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84AC16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928</w:t>
            </w:r>
          </w:p>
        </w:tc>
        <w:tc>
          <w:tcPr>
            <w:tcW w:w="705" w:type="pct"/>
            <w:tcBorders>
              <w:top w:val="nil"/>
              <w:left w:val="nil"/>
              <w:bottom w:val="single" w:sz="4" w:space="0" w:color="auto"/>
              <w:right w:val="single" w:sz="4" w:space="0" w:color="auto"/>
            </w:tcBorders>
            <w:shd w:val="clear" w:color="auto" w:fill="auto"/>
            <w:noWrap/>
            <w:vAlign w:val="center"/>
            <w:hideMark/>
          </w:tcPr>
          <w:p w14:paraId="06E9CCC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1365673000</w:t>
            </w:r>
          </w:p>
        </w:tc>
        <w:tc>
          <w:tcPr>
            <w:tcW w:w="547" w:type="pct"/>
            <w:tcBorders>
              <w:top w:val="nil"/>
              <w:left w:val="nil"/>
              <w:bottom w:val="single" w:sz="4" w:space="0" w:color="auto"/>
              <w:right w:val="single" w:sz="4" w:space="0" w:color="auto"/>
            </w:tcBorders>
            <w:shd w:val="clear" w:color="auto" w:fill="auto"/>
            <w:noWrap/>
            <w:vAlign w:val="center"/>
            <w:hideMark/>
          </w:tcPr>
          <w:p w14:paraId="5262CC8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70454540</w:t>
            </w:r>
          </w:p>
        </w:tc>
        <w:tc>
          <w:tcPr>
            <w:tcW w:w="3360" w:type="pct"/>
            <w:tcBorders>
              <w:top w:val="nil"/>
              <w:left w:val="nil"/>
              <w:bottom w:val="single" w:sz="4" w:space="0" w:color="auto"/>
              <w:right w:val="single" w:sz="4" w:space="0" w:color="auto"/>
            </w:tcBorders>
            <w:shd w:val="clear" w:color="auto" w:fill="auto"/>
            <w:vAlign w:val="center"/>
            <w:hideMark/>
          </w:tcPr>
          <w:p w14:paraId="334C709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GRAD</w:t>
            </w:r>
          </w:p>
        </w:tc>
      </w:tr>
      <w:tr w:rsidR="00E3750C" w:rsidRPr="00415AB3" w14:paraId="318341D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75B64E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929</w:t>
            </w:r>
          </w:p>
        </w:tc>
        <w:tc>
          <w:tcPr>
            <w:tcW w:w="705" w:type="pct"/>
            <w:tcBorders>
              <w:top w:val="nil"/>
              <w:left w:val="nil"/>
              <w:bottom w:val="single" w:sz="4" w:space="0" w:color="auto"/>
              <w:right w:val="single" w:sz="4" w:space="0" w:color="auto"/>
            </w:tcBorders>
            <w:shd w:val="clear" w:color="auto" w:fill="auto"/>
            <w:noWrap/>
            <w:vAlign w:val="center"/>
            <w:hideMark/>
          </w:tcPr>
          <w:p w14:paraId="7839D7B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5880734000</w:t>
            </w:r>
          </w:p>
        </w:tc>
        <w:tc>
          <w:tcPr>
            <w:tcW w:w="547" w:type="pct"/>
            <w:tcBorders>
              <w:top w:val="nil"/>
              <w:left w:val="nil"/>
              <w:bottom w:val="single" w:sz="4" w:space="0" w:color="auto"/>
              <w:right w:val="single" w:sz="4" w:space="0" w:color="auto"/>
            </w:tcBorders>
            <w:shd w:val="clear" w:color="auto" w:fill="auto"/>
            <w:noWrap/>
            <w:vAlign w:val="center"/>
            <w:hideMark/>
          </w:tcPr>
          <w:p w14:paraId="5E15685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14067765</w:t>
            </w:r>
          </w:p>
        </w:tc>
        <w:tc>
          <w:tcPr>
            <w:tcW w:w="3360" w:type="pct"/>
            <w:tcBorders>
              <w:top w:val="nil"/>
              <w:left w:val="nil"/>
              <w:bottom w:val="single" w:sz="4" w:space="0" w:color="auto"/>
              <w:right w:val="single" w:sz="4" w:space="0" w:color="auto"/>
            </w:tcBorders>
            <w:shd w:val="clear" w:color="auto" w:fill="auto"/>
            <w:vAlign w:val="center"/>
            <w:hideMark/>
          </w:tcPr>
          <w:p w14:paraId="76518C6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GROSUPLJE</w:t>
            </w:r>
          </w:p>
        </w:tc>
      </w:tr>
      <w:tr w:rsidR="00E3750C" w:rsidRPr="00415AB3" w14:paraId="009295E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3820F2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930</w:t>
            </w:r>
          </w:p>
        </w:tc>
        <w:tc>
          <w:tcPr>
            <w:tcW w:w="705" w:type="pct"/>
            <w:tcBorders>
              <w:top w:val="nil"/>
              <w:left w:val="nil"/>
              <w:bottom w:val="single" w:sz="4" w:space="0" w:color="auto"/>
              <w:right w:val="single" w:sz="4" w:space="0" w:color="auto"/>
            </w:tcBorders>
            <w:shd w:val="clear" w:color="auto" w:fill="auto"/>
            <w:noWrap/>
            <w:vAlign w:val="center"/>
            <w:hideMark/>
          </w:tcPr>
          <w:p w14:paraId="7F8C258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1357441000</w:t>
            </w:r>
          </w:p>
        </w:tc>
        <w:tc>
          <w:tcPr>
            <w:tcW w:w="547" w:type="pct"/>
            <w:tcBorders>
              <w:top w:val="nil"/>
              <w:left w:val="nil"/>
              <w:bottom w:val="single" w:sz="4" w:space="0" w:color="auto"/>
              <w:right w:val="single" w:sz="4" w:space="0" w:color="auto"/>
            </w:tcBorders>
            <w:shd w:val="clear" w:color="auto" w:fill="auto"/>
            <w:noWrap/>
            <w:vAlign w:val="center"/>
            <w:hideMark/>
          </w:tcPr>
          <w:p w14:paraId="3E88AE7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24866792</w:t>
            </w:r>
          </w:p>
        </w:tc>
        <w:tc>
          <w:tcPr>
            <w:tcW w:w="3360" w:type="pct"/>
            <w:tcBorders>
              <w:top w:val="nil"/>
              <w:left w:val="nil"/>
              <w:bottom w:val="single" w:sz="4" w:space="0" w:color="auto"/>
              <w:right w:val="single" w:sz="4" w:space="0" w:color="auto"/>
            </w:tcBorders>
            <w:shd w:val="clear" w:color="auto" w:fill="auto"/>
            <w:vAlign w:val="center"/>
            <w:hideMark/>
          </w:tcPr>
          <w:p w14:paraId="1C9AFAC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HAJDINA</w:t>
            </w:r>
          </w:p>
        </w:tc>
      </w:tr>
      <w:tr w:rsidR="00E3750C" w:rsidRPr="00415AB3" w14:paraId="44F141A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28EA0C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931</w:t>
            </w:r>
          </w:p>
        </w:tc>
        <w:tc>
          <w:tcPr>
            <w:tcW w:w="705" w:type="pct"/>
            <w:tcBorders>
              <w:top w:val="nil"/>
              <w:left w:val="nil"/>
              <w:bottom w:val="single" w:sz="4" w:space="0" w:color="auto"/>
              <w:right w:val="single" w:sz="4" w:space="0" w:color="auto"/>
            </w:tcBorders>
            <w:shd w:val="clear" w:color="auto" w:fill="auto"/>
            <w:noWrap/>
            <w:vAlign w:val="center"/>
            <w:hideMark/>
          </w:tcPr>
          <w:p w14:paraId="04BBD46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1365568000</w:t>
            </w:r>
          </w:p>
        </w:tc>
        <w:tc>
          <w:tcPr>
            <w:tcW w:w="547" w:type="pct"/>
            <w:tcBorders>
              <w:top w:val="nil"/>
              <w:left w:val="nil"/>
              <w:bottom w:val="single" w:sz="4" w:space="0" w:color="auto"/>
              <w:right w:val="single" w:sz="4" w:space="0" w:color="auto"/>
            </w:tcBorders>
            <w:shd w:val="clear" w:color="auto" w:fill="auto"/>
            <w:noWrap/>
            <w:vAlign w:val="center"/>
            <w:hideMark/>
          </w:tcPr>
          <w:p w14:paraId="34D0696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24685844</w:t>
            </w:r>
          </w:p>
        </w:tc>
        <w:tc>
          <w:tcPr>
            <w:tcW w:w="3360" w:type="pct"/>
            <w:tcBorders>
              <w:top w:val="nil"/>
              <w:left w:val="nil"/>
              <w:bottom w:val="single" w:sz="4" w:space="0" w:color="auto"/>
              <w:right w:val="single" w:sz="4" w:space="0" w:color="auto"/>
            </w:tcBorders>
            <w:shd w:val="clear" w:color="auto" w:fill="auto"/>
            <w:vAlign w:val="center"/>
            <w:hideMark/>
          </w:tcPr>
          <w:p w14:paraId="3A680E1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HOČE - SLIVNICA</w:t>
            </w:r>
          </w:p>
        </w:tc>
      </w:tr>
      <w:tr w:rsidR="00E3750C" w:rsidRPr="00415AB3" w14:paraId="74F2DC0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66FF21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932</w:t>
            </w:r>
          </w:p>
        </w:tc>
        <w:tc>
          <w:tcPr>
            <w:tcW w:w="705" w:type="pct"/>
            <w:tcBorders>
              <w:top w:val="nil"/>
              <w:left w:val="nil"/>
              <w:bottom w:val="single" w:sz="4" w:space="0" w:color="auto"/>
              <w:right w:val="single" w:sz="4" w:space="0" w:color="auto"/>
            </w:tcBorders>
            <w:shd w:val="clear" w:color="auto" w:fill="auto"/>
            <w:noWrap/>
            <w:vAlign w:val="center"/>
            <w:hideMark/>
          </w:tcPr>
          <w:p w14:paraId="3FA6469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1357344000</w:t>
            </w:r>
          </w:p>
        </w:tc>
        <w:tc>
          <w:tcPr>
            <w:tcW w:w="547" w:type="pct"/>
            <w:tcBorders>
              <w:top w:val="nil"/>
              <w:left w:val="nil"/>
              <w:bottom w:val="single" w:sz="4" w:space="0" w:color="auto"/>
              <w:right w:val="single" w:sz="4" w:space="0" w:color="auto"/>
            </w:tcBorders>
            <w:shd w:val="clear" w:color="auto" w:fill="auto"/>
            <w:noWrap/>
            <w:vAlign w:val="center"/>
            <w:hideMark/>
          </w:tcPr>
          <w:p w14:paraId="68EE4B7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73790141</w:t>
            </w:r>
          </w:p>
        </w:tc>
        <w:tc>
          <w:tcPr>
            <w:tcW w:w="3360" w:type="pct"/>
            <w:tcBorders>
              <w:top w:val="nil"/>
              <w:left w:val="nil"/>
              <w:bottom w:val="single" w:sz="4" w:space="0" w:color="auto"/>
              <w:right w:val="single" w:sz="4" w:space="0" w:color="auto"/>
            </w:tcBorders>
            <w:shd w:val="clear" w:color="auto" w:fill="auto"/>
            <w:vAlign w:val="center"/>
            <w:hideMark/>
          </w:tcPr>
          <w:p w14:paraId="18D315A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HODOŠ</w:t>
            </w:r>
          </w:p>
        </w:tc>
      </w:tr>
      <w:tr w:rsidR="00E3750C" w:rsidRPr="00415AB3" w14:paraId="6A79A9D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3EF8DA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933</w:t>
            </w:r>
          </w:p>
        </w:tc>
        <w:tc>
          <w:tcPr>
            <w:tcW w:w="705" w:type="pct"/>
            <w:tcBorders>
              <w:top w:val="nil"/>
              <w:left w:val="nil"/>
              <w:bottom w:val="single" w:sz="4" w:space="0" w:color="auto"/>
              <w:right w:val="single" w:sz="4" w:space="0" w:color="auto"/>
            </w:tcBorders>
            <w:shd w:val="clear" w:color="auto" w:fill="auto"/>
            <w:noWrap/>
            <w:vAlign w:val="center"/>
            <w:hideMark/>
          </w:tcPr>
          <w:p w14:paraId="381AE20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1332180000</w:t>
            </w:r>
          </w:p>
        </w:tc>
        <w:tc>
          <w:tcPr>
            <w:tcW w:w="547" w:type="pct"/>
            <w:tcBorders>
              <w:top w:val="nil"/>
              <w:left w:val="nil"/>
              <w:bottom w:val="single" w:sz="4" w:space="0" w:color="auto"/>
              <w:right w:val="single" w:sz="4" w:space="0" w:color="auto"/>
            </w:tcBorders>
            <w:shd w:val="clear" w:color="auto" w:fill="auto"/>
            <w:noWrap/>
            <w:vAlign w:val="center"/>
            <w:hideMark/>
          </w:tcPr>
          <w:p w14:paraId="7A5D87D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19084951</w:t>
            </w:r>
          </w:p>
        </w:tc>
        <w:tc>
          <w:tcPr>
            <w:tcW w:w="3360" w:type="pct"/>
            <w:tcBorders>
              <w:top w:val="nil"/>
              <w:left w:val="nil"/>
              <w:bottom w:val="single" w:sz="4" w:space="0" w:color="auto"/>
              <w:right w:val="single" w:sz="4" w:space="0" w:color="auto"/>
            </w:tcBorders>
            <w:shd w:val="clear" w:color="auto" w:fill="auto"/>
            <w:vAlign w:val="center"/>
            <w:hideMark/>
          </w:tcPr>
          <w:p w14:paraId="7130715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HORJUL</w:t>
            </w:r>
          </w:p>
        </w:tc>
      </w:tr>
      <w:tr w:rsidR="00E3750C" w:rsidRPr="00415AB3" w14:paraId="5245B47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874973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934</w:t>
            </w:r>
          </w:p>
        </w:tc>
        <w:tc>
          <w:tcPr>
            <w:tcW w:w="705" w:type="pct"/>
            <w:tcBorders>
              <w:top w:val="nil"/>
              <w:left w:val="nil"/>
              <w:bottom w:val="single" w:sz="4" w:space="0" w:color="auto"/>
              <w:right w:val="single" w:sz="4" w:space="0" w:color="auto"/>
            </w:tcBorders>
            <w:shd w:val="clear" w:color="auto" w:fill="auto"/>
            <w:noWrap/>
            <w:vAlign w:val="center"/>
            <w:hideMark/>
          </w:tcPr>
          <w:p w14:paraId="0BD9B5C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5880181000</w:t>
            </w:r>
          </w:p>
        </w:tc>
        <w:tc>
          <w:tcPr>
            <w:tcW w:w="547" w:type="pct"/>
            <w:tcBorders>
              <w:top w:val="nil"/>
              <w:left w:val="nil"/>
              <w:bottom w:val="single" w:sz="4" w:space="0" w:color="auto"/>
              <w:right w:val="single" w:sz="4" w:space="0" w:color="auto"/>
            </w:tcBorders>
            <w:shd w:val="clear" w:color="auto" w:fill="auto"/>
            <w:noWrap/>
            <w:vAlign w:val="center"/>
            <w:hideMark/>
          </w:tcPr>
          <w:p w14:paraId="3A1E7D5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83246274</w:t>
            </w:r>
          </w:p>
        </w:tc>
        <w:tc>
          <w:tcPr>
            <w:tcW w:w="3360" w:type="pct"/>
            <w:tcBorders>
              <w:top w:val="nil"/>
              <w:left w:val="nil"/>
              <w:bottom w:val="single" w:sz="4" w:space="0" w:color="auto"/>
              <w:right w:val="single" w:sz="4" w:space="0" w:color="auto"/>
            </w:tcBorders>
            <w:shd w:val="clear" w:color="auto" w:fill="auto"/>
            <w:vAlign w:val="center"/>
            <w:hideMark/>
          </w:tcPr>
          <w:p w14:paraId="3EBC20D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HRASTNIK</w:t>
            </w:r>
          </w:p>
        </w:tc>
      </w:tr>
      <w:tr w:rsidR="00E3750C" w:rsidRPr="00415AB3" w14:paraId="1040154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728646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935</w:t>
            </w:r>
          </w:p>
        </w:tc>
        <w:tc>
          <w:tcPr>
            <w:tcW w:w="705" w:type="pct"/>
            <w:tcBorders>
              <w:top w:val="nil"/>
              <w:left w:val="nil"/>
              <w:bottom w:val="single" w:sz="4" w:space="0" w:color="auto"/>
              <w:right w:val="single" w:sz="4" w:space="0" w:color="auto"/>
            </w:tcBorders>
            <w:shd w:val="clear" w:color="auto" w:fill="auto"/>
            <w:noWrap/>
            <w:vAlign w:val="center"/>
            <w:hideMark/>
          </w:tcPr>
          <w:p w14:paraId="43A0F8A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5883032000</w:t>
            </w:r>
          </w:p>
        </w:tc>
        <w:tc>
          <w:tcPr>
            <w:tcW w:w="547" w:type="pct"/>
            <w:tcBorders>
              <w:top w:val="nil"/>
              <w:left w:val="nil"/>
              <w:bottom w:val="single" w:sz="4" w:space="0" w:color="auto"/>
              <w:right w:val="single" w:sz="4" w:space="0" w:color="auto"/>
            </w:tcBorders>
            <w:shd w:val="clear" w:color="auto" w:fill="auto"/>
            <w:noWrap/>
            <w:vAlign w:val="center"/>
            <w:hideMark/>
          </w:tcPr>
          <w:p w14:paraId="1170A0E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96355557</w:t>
            </w:r>
          </w:p>
        </w:tc>
        <w:tc>
          <w:tcPr>
            <w:tcW w:w="3360" w:type="pct"/>
            <w:tcBorders>
              <w:top w:val="nil"/>
              <w:left w:val="nil"/>
              <w:bottom w:val="single" w:sz="4" w:space="0" w:color="auto"/>
              <w:right w:val="single" w:sz="4" w:space="0" w:color="auto"/>
            </w:tcBorders>
            <w:shd w:val="clear" w:color="auto" w:fill="auto"/>
            <w:vAlign w:val="center"/>
            <w:hideMark/>
          </w:tcPr>
          <w:p w14:paraId="28D8624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HRPELJE - KOZINA</w:t>
            </w:r>
          </w:p>
        </w:tc>
      </w:tr>
      <w:tr w:rsidR="00E3750C" w:rsidRPr="00415AB3" w14:paraId="3F667C4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57C9DC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936</w:t>
            </w:r>
          </w:p>
        </w:tc>
        <w:tc>
          <w:tcPr>
            <w:tcW w:w="705" w:type="pct"/>
            <w:tcBorders>
              <w:top w:val="nil"/>
              <w:left w:val="nil"/>
              <w:bottom w:val="single" w:sz="4" w:space="0" w:color="auto"/>
              <w:right w:val="single" w:sz="4" w:space="0" w:color="auto"/>
            </w:tcBorders>
            <w:shd w:val="clear" w:color="auto" w:fill="auto"/>
            <w:noWrap/>
            <w:vAlign w:val="center"/>
            <w:hideMark/>
          </w:tcPr>
          <w:p w14:paraId="18BCDCF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5880068000</w:t>
            </w:r>
          </w:p>
        </w:tc>
        <w:tc>
          <w:tcPr>
            <w:tcW w:w="547" w:type="pct"/>
            <w:tcBorders>
              <w:top w:val="nil"/>
              <w:left w:val="nil"/>
              <w:bottom w:val="single" w:sz="4" w:space="0" w:color="auto"/>
              <w:right w:val="single" w:sz="4" w:space="0" w:color="auto"/>
            </w:tcBorders>
            <w:shd w:val="clear" w:color="auto" w:fill="auto"/>
            <w:noWrap/>
            <w:vAlign w:val="center"/>
            <w:hideMark/>
          </w:tcPr>
          <w:p w14:paraId="2075C02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20497423</w:t>
            </w:r>
          </w:p>
        </w:tc>
        <w:tc>
          <w:tcPr>
            <w:tcW w:w="3360" w:type="pct"/>
            <w:tcBorders>
              <w:top w:val="nil"/>
              <w:left w:val="nil"/>
              <w:bottom w:val="single" w:sz="4" w:space="0" w:color="auto"/>
              <w:right w:val="single" w:sz="4" w:space="0" w:color="auto"/>
            </w:tcBorders>
            <w:shd w:val="clear" w:color="auto" w:fill="auto"/>
            <w:vAlign w:val="center"/>
            <w:hideMark/>
          </w:tcPr>
          <w:p w14:paraId="6058880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IDRIJA</w:t>
            </w:r>
          </w:p>
        </w:tc>
      </w:tr>
      <w:tr w:rsidR="00E3750C" w:rsidRPr="00415AB3" w14:paraId="1616A81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9BAC1E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937</w:t>
            </w:r>
          </w:p>
        </w:tc>
        <w:tc>
          <w:tcPr>
            <w:tcW w:w="705" w:type="pct"/>
            <w:tcBorders>
              <w:top w:val="nil"/>
              <w:left w:val="nil"/>
              <w:bottom w:val="single" w:sz="4" w:space="0" w:color="auto"/>
              <w:right w:val="single" w:sz="4" w:space="0" w:color="auto"/>
            </w:tcBorders>
            <w:shd w:val="clear" w:color="auto" w:fill="auto"/>
            <w:noWrap/>
            <w:vAlign w:val="center"/>
            <w:hideMark/>
          </w:tcPr>
          <w:p w14:paraId="6CAD9C6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5874769000</w:t>
            </w:r>
          </w:p>
        </w:tc>
        <w:tc>
          <w:tcPr>
            <w:tcW w:w="547" w:type="pct"/>
            <w:tcBorders>
              <w:top w:val="nil"/>
              <w:left w:val="nil"/>
              <w:bottom w:val="single" w:sz="4" w:space="0" w:color="auto"/>
              <w:right w:val="single" w:sz="4" w:space="0" w:color="auto"/>
            </w:tcBorders>
            <w:shd w:val="clear" w:color="auto" w:fill="auto"/>
            <w:noWrap/>
            <w:vAlign w:val="center"/>
            <w:hideMark/>
          </w:tcPr>
          <w:p w14:paraId="5B55DAF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47731206</w:t>
            </w:r>
          </w:p>
        </w:tc>
        <w:tc>
          <w:tcPr>
            <w:tcW w:w="3360" w:type="pct"/>
            <w:tcBorders>
              <w:top w:val="nil"/>
              <w:left w:val="nil"/>
              <w:bottom w:val="single" w:sz="4" w:space="0" w:color="auto"/>
              <w:right w:val="single" w:sz="4" w:space="0" w:color="auto"/>
            </w:tcBorders>
            <w:shd w:val="clear" w:color="auto" w:fill="auto"/>
            <w:vAlign w:val="center"/>
            <w:hideMark/>
          </w:tcPr>
          <w:p w14:paraId="07BDC40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IG</w:t>
            </w:r>
          </w:p>
        </w:tc>
      </w:tr>
      <w:tr w:rsidR="00E3750C" w:rsidRPr="00415AB3" w14:paraId="272E91D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E3A9EB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938</w:t>
            </w:r>
          </w:p>
        </w:tc>
        <w:tc>
          <w:tcPr>
            <w:tcW w:w="705" w:type="pct"/>
            <w:tcBorders>
              <w:top w:val="nil"/>
              <w:left w:val="nil"/>
              <w:bottom w:val="single" w:sz="4" w:space="0" w:color="auto"/>
              <w:right w:val="single" w:sz="4" w:space="0" w:color="auto"/>
            </w:tcBorders>
            <w:shd w:val="clear" w:color="auto" w:fill="auto"/>
            <w:noWrap/>
            <w:vAlign w:val="center"/>
            <w:hideMark/>
          </w:tcPr>
          <w:p w14:paraId="29E7CD1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5880416000</w:t>
            </w:r>
          </w:p>
        </w:tc>
        <w:tc>
          <w:tcPr>
            <w:tcW w:w="547" w:type="pct"/>
            <w:tcBorders>
              <w:top w:val="nil"/>
              <w:left w:val="nil"/>
              <w:bottom w:val="single" w:sz="4" w:space="0" w:color="auto"/>
              <w:right w:val="single" w:sz="4" w:space="0" w:color="auto"/>
            </w:tcBorders>
            <w:shd w:val="clear" w:color="auto" w:fill="auto"/>
            <w:noWrap/>
            <w:vAlign w:val="center"/>
            <w:hideMark/>
          </w:tcPr>
          <w:p w14:paraId="3CB2BEF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19908911</w:t>
            </w:r>
          </w:p>
        </w:tc>
        <w:tc>
          <w:tcPr>
            <w:tcW w:w="3360" w:type="pct"/>
            <w:tcBorders>
              <w:top w:val="nil"/>
              <w:left w:val="nil"/>
              <w:bottom w:val="single" w:sz="4" w:space="0" w:color="auto"/>
              <w:right w:val="single" w:sz="4" w:space="0" w:color="auto"/>
            </w:tcBorders>
            <w:shd w:val="clear" w:color="auto" w:fill="auto"/>
            <w:vAlign w:val="center"/>
            <w:hideMark/>
          </w:tcPr>
          <w:p w14:paraId="3054257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ILIRSKA BISTRICA</w:t>
            </w:r>
          </w:p>
        </w:tc>
      </w:tr>
      <w:tr w:rsidR="00E3750C" w:rsidRPr="00415AB3" w14:paraId="2F3999B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09C9FE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939</w:t>
            </w:r>
          </w:p>
        </w:tc>
        <w:tc>
          <w:tcPr>
            <w:tcW w:w="705" w:type="pct"/>
            <w:tcBorders>
              <w:top w:val="nil"/>
              <w:left w:val="nil"/>
              <w:bottom w:val="single" w:sz="4" w:space="0" w:color="auto"/>
              <w:right w:val="single" w:sz="4" w:space="0" w:color="auto"/>
            </w:tcBorders>
            <w:shd w:val="clear" w:color="auto" w:fill="auto"/>
            <w:noWrap/>
            <w:vAlign w:val="center"/>
            <w:hideMark/>
          </w:tcPr>
          <w:p w14:paraId="53AEEB0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5886244000</w:t>
            </w:r>
          </w:p>
        </w:tc>
        <w:tc>
          <w:tcPr>
            <w:tcW w:w="547" w:type="pct"/>
            <w:tcBorders>
              <w:top w:val="nil"/>
              <w:left w:val="nil"/>
              <w:bottom w:val="single" w:sz="4" w:space="0" w:color="auto"/>
              <w:right w:val="single" w:sz="4" w:space="0" w:color="auto"/>
            </w:tcBorders>
            <w:shd w:val="clear" w:color="auto" w:fill="auto"/>
            <w:noWrap/>
            <w:vAlign w:val="center"/>
            <w:hideMark/>
          </w:tcPr>
          <w:p w14:paraId="787B7FB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44105487</w:t>
            </w:r>
          </w:p>
        </w:tc>
        <w:tc>
          <w:tcPr>
            <w:tcW w:w="3360" w:type="pct"/>
            <w:tcBorders>
              <w:top w:val="nil"/>
              <w:left w:val="nil"/>
              <w:bottom w:val="single" w:sz="4" w:space="0" w:color="auto"/>
              <w:right w:val="single" w:sz="4" w:space="0" w:color="auto"/>
            </w:tcBorders>
            <w:shd w:val="clear" w:color="auto" w:fill="auto"/>
            <w:vAlign w:val="center"/>
            <w:hideMark/>
          </w:tcPr>
          <w:p w14:paraId="34E0CD8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IVANČNA GORICA</w:t>
            </w:r>
          </w:p>
        </w:tc>
      </w:tr>
      <w:tr w:rsidR="00E3750C" w:rsidRPr="00415AB3" w14:paraId="5A8F927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FCB145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940</w:t>
            </w:r>
          </w:p>
        </w:tc>
        <w:tc>
          <w:tcPr>
            <w:tcW w:w="705" w:type="pct"/>
            <w:tcBorders>
              <w:top w:val="nil"/>
              <w:left w:val="nil"/>
              <w:bottom w:val="single" w:sz="4" w:space="0" w:color="auto"/>
              <w:right w:val="single" w:sz="4" w:space="0" w:color="auto"/>
            </w:tcBorders>
            <w:shd w:val="clear" w:color="auto" w:fill="auto"/>
            <w:noWrap/>
            <w:vAlign w:val="center"/>
            <w:hideMark/>
          </w:tcPr>
          <w:p w14:paraId="3CD8280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5874190000</w:t>
            </w:r>
          </w:p>
        </w:tc>
        <w:tc>
          <w:tcPr>
            <w:tcW w:w="547" w:type="pct"/>
            <w:tcBorders>
              <w:top w:val="nil"/>
              <w:left w:val="nil"/>
              <w:bottom w:val="single" w:sz="4" w:space="0" w:color="auto"/>
              <w:right w:val="single" w:sz="4" w:space="0" w:color="auto"/>
            </w:tcBorders>
            <w:shd w:val="clear" w:color="auto" w:fill="auto"/>
            <w:noWrap/>
            <w:vAlign w:val="center"/>
            <w:hideMark/>
          </w:tcPr>
          <w:p w14:paraId="4B85110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16510801</w:t>
            </w:r>
          </w:p>
        </w:tc>
        <w:tc>
          <w:tcPr>
            <w:tcW w:w="3360" w:type="pct"/>
            <w:tcBorders>
              <w:top w:val="nil"/>
              <w:left w:val="nil"/>
              <w:bottom w:val="single" w:sz="4" w:space="0" w:color="auto"/>
              <w:right w:val="single" w:sz="4" w:space="0" w:color="auto"/>
            </w:tcBorders>
            <w:shd w:val="clear" w:color="auto" w:fill="auto"/>
            <w:vAlign w:val="center"/>
            <w:hideMark/>
          </w:tcPr>
          <w:p w14:paraId="4AEBFE8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IZOLA</w:t>
            </w:r>
          </w:p>
        </w:tc>
      </w:tr>
      <w:tr w:rsidR="00E3750C" w:rsidRPr="00415AB3" w14:paraId="5ACFD17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0F21BB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941</w:t>
            </w:r>
          </w:p>
        </w:tc>
        <w:tc>
          <w:tcPr>
            <w:tcW w:w="705" w:type="pct"/>
            <w:tcBorders>
              <w:top w:val="nil"/>
              <w:left w:val="nil"/>
              <w:bottom w:val="single" w:sz="4" w:space="0" w:color="auto"/>
              <w:right w:val="single" w:sz="4" w:space="0" w:color="auto"/>
            </w:tcBorders>
            <w:shd w:val="clear" w:color="auto" w:fill="auto"/>
            <w:noWrap/>
            <w:vAlign w:val="center"/>
            <w:hideMark/>
          </w:tcPr>
          <w:p w14:paraId="731E48C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5874335000</w:t>
            </w:r>
          </w:p>
        </w:tc>
        <w:tc>
          <w:tcPr>
            <w:tcW w:w="547" w:type="pct"/>
            <w:tcBorders>
              <w:top w:val="nil"/>
              <w:left w:val="nil"/>
              <w:bottom w:val="single" w:sz="4" w:space="0" w:color="auto"/>
              <w:right w:val="single" w:sz="4" w:space="0" w:color="auto"/>
            </w:tcBorders>
            <w:shd w:val="clear" w:color="auto" w:fill="auto"/>
            <w:noWrap/>
            <w:vAlign w:val="center"/>
            <w:hideMark/>
          </w:tcPr>
          <w:p w14:paraId="6BDB839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39795888</w:t>
            </w:r>
          </w:p>
        </w:tc>
        <w:tc>
          <w:tcPr>
            <w:tcW w:w="3360" w:type="pct"/>
            <w:tcBorders>
              <w:top w:val="nil"/>
              <w:left w:val="nil"/>
              <w:bottom w:val="single" w:sz="4" w:space="0" w:color="auto"/>
              <w:right w:val="single" w:sz="4" w:space="0" w:color="auto"/>
            </w:tcBorders>
            <w:shd w:val="clear" w:color="auto" w:fill="auto"/>
            <w:vAlign w:val="center"/>
            <w:hideMark/>
          </w:tcPr>
          <w:p w14:paraId="5F54FF3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JESENICE</w:t>
            </w:r>
          </w:p>
        </w:tc>
      </w:tr>
      <w:tr w:rsidR="00E3750C" w:rsidRPr="00415AB3" w14:paraId="2083790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1A2F4E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942</w:t>
            </w:r>
          </w:p>
        </w:tc>
        <w:tc>
          <w:tcPr>
            <w:tcW w:w="705" w:type="pct"/>
            <w:tcBorders>
              <w:top w:val="nil"/>
              <w:left w:val="nil"/>
              <w:bottom w:val="single" w:sz="4" w:space="0" w:color="auto"/>
              <w:right w:val="single" w:sz="4" w:space="0" w:color="auto"/>
            </w:tcBorders>
            <w:shd w:val="clear" w:color="auto" w:fill="auto"/>
            <w:noWrap/>
            <w:vAlign w:val="center"/>
            <w:hideMark/>
          </w:tcPr>
          <w:p w14:paraId="139A30B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1332112000</w:t>
            </w:r>
          </w:p>
        </w:tc>
        <w:tc>
          <w:tcPr>
            <w:tcW w:w="547" w:type="pct"/>
            <w:tcBorders>
              <w:top w:val="nil"/>
              <w:left w:val="nil"/>
              <w:bottom w:val="single" w:sz="4" w:space="0" w:color="auto"/>
              <w:right w:val="single" w:sz="4" w:space="0" w:color="auto"/>
            </w:tcBorders>
            <w:shd w:val="clear" w:color="auto" w:fill="auto"/>
            <w:noWrap/>
            <w:vAlign w:val="center"/>
            <w:hideMark/>
          </w:tcPr>
          <w:p w14:paraId="1D4C8F0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84980923</w:t>
            </w:r>
          </w:p>
        </w:tc>
        <w:tc>
          <w:tcPr>
            <w:tcW w:w="3360" w:type="pct"/>
            <w:tcBorders>
              <w:top w:val="nil"/>
              <w:left w:val="nil"/>
              <w:bottom w:val="single" w:sz="4" w:space="0" w:color="auto"/>
              <w:right w:val="single" w:sz="4" w:space="0" w:color="auto"/>
            </w:tcBorders>
            <w:shd w:val="clear" w:color="auto" w:fill="auto"/>
            <w:vAlign w:val="center"/>
            <w:hideMark/>
          </w:tcPr>
          <w:p w14:paraId="1D17437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JEZERSKO</w:t>
            </w:r>
          </w:p>
        </w:tc>
      </w:tr>
      <w:tr w:rsidR="00E3750C" w:rsidRPr="00415AB3" w14:paraId="4CC557A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EC7E59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943</w:t>
            </w:r>
          </w:p>
        </w:tc>
        <w:tc>
          <w:tcPr>
            <w:tcW w:w="705" w:type="pct"/>
            <w:tcBorders>
              <w:top w:val="nil"/>
              <w:left w:val="nil"/>
              <w:bottom w:val="single" w:sz="4" w:space="0" w:color="auto"/>
              <w:right w:val="single" w:sz="4" w:space="0" w:color="auto"/>
            </w:tcBorders>
            <w:shd w:val="clear" w:color="auto" w:fill="auto"/>
            <w:noWrap/>
            <w:vAlign w:val="center"/>
            <w:hideMark/>
          </w:tcPr>
          <w:p w14:paraId="05C024C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5883750000</w:t>
            </w:r>
          </w:p>
        </w:tc>
        <w:tc>
          <w:tcPr>
            <w:tcW w:w="547" w:type="pct"/>
            <w:tcBorders>
              <w:top w:val="nil"/>
              <w:left w:val="nil"/>
              <w:bottom w:val="single" w:sz="4" w:space="0" w:color="auto"/>
              <w:right w:val="single" w:sz="4" w:space="0" w:color="auto"/>
            </w:tcBorders>
            <w:shd w:val="clear" w:color="auto" w:fill="auto"/>
            <w:noWrap/>
            <w:vAlign w:val="center"/>
            <w:hideMark/>
          </w:tcPr>
          <w:p w14:paraId="374FCC6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11578491</w:t>
            </w:r>
          </w:p>
        </w:tc>
        <w:tc>
          <w:tcPr>
            <w:tcW w:w="3360" w:type="pct"/>
            <w:tcBorders>
              <w:top w:val="nil"/>
              <w:left w:val="nil"/>
              <w:bottom w:val="single" w:sz="4" w:space="0" w:color="auto"/>
              <w:right w:val="single" w:sz="4" w:space="0" w:color="auto"/>
            </w:tcBorders>
            <w:shd w:val="clear" w:color="auto" w:fill="auto"/>
            <w:vAlign w:val="center"/>
            <w:hideMark/>
          </w:tcPr>
          <w:p w14:paraId="0B6214D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JURŠINCI</w:t>
            </w:r>
          </w:p>
        </w:tc>
      </w:tr>
      <w:tr w:rsidR="00E3750C" w:rsidRPr="00415AB3" w14:paraId="18D0359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9BFED8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944</w:t>
            </w:r>
          </w:p>
        </w:tc>
        <w:tc>
          <w:tcPr>
            <w:tcW w:w="705" w:type="pct"/>
            <w:tcBorders>
              <w:top w:val="nil"/>
              <w:left w:val="nil"/>
              <w:bottom w:val="single" w:sz="4" w:space="0" w:color="auto"/>
              <w:right w:val="single" w:sz="4" w:space="0" w:color="auto"/>
            </w:tcBorders>
            <w:shd w:val="clear" w:color="auto" w:fill="auto"/>
            <w:noWrap/>
            <w:vAlign w:val="center"/>
            <w:hideMark/>
          </w:tcPr>
          <w:p w14:paraId="6307D0F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5874483000</w:t>
            </w:r>
          </w:p>
        </w:tc>
        <w:tc>
          <w:tcPr>
            <w:tcW w:w="547" w:type="pct"/>
            <w:tcBorders>
              <w:top w:val="nil"/>
              <w:left w:val="nil"/>
              <w:bottom w:val="single" w:sz="4" w:space="0" w:color="auto"/>
              <w:right w:val="single" w:sz="4" w:space="0" w:color="auto"/>
            </w:tcBorders>
            <w:shd w:val="clear" w:color="auto" w:fill="auto"/>
            <w:noWrap/>
            <w:vAlign w:val="center"/>
            <w:hideMark/>
          </w:tcPr>
          <w:p w14:paraId="3DE8A92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28232801</w:t>
            </w:r>
          </w:p>
        </w:tc>
        <w:tc>
          <w:tcPr>
            <w:tcW w:w="3360" w:type="pct"/>
            <w:tcBorders>
              <w:top w:val="nil"/>
              <w:left w:val="nil"/>
              <w:bottom w:val="single" w:sz="4" w:space="0" w:color="auto"/>
              <w:right w:val="single" w:sz="4" w:space="0" w:color="auto"/>
            </w:tcBorders>
            <w:shd w:val="clear" w:color="auto" w:fill="auto"/>
            <w:vAlign w:val="center"/>
            <w:hideMark/>
          </w:tcPr>
          <w:p w14:paraId="21AD84E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KAMNIK</w:t>
            </w:r>
          </w:p>
        </w:tc>
      </w:tr>
      <w:tr w:rsidR="00E3750C" w:rsidRPr="00415AB3" w14:paraId="6C821A1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6A480A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945</w:t>
            </w:r>
          </w:p>
        </w:tc>
        <w:tc>
          <w:tcPr>
            <w:tcW w:w="705" w:type="pct"/>
            <w:tcBorders>
              <w:top w:val="nil"/>
              <w:left w:val="nil"/>
              <w:bottom w:val="single" w:sz="4" w:space="0" w:color="auto"/>
              <w:right w:val="single" w:sz="4" w:space="0" w:color="auto"/>
            </w:tcBorders>
            <w:shd w:val="clear" w:color="auto" w:fill="auto"/>
            <w:noWrap/>
            <w:vAlign w:val="center"/>
            <w:hideMark/>
          </w:tcPr>
          <w:p w14:paraId="6FE8533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5881820000</w:t>
            </w:r>
          </w:p>
        </w:tc>
        <w:tc>
          <w:tcPr>
            <w:tcW w:w="547" w:type="pct"/>
            <w:tcBorders>
              <w:top w:val="nil"/>
              <w:left w:val="nil"/>
              <w:bottom w:val="single" w:sz="4" w:space="0" w:color="auto"/>
              <w:right w:val="single" w:sz="4" w:space="0" w:color="auto"/>
            </w:tcBorders>
            <w:shd w:val="clear" w:color="auto" w:fill="auto"/>
            <w:noWrap/>
            <w:vAlign w:val="center"/>
            <w:hideMark/>
          </w:tcPr>
          <w:p w14:paraId="3ECE63C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88524671</w:t>
            </w:r>
          </w:p>
        </w:tc>
        <w:tc>
          <w:tcPr>
            <w:tcW w:w="3360" w:type="pct"/>
            <w:tcBorders>
              <w:top w:val="nil"/>
              <w:left w:val="nil"/>
              <w:bottom w:val="single" w:sz="4" w:space="0" w:color="auto"/>
              <w:right w:val="single" w:sz="4" w:space="0" w:color="auto"/>
            </w:tcBorders>
            <w:shd w:val="clear" w:color="auto" w:fill="auto"/>
            <w:vAlign w:val="center"/>
            <w:hideMark/>
          </w:tcPr>
          <w:p w14:paraId="0ED7166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KANAL OB SOČI</w:t>
            </w:r>
          </w:p>
        </w:tc>
      </w:tr>
      <w:tr w:rsidR="00E3750C" w:rsidRPr="00415AB3" w14:paraId="51F5545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630E86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946</w:t>
            </w:r>
          </w:p>
        </w:tc>
        <w:tc>
          <w:tcPr>
            <w:tcW w:w="705" w:type="pct"/>
            <w:tcBorders>
              <w:top w:val="nil"/>
              <w:left w:val="nil"/>
              <w:bottom w:val="single" w:sz="4" w:space="0" w:color="auto"/>
              <w:right w:val="single" w:sz="4" w:space="0" w:color="auto"/>
            </w:tcBorders>
            <w:shd w:val="clear" w:color="auto" w:fill="auto"/>
            <w:noWrap/>
            <w:vAlign w:val="center"/>
            <w:hideMark/>
          </w:tcPr>
          <w:p w14:paraId="2D50D33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5883709000</w:t>
            </w:r>
          </w:p>
        </w:tc>
        <w:tc>
          <w:tcPr>
            <w:tcW w:w="547" w:type="pct"/>
            <w:tcBorders>
              <w:top w:val="nil"/>
              <w:left w:val="nil"/>
              <w:bottom w:val="single" w:sz="4" w:space="0" w:color="auto"/>
              <w:right w:val="single" w:sz="4" w:space="0" w:color="auto"/>
            </w:tcBorders>
            <w:shd w:val="clear" w:color="auto" w:fill="auto"/>
            <w:noWrap/>
            <w:vAlign w:val="center"/>
            <w:hideMark/>
          </w:tcPr>
          <w:p w14:paraId="10C2F0D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93796471</w:t>
            </w:r>
          </w:p>
        </w:tc>
        <w:tc>
          <w:tcPr>
            <w:tcW w:w="3360" w:type="pct"/>
            <w:tcBorders>
              <w:top w:val="nil"/>
              <w:left w:val="nil"/>
              <w:bottom w:val="single" w:sz="4" w:space="0" w:color="auto"/>
              <w:right w:val="single" w:sz="4" w:space="0" w:color="auto"/>
            </w:tcBorders>
            <w:shd w:val="clear" w:color="auto" w:fill="auto"/>
            <w:vAlign w:val="center"/>
            <w:hideMark/>
          </w:tcPr>
          <w:p w14:paraId="219E537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KIDRIČEVO</w:t>
            </w:r>
          </w:p>
        </w:tc>
      </w:tr>
      <w:tr w:rsidR="00E3750C" w:rsidRPr="00415AB3" w14:paraId="258DBD0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BB0C84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947</w:t>
            </w:r>
          </w:p>
        </w:tc>
        <w:tc>
          <w:tcPr>
            <w:tcW w:w="705" w:type="pct"/>
            <w:tcBorders>
              <w:top w:val="nil"/>
              <w:left w:val="nil"/>
              <w:bottom w:val="single" w:sz="4" w:space="0" w:color="auto"/>
              <w:right w:val="single" w:sz="4" w:space="0" w:color="auto"/>
            </w:tcBorders>
            <w:shd w:val="clear" w:color="auto" w:fill="auto"/>
            <w:noWrap/>
            <w:vAlign w:val="center"/>
            <w:hideMark/>
          </w:tcPr>
          <w:p w14:paraId="5800E4C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5881463000</w:t>
            </w:r>
          </w:p>
        </w:tc>
        <w:tc>
          <w:tcPr>
            <w:tcW w:w="547" w:type="pct"/>
            <w:tcBorders>
              <w:top w:val="nil"/>
              <w:left w:val="nil"/>
              <w:bottom w:val="single" w:sz="4" w:space="0" w:color="auto"/>
              <w:right w:val="single" w:sz="4" w:space="0" w:color="auto"/>
            </w:tcBorders>
            <w:shd w:val="clear" w:color="auto" w:fill="auto"/>
            <w:noWrap/>
            <w:vAlign w:val="center"/>
            <w:hideMark/>
          </w:tcPr>
          <w:p w14:paraId="35555F9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89371925</w:t>
            </w:r>
          </w:p>
        </w:tc>
        <w:tc>
          <w:tcPr>
            <w:tcW w:w="3360" w:type="pct"/>
            <w:tcBorders>
              <w:top w:val="nil"/>
              <w:left w:val="nil"/>
              <w:bottom w:val="single" w:sz="4" w:space="0" w:color="auto"/>
              <w:right w:val="single" w:sz="4" w:space="0" w:color="auto"/>
            </w:tcBorders>
            <w:shd w:val="clear" w:color="auto" w:fill="auto"/>
            <w:vAlign w:val="center"/>
            <w:hideMark/>
          </w:tcPr>
          <w:p w14:paraId="2741E22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KOBARID</w:t>
            </w:r>
          </w:p>
        </w:tc>
      </w:tr>
      <w:tr w:rsidR="00E3750C" w:rsidRPr="00415AB3" w14:paraId="5EEB059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999544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948</w:t>
            </w:r>
          </w:p>
        </w:tc>
        <w:tc>
          <w:tcPr>
            <w:tcW w:w="705" w:type="pct"/>
            <w:tcBorders>
              <w:top w:val="nil"/>
              <w:left w:val="nil"/>
              <w:bottom w:val="single" w:sz="4" w:space="0" w:color="auto"/>
              <w:right w:val="single" w:sz="4" w:space="0" w:color="auto"/>
            </w:tcBorders>
            <w:shd w:val="clear" w:color="auto" w:fill="auto"/>
            <w:noWrap/>
            <w:vAlign w:val="center"/>
            <w:hideMark/>
          </w:tcPr>
          <w:p w14:paraId="1A427A5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5874734000</w:t>
            </w:r>
          </w:p>
        </w:tc>
        <w:tc>
          <w:tcPr>
            <w:tcW w:w="547" w:type="pct"/>
            <w:tcBorders>
              <w:top w:val="nil"/>
              <w:left w:val="nil"/>
              <w:bottom w:val="single" w:sz="4" w:space="0" w:color="auto"/>
              <w:right w:val="single" w:sz="4" w:space="0" w:color="auto"/>
            </w:tcBorders>
            <w:shd w:val="clear" w:color="auto" w:fill="auto"/>
            <w:noWrap/>
            <w:vAlign w:val="center"/>
            <w:hideMark/>
          </w:tcPr>
          <w:p w14:paraId="035B1F1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47774720</w:t>
            </w:r>
          </w:p>
        </w:tc>
        <w:tc>
          <w:tcPr>
            <w:tcW w:w="3360" w:type="pct"/>
            <w:tcBorders>
              <w:top w:val="nil"/>
              <w:left w:val="nil"/>
              <w:bottom w:val="single" w:sz="4" w:space="0" w:color="auto"/>
              <w:right w:val="single" w:sz="4" w:space="0" w:color="auto"/>
            </w:tcBorders>
            <w:shd w:val="clear" w:color="auto" w:fill="auto"/>
            <w:vAlign w:val="center"/>
            <w:hideMark/>
          </w:tcPr>
          <w:p w14:paraId="59C4688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KOBILJE</w:t>
            </w:r>
          </w:p>
        </w:tc>
      </w:tr>
      <w:tr w:rsidR="00E3750C" w:rsidRPr="00415AB3" w14:paraId="4B84546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941758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949</w:t>
            </w:r>
          </w:p>
        </w:tc>
        <w:tc>
          <w:tcPr>
            <w:tcW w:w="705" w:type="pct"/>
            <w:tcBorders>
              <w:top w:val="nil"/>
              <w:left w:val="nil"/>
              <w:bottom w:val="single" w:sz="4" w:space="0" w:color="auto"/>
              <w:right w:val="single" w:sz="4" w:space="0" w:color="auto"/>
            </w:tcBorders>
            <w:shd w:val="clear" w:color="auto" w:fill="auto"/>
            <w:noWrap/>
            <w:vAlign w:val="center"/>
            <w:hideMark/>
          </w:tcPr>
          <w:p w14:paraId="5F476EF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5874238000</w:t>
            </w:r>
          </w:p>
        </w:tc>
        <w:tc>
          <w:tcPr>
            <w:tcW w:w="547" w:type="pct"/>
            <w:tcBorders>
              <w:top w:val="nil"/>
              <w:left w:val="nil"/>
              <w:bottom w:val="single" w:sz="4" w:space="0" w:color="auto"/>
              <w:right w:val="single" w:sz="4" w:space="0" w:color="auto"/>
            </w:tcBorders>
            <w:shd w:val="clear" w:color="auto" w:fill="auto"/>
            <w:noWrap/>
            <w:vAlign w:val="center"/>
            <w:hideMark/>
          </w:tcPr>
          <w:p w14:paraId="52783A1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20945892</w:t>
            </w:r>
          </w:p>
        </w:tc>
        <w:tc>
          <w:tcPr>
            <w:tcW w:w="3360" w:type="pct"/>
            <w:tcBorders>
              <w:top w:val="nil"/>
              <w:left w:val="nil"/>
              <w:bottom w:val="single" w:sz="4" w:space="0" w:color="auto"/>
              <w:right w:val="single" w:sz="4" w:space="0" w:color="auto"/>
            </w:tcBorders>
            <w:shd w:val="clear" w:color="auto" w:fill="auto"/>
            <w:vAlign w:val="center"/>
            <w:hideMark/>
          </w:tcPr>
          <w:p w14:paraId="695A629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KOČEVJE</w:t>
            </w:r>
          </w:p>
        </w:tc>
      </w:tr>
      <w:tr w:rsidR="00E3750C" w:rsidRPr="00415AB3" w14:paraId="14C1F39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EA7CE3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950</w:t>
            </w:r>
          </w:p>
        </w:tc>
        <w:tc>
          <w:tcPr>
            <w:tcW w:w="705" w:type="pct"/>
            <w:tcBorders>
              <w:top w:val="nil"/>
              <w:left w:val="nil"/>
              <w:bottom w:val="single" w:sz="4" w:space="0" w:color="auto"/>
              <w:right w:val="single" w:sz="4" w:space="0" w:color="auto"/>
            </w:tcBorders>
            <w:shd w:val="clear" w:color="auto" w:fill="auto"/>
            <w:noWrap/>
            <w:vAlign w:val="center"/>
            <w:hideMark/>
          </w:tcPr>
          <w:p w14:paraId="769DD33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5883091000</w:t>
            </w:r>
          </w:p>
        </w:tc>
        <w:tc>
          <w:tcPr>
            <w:tcW w:w="547" w:type="pct"/>
            <w:tcBorders>
              <w:top w:val="nil"/>
              <w:left w:val="nil"/>
              <w:bottom w:val="single" w:sz="4" w:space="0" w:color="auto"/>
              <w:right w:val="single" w:sz="4" w:space="0" w:color="auto"/>
            </w:tcBorders>
            <w:shd w:val="clear" w:color="auto" w:fill="auto"/>
            <w:noWrap/>
            <w:vAlign w:val="center"/>
            <w:hideMark/>
          </w:tcPr>
          <w:p w14:paraId="1FBBCAC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98324390</w:t>
            </w:r>
          </w:p>
        </w:tc>
        <w:tc>
          <w:tcPr>
            <w:tcW w:w="3360" w:type="pct"/>
            <w:tcBorders>
              <w:top w:val="nil"/>
              <w:left w:val="nil"/>
              <w:bottom w:val="single" w:sz="4" w:space="0" w:color="auto"/>
              <w:right w:val="single" w:sz="4" w:space="0" w:color="auto"/>
            </w:tcBorders>
            <w:shd w:val="clear" w:color="auto" w:fill="auto"/>
            <w:vAlign w:val="center"/>
            <w:hideMark/>
          </w:tcPr>
          <w:p w14:paraId="025F155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KOMEN</w:t>
            </w:r>
          </w:p>
        </w:tc>
      </w:tr>
      <w:tr w:rsidR="00E3750C" w:rsidRPr="00415AB3" w14:paraId="1CD3B08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FAB751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951</w:t>
            </w:r>
          </w:p>
        </w:tc>
        <w:tc>
          <w:tcPr>
            <w:tcW w:w="705" w:type="pct"/>
            <w:tcBorders>
              <w:top w:val="nil"/>
              <w:left w:val="nil"/>
              <w:bottom w:val="single" w:sz="4" w:space="0" w:color="auto"/>
              <w:right w:val="single" w:sz="4" w:space="0" w:color="auto"/>
            </w:tcBorders>
            <w:shd w:val="clear" w:color="auto" w:fill="auto"/>
            <w:noWrap/>
            <w:vAlign w:val="center"/>
            <w:hideMark/>
          </w:tcPr>
          <w:p w14:paraId="1FB73CB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1332155000</w:t>
            </w:r>
          </w:p>
        </w:tc>
        <w:tc>
          <w:tcPr>
            <w:tcW w:w="547" w:type="pct"/>
            <w:tcBorders>
              <w:top w:val="nil"/>
              <w:left w:val="nil"/>
              <w:bottom w:val="single" w:sz="4" w:space="0" w:color="auto"/>
              <w:right w:val="single" w:sz="4" w:space="0" w:color="auto"/>
            </w:tcBorders>
            <w:shd w:val="clear" w:color="auto" w:fill="auto"/>
            <w:noWrap/>
            <w:vAlign w:val="center"/>
            <w:hideMark/>
          </w:tcPr>
          <w:p w14:paraId="53A1C24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22332570</w:t>
            </w:r>
          </w:p>
        </w:tc>
        <w:tc>
          <w:tcPr>
            <w:tcW w:w="3360" w:type="pct"/>
            <w:tcBorders>
              <w:top w:val="nil"/>
              <w:left w:val="nil"/>
              <w:bottom w:val="single" w:sz="4" w:space="0" w:color="auto"/>
              <w:right w:val="single" w:sz="4" w:space="0" w:color="auto"/>
            </w:tcBorders>
            <w:shd w:val="clear" w:color="auto" w:fill="auto"/>
            <w:vAlign w:val="center"/>
            <w:hideMark/>
          </w:tcPr>
          <w:p w14:paraId="7FA5F5C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KOMENDA</w:t>
            </w:r>
          </w:p>
        </w:tc>
      </w:tr>
      <w:tr w:rsidR="00E3750C" w:rsidRPr="00415AB3" w14:paraId="325CC21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028436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952</w:t>
            </w:r>
          </w:p>
        </w:tc>
        <w:tc>
          <w:tcPr>
            <w:tcW w:w="705" w:type="pct"/>
            <w:tcBorders>
              <w:top w:val="nil"/>
              <w:left w:val="nil"/>
              <w:bottom w:val="single" w:sz="4" w:space="0" w:color="auto"/>
              <w:right w:val="single" w:sz="4" w:space="0" w:color="auto"/>
            </w:tcBorders>
            <w:shd w:val="clear" w:color="auto" w:fill="auto"/>
            <w:noWrap/>
            <w:vAlign w:val="center"/>
            <w:hideMark/>
          </w:tcPr>
          <w:p w14:paraId="23AD77E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2179903000</w:t>
            </w:r>
          </w:p>
        </w:tc>
        <w:tc>
          <w:tcPr>
            <w:tcW w:w="547" w:type="pct"/>
            <w:tcBorders>
              <w:top w:val="nil"/>
              <w:left w:val="nil"/>
              <w:bottom w:val="single" w:sz="4" w:space="0" w:color="auto"/>
              <w:right w:val="single" w:sz="4" w:space="0" w:color="auto"/>
            </w:tcBorders>
            <w:shd w:val="clear" w:color="auto" w:fill="auto"/>
            <w:noWrap/>
            <w:vAlign w:val="center"/>
            <w:hideMark/>
          </w:tcPr>
          <w:p w14:paraId="50DE352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71838449</w:t>
            </w:r>
          </w:p>
        </w:tc>
        <w:tc>
          <w:tcPr>
            <w:tcW w:w="3360" w:type="pct"/>
            <w:tcBorders>
              <w:top w:val="nil"/>
              <w:left w:val="nil"/>
              <w:bottom w:val="single" w:sz="4" w:space="0" w:color="auto"/>
              <w:right w:val="single" w:sz="4" w:space="0" w:color="auto"/>
            </w:tcBorders>
            <w:shd w:val="clear" w:color="auto" w:fill="auto"/>
            <w:vAlign w:val="center"/>
            <w:hideMark/>
          </w:tcPr>
          <w:p w14:paraId="77A93B8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KOSTANJEVICA NA KRKI</w:t>
            </w:r>
          </w:p>
        </w:tc>
      </w:tr>
      <w:tr w:rsidR="00E3750C" w:rsidRPr="00415AB3" w14:paraId="5E06008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B8FD54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953</w:t>
            </w:r>
          </w:p>
        </w:tc>
        <w:tc>
          <w:tcPr>
            <w:tcW w:w="705" w:type="pct"/>
            <w:tcBorders>
              <w:top w:val="nil"/>
              <w:left w:val="nil"/>
              <w:bottom w:val="single" w:sz="4" w:space="0" w:color="auto"/>
              <w:right w:val="single" w:sz="4" w:space="0" w:color="auto"/>
            </w:tcBorders>
            <w:shd w:val="clear" w:color="auto" w:fill="auto"/>
            <w:noWrap/>
            <w:vAlign w:val="center"/>
            <w:hideMark/>
          </w:tcPr>
          <w:p w14:paraId="47F629E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1332210000</w:t>
            </w:r>
          </w:p>
        </w:tc>
        <w:tc>
          <w:tcPr>
            <w:tcW w:w="547" w:type="pct"/>
            <w:tcBorders>
              <w:top w:val="nil"/>
              <w:left w:val="nil"/>
              <w:bottom w:val="single" w:sz="4" w:space="0" w:color="auto"/>
              <w:right w:val="single" w:sz="4" w:space="0" w:color="auto"/>
            </w:tcBorders>
            <w:shd w:val="clear" w:color="auto" w:fill="auto"/>
            <w:noWrap/>
            <w:vAlign w:val="center"/>
            <w:hideMark/>
          </w:tcPr>
          <w:p w14:paraId="49B39C8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17807328</w:t>
            </w:r>
          </w:p>
        </w:tc>
        <w:tc>
          <w:tcPr>
            <w:tcW w:w="3360" w:type="pct"/>
            <w:tcBorders>
              <w:top w:val="nil"/>
              <w:left w:val="nil"/>
              <w:bottom w:val="single" w:sz="4" w:space="0" w:color="auto"/>
              <w:right w:val="single" w:sz="4" w:space="0" w:color="auto"/>
            </w:tcBorders>
            <w:shd w:val="clear" w:color="auto" w:fill="auto"/>
            <w:vAlign w:val="center"/>
            <w:hideMark/>
          </w:tcPr>
          <w:p w14:paraId="0A89A83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KOSTEL</w:t>
            </w:r>
          </w:p>
        </w:tc>
      </w:tr>
      <w:tr w:rsidR="00E3750C" w:rsidRPr="00415AB3" w14:paraId="4C889B2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74FBCC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954</w:t>
            </w:r>
          </w:p>
        </w:tc>
        <w:tc>
          <w:tcPr>
            <w:tcW w:w="705" w:type="pct"/>
            <w:tcBorders>
              <w:top w:val="nil"/>
              <w:left w:val="nil"/>
              <w:bottom w:val="single" w:sz="4" w:space="0" w:color="auto"/>
              <w:right w:val="single" w:sz="4" w:space="0" w:color="auto"/>
            </w:tcBorders>
            <w:shd w:val="clear" w:color="auto" w:fill="auto"/>
            <w:noWrap/>
            <w:vAlign w:val="center"/>
            <w:hideMark/>
          </w:tcPr>
          <w:p w14:paraId="390AB1F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5884004000</w:t>
            </w:r>
          </w:p>
        </w:tc>
        <w:tc>
          <w:tcPr>
            <w:tcW w:w="547" w:type="pct"/>
            <w:tcBorders>
              <w:top w:val="nil"/>
              <w:left w:val="nil"/>
              <w:bottom w:val="single" w:sz="4" w:space="0" w:color="auto"/>
              <w:right w:val="single" w:sz="4" w:space="0" w:color="auto"/>
            </w:tcBorders>
            <w:shd w:val="clear" w:color="auto" w:fill="auto"/>
            <w:noWrap/>
            <w:vAlign w:val="center"/>
            <w:hideMark/>
          </w:tcPr>
          <w:p w14:paraId="6A59C14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17124379</w:t>
            </w:r>
          </w:p>
        </w:tc>
        <w:tc>
          <w:tcPr>
            <w:tcW w:w="3360" w:type="pct"/>
            <w:tcBorders>
              <w:top w:val="nil"/>
              <w:left w:val="nil"/>
              <w:bottom w:val="single" w:sz="4" w:space="0" w:color="auto"/>
              <w:right w:val="single" w:sz="4" w:space="0" w:color="auto"/>
            </w:tcBorders>
            <w:shd w:val="clear" w:color="auto" w:fill="auto"/>
            <w:vAlign w:val="center"/>
            <w:hideMark/>
          </w:tcPr>
          <w:p w14:paraId="10594A6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KOZJE</w:t>
            </w:r>
          </w:p>
        </w:tc>
      </w:tr>
      <w:tr w:rsidR="00E3750C" w:rsidRPr="00415AB3" w14:paraId="1C70AC6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FB3F39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955</w:t>
            </w:r>
          </w:p>
        </w:tc>
        <w:tc>
          <w:tcPr>
            <w:tcW w:w="705" w:type="pct"/>
            <w:tcBorders>
              <w:top w:val="nil"/>
              <w:left w:val="nil"/>
              <w:bottom w:val="single" w:sz="4" w:space="0" w:color="auto"/>
              <w:right w:val="single" w:sz="4" w:space="0" w:color="auto"/>
            </w:tcBorders>
            <w:shd w:val="clear" w:color="auto" w:fill="auto"/>
            <w:noWrap/>
            <w:vAlign w:val="center"/>
            <w:hideMark/>
          </w:tcPr>
          <w:p w14:paraId="2593CC7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5874327000</w:t>
            </w:r>
          </w:p>
        </w:tc>
        <w:tc>
          <w:tcPr>
            <w:tcW w:w="547" w:type="pct"/>
            <w:tcBorders>
              <w:top w:val="nil"/>
              <w:left w:val="nil"/>
              <w:bottom w:val="single" w:sz="4" w:space="0" w:color="auto"/>
              <w:right w:val="single" w:sz="4" w:space="0" w:color="auto"/>
            </w:tcBorders>
            <w:shd w:val="clear" w:color="auto" w:fill="auto"/>
            <w:noWrap/>
            <w:vAlign w:val="center"/>
            <w:hideMark/>
          </w:tcPr>
          <w:p w14:paraId="3217629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81758006</w:t>
            </w:r>
          </w:p>
        </w:tc>
        <w:tc>
          <w:tcPr>
            <w:tcW w:w="3360" w:type="pct"/>
            <w:tcBorders>
              <w:top w:val="nil"/>
              <w:left w:val="nil"/>
              <w:bottom w:val="single" w:sz="4" w:space="0" w:color="auto"/>
              <w:right w:val="single" w:sz="4" w:space="0" w:color="auto"/>
            </w:tcBorders>
            <w:shd w:val="clear" w:color="auto" w:fill="auto"/>
            <w:vAlign w:val="center"/>
            <w:hideMark/>
          </w:tcPr>
          <w:p w14:paraId="462F377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KRANJSKA GORA</w:t>
            </w:r>
          </w:p>
        </w:tc>
      </w:tr>
      <w:tr w:rsidR="00E3750C" w:rsidRPr="00415AB3" w14:paraId="7D32C51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993884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956</w:t>
            </w:r>
          </w:p>
        </w:tc>
        <w:tc>
          <w:tcPr>
            <w:tcW w:w="705" w:type="pct"/>
            <w:tcBorders>
              <w:top w:val="nil"/>
              <w:left w:val="nil"/>
              <w:bottom w:val="single" w:sz="4" w:space="0" w:color="auto"/>
              <w:right w:val="single" w:sz="4" w:space="0" w:color="auto"/>
            </w:tcBorders>
            <w:shd w:val="clear" w:color="auto" w:fill="auto"/>
            <w:noWrap/>
            <w:vAlign w:val="center"/>
            <w:hideMark/>
          </w:tcPr>
          <w:p w14:paraId="1BE0960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1332147000</w:t>
            </w:r>
          </w:p>
        </w:tc>
        <w:tc>
          <w:tcPr>
            <w:tcW w:w="547" w:type="pct"/>
            <w:tcBorders>
              <w:top w:val="nil"/>
              <w:left w:val="nil"/>
              <w:bottom w:val="single" w:sz="4" w:space="0" w:color="auto"/>
              <w:right w:val="single" w:sz="4" w:space="0" w:color="auto"/>
            </w:tcBorders>
            <w:shd w:val="clear" w:color="auto" w:fill="auto"/>
            <w:noWrap/>
            <w:vAlign w:val="center"/>
            <w:hideMark/>
          </w:tcPr>
          <w:p w14:paraId="11E7D91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84582057</w:t>
            </w:r>
          </w:p>
        </w:tc>
        <w:tc>
          <w:tcPr>
            <w:tcW w:w="3360" w:type="pct"/>
            <w:tcBorders>
              <w:top w:val="nil"/>
              <w:left w:val="nil"/>
              <w:bottom w:val="single" w:sz="4" w:space="0" w:color="auto"/>
              <w:right w:val="single" w:sz="4" w:space="0" w:color="auto"/>
            </w:tcBorders>
            <w:shd w:val="clear" w:color="auto" w:fill="auto"/>
            <w:vAlign w:val="center"/>
            <w:hideMark/>
          </w:tcPr>
          <w:p w14:paraId="068025B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KRIŽEVCI</w:t>
            </w:r>
          </w:p>
        </w:tc>
      </w:tr>
      <w:tr w:rsidR="00E3750C" w:rsidRPr="00415AB3" w14:paraId="5C723FA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FBF589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957</w:t>
            </w:r>
          </w:p>
        </w:tc>
        <w:tc>
          <w:tcPr>
            <w:tcW w:w="705" w:type="pct"/>
            <w:tcBorders>
              <w:top w:val="nil"/>
              <w:left w:val="nil"/>
              <w:bottom w:val="single" w:sz="4" w:space="0" w:color="auto"/>
              <w:right w:val="single" w:sz="4" w:space="0" w:color="auto"/>
            </w:tcBorders>
            <w:shd w:val="clear" w:color="auto" w:fill="auto"/>
            <w:noWrap/>
            <w:vAlign w:val="center"/>
            <w:hideMark/>
          </w:tcPr>
          <w:p w14:paraId="0AB5BDD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5884144000</w:t>
            </w:r>
          </w:p>
        </w:tc>
        <w:tc>
          <w:tcPr>
            <w:tcW w:w="547" w:type="pct"/>
            <w:tcBorders>
              <w:top w:val="nil"/>
              <w:left w:val="nil"/>
              <w:bottom w:val="single" w:sz="4" w:space="0" w:color="auto"/>
              <w:right w:val="single" w:sz="4" w:space="0" w:color="auto"/>
            </w:tcBorders>
            <w:shd w:val="clear" w:color="auto" w:fill="auto"/>
            <w:noWrap/>
            <w:vAlign w:val="center"/>
            <w:hideMark/>
          </w:tcPr>
          <w:p w14:paraId="793FE08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63326833</w:t>
            </w:r>
          </w:p>
        </w:tc>
        <w:tc>
          <w:tcPr>
            <w:tcW w:w="3360" w:type="pct"/>
            <w:tcBorders>
              <w:top w:val="nil"/>
              <w:left w:val="nil"/>
              <w:bottom w:val="single" w:sz="4" w:space="0" w:color="auto"/>
              <w:right w:val="single" w:sz="4" w:space="0" w:color="auto"/>
            </w:tcBorders>
            <w:shd w:val="clear" w:color="auto" w:fill="auto"/>
            <w:vAlign w:val="center"/>
            <w:hideMark/>
          </w:tcPr>
          <w:p w14:paraId="2295809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KUNGOTA</w:t>
            </w:r>
          </w:p>
        </w:tc>
      </w:tr>
      <w:tr w:rsidR="00E3750C" w:rsidRPr="00415AB3" w14:paraId="15D86D5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601932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958</w:t>
            </w:r>
          </w:p>
        </w:tc>
        <w:tc>
          <w:tcPr>
            <w:tcW w:w="705" w:type="pct"/>
            <w:tcBorders>
              <w:top w:val="nil"/>
              <w:left w:val="nil"/>
              <w:bottom w:val="single" w:sz="4" w:space="0" w:color="auto"/>
              <w:right w:val="single" w:sz="4" w:space="0" w:color="auto"/>
            </w:tcBorders>
            <w:shd w:val="clear" w:color="auto" w:fill="auto"/>
            <w:noWrap/>
            <w:vAlign w:val="center"/>
            <w:hideMark/>
          </w:tcPr>
          <w:p w14:paraId="25765D8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5883121000</w:t>
            </w:r>
          </w:p>
        </w:tc>
        <w:tc>
          <w:tcPr>
            <w:tcW w:w="547" w:type="pct"/>
            <w:tcBorders>
              <w:top w:val="nil"/>
              <w:left w:val="nil"/>
              <w:bottom w:val="single" w:sz="4" w:space="0" w:color="auto"/>
              <w:right w:val="single" w:sz="4" w:space="0" w:color="auto"/>
            </w:tcBorders>
            <w:shd w:val="clear" w:color="auto" w:fill="auto"/>
            <w:noWrap/>
            <w:vAlign w:val="center"/>
            <w:hideMark/>
          </w:tcPr>
          <w:p w14:paraId="48EF36F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64854302</w:t>
            </w:r>
          </w:p>
        </w:tc>
        <w:tc>
          <w:tcPr>
            <w:tcW w:w="3360" w:type="pct"/>
            <w:tcBorders>
              <w:top w:val="nil"/>
              <w:left w:val="nil"/>
              <w:bottom w:val="single" w:sz="4" w:space="0" w:color="auto"/>
              <w:right w:val="single" w:sz="4" w:space="0" w:color="auto"/>
            </w:tcBorders>
            <w:shd w:val="clear" w:color="auto" w:fill="auto"/>
            <w:vAlign w:val="center"/>
            <w:hideMark/>
          </w:tcPr>
          <w:p w14:paraId="1C1CBF0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KUZMA</w:t>
            </w:r>
          </w:p>
        </w:tc>
      </w:tr>
      <w:tr w:rsidR="00E3750C" w:rsidRPr="00415AB3" w14:paraId="4ED2246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AE6A21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959</w:t>
            </w:r>
          </w:p>
        </w:tc>
        <w:tc>
          <w:tcPr>
            <w:tcW w:w="705" w:type="pct"/>
            <w:tcBorders>
              <w:top w:val="nil"/>
              <w:left w:val="nil"/>
              <w:bottom w:val="single" w:sz="4" w:space="0" w:color="auto"/>
              <w:right w:val="single" w:sz="4" w:space="0" w:color="auto"/>
            </w:tcBorders>
            <w:shd w:val="clear" w:color="auto" w:fill="auto"/>
            <w:noWrap/>
            <w:vAlign w:val="center"/>
            <w:hideMark/>
          </w:tcPr>
          <w:p w14:paraId="6CE5ABF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5874505000</w:t>
            </w:r>
          </w:p>
        </w:tc>
        <w:tc>
          <w:tcPr>
            <w:tcW w:w="547" w:type="pct"/>
            <w:tcBorders>
              <w:top w:val="nil"/>
              <w:left w:val="nil"/>
              <w:bottom w:val="single" w:sz="4" w:space="0" w:color="auto"/>
              <w:right w:val="single" w:sz="4" w:space="0" w:color="auto"/>
            </w:tcBorders>
            <w:shd w:val="clear" w:color="auto" w:fill="auto"/>
            <w:noWrap/>
            <w:vAlign w:val="center"/>
            <w:hideMark/>
          </w:tcPr>
          <w:p w14:paraId="420216F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11734612</w:t>
            </w:r>
          </w:p>
        </w:tc>
        <w:tc>
          <w:tcPr>
            <w:tcW w:w="3360" w:type="pct"/>
            <w:tcBorders>
              <w:top w:val="nil"/>
              <w:left w:val="nil"/>
              <w:bottom w:val="single" w:sz="4" w:space="0" w:color="auto"/>
              <w:right w:val="single" w:sz="4" w:space="0" w:color="auto"/>
            </w:tcBorders>
            <w:shd w:val="clear" w:color="auto" w:fill="auto"/>
            <w:vAlign w:val="center"/>
            <w:hideMark/>
          </w:tcPr>
          <w:p w14:paraId="6538CB0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LAŠKO</w:t>
            </w:r>
          </w:p>
        </w:tc>
      </w:tr>
      <w:tr w:rsidR="00E3750C" w:rsidRPr="00415AB3" w14:paraId="7299E70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ECAB71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960</w:t>
            </w:r>
          </w:p>
        </w:tc>
        <w:tc>
          <w:tcPr>
            <w:tcW w:w="705" w:type="pct"/>
            <w:tcBorders>
              <w:top w:val="nil"/>
              <w:left w:val="nil"/>
              <w:bottom w:val="single" w:sz="4" w:space="0" w:color="auto"/>
              <w:right w:val="single" w:sz="4" w:space="0" w:color="auto"/>
            </w:tcBorders>
            <w:shd w:val="clear" w:color="auto" w:fill="auto"/>
            <w:noWrap/>
            <w:vAlign w:val="center"/>
            <w:hideMark/>
          </w:tcPr>
          <w:p w14:paraId="71DDDD7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5874254000</w:t>
            </w:r>
          </w:p>
        </w:tc>
        <w:tc>
          <w:tcPr>
            <w:tcW w:w="547" w:type="pct"/>
            <w:tcBorders>
              <w:top w:val="nil"/>
              <w:left w:val="nil"/>
              <w:bottom w:val="single" w:sz="4" w:space="0" w:color="auto"/>
              <w:right w:val="single" w:sz="4" w:space="0" w:color="auto"/>
            </w:tcBorders>
            <w:shd w:val="clear" w:color="auto" w:fill="auto"/>
            <w:noWrap/>
            <w:vAlign w:val="center"/>
            <w:hideMark/>
          </w:tcPr>
          <w:p w14:paraId="67870E3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68458509</w:t>
            </w:r>
          </w:p>
        </w:tc>
        <w:tc>
          <w:tcPr>
            <w:tcW w:w="3360" w:type="pct"/>
            <w:tcBorders>
              <w:top w:val="nil"/>
              <w:left w:val="nil"/>
              <w:bottom w:val="single" w:sz="4" w:space="0" w:color="auto"/>
              <w:right w:val="single" w:sz="4" w:space="0" w:color="auto"/>
            </w:tcBorders>
            <w:shd w:val="clear" w:color="auto" w:fill="auto"/>
            <w:vAlign w:val="center"/>
            <w:hideMark/>
          </w:tcPr>
          <w:p w14:paraId="4338BC3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LENART</w:t>
            </w:r>
          </w:p>
        </w:tc>
      </w:tr>
      <w:tr w:rsidR="00E3750C" w:rsidRPr="00415AB3" w14:paraId="7C2787C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5407E8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961</w:t>
            </w:r>
          </w:p>
        </w:tc>
        <w:tc>
          <w:tcPr>
            <w:tcW w:w="705" w:type="pct"/>
            <w:tcBorders>
              <w:top w:val="nil"/>
              <w:left w:val="nil"/>
              <w:bottom w:val="single" w:sz="4" w:space="0" w:color="auto"/>
              <w:right w:val="single" w:sz="4" w:space="0" w:color="auto"/>
            </w:tcBorders>
            <w:shd w:val="clear" w:color="auto" w:fill="auto"/>
            <w:noWrap/>
            <w:vAlign w:val="center"/>
            <w:hideMark/>
          </w:tcPr>
          <w:p w14:paraId="66423D6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5874645000</w:t>
            </w:r>
          </w:p>
        </w:tc>
        <w:tc>
          <w:tcPr>
            <w:tcW w:w="547" w:type="pct"/>
            <w:tcBorders>
              <w:top w:val="nil"/>
              <w:left w:val="nil"/>
              <w:bottom w:val="single" w:sz="4" w:space="0" w:color="auto"/>
              <w:right w:val="single" w:sz="4" w:space="0" w:color="auto"/>
            </w:tcBorders>
            <w:shd w:val="clear" w:color="auto" w:fill="auto"/>
            <w:noWrap/>
            <w:vAlign w:val="center"/>
            <w:hideMark/>
          </w:tcPr>
          <w:p w14:paraId="1639B19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27705935</w:t>
            </w:r>
          </w:p>
        </w:tc>
        <w:tc>
          <w:tcPr>
            <w:tcW w:w="3360" w:type="pct"/>
            <w:tcBorders>
              <w:top w:val="nil"/>
              <w:left w:val="nil"/>
              <w:bottom w:val="single" w:sz="4" w:space="0" w:color="auto"/>
              <w:right w:val="single" w:sz="4" w:space="0" w:color="auto"/>
            </w:tcBorders>
            <w:shd w:val="clear" w:color="auto" w:fill="auto"/>
            <w:vAlign w:val="center"/>
            <w:hideMark/>
          </w:tcPr>
          <w:p w14:paraId="3E5FCC2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 xml:space="preserve">OBČINA LENDAVA </w:t>
            </w:r>
          </w:p>
        </w:tc>
      </w:tr>
      <w:tr w:rsidR="00E3750C" w:rsidRPr="00415AB3" w14:paraId="15DC91B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3918D9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962</w:t>
            </w:r>
          </w:p>
        </w:tc>
        <w:tc>
          <w:tcPr>
            <w:tcW w:w="705" w:type="pct"/>
            <w:tcBorders>
              <w:top w:val="nil"/>
              <w:left w:val="nil"/>
              <w:bottom w:val="single" w:sz="4" w:space="0" w:color="auto"/>
              <w:right w:val="single" w:sz="4" w:space="0" w:color="auto"/>
            </w:tcBorders>
            <w:shd w:val="clear" w:color="auto" w:fill="auto"/>
            <w:noWrap/>
            <w:vAlign w:val="center"/>
            <w:hideMark/>
          </w:tcPr>
          <w:p w14:paraId="51F132F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5874246000</w:t>
            </w:r>
          </w:p>
        </w:tc>
        <w:tc>
          <w:tcPr>
            <w:tcW w:w="547" w:type="pct"/>
            <w:tcBorders>
              <w:top w:val="nil"/>
              <w:left w:val="nil"/>
              <w:bottom w:val="single" w:sz="4" w:space="0" w:color="auto"/>
              <w:right w:val="single" w:sz="4" w:space="0" w:color="auto"/>
            </w:tcBorders>
            <w:shd w:val="clear" w:color="auto" w:fill="auto"/>
            <w:noWrap/>
            <w:vAlign w:val="center"/>
            <w:hideMark/>
          </w:tcPr>
          <w:p w14:paraId="2D3D238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18369529</w:t>
            </w:r>
          </w:p>
        </w:tc>
        <w:tc>
          <w:tcPr>
            <w:tcW w:w="3360" w:type="pct"/>
            <w:tcBorders>
              <w:top w:val="nil"/>
              <w:left w:val="nil"/>
              <w:bottom w:val="single" w:sz="4" w:space="0" w:color="auto"/>
              <w:right w:val="single" w:sz="4" w:space="0" w:color="auto"/>
            </w:tcBorders>
            <w:shd w:val="clear" w:color="auto" w:fill="auto"/>
            <w:vAlign w:val="center"/>
            <w:hideMark/>
          </w:tcPr>
          <w:p w14:paraId="1D886D7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LITIJA</w:t>
            </w:r>
          </w:p>
        </w:tc>
      </w:tr>
      <w:tr w:rsidR="00E3750C" w:rsidRPr="00415AB3" w14:paraId="6E1ECEB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9CF4D1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963</w:t>
            </w:r>
          </w:p>
        </w:tc>
        <w:tc>
          <w:tcPr>
            <w:tcW w:w="705" w:type="pct"/>
            <w:tcBorders>
              <w:top w:val="nil"/>
              <w:left w:val="nil"/>
              <w:bottom w:val="single" w:sz="4" w:space="0" w:color="auto"/>
              <w:right w:val="single" w:sz="4" w:space="0" w:color="auto"/>
            </w:tcBorders>
            <w:shd w:val="clear" w:color="auto" w:fill="auto"/>
            <w:noWrap/>
            <w:vAlign w:val="center"/>
            <w:hideMark/>
          </w:tcPr>
          <w:p w14:paraId="30CD078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5883733000</w:t>
            </w:r>
          </w:p>
        </w:tc>
        <w:tc>
          <w:tcPr>
            <w:tcW w:w="547" w:type="pct"/>
            <w:tcBorders>
              <w:top w:val="nil"/>
              <w:left w:val="nil"/>
              <w:bottom w:val="single" w:sz="4" w:space="0" w:color="auto"/>
              <w:right w:val="single" w:sz="4" w:space="0" w:color="auto"/>
            </w:tcBorders>
            <w:shd w:val="clear" w:color="auto" w:fill="auto"/>
            <w:noWrap/>
            <w:vAlign w:val="center"/>
            <w:hideMark/>
          </w:tcPr>
          <w:p w14:paraId="44A6AB4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57533776</w:t>
            </w:r>
          </w:p>
        </w:tc>
        <w:tc>
          <w:tcPr>
            <w:tcW w:w="3360" w:type="pct"/>
            <w:tcBorders>
              <w:top w:val="nil"/>
              <w:left w:val="nil"/>
              <w:bottom w:val="single" w:sz="4" w:space="0" w:color="auto"/>
              <w:right w:val="single" w:sz="4" w:space="0" w:color="auto"/>
            </w:tcBorders>
            <w:shd w:val="clear" w:color="auto" w:fill="auto"/>
            <w:vAlign w:val="center"/>
            <w:hideMark/>
          </w:tcPr>
          <w:p w14:paraId="49055F1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LJUBNO</w:t>
            </w:r>
          </w:p>
        </w:tc>
      </w:tr>
      <w:tr w:rsidR="00E3750C" w:rsidRPr="00415AB3" w14:paraId="1B40B54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EEC89D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964</w:t>
            </w:r>
          </w:p>
        </w:tc>
        <w:tc>
          <w:tcPr>
            <w:tcW w:w="705" w:type="pct"/>
            <w:tcBorders>
              <w:top w:val="nil"/>
              <w:left w:val="nil"/>
              <w:bottom w:val="single" w:sz="4" w:space="0" w:color="auto"/>
              <w:right w:val="single" w:sz="4" w:space="0" w:color="auto"/>
            </w:tcBorders>
            <w:shd w:val="clear" w:color="auto" w:fill="auto"/>
            <w:noWrap/>
            <w:vAlign w:val="center"/>
            <w:hideMark/>
          </w:tcPr>
          <w:p w14:paraId="4370A44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5874092000</w:t>
            </w:r>
          </w:p>
        </w:tc>
        <w:tc>
          <w:tcPr>
            <w:tcW w:w="547" w:type="pct"/>
            <w:tcBorders>
              <w:top w:val="nil"/>
              <w:left w:val="nil"/>
              <w:bottom w:val="single" w:sz="4" w:space="0" w:color="auto"/>
              <w:right w:val="single" w:sz="4" w:space="0" w:color="auto"/>
            </w:tcBorders>
            <w:shd w:val="clear" w:color="auto" w:fill="auto"/>
            <w:noWrap/>
            <w:vAlign w:val="center"/>
            <w:hideMark/>
          </w:tcPr>
          <w:p w14:paraId="535BAB0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60214406</w:t>
            </w:r>
          </w:p>
        </w:tc>
        <w:tc>
          <w:tcPr>
            <w:tcW w:w="3360" w:type="pct"/>
            <w:tcBorders>
              <w:top w:val="nil"/>
              <w:left w:val="nil"/>
              <w:bottom w:val="single" w:sz="4" w:space="0" w:color="auto"/>
              <w:right w:val="single" w:sz="4" w:space="0" w:color="auto"/>
            </w:tcBorders>
            <w:shd w:val="clear" w:color="auto" w:fill="auto"/>
            <w:vAlign w:val="center"/>
            <w:hideMark/>
          </w:tcPr>
          <w:p w14:paraId="7EBC5CC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LJUTOMER</w:t>
            </w:r>
          </w:p>
        </w:tc>
      </w:tr>
      <w:tr w:rsidR="00E3750C" w:rsidRPr="00415AB3" w14:paraId="4031534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C7672D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965</w:t>
            </w:r>
          </w:p>
        </w:tc>
        <w:tc>
          <w:tcPr>
            <w:tcW w:w="705" w:type="pct"/>
            <w:tcBorders>
              <w:top w:val="nil"/>
              <w:left w:val="nil"/>
              <w:bottom w:val="single" w:sz="4" w:space="0" w:color="auto"/>
              <w:right w:val="single" w:sz="4" w:space="0" w:color="auto"/>
            </w:tcBorders>
            <w:shd w:val="clear" w:color="auto" w:fill="auto"/>
            <w:noWrap/>
            <w:vAlign w:val="center"/>
            <w:hideMark/>
          </w:tcPr>
          <w:p w14:paraId="071FFE4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2261154000</w:t>
            </w:r>
          </w:p>
        </w:tc>
        <w:tc>
          <w:tcPr>
            <w:tcW w:w="547" w:type="pct"/>
            <w:tcBorders>
              <w:top w:val="nil"/>
              <w:left w:val="nil"/>
              <w:bottom w:val="single" w:sz="4" w:space="0" w:color="auto"/>
              <w:right w:val="single" w:sz="4" w:space="0" w:color="auto"/>
            </w:tcBorders>
            <w:shd w:val="clear" w:color="auto" w:fill="auto"/>
            <w:noWrap/>
            <w:vAlign w:val="center"/>
            <w:hideMark/>
          </w:tcPr>
          <w:p w14:paraId="716B3D7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77778642</w:t>
            </w:r>
          </w:p>
        </w:tc>
        <w:tc>
          <w:tcPr>
            <w:tcW w:w="3360" w:type="pct"/>
            <w:tcBorders>
              <w:top w:val="nil"/>
              <w:left w:val="nil"/>
              <w:bottom w:val="single" w:sz="4" w:space="0" w:color="auto"/>
              <w:right w:val="single" w:sz="4" w:space="0" w:color="auto"/>
            </w:tcBorders>
            <w:shd w:val="clear" w:color="auto" w:fill="auto"/>
            <w:vAlign w:val="center"/>
            <w:hideMark/>
          </w:tcPr>
          <w:p w14:paraId="3A21DD3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LOG - DRAGOMER</w:t>
            </w:r>
          </w:p>
        </w:tc>
      </w:tr>
      <w:tr w:rsidR="00E3750C" w:rsidRPr="00415AB3" w14:paraId="1EA18CA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F55077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966</w:t>
            </w:r>
          </w:p>
        </w:tc>
        <w:tc>
          <w:tcPr>
            <w:tcW w:w="705" w:type="pct"/>
            <w:tcBorders>
              <w:top w:val="nil"/>
              <w:left w:val="nil"/>
              <w:bottom w:val="single" w:sz="4" w:space="0" w:color="auto"/>
              <w:right w:val="single" w:sz="4" w:space="0" w:color="auto"/>
            </w:tcBorders>
            <w:shd w:val="clear" w:color="auto" w:fill="auto"/>
            <w:noWrap/>
            <w:vAlign w:val="center"/>
            <w:hideMark/>
          </w:tcPr>
          <w:p w14:paraId="3C0C21F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5874661000</w:t>
            </w:r>
          </w:p>
        </w:tc>
        <w:tc>
          <w:tcPr>
            <w:tcW w:w="547" w:type="pct"/>
            <w:tcBorders>
              <w:top w:val="nil"/>
              <w:left w:val="nil"/>
              <w:bottom w:val="single" w:sz="4" w:space="0" w:color="auto"/>
              <w:right w:val="single" w:sz="4" w:space="0" w:color="auto"/>
            </w:tcBorders>
            <w:shd w:val="clear" w:color="auto" w:fill="auto"/>
            <w:noWrap/>
            <w:vAlign w:val="center"/>
            <w:hideMark/>
          </w:tcPr>
          <w:p w14:paraId="387EFFD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55512844</w:t>
            </w:r>
          </w:p>
        </w:tc>
        <w:tc>
          <w:tcPr>
            <w:tcW w:w="3360" w:type="pct"/>
            <w:tcBorders>
              <w:top w:val="nil"/>
              <w:left w:val="nil"/>
              <w:bottom w:val="single" w:sz="4" w:space="0" w:color="auto"/>
              <w:right w:val="single" w:sz="4" w:space="0" w:color="auto"/>
            </w:tcBorders>
            <w:shd w:val="clear" w:color="auto" w:fill="auto"/>
            <w:vAlign w:val="center"/>
            <w:hideMark/>
          </w:tcPr>
          <w:p w14:paraId="7B2A3E3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LOGATEC</w:t>
            </w:r>
          </w:p>
        </w:tc>
      </w:tr>
      <w:tr w:rsidR="00E3750C" w:rsidRPr="00415AB3" w14:paraId="49651D9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69E10B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967</w:t>
            </w:r>
          </w:p>
        </w:tc>
        <w:tc>
          <w:tcPr>
            <w:tcW w:w="705" w:type="pct"/>
            <w:tcBorders>
              <w:top w:val="nil"/>
              <w:left w:val="nil"/>
              <w:bottom w:val="single" w:sz="4" w:space="0" w:color="auto"/>
              <w:right w:val="single" w:sz="4" w:space="0" w:color="auto"/>
            </w:tcBorders>
            <w:shd w:val="clear" w:color="auto" w:fill="auto"/>
            <w:noWrap/>
            <w:vAlign w:val="center"/>
            <w:hideMark/>
          </w:tcPr>
          <w:p w14:paraId="68F4878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5880165000</w:t>
            </w:r>
          </w:p>
        </w:tc>
        <w:tc>
          <w:tcPr>
            <w:tcW w:w="547" w:type="pct"/>
            <w:tcBorders>
              <w:top w:val="nil"/>
              <w:left w:val="nil"/>
              <w:bottom w:val="single" w:sz="4" w:space="0" w:color="auto"/>
              <w:right w:val="single" w:sz="4" w:space="0" w:color="auto"/>
            </w:tcBorders>
            <w:shd w:val="clear" w:color="auto" w:fill="auto"/>
            <w:noWrap/>
            <w:vAlign w:val="center"/>
            <w:hideMark/>
          </w:tcPr>
          <w:p w14:paraId="0800760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78057370</w:t>
            </w:r>
          </w:p>
        </w:tc>
        <w:tc>
          <w:tcPr>
            <w:tcW w:w="3360" w:type="pct"/>
            <w:tcBorders>
              <w:top w:val="nil"/>
              <w:left w:val="nil"/>
              <w:bottom w:val="single" w:sz="4" w:space="0" w:color="auto"/>
              <w:right w:val="single" w:sz="4" w:space="0" w:color="auto"/>
            </w:tcBorders>
            <w:shd w:val="clear" w:color="auto" w:fill="auto"/>
            <w:vAlign w:val="center"/>
            <w:hideMark/>
          </w:tcPr>
          <w:p w14:paraId="14BD9E0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LOŠKA DOLINA</w:t>
            </w:r>
          </w:p>
        </w:tc>
      </w:tr>
      <w:tr w:rsidR="00E3750C" w:rsidRPr="00415AB3" w14:paraId="5F34568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72CB43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968</w:t>
            </w:r>
          </w:p>
        </w:tc>
        <w:tc>
          <w:tcPr>
            <w:tcW w:w="705" w:type="pct"/>
            <w:tcBorders>
              <w:top w:val="nil"/>
              <w:left w:val="nil"/>
              <w:bottom w:val="single" w:sz="4" w:space="0" w:color="auto"/>
              <w:right w:val="single" w:sz="4" w:space="0" w:color="auto"/>
            </w:tcBorders>
            <w:shd w:val="clear" w:color="auto" w:fill="auto"/>
            <w:noWrap/>
            <w:vAlign w:val="center"/>
            <w:hideMark/>
          </w:tcPr>
          <w:p w14:paraId="1909BE8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5883806000</w:t>
            </w:r>
          </w:p>
        </w:tc>
        <w:tc>
          <w:tcPr>
            <w:tcW w:w="547" w:type="pct"/>
            <w:tcBorders>
              <w:top w:val="nil"/>
              <w:left w:val="nil"/>
              <w:bottom w:val="single" w:sz="4" w:space="0" w:color="auto"/>
              <w:right w:val="single" w:sz="4" w:space="0" w:color="auto"/>
            </w:tcBorders>
            <w:shd w:val="clear" w:color="auto" w:fill="auto"/>
            <w:noWrap/>
            <w:vAlign w:val="center"/>
            <w:hideMark/>
          </w:tcPr>
          <w:p w14:paraId="25DFFFA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47965525</w:t>
            </w:r>
          </w:p>
        </w:tc>
        <w:tc>
          <w:tcPr>
            <w:tcW w:w="3360" w:type="pct"/>
            <w:tcBorders>
              <w:top w:val="nil"/>
              <w:left w:val="nil"/>
              <w:bottom w:val="single" w:sz="4" w:space="0" w:color="auto"/>
              <w:right w:val="single" w:sz="4" w:space="0" w:color="auto"/>
            </w:tcBorders>
            <w:shd w:val="clear" w:color="auto" w:fill="auto"/>
            <w:vAlign w:val="center"/>
            <w:hideMark/>
          </w:tcPr>
          <w:p w14:paraId="1D5EF6F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LOŠKI POTOK</w:t>
            </w:r>
          </w:p>
        </w:tc>
      </w:tr>
      <w:tr w:rsidR="00E3750C" w:rsidRPr="00415AB3" w14:paraId="1B7A5E2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5E7CD0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969</w:t>
            </w:r>
          </w:p>
        </w:tc>
        <w:tc>
          <w:tcPr>
            <w:tcW w:w="705" w:type="pct"/>
            <w:tcBorders>
              <w:top w:val="nil"/>
              <w:left w:val="nil"/>
              <w:bottom w:val="single" w:sz="4" w:space="0" w:color="auto"/>
              <w:right w:val="single" w:sz="4" w:space="0" w:color="auto"/>
            </w:tcBorders>
            <w:shd w:val="clear" w:color="auto" w:fill="auto"/>
            <w:noWrap/>
            <w:vAlign w:val="center"/>
            <w:hideMark/>
          </w:tcPr>
          <w:p w14:paraId="58B2A0C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1357883000</w:t>
            </w:r>
          </w:p>
        </w:tc>
        <w:tc>
          <w:tcPr>
            <w:tcW w:w="547" w:type="pct"/>
            <w:tcBorders>
              <w:top w:val="nil"/>
              <w:left w:val="nil"/>
              <w:bottom w:val="single" w:sz="4" w:space="0" w:color="auto"/>
              <w:right w:val="single" w:sz="4" w:space="0" w:color="auto"/>
            </w:tcBorders>
            <w:shd w:val="clear" w:color="auto" w:fill="auto"/>
            <w:noWrap/>
            <w:vAlign w:val="center"/>
            <w:hideMark/>
          </w:tcPr>
          <w:p w14:paraId="57CDB99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11392657</w:t>
            </w:r>
          </w:p>
        </w:tc>
        <w:tc>
          <w:tcPr>
            <w:tcW w:w="3360" w:type="pct"/>
            <w:tcBorders>
              <w:top w:val="nil"/>
              <w:left w:val="nil"/>
              <w:bottom w:val="single" w:sz="4" w:space="0" w:color="auto"/>
              <w:right w:val="single" w:sz="4" w:space="0" w:color="auto"/>
            </w:tcBorders>
            <w:shd w:val="clear" w:color="auto" w:fill="auto"/>
            <w:vAlign w:val="center"/>
            <w:hideMark/>
          </w:tcPr>
          <w:p w14:paraId="0A55DFE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LOVRENC NA POHORJU</w:t>
            </w:r>
          </w:p>
        </w:tc>
      </w:tr>
      <w:tr w:rsidR="00E3750C" w:rsidRPr="00415AB3" w14:paraId="119033B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07BE15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970</w:t>
            </w:r>
          </w:p>
        </w:tc>
        <w:tc>
          <w:tcPr>
            <w:tcW w:w="705" w:type="pct"/>
            <w:tcBorders>
              <w:top w:val="nil"/>
              <w:left w:val="nil"/>
              <w:bottom w:val="single" w:sz="4" w:space="0" w:color="auto"/>
              <w:right w:val="single" w:sz="4" w:space="0" w:color="auto"/>
            </w:tcBorders>
            <w:shd w:val="clear" w:color="auto" w:fill="auto"/>
            <w:noWrap/>
            <w:vAlign w:val="center"/>
            <w:hideMark/>
          </w:tcPr>
          <w:p w14:paraId="6B802C7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5883784000</w:t>
            </w:r>
          </w:p>
        </w:tc>
        <w:tc>
          <w:tcPr>
            <w:tcW w:w="547" w:type="pct"/>
            <w:tcBorders>
              <w:top w:val="nil"/>
              <w:left w:val="nil"/>
              <w:bottom w:val="single" w:sz="4" w:space="0" w:color="auto"/>
              <w:right w:val="single" w:sz="4" w:space="0" w:color="auto"/>
            </w:tcBorders>
            <w:shd w:val="clear" w:color="auto" w:fill="auto"/>
            <w:noWrap/>
            <w:vAlign w:val="center"/>
            <w:hideMark/>
          </w:tcPr>
          <w:p w14:paraId="2F364F4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92082386</w:t>
            </w:r>
          </w:p>
        </w:tc>
        <w:tc>
          <w:tcPr>
            <w:tcW w:w="3360" w:type="pct"/>
            <w:tcBorders>
              <w:top w:val="nil"/>
              <w:left w:val="nil"/>
              <w:bottom w:val="single" w:sz="4" w:space="0" w:color="auto"/>
              <w:right w:val="single" w:sz="4" w:space="0" w:color="auto"/>
            </w:tcBorders>
            <w:shd w:val="clear" w:color="auto" w:fill="auto"/>
            <w:vAlign w:val="center"/>
            <w:hideMark/>
          </w:tcPr>
          <w:p w14:paraId="518C61C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LUČE</w:t>
            </w:r>
          </w:p>
        </w:tc>
      </w:tr>
      <w:tr w:rsidR="00E3750C" w:rsidRPr="00415AB3" w14:paraId="4B5DCD6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41BAE5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971</w:t>
            </w:r>
          </w:p>
        </w:tc>
        <w:tc>
          <w:tcPr>
            <w:tcW w:w="705" w:type="pct"/>
            <w:tcBorders>
              <w:top w:val="nil"/>
              <w:left w:val="nil"/>
              <w:bottom w:val="single" w:sz="4" w:space="0" w:color="auto"/>
              <w:right w:val="single" w:sz="4" w:space="0" w:color="auto"/>
            </w:tcBorders>
            <w:shd w:val="clear" w:color="auto" w:fill="auto"/>
            <w:noWrap/>
            <w:vAlign w:val="center"/>
            <w:hideMark/>
          </w:tcPr>
          <w:p w14:paraId="14FC43C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5880491000</w:t>
            </w:r>
          </w:p>
        </w:tc>
        <w:tc>
          <w:tcPr>
            <w:tcW w:w="547" w:type="pct"/>
            <w:tcBorders>
              <w:top w:val="nil"/>
              <w:left w:val="nil"/>
              <w:bottom w:val="single" w:sz="4" w:space="0" w:color="auto"/>
              <w:right w:val="single" w:sz="4" w:space="0" w:color="auto"/>
            </w:tcBorders>
            <w:shd w:val="clear" w:color="auto" w:fill="auto"/>
            <w:noWrap/>
            <w:vAlign w:val="center"/>
            <w:hideMark/>
          </w:tcPr>
          <w:p w14:paraId="2CC1130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19246331</w:t>
            </w:r>
          </w:p>
        </w:tc>
        <w:tc>
          <w:tcPr>
            <w:tcW w:w="3360" w:type="pct"/>
            <w:tcBorders>
              <w:top w:val="nil"/>
              <w:left w:val="nil"/>
              <w:bottom w:val="single" w:sz="4" w:space="0" w:color="auto"/>
              <w:right w:val="single" w:sz="4" w:space="0" w:color="auto"/>
            </w:tcBorders>
            <w:shd w:val="clear" w:color="auto" w:fill="auto"/>
            <w:vAlign w:val="center"/>
            <w:hideMark/>
          </w:tcPr>
          <w:p w14:paraId="0603659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LUKOVICA</w:t>
            </w:r>
          </w:p>
        </w:tc>
      </w:tr>
      <w:tr w:rsidR="00E3750C" w:rsidRPr="00415AB3" w14:paraId="41BDE0A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89D464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972</w:t>
            </w:r>
          </w:p>
        </w:tc>
        <w:tc>
          <w:tcPr>
            <w:tcW w:w="705" w:type="pct"/>
            <w:tcBorders>
              <w:top w:val="nil"/>
              <w:left w:val="nil"/>
              <w:bottom w:val="single" w:sz="4" w:space="0" w:color="auto"/>
              <w:right w:val="single" w:sz="4" w:space="0" w:color="auto"/>
            </w:tcBorders>
            <w:shd w:val="clear" w:color="auto" w:fill="auto"/>
            <w:noWrap/>
            <w:vAlign w:val="center"/>
            <w:hideMark/>
          </w:tcPr>
          <w:p w14:paraId="749CE5A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5883644000</w:t>
            </w:r>
          </w:p>
        </w:tc>
        <w:tc>
          <w:tcPr>
            <w:tcW w:w="547" w:type="pct"/>
            <w:tcBorders>
              <w:top w:val="nil"/>
              <w:left w:val="nil"/>
              <w:bottom w:val="single" w:sz="4" w:space="0" w:color="auto"/>
              <w:right w:val="single" w:sz="4" w:space="0" w:color="auto"/>
            </w:tcBorders>
            <w:shd w:val="clear" w:color="auto" w:fill="auto"/>
            <w:noWrap/>
            <w:vAlign w:val="center"/>
            <w:hideMark/>
          </w:tcPr>
          <w:p w14:paraId="42243BA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11993197</w:t>
            </w:r>
          </w:p>
        </w:tc>
        <w:tc>
          <w:tcPr>
            <w:tcW w:w="3360" w:type="pct"/>
            <w:tcBorders>
              <w:top w:val="nil"/>
              <w:left w:val="nil"/>
              <w:bottom w:val="single" w:sz="4" w:space="0" w:color="auto"/>
              <w:right w:val="single" w:sz="4" w:space="0" w:color="auto"/>
            </w:tcBorders>
            <w:shd w:val="clear" w:color="auto" w:fill="auto"/>
            <w:vAlign w:val="center"/>
            <w:hideMark/>
          </w:tcPr>
          <w:p w14:paraId="0311177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MAJŠPERK</w:t>
            </w:r>
          </w:p>
        </w:tc>
      </w:tr>
      <w:tr w:rsidR="00E3750C" w:rsidRPr="00415AB3" w14:paraId="438A26A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C5F8DB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973</w:t>
            </w:r>
          </w:p>
        </w:tc>
        <w:tc>
          <w:tcPr>
            <w:tcW w:w="705" w:type="pct"/>
            <w:tcBorders>
              <w:top w:val="nil"/>
              <w:left w:val="nil"/>
              <w:bottom w:val="single" w:sz="4" w:space="0" w:color="auto"/>
              <w:right w:val="single" w:sz="4" w:space="0" w:color="auto"/>
            </w:tcBorders>
            <w:shd w:val="clear" w:color="auto" w:fill="auto"/>
            <w:noWrap/>
            <w:vAlign w:val="center"/>
            <w:hideMark/>
          </w:tcPr>
          <w:p w14:paraId="68CD187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2242753000</w:t>
            </w:r>
          </w:p>
        </w:tc>
        <w:tc>
          <w:tcPr>
            <w:tcW w:w="547" w:type="pct"/>
            <w:tcBorders>
              <w:top w:val="nil"/>
              <w:left w:val="nil"/>
              <w:bottom w:val="single" w:sz="4" w:space="0" w:color="auto"/>
              <w:right w:val="single" w:sz="4" w:space="0" w:color="auto"/>
            </w:tcBorders>
            <w:shd w:val="clear" w:color="auto" w:fill="auto"/>
            <w:noWrap/>
            <w:vAlign w:val="center"/>
            <w:hideMark/>
          </w:tcPr>
          <w:p w14:paraId="1F30B61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26682117</w:t>
            </w:r>
          </w:p>
        </w:tc>
        <w:tc>
          <w:tcPr>
            <w:tcW w:w="3360" w:type="pct"/>
            <w:tcBorders>
              <w:top w:val="nil"/>
              <w:left w:val="nil"/>
              <w:bottom w:val="single" w:sz="4" w:space="0" w:color="auto"/>
              <w:right w:val="single" w:sz="4" w:space="0" w:color="auto"/>
            </w:tcBorders>
            <w:shd w:val="clear" w:color="auto" w:fill="auto"/>
            <w:vAlign w:val="center"/>
            <w:hideMark/>
          </w:tcPr>
          <w:p w14:paraId="2AC786C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MAKOLE</w:t>
            </w:r>
          </w:p>
        </w:tc>
      </w:tr>
      <w:tr w:rsidR="00E3750C" w:rsidRPr="00415AB3" w14:paraId="1953B1A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5F9D4D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974</w:t>
            </w:r>
          </w:p>
        </w:tc>
        <w:tc>
          <w:tcPr>
            <w:tcW w:w="705" w:type="pct"/>
            <w:tcBorders>
              <w:top w:val="nil"/>
              <w:left w:val="nil"/>
              <w:bottom w:val="single" w:sz="4" w:space="0" w:color="auto"/>
              <w:right w:val="single" w:sz="4" w:space="0" w:color="auto"/>
            </w:tcBorders>
            <w:shd w:val="clear" w:color="auto" w:fill="auto"/>
            <w:noWrap/>
            <w:vAlign w:val="center"/>
            <w:hideMark/>
          </w:tcPr>
          <w:p w14:paraId="7C6840A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1357492000</w:t>
            </w:r>
          </w:p>
        </w:tc>
        <w:tc>
          <w:tcPr>
            <w:tcW w:w="547" w:type="pct"/>
            <w:tcBorders>
              <w:top w:val="nil"/>
              <w:left w:val="nil"/>
              <w:bottom w:val="single" w:sz="4" w:space="0" w:color="auto"/>
              <w:right w:val="single" w:sz="4" w:space="0" w:color="auto"/>
            </w:tcBorders>
            <w:shd w:val="clear" w:color="auto" w:fill="auto"/>
            <w:noWrap/>
            <w:vAlign w:val="center"/>
            <w:hideMark/>
          </w:tcPr>
          <w:p w14:paraId="468652F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57234213</w:t>
            </w:r>
          </w:p>
        </w:tc>
        <w:tc>
          <w:tcPr>
            <w:tcW w:w="3360" w:type="pct"/>
            <w:tcBorders>
              <w:top w:val="nil"/>
              <w:left w:val="nil"/>
              <w:bottom w:val="single" w:sz="4" w:space="0" w:color="auto"/>
              <w:right w:val="single" w:sz="4" w:space="0" w:color="auto"/>
            </w:tcBorders>
            <w:shd w:val="clear" w:color="auto" w:fill="auto"/>
            <w:vAlign w:val="center"/>
            <w:hideMark/>
          </w:tcPr>
          <w:p w14:paraId="2A299C0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MARKOVCI</w:t>
            </w:r>
          </w:p>
        </w:tc>
      </w:tr>
      <w:tr w:rsidR="00E3750C" w:rsidRPr="00415AB3" w14:paraId="7E696DB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AD2355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975</w:t>
            </w:r>
          </w:p>
        </w:tc>
        <w:tc>
          <w:tcPr>
            <w:tcW w:w="705" w:type="pct"/>
            <w:tcBorders>
              <w:top w:val="nil"/>
              <w:left w:val="nil"/>
              <w:bottom w:val="single" w:sz="4" w:space="0" w:color="auto"/>
              <w:right w:val="single" w:sz="4" w:space="0" w:color="auto"/>
            </w:tcBorders>
            <w:shd w:val="clear" w:color="auto" w:fill="auto"/>
            <w:noWrap/>
            <w:vAlign w:val="center"/>
            <w:hideMark/>
          </w:tcPr>
          <w:p w14:paraId="2D55523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5874564000</w:t>
            </w:r>
          </w:p>
        </w:tc>
        <w:tc>
          <w:tcPr>
            <w:tcW w:w="547" w:type="pct"/>
            <w:tcBorders>
              <w:top w:val="nil"/>
              <w:left w:val="nil"/>
              <w:bottom w:val="single" w:sz="4" w:space="0" w:color="auto"/>
              <w:right w:val="single" w:sz="4" w:space="0" w:color="auto"/>
            </w:tcBorders>
            <w:shd w:val="clear" w:color="auto" w:fill="auto"/>
            <w:noWrap/>
            <w:vAlign w:val="center"/>
            <w:hideMark/>
          </w:tcPr>
          <w:p w14:paraId="3D404C1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20991517</w:t>
            </w:r>
          </w:p>
        </w:tc>
        <w:tc>
          <w:tcPr>
            <w:tcW w:w="3360" w:type="pct"/>
            <w:tcBorders>
              <w:top w:val="nil"/>
              <w:left w:val="nil"/>
              <w:bottom w:val="single" w:sz="4" w:space="0" w:color="auto"/>
              <w:right w:val="single" w:sz="4" w:space="0" w:color="auto"/>
            </w:tcBorders>
            <w:shd w:val="clear" w:color="auto" w:fill="auto"/>
            <w:vAlign w:val="center"/>
            <w:hideMark/>
          </w:tcPr>
          <w:p w14:paraId="66B30F9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MEDVODE</w:t>
            </w:r>
          </w:p>
        </w:tc>
      </w:tr>
      <w:tr w:rsidR="00E3750C" w:rsidRPr="00415AB3" w14:paraId="6D49F6F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DA2F43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976</w:t>
            </w:r>
          </w:p>
        </w:tc>
        <w:tc>
          <w:tcPr>
            <w:tcW w:w="705" w:type="pct"/>
            <w:tcBorders>
              <w:top w:val="nil"/>
              <w:left w:val="nil"/>
              <w:bottom w:val="single" w:sz="4" w:space="0" w:color="auto"/>
              <w:right w:val="single" w:sz="4" w:space="0" w:color="auto"/>
            </w:tcBorders>
            <w:shd w:val="clear" w:color="auto" w:fill="auto"/>
            <w:noWrap/>
            <w:vAlign w:val="center"/>
            <w:hideMark/>
          </w:tcPr>
          <w:p w14:paraId="5F801A8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5880483000</w:t>
            </w:r>
          </w:p>
        </w:tc>
        <w:tc>
          <w:tcPr>
            <w:tcW w:w="547" w:type="pct"/>
            <w:tcBorders>
              <w:top w:val="nil"/>
              <w:left w:val="nil"/>
              <w:bottom w:val="single" w:sz="4" w:space="0" w:color="auto"/>
              <w:right w:val="single" w:sz="4" w:space="0" w:color="auto"/>
            </w:tcBorders>
            <w:shd w:val="clear" w:color="auto" w:fill="auto"/>
            <w:noWrap/>
            <w:vAlign w:val="center"/>
            <w:hideMark/>
          </w:tcPr>
          <w:p w14:paraId="5086957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74039059</w:t>
            </w:r>
          </w:p>
        </w:tc>
        <w:tc>
          <w:tcPr>
            <w:tcW w:w="3360" w:type="pct"/>
            <w:tcBorders>
              <w:top w:val="nil"/>
              <w:left w:val="nil"/>
              <w:bottom w:val="single" w:sz="4" w:space="0" w:color="auto"/>
              <w:right w:val="single" w:sz="4" w:space="0" w:color="auto"/>
            </w:tcBorders>
            <w:shd w:val="clear" w:color="auto" w:fill="auto"/>
            <w:vAlign w:val="center"/>
            <w:hideMark/>
          </w:tcPr>
          <w:p w14:paraId="5621E48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MENGEŠ</w:t>
            </w:r>
          </w:p>
        </w:tc>
      </w:tr>
      <w:tr w:rsidR="00E3750C" w:rsidRPr="00415AB3" w14:paraId="4BD6042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995858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977</w:t>
            </w:r>
          </w:p>
        </w:tc>
        <w:tc>
          <w:tcPr>
            <w:tcW w:w="705" w:type="pct"/>
            <w:tcBorders>
              <w:top w:val="nil"/>
              <w:left w:val="nil"/>
              <w:bottom w:val="single" w:sz="4" w:space="0" w:color="auto"/>
              <w:right w:val="single" w:sz="4" w:space="0" w:color="auto"/>
            </w:tcBorders>
            <w:shd w:val="clear" w:color="auto" w:fill="auto"/>
            <w:noWrap/>
            <w:vAlign w:val="center"/>
            <w:hideMark/>
          </w:tcPr>
          <w:p w14:paraId="0831683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5881374000</w:t>
            </w:r>
          </w:p>
        </w:tc>
        <w:tc>
          <w:tcPr>
            <w:tcW w:w="547" w:type="pct"/>
            <w:tcBorders>
              <w:top w:val="nil"/>
              <w:left w:val="nil"/>
              <w:bottom w:val="single" w:sz="4" w:space="0" w:color="auto"/>
              <w:right w:val="single" w:sz="4" w:space="0" w:color="auto"/>
            </w:tcBorders>
            <w:shd w:val="clear" w:color="auto" w:fill="auto"/>
            <w:noWrap/>
            <w:vAlign w:val="center"/>
            <w:hideMark/>
          </w:tcPr>
          <w:p w14:paraId="6A78A2D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74906275</w:t>
            </w:r>
          </w:p>
        </w:tc>
        <w:tc>
          <w:tcPr>
            <w:tcW w:w="3360" w:type="pct"/>
            <w:tcBorders>
              <w:top w:val="nil"/>
              <w:left w:val="nil"/>
              <w:bottom w:val="single" w:sz="4" w:space="0" w:color="auto"/>
              <w:right w:val="single" w:sz="4" w:space="0" w:color="auto"/>
            </w:tcBorders>
            <w:shd w:val="clear" w:color="auto" w:fill="auto"/>
            <w:vAlign w:val="center"/>
            <w:hideMark/>
          </w:tcPr>
          <w:p w14:paraId="310C9C5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METLIKA</w:t>
            </w:r>
          </w:p>
        </w:tc>
      </w:tr>
      <w:tr w:rsidR="00E3750C" w:rsidRPr="00415AB3" w14:paraId="33C7724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C6A2A8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978</w:t>
            </w:r>
          </w:p>
        </w:tc>
        <w:tc>
          <w:tcPr>
            <w:tcW w:w="705" w:type="pct"/>
            <w:tcBorders>
              <w:top w:val="nil"/>
              <w:left w:val="nil"/>
              <w:bottom w:val="single" w:sz="4" w:space="0" w:color="auto"/>
              <w:right w:val="single" w:sz="4" w:space="0" w:color="auto"/>
            </w:tcBorders>
            <w:shd w:val="clear" w:color="auto" w:fill="auto"/>
            <w:noWrap/>
            <w:vAlign w:val="center"/>
            <w:hideMark/>
          </w:tcPr>
          <w:p w14:paraId="3FED64A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5883610000</w:t>
            </w:r>
          </w:p>
        </w:tc>
        <w:tc>
          <w:tcPr>
            <w:tcW w:w="547" w:type="pct"/>
            <w:tcBorders>
              <w:top w:val="nil"/>
              <w:left w:val="nil"/>
              <w:bottom w:val="single" w:sz="4" w:space="0" w:color="auto"/>
              <w:right w:val="single" w:sz="4" w:space="0" w:color="auto"/>
            </w:tcBorders>
            <w:shd w:val="clear" w:color="auto" w:fill="auto"/>
            <w:noWrap/>
            <w:vAlign w:val="center"/>
            <w:hideMark/>
          </w:tcPr>
          <w:p w14:paraId="113AB00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82400776</w:t>
            </w:r>
          </w:p>
        </w:tc>
        <w:tc>
          <w:tcPr>
            <w:tcW w:w="3360" w:type="pct"/>
            <w:tcBorders>
              <w:top w:val="nil"/>
              <w:left w:val="nil"/>
              <w:bottom w:val="single" w:sz="4" w:space="0" w:color="auto"/>
              <w:right w:val="single" w:sz="4" w:space="0" w:color="auto"/>
            </w:tcBorders>
            <w:shd w:val="clear" w:color="auto" w:fill="auto"/>
            <w:vAlign w:val="center"/>
            <w:hideMark/>
          </w:tcPr>
          <w:p w14:paraId="1380158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MEŽICA</w:t>
            </w:r>
          </w:p>
        </w:tc>
      </w:tr>
      <w:tr w:rsidR="00E3750C" w:rsidRPr="00415AB3" w14:paraId="37BD5A1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576EBA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979</w:t>
            </w:r>
          </w:p>
        </w:tc>
        <w:tc>
          <w:tcPr>
            <w:tcW w:w="705" w:type="pct"/>
            <w:tcBorders>
              <w:top w:val="nil"/>
              <w:left w:val="nil"/>
              <w:bottom w:val="single" w:sz="4" w:space="0" w:color="auto"/>
              <w:right w:val="single" w:sz="4" w:space="0" w:color="auto"/>
            </w:tcBorders>
            <w:shd w:val="clear" w:color="auto" w:fill="auto"/>
            <w:noWrap/>
            <w:vAlign w:val="center"/>
            <w:hideMark/>
          </w:tcPr>
          <w:p w14:paraId="3E3B167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1365614000</w:t>
            </w:r>
          </w:p>
        </w:tc>
        <w:tc>
          <w:tcPr>
            <w:tcW w:w="547" w:type="pct"/>
            <w:tcBorders>
              <w:top w:val="nil"/>
              <w:left w:val="nil"/>
              <w:bottom w:val="single" w:sz="4" w:space="0" w:color="auto"/>
              <w:right w:val="single" w:sz="4" w:space="0" w:color="auto"/>
            </w:tcBorders>
            <w:shd w:val="clear" w:color="auto" w:fill="auto"/>
            <w:noWrap/>
            <w:vAlign w:val="center"/>
            <w:hideMark/>
          </w:tcPr>
          <w:p w14:paraId="7BD8F6C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60592869</w:t>
            </w:r>
          </w:p>
        </w:tc>
        <w:tc>
          <w:tcPr>
            <w:tcW w:w="3360" w:type="pct"/>
            <w:tcBorders>
              <w:top w:val="nil"/>
              <w:left w:val="nil"/>
              <w:bottom w:val="single" w:sz="4" w:space="0" w:color="auto"/>
              <w:right w:val="single" w:sz="4" w:space="0" w:color="auto"/>
            </w:tcBorders>
            <w:shd w:val="clear" w:color="auto" w:fill="auto"/>
            <w:vAlign w:val="center"/>
            <w:hideMark/>
          </w:tcPr>
          <w:p w14:paraId="4D7FB7D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MIKLAVŽ NA DRAVSKEM POLJU</w:t>
            </w:r>
          </w:p>
        </w:tc>
      </w:tr>
      <w:tr w:rsidR="00E3750C" w:rsidRPr="00415AB3" w14:paraId="70E628C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6364F7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980</w:t>
            </w:r>
          </w:p>
        </w:tc>
        <w:tc>
          <w:tcPr>
            <w:tcW w:w="705" w:type="pct"/>
            <w:tcBorders>
              <w:top w:val="nil"/>
              <w:left w:val="nil"/>
              <w:bottom w:val="single" w:sz="4" w:space="0" w:color="auto"/>
              <w:right w:val="single" w:sz="4" w:space="0" w:color="auto"/>
            </w:tcBorders>
            <w:shd w:val="clear" w:color="auto" w:fill="auto"/>
            <w:noWrap/>
            <w:vAlign w:val="center"/>
            <w:hideMark/>
          </w:tcPr>
          <w:p w14:paraId="1C94698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5881838000</w:t>
            </w:r>
          </w:p>
        </w:tc>
        <w:tc>
          <w:tcPr>
            <w:tcW w:w="547" w:type="pct"/>
            <w:tcBorders>
              <w:top w:val="nil"/>
              <w:left w:val="nil"/>
              <w:bottom w:val="single" w:sz="4" w:space="0" w:color="auto"/>
              <w:right w:val="single" w:sz="4" w:space="0" w:color="auto"/>
            </w:tcBorders>
            <w:shd w:val="clear" w:color="auto" w:fill="auto"/>
            <w:noWrap/>
            <w:vAlign w:val="center"/>
            <w:hideMark/>
          </w:tcPr>
          <w:p w14:paraId="04A0D79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57235708</w:t>
            </w:r>
          </w:p>
        </w:tc>
        <w:tc>
          <w:tcPr>
            <w:tcW w:w="3360" w:type="pct"/>
            <w:tcBorders>
              <w:top w:val="nil"/>
              <w:left w:val="nil"/>
              <w:bottom w:val="single" w:sz="4" w:space="0" w:color="auto"/>
              <w:right w:val="single" w:sz="4" w:space="0" w:color="auto"/>
            </w:tcBorders>
            <w:shd w:val="clear" w:color="auto" w:fill="auto"/>
            <w:vAlign w:val="center"/>
            <w:hideMark/>
          </w:tcPr>
          <w:p w14:paraId="297B0E7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MIREN-KOSTANJEVICA</w:t>
            </w:r>
          </w:p>
        </w:tc>
      </w:tr>
      <w:tr w:rsidR="00E3750C" w:rsidRPr="00415AB3" w14:paraId="6EB06FD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8B6E2F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981</w:t>
            </w:r>
          </w:p>
        </w:tc>
        <w:tc>
          <w:tcPr>
            <w:tcW w:w="705" w:type="pct"/>
            <w:tcBorders>
              <w:top w:val="nil"/>
              <w:left w:val="nil"/>
              <w:bottom w:val="single" w:sz="4" w:space="0" w:color="auto"/>
              <w:right w:val="single" w:sz="4" w:space="0" w:color="auto"/>
            </w:tcBorders>
            <w:shd w:val="clear" w:color="auto" w:fill="auto"/>
            <w:noWrap/>
            <w:vAlign w:val="center"/>
            <w:hideMark/>
          </w:tcPr>
          <w:p w14:paraId="2B2EBA1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2399164000</w:t>
            </w:r>
          </w:p>
        </w:tc>
        <w:tc>
          <w:tcPr>
            <w:tcW w:w="547" w:type="pct"/>
            <w:tcBorders>
              <w:top w:val="nil"/>
              <w:left w:val="nil"/>
              <w:bottom w:val="single" w:sz="4" w:space="0" w:color="auto"/>
              <w:right w:val="single" w:sz="4" w:space="0" w:color="auto"/>
            </w:tcBorders>
            <w:shd w:val="clear" w:color="auto" w:fill="auto"/>
            <w:noWrap/>
            <w:vAlign w:val="center"/>
            <w:hideMark/>
          </w:tcPr>
          <w:p w14:paraId="3AA59DF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80793509</w:t>
            </w:r>
          </w:p>
        </w:tc>
        <w:tc>
          <w:tcPr>
            <w:tcW w:w="3360" w:type="pct"/>
            <w:tcBorders>
              <w:top w:val="nil"/>
              <w:left w:val="nil"/>
              <w:bottom w:val="single" w:sz="4" w:space="0" w:color="auto"/>
              <w:right w:val="single" w:sz="4" w:space="0" w:color="auto"/>
            </w:tcBorders>
            <w:shd w:val="clear" w:color="auto" w:fill="auto"/>
            <w:vAlign w:val="center"/>
            <w:hideMark/>
          </w:tcPr>
          <w:p w14:paraId="7EAA84A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MIRNA</w:t>
            </w:r>
          </w:p>
        </w:tc>
      </w:tr>
      <w:tr w:rsidR="00E3750C" w:rsidRPr="00415AB3" w14:paraId="3361BAE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1BF24C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982</w:t>
            </w:r>
          </w:p>
        </w:tc>
        <w:tc>
          <w:tcPr>
            <w:tcW w:w="705" w:type="pct"/>
            <w:tcBorders>
              <w:top w:val="nil"/>
              <w:left w:val="nil"/>
              <w:bottom w:val="single" w:sz="4" w:space="0" w:color="auto"/>
              <w:right w:val="single" w:sz="4" w:space="0" w:color="auto"/>
            </w:tcBorders>
            <w:shd w:val="clear" w:color="auto" w:fill="auto"/>
            <w:noWrap/>
            <w:vAlign w:val="center"/>
            <w:hideMark/>
          </w:tcPr>
          <w:p w14:paraId="1CF3D85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1357816000</w:t>
            </w:r>
          </w:p>
        </w:tc>
        <w:tc>
          <w:tcPr>
            <w:tcW w:w="547" w:type="pct"/>
            <w:tcBorders>
              <w:top w:val="nil"/>
              <w:left w:val="nil"/>
              <w:bottom w:val="single" w:sz="4" w:space="0" w:color="auto"/>
              <w:right w:val="single" w:sz="4" w:space="0" w:color="auto"/>
            </w:tcBorders>
            <w:shd w:val="clear" w:color="auto" w:fill="auto"/>
            <w:noWrap/>
            <w:vAlign w:val="center"/>
            <w:hideMark/>
          </w:tcPr>
          <w:p w14:paraId="51C0465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57621594</w:t>
            </w:r>
          </w:p>
        </w:tc>
        <w:tc>
          <w:tcPr>
            <w:tcW w:w="3360" w:type="pct"/>
            <w:tcBorders>
              <w:top w:val="nil"/>
              <w:left w:val="nil"/>
              <w:bottom w:val="single" w:sz="4" w:space="0" w:color="auto"/>
              <w:right w:val="single" w:sz="4" w:space="0" w:color="auto"/>
            </w:tcBorders>
            <w:shd w:val="clear" w:color="auto" w:fill="auto"/>
            <w:vAlign w:val="center"/>
            <w:hideMark/>
          </w:tcPr>
          <w:p w14:paraId="585797A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MIRNA PEČ</w:t>
            </w:r>
          </w:p>
        </w:tc>
      </w:tr>
      <w:tr w:rsidR="00E3750C" w:rsidRPr="00415AB3" w14:paraId="65B3ED1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74C3CE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983</w:t>
            </w:r>
          </w:p>
        </w:tc>
        <w:tc>
          <w:tcPr>
            <w:tcW w:w="705" w:type="pct"/>
            <w:tcBorders>
              <w:top w:val="nil"/>
              <w:left w:val="nil"/>
              <w:bottom w:val="single" w:sz="4" w:space="0" w:color="auto"/>
              <w:right w:val="single" w:sz="4" w:space="0" w:color="auto"/>
            </w:tcBorders>
            <w:shd w:val="clear" w:color="auto" w:fill="auto"/>
            <w:noWrap/>
            <w:vAlign w:val="center"/>
            <w:hideMark/>
          </w:tcPr>
          <w:p w14:paraId="52CA70D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5883954000</w:t>
            </w:r>
          </w:p>
        </w:tc>
        <w:tc>
          <w:tcPr>
            <w:tcW w:w="547" w:type="pct"/>
            <w:tcBorders>
              <w:top w:val="nil"/>
              <w:left w:val="nil"/>
              <w:bottom w:val="single" w:sz="4" w:space="0" w:color="auto"/>
              <w:right w:val="single" w:sz="4" w:space="0" w:color="auto"/>
            </w:tcBorders>
            <w:shd w:val="clear" w:color="auto" w:fill="auto"/>
            <w:noWrap/>
            <w:vAlign w:val="center"/>
            <w:hideMark/>
          </w:tcPr>
          <w:p w14:paraId="3B56F38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87944154</w:t>
            </w:r>
          </w:p>
        </w:tc>
        <w:tc>
          <w:tcPr>
            <w:tcW w:w="3360" w:type="pct"/>
            <w:tcBorders>
              <w:top w:val="nil"/>
              <w:left w:val="nil"/>
              <w:bottom w:val="single" w:sz="4" w:space="0" w:color="auto"/>
              <w:right w:val="single" w:sz="4" w:space="0" w:color="auto"/>
            </w:tcBorders>
            <w:shd w:val="clear" w:color="auto" w:fill="auto"/>
            <w:vAlign w:val="center"/>
            <w:hideMark/>
          </w:tcPr>
          <w:p w14:paraId="11C8F6E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MISLINJA</w:t>
            </w:r>
          </w:p>
        </w:tc>
      </w:tr>
      <w:tr w:rsidR="00E3750C" w:rsidRPr="00415AB3" w14:paraId="3E4DB0F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29BF6B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984</w:t>
            </w:r>
          </w:p>
        </w:tc>
        <w:tc>
          <w:tcPr>
            <w:tcW w:w="705" w:type="pct"/>
            <w:tcBorders>
              <w:top w:val="nil"/>
              <w:left w:val="nil"/>
              <w:bottom w:val="single" w:sz="4" w:space="0" w:color="auto"/>
              <w:right w:val="single" w:sz="4" w:space="0" w:color="auto"/>
            </w:tcBorders>
            <w:shd w:val="clear" w:color="auto" w:fill="auto"/>
            <w:noWrap/>
            <w:vAlign w:val="center"/>
            <w:hideMark/>
          </w:tcPr>
          <w:p w14:paraId="745445A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2241170000</w:t>
            </w:r>
          </w:p>
        </w:tc>
        <w:tc>
          <w:tcPr>
            <w:tcW w:w="547" w:type="pct"/>
            <w:tcBorders>
              <w:top w:val="nil"/>
              <w:left w:val="nil"/>
              <w:bottom w:val="single" w:sz="4" w:space="0" w:color="auto"/>
              <w:right w:val="single" w:sz="4" w:space="0" w:color="auto"/>
            </w:tcBorders>
            <w:shd w:val="clear" w:color="auto" w:fill="auto"/>
            <w:noWrap/>
            <w:vAlign w:val="center"/>
            <w:hideMark/>
          </w:tcPr>
          <w:p w14:paraId="600232C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28624777</w:t>
            </w:r>
          </w:p>
        </w:tc>
        <w:tc>
          <w:tcPr>
            <w:tcW w:w="3360" w:type="pct"/>
            <w:tcBorders>
              <w:top w:val="nil"/>
              <w:left w:val="nil"/>
              <w:bottom w:val="single" w:sz="4" w:space="0" w:color="auto"/>
              <w:right w:val="single" w:sz="4" w:space="0" w:color="auto"/>
            </w:tcBorders>
            <w:shd w:val="clear" w:color="auto" w:fill="auto"/>
            <w:vAlign w:val="center"/>
            <w:hideMark/>
          </w:tcPr>
          <w:p w14:paraId="4F63AF6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MOKRONOG - TREBELNO</w:t>
            </w:r>
          </w:p>
        </w:tc>
      </w:tr>
      <w:tr w:rsidR="00E3750C" w:rsidRPr="00415AB3" w14:paraId="5930517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58B527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985</w:t>
            </w:r>
          </w:p>
        </w:tc>
        <w:tc>
          <w:tcPr>
            <w:tcW w:w="705" w:type="pct"/>
            <w:tcBorders>
              <w:top w:val="nil"/>
              <w:left w:val="nil"/>
              <w:bottom w:val="single" w:sz="4" w:space="0" w:color="auto"/>
              <w:right w:val="single" w:sz="4" w:space="0" w:color="auto"/>
            </w:tcBorders>
            <w:shd w:val="clear" w:color="auto" w:fill="auto"/>
            <w:noWrap/>
            <w:vAlign w:val="center"/>
            <w:hideMark/>
          </w:tcPr>
          <w:p w14:paraId="0CE8864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5880505000</w:t>
            </w:r>
          </w:p>
        </w:tc>
        <w:tc>
          <w:tcPr>
            <w:tcW w:w="547" w:type="pct"/>
            <w:tcBorders>
              <w:top w:val="nil"/>
              <w:left w:val="nil"/>
              <w:bottom w:val="single" w:sz="4" w:space="0" w:color="auto"/>
              <w:right w:val="single" w:sz="4" w:space="0" w:color="auto"/>
            </w:tcBorders>
            <w:shd w:val="clear" w:color="auto" w:fill="auto"/>
            <w:noWrap/>
            <w:vAlign w:val="center"/>
            <w:hideMark/>
          </w:tcPr>
          <w:p w14:paraId="4F74888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41432851</w:t>
            </w:r>
          </w:p>
        </w:tc>
        <w:tc>
          <w:tcPr>
            <w:tcW w:w="3360" w:type="pct"/>
            <w:tcBorders>
              <w:top w:val="nil"/>
              <w:left w:val="nil"/>
              <w:bottom w:val="single" w:sz="4" w:space="0" w:color="auto"/>
              <w:right w:val="single" w:sz="4" w:space="0" w:color="auto"/>
            </w:tcBorders>
            <w:shd w:val="clear" w:color="auto" w:fill="auto"/>
            <w:vAlign w:val="center"/>
            <w:hideMark/>
          </w:tcPr>
          <w:p w14:paraId="44A7172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MORAVČE</w:t>
            </w:r>
          </w:p>
        </w:tc>
      </w:tr>
      <w:tr w:rsidR="00E3750C" w:rsidRPr="00415AB3" w14:paraId="0EDC585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DB3213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986</w:t>
            </w:r>
          </w:p>
        </w:tc>
        <w:tc>
          <w:tcPr>
            <w:tcW w:w="705" w:type="pct"/>
            <w:tcBorders>
              <w:top w:val="nil"/>
              <w:left w:val="nil"/>
              <w:bottom w:val="single" w:sz="4" w:space="0" w:color="auto"/>
              <w:right w:val="single" w:sz="4" w:space="0" w:color="auto"/>
            </w:tcBorders>
            <w:shd w:val="clear" w:color="auto" w:fill="auto"/>
            <w:noWrap/>
            <w:vAlign w:val="center"/>
            <w:hideMark/>
          </w:tcPr>
          <w:p w14:paraId="4C0D4D8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5883164000</w:t>
            </w:r>
          </w:p>
        </w:tc>
        <w:tc>
          <w:tcPr>
            <w:tcW w:w="547" w:type="pct"/>
            <w:tcBorders>
              <w:top w:val="nil"/>
              <w:left w:val="nil"/>
              <w:bottom w:val="single" w:sz="4" w:space="0" w:color="auto"/>
              <w:right w:val="single" w:sz="4" w:space="0" w:color="auto"/>
            </w:tcBorders>
            <w:shd w:val="clear" w:color="auto" w:fill="auto"/>
            <w:noWrap/>
            <w:vAlign w:val="center"/>
            <w:hideMark/>
          </w:tcPr>
          <w:p w14:paraId="356365F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62760963</w:t>
            </w:r>
          </w:p>
        </w:tc>
        <w:tc>
          <w:tcPr>
            <w:tcW w:w="3360" w:type="pct"/>
            <w:tcBorders>
              <w:top w:val="nil"/>
              <w:left w:val="nil"/>
              <w:bottom w:val="single" w:sz="4" w:space="0" w:color="auto"/>
              <w:right w:val="single" w:sz="4" w:space="0" w:color="auto"/>
            </w:tcBorders>
            <w:shd w:val="clear" w:color="auto" w:fill="auto"/>
            <w:vAlign w:val="center"/>
            <w:hideMark/>
          </w:tcPr>
          <w:p w14:paraId="414BAA9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MORAVSKE TOPLICE</w:t>
            </w:r>
          </w:p>
        </w:tc>
      </w:tr>
      <w:tr w:rsidR="00E3750C" w:rsidRPr="00415AB3" w14:paraId="2A354E4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635FA9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987</w:t>
            </w:r>
          </w:p>
        </w:tc>
        <w:tc>
          <w:tcPr>
            <w:tcW w:w="705" w:type="pct"/>
            <w:tcBorders>
              <w:top w:val="nil"/>
              <w:left w:val="nil"/>
              <w:bottom w:val="single" w:sz="4" w:space="0" w:color="auto"/>
              <w:right w:val="single" w:sz="4" w:space="0" w:color="auto"/>
            </w:tcBorders>
            <w:shd w:val="clear" w:color="auto" w:fill="auto"/>
            <w:noWrap/>
            <w:vAlign w:val="center"/>
            <w:hideMark/>
          </w:tcPr>
          <w:p w14:paraId="4FDC404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5883849000</w:t>
            </w:r>
          </w:p>
        </w:tc>
        <w:tc>
          <w:tcPr>
            <w:tcW w:w="547" w:type="pct"/>
            <w:tcBorders>
              <w:top w:val="nil"/>
              <w:left w:val="nil"/>
              <w:bottom w:val="single" w:sz="4" w:space="0" w:color="auto"/>
              <w:right w:val="single" w:sz="4" w:space="0" w:color="auto"/>
            </w:tcBorders>
            <w:shd w:val="clear" w:color="auto" w:fill="auto"/>
            <w:noWrap/>
            <w:vAlign w:val="center"/>
            <w:hideMark/>
          </w:tcPr>
          <w:p w14:paraId="4F9B15E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70998396</w:t>
            </w:r>
          </w:p>
        </w:tc>
        <w:tc>
          <w:tcPr>
            <w:tcW w:w="3360" w:type="pct"/>
            <w:tcBorders>
              <w:top w:val="nil"/>
              <w:left w:val="nil"/>
              <w:bottom w:val="single" w:sz="4" w:space="0" w:color="auto"/>
              <w:right w:val="single" w:sz="4" w:space="0" w:color="auto"/>
            </w:tcBorders>
            <w:shd w:val="clear" w:color="auto" w:fill="auto"/>
            <w:vAlign w:val="center"/>
            <w:hideMark/>
          </w:tcPr>
          <w:p w14:paraId="0BA3E92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MOZIRJE</w:t>
            </w:r>
          </w:p>
        </w:tc>
      </w:tr>
      <w:tr w:rsidR="00E3750C" w:rsidRPr="00415AB3" w14:paraId="4B48711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A088E9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988</w:t>
            </w:r>
          </w:p>
        </w:tc>
        <w:tc>
          <w:tcPr>
            <w:tcW w:w="705" w:type="pct"/>
            <w:tcBorders>
              <w:top w:val="nil"/>
              <w:left w:val="nil"/>
              <w:bottom w:val="single" w:sz="4" w:space="0" w:color="auto"/>
              <w:right w:val="single" w:sz="4" w:space="0" w:color="auto"/>
            </w:tcBorders>
            <w:shd w:val="clear" w:color="auto" w:fill="auto"/>
            <w:noWrap/>
            <w:vAlign w:val="center"/>
            <w:hideMark/>
          </w:tcPr>
          <w:p w14:paraId="155456A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5874688000</w:t>
            </w:r>
          </w:p>
        </w:tc>
        <w:tc>
          <w:tcPr>
            <w:tcW w:w="547" w:type="pct"/>
            <w:tcBorders>
              <w:top w:val="nil"/>
              <w:left w:val="nil"/>
              <w:bottom w:val="single" w:sz="4" w:space="0" w:color="auto"/>
              <w:right w:val="single" w:sz="4" w:space="0" w:color="auto"/>
            </w:tcBorders>
            <w:shd w:val="clear" w:color="auto" w:fill="auto"/>
            <w:noWrap/>
            <w:vAlign w:val="center"/>
            <w:hideMark/>
          </w:tcPr>
          <w:p w14:paraId="5F8C5BC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30835437</w:t>
            </w:r>
          </w:p>
        </w:tc>
        <w:tc>
          <w:tcPr>
            <w:tcW w:w="3360" w:type="pct"/>
            <w:tcBorders>
              <w:top w:val="nil"/>
              <w:left w:val="nil"/>
              <w:bottom w:val="single" w:sz="4" w:space="0" w:color="auto"/>
              <w:right w:val="single" w:sz="4" w:space="0" w:color="auto"/>
            </w:tcBorders>
            <w:shd w:val="clear" w:color="auto" w:fill="auto"/>
            <w:vAlign w:val="center"/>
            <w:hideMark/>
          </w:tcPr>
          <w:p w14:paraId="26A9630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NAKLO</w:t>
            </w:r>
          </w:p>
        </w:tc>
      </w:tr>
      <w:tr w:rsidR="00E3750C" w:rsidRPr="00415AB3" w14:paraId="43C938E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528252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989</w:t>
            </w:r>
          </w:p>
        </w:tc>
        <w:tc>
          <w:tcPr>
            <w:tcW w:w="705" w:type="pct"/>
            <w:tcBorders>
              <w:top w:val="nil"/>
              <w:left w:val="nil"/>
              <w:bottom w:val="single" w:sz="4" w:space="0" w:color="auto"/>
              <w:right w:val="single" w:sz="4" w:space="0" w:color="auto"/>
            </w:tcBorders>
            <w:shd w:val="clear" w:color="auto" w:fill="auto"/>
            <w:noWrap/>
            <w:vAlign w:val="center"/>
            <w:hideMark/>
          </w:tcPr>
          <w:p w14:paraId="602604C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5883822000</w:t>
            </w:r>
          </w:p>
        </w:tc>
        <w:tc>
          <w:tcPr>
            <w:tcW w:w="547" w:type="pct"/>
            <w:tcBorders>
              <w:top w:val="nil"/>
              <w:left w:val="nil"/>
              <w:bottom w:val="single" w:sz="4" w:space="0" w:color="auto"/>
              <w:right w:val="single" w:sz="4" w:space="0" w:color="auto"/>
            </w:tcBorders>
            <w:shd w:val="clear" w:color="auto" w:fill="auto"/>
            <w:noWrap/>
            <w:vAlign w:val="center"/>
            <w:hideMark/>
          </w:tcPr>
          <w:p w14:paraId="2D93698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43645151</w:t>
            </w:r>
          </w:p>
        </w:tc>
        <w:tc>
          <w:tcPr>
            <w:tcW w:w="3360" w:type="pct"/>
            <w:tcBorders>
              <w:top w:val="nil"/>
              <w:left w:val="nil"/>
              <w:bottom w:val="single" w:sz="4" w:space="0" w:color="auto"/>
              <w:right w:val="single" w:sz="4" w:space="0" w:color="auto"/>
            </w:tcBorders>
            <w:shd w:val="clear" w:color="auto" w:fill="auto"/>
            <w:vAlign w:val="center"/>
            <w:hideMark/>
          </w:tcPr>
          <w:p w14:paraId="0B43D18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NAZARJE</w:t>
            </w:r>
          </w:p>
        </w:tc>
      </w:tr>
      <w:tr w:rsidR="00E3750C" w:rsidRPr="00415AB3" w14:paraId="2304B82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999A7A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990</w:t>
            </w:r>
          </w:p>
        </w:tc>
        <w:tc>
          <w:tcPr>
            <w:tcW w:w="705" w:type="pct"/>
            <w:tcBorders>
              <w:top w:val="nil"/>
              <w:left w:val="nil"/>
              <w:bottom w:val="single" w:sz="4" w:space="0" w:color="auto"/>
              <w:right w:val="single" w:sz="4" w:space="0" w:color="auto"/>
            </w:tcBorders>
            <w:shd w:val="clear" w:color="auto" w:fill="auto"/>
            <w:noWrap/>
            <w:vAlign w:val="center"/>
            <w:hideMark/>
          </w:tcPr>
          <w:p w14:paraId="36C0829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5874718000</w:t>
            </w:r>
          </w:p>
        </w:tc>
        <w:tc>
          <w:tcPr>
            <w:tcW w:w="547" w:type="pct"/>
            <w:tcBorders>
              <w:top w:val="nil"/>
              <w:left w:val="nil"/>
              <w:bottom w:val="single" w:sz="4" w:space="0" w:color="auto"/>
              <w:right w:val="single" w:sz="4" w:space="0" w:color="auto"/>
            </w:tcBorders>
            <w:shd w:val="clear" w:color="auto" w:fill="auto"/>
            <w:noWrap/>
            <w:vAlign w:val="center"/>
            <w:hideMark/>
          </w:tcPr>
          <w:p w14:paraId="125D953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20765762</w:t>
            </w:r>
          </w:p>
        </w:tc>
        <w:tc>
          <w:tcPr>
            <w:tcW w:w="3360" w:type="pct"/>
            <w:tcBorders>
              <w:top w:val="nil"/>
              <w:left w:val="nil"/>
              <w:bottom w:val="single" w:sz="4" w:space="0" w:color="auto"/>
              <w:right w:val="single" w:sz="4" w:space="0" w:color="auto"/>
            </w:tcBorders>
            <w:shd w:val="clear" w:color="auto" w:fill="auto"/>
            <w:vAlign w:val="center"/>
            <w:hideMark/>
          </w:tcPr>
          <w:p w14:paraId="2B31729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ODRANCI</w:t>
            </w:r>
          </w:p>
        </w:tc>
      </w:tr>
      <w:tr w:rsidR="00E3750C" w:rsidRPr="00415AB3" w14:paraId="6685278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719B91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991</w:t>
            </w:r>
          </w:p>
        </w:tc>
        <w:tc>
          <w:tcPr>
            <w:tcW w:w="705" w:type="pct"/>
            <w:tcBorders>
              <w:top w:val="nil"/>
              <w:left w:val="nil"/>
              <w:bottom w:val="single" w:sz="4" w:space="0" w:color="auto"/>
              <w:right w:val="single" w:sz="4" w:space="0" w:color="auto"/>
            </w:tcBorders>
            <w:shd w:val="clear" w:color="auto" w:fill="auto"/>
            <w:noWrap/>
            <w:vAlign w:val="center"/>
            <w:hideMark/>
          </w:tcPr>
          <w:p w14:paraId="00DD6F3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1357506000</w:t>
            </w:r>
          </w:p>
        </w:tc>
        <w:tc>
          <w:tcPr>
            <w:tcW w:w="547" w:type="pct"/>
            <w:tcBorders>
              <w:top w:val="nil"/>
              <w:left w:val="nil"/>
              <w:bottom w:val="single" w:sz="4" w:space="0" w:color="auto"/>
              <w:right w:val="single" w:sz="4" w:space="0" w:color="auto"/>
            </w:tcBorders>
            <w:shd w:val="clear" w:color="auto" w:fill="auto"/>
            <w:noWrap/>
            <w:vAlign w:val="center"/>
            <w:hideMark/>
          </w:tcPr>
          <w:p w14:paraId="49FF25C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70271046</w:t>
            </w:r>
          </w:p>
        </w:tc>
        <w:tc>
          <w:tcPr>
            <w:tcW w:w="3360" w:type="pct"/>
            <w:tcBorders>
              <w:top w:val="nil"/>
              <w:left w:val="nil"/>
              <w:bottom w:val="single" w:sz="4" w:space="0" w:color="auto"/>
              <w:right w:val="single" w:sz="4" w:space="0" w:color="auto"/>
            </w:tcBorders>
            <w:shd w:val="clear" w:color="auto" w:fill="auto"/>
            <w:vAlign w:val="center"/>
            <w:hideMark/>
          </w:tcPr>
          <w:p w14:paraId="5C593CF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OPLOTNICA</w:t>
            </w:r>
          </w:p>
        </w:tc>
      </w:tr>
      <w:tr w:rsidR="00E3750C" w:rsidRPr="00415AB3" w14:paraId="6D6D7EE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D4A1E5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992</w:t>
            </w:r>
          </w:p>
        </w:tc>
        <w:tc>
          <w:tcPr>
            <w:tcW w:w="705" w:type="pct"/>
            <w:tcBorders>
              <w:top w:val="nil"/>
              <w:left w:val="nil"/>
              <w:bottom w:val="single" w:sz="4" w:space="0" w:color="auto"/>
              <w:right w:val="single" w:sz="4" w:space="0" w:color="auto"/>
            </w:tcBorders>
            <w:shd w:val="clear" w:color="auto" w:fill="auto"/>
            <w:noWrap/>
            <w:vAlign w:val="center"/>
            <w:hideMark/>
          </w:tcPr>
          <w:p w14:paraId="3F79CCB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5883687000</w:t>
            </w:r>
          </w:p>
        </w:tc>
        <w:tc>
          <w:tcPr>
            <w:tcW w:w="547" w:type="pct"/>
            <w:tcBorders>
              <w:top w:val="nil"/>
              <w:left w:val="nil"/>
              <w:bottom w:val="single" w:sz="4" w:space="0" w:color="auto"/>
              <w:right w:val="single" w:sz="4" w:space="0" w:color="auto"/>
            </w:tcBorders>
            <w:shd w:val="clear" w:color="auto" w:fill="auto"/>
            <w:noWrap/>
            <w:vAlign w:val="center"/>
            <w:hideMark/>
          </w:tcPr>
          <w:p w14:paraId="3EAF404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29924464</w:t>
            </w:r>
          </w:p>
        </w:tc>
        <w:tc>
          <w:tcPr>
            <w:tcW w:w="3360" w:type="pct"/>
            <w:tcBorders>
              <w:top w:val="nil"/>
              <w:left w:val="nil"/>
              <w:bottom w:val="single" w:sz="4" w:space="0" w:color="auto"/>
              <w:right w:val="single" w:sz="4" w:space="0" w:color="auto"/>
            </w:tcBorders>
            <w:shd w:val="clear" w:color="auto" w:fill="auto"/>
            <w:vAlign w:val="center"/>
            <w:hideMark/>
          </w:tcPr>
          <w:p w14:paraId="6442B02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ORMOŽ</w:t>
            </w:r>
          </w:p>
        </w:tc>
      </w:tr>
      <w:tr w:rsidR="00E3750C" w:rsidRPr="00415AB3" w14:paraId="5176818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CA9FB2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993</w:t>
            </w:r>
          </w:p>
        </w:tc>
        <w:tc>
          <w:tcPr>
            <w:tcW w:w="705" w:type="pct"/>
            <w:tcBorders>
              <w:top w:val="nil"/>
              <w:left w:val="nil"/>
              <w:bottom w:val="single" w:sz="4" w:space="0" w:color="auto"/>
              <w:right w:val="single" w:sz="4" w:space="0" w:color="auto"/>
            </w:tcBorders>
            <w:shd w:val="clear" w:color="auto" w:fill="auto"/>
            <w:noWrap/>
            <w:vAlign w:val="center"/>
            <w:hideMark/>
          </w:tcPr>
          <w:p w14:paraId="4014A04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5874220000</w:t>
            </w:r>
          </w:p>
        </w:tc>
        <w:tc>
          <w:tcPr>
            <w:tcW w:w="547" w:type="pct"/>
            <w:tcBorders>
              <w:top w:val="nil"/>
              <w:left w:val="nil"/>
              <w:bottom w:val="single" w:sz="4" w:space="0" w:color="auto"/>
              <w:right w:val="single" w:sz="4" w:space="0" w:color="auto"/>
            </w:tcBorders>
            <w:shd w:val="clear" w:color="auto" w:fill="auto"/>
            <w:noWrap/>
            <w:vAlign w:val="center"/>
            <w:hideMark/>
          </w:tcPr>
          <w:p w14:paraId="72554B2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27549887</w:t>
            </w:r>
          </w:p>
        </w:tc>
        <w:tc>
          <w:tcPr>
            <w:tcW w:w="3360" w:type="pct"/>
            <w:tcBorders>
              <w:top w:val="nil"/>
              <w:left w:val="nil"/>
              <w:bottom w:val="single" w:sz="4" w:space="0" w:color="auto"/>
              <w:right w:val="single" w:sz="4" w:space="0" w:color="auto"/>
            </w:tcBorders>
            <w:shd w:val="clear" w:color="auto" w:fill="auto"/>
            <w:vAlign w:val="center"/>
            <w:hideMark/>
          </w:tcPr>
          <w:p w14:paraId="4D304FE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OSILNICA</w:t>
            </w:r>
          </w:p>
        </w:tc>
      </w:tr>
      <w:tr w:rsidR="00E3750C" w:rsidRPr="00415AB3" w14:paraId="5F96A85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A53D06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994</w:t>
            </w:r>
          </w:p>
        </w:tc>
        <w:tc>
          <w:tcPr>
            <w:tcW w:w="705" w:type="pct"/>
            <w:tcBorders>
              <w:top w:val="nil"/>
              <w:left w:val="nil"/>
              <w:bottom w:val="single" w:sz="4" w:space="0" w:color="auto"/>
              <w:right w:val="single" w:sz="4" w:space="0" w:color="auto"/>
            </w:tcBorders>
            <w:shd w:val="clear" w:color="auto" w:fill="auto"/>
            <w:noWrap/>
            <w:vAlign w:val="center"/>
            <w:hideMark/>
          </w:tcPr>
          <w:p w14:paraId="0C6E569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5884098000</w:t>
            </w:r>
          </w:p>
        </w:tc>
        <w:tc>
          <w:tcPr>
            <w:tcW w:w="547" w:type="pct"/>
            <w:tcBorders>
              <w:top w:val="nil"/>
              <w:left w:val="nil"/>
              <w:bottom w:val="single" w:sz="4" w:space="0" w:color="auto"/>
              <w:right w:val="single" w:sz="4" w:space="0" w:color="auto"/>
            </w:tcBorders>
            <w:shd w:val="clear" w:color="auto" w:fill="auto"/>
            <w:noWrap/>
            <w:vAlign w:val="center"/>
            <w:hideMark/>
          </w:tcPr>
          <w:p w14:paraId="7FFC6C3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51503492</w:t>
            </w:r>
          </w:p>
        </w:tc>
        <w:tc>
          <w:tcPr>
            <w:tcW w:w="3360" w:type="pct"/>
            <w:tcBorders>
              <w:top w:val="nil"/>
              <w:left w:val="nil"/>
              <w:bottom w:val="single" w:sz="4" w:space="0" w:color="auto"/>
              <w:right w:val="single" w:sz="4" w:space="0" w:color="auto"/>
            </w:tcBorders>
            <w:shd w:val="clear" w:color="auto" w:fill="auto"/>
            <w:vAlign w:val="center"/>
            <w:hideMark/>
          </w:tcPr>
          <w:p w14:paraId="11CF7A6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PESNICA</w:t>
            </w:r>
          </w:p>
        </w:tc>
      </w:tr>
      <w:tr w:rsidR="00E3750C" w:rsidRPr="00415AB3" w14:paraId="1C8BDA8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1C4E7E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995</w:t>
            </w:r>
          </w:p>
        </w:tc>
        <w:tc>
          <w:tcPr>
            <w:tcW w:w="705" w:type="pct"/>
            <w:tcBorders>
              <w:top w:val="nil"/>
              <w:left w:val="nil"/>
              <w:bottom w:val="single" w:sz="4" w:space="0" w:color="auto"/>
              <w:right w:val="single" w:sz="4" w:space="0" w:color="auto"/>
            </w:tcBorders>
            <w:shd w:val="clear" w:color="auto" w:fill="auto"/>
            <w:noWrap/>
            <w:vAlign w:val="center"/>
            <w:hideMark/>
          </w:tcPr>
          <w:p w14:paraId="6A022C2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5883873000</w:t>
            </w:r>
          </w:p>
        </w:tc>
        <w:tc>
          <w:tcPr>
            <w:tcW w:w="547" w:type="pct"/>
            <w:tcBorders>
              <w:top w:val="nil"/>
              <w:left w:val="nil"/>
              <w:bottom w:val="single" w:sz="4" w:space="0" w:color="auto"/>
              <w:right w:val="single" w:sz="4" w:space="0" w:color="auto"/>
            </w:tcBorders>
            <w:shd w:val="clear" w:color="auto" w:fill="auto"/>
            <w:noWrap/>
            <w:vAlign w:val="center"/>
            <w:hideMark/>
          </w:tcPr>
          <w:p w14:paraId="7065228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29263930</w:t>
            </w:r>
          </w:p>
        </w:tc>
        <w:tc>
          <w:tcPr>
            <w:tcW w:w="3360" w:type="pct"/>
            <w:tcBorders>
              <w:top w:val="nil"/>
              <w:left w:val="nil"/>
              <w:bottom w:val="single" w:sz="4" w:space="0" w:color="auto"/>
              <w:right w:val="single" w:sz="4" w:space="0" w:color="auto"/>
            </w:tcBorders>
            <w:shd w:val="clear" w:color="auto" w:fill="auto"/>
            <w:vAlign w:val="center"/>
            <w:hideMark/>
          </w:tcPr>
          <w:p w14:paraId="72EA2B4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PIRAN</w:t>
            </w:r>
          </w:p>
        </w:tc>
      </w:tr>
      <w:tr w:rsidR="00E3750C" w:rsidRPr="00415AB3" w14:paraId="36238B4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C4A3CE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996</w:t>
            </w:r>
          </w:p>
        </w:tc>
        <w:tc>
          <w:tcPr>
            <w:tcW w:w="705" w:type="pct"/>
            <w:tcBorders>
              <w:top w:val="nil"/>
              <w:left w:val="nil"/>
              <w:bottom w:val="single" w:sz="4" w:space="0" w:color="auto"/>
              <w:right w:val="single" w:sz="4" w:space="0" w:color="auto"/>
            </w:tcBorders>
            <w:shd w:val="clear" w:color="auto" w:fill="auto"/>
            <w:noWrap/>
            <w:vAlign w:val="center"/>
            <w:hideMark/>
          </w:tcPr>
          <w:p w14:paraId="070EA8E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5883563000</w:t>
            </w:r>
          </w:p>
        </w:tc>
        <w:tc>
          <w:tcPr>
            <w:tcW w:w="547" w:type="pct"/>
            <w:tcBorders>
              <w:top w:val="nil"/>
              <w:left w:val="nil"/>
              <w:bottom w:val="single" w:sz="4" w:space="0" w:color="auto"/>
              <w:right w:val="single" w:sz="4" w:space="0" w:color="auto"/>
            </w:tcBorders>
            <w:shd w:val="clear" w:color="auto" w:fill="auto"/>
            <w:noWrap/>
            <w:vAlign w:val="center"/>
            <w:hideMark/>
          </w:tcPr>
          <w:p w14:paraId="5871A67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57255440</w:t>
            </w:r>
          </w:p>
        </w:tc>
        <w:tc>
          <w:tcPr>
            <w:tcW w:w="3360" w:type="pct"/>
            <w:tcBorders>
              <w:top w:val="nil"/>
              <w:left w:val="nil"/>
              <w:bottom w:val="single" w:sz="4" w:space="0" w:color="auto"/>
              <w:right w:val="single" w:sz="4" w:space="0" w:color="auto"/>
            </w:tcBorders>
            <w:shd w:val="clear" w:color="auto" w:fill="auto"/>
            <w:vAlign w:val="center"/>
            <w:hideMark/>
          </w:tcPr>
          <w:p w14:paraId="1B0BFE3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PIVKA</w:t>
            </w:r>
          </w:p>
        </w:tc>
      </w:tr>
      <w:tr w:rsidR="00E3750C" w:rsidRPr="00415AB3" w14:paraId="162EA15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CA2BE5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997</w:t>
            </w:r>
          </w:p>
        </w:tc>
        <w:tc>
          <w:tcPr>
            <w:tcW w:w="705" w:type="pct"/>
            <w:tcBorders>
              <w:top w:val="nil"/>
              <w:left w:val="nil"/>
              <w:bottom w:val="single" w:sz="4" w:space="0" w:color="auto"/>
              <w:right w:val="single" w:sz="4" w:space="0" w:color="auto"/>
            </w:tcBorders>
            <w:shd w:val="clear" w:color="auto" w:fill="auto"/>
            <w:noWrap/>
            <w:vAlign w:val="center"/>
            <w:hideMark/>
          </w:tcPr>
          <w:p w14:paraId="5A6DEFF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5883997000</w:t>
            </w:r>
          </w:p>
        </w:tc>
        <w:tc>
          <w:tcPr>
            <w:tcW w:w="547" w:type="pct"/>
            <w:tcBorders>
              <w:top w:val="nil"/>
              <w:left w:val="nil"/>
              <w:bottom w:val="single" w:sz="4" w:space="0" w:color="auto"/>
              <w:right w:val="single" w:sz="4" w:space="0" w:color="auto"/>
            </w:tcBorders>
            <w:shd w:val="clear" w:color="auto" w:fill="auto"/>
            <w:noWrap/>
            <w:vAlign w:val="center"/>
            <w:hideMark/>
          </w:tcPr>
          <w:p w14:paraId="469CC6E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83117989</w:t>
            </w:r>
          </w:p>
        </w:tc>
        <w:tc>
          <w:tcPr>
            <w:tcW w:w="3360" w:type="pct"/>
            <w:tcBorders>
              <w:top w:val="nil"/>
              <w:left w:val="nil"/>
              <w:bottom w:val="single" w:sz="4" w:space="0" w:color="auto"/>
              <w:right w:val="single" w:sz="4" w:space="0" w:color="auto"/>
            </w:tcBorders>
            <w:shd w:val="clear" w:color="auto" w:fill="auto"/>
            <w:vAlign w:val="center"/>
            <w:hideMark/>
          </w:tcPr>
          <w:p w14:paraId="0788624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PODČETRTEK</w:t>
            </w:r>
          </w:p>
        </w:tc>
      </w:tr>
      <w:tr w:rsidR="00E3750C" w:rsidRPr="00415AB3" w14:paraId="1FAD20B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5EF9FB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998</w:t>
            </w:r>
          </w:p>
        </w:tc>
        <w:tc>
          <w:tcPr>
            <w:tcW w:w="705" w:type="pct"/>
            <w:tcBorders>
              <w:top w:val="nil"/>
              <w:left w:val="nil"/>
              <w:bottom w:val="single" w:sz="4" w:space="0" w:color="auto"/>
              <w:right w:val="single" w:sz="4" w:space="0" w:color="auto"/>
            </w:tcBorders>
            <w:shd w:val="clear" w:color="auto" w:fill="auto"/>
            <w:noWrap/>
            <w:vAlign w:val="center"/>
            <w:hideMark/>
          </w:tcPr>
          <w:p w14:paraId="24CF93B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1358278000</w:t>
            </w:r>
          </w:p>
        </w:tc>
        <w:tc>
          <w:tcPr>
            <w:tcW w:w="547" w:type="pct"/>
            <w:tcBorders>
              <w:top w:val="nil"/>
              <w:left w:val="nil"/>
              <w:bottom w:val="single" w:sz="4" w:space="0" w:color="auto"/>
              <w:right w:val="single" w:sz="4" w:space="0" w:color="auto"/>
            </w:tcBorders>
            <w:shd w:val="clear" w:color="auto" w:fill="auto"/>
            <w:noWrap/>
            <w:vAlign w:val="center"/>
            <w:hideMark/>
          </w:tcPr>
          <w:p w14:paraId="4A62919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30569320</w:t>
            </w:r>
          </w:p>
        </w:tc>
        <w:tc>
          <w:tcPr>
            <w:tcW w:w="3360" w:type="pct"/>
            <w:tcBorders>
              <w:top w:val="nil"/>
              <w:left w:val="nil"/>
              <w:bottom w:val="single" w:sz="4" w:space="0" w:color="auto"/>
              <w:right w:val="single" w:sz="4" w:space="0" w:color="auto"/>
            </w:tcBorders>
            <w:shd w:val="clear" w:color="auto" w:fill="auto"/>
            <w:vAlign w:val="center"/>
            <w:hideMark/>
          </w:tcPr>
          <w:p w14:paraId="4278645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PODLEHNIK</w:t>
            </w:r>
          </w:p>
        </w:tc>
      </w:tr>
      <w:tr w:rsidR="00E3750C" w:rsidRPr="00415AB3" w14:paraId="35DCC59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FCCC32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999</w:t>
            </w:r>
          </w:p>
        </w:tc>
        <w:tc>
          <w:tcPr>
            <w:tcW w:w="705" w:type="pct"/>
            <w:tcBorders>
              <w:top w:val="nil"/>
              <w:left w:val="nil"/>
              <w:bottom w:val="single" w:sz="4" w:space="0" w:color="auto"/>
              <w:right w:val="single" w:sz="4" w:space="0" w:color="auto"/>
            </w:tcBorders>
            <w:shd w:val="clear" w:color="auto" w:fill="auto"/>
            <w:noWrap/>
            <w:vAlign w:val="center"/>
            <w:hideMark/>
          </w:tcPr>
          <w:p w14:paraId="7D68861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5881668000</w:t>
            </w:r>
          </w:p>
        </w:tc>
        <w:tc>
          <w:tcPr>
            <w:tcW w:w="547" w:type="pct"/>
            <w:tcBorders>
              <w:top w:val="nil"/>
              <w:left w:val="nil"/>
              <w:bottom w:val="single" w:sz="4" w:space="0" w:color="auto"/>
              <w:right w:val="single" w:sz="4" w:space="0" w:color="auto"/>
            </w:tcBorders>
            <w:shd w:val="clear" w:color="auto" w:fill="auto"/>
            <w:noWrap/>
            <w:vAlign w:val="center"/>
            <w:hideMark/>
          </w:tcPr>
          <w:p w14:paraId="2DEDEE8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42106257</w:t>
            </w:r>
          </w:p>
        </w:tc>
        <w:tc>
          <w:tcPr>
            <w:tcW w:w="3360" w:type="pct"/>
            <w:tcBorders>
              <w:top w:val="nil"/>
              <w:left w:val="nil"/>
              <w:bottom w:val="single" w:sz="4" w:space="0" w:color="auto"/>
              <w:right w:val="single" w:sz="4" w:space="0" w:color="auto"/>
            </w:tcBorders>
            <w:shd w:val="clear" w:color="auto" w:fill="auto"/>
            <w:vAlign w:val="center"/>
            <w:hideMark/>
          </w:tcPr>
          <w:p w14:paraId="1BE4DC1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PODVELKA</w:t>
            </w:r>
          </w:p>
        </w:tc>
      </w:tr>
      <w:tr w:rsidR="00E3750C" w:rsidRPr="00415AB3" w14:paraId="0146BF9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194D3C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1000</w:t>
            </w:r>
          </w:p>
        </w:tc>
        <w:tc>
          <w:tcPr>
            <w:tcW w:w="705" w:type="pct"/>
            <w:tcBorders>
              <w:top w:val="nil"/>
              <w:left w:val="nil"/>
              <w:bottom w:val="single" w:sz="4" w:space="0" w:color="auto"/>
              <w:right w:val="single" w:sz="4" w:space="0" w:color="auto"/>
            </w:tcBorders>
            <w:shd w:val="clear" w:color="auto" w:fill="auto"/>
            <w:noWrap/>
            <w:vAlign w:val="center"/>
            <w:hideMark/>
          </w:tcPr>
          <w:p w14:paraId="758E1DC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2242745000</w:t>
            </w:r>
          </w:p>
        </w:tc>
        <w:tc>
          <w:tcPr>
            <w:tcW w:w="547" w:type="pct"/>
            <w:tcBorders>
              <w:top w:val="nil"/>
              <w:left w:val="nil"/>
              <w:bottom w:val="single" w:sz="4" w:space="0" w:color="auto"/>
              <w:right w:val="single" w:sz="4" w:space="0" w:color="auto"/>
            </w:tcBorders>
            <w:shd w:val="clear" w:color="auto" w:fill="auto"/>
            <w:noWrap/>
            <w:vAlign w:val="center"/>
            <w:hideMark/>
          </w:tcPr>
          <w:p w14:paraId="681A933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30543673</w:t>
            </w:r>
          </w:p>
        </w:tc>
        <w:tc>
          <w:tcPr>
            <w:tcW w:w="3360" w:type="pct"/>
            <w:tcBorders>
              <w:top w:val="nil"/>
              <w:left w:val="nil"/>
              <w:bottom w:val="single" w:sz="4" w:space="0" w:color="auto"/>
              <w:right w:val="single" w:sz="4" w:space="0" w:color="auto"/>
            </w:tcBorders>
            <w:shd w:val="clear" w:color="auto" w:fill="auto"/>
            <w:vAlign w:val="center"/>
            <w:hideMark/>
          </w:tcPr>
          <w:p w14:paraId="5E8DCEE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POLJČANE</w:t>
            </w:r>
          </w:p>
        </w:tc>
      </w:tr>
      <w:tr w:rsidR="00E3750C" w:rsidRPr="00415AB3" w14:paraId="26C81E4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231F27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1001</w:t>
            </w:r>
          </w:p>
        </w:tc>
        <w:tc>
          <w:tcPr>
            <w:tcW w:w="705" w:type="pct"/>
            <w:tcBorders>
              <w:top w:val="nil"/>
              <w:left w:val="nil"/>
              <w:bottom w:val="single" w:sz="4" w:space="0" w:color="auto"/>
              <w:right w:val="single" w:sz="4" w:space="0" w:color="auto"/>
            </w:tcBorders>
            <w:shd w:val="clear" w:color="auto" w:fill="auto"/>
            <w:noWrap/>
            <w:vAlign w:val="center"/>
            <w:hideMark/>
          </w:tcPr>
          <w:p w14:paraId="2130299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1357603000</w:t>
            </w:r>
          </w:p>
        </w:tc>
        <w:tc>
          <w:tcPr>
            <w:tcW w:w="547" w:type="pct"/>
            <w:tcBorders>
              <w:top w:val="nil"/>
              <w:left w:val="nil"/>
              <w:bottom w:val="single" w:sz="4" w:space="0" w:color="auto"/>
              <w:right w:val="single" w:sz="4" w:space="0" w:color="auto"/>
            </w:tcBorders>
            <w:shd w:val="clear" w:color="auto" w:fill="auto"/>
            <w:noWrap/>
            <w:vAlign w:val="center"/>
            <w:hideMark/>
          </w:tcPr>
          <w:p w14:paraId="4FB90B3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27768228</w:t>
            </w:r>
          </w:p>
        </w:tc>
        <w:tc>
          <w:tcPr>
            <w:tcW w:w="3360" w:type="pct"/>
            <w:tcBorders>
              <w:top w:val="nil"/>
              <w:left w:val="nil"/>
              <w:bottom w:val="single" w:sz="4" w:space="0" w:color="auto"/>
              <w:right w:val="single" w:sz="4" w:space="0" w:color="auto"/>
            </w:tcBorders>
            <w:shd w:val="clear" w:color="auto" w:fill="auto"/>
            <w:vAlign w:val="center"/>
            <w:hideMark/>
          </w:tcPr>
          <w:p w14:paraId="08F1293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POLZELA</w:t>
            </w:r>
          </w:p>
        </w:tc>
      </w:tr>
      <w:tr w:rsidR="00E3750C" w:rsidRPr="00415AB3" w14:paraId="0D18B6E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63E026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1002</w:t>
            </w:r>
          </w:p>
        </w:tc>
        <w:tc>
          <w:tcPr>
            <w:tcW w:w="705" w:type="pct"/>
            <w:tcBorders>
              <w:top w:val="nil"/>
              <w:left w:val="nil"/>
              <w:bottom w:val="single" w:sz="4" w:space="0" w:color="auto"/>
              <w:right w:val="single" w:sz="4" w:space="0" w:color="auto"/>
            </w:tcBorders>
            <w:shd w:val="clear" w:color="auto" w:fill="auto"/>
            <w:noWrap/>
            <w:vAlign w:val="center"/>
            <w:hideMark/>
          </w:tcPr>
          <w:p w14:paraId="73EDF76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5883512000</w:t>
            </w:r>
          </w:p>
        </w:tc>
        <w:tc>
          <w:tcPr>
            <w:tcW w:w="547" w:type="pct"/>
            <w:tcBorders>
              <w:top w:val="nil"/>
              <w:left w:val="nil"/>
              <w:bottom w:val="single" w:sz="4" w:space="0" w:color="auto"/>
              <w:right w:val="single" w:sz="4" w:space="0" w:color="auto"/>
            </w:tcBorders>
            <w:shd w:val="clear" w:color="auto" w:fill="auto"/>
            <w:noWrap/>
            <w:vAlign w:val="center"/>
            <w:hideMark/>
          </w:tcPr>
          <w:p w14:paraId="0B387AF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13053973</w:t>
            </w:r>
          </w:p>
        </w:tc>
        <w:tc>
          <w:tcPr>
            <w:tcW w:w="3360" w:type="pct"/>
            <w:tcBorders>
              <w:top w:val="nil"/>
              <w:left w:val="nil"/>
              <w:bottom w:val="single" w:sz="4" w:space="0" w:color="auto"/>
              <w:right w:val="single" w:sz="4" w:space="0" w:color="auto"/>
            </w:tcBorders>
            <w:shd w:val="clear" w:color="auto" w:fill="auto"/>
            <w:vAlign w:val="center"/>
            <w:hideMark/>
          </w:tcPr>
          <w:p w14:paraId="10D316A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POSTOJNA</w:t>
            </w:r>
          </w:p>
        </w:tc>
      </w:tr>
      <w:tr w:rsidR="00E3750C" w:rsidRPr="00415AB3" w14:paraId="63D529D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82C575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1003</w:t>
            </w:r>
          </w:p>
        </w:tc>
        <w:tc>
          <w:tcPr>
            <w:tcW w:w="705" w:type="pct"/>
            <w:tcBorders>
              <w:top w:val="nil"/>
              <w:left w:val="nil"/>
              <w:bottom w:val="single" w:sz="4" w:space="0" w:color="auto"/>
              <w:right w:val="single" w:sz="4" w:space="0" w:color="auto"/>
            </w:tcBorders>
            <w:shd w:val="clear" w:color="auto" w:fill="auto"/>
            <w:noWrap/>
            <w:vAlign w:val="center"/>
            <w:hideMark/>
          </w:tcPr>
          <w:p w14:paraId="281E6AC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1357654000</w:t>
            </w:r>
          </w:p>
        </w:tc>
        <w:tc>
          <w:tcPr>
            <w:tcW w:w="547" w:type="pct"/>
            <w:tcBorders>
              <w:top w:val="nil"/>
              <w:left w:val="nil"/>
              <w:bottom w:val="single" w:sz="4" w:space="0" w:color="auto"/>
              <w:right w:val="single" w:sz="4" w:space="0" w:color="auto"/>
            </w:tcBorders>
            <w:shd w:val="clear" w:color="auto" w:fill="auto"/>
            <w:noWrap/>
            <w:vAlign w:val="center"/>
            <w:hideMark/>
          </w:tcPr>
          <w:p w14:paraId="31F368E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39527972</w:t>
            </w:r>
          </w:p>
        </w:tc>
        <w:tc>
          <w:tcPr>
            <w:tcW w:w="3360" w:type="pct"/>
            <w:tcBorders>
              <w:top w:val="nil"/>
              <w:left w:val="nil"/>
              <w:bottom w:val="single" w:sz="4" w:space="0" w:color="auto"/>
              <w:right w:val="single" w:sz="4" w:space="0" w:color="auto"/>
            </w:tcBorders>
            <w:shd w:val="clear" w:color="auto" w:fill="auto"/>
            <w:vAlign w:val="center"/>
            <w:hideMark/>
          </w:tcPr>
          <w:p w14:paraId="620B3AA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PREBOLD</w:t>
            </w:r>
          </w:p>
        </w:tc>
      </w:tr>
      <w:tr w:rsidR="00E3750C" w:rsidRPr="00415AB3" w14:paraId="612107E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3B3513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1004</w:t>
            </w:r>
          </w:p>
        </w:tc>
        <w:tc>
          <w:tcPr>
            <w:tcW w:w="705" w:type="pct"/>
            <w:tcBorders>
              <w:top w:val="nil"/>
              <w:left w:val="nil"/>
              <w:bottom w:val="single" w:sz="4" w:space="0" w:color="auto"/>
              <w:right w:val="single" w:sz="4" w:space="0" w:color="auto"/>
            </w:tcBorders>
            <w:shd w:val="clear" w:color="auto" w:fill="auto"/>
            <w:noWrap/>
            <w:vAlign w:val="center"/>
            <w:hideMark/>
          </w:tcPr>
          <w:p w14:paraId="114037C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5874599000</w:t>
            </w:r>
          </w:p>
        </w:tc>
        <w:tc>
          <w:tcPr>
            <w:tcW w:w="547" w:type="pct"/>
            <w:tcBorders>
              <w:top w:val="nil"/>
              <w:left w:val="nil"/>
              <w:bottom w:val="single" w:sz="4" w:space="0" w:color="auto"/>
              <w:right w:val="single" w:sz="4" w:space="0" w:color="auto"/>
            </w:tcBorders>
            <w:shd w:val="clear" w:color="auto" w:fill="auto"/>
            <w:noWrap/>
            <w:vAlign w:val="center"/>
            <w:hideMark/>
          </w:tcPr>
          <w:p w14:paraId="67A7892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77195108</w:t>
            </w:r>
          </w:p>
        </w:tc>
        <w:tc>
          <w:tcPr>
            <w:tcW w:w="3360" w:type="pct"/>
            <w:tcBorders>
              <w:top w:val="nil"/>
              <w:left w:val="nil"/>
              <w:bottom w:val="single" w:sz="4" w:space="0" w:color="auto"/>
              <w:right w:val="single" w:sz="4" w:space="0" w:color="auto"/>
            </w:tcBorders>
            <w:shd w:val="clear" w:color="auto" w:fill="auto"/>
            <w:vAlign w:val="center"/>
            <w:hideMark/>
          </w:tcPr>
          <w:p w14:paraId="2144A2A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PREDDVOR</w:t>
            </w:r>
          </w:p>
        </w:tc>
      </w:tr>
      <w:tr w:rsidR="00E3750C" w:rsidRPr="00415AB3" w14:paraId="3CA2F1A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B39394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1005</w:t>
            </w:r>
          </w:p>
        </w:tc>
        <w:tc>
          <w:tcPr>
            <w:tcW w:w="705" w:type="pct"/>
            <w:tcBorders>
              <w:top w:val="nil"/>
              <w:left w:val="nil"/>
              <w:bottom w:val="single" w:sz="4" w:space="0" w:color="auto"/>
              <w:right w:val="single" w:sz="4" w:space="0" w:color="auto"/>
            </w:tcBorders>
            <w:shd w:val="clear" w:color="auto" w:fill="auto"/>
            <w:noWrap/>
            <w:vAlign w:val="center"/>
            <w:hideMark/>
          </w:tcPr>
          <w:p w14:paraId="6D583FF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1357719000</w:t>
            </w:r>
          </w:p>
        </w:tc>
        <w:tc>
          <w:tcPr>
            <w:tcW w:w="547" w:type="pct"/>
            <w:tcBorders>
              <w:top w:val="nil"/>
              <w:left w:val="nil"/>
              <w:bottom w:val="single" w:sz="4" w:space="0" w:color="auto"/>
              <w:right w:val="single" w:sz="4" w:space="0" w:color="auto"/>
            </w:tcBorders>
            <w:shd w:val="clear" w:color="auto" w:fill="auto"/>
            <w:noWrap/>
            <w:vAlign w:val="center"/>
            <w:hideMark/>
          </w:tcPr>
          <w:p w14:paraId="6D9C119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28520513</w:t>
            </w:r>
          </w:p>
        </w:tc>
        <w:tc>
          <w:tcPr>
            <w:tcW w:w="3360" w:type="pct"/>
            <w:tcBorders>
              <w:top w:val="nil"/>
              <w:left w:val="nil"/>
              <w:bottom w:val="single" w:sz="4" w:space="0" w:color="auto"/>
              <w:right w:val="single" w:sz="4" w:space="0" w:color="auto"/>
            </w:tcBorders>
            <w:shd w:val="clear" w:color="auto" w:fill="auto"/>
            <w:vAlign w:val="center"/>
            <w:hideMark/>
          </w:tcPr>
          <w:p w14:paraId="175BED1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PREVALJE</w:t>
            </w:r>
          </w:p>
        </w:tc>
      </w:tr>
      <w:tr w:rsidR="00E3750C" w:rsidRPr="00415AB3" w14:paraId="60F65A8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21D884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1006</w:t>
            </w:r>
          </w:p>
        </w:tc>
        <w:tc>
          <w:tcPr>
            <w:tcW w:w="705" w:type="pct"/>
            <w:tcBorders>
              <w:top w:val="nil"/>
              <w:left w:val="nil"/>
              <w:bottom w:val="single" w:sz="4" w:space="0" w:color="auto"/>
              <w:right w:val="single" w:sz="4" w:space="0" w:color="auto"/>
            </w:tcBorders>
            <w:shd w:val="clear" w:color="auto" w:fill="auto"/>
            <w:noWrap/>
            <w:vAlign w:val="center"/>
            <w:hideMark/>
          </w:tcPr>
          <w:p w14:paraId="520117B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5883237000</w:t>
            </w:r>
          </w:p>
        </w:tc>
        <w:tc>
          <w:tcPr>
            <w:tcW w:w="547" w:type="pct"/>
            <w:tcBorders>
              <w:top w:val="nil"/>
              <w:left w:val="nil"/>
              <w:bottom w:val="single" w:sz="4" w:space="0" w:color="auto"/>
              <w:right w:val="single" w:sz="4" w:space="0" w:color="auto"/>
            </w:tcBorders>
            <w:shd w:val="clear" w:color="auto" w:fill="auto"/>
            <w:noWrap/>
            <w:vAlign w:val="center"/>
            <w:hideMark/>
          </w:tcPr>
          <w:p w14:paraId="0EF82CE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70902020</w:t>
            </w:r>
          </w:p>
        </w:tc>
        <w:tc>
          <w:tcPr>
            <w:tcW w:w="3360" w:type="pct"/>
            <w:tcBorders>
              <w:top w:val="nil"/>
              <w:left w:val="nil"/>
              <w:bottom w:val="single" w:sz="4" w:space="0" w:color="auto"/>
              <w:right w:val="single" w:sz="4" w:space="0" w:color="auto"/>
            </w:tcBorders>
            <w:shd w:val="clear" w:color="auto" w:fill="auto"/>
            <w:vAlign w:val="center"/>
            <w:hideMark/>
          </w:tcPr>
          <w:p w14:paraId="61DFC78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PUCONCI</w:t>
            </w:r>
          </w:p>
        </w:tc>
      </w:tr>
      <w:tr w:rsidR="00E3750C" w:rsidRPr="00415AB3" w14:paraId="091C22E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5FD1BF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1007</w:t>
            </w:r>
          </w:p>
        </w:tc>
        <w:tc>
          <w:tcPr>
            <w:tcW w:w="705" w:type="pct"/>
            <w:tcBorders>
              <w:top w:val="nil"/>
              <w:left w:val="nil"/>
              <w:bottom w:val="single" w:sz="4" w:space="0" w:color="auto"/>
              <w:right w:val="single" w:sz="4" w:space="0" w:color="auto"/>
            </w:tcBorders>
            <w:shd w:val="clear" w:color="auto" w:fill="auto"/>
            <w:noWrap/>
            <w:vAlign w:val="center"/>
            <w:hideMark/>
          </w:tcPr>
          <w:p w14:paraId="3A26511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5883253000</w:t>
            </w:r>
          </w:p>
        </w:tc>
        <w:tc>
          <w:tcPr>
            <w:tcW w:w="547" w:type="pct"/>
            <w:tcBorders>
              <w:top w:val="nil"/>
              <w:left w:val="nil"/>
              <w:bottom w:val="single" w:sz="4" w:space="0" w:color="auto"/>
              <w:right w:val="single" w:sz="4" w:space="0" w:color="auto"/>
            </w:tcBorders>
            <w:shd w:val="clear" w:color="auto" w:fill="auto"/>
            <w:noWrap/>
            <w:vAlign w:val="center"/>
            <w:hideMark/>
          </w:tcPr>
          <w:p w14:paraId="6B016C9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85992046</w:t>
            </w:r>
          </w:p>
        </w:tc>
        <w:tc>
          <w:tcPr>
            <w:tcW w:w="3360" w:type="pct"/>
            <w:tcBorders>
              <w:top w:val="nil"/>
              <w:left w:val="nil"/>
              <w:bottom w:val="single" w:sz="4" w:space="0" w:color="auto"/>
              <w:right w:val="single" w:sz="4" w:space="0" w:color="auto"/>
            </w:tcBorders>
            <w:shd w:val="clear" w:color="auto" w:fill="auto"/>
            <w:vAlign w:val="center"/>
            <w:hideMark/>
          </w:tcPr>
          <w:p w14:paraId="30B0C90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RAČE-FRAM</w:t>
            </w:r>
          </w:p>
        </w:tc>
      </w:tr>
      <w:tr w:rsidR="00E3750C" w:rsidRPr="00415AB3" w14:paraId="1BA6751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772BA5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1008</w:t>
            </w:r>
          </w:p>
        </w:tc>
        <w:tc>
          <w:tcPr>
            <w:tcW w:w="705" w:type="pct"/>
            <w:tcBorders>
              <w:top w:val="nil"/>
              <w:left w:val="nil"/>
              <w:bottom w:val="single" w:sz="4" w:space="0" w:color="auto"/>
              <w:right w:val="single" w:sz="4" w:space="0" w:color="auto"/>
            </w:tcBorders>
            <w:shd w:val="clear" w:color="auto" w:fill="auto"/>
            <w:noWrap/>
            <w:vAlign w:val="center"/>
            <w:hideMark/>
          </w:tcPr>
          <w:p w14:paraId="2763D36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5874491000</w:t>
            </w:r>
          </w:p>
        </w:tc>
        <w:tc>
          <w:tcPr>
            <w:tcW w:w="547" w:type="pct"/>
            <w:tcBorders>
              <w:top w:val="nil"/>
              <w:left w:val="nil"/>
              <w:bottom w:val="single" w:sz="4" w:space="0" w:color="auto"/>
              <w:right w:val="single" w:sz="4" w:space="0" w:color="auto"/>
            </w:tcBorders>
            <w:shd w:val="clear" w:color="auto" w:fill="auto"/>
            <w:noWrap/>
            <w:vAlign w:val="center"/>
            <w:hideMark/>
          </w:tcPr>
          <w:p w14:paraId="3BB205E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50643720</w:t>
            </w:r>
          </w:p>
        </w:tc>
        <w:tc>
          <w:tcPr>
            <w:tcW w:w="3360" w:type="pct"/>
            <w:tcBorders>
              <w:top w:val="nil"/>
              <w:left w:val="nil"/>
              <w:bottom w:val="single" w:sz="4" w:space="0" w:color="auto"/>
              <w:right w:val="single" w:sz="4" w:space="0" w:color="auto"/>
            </w:tcBorders>
            <w:shd w:val="clear" w:color="auto" w:fill="auto"/>
            <w:vAlign w:val="center"/>
            <w:hideMark/>
          </w:tcPr>
          <w:p w14:paraId="3799A04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RADEČE</w:t>
            </w:r>
          </w:p>
        </w:tc>
      </w:tr>
      <w:tr w:rsidR="00E3750C" w:rsidRPr="00415AB3" w14:paraId="185F779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BE7077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1009</w:t>
            </w:r>
          </w:p>
        </w:tc>
        <w:tc>
          <w:tcPr>
            <w:tcW w:w="705" w:type="pct"/>
            <w:tcBorders>
              <w:top w:val="nil"/>
              <w:left w:val="nil"/>
              <w:bottom w:val="single" w:sz="4" w:space="0" w:color="auto"/>
              <w:right w:val="single" w:sz="4" w:space="0" w:color="auto"/>
            </w:tcBorders>
            <w:shd w:val="clear" w:color="auto" w:fill="auto"/>
            <w:noWrap/>
            <w:vAlign w:val="center"/>
            <w:hideMark/>
          </w:tcPr>
          <w:p w14:paraId="4917243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5880297000</w:t>
            </w:r>
          </w:p>
        </w:tc>
        <w:tc>
          <w:tcPr>
            <w:tcW w:w="547" w:type="pct"/>
            <w:tcBorders>
              <w:top w:val="nil"/>
              <w:left w:val="nil"/>
              <w:bottom w:val="single" w:sz="4" w:space="0" w:color="auto"/>
              <w:right w:val="single" w:sz="4" w:space="0" w:color="auto"/>
            </w:tcBorders>
            <w:shd w:val="clear" w:color="auto" w:fill="auto"/>
            <w:noWrap/>
            <w:vAlign w:val="center"/>
            <w:hideMark/>
          </w:tcPr>
          <w:p w14:paraId="17D5621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53944640</w:t>
            </w:r>
          </w:p>
        </w:tc>
        <w:tc>
          <w:tcPr>
            <w:tcW w:w="3360" w:type="pct"/>
            <w:tcBorders>
              <w:top w:val="nil"/>
              <w:left w:val="nil"/>
              <w:bottom w:val="single" w:sz="4" w:space="0" w:color="auto"/>
              <w:right w:val="single" w:sz="4" w:space="0" w:color="auto"/>
            </w:tcBorders>
            <w:shd w:val="clear" w:color="auto" w:fill="auto"/>
            <w:vAlign w:val="center"/>
            <w:hideMark/>
          </w:tcPr>
          <w:p w14:paraId="70200B5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RADENCI</w:t>
            </w:r>
          </w:p>
        </w:tc>
      </w:tr>
      <w:tr w:rsidR="00E3750C" w:rsidRPr="00415AB3" w14:paraId="70E8775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17BF99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1010</w:t>
            </w:r>
          </w:p>
        </w:tc>
        <w:tc>
          <w:tcPr>
            <w:tcW w:w="705" w:type="pct"/>
            <w:tcBorders>
              <w:top w:val="nil"/>
              <w:left w:val="nil"/>
              <w:bottom w:val="single" w:sz="4" w:space="0" w:color="auto"/>
              <w:right w:val="single" w:sz="4" w:space="0" w:color="auto"/>
            </w:tcBorders>
            <w:shd w:val="clear" w:color="auto" w:fill="auto"/>
            <w:noWrap/>
            <w:vAlign w:val="center"/>
            <w:hideMark/>
          </w:tcPr>
          <w:p w14:paraId="2C228A2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5881811000</w:t>
            </w:r>
          </w:p>
        </w:tc>
        <w:tc>
          <w:tcPr>
            <w:tcW w:w="547" w:type="pct"/>
            <w:tcBorders>
              <w:top w:val="nil"/>
              <w:left w:val="nil"/>
              <w:bottom w:val="single" w:sz="4" w:space="0" w:color="auto"/>
              <w:right w:val="single" w:sz="4" w:space="0" w:color="auto"/>
            </w:tcBorders>
            <w:shd w:val="clear" w:color="auto" w:fill="auto"/>
            <w:noWrap/>
            <w:vAlign w:val="center"/>
            <w:hideMark/>
          </w:tcPr>
          <w:p w14:paraId="441B609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12310727</w:t>
            </w:r>
          </w:p>
        </w:tc>
        <w:tc>
          <w:tcPr>
            <w:tcW w:w="3360" w:type="pct"/>
            <w:tcBorders>
              <w:top w:val="nil"/>
              <w:left w:val="nil"/>
              <w:bottom w:val="single" w:sz="4" w:space="0" w:color="auto"/>
              <w:right w:val="single" w:sz="4" w:space="0" w:color="auto"/>
            </w:tcBorders>
            <w:shd w:val="clear" w:color="auto" w:fill="auto"/>
            <w:vAlign w:val="center"/>
            <w:hideMark/>
          </w:tcPr>
          <w:p w14:paraId="6954AFC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RADLJE OB DRAVI</w:t>
            </w:r>
          </w:p>
        </w:tc>
      </w:tr>
      <w:tr w:rsidR="00E3750C" w:rsidRPr="00415AB3" w14:paraId="196F635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136AC0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1011</w:t>
            </w:r>
          </w:p>
        </w:tc>
        <w:tc>
          <w:tcPr>
            <w:tcW w:w="705" w:type="pct"/>
            <w:tcBorders>
              <w:top w:val="nil"/>
              <w:left w:val="nil"/>
              <w:bottom w:val="single" w:sz="4" w:space="0" w:color="auto"/>
              <w:right w:val="single" w:sz="4" w:space="0" w:color="auto"/>
            </w:tcBorders>
            <w:shd w:val="clear" w:color="auto" w:fill="auto"/>
            <w:noWrap/>
            <w:vAlign w:val="center"/>
            <w:hideMark/>
          </w:tcPr>
          <w:p w14:paraId="4972729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5883466000</w:t>
            </w:r>
          </w:p>
        </w:tc>
        <w:tc>
          <w:tcPr>
            <w:tcW w:w="547" w:type="pct"/>
            <w:tcBorders>
              <w:top w:val="nil"/>
              <w:left w:val="nil"/>
              <w:bottom w:val="single" w:sz="4" w:space="0" w:color="auto"/>
              <w:right w:val="single" w:sz="4" w:space="0" w:color="auto"/>
            </w:tcBorders>
            <w:shd w:val="clear" w:color="auto" w:fill="auto"/>
            <w:noWrap/>
            <w:vAlign w:val="center"/>
            <w:hideMark/>
          </w:tcPr>
          <w:p w14:paraId="46A1FF5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67759076</w:t>
            </w:r>
          </w:p>
        </w:tc>
        <w:tc>
          <w:tcPr>
            <w:tcW w:w="3360" w:type="pct"/>
            <w:tcBorders>
              <w:top w:val="nil"/>
              <w:left w:val="nil"/>
              <w:bottom w:val="single" w:sz="4" w:space="0" w:color="auto"/>
              <w:right w:val="single" w:sz="4" w:space="0" w:color="auto"/>
            </w:tcBorders>
            <w:shd w:val="clear" w:color="auto" w:fill="auto"/>
            <w:vAlign w:val="center"/>
            <w:hideMark/>
          </w:tcPr>
          <w:p w14:paraId="4FCD7E3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RADOVLJICA</w:t>
            </w:r>
          </w:p>
        </w:tc>
      </w:tr>
      <w:tr w:rsidR="00E3750C" w:rsidRPr="00415AB3" w14:paraId="4271386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141C66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1012</w:t>
            </w:r>
          </w:p>
        </w:tc>
        <w:tc>
          <w:tcPr>
            <w:tcW w:w="705" w:type="pct"/>
            <w:tcBorders>
              <w:top w:val="nil"/>
              <w:left w:val="nil"/>
              <w:bottom w:val="single" w:sz="4" w:space="0" w:color="auto"/>
              <w:right w:val="single" w:sz="4" w:space="0" w:color="auto"/>
            </w:tcBorders>
            <w:shd w:val="clear" w:color="auto" w:fill="auto"/>
            <w:noWrap/>
            <w:vAlign w:val="center"/>
            <w:hideMark/>
          </w:tcPr>
          <w:p w14:paraId="3365758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5883628000</w:t>
            </w:r>
          </w:p>
        </w:tc>
        <w:tc>
          <w:tcPr>
            <w:tcW w:w="547" w:type="pct"/>
            <w:tcBorders>
              <w:top w:val="nil"/>
              <w:left w:val="nil"/>
              <w:bottom w:val="single" w:sz="4" w:space="0" w:color="auto"/>
              <w:right w:val="single" w:sz="4" w:space="0" w:color="auto"/>
            </w:tcBorders>
            <w:shd w:val="clear" w:color="auto" w:fill="auto"/>
            <w:noWrap/>
            <w:vAlign w:val="center"/>
            <w:hideMark/>
          </w:tcPr>
          <w:p w14:paraId="565A652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48626244</w:t>
            </w:r>
          </w:p>
        </w:tc>
        <w:tc>
          <w:tcPr>
            <w:tcW w:w="3360" w:type="pct"/>
            <w:tcBorders>
              <w:top w:val="nil"/>
              <w:left w:val="nil"/>
              <w:bottom w:val="single" w:sz="4" w:space="0" w:color="auto"/>
              <w:right w:val="single" w:sz="4" w:space="0" w:color="auto"/>
            </w:tcBorders>
            <w:shd w:val="clear" w:color="auto" w:fill="auto"/>
            <w:vAlign w:val="center"/>
            <w:hideMark/>
          </w:tcPr>
          <w:p w14:paraId="64E864D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RAVNE NA KOROŠKEM</w:t>
            </w:r>
          </w:p>
        </w:tc>
      </w:tr>
      <w:tr w:rsidR="00E3750C" w:rsidRPr="00415AB3" w14:paraId="70D226E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C8D153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1013</w:t>
            </w:r>
          </w:p>
        </w:tc>
        <w:tc>
          <w:tcPr>
            <w:tcW w:w="705" w:type="pct"/>
            <w:tcBorders>
              <w:top w:val="nil"/>
              <w:left w:val="nil"/>
              <w:bottom w:val="single" w:sz="4" w:space="0" w:color="auto"/>
              <w:right w:val="single" w:sz="4" w:space="0" w:color="auto"/>
            </w:tcBorders>
            <w:shd w:val="clear" w:color="auto" w:fill="auto"/>
            <w:noWrap/>
            <w:vAlign w:val="center"/>
            <w:hideMark/>
          </w:tcPr>
          <w:p w14:paraId="1B73C45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1332163000</w:t>
            </w:r>
          </w:p>
        </w:tc>
        <w:tc>
          <w:tcPr>
            <w:tcW w:w="547" w:type="pct"/>
            <w:tcBorders>
              <w:top w:val="nil"/>
              <w:left w:val="nil"/>
              <w:bottom w:val="single" w:sz="4" w:space="0" w:color="auto"/>
              <w:right w:val="single" w:sz="4" w:space="0" w:color="auto"/>
            </w:tcBorders>
            <w:shd w:val="clear" w:color="auto" w:fill="auto"/>
            <w:noWrap/>
            <w:vAlign w:val="center"/>
            <w:hideMark/>
          </w:tcPr>
          <w:p w14:paraId="4340CE0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84157020</w:t>
            </w:r>
          </w:p>
        </w:tc>
        <w:tc>
          <w:tcPr>
            <w:tcW w:w="3360" w:type="pct"/>
            <w:tcBorders>
              <w:top w:val="nil"/>
              <w:left w:val="nil"/>
              <w:bottom w:val="single" w:sz="4" w:space="0" w:color="auto"/>
              <w:right w:val="single" w:sz="4" w:space="0" w:color="auto"/>
            </w:tcBorders>
            <w:shd w:val="clear" w:color="auto" w:fill="auto"/>
            <w:vAlign w:val="center"/>
            <w:hideMark/>
          </w:tcPr>
          <w:p w14:paraId="282D66E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RAZKRIŽJE</w:t>
            </w:r>
          </w:p>
        </w:tc>
      </w:tr>
      <w:tr w:rsidR="00E3750C" w:rsidRPr="00415AB3" w14:paraId="2FF3BD9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92C3EF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1014</w:t>
            </w:r>
          </w:p>
        </w:tc>
        <w:tc>
          <w:tcPr>
            <w:tcW w:w="705" w:type="pct"/>
            <w:tcBorders>
              <w:top w:val="nil"/>
              <w:left w:val="nil"/>
              <w:bottom w:val="single" w:sz="4" w:space="0" w:color="auto"/>
              <w:right w:val="single" w:sz="4" w:space="0" w:color="auto"/>
            </w:tcBorders>
            <w:shd w:val="clear" w:color="auto" w:fill="auto"/>
            <w:noWrap/>
            <w:vAlign w:val="center"/>
            <w:hideMark/>
          </w:tcPr>
          <w:p w14:paraId="4178871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2255987000</w:t>
            </w:r>
          </w:p>
        </w:tc>
        <w:tc>
          <w:tcPr>
            <w:tcW w:w="547" w:type="pct"/>
            <w:tcBorders>
              <w:top w:val="nil"/>
              <w:left w:val="nil"/>
              <w:bottom w:val="single" w:sz="4" w:space="0" w:color="auto"/>
              <w:right w:val="single" w:sz="4" w:space="0" w:color="auto"/>
            </w:tcBorders>
            <w:shd w:val="clear" w:color="auto" w:fill="auto"/>
            <w:noWrap/>
            <w:vAlign w:val="center"/>
            <w:hideMark/>
          </w:tcPr>
          <w:p w14:paraId="47E32C6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45064440</w:t>
            </w:r>
          </w:p>
        </w:tc>
        <w:tc>
          <w:tcPr>
            <w:tcW w:w="3360" w:type="pct"/>
            <w:tcBorders>
              <w:top w:val="nil"/>
              <w:left w:val="nil"/>
              <w:bottom w:val="single" w:sz="4" w:space="0" w:color="auto"/>
              <w:right w:val="single" w:sz="4" w:space="0" w:color="auto"/>
            </w:tcBorders>
            <w:shd w:val="clear" w:color="auto" w:fill="auto"/>
            <w:vAlign w:val="center"/>
            <w:hideMark/>
          </w:tcPr>
          <w:p w14:paraId="712B94A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REČICA OB SAVINJI</w:t>
            </w:r>
          </w:p>
        </w:tc>
      </w:tr>
      <w:tr w:rsidR="00E3750C" w:rsidRPr="00415AB3" w14:paraId="23C9BE2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4BC1BF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1015</w:t>
            </w:r>
          </w:p>
        </w:tc>
        <w:tc>
          <w:tcPr>
            <w:tcW w:w="705" w:type="pct"/>
            <w:tcBorders>
              <w:top w:val="nil"/>
              <w:left w:val="nil"/>
              <w:bottom w:val="single" w:sz="4" w:space="0" w:color="auto"/>
              <w:right w:val="single" w:sz="4" w:space="0" w:color="auto"/>
            </w:tcBorders>
            <w:shd w:val="clear" w:color="auto" w:fill="auto"/>
            <w:noWrap/>
            <w:vAlign w:val="center"/>
            <w:hideMark/>
          </w:tcPr>
          <w:p w14:paraId="2F88FC9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2203553000</w:t>
            </w:r>
          </w:p>
        </w:tc>
        <w:tc>
          <w:tcPr>
            <w:tcW w:w="547" w:type="pct"/>
            <w:tcBorders>
              <w:top w:val="nil"/>
              <w:left w:val="nil"/>
              <w:bottom w:val="single" w:sz="4" w:space="0" w:color="auto"/>
              <w:right w:val="single" w:sz="4" w:space="0" w:color="auto"/>
            </w:tcBorders>
            <w:shd w:val="clear" w:color="auto" w:fill="auto"/>
            <w:noWrap/>
            <w:vAlign w:val="center"/>
            <w:hideMark/>
          </w:tcPr>
          <w:p w14:paraId="354DFE8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90522001</w:t>
            </w:r>
          </w:p>
        </w:tc>
        <w:tc>
          <w:tcPr>
            <w:tcW w:w="3360" w:type="pct"/>
            <w:tcBorders>
              <w:top w:val="nil"/>
              <w:left w:val="nil"/>
              <w:bottom w:val="single" w:sz="4" w:space="0" w:color="auto"/>
              <w:right w:val="single" w:sz="4" w:space="0" w:color="auto"/>
            </w:tcBorders>
            <w:shd w:val="clear" w:color="auto" w:fill="auto"/>
            <w:vAlign w:val="center"/>
            <w:hideMark/>
          </w:tcPr>
          <w:p w14:paraId="0C29345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RENČE - VOGRSKO</w:t>
            </w:r>
          </w:p>
        </w:tc>
      </w:tr>
      <w:tr w:rsidR="00E3750C" w:rsidRPr="00415AB3" w14:paraId="1D94E92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D90C22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1016</w:t>
            </w:r>
          </w:p>
        </w:tc>
        <w:tc>
          <w:tcPr>
            <w:tcW w:w="705" w:type="pct"/>
            <w:tcBorders>
              <w:top w:val="nil"/>
              <w:left w:val="nil"/>
              <w:bottom w:val="single" w:sz="4" w:space="0" w:color="auto"/>
              <w:right w:val="single" w:sz="4" w:space="0" w:color="auto"/>
            </w:tcBorders>
            <w:shd w:val="clear" w:color="auto" w:fill="auto"/>
            <w:noWrap/>
            <w:vAlign w:val="center"/>
            <w:hideMark/>
          </w:tcPr>
          <w:p w14:paraId="057404F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5883865000</w:t>
            </w:r>
          </w:p>
        </w:tc>
        <w:tc>
          <w:tcPr>
            <w:tcW w:w="547" w:type="pct"/>
            <w:tcBorders>
              <w:top w:val="nil"/>
              <w:left w:val="nil"/>
              <w:bottom w:val="single" w:sz="4" w:space="0" w:color="auto"/>
              <w:right w:val="single" w:sz="4" w:space="0" w:color="auto"/>
            </w:tcBorders>
            <w:shd w:val="clear" w:color="auto" w:fill="auto"/>
            <w:noWrap/>
            <w:vAlign w:val="center"/>
            <w:hideMark/>
          </w:tcPr>
          <w:p w14:paraId="4EEE57A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61623059</w:t>
            </w:r>
          </w:p>
        </w:tc>
        <w:tc>
          <w:tcPr>
            <w:tcW w:w="3360" w:type="pct"/>
            <w:tcBorders>
              <w:top w:val="nil"/>
              <w:left w:val="nil"/>
              <w:bottom w:val="single" w:sz="4" w:space="0" w:color="auto"/>
              <w:right w:val="single" w:sz="4" w:space="0" w:color="auto"/>
            </w:tcBorders>
            <w:shd w:val="clear" w:color="auto" w:fill="auto"/>
            <w:vAlign w:val="center"/>
            <w:hideMark/>
          </w:tcPr>
          <w:p w14:paraId="28A6AF0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RIBNICA</w:t>
            </w:r>
          </w:p>
        </w:tc>
      </w:tr>
      <w:tr w:rsidR="00E3750C" w:rsidRPr="00415AB3" w14:paraId="7F8831D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4C10F3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1017</w:t>
            </w:r>
          </w:p>
        </w:tc>
        <w:tc>
          <w:tcPr>
            <w:tcW w:w="705" w:type="pct"/>
            <w:tcBorders>
              <w:top w:val="nil"/>
              <w:left w:val="nil"/>
              <w:bottom w:val="single" w:sz="4" w:space="0" w:color="auto"/>
              <w:right w:val="single" w:sz="4" w:space="0" w:color="auto"/>
            </w:tcBorders>
            <w:shd w:val="clear" w:color="auto" w:fill="auto"/>
            <w:noWrap/>
            <w:vAlign w:val="center"/>
            <w:hideMark/>
          </w:tcPr>
          <w:p w14:paraId="2D71F54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1358324000</w:t>
            </w:r>
          </w:p>
        </w:tc>
        <w:tc>
          <w:tcPr>
            <w:tcW w:w="547" w:type="pct"/>
            <w:tcBorders>
              <w:top w:val="nil"/>
              <w:left w:val="nil"/>
              <w:bottom w:val="single" w:sz="4" w:space="0" w:color="auto"/>
              <w:right w:val="single" w:sz="4" w:space="0" w:color="auto"/>
            </w:tcBorders>
            <w:shd w:val="clear" w:color="auto" w:fill="auto"/>
            <w:noWrap/>
            <w:vAlign w:val="center"/>
            <w:hideMark/>
          </w:tcPr>
          <w:p w14:paraId="07DC143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87880300</w:t>
            </w:r>
          </w:p>
        </w:tc>
        <w:tc>
          <w:tcPr>
            <w:tcW w:w="3360" w:type="pct"/>
            <w:tcBorders>
              <w:top w:val="nil"/>
              <w:left w:val="nil"/>
              <w:bottom w:val="single" w:sz="4" w:space="0" w:color="auto"/>
              <w:right w:val="single" w:sz="4" w:space="0" w:color="auto"/>
            </w:tcBorders>
            <w:shd w:val="clear" w:color="auto" w:fill="auto"/>
            <w:vAlign w:val="center"/>
            <w:hideMark/>
          </w:tcPr>
          <w:p w14:paraId="20FF5C6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RIBNICA NA POHORJU</w:t>
            </w:r>
          </w:p>
        </w:tc>
      </w:tr>
      <w:tr w:rsidR="00E3750C" w:rsidRPr="00415AB3" w14:paraId="3C3DD13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6EC997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1018</w:t>
            </w:r>
          </w:p>
        </w:tc>
        <w:tc>
          <w:tcPr>
            <w:tcW w:w="705" w:type="pct"/>
            <w:tcBorders>
              <w:top w:val="nil"/>
              <w:left w:val="nil"/>
              <w:bottom w:val="single" w:sz="4" w:space="0" w:color="auto"/>
              <w:right w:val="single" w:sz="4" w:space="0" w:color="auto"/>
            </w:tcBorders>
            <w:shd w:val="clear" w:color="auto" w:fill="auto"/>
            <w:noWrap/>
            <w:vAlign w:val="center"/>
            <w:hideMark/>
          </w:tcPr>
          <w:p w14:paraId="5DC9137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5883946000</w:t>
            </w:r>
          </w:p>
        </w:tc>
        <w:tc>
          <w:tcPr>
            <w:tcW w:w="547" w:type="pct"/>
            <w:tcBorders>
              <w:top w:val="nil"/>
              <w:left w:val="nil"/>
              <w:bottom w:val="single" w:sz="4" w:space="0" w:color="auto"/>
              <w:right w:val="single" w:sz="4" w:space="0" w:color="auto"/>
            </w:tcBorders>
            <w:shd w:val="clear" w:color="auto" w:fill="auto"/>
            <w:noWrap/>
            <w:vAlign w:val="center"/>
            <w:hideMark/>
          </w:tcPr>
          <w:p w14:paraId="05FCD23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84699825</w:t>
            </w:r>
          </w:p>
        </w:tc>
        <w:tc>
          <w:tcPr>
            <w:tcW w:w="3360" w:type="pct"/>
            <w:tcBorders>
              <w:top w:val="nil"/>
              <w:left w:val="nil"/>
              <w:bottom w:val="single" w:sz="4" w:space="0" w:color="auto"/>
              <w:right w:val="single" w:sz="4" w:space="0" w:color="auto"/>
            </w:tcBorders>
            <w:shd w:val="clear" w:color="auto" w:fill="auto"/>
            <w:vAlign w:val="center"/>
            <w:hideMark/>
          </w:tcPr>
          <w:p w14:paraId="4F1A3A5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ROGAŠKA SLATINA</w:t>
            </w:r>
          </w:p>
        </w:tc>
      </w:tr>
      <w:tr w:rsidR="00E3750C" w:rsidRPr="00415AB3" w14:paraId="2723742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A8FCCC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1019</w:t>
            </w:r>
          </w:p>
        </w:tc>
        <w:tc>
          <w:tcPr>
            <w:tcW w:w="705" w:type="pct"/>
            <w:tcBorders>
              <w:top w:val="nil"/>
              <w:left w:val="nil"/>
              <w:bottom w:val="single" w:sz="4" w:space="0" w:color="auto"/>
              <w:right w:val="single" w:sz="4" w:space="0" w:color="auto"/>
            </w:tcBorders>
            <w:shd w:val="clear" w:color="auto" w:fill="auto"/>
            <w:noWrap/>
            <w:vAlign w:val="center"/>
            <w:hideMark/>
          </w:tcPr>
          <w:p w14:paraId="69AF9EB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5883245000</w:t>
            </w:r>
          </w:p>
        </w:tc>
        <w:tc>
          <w:tcPr>
            <w:tcW w:w="547" w:type="pct"/>
            <w:tcBorders>
              <w:top w:val="nil"/>
              <w:left w:val="nil"/>
              <w:bottom w:val="single" w:sz="4" w:space="0" w:color="auto"/>
              <w:right w:val="single" w:sz="4" w:space="0" w:color="auto"/>
            </w:tcBorders>
            <w:shd w:val="clear" w:color="auto" w:fill="auto"/>
            <w:noWrap/>
            <w:vAlign w:val="center"/>
            <w:hideMark/>
          </w:tcPr>
          <w:p w14:paraId="1167F98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61143707</w:t>
            </w:r>
          </w:p>
        </w:tc>
        <w:tc>
          <w:tcPr>
            <w:tcW w:w="3360" w:type="pct"/>
            <w:tcBorders>
              <w:top w:val="nil"/>
              <w:left w:val="nil"/>
              <w:bottom w:val="single" w:sz="4" w:space="0" w:color="auto"/>
              <w:right w:val="single" w:sz="4" w:space="0" w:color="auto"/>
            </w:tcBorders>
            <w:shd w:val="clear" w:color="auto" w:fill="auto"/>
            <w:vAlign w:val="center"/>
            <w:hideMark/>
          </w:tcPr>
          <w:p w14:paraId="5CDD0C0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ROGAŠOVCI</w:t>
            </w:r>
          </w:p>
        </w:tc>
      </w:tr>
      <w:tr w:rsidR="00E3750C" w:rsidRPr="00415AB3" w14:paraId="4799EB9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62B256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1020</w:t>
            </w:r>
          </w:p>
        </w:tc>
        <w:tc>
          <w:tcPr>
            <w:tcW w:w="705" w:type="pct"/>
            <w:tcBorders>
              <w:top w:val="nil"/>
              <w:left w:val="nil"/>
              <w:bottom w:val="single" w:sz="4" w:space="0" w:color="auto"/>
              <w:right w:val="single" w:sz="4" w:space="0" w:color="auto"/>
            </w:tcBorders>
            <w:shd w:val="clear" w:color="auto" w:fill="auto"/>
            <w:noWrap/>
            <w:vAlign w:val="center"/>
            <w:hideMark/>
          </w:tcPr>
          <w:p w14:paraId="1046AD3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5883938000</w:t>
            </w:r>
          </w:p>
        </w:tc>
        <w:tc>
          <w:tcPr>
            <w:tcW w:w="547" w:type="pct"/>
            <w:tcBorders>
              <w:top w:val="nil"/>
              <w:left w:val="nil"/>
              <w:bottom w:val="single" w:sz="4" w:space="0" w:color="auto"/>
              <w:right w:val="single" w:sz="4" w:space="0" w:color="auto"/>
            </w:tcBorders>
            <w:shd w:val="clear" w:color="auto" w:fill="auto"/>
            <w:noWrap/>
            <w:vAlign w:val="center"/>
            <w:hideMark/>
          </w:tcPr>
          <w:p w14:paraId="02701E2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47348429</w:t>
            </w:r>
          </w:p>
        </w:tc>
        <w:tc>
          <w:tcPr>
            <w:tcW w:w="3360" w:type="pct"/>
            <w:tcBorders>
              <w:top w:val="nil"/>
              <w:left w:val="nil"/>
              <w:bottom w:val="single" w:sz="4" w:space="0" w:color="auto"/>
              <w:right w:val="single" w:sz="4" w:space="0" w:color="auto"/>
            </w:tcBorders>
            <w:shd w:val="clear" w:color="auto" w:fill="auto"/>
            <w:vAlign w:val="center"/>
            <w:hideMark/>
          </w:tcPr>
          <w:p w14:paraId="22418BB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ROGATEC</w:t>
            </w:r>
          </w:p>
        </w:tc>
      </w:tr>
      <w:tr w:rsidR="00E3750C" w:rsidRPr="00415AB3" w14:paraId="68A4174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6F0A16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1021</w:t>
            </w:r>
          </w:p>
        </w:tc>
        <w:tc>
          <w:tcPr>
            <w:tcW w:w="705" w:type="pct"/>
            <w:tcBorders>
              <w:top w:val="nil"/>
              <w:left w:val="nil"/>
              <w:bottom w:val="single" w:sz="4" w:space="0" w:color="auto"/>
              <w:right w:val="single" w:sz="4" w:space="0" w:color="auto"/>
            </w:tcBorders>
            <w:shd w:val="clear" w:color="auto" w:fill="auto"/>
            <w:noWrap/>
            <w:vAlign w:val="center"/>
            <w:hideMark/>
          </w:tcPr>
          <w:p w14:paraId="086BDAB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5883571000</w:t>
            </w:r>
          </w:p>
        </w:tc>
        <w:tc>
          <w:tcPr>
            <w:tcW w:w="547" w:type="pct"/>
            <w:tcBorders>
              <w:top w:val="nil"/>
              <w:left w:val="nil"/>
              <w:bottom w:val="single" w:sz="4" w:space="0" w:color="auto"/>
              <w:right w:val="single" w:sz="4" w:space="0" w:color="auto"/>
            </w:tcBorders>
            <w:shd w:val="clear" w:color="auto" w:fill="auto"/>
            <w:noWrap/>
            <w:vAlign w:val="center"/>
            <w:hideMark/>
          </w:tcPr>
          <w:p w14:paraId="2CB13A5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81314485</w:t>
            </w:r>
          </w:p>
        </w:tc>
        <w:tc>
          <w:tcPr>
            <w:tcW w:w="3360" w:type="pct"/>
            <w:tcBorders>
              <w:top w:val="nil"/>
              <w:left w:val="nil"/>
              <w:bottom w:val="single" w:sz="4" w:space="0" w:color="auto"/>
              <w:right w:val="single" w:sz="4" w:space="0" w:color="auto"/>
            </w:tcBorders>
            <w:shd w:val="clear" w:color="auto" w:fill="auto"/>
            <w:vAlign w:val="center"/>
            <w:hideMark/>
          </w:tcPr>
          <w:p w14:paraId="2617585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RUŠE</w:t>
            </w:r>
          </w:p>
        </w:tc>
      </w:tr>
      <w:tr w:rsidR="00E3750C" w:rsidRPr="00415AB3" w14:paraId="711FE63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A1E08A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1022</w:t>
            </w:r>
          </w:p>
        </w:tc>
        <w:tc>
          <w:tcPr>
            <w:tcW w:w="705" w:type="pct"/>
            <w:tcBorders>
              <w:top w:val="nil"/>
              <w:left w:val="nil"/>
              <w:bottom w:val="single" w:sz="4" w:space="0" w:color="auto"/>
              <w:right w:val="single" w:sz="4" w:space="0" w:color="auto"/>
            </w:tcBorders>
            <w:shd w:val="clear" w:color="auto" w:fill="auto"/>
            <w:noWrap/>
            <w:vAlign w:val="center"/>
            <w:hideMark/>
          </w:tcPr>
          <w:p w14:paraId="6D3F1DA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1357930000</w:t>
            </w:r>
          </w:p>
        </w:tc>
        <w:tc>
          <w:tcPr>
            <w:tcW w:w="547" w:type="pct"/>
            <w:tcBorders>
              <w:top w:val="nil"/>
              <w:left w:val="nil"/>
              <w:bottom w:val="single" w:sz="4" w:space="0" w:color="auto"/>
              <w:right w:val="single" w:sz="4" w:space="0" w:color="auto"/>
            </w:tcBorders>
            <w:shd w:val="clear" w:color="auto" w:fill="auto"/>
            <w:noWrap/>
            <w:vAlign w:val="center"/>
            <w:hideMark/>
          </w:tcPr>
          <w:p w14:paraId="2960621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36150380</w:t>
            </w:r>
          </w:p>
        </w:tc>
        <w:tc>
          <w:tcPr>
            <w:tcW w:w="3360" w:type="pct"/>
            <w:tcBorders>
              <w:top w:val="nil"/>
              <w:left w:val="nil"/>
              <w:bottom w:val="single" w:sz="4" w:space="0" w:color="auto"/>
              <w:right w:val="single" w:sz="4" w:space="0" w:color="auto"/>
            </w:tcBorders>
            <w:shd w:val="clear" w:color="auto" w:fill="auto"/>
            <w:vAlign w:val="center"/>
            <w:hideMark/>
          </w:tcPr>
          <w:p w14:paraId="719EB8A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SELNICA OB DRAVI</w:t>
            </w:r>
          </w:p>
        </w:tc>
      </w:tr>
      <w:tr w:rsidR="00E3750C" w:rsidRPr="00415AB3" w14:paraId="701B1E9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FD0BC4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1023</w:t>
            </w:r>
          </w:p>
        </w:tc>
        <w:tc>
          <w:tcPr>
            <w:tcW w:w="705" w:type="pct"/>
            <w:tcBorders>
              <w:top w:val="nil"/>
              <w:left w:val="nil"/>
              <w:bottom w:val="single" w:sz="4" w:space="0" w:color="auto"/>
              <w:right w:val="single" w:sz="4" w:space="0" w:color="auto"/>
            </w:tcBorders>
            <w:shd w:val="clear" w:color="auto" w:fill="auto"/>
            <w:noWrap/>
            <w:vAlign w:val="center"/>
            <w:hideMark/>
          </w:tcPr>
          <w:p w14:paraId="35D2DA7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5880262000</w:t>
            </w:r>
          </w:p>
        </w:tc>
        <w:tc>
          <w:tcPr>
            <w:tcW w:w="547" w:type="pct"/>
            <w:tcBorders>
              <w:top w:val="nil"/>
              <w:left w:val="nil"/>
              <w:bottom w:val="single" w:sz="4" w:space="0" w:color="auto"/>
              <w:right w:val="single" w:sz="4" w:space="0" w:color="auto"/>
            </w:tcBorders>
            <w:shd w:val="clear" w:color="auto" w:fill="auto"/>
            <w:noWrap/>
            <w:vAlign w:val="center"/>
            <w:hideMark/>
          </w:tcPr>
          <w:p w14:paraId="7513BA6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79049273</w:t>
            </w:r>
          </w:p>
        </w:tc>
        <w:tc>
          <w:tcPr>
            <w:tcW w:w="3360" w:type="pct"/>
            <w:tcBorders>
              <w:top w:val="nil"/>
              <w:left w:val="nil"/>
              <w:bottom w:val="single" w:sz="4" w:space="0" w:color="auto"/>
              <w:right w:val="single" w:sz="4" w:space="0" w:color="auto"/>
            </w:tcBorders>
            <w:shd w:val="clear" w:color="auto" w:fill="auto"/>
            <w:vAlign w:val="center"/>
            <w:hideMark/>
          </w:tcPr>
          <w:p w14:paraId="10E303F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SEMIČ</w:t>
            </w:r>
          </w:p>
        </w:tc>
      </w:tr>
      <w:tr w:rsidR="00E3750C" w:rsidRPr="00415AB3" w14:paraId="4DD2CBD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B70C81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1024</w:t>
            </w:r>
          </w:p>
        </w:tc>
        <w:tc>
          <w:tcPr>
            <w:tcW w:w="705" w:type="pct"/>
            <w:tcBorders>
              <w:top w:val="nil"/>
              <w:left w:val="nil"/>
              <w:bottom w:val="single" w:sz="4" w:space="0" w:color="auto"/>
              <w:right w:val="single" w:sz="4" w:space="0" w:color="auto"/>
            </w:tcBorders>
            <w:shd w:val="clear" w:color="auto" w:fill="auto"/>
            <w:noWrap/>
            <w:vAlign w:val="center"/>
            <w:hideMark/>
          </w:tcPr>
          <w:p w14:paraId="10B805E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5883008000</w:t>
            </w:r>
          </w:p>
        </w:tc>
        <w:tc>
          <w:tcPr>
            <w:tcW w:w="547" w:type="pct"/>
            <w:tcBorders>
              <w:top w:val="nil"/>
              <w:left w:val="nil"/>
              <w:bottom w:val="single" w:sz="4" w:space="0" w:color="auto"/>
              <w:right w:val="single" w:sz="4" w:space="0" w:color="auto"/>
            </w:tcBorders>
            <w:shd w:val="clear" w:color="auto" w:fill="auto"/>
            <w:noWrap/>
            <w:vAlign w:val="center"/>
            <w:hideMark/>
          </w:tcPr>
          <w:p w14:paraId="7EC80F1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99767392</w:t>
            </w:r>
          </w:p>
        </w:tc>
        <w:tc>
          <w:tcPr>
            <w:tcW w:w="3360" w:type="pct"/>
            <w:tcBorders>
              <w:top w:val="nil"/>
              <w:left w:val="nil"/>
              <w:bottom w:val="single" w:sz="4" w:space="0" w:color="auto"/>
              <w:right w:val="single" w:sz="4" w:space="0" w:color="auto"/>
            </w:tcBorders>
            <w:shd w:val="clear" w:color="auto" w:fill="auto"/>
            <w:vAlign w:val="center"/>
            <w:hideMark/>
          </w:tcPr>
          <w:p w14:paraId="5BF7D5D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SEVNICA</w:t>
            </w:r>
          </w:p>
        </w:tc>
      </w:tr>
      <w:tr w:rsidR="00E3750C" w:rsidRPr="00415AB3" w14:paraId="1A3E056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AE35FF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1025</w:t>
            </w:r>
          </w:p>
        </w:tc>
        <w:tc>
          <w:tcPr>
            <w:tcW w:w="705" w:type="pct"/>
            <w:tcBorders>
              <w:top w:val="nil"/>
              <w:left w:val="nil"/>
              <w:bottom w:val="single" w:sz="4" w:space="0" w:color="auto"/>
              <w:right w:val="single" w:sz="4" w:space="0" w:color="auto"/>
            </w:tcBorders>
            <w:shd w:val="clear" w:color="auto" w:fill="auto"/>
            <w:noWrap/>
            <w:vAlign w:val="center"/>
            <w:hideMark/>
          </w:tcPr>
          <w:p w14:paraId="6FE60EB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5884047000</w:t>
            </w:r>
          </w:p>
        </w:tc>
        <w:tc>
          <w:tcPr>
            <w:tcW w:w="547" w:type="pct"/>
            <w:tcBorders>
              <w:top w:val="nil"/>
              <w:left w:val="nil"/>
              <w:bottom w:val="single" w:sz="4" w:space="0" w:color="auto"/>
              <w:right w:val="single" w:sz="4" w:space="0" w:color="auto"/>
            </w:tcBorders>
            <w:shd w:val="clear" w:color="auto" w:fill="auto"/>
            <w:noWrap/>
            <w:vAlign w:val="center"/>
            <w:hideMark/>
          </w:tcPr>
          <w:p w14:paraId="67CEE62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66378443</w:t>
            </w:r>
          </w:p>
        </w:tc>
        <w:tc>
          <w:tcPr>
            <w:tcW w:w="3360" w:type="pct"/>
            <w:tcBorders>
              <w:top w:val="nil"/>
              <w:left w:val="nil"/>
              <w:bottom w:val="single" w:sz="4" w:space="0" w:color="auto"/>
              <w:right w:val="single" w:sz="4" w:space="0" w:color="auto"/>
            </w:tcBorders>
            <w:shd w:val="clear" w:color="auto" w:fill="auto"/>
            <w:vAlign w:val="center"/>
            <w:hideMark/>
          </w:tcPr>
          <w:p w14:paraId="0760739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SEŽANA</w:t>
            </w:r>
          </w:p>
        </w:tc>
      </w:tr>
      <w:tr w:rsidR="00E3750C" w:rsidRPr="00415AB3" w14:paraId="390952B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862DD3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1026</w:t>
            </w:r>
          </w:p>
        </w:tc>
        <w:tc>
          <w:tcPr>
            <w:tcW w:w="705" w:type="pct"/>
            <w:tcBorders>
              <w:top w:val="nil"/>
              <w:left w:val="nil"/>
              <w:bottom w:val="single" w:sz="4" w:space="0" w:color="auto"/>
              <w:right w:val="single" w:sz="4" w:space="0" w:color="auto"/>
            </w:tcBorders>
            <w:shd w:val="clear" w:color="auto" w:fill="auto"/>
            <w:noWrap/>
            <w:vAlign w:val="center"/>
            <w:hideMark/>
          </w:tcPr>
          <w:p w14:paraId="63CD972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5884250000</w:t>
            </w:r>
          </w:p>
        </w:tc>
        <w:tc>
          <w:tcPr>
            <w:tcW w:w="547" w:type="pct"/>
            <w:tcBorders>
              <w:top w:val="nil"/>
              <w:left w:val="nil"/>
              <w:bottom w:val="single" w:sz="4" w:space="0" w:color="auto"/>
              <w:right w:val="single" w:sz="4" w:space="0" w:color="auto"/>
            </w:tcBorders>
            <w:shd w:val="clear" w:color="auto" w:fill="auto"/>
            <w:noWrap/>
            <w:vAlign w:val="center"/>
            <w:hideMark/>
          </w:tcPr>
          <w:p w14:paraId="612C2C3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49960563</w:t>
            </w:r>
          </w:p>
        </w:tc>
        <w:tc>
          <w:tcPr>
            <w:tcW w:w="3360" w:type="pct"/>
            <w:tcBorders>
              <w:top w:val="nil"/>
              <w:left w:val="nil"/>
              <w:bottom w:val="single" w:sz="4" w:space="0" w:color="auto"/>
              <w:right w:val="single" w:sz="4" w:space="0" w:color="auto"/>
            </w:tcBorders>
            <w:shd w:val="clear" w:color="auto" w:fill="auto"/>
            <w:vAlign w:val="center"/>
            <w:hideMark/>
          </w:tcPr>
          <w:p w14:paraId="76A87E7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SLOVENSKA BISTRICA</w:t>
            </w:r>
          </w:p>
        </w:tc>
      </w:tr>
      <w:tr w:rsidR="00E3750C" w:rsidRPr="00415AB3" w14:paraId="189F7B71"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5B6C6B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1027</w:t>
            </w:r>
          </w:p>
        </w:tc>
        <w:tc>
          <w:tcPr>
            <w:tcW w:w="705" w:type="pct"/>
            <w:tcBorders>
              <w:top w:val="nil"/>
              <w:left w:val="nil"/>
              <w:bottom w:val="single" w:sz="4" w:space="0" w:color="auto"/>
              <w:right w:val="single" w:sz="4" w:space="0" w:color="auto"/>
            </w:tcBorders>
            <w:shd w:val="clear" w:color="auto" w:fill="auto"/>
            <w:noWrap/>
            <w:vAlign w:val="center"/>
            <w:hideMark/>
          </w:tcPr>
          <w:p w14:paraId="3FF32A7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5181615000</w:t>
            </w:r>
          </w:p>
        </w:tc>
        <w:tc>
          <w:tcPr>
            <w:tcW w:w="547" w:type="pct"/>
            <w:tcBorders>
              <w:top w:val="nil"/>
              <w:left w:val="nil"/>
              <w:bottom w:val="single" w:sz="4" w:space="0" w:color="auto"/>
              <w:right w:val="single" w:sz="4" w:space="0" w:color="auto"/>
            </w:tcBorders>
            <w:shd w:val="clear" w:color="auto" w:fill="auto"/>
            <w:noWrap/>
            <w:vAlign w:val="center"/>
            <w:hideMark/>
          </w:tcPr>
          <w:p w14:paraId="6EB0B69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91149177</w:t>
            </w:r>
          </w:p>
        </w:tc>
        <w:tc>
          <w:tcPr>
            <w:tcW w:w="3360" w:type="pct"/>
            <w:tcBorders>
              <w:top w:val="nil"/>
              <w:left w:val="nil"/>
              <w:bottom w:val="single" w:sz="4" w:space="0" w:color="auto"/>
              <w:right w:val="single" w:sz="4" w:space="0" w:color="auto"/>
            </w:tcBorders>
            <w:shd w:val="clear" w:color="auto" w:fill="auto"/>
            <w:vAlign w:val="center"/>
            <w:hideMark/>
          </w:tcPr>
          <w:p w14:paraId="0C5AF61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SLOVENSKA BISTRICA KRAJEVNA SKUPNOST ALFONZ ŠARH SLOVENSKA BISTRICA</w:t>
            </w:r>
          </w:p>
        </w:tc>
      </w:tr>
      <w:tr w:rsidR="00E3750C" w:rsidRPr="00415AB3" w14:paraId="50E227AD"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94F628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1028</w:t>
            </w:r>
          </w:p>
        </w:tc>
        <w:tc>
          <w:tcPr>
            <w:tcW w:w="705" w:type="pct"/>
            <w:tcBorders>
              <w:top w:val="nil"/>
              <w:left w:val="nil"/>
              <w:bottom w:val="single" w:sz="4" w:space="0" w:color="auto"/>
              <w:right w:val="single" w:sz="4" w:space="0" w:color="auto"/>
            </w:tcBorders>
            <w:shd w:val="clear" w:color="auto" w:fill="auto"/>
            <w:noWrap/>
            <w:vAlign w:val="center"/>
            <w:hideMark/>
          </w:tcPr>
          <w:p w14:paraId="3583FC5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5181631000</w:t>
            </w:r>
          </w:p>
        </w:tc>
        <w:tc>
          <w:tcPr>
            <w:tcW w:w="547" w:type="pct"/>
            <w:tcBorders>
              <w:top w:val="nil"/>
              <w:left w:val="nil"/>
              <w:bottom w:val="single" w:sz="4" w:space="0" w:color="auto"/>
              <w:right w:val="single" w:sz="4" w:space="0" w:color="auto"/>
            </w:tcBorders>
            <w:shd w:val="clear" w:color="auto" w:fill="auto"/>
            <w:noWrap/>
            <w:vAlign w:val="center"/>
            <w:hideMark/>
          </w:tcPr>
          <w:p w14:paraId="2375200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84222697</w:t>
            </w:r>
          </w:p>
        </w:tc>
        <w:tc>
          <w:tcPr>
            <w:tcW w:w="3360" w:type="pct"/>
            <w:tcBorders>
              <w:top w:val="nil"/>
              <w:left w:val="nil"/>
              <w:bottom w:val="single" w:sz="4" w:space="0" w:color="auto"/>
              <w:right w:val="single" w:sz="4" w:space="0" w:color="auto"/>
            </w:tcBorders>
            <w:shd w:val="clear" w:color="auto" w:fill="auto"/>
            <w:vAlign w:val="center"/>
            <w:hideMark/>
          </w:tcPr>
          <w:p w14:paraId="5F5B694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SLOVENSKA BISTRICA KRAJEVNA SKUPNOST DR.JAGODIČ SLOVENSKA BISTRICA</w:t>
            </w:r>
          </w:p>
        </w:tc>
      </w:tr>
      <w:tr w:rsidR="00E3750C" w:rsidRPr="00415AB3" w14:paraId="43349BA9"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F18E6C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1029</w:t>
            </w:r>
          </w:p>
        </w:tc>
        <w:tc>
          <w:tcPr>
            <w:tcW w:w="705" w:type="pct"/>
            <w:tcBorders>
              <w:top w:val="nil"/>
              <w:left w:val="nil"/>
              <w:bottom w:val="single" w:sz="4" w:space="0" w:color="auto"/>
              <w:right w:val="single" w:sz="4" w:space="0" w:color="auto"/>
            </w:tcBorders>
            <w:shd w:val="clear" w:color="auto" w:fill="auto"/>
            <w:noWrap/>
            <w:vAlign w:val="center"/>
            <w:hideMark/>
          </w:tcPr>
          <w:p w14:paraId="4959117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5181607000</w:t>
            </w:r>
          </w:p>
        </w:tc>
        <w:tc>
          <w:tcPr>
            <w:tcW w:w="547" w:type="pct"/>
            <w:tcBorders>
              <w:top w:val="nil"/>
              <w:left w:val="nil"/>
              <w:bottom w:val="single" w:sz="4" w:space="0" w:color="auto"/>
              <w:right w:val="single" w:sz="4" w:space="0" w:color="auto"/>
            </w:tcBorders>
            <w:shd w:val="clear" w:color="auto" w:fill="auto"/>
            <w:noWrap/>
            <w:vAlign w:val="center"/>
            <w:hideMark/>
          </w:tcPr>
          <w:p w14:paraId="7900DC0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41585372</w:t>
            </w:r>
          </w:p>
        </w:tc>
        <w:tc>
          <w:tcPr>
            <w:tcW w:w="3360" w:type="pct"/>
            <w:tcBorders>
              <w:top w:val="nil"/>
              <w:left w:val="nil"/>
              <w:bottom w:val="single" w:sz="4" w:space="0" w:color="auto"/>
              <w:right w:val="single" w:sz="4" w:space="0" w:color="auto"/>
            </w:tcBorders>
            <w:shd w:val="clear" w:color="auto" w:fill="auto"/>
            <w:vAlign w:val="center"/>
            <w:hideMark/>
          </w:tcPr>
          <w:p w14:paraId="3105B66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SLOVENSKA BISTRICA KRAJEVNA SKUPNOST IMPOL SLOVENSKA BISTRICA</w:t>
            </w:r>
          </w:p>
        </w:tc>
      </w:tr>
      <w:tr w:rsidR="00E3750C" w:rsidRPr="00415AB3" w14:paraId="50CEC00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4448C5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1030</w:t>
            </w:r>
          </w:p>
        </w:tc>
        <w:tc>
          <w:tcPr>
            <w:tcW w:w="705" w:type="pct"/>
            <w:tcBorders>
              <w:top w:val="nil"/>
              <w:left w:val="nil"/>
              <w:bottom w:val="single" w:sz="4" w:space="0" w:color="auto"/>
              <w:right w:val="single" w:sz="4" w:space="0" w:color="auto"/>
            </w:tcBorders>
            <w:shd w:val="clear" w:color="auto" w:fill="auto"/>
            <w:noWrap/>
            <w:vAlign w:val="center"/>
            <w:hideMark/>
          </w:tcPr>
          <w:p w14:paraId="64C8DFA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5020891000</w:t>
            </w:r>
          </w:p>
        </w:tc>
        <w:tc>
          <w:tcPr>
            <w:tcW w:w="547" w:type="pct"/>
            <w:tcBorders>
              <w:top w:val="nil"/>
              <w:left w:val="nil"/>
              <w:bottom w:val="single" w:sz="4" w:space="0" w:color="auto"/>
              <w:right w:val="single" w:sz="4" w:space="0" w:color="auto"/>
            </w:tcBorders>
            <w:shd w:val="clear" w:color="auto" w:fill="auto"/>
            <w:noWrap/>
            <w:vAlign w:val="center"/>
            <w:hideMark/>
          </w:tcPr>
          <w:p w14:paraId="0939527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46631569</w:t>
            </w:r>
          </w:p>
        </w:tc>
        <w:tc>
          <w:tcPr>
            <w:tcW w:w="3360" w:type="pct"/>
            <w:tcBorders>
              <w:top w:val="nil"/>
              <w:left w:val="nil"/>
              <w:bottom w:val="single" w:sz="4" w:space="0" w:color="auto"/>
              <w:right w:val="single" w:sz="4" w:space="0" w:color="auto"/>
            </w:tcBorders>
            <w:shd w:val="clear" w:color="auto" w:fill="auto"/>
            <w:vAlign w:val="center"/>
            <w:hideMark/>
          </w:tcPr>
          <w:p w14:paraId="771DE45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SLOVENSKA BISTRICA KRAJEVNA SKUPNOST LAPORJE</w:t>
            </w:r>
          </w:p>
        </w:tc>
      </w:tr>
      <w:tr w:rsidR="00E3750C" w:rsidRPr="00415AB3" w14:paraId="07C106ED"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6A9399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1031</w:t>
            </w:r>
          </w:p>
        </w:tc>
        <w:tc>
          <w:tcPr>
            <w:tcW w:w="705" w:type="pct"/>
            <w:tcBorders>
              <w:top w:val="nil"/>
              <w:left w:val="nil"/>
              <w:bottom w:val="single" w:sz="4" w:space="0" w:color="auto"/>
              <w:right w:val="single" w:sz="4" w:space="0" w:color="auto"/>
            </w:tcBorders>
            <w:shd w:val="clear" w:color="auto" w:fill="auto"/>
            <w:noWrap/>
            <w:vAlign w:val="center"/>
            <w:hideMark/>
          </w:tcPr>
          <w:p w14:paraId="45130B0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5006708000</w:t>
            </w:r>
          </w:p>
        </w:tc>
        <w:tc>
          <w:tcPr>
            <w:tcW w:w="547" w:type="pct"/>
            <w:tcBorders>
              <w:top w:val="nil"/>
              <w:left w:val="nil"/>
              <w:bottom w:val="single" w:sz="4" w:space="0" w:color="auto"/>
              <w:right w:val="single" w:sz="4" w:space="0" w:color="auto"/>
            </w:tcBorders>
            <w:shd w:val="clear" w:color="auto" w:fill="auto"/>
            <w:noWrap/>
            <w:vAlign w:val="center"/>
            <w:hideMark/>
          </w:tcPr>
          <w:p w14:paraId="069BF09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55373372</w:t>
            </w:r>
          </w:p>
        </w:tc>
        <w:tc>
          <w:tcPr>
            <w:tcW w:w="3360" w:type="pct"/>
            <w:tcBorders>
              <w:top w:val="nil"/>
              <w:left w:val="nil"/>
              <w:bottom w:val="single" w:sz="4" w:space="0" w:color="auto"/>
              <w:right w:val="single" w:sz="4" w:space="0" w:color="auto"/>
            </w:tcBorders>
            <w:shd w:val="clear" w:color="auto" w:fill="auto"/>
            <w:vAlign w:val="center"/>
            <w:hideMark/>
          </w:tcPr>
          <w:p w14:paraId="2769251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SLOVENSKA BISTRICA KRAJEVNA SKUPNOST LESKOVEC - STARI LOG</w:t>
            </w:r>
          </w:p>
        </w:tc>
      </w:tr>
      <w:tr w:rsidR="00E3750C" w:rsidRPr="00415AB3" w14:paraId="28C9003C"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333799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1032</w:t>
            </w:r>
          </w:p>
        </w:tc>
        <w:tc>
          <w:tcPr>
            <w:tcW w:w="705" w:type="pct"/>
            <w:tcBorders>
              <w:top w:val="nil"/>
              <w:left w:val="nil"/>
              <w:bottom w:val="single" w:sz="4" w:space="0" w:color="auto"/>
              <w:right w:val="single" w:sz="4" w:space="0" w:color="auto"/>
            </w:tcBorders>
            <w:shd w:val="clear" w:color="auto" w:fill="auto"/>
            <w:noWrap/>
            <w:vAlign w:val="center"/>
            <w:hideMark/>
          </w:tcPr>
          <w:p w14:paraId="38CC078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5181623000</w:t>
            </w:r>
          </w:p>
        </w:tc>
        <w:tc>
          <w:tcPr>
            <w:tcW w:w="547" w:type="pct"/>
            <w:tcBorders>
              <w:top w:val="nil"/>
              <w:left w:val="nil"/>
              <w:bottom w:val="single" w:sz="4" w:space="0" w:color="auto"/>
              <w:right w:val="single" w:sz="4" w:space="0" w:color="auto"/>
            </w:tcBorders>
            <w:shd w:val="clear" w:color="auto" w:fill="auto"/>
            <w:noWrap/>
            <w:vAlign w:val="center"/>
            <w:hideMark/>
          </w:tcPr>
          <w:p w14:paraId="064A451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38720582</w:t>
            </w:r>
          </w:p>
        </w:tc>
        <w:tc>
          <w:tcPr>
            <w:tcW w:w="3360" w:type="pct"/>
            <w:tcBorders>
              <w:top w:val="nil"/>
              <w:left w:val="nil"/>
              <w:bottom w:val="single" w:sz="4" w:space="0" w:color="auto"/>
              <w:right w:val="single" w:sz="4" w:space="0" w:color="auto"/>
            </w:tcBorders>
            <w:shd w:val="clear" w:color="auto" w:fill="auto"/>
            <w:vAlign w:val="center"/>
            <w:hideMark/>
          </w:tcPr>
          <w:p w14:paraId="6A49B59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SLOVENSKA BISTRICA KRAJEVNA SKUPNOST POHORSKI ODRED SLOVENSKA BISTRICA</w:t>
            </w:r>
          </w:p>
        </w:tc>
      </w:tr>
      <w:tr w:rsidR="00E3750C" w:rsidRPr="00415AB3" w14:paraId="3F557863"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21ABA1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1033</w:t>
            </w:r>
          </w:p>
        </w:tc>
        <w:tc>
          <w:tcPr>
            <w:tcW w:w="705" w:type="pct"/>
            <w:tcBorders>
              <w:top w:val="nil"/>
              <w:left w:val="nil"/>
              <w:bottom w:val="single" w:sz="4" w:space="0" w:color="auto"/>
              <w:right w:val="single" w:sz="4" w:space="0" w:color="auto"/>
            </w:tcBorders>
            <w:shd w:val="clear" w:color="auto" w:fill="auto"/>
            <w:noWrap/>
            <w:vAlign w:val="center"/>
            <w:hideMark/>
          </w:tcPr>
          <w:p w14:paraId="1662CCD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5032717000</w:t>
            </w:r>
          </w:p>
        </w:tc>
        <w:tc>
          <w:tcPr>
            <w:tcW w:w="547" w:type="pct"/>
            <w:tcBorders>
              <w:top w:val="nil"/>
              <w:left w:val="nil"/>
              <w:bottom w:val="single" w:sz="4" w:space="0" w:color="auto"/>
              <w:right w:val="single" w:sz="4" w:space="0" w:color="auto"/>
            </w:tcBorders>
            <w:shd w:val="clear" w:color="auto" w:fill="auto"/>
            <w:noWrap/>
            <w:vAlign w:val="center"/>
            <w:hideMark/>
          </w:tcPr>
          <w:p w14:paraId="675939E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79362532</w:t>
            </w:r>
          </w:p>
        </w:tc>
        <w:tc>
          <w:tcPr>
            <w:tcW w:w="3360" w:type="pct"/>
            <w:tcBorders>
              <w:top w:val="nil"/>
              <w:left w:val="nil"/>
              <w:bottom w:val="single" w:sz="4" w:space="0" w:color="auto"/>
              <w:right w:val="single" w:sz="4" w:space="0" w:color="auto"/>
            </w:tcBorders>
            <w:shd w:val="clear" w:color="auto" w:fill="auto"/>
            <w:vAlign w:val="center"/>
            <w:hideMark/>
          </w:tcPr>
          <w:p w14:paraId="651059E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SLOVENSKA BISTRICA KRAJEVNA SKUPNOST SPODNJA POLSKAVA</w:t>
            </w:r>
          </w:p>
        </w:tc>
      </w:tr>
      <w:tr w:rsidR="00E3750C" w:rsidRPr="00415AB3" w14:paraId="7E4073C4"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CF851C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1034</w:t>
            </w:r>
          </w:p>
        </w:tc>
        <w:tc>
          <w:tcPr>
            <w:tcW w:w="705" w:type="pct"/>
            <w:tcBorders>
              <w:top w:val="nil"/>
              <w:left w:val="nil"/>
              <w:bottom w:val="single" w:sz="4" w:space="0" w:color="auto"/>
              <w:right w:val="single" w:sz="4" w:space="0" w:color="auto"/>
            </w:tcBorders>
            <w:shd w:val="clear" w:color="auto" w:fill="auto"/>
            <w:noWrap/>
            <w:vAlign w:val="center"/>
            <w:hideMark/>
          </w:tcPr>
          <w:p w14:paraId="6D65CA4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5018943000</w:t>
            </w:r>
          </w:p>
        </w:tc>
        <w:tc>
          <w:tcPr>
            <w:tcW w:w="547" w:type="pct"/>
            <w:tcBorders>
              <w:top w:val="nil"/>
              <w:left w:val="nil"/>
              <w:bottom w:val="single" w:sz="4" w:space="0" w:color="auto"/>
              <w:right w:val="single" w:sz="4" w:space="0" w:color="auto"/>
            </w:tcBorders>
            <w:shd w:val="clear" w:color="auto" w:fill="auto"/>
            <w:noWrap/>
            <w:vAlign w:val="center"/>
            <w:hideMark/>
          </w:tcPr>
          <w:p w14:paraId="750F071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96595124</w:t>
            </w:r>
          </w:p>
        </w:tc>
        <w:tc>
          <w:tcPr>
            <w:tcW w:w="3360" w:type="pct"/>
            <w:tcBorders>
              <w:top w:val="nil"/>
              <w:left w:val="nil"/>
              <w:bottom w:val="single" w:sz="4" w:space="0" w:color="auto"/>
              <w:right w:val="single" w:sz="4" w:space="0" w:color="auto"/>
            </w:tcBorders>
            <w:shd w:val="clear" w:color="auto" w:fill="auto"/>
            <w:vAlign w:val="center"/>
            <w:hideMark/>
          </w:tcPr>
          <w:p w14:paraId="5C8F3DB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SLOVENSKA BISTRICA KRAJEVNA SKUPNOST ŠMARTNO NA POHORJU</w:t>
            </w:r>
          </w:p>
        </w:tc>
      </w:tr>
      <w:tr w:rsidR="00E3750C" w:rsidRPr="00415AB3" w14:paraId="62AF531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9A62CE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1035</w:t>
            </w:r>
          </w:p>
        </w:tc>
        <w:tc>
          <w:tcPr>
            <w:tcW w:w="705" w:type="pct"/>
            <w:tcBorders>
              <w:top w:val="nil"/>
              <w:left w:val="nil"/>
              <w:bottom w:val="single" w:sz="4" w:space="0" w:color="auto"/>
              <w:right w:val="single" w:sz="4" w:space="0" w:color="auto"/>
            </w:tcBorders>
            <w:shd w:val="clear" w:color="auto" w:fill="auto"/>
            <w:noWrap/>
            <w:vAlign w:val="center"/>
            <w:hideMark/>
          </w:tcPr>
          <w:p w14:paraId="47164A5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5032741000</w:t>
            </w:r>
          </w:p>
        </w:tc>
        <w:tc>
          <w:tcPr>
            <w:tcW w:w="547" w:type="pct"/>
            <w:tcBorders>
              <w:top w:val="nil"/>
              <w:left w:val="nil"/>
              <w:bottom w:val="single" w:sz="4" w:space="0" w:color="auto"/>
              <w:right w:val="single" w:sz="4" w:space="0" w:color="auto"/>
            </w:tcBorders>
            <w:shd w:val="clear" w:color="auto" w:fill="auto"/>
            <w:noWrap/>
            <w:vAlign w:val="center"/>
            <w:hideMark/>
          </w:tcPr>
          <w:p w14:paraId="3D2F38C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72074698</w:t>
            </w:r>
          </w:p>
        </w:tc>
        <w:tc>
          <w:tcPr>
            <w:tcW w:w="3360" w:type="pct"/>
            <w:tcBorders>
              <w:top w:val="nil"/>
              <w:left w:val="nil"/>
              <w:bottom w:val="single" w:sz="4" w:space="0" w:color="auto"/>
              <w:right w:val="single" w:sz="4" w:space="0" w:color="auto"/>
            </w:tcBorders>
            <w:shd w:val="clear" w:color="auto" w:fill="auto"/>
            <w:vAlign w:val="center"/>
            <w:hideMark/>
          </w:tcPr>
          <w:p w14:paraId="57A1510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SLOVENSKA BISTRICA KRAJEVNA SKUPNOST TINJE</w:t>
            </w:r>
          </w:p>
        </w:tc>
      </w:tr>
      <w:tr w:rsidR="00E3750C" w:rsidRPr="00415AB3" w14:paraId="647DF231"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B144EE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1036</w:t>
            </w:r>
          </w:p>
        </w:tc>
        <w:tc>
          <w:tcPr>
            <w:tcW w:w="705" w:type="pct"/>
            <w:tcBorders>
              <w:top w:val="nil"/>
              <w:left w:val="nil"/>
              <w:bottom w:val="single" w:sz="4" w:space="0" w:color="auto"/>
              <w:right w:val="single" w:sz="4" w:space="0" w:color="auto"/>
            </w:tcBorders>
            <w:shd w:val="clear" w:color="auto" w:fill="auto"/>
            <w:noWrap/>
            <w:vAlign w:val="center"/>
            <w:hideMark/>
          </w:tcPr>
          <w:p w14:paraId="55231BA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5181640000</w:t>
            </w:r>
          </w:p>
        </w:tc>
        <w:tc>
          <w:tcPr>
            <w:tcW w:w="547" w:type="pct"/>
            <w:tcBorders>
              <w:top w:val="nil"/>
              <w:left w:val="nil"/>
              <w:bottom w:val="single" w:sz="4" w:space="0" w:color="auto"/>
              <w:right w:val="single" w:sz="4" w:space="0" w:color="auto"/>
            </w:tcBorders>
            <w:shd w:val="clear" w:color="auto" w:fill="auto"/>
            <w:noWrap/>
            <w:vAlign w:val="center"/>
            <w:hideMark/>
          </w:tcPr>
          <w:p w14:paraId="3EE8B0B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48180840</w:t>
            </w:r>
          </w:p>
        </w:tc>
        <w:tc>
          <w:tcPr>
            <w:tcW w:w="3360" w:type="pct"/>
            <w:tcBorders>
              <w:top w:val="nil"/>
              <w:left w:val="nil"/>
              <w:bottom w:val="single" w:sz="4" w:space="0" w:color="auto"/>
              <w:right w:val="single" w:sz="4" w:space="0" w:color="auto"/>
            </w:tcBorders>
            <w:shd w:val="clear" w:color="auto" w:fill="auto"/>
            <w:vAlign w:val="center"/>
            <w:hideMark/>
          </w:tcPr>
          <w:p w14:paraId="7FCFDDD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SLOVENSKA BISTRICA KRAJEVNA SKUPNOST VRHOLE-PRELOGE</w:t>
            </w:r>
          </w:p>
        </w:tc>
      </w:tr>
      <w:tr w:rsidR="00E3750C" w:rsidRPr="00415AB3" w14:paraId="1BCB5736"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EC13C7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1037</w:t>
            </w:r>
          </w:p>
        </w:tc>
        <w:tc>
          <w:tcPr>
            <w:tcW w:w="705" w:type="pct"/>
            <w:tcBorders>
              <w:top w:val="nil"/>
              <w:left w:val="nil"/>
              <w:bottom w:val="single" w:sz="4" w:space="0" w:color="auto"/>
              <w:right w:val="single" w:sz="4" w:space="0" w:color="auto"/>
            </w:tcBorders>
            <w:shd w:val="clear" w:color="auto" w:fill="auto"/>
            <w:noWrap/>
            <w:vAlign w:val="center"/>
            <w:hideMark/>
          </w:tcPr>
          <w:p w14:paraId="66393B9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5018951000</w:t>
            </w:r>
          </w:p>
        </w:tc>
        <w:tc>
          <w:tcPr>
            <w:tcW w:w="547" w:type="pct"/>
            <w:tcBorders>
              <w:top w:val="nil"/>
              <w:left w:val="nil"/>
              <w:bottom w:val="single" w:sz="4" w:space="0" w:color="auto"/>
              <w:right w:val="single" w:sz="4" w:space="0" w:color="auto"/>
            </w:tcBorders>
            <w:shd w:val="clear" w:color="auto" w:fill="auto"/>
            <w:noWrap/>
            <w:vAlign w:val="center"/>
            <w:hideMark/>
          </w:tcPr>
          <w:p w14:paraId="3CB080C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32175302</w:t>
            </w:r>
          </w:p>
        </w:tc>
        <w:tc>
          <w:tcPr>
            <w:tcW w:w="3360" w:type="pct"/>
            <w:tcBorders>
              <w:top w:val="nil"/>
              <w:left w:val="nil"/>
              <w:bottom w:val="single" w:sz="4" w:space="0" w:color="auto"/>
              <w:right w:val="single" w:sz="4" w:space="0" w:color="auto"/>
            </w:tcBorders>
            <w:shd w:val="clear" w:color="auto" w:fill="auto"/>
            <w:vAlign w:val="center"/>
            <w:hideMark/>
          </w:tcPr>
          <w:p w14:paraId="5A481E9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SLOVENSKA BISTRICA KRAJEVNA SKUPNOST ZGORNJA LOŽNICA</w:t>
            </w:r>
          </w:p>
        </w:tc>
      </w:tr>
      <w:tr w:rsidR="00E3750C" w:rsidRPr="00415AB3" w14:paraId="13EE0BFD"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2DD74D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1038</w:t>
            </w:r>
          </w:p>
        </w:tc>
        <w:tc>
          <w:tcPr>
            <w:tcW w:w="705" w:type="pct"/>
            <w:tcBorders>
              <w:top w:val="nil"/>
              <w:left w:val="nil"/>
              <w:bottom w:val="single" w:sz="4" w:space="0" w:color="auto"/>
              <w:right w:val="single" w:sz="4" w:space="0" w:color="auto"/>
            </w:tcBorders>
            <w:shd w:val="clear" w:color="auto" w:fill="auto"/>
            <w:noWrap/>
            <w:vAlign w:val="center"/>
            <w:hideMark/>
          </w:tcPr>
          <w:p w14:paraId="64D8BEE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5020905000</w:t>
            </w:r>
          </w:p>
        </w:tc>
        <w:tc>
          <w:tcPr>
            <w:tcW w:w="547" w:type="pct"/>
            <w:tcBorders>
              <w:top w:val="nil"/>
              <w:left w:val="nil"/>
              <w:bottom w:val="single" w:sz="4" w:space="0" w:color="auto"/>
              <w:right w:val="single" w:sz="4" w:space="0" w:color="auto"/>
            </w:tcBorders>
            <w:shd w:val="clear" w:color="auto" w:fill="auto"/>
            <w:noWrap/>
            <w:vAlign w:val="center"/>
            <w:hideMark/>
          </w:tcPr>
          <w:p w14:paraId="6A20EA2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42311993</w:t>
            </w:r>
          </w:p>
        </w:tc>
        <w:tc>
          <w:tcPr>
            <w:tcW w:w="3360" w:type="pct"/>
            <w:tcBorders>
              <w:top w:val="nil"/>
              <w:left w:val="nil"/>
              <w:bottom w:val="single" w:sz="4" w:space="0" w:color="auto"/>
              <w:right w:val="single" w:sz="4" w:space="0" w:color="auto"/>
            </w:tcBorders>
            <w:shd w:val="clear" w:color="auto" w:fill="auto"/>
            <w:vAlign w:val="center"/>
            <w:hideMark/>
          </w:tcPr>
          <w:p w14:paraId="0BC4B20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SLOVENSKA BISTRICA KRAJEVNA SKUPNOST ZGORNJA POLSKAVA</w:t>
            </w:r>
          </w:p>
        </w:tc>
      </w:tr>
      <w:tr w:rsidR="00E3750C" w:rsidRPr="00415AB3" w14:paraId="4E03C80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E4E95C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1039</w:t>
            </w:r>
          </w:p>
        </w:tc>
        <w:tc>
          <w:tcPr>
            <w:tcW w:w="705" w:type="pct"/>
            <w:tcBorders>
              <w:top w:val="nil"/>
              <w:left w:val="nil"/>
              <w:bottom w:val="single" w:sz="4" w:space="0" w:color="auto"/>
              <w:right w:val="single" w:sz="4" w:space="0" w:color="auto"/>
            </w:tcBorders>
            <w:shd w:val="clear" w:color="auto" w:fill="auto"/>
            <w:noWrap/>
            <w:vAlign w:val="center"/>
            <w:hideMark/>
          </w:tcPr>
          <w:p w14:paraId="17D55F0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5883814000</w:t>
            </w:r>
          </w:p>
        </w:tc>
        <w:tc>
          <w:tcPr>
            <w:tcW w:w="547" w:type="pct"/>
            <w:tcBorders>
              <w:top w:val="nil"/>
              <w:left w:val="nil"/>
              <w:bottom w:val="single" w:sz="4" w:space="0" w:color="auto"/>
              <w:right w:val="single" w:sz="4" w:space="0" w:color="auto"/>
            </w:tcBorders>
            <w:shd w:val="clear" w:color="auto" w:fill="auto"/>
            <w:noWrap/>
            <w:vAlign w:val="center"/>
            <w:hideMark/>
          </w:tcPr>
          <w:p w14:paraId="6FAB073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65504038</w:t>
            </w:r>
          </w:p>
        </w:tc>
        <w:tc>
          <w:tcPr>
            <w:tcW w:w="3360" w:type="pct"/>
            <w:tcBorders>
              <w:top w:val="nil"/>
              <w:left w:val="nil"/>
              <w:bottom w:val="single" w:sz="4" w:space="0" w:color="auto"/>
              <w:right w:val="single" w:sz="4" w:space="0" w:color="auto"/>
            </w:tcBorders>
            <w:shd w:val="clear" w:color="auto" w:fill="auto"/>
            <w:vAlign w:val="center"/>
            <w:hideMark/>
          </w:tcPr>
          <w:p w14:paraId="0F410FB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SLOVENSKE KONJICE</w:t>
            </w:r>
          </w:p>
        </w:tc>
      </w:tr>
      <w:tr w:rsidR="00E3750C" w:rsidRPr="00415AB3" w14:paraId="34C0A77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21E70E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1040</w:t>
            </w:r>
          </w:p>
        </w:tc>
        <w:tc>
          <w:tcPr>
            <w:tcW w:w="705" w:type="pct"/>
            <w:tcBorders>
              <w:top w:val="nil"/>
              <w:left w:val="nil"/>
              <w:bottom w:val="single" w:sz="4" w:space="0" w:color="auto"/>
              <w:right w:val="single" w:sz="4" w:space="0" w:color="auto"/>
            </w:tcBorders>
            <w:shd w:val="clear" w:color="auto" w:fill="auto"/>
            <w:noWrap/>
            <w:vAlign w:val="center"/>
            <w:hideMark/>
          </w:tcPr>
          <w:p w14:paraId="64DDB05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1358154000</w:t>
            </w:r>
          </w:p>
        </w:tc>
        <w:tc>
          <w:tcPr>
            <w:tcW w:w="547" w:type="pct"/>
            <w:tcBorders>
              <w:top w:val="nil"/>
              <w:left w:val="nil"/>
              <w:bottom w:val="single" w:sz="4" w:space="0" w:color="auto"/>
              <w:right w:val="single" w:sz="4" w:space="0" w:color="auto"/>
            </w:tcBorders>
            <w:shd w:val="clear" w:color="auto" w:fill="auto"/>
            <w:noWrap/>
            <w:vAlign w:val="center"/>
            <w:hideMark/>
          </w:tcPr>
          <w:p w14:paraId="27C21D4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97149667</w:t>
            </w:r>
          </w:p>
        </w:tc>
        <w:tc>
          <w:tcPr>
            <w:tcW w:w="3360" w:type="pct"/>
            <w:tcBorders>
              <w:top w:val="nil"/>
              <w:left w:val="nil"/>
              <w:bottom w:val="single" w:sz="4" w:space="0" w:color="auto"/>
              <w:right w:val="single" w:sz="4" w:space="0" w:color="auto"/>
            </w:tcBorders>
            <w:shd w:val="clear" w:color="auto" w:fill="auto"/>
            <w:vAlign w:val="center"/>
            <w:hideMark/>
          </w:tcPr>
          <w:p w14:paraId="5CEABF7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SODRAŽICA</w:t>
            </w:r>
          </w:p>
        </w:tc>
      </w:tr>
      <w:tr w:rsidR="00E3750C" w:rsidRPr="00415AB3" w14:paraId="07330B1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DE5CC5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1041</w:t>
            </w:r>
          </w:p>
        </w:tc>
        <w:tc>
          <w:tcPr>
            <w:tcW w:w="705" w:type="pct"/>
            <w:tcBorders>
              <w:top w:val="nil"/>
              <w:left w:val="nil"/>
              <w:bottom w:val="single" w:sz="4" w:space="0" w:color="auto"/>
              <w:right w:val="single" w:sz="4" w:space="0" w:color="auto"/>
            </w:tcBorders>
            <w:shd w:val="clear" w:color="auto" w:fill="auto"/>
            <w:noWrap/>
            <w:vAlign w:val="center"/>
            <w:hideMark/>
          </w:tcPr>
          <w:p w14:paraId="53DCD0F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1365851000</w:t>
            </w:r>
          </w:p>
        </w:tc>
        <w:tc>
          <w:tcPr>
            <w:tcW w:w="547" w:type="pct"/>
            <w:tcBorders>
              <w:top w:val="nil"/>
              <w:left w:val="nil"/>
              <w:bottom w:val="single" w:sz="4" w:space="0" w:color="auto"/>
              <w:right w:val="single" w:sz="4" w:space="0" w:color="auto"/>
            </w:tcBorders>
            <w:shd w:val="clear" w:color="auto" w:fill="auto"/>
            <w:noWrap/>
            <w:vAlign w:val="center"/>
            <w:hideMark/>
          </w:tcPr>
          <w:p w14:paraId="594A5A4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78412447</w:t>
            </w:r>
          </w:p>
        </w:tc>
        <w:tc>
          <w:tcPr>
            <w:tcW w:w="3360" w:type="pct"/>
            <w:tcBorders>
              <w:top w:val="nil"/>
              <w:left w:val="nil"/>
              <w:bottom w:val="single" w:sz="4" w:space="0" w:color="auto"/>
              <w:right w:val="single" w:sz="4" w:space="0" w:color="auto"/>
            </w:tcBorders>
            <w:shd w:val="clear" w:color="auto" w:fill="auto"/>
            <w:vAlign w:val="center"/>
            <w:hideMark/>
          </w:tcPr>
          <w:p w14:paraId="1475D32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SOLČAVA</w:t>
            </w:r>
          </w:p>
        </w:tc>
      </w:tr>
      <w:tr w:rsidR="00E3750C" w:rsidRPr="00415AB3" w14:paraId="3F35107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C3E1FF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1042</w:t>
            </w:r>
          </w:p>
        </w:tc>
        <w:tc>
          <w:tcPr>
            <w:tcW w:w="705" w:type="pct"/>
            <w:tcBorders>
              <w:top w:val="nil"/>
              <w:left w:val="nil"/>
              <w:bottom w:val="single" w:sz="4" w:space="0" w:color="auto"/>
              <w:right w:val="single" w:sz="4" w:space="0" w:color="auto"/>
            </w:tcBorders>
            <w:shd w:val="clear" w:color="auto" w:fill="auto"/>
            <w:noWrap/>
            <w:vAlign w:val="center"/>
            <w:hideMark/>
          </w:tcPr>
          <w:p w14:paraId="065E1F8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2242788000</w:t>
            </w:r>
          </w:p>
        </w:tc>
        <w:tc>
          <w:tcPr>
            <w:tcW w:w="547" w:type="pct"/>
            <w:tcBorders>
              <w:top w:val="nil"/>
              <w:left w:val="nil"/>
              <w:bottom w:val="single" w:sz="4" w:space="0" w:color="auto"/>
              <w:right w:val="single" w:sz="4" w:space="0" w:color="auto"/>
            </w:tcBorders>
            <w:shd w:val="clear" w:color="auto" w:fill="auto"/>
            <w:noWrap/>
            <w:vAlign w:val="center"/>
            <w:hideMark/>
          </w:tcPr>
          <w:p w14:paraId="63ED3A9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72907932</w:t>
            </w:r>
          </w:p>
        </w:tc>
        <w:tc>
          <w:tcPr>
            <w:tcW w:w="3360" w:type="pct"/>
            <w:tcBorders>
              <w:top w:val="nil"/>
              <w:left w:val="nil"/>
              <w:bottom w:val="single" w:sz="4" w:space="0" w:color="auto"/>
              <w:right w:val="single" w:sz="4" w:space="0" w:color="auto"/>
            </w:tcBorders>
            <w:shd w:val="clear" w:color="auto" w:fill="auto"/>
            <w:vAlign w:val="center"/>
            <w:hideMark/>
          </w:tcPr>
          <w:p w14:paraId="1EEE837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SREDIŠČE OB DRAVI</w:t>
            </w:r>
          </w:p>
        </w:tc>
      </w:tr>
      <w:tr w:rsidR="00E3750C" w:rsidRPr="00415AB3" w14:paraId="4C028C2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1C5889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1043</w:t>
            </w:r>
          </w:p>
        </w:tc>
        <w:tc>
          <w:tcPr>
            <w:tcW w:w="705" w:type="pct"/>
            <w:tcBorders>
              <w:top w:val="nil"/>
              <w:left w:val="nil"/>
              <w:bottom w:val="single" w:sz="4" w:space="0" w:color="auto"/>
              <w:right w:val="single" w:sz="4" w:space="0" w:color="auto"/>
            </w:tcBorders>
            <w:shd w:val="clear" w:color="auto" w:fill="auto"/>
            <w:noWrap/>
            <w:vAlign w:val="center"/>
            <w:hideMark/>
          </w:tcPr>
          <w:p w14:paraId="4215B6C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5883199000</w:t>
            </w:r>
          </w:p>
        </w:tc>
        <w:tc>
          <w:tcPr>
            <w:tcW w:w="547" w:type="pct"/>
            <w:tcBorders>
              <w:top w:val="nil"/>
              <w:left w:val="nil"/>
              <w:bottom w:val="single" w:sz="4" w:space="0" w:color="auto"/>
              <w:right w:val="single" w:sz="4" w:space="0" w:color="auto"/>
            </w:tcBorders>
            <w:shd w:val="clear" w:color="auto" w:fill="auto"/>
            <w:noWrap/>
            <w:vAlign w:val="center"/>
            <w:hideMark/>
          </w:tcPr>
          <w:p w14:paraId="5612243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12241075</w:t>
            </w:r>
          </w:p>
        </w:tc>
        <w:tc>
          <w:tcPr>
            <w:tcW w:w="3360" w:type="pct"/>
            <w:tcBorders>
              <w:top w:val="nil"/>
              <w:left w:val="nil"/>
              <w:bottom w:val="single" w:sz="4" w:space="0" w:color="auto"/>
              <w:right w:val="single" w:sz="4" w:space="0" w:color="auto"/>
            </w:tcBorders>
            <w:shd w:val="clear" w:color="auto" w:fill="auto"/>
            <w:vAlign w:val="center"/>
            <w:hideMark/>
          </w:tcPr>
          <w:p w14:paraId="1103709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STARŠE</w:t>
            </w:r>
          </w:p>
        </w:tc>
      </w:tr>
      <w:tr w:rsidR="00E3750C" w:rsidRPr="00415AB3" w14:paraId="59602DC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8C751F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1044</w:t>
            </w:r>
          </w:p>
        </w:tc>
        <w:tc>
          <w:tcPr>
            <w:tcW w:w="705" w:type="pct"/>
            <w:tcBorders>
              <w:top w:val="nil"/>
              <w:left w:val="nil"/>
              <w:bottom w:val="single" w:sz="4" w:space="0" w:color="auto"/>
              <w:right w:val="single" w:sz="4" w:space="0" w:color="auto"/>
            </w:tcBorders>
            <w:shd w:val="clear" w:color="auto" w:fill="auto"/>
            <w:noWrap/>
            <w:vAlign w:val="center"/>
            <w:hideMark/>
          </w:tcPr>
          <w:p w14:paraId="31A13BF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2241145000</w:t>
            </w:r>
          </w:p>
        </w:tc>
        <w:tc>
          <w:tcPr>
            <w:tcW w:w="547" w:type="pct"/>
            <w:tcBorders>
              <w:top w:val="nil"/>
              <w:left w:val="nil"/>
              <w:bottom w:val="single" w:sz="4" w:space="0" w:color="auto"/>
              <w:right w:val="single" w:sz="4" w:space="0" w:color="auto"/>
            </w:tcBorders>
            <w:shd w:val="clear" w:color="auto" w:fill="auto"/>
            <w:noWrap/>
            <w:vAlign w:val="center"/>
            <w:hideMark/>
          </w:tcPr>
          <w:p w14:paraId="1187340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26246465</w:t>
            </w:r>
          </w:p>
        </w:tc>
        <w:tc>
          <w:tcPr>
            <w:tcW w:w="3360" w:type="pct"/>
            <w:tcBorders>
              <w:top w:val="nil"/>
              <w:left w:val="nil"/>
              <w:bottom w:val="single" w:sz="4" w:space="0" w:color="auto"/>
              <w:right w:val="single" w:sz="4" w:space="0" w:color="auto"/>
            </w:tcBorders>
            <w:shd w:val="clear" w:color="auto" w:fill="auto"/>
            <w:vAlign w:val="center"/>
            <w:hideMark/>
          </w:tcPr>
          <w:p w14:paraId="0AE39F3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STRAŽA</w:t>
            </w:r>
          </w:p>
        </w:tc>
      </w:tr>
      <w:tr w:rsidR="00E3750C" w:rsidRPr="00415AB3" w14:paraId="1EBDF2C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9C88CC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1045</w:t>
            </w:r>
          </w:p>
        </w:tc>
        <w:tc>
          <w:tcPr>
            <w:tcW w:w="705" w:type="pct"/>
            <w:tcBorders>
              <w:top w:val="nil"/>
              <w:left w:val="nil"/>
              <w:bottom w:val="single" w:sz="4" w:space="0" w:color="auto"/>
              <w:right w:val="single" w:sz="4" w:space="0" w:color="auto"/>
            </w:tcBorders>
            <w:shd w:val="clear" w:color="auto" w:fill="auto"/>
            <w:noWrap/>
            <w:vAlign w:val="center"/>
            <w:hideMark/>
          </w:tcPr>
          <w:p w14:paraId="7DCE4AB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1332074000</w:t>
            </w:r>
          </w:p>
        </w:tc>
        <w:tc>
          <w:tcPr>
            <w:tcW w:w="547" w:type="pct"/>
            <w:tcBorders>
              <w:top w:val="nil"/>
              <w:left w:val="nil"/>
              <w:bottom w:val="single" w:sz="4" w:space="0" w:color="auto"/>
              <w:right w:val="single" w:sz="4" w:space="0" w:color="auto"/>
            </w:tcBorders>
            <w:shd w:val="clear" w:color="auto" w:fill="auto"/>
            <w:noWrap/>
            <w:vAlign w:val="center"/>
            <w:hideMark/>
          </w:tcPr>
          <w:p w14:paraId="6E15622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59385081</w:t>
            </w:r>
          </w:p>
        </w:tc>
        <w:tc>
          <w:tcPr>
            <w:tcW w:w="3360" w:type="pct"/>
            <w:tcBorders>
              <w:top w:val="nil"/>
              <w:left w:val="nil"/>
              <w:bottom w:val="single" w:sz="4" w:space="0" w:color="auto"/>
              <w:right w:val="single" w:sz="4" w:space="0" w:color="auto"/>
            </w:tcBorders>
            <w:shd w:val="clear" w:color="auto" w:fill="auto"/>
            <w:vAlign w:val="center"/>
            <w:hideMark/>
          </w:tcPr>
          <w:p w14:paraId="4563BFB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SVETA ANA</w:t>
            </w:r>
          </w:p>
        </w:tc>
      </w:tr>
      <w:tr w:rsidR="00E3750C" w:rsidRPr="00415AB3" w14:paraId="4124AFB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8183B7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1046</w:t>
            </w:r>
          </w:p>
        </w:tc>
        <w:tc>
          <w:tcPr>
            <w:tcW w:w="705" w:type="pct"/>
            <w:tcBorders>
              <w:top w:val="nil"/>
              <w:left w:val="nil"/>
              <w:bottom w:val="single" w:sz="4" w:space="0" w:color="auto"/>
              <w:right w:val="single" w:sz="4" w:space="0" w:color="auto"/>
            </w:tcBorders>
            <w:shd w:val="clear" w:color="auto" w:fill="auto"/>
            <w:noWrap/>
            <w:vAlign w:val="center"/>
            <w:hideMark/>
          </w:tcPr>
          <w:p w14:paraId="54AF6A9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2242796000</w:t>
            </w:r>
          </w:p>
        </w:tc>
        <w:tc>
          <w:tcPr>
            <w:tcW w:w="547" w:type="pct"/>
            <w:tcBorders>
              <w:top w:val="nil"/>
              <w:left w:val="nil"/>
              <w:bottom w:val="single" w:sz="4" w:space="0" w:color="auto"/>
              <w:right w:val="single" w:sz="4" w:space="0" w:color="auto"/>
            </w:tcBorders>
            <w:shd w:val="clear" w:color="auto" w:fill="auto"/>
            <w:noWrap/>
            <w:vAlign w:val="center"/>
            <w:hideMark/>
          </w:tcPr>
          <w:p w14:paraId="68996C5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58878734</w:t>
            </w:r>
          </w:p>
        </w:tc>
        <w:tc>
          <w:tcPr>
            <w:tcW w:w="3360" w:type="pct"/>
            <w:tcBorders>
              <w:top w:val="nil"/>
              <w:left w:val="nil"/>
              <w:bottom w:val="single" w:sz="4" w:space="0" w:color="auto"/>
              <w:right w:val="single" w:sz="4" w:space="0" w:color="auto"/>
            </w:tcBorders>
            <w:shd w:val="clear" w:color="auto" w:fill="auto"/>
            <w:vAlign w:val="center"/>
            <w:hideMark/>
          </w:tcPr>
          <w:p w14:paraId="60DE09A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SVETA TROJICA V SLOVENSKIH GORICAH</w:t>
            </w:r>
          </w:p>
        </w:tc>
      </w:tr>
      <w:tr w:rsidR="00E3750C" w:rsidRPr="00415AB3" w14:paraId="60B44D6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776093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1047</w:t>
            </w:r>
          </w:p>
        </w:tc>
        <w:tc>
          <w:tcPr>
            <w:tcW w:w="705" w:type="pct"/>
            <w:tcBorders>
              <w:top w:val="nil"/>
              <w:left w:val="nil"/>
              <w:bottom w:val="single" w:sz="4" w:space="0" w:color="auto"/>
              <w:right w:val="single" w:sz="4" w:space="0" w:color="auto"/>
            </w:tcBorders>
            <w:shd w:val="clear" w:color="auto" w:fill="auto"/>
            <w:noWrap/>
            <w:vAlign w:val="center"/>
            <w:hideMark/>
          </w:tcPr>
          <w:p w14:paraId="464BBDD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1358103000</w:t>
            </w:r>
          </w:p>
        </w:tc>
        <w:tc>
          <w:tcPr>
            <w:tcW w:w="547" w:type="pct"/>
            <w:tcBorders>
              <w:top w:val="nil"/>
              <w:left w:val="nil"/>
              <w:bottom w:val="single" w:sz="4" w:space="0" w:color="auto"/>
              <w:right w:val="single" w:sz="4" w:space="0" w:color="auto"/>
            </w:tcBorders>
            <w:shd w:val="clear" w:color="auto" w:fill="auto"/>
            <w:noWrap/>
            <w:vAlign w:val="center"/>
            <w:hideMark/>
          </w:tcPr>
          <w:p w14:paraId="62BE086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72359528</w:t>
            </w:r>
          </w:p>
        </w:tc>
        <w:tc>
          <w:tcPr>
            <w:tcW w:w="3360" w:type="pct"/>
            <w:tcBorders>
              <w:top w:val="nil"/>
              <w:left w:val="nil"/>
              <w:bottom w:val="single" w:sz="4" w:space="0" w:color="auto"/>
              <w:right w:val="single" w:sz="4" w:space="0" w:color="auto"/>
            </w:tcBorders>
            <w:shd w:val="clear" w:color="auto" w:fill="auto"/>
            <w:vAlign w:val="center"/>
            <w:hideMark/>
          </w:tcPr>
          <w:p w14:paraId="2F54BBC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SVETI ANDRAŽ V SLOVENSKIH GORICAH</w:t>
            </w:r>
          </w:p>
        </w:tc>
      </w:tr>
      <w:tr w:rsidR="00E3750C" w:rsidRPr="00415AB3" w14:paraId="5566ADF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00B5F2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1048</w:t>
            </w:r>
          </w:p>
        </w:tc>
        <w:tc>
          <w:tcPr>
            <w:tcW w:w="705" w:type="pct"/>
            <w:tcBorders>
              <w:top w:val="nil"/>
              <w:left w:val="nil"/>
              <w:bottom w:val="single" w:sz="4" w:space="0" w:color="auto"/>
              <w:right w:val="single" w:sz="4" w:space="0" w:color="auto"/>
            </w:tcBorders>
            <w:shd w:val="clear" w:color="auto" w:fill="auto"/>
            <w:noWrap/>
            <w:vAlign w:val="center"/>
            <w:hideMark/>
          </w:tcPr>
          <w:p w14:paraId="4F4D83F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5880319000</w:t>
            </w:r>
          </w:p>
        </w:tc>
        <w:tc>
          <w:tcPr>
            <w:tcW w:w="547" w:type="pct"/>
            <w:tcBorders>
              <w:top w:val="nil"/>
              <w:left w:val="nil"/>
              <w:bottom w:val="single" w:sz="4" w:space="0" w:color="auto"/>
              <w:right w:val="single" w:sz="4" w:space="0" w:color="auto"/>
            </w:tcBorders>
            <w:shd w:val="clear" w:color="auto" w:fill="auto"/>
            <w:noWrap/>
            <w:vAlign w:val="center"/>
            <w:hideMark/>
          </w:tcPr>
          <w:p w14:paraId="6BCBF0F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36670243</w:t>
            </w:r>
          </w:p>
        </w:tc>
        <w:tc>
          <w:tcPr>
            <w:tcW w:w="3360" w:type="pct"/>
            <w:tcBorders>
              <w:top w:val="nil"/>
              <w:left w:val="nil"/>
              <w:bottom w:val="single" w:sz="4" w:space="0" w:color="auto"/>
              <w:right w:val="single" w:sz="4" w:space="0" w:color="auto"/>
            </w:tcBorders>
            <w:shd w:val="clear" w:color="auto" w:fill="auto"/>
            <w:vAlign w:val="center"/>
            <w:hideMark/>
          </w:tcPr>
          <w:p w14:paraId="09E9477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SVETI JURIJ OB ŠČAVNICI</w:t>
            </w:r>
          </w:p>
        </w:tc>
      </w:tr>
      <w:tr w:rsidR="00E3750C" w:rsidRPr="00415AB3" w14:paraId="15E9428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F2CB67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1049</w:t>
            </w:r>
          </w:p>
        </w:tc>
        <w:tc>
          <w:tcPr>
            <w:tcW w:w="705" w:type="pct"/>
            <w:tcBorders>
              <w:top w:val="nil"/>
              <w:left w:val="nil"/>
              <w:bottom w:val="single" w:sz="4" w:space="0" w:color="auto"/>
              <w:right w:val="single" w:sz="4" w:space="0" w:color="auto"/>
            </w:tcBorders>
            <w:shd w:val="clear" w:color="auto" w:fill="auto"/>
            <w:noWrap/>
            <w:vAlign w:val="center"/>
            <w:hideMark/>
          </w:tcPr>
          <w:p w14:paraId="5161F0D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2242877000</w:t>
            </w:r>
          </w:p>
        </w:tc>
        <w:tc>
          <w:tcPr>
            <w:tcW w:w="547" w:type="pct"/>
            <w:tcBorders>
              <w:top w:val="nil"/>
              <w:left w:val="nil"/>
              <w:bottom w:val="single" w:sz="4" w:space="0" w:color="auto"/>
              <w:right w:val="single" w:sz="4" w:space="0" w:color="auto"/>
            </w:tcBorders>
            <w:shd w:val="clear" w:color="auto" w:fill="auto"/>
            <w:noWrap/>
            <w:vAlign w:val="center"/>
            <w:hideMark/>
          </w:tcPr>
          <w:p w14:paraId="3561459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58481435</w:t>
            </w:r>
          </w:p>
        </w:tc>
        <w:tc>
          <w:tcPr>
            <w:tcW w:w="3360" w:type="pct"/>
            <w:tcBorders>
              <w:top w:val="nil"/>
              <w:left w:val="nil"/>
              <w:bottom w:val="single" w:sz="4" w:space="0" w:color="auto"/>
              <w:right w:val="single" w:sz="4" w:space="0" w:color="auto"/>
            </w:tcBorders>
            <w:shd w:val="clear" w:color="auto" w:fill="auto"/>
            <w:vAlign w:val="center"/>
            <w:hideMark/>
          </w:tcPr>
          <w:p w14:paraId="6FB88C3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SVETI JURIJ V SLOVENSKIH GORICAH</w:t>
            </w:r>
          </w:p>
        </w:tc>
      </w:tr>
      <w:tr w:rsidR="00E3750C" w:rsidRPr="00415AB3" w14:paraId="6486233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0A9EF6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1050</w:t>
            </w:r>
          </w:p>
        </w:tc>
        <w:tc>
          <w:tcPr>
            <w:tcW w:w="705" w:type="pct"/>
            <w:tcBorders>
              <w:top w:val="nil"/>
              <w:left w:val="nil"/>
              <w:bottom w:val="single" w:sz="4" w:space="0" w:color="auto"/>
              <w:right w:val="single" w:sz="4" w:space="0" w:color="auto"/>
            </w:tcBorders>
            <w:shd w:val="clear" w:color="auto" w:fill="auto"/>
            <w:noWrap/>
            <w:vAlign w:val="center"/>
            <w:hideMark/>
          </w:tcPr>
          <w:p w14:paraId="02527C1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2242761000</w:t>
            </w:r>
          </w:p>
        </w:tc>
        <w:tc>
          <w:tcPr>
            <w:tcW w:w="547" w:type="pct"/>
            <w:tcBorders>
              <w:top w:val="nil"/>
              <w:left w:val="nil"/>
              <w:bottom w:val="single" w:sz="4" w:space="0" w:color="auto"/>
              <w:right w:val="single" w:sz="4" w:space="0" w:color="auto"/>
            </w:tcBorders>
            <w:shd w:val="clear" w:color="auto" w:fill="auto"/>
            <w:noWrap/>
            <w:vAlign w:val="center"/>
            <w:hideMark/>
          </w:tcPr>
          <w:p w14:paraId="316F5C3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46847758</w:t>
            </w:r>
          </w:p>
        </w:tc>
        <w:tc>
          <w:tcPr>
            <w:tcW w:w="3360" w:type="pct"/>
            <w:tcBorders>
              <w:top w:val="nil"/>
              <w:left w:val="nil"/>
              <w:bottom w:val="single" w:sz="4" w:space="0" w:color="auto"/>
              <w:right w:val="single" w:sz="4" w:space="0" w:color="auto"/>
            </w:tcBorders>
            <w:shd w:val="clear" w:color="auto" w:fill="auto"/>
            <w:vAlign w:val="center"/>
            <w:hideMark/>
          </w:tcPr>
          <w:p w14:paraId="183280D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SVETI TOMAŽ</w:t>
            </w:r>
          </w:p>
        </w:tc>
      </w:tr>
      <w:tr w:rsidR="00E3750C" w:rsidRPr="00415AB3" w14:paraId="073A8DA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90267D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1051</w:t>
            </w:r>
          </w:p>
        </w:tc>
        <w:tc>
          <w:tcPr>
            <w:tcW w:w="705" w:type="pct"/>
            <w:tcBorders>
              <w:top w:val="nil"/>
              <w:left w:val="nil"/>
              <w:bottom w:val="single" w:sz="4" w:space="0" w:color="auto"/>
              <w:right w:val="single" w:sz="4" w:space="0" w:color="auto"/>
            </w:tcBorders>
            <w:shd w:val="clear" w:color="auto" w:fill="auto"/>
            <w:noWrap/>
            <w:vAlign w:val="center"/>
            <w:hideMark/>
          </w:tcPr>
          <w:p w14:paraId="3C55D7E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5883113000</w:t>
            </w:r>
          </w:p>
        </w:tc>
        <w:tc>
          <w:tcPr>
            <w:tcW w:w="547" w:type="pct"/>
            <w:tcBorders>
              <w:top w:val="nil"/>
              <w:left w:val="nil"/>
              <w:bottom w:val="single" w:sz="4" w:space="0" w:color="auto"/>
              <w:right w:val="single" w:sz="4" w:space="0" w:color="auto"/>
            </w:tcBorders>
            <w:shd w:val="clear" w:color="auto" w:fill="auto"/>
            <w:noWrap/>
            <w:vAlign w:val="center"/>
            <w:hideMark/>
          </w:tcPr>
          <w:p w14:paraId="44479E7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83272631</w:t>
            </w:r>
          </w:p>
        </w:tc>
        <w:tc>
          <w:tcPr>
            <w:tcW w:w="3360" w:type="pct"/>
            <w:tcBorders>
              <w:top w:val="nil"/>
              <w:left w:val="nil"/>
              <w:bottom w:val="single" w:sz="4" w:space="0" w:color="auto"/>
              <w:right w:val="single" w:sz="4" w:space="0" w:color="auto"/>
            </w:tcBorders>
            <w:shd w:val="clear" w:color="auto" w:fill="auto"/>
            <w:vAlign w:val="center"/>
            <w:hideMark/>
          </w:tcPr>
          <w:p w14:paraId="0A9813C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ŠALOVCI</w:t>
            </w:r>
          </w:p>
        </w:tc>
      </w:tr>
      <w:tr w:rsidR="00E3750C" w:rsidRPr="00415AB3" w14:paraId="5ED66E0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C58545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1052</w:t>
            </w:r>
          </w:p>
        </w:tc>
        <w:tc>
          <w:tcPr>
            <w:tcW w:w="705" w:type="pct"/>
            <w:tcBorders>
              <w:top w:val="nil"/>
              <w:left w:val="nil"/>
              <w:bottom w:val="single" w:sz="4" w:space="0" w:color="auto"/>
              <w:right w:val="single" w:sz="4" w:space="0" w:color="auto"/>
            </w:tcBorders>
            <w:shd w:val="clear" w:color="auto" w:fill="auto"/>
            <w:noWrap/>
            <w:vAlign w:val="center"/>
            <w:hideMark/>
          </w:tcPr>
          <w:p w14:paraId="13A9962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1358227000</w:t>
            </w:r>
          </w:p>
        </w:tc>
        <w:tc>
          <w:tcPr>
            <w:tcW w:w="547" w:type="pct"/>
            <w:tcBorders>
              <w:top w:val="nil"/>
              <w:left w:val="nil"/>
              <w:bottom w:val="single" w:sz="4" w:space="0" w:color="auto"/>
              <w:right w:val="single" w:sz="4" w:space="0" w:color="auto"/>
            </w:tcBorders>
            <w:shd w:val="clear" w:color="auto" w:fill="auto"/>
            <w:noWrap/>
            <w:vAlign w:val="center"/>
            <w:hideMark/>
          </w:tcPr>
          <w:p w14:paraId="6BF247A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44857390</w:t>
            </w:r>
          </w:p>
        </w:tc>
        <w:tc>
          <w:tcPr>
            <w:tcW w:w="3360" w:type="pct"/>
            <w:tcBorders>
              <w:top w:val="nil"/>
              <w:left w:val="nil"/>
              <w:bottom w:val="single" w:sz="4" w:space="0" w:color="auto"/>
              <w:right w:val="single" w:sz="4" w:space="0" w:color="auto"/>
            </w:tcBorders>
            <w:shd w:val="clear" w:color="auto" w:fill="auto"/>
            <w:vAlign w:val="center"/>
            <w:hideMark/>
          </w:tcPr>
          <w:p w14:paraId="48B4E58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ŠEMPETER - VRTOJBA</w:t>
            </w:r>
          </w:p>
        </w:tc>
      </w:tr>
      <w:tr w:rsidR="00E3750C" w:rsidRPr="00415AB3" w14:paraId="7CC4B51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3487B7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1053</w:t>
            </w:r>
          </w:p>
        </w:tc>
        <w:tc>
          <w:tcPr>
            <w:tcW w:w="705" w:type="pct"/>
            <w:tcBorders>
              <w:top w:val="nil"/>
              <w:left w:val="nil"/>
              <w:bottom w:val="single" w:sz="4" w:space="0" w:color="auto"/>
              <w:right w:val="single" w:sz="4" w:space="0" w:color="auto"/>
            </w:tcBorders>
            <w:shd w:val="clear" w:color="auto" w:fill="auto"/>
            <w:noWrap/>
            <w:vAlign w:val="center"/>
            <w:hideMark/>
          </w:tcPr>
          <w:p w14:paraId="6EB4FAB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5874696000</w:t>
            </w:r>
          </w:p>
        </w:tc>
        <w:tc>
          <w:tcPr>
            <w:tcW w:w="547" w:type="pct"/>
            <w:tcBorders>
              <w:top w:val="nil"/>
              <w:left w:val="nil"/>
              <w:bottom w:val="single" w:sz="4" w:space="0" w:color="auto"/>
              <w:right w:val="single" w:sz="4" w:space="0" w:color="auto"/>
            </w:tcBorders>
            <w:shd w:val="clear" w:color="auto" w:fill="auto"/>
            <w:noWrap/>
            <w:vAlign w:val="center"/>
            <w:hideMark/>
          </w:tcPr>
          <w:p w14:paraId="300315B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85537322</w:t>
            </w:r>
          </w:p>
        </w:tc>
        <w:tc>
          <w:tcPr>
            <w:tcW w:w="3360" w:type="pct"/>
            <w:tcBorders>
              <w:top w:val="nil"/>
              <w:left w:val="nil"/>
              <w:bottom w:val="single" w:sz="4" w:space="0" w:color="auto"/>
              <w:right w:val="single" w:sz="4" w:space="0" w:color="auto"/>
            </w:tcBorders>
            <w:shd w:val="clear" w:color="auto" w:fill="auto"/>
            <w:vAlign w:val="center"/>
            <w:hideMark/>
          </w:tcPr>
          <w:p w14:paraId="016437F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ŠENČUR</w:t>
            </w:r>
          </w:p>
        </w:tc>
      </w:tr>
      <w:tr w:rsidR="00E3750C" w:rsidRPr="00415AB3" w14:paraId="45C2654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163CE1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1054</w:t>
            </w:r>
          </w:p>
        </w:tc>
        <w:tc>
          <w:tcPr>
            <w:tcW w:w="705" w:type="pct"/>
            <w:tcBorders>
              <w:top w:val="nil"/>
              <w:left w:val="nil"/>
              <w:bottom w:val="single" w:sz="4" w:space="0" w:color="auto"/>
              <w:right w:val="single" w:sz="4" w:space="0" w:color="auto"/>
            </w:tcBorders>
            <w:shd w:val="clear" w:color="auto" w:fill="auto"/>
            <w:noWrap/>
            <w:vAlign w:val="center"/>
            <w:hideMark/>
          </w:tcPr>
          <w:p w14:paraId="0CE6C15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5884209000</w:t>
            </w:r>
          </w:p>
        </w:tc>
        <w:tc>
          <w:tcPr>
            <w:tcW w:w="547" w:type="pct"/>
            <w:tcBorders>
              <w:top w:val="nil"/>
              <w:left w:val="nil"/>
              <w:bottom w:val="single" w:sz="4" w:space="0" w:color="auto"/>
              <w:right w:val="single" w:sz="4" w:space="0" w:color="auto"/>
            </w:tcBorders>
            <w:shd w:val="clear" w:color="auto" w:fill="auto"/>
            <w:noWrap/>
            <w:vAlign w:val="center"/>
            <w:hideMark/>
          </w:tcPr>
          <w:p w14:paraId="0B94172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38253283</w:t>
            </w:r>
          </w:p>
        </w:tc>
        <w:tc>
          <w:tcPr>
            <w:tcW w:w="3360" w:type="pct"/>
            <w:tcBorders>
              <w:top w:val="nil"/>
              <w:left w:val="nil"/>
              <w:bottom w:val="single" w:sz="4" w:space="0" w:color="auto"/>
              <w:right w:val="single" w:sz="4" w:space="0" w:color="auto"/>
            </w:tcBorders>
            <w:shd w:val="clear" w:color="auto" w:fill="auto"/>
            <w:vAlign w:val="center"/>
            <w:hideMark/>
          </w:tcPr>
          <w:p w14:paraId="4B48DFE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ŠENTILJ</w:t>
            </w:r>
          </w:p>
        </w:tc>
      </w:tr>
      <w:tr w:rsidR="00E3750C" w:rsidRPr="00415AB3" w14:paraId="4BC7F05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DB33B4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1055</w:t>
            </w:r>
          </w:p>
        </w:tc>
        <w:tc>
          <w:tcPr>
            <w:tcW w:w="705" w:type="pct"/>
            <w:tcBorders>
              <w:top w:val="nil"/>
              <w:left w:val="nil"/>
              <w:bottom w:val="single" w:sz="4" w:space="0" w:color="auto"/>
              <w:right w:val="single" w:sz="4" w:space="0" w:color="auto"/>
            </w:tcBorders>
            <w:shd w:val="clear" w:color="auto" w:fill="auto"/>
            <w:noWrap/>
            <w:vAlign w:val="center"/>
            <w:hideMark/>
          </w:tcPr>
          <w:p w14:paraId="6FF5729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5883334000</w:t>
            </w:r>
          </w:p>
        </w:tc>
        <w:tc>
          <w:tcPr>
            <w:tcW w:w="547" w:type="pct"/>
            <w:tcBorders>
              <w:top w:val="nil"/>
              <w:left w:val="nil"/>
              <w:bottom w:val="single" w:sz="4" w:space="0" w:color="auto"/>
              <w:right w:val="single" w:sz="4" w:space="0" w:color="auto"/>
            </w:tcBorders>
            <w:shd w:val="clear" w:color="auto" w:fill="auto"/>
            <w:noWrap/>
            <w:vAlign w:val="center"/>
            <w:hideMark/>
          </w:tcPr>
          <w:p w14:paraId="3639473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62524291</w:t>
            </w:r>
          </w:p>
        </w:tc>
        <w:tc>
          <w:tcPr>
            <w:tcW w:w="3360" w:type="pct"/>
            <w:tcBorders>
              <w:top w:val="nil"/>
              <w:left w:val="nil"/>
              <w:bottom w:val="single" w:sz="4" w:space="0" w:color="auto"/>
              <w:right w:val="single" w:sz="4" w:space="0" w:color="auto"/>
            </w:tcBorders>
            <w:shd w:val="clear" w:color="auto" w:fill="auto"/>
            <w:vAlign w:val="center"/>
            <w:hideMark/>
          </w:tcPr>
          <w:p w14:paraId="4E6D224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ŠENTJERNEJ</w:t>
            </w:r>
          </w:p>
        </w:tc>
      </w:tr>
      <w:tr w:rsidR="00E3750C" w:rsidRPr="00415AB3" w14:paraId="2DA1C1C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05BA2C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1056</w:t>
            </w:r>
          </w:p>
        </w:tc>
        <w:tc>
          <w:tcPr>
            <w:tcW w:w="705" w:type="pct"/>
            <w:tcBorders>
              <w:top w:val="nil"/>
              <w:left w:val="nil"/>
              <w:bottom w:val="single" w:sz="4" w:space="0" w:color="auto"/>
              <w:right w:val="single" w:sz="4" w:space="0" w:color="auto"/>
            </w:tcBorders>
            <w:shd w:val="clear" w:color="auto" w:fill="auto"/>
            <w:noWrap/>
            <w:vAlign w:val="center"/>
            <w:hideMark/>
          </w:tcPr>
          <w:p w14:paraId="667F909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5884799000</w:t>
            </w:r>
          </w:p>
        </w:tc>
        <w:tc>
          <w:tcPr>
            <w:tcW w:w="547" w:type="pct"/>
            <w:tcBorders>
              <w:top w:val="nil"/>
              <w:left w:val="nil"/>
              <w:bottom w:val="single" w:sz="4" w:space="0" w:color="auto"/>
              <w:right w:val="single" w:sz="4" w:space="0" w:color="auto"/>
            </w:tcBorders>
            <w:shd w:val="clear" w:color="auto" w:fill="auto"/>
            <w:noWrap/>
            <w:vAlign w:val="center"/>
            <w:hideMark/>
          </w:tcPr>
          <w:p w14:paraId="46DADFD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20341253</w:t>
            </w:r>
          </w:p>
        </w:tc>
        <w:tc>
          <w:tcPr>
            <w:tcW w:w="3360" w:type="pct"/>
            <w:tcBorders>
              <w:top w:val="nil"/>
              <w:left w:val="nil"/>
              <w:bottom w:val="single" w:sz="4" w:space="0" w:color="auto"/>
              <w:right w:val="single" w:sz="4" w:space="0" w:color="auto"/>
            </w:tcBorders>
            <w:shd w:val="clear" w:color="auto" w:fill="auto"/>
            <w:vAlign w:val="center"/>
            <w:hideMark/>
          </w:tcPr>
          <w:p w14:paraId="55C97BD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ŠENTJUR</w:t>
            </w:r>
          </w:p>
        </w:tc>
      </w:tr>
      <w:tr w:rsidR="00E3750C" w:rsidRPr="00415AB3" w14:paraId="38B4385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1949A4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1057</w:t>
            </w:r>
          </w:p>
        </w:tc>
        <w:tc>
          <w:tcPr>
            <w:tcW w:w="705" w:type="pct"/>
            <w:tcBorders>
              <w:top w:val="nil"/>
              <w:left w:val="nil"/>
              <w:bottom w:val="single" w:sz="4" w:space="0" w:color="auto"/>
              <w:right w:val="single" w:sz="4" w:space="0" w:color="auto"/>
            </w:tcBorders>
            <w:shd w:val="clear" w:color="auto" w:fill="auto"/>
            <w:noWrap/>
            <w:vAlign w:val="center"/>
            <w:hideMark/>
          </w:tcPr>
          <w:p w14:paraId="2CEEA61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2241153000</w:t>
            </w:r>
          </w:p>
        </w:tc>
        <w:tc>
          <w:tcPr>
            <w:tcW w:w="547" w:type="pct"/>
            <w:tcBorders>
              <w:top w:val="nil"/>
              <w:left w:val="nil"/>
              <w:bottom w:val="single" w:sz="4" w:space="0" w:color="auto"/>
              <w:right w:val="single" w:sz="4" w:space="0" w:color="auto"/>
            </w:tcBorders>
            <w:shd w:val="clear" w:color="auto" w:fill="auto"/>
            <w:noWrap/>
            <w:vAlign w:val="center"/>
            <w:hideMark/>
          </w:tcPr>
          <w:p w14:paraId="5A66076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43936377</w:t>
            </w:r>
          </w:p>
        </w:tc>
        <w:tc>
          <w:tcPr>
            <w:tcW w:w="3360" w:type="pct"/>
            <w:tcBorders>
              <w:top w:val="nil"/>
              <w:left w:val="nil"/>
              <w:bottom w:val="single" w:sz="4" w:space="0" w:color="auto"/>
              <w:right w:val="single" w:sz="4" w:space="0" w:color="auto"/>
            </w:tcBorders>
            <w:shd w:val="clear" w:color="auto" w:fill="auto"/>
            <w:vAlign w:val="center"/>
            <w:hideMark/>
          </w:tcPr>
          <w:p w14:paraId="17371F3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ŠENTRUPERT</w:t>
            </w:r>
          </w:p>
        </w:tc>
      </w:tr>
      <w:tr w:rsidR="00E3750C" w:rsidRPr="00415AB3" w14:paraId="23FBFD2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4E1915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1058</w:t>
            </w:r>
          </w:p>
        </w:tc>
        <w:tc>
          <w:tcPr>
            <w:tcW w:w="705" w:type="pct"/>
            <w:tcBorders>
              <w:top w:val="nil"/>
              <w:left w:val="nil"/>
              <w:bottom w:val="single" w:sz="4" w:space="0" w:color="auto"/>
              <w:right w:val="single" w:sz="4" w:space="0" w:color="auto"/>
            </w:tcBorders>
            <w:shd w:val="clear" w:color="auto" w:fill="auto"/>
            <w:noWrap/>
            <w:vAlign w:val="center"/>
            <w:hideMark/>
          </w:tcPr>
          <w:p w14:paraId="0C923BA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5883296000</w:t>
            </w:r>
          </w:p>
        </w:tc>
        <w:tc>
          <w:tcPr>
            <w:tcW w:w="547" w:type="pct"/>
            <w:tcBorders>
              <w:top w:val="nil"/>
              <w:left w:val="nil"/>
              <w:bottom w:val="single" w:sz="4" w:space="0" w:color="auto"/>
              <w:right w:val="single" w:sz="4" w:space="0" w:color="auto"/>
            </w:tcBorders>
            <w:shd w:val="clear" w:color="auto" w:fill="auto"/>
            <w:noWrap/>
            <w:vAlign w:val="center"/>
            <w:hideMark/>
          </w:tcPr>
          <w:p w14:paraId="61076F9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33551588</w:t>
            </w:r>
          </w:p>
        </w:tc>
        <w:tc>
          <w:tcPr>
            <w:tcW w:w="3360" w:type="pct"/>
            <w:tcBorders>
              <w:top w:val="nil"/>
              <w:left w:val="nil"/>
              <w:bottom w:val="single" w:sz="4" w:space="0" w:color="auto"/>
              <w:right w:val="single" w:sz="4" w:space="0" w:color="auto"/>
            </w:tcBorders>
            <w:shd w:val="clear" w:color="auto" w:fill="auto"/>
            <w:vAlign w:val="center"/>
            <w:hideMark/>
          </w:tcPr>
          <w:p w14:paraId="7550488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ŠKOCJAN</w:t>
            </w:r>
          </w:p>
        </w:tc>
      </w:tr>
      <w:tr w:rsidR="00E3750C" w:rsidRPr="00415AB3" w14:paraId="28E8C38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52B700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1059</w:t>
            </w:r>
          </w:p>
        </w:tc>
        <w:tc>
          <w:tcPr>
            <w:tcW w:w="705" w:type="pct"/>
            <w:tcBorders>
              <w:top w:val="nil"/>
              <w:left w:val="nil"/>
              <w:bottom w:val="single" w:sz="4" w:space="0" w:color="auto"/>
              <w:right w:val="single" w:sz="4" w:space="0" w:color="auto"/>
            </w:tcBorders>
            <w:shd w:val="clear" w:color="auto" w:fill="auto"/>
            <w:noWrap/>
            <w:vAlign w:val="center"/>
            <w:hideMark/>
          </w:tcPr>
          <w:p w14:paraId="3E7477A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5883318000</w:t>
            </w:r>
          </w:p>
        </w:tc>
        <w:tc>
          <w:tcPr>
            <w:tcW w:w="547" w:type="pct"/>
            <w:tcBorders>
              <w:top w:val="nil"/>
              <w:left w:val="nil"/>
              <w:bottom w:val="single" w:sz="4" w:space="0" w:color="auto"/>
              <w:right w:val="single" w:sz="4" w:space="0" w:color="auto"/>
            </w:tcBorders>
            <w:shd w:val="clear" w:color="auto" w:fill="auto"/>
            <w:noWrap/>
            <w:vAlign w:val="center"/>
            <w:hideMark/>
          </w:tcPr>
          <w:p w14:paraId="151E4E3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18947271</w:t>
            </w:r>
          </w:p>
        </w:tc>
        <w:tc>
          <w:tcPr>
            <w:tcW w:w="3360" w:type="pct"/>
            <w:tcBorders>
              <w:top w:val="nil"/>
              <w:left w:val="nil"/>
              <w:bottom w:val="single" w:sz="4" w:space="0" w:color="auto"/>
              <w:right w:val="single" w:sz="4" w:space="0" w:color="auto"/>
            </w:tcBorders>
            <w:shd w:val="clear" w:color="auto" w:fill="auto"/>
            <w:vAlign w:val="center"/>
            <w:hideMark/>
          </w:tcPr>
          <w:p w14:paraId="46AAFE4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ŠKOFJA LOKA</w:t>
            </w:r>
          </w:p>
        </w:tc>
      </w:tr>
      <w:tr w:rsidR="00E3750C" w:rsidRPr="00415AB3" w14:paraId="5E33BBC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4A1E99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1060</w:t>
            </w:r>
          </w:p>
        </w:tc>
        <w:tc>
          <w:tcPr>
            <w:tcW w:w="705" w:type="pct"/>
            <w:tcBorders>
              <w:top w:val="nil"/>
              <w:left w:val="nil"/>
              <w:bottom w:val="single" w:sz="4" w:space="0" w:color="auto"/>
              <w:right w:val="single" w:sz="4" w:space="0" w:color="auto"/>
            </w:tcBorders>
            <w:shd w:val="clear" w:color="auto" w:fill="auto"/>
            <w:noWrap/>
            <w:vAlign w:val="center"/>
            <w:hideMark/>
          </w:tcPr>
          <w:p w14:paraId="5289F2C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5874602000</w:t>
            </w:r>
          </w:p>
        </w:tc>
        <w:tc>
          <w:tcPr>
            <w:tcW w:w="547" w:type="pct"/>
            <w:tcBorders>
              <w:top w:val="nil"/>
              <w:left w:val="nil"/>
              <w:bottom w:val="single" w:sz="4" w:space="0" w:color="auto"/>
              <w:right w:val="single" w:sz="4" w:space="0" w:color="auto"/>
            </w:tcBorders>
            <w:shd w:val="clear" w:color="auto" w:fill="auto"/>
            <w:noWrap/>
            <w:vAlign w:val="center"/>
            <w:hideMark/>
          </w:tcPr>
          <w:p w14:paraId="1133C8B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72177918</w:t>
            </w:r>
          </w:p>
        </w:tc>
        <w:tc>
          <w:tcPr>
            <w:tcW w:w="3360" w:type="pct"/>
            <w:tcBorders>
              <w:top w:val="nil"/>
              <w:left w:val="nil"/>
              <w:bottom w:val="single" w:sz="4" w:space="0" w:color="auto"/>
              <w:right w:val="single" w:sz="4" w:space="0" w:color="auto"/>
            </w:tcBorders>
            <w:shd w:val="clear" w:color="auto" w:fill="auto"/>
            <w:vAlign w:val="center"/>
            <w:hideMark/>
          </w:tcPr>
          <w:p w14:paraId="0AA7B0B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ŠKOFLJICA</w:t>
            </w:r>
          </w:p>
        </w:tc>
      </w:tr>
      <w:tr w:rsidR="00E3750C" w:rsidRPr="00415AB3" w14:paraId="1F47679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1B7332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1061</w:t>
            </w:r>
          </w:p>
        </w:tc>
        <w:tc>
          <w:tcPr>
            <w:tcW w:w="705" w:type="pct"/>
            <w:tcBorders>
              <w:top w:val="nil"/>
              <w:left w:val="nil"/>
              <w:bottom w:val="single" w:sz="4" w:space="0" w:color="auto"/>
              <w:right w:val="single" w:sz="4" w:space="0" w:color="auto"/>
            </w:tcBorders>
            <w:shd w:val="clear" w:color="auto" w:fill="auto"/>
            <w:noWrap/>
            <w:vAlign w:val="center"/>
            <w:hideMark/>
          </w:tcPr>
          <w:p w14:paraId="6C316C8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5884012000</w:t>
            </w:r>
          </w:p>
        </w:tc>
        <w:tc>
          <w:tcPr>
            <w:tcW w:w="547" w:type="pct"/>
            <w:tcBorders>
              <w:top w:val="nil"/>
              <w:left w:val="nil"/>
              <w:bottom w:val="single" w:sz="4" w:space="0" w:color="auto"/>
              <w:right w:val="single" w:sz="4" w:space="0" w:color="auto"/>
            </w:tcBorders>
            <w:shd w:val="clear" w:color="auto" w:fill="auto"/>
            <w:noWrap/>
            <w:vAlign w:val="center"/>
            <w:hideMark/>
          </w:tcPr>
          <w:p w14:paraId="3F1D545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31214908</w:t>
            </w:r>
          </w:p>
        </w:tc>
        <w:tc>
          <w:tcPr>
            <w:tcW w:w="3360" w:type="pct"/>
            <w:tcBorders>
              <w:top w:val="nil"/>
              <w:left w:val="nil"/>
              <w:bottom w:val="single" w:sz="4" w:space="0" w:color="auto"/>
              <w:right w:val="single" w:sz="4" w:space="0" w:color="auto"/>
            </w:tcBorders>
            <w:shd w:val="clear" w:color="auto" w:fill="auto"/>
            <w:vAlign w:val="center"/>
            <w:hideMark/>
          </w:tcPr>
          <w:p w14:paraId="633910D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ŠMARJE PRI JELŠAH</w:t>
            </w:r>
          </w:p>
        </w:tc>
      </w:tr>
      <w:tr w:rsidR="00E3750C" w:rsidRPr="00415AB3" w14:paraId="4D010FD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15DC5C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1062</w:t>
            </w:r>
          </w:p>
        </w:tc>
        <w:tc>
          <w:tcPr>
            <w:tcW w:w="705" w:type="pct"/>
            <w:tcBorders>
              <w:top w:val="nil"/>
              <w:left w:val="nil"/>
              <w:bottom w:val="single" w:sz="4" w:space="0" w:color="auto"/>
              <w:right w:val="single" w:sz="4" w:space="0" w:color="auto"/>
            </w:tcBorders>
            <w:shd w:val="clear" w:color="auto" w:fill="auto"/>
            <w:noWrap/>
            <w:vAlign w:val="center"/>
            <w:hideMark/>
          </w:tcPr>
          <w:p w14:paraId="5579266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2241161000</w:t>
            </w:r>
          </w:p>
        </w:tc>
        <w:tc>
          <w:tcPr>
            <w:tcW w:w="547" w:type="pct"/>
            <w:tcBorders>
              <w:top w:val="nil"/>
              <w:left w:val="nil"/>
              <w:bottom w:val="single" w:sz="4" w:space="0" w:color="auto"/>
              <w:right w:val="single" w:sz="4" w:space="0" w:color="auto"/>
            </w:tcBorders>
            <w:shd w:val="clear" w:color="auto" w:fill="auto"/>
            <w:noWrap/>
            <w:vAlign w:val="center"/>
            <w:hideMark/>
          </w:tcPr>
          <w:p w14:paraId="23C41A3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80990258</w:t>
            </w:r>
          </w:p>
        </w:tc>
        <w:tc>
          <w:tcPr>
            <w:tcW w:w="3360" w:type="pct"/>
            <w:tcBorders>
              <w:top w:val="nil"/>
              <w:left w:val="nil"/>
              <w:bottom w:val="single" w:sz="4" w:space="0" w:color="auto"/>
              <w:right w:val="single" w:sz="4" w:space="0" w:color="auto"/>
            </w:tcBorders>
            <w:shd w:val="clear" w:color="auto" w:fill="auto"/>
            <w:vAlign w:val="center"/>
            <w:hideMark/>
          </w:tcPr>
          <w:p w14:paraId="352E51B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ŠMARJEŠKE TOPLICE</w:t>
            </w:r>
          </w:p>
        </w:tc>
      </w:tr>
      <w:tr w:rsidR="00E3750C" w:rsidRPr="00415AB3" w14:paraId="03BCEA1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CC8FCA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1063</w:t>
            </w:r>
          </w:p>
        </w:tc>
        <w:tc>
          <w:tcPr>
            <w:tcW w:w="705" w:type="pct"/>
            <w:tcBorders>
              <w:top w:val="nil"/>
              <w:left w:val="nil"/>
              <w:bottom w:val="single" w:sz="4" w:space="0" w:color="auto"/>
              <w:right w:val="single" w:sz="4" w:space="0" w:color="auto"/>
            </w:tcBorders>
            <w:shd w:val="clear" w:color="auto" w:fill="auto"/>
            <w:noWrap/>
            <w:vAlign w:val="center"/>
            <w:hideMark/>
          </w:tcPr>
          <w:p w14:paraId="059154D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5884276000</w:t>
            </w:r>
          </w:p>
        </w:tc>
        <w:tc>
          <w:tcPr>
            <w:tcW w:w="547" w:type="pct"/>
            <w:tcBorders>
              <w:top w:val="nil"/>
              <w:left w:val="nil"/>
              <w:bottom w:val="single" w:sz="4" w:space="0" w:color="auto"/>
              <w:right w:val="single" w:sz="4" w:space="0" w:color="auto"/>
            </w:tcBorders>
            <w:shd w:val="clear" w:color="auto" w:fill="auto"/>
            <w:noWrap/>
            <w:vAlign w:val="center"/>
            <w:hideMark/>
          </w:tcPr>
          <w:p w14:paraId="337031C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64225569</w:t>
            </w:r>
          </w:p>
        </w:tc>
        <w:tc>
          <w:tcPr>
            <w:tcW w:w="3360" w:type="pct"/>
            <w:tcBorders>
              <w:top w:val="nil"/>
              <w:left w:val="nil"/>
              <w:bottom w:val="single" w:sz="4" w:space="0" w:color="auto"/>
              <w:right w:val="single" w:sz="4" w:space="0" w:color="auto"/>
            </w:tcBorders>
            <w:shd w:val="clear" w:color="auto" w:fill="auto"/>
            <w:vAlign w:val="center"/>
            <w:hideMark/>
          </w:tcPr>
          <w:p w14:paraId="7232037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ŠMARTNO OB PAKI</w:t>
            </w:r>
          </w:p>
        </w:tc>
      </w:tr>
      <w:tr w:rsidR="00E3750C" w:rsidRPr="00415AB3" w14:paraId="084D462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16C5A3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1064</w:t>
            </w:r>
          </w:p>
        </w:tc>
        <w:tc>
          <w:tcPr>
            <w:tcW w:w="705" w:type="pct"/>
            <w:tcBorders>
              <w:top w:val="nil"/>
              <w:left w:val="nil"/>
              <w:bottom w:val="single" w:sz="4" w:space="0" w:color="auto"/>
              <w:right w:val="single" w:sz="4" w:space="0" w:color="auto"/>
            </w:tcBorders>
            <w:shd w:val="clear" w:color="auto" w:fill="auto"/>
            <w:noWrap/>
            <w:vAlign w:val="center"/>
            <w:hideMark/>
          </w:tcPr>
          <w:p w14:paraId="34CE4AE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1779737000</w:t>
            </w:r>
          </w:p>
        </w:tc>
        <w:tc>
          <w:tcPr>
            <w:tcW w:w="547" w:type="pct"/>
            <w:tcBorders>
              <w:top w:val="nil"/>
              <w:left w:val="nil"/>
              <w:bottom w:val="single" w:sz="4" w:space="0" w:color="auto"/>
              <w:right w:val="single" w:sz="4" w:space="0" w:color="auto"/>
            </w:tcBorders>
            <w:shd w:val="clear" w:color="auto" w:fill="auto"/>
            <w:noWrap/>
            <w:vAlign w:val="center"/>
            <w:hideMark/>
          </w:tcPr>
          <w:p w14:paraId="691D102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99744686</w:t>
            </w:r>
          </w:p>
        </w:tc>
        <w:tc>
          <w:tcPr>
            <w:tcW w:w="3360" w:type="pct"/>
            <w:tcBorders>
              <w:top w:val="nil"/>
              <w:left w:val="nil"/>
              <w:bottom w:val="single" w:sz="4" w:space="0" w:color="auto"/>
              <w:right w:val="single" w:sz="4" w:space="0" w:color="auto"/>
            </w:tcBorders>
            <w:shd w:val="clear" w:color="auto" w:fill="auto"/>
            <w:vAlign w:val="center"/>
            <w:hideMark/>
          </w:tcPr>
          <w:p w14:paraId="1B00C9E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ŠMARTNO PRI LITIJI</w:t>
            </w:r>
          </w:p>
        </w:tc>
      </w:tr>
      <w:tr w:rsidR="00E3750C" w:rsidRPr="00415AB3" w14:paraId="7FBE9D6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78A283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1065</w:t>
            </w:r>
          </w:p>
        </w:tc>
        <w:tc>
          <w:tcPr>
            <w:tcW w:w="705" w:type="pct"/>
            <w:tcBorders>
              <w:top w:val="nil"/>
              <w:left w:val="nil"/>
              <w:bottom w:val="single" w:sz="4" w:space="0" w:color="auto"/>
              <w:right w:val="single" w:sz="4" w:space="0" w:color="auto"/>
            </w:tcBorders>
            <w:shd w:val="clear" w:color="auto" w:fill="auto"/>
            <w:noWrap/>
            <w:vAlign w:val="center"/>
            <w:hideMark/>
          </w:tcPr>
          <w:p w14:paraId="2A35366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5884284000</w:t>
            </w:r>
          </w:p>
        </w:tc>
        <w:tc>
          <w:tcPr>
            <w:tcW w:w="547" w:type="pct"/>
            <w:tcBorders>
              <w:top w:val="nil"/>
              <w:left w:val="nil"/>
              <w:bottom w:val="single" w:sz="4" w:space="0" w:color="auto"/>
              <w:right w:val="single" w:sz="4" w:space="0" w:color="auto"/>
            </w:tcBorders>
            <w:shd w:val="clear" w:color="auto" w:fill="auto"/>
            <w:noWrap/>
            <w:vAlign w:val="center"/>
            <w:hideMark/>
          </w:tcPr>
          <w:p w14:paraId="5674A2E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97214043</w:t>
            </w:r>
          </w:p>
        </w:tc>
        <w:tc>
          <w:tcPr>
            <w:tcW w:w="3360" w:type="pct"/>
            <w:tcBorders>
              <w:top w:val="nil"/>
              <w:left w:val="nil"/>
              <w:bottom w:val="single" w:sz="4" w:space="0" w:color="auto"/>
              <w:right w:val="single" w:sz="4" w:space="0" w:color="auto"/>
            </w:tcBorders>
            <w:shd w:val="clear" w:color="auto" w:fill="auto"/>
            <w:vAlign w:val="center"/>
            <w:hideMark/>
          </w:tcPr>
          <w:p w14:paraId="539B169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ŠOŠTANJ</w:t>
            </w:r>
          </w:p>
        </w:tc>
      </w:tr>
      <w:tr w:rsidR="00E3750C" w:rsidRPr="00415AB3" w14:paraId="500C79F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EA996F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1066</w:t>
            </w:r>
          </w:p>
        </w:tc>
        <w:tc>
          <w:tcPr>
            <w:tcW w:w="705" w:type="pct"/>
            <w:tcBorders>
              <w:top w:val="nil"/>
              <w:left w:val="nil"/>
              <w:bottom w:val="single" w:sz="4" w:space="0" w:color="auto"/>
              <w:right w:val="single" w:sz="4" w:space="0" w:color="auto"/>
            </w:tcBorders>
            <w:shd w:val="clear" w:color="auto" w:fill="auto"/>
            <w:noWrap/>
            <w:vAlign w:val="center"/>
            <w:hideMark/>
          </w:tcPr>
          <w:p w14:paraId="5B11690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5880378000</w:t>
            </w:r>
          </w:p>
        </w:tc>
        <w:tc>
          <w:tcPr>
            <w:tcW w:w="547" w:type="pct"/>
            <w:tcBorders>
              <w:top w:val="nil"/>
              <w:left w:val="nil"/>
              <w:bottom w:val="single" w:sz="4" w:space="0" w:color="auto"/>
              <w:right w:val="single" w:sz="4" w:space="0" w:color="auto"/>
            </w:tcBorders>
            <w:shd w:val="clear" w:color="auto" w:fill="auto"/>
            <w:noWrap/>
            <w:vAlign w:val="center"/>
            <w:hideMark/>
          </w:tcPr>
          <w:p w14:paraId="45F82A6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78439388</w:t>
            </w:r>
          </w:p>
        </w:tc>
        <w:tc>
          <w:tcPr>
            <w:tcW w:w="3360" w:type="pct"/>
            <w:tcBorders>
              <w:top w:val="nil"/>
              <w:left w:val="nil"/>
              <w:bottom w:val="single" w:sz="4" w:space="0" w:color="auto"/>
              <w:right w:val="single" w:sz="4" w:space="0" w:color="auto"/>
            </w:tcBorders>
            <w:shd w:val="clear" w:color="auto" w:fill="auto"/>
            <w:vAlign w:val="center"/>
            <w:hideMark/>
          </w:tcPr>
          <w:p w14:paraId="5C80B0D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ŠTORE</w:t>
            </w:r>
          </w:p>
        </w:tc>
      </w:tr>
      <w:tr w:rsidR="00E3750C" w:rsidRPr="00415AB3" w14:paraId="7E4C1ED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9AF3D5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1067</w:t>
            </w:r>
          </w:p>
        </w:tc>
        <w:tc>
          <w:tcPr>
            <w:tcW w:w="705" w:type="pct"/>
            <w:tcBorders>
              <w:top w:val="nil"/>
              <w:left w:val="nil"/>
              <w:bottom w:val="single" w:sz="4" w:space="0" w:color="auto"/>
              <w:right w:val="single" w:sz="4" w:space="0" w:color="auto"/>
            </w:tcBorders>
            <w:shd w:val="clear" w:color="auto" w:fill="auto"/>
            <w:noWrap/>
            <w:vAlign w:val="center"/>
            <w:hideMark/>
          </w:tcPr>
          <w:p w14:paraId="22CFFE5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1357727000</w:t>
            </w:r>
          </w:p>
        </w:tc>
        <w:tc>
          <w:tcPr>
            <w:tcW w:w="547" w:type="pct"/>
            <w:tcBorders>
              <w:top w:val="nil"/>
              <w:left w:val="nil"/>
              <w:bottom w:val="single" w:sz="4" w:space="0" w:color="auto"/>
              <w:right w:val="single" w:sz="4" w:space="0" w:color="auto"/>
            </w:tcBorders>
            <w:shd w:val="clear" w:color="auto" w:fill="auto"/>
            <w:noWrap/>
            <w:vAlign w:val="center"/>
            <w:hideMark/>
          </w:tcPr>
          <w:p w14:paraId="205CB54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43471862</w:t>
            </w:r>
          </w:p>
        </w:tc>
        <w:tc>
          <w:tcPr>
            <w:tcW w:w="3360" w:type="pct"/>
            <w:tcBorders>
              <w:top w:val="nil"/>
              <w:left w:val="nil"/>
              <w:bottom w:val="single" w:sz="4" w:space="0" w:color="auto"/>
              <w:right w:val="single" w:sz="4" w:space="0" w:color="auto"/>
            </w:tcBorders>
            <w:shd w:val="clear" w:color="auto" w:fill="auto"/>
            <w:vAlign w:val="center"/>
            <w:hideMark/>
          </w:tcPr>
          <w:p w14:paraId="1FA4548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TABOR</w:t>
            </w:r>
          </w:p>
        </w:tc>
      </w:tr>
      <w:tr w:rsidR="00E3750C" w:rsidRPr="00415AB3" w14:paraId="4A14231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948808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1068</w:t>
            </w:r>
          </w:p>
        </w:tc>
        <w:tc>
          <w:tcPr>
            <w:tcW w:w="705" w:type="pct"/>
            <w:tcBorders>
              <w:top w:val="nil"/>
              <w:left w:val="nil"/>
              <w:bottom w:val="single" w:sz="4" w:space="0" w:color="auto"/>
              <w:right w:val="single" w:sz="4" w:space="0" w:color="auto"/>
            </w:tcBorders>
            <w:shd w:val="clear" w:color="auto" w:fill="auto"/>
            <w:noWrap/>
            <w:vAlign w:val="center"/>
            <w:hideMark/>
          </w:tcPr>
          <w:p w14:paraId="7D7804F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5883067000</w:t>
            </w:r>
          </w:p>
        </w:tc>
        <w:tc>
          <w:tcPr>
            <w:tcW w:w="547" w:type="pct"/>
            <w:tcBorders>
              <w:top w:val="nil"/>
              <w:left w:val="nil"/>
              <w:bottom w:val="single" w:sz="4" w:space="0" w:color="auto"/>
              <w:right w:val="single" w:sz="4" w:space="0" w:color="auto"/>
            </w:tcBorders>
            <w:shd w:val="clear" w:color="auto" w:fill="auto"/>
            <w:noWrap/>
            <w:vAlign w:val="center"/>
            <w:hideMark/>
          </w:tcPr>
          <w:p w14:paraId="0063B24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43730361</w:t>
            </w:r>
          </w:p>
        </w:tc>
        <w:tc>
          <w:tcPr>
            <w:tcW w:w="3360" w:type="pct"/>
            <w:tcBorders>
              <w:top w:val="nil"/>
              <w:left w:val="nil"/>
              <w:bottom w:val="single" w:sz="4" w:space="0" w:color="auto"/>
              <w:right w:val="single" w:sz="4" w:space="0" w:color="auto"/>
            </w:tcBorders>
            <w:shd w:val="clear" w:color="auto" w:fill="auto"/>
            <w:vAlign w:val="center"/>
            <w:hideMark/>
          </w:tcPr>
          <w:p w14:paraId="0BBC18E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TIŠINA</w:t>
            </w:r>
          </w:p>
        </w:tc>
      </w:tr>
      <w:tr w:rsidR="00E3750C" w:rsidRPr="00415AB3" w14:paraId="59C2827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1933B6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1069</w:t>
            </w:r>
          </w:p>
        </w:tc>
        <w:tc>
          <w:tcPr>
            <w:tcW w:w="705" w:type="pct"/>
            <w:tcBorders>
              <w:top w:val="nil"/>
              <w:left w:val="nil"/>
              <w:bottom w:val="single" w:sz="4" w:space="0" w:color="auto"/>
              <w:right w:val="single" w:sz="4" w:space="0" w:color="auto"/>
            </w:tcBorders>
            <w:shd w:val="clear" w:color="auto" w:fill="auto"/>
            <w:noWrap/>
            <w:vAlign w:val="center"/>
            <w:hideMark/>
          </w:tcPr>
          <w:p w14:paraId="0859E9D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5881455000</w:t>
            </w:r>
          </w:p>
        </w:tc>
        <w:tc>
          <w:tcPr>
            <w:tcW w:w="547" w:type="pct"/>
            <w:tcBorders>
              <w:top w:val="nil"/>
              <w:left w:val="nil"/>
              <w:bottom w:val="single" w:sz="4" w:space="0" w:color="auto"/>
              <w:right w:val="single" w:sz="4" w:space="0" w:color="auto"/>
            </w:tcBorders>
            <w:shd w:val="clear" w:color="auto" w:fill="auto"/>
            <w:noWrap/>
            <w:vAlign w:val="center"/>
            <w:hideMark/>
          </w:tcPr>
          <w:p w14:paraId="7C6C51F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19588976</w:t>
            </w:r>
          </w:p>
        </w:tc>
        <w:tc>
          <w:tcPr>
            <w:tcW w:w="3360" w:type="pct"/>
            <w:tcBorders>
              <w:top w:val="nil"/>
              <w:left w:val="nil"/>
              <w:bottom w:val="single" w:sz="4" w:space="0" w:color="auto"/>
              <w:right w:val="single" w:sz="4" w:space="0" w:color="auto"/>
            </w:tcBorders>
            <w:shd w:val="clear" w:color="auto" w:fill="auto"/>
            <w:vAlign w:val="center"/>
            <w:hideMark/>
          </w:tcPr>
          <w:p w14:paraId="62906D6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TOLMIN</w:t>
            </w:r>
          </w:p>
        </w:tc>
      </w:tr>
      <w:tr w:rsidR="00E3750C" w:rsidRPr="00415AB3" w14:paraId="08E9AA1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6137B2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1070</w:t>
            </w:r>
          </w:p>
        </w:tc>
        <w:tc>
          <w:tcPr>
            <w:tcW w:w="705" w:type="pct"/>
            <w:tcBorders>
              <w:top w:val="nil"/>
              <w:left w:val="nil"/>
              <w:bottom w:val="single" w:sz="4" w:space="0" w:color="auto"/>
              <w:right w:val="single" w:sz="4" w:space="0" w:color="auto"/>
            </w:tcBorders>
            <w:shd w:val="clear" w:color="auto" w:fill="auto"/>
            <w:noWrap/>
            <w:vAlign w:val="center"/>
            <w:hideMark/>
          </w:tcPr>
          <w:p w14:paraId="046846F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5882940000</w:t>
            </w:r>
          </w:p>
        </w:tc>
        <w:tc>
          <w:tcPr>
            <w:tcW w:w="547" w:type="pct"/>
            <w:tcBorders>
              <w:top w:val="nil"/>
              <w:left w:val="nil"/>
              <w:bottom w:val="single" w:sz="4" w:space="0" w:color="auto"/>
              <w:right w:val="single" w:sz="4" w:space="0" w:color="auto"/>
            </w:tcBorders>
            <w:shd w:val="clear" w:color="auto" w:fill="auto"/>
            <w:noWrap/>
            <w:vAlign w:val="center"/>
            <w:hideMark/>
          </w:tcPr>
          <w:p w14:paraId="2F76086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86624784</w:t>
            </w:r>
          </w:p>
        </w:tc>
        <w:tc>
          <w:tcPr>
            <w:tcW w:w="3360" w:type="pct"/>
            <w:tcBorders>
              <w:top w:val="nil"/>
              <w:left w:val="nil"/>
              <w:bottom w:val="single" w:sz="4" w:space="0" w:color="auto"/>
              <w:right w:val="single" w:sz="4" w:space="0" w:color="auto"/>
            </w:tcBorders>
            <w:shd w:val="clear" w:color="auto" w:fill="auto"/>
            <w:vAlign w:val="center"/>
            <w:hideMark/>
          </w:tcPr>
          <w:p w14:paraId="5E2D3F7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TRBOVLJE</w:t>
            </w:r>
          </w:p>
        </w:tc>
      </w:tr>
      <w:tr w:rsidR="00E3750C" w:rsidRPr="00415AB3" w14:paraId="1EF3150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72E8AE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1071</w:t>
            </w:r>
          </w:p>
        </w:tc>
        <w:tc>
          <w:tcPr>
            <w:tcW w:w="705" w:type="pct"/>
            <w:tcBorders>
              <w:top w:val="nil"/>
              <w:left w:val="nil"/>
              <w:bottom w:val="single" w:sz="4" w:space="0" w:color="auto"/>
              <w:right w:val="single" w:sz="4" w:space="0" w:color="auto"/>
            </w:tcBorders>
            <w:shd w:val="clear" w:color="auto" w:fill="auto"/>
            <w:noWrap/>
            <w:vAlign w:val="center"/>
            <w:hideMark/>
          </w:tcPr>
          <w:p w14:paraId="1F94486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5882958000</w:t>
            </w:r>
          </w:p>
        </w:tc>
        <w:tc>
          <w:tcPr>
            <w:tcW w:w="547" w:type="pct"/>
            <w:tcBorders>
              <w:top w:val="nil"/>
              <w:left w:val="nil"/>
              <w:bottom w:val="single" w:sz="4" w:space="0" w:color="auto"/>
              <w:right w:val="single" w:sz="4" w:space="0" w:color="auto"/>
            </w:tcBorders>
            <w:shd w:val="clear" w:color="auto" w:fill="auto"/>
            <w:noWrap/>
            <w:vAlign w:val="center"/>
            <w:hideMark/>
          </w:tcPr>
          <w:p w14:paraId="16AAEBB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34728317</w:t>
            </w:r>
          </w:p>
        </w:tc>
        <w:tc>
          <w:tcPr>
            <w:tcW w:w="3360" w:type="pct"/>
            <w:tcBorders>
              <w:top w:val="nil"/>
              <w:left w:val="nil"/>
              <w:bottom w:val="single" w:sz="4" w:space="0" w:color="auto"/>
              <w:right w:val="single" w:sz="4" w:space="0" w:color="auto"/>
            </w:tcBorders>
            <w:shd w:val="clear" w:color="auto" w:fill="auto"/>
            <w:vAlign w:val="center"/>
            <w:hideMark/>
          </w:tcPr>
          <w:p w14:paraId="3620AF5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TREBNJE</w:t>
            </w:r>
          </w:p>
        </w:tc>
      </w:tr>
      <w:tr w:rsidR="00E3750C" w:rsidRPr="00415AB3" w14:paraId="0A35DBF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E7AED3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1072</w:t>
            </w:r>
          </w:p>
        </w:tc>
        <w:tc>
          <w:tcPr>
            <w:tcW w:w="705" w:type="pct"/>
            <w:tcBorders>
              <w:top w:val="nil"/>
              <w:left w:val="nil"/>
              <w:bottom w:val="single" w:sz="4" w:space="0" w:color="auto"/>
              <w:right w:val="single" w:sz="4" w:space="0" w:color="auto"/>
            </w:tcBorders>
            <w:shd w:val="clear" w:color="auto" w:fill="auto"/>
            <w:noWrap/>
            <w:vAlign w:val="center"/>
            <w:hideMark/>
          </w:tcPr>
          <w:p w14:paraId="7CEAFC8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1358057000</w:t>
            </w:r>
          </w:p>
        </w:tc>
        <w:tc>
          <w:tcPr>
            <w:tcW w:w="547" w:type="pct"/>
            <w:tcBorders>
              <w:top w:val="nil"/>
              <w:left w:val="nil"/>
              <w:bottom w:val="single" w:sz="4" w:space="0" w:color="auto"/>
              <w:right w:val="single" w:sz="4" w:space="0" w:color="auto"/>
            </w:tcBorders>
            <w:shd w:val="clear" w:color="auto" w:fill="auto"/>
            <w:noWrap/>
            <w:vAlign w:val="center"/>
            <w:hideMark/>
          </w:tcPr>
          <w:p w14:paraId="5DE6544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40178722</w:t>
            </w:r>
          </w:p>
        </w:tc>
        <w:tc>
          <w:tcPr>
            <w:tcW w:w="3360" w:type="pct"/>
            <w:tcBorders>
              <w:top w:val="nil"/>
              <w:left w:val="nil"/>
              <w:bottom w:val="single" w:sz="4" w:space="0" w:color="auto"/>
              <w:right w:val="single" w:sz="4" w:space="0" w:color="auto"/>
            </w:tcBorders>
            <w:shd w:val="clear" w:color="auto" w:fill="auto"/>
            <w:vAlign w:val="center"/>
            <w:hideMark/>
          </w:tcPr>
          <w:p w14:paraId="683D140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TRNOVSKA VAS</w:t>
            </w:r>
          </w:p>
        </w:tc>
      </w:tr>
      <w:tr w:rsidR="00E3750C" w:rsidRPr="00415AB3" w14:paraId="2F0186B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F432AA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1073</w:t>
            </w:r>
          </w:p>
        </w:tc>
        <w:tc>
          <w:tcPr>
            <w:tcW w:w="705" w:type="pct"/>
            <w:tcBorders>
              <w:top w:val="nil"/>
              <w:left w:val="nil"/>
              <w:bottom w:val="single" w:sz="4" w:space="0" w:color="auto"/>
              <w:right w:val="single" w:sz="4" w:space="0" w:color="auto"/>
            </w:tcBorders>
            <w:shd w:val="clear" w:color="auto" w:fill="auto"/>
            <w:noWrap/>
            <w:vAlign w:val="center"/>
            <w:hideMark/>
          </w:tcPr>
          <w:p w14:paraId="5EC91A4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1358561000</w:t>
            </w:r>
          </w:p>
        </w:tc>
        <w:tc>
          <w:tcPr>
            <w:tcW w:w="547" w:type="pct"/>
            <w:tcBorders>
              <w:top w:val="nil"/>
              <w:left w:val="nil"/>
              <w:bottom w:val="single" w:sz="4" w:space="0" w:color="auto"/>
              <w:right w:val="single" w:sz="4" w:space="0" w:color="auto"/>
            </w:tcBorders>
            <w:shd w:val="clear" w:color="auto" w:fill="auto"/>
            <w:noWrap/>
            <w:vAlign w:val="center"/>
            <w:hideMark/>
          </w:tcPr>
          <w:p w14:paraId="64029B3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33714789</w:t>
            </w:r>
          </w:p>
        </w:tc>
        <w:tc>
          <w:tcPr>
            <w:tcW w:w="3360" w:type="pct"/>
            <w:tcBorders>
              <w:top w:val="nil"/>
              <w:left w:val="nil"/>
              <w:bottom w:val="single" w:sz="4" w:space="0" w:color="auto"/>
              <w:right w:val="single" w:sz="4" w:space="0" w:color="auto"/>
            </w:tcBorders>
            <w:shd w:val="clear" w:color="auto" w:fill="auto"/>
            <w:vAlign w:val="center"/>
            <w:hideMark/>
          </w:tcPr>
          <w:p w14:paraId="5309835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TRZIN</w:t>
            </w:r>
          </w:p>
        </w:tc>
      </w:tr>
      <w:tr w:rsidR="00E3750C" w:rsidRPr="00415AB3" w14:paraId="5C44AD9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898EA1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1074</w:t>
            </w:r>
          </w:p>
        </w:tc>
        <w:tc>
          <w:tcPr>
            <w:tcW w:w="705" w:type="pct"/>
            <w:tcBorders>
              <w:top w:val="nil"/>
              <w:left w:val="nil"/>
              <w:bottom w:val="single" w:sz="4" w:space="0" w:color="auto"/>
              <w:right w:val="single" w:sz="4" w:space="0" w:color="auto"/>
            </w:tcBorders>
            <w:shd w:val="clear" w:color="auto" w:fill="auto"/>
            <w:noWrap/>
            <w:vAlign w:val="center"/>
            <w:hideMark/>
          </w:tcPr>
          <w:p w14:paraId="4D59AAF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5883547000</w:t>
            </w:r>
          </w:p>
        </w:tc>
        <w:tc>
          <w:tcPr>
            <w:tcW w:w="547" w:type="pct"/>
            <w:tcBorders>
              <w:top w:val="nil"/>
              <w:left w:val="nil"/>
              <w:bottom w:val="single" w:sz="4" w:space="0" w:color="auto"/>
              <w:right w:val="single" w:sz="4" w:space="0" w:color="auto"/>
            </w:tcBorders>
            <w:shd w:val="clear" w:color="auto" w:fill="auto"/>
            <w:noWrap/>
            <w:vAlign w:val="center"/>
            <w:hideMark/>
          </w:tcPr>
          <w:p w14:paraId="040045B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23676264</w:t>
            </w:r>
          </w:p>
        </w:tc>
        <w:tc>
          <w:tcPr>
            <w:tcW w:w="3360" w:type="pct"/>
            <w:tcBorders>
              <w:top w:val="nil"/>
              <w:left w:val="nil"/>
              <w:bottom w:val="single" w:sz="4" w:space="0" w:color="auto"/>
              <w:right w:val="single" w:sz="4" w:space="0" w:color="auto"/>
            </w:tcBorders>
            <w:shd w:val="clear" w:color="auto" w:fill="auto"/>
            <w:vAlign w:val="center"/>
            <w:hideMark/>
          </w:tcPr>
          <w:p w14:paraId="197FF0C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TRŽIČ</w:t>
            </w:r>
          </w:p>
        </w:tc>
      </w:tr>
      <w:tr w:rsidR="00E3750C" w:rsidRPr="00415AB3" w14:paraId="7BD06BB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1C4C65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1075</w:t>
            </w:r>
          </w:p>
        </w:tc>
        <w:tc>
          <w:tcPr>
            <w:tcW w:w="705" w:type="pct"/>
            <w:tcBorders>
              <w:top w:val="nil"/>
              <w:left w:val="nil"/>
              <w:bottom w:val="single" w:sz="4" w:space="0" w:color="auto"/>
              <w:right w:val="single" w:sz="4" w:space="0" w:color="auto"/>
            </w:tcBorders>
            <w:shd w:val="clear" w:color="auto" w:fill="auto"/>
            <w:noWrap/>
            <w:vAlign w:val="center"/>
            <w:hideMark/>
          </w:tcPr>
          <w:p w14:paraId="04F99F7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5874700000</w:t>
            </w:r>
          </w:p>
        </w:tc>
        <w:tc>
          <w:tcPr>
            <w:tcW w:w="547" w:type="pct"/>
            <w:tcBorders>
              <w:top w:val="nil"/>
              <w:left w:val="nil"/>
              <w:bottom w:val="single" w:sz="4" w:space="0" w:color="auto"/>
              <w:right w:val="single" w:sz="4" w:space="0" w:color="auto"/>
            </w:tcBorders>
            <w:shd w:val="clear" w:color="auto" w:fill="auto"/>
            <w:noWrap/>
            <w:vAlign w:val="center"/>
            <w:hideMark/>
          </w:tcPr>
          <w:p w14:paraId="77678A5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42090539</w:t>
            </w:r>
          </w:p>
        </w:tc>
        <w:tc>
          <w:tcPr>
            <w:tcW w:w="3360" w:type="pct"/>
            <w:tcBorders>
              <w:top w:val="nil"/>
              <w:left w:val="nil"/>
              <w:bottom w:val="single" w:sz="4" w:space="0" w:color="auto"/>
              <w:right w:val="single" w:sz="4" w:space="0" w:color="auto"/>
            </w:tcBorders>
            <w:shd w:val="clear" w:color="auto" w:fill="auto"/>
            <w:vAlign w:val="center"/>
            <w:hideMark/>
          </w:tcPr>
          <w:p w14:paraId="5A33444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TURNIŠČE</w:t>
            </w:r>
          </w:p>
        </w:tc>
      </w:tr>
      <w:tr w:rsidR="00E3750C" w:rsidRPr="00415AB3" w14:paraId="13E1D7E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5C1C76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1076</w:t>
            </w:r>
          </w:p>
        </w:tc>
        <w:tc>
          <w:tcPr>
            <w:tcW w:w="705" w:type="pct"/>
            <w:tcBorders>
              <w:top w:val="nil"/>
              <w:left w:val="nil"/>
              <w:bottom w:val="single" w:sz="4" w:space="0" w:color="auto"/>
              <w:right w:val="single" w:sz="4" w:space="0" w:color="auto"/>
            </w:tcBorders>
            <w:shd w:val="clear" w:color="auto" w:fill="auto"/>
            <w:noWrap/>
            <w:vAlign w:val="center"/>
            <w:hideMark/>
          </w:tcPr>
          <w:p w14:paraId="760B14E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5874785000</w:t>
            </w:r>
          </w:p>
        </w:tc>
        <w:tc>
          <w:tcPr>
            <w:tcW w:w="547" w:type="pct"/>
            <w:tcBorders>
              <w:top w:val="nil"/>
              <w:left w:val="nil"/>
              <w:bottom w:val="single" w:sz="4" w:space="0" w:color="auto"/>
              <w:right w:val="single" w:sz="4" w:space="0" w:color="auto"/>
            </w:tcBorders>
            <w:shd w:val="clear" w:color="auto" w:fill="auto"/>
            <w:noWrap/>
            <w:vAlign w:val="center"/>
            <w:hideMark/>
          </w:tcPr>
          <w:p w14:paraId="222CD58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54849799</w:t>
            </w:r>
          </w:p>
        </w:tc>
        <w:tc>
          <w:tcPr>
            <w:tcW w:w="3360" w:type="pct"/>
            <w:tcBorders>
              <w:top w:val="nil"/>
              <w:left w:val="nil"/>
              <w:bottom w:val="single" w:sz="4" w:space="0" w:color="auto"/>
              <w:right w:val="single" w:sz="4" w:space="0" w:color="auto"/>
            </w:tcBorders>
            <w:shd w:val="clear" w:color="auto" w:fill="auto"/>
            <w:vAlign w:val="center"/>
            <w:hideMark/>
          </w:tcPr>
          <w:p w14:paraId="2D0780B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VELIKE LAŠČE</w:t>
            </w:r>
          </w:p>
        </w:tc>
      </w:tr>
      <w:tr w:rsidR="00E3750C" w:rsidRPr="00415AB3" w14:paraId="26A311E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A258B1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1077</w:t>
            </w:r>
          </w:p>
        </w:tc>
        <w:tc>
          <w:tcPr>
            <w:tcW w:w="705" w:type="pct"/>
            <w:tcBorders>
              <w:top w:val="nil"/>
              <w:left w:val="nil"/>
              <w:bottom w:val="single" w:sz="4" w:space="0" w:color="auto"/>
              <w:right w:val="single" w:sz="4" w:space="0" w:color="auto"/>
            </w:tcBorders>
            <w:shd w:val="clear" w:color="auto" w:fill="auto"/>
            <w:noWrap/>
            <w:vAlign w:val="center"/>
            <w:hideMark/>
          </w:tcPr>
          <w:p w14:paraId="6D55018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1332171000</w:t>
            </w:r>
          </w:p>
        </w:tc>
        <w:tc>
          <w:tcPr>
            <w:tcW w:w="547" w:type="pct"/>
            <w:tcBorders>
              <w:top w:val="nil"/>
              <w:left w:val="nil"/>
              <w:bottom w:val="single" w:sz="4" w:space="0" w:color="auto"/>
              <w:right w:val="single" w:sz="4" w:space="0" w:color="auto"/>
            </w:tcBorders>
            <w:shd w:val="clear" w:color="auto" w:fill="auto"/>
            <w:noWrap/>
            <w:vAlign w:val="center"/>
            <w:hideMark/>
          </w:tcPr>
          <w:p w14:paraId="7129CAD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71491821</w:t>
            </w:r>
          </w:p>
        </w:tc>
        <w:tc>
          <w:tcPr>
            <w:tcW w:w="3360" w:type="pct"/>
            <w:tcBorders>
              <w:top w:val="nil"/>
              <w:left w:val="nil"/>
              <w:bottom w:val="single" w:sz="4" w:space="0" w:color="auto"/>
              <w:right w:val="single" w:sz="4" w:space="0" w:color="auto"/>
            </w:tcBorders>
            <w:shd w:val="clear" w:color="auto" w:fill="auto"/>
            <w:vAlign w:val="center"/>
            <w:hideMark/>
          </w:tcPr>
          <w:p w14:paraId="6B57E96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VERŽEJ</w:t>
            </w:r>
          </w:p>
        </w:tc>
      </w:tr>
      <w:tr w:rsidR="00E3750C" w:rsidRPr="00415AB3" w14:paraId="786C075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8F1B46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1078</w:t>
            </w:r>
          </w:p>
        </w:tc>
        <w:tc>
          <w:tcPr>
            <w:tcW w:w="705" w:type="pct"/>
            <w:tcBorders>
              <w:top w:val="nil"/>
              <w:left w:val="nil"/>
              <w:bottom w:val="single" w:sz="4" w:space="0" w:color="auto"/>
              <w:right w:val="single" w:sz="4" w:space="0" w:color="auto"/>
            </w:tcBorders>
            <w:shd w:val="clear" w:color="auto" w:fill="auto"/>
            <w:noWrap/>
            <w:vAlign w:val="center"/>
            <w:hideMark/>
          </w:tcPr>
          <w:p w14:paraId="4BA2170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5883423000</w:t>
            </w:r>
          </w:p>
        </w:tc>
        <w:tc>
          <w:tcPr>
            <w:tcW w:w="547" w:type="pct"/>
            <w:tcBorders>
              <w:top w:val="nil"/>
              <w:left w:val="nil"/>
              <w:bottom w:val="single" w:sz="4" w:space="0" w:color="auto"/>
              <w:right w:val="single" w:sz="4" w:space="0" w:color="auto"/>
            </w:tcBorders>
            <w:shd w:val="clear" w:color="auto" w:fill="auto"/>
            <w:noWrap/>
            <w:vAlign w:val="center"/>
            <w:hideMark/>
          </w:tcPr>
          <w:p w14:paraId="245A31F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21061742</w:t>
            </w:r>
          </w:p>
        </w:tc>
        <w:tc>
          <w:tcPr>
            <w:tcW w:w="3360" w:type="pct"/>
            <w:tcBorders>
              <w:top w:val="nil"/>
              <w:left w:val="nil"/>
              <w:bottom w:val="single" w:sz="4" w:space="0" w:color="auto"/>
              <w:right w:val="single" w:sz="4" w:space="0" w:color="auto"/>
            </w:tcBorders>
            <w:shd w:val="clear" w:color="auto" w:fill="auto"/>
            <w:vAlign w:val="center"/>
            <w:hideMark/>
          </w:tcPr>
          <w:p w14:paraId="333AF8E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VIDEM</w:t>
            </w:r>
          </w:p>
        </w:tc>
      </w:tr>
      <w:tr w:rsidR="00E3750C" w:rsidRPr="00415AB3" w14:paraId="328042B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36288B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1079</w:t>
            </w:r>
          </w:p>
        </w:tc>
        <w:tc>
          <w:tcPr>
            <w:tcW w:w="705" w:type="pct"/>
            <w:tcBorders>
              <w:top w:val="nil"/>
              <w:left w:val="nil"/>
              <w:bottom w:val="single" w:sz="4" w:space="0" w:color="auto"/>
              <w:right w:val="single" w:sz="4" w:space="0" w:color="auto"/>
            </w:tcBorders>
            <w:shd w:val="clear" w:color="auto" w:fill="auto"/>
            <w:noWrap/>
            <w:vAlign w:val="center"/>
            <w:hideMark/>
          </w:tcPr>
          <w:p w14:paraId="5624CFD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5879922000</w:t>
            </w:r>
          </w:p>
        </w:tc>
        <w:tc>
          <w:tcPr>
            <w:tcW w:w="547" w:type="pct"/>
            <w:tcBorders>
              <w:top w:val="nil"/>
              <w:left w:val="nil"/>
              <w:bottom w:val="single" w:sz="4" w:space="0" w:color="auto"/>
              <w:right w:val="single" w:sz="4" w:space="0" w:color="auto"/>
            </w:tcBorders>
            <w:shd w:val="clear" w:color="auto" w:fill="auto"/>
            <w:noWrap/>
            <w:vAlign w:val="center"/>
            <w:hideMark/>
          </w:tcPr>
          <w:p w14:paraId="5D465DB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56416245</w:t>
            </w:r>
          </w:p>
        </w:tc>
        <w:tc>
          <w:tcPr>
            <w:tcW w:w="3360" w:type="pct"/>
            <w:tcBorders>
              <w:top w:val="nil"/>
              <w:left w:val="nil"/>
              <w:bottom w:val="single" w:sz="4" w:space="0" w:color="auto"/>
              <w:right w:val="single" w:sz="4" w:space="0" w:color="auto"/>
            </w:tcBorders>
            <w:shd w:val="clear" w:color="auto" w:fill="auto"/>
            <w:vAlign w:val="center"/>
            <w:hideMark/>
          </w:tcPr>
          <w:p w14:paraId="6F873EC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VIPAVA</w:t>
            </w:r>
          </w:p>
        </w:tc>
      </w:tr>
      <w:tr w:rsidR="00E3750C" w:rsidRPr="00415AB3" w14:paraId="54CBEC9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D8B577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1080</w:t>
            </w:r>
          </w:p>
        </w:tc>
        <w:tc>
          <w:tcPr>
            <w:tcW w:w="705" w:type="pct"/>
            <w:tcBorders>
              <w:top w:val="nil"/>
              <w:left w:val="nil"/>
              <w:bottom w:val="single" w:sz="4" w:space="0" w:color="auto"/>
              <w:right w:val="single" w:sz="4" w:space="0" w:color="auto"/>
            </w:tcBorders>
            <w:shd w:val="clear" w:color="auto" w:fill="auto"/>
            <w:noWrap/>
            <w:vAlign w:val="center"/>
            <w:hideMark/>
          </w:tcPr>
          <w:p w14:paraId="65A66D6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5883768000</w:t>
            </w:r>
          </w:p>
        </w:tc>
        <w:tc>
          <w:tcPr>
            <w:tcW w:w="547" w:type="pct"/>
            <w:tcBorders>
              <w:top w:val="nil"/>
              <w:left w:val="nil"/>
              <w:bottom w:val="single" w:sz="4" w:space="0" w:color="auto"/>
              <w:right w:val="single" w:sz="4" w:space="0" w:color="auto"/>
            </w:tcBorders>
            <w:shd w:val="clear" w:color="auto" w:fill="auto"/>
            <w:noWrap/>
            <w:vAlign w:val="center"/>
            <w:hideMark/>
          </w:tcPr>
          <w:p w14:paraId="3CC0033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28019610</w:t>
            </w:r>
          </w:p>
        </w:tc>
        <w:tc>
          <w:tcPr>
            <w:tcW w:w="3360" w:type="pct"/>
            <w:tcBorders>
              <w:top w:val="nil"/>
              <w:left w:val="nil"/>
              <w:bottom w:val="single" w:sz="4" w:space="0" w:color="auto"/>
              <w:right w:val="single" w:sz="4" w:space="0" w:color="auto"/>
            </w:tcBorders>
            <w:shd w:val="clear" w:color="auto" w:fill="auto"/>
            <w:vAlign w:val="center"/>
            <w:hideMark/>
          </w:tcPr>
          <w:p w14:paraId="2D4896B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VITANJE</w:t>
            </w:r>
          </w:p>
        </w:tc>
      </w:tr>
      <w:tr w:rsidR="00E3750C" w:rsidRPr="00415AB3" w14:paraId="4271510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E40101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1081</w:t>
            </w:r>
          </w:p>
        </w:tc>
        <w:tc>
          <w:tcPr>
            <w:tcW w:w="705" w:type="pct"/>
            <w:tcBorders>
              <w:top w:val="nil"/>
              <w:left w:val="nil"/>
              <w:bottom w:val="single" w:sz="4" w:space="0" w:color="auto"/>
              <w:right w:val="single" w:sz="4" w:space="0" w:color="auto"/>
            </w:tcBorders>
            <w:shd w:val="clear" w:color="auto" w:fill="auto"/>
            <w:noWrap/>
            <w:vAlign w:val="center"/>
            <w:hideMark/>
          </w:tcPr>
          <w:p w14:paraId="6AB6BEF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5874637000</w:t>
            </w:r>
          </w:p>
        </w:tc>
        <w:tc>
          <w:tcPr>
            <w:tcW w:w="547" w:type="pct"/>
            <w:tcBorders>
              <w:top w:val="nil"/>
              <w:left w:val="nil"/>
              <w:bottom w:val="single" w:sz="4" w:space="0" w:color="auto"/>
              <w:right w:val="single" w:sz="4" w:space="0" w:color="auto"/>
            </w:tcBorders>
            <w:shd w:val="clear" w:color="auto" w:fill="auto"/>
            <w:noWrap/>
            <w:vAlign w:val="center"/>
            <w:hideMark/>
          </w:tcPr>
          <w:p w14:paraId="7FC7E2F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61348139</w:t>
            </w:r>
          </w:p>
        </w:tc>
        <w:tc>
          <w:tcPr>
            <w:tcW w:w="3360" w:type="pct"/>
            <w:tcBorders>
              <w:top w:val="nil"/>
              <w:left w:val="nil"/>
              <w:bottom w:val="single" w:sz="4" w:space="0" w:color="auto"/>
              <w:right w:val="single" w:sz="4" w:space="0" w:color="auto"/>
            </w:tcBorders>
            <w:shd w:val="clear" w:color="auto" w:fill="auto"/>
            <w:vAlign w:val="center"/>
            <w:hideMark/>
          </w:tcPr>
          <w:p w14:paraId="325A04A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VODICE</w:t>
            </w:r>
          </w:p>
        </w:tc>
      </w:tr>
      <w:tr w:rsidR="00E3750C" w:rsidRPr="00415AB3" w14:paraId="0A58636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03F96D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1082</w:t>
            </w:r>
          </w:p>
        </w:tc>
        <w:tc>
          <w:tcPr>
            <w:tcW w:w="705" w:type="pct"/>
            <w:tcBorders>
              <w:top w:val="nil"/>
              <w:left w:val="nil"/>
              <w:bottom w:val="single" w:sz="4" w:space="0" w:color="auto"/>
              <w:right w:val="single" w:sz="4" w:space="0" w:color="auto"/>
            </w:tcBorders>
            <w:shd w:val="clear" w:color="auto" w:fill="auto"/>
            <w:noWrap/>
            <w:vAlign w:val="center"/>
            <w:hideMark/>
          </w:tcPr>
          <w:p w14:paraId="728AD9F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5880386000</w:t>
            </w:r>
          </w:p>
        </w:tc>
        <w:tc>
          <w:tcPr>
            <w:tcW w:w="547" w:type="pct"/>
            <w:tcBorders>
              <w:top w:val="nil"/>
              <w:left w:val="nil"/>
              <w:bottom w:val="single" w:sz="4" w:space="0" w:color="auto"/>
              <w:right w:val="single" w:sz="4" w:space="0" w:color="auto"/>
            </w:tcBorders>
            <w:shd w:val="clear" w:color="auto" w:fill="auto"/>
            <w:noWrap/>
            <w:vAlign w:val="center"/>
            <w:hideMark/>
          </w:tcPr>
          <w:p w14:paraId="53D908D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67288006</w:t>
            </w:r>
          </w:p>
        </w:tc>
        <w:tc>
          <w:tcPr>
            <w:tcW w:w="3360" w:type="pct"/>
            <w:tcBorders>
              <w:top w:val="nil"/>
              <w:left w:val="nil"/>
              <w:bottom w:val="single" w:sz="4" w:space="0" w:color="auto"/>
              <w:right w:val="single" w:sz="4" w:space="0" w:color="auto"/>
            </w:tcBorders>
            <w:shd w:val="clear" w:color="auto" w:fill="auto"/>
            <w:vAlign w:val="center"/>
            <w:hideMark/>
          </w:tcPr>
          <w:p w14:paraId="4833E80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VOJNIK</w:t>
            </w:r>
          </w:p>
        </w:tc>
      </w:tr>
      <w:tr w:rsidR="00E3750C" w:rsidRPr="00415AB3" w14:paraId="3675DC2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BEA359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1083</w:t>
            </w:r>
          </w:p>
        </w:tc>
        <w:tc>
          <w:tcPr>
            <w:tcW w:w="705" w:type="pct"/>
            <w:tcBorders>
              <w:top w:val="nil"/>
              <w:left w:val="nil"/>
              <w:bottom w:val="single" w:sz="4" w:space="0" w:color="auto"/>
              <w:right w:val="single" w:sz="4" w:space="0" w:color="auto"/>
            </w:tcBorders>
            <w:shd w:val="clear" w:color="auto" w:fill="auto"/>
            <w:noWrap/>
            <w:vAlign w:val="center"/>
            <w:hideMark/>
          </w:tcPr>
          <w:p w14:paraId="6317C80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1357778000</w:t>
            </w:r>
          </w:p>
        </w:tc>
        <w:tc>
          <w:tcPr>
            <w:tcW w:w="547" w:type="pct"/>
            <w:tcBorders>
              <w:top w:val="nil"/>
              <w:left w:val="nil"/>
              <w:bottom w:val="single" w:sz="4" w:space="0" w:color="auto"/>
              <w:right w:val="single" w:sz="4" w:space="0" w:color="auto"/>
            </w:tcBorders>
            <w:shd w:val="clear" w:color="auto" w:fill="auto"/>
            <w:noWrap/>
            <w:vAlign w:val="center"/>
            <w:hideMark/>
          </w:tcPr>
          <w:p w14:paraId="2260FE3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59929286</w:t>
            </w:r>
          </w:p>
        </w:tc>
        <w:tc>
          <w:tcPr>
            <w:tcW w:w="3360" w:type="pct"/>
            <w:tcBorders>
              <w:top w:val="nil"/>
              <w:left w:val="nil"/>
              <w:bottom w:val="single" w:sz="4" w:space="0" w:color="auto"/>
              <w:right w:val="single" w:sz="4" w:space="0" w:color="auto"/>
            </w:tcBorders>
            <w:shd w:val="clear" w:color="auto" w:fill="auto"/>
            <w:vAlign w:val="center"/>
            <w:hideMark/>
          </w:tcPr>
          <w:p w14:paraId="7E05901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VRANSKO</w:t>
            </w:r>
          </w:p>
        </w:tc>
      </w:tr>
      <w:tr w:rsidR="00E3750C" w:rsidRPr="00415AB3" w14:paraId="0EB250C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28CCD7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1084</w:t>
            </w:r>
          </w:p>
        </w:tc>
        <w:tc>
          <w:tcPr>
            <w:tcW w:w="705" w:type="pct"/>
            <w:tcBorders>
              <w:top w:val="nil"/>
              <w:left w:val="nil"/>
              <w:bottom w:val="single" w:sz="4" w:space="0" w:color="auto"/>
              <w:right w:val="single" w:sz="4" w:space="0" w:color="auto"/>
            </w:tcBorders>
            <w:shd w:val="clear" w:color="auto" w:fill="auto"/>
            <w:noWrap/>
            <w:vAlign w:val="center"/>
            <w:hideMark/>
          </w:tcPr>
          <w:p w14:paraId="4EB338A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5883407000</w:t>
            </w:r>
          </w:p>
        </w:tc>
        <w:tc>
          <w:tcPr>
            <w:tcW w:w="547" w:type="pct"/>
            <w:tcBorders>
              <w:top w:val="nil"/>
              <w:left w:val="nil"/>
              <w:bottom w:val="single" w:sz="4" w:space="0" w:color="auto"/>
              <w:right w:val="single" w:sz="4" w:space="0" w:color="auto"/>
            </w:tcBorders>
            <w:shd w:val="clear" w:color="auto" w:fill="auto"/>
            <w:noWrap/>
            <w:vAlign w:val="center"/>
            <w:hideMark/>
          </w:tcPr>
          <w:p w14:paraId="4C904FA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43542204</w:t>
            </w:r>
          </w:p>
        </w:tc>
        <w:tc>
          <w:tcPr>
            <w:tcW w:w="3360" w:type="pct"/>
            <w:tcBorders>
              <w:top w:val="nil"/>
              <w:left w:val="nil"/>
              <w:bottom w:val="single" w:sz="4" w:space="0" w:color="auto"/>
              <w:right w:val="single" w:sz="4" w:space="0" w:color="auto"/>
            </w:tcBorders>
            <w:shd w:val="clear" w:color="auto" w:fill="auto"/>
            <w:vAlign w:val="center"/>
            <w:hideMark/>
          </w:tcPr>
          <w:p w14:paraId="574BB6D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VRHNIKA</w:t>
            </w:r>
          </w:p>
        </w:tc>
      </w:tr>
      <w:tr w:rsidR="00E3750C" w:rsidRPr="00415AB3" w14:paraId="3AFA891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9D12FF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1085</w:t>
            </w:r>
          </w:p>
        </w:tc>
        <w:tc>
          <w:tcPr>
            <w:tcW w:w="705" w:type="pct"/>
            <w:tcBorders>
              <w:top w:val="nil"/>
              <w:left w:val="nil"/>
              <w:bottom w:val="single" w:sz="4" w:space="0" w:color="auto"/>
              <w:right w:val="single" w:sz="4" w:space="0" w:color="auto"/>
            </w:tcBorders>
            <w:shd w:val="clear" w:color="auto" w:fill="auto"/>
            <w:noWrap/>
            <w:vAlign w:val="center"/>
            <w:hideMark/>
          </w:tcPr>
          <w:p w14:paraId="192907F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5881765000</w:t>
            </w:r>
          </w:p>
        </w:tc>
        <w:tc>
          <w:tcPr>
            <w:tcW w:w="547" w:type="pct"/>
            <w:tcBorders>
              <w:top w:val="nil"/>
              <w:left w:val="nil"/>
              <w:bottom w:val="single" w:sz="4" w:space="0" w:color="auto"/>
              <w:right w:val="single" w:sz="4" w:space="0" w:color="auto"/>
            </w:tcBorders>
            <w:shd w:val="clear" w:color="auto" w:fill="auto"/>
            <w:noWrap/>
            <w:vAlign w:val="center"/>
            <w:hideMark/>
          </w:tcPr>
          <w:p w14:paraId="5624742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43178740</w:t>
            </w:r>
          </w:p>
        </w:tc>
        <w:tc>
          <w:tcPr>
            <w:tcW w:w="3360" w:type="pct"/>
            <w:tcBorders>
              <w:top w:val="nil"/>
              <w:left w:val="nil"/>
              <w:bottom w:val="single" w:sz="4" w:space="0" w:color="auto"/>
              <w:right w:val="single" w:sz="4" w:space="0" w:color="auto"/>
            </w:tcBorders>
            <w:shd w:val="clear" w:color="auto" w:fill="auto"/>
            <w:vAlign w:val="center"/>
            <w:hideMark/>
          </w:tcPr>
          <w:p w14:paraId="4F884CE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VUZENICA</w:t>
            </w:r>
          </w:p>
        </w:tc>
      </w:tr>
      <w:tr w:rsidR="00E3750C" w:rsidRPr="00415AB3" w14:paraId="0EC5F3C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8691A8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1086</w:t>
            </w:r>
          </w:p>
        </w:tc>
        <w:tc>
          <w:tcPr>
            <w:tcW w:w="705" w:type="pct"/>
            <w:tcBorders>
              <w:top w:val="nil"/>
              <w:left w:val="nil"/>
              <w:bottom w:val="single" w:sz="4" w:space="0" w:color="auto"/>
              <w:right w:val="single" w:sz="4" w:space="0" w:color="auto"/>
            </w:tcBorders>
            <w:shd w:val="clear" w:color="auto" w:fill="auto"/>
            <w:noWrap/>
            <w:vAlign w:val="center"/>
            <w:hideMark/>
          </w:tcPr>
          <w:p w14:paraId="332BA69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5883890000</w:t>
            </w:r>
          </w:p>
        </w:tc>
        <w:tc>
          <w:tcPr>
            <w:tcW w:w="547" w:type="pct"/>
            <w:tcBorders>
              <w:top w:val="nil"/>
              <w:left w:val="nil"/>
              <w:bottom w:val="single" w:sz="4" w:space="0" w:color="auto"/>
              <w:right w:val="single" w:sz="4" w:space="0" w:color="auto"/>
            </w:tcBorders>
            <w:shd w:val="clear" w:color="auto" w:fill="auto"/>
            <w:noWrap/>
            <w:vAlign w:val="center"/>
            <w:hideMark/>
          </w:tcPr>
          <w:p w14:paraId="2CA2471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25643444</w:t>
            </w:r>
          </w:p>
        </w:tc>
        <w:tc>
          <w:tcPr>
            <w:tcW w:w="3360" w:type="pct"/>
            <w:tcBorders>
              <w:top w:val="nil"/>
              <w:left w:val="nil"/>
              <w:bottom w:val="single" w:sz="4" w:space="0" w:color="auto"/>
              <w:right w:val="single" w:sz="4" w:space="0" w:color="auto"/>
            </w:tcBorders>
            <w:shd w:val="clear" w:color="auto" w:fill="auto"/>
            <w:vAlign w:val="center"/>
            <w:hideMark/>
          </w:tcPr>
          <w:p w14:paraId="688D461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ZAGORJE OB SAVI</w:t>
            </w:r>
          </w:p>
        </w:tc>
      </w:tr>
      <w:tr w:rsidR="00E3750C" w:rsidRPr="00415AB3" w14:paraId="5A4AFD0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B26384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1087</w:t>
            </w:r>
          </w:p>
        </w:tc>
        <w:tc>
          <w:tcPr>
            <w:tcW w:w="705" w:type="pct"/>
            <w:tcBorders>
              <w:top w:val="nil"/>
              <w:left w:val="nil"/>
              <w:bottom w:val="single" w:sz="4" w:space="0" w:color="auto"/>
              <w:right w:val="single" w:sz="4" w:space="0" w:color="auto"/>
            </w:tcBorders>
            <w:shd w:val="clear" w:color="auto" w:fill="auto"/>
            <w:noWrap/>
            <w:vAlign w:val="center"/>
            <w:hideMark/>
          </w:tcPr>
          <w:p w14:paraId="644A59A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5883377000</w:t>
            </w:r>
          </w:p>
        </w:tc>
        <w:tc>
          <w:tcPr>
            <w:tcW w:w="547" w:type="pct"/>
            <w:tcBorders>
              <w:top w:val="nil"/>
              <w:left w:val="nil"/>
              <w:bottom w:val="single" w:sz="4" w:space="0" w:color="auto"/>
              <w:right w:val="single" w:sz="4" w:space="0" w:color="auto"/>
            </w:tcBorders>
            <w:shd w:val="clear" w:color="auto" w:fill="auto"/>
            <w:noWrap/>
            <w:vAlign w:val="center"/>
            <w:hideMark/>
          </w:tcPr>
          <w:p w14:paraId="135E55A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47964332</w:t>
            </w:r>
          </w:p>
        </w:tc>
        <w:tc>
          <w:tcPr>
            <w:tcW w:w="3360" w:type="pct"/>
            <w:tcBorders>
              <w:top w:val="nil"/>
              <w:left w:val="nil"/>
              <w:bottom w:val="single" w:sz="4" w:space="0" w:color="auto"/>
              <w:right w:val="single" w:sz="4" w:space="0" w:color="auto"/>
            </w:tcBorders>
            <w:shd w:val="clear" w:color="auto" w:fill="auto"/>
            <w:vAlign w:val="center"/>
            <w:hideMark/>
          </w:tcPr>
          <w:p w14:paraId="2508B66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ZAVRČ</w:t>
            </w:r>
          </w:p>
        </w:tc>
      </w:tr>
      <w:tr w:rsidR="00E3750C" w:rsidRPr="00415AB3" w14:paraId="5F72771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9DA3E2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1088</w:t>
            </w:r>
          </w:p>
        </w:tc>
        <w:tc>
          <w:tcPr>
            <w:tcW w:w="705" w:type="pct"/>
            <w:tcBorders>
              <w:top w:val="nil"/>
              <w:left w:val="nil"/>
              <w:bottom w:val="single" w:sz="4" w:space="0" w:color="auto"/>
              <w:right w:val="single" w:sz="4" w:space="0" w:color="auto"/>
            </w:tcBorders>
            <w:shd w:val="clear" w:color="auto" w:fill="auto"/>
            <w:noWrap/>
            <w:vAlign w:val="center"/>
            <w:hideMark/>
          </w:tcPr>
          <w:p w14:paraId="148E352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5883342000</w:t>
            </w:r>
          </w:p>
        </w:tc>
        <w:tc>
          <w:tcPr>
            <w:tcW w:w="547" w:type="pct"/>
            <w:tcBorders>
              <w:top w:val="nil"/>
              <w:left w:val="nil"/>
              <w:bottom w:val="single" w:sz="4" w:space="0" w:color="auto"/>
              <w:right w:val="single" w:sz="4" w:space="0" w:color="auto"/>
            </w:tcBorders>
            <w:shd w:val="clear" w:color="auto" w:fill="auto"/>
            <w:noWrap/>
            <w:vAlign w:val="center"/>
            <w:hideMark/>
          </w:tcPr>
          <w:p w14:paraId="2E99153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35536519</w:t>
            </w:r>
          </w:p>
        </w:tc>
        <w:tc>
          <w:tcPr>
            <w:tcW w:w="3360" w:type="pct"/>
            <w:tcBorders>
              <w:top w:val="nil"/>
              <w:left w:val="nil"/>
              <w:bottom w:val="single" w:sz="4" w:space="0" w:color="auto"/>
              <w:right w:val="single" w:sz="4" w:space="0" w:color="auto"/>
            </w:tcBorders>
            <w:shd w:val="clear" w:color="auto" w:fill="auto"/>
            <w:vAlign w:val="center"/>
            <w:hideMark/>
          </w:tcPr>
          <w:p w14:paraId="41CFE43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ZREČE</w:t>
            </w:r>
          </w:p>
        </w:tc>
      </w:tr>
      <w:tr w:rsidR="00E3750C" w:rsidRPr="00415AB3" w14:paraId="1C4F4E3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54F327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1089</w:t>
            </w:r>
          </w:p>
        </w:tc>
        <w:tc>
          <w:tcPr>
            <w:tcW w:w="705" w:type="pct"/>
            <w:tcBorders>
              <w:top w:val="nil"/>
              <w:left w:val="nil"/>
              <w:bottom w:val="single" w:sz="4" w:space="0" w:color="auto"/>
              <w:right w:val="single" w:sz="4" w:space="0" w:color="auto"/>
            </w:tcBorders>
            <w:shd w:val="clear" w:color="auto" w:fill="auto"/>
            <w:noWrap/>
            <w:vAlign w:val="center"/>
            <w:hideMark/>
          </w:tcPr>
          <w:p w14:paraId="0A4F4D1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5881544000</w:t>
            </w:r>
          </w:p>
        </w:tc>
        <w:tc>
          <w:tcPr>
            <w:tcW w:w="547" w:type="pct"/>
            <w:tcBorders>
              <w:top w:val="nil"/>
              <w:left w:val="nil"/>
              <w:bottom w:val="single" w:sz="4" w:space="0" w:color="auto"/>
              <w:right w:val="single" w:sz="4" w:space="0" w:color="auto"/>
            </w:tcBorders>
            <w:shd w:val="clear" w:color="auto" w:fill="auto"/>
            <w:noWrap/>
            <w:vAlign w:val="center"/>
            <w:hideMark/>
          </w:tcPr>
          <w:p w14:paraId="1F4DCAC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62546708</w:t>
            </w:r>
          </w:p>
        </w:tc>
        <w:tc>
          <w:tcPr>
            <w:tcW w:w="3360" w:type="pct"/>
            <w:tcBorders>
              <w:top w:val="nil"/>
              <w:left w:val="nil"/>
              <w:bottom w:val="single" w:sz="4" w:space="0" w:color="auto"/>
              <w:right w:val="single" w:sz="4" w:space="0" w:color="auto"/>
            </w:tcBorders>
            <w:shd w:val="clear" w:color="auto" w:fill="auto"/>
            <w:vAlign w:val="center"/>
            <w:hideMark/>
          </w:tcPr>
          <w:p w14:paraId="06699A4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ŽALEC</w:t>
            </w:r>
          </w:p>
        </w:tc>
      </w:tr>
      <w:tr w:rsidR="00E3750C" w:rsidRPr="00415AB3" w14:paraId="28CEAA6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9773F1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1090</w:t>
            </w:r>
          </w:p>
        </w:tc>
        <w:tc>
          <w:tcPr>
            <w:tcW w:w="705" w:type="pct"/>
            <w:tcBorders>
              <w:top w:val="nil"/>
              <w:left w:val="nil"/>
              <w:bottom w:val="single" w:sz="4" w:space="0" w:color="auto"/>
              <w:right w:val="single" w:sz="4" w:space="0" w:color="auto"/>
            </w:tcBorders>
            <w:shd w:val="clear" w:color="auto" w:fill="auto"/>
            <w:noWrap/>
            <w:vAlign w:val="center"/>
            <w:hideMark/>
          </w:tcPr>
          <w:p w14:paraId="5EBCED7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5883148000</w:t>
            </w:r>
          </w:p>
        </w:tc>
        <w:tc>
          <w:tcPr>
            <w:tcW w:w="547" w:type="pct"/>
            <w:tcBorders>
              <w:top w:val="nil"/>
              <w:left w:val="nil"/>
              <w:bottom w:val="single" w:sz="4" w:space="0" w:color="auto"/>
              <w:right w:val="single" w:sz="4" w:space="0" w:color="auto"/>
            </w:tcBorders>
            <w:shd w:val="clear" w:color="auto" w:fill="auto"/>
            <w:noWrap/>
            <w:vAlign w:val="center"/>
            <w:hideMark/>
          </w:tcPr>
          <w:p w14:paraId="10EDBA7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59920327</w:t>
            </w:r>
          </w:p>
        </w:tc>
        <w:tc>
          <w:tcPr>
            <w:tcW w:w="3360" w:type="pct"/>
            <w:tcBorders>
              <w:top w:val="nil"/>
              <w:left w:val="nil"/>
              <w:bottom w:val="single" w:sz="4" w:space="0" w:color="auto"/>
              <w:right w:val="single" w:sz="4" w:space="0" w:color="auto"/>
            </w:tcBorders>
            <w:shd w:val="clear" w:color="auto" w:fill="auto"/>
            <w:vAlign w:val="center"/>
            <w:hideMark/>
          </w:tcPr>
          <w:p w14:paraId="0B17BD8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ŽELEZNIKI</w:t>
            </w:r>
          </w:p>
        </w:tc>
      </w:tr>
      <w:tr w:rsidR="00E3750C" w:rsidRPr="00415AB3" w14:paraId="61F3C38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B6BFA6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1091</w:t>
            </w:r>
          </w:p>
        </w:tc>
        <w:tc>
          <w:tcPr>
            <w:tcW w:w="705" w:type="pct"/>
            <w:tcBorders>
              <w:top w:val="nil"/>
              <w:left w:val="nil"/>
              <w:bottom w:val="single" w:sz="4" w:space="0" w:color="auto"/>
              <w:right w:val="single" w:sz="4" w:space="0" w:color="auto"/>
            </w:tcBorders>
            <w:shd w:val="clear" w:color="auto" w:fill="auto"/>
            <w:noWrap/>
            <w:vAlign w:val="center"/>
            <w:hideMark/>
          </w:tcPr>
          <w:p w14:paraId="1871F1C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1357999000</w:t>
            </w:r>
          </w:p>
        </w:tc>
        <w:tc>
          <w:tcPr>
            <w:tcW w:w="547" w:type="pct"/>
            <w:tcBorders>
              <w:top w:val="nil"/>
              <w:left w:val="nil"/>
              <w:bottom w:val="single" w:sz="4" w:space="0" w:color="auto"/>
              <w:right w:val="single" w:sz="4" w:space="0" w:color="auto"/>
            </w:tcBorders>
            <w:shd w:val="clear" w:color="auto" w:fill="auto"/>
            <w:noWrap/>
            <w:vAlign w:val="center"/>
            <w:hideMark/>
          </w:tcPr>
          <w:p w14:paraId="66540C4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91024129</w:t>
            </w:r>
          </w:p>
        </w:tc>
        <w:tc>
          <w:tcPr>
            <w:tcW w:w="3360" w:type="pct"/>
            <w:tcBorders>
              <w:top w:val="nil"/>
              <w:left w:val="nil"/>
              <w:bottom w:val="single" w:sz="4" w:space="0" w:color="auto"/>
              <w:right w:val="single" w:sz="4" w:space="0" w:color="auto"/>
            </w:tcBorders>
            <w:shd w:val="clear" w:color="auto" w:fill="auto"/>
            <w:vAlign w:val="center"/>
            <w:hideMark/>
          </w:tcPr>
          <w:p w14:paraId="4168864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ŽETALE</w:t>
            </w:r>
          </w:p>
        </w:tc>
      </w:tr>
      <w:tr w:rsidR="00E3750C" w:rsidRPr="00415AB3" w14:paraId="53B64CE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FA20B2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1092</w:t>
            </w:r>
          </w:p>
        </w:tc>
        <w:tc>
          <w:tcPr>
            <w:tcW w:w="705" w:type="pct"/>
            <w:tcBorders>
              <w:top w:val="nil"/>
              <w:left w:val="nil"/>
              <w:bottom w:val="single" w:sz="4" w:space="0" w:color="auto"/>
              <w:right w:val="single" w:sz="4" w:space="0" w:color="auto"/>
            </w:tcBorders>
            <w:shd w:val="clear" w:color="auto" w:fill="auto"/>
            <w:noWrap/>
            <w:vAlign w:val="center"/>
            <w:hideMark/>
          </w:tcPr>
          <w:p w14:paraId="6692DEF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5883202000</w:t>
            </w:r>
          </w:p>
        </w:tc>
        <w:tc>
          <w:tcPr>
            <w:tcW w:w="547" w:type="pct"/>
            <w:tcBorders>
              <w:top w:val="nil"/>
              <w:left w:val="nil"/>
              <w:bottom w:val="single" w:sz="4" w:space="0" w:color="auto"/>
              <w:right w:val="single" w:sz="4" w:space="0" w:color="auto"/>
            </w:tcBorders>
            <w:shd w:val="clear" w:color="auto" w:fill="auto"/>
            <w:noWrap/>
            <w:vAlign w:val="center"/>
            <w:hideMark/>
          </w:tcPr>
          <w:p w14:paraId="2B7F7C2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69533768</w:t>
            </w:r>
          </w:p>
        </w:tc>
        <w:tc>
          <w:tcPr>
            <w:tcW w:w="3360" w:type="pct"/>
            <w:tcBorders>
              <w:top w:val="nil"/>
              <w:left w:val="nil"/>
              <w:bottom w:val="single" w:sz="4" w:space="0" w:color="auto"/>
              <w:right w:val="single" w:sz="4" w:space="0" w:color="auto"/>
            </w:tcBorders>
            <w:shd w:val="clear" w:color="auto" w:fill="auto"/>
            <w:vAlign w:val="center"/>
            <w:hideMark/>
          </w:tcPr>
          <w:p w14:paraId="54C9906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ŽIRI</w:t>
            </w:r>
          </w:p>
        </w:tc>
      </w:tr>
      <w:tr w:rsidR="00E3750C" w:rsidRPr="00415AB3" w14:paraId="53CA08C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3B2548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1093</w:t>
            </w:r>
          </w:p>
        </w:tc>
        <w:tc>
          <w:tcPr>
            <w:tcW w:w="705" w:type="pct"/>
            <w:tcBorders>
              <w:top w:val="nil"/>
              <w:left w:val="nil"/>
              <w:bottom w:val="single" w:sz="4" w:space="0" w:color="auto"/>
              <w:right w:val="single" w:sz="4" w:space="0" w:color="auto"/>
            </w:tcBorders>
            <w:shd w:val="clear" w:color="auto" w:fill="auto"/>
            <w:noWrap/>
            <w:vAlign w:val="center"/>
            <w:hideMark/>
          </w:tcPr>
          <w:p w14:paraId="3B61818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1332201000</w:t>
            </w:r>
          </w:p>
        </w:tc>
        <w:tc>
          <w:tcPr>
            <w:tcW w:w="547" w:type="pct"/>
            <w:tcBorders>
              <w:top w:val="nil"/>
              <w:left w:val="nil"/>
              <w:bottom w:val="single" w:sz="4" w:space="0" w:color="auto"/>
              <w:right w:val="single" w:sz="4" w:space="0" w:color="auto"/>
            </w:tcBorders>
            <w:shd w:val="clear" w:color="auto" w:fill="auto"/>
            <w:noWrap/>
            <w:vAlign w:val="center"/>
            <w:hideMark/>
          </w:tcPr>
          <w:p w14:paraId="26B2102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59713631</w:t>
            </w:r>
          </w:p>
        </w:tc>
        <w:tc>
          <w:tcPr>
            <w:tcW w:w="3360" w:type="pct"/>
            <w:tcBorders>
              <w:top w:val="nil"/>
              <w:left w:val="nil"/>
              <w:bottom w:val="single" w:sz="4" w:space="0" w:color="auto"/>
              <w:right w:val="single" w:sz="4" w:space="0" w:color="auto"/>
            </w:tcBorders>
            <w:shd w:val="clear" w:color="auto" w:fill="auto"/>
            <w:vAlign w:val="center"/>
            <w:hideMark/>
          </w:tcPr>
          <w:p w14:paraId="1821626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ŽIROVNICA</w:t>
            </w:r>
          </w:p>
        </w:tc>
      </w:tr>
      <w:tr w:rsidR="00E3750C" w:rsidRPr="00415AB3" w14:paraId="72C489A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8BE921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1094</w:t>
            </w:r>
          </w:p>
        </w:tc>
        <w:tc>
          <w:tcPr>
            <w:tcW w:w="705" w:type="pct"/>
            <w:tcBorders>
              <w:top w:val="nil"/>
              <w:left w:val="nil"/>
              <w:bottom w:val="single" w:sz="4" w:space="0" w:color="auto"/>
              <w:right w:val="single" w:sz="4" w:space="0" w:color="auto"/>
            </w:tcBorders>
            <w:shd w:val="clear" w:color="auto" w:fill="auto"/>
            <w:noWrap/>
            <w:vAlign w:val="center"/>
            <w:hideMark/>
          </w:tcPr>
          <w:p w14:paraId="11F6EB6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1358383000</w:t>
            </w:r>
          </w:p>
        </w:tc>
        <w:tc>
          <w:tcPr>
            <w:tcW w:w="547" w:type="pct"/>
            <w:tcBorders>
              <w:top w:val="nil"/>
              <w:left w:val="nil"/>
              <w:bottom w:val="single" w:sz="4" w:space="0" w:color="auto"/>
              <w:right w:val="single" w:sz="4" w:space="0" w:color="auto"/>
            </w:tcBorders>
            <w:shd w:val="clear" w:color="auto" w:fill="auto"/>
            <w:noWrap/>
            <w:vAlign w:val="center"/>
            <w:hideMark/>
          </w:tcPr>
          <w:p w14:paraId="48B2662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48985457</w:t>
            </w:r>
          </w:p>
        </w:tc>
        <w:tc>
          <w:tcPr>
            <w:tcW w:w="3360" w:type="pct"/>
            <w:tcBorders>
              <w:top w:val="nil"/>
              <w:left w:val="nil"/>
              <w:bottom w:val="single" w:sz="4" w:space="0" w:color="auto"/>
              <w:right w:val="single" w:sz="4" w:space="0" w:color="auto"/>
            </w:tcBorders>
            <w:shd w:val="clear" w:color="auto" w:fill="auto"/>
            <w:vAlign w:val="center"/>
            <w:hideMark/>
          </w:tcPr>
          <w:p w14:paraId="7F04B5E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OBČINA ŽUŽEMBERK</w:t>
            </w:r>
          </w:p>
        </w:tc>
      </w:tr>
      <w:tr w:rsidR="00E3750C" w:rsidRPr="00415AB3" w14:paraId="4BCC956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8E0F6C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1095</w:t>
            </w:r>
          </w:p>
        </w:tc>
        <w:tc>
          <w:tcPr>
            <w:tcW w:w="705" w:type="pct"/>
            <w:tcBorders>
              <w:top w:val="nil"/>
              <w:left w:val="nil"/>
              <w:bottom w:val="single" w:sz="4" w:space="0" w:color="auto"/>
              <w:right w:val="single" w:sz="4" w:space="0" w:color="auto"/>
            </w:tcBorders>
            <w:shd w:val="clear" w:color="auto" w:fill="auto"/>
            <w:noWrap/>
            <w:vAlign w:val="center"/>
            <w:hideMark/>
          </w:tcPr>
          <w:p w14:paraId="6967EB8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5052505000</w:t>
            </w:r>
          </w:p>
        </w:tc>
        <w:tc>
          <w:tcPr>
            <w:tcW w:w="547" w:type="pct"/>
            <w:tcBorders>
              <w:top w:val="nil"/>
              <w:left w:val="nil"/>
              <w:bottom w:val="single" w:sz="4" w:space="0" w:color="auto"/>
              <w:right w:val="single" w:sz="4" w:space="0" w:color="auto"/>
            </w:tcBorders>
            <w:shd w:val="clear" w:color="auto" w:fill="auto"/>
            <w:noWrap/>
            <w:vAlign w:val="center"/>
            <w:hideMark/>
          </w:tcPr>
          <w:p w14:paraId="52C4C0D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49169645</w:t>
            </w:r>
          </w:p>
        </w:tc>
        <w:tc>
          <w:tcPr>
            <w:tcW w:w="3360" w:type="pct"/>
            <w:tcBorders>
              <w:top w:val="nil"/>
              <w:left w:val="nil"/>
              <w:bottom w:val="single" w:sz="4" w:space="0" w:color="auto"/>
              <w:right w:val="single" w:sz="4" w:space="0" w:color="auto"/>
            </w:tcBorders>
            <w:shd w:val="clear" w:color="auto" w:fill="auto"/>
            <w:vAlign w:val="center"/>
            <w:hideMark/>
          </w:tcPr>
          <w:p w14:paraId="6127B80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OBČINSKA KNJIŽNICA JESENICE</w:t>
            </w:r>
          </w:p>
        </w:tc>
      </w:tr>
      <w:tr w:rsidR="00E3750C" w:rsidRPr="00415AB3" w14:paraId="1F4B8DA9"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28D541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1096</w:t>
            </w:r>
          </w:p>
        </w:tc>
        <w:tc>
          <w:tcPr>
            <w:tcW w:w="705" w:type="pct"/>
            <w:tcBorders>
              <w:top w:val="nil"/>
              <w:left w:val="nil"/>
              <w:bottom w:val="single" w:sz="4" w:space="0" w:color="auto"/>
              <w:right w:val="single" w:sz="4" w:space="0" w:color="auto"/>
            </w:tcBorders>
            <w:shd w:val="clear" w:color="auto" w:fill="auto"/>
            <w:noWrap/>
            <w:vAlign w:val="center"/>
            <w:hideMark/>
          </w:tcPr>
          <w:p w14:paraId="02E0840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5111501000</w:t>
            </w:r>
          </w:p>
        </w:tc>
        <w:tc>
          <w:tcPr>
            <w:tcW w:w="547" w:type="pct"/>
            <w:tcBorders>
              <w:top w:val="nil"/>
              <w:left w:val="nil"/>
              <w:bottom w:val="single" w:sz="4" w:space="0" w:color="auto"/>
              <w:right w:val="single" w:sz="4" w:space="0" w:color="auto"/>
            </w:tcBorders>
            <w:shd w:val="clear" w:color="auto" w:fill="auto"/>
            <w:noWrap/>
            <w:vAlign w:val="center"/>
            <w:hideMark/>
          </w:tcPr>
          <w:p w14:paraId="7A35A97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43438806</w:t>
            </w:r>
          </w:p>
        </w:tc>
        <w:tc>
          <w:tcPr>
            <w:tcW w:w="3360" w:type="pct"/>
            <w:tcBorders>
              <w:top w:val="nil"/>
              <w:left w:val="nil"/>
              <w:bottom w:val="single" w:sz="4" w:space="0" w:color="auto"/>
              <w:right w:val="single" w:sz="4" w:space="0" w:color="auto"/>
            </w:tcBorders>
            <w:shd w:val="clear" w:color="auto" w:fill="auto"/>
            <w:vAlign w:val="center"/>
            <w:hideMark/>
          </w:tcPr>
          <w:p w14:paraId="77B2BEB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OKP JAVNO PODJETJE ZA KOMUNALNE STORITVE ROGAŠKA SLATINA, D.O.O.</w:t>
            </w:r>
          </w:p>
        </w:tc>
      </w:tr>
      <w:tr w:rsidR="00E3750C" w:rsidRPr="00415AB3" w14:paraId="76CE92B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08646C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1097</w:t>
            </w:r>
          </w:p>
        </w:tc>
        <w:tc>
          <w:tcPr>
            <w:tcW w:w="705" w:type="pct"/>
            <w:tcBorders>
              <w:top w:val="nil"/>
              <w:left w:val="nil"/>
              <w:bottom w:val="single" w:sz="4" w:space="0" w:color="auto"/>
              <w:right w:val="single" w:sz="4" w:space="0" w:color="auto"/>
            </w:tcBorders>
            <w:shd w:val="clear" w:color="auto" w:fill="auto"/>
            <w:noWrap/>
            <w:vAlign w:val="center"/>
            <w:hideMark/>
          </w:tcPr>
          <w:p w14:paraId="2A5593C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2399121000</w:t>
            </w:r>
          </w:p>
        </w:tc>
        <w:tc>
          <w:tcPr>
            <w:tcW w:w="547" w:type="pct"/>
            <w:tcBorders>
              <w:top w:val="nil"/>
              <w:left w:val="nil"/>
              <w:bottom w:val="single" w:sz="4" w:space="0" w:color="auto"/>
              <w:right w:val="single" w:sz="4" w:space="0" w:color="auto"/>
            </w:tcBorders>
            <w:shd w:val="clear" w:color="auto" w:fill="auto"/>
            <w:noWrap/>
            <w:vAlign w:val="center"/>
            <w:hideMark/>
          </w:tcPr>
          <w:p w14:paraId="301363E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66807107</w:t>
            </w:r>
          </w:p>
        </w:tc>
        <w:tc>
          <w:tcPr>
            <w:tcW w:w="3360" w:type="pct"/>
            <w:tcBorders>
              <w:top w:val="nil"/>
              <w:left w:val="nil"/>
              <w:bottom w:val="single" w:sz="4" w:space="0" w:color="auto"/>
              <w:right w:val="single" w:sz="4" w:space="0" w:color="auto"/>
            </w:tcBorders>
            <w:shd w:val="clear" w:color="auto" w:fill="auto"/>
            <w:vAlign w:val="center"/>
            <w:hideMark/>
          </w:tcPr>
          <w:p w14:paraId="72EC859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OKRAJNO SODIŠČE V LJUBLJANI</w:t>
            </w:r>
          </w:p>
        </w:tc>
      </w:tr>
      <w:tr w:rsidR="00E3750C" w:rsidRPr="00415AB3" w14:paraId="3D9DF9C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DDEE5E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1098</w:t>
            </w:r>
          </w:p>
        </w:tc>
        <w:tc>
          <w:tcPr>
            <w:tcW w:w="705" w:type="pct"/>
            <w:tcBorders>
              <w:top w:val="nil"/>
              <w:left w:val="nil"/>
              <w:bottom w:val="single" w:sz="4" w:space="0" w:color="auto"/>
              <w:right w:val="single" w:sz="4" w:space="0" w:color="auto"/>
            </w:tcBorders>
            <w:shd w:val="clear" w:color="auto" w:fill="auto"/>
            <w:noWrap/>
            <w:vAlign w:val="center"/>
            <w:hideMark/>
          </w:tcPr>
          <w:p w14:paraId="1B27632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5881625000</w:t>
            </w:r>
          </w:p>
        </w:tc>
        <w:tc>
          <w:tcPr>
            <w:tcW w:w="547" w:type="pct"/>
            <w:tcBorders>
              <w:top w:val="nil"/>
              <w:left w:val="nil"/>
              <w:bottom w:val="single" w:sz="4" w:space="0" w:color="auto"/>
              <w:right w:val="single" w:sz="4" w:space="0" w:color="auto"/>
            </w:tcBorders>
            <w:shd w:val="clear" w:color="auto" w:fill="auto"/>
            <w:noWrap/>
            <w:vAlign w:val="center"/>
            <w:hideMark/>
          </w:tcPr>
          <w:p w14:paraId="5114AA7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69333327</w:t>
            </w:r>
          </w:p>
        </w:tc>
        <w:tc>
          <w:tcPr>
            <w:tcW w:w="3360" w:type="pct"/>
            <w:tcBorders>
              <w:top w:val="nil"/>
              <w:left w:val="nil"/>
              <w:bottom w:val="single" w:sz="4" w:space="0" w:color="auto"/>
              <w:right w:val="single" w:sz="4" w:space="0" w:color="auto"/>
            </w:tcBorders>
            <w:shd w:val="clear" w:color="auto" w:fill="auto"/>
            <w:vAlign w:val="center"/>
            <w:hideMark/>
          </w:tcPr>
          <w:p w14:paraId="20DC470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OKROŽNO DRŽAVNO TOŽILSTVO NA PTUJU</w:t>
            </w:r>
          </w:p>
        </w:tc>
      </w:tr>
      <w:tr w:rsidR="00E3750C" w:rsidRPr="00415AB3" w14:paraId="49601D5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083915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1099</w:t>
            </w:r>
          </w:p>
        </w:tc>
        <w:tc>
          <w:tcPr>
            <w:tcW w:w="705" w:type="pct"/>
            <w:tcBorders>
              <w:top w:val="nil"/>
              <w:left w:val="nil"/>
              <w:bottom w:val="single" w:sz="4" w:space="0" w:color="auto"/>
              <w:right w:val="single" w:sz="4" w:space="0" w:color="auto"/>
            </w:tcBorders>
            <w:shd w:val="clear" w:color="auto" w:fill="auto"/>
            <w:noWrap/>
            <w:vAlign w:val="center"/>
            <w:hideMark/>
          </w:tcPr>
          <w:p w14:paraId="026BBF3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5023971000</w:t>
            </w:r>
          </w:p>
        </w:tc>
        <w:tc>
          <w:tcPr>
            <w:tcW w:w="547" w:type="pct"/>
            <w:tcBorders>
              <w:top w:val="nil"/>
              <w:left w:val="nil"/>
              <w:bottom w:val="single" w:sz="4" w:space="0" w:color="auto"/>
              <w:right w:val="single" w:sz="4" w:space="0" w:color="auto"/>
            </w:tcBorders>
            <w:shd w:val="clear" w:color="auto" w:fill="auto"/>
            <w:noWrap/>
            <w:vAlign w:val="center"/>
            <w:hideMark/>
          </w:tcPr>
          <w:p w14:paraId="7A92E67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70973873</w:t>
            </w:r>
          </w:p>
        </w:tc>
        <w:tc>
          <w:tcPr>
            <w:tcW w:w="3360" w:type="pct"/>
            <w:tcBorders>
              <w:top w:val="nil"/>
              <w:left w:val="nil"/>
              <w:bottom w:val="single" w:sz="4" w:space="0" w:color="auto"/>
              <w:right w:val="single" w:sz="4" w:space="0" w:color="auto"/>
            </w:tcBorders>
            <w:shd w:val="clear" w:color="auto" w:fill="auto"/>
            <w:vAlign w:val="center"/>
            <w:hideMark/>
          </w:tcPr>
          <w:p w14:paraId="70A01C0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OKROŽNO DRŽAVNO TOŽILSTVO V CELJU</w:t>
            </w:r>
          </w:p>
        </w:tc>
      </w:tr>
      <w:tr w:rsidR="00E3750C" w:rsidRPr="00415AB3" w14:paraId="0A5BF17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751B87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1100</w:t>
            </w:r>
          </w:p>
        </w:tc>
        <w:tc>
          <w:tcPr>
            <w:tcW w:w="705" w:type="pct"/>
            <w:tcBorders>
              <w:top w:val="nil"/>
              <w:left w:val="nil"/>
              <w:bottom w:val="single" w:sz="4" w:space="0" w:color="auto"/>
              <w:right w:val="single" w:sz="4" w:space="0" w:color="auto"/>
            </w:tcBorders>
            <w:shd w:val="clear" w:color="auto" w:fill="auto"/>
            <w:noWrap/>
            <w:vAlign w:val="center"/>
            <w:hideMark/>
          </w:tcPr>
          <w:p w14:paraId="651E99B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5022576000</w:t>
            </w:r>
          </w:p>
        </w:tc>
        <w:tc>
          <w:tcPr>
            <w:tcW w:w="547" w:type="pct"/>
            <w:tcBorders>
              <w:top w:val="nil"/>
              <w:left w:val="nil"/>
              <w:bottom w:val="single" w:sz="4" w:space="0" w:color="auto"/>
              <w:right w:val="single" w:sz="4" w:space="0" w:color="auto"/>
            </w:tcBorders>
            <w:shd w:val="clear" w:color="auto" w:fill="auto"/>
            <w:noWrap/>
            <w:vAlign w:val="center"/>
            <w:hideMark/>
          </w:tcPr>
          <w:p w14:paraId="61FC4F0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87925516</w:t>
            </w:r>
          </w:p>
        </w:tc>
        <w:tc>
          <w:tcPr>
            <w:tcW w:w="3360" w:type="pct"/>
            <w:tcBorders>
              <w:top w:val="nil"/>
              <w:left w:val="nil"/>
              <w:bottom w:val="single" w:sz="4" w:space="0" w:color="auto"/>
              <w:right w:val="single" w:sz="4" w:space="0" w:color="auto"/>
            </w:tcBorders>
            <w:shd w:val="clear" w:color="auto" w:fill="auto"/>
            <w:vAlign w:val="center"/>
            <w:hideMark/>
          </w:tcPr>
          <w:p w14:paraId="276FE2C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OKROŽNO DRŽAVNO TOŽILSTVO V KOPRU</w:t>
            </w:r>
          </w:p>
        </w:tc>
      </w:tr>
      <w:tr w:rsidR="00E3750C" w:rsidRPr="00415AB3" w14:paraId="1DD26A6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44A4D4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1101</w:t>
            </w:r>
          </w:p>
        </w:tc>
        <w:tc>
          <w:tcPr>
            <w:tcW w:w="705" w:type="pct"/>
            <w:tcBorders>
              <w:top w:val="nil"/>
              <w:left w:val="nil"/>
              <w:bottom w:val="single" w:sz="4" w:space="0" w:color="auto"/>
              <w:right w:val="single" w:sz="4" w:space="0" w:color="auto"/>
            </w:tcBorders>
            <w:shd w:val="clear" w:color="auto" w:fill="auto"/>
            <w:noWrap/>
            <w:vAlign w:val="center"/>
            <w:hideMark/>
          </w:tcPr>
          <w:p w14:paraId="31834C6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5024145000</w:t>
            </w:r>
          </w:p>
        </w:tc>
        <w:tc>
          <w:tcPr>
            <w:tcW w:w="547" w:type="pct"/>
            <w:tcBorders>
              <w:top w:val="nil"/>
              <w:left w:val="nil"/>
              <w:bottom w:val="single" w:sz="4" w:space="0" w:color="auto"/>
              <w:right w:val="single" w:sz="4" w:space="0" w:color="auto"/>
            </w:tcBorders>
            <w:shd w:val="clear" w:color="auto" w:fill="auto"/>
            <w:noWrap/>
            <w:vAlign w:val="center"/>
            <w:hideMark/>
          </w:tcPr>
          <w:p w14:paraId="1515BF7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41429419</w:t>
            </w:r>
          </w:p>
        </w:tc>
        <w:tc>
          <w:tcPr>
            <w:tcW w:w="3360" w:type="pct"/>
            <w:tcBorders>
              <w:top w:val="nil"/>
              <w:left w:val="nil"/>
              <w:bottom w:val="single" w:sz="4" w:space="0" w:color="auto"/>
              <w:right w:val="single" w:sz="4" w:space="0" w:color="auto"/>
            </w:tcBorders>
            <w:shd w:val="clear" w:color="auto" w:fill="auto"/>
            <w:vAlign w:val="center"/>
            <w:hideMark/>
          </w:tcPr>
          <w:p w14:paraId="7E5F01B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OKROŽNO DRŽAVNO TOŽILSTVO V KRANJU</w:t>
            </w:r>
          </w:p>
        </w:tc>
      </w:tr>
      <w:tr w:rsidR="00E3750C" w:rsidRPr="00415AB3" w14:paraId="2D78E15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C48DAD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1102</w:t>
            </w:r>
          </w:p>
        </w:tc>
        <w:tc>
          <w:tcPr>
            <w:tcW w:w="705" w:type="pct"/>
            <w:tcBorders>
              <w:top w:val="nil"/>
              <w:left w:val="nil"/>
              <w:bottom w:val="single" w:sz="4" w:space="0" w:color="auto"/>
              <w:right w:val="single" w:sz="4" w:space="0" w:color="auto"/>
            </w:tcBorders>
            <w:shd w:val="clear" w:color="auto" w:fill="auto"/>
            <w:noWrap/>
            <w:vAlign w:val="center"/>
            <w:hideMark/>
          </w:tcPr>
          <w:p w14:paraId="020059C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5881684000</w:t>
            </w:r>
          </w:p>
        </w:tc>
        <w:tc>
          <w:tcPr>
            <w:tcW w:w="547" w:type="pct"/>
            <w:tcBorders>
              <w:top w:val="nil"/>
              <w:left w:val="nil"/>
              <w:bottom w:val="single" w:sz="4" w:space="0" w:color="auto"/>
              <w:right w:val="single" w:sz="4" w:space="0" w:color="auto"/>
            </w:tcBorders>
            <w:shd w:val="clear" w:color="auto" w:fill="auto"/>
            <w:noWrap/>
            <w:vAlign w:val="center"/>
            <w:hideMark/>
          </w:tcPr>
          <w:p w14:paraId="627FE6F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93425376</w:t>
            </w:r>
          </w:p>
        </w:tc>
        <w:tc>
          <w:tcPr>
            <w:tcW w:w="3360" w:type="pct"/>
            <w:tcBorders>
              <w:top w:val="nil"/>
              <w:left w:val="nil"/>
              <w:bottom w:val="single" w:sz="4" w:space="0" w:color="auto"/>
              <w:right w:val="single" w:sz="4" w:space="0" w:color="auto"/>
            </w:tcBorders>
            <w:shd w:val="clear" w:color="auto" w:fill="auto"/>
            <w:vAlign w:val="center"/>
            <w:hideMark/>
          </w:tcPr>
          <w:p w14:paraId="5FCBEE1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OKROŽNO DRŽAVNO TOŽILSTVO V KRŠKEM</w:t>
            </w:r>
          </w:p>
        </w:tc>
      </w:tr>
      <w:tr w:rsidR="00E3750C" w:rsidRPr="00415AB3" w14:paraId="5AE7231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1696DF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1103</w:t>
            </w:r>
          </w:p>
        </w:tc>
        <w:tc>
          <w:tcPr>
            <w:tcW w:w="705" w:type="pct"/>
            <w:tcBorders>
              <w:top w:val="nil"/>
              <w:left w:val="nil"/>
              <w:bottom w:val="single" w:sz="4" w:space="0" w:color="auto"/>
              <w:right w:val="single" w:sz="4" w:space="0" w:color="auto"/>
            </w:tcBorders>
            <w:shd w:val="clear" w:color="auto" w:fill="auto"/>
            <w:noWrap/>
            <w:vAlign w:val="center"/>
            <w:hideMark/>
          </w:tcPr>
          <w:p w14:paraId="14AB9E4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5022746000</w:t>
            </w:r>
          </w:p>
        </w:tc>
        <w:tc>
          <w:tcPr>
            <w:tcW w:w="547" w:type="pct"/>
            <w:tcBorders>
              <w:top w:val="nil"/>
              <w:left w:val="nil"/>
              <w:bottom w:val="single" w:sz="4" w:space="0" w:color="auto"/>
              <w:right w:val="single" w:sz="4" w:space="0" w:color="auto"/>
            </w:tcBorders>
            <w:shd w:val="clear" w:color="auto" w:fill="auto"/>
            <w:noWrap/>
            <w:vAlign w:val="center"/>
            <w:hideMark/>
          </w:tcPr>
          <w:p w14:paraId="16E2E61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73421642</w:t>
            </w:r>
          </w:p>
        </w:tc>
        <w:tc>
          <w:tcPr>
            <w:tcW w:w="3360" w:type="pct"/>
            <w:tcBorders>
              <w:top w:val="nil"/>
              <w:left w:val="nil"/>
              <w:bottom w:val="single" w:sz="4" w:space="0" w:color="auto"/>
              <w:right w:val="single" w:sz="4" w:space="0" w:color="auto"/>
            </w:tcBorders>
            <w:shd w:val="clear" w:color="auto" w:fill="auto"/>
            <w:vAlign w:val="center"/>
            <w:hideMark/>
          </w:tcPr>
          <w:p w14:paraId="19A1452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OKROŽNO DRŽAVNO TOŽILSTVO V LJUBLJANI</w:t>
            </w:r>
          </w:p>
        </w:tc>
      </w:tr>
      <w:tr w:rsidR="00E3750C" w:rsidRPr="00415AB3" w14:paraId="07F16DC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0390F9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1104</w:t>
            </w:r>
          </w:p>
        </w:tc>
        <w:tc>
          <w:tcPr>
            <w:tcW w:w="705" w:type="pct"/>
            <w:tcBorders>
              <w:top w:val="nil"/>
              <w:left w:val="nil"/>
              <w:bottom w:val="single" w:sz="4" w:space="0" w:color="auto"/>
              <w:right w:val="single" w:sz="4" w:space="0" w:color="auto"/>
            </w:tcBorders>
            <w:shd w:val="clear" w:color="auto" w:fill="auto"/>
            <w:noWrap/>
            <w:vAlign w:val="center"/>
            <w:hideMark/>
          </w:tcPr>
          <w:p w14:paraId="58186B4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5023041000</w:t>
            </w:r>
          </w:p>
        </w:tc>
        <w:tc>
          <w:tcPr>
            <w:tcW w:w="547" w:type="pct"/>
            <w:tcBorders>
              <w:top w:val="nil"/>
              <w:left w:val="nil"/>
              <w:bottom w:val="single" w:sz="4" w:space="0" w:color="auto"/>
              <w:right w:val="single" w:sz="4" w:space="0" w:color="auto"/>
            </w:tcBorders>
            <w:shd w:val="clear" w:color="auto" w:fill="auto"/>
            <w:noWrap/>
            <w:vAlign w:val="center"/>
            <w:hideMark/>
          </w:tcPr>
          <w:p w14:paraId="3BD83EA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52327027</w:t>
            </w:r>
          </w:p>
        </w:tc>
        <w:tc>
          <w:tcPr>
            <w:tcW w:w="3360" w:type="pct"/>
            <w:tcBorders>
              <w:top w:val="nil"/>
              <w:left w:val="nil"/>
              <w:bottom w:val="single" w:sz="4" w:space="0" w:color="auto"/>
              <w:right w:val="single" w:sz="4" w:space="0" w:color="auto"/>
            </w:tcBorders>
            <w:shd w:val="clear" w:color="auto" w:fill="auto"/>
            <w:vAlign w:val="center"/>
            <w:hideMark/>
          </w:tcPr>
          <w:p w14:paraId="71E8B84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OKROŽNO DRŽAVNO TOŽILSTVO V MARIBORU</w:t>
            </w:r>
          </w:p>
        </w:tc>
      </w:tr>
      <w:tr w:rsidR="00E3750C" w:rsidRPr="00415AB3" w14:paraId="08686AD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40E49B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1105</w:t>
            </w:r>
          </w:p>
        </w:tc>
        <w:tc>
          <w:tcPr>
            <w:tcW w:w="705" w:type="pct"/>
            <w:tcBorders>
              <w:top w:val="nil"/>
              <w:left w:val="nil"/>
              <w:bottom w:val="single" w:sz="4" w:space="0" w:color="auto"/>
              <w:right w:val="single" w:sz="4" w:space="0" w:color="auto"/>
            </w:tcBorders>
            <w:shd w:val="clear" w:color="auto" w:fill="auto"/>
            <w:noWrap/>
            <w:vAlign w:val="center"/>
            <w:hideMark/>
          </w:tcPr>
          <w:p w14:paraId="432F793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5023122000</w:t>
            </w:r>
          </w:p>
        </w:tc>
        <w:tc>
          <w:tcPr>
            <w:tcW w:w="547" w:type="pct"/>
            <w:tcBorders>
              <w:top w:val="nil"/>
              <w:left w:val="nil"/>
              <w:bottom w:val="single" w:sz="4" w:space="0" w:color="auto"/>
              <w:right w:val="single" w:sz="4" w:space="0" w:color="auto"/>
            </w:tcBorders>
            <w:shd w:val="clear" w:color="auto" w:fill="auto"/>
            <w:noWrap/>
            <w:vAlign w:val="center"/>
            <w:hideMark/>
          </w:tcPr>
          <w:p w14:paraId="0F4A8E4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62735454</w:t>
            </w:r>
          </w:p>
        </w:tc>
        <w:tc>
          <w:tcPr>
            <w:tcW w:w="3360" w:type="pct"/>
            <w:tcBorders>
              <w:top w:val="nil"/>
              <w:left w:val="nil"/>
              <w:bottom w:val="single" w:sz="4" w:space="0" w:color="auto"/>
              <w:right w:val="single" w:sz="4" w:space="0" w:color="auto"/>
            </w:tcBorders>
            <w:shd w:val="clear" w:color="auto" w:fill="auto"/>
            <w:vAlign w:val="center"/>
            <w:hideMark/>
          </w:tcPr>
          <w:p w14:paraId="3A41C67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OKROŽNO DRŽAVNO TOŽILSTVO V MURSKI SOBOTI</w:t>
            </w:r>
          </w:p>
        </w:tc>
      </w:tr>
      <w:tr w:rsidR="00E3750C" w:rsidRPr="00415AB3" w14:paraId="29C743C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8D6EA1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1106</w:t>
            </w:r>
          </w:p>
        </w:tc>
        <w:tc>
          <w:tcPr>
            <w:tcW w:w="705" w:type="pct"/>
            <w:tcBorders>
              <w:top w:val="nil"/>
              <w:left w:val="nil"/>
              <w:bottom w:val="single" w:sz="4" w:space="0" w:color="auto"/>
              <w:right w:val="single" w:sz="4" w:space="0" w:color="auto"/>
            </w:tcBorders>
            <w:shd w:val="clear" w:color="auto" w:fill="auto"/>
            <w:noWrap/>
            <w:vAlign w:val="center"/>
            <w:hideMark/>
          </w:tcPr>
          <w:p w14:paraId="57DF01C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5023289000</w:t>
            </w:r>
          </w:p>
        </w:tc>
        <w:tc>
          <w:tcPr>
            <w:tcW w:w="547" w:type="pct"/>
            <w:tcBorders>
              <w:top w:val="nil"/>
              <w:left w:val="nil"/>
              <w:bottom w:val="single" w:sz="4" w:space="0" w:color="auto"/>
              <w:right w:val="single" w:sz="4" w:space="0" w:color="auto"/>
            </w:tcBorders>
            <w:shd w:val="clear" w:color="auto" w:fill="auto"/>
            <w:noWrap/>
            <w:vAlign w:val="center"/>
            <w:hideMark/>
          </w:tcPr>
          <w:p w14:paraId="2153A9C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83027963</w:t>
            </w:r>
          </w:p>
        </w:tc>
        <w:tc>
          <w:tcPr>
            <w:tcW w:w="3360" w:type="pct"/>
            <w:tcBorders>
              <w:top w:val="nil"/>
              <w:left w:val="nil"/>
              <w:bottom w:val="single" w:sz="4" w:space="0" w:color="auto"/>
              <w:right w:val="single" w:sz="4" w:space="0" w:color="auto"/>
            </w:tcBorders>
            <w:shd w:val="clear" w:color="auto" w:fill="auto"/>
            <w:vAlign w:val="center"/>
            <w:hideMark/>
          </w:tcPr>
          <w:p w14:paraId="21A3F3A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OKROŽNO DRŽAVNO TOŽILSTVO V NOVEM MESTU</w:t>
            </w:r>
          </w:p>
        </w:tc>
      </w:tr>
      <w:tr w:rsidR="00E3750C" w:rsidRPr="00415AB3" w14:paraId="46B3881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C7F272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1107</w:t>
            </w:r>
          </w:p>
        </w:tc>
        <w:tc>
          <w:tcPr>
            <w:tcW w:w="705" w:type="pct"/>
            <w:tcBorders>
              <w:top w:val="nil"/>
              <w:left w:val="nil"/>
              <w:bottom w:val="single" w:sz="4" w:space="0" w:color="auto"/>
              <w:right w:val="single" w:sz="4" w:space="0" w:color="auto"/>
            </w:tcBorders>
            <w:shd w:val="clear" w:color="auto" w:fill="auto"/>
            <w:noWrap/>
            <w:vAlign w:val="center"/>
            <w:hideMark/>
          </w:tcPr>
          <w:p w14:paraId="150D7CB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5023203000</w:t>
            </w:r>
          </w:p>
        </w:tc>
        <w:tc>
          <w:tcPr>
            <w:tcW w:w="547" w:type="pct"/>
            <w:tcBorders>
              <w:top w:val="nil"/>
              <w:left w:val="nil"/>
              <w:bottom w:val="single" w:sz="4" w:space="0" w:color="auto"/>
              <w:right w:val="single" w:sz="4" w:space="0" w:color="auto"/>
            </w:tcBorders>
            <w:shd w:val="clear" w:color="auto" w:fill="auto"/>
            <w:noWrap/>
            <w:vAlign w:val="center"/>
            <w:hideMark/>
          </w:tcPr>
          <w:p w14:paraId="4176AD9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48610496</w:t>
            </w:r>
          </w:p>
        </w:tc>
        <w:tc>
          <w:tcPr>
            <w:tcW w:w="3360" w:type="pct"/>
            <w:tcBorders>
              <w:top w:val="nil"/>
              <w:left w:val="nil"/>
              <w:bottom w:val="single" w:sz="4" w:space="0" w:color="auto"/>
              <w:right w:val="single" w:sz="4" w:space="0" w:color="auto"/>
            </w:tcBorders>
            <w:shd w:val="clear" w:color="auto" w:fill="auto"/>
            <w:vAlign w:val="center"/>
            <w:hideMark/>
          </w:tcPr>
          <w:p w14:paraId="00EE07F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OKROŽNO DRŽAVNO TOŽILSTVO V NOVI GORICI</w:t>
            </w:r>
          </w:p>
        </w:tc>
      </w:tr>
      <w:tr w:rsidR="00E3750C" w:rsidRPr="00415AB3" w14:paraId="7CC9BB4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0787E2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1108</w:t>
            </w:r>
          </w:p>
        </w:tc>
        <w:tc>
          <w:tcPr>
            <w:tcW w:w="705" w:type="pct"/>
            <w:tcBorders>
              <w:top w:val="nil"/>
              <w:left w:val="nil"/>
              <w:bottom w:val="single" w:sz="4" w:space="0" w:color="auto"/>
              <w:right w:val="single" w:sz="4" w:space="0" w:color="auto"/>
            </w:tcBorders>
            <w:shd w:val="clear" w:color="auto" w:fill="auto"/>
            <w:noWrap/>
            <w:vAlign w:val="center"/>
            <w:hideMark/>
          </w:tcPr>
          <w:p w14:paraId="598D3C8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5881650000</w:t>
            </w:r>
          </w:p>
        </w:tc>
        <w:tc>
          <w:tcPr>
            <w:tcW w:w="547" w:type="pct"/>
            <w:tcBorders>
              <w:top w:val="nil"/>
              <w:left w:val="nil"/>
              <w:bottom w:val="single" w:sz="4" w:space="0" w:color="auto"/>
              <w:right w:val="single" w:sz="4" w:space="0" w:color="auto"/>
            </w:tcBorders>
            <w:shd w:val="clear" w:color="auto" w:fill="auto"/>
            <w:noWrap/>
            <w:vAlign w:val="center"/>
            <w:hideMark/>
          </w:tcPr>
          <w:p w14:paraId="1A58835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42092477</w:t>
            </w:r>
          </w:p>
        </w:tc>
        <w:tc>
          <w:tcPr>
            <w:tcW w:w="3360" w:type="pct"/>
            <w:tcBorders>
              <w:top w:val="nil"/>
              <w:left w:val="nil"/>
              <w:bottom w:val="single" w:sz="4" w:space="0" w:color="auto"/>
              <w:right w:val="single" w:sz="4" w:space="0" w:color="auto"/>
            </w:tcBorders>
            <w:shd w:val="clear" w:color="auto" w:fill="auto"/>
            <w:vAlign w:val="center"/>
            <w:hideMark/>
          </w:tcPr>
          <w:p w14:paraId="50B2F76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OKROŽNO DRŽAVNO TOŽILSTVO V SLOVENJ GRADCU</w:t>
            </w:r>
          </w:p>
        </w:tc>
      </w:tr>
      <w:tr w:rsidR="00E3750C" w:rsidRPr="00415AB3" w14:paraId="714BCF3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222679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1109</w:t>
            </w:r>
          </w:p>
        </w:tc>
        <w:tc>
          <w:tcPr>
            <w:tcW w:w="705" w:type="pct"/>
            <w:tcBorders>
              <w:top w:val="nil"/>
              <w:left w:val="nil"/>
              <w:bottom w:val="single" w:sz="4" w:space="0" w:color="auto"/>
              <w:right w:val="single" w:sz="4" w:space="0" w:color="auto"/>
            </w:tcBorders>
            <w:shd w:val="clear" w:color="auto" w:fill="auto"/>
            <w:noWrap/>
            <w:vAlign w:val="center"/>
            <w:hideMark/>
          </w:tcPr>
          <w:p w14:paraId="5CEDBD3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5881528000</w:t>
            </w:r>
          </w:p>
        </w:tc>
        <w:tc>
          <w:tcPr>
            <w:tcW w:w="547" w:type="pct"/>
            <w:tcBorders>
              <w:top w:val="nil"/>
              <w:left w:val="nil"/>
              <w:bottom w:val="single" w:sz="4" w:space="0" w:color="auto"/>
              <w:right w:val="single" w:sz="4" w:space="0" w:color="auto"/>
            </w:tcBorders>
            <w:shd w:val="clear" w:color="auto" w:fill="auto"/>
            <w:noWrap/>
            <w:vAlign w:val="center"/>
            <w:hideMark/>
          </w:tcPr>
          <w:p w14:paraId="277FBB6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91674824</w:t>
            </w:r>
          </w:p>
        </w:tc>
        <w:tc>
          <w:tcPr>
            <w:tcW w:w="3360" w:type="pct"/>
            <w:tcBorders>
              <w:top w:val="nil"/>
              <w:left w:val="nil"/>
              <w:bottom w:val="single" w:sz="4" w:space="0" w:color="auto"/>
              <w:right w:val="single" w:sz="4" w:space="0" w:color="auto"/>
            </w:tcBorders>
            <w:shd w:val="clear" w:color="auto" w:fill="auto"/>
            <w:vAlign w:val="center"/>
            <w:hideMark/>
          </w:tcPr>
          <w:p w14:paraId="6A44ED2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OKROŽNO SODIŠČE NA PTUJU</w:t>
            </w:r>
          </w:p>
        </w:tc>
      </w:tr>
      <w:tr w:rsidR="00E3750C" w:rsidRPr="00415AB3" w14:paraId="60A95C2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459FC4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1110</w:t>
            </w:r>
          </w:p>
        </w:tc>
        <w:tc>
          <w:tcPr>
            <w:tcW w:w="705" w:type="pct"/>
            <w:tcBorders>
              <w:top w:val="nil"/>
              <w:left w:val="nil"/>
              <w:bottom w:val="single" w:sz="4" w:space="0" w:color="auto"/>
              <w:right w:val="single" w:sz="4" w:space="0" w:color="auto"/>
            </w:tcBorders>
            <w:shd w:val="clear" w:color="auto" w:fill="auto"/>
            <w:noWrap/>
            <w:vAlign w:val="center"/>
            <w:hideMark/>
          </w:tcPr>
          <w:p w14:paraId="0B2EF9C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5024161000</w:t>
            </w:r>
          </w:p>
        </w:tc>
        <w:tc>
          <w:tcPr>
            <w:tcW w:w="547" w:type="pct"/>
            <w:tcBorders>
              <w:top w:val="nil"/>
              <w:left w:val="nil"/>
              <w:bottom w:val="single" w:sz="4" w:space="0" w:color="auto"/>
              <w:right w:val="single" w:sz="4" w:space="0" w:color="auto"/>
            </w:tcBorders>
            <w:shd w:val="clear" w:color="auto" w:fill="auto"/>
            <w:noWrap/>
            <w:vAlign w:val="center"/>
            <w:hideMark/>
          </w:tcPr>
          <w:p w14:paraId="2431B2B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44824106</w:t>
            </w:r>
          </w:p>
        </w:tc>
        <w:tc>
          <w:tcPr>
            <w:tcW w:w="3360" w:type="pct"/>
            <w:tcBorders>
              <w:top w:val="nil"/>
              <w:left w:val="nil"/>
              <w:bottom w:val="single" w:sz="4" w:space="0" w:color="auto"/>
              <w:right w:val="single" w:sz="4" w:space="0" w:color="auto"/>
            </w:tcBorders>
            <w:shd w:val="clear" w:color="auto" w:fill="auto"/>
            <w:vAlign w:val="center"/>
            <w:hideMark/>
          </w:tcPr>
          <w:p w14:paraId="21A20BB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OKROŽNO SODIŠČE V CELJU</w:t>
            </w:r>
          </w:p>
        </w:tc>
      </w:tr>
      <w:tr w:rsidR="00E3750C" w:rsidRPr="00415AB3" w14:paraId="322AD8C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C402B3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1111</w:t>
            </w:r>
          </w:p>
        </w:tc>
        <w:tc>
          <w:tcPr>
            <w:tcW w:w="705" w:type="pct"/>
            <w:tcBorders>
              <w:top w:val="nil"/>
              <w:left w:val="nil"/>
              <w:bottom w:val="single" w:sz="4" w:space="0" w:color="auto"/>
              <w:right w:val="single" w:sz="4" w:space="0" w:color="auto"/>
            </w:tcBorders>
            <w:shd w:val="clear" w:color="auto" w:fill="auto"/>
            <w:noWrap/>
            <w:vAlign w:val="center"/>
            <w:hideMark/>
          </w:tcPr>
          <w:p w14:paraId="24C7A76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5022541000</w:t>
            </w:r>
          </w:p>
        </w:tc>
        <w:tc>
          <w:tcPr>
            <w:tcW w:w="547" w:type="pct"/>
            <w:tcBorders>
              <w:top w:val="nil"/>
              <w:left w:val="nil"/>
              <w:bottom w:val="single" w:sz="4" w:space="0" w:color="auto"/>
              <w:right w:val="single" w:sz="4" w:space="0" w:color="auto"/>
            </w:tcBorders>
            <w:shd w:val="clear" w:color="auto" w:fill="auto"/>
            <w:noWrap/>
            <w:vAlign w:val="center"/>
            <w:hideMark/>
          </w:tcPr>
          <w:p w14:paraId="1A6E68B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72430133</w:t>
            </w:r>
          </w:p>
        </w:tc>
        <w:tc>
          <w:tcPr>
            <w:tcW w:w="3360" w:type="pct"/>
            <w:tcBorders>
              <w:top w:val="nil"/>
              <w:left w:val="nil"/>
              <w:bottom w:val="single" w:sz="4" w:space="0" w:color="auto"/>
              <w:right w:val="single" w:sz="4" w:space="0" w:color="auto"/>
            </w:tcBorders>
            <w:shd w:val="clear" w:color="auto" w:fill="auto"/>
            <w:vAlign w:val="center"/>
            <w:hideMark/>
          </w:tcPr>
          <w:p w14:paraId="18B350A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OKROŽNO SODIŠČE V KOPRU</w:t>
            </w:r>
          </w:p>
        </w:tc>
      </w:tr>
      <w:tr w:rsidR="00E3750C" w:rsidRPr="00415AB3" w14:paraId="4B7D475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0CB6BF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1112</w:t>
            </w:r>
          </w:p>
        </w:tc>
        <w:tc>
          <w:tcPr>
            <w:tcW w:w="705" w:type="pct"/>
            <w:tcBorders>
              <w:top w:val="nil"/>
              <w:left w:val="nil"/>
              <w:bottom w:val="single" w:sz="4" w:space="0" w:color="auto"/>
              <w:right w:val="single" w:sz="4" w:space="0" w:color="auto"/>
            </w:tcBorders>
            <w:shd w:val="clear" w:color="auto" w:fill="auto"/>
            <w:noWrap/>
            <w:vAlign w:val="center"/>
            <w:hideMark/>
          </w:tcPr>
          <w:p w14:paraId="06FAA20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5022614000</w:t>
            </w:r>
          </w:p>
        </w:tc>
        <w:tc>
          <w:tcPr>
            <w:tcW w:w="547" w:type="pct"/>
            <w:tcBorders>
              <w:top w:val="nil"/>
              <w:left w:val="nil"/>
              <w:bottom w:val="single" w:sz="4" w:space="0" w:color="auto"/>
              <w:right w:val="single" w:sz="4" w:space="0" w:color="auto"/>
            </w:tcBorders>
            <w:shd w:val="clear" w:color="auto" w:fill="auto"/>
            <w:noWrap/>
            <w:vAlign w:val="center"/>
            <w:hideMark/>
          </w:tcPr>
          <w:p w14:paraId="5825B2B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34926089</w:t>
            </w:r>
          </w:p>
        </w:tc>
        <w:tc>
          <w:tcPr>
            <w:tcW w:w="3360" w:type="pct"/>
            <w:tcBorders>
              <w:top w:val="nil"/>
              <w:left w:val="nil"/>
              <w:bottom w:val="single" w:sz="4" w:space="0" w:color="auto"/>
              <w:right w:val="single" w:sz="4" w:space="0" w:color="auto"/>
            </w:tcBorders>
            <w:shd w:val="clear" w:color="auto" w:fill="auto"/>
            <w:vAlign w:val="center"/>
            <w:hideMark/>
          </w:tcPr>
          <w:p w14:paraId="3945F2B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OKROŽNO SODIŠČE V KRANJU</w:t>
            </w:r>
          </w:p>
        </w:tc>
      </w:tr>
      <w:tr w:rsidR="00E3750C" w:rsidRPr="00415AB3" w14:paraId="2C1F051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02603C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1113</w:t>
            </w:r>
          </w:p>
        </w:tc>
        <w:tc>
          <w:tcPr>
            <w:tcW w:w="705" w:type="pct"/>
            <w:tcBorders>
              <w:top w:val="nil"/>
              <w:left w:val="nil"/>
              <w:bottom w:val="single" w:sz="4" w:space="0" w:color="auto"/>
              <w:right w:val="single" w:sz="4" w:space="0" w:color="auto"/>
            </w:tcBorders>
            <w:shd w:val="clear" w:color="auto" w:fill="auto"/>
            <w:noWrap/>
            <w:vAlign w:val="center"/>
            <w:hideMark/>
          </w:tcPr>
          <w:p w14:paraId="6D6B03B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5877946000</w:t>
            </w:r>
          </w:p>
        </w:tc>
        <w:tc>
          <w:tcPr>
            <w:tcW w:w="547" w:type="pct"/>
            <w:tcBorders>
              <w:top w:val="nil"/>
              <w:left w:val="nil"/>
              <w:bottom w:val="single" w:sz="4" w:space="0" w:color="auto"/>
              <w:right w:val="single" w:sz="4" w:space="0" w:color="auto"/>
            </w:tcBorders>
            <w:shd w:val="clear" w:color="auto" w:fill="auto"/>
            <w:noWrap/>
            <w:vAlign w:val="center"/>
            <w:hideMark/>
          </w:tcPr>
          <w:p w14:paraId="3D796B7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72372133</w:t>
            </w:r>
          </w:p>
        </w:tc>
        <w:tc>
          <w:tcPr>
            <w:tcW w:w="3360" w:type="pct"/>
            <w:tcBorders>
              <w:top w:val="nil"/>
              <w:left w:val="nil"/>
              <w:bottom w:val="single" w:sz="4" w:space="0" w:color="auto"/>
              <w:right w:val="single" w:sz="4" w:space="0" w:color="auto"/>
            </w:tcBorders>
            <w:shd w:val="clear" w:color="auto" w:fill="auto"/>
            <w:vAlign w:val="center"/>
            <w:hideMark/>
          </w:tcPr>
          <w:p w14:paraId="761C05F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OKROŽNO SODIŠČE V KRŠKEM</w:t>
            </w:r>
          </w:p>
        </w:tc>
      </w:tr>
      <w:tr w:rsidR="00E3750C" w:rsidRPr="00415AB3" w14:paraId="0176FE1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D1239B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1114</w:t>
            </w:r>
          </w:p>
        </w:tc>
        <w:tc>
          <w:tcPr>
            <w:tcW w:w="705" w:type="pct"/>
            <w:tcBorders>
              <w:top w:val="nil"/>
              <w:left w:val="nil"/>
              <w:bottom w:val="single" w:sz="4" w:space="0" w:color="auto"/>
              <w:right w:val="single" w:sz="4" w:space="0" w:color="auto"/>
            </w:tcBorders>
            <w:shd w:val="clear" w:color="auto" w:fill="auto"/>
            <w:noWrap/>
            <w:vAlign w:val="center"/>
            <w:hideMark/>
          </w:tcPr>
          <w:p w14:paraId="7F3CE17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5022762000</w:t>
            </w:r>
          </w:p>
        </w:tc>
        <w:tc>
          <w:tcPr>
            <w:tcW w:w="547" w:type="pct"/>
            <w:tcBorders>
              <w:top w:val="nil"/>
              <w:left w:val="nil"/>
              <w:bottom w:val="single" w:sz="4" w:space="0" w:color="auto"/>
              <w:right w:val="single" w:sz="4" w:space="0" w:color="auto"/>
            </w:tcBorders>
            <w:shd w:val="clear" w:color="auto" w:fill="auto"/>
            <w:noWrap/>
            <w:vAlign w:val="center"/>
            <w:hideMark/>
          </w:tcPr>
          <w:p w14:paraId="5DA2971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67294308</w:t>
            </w:r>
          </w:p>
        </w:tc>
        <w:tc>
          <w:tcPr>
            <w:tcW w:w="3360" w:type="pct"/>
            <w:tcBorders>
              <w:top w:val="nil"/>
              <w:left w:val="nil"/>
              <w:bottom w:val="single" w:sz="4" w:space="0" w:color="auto"/>
              <w:right w:val="single" w:sz="4" w:space="0" w:color="auto"/>
            </w:tcBorders>
            <w:shd w:val="clear" w:color="auto" w:fill="auto"/>
            <w:vAlign w:val="center"/>
            <w:hideMark/>
          </w:tcPr>
          <w:p w14:paraId="418AB60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OKROŽNO SODIŠČE V LJUBLJANI</w:t>
            </w:r>
          </w:p>
        </w:tc>
      </w:tr>
      <w:tr w:rsidR="00E3750C" w:rsidRPr="00415AB3" w14:paraId="42EC5C2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CFFA63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1115</w:t>
            </w:r>
          </w:p>
        </w:tc>
        <w:tc>
          <w:tcPr>
            <w:tcW w:w="705" w:type="pct"/>
            <w:tcBorders>
              <w:top w:val="nil"/>
              <w:left w:val="nil"/>
              <w:bottom w:val="single" w:sz="4" w:space="0" w:color="auto"/>
              <w:right w:val="single" w:sz="4" w:space="0" w:color="auto"/>
            </w:tcBorders>
            <w:shd w:val="clear" w:color="auto" w:fill="auto"/>
            <w:noWrap/>
            <w:vAlign w:val="center"/>
            <w:hideMark/>
          </w:tcPr>
          <w:p w14:paraId="0698FD6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5023025000</w:t>
            </w:r>
          </w:p>
        </w:tc>
        <w:tc>
          <w:tcPr>
            <w:tcW w:w="547" w:type="pct"/>
            <w:tcBorders>
              <w:top w:val="nil"/>
              <w:left w:val="nil"/>
              <w:bottom w:val="single" w:sz="4" w:space="0" w:color="auto"/>
              <w:right w:val="single" w:sz="4" w:space="0" w:color="auto"/>
            </w:tcBorders>
            <w:shd w:val="clear" w:color="auto" w:fill="auto"/>
            <w:noWrap/>
            <w:vAlign w:val="center"/>
            <w:hideMark/>
          </w:tcPr>
          <w:p w14:paraId="363E20C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25450662</w:t>
            </w:r>
          </w:p>
        </w:tc>
        <w:tc>
          <w:tcPr>
            <w:tcW w:w="3360" w:type="pct"/>
            <w:tcBorders>
              <w:top w:val="nil"/>
              <w:left w:val="nil"/>
              <w:bottom w:val="single" w:sz="4" w:space="0" w:color="auto"/>
              <w:right w:val="single" w:sz="4" w:space="0" w:color="auto"/>
            </w:tcBorders>
            <w:shd w:val="clear" w:color="auto" w:fill="auto"/>
            <w:vAlign w:val="center"/>
            <w:hideMark/>
          </w:tcPr>
          <w:p w14:paraId="087D1DC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OKROŽNO SODIŠČE V MARIBORU</w:t>
            </w:r>
          </w:p>
        </w:tc>
      </w:tr>
      <w:tr w:rsidR="00E3750C" w:rsidRPr="00415AB3" w14:paraId="62016FC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098C7A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1116</w:t>
            </w:r>
          </w:p>
        </w:tc>
        <w:tc>
          <w:tcPr>
            <w:tcW w:w="705" w:type="pct"/>
            <w:tcBorders>
              <w:top w:val="nil"/>
              <w:left w:val="nil"/>
              <w:bottom w:val="single" w:sz="4" w:space="0" w:color="auto"/>
              <w:right w:val="single" w:sz="4" w:space="0" w:color="auto"/>
            </w:tcBorders>
            <w:shd w:val="clear" w:color="auto" w:fill="auto"/>
            <w:noWrap/>
            <w:vAlign w:val="center"/>
            <w:hideMark/>
          </w:tcPr>
          <w:p w14:paraId="002FDF9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5023149000</w:t>
            </w:r>
          </w:p>
        </w:tc>
        <w:tc>
          <w:tcPr>
            <w:tcW w:w="547" w:type="pct"/>
            <w:tcBorders>
              <w:top w:val="nil"/>
              <w:left w:val="nil"/>
              <w:bottom w:val="single" w:sz="4" w:space="0" w:color="auto"/>
              <w:right w:val="single" w:sz="4" w:space="0" w:color="auto"/>
            </w:tcBorders>
            <w:shd w:val="clear" w:color="auto" w:fill="auto"/>
            <w:noWrap/>
            <w:vAlign w:val="center"/>
            <w:hideMark/>
          </w:tcPr>
          <w:p w14:paraId="47A20EE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12433861</w:t>
            </w:r>
          </w:p>
        </w:tc>
        <w:tc>
          <w:tcPr>
            <w:tcW w:w="3360" w:type="pct"/>
            <w:tcBorders>
              <w:top w:val="nil"/>
              <w:left w:val="nil"/>
              <w:bottom w:val="single" w:sz="4" w:space="0" w:color="auto"/>
              <w:right w:val="single" w:sz="4" w:space="0" w:color="auto"/>
            </w:tcBorders>
            <w:shd w:val="clear" w:color="auto" w:fill="auto"/>
            <w:vAlign w:val="center"/>
            <w:hideMark/>
          </w:tcPr>
          <w:p w14:paraId="2F22B83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OKROŽNO SODIŠČE V MURSKI SOBOTI</w:t>
            </w:r>
          </w:p>
        </w:tc>
      </w:tr>
      <w:tr w:rsidR="00E3750C" w:rsidRPr="00415AB3" w14:paraId="05548B5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C2999F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1117</w:t>
            </w:r>
          </w:p>
        </w:tc>
        <w:tc>
          <w:tcPr>
            <w:tcW w:w="705" w:type="pct"/>
            <w:tcBorders>
              <w:top w:val="nil"/>
              <w:left w:val="nil"/>
              <w:bottom w:val="single" w:sz="4" w:space="0" w:color="auto"/>
              <w:right w:val="single" w:sz="4" w:space="0" w:color="auto"/>
            </w:tcBorders>
            <w:shd w:val="clear" w:color="auto" w:fill="auto"/>
            <w:noWrap/>
            <w:vAlign w:val="center"/>
            <w:hideMark/>
          </w:tcPr>
          <w:p w14:paraId="1304FB9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5023319000</w:t>
            </w:r>
          </w:p>
        </w:tc>
        <w:tc>
          <w:tcPr>
            <w:tcW w:w="547" w:type="pct"/>
            <w:tcBorders>
              <w:top w:val="nil"/>
              <w:left w:val="nil"/>
              <w:bottom w:val="single" w:sz="4" w:space="0" w:color="auto"/>
              <w:right w:val="single" w:sz="4" w:space="0" w:color="auto"/>
            </w:tcBorders>
            <w:shd w:val="clear" w:color="auto" w:fill="auto"/>
            <w:noWrap/>
            <w:vAlign w:val="center"/>
            <w:hideMark/>
          </w:tcPr>
          <w:p w14:paraId="4135902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27842398</w:t>
            </w:r>
          </w:p>
        </w:tc>
        <w:tc>
          <w:tcPr>
            <w:tcW w:w="3360" w:type="pct"/>
            <w:tcBorders>
              <w:top w:val="nil"/>
              <w:left w:val="nil"/>
              <w:bottom w:val="single" w:sz="4" w:space="0" w:color="auto"/>
              <w:right w:val="single" w:sz="4" w:space="0" w:color="auto"/>
            </w:tcBorders>
            <w:shd w:val="clear" w:color="auto" w:fill="auto"/>
            <w:vAlign w:val="center"/>
            <w:hideMark/>
          </w:tcPr>
          <w:p w14:paraId="3EE8D58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OKROŽNO SODIŠČE V NOVEM MESTU</w:t>
            </w:r>
          </w:p>
        </w:tc>
      </w:tr>
      <w:tr w:rsidR="00E3750C" w:rsidRPr="00415AB3" w14:paraId="36FF8E3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7714BC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1118</w:t>
            </w:r>
          </w:p>
        </w:tc>
        <w:tc>
          <w:tcPr>
            <w:tcW w:w="705" w:type="pct"/>
            <w:tcBorders>
              <w:top w:val="nil"/>
              <w:left w:val="nil"/>
              <w:bottom w:val="single" w:sz="4" w:space="0" w:color="auto"/>
              <w:right w:val="single" w:sz="4" w:space="0" w:color="auto"/>
            </w:tcBorders>
            <w:shd w:val="clear" w:color="auto" w:fill="auto"/>
            <w:noWrap/>
            <w:vAlign w:val="center"/>
            <w:hideMark/>
          </w:tcPr>
          <w:p w14:paraId="7075420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5023211000</w:t>
            </w:r>
          </w:p>
        </w:tc>
        <w:tc>
          <w:tcPr>
            <w:tcW w:w="547" w:type="pct"/>
            <w:tcBorders>
              <w:top w:val="nil"/>
              <w:left w:val="nil"/>
              <w:bottom w:val="single" w:sz="4" w:space="0" w:color="auto"/>
              <w:right w:val="single" w:sz="4" w:space="0" w:color="auto"/>
            </w:tcBorders>
            <w:shd w:val="clear" w:color="auto" w:fill="auto"/>
            <w:noWrap/>
            <w:vAlign w:val="center"/>
            <w:hideMark/>
          </w:tcPr>
          <w:p w14:paraId="5D73B30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33069239</w:t>
            </w:r>
          </w:p>
        </w:tc>
        <w:tc>
          <w:tcPr>
            <w:tcW w:w="3360" w:type="pct"/>
            <w:tcBorders>
              <w:top w:val="nil"/>
              <w:left w:val="nil"/>
              <w:bottom w:val="single" w:sz="4" w:space="0" w:color="auto"/>
              <w:right w:val="single" w:sz="4" w:space="0" w:color="auto"/>
            </w:tcBorders>
            <w:shd w:val="clear" w:color="auto" w:fill="auto"/>
            <w:vAlign w:val="center"/>
            <w:hideMark/>
          </w:tcPr>
          <w:p w14:paraId="3AA715E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OKROŽNO SODIŠČE V NOVI GORICI</w:t>
            </w:r>
          </w:p>
        </w:tc>
      </w:tr>
      <w:tr w:rsidR="00E3750C" w:rsidRPr="00415AB3" w14:paraId="05E41A9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4FFAB4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1119</w:t>
            </w:r>
          </w:p>
        </w:tc>
        <w:tc>
          <w:tcPr>
            <w:tcW w:w="705" w:type="pct"/>
            <w:tcBorders>
              <w:top w:val="nil"/>
              <w:left w:val="nil"/>
              <w:bottom w:val="single" w:sz="4" w:space="0" w:color="auto"/>
              <w:right w:val="single" w:sz="4" w:space="0" w:color="auto"/>
            </w:tcBorders>
            <w:shd w:val="clear" w:color="auto" w:fill="auto"/>
            <w:noWrap/>
            <w:vAlign w:val="center"/>
            <w:hideMark/>
          </w:tcPr>
          <w:p w14:paraId="5F5A675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5881536000</w:t>
            </w:r>
          </w:p>
        </w:tc>
        <w:tc>
          <w:tcPr>
            <w:tcW w:w="547" w:type="pct"/>
            <w:tcBorders>
              <w:top w:val="nil"/>
              <w:left w:val="nil"/>
              <w:bottom w:val="single" w:sz="4" w:space="0" w:color="auto"/>
              <w:right w:val="single" w:sz="4" w:space="0" w:color="auto"/>
            </w:tcBorders>
            <w:shd w:val="clear" w:color="auto" w:fill="auto"/>
            <w:noWrap/>
            <w:vAlign w:val="center"/>
            <w:hideMark/>
          </w:tcPr>
          <w:p w14:paraId="2A3C007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55955495</w:t>
            </w:r>
          </w:p>
        </w:tc>
        <w:tc>
          <w:tcPr>
            <w:tcW w:w="3360" w:type="pct"/>
            <w:tcBorders>
              <w:top w:val="nil"/>
              <w:left w:val="nil"/>
              <w:bottom w:val="single" w:sz="4" w:space="0" w:color="auto"/>
              <w:right w:val="single" w:sz="4" w:space="0" w:color="auto"/>
            </w:tcBorders>
            <w:shd w:val="clear" w:color="auto" w:fill="auto"/>
            <w:vAlign w:val="center"/>
            <w:hideMark/>
          </w:tcPr>
          <w:p w14:paraId="5AEB09C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OKROŽNO SODIŠČE V SLOVENJ GRADCU</w:t>
            </w:r>
          </w:p>
        </w:tc>
      </w:tr>
      <w:tr w:rsidR="00E3750C" w:rsidRPr="00415AB3" w14:paraId="427FBC0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ADD359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1120</w:t>
            </w:r>
          </w:p>
        </w:tc>
        <w:tc>
          <w:tcPr>
            <w:tcW w:w="705" w:type="pct"/>
            <w:tcBorders>
              <w:top w:val="nil"/>
              <w:left w:val="nil"/>
              <w:bottom w:val="single" w:sz="4" w:space="0" w:color="auto"/>
              <w:right w:val="single" w:sz="4" w:space="0" w:color="auto"/>
            </w:tcBorders>
            <w:shd w:val="clear" w:color="auto" w:fill="auto"/>
            <w:noWrap/>
            <w:vAlign w:val="center"/>
            <w:hideMark/>
          </w:tcPr>
          <w:p w14:paraId="335E1C8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5055733000</w:t>
            </w:r>
          </w:p>
        </w:tc>
        <w:tc>
          <w:tcPr>
            <w:tcW w:w="547" w:type="pct"/>
            <w:tcBorders>
              <w:top w:val="nil"/>
              <w:left w:val="nil"/>
              <w:bottom w:val="single" w:sz="4" w:space="0" w:color="auto"/>
              <w:right w:val="single" w:sz="4" w:space="0" w:color="auto"/>
            </w:tcBorders>
            <w:shd w:val="clear" w:color="auto" w:fill="auto"/>
            <w:noWrap/>
            <w:vAlign w:val="center"/>
            <w:hideMark/>
          </w:tcPr>
          <w:p w14:paraId="3C78463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34052674</w:t>
            </w:r>
          </w:p>
        </w:tc>
        <w:tc>
          <w:tcPr>
            <w:tcW w:w="3360" w:type="pct"/>
            <w:tcBorders>
              <w:top w:val="nil"/>
              <w:left w:val="nil"/>
              <w:bottom w:val="single" w:sz="4" w:space="0" w:color="auto"/>
              <w:right w:val="single" w:sz="4" w:space="0" w:color="auto"/>
            </w:tcBorders>
            <w:shd w:val="clear" w:color="auto" w:fill="auto"/>
            <w:vAlign w:val="center"/>
            <w:hideMark/>
          </w:tcPr>
          <w:p w14:paraId="6D2BC05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ONKOLOŠKI INŠTITUT LJUBLJANA</w:t>
            </w:r>
          </w:p>
        </w:tc>
      </w:tr>
      <w:tr w:rsidR="00E3750C" w:rsidRPr="00415AB3" w14:paraId="1615C22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95E19C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1121</w:t>
            </w:r>
          </w:p>
        </w:tc>
        <w:tc>
          <w:tcPr>
            <w:tcW w:w="705" w:type="pct"/>
            <w:tcBorders>
              <w:top w:val="nil"/>
              <w:left w:val="nil"/>
              <w:bottom w:val="single" w:sz="4" w:space="0" w:color="auto"/>
              <w:right w:val="single" w:sz="4" w:space="0" w:color="auto"/>
            </w:tcBorders>
            <w:shd w:val="clear" w:color="auto" w:fill="auto"/>
            <w:noWrap/>
            <w:vAlign w:val="center"/>
            <w:hideMark/>
          </w:tcPr>
          <w:p w14:paraId="6A0F1BE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5053765000</w:t>
            </w:r>
          </w:p>
        </w:tc>
        <w:tc>
          <w:tcPr>
            <w:tcW w:w="547" w:type="pct"/>
            <w:tcBorders>
              <w:top w:val="nil"/>
              <w:left w:val="nil"/>
              <w:bottom w:val="single" w:sz="4" w:space="0" w:color="auto"/>
              <w:right w:val="single" w:sz="4" w:space="0" w:color="auto"/>
            </w:tcBorders>
            <w:shd w:val="clear" w:color="auto" w:fill="auto"/>
            <w:noWrap/>
            <w:vAlign w:val="center"/>
            <w:hideMark/>
          </w:tcPr>
          <w:p w14:paraId="60AEC42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30348145</w:t>
            </w:r>
          </w:p>
        </w:tc>
        <w:tc>
          <w:tcPr>
            <w:tcW w:w="3360" w:type="pct"/>
            <w:tcBorders>
              <w:top w:val="nil"/>
              <w:left w:val="nil"/>
              <w:bottom w:val="single" w:sz="4" w:space="0" w:color="auto"/>
              <w:right w:val="single" w:sz="4" w:space="0" w:color="auto"/>
            </w:tcBorders>
            <w:shd w:val="clear" w:color="auto" w:fill="auto"/>
            <w:vAlign w:val="center"/>
            <w:hideMark/>
          </w:tcPr>
          <w:p w14:paraId="2BA939A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ORTOPEDSKA BOLNIŠNICA VALDOLTRA</w:t>
            </w:r>
          </w:p>
        </w:tc>
      </w:tr>
      <w:tr w:rsidR="00E3750C" w:rsidRPr="00415AB3" w14:paraId="57929A9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BC6A0D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1122</w:t>
            </w:r>
          </w:p>
        </w:tc>
        <w:tc>
          <w:tcPr>
            <w:tcW w:w="705" w:type="pct"/>
            <w:tcBorders>
              <w:top w:val="nil"/>
              <w:left w:val="nil"/>
              <w:bottom w:val="single" w:sz="4" w:space="0" w:color="auto"/>
              <w:right w:val="single" w:sz="4" w:space="0" w:color="auto"/>
            </w:tcBorders>
            <w:shd w:val="clear" w:color="auto" w:fill="auto"/>
            <w:noWrap/>
            <w:vAlign w:val="center"/>
            <w:hideMark/>
          </w:tcPr>
          <w:p w14:paraId="6E1470C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5087783000</w:t>
            </w:r>
          </w:p>
        </w:tc>
        <w:tc>
          <w:tcPr>
            <w:tcW w:w="547" w:type="pct"/>
            <w:tcBorders>
              <w:top w:val="nil"/>
              <w:left w:val="nil"/>
              <w:bottom w:val="single" w:sz="4" w:space="0" w:color="auto"/>
              <w:right w:val="single" w:sz="4" w:space="0" w:color="auto"/>
            </w:tcBorders>
            <w:shd w:val="clear" w:color="auto" w:fill="auto"/>
            <w:noWrap/>
            <w:vAlign w:val="center"/>
            <w:hideMark/>
          </w:tcPr>
          <w:p w14:paraId="21376FF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34597085</w:t>
            </w:r>
          </w:p>
        </w:tc>
        <w:tc>
          <w:tcPr>
            <w:tcW w:w="3360" w:type="pct"/>
            <w:tcBorders>
              <w:top w:val="nil"/>
              <w:left w:val="nil"/>
              <w:bottom w:val="single" w:sz="4" w:space="0" w:color="auto"/>
              <w:right w:val="single" w:sz="4" w:space="0" w:color="auto"/>
            </w:tcBorders>
            <w:shd w:val="clear" w:color="auto" w:fill="auto"/>
            <w:vAlign w:val="center"/>
            <w:hideMark/>
          </w:tcPr>
          <w:p w14:paraId="66D013C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"BLAŽA KOCENA" PONIKVA</w:t>
            </w:r>
          </w:p>
        </w:tc>
      </w:tr>
      <w:tr w:rsidR="00E3750C" w:rsidRPr="00415AB3" w14:paraId="5F233AF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E419E0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1123</w:t>
            </w:r>
          </w:p>
        </w:tc>
        <w:tc>
          <w:tcPr>
            <w:tcW w:w="705" w:type="pct"/>
            <w:tcBorders>
              <w:top w:val="nil"/>
              <w:left w:val="nil"/>
              <w:bottom w:val="single" w:sz="4" w:space="0" w:color="auto"/>
              <w:right w:val="single" w:sz="4" w:space="0" w:color="auto"/>
            </w:tcBorders>
            <w:shd w:val="clear" w:color="auto" w:fill="auto"/>
            <w:noWrap/>
            <w:vAlign w:val="center"/>
            <w:hideMark/>
          </w:tcPr>
          <w:p w14:paraId="2657253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5719054000</w:t>
            </w:r>
          </w:p>
        </w:tc>
        <w:tc>
          <w:tcPr>
            <w:tcW w:w="547" w:type="pct"/>
            <w:tcBorders>
              <w:top w:val="nil"/>
              <w:left w:val="nil"/>
              <w:bottom w:val="single" w:sz="4" w:space="0" w:color="auto"/>
              <w:right w:val="single" w:sz="4" w:space="0" w:color="auto"/>
            </w:tcBorders>
            <w:shd w:val="clear" w:color="auto" w:fill="auto"/>
            <w:noWrap/>
            <w:vAlign w:val="center"/>
            <w:hideMark/>
          </w:tcPr>
          <w:p w14:paraId="783C7AA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39376699</w:t>
            </w:r>
          </w:p>
        </w:tc>
        <w:tc>
          <w:tcPr>
            <w:tcW w:w="3360" w:type="pct"/>
            <w:tcBorders>
              <w:top w:val="nil"/>
              <w:left w:val="nil"/>
              <w:bottom w:val="single" w:sz="4" w:space="0" w:color="auto"/>
              <w:right w:val="single" w:sz="4" w:space="0" w:color="auto"/>
            </w:tcBorders>
            <w:shd w:val="clear" w:color="auto" w:fill="auto"/>
            <w:vAlign w:val="center"/>
            <w:hideMark/>
          </w:tcPr>
          <w:p w14:paraId="433B907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16. DECEMBRA MOJSTRANA</w:t>
            </w:r>
          </w:p>
        </w:tc>
      </w:tr>
      <w:tr w:rsidR="00E3750C" w:rsidRPr="00415AB3" w14:paraId="2B802E3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59A05F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1124</w:t>
            </w:r>
          </w:p>
        </w:tc>
        <w:tc>
          <w:tcPr>
            <w:tcW w:w="705" w:type="pct"/>
            <w:tcBorders>
              <w:top w:val="nil"/>
              <w:left w:val="nil"/>
              <w:bottom w:val="single" w:sz="4" w:space="0" w:color="auto"/>
              <w:right w:val="single" w:sz="4" w:space="0" w:color="auto"/>
            </w:tcBorders>
            <w:shd w:val="clear" w:color="auto" w:fill="auto"/>
            <w:noWrap/>
            <w:vAlign w:val="center"/>
            <w:hideMark/>
          </w:tcPr>
          <w:p w14:paraId="60E3FF0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5241243000</w:t>
            </w:r>
          </w:p>
        </w:tc>
        <w:tc>
          <w:tcPr>
            <w:tcW w:w="547" w:type="pct"/>
            <w:tcBorders>
              <w:top w:val="nil"/>
              <w:left w:val="nil"/>
              <w:bottom w:val="single" w:sz="4" w:space="0" w:color="auto"/>
              <w:right w:val="single" w:sz="4" w:space="0" w:color="auto"/>
            </w:tcBorders>
            <w:shd w:val="clear" w:color="auto" w:fill="auto"/>
            <w:noWrap/>
            <w:vAlign w:val="center"/>
            <w:hideMark/>
          </w:tcPr>
          <w:p w14:paraId="25BC1DD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19755104</w:t>
            </w:r>
          </w:p>
        </w:tc>
        <w:tc>
          <w:tcPr>
            <w:tcW w:w="3360" w:type="pct"/>
            <w:tcBorders>
              <w:top w:val="nil"/>
              <w:left w:val="nil"/>
              <w:bottom w:val="single" w:sz="4" w:space="0" w:color="auto"/>
              <w:right w:val="single" w:sz="4" w:space="0" w:color="auto"/>
            </w:tcBorders>
            <w:shd w:val="clear" w:color="auto" w:fill="auto"/>
            <w:vAlign w:val="center"/>
            <w:hideMark/>
          </w:tcPr>
          <w:p w14:paraId="3CD0A61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27. JULIJ KAMNIK</w:t>
            </w:r>
          </w:p>
        </w:tc>
      </w:tr>
      <w:tr w:rsidR="00E3750C" w:rsidRPr="00415AB3" w14:paraId="0D04D11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F7A1C3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1125</w:t>
            </w:r>
          </w:p>
        </w:tc>
        <w:tc>
          <w:tcPr>
            <w:tcW w:w="705" w:type="pct"/>
            <w:tcBorders>
              <w:top w:val="nil"/>
              <w:left w:val="nil"/>
              <w:bottom w:val="single" w:sz="4" w:space="0" w:color="auto"/>
              <w:right w:val="single" w:sz="4" w:space="0" w:color="auto"/>
            </w:tcBorders>
            <w:shd w:val="clear" w:color="auto" w:fill="auto"/>
            <w:noWrap/>
            <w:vAlign w:val="center"/>
            <w:hideMark/>
          </w:tcPr>
          <w:p w14:paraId="3A987BB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5084687000</w:t>
            </w:r>
          </w:p>
        </w:tc>
        <w:tc>
          <w:tcPr>
            <w:tcW w:w="547" w:type="pct"/>
            <w:tcBorders>
              <w:top w:val="nil"/>
              <w:left w:val="nil"/>
              <w:bottom w:val="single" w:sz="4" w:space="0" w:color="auto"/>
              <w:right w:val="single" w:sz="4" w:space="0" w:color="auto"/>
            </w:tcBorders>
            <w:shd w:val="clear" w:color="auto" w:fill="auto"/>
            <w:noWrap/>
            <w:vAlign w:val="center"/>
            <w:hideMark/>
          </w:tcPr>
          <w:p w14:paraId="06CDDA6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45289018</w:t>
            </w:r>
          </w:p>
        </w:tc>
        <w:tc>
          <w:tcPr>
            <w:tcW w:w="3360" w:type="pct"/>
            <w:tcBorders>
              <w:top w:val="nil"/>
              <w:left w:val="nil"/>
              <w:bottom w:val="single" w:sz="4" w:space="0" w:color="auto"/>
              <w:right w:val="single" w:sz="4" w:space="0" w:color="auto"/>
            </w:tcBorders>
            <w:shd w:val="clear" w:color="auto" w:fill="auto"/>
            <w:vAlign w:val="center"/>
            <w:hideMark/>
          </w:tcPr>
          <w:p w14:paraId="224004C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8 TALCEV LOGATEC</w:t>
            </w:r>
          </w:p>
        </w:tc>
      </w:tr>
      <w:tr w:rsidR="00E3750C" w:rsidRPr="00415AB3" w14:paraId="6A67FD7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CD7188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1126</w:t>
            </w:r>
          </w:p>
        </w:tc>
        <w:tc>
          <w:tcPr>
            <w:tcW w:w="705" w:type="pct"/>
            <w:tcBorders>
              <w:top w:val="nil"/>
              <w:left w:val="nil"/>
              <w:bottom w:val="single" w:sz="4" w:space="0" w:color="auto"/>
              <w:right w:val="single" w:sz="4" w:space="0" w:color="auto"/>
            </w:tcBorders>
            <w:shd w:val="clear" w:color="auto" w:fill="auto"/>
            <w:noWrap/>
            <w:vAlign w:val="center"/>
            <w:hideMark/>
          </w:tcPr>
          <w:p w14:paraId="32D5E35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5083940000</w:t>
            </w:r>
          </w:p>
        </w:tc>
        <w:tc>
          <w:tcPr>
            <w:tcW w:w="547" w:type="pct"/>
            <w:tcBorders>
              <w:top w:val="nil"/>
              <w:left w:val="nil"/>
              <w:bottom w:val="single" w:sz="4" w:space="0" w:color="auto"/>
              <w:right w:val="single" w:sz="4" w:space="0" w:color="auto"/>
            </w:tcBorders>
            <w:shd w:val="clear" w:color="auto" w:fill="auto"/>
            <w:noWrap/>
            <w:vAlign w:val="center"/>
            <w:hideMark/>
          </w:tcPr>
          <w:p w14:paraId="527E6B3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38506467</w:t>
            </w:r>
          </w:p>
        </w:tc>
        <w:tc>
          <w:tcPr>
            <w:tcW w:w="3360" w:type="pct"/>
            <w:tcBorders>
              <w:top w:val="nil"/>
              <w:left w:val="nil"/>
              <w:bottom w:val="single" w:sz="4" w:space="0" w:color="auto"/>
              <w:right w:val="single" w:sz="4" w:space="0" w:color="auto"/>
            </w:tcBorders>
            <w:shd w:val="clear" w:color="auto" w:fill="auto"/>
            <w:vAlign w:val="center"/>
            <w:hideMark/>
          </w:tcPr>
          <w:p w14:paraId="56E3560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ADAMA BOHORIČA BRESTANICA</w:t>
            </w:r>
          </w:p>
        </w:tc>
      </w:tr>
      <w:tr w:rsidR="00E3750C" w:rsidRPr="00415AB3" w14:paraId="2FC7F74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274B86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1127</w:t>
            </w:r>
          </w:p>
        </w:tc>
        <w:tc>
          <w:tcPr>
            <w:tcW w:w="705" w:type="pct"/>
            <w:tcBorders>
              <w:top w:val="nil"/>
              <w:left w:val="nil"/>
              <w:bottom w:val="single" w:sz="4" w:space="0" w:color="auto"/>
              <w:right w:val="single" w:sz="4" w:space="0" w:color="auto"/>
            </w:tcBorders>
            <w:shd w:val="clear" w:color="auto" w:fill="auto"/>
            <w:noWrap/>
            <w:vAlign w:val="center"/>
            <w:hideMark/>
          </w:tcPr>
          <w:p w14:paraId="42D2CA9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5089000000</w:t>
            </w:r>
          </w:p>
        </w:tc>
        <w:tc>
          <w:tcPr>
            <w:tcW w:w="547" w:type="pct"/>
            <w:tcBorders>
              <w:top w:val="nil"/>
              <w:left w:val="nil"/>
              <w:bottom w:val="single" w:sz="4" w:space="0" w:color="auto"/>
              <w:right w:val="single" w:sz="4" w:space="0" w:color="auto"/>
            </w:tcBorders>
            <w:shd w:val="clear" w:color="auto" w:fill="auto"/>
            <w:noWrap/>
            <w:vAlign w:val="center"/>
            <w:hideMark/>
          </w:tcPr>
          <w:p w14:paraId="2BB1E84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45507201</w:t>
            </w:r>
          </w:p>
        </w:tc>
        <w:tc>
          <w:tcPr>
            <w:tcW w:w="3360" w:type="pct"/>
            <w:tcBorders>
              <w:top w:val="nil"/>
              <w:left w:val="nil"/>
              <w:bottom w:val="single" w:sz="4" w:space="0" w:color="auto"/>
              <w:right w:val="single" w:sz="4" w:space="0" w:color="auto"/>
            </w:tcBorders>
            <w:shd w:val="clear" w:color="auto" w:fill="auto"/>
            <w:vAlign w:val="center"/>
            <w:hideMark/>
          </w:tcPr>
          <w:p w14:paraId="6328D03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ALOJZA GRADNIKA DOBROVO</w:t>
            </w:r>
          </w:p>
        </w:tc>
      </w:tr>
      <w:tr w:rsidR="00E3750C" w:rsidRPr="00415AB3" w14:paraId="0AF9CAD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566A5A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1128</w:t>
            </w:r>
          </w:p>
        </w:tc>
        <w:tc>
          <w:tcPr>
            <w:tcW w:w="705" w:type="pct"/>
            <w:tcBorders>
              <w:top w:val="nil"/>
              <w:left w:val="nil"/>
              <w:bottom w:val="single" w:sz="4" w:space="0" w:color="auto"/>
              <w:right w:val="single" w:sz="4" w:space="0" w:color="auto"/>
            </w:tcBorders>
            <w:shd w:val="clear" w:color="auto" w:fill="auto"/>
            <w:noWrap/>
            <w:vAlign w:val="center"/>
            <w:hideMark/>
          </w:tcPr>
          <w:p w14:paraId="6DEDD45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5087538000</w:t>
            </w:r>
          </w:p>
        </w:tc>
        <w:tc>
          <w:tcPr>
            <w:tcW w:w="547" w:type="pct"/>
            <w:tcBorders>
              <w:top w:val="nil"/>
              <w:left w:val="nil"/>
              <w:bottom w:val="single" w:sz="4" w:space="0" w:color="auto"/>
              <w:right w:val="single" w:sz="4" w:space="0" w:color="auto"/>
            </w:tcBorders>
            <w:shd w:val="clear" w:color="auto" w:fill="auto"/>
            <w:noWrap/>
            <w:vAlign w:val="center"/>
            <w:hideMark/>
          </w:tcPr>
          <w:p w14:paraId="57F874F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50320807</w:t>
            </w:r>
          </w:p>
        </w:tc>
        <w:tc>
          <w:tcPr>
            <w:tcW w:w="3360" w:type="pct"/>
            <w:tcBorders>
              <w:top w:val="nil"/>
              <w:left w:val="nil"/>
              <w:bottom w:val="single" w:sz="4" w:space="0" w:color="auto"/>
              <w:right w:val="single" w:sz="4" w:space="0" w:color="auto"/>
            </w:tcBorders>
            <w:shd w:val="clear" w:color="auto" w:fill="auto"/>
            <w:vAlign w:val="center"/>
            <w:hideMark/>
          </w:tcPr>
          <w:p w14:paraId="71ACBDC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ANE GALE SEVNICA</w:t>
            </w:r>
          </w:p>
        </w:tc>
      </w:tr>
      <w:tr w:rsidR="00E3750C" w:rsidRPr="00415AB3" w14:paraId="78A1E21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BE7A00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1129</w:t>
            </w:r>
          </w:p>
        </w:tc>
        <w:tc>
          <w:tcPr>
            <w:tcW w:w="705" w:type="pct"/>
            <w:tcBorders>
              <w:top w:val="nil"/>
              <w:left w:val="nil"/>
              <w:bottom w:val="single" w:sz="4" w:space="0" w:color="auto"/>
              <w:right w:val="single" w:sz="4" w:space="0" w:color="auto"/>
            </w:tcBorders>
            <w:shd w:val="clear" w:color="auto" w:fill="auto"/>
            <w:noWrap/>
            <w:vAlign w:val="center"/>
            <w:hideMark/>
          </w:tcPr>
          <w:p w14:paraId="6FF2108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5085187000</w:t>
            </w:r>
          </w:p>
        </w:tc>
        <w:tc>
          <w:tcPr>
            <w:tcW w:w="547" w:type="pct"/>
            <w:tcBorders>
              <w:top w:val="nil"/>
              <w:left w:val="nil"/>
              <w:bottom w:val="single" w:sz="4" w:space="0" w:color="auto"/>
              <w:right w:val="single" w:sz="4" w:space="0" w:color="auto"/>
            </w:tcBorders>
            <w:shd w:val="clear" w:color="auto" w:fill="auto"/>
            <w:noWrap/>
            <w:vAlign w:val="center"/>
            <w:hideMark/>
          </w:tcPr>
          <w:p w14:paraId="3471779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86623265</w:t>
            </w:r>
          </w:p>
        </w:tc>
        <w:tc>
          <w:tcPr>
            <w:tcW w:w="3360" w:type="pct"/>
            <w:tcBorders>
              <w:top w:val="nil"/>
              <w:left w:val="nil"/>
              <w:bottom w:val="single" w:sz="4" w:space="0" w:color="auto"/>
              <w:right w:val="single" w:sz="4" w:space="0" w:color="auto"/>
            </w:tcBorders>
            <w:shd w:val="clear" w:color="auto" w:fill="auto"/>
            <w:vAlign w:val="center"/>
            <w:hideMark/>
          </w:tcPr>
          <w:p w14:paraId="0005C6A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ANGELA BESEDNJAKA</w:t>
            </w:r>
          </w:p>
        </w:tc>
      </w:tr>
      <w:tr w:rsidR="00E3750C" w:rsidRPr="00415AB3" w14:paraId="063A68F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56C1AE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1130</w:t>
            </w:r>
          </w:p>
        </w:tc>
        <w:tc>
          <w:tcPr>
            <w:tcW w:w="705" w:type="pct"/>
            <w:tcBorders>
              <w:top w:val="nil"/>
              <w:left w:val="nil"/>
              <w:bottom w:val="single" w:sz="4" w:space="0" w:color="auto"/>
              <w:right w:val="single" w:sz="4" w:space="0" w:color="auto"/>
            </w:tcBorders>
            <w:shd w:val="clear" w:color="auto" w:fill="auto"/>
            <w:noWrap/>
            <w:vAlign w:val="center"/>
            <w:hideMark/>
          </w:tcPr>
          <w:p w14:paraId="4F51B3C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5087651000</w:t>
            </w:r>
          </w:p>
        </w:tc>
        <w:tc>
          <w:tcPr>
            <w:tcW w:w="547" w:type="pct"/>
            <w:tcBorders>
              <w:top w:val="nil"/>
              <w:left w:val="nil"/>
              <w:bottom w:val="single" w:sz="4" w:space="0" w:color="auto"/>
              <w:right w:val="single" w:sz="4" w:space="0" w:color="auto"/>
            </w:tcBorders>
            <w:shd w:val="clear" w:color="auto" w:fill="auto"/>
            <w:noWrap/>
            <w:vAlign w:val="center"/>
            <w:hideMark/>
          </w:tcPr>
          <w:p w14:paraId="0C6A2C9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53210336</w:t>
            </w:r>
          </w:p>
        </w:tc>
        <w:tc>
          <w:tcPr>
            <w:tcW w:w="3360" w:type="pct"/>
            <w:tcBorders>
              <w:top w:val="nil"/>
              <w:left w:val="nil"/>
              <w:bottom w:val="single" w:sz="4" w:space="0" w:color="auto"/>
              <w:right w:val="single" w:sz="4" w:space="0" w:color="auto"/>
            </w:tcBorders>
            <w:shd w:val="clear" w:color="auto" w:fill="auto"/>
            <w:vAlign w:val="center"/>
            <w:hideMark/>
          </w:tcPr>
          <w:p w14:paraId="603C594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ANICE ČERNEJEVE MAKOLE</w:t>
            </w:r>
          </w:p>
        </w:tc>
      </w:tr>
      <w:tr w:rsidR="00E3750C" w:rsidRPr="00415AB3" w14:paraId="34FF334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9D89F1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1131</w:t>
            </w:r>
          </w:p>
        </w:tc>
        <w:tc>
          <w:tcPr>
            <w:tcW w:w="705" w:type="pct"/>
            <w:tcBorders>
              <w:top w:val="nil"/>
              <w:left w:val="nil"/>
              <w:bottom w:val="single" w:sz="4" w:space="0" w:color="auto"/>
              <w:right w:val="single" w:sz="4" w:space="0" w:color="auto"/>
            </w:tcBorders>
            <w:shd w:val="clear" w:color="auto" w:fill="auto"/>
            <w:noWrap/>
            <w:vAlign w:val="center"/>
            <w:hideMark/>
          </w:tcPr>
          <w:p w14:paraId="565C48B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5924359000</w:t>
            </w:r>
          </w:p>
        </w:tc>
        <w:tc>
          <w:tcPr>
            <w:tcW w:w="547" w:type="pct"/>
            <w:tcBorders>
              <w:top w:val="nil"/>
              <w:left w:val="nil"/>
              <w:bottom w:val="single" w:sz="4" w:space="0" w:color="auto"/>
              <w:right w:val="single" w:sz="4" w:space="0" w:color="auto"/>
            </w:tcBorders>
            <w:shd w:val="clear" w:color="auto" w:fill="auto"/>
            <w:noWrap/>
            <w:vAlign w:val="center"/>
            <w:hideMark/>
          </w:tcPr>
          <w:p w14:paraId="2D5F5F8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81377231</w:t>
            </w:r>
          </w:p>
        </w:tc>
        <w:tc>
          <w:tcPr>
            <w:tcW w:w="3360" w:type="pct"/>
            <w:tcBorders>
              <w:top w:val="nil"/>
              <w:left w:val="nil"/>
              <w:bottom w:val="single" w:sz="4" w:space="0" w:color="auto"/>
              <w:right w:val="single" w:sz="4" w:space="0" w:color="auto"/>
            </w:tcBorders>
            <w:shd w:val="clear" w:color="auto" w:fill="auto"/>
            <w:vAlign w:val="center"/>
            <w:hideMark/>
          </w:tcPr>
          <w:p w14:paraId="3EE0112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ANTONA AŠKERCA RIMSKE TOPLICE</w:t>
            </w:r>
          </w:p>
        </w:tc>
      </w:tr>
      <w:tr w:rsidR="00E3750C" w:rsidRPr="00415AB3" w14:paraId="57D5E79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D5FEFE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1132</w:t>
            </w:r>
          </w:p>
        </w:tc>
        <w:tc>
          <w:tcPr>
            <w:tcW w:w="705" w:type="pct"/>
            <w:tcBorders>
              <w:top w:val="nil"/>
              <w:left w:val="nil"/>
              <w:bottom w:val="single" w:sz="4" w:space="0" w:color="auto"/>
              <w:right w:val="single" w:sz="4" w:space="0" w:color="auto"/>
            </w:tcBorders>
            <w:shd w:val="clear" w:color="auto" w:fill="auto"/>
            <w:noWrap/>
            <w:vAlign w:val="center"/>
            <w:hideMark/>
          </w:tcPr>
          <w:p w14:paraId="2483767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5088224000</w:t>
            </w:r>
          </w:p>
        </w:tc>
        <w:tc>
          <w:tcPr>
            <w:tcW w:w="547" w:type="pct"/>
            <w:tcBorders>
              <w:top w:val="nil"/>
              <w:left w:val="nil"/>
              <w:bottom w:val="single" w:sz="4" w:space="0" w:color="auto"/>
              <w:right w:val="single" w:sz="4" w:space="0" w:color="auto"/>
            </w:tcBorders>
            <w:shd w:val="clear" w:color="auto" w:fill="auto"/>
            <w:noWrap/>
            <w:vAlign w:val="center"/>
            <w:hideMark/>
          </w:tcPr>
          <w:p w14:paraId="62639AC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25656317</w:t>
            </w:r>
          </w:p>
        </w:tc>
        <w:tc>
          <w:tcPr>
            <w:tcW w:w="3360" w:type="pct"/>
            <w:tcBorders>
              <w:top w:val="nil"/>
              <w:left w:val="nil"/>
              <w:bottom w:val="single" w:sz="4" w:space="0" w:color="auto"/>
              <w:right w:val="single" w:sz="4" w:space="0" w:color="auto"/>
            </w:tcBorders>
            <w:shd w:val="clear" w:color="auto" w:fill="auto"/>
            <w:vAlign w:val="center"/>
            <w:hideMark/>
          </w:tcPr>
          <w:p w14:paraId="22349F7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ANTONA AŠKERCA VELENJE</w:t>
            </w:r>
          </w:p>
        </w:tc>
      </w:tr>
      <w:tr w:rsidR="00E3750C" w:rsidRPr="00415AB3" w14:paraId="22B1CC9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422DD3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1133</w:t>
            </w:r>
          </w:p>
        </w:tc>
        <w:tc>
          <w:tcPr>
            <w:tcW w:w="705" w:type="pct"/>
            <w:tcBorders>
              <w:top w:val="nil"/>
              <w:left w:val="nil"/>
              <w:bottom w:val="single" w:sz="4" w:space="0" w:color="auto"/>
              <w:right w:val="single" w:sz="4" w:space="0" w:color="auto"/>
            </w:tcBorders>
            <w:shd w:val="clear" w:color="auto" w:fill="auto"/>
            <w:noWrap/>
            <w:vAlign w:val="center"/>
            <w:hideMark/>
          </w:tcPr>
          <w:p w14:paraId="088D011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5084709000</w:t>
            </w:r>
          </w:p>
        </w:tc>
        <w:tc>
          <w:tcPr>
            <w:tcW w:w="547" w:type="pct"/>
            <w:tcBorders>
              <w:top w:val="nil"/>
              <w:left w:val="nil"/>
              <w:bottom w:val="single" w:sz="4" w:space="0" w:color="auto"/>
              <w:right w:val="single" w:sz="4" w:space="0" w:color="auto"/>
            </w:tcBorders>
            <w:shd w:val="clear" w:color="auto" w:fill="auto"/>
            <w:noWrap/>
            <w:vAlign w:val="center"/>
            <w:hideMark/>
          </w:tcPr>
          <w:p w14:paraId="246E8F3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12132233</w:t>
            </w:r>
          </w:p>
        </w:tc>
        <w:tc>
          <w:tcPr>
            <w:tcW w:w="3360" w:type="pct"/>
            <w:tcBorders>
              <w:top w:val="nil"/>
              <w:left w:val="nil"/>
              <w:bottom w:val="single" w:sz="4" w:space="0" w:color="auto"/>
              <w:right w:val="single" w:sz="4" w:space="0" w:color="auto"/>
            </w:tcBorders>
            <w:shd w:val="clear" w:color="auto" w:fill="auto"/>
            <w:vAlign w:val="center"/>
            <w:hideMark/>
          </w:tcPr>
          <w:p w14:paraId="4079FB7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ANTONA BEZENŠKA FRANKOLOVO</w:t>
            </w:r>
          </w:p>
        </w:tc>
      </w:tr>
      <w:tr w:rsidR="00E3750C" w:rsidRPr="00415AB3" w14:paraId="0FE4A6D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A01AE9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1134</w:t>
            </w:r>
          </w:p>
        </w:tc>
        <w:tc>
          <w:tcPr>
            <w:tcW w:w="705" w:type="pct"/>
            <w:tcBorders>
              <w:top w:val="nil"/>
              <w:left w:val="nil"/>
              <w:bottom w:val="single" w:sz="4" w:space="0" w:color="auto"/>
              <w:right w:val="single" w:sz="4" w:space="0" w:color="auto"/>
            </w:tcBorders>
            <w:shd w:val="clear" w:color="auto" w:fill="auto"/>
            <w:noWrap/>
            <w:vAlign w:val="center"/>
            <w:hideMark/>
          </w:tcPr>
          <w:p w14:paraId="4D92CCF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5496829000</w:t>
            </w:r>
          </w:p>
        </w:tc>
        <w:tc>
          <w:tcPr>
            <w:tcW w:w="547" w:type="pct"/>
            <w:tcBorders>
              <w:top w:val="nil"/>
              <w:left w:val="nil"/>
              <w:bottom w:val="single" w:sz="4" w:space="0" w:color="auto"/>
              <w:right w:val="single" w:sz="4" w:space="0" w:color="auto"/>
            </w:tcBorders>
            <w:shd w:val="clear" w:color="auto" w:fill="auto"/>
            <w:noWrap/>
            <w:vAlign w:val="center"/>
            <w:hideMark/>
          </w:tcPr>
          <w:p w14:paraId="13CED75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44439407</w:t>
            </w:r>
          </w:p>
        </w:tc>
        <w:tc>
          <w:tcPr>
            <w:tcW w:w="3360" w:type="pct"/>
            <w:tcBorders>
              <w:top w:val="nil"/>
              <w:left w:val="nil"/>
              <w:bottom w:val="single" w:sz="4" w:space="0" w:color="auto"/>
              <w:right w:val="single" w:sz="4" w:space="0" w:color="auto"/>
            </w:tcBorders>
            <w:shd w:val="clear" w:color="auto" w:fill="auto"/>
            <w:vAlign w:val="center"/>
            <w:hideMark/>
          </w:tcPr>
          <w:p w14:paraId="0128A8E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ANTONA GLOBOČNIKA POSTOJNA</w:t>
            </w:r>
          </w:p>
        </w:tc>
      </w:tr>
      <w:tr w:rsidR="00E3750C" w:rsidRPr="00415AB3" w14:paraId="0B842C9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1E283A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1135</w:t>
            </w:r>
          </w:p>
        </w:tc>
        <w:tc>
          <w:tcPr>
            <w:tcW w:w="705" w:type="pct"/>
            <w:tcBorders>
              <w:top w:val="nil"/>
              <w:left w:val="nil"/>
              <w:bottom w:val="single" w:sz="4" w:space="0" w:color="auto"/>
              <w:right w:val="single" w:sz="4" w:space="0" w:color="auto"/>
            </w:tcBorders>
            <w:shd w:val="clear" w:color="auto" w:fill="auto"/>
            <w:noWrap/>
            <w:vAlign w:val="center"/>
            <w:hideMark/>
          </w:tcPr>
          <w:p w14:paraId="79E10C9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5090032000</w:t>
            </w:r>
          </w:p>
        </w:tc>
        <w:tc>
          <w:tcPr>
            <w:tcW w:w="547" w:type="pct"/>
            <w:tcBorders>
              <w:top w:val="nil"/>
              <w:left w:val="nil"/>
              <w:bottom w:val="single" w:sz="4" w:space="0" w:color="auto"/>
              <w:right w:val="single" w:sz="4" w:space="0" w:color="auto"/>
            </w:tcBorders>
            <w:shd w:val="clear" w:color="auto" w:fill="auto"/>
            <w:noWrap/>
            <w:vAlign w:val="center"/>
            <w:hideMark/>
          </w:tcPr>
          <w:p w14:paraId="49AE106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67396488</w:t>
            </w:r>
          </w:p>
        </w:tc>
        <w:tc>
          <w:tcPr>
            <w:tcW w:w="3360" w:type="pct"/>
            <w:tcBorders>
              <w:top w:val="nil"/>
              <w:left w:val="nil"/>
              <w:bottom w:val="single" w:sz="4" w:space="0" w:color="auto"/>
              <w:right w:val="single" w:sz="4" w:space="0" w:color="auto"/>
            </w:tcBorders>
            <w:shd w:val="clear" w:color="auto" w:fill="auto"/>
            <w:vAlign w:val="center"/>
            <w:hideMark/>
          </w:tcPr>
          <w:p w14:paraId="35B8BF0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ANTONA INGOLIČA SPODNJA POLSKAVA</w:t>
            </w:r>
          </w:p>
        </w:tc>
      </w:tr>
      <w:tr w:rsidR="00E3750C" w:rsidRPr="00415AB3" w14:paraId="35E9755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8AF11D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1136</w:t>
            </w:r>
          </w:p>
        </w:tc>
        <w:tc>
          <w:tcPr>
            <w:tcW w:w="705" w:type="pct"/>
            <w:tcBorders>
              <w:top w:val="nil"/>
              <w:left w:val="nil"/>
              <w:bottom w:val="single" w:sz="4" w:space="0" w:color="auto"/>
              <w:right w:val="single" w:sz="4" w:space="0" w:color="auto"/>
            </w:tcBorders>
            <w:shd w:val="clear" w:color="auto" w:fill="auto"/>
            <w:noWrap/>
            <w:vAlign w:val="center"/>
            <w:hideMark/>
          </w:tcPr>
          <w:p w14:paraId="1F4C4A6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1534980000</w:t>
            </w:r>
          </w:p>
        </w:tc>
        <w:tc>
          <w:tcPr>
            <w:tcW w:w="547" w:type="pct"/>
            <w:tcBorders>
              <w:top w:val="nil"/>
              <w:left w:val="nil"/>
              <w:bottom w:val="single" w:sz="4" w:space="0" w:color="auto"/>
              <w:right w:val="single" w:sz="4" w:space="0" w:color="auto"/>
            </w:tcBorders>
            <w:shd w:val="clear" w:color="auto" w:fill="auto"/>
            <w:noWrap/>
            <w:vAlign w:val="center"/>
            <w:hideMark/>
          </w:tcPr>
          <w:p w14:paraId="4CCF67C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60066792</w:t>
            </w:r>
          </w:p>
        </w:tc>
        <w:tc>
          <w:tcPr>
            <w:tcW w:w="3360" w:type="pct"/>
            <w:tcBorders>
              <w:top w:val="nil"/>
              <w:left w:val="nil"/>
              <w:bottom w:val="single" w:sz="4" w:space="0" w:color="auto"/>
              <w:right w:val="single" w:sz="4" w:space="0" w:color="auto"/>
            </w:tcBorders>
            <w:shd w:val="clear" w:color="auto" w:fill="auto"/>
            <w:vAlign w:val="center"/>
            <w:hideMark/>
          </w:tcPr>
          <w:p w14:paraId="4BCDEC2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ANTONA MARTINA SLOMŠKA VRHNIKA</w:t>
            </w:r>
          </w:p>
        </w:tc>
      </w:tr>
      <w:tr w:rsidR="00E3750C" w:rsidRPr="00415AB3" w14:paraId="31C1E1B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847C7B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1137</w:t>
            </w:r>
          </w:p>
        </w:tc>
        <w:tc>
          <w:tcPr>
            <w:tcW w:w="705" w:type="pct"/>
            <w:tcBorders>
              <w:top w:val="nil"/>
              <w:left w:val="nil"/>
              <w:bottom w:val="single" w:sz="4" w:space="0" w:color="auto"/>
              <w:right w:val="single" w:sz="4" w:space="0" w:color="auto"/>
            </w:tcBorders>
            <w:shd w:val="clear" w:color="auto" w:fill="auto"/>
            <w:noWrap/>
            <w:vAlign w:val="center"/>
            <w:hideMark/>
          </w:tcPr>
          <w:p w14:paraId="54C5EFB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5087554000</w:t>
            </w:r>
          </w:p>
        </w:tc>
        <w:tc>
          <w:tcPr>
            <w:tcW w:w="547" w:type="pct"/>
            <w:tcBorders>
              <w:top w:val="nil"/>
              <w:left w:val="nil"/>
              <w:bottom w:val="single" w:sz="4" w:space="0" w:color="auto"/>
              <w:right w:val="single" w:sz="4" w:space="0" w:color="auto"/>
            </w:tcBorders>
            <w:shd w:val="clear" w:color="auto" w:fill="auto"/>
            <w:noWrap/>
            <w:vAlign w:val="center"/>
            <w:hideMark/>
          </w:tcPr>
          <w:p w14:paraId="488AA58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23027746</w:t>
            </w:r>
          </w:p>
        </w:tc>
        <w:tc>
          <w:tcPr>
            <w:tcW w:w="3360" w:type="pct"/>
            <w:tcBorders>
              <w:top w:val="nil"/>
              <w:left w:val="nil"/>
              <w:bottom w:val="single" w:sz="4" w:space="0" w:color="auto"/>
              <w:right w:val="single" w:sz="4" w:space="0" w:color="auto"/>
            </w:tcBorders>
            <w:shd w:val="clear" w:color="auto" w:fill="auto"/>
            <w:vAlign w:val="center"/>
            <w:hideMark/>
          </w:tcPr>
          <w:p w14:paraId="09FC5E7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ANTONA ŠIBELJA-STJENKA KOMEN</w:t>
            </w:r>
          </w:p>
        </w:tc>
      </w:tr>
      <w:tr w:rsidR="00E3750C" w:rsidRPr="00415AB3" w14:paraId="2A32360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5FBF59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1138</w:t>
            </w:r>
          </w:p>
        </w:tc>
        <w:tc>
          <w:tcPr>
            <w:tcW w:w="705" w:type="pct"/>
            <w:tcBorders>
              <w:top w:val="nil"/>
              <w:left w:val="nil"/>
              <w:bottom w:val="single" w:sz="4" w:space="0" w:color="auto"/>
              <w:right w:val="single" w:sz="4" w:space="0" w:color="auto"/>
            </w:tcBorders>
            <w:shd w:val="clear" w:color="auto" w:fill="auto"/>
            <w:noWrap/>
            <w:vAlign w:val="center"/>
            <w:hideMark/>
          </w:tcPr>
          <w:p w14:paraId="5E09040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5087341000</w:t>
            </w:r>
          </w:p>
        </w:tc>
        <w:tc>
          <w:tcPr>
            <w:tcW w:w="547" w:type="pct"/>
            <w:tcBorders>
              <w:top w:val="nil"/>
              <w:left w:val="nil"/>
              <w:bottom w:val="single" w:sz="4" w:space="0" w:color="auto"/>
              <w:right w:val="single" w:sz="4" w:space="0" w:color="auto"/>
            </w:tcBorders>
            <w:shd w:val="clear" w:color="auto" w:fill="auto"/>
            <w:noWrap/>
            <w:vAlign w:val="center"/>
            <w:hideMark/>
          </w:tcPr>
          <w:p w14:paraId="1AEC9C0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18782400</w:t>
            </w:r>
          </w:p>
        </w:tc>
        <w:tc>
          <w:tcPr>
            <w:tcW w:w="3360" w:type="pct"/>
            <w:tcBorders>
              <w:top w:val="nil"/>
              <w:left w:val="nil"/>
              <w:bottom w:val="single" w:sz="4" w:space="0" w:color="auto"/>
              <w:right w:val="single" w:sz="4" w:space="0" w:color="auto"/>
            </w:tcBorders>
            <w:shd w:val="clear" w:color="auto" w:fill="auto"/>
            <w:vAlign w:val="center"/>
            <w:hideMark/>
          </w:tcPr>
          <w:p w14:paraId="022A41F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ANTONA TOMAŽA LINHARTA RADOVLJICA</w:t>
            </w:r>
          </w:p>
        </w:tc>
      </w:tr>
      <w:tr w:rsidR="00E3750C" w:rsidRPr="00415AB3" w14:paraId="305FBC5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350012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1139</w:t>
            </w:r>
          </w:p>
        </w:tc>
        <w:tc>
          <w:tcPr>
            <w:tcW w:w="705" w:type="pct"/>
            <w:tcBorders>
              <w:top w:val="nil"/>
              <w:left w:val="nil"/>
              <w:bottom w:val="single" w:sz="4" w:space="0" w:color="auto"/>
              <w:right w:val="single" w:sz="4" w:space="0" w:color="auto"/>
            </w:tcBorders>
            <w:shd w:val="clear" w:color="auto" w:fill="auto"/>
            <w:noWrap/>
            <w:vAlign w:val="center"/>
            <w:hideMark/>
          </w:tcPr>
          <w:p w14:paraId="0F4894F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5231825000</w:t>
            </w:r>
          </w:p>
        </w:tc>
        <w:tc>
          <w:tcPr>
            <w:tcW w:w="547" w:type="pct"/>
            <w:tcBorders>
              <w:top w:val="nil"/>
              <w:left w:val="nil"/>
              <w:bottom w:val="single" w:sz="4" w:space="0" w:color="auto"/>
              <w:right w:val="single" w:sz="4" w:space="0" w:color="auto"/>
            </w:tcBorders>
            <w:shd w:val="clear" w:color="auto" w:fill="auto"/>
            <w:noWrap/>
            <w:vAlign w:val="center"/>
            <w:hideMark/>
          </w:tcPr>
          <w:p w14:paraId="6E87041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71906096</w:t>
            </w:r>
          </w:p>
        </w:tc>
        <w:tc>
          <w:tcPr>
            <w:tcW w:w="3360" w:type="pct"/>
            <w:tcBorders>
              <w:top w:val="nil"/>
              <w:left w:val="nil"/>
              <w:bottom w:val="single" w:sz="4" w:space="0" w:color="auto"/>
              <w:right w:val="single" w:sz="4" w:space="0" w:color="auto"/>
            </w:tcBorders>
            <w:shd w:val="clear" w:color="auto" w:fill="auto"/>
            <w:vAlign w:val="center"/>
            <w:hideMark/>
          </w:tcPr>
          <w:p w14:paraId="4CB3FF8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ANTONA UKMARJA KOPER</w:t>
            </w:r>
          </w:p>
        </w:tc>
      </w:tr>
      <w:tr w:rsidR="00E3750C" w:rsidRPr="00415AB3" w14:paraId="1E36A00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3C8E93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1140</w:t>
            </w:r>
          </w:p>
        </w:tc>
        <w:tc>
          <w:tcPr>
            <w:tcW w:w="705" w:type="pct"/>
            <w:tcBorders>
              <w:top w:val="nil"/>
              <w:left w:val="nil"/>
              <w:bottom w:val="single" w:sz="4" w:space="0" w:color="auto"/>
              <w:right w:val="single" w:sz="4" w:space="0" w:color="auto"/>
            </w:tcBorders>
            <w:shd w:val="clear" w:color="auto" w:fill="auto"/>
            <w:noWrap/>
            <w:vAlign w:val="center"/>
            <w:hideMark/>
          </w:tcPr>
          <w:p w14:paraId="2DA8934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5624525000</w:t>
            </w:r>
          </w:p>
        </w:tc>
        <w:tc>
          <w:tcPr>
            <w:tcW w:w="547" w:type="pct"/>
            <w:tcBorders>
              <w:top w:val="nil"/>
              <w:left w:val="nil"/>
              <w:bottom w:val="single" w:sz="4" w:space="0" w:color="auto"/>
              <w:right w:val="single" w:sz="4" w:space="0" w:color="auto"/>
            </w:tcBorders>
            <w:shd w:val="clear" w:color="auto" w:fill="auto"/>
            <w:noWrap/>
            <w:vAlign w:val="center"/>
            <w:hideMark/>
          </w:tcPr>
          <w:p w14:paraId="372663D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24128503</w:t>
            </w:r>
          </w:p>
        </w:tc>
        <w:tc>
          <w:tcPr>
            <w:tcW w:w="3360" w:type="pct"/>
            <w:tcBorders>
              <w:top w:val="nil"/>
              <w:left w:val="nil"/>
              <w:bottom w:val="single" w:sz="4" w:space="0" w:color="auto"/>
              <w:right w:val="single" w:sz="4" w:space="0" w:color="auto"/>
            </w:tcBorders>
            <w:shd w:val="clear" w:color="auto" w:fill="auto"/>
            <w:vAlign w:val="center"/>
            <w:hideMark/>
          </w:tcPr>
          <w:p w14:paraId="56D0AAD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ANTONA ŽNIDERŠIČA ILIRSKA BISTRICA</w:t>
            </w:r>
          </w:p>
        </w:tc>
      </w:tr>
      <w:tr w:rsidR="00E3750C" w:rsidRPr="00415AB3" w14:paraId="1D6CC5E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0A5B63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1141</w:t>
            </w:r>
          </w:p>
        </w:tc>
        <w:tc>
          <w:tcPr>
            <w:tcW w:w="705" w:type="pct"/>
            <w:tcBorders>
              <w:top w:val="nil"/>
              <w:left w:val="nil"/>
              <w:bottom w:val="single" w:sz="4" w:space="0" w:color="auto"/>
              <w:right w:val="single" w:sz="4" w:space="0" w:color="auto"/>
            </w:tcBorders>
            <w:shd w:val="clear" w:color="auto" w:fill="auto"/>
            <w:noWrap/>
            <w:vAlign w:val="center"/>
            <w:hideMark/>
          </w:tcPr>
          <w:p w14:paraId="604BF9A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5083559000</w:t>
            </w:r>
          </w:p>
        </w:tc>
        <w:tc>
          <w:tcPr>
            <w:tcW w:w="547" w:type="pct"/>
            <w:tcBorders>
              <w:top w:val="nil"/>
              <w:left w:val="nil"/>
              <w:bottom w:val="single" w:sz="4" w:space="0" w:color="auto"/>
              <w:right w:val="single" w:sz="4" w:space="0" w:color="auto"/>
            </w:tcBorders>
            <w:shd w:val="clear" w:color="auto" w:fill="auto"/>
            <w:noWrap/>
            <w:vAlign w:val="center"/>
            <w:hideMark/>
          </w:tcPr>
          <w:p w14:paraId="5DB552C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86290185</w:t>
            </w:r>
          </w:p>
        </w:tc>
        <w:tc>
          <w:tcPr>
            <w:tcW w:w="3360" w:type="pct"/>
            <w:tcBorders>
              <w:top w:val="nil"/>
              <w:left w:val="nil"/>
              <w:bottom w:val="single" w:sz="4" w:space="0" w:color="auto"/>
              <w:right w:val="single" w:sz="4" w:space="0" w:color="auto"/>
            </w:tcBorders>
            <w:shd w:val="clear" w:color="auto" w:fill="auto"/>
            <w:vAlign w:val="center"/>
            <w:hideMark/>
          </w:tcPr>
          <w:p w14:paraId="1036B28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ARTIČE</w:t>
            </w:r>
          </w:p>
        </w:tc>
      </w:tr>
      <w:tr w:rsidR="00E3750C" w:rsidRPr="00415AB3" w14:paraId="724567B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0F02FD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1142</w:t>
            </w:r>
          </w:p>
        </w:tc>
        <w:tc>
          <w:tcPr>
            <w:tcW w:w="705" w:type="pct"/>
            <w:tcBorders>
              <w:top w:val="nil"/>
              <w:left w:val="nil"/>
              <w:bottom w:val="single" w:sz="4" w:space="0" w:color="auto"/>
              <w:right w:val="single" w:sz="4" w:space="0" w:color="auto"/>
            </w:tcBorders>
            <w:shd w:val="clear" w:color="auto" w:fill="auto"/>
            <w:noWrap/>
            <w:vAlign w:val="center"/>
            <w:hideMark/>
          </w:tcPr>
          <w:p w14:paraId="4968228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5088968000</w:t>
            </w:r>
          </w:p>
        </w:tc>
        <w:tc>
          <w:tcPr>
            <w:tcW w:w="547" w:type="pct"/>
            <w:tcBorders>
              <w:top w:val="nil"/>
              <w:left w:val="nil"/>
              <w:bottom w:val="single" w:sz="4" w:space="0" w:color="auto"/>
              <w:right w:val="single" w:sz="4" w:space="0" w:color="auto"/>
            </w:tcBorders>
            <w:shd w:val="clear" w:color="auto" w:fill="auto"/>
            <w:noWrap/>
            <w:vAlign w:val="center"/>
            <w:hideMark/>
          </w:tcPr>
          <w:p w14:paraId="3B022DC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10335234</w:t>
            </w:r>
          </w:p>
        </w:tc>
        <w:tc>
          <w:tcPr>
            <w:tcW w:w="3360" w:type="pct"/>
            <w:tcBorders>
              <w:top w:val="nil"/>
              <w:left w:val="nil"/>
              <w:bottom w:val="single" w:sz="4" w:space="0" w:color="auto"/>
              <w:right w:val="single" w:sz="4" w:space="0" w:color="auto"/>
            </w:tcBorders>
            <w:shd w:val="clear" w:color="auto" w:fill="auto"/>
            <w:vAlign w:val="center"/>
            <w:hideMark/>
          </w:tcPr>
          <w:p w14:paraId="5DA3DC4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BAKOVCI</w:t>
            </w:r>
          </w:p>
        </w:tc>
      </w:tr>
      <w:tr w:rsidR="00E3750C" w:rsidRPr="00415AB3" w14:paraId="4B918DE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BA93AA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1143</w:t>
            </w:r>
          </w:p>
        </w:tc>
        <w:tc>
          <w:tcPr>
            <w:tcW w:w="705" w:type="pct"/>
            <w:tcBorders>
              <w:top w:val="nil"/>
              <w:left w:val="nil"/>
              <w:bottom w:val="single" w:sz="4" w:space="0" w:color="auto"/>
              <w:right w:val="single" w:sz="4" w:space="0" w:color="auto"/>
            </w:tcBorders>
            <w:shd w:val="clear" w:color="auto" w:fill="auto"/>
            <w:noWrap/>
            <w:vAlign w:val="center"/>
            <w:hideMark/>
          </w:tcPr>
          <w:p w14:paraId="563C5B6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5085349000</w:t>
            </w:r>
          </w:p>
        </w:tc>
        <w:tc>
          <w:tcPr>
            <w:tcW w:w="547" w:type="pct"/>
            <w:tcBorders>
              <w:top w:val="nil"/>
              <w:left w:val="nil"/>
              <w:bottom w:val="single" w:sz="4" w:space="0" w:color="auto"/>
              <w:right w:val="single" w:sz="4" w:space="0" w:color="auto"/>
            </w:tcBorders>
            <w:shd w:val="clear" w:color="auto" w:fill="auto"/>
            <w:noWrap/>
            <w:vAlign w:val="center"/>
            <w:hideMark/>
          </w:tcPr>
          <w:p w14:paraId="648B81E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78628326</w:t>
            </w:r>
          </w:p>
        </w:tc>
        <w:tc>
          <w:tcPr>
            <w:tcW w:w="3360" w:type="pct"/>
            <w:tcBorders>
              <w:top w:val="nil"/>
              <w:left w:val="nil"/>
              <w:bottom w:val="single" w:sz="4" w:space="0" w:color="auto"/>
              <w:right w:val="single" w:sz="4" w:space="0" w:color="auto"/>
            </w:tcBorders>
            <w:shd w:val="clear" w:color="auto" w:fill="auto"/>
            <w:vAlign w:val="center"/>
            <w:hideMark/>
          </w:tcPr>
          <w:p w14:paraId="5703E5B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BELOKRANJSKEGA ODREDA SEMIČ</w:t>
            </w:r>
          </w:p>
        </w:tc>
      </w:tr>
      <w:tr w:rsidR="00E3750C" w:rsidRPr="00415AB3" w14:paraId="52A65A1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9FDB5A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1144</w:t>
            </w:r>
          </w:p>
        </w:tc>
        <w:tc>
          <w:tcPr>
            <w:tcW w:w="705" w:type="pct"/>
            <w:tcBorders>
              <w:top w:val="nil"/>
              <w:left w:val="nil"/>
              <w:bottom w:val="single" w:sz="4" w:space="0" w:color="auto"/>
              <w:right w:val="single" w:sz="4" w:space="0" w:color="auto"/>
            </w:tcBorders>
            <w:shd w:val="clear" w:color="auto" w:fill="auto"/>
            <w:noWrap/>
            <w:vAlign w:val="center"/>
            <w:hideMark/>
          </w:tcPr>
          <w:p w14:paraId="052DABB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5085560000</w:t>
            </w:r>
          </w:p>
        </w:tc>
        <w:tc>
          <w:tcPr>
            <w:tcW w:w="547" w:type="pct"/>
            <w:tcBorders>
              <w:top w:val="nil"/>
              <w:left w:val="nil"/>
              <w:bottom w:val="single" w:sz="4" w:space="0" w:color="auto"/>
              <w:right w:val="single" w:sz="4" w:space="0" w:color="auto"/>
            </w:tcBorders>
            <w:shd w:val="clear" w:color="auto" w:fill="auto"/>
            <w:noWrap/>
            <w:vAlign w:val="center"/>
            <w:hideMark/>
          </w:tcPr>
          <w:p w14:paraId="4422721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41251717</w:t>
            </w:r>
          </w:p>
        </w:tc>
        <w:tc>
          <w:tcPr>
            <w:tcW w:w="3360" w:type="pct"/>
            <w:tcBorders>
              <w:top w:val="nil"/>
              <w:left w:val="nil"/>
              <w:bottom w:val="single" w:sz="4" w:space="0" w:color="auto"/>
              <w:right w:val="single" w:sz="4" w:space="0" w:color="auto"/>
            </w:tcBorders>
            <w:shd w:val="clear" w:color="auto" w:fill="auto"/>
            <w:vAlign w:val="center"/>
            <w:hideMark/>
          </w:tcPr>
          <w:p w14:paraId="787F9C9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BELTINCI</w:t>
            </w:r>
          </w:p>
        </w:tc>
      </w:tr>
      <w:tr w:rsidR="00E3750C" w:rsidRPr="00415AB3" w14:paraId="4695BE4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2DA0D8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1145</w:t>
            </w:r>
          </w:p>
        </w:tc>
        <w:tc>
          <w:tcPr>
            <w:tcW w:w="705" w:type="pct"/>
            <w:tcBorders>
              <w:top w:val="nil"/>
              <w:left w:val="nil"/>
              <w:bottom w:val="single" w:sz="4" w:space="0" w:color="auto"/>
              <w:right w:val="single" w:sz="4" w:space="0" w:color="auto"/>
            </w:tcBorders>
            <w:shd w:val="clear" w:color="auto" w:fill="auto"/>
            <w:noWrap/>
            <w:vAlign w:val="center"/>
            <w:hideMark/>
          </w:tcPr>
          <w:p w14:paraId="1245B53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5089913000</w:t>
            </w:r>
          </w:p>
        </w:tc>
        <w:tc>
          <w:tcPr>
            <w:tcW w:w="547" w:type="pct"/>
            <w:tcBorders>
              <w:top w:val="nil"/>
              <w:left w:val="nil"/>
              <w:bottom w:val="single" w:sz="4" w:space="0" w:color="auto"/>
              <w:right w:val="single" w:sz="4" w:space="0" w:color="auto"/>
            </w:tcBorders>
            <w:shd w:val="clear" w:color="auto" w:fill="auto"/>
            <w:noWrap/>
            <w:vAlign w:val="center"/>
            <w:hideMark/>
          </w:tcPr>
          <w:p w14:paraId="1746735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51149877</w:t>
            </w:r>
          </w:p>
        </w:tc>
        <w:tc>
          <w:tcPr>
            <w:tcW w:w="3360" w:type="pct"/>
            <w:tcBorders>
              <w:top w:val="nil"/>
              <w:left w:val="nil"/>
              <w:bottom w:val="single" w:sz="4" w:space="0" w:color="auto"/>
              <w:right w:val="single" w:sz="4" w:space="0" w:color="auto"/>
            </w:tcBorders>
            <w:shd w:val="clear" w:color="auto" w:fill="auto"/>
            <w:vAlign w:val="center"/>
            <w:hideMark/>
          </w:tcPr>
          <w:p w14:paraId="04C2F74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BEŽIGRAD</w:t>
            </w:r>
          </w:p>
        </w:tc>
      </w:tr>
      <w:tr w:rsidR="00E3750C" w:rsidRPr="00415AB3" w14:paraId="621D05F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9B289C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1146</w:t>
            </w:r>
          </w:p>
        </w:tc>
        <w:tc>
          <w:tcPr>
            <w:tcW w:w="705" w:type="pct"/>
            <w:tcBorders>
              <w:top w:val="nil"/>
              <w:left w:val="nil"/>
              <w:bottom w:val="single" w:sz="4" w:space="0" w:color="auto"/>
              <w:right w:val="single" w:sz="4" w:space="0" w:color="auto"/>
            </w:tcBorders>
            <w:shd w:val="clear" w:color="auto" w:fill="auto"/>
            <w:noWrap/>
            <w:vAlign w:val="center"/>
            <w:hideMark/>
          </w:tcPr>
          <w:p w14:paraId="515D8B0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5087902000</w:t>
            </w:r>
          </w:p>
        </w:tc>
        <w:tc>
          <w:tcPr>
            <w:tcW w:w="547" w:type="pct"/>
            <w:tcBorders>
              <w:top w:val="nil"/>
              <w:left w:val="nil"/>
              <w:bottom w:val="single" w:sz="4" w:space="0" w:color="auto"/>
              <w:right w:val="single" w:sz="4" w:space="0" w:color="auto"/>
            </w:tcBorders>
            <w:shd w:val="clear" w:color="auto" w:fill="auto"/>
            <w:noWrap/>
            <w:vAlign w:val="center"/>
            <w:hideMark/>
          </w:tcPr>
          <w:p w14:paraId="0CAAD09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71028951</w:t>
            </w:r>
          </w:p>
        </w:tc>
        <w:tc>
          <w:tcPr>
            <w:tcW w:w="3360" w:type="pct"/>
            <w:tcBorders>
              <w:top w:val="nil"/>
              <w:left w:val="nil"/>
              <w:bottom w:val="single" w:sz="4" w:space="0" w:color="auto"/>
              <w:right w:val="single" w:sz="4" w:space="0" w:color="auto"/>
            </w:tcBorders>
            <w:shd w:val="clear" w:color="auto" w:fill="auto"/>
            <w:vAlign w:val="center"/>
            <w:hideMark/>
          </w:tcPr>
          <w:p w14:paraId="1010731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BISTRICA OB SOTLI</w:t>
            </w:r>
          </w:p>
        </w:tc>
      </w:tr>
      <w:tr w:rsidR="00E3750C" w:rsidRPr="00415AB3" w14:paraId="5BAD3B2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E7A93D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1147</w:t>
            </w:r>
          </w:p>
        </w:tc>
        <w:tc>
          <w:tcPr>
            <w:tcW w:w="705" w:type="pct"/>
            <w:tcBorders>
              <w:top w:val="nil"/>
              <w:left w:val="nil"/>
              <w:bottom w:val="single" w:sz="4" w:space="0" w:color="auto"/>
              <w:right w:val="single" w:sz="4" w:space="0" w:color="auto"/>
            </w:tcBorders>
            <w:shd w:val="clear" w:color="auto" w:fill="auto"/>
            <w:noWrap/>
            <w:vAlign w:val="center"/>
            <w:hideMark/>
          </w:tcPr>
          <w:p w14:paraId="0F85B6E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5088607000</w:t>
            </w:r>
          </w:p>
        </w:tc>
        <w:tc>
          <w:tcPr>
            <w:tcW w:w="547" w:type="pct"/>
            <w:tcBorders>
              <w:top w:val="nil"/>
              <w:left w:val="nil"/>
              <w:bottom w:val="single" w:sz="4" w:space="0" w:color="auto"/>
              <w:right w:val="single" w:sz="4" w:space="0" w:color="auto"/>
            </w:tcBorders>
            <w:shd w:val="clear" w:color="auto" w:fill="auto"/>
            <w:noWrap/>
            <w:vAlign w:val="center"/>
            <w:hideMark/>
          </w:tcPr>
          <w:p w14:paraId="17C5BC8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92015930</w:t>
            </w:r>
          </w:p>
        </w:tc>
        <w:tc>
          <w:tcPr>
            <w:tcW w:w="3360" w:type="pct"/>
            <w:tcBorders>
              <w:top w:val="nil"/>
              <w:left w:val="nil"/>
              <w:bottom w:val="single" w:sz="4" w:space="0" w:color="auto"/>
              <w:right w:val="single" w:sz="4" w:space="0" w:color="auto"/>
            </w:tcBorders>
            <w:shd w:val="clear" w:color="auto" w:fill="auto"/>
            <w:vAlign w:val="center"/>
            <w:hideMark/>
          </w:tcPr>
          <w:p w14:paraId="17DEDC1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BIZELJSKO</w:t>
            </w:r>
          </w:p>
        </w:tc>
      </w:tr>
      <w:tr w:rsidR="00E3750C" w:rsidRPr="00415AB3" w14:paraId="05EE1C3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FC37C9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1148</w:t>
            </w:r>
          </w:p>
        </w:tc>
        <w:tc>
          <w:tcPr>
            <w:tcW w:w="705" w:type="pct"/>
            <w:tcBorders>
              <w:top w:val="nil"/>
              <w:left w:val="nil"/>
              <w:bottom w:val="single" w:sz="4" w:space="0" w:color="auto"/>
              <w:right w:val="single" w:sz="4" w:space="0" w:color="auto"/>
            </w:tcBorders>
            <w:shd w:val="clear" w:color="auto" w:fill="auto"/>
            <w:noWrap/>
            <w:vAlign w:val="center"/>
            <w:hideMark/>
          </w:tcPr>
          <w:p w14:paraId="298EBD5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5087473000</w:t>
            </w:r>
          </w:p>
        </w:tc>
        <w:tc>
          <w:tcPr>
            <w:tcW w:w="547" w:type="pct"/>
            <w:tcBorders>
              <w:top w:val="nil"/>
              <w:left w:val="nil"/>
              <w:bottom w:val="single" w:sz="4" w:space="0" w:color="auto"/>
              <w:right w:val="single" w:sz="4" w:space="0" w:color="auto"/>
            </w:tcBorders>
            <w:shd w:val="clear" w:color="auto" w:fill="auto"/>
            <w:noWrap/>
            <w:vAlign w:val="center"/>
            <w:hideMark/>
          </w:tcPr>
          <w:p w14:paraId="640367D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49104624</w:t>
            </w:r>
          </w:p>
        </w:tc>
        <w:tc>
          <w:tcPr>
            <w:tcW w:w="3360" w:type="pct"/>
            <w:tcBorders>
              <w:top w:val="nil"/>
              <w:left w:val="nil"/>
              <w:bottom w:val="single" w:sz="4" w:space="0" w:color="auto"/>
              <w:right w:val="single" w:sz="4" w:space="0" w:color="auto"/>
            </w:tcBorders>
            <w:shd w:val="clear" w:color="auto" w:fill="auto"/>
            <w:vAlign w:val="center"/>
            <w:hideMark/>
          </w:tcPr>
          <w:p w14:paraId="71B3486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BLANCA</w:t>
            </w:r>
          </w:p>
        </w:tc>
      </w:tr>
      <w:tr w:rsidR="00E3750C" w:rsidRPr="00415AB3" w14:paraId="5C6786F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ABE5B9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1149</w:t>
            </w:r>
          </w:p>
        </w:tc>
        <w:tc>
          <w:tcPr>
            <w:tcW w:w="705" w:type="pct"/>
            <w:tcBorders>
              <w:top w:val="nil"/>
              <w:left w:val="nil"/>
              <w:bottom w:val="single" w:sz="4" w:space="0" w:color="auto"/>
              <w:right w:val="single" w:sz="4" w:space="0" w:color="auto"/>
            </w:tcBorders>
            <w:shd w:val="clear" w:color="auto" w:fill="auto"/>
            <w:noWrap/>
            <w:vAlign w:val="center"/>
            <w:hideMark/>
          </w:tcPr>
          <w:p w14:paraId="13CCFE1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5085551000</w:t>
            </w:r>
          </w:p>
        </w:tc>
        <w:tc>
          <w:tcPr>
            <w:tcW w:w="547" w:type="pct"/>
            <w:tcBorders>
              <w:top w:val="nil"/>
              <w:left w:val="nil"/>
              <w:bottom w:val="single" w:sz="4" w:space="0" w:color="auto"/>
              <w:right w:val="single" w:sz="4" w:space="0" w:color="auto"/>
            </w:tcBorders>
            <w:shd w:val="clear" w:color="auto" w:fill="auto"/>
            <w:noWrap/>
            <w:vAlign w:val="center"/>
            <w:hideMark/>
          </w:tcPr>
          <w:p w14:paraId="3A3B5A7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64095053</w:t>
            </w:r>
          </w:p>
        </w:tc>
        <w:tc>
          <w:tcPr>
            <w:tcW w:w="3360" w:type="pct"/>
            <w:tcBorders>
              <w:top w:val="nil"/>
              <w:left w:val="nil"/>
              <w:bottom w:val="single" w:sz="4" w:space="0" w:color="auto"/>
              <w:right w:val="single" w:sz="4" w:space="0" w:color="auto"/>
            </w:tcBorders>
            <w:shd w:val="clear" w:color="auto" w:fill="auto"/>
            <w:vAlign w:val="center"/>
            <w:hideMark/>
          </w:tcPr>
          <w:p w14:paraId="120B73D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BLAŽA ARNIČA LUČE</w:t>
            </w:r>
          </w:p>
        </w:tc>
      </w:tr>
      <w:tr w:rsidR="00E3750C" w:rsidRPr="00415AB3" w14:paraId="2E4B996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AB1DB1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1150</w:t>
            </w:r>
          </w:p>
        </w:tc>
        <w:tc>
          <w:tcPr>
            <w:tcW w:w="705" w:type="pct"/>
            <w:tcBorders>
              <w:top w:val="nil"/>
              <w:left w:val="nil"/>
              <w:bottom w:val="single" w:sz="4" w:space="0" w:color="auto"/>
              <w:right w:val="single" w:sz="4" w:space="0" w:color="auto"/>
            </w:tcBorders>
            <w:shd w:val="clear" w:color="auto" w:fill="auto"/>
            <w:noWrap/>
            <w:vAlign w:val="center"/>
            <w:hideMark/>
          </w:tcPr>
          <w:p w14:paraId="642E087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5088976000</w:t>
            </w:r>
          </w:p>
        </w:tc>
        <w:tc>
          <w:tcPr>
            <w:tcW w:w="547" w:type="pct"/>
            <w:tcBorders>
              <w:top w:val="nil"/>
              <w:left w:val="nil"/>
              <w:bottom w:val="single" w:sz="4" w:space="0" w:color="auto"/>
              <w:right w:val="single" w:sz="4" w:space="0" w:color="auto"/>
            </w:tcBorders>
            <w:shd w:val="clear" w:color="auto" w:fill="auto"/>
            <w:noWrap/>
            <w:vAlign w:val="center"/>
            <w:hideMark/>
          </w:tcPr>
          <w:p w14:paraId="5508CA8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72026804</w:t>
            </w:r>
          </w:p>
        </w:tc>
        <w:tc>
          <w:tcPr>
            <w:tcW w:w="3360" w:type="pct"/>
            <w:tcBorders>
              <w:top w:val="nil"/>
              <w:left w:val="nil"/>
              <w:bottom w:val="single" w:sz="4" w:space="0" w:color="auto"/>
              <w:right w:val="single" w:sz="4" w:space="0" w:color="auto"/>
            </w:tcBorders>
            <w:shd w:val="clear" w:color="auto" w:fill="auto"/>
            <w:vAlign w:val="center"/>
            <w:hideMark/>
          </w:tcPr>
          <w:p w14:paraId="4D4D6C9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BOGOJINA</w:t>
            </w:r>
          </w:p>
        </w:tc>
      </w:tr>
      <w:tr w:rsidR="00E3750C" w:rsidRPr="00415AB3" w14:paraId="1E6D7F4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548AEE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1151</w:t>
            </w:r>
          </w:p>
        </w:tc>
        <w:tc>
          <w:tcPr>
            <w:tcW w:w="705" w:type="pct"/>
            <w:tcBorders>
              <w:top w:val="nil"/>
              <w:left w:val="nil"/>
              <w:bottom w:val="single" w:sz="4" w:space="0" w:color="auto"/>
              <w:right w:val="single" w:sz="4" w:space="0" w:color="auto"/>
            </w:tcBorders>
            <w:shd w:val="clear" w:color="auto" w:fill="auto"/>
            <w:noWrap/>
            <w:vAlign w:val="center"/>
            <w:hideMark/>
          </w:tcPr>
          <w:p w14:paraId="706AAD6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5085110000</w:t>
            </w:r>
          </w:p>
        </w:tc>
        <w:tc>
          <w:tcPr>
            <w:tcW w:w="547" w:type="pct"/>
            <w:tcBorders>
              <w:top w:val="nil"/>
              <w:left w:val="nil"/>
              <w:bottom w:val="single" w:sz="4" w:space="0" w:color="auto"/>
              <w:right w:val="single" w:sz="4" w:space="0" w:color="auto"/>
            </w:tcBorders>
            <w:shd w:val="clear" w:color="auto" w:fill="auto"/>
            <w:noWrap/>
            <w:vAlign w:val="center"/>
            <w:hideMark/>
          </w:tcPr>
          <w:p w14:paraId="478A5DC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90652363</w:t>
            </w:r>
          </w:p>
        </w:tc>
        <w:tc>
          <w:tcPr>
            <w:tcW w:w="3360" w:type="pct"/>
            <w:tcBorders>
              <w:top w:val="nil"/>
              <w:left w:val="nil"/>
              <w:bottom w:val="single" w:sz="4" w:space="0" w:color="auto"/>
              <w:right w:val="single" w:sz="4" w:space="0" w:color="auto"/>
            </w:tcBorders>
            <w:shd w:val="clear" w:color="auto" w:fill="auto"/>
            <w:vAlign w:val="center"/>
            <w:hideMark/>
          </w:tcPr>
          <w:p w14:paraId="223D22D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BOJANA ILICHA MARIBOR</w:t>
            </w:r>
          </w:p>
        </w:tc>
      </w:tr>
      <w:tr w:rsidR="00E3750C" w:rsidRPr="00415AB3" w14:paraId="0B73FE9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9B76D2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1152</w:t>
            </w:r>
          </w:p>
        </w:tc>
        <w:tc>
          <w:tcPr>
            <w:tcW w:w="705" w:type="pct"/>
            <w:tcBorders>
              <w:top w:val="nil"/>
              <w:left w:val="nil"/>
              <w:bottom w:val="single" w:sz="4" w:space="0" w:color="auto"/>
              <w:right w:val="single" w:sz="4" w:space="0" w:color="auto"/>
            </w:tcBorders>
            <w:shd w:val="clear" w:color="auto" w:fill="auto"/>
            <w:noWrap/>
            <w:vAlign w:val="center"/>
            <w:hideMark/>
          </w:tcPr>
          <w:p w14:paraId="3CE24B4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5197449000</w:t>
            </w:r>
          </w:p>
        </w:tc>
        <w:tc>
          <w:tcPr>
            <w:tcW w:w="547" w:type="pct"/>
            <w:tcBorders>
              <w:top w:val="nil"/>
              <w:left w:val="nil"/>
              <w:bottom w:val="single" w:sz="4" w:space="0" w:color="auto"/>
              <w:right w:val="single" w:sz="4" w:space="0" w:color="auto"/>
            </w:tcBorders>
            <w:shd w:val="clear" w:color="auto" w:fill="auto"/>
            <w:noWrap/>
            <w:vAlign w:val="center"/>
            <w:hideMark/>
          </w:tcPr>
          <w:p w14:paraId="506EB6C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27553078</w:t>
            </w:r>
          </w:p>
        </w:tc>
        <w:tc>
          <w:tcPr>
            <w:tcW w:w="3360" w:type="pct"/>
            <w:tcBorders>
              <w:top w:val="nil"/>
              <w:left w:val="nil"/>
              <w:bottom w:val="single" w:sz="4" w:space="0" w:color="auto"/>
              <w:right w:val="single" w:sz="4" w:space="0" w:color="auto"/>
            </w:tcBorders>
            <w:shd w:val="clear" w:color="auto" w:fill="auto"/>
            <w:vAlign w:val="center"/>
            <w:hideMark/>
          </w:tcPr>
          <w:p w14:paraId="42672E9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BORCEV ZA SEVERNO MEJO MARIBOR</w:t>
            </w:r>
          </w:p>
        </w:tc>
      </w:tr>
      <w:tr w:rsidR="00E3750C" w:rsidRPr="00415AB3" w14:paraId="71BB5E9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BFB0AF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1153</w:t>
            </w:r>
          </w:p>
        </w:tc>
        <w:tc>
          <w:tcPr>
            <w:tcW w:w="705" w:type="pct"/>
            <w:tcBorders>
              <w:top w:val="nil"/>
              <w:left w:val="nil"/>
              <w:bottom w:val="single" w:sz="4" w:space="0" w:color="auto"/>
              <w:right w:val="single" w:sz="4" w:space="0" w:color="auto"/>
            </w:tcBorders>
            <w:shd w:val="clear" w:color="auto" w:fill="auto"/>
            <w:noWrap/>
            <w:vAlign w:val="center"/>
            <w:hideMark/>
          </w:tcPr>
          <w:p w14:paraId="68DFDE2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5087481000</w:t>
            </w:r>
          </w:p>
        </w:tc>
        <w:tc>
          <w:tcPr>
            <w:tcW w:w="547" w:type="pct"/>
            <w:tcBorders>
              <w:top w:val="nil"/>
              <w:left w:val="nil"/>
              <w:bottom w:val="single" w:sz="4" w:space="0" w:color="auto"/>
              <w:right w:val="single" w:sz="4" w:space="0" w:color="auto"/>
            </w:tcBorders>
            <w:shd w:val="clear" w:color="auto" w:fill="auto"/>
            <w:noWrap/>
            <w:vAlign w:val="center"/>
            <w:hideMark/>
          </w:tcPr>
          <w:p w14:paraId="6F5B2C5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48285200</w:t>
            </w:r>
          </w:p>
        </w:tc>
        <w:tc>
          <w:tcPr>
            <w:tcW w:w="3360" w:type="pct"/>
            <w:tcBorders>
              <w:top w:val="nil"/>
              <w:left w:val="nil"/>
              <w:bottom w:val="single" w:sz="4" w:space="0" w:color="auto"/>
              <w:right w:val="single" w:sz="4" w:space="0" w:color="auto"/>
            </w:tcBorders>
            <w:shd w:val="clear" w:color="auto" w:fill="auto"/>
            <w:vAlign w:val="center"/>
            <w:hideMark/>
          </w:tcPr>
          <w:p w14:paraId="17C167E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BOŠTANJ</w:t>
            </w:r>
          </w:p>
        </w:tc>
      </w:tr>
      <w:tr w:rsidR="00E3750C" w:rsidRPr="00415AB3" w14:paraId="2AA8B3C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C28624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1154</w:t>
            </w:r>
          </w:p>
        </w:tc>
        <w:tc>
          <w:tcPr>
            <w:tcW w:w="705" w:type="pct"/>
            <w:tcBorders>
              <w:top w:val="nil"/>
              <w:left w:val="nil"/>
              <w:bottom w:val="single" w:sz="4" w:space="0" w:color="auto"/>
              <w:right w:val="single" w:sz="4" w:space="0" w:color="auto"/>
            </w:tcBorders>
            <w:shd w:val="clear" w:color="auto" w:fill="auto"/>
            <w:noWrap/>
            <w:vAlign w:val="center"/>
            <w:hideMark/>
          </w:tcPr>
          <w:p w14:paraId="744F2A3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5090091000</w:t>
            </w:r>
          </w:p>
        </w:tc>
        <w:tc>
          <w:tcPr>
            <w:tcW w:w="547" w:type="pct"/>
            <w:tcBorders>
              <w:top w:val="nil"/>
              <w:left w:val="nil"/>
              <w:bottom w:val="single" w:sz="4" w:space="0" w:color="auto"/>
              <w:right w:val="single" w:sz="4" w:space="0" w:color="auto"/>
            </w:tcBorders>
            <w:shd w:val="clear" w:color="auto" w:fill="auto"/>
            <w:noWrap/>
            <w:vAlign w:val="center"/>
            <w:hideMark/>
          </w:tcPr>
          <w:p w14:paraId="1C13537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61582476</w:t>
            </w:r>
          </w:p>
        </w:tc>
        <w:tc>
          <w:tcPr>
            <w:tcW w:w="3360" w:type="pct"/>
            <w:tcBorders>
              <w:top w:val="nil"/>
              <w:left w:val="nil"/>
              <w:bottom w:val="single" w:sz="4" w:space="0" w:color="auto"/>
              <w:right w:val="single" w:sz="4" w:space="0" w:color="auto"/>
            </w:tcBorders>
            <w:shd w:val="clear" w:color="auto" w:fill="auto"/>
            <w:vAlign w:val="center"/>
            <w:hideMark/>
          </w:tcPr>
          <w:p w14:paraId="2C754A1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BOVEC</w:t>
            </w:r>
          </w:p>
        </w:tc>
      </w:tr>
      <w:tr w:rsidR="00E3750C" w:rsidRPr="00415AB3" w14:paraId="35364F6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5063F4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1155</w:t>
            </w:r>
          </w:p>
        </w:tc>
        <w:tc>
          <w:tcPr>
            <w:tcW w:w="705" w:type="pct"/>
            <w:tcBorders>
              <w:top w:val="nil"/>
              <w:left w:val="nil"/>
              <w:bottom w:val="single" w:sz="4" w:space="0" w:color="auto"/>
              <w:right w:val="single" w:sz="4" w:space="0" w:color="auto"/>
            </w:tcBorders>
            <w:shd w:val="clear" w:color="auto" w:fill="auto"/>
            <w:noWrap/>
            <w:vAlign w:val="center"/>
            <w:hideMark/>
          </w:tcPr>
          <w:p w14:paraId="7BB53F2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5085799000</w:t>
            </w:r>
          </w:p>
        </w:tc>
        <w:tc>
          <w:tcPr>
            <w:tcW w:w="547" w:type="pct"/>
            <w:tcBorders>
              <w:top w:val="nil"/>
              <w:left w:val="nil"/>
              <w:bottom w:val="single" w:sz="4" w:space="0" w:color="auto"/>
              <w:right w:val="single" w:sz="4" w:space="0" w:color="auto"/>
            </w:tcBorders>
            <w:shd w:val="clear" w:color="auto" w:fill="auto"/>
            <w:noWrap/>
            <w:vAlign w:val="center"/>
            <w:hideMark/>
          </w:tcPr>
          <w:p w14:paraId="7345CC1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33669040</w:t>
            </w:r>
          </w:p>
        </w:tc>
        <w:tc>
          <w:tcPr>
            <w:tcW w:w="3360" w:type="pct"/>
            <w:tcBorders>
              <w:top w:val="nil"/>
              <w:left w:val="nil"/>
              <w:bottom w:val="single" w:sz="4" w:space="0" w:color="auto"/>
              <w:right w:val="single" w:sz="4" w:space="0" w:color="auto"/>
            </w:tcBorders>
            <w:shd w:val="clear" w:color="auto" w:fill="auto"/>
            <w:vAlign w:val="center"/>
            <w:hideMark/>
          </w:tcPr>
          <w:p w14:paraId="57B4268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BRANIK</w:t>
            </w:r>
          </w:p>
        </w:tc>
      </w:tr>
      <w:tr w:rsidR="00E3750C" w:rsidRPr="00415AB3" w14:paraId="638A0A3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F91C84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1156</w:t>
            </w:r>
          </w:p>
        </w:tc>
        <w:tc>
          <w:tcPr>
            <w:tcW w:w="705" w:type="pct"/>
            <w:tcBorders>
              <w:top w:val="nil"/>
              <w:left w:val="nil"/>
              <w:bottom w:val="single" w:sz="4" w:space="0" w:color="auto"/>
              <w:right w:val="single" w:sz="4" w:space="0" w:color="auto"/>
            </w:tcBorders>
            <w:shd w:val="clear" w:color="auto" w:fill="auto"/>
            <w:noWrap/>
            <w:vAlign w:val="center"/>
            <w:hideMark/>
          </w:tcPr>
          <w:p w14:paraId="16BD817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5088178000</w:t>
            </w:r>
          </w:p>
        </w:tc>
        <w:tc>
          <w:tcPr>
            <w:tcW w:w="547" w:type="pct"/>
            <w:tcBorders>
              <w:top w:val="nil"/>
              <w:left w:val="nil"/>
              <w:bottom w:val="single" w:sz="4" w:space="0" w:color="auto"/>
              <w:right w:val="single" w:sz="4" w:space="0" w:color="auto"/>
            </w:tcBorders>
            <w:shd w:val="clear" w:color="auto" w:fill="auto"/>
            <w:noWrap/>
            <w:vAlign w:val="center"/>
            <w:hideMark/>
          </w:tcPr>
          <w:p w14:paraId="7F1DAB0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40878333</w:t>
            </w:r>
          </w:p>
        </w:tc>
        <w:tc>
          <w:tcPr>
            <w:tcW w:w="3360" w:type="pct"/>
            <w:tcBorders>
              <w:top w:val="nil"/>
              <w:left w:val="nil"/>
              <w:bottom w:val="single" w:sz="4" w:space="0" w:color="auto"/>
              <w:right w:val="single" w:sz="4" w:space="0" w:color="auto"/>
            </w:tcBorders>
            <w:shd w:val="clear" w:color="auto" w:fill="auto"/>
            <w:vAlign w:val="center"/>
            <w:hideMark/>
          </w:tcPr>
          <w:p w14:paraId="3037B0E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BRATOV LETONJA ŠMARTNO OB PAKI</w:t>
            </w:r>
          </w:p>
        </w:tc>
      </w:tr>
      <w:tr w:rsidR="00E3750C" w:rsidRPr="00415AB3" w14:paraId="7E06507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1B7F08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1157</w:t>
            </w:r>
          </w:p>
        </w:tc>
        <w:tc>
          <w:tcPr>
            <w:tcW w:w="705" w:type="pct"/>
            <w:tcBorders>
              <w:top w:val="nil"/>
              <w:left w:val="nil"/>
              <w:bottom w:val="single" w:sz="4" w:space="0" w:color="auto"/>
              <w:right w:val="single" w:sz="4" w:space="0" w:color="auto"/>
            </w:tcBorders>
            <w:shd w:val="clear" w:color="auto" w:fill="auto"/>
            <w:noWrap/>
            <w:vAlign w:val="center"/>
            <w:hideMark/>
          </w:tcPr>
          <w:p w14:paraId="489406A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5085080000</w:t>
            </w:r>
          </w:p>
        </w:tc>
        <w:tc>
          <w:tcPr>
            <w:tcW w:w="547" w:type="pct"/>
            <w:tcBorders>
              <w:top w:val="nil"/>
              <w:left w:val="nil"/>
              <w:bottom w:val="single" w:sz="4" w:space="0" w:color="auto"/>
              <w:right w:val="single" w:sz="4" w:space="0" w:color="auto"/>
            </w:tcBorders>
            <w:shd w:val="clear" w:color="auto" w:fill="auto"/>
            <w:noWrap/>
            <w:vAlign w:val="center"/>
            <w:hideMark/>
          </w:tcPr>
          <w:p w14:paraId="71CFD55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36197254</w:t>
            </w:r>
          </w:p>
        </w:tc>
        <w:tc>
          <w:tcPr>
            <w:tcW w:w="3360" w:type="pct"/>
            <w:tcBorders>
              <w:top w:val="nil"/>
              <w:left w:val="nil"/>
              <w:bottom w:val="single" w:sz="4" w:space="0" w:color="auto"/>
              <w:right w:val="single" w:sz="4" w:space="0" w:color="auto"/>
            </w:tcBorders>
            <w:shd w:val="clear" w:color="auto" w:fill="auto"/>
            <w:vAlign w:val="center"/>
            <w:hideMark/>
          </w:tcPr>
          <w:p w14:paraId="4D38259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BRATOV POLANČIČEV MARIBOR</w:t>
            </w:r>
          </w:p>
        </w:tc>
      </w:tr>
      <w:tr w:rsidR="00E3750C" w:rsidRPr="00415AB3" w14:paraId="0EC1FB0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348E94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1158</w:t>
            </w:r>
          </w:p>
        </w:tc>
        <w:tc>
          <w:tcPr>
            <w:tcW w:w="705" w:type="pct"/>
            <w:tcBorders>
              <w:top w:val="nil"/>
              <w:left w:val="nil"/>
              <w:bottom w:val="single" w:sz="4" w:space="0" w:color="auto"/>
              <w:right w:val="single" w:sz="4" w:space="0" w:color="auto"/>
            </w:tcBorders>
            <w:shd w:val="clear" w:color="auto" w:fill="auto"/>
            <w:noWrap/>
            <w:vAlign w:val="center"/>
            <w:hideMark/>
          </w:tcPr>
          <w:p w14:paraId="2F2AF85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5087155000</w:t>
            </w:r>
          </w:p>
        </w:tc>
        <w:tc>
          <w:tcPr>
            <w:tcW w:w="547" w:type="pct"/>
            <w:tcBorders>
              <w:top w:val="nil"/>
              <w:left w:val="nil"/>
              <w:bottom w:val="single" w:sz="4" w:space="0" w:color="auto"/>
              <w:right w:val="single" w:sz="4" w:space="0" w:color="auto"/>
            </w:tcBorders>
            <w:shd w:val="clear" w:color="auto" w:fill="auto"/>
            <w:noWrap/>
            <w:vAlign w:val="center"/>
            <w:hideMark/>
          </w:tcPr>
          <w:p w14:paraId="1E8581B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70196958</w:t>
            </w:r>
          </w:p>
        </w:tc>
        <w:tc>
          <w:tcPr>
            <w:tcW w:w="3360" w:type="pct"/>
            <w:tcBorders>
              <w:top w:val="nil"/>
              <w:left w:val="nil"/>
              <w:bottom w:val="single" w:sz="4" w:space="0" w:color="auto"/>
              <w:right w:val="single" w:sz="4" w:space="0" w:color="auto"/>
            </w:tcBorders>
            <w:shd w:val="clear" w:color="auto" w:fill="auto"/>
            <w:vAlign w:val="center"/>
            <w:hideMark/>
          </w:tcPr>
          <w:p w14:paraId="02CD083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BREG</w:t>
            </w:r>
          </w:p>
        </w:tc>
      </w:tr>
      <w:tr w:rsidR="00E3750C" w:rsidRPr="00415AB3" w14:paraId="2C8981F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2C91B5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1159</w:t>
            </w:r>
          </w:p>
        </w:tc>
        <w:tc>
          <w:tcPr>
            <w:tcW w:w="705" w:type="pct"/>
            <w:tcBorders>
              <w:top w:val="nil"/>
              <w:left w:val="nil"/>
              <w:bottom w:val="single" w:sz="4" w:space="0" w:color="auto"/>
              <w:right w:val="single" w:sz="4" w:space="0" w:color="auto"/>
            </w:tcBorders>
            <w:shd w:val="clear" w:color="auto" w:fill="auto"/>
            <w:noWrap/>
            <w:vAlign w:val="center"/>
            <w:hideMark/>
          </w:tcPr>
          <w:p w14:paraId="382A752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5089816000</w:t>
            </w:r>
          </w:p>
        </w:tc>
        <w:tc>
          <w:tcPr>
            <w:tcW w:w="547" w:type="pct"/>
            <w:tcBorders>
              <w:top w:val="nil"/>
              <w:left w:val="nil"/>
              <w:bottom w:val="single" w:sz="4" w:space="0" w:color="auto"/>
              <w:right w:val="single" w:sz="4" w:space="0" w:color="auto"/>
            </w:tcBorders>
            <w:shd w:val="clear" w:color="auto" w:fill="auto"/>
            <w:noWrap/>
            <w:vAlign w:val="center"/>
            <w:hideMark/>
          </w:tcPr>
          <w:p w14:paraId="4FDD3AE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42630142</w:t>
            </w:r>
          </w:p>
        </w:tc>
        <w:tc>
          <w:tcPr>
            <w:tcW w:w="3360" w:type="pct"/>
            <w:tcBorders>
              <w:top w:val="nil"/>
              <w:left w:val="nil"/>
              <w:bottom w:val="single" w:sz="4" w:space="0" w:color="auto"/>
              <w:right w:val="single" w:sz="4" w:space="0" w:color="auto"/>
            </w:tcBorders>
            <w:shd w:val="clear" w:color="auto" w:fill="auto"/>
            <w:vAlign w:val="center"/>
            <w:hideMark/>
          </w:tcPr>
          <w:p w14:paraId="752877D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BREZNO-PODVELKA</w:t>
            </w:r>
          </w:p>
        </w:tc>
      </w:tr>
      <w:tr w:rsidR="00E3750C" w:rsidRPr="00415AB3" w14:paraId="5382963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24BB01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1160</w:t>
            </w:r>
          </w:p>
        </w:tc>
        <w:tc>
          <w:tcPr>
            <w:tcW w:w="705" w:type="pct"/>
            <w:tcBorders>
              <w:top w:val="nil"/>
              <w:left w:val="nil"/>
              <w:bottom w:val="single" w:sz="4" w:space="0" w:color="auto"/>
              <w:right w:val="single" w:sz="4" w:space="0" w:color="auto"/>
            </w:tcBorders>
            <w:shd w:val="clear" w:color="auto" w:fill="auto"/>
            <w:noWrap/>
            <w:vAlign w:val="center"/>
            <w:hideMark/>
          </w:tcPr>
          <w:p w14:paraId="1CAED6D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5089646000</w:t>
            </w:r>
          </w:p>
        </w:tc>
        <w:tc>
          <w:tcPr>
            <w:tcW w:w="547" w:type="pct"/>
            <w:tcBorders>
              <w:top w:val="nil"/>
              <w:left w:val="nil"/>
              <w:bottom w:val="single" w:sz="4" w:space="0" w:color="auto"/>
              <w:right w:val="single" w:sz="4" w:space="0" w:color="auto"/>
            </w:tcBorders>
            <w:shd w:val="clear" w:color="auto" w:fill="auto"/>
            <w:noWrap/>
            <w:vAlign w:val="center"/>
            <w:hideMark/>
          </w:tcPr>
          <w:p w14:paraId="7A73EAD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24113794</w:t>
            </w:r>
          </w:p>
        </w:tc>
        <w:tc>
          <w:tcPr>
            <w:tcW w:w="3360" w:type="pct"/>
            <w:tcBorders>
              <w:top w:val="nil"/>
              <w:left w:val="nil"/>
              <w:bottom w:val="single" w:sz="4" w:space="0" w:color="auto"/>
              <w:right w:val="single" w:sz="4" w:space="0" w:color="auto"/>
            </w:tcBorders>
            <w:shd w:val="clear" w:color="auto" w:fill="auto"/>
            <w:vAlign w:val="center"/>
            <w:hideMark/>
          </w:tcPr>
          <w:p w14:paraId="4C04141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BREZOVICA PRI LJUBLJANI</w:t>
            </w:r>
          </w:p>
        </w:tc>
      </w:tr>
      <w:tr w:rsidR="00E3750C" w:rsidRPr="00415AB3" w14:paraId="0B714B7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3CA4F4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1161</w:t>
            </w:r>
          </w:p>
        </w:tc>
        <w:tc>
          <w:tcPr>
            <w:tcW w:w="705" w:type="pct"/>
            <w:tcBorders>
              <w:top w:val="nil"/>
              <w:left w:val="nil"/>
              <w:bottom w:val="single" w:sz="4" w:space="0" w:color="auto"/>
              <w:right w:val="single" w:sz="4" w:space="0" w:color="auto"/>
            </w:tcBorders>
            <w:shd w:val="clear" w:color="auto" w:fill="auto"/>
            <w:noWrap/>
            <w:vAlign w:val="center"/>
            <w:hideMark/>
          </w:tcPr>
          <w:p w14:paraId="134FCAE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5085896000</w:t>
            </w:r>
          </w:p>
        </w:tc>
        <w:tc>
          <w:tcPr>
            <w:tcW w:w="547" w:type="pct"/>
            <w:tcBorders>
              <w:top w:val="nil"/>
              <w:left w:val="nil"/>
              <w:bottom w:val="single" w:sz="4" w:space="0" w:color="auto"/>
              <w:right w:val="single" w:sz="4" w:space="0" w:color="auto"/>
            </w:tcBorders>
            <w:shd w:val="clear" w:color="auto" w:fill="auto"/>
            <w:noWrap/>
            <w:vAlign w:val="center"/>
            <w:hideMark/>
          </w:tcPr>
          <w:p w14:paraId="7726F82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97051667</w:t>
            </w:r>
          </w:p>
        </w:tc>
        <w:tc>
          <w:tcPr>
            <w:tcW w:w="3360" w:type="pct"/>
            <w:tcBorders>
              <w:top w:val="nil"/>
              <w:left w:val="nil"/>
              <w:bottom w:val="single" w:sz="4" w:space="0" w:color="auto"/>
              <w:right w:val="single" w:sz="4" w:space="0" w:color="auto"/>
            </w:tcBorders>
            <w:shd w:val="clear" w:color="auto" w:fill="auto"/>
            <w:vAlign w:val="center"/>
            <w:hideMark/>
          </w:tcPr>
          <w:p w14:paraId="2D0A9E8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BREŽICE</w:t>
            </w:r>
          </w:p>
        </w:tc>
      </w:tr>
      <w:tr w:rsidR="00E3750C" w:rsidRPr="00415AB3" w14:paraId="4E6F4BC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46999B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1162</w:t>
            </w:r>
          </w:p>
        </w:tc>
        <w:tc>
          <w:tcPr>
            <w:tcW w:w="705" w:type="pct"/>
            <w:tcBorders>
              <w:top w:val="nil"/>
              <w:left w:val="nil"/>
              <w:bottom w:val="single" w:sz="4" w:space="0" w:color="auto"/>
              <w:right w:val="single" w:sz="4" w:space="0" w:color="auto"/>
            </w:tcBorders>
            <w:shd w:val="clear" w:color="auto" w:fill="auto"/>
            <w:noWrap/>
            <w:vAlign w:val="center"/>
            <w:hideMark/>
          </w:tcPr>
          <w:p w14:paraId="323B71E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1193481000</w:t>
            </w:r>
          </w:p>
        </w:tc>
        <w:tc>
          <w:tcPr>
            <w:tcW w:w="547" w:type="pct"/>
            <w:tcBorders>
              <w:top w:val="nil"/>
              <w:left w:val="nil"/>
              <w:bottom w:val="single" w:sz="4" w:space="0" w:color="auto"/>
              <w:right w:val="single" w:sz="4" w:space="0" w:color="auto"/>
            </w:tcBorders>
            <w:shd w:val="clear" w:color="auto" w:fill="auto"/>
            <w:noWrap/>
            <w:vAlign w:val="center"/>
            <w:hideMark/>
          </w:tcPr>
          <w:p w14:paraId="2D8E668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29928419</w:t>
            </w:r>
          </w:p>
        </w:tc>
        <w:tc>
          <w:tcPr>
            <w:tcW w:w="3360" w:type="pct"/>
            <w:tcBorders>
              <w:top w:val="nil"/>
              <w:left w:val="nil"/>
              <w:bottom w:val="single" w:sz="4" w:space="0" w:color="auto"/>
              <w:right w:val="single" w:sz="4" w:space="0" w:color="auto"/>
            </w:tcBorders>
            <w:shd w:val="clear" w:color="auto" w:fill="auto"/>
            <w:vAlign w:val="center"/>
            <w:hideMark/>
          </w:tcPr>
          <w:p w14:paraId="4AFFB27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BRINJE GROSUPLJE</w:t>
            </w:r>
          </w:p>
        </w:tc>
      </w:tr>
      <w:tr w:rsidR="00E3750C" w:rsidRPr="00415AB3" w14:paraId="2505088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EBA565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1163</w:t>
            </w:r>
          </w:p>
        </w:tc>
        <w:tc>
          <w:tcPr>
            <w:tcW w:w="705" w:type="pct"/>
            <w:tcBorders>
              <w:top w:val="nil"/>
              <w:left w:val="nil"/>
              <w:bottom w:val="single" w:sz="4" w:space="0" w:color="auto"/>
              <w:right w:val="single" w:sz="4" w:space="0" w:color="auto"/>
            </w:tcBorders>
            <w:shd w:val="clear" w:color="auto" w:fill="auto"/>
            <w:noWrap/>
            <w:vAlign w:val="center"/>
            <w:hideMark/>
          </w:tcPr>
          <w:p w14:paraId="6D8E89D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5086868000</w:t>
            </w:r>
          </w:p>
        </w:tc>
        <w:tc>
          <w:tcPr>
            <w:tcW w:w="547" w:type="pct"/>
            <w:tcBorders>
              <w:top w:val="nil"/>
              <w:left w:val="nil"/>
              <w:bottom w:val="single" w:sz="4" w:space="0" w:color="auto"/>
              <w:right w:val="single" w:sz="4" w:space="0" w:color="auto"/>
            </w:tcBorders>
            <w:shd w:val="clear" w:color="auto" w:fill="auto"/>
            <w:noWrap/>
            <w:vAlign w:val="center"/>
            <w:hideMark/>
          </w:tcPr>
          <w:p w14:paraId="104BC9B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78931606</w:t>
            </w:r>
          </w:p>
        </w:tc>
        <w:tc>
          <w:tcPr>
            <w:tcW w:w="3360" w:type="pct"/>
            <w:tcBorders>
              <w:top w:val="nil"/>
              <w:left w:val="nil"/>
              <w:bottom w:val="single" w:sz="4" w:space="0" w:color="auto"/>
              <w:right w:val="single" w:sz="4" w:space="0" w:color="auto"/>
            </w:tcBorders>
            <w:shd w:val="clear" w:color="auto" w:fill="auto"/>
            <w:vAlign w:val="center"/>
            <w:hideMark/>
          </w:tcPr>
          <w:p w14:paraId="468630A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BRŠLJIN</w:t>
            </w:r>
          </w:p>
        </w:tc>
      </w:tr>
      <w:tr w:rsidR="00E3750C" w:rsidRPr="00415AB3" w14:paraId="7CE4AC2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D23F92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1164</w:t>
            </w:r>
          </w:p>
        </w:tc>
        <w:tc>
          <w:tcPr>
            <w:tcW w:w="705" w:type="pct"/>
            <w:tcBorders>
              <w:top w:val="nil"/>
              <w:left w:val="nil"/>
              <w:bottom w:val="single" w:sz="4" w:space="0" w:color="auto"/>
              <w:right w:val="single" w:sz="4" w:space="0" w:color="auto"/>
            </w:tcBorders>
            <w:shd w:val="clear" w:color="auto" w:fill="auto"/>
            <w:noWrap/>
            <w:vAlign w:val="center"/>
            <w:hideMark/>
          </w:tcPr>
          <w:p w14:paraId="781B3C0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5086361000</w:t>
            </w:r>
          </w:p>
        </w:tc>
        <w:tc>
          <w:tcPr>
            <w:tcW w:w="547" w:type="pct"/>
            <w:tcBorders>
              <w:top w:val="nil"/>
              <w:left w:val="nil"/>
              <w:bottom w:val="single" w:sz="4" w:space="0" w:color="auto"/>
              <w:right w:val="single" w:sz="4" w:space="0" w:color="auto"/>
            </w:tcBorders>
            <w:shd w:val="clear" w:color="auto" w:fill="auto"/>
            <w:noWrap/>
            <w:vAlign w:val="center"/>
            <w:hideMark/>
          </w:tcPr>
          <w:p w14:paraId="47DA4B4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49987836</w:t>
            </w:r>
          </w:p>
        </w:tc>
        <w:tc>
          <w:tcPr>
            <w:tcW w:w="3360" w:type="pct"/>
            <w:tcBorders>
              <w:top w:val="nil"/>
              <w:left w:val="nil"/>
              <w:bottom w:val="single" w:sz="4" w:space="0" w:color="auto"/>
              <w:right w:val="single" w:sz="4" w:space="0" w:color="auto"/>
            </w:tcBorders>
            <w:shd w:val="clear" w:color="auto" w:fill="auto"/>
            <w:vAlign w:val="center"/>
            <w:hideMark/>
          </w:tcPr>
          <w:p w14:paraId="1C86DD4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BRUSNICE</w:t>
            </w:r>
          </w:p>
        </w:tc>
      </w:tr>
      <w:tr w:rsidR="00E3750C" w:rsidRPr="00415AB3" w14:paraId="1753118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BAC9A6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1165</w:t>
            </w:r>
          </w:p>
        </w:tc>
        <w:tc>
          <w:tcPr>
            <w:tcW w:w="705" w:type="pct"/>
            <w:tcBorders>
              <w:top w:val="nil"/>
              <w:left w:val="nil"/>
              <w:bottom w:val="single" w:sz="4" w:space="0" w:color="auto"/>
              <w:right w:val="single" w:sz="4" w:space="0" w:color="auto"/>
            </w:tcBorders>
            <w:shd w:val="clear" w:color="auto" w:fill="auto"/>
            <w:noWrap/>
            <w:vAlign w:val="center"/>
            <w:hideMark/>
          </w:tcPr>
          <w:p w14:paraId="57AC133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5085608000</w:t>
            </w:r>
          </w:p>
        </w:tc>
        <w:tc>
          <w:tcPr>
            <w:tcW w:w="547" w:type="pct"/>
            <w:tcBorders>
              <w:top w:val="nil"/>
              <w:left w:val="nil"/>
              <w:bottom w:val="single" w:sz="4" w:space="0" w:color="auto"/>
              <w:right w:val="single" w:sz="4" w:space="0" w:color="auto"/>
            </w:tcBorders>
            <w:shd w:val="clear" w:color="auto" w:fill="auto"/>
            <w:noWrap/>
            <w:vAlign w:val="center"/>
            <w:hideMark/>
          </w:tcPr>
          <w:p w14:paraId="7F6B29C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10798226</w:t>
            </w:r>
          </w:p>
        </w:tc>
        <w:tc>
          <w:tcPr>
            <w:tcW w:w="3360" w:type="pct"/>
            <w:tcBorders>
              <w:top w:val="nil"/>
              <w:left w:val="nil"/>
              <w:bottom w:val="single" w:sz="4" w:space="0" w:color="auto"/>
              <w:right w:val="single" w:sz="4" w:space="0" w:color="auto"/>
            </w:tcBorders>
            <w:shd w:val="clear" w:color="auto" w:fill="auto"/>
            <w:vAlign w:val="center"/>
            <w:hideMark/>
          </w:tcPr>
          <w:p w14:paraId="4D2ECBF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CANKOVA</w:t>
            </w:r>
          </w:p>
        </w:tc>
      </w:tr>
      <w:tr w:rsidR="00E3750C" w:rsidRPr="00415AB3" w14:paraId="74960DD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8D34EB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1166</w:t>
            </w:r>
          </w:p>
        </w:tc>
        <w:tc>
          <w:tcPr>
            <w:tcW w:w="705" w:type="pct"/>
            <w:tcBorders>
              <w:top w:val="nil"/>
              <w:left w:val="nil"/>
              <w:bottom w:val="single" w:sz="4" w:space="0" w:color="auto"/>
              <w:right w:val="single" w:sz="4" w:space="0" w:color="auto"/>
            </w:tcBorders>
            <w:shd w:val="clear" w:color="auto" w:fill="auto"/>
            <w:noWrap/>
            <w:vAlign w:val="center"/>
            <w:hideMark/>
          </w:tcPr>
          <w:p w14:paraId="0D80907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5086825000</w:t>
            </w:r>
          </w:p>
        </w:tc>
        <w:tc>
          <w:tcPr>
            <w:tcW w:w="547" w:type="pct"/>
            <w:tcBorders>
              <w:top w:val="nil"/>
              <w:left w:val="nil"/>
              <w:bottom w:val="single" w:sz="4" w:space="0" w:color="auto"/>
              <w:right w:val="single" w:sz="4" w:space="0" w:color="auto"/>
            </w:tcBorders>
            <w:shd w:val="clear" w:color="auto" w:fill="auto"/>
            <w:noWrap/>
            <w:vAlign w:val="center"/>
            <w:hideMark/>
          </w:tcPr>
          <w:p w14:paraId="1831E21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38521610</w:t>
            </w:r>
          </w:p>
        </w:tc>
        <w:tc>
          <w:tcPr>
            <w:tcW w:w="3360" w:type="pct"/>
            <w:tcBorders>
              <w:top w:val="nil"/>
              <w:left w:val="nil"/>
              <w:bottom w:val="single" w:sz="4" w:space="0" w:color="auto"/>
              <w:right w:val="single" w:sz="4" w:space="0" w:color="auto"/>
            </w:tcBorders>
            <w:shd w:val="clear" w:color="auto" w:fill="auto"/>
            <w:vAlign w:val="center"/>
            <w:hideMark/>
          </w:tcPr>
          <w:p w14:paraId="4CBC730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CENTER</w:t>
            </w:r>
          </w:p>
        </w:tc>
      </w:tr>
      <w:tr w:rsidR="00E3750C" w:rsidRPr="00415AB3" w14:paraId="6F441D8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B9CD3D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1167</w:t>
            </w:r>
          </w:p>
        </w:tc>
        <w:tc>
          <w:tcPr>
            <w:tcW w:w="705" w:type="pct"/>
            <w:tcBorders>
              <w:top w:val="nil"/>
              <w:left w:val="nil"/>
              <w:bottom w:val="single" w:sz="4" w:space="0" w:color="auto"/>
              <w:right w:val="single" w:sz="4" w:space="0" w:color="auto"/>
            </w:tcBorders>
            <w:shd w:val="clear" w:color="auto" w:fill="auto"/>
            <w:noWrap/>
            <w:vAlign w:val="center"/>
            <w:hideMark/>
          </w:tcPr>
          <w:p w14:paraId="0A77622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5083575000</w:t>
            </w:r>
          </w:p>
        </w:tc>
        <w:tc>
          <w:tcPr>
            <w:tcW w:w="547" w:type="pct"/>
            <w:tcBorders>
              <w:top w:val="nil"/>
              <w:left w:val="nil"/>
              <w:bottom w:val="single" w:sz="4" w:space="0" w:color="auto"/>
              <w:right w:val="single" w:sz="4" w:space="0" w:color="auto"/>
            </w:tcBorders>
            <w:shd w:val="clear" w:color="auto" w:fill="auto"/>
            <w:noWrap/>
            <w:vAlign w:val="center"/>
            <w:hideMark/>
          </w:tcPr>
          <w:p w14:paraId="20FE435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16258193</w:t>
            </w:r>
          </w:p>
        </w:tc>
        <w:tc>
          <w:tcPr>
            <w:tcW w:w="3360" w:type="pct"/>
            <w:tcBorders>
              <w:top w:val="nil"/>
              <w:left w:val="nil"/>
              <w:bottom w:val="single" w:sz="4" w:space="0" w:color="auto"/>
              <w:right w:val="single" w:sz="4" w:space="0" w:color="auto"/>
            </w:tcBorders>
            <w:shd w:val="clear" w:color="auto" w:fill="auto"/>
            <w:vAlign w:val="center"/>
            <w:hideMark/>
          </w:tcPr>
          <w:p w14:paraId="556A6F7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CERKLJE OB KRKI</w:t>
            </w:r>
          </w:p>
        </w:tc>
      </w:tr>
      <w:tr w:rsidR="00E3750C" w:rsidRPr="00415AB3" w14:paraId="70991AE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32D74F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1168</w:t>
            </w:r>
          </w:p>
        </w:tc>
        <w:tc>
          <w:tcPr>
            <w:tcW w:w="705" w:type="pct"/>
            <w:tcBorders>
              <w:top w:val="nil"/>
              <w:left w:val="nil"/>
              <w:bottom w:val="single" w:sz="4" w:space="0" w:color="auto"/>
              <w:right w:val="single" w:sz="4" w:space="0" w:color="auto"/>
            </w:tcBorders>
            <w:shd w:val="clear" w:color="auto" w:fill="auto"/>
            <w:noWrap/>
            <w:vAlign w:val="center"/>
            <w:hideMark/>
          </w:tcPr>
          <w:p w14:paraId="21ED3F7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5082960000</w:t>
            </w:r>
          </w:p>
        </w:tc>
        <w:tc>
          <w:tcPr>
            <w:tcW w:w="547" w:type="pct"/>
            <w:tcBorders>
              <w:top w:val="nil"/>
              <w:left w:val="nil"/>
              <w:bottom w:val="single" w:sz="4" w:space="0" w:color="auto"/>
              <w:right w:val="single" w:sz="4" w:space="0" w:color="auto"/>
            </w:tcBorders>
            <w:shd w:val="clear" w:color="auto" w:fill="auto"/>
            <w:noWrap/>
            <w:vAlign w:val="center"/>
            <w:hideMark/>
          </w:tcPr>
          <w:p w14:paraId="25A864E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44292180</w:t>
            </w:r>
          </w:p>
        </w:tc>
        <w:tc>
          <w:tcPr>
            <w:tcW w:w="3360" w:type="pct"/>
            <w:tcBorders>
              <w:top w:val="nil"/>
              <w:left w:val="nil"/>
              <w:bottom w:val="single" w:sz="4" w:space="0" w:color="auto"/>
              <w:right w:val="single" w:sz="4" w:space="0" w:color="auto"/>
            </w:tcBorders>
            <w:shd w:val="clear" w:color="auto" w:fill="auto"/>
            <w:vAlign w:val="center"/>
            <w:hideMark/>
          </w:tcPr>
          <w:p w14:paraId="48333C3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CERKNO</w:t>
            </w:r>
          </w:p>
        </w:tc>
      </w:tr>
      <w:tr w:rsidR="00E3750C" w:rsidRPr="00415AB3" w14:paraId="1637B67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CAB3BA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1169</w:t>
            </w:r>
          </w:p>
        </w:tc>
        <w:tc>
          <w:tcPr>
            <w:tcW w:w="705" w:type="pct"/>
            <w:tcBorders>
              <w:top w:val="nil"/>
              <w:left w:val="nil"/>
              <w:bottom w:val="single" w:sz="4" w:space="0" w:color="auto"/>
              <w:right w:val="single" w:sz="4" w:space="0" w:color="auto"/>
            </w:tcBorders>
            <w:shd w:val="clear" w:color="auto" w:fill="auto"/>
            <w:noWrap/>
            <w:vAlign w:val="center"/>
            <w:hideMark/>
          </w:tcPr>
          <w:p w14:paraId="101D81F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5089247000</w:t>
            </w:r>
          </w:p>
        </w:tc>
        <w:tc>
          <w:tcPr>
            <w:tcW w:w="547" w:type="pct"/>
            <w:tcBorders>
              <w:top w:val="nil"/>
              <w:left w:val="nil"/>
              <w:bottom w:val="single" w:sz="4" w:space="0" w:color="auto"/>
              <w:right w:val="single" w:sz="4" w:space="0" w:color="auto"/>
            </w:tcBorders>
            <w:shd w:val="clear" w:color="auto" w:fill="auto"/>
            <w:noWrap/>
            <w:vAlign w:val="center"/>
            <w:hideMark/>
          </w:tcPr>
          <w:p w14:paraId="570FAEF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68357753</w:t>
            </w:r>
          </w:p>
        </w:tc>
        <w:tc>
          <w:tcPr>
            <w:tcW w:w="3360" w:type="pct"/>
            <w:tcBorders>
              <w:top w:val="nil"/>
              <w:left w:val="nil"/>
              <w:bottom w:val="single" w:sz="4" w:space="0" w:color="auto"/>
              <w:right w:val="single" w:sz="4" w:space="0" w:color="auto"/>
            </w:tcBorders>
            <w:shd w:val="clear" w:color="auto" w:fill="auto"/>
            <w:vAlign w:val="center"/>
            <w:hideMark/>
          </w:tcPr>
          <w:p w14:paraId="0FB7B8C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CIRKULANE - ZAVRČ</w:t>
            </w:r>
          </w:p>
        </w:tc>
      </w:tr>
      <w:tr w:rsidR="00E3750C" w:rsidRPr="00415AB3" w14:paraId="114FD64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25F610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1170</w:t>
            </w:r>
          </w:p>
        </w:tc>
        <w:tc>
          <w:tcPr>
            <w:tcW w:w="705" w:type="pct"/>
            <w:tcBorders>
              <w:top w:val="nil"/>
              <w:left w:val="nil"/>
              <w:bottom w:val="single" w:sz="4" w:space="0" w:color="auto"/>
              <w:right w:val="single" w:sz="4" w:space="0" w:color="auto"/>
            </w:tcBorders>
            <w:shd w:val="clear" w:color="auto" w:fill="auto"/>
            <w:noWrap/>
            <w:vAlign w:val="center"/>
            <w:hideMark/>
          </w:tcPr>
          <w:p w14:paraId="5019F7B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5082544000</w:t>
            </w:r>
          </w:p>
        </w:tc>
        <w:tc>
          <w:tcPr>
            <w:tcW w:w="547" w:type="pct"/>
            <w:tcBorders>
              <w:top w:val="nil"/>
              <w:left w:val="nil"/>
              <w:bottom w:val="single" w:sz="4" w:space="0" w:color="auto"/>
              <w:right w:val="single" w:sz="4" w:space="0" w:color="auto"/>
            </w:tcBorders>
            <w:shd w:val="clear" w:color="auto" w:fill="auto"/>
            <w:noWrap/>
            <w:vAlign w:val="center"/>
            <w:hideMark/>
          </w:tcPr>
          <w:p w14:paraId="0F4063A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11095822</w:t>
            </w:r>
          </w:p>
        </w:tc>
        <w:tc>
          <w:tcPr>
            <w:tcW w:w="3360" w:type="pct"/>
            <w:tcBorders>
              <w:top w:val="nil"/>
              <w:left w:val="nil"/>
              <w:bottom w:val="single" w:sz="4" w:space="0" w:color="auto"/>
              <w:right w:val="single" w:sz="4" w:space="0" w:color="auto"/>
            </w:tcBorders>
            <w:shd w:val="clear" w:color="auto" w:fill="auto"/>
            <w:vAlign w:val="center"/>
            <w:hideMark/>
          </w:tcPr>
          <w:p w14:paraId="343C889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COL</w:t>
            </w:r>
          </w:p>
        </w:tc>
      </w:tr>
      <w:tr w:rsidR="00E3750C" w:rsidRPr="00415AB3" w14:paraId="0BD860E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EDD279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1171</w:t>
            </w:r>
          </w:p>
        </w:tc>
        <w:tc>
          <w:tcPr>
            <w:tcW w:w="705" w:type="pct"/>
            <w:tcBorders>
              <w:top w:val="nil"/>
              <w:left w:val="nil"/>
              <w:bottom w:val="single" w:sz="4" w:space="0" w:color="auto"/>
              <w:right w:val="single" w:sz="4" w:space="0" w:color="auto"/>
            </w:tcBorders>
            <w:shd w:val="clear" w:color="auto" w:fill="auto"/>
            <w:noWrap/>
            <w:vAlign w:val="center"/>
            <w:hideMark/>
          </w:tcPr>
          <w:p w14:paraId="4544504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5087821000</w:t>
            </w:r>
          </w:p>
        </w:tc>
        <w:tc>
          <w:tcPr>
            <w:tcW w:w="547" w:type="pct"/>
            <w:tcBorders>
              <w:top w:val="nil"/>
              <w:left w:val="nil"/>
              <w:bottom w:val="single" w:sz="4" w:space="0" w:color="auto"/>
              <w:right w:val="single" w:sz="4" w:space="0" w:color="auto"/>
            </w:tcBorders>
            <w:shd w:val="clear" w:color="auto" w:fill="auto"/>
            <w:noWrap/>
            <w:vAlign w:val="center"/>
            <w:hideMark/>
          </w:tcPr>
          <w:p w14:paraId="68C882C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72155680</w:t>
            </w:r>
          </w:p>
        </w:tc>
        <w:tc>
          <w:tcPr>
            <w:tcW w:w="3360" w:type="pct"/>
            <w:tcBorders>
              <w:top w:val="nil"/>
              <w:left w:val="nil"/>
              <w:bottom w:val="single" w:sz="4" w:space="0" w:color="auto"/>
              <w:right w:val="single" w:sz="4" w:space="0" w:color="auto"/>
            </w:tcBorders>
            <w:shd w:val="clear" w:color="auto" w:fill="auto"/>
            <w:vAlign w:val="center"/>
            <w:hideMark/>
          </w:tcPr>
          <w:p w14:paraId="6F4D844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CVETKA GOLARJA</w:t>
            </w:r>
          </w:p>
        </w:tc>
      </w:tr>
      <w:tr w:rsidR="00E3750C" w:rsidRPr="00415AB3" w14:paraId="1537D7D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70B225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1172</w:t>
            </w:r>
          </w:p>
        </w:tc>
        <w:tc>
          <w:tcPr>
            <w:tcW w:w="705" w:type="pct"/>
            <w:tcBorders>
              <w:top w:val="nil"/>
              <w:left w:val="nil"/>
              <w:bottom w:val="single" w:sz="4" w:space="0" w:color="auto"/>
              <w:right w:val="single" w:sz="4" w:space="0" w:color="auto"/>
            </w:tcBorders>
            <w:shd w:val="clear" w:color="auto" w:fill="auto"/>
            <w:noWrap/>
            <w:vAlign w:val="center"/>
            <w:hideMark/>
          </w:tcPr>
          <w:p w14:paraId="5132217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8927375000</w:t>
            </w:r>
          </w:p>
        </w:tc>
        <w:tc>
          <w:tcPr>
            <w:tcW w:w="547" w:type="pct"/>
            <w:tcBorders>
              <w:top w:val="nil"/>
              <w:left w:val="nil"/>
              <w:bottom w:val="single" w:sz="4" w:space="0" w:color="auto"/>
              <w:right w:val="single" w:sz="4" w:space="0" w:color="auto"/>
            </w:tcBorders>
            <w:shd w:val="clear" w:color="auto" w:fill="auto"/>
            <w:noWrap/>
            <w:vAlign w:val="center"/>
            <w:hideMark/>
          </w:tcPr>
          <w:p w14:paraId="0B3A268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73053287</w:t>
            </w:r>
          </w:p>
        </w:tc>
        <w:tc>
          <w:tcPr>
            <w:tcW w:w="3360" w:type="pct"/>
            <w:tcBorders>
              <w:top w:val="nil"/>
              <w:left w:val="nil"/>
              <w:bottom w:val="single" w:sz="4" w:space="0" w:color="auto"/>
              <w:right w:val="single" w:sz="4" w:space="0" w:color="auto"/>
            </w:tcBorders>
            <w:shd w:val="clear" w:color="auto" w:fill="auto"/>
            <w:vAlign w:val="center"/>
            <w:hideMark/>
          </w:tcPr>
          <w:p w14:paraId="50E5A6A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CVETKA GOLARJA LJUTOMER</w:t>
            </w:r>
          </w:p>
        </w:tc>
      </w:tr>
      <w:tr w:rsidR="00E3750C" w:rsidRPr="00415AB3" w14:paraId="4CBC23E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A605EA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1173</w:t>
            </w:r>
          </w:p>
        </w:tc>
        <w:tc>
          <w:tcPr>
            <w:tcW w:w="705" w:type="pct"/>
            <w:tcBorders>
              <w:top w:val="nil"/>
              <w:left w:val="nil"/>
              <w:bottom w:val="single" w:sz="4" w:space="0" w:color="auto"/>
              <w:right w:val="single" w:sz="4" w:space="0" w:color="auto"/>
            </w:tcBorders>
            <w:shd w:val="clear" w:color="auto" w:fill="auto"/>
            <w:noWrap/>
            <w:vAlign w:val="center"/>
            <w:hideMark/>
          </w:tcPr>
          <w:p w14:paraId="7E1ADBD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5088992000</w:t>
            </w:r>
          </w:p>
        </w:tc>
        <w:tc>
          <w:tcPr>
            <w:tcW w:w="547" w:type="pct"/>
            <w:tcBorders>
              <w:top w:val="nil"/>
              <w:left w:val="nil"/>
              <w:bottom w:val="single" w:sz="4" w:space="0" w:color="auto"/>
              <w:right w:val="single" w:sz="4" w:space="0" w:color="auto"/>
            </w:tcBorders>
            <w:shd w:val="clear" w:color="auto" w:fill="auto"/>
            <w:noWrap/>
            <w:vAlign w:val="center"/>
            <w:hideMark/>
          </w:tcPr>
          <w:p w14:paraId="6770BE6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46864237</w:t>
            </w:r>
          </w:p>
        </w:tc>
        <w:tc>
          <w:tcPr>
            <w:tcW w:w="3360" w:type="pct"/>
            <w:tcBorders>
              <w:top w:val="nil"/>
              <w:left w:val="nil"/>
              <w:bottom w:val="single" w:sz="4" w:space="0" w:color="auto"/>
              <w:right w:val="single" w:sz="4" w:space="0" w:color="auto"/>
            </w:tcBorders>
            <w:shd w:val="clear" w:color="auto" w:fill="auto"/>
            <w:vAlign w:val="center"/>
            <w:hideMark/>
          </w:tcPr>
          <w:p w14:paraId="6B44E2C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ČEPOVAN</w:t>
            </w:r>
          </w:p>
        </w:tc>
      </w:tr>
      <w:tr w:rsidR="00E3750C" w:rsidRPr="00415AB3" w14:paraId="1B2A34C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8BA902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1174</w:t>
            </w:r>
          </w:p>
        </w:tc>
        <w:tc>
          <w:tcPr>
            <w:tcW w:w="705" w:type="pct"/>
            <w:tcBorders>
              <w:top w:val="nil"/>
              <w:left w:val="nil"/>
              <w:bottom w:val="single" w:sz="4" w:space="0" w:color="auto"/>
              <w:right w:val="single" w:sz="4" w:space="0" w:color="auto"/>
            </w:tcBorders>
            <w:shd w:val="clear" w:color="auto" w:fill="auto"/>
            <w:noWrap/>
            <w:vAlign w:val="center"/>
            <w:hideMark/>
          </w:tcPr>
          <w:p w14:paraId="5839720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5087368000</w:t>
            </w:r>
          </w:p>
        </w:tc>
        <w:tc>
          <w:tcPr>
            <w:tcW w:w="547" w:type="pct"/>
            <w:tcBorders>
              <w:top w:val="nil"/>
              <w:left w:val="nil"/>
              <w:bottom w:val="single" w:sz="4" w:space="0" w:color="auto"/>
              <w:right w:val="single" w:sz="4" w:space="0" w:color="auto"/>
            </w:tcBorders>
            <w:shd w:val="clear" w:color="auto" w:fill="auto"/>
            <w:noWrap/>
            <w:vAlign w:val="center"/>
            <w:hideMark/>
          </w:tcPr>
          <w:p w14:paraId="2ED8370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98266225</w:t>
            </w:r>
          </w:p>
        </w:tc>
        <w:tc>
          <w:tcPr>
            <w:tcW w:w="3360" w:type="pct"/>
            <w:tcBorders>
              <w:top w:val="nil"/>
              <w:left w:val="nil"/>
              <w:bottom w:val="single" w:sz="4" w:space="0" w:color="auto"/>
              <w:right w:val="single" w:sz="4" w:space="0" w:color="auto"/>
            </w:tcBorders>
            <w:shd w:val="clear" w:color="auto" w:fill="auto"/>
            <w:vAlign w:val="center"/>
            <w:hideMark/>
          </w:tcPr>
          <w:p w14:paraId="37C4FCF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ČRNA NA KOROŠKEM</w:t>
            </w:r>
          </w:p>
        </w:tc>
      </w:tr>
      <w:tr w:rsidR="00E3750C" w:rsidRPr="00415AB3" w14:paraId="3ACAB37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D3778F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1175</w:t>
            </w:r>
          </w:p>
        </w:tc>
        <w:tc>
          <w:tcPr>
            <w:tcW w:w="705" w:type="pct"/>
            <w:tcBorders>
              <w:top w:val="nil"/>
              <w:left w:val="nil"/>
              <w:bottom w:val="single" w:sz="4" w:space="0" w:color="auto"/>
              <w:right w:val="single" w:sz="4" w:space="0" w:color="auto"/>
            </w:tcBorders>
            <w:shd w:val="clear" w:color="auto" w:fill="auto"/>
            <w:noWrap/>
            <w:vAlign w:val="center"/>
            <w:hideMark/>
          </w:tcPr>
          <w:p w14:paraId="142901F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5082978000</w:t>
            </w:r>
          </w:p>
        </w:tc>
        <w:tc>
          <w:tcPr>
            <w:tcW w:w="547" w:type="pct"/>
            <w:tcBorders>
              <w:top w:val="nil"/>
              <w:left w:val="nil"/>
              <w:bottom w:val="single" w:sz="4" w:space="0" w:color="auto"/>
              <w:right w:val="single" w:sz="4" w:space="0" w:color="auto"/>
            </w:tcBorders>
            <w:shd w:val="clear" w:color="auto" w:fill="auto"/>
            <w:noWrap/>
            <w:vAlign w:val="center"/>
            <w:hideMark/>
          </w:tcPr>
          <w:p w14:paraId="043E015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55214959</w:t>
            </w:r>
          </w:p>
        </w:tc>
        <w:tc>
          <w:tcPr>
            <w:tcW w:w="3360" w:type="pct"/>
            <w:tcBorders>
              <w:top w:val="nil"/>
              <w:left w:val="nil"/>
              <w:bottom w:val="single" w:sz="4" w:space="0" w:color="auto"/>
              <w:right w:val="single" w:sz="4" w:space="0" w:color="auto"/>
            </w:tcBorders>
            <w:shd w:val="clear" w:color="auto" w:fill="auto"/>
            <w:vAlign w:val="center"/>
            <w:hideMark/>
          </w:tcPr>
          <w:p w14:paraId="59C6CD9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ČRNI VRH</w:t>
            </w:r>
          </w:p>
        </w:tc>
      </w:tr>
      <w:tr w:rsidR="00E3750C" w:rsidRPr="00415AB3" w14:paraId="247C168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D529A6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1176</w:t>
            </w:r>
          </w:p>
        </w:tc>
        <w:tc>
          <w:tcPr>
            <w:tcW w:w="705" w:type="pct"/>
            <w:tcBorders>
              <w:top w:val="nil"/>
              <w:left w:val="nil"/>
              <w:bottom w:val="single" w:sz="4" w:space="0" w:color="auto"/>
              <w:right w:val="single" w:sz="4" w:space="0" w:color="auto"/>
            </w:tcBorders>
            <w:shd w:val="clear" w:color="auto" w:fill="auto"/>
            <w:noWrap/>
            <w:vAlign w:val="center"/>
            <w:hideMark/>
          </w:tcPr>
          <w:p w14:paraId="34F9CBD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5082528000</w:t>
            </w:r>
          </w:p>
        </w:tc>
        <w:tc>
          <w:tcPr>
            <w:tcW w:w="547" w:type="pct"/>
            <w:tcBorders>
              <w:top w:val="nil"/>
              <w:left w:val="nil"/>
              <w:bottom w:val="single" w:sz="4" w:space="0" w:color="auto"/>
              <w:right w:val="single" w:sz="4" w:space="0" w:color="auto"/>
            </w:tcBorders>
            <w:shd w:val="clear" w:color="auto" w:fill="auto"/>
            <w:noWrap/>
            <w:vAlign w:val="center"/>
            <w:hideMark/>
          </w:tcPr>
          <w:p w14:paraId="6E0DC4F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42140153</w:t>
            </w:r>
          </w:p>
        </w:tc>
        <w:tc>
          <w:tcPr>
            <w:tcW w:w="3360" w:type="pct"/>
            <w:tcBorders>
              <w:top w:val="nil"/>
              <w:left w:val="nil"/>
              <w:bottom w:val="single" w:sz="4" w:space="0" w:color="auto"/>
              <w:right w:val="single" w:sz="4" w:space="0" w:color="auto"/>
            </w:tcBorders>
            <w:shd w:val="clear" w:color="auto" w:fill="auto"/>
            <w:vAlign w:val="center"/>
            <w:hideMark/>
          </w:tcPr>
          <w:p w14:paraId="2149BA4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DANILA LOKARJA AJDOVŠČINA</w:t>
            </w:r>
          </w:p>
        </w:tc>
      </w:tr>
      <w:tr w:rsidR="00E3750C" w:rsidRPr="00415AB3" w14:paraId="068D716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778FFA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1177</w:t>
            </w:r>
          </w:p>
        </w:tc>
        <w:tc>
          <w:tcPr>
            <w:tcW w:w="705" w:type="pct"/>
            <w:tcBorders>
              <w:top w:val="nil"/>
              <w:left w:val="nil"/>
              <w:bottom w:val="single" w:sz="4" w:space="0" w:color="auto"/>
              <w:right w:val="single" w:sz="4" w:space="0" w:color="auto"/>
            </w:tcBorders>
            <w:shd w:val="clear" w:color="auto" w:fill="auto"/>
            <w:noWrap/>
            <w:vAlign w:val="center"/>
            <w:hideMark/>
          </w:tcPr>
          <w:p w14:paraId="07F37B0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5086027000</w:t>
            </w:r>
          </w:p>
        </w:tc>
        <w:tc>
          <w:tcPr>
            <w:tcW w:w="547" w:type="pct"/>
            <w:tcBorders>
              <w:top w:val="nil"/>
              <w:left w:val="nil"/>
              <w:bottom w:val="single" w:sz="4" w:space="0" w:color="auto"/>
              <w:right w:val="single" w:sz="4" w:space="0" w:color="auto"/>
            </w:tcBorders>
            <w:shd w:val="clear" w:color="auto" w:fill="auto"/>
            <w:noWrap/>
            <w:vAlign w:val="center"/>
            <w:hideMark/>
          </w:tcPr>
          <w:p w14:paraId="22C2EC6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40296407</w:t>
            </w:r>
          </w:p>
        </w:tc>
        <w:tc>
          <w:tcPr>
            <w:tcW w:w="3360" w:type="pct"/>
            <w:tcBorders>
              <w:top w:val="nil"/>
              <w:left w:val="nil"/>
              <w:bottom w:val="single" w:sz="4" w:space="0" w:color="auto"/>
              <w:right w:val="single" w:sz="4" w:space="0" w:color="auto"/>
            </w:tcBorders>
            <w:shd w:val="clear" w:color="auto" w:fill="auto"/>
            <w:vAlign w:val="center"/>
            <w:hideMark/>
          </w:tcPr>
          <w:p w14:paraId="2AF4A5E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DAVORINA JENKA CERKLJE NA GORENJSKEM</w:t>
            </w:r>
          </w:p>
        </w:tc>
      </w:tr>
      <w:tr w:rsidR="00E3750C" w:rsidRPr="00415AB3" w14:paraId="430076D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B433D4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1178</w:t>
            </w:r>
          </w:p>
        </w:tc>
        <w:tc>
          <w:tcPr>
            <w:tcW w:w="705" w:type="pct"/>
            <w:tcBorders>
              <w:top w:val="nil"/>
              <w:left w:val="nil"/>
              <w:bottom w:val="single" w:sz="4" w:space="0" w:color="auto"/>
              <w:right w:val="single" w:sz="4" w:space="0" w:color="auto"/>
            </w:tcBorders>
            <w:shd w:val="clear" w:color="auto" w:fill="auto"/>
            <w:noWrap/>
            <w:vAlign w:val="center"/>
            <w:hideMark/>
          </w:tcPr>
          <w:p w14:paraId="5D92989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5083834000</w:t>
            </w:r>
          </w:p>
        </w:tc>
        <w:tc>
          <w:tcPr>
            <w:tcW w:w="547" w:type="pct"/>
            <w:tcBorders>
              <w:top w:val="nil"/>
              <w:left w:val="nil"/>
              <w:bottom w:val="single" w:sz="4" w:space="0" w:color="auto"/>
              <w:right w:val="single" w:sz="4" w:space="0" w:color="auto"/>
            </w:tcBorders>
            <w:shd w:val="clear" w:color="auto" w:fill="auto"/>
            <w:noWrap/>
            <w:vAlign w:val="center"/>
            <w:hideMark/>
          </w:tcPr>
          <w:p w14:paraId="5BF5DEB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18370071</w:t>
            </w:r>
          </w:p>
        </w:tc>
        <w:tc>
          <w:tcPr>
            <w:tcW w:w="3360" w:type="pct"/>
            <w:tcBorders>
              <w:top w:val="nil"/>
              <w:left w:val="nil"/>
              <w:bottom w:val="single" w:sz="4" w:space="0" w:color="auto"/>
              <w:right w:val="single" w:sz="4" w:space="0" w:color="auto"/>
            </w:tcBorders>
            <w:shd w:val="clear" w:color="auto" w:fill="auto"/>
            <w:vAlign w:val="center"/>
            <w:hideMark/>
          </w:tcPr>
          <w:p w14:paraId="026DA28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DEKANI</w:t>
            </w:r>
          </w:p>
        </w:tc>
      </w:tr>
      <w:tr w:rsidR="00E3750C" w:rsidRPr="00415AB3" w14:paraId="38D8925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3DC34F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1179</w:t>
            </w:r>
          </w:p>
        </w:tc>
        <w:tc>
          <w:tcPr>
            <w:tcW w:w="705" w:type="pct"/>
            <w:tcBorders>
              <w:top w:val="nil"/>
              <w:left w:val="nil"/>
              <w:bottom w:val="single" w:sz="4" w:space="0" w:color="auto"/>
              <w:right w:val="single" w:sz="4" w:space="0" w:color="auto"/>
            </w:tcBorders>
            <w:shd w:val="clear" w:color="auto" w:fill="auto"/>
            <w:noWrap/>
            <w:vAlign w:val="center"/>
            <w:hideMark/>
          </w:tcPr>
          <w:p w14:paraId="31E8687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5085772000</w:t>
            </w:r>
          </w:p>
        </w:tc>
        <w:tc>
          <w:tcPr>
            <w:tcW w:w="547" w:type="pct"/>
            <w:tcBorders>
              <w:top w:val="nil"/>
              <w:left w:val="nil"/>
              <w:bottom w:val="single" w:sz="4" w:space="0" w:color="auto"/>
              <w:right w:val="single" w:sz="4" w:space="0" w:color="auto"/>
            </w:tcBorders>
            <w:shd w:val="clear" w:color="auto" w:fill="auto"/>
            <w:noWrap/>
            <w:vAlign w:val="center"/>
            <w:hideMark/>
          </w:tcPr>
          <w:p w14:paraId="3BFD097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82684669</w:t>
            </w:r>
          </w:p>
        </w:tc>
        <w:tc>
          <w:tcPr>
            <w:tcW w:w="3360" w:type="pct"/>
            <w:tcBorders>
              <w:top w:val="nil"/>
              <w:left w:val="nil"/>
              <w:bottom w:val="single" w:sz="4" w:space="0" w:color="auto"/>
              <w:right w:val="single" w:sz="4" w:space="0" w:color="auto"/>
            </w:tcBorders>
            <w:shd w:val="clear" w:color="auto" w:fill="auto"/>
            <w:vAlign w:val="center"/>
            <w:hideMark/>
          </w:tcPr>
          <w:p w14:paraId="7561828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DESKLE</w:t>
            </w:r>
          </w:p>
        </w:tc>
      </w:tr>
      <w:tr w:rsidR="00E3750C" w:rsidRPr="00415AB3" w14:paraId="0DAB3B0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773CB3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1180</w:t>
            </w:r>
          </w:p>
        </w:tc>
        <w:tc>
          <w:tcPr>
            <w:tcW w:w="705" w:type="pct"/>
            <w:tcBorders>
              <w:top w:val="nil"/>
              <w:left w:val="nil"/>
              <w:bottom w:val="single" w:sz="4" w:space="0" w:color="auto"/>
              <w:right w:val="single" w:sz="4" w:space="0" w:color="auto"/>
            </w:tcBorders>
            <w:shd w:val="clear" w:color="auto" w:fill="auto"/>
            <w:noWrap/>
            <w:vAlign w:val="center"/>
            <w:hideMark/>
          </w:tcPr>
          <w:p w14:paraId="6048814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5084733000</w:t>
            </w:r>
          </w:p>
        </w:tc>
        <w:tc>
          <w:tcPr>
            <w:tcW w:w="547" w:type="pct"/>
            <w:tcBorders>
              <w:top w:val="nil"/>
              <w:left w:val="nil"/>
              <w:bottom w:val="single" w:sz="4" w:space="0" w:color="auto"/>
              <w:right w:val="single" w:sz="4" w:space="0" w:color="auto"/>
            </w:tcBorders>
            <w:shd w:val="clear" w:color="auto" w:fill="auto"/>
            <w:noWrap/>
            <w:vAlign w:val="center"/>
            <w:hideMark/>
          </w:tcPr>
          <w:p w14:paraId="589481B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98266144</w:t>
            </w:r>
          </w:p>
        </w:tc>
        <w:tc>
          <w:tcPr>
            <w:tcW w:w="3360" w:type="pct"/>
            <w:tcBorders>
              <w:top w:val="nil"/>
              <w:left w:val="nil"/>
              <w:bottom w:val="single" w:sz="4" w:space="0" w:color="auto"/>
              <w:right w:val="single" w:sz="4" w:space="0" w:color="auto"/>
            </w:tcBorders>
            <w:shd w:val="clear" w:color="auto" w:fill="auto"/>
            <w:vAlign w:val="center"/>
            <w:hideMark/>
          </w:tcPr>
          <w:p w14:paraId="5442470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DOB</w:t>
            </w:r>
          </w:p>
        </w:tc>
      </w:tr>
      <w:tr w:rsidR="00E3750C" w:rsidRPr="00415AB3" w14:paraId="25537E5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D031A9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1181</w:t>
            </w:r>
          </w:p>
        </w:tc>
        <w:tc>
          <w:tcPr>
            <w:tcW w:w="705" w:type="pct"/>
            <w:tcBorders>
              <w:top w:val="nil"/>
              <w:left w:val="nil"/>
              <w:bottom w:val="single" w:sz="4" w:space="0" w:color="auto"/>
              <w:right w:val="single" w:sz="4" w:space="0" w:color="auto"/>
            </w:tcBorders>
            <w:shd w:val="clear" w:color="auto" w:fill="auto"/>
            <w:noWrap/>
            <w:vAlign w:val="center"/>
            <w:hideMark/>
          </w:tcPr>
          <w:p w14:paraId="7B20A19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5582911000</w:t>
            </w:r>
          </w:p>
        </w:tc>
        <w:tc>
          <w:tcPr>
            <w:tcW w:w="547" w:type="pct"/>
            <w:tcBorders>
              <w:top w:val="nil"/>
              <w:left w:val="nil"/>
              <w:bottom w:val="single" w:sz="4" w:space="0" w:color="auto"/>
              <w:right w:val="single" w:sz="4" w:space="0" w:color="auto"/>
            </w:tcBorders>
            <w:shd w:val="clear" w:color="auto" w:fill="auto"/>
            <w:noWrap/>
            <w:vAlign w:val="center"/>
            <w:hideMark/>
          </w:tcPr>
          <w:p w14:paraId="2DE3423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84077867</w:t>
            </w:r>
          </w:p>
        </w:tc>
        <w:tc>
          <w:tcPr>
            <w:tcW w:w="3360" w:type="pct"/>
            <w:tcBorders>
              <w:top w:val="nil"/>
              <w:left w:val="nil"/>
              <w:bottom w:val="single" w:sz="4" w:space="0" w:color="auto"/>
              <w:right w:val="single" w:sz="4" w:space="0" w:color="auto"/>
            </w:tcBorders>
            <w:shd w:val="clear" w:color="auto" w:fill="auto"/>
            <w:vAlign w:val="center"/>
            <w:hideMark/>
          </w:tcPr>
          <w:p w14:paraId="027032A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DOBJE</w:t>
            </w:r>
          </w:p>
        </w:tc>
      </w:tr>
      <w:tr w:rsidR="00E3750C" w:rsidRPr="00415AB3" w14:paraId="1B5E57A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F21C0D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1182</w:t>
            </w:r>
          </w:p>
        </w:tc>
        <w:tc>
          <w:tcPr>
            <w:tcW w:w="705" w:type="pct"/>
            <w:tcBorders>
              <w:top w:val="nil"/>
              <w:left w:val="nil"/>
              <w:bottom w:val="single" w:sz="4" w:space="0" w:color="auto"/>
              <w:right w:val="single" w:sz="4" w:space="0" w:color="auto"/>
            </w:tcBorders>
            <w:shd w:val="clear" w:color="auto" w:fill="auto"/>
            <w:noWrap/>
            <w:vAlign w:val="center"/>
            <w:hideMark/>
          </w:tcPr>
          <w:p w14:paraId="1CF0F48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5085888000</w:t>
            </w:r>
          </w:p>
        </w:tc>
        <w:tc>
          <w:tcPr>
            <w:tcW w:w="547" w:type="pct"/>
            <w:tcBorders>
              <w:top w:val="nil"/>
              <w:left w:val="nil"/>
              <w:bottom w:val="single" w:sz="4" w:space="0" w:color="auto"/>
              <w:right w:val="single" w:sz="4" w:space="0" w:color="auto"/>
            </w:tcBorders>
            <w:shd w:val="clear" w:color="auto" w:fill="auto"/>
            <w:noWrap/>
            <w:vAlign w:val="center"/>
            <w:hideMark/>
          </w:tcPr>
          <w:p w14:paraId="62E14D0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89450116</w:t>
            </w:r>
          </w:p>
        </w:tc>
        <w:tc>
          <w:tcPr>
            <w:tcW w:w="3360" w:type="pct"/>
            <w:tcBorders>
              <w:top w:val="nil"/>
              <w:left w:val="nil"/>
              <w:bottom w:val="single" w:sz="4" w:space="0" w:color="auto"/>
              <w:right w:val="single" w:sz="4" w:space="0" w:color="auto"/>
            </w:tcBorders>
            <w:shd w:val="clear" w:color="auto" w:fill="auto"/>
            <w:vAlign w:val="center"/>
            <w:hideMark/>
          </w:tcPr>
          <w:p w14:paraId="785621D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DOBRAVLJE</w:t>
            </w:r>
          </w:p>
        </w:tc>
      </w:tr>
      <w:tr w:rsidR="00E3750C" w:rsidRPr="00415AB3" w14:paraId="61A6C05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D55946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1183</w:t>
            </w:r>
          </w:p>
        </w:tc>
        <w:tc>
          <w:tcPr>
            <w:tcW w:w="705" w:type="pct"/>
            <w:tcBorders>
              <w:top w:val="nil"/>
              <w:left w:val="nil"/>
              <w:bottom w:val="single" w:sz="4" w:space="0" w:color="auto"/>
              <w:right w:val="single" w:sz="4" w:space="0" w:color="auto"/>
            </w:tcBorders>
            <w:shd w:val="clear" w:color="auto" w:fill="auto"/>
            <w:noWrap/>
            <w:vAlign w:val="center"/>
            <w:hideMark/>
          </w:tcPr>
          <w:p w14:paraId="272A50F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5082668000</w:t>
            </w:r>
          </w:p>
        </w:tc>
        <w:tc>
          <w:tcPr>
            <w:tcW w:w="547" w:type="pct"/>
            <w:tcBorders>
              <w:top w:val="nil"/>
              <w:left w:val="nil"/>
              <w:bottom w:val="single" w:sz="4" w:space="0" w:color="auto"/>
              <w:right w:val="single" w:sz="4" w:space="0" w:color="auto"/>
            </w:tcBorders>
            <w:shd w:val="clear" w:color="auto" w:fill="auto"/>
            <w:noWrap/>
            <w:vAlign w:val="center"/>
            <w:hideMark/>
          </w:tcPr>
          <w:p w14:paraId="1D70D3A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15988945</w:t>
            </w:r>
          </w:p>
        </w:tc>
        <w:tc>
          <w:tcPr>
            <w:tcW w:w="3360" w:type="pct"/>
            <w:tcBorders>
              <w:top w:val="nil"/>
              <w:left w:val="nil"/>
              <w:bottom w:val="single" w:sz="4" w:space="0" w:color="auto"/>
              <w:right w:val="single" w:sz="4" w:space="0" w:color="auto"/>
            </w:tcBorders>
            <w:shd w:val="clear" w:color="auto" w:fill="auto"/>
            <w:vAlign w:val="center"/>
            <w:hideMark/>
          </w:tcPr>
          <w:p w14:paraId="0C74387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DOBRNA</w:t>
            </w:r>
          </w:p>
        </w:tc>
      </w:tr>
      <w:tr w:rsidR="00E3750C" w:rsidRPr="00415AB3" w14:paraId="555400F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52D894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1184</w:t>
            </w:r>
          </w:p>
        </w:tc>
        <w:tc>
          <w:tcPr>
            <w:tcW w:w="705" w:type="pct"/>
            <w:tcBorders>
              <w:top w:val="nil"/>
              <w:left w:val="nil"/>
              <w:bottom w:val="single" w:sz="4" w:space="0" w:color="auto"/>
              <w:right w:val="single" w:sz="4" w:space="0" w:color="auto"/>
            </w:tcBorders>
            <w:shd w:val="clear" w:color="auto" w:fill="auto"/>
            <w:noWrap/>
            <w:vAlign w:val="center"/>
            <w:hideMark/>
          </w:tcPr>
          <w:p w14:paraId="4EF8EB3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5084415000</w:t>
            </w:r>
          </w:p>
        </w:tc>
        <w:tc>
          <w:tcPr>
            <w:tcW w:w="547" w:type="pct"/>
            <w:tcBorders>
              <w:top w:val="nil"/>
              <w:left w:val="nil"/>
              <w:bottom w:val="single" w:sz="4" w:space="0" w:color="auto"/>
              <w:right w:val="single" w:sz="4" w:space="0" w:color="auto"/>
            </w:tcBorders>
            <w:shd w:val="clear" w:color="auto" w:fill="auto"/>
            <w:noWrap/>
            <w:vAlign w:val="center"/>
            <w:hideMark/>
          </w:tcPr>
          <w:p w14:paraId="3E64AF8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13274546</w:t>
            </w:r>
          </w:p>
        </w:tc>
        <w:tc>
          <w:tcPr>
            <w:tcW w:w="3360" w:type="pct"/>
            <w:tcBorders>
              <w:top w:val="nil"/>
              <w:left w:val="nil"/>
              <w:bottom w:val="single" w:sz="4" w:space="0" w:color="auto"/>
              <w:right w:val="single" w:sz="4" w:space="0" w:color="auto"/>
            </w:tcBorders>
            <w:shd w:val="clear" w:color="auto" w:fill="auto"/>
            <w:vAlign w:val="center"/>
            <w:hideMark/>
          </w:tcPr>
          <w:p w14:paraId="37AF261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DOBROVA</w:t>
            </w:r>
          </w:p>
        </w:tc>
      </w:tr>
      <w:tr w:rsidR="00E3750C" w:rsidRPr="00415AB3" w14:paraId="7933116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2B6C73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1185</w:t>
            </w:r>
          </w:p>
        </w:tc>
        <w:tc>
          <w:tcPr>
            <w:tcW w:w="705" w:type="pct"/>
            <w:tcBorders>
              <w:top w:val="nil"/>
              <w:left w:val="nil"/>
              <w:bottom w:val="single" w:sz="4" w:space="0" w:color="auto"/>
              <w:right w:val="single" w:sz="4" w:space="0" w:color="auto"/>
            </w:tcBorders>
            <w:shd w:val="clear" w:color="auto" w:fill="auto"/>
            <w:noWrap/>
            <w:vAlign w:val="center"/>
            <w:hideMark/>
          </w:tcPr>
          <w:p w14:paraId="0904A87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5086370000</w:t>
            </w:r>
          </w:p>
        </w:tc>
        <w:tc>
          <w:tcPr>
            <w:tcW w:w="547" w:type="pct"/>
            <w:tcBorders>
              <w:top w:val="nil"/>
              <w:left w:val="nil"/>
              <w:bottom w:val="single" w:sz="4" w:space="0" w:color="auto"/>
              <w:right w:val="single" w:sz="4" w:space="0" w:color="auto"/>
            </w:tcBorders>
            <w:shd w:val="clear" w:color="auto" w:fill="auto"/>
            <w:noWrap/>
            <w:vAlign w:val="center"/>
            <w:hideMark/>
          </w:tcPr>
          <w:p w14:paraId="12C0059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51655535</w:t>
            </w:r>
          </w:p>
        </w:tc>
        <w:tc>
          <w:tcPr>
            <w:tcW w:w="3360" w:type="pct"/>
            <w:tcBorders>
              <w:top w:val="nil"/>
              <w:left w:val="nil"/>
              <w:bottom w:val="single" w:sz="4" w:space="0" w:color="auto"/>
              <w:right w:val="single" w:sz="4" w:space="0" w:color="auto"/>
            </w:tcBorders>
            <w:shd w:val="clear" w:color="auto" w:fill="auto"/>
            <w:vAlign w:val="center"/>
            <w:hideMark/>
          </w:tcPr>
          <w:p w14:paraId="6BA377A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DOLENJSKE TOPLICE</w:t>
            </w:r>
          </w:p>
        </w:tc>
      </w:tr>
      <w:tr w:rsidR="00E3750C" w:rsidRPr="00415AB3" w14:paraId="4A41CED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730338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1186</w:t>
            </w:r>
          </w:p>
        </w:tc>
        <w:tc>
          <w:tcPr>
            <w:tcW w:w="705" w:type="pct"/>
            <w:tcBorders>
              <w:top w:val="nil"/>
              <w:left w:val="nil"/>
              <w:bottom w:val="single" w:sz="4" w:space="0" w:color="auto"/>
              <w:right w:val="single" w:sz="4" w:space="0" w:color="auto"/>
            </w:tcBorders>
            <w:shd w:val="clear" w:color="auto" w:fill="auto"/>
            <w:noWrap/>
            <w:vAlign w:val="center"/>
            <w:hideMark/>
          </w:tcPr>
          <w:p w14:paraId="4F358D0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5082803000</w:t>
            </w:r>
          </w:p>
        </w:tc>
        <w:tc>
          <w:tcPr>
            <w:tcW w:w="547" w:type="pct"/>
            <w:tcBorders>
              <w:top w:val="nil"/>
              <w:left w:val="nil"/>
              <w:bottom w:val="single" w:sz="4" w:space="0" w:color="auto"/>
              <w:right w:val="single" w:sz="4" w:space="0" w:color="auto"/>
            </w:tcBorders>
            <w:shd w:val="clear" w:color="auto" w:fill="auto"/>
            <w:noWrap/>
            <w:vAlign w:val="center"/>
            <w:hideMark/>
          </w:tcPr>
          <w:p w14:paraId="5470D86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94835039</w:t>
            </w:r>
          </w:p>
        </w:tc>
        <w:tc>
          <w:tcPr>
            <w:tcW w:w="3360" w:type="pct"/>
            <w:tcBorders>
              <w:top w:val="nil"/>
              <w:left w:val="nil"/>
              <w:bottom w:val="single" w:sz="4" w:space="0" w:color="auto"/>
              <w:right w:val="single" w:sz="4" w:space="0" w:color="auto"/>
            </w:tcBorders>
            <w:shd w:val="clear" w:color="auto" w:fill="auto"/>
            <w:vAlign w:val="center"/>
            <w:hideMark/>
          </w:tcPr>
          <w:p w14:paraId="0829E4F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DOMŽALE</w:t>
            </w:r>
          </w:p>
        </w:tc>
      </w:tr>
      <w:tr w:rsidR="00E3750C" w:rsidRPr="00415AB3" w14:paraId="3200C19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9A9ED2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1187</w:t>
            </w:r>
          </w:p>
        </w:tc>
        <w:tc>
          <w:tcPr>
            <w:tcW w:w="705" w:type="pct"/>
            <w:tcBorders>
              <w:top w:val="nil"/>
              <w:left w:val="nil"/>
              <w:bottom w:val="single" w:sz="4" w:space="0" w:color="auto"/>
              <w:right w:val="single" w:sz="4" w:space="0" w:color="auto"/>
            </w:tcBorders>
            <w:shd w:val="clear" w:color="auto" w:fill="auto"/>
            <w:noWrap/>
            <w:vAlign w:val="center"/>
            <w:hideMark/>
          </w:tcPr>
          <w:p w14:paraId="66FB7DC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5085802000</w:t>
            </w:r>
          </w:p>
        </w:tc>
        <w:tc>
          <w:tcPr>
            <w:tcW w:w="547" w:type="pct"/>
            <w:tcBorders>
              <w:top w:val="nil"/>
              <w:left w:val="nil"/>
              <w:bottom w:val="single" w:sz="4" w:space="0" w:color="auto"/>
              <w:right w:val="single" w:sz="4" w:space="0" w:color="auto"/>
            </w:tcBorders>
            <w:shd w:val="clear" w:color="auto" w:fill="auto"/>
            <w:noWrap/>
            <w:vAlign w:val="center"/>
            <w:hideMark/>
          </w:tcPr>
          <w:p w14:paraId="591442B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30649366</w:t>
            </w:r>
          </w:p>
        </w:tc>
        <w:tc>
          <w:tcPr>
            <w:tcW w:w="3360" w:type="pct"/>
            <w:tcBorders>
              <w:top w:val="nil"/>
              <w:left w:val="nil"/>
              <w:bottom w:val="single" w:sz="4" w:space="0" w:color="auto"/>
              <w:right w:val="single" w:sz="4" w:space="0" w:color="auto"/>
            </w:tcBorders>
            <w:shd w:val="clear" w:color="auto" w:fill="auto"/>
            <w:vAlign w:val="center"/>
            <w:hideMark/>
          </w:tcPr>
          <w:p w14:paraId="7950F62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DORNBERK</w:t>
            </w:r>
          </w:p>
        </w:tc>
      </w:tr>
      <w:tr w:rsidR="00E3750C" w:rsidRPr="00415AB3" w14:paraId="5FE07E7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20F7BF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1188</w:t>
            </w:r>
          </w:p>
        </w:tc>
        <w:tc>
          <w:tcPr>
            <w:tcW w:w="705" w:type="pct"/>
            <w:tcBorders>
              <w:top w:val="nil"/>
              <w:left w:val="nil"/>
              <w:bottom w:val="single" w:sz="4" w:space="0" w:color="auto"/>
              <w:right w:val="single" w:sz="4" w:space="0" w:color="auto"/>
            </w:tcBorders>
            <w:shd w:val="clear" w:color="auto" w:fill="auto"/>
            <w:noWrap/>
            <w:vAlign w:val="center"/>
            <w:hideMark/>
          </w:tcPr>
          <w:p w14:paraId="0713C93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5087422000</w:t>
            </w:r>
          </w:p>
        </w:tc>
        <w:tc>
          <w:tcPr>
            <w:tcW w:w="547" w:type="pct"/>
            <w:tcBorders>
              <w:top w:val="nil"/>
              <w:left w:val="nil"/>
              <w:bottom w:val="single" w:sz="4" w:space="0" w:color="auto"/>
              <w:right w:val="single" w:sz="4" w:space="0" w:color="auto"/>
            </w:tcBorders>
            <w:shd w:val="clear" w:color="auto" w:fill="auto"/>
            <w:noWrap/>
            <w:vAlign w:val="center"/>
            <w:hideMark/>
          </w:tcPr>
          <w:p w14:paraId="1D1A061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58814515</w:t>
            </w:r>
          </w:p>
        </w:tc>
        <w:tc>
          <w:tcPr>
            <w:tcW w:w="3360" w:type="pct"/>
            <w:tcBorders>
              <w:top w:val="nil"/>
              <w:left w:val="nil"/>
              <w:bottom w:val="single" w:sz="4" w:space="0" w:color="auto"/>
              <w:right w:val="single" w:sz="4" w:space="0" w:color="auto"/>
            </w:tcBorders>
            <w:shd w:val="clear" w:color="auto" w:fill="auto"/>
            <w:vAlign w:val="center"/>
            <w:hideMark/>
          </w:tcPr>
          <w:p w14:paraId="0A68570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DR. ANTONA DEBELJAKA LOŠKI POTOK</w:t>
            </w:r>
          </w:p>
        </w:tc>
      </w:tr>
      <w:tr w:rsidR="00E3750C" w:rsidRPr="00415AB3" w14:paraId="6A458EB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261696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1189</w:t>
            </w:r>
          </w:p>
        </w:tc>
        <w:tc>
          <w:tcPr>
            <w:tcW w:w="705" w:type="pct"/>
            <w:tcBorders>
              <w:top w:val="nil"/>
              <w:left w:val="nil"/>
              <w:bottom w:val="single" w:sz="4" w:space="0" w:color="auto"/>
              <w:right w:val="single" w:sz="4" w:space="0" w:color="auto"/>
            </w:tcBorders>
            <w:shd w:val="clear" w:color="auto" w:fill="auto"/>
            <w:noWrap/>
            <w:vAlign w:val="center"/>
            <w:hideMark/>
          </w:tcPr>
          <w:p w14:paraId="2E15BF7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5082897000</w:t>
            </w:r>
          </w:p>
        </w:tc>
        <w:tc>
          <w:tcPr>
            <w:tcW w:w="547" w:type="pct"/>
            <w:tcBorders>
              <w:top w:val="nil"/>
              <w:left w:val="nil"/>
              <w:bottom w:val="single" w:sz="4" w:space="0" w:color="auto"/>
              <w:right w:val="single" w:sz="4" w:space="0" w:color="auto"/>
            </w:tcBorders>
            <w:shd w:val="clear" w:color="auto" w:fill="auto"/>
            <w:noWrap/>
            <w:vAlign w:val="center"/>
            <w:hideMark/>
          </w:tcPr>
          <w:p w14:paraId="135F9F7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92256457</w:t>
            </w:r>
          </w:p>
        </w:tc>
        <w:tc>
          <w:tcPr>
            <w:tcW w:w="3360" w:type="pct"/>
            <w:tcBorders>
              <w:top w:val="nil"/>
              <w:left w:val="nil"/>
              <w:bottom w:val="single" w:sz="4" w:space="0" w:color="auto"/>
              <w:right w:val="single" w:sz="4" w:space="0" w:color="auto"/>
            </w:tcBorders>
            <w:shd w:val="clear" w:color="auto" w:fill="auto"/>
            <w:vAlign w:val="center"/>
            <w:hideMark/>
          </w:tcPr>
          <w:p w14:paraId="56753A2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DR. ANTONA TRSTENJAKA NEGOVA</w:t>
            </w:r>
          </w:p>
        </w:tc>
      </w:tr>
      <w:tr w:rsidR="00E3750C" w:rsidRPr="00415AB3" w14:paraId="7ADBD8C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97FD49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1190</w:t>
            </w:r>
          </w:p>
        </w:tc>
        <w:tc>
          <w:tcPr>
            <w:tcW w:w="705" w:type="pct"/>
            <w:tcBorders>
              <w:top w:val="nil"/>
              <w:left w:val="nil"/>
              <w:bottom w:val="single" w:sz="4" w:space="0" w:color="auto"/>
              <w:right w:val="single" w:sz="4" w:space="0" w:color="auto"/>
            </w:tcBorders>
            <w:shd w:val="clear" w:color="auto" w:fill="auto"/>
            <w:noWrap/>
            <w:vAlign w:val="center"/>
            <w:hideMark/>
          </w:tcPr>
          <w:p w14:paraId="080ACEB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5089336000</w:t>
            </w:r>
          </w:p>
        </w:tc>
        <w:tc>
          <w:tcPr>
            <w:tcW w:w="547" w:type="pct"/>
            <w:tcBorders>
              <w:top w:val="nil"/>
              <w:left w:val="nil"/>
              <w:bottom w:val="single" w:sz="4" w:space="0" w:color="auto"/>
              <w:right w:val="single" w:sz="4" w:space="0" w:color="auto"/>
            </w:tcBorders>
            <w:shd w:val="clear" w:color="auto" w:fill="auto"/>
            <w:noWrap/>
            <w:vAlign w:val="center"/>
            <w:hideMark/>
          </w:tcPr>
          <w:p w14:paraId="21A8142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96121840</w:t>
            </w:r>
          </w:p>
        </w:tc>
        <w:tc>
          <w:tcPr>
            <w:tcW w:w="3360" w:type="pct"/>
            <w:tcBorders>
              <w:top w:val="nil"/>
              <w:left w:val="nil"/>
              <w:bottom w:val="single" w:sz="4" w:space="0" w:color="auto"/>
              <w:right w:val="single" w:sz="4" w:space="0" w:color="auto"/>
            </w:tcBorders>
            <w:shd w:val="clear" w:color="auto" w:fill="auto"/>
            <w:vAlign w:val="center"/>
            <w:hideMark/>
          </w:tcPr>
          <w:p w14:paraId="4818CF7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DR. BOGOMIRJA MAGAJNE DIVAČA</w:t>
            </w:r>
          </w:p>
        </w:tc>
      </w:tr>
      <w:tr w:rsidR="00E3750C" w:rsidRPr="00415AB3" w14:paraId="443DAFA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F182E3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1191</w:t>
            </w:r>
          </w:p>
        </w:tc>
        <w:tc>
          <w:tcPr>
            <w:tcW w:w="705" w:type="pct"/>
            <w:tcBorders>
              <w:top w:val="nil"/>
              <w:left w:val="nil"/>
              <w:bottom w:val="single" w:sz="4" w:space="0" w:color="auto"/>
              <w:right w:val="single" w:sz="4" w:space="0" w:color="auto"/>
            </w:tcBorders>
            <w:shd w:val="clear" w:color="auto" w:fill="auto"/>
            <w:noWrap/>
            <w:vAlign w:val="center"/>
            <w:hideMark/>
          </w:tcPr>
          <w:p w14:paraId="3DB30CB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5087449000</w:t>
            </w:r>
          </w:p>
        </w:tc>
        <w:tc>
          <w:tcPr>
            <w:tcW w:w="547" w:type="pct"/>
            <w:tcBorders>
              <w:top w:val="nil"/>
              <w:left w:val="nil"/>
              <w:bottom w:val="single" w:sz="4" w:space="0" w:color="auto"/>
              <w:right w:val="single" w:sz="4" w:space="0" w:color="auto"/>
            </w:tcBorders>
            <w:shd w:val="clear" w:color="auto" w:fill="auto"/>
            <w:noWrap/>
            <w:vAlign w:val="center"/>
            <w:hideMark/>
          </w:tcPr>
          <w:p w14:paraId="18FB9C8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66532060</w:t>
            </w:r>
          </w:p>
        </w:tc>
        <w:tc>
          <w:tcPr>
            <w:tcW w:w="3360" w:type="pct"/>
            <w:tcBorders>
              <w:top w:val="nil"/>
              <w:left w:val="nil"/>
              <w:bottom w:val="single" w:sz="4" w:space="0" w:color="auto"/>
              <w:right w:val="single" w:sz="4" w:space="0" w:color="auto"/>
            </w:tcBorders>
            <w:shd w:val="clear" w:color="auto" w:fill="auto"/>
            <w:vAlign w:val="center"/>
            <w:hideMark/>
          </w:tcPr>
          <w:p w14:paraId="07B19F6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DR. FRANCETA PREŠERNA</w:t>
            </w:r>
          </w:p>
        </w:tc>
      </w:tr>
      <w:tr w:rsidR="00E3750C" w:rsidRPr="00415AB3" w14:paraId="44F4C90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D89579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1192</w:t>
            </w:r>
          </w:p>
        </w:tc>
        <w:tc>
          <w:tcPr>
            <w:tcW w:w="705" w:type="pct"/>
            <w:tcBorders>
              <w:top w:val="nil"/>
              <w:left w:val="nil"/>
              <w:bottom w:val="single" w:sz="4" w:space="0" w:color="auto"/>
              <w:right w:val="single" w:sz="4" w:space="0" w:color="auto"/>
            </w:tcBorders>
            <w:shd w:val="clear" w:color="auto" w:fill="auto"/>
            <w:noWrap/>
            <w:vAlign w:val="center"/>
            <w:hideMark/>
          </w:tcPr>
          <w:p w14:paraId="68F20A3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5087015000</w:t>
            </w:r>
          </w:p>
        </w:tc>
        <w:tc>
          <w:tcPr>
            <w:tcW w:w="547" w:type="pct"/>
            <w:tcBorders>
              <w:top w:val="nil"/>
              <w:left w:val="nil"/>
              <w:bottom w:val="single" w:sz="4" w:space="0" w:color="auto"/>
              <w:right w:val="single" w:sz="4" w:space="0" w:color="auto"/>
            </w:tcBorders>
            <w:shd w:val="clear" w:color="auto" w:fill="auto"/>
            <w:noWrap/>
            <w:vAlign w:val="center"/>
            <w:hideMark/>
          </w:tcPr>
          <w:p w14:paraId="287F532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31182194</w:t>
            </w:r>
          </w:p>
        </w:tc>
        <w:tc>
          <w:tcPr>
            <w:tcW w:w="3360" w:type="pct"/>
            <w:tcBorders>
              <w:top w:val="nil"/>
              <w:left w:val="nil"/>
              <w:bottom w:val="single" w:sz="4" w:space="0" w:color="auto"/>
              <w:right w:val="single" w:sz="4" w:space="0" w:color="auto"/>
            </w:tcBorders>
            <w:shd w:val="clear" w:color="auto" w:fill="auto"/>
            <w:vAlign w:val="center"/>
            <w:hideMark/>
          </w:tcPr>
          <w:p w14:paraId="37A4B65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DR. FRANJA ŽGEČA DORNAVA</w:t>
            </w:r>
          </w:p>
        </w:tc>
      </w:tr>
      <w:tr w:rsidR="00E3750C" w:rsidRPr="00415AB3" w14:paraId="283E8C1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DD1EB8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1193</w:t>
            </w:r>
          </w:p>
        </w:tc>
        <w:tc>
          <w:tcPr>
            <w:tcW w:w="705" w:type="pct"/>
            <w:tcBorders>
              <w:top w:val="nil"/>
              <w:left w:val="nil"/>
              <w:bottom w:val="single" w:sz="4" w:space="0" w:color="auto"/>
              <w:right w:val="single" w:sz="4" w:space="0" w:color="auto"/>
            </w:tcBorders>
            <w:shd w:val="clear" w:color="auto" w:fill="auto"/>
            <w:noWrap/>
            <w:vAlign w:val="center"/>
            <w:hideMark/>
          </w:tcPr>
          <w:p w14:paraId="7946C61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5087465000</w:t>
            </w:r>
          </w:p>
        </w:tc>
        <w:tc>
          <w:tcPr>
            <w:tcW w:w="547" w:type="pct"/>
            <w:tcBorders>
              <w:top w:val="nil"/>
              <w:left w:val="nil"/>
              <w:bottom w:val="single" w:sz="4" w:space="0" w:color="auto"/>
              <w:right w:val="single" w:sz="4" w:space="0" w:color="auto"/>
            </w:tcBorders>
            <w:shd w:val="clear" w:color="auto" w:fill="auto"/>
            <w:noWrap/>
            <w:vAlign w:val="center"/>
            <w:hideMark/>
          </w:tcPr>
          <w:p w14:paraId="2B2AEF1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41016017</w:t>
            </w:r>
          </w:p>
        </w:tc>
        <w:tc>
          <w:tcPr>
            <w:tcW w:w="3360" w:type="pct"/>
            <w:tcBorders>
              <w:top w:val="nil"/>
              <w:left w:val="nil"/>
              <w:bottom w:val="single" w:sz="4" w:space="0" w:color="auto"/>
              <w:right w:val="single" w:sz="4" w:space="0" w:color="auto"/>
            </w:tcBorders>
            <w:shd w:val="clear" w:color="auto" w:fill="auto"/>
            <w:vAlign w:val="center"/>
            <w:hideMark/>
          </w:tcPr>
          <w:p w14:paraId="292269B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DR. IVANA PRIJATELJA SODRAŽICA</w:t>
            </w:r>
          </w:p>
        </w:tc>
      </w:tr>
      <w:tr w:rsidR="00E3750C" w:rsidRPr="00415AB3" w14:paraId="53B4365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29021F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1194</w:t>
            </w:r>
          </w:p>
        </w:tc>
        <w:tc>
          <w:tcPr>
            <w:tcW w:w="705" w:type="pct"/>
            <w:tcBorders>
              <w:top w:val="nil"/>
              <w:left w:val="nil"/>
              <w:bottom w:val="single" w:sz="4" w:space="0" w:color="auto"/>
              <w:right w:val="single" w:sz="4" w:space="0" w:color="auto"/>
            </w:tcBorders>
            <w:shd w:val="clear" w:color="auto" w:fill="auto"/>
            <w:noWrap/>
            <w:vAlign w:val="center"/>
            <w:hideMark/>
          </w:tcPr>
          <w:p w14:paraId="6E731C7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5087309000</w:t>
            </w:r>
          </w:p>
        </w:tc>
        <w:tc>
          <w:tcPr>
            <w:tcW w:w="547" w:type="pct"/>
            <w:tcBorders>
              <w:top w:val="nil"/>
              <w:left w:val="nil"/>
              <w:bottom w:val="single" w:sz="4" w:space="0" w:color="auto"/>
              <w:right w:val="single" w:sz="4" w:space="0" w:color="auto"/>
            </w:tcBorders>
            <w:shd w:val="clear" w:color="auto" w:fill="auto"/>
            <w:noWrap/>
            <w:vAlign w:val="center"/>
            <w:hideMark/>
          </w:tcPr>
          <w:p w14:paraId="51184CD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51576597</w:t>
            </w:r>
          </w:p>
        </w:tc>
        <w:tc>
          <w:tcPr>
            <w:tcW w:w="3360" w:type="pct"/>
            <w:tcBorders>
              <w:top w:val="nil"/>
              <w:left w:val="nil"/>
              <w:bottom w:val="single" w:sz="4" w:space="0" w:color="auto"/>
              <w:right w:val="single" w:sz="4" w:space="0" w:color="auto"/>
            </w:tcBorders>
            <w:shd w:val="clear" w:color="auto" w:fill="auto"/>
            <w:vAlign w:val="center"/>
            <w:hideMark/>
          </w:tcPr>
          <w:p w14:paraId="2C47A5E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DR. JANEZA MENCINGERJA BOHINJSKA BISTRICA</w:t>
            </w:r>
          </w:p>
        </w:tc>
      </w:tr>
      <w:tr w:rsidR="00E3750C" w:rsidRPr="00415AB3" w14:paraId="7955849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395232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1195</w:t>
            </w:r>
          </w:p>
        </w:tc>
        <w:tc>
          <w:tcPr>
            <w:tcW w:w="705" w:type="pct"/>
            <w:tcBorders>
              <w:top w:val="nil"/>
              <w:left w:val="nil"/>
              <w:bottom w:val="single" w:sz="4" w:space="0" w:color="auto"/>
              <w:right w:val="single" w:sz="4" w:space="0" w:color="auto"/>
            </w:tcBorders>
            <w:shd w:val="clear" w:color="auto" w:fill="auto"/>
            <w:noWrap/>
            <w:vAlign w:val="center"/>
            <w:hideMark/>
          </w:tcPr>
          <w:p w14:paraId="4B73A6C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5087635000</w:t>
            </w:r>
          </w:p>
        </w:tc>
        <w:tc>
          <w:tcPr>
            <w:tcW w:w="547" w:type="pct"/>
            <w:tcBorders>
              <w:top w:val="nil"/>
              <w:left w:val="nil"/>
              <w:bottom w:val="single" w:sz="4" w:space="0" w:color="auto"/>
              <w:right w:val="single" w:sz="4" w:space="0" w:color="auto"/>
            </w:tcBorders>
            <w:shd w:val="clear" w:color="auto" w:fill="auto"/>
            <w:noWrap/>
            <w:vAlign w:val="center"/>
            <w:hideMark/>
          </w:tcPr>
          <w:p w14:paraId="2ED1FEE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33029512</w:t>
            </w:r>
          </w:p>
        </w:tc>
        <w:tc>
          <w:tcPr>
            <w:tcW w:w="3360" w:type="pct"/>
            <w:tcBorders>
              <w:top w:val="nil"/>
              <w:left w:val="nil"/>
              <w:bottom w:val="single" w:sz="4" w:space="0" w:color="auto"/>
              <w:right w:val="single" w:sz="4" w:space="0" w:color="auto"/>
            </w:tcBorders>
            <w:shd w:val="clear" w:color="auto" w:fill="auto"/>
            <w:vAlign w:val="center"/>
            <w:hideMark/>
          </w:tcPr>
          <w:p w14:paraId="492DB3B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DR. JOŽETA PUČNIKA ČREŠNJEVEC</w:t>
            </w:r>
          </w:p>
        </w:tc>
      </w:tr>
      <w:tr w:rsidR="00E3750C" w:rsidRPr="00415AB3" w14:paraId="4445824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0CBBB3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1196</w:t>
            </w:r>
          </w:p>
        </w:tc>
        <w:tc>
          <w:tcPr>
            <w:tcW w:w="705" w:type="pct"/>
            <w:tcBorders>
              <w:top w:val="nil"/>
              <w:left w:val="nil"/>
              <w:bottom w:val="single" w:sz="4" w:space="0" w:color="auto"/>
              <w:right w:val="single" w:sz="4" w:space="0" w:color="auto"/>
            </w:tcBorders>
            <w:shd w:val="clear" w:color="auto" w:fill="auto"/>
            <w:noWrap/>
            <w:vAlign w:val="center"/>
            <w:hideMark/>
          </w:tcPr>
          <w:p w14:paraId="02DB0A1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5082579000</w:t>
            </w:r>
          </w:p>
        </w:tc>
        <w:tc>
          <w:tcPr>
            <w:tcW w:w="547" w:type="pct"/>
            <w:tcBorders>
              <w:top w:val="nil"/>
              <w:left w:val="nil"/>
              <w:bottom w:val="single" w:sz="4" w:space="0" w:color="auto"/>
              <w:right w:val="single" w:sz="4" w:space="0" w:color="auto"/>
            </w:tcBorders>
            <w:shd w:val="clear" w:color="auto" w:fill="auto"/>
            <w:noWrap/>
            <w:vAlign w:val="center"/>
            <w:hideMark/>
          </w:tcPr>
          <w:p w14:paraId="281E387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16691059</w:t>
            </w:r>
          </w:p>
        </w:tc>
        <w:tc>
          <w:tcPr>
            <w:tcW w:w="3360" w:type="pct"/>
            <w:tcBorders>
              <w:top w:val="nil"/>
              <w:left w:val="nil"/>
              <w:bottom w:val="single" w:sz="4" w:space="0" w:color="auto"/>
              <w:right w:val="single" w:sz="4" w:space="0" w:color="auto"/>
            </w:tcBorders>
            <w:shd w:val="clear" w:color="auto" w:fill="auto"/>
            <w:vAlign w:val="center"/>
            <w:hideMark/>
          </w:tcPr>
          <w:p w14:paraId="2A6A1F7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DR. JOŽETA TOPORIŠIČA DOBOVA</w:t>
            </w:r>
          </w:p>
        </w:tc>
      </w:tr>
      <w:tr w:rsidR="00E3750C" w:rsidRPr="00415AB3" w14:paraId="1620575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9A3AF2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1197</w:t>
            </w:r>
          </w:p>
        </w:tc>
        <w:tc>
          <w:tcPr>
            <w:tcW w:w="705" w:type="pct"/>
            <w:tcBorders>
              <w:top w:val="nil"/>
              <w:left w:val="nil"/>
              <w:bottom w:val="single" w:sz="4" w:space="0" w:color="auto"/>
              <w:right w:val="single" w:sz="4" w:space="0" w:color="auto"/>
            </w:tcBorders>
            <w:shd w:val="clear" w:color="auto" w:fill="auto"/>
            <w:noWrap/>
            <w:vAlign w:val="center"/>
            <w:hideMark/>
          </w:tcPr>
          <w:p w14:paraId="5783C22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5087201000</w:t>
            </w:r>
          </w:p>
        </w:tc>
        <w:tc>
          <w:tcPr>
            <w:tcW w:w="547" w:type="pct"/>
            <w:tcBorders>
              <w:top w:val="nil"/>
              <w:left w:val="nil"/>
              <w:bottom w:val="single" w:sz="4" w:space="0" w:color="auto"/>
              <w:right w:val="single" w:sz="4" w:space="0" w:color="auto"/>
            </w:tcBorders>
            <w:shd w:val="clear" w:color="auto" w:fill="auto"/>
            <w:noWrap/>
            <w:vAlign w:val="center"/>
            <w:hideMark/>
          </w:tcPr>
          <w:p w14:paraId="74BB976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61373800</w:t>
            </w:r>
          </w:p>
        </w:tc>
        <w:tc>
          <w:tcPr>
            <w:tcW w:w="3360" w:type="pct"/>
            <w:tcBorders>
              <w:top w:val="nil"/>
              <w:left w:val="nil"/>
              <w:bottom w:val="single" w:sz="4" w:space="0" w:color="auto"/>
              <w:right w:val="single" w:sz="4" w:space="0" w:color="auto"/>
            </w:tcBorders>
            <w:shd w:val="clear" w:color="auto" w:fill="auto"/>
            <w:vAlign w:val="center"/>
            <w:hideMark/>
          </w:tcPr>
          <w:p w14:paraId="5BACFAD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DR. LJUDEVITA PIVKA</w:t>
            </w:r>
          </w:p>
        </w:tc>
      </w:tr>
      <w:tr w:rsidR="00E3750C" w:rsidRPr="00415AB3" w14:paraId="1A3779B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1C3456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1198</w:t>
            </w:r>
          </w:p>
        </w:tc>
        <w:tc>
          <w:tcPr>
            <w:tcW w:w="705" w:type="pct"/>
            <w:tcBorders>
              <w:top w:val="nil"/>
              <w:left w:val="nil"/>
              <w:bottom w:val="single" w:sz="4" w:space="0" w:color="auto"/>
              <w:right w:val="single" w:sz="4" w:space="0" w:color="auto"/>
            </w:tcBorders>
            <w:shd w:val="clear" w:color="auto" w:fill="auto"/>
            <w:noWrap/>
            <w:vAlign w:val="center"/>
            <w:hideMark/>
          </w:tcPr>
          <w:p w14:paraId="6B4B2F8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5083290000</w:t>
            </w:r>
          </w:p>
        </w:tc>
        <w:tc>
          <w:tcPr>
            <w:tcW w:w="547" w:type="pct"/>
            <w:tcBorders>
              <w:top w:val="nil"/>
              <w:left w:val="nil"/>
              <w:bottom w:val="single" w:sz="4" w:space="0" w:color="auto"/>
              <w:right w:val="single" w:sz="4" w:space="0" w:color="auto"/>
            </w:tcBorders>
            <w:shd w:val="clear" w:color="auto" w:fill="auto"/>
            <w:noWrap/>
            <w:vAlign w:val="center"/>
            <w:hideMark/>
          </w:tcPr>
          <w:p w14:paraId="3E6A37A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74268244</w:t>
            </w:r>
          </w:p>
        </w:tc>
        <w:tc>
          <w:tcPr>
            <w:tcW w:w="3360" w:type="pct"/>
            <w:tcBorders>
              <w:top w:val="nil"/>
              <w:left w:val="nil"/>
              <w:bottom w:val="single" w:sz="4" w:space="0" w:color="auto"/>
              <w:right w:val="single" w:sz="4" w:space="0" w:color="auto"/>
            </w:tcBorders>
            <w:shd w:val="clear" w:color="auto" w:fill="auto"/>
            <w:vAlign w:val="center"/>
            <w:hideMark/>
          </w:tcPr>
          <w:p w14:paraId="0BE6397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DR. MIHAJLA ROSTOHARJA KRŠKO</w:t>
            </w:r>
          </w:p>
        </w:tc>
      </w:tr>
      <w:tr w:rsidR="00E3750C" w:rsidRPr="00415AB3" w14:paraId="21CE59A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D4592D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1199</w:t>
            </w:r>
          </w:p>
        </w:tc>
        <w:tc>
          <w:tcPr>
            <w:tcW w:w="705" w:type="pct"/>
            <w:tcBorders>
              <w:top w:val="nil"/>
              <w:left w:val="nil"/>
              <w:bottom w:val="single" w:sz="4" w:space="0" w:color="auto"/>
              <w:right w:val="single" w:sz="4" w:space="0" w:color="auto"/>
            </w:tcBorders>
            <w:shd w:val="clear" w:color="auto" w:fill="auto"/>
            <w:noWrap/>
            <w:vAlign w:val="center"/>
            <w:hideMark/>
          </w:tcPr>
          <w:p w14:paraId="511EF36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5088089000</w:t>
            </w:r>
          </w:p>
        </w:tc>
        <w:tc>
          <w:tcPr>
            <w:tcW w:w="547" w:type="pct"/>
            <w:tcBorders>
              <w:top w:val="nil"/>
              <w:left w:val="nil"/>
              <w:bottom w:val="single" w:sz="4" w:space="0" w:color="auto"/>
              <w:right w:val="single" w:sz="4" w:space="0" w:color="auto"/>
            </w:tcBorders>
            <w:shd w:val="clear" w:color="auto" w:fill="auto"/>
            <w:noWrap/>
            <w:vAlign w:val="center"/>
            <w:hideMark/>
          </w:tcPr>
          <w:p w14:paraId="2B6CCA8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79666981</w:t>
            </w:r>
          </w:p>
        </w:tc>
        <w:tc>
          <w:tcPr>
            <w:tcW w:w="3360" w:type="pct"/>
            <w:tcBorders>
              <w:top w:val="nil"/>
              <w:left w:val="nil"/>
              <w:bottom w:val="single" w:sz="4" w:space="0" w:color="auto"/>
              <w:right w:val="single" w:sz="4" w:space="0" w:color="auto"/>
            </w:tcBorders>
            <w:shd w:val="clear" w:color="auto" w:fill="auto"/>
            <w:vAlign w:val="center"/>
            <w:hideMark/>
          </w:tcPr>
          <w:p w14:paraId="07A3610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DR. PAVLA LUNAČKA ŠENTRUPERT</w:t>
            </w:r>
          </w:p>
        </w:tc>
      </w:tr>
      <w:tr w:rsidR="00E3750C" w:rsidRPr="00415AB3" w14:paraId="3AFFE6F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4515AA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1200</w:t>
            </w:r>
          </w:p>
        </w:tc>
        <w:tc>
          <w:tcPr>
            <w:tcW w:w="705" w:type="pct"/>
            <w:tcBorders>
              <w:top w:val="nil"/>
              <w:left w:val="nil"/>
              <w:bottom w:val="single" w:sz="4" w:space="0" w:color="auto"/>
              <w:right w:val="single" w:sz="4" w:space="0" w:color="auto"/>
            </w:tcBorders>
            <w:shd w:val="clear" w:color="auto" w:fill="auto"/>
            <w:noWrap/>
            <w:vAlign w:val="center"/>
            <w:hideMark/>
          </w:tcPr>
          <w:p w14:paraId="400F27A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5083397000</w:t>
            </w:r>
          </w:p>
        </w:tc>
        <w:tc>
          <w:tcPr>
            <w:tcW w:w="547" w:type="pct"/>
            <w:tcBorders>
              <w:top w:val="nil"/>
              <w:left w:val="nil"/>
              <w:bottom w:val="single" w:sz="4" w:space="0" w:color="auto"/>
              <w:right w:val="single" w:sz="4" w:space="0" w:color="auto"/>
            </w:tcBorders>
            <w:shd w:val="clear" w:color="auto" w:fill="auto"/>
            <w:noWrap/>
            <w:vAlign w:val="center"/>
            <w:hideMark/>
          </w:tcPr>
          <w:p w14:paraId="20714F5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69049408</w:t>
            </w:r>
          </w:p>
        </w:tc>
        <w:tc>
          <w:tcPr>
            <w:tcW w:w="3360" w:type="pct"/>
            <w:tcBorders>
              <w:top w:val="nil"/>
              <w:left w:val="nil"/>
              <w:bottom w:val="single" w:sz="4" w:space="0" w:color="auto"/>
              <w:right w:val="single" w:sz="4" w:space="0" w:color="auto"/>
            </w:tcBorders>
            <w:shd w:val="clear" w:color="auto" w:fill="auto"/>
            <w:vAlign w:val="center"/>
            <w:hideMark/>
          </w:tcPr>
          <w:p w14:paraId="35FCB6D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DR. VITA KRAIGHERJA</w:t>
            </w:r>
          </w:p>
        </w:tc>
      </w:tr>
      <w:tr w:rsidR="00E3750C" w:rsidRPr="00415AB3" w14:paraId="532D8C7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64D8CA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1201</w:t>
            </w:r>
          </w:p>
        </w:tc>
        <w:tc>
          <w:tcPr>
            <w:tcW w:w="705" w:type="pct"/>
            <w:tcBorders>
              <w:top w:val="nil"/>
              <w:left w:val="nil"/>
              <w:bottom w:val="single" w:sz="4" w:space="0" w:color="auto"/>
              <w:right w:val="single" w:sz="4" w:space="0" w:color="auto"/>
            </w:tcBorders>
            <w:shd w:val="clear" w:color="auto" w:fill="auto"/>
            <w:noWrap/>
            <w:vAlign w:val="center"/>
            <w:hideMark/>
          </w:tcPr>
          <w:p w14:paraId="68195EC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5088321000</w:t>
            </w:r>
          </w:p>
        </w:tc>
        <w:tc>
          <w:tcPr>
            <w:tcW w:w="547" w:type="pct"/>
            <w:tcBorders>
              <w:top w:val="nil"/>
              <w:left w:val="nil"/>
              <w:bottom w:val="single" w:sz="4" w:space="0" w:color="auto"/>
              <w:right w:val="single" w:sz="4" w:space="0" w:color="auto"/>
            </w:tcBorders>
            <w:shd w:val="clear" w:color="auto" w:fill="auto"/>
            <w:noWrap/>
            <w:vAlign w:val="center"/>
            <w:hideMark/>
          </w:tcPr>
          <w:p w14:paraId="30559AB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27688836</w:t>
            </w:r>
          </w:p>
        </w:tc>
        <w:tc>
          <w:tcPr>
            <w:tcW w:w="3360" w:type="pct"/>
            <w:tcBorders>
              <w:top w:val="nil"/>
              <w:left w:val="nil"/>
              <w:bottom w:val="single" w:sz="4" w:space="0" w:color="auto"/>
              <w:right w:val="single" w:sz="4" w:space="0" w:color="auto"/>
            </w:tcBorders>
            <w:shd w:val="clear" w:color="auto" w:fill="auto"/>
            <w:vAlign w:val="center"/>
            <w:hideMark/>
          </w:tcPr>
          <w:p w14:paraId="5F1C13B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DR.IVANA KOROŠCA BOROVNICA</w:t>
            </w:r>
          </w:p>
        </w:tc>
      </w:tr>
      <w:tr w:rsidR="00E3750C" w:rsidRPr="00415AB3" w14:paraId="5688CCD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573103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1202</w:t>
            </w:r>
          </w:p>
        </w:tc>
        <w:tc>
          <w:tcPr>
            <w:tcW w:w="705" w:type="pct"/>
            <w:tcBorders>
              <w:top w:val="nil"/>
              <w:left w:val="nil"/>
              <w:bottom w:val="single" w:sz="4" w:space="0" w:color="auto"/>
              <w:right w:val="single" w:sz="4" w:space="0" w:color="auto"/>
            </w:tcBorders>
            <w:shd w:val="clear" w:color="auto" w:fill="auto"/>
            <w:noWrap/>
            <w:vAlign w:val="center"/>
            <w:hideMark/>
          </w:tcPr>
          <w:p w14:paraId="7A41FD6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5083532000</w:t>
            </w:r>
          </w:p>
        </w:tc>
        <w:tc>
          <w:tcPr>
            <w:tcW w:w="547" w:type="pct"/>
            <w:tcBorders>
              <w:top w:val="nil"/>
              <w:left w:val="nil"/>
              <w:bottom w:val="single" w:sz="4" w:space="0" w:color="auto"/>
              <w:right w:val="single" w:sz="4" w:space="0" w:color="auto"/>
            </w:tcBorders>
            <w:shd w:val="clear" w:color="auto" w:fill="auto"/>
            <w:noWrap/>
            <w:vAlign w:val="center"/>
            <w:hideMark/>
          </w:tcPr>
          <w:p w14:paraId="50A30FB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10582789</w:t>
            </w:r>
          </w:p>
        </w:tc>
        <w:tc>
          <w:tcPr>
            <w:tcW w:w="3360" w:type="pct"/>
            <w:tcBorders>
              <w:top w:val="nil"/>
              <w:left w:val="nil"/>
              <w:bottom w:val="single" w:sz="4" w:space="0" w:color="auto"/>
              <w:right w:val="single" w:sz="4" w:space="0" w:color="auto"/>
            </w:tcBorders>
            <w:shd w:val="clear" w:color="auto" w:fill="auto"/>
            <w:vAlign w:val="center"/>
            <w:hideMark/>
          </w:tcPr>
          <w:p w14:paraId="1A9EBB6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DRAGA BAJCA VIPAVA</w:t>
            </w:r>
          </w:p>
        </w:tc>
      </w:tr>
      <w:tr w:rsidR="00E3750C" w:rsidRPr="00415AB3" w14:paraId="51C4C5B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9272D3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1203</w:t>
            </w:r>
          </w:p>
        </w:tc>
        <w:tc>
          <w:tcPr>
            <w:tcW w:w="705" w:type="pct"/>
            <w:tcBorders>
              <w:top w:val="nil"/>
              <w:left w:val="nil"/>
              <w:bottom w:val="single" w:sz="4" w:space="0" w:color="auto"/>
              <w:right w:val="single" w:sz="4" w:space="0" w:color="auto"/>
            </w:tcBorders>
            <w:shd w:val="clear" w:color="auto" w:fill="auto"/>
            <w:noWrap/>
            <w:vAlign w:val="center"/>
            <w:hideMark/>
          </w:tcPr>
          <w:p w14:paraId="4EFDAFE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5085250000</w:t>
            </w:r>
          </w:p>
        </w:tc>
        <w:tc>
          <w:tcPr>
            <w:tcW w:w="547" w:type="pct"/>
            <w:tcBorders>
              <w:top w:val="nil"/>
              <w:left w:val="nil"/>
              <w:bottom w:val="single" w:sz="4" w:space="0" w:color="auto"/>
              <w:right w:val="single" w:sz="4" w:space="0" w:color="auto"/>
            </w:tcBorders>
            <w:shd w:val="clear" w:color="auto" w:fill="auto"/>
            <w:noWrap/>
            <w:vAlign w:val="center"/>
            <w:hideMark/>
          </w:tcPr>
          <w:p w14:paraId="755126F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87328704</w:t>
            </w:r>
          </w:p>
        </w:tc>
        <w:tc>
          <w:tcPr>
            <w:tcW w:w="3360" w:type="pct"/>
            <w:tcBorders>
              <w:top w:val="nil"/>
              <w:left w:val="nil"/>
              <w:bottom w:val="single" w:sz="4" w:space="0" w:color="auto"/>
              <w:right w:val="single" w:sz="4" w:space="0" w:color="auto"/>
            </w:tcBorders>
            <w:shd w:val="clear" w:color="auto" w:fill="auto"/>
            <w:vAlign w:val="center"/>
            <w:hideMark/>
          </w:tcPr>
          <w:p w14:paraId="45510F4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DRAGA KOBALA MARIBOR</w:t>
            </w:r>
          </w:p>
        </w:tc>
      </w:tr>
      <w:tr w:rsidR="00E3750C" w:rsidRPr="00415AB3" w14:paraId="74A3FCE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4E258B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1204</w:t>
            </w:r>
          </w:p>
        </w:tc>
        <w:tc>
          <w:tcPr>
            <w:tcW w:w="705" w:type="pct"/>
            <w:tcBorders>
              <w:top w:val="nil"/>
              <w:left w:val="nil"/>
              <w:bottom w:val="single" w:sz="4" w:space="0" w:color="auto"/>
              <w:right w:val="single" w:sz="4" w:space="0" w:color="auto"/>
            </w:tcBorders>
            <w:shd w:val="clear" w:color="auto" w:fill="auto"/>
            <w:noWrap/>
            <w:vAlign w:val="center"/>
            <w:hideMark/>
          </w:tcPr>
          <w:p w14:paraId="7A72771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2197197000</w:t>
            </w:r>
          </w:p>
        </w:tc>
        <w:tc>
          <w:tcPr>
            <w:tcW w:w="547" w:type="pct"/>
            <w:tcBorders>
              <w:top w:val="nil"/>
              <w:left w:val="nil"/>
              <w:bottom w:val="single" w:sz="4" w:space="0" w:color="auto"/>
              <w:right w:val="single" w:sz="4" w:space="0" w:color="auto"/>
            </w:tcBorders>
            <w:shd w:val="clear" w:color="auto" w:fill="auto"/>
            <w:noWrap/>
            <w:vAlign w:val="center"/>
            <w:hideMark/>
          </w:tcPr>
          <w:p w14:paraId="14507F6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88530264</w:t>
            </w:r>
          </w:p>
        </w:tc>
        <w:tc>
          <w:tcPr>
            <w:tcW w:w="3360" w:type="pct"/>
            <w:tcBorders>
              <w:top w:val="nil"/>
              <w:left w:val="nil"/>
              <w:bottom w:val="single" w:sz="4" w:space="0" w:color="auto"/>
              <w:right w:val="single" w:sz="4" w:space="0" w:color="auto"/>
            </w:tcBorders>
            <w:shd w:val="clear" w:color="auto" w:fill="auto"/>
            <w:vAlign w:val="center"/>
            <w:hideMark/>
          </w:tcPr>
          <w:p w14:paraId="6F358E6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DRAGOMELJ</w:t>
            </w:r>
          </w:p>
        </w:tc>
      </w:tr>
      <w:tr w:rsidR="00E3750C" w:rsidRPr="00415AB3" w14:paraId="20998FC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229DF7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1205</w:t>
            </w:r>
          </w:p>
        </w:tc>
        <w:tc>
          <w:tcPr>
            <w:tcW w:w="705" w:type="pct"/>
            <w:tcBorders>
              <w:top w:val="nil"/>
              <w:left w:val="nil"/>
              <w:bottom w:val="single" w:sz="4" w:space="0" w:color="auto"/>
              <w:right w:val="single" w:sz="4" w:space="0" w:color="auto"/>
            </w:tcBorders>
            <w:shd w:val="clear" w:color="auto" w:fill="auto"/>
            <w:noWrap/>
            <w:vAlign w:val="center"/>
            <w:hideMark/>
          </w:tcPr>
          <w:p w14:paraId="2B6FB9D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5089379000</w:t>
            </w:r>
          </w:p>
        </w:tc>
        <w:tc>
          <w:tcPr>
            <w:tcW w:w="547" w:type="pct"/>
            <w:tcBorders>
              <w:top w:val="nil"/>
              <w:left w:val="nil"/>
              <w:bottom w:val="single" w:sz="4" w:space="0" w:color="auto"/>
              <w:right w:val="single" w:sz="4" w:space="0" w:color="auto"/>
            </w:tcBorders>
            <w:shd w:val="clear" w:color="auto" w:fill="auto"/>
            <w:noWrap/>
            <w:vAlign w:val="center"/>
            <w:hideMark/>
          </w:tcPr>
          <w:p w14:paraId="783866F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80880258</w:t>
            </w:r>
          </w:p>
        </w:tc>
        <w:tc>
          <w:tcPr>
            <w:tcW w:w="3360" w:type="pct"/>
            <w:tcBorders>
              <w:top w:val="nil"/>
              <w:left w:val="nil"/>
              <w:bottom w:val="single" w:sz="4" w:space="0" w:color="auto"/>
              <w:right w:val="single" w:sz="4" w:space="0" w:color="auto"/>
            </w:tcBorders>
            <w:shd w:val="clear" w:color="auto" w:fill="auto"/>
            <w:vAlign w:val="center"/>
            <w:hideMark/>
          </w:tcPr>
          <w:p w14:paraId="26D3A62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DRAGOMIRJA BENČIČA-BRKINA HRPELJE</w:t>
            </w:r>
          </w:p>
        </w:tc>
      </w:tr>
      <w:tr w:rsidR="00E3750C" w:rsidRPr="00415AB3" w14:paraId="00E7ED0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E2D202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1206</w:t>
            </w:r>
          </w:p>
        </w:tc>
        <w:tc>
          <w:tcPr>
            <w:tcW w:w="705" w:type="pct"/>
            <w:tcBorders>
              <w:top w:val="nil"/>
              <w:left w:val="nil"/>
              <w:bottom w:val="single" w:sz="4" w:space="0" w:color="auto"/>
              <w:right w:val="single" w:sz="4" w:space="0" w:color="auto"/>
            </w:tcBorders>
            <w:shd w:val="clear" w:color="auto" w:fill="auto"/>
            <w:noWrap/>
            <w:vAlign w:val="center"/>
            <w:hideMark/>
          </w:tcPr>
          <w:p w14:paraId="6436683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5086345000</w:t>
            </w:r>
          </w:p>
        </w:tc>
        <w:tc>
          <w:tcPr>
            <w:tcW w:w="547" w:type="pct"/>
            <w:tcBorders>
              <w:top w:val="nil"/>
              <w:left w:val="nil"/>
              <w:bottom w:val="single" w:sz="4" w:space="0" w:color="auto"/>
              <w:right w:val="single" w:sz="4" w:space="0" w:color="auto"/>
            </w:tcBorders>
            <w:shd w:val="clear" w:color="auto" w:fill="auto"/>
            <w:noWrap/>
            <w:vAlign w:val="center"/>
            <w:hideMark/>
          </w:tcPr>
          <w:p w14:paraId="16497BE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30381355</w:t>
            </w:r>
          </w:p>
        </w:tc>
        <w:tc>
          <w:tcPr>
            <w:tcW w:w="3360" w:type="pct"/>
            <w:tcBorders>
              <w:top w:val="nil"/>
              <w:left w:val="nil"/>
              <w:bottom w:val="single" w:sz="4" w:space="0" w:color="auto"/>
              <w:right w:val="single" w:sz="4" w:space="0" w:color="auto"/>
            </w:tcBorders>
            <w:shd w:val="clear" w:color="auto" w:fill="auto"/>
            <w:vAlign w:val="center"/>
            <w:hideMark/>
          </w:tcPr>
          <w:p w14:paraId="1C22DF9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DRAGOTINA KETTEJA</w:t>
            </w:r>
          </w:p>
        </w:tc>
      </w:tr>
      <w:tr w:rsidR="00E3750C" w:rsidRPr="00415AB3" w14:paraId="5E9DA7B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C7C411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1207</w:t>
            </w:r>
          </w:p>
        </w:tc>
        <w:tc>
          <w:tcPr>
            <w:tcW w:w="705" w:type="pct"/>
            <w:tcBorders>
              <w:top w:val="nil"/>
              <w:left w:val="nil"/>
              <w:bottom w:val="single" w:sz="4" w:space="0" w:color="auto"/>
              <w:right w:val="single" w:sz="4" w:space="0" w:color="auto"/>
            </w:tcBorders>
            <w:shd w:val="clear" w:color="auto" w:fill="auto"/>
            <w:noWrap/>
            <w:vAlign w:val="center"/>
            <w:hideMark/>
          </w:tcPr>
          <w:p w14:paraId="25D8ECC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5624533000</w:t>
            </w:r>
          </w:p>
        </w:tc>
        <w:tc>
          <w:tcPr>
            <w:tcW w:w="547" w:type="pct"/>
            <w:tcBorders>
              <w:top w:val="nil"/>
              <w:left w:val="nil"/>
              <w:bottom w:val="single" w:sz="4" w:space="0" w:color="auto"/>
              <w:right w:val="single" w:sz="4" w:space="0" w:color="auto"/>
            </w:tcBorders>
            <w:shd w:val="clear" w:color="auto" w:fill="auto"/>
            <w:noWrap/>
            <w:vAlign w:val="center"/>
            <w:hideMark/>
          </w:tcPr>
          <w:p w14:paraId="0DFFD40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78261023</w:t>
            </w:r>
          </w:p>
        </w:tc>
        <w:tc>
          <w:tcPr>
            <w:tcW w:w="3360" w:type="pct"/>
            <w:tcBorders>
              <w:top w:val="nil"/>
              <w:left w:val="nil"/>
              <w:bottom w:val="single" w:sz="4" w:space="0" w:color="auto"/>
              <w:right w:val="single" w:sz="4" w:space="0" w:color="auto"/>
            </w:tcBorders>
            <w:shd w:val="clear" w:color="auto" w:fill="auto"/>
            <w:vAlign w:val="center"/>
            <w:hideMark/>
          </w:tcPr>
          <w:p w14:paraId="2A74D1B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DRAGOTINA KETTEJA ILIRSKA BISTRICA</w:t>
            </w:r>
          </w:p>
        </w:tc>
      </w:tr>
      <w:tr w:rsidR="00E3750C" w:rsidRPr="00415AB3" w14:paraId="770CC93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138736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1208</w:t>
            </w:r>
          </w:p>
        </w:tc>
        <w:tc>
          <w:tcPr>
            <w:tcW w:w="705" w:type="pct"/>
            <w:tcBorders>
              <w:top w:val="nil"/>
              <w:left w:val="nil"/>
              <w:bottom w:val="single" w:sz="4" w:space="0" w:color="auto"/>
              <w:right w:val="single" w:sz="4" w:space="0" w:color="auto"/>
            </w:tcBorders>
            <w:shd w:val="clear" w:color="auto" w:fill="auto"/>
            <w:noWrap/>
            <w:vAlign w:val="center"/>
            <w:hideMark/>
          </w:tcPr>
          <w:p w14:paraId="4DAFC7F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5087775000</w:t>
            </w:r>
          </w:p>
        </w:tc>
        <w:tc>
          <w:tcPr>
            <w:tcW w:w="547" w:type="pct"/>
            <w:tcBorders>
              <w:top w:val="nil"/>
              <w:left w:val="nil"/>
              <w:bottom w:val="single" w:sz="4" w:space="0" w:color="auto"/>
              <w:right w:val="single" w:sz="4" w:space="0" w:color="auto"/>
            </w:tcBorders>
            <w:shd w:val="clear" w:color="auto" w:fill="auto"/>
            <w:noWrap/>
            <w:vAlign w:val="center"/>
            <w:hideMark/>
          </w:tcPr>
          <w:p w14:paraId="6B96A27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84523603</w:t>
            </w:r>
          </w:p>
        </w:tc>
        <w:tc>
          <w:tcPr>
            <w:tcW w:w="3360" w:type="pct"/>
            <w:tcBorders>
              <w:top w:val="nil"/>
              <w:left w:val="nil"/>
              <w:bottom w:val="single" w:sz="4" w:space="0" w:color="auto"/>
              <w:right w:val="single" w:sz="4" w:space="0" w:color="auto"/>
            </w:tcBorders>
            <w:shd w:val="clear" w:color="auto" w:fill="auto"/>
            <w:vAlign w:val="center"/>
            <w:hideMark/>
          </w:tcPr>
          <w:p w14:paraId="0CE2E23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DRAMLJE</w:t>
            </w:r>
          </w:p>
        </w:tc>
      </w:tr>
      <w:tr w:rsidR="00E3750C" w:rsidRPr="00415AB3" w14:paraId="2CDED32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0904B8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1209</w:t>
            </w:r>
          </w:p>
        </w:tc>
        <w:tc>
          <w:tcPr>
            <w:tcW w:w="705" w:type="pct"/>
            <w:tcBorders>
              <w:top w:val="nil"/>
              <w:left w:val="nil"/>
              <w:bottom w:val="single" w:sz="4" w:space="0" w:color="auto"/>
              <w:right w:val="single" w:sz="4" w:space="0" w:color="auto"/>
            </w:tcBorders>
            <w:shd w:val="clear" w:color="auto" w:fill="auto"/>
            <w:noWrap/>
            <w:vAlign w:val="center"/>
            <w:hideMark/>
          </w:tcPr>
          <w:p w14:paraId="7AAD458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5204950000</w:t>
            </w:r>
          </w:p>
        </w:tc>
        <w:tc>
          <w:tcPr>
            <w:tcW w:w="547" w:type="pct"/>
            <w:tcBorders>
              <w:top w:val="nil"/>
              <w:left w:val="nil"/>
              <w:bottom w:val="single" w:sz="4" w:space="0" w:color="auto"/>
              <w:right w:val="single" w:sz="4" w:space="0" w:color="auto"/>
            </w:tcBorders>
            <w:shd w:val="clear" w:color="auto" w:fill="auto"/>
            <w:noWrap/>
            <w:vAlign w:val="center"/>
            <w:hideMark/>
          </w:tcPr>
          <w:p w14:paraId="6451A96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79401392</w:t>
            </w:r>
          </w:p>
        </w:tc>
        <w:tc>
          <w:tcPr>
            <w:tcW w:w="3360" w:type="pct"/>
            <w:tcBorders>
              <w:top w:val="nil"/>
              <w:left w:val="nil"/>
              <w:bottom w:val="single" w:sz="4" w:space="0" w:color="auto"/>
              <w:right w:val="single" w:sz="4" w:space="0" w:color="auto"/>
            </w:tcBorders>
            <w:shd w:val="clear" w:color="auto" w:fill="auto"/>
            <w:vAlign w:val="center"/>
            <w:hideMark/>
          </w:tcPr>
          <w:p w14:paraId="2BDBDDF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DRAVLJE</w:t>
            </w:r>
          </w:p>
        </w:tc>
      </w:tr>
      <w:tr w:rsidR="00E3750C" w:rsidRPr="00415AB3" w14:paraId="4CE90AC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B5830A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1210</w:t>
            </w:r>
          </w:p>
        </w:tc>
        <w:tc>
          <w:tcPr>
            <w:tcW w:w="705" w:type="pct"/>
            <w:tcBorders>
              <w:top w:val="nil"/>
              <w:left w:val="nil"/>
              <w:bottom w:val="single" w:sz="4" w:space="0" w:color="auto"/>
              <w:right w:val="single" w:sz="4" w:space="0" w:color="auto"/>
            </w:tcBorders>
            <w:shd w:val="clear" w:color="auto" w:fill="auto"/>
            <w:noWrap/>
            <w:vAlign w:val="center"/>
            <w:hideMark/>
          </w:tcPr>
          <w:p w14:paraId="014F3F3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1574710000</w:t>
            </w:r>
          </w:p>
        </w:tc>
        <w:tc>
          <w:tcPr>
            <w:tcW w:w="547" w:type="pct"/>
            <w:tcBorders>
              <w:top w:val="nil"/>
              <w:left w:val="nil"/>
              <w:bottom w:val="single" w:sz="4" w:space="0" w:color="auto"/>
              <w:right w:val="single" w:sz="4" w:space="0" w:color="auto"/>
            </w:tcBorders>
            <w:shd w:val="clear" w:color="auto" w:fill="auto"/>
            <w:noWrap/>
            <w:vAlign w:val="center"/>
            <w:hideMark/>
          </w:tcPr>
          <w:p w14:paraId="58385AC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63882612</w:t>
            </w:r>
          </w:p>
        </w:tc>
        <w:tc>
          <w:tcPr>
            <w:tcW w:w="3360" w:type="pct"/>
            <w:tcBorders>
              <w:top w:val="nil"/>
              <w:left w:val="nil"/>
              <w:bottom w:val="single" w:sz="4" w:space="0" w:color="auto"/>
              <w:right w:val="single" w:sz="4" w:space="0" w:color="auto"/>
            </w:tcBorders>
            <w:shd w:val="clear" w:color="auto" w:fill="auto"/>
            <w:vAlign w:val="center"/>
            <w:hideMark/>
          </w:tcPr>
          <w:p w14:paraId="04FF303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DRSKA</w:t>
            </w:r>
          </w:p>
        </w:tc>
      </w:tr>
      <w:tr w:rsidR="00E3750C" w:rsidRPr="00415AB3" w14:paraId="3156B79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34ECCC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1211</w:t>
            </w:r>
          </w:p>
        </w:tc>
        <w:tc>
          <w:tcPr>
            <w:tcW w:w="705" w:type="pct"/>
            <w:tcBorders>
              <w:top w:val="nil"/>
              <w:left w:val="nil"/>
              <w:bottom w:val="single" w:sz="4" w:space="0" w:color="auto"/>
              <w:right w:val="single" w:sz="4" w:space="0" w:color="auto"/>
            </w:tcBorders>
            <w:shd w:val="clear" w:color="auto" w:fill="auto"/>
            <w:noWrap/>
            <w:vAlign w:val="center"/>
            <w:hideMark/>
          </w:tcPr>
          <w:p w14:paraId="2113DF3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5085233000</w:t>
            </w:r>
          </w:p>
        </w:tc>
        <w:tc>
          <w:tcPr>
            <w:tcW w:w="547" w:type="pct"/>
            <w:tcBorders>
              <w:top w:val="nil"/>
              <w:left w:val="nil"/>
              <w:bottom w:val="single" w:sz="4" w:space="0" w:color="auto"/>
              <w:right w:val="single" w:sz="4" w:space="0" w:color="auto"/>
            </w:tcBorders>
            <w:shd w:val="clear" w:color="auto" w:fill="auto"/>
            <w:noWrap/>
            <w:vAlign w:val="center"/>
            <w:hideMark/>
          </w:tcPr>
          <w:p w14:paraId="1268104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70388717</w:t>
            </w:r>
          </w:p>
        </w:tc>
        <w:tc>
          <w:tcPr>
            <w:tcW w:w="3360" w:type="pct"/>
            <w:tcBorders>
              <w:top w:val="nil"/>
              <w:left w:val="nil"/>
              <w:bottom w:val="single" w:sz="4" w:space="0" w:color="auto"/>
              <w:right w:val="single" w:sz="4" w:space="0" w:color="auto"/>
            </w:tcBorders>
            <w:shd w:val="clear" w:color="auto" w:fill="auto"/>
            <w:vAlign w:val="center"/>
            <w:hideMark/>
          </w:tcPr>
          <w:p w14:paraId="3D45944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DUPLEK</w:t>
            </w:r>
          </w:p>
        </w:tc>
      </w:tr>
      <w:tr w:rsidR="00E3750C" w:rsidRPr="00415AB3" w14:paraId="45450EB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6CD29F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1212</w:t>
            </w:r>
          </w:p>
        </w:tc>
        <w:tc>
          <w:tcPr>
            <w:tcW w:w="705" w:type="pct"/>
            <w:tcBorders>
              <w:top w:val="nil"/>
              <w:left w:val="nil"/>
              <w:bottom w:val="single" w:sz="4" w:space="0" w:color="auto"/>
              <w:right w:val="single" w:sz="4" w:space="0" w:color="auto"/>
            </w:tcBorders>
            <w:shd w:val="clear" w:color="auto" w:fill="auto"/>
            <w:noWrap/>
            <w:vAlign w:val="center"/>
            <w:hideMark/>
          </w:tcPr>
          <w:p w14:paraId="67CFBEF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5083141000</w:t>
            </w:r>
          </w:p>
        </w:tc>
        <w:tc>
          <w:tcPr>
            <w:tcW w:w="547" w:type="pct"/>
            <w:tcBorders>
              <w:top w:val="nil"/>
              <w:left w:val="nil"/>
              <w:bottom w:val="single" w:sz="4" w:space="0" w:color="auto"/>
              <w:right w:val="single" w:sz="4" w:space="0" w:color="auto"/>
            </w:tcBorders>
            <w:shd w:val="clear" w:color="auto" w:fill="auto"/>
            <w:noWrap/>
            <w:vAlign w:val="center"/>
            <w:hideMark/>
          </w:tcPr>
          <w:p w14:paraId="27DE32E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84366451</w:t>
            </w:r>
          </w:p>
        </w:tc>
        <w:tc>
          <w:tcPr>
            <w:tcW w:w="3360" w:type="pct"/>
            <w:tcBorders>
              <w:top w:val="nil"/>
              <w:left w:val="nil"/>
              <w:bottom w:val="single" w:sz="4" w:space="0" w:color="auto"/>
              <w:right w:val="single" w:sz="4" w:space="0" w:color="auto"/>
            </w:tcBorders>
            <w:shd w:val="clear" w:color="auto" w:fill="auto"/>
            <w:vAlign w:val="center"/>
            <w:hideMark/>
          </w:tcPr>
          <w:p w14:paraId="125440C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DUŠANA BORDONA SEMEDELA</w:t>
            </w:r>
          </w:p>
        </w:tc>
      </w:tr>
      <w:tr w:rsidR="00E3750C" w:rsidRPr="00415AB3" w14:paraId="45363BF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552842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1213</w:t>
            </w:r>
          </w:p>
        </w:tc>
        <w:tc>
          <w:tcPr>
            <w:tcW w:w="705" w:type="pct"/>
            <w:tcBorders>
              <w:top w:val="nil"/>
              <w:left w:val="nil"/>
              <w:bottom w:val="single" w:sz="4" w:space="0" w:color="auto"/>
              <w:right w:val="single" w:sz="4" w:space="0" w:color="auto"/>
            </w:tcBorders>
            <w:shd w:val="clear" w:color="auto" w:fill="auto"/>
            <w:noWrap/>
            <w:vAlign w:val="center"/>
            <w:hideMark/>
          </w:tcPr>
          <w:p w14:paraId="49A5C2A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5085853000</w:t>
            </w:r>
          </w:p>
        </w:tc>
        <w:tc>
          <w:tcPr>
            <w:tcW w:w="547" w:type="pct"/>
            <w:tcBorders>
              <w:top w:val="nil"/>
              <w:left w:val="nil"/>
              <w:bottom w:val="single" w:sz="4" w:space="0" w:color="auto"/>
              <w:right w:val="single" w:sz="4" w:space="0" w:color="auto"/>
            </w:tcBorders>
            <w:shd w:val="clear" w:color="auto" w:fill="auto"/>
            <w:noWrap/>
            <w:vAlign w:val="center"/>
            <w:hideMark/>
          </w:tcPr>
          <w:p w14:paraId="7729A11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37423754</w:t>
            </w:r>
          </w:p>
        </w:tc>
        <w:tc>
          <w:tcPr>
            <w:tcW w:w="3360" w:type="pct"/>
            <w:tcBorders>
              <w:top w:val="nil"/>
              <w:left w:val="nil"/>
              <w:bottom w:val="single" w:sz="4" w:space="0" w:color="auto"/>
              <w:right w:val="single" w:sz="4" w:space="0" w:color="auto"/>
            </w:tcBorders>
            <w:shd w:val="clear" w:color="auto" w:fill="auto"/>
            <w:vAlign w:val="center"/>
            <w:hideMark/>
          </w:tcPr>
          <w:p w14:paraId="1315C51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DUŠANA FLISA HOČE</w:t>
            </w:r>
          </w:p>
        </w:tc>
      </w:tr>
      <w:tr w:rsidR="00E3750C" w:rsidRPr="00415AB3" w14:paraId="29F105B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CA6AF2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1214</w:t>
            </w:r>
          </w:p>
        </w:tc>
        <w:tc>
          <w:tcPr>
            <w:tcW w:w="705" w:type="pct"/>
            <w:tcBorders>
              <w:top w:val="nil"/>
              <w:left w:val="nil"/>
              <w:bottom w:val="single" w:sz="4" w:space="0" w:color="auto"/>
              <w:right w:val="single" w:sz="4" w:space="0" w:color="auto"/>
            </w:tcBorders>
            <w:shd w:val="clear" w:color="auto" w:fill="auto"/>
            <w:noWrap/>
            <w:vAlign w:val="center"/>
            <w:hideMark/>
          </w:tcPr>
          <w:p w14:paraId="3199FE6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5089506000</w:t>
            </w:r>
          </w:p>
        </w:tc>
        <w:tc>
          <w:tcPr>
            <w:tcW w:w="547" w:type="pct"/>
            <w:tcBorders>
              <w:top w:val="nil"/>
              <w:left w:val="nil"/>
              <w:bottom w:val="single" w:sz="4" w:space="0" w:color="auto"/>
              <w:right w:val="single" w:sz="4" w:space="0" w:color="auto"/>
            </w:tcBorders>
            <w:shd w:val="clear" w:color="auto" w:fill="auto"/>
            <w:noWrap/>
            <w:vAlign w:val="center"/>
            <w:hideMark/>
          </w:tcPr>
          <w:p w14:paraId="7BC2693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59594063</w:t>
            </w:r>
          </w:p>
        </w:tc>
        <w:tc>
          <w:tcPr>
            <w:tcW w:w="3360" w:type="pct"/>
            <w:tcBorders>
              <w:top w:val="nil"/>
              <w:left w:val="nil"/>
              <w:bottom w:val="single" w:sz="4" w:space="0" w:color="auto"/>
              <w:right w:val="single" w:sz="4" w:space="0" w:color="auto"/>
            </w:tcBorders>
            <w:shd w:val="clear" w:color="auto" w:fill="auto"/>
            <w:vAlign w:val="center"/>
            <w:hideMark/>
          </w:tcPr>
          <w:p w14:paraId="6C4B907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DUŠANA MUNIHA MOST NA SOČI</w:t>
            </w:r>
          </w:p>
        </w:tc>
      </w:tr>
      <w:tr w:rsidR="00E3750C" w:rsidRPr="00415AB3" w14:paraId="2F2D766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E74D5A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1215</w:t>
            </w:r>
          </w:p>
        </w:tc>
        <w:tc>
          <w:tcPr>
            <w:tcW w:w="705" w:type="pct"/>
            <w:tcBorders>
              <w:top w:val="nil"/>
              <w:left w:val="nil"/>
              <w:bottom w:val="single" w:sz="4" w:space="0" w:color="auto"/>
              <w:right w:val="single" w:sz="4" w:space="0" w:color="auto"/>
            </w:tcBorders>
            <w:shd w:val="clear" w:color="auto" w:fill="auto"/>
            <w:noWrap/>
            <w:vAlign w:val="center"/>
            <w:hideMark/>
          </w:tcPr>
          <w:p w14:paraId="033667C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5087546000</w:t>
            </w:r>
          </w:p>
        </w:tc>
        <w:tc>
          <w:tcPr>
            <w:tcW w:w="547" w:type="pct"/>
            <w:tcBorders>
              <w:top w:val="nil"/>
              <w:left w:val="nil"/>
              <w:bottom w:val="single" w:sz="4" w:space="0" w:color="auto"/>
              <w:right w:val="single" w:sz="4" w:space="0" w:color="auto"/>
            </w:tcBorders>
            <w:shd w:val="clear" w:color="auto" w:fill="auto"/>
            <w:noWrap/>
            <w:vAlign w:val="center"/>
            <w:hideMark/>
          </w:tcPr>
          <w:p w14:paraId="59370E0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71215719</w:t>
            </w:r>
          </w:p>
        </w:tc>
        <w:tc>
          <w:tcPr>
            <w:tcW w:w="3360" w:type="pct"/>
            <w:tcBorders>
              <w:top w:val="nil"/>
              <w:left w:val="nil"/>
              <w:bottom w:val="single" w:sz="4" w:space="0" w:color="auto"/>
              <w:right w:val="single" w:sz="4" w:space="0" w:color="auto"/>
            </w:tcBorders>
            <w:shd w:val="clear" w:color="auto" w:fill="auto"/>
            <w:vAlign w:val="center"/>
            <w:hideMark/>
          </w:tcPr>
          <w:p w14:paraId="30224E9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DUTOVLJE</w:t>
            </w:r>
          </w:p>
        </w:tc>
      </w:tr>
      <w:tr w:rsidR="00E3750C" w:rsidRPr="00415AB3" w14:paraId="71ABF38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E244A2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1216</w:t>
            </w:r>
          </w:p>
        </w:tc>
        <w:tc>
          <w:tcPr>
            <w:tcW w:w="705" w:type="pct"/>
            <w:tcBorders>
              <w:top w:val="nil"/>
              <w:left w:val="nil"/>
              <w:bottom w:val="single" w:sz="4" w:space="0" w:color="auto"/>
              <w:right w:val="single" w:sz="4" w:space="0" w:color="auto"/>
            </w:tcBorders>
            <w:shd w:val="clear" w:color="auto" w:fill="auto"/>
            <w:noWrap/>
            <w:vAlign w:val="center"/>
            <w:hideMark/>
          </w:tcPr>
          <w:p w14:paraId="513E646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5083168000</w:t>
            </w:r>
          </w:p>
        </w:tc>
        <w:tc>
          <w:tcPr>
            <w:tcW w:w="547" w:type="pct"/>
            <w:tcBorders>
              <w:top w:val="nil"/>
              <w:left w:val="nil"/>
              <w:bottom w:val="single" w:sz="4" w:space="0" w:color="auto"/>
              <w:right w:val="single" w:sz="4" w:space="0" w:color="auto"/>
            </w:tcBorders>
            <w:shd w:val="clear" w:color="auto" w:fill="auto"/>
            <w:noWrap/>
            <w:vAlign w:val="center"/>
            <w:hideMark/>
          </w:tcPr>
          <w:p w14:paraId="619DDAB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22889426</w:t>
            </w:r>
          </w:p>
        </w:tc>
        <w:tc>
          <w:tcPr>
            <w:tcW w:w="3360" w:type="pct"/>
            <w:tcBorders>
              <w:top w:val="nil"/>
              <w:left w:val="nil"/>
              <w:bottom w:val="single" w:sz="4" w:space="0" w:color="auto"/>
              <w:right w:val="single" w:sz="4" w:space="0" w:color="auto"/>
            </w:tcBorders>
            <w:shd w:val="clear" w:color="auto" w:fill="auto"/>
            <w:vAlign w:val="center"/>
            <w:hideMark/>
          </w:tcPr>
          <w:p w14:paraId="7FDD8E6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ELVIRE VATOVEC PRADE - KOPER</w:t>
            </w:r>
          </w:p>
        </w:tc>
      </w:tr>
      <w:tr w:rsidR="00E3750C" w:rsidRPr="00415AB3" w14:paraId="4EB876E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CAA8F9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1217</w:t>
            </w:r>
          </w:p>
        </w:tc>
        <w:tc>
          <w:tcPr>
            <w:tcW w:w="705" w:type="pct"/>
            <w:tcBorders>
              <w:top w:val="nil"/>
              <w:left w:val="nil"/>
              <w:bottom w:val="single" w:sz="4" w:space="0" w:color="auto"/>
              <w:right w:val="single" w:sz="4" w:space="0" w:color="auto"/>
            </w:tcBorders>
            <w:shd w:val="clear" w:color="auto" w:fill="auto"/>
            <w:noWrap/>
            <w:vAlign w:val="center"/>
            <w:hideMark/>
          </w:tcPr>
          <w:p w14:paraId="6653259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5087325000</w:t>
            </w:r>
          </w:p>
        </w:tc>
        <w:tc>
          <w:tcPr>
            <w:tcW w:w="547" w:type="pct"/>
            <w:tcBorders>
              <w:top w:val="nil"/>
              <w:left w:val="nil"/>
              <w:bottom w:val="single" w:sz="4" w:space="0" w:color="auto"/>
              <w:right w:val="single" w:sz="4" w:space="0" w:color="auto"/>
            </w:tcBorders>
            <w:shd w:val="clear" w:color="auto" w:fill="auto"/>
            <w:noWrap/>
            <w:vAlign w:val="center"/>
            <w:hideMark/>
          </w:tcPr>
          <w:p w14:paraId="1ED6D3D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61563455</w:t>
            </w:r>
          </w:p>
        </w:tc>
        <w:tc>
          <w:tcPr>
            <w:tcW w:w="3360" w:type="pct"/>
            <w:tcBorders>
              <w:top w:val="nil"/>
              <w:left w:val="nil"/>
              <w:bottom w:val="single" w:sz="4" w:space="0" w:color="auto"/>
              <w:right w:val="single" w:sz="4" w:space="0" w:color="auto"/>
            </w:tcBorders>
            <w:shd w:val="clear" w:color="auto" w:fill="auto"/>
            <w:vAlign w:val="center"/>
            <w:hideMark/>
          </w:tcPr>
          <w:p w14:paraId="32890CA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F.S. FINŽGARJA LESCE</w:t>
            </w:r>
          </w:p>
        </w:tc>
      </w:tr>
      <w:tr w:rsidR="00E3750C" w:rsidRPr="00415AB3" w14:paraId="1BEB14C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5B67A4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1218</w:t>
            </w:r>
          </w:p>
        </w:tc>
        <w:tc>
          <w:tcPr>
            <w:tcW w:w="705" w:type="pct"/>
            <w:tcBorders>
              <w:top w:val="nil"/>
              <w:left w:val="nil"/>
              <w:bottom w:val="single" w:sz="4" w:space="0" w:color="auto"/>
              <w:right w:val="single" w:sz="4" w:space="0" w:color="auto"/>
            </w:tcBorders>
            <w:shd w:val="clear" w:color="auto" w:fill="auto"/>
            <w:noWrap/>
            <w:vAlign w:val="center"/>
            <w:hideMark/>
          </w:tcPr>
          <w:p w14:paraId="147CA62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5083095000</w:t>
            </w:r>
          </w:p>
        </w:tc>
        <w:tc>
          <w:tcPr>
            <w:tcW w:w="547" w:type="pct"/>
            <w:tcBorders>
              <w:top w:val="nil"/>
              <w:left w:val="nil"/>
              <w:bottom w:val="single" w:sz="4" w:space="0" w:color="auto"/>
              <w:right w:val="single" w:sz="4" w:space="0" w:color="auto"/>
            </w:tcBorders>
            <w:shd w:val="clear" w:color="auto" w:fill="auto"/>
            <w:noWrap/>
            <w:vAlign w:val="center"/>
            <w:hideMark/>
          </w:tcPr>
          <w:p w14:paraId="0CFF8CF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56815905</w:t>
            </w:r>
          </w:p>
        </w:tc>
        <w:tc>
          <w:tcPr>
            <w:tcW w:w="3360" w:type="pct"/>
            <w:tcBorders>
              <w:top w:val="nil"/>
              <w:left w:val="nil"/>
              <w:bottom w:val="single" w:sz="4" w:space="0" w:color="auto"/>
              <w:right w:val="single" w:sz="4" w:space="0" w:color="auto"/>
            </w:tcBorders>
            <w:shd w:val="clear" w:color="auto" w:fill="auto"/>
            <w:vAlign w:val="center"/>
            <w:hideMark/>
          </w:tcPr>
          <w:p w14:paraId="42CF0B2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FARA</w:t>
            </w:r>
          </w:p>
        </w:tc>
      </w:tr>
      <w:tr w:rsidR="00E3750C" w:rsidRPr="00415AB3" w14:paraId="75095FE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489190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1219</w:t>
            </w:r>
          </w:p>
        </w:tc>
        <w:tc>
          <w:tcPr>
            <w:tcW w:w="705" w:type="pct"/>
            <w:tcBorders>
              <w:top w:val="nil"/>
              <w:left w:val="nil"/>
              <w:bottom w:val="single" w:sz="4" w:space="0" w:color="auto"/>
              <w:right w:val="single" w:sz="4" w:space="0" w:color="auto"/>
            </w:tcBorders>
            <w:shd w:val="clear" w:color="auto" w:fill="auto"/>
            <w:noWrap/>
            <w:vAlign w:val="center"/>
            <w:hideMark/>
          </w:tcPr>
          <w:p w14:paraId="3A92936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5085624000</w:t>
            </w:r>
          </w:p>
        </w:tc>
        <w:tc>
          <w:tcPr>
            <w:tcW w:w="547" w:type="pct"/>
            <w:tcBorders>
              <w:top w:val="nil"/>
              <w:left w:val="nil"/>
              <w:bottom w:val="single" w:sz="4" w:space="0" w:color="auto"/>
              <w:right w:val="single" w:sz="4" w:space="0" w:color="auto"/>
            </w:tcBorders>
            <w:shd w:val="clear" w:color="auto" w:fill="auto"/>
            <w:noWrap/>
            <w:vAlign w:val="center"/>
            <w:hideMark/>
          </w:tcPr>
          <w:p w14:paraId="242E09E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79277802</w:t>
            </w:r>
          </w:p>
        </w:tc>
        <w:tc>
          <w:tcPr>
            <w:tcW w:w="3360" w:type="pct"/>
            <w:tcBorders>
              <w:top w:val="nil"/>
              <w:left w:val="nil"/>
              <w:bottom w:val="single" w:sz="4" w:space="0" w:color="auto"/>
              <w:right w:val="single" w:sz="4" w:space="0" w:color="auto"/>
            </w:tcBorders>
            <w:shd w:val="clear" w:color="auto" w:fill="auto"/>
            <w:vAlign w:val="center"/>
            <w:hideMark/>
          </w:tcPr>
          <w:p w14:paraId="153D8AF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FOKOVCI</w:t>
            </w:r>
          </w:p>
        </w:tc>
      </w:tr>
      <w:tr w:rsidR="00E3750C" w:rsidRPr="00415AB3" w14:paraId="4B4FE0D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3B1EF6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1220</w:t>
            </w:r>
          </w:p>
        </w:tc>
        <w:tc>
          <w:tcPr>
            <w:tcW w:w="705" w:type="pct"/>
            <w:tcBorders>
              <w:top w:val="nil"/>
              <w:left w:val="nil"/>
              <w:bottom w:val="single" w:sz="4" w:space="0" w:color="auto"/>
              <w:right w:val="single" w:sz="4" w:space="0" w:color="auto"/>
            </w:tcBorders>
            <w:shd w:val="clear" w:color="auto" w:fill="auto"/>
            <w:noWrap/>
            <w:vAlign w:val="center"/>
            <w:hideMark/>
          </w:tcPr>
          <w:p w14:paraId="5C39EFE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5085241000</w:t>
            </w:r>
          </w:p>
        </w:tc>
        <w:tc>
          <w:tcPr>
            <w:tcW w:w="547" w:type="pct"/>
            <w:tcBorders>
              <w:top w:val="nil"/>
              <w:left w:val="nil"/>
              <w:bottom w:val="single" w:sz="4" w:space="0" w:color="auto"/>
              <w:right w:val="single" w:sz="4" w:space="0" w:color="auto"/>
            </w:tcBorders>
            <w:shd w:val="clear" w:color="auto" w:fill="auto"/>
            <w:noWrap/>
            <w:vAlign w:val="center"/>
            <w:hideMark/>
          </w:tcPr>
          <w:p w14:paraId="35B52E3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20947879</w:t>
            </w:r>
          </w:p>
        </w:tc>
        <w:tc>
          <w:tcPr>
            <w:tcW w:w="3360" w:type="pct"/>
            <w:tcBorders>
              <w:top w:val="nil"/>
              <w:left w:val="nil"/>
              <w:bottom w:val="single" w:sz="4" w:space="0" w:color="auto"/>
              <w:right w:val="single" w:sz="4" w:space="0" w:color="auto"/>
            </w:tcBorders>
            <w:shd w:val="clear" w:color="auto" w:fill="auto"/>
            <w:vAlign w:val="center"/>
            <w:hideMark/>
          </w:tcPr>
          <w:p w14:paraId="02BA976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FRAM</w:t>
            </w:r>
          </w:p>
        </w:tc>
      </w:tr>
      <w:tr w:rsidR="00E3750C" w:rsidRPr="00415AB3" w14:paraId="6510FFD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271E42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1221</w:t>
            </w:r>
          </w:p>
        </w:tc>
        <w:tc>
          <w:tcPr>
            <w:tcW w:w="705" w:type="pct"/>
            <w:tcBorders>
              <w:top w:val="nil"/>
              <w:left w:val="nil"/>
              <w:bottom w:val="single" w:sz="4" w:space="0" w:color="auto"/>
              <w:right w:val="single" w:sz="4" w:space="0" w:color="auto"/>
            </w:tcBorders>
            <w:shd w:val="clear" w:color="auto" w:fill="auto"/>
            <w:noWrap/>
            <w:vAlign w:val="center"/>
            <w:hideMark/>
          </w:tcPr>
          <w:p w14:paraId="7649F47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5083036000</w:t>
            </w:r>
          </w:p>
        </w:tc>
        <w:tc>
          <w:tcPr>
            <w:tcW w:w="547" w:type="pct"/>
            <w:tcBorders>
              <w:top w:val="nil"/>
              <w:left w:val="nil"/>
              <w:bottom w:val="single" w:sz="4" w:space="0" w:color="auto"/>
              <w:right w:val="single" w:sz="4" w:space="0" w:color="auto"/>
            </w:tcBorders>
            <w:shd w:val="clear" w:color="auto" w:fill="auto"/>
            <w:noWrap/>
            <w:vAlign w:val="center"/>
            <w:hideMark/>
          </w:tcPr>
          <w:p w14:paraId="0E35878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64526208</w:t>
            </w:r>
          </w:p>
        </w:tc>
        <w:tc>
          <w:tcPr>
            <w:tcW w:w="3360" w:type="pct"/>
            <w:tcBorders>
              <w:top w:val="nil"/>
              <w:left w:val="nil"/>
              <w:bottom w:val="single" w:sz="4" w:space="0" w:color="auto"/>
              <w:right w:val="single" w:sz="4" w:space="0" w:color="auto"/>
            </w:tcBorders>
            <w:shd w:val="clear" w:color="auto" w:fill="auto"/>
            <w:vAlign w:val="center"/>
            <w:hideMark/>
          </w:tcPr>
          <w:p w14:paraId="369DF6C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FRANA ALBREHTA KAMNIK</w:t>
            </w:r>
          </w:p>
        </w:tc>
      </w:tr>
      <w:tr w:rsidR="00E3750C" w:rsidRPr="00415AB3" w14:paraId="37F8602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834BDB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1222</w:t>
            </w:r>
          </w:p>
        </w:tc>
        <w:tc>
          <w:tcPr>
            <w:tcW w:w="705" w:type="pct"/>
            <w:tcBorders>
              <w:top w:val="nil"/>
              <w:left w:val="nil"/>
              <w:bottom w:val="single" w:sz="4" w:space="0" w:color="auto"/>
              <w:right w:val="single" w:sz="4" w:space="0" w:color="auto"/>
            </w:tcBorders>
            <w:shd w:val="clear" w:color="auto" w:fill="auto"/>
            <w:noWrap/>
            <w:vAlign w:val="center"/>
            <w:hideMark/>
          </w:tcPr>
          <w:p w14:paraId="7A5FF08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5221625000</w:t>
            </w:r>
          </w:p>
        </w:tc>
        <w:tc>
          <w:tcPr>
            <w:tcW w:w="547" w:type="pct"/>
            <w:tcBorders>
              <w:top w:val="nil"/>
              <w:left w:val="nil"/>
              <w:bottom w:val="single" w:sz="4" w:space="0" w:color="auto"/>
              <w:right w:val="single" w:sz="4" w:space="0" w:color="auto"/>
            </w:tcBorders>
            <w:shd w:val="clear" w:color="auto" w:fill="auto"/>
            <w:noWrap/>
            <w:vAlign w:val="center"/>
            <w:hideMark/>
          </w:tcPr>
          <w:p w14:paraId="4D9C127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50989456</w:t>
            </w:r>
          </w:p>
        </w:tc>
        <w:tc>
          <w:tcPr>
            <w:tcW w:w="3360" w:type="pct"/>
            <w:tcBorders>
              <w:top w:val="nil"/>
              <w:left w:val="nil"/>
              <w:bottom w:val="single" w:sz="4" w:space="0" w:color="auto"/>
              <w:right w:val="single" w:sz="4" w:space="0" w:color="auto"/>
            </w:tcBorders>
            <w:shd w:val="clear" w:color="auto" w:fill="auto"/>
            <w:vAlign w:val="center"/>
            <w:hideMark/>
          </w:tcPr>
          <w:p w14:paraId="777E00F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FRANA ERJAVCA NOVA GORICA</w:t>
            </w:r>
          </w:p>
        </w:tc>
      </w:tr>
      <w:tr w:rsidR="00E3750C" w:rsidRPr="00415AB3" w14:paraId="5D4A85D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E8E3A7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1223</w:t>
            </w:r>
          </w:p>
        </w:tc>
        <w:tc>
          <w:tcPr>
            <w:tcW w:w="705" w:type="pct"/>
            <w:tcBorders>
              <w:top w:val="nil"/>
              <w:left w:val="nil"/>
              <w:bottom w:val="single" w:sz="4" w:space="0" w:color="auto"/>
              <w:right w:val="single" w:sz="4" w:space="0" w:color="auto"/>
            </w:tcBorders>
            <w:shd w:val="clear" w:color="auto" w:fill="auto"/>
            <w:noWrap/>
            <w:vAlign w:val="center"/>
            <w:hideMark/>
          </w:tcPr>
          <w:p w14:paraId="416505A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5088933000</w:t>
            </w:r>
          </w:p>
        </w:tc>
        <w:tc>
          <w:tcPr>
            <w:tcW w:w="547" w:type="pct"/>
            <w:tcBorders>
              <w:top w:val="nil"/>
              <w:left w:val="nil"/>
              <w:bottom w:val="single" w:sz="4" w:space="0" w:color="auto"/>
              <w:right w:val="single" w:sz="4" w:space="0" w:color="auto"/>
            </w:tcBorders>
            <w:shd w:val="clear" w:color="auto" w:fill="auto"/>
            <w:noWrap/>
            <w:vAlign w:val="center"/>
            <w:hideMark/>
          </w:tcPr>
          <w:p w14:paraId="5B9784A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50597698</w:t>
            </w:r>
          </w:p>
        </w:tc>
        <w:tc>
          <w:tcPr>
            <w:tcW w:w="3360" w:type="pct"/>
            <w:tcBorders>
              <w:top w:val="nil"/>
              <w:left w:val="nil"/>
              <w:bottom w:val="single" w:sz="4" w:space="0" w:color="auto"/>
              <w:right w:val="single" w:sz="4" w:space="0" w:color="auto"/>
            </w:tcBorders>
            <w:shd w:val="clear" w:color="auto" w:fill="auto"/>
            <w:vAlign w:val="center"/>
            <w:hideMark/>
          </w:tcPr>
          <w:p w14:paraId="5EC8ED7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FRANA KOCBEKA GORNJI GRAD</w:t>
            </w:r>
          </w:p>
        </w:tc>
      </w:tr>
      <w:tr w:rsidR="00E3750C" w:rsidRPr="00415AB3" w14:paraId="33A15C7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EFD1E8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1224</w:t>
            </w:r>
          </w:p>
        </w:tc>
        <w:tc>
          <w:tcPr>
            <w:tcW w:w="705" w:type="pct"/>
            <w:tcBorders>
              <w:top w:val="nil"/>
              <w:left w:val="nil"/>
              <w:bottom w:val="single" w:sz="4" w:space="0" w:color="auto"/>
              <w:right w:val="single" w:sz="4" w:space="0" w:color="auto"/>
            </w:tcBorders>
            <w:shd w:val="clear" w:color="auto" w:fill="auto"/>
            <w:noWrap/>
            <w:vAlign w:val="center"/>
            <w:hideMark/>
          </w:tcPr>
          <w:p w14:paraId="1F8945A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5082641000</w:t>
            </w:r>
          </w:p>
        </w:tc>
        <w:tc>
          <w:tcPr>
            <w:tcW w:w="547" w:type="pct"/>
            <w:tcBorders>
              <w:top w:val="nil"/>
              <w:left w:val="nil"/>
              <w:bottom w:val="single" w:sz="4" w:space="0" w:color="auto"/>
              <w:right w:val="single" w:sz="4" w:space="0" w:color="auto"/>
            </w:tcBorders>
            <w:shd w:val="clear" w:color="auto" w:fill="auto"/>
            <w:noWrap/>
            <w:vAlign w:val="center"/>
            <w:hideMark/>
          </w:tcPr>
          <w:p w14:paraId="704240B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27612457</w:t>
            </w:r>
          </w:p>
        </w:tc>
        <w:tc>
          <w:tcPr>
            <w:tcW w:w="3360" w:type="pct"/>
            <w:tcBorders>
              <w:top w:val="nil"/>
              <w:left w:val="nil"/>
              <w:bottom w:val="single" w:sz="4" w:space="0" w:color="auto"/>
              <w:right w:val="single" w:sz="4" w:space="0" w:color="auto"/>
            </w:tcBorders>
            <w:shd w:val="clear" w:color="auto" w:fill="auto"/>
            <w:vAlign w:val="center"/>
            <w:hideMark/>
          </w:tcPr>
          <w:p w14:paraId="38B9313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FRANA KRANJCA</w:t>
            </w:r>
          </w:p>
        </w:tc>
      </w:tr>
      <w:tr w:rsidR="00E3750C" w:rsidRPr="00415AB3" w14:paraId="2FFF59B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064895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1225</w:t>
            </w:r>
          </w:p>
        </w:tc>
        <w:tc>
          <w:tcPr>
            <w:tcW w:w="705" w:type="pct"/>
            <w:tcBorders>
              <w:top w:val="nil"/>
              <w:left w:val="nil"/>
              <w:bottom w:val="single" w:sz="4" w:space="0" w:color="auto"/>
              <w:right w:val="single" w:sz="4" w:space="0" w:color="auto"/>
            </w:tcBorders>
            <w:shd w:val="clear" w:color="auto" w:fill="auto"/>
            <w:noWrap/>
            <w:vAlign w:val="center"/>
            <w:hideMark/>
          </w:tcPr>
          <w:p w14:paraId="3BF56EC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5086388000</w:t>
            </w:r>
          </w:p>
        </w:tc>
        <w:tc>
          <w:tcPr>
            <w:tcW w:w="547" w:type="pct"/>
            <w:tcBorders>
              <w:top w:val="nil"/>
              <w:left w:val="nil"/>
              <w:bottom w:val="single" w:sz="4" w:space="0" w:color="auto"/>
              <w:right w:val="single" w:sz="4" w:space="0" w:color="auto"/>
            </w:tcBorders>
            <w:shd w:val="clear" w:color="auto" w:fill="auto"/>
            <w:noWrap/>
            <w:vAlign w:val="center"/>
            <w:hideMark/>
          </w:tcPr>
          <w:p w14:paraId="51A692A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70483345</w:t>
            </w:r>
          </w:p>
        </w:tc>
        <w:tc>
          <w:tcPr>
            <w:tcW w:w="3360" w:type="pct"/>
            <w:tcBorders>
              <w:top w:val="nil"/>
              <w:left w:val="nil"/>
              <w:bottom w:val="single" w:sz="4" w:space="0" w:color="auto"/>
              <w:right w:val="single" w:sz="4" w:space="0" w:color="auto"/>
            </w:tcBorders>
            <w:shd w:val="clear" w:color="auto" w:fill="auto"/>
            <w:vAlign w:val="center"/>
            <w:hideMark/>
          </w:tcPr>
          <w:p w14:paraId="7E55789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FRANA METELKA ŠKOCJAN</w:t>
            </w:r>
          </w:p>
        </w:tc>
      </w:tr>
      <w:tr w:rsidR="00E3750C" w:rsidRPr="00415AB3" w14:paraId="69B2162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220E7C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1226</w:t>
            </w:r>
          </w:p>
        </w:tc>
        <w:tc>
          <w:tcPr>
            <w:tcW w:w="705" w:type="pct"/>
            <w:tcBorders>
              <w:top w:val="nil"/>
              <w:left w:val="nil"/>
              <w:bottom w:val="single" w:sz="4" w:space="0" w:color="auto"/>
              <w:right w:val="single" w:sz="4" w:space="0" w:color="auto"/>
            </w:tcBorders>
            <w:shd w:val="clear" w:color="auto" w:fill="auto"/>
            <w:noWrap/>
            <w:vAlign w:val="center"/>
            <w:hideMark/>
          </w:tcPr>
          <w:p w14:paraId="7369205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5186650000</w:t>
            </w:r>
          </w:p>
        </w:tc>
        <w:tc>
          <w:tcPr>
            <w:tcW w:w="547" w:type="pct"/>
            <w:tcBorders>
              <w:top w:val="nil"/>
              <w:left w:val="nil"/>
              <w:bottom w:val="single" w:sz="4" w:space="0" w:color="auto"/>
              <w:right w:val="single" w:sz="4" w:space="0" w:color="auto"/>
            </w:tcBorders>
            <w:shd w:val="clear" w:color="auto" w:fill="auto"/>
            <w:noWrap/>
            <w:vAlign w:val="center"/>
            <w:hideMark/>
          </w:tcPr>
          <w:p w14:paraId="2309F86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89921658</w:t>
            </w:r>
          </w:p>
        </w:tc>
        <w:tc>
          <w:tcPr>
            <w:tcW w:w="3360" w:type="pct"/>
            <w:tcBorders>
              <w:top w:val="nil"/>
              <w:left w:val="nil"/>
              <w:bottom w:val="single" w:sz="4" w:space="0" w:color="auto"/>
              <w:right w:val="single" w:sz="4" w:space="0" w:color="auto"/>
            </w:tcBorders>
            <w:shd w:val="clear" w:color="auto" w:fill="auto"/>
            <w:vAlign w:val="center"/>
            <w:hideMark/>
          </w:tcPr>
          <w:p w14:paraId="508A6E3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FRANA ROŠA</w:t>
            </w:r>
          </w:p>
        </w:tc>
      </w:tr>
      <w:tr w:rsidR="00E3750C" w:rsidRPr="00415AB3" w14:paraId="3CCC32C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009CE6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1227</w:t>
            </w:r>
          </w:p>
        </w:tc>
        <w:tc>
          <w:tcPr>
            <w:tcW w:w="705" w:type="pct"/>
            <w:tcBorders>
              <w:top w:val="nil"/>
              <w:left w:val="nil"/>
              <w:bottom w:val="single" w:sz="4" w:space="0" w:color="auto"/>
              <w:right w:val="single" w:sz="4" w:space="0" w:color="auto"/>
            </w:tcBorders>
            <w:shd w:val="clear" w:color="auto" w:fill="auto"/>
            <w:noWrap/>
            <w:vAlign w:val="center"/>
            <w:hideMark/>
          </w:tcPr>
          <w:p w14:paraId="433F601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5085306000</w:t>
            </w:r>
          </w:p>
        </w:tc>
        <w:tc>
          <w:tcPr>
            <w:tcW w:w="547" w:type="pct"/>
            <w:tcBorders>
              <w:top w:val="nil"/>
              <w:left w:val="nil"/>
              <w:bottom w:val="single" w:sz="4" w:space="0" w:color="auto"/>
              <w:right w:val="single" w:sz="4" w:space="0" w:color="auto"/>
            </w:tcBorders>
            <w:shd w:val="clear" w:color="auto" w:fill="auto"/>
            <w:noWrap/>
            <w:vAlign w:val="center"/>
            <w:hideMark/>
          </w:tcPr>
          <w:p w14:paraId="7157228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69830835</w:t>
            </w:r>
          </w:p>
        </w:tc>
        <w:tc>
          <w:tcPr>
            <w:tcW w:w="3360" w:type="pct"/>
            <w:tcBorders>
              <w:top w:val="nil"/>
              <w:left w:val="nil"/>
              <w:bottom w:val="single" w:sz="4" w:space="0" w:color="auto"/>
              <w:right w:val="single" w:sz="4" w:space="0" w:color="auto"/>
            </w:tcBorders>
            <w:shd w:val="clear" w:color="auto" w:fill="auto"/>
            <w:vAlign w:val="center"/>
            <w:hideMark/>
          </w:tcPr>
          <w:p w14:paraId="36D5A29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FRANCA LEŠNIKA-VUKA SLIVNICA PRI MARIBORU</w:t>
            </w:r>
          </w:p>
        </w:tc>
      </w:tr>
      <w:tr w:rsidR="00E3750C" w:rsidRPr="00415AB3" w14:paraId="7C7FF8A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0C5030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1228</w:t>
            </w:r>
          </w:p>
        </w:tc>
        <w:tc>
          <w:tcPr>
            <w:tcW w:w="705" w:type="pct"/>
            <w:tcBorders>
              <w:top w:val="nil"/>
              <w:left w:val="nil"/>
              <w:bottom w:val="single" w:sz="4" w:space="0" w:color="auto"/>
              <w:right w:val="single" w:sz="4" w:space="0" w:color="auto"/>
            </w:tcBorders>
            <w:shd w:val="clear" w:color="auto" w:fill="auto"/>
            <w:noWrap/>
            <w:vAlign w:val="center"/>
            <w:hideMark/>
          </w:tcPr>
          <w:p w14:paraId="21117A8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5086701000</w:t>
            </w:r>
          </w:p>
        </w:tc>
        <w:tc>
          <w:tcPr>
            <w:tcW w:w="547" w:type="pct"/>
            <w:tcBorders>
              <w:top w:val="nil"/>
              <w:left w:val="nil"/>
              <w:bottom w:val="single" w:sz="4" w:space="0" w:color="auto"/>
              <w:right w:val="single" w:sz="4" w:space="0" w:color="auto"/>
            </w:tcBorders>
            <w:shd w:val="clear" w:color="auto" w:fill="auto"/>
            <w:noWrap/>
            <w:vAlign w:val="center"/>
            <w:hideMark/>
          </w:tcPr>
          <w:p w14:paraId="36978C1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55290639</w:t>
            </w:r>
          </w:p>
        </w:tc>
        <w:tc>
          <w:tcPr>
            <w:tcW w:w="3360" w:type="pct"/>
            <w:tcBorders>
              <w:top w:val="nil"/>
              <w:left w:val="nil"/>
              <w:bottom w:val="single" w:sz="4" w:space="0" w:color="auto"/>
              <w:right w:val="single" w:sz="4" w:space="0" w:color="auto"/>
            </w:tcBorders>
            <w:shd w:val="clear" w:color="auto" w:fill="auto"/>
            <w:vAlign w:val="center"/>
            <w:hideMark/>
          </w:tcPr>
          <w:p w14:paraId="6EE5AF3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FRANCA ROZMANA - STANETA</w:t>
            </w:r>
          </w:p>
        </w:tc>
      </w:tr>
      <w:tr w:rsidR="00E3750C" w:rsidRPr="00415AB3" w14:paraId="35589BE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473A5B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1229</w:t>
            </w:r>
          </w:p>
        </w:tc>
        <w:tc>
          <w:tcPr>
            <w:tcW w:w="705" w:type="pct"/>
            <w:tcBorders>
              <w:top w:val="nil"/>
              <w:left w:val="nil"/>
              <w:bottom w:val="single" w:sz="4" w:space="0" w:color="auto"/>
              <w:right w:val="single" w:sz="4" w:space="0" w:color="auto"/>
            </w:tcBorders>
            <w:shd w:val="clear" w:color="auto" w:fill="auto"/>
            <w:noWrap/>
            <w:vAlign w:val="center"/>
            <w:hideMark/>
          </w:tcPr>
          <w:p w14:paraId="73AA39F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5085837000</w:t>
            </w:r>
          </w:p>
        </w:tc>
        <w:tc>
          <w:tcPr>
            <w:tcW w:w="547" w:type="pct"/>
            <w:tcBorders>
              <w:top w:val="nil"/>
              <w:left w:val="nil"/>
              <w:bottom w:val="single" w:sz="4" w:space="0" w:color="auto"/>
              <w:right w:val="single" w:sz="4" w:space="0" w:color="auto"/>
            </w:tcBorders>
            <w:shd w:val="clear" w:color="auto" w:fill="auto"/>
            <w:noWrap/>
            <w:vAlign w:val="center"/>
            <w:hideMark/>
          </w:tcPr>
          <w:p w14:paraId="647ED80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25901010</w:t>
            </w:r>
          </w:p>
        </w:tc>
        <w:tc>
          <w:tcPr>
            <w:tcW w:w="3360" w:type="pct"/>
            <w:tcBorders>
              <w:top w:val="nil"/>
              <w:left w:val="nil"/>
              <w:bottom w:val="single" w:sz="4" w:space="0" w:color="auto"/>
              <w:right w:val="single" w:sz="4" w:space="0" w:color="auto"/>
            </w:tcBorders>
            <w:shd w:val="clear" w:color="auto" w:fill="auto"/>
            <w:vAlign w:val="center"/>
            <w:hideMark/>
          </w:tcPr>
          <w:p w14:paraId="713264F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FRANCA ROZMANA-STANETA MARIBOR</w:t>
            </w:r>
          </w:p>
        </w:tc>
      </w:tr>
      <w:tr w:rsidR="00E3750C" w:rsidRPr="00415AB3" w14:paraId="23BE7C0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361685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1230</w:t>
            </w:r>
          </w:p>
        </w:tc>
        <w:tc>
          <w:tcPr>
            <w:tcW w:w="705" w:type="pct"/>
            <w:tcBorders>
              <w:top w:val="nil"/>
              <w:left w:val="nil"/>
              <w:bottom w:val="single" w:sz="4" w:space="0" w:color="auto"/>
              <w:right w:val="single" w:sz="4" w:space="0" w:color="auto"/>
            </w:tcBorders>
            <w:shd w:val="clear" w:color="auto" w:fill="auto"/>
            <w:noWrap/>
            <w:vAlign w:val="center"/>
            <w:hideMark/>
          </w:tcPr>
          <w:p w14:paraId="6AECF51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5083419000</w:t>
            </w:r>
          </w:p>
        </w:tc>
        <w:tc>
          <w:tcPr>
            <w:tcW w:w="547" w:type="pct"/>
            <w:tcBorders>
              <w:top w:val="nil"/>
              <w:left w:val="nil"/>
              <w:bottom w:val="single" w:sz="4" w:space="0" w:color="auto"/>
              <w:right w:val="single" w:sz="4" w:space="0" w:color="auto"/>
            </w:tcBorders>
            <w:shd w:val="clear" w:color="auto" w:fill="auto"/>
            <w:noWrap/>
            <w:vAlign w:val="center"/>
            <w:hideMark/>
          </w:tcPr>
          <w:p w14:paraId="1F83A6F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75844818</w:t>
            </w:r>
          </w:p>
        </w:tc>
        <w:tc>
          <w:tcPr>
            <w:tcW w:w="3360" w:type="pct"/>
            <w:tcBorders>
              <w:top w:val="nil"/>
              <w:left w:val="nil"/>
              <w:bottom w:val="single" w:sz="4" w:space="0" w:color="auto"/>
              <w:right w:val="single" w:sz="4" w:space="0" w:color="auto"/>
            </w:tcBorders>
            <w:shd w:val="clear" w:color="auto" w:fill="auto"/>
            <w:vAlign w:val="center"/>
            <w:hideMark/>
          </w:tcPr>
          <w:p w14:paraId="18A8EDF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FRANCETA BEVKA</w:t>
            </w:r>
          </w:p>
        </w:tc>
      </w:tr>
      <w:tr w:rsidR="00E3750C" w:rsidRPr="00415AB3" w14:paraId="4DF7EA8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DA88A6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1231</w:t>
            </w:r>
          </w:p>
        </w:tc>
        <w:tc>
          <w:tcPr>
            <w:tcW w:w="705" w:type="pct"/>
            <w:tcBorders>
              <w:top w:val="nil"/>
              <w:left w:val="nil"/>
              <w:bottom w:val="single" w:sz="4" w:space="0" w:color="auto"/>
              <w:right w:val="single" w:sz="4" w:space="0" w:color="auto"/>
            </w:tcBorders>
            <w:shd w:val="clear" w:color="auto" w:fill="auto"/>
            <w:noWrap/>
            <w:vAlign w:val="center"/>
            <w:hideMark/>
          </w:tcPr>
          <w:p w14:paraId="25D19EC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5272653000</w:t>
            </w:r>
          </w:p>
        </w:tc>
        <w:tc>
          <w:tcPr>
            <w:tcW w:w="547" w:type="pct"/>
            <w:tcBorders>
              <w:top w:val="nil"/>
              <w:left w:val="nil"/>
              <w:bottom w:val="single" w:sz="4" w:space="0" w:color="auto"/>
              <w:right w:val="single" w:sz="4" w:space="0" w:color="auto"/>
            </w:tcBorders>
            <w:shd w:val="clear" w:color="auto" w:fill="auto"/>
            <w:noWrap/>
            <w:vAlign w:val="center"/>
            <w:hideMark/>
          </w:tcPr>
          <w:p w14:paraId="75C5159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27755975</w:t>
            </w:r>
          </w:p>
        </w:tc>
        <w:tc>
          <w:tcPr>
            <w:tcW w:w="3360" w:type="pct"/>
            <w:tcBorders>
              <w:top w:val="nil"/>
              <w:left w:val="nil"/>
              <w:bottom w:val="single" w:sz="4" w:space="0" w:color="auto"/>
              <w:right w:val="single" w:sz="4" w:space="0" w:color="auto"/>
            </w:tcBorders>
            <w:shd w:val="clear" w:color="auto" w:fill="auto"/>
            <w:vAlign w:val="center"/>
            <w:hideMark/>
          </w:tcPr>
          <w:p w14:paraId="24D9AE1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FRANCETA BEVKA TOLMIN</w:t>
            </w:r>
          </w:p>
        </w:tc>
      </w:tr>
      <w:tr w:rsidR="00E3750C" w:rsidRPr="00415AB3" w14:paraId="53843AA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AED8F9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1232</w:t>
            </w:r>
          </w:p>
        </w:tc>
        <w:tc>
          <w:tcPr>
            <w:tcW w:w="705" w:type="pct"/>
            <w:tcBorders>
              <w:top w:val="nil"/>
              <w:left w:val="nil"/>
              <w:bottom w:val="single" w:sz="4" w:space="0" w:color="auto"/>
              <w:right w:val="single" w:sz="4" w:space="0" w:color="auto"/>
            </w:tcBorders>
            <w:shd w:val="clear" w:color="auto" w:fill="auto"/>
            <w:noWrap/>
            <w:vAlign w:val="center"/>
            <w:hideMark/>
          </w:tcPr>
          <w:p w14:paraId="46AA7D6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5086035000</w:t>
            </w:r>
          </w:p>
        </w:tc>
        <w:tc>
          <w:tcPr>
            <w:tcW w:w="547" w:type="pct"/>
            <w:tcBorders>
              <w:top w:val="nil"/>
              <w:left w:val="nil"/>
              <w:bottom w:val="single" w:sz="4" w:space="0" w:color="auto"/>
              <w:right w:val="single" w:sz="4" w:space="0" w:color="auto"/>
            </w:tcBorders>
            <w:shd w:val="clear" w:color="auto" w:fill="auto"/>
            <w:noWrap/>
            <w:vAlign w:val="center"/>
            <w:hideMark/>
          </w:tcPr>
          <w:p w14:paraId="159ABC2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94256454</w:t>
            </w:r>
          </w:p>
        </w:tc>
        <w:tc>
          <w:tcPr>
            <w:tcW w:w="3360" w:type="pct"/>
            <w:tcBorders>
              <w:top w:val="nil"/>
              <w:left w:val="nil"/>
              <w:bottom w:val="single" w:sz="4" w:space="0" w:color="auto"/>
              <w:right w:val="single" w:sz="4" w:space="0" w:color="auto"/>
            </w:tcBorders>
            <w:shd w:val="clear" w:color="auto" w:fill="auto"/>
            <w:vAlign w:val="center"/>
            <w:hideMark/>
          </w:tcPr>
          <w:p w14:paraId="6C31F4A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FRANCETA PREŠERNA KRANJ</w:t>
            </w:r>
          </w:p>
        </w:tc>
      </w:tr>
      <w:tr w:rsidR="00E3750C" w:rsidRPr="00415AB3" w14:paraId="662021A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2CB26A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1233</w:t>
            </w:r>
          </w:p>
        </w:tc>
        <w:tc>
          <w:tcPr>
            <w:tcW w:w="705" w:type="pct"/>
            <w:tcBorders>
              <w:top w:val="nil"/>
              <w:left w:val="nil"/>
              <w:bottom w:val="single" w:sz="4" w:space="0" w:color="auto"/>
              <w:right w:val="single" w:sz="4" w:space="0" w:color="auto"/>
            </w:tcBorders>
            <w:shd w:val="clear" w:color="auto" w:fill="auto"/>
            <w:noWrap/>
            <w:vAlign w:val="center"/>
            <w:hideMark/>
          </w:tcPr>
          <w:p w14:paraId="1696DCE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5085195000</w:t>
            </w:r>
          </w:p>
        </w:tc>
        <w:tc>
          <w:tcPr>
            <w:tcW w:w="547" w:type="pct"/>
            <w:tcBorders>
              <w:top w:val="nil"/>
              <w:left w:val="nil"/>
              <w:bottom w:val="single" w:sz="4" w:space="0" w:color="auto"/>
              <w:right w:val="single" w:sz="4" w:space="0" w:color="auto"/>
            </w:tcBorders>
            <w:shd w:val="clear" w:color="auto" w:fill="auto"/>
            <w:noWrap/>
            <w:vAlign w:val="center"/>
            <w:hideMark/>
          </w:tcPr>
          <w:p w14:paraId="34A4D2D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78028116</w:t>
            </w:r>
          </w:p>
        </w:tc>
        <w:tc>
          <w:tcPr>
            <w:tcW w:w="3360" w:type="pct"/>
            <w:tcBorders>
              <w:top w:val="nil"/>
              <w:left w:val="nil"/>
              <w:bottom w:val="single" w:sz="4" w:space="0" w:color="auto"/>
              <w:right w:val="single" w:sz="4" w:space="0" w:color="auto"/>
            </w:tcBorders>
            <w:shd w:val="clear" w:color="auto" w:fill="auto"/>
            <w:vAlign w:val="center"/>
            <w:hideMark/>
          </w:tcPr>
          <w:p w14:paraId="3239954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FRANCETA PREŠERNA MARIBOR</w:t>
            </w:r>
          </w:p>
        </w:tc>
      </w:tr>
      <w:tr w:rsidR="00E3750C" w:rsidRPr="00415AB3" w14:paraId="062442E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9B7D63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1234</w:t>
            </w:r>
          </w:p>
        </w:tc>
        <w:tc>
          <w:tcPr>
            <w:tcW w:w="705" w:type="pct"/>
            <w:tcBorders>
              <w:top w:val="nil"/>
              <w:left w:val="nil"/>
              <w:bottom w:val="single" w:sz="4" w:space="0" w:color="auto"/>
              <w:right w:val="single" w:sz="4" w:space="0" w:color="auto"/>
            </w:tcBorders>
            <w:shd w:val="clear" w:color="auto" w:fill="auto"/>
            <w:noWrap/>
            <w:vAlign w:val="center"/>
            <w:hideMark/>
          </w:tcPr>
          <w:p w14:paraId="1CA2C27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5087384000</w:t>
            </w:r>
          </w:p>
        </w:tc>
        <w:tc>
          <w:tcPr>
            <w:tcW w:w="547" w:type="pct"/>
            <w:tcBorders>
              <w:top w:val="nil"/>
              <w:left w:val="nil"/>
              <w:bottom w:val="single" w:sz="4" w:space="0" w:color="auto"/>
              <w:right w:val="single" w:sz="4" w:space="0" w:color="auto"/>
            </w:tcBorders>
            <w:shd w:val="clear" w:color="auto" w:fill="auto"/>
            <w:noWrap/>
            <w:vAlign w:val="center"/>
            <w:hideMark/>
          </w:tcPr>
          <w:p w14:paraId="2B0A52A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73077500</w:t>
            </w:r>
          </w:p>
        </w:tc>
        <w:tc>
          <w:tcPr>
            <w:tcW w:w="3360" w:type="pct"/>
            <w:tcBorders>
              <w:top w:val="nil"/>
              <w:left w:val="nil"/>
              <w:bottom w:val="single" w:sz="4" w:space="0" w:color="auto"/>
              <w:right w:val="single" w:sz="4" w:space="0" w:color="auto"/>
            </w:tcBorders>
            <w:shd w:val="clear" w:color="auto" w:fill="auto"/>
            <w:vAlign w:val="center"/>
            <w:hideMark/>
          </w:tcPr>
          <w:p w14:paraId="46109B5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FRANJA GOLOBA PREVALJE</w:t>
            </w:r>
          </w:p>
        </w:tc>
      </w:tr>
      <w:tr w:rsidR="00E3750C" w:rsidRPr="00415AB3" w14:paraId="1547F6F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82874A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1235</w:t>
            </w:r>
          </w:p>
        </w:tc>
        <w:tc>
          <w:tcPr>
            <w:tcW w:w="705" w:type="pct"/>
            <w:tcBorders>
              <w:top w:val="nil"/>
              <w:left w:val="nil"/>
              <w:bottom w:val="single" w:sz="4" w:space="0" w:color="auto"/>
              <w:right w:val="single" w:sz="4" w:space="0" w:color="auto"/>
            </w:tcBorders>
            <w:shd w:val="clear" w:color="auto" w:fill="auto"/>
            <w:noWrap/>
            <w:vAlign w:val="center"/>
            <w:hideMark/>
          </w:tcPr>
          <w:p w14:paraId="030F525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5087805000</w:t>
            </w:r>
          </w:p>
        </w:tc>
        <w:tc>
          <w:tcPr>
            <w:tcW w:w="547" w:type="pct"/>
            <w:tcBorders>
              <w:top w:val="nil"/>
              <w:left w:val="nil"/>
              <w:bottom w:val="single" w:sz="4" w:space="0" w:color="auto"/>
              <w:right w:val="single" w:sz="4" w:space="0" w:color="auto"/>
            </w:tcBorders>
            <w:shd w:val="clear" w:color="auto" w:fill="auto"/>
            <w:noWrap/>
            <w:vAlign w:val="center"/>
            <w:hideMark/>
          </w:tcPr>
          <w:p w14:paraId="7DD6346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48313033</w:t>
            </w:r>
          </w:p>
        </w:tc>
        <w:tc>
          <w:tcPr>
            <w:tcW w:w="3360" w:type="pct"/>
            <w:tcBorders>
              <w:top w:val="nil"/>
              <w:left w:val="nil"/>
              <w:bottom w:val="single" w:sz="4" w:space="0" w:color="auto"/>
              <w:right w:val="single" w:sz="4" w:space="0" w:color="auto"/>
            </w:tcBorders>
            <w:shd w:val="clear" w:color="auto" w:fill="auto"/>
            <w:vAlign w:val="center"/>
            <w:hideMark/>
          </w:tcPr>
          <w:p w14:paraId="1DA670F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FRANJA MALGAJA ŠENTJUR</w:t>
            </w:r>
          </w:p>
        </w:tc>
      </w:tr>
      <w:tr w:rsidR="00E3750C" w:rsidRPr="00415AB3" w14:paraId="31D0EB3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4DA2FA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1236</w:t>
            </w:r>
          </w:p>
        </w:tc>
        <w:tc>
          <w:tcPr>
            <w:tcW w:w="705" w:type="pct"/>
            <w:tcBorders>
              <w:top w:val="nil"/>
              <w:left w:val="nil"/>
              <w:bottom w:val="single" w:sz="4" w:space="0" w:color="auto"/>
              <w:right w:val="single" w:sz="4" w:space="0" w:color="auto"/>
            </w:tcBorders>
            <w:shd w:val="clear" w:color="auto" w:fill="auto"/>
            <w:noWrap/>
            <w:vAlign w:val="center"/>
            <w:hideMark/>
          </w:tcPr>
          <w:p w14:paraId="4163164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5084873000</w:t>
            </w:r>
          </w:p>
        </w:tc>
        <w:tc>
          <w:tcPr>
            <w:tcW w:w="547" w:type="pct"/>
            <w:tcBorders>
              <w:top w:val="nil"/>
              <w:left w:val="nil"/>
              <w:bottom w:val="single" w:sz="4" w:space="0" w:color="auto"/>
              <w:right w:val="single" w:sz="4" w:space="0" w:color="auto"/>
            </w:tcBorders>
            <w:shd w:val="clear" w:color="auto" w:fill="auto"/>
            <w:noWrap/>
            <w:vAlign w:val="center"/>
            <w:hideMark/>
          </w:tcPr>
          <w:p w14:paraId="115A57E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84580062</w:t>
            </w:r>
          </w:p>
        </w:tc>
        <w:tc>
          <w:tcPr>
            <w:tcW w:w="3360" w:type="pct"/>
            <w:tcBorders>
              <w:top w:val="nil"/>
              <w:left w:val="nil"/>
              <w:bottom w:val="single" w:sz="4" w:space="0" w:color="auto"/>
              <w:right w:val="single" w:sz="4" w:space="0" w:color="auto"/>
            </w:tcBorders>
            <w:shd w:val="clear" w:color="auto" w:fill="auto"/>
            <w:vAlign w:val="center"/>
            <w:hideMark/>
          </w:tcPr>
          <w:p w14:paraId="51EAA53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GABROVKA - DOLE</w:t>
            </w:r>
          </w:p>
        </w:tc>
      </w:tr>
      <w:tr w:rsidR="00E3750C" w:rsidRPr="00415AB3" w14:paraId="194E1B6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6DCC50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1237</w:t>
            </w:r>
          </w:p>
        </w:tc>
        <w:tc>
          <w:tcPr>
            <w:tcW w:w="705" w:type="pct"/>
            <w:tcBorders>
              <w:top w:val="nil"/>
              <w:left w:val="nil"/>
              <w:bottom w:val="single" w:sz="4" w:space="0" w:color="auto"/>
              <w:right w:val="single" w:sz="4" w:space="0" w:color="auto"/>
            </w:tcBorders>
            <w:shd w:val="clear" w:color="auto" w:fill="auto"/>
            <w:noWrap/>
            <w:vAlign w:val="center"/>
            <w:hideMark/>
          </w:tcPr>
          <w:p w14:paraId="4E8020F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5083699000</w:t>
            </w:r>
          </w:p>
        </w:tc>
        <w:tc>
          <w:tcPr>
            <w:tcW w:w="547" w:type="pct"/>
            <w:tcBorders>
              <w:top w:val="nil"/>
              <w:left w:val="nil"/>
              <w:bottom w:val="single" w:sz="4" w:space="0" w:color="auto"/>
              <w:right w:val="single" w:sz="4" w:space="0" w:color="auto"/>
            </w:tcBorders>
            <w:shd w:val="clear" w:color="auto" w:fill="auto"/>
            <w:noWrap/>
            <w:vAlign w:val="center"/>
            <w:hideMark/>
          </w:tcPr>
          <w:p w14:paraId="247CB79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56978006</w:t>
            </w:r>
          </w:p>
        </w:tc>
        <w:tc>
          <w:tcPr>
            <w:tcW w:w="3360" w:type="pct"/>
            <w:tcBorders>
              <w:top w:val="nil"/>
              <w:left w:val="nil"/>
              <w:bottom w:val="single" w:sz="4" w:space="0" w:color="auto"/>
              <w:right w:val="single" w:sz="4" w:space="0" w:color="auto"/>
            </w:tcBorders>
            <w:shd w:val="clear" w:color="auto" w:fill="auto"/>
            <w:vAlign w:val="center"/>
            <w:hideMark/>
          </w:tcPr>
          <w:p w14:paraId="5F9CB16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GLAZIJA</w:t>
            </w:r>
          </w:p>
        </w:tc>
      </w:tr>
      <w:tr w:rsidR="00E3750C" w:rsidRPr="00415AB3" w14:paraId="1534E98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47D07B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1238</w:t>
            </w:r>
          </w:p>
        </w:tc>
        <w:tc>
          <w:tcPr>
            <w:tcW w:w="705" w:type="pct"/>
            <w:tcBorders>
              <w:top w:val="nil"/>
              <w:left w:val="nil"/>
              <w:bottom w:val="single" w:sz="4" w:space="0" w:color="auto"/>
              <w:right w:val="single" w:sz="4" w:space="0" w:color="auto"/>
            </w:tcBorders>
            <w:shd w:val="clear" w:color="auto" w:fill="auto"/>
            <w:noWrap/>
            <w:vAlign w:val="center"/>
            <w:hideMark/>
          </w:tcPr>
          <w:p w14:paraId="2B9EE40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5082587000</w:t>
            </w:r>
          </w:p>
        </w:tc>
        <w:tc>
          <w:tcPr>
            <w:tcW w:w="547" w:type="pct"/>
            <w:tcBorders>
              <w:top w:val="nil"/>
              <w:left w:val="nil"/>
              <w:bottom w:val="single" w:sz="4" w:space="0" w:color="auto"/>
              <w:right w:val="single" w:sz="4" w:space="0" w:color="auto"/>
            </w:tcBorders>
            <w:shd w:val="clear" w:color="auto" w:fill="auto"/>
            <w:noWrap/>
            <w:vAlign w:val="center"/>
            <w:hideMark/>
          </w:tcPr>
          <w:p w14:paraId="099DEE5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45800316</w:t>
            </w:r>
          </w:p>
        </w:tc>
        <w:tc>
          <w:tcPr>
            <w:tcW w:w="3360" w:type="pct"/>
            <w:tcBorders>
              <w:top w:val="nil"/>
              <w:left w:val="nil"/>
              <w:bottom w:val="single" w:sz="4" w:space="0" w:color="auto"/>
              <w:right w:val="single" w:sz="4" w:space="0" w:color="auto"/>
            </w:tcBorders>
            <w:shd w:val="clear" w:color="auto" w:fill="auto"/>
            <w:vAlign w:val="center"/>
            <w:hideMark/>
          </w:tcPr>
          <w:p w14:paraId="0ACDD36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GLOBOKO</w:t>
            </w:r>
          </w:p>
        </w:tc>
      </w:tr>
      <w:tr w:rsidR="00E3750C" w:rsidRPr="00415AB3" w14:paraId="1ABD5FD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9F0576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1239</w:t>
            </w:r>
          </w:p>
        </w:tc>
        <w:tc>
          <w:tcPr>
            <w:tcW w:w="705" w:type="pct"/>
            <w:tcBorders>
              <w:top w:val="nil"/>
              <w:left w:val="nil"/>
              <w:bottom w:val="single" w:sz="4" w:space="0" w:color="auto"/>
              <w:right w:val="single" w:sz="4" w:space="0" w:color="auto"/>
            </w:tcBorders>
            <w:shd w:val="clear" w:color="auto" w:fill="auto"/>
            <w:noWrap/>
            <w:vAlign w:val="center"/>
            <w:hideMark/>
          </w:tcPr>
          <w:p w14:paraId="045514E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5087317000</w:t>
            </w:r>
          </w:p>
        </w:tc>
        <w:tc>
          <w:tcPr>
            <w:tcW w:w="547" w:type="pct"/>
            <w:tcBorders>
              <w:top w:val="nil"/>
              <w:left w:val="nil"/>
              <w:bottom w:val="single" w:sz="4" w:space="0" w:color="auto"/>
              <w:right w:val="single" w:sz="4" w:space="0" w:color="auto"/>
            </w:tcBorders>
            <w:shd w:val="clear" w:color="auto" w:fill="auto"/>
            <w:noWrap/>
            <w:vAlign w:val="center"/>
            <w:hideMark/>
          </w:tcPr>
          <w:p w14:paraId="4F10CF7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99229692</w:t>
            </w:r>
          </w:p>
        </w:tc>
        <w:tc>
          <w:tcPr>
            <w:tcW w:w="3360" w:type="pct"/>
            <w:tcBorders>
              <w:top w:val="nil"/>
              <w:left w:val="nil"/>
              <w:bottom w:val="single" w:sz="4" w:space="0" w:color="auto"/>
              <w:right w:val="single" w:sz="4" w:space="0" w:color="auto"/>
            </w:tcBorders>
            <w:shd w:val="clear" w:color="auto" w:fill="auto"/>
            <w:vAlign w:val="center"/>
            <w:hideMark/>
          </w:tcPr>
          <w:p w14:paraId="52F4F73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GORJE</w:t>
            </w:r>
          </w:p>
        </w:tc>
      </w:tr>
      <w:tr w:rsidR="00E3750C" w:rsidRPr="00415AB3" w14:paraId="13C7A13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E12609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1240</w:t>
            </w:r>
          </w:p>
        </w:tc>
        <w:tc>
          <w:tcPr>
            <w:tcW w:w="705" w:type="pct"/>
            <w:tcBorders>
              <w:top w:val="nil"/>
              <w:left w:val="nil"/>
              <w:bottom w:val="single" w:sz="4" w:space="0" w:color="auto"/>
              <w:right w:val="single" w:sz="4" w:space="0" w:color="auto"/>
            </w:tcBorders>
            <w:shd w:val="clear" w:color="auto" w:fill="auto"/>
            <w:noWrap/>
            <w:vAlign w:val="center"/>
            <w:hideMark/>
          </w:tcPr>
          <w:p w14:paraId="520F93F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5083745000</w:t>
            </w:r>
          </w:p>
        </w:tc>
        <w:tc>
          <w:tcPr>
            <w:tcW w:w="547" w:type="pct"/>
            <w:tcBorders>
              <w:top w:val="nil"/>
              <w:left w:val="nil"/>
              <w:bottom w:val="single" w:sz="4" w:space="0" w:color="auto"/>
              <w:right w:val="single" w:sz="4" w:space="0" w:color="auto"/>
            </w:tcBorders>
            <w:shd w:val="clear" w:color="auto" w:fill="auto"/>
            <w:noWrap/>
            <w:vAlign w:val="center"/>
            <w:hideMark/>
          </w:tcPr>
          <w:p w14:paraId="3AAD076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18671624</w:t>
            </w:r>
          </w:p>
        </w:tc>
        <w:tc>
          <w:tcPr>
            <w:tcW w:w="3360" w:type="pct"/>
            <w:tcBorders>
              <w:top w:val="nil"/>
              <w:left w:val="nil"/>
              <w:bottom w:val="single" w:sz="4" w:space="0" w:color="auto"/>
              <w:right w:val="single" w:sz="4" w:space="0" w:color="auto"/>
            </w:tcBorders>
            <w:shd w:val="clear" w:color="auto" w:fill="auto"/>
            <w:vAlign w:val="center"/>
            <w:hideMark/>
          </w:tcPr>
          <w:p w14:paraId="1B01167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GORNJA RADGONA</w:t>
            </w:r>
          </w:p>
        </w:tc>
      </w:tr>
      <w:tr w:rsidR="00E3750C" w:rsidRPr="00415AB3" w14:paraId="43B5855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C8131A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1241</w:t>
            </w:r>
          </w:p>
        </w:tc>
        <w:tc>
          <w:tcPr>
            <w:tcW w:w="705" w:type="pct"/>
            <w:tcBorders>
              <w:top w:val="nil"/>
              <w:left w:val="nil"/>
              <w:bottom w:val="single" w:sz="4" w:space="0" w:color="auto"/>
              <w:right w:val="single" w:sz="4" w:space="0" w:color="auto"/>
            </w:tcBorders>
            <w:shd w:val="clear" w:color="auto" w:fill="auto"/>
            <w:noWrap/>
            <w:vAlign w:val="center"/>
            <w:hideMark/>
          </w:tcPr>
          <w:p w14:paraId="335A5F4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5085586000</w:t>
            </w:r>
          </w:p>
        </w:tc>
        <w:tc>
          <w:tcPr>
            <w:tcW w:w="547" w:type="pct"/>
            <w:tcBorders>
              <w:top w:val="nil"/>
              <w:left w:val="nil"/>
              <w:bottom w:val="single" w:sz="4" w:space="0" w:color="auto"/>
              <w:right w:val="single" w:sz="4" w:space="0" w:color="auto"/>
            </w:tcBorders>
            <w:shd w:val="clear" w:color="auto" w:fill="auto"/>
            <w:noWrap/>
            <w:vAlign w:val="center"/>
            <w:hideMark/>
          </w:tcPr>
          <w:p w14:paraId="2D062CF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61749206</w:t>
            </w:r>
          </w:p>
        </w:tc>
        <w:tc>
          <w:tcPr>
            <w:tcW w:w="3360" w:type="pct"/>
            <w:tcBorders>
              <w:top w:val="nil"/>
              <w:left w:val="nil"/>
              <w:bottom w:val="single" w:sz="4" w:space="0" w:color="auto"/>
              <w:right w:val="single" w:sz="4" w:space="0" w:color="auto"/>
            </w:tcBorders>
            <w:shd w:val="clear" w:color="auto" w:fill="auto"/>
            <w:vAlign w:val="center"/>
            <w:hideMark/>
          </w:tcPr>
          <w:p w14:paraId="60F8CBF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GORNJI PETROVCI</w:t>
            </w:r>
          </w:p>
        </w:tc>
      </w:tr>
      <w:tr w:rsidR="00E3750C" w:rsidRPr="00415AB3" w14:paraId="3CE01B3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5C946C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1242</w:t>
            </w:r>
          </w:p>
        </w:tc>
        <w:tc>
          <w:tcPr>
            <w:tcW w:w="705" w:type="pct"/>
            <w:tcBorders>
              <w:top w:val="nil"/>
              <w:left w:val="nil"/>
              <w:bottom w:val="single" w:sz="4" w:space="0" w:color="auto"/>
              <w:right w:val="single" w:sz="4" w:space="0" w:color="auto"/>
            </w:tcBorders>
            <w:shd w:val="clear" w:color="auto" w:fill="auto"/>
            <w:noWrap/>
            <w:vAlign w:val="center"/>
            <w:hideMark/>
          </w:tcPr>
          <w:p w14:paraId="35AE0B6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5085594000</w:t>
            </w:r>
          </w:p>
        </w:tc>
        <w:tc>
          <w:tcPr>
            <w:tcW w:w="547" w:type="pct"/>
            <w:tcBorders>
              <w:top w:val="nil"/>
              <w:left w:val="nil"/>
              <w:bottom w:val="single" w:sz="4" w:space="0" w:color="auto"/>
              <w:right w:val="single" w:sz="4" w:space="0" w:color="auto"/>
            </w:tcBorders>
            <w:shd w:val="clear" w:color="auto" w:fill="auto"/>
            <w:noWrap/>
            <w:vAlign w:val="center"/>
            <w:hideMark/>
          </w:tcPr>
          <w:p w14:paraId="70F83B9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23698110</w:t>
            </w:r>
          </w:p>
        </w:tc>
        <w:tc>
          <w:tcPr>
            <w:tcW w:w="3360" w:type="pct"/>
            <w:tcBorders>
              <w:top w:val="nil"/>
              <w:left w:val="nil"/>
              <w:bottom w:val="single" w:sz="4" w:space="0" w:color="auto"/>
              <w:right w:val="single" w:sz="4" w:space="0" w:color="auto"/>
            </w:tcBorders>
            <w:shd w:val="clear" w:color="auto" w:fill="auto"/>
            <w:vAlign w:val="center"/>
            <w:hideMark/>
          </w:tcPr>
          <w:p w14:paraId="7E13138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GRAD</w:t>
            </w:r>
          </w:p>
        </w:tc>
      </w:tr>
      <w:tr w:rsidR="00E3750C" w:rsidRPr="00415AB3" w14:paraId="31486B1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C82229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1243</w:t>
            </w:r>
          </w:p>
        </w:tc>
        <w:tc>
          <w:tcPr>
            <w:tcW w:w="705" w:type="pct"/>
            <w:tcBorders>
              <w:top w:val="nil"/>
              <w:left w:val="nil"/>
              <w:bottom w:val="single" w:sz="4" w:space="0" w:color="auto"/>
              <w:right w:val="single" w:sz="4" w:space="0" w:color="auto"/>
            </w:tcBorders>
            <w:shd w:val="clear" w:color="auto" w:fill="auto"/>
            <w:noWrap/>
            <w:vAlign w:val="center"/>
            <w:hideMark/>
          </w:tcPr>
          <w:p w14:paraId="2774F6F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5689155000</w:t>
            </w:r>
          </w:p>
        </w:tc>
        <w:tc>
          <w:tcPr>
            <w:tcW w:w="547" w:type="pct"/>
            <w:tcBorders>
              <w:top w:val="nil"/>
              <w:left w:val="nil"/>
              <w:bottom w:val="single" w:sz="4" w:space="0" w:color="auto"/>
              <w:right w:val="single" w:sz="4" w:space="0" w:color="auto"/>
            </w:tcBorders>
            <w:shd w:val="clear" w:color="auto" w:fill="auto"/>
            <w:noWrap/>
            <w:vAlign w:val="center"/>
            <w:hideMark/>
          </w:tcPr>
          <w:p w14:paraId="4D33E10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42070651</w:t>
            </w:r>
          </w:p>
        </w:tc>
        <w:tc>
          <w:tcPr>
            <w:tcW w:w="3360" w:type="pct"/>
            <w:tcBorders>
              <w:top w:val="nil"/>
              <w:left w:val="nil"/>
              <w:bottom w:val="single" w:sz="4" w:space="0" w:color="auto"/>
              <w:right w:val="single" w:sz="4" w:space="0" w:color="auto"/>
            </w:tcBorders>
            <w:shd w:val="clear" w:color="auto" w:fill="auto"/>
            <w:vAlign w:val="center"/>
            <w:hideMark/>
          </w:tcPr>
          <w:p w14:paraId="5A4C042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GRADEC</w:t>
            </w:r>
          </w:p>
        </w:tc>
      </w:tr>
      <w:tr w:rsidR="00E3750C" w:rsidRPr="00415AB3" w14:paraId="10B994A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241352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1244</w:t>
            </w:r>
          </w:p>
        </w:tc>
        <w:tc>
          <w:tcPr>
            <w:tcW w:w="705" w:type="pct"/>
            <w:tcBorders>
              <w:top w:val="nil"/>
              <w:left w:val="nil"/>
              <w:bottom w:val="single" w:sz="4" w:space="0" w:color="auto"/>
              <w:right w:val="single" w:sz="4" w:space="0" w:color="auto"/>
            </w:tcBorders>
            <w:shd w:val="clear" w:color="auto" w:fill="auto"/>
            <w:noWrap/>
            <w:vAlign w:val="center"/>
            <w:hideMark/>
          </w:tcPr>
          <w:p w14:paraId="5AA13DA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5090059000</w:t>
            </w:r>
          </w:p>
        </w:tc>
        <w:tc>
          <w:tcPr>
            <w:tcW w:w="547" w:type="pct"/>
            <w:tcBorders>
              <w:top w:val="nil"/>
              <w:left w:val="nil"/>
              <w:bottom w:val="single" w:sz="4" w:space="0" w:color="auto"/>
              <w:right w:val="single" w:sz="4" w:space="0" w:color="auto"/>
            </w:tcBorders>
            <w:shd w:val="clear" w:color="auto" w:fill="auto"/>
            <w:noWrap/>
            <w:vAlign w:val="center"/>
            <w:hideMark/>
          </w:tcPr>
          <w:p w14:paraId="76C6649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75852390</w:t>
            </w:r>
          </w:p>
        </w:tc>
        <w:tc>
          <w:tcPr>
            <w:tcW w:w="3360" w:type="pct"/>
            <w:tcBorders>
              <w:top w:val="nil"/>
              <w:left w:val="nil"/>
              <w:bottom w:val="single" w:sz="4" w:space="0" w:color="auto"/>
              <w:right w:val="single" w:sz="4" w:space="0" w:color="auto"/>
            </w:tcBorders>
            <w:shd w:val="clear" w:color="auto" w:fill="auto"/>
            <w:vAlign w:val="center"/>
            <w:hideMark/>
          </w:tcPr>
          <w:p w14:paraId="340DCE8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GRIŽE</w:t>
            </w:r>
          </w:p>
        </w:tc>
      </w:tr>
      <w:tr w:rsidR="00E3750C" w:rsidRPr="00415AB3" w14:paraId="05D39A3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A894CB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1245</w:t>
            </w:r>
          </w:p>
        </w:tc>
        <w:tc>
          <w:tcPr>
            <w:tcW w:w="705" w:type="pct"/>
            <w:tcBorders>
              <w:top w:val="nil"/>
              <w:left w:val="nil"/>
              <w:bottom w:val="single" w:sz="4" w:space="0" w:color="auto"/>
              <w:right w:val="single" w:sz="4" w:space="0" w:color="auto"/>
            </w:tcBorders>
            <w:shd w:val="clear" w:color="auto" w:fill="auto"/>
            <w:noWrap/>
            <w:vAlign w:val="center"/>
            <w:hideMark/>
          </w:tcPr>
          <w:p w14:paraId="40511E9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5086850000</w:t>
            </w:r>
          </w:p>
        </w:tc>
        <w:tc>
          <w:tcPr>
            <w:tcW w:w="547" w:type="pct"/>
            <w:tcBorders>
              <w:top w:val="nil"/>
              <w:left w:val="nil"/>
              <w:bottom w:val="single" w:sz="4" w:space="0" w:color="auto"/>
              <w:right w:val="single" w:sz="4" w:space="0" w:color="auto"/>
            </w:tcBorders>
            <w:shd w:val="clear" w:color="auto" w:fill="auto"/>
            <w:noWrap/>
            <w:vAlign w:val="center"/>
            <w:hideMark/>
          </w:tcPr>
          <w:p w14:paraId="030E4D7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87598167</w:t>
            </w:r>
          </w:p>
        </w:tc>
        <w:tc>
          <w:tcPr>
            <w:tcW w:w="3360" w:type="pct"/>
            <w:tcBorders>
              <w:top w:val="nil"/>
              <w:left w:val="nil"/>
              <w:bottom w:val="single" w:sz="4" w:space="0" w:color="auto"/>
              <w:right w:val="single" w:sz="4" w:space="0" w:color="auto"/>
            </w:tcBorders>
            <w:shd w:val="clear" w:color="auto" w:fill="auto"/>
            <w:vAlign w:val="center"/>
            <w:hideMark/>
          </w:tcPr>
          <w:p w14:paraId="56BF595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GRM</w:t>
            </w:r>
          </w:p>
        </w:tc>
      </w:tr>
      <w:tr w:rsidR="00E3750C" w:rsidRPr="00415AB3" w14:paraId="330445B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1D08D5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1246</w:t>
            </w:r>
          </w:p>
        </w:tc>
        <w:tc>
          <w:tcPr>
            <w:tcW w:w="705" w:type="pct"/>
            <w:tcBorders>
              <w:top w:val="nil"/>
              <w:left w:val="nil"/>
              <w:bottom w:val="single" w:sz="4" w:space="0" w:color="auto"/>
              <w:right w:val="single" w:sz="4" w:space="0" w:color="auto"/>
            </w:tcBorders>
            <w:shd w:val="clear" w:color="auto" w:fill="auto"/>
            <w:noWrap/>
            <w:vAlign w:val="center"/>
            <w:hideMark/>
          </w:tcPr>
          <w:p w14:paraId="58CA4BF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5087643000</w:t>
            </w:r>
          </w:p>
        </w:tc>
        <w:tc>
          <w:tcPr>
            <w:tcW w:w="547" w:type="pct"/>
            <w:tcBorders>
              <w:top w:val="nil"/>
              <w:left w:val="nil"/>
              <w:bottom w:val="single" w:sz="4" w:space="0" w:color="auto"/>
              <w:right w:val="single" w:sz="4" w:space="0" w:color="auto"/>
            </w:tcBorders>
            <w:shd w:val="clear" w:color="auto" w:fill="auto"/>
            <w:noWrap/>
            <w:vAlign w:val="center"/>
            <w:hideMark/>
          </w:tcPr>
          <w:p w14:paraId="63D23AD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36415006</w:t>
            </w:r>
          </w:p>
        </w:tc>
        <w:tc>
          <w:tcPr>
            <w:tcW w:w="3360" w:type="pct"/>
            <w:tcBorders>
              <w:top w:val="nil"/>
              <w:left w:val="nil"/>
              <w:bottom w:val="single" w:sz="4" w:space="0" w:color="auto"/>
              <w:right w:val="single" w:sz="4" w:space="0" w:color="auto"/>
            </w:tcBorders>
            <w:shd w:val="clear" w:color="auto" w:fill="auto"/>
            <w:vAlign w:val="center"/>
            <w:hideMark/>
          </w:tcPr>
          <w:p w14:paraId="1329508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GUSTAVA ŠILIHA LAPORJE</w:t>
            </w:r>
          </w:p>
        </w:tc>
      </w:tr>
      <w:tr w:rsidR="00E3750C" w:rsidRPr="00415AB3" w14:paraId="15E096B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5F3F13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1247</w:t>
            </w:r>
          </w:p>
        </w:tc>
        <w:tc>
          <w:tcPr>
            <w:tcW w:w="705" w:type="pct"/>
            <w:tcBorders>
              <w:top w:val="nil"/>
              <w:left w:val="nil"/>
              <w:bottom w:val="single" w:sz="4" w:space="0" w:color="auto"/>
              <w:right w:val="single" w:sz="4" w:space="0" w:color="auto"/>
            </w:tcBorders>
            <w:shd w:val="clear" w:color="auto" w:fill="auto"/>
            <w:noWrap/>
            <w:vAlign w:val="center"/>
            <w:hideMark/>
          </w:tcPr>
          <w:p w14:paraId="3A79ECD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5088208000</w:t>
            </w:r>
          </w:p>
        </w:tc>
        <w:tc>
          <w:tcPr>
            <w:tcW w:w="547" w:type="pct"/>
            <w:tcBorders>
              <w:top w:val="nil"/>
              <w:left w:val="nil"/>
              <w:bottom w:val="single" w:sz="4" w:space="0" w:color="auto"/>
              <w:right w:val="single" w:sz="4" w:space="0" w:color="auto"/>
            </w:tcBorders>
            <w:shd w:val="clear" w:color="auto" w:fill="auto"/>
            <w:noWrap/>
            <w:vAlign w:val="center"/>
            <w:hideMark/>
          </w:tcPr>
          <w:p w14:paraId="727F41A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87755246</w:t>
            </w:r>
          </w:p>
        </w:tc>
        <w:tc>
          <w:tcPr>
            <w:tcW w:w="3360" w:type="pct"/>
            <w:tcBorders>
              <w:top w:val="nil"/>
              <w:left w:val="nil"/>
              <w:bottom w:val="single" w:sz="4" w:space="0" w:color="auto"/>
              <w:right w:val="single" w:sz="4" w:space="0" w:color="auto"/>
            </w:tcBorders>
            <w:shd w:val="clear" w:color="auto" w:fill="auto"/>
            <w:vAlign w:val="center"/>
            <w:hideMark/>
          </w:tcPr>
          <w:p w14:paraId="170780B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GUSTAVA ŠILIHA, VELENJE</w:t>
            </w:r>
          </w:p>
        </w:tc>
      </w:tr>
      <w:tr w:rsidR="00E3750C" w:rsidRPr="00415AB3" w14:paraId="1825C60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402957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1248</w:t>
            </w:r>
          </w:p>
        </w:tc>
        <w:tc>
          <w:tcPr>
            <w:tcW w:w="705" w:type="pct"/>
            <w:tcBorders>
              <w:top w:val="nil"/>
              <w:left w:val="nil"/>
              <w:bottom w:val="single" w:sz="4" w:space="0" w:color="auto"/>
              <w:right w:val="single" w:sz="4" w:space="0" w:color="auto"/>
            </w:tcBorders>
            <w:shd w:val="clear" w:color="auto" w:fill="auto"/>
            <w:noWrap/>
            <w:vAlign w:val="center"/>
            <w:hideMark/>
          </w:tcPr>
          <w:p w14:paraId="522DC04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5087031000</w:t>
            </w:r>
          </w:p>
        </w:tc>
        <w:tc>
          <w:tcPr>
            <w:tcW w:w="547" w:type="pct"/>
            <w:tcBorders>
              <w:top w:val="nil"/>
              <w:left w:val="nil"/>
              <w:bottom w:val="single" w:sz="4" w:space="0" w:color="auto"/>
              <w:right w:val="single" w:sz="4" w:space="0" w:color="auto"/>
            </w:tcBorders>
            <w:shd w:val="clear" w:color="auto" w:fill="auto"/>
            <w:noWrap/>
            <w:vAlign w:val="center"/>
            <w:hideMark/>
          </w:tcPr>
          <w:p w14:paraId="4036B59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33939314</w:t>
            </w:r>
          </w:p>
        </w:tc>
        <w:tc>
          <w:tcPr>
            <w:tcW w:w="3360" w:type="pct"/>
            <w:tcBorders>
              <w:top w:val="nil"/>
              <w:left w:val="nil"/>
              <w:bottom w:val="single" w:sz="4" w:space="0" w:color="auto"/>
              <w:right w:val="single" w:sz="4" w:space="0" w:color="auto"/>
            </w:tcBorders>
            <w:shd w:val="clear" w:color="auto" w:fill="auto"/>
            <w:vAlign w:val="center"/>
            <w:hideMark/>
          </w:tcPr>
          <w:p w14:paraId="0DE1527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HAJDINA</w:t>
            </w:r>
          </w:p>
        </w:tc>
      </w:tr>
      <w:tr w:rsidR="00E3750C" w:rsidRPr="00415AB3" w14:paraId="0B70ABB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C2A946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1249</w:t>
            </w:r>
          </w:p>
        </w:tc>
        <w:tc>
          <w:tcPr>
            <w:tcW w:w="705" w:type="pct"/>
            <w:tcBorders>
              <w:top w:val="nil"/>
              <w:left w:val="nil"/>
              <w:bottom w:val="single" w:sz="4" w:space="0" w:color="auto"/>
              <w:right w:val="single" w:sz="4" w:space="0" w:color="auto"/>
            </w:tcBorders>
            <w:shd w:val="clear" w:color="auto" w:fill="auto"/>
            <w:noWrap/>
            <w:vAlign w:val="center"/>
            <w:hideMark/>
          </w:tcPr>
          <w:p w14:paraId="088BB3B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5083877000</w:t>
            </w:r>
          </w:p>
        </w:tc>
        <w:tc>
          <w:tcPr>
            <w:tcW w:w="547" w:type="pct"/>
            <w:tcBorders>
              <w:top w:val="nil"/>
              <w:left w:val="nil"/>
              <w:bottom w:val="single" w:sz="4" w:space="0" w:color="auto"/>
              <w:right w:val="single" w:sz="4" w:space="0" w:color="auto"/>
            </w:tcBorders>
            <w:shd w:val="clear" w:color="auto" w:fill="auto"/>
            <w:noWrap/>
            <w:vAlign w:val="center"/>
            <w:hideMark/>
          </w:tcPr>
          <w:p w14:paraId="727A693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81628757</w:t>
            </w:r>
          </w:p>
        </w:tc>
        <w:tc>
          <w:tcPr>
            <w:tcW w:w="3360" w:type="pct"/>
            <w:tcBorders>
              <w:top w:val="nil"/>
              <w:left w:val="nil"/>
              <w:bottom w:val="single" w:sz="4" w:space="0" w:color="auto"/>
              <w:right w:val="single" w:sz="4" w:space="0" w:color="auto"/>
            </w:tcBorders>
            <w:shd w:val="clear" w:color="auto" w:fill="auto"/>
            <w:vAlign w:val="center"/>
            <w:hideMark/>
          </w:tcPr>
          <w:p w14:paraId="5D22645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HELENE PUHAR KRANJ</w:t>
            </w:r>
          </w:p>
        </w:tc>
      </w:tr>
      <w:tr w:rsidR="00E3750C" w:rsidRPr="00415AB3" w14:paraId="58AF0A3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C79195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1250</w:t>
            </w:r>
          </w:p>
        </w:tc>
        <w:tc>
          <w:tcPr>
            <w:tcW w:w="705" w:type="pct"/>
            <w:tcBorders>
              <w:top w:val="nil"/>
              <w:left w:val="nil"/>
              <w:bottom w:val="single" w:sz="4" w:space="0" w:color="auto"/>
              <w:right w:val="single" w:sz="4" w:space="0" w:color="auto"/>
            </w:tcBorders>
            <w:shd w:val="clear" w:color="auto" w:fill="auto"/>
            <w:noWrap/>
            <w:vAlign w:val="center"/>
            <w:hideMark/>
          </w:tcPr>
          <w:p w14:paraId="4CCF35B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5089891000</w:t>
            </w:r>
          </w:p>
        </w:tc>
        <w:tc>
          <w:tcPr>
            <w:tcW w:w="547" w:type="pct"/>
            <w:tcBorders>
              <w:top w:val="nil"/>
              <w:left w:val="nil"/>
              <w:bottom w:val="single" w:sz="4" w:space="0" w:color="auto"/>
              <w:right w:val="single" w:sz="4" w:space="0" w:color="auto"/>
            </w:tcBorders>
            <w:shd w:val="clear" w:color="auto" w:fill="auto"/>
            <w:noWrap/>
            <w:vAlign w:val="center"/>
            <w:hideMark/>
          </w:tcPr>
          <w:p w14:paraId="444B9B9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58122982</w:t>
            </w:r>
          </w:p>
        </w:tc>
        <w:tc>
          <w:tcPr>
            <w:tcW w:w="3360" w:type="pct"/>
            <w:tcBorders>
              <w:top w:val="nil"/>
              <w:left w:val="nil"/>
              <w:bottom w:val="single" w:sz="4" w:space="0" w:color="auto"/>
              <w:right w:val="single" w:sz="4" w:space="0" w:color="auto"/>
            </w:tcBorders>
            <w:shd w:val="clear" w:color="auto" w:fill="auto"/>
            <w:vAlign w:val="center"/>
            <w:hideMark/>
          </w:tcPr>
          <w:p w14:paraId="239CFD5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HEROJA JANEZA HRIBARJA</w:t>
            </w:r>
          </w:p>
        </w:tc>
      </w:tr>
      <w:tr w:rsidR="00E3750C" w:rsidRPr="00415AB3" w14:paraId="6E56850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E28524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1251</w:t>
            </w:r>
          </w:p>
        </w:tc>
        <w:tc>
          <w:tcPr>
            <w:tcW w:w="705" w:type="pct"/>
            <w:tcBorders>
              <w:top w:val="nil"/>
              <w:left w:val="nil"/>
              <w:bottom w:val="single" w:sz="4" w:space="0" w:color="auto"/>
              <w:right w:val="single" w:sz="4" w:space="0" w:color="auto"/>
            </w:tcBorders>
            <w:shd w:val="clear" w:color="auto" w:fill="auto"/>
            <w:noWrap/>
            <w:vAlign w:val="center"/>
            <w:hideMark/>
          </w:tcPr>
          <w:p w14:paraId="7BEA17C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5084369000</w:t>
            </w:r>
          </w:p>
        </w:tc>
        <w:tc>
          <w:tcPr>
            <w:tcW w:w="547" w:type="pct"/>
            <w:tcBorders>
              <w:top w:val="nil"/>
              <w:left w:val="nil"/>
              <w:bottom w:val="single" w:sz="4" w:space="0" w:color="auto"/>
              <w:right w:val="single" w:sz="4" w:space="0" w:color="auto"/>
            </w:tcBorders>
            <w:shd w:val="clear" w:color="auto" w:fill="auto"/>
            <w:noWrap/>
            <w:vAlign w:val="center"/>
            <w:hideMark/>
          </w:tcPr>
          <w:p w14:paraId="5E9F3C4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23541300</w:t>
            </w:r>
          </w:p>
        </w:tc>
        <w:tc>
          <w:tcPr>
            <w:tcW w:w="3360" w:type="pct"/>
            <w:tcBorders>
              <w:top w:val="nil"/>
              <w:left w:val="nil"/>
              <w:bottom w:val="single" w:sz="4" w:space="0" w:color="auto"/>
              <w:right w:val="single" w:sz="4" w:space="0" w:color="auto"/>
            </w:tcBorders>
            <w:shd w:val="clear" w:color="auto" w:fill="auto"/>
            <w:vAlign w:val="center"/>
            <w:hideMark/>
          </w:tcPr>
          <w:p w14:paraId="1DD7795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HINKA SMREKARJA</w:t>
            </w:r>
          </w:p>
        </w:tc>
      </w:tr>
      <w:tr w:rsidR="00E3750C" w:rsidRPr="00415AB3" w14:paraId="18E57BE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83B0F0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1252</w:t>
            </w:r>
          </w:p>
        </w:tc>
        <w:tc>
          <w:tcPr>
            <w:tcW w:w="705" w:type="pct"/>
            <w:tcBorders>
              <w:top w:val="nil"/>
              <w:left w:val="nil"/>
              <w:bottom w:val="single" w:sz="4" w:space="0" w:color="auto"/>
              <w:right w:val="single" w:sz="4" w:space="0" w:color="auto"/>
            </w:tcBorders>
            <w:shd w:val="clear" w:color="auto" w:fill="auto"/>
            <w:noWrap/>
            <w:vAlign w:val="center"/>
            <w:hideMark/>
          </w:tcPr>
          <w:p w14:paraId="5CBC482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5914914000</w:t>
            </w:r>
          </w:p>
        </w:tc>
        <w:tc>
          <w:tcPr>
            <w:tcW w:w="547" w:type="pct"/>
            <w:tcBorders>
              <w:top w:val="nil"/>
              <w:left w:val="nil"/>
              <w:bottom w:val="single" w:sz="4" w:space="0" w:color="auto"/>
              <w:right w:val="single" w:sz="4" w:space="0" w:color="auto"/>
            </w:tcBorders>
            <w:shd w:val="clear" w:color="auto" w:fill="auto"/>
            <w:noWrap/>
            <w:vAlign w:val="center"/>
            <w:hideMark/>
          </w:tcPr>
          <w:p w14:paraId="3E28B40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54735289</w:t>
            </w:r>
          </w:p>
        </w:tc>
        <w:tc>
          <w:tcPr>
            <w:tcW w:w="3360" w:type="pct"/>
            <w:tcBorders>
              <w:top w:val="nil"/>
              <w:left w:val="nil"/>
              <w:bottom w:val="single" w:sz="4" w:space="0" w:color="auto"/>
              <w:right w:val="single" w:sz="4" w:space="0" w:color="auto"/>
            </w:tcBorders>
            <w:shd w:val="clear" w:color="auto" w:fill="auto"/>
            <w:vAlign w:val="center"/>
            <w:hideMark/>
          </w:tcPr>
          <w:p w14:paraId="3A8EF1F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HRUŠEVEC-ŠENTJUR</w:t>
            </w:r>
          </w:p>
        </w:tc>
      </w:tr>
      <w:tr w:rsidR="00E3750C" w:rsidRPr="00415AB3" w14:paraId="3985358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6CE36D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1253</w:t>
            </w:r>
          </w:p>
        </w:tc>
        <w:tc>
          <w:tcPr>
            <w:tcW w:w="705" w:type="pct"/>
            <w:tcBorders>
              <w:top w:val="nil"/>
              <w:left w:val="nil"/>
              <w:bottom w:val="single" w:sz="4" w:space="0" w:color="auto"/>
              <w:right w:val="single" w:sz="4" w:space="0" w:color="auto"/>
            </w:tcBorders>
            <w:shd w:val="clear" w:color="auto" w:fill="auto"/>
            <w:noWrap/>
            <w:vAlign w:val="center"/>
            <w:hideMark/>
          </w:tcPr>
          <w:p w14:paraId="201A904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5640245000</w:t>
            </w:r>
          </w:p>
        </w:tc>
        <w:tc>
          <w:tcPr>
            <w:tcW w:w="547" w:type="pct"/>
            <w:tcBorders>
              <w:top w:val="nil"/>
              <w:left w:val="nil"/>
              <w:bottom w:val="single" w:sz="4" w:space="0" w:color="auto"/>
              <w:right w:val="single" w:sz="4" w:space="0" w:color="auto"/>
            </w:tcBorders>
            <w:shd w:val="clear" w:color="auto" w:fill="auto"/>
            <w:noWrap/>
            <w:vAlign w:val="center"/>
            <w:hideMark/>
          </w:tcPr>
          <w:p w14:paraId="361CBF4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28051076</w:t>
            </w:r>
          </w:p>
        </w:tc>
        <w:tc>
          <w:tcPr>
            <w:tcW w:w="3360" w:type="pct"/>
            <w:tcBorders>
              <w:top w:val="nil"/>
              <w:left w:val="nil"/>
              <w:bottom w:val="single" w:sz="4" w:space="0" w:color="auto"/>
              <w:right w:val="single" w:sz="4" w:space="0" w:color="auto"/>
            </w:tcBorders>
            <w:shd w:val="clear" w:color="auto" w:fill="auto"/>
            <w:vAlign w:val="center"/>
            <w:hideMark/>
          </w:tcPr>
          <w:p w14:paraId="07E3642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I MURSKA SOBOTA</w:t>
            </w:r>
          </w:p>
        </w:tc>
      </w:tr>
      <w:tr w:rsidR="00E3750C" w:rsidRPr="00415AB3" w14:paraId="5AE9E72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664742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1254</w:t>
            </w:r>
          </w:p>
        </w:tc>
        <w:tc>
          <w:tcPr>
            <w:tcW w:w="705" w:type="pct"/>
            <w:tcBorders>
              <w:top w:val="nil"/>
              <w:left w:val="nil"/>
              <w:bottom w:val="single" w:sz="4" w:space="0" w:color="auto"/>
              <w:right w:val="single" w:sz="4" w:space="0" w:color="auto"/>
            </w:tcBorders>
            <w:shd w:val="clear" w:color="auto" w:fill="auto"/>
            <w:noWrap/>
            <w:vAlign w:val="center"/>
            <w:hideMark/>
          </w:tcPr>
          <w:p w14:paraId="16CA029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5082986000</w:t>
            </w:r>
          </w:p>
        </w:tc>
        <w:tc>
          <w:tcPr>
            <w:tcW w:w="547" w:type="pct"/>
            <w:tcBorders>
              <w:top w:val="nil"/>
              <w:left w:val="nil"/>
              <w:bottom w:val="single" w:sz="4" w:space="0" w:color="auto"/>
              <w:right w:val="single" w:sz="4" w:space="0" w:color="auto"/>
            </w:tcBorders>
            <w:shd w:val="clear" w:color="auto" w:fill="auto"/>
            <w:noWrap/>
            <w:vAlign w:val="center"/>
            <w:hideMark/>
          </w:tcPr>
          <w:p w14:paraId="5ED3558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75180596</w:t>
            </w:r>
          </w:p>
        </w:tc>
        <w:tc>
          <w:tcPr>
            <w:tcW w:w="3360" w:type="pct"/>
            <w:tcBorders>
              <w:top w:val="nil"/>
              <w:left w:val="nil"/>
              <w:bottom w:val="single" w:sz="4" w:space="0" w:color="auto"/>
              <w:right w:val="single" w:sz="4" w:space="0" w:color="auto"/>
            </w:tcBorders>
            <w:shd w:val="clear" w:color="auto" w:fill="auto"/>
            <w:vAlign w:val="center"/>
            <w:hideMark/>
          </w:tcPr>
          <w:p w14:paraId="6C858FC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IDRIJA</w:t>
            </w:r>
          </w:p>
        </w:tc>
      </w:tr>
      <w:tr w:rsidR="00E3750C" w:rsidRPr="00415AB3" w14:paraId="2B7E689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A5510B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1255</w:t>
            </w:r>
          </w:p>
        </w:tc>
        <w:tc>
          <w:tcPr>
            <w:tcW w:w="705" w:type="pct"/>
            <w:tcBorders>
              <w:top w:val="nil"/>
              <w:left w:val="nil"/>
              <w:bottom w:val="single" w:sz="4" w:space="0" w:color="auto"/>
              <w:right w:val="single" w:sz="4" w:space="0" w:color="auto"/>
            </w:tcBorders>
            <w:shd w:val="clear" w:color="auto" w:fill="auto"/>
            <w:noWrap/>
            <w:vAlign w:val="center"/>
            <w:hideMark/>
          </w:tcPr>
          <w:p w14:paraId="0C70198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5640270000</w:t>
            </w:r>
          </w:p>
        </w:tc>
        <w:tc>
          <w:tcPr>
            <w:tcW w:w="547" w:type="pct"/>
            <w:tcBorders>
              <w:top w:val="nil"/>
              <w:left w:val="nil"/>
              <w:bottom w:val="single" w:sz="4" w:space="0" w:color="auto"/>
              <w:right w:val="single" w:sz="4" w:space="0" w:color="auto"/>
            </w:tcBorders>
            <w:shd w:val="clear" w:color="auto" w:fill="auto"/>
            <w:noWrap/>
            <w:vAlign w:val="center"/>
            <w:hideMark/>
          </w:tcPr>
          <w:p w14:paraId="438EFA1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10690336</w:t>
            </w:r>
          </w:p>
        </w:tc>
        <w:tc>
          <w:tcPr>
            <w:tcW w:w="3360" w:type="pct"/>
            <w:tcBorders>
              <w:top w:val="nil"/>
              <w:left w:val="nil"/>
              <w:bottom w:val="single" w:sz="4" w:space="0" w:color="auto"/>
              <w:right w:val="single" w:sz="4" w:space="0" w:color="auto"/>
            </w:tcBorders>
            <w:shd w:val="clear" w:color="auto" w:fill="auto"/>
            <w:vAlign w:val="center"/>
            <w:hideMark/>
          </w:tcPr>
          <w:p w14:paraId="5F1E610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II MURSKA SOBOTA</w:t>
            </w:r>
          </w:p>
        </w:tc>
      </w:tr>
      <w:tr w:rsidR="00E3750C" w:rsidRPr="00415AB3" w14:paraId="5A73F4A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B7E870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1256</w:t>
            </w:r>
          </w:p>
        </w:tc>
        <w:tc>
          <w:tcPr>
            <w:tcW w:w="705" w:type="pct"/>
            <w:tcBorders>
              <w:top w:val="nil"/>
              <w:left w:val="nil"/>
              <w:bottom w:val="single" w:sz="4" w:space="0" w:color="auto"/>
              <w:right w:val="single" w:sz="4" w:space="0" w:color="auto"/>
            </w:tcBorders>
            <w:shd w:val="clear" w:color="auto" w:fill="auto"/>
            <w:noWrap/>
            <w:vAlign w:val="center"/>
            <w:hideMark/>
          </w:tcPr>
          <w:p w14:paraId="300DDC4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5640261000</w:t>
            </w:r>
          </w:p>
        </w:tc>
        <w:tc>
          <w:tcPr>
            <w:tcW w:w="547" w:type="pct"/>
            <w:tcBorders>
              <w:top w:val="nil"/>
              <w:left w:val="nil"/>
              <w:bottom w:val="single" w:sz="4" w:space="0" w:color="auto"/>
              <w:right w:val="single" w:sz="4" w:space="0" w:color="auto"/>
            </w:tcBorders>
            <w:shd w:val="clear" w:color="auto" w:fill="auto"/>
            <w:noWrap/>
            <w:vAlign w:val="center"/>
            <w:hideMark/>
          </w:tcPr>
          <w:p w14:paraId="1EC92C8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53080548</w:t>
            </w:r>
          </w:p>
        </w:tc>
        <w:tc>
          <w:tcPr>
            <w:tcW w:w="3360" w:type="pct"/>
            <w:tcBorders>
              <w:top w:val="nil"/>
              <w:left w:val="nil"/>
              <w:bottom w:val="single" w:sz="4" w:space="0" w:color="auto"/>
              <w:right w:val="single" w:sz="4" w:space="0" w:color="auto"/>
            </w:tcBorders>
            <w:shd w:val="clear" w:color="auto" w:fill="auto"/>
            <w:vAlign w:val="center"/>
            <w:hideMark/>
          </w:tcPr>
          <w:p w14:paraId="26BDCD2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III MURSKA SOBOTA</w:t>
            </w:r>
          </w:p>
        </w:tc>
      </w:tr>
      <w:tr w:rsidR="00E3750C" w:rsidRPr="00415AB3" w14:paraId="1E40A28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D7EBB2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1257</w:t>
            </w:r>
          </w:p>
        </w:tc>
        <w:tc>
          <w:tcPr>
            <w:tcW w:w="705" w:type="pct"/>
            <w:tcBorders>
              <w:top w:val="nil"/>
              <w:left w:val="nil"/>
              <w:bottom w:val="single" w:sz="4" w:space="0" w:color="auto"/>
              <w:right w:val="single" w:sz="4" w:space="0" w:color="auto"/>
            </w:tcBorders>
            <w:shd w:val="clear" w:color="auto" w:fill="auto"/>
            <w:noWrap/>
            <w:vAlign w:val="center"/>
            <w:hideMark/>
          </w:tcPr>
          <w:p w14:paraId="71DEE8B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7085761000</w:t>
            </w:r>
          </w:p>
        </w:tc>
        <w:tc>
          <w:tcPr>
            <w:tcW w:w="547" w:type="pct"/>
            <w:tcBorders>
              <w:top w:val="nil"/>
              <w:left w:val="nil"/>
              <w:bottom w:val="single" w:sz="4" w:space="0" w:color="auto"/>
              <w:right w:val="single" w:sz="4" w:space="0" w:color="auto"/>
            </w:tcBorders>
            <w:shd w:val="clear" w:color="auto" w:fill="auto"/>
            <w:noWrap/>
            <w:vAlign w:val="center"/>
            <w:hideMark/>
          </w:tcPr>
          <w:p w14:paraId="0F927FA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84095580</w:t>
            </w:r>
          </w:p>
        </w:tc>
        <w:tc>
          <w:tcPr>
            <w:tcW w:w="3360" w:type="pct"/>
            <w:tcBorders>
              <w:top w:val="nil"/>
              <w:left w:val="nil"/>
              <w:bottom w:val="single" w:sz="4" w:space="0" w:color="auto"/>
              <w:right w:val="single" w:sz="4" w:space="0" w:color="auto"/>
            </w:tcBorders>
            <w:shd w:val="clear" w:color="auto" w:fill="auto"/>
            <w:vAlign w:val="center"/>
            <w:hideMark/>
          </w:tcPr>
          <w:p w14:paraId="02374AE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IN VRTEC ANKARAN</w:t>
            </w:r>
          </w:p>
        </w:tc>
      </w:tr>
      <w:tr w:rsidR="00E3750C" w:rsidRPr="00415AB3" w14:paraId="1D79B19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0A9155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1258</w:t>
            </w:r>
          </w:p>
        </w:tc>
        <w:tc>
          <w:tcPr>
            <w:tcW w:w="705" w:type="pct"/>
            <w:tcBorders>
              <w:top w:val="nil"/>
              <w:left w:val="nil"/>
              <w:bottom w:val="single" w:sz="4" w:space="0" w:color="auto"/>
              <w:right w:val="single" w:sz="4" w:space="0" w:color="auto"/>
            </w:tcBorders>
            <w:shd w:val="clear" w:color="auto" w:fill="auto"/>
            <w:noWrap/>
            <w:vAlign w:val="center"/>
            <w:hideMark/>
          </w:tcPr>
          <w:p w14:paraId="61A5008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5084768000</w:t>
            </w:r>
          </w:p>
        </w:tc>
        <w:tc>
          <w:tcPr>
            <w:tcW w:w="547" w:type="pct"/>
            <w:tcBorders>
              <w:top w:val="nil"/>
              <w:left w:val="nil"/>
              <w:bottom w:val="single" w:sz="4" w:space="0" w:color="auto"/>
              <w:right w:val="single" w:sz="4" w:space="0" w:color="auto"/>
            </w:tcBorders>
            <w:shd w:val="clear" w:color="auto" w:fill="auto"/>
            <w:noWrap/>
            <w:vAlign w:val="center"/>
            <w:hideMark/>
          </w:tcPr>
          <w:p w14:paraId="121204E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34766219</w:t>
            </w:r>
          </w:p>
        </w:tc>
        <w:tc>
          <w:tcPr>
            <w:tcW w:w="3360" w:type="pct"/>
            <w:tcBorders>
              <w:top w:val="nil"/>
              <w:left w:val="nil"/>
              <w:bottom w:val="single" w:sz="4" w:space="0" w:color="auto"/>
              <w:right w:val="single" w:sz="4" w:space="0" w:color="auto"/>
            </w:tcBorders>
            <w:shd w:val="clear" w:color="auto" w:fill="auto"/>
            <w:vAlign w:val="center"/>
            <w:hideMark/>
          </w:tcPr>
          <w:p w14:paraId="5853AF5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IN VRTEC APAČE</w:t>
            </w:r>
          </w:p>
        </w:tc>
      </w:tr>
      <w:tr w:rsidR="00E3750C" w:rsidRPr="00415AB3" w14:paraId="18D2C15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09F78D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1259</w:t>
            </w:r>
          </w:p>
        </w:tc>
        <w:tc>
          <w:tcPr>
            <w:tcW w:w="705" w:type="pct"/>
            <w:tcBorders>
              <w:top w:val="nil"/>
              <w:left w:val="nil"/>
              <w:bottom w:val="single" w:sz="4" w:space="0" w:color="auto"/>
              <w:right w:val="single" w:sz="4" w:space="0" w:color="auto"/>
            </w:tcBorders>
            <w:shd w:val="clear" w:color="auto" w:fill="auto"/>
            <w:noWrap/>
            <w:vAlign w:val="center"/>
            <w:hideMark/>
          </w:tcPr>
          <w:p w14:paraId="60EB179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5083133000</w:t>
            </w:r>
          </w:p>
        </w:tc>
        <w:tc>
          <w:tcPr>
            <w:tcW w:w="547" w:type="pct"/>
            <w:tcBorders>
              <w:top w:val="nil"/>
              <w:left w:val="nil"/>
              <w:bottom w:val="single" w:sz="4" w:space="0" w:color="auto"/>
              <w:right w:val="single" w:sz="4" w:space="0" w:color="auto"/>
            </w:tcBorders>
            <w:shd w:val="clear" w:color="auto" w:fill="auto"/>
            <w:noWrap/>
            <w:vAlign w:val="center"/>
            <w:hideMark/>
          </w:tcPr>
          <w:p w14:paraId="35F5972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78522625</w:t>
            </w:r>
          </w:p>
        </w:tc>
        <w:tc>
          <w:tcPr>
            <w:tcW w:w="3360" w:type="pct"/>
            <w:tcBorders>
              <w:top w:val="nil"/>
              <w:left w:val="nil"/>
              <w:bottom w:val="single" w:sz="4" w:space="0" w:color="auto"/>
              <w:right w:val="single" w:sz="4" w:space="0" w:color="auto"/>
            </w:tcBorders>
            <w:shd w:val="clear" w:color="auto" w:fill="auto"/>
            <w:vAlign w:val="center"/>
            <w:hideMark/>
          </w:tcPr>
          <w:p w14:paraId="29B4D16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ISTRSKEGA ODREDA GRAČIŠČE</w:t>
            </w:r>
          </w:p>
        </w:tc>
      </w:tr>
      <w:tr w:rsidR="00E3750C" w:rsidRPr="00415AB3" w14:paraId="4011BA7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84F639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1260</w:t>
            </w:r>
          </w:p>
        </w:tc>
        <w:tc>
          <w:tcPr>
            <w:tcW w:w="705" w:type="pct"/>
            <w:tcBorders>
              <w:top w:val="nil"/>
              <w:left w:val="nil"/>
              <w:bottom w:val="single" w:sz="4" w:space="0" w:color="auto"/>
              <w:right w:val="single" w:sz="4" w:space="0" w:color="auto"/>
            </w:tcBorders>
            <w:shd w:val="clear" w:color="auto" w:fill="auto"/>
            <w:noWrap/>
            <w:vAlign w:val="center"/>
            <w:hideMark/>
          </w:tcPr>
          <w:p w14:paraId="48AD95C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5640253000</w:t>
            </w:r>
          </w:p>
        </w:tc>
        <w:tc>
          <w:tcPr>
            <w:tcW w:w="547" w:type="pct"/>
            <w:tcBorders>
              <w:top w:val="nil"/>
              <w:left w:val="nil"/>
              <w:bottom w:val="single" w:sz="4" w:space="0" w:color="auto"/>
              <w:right w:val="single" w:sz="4" w:space="0" w:color="auto"/>
            </w:tcBorders>
            <w:shd w:val="clear" w:color="auto" w:fill="auto"/>
            <w:noWrap/>
            <w:vAlign w:val="center"/>
            <w:hideMark/>
          </w:tcPr>
          <w:p w14:paraId="4657533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10286179</w:t>
            </w:r>
          </w:p>
        </w:tc>
        <w:tc>
          <w:tcPr>
            <w:tcW w:w="3360" w:type="pct"/>
            <w:tcBorders>
              <w:top w:val="nil"/>
              <w:left w:val="nil"/>
              <w:bottom w:val="single" w:sz="4" w:space="0" w:color="auto"/>
              <w:right w:val="single" w:sz="4" w:space="0" w:color="auto"/>
            </w:tcBorders>
            <w:shd w:val="clear" w:color="auto" w:fill="auto"/>
            <w:vAlign w:val="center"/>
            <w:hideMark/>
          </w:tcPr>
          <w:p w14:paraId="1F20957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IV MURSKA SOBOTA</w:t>
            </w:r>
          </w:p>
        </w:tc>
      </w:tr>
      <w:tr w:rsidR="00E3750C" w:rsidRPr="00415AB3" w14:paraId="3143F59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32B135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1261</w:t>
            </w:r>
          </w:p>
        </w:tc>
        <w:tc>
          <w:tcPr>
            <w:tcW w:w="705" w:type="pct"/>
            <w:tcBorders>
              <w:top w:val="nil"/>
              <w:left w:val="nil"/>
              <w:bottom w:val="single" w:sz="4" w:space="0" w:color="auto"/>
              <w:right w:val="single" w:sz="4" w:space="0" w:color="auto"/>
            </w:tcBorders>
            <w:shd w:val="clear" w:color="auto" w:fill="auto"/>
            <w:noWrap/>
            <w:vAlign w:val="center"/>
            <w:hideMark/>
          </w:tcPr>
          <w:p w14:paraId="2692B01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5083150000</w:t>
            </w:r>
          </w:p>
        </w:tc>
        <w:tc>
          <w:tcPr>
            <w:tcW w:w="547" w:type="pct"/>
            <w:tcBorders>
              <w:top w:val="nil"/>
              <w:left w:val="nil"/>
              <w:bottom w:val="single" w:sz="4" w:space="0" w:color="auto"/>
              <w:right w:val="single" w:sz="4" w:space="0" w:color="auto"/>
            </w:tcBorders>
            <w:shd w:val="clear" w:color="auto" w:fill="auto"/>
            <w:noWrap/>
            <w:vAlign w:val="center"/>
            <w:hideMark/>
          </w:tcPr>
          <w:p w14:paraId="647A9CB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34559477</w:t>
            </w:r>
          </w:p>
        </w:tc>
        <w:tc>
          <w:tcPr>
            <w:tcW w:w="3360" w:type="pct"/>
            <w:tcBorders>
              <w:top w:val="nil"/>
              <w:left w:val="nil"/>
              <w:bottom w:val="single" w:sz="4" w:space="0" w:color="auto"/>
              <w:right w:val="single" w:sz="4" w:space="0" w:color="auto"/>
            </w:tcBorders>
            <w:shd w:val="clear" w:color="auto" w:fill="auto"/>
            <w:vAlign w:val="center"/>
            <w:hideMark/>
          </w:tcPr>
          <w:p w14:paraId="4EDA8C4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IVANA BABIČA-JAGRA MAREZIGE</w:t>
            </w:r>
          </w:p>
        </w:tc>
      </w:tr>
      <w:tr w:rsidR="00E3750C" w:rsidRPr="00415AB3" w14:paraId="2C4DDFD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731FA2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1262</w:t>
            </w:r>
          </w:p>
        </w:tc>
        <w:tc>
          <w:tcPr>
            <w:tcW w:w="705" w:type="pct"/>
            <w:tcBorders>
              <w:top w:val="nil"/>
              <w:left w:val="nil"/>
              <w:bottom w:val="single" w:sz="4" w:space="0" w:color="auto"/>
              <w:right w:val="single" w:sz="4" w:space="0" w:color="auto"/>
            </w:tcBorders>
            <w:shd w:val="clear" w:color="auto" w:fill="auto"/>
            <w:noWrap/>
            <w:vAlign w:val="center"/>
            <w:hideMark/>
          </w:tcPr>
          <w:p w14:paraId="7357530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5088330000</w:t>
            </w:r>
          </w:p>
        </w:tc>
        <w:tc>
          <w:tcPr>
            <w:tcW w:w="547" w:type="pct"/>
            <w:tcBorders>
              <w:top w:val="nil"/>
              <w:left w:val="nil"/>
              <w:bottom w:val="single" w:sz="4" w:space="0" w:color="auto"/>
              <w:right w:val="single" w:sz="4" w:space="0" w:color="auto"/>
            </w:tcBorders>
            <w:shd w:val="clear" w:color="auto" w:fill="auto"/>
            <w:noWrap/>
            <w:vAlign w:val="center"/>
            <w:hideMark/>
          </w:tcPr>
          <w:p w14:paraId="78194D1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78824966</w:t>
            </w:r>
          </w:p>
        </w:tc>
        <w:tc>
          <w:tcPr>
            <w:tcW w:w="3360" w:type="pct"/>
            <w:tcBorders>
              <w:top w:val="nil"/>
              <w:left w:val="nil"/>
              <w:bottom w:val="single" w:sz="4" w:space="0" w:color="auto"/>
              <w:right w:val="single" w:sz="4" w:space="0" w:color="auto"/>
            </w:tcBorders>
            <w:shd w:val="clear" w:color="auto" w:fill="auto"/>
            <w:vAlign w:val="center"/>
            <w:hideMark/>
          </w:tcPr>
          <w:p w14:paraId="7DAE8C6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IVANA CANKARJA</w:t>
            </w:r>
          </w:p>
        </w:tc>
      </w:tr>
      <w:tr w:rsidR="00E3750C" w:rsidRPr="00415AB3" w14:paraId="5647878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290A4B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1263</w:t>
            </w:r>
          </w:p>
        </w:tc>
        <w:tc>
          <w:tcPr>
            <w:tcW w:w="705" w:type="pct"/>
            <w:tcBorders>
              <w:top w:val="nil"/>
              <w:left w:val="nil"/>
              <w:bottom w:val="single" w:sz="4" w:space="0" w:color="auto"/>
              <w:right w:val="single" w:sz="4" w:space="0" w:color="auto"/>
            </w:tcBorders>
            <w:shd w:val="clear" w:color="auto" w:fill="auto"/>
            <w:noWrap/>
            <w:vAlign w:val="center"/>
            <w:hideMark/>
          </w:tcPr>
          <w:p w14:paraId="420B5B5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5085012000</w:t>
            </w:r>
          </w:p>
        </w:tc>
        <w:tc>
          <w:tcPr>
            <w:tcW w:w="547" w:type="pct"/>
            <w:tcBorders>
              <w:top w:val="nil"/>
              <w:left w:val="nil"/>
              <w:bottom w:val="single" w:sz="4" w:space="0" w:color="auto"/>
              <w:right w:val="single" w:sz="4" w:space="0" w:color="auto"/>
            </w:tcBorders>
            <w:shd w:val="clear" w:color="auto" w:fill="auto"/>
            <w:noWrap/>
            <w:vAlign w:val="center"/>
            <w:hideMark/>
          </w:tcPr>
          <w:p w14:paraId="48BB08A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92006582</w:t>
            </w:r>
          </w:p>
        </w:tc>
        <w:tc>
          <w:tcPr>
            <w:tcW w:w="3360" w:type="pct"/>
            <w:tcBorders>
              <w:top w:val="nil"/>
              <w:left w:val="nil"/>
              <w:bottom w:val="single" w:sz="4" w:space="0" w:color="auto"/>
              <w:right w:val="single" w:sz="4" w:space="0" w:color="auto"/>
            </w:tcBorders>
            <w:shd w:val="clear" w:color="auto" w:fill="auto"/>
            <w:vAlign w:val="center"/>
            <w:hideMark/>
          </w:tcPr>
          <w:p w14:paraId="4A48649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IVANA CANKARJA LJUTOMER</w:t>
            </w:r>
          </w:p>
        </w:tc>
      </w:tr>
      <w:tr w:rsidR="00E3750C" w:rsidRPr="00415AB3" w14:paraId="7D20BEA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1268F3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1264</w:t>
            </w:r>
          </w:p>
        </w:tc>
        <w:tc>
          <w:tcPr>
            <w:tcW w:w="705" w:type="pct"/>
            <w:tcBorders>
              <w:top w:val="nil"/>
              <w:left w:val="nil"/>
              <w:bottom w:val="single" w:sz="4" w:space="0" w:color="auto"/>
              <w:right w:val="single" w:sz="4" w:space="0" w:color="auto"/>
            </w:tcBorders>
            <w:shd w:val="clear" w:color="auto" w:fill="auto"/>
            <w:noWrap/>
            <w:vAlign w:val="center"/>
            <w:hideMark/>
          </w:tcPr>
          <w:p w14:paraId="0F504C8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5889286000</w:t>
            </w:r>
          </w:p>
        </w:tc>
        <w:tc>
          <w:tcPr>
            <w:tcW w:w="547" w:type="pct"/>
            <w:tcBorders>
              <w:top w:val="nil"/>
              <w:left w:val="nil"/>
              <w:bottom w:val="single" w:sz="4" w:space="0" w:color="auto"/>
              <w:right w:val="single" w:sz="4" w:space="0" w:color="auto"/>
            </w:tcBorders>
            <w:shd w:val="clear" w:color="auto" w:fill="auto"/>
            <w:noWrap/>
            <w:vAlign w:val="center"/>
            <w:hideMark/>
          </w:tcPr>
          <w:p w14:paraId="1693B47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59416815</w:t>
            </w:r>
          </w:p>
        </w:tc>
        <w:tc>
          <w:tcPr>
            <w:tcW w:w="3360" w:type="pct"/>
            <w:tcBorders>
              <w:top w:val="nil"/>
              <w:left w:val="nil"/>
              <w:bottom w:val="single" w:sz="4" w:space="0" w:color="auto"/>
              <w:right w:val="single" w:sz="4" w:space="0" w:color="auto"/>
            </w:tcBorders>
            <w:shd w:val="clear" w:color="auto" w:fill="auto"/>
            <w:vAlign w:val="center"/>
            <w:hideMark/>
          </w:tcPr>
          <w:p w14:paraId="3B7E737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IVANA CANKARJA TRBOVLJE</w:t>
            </w:r>
          </w:p>
        </w:tc>
      </w:tr>
      <w:tr w:rsidR="00E3750C" w:rsidRPr="00415AB3" w14:paraId="5A00761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C3FC4E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1265</w:t>
            </w:r>
          </w:p>
        </w:tc>
        <w:tc>
          <w:tcPr>
            <w:tcW w:w="705" w:type="pct"/>
            <w:tcBorders>
              <w:top w:val="nil"/>
              <w:left w:val="nil"/>
              <w:bottom w:val="single" w:sz="4" w:space="0" w:color="auto"/>
              <w:right w:val="single" w:sz="4" w:space="0" w:color="auto"/>
            </w:tcBorders>
            <w:shd w:val="clear" w:color="auto" w:fill="auto"/>
            <w:noWrap/>
            <w:vAlign w:val="center"/>
            <w:hideMark/>
          </w:tcPr>
          <w:p w14:paraId="65715B2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5263620000</w:t>
            </w:r>
          </w:p>
        </w:tc>
        <w:tc>
          <w:tcPr>
            <w:tcW w:w="547" w:type="pct"/>
            <w:tcBorders>
              <w:top w:val="nil"/>
              <w:left w:val="nil"/>
              <w:bottom w:val="single" w:sz="4" w:space="0" w:color="auto"/>
              <w:right w:val="single" w:sz="4" w:space="0" w:color="auto"/>
            </w:tcBorders>
            <w:shd w:val="clear" w:color="auto" w:fill="auto"/>
            <w:noWrap/>
            <w:vAlign w:val="center"/>
            <w:hideMark/>
          </w:tcPr>
          <w:p w14:paraId="48C20E6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94792259</w:t>
            </w:r>
          </w:p>
        </w:tc>
        <w:tc>
          <w:tcPr>
            <w:tcW w:w="3360" w:type="pct"/>
            <w:tcBorders>
              <w:top w:val="nil"/>
              <w:left w:val="nil"/>
              <w:bottom w:val="single" w:sz="4" w:space="0" w:color="auto"/>
              <w:right w:val="single" w:sz="4" w:space="0" w:color="auto"/>
            </w:tcBorders>
            <w:shd w:val="clear" w:color="auto" w:fill="auto"/>
            <w:vAlign w:val="center"/>
            <w:hideMark/>
          </w:tcPr>
          <w:p w14:paraId="57AE6FB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IVANA GROHARJA</w:t>
            </w:r>
          </w:p>
        </w:tc>
      </w:tr>
      <w:tr w:rsidR="00E3750C" w:rsidRPr="00415AB3" w14:paraId="3C8507A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EBFAD3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1266</w:t>
            </w:r>
          </w:p>
        </w:tc>
        <w:tc>
          <w:tcPr>
            <w:tcW w:w="705" w:type="pct"/>
            <w:tcBorders>
              <w:top w:val="nil"/>
              <w:left w:val="nil"/>
              <w:bottom w:val="single" w:sz="4" w:space="0" w:color="auto"/>
              <w:right w:val="single" w:sz="4" w:space="0" w:color="auto"/>
            </w:tcBorders>
            <w:shd w:val="clear" w:color="auto" w:fill="auto"/>
            <w:noWrap/>
            <w:vAlign w:val="center"/>
            <w:hideMark/>
          </w:tcPr>
          <w:p w14:paraId="7A660FA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5088372000</w:t>
            </w:r>
          </w:p>
        </w:tc>
        <w:tc>
          <w:tcPr>
            <w:tcW w:w="547" w:type="pct"/>
            <w:tcBorders>
              <w:top w:val="nil"/>
              <w:left w:val="nil"/>
              <w:bottom w:val="single" w:sz="4" w:space="0" w:color="auto"/>
              <w:right w:val="single" w:sz="4" w:space="0" w:color="auto"/>
            </w:tcBorders>
            <w:shd w:val="clear" w:color="auto" w:fill="auto"/>
            <w:noWrap/>
            <w:vAlign w:val="center"/>
            <w:hideMark/>
          </w:tcPr>
          <w:p w14:paraId="38730AE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33761663</w:t>
            </w:r>
          </w:p>
        </w:tc>
        <w:tc>
          <w:tcPr>
            <w:tcW w:w="3360" w:type="pct"/>
            <w:tcBorders>
              <w:top w:val="nil"/>
              <w:left w:val="nil"/>
              <w:bottom w:val="single" w:sz="4" w:space="0" w:color="auto"/>
              <w:right w:val="single" w:sz="4" w:space="0" w:color="auto"/>
            </w:tcBorders>
            <w:shd w:val="clear" w:color="auto" w:fill="auto"/>
            <w:vAlign w:val="center"/>
            <w:hideMark/>
          </w:tcPr>
          <w:p w14:paraId="3076115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IVANA KAVČIČA</w:t>
            </w:r>
          </w:p>
        </w:tc>
      </w:tr>
      <w:tr w:rsidR="00E3750C" w:rsidRPr="00415AB3" w14:paraId="7D01FAC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682AC7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1267</w:t>
            </w:r>
          </w:p>
        </w:tc>
        <w:tc>
          <w:tcPr>
            <w:tcW w:w="705" w:type="pct"/>
            <w:tcBorders>
              <w:top w:val="nil"/>
              <w:left w:val="nil"/>
              <w:bottom w:val="single" w:sz="4" w:space="0" w:color="auto"/>
              <w:right w:val="single" w:sz="4" w:space="0" w:color="auto"/>
            </w:tcBorders>
            <w:shd w:val="clear" w:color="auto" w:fill="auto"/>
            <w:noWrap/>
            <w:vAlign w:val="center"/>
            <w:hideMark/>
          </w:tcPr>
          <w:p w14:paraId="6E1E35A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5089069000</w:t>
            </w:r>
          </w:p>
        </w:tc>
        <w:tc>
          <w:tcPr>
            <w:tcW w:w="547" w:type="pct"/>
            <w:tcBorders>
              <w:top w:val="nil"/>
              <w:left w:val="nil"/>
              <w:bottom w:val="single" w:sz="4" w:space="0" w:color="auto"/>
              <w:right w:val="single" w:sz="4" w:space="0" w:color="auto"/>
            </w:tcBorders>
            <w:shd w:val="clear" w:color="auto" w:fill="auto"/>
            <w:noWrap/>
            <w:vAlign w:val="center"/>
            <w:hideMark/>
          </w:tcPr>
          <w:p w14:paraId="17FE2AC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11522399</w:t>
            </w:r>
          </w:p>
        </w:tc>
        <w:tc>
          <w:tcPr>
            <w:tcW w:w="3360" w:type="pct"/>
            <w:tcBorders>
              <w:top w:val="nil"/>
              <w:left w:val="nil"/>
              <w:bottom w:val="single" w:sz="4" w:space="0" w:color="auto"/>
              <w:right w:val="single" w:sz="4" w:space="0" w:color="auto"/>
            </w:tcBorders>
            <w:shd w:val="clear" w:color="auto" w:fill="auto"/>
            <w:vAlign w:val="center"/>
            <w:hideMark/>
          </w:tcPr>
          <w:p w14:paraId="0CBB002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IVANA ROBA ŠEMPETER PRI GORICI</w:t>
            </w:r>
          </w:p>
        </w:tc>
      </w:tr>
      <w:tr w:rsidR="00E3750C" w:rsidRPr="00415AB3" w14:paraId="752F4F4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FFDEAD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1268</w:t>
            </w:r>
          </w:p>
        </w:tc>
        <w:tc>
          <w:tcPr>
            <w:tcW w:w="705" w:type="pct"/>
            <w:tcBorders>
              <w:top w:val="nil"/>
              <w:left w:val="nil"/>
              <w:bottom w:val="single" w:sz="4" w:space="0" w:color="auto"/>
              <w:right w:val="single" w:sz="4" w:space="0" w:color="auto"/>
            </w:tcBorders>
            <w:shd w:val="clear" w:color="auto" w:fill="auto"/>
            <w:noWrap/>
            <w:vAlign w:val="center"/>
            <w:hideMark/>
          </w:tcPr>
          <w:p w14:paraId="5B266E5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5088402000</w:t>
            </w:r>
          </w:p>
        </w:tc>
        <w:tc>
          <w:tcPr>
            <w:tcW w:w="547" w:type="pct"/>
            <w:tcBorders>
              <w:top w:val="nil"/>
              <w:left w:val="nil"/>
              <w:bottom w:val="single" w:sz="4" w:space="0" w:color="auto"/>
              <w:right w:val="single" w:sz="4" w:space="0" w:color="auto"/>
            </w:tcBorders>
            <w:shd w:val="clear" w:color="auto" w:fill="auto"/>
            <w:noWrap/>
            <w:vAlign w:val="center"/>
            <w:hideMark/>
          </w:tcPr>
          <w:p w14:paraId="6C645A6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44831994</w:t>
            </w:r>
          </w:p>
        </w:tc>
        <w:tc>
          <w:tcPr>
            <w:tcW w:w="3360" w:type="pct"/>
            <w:tcBorders>
              <w:top w:val="nil"/>
              <w:left w:val="nil"/>
              <w:bottom w:val="single" w:sz="4" w:space="0" w:color="auto"/>
              <w:right w:val="single" w:sz="4" w:space="0" w:color="auto"/>
            </w:tcBorders>
            <w:shd w:val="clear" w:color="auto" w:fill="auto"/>
            <w:vAlign w:val="center"/>
            <w:hideMark/>
          </w:tcPr>
          <w:p w14:paraId="60ECBD8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IVANA SKVARČE ZAGORJE OB SAVI, C. 9. AVGUSTA 44</w:t>
            </w:r>
          </w:p>
        </w:tc>
      </w:tr>
      <w:tr w:rsidR="00E3750C" w:rsidRPr="00415AB3" w14:paraId="749B95B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30197A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1269</w:t>
            </w:r>
          </w:p>
        </w:tc>
        <w:tc>
          <w:tcPr>
            <w:tcW w:w="705" w:type="pct"/>
            <w:tcBorders>
              <w:top w:val="nil"/>
              <w:left w:val="nil"/>
              <w:bottom w:val="single" w:sz="4" w:space="0" w:color="auto"/>
              <w:right w:val="single" w:sz="4" w:space="0" w:color="auto"/>
            </w:tcBorders>
            <w:shd w:val="clear" w:color="auto" w:fill="auto"/>
            <w:noWrap/>
            <w:vAlign w:val="center"/>
            <w:hideMark/>
          </w:tcPr>
          <w:p w14:paraId="5F23F6D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5087813000</w:t>
            </w:r>
          </w:p>
        </w:tc>
        <w:tc>
          <w:tcPr>
            <w:tcW w:w="547" w:type="pct"/>
            <w:tcBorders>
              <w:top w:val="nil"/>
              <w:left w:val="nil"/>
              <w:bottom w:val="single" w:sz="4" w:space="0" w:color="auto"/>
              <w:right w:val="single" w:sz="4" w:space="0" w:color="auto"/>
            </w:tcBorders>
            <w:shd w:val="clear" w:color="auto" w:fill="auto"/>
            <w:noWrap/>
            <w:vAlign w:val="center"/>
            <w:hideMark/>
          </w:tcPr>
          <w:p w14:paraId="01C1D57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72397870</w:t>
            </w:r>
          </w:p>
        </w:tc>
        <w:tc>
          <w:tcPr>
            <w:tcW w:w="3360" w:type="pct"/>
            <w:tcBorders>
              <w:top w:val="nil"/>
              <w:left w:val="nil"/>
              <w:bottom w:val="single" w:sz="4" w:space="0" w:color="auto"/>
              <w:right w:val="single" w:sz="4" w:space="0" w:color="auto"/>
            </w:tcBorders>
            <w:shd w:val="clear" w:color="auto" w:fill="auto"/>
            <w:vAlign w:val="center"/>
            <w:hideMark/>
          </w:tcPr>
          <w:p w14:paraId="0427595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IVANA TAVČARJA GORENJA VAS</w:t>
            </w:r>
          </w:p>
        </w:tc>
      </w:tr>
      <w:tr w:rsidR="00E3750C" w:rsidRPr="00415AB3" w14:paraId="5EBC7ED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FCC151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1270</w:t>
            </w:r>
          </w:p>
        </w:tc>
        <w:tc>
          <w:tcPr>
            <w:tcW w:w="705" w:type="pct"/>
            <w:tcBorders>
              <w:top w:val="nil"/>
              <w:left w:val="nil"/>
              <w:bottom w:val="single" w:sz="4" w:space="0" w:color="auto"/>
              <w:right w:val="single" w:sz="4" w:space="0" w:color="auto"/>
            </w:tcBorders>
            <w:shd w:val="clear" w:color="auto" w:fill="auto"/>
            <w:noWrap/>
            <w:vAlign w:val="center"/>
            <w:hideMark/>
          </w:tcPr>
          <w:p w14:paraId="23511EB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5900026000</w:t>
            </w:r>
          </w:p>
        </w:tc>
        <w:tc>
          <w:tcPr>
            <w:tcW w:w="547" w:type="pct"/>
            <w:tcBorders>
              <w:top w:val="nil"/>
              <w:left w:val="nil"/>
              <w:bottom w:val="single" w:sz="4" w:space="0" w:color="auto"/>
              <w:right w:val="single" w:sz="4" w:space="0" w:color="auto"/>
            </w:tcBorders>
            <w:shd w:val="clear" w:color="auto" w:fill="auto"/>
            <w:noWrap/>
            <w:vAlign w:val="center"/>
            <w:hideMark/>
          </w:tcPr>
          <w:p w14:paraId="7A134D4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41002270</w:t>
            </w:r>
          </w:p>
        </w:tc>
        <w:tc>
          <w:tcPr>
            <w:tcW w:w="3360" w:type="pct"/>
            <w:tcBorders>
              <w:top w:val="nil"/>
              <w:left w:val="nil"/>
              <w:bottom w:val="single" w:sz="4" w:space="0" w:color="auto"/>
              <w:right w:val="single" w:sz="4" w:space="0" w:color="auto"/>
            </w:tcBorders>
            <w:shd w:val="clear" w:color="auto" w:fill="auto"/>
            <w:vAlign w:val="center"/>
            <w:hideMark/>
          </w:tcPr>
          <w:p w14:paraId="5187B87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IVANJKOVCI</w:t>
            </w:r>
          </w:p>
        </w:tc>
      </w:tr>
      <w:tr w:rsidR="00E3750C" w:rsidRPr="00415AB3" w14:paraId="4B89602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05A5D7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1271</w:t>
            </w:r>
          </w:p>
        </w:tc>
        <w:tc>
          <w:tcPr>
            <w:tcW w:w="705" w:type="pct"/>
            <w:tcBorders>
              <w:top w:val="nil"/>
              <w:left w:val="nil"/>
              <w:bottom w:val="single" w:sz="4" w:space="0" w:color="auto"/>
              <w:right w:val="single" w:sz="4" w:space="0" w:color="auto"/>
            </w:tcBorders>
            <w:shd w:val="clear" w:color="auto" w:fill="auto"/>
            <w:noWrap/>
            <w:vAlign w:val="center"/>
            <w:hideMark/>
          </w:tcPr>
          <w:p w14:paraId="25BF640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5204941000</w:t>
            </w:r>
          </w:p>
        </w:tc>
        <w:tc>
          <w:tcPr>
            <w:tcW w:w="547" w:type="pct"/>
            <w:tcBorders>
              <w:top w:val="nil"/>
              <w:left w:val="nil"/>
              <w:bottom w:val="single" w:sz="4" w:space="0" w:color="auto"/>
              <w:right w:val="single" w:sz="4" w:space="0" w:color="auto"/>
            </w:tcBorders>
            <w:shd w:val="clear" w:color="auto" w:fill="auto"/>
            <w:noWrap/>
            <w:vAlign w:val="center"/>
            <w:hideMark/>
          </w:tcPr>
          <w:p w14:paraId="3A6D78A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45147990</w:t>
            </w:r>
          </w:p>
        </w:tc>
        <w:tc>
          <w:tcPr>
            <w:tcW w:w="3360" w:type="pct"/>
            <w:tcBorders>
              <w:top w:val="nil"/>
              <w:left w:val="nil"/>
              <w:bottom w:val="single" w:sz="4" w:space="0" w:color="auto"/>
              <w:right w:val="single" w:sz="4" w:space="0" w:color="auto"/>
            </w:tcBorders>
            <w:shd w:val="clear" w:color="auto" w:fill="auto"/>
            <w:vAlign w:val="center"/>
            <w:hideMark/>
          </w:tcPr>
          <w:p w14:paraId="14BA563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JAKOBA ALJAŽA KRANJ</w:t>
            </w:r>
          </w:p>
        </w:tc>
      </w:tr>
      <w:tr w:rsidR="00E3750C" w:rsidRPr="00415AB3" w14:paraId="10EC59D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039B30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1272</w:t>
            </w:r>
          </w:p>
        </w:tc>
        <w:tc>
          <w:tcPr>
            <w:tcW w:w="705" w:type="pct"/>
            <w:tcBorders>
              <w:top w:val="nil"/>
              <w:left w:val="nil"/>
              <w:bottom w:val="single" w:sz="4" w:space="0" w:color="auto"/>
              <w:right w:val="single" w:sz="4" w:space="0" w:color="auto"/>
            </w:tcBorders>
            <w:shd w:val="clear" w:color="auto" w:fill="auto"/>
            <w:noWrap/>
            <w:vAlign w:val="center"/>
            <w:hideMark/>
          </w:tcPr>
          <w:p w14:paraId="7095A94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5089344000</w:t>
            </w:r>
          </w:p>
        </w:tc>
        <w:tc>
          <w:tcPr>
            <w:tcW w:w="547" w:type="pct"/>
            <w:tcBorders>
              <w:top w:val="nil"/>
              <w:left w:val="nil"/>
              <w:bottom w:val="single" w:sz="4" w:space="0" w:color="auto"/>
              <w:right w:val="single" w:sz="4" w:space="0" w:color="auto"/>
            </w:tcBorders>
            <w:shd w:val="clear" w:color="auto" w:fill="auto"/>
            <w:noWrap/>
            <w:vAlign w:val="center"/>
            <w:hideMark/>
          </w:tcPr>
          <w:p w14:paraId="388BAFF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10804412</w:t>
            </w:r>
          </w:p>
        </w:tc>
        <w:tc>
          <w:tcPr>
            <w:tcW w:w="3360" w:type="pct"/>
            <w:tcBorders>
              <w:top w:val="nil"/>
              <w:left w:val="nil"/>
              <w:bottom w:val="single" w:sz="4" w:space="0" w:color="auto"/>
              <w:right w:val="single" w:sz="4" w:space="0" w:color="auto"/>
            </w:tcBorders>
            <w:shd w:val="clear" w:color="auto" w:fill="auto"/>
            <w:vAlign w:val="center"/>
            <w:hideMark/>
          </w:tcPr>
          <w:p w14:paraId="61EB0A0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JANEZA KUHARJA RAZKRIŽJE</w:t>
            </w:r>
          </w:p>
        </w:tc>
      </w:tr>
      <w:tr w:rsidR="00E3750C" w:rsidRPr="00415AB3" w14:paraId="3109E2F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63FD99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1273</w:t>
            </w:r>
          </w:p>
        </w:tc>
        <w:tc>
          <w:tcPr>
            <w:tcW w:w="705" w:type="pct"/>
            <w:tcBorders>
              <w:top w:val="nil"/>
              <w:left w:val="nil"/>
              <w:bottom w:val="single" w:sz="4" w:space="0" w:color="auto"/>
              <w:right w:val="single" w:sz="4" w:space="0" w:color="auto"/>
            </w:tcBorders>
            <w:shd w:val="clear" w:color="auto" w:fill="auto"/>
            <w:noWrap/>
            <w:vAlign w:val="center"/>
            <w:hideMark/>
          </w:tcPr>
          <w:p w14:paraId="6A8B1DB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8889830000</w:t>
            </w:r>
          </w:p>
        </w:tc>
        <w:tc>
          <w:tcPr>
            <w:tcW w:w="547" w:type="pct"/>
            <w:tcBorders>
              <w:top w:val="nil"/>
              <w:left w:val="nil"/>
              <w:bottom w:val="single" w:sz="4" w:space="0" w:color="auto"/>
              <w:right w:val="single" w:sz="4" w:space="0" w:color="auto"/>
            </w:tcBorders>
            <w:shd w:val="clear" w:color="auto" w:fill="auto"/>
            <w:noWrap/>
            <w:vAlign w:val="center"/>
            <w:hideMark/>
          </w:tcPr>
          <w:p w14:paraId="75FFE79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46234551</w:t>
            </w:r>
          </w:p>
        </w:tc>
        <w:tc>
          <w:tcPr>
            <w:tcW w:w="3360" w:type="pct"/>
            <w:tcBorders>
              <w:top w:val="nil"/>
              <w:left w:val="nil"/>
              <w:bottom w:val="single" w:sz="4" w:space="0" w:color="auto"/>
              <w:right w:val="single" w:sz="4" w:space="0" w:color="auto"/>
            </w:tcBorders>
            <w:shd w:val="clear" w:color="auto" w:fill="auto"/>
            <w:vAlign w:val="center"/>
            <w:hideMark/>
          </w:tcPr>
          <w:p w14:paraId="7564A48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JANEZA PUHARJA KRANJ - CENTER</w:t>
            </w:r>
          </w:p>
        </w:tc>
      </w:tr>
      <w:tr w:rsidR="00E3750C" w:rsidRPr="00415AB3" w14:paraId="5B2AB56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35599B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1274</w:t>
            </w:r>
          </w:p>
        </w:tc>
        <w:tc>
          <w:tcPr>
            <w:tcW w:w="705" w:type="pct"/>
            <w:tcBorders>
              <w:top w:val="nil"/>
              <w:left w:val="nil"/>
              <w:bottom w:val="single" w:sz="4" w:space="0" w:color="auto"/>
              <w:right w:val="single" w:sz="4" w:space="0" w:color="auto"/>
            </w:tcBorders>
            <w:shd w:val="clear" w:color="auto" w:fill="auto"/>
            <w:noWrap/>
            <w:vAlign w:val="center"/>
            <w:hideMark/>
          </w:tcPr>
          <w:p w14:paraId="65F6D5D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5088852000</w:t>
            </w:r>
          </w:p>
        </w:tc>
        <w:tc>
          <w:tcPr>
            <w:tcW w:w="547" w:type="pct"/>
            <w:tcBorders>
              <w:top w:val="nil"/>
              <w:left w:val="nil"/>
              <w:bottom w:val="single" w:sz="4" w:space="0" w:color="auto"/>
              <w:right w:val="single" w:sz="4" w:space="0" w:color="auto"/>
            </w:tcBorders>
            <w:shd w:val="clear" w:color="auto" w:fill="auto"/>
            <w:noWrap/>
            <w:vAlign w:val="center"/>
            <w:hideMark/>
          </w:tcPr>
          <w:p w14:paraId="4976D3E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51038315</w:t>
            </w:r>
          </w:p>
        </w:tc>
        <w:tc>
          <w:tcPr>
            <w:tcW w:w="3360" w:type="pct"/>
            <w:tcBorders>
              <w:top w:val="nil"/>
              <w:left w:val="nil"/>
              <w:bottom w:val="single" w:sz="4" w:space="0" w:color="auto"/>
              <w:right w:val="single" w:sz="4" w:space="0" w:color="auto"/>
            </w:tcBorders>
            <w:shd w:val="clear" w:color="auto" w:fill="auto"/>
            <w:vAlign w:val="center"/>
            <w:hideMark/>
          </w:tcPr>
          <w:p w14:paraId="6EAC183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JANKA GLAZERJA RUŠE</w:t>
            </w:r>
          </w:p>
        </w:tc>
      </w:tr>
      <w:tr w:rsidR="00E3750C" w:rsidRPr="00415AB3" w14:paraId="18FD332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07DF0C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1275</w:t>
            </w:r>
          </w:p>
        </w:tc>
        <w:tc>
          <w:tcPr>
            <w:tcW w:w="705" w:type="pct"/>
            <w:tcBorders>
              <w:top w:val="nil"/>
              <w:left w:val="nil"/>
              <w:bottom w:val="single" w:sz="4" w:space="0" w:color="auto"/>
              <w:right w:val="single" w:sz="4" w:space="0" w:color="auto"/>
            </w:tcBorders>
            <w:shd w:val="clear" w:color="auto" w:fill="auto"/>
            <w:noWrap/>
            <w:vAlign w:val="center"/>
            <w:hideMark/>
          </w:tcPr>
          <w:p w14:paraId="4A8B039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5082790000</w:t>
            </w:r>
          </w:p>
        </w:tc>
        <w:tc>
          <w:tcPr>
            <w:tcW w:w="547" w:type="pct"/>
            <w:tcBorders>
              <w:top w:val="nil"/>
              <w:left w:val="nil"/>
              <w:bottom w:val="single" w:sz="4" w:space="0" w:color="auto"/>
              <w:right w:val="single" w:sz="4" w:space="0" w:color="auto"/>
            </w:tcBorders>
            <w:shd w:val="clear" w:color="auto" w:fill="auto"/>
            <w:noWrap/>
            <w:vAlign w:val="center"/>
            <w:hideMark/>
          </w:tcPr>
          <w:p w14:paraId="5216B1D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50409484</w:t>
            </w:r>
          </w:p>
        </w:tc>
        <w:tc>
          <w:tcPr>
            <w:tcW w:w="3360" w:type="pct"/>
            <w:tcBorders>
              <w:top w:val="nil"/>
              <w:left w:val="nil"/>
              <w:bottom w:val="single" w:sz="4" w:space="0" w:color="auto"/>
              <w:right w:val="single" w:sz="4" w:space="0" w:color="auto"/>
            </w:tcBorders>
            <w:shd w:val="clear" w:color="auto" w:fill="auto"/>
            <w:vAlign w:val="center"/>
            <w:hideMark/>
          </w:tcPr>
          <w:p w14:paraId="4BB279F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JANKA KERSNIKA BRDO</w:t>
            </w:r>
          </w:p>
        </w:tc>
      </w:tr>
      <w:tr w:rsidR="00E3750C" w:rsidRPr="00415AB3" w14:paraId="462AF54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49F0FE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1276</w:t>
            </w:r>
          </w:p>
        </w:tc>
        <w:tc>
          <w:tcPr>
            <w:tcW w:w="705" w:type="pct"/>
            <w:tcBorders>
              <w:top w:val="nil"/>
              <w:left w:val="nil"/>
              <w:bottom w:val="single" w:sz="4" w:space="0" w:color="auto"/>
              <w:right w:val="single" w:sz="4" w:space="0" w:color="auto"/>
            </w:tcBorders>
            <w:shd w:val="clear" w:color="auto" w:fill="auto"/>
            <w:noWrap/>
            <w:vAlign w:val="center"/>
            <w:hideMark/>
          </w:tcPr>
          <w:p w14:paraId="2532742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5083354000</w:t>
            </w:r>
          </w:p>
        </w:tc>
        <w:tc>
          <w:tcPr>
            <w:tcW w:w="547" w:type="pct"/>
            <w:tcBorders>
              <w:top w:val="nil"/>
              <w:left w:val="nil"/>
              <w:bottom w:val="single" w:sz="4" w:space="0" w:color="auto"/>
              <w:right w:val="single" w:sz="4" w:space="0" w:color="auto"/>
            </w:tcBorders>
            <w:shd w:val="clear" w:color="auto" w:fill="auto"/>
            <w:noWrap/>
            <w:vAlign w:val="center"/>
            <w:hideMark/>
          </w:tcPr>
          <w:p w14:paraId="1B9FB8F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63332248</w:t>
            </w:r>
          </w:p>
        </w:tc>
        <w:tc>
          <w:tcPr>
            <w:tcW w:w="3360" w:type="pct"/>
            <w:tcBorders>
              <w:top w:val="nil"/>
              <w:left w:val="nil"/>
              <w:bottom w:val="single" w:sz="4" w:space="0" w:color="auto"/>
              <w:right w:val="single" w:sz="4" w:space="0" w:color="auto"/>
            </w:tcBorders>
            <w:shd w:val="clear" w:color="auto" w:fill="auto"/>
            <w:vAlign w:val="center"/>
            <w:hideMark/>
          </w:tcPr>
          <w:p w14:paraId="5987B4A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JANKA MODRA, DOL PRI LJUBLJANI</w:t>
            </w:r>
          </w:p>
        </w:tc>
      </w:tr>
      <w:tr w:rsidR="00E3750C" w:rsidRPr="00415AB3" w14:paraId="157E418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90FEFD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1277</w:t>
            </w:r>
          </w:p>
        </w:tc>
        <w:tc>
          <w:tcPr>
            <w:tcW w:w="705" w:type="pct"/>
            <w:tcBorders>
              <w:top w:val="nil"/>
              <w:left w:val="nil"/>
              <w:bottom w:val="single" w:sz="4" w:space="0" w:color="auto"/>
              <w:right w:val="single" w:sz="4" w:space="0" w:color="auto"/>
            </w:tcBorders>
            <w:shd w:val="clear" w:color="auto" w:fill="auto"/>
            <w:noWrap/>
            <w:vAlign w:val="center"/>
            <w:hideMark/>
          </w:tcPr>
          <w:p w14:paraId="7370150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5085217000</w:t>
            </w:r>
          </w:p>
        </w:tc>
        <w:tc>
          <w:tcPr>
            <w:tcW w:w="547" w:type="pct"/>
            <w:tcBorders>
              <w:top w:val="nil"/>
              <w:left w:val="nil"/>
              <w:bottom w:val="single" w:sz="4" w:space="0" w:color="auto"/>
              <w:right w:val="single" w:sz="4" w:space="0" w:color="auto"/>
            </w:tcBorders>
            <w:shd w:val="clear" w:color="auto" w:fill="auto"/>
            <w:noWrap/>
            <w:vAlign w:val="center"/>
            <w:hideMark/>
          </w:tcPr>
          <w:p w14:paraId="2DE3307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82112037</w:t>
            </w:r>
          </w:p>
        </w:tc>
        <w:tc>
          <w:tcPr>
            <w:tcW w:w="3360" w:type="pct"/>
            <w:tcBorders>
              <w:top w:val="nil"/>
              <w:left w:val="nil"/>
              <w:bottom w:val="single" w:sz="4" w:space="0" w:color="auto"/>
              <w:right w:val="single" w:sz="4" w:space="0" w:color="auto"/>
            </w:tcBorders>
            <w:shd w:val="clear" w:color="auto" w:fill="auto"/>
            <w:vAlign w:val="center"/>
            <w:hideMark/>
          </w:tcPr>
          <w:p w14:paraId="7FC7225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JANKA PADEŽNIKA MARIBOR</w:t>
            </w:r>
          </w:p>
        </w:tc>
      </w:tr>
      <w:tr w:rsidR="00E3750C" w:rsidRPr="00415AB3" w14:paraId="20B0668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7A46F5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1278</w:t>
            </w:r>
          </w:p>
        </w:tc>
        <w:tc>
          <w:tcPr>
            <w:tcW w:w="705" w:type="pct"/>
            <w:tcBorders>
              <w:top w:val="nil"/>
              <w:left w:val="nil"/>
              <w:bottom w:val="single" w:sz="4" w:space="0" w:color="auto"/>
              <w:right w:val="single" w:sz="4" w:space="0" w:color="auto"/>
            </w:tcBorders>
            <w:shd w:val="clear" w:color="auto" w:fill="auto"/>
            <w:noWrap/>
            <w:vAlign w:val="center"/>
            <w:hideMark/>
          </w:tcPr>
          <w:p w14:paraId="6A506F9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5084628000</w:t>
            </w:r>
          </w:p>
        </w:tc>
        <w:tc>
          <w:tcPr>
            <w:tcW w:w="547" w:type="pct"/>
            <w:tcBorders>
              <w:top w:val="nil"/>
              <w:left w:val="nil"/>
              <w:bottom w:val="single" w:sz="4" w:space="0" w:color="auto"/>
              <w:right w:val="single" w:sz="4" w:space="0" w:color="auto"/>
            </w:tcBorders>
            <w:shd w:val="clear" w:color="auto" w:fill="auto"/>
            <w:noWrap/>
            <w:vAlign w:val="center"/>
            <w:hideMark/>
          </w:tcPr>
          <w:p w14:paraId="2AD6C26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94576980</w:t>
            </w:r>
          </w:p>
        </w:tc>
        <w:tc>
          <w:tcPr>
            <w:tcW w:w="3360" w:type="pct"/>
            <w:tcBorders>
              <w:top w:val="nil"/>
              <w:left w:val="nil"/>
              <w:bottom w:val="single" w:sz="4" w:space="0" w:color="auto"/>
              <w:right w:val="single" w:sz="4" w:space="0" w:color="auto"/>
            </w:tcBorders>
            <w:shd w:val="clear" w:color="auto" w:fill="auto"/>
            <w:vAlign w:val="center"/>
            <w:hideMark/>
          </w:tcPr>
          <w:p w14:paraId="0BED10F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JANKA RIBIČA CEZANJEVCI</w:t>
            </w:r>
          </w:p>
        </w:tc>
      </w:tr>
      <w:tr w:rsidR="00E3750C" w:rsidRPr="00415AB3" w14:paraId="50F019D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A5A865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1279</w:t>
            </w:r>
          </w:p>
        </w:tc>
        <w:tc>
          <w:tcPr>
            <w:tcW w:w="705" w:type="pct"/>
            <w:tcBorders>
              <w:top w:val="nil"/>
              <w:left w:val="nil"/>
              <w:bottom w:val="single" w:sz="4" w:space="0" w:color="auto"/>
              <w:right w:val="single" w:sz="4" w:space="0" w:color="auto"/>
            </w:tcBorders>
            <w:shd w:val="clear" w:color="auto" w:fill="auto"/>
            <w:noWrap/>
            <w:vAlign w:val="center"/>
            <w:hideMark/>
          </w:tcPr>
          <w:p w14:paraId="6DDF7E2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5087848000</w:t>
            </w:r>
          </w:p>
        </w:tc>
        <w:tc>
          <w:tcPr>
            <w:tcW w:w="547" w:type="pct"/>
            <w:tcBorders>
              <w:top w:val="nil"/>
              <w:left w:val="nil"/>
              <w:bottom w:val="single" w:sz="4" w:space="0" w:color="auto"/>
              <w:right w:val="single" w:sz="4" w:space="0" w:color="auto"/>
            </w:tcBorders>
            <w:shd w:val="clear" w:color="auto" w:fill="auto"/>
            <w:noWrap/>
            <w:vAlign w:val="center"/>
            <w:hideMark/>
          </w:tcPr>
          <w:p w14:paraId="31F7AF3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81752130</w:t>
            </w:r>
          </w:p>
        </w:tc>
        <w:tc>
          <w:tcPr>
            <w:tcW w:w="3360" w:type="pct"/>
            <w:tcBorders>
              <w:top w:val="nil"/>
              <w:left w:val="nil"/>
              <w:bottom w:val="single" w:sz="4" w:space="0" w:color="auto"/>
              <w:right w:val="single" w:sz="4" w:space="0" w:color="auto"/>
            </w:tcBorders>
            <w:shd w:val="clear" w:color="auto" w:fill="auto"/>
            <w:vAlign w:val="center"/>
            <w:hideMark/>
          </w:tcPr>
          <w:p w14:paraId="060A371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JELA JANEŽIČA</w:t>
            </w:r>
          </w:p>
        </w:tc>
      </w:tr>
      <w:tr w:rsidR="00E3750C" w:rsidRPr="00415AB3" w14:paraId="3C6677E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61D091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1280</w:t>
            </w:r>
          </w:p>
        </w:tc>
        <w:tc>
          <w:tcPr>
            <w:tcW w:w="705" w:type="pct"/>
            <w:tcBorders>
              <w:top w:val="nil"/>
              <w:left w:val="nil"/>
              <w:bottom w:val="single" w:sz="4" w:space="0" w:color="auto"/>
              <w:right w:val="single" w:sz="4" w:space="0" w:color="auto"/>
            </w:tcBorders>
            <w:shd w:val="clear" w:color="auto" w:fill="auto"/>
            <w:noWrap/>
            <w:vAlign w:val="center"/>
            <w:hideMark/>
          </w:tcPr>
          <w:p w14:paraId="42F21D4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5719038000</w:t>
            </w:r>
          </w:p>
        </w:tc>
        <w:tc>
          <w:tcPr>
            <w:tcW w:w="547" w:type="pct"/>
            <w:tcBorders>
              <w:top w:val="nil"/>
              <w:left w:val="nil"/>
              <w:bottom w:val="single" w:sz="4" w:space="0" w:color="auto"/>
              <w:right w:val="single" w:sz="4" w:space="0" w:color="auto"/>
            </w:tcBorders>
            <w:shd w:val="clear" w:color="auto" w:fill="auto"/>
            <w:noWrap/>
            <w:vAlign w:val="center"/>
            <w:hideMark/>
          </w:tcPr>
          <w:p w14:paraId="5D5A24E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65736290</w:t>
            </w:r>
          </w:p>
        </w:tc>
        <w:tc>
          <w:tcPr>
            <w:tcW w:w="3360" w:type="pct"/>
            <w:tcBorders>
              <w:top w:val="nil"/>
              <w:left w:val="nil"/>
              <w:bottom w:val="single" w:sz="4" w:space="0" w:color="auto"/>
              <w:right w:val="single" w:sz="4" w:space="0" w:color="auto"/>
            </w:tcBorders>
            <w:shd w:val="clear" w:color="auto" w:fill="auto"/>
            <w:vAlign w:val="center"/>
            <w:hideMark/>
          </w:tcPr>
          <w:p w14:paraId="6646924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JOSIPA VANDOTA KRANJSKA GORA</w:t>
            </w:r>
          </w:p>
        </w:tc>
      </w:tr>
      <w:tr w:rsidR="00E3750C" w:rsidRPr="00415AB3" w14:paraId="021B9BA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2127EA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1281</w:t>
            </w:r>
          </w:p>
        </w:tc>
        <w:tc>
          <w:tcPr>
            <w:tcW w:w="705" w:type="pct"/>
            <w:tcBorders>
              <w:top w:val="nil"/>
              <w:left w:val="nil"/>
              <w:bottom w:val="single" w:sz="4" w:space="0" w:color="auto"/>
              <w:right w:val="single" w:sz="4" w:space="0" w:color="auto"/>
            </w:tcBorders>
            <w:shd w:val="clear" w:color="auto" w:fill="auto"/>
            <w:noWrap/>
            <w:vAlign w:val="center"/>
            <w:hideMark/>
          </w:tcPr>
          <w:p w14:paraId="5A92C80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5083958000</w:t>
            </w:r>
          </w:p>
        </w:tc>
        <w:tc>
          <w:tcPr>
            <w:tcW w:w="547" w:type="pct"/>
            <w:tcBorders>
              <w:top w:val="nil"/>
              <w:left w:val="nil"/>
              <w:bottom w:val="single" w:sz="4" w:space="0" w:color="auto"/>
              <w:right w:val="single" w:sz="4" w:space="0" w:color="auto"/>
            </w:tcBorders>
            <w:shd w:val="clear" w:color="auto" w:fill="auto"/>
            <w:noWrap/>
            <w:vAlign w:val="center"/>
            <w:hideMark/>
          </w:tcPr>
          <w:p w14:paraId="4C10A72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47511788</w:t>
            </w:r>
          </w:p>
        </w:tc>
        <w:tc>
          <w:tcPr>
            <w:tcW w:w="3360" w:type="pct"/>
            <w:tcBorders>
              <w:top w:val="nil"/>
              <w:left w:val="nil"/>
              <w:bottom w:val="single" w:sz="4" w:space="0" w:color="auto"/>
              <w:right w:val="single" w:sz="4" w:space="0" w:color="auto"/>
            </w:tcBorders>
            <w:shd w:val="clear" w:color="auto" w:fill="auto"/>
            <w:vAlign w:val="center"/>
            <w:hideMark/>
          </w:tcPr>
          <w:p w14:paraId="35EA8C7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JOŽETA GORJUPA KOSTANJEVICA NA KRKI</w:t>
            </w:r>
          </w:p>
        </w:tc>
      </w:tr>
      <w:tr w:rsidR="00E3750C" w:rsidRPr="00415AB3" w14:paraId="5038155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82E46A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1282</w:t>
            </w:r>
          </w:p>
        </w:tc>
        <w:tc>
          <w:tcPr>
            <w:tcW w:w="705" w:type="pct"/>
            <w:tcBorders>
              <w:top w:val="nil"/>
              <w:left w:val="nil"/>
              <w:bottom w:val="single" w:sz="4" w:space="0" w:color="auto"/>
              <w:right w:val="single" w:sz="4" w:space="0" w:color="auto"/>
            </w:tcBorders>
            <w:shd w:val="clear" w:color="auto" w:fill="auto"/>
            <w:noWrap/>
            <w:vAlign w:val="center"/>
            <w:hideMark/>
          </w:tcPr>
          <w:p w14:paraId="225871D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5082757000</w:t>
            </w:r>
          </w:p>
        </w:tc>
        <w:tc>
          <w:tcPr>
            <w:tcW w:w="547" w:type="pct"/>
            <w:tcBorders>
              <w:top w:val="nil"/>
              <w:left w:val="nil"/>
              <w:bottom w:val="single" w:sz="4" w:space="0" w:color="auto"/>
              <w:right w:val="single" w:sz="4" w:space="0" w:color="auto"/>
            </w:tcBorders>
            <w:shd w:val="clear" w:color="auto" w:fill="auto"/>
            <w:noWrap/>
            <w:vAlign w:val="center"/>
            <w:hideMark/>
          </w:tcPr>
          <w:p w14:paraId="361456D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36025283</w:t>
            </w:r>
          </w:p>
        </w:tc>
        <w:tc>
          <w:tcPr>
            <w:tcW w:w="3360" w:type="pct"/>
            <w:tcBorders>
              <w:top w:val="nil"/>
              <w:left w:val="nil"/>
              <w:bottom w:val="single" w:sz="4" w:space="0" w:color="auto"/>
              <w:right w:val="single" w:sz="4" w:space="0" w:color="auto"/>
            </w:tcBorders>
            <w:shd w:val="clear" w:color="auto" w:fill="auto"/>
            <w:vAlign w:val="center"/>
            <w:hideMark/>
          </w:tcPr>
          <w:p w14:paraId="45545B1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JOŽETA KRAJCA RAKEK</w:t>
            </w:r>
          </w:p>
        </w:tc>
      </w:tr>
      <w:tr w:rsidR="00E3750C" w:rsidRPr="00415AB3" w14:paraId="75D14DE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2969D9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1283</w:t>
            </w:r>
          </w:p>
        </w:tc>
        <w:tc>
          <w:tcPr>
            <w:tcW w:w="705" w:type="pct"/>
            <w:tcBorders>
              <w:top w:val="nil"/>
              <w:left w:val="nil"/>
              <w:bottom w:val="single" w:sz="4" w:space="0" w:color="auto"/>
              <w:right w:val="single" w:sz="4" w:space="0" w:color="auto"/>
            </w:tcBorders>
            <w:shd w:val="clear" w:color="auto" w:fill="auto"/>
            <w:noWrap/>
            <w:vAlign w:val="center"/>
            <w:hideMark/>
          </w:tcPr>
          <w:p w14:paraId="3728898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5083974000</w:t>
            </w:r>
          </w:p>
        </w:tc>
        <w:tc>
          <w:tcPr>
            <w:tcW w:w="547" w:type="pct"/>
            <w:tcBorders>
              <w:top w:val="nil"/>
              <w:left w:val="nil"/>
              <w:bottom w:val="single" w:sz="4" w:space="0" w:color="auto"/>
              <w:right w:val="single" w:sz="4" w:space="0" w:color="auto"/>
            </w:tcBorders>
            <w:shd w:val="clear" w:color="auto" w:fill="auto"/>
            <w:noWrap/>
            <w:vAlign w:val="center"/>
            <w:hideMark/>
          </w:tcPr>
          <w:p w14:paraId="29314B4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25512030</w:t>
            </w:r>
          </w:p>
        </w:tc>
        <w:tc>
          <w:tcPr>
            <w:tcW w:w="3360" w:type="pct"/>
            <w:tcBorders>
              <w:top w:val="nil"/>
              <w:left w:val="nil"/>
              <w:bottom w:val="single" w:sz="4" w:space="0" w:color="auto"/>
              <w:right w:val="single" w:sz="4" w:space="0" w:color="auto"/>
            </w:tcBorders>
            <w:shd w:val="clear" w:color="auto" w:fill="auto"/>
            <w:vAlign w:val="center"/>
            <w:hideMark/>
          </w:tcPr>
          <w:p w14:paraId="6320A11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JURIJA DALMATINA KRŠKO</w:t>
            </w:r>
          </w:p>
        </w:tc>
      </w:tr>
      <w:tr w:rsidR="00E3750C" w:rsidRPr="00415AB3" w14:paraId="0269659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9A60FC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1284</w:t>
            </w:r>
          </w:p>
        </w:tc>
        <w:tc>
          <w:tcPr>
            <w:tcW w:w="705" w:type="pct"/>
            <w:tcBorders>
              <w:top w:val="nil"/>
              <w:left w:val="nil"/>
              <w:bottom w:val="single" w:sz="4" w:space="0" w:color="auto"/>
              <w:right w:val="single" w:sz="4" w:space="0" w:color="auto"/>
            </w:tcBorders>
            <w:shd w:val="clear" w:color="auto" w:fill="auto"/>
            <w:noWrap/>
            <w:vAlign w:val="center"/>
            <w:hideMark/>
          </w:tcPr>
          <w:p w14:paraId="72B8FB9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5082838000</w:t>
            </w:r>
          </w:p>
        </w:tc>
        <w:tc>
          <w:tcPr>
            <w:tcW w:w="547" w:type="pct"/>
            <w:tcBorders>
              <w:top w:val="nil"/>
              <w:left w:val="nil"/>
              <w:bottom w:val="single" w:sz="4" w:space="0" w:color="auto"/>
              <w:right w:val="single" w:sz="4" w:space="0" w:color="auto"/>
            </w:tcBorders>
            <w:shd w:val="clear" w:color="auto" w:fill="auto"/>
            <w:noWrap/>
            <w:vAlign w:val="center"/>
            <w:hideMark/>
          </w:tcPr>
          <w:p w14:paraId="3D97F09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11448750</w:t>
            </w:r>
          </w:p>
        </w:tc>
        <w:tc>
          <w:tcPr>
            <w:tcW w:w="3360" w:type="pct"/>
            <w:tcBorders>
              <w:top w:val="nil"/>
              <w:left w:val="nil"/>
              <w:bottom w:val="single" w:sz="4" w:space="0" w:color="auto"/>
              <w:right w:val="single" w:sz="4" w:space="0" w:color="auto"/>
            </w:tcBorders>
            <w:shd w:val="clear" w:color="auto" w:fill="auto"/>
            <w:vAlign w:val="center"/>
            <w:hideMark/>
          </w:tcPr>
          <w:p w14:paraId="08F6E2D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JURIJA VEGE</w:t>
            </w:r>
          </w:p>
        </w:tc>
      </w:tr>
      <w:tr w:rsidR="00E3750C" w:rsidRPr="00415AB3" w14:paraId="5F1B538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06A312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1285</w:t>
            </w:r>
          </w:p>
        </w:tc>
        <w:tc>
          <w:tcPr>
            <w:tcW w:w="705" w:type="pct"/>
            <w:tcBorders>
              <w:top w:val="nil"/>
              <w:left w:val="nil"/>
              <w:bottom w:val="single" w:sz="4" w:space="0" w:color="auto"/>
              <w:right w:val="single" w:sz="4" w:space="0" w:color="auto"/>
            </w:tcBorders>
            <w:shd w:val="clear" w:color="auto" w:fill="auto"/>
            <w:noWrap/>
            <w:vAlign w:val="center"/>
            <w:hideMark/>
          </w:tcPr>
          <w:p w14:paraId="24EBCDC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5087678000</w:t>
            </w:r>
          </w:p>
        </w:tc>
        <w:tc>
          <w:tcPr>
            <w:tcW w:w="547" w:type="pct"/>
            <w:tcBorders>
              <w:top w:val="nil"/>
              <w:left w:val="nil"/>
              <w:bottom w:val="single" w:sz="4" w:space="0" w:color="auto"/>
              <w:right w:val="single" w:sz="4" w:space="0" w:color="auto"/>
            </w:tcBorders>
            <w:shd w:val="clear" w:color="auto" w:fill="auto"/>
            <w:noWrap/>
            <w:vAlign w:val="center"/>
            <w:hideMark/>
          </w:tcPr>
          <w:p w14:paraId="05432A4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17144442</w:t>
            </w:r>
          </w:p>
        </w:tc>
        <w:tc>
          <w:tcPr>
            <w:tcW w:w="3360" w:type="pct"/>
            <w:tcBorders>
              <w:top w:val="nil"/>
              <w:left w:val="nil"/>
              <w:bottom w:val="single" w:sz="4" w:space="0" w:color="auto"/>
              <w:right w:val="single" w:sz="4" w:space="0" w:color="auto"/>
            </w:tcBorders>
            <w:shd w:val="clear" w:color="auto" w:fill="auto"/>
            <w:vAlign w:val="center"/>
            <w:hideMark/>
          </w:tcPr>
          <w:p w14:paraId="7CB8F85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KAJETANA KOVIČA POLJČANE</w:t>
            </w:r>
          </w:p>
        </w:tc>
      </w:tr>
      <w:tr w:rsidR="00E3750C" w:rsidRPr="00415AB3" w14:paraId="167972F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660580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1286</w:t>
            </w:r>
          </w:p>
        </w:tc>
        <w:tc>
          <w:tcPr>
            <w:tcW w:w="705" w:type="pct"/>
            <w:tcBorders>
              <w:top w:val="nil"/>
              <w:left w:val="nil"/>
              <w:bottom w:val="single" w:sz="4" w:space="0" w:color="auto"/>
              <w:right w:val="single" w:sz="4" w:space="0" w:color="auto"/>
            </w:tcBorders>
            <w:shd w:val="clear" w:color="auto" w:fill="auto"/>
            <w:noWrap/>
            <w:vAlign w:val="center"/>
            <w:hideMark/>
          </w:tcPr>
          <w:p w14:paraId="291EEE2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5082919000</w:t>
            </w:r>
          </w:p>
        </w:tc>
        <w:tc>
          <w:tcPr>
            <w:tcW w:w="547" w:type="pct"/>
            <w:tcBorders>
              <w:top w:val="nil"/>
              <w:left w:val="nil"/>
              <w:bottom w:val="single" w:sz="4" w:space="0" w:color="auto"/>
              <w:right w:val="single" w:sz="4" w:space="0" w:color="auto"/>
            </w:tcBorders>
            <w:shd w:val="clear" w:color="auto" w:fill="auto"/>
            <w:noWrap/>
            <w:vAlign w:val="center"/>
            <w:hideMark/>
          </w:tcPr>
          <w:p w14:paraId="22A2F23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57189684</w:t>
            </w:r>
          </w:p>
        </w:tc>
        <w:tc>
          <w:tcPr>
            <w:tcW w:w="3360" w:type="pct"/>
            <w:tcBorders>
              <w:top w:val="nil"/>
              <w:left w:val="nil"/>
              <w:bottom w:val="single" w:sz="4" w:space="0" w:color="auto"/>
              <w:right w:val="single" w:sz="4" w:space="0" w:color="auto"/>
            </w:tcBorders>
            <w:shd w:val="clear" w:color="auto" w:fill="auto"/>
            <w:vAlign w:val="center"/>
            <w:hideMark/>
          </w:tcPr>
          <w:p w14:paraId="6032C34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KAJETANA KOVIČA RADENCI</w:t>
            </w:r>
          </w:p>
        </w:tc>
      </w:tr>
      <w:tr w:rsidR="00E3750C" w:rsidRPr="00415AB3" w14:paraId="57B414C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C3BA20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1287</w:t>
            </w:r>
          </w:p>
        </w:tc>
        <w:tc>
          <w:tcPr>
            <w:tcW w:w="705" w:type="pct"/>
            <w:tcBorders>
              <w:top w:val="nil"/>
              <w:left w:val="nil"/>
              <w:bottom w:val="single" w:sz="4" w:space="0" w:color="auto"/>
              <w:right w:val="single" w:sz="4" w:space="0" w:color="auto"/>
            </w:tcBorders>
            <w:shd w:val="clear" w:color="auto" w:fill="auto"/>
            <w:noWrap/>
            <w:vAlign w:val="center"/>
            <w:hideMark/>
          </w:tcPr>
          <w:p w14:paraId="26C4BB6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5086710000</w:t>
            </w:r>
          </w:p>
        </w:tc>
        <w:tc>
          <w:tcPr>
            <w:tcW w:w="547" w:type="pct"/>
            <w:tcBorders>
              <w:top w:val="nil"/>
              <w:left w:val="nil"/>
              <w:bottom w:val="single" w:sz="4" w:space="0" w:color="auto"/>
              <w:right w:val="single" w:sz="4" w:space="0" w:color="auto"/>
            </w:tcBorders>
            <w:shd w:val="clear" w:color="auto" w:fill="auto"/>
            <w:noWrap/>
            <w:vAlign w:val="center"/>
            <w:hideMark/>
          </w:tcPr>
          <w:p w14:paraId="6455D00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31795609</w:t>
            </w:r>
          </w:p>
        </w:tc>
        <w:tc>
          <w:tcPr>
            <w:tcW w:w="3360" w:type="pct"/>
            <w:tcBorders>
              <w:top w:val="nil"/>
              <w:left w:val="nil"/>
              <w:bottom w:val="single" w:sz="4" w:space="0" w:color="auto"/>
              <w:right w:val="single" w:sz="4" w:space="0" w:color="auto"/>
            </w:tcBorders>
            <w:shd w:val="clear" w:color="auto" w:fill="auto"/>
            <w:vAlign w:val="center"/>
            <w:hideMark/>
          </w:tcPr>
          <w:p w14:paraId="4B1AA18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KAMNICA</w:t>
            </w:r>
          </w:p>
        </w:tc>
      </w:tr>
      <w:tr w:rsidR="00E3750C" w:rsidRPr="00415AB3" w14:paraId="093290C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28E1AD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1288</w:t>
            </w:r>
          </w:p>
        </w:tc>
        <w:tc>
          <w:tcPr>
            <w:tcW w:w="705" w:type="pct"/>
            <w:tcBorders>
              <w:top w:val="nil"/>
              <w:left w:val="nil"/>
              <w:bottom w:val="single" w:sz="4" w:space="0" w:color="auto"/>
              <w:right w:val="single" w:sz="4" w:space="0" w:color="auto"/>
            </w:tcBorders>
            <w:shd w:val="clear" w:color="auto" w:fill="auto"/>
            <w:noWrap/>
            <w:vAlign w:val="center"/>
            <w:hideMark/>
          </w:tcPr>
          <w:p w14:paraId="10A8905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5089018000</w:t>
            </w:r>
          </w:p>
        </w:tc>
        <w:tc>
          <w:tcPr>
            <w:tcW w:w="547" w:type="pct"/>
            <w:tcBorders>
              <w:top w:val="nil"/>
              <w:left w:val="nil"/>
              <w:bottom w:val="single" w:sz="4" w:space="0" w:color="auto"/>
              <w:right w:val="single" w:sz="4" w:space="0" w:color="auto"/>
            </w:tcBorders>
            <w:shd w:val="clear" w:color="auto" w:fill="auto"/>
            <w:noWrap/>
            <w:vAlign w:val="center"/>
            <w:hideMark/>
          </w:tcPr>
          <w:p w14:paraId="2DB4F74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87540266</w:t>
            </w:r>
          </w:p>
        </w:tc>
        <w:tc>
          <w:tcPr>
            <w:tcW w:w="3360" w:type="pct"/>
            <w:tcBorders>
              <w:top w:val="nil"/>
              <w:left w:val="nil"/>
              <w:bottom w:val="single" w:sz="4" w:space="0" w:color="auto"/>
              <w:right w:val="single" w:sz="4" w:space="0" w:color="auto"/>
            </w:tcBorders>
            <w:shd w:val="clear" w:color="auto" w:fill="auto"/>
            <w:vAlign w:val="center"/>
            <w:hideMark/>
          </w:tcPr>
          <w:p w14:paraId="127E0FD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KANAL</w:t>
            </w:r>
          </w:p>
        </w:tc>
      </w:tr>
      <w:tr w:rsidR="00E3750C" w:rsidRPr="00415AB3" w14:paraId="66A2764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3E9352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1289</w:t>
            </w:r>
          </w:p>
        </w:tc>
        <w:tc>
          <w:tcPr>
            <w:tcW w:w="705" w:type="pct"/>
            <w:tcBorders>
              <w:top w:val="nil"/>
              <w:left w:val="nil"/>
              <w:bottom w:val="single" w:sz="4" w:space="0" w:color="auto"/>
              <w:right w:val="single" w:sz="4" w:space="0" w:color="auto"/>
            </w:tcBorders>
            <w:shd w:val="clear" w:color="auto" w:fill="auto"/>
            <w:noWrap/>
            <w:vAlign w:val="center"/>
            <w:hideMark/>
          </w:tcPr>
          <w:p w14:paraId="54A8F39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5084776000</w:t>
            </w:r>
          </w:p>
        </w:tc>
        <w:tc>
          <w:tcPr>
            <w:tcW w:w="547" w:type="pct"/>
            <w:tcBorders>
              <w:top w:val="nil"/>
              <w:left w:val="nil"/>
              <w:bottom w:val="single" w:sz="4" w:space="0" w:color="auto"/>
              <w:right w:val="single" w:sz="4" w:space="0" w:color="auto"/>
            </w:tcBorders>
            <w:shd w:val="clear" w:color="auto" w:fill="auto"/>
            <w:noWrap/>
            <w:vAlign w:val="center"/>
            <w:hideMark/>
          </w:tcPr>
          <w:p w14:paraId="7096647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26126885</w:t>
            </w:r>
          </w:p>
        </w:tc>
        <w:tc>
          <w:tcPr>
            <w:tcW w:w="3360" w:type="pct"/>
            <w:tcBorders>
              <w:top w:val="nil"/>
              <w:left w:val="nil"/>
              <w:bottom w:val="single" w:sz="4" w:space="0" w:color="auto"/>
              <w:right w:val="single" w:sz="4" w:space="0" w:color="auto"/>
            </w:tcBorders>
            <w:shd w:val="clear" w:color="auto" w:fill="auto"/>
            <w:vAlign w:val="center"/>
            <w:hideMark/>
          </w:tcPr>
          <w:p w14:paraId="5498027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KAPELA</w:t>
            </w:r>
          </w:p>
        </w:tc>
      </w:tr>
      <w:tr w:rsidR="00E3750C" w:rsidRPr="00415AB3" w14:paraId="1383E5F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1A14C3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1290</w:t>
            </w:r>
          </w:p>
        </w:tc>
        <w:tc>
          <w:tcPr>
            <w:tcW w:w="705" w:type="pct"/>
            <w:tcBorders>
              <w:top w:val="nil"/>
              <w:left w:val="nil"/>
              <w:bottom w:val="single" w:sz="4" w:space="0" w:color="auto"/>
              <w:right w:val="single" w:sz="4" w:space="0" w:color="auto"/>
            </w:tcBorders>
            <w:shd w:val="clear" w:color="auto" w:fill="auto"/>
            <w:noWrap/>
            <w:vAlign w:val="center"/>
            <w:hideMark/>
          </w:tcPr>
          <w:p w14:paraId="23F6284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2136147000</w:t>
            </w:r>
          </w:p>
        </w:tc>
        <w:tc>
          <w:tcPr>
            <w:tcW w:w="547" w:type="pct"/>
            <w:tcBorders>
              <w:top w:val="nil"/>
              <w:left w:val="nil"/>
              <w:bottom w:val="single" w:sz="4" w:space="0" w:color="auto"/>
              <w:right w:val="single" w:sz="4" w:space="0" w:color="auto"/>
            </w:tcBorders>
            <w:shd w:val="clear" w:color="auto" w:fill="auto"/>
            <w:noWrap/>
            <w:vAlign w:val="center"/>
            <w:hideMark/>
          </w:tcPr>
          <w:p w14:paraId="357347F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96822341</w:t>
            </w:r>
          </w:p>
        </w:tc>
        <w:tc>
          <w:tcPr>
            <w:tcW w:w="3360" w:type="pct"/>
            <w:tcBorders>
              <w:top w:val="nil"/>
              <w:left w:val="nil"/>
              <w:bottom w:val="single" w:sz="4" w:space="0" w:color="auto"/>
              <w:right w:val="single" w:sz="4" w:space="0" w:color="auto"/>
            </w:tcBorders>
            <w:shd w:val="clear" w:color="auto" w:fill="auto"/>
            <w:vAlign w:val="center"/>
            <w:hideMark/>
          </w:tcPr>
          <w:p w14:paraId="229D9C5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KARLA DESTOVNIKA-KAJUHA ŠOŠTANJ</w:t>
            </w:r>
          </w:p>
        </w:tc>
      </w:tr>
      <w:tr w:rsidR="00E3750C" w:rsidRPr="00415AB3" w14:paraId="225B56A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61AE4B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1291</w:t>
            </w:r>
          </w:p>
        </w:tc>
        <w:tc>
          <w:tcPr>
            <w:tcW w:w="705" w:type="pct"/>
            <w:tcBorders>
              <w:top w:val="nil"/>
              <w:left w:val="nil"/>
              <w:bottom w:val="single" w:sz="4" w:space="0" w:color="auto"/>
              <w:right w:val="single" w:sz="4" w:space="0" w:color="auto"/>
            </w:tcBorders>
            <w:shd w:val="clear" w:color="auto" w:fill="auto"/>
            <w:noWrap/>
            <w:vAlign w:val="center"/>
            <w:hideMark/>
          </w:tcPr>
          <w:p w14:paraId="10C5171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3765229000</w:t>
            </w:r>
          </w:p>
        </w:tc>
        <w:tc>
          <w:tcPr>
            <w:tcW w:w="547" w:type="pct"/>
            <w:tcBorders>
              <w:top w:val="nil"/>
              <w:left w:val="nil"/>
              <w:bottom w:val="single" w:sz="4" w:space="0" w:color="auto"/>
              <w:right w:val="single" w:sz="4" w:space="0" w:color="auto"/>
            </w:tcBorders>
            <w:shd w:val="clear" w:color="auto" w:fill="auto"/>
            <w:noWrap/>
            <w:vAlign w:val="center"/>
            <w:hideMark/>
          </w:tcPr>
          <w:p w14:paraId="7413F30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21120234</w:t>
            </w:r>
          </w:p>
        </w:tc>
        <w:tc>
          <w:tcPr>
            <w:tcW w:w="3360" w:type="pct"/>
            <w:tcBorders>
              <w:top w:val="nil"/>
              <w:left w:val="nil"/>
              <w:bottom w:val="single" w:sz="4" w:space="0" w:color="auto"/>
              <w:right w:val="single" w:sz="4" w:space="0" w:color="auto"/>
            </w:tcBorders>
            <w:shd w:val="clear" w:color="auto" w:fill="auto"/>
            <w:vAlign w:val="center"/>
            <w:hideMark/>
          </w:tcPr>
          <w:p w14:paraId="3C5EF7F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KAŠELJ</w:t>
            </w:r>
          </w:p>
        </w:tc>
      </w:tr>
      <w:tr w:rsidR="00E3750C" w:rsidRPr="00415AB3" w14:paraId="55E96E8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5175C8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1292</w:t>
            </w:r>
          </w:p>
        </w:tc>
        <w:tc>
          <w:tcPr>
            <w:tcW w:w="705" w:type="pct"/>
            <w:tcBorders>
              <w:top w:val="nil"/>
              <w:left w:val="nil"/>
              <w:bottom w:val="single" w:sz="4" w:space="0" w:color="auto"/>
              <w:right w:val="single" w:sz="4" w:space="0" w:color="auto"/>
            </w:tcBorders>
            <w:shd w:val="clear" w:color="auto" w:fill="auto"/>
            <w:noWrap/>
            <w:vAlign w:val="center"/>
            <w:hideMark/>
          </w:tcPr>
          <w:p w14:paraId="0C4521B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5084270000</w:t>
            </w:r>
          </w:p>
        </w:tc>
        <w:tc>
          <w:tcPr>
            <w:tcW w:w="547" w:type="pct"/>
            <w:tcBorders>
              <w:top w:val="nil"/>
              <w:left w:val="nil"/>
              <w:bottom w:val="single" w:sz="4" w:space="0" w:color="auto"/>
              <w:right w:val="single" w:sz="4" w:space="0" w:color="auto"/>
            </w:tcBorders>
            <w:shd w:val="clear" w:color="auto" w:fill="auto"/>
            <w:noWrap/>
            <w:vAlign w:val="center"/>
            <w:hideMark/>
          </w:tcPr>
          <w:p w14:paraId="532B940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48351784</w:t>
            </w:r>
          </w:p>
        </w:tc>
        <w:tc>
          <w:tcPr>
            <w:tcW w:w="3360" w:type="pct"/>
            <w:tcBorders>
              <w:top w:val="nil"/>
              <w:left w:val="nil"/>
              <w:bottom w:val="single" w:sz="4" w:space="0" w:color="auto"/>
              <w:right w:val="single" w:sz="4" w:space="0" w:color="auto"/>
            </w:tcBorders>
            <w:shd w:val="clear" w:color="auto" w:fill="auto"/>
            <w:vAlign w:val="center"/>
            <w:hideMark/>
          </w:tcPr>
          <w:p w14:paraId="49DA472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KETTEJA IN MURNA</w:t>
            </w:r>
          </w:p>
        </w:tc>
      </w:tr>
      <w:tr w:rsidR="00E3750C" w:rsidRPr="00415AB3" w14:paraId="1A357F5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741069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1293</w:t>
            </w:r>
          </w:p>
        </w:tc>
        <w:tc>
          <w:tcPr>
            <w:tcW w:w="705" w:type="pct"/>
            <w:tcBorders>
              <w:top w:val="nil"/>
              <w:left w:val="nil"/>
              <w:bottom w:val="single" w:sz="4" w:space="0" w:color="auto"/>
              <w:right w:val="single" w:sz="4" w:space="0" w:color="auto"/>
            </w:tcBorders>
            <w:shd w:val="clear" w:color="auto" w:fill="auto"/>
            <w:noWrap/>
            <w:vAlign w:val="center"/>
            <w:hideMark/>
          </w:tcPr>
          <w:p w14:paraId="14A6530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5087066000</w:t>
            </w:r>
          </w:p>
        </w:tc>
        <w:tc>
          <w:tcPr>
            <w:tcW w:w="547" w:type="pct"/>
            <w:tcBorders>
              <w:top w:val="nil"/>
              <w:left w:val="nil"/>
              <w:bottom w:val="single" w:sz="4" w:space="0" w:color="auto"/>
              <w:right w:val="single" w:sz="4" w:space="0" w:color="auto"/>
            </w:tcBorders>
            <w:shd w:val="clear" w:color="auto" w:fill="auto"/>
            <w:noWrap/>
            <w:vAlign w:val="center"/>
            <w:hideMark/>
          </w:tcPr>
          <w:p w14:paraId="4BCCFA2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60809051</w:t>
            </w:r>
          </w:p>
        </w:tc>
        <w:tc>
          <w:tcPr>
            <w:tcW w:w="3360" w:type="pct"/>
            <w:tcBorders>
              <w:top w:val="nil"/>
              <w:left w:val="nil"/>
              <w:bottom w:val="single" w:sz="4" w:space="0" w:color="auto"/>
              <w:right w:val="single" w:sz="4" w:space="0" w:color="auto"/>
            </w:tcBorders>
            <w:shd w:val="clear" w:color="auto" w:fill="auto"/>
            <w:vAlign w:val="center"/>
            <w:hideMark/>
          </w:tcPr>
          <w:p w14:paraId="11A5A19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KIDRIČEVO</w:t>
            </w:r>
          </w:p>
        </w:tc>
      </w:tr>
      <w:tr w:rsidR="00E3750C" w:rsidRPr="00415AB3" w14:paraId="7652C93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1620F4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1294</w:t>
            </w:r>
          </w:p>
        </w:tc>
        <w:tc>
          <w:tcPr>
            <w:tcW w:w="705" w:type="pct"/>
            <w:tcBorders>
              <w:top w:val="nil"/>
              <w:left w:val="nil"/>
              <w:bottom w:val="single" w:sz="4" w:space="0" w:color="auto"/>
              <w:right w:val="single" w:sz="4" w:space="0" w:color="auto"/>
            </w:tcBorders>
            <w:shd w:val="clear" w:color="auto" w:fill="auto"/>
            <w:noWrap/>
            <w:vAlign w:val="center"/>
            <w:hideMark/>
          </w:tcPr>
          <w:p w14:paraId="79F01FB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5089719000</w:t>
            </w:r>
          </w:p>
        </w:tc>
        <w:tc>
          <w:tcPr>
            <w:tcW w:w="547" w:type="pct"/>
            <w:tcBorders>
              <w:top w:val="nil"/>
              <w:left w:val="nil"/>
              <w:bottom w:val="single" w:sz="4" w:space="0" w:color="auto"/>
              <w:right w:val="single" w:sz="4" w:space="0" w:color="auto"/>
            </w:tcBorders>
            <w:shd w:val="clear" w:color="auto" w:fill="auto"/>
            <w:noWrap/>
            <w:vAlign w:val="center"/>
            <w:hideMark/>
          </w:tcPr>
          <w:p w14:paraId="0BFE311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48379611</w:t>
            </w:r>
          </w:p>
        </w:tc>
        <w:tc>
          <w:tcPr>
            <w:tcW w:w="3360" w:type="pct"/>
            <w:tcBorders>
              <w:top w:val="nil"/>
              <w:left w:val="nil"/>
              <w:bottom w:val="single" w:sz="4" w:space="0" w:color="auto"/>
              <w:right w:val="single" w:sz="4" w:space="0" w:color="auto"/>
            </w:tcBorders>
            <w:shd w:val="clear" w:color="auto" w:fill="auto"/>
            <w:vAlign w:val="center"/>
            <w:hideMark/>
          </w:tcPr>
          <w:p w14:paraId="31ADDF0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KOBILJE</w:t>
            </w:r>
          </w:p>
        </w:tc>
      </w:tr>
      <w:tr w:rsidR="00E3750C" w:rsidRPr="00415AB3" w14:paraId="55ABF67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0FD43F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1295</w:t>
            </w:r>
          </w:p>
        </w:tc>
        <w:tc>
          <w:tcPr>
            <w:tcW w:w="705" w:type="pct"/>
            <w:tcBorders>
              <w:top w:val="nil"/>
              <w:left w:val="nil"/>
              <w:bottom w:val="single" w:sz="4" w:space="0" w:color="auto"/>
              <w:right w:val="single" w:sz="4" w:space="0" w:color="auto"/>
            </w:tcBorders>
            <w:shd w:val="clear" w:color="auto" w:fill="auto"/>
            <w:noWrap/>
            <w:vAlign w:val="center"/>
            <w:hideMark/>
          </w:tcPr>
          <w:p w14:paraId="6F25AC4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5428394000</w:t>
            </w:r>
          </w:p>
        </w:tc>
        <w:tc>
          <w:tcPr>
            <w:tcW w:w="547" w:type="pct"/>
            <w:tcBorders>
              <w:top w:val="nil"/>
              <w:left w:val="nil"/>
              <w:bottom w:val="single" w:sz="4" w:space="0" w:color="auto"/>
              <w:right w:val="single" w:sz="4" w:space="0" w:color="auto"/>
            </w:tcBorders>
            <w:shd w:val="clear" w:color="auto" w:fill="auto"/>
            <w:noWrap/>
            <w:vAlign w:val="center"/>
            <w:hideMark/>
          </w:tcPr>
          <w:p w14:paraId="1350080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38359073</w:t>
            </w:r>
          </w:p>
        </w:tc>
        <w:tc>
          <w:tcPr>
            <w:tcW w:w="3360" w:type="pct"/>
            <w:tcBorders>
              <w:top w:val="nil"/>
              <w:left w:val="nil"/>
              <w:bottom w:val="single" w:sz="4" w:space="0" w:color="auto"/>
              <w:right w:val="single" w:sz="4" w:space="0" w:color="auto"/>
            </w:tcBorders>
            <w:shd w:val="clear" w:color="auto" w:fill="auto"/>
            <w:vAlign w:val="center"/>
            <w:hideMark/>
          </w:tcPr>
          <w:p w14:paraId="00519AC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KOLEZIJA</w:t>
            </w:r>
          </w:p>
        </w:tc>
      </w:tr>
      <w:tr w:rsidR="00E3750C" w:rsidRPr="00415AB3" w14:paraId="3AAC9C1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11B578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1296</w:t>
            </w:r>
          </w:p>
        </w:tc>
        <w:tc>
          <w:tcPr>
            <w:tcW w:w="705" w:type="pct"/>
            <w:tcBorders>
              <w:top w:val="nil"/>
              <w:left w:val="nil"/>
              <w:bottom w:val="single" w:sz="4" w:space="0" w:color="auto"/>
              <w:right w:val="single" w:sz="4" w:space="0" w:color="auto"/>
            </w:tcBorders>
            <w:shd w:val="clear" w:color="auto" w:fill="auto"/>
            <w:noWrap/>
            <w:vAlign w:val="center"/>
            <w:hideMark/>
          </w:tcPr>
          <w:p w14:paraId="50FA8B0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5082773000</w:t>
            </w:r>
          </w:p>
        </w:tc>
        <w:tc>
          <w:tcPr>
            <w:tcW w:w="547" w:type="pct"/>
            <w:tcBorders>
              <w:top w:val="nil"/>
              <w:left w:val="nil"/>
              <w:bottom w:val="single" w:sz="4" w:space="0" w:color="auto"/>
              <w:right w:val="single" w:sz="4" w:space="0" w:color="auto"/>
            </w:tcBorders>
            <w:shd w:val="clear" w:color="auto" w:fill="auto"/>
            <w:noWrap/>
            <w:vAlign w:val="center"/>
            <w:hideMark/>
          </w:tcPr>
          <w:p w14:paraId="36B5287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83415394</w:t>
            </w:r>
          </w:p>
        </w:tc>
        <w:tc>
          <w:tcPr>
            <w:tcW w:w="3360" w:type="pct"/>
            <w:tcBorders>
              <w:top w:val="nil"/>
              <w:left w:val="nil"/>
              <w:bottom w:val="single" w:sz="4" w:space="0" w:color="auto"/>
              <w:right w:val="single" w:sz="4" w:space="0" w:color="auto"/>
            </w:tcBorders>
            <w:shd w:val="clear" w:color="auto" w:fill="auto"/>
            <w:vAlign w:val="center"/>
            <w:hideMark/>
          </w:tcPr>
          <w:p w14:paraId="5EDF618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KOMANDANTA STANETA DRAGATUŠ</w:t>
            </w:r>
          </w:p>
        </w:tc>
      </w:tr>
      <w:tr w:rsidR="00E3750C" w:rsidRPr="00415AB3" w14:paraId="6878B03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AED968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1297</w:t>
            </w:r>
          </w:p>
        </w:tc>
        <w:tc>
          <w:tcPr>
            <w:tcW w:w="705" w:type="pct"/>
            <w:tcBorders>
              <w:top w:val="nil"/>
              <w:left w:val="nil"/>
              <w:bottom w:val="single" w:sz="4" w:space="0" w:color="auto"/>
              <w:right w:val="single" w:sz="4" w:space="0" w:color="auto"/>
            </w:tcBorders>
            <w:shd w:val="clear" w:color="auto" w:fill="auto"/>
            <w:noWrap/>
            <w:vAlign w:val="center"/>
            <w:hideMark/>
          </w:tcPr>
          <w:p w14:paraId="57B4369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5083052000</w:t>
            </w:r>
          </w:p>
        </w:tc>
        <w:tc>
          <w:tcPr>
            <w:tcW w:w="547" w:type="pct"/>
            <w:tcBorders>
              <w:top w:val="nil"/>
              <w:left w:val="nil"/>
              <w:bottom w:val="single" w:sz="4" w:space="0" w:color="auto"/>
              <w:right w:val="single" w:sz="4" w:space="0" w:color="auto"/>
            </w:tcBorders>
            <w:shd w:val="clear" w:color="auto" w:fill="auto"/>
            <w:noWrap/>
            <w:vAlign w:val="center"/>
            <w:hideMark/>
          </w:tcPr>
          <w:p w14:paraId="379E591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37317296</w:t>
            </w:r>
          </w:p>
        </w:tc>
        <w:tc>
          <w:tcPr>
            <w:tcW w:w="3360" w:type="pct"/>
            <w:tcBorders>
              <w:top w:val="nil"/>
              <w:left w:val="nil"/>
              <w:bottom w:val="single" w:sz="4" w:space="0" w:color="auto"/>
              <w:right w:val="single" w:sz="4" w:space="0" w:color="auto"/>
            </w:tcBorders>
            <w:shd w:val="clear" w:color="auto" w:fill="auto"/>
            <w:vAlign w:val="center"/>
            <w:hideMark/>
          </w:tcPr>
          <w:p w14:paraId="50CD210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KOMENDA MOSTE</w:t>
            </w:r>
          </w:p>
        </w:tc>
      </w:tr>
      <w:tr w:rsidR="00E3750C" w:rsidRPr="00415AB3" w14:paraId="7E99A14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90CB09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1298</w:t>
            </w:r>
          </w:p>
        </w:tc>
        <w:tc>
          <w:tcPr>
            <w:tcW w:w="705" w:type="pct"/>
            <w:tcBorders>
              <w:top w:val="nil"/>
              <w:left w:val="nil"/>
              <w:bottom w:val="single" w:sz="4" w:space="0" w:color="auto"/>
              <w:right w:val="single" w:sz="4" w:space="0" w:color="auto"/>
            </w:tcBorders>
            <w:shd w:val="clear" w:color="auto" w:fill="auto"/>
            <w:noWrap/>
            <w:vAlign w:val="center"/>
            <w:hideMark/>
          </w:tcPr>
          <w:p w14:paraId="76DFEB7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2229463000</w:t>
            </w:r>
          </w:p>
        </w:tc>
        <w:tc>
          <w:tcPr>
            <w:tcW w:w="547" w:type="pct"/>
            <w:tcBorders>
              <w:top w:val="nil"/>
              <w:left w:val="nil"/>
              <w:bottom w:val="single" w:sz="4" w:space="0" w:color="auto"/>
              <w:right w:val="single" w:sz="4" w:space="0" w:color="auto"/>
            </w:tcBorders>
            <w:shd w:val="clear" w:color="auto" w:fill="auto"/>
            <w:noWrap/>
            <w:vAlign w:val="center"/>
            <w:hideMark/>
          </w:tcPr>
          <w:p w14:paraId="075A422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25866702</w:t>
            </w:r>
          </w:p>
        </w:tc>
        <w:tc>
          <w:tcPr>
            <w:tcW w:w="3360" w:type="pct"/>
            <w:tcBorders>
              <w:top w:val="nil"/>
              <w:left w:val="nil"/>
              <w:bottom w:val="single" w:sz="4" w:space="0" w:color="auto"/>
              <w:right w:val="single" w:sz="4" w:space="0" w:color="auto"/>
            </w:tcBorders>
            <w:shd w:val="clear" w:color="auto" w:fill="auto"/>
            <w:vAlign w:val="center"/>
            <w:hideMark/>
          </w:tcPr>
          <w:p w14:paraId="2CA9868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KOPER</w:t>
            </w:r>
          </w:p>
        </w:tc>
      </w:tr>
      <w:tr w:rsidR="00E3750C" w:rsidRPr="00415AB3" w14:paraId="04C0870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6CD3D9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1299</w:t>
            </w:r>
          </w:p>
        </w:tc>
        <w:tc>
          <w:tcPr>
            <w:tcW w:w="705" w:type="pct"/>
            <w:tcBorders>
              <w:top w:val="nil"/>
              <w:left w:val="nil"/>
              <w:bottom w:val="single" w:sz="4" w:space="0" w:color="auto"/>
              <w:right w:val="single" w:sz="4" w:space="0" w:color="auto"/>
            </w:tcBorders>
            <w:shd w:val="clear" w:color="auto" w:fill="auto"/>
            <w:noWrap/>
            <w:vAlign w:val="center"/>
            <w:hideMark/>
          </w:tcPr>
          <w:p w14:paraId="6AC1B6F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5086043000</w:t>
            </w:r>
          </w:p>
        </w:tc>
        <w:tc>
          <w:tcPr>
            <w:tcW w:w="547" w:type="pct"/>
            <w:tcBorders>
              <w:top w:val="nil"/>
              <w:left w:val="nil"/>
              <w:bottom w:val="single" w:sz="4" w:space="0" w:color="auto"/>
              <w:right w:val="single" w:sz="4" w:space="0" w:color="auto"/>
            </w:tcBorders>
            <w:shd w:val="clear" w:color="auto" w:fill="auto"/>
            <w:noWrap/>
            <w:vAlign w:val="center"/>
            <w:hideMark/>
          </w:tcPr>
          <w:p w14:paraId="24959A3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10360077</w:t>
            </w:r>
          </w:p>
        </w:tc>
        <w:tc>
          <w:tcPr>
            <w:tcW w:w="3360" w:type="pct"/>
            <w:tcBorders>
              <w:top w:val="nil"/>
              <w:left w:val="nil"/>
              <w:bottom w:val="single" w:sz="4" w:space="0" w:color="auto"/>
              <w:right w:val="single" w:sz="4" w:space="0" w:color="auto"/>
            </w:tcBorders>
            <w:shd w:val="clear" w:color="auto" w:fill="auto"/>
            <w:vAlign w:val="center"/>
            <w:hideMark/>
          </w:tcPr>
          <w:p w14:paraId="1A492FE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KOPRIVNICA</w:t>
            </w:r>
          </w:p>
        </w:tc>
      </w:tr>
      <w:tr w:rsidR="00E3750C" w:rsidRPr="00415AB3" w14:paraId="376BDC9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90972B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1300</w:t>
            </w:r>
          </w:p>
        </w:tc>
        <w:tc>
          <w:tcPr>
            <w:tcW w:w="705" w:type="pct"/>
            <w:tcBorders>
              <w:top w:val="nil"/>
              <w:left w:val="nil"/>
              <w:bottom w:val="single" w:sz="4" w:space="0" w:color="auto"/>
              <w:right w:val="single" w:sz="4" w:space="0" w:color="auto"/>
            </w:tcBorders>
            <w:shd w:val="clear" w:color="auto" w:fill="auto"/>
            <w:noWrap/>
            <w:vAlign w:val="center"/>
            <w:hideMark/>
          </w:tcPr>
          <w:p w14:paraId="2A826F0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5088887000</w:t>
            </w:r>
          </w:p>
        </w:tc>
        <w:tc>
          <w:tcPr>
            <w:tcW w:w="547" w:type="pct"/>
            <w:tcBorders>
              <w:top w:val="nil"/>
              <w:left w:val="nil"/>
              <w:bottom w:val="single" w:sz="4" w:space="0" w:color="auto"/>
              <w:right w:val="single" w:sz="4" w:space="0" w:color="auto"/>
            </w:tcBorders>
            <w:shd w:val="clear" w:color="auto" w:fill="auto"/>
            <w:noWrap/>
            <w:vAlign w:val="center"/>
            <w:hideMark/>
          </w:tcPr>
          <w:p w14:paraId="68EB5C1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60415266</w:t>
            </w:r>
          </w:p>
        </w:tc>
        <w:tc>
          <w:tcPr>
            <w:tcW w:w="3360" w:type="pct"/>
            <w:tcBorders>
              <w:top w:val="nil"/>
              <w:left w:val="nil"/>
              <w:bottom w:val="single" w:sz="4" w:space="0" w:color="auto"/>
              <w:right w:val="single" w:sz="4" w:space="0" w:color="auto"/>
            </w:tcBorders>
            <w:shd w:val="clear" w:color="auto" w:fill="auto"/>
            <w:vAlign w:val="center"/>
            <w:hideMark/>
          </w:tcPr>
          <w:p w14:paraId="2839407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KORENA</w:t>
            </w:r>
          </w:p>
        </w:tc>
      </w:tr>
      <w:tr w:rsidR="00E3750C" w:rsidRPr="00415AB3" w14:paraId="4570FE1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FFA7D4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1301</w:t>
            </w:r>
          </w:p>
        </w:tc>
        <w:tc>
          <w:tcPr>
            <w:tcW w:w="705" w:type="pct"/>
            <w:tcBorders>
              <w:top w:val="nil"/>
              <w:left w:val="nil"/>
              <w:bottom w:val="single" w:sz="4" w:space="0" w:color="auto"/>
              <w:right w:val="single" w:sz="4" w:space="0" w:color="auto"/>
            </w:tcBorders>
            <w:shd w:val="clear" w:color="auto" w:fill="auto"/>
            <w:noWrap/>
            <w:vAlign w:val="center"/>
            <w:hideMark/>
          </w:tcPr>
          <w:p w14:paraId="07A3C56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5719046000</w:t>
            </w:r>
          </w:p>
        </w:tc>
        <w:tc>
          <w:tcPr>
            <w:tcW w:w="547" w:type="pct"/>
            <w:tcBorders>
              <w:top w:val="nil"/>
              <w:left w:val="nil"/>
              <w:bottom w:val="single" w:sz="4" w:space="0" w:color="auto"/>
              <w:right w:val="single" w:sz="4" w:space="0" w:color="auto"/>
            </w:tcBorders>
            <w:shd w:val="clear" w:color="auto" w:fill="auto"/>
            <w:noWrap/>
            <w:vAlign w:val="center"/>
            <w:hideMark/>
          </w:tcPr>
          <w:p w14:paraId="30D919B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44425465</w:t>
            </w:r>
          </w:p>
        </w:tc>
        <w:tc>
          <w:tcPr>
            <w:tcW w:w="3360" w:type="pct"/>
            <w:tcBorders>
              <w:top w:val="nil"/>
              <w:left w:val="nil"/>
              <w:bottom w:val="single" w:sz="4" w:space="0" w:color="auto"/>
              <w:right w:val="single" w:sz="4" w:space="0" w:color="auto"/>
            </w:tcBorders>
            <w:shd w:val="clear" w:color="auto" w:fill="auto"/>
            <w:vAlign w:val="center"/>
            <w:hideMark/>
          </w:tcPr>
          <w:p w14:paraId="13BC9A1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KOROŠKA BELA JESENICE</w:t>
            </w:r>
          </w:p>
        </w:tc>
      </w:tr>
      <w:tr w:rsidR="00E3750C" w:rsidRPr="00415AB3" w14:paraId="52F194B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AD06AA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1302</w:t>
            </w:r>
          </w:p>
        </w:tc>
        <w:tc>
          <w:tcPr>
            <w:tcW w:w="705" w:type="pct"/>
            <w:tcBorders>
              <w:top w:val="nil"/>
              <w:left w:val="nil"/>
              <w:bottom w:val="single" w:sz="4" w:space="0" w:color="auto"/>
              <w:right w:val="single" w:sz="4" w:space="0" w:color="auto"/>
            </w:tcBorders>
            <w:shd w:val="clear" w:color="auto" w:fill="auto"/>
            <w:noWrap/>
            <w:vAlign w:val="center"/>
            <w:hideMark/>
          </w:tcPr>
          <w:p w14:paraId="48979E1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5185815000</w:t>
            </w:r>
          </w:p>
        </w:tc>
        <w:tc>
          <w:tcPr>
            <w:tcW w:w="547" w:type="pct"/>
            <w:tcBorders>
              <w:top w:val="nil"/>
              <w:left w:val="nil"/>
              <w:bottom w:val="single" w:sz="4" w:space="0" w:color="auto"/>
              <w:right w:val="single" w:sz="4" w:space="0" w:color="auto"/>
            </w:tcBorders>
            <w:shd w:val="clear" w:color="auto" w:fill="auto"/>
            <w:noWrap/>
            <w:vAlign w:val="center"/>
            <w:hideMark/>
          </w:tcPr>
          <w:p w14:paraId="7B99D9D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83712143</w:t>
            </w:r>
          </w:p>
        </w:tc>
        <w:tc>
          <w:tcPr>
            <w:tcW w:w="3360" w:type="pct"/>
            <w:tcBorders>
              <w:top w:val="nil"/>
              <w:left w:val="nil"/>
              <w:bottom w:val="single" w:sz="4" w:space="0" w:color="auto"/>
              <w:right w:val="single" w:sz="4" w:space="0" w:color="auto"/>
            </w:tcBorders>
            <w:shd w:val="clear" w:color="auto" w:fill="auto"/>
            <w:vAlign w:val="center"/>
            <w:hideMark/>
          </w:tcPr>
          <w:p w14:paraId="5847BB8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KOROŠKI JEKLARJI RAVNE NA KOROŠKEM</w:t>
            </w:r>
          </w:p>
        </w:tc>
      </w:tr>
      <w:tr w:rsidR="00E3750C" w:rsidRPr="00415AB3" w14:paraId="3713AC1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8E206B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1303</w:t>
            </w:r>
          </w:p>
        </w:tc>
        <w:tc>
          <w:tcPr>
            <w:tcW w:w="705" w:type="pct"/>
            <w:tcBorders>
              <w:top w:val="nil"/>
              <w:left w:val="nil"/>
              <w:bottom w:val="single" w:sz="4" w:space="0" w:color="auto"/>
              <w:right w:val="single" w:sz="4" w:space="0" w:color="auto"/>
            </w:tcBorders>
            <w:shd w:val="clear" w:color="auto" w:fill="auto"/>
            <w:noWrap/>
            <w:vAlign w:val="center"/>
            <w:hideMark/>
          </w:tcPr>
          <w:p w14:paraId="32279D9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5062926000</w:t>
            </w:r>
          </w:p>
        </w:tc>
        <w:tc>
          <w:tcPr>
            <w:tcW w:w="547" w:type="pct"/>
            <w:tcBorders>
              <w:top w:val="nil"/>
              <w:left w:val="nil"/>
              <w:bottom w:val="single" w:sz="4" w:space="0" w:color="auto"/>
              <w:right w:val="single" w:sz="4" w:space="0" w:color="auto"/>
            </w:tcBorders>
            <w:shd w:val="clear" w:color="auto" w:fill="auto"/>
            <w:noWrap/>
            <w:vAlign w:val="center"/>
            <w:hideMark/>
          </w:tcPr>
          <w:p w14:paraId="34D4F21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85738271</w:t>
            </w:r>
          </w:p>
        </w:tc>
        <w:tc>
          <w:tcPr>
            <w:tcW w:w="3360" w:type="pct"/>
            <w:tcBorders>
              <w:top w:val="nil"/>
              <w:left w:val="nil"/>
              <w:bottom w:val="single" w:sz="4" w:space="0" w:color="auto"/>
              <w:right w:val="single" w:sz="4" w:space="0" w:color="auto"/>
            </w:tcBorders>
            <w:shd w:val="clear" w:color="auto" w:fill="auto"/>
            <w:vAlign w:val="center"/>
            <w:hideMark/>
          </w:tcPr>
          <w:p w14:paraId="6858F09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KOSEZE</w:t>
            </w:r>
          </w:p>
        </w:tc>
      </w:tr>
      <w:tr w:rsidR="00E3750C" w:rsidRPr="00415AB3" w14:paraId="3A1E736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8BD241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1304</w:t>
            </w:r>
          </w:p>
        </w:tc>
        <w:tc>
          <w:tcPr>
            <w:tcW w:w="705" w:type="pct"/>
            <w:tcBorders>
              <w:top w:val="nil"/>
              <w:left w:val="nil"/>
              <w:bottom w:val="single" w:sz="4" w:space="0" w:color="auto"/>
              <w:right w:val="single" w:sz="4" w:space="0" w:color="auto"/>
            </w:tcBorders>
            <w:shd w:val="clear" w:color="auto" w:fill="auto"/>
            <w:noWrap/>
            <w:vAlign w:val="center"/>
            <w:hideMark/>
          </w:tcPr>
          <w:p w14:paraId="5B1ED30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5086191000</w:t>
            </w:r>
          </w:p>
        </w:tc>
        <w:tc>
          <w:tcPr>
            <w:tcW w:w="547" w:type="pct"/>
            <w:tcBorders>
              <w:top w:val="nil"/>
              <w:left w:val="nil"/>
              <w:bottom w:val="single" w:sz="4" w:space="0" w:color="auto"/>
              <w:right w:val="single" w:sz="4" w:space="0" w:color="auto"/>
            </w:tcBorders>
            <w:shd w:val="clear" w:color="auto" w:fill="auto"/>
            <w:noWrap/>
            <w:vAlign w:val="center"/>
            <w:hideMark/>
          </w:tcPr>
          <w:p w14:paraId="4893C99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97193577</w:t>
            </w:r>
          </w:p>
        </w:tc>
        <w:tc>
          <w:tcPr>
            <w:tcW w:w="3360" w:type="pct"/>
            <w:tcBorders>
              <w:top w:val="nil"/>
              <w:left w:val="nil"/>
              <w:bottom w:val="single" w:sz="4" w:space="0" w:color="auto"/>
              <w:right w:val="single" w:sz="4" w:space="0" w:color="auto"/>
            </w:tcBorders>
            <w:shd w:val="clear" w:color="auto" w:fill="auto"/>
            <w:vAlign w:val="center"/>
            <w:hideMark/>
          </w:tcPr>
          <w:p w14:paraId="68A9188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KOZARA NOVA GORICA</w:t>
            </w:r>
          </w:p>
        </w:tc>
      </w:tr>
      <w:tr w:rsidR="00E3750C" w:rsidRPr="00415AB3" w14:paraId="40FD8BF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D3EA63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1305</w:t>
            </w:r>
          </w:p>
        </w:tc>
        <w:tc>
          <w:tcPr>
            <w:tcW w:w="705" w:type="pct"/>
            <w:tcBorders>
              <w:top w:val="nil"/>
              <w:left w:val="nil"/>
              <w:bottom w:val="single" w:sz="4" w:space="0" w:color="auto"/>
              <w:right w:val="single" w:sz="4" w:space="0" w:color="auto"/>
            </w:tcBorders>
            <w:shd w:val="clear" w:color="auto" w:fill="auto"/>
            <w:noWrap/>
            <w:vAlign w:val="center"/>
            <w:hideMark/>
          </w:tcPr>
          <w:p w14:paraId="277A62D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5087929000</w:t>
            </w:r>
          </w:p>
        </w:tc>
        <w:tc>
          <w:tcPr>
            <w:tcW w:w="547" w:type="pct"/>
            <w:tcBorders>
              <w:top w:val="nil"/>
              <w:left w:val="nil"/>
              <w:bottom w:val="single" w:sz="4" w:space="0" w:color="auto"/>
              <w:right w:val="single" w:sz="4" w:space="0" w:color="auto"/>
            </w:tcBorders>
            <w:shd w:val="clear" w:color="auto" w:fill="auto"/>
            <w:noWrap/>
            <w:vAlign w:val="center"/>
            <w:hideMark/>
          </w:tcPr>
          <w:p w14:paraId="1D2FB9E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56311761</w:t>
            </w:r>
          </w:p>
        </w:tc>
        <w:tc>
          <w:tcPr>
            <w:tcW w:w="3360" w:type="pct"/>
            <w:tcBorders>
              <w:top w:val="nil"/>
              <w:left w:val="nil"/>
              <w:bottom w:val="single" w:sz="4" w:space="0" w:color="auto"/>
              <w:right w:val="single" w:sz="4" w:space="0" w:color="auto"/>
            </w:tcBorders>
            <w:shd w:val="clear" w:color="auto" w:fill="auto"/>
            <w:vAlign w:val="center"/>
            <w:hideMark/>
          </w:tcPr>
          <w:p w14:paraId="4AFC02A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KOZJE</w:t>
            </w:r>
          </w:p>
        </w:tc>
      </w:tr>
      <w:tr w:rsidR="00E3750C" w:rsidRPr="00415AB3" w14:paraId="4E72B83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9EE71E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1306</w:t>
            </w:r>
          </w:p>
        </w:tc>
        <w:tc>
          <w:tcPr>
            <w:tcW w:w="705" w:type="pct"/>
            <w:tcBorders>
              <w:top w:val="nil"/>
              <w:left w:val="nil"/>
              <w:bottom w:val="single" w:sz="4" w:space="0" w:color="auto"/>
              <w:right w:val="single" w:sz="4" w:space="0" w:color="auto"/>
            </w:tcBorders>
            <w:shd w:val="clear" w:color="auto" w:fill="auto"/>
            <w:noWrap/>
            <w:vAlign w:val="center"/>
            <w:hideMark/>
          </w:tcPr>
          <w:p w14:paraId="2B9433C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5088127000</w:t>
            </w:r>
          </w:p>
        </w:tc>
        <w:tc>
          <w:tcPr>
            <w:tcW w:w="547" w:type="pct"/>
            <w:tcBorders>
              <w:top w:val="nil"/>
              <w:left w:val="nil"/>
              <w:bottom w:val="single" w:sz="4" w:space="0" w:color="auto"/>
              <w:right w:val="single" w:sz="4" w:space="0" w:color="auto"/>
            </w:tcBorders>
            <w:shd w:val="clear" w:color="auto" w:fill="auto"/>
            <w:noWrap/>
            <w:vAlign w:val="center"/>
            <w:hideMark/>
          </w:tcPr>
          <w:p w14:paraId="6F9283F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57553629</w:t>
            </w:r>
          </w:p>
        </w:tc>
        <w:tc>
          <w:tcPr>
            <w:tcW w:w="3360" w:type="pct"/>
            <w:tcBorders>
              <w:top w:val="nil"/>
              <w:left w:val="nil"/>
              <w:bottom w:val="single" w:sz="4" w:space="0" w:color="auto"/>
              <w:right w:val="single" w:sz="4" w:space="0" w:color="auto"/>
            </w:tcBorders>
            <w:shd w:val="clear" w:color="auto" w:fill="auto"/>
            <w:vAlign w:val="center"/>
            <w:hideMark/>
          </w:tcPr>
          <w:p w14:paraId="62DCDF6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KRIŽE</w:t>
            </w:r>
          </w:p>
        </w:tc>
      </w:tr>
      <w:tr w:rsidR="00E3750C" w:rsidRPr="00415AB3" w14:paraId="6BA1970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211513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1307</w:t>
            </w:r>
          </w:p>
        </w:tc>
        <w:tc>
          <w:tcPr>
            <w:tcW w:w="705" w:type="pct"/>
            <w:tcBorders>
              <w:top w:val="nil"/>
              <w:left w:val="nil"/>
              <w:bottom w:val="single" w:sz="4" w:space="0" w:color="auto"/>
              <w:right w:val="single" w:sz="4" w:space="0" w:color="auto"/>
            </w:tcBorders>
            <w:shd w:val="clear" w:color="auto" w:fill="auto"/>
            <w:noWrap/>
            <w:vAlign w:val="center"/>
            <w:hideMark/>
          </w:tcPr>
          <w:p w14:paraId="0D64CEB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5084636000</w:t>
            </w:r>
          </w:p>
        </w:tc>
        <w:tc>
          <w:tcPr>
            <w:tcW w:w="547" w:type="pct"/>
            <w:tcBorders>
              <w:top w:val="nil"/>
              <w:left w:val="nil"/>
              <w:bottom w:val="single" w:sz="4" w:space="0" w:color="auto"/>
              <w:right w:val="single" w:sz="4" w:space="0" w:color="auto"/>
            </w:tcBorders>
            <w:shd w:val="clear" w:color="auto" w:fill="auto"/>
            <w:noWrap/>
            <w:vAlign w:val="center"/>
            <w:hideMark/>
          </w:tcPr>
          <w:p w14:paraId="6F5C383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93578253</w:t>
            </w:r>
          </w:p>
        </w:tc>
        <w:tc>
          <w:tcPr>
            <w:tcW w:w="3360" w:type="pct"/>
            <w:tcBorders>
              <w:top w:val="nil"/>
              <w:left w:val="nil"/>
              <w:bottom w:val="single" w:sz="4" w:space="0" w:color="auto"/>
              <w:right w:val="single" w:sz="4" w:space="0" w:color="auto"/>
            </w:tcBorders>
            <w:shd w:val="clear" w:color="auto" w:fill="auto"/>
            <w:vAlign w:val="center"/>
            <w:hideMark/>
          </w:tcPr>
          <w:p w14:paraId="3FE5BD7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KRIŽEVCI</w:t>
            </w:r>
          </w:p>
        </w:tc>
      </w:tr>
      <w:tr w:rsidR="00E3750C" w:rsidRPr="00415AB3" w14:paraId="2B28171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12CC95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1308</w:t>
            </w:r>
          </w:p>
        </w:tc>
        <w:tc>
          <w:tcPr>
            <w:tcW w:w="705" w:type="pct"/>
            <w:tcBorders>
              <w:top w:val="nil"/>
              <w:left w:val="nil"/>
              <w:bottom w:val="single" w:sz="4" w:space="0" w:color="auto"/>
              <w:right w:val="single" w:sz="4" w:space="0" w:color="auto"/>
            </w:tcBorders>
            <w:shd w:val="clear" w:color="auto" w:fill="auto"/>
            <w:noWrap/>
            <w:vAlign w:val="center"/>
            <w:hideMark/>
          </w:tcPr>
          <w:p w14:paraId="1E3576D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5087520000</w:t>
            </w:r>
          </w:p>
        </w:tc>
        <w:tc>
          <w:tcPr>
            <w:tcW w:w="547" w:type="pct"/>
            <w:tcBorders>
              <w:top w:val="nil"/>
              <w:left w:val="nil"/>
              <w:bottom w:val="single" w:sz="4" w:space="0" w:color="auto"/>
              <w:right w:val="single" w:sz="4" w:space="0" w:color="auto"/>
            </w:tcBorders>
            <w:shd w:val="clear" w:color="auto" w:fill="auto"/>
            <w:noWrap/>
            <w:vAlign w:val="center"/>
            <w:hideMark/>
          </w:tcPr>
          <w:p w14:paraId="041BB95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20318936</w:t>
            </w:r>
          </w:p>
        </w:tc>
        <w:tc>
          <w:tcPr>
            <w:tcW w:w="3360" w:type="pct"/>
            <w:tcBorders>
              <w:top w:val="nil"/>
              <w:left w:val="nil"/>
              <w:bottom w:val="single" w:sz="4" w:space="0" w:color="auto"/>
              <w:right w:val="single" w:sz="4" w:space="0" w:color="auto"/>
            </w:tcBorders>
            <w:shd w:val="clear" w:color="auto" w:fill="auto"/>
            <w:vAlign w:val="center"/>
            <w:hideMark/>
          </w:tcPr>
          <w:p w14:paraId="36A320A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KRMELJ</w:t>
            </w:r>
          </w:p>
        </w:tc>
      </w:tr>
      <w:tr w:rsidR="00E3750C" w:rsidRPr="00415AB3" w14:paraId="008F8BD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C0A62D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1309</w:t>
            </w:r>
          </w:p>
        </w:tc>
        <w:tc>
          <w:tcPr>
            <w:tcW w:w="705" w:type="pct"/>
            <w:tcBorders>
              <w:top w:val="nil"/>
              <w:left w:val="nil"/>
              <w:bottom w:val="single" w:sz="4" w:space="0" w:color="auto"/>
              <w:right w:val="single" w:sz="4" w:space="0" w:color="auto"/>
            </w:tcBorders>
            <w:shd w:val="clear" w:color="auto" w:fill="auto"/>
            <w:noWrap/>
            <w:vAlign w:val="center"/>
            <w:hideMark/>
          </w:tcPr>
          <w:p w14:paraId="757F70C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5085632000</w:t>
            </w:r>
          </w:p>
        </w:tc>
        <w:tc>
          <w:tcPr>
            <w:tcW w:w="547" w:type="pct"/>
            <w:tcBorders>
              <w:top w:val="nil"/>
              <w:left w:val="nil"/>
              <w:bottom w:val="single" w:sz="4" w:space="0" w:color="auto"/>
              <w:right w:val="single" w:sz="4" w:space="0" w:color="auto"/>
            </w:tcBorders>
            <w:shd w:val="clear" w:color="auto" w:fill="auto"/>
            <w:noWrap/>
            <w:vAlign w:val="center"/>
            <w:hideMark/>
          </w:tcPr>
          <w:p w14:paraId="351680D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77414900</w:t>
            </w:r>
          </w:p>
        </w:tc>
        <w:tc>
          <w:tcPr>
            <w:tcW w:w="3360" w:type="pct"/>
            <w:tcBorders>
              <w:top w:val="nil"/>
              <w:left w:val="nil"/>
              <w:bottom w:val="single" w:sz="4" w:space="0" w:color="auto"/>
              <w:right w:val="single" w:sz="4" w:space="0" w:color="auto"/>
            </w:tcBorders>
            <w:shd w:val="clear" w:color="auto" w:fill="auto"/>
            <w:vAlign w:val="center"/>
            <w:hideMark/>
          </w:tcPr>
          <w:p w14:paraId="3B59D6B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KUZMA</w:t>
            </w:r>
          </w:p>
        </w:tc>
      </w:tr>
      <w:tr w:rsidR="00E3750C" w:rsidRPr="00415AB3" w14:paraId="6486C4B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DF5858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1310</w:t>
            </w:r>
          </w:p>
        </w:tc>
        <w:tc>
          <w:tcPr>
            <w:tcW w:w="705" w:type="pct"/>
            <w:tcBorders>
              <w:top w:val="nil"/>
              <w:left w:val="nil"/>
              <w:bottom w:val="single" w:sz="4" w:space="0" w:color="auto"/>
              <w:right w:val="single" w:sz="4" w:space="0" w:color="auto"/>
            </w:tcBorders>
            <w:shd w:val="clear" w:color="auto" w:fill="auto"/>
            <w:noWrap/>
            <w:vAlign w:val="center"/>
            <w:hideMark/>
          </w:tcPr>
          <w:p w14:paraId="6F0FBF7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5062799000</w:t>
            </w:r>
          </w:p>
        </w:tc>
        <w:tc>
          <w:tcPr>
            <w:tcW w:w="547" w:type="pct"/>
            <w:tcBorders>
              <w:top w:val="nil"/>
              <w:left w:val="nil"/>
              <w:bottom w:val="single" w:sz="4" w:space="0" w:color="auto"/>
              <w:right w:val="single" w:sz="4" w:space="0" w:color="auto"/>
            </w:tcBorders>
            <w:shd w:val="clear" w:color="auto" w:fill="auto"/>
            <w:noWrap/>
            <w:vAlign w:val="center"/>
            <w:hideMark/>
          </w:tcPr>
          <w:p w14:paraId="4A312B8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27299627</w:t>
            </w:r>
          </w:p>
        </w:tc>
        <w:tc>
          <w:tcPr>
            <w:tcW w:w="3360" w:type="pct"/>
            <w:tcBorders>
              <w:top w:val="nil"/>
              <w:left w:val="nil"/>
              <w:bottom w:val="single" w:sz="4" w:space="0" w:color="auto"/>
              <w:right w:val="single" w:sz="4" w:space="0" w:color="auto"/>
            </w:tcBorders>
            <w:shd w:val="clear" w:color="auto" w:fill="auto"/>
            <w:vAlign w:val="center"/>
            <w:hideMark/>
          </w:tcPr>
          <w:p w14:paraId="5B5EF26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LAVA</w:t>
            </w:r>
          </w:p>
        </w:tc>
      </w:tr>
      <w:tr w:rsidR="00E3750C" w:rsidRPr="00415AB3" w14:paraId="03760A7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134A1A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1311</w:t>
            </w:r>
          </w:p>
        </w:tc>
        <w:tc>
          <w:tcPr>
            <w:tcW w:w="705" w:type="pct"/>
            <w:tcBorders>
              <w:top w:val="nil"/>
              <w:left w:val="nil"/>
              <w:bottom w:val="single" w:sz="4" w:space="0" w:color="auto"/>
              <w:right w:val="single" w:sz="4" w:space="0" w:color="auto"/>
            </w:tcBorders>
            <w:shd w:val="clear" w:color="auto" w:fill="auto"/>
            <w:noWrap/>
            <w:vAlign w:val="center"/>
            <w:hideMark/>
          </w:tcPr>
          <w:p w14:paraId="7B29637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5084148000</w:t>
            </w:r>
          </w:p>
        </w:tc>
        <w:tc>
          <w:tcPr>
            <w:tcW w:w="547" w:type="pct"/>
            <w:tcBorders>
              <w:top w:val="nil"/>
              <w:left w:val="nil"/>
              <w:bottom w:val="single" w:sz="4" w:space="0" w:color="auto"/>
              <w:right w:val="single" w:sz="4" w:space="0" w:color="auto"/>
            </w:tcBorders>
            <w:shd w:val="clear" w:color="auto" w:fill="auto"/>
            <w:noWrap/>
            <w:vAlign w:val="center"/>
            <w:hideMark/>
          </w:tcPr>
          <w:p w14:paraId="7DD9E57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89487273</w:t>
            </w:r>
          </w:p>
        </w:tc>
        <w:tc>
          <w:tcPr>
            <w:tcW w:w="3360" w:type="pct"/>
            <w:tcBorders>
              <w:top w:val="nil"/>
              <w:left w:val="nil"/>
              <w:bottom w:val="single" w:sz="4" w:space="0" w:color="auto"/>
              <w:right w:val="single" w:sz="4" w:space="0" w:color="auto"/>
            </w:tcBorders>
            <w:shd w:val="clear" w:color="auto" w:fill="auto"/>
            <w:vAlign w:val="center"/>
            <w:hideMark/>
          </w:tcPr>
          <w:p w14:paraId="2B44A4E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LEDINA</w:t>
            </w:r>
          </w:p>
        </w:tc>
      </w:tr>
      <w:tr w:rsidR="00E3750C" w:rsidRPr="00415AB3" w14:paraId="1352D2F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27BDF4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1312</w:t>
            </w:r>
          </w:p>
        </w:tc>
        <w:tc>
          <w:tcPr>
            <w:tcW w:w="705" w:type="pct"/>
            <w:tcBorders>
              <w:top w:val="nil"/>
              <w:left w:val="nil"/>
              <w:bottom w:val="single" w:sz="4" w:space="0" w:color="auto"/>
              <w:right w:val="single" w:sz="4" w:space="0" w:color="auto"/>
            </w:tcBorders>
            <w:shd w:val="clear" w:color="auto" w:fill="auto"/>
            <w:noWrap/>
            <w:vAlign w:val="center"/>
            <w:hideMark/>
          </w:tcPr>
          <w:p w14:paraId="453095A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5086639000</w:t>
            </w:r>
          </w:p>
        </w:tc>
        <w:tc>
          <w:tcPr>
            <w:tcW w:w="547" w:type="pct"/>
            <w:tcBorders>
              <w:top w:val="nil"/>
              <w:left w:val="nil"/>
              <w:bottom w:val="single" w:sz="4" w:space="0" w:color="auto"/>
              <w:right w:val="single" w:sz="4" w:space="0" w:color="auto"/>
            </w:tcBorders>
            <w:shd w:val="clear" w:color="auto" w:fill="auto"/>
            <w:noWrap/>
            <w:vAlign w:val="center"/>
            <w:hideMark/>
          </w:tcPr>
          <w:p w14:paraId="73EA2E1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27905918</w:t>
            </w:r>
          </w:p>
        </w:tc>
        <w:tc>
          <w:tcPr>
            <w:tcW w:w="3360" w:type="pct"/>
            <w:tcBorders>
              <w:top w:val="nil"/>
              <w:left w:val="nil"/>
              <w:bottom w:val="single" w:sz="4" w:space="0" w:color="auto"/>
              <w:right w:val="single" w:sz="4" w:space="0" w:color="auto"/>
            </w:tcBorders>
            <w:shd w:val="clear" w:color="auto" w:fill="auto"/>
            <w:vAlign w:val="center"/>
            <w:hideMark/>
          </w:tcPr>
          <w:p w14:paraId="79F6FCF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LENART</w:t>
            </w:r>
          </w:p>
        </w:tc>
      </w:tr>
      <w:tr w:rsidR="00E3750C" w:rsidRPr="00415AB3" w14:paraId="6A0F6E9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B741BB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1313</w:t>
            </w:r>
          </w:p>
        </w:tc>
        <w:tc>
          <w:tcPr>
            <w:tcW w:w="705" w:type="pct"/>
            <w:tcBorders>
              <w:top w:val="nil"/>
              <w:left w:val="nil"/>
              <w:bottom w:val="single" w:sz="4" w:space="0" w:color="auto"/>
              <w:right w:val="single" w:sz="4" w:space="0" w:color="auto"/>
            </w:tcBorders>
            <w:shd w:val="clear" w:color="auto" w:fill="auto"/>
            <w:noWrap/>
            <w:vAlign w:val="center"/>
            <w:hideMark/>
          </w:tcPr>
          <w:p w14:paraId="6058B22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5610494000</w:t>
            </w:r>
          </w:p>
        </w:tc>
        <w:tc>
          <w:tcPr>
            <w:tcW w:w="547" w:type="pct"/>
            <w:tcBorders>
              <w:top w:val="nil"/>
              <w:left w:val="nil"/>
              <w:bottom w:val="single" w:sz="4" w:space="0" w:color="auto"/>
              <w:right w:val="single" w:sz="4" w:space="0" w:color="auto"/>
            </w:tcBorders>
            <w:shd w:val="clear" w:color="auto" w:fill="auto"/>
            <w:noWrap/>
            <w:vAlign w:val="center"/>
            <w:hideMark/>
          </w:tcPr>
          <w:p w14:paraId="45B70DC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59613432</w:t>
            </w:r>
          </w:p>
        </w:tc>
        <w:tc>
          <w:tcPr>
            <w:tcW w:w="3360" w:type="pct"/>
            <w:tcBorders>
              <w:top w:val="nil"/>
              <w:left w:val="nil"/>
              <w:bottom w:val="single" w:sz="4" w:space="0" w:color="auto"/>
              <w:right w:val="single" w:sz="4" w:space="0" w:color="auto"/>
            </w:tcBorders>
            <w:shd w:val="clear" w:color="auto" w:fill="auto"/>
            <w:vAlign w:val="center"/>
            <w:hideMark/>
          </w:tcPr>
          <w:p w14:paraId="1A98916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LEONA ŠTUKLJA MARIBOR</w:t>
            </w:r>
          </w:p>
        </w:tc>
      </w:tr>
      <w:tr w:rsidR="00E3750C" w:rsidRPr="00415AB3" w14:paraId="4CBB6D9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D1283F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1314</w:t>
            </w:r>
          </w:p>
        </w:tc>
        <w:tc>
          <w:tcPr>
            <w:tcW w:w="705" w:type="pct"/>
            <w:tcBorders>
              <w:top w:val="nil"/>
              <w:left w:val="nil"/>
              <w:bottom w:val="single" w:sz="4" w:space="0" w:color="auto"/>
              <w:right w:val="single" w:sz="4" w:space="0" w:color="auto"/>
            </w:tcBorders>
            <w:shd w:val="clear" w:color="auto" w:fill="auto"/>
            <w:noWrap/>
            <w:vAlign w:val="center"/>
            <w:hideMark/>
          </w:tcPr>
          <w:p w14:paraId="7A5CED1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5087937000</w:t>
            </w:r>
          </w:p>
        </w:tc>
        <w:tc>
          <w:tcPr>
            <w:tcW w:w="547" w:type="pct"/>
            <w:tcBorders>
              <w:top w:val="nil"/>
              <w:left w:val="nil"/>
              <w:bottom w:val="single" w:sz="4" w:space="0" w:color="auto"/>
              <w:right w:val="single" w:sz="4" w:space="0" w:color="auto"/>
            </w:tcBorders>
            <w:shd w:val="clear" w:color="auto" w:fill="auto"/>
            <w:noWrap/>
            <w:vAlign w:val="center"/>
            <w:hideMark/>
          </w:tcPr>
          <w:p w14:paraId="5A00C09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68680210</w:t>
            </w:r>
          </w:p>
        </w:tc>
        <w:tc>
          <w:tcPr>
            <w:tcW w:w="3360" w:type="pct"/>
            <w:tcBorders>
              <w:top w:val="nil"/>
              <w:left w:val="nil"/>
              <w:bottom w:val="single" w:sz="4" w:space="0" w:color="auto"/>
              <w:right w:val="single" w:sz="4" w:space="0" w:color="auto"/>
            </w:tcBorders>
            <w:shd w:val="clear" w:color="auto" w:fill="auto"/>
            <w:vAlign w:val="center"/>
            <w:hideMark/>
          </w:tcPr>
          <w:p w14:paraId="69E9E32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LESIČNO</w:t>
            </w:r>
          </w:p>
        </w:tc>
      </w:tr>
      <w:tr w:rsidR="00E3750C" w:rsidRPr="00415AB3" w14:paraId="27FBBED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D68E6D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1315</w:t>
            </w:r>
          </w:p>
        </w:tc>
        <w:tc>
          <w:tcPr>
            <w:tcW w:w="705" w:type="pct"/>
            <w:tcBorders>
              <w:top w:val="nil"/>
              <w:left w:val="nil"/>
              <w:bottom w:val="single" w:sz="4" w:space="0" w:color="auto"/>
              <w:right w:val="single" w:sz="4" w:space="0" w:color="auto"/>
            </w:tcBorders>
            <w:shd w:val="clear" w:color="auto" w:fill="auto"/>
            <w:noWrap/>
            <w:vAlign w:val="center"/>
            <w:hideMark/>
          </w:tcPr>
          <w:p w14:paraId="4C6CB8E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5085047000</w:t>
            </w:r>
          </w:p>
        </w:tc>
        <w:tc>
          <w:tcPr>
            <w:tcW w:w="547" w:type="pct"/>
            <w:tcBorders>
              <w:top w:val="nil"/>
              <w:left w:val="nil"/>
              <w:bottom w:val="single" w:sz="4" w:space="0" w:color="auto"/>
              <w:right w:val="single" w:sz="4" w:space="0" w:color="auto"/>
            </w:tcBorders>
            <w:shd w:val="clear" w:color="auto" w:fill="auto"/>
            <w:noWrap/>
            <w:vAlign w:val="center"/>
            <w:hideMark/>
          </w:tcPr>
          <w:p w14:paraId="01FE0D8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76398137</w:t>
            </w:r>
          </w:p>
        </w:tc>
        <w:tc>
          <w:tcPr>
            <w:tcW w:w="3360" w:type="pct"/>
            <w:tcBorders>
              <w:top w:val="nil"/>
              <w:left w:val="nil"/>
              <w:bottom w:val="single" w:sz="4" w:space="0" w:color="auto"/>
              <w:right w:val="single" w:sz="4" w:space="0" w:color="auto"/>
            </w:tcBorders>
            <w:shd w:val="clear" w:color="auto" w:fill="auto"/>
            <w:vAlign w:val="center"/>
            <w:hideMark/>
          </w:tcPr>
          <w:p w14:paraId="0A59897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LESKOVEC PRI KRŠKEM</w:t>
            </w:r>
          </w:p>
        </w:tc>
      </w:tr>
      <w:tr w:rsidR="00E3750C" w:rsidRPr="00415AB3" w14:paraId="4729CA8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FD57E2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1316</w:t>
            </w:r>
          </w:p>
        </w:tc>
        <w:tc>
          <w:tcPr>
            <w:tcW w:w="705" w:type="pct"/>
            <w:tcBorders>
              <w:top w:val="nil"/>
              <w:left w:val="nil"/>
              <w:bottom w:val="single" w:sz="4" w:space="0" w:color="auto"/>
              <w:right w:val="single" w:sz="4" w:space="0" w:color="auto"/>
            </w:tcBorders>
            <w:shd w:val="clear" w:color="auto" w:fill="auto"/>
            <w:noWrap/>
            <w:vAlign w:val="center"/>
            <w:hideMark/>
          </w:tcPr>
          <w:p w14:paraId="3C54E43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5689147000</w:t>
            </w:r>
          </w:p>
        </w:tc>
        <w:tc>
          <w:tcPr>
            <w:tcW w:w="547" w:type="pct"/>
            <w:tcBorders>
              <w:top w:val="nil"/>
              <w:left w:val="nil"/>
              <w:bottom w:val="single" w:sz="4" w:space="0" w:color="auto"/>
              <w:right w:val="single" w:sz="4" w:space="0" w:color="auto"/>
            </w:tcBorders>
            <w:shd w:val="clear" w:color="auto" w:fill="auto"/>
            <w:noWrap/>
            <w:vAlign w:val="center"/>
            <w:hideMark/>
          </w:tcPr>
          <w:p w14:paraId="1FC3C59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17567734</w:t>
            </w:r>
          </w:p>
        </w:tc>
        <w:tc>
          <w:tcPr>
            <w:tcW w:w="3360" w:type="pct"/>
            <w:tcBorders>
              <w:top w:val="nil"/>
              <w:left w:val="nil"/>
              <w:bottom w:val="single" w:sz="4" w:space="0" w:color="auto"/>
              <w:right w:val="single" w:sz="4" w:space="0" w:color="auto"/>
            </w:tcBorders>
            <w:shd w:val="clear" w:color="auto" w:fill="auto"/>
            <w:vAlign w:val="center"/>
            <w:hideMark/>
          </w:tcPr>
          <w:p w14:paraId="3480AAE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LITIJA</w:t>
            </w:r>
          </w:p>
        </w:tc>
      </w:tr>
      <w:tr w:rsidR="00E3750C" w:rsidRPr="00415AB3" w14:paraId="6C8DD4D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94B1F4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1317</w:t>
            </w:r>
          </w:p>
        </w:tc>
        <w:tc>
          <w:tcPr>
            <w:tcW w:w="705" w:type="pct"/>
            <w:tcBorders>
              <w:top w:val="nil"/>
              <w:left w:val="nil"/>
              <w:bottom w:val="single" w:sz="4" w:space="0" w:color="auto"/>
              <w:right w:val="single" w:sz="4" w:space="0" w:color="auto"/>
            </w:tcBorders>
            <w:shd w:val="clear" w:color="auto" w:fill="auto"/>
            <w:noWrap/>
            <w:vAlign w:val="center"/>
            <w:hideMark/>
          </w:tcPr>
          <w:p w14:paraId="41FC44F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5375827000</w:t>
            </w:r>
          </w:p>
        </w:tc>
        <w:tc>
          <w:tcPr>
            <w:tcW w:w="547" w:type="pct"/>
            <w:tcBorders>
              <w:top w:val="nil"/>
              <w:left w:val="nil"/>
              <w:bottom w:val="single" w:sz="4" w:space="0" w:color="auto"/>
              <w:right w:val="single" w:sz="4" w:space="0" w:color="auto"/>
            </w:tcBorders>
            <w:shd w:val="clear" w:color="auto" w:fill="auto"/>
            <w:noWrap/>
            <w:vAlign w:val="center"/>
            <w:hideMark/>
          </w:tcPr>
          <w:p w14:paraId="05EE342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85566543</w:t>
            </w:r>
          </w:p>
        </w:tc>
        <w:tc>
          <w:tcPr>
            <w:tcW w:w="3360" w:type="pct"/>
            <w:tcBorders>
              <w:top w:val="nil"/>
              <w:left w:val="nil"/>
              <w:bottom w:val="single" w:sz="4" w:space="0" w:color="auto"/>
              <w:right w:val="single" w:sz="4" w:space="0" w:color="auto"/>
            </w:tcBorders>
            <w:shd w:val="clear" w:color="auto" w:fill="auto"/>
            <w:vAlign w:val="center"/>
            <w:hideMark/>
          </w:tcPr>
          <w:p w14:paraId="1E52E0F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LIVADA</w:t>
            </w:r>
          </w:p>
        </w:tc>
      </w:tr>
      <w:tr w:rsidR="00E3750C" w:rsidRPr="00415AB3" w14:paraId="025F297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82B769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1318</w:t>
            </w:r>
          </w:p>
        </w:tc>
        <w:tc>
          <w:tcPr>
            <w:tcW w:w="705" w:type="pct"/>
            <w:tcBorders>
              <w:top w:val="nil"/>
              <w:left w:val="nil"/>
              <w:bottom w:val="single" w:sz="4" w:space="0" w:color="auto"/>
              <w:right w:val="single" w:sz="4" w:space="0" w:color="auto"/>
            </w:tcBorders>
            <w:shd w:val="clear" w:color="auto" w:fill="auto"/>
            <w:noWrap/>
            <w:vAlign w:val="center"/>
            <w:hideMark/>
          </w:tcPr>
          <w:p w14:paraId="5671CFD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5081939000</w:t>
            </w:r>
          </w:p>
        </w:tc>
        <w:tc>
          <w:tcPr>
            <w:tcW w:w="547" w:type="pct"/>
            <w:tcBorders>
              <w:top w:val="nil"/>
              <w:left w:val="nil"/>
              <w:bottom w:val="single" w:sz="4" w:space="0" w:color="auto"/>
              <w:right w:val="single" w:sz="4" w:space="0" w:color="auto"/>
            </w:tcBorders>
            <w:shd w:val="clear" w:color="auto" w:fill="auto"/>
            <w:noWrap/>
            <w:vAlign w:val="center"/>
            <w:hideMark/>
          </w:tcPr>
          <w:p w14:paraId="673EE8B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45242372</w:t>
            </w:r>
          </w:p>
        </w:tc>
        <w:tc>
          <w:tcPr>
            <w:tcW w:w="3360" w:type="pct"/>
            <w:tcBorders>
              <w:top w:val="nil"/>
              <w:left w:val="nil"/>
              <w:bottom w:val="single" w:sz="4" w:space="0" w:color="auto"/>
              <w:right w:val="single" w:sz="4" w:space="0" w:color="auto"/>
            </w:tcBorders>
            <w:shd w:val="clear" w:color="auto" w:fill="auto"/>
            <w:vAlign w:val="center"/>
            <w:hideMark/>
          </w:tcPr>
          <w:p w14:paraId="737248C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LIVADA VELENJE</w:t>
            </w:r>
          </w:p>
        </w:tc>
      </w:tr>
      <w:tr w:rsidR="00E3750C" w:rsidRPr="00415AB3" w14:paraId="6EB9AA2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7C6FAE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1319</w:t>
            </w:r>
          </w:p>
        </w:tc>
        <w:tc>
          <w:tcPr>
            <w:tcW w:w="705" w:type="pct"/>
            <w:tcBorders>
              <w:top w:val="nil"/>
              <w:left w:val="nil"/>
              <w:bottom w:val="single" w:sz="4" w:space="0" w:color="auto"/>
              <w:right w:val="single" w:sz="4" w:space="0" w:color="auto"/>
            </w:tcBorders>
            <w:shd w:val="clear" w:color="auto" w:fill="auto"/>
            <w:noWrap/>
            <w:vAlign w:val="center"/>
            <w:hideMark/>
          </w:tcPr>
          <w:p w14:paraId="479316C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5859921000</w:t>
            </w:r>
          </w:p>
        </w:tc>
        <w:tc>
          <w:tcPr>
            <w:tcW w:w="547" w:type="pct"/>
            <w:tcBorders>
              <w:top w:val="nil"/>
              <w:left w:val="nil"/>
              <w:bottom w:val="single" w:sz="4" w:space="0" w:color="auto"/>
              <w:right w:val="single" w:sz="4" w:space="0" w:color="auto"/>
            </w:tcBorders>
            <w:shd w:val="clear" w:color="auto" w:fill="auto"/>
            <w:noWrap/>
            <w:vAlign w:val="center"/>
            <w:hideMark/>
          </w:tcPr>
          <w:p w14:paraId="70DDB1F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17796989</w:t>
            </w:r>
          </w:p>
        </w:tc>
        <w:tc>
          <w:tcPr>
            <w:tcW w:w="3360" w:type="pct"/>
            <w:tcBorders>
              <w:top w:val="nil"/>
              <w:left w:val="nil"/>
              <w:bottom w:val="single" w:sz="4" w:space="0" w:color="auto"/>
              <w:right w:val="single" w:sz="4" w:space="0" w:color="auto"/>
            </w:tcBorders>
            <w:shd w:val="clear" w:color="auto" w:fill="auto"/>
            <w:vAlign w:val="center"/>
            <w:hideMark/>
          </w:tcPr>
          <w:p w14:paraId="04027E7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LIVADE IZOLA</w:t>
            </w:r>
          </w:p>
        </w:tc>
      </w:tr>
      <w:tr w:rsidR="00E3750C" w:rsidRPr="00415AB3" w14:paraId="1F0C706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3C1E36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1320</w:t>
            </w:r>
          </w:p>
        </w:tc>
        <w:tc>
          <w:tcPr>
            <w:tcW w:w="705" w:type="pct"/>
            <w:tcBorders>
              <w:top w:val="nil"/>
              <w:left w:val="nil"/>
              <w:bottom w:val="single" w:sz="4" w:space="0" w:color="auto"/>
              <w:right w:val="single" w:sz="4" w:space="0" w:color="auto"/>
            </w:tcBorders>
            <w:shd w:val="clear" w:color="auto" w:fill="auto"/>
            <w:noWrap/>
            <w:vAlign w:val="center"/>
            <w:hideMark/>
          </w:tcPr>
          <w:p w14:paraId="203EA23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1262823000</w:t>
            </w:r>
          </w:p>
        </w:tc>
        <w:tc>
          <w:tcPr>
            <w:tcW w:w="547" w:type="pct"/>
            <w:tcBorders>
              <w:top w:val="nil"/>
              <w:left w:val="nil"/>
              <w:bottom w:val="single" w:sz="4" w:space="0" w:color="auto"/>
              <w:right w:val="single" w:sz="4" w:space="0" w:color="auto"/>
            </w:tcBorders>
            <w:shd w:val="clear" w:color="auto" w:fill="auto"/>
            <w:noWrap/>
            <w:vAlign w:val="center"/>
            <w:hideMark/>
          </w:tcPr>
          <w:p w14:paraId="1DE2EF9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68305192</w:t>
            </w:r>
          </w:p>
        </w:tc>
        <w:tc>
          <w:tcPr>
            <w:tcW w:w="3360" w:type="pct"/>
            <w:tcBorders>
              <w:top w:val="nil"/>
              <w:left w:val="nil"/>
              <w:bottom w:val="single" w:sz="4" w:space="0" w:color="auto"/>
              <w:right w:val="single" w:sz="4" w:space="0" w:color="auto"/>
            </w:tcBorders>
            <w:shd w:val="clear" w:color="auto" w:fill="auto"/>
            <w:vAlign w:val="center"/>
            <w:hideMark/>
          </w:tcPr>
          <w:p w14:paraId="260EC0F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LJUBEČNA</w:t>
            </w:r>
          </w:p>
        </w:tc>
      </w:tr>
      <w:tr w:rsidR="00E3750C" w:rsidRPr="00415AB3" w14:paraId="2A808C0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B42237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1321</w:t>
            </w:r>
          </w:p>
        </w:tc>
        <w:tc>
          <w:tcPr>
            <w:tcW w:w="705" w:type="pct"/>
            <w:tcBorders>
              <w:top w:val="nil"/>
              <w:left w:val="nil"/>
              <w:bottom w:val="single" w:sz="4" w:space="0" w:color="auto"/>
              <w:right w:val="single" w:sz="4" w:space="0" w:color="auto"/>
            </w:tcBorders>
            <w:shd w:val="clear" w:color="auto" w:fill="auto"/>
            <w:noWrap/>
            <w:vAlign w:val="center"/>
            <w:hideMark/>
          </w:tcPr>
          <w:p w14:paraId="7357A7E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5088941000</w:t>
            </w:r>
          </w:p>
        </w:tc>
        <w:tc>
          <w:tcPr>
            <w:tcW w:w="547" w:type="pct"/>
            <w:tcBorders>
              <w:top w:val="nil"/>
              <w:left w:val="nil"/>
              <w:bottom w:val="single" w:sz="4" w:space="0" w:color="auto"/>
              <w:right w:val="single" w:sz="4" w:space="0" w:color="auto"/>
            </w:tcBorders>
            <w:shd w:val="clear" w:color="auto" w:fill="auto"/>
            <w:noWrap/>
            <w:vAlign w:val="center"/>
            <w:hideMark/>
          </w:tcPr>
          <w:p w14:paraId="04D2408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67789943</w:t>
            </w:r>
          </w:p>
        </w:tc>
        <w:tc>
          <w:tcPr>
            <w:tcW w:w="3360" w:type="pct"/>
            <w:tcBorders>
              <w:top w:val="nil"/>
              <w:left w:val="nil"/>
              <w:bottom w:val="single" w:sz="4" w:space="0" w:color="auto"/>
              <w:right w:val="single" w:sz="4" w:space="0" w:color="auto"/>
            </w:tcBorders>
            <w:shd w:val="clear" w:color="auto" w:fill="auto"/>
            <w:vAlign w:val="center"/>
            <w:hideMark/>
          </w:tcPr>
          <w:p w14:paraId="110290F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LJUBNO OB SAVINJI</w:t>
            </w:r>
          </w:p>
        </w:tc>
      </w:tr>
      <w:tr w:rsidR="00E3750C" w:rsidRPr="00415AB3" w14:paraId="0270EE3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089C8A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1322</w:t>
            </w:r>
          </w:p>
        </w:tc>
        <w:tc>
          <w:tcPr>
            <w:tcW w:w="705" w:type="pct"/>
            <w:tcBorders>
              <w:top w:val="nil"/>
              <w:left w:val="nil"/>
              <w:bottom w:val="single" w:sz="4" w:space="0" w:color="auto"/>
              <w:right w:val="single" w:sz="4" w:space="0" w:color="auto"/>
            </w:tcBorders>
            <w:shd w:val="clear" w:color="auto" w:fill="auto"/>
            <w:noWrap/>
            <w:vAlign w:val="center"/>
            <w:hideMark/>
          </w:tcPr>
          <w:p w14:paraId="60E2B6A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5087147000</w:t>
            </w:r>
          </w:p>
        </w:tc>
        <w:tc>
          <w:tcPr>
            <w:tcW w:w="547" w:type="pct"/>
            <w:tcBorders>
              <w:top w:val="nil"/>
              <w:left w:val="nil"/>
              <w:bottom w:val="single" w:sz="4" w:space="0" w:color="auto"/>
              <w:right w:val="single" w:sz="4" w:space="0" w:color="auto"/>
            </w:tcBorders>
            <w:shd w:val="clear" w:color="auto" w:fill="auto"/>
            <w:noWrap/>
            <w:vAlign w:val="center"/>
            <w:hideMark/>
          </w:tcPr>
          <w:p w14:paraId="74853F2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86058932</w:t>
            </w:r>
          </w:p>
        </w:tc>
        <w:tc>
          <w:tcPr>
            <w:tcW w:w="3360" w:type="pct"/>
            <w:tcBorders>
              <w:top w:val="nil"/>
              <w:left w:val="nil"/>
              <w:bottom w:val="single" w:sz="4" w:space="0" w:color="auto"/>
              <w:right w:val="single" w:sz="4" w:space="0" w:color="auto"/>
            </w:tcBorders>
            <w:shd w:val="clear" w:color="auto" w:fill="auto"/>
            <w:vAlign w:val="center"/>
            <w:hideMark/>
          </w:tcPr>
          <w:p w14:paraId="36D41D3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LJUDSKI VRT</w:t>
            </w:r>
          </w:p>
        </w:tc>
      </w:tr>
      <w:tr w:rsidR="00E3750C" w:rsidRPr="00415AB3" w14:paraId="3985FAE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16E9E4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1323</w:t>
            </w:r>
          </w:p>
        </w:tc>
        <w:tc>
          <w:tcPr>
            <w:tcW w:w="705" w:type="pct"/>
            <w:tcBorders>
              <w:top w:val="nil"/>
              <w:left w:val="nil"/>
              <w:bottom w:val="single" w:sz="4" w:space="0" w:color="auto"/>
              <w:right w:val="single" w:sz="4" w:space="0" w:color="auto"/>
            </w:tcBorders>
            <w:shd w:val="clear" w:color="auto" w:fill="auto"/>
            <w:noWrap/>
            <w:vAlign w:val="center"/>
            <w:hideMark/>
          </w:tcPr>
          <w:p w14:paraId="4BBAC06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5089433000</w:t>
            </w:r>
          </w:p>
        </w:tc>
        <w:tc>
          <w:tcPr>
            <w:tcW w:w="547" w:type="pct"/>
            <w:tcBorders>
              <w:top w:val="nil"/>
              <w:left w:val="nil"/>
              <w:bottom w:val="single" w:sz="4" w:space="0" w:color="auto"/>
              <w:right w:val="single" w:sz="4" w:space="0" w:color="auto"/>
            </w:tcBorders>
            <w:shd w:val="clear" w:color="auto" w:fill="auto"/>
            <w:noWrap/>
            <w:vAlign w:val="center"/>
            <w:hideMark/>
          </w:tcPr>
          <w:p w14:paraId="5674A34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49210220</w:t>
            </w:r>
          </w:p>
        </w:tc>
        <w:tc>
          <w:tcPr>
            <w:tcW w:w="3360" w:type="pct"/>
            <w:tcBorders>
              <w:top w:val="nil"/>
              <w:left w:val="nil"/>
              <w:bottom w:val="single" w:sz="4" w:space="0" w:color="auto"/>
              <w:right w:val="single" w:sz="4" w:space="0" w:color="auto"/>
            </w:tcBorders>
            <w:shd w:val="clear" w:color="auto" w:fill="auto"/>
            <w:vAlign w:val="center"/>
            <w:hideMark/>
          </w:tcPr>
          <w:p w14:paraId="53A9F0C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LOČE</w:t>
            </w:r>
          </w:p>
        </w:tc>
      </w:tr>
      <w:tr w:rsidR="00E3750C" w:rsidRPr="00415AB3" w14:paraId="493517B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3F71AC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1324</w:t>
            </w:r>
          </w:p>
        </w:tc>
        <w:tc>
          <w:tcPr>
            <w:tcW w:w="705" w:type="pct"/>
            <w:tcBorders>
              <w:top w:val="nil"/>
              <w:left w:val="nil"/>
              <w:bottom w:val="single" w:sz="4" w:space="0" w:color="auto"/>
              <w:right w:val="single" w:sz="4" w:space="0" w:color="auto"/>
            </w:tcBorders>
            <w:shd w:val="clear" w:color="auto" w:fill="auto"/>
            <w:noWrap/>
            <w:vAlign w:val="center"/>
            <w:hideMark/>
          </w:tcPr>
          <w:p w14:paraId="19CB1A3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5207045000</w:t>
            </w:r>
          </w:p>
        </w:tc>
        <w:tc>
          <w:tcPr>
            <w:tcW w:w="547" w:type="pct"/>
            <w:tcBorders>
              <w:top w:val="nil"/>
              <w:left w:val="nil"/>
              <w:bottom w:val="single" w:sz="4" w:space="0" w:color="auto"/>
              <w:right w:val="single" w:sz="4" w:space="0" w:color="auto"/>
            </w:tcBorders>
            <w:shd w:val="clear" w:color="auto" w:fill="auto"/>
            <w:noWrap/>
            <w:vAlign w:val="center"/>
            <w:hideMark/>
          </w:tcPr>
          <w:p w14:paraId="1FBA56C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49698125</w:t>
            </w:r>
          </w:p>
        </w:tc>
        <w:tc>
          <w:tcPr>
            <w:tcW w:w="3360" w:type="pct"/>
            <w:tcBorders>
              <w:top w:val="nil"/>
              <w:left w:val="nil"/>
              <w:bottom w:val="single" w:sz="4" w:space="0" w:color="auto"/>
              <w:right w:val="single" w:sz="4" w:space="0" w:color="auto"/>
            </w:tcBorders>
            <w:shd w:val="clear" w:color="auto" w:fill="auto"/>
            <w:vAlign w:val="center"/>
            <w:hideMark/>
          </w:tcPr>
          <w:p w14:paraId="4A9ECD4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LOG - DRAGOMER</w:t>
            </w:r>
          </w:p>
        </w:tc>
      </w:tr>
      <w:tr w:rsidR="00E3750C" w:rsidRPr="00415AB3" w14:paraId="2D28BA5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4DBD74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1325</w:t>
            </w:r>
          </w:p>
        </w:tc>
        <w:tc>
          <w:tcPr>
            <w:tcW w:w="705" w:type="pct"/>
            <w:tcBorders>
              <w:top w:val="nil"/>
              <w:left w:val="nil"/>
              <w:bottom w:val="single" w:sz="4" w:space="0" w:color="auto"/>
              <w:right w:val="single" w:sz="4" w:space="0" w:color="auto"/>
            </w:tcBorders>
            <w:shd w:val="clear" w:color="auto" w:fill="auto"/>
            <w:noWrap/>
            <w:vAlign w:val="center"/>
            <w:hideMark/>
          </w:tcPr>
          <w:p w14:paraId="50DE3B5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5289211000</w:t>
            </w:r>
          </w:p>
        </w:tc>
        <w:tc>
          <w:tcPr>
            <w:tcW w:w="547" w:type="pct"/>
            <w:tcBorders>
              <w:top w:val="nil"/>
              <w:left w:val="nil"/>
              <w:bottom w:val="single" w:sz="4" w:space="0" w:color="auto"/>
              <w:right w:val="single" w:sz="4" w:space="0" w:color="auto"/>
            </w:tcBorders>
            <w:shd w:val="clear" w:color="auto" w:fill="auto"/>
            <w:noWrap/>
            <w:vAlign w:val="center"/>
            <w:hideMark/>
          </w:tcPr>
          <w:p w14:paraId="7897918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67958451</w:t>
            </w:r>
          </w:p>
        </w:tc>
        <w:tc>
          <w:tcPr>
            <w:tcW w:w="3360" w:type="pct"/>
            <w:tcBorders>
              <w:top w:val="nil"/>
              <w:left w:val="nil"/>
              <w:bottom w:val="single" w:sz="4" w:space="0" w:color="auto"/>
              <w:right w:val="single" w:sz="4" w:space="0" w:color="auto"/>
            </w:tcBorders>
            <w:shd w:val="clear" w:color="auto" w:fill="auto"/>
            <w:vAlign w:val="center"/>
            <w:hideMark/>
          </w:tcPr>
          <w:p w14:paraId="69B7043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LOKA ČRNOMELJ</w:t>
            </w:r>
          </w:p>
        </w:tc>
      </w:tr>
      <w:tr w:rsidR="00E3750C" w:rsidRPr="00415AB3" w14:paraId="4D59E00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E80B28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1326</w:t>
            </w:r>
          </w:p>
        </w:tc>
        <w:tc>
          <w:tcPr>
            <w:tcW w:w="705" w:type="pct"/>
            <w:tcBorders>
              <w:top w:val="nil"/>
              <w:left w:val="nil"/>
              <w:bottom w:val="single" w:sz="4" w:space="0" w:color="auto"/>
              <w:right w:val="single" w:sz="4" w:space="0" w:color="auto"/>
            </w:tcBorders>
            <w:shd w:val="clear" w:color="auto" w:fill="auto"/>
            <w:noWrap/>
            <w:vAlign w:val="center"/>
            <w:hideMark/>
          </w:tcPr>
          <w:p w14:paraId="7A4ED87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5085179000</w:t>
            </w:r>
          </w:p>
        </w:tc>
        <w:tc>
          <w:tcPr>
            <w:tcW w:w="547" w:type="pct"/>
            <w:tcBorders>
              <w:top w:val="nil"/>
              <w:left w:val="nil"/>
              <w:bottom w:val="single" w:sz="4" w:space="0" w:color="auto"/>
              <w:right w:val="single" w:sz="4" w:space="0" w:color="auto"/>
            </w:tcBorders>
            <w:shd w:val="clear" w:color="auto" w:fill="auto"/>
            <w:noWrap/>
            <w:vAlign w:val="center"/>
            <w:hideMark/>
          </w:tcPr>
          <w:p w14:paraId="3DD30FC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89983882</w:t>
            </w:r>
          </w:p>
        </w:tc>
        <w:tc>
          <w:tcPr>
            <w:tcW w:w="3360" w:type="pct"/>
            <w:tcBorders>
              <w:top w:val="nil"/>
              <w:left w:val="nil"/>
              <w:bottom w:val="single" w:sz="4" w:space="0" w:color="auto"/>
              <w:right w:val="single" w:sz="4" w:space="0" w:color="auto"/>
            </w:tcBorders>
            <w:shd w:val="clear" w:color="auto" w:fill="auto"/>
            <w:vAlign w:val="center"/>
            <w:hideMark/>
          </w:tcPr>
          <w:p w14:paraId="6510B76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LOVRENC NA POHORJU</w:t>
            </w:r>
          </w:p>
        </w:tc>
      </w:tr>
      <w:tr w:rsidR="00E3750C" w:rsidRPr="00415AB3" w14:paraId="5045DCC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BF39FE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1327</w:t>
            </w:r>
          </w:p>
        </w:tc>
        <w:tc>
          <w:tcPr>
            <w:tcW w:w="705" w:type="pct"/>
            <w:tcBorders>
              <w:top w:val="nil"/>
              <w:left w:val="nil"/>
              <w:bottom w:val="single" w:sz="4" w:space="0" w:color="auto"/>
              <w:right w:val="single" w:sz="4" w:space="0" w:color="auto"/>
            </w:tcBorders>
            <w:shd w:val="clear" w:color="auto" w:fill="auto"/>
            <w:noWrap/>
            <w:vAlign w:val="center"/>
            <w:hideMark/>
          </w:tcPr>
          <w:p w14:paraId="1C49CEA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5089174000</w:t>
            </w:r>
          </w:p>
        </w:tc>
        <w:tc>
          <w:tcPr>
            <w:tcW w:w="547" w:type="pct"/>
            <w:tcBorders>
              <w:top w:val="nil"/>
              <w:left w:val="nil"/>
              <w:bottom w:val="single" w:sz="4" w:space="0" w:color="auto"/>
              <w:right w:val="single" w:sz="4" w:space="0" w:color="auto"/>
            </w:tcBorders>
            <w:shd w:val="clear" w:color="auto" w:fill="auto"/>
            <w:noWrap/>
            <w:vAlign w:val="center"/>
            <w:hideMark/>
          </w:tcPr>
          <w:p w14:paraId="568910C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11997907</w:t>
            </w:r>
          </w:p>
        </w:tc>
        <w:tc>
          <w:tcPr>
            <w:tcW w:w="3360" w:type="pct"/>
            <w:tcBorders>
              <w:top w:val="nil"/>
              <w:left w:val="nil"/>
              <w:bottom w:val="single" w:sz="4" w:space="0" w:color="auto"/>
              <w:right w:val="single" w:sz="4" w:space="0" w:color="auto"/>
            </w:tcBorders>
            <w:shd w:val="clear" w:color="auto" w:fill="auto"/>
            <w:vAlign w:val="center"/>
            <w:hideMark/>
          </w:tcPr>
          <w:p w14:paraId="635508F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LUCIJA</w:t>
            </w:r>
          </w:p>
        </w:tc>
      </w:tr>
      <w:tr w:rsidR="00E3750C" w:rsidRPr="00415AB3" w14:paraId="721C1A2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3345B9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1328</w:t>
            </w:r>
          </w:p>
        </w:tc>
        <w:tc>
          <w:tcPr>
            <w:tcW w:w="705" w:type="pct"/>
            <w:tcBorders>
              <w:top w:val="nil"/>
              <w:left w:val="nil"/>
              <w:bottom w:val="single" w:sz="4" w:space="0" w:color="auto"/>
              <w:right w:val="single" w:sz="4" w:space="0" w:color="auto"/>
            </w:tcBorders>
            <w:shd w:val="clear" w:color="auto" w:fill="auto"/>
            <w:noWrap/>
            <w:vAlign w:val="center"/>
            <w:hideMark/>
          </w:tcPr>
          <w:p w14:paraId="2AABB09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5089034000</w:t>
            </w:r>
          </w:p>
        </w:tc>
        <w:tc>
          <w:tcPr>
            <w:tcW w:w="547" w:type="pct"/>
            <w:tcBorders>
              <w:top w:val="nil"/>
              <w:left w:val="nil"/>
              <w:bottom w:val="single" w:sz="4" w:space="0" w:color="auto"/>
              <w:right w:val="single" w:sz="4" w:space="0" w:color="auto"/>
            </w:tcBorders>
            <w:shd w:val="clear" w:color="auto" w:fill="auto"/>
            <w:noWrap/>
            <w:vAlign w:val="center"/>
            <w:hideMark/>
          </w:tcPr>
          <w:p w14:paraId="17A3465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44215932</w:t>
            </w:r>
          </w:p>
        </w:tc>
        <w:tc>
          <w:tcPr>
            <w:tcW w:w="3360" w:type="pct"/>
            <w:tcBorders>
              <w:top w:val="nil"/>
              <w:left w:val="nil"/>
              <w:bottom w:val="single" w:sz="4" w:space="0" w:color="auto"/>
              <w:right w:val="single" w:sz="4" w:space="0" w:color="auto"/>
            </w:tcBorders>
            <w:shd w:val="clear" w:color="auto" w:fill="auto"/>
            <w:vAlign w:val="center"/>
            <w:hideMark/>
          </w:tcPr>
          <w:p w14:paraId="6DCD254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LUCIJANA BRATKOVIČA BRATUŠA RENČE</w:t>
            </w:r>
          </w:p>
        </w:tc>
      </w:tr>
      <w:tr w:rsidR="00E3750C" w:rsidRPr="00415AB3" w14:paraId="2BF501D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B24A36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1329</w:t>
            </w:r>
          </w:p>
        </w:tc>
        <w:tc>
          <w:tcPr>
            <w:tcW w:w="705" w:type="pct"/>
            <w:tcBorders>
              <w:top w:val="nil"/>
              <w:left w:val="nil"/>
              <w:bottom w:val="single" w:sz="4" w:space="0" w:color="auto"/>
              <w:right w:val="single" w:sz="4" w:space="0" w:color="auto"/>
            </w:tcBorders>
            <w:shd w:val="clear" w:color="auto" w:fill="auto"/>
            <w:noWrap/>
            <w:vAlign w:val="center"/>
            <w:hideMark/>
          </w:tcPr>
          <w:p w14:paraId="079CD6A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5086728000</w:t>
            </w:r>
          </w:p>
        </w:tc>
        <w:tc>
          <w:tcPr>
            <w:tcW w:w="547" w:type="pct"/>
            <w:tcBorders>
              <w:top w:val="nil"/>
              <w:left w:val="nil"/>
              <w:bottom w:val="single" w:sz="4" w:space="0" w:color="auto"/>
              <w:right w:val="single" w:sz="4" w:space="0" w:color="auto"/>
            </w:tcBorders>
            <w:shd w:val="clear" w:color="auto" w:fill="auto"/>
            <w:noWrap/>
            <w:vAlign w:val="center"/>
            <w:hideMark/>
          </w:tcPr>
          <w:p w14:paraId="26E25A7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84740299</w:t>
            </w:r>
          </w:p>
        </w:tc>
        <w:tc>
          <w:tcPr>
            <w:tcW w:w="3360" w:type="pct"/>
            <w:tcBorders>
              <w:top w:val="nil"/>
              <w:left w:val="nil"/>
              <w:bottom w:val="single" w:sz="4" w:space="0" w:color="auto"/>
              <w:right w:val="single" w:sz="4" w:space="0" w:color="auto"/>
            </w:tcBorders>
            <w:shd w:val="clear" w:color="auto" w:fill="auto"/>
            <w:vAlign w:val="center"/>
            <w:hideMark/>
          </w:tcPr>
          <w:p w14:paraId="54B4823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LUDVIKA PLIBERŠKA MARIBOR</w:t>
            </w:r>
          </w:p>
        </w:tc>
      </w:tr>
      <w:tr w:rsidR="00E3750C" w:rsidRPr="00415AB3" w14:paraId="183EAB6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153E72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1330</w:t>
            </w:r>
          </w:p>
        </w:tc>
        <w:tc>
          <w:tcPr>
            <w:tcW w:w="705" w:type="pct"/>
            <w:tcBorders>
              <w:top w:val="nil"/>
              <w:left w:val="nil"/>
              <w:bottom w:val="single" w:sz="4" w:space="0" w:color="auto"/>
              <w:right w:val="single" w:sz="4" w:space="0" w:color="auto"/>
            </w:tcBorders>
            <w:shd w:val="clear" w:color="auto" w:fill="auto"/>
            <w:noWrap/>
            <w:vAlign w:val="center"/>
            <w:hideMark/>
          </w:tcPr>
          <w:p w14:paraId="3AD875E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5083486000</w:t>
            </w:r>
          </w:p>
        </w:tc>
        <w:tc>
          <w:tcPr>
            <w:tcW w:w="547" w:type="pct"/>
            <w:tcBorders>
              <w:top w:val="nil"/>
              <w:left w:val="nil"/>
              <w:bottom w:val="single" w:sz="4" w:space="0" w:color="auto"/>
              <w:right w:val="single" w:sz="4" w:space="0" w:color="auto"/>
            </w:tcBorders>
            <w:shd w:val="clear" w:color="auto" w:fill="auto"/>
            <w:noWrap/>
            <w:vAlign w:val="center"/>
            <w:hideMark/>
          </w:tcPr>
          <w:p w14:paraId="1D30D12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36181455</w:t>
            </w:r>
          </w:p>
        </w:tc>
        <w:tc>
          <w:tcPr>
            <w:tcW w:w="3360" w:type="pct"/>
            <w:tcBorders>
              <w:top w:val="nil"/>
              <w:left w:val="nil"/>
              <w:bottom w:val="single" w:sz="4" w:space="0" w:color="auto"/>
              <w:right w:val="single" w:sz="4" w:space="0" w:color="auto"/>
            </w:tcBorders>
            <w:shd w:val="clear" w:color="auto" w:fill="auto"/>
            <w:vAlign w:val="center"/>
            <w:hideMark/>
          </w:tcPr>
          <w:p w14:paraId="74D486A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MAJDE VRHOVNIK</w:t>
            </w:r>
          </w:p>
        </w:tc>
      </w:tr>
      <w:tr w:rsidR="00E3750C" w:rsidRPr="00415AB3" w14:paraId="4F1B149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743710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1331</w:t>
            </w:r>
          </w:p>
        </w:tc>
        <w:tc>
          <w:tcPr>
            <w:tcW w:w="705" w:type="pct"/>
            <w:tcBorders>
              <w:top w:val="nil"/>
              <w:left w:val="nil"/>
              <w:bottom w:val="single" w:sz="4" w:space="0" w:color="auto"/>
              <w:right w:val="single" w:sz="4" w:space="0" w:color="auto"/>
            </w:tcBorders>
            <w:shd w:val="clear" w:color="auto" w:fill="auto"/>
            <w:noWrap/>
            <w:vAlign w:val="center"/>
            <w:hideMark/>
          </w:tcPr>
          <w:p w14:paraId="3154F49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5087074000</w:t>
            </w:r>
          </w:p>
        </w:tc>
        <w:tc>
          <w:tcPr>
            <w:tcW w:w="547" w:type="pct"/>
            <w:tcBorders>
              <w:top w:val="nil"/>
              <w:left w:val="nil"/>
              <w:bottom w:val="single" w:sz="4" w:space="0" w:color="auto"/>
              <w:right w:val="single" w:sz="4" w:space="0" w:color="auto"/>
            </w:tcBorders>
            <w:shd w:val="clear" w:color="auto" w:fill="auto"/>
            <w:noWrap/>
            <w:vAlign w:val="center"/>
            <w:hideMark/>
          </w:tcPr>
          <w:p w14:paraId="2338EC4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57555559</w:t>
            </w:r>
          </w:p>
        </w:tc>
        <w:tc>
          <w:tcPr>
            <w:tcW w:w="3360" w:type="pct"/>
            <w:tcBorders>
              <w:top w:val="nil"/>
              <w:left w:val="nil"/>
              <w:bottom w:val="single" w:sz="4" w:space="0" w:color="auto"/>
              <w:right w:val="single" w:sz="4" w:space="0" w:color="auto"/>
            </w:tcBorders>
            <w:shd w:val="clear" w:color="auto" w:fill="auto"/>
            <w:vAlign w:val="center"/>
            <w:hideMark/>
          </w:tcPr>
          <w:p w14:paraId="59CE017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MAJŠPERK</w:t>
            </w:r>
          </w:p>
        </w:tc>
      </w:tr>
      <w:tr w:rsidR="00E3750C" w:rsidRPr="00415AB3" w14:paraId="7A09250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CF2917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1332</w:t>
            </w:r>
          </w:p>
        </w:tc>
        <w:tc>
          <w:tcPr>
            <w:tcW w:w="705" w:type="pct"/>
            <w:tcBorders>
              <w:top w:val="nil"/>
              <w:left w:val="nil"/>
              <w:bottom w:val="single" w:sz="4" w:space="0" w:color="auto"/>
              <w:right w:val="single" w:sz="4" w:space="0" w:color="auto"/>
            </w:tcBorders>
            <w:shd w:val="clear" w:color="auto" w:fill="auto"/>
            <w:noWrap/>
            <w:vAlign w:val="center"/>
            <w:hideMark/>
          </w:tcPr>
          <w:p w14:paraId="60C3788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5085209000</w:t>
            </w:r>
          </w:p>
        </w:tc>
        <w:tc>
          <w:tcPr>
            <w:tcW w:w="547" w:type="pct"/>
            <w:tcBorders>
              <w:top w:val="nil"/>
              <w:left w:val="nil"/>
              <w:bottom w:val="single" w:sz="4" w:space="0" w:color="auto"/>
              <w:right w:val="single" w:sz="4" w:space="0" w:color="auto"/>
            </w:tcBorders>
            <w:shd w:val="clear" w:color="auto" w:fill="auto"/>
            <w:noWrap/>
            <w:vAlign w:val="center"/>
            <w:hideMark/>
          </w:tcPr>
          <w:p w14:paraId="45F43F1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81376847</w:t>
            </w:r>
          </w:p>
        </w:tc>
        <w:tc>
          <w:tcPr>
            <w:tcW w:w="3360" w:type="pct"/>
            <w:tcBorders>
              <w:top w:val="nil"/>
              <w:left w:val="nil"/>
              <w:bottom w:val="single" w:sz="4" w:space="0" w:color="auto"/>
              <w:right w:val="single" w:sz="4" w:space="0" w:color="auto"/>
            </w:tcBorders>
            <w:shd w:val="clear" w:color="auto" w:fill="auto"/>
            <w:vAlign w:val="center"/>
            <w:hideMark/>
          </w:tcPr>
          <w:p w14:paraId="46244F7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MAKSA DURJAVE MARIBOR</w:t>
            </w:r>
          </w:p>
        </w:tc>
      </w:tr>
      <w:tr w:rsidR="00E3750C" w:rsidRPr="00415AB3" w14:paraId="7C0A471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BDD679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1333</w:t>
            </w:r>
          </w:p>
        </w:tc>
        <w:tc>
          <w:tcPr>
            <w:tcW w:w="705" w:type="pct"/>
            <w:tcBorders>
              <w:top w:val="nil"/>
              <w:left w:val="nil"/>
              <w:bottom w:val="single" w:sz="4" w:space="0" w:color="auto"/>
              <w:right w:val="single" w:sz="4" w:space="0" w:color="auto"/>
            </w:tcBorders>
            <w:shd w:val="clear" w:color="auto" w:fill="auto"/>
            <w:noWrap/>
            <w:vAlign w:val="center"/>
            <w:hideMark/>
          </w:tcPr>
          <w:p w14:paraId="07DCBA3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5082595000</w:t>
            </w:r>
          </w:p>
        </w:tc>
        <w:tc>
          <w:tcPr>
            <w:tcW w:w="547" w:type="pct"/>
            <w:tcBorders>
              <w:top w:val="nil"/>
              <w:left w:val="nil"/>
              <w:bottom w:val="single" w:sz="4" w:space="0" w:color="auto"/>
              <w:right w:val="single" w:sz="4" w:space="0" w:color="auto"/>
            </w:tcBorders>
            <w:shd w:val="clear" w:color="auto" w:fill="auto"/>
            <w:noWrap/>
            <w:vAlign w:val="center"/>
            <w:hideMark/>
          </w:tcPr>
          <w:p w14:paraId="39DFC09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77693809</w:t>
            </w:r>
          </w:p>
        </w:tc>
        <w:tc>
          <w:tcPr>
            <w:tcW w:w="3360" w:type="pct"/>
            <w:tcBorders>
              <w:top w:val="nil"/>
              <w:left w:val="nil"/>
              <w:bottom w:val="single" w:sz="4" w:space="0" w:color="auto"/>
              <w:right w:val="single" w:sz="4" w:space="0" w:color="auto"/>
            </w:tcBorders>
            <w:shd w:val="clear" w:color="auto" w:fill="auto"/>
            <w:vAlign w:val="center"/>
            <w:hideMark/>
          </w:tcPr>
          <w:p w14:paraId="57EB618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MAKSA PLETERŠNIKA PIŠECE</w:t>
            </w:r>
          </w:p>
        </w:tc>
      </w:tr>
      <w:tr w:rsidR="00E3750C" w:rsidRPr="00415AB3" w14:paraId="3A7A33F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157557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1334</w:t>
            </w:r>
          </w:p>
        </w:tc>
        <w:tc>
          <w:tcPr>
            <w:tcW w:w="705" w:type="pct"/>
            <w:tcBorders>
              <w:top w:val="nil"/>
              <w:left w:val="nil"/>
              <w:bottom w:val="single" w:sz="4" w:space="0" w:color="auto"/>
              <w:right w:val="single" w:sz="4" w:space="0" w:color="auto"/>
            </w:tcBorders>
            <w:shd w:val="clear" w:color="auto" w:fill="auto"/>
            <w:noWrap/>
            <w:vAlign w:val="center"/>
            <w:hideMark/>
          </w:tcPr>
          <w:p w14:paraId="7E77858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5084610000</w:t>
            </w:r>
          </w:p>
        </w:tc>
        <w:tc>
          <w:tcPr>
            <w:tcW w:w="547" w:type="pct"/>
            <w:tcBorders>
              <w:top w:val="nil"/>
              <w:left w:val="nil"/>
              <w:bottom w:val="single" w:sz="4" w:space="0" w:color="auto"/>
              <w:right w:val="single" w:sz="4" w:space="0" w:color="auto"/>
            </w:tcBorders>
            <w:shd w:val="clear" w:color="auto" w:fill="auto"/>
            <w:noWrap/>
            <w:vAlign w:val="center"/>
            <w:hideMark/>
          </w:tcPr>
          <w:p w14:paraId="4A4AAC8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36663417</w:t>
            </w:r>
          </w:p>
        </w:tc>
        <w:tc>
          <w:tcPr>
            <w:tcW w:w="3360" w:type="pct"/>
            <w:tcBorders>
              <w:top w:val="nil"/>
              <w:left w:val="nil"/>
              <w:bottom w:val="single" w:sz="4" w:space="0" w:color="auto"/>
              <w:right w:val="single" w:sz="4" w:space="0" w:color="auto"/>
            </w:tcBorders>
            <w:shd w:val="clear" w:color="auto" w:fill="auto"/>
            <w:vAlign w:val="center"/>
            <w:hideMark/>
          </w:tcPr>
          <w:p w14:paraId="2DCA06F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MALA NEDELJA</w:t>
            </w:r>
          </w:p>
        </w:tc>
      </w:tr>
      <w:tr w:rsidR="00E3750C" w:rsidRPr="00415AB3" w14:paraId="7F62C1B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D280C0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1335</w:t>
            </w:r>
          </w:p>
        </w:tc>
        <w:tc>
          <w:tcPr>
            <w:tcW w:w="705" w:type="pct"/>
            <w:tcBorders>
              <w:top w:val="nil"/>
              <w:left w:val="nil"/>
              <w:bottom w:val="single" w:sz="4" w:space="0" w:color="auto"/>
              <w:right w:val="single" w:sz="4" w:space="0" w:color="auto"/>
            </w:tcBorders>
            <w:shd w:val="clear" w:color="auto" w:fill="auto"/>
            <w:noWrap/>
            <w:vAlign w:val="center"/>
            <w:hideMark/>
          </w:tcPr>
          <w:p w14:paraId="04615F9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5206634000</w:t>
            </w:r>
          </w:p>
        </w:tc>
        <w:tc>
          <w:tcPr>
            <w:tcW w:w="547" w:type="pct"/>
            <w:tcBorders>
              <w:top w:val="nil"/>
              <w:left w:val="nil"/>
              <w:bottom w:val="single" w:sz="4" w:space="0" w:color="auto"/>
              <w:right w:val="single" w:sz="4" w:space="0" w:color="auto"/>
            </w:tcBorders>
            <w:shd w:val="clear" w:color="auto" w:fill="auto"/>
            <w:noWrap/>
            <w:vAlign w:val="center"/>
            <w:hideMark/>
          </w:tcPr>
          <w:p w14:paraId="269C62B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79836682</w:t>
            </w:r>
          </w:p>
        </w:tc>
        <w:tc>
          <w:tcPr>
            <w:tcW w:w="3360" w:type="pct"/>
            <w:tcBorders>
              <w:top w:val="nil"/>
              <w:left w:val="nil"/>
              <w:bottom w:val="single" w:sz="4" w:space="0" w:color="auto"/>
              <w:right w:val="single" w:sz="4" w:space="0" w:color="auto"/>
            </w:tcBorders>
            <w:shd w:val="clear" w:color="auto" w:fill="auto"/>
            <w:vAlign w:val="center"/>
            <w:hideMark/>
          </w:tcPr>
          <w:p w14:paraId="5884F2C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MALEČNIK</w:t>
            </w:r>
          </w:p>
        </w:tc>
      </w:tr>
      <w:tr w:rsidR="00E3750C" w:rsidRPr="00415AB3" w14:paraId="777A060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AAF5CC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1336</w:t>
            </w:r>
          </w:p>
        </w:tc>
        <w:tc>
          <w:tcPr>
            <w:tcW w:w="705" w:type="pct"/>
            <w:tcBorders>
              <w:top w:val="nil"/>
              <w:left w:val="nil"/>
              <w:bottom w:val="single" w:sz="4" w:space="0" w:color="auto"/>
              <w:right w:val="single" w:sz="4" w:space="0" w:color="auto"/>
            </w:tcBorders>
            <w:shd w:val="clear" w:color="auto" w:fill="auto"/>
            <w:noWrap/>
            <w:vAlign w:val="center"/>
            <w:hideMark/>
          </w:tcPr>
          <w:p w14:paraId="048643F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5268931000</w:t>
            </w:r>
          </w:p>
        </w:tc>
        <w:tc>
          <w:tcPr>
            <w:tcW w:w="547" w:type="pct"/>
            <w:tcBorders>
              <w:top w:val="nil"/>
              <w:left w:val="nil"/>
              <w:bottom w:val="single" w:sz="4" w:space="0" w:color="auto"/>
              <w:right w:val="single" w:sz="4" w:space="0" w:color="auto"/>
            </w:tcBorders>
            <w:shd w:val="clear" w:color="auto" w:fill="auto"/>
            <w:noWrap/>
            <w:vAlign w:val="center"/>
            <w:hideMark/>
          </w:tcPr>
          <w:p w14:paraId="2DE9104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52634876</w:t>
            </w:r>
          </w:p>
        </w:tc>
        <w:tc>
          <w:tcPr>
            <w:tcW w:w="3360" w:type="pct"/>
            <w:tcBorders>
              <w:top w:val="nil"/>
              <w:left w:val="nil"/>
              <w:bottom w:val="single" w:sz="4" w:space="0" w:color="auto"/>
              <w:right w:val="single" w:sz="4" w:space="0" w:color="auto"/>
            </w:tcBorders>
            <w:shd w:val="clear" w:color="auto" w:fill="auto"/>
            <w:vAlign w:val="center"/>
            <w:hideMark/>
          </w:tcPr>
          <w:p w14:paraId="61222F3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MARIJE VERE</w:t>
            </w:r>
          </w:p>
        </w:tc>
      </w:tr>
      <w:tr w:rsidR="00E3750C" w:rsidRPr="00415AB3" w14:paraId="44CDCEA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F462B7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1337</w:t>
            </w:r>
          </w:p>
        </w:tc>
        <w:tc>
          <w:tcPr>
            <w:tcW w:w="705" w:type="pct"/>
            <w:tcBorders>
              <w:top w:val="nil"/>
              <w:left w:val="nil"/>
              <w:bottom w:val="single" w:sz="4" w:space="0" w:color="auto"/>
              <w:right w:val="single" w:sz="4" w:space="0" w:color="auto"/>
            </w:tcBorders>
            <w:shd w:val="clear" w:color="auto" w:fill="auto"/>
            <w:noWrap/>
            <w:vAlign w:val="center"/>
            <w:hideMark/>
          </w:tcPr>
          <w:p w14:paraId="61FE1D8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5085268000</w:t>
            </w:r>
          </w:p>
        </w:tc>
        <w:tc>
          <w:tcPr>
            <w:tcW w:w="547" w:type="pct"/>
            <w:tcBorders>
              <w:top w:val="nil"/>
              <w:left w:val="nil"/>
              <w:bottom w:val="single" w:sz="4" w:space="0" w:color="auto"/>
              <w:right w:val="single" w:sz="4" w:space="0" w:color="auto"/>
            </w:tcBorders>
            <w:shd w:val="clear" w:color="auto" w:fill="auto"/>
            <w:noWrap/>
            <w:vAlign w:val="center"/>
            <w:hideMark/>
          </w:tcPr>
          <w:p w14:paraId="6CBF2E0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53839773</w:t>
            </w:r>
          </w:p>
        </w:tc>
        <w:tc>
          <w:tcPr>
            <w:tcW w:w="3360" w:type="pct"/>
            <w:tcBorders>
              <w:top w:val="nil"/>
              <w:left w:val="nil"/>
              <w:bottom w:val="single" w:sz="4" w:space="0" w:color="auto"/>
              <w:right w:val="single" w:sz="4" w:space="0" w:color="auto"/>
            </w:tcBorders>
            <w:shd w:val="clear" w:color="auto" w:fill="auto"/>
            <w:vAlign w:val="center"/>
            <w:hideMark/>
          </w:tcPr>
          <w:p w14:paraId="7D5519D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MARTINA KONŠAKA MARIBOR</w:t>
            </w:r>
          </w:p>
        </w:tc>
      </w:tr>
      <w:tr w:rsidR="00E3750C" w:rsidRPr="00415AB3" w14:paraId="16FC7B0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67D023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1338</w:t>
            </w:r>
          </w:p>
        </w:tc>
        <w:tc>
          <w:tcPr>
            <w:tcW w:w="705" w:type="pct"/>
            <w:tcBorders>
              <w:top w:val="nil"/>
              <w:left w:val="nil"/>
              <w:bottom w:val="single" w:sz="4" w:space="0" w:color="auto"/>
              <w:right w:val="single" w:sz="4" w:space="0" w:color="auto"/>
            </w:tcBorders>
            <w:shd w:val="clear" w:color="auto" w:fill="auto"/>
            <w:noWrap/>
            <w:vAlign w:val="center"/>
            <w:hideMark/>
          </w:tcPr>
          <w:p w14:paraId="24CB620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5236681000</w:t>
            </w:r>
          </w:p>
        </w:tc>
        <w:tc>
          <w:tcPr>
            <w:tcW w:w="547" w:type="pct"/>
            <w:tcBorders>
              <w:top w:val="nil"/>
              <w:left w:val="nil"/>
              <w:bottom w:val="single" w:sz="4" w:space="0" w:color="auto"/>
              <w:right w:val="single" w:sz="4" w:space="0" w:color="auto"/>
            </w:tcBorders>
            <w:shd w:val="clear" w:color="auto" w:fill="auto"/>
            <w:noWrap/>
            <w:vAlign w:val="center"/>
            <w:hideMark/>
          </w:tcPr>
          <w:p w14:paraId="297D9E0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98721089</w:t>
            </w:r>
          </w:p>
        </w:tc>
        <w:tc>
          <w:tcPr>
            <w:tcW w:w="3360" w:type="pct"/>
            <w:tcBorders>
              <w:top w:val="nil"/>
              <w:left w:val="nil"/>
              <w:bottom w:val="single" w:sz="4" w:space="0" w:color="auto"/>
              <w:right w:val="single" w:sz="4" w:space="0" w:color="auto"/>
            </w:tcBorders>
            <w:shd w:val="clear" w:color="auto" w:fill="auto"/>
            <w:vAlign w:val="center"/>
            <w:hideMark/>
          </w:tcPr>
          <w:p w14:paraId="5323944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MARTINA KRPANA</w:t>
            </w:r>
          </w:p>
        </w:tc>
      </w:tr>
      <w:tr w:rsidR="00E3750C" w:rsidRPr="00415AB3" w14:paraId="33764C5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F08927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1339</w:t>
            </w:r>
          </w:p>
        </w:tc>
        <w:tc>
          <w:tcPr>
            <w:tcW w:w="705" w:type="pct"/>
            <w:tcBorders>
              <w:top w:val="nil"/>
              <w:left w:val="nil"/>
              <w:bottom w:val="single" w:sz="4" w:space="0" w:color="auto"/>
              <w:right w:val="single" w:sz="4" w:space="0" w:color="auto"/>
            </w:tcBorders>
            <w:shd w:val="clear" w:color="auto" w:fill="auto"/>
            <w:noWrap/>
            <w:vAlign w:val="center"/>
            <w:hideMark/>
          </w:tcPr>
          <w:p w14:paraId="36E7875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5279976000</w:t>
            </w:r>
          </w:p>
        </w:tc>
        <w:tc>
          <w:tcPr>
            <w:tcW w:w="547" w:type="pct"/>
            <w:tcBorders>
              <w:top w:val="nil"/>
              <w:left w:val="nil"/>
              <w:bottom w:val="single" w:sz="4" w:space="0" w:color="auto"/>
              <w:right w:val="single" w:sz="4" w:space="0" w:color="auto"/>
            </w:tcBorders>
            <w:shd w:val="clear" w:color="auto" w:fill="auto"/>
            <w:noWrap/>
            <w:vAlign w:val="center"/>
            <w:hideMark/>
          </w:tcPr>
          <w:p w14:paraId="6B3F0F2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93323611</w:t>
            </w:r>
          </w:p>
        </w:tc>
        <w:tc>
          <w:tcPr>
            <w:tcW w:w="3360" w:type="pct"/>
            <w:tcBorders>
              <w:top w:val="nil"/>
              <w:left w:val="nil"/>
              <w:bottom w:val="single" w:sz="4" w:space="0" w:color="auto"/>
              <w:right w:val="single" w:sz="4" w:space="0" w:color="auto"/>
            </w:tcBorders>
            <w:shd w:val="clear" w:color="auto" w:fill="auto"/>
            <w:vAlign w:val="center"/>
            <w:hideMark/>
          </w:tcPr>
          <w:p w14:paraId="6D355E7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MATIJE ČOPA KRANJ</w:t>
            </w:r>
          </w:p>
        </w:tc>
      </w:tr>
      <w:tr w:rsidR="00E3750C" w:rsidRPr="00415AB3" w14:paraId="30B8591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C5C176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1340</w:t>
            </w:r>
          </w:p>
        </w:tc>
        <w:tc>
          <w:tcPr>
            <w:tcW w:w="705" w:type="pct"/>
            <w:tcBorders>
              <w:top w:val="nil"/>
              <w:left w:val="nil"/>
              <w:bottom w:val="single" w:sz="4" w:space="0" w:color="auto"/>
              <w:right w:val="single" w:sz="4" w:space="0" w:color="auto"/>
            </w:tcBorders>
            <w:shd w:val="clear" w:color="auto" w:fill="auto"/>
            <w:noWrap/>
            <w:vAlign w:val="center"/>
            <w:hideMark/>
          </w:tcPr>
          <w:p w14:paraId="53FA83D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5083214000</w:t>
            </w:r>
          </w:p>
        </w:tc>
        <w:tc>
          <w:tcPr>
            <w:tcW w:w="547" w:type="pct"/>
            <w:tcBorders>
              <w:top w:val="nil"/>
              <w:left w:val="nil"/>
              <w:bottom w:val="single" w:sz="4" w:space="0" w:color="auto"/>
              <w:right w:val="single" w:sz="4" w:space="0" w:color="auto"/>
            </w:tcBorders>
            <w:shd w:val="clear" w:color="auto" w:fill="auto"/>
            <w:noWrap/>
            <w:vAlign w:val="center"/>
            <w:hideMark/>
          </w:tcPr>
          <w:p w14:paraId="4C9FA1A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75535211</w:t>
            </w:r>
          </w:p>
        </w:tc>
        <w:tc>
          <w:tcPr>
            <w:tcW w:w="3360" w:type="pct"/>
            <w:tcBorders>
              <w:top w:val="nil"/>
              <w:left w:val="nil"/>
              <w:bottom w:val="single" w:sz="4" w:space="0" w:color="auto"/>
              <w:right w:val="single" w:sz="4" w:space="0" w:color="auto"/>
            </w:tcBorders>
            <w:shd w:val="clear" w:color="auto" w:fill="auto"/>
            <w:vAlign w:val="center"/>
            <w:hideMark/>
          </w:tcPr>
          <w:p w14:paraId="2309240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MATIJE VALJAVCA PREDDVOR</w:t>
            </w:r>
          </w:p>
        </w:tc>
      </w:tr>
      <w:tr w:rsidR="00E3750C" w:rsidRPr="00415AB3" w14:paraId="1D15137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B3EAFC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1341</w:t>
            </w:r>
          </w:p>
        </w:tc>
        <w:tc>
          <w:tcPr>
            <w:tcW w:w="705" w:type="pct"/>
            <w:tcBorders>
              <w:top w:val="nil"/>
              <w:left w:val="nil"/>
              <w:bottom w:val="single" w:sz="4" w:space="0" w:color="auto"/>
              <w:right w:val="single" w:sz="4" w:space="0" w:color="auto"/>
            </w:tcBorders>
            <w:shd w:val="clear" w:color="auto" w:fill="auto"/>
            <w:noWrap/>
            <w:vAlign w:val="center"/>
            <w:hideMark/>
          </w:tcPr>
          <w:p w14:paraId="1EEB539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5222575000</w:t>
            </w:r>
          </w:p>
        </w:tc>
        <w:tc>
          <w:tcPr>
            <w:tcW w:w="547" w:type="pct"/>
            <w:tcBorders>
              <w:top w:val="nil"/>
              <w:left w:val="nil"/>
              <w:bottom w:val="single" w:sz="4" w:space="0" w:color="auto"/>
              <w:right w:val="single" w:sz="4" w:space="0" w:color="auto"/>
            </w:tcBorders>
            <w:shd w:val="clear" w:color="auto" w:fill="auto"/>
            <w:noWrap/>
            <w:vAlign w:val="center"/>
            <w:hideMark/>
          </w:tcPr>
          <w:p w14:paraId="44F3AFD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26623404</w:t>
            </w:r>
          </w:p>
        </w:tc>
        <w:tc>
          <w:tcPr>
            <w:tcW w:w="3360" w:type="pct"/>
            <w:tcBorders>
              <w:top w:val="nil"/>
              <w:left w:val="nil"/>
              <w:bottom w:val="single" w:sz="4" w:space="0" w:color="auto"/>
              <w:right w:val="single" w:sz="4" w:space="0" w:color="auto"/>
            </w:tcBorders>
            <w:shd w:val="clear" w:color="auto" w:fill="auto"/>
            <w:vAlign w:val="center"/>
            <w:hideMark/>
          </w:tcPr>
          <w:p w14:paraId="53AC891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MEDVODE</w:t>
            </w:r>
          </w:p>
        </w:tc>
      </w:tr>
      <w:tr w:rsidR="00E3750C" w:rsidRPr="00415AB3" w14:paraId="407B7AC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C98DF0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1342</w:t>
            </w:r>
          </w:p>
        </w:tc>
        <w:tc>
          <w:tcPr>
            <w:tcW w:w="705" w:type="pct"/>
            <w:tcBorders>
              <w:top w:val="nil"/>
              <w:left w:val="nil"/>
              <w:bottom w:val="single" w:sz="4" w:space="0" w:color="auto"/>
              <w:right w:val="single" w:sz="4" w:space="0" w:color="auto"/>
            </w:tcBorders>
            <w:shd w:val="clear" w:color="auto" w:fill="auto"/>
            <w:noWrap/>
            <w:vAlign w:val="center"/>
            <w:hideMark/>
          </w:tcPr>
          <w:p w14:paraId="1FB1C44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5082820000</w:t>
            </w:r>
          </w:p>
        </w:tc>
        <w:tc>
          <w:tcPr>
            <w:tcW w:w="547" w:type="pct"/>
            <w:tcBorders>
              <w:top w:val="nil"/>
              <w:left w:val="nil"/>
              <w:bottom w:val="single" w:sz="4" w:space="0" w:color="auto"/>
              <w:right w:val="single" w:sz="4" w:space="0" w:color="auto"/>
            </w:tcBorders>
            <w:shd w:val="clear" w:color="auto" w:fill="auto"/>
            <w:noWrap/>
            <w:vAlign w:val="center"/>
            <w:hideMark/>
          </w:tcPr>
          <w:p w14:paraId="01C28C8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94625387</w:t>
            </w:r>
          </w:p>
        </w:tc>
        <w:tc>
          <w:tcPr>
            <w:tcW w:w="3360" w:type="pct"/>
            <w:tcBorders>
              <w:top w:val="nil"/>
              <w:left w:val="nil"/>
              <w:bottom w:val="single" w:sz="4" w:space="0" w:color="auto"/>
              <w:right w:val="single" w:sz="4" w:space="0" w:color="auto"/>
            </w:tcBorders>
            <w:shd w:val="clear" w:color="auto" w:fill="auto"/>
            <w:vAlign w:val="center"/>
            <w:hideMark/>
          </w:tcPr>
          <w:p w14:paraId="1F955F7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MENGEŠ</w:t>
            </w:r>
          </w:p>
        </w:tc>
      </w:tr>
      <w:tr w:rsidR="00E3750C" w:rsidRPr="00415AB3" w14:paraId="112688C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C22C18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1343</w:t>
            </w:r>
          </w:p>
        </w:tc>
        <w:tc>
          <w:tcPr>
            <w:tcW w:w="705" w:type="pct"/>
            <w:tcBorders>
              <w:top w:val="nil"/>
              <w:left w:val="nil"/>
              <w:bottom w:val="single" w:sz="4" w:space="0" w:color="auto"/>
              <w:right w:val="single" w:sz="4" w:space="0" w:color="auto"/>
            </w:tcBorders>
            <w:shd w:val="clear" w:color="auto" w:fill="auto"/>
            <w:noWrap/>
            <w:vAlign w:val="center"/>
            <w:hideMark/>
          </w:tcPr>
          <w:p w14:paraId="3C67DEB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5088925000</w:t>
            </w:r>
          </w:p>
        </w:tc>
        <w:tc>
          <w:tcPr>
            <w:tcW w:w="547" w:type="pct"/>
            <w:tcBorders>
              <w:top w:val="nil"/>
              <w:left w:val="nil"/>
              <w:bottom w:val="single" w:sz="4" w:space="0" w:color="auto"/>
              <w:right w:val="single" w:sz="4" w:space="0" w:color="auto"/>
            </w:tcBorders>
            <w:shd w:val="clear" w:color="auto" w:fill="auto"/>
            <w:noWrap/>
            <w:vAlign w:val="center"/>
            <w:hideMark/>
          </w:tcPr>
          <w:p w14:paraId="77D8F26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25802925</w:t>
            </w:r>
          </w:p>
        </w:tc>
        <w:tc>
          <w:tcPr>
            <w:tcW w:w="3360" w:type="pct"/>
            <w:tcBorders>
              <w:top w:val="nil"/>
              <w:left w:val="nil"/>
              <w:bottom w:val="single" w:sz="4" w:space="0" w:color="auto"/>
              <w:right w:val="single" w:sz="4" w:space="0" w:color="auto"/>
            </w:tcBorders>
            <w:shd w:val="clear" w:color="auto" w:fill="auto"/>
            <w:vAlign w:val="center"/>
            <w:hideMark/>
          </w:tcPr>
          <w:p w14:paraId="58D8D31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METLIKA</w:t>
            </w:r>
          </w:p>
        </w:tc>
      </w:tr>
      <w:tr w:rsidR="00E3750C" w:rsidRPr="00415AB3" w14:paraId="3FC4B32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E5ACE7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1344</w:t>
            </w:r>
          </w:p>
        </w:tc>
        <w:tc>
          <w:tcPr>
            <w:tcW w:w="705" w:type="pct"/>
            <w:tcBorders>
              <w:top w:val="nil"/>
              <w:left w:val="nil"/>
              <w:bottom w:val="single" w:sz="4" w:space="0" w:color="auto"/>
              <w:right w:val="single" w:sz="4" w:space="0" w:color="auto"/>
            </w:tcBorders>
            <w:shd w:val="clear" w:color="auto" w:fill="auto"/>
            <w:noWrap/>
            <w:vAlign w:val="center"/>
            <w:hideMark/>
          </w:tcPr>
          <w:p w14:paraId="4CB00C6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5087376000</w:t>
            </w:r>
          </w:p>
        </w:tc>
        <w:tc>
          <w:tcPr>
            <w:tcW w:w="547" w:type="pct"/>
            <w:tcBorders>
              <w:top w:val="nil"/>
              <w:left w:val="nil"/>
              <w:bottom w:val="single" w:sz="4" w:space="0" w:color="auto"/>
              <w:right w:val="single" w:sz="4" w:space="0" w:color="auto"/>
            </w:tcBorders>
            <w:shd w:val="clear" w:color="auto" w:fill="auto"/>
            <w:noWrap/>
            <w:vAlign w:val="center"/>
            <w:hideMark/>
          </w:tcPr>
          <w:p w14:paraId="18D82BA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93869126</w:t>
            </w:r>
          </w:p>
        </w:tc>
        <w:tc>
          <w:tcPr>
            <w:tcW w:w="3360" w:type="pct"/>
            <w:tcBorders>
              <w:top w:val="nil"/>
              <w:left w:val="nil"/>
              <w:bottom w:val="single" w:sz="4" w:space="0" w:color="auto"/>
              <w:right w:val="single" w:sz="4" w:space="0" w:color="auto"/>
            </w:tcBorders>
            <w:shd w:val="clear" w:color="auto" w:fill="auto"/>
            <w:vAlign w:val="center"/>
            <w:hideMark/>
          </w:tcPr>
          <w:p w14:paraId="380F588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MEŽICA</w:t>
            </w:r>
          </w:p>
        </w:tc>
      </w:tr>
      <w:tr w:rsidR="00E3750C" w:rsidRPr="00415AB3" w14:paraId="1153CBA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8198CC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1345</w:t>
            </w:r>
          </w:p>
        </w:tc>
        <w:tc>
          <w:tcPr>
            <w:tcW w:w="705" w:type="pct"/>
            <w:tcBorders>
              <w:top w:val="nil"/>
              <w:left w:val="nil"/>
              <w:bottom w:val="single" w:sz="4" w:space="0" w:color="auto"/>
              <w:right w:val="single" w:sz="4" w:space="0" w:color="auto"/>
            </w:tcBorders>
            <w:shd w:val="clear" w:color="auto" w:fill="auto"/>
            <w:noWrap/>
            <w:vAlign w:val="center"/>
            <w:hideMark/>
          </w:tcPr>
          <w:p w14:paraId="073B5FB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5088216000</w:t>
            </w:r>
          </w:p>
        </w:tc>
        <w:tc>
          <w:tcPr>
            <w:tcW w:w="547" w:type="pct"/>
            <w:tcBorders>
              <w:top w:val="nil"/>
              <w:left w:val="nil"/>
              <w:bottom w:val="single" w:sz="4" w:space="0" w:color="auto"/>
              <w:right w:val="single" w:sz="4" w:space="0" w:color="auto"/>
            </w:tcBorders>
            <w:shd w:val="clear" w:color="auto" w:fill="auto"/>
            <w:noWrap/>
            <w:vAlign w:val="center"/>
            <w:hideMark/>
          </w:tcPr>
          <w:p w14:paraId="0BD33DF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39145522</w:t>
            </w:r>
          </w:p>
        </w:tc>
        <w:tc>
          <w:tcPr>
            <w:tcW w:w="3360" w:type="pct"/>
            <w:tcBorders>
              <w:top w:val="nil"/>
              <w:left w:val="nil"/>
              <w:bottom w:val="single" w:sz="4" w:space="0" w:color="auto"/>
              <w:right w:val="single" w:sz="4" w:space="0" w:color="auto"/>
            </w:tcBorders>
            <w:shd w:val="clear" w:color="auto" w:fill="auto"/>
            <w:vAlign w:val="center"/>
            <w:hideMark/>
          </w:tcPr>
          <w:p w14:paraId="41FC910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MIHE PINTARJA TOLEDA, VELENJE</w:t>
            </w:r>
          </w:p>
        </w:tc>
      </w:tr>
      <w:tr w:rsidR="00E3750C" w:rsidRPr="00415AB3" w14:paraId="1A8B9A3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6B7810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1346</w:t>
            </w:r>
          </w:p>
        </w:tc>
        <w:tc>
          <w:tcPr>
            <w:tcW w:w="705" w:type="pct"/>
            <w:tcBorders>
              <w:top w:val="nil"/>
              <w:left w:val="nil"/>
              <w:bottom w:val="single" w:sz="4" w:space="0" w:color="auto"/>
              <w:right w:val="single" w:sz="4" w:space="0" w:color="auto"/>
            </w:tcBorders>
            <w:shd w:val="clear" w:color="auto" w:fill="auto"/>
            <w:noWrap/>
            <w:vAlign w:val="center"/>
            <w:hideMark/>
          </w:tcPr>
          <w:p w14:paraId="58DEDE4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5085276000</w:t>
            </w:r>
          </w:p>
        </w:tc>
        <w:tc>
          <w:tcPr>
            <w:tcW w:w="547" w:type="pct"/>
            <w:tcBorders>
              <w:top w:val="nil"/>
              <w:left w:val="nil"/>
              <w:bottom w:val="single" w:sz="4" w:space="0" w:color="auto"/>
              <w:right w:val="single" w:sz="4" w:space="0" w:color="auto"/>
            </w:tcBorders>
            <w:shd w:val="clear" w:color="auto" w:fill="auto"/>
            <w:noWrap/>
            <w:vAlign w:val="center"/>
            <w:hideMark/>
          </w:tcPr>
          <w:p w14:paraId="79036FF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70073627</w:t>
            </w:r>
          </w:p>
        </w:tc>
        <w:tc>
          <w:tcPr>
            <w:tcW w:w="3360" w:type="pct"/>
            <w:tcBorders>
              <w:top w:val="nil"/>
              <w:left w:val="nil"/>
              <w:bottom w:val="single" w:sz="4" w:space="0" w:color="auto"/>
              <w:right w:val="single" w:sz="4" w:space="0" w:color="auto"/>
            </w:tcBorders>
            <w:shd w:val="clear" w:color="auto" w:fill="auto"/>
            <w:vAlign w:val="center"/>
            <w:hideMark/>
          </w:tcPr>
          <w:p w14:paraId="13EA31F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MIKLAVŽ NA DRAVSKEM POLJU</w:t>
            </w:r>
          </w:p>
        </w:tc>
      </w:tr>
      <w:tr w:rsidR="00E3750C" w:rsidRPr="00415AB3" w14:paraId="4A5C665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8A8D0E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1347</w:t>
            </w:r>
          </w:p>
        </w:tc>
        <w:tc>
          <w:tcPr>
            <w:tcW w:w="705" w:type="pct"/>
            <w:tcBorders>
              <w:top w:val="nil"/>
              <w:left w:val="nil"/>
              <w:bottom w:val="single" w:sz="4" w:space="0" w:color="auto"/>
              <w:right w:val="single" w:sz="4" w:space="0" w:color="auto"/>
            </w:tcBorders>
            <w:shd w:val="clear" w:color="auto" w:fill="auto"/>
            <w:noWrap/>
            <w:vAlign w:val="center"/>
            <w:hideMark/>
          </w:tcPr>
          <w:p w14:paraId="7F63175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5089158000</w:t>
            </w:r>
          </w:p>
        </w:tc>
        <w:tc>
          <w:tcPr>
            <w:tcW w:w="547" w:type="pct"/>
            <w:tcBorders>
              <w:top w:val="nil"/>
              <w:left w:val="nil"/>
              <w:bottom w:val="single" w:sz="4" w:space="0" w:color="auto"/>
              <w:right w:val="single" w:sz="4" w:space="0" w:color="auto"/>
            </w:tcBorders>
            <w:shd w:val="clear" w:color="auto" w:fill="auto"/>
            <w:noWrap/>
            <w:vAlign w:val="center"/>
            <w:hideMark/>
          </w:tcPr>
          <w:p w14:paraId="1783545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29832063</w:t>
            </w:r>
          </w:p>
        </w:tc>
        <w:tc>
          <w:tcPr>
            <w:tcW w:w="3360" w:type="pct"/>
            <w:tcBorders>
              <w:top w:val="nil"/>
              <w:left w:val="nil"/>
              <w:bottom w:val="single" w:sz="4" w:space="0" w:color="auto"/>
              <w:right w:val="single" w:sz="4" w:space="0" w:color="auto"/>
            </w:tcBorders>
            <w:shd w:val="clear" w:color="auto" w:fill="auto"/>
            <w:vAlign w:val="center"/>
            <w:hideMark/>
          </w:tcPr>
          <w:p w14:paraId="2446C76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MIKLAVŽ PRI ORMOŽU</w:t>
            </w:r>
          </w:p>
        </w:tc>
      </w:tr>
      <w:tr w:rsidR="00E3750C" w:rsidRPr="00415AB3" w14:paraId="5BEF787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5CE68E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1348</w:t>
            </w:r>
          </w:p>
        </w:tc>
        <w:tc>
          <w:tcPr>
            <w:tcW w:w="705" w:type="pct"/>
            <w:tcBorders>
              <w:top w:val="nil"/>
              <w:left w:val="nil"/>
              <w:bottom w:val="single" w:sz="4" w:space="0" w:color="auto"/>
              <w:right w:val="single" w:sz="4" w:space="0" w:color="auto"/>
            </w:tcBorders>
            <w:shd w:val="clear" w:color="auto" w:fill="auto"/>
            <w:noWrap/>
            <w:vAlign w:val="center"/>
            <w:hideMark/>
          </w:tcPr>
          <w:p w14:paraId="6A9C1FB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5089328000</w:t>
            </w:r>
          </w:p>
        </w:tc>
        <w:tc>
          <w:tcPr>
            <w:tcW w:w="547" w:type="pct"/>
            <w:tcBorders>
              <w:top w:val="nil"/>
              <w:left w:val="nil"/>
              <w:bottom w:val="single" w:sz="4" w:space="0" w:color="auto"/>
              <w:right w:val="single" w:sz="4" w:space="0" w:color="auto"/>
            </w:tcBorders>
            <w:shd w:val="clear" w:color="auto" w:fill="auto"/>
            <w:noWrap/>
            <w:vAlign w:val="center"/>
            <w:hideMark/>
          </w:tcPr>
          <w:p w14:paraId="0279A49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68625260</w:t>
            </w:r>
          </w:p>
        </w:tc>
        <w:tc>
          <w:tcPr>
            <w:tcW w:w="3360" w:type="pct"/>
            <w:tcBorders>
              <w:top w:val="nil"/>
              <w:left w:val="nil"/>
              <w:bottom w:val="single" w:sz="4" w:space="0" w:color="auto"/>
              <w:right w:val="single" w:sz="4" w:space="0" w:color="auto"/>
            </w:tcBorders>
            <w:shd w:val="clear" w:color="auto" w:fill="auto"/>
            <w:vAlign w:val="center"/>
            <w:hideMark/>
          </w:tcPr>
          <w:p w14:paraId="0FAC316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MILANA MAJCNA ŠENTJANŽ</w:t>
            </w:r>
          </w:p>
        </w:tc>
      </w:tr>
      <w:tr w:rsidR="00E3750C" w:rsidRPr="00415AB3" w14:paraId="0777C54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CED1B0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1349</w:t>
            </w:r>
          </w:p>
        </w:tc>
        <w:tc>
          <w:tcPr>
            <w:tcW w:w="705" w:type="pct"/>
            <w:tcBorders>
              <w:top w:val="nil"/>
              <w:left w:val="nil"/>
              <w:bottom w:val="single" w:sz="4" w:space="0" w:color="auto"/>
              <w:right w:val="single" w:sz="4" w:space="0" w:color="auto"/>
            </w:tcBorders>
            <w:shd w:val="clear" w:color="auto" w:fill="auto"/>
            <w:noWrap/>
            <w:vAlign w:val="center"/>
            <w:hideMark/>
          </w:tcPr>
          <w:p w14:paraId="7F321B4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5204291000</w:t>
            </w:r>
          </w:p>
        </w:tc>
        <w:tc>
          <w:tcPr>
            <w:tcW w:w="547" w:type="pct"/>
            <w:tcBorders>
              <w:top w:val="nil"/>
              <w:left w:val="nil"/>
              <w:bottom w:val="single" w:sz="4" w:space="0" w:color="auto"/>
              <w:right w:val="single" w:sz="4" w:space="0" w:color="auto"/>
            </w:tcBorders>
            <w:shd w:val="clear" w:color="auto" w:fill="auto"/>
            <w:noWrap/>
            <w:vAlign w:val="center"/>
            <w:hideMark/>
          </w:tcPr>
          <w:p w14:paraId="404C6C4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11555050</w:t>
            </w:r>
          </w:p>
        </w:tc>
        <w:tc>
          <w:tcPr>
            <w:tcW w:w="3360" w:type="pct"/>
            <w:tcBorders>
              <w:top w:val="nil"/>
              <w:left w:val="nil"/>
              <w:bottom w:val="single" w:sz="4" w:space="0" w:color="auto"/>
              <w:right w:val="single" w:sz="4" w:space="0" w:color="auto"/>
            </w:tcBorders>
            <w:shd w:val="clear" w:color="auto" w:fill="auto"/>
            <w:vAlign w:val="center"/>
            <w:hideMark/>
          </w:tcPr>
          <w:p w14:paraId="4EE377C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MILANA ŠUŠTARŠIČA</w:t>
            </w:r>
          </w:p>
        </w:tc>
      </w:tr>
      <w:tr w:rsidR="00E3750C" w:rsidRPr="00415AB3" w14:paraId="5BADD11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8D8B59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1350</w:t>
            </w:r>
          </w:p>
        </w:tc>
        <w:tc>
          <w:tcPr>
            <w:tcW w:w="705" w:type="pct"/>
            <w:tcBorders>
              <w:top w:val="nil"/>
              <w:left w:val="nil"/>
              <w:bottom w:val="single" w:sz="4" w:space="0" w:color="auto"/>
              <w:right w:val="single" w:sz="4" w:space="0" w:color="auto"/>
            </w:tcBorders>
            <w:shd w:val="clear" w:color="auto" w:fill="auto"/>
            <w:noWrap/>
            <w:vAlign w:val="center"/>
            <w:hideMark/>
          </w:tcPr>
          <w:p w14:paraId="4CBA8E6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5083729000</w:t>
            </w:r>
          </w:p>
        </w:tc>
        <w:tc>
          <w:tcPr>
            <w:tcW w:w="547" w:type="pct"/>
            <w:tcBorders>
              <w:top w:val="nil"/>
              <w:left w:val="nil"/>
              <w:bottom w:val="single" w:sz="4" w:space="0" w:color="auto"/>
              <w:right w:val="single" w:sz="4" w:space="0" w:color="auto"/>
            </w:tcBorders>
            <w:shd w:val="clear" w:color="auto" w:fill="auto"/>
            <w:noWrap/>
            <w:vAlign w:val="center"/>
            <w:hideMark/>
          </w:tcPr>
          <w:p w14:paraId="2BF5387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15995615</w:t>
            </w:r>
          </w:p>
        </w:tc>
        <w:tc>
          <w:tcPr>
            <w:tcW w:w="3360" w:type="pct"/>
            <w:tcBorders>
              <w:top w:val="nil"/>
              <w:left w:val="nil"/>
              <w:bottom w:val="single" w:sz="4" w:space="0" w:color="auto"/>
              <w:right w:val="single" w:sz="4" w:space="0" w:color="auto"/>
            </w:tcBorders>
            <w:shd w:val="clear" w:color="auto" w:fill="auto"/>
            <w:vAlign w:val="center"/>
            <w:hideMark/>
          </w:tcPr>
          <w:p w14:paraId="7984188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MILKE ŠOBAR-NATAŠE ČRNOMELJ</w:t>
            </w:r>
          </w:p>
        </w:tc>
      </w:tr>
      <w:tr w:rsidR="00E3750C" w:rsidRPr="00415AB3" w14:paraId="6054145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63AC49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1351</w:t>
            </w:r>
          </w:p>
        </w:tc>
        <w:tc>
          <w:tcPr>
            <w:tcW w:w="705" w:type="pct"/>
            <w:tcBorders>
              <w:top w:val="nil"/>
              <w:left w:val="nil"/>
              <w:bottom w:val="single" w:sz="4" w:space="0" w:color="auto"/>
              <w:right w:val="single" w:sz="4" w:space="0" w:color="auto"/>
            </w:tcBorders>
            <w:shd w:val="clear" w:color="auto" w:fill="auto"/>
            <w:noWrap/>
            <w:vAlign w:val="center"/>
            <w:hideMark/>
          </w:tcPr>
          <w:p w14:paraId="07954E1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5089352000</w:t>
            </w:r>
          </w:p>
        </w:tc>
        <w:tc>
          <w:tcPr>
            <w:tcW w:w="547" w:type="pct"/>
            <w:tcBorders>
              <w:top w:val="nil"/>
              <w:left w:val="nil"/>
              <w:bottom w:val="single" w:sz="4" w:space="0" w:color="auto"/>
              <w:right w:val="single" w:sz="4" w:space="0" w:color="auto"/>
            </w:tcBorders>
            <w:shd w:val="clear" w:color="auto" w:fill="auto"/>
            <w:noWrap/>
            <w:vAlign w:val="center"/>
            <w:hideMark/>
          </w:tcPr>
          <w:p w14:paraId="05E0C14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96298197</w:t>
            </w:r>
          </w:p>
        </w:tc>
        <w:tc>
          <w:tcPr>
            <w:tcW w:w="3360" w:type="pct"/>
            <w:tcBorders>
              <w:top w:val="nil"/>
              <w:left w:val="nil"/>
              <w:bottom w:val="single" w:sz="4" w:space="0" w:color="auto"/>
              <w:right w:val="single" w:sz="4" w:space="0" w:color="auto"/>
            </w:tcBorders>
            <w:shd w:val="clear" w:color="auto" w:fill="auto"/>
            <w:vAlign w:val="center"/>
            <w:hideMark/>
          </w:tcPr>
          <w:p w14:paraId="1A62EE1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MILOJKE ŠTRUKELJ NOVA GORICA</w:t>
            </w:r>
          </w:p>
        </w:tc>
      </w:tr>
      <w:tr w:rsidR="00E3750C" w:rsidRPr="00415AB3" w14:paraId="5BAE1E6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49DF5E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1352</w:t>
            </w:r>
          </w:p>
        </w:tc>
        <w:tc>
          <w:tcPr>
            <w:tcW w:w="705" w:type="pct"/>
            <w:tcBorders>
              <w:top w:val="nil"/>
              <w:left w:val="nil"/>
              <w:bottom w:val="single" w:sz="4" w:space="0" w:color="auto"/>
              <w:right w:val="single" w:sz="4" w:space="0" w:color="auto"/>
            </w:tcBorders>
            <w:shd w:val="clear" w:color="auto" w:fill="auto"/>
            <w:noWrap/>
            <w:vAlign w:val="center"/>
            <w:hideMark/>
          </w:tcPr>
          <w:p w14:paraId="0AEE4DC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5087694000</w:t>
            </w:r>
          </w:p>
        </w:tc>
        <w:tc>
          <w:tcPr>
            <w:tcW w:w="547" w:type="pct"/>
            <w:tcBorders>
              <w:top w:val="nil"/>
              <w:left w:val="nil"/>
              <w:bottom w:val="single" w:sz="4" w:space="0" w:color="auto"/>
              <w:right w:val="single" w:sz="4" w:space="0" w:color="auto"/>
            </w:tcBorders>
            <w:shd w:val="clear" w:color="auto" w:fill="auto"/>
            <w:noWrap/>
            <w:vAlign w:val="center"/>
            <w:hideMark/>
          </w:tcPr>
          <w:p w14:paraId="732B402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86171275</w:t>
            </w:r>
          </w:p>
        </w:tc>
        <w:tc>
          <w:tcPr>
            <w:tcW w:w="3360" w:type="pct"/>
            <w:tcBorders>
              <w:top w:val="nil"/>
              <w:left w:val="nil"/>
              <w:bottom w:val="single" w:sz="4" w:space="0" w:color="auto"/>
              <w:right w:val="single" w:sz="4" w:space="0" w:color="auto"/>
            </w:tcBorders>
            <w:shd w:val="clear" w:color="auto" w:fill="auto"/>
            <w:vAlign w:val="center"/>
            <w:hideMark/>
          </w:tcPr>
          <w:p w14:paraId="5D492F7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MINKE NAMESTNIK-SONJE SLOVENSKA BISTRICA</w:t>
            </w:r>
          </w:p>
        </w:tc>
      </w:tr>
      <w:tr w:rsidR="00E3750C" w:rsidRPr="00415AB3" w14:paraId="667C0C0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1D218A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1353</w:t>
            </w:r>
          </w:p>
        </w:tc>
        <w:tc>
          <w:tcPr>
            <w:tcW w:w="705" w:type="pct"/>
            <w:tcBorders>
              <w:top w:val="nil"/>
              <w:left w:val="nil"/>
              <w:bottom w:val="single" w:sz="4" w:space="0" w:color="auto"/>
              <w:right w:val="single" w:sz="4" w:space="0" w:color="auto"/>
            </w:tcBorders>
            <w:shd w:val="clear" w:color="auto" w:fill="auto"/>
            <w:noWrap/>
            <w:vAlign w:val="center"/>
            <w:hideMark/>
          </w:tcPr>
          <w:p w14:paraId="3408D5C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5084105000</w:t>
            </w:r>
          </w:p>
        </w:tc>
        <w:tc>
          <w:tcPr>
            <w:tcW w:w="547" w:type="pct"/>
            <w:tcBorders>
              <w:top w:val="nil"/>
              <w:left w:val="nil"/>
              <w:bottom w:val="single" w:sz="4" w:space="0" w:color="auto"/>
              <w:right w:val="single" w:sz="4" w:space="0" w:color="auto"/>
            </w:tcBorders>
            <w:shd w:val="clear" w:color="auto" w:fill="auto"/>
            <w:noWrap/>
            <w:vAlign w:val="center"/>
            <w:hideMark/>
          </w:tcPr>
          <w:p w14:paraId="51FEDB1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32234945</w:t>
            </w:r>
          </w:p>
        </w:tc>
        <w:tc>
          <w:tcPr>
            <w:tcW w:w="3360" w:type="pct"/>
            <w:tcBorders>
              <w:top w:val="nil"/>
              <w:left w:val="nil"/>
              <w:bottom w:val="single" w:sz="4" w:space="0" w:color="auto"/>
              <w:right w:val="single" w:sz="4" w:space="0" w:color="auto"/>
            </w:tcBorders>
            <w:shd w:val="clear" w:color="auto" w:fill="auto"/>
            <w:vAlign w:val="center"/>
            <w:hideMark/>
          </w:tcPr>
          <w:p w14:paraId="39289F8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MIRANA JARCA</w:t>
            </w:r>
          </w:p>
        </w:tc>
      </w:tr>
      <w:tr w:rsidR="00E3750C" w:rsidRPr="00415AB3" w14:paraId="0428A4C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FE54AA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1354</w:t>
            </w:r>
          </w:p>
        </w:tc>
        <w:tc>
          <w:tcPr>
            <w:tcW w:w="705" w:type="pct"/>
            <w:tcBorders>
              <w:top w:val="nil"/>
              <w:left w:val="nil"/>
              <w:bottom w:val="single" w:sz="4" w:space="0" w:color="auto"/>
              <w:right w:val="single" w:sz="4" w:space="0" w:color="auto"/>
            </w:tcBorders>
            <w:shd w:val="clear" w:color="auto" w:fill="auto"/>
            <w:noWrap/>
            <w:vAlign w:val="center"/>
            <w:hideMark/>
          </w:tcPr>
          <w:p w14:paraId="5A6E66D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5082765000</w:t>
            </w:r>
          </w:p>
        </w:tc>
        <w:tc>
          <w:tcPr>
            <w:tcW w:w="547" w:type="pct"/>
            <w:tcBorders>
              <w:top w:val="nil"/>
              <w:left w:val="nil"/>
              <w:bottom w:val="single" w:sz="4" w:space="0" w:color="auto"/>
              <w:right w:val="single" w:sz="4" w:space="0" w:color="auto"/>
            </w:tcBorders>
            <w:shd w:val="clear" w:color="auto" w:fill="auto"/>
            <w:noWrap/>
            <w:vAlign w:val="center"/>
            <w:hideMark/>
          </w:tcPr>
          <w:p w14:paraId="586B8B4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38693313</w:t>
            </w:r>
          </w:p>
        </w:tc>
        <w:tc>
          <w:tcPr>
            <w:tcW w:w="3360" w:type="pct"/>
            <w:tcBorders>
              <w:top w:val="nil"/>
              <w:left w:val="nil"/>
              <w:bottom w:val="single" w:sz="4" w:space="0" w:color="auto"/>
              <w:right w:val="single" w:sz="4" w:space="0" w:color="auto"/>
            </w:tcBorders>
            <w:shd w:val="clear" w:color="auto" w:fill="auto"/>
            <w:vAlign w:val="center"/>
            <w:hideMark/>
          </w:tcPr>
          <w:p w14:paraId="30CB592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MIRANA JARCA ČRNOMELJ</w:t>
            </w:r>
          </w:p>
        </w:tc>
      </w:tr>
      <w:tr w:rsidR="00E3750C" w:rsidRPr="00415AB3" w14:paraId="7A2E52D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647590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1355</w:t>
            </w:r>
          </w:p>
        </w:tc>
        <w:tc>
          <w:tcPr>
            <w:tcW w:w="705" w:type="pct"/>
            <w:tcBorders>
              <w:top w:val="nil"/>
              <w:left w:val="nil"/>
              <w:bottom w:val="single" w:sz="4" w:space="0" w:color="auto"/>
              <w:right w:val="single" w:sz="4" w:space="0" w:color="auto"/>
            </w:tcBorders>
            <w:shd w:val="clear" w:color="auto" w:fill="auto"/>
            <w:noWrap/>
            <w:vAlign w:val="center"/>
            <w:hideMark/>
          </w:tcPr>
          <w:p w14:paraId="1A2FA52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5085829000</w:t>
            </w:r>
          </w:p>
        </w:tc>
        <w:tc>
          <w:tcPr>
            <w:tcW w:w="547" w:type="pct"/>
            <w:tcBorders>
              <w:top w:val="nil"/>
              <w:left w:val="nil"/>
              <w:bottom w:val="single" w:sz="4" w:space="0" w:color="auto"/>
              <w:right w:val="single" w:sz="4" w:space="0" w:color="auto"/>
            </w:tcBorders>
            <w:shd w:val="clear" w:color="auto" w:fill="auto"/>
            <w:noWrap/>
            <w:vAlign w:val="center"/>
            <w:hideMark/>
          </w:tcPr>
          <w:p w14:paraId="30E0B9A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57887411</w:t>
            </w:r>
          </w:p>
        </w:tc>
        <w:tc>
          <w:tcPr>
            <w:tcW w:w="3360" w:type="pct"/>
            <w:tcBorders>
              <w:top w:val="nil"/>
              <w:left w:val="nil"/>
              <w:bottom w:val="single" w:sz="4" w:space="0" w:color="auto"/>
              <w:right w:val="single" w:sz="4" w:space="0" w:color="auto"/>
            </w:tcBorders>
            <w:shd w:val="clear" w:color="auto" w:fill="auto"/>
            <w:vAlign w:val="center"/>
            <w:hideMark/>
          </w:tcPr>
          <w:p w14:paraId="383F947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MIREN</w:t>
            </w:r>
          </w:p>
        </w:tc>
      </w:tr>
      <w:tr w:rsidR="00E3750C" w:rsidRPr="00415AB3" w14:paraId="269B97D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E2C1CB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1356</w:t>
            </w:r>
          </w:p>
        </w:tc>
        <w:tc>
          <w:tcPr>
            <w:tcW w:w="705" w:type="pct"/>
            <w:tcBorders>
              <w:top w:val="nil"/>
              <w:left w:val="nil"/>
              <w:bottom w:val="single" w:sz="4" w:space="0" w:color="auto"/>
              <w:right w:val="single" w:sz="4" w:space="0" w:color="auto"/>
            </w:tcBorders>
            <w:shd w:val="clear" w:color="auto" w:fill="auto"/>
            <w:noWrap/>
            <w:vAlign w:val="center"/>
            <w:hideMark/>
          </w:tcPr>
          <w:p w14:paraId="5D56EEB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5090083000</w:t>
            </w:r>
          </w:p>
        </w:tc>
        <w:tc>
          <w:tcPr>
            <w:tcW w:w="547" w:type="pct"/>
            <w:tcBorders>
              <w:top w:val="nil"/>
              <w:left w:val="nil"/>
              <w:bottom w:val="single" w:sz="4" w:space="0" w:color="auto"/>
              <w:right w:val="single" w:sz="4" w:space="0" w:color="auto"/>
            </w:tcBorders>
            <w:shd w:val="clear" w:color="auto" w:fill="auto"/>
            <w:noWrap/>
            <w:vAlign w:val="center"/>
            <w:hideMark/>
          </w:tcPr>
          <w:p w14:paraId="6B102EC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49417398</w:t>
            </w:r>
          </w:p>
        </w:tc>
        <w:tc>
          <w:tcPr>
            <w:tcW w:w="3360" w:type="pct"/>
            <w:tcBorders>
              <w:top w:val="nil"/>
              <w:left w:val="nil"/>
              <w:bottom w:val="single" w:sz="4" w:space="0" w:color="auto"/>
              <w:right w:val="single" w:sz="4" w:space="0" w:color="auto"/>
            </w:tcBorders>
            <w:shd w:val="clear" w:color="auto" w:fill="auto"/>
            <w:vAlign w:val="center"/>
            <w:hideMark/>
          </w:tcPr>
          <w:p w14:paraId="66DF7BC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MIRNA</w:t>
            </w:r>
          </w:p>
        </w:tc>
      </w:tr>
      <w:tr w:rsidR="00E3750C" w:rsidRPr="00415AB3" w14:paraId="0128354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A1E0A0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1357</w:t>
            </w:r>
          </w:p>
        </w:tc>
        <w:tc>
          <w:tcPr>
            <w:tcW w:w="705" w:type="pct"/>
            <w:tcBorders>
              <w:top w:val="nil"/>
              <w:left w:val="nil"/>
              <w:bottom w:val="single" w:sz="4" w:space="0" w:color="auto"/>
              <w:right w:val="single" w:sz="4" w:space="0" w:color="auto"/>
            </w:tcBorders>
            <w:shd w:val="clear" w:color="auto" w:fill="auto"/>
            <w:noWrap/>
            <w:vAlign w:val="center"/>
            <w:hideMark/>
          </w:tcPr>
          <w:p w14:paraId="2D74458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5496837000</w:t>
            </w:r>
          </w:p>
        </w:tc>
        <w:tc>
          <w:tcPr>
            <w:tcW w:w="547" w:type="pct"/>
            <w:tcBorders>
              <w:top w:val="nil"/>
              <w:left w:val="nil"/>
              <w:bottom w:val="single" w:sz="4" w:space="0" w:color="auto"/>
              <w:right w:val="single" w:sz="4" w:space="0" w:color="auto"/>
            </w:tcBorders>
            <w:shd w:val="clear" w:color="auto" w:fill="auto"/>
            <w:noWrap/>
            <w:vAlign w:val="center"/>
            <w:hideMark/>
          </w:tcPr>
          <w:p w14:paraId="609B22D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92694969</w:t>
            </w:r>
          </w:p>
        </w:tc>
        <w:tc>
          <w:tcPr>
            <w:tcW w:w="3360" w:type="pct"/>
            <w:tcBorders>
              <w:top w:val="nil"/>
              <w:left w:val="nil"/>
              <w:bottom w:val="single" w:sz="4" w:space="0" w:color="auto"/>
              <w:right w:val="single" w:sz="4" w:space="0" w:color="auto"/>
            </w:tcBorders>
            <w:shd w:val="clear" w:color="auto" w:fill="auto"/>
            <w:vAlign w:val="center"/>
            <w:hideMark/>
          </w:tcPr>
          <w:p w14:paraId="3A94FFD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MIROSLAVA VILHARJA POSTOJNA</w:t>
            </w:r>
          </w:p>
        </w:tc>
      </w:tr>
      <w:tr w:rsidR="00E3750C" w:rsidRPr="00415AB3" w14:paraId="511D971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E917C0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1358</w:t>
            </w:r>
          </w:p>
        </w:tc>
        <w:tc>
          <w:tcPr>
            <w:tcW w:w="705" w:type="pct"/>
            <w:tcBorders>
              <w:top w:val="nil"/>
              <w:left w:val="nil"/>
              <w:bottom w:val="single" w:sz="4" w:space="0" w:color="auto"/>
              <w:right w:val="single" w:sz="4" w:space="0" w:color="auto"/>
            </w:tcBorders>
            <w:shd w:val="clear" w:color="auto" w:fill="auto"/>
            <w:noWrap/>
            <w:vAlign w:val="center"/>
            <w:hideMark/>
          </w:tcPr>
          <w:p w14:paraId="2E50D79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5087589000</w:t>
            </w:r>
          </w:p>
        </w:tc>
        <w:tc>
          <w:tcPr>
            <w:tcW w:w="547" w:type="pct"/>
            <w:tcBorders>
              <w:top w:val="nil"/>
              <w:left w:val="nil"/>
              <w:bottom w:val="single" w:sz="4" w:space="0" w:color="auto"/>
              <w:right w:val="single" w:sz="4" w:space="0" w:color="auto"/>
            </w:tcBorders>
            <w:shd w:val="clear" w:color="auto" w:fill="auto"/>
            <w:noWrap/>
            <w:vAlign w:val="center"/>
            <w:hideMark/>
          </w:tcPr>
          <w:p w14:paraId="6E6B8B3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53705181</w:t>
            </w:r>
          </w:p>
        </w:tc>
        <w:tc>
          <w:tcPr>
            <w:tcW w:w="3360" w:type="pct"/>
            <w:tcBorders>
              <w:top w:val="nil"/>
              <w:left w:val="nil"/>
              <w:bottom w:val="single" w:sz="4" w:space="0" w:color="auto"/>
              <w:right w:val="single" w:sz="4" w:space="0" w:color="auto"/>
            </w:tcBorders>
            <w:shd w:val="clear" w:color="auto" w:fill="auto"/>
            <w:vAlign w:val="center"/>
            <w:hideMark/>
          </w:tcPr>
          <w:p w14:paraId="2EC8317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MISLINJA</w:t>
            </w:r>
          </w:p>
        </w:tc>
      </w:tr>
      <w:tr w:rsidR="00E3750C" w:rsidRPr="00415AB3" w14:paraId="6975C17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73A1B6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1359</w:t>
            </w:r>
          </w:p>
        </w:tc>
        <w:tc>
          <w:tcPr>
            <w:tcW w:w="705" w:type="pct"/>
            <w:tcBorders>
              <w:top w:val="nil"/>
              <w:left w:val="nil"/>
              <w:bottom w:val="single" w:sz="4" w:space="0" w:color="auto"/>
              <w:right w:val="single" w:sz="4" w:space="0" w:color="auto"/>
            </w:tcBorders>
            <w:shd w:val="clear" w:color="auto" w:fill="auto"/>
            <w:noWrap/>
            <w:vAlign w:val="center"/>
            <w:hideMark/>
          </w:tcPr>
          <w:p w14:paraId="0B3B2F2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5255279000</w:t>
            </w:r>
          </w:p>
        </w:tc>
        <w:tc>
          <w:tcPr>
            <w:tcW w:w="547" w:type="pct"/>
            <w:tcBorders>
              <w:top w:val="nil"/>
              <w:left w:val="nil"/>
              <w:bottom w:val="single" w:sz="4" w:space="0" w:color="auto"/>
              <w:right w:val="single" w:sz="4" w:space="0" w:color="auto"/>
            </w:tcBorders>
            <w:shd w:val="clear" w:color="auto" w:fill="auto"/>
            <w:noWrap/>
            <w:vAlign w:val="center"/>
            <w:hideMark/>
          </w:tcPr>
          <w:p w14:paraId="788C4C5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47126027</w:t>
            </w:r>
          </w:p>
        </w:tc>
        <w:tc>
          <w:tcPr>
            <w:tcW w:w="3360" w:type="pct"/>
            <w:tcBorders>
              <w:top w:val="nil"/>
              <w:left w:val="nil"/>
              <w:bottom w:val="single" w:sz="4" w:space="0" w:color="auto"/>
              <w:right w:val="single" w:sz="4" w:space="0" w:color="auto"/>
            </w:tcBorders>
            <w:shd w:val="clear" w:color="auto" w:fill="auto"/>
            <w:vAlign w:val="center"/>
            <w:hideMark/>
          </w:tcPr>
          <w:p w14:paraId="395ABF9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MIŠKA KRANJCA</w:t>
            </w:r>
          </w:p>
        </w:tc>
      </w:tr>
      <w:tr w:rsidR="00E3750C" w:rsidRPr="00415AB3" w14:paraId="70B26E7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58C3E2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1360</w:t>
            </w:r>
          </w:p>
        </w:tc>
        <w:tc>
          <w:tcPr>
            <w:tcW w:w="705" w:type="pct"/>
            <w:tcBorders>
              <w:top w:val="nil"/>
              <w:left w:val="nil"/>
              <w:bottom w:val="single" w:sz="4" w:space="0" w:color="auto"/>
              <w:right w:val="single" w:sz="4" w:space="0" w:color="auto"/>
            </w:tcBorders>
            <w:shd w:val="clear" w:color="auto" w:fill="auto"/>
            <w:noWrap/>
            <w:vAlign w:val="center"/>
            <w:hideMark/>
          </w:tcPr>
          <w:p w14:paraId="503A7B3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5087163000</w:t>
            </w:r>
          </w:p>
        </w:tc>
        <w:tc>
          <w:tcPr>
            <w:tcW w:w="547" w:type="pct"/>
            <w:tcBorders>
              <w:top w:val="nil"/>
              <w:left w:val="nil"/>
              <w:bottom w:val="single" w:sz="4" w:space="0" w:color="auto"/>
              <w:right w:val="single" w:sz="4" w:space="0" w:color="auto"/>
            </w:tcBorders>
            <w:shd w:val="clear" w:color="auto" w:fill="auto"/>
            <w:noWrap/>
            <w:vAlign w:val="center"/>
            <w:hideMark/>
          </w:tcPr>
          <w:p w14:paraId="6E97087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80951147</w:t>
            </w:r>
          </w:p>
        </w:tc>
        <w:tc>
          <w:tcPr>
            <w:tcW w:w="3360" w:type="pct"/>
            <w:tcBorders>
              <w:top w:val="nil"/>
              <w:left w:val="nil"/>
              <w:bottom w:val="single" w:sz="4" w:space="0" w:color="auto"/>
              <w:right w:val="single" w:sz="4" w:space="0" w:color="auto"/>
            </w:tcBorders>
            <w:shd w:val="clear" w:color="auto" w:fill="auto"/>
            <w:vAlign w:val="center"/>
            <w:hideMark/>
          </w:tcPr>
          <w:p w14:paraId="332D6CC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MLADIKA</w:t>
            </w:r>
          </w:p>
        </w:tc>
      </w:tr>
      <w:tr w:rsidR="00E3750C" w:rsidRPr="00415AB3" w14:paraId="3C7204D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844040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1361</w:t>
            </w:r>
          </w:p>
        </w:tc>
        <w:tc>
          <w:tcPr>
            <w:tcW w:w="705" w:type="pct"/>
            <w:tcBorders>
              <w:top w:val="nil"/>
              <w:left w:val="nil"/>
              <w:bottom w:val="single" w:sz="4" w:space="0" w:color="auto"/>
              <w:right w:val="single" w:sz="4" w:space="0" w:color="auto"/>
            </w:tcBorders>
            <w:shd w:val="clear" w:color="auto" w:fill="auto"/>
            <w:noWrap/>
            <w:vAlign w:val="center"/>
            <w:hideMark/>
          </w:tcPr>
          <w:p w14:paraId="345C2B4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5088062000</w:t>
            </w:r>
          </w:p>
        </w:tc>
        <w:tc>
          <w:tcPr>
            <w:tcW w:w="547" w:type="pct"/>
            <w:tcBorders>
              <w:top w:val="nil"/>
              <w:left w:val="nil"/>
              <w:bottom w:val="single" w:sz="4" w:space="0" w:color="auto"/>
              <w:right w:val="single" w:sz="4" w:space="0" w:color="auto"/>
            </w:tcBorders>
            <w:shd w:val="clear" w:color="auto" w:fill="auto"/>
            <w:noWrap/>
            <w:vAlign w:val="center"/>
            <w:hideMark/>
          </w:tcPr>
          <w:p w14:paraId="4EF54AB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11475064</w:t>
            </w:r>
          </w:p>
        </w:tc>
        <w:tc>
          <w:tcPr>
            <w:tcW w:w="3360" w:type="pct"/>
            <w:tcBorders>
              <w:top w:val="nil"/>
              <w:left w:val="nil"/>
              <w:bottom w:val="single" w:sz="4" w:space="0" w:color="auto"/>
              <w:right w:val="single" w:sz="4" w:space="0" w:color="auto"/>
            </w:tcBorders>
            <w:shd w:val="clear" w:color="auto" w:fill="auto"/>
            <w:vAlign w:val="center"/>
            <w:hideMark/>
          </w:tcPr>
          <w:p w14:paraId="334014F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MOKRONOG</w:t>
            </w:r>
          </w:p>
        </w:tc>
      </w:tr>
      <w:tr w:rsidR="00E3750C" w:rsidRPr="00415AB3" w14:paraId="6A16C45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D30077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1362</w:t>
            </w:r>
          </w:p>
        </w:tc>
        <w:tc>
          <w:tcPr>
            <w:tcW w:w="705" w:type="pct"/>
            <w:tcBorders>
              <w:top w:val="nil"/>
              <w:left w:val="nil"/>
              <w:bottom w:val="single" w:sz="4" w:space="0" w:color="auto"/>
              <w:right w:val="single" w:sz="4" w:space="0" w:color="auto"/>
            </w:tcBorders>
            <w:shd w:val="clear" w:color="auto" w:fill="auto"/>
            <w:noWrap/>
            <w:vAlign w:val="center"/>
            <w:hideMark/>
          </w:tcPr>
          <w:p w14:paraId="369B40E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5088950000</w:t>
            </w:r>
          </w:p>
        </w:tc>
        <w:tc>
          <w:tcPr>
            <w:tcW w:w="547" w:type="pct"/>
            <w:tcBorders>
              <w:top w:val="nil"/>
              <w:left w:val="nil"/>
              <w:bottom w:val="single" w:sz="4" w:space="0" w:color="auto"/>
              <w:right w:val="single" w:sz="4" w:space="0" w:color="auto"/>
            </w:tcBorders>
            <w:shd w:val="clear" w:color="auto" w:fill="auto"/>
            <w:noWrap/>
            <w:vAlign w:val="center"/>
            <w:hideMark/>
          </w:tcPr>
          <w:p w14:paraId="7D152A9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86633619</w:t>
            </w:r>
          </w:p>
        </w:tc>
        <w:tc>
          <w:tcPr>
            <w:tcW w:w="3360" w:type="pct"/>
            <w:tcBorders>
              <w:top w:val="nil"/>
              <w:left w:val="nil"/>
              <w:bottom w:val="single" w:sz="4" w:space="0" w:color="auto"/>
              <w:right w:val="single" w:sz="4" w:space="0" w:color="auto"/>
            </w:tcBorders>
            <w:shd w:val="clear" w:color="auto" w:fill="auto"/>
            <w:vAlign w:val="center"/>
            <w:hideMark/>
          </w:tcPr>
          <w:p w14:paraId="300FD2C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MOZIRJE</w:t>
            </w:r>
          </w:p>
        </w:tc>
      </w:tr>
      <w:tr w:rsidR="00E3750C" w:rsidRPr="00415AB3" w14:paraId="6CDD091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676E41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1363</w:t>
            </w:r>
          </w:p>
        </w:tc>
        <w:tc>
          <w:tcPr>
            <w:tcW w:w="705" w:type="pct"/>
            <w:tcBorders>
              <w:top w:val="nil"/>
              <w:left w:val="nil"/>
              <w:bottom w:val="single" w:sz="4" w:space="0" w:color="auto"/>
              <w:right w:val="single" w:sz="4" w:space="0" w:color="auto"/>
            </w:tcBorders>
            <w:shd w:val="clear" w:color="auto" w:fill="auto"/>
            <w:noWrap/>
            <w:vAlign w:val="center"/>
            <w:hideMark/>
          </w:tcPr>
          <w:p w14:paraId="1A1A3AA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5087287000</w:t>
            </w:r>
          </w:p>
        </w:tc>
        <w:tc>
          <w:tcPr>
            <w:tcW w:w="547" w:type="pct"/>
            <w:tcBorders>
              <w:top w:val="nil"/>
              <w:left w:val="nil"/>
              <w:bottom w:val="single" w:sz="4" w:space="0" w:color="auto"/>
              <w:right w:val="single" w:sz="4" w:space="0" w:color="auto"/>
            </w:tcBorders>
            <w:shd w:val="clear" w:color="auto" w:fill="auto"/>
            <w:noWrap/>
            <w:vAlign w:val="center"/>
            <w:hideMark/>
          </w:tcPr>
          <w:p w14:paraId="7B49C84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69843716</w:t>
            </w:r>
          </w:p>
        </w:tc>
        <w:tc>
          <w:tcPr>
            <w:tcW w:w="3360" w:type="pct"/>
            <w:tcBorders>
              <w:top w:val="nil"/>
              <w:left w:val="nil"/>
              <w:bottom w:val="single" w:sz="4" w:space="0" w:color="auto"/>
              <w:right w:val="single" w:sz="4" w:space="0" w:color="auto"/>
            </w:tcBorders>
            <w:shd w:val="clear" w:color="auto" w:fill="auto"/>
            <w:vAlign w:val="center"/>
            <w:hideMark/>
          </w:tcPr>
          <w:p w14:paraId="589525E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MUTA</w:t>
            </w:r>
          </w:p>
        </w:tc>
      </w:tr>
      <w:tr w:rsidR="00E3750C" w:rsidRPr="00415AB3" w14:paraId="4FB9A2E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6B23A8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1364</w:t>
            </w:r>
          </w:p>
        </w:tc>
        <w:tc>
          <w:tcPr>
            <w:tcW w:w="705" w:type="pct"/>
            <w:tcBorders>
              <w:top w:val="nil"/>
              <w:left w:val="nil"/>
              <w:bottom w:val="single" w:sz="4" w:space="0" w:color="auto"/>
              <w:right w:val="single" w:sz="4" w:space="0" w:color="auto"/>
            </w:tcBorders>
            <w:shd w:val="clear" w:color="auto" w:fill="auto"/>
            <w:noWrap/>
            <w:vAlign w:val="center"/>
            <w:hideMark/>
          </w:tcPr>
          <w:p w14:paraId="2E7B329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5084091000</w:t>
            </w:r>
          </w:p>
        </w:tc>
        <w:tc>
          <w:tcPr>
            <w:tcW w:w="547" w:type="pct"/>
            <w:tcBorders>
              <w:top w:val="nil"/>
              <w:left w:val="nil"/>
              <w:bottom w:val="single" w:sz="4" w:space="0" w:color="auto"/>
              <w:right w:val="single" w:sz="4" w:space="0" w:color="auto"/>
            </w:tcBorders>
            <w:shd w:val="clear" w:color="auto" w:fill="auto"/>
            <w:noWrap/>
            <w:vAlign w:val="center"/>
            <w:hideMark/>
          </w:tcPr>
          <w:p w14:paraId="4751A37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79338119</w:t>
            </w:r>
          </w:p>
        </w:tc>
        <w:tc>
          <w:tcPr>
            <w:tcW w:w="3360" w:type="pct"/>
            <w:tcBorders>
              <w:top w:val="nil"/>
              <w:left w:val="nil"/>
              <w:bottom w:val="single" w:sz="4" w:space="0" w:color="auto"/>
              <w:right w:val="single" w:sz="4" w:space="0" w:color="auto"/>
            </w:tcBorders>
            <w:shd w:val="clear" w:color="auto" w:fill="auto"/>
            <w:vAlign w:val="center"/>
            <w:hideMark/>
          </w:tcPr>
          <w:p w14:paraId="21F85AA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N. H. MAKSA PEČARJA</w:t>
            </w:r>
          </w:p>
        </w:tc>
      </w:tr>
      <w:tr w:rsidR="00E3750C" w:rsidRPr="00415AB3" w14:paraId="5997004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FAAB47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1365</w:t>
            </w:r>
          </w:p>
        </w:tc>
        <w:tc>
          <w:tcPr>
            <w:tcW w:w="705" w:type="pct"/>
            <w:tcBorders>
              <w:top w:val="nil"/>
              <w:left w:val="nil"/>
              <w:bottom w:val="single" w:sz="4" w:space="0" w:color="auto"/>
              <w:right w:val="single" w:sz="4" w:space="0" w:color="auto"/>
            </w:tcBorders>
            <w:shd w:val="clear" w:color="auto" w:fill="auto"/>
            <w:noWrap/>
            <w:vAlign w:val="center"/>
            <w:hideMark/>
          </w:tcPr>
          <w:p w14:paraId="72DAC09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1193830000</w:t>
            </w:r>
          </w:p>
        </w:tc>
        <w:tc>
          <w:tcPr>
            <w:tcW w:w="547" w:type="pct"/>
            <w:tcBorders>
              <w:top w:val="nil"/>
              <w:left w:val="nil"/>
              <w:bottom w:val="single" w:sz="4" w:space="0" w:color="auto"/>
              <w:right w:val="single" w:sz="4" w:space="0" w:color="auto"/>
            </w:tcBorders>
            <w:shd w:val="clear" w:color="auto" w:fill="auto"/>
            <w:noWrap/>
            <w:vAlign w:val="center"/>
            <w:hideMark/>
          </w:tcPr>
          <w:p w14:paraId="4D1BBFB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53817753</w:t>
            </w:r>
          </w:p>
        </w:tc>
        <w:tc>
          <w:tcPr>
            <w:tcW w:w="3360" w:type="pct"/>
            <w:tcBorders>
              <w:top w:val="nil"/>
              <w:left w:val="nil"/>
              <w:bottom w:val="single" w:sz="4" w:space="0" w:color="auto"/>
              <w:right w:val="single" w:sz="4" w:space="0" w:color="auto"/>
            </w:tcBorders>
            <w:shd w:val="clear" w:color="auto" w:fill="auto"/>
            <w:vAlign w:val="center"/>
            <w:hideMark/>
          </w:tcPr>
          <w:p w14:paraId="3C95CAE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NAKLO</w:t>
            </w:r>
          </w:p>
        </w:tc>
      </w:tr>
      <w:tr w:rsidR="00E3750C" w:rsidRPr="00415AB3" w14:paraId="572266D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0F35CC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1366</w:t>
            </w:r>
          </w:p>
        </w:tc>
        <w:tc>
          <w:tcPr>
            <w:tcW w:w="705" w:type="pct"/>
            <w:tcBorders>
              <w:top w:val="nil"/>
              <w:left w:val="nil"/>
              <w:bottom w:val="single" w:sz="4" w:space="0" w:color="auto"/>
              <w:right w:val="single" w:sz="4" w:space="0" w:color="auto"/>
            </w:tcBorders>
            <w:shd w:val="clear" w:color="auto" w:fill="auto"/>
            <w:noWrap/>
            <w:vAlign w:val="center"/>
            <w:hideMark/>
          </w:tcPr>
          <w:p w14:paraId="633AC06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5089905000</w:t>
            </w:r>
          </w:p>
        </w:tc>
        <w:tc>
          <w:tcPr>
            <w:tcW w:w="547" w:type="pct"/>
            <w:tcBorders>
              <w:top w:val="nil"/>
              <w:left w:val="nil"/>
              <w:bottom w:val="single" w:sz="4" w:space="0" w:color="auto"/>
              <w:right w:val="single" w:sz="4" w:space="0" w:color="auto"/>
            </w:tcBorders>
            <w:shd w:val="clear" w:color="auto" w:fill="auto"/>
            <w:noWrap/>
            <w:vAlign w:val="center"/>
            <w:hideMark/>
          </w:tcPr>
          <w:p w14:paraId="5FF3997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90342593</w:t>
            </w:r>
          </w:p>
        </w:tc>
        <w:tc>
          <w:tcPr>
            <w:tcW w:w="3360" w:type="pct"/>
            <w:tcBorders>
              <w:top w:val="nil"/>
              <w:left w:val="nil"/>
              <w:bottom w:val="single" w:sz="4" w:space="0" w:color="auto"/>
              <w:right w:val="single" w:sz="4" w:space="0" w:color="auto"/>
            </w:tcBorders>
            <w:shd w:val="clear" w:color="auto" w:fill="auto"/>
            <w:vAlign w:val="center"/>
            <w:hideMark/>
          </w:tcPr>
          <w:p w14:paraId="1F533B9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NARODNEGA HEROJA RAJKA HRASTNIK</w:t>
            </w:r>
          </w:p>
        </w:tc>
      </w:tr>
      <w:tr w:rsidR="00E3750C" w:rsidRPr="00415AB3" w14:paraId="437A3C4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DCF8B5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1367</w:t>
            </w:r>
          </w:p>
        </w:tc>
        <w:tc>
          <w:tcPr>
            <w:tcW w:w="705" w:type="pct"/>
            <w:tcBorders>
              <w:top w:val="nil"/>
              <w:left w:val="nil"/>
              <w:bottom w:val="single" w:sz="4" w:space="0" w:color="auto"/>
              <w:right w:val="single" w:sz="4" w:space="0" w:color="auto"/>
            </w:tcBorders>
            <w:shd w:val="clear" w:color="auto" w:fill="auto"/>
            <w:noWrap/>
            <w:vAlign w:val="center"/>
            <w:hideMark/>
          </w:tcPr>
          <w:p w14:paraId="7E22390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1253484000</w:t>
            </w:r>
          </w:p>
        </w:tc>
        <w:tc>
          <w:tcPr>
            <w:tcW w:w="547" w:type="pct"/>
            <w:tcBorders>
              <w:top w:val="nil"/>
              <w:left w:val="nil"/>
              <w:bottom w:val="single" w:sz="4" w:space="0" w:color="auto"/>
              <w:right w:val="single" w:sz="4" w:space="0" w:color="auto"/>
            </w:tcBorders>
            <w:shd w:val="clear" w:color="auto" w:fill="auto"/>
            <w:noWrap/>
            <w:vAlign w:val="center"/>
            <w:hideMark/>
          </w:tcPr>
          <w:p w14:paraId="01F30EB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34152563</w:t>
            </w:r>
          </w:p>
        </w:tc>
        <w:tc>
          <w:tcPr>
            <w:tcW w:w="3360" w:type="pct"/>
            <w:tcBorders>
              <w:top w:val="nil"/>
              <w:left w:val="nil"/>
              <w:bottom w:val="single" w:sz="4" w:space="0" w:color="auto"/>
              <w:right w:val="single" w:sz="4" w:space="0" w:color="auto"/>
            </w:tcBorders>
            <w:shd w:val="clear" w:color="auto" w:fill="auto"/>
            <w:vAlign w:val="center"/>
            <w:hideMark/>
          </w:tcPr>
          <w:p w14:paraId="6487A96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NAZARJE</w:t>
            </w:r>
          </w:p>
        </w:tc>
      </w:tr>
      <w:tr w:rsidR="00E3750C" w:rsidRPr="00415AB3" w14:paraId="6C1281B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367E75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1368</w:t>
            </w:r>
          </w:p>
        </w:tc>
        <w:tc>
          <w:tcPr>
            <w:tcW w:w="705" w:type="pct"/>
            <w:tcBorders>
              <w:top w:val="nil"/>
              <w:left w:val="nil"/>
              <w:bottom w:val="single" w:sz="4" w:space="0" w:color="auto"/>
              <w:right w:val="single" w:sz="4" w:space="0" w:color="auto"/>
            </w:tcBorders>
            <w:shd w:val="clear" w:color="auto" w:fill="auto"/>
            <w:noWrap/>
            <w:vAlign w:val="center"/>
            <w:hideMark/>
          </w:tcPr>
          <w:p w14:paraId="04236D4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5082889000</w:t>
            </w:r>
          </w:p>
        </w:tc>
        <w:tc>
          <w:tcPr>
            <w:tcW w:w="547" w:type="pct"/>
            <w:tcBorders>
              <w:top w:val="nil"/>
              <w:left w:val="nil"/>
              <w:bottom w:val="single" w:sz="4" w:space="0" w:color="auto"/>
              <w:right w:val="single" w:sz="4" w:space="0" w:color="auto"/>
            </w:tcBorders>
            <w:shd w:val="clear" w:color="auto" w:fill="auto"/>
            <w:noWrap/>
            <w:vAlign w:val="center"/>
            <w:hideMark/>
          </w:tcPr>
          <w:p w14:paraId="5E24AAE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62927892</w:t>
            </w:r>
          </w:p>
        </w:tc>
        <w:tc>
          <w:tcPr>
            <w:tcW w:w="3360" w:type="pct"/>
            <w:tcBorders>
              <w:top w:val="nil"/>
              <w:left w:val="nil"/>
              <w:bottom w:val="single" w:sz="4" w:space="0" w:color="auto"/>
              <w:right w:val="single" w:sz="4" w:space="0" w:color="auto"/>
            </w:tcBorders>
            <w:shd w:val="clear" w:color="auto" w:fill="auto"/>
            <w:vAlign w:val="center"/>
            <w:hideMark/>
          </w:tcPr>
          <w:p w14:paraId="3FBDB69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NEZNANIH TALCEV DRAVOGRAD</w:t>
            </w:r>
          </w:p>
        </w:tc>
      </w:tr>
      <w:tr w:rsidR="00E3750C" w:rsidRPr="00415AB3" w14:paraId="3E5C1DB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D063E0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1369</w:t>
            </w:r>
          </w:p>
        </w:tc>
        <w:tc>
          <w:tcPr>
            <w:tcW w:w="705" w:type="pct"/>
            <w:tcBorders>
              <w:top w:val="nil"/>
              <w:left w:val="nil"/>
              <w:bottom w:val="single" w:sz="4" w:space="0" w:color="auto"/>
              <w:right w:val="single" w:sz="4" w:space="0" w:color="auto"/>
            </w:tcBorders>
            <w:shd w:val="clear" w:color="auto" w:fill="auto"/>
            <w:noWrap/>
            <w:vAlign w:val="center"/>
            <w:hideMark/>
          </w:tcPr>
          <w:p w14:paraId="1386DE4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5082722000</w:t>
            </w:r>
          </w:p>
        </w:tc>
        <w:tc>
          <w:tcPr>
            <w:tcW w:w="547" w:type="pct"/>
            <w:tcBorders>
              <w:top w:val="nil"/>
              <w:left w:val="nil"/>
              <w:bottom w:val="single" w:sz="4" w:space="0" w:color="auto"/>
              <w:right w:val="single" w:sz="4" w:space="0" w:color="auto"/>
            </w:tcBorders>
            <w:shd w:val="clear" w:color="auto" w:fill="auto"/>
            <w:noWrap/>
            <w:vAlign w:val="center"/>
            <w:hideMark/>
          </w:tcPr>
          <w:p w14:paraId="3809F8B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54018471</w:t>
            </w:r>
          </w:p>
        </w:tc>
        <w:tc>
          <w:tcPr>
            <w:tcW w:w="3360" w:type="pct"/>
            <w:tcBorders>
              <w:top w:val="nil"/>
              <w:left w:val="nil"/>
              <w:bottom w:val="single" w:sz="4" w:space="0" w:color="auto"/>
              <w:right w:val="single" w:sz="4" w:space="0" w:color="auto"/>
            </w:tcBorders>
            <w:shd w:val="clear" w:color="auto" w:fill="auto"/>
            <w:vAlign w:val="center"/>
            <w:hideMark/>
          </w:tcPr>
          <w:p w14:paraId="7196B9A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NOTRANJSKI ODRED CERKNICA</w:t>
            </w:r>
          </w:p>
        </w:tc>
      </w:tr>
      <w:tr w:rsidR="00E3750C" w:rsidRPr="00415AB3" w14:paraId="313ADEB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EECF99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1370</w:t>
            </w:r>
          </w:p>
        </w:tc>
        <w:tc>
          <w:tcPr>
            <w:tcW w:w="705" w:type="pct"/>
            <w:tcBorders>
              <w:top w:val="nil"/>
              <w:left w:val="nil"/>
              <w:bottom w:val="single" w:sz="4" w:space="0" w:color="auto"/>
              <w:right w:val="single" w:sz="4" w:space="0" w:color="auto"/>
            </w:tcBorders>
            <w:shd w:val="clear" w:color="auto" w:fill="auto"/>
            <w:noWrap/>
            <w:vAlign w:val="center"/>
            <w:hideMark/>
          </w:tcPr>
          <w:p w14:paraId="142F858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5273935000</w:t>
            </w:r>
          </w:p>
        </w:tc>
        <w:tc>
          <w:tcPr>
            <w:tcW w:w="547" w:type="pct"/>
            <w:tcBorders>
              <w:top w:val="nil"/>
              <w:left w:val="nil"/>
              <w:bottom w:val="single" w:sz="4" w:space="0" w:color="auto"/>
              <w:right w:val="single" w:sz="4" w:space="0" w:color="auto"/>
            </w:tcBorders>
            <w:shd w:val="clear" w:color="auto" w:fill="auto"/>
            <w:noWrap/>
            <w:vAlign w:val="center"/>
            <w:hideMark/>
          </w:tcPr>
          <w:p w14:paraId="7E2228B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15729257</w:t>
            </w:r>
          </w:p>
        </w:tc>
        <w:tc>
          <w:tcPr>
            <w:tcW w:w="3360" w:type="pct"/>
            <w:tcBorders>
              <w:top w:val="nil"/>
              <w:left w:val="nil"/>
              <w:bottom w:val="single" w:sz="4" w:space="0" w:color="auto"/>
              <w:right w:val="single" w:sz="4" w:space="0" w:color="auto"/>
            </w:tcBorders>
            <w:shd w:val="clear" w:color="auto" w:fill="auto"/>
            <w:vAlign w:val="center"/>
            <w:hideMark/>
          </w:tcPr>
          <w:p w14:paraId="7F81CA4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NOVE JARŠE</w:t>
            </w:r>
          </w:p>
        </w:tc>
      </w:tr>
      <w:tr w:rsidR="00E3750C" w:rsidRPr="00415AB3" w14:paraId="48A972E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A7DE36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1371</w:t>
            </w:r>
          </w:p>
        </w:tc>
        <w:tc>
          <w:tcPr>
            <w:tcW w:w="705" w:type="pct"/>
            <w:tcBorders>
              <w:top w:val="nil"/>
              <w:left w:val="nil"/>
              <w:bottom w:val="single" w:sz="4" w:space="0" w:color="auto"/>
              <w:right w:val="single" w:sz="4" w:space="0" w:color="auto"/>
            </w:tcBorders>
            <w:shd w:val="clear" w:color="auto" w:fill="auto"/>
            <w:noWrap/>
            <w:vAlign w:val="center"/>
            <w:hideMark/>
          </w:tcPr>
          <w:p w14:paraId="0A88A0C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5089441000</w:t>
            </w:r>
          </w:p>
        </w:tc>
        <w:tc>
          <w:tcPr>
            <w:tcW w:w="547" w:type="pct"/>
            <w:tcBorders>
              <w:top w:val="nil"/>
              <w:left w:val="nil"/>
              <w:bottom w:val="single" w:sz="4" w:space="0" w:color="auto"/>
              <w:right w:val="single" w:sz="4" w:space="0" w:color="auto"/>
            </w:tcBorders>
            <w:shd w:val="clear" w:color="auto" w:fill="auto"/>
            <w:noWrap/>
            <w:vAlign w:val="center"/>
            <w:hideMark/>
          </w:tcPr>
          <w:p w14:paraId="368C05D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11833173</w:t>
            </w:r>
          </w:p>
        </w:tc>
        <w:tc>
          <w:tcPr>
            <w:tcW w:w="3360" w:type="pct"/>
            <w:tcBorders>
              <w:top w:val="nil"/>
              <w:left w:val="nil"/>
              <w:bottom w:val="single" w:sz="4" w:space="0" w:color="auto"/>
              <w:right w:val="single" w:sz="4" w:space="0" w:color="auto"/>
            </w:tcBorders>
            <w:shd w:val="clear" w:color="auto" w:fill="auto"/>
            <w:vAlign w:val="center"/>
            <w:hideMark/>
          </w:tcPr>
          <w:p w14:paraId="34CA1C3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OB DRAVINJI</w:t>
            </w:r>
          </w:p>
        </w:tc>
      </w:tr>
      <w:tr w:rsidR="00E3750C" w:rsidRPr="00415AB3" w14:paraId="757617A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7A8CFB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1372</w:t>
            </w:r>
          </w:p>
        </w:tc>
        <w:tc>
          <w:tcPr>
            <w:tcW w:w="705" w:type="pct"/>
            <w:tcBorders>
              <w:top w:val="nil"/>
              <w:left w:val="nil"/>
              <w:bottom w:val="single" w:sz="4" w:space="0" w:color="auto"/>
              <w:right w:val="single" w:sz="4" w:space="0" w:color="auto"/>
            </w:tcBorders>
            <w:shd w:val="clear" w:color="auto" w:fill="auto"/>
            <w:noWrap/>
            <w:vAlign w:val="center"/>
            <w:hideMark/>
          </w:tcPr>
          <w:p w14:paraId="12369A1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5621712000</w:t>
            </w:r>
          </w:p>
        </w:tc>
        <w:tc>
          <w:tcPr>
            <w:tcW w:w="547" w:type="pct"/>
            <w:tcBorders>
              <w:top w:val="nil"/>
              <w:left w:val="nil"/>
              <w:bottom w:val="single" w:sz="4" w:space="0" w:color="auto"/>
              <w:right w:val="single" w:sz="4" w:space="0" w:color="auto"/>
            </w:tcBorders>
            <w:shd w:val="clear" w:color="auto" w:fill="auto"/>
            <w:noWrap/>
            <w:vAlign w:val="center"/>
            <w:hideMark/>
          </w:tcPr>
          <w:p w14:paraId="53C25E0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90536398</w:t>
            </w:r>
          </w:p>
        </w:tc>
        <w:tc>
          <w:tcPr>
            <w:tcW w:w="3360" w:type="pct"/>
            <w:tcBorders>
              <w:top w:val="nil"/>
              <w:left w:val="nil"/>
              <w:bottom w:val="single" w:sz="4" w:space="0" w:color="auto"/>
              <w:right w:val="single" w:sz="4" w:space="0" w:color="auto"/>
            </w:tcBorders>
            <w:shd w:val="clear" w:color="auto" w:fill="auto"/>
            <w:vAlign w:val="center"/>
            <w:hideMark/>
          </w:tcPr>
          <w:p w14:paraId="629E7ED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OB RINŽI KOČEVJE</w:t>
            </w:r>
          </w:p>
        </w:tc>
      </w:tr>
      <w:tr w:rsidR="00E3750C" w:rsidRPr="00415AB3" w14:paraId="65631A0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E76A8C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1373</w:t>
            </w:r>
          </w:p>
        </w:tc>
        <w:tc>
          <w:tcPr>
            <w:tcW w:w="705" w:type="pct"/>
            <w:tcBorders>
              <w:top w:val="nil"/>
              <w:left w:val="nil"/>
              <w:bottom w:val="single" w:sz="4" w:space="0" w:color="auto"/>
              <w:right w:val="single" w:sz="4" w:space="0" w:color="auto"/>
            </w:tcBorders>
            <w:shd w:val="clear" w:color="auto" w:fill="auto"/>
            <w:noWrap/>
            <w:vAlign w:val="center"/>
            <w:hideMark/>
          </w:tcPr>
          <w:p w14:paraId="3934BF6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5089743000</w:t>
            </w:r>
          </w:p>
        </w:tc>
        <w:tc>
          <w:tcPr>
            <w:tcW w:w="547" w:type="pct"/>
            <w:tcBorders>
              <w:top w:val="nil"/>
              <w:left w:val="nil"/>
              <w:bottom w:val="single" w:sz="4" w:space="0" w:color="auto"/>
              <w:right w:val="single" w:sz="4" w:space="0" w:color="auto"/>
            </w:tcBorders>
            <w:shd w:val="clear" w:color="auto" w:fill="auto"/>
            <w:noWrap/>
            <w:vAlign w:val="center"/>
            <w:hideMark/>
          </w:tcPr>
          <w:p w14:paraId="37A0346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21296626</w:t>
            </w:r>
          </w:p>
        </w:tc>
        <w:tc>
          <w:tcPr>
            <w:tcW w:w="3360" w:type="pct"/>
            <w:tcBorders>
              <w:top w:val="nil"/>
              <w:left w:val="nil"/>
              <w:bottom w:val="single" w:sz="4" w:space="0" w:color="auto"/>
              <w:right w:val="single" w:sz="4" w:space="0" w:color="auto"/>
            </w:tcBorders>
            <w:shd w:val="clear" w:color="auto" w:fill="auto"/>
            <w:vAlign w:val="center"/>
            <w:hideMark/>
          </w:tcPr>
          <w:p w14:paraId="180726A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ODRANCI</w:t>
            </w:r>
          </w:p>
        </w:tc>
      </w:tr>
      <w:tr w:rsidR="00E3750C" w:rsidRPr="00415AB3" w14:paraId="2574061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5EA695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1374</w:t>
            </w:r>
          </w:p>
        </w:tc>
        <w:tc>
          <w:tcPr>
            <w:tcW w:w="705" w:type="pct"/>
            <w:tcBorders>
              <w:top w:val="nil"/>
              <w:left w:val="nil"/>
              <w:bottom w:val="single" w:sz="4" w:space="0" w:color="auto"/>
              <w:right w:val="single" w:sz="4" w:space="0" w:color="auto"/>
            </w:tcBorders>
            <w:shd w:val="clear" w:color="auto" w:fill="auto"/>
            <w:noWrap/>
            <w:vAlign w:val="center"/>
            <w:hideMark/>
          </w:tcPr>
          <w:p w14:paraId="2CD71C0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5174309000</w:t>
            </w:r>
          </w:p>
        </w:tc>
        <w:tc>
          <w:tcPr>
            <w:tcW w:w="547" w:type="pct"/>
            <w:tcBorders>
              <w:top w:val="nil"/>
              <w:left w:val="nil"/>
              <w:bottom w:val="single" w:sz="4" w:space="0" w:color="auto"/>
              <w:right w:val="single" w:sz="4" w:space="0" w:color="auto"/>
            </w:tcBorders>
            <w:shd w:val="clear" w:color="auto" w:fill="auto"/>
            <w:noWrap/>
            <w:vAlign w:val="center"/>
            <w:hideMark/>
          </w:tcPr>
          <w:p w14:paraId="535BC71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73389439</w:t>
            </w:r>
          </w:p>
        </w:tc>
        <w:tc>
          <w:tcPr>
            <w:tcW w:w="3360" w:type="pct"/>
            <w:tcBorders>
              <w:top w:val="nil"/>
              <w:left w:val="nil"/>
              <w:bottom w:val="single" w:sz="4" w:space="0" w:color="auto"/>
              <w:right w:val="single" w:sz="4" w:space="0" w:color="auto"/>
            </w:tcBorders>
            <w:shd w:val="clear" w:color="auto" w:fill="auto"/>
            <w:vAlign w:val="center"/>
            <w:hideMark/>
          </w:tcPr>
          <w:p w14:paraId="02F2535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OLGE MEGLIČ</w:t>
            </w:r>
          </w:p>
        </w:tc>
      </w:tr>
      <w:tr w:rsidR="00E3750C" w:rsidRPr="00415AB3" w14:paraId="36DA11F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F1AD09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1375</w:t>
            </w:r>
          </w:p>
        </w:tc>
        <w:tc>
          <w:tcPr>
            <w:tcW w:w="705" w:type="pct"/>
            <w:tcBorders>
              <w:top w:val="nil"/>
              <w:left w:val="nil"/>
              <w:bottom w:val="single" w:sz="4" w:space="0" w:color="auto"/>
              <w:right w:val="single" w:sz="4" w:space="0" w:color="auto"/>
            </w:tcBorders>
            <w:shd w:val="clear" w:color="auto" w:fill="auto"/>
            <w:noWrap/>
            <w:vAlign w:val="center"/>
            <w:hideMark/>
          </w:tcPr>
          <w:p w14:paraId="72C103B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1319841000</w:t>
            </w:r>
          </w:p>
        </w:tc>
        <w:tc>
          <w:tcPr>
            <w:tcW w:w="547" w:type="pct"/>
            <w:tcBorders>
              <w:top w:val="nil"/>
              <w:left w:val="nil"/>
              <w:bottom w:val="single" w:sz="4" w:space="0" w:color="auto"/>
              <w:right w:val="single" w:sz="4" w:space="0" w:color="auto"/>
            </w:tcBorders>
            <w:shd w:val="clear" w:color="auto" w:fill="auto"/>
            <w:noWrap/>
            <w:vAlign w:val="center"/>
            <w:hideMark/>
          </w:tcPr>
          <w:p w14:paraId="71B8CC8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72290480</w:t>
            </w:r>
          </w:p>
        </w:tc>
        <w:tc>
          <w:tcPr>
            <w:tcW w:w="3360" w:type="pct"/>
            <w:tcBorders>
              <w:top w:val="nil"/>
              <w:left w:val="nil"/>
              <w:bottom w:val="single" w:sz="4" w:space="0" w:color="auto"/>
              <w:right w:val="single" w:sz="4" w:space="0" w:color="auto"/>
            </w:tcBorders>
            <w:shd w:val="clear" w:color="auto" w:fill="auto"/>
            <w:vAlign w:val="center"/>
            <w:hideMark/>
          </w:tcPr>
          <w:p w14:paraId="598AA49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OREHEK KRANJ</w:t>
            </w:r>
          </w:p>
        </w:tc>
      </w:tr>
      <w:tr w:rsidR="00E3750C" w:rsidRPr="00415AB3" w14:paraId="4035901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6EF54D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1376</w:t>
            </w:r>
          </w:p>
        </w:tc>
        <w:tc>
          <w:tcPr>
            <w:tcW w:w="705" w:type="pct"/>
            <w:tcBorders>
              <w:top w:val="nil"/>
              <w:left w:val="nil"/>
              <w:bottom w:val="single" w:sz="4" w:space="0" w:color="auto"/>
              <w:right w:val="single" w:sz="4" w:space="0" w:color="auto"/>
            </w:tcBorders>
            <w:shd w:val="clear" w:color="auto" w:fill="auto"/>
            <w:noWrap/>
            <w:vAlign w:val="center"/>
            <w:hideMark/>
          </w:tcPr>
          <w:p w14:paraId="0697AE5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5089875000</w:t>
            </w:r>
          </w:p>
        </w:tc>
        <w:tc>
          <w:tcPr>
            <w:tcW w:w="547" w:type="pct"/>
            <w:tcBorders>
              <w:top w:val="nil"/>
              <w:left w:val="nil"/>
              <w:bottom w:val="single" w:sz="4" w:space="0" w:color="auto"/>
              <w:right w:val="single" w:sz="4" w:space="0" w:color="auto"/>
            </w:tcBorders>
            <w:shd w:val="clear" w:color="auto" w:fill="auto"/>
            <w:noWrap/>
            <w:vAlign w:val="center"/>
            <w:hideMark/>
          </w:tcPr>
          <w:p w14:paraId="040792A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59310197</w:t>
            </w:r>
          </w:p>
        </w:tc>
        <w:tc>
          <w:tcPr>
            <w:tcW w:w="3360" w:type="pct"/>
            <w:tcBorders>
              <w:top w:val="nil"/>
              <w:left w:val="nil"/>
              <w:bottom w:val="single" w:sz="4" w:space="0" w:color="auto"/>
              <w:right w:val="single" w:sz="4" w:space="0" w:color="auto"/>
            </w:tcBorders>
            <w:shd w:val="clear" w:color="auto" w:fill="auto"/>
            <w:vAlign w:val="center"/>
            <w:hideMark/>
          </w:tcPr>
          <w:p w14:paraId="3191C4B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ORMOŽ</w:t>
            </w:r>
          </w:p>
        </w:tc>
      </w:tr>
      <w:tr w:rsidR="00E3750C" w:rsidRPr="00415AB3" w14:paraId="2E4C411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1E52E0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1377</w:t>
            </w:r>
          </w:p>
        </w:tc>
        <w:tc>
          <w:tcPr>
            <w:tcW w:w="705" w:type="pct"/>
            <w:tcBorders>
              <w:top w:val="nil"/>
              <w:left w:val="nil"/>
              <w:bottom w:val="single" w:sz="4" w:space="0" w:color="auto"/>
              <w:right w:val="single" w:sz="4" w:space="0" w:color="auto"/>
            </w:tcBorders>
            <w:shd w:val="clear" w:color="auto" w:fill="auto"/>
            <w:noWrap/>
            <w:vAlign w:val="center"/>
            <w:hideMark/>
          </w:tcPr>
          <w:p w14:paraId="302479F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5088798000</w:t>
            </w:r>
          </w:p>
        </w:tc>
        <w:tc>
          <w:tcPr>
            <w:tcW w:w="547" w:type="pct"/>
            <w:tcBorders>
              <w:top w:val="nil"/>
              <w:left w:val="nil"/>
              <w:bottom w:val="single" w:sz="4" w:space="0" w:color="auto"/>
              <w:right w:val="single" w:sz="4" w:space="0" w:color="auto"/>
            </w:tcBorders>
            <w:shd w:val="clear" w:color="auto" w:fill="auto"/>
            <w:noWrap/>
            <w:vAlign w:val="center"/>
            <w:hideMark/>
          </w:tcPr>
          <w:p w14:paraId="02670ED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81115997</w:t>
            </w:r>
          </w:p>
        </w:tc>
        <w:tc>
          <w:tcPr>
            <w:tcW w:w="3360" w:type="pct"/>
            <w:tcBorders>
              <w:top w:val="nil"/>
              <w:left w:val="nil"/>
              <w:bottom w:val="single" w:sz="4" w:space="0" w:color="auto"/>
              <w:right w:val="single" w:sz="4" w:space="0" w:color="auto"/>
            </w:tcBorders>
            <w:shd w:val="clear" w:color="auto" w:fill="auto"/>
            <w:vAlign w:val="center"/>
            <w:hideMark/>
          </w:tcPr>
          <w:p w14:paraId="46B1CE8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OSKARJA KOVAČIČA</w:t>
            </w:r>
          </w:p>
        </w:tc>
      </w:tr>
      <w:tr w:rsidR="00E3750C" w:rsidRPr="00415AB3" w14:paraId="58616C8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E6A2DD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1378</w:t>
            </w:r>
          </w:p>
        </w:tc>
        <w:tc>
          <w:tcPr>
            <w:tcW w:w="705" w:type="pct"/>
            <w:tcBorders>
              <w:top w:val="nil"/>
              <w:left w:val="nil"/>
              <w:bottom w:val="single" w:sz="4" w:space="0" w:color="auto"/>
              <w:right w:val="single" w:sz="4" w:space="0" w:color="auto"/>
            </w:tcBorders>
            <w:shd w:val="clear" w:color="auto" w:fill="auto"/>
            <w:noWrap/>
            <w:vAlign w:val="center"/>
            <w:hideMark/>
          </w:tcPr>
          <w:p w14:paraId="0A6CFE6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5084822000</w:t>
            </w:r>
          </w:p>
        </w:tc>
        <w:tc>
          <w:tcPr>
            <w:tcW w:w="547" w:type="pct"/>
            <w:tcBorders>
              <w:top w:val="nil"/>
              <w:left w:val="nil"/>
              <w:bottom w:val="single" w:sz="4" w:space="0" w:color="auto"/>
              <w:right w:val="single" w:sz="4" w:space="0" w:color="auto"/>
            </w:tcBorders>
            <w:shd w:val="clear" w:color="auto" w:fill="auto"/>
            <w:noWrap/>
            <w:vAlign w:val="center"/>
            <w:hideMark/>
          </w:tcPr>
          <w:p w14:paraId="126772F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39097293</w:t>
            </w:r>
          </w:p>
        </w:tc>
        <w:tc>
          <w:tcPr>
            <w:tcW w:w="3360" w:type="pct"/>
            <w:tcBorders>
              <w:top w:val="nil"/>
              <w:left w:val="nil"/>
              <w:bottom w:val="single" w:sz="4" w:space="0" w:color="auto"/>
              <w:right w:val="single" w:sz="4" w:space="0" w:color="auto"/>
            </w:tcBorders>
            <w:shd w:val="clear" w:color="auto" w:fill="auto"/>
            <w:vAlign w:val="center"/>
            <w:hideMark/>
          </w:tcPr>
          <w:p w14:paraId="25B2D35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OSKARJA KOVAČIČA ŠKOFIJE</w:t>
            </w:r>
          </w:p>
        </w:tc>
      </w:tr>
      <w:tr w:rsidR="00E3750C" w:rsidRPr="00415AB3" w14:paraId="6568859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C8CF69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1379</w:t>
            </w:r>
          </w:p>
        </w:tc>
        <w:tc>
          <w:tcPr>
            <w:tcW w:w="705" w:type="pct"/>
            <w:tcBorders>
              <w:top w:val="nil"/>
              <w:left w:val="nil"/>
              <w:bottom w:val="single" w:sz="4" w:space="0" w:color="auto"/>
              <w:right w:val="single" w:sz="4" w:space="0" w:color="auto"/>
            </w:tcBorders>
            <w:shd w:val="clear" w:color="auto" w:fill="auto"/>
            <w:noWrap/>
            <w:vAlign w:val="center"/>
            <w:hideMark/>
          </w:tcPr>
          <w:p w14:paraId="36DCFB9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5086264000</w:t>
            </w:r>
          </w:p>
        </w:tc>
        <w:tc>
          <w:tcPr>
            <w:tcW w:w="547" w:type="pct"/>
            <w:tcBorders>
              <w:top w:val="nil"/>
              <w:left w:val="nil"/>
              <w:bottom w:val="single" w:sz="4" w:space="0" w:color="auto"/>
              <w:right w:val="single" w:sz="4" w:space="0" w:color="auto"/>
            </w:tcBorders>
            <w:shd w:val="clear" w:color="auto" w:fill="auto"/>
            <w:noWrap/>
            <w:vAlign w:val="center"/>
            <w:hideMark/>
          </w:tcPr>
          <w:p w14:paraId="56AD7A1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95753443</w:t>
            </w:r>
          </w:p>
        </w:tc>
        <w:tc>
          <w:tcPr>
            <w:tcW w:w="3360" w:type="pct"/>
            <w:tcBorders>
              <w:top w:val="nil"/>
              <w:left w:val="nil"/>
              <w:bottom w:val="single" w:sz="4" w:space="0" w:color="auto"/>
              <w:right w:val="single" w:sz="4" w:space="0" w:color="auto"/>
            </w:tcBorders>
            <w:shd w:val="clear" w:color="auto" w:fill="auto"/>
            <w:vAlign w:val="center"/>
            <w:hideMark/>
          </w:tcPr>
          <w:p w14:paraId="5830DBA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OTOČEC</w:t>
            </w:r>
          </w:p>
        </w:tc>
      </w:tr>
      <w:tr w:rsidR="00E3750C" w:rsidRPr="00415AB3" w14:paraId="02C18A5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5D8DFF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1380</w:t>
            </w:r>
          </w:p>
        </w:tc>
        <w:tc>
          <w:tcPr>
            <w:tcW w:w="705" w:type="pct"/>
            <w:tcBorders>
              <w:top w:val="nil"/>
              <w:left w:val="nil"/>
              <w:bottom w:val="single" w:sz="4" w:space="0" w:color="auto"/>
              <w:right w:val="single" w:sz="4" w:space="0" w:color="auto"/>
            </w:tcBorders>
            <w:shd w:val="clear" w:color="auto" w:fill="auto"/>
            <w:noWrap/>
            <w:vAlign w:val="center"/>
            <w:hideMark/>
          </w:tcPr>
          <w:p w14:paraId="1C15143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5012554000</w:t>
            </w:r>
          </w:p>
        </w:tc>
        <w:tc>
          <w:tcPr>
            <w:tcW w:w="547" w:type="pct"/>
            <w:tcBorders>
              <w:top w:val="nil"/>
              <w:left w:val="nil"/>
              <w:bottom w:val="single" w:sz="4" w:space="0" w:color="auto"/>
              <w:right w:val="single" w:sz="4" w:space="0" w:color="auto"/>
            </w:tcBorders>
            <w:shd w:val="clear" w:color="auto" w:fill="auto"/>
            <w:noWrap/>
            <w:vAlign w:val="center"/>
            <w:hideMark/>
          </w:tcPr>
          <w:p w14:paraId="6FB4999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29406285</w:t>
            </w:r>
          </w:p>
        </w:tc>
        <w:tc>
          <w:tcPr>
            <w:tcW w:w="3360" w:type="pct"/>
            <w:tcBorders>
              <w:top w:val="nil"/>
              <w:left w:val="nil"/>
              <w:bottom w:val="single" w:sz="4" w:space="0" w:color="auto"/>
              <w:right w:val="single" w:sz="4" w:space="0" w:color="auto"/>
            </w:tcBorders>
            <w:shd w:val="clear" w:color="auto" w:fill="auto"/>
            <w:vAlign w:val="center"/>
            <w:hideMark/>
          </w:tcPr>
          <w:p w14:paraId="7E75A82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PARTIZANSKA BOLNIŠNICA JESEN TINJE</w:t>
            </w:r>
          </w:p>
        </w:tc>
      </w:tr>
      <w:tr w:rsidR="00E3750C" w:rsidRPr="00415AB3" w14:paraId="5D4E049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5E3C8F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1381</w:t>
            </w:r>
          </w:p>
        </w:tc>
        <w:tc>
          <w:tcPr>
            <w:tcW w:w="705" w:type="pct"/>
            <w:tcBorders>
              <w:top w:val="nil"/>
              <w:left w:val="nil"/>
              <w:bottom w:val="single" w:sz="4" w:space="0" w:color="auto"/>
              <w:right w:val="single" w:sz="4" w:space="0" w:color="auto"/>
            </w:tcBorders>
            <w:shd w:val="clear" w:color="auto" w:fill="auto"/>
            <w:noWrap/>
            <w:vAlign w:val="center"/>
            <w:hideMark/>
          </w:tcPr>
          <w:p w14:paraId="1EA0DA5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5088569000</w:t>
            </w:r>
          </w:p>
        </w:tc>
        <w:tc>
          <w:tcPr>
            <w:tcW w:w="547" w:type="pct"/>
            <w:tcBorders>
              <w:top w:val="nil"/>
              <w:left w:val="nil"/>
              <w:bottom w:val="single" w:sz="4" w:space="0" w:color="auto"/>
              <w:right w:val="single" w:sz="4" w:space="0" w:color="auto"/>
            </w:tcBorders>
            <w:shd w:val="clear" w:color="auto" w:fill="auto"/>
            <w:noWrap/>
            <w:vAlign w:val="center"/>
            <w:hideMark/>
          </w:tcPr>
          <w:p w14:paraId="1BE5E23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94658609</w:t>
            </w:r>
          </w:p>
        </w:tc>
        <w:tc>
          <w:tcPr>
            <w:tcW w:w="3360" w:type="pct"/>
            <w:tcBorders>
              <w:top w:val="nil"/>
              <w:left w:val="nil"/>
              <w:bottom w:val="single" w:sz="4" w:space="0" w:color="auto"/>
              <w:right w:val="single" w:sz="4" w:space="0" w:color="auto"/>
            </w:tcBorders>
            <w:shd w:val="clear" w:color="auto" w:fill="auto"/>
            <w:vAlign w:val="center"/>
            <w:hideMark/>
          </w:tcPr>
          <w:p w14:paraId="5D2486A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PETROVČE</w:t>
            </w:r>
          </w:p>
        </w:tc>
      </w:tr>
      <w:tr w:rsidR="00E3750C" w:rsidRPr="00415AB3" w14:paraId="26B5147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511F0F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1718</w:t>
            </w:r>
          </w:p>
        </w:tc>
        <w:tc>
          <w:tcPr>
            <w:tcW w:w="705" w:type="pct"/>
            <w:tcBorders>
              <w:top w:val="nil"/>
              <w:left w:val="nil"/>
              <w:bottom w:val="single" w:sz="4" w:space="0" w:color="auto"/>
              <w:right w:val="single" w:sz="4" w:space="0" w:color="auto"/>
            </w:tcBorders>
            <w:shd w:val="clear" w:color="auto" w:fill="auto"/>
            <w:noWrap/>
            <w:vAlign w:val="center"/>
            <w:hideMark/>
          </w:tcPr>
          <w:p w14:paraId="6C56EA3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5084849000</w:t>
            </w:r>
          </w:p>
        </w:tc>
        <w:tc>
          <w:tcPr>
            <w:tcW w:w="547" w:type="pct"/>
            <w:tcBorders>
              <w:top w:val="nil"/>
              <w:left w:val="nil"/>
              <w:bottom w:val="single" w:sz="4" w:space="0" w:color="auto"/>
              <w:right w:val="single" w:sz="4" w:space="0" w:color="auto"/>
            </w:tcBorders>
            <w:shd w:val="clear" w:color="auto" w:fill="auto"/>
            <w:noWrap/>
            <w:vAlign w:val="center"/>
            <w:hideMark/>
          </w:tcPr>
          <w:p w14:paraId="5D64CED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41881761</w:t>
            </w:r>
          </w:p>
        </w:tc>
        <w:tc>
          <w:tcPr>
            <w:tcW w:w="3360" w:type="pct"/>
            <w:tcBorders>
              <w:top w:val="nil"/>
              <w:left w:val="nil"/>
              <w:bottom w:val="single" w:sz="4" w:space="0" w:color="auto"/>
              <w:right w:val="single" w:sz="4" w:space="0" w:color="auto"/>
            </w:tcBorders>
            <w:shd w:val="clear" w:color="auto" w:fill="auto"/>
            <w:vAlign w:val="center"/>
            <w:hideMark/>
          </w:tcPr>
          <w:p w14:paraId="7F60269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PIER PAOLO VERGERIO IL VECCHIO KOPER</w:t>
            </w:r>
          </w:p>
        </w:tc>
      </w:tr>
      <w:tr w:rsidR="00E3750C" w:rsidRPr="00415AB3" w14:paraId="5E647EB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BDF20A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1382</w:t>
            </w:r>
          </w:p>
        </w:tc>
        <w:tc>
          <w:tcPr>
            <w:tcW w:w="705" w:type="pct"/>
            <w:tcBorders>
              <w:top w:val="nil"/>
              <w:left w:val="nil"/>
              <w:bottom w:val="single" w:sz="4" w:space="0" w:color="auto"/>
              <w:right w:val="single" w:sz="4" w:space="0" w:color="auto"/>
            </w:tcBorders>
            <w:shd w:val="clear" w:color="auto" w:fill="auto"/>
            <w:noWrap/>
            <w:vAlign w:val="center"/>
            <w:hideMark/>
          </w:tcPr>
          <w:p w14:paraId="09F37C9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5084393000</w:t>
            </w:r>
          </w:p>
        </w:tc>
        <w:tc>
          <w:tcPr>
            <w:tcW w:w="547" w:type="pct"/>
            <w:tcBorders>
              <w:top w:val="nil"/>
              <w:left w:val="nil"/>
              <w:bottom w:val="single" w:sz="4" w:space="0" w:color="auto"/>
              <w:right w:val="single" w:sz="4" w:space="0" w:color="auto"/>
            </w:tcBorders>
            <w:shd w:val="clear" w:color="auto" w:fill="auto"/>
            <w:noWrap/>
            <w:vAlign w:val="center"/>
            <w:hideMark/>
          </w:tcPr>
          <w:p w14:paraId="5CFF2D8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52479668</w:t>
            </w:r>
          </w:p>
        </w:tc>
        <w:tc>
          <w:tcPr>
            <w:tcW w:w="3360" w:type="pct"/>
            <w:tcBorders>
              <w:top w:val="nil"/>
              <w:left w:val="nil"/>
              <w:bottom w:val="single" w:sz="4" w:space="0" w:color="auto"/>
              <w:right w:val="single" w:sz="4" w:space="0" w:color="auto"/>
            </w:tcBorders>
            <w:shd w:val="clear" w:color="auto" w:fill="auto"/>
            <w:vAlign w:val="center"/>
            <w:hideMark/>
          </w:tcPr>
          <w:p w14:paraId="4482863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PIRNIČE</w:t>
            </w:r>
          </w:p>
        </w:tc>
      </w:tr>
      <w:tr w:rsidR="00E3750C" w:rsidRPr="00415AB3" w14:paraId="4599558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05F1BC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1383</w:t>
            </w:r>
          </w:p>
        </w:tc>
        <w:tc>
          <w:tcPr>
            <w:tcW w:w="705" w:type="pct"/>
            <w:tcBorders>
              <w:top w:val="nil"/>
              <w:left w:val="nil"/>
              <w:bottom w:val="single" w:sz="4" w:space="0" w:color="auto"/>
              <w:right w:val="single" w:sz="4" w:space="0" w:color="auto"/>
            </w:tcBorders>
            <w:shd w:val="clear" w:color="auto" w:fill="auto"/>
            <w:noWrap/>
            <w:vAlign w:val="center"/>
            <w:hideMark/>
          </w:tcPr>
          <w:p w14:paraId="6BB9C2E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5089212000</w:t>
            </w:r>
          </w:p>
        </w:tc>
        <w:tc>
          <w:tcPr>
            <w:tcW w:w="547" w:type="pct"/>
            <w:tcBorders>
              <w:top w:val="nil"/>
              <w:left w:val="nil"/>
              <w:bottom w:val="single" w:sz="4" w:space="0" w:color="auto"/>
              <w:right w:val="single" w:sz="4" w:space="0" w:color="auto"/>
            </w:tcBorders>
            <w:shd w:val="clear" w:color="auto" w:fill="auto"/>
            <w:noWrap/>
            <w:vAlign w:val="center"/>
            <w:hideMark/>
          </w:tcPr>
          <w:p w14:paraId="50775D2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42909872</w:t>
            </w:r>
          </w:p>
        </w:tc>
        <w:tc>
          <w:tcPr>
            <w:tcW w:w="3360" w:type="pct"/>
            <w:tcBorders>
              <w:top w:val="nil"/>
              <w:left w:val="nil"/>
              <w:bottom w:val="single" w:sz="4" w:space="0" w:color="auto"/>
              <w:right w:val="single" w:sz="4" w:space="0" w:color="auto"/>
            </w:tcBorders>
            <w:shd w:val="clear" w:color="auto" w:fill="auto"/>
            <w:vAlign w:val="center"/>
            <w:hideMark/>
          </w:tcPr>
          <w:p w14:paraId="0E3C97D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PIVKA</w:t>
            </w:r>
          </w:p>
        </w:tc>
      </w:tr>
      <w:tr w:rsidR="00E3750C" w:rsidRPr="00415AB3" w14:paraId="460BD72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67276F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1384</w:t>
            </w:r>
          </w:p>
        </w:tc>
        <w:tc>
          <w:tcPr>
            <w:tcW w:w="705" w:type="pct"/>
            <w:tcBorders>
              <w:top w:val="nil"/>
              <w:left w:val="nil"/>
              <w:bottom w:val="single" w:sz="4" w:space="0" w:color="auto"/>
              <w:right w:val="single" w:sz="4" w:space="0" w:color="auto"/>
            </w:tcBorders>
            <w:shd w:val="clear" w:color="auto" w:fill="auto"/>
            <w:noWrap/>
            <w:vAlign w:val="center"/>
            <w:hideMark/>
          </w:tcPr>
          <w:p w14:paraId="104A4BD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5089450000</w:t>
            </w:r>
          </w:p>
        </w:tc>
        <w:tc>
          <w:tcPr>
            <w:tcW w:w="547" w:type="pct"/>
            <w:tcBorders>
              <w:top w:val="nil"/>
              <w:left w:val="nil"/>
              <w:bottom w:val="single" w:sz="4" w:space="0" w:color="auto"/>
              <w:right w:val="single" w:sz="4" w:space="0" w:color="auto"/>
            </w:tcBorders>
            <w:shd w:val="clear" w:color="auto" w:fill="auto"/>
            <w:noWrap/>
            <w:vAlign w:val="center"/>
            <w:hideMark/>
          </w:tcPr>
          <w:p w14:paraId="0D4CC28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18080774</w:t>
            </w:r>
          </w:p>
        </w:tc>
        <w:tc>
          <w:tcPr>
            <w:tcW w:w="3360" w:type="pct"/>
            <w:tcBorders>
              <w:top w:val="nil"/>
              <w:left w:val="nil"/>
              <w:bottom w:val="single" w:sz="4" w:space="0" w:color="auto"/>
              <w:right w:val="single" w:sz="4" w:space="0" w:color="auto"/>
            </w:tcBorders>
            <w:shd w:val="clear" w:color="auto" w:fill="auto"/>
            <w:vAlign w:val="center"/>
            <w:hideMark/>
          </w:tcPr>
          <w:p w14:paraId="54CFE18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PLANINA PRI SEVNICI</w:t>
            </w:r>
          </w:p>
        </w:tc>
      </w:tr>
      <w:tr w:rsidR="00E3750C" w:rsidRPr="00415AB3" w14:paraId="3A0186C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F48D3B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1385</w:t>
            </w:r>
          </w:p>
        </w:tc>
        <w:tc>
          <w:tcPr>
            <w:tcW w:w="705" w:type="pct"/>
            <w:tcBorders>
              <w:top w:val="nil"/>
              <w:left w:val="nil"/>
              <w:bottom w:val="single" w:sz="4" w:space="0" w:color="auto"/>
              <w:right w:val="single" w:sz="4" w:space="0" w:color="auto"/>
            </w:tcBorders>
            <w:shd w:val="clear" w:color="auto" w:fill="auto"/>
            <w:noWrap/>
            <w:vAlign w:val="center"/>
            <w:hideMark/>
          </w:tcPr>
          <w:p w14:paraId="37EF25A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5087716000</w:t>
            </w:r>
          </w:p>
        </w:tc>
        <w:tc>
          <w:tcPr>
            <w:tcW w:w="547" w:type="pct"/>
            <w:tcBorders>
              <w:top w:val="nil"/>
              <w:left w:val="nil"/>
              <w:bottom w:val="single" w:sz="4" w:space="0" w:color="auto"/>
              <w:right w:val="single" w:sz="4" w:space="0" w:color="auto"/>
            </w:tcBorders>
            <w:shd w:val="clear" w:color="auto" w:fill="auto"/>
            <w:noWrap/>
            <w:vAlign w:val="center"/>
            <w:hideMark/>
          </w:tcPr>
          <w:p w14:paraId="6C84D33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67612261</w:t>
            </w:r>
          </w:p>
        </w:tc>
        <w:tc>
          <w:tcPr>
            <w:tcW w:w="3360" w:type="pct"/>
            <w:tcBorders>
              <w:top w:val="nil"/>
              <w:left w:val="nil"/>
              <w:bottom w:val="single" w:sz="4" w:space="0" w:color="auto"/>
              <w:right w:val="single" w:sz="4" w:space="0" w:color="auto"/>
            </w:tcBorders>
            <w:shd w:val="clear" w:color="auto" w:fill="auto"/>
            <w:vAlign w:val="center"/>
            <w:hideMark/>
          </w:tcPr>
          <w:p w14:paraId="3EA77A0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POD GORO</w:t>
            </w:r>
          </w:p>
        </w:tc>
      </w:tr>
      <w:tr w:rsidR="00E3750C" w:rsidRPr="00415AB3" w14:paraId="7C567FF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79B91F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1386</w:t>
            </w:r>
          </w:p>
        </w:tc>
        <w:tc>
          <w:tcPr>
            <w:tcW w:w="705" w:type="pct"/>
            <w:tcBorders>
              <w:top w:val="nil"/>
              <w:left w:val="nil"/>
              <w:bottom w:val="single" w:sz="4" w:space="0" w:color="auto"/>
              <w:right w:val="single" w:sz="4" w:space="0" w:color="auto"/>
            </w:tcBorders>
            <w:shd w:val="clear" w:color="auto" w:fill="auto"/>
            <w:noWrap/>
            <w:vAlign w:val="center"/>
            <w:hideMark/>
          </w:tcPr>
          <w:p w14:paraId="563CD57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5086051000</w:t>
            </w:r>
          </w:p>
        </w:tc>
        <w:tc>
          <w:tcPr>
            <w:tcW w:w="547" w:type="pct"/>
            <w:tcBorders>
              <w:top w:val="nil"/>
              <w:left w:val="nil"/>
              <w:bottom w:val="single" w:sz="4" w:space="0" w:color="auto"/>
              <w:right w:val="single" w:sz="4" w:space="0" w:color="auto"/>
            </w:tcBorders>
            <w:shd w:val="clear" w:color="auto" w:fill="auto"/>
            <w:noWrap/>
            <w:vAlign w:val="center"/>
            <w:hideMark/>
          </w:tcPr>
          <w:p w14:paraId="76D5999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57625166</w:t>
            </w:r>
          </w:p>
        </w:tc>
        <w:tc>
          <w:tcPr>
            <w:tcW w:w="3360" w:type="pct"/>
            <w:tcBorders>
              <w:top w:val="nil"/>
              <w:left w:val="nil"/>
              <w:bottom w:val="single" w:sz="4" w:space="0" w:color="auto"/>
              <w:right w:val="single" w:sz="4" w:space="0" w:color="auto"/>
            </w:tcBorders>
            <w:shd w:val="clear" w:color="auto" w:fill="auto"/>
            <w:vAlign w:val="center"/>
            <w:hideMark/>
          </w:tcPr>
          <w:p w14:paraId="7B72C0A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PODBOČJE</w:t>
            </w:r>
          </w:p>
        </w:tc>
      </w:tr>
      <w:tr w:rsidR="00E3750C" w:rsidRPr="00415AB3" w14:paraId="55F987E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D772B5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1387</w:t>
            </w:r>
          </w:p>
        </w:tc>
        <w:tc>
          <w:tcPr>
            <w:tcW w:w="705" w:type="pct"/>
            <w:tcBorders>
              <w:top w:val="nil"/>
              <w:left w:val="nil"/>
              <w:bottom w:val="single" w:sz="4" w:space="0" w:color="auto"/>
              <w:right w:val="single" w:sz="4" w:space="0" w:color="auto"/>
            </w:tcBorders>
            <w:shd w:val="clear" w:color="auto" w:fill="auto"/>
            <w:noWrap/>
            <w:vAlign w:val="center"/>
            <w:hideMark/>
          </w:tcPr>
          <w:p w14:paraId="7FC5E2D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5087945000</w:t>
            </w:r>
          </w:p>
        </w:tc>
        <w:tc>
          <w:tcPr>
            <w:tcW w:w="547" w:type="pct"/>
            <w:tcBorders>
              <w:top w:val="nil"/>
              <w:left w:val="nil"/>
              <w:bottom w:val="single" w:sz="4" w:space="0" w:color="auto"/>
              <w:right w:val="single" w:sz="4" w:space="0" w:color="auto"/>
            </w:tcBorders>
            <w:shd w:val="clear" w:color="auto" w:fill="auto"/>
            <w:noWrap/>
            <w:vAlign w:val="center"/>
            <w:hideMark/>
          </w:tcPr>
          <w:p w14:paraId="659C748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96126043</w:t>
            </w:r>
          </w:p>
        </w:tc>
        <w:tc>
          <w:tcPr>
            <w:tcW w:w="3360" w:type="pct"/>
            <w:tcBorders>
              <w:top w:val="nil"/>
              <w:left w:val="nil"/>
              <w:bottom w:val="single" w:sz="4" w:space="0" w:color="auto"/>
              <w:right w:val="single" w:sz="4" w:space="0" w:color="auto"/>
            </w:tcBorders>
            <w:shd w:val="clear" w:color="auto" w:fill="auto"/>
            <w:vAlign w:val="center"/>
            <w:hideMark/>
          </w:tcPr>
          <w:p w14:paraId="3E30174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PODČETRTEK</w:t>
            </w:r>
          </w:p>
        </w:tc>
      </w:tr>
      <w:tr w:rsidR="00E3750C" w:rsidRPr="00415AB3" w14:paraId="3AA500E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0E0BBC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1388</w:t>
            </w:r>
          </w:p>
        </w:tc>
        <w:tc>
          <w:tcPr>
            <w:tcW w:w="705" w:type="pct"/>
            <w:tcBorders>
              <w:top w:val="nil"/>
              <w:left w:val="nil"/>
              <w:bottom w:val="single" w:sz="4" w:space="0" w:color="auto"/>
              <w:right w:val="single" w:sz="4" w:space="0" w:color="auto"/>
            </w:tcBorders>
            <w:shd w:val="clear" w:color="auto" w:fill="auto"/>
            <w:noWrap/>
            <w:vAlign w:val="center"/>
            <w:hideMark/>
          </w:tcPr>
          <w:p w14:paraId="2891C1D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5086019000</w:t>
            </w:r>
          </w:p>
        </w:tc>
        <w:tc>
          <w:tcPr>
            <w:tcW w:w="547" w:type="pct"/>
            <w:tcBorders>
              <w:top w:val="nil"/>
              <w:left w:val="nil"/>
              <w:bottom w:val="single" w:sz="4" w:space="0" w:color="auto"/>
              <w:right w:val="single" w:sz="4" w:space="0" w:color="auto"/>
            </w:tcBorders>
            <w:shd w:val="clear" w:color="auto" w:fill="auto"/>
            <w:noWrap/>
            <w:vAlign w:val="center"/>
            <w:hideMark/>
          </w:tcPr>
          <w:p w14:paraId="7AC59C6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12391263</w:t>
            </w:r>
          </w:p>
        </w:tc>
        <w:tc>
          <w:tcPr>
            <w:tcW w:w="3360" w:type="pct"/>
            <w:tcBorders>
              <w:top w:val="nil"/>
              <w:left w:val="nil"/>
              <w:bottom w:val="single" w:sz="4" w:space="0" w:color="auto"/>
              <w:right w:val="single" w:sz="4" w:space="0" w:color="auto"/>
            </w:tcBorders>
            <w:shd w:val="clear" w:color="auto" w:fill="auto"/>
            <w:vAlign w:val="center"/>
            <w:hideMark/>
          </w:tcPr>
          <w:p w14:paraId="0A0D488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PODGORA KUTEŽEVO</w:t>
            </w:r>
          </w:p>
        </w:tc>
      </w:tr>
      <w:tr w:rsidR="00E3750C" w:rsidRPr="00415AB3" w14:paraId="5CB5FD7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720297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1389</w:t>
            </w:r>
          </w:p>
        </w:tc>
        <w:tc>
          <w:tcPr>
            <w:tcW w:w="705" w:type="pct"/>
            <w:tcBorders>
              <w:top w:val="nil"/>
              <w:left w:val="nil"/>
              <w:bottom w:val="single" w:sz="4" w:space="0" w:color="auto"/>
              <w:right w:val="single" w:sz="4" w:space="0" w:color="auto"/>
            </w:tcBorders>
            <w:shd w:val="clear" w:color="auto" w:fill="auto"/>
            <w:noWrap/>
            <w:vAlign w:val="center"/>
            <w:hideMark/>
          </w:tcPr>
          <w:p w14:paraId="57E3464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5087112000</w:t>
            </w:r>
          </w:p>
        </w:tc>
        <w:tc>
          <w:tcPr>
            <w:tcW w:w="547" w:type="pct"/>
            <w:tcBorders>
              <w:top w:val="nil"/>
              <w:left w:val="nil"/>
              <w:bottom w:val="single" w:sz="4" w:space="0" w:color="auto"/>
              <w:right w:val="single" w:sz="4" w:space="0" w:color="auto"/>
            </w:tcBorders>
            <w:shd w:val="clear" w:color="auto" w:fill="auto"/>
            <w:noWrap/>
            <w:vAlign w:val="center"/>
            <w:hideMark/>
          </w:tcPr>
          <w:p w14:paraId="450C8E7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88073106</w:t>
            </w:r>
          </w:p>
        </w:tc>
        <w:tc>
          <w:tcPr>
            <w:tcW w:w="3360" w:type="pct"/>
            <w:tcBorders>
              <w:top w:val="nil"/>
              <w:left w:val="nil"/>
              <w:bottom w:val="single" w:sz="4" w:space="0" w:color="auto"/>
              <w:right w:val="single" w:sz="4" w:space="0" w:color="auto"/>
            </w:tcBorders>
            <w:shd w:val="clear" w:color="auto" w:fill="auto"/>
            <w:vAlign w:val="center"/>
            <w:hideMark/>
          </w:tcPr>
          <w:p w14:paraId="0DC1BE8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PODLEHNIK</w:t>
            </w:r>
          </w:p>
        </w:tc>
      </w:tr>
      <w:tr w:rsidR="00E3750C" w:rsidRPr="00415AB3" w14:paraId="18B0519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CCA2E6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1390</w:t>
            </w:r>
          </w:p>
        </w:tc>
        <w:tc>
          <w:tcPr>
            <w:tcW w:w="705" w:type="pct"/>
            <w:tcBorders>
              <w:top w:val="nil"/>
              <w:left w:val="nil"/>
              <w:bottom w:val="single" w:sz="4" w:space="0" w:color="auto"/>
              <w:right w:val="single" w:sz="4" w:space="0" w:color="auto"/>
            </w:tcBorders>
            <w:shd w:val="clear" w:color="auto" w:fill="auto"/>
            <w:noWrap/>
            <w:vAlign w:val="center"/>
            <w:hideMark/>
          </w:tcPr>
          <w:p w14:paraId="0361F8C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5085543000</w:t>
            </w:r>
          </w:p>
        </w:tc>
        <w:tc>
          <w:tcPr>
            <w:tcW w:w="547" w:type="pct"/>
            <w:tcBorders>
              <w:top w:val="nil"/>
              <w:left w:val="nil"/>
              <w:bottom w:val="single" w:sz="4" w:space="0" w:color="auto"/>
              <w:right w:val="single" w:sz="4" w:space="0" w:color="auto"/>
            </w:tcBorders>
            <w:shd w:val="clear" w:color="auto" w:fill="auto"/>
            <w:noWrap/>
            <w:vAlign w:val="center"/>
            <w:hideMark/>
          </w:tcPr>
          <w:p w14:paraId="6091FDA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68512902</w:t>
            </w:r>
          </w:p>
        </w:tc>
        <w:tc>
          <w:tcPr>
            <w:tcW w:w="3360" w:type="pct"/>
            <w:tcBorders>
              <w:top w:val="nil"/>
              <w:left w:val="nil"/>
              <w:bottom w:val="single" w:sz="4" w:space="0" w:color="auto"/>
              <w:right w:val="single" w:sz="4" w:space="0" w:color="auto"/>
            </w:tcBorders>
            <w:shd w:val="clear" w:color="auto" w:fill="auto"/>
            <w:vAlign w:val="center"/>
            <w:hideMark/>
          </w:tcPr>
          <w:p w14:paraId="5BBDBAB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PODZEMELJ</w:t>
            </w:r>
          </w:p>
        </w:tc>
      </w:tr>
      <w:tr w:rsidR="00E3750C" w:rsidRPr="00415AB3" w14:paraId="7372873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F373BF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1391</w:t>
            </w:r>
          </w:p>
        </w:tc>
        <w:tc>
          <w:tcPr>
            <w:tcW w:w="705" w:type="pct"/>
            <w:tcBorders>
              <w:top w:val="nil"/>
              <w:left w:val="nil"/>
              <w:bottom w:val="single" w:sz="4" w:space="0" w:color="auto"/>
              <w:right w:val="single" w:sz="4" w:space="0" w:color="auto"/>
            </w:tcBorders>
            <w:shd w:val="clear" w:color="auto" w:fill="auto"/>
            <w:noWrap/>
            <w:vAlign w:val="center"/>
            <w:hideMark/>
          </w:tcPr>
          <w:p w14:paraId="450537D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5087660000</w:t>
            </w:r>
          </w:p>
        </w:tc>
        <w:tc>
          <w:tcPr>
            <w:tcW w:w="547" w:type="pct"/>
            <w:tcBorders>
              <w:top w:val="nil"/>
              <w:left w:val="nil"/>
              <w:bottom w:val="single" w:sz="4" w:space="0" w:color="auto"/>
              <w:right w:val="single" w:sz="4" w:space="0" w:color="auto"/>
            </w:tcBorders>
            <w:shd w:val="clear" w:color="auto" w:fill="auto"/>
            <w:noWrap/>
            <w:vAlign w:val="center"/>
            <w:hideMark/>
          </w:tcPr>
          <w:p w14:paraId="743C38A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12215279</w:t>
            </w:r>
          </w:p>
        </w:tc>
        <w:tc>
          <w:tcPr>
            <w:tcW w:w="3360" w:type="pct"/>
            <w:tcBorders>
              <w:top w:val="nil"/>
              <w:left w:val="nil"/>
              <w:bottom w:val="single" w:sz="4" w:space="0" w:color="auto"/>
              <w:right w:val="single" w:sz="4" w:space="0" w:color="auto"/>
            </w:tcBorders>
            <w:shd w:val="clear" w:color="auto" w:fill="auto"/>
            <w:vAlign w:val="center"/>
            <w:hideMark/>
          </w:tcPr>
          <w:p w14:paraId="4555463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POHORSKEGA BATALJONA OPLOTNICA</w:t>
            </w:r>
          </w:p>
        </w:tc>
      </w:tr>
      <w:tr w:rsidR="00E3750C" w:rsidRPr="00415AB3" w14:paraId="5EFABC1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BBA126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1392</w:t>
            </w:r>
          </w:p>
        </w:tc>
        <w:tc>
          <w:tcPr>
            <w:tcW w:w="705" w:type="pct"/>
            <w:tcBorders>
              <w:top w:val="nil"/>
              <w:left w:val="nil"/>
              <w:bottom w:val="single" w:sz="4" w:space="0" w:color="auto"/>
              <w:right w:val="single" w:sz="4" w:space="0" w:color="auto"/>
            </w:tcBorders>
            <w:shd w:val="clear" w:color="auto" w:fill="auto"/>
            <w:noWrap/>
            <w:vAlign w:val="center"/>
            <w:hideMark/>
          </w:tcPr>
          <w:p w14:paraId="7C61204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5087686000</w:t>
            </w:r>
          </w:p>
        </w:tc>
        <w:tc>
          <w:tcPr>
            <w:tcW w:w="547" w:type="pct"/>
            <w:tcBorders>
              <w:top w:val="nil"/>
              <w:left w:val="nil"/>
              <w:bottom w:val="single" w:sz="4" w:space="0" w:color="auto"/>
              <w:right w:val="single" w:sz="4" w:space="0" w:color="auto"/>
            </w:tcBorders>
            <w:shd w:val="clear" w:color="auto" w:fill="auto"/>
            <w:noWrap/>
            <w:vAlign w:val="center"/>
            <w:hideMark/>
          </w:tcPr>
          <w:p w14:paraId="352057B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48238112</w:t>
            </w:r>
          </w:p>
        </w:tc>
        <w:tc>
          <w:tcPr>
            <w:tcW w:w="3360" w:type="pct"/>
            <w:tcBorders>
              <w:top w:val="nil"/>
              <w:left w:val="nil"/>
              <w:bottom w:val="single" w:sz="4" w:space="0" w:color="auto"/>
              <w:right w:val="single" w:sz="4" w:space="0" w:color="auto"/>
            </w:tcBorders>
            <w:shd w:val="clear" w:color="auto" w:fill="auto"/>
            <w:vAlign w:val="center"/>
            <w:hideMark/>
          </w:tcPr>
          <w:p w14:paraId="34D15D7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POHORSKEGA ODREDA SLOVENSKA BISTRICA</w:t>
            </w:r>
          </w:p>
        </w:tc>
      </w:tr>
      <w:tr w:rsidR="00E3750C" w:rsidRPr="00415AB3" w14:paraId="1455996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40E00B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1393</w:t>
            </w:r>
          </w:p>
        </w:tc>
        <w:tc>
          <w:tcPr>
            <w:tcW w:w="705" w:type="pct"/>
            <w:tcBorders>
              <w:top w:val="nil"/>
              <w:left w:val="nil"/>
              <w:bottom w:val="single" w:sz="4" w:space="0" w:color="auto"/>
              <w:right w:val="single" w:sz="4" w:space="0" w:color="auto"/>
            </w:tcBorders>
            <w:shd w:val="clear" w:color="auto" w:fill="auto"/>
            <w:noWrap/>
            <w:vAlign w:val="center"/>
            <w:hideMark/>
          </w:tcPr>
          <w:p w14:paraId="383D4D5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5084466000</w:t>
            </w:r>
          </w:p>
        </w:tc>
        <w:tc>
          <w:tcPr>
            <w:tcW w:w="547" w:type="pct"/>
            <w:tcBorders>
              <w:top w:val="nil"/>
              <w:left w:val="nil"/>
              <w:bottom w:val="single" w:sz="4" w:space="0" w:color="auto"/>
              <w:right w:val="single" w:sz="4" w:space="0" w:color="auto"/>
            </w:tcBorders>
            <w:shd w:val="clear" w:color="auto" w:fill="auto"/>
            <w:noWrap/>
            <w:vAlign w:val="center"/>
            <w:hideMark/>
          </w:tcPr>
          <w:p w14:paraId="22CC973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36290530</w:t>
            </w:r>
          </w:p>
        </w:tc>
        <w:tc>
          <w:tcPr>
            <w:tcW w:w="3360" w:type="pct"/>
            <w:tcBorders>
              <w:top w:val="nil"/>
              <w:left w:val="nil"/>
              <w:bottom w:val="single" w:sz="4" w:space="0" w:color="auto"/>
              <w:right w:val="single" w:sz="4" w:space="0" w:color="auto"/>
            </w:tcBorders>
            <w:shd w:val="clear" w:color="auto" w:fill="auto"/>
            <w:vAlign w:val="center"/>
            <w:hideMark/>
          </w:tcPr>
          <w:p w14:paraId="1DD1CA9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POLHOV GRADEC</w:t>
            </w:r>
          </w:p>
        </w:tc>
      </w:tr>
      <w:tr w:rsidR="00E3750C" w:rsidRPr="00415AB3" w14:paraId="7B31576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2EB1E7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1394</w:t>
            </w:r>
          </w:p>
        </w:tc>
        <w:tc>
          <w:tcPr>
            <w:tcW w:w="705" w:type="pct"/>
            <w:tcBorders>
              <w:top w:val="nil"/>
              <w:left w:val="nil"/>
              <w:bottom w:val="single" w:sz="4" w:space="0" w:color="auto"/>
              <w:right w:val="single" w:sz="4" w:space="0" w:color="auto"/>
            </w:tcBorders>
            <w:shd w:val="clear" w:color="auto" w:fill="auto"/>
            <w:noWrap/>
            <w:vAlign w:val="center"/>
            <w:hideMark/>
          </w:tcPr>
          <w:p w14:paraId="00FCCCD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5083494000</w:t>
            </w:r>
          </w:p>
        </w:tc>
        <w:tc>
          <w:tcPr>
            <w:tcW w:w="547" w:type="pct"/>
            <w:tcBorders>
              <w:top w:val="nil"/>
              <w:left w:val="nil"/>
              <w:bottom w:val="single" w:sz="4" w:space="0" w:color="auto"/>
              <w:right w:val="single" w:sz="4" w:space="0" w:color="auto"/>
            </w:tcBorders>
            <w:shd w:val="clear" w:color="auto" w:fill="auto"/>
            <w:noWrap/>
            <w:vAlign w:val="center"/>
            <w:hideMark/>
          </w:tcPr>
          <w:p w14:paraId="7D4A44F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73742309</w:t>
            </w:r>
          </w:p>
        </w:tc>
        <w:tc>
          <w:tcPr>
            <w:tcW w:w="3360" w:type="pct"/>
            <w:tcBorders>
              <w:top w:val="nil"/>
              <w:left w:val="nil"/>
              <w:bottom w:val="single" w:sz="4" w:space="0" w:color="auto"/>
              <w:right w:val="single" w:sz="4" w:space="0" w:color="auto"/>
            </w:tcBorders>
            <w:shd w:val="clear" w:color="auto" w:fill="auto"/>
            <w:vAlign w:val="center"/>
            <w:hideMark/>
          </w:tcPr>
          <w:p w14:paraId="2545A0A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POLJANE</w:t>
            </w:r>
          </w:p>
        </w:tc>
      </w:tr>
      <w:tr w:rsidR="00E3750C" w:rsidRPr="00415AB3" w14:paraId="566CB14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EF3B6E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1395</w:t>
            </w:r>
          </w:p>
        </w:tc>
        <w:tc>
          <w:tcPr>
            <w:tcW w:w="705" w:type="pct"/>
            <w:tcBorders>
              <w:top w:val="nil"/>
              <w:left w:val="nil"/>
              <w:bottom w:val="single" w:sz="4" w:space="0" w:color="auto"/>
              <w:right w:val="single" w:sz="4" w:space="0" w:color="auto"/>
            </w:tcBorders>
            <w:shd w:val="clear" w:color="auto" w:fill="auto"/>
            <w:noWrap/>
            <w:vAlign w:val="center"/>
            <w:hideMark/>
          </w:tcPr>
          <w:p w14:paraId="56BBBE4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1199498000</w:t>
            </w:r>
          </w:p>
        </w:tc>
        <w:tc>
          <w:tcPr>
            <w:tcW w:w="547" w:type="pct"/>
            <w:tcBorders>
              <w:top w:val="nil"/>
              <w:left w:val="nil"/>
              <w:bottom w:val="single" w:sz="4" w:space="0" w:color="auto"/>
              <w:right w:val="single" w:sz="4" w:space="0" w:color="auto"/>
            </w:tcBorders>
            <w:shd w:val="clear" w:color="auto" w:fill="auto"/>
            <w:noWrap/>
            <w:vAlign w:val="center"/>
            <w:hideMark/>
          </w:tcPr>
          <w:p w14:paraId="7B7EF91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95058354</w:t>
            </w:r>
          </w:p>
        </w:tc>
        <w:tc>
          <w:tcPr>
            <w:tcW w:w="3360" w:type="pct"/>
            <w:tcBorders>
              <w:top w:val="nil"/>
              <w:left w:val="nil"/>
              <w:bottom w:val="single" w:sz="4" w:space="0" w:color="auto"/>
              <w:right w:val="single" w:sz="4" w:space="0" w:color="auto"/>
            </w:tcBorders>
            <w:shd w:val="clear" w:color="auto" w:fill="auto"/>
            <w:vAlign w:val="center"/>
            <w:hideMark/>
          </w:tcPr>
          <w:p w14:paraId="5126BEA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POLJANE, 4223 POLJANE</w:t>
            </w:r>
          </w:p>
        </w:tc>
      </w:tr>
      <w:tr w:rsidR="00E3750C" w:rsidRPr="00415AB3" w14:paraId="3C3343C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2DAF6B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1396</w:t>
            </w:r>
          </w:p>
        </w:tc>
        <w:tc>
          <w:tcPr>
            <w:tcW w:w="705" w:type="pct"/>
            <w:tcBorders>
              <w:top w:val="nil"/>
              <w:left w:val="nil"/>
              <w:bottom w:val="single" w:sz="4" w:space="0" w:color="auto"/>
              <w:right w:val="single" w:sz="4" w:space="0" w:color="auto"/>
            </w:tcBorders>
            <w:shd w:val="clear" w:color="auto" w:fill="auto"/>
            <w:noWrap/>
            <w:vAlign w:val="center"/>
            <w:hideMark/>
          </w:tcPr>
          <w:p w14:paraId="4537D49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5084288000</w:t>
            </w:r>
          </w:p>
        </w:tc>
        <w:tc>
          <w:tcPr>
            <w:tcW w:w="547" w:type="pct"/>
            <w:tcBorders>
              <w:top w:val="nil"/>
              <w:left w:val="nil"/>
              <w:bottom w:val="single" w:sz="4" w:space="0" w:color="auto"/>
              <w:right w:val="single" w:sz="4" w:space="0" w:color="auto"/>
            </w:tcBorders>
            <w:shd w:val="clear" w:color="auto" w:fill="auto"/>
            <w:noWrap/>
            <w:vAlign w:val="center"/>
            <w:hideMark/>
          </w:tcPr>
          <w:p w14:paraId="09E2DC2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99728508</w:t>
            </w:r>
          </w:p>
        </w:tc>
        <w:tc>
          <w:tcPr>
            <w:tcW w:w="3360" w:type="pct"/>
            <w:tcBorders>
              <w:top w:val="nil"/>
              <w:left w:val="nil"/>
              <w:bottom w:val="single" w:sz="4" w:space="0" w:color="auto"/>
              <w:right w:val="single" w:sz="4" w:space="0" w:color="auto"/>
            </w:tcBorders>
            <w:shd w:val="clear" w:color="auto" w:fill="auto"/>
            <w:vAlign w:val="center"/>
            <w:hideMark/>
          </w:tcPr>
          <w:p w14:paraId="5F257CD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POLJE</w:t>
            </w:r>
          </w:p>
        </w:tc>
      </w:tr>
      <w:tr w:rsidR="00E3750C" w:rsidRPr="00415AB3" w14:paraId="40E541B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5BC3D4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1397</w:t>
            </w:r>
          </w:p>
        </w:tc>
        <w:tc>
          <w:tcPr>
            <w:tcW w:w="705" w:type="pct"/>
            <w:tcBorders>
              <w:top w:val="nil"/>
              <w:left w:val="nil"/>
              <w:bottom w:val="single" w:sz="4" w:space="0" w:color="auto"/>
              <w:right w:val="single" w:sz="4" w:space="0" w:color="auto"/>
            </w:tcBorders>
            <w:shd w:val="clear" w:color="auto" w:fill="auto"/>
            <w:noWrap/>
            <w:vAlign w:val="center"/>
            <w:hideMark/>
          </w:tcPr>
          <w:p w14:paraId="71879CA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5088500000</w:t>
            </w:r>
          </w:p>
        </w:tc>
        <w:tc>
          <w:tcPr>
            <w:tcW w:w="547" w:type="pct"/>
            <w:tcBorders>
              <w:top w:val="nil"/>
              <w:left w:val="nil"/>
              <w:bottom w:val="single" w:sz="4" w:space="0" w:color="auto"/>
              <w:right w:val="single" w:sz="4" w:space="0" w:color="auto"/>
            </w:tcBorders>
            <w:shd w:val="clear" w:color="auto" w:fill="auto"/>
            <w:noWrap/>
            <w:vAlign w:val="center"/>
            <w:hideMark/>
          </w:tcPr>
          <w:p w14:paraId="7A9217B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33941688</w:t>
            </w:r>
          </w:p>
        </w:tc>
        <w:tc>
          <w:tcPr>
            <w:tcW w:w="3360" w:type="pct"/>
            <w:tcBorders>
              <w:top w:val="nil"/>
              <w:left w:val="nil"/>
              <w:bottom w:val="single" w:sz="4" w:space="0" w:color="auto"/>
              <w:right w:val="single" w:sz="4" w:space="0" w:color="auto"/>
            </w:tcBorders>
            <w:shd w:val="clear" w:color="auto" w:fill="auto"/>
            <w:vAlign w:val="center"/>
            <w:hideMark/>
          </w:tcPr>
          <w:p w14:paraId="51A4F8A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POLZELA</w:t>
            </w:r>
          </w:p>
        </w:tc>
      </w:tr>
      <w:tr w:rsidR="00E3750C" w:rsidRPr="00415AB3" w14:paraId="707CE04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617ECA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1398</w:t>
            </w:r>
          </w:p>
        </w:tc>
        <w:tc>
          <w:tcPr>
            <w:tcW w:w="705" w:type="pct"/>
            <w:tcBorders>
              <w:top w:val="nil"/>
              <w:left w:val="nil"/>
              <w:bottom w:val="single" w:sz="4" w:space="0" w:color="auto"/>
              <w:right w:val="single" w:sz="4" w:space="0" w:color="auto"/>
            </w:tcBorders>
            <w:shd w:val="clear" w:color="auto" w:fill="auto"/>
            <w:noWrap/>
            <w:vAlign w:val="center"/>
            <w:hideMark/>
          </w:tcPr>
          <w:p w14:paraId="4EDE288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5088518000</w:t>
            </w:r>
          </w:p>
        </w:tc>
        <w:tc>
          <w:tcPr>
            <w:tcW w:w="547" w:type="pct"/>
            <w:tcBorders>
              <w:top w:val="nil"/>
              <w:left w:val="nil"/>
              <w:bottom w:val="single" w:sz="4" w:space="0" w:color="auto"/>
              <w:right w:val="single" w:sz="4" w:space="0" w:color="auto"/>
            </w:tcBorders>
            <w:shd w:val="clear" w:color="auto" w:fill="auto"/>
            <w:noWrap/>
            <w:vAlign w:val="center"/>
            <w:hideMark/>
          </w:tcPr>
          <w:p w14:paraId="3BC5411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81995270</w:t>
            </w:r>
          </w:p>
        </w:tc>
        <w:tc>
          <w:tcPr>
            <w:tcW w:w="3360" w:type="pct"/>
            <w:tcBorders>
              <w:top w:val="nil"/>
              <w:left w:val="nil"/>
              <w:bottom w:val="single" w:sz="4" w:space="0" w:color="auto"/>
              <w:right w:val="single" w:sz="4" w:space="0" w:color="auto"/>
            </w:tcBorders>
            <w:shd w:val="clear" w:color="auto" w:fill="auto"/>
            <w:vAlign w:val="center"/>
            <w:hideMark/>
          </w:tcPr>
          <w:p w14:paraId="195F1A3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PREBOLD</w:t>
            </w:r>
          </w:p>
        </w:tc>
      </w:tr>
      <w:tr w:rsidR="00E3750C" w:rsidRPr="00415AB3" w14:paraId="384EFB8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1B413A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1399</w:t>
            </w:r>
          </w:p>
        </w:tc>
        <w:tc>
          <w:tcPr>
            <w:tcW w:w="705" w:type="pct"/>
            <w:tcBorders>
              <w:top w:val="nil"/>
              <w:left w:val="nil"/>
              <w:bottom w:val="single" w:sz="4" w:space="0" w:color="auto"/>
              <w:right w:val="single" w:sz="4" w:space="0" w:color="auto"/>
            </w:tcBorders>
            <w:shd w:val="clear" w:color="auto" w:fill="auto"/>
            <w:noWrap/>
            <w:vAlign w:val="center"/>
            <w:hideMark/>
          </w:tcPr>
          <w:p w14:paraId="7461BE4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5084474000</w:t>
            </w:r>
          </w:p>
        </w:tc>
        <w:tc>
          <w:tcPr>
            <w:tcW w:w="547" w:type="pct"/>
            <w:tcBorders>
              <w:top w:val="nil"/>
              <w:left w:val="nil"/>
              <w:bottom w:val="single" w:sz="4" w:space="0" w:color="auto"/>
              <w:right w:val="single" w:sz="4" w:space="0" w:color="auto"/>
            </w:tcBorders>
            <w:shd w:val="clear" w:color="auto" w:fill="auto"/>
            <w:noWrap/>
            <w:vAlign w:val="center"/>
            <w:hideMark/>
          </w:tcPr>
          <w:p w14:paraId="64CCE1B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92875602</w:t>
            </w:r>
          </w:p>
        </w:tc>
        <w:tc>
          <w:tcPr>
            <w:tcW w:w="3360" w:type="pct"/>
            <w:tcBorders>
              <w:top w:val="nil"/>
              <w:left w:val="nil"/>
              <w:bottom w:val="single" w:sz="4" w:space="0" w:color="auto"/>
              <w:right w:val="single" w:sz="4" w:space="0" w:color="auto"/>
            </w:tcBorders>
            <w:shd w:val="clear" w:color="auto" w:fill="auto"/>
            <w:vAlign w:val="center"/>
            <w:hideMark/>
          </w:tcPr>
          <w:p w14:paraId="22FBFE1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PRESERJE</w:t>
            </w:r>
          </w:p>
        </w:tc>
      </w:tr>
      <w:tr w:rsidR="00E3750C" w:rsidRPr="00415AB3" w14:paraId="430F707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913BDE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1400</w:t>
            </w:r>
          </w:p>
        </w:tc>
        <w:tc>
          <w:tcPr>
            <w:tcW w:w="705" w:type="pct"/>
            <w:tcBorders>
              <w:top w:val="nil"/>
              <w:left w:val="nil"/>
              <w:bottom w:val="single" w:sz="4" w:space="0" w:color="auto"/>
              <w:right w:val="single" w:sz="4" w:space="0" w:color="auto"/>
            </w:tcBorders>
            <w:shd w:val="clear" w:color="auto" w:fill="auto"/>
            <w:noWrap/>
            <w:vAlign w:val="center"/>
            <w:hideMark/>
          </w:tcPr>
          <w:p w14:paraId="15696E0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5084741000</w:t>
            </w:r>
          </w:p>
        </w:tc>
        <w:tc>
          <w:tcPr>
            <w:tcW w:w="547" w:type="pct"/>
            <w:tcBorders>
              <w:top w:val="nil"/>
              <w:left w:val="nil"/>
              <w:bottom w:val="single" w:sz="4" w:space="0" w:color="auto"/>
              <w:right w:val="single" w:sz="4" w:space="0" w:color="auto"/>
            </w:tcBorders>
            <w:shd w:val="clear" w:color="auto" w:fill="auto"/>
            <w:noWrap/>
            <w:vAlign w:val="center"/>
            <w:hideMark/>
          </w:tcPr>
          <w:p w14:paraId="08AE1ED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68428120</w:t>
            </w:r>
          </w:p>
        </w:tc>
        <w:tc>
          <w:tcPr>
            <w:tcW w:w="3360" w:type="pct"/>
            <w:tcBorders>
              <w:top w:val="nil"/>
              <w:left w:val="nil"/>
              <w:bottom w:val="single" w:sz="4" w:space="0" w:color="auto"/>
              <w:right w:val="single" w:sz="4" w:space="0" w:color="auto"/>
            </w:tcBorders>
            <w:shd w:val="clear" w:color="auto" w:fill="auto"/>
            <w:vAlign w:val="center"/>
            <w:hideMark/>
          </w:tcPr>
          <w:p w14:paraId="1AE0F47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PRESERJE PRI RADOMLJAH</w:t>
            </w:r>
          </w:p>
        </w:tc>
      </w:tr>
      <w:tr w:rsidR="00E3750C" w:rsidRPr="00415AB3" w14:paraId="185F881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259788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1401</w:t>
            </w:r>
          </w:p>
        </w:tc>
        <w:tc>
          <w:tcPr>
            <w:tcW w:w="705" w:type="pct"/>
            <w:tcBorders>
              <w:top w:val="nil"/>
              <w:left w:val="nil"/>
              <w:bottom w:val="single" w:sz="4" w:space="0" w:color="auto"/>
              <w:right w:val="single" w:sz="4" w:space="0" w:color="auto"/>
            </w:tcBorders>
            <w:shd w:val="clear" w:color="auto" w:fill="auto"/>
            <w:noWrap/>
            <w:vAlign w:val="center"/>
            <w:hideMark/>
          </w:tcPr>
          <w:p w14:paraId="7D71352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5084334000</w:t>
            </w:r>
          </w:p>
        </w:tc>
        <w:tc>
          <w:tcPr>
            <w:tcW w:w="547" w:type="pct"/>
            <w:tcBorders>
              <w:top w:val="nil"/>
              <w:left w:val="nil"/>
              <w:bottom w:val="single" w:sz="4" w:space="0" w:color="auto"/>
              <w:right w:val="single" w:sz="4" w:space="0" w:color="auto"/>
            </w:tcBorders>
            <w:shd w:val="clear" w:color="auto" w:fill="auto"/>
            <w:noWrap/>
            <w:vAlign w:val="center"/>
            <w:hideMark/>
          </w:tcPr>
          <w:p w14:paraId="7B10BA6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34416170</w:t>
            </w:r>
          </w:p>
        </w:tc>
        <w:tc>
          <w:tcPr>
            <w:tcW w:w="3360" w:type="pct"/>
            <w:tcBorders>
              <w:top w:val="nil"/>
              <w:left w:val="nil"/>
              <w:bottom w:val="single" w:sz="4" w:space="0" w:color="auto"/>
              <w:right w:val="single" w:sz="4" w:space="0" w:color="auto"/>
            </w:tcBorders>
            <w:shd w:val="clear" w:color="auto" w:fill="auto"/>
            <w:vAlign w:val="center"/>
            <w:hideMark/>
          </w:tcPr>
          <w:p w14:paraId="4BCD270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PRESKA</w:t>
            </w:r>
          </w:p>
        </w:tc>
      </w:tr>
      <w:tr w:rsidR="00E3750C" w:rsidRPr="00415AB3" w14:paraId="697D008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3F3E16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1402</w:t>
            </w:r>
          </w:p>
        </w:tc>
        <w:tc>
          <w:tcPr>
            <w:tcW w:w="705" w:type="pct"/>
            <w:tcBorders>
              <w:top w:val="nil"/>
              <w:left w:val="nil"/>
              <w:bottom w:val="single" w:sz="4" w:space="0" w:color="auto"/>
              <w:right w:val="single" w:sz="4" w:space="0" w:color="auto"/>
            </w:tcBorders>
            <w:shd w:val="clear" w:color="auto" w:fill="auto"/>
            <w:noWrap/>
            <w:vAlign w:val="center"/>
            <w:hideMark/>
          </w:tcPr>
          <w:p w14:paraId="5E1BBFA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5086949000</w:t>
            </w:r>
          </w:p>
        </w:tc>
        <w:tc>
          <w:tcPr>
            <w:tcW w:w="547" w:type="pct"/>
            <w:tcBorders>
              <w:top w:val="nil"/>
              <w:left w:val="nil"/>
              <w:bottom w:val="single" w:sz="4" w:space="0" w:color="auto"/>
              <w:right w:val="single" w:sz="4" w:space="0" w:color="auto"/>
            </w:tcBorders>
            <w:shd w:val="clear" w:color="auto" w:fill="auto"/>
            <w:noWrap/>
            <w:vAlign w:val="center"/>
            <w:hideMark/>
          </w:tcPr>
          <w:p w14:paraId="699363B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98956574</w:t>
            </w:r>
          </w:p>
        </w:tc>
        <w:tc>
          <w:tcPr>
            <w:tcW w:w="3360" w:type="pct"/>
            <w:tcBorders>
              <w:top w:val="nil"/>
              <w:left w:val="nil"/>
              <w:bottom w:val="single" w:sz="4" w:space="0" w:color="auto"/>
              <w:right w:val="single" w:sz="4" w:space="0" w:color="auto"/>
            </w:tcBorders>
            <w:shd w:val="clear" w:color="auto" w:fill="auto"/>
            <w:vAlign w:val="center"/>
            <w:hideMark/>
          </w:tcPr>
          <w:p w14:paraId="5664863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PRESTRANEK</w:t>
            </w:r>
          </w:p>
        </w:tc>
      </w:tr>
      <w:tr w:rsidR="00E3750C" w:rsidRPr="00415AB3" w14:paraId="07082BC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B8A4F7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1403</w:t>
            </w:r>
          </w:p>
        </w:tc>
        <w:tc>
          <w:tcPr>
            <w:tcW w:w="705" w:type="pct"/>
            <w:tcBorders>
              <w:top w:val="nil"/>
              <w:left w:val="nil"/>
              <w:bottom w:val="single" w:sz="4" w:space="0" w:color="auto"/>
              <w:right w:val="single" w:sz="4" w:space="0" w:color="auto"/>
            </w:tcBorders>
            <w:shd w:val="clear" w:color="auto" w:fill="auto"/>
            <w:noWrap/>
            <w:vAlign w:val="center"/>
            <w:hideMark/>
          </w:tcPr>
          <w:p w14:paraId="0417CEA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5086272000</w:t>
            </w:r>
          </w:p>
        </w:tc>
        <w:tc>
          <w:tcPr>
            <w:tcW w:w="547" w:type="pct"/>
            <w:tcBorders>
              <w:top w:val="nil"/>
              <w:left w:val="nil"/>
              <w:bottom w:val="single" w:sz="4" w:space="0" w:color="auto"/>
              <w:right w:val="single" w:sz="4" w:space="0" w:color="auto"/>
            </w:tcBorders>
            <w:shd w:val="clear" w:color="auto" w:fill="auto"/>
            <w:noWrap/>
            <w:vAlign w:val="center"/>
            <w:hideMark/>
          </w:tcPr>
          <w:p w14:paraId="205F42D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69795819</w:t>
            </w:r>
          </w:p>
        </w:tc>
        <w:tc>
          <w:tcPr>
            <w:tcW w:w="3360" w:type="pct"/>
            <w:tcBorders>
              <w:top w:val="nil"/>
              <w:left w:val="nil"/>
              <w:bottom w:val="single" w:sz="4" w:space="0" w:color="auto"/>
              <w:right w:val="single" w:sz="4" w:space="0" w:color="auto"/>
            </w:tcBorders>
            <w:shd w:val="clear" w:color="auto" w:fill="auto"/>
            <w:vAlign w:val="center"/>
            <w:hideMark/>
          </w:tcPr>
          <w:p w14:paraId="0193329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PREVOLE</w:t>
            </w:r>
          </w:p>
        </w:tc>
      </w:tr>
      <w:tr w:rsidR="00E3750C" w:rsidRPr="00415AB3" w14:paraId="58F69ED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F83A31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1404</w:t>
            </w:r>
          </w:p>
        </w:tc>
        <w:tc>
          <w:tcPr>
            <w:tcW w:w="705" w:type="pct"/>
            <w:tcBorders>
              <w:top w:val="nil"/>
              <w:left w:val="nil"/>
              <w:bottom w:val="single" w:sz="4" w:space="0" w:color="auto"/>
              <w:right w:val="single" w:sz="4" w:space="0" w:color="auto"/>
            </w:tcBorders>
            <w:shd w:val="clear" w:color="auto" w:fill="auto"/>
            <w:noWrap/>
            <w:vAlign w:val="center"/>
            <w:hideMark/>
          </w:tcPr>
          <w:p w14:paraId="5813B69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5089751000</w:t>
            </w:r>
          </w:p>
        </w:tc>
        <w:tc>
          <w:tcPr>
            <w:tcW w:w="547" w:type="pct"/>
            <w:tcBorders>
              <w:top w:val="nil"/>
              <w:left w:val="nil"/>
              <w:bottom w:val="single" w:sz="4" w:space="0" w:color="auto"/>
              <w:right w:val="single" w:sz="4" w:space="0" w:color="auto"/>
            </w:tcBorders>
            <w:shd w:val="clear" w:color="auto" w:fill="auto"/>
            <w:noWrap/>
            <w:vAlign w:val="center"/>
            <w:hideMark/>
          </w:tcPr>
          <w:p w14:paraId="0751180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94330522</w:t>
            </w:r>
          </w:p>
        </w:tc>
        <w:tc>
          <w:tcPr>
            <w:tcW w:w="3360" w:type="pct"/>
            <w:tcBorders>
              <w:top w:val="nil"/>
              <w:left w:val="nil"/>
              <w:bottom w:val="single" w:sz="4" w:space="0" w:color="auto"/>
              <w:right w:val="single" w:sz="4" w:space="0" w:color="auto"/>
            </w:tcBorders>
            <w:shd w:val="clear" w:color="auto" w:fill="auto"/>
            <w:vAlign w:val="center"/>
            <w:hideMark/>
          </w:tcPr>
          <w:p w14:paraId="4D127A9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PREŽIHOVEGA VORANCA BISTRICA</w:t>
            </w:r>
          </w:p>
        </w:tc>
      </w:tr>
      <w:tr w:rsidR="00E3750C" w:rsidRPr="00415AB3" w14:paraId="56B4465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8398F9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1405</w:t>
            </w:r>
          </w:p>
        </w:tc>
        <w:tc>
          <w:tcPr>
            <w:tcW w:w="705" w:type="pct"/>
            <w:tcBorders>
              <w:top w:val="nil"/>
              <w:left w:val="nil"/>
              <w:bottom w:val="single" w:sz="4" w:space="0" w:color="auto"/>
              <w:right w:val="single" w:sz="4" w:space="0" w:color="auto"/>
            </w:tcBorders>
            <w:shd w:val="clear" w:color="auto" w:fill="auto"/>
            <w:noWrap/>
            <w:vAlign w:val="center"/>
            <w:hideMark/>
          </w:tcPr>
          <w:p w14:paraId="2345EDF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5719097000</w:t>
            </w:r>
          </w:p>
        </w:tc>
        <w:tc>
          <w:tcPr>
            <w:tcW w:w="547" w:type="pct"/>
            <w:tcBorders>
              <w:top w:val="nil"/>
              <w:left w:val="nil"/>
              <w:bottom w:val="single" w:sz="4" w:space="0" w:color="auto"/>
              <w:right w:val="single" w:sz="4" w:space="0" w:color="auto"/>
            </w:tcBorders>
            <w:shd w:val="clear" w:color="auto" w:fill="auto"/>
            <w:noWrap/>
            <w:vAlign w:val="center"/>
            <w:hideMark/>
          </w:tcPr>
          <w:p w14:paraId="4CC613D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71303103</w:t>
            </w:r>
          </w:p>
        </w:tc>
        <w:tc>
          <w:tcPr>
            <w:tcW w:w="3360" w:type="pct"/>
            <w:tcBorders>
              <w:top w:val="nil"/>
              <w:left w:val="nil"/>
              <w:bottom w:val="single" w:sz="4" w:space="0" w:color="auto"/>
              <w:right w:val="single" w:sz="4" w:space="0" w:color="auto"/>
            </w:tcBorders>
            <w:shd w:val="clear" w:color="auto" w:fill="auto"/>
            <w:vAlign w:val="center"/>
            <w:hideMark/>
          </w:tcPr>
          <w:p w14:paraId="65F3D80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PREŽIHOVEGA VORANCA JESENICE</w:t>
            </w:r>
          </w:p>
        </w:tc>
      </w:tr>
      <w:tr w:rsidR="00E3750C" w:rsidRPr="00415AB3" w14:paraId="780F742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CFC16E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1406</w:t>
            </w:r>
          </w:p>
        </w:tc>
        <w:tc>
          <w:tcPr>
            <w:tcW w:w="705" w:type="pct"/>
            <w:tcBorders>
              <w:top w:val="nil"/>
              <w:left w:val="nil"/>
              <w:bottom w:val="single" w:sz="4" w:space="0" w:color="auto"/>
              <w:right w:val="single" w:sz="4" w:space="0" w:color="auto"/>
            </w:tcBorders>
            <w:shd w:val="clear" w:color="auto" w:fill="auto"/>
            <w:noWrap/>
            <w:vAlign w:val="center"/>
            <w:hideMark/>
          </w:tcPr>
          <w:p w14:paraId="4E069F5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5085101000</w:t>
            </w:r>
          </w:p>
        </w:tc>
        <w:tc>
          <w:tcPr>
            <w:tcW w:w="547" w:type="pct"/>
            <w:tcBorders>
              <w:top w:val="nil"/>
              <w:left w:val="nil"/>
              <w:bottom w:val="single" w:sz="4" w:space="0" w:color="auto"/>
              <w:right w:val="single" w:sz="4" w:space="0" w:color="auto"/>
            </w:tcBorders>
            <w:shd w:val="clear" w:color="auto" w:fill="auto"/>
            <w:noWrap/>
            <w:vAlign w:val="center"/>
            <w:hideMark/>
          </w:tcPr>
          <w:p w14:paraId="6F1A974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97870692</w:t>
            </w:r>
          </w:p>
        </w:tc>
        <w:tc>
          <w:tcPr>
            <w:tcW w:w="3360" w:type="pct"/>
            <w:tcBorders>
              <w:top w:val="nil"/>
              <w:left w:val="nil"/>
              <w:bottom w:val="single" w:sz="4" w:space="0" w:color="auto"/>
              <w:right w:val="single" w:sz="4" w:space="0" w:color="auto"/>
            </w:tcBorders>
            <w:shd w:val="clear" w:color="auto" w:fill="auto"/>
            <w:vAlign w:val="center"/>
            <w:hideMark/>
          </w:tcPr>
          <w:p w14:paraId="6A2A691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PREŽIHOVEGA VORANCA MARIBOR</w:t>
            </w:r>
          </w:p>
        </w:tc>
      </w:tr>
      <w:tr w:rsidR="00E3750C" w:rsidRPr="00415AB3" w14:paraId="2AF7555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3E79DE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1407</w:t>
            </w:r>
          </w:p>
        </w:tc>
        <w:tc>
          <w:tcPr>
            <w:tcW w:w="705" w:type="pct"/>
            <w:tcBorders>
              <w:top w:val="nil"/>
              <w:left w:val="nil"/>
              <w:bottom w:val="single" w:sz="4" w:space="0" w:color="auto"/>
              <w:right w:val="single" w:sz="4" w:space="0" w:color="auto"/>
            </w:tcBorders>
            <w:shd w:val="clear" w:color="auto" w:fill="auto"/>
            <w:noWrap/>
            <w:vAlign w:val="center"/>
            <w:hideMark/>
          </w:tcPr>
          <w:p w14:paraId="67A0DD6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5087392000</w:t>
            </w:r>
          </w:p>
        </w:tc>
        <w:tc>
          <w:tcPr>
            <w:tcW w:w="547" w:type="pct"/>
            <w:tcBorders>
              <w:top w:val="nil"/>
              <w:left w:val="nil"/>
              <w:bottom w:val="single" w:sz="4" w:space="0" w:color="auto"/>
              <w:right w:val="single" w:sz="4" w:space="0" w:color="auto"/>
            </w:tcBorders>
            <w:shd w:val="clear" w:color="auto" w:fill="auto"/>
            <w:noWrap/>
            <w:vAlign w:val="center"/>
            <w:hideMark/>
          </w:tcPr>
          <w:p w14:paraId="215AFE1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26935465</w:t>
            </w:r>
          </w:p>
        </w:tc>
        <w:tc>
          <w:tcPr>
            <w:tcW w:w="3360" w:type="pct"/>
            <w:tcBorders>
              <w:top w:val="nil"/>
              <w:left w:val="nil"/>
              <w:bottom w:val="single" w:sz="4" w:space="0" w:color="auto"/>
              <w:right w:val="single" w:sz="4" w:space="0" w:color="auto"/>
            </w:tcBorders>
            <w:shd w:val="clear" w:color="auto" w:fill="auto"/>
            <w:vAlign w:val="center"/>
            <w:hideMark/>
          </w:tcPr>
          <w:p w14:paraId="3AD2258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PREŽIHOVEGA VORANCA RAVNE NA KOROŠKEM</w:t>
            </w:r>
          </w:p>
        </w:tc>
      </w:tr>
      <w:tr w:rsidR="00E3750C" w:rsidRPr="00415AB3" w14:paraId="062A62F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D927AA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1408</w:t>
            </w:r>
          </w:p>
        </w:tc>
        <w:tc>
          <w:tcPr>
            <w:tcW w:w="705" w:type="pct"/>
            <w:tcBorders>
              <w:top w:val="nil"/>
              <w:left w:val="nil"/>
              <w:bottom w:val="single" w:sz="4" w:space="0" w:color="auto"/>
              <w:right w:val="single" w:sz="4" w:space="0" w:color="auto"/>
            </w:tcBorders>
            <w:shd w:val="clear" w:color="auto" w:fill="auto"/>
            <w:noWrap/>
            <w:vAlign w:val="center"/>
            <w:hideMark/>
          </w:tcPr>
          <w:p w14:paraId="2778E09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5924332000</w:t>
            </w:r>
          </w:p>
        </w:tc>
        <w:tc>
          <w:tcPr>
            <w:tcW w:w="547" w:type="pct"/>
            <w:tcBorders>
              <w:top w:val="nil"/>
              <w:left w:val="nil"/>
              <w:bottom w:val="single" w:sz="4" w:space="0" w:color="auto"/>
              <w:right w:val="single" w:sz="4" w:space="0" w:color="auto"/>
            </w:tcBorders>
            <w:shd w:val="clear" w:color="auto" w:fill="auto"/>
            <w:noWrap/>
            <w:vAlign w:val="center"/>
            <w:hideMark/>
          </w:tcPr>
          <w:p w14:paraId="634BEA9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29610249</w:t>
            </w:r>
          </w:p>
        </w:tc>
        <w:tc>
          <w:tcPr>
            <w:tcW w:w="3360" w:type="pct"/>
            <w:tcBorders>
              <w:top w:val="nil"/>
              <w:left w:val="nil"/>
              <w:bottom w:val="single" w:sz="4" w:space="0" w:color="auto"/>
              <w:right w:val="single" w:sz="4" w:space="0" w:color="auto"/>
            </w:tcBorders>
            <w:shd w:val="clear" w:color="auto" w:fill="auto"/>
            <w:vAlign w:val="center"/>
            <w:hideMark/>
          </w:tcPr>
          <w:p w14:paraId="7274CEB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PRIMOŽA TRUBARJA LAŠKO</w:t>
            </w:r>
          </w:p>
        </w:tc>
      </w:tr>
      <w:tr w:rsidR="00E3750C" w:rsidRPr="00415AB3" w14:paraId="282BA5C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322C77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1409</w:t>
            </w:r>
          </w:p>
        </w:tc>
        <w:tc>
          <w:tcPr>
            <w:tcW w:w="705" w:type="pct"/>
            <w:tcBorders>
              <w:top w:val="nil"/>
              <w:left w:val="nil"/>
              <w:bottom w:val="single" w:sz="4" w:space="0" w:color="auto"/>
              <w:right w:val="single" w:sz="4" w:space="0" w:color="auto"/>
            </w:tcBorders>
            <w:shd w:val="clear" w:color="auto" w:fill="auto"/>
            <w:noWrap/>
            <w:vAlign w:val="center"/>
            <w:hideMark/>
          </w:tcPr>
          <w:p w14:paraId="084BDDA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5084539000</w:t>
            </w:r>
          </w:p>
        </w:tc>
        <w:tc>
          <w:tcPr>
            <w:tcW w:w="547" w:type="pct"/>
            <w:tcBorders>
              <w:top w:val="nil"/>
              <w:left w:val="nil"/>
              <w:bottom w:val="single" w:sz="4" w:space="0" w:color="auto"/>
              <w:right w:val="single" w:sz="4" w:space="0" w:color="auto"/>
            </w:tcBorders>
            <w:shd w:val="clear" w:color="auto" w:fill="auto"/>
            <w:noWrap/>
            <w:vAlign w:val="center"/>
            <w:hideMark/>
          </w:tcPr>
          <w:p w14:paraId="61822D7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21805865</w:t>
            </w:r>
          </w:p>
        </w:tc>
        <w:tc>
          <w:tcPr>
            <w:tcW w:w="3360" w:type="pct"/>
            <w:tcBorders>
              <w:top w:val="nil"/>
              <w:left w:val="nil"/>
              <w:bottom w:val="single" w:sz="4" w:space="0" w:color="auto"/>
              <w:right w:val="single" w:sz="4" w:space="0" w:color="auto"/>
            </w:tcBorders>
            <w:shd w:val="clear" w:color="auto" w:fill="auto"/>
            <w:vAlign w:val="center"/>
            <w:hideMark/>
          </w:tcPr>
          <w:p w14:paraId="5A1664F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PRIMOŽA TRUBARJA VELIKE LAŠČE</w:t>
            </w:r>
          </w:p>
        </w:tc>
      </w:tr>
      <w:tr w:rsidR="00E3750C" w:rsidRPr="00415AB3" w14:paraId="0C8561C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D82B10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1410</w:t>
            </w:r>
          </w:p>
        </w:tc>
        <w:tc>
          <w:tcPr>
            <w:tcW w:w="705" w:type="pct"/>
            <w:tcBorders>
              <w:top w:val="nil"/>
              <w:left w:val="nil"/>
              <w:bottom w:val="single" w:sz="4" w:space="0" w:color="auto"/>
              <w:right w:val="single" w:sz="4" w:space="0" w:color="auto"/>
            </w:tcBorders>
            <w:shd w:val="clear" w:color="auto" w:fill="auto"/>
            <w:noWrap/>
            <w:vAlign w:val="center"/>
            <w:hideMark/>
          </w:tcPr>
          <w:p w14:paraId="09CE6A8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5087295000</w:t>
            </w:r>
          </w:p>
        </w:tc>
        <w:tc>
          <w:tcPr>
            <w:tcW w:w="547" w:type="pct"/>
            <w:tcBorders>
              <w:top w:val="nil"/>
              <w:left w:val="nil"/>
              <w:bottom w:val="single" w:sz="4" w:space="0" w:color="auto"/>
              <w:right w:val="single" w:sz="4" w:space="0" w:color="auto"/>
            </w:tcBorders>
            <w:shd w:val="clear" w:color="auto" w:fill="auto"/>
            <w:noWrap/>
            <w:vAlign w:val="center"/>
            <w:hideMark/>
          </w:tcPr>
          <w:p w14:paraId="4ED9A91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56918518</w:t>
            </w:r>
          </w:p>
        </w:tc>
        <w:tc>
          <w:tcPr>
            <w:tcW w:w="3360" w:type="pct"/>
            <w:tcBorders>
              <w:top w:val="nil"/>
              <w:left w:val="nil"/>
              <w:bottom w:val="single" w:sz="4" w:space="0" w:color="auto"/>
              <w:right w:val="single" w:sz="4" w:space="0" w:color="auto"/>
            </w:tcBorders>
            <w:shd w:val="clear" w:color="auto" w:fill="auto"/>
            <w:vAlign w:val="center"/>
            <w:hideMark/>
          </w:tcPr>
          <w:p w14:paraId="0F38AE5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PROF. DR. JOSIPA PLEMLJA BLED</w:t>
            </w:r>
          </w:p>
        </w:tc>
      </w:tr>
      <w:tr w:rsidR="00E3750C" w:rsidRPr="00415AB3" w14:paraId="36C7440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403DF4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1411</w:t>
            </w:r>
          </w:p>
        </w:tc>
        <w:tc>
          <w:tcPr>
            <w:tcW w:w="705" w:type="pct"/>
            <w:tcBorders>
              <w:top w:val="nil"/>
              <w:left w:val="nil"/>
              <w:bottom w:val="single" w:sz="4" w:space="0" w:color="auto"/>
              <w:right w:val="single" w:sz="4" w:space="0" w:color="auto"/>
            </w:tcBorders>
            <w:shd w:val="clear" w:color="auto" w:fill="auto"/>
            <w:noWrap/>
            <w:vAlign w:val="center"/>
            <w:hideMark/>
          </w:tcPr>
          <w:p w14:paraId="5399D9D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5084164000</w:t>
            </w:r>
          </w:p>
        </w:tc>
        <w:tc>
          <w:tcPr>
            <w:tcW w:w="547" w:type="pct"/>
            <w:tcBorders>
              <w:top w:val="nil"/>
              <w:left w:val="nil"/>
              <w:bottom w:val="single" w:sz="4" w:space="0" w:color="auto"/>
              <w:right w:val="single" w:sz="4" w:space="0" w:color="auto"/>
            </w:tcBorders>
            <w:shd w:val="clear" w:color="auto" w:fill="auto"/>
            <w:noWrap/>
            <w:vAlign w:val="center"/>
            <w:hideMark/>
          </w:tcPr>
          <w:p w14:paraId="50481EA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89177606</w:t>
            </w:r>
          </w:p>
        </w:tc>
        <w:tc>
          <w:tcPr>
            <w:tcW w:w="3360" w:type="pct"/>
            <w:tcBorders>
              <w:top w:val="nil"/>
              <w:left w:val="nil"/>
              <w:bottom w:val="single" w:sz="4" w:space="0" w:color="auto"/>
              <w:right w:val="single" w:sz="4" w:space="0" w:color="auto"/>
            </w:tcBorders>
            <w:shd w:val="clear" w:color="auto" w:fill="auto"/>
            <w:vAlign w:val="center"/>
            <w:hideMark/>
          </w:tcPr>
          <w:p w14:paraId="79CC899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PRULE</w:t>
            </w:r>
          </w:p>
        </w:tc>
      </w:tr>
      <w:tr w:rsidR="00E3750C" w:rsidRPr="00415AB3" w14:paraId="5163849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58A19E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1412</w:t>
            </w:r>
          </w:p>
        </w:tc>
        <w:tc>
          <w:tcPr>
            <w:tcW w:w="705" w:type="pct"/>
            <w:tcBorders>
              <w:top w:val="nil"/>
              <w:left w:val="nil"/>
              <w:bottom w:val="single" w:sz="4" w:space="0" w:color="auto"/>
              <w:right w:val="single" w:sz="4" w:space="0" w:color="auto"/>
            </w:tcBorders>
            <w:shd w:val="clear" w:color="auto" w:fill="auto"/>
            <w:noWrap/>
            <w:vAlign w:val="center"/>
            <w:hideMark/>
          </w:tcPr>
          <w:p w14:paraId="6E10D72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5085691000</w:t>
            </w:r>
          </w:p>
        </w:tc>
        <w:tc>
          <w:tcPr>
            <w:tcW w:w="547" w:type="pct"/>
            <w:tcBorders>
              <w:top w:val="nil"/>
              <w:left w:val="nil"/>
              <w:bottom w:val="single" w:sz="4" w:space="0" w:color="auto"/>
              <w:right w:val="single" w:sz="4" w:space="0" w:color="auto"/>
            </w:tcBorders>
            <w:shd w:val="clear" w:color="auto" w:fill="auto"/>
            <w:noWrap/>
            <w:vAlign w:val="center"/>
            <w:hideMark/>
          </w:tcPr>
          <w:p w14:paraId="171B1FB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96341742</w:t>
            </w:r>
          </w:p>
        </w:tc>
        <w:tc>
          <w:tcPr>
            <w:tcW w:w="3360" w:type="pct"/>
            <w:tcBorders>
              <w:top w:val="nil"/>
              <w:left w:val="nil"/>
              <w:bottom w:val="single" w:sz="4" w:space="0" w:color="auto"/>
              <w:right w:val="single" w:sz="4" w:space="0" w:color="auto"/>
            </w:tcBorders>
            <w:shd w:val="clear" w:color="auto" w:fill="auto"/>
            <w:vAlign w:val="center"/>
            <w:hideMark/>
          </w:tcPr>
          <w:p w14:paraId="069D08B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PUCONCI</w:t>
            </w:r>
          </w:p>
        </w:tc>
      </w:tr>
      <w:tr w:rsidR="00E3750C" w:rsidRPr="00415AB3" w14:paraId="061517D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1E3166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1413</w:t>
            </w:r>
          </w:p>
        </w:tc>
        <w:tc>
          <w:tcPr>
            <w:tcW w:w="705" w:type="pct"/>
            <w:tcBorders>
              <w:top w:val="nil"/>
              <w:left w:val="nil"/>
              <w:bottom w:val="single" w:sz="4" w:space="0" w:color="auto"/>
              <w:right w:val="single" w:sz="4" w:space="0" w:color="auto"/>
            </w:tcBorders>
            <w:shd w:val="clear" w:color="auto" w:fill="auto"/>
            <w:noWrap/>
            <w:vAlign w:val="center"/>
            <w:hideMark/>
          </w:tcPr>
          <w:p w14:paraId="2FDE92E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5085292000</w:t>
            </w:r>
          </w:p>
        </w:tc>
        <w:tc>
          <w:tcPr>
            <w:tcW w:w="547" w:type="pct"/>
            <w:tcBorders>
              <w:top w:val="nil"/>
              <w:left w:val="nil"/>
              <w:bottom w:val="single" w:sz="4" w:space="0" w:color="auto"/>
              <w:right w:val="single" w:sz="4" w:space="0" w:color="auto"/>
            </w:tcBorders>
            <w:shd w:val="clear" w:color="auto" w:fill="auto"/>
            <w:noWrap/>
            <w:vAlign w:val="center"/>
            <w:hideMark/>
          </w:tcPr>
          <w:p w14:paraId="08B697F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97890898</w:t>
            </w:r>
          </w:p>
        </w:tc>
        <w:tc>
          <w:tcPr>
            <w:tcW w:w="3360" w:type="pct"/>
            <w:tcBorders>
              <w:top w:val="nil"/>
              <w:left w:val="nil"/>
              <w:bottom w:val="single" w:sz="4" w:space="0" w:color="auto"/>
              <w:right w:val="single" w:sz="4" w:space="0" w:color="auto"/>
            </w:tcBorders>
            <w:shd w:val="clear" w:color="auto" w:fill="auto"/>
            <w:vAlign w:val="center"/>
            <w:hideMark/>
          </w:tcPr>
          <w:p w14:paraId="5FEF9AD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RAČE</w:t>
            </w:r>
          </w:p>
        </w:tc>
      </w:tr>
      <w:tr w:rsidR="00E3750C" w:rsidRPr="00415AB3" w14:paraId="0E5A0B7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240106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1414</w:t>
            </w:r>
          </w:p>
        </w:tc>
        <w:tc>
          <w:tcPr>
            <w:tcW w:w="705" w:type="pct"/>
            <w:tcBorders>
              <w:top w:val="nil"/>
              <w:left w:val="nil"/>
              <w:bottom w:val="single" w:sz="4" w:space="0" w:color="auto"/>
              <w:right w:val="single" w:sz="4" w:space="0" w:color="auto"/>
            </w:tcBorders>
            <w:shd w:val="clear" w:color="auto" w:fill="auto"/>
            <w:noWrap/>
            <w:vAlign w:val="center"/>
            <w:hideMark/>
          </w:tcPr>
          <w:p w14:paraId="1EC2514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5085845000</w:t>
            </w:r>
          </w:p>
        </w:tc>
        <w:tc>
          <w:tcPr>
            <w:tcW w:w="547" w:type="pct"/>
            <w:tcBorders>
              <w:top w:val="nil"/>
              <w:left w:val="nil"/>
              <w:bottom w:val="single" w:sz="4" w:space="0" w:color="auto"/>
              <w:right w:val="single" w:sz="4" w:space="0" w:color="auto"/>
            </w:tcBorders>
            <w:shd w:val="clear" w:color="auto" w:fill="auto"/>
            <w:noWrap/>
            <w:vAlign w:val="center"/>
            <w:hideMark/>
          </w:tcPr>
          <w:p w14:paraId="1FB5E9F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61528714</w:t>
            </w:r>
          </w:p>
        </w:tc>
        <w:tc>
          <w:tcPr>
            <w:tcW w:w="3360" w:type="pct"/>
            <w:tcBorders>
              <w:top w:val="nil"/>
              <w:left w:val="nil"/>
              <w:bottom w:val="single" w:sz="4" w:space="0" w:color="auto"/>
              <w:right w:val="single" w:sz="4" w:space="0" w:color="auto"/>
            </w:tcBorders>
            <w:shd w:val="clear" w:color="auto" w:fill="auto"/>
            <w:vAlign w:val="center"/>
            <w:hideMark/>
          </w:tcPr>
          <w:p w14:paraId="20DE61C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RADA ROBIČA LIMBUŠ</w:t>
            </w:r>
          </w:p>
        </w:tc>
      </w:tr>
      <w:tr w:rsidR="00E3750C" w:rsidRPr="00415AB3" w14:paraId="4BDD74A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F7613C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1415</w:t>
            </w:r>
          </w:p>
        </w:tc>
        <w:tc>
          <w:tcPr>
            <w:tcW w:w="705" w:type="pct"/>
            <w:tcBorders>
              <w:top w:val="nil"/>
              <w:left w:val="nil"/>
              <w:bottom w:val="single" w:sz="4" w:space="0" w:color="auto"/>
              <w:right w:val="single" w:sz="4" w:space="0" w:color="auto"/>
            </w:tcBorders>
            <w:shd w:val="clear" w:color="auto" w:fill="auto"/>
            <w:noWrap/>
            <w:vAlign w:val="center"/>
            <w:hideMark/>
          </w:tcPr>
          <w:p w14:paraId="5FE2247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5089271000</w:t>
            </w:r>
          </w:p>
        </w:tc>
        <w:tc>
          <w:tcPr>
            <w:tcW w:w="547" w:type="pct"/>
            <w:tcBorders>
              <w:top w:val="nil"/>
              <w:left w:val="nil"/>
              <w:bottom w:val="single" w:sz="4" w:space="0" w:color="auto"/>
              <w:right w:val="single" w:sz="4" w:space="0" w:color="auto"/>
            </w:tcBorders>
            <w:shd w:val="clear" w:color="auto" w:fill="auto"/>
            <w:noWrap/>
            <w:vAlign w:val="center"/>
            <w:hideMark/>
          </w:tcPr>
          <w:p w14:paraId="019ED62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54093899</w:t>
            </w:r>
          </w:p>
        </w:tc>
        <w:tc>
          <w:tcPr>
            <w:tcW w:w="3360" w:type="pct"/>
            <w:tcBorders>
              <w:top w:val="nil"/>
              <w:left w:val="nil"/>
              <w:bottom w:val="single" w:sz="4" w:space="0" w:color="auto"/>
              <w:right w:val="single" w:sz="4" w:space="0" w:color="auto"/>
            </w:tcBorders>
            <w:shd w:val="clear" w:color="auto" w:fill="auto"/>
            <w:vAlign w:val="center"/>
            <w:hideMark/>
          </w:tcPr>
          <w:p w14:paraId="4589A07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RADLJE OB DRAVI</w:t>
            </w:r>
          </w:p>
        </w:tc>
      </w:tr>
      <w:tr w:rsidR="00E3750C" w:rsidRPr="00415AB3" w14:paraId="69FD242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9D03EC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1416</w:t>
            </w:r>
          </w:p>
        </w:tc>
        <w:tc>
          <w:tcPr>
            <w:tcW w:w="705" w:type="pct"/>
            <w:tcBorders>
              <w:top w:val="nil"/>
              <w:left w:val="nil"/>
              <w:bottom w:val="single" w:sz="4" w:space="0" w:color="auto"/>
              <w:right w:val="single" w:sz="4" w:space="0" w:color="auto"/>
            </w:tcBorders>
            <w:shd w:val="clear" w:color="auto" w:fill="auto"/>
            <w:noWrap/>
            <w:vAlign w:val="center"/>
            <w:hideMark/>
          </w:tcPr>
          <w:p w14:paraId="1504F63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5083281000</w:t>
            </w:r>
          </w:p>
        </w:tc>
        <w:tc>
          <w:tcPr>
            <w:tcW w:w="547" w:type="pct"/>
            <w:tcBorders>
              <w:top w:val="nil"/>
              <w:left w:val="nil"/>
              <w:bottom w:val="single" w:sz="4" w:space="0" w:color="auto"/>
              <w:right w:val="single" w:sz="4" w:space="0" w:color="auto"/>
            </w:tcBorders>
            <w:shd w:val="clear" w:color="auto" w:fill="auto"/>
            <w:noWrap/>
            <w:vAlign w:val="center"/>
            <w:hideMark/>
          </w:tcPr>
          <w:p w14:paraId="7A657B7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61576824</w:t>
            </w:r>
          </w:p>
        </w:tc>
        <w:tc>
          <w:tcPr>
            <w:tcW w:w="3360" w:type="pct"/>
            <w:tcBorders>
              <w:top w:val="nil"/>
              <w:left w:val="nil"/>
              <w:bottom w:val="single" w:sz="4" w:space="0" w:color="auto"/>
              <w:right w:val="single" w:sz="4" w:space="0" w:color="auto"/>
            </w:tcBorders>
            <w:shd w:val="clear" w:color="auto" w:fill="auto"/>
            <w:vAlign w:val="center"/>
            <w:hideMark/>
          </w:tcPr>
          <w:p w14:paraId="223F1B0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RAKA</w:t>
            </w:r>
          </w:p>
        </w:tc>
      </w:tr>
      <w:tr w:rsidR="00E3750C" w:rsidRPr="00415AB3" w14:paraId="3A86208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F5FC32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1417</w:t>
            </w:r>
          </w:p>
        </w:tc>
        <w:tc>
          <w:tcPr>
            <w:tcW w:w="705" w:type="pct"/>
            <w:tcBorders>
              <w:top w:val="nil"/>
              <w:left w:val="nil"/>
              <w:bottom w:val="single" w:sz="4" w:space="0" w:color="auto"/>
              <w:right w:val="single" w:sz="4" w:space="0" w:color="auto"/>
            </w:tcBorders>
            <w:shd w:val="clear" w:color="auto" w:fill="auto"/>
            <w:noWrap/>
            <w:vAlign w:val="center"/>
            <w:hideMark/>
          </w:tcPr>
          <w:p w14:paraId="07CDAB3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5087252000</w:t>
            </w:r>
          </w:p>
        </w:tc>
        <w:tc>
          <w:tcPr>
            <w:tcW w:w="547" w:type="pct"/>
            <w:tcBorders>
              <w:top w:val="nil"/>
              <w:left w:val="nil"/>
              <w:bottom w:val="single" w:sz="4" w:space="0" w:color="auto"/>
              <w:right w:val="single" w:sz="4" w:space="0" w:color="auto"/>
            </w:tcBorders>
            <w:shd w:val="clear" w:color="auto" w:fill="auto"/>
            <w:noWrap/>
            <w:vAlign w:val="center"/>
            <w:hideMark/>
          </w:tcPr>
          <w:p w14:paraId="782E623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93310510</w:t>
            </w:r>
          </w:p>
        </w:tc>
        <w:tc>
          <w:tcPr>
            <w:tcW w:w="3360" w:type="pct"/>
            <w:tcBorders>
              <w:top w:val="nil"/>
              <w:left w:val="nil"/>
              <w:bottom w:val="single" w:sz="4" w:space="0" w:color="auto"/>
              <w:right w:val="single" w:sz="4" w:space="0" w:color="auto"/>
            </w:tcBorders>
            <w:shd w:val="clear" w:color="auto" w:fill="auto"/>
            <w:vAlign w:val="center"/>
            <w:hideMark/>
          </w:tcPr>
          <w:p w14:paraId="267A3D1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RIBNICA NA POHORJU</w:t>
            </w:r>
          </w:p>
        </w:tc>
      </w:tr>
      <w:tr w:rsidR="00E3750C" w:rsidRPr="00415AB3" w14:paraId="107FD80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69AA2F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1418</w:t>
            </w:r>
          </w:p>
        </w:tc>
        <w:tc>
          <w:tcPr>
            <w:tcW w:w="705" w:type="pct"/>
            <w:tcBorders>
              <w:top w:val="nil"/>
              <w:left w:val="nil"/>
              <w:bottom w:val="single" w:sz="4" w:space="0" w:color="auto"/>
              <w:right w:val="single" w:sz="4" w:space="0" w:color="auto"/>
            </w:tcBorders>
            <w:shd w:val="clear" w:color="auto" w:fill="auto"/>
            <w:noWrap/>
            <w:vAlign w:val="center"/>
            <w:hideMark/>
          </w:tcPr>
          <w:p w14:paraId="356B12A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5086132000</w:t>
            </w:r>
          </w:p>
        </w:tc>
        <w:tc>
          <w:tcPr>
            <w:tcW w:w="547" w:type="pct"/>
            <w:tcBorders>
              <w:top w:val="nil"/>
              <w:left w:val="nil"/>
              <w:bottom w:val="single" w:sz="4" w:space="0" w:color="auto"/>
              <w:right w:val="single" w:sz="4" w:space="0" w:color="auto"/>
            </w:tcBorders>
            <w:shd w:val="clear" w:color="auto" w:fill="auto"/>
            <w:noWrap/>
            <w:vAlign w:val="center"/>
            <w:hideMark/>
          </w:tcPr>
          <w:p w14:paraId="67B8907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43483461</w:t>
            </w:r>
          </w:p>
        </w:tc>
        <w:tc>
          <w:tcPr>
            <w:tcW w:w="3360" w:type="pct"/>
            <w:tcBorders>
              <w:top w:val="nil"/>
              <w:left w:val="nil"/>
              <w:bottom w:val="single" w:sz="4" w:space="0" w:color="auto"/>
              <w:right w:val="single" w:sz="4" w:space="0" w:color="auto"/>
            </w:tcBorders>
            <w:shd w:val="clear" w:color="auto" w:fill="auto"/>
            <w:vAlign w:val="center"/>
            <w:hideMark/>
          </w:tcPr>
          <w:p w14:paraId="2E8A738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RIHARDA JAKOPIČA</w:t>
            </w:r>
          </w:p>
        </w:tc>
      </w:tr>
      <w:tr w:rsidR="00E3750C" w:rsidRPr="00415AB3" w14:paraId="4A13D15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38EEB9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1419</w:t>
            </w:r>
          </w:p>
        </w:tc>
        <w:tc>
          <w:tcPr>
            <w:tcW w:w="705" w:type="pct"/>
            <w:tcBorders>
              <w:top w:val="nil"/>
              <w:left w:val="nil"/>
              <w:bottom w:val="single" w:sz="4" w:space="0" w:color="auto"/>
              <w:right w:val="single" w:sz="4" w:space="0" w:color="auto"/>
            </w:tcBorders>
            <w:shd w:val="clear" w:color="auto" w:fill="auto"/>
            <w:noWrap/>
            <w:vAlign w:val="center"/>
            <w:hideMark/>
          </w:tcPr>
          <w:p w14:paraId="6CF0ED6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5083737000</w:t>
            </w:r>
          </w:p>
        </w:tc>
        <w:tc>
          <w:tcPr>
            <w:tcW w:w="547" w:type="pct"/>
            <w:tcBorders>
              <w:top w:val="nil"/>
              <w:left w:val="nil"/>
              <w:bottom w:val="single" w:sz="4" w:space="0" w:color="auto"/>
              <w:right w:val="single" w:sz="4" w:space="0" w:color="auto"/>
            </w:tcBorders>
            <w:shd w:val="clear" w:color="auto" w:fill="auto"/>
            <w:noWrap/>
            <w:vAlign w:val="center"/>
            <w:hideMark/>
          </w:tcPr>
          <w:p w14:paraId="71D0515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34707735</w:t>
            </w:r>
          </w:p>
        </w:tc>
        <w:tc>
          <w:tcPr>
            <w:tcW w:w="3360" w:type="pct"/>
            <w:tcBorders>
              <w:top w:val="nil"/>
              <w:left w:val="nil"/>
              <w:bottom w:val="single" w:sz="4" w:space="0" w:color="auto"/>
              <w:right w:val="single" w:sz="4" w:space="0" w:color="auto"/>
            </w:tcBorders>
            <w:shd w:val="clear" w:color="auto" w:fill="auto"/>
            <w:vAlign w:val="center"/>
            <w:hideMark/>
          </w:tcPr>
          <w:p w14:paraId="5FCCACF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RODICA</w:t>
            </w:r>
          </w:p>
        </w:tc>
      </w:tr>
      <w:tr w:rsidR="00E3750C" w:rsidRPr="00415AB3" w14:paraId="1F455F4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55332D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1420</w:t>
            </w:r>
          </w:p>
        </w:tc>
        <w:tc>
          <w:tcPr>
            <w:tcW w:w="705" w:type="pct"/>
            <w:tcBorders>
              <w:top w:val="nil"/>
              <w:left w:val="nil"/>
              <w:bottom w:val="single" w:sz="4" w:space="0" w:color="auto"/>
              <w:right w:val="single" w:sz="4" w:space="0" w:color="auto"/>
            </w:tcBorders>
            <w:shd w:val="clear" w:color="auto" w:fill="auto"/>
            <w:noWrap/>
            <w:vAlign w:val="center"/>
            <w:hideMark/>
          </w:tcPr>
          <w:p w14:paraId="13D1AD4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5082854000</w:t>
            </w:r>
          </w:p>
        </w:tc>
        <w:tc>
          <w:tcPr>
            <w:tcW w:w="547" w:type="pct"/>
            <w:tcBorders>
              <w:top w:val="nil"/>
              <w:left w:val="nil"/>
              <w:bottom w:val="single" w:sz="4" w:space="0" w:color="auto"/>
              <w:right w:val="single" w:sz="4" w:space="0" w:color="auto"/>
            </w:tcBorders>
            <w:shd w:val="clear" w:color="auto" w:fill="auto"/>
            <w:noWrap/>
            <w:vAlign w:val="center"/>
            <w:hideMark/>
          </w:tcPr>
          <w:p w14:paraId="6DF17AE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21511489</w:t>
            </w:r>
          </w:p>
        </w:tc>
        <w:tc>
          <w:tcPr>
            <w:tcW w:w="3360" w:type="pct"/>
            <w:tcBorders>
              <w:top w:val="nil"/>
              <w:left w:val="nil"/>
              <w:bottom w:val="single" w:sz="4" w:space="0" w:color="auto"/>
              <w:right w:val="single" w:sz="4" w:space="0" w:color="auto"/>
            </w:tcBorders>
            <w:shd w:val="clear" w:color="auto" w:fill="auto"/>
            <w:vAlign w:val="center"/>
            <w:hideMark/>
          </w:tcPr>
          <w:p w14:paraId="640497E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ROJE</w:t>
            </w:r>
          </w:p>
        </w:tc>
      </w:tr>
      <w:tr w:rsidR="00E3750C" w:rsidRPr="00415AB3" w14:paraId="15E7BB4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365DEA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1421</w:t>
            </w:r>
          </w:p>
        </w:tc>
        <w:tc>
          <w:tcPr>
            <w:tcW w:w="705" w:type="pct"/>
            <w:tcBorders>
              <w:top w:val="nil"/>
              <w:left w:val="nil"/>
              <w:bottom w:val="single" w:sz="4" w:space="0" w:color="auto"/>
              <w:right w:val="single" w:sz="4" w:space="0" w:color="auto"/>
            </w:tcBorders>
            <w:shd w:val="clear" w:color="auto" w:fill="auto"/>
            <w:noWrap/>
            <w:vAlign w:val="center"/>
            <w:hideMark/>
          </w:tcPr>
          <w:p w14:paraId="361B395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5912792000</w:t>
            </w:r>
          </w:p>
        </w:tc>
        <w:tc>
          <w:tcPr>
            <w:tcW w:w="547" w:type="pct"/>
            <w:tcBorders>
              <w:top w:val="nil"/>
              <w:left w:val="nil"/>
              <w:bottom w:val="single" w:sz="4" w:space="0" w:color="auto"/>
              <w:right w:val="single" w:sz="4" w:space="0" w:color="auto"/>
            </w:tcBorders>
            <w:shd w:val="clear" w:color="auto" w:fill="auto"/>
            <w:noWrap/>
            <w:vAlign w:val="center"/>
            <w:hideMark/>
          </w:tcPr>
          <w:p w14:paraId="4D73401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57121133</w:t>
            </w:r>
          </w:p>
        </w:tc>
        <w:tc>
          <w:tcPr>
            <w:tcW w:w="3360" w:type="pct"/>
            <w:tcBorders>
              <w:top w:val="nil"/>
              <w:left w:val="nil"/>
              <w:bottom w:val="single" w:sz="4" w:space="0" w:color="auto"/>
              <w:right w:val="single" w:sz="4" w:space="0" w:color="auto"/>
            </w:tcBorders>
            <w:shd w:val="clear" w:color="auto" w:fill="auto"/>
            <w:vAlign w:val="center"/>
            <w:hideMark/>
          </w:tcPr>
          <w:p w14:paraId="596F178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ROVTE</w:t>
            </w:r>
          </w:p>
        </w:tc>
      </w:tr>
      <w:tr w:rsidR="00E3750C" w:rsidRPr="00415AB3" w14:paraId="2A45786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608E6C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1422</w:t>
            </w:r>
          </w:p>
        </w:tc>
        <w:tc>
          <w:tcPr>
            <w:tcW w:w="705" w:type="pct"/>
            <w:tcBorders>
              <w:top w:val="nil"/>
              <w:left w:val="nil"/>
              <w:bottom w:val="single" w:sz="4" w:space="0" w:color="auto"/>
              <w:right w:val="single" w:sz="4" w:space="0" w:color="auto"/>
            </w:tcBorders>
            <w:shd w:val="clear" w:color="auto" w:fill="auto"/>
            <w:noWrap/>
            <w:vAlign w:val="center"/>
            <w:hideMark/>
          </w:tcPr>
          <w:p w14:paraId="4E89C1B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5086167000</w:t>
            </w:r>
          </w:p>
        </w:tc>
        <w:tc>
          <w:tcPr>
            <w:tcW w:w="547" w:type="pct"/>
            <w:tcBorders>
              <w:top w:val="nil"/>
              <w:left w:val="nil"/>
              <w:bottom w:val="single" w:sz="4" w:space="0" w:color="auto"/>
              <w:right w:val="single" w:sz="4" w:space="0" w:color="auto"/>
            </w:tcBorders>
            <w:shd w:val="clear" w:color="auto" w:fill="auto"/>
            <w:noWrap/>
            <w:vAlign w:val="center"/>
            <w:hideMark/>
          </w:tcPr>
          <w:p w14:paraId="15D9ABD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62160559</w:t>
            </w:r>
          </w:p>
        </w:tc>
        <w:tc>
          <w:tcPr>
            <w:tcW w:w="3360" w:type="pct"/>
            <w:tcBorders>
              <w:top w:val="nil"/>
              <w:left w:val="nil"/>
              <w:bottom w:val="single" w:sz="4" w:space="0" w:color="auto"/>
              <w:right w:val="single" w:sz="4" w:space="0" w:color="auto"/>
            </w:tcBorders>
            <w:shd w:val="clear" w:color="auto" w:fill="auto"/>
            <w:vAlign w:val="center"/>
            <w:hideMark/>
          </w:tcPr>
          <w:p w14:paraId="5AA2954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RUDOLFA MAISTRA</w:t>
            </w:r>
          </w:p>
        </w:tc>
      </w:tr>
      <w:tr w:rsidR="00E3750C" w:rsidRPr="00415AB3" w14:paraId="58B17EB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629807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1423</w:t>
            </w:r>
          </w:p>
        </w:tc>
        <w:tc>
          <w:tcPr>
            <w:tcW w:w="705" w:type="pct"/>
            <w:tcBorders>
              <w:top w:val="nil"/>
              <w:left w:val="nil"/>
              <w:bottom w:val="single" w:sz="4" w:space="0" w:color="auto"/>
              <w:right w:val="single" w:sz="4" w:space="0" w:color="auto"/>
            </w:tcBorders>
            <w:shd w:val="clear" w:color="auto" w:fill="auto"/>
            <w:noWrap/>
            <w:vAlign w:val="center"/>
            <w:hideMark/>
          </w:tcPr>
          <w:p w14:paraId="4132BFD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5083800000</w:t>
            </w:r>
          </w:p>
        </w:tc>
        <w:tc>
          <w:tcPr>
            <w:tcW w:w="547" w:type="pct"/>
            <w:tcBorders>
              <w:top w:val="nil"/>
              <w:left w:val="nil"/>
              <w:bottom w:val="single" w:sz="4" w:space="0" w:color="auto"/>
              <w:right w:val="single" w:sz="4" w:space="0" w:color="auto"/>
            </w:tcBorders>
            <w:shd w:val="clear" w:color="auto" w:fill="auto"/>
            <w:noWrap/>
            <w:vAlign w:val="center"/>
            <w:hideMark/>
          </w:tcPr>
          <w:p w14:paraId="52F61D5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40184277</w:t>
            </w:r>
          </w:p>
        </w:tc>
        <w:tc>
          <w:tcPr>
            <w:tcW w:w="3360" w:type="pct"/>
            <w:tcBorders>
              <w:top w:val="nil"/>
              <w:left w:val="nil"/>
              <w:bottom w:val="single" w:sz="4" w:space="0" w:color="auto"/>
              <w:right w:val="single" w:sz="4" w:space="0" w:color="auto"/>
            </w:tcBorders>
            <w:shd w:val="clear" w:color="auto" w:fill="auto"/>
            <w:vAlign w:val="center"/>
            <w:hideMark/>
          </w:tcPr>
          <w:p w14:paraId="46D0F0C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RUDOLFA UKOVIČA PODGRAD</w:t>
            </w:r>
          </w:p>
        </w:tc>
      </w:tr>
      <w:tr w:rsidR="00E3750C" w:rsidRPr="00415AB3" w14:paraId="2EA9D02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C56574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1424</w:t>
            </w:r>
          </w:p>
        </w:tc>
        <w:tc>
          <w:tcPr>
            <w:tcW w:w="705" w:type="pct"/>
            <w:tcBorders>
              <w:top w:val="nil"/>
              <w:left w:val="nil"/>
              <w:bottom w:val="single" w:sz="4" w:space="0" w:color="auto"/>
              <w:right w:val="single" w:sz="4" w:space="0" w:color="auto"/>
            </w:tcBorders>
            <w:shd w:val="clear" w:color="auto" w:fill="auto"/>
            <w:noWrap/>
            <w:vAlign w:val="center"/>
            <w:hideMark/>
          </w:tcPr>
          <w:p w14:paraId="075FAFE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5087490000</w:t>
            </w:r>
          </w:p>
        </w:tc>
        <w:tc>
          <w:tcPr>
            <w:tcW w:w="547" w:type="pct"/>
            <w:tcBorders>
              <w:top w:val="nil"/>
              <w:left w:val="nil"/>
              <w:bottom w:val="single" w:sz="4" w:space="0" w:color="auto"/>
              <w:right w:val="single" w:sz="4" w:space="0" w:color="auto"/>
            </w:tcBorders>
            <w:shd w:val="clear" w:color="auto" w:fill="auto"/>
            <w:noWrap/>
            <w:vAlign w:val="center"/>
            <w:hideMark/>
          </w:tcPr>
          <w:p w14:paraId="7CEC6B6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69230307</w:t>
            </w:r>
          </w:p>
        </w:tc>
        <w:tc>
          <w:tcPr>
            <w:tcW w:w="3360" w:type="pct"/>
            <w:tcBorders>
              <w:top w:val="nil"/>
              <w:left w:val="nil"/>
              <w:bottom w:val="single" w:sz="4" w:space="0" w:color="auto"/>
              <w:right w:val="single" w:sz="4" w:space="0" w:color="auto"/>
            </w:tcBorders>
            <w:shd w:val="clear" w:color="auto" w:fill="auto"/>
            <w:vAlign w:val="center"/>
            <w:hideMark/>
          </w:tcPr>
          <w:p w14:paraId="14E19F5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SAVA KLADNIKA SEVNICA</w:t>
            </w:r>
          </w:p>
        </w:tc>
      </w:tr>
      <w:tr w:rsidR="00E3750C" w:rsidRPr="00415AB3" w14:paraId="209C4C2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3A326F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1425</w:t>
            </w:r>
          </w:p>
        </w:tc>
        <w:tc>
          <w:tcPr>
            <w:tcW w:w="705" w:type="pct"/>
            <w:tcBorders>
              <w:top w:val="nil"/>
              <w:left w:val="nil"/>
              <w:bottom w:val="single" w:sz="4" w:space="0" w:color="auto"/>
              <w:right w:val="single" w:sz="4" w:space="0" w:color="auto"/>
            </w:tcBorders>
            <w:shd w:val="clear" w:color="auto" w:fill="auto"/>
            <w:noWrap/>
            <w:vAlign w:val="center"/>
            <w:hideMark/>
          </w:tcPr>
          <w:p w14:paraId="651A671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5083362000</w:t>
            </w:r>
          </w:p>
        </w:tc>
        <w:tc>
          <w:tcPr>
            <w:tcW w:w="547" w:type="pct"/>
            <w:tcBorders>
              <w:top w:val="nil"/>
              <w:left w:val="nil"/>
              <w:bottom w:val="single" w:sz="4" w:space="0" w:color="auto"/>
              <w:right w:val="single" w:sz="4" w:space="0" w:color="auto"/>
            </w:tcBorders>
            <w:shd w:val="clear" w:color="auto" w:fill="auto"/>
            <w:noWrap/>
            <w:vAlign w:val="center"/>
            <w:hideMark/>
          </w:tcPr>
          <w:p w14:paraId="40F187E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71148922</w:t>
            </w:r>
          </w:p>
        </w:tc>
        <w:tc>
          <w:tcPr>
            <w:tcW w:w="3360" w:type="pct"/>
            <w:tcBorders>
              <w:top w:val="nil"/>
              <w:left w:val="nil"/>
              <w:bottom w:val="single" w:sz="4" w:space="0" w:color="auto"/>
              <w:right w:val="single" w:sz="4" w:space="0" w:color="auto"/>
            </w:tcBorders>
            <w:shd w:val="clear" w:color="auto" w:fill="auto"/>
            <w:vAlign w:val="center"/>
            <w:hideMark/>
          </w:tcPr>
          <w:p w14:paraId="0CF7FC7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SAVSKO NASELJE</w:t>
            </w:r>
          </w:p>
        </w:tc>
      </w:tr>
      <w:tr w:rsidR="00E3750C" w:rsidRPr="00415AB3" w14:paraId="5CA9680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7212FA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1426</w:t>
            </w:r>
          </w:p>
        </w:tc>
        <w:tc>
          <w:tcPr>
            <w:tcW w:w="705" w:type="pct"/>
            <w:tcBorders>
              <w:top w:val="nil"/>
              <w:left w:val="nil"/>
              <w:bottom w:val="single" w:sz="4" w:space="0" w:color="auto"/>
              <w:right w:val="single" w:sz="4" w:space="0" w:color="auto"/>
            </w:tcBorders>
            <w:shd w:val="clear" w:color="auto" w:fill="auto"/>
            <w:noWrap/>
            <w:vAlign w:val="center"/>
            <w:hideMark/>
          </w:tcPr>
          <w:p w14:paraId="3F2D22A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5086876000</w:t>
            </w:r>
          </w:p>
        </w:tc>
        <w:tc>
          <w:tcPr>
            <w:tcW w:w="547" w:type="pct"/>
            <w:tcBorders>
              <w:top w:val="nil"/>
              <w:left w:val="nil"/>
              <w:bottom w:val="single" w:sz="4" w:space="0" w:color="auto"/>
              <w:right w:val="single" w:sz="4" w:space="0" w:color="auto"/>
            </w:tcBorders>
            <w:shd w:val="clear" w:color="auto" w:fill="auto"/>
            <w:noWrap/>
            <w:vAlign w:val="center"/>
            <w:hideMark/>
          </w:tcPr>
          <w:p w14:paraId="41985C5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93348428</w:t>
            </w:r>
          </w:p>
        </w:tc>
        <w:tc>
          <w:tcPr>
            <w:tcW w:w="3360" w:type="pct"/>
            <w:tcBorders>
              <w:top w:val="nil"/>
              <w:left w:val="nil"/>
              <w:bottom w:val="single" w:sz="4" w:space="0" w:color="auto"/>
              <w:right w:val="single" w:sz="4" w:space="0" w:color="auto"/>
            </w:tcBorders>
            <w:shd w:val="clear" w:color="auto" w:fill="auto"/>
            <w:vAlign w:val="center"/>
            <w:hideMark/>
          </w:tcPr>
          <w:p w14:paraId="0D1AEAA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SEČOVLJE SCUOLA ELEMENTARE SICCIOLE</w:t>
            </w:r>
          </w:p>
        </w:tc>
      </w:tr>
      <w:tr w:rsidR="00E3750C" w:rsidRPr="00415AB3" w14:paraId="1A449A6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A08C07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1427</w:t>
            </w:r>
          </w:p>
        </w:tc>
        <w:tc>
          <w:tcPr>
            <w:tcW w:w="705" w:type="pct"/>
            <w:tcBorders>
              <w:top w:val="nil"/>
              <w:left w:val="nil"/>
              <w:bottom w:val="single" w:sz="4" w:space="0" w:color="auto"/>
              <w:right w:val="single" w:sz="4" w:space="0" w:color="auto"/>
            </w:tcBorders>
            <w:shd w:val="clear" w:color="auto" w:fill="auto"/>
            <w:noWrap/>
            <w:vAlign w:val="center"/>
            <w:hideMark/>
          </w:tcPr>
          <w:p w14:paraId="6CCB781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5085136000</w:t>
            </w:r>
          </w:p>
        </w:tc>
        <w:tc>
          <w:tcPr>
            <w:tcW w:w="547" w:type="pct"/>
            <w:tcBorders>
              <w:top w:val="nil"/>
              <w:left w:val="nil"/>
              <w:bottom w:val="single" w:sz="4" w:space="0" w:color="auto"/>
              <w:right w:val="single" w:sz="4" w:space="0" w:color="auto"/>
            </w:tcBorders>
            <w:shd w:val="clear" w:color="auto" w:fill="auto"/>
            <w:noWrap/>
            <w:vAlign w:val="center"/>
            <w:hideMark/>
          </w:tcPr>
          <w:p w14:paraId="54CB817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21101736</w:t>
            </w:r>
          </w:p>
        </w:tc>
        <w:tc>
          <w:tcPr>
            <w:tcW w:w="3360" w:type="pct"/>
            <w:tcBorders>
              <w:top w:val="nil"/>
              <w:left w:val="nil"/>
              <w:bottom w:val="single" w:sz="4" w:space="0" w:color="auto"/>
              <w:right w:val="single" w:sz="4" w:space="0" w:color="auto"/>
            </w:tcBorders>
            <w:shd w:val="clear" w:color="auto" w:fill="auto"/>
            <w:vAlign w:val="center"/>
            <w:hideMark/>
          </w:tcPr>
          <w:p w14:paraId="1E32B48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SELNICA OB DRAVI</w:t>
            </w:r>
          </w:p>
        </w:tc>
      </w:tr>
      <w:tr w:rsidR="00E3750C" w:rsidRPr="00415AB3" w14:paraId="6DB0A96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4E32DF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1428</w:t>
            </w:r>
          </w:p>
        </w:tc>
        <w:tc>
          <w:tcPr>
            <w:tcW w:w="705" w:type="pct"/>
            <w:tcBorders>
              <w:top w:val="nil"/>
              <w:left w:val="nil"/>
              <w:bottom w:val="single" w:sz="4" w:space="0" w:color="auto"/>
              <w:right w:val="single" w:sz="4" w:space="0" w:color="auto"/>
            </w:tcBorders>
            <w:shd w:val="clear" w:color="auto" w:fill="auto"/>
            <w:noWrap/>
            <w:vAlign w:val="center"/>
            <w:hideMark/>
          </w:tcPr>
          <w:p w14:paraId="2A67357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5089832000</w:t>
            </w:r>
          </w:p>
        </w:tc>
        <w:tc>
          <w:tcPr>
            <w:tcW w:w="547" w:type="pct"/>
            <w:tcBorders>
              <w:top w:val="nil"/>
              <w:left w:val="nil"/>
              <w:bottom w:val="single" w:sz="4" w:space="0" w:color="auto"/>
              <w:right w:val="single" w:sz="4" w:space="0" w:color="auto"/>
            </w:tcBorders>
            <w:shd w:val="clear" w:color="auto" w:fill="auto"/>
            <w:noWrap/>
            <w:vAlign w:val="center"/>
            <w:hideMark/>
          </w:tcPr>
          <w:p w14:paraId="547A32A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51971020</w:t>
            </w:r>
          </w:p>
        </w:tc>
        <w:tc>
          <w:tcPr>
            <w:tcW w:w="3360" w:type="pct"/>
            <w:tcBorders>
              <w:top w:val="nil"/>
              <w:left w:val="nil"/>
              <w:bottom w:val="single" w:sz="4" w:space="0" w:color="auto"/>
              <w:right w:val="single" w:sz="4" w:space="0" w:color="auto"/>
            </w:tcBorders>
            <w:shd w:val="clear" w:color="auto" w:fill="auto"/>
            <w:vAlign w:val="center"/>
            <w:hideMark/>
          </w:tcPr>
          <w:p w14:paraId="6EF5FB2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SIMONA GREGORČIČA KOBARID</w:t>
            </w:r>
          </w:p>
        </w:tc>
      </w:tr>
      <w:tr w:rsidR="00E3750C" w:rsidRPr="00415AB3" w14:paraId="723CF6D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D5FFB6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1429</w:t>
            </w:r>
          </w:p>
        </w:tc>
        <w:tc>
          <w:tcPr>
            <w:tcW w:w="705" w:type="pct"/>
            <w:tcBorders>
              <w:top w:val="nil"/>
              <w:left w:val="nil"/>
              <w:bottom w:val="single" w:sz="4" w:space="0" w:color="auto"/>
              <w:right w:val="single" w:sz="4" w:space="0" w:color="auto"/>
            </w:tcBorders>
            <w:shd w:val="clear" w:color="auto" w:fill="auto"/>
            <w:noWrap/>
            <w:vAlign w:val="center"/>
            <w:hideMark/>
          </w:tcPr>
          <w:p w14:paraId="563DA68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5084385000</w:t>
            </w:r>
          </w:p>
        </w:tc>
        <w:tc>
          <w:tcPr>
            <w:tcW w:w="547" w:type="pct"/>
            <w:tcBorders>
              <w:top w:val="nil"/>
              <w:left w:val="nil"/>
              <w:bottom w:val="single" w:sz="4" w:space="0" w:color="auto"/>
              <w:right w:val="single" w:sz="4" w:space="0" w:color="auto"/>
            </w:tcBorders>
            <w:shd w:val="clear" w:color="auto" w:fill="auto"/>
            <w:noWrap/>
            <w:vAlign w:val="center"/>
            <w:hideMark/>
          </w:tcPr>
          <w:p w14:paraId="162A03F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11413743</w:t>
            </w:r>
          </w:p>
        </w:tc>
        <w:tc>
          <w:tcPr>
            <w:tcW w:w="3360" w:type="pct"/>
            <w:tcBorders>
              <w:top w:val="nil"/>
              <w:left w:val="nil"/>
              <w:bottom w:val="single" w:sz="4" w:space="0" w:color="auto"/>
              <w:right w:val="single" w:sz="4" w:space="0" w:color="auto"/>
            </w:tcBorders>
            <w:shd w:val="clear" w:color="auto" w:fill="auto"/>
            <w:vAlign w:val="center"/>
            <w:hideMark/>
          </w:tcPr>
          <w:p w14:paraId="64E64DA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SIMONA JENKA</w:t>
            </w:r>
          </w:p>
        </w:tc>
      </w:tr>
      <w:tr w:rsidR="00E3750C" w:rsidRPr="00415AB3" w14:paraId="67A5829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7D6C91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1430</w:t>
            </w:r>
          </w:p>
        </w:tc>
        <w:tc>
          <w:tcPr>
            <w:tcW w:w="705" w:type="pct"/>
            <w:tcBorders>
              <w:top w:val="nil"/>
              <w:left w:val="nil"/>
              <w:bottom w:val="single" w:sz="4" w:space="0" w:color="auto"/>
              <w:right w:val="single" w:sz="4" w:space="0" w:color="auto"/>
            </w:tcBorders>
            <w:shd w:val="clear" w:color="auto" w:fill="auto"/>
            <w:noWrap/>
            <w:vAlign w:val="center"/>
            <w:hideMark/>
          </w:tcPr>
          <w:p w14:paraId="75EE0EC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5083192000</w:t>
            </w:r>
          </w:p>
        </w:tc>
        <w:tc>
          <w:tcPr>
            <w:tcW w:w="547" w:type="pct"/>
            <w:tcBorders>
              <w:top w:val="nil"/>
              <w:left w:val="nil"/>
              <w:bottom w:val="single" w:sz="4" w:space="0" w:color="auto"/>
              <w:right w:val="single" w:sz="4" w:space="0" w:color="auto"/>
            </w:tcBorders>
            <w:shd w:val="clear" w:color="auto" w:fill="auto"/>
            <w:noWrap/>
            <w:vAlign w:val="center"/>
            <w:hideMark/>
          </w:tcPr>
          <w:p w14:paraId="48B935A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43026141</w:t>
            </w:r>
          </w:p>
        </w:tc>
        <w:tc>
          <w:tcPr>
            <w:tcW w:w="3360" w:type="pct"/>
            <w:tcBorders>
              <w:top w:val="nil"/>
              <w:left w:val="nil"/>
              <w:bottom w:val="single" w:sz="4" w:space="0" w:color="auto"/>
              <w:right w:val="single" w:sz="4" w:space="0" w:color="auto"/>
            </w:tcBorders>
            <w:shd w:val="clear" w:color="auto" w:fill="auto"/>
            <w:vAlign w:val="center"/>
            <w:hideMark/>
          </w:tcPr>
          <w:p w14:paraId="044BB68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SIMONA JENKA KRANJ</w:t>
            </w:r>
          </w:p>
        </w:tc>
      </w:tr>
      <w:tr w:rsidR="00E3750C" w:rsidRPr="00415AB3" w14:paraId="6346118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38F2A1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1431</w:t>
            </w:r>
          </w:p>
        </w:tc>
        <w:tc>
          <w:tcPr>
            <w:tcW w:w="705" w:type="pct"/>
            <w:tcBorders>
              <w:top w:val="nil"/>
              <w:left w:val="nil"/>
              <w:bottom w:val="single" w:sz="4" w:space="0" w:color="auto"/>
              <w:right w:val="single" w:sz="4" w:space="0" w:color="auto"/>
            </w:tcBorders>
            <w:shd w:val="clear" w:color="auto" w:fill="auto"/>
            <w:noWrap/>
            <w:vAlign w:val="center"/>
            <w:hideMark/>
          </w:tcPr>
          <w:p w14:paraId="364E119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5085144000</w:t>
            </w:r>
          </w:p>
        </w:tc>
        <w:tc>
          <w:tcPr>
            <w:tcW w:w="547" w:type="pct"/>
            <w:tcBorders>
              <w:top w:val="nil"/>
              <w:left w:val="nil"/>
              <w:bottom w:val="single" w:sz="4" w:space="0" w:color="auto"/>
              <w:right w:val="single" w:sz="4" w:space="0" w:color="auto"/>
            </w:tcBorders>
            <w:shd w:val="clear" w:color="auto" w:fill="auto"/>
            <w:noWrap/>
            <w:vAlign w:val="center"/>
            <w:hideMark/>
          </w:tcPr>
          <w:p w14:paraId="6C059CE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74840959</w:t>
            </w:r>
          </w:p>
        </w:tc>
        <w:tc>
          <w:tcPr>
            <w:tcW w:w="3360" w:type="pct"/>
            <w:tcBorders>
              <w:top w:val="nil"/>
              <w:left w:val="nil"/>
              <w:bottom w:val="single" w:sz="4" w:space="0" w:color="auto"/>
              <w:right w:val="single" w:sz="4" w:space="0" w:color="auto"/>
            </w:tcBorders>
            <w:shd w:val="clear" w:color="auto" w:fill="auto"/>
            <w:vAlign w:val="center"/>
            <w:hideMark/>
          </w:tcPr>
          <w:p w14:paraId="2E613BF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SLADKI VRH</w:t>
            </w:r>
          </w:p>
        </w:tc>
      </w:tr>
      <w:tr w:rsidR="00E3750C" w:rsidRPr="00415AB3" w14:paraId="28221DF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21B349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1432</w:t>
            </w:r>
          </w:p>
        </w:tc>
        <w:tc>
          <w:tcPr>
            <w:tcW w:w="705" w:type="pct"/>
            <w:tcBorders>
              <w:top w:val="nil"/>
              <w:left w:val="nil"/>
              <w:bottom w:val="single" w:sz="4" w:space="0" w:color="auto"/>
              <w:right w:val="single" w:sz="4" w:space="0" w:color="auto"/>
            </w:tcBorders>
            <w:shd w:val="clear" w:color="auto" w:fill="auto"/>
            <w:noWrap/>
            <w:vAlign w:val="center"/>
            <w:hideMark/>
          </w:tcPr>
          <w:p w14:paraId="38BE83A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5085322000</w:t>
            </w:r>
          </w:p>
        </w:tc>
        <w:tc>
          <w:tcPr>
            <w:tcW w:w="547" w:type="pct"/>
            <w:tcBorders>
              <w:top w:val="nil"/>
              <w:left w:val="nil"/>
              <w:bottom w:val="single" w:sz="4" w:space="0" w:color="auto"/>
              <w:right w:val="single" w:sz="4" w:space="0" w:color="auto"/>
            </w:tcBorders>
            <w:shd w:val="clear" w:color="auto" w:fill="auto"/>
            <w:noWrap/>
            <w:vAlign w:val="center"/>
            <w:hideMark/>
          </w:tcPr>
          <w:p w14:paraId="7FCDEAA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38028654</w:t>
            </w:r>
          </w:p>
        </w:tc>
        <w:tc>
          <w:tcPr>
            <w:tcW w:w="3360" w:type="pct"/>
            <w:tcBorders>
              <w:top w:val="nil"/>
              <w:left w:val="nil"/>
              <w:bottom w:val="single" w:sz="4" w:space="0" w:color="auto"/>
              <w:right w:val="single" w:sz="4" w:space="0" w:color="auto"/>
            </w:tcBorders>
            <w:shd w:val="clear" w:color="auto" w:fill="auto"/>
            <w:vAlign w:val="center"/>
            <w:hideMark/>
          </w:tcPr>
          <w:p w14:paraId="19B0A12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SLAVE KLAVORE MARIBOR</w:t>
            </w:r>
          </w:p>
        </w:tc>
      </w:tr>
      <w:tr w:rsidR="00E3750C" w:rsidRPr="00415AB3" w14:paraId="422F92D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FE488A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1433</w:t>
            </w:r>
          </w:p>
        </w:tc>
        <w:tc>
          <w:tcPr>
            <w:tcW w:w="705" w:type="pct"/>
            <w:tcBorders>
              <w:top w:val="nil"/>
              <w:left w:val="nil"/>
              <w:bottom w:val="single" w:sz="4" w:space="0" w:color="auto"/>
              <w:right w:val="single" w:sz="4" w:space="0" w:color="auto"/>
            </w:tcBorders>
            <w:shd w:val="clear" w:color="auto" w:fill="auto"/>
            <w:noWrap/>
            <w:vAlign w:val="center"/>
            <w:hideMark/>
          </w:tcPr>
          <w:p w14:paraId="3D5BA5D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5087791000</w:t>
            </w:r>
          </w:p>
        </w:tc>
        <w:tc>
          <w:tcPr>
            <w:tcW w:w="547" w:type="pct"/>
            <w:tcBorders>
              <w:top w:val="nil"/>
              <w:left w:val="nil"/>
              <w:bottom w:val="single" w:sz="4" w:space="0" w:color="auto"/>
              <w:right w:val="single" w:sz="4" w:space="0" w:color="auto"/>
            </w:tcBorders>
            <w:shd w:val="clear" w:color="auto" w:fill="auto"/>
            <w:noWrap/>
            <w:vAlign w:val="center"/>
            <w:hideMark/>
          </w:tcPr>
          <w:p w14:paraId="7FF713C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33404569</w:t>
            </w:r>
          </w:p>
        </w:tc>
        <w:tc>
          <w:tcPr>
            <w:tcW w:w="3360" w:type="pct"/>
            <w:tcBorders>
              <w:top w:val="nil"/>
              <w:left w:val="nil"/>
              <w:bottom w:val="single" w:sz="4" w:space="0" w:color="auto"/>
              <w:right w:val="single" w:sz="4" w:space="0" w:color="auto"/>
            </w:tcBorders>
            <w:shd w:val="clear" w:color="auto" w:fill="auto"/>
            <w:vAlign w:val="center"/>
            <w:hideMark/>
          </w:tcPr>
          <w:p w14:paraId="44BDD8B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SLIVNICA PRI CELJU</w:t>
            </w:r>
          </w:p>
        </w:tc>
      </w:tr>
      <w:tr w:rsidR="00E3750C" w:rsidRPr="00415AB3" w14:paraId="595FC92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621EC7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1434</w:t>
            </w:r>
          </w:p>
        </w:tc>
        <w:tc>
          <w:tcPr>
            <w:tcW w:w="705" w:type="pct"/>
            <w:tcBorders>
              <w:top w:val="nil"/>
              <w:left w:val="nil"/>
              <w:bottom w:val="single" w:sz="4" w:space="0" w:color="auto"/>
              <w:right w:val="single" w:sz="4" w:space="0" w:color="auto"/>
            </w:tcBorders>
            <w:shd w:val="clear" w:color="auto" w:fill="auto"/>
            <w:noWrap/>
            <w:vAlign w:val="center"/>
            <w:hideMark/>
          </w:tcPr>
          <w:p w14:paraId="4E799CA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5089042000</w:t>
            </w:r>
          </w:p>
        </w:tc>
        <w:tc>
          <w:tcPr>
            <w:tcW w:w="547" w:type="pct"/>
            <w:tcBorders>
              <w:top w:val="nil"/>
              <w:left w:val="nil"/>
              <w:bottom w:val="single" w:sz="4" w:space="0" w:color="auto"/>
              <w:right w:val="single" w:sz="4" w:space="0" w:color="auto"/>
            </w:tcBorders>
            <w:shd w:val="clear" w:color="auto" w:fill="auto"/>
            <w:noWrap/>
            <w:vAlign w:val="center"/>
            <w:hideMark/>
          </w:tcPr>
          <w:p w14:paraId="2A7C4D9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15978346</w:t>
            </w:r>
          </w:p>
        </w:tc>
        <w:tc>
          <w:tcPr>
            <w:tcW w:w="3360" w:type="pct"/>
            <w:tcBorders>
              <w:top w:val="nil"/>
              <w:left w:val="nil"/>
              <w:bottom w:val="single" w:sz="4" w:space="0" w:color="auto"/>
              <w:right w:val="single" w:sz="4" w:space="0" w:color="auto"/>
            </w:tcBorders>
            <w:shd w:val="clear" w:color="auto" w:fill="auto"/>
            <w:vAlign w:val="center"/>
            <w:hideMark/>
          </w:tcPr>
          <w:p w14:paraId="7DB9BB9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SOLKAN</w:t>
            </w:r>
          </w:p>
        </w:tc>
      </w:tr>
      <w:tr w:rsidR="00E3750C" w:rsidRPr="00415AB3" w14:paraId="2F7C37A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AB5E4D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1435</w:t>
            </w:r>
          </w:p>
        </w:tc>
        <w:tc>
          <w:tcPr>
            <w:tcW w:w="705" w:type="pct"/>
            <w:tcBorders>
              <w:top w:val="nil"/>
              <w:left w:val="nil"/>
              <w:bottom w:val="single" w:sz="4" w:space="0" w:color="auto"/>
              <w:right w:val="single" w:sz="4" w:space="0" w:color="auto"/>
            </w:tcBorders>
            <w:shd w:val="clear" w:color="auto" w:fill="auto"/>
            <w:noWrap/>
            <w:vAlign w:val="center"/>
            <w:hideMark/>
          </w:tcPr>
          <w:p w14:paraId="3F18107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5086124000</w:t>
            </w:r>
          </w:p>
        </w:tc>
        <w:tc>
          <w:tcPr>
            <w:tcW w:w="547" w:type="pct"/>
            <w:tcBorders>
              <w:top w:val="nil"/>
              <w:left w:val="nil"/>
              <w:bottom w:val="single" w:sz="4" w:space="0" w:color="auto"/>
              <w:right w:val="single" w:sz="4" w:space="0" w:color="auto"/>
            </w:tcBorders>
            <w:shd w:val="clear" w:color="auto" w:fill="auto"/>
            <w:noWrap/>
            <w:vAlign w:val="center"/>
            <w:hideMark/>
          </w:tcPr>
          <w:p w14:paraId="193CD70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19630646</w:t>
            </w:r>
          </w:p>
        </w:tc>
        <w:tc>
          <w:tcPr>
            <w:tcW w:w="3360" w:type="pct"/>
            <w:tcBorders>
              <w:top w:val="nil"/>
              <w:left w:val="nil"/>
              <w:bottom w:val="single" w:sz="4" w:space="0" w:color="auto"/>
              <w:right w:val="single" w:sz="4" w:space="0" w:color="auto"/>
            </w:tcBorders>
            <w:shd w:val="clear" w:color="auto" w:fill="auto"/>
            <w:vAlign w:val="center"/>
            <w:hideMark/>
          </w:tcPr>
          <w:p w14:paraId="4E124F6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SOSTRO</w:t>
            </w:r>
          </w:p>
        </w:tc>
      </w:tr>
      <w:tr w:rsidR="00E3750C" w:rsidRPr="00415AB3" w14:paraId="3C002B9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B6F950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1436</w:t>
            </w:r>
          </w:p>
        </w:tc>
        <w:tc>
          <w:tcPr>
            <w:tcW w:w="705" w:type="pct"/>
            <w:tcBorders>
              <w:top w:val="nil"/>
              <w:left w:val="nil"/>
              <w:bottom w:val="single" w:sz="4" w:space="0" w:color="auto"/>
              <w:right w:val="single" w:sz="4" w:space="0" w:color="auto"/>
            </w:tcBorders>
            <w:shd w:val="clear" w:color="auto" w:fill="auto"/>
            <w:noWrap/>
            <w:vAlign w:val="center"/>
            <w:hideMark/>
          </w:tcPr>
          <w:p w14:paraId="12B3F59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5083788000</w:t>
            </w:r>
          </w:p>
        </w:tc>
        <w:tc>
          <w:tcPr>
            <w:tcW w:w="547" w:type="pct"/>
            <w:tcBorders>
              <w:top w:val="nil"/>
              <w:left w:val="nil"/>
              <w:bottom w:val="single" w:sz="4" w:space="0" w:color="auto"/>
              <w:right w:val="single" w:sz="4" w:space="0" w:color="auto"/>
            </w:tcBorders>
            <w:shd w:val="clear" w:color="auto" w:fill="auto"/>
            <w:noWrap/>
            <w:vAlign w:val="center"/>
            <w:hideMark/>
          </w:tcPr>
          <w:p w14:paraId="1CE1A4D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10527397</w:t>
            </w:r>
          </w:p>
        </w:tc>
        <w:tc>
          <w:tcPr>
            <w:tcW w:w="3360" w:type="pct"/>
            <w:tcBorders>
              <w:top w:val="nil"/>
              <w:left w:val="nil"/>
              <w:bottom w:val="single" w:sz="4" w:space="0" w:color="auto"/>
              <w:right w:val="single" w:sz="4" w:space="0" w:color="auto"/>
            </w:tcBorders>
            <w:shd w:val="clear" w:color="auto" w:fill="auto"/>
            <w:vAlign w:val="center"/>
            <w:hideMark/>
          </w:tcPr>
          <w:p w14:paraId="177D465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SPODNJA IDRIJA</w:t>
            </w:r>
          </w:p>
        </w:tc>
      </w:tr>
      <w:tr w:rsidR="00E3750C" w:rsidRPr="00415AB3" w14:paraId="213917C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D95B56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1437</w:t>
            </w:r>
          </w:p>
        </w:tc>
        <w:tc>
          <w:tcPr>
            <w:tcW w:w="705" w:type="pct"/>
            <w:tcBorders>
              <w:top w:val="nil"/>
              <w:left w:val="nil"/>
              <w:bottom w:val="single" w:sz="4" w:space="0" w:color="auto"/>
              <w:right w:val="single" w:sz="4" w:space="0" w:color="auto"/>
            </w:tcBorders>
            <w:shd w:val="clear" w:color="auto" w:fill="auto"/>
            <w:noWrap/>
            <w:vAlign w:val="center"/>
            <w:hideMark/>
          </w:tcPr>
          <w:p w14:paraId="235CC69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5084326000</w:t>
            </w:r>
          </w:p>
        </w:tc>
        <w:tc>
          <w:tcPr>
            <w:tcW w:w="547" w:type="pct"/>
            <w:tcBorders>
              <w:top w:val="nil"/>
              <w:left w:val="nil"/>
              <w:bottom w:val="single" w:sz="4" w:space="0" w:color="auto"/>
              <w:right w:val="single" w:sz="4" w:space="0" w:color="auto"/>
            </w:tcBorders>
            <w:shd w:val="clear" w:color="auto" w:fill="auto"/>
            <w:noWrap/>
            <w:vAlign w:val="center"/>
            <w:hideMark/>
          </w:tcPr>
          <w:p w14:paraId="393BAC6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94204390</w:t>
            </w:r>
          </w:p>
        </w:tc>
        <w:tc>
          <w:tcPr>
            <w:tcW w:w="3360" w:type="pct"/>
            <w:tcBorders>
              <w:top w:val="nil"/>
              <w:left w:val="nil"/>
              <w:bottom w:val="single" w:sz="4" w:space="0" w:color="auto"/>
              <w:right w:val="single" w:sz="4" w:space="0" w:color="auto"/>
            </w:tcBorders>
            <w:shd w:val="clear" w:color="auto" w:fill="auto"/>
            <w:vAlign w:val="center"/>
            <w:hideMark/>
          </w:tcPr>
          <w:p w14:paraId="4152D16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SPODNJA ŠIŠKA</w:t>
            </w:r>
          </w:p>
        </w:tc>
      </w:tr>
      <w:tr w:rsidR="00E3750C" w:rsidRPr="00415AB3" w14:paraId="4B79549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6528E6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1438</w:t>
            </w:r>
          </w:p>
        </w:tc>
        <w:tc>
          <w:tcPr>
            <w:tcW w:w="705" w:type="pct"/>
            <w:tcBorders>
              <w:top w:val="nil"/>
              <w:left w:val="nil"/>
              <w:bottom w:val="single" w:sz="4" w:space="0" w:color="auto"/>
              <w:right w:val="single" w:sz="4" w:space="0" w:color="auto"/>
            </w:tcBorders>
            <w:shd w:val="clear" w:color="auto" w:fill="auto"/>
            <w:noWrap/>
            <w:vAlign w:val="center"/>
            <w:hideMark/>
          </w:tcPr>
          <w:p w14:paraId="482CEB9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5210429000</w:t>
            </w:r>
          </w:p>
        </w:tc>
        <w:tc>
          <w:tcPr>
            <w:tcW w:w="547" w:type="pct"/>
            <w:tcBorders>
              <w:top w:val="nil"/>
              <w:left w:val="nil"/>
              <w:bottom w:val="single" w:sz="4" w:space="0" w:color="auto"/>
              <w:right w:val="single" w:sz="4" w:space="0" w:color="auto"/>
            </w:tcBorders>
            <w:shd w:val="clear" w:color="auto" w:fill="auto"/>
            <w:noWrap/>
            <w:vAlign w:val="center"/>
            <w:hideMark/>
          </w:tcPr>
          <w:p w14:paraId="7E56DD3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94094306</w:t>
            </w:r>
          </w:p>
        </w:tc>
        <w:tc>
          <w:tcPr>
            <w:tcW w:w="3360" w:type="pct"/>
            <w:tcBorders>
              <w:top w:val="nil"/>
              <w:left w:val="nil"/>
              <w:bottom w:val="single" w:sz="4" w:space="0" w:color="auto"/>
              <w:right w:val="single" w:sz="4" w:space="0" w:color="auto"/>
            </w:tcBorders>
            <w:shd w:val="clear" w:color="auto" w:fill="auto"/>
            <w:vAlign w:val="center"/>
            <w:hideMark/>
          </w:tcPr>
          <w:p w14:paraId="65716D4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SREČKA KOSOVELA</w:t>
            </w:r>
          </w:p>
        </w:tc>
      </w:tr>
      <w:tr w:rsidR="00E3750C" w:rsidRPr="00415AB3" w14:paraId="6F84F94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8AE257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1439</w:t>
            </w:r>
          </w:p>
        </w:tc>
        <w:tc>
          <w:tcPr>
            <w:tcW w:w="705" w:type="pct"/>
            <w:tcBorders>
              <w:top w:val="nil"/>
              <w:left w:val="nil"/>
              <w:bottom w:val="single" w:sz="4" w:space="0" w:color="auto"/>
              <w:right w:val="single" w:sz="4" w:space="0" w:color="auto"/>
            </w:tcBorders>
            <w:shd w:val="clear" w:color="auto" w:fill="auto"/>
            <w:noWrap/>
            <w:vAlign w:val="center"/>
            <w:hideMark/>
          </w:tcPr>
          <w:p w14:paraId="1BE09B4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5086426000</w:t>
            </w:r>
          </w:p>
        </w:tc>
        <w:tc>
          <w:tcPr>
            <w:tcW w:w="547" w:type="pct"/>
            <w:tcBorders>
              <w:top w:val="nil"/>
              <w:left w:val="nil"/>
              <w:bottom w:val="single" w:sz="4" w:space="0" w:color="auto"/>
              <w:right w:val="single" w:sz="4" w:space="0" w:color="auto"/>
            </w:tcBorders>
            <w:shd w:val="clear" w:color="auto" w:fill="auto"/>
            <w:noWrap/>
            <w:vAlign w:val="center"/>
            <w:hideMark/>
          </w:tcPr>
          <w:p w14:paraId="12B0CF9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92129196</w:t>
            </w:r>
          </w:p>
        </w:tc>
        <w:tc>
          <w:tcPr>
            <w:tcW w:w="3360" w:type="pct"/>
            <w:tcBorders>
              <w:top w:val="nil"/>
              <w:left w:val="nil"/>
              <w:bottom w:val="single" w:sz="4" w:space="0" w:color="auto"/>
              <w:right w:val="single" w:sz="4" w:space="0" w:color="auto"/>
            </w:tcBorders>
            <w:shd w:val="clear" w:color="auto" w:fill="auto"/>
            <w:vAlign w:val="center"/>
            <w:hideMark/>
          </w:tcPr>
          <w:p w14:paraId="2419094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SREDIŠČE OB DRAVI</w:t>
            </w:r>
          </w:p>
        </w:tc>
      </w:tr>
      <w:tr w:rsidR="00E3750C" w:rsidRPr="00415AB3" w14:paraId="5D302B9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B5CCE0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1440</w:t>
            </w:r>
          </w:p>
        </w:tc>
        <w:tc>
          <w:tcPr>
            <w:tcW w:w="705" w:type="pct"/>
            <w:tcBorders>
              <w:top w:val="nil"/>
              <w:left w:val="nil"/>
              <w:bottom w:val="single" w:sz="4" w:space="0" w:color="auto"/>
              <w:right w:val="single" w:sz="4" w:space="0" w:color="auto"/>
            </w:tcBorders>
            <w:shd w:val="clear" w:color="auto" w:fill="auto"/>
            <w:noWrap/>
            <w:vAlign w:val="center"/>
            <w:hideMark/>
          </w:tcPr>
          <w:p w14:paraId="125887E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5087333000</w:t>
            </w:r>
          </w:p>
        </w:tc>
        <w:tc>
          <w:tcPr>
            <w:tcW w:w="547" w:type="pct"/>
            <w:tcBorders>
              <w:top w:val="nil"/>
              <w:left w:val="nil"/>
              <w:bottom w:val="single" w:sz="4" w:space="0" w:color="auto"/>
              <w:right w:val="single" w:sz="4" w:space="0" w:color="auto"/>
            </w:tcBorders>
            <w:shd w:val="clear" w:color="auto" w:fill="auto"/>
            <w:noWrap/>
            <w:vAlign w:val="center"/>
            <w:hideMark/>
          </w:tcPr>
          <w:p w14:paraId="6963A7C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81968060</w:t>
            </w:r>
          </w:p>
        </w:tc>
        <w:tc>
          <w:tcPr>
            <w:tcW w:w="3360" w:type="pct"/>
            <w:tcBorders>
              <w:top w:val="nil"/>
              <w:left w:val="nil"/>
              <w:bottom w:val="single" w:sz="4" w:space="0" w:color="auto"/>
              <w:right w:val="single" w:sz="4" w:space="0" w:color="auto"/>
            </w:tcBorders>
            <w:shd w:val="clear" w:color="auto" w:fill="auto"/>
            <w:vAlign w:val="center"/>
            <w:hideMark/>
          </w:tcPr>
          <w:p w14:paraId="2F29445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STANETA ŽAGARJA LIPNICA</w:t>
            </w:r>
          </w:p>
        </w:tc>
      </w:tr>
      <w:tr w:rsidR="00E3750C" w:rsidRPr="00415AB3" w14:paraId="14DC738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C04A26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1441</w:t>
            </w:r>
          </w:p>
        </w:tc>
        <w:tc>
          <w:tcPr>
            <w:tcW w:w="705" w:type="pct"/>
            <w:tcBorders>
              <w:top w:val="nil"/>
              <w:left w:val="nil"/>
              <w:bottom w:val="single" w:sz="4" w:space="0" w:color="auto"/>
              <w:right w:val="single" w:sz="4" w:space="0" w:color="auto"/>
            </w:tcBorders>
            <w:shd w:val="clear" w:color="auto" w:fill="auto"/>
            <w:noWrap/>
            <w:vAlign w:val="center"/>
            <w:hideMark/>
          </w:tcPr>
          <w:p w14:paraId="78D7613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5171059000</w:t>
            </w:r>
          </w:p>
        </w:tc>
        <w:tc>
          <w:tcPr>
            <w:tcW w:w="547" w:type="pct"/>
            <w:tcBorders>
              <w:top w:val="nil"/>
              <w:left w:val="nil"/>
              <w:bottom w:val="single" w:sz="4" w:space="0" w:color="auto"/>
              <w:right w:val="single" w:sz="4" w:space="0" w:color="auto"/>
            </w:tcBorders>
            <w:shd w:val="clear" w:color="auto" w:fill="auto"/>
            <w:noWrap/>
            <w:vAlign w:val="center"/>
            <w:hideMark/>
          </w:tcPr>
          <w:p w14:paraId="79B9A1B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10523677</w:t>
            </w:r>
          </w:p>
        </w:tc>
        <w:tc>
          <w:tcPr>
            <w:tcW w:w="3360" w:type="pct"/>
            <w:tcBorders>
              <w:top w:val="nil"/>
              <w:left w:val="nil"/>
              <w:bottom w:val="single" w:sz="4" w:space="0" w:color="auto"/>
              <w:right w:val="single" w:sz="4" w:space="0" w:color="auto"/>
            </w:tcBorders>
            <w:shd w:val="clear" w:color="auto" w:fill="auto"/>
            <w:vAlign w:val="center"/>
            <w:hideMark/>
          </w:tcPr>
          <w:p w14:paraId="617D095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STANKA VRAZA ORMOŽ</w:t>
            </w:r>
          </w:p>
        </w:tc>
      </w:tr>
      <w:tr w:rsidR="00E3750C" w:rsidRPr="00415AB3" w14:paraId="2A9EFEC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848AD8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1442</w:t>
            </w:r>
          </w:p>
        </w:tc>
        <w:tc>
          <w:tcPr>
            <w:tcW w:w="705" w:type="pct"/>
            <w:tcBorders>
              <w:top w:val="nil"/>
              <w:left w:val="nil"/>
              <w:bottom w:val="single" w:sz="4" w:space="0" w:color="auto"/>
              <w:right w:val="single" w:sz="4" w:space="0" w:color="auto"/>
            </w:tcBorders>
            <w:shd w:val="clear" w:color="auto" w:fill="auto"/>
            <w:noWrap/>
            <w:vAlign w:val="center"/>
            <w:hideMark/>
          </w:tcPr>
          <w:p w14:paraId="4734EED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5621739000</w:t>
            </w:r>
          </w:p>
        </w:tc>
        <w:tc>
          <w:tcPr>
            <w:tcW w:w="547" w:type="pct"/>
            <w:tcBorders>
              <w:top w:val="nil"/>
              <w:left w:val="nil"/>
              <w:bottom w:val="single" w:sz="4" w:space="0" w:color="auto"/>
              <w:right w:val="single" w:sz="4" w:space="0" w:color="auto"/>
            </w:tcBorders>
            <w:shd w:val="clear" w:color="auto" w:fill="auto"/>
            <w:noWrap/>
            <w:vAlign w:val="center"/>
            <w:hideMark/>
          </w:tcPr>
          <w:p w14:paraId="54BB00F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72111763</w:t>
            </w:r>
          </w:p>
        </w:tc>
        <w:tc>
          <w:tcPr>
            <w:tcW w:w="3360" w:type="pct"/>
            <w:tcBorders>
              <w:top w:val="nil"/>
              <w:left w:val="nil"/>
              <w:bottom w:val="single" w:sz="4" w:space="0" w:color="auto"/>
              <w:right w:val="single" w:sz="4" w:space="0" w:color="auto"/>
            </w:tcBorders>
            <w:shd w:val="clear" w:color="auto" w:fill="auto"/>
            <w:vAlign w:val="center"/>
            <w:hideMark/>
          </w:tcPr>
          <w:p w14:paraId="2522298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STARA CERKEV</w:t>
            </w:r>
          </w:p>
        </w:tc>
      </w:tr>
      <w:tr w:rsidR="00E3750C" w:rsidRPr="00415AB3" w14:paraId="55FE77B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0A1B62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1443</w:t>
            </w:r>
          </w:p>
        </w:tc>
        <w:tc>
          <w:tcPr>
            <w:tcW w:w="705" w:type="pct"/>
            <w:tcBorders>
              <w:top w:val="nil"/>
              <w:left w:val="nil"/>
              <w:bottom w:val="single" w:sz="4" w:space="0" w:color="auto"/>
              <w:right w:val="single" w:sz="4" w:space="0" w:color="auto"/>
            </w:tcBorders>
            <w:shd w:val="clear" w:color="auto" w:fill="auto"/>
            <w:noWrap/>
            <w:vAlign w:val="center"/>
            <w:hideMark/>
          </w:tcPr>
          <w:p w14:paraId="46D581B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5085314000</w:t>
            </w:r>
          </w:p>
        </w:tc>
        <w:tc>
          <w:tcPr>
            <w:tcW w:w="547" w:type="pct"/>
            <w:tcBorders>
              <w:top w:val="nil"/>
              <w:left w:val="nil"/>
              <w:bottom w:val="single" w:sz="4" w:space="0" w:color="auto"/>
              <w:right w:val="single" w:sz="4" w:space="0" w:color="auto"/>
            </w:tcBorders>
            <w:shd w:val="clear" w:color="auto" w:fill="auto"/>
            <w:noWrap/>
            <w:vAlign w:val="center"/>
            <w:hideMark/>
          </w:tcPr>
          <w:p w14:paraId="07DDD58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25722824</w:t>
            </w:r>
          </w:p>
        </w:tc>
        <w:tc>
          <w:tcPr>
            <w:tcW w:w="3360" w:type="pct"/>
            <w:tcBorders>
              <w:top w:val="nil"/>
              <w:left w:val="nil"/>
              <w:bottom w:val="single" w:sz="4" w:space="0" w:color="auto"/>
              <w:right w:val="single" w:sz="4" w:space="0" w:color="auto"/>
            </w:tcBorders>
            <w:shd w:val="clear" w:color="auto" w:fill="auto"/>
            <w:vAlign w:val="center"/>
            <w:hideMark/>
          </w:tcPr>
          <w:p w14:paraId="645618B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STARŠE</w:t>
            </w:r>
          </w:p>
        </w:tc>
      </w:tr>
      <w:tr w:rsidR="00E3750C" w:rsidRPr="00415AB3" w14:paraId="7D803AF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E44C9B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1444</w:t>
            </w:r>
          </w:p>
        </w:tc>
        <w:tc>
          <w:tcPr>
            <w:tcW w:w="705" w:type="pct"/>
            <w:tcBorders>
              <w:top w:val="nil"/>
              <w:left w:val="nil"/>
              <w:bottom w:val="single" w:sz="4" w:space="0" w:color="auto"/>
              <w:right w:val="single" w:sz="4" w:space="0" w:color="auto"/>
            </w:tcBorders>
            <w:shd w:val="clear" w:color="auto" w:fill="auto"/>
            <w:noWrap/>
            <w:vAlign w:val="center"/>
            <w:hideMark/>
          </w:tcPr>
          <w:p w14:paraId="4FFBE1A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5623677000</w:t>
            </w:r>
          </w:p>
        </w:tc>
        <w:tc>
          <w:tcPr>
            <w:tcW w:w="547" w:type="pct"/>
            <w:tcBorders>
              <w:top w:val="nil"/>
              <w:left w:val="nil"/>
              <w:bottom w:val="single" w:sz="4" w:space="0" w:color="auto"/>
              <w:right w:val="single" w:sz="4" w:space="0" w:color="auto"/>
            </w:tcBorders>
            <w:shd w:val="clear" w:color="auto" w:fill="auto"/>
            <w:noWrap/>
            <w:vAlign w:val="center"/>
            <w:hideMark/>
          </w:tcPr>
          <w:p w14:paraId="0D0B970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67259375</w:t>
            </w:r>
          </w:p>
        </w:tc>
        <w:tc>
          <w:tcPr>
            <w:tcW w:w="3360" w:type="pct"/>
            <w:tcBorders>
              <w:top w:val="nil"/>
              <w:left w:val="nil"/>
              <w:bottom w:val="single" w:sz="4" w:space="0" w:color="auto"/>
              <w:right w:val="single" w:sz="4" w:space="0" w:color="auto"/>
            </w:tcBorders>
            <w:shd w:val="clear" w:color="auto" w:fill="auto"/>
            <w:vAlign w:val="center"/>
            <w:hideMark/>
          </w:tcPr>
          <w:p w14:paraId="10ADFAE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STIČNA</w:t>
            </w:r>
          </w:p>
        </w:tc>
      </w:tr>
      <w:tr w:rsidR="00E3750C" w:rsidRPr="00415AB3" w14:paraId="4B6151A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B6268D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1445</w:t>
            </w:r>
          </w:p>
        </w:tc>
        <w:tc>
          <w:tcPr>
            <w:tcW w:w="705" w:type="pct"/>
            <w:tcBorders>
              <w:top w:val="nil"/>
              <w:left w:val="nil"/>
              <w:bottom w:val="single" w:sz="4" w:space="0" w:color="auto"/>
              <w:right w:val="single" w:sz="4" w:space="0" w:color="auto"/>
            </w:tcBorders>
            <w:shd w:val="clear" w:color="auto" w:fill="auto"/>
            <w:noWrap/>
            <w:vAlign w:val="center"/>
            <w:hideMark/>
          </w:tcPr>
          <w:p w14:paraId="495D2E5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5086833000</w:t>
            </w:r>
          </w:p>
        </w:tc>
        <w:tc>
          <w:tcPr>
            <w:tcW w:w="547" w:type="pct"/>
            <w:tcBorders>
              <w:top w:val="nil"/>
              <w:left w:val="nil"/>
              <w:bottom w:val="single" w:sz="4" w:space="0" w:color="auto"/>
              <w:right w:val="single" w:sz="4" w:space="0" w:color="auto"/>
            </w:tcBorders>
            <w:shd w:val="clear" w:color="auto" w:fill="auto"/>
            <w:noWrap/>
            <w:vAlign w:val="center"/>
            <w:hideMark/>
          </w:tcPr>
          <w:p w14:paraId="16C698F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92232787</w:t>
            </w:r>
          </w:p>
        </w:tc>
        <w:tc>
          <w:tcPr>
            <w:tcW w:w="3360" w:type="pct"/>
            <w:tcBorders>
              <w:top w:val="nil"/>
              <w:left w:val="nil"/>
              <w:bottom w:val="single" w:sz="4" w:space="0" w:color="auto"/>
              <w:right w:val="single" w:sz="4" w:space="0" w:color="auto"/>
            </w:tcBorders>
            <w:shd w:val="clear" w:color="auto" w:fill="auto"/>
            <w:vAlign w:val="center"/>
            <w:hideMark/>
          </w:tcPr>
          <w:p w14:paraId="5BE716C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STOPIČE</w:t>
            </w:r>
          </w:p>
        </w:tc>
      </w:tr>
      <w:tr w:rsidR="00E3750C" w:rsidRPr="00415AB3" w14:paraId="2513A5D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F85E4C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1446</w:t>
            </w:r>
          </w:p>
        </w:tc>
        <w:tc>
          <w:tcPr>
            <w:tcW w:w="705" w:type="pct"/>
            <w:tcBorders>
              <w:top w:val="nil"/>
              <w:left w:val="nil"/>
              <w:bottom w:val="single" w:sz="4" w:space="0" w:color="auto"/>
              <w:right w:val="single" w:sz="4" w:space="0" w:color="auto"/>
            </w:tcBorders>
            <w:shd w:val="clear" w:color="auto" w:fill="auto"/>
            <w:noWrap/>
            <w:vAlign w:val="center"/>
            <w:hideMark/>
          </w:tcPr>
          <w:p w14:paraId="7EA5BAB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5083818000</w:t>
            </w:r>
          </w:p>
        </w:tc>
        <w:tc>
          <w:tcPr>
            <w:tcW w:w="547" w:type="pct"/>
            <w:tcBorders>
              <w:top w:val="nil"/>
              <w:left w:val="nil"/>
              <w:bottom w:val="single" w:sz="4" w:space="0" w:color="auto"/>
              <w:right w:val="single" w:sz="4" w:space="0" w:color="auto"/>
            </w:tcBorders>
            <w:shd w:val="clear" w:color="auto" w:fill="auto"/>
            <w:noWrap/>
            <w:vAlign w:val="center"/>
            <w:hideMark/>
          </w:tcPr>
          <w:p w14:paraId="36F81EC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21169012</w:t>
            </w:r>
          </w:p>
        </w:tc>
        <w:tc>
          <w:tcPr>
            <w:tcW w:w="3360" w:type="pct"/>
            <w:tcBorders>
              <w:top w:val="nil"/>
              <w:left w:val="nil"/>
              <w:bottom w:val="single" w:sz="4" w:space="0" w:color="auto"/>
              <w:right w:val="single" w:sz="4" w:space="0" w:color="auto"/>
            </w:tcBorders>
            <w:shd w:val="clear" w:color="auto" w:fill="auto"/>
            <w:vAlign w:val="center"/>
            <w:hideMark/>
          </w:tcPr>
          <w:p w14:paraId="67C253B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STRANJE</w:t>
            </w:r>
          </w:p>
        </w:tc>
      </w:tr>
      <w:tr w:rsidR="00E3750C" w:rsidRPr="00415AB3" w14:paraId="71965C8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DCE390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1447</w:t>
            </w:r>
          </w:p>
        </w:tc>
        <w:tc>
          <w:tcPr>
            <w:tcW w:w="705" w:type="pct"/>
            <w:tcBorders>
              <w:top w:val="nil"/>
              <w:left w:val="nil"/>
              <w:bottom w:val="single" w:sz="4" w:space="0" w:color="auto"/>
              <w:right w:val="single" w:sz="4" w:space="0" w:color="auto"/>
            </w:tcBorders>
            <w:shd w:val="clear" w:color="auto" w:fill="auto"/>
            <w:noWrap/>
            <w:vAlign w:val="center"/>
            <w:hideMark/>
          </w:tcPr>
          <w:p w14:paraId="6B6F323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5085365000</w:t>
            </w:r>
          </w:p>
        </w:tc>
        <w:tc>
          <w:tcPr>
            <w:tcW w:w="547" w:type="pct"/>
            <w:tcBorders>
              <w:top w:val="nil"/>
              <w:left w:val="nil"/>
              <w:bottom w:val="single" w:sz="4" w:space="0" w:color="auto"/>
              <w:right w:val="single" w:sz="4" w:space="0" w:color="auto"/>
            </w:tcBorders>
            <w:shd w:val="clear" w:color="auto" w:fill="auto"/>
            <w:noWrap/>
            <w:vAlign w:val="center"/>
            <w:hideMark/>
          </w:tcPr>
          <w:p w14:paraId="23E62BF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80750842</w:t>
            </w:r>
          </w:p>
        </w:tc>
        <w:tc>
          <w:tcPr>
            <w:tcW w:w="3360" w:type="pct"/>
            <w:tcBorders>
              <w:top w:val="nil"/>
              <w:left w:val="nil"/>
              <w:bottom w:val="single" w:sz="4" w:space="0" w:color="auto"/>
              <w:right w:val="single" w:sz="4" w:space="0" w:color="auto"/>
            </w:tcBorders>
            <w:shd w:val="clear" w:color="auto" w:fill="auto"/>
            <w:vAlign w:val="center"/>
            <w:hideMark/>
          </w:tcPr>
          <w:p w14:paraId="50308CC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STRAŽIŠČE KRANJ</w:t>
            </w:r>
          </w:p>
        </w:tc>
      </w:tr>
      <w:tr w:rsidR="00E3750C" w:rsidRPr="00415AB3" w14:paraId="45A3347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069836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1448</w:t>
            </w:r>
          </w:p>
        </w:tc>
        <w:tc>
          <w:tcPr>
            <w:tcW w:w="705" w:type="pct"/>
            <w:tcBorders>
              <w:top w:val="nil"/>
              <w:left w:val="nil"/>
              <w:bottom w:val="single" w:sz="4" w:space="0" w:color="auto"/>
              <w:right w:val="single" w:sz="4" w:space="0" w:color="auto"/>
            </w:tcBorders>
            <w:shd w:val="clear" w:color="auto" w:fill="auto"/>
            <w:noWrap/>
            <w:vAlign w:val="center"/>
            <w:hideMark/>
          </w:tcPr>
          <w:p w14:paraId="5AE231A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5083753000</w:t>
            </w:r>
          </w:p>
        </w:tc>
        <w:tc>
          <w:tcPr>
            <w:tcW w:w="547" w:type="pct"/>
            <w:tcBorders>
              <w:top w:val="nil"/>
              <w:left w:val="nil"/>
              <w:bottom w:val="single" w:sz="4" w:space="0" w:color="auto"/>
              <w:right w:val="single" w:sz="4" w:space="0" w:color="auto"/>
            </w:tcBorders>
            <w:shd w:val="clear" w:color="auto" w:fill="auto"/>
            <w:noWrap/>
            <w:vAlign w:val="center"/>
            <w:hideMark/>
          </w:tcPr>
          <w:p w14:paraId="329882F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19644051</w:t>
            </w:r>
          </w:p>
        </w:tc>
        <w:tc>
          <w:tcPr>
            <w:tcW w:w="3360" w:type="pct"/>
            <w:tcBorders>
              <w:top w:val="nil"/>
              <w:left w:val="nil"/>
              <w:bottom w:val="single" w:sz="4" w:space="0" w:color="auto"/>
              <w:right w:val="single" w:sz="4" w:space="0" w:color="auto"/>
            </w:tcBorders>
            <w:shd w:val="clear" w:color="auto" w:fill="auto"/>
            <w:vAlign w:val="center"/>
            <w:hideMark/>
          </w:tcPr>
          <w:p w14:paraId="1FE5957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SV. JURIJ OB ŠČAVNICI</w:t>
            </w:r>
          </w:p>
        </w:tc>
      </w:tr>
      <w:tr w:rsidR="00E3750C" w:rsidRPr="00415AB3" w14:paraId="3B5FF8F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11FC0D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1449</w:t>
            </w:r>
          </w:p>
        </w:tc>
        <w:tc>
          <w:tcPr>
            <w:tcW w:w="705" w:type="pct"/>
            <w:tcBorders>
              <w:top w:val="nil"/>
              <w:left w:val="nil"/>
              <w:bottom w:val="single" w:sz="4" w:space="0" w:color="auto"/>
              <w:right w:val="single" w:sz="4" w:space="0" w:color="auto"/>
            </w:tcBorders>
            <w:shd w:val="clear" w:color="auto" w:fill="auto"/>
            <w:noWrap/>
            <w:vAlign w:val="center"/>
            <w:hideMark/>
          </w:tcPr>
          <w:p w14:paraId="5A35161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5084865000</w:t>
            </w:r>
          </w:p>
        </w:tc>
        <w:tc>
          <w:tcPr>
            <w:tcW w:w="547" w:type="pct"/>
            <w:tcBorders>
              <w:top w:val="nil"/>
              <w:left w:val="nil"/>
              <w:bottom w:val="single" w:sz="4" w:space="0" w:color="auto"/>
              <w:right w:val="single" w:sz="4" w:space="0" w:color="auto"/>
            </w:tcBorders>
            <w:shd w:val="clear" w:color="auto" w:fill="auto"/>
            <w:noWrap/>
            <w:vAlign w:val="center"/>
            <w:hideMark/>
          </w:tcPr>
          <w:p w14:paraId="419DA6C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81069472</w:t>
            </w:r>
          </w:p>
        </w:tc>
        <w:tc>
          <w:tcPr>
            <w:tcW w:w="3360" w:type="pct"/>
            <w:tcBorders>
              <w:top w:val="nil"/>
              <w:left w:val="nil"/>
              <w:bottom w:val="single" w:sz="4" w:space="0" w:color="auto"/>
              <w:right w:val="single" w:sz="4" w:space="0" w:color="auto"/>
            </w:tcBorders>
            <w:shd w:val="clear" w:color="auto" w:fill="auto"/>
            <w:vAlign w:val="center"/>
            <w:hideMark/>
          </w:tcPr>
          <w:p w14:paraId="581511F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SVETA ANA</w:t>
            </w:r>
          </w:p>
        </w:tc>
      </w:tr>
      <w:tr w:rsidR="00E3750C" w:rsidRPr="00415AB3" w14:paraId="36B2005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BDFF93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1450</w:t>
            </w:r>
          </w:p>
        </w:tc>
        <w:tc>
          <w:tcPr>
            <w:tcW w:w="705" w:type="pct"/>
            <w:tcBorders>
              <w:top w:val="nil"/>
              <w:left w:val="nil"/>
              <w:bottom w:val="single" w:sz="4" w:space="0" w:color="auto"/>
              <w:right w:val="single" w:sz="4" w:space="0" w:color="auto"/>
            </w:tcBorders>
            <w:shd w:val="clear" w:color="auto" w:fill="auto"/>
            <w:noWrap/>
            <w:vAlign w:val="center"/>
            <w:hideMark/>
          </w:tcPr>
          <w:p w14:paraId="0A67D39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5085705000</w:t>
            </w:r>
          </w:p>
        </w:tc>
        <w:tc>
          <w:tcPr>
            <w:tcW w:w="547" w:type="pct"/>
            <w:tcBorders>
              <w:top w:val="nil"/>
              <w:left w:val="nil"/>
              <w:bottom w:val="single" w:sz="4" w:space="0" w:color="auto"/>
              <w:right w:val="single" w:sz="4" w:space="0" w:color="auto"/>
            </w:tcBorders>
            <w:shd w:val="clear" w:color="auto" w:fill="auto"/>
            <w:noWrap/>
            <w:vAlign w:val="center"/>
            <w:hideMark/>
          </w:tcPr>
          <w:p w14:paraId="4C2D65B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99951525</w:t>
            </w:r>
          </w:p>
        </w:tc>
        <w:tc>
          <w:tcPr>
            <w:tcW w:w="3360" w:type="pct"/>
            <w:tcBorders>
              <w:top w:val="nil"/>
              <w:left w:val="nil"/>
              <w:bottom w:val="single" w:sz="4" w:space="0" w:color="auto"/>
              <w:right w:val="single" w:sz="4" w:space="0" w:color="auto"/>
            </w:tcBorders>
            <w:shd w:val="clear" w:color="auto" w:fill="auto"/>
            <w:vAlign w:val="center"/>
            <w:hideMark/>
          </w:tcPr>
          <w:p w14:paraId="04A485E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SVETI JURIJ</w:t>
            </w:r>
          </w:p>
        </w:tc>
      </w:tr>
      <w:tr w:rsidR="00E3750C" w:rsidRPr="00415AB3" w14:paraId="1DA3354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5C46C3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1451</w:t>
            </w:r>
          </w:p>
        </w:tc>
        <w:tc>
          <w:tcPr>
            <w:tcW w:w="705" w:type="pct"/>
            <w:tcBorders>
              <w:top w:val="nil"/>
              <w:left w:val="nil"/>
              <w:bottom w:val="single" w:sz="4" w:space="0" w:color="auto"/>
              <w:right w:val="single" w:sz="4" w:space="0" w:color="auto"/>
            </w:tcBorders>
            <w:shd w:val="clear" w:color="auto" w:fill="auto"/>
            <w:noWrap/>
            <w:vAlign w:val="center"/>
            <w:hideMark/>
          </w:tcPr>
          <w:p w14:paraId="3B77521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5089166000</w:t>
            </w:r>
          </w:p>
        </w:tc>
        <w:tc>
          <w:tcPr>
            <w:tcW w:w="547" w:type="pct"/>
            <w:tcBorders>
              <w:top w:val="nil"/>
              <w:left w:val="nil"/>
              <w:bottom w:val="single" w:sz="4" w:space="0" w:color="auto"/>
              <w:right w:val="single" w:sz="4" w:space="0" w:color="auto"/>
            </w:tcBorders>
            <w:shd w:val="clear" w:color="auto" w:fill="auto"/>
            <w:noWrap/>
            <w:vAlign w:val="center"/>
            <w:hideMark/>
          </w:tcPr>
          <w:p w14:paraId="6B942DD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70846057</w:t>
            </w:r>
          </w:p>
        </w:tc>
        <w:tc>
          <w:tcPr>
            <w:tcW w:w="3360" w:type="pct"/>
            <w:tcBorders>
              <w:top w:val="nil"/>
              <w:left w:val="nil"/>
              <w:bottom w:val="single" w:sz="4" w:space="0" w:color="auto"/>
              <w:right w:val="single" w:sz="4" w:space="0" w:color="auto"/>
            </w:tcBorders>
            <w:shd w:val="clear" w:color="auto" w:fill="auto"/>
            <w:vAlign w:val="center"/>
            <w:hideMark/>
          </w:tcPr>
          <w:p w14:paraId="2EAF7EE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SVETI TOMAŽ</w:t>
            </w:r>
          </w:p>
        </w:tc>
      </w:tr>
      <w:tr w:rsidR="00E3750C" w:rsidRPr="00415AB3" w14:paraId="558905D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93F15A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1452</w:t>
            </w:r>
          </w:p>
        </w:tc>
        <w:tc>
          <w:tcPr>
            <w:tcW w:w="705" w:type="pct"/>
            <w:tcBorders>
              <w:top w:val="nil"/>
              <w:left w:val="nil"/>
              <w:bottom w:val="single" w:sz="4" w:space="0" w:color="auto"/>
              <w:right w:val="single" w:sz="4" w:space="0" w:color="auto"/>
            </w:tcBorders>
            <w:shd w:val="clear" w:color="auto" w:fill="auto"/>
            <w:noWrap/>
            <w:vAlign w:val="center"/>
            <w:hideMark/>
          </w:tcPr>
          <w:p w14:paraId="242F222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5278902000</w:t>
            </w:r>
          </w:p>
        </w:tc>
        <w:tc>
          <w:tcPr>
            <w:tcW w:w="547" w:type="pct"/>
            <w:tcBorders>
              <w:top w:val="nil"/>
              <w:left w:val="nil"/>
              <w:bottom w:val="single" w:sz="4" w:space="0" w:color="auto"/>
              <w:right w:val="single" w:sz="4" w:space="0" w:color="auto"/>
            </w:tcBorders>
            <w:shd w:val="clear" w:color="auto" w:fill="auto"/>
            <w:noWrap/>
            <w:vAlign w:val="center"/>
            <w:hideMark/>
          </w:tcPr>
          <w:p w14:paraId="3F3E14A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85859966</w:t>
            </w:r>
          </w:p>
        </w:tc>
        <w:tc>
          <w:tcPr>
            <w:tcW w:w="3360" w:type="pct"/>
            <w:tcBorders>
              <w:top w:val="nil"/>
              <w:left w:val="nil"/>
              <w:bottom w:val="single" w:sz="4" w:space="0" w:color="auto"/>
              <w:right w:val="single" w:sz="4" w:space="0" w:color="auto"/>
            </w:tcBorders>
            <w:shd w:val="clear" w:color="auto" w:fill="auto"/>
            <w:vAlign w:val="center"/>
            <w:hideMark/>
          </w:tcPr>
          <w:p w14:paraId="4BAA0B8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ŠALEK VELENJE</w:t>
            </w:r>
          </w:p>
        </w:tc>
      </w:tr>
      <w:tr w:rsidR="00E3750C" w:rsidRPr="00415AB3" w14:paraId="3AC675B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4B30EF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1453</w:t>
            </w:r>
          </w:p>
        </w:tc>
        <w:tc>
          <w:tcPr>
            <w:tcW w:w="705" w:type="pct"/>
            <w:tcBorders>
              <w:top w:val="nil"/>
              <w:left w:val="nil"/>
              <w:bottom w:val="single" w:sz="4" w:space="0" w:color="auto"/>
              <w:right w:val="single" w:sz="4" w:space="0" w:color="auto"/>
            </w:tcBorders>
            <w:shd w:val="clear" w:color="auto" w:fill="auto"/>
            <w:noWrap/>
            <w:vAlign w:val="center"/>
            <w:hideMark/>
          </w:tcPr>
          <w:p w14:paraId="6451A9C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5085713000</w:t>
            </w:r>
          </w:p>
        </w:tc>
        <w:tc>
          <w:tcPr>
            <w:tcW w:w="547" w:type="pct"/>
            <w:tcBorders>
              <w:top w:val="nil"/>
              <w:left w:val="nil"/>
              <w:bottom w:val="single" w:sz="4" w:space="0" w:color="auto"/>
              <w:right w:val="single" w:sz="4" w:space="0" w:color="auto"/>
            </w:tcBorders>
            <w:shd w:val="clear" w:color="auto" w:fill="auto"/>
            <w:noWrap/>
            <w:vAlign w:val="center"/>
            <w:hideMark/>
          </w:tcPr>
          <w:p w14:paraId="2BEA991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81487754</w:t>
            </w:r>
          </w:p>
        </w:tc>
        <w:tc>
          <w:tcPr>
            <w:tcW w:w="3360" w:type="pct"/>
            <w:tcBorders>
              <w:top w:val="nil"/>
              <w:left w:val="nil"/>
              <w:bottom w:val="single" w:sz="4" w:space="0" w:color="auto"/>
              <w:right w:val="single" w:sz="4" w:space="0" w:color="auto"/>
            </w:tcBorders>
            <w:shd w:val="clear" w:color="auto" w:fill="auto"/>
            <w:vAlign w:val="center"/>
            <w:hideMark/>
          </w:tcPr>
          <w:p w14:paraId="6200263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ŠALOVCI</w:t>
            </w:r>
          </w:p>
        </w:tc>
      </w:tr>
      <w:tr w:rsidR="00E3750C" w:rsidRPr="00415AB3" w14:paraId="4969F46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A9F3C6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1454</w:t>
            </w:r>
          </w:p>
        </w:tc>
        <w:tc>
          <w:tcPr>
            <w:tcW w:w="705" w:type="pct"/>
            <w:tcBorders>
              <w:top w:val="nil"/>
              <w:left w:val="nil"/>
              <w:bottom w:val="single" w:sz="4" w:space="0" w:color="auto"/>
              <w:right w:val="single" w:sz="4" w:space="0" w:color="auto"/>
            </w:tcBorders>
            <w:shd w:val="clear" w:color="auto" w:fill="auto"/>
            <w:noWrap/>
            <w:vAlign w:val="center"/>
            <w:hideMark/>
          </w:tcPr>
          <w:p w14:paraId="79DE3C5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5086353000</w:t>
            </w:r>
          </w:p>
        </w:tc>
        <w:tc>
          <w:tcPr>
            <w:tcW w:w="547" w:type="pct"/>
            <w:tcBorders>
              <w:top w:val="nil"/>
              <w:left w:val="nil"/>
              <w:bottom w:val="single" w:sz="4" w:space="0" w:color="auto"/>
              <w:right w:val="single" w:sz="4" w:space="0" w:color="auto"/>
            </w:tcBorders>
            <w:shd w:val="clear" w:color="auto" w:fill="auto"/>
            <w:noWrap/>
            <w:vAlign w:val="center"/>
            <w:hideMark/>
          </w:tcPr>
          <w:p w14:paraId="5DBD195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76094693</w:t>
            </w:r>
          </w:p>
        </w:tc>
        <w:tc>
          <w:tcPr>
            <w:tcW w:w="3360" w:type="pct"/>
            <w:tcBorders>
              <w:top w:val="nil"/>
              <w:left w:val="nil"/>
              <w:bottom w:val="single" w:sz="4" w:space="0" w:color="auto"/>
              <w:right w:val="single" w:sz="4" w:space="0" w:color="auto"/>
            </w:tcBorders>
            <w:shd w:val="clear" w:color="auto" w:fill="auto"/>
            <w:vAlign w:val="center"/>
            <w:hideMark/>
          </w:tcPr>
          <w:p w14:paraId="3A82DD2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ŠEMPAS</w:t>
            </w:r>
          </w:p>
        </w:tc>
      </w:tr>
      <w:tr w:rsidR="00E3750C" w:rsidRPr="00415AB3" w14:paraId="44BB4EB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0D132B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1455</w:t>
            </w:r>
          </w:p>
        </w:tc>
        <w:tc>
          <w:tcPr>
            <w:tcW w:w="705" w:type="pct"/>
            <w:tcBorders>
              <w:top w:val="nil"/>
              <w:left w:val="nil"/>
              <w:bottom w:val="single" w:sz="4" w:space="0" w:color="auto"/>
              <w:right w:val="single" w:sz="4" w:space="0" w:color="auto"/>
            </w:tcBorders>
            <w:shd w:val="clear" w:color="auto" w:fill="auto"/>
            <w:noWrap/>
            <w:vAlign w:val="center"/>
            <w:hideMark/>
          </w:tcPr>
          <w:p w14:paraId="749250A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5083249000</w:t>
            </w:r>
          </w:p>
        </w:tc>
        <w:tc>
          <w:tcPr>
            <w:tcW w:w="547" w:type="pct"/>
            <w:tcBorders>
              <w:top w:val="nil"/>
              <w:left w:val="nil"/>
              <w:bottom w:val="single" w:sz="4" w:space="0" w:color="auto"/>
              <w:right w:val="single" w:sz="4" w:space="0" w:color="auto"/>
            </w:tcBorders>
            <w:shd w:val="clear" w:color="auto" w:fill="auto"/>
            <w:noWrap/>
            <w:vAlign w:val="center"/>
            <w:hideMark/>
          </w:tcPr>
          <w:p w14:paraId="2C2D9BF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36605069</w:t>
            </w:r>
          </w:p>
        </w:tc>
        <w:tc>
          <w:tcPr>
            <w:tcW w:w="3360" w:type="pct"/>
            <w:tcBorders>
              <w:top w:val="nil"/>
              <w:left w:val="nil"/>
              <w:bottom w:val="single" w:sz="4" w:space="0" w:color="auto"/>
              <w:right w:val="single" w:sz="4" w:space="0" w:color="auto"/>
            </w:tcBorders>
            <w:shd w:val="clear" w:color="auto" w:fill="auto"/>
            <w:vAlign w:val="center"/>
            <w:hideMark/>
          </w:tcPr>
          <w:p w14:paraId="6CC4609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ŠENČUR</w:t>
            </w:r>
          </w:p>
        </w:tc>
      </w:tr>
      <w:tr w:rsidR="00E3750C" w:rsidRPr="00415AB3" w14:paraId="4C81DE1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0C86B1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1456</w:t>
            </w:r>
          </w:p>
        </w:tc>
        <w:tc>
          <w:tcPr>
            <w:tcW w:w="705" w:type="pct"/>
            <w:tcBorders>
              <w:top w:val="nil"/>
              <w:left w:val="nil"/>
              <w:bottom w:val="single" w:sz="4" w:space="0" w:color="auto"/>
              <w:right w:val="single" w:sz="4" w:space="0" w:color="auto"/>
            </w:tcBorders>
            <w:shd w:val="clear" w:color="auto" w:fill="auto"/>
            <w:noWrap/>
            <w:vAlign w:val="center"/>
            <w:hideMark/>
          </w:tcPr>
          <w:p w14:paraId="03C2628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5914183000</w:t>
            </w:r>
          </w:p>
        </w:tc>
        <w:tc>
          <w:tcPr>
            <w:tcW w:w="547" w:type="pct"/>
            <w:tcBorders>
              <w:top w:val="nil"/>
              <w:left w:val="nil"/>
              <w:bottom w:val="single" w:sz="4" w:space="0" w:color="auto"/>
              <w:right w:val="single" w:sz="4" w:space="0" w:color="auto"/>
            </w:tcBorders>
            <w:shd w:val="clear" w:color="auto" w:fill="auto"/>
            <w:noWrap/>
            <w:vAlign w:val="center"/>
            <w:hideMark/>
          </w:tcPr>
          <w:p w14:paraId="534A757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61137014</w:t>
            </w:r>
          </w:p>
        </w:tc>
        <w:tc>
          <w:tcPr>
            <w:tcW w:w="3360" w:type="pct"/>
            <w:tcBorders>
              <w:top w:val="nil"/>
              <w:left w:val="nil"/>
              <w:bottom w:val="single" w:sz="4" w:space="0" w:color="auto"/>
              <w:right w:val="single" w:sz="4" w:space="0" w:color="auto"/>
            </w:tcBorders>
            <w:shd w:val="clear" w:color="auto" w:fill="auto"/>
            <w:vAlign w:val="center"/>
            <w:hideMark/>
          </w:tcPr>
          <w:p w14:paraId="6A8A08D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ŠENTJANŽ PRI DRAVOGRADU</w:t>
            </w:r>
          </w:p>
        </w:tc>
      </w:tr>
      <w:tr w:rsidR="00E3750C" w:rsidRPr="00415AB3" w14:paraId="4520D8E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D313AB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1457</w:t>
            </w:r>
          </w:p>
        </w:tc>
        <w:tc>
          <w:tcPr>
            <w:tcW w:w="705" w:type="pct"/>
            <w:tcBorders>
              <w:top w:val="nil"/>
              <w:left w:val="nil"/>
              <w:bottom w:val="single" w:sz="4" w:space="0" w:color="auto"/>
              <w:right w:val="single" w:sz="4" w:space="0" w:color="auto"/>
            </w:tcBorders>
            <w:shd w:val="clear" w:color="auto" w:fill="auto"/>
            <w:noWrap/>
            <w:vAlign w:val="center"/>
            <w:hideMark/>
          </w:tcPr>
          <w:p w14:paraId="54A5968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5086299000</w:t>
            </w:r>
          </w:p>
        </w:tc>
        <w:tc>
          <w:tcPr>
            <w:tcW w:w="547" w:type="pct"/>
            <w:tcBorders>
              <w:top w:val="nil"/>
              <w:left w:val="nil"/>
              <w:bottom w:val="single" w:sz="4" w:space="0" w:color="auto"/>
              <w:right w:val="single" w:sz="4" w:space="0" w:color="auto"/>
            </w:tcBorders>
            <w:shd w:val="clear" w:color="auto" w:fill="auto"/>
            <w:noWrap/>
            <w:vAlign w:val="center"/>
            <w:hideMark/>
          </w:tcPr>
          <w:p w14:paraId="6F8DA1E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77005821</w:t>
            </w:r>
          </w:p>
        </w:tc>
        <w:tc>
          <w:tcPr>
            <w:tcW w:w="3360" w:type="pct"/>
            <w:tcBorders>
              <w:top w:val="nil"/>
              <w:left w:val="nil"/>
              <w:bottom w:val="single" w:sz="4" w:space="0" w:color="auto"/>
              <w:right w:val="single" w:sz="4" w:space="0" w:color="auto"/>
            </w:tcBorders>
            <w:shd w:val="clear" w:color="auto" w:fill="auto"/>
            <w:vAlign w:val="center"/>
            <w:hideMark/>
          </w:tcPr>
          <w:p w14:paraId="2788C60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ŠENTJERNEJ</w:t>
            </w:r>
          </w:p>
        </w:tc>
      </w:tr>
      <w:tr w:rsidR="00E3750C" w:rsidRPr="00415AB3" w14:paraId="55AC71B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82EB74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1458</w:t>
            </w:r>
          </w:p>
        </w:tc>
        <w:tc>
          <w:tcPr>
            <w:tcW w:w="705" w:type="pct"/>
            <w:tcBorders>
              <w:top w:val="nil"/>
              <w:left w:val="nil"/>
              <w:bottom w:val="single" w:sz="4" w:space="0" w:color="auto"/>
              <w:right w:val="single" w:sz="4" w:space="0" w:color="auto"/>
            </w:tcBorders>
            <w:shd w:val="clear" w:color="auto" w:fill="auto"/>
            <w:noWrap/>
            <w:vAlign w:val="center"/>
            <w:hideMark/>
          </w:tcPr>
          <w:p w14:paraId="533A7EC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5090016000</w:t>
            </w:r>
          </w:p>
        </w:tc>
        <w:tc>
          <w:tcPr>
            <w:tcW w:w="547" w:type="pct"/>
            <w:tcBorders>
              <w:top w:val="nil"/>
              <w:left w:val="nil"/>
              <w:bottom w:val="single" w:sz="4" w:space="0" w:color="auto"/>
              <w:right w:val="single" w:sz="4" w:space="0" w:color="auto"/>
            </w:tcBorders>
            <w:shd w:val="clear" w:color="auto" w:fill="auto"/>
            <w:noWrap/>
            <w:vAlign w:val="center"/>
            <w:hideMark/>
          </w:tcPr>
          <w:p w14:paraId="061D890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51719070</w:t>
            </w:r>
          </w:p>
        </w:tc>
        <w:tc>
          <w:tcPr>
            <w:tcW w:w="3360" w:type="pct"/>
            <w:tcBorders>
              <w:top w:val="nil"/>
              <w:left w:val="nil"/>
              <w:bottom w:val="single" w:sz="4" w:space="0" w:color="auto"/>
              <w:right w:val="single" w:sz="4" w:space="0" w:color="auto"/>
            </w:tcBorders>
            <w:shd w:val="clear" w:color="auto" w:fill="auto"/>
            <w:vAlign w:val="center"/>
            <w:hideMark/>
          </w:tcPr>
          <w:p w14:paraId="361EC65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ŠENTVID</w:t>
            </w:r>
          </w:p>
        </w:tc>
      </w:tr>
      <w:tr w:rsidR="00E3750C" w:rsidRPr="00415AB3" w14:paraId="17299C6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3935F7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1459</w:t>
            </w:r>
          </w:p>
        </w:tc>
        <w:tc>
          <w:tcPr>
            <w:tcW w:w="705" w:type="pct"/>
            <w:tcBorders>
              <w:top w:val="nil"/>
              <w:left w:val="nil"/>
              <w:bottom w:val="single" w:sz="4" w:space="0" w:color="auto"/>
              <w:right w:val="single" w:sz="4" w:space="0" w:color="auto"/>
            </w:tcBorders>
            <w:shd w:val="clear" w:color="auto" w:fill="auto"/>
            <w:noWrap/>
            <w:vAlign w:val="center"/>
            <w:hideMark/>
          </w:tcPr>
          <w:p w14:paraId="57C1ED8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5089468000</w:t>
            </w:r>
          </w:p>
        </w:tc>
        <w:tc>
          <w:tcPr>
            <w:tcW w:w="547" w:type="pct"/>
            <w:tcBorders>
              <w:top w:val="nil"/>
              <w:left w:val="nil"/>
              <w:bottom w:val="single" w:sz="4" w:space="0" w:color="auto"/>
              <w:right w:val="single" w:sz="4" w:space="0" w:color="auto"/>
            </w:tcBorders>
            <w:shd w:val="clear" w:color="auto" w:fill="auto"/>
            <w:noWrap/>
            <w:vAlign w:val="center"/>
            <w:hideMark/>
          </w:tcPr>
          <w:p w14:paraId="45C1848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24921394</w:t>
            </w:r>
          </w:p>
        </w:tc>
        <w:tc>
          <w:tcPr>
            <w:tcW w:w="3360" w:type="pct"/>
            <w:tcBorders>
              <w:top w:val="nil"/>
              <w:left w:val="nil"/>
              <w:bottom w:val="single" w:sz="4" w:space="0" w:color="auto"/>
              <w:right w:val="single" w:sz="4" w:space="0" w:color="auto"/>
            </w:tcBorders>
            <w:shd w:val="clear" w:color="auto" w:fill="auto"/>
            <w:vAlign w:val="center"/>
            <w:hideMark/>
          </w:tcPr>
          <w:p w14:paraId="2C06AD0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ŠKOFJA LOKA - MESTO</w:t>
            </w:r>
          </w:p>
        </w:tc>
      </w:tr>
      <w:tr w:rsidR="00E3750C" w:rsidRPr="00415AB3" w14:paraId="7BA418C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262A6C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1460</w:t>
            </w:r>
          </w:p>
        </w:tc>
        <w:tc>
          <w:tcPr>
            <w:tcW w:w="705" w:type="pct"/>
            <w:tcBorders>
              <w:top w:val="nil"/>
              <w:left w:val="nil"/>
              <w:bottom w:val="single" w:sz="4" w:space="0" w:color="auto"/>
              <w:right w:val="single" w:sz="4" w:space="0" w:color="auto"/>
            </w:tcBorders>
            <w:shd w:val="clear" w:color="auto" w:fill="auto"/>
            <w:noWrap/>
            <w:vAlign w:val="center"/>
            <w:hideMark/>
          </w:tcPr>
          <w:p w14:paraId="0DA4644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5084482000</w:t>
            </w:r>
          </w:p>
        </w:tc>
        <w:tc>
          <w:tcPr>
            <w:tcW w:w="547" w:type="pct"/>
            <w:tcBorders>
              <w:top w:val="nil"/>
              <w:left w:val="nil"/>
              <w:bottom w:val="single" w:sz="4" w:space="0" w:color="auto"/>
              <w:right w:val="single" w:sz="4" w:space="0" w:color="auto"/>
            </w:tcBorders>
            <w:shd w:val="clear" w:color="auto" w:fill="auto"/>
            <w:noWrap/>
            <w:vAlign w:val="center"/>
            <w:hideMark/>
          </w:tcPr>
          <w:p w14:paraId="76A7BEA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59782820</w:t>
            </w:r>
          </w:p>
        </w:tc>
        <w:tc>
          <w:tcPr>
            <w:tcW w:w="3360" w:type="pct"/>
            <w:tcBorders>
              <w:top w:val="nil"/>
              <w:left w:val="nil"/>
              <w:bottom w:val="single" w:sz="4" w:space="0" w:color="auto"/>
              <w:right w:val="single" w:sz="4" w:space="0" w:color="auto"/>
            </w:tcBorders>
            <w:shd w:val="clear" w:color="auto" w:fill="auto"/>
            <w:vAlign w:val="center"/>
            <w:hideMark/>
          </w:tcPr>
          <w:p w14:paraId="1C4AC63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ŠKOFLJICA</w:t>
            </w:r>
          </w:p>
        </w:tc>
      </w:tr>
      <w:tr w:rsidR="00E3750C" w:rsidRPr="00415AB3" w14:paraId="3C4DBB0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158805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1461</w:t>
            </w:r>
          </w:p>
        </w:tc>
        <w:tc>
          <w:tcPr>
            <w:tcW w:w="705" w:type="pct"/>
            <w:tcBorders>
              <w:top w:val="nil"/>
              <w:left w:val="nil"/>
              <w:bottom w:val="single" w:sz="4" w:space="0" w:color="auto"/>
              <w:right w:val="single" w:sz="4" w:space="0" w:color="auto"/>
            </w:tcBorders>
            <w:shd w:val="clear" w:color="auto" w:fill="auto"/>
            <w:noWrap/>
            <w:vAlign w:val="center"/>
            <w:hideMark/>
          </w:tcPr>
          <w:p w14:paraId="1B40337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5087988000</w:t>
            </w:r>
          </w:p>
        </w:tc>
        <w:tc>
          <w:tcPr>
            <w:tcW w:w="547" w:type="pct"/>
            <w:tcBorders>
              <w:top w:val="nil"/>
              <w:left w:val="nil"/>
              <w:bottom w:val="single" w:sz="4" w:space="0" w:color="auto"/>
              <w:right w:val="single" w:sz="4" w:space="0" w:color="auto"/>
            </w:tcBorders>
            <w:shd w:val="clear" w:color="auto" w:fill="auto"/>
            <w:noWrap/>
            <w:vAlign w:val="center"/>
            <w:hideMark/>
          </w:tcPr>
          <w:p w14:paraId="090430D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94363455</w:t>
            </w:r>
          </w:p>
        </w:tc>
        <w:tc>
          <w:tcPr>
            <w:tcW w:w="3360" w:type="pct"/>
            <w:tcBorders>
              <w:top w:val="nil"/>
              <w:left w:val="nil"/>
              <w:bottom w:val="single" w:sz="4" w:space="0" w:color="auto"/>
              <w:right w:val="single" w:sz="4" w:space="0" w:color="auto"/>
            </w:tcBorders>
            <w:shd w:val="clear" w:color="auto" w:fill="auto"/>
            <w:vAlign w:val="center"/>
            <w:hideMark/>
          </w:tcPr>
          <w:p w14:paraId="00D3115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ŠMARJE PRI JELŠAH</w:t>
            </w:r>
          </w:p>
        </w:tc>
      </w:tr>
      <w:tr w:rsidR="00E3750C" w:rsidRPr="00415AB3" w14:paraId="5676AF5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D0DF09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1462</w:t>
            </w:r>
          </w:p>
        </w:tc>
        <w:tc>
          <w:tcPr>
            <w:tcW w:w="705" w:type="pct"/>
            <w:tcBorders>
              <w:top w:val="nil"/>
              <w:left w:val="nil"/>
              <w:bottom w:val="single" w:sz="4" w:space="0" w:color="auto"/>
              <w:right w:val="single" w:sz="4" w:space="0" w:color="auto"/>
            </w:tcBorders>
            <w:shd w:val="clear" w:color="auto" w:fill="auto"/>
            <w:noWrap/>
            <w:vAlign w:val="center"/>
            <w:hideMark/>
          </w:tcPr>
          <w:p w14:paraId="6AD484E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5083842000</w:t>
            </w:r>
          </w:p>
        </w:tc>
        <w:tc>
          <w:tcPr>
            <w:tcW w:w="547" w:type="pct"/>
            <w:tcBorders>
              <w:top w:val="nil"/>
              <w:left w:val="nil"/>
              <w:bottom w:val="single" w:sz="4" w:space="0" w:color="auto"/>
              <w:right w:val="single" w:sz="4" w:space="0" w:color="auto"/>
            </w:tcBorders>
            <w:shd w:val="clear" w:color="auto" w:fill="auto"/>
            <w:noWrap/>
            <w:vAlign w:val="center"/>
            <w:hideMark/>
          </w:tcPr>
          <w:p w14:paraId="75FAC7B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98962043</w:t>
            </w:r>
          </w:p>
        </w:tc>
        <w:tc>
          <w:tcPr>
            <w:tcW w:w="3360" w:type="pct"/>
            <w:tcBorders>
              <w:top w:val="nil"/>
              <w:left w:val="nil"/>
              <w:bottom w:val="single" w:sz="4" w:space="0" w:color="auto"/>
              <w:right w:val="single" w:sz="4" w:space="0" w:color="auto"/>
            </w:tcBorders>
            <w:shd w:val="clear" w:color="auto" w:fill="auto"/>
            <w:vAlign w:val="center"/>
            <w:hideMark/>
          </w:tcPr>
          <w:p w14:paraId="30CD7E6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ŠMARJE PRI KOPRU</w:t>
            </w:r>
          </w:p>
        </w:tc>
      </w:tr>
      <w:tr w:rsidR="00E3750C" w:rsidRPr="00415AB3" w14:paraId="7A5704D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231CE3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1463</w:t>
            </w:r>
          </w:p>
        </w:tc>
        <w:tc>
          <w:tcPr>
            <w:tcW w:w="705" w:type="pct"/>
            <w:tcBorders>
              <w:top w:val="nil"/>
              <w:left w:val="nil"/>
              <w:bottom w:val="single" w:sz="4" w:space="0" w:color="auto"/>
              <w:right w:val="single" w:sz="4" w:space="0" w:color="auto"/>
            </w:tcBorders>
            <w:shd w:val="clear" w:color="auto" w:fill="auto"/>
            <w:noWrap/>
            <w:vAlign w:val="center"/>
            <w:hideMark/>
          </w:tcPr>
          <w:p w14:paraId="6BBFCDA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7272219000</w:t>
            </w:r>
          </w:p>
        </w:tc>
        <w:tc>
          <w:tcPr>
            <w:tcW w:w="547" w:type="pct"/>
            <w:tcBorders>
              <w:top w:val="nil"/>
              <w:left w:val="nil"/>
              <w:bottom w:val="single" w:sz="4" w:space="0" w:color="auto"/>
              <w:right w:val="single" w:sz="4" w:space="0" w:color="auto"/>
            </w:tcBorders>
            <w:shd w:val="clear" w:color="auto" w:fill="auto"/>
            <w:noWrap/>
            <w:vAlign w:val="center"/>
            <w:hideMark/>
          </w:tcPr>
          <w:p w14:paraId="3841145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31362605</w:t>
            </w:r>
          </w:p>
        </w:tc>
        <w:tc>
          <w:tcPr>
            <w:tcW w:w="3360" w:type="pct"/>
            <w:tcBorders>
              <w:top w:val="nil"/>
              <w:left w:val="nil"/>
              <w:bottom w:val="single" w:sz="4" w:space="0" w:color="auto"/>
              <w:right w:val="single" w:sz="4" w:space="0" w:color="auto"/>
            </w:tcBorders>
            <w:shd w:val="clear" w:color="auto" w:fill="auto"/>
            <w:vAlign w:val="center"/>
            <w:hideMark/>
          </w:tcPr>
          <w:p w14:paraId="33B6794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ŠMARJE-SAP</w:t>
            </w:r>
          </w:p>
        </w:tc>
      </w:tr>
      <w:tr w:rsidR="00E3750C" w:rsidRPr="00415AB3" w14:paraId="04F9E52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7625FF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1464</w:t>
            </w:r>
          </w:p>
        </w:tc>
        <w:tc>
          <w:tcPr>
            <w:tcW w:w="705" w:type="pct"/>
            <w:tcBorders>
              <w:top w:val="nil"/>
              <w:left w:val="nil"/>
              <w:bottom w:val="single" w:sz="4" w:space="0" w:color="auto"/>
              <w:right w:val="single" w:sz="4" w:space="0" w:color="auto"/>
            </w:tcBorders>
            <w:shd w:val="clear" w:color="auto" w:fill="auto"/>
            <w:noWrap/>
            <w:vAlign w:val="center"/>
            <w:hideMark/>
          </w:tcPr>
          <w:p w14:paraId="14092E5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5086302000</w:t>
            </w:r>
          </w:p>
        </w:tc>
        <w:tc>
          <w:tcPr>
            <w:tcW w:w="547" w:type="pct"/>
            <w:tcBorders>
              <w:top w:val="nil"/>
              <w:left w:val="nil"/>
              <w:bottom w:val="single" w:sz="4" w:space="0" w:color="auto"/>
              <w:right w:val="single" w:sz="4" w:space="0" w:color="auto"/>
            </w:tcBorders>
            <w:shd w:val="clear" w:color="auto" w:fill="auto"/>
            <w:noWrap/>
            <w:vAlign w:val="center"/>
            <w:hideMark/>
          </w:tcPr>
          <w:p w14:paraId="3F42EFA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73055956</w:t>
            </w:r>
          </w:p>
        </w:tc>
        <w:tc>
          <w:tcPr>
            <w:tcW w:w="3360" w:type="pct"/>
            <w:tcBorders>
              <w:top w:val="nil"/>
              <w:left w:val="nil"/>
              <w:bottom w:val="single" w:sz="4" w:space="0" w:color="auto"/>
              <w:right w:val="single" w:sz="4" w:space="0" w:color="auto"/>
            </w:tcBorders>
            <w:shd w:val="clear" w:color="auto" w:fill="auto"/>
            <w:vAlign w:val="center"/>
            <w:hideMark/>
          </w:tcPr>
          <w:p w14:paraId="05F0E12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ŠMARJETA</w:t>
            </w:r>
          </w:p>
        </w:tc>
      </w:tr>
      <w:tr w:rsidR="00E3750C" w:rsidRPr="00415AB3" w14:paraId="7C87C67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1D85F5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1465</w:t>
            </w:r>
          </w:p>
        </w:tc>
        <w:tc>
          <w:tcPr>
            <w:tcW w:w="705" w:type="pct"/>
            <w:tcBorders>
              <w:top w:val="nil"/>
              <w:left w:val="nil"/>
              <w:bottom w:val="single" w:sz="4" w:space="0" w:color="auto"/>
              <w:right w:val="single" w:sz="4" w:space="0" w:color="auto"/>
            </w:tcBorders>
            <w:shd w:val="clear" w:color="auto" w:fill="auto"/>
            <w:noWrap/>
            <w:vAlign w:val="center"/>
            <w:hideMark/>
          </w:tcPr>
          <w:p w14:paraId="64CF189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5084083000</w:t>
            </w:r>
          </w:p>
        </w:tc>
        <w:tc>
          <w:tcPr>
            <w:tcW w:w="547" w:type="pct"/>
            <w:tcBorders>
              <w:top w:val="nil"/>
              <w:left w:val="nil"/>
              <w:bottom w:val="single" w:sz="4" w:space="0" w:color="auto"/>
              <w:right w:val="single" w:sz="4" w:space="0" w:color="auto"/>
            </w:tcBorders>
            <w:shd w:val="clear" w:color="auto" w:fill="auto"/>
            <w:noWrap/>
            <w:vAlign w:val="center"/>
            <w:hideMark/>
          </w:tcPr>
          <w:p w14:paraId="77F0818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76955052</w:t>
            </w:r>
          </w:p>
        </w:tc>
        <w:tc>
          <w:tcPr>
            <w:tcW w:w="3360" w:type="pct"/>
            <w:tcBorders>
              <w:top w:val="nil"/>
              <w:left w:val="nil"/>
              <w:bottom w:val="single" w:sz="4" w:space="0" w:color="auto"/>
              <w:right w:val="single" w:sz="4" w:space="0" w:color="auto"/>
            </w:tcBorders>
            <w:shd w:val="clear" w:color="auto" w:fill="auto"/>
            <w:vAlign w:val="center"/>
            <w:hideMark/>
          </w:tcPr>
          <w:p w14:paraId="60A6DD6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ŠMARTNO</w:t>
            </w:r>
          </w:p>
        </w:tc>
      </w:tr>
      <w:tr w:rsidR="00E3750C" w:rsidRPr="00415AB3" w14:paraId="5467FCE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FD51F6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1466</w:t>
            </w:r>
          </w:p>
        </w:tc>
        <w:tc>
          <w:tcPr>
            <w:tcW w:w="705" w:type="pct"/>
            <w:tcBorders>
              <w:top w:val="nil"/>
              <w:left w:val="nil"/>
              <w:bottom w:val="single" w:sz="4" w:space="0" w:color="auto"/>
              <w:right w:val="single" w:sz="4" w:space="0" w:color="auto"/>
            </w:tcBorders>
            <w:shd w:val="clear" w:color="auto" w:fill="auto"/>
            <w:noWrap/>
            <w:vAlign w:val="center"/>
            <w:hideMark/>
          </w:tcPr>
          <w:p w14:paraId="2E23063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5089425000</w:t>
            </w:r>
          </w:p>
        </w:tc>
        <w:tc>
          <w:tcPr>
            <w:tcW w:w="547" w:type="pct"/>
            <w:tcBorders>
              <w:top w:val="nil"/>
              <w:left w:val="nil"/>
              <w:bottom w:val="single" w:sz="4" w:space="0" w:color="auto"/>
              <w:right w:val="single" w:sz="4" w:space="0" w:color="auto"/>
            </w:tcBorders>
            <w:shd w:val="clear" w:color="auto" w:fill="auto"/>
            <w:noWrap/>
            <w:vAlign w:val="center"/>
            <w:hideMark/>
          </w:tcPr>
          <w:p w14:paraId="10B33F2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15317765</w:t>
            </w:r>
          </w:p>
        </w:tc>
        <w:tc>
          <w:tcPr>
            <w:tcW w:w="3360" w:type="pct"/>
            <w:tcBorders>
              <w:top w:val="nil"/>
              <w:left w:val="nil"/>
              <w:bottom w:val="single" w:sz="4" w:space="0" w:color="auto"/>
              <w:right w:val="single" w:sz="4" w:space="0" w:color="auto"/>
            </w:tcBorders>
            <w:shd w:val="clear" w:color="auto" w:fill="auto"/>
            <w:vAlign w:val="center"/>
            <w:hideMark/>
          </w:tcPr>
          <w:p w14:paraId="478BAC9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ŠMARTNO NA POHORJU</w:t>
            </w:r>
          </w:p>
        </w:tc>
      </w:tr>
      <w:tr w:rsidR="00E3750C" w:rsidRPr="00415AB3" w14:paraId="12E9757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45D4B8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1467</w:t>
            </w:r>
          </w:p>
        </w:tc>
        <w:tc>
          <w:tcPr>
            <w:tcW w:w="705" w:type="pct"/>
            <w:tcBorders>
              <w:top w:val="nil"/>
              <w:left w:val="nil"/>
              <w:bottom w:val="single" w:sz="4" w:space="0" w:color="auto"/>
              <w:right w:val="single" w:sz="4" w:space="0" w:color="auto"/>
            </w:tcBorders>
            <w:shd w:val="clear" w:color="auto" w:fill="auto"/>
            <w:noWrap/>
            <w:vAlign w:val="center"/>
            <w:hideMark/>
          </w:tcPr>
          <w:p w14:paraId="7A26992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5133785000</w:t>
            </w:r>
          </w:p>
        </w:tc>
        <w:tc>
          <w:tcPr>
            <w:tcW w:w="547" w:type="pct"/>
            <w:tcBorders>
              <w:top w:val="nil"/>
              <w:left w:val="nil"/>
              <w:bottom w:val="single" w:sz="4" w:space="0" w:color="auto"/>
              <w:right w:val="single" w:sz="4" w:space="0" w:color="auto"/>
            </w:tcBorders>
            <w:shd w:val="clear" w:color="auto" w:fill="auto"/>
            <w:noWrap/>
            <w:vAlign w:val="center"/>
            <w:hideMark/>
          </w:tcPr>
          <w:p w14:paraId="35CE990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61510971</w:t>
            </w:r>
          </w:p>
        </w:tc>
        <w:tc>
          <w:tcPr>
            <w:tcW w:w="3360" w:type="pct"/>
            <w:tcBorders>
              <w:top w:val="nil"/>
              <w:left w:val="nil"/>
              <w:bottom w:val="single" w:sz="4" w:space="0" w:color="auto"/>
              <w:right w:val="single" w:sz="4" w:space="0" w:color="auto"/>
            </w:tcBorders>
            <w:shd w:val="clear" w:color="auto" w:fill="auto"/>
            <w:vAlign w:val="center"/>
            <w:hideMark/>
          </w:tcPr>
          <w:p w14:paraId="51D27BF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ŠMARTNO POD ŠMARNO GORO</w:t>
            </w:r>
          </w:p>
        </w:tc>
      </w:tr>
      <w:tr w:rsidR="00E3750C" w:rsidRPr="00415AB3" w14:paraId="44FEA58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14C107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1468</w:t>
            </w:r>
          </w:p>
        </w:tc>
        <w:tc>
          <w:tcPr>
            <w:tcW w:w="705" w:type="pct"/>
            <w:tcBorders>
              <w:top w:val="nil"/>
              <w:left w:val="nil"/>
              <w:bottom w:val="single" w:sz="4" w:space="0" w:color="auto"/>
              <w:right w:val="single" w:sz="4" w:space="0" w:color="auto"/>
            </w:tcBorders>
            <w:shd w:val="clear" w:color="auto" w:fill="auto"/>
            <w:noWrap/>
            <w:vAlign w:val="center"/>
            <w:hideMark/>
          </w:tcPr>
          <w:p w14:paraId="7E1FEAC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5089409000</w:t>
            </w:r>
          </w:p>
        </w:tc>
        <w:tc>
          <w:tcPr>
            <w:tcW w:w="547" w:type="pct"/>
            <w:tcBorders>
              <w:top w:val="nil"/>
              <w:left w:val="nil"/>
              <w:bottom w:val="single" w:sz="4" w:space="0" w:color="auto"/>
              <w:right w:val="single" w:sz="4" w:space="0" w:color="auto"/>
            </w:tcBorders>
            <w:shd w:val="clear" w:color="auto" w:fill="auto"/>
            <w:noWrap/>
            <w:vAlign w:val="center"/>
            <w:hideMark/>
          </w:tcPr>
          <w:p w14:paraId="297F072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15598586</w:t>
            </w:r>
          </w:p>
        </w:tc>
        <w:tc>
          <w:tcPr>
            <w:tcW w:w="3360" w:type="pct"/>
            <w:tcBorders>
              <w:top w:val="nil"/>
              <w:left w:val="nil"/>
              <w:bottom w:val="single" w:sz="4" w:space="0" w:color="auto"/>
              <w:right w:val="single" w:sz="4" w:space="0" w:color="auto"/>
            </w:tcBorders>
            <w:shd w:val="clear" w:color="auto" w:fill="auto"/>
            <w:vAlign w:val="center"/>
            <w:hideMark/>
          </w:tcPr>
          <w:p w14:paraId="0942067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ŠMARTNO PRI SLOVENJ GRADCU</w:t>
            </w:r>
          </w:p>
        </w:tc>
      </w:tr>
      <w:tr w:rsidR="00E3750C" w:rsidRPr="00415AB3" w14:paraId="2BE42CF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821CD0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1469</w:t>
            </w:r>
          </w:p>
        </w:tc>
        <w:tc>
          <w:tcPr>
            <w:tcW w:w="705" w:type="pct"/>
            <w:tcBorders>
              <w:top w:val="nil"/>
              <w:left w:val="nil"/>
              <w:bottom w:val="single" w:sz="4" w:space="0" w:color="auto"/>
              <w:right w:val="single" w:sz="4" w:space="0" w:color="auto"/>
            </w:tcBorders>
            <w:shd w:val="clear" w:color="auto" w:fill="auto"/>
            <w:noWrap/>
            <w:vAlign w:val="center"/>
            <w:hideMark/>
          </w:tcPr>
          <w:p w14:paraId="43C3E90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5950686000</w:t>
            </w:r>
          </w:p>
        </w:tc>
        <w:tc>
          <w:tcPr>
            <w:tcW w:w="547" w:type="pct"/>
            <w:tcBorders>
              <w:top w:val="nil"/>
              <w:left w:val="nil"/>
              <w:bottom w:val="single" w:sz="4" w:space="0" w:color="auto"/>
              <w:right w:val="single" w:sz="4" w:space="0" w:color="auto"/>
            </w:tcBorders>
            <w:shd w:val="clear" w:color="auto" w:fill="auto"/>
            <w:noWrap/>
            <w:vAlign w:val="center"/>
            <w:hideMark/>
          </w:tcPr>
          <w:p w14:paraId="4DCF76B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47328304</w:t>
            </w:r>
          </w:p>
        </w:tc>
        <w:tc>
          <w:tcPr>
            <w:tcW w:w="3360" w:type="pct"/>
            <w:tcBorders>
              <w:top w:val="nil"/>
              <w:left w:val="nil"/>
              <w:bottom w:val="single" w:sz="4" w:space="0" w:color="auto"/>
              <w:right w:val="single" w:sz="4" w:space="0" w:color="auto"/>
            </w:tcBorders>
            <w:shd w:val="clear" w:color="auto" w:fill="auto"/>
            <w:vAlign w:val="center"/>
            <w:hideMark/>
          </w:tcPr>
          <w:p w14:paraId="2B09A3F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ŠMARTNO V TUHINJU</w:t>
            </w:r>
          </w:p>
        </w:tc>
      </w:tr>
      <w:tr w:rsidR="00E3750C" w:rsidRPr="00415AB3" w14:paraId="2C59D59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B9F0C8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1470</w:t>
            </w:r>
          </w:p>
        </w:tc>
        <w:tc>
          <w:tcPr>
            <w:tcW w:w="705" w:type="pct"/>
            <w:tcBorders>
              <w:top w:val="nil"/>
              <w:left w:val="nil"/>
              <w:bottom w:val="single" w:sz="4" w:space="0" w:color="auto"/>
              <w:right w:val="single" w:sz="4" w:space="0" w:color="auto"/>
            </w:tcBorders>
            <w:shd w:val="clear" w:color="auto" w:fill="auto"/>
            <w:noWrap/>
            <w:vAlign w:val="center"/>
            <w:hideMark/>
          </w:tcPr>
          <w:p w14:paraId="4FB155D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5086841000</w:t>
            </w:r>
          </w:p>
        </w:tc>
        <w:tc>
          <w:tcPr>
            <w:tcW w:w="547" w:type="pct"/>
            <w:tcBorders>
              <w:top w:val="nil"/>
              <w:left w:val="nil"/>
              <w:bottom w:val="single" w:sz="4" w:space="0" w:color="auto"/>
              <w:right w:val="single" w:sz="4" w:space="0" w:color="auto"/>
            </w:tcBorders>
            <w:shd w:val="clear" w:color="auto" w:fill="auto"/>
            <w:noWrap/>
            <w:vAlign w:val="center"/>
            <w:hideMark/>
          </w:tcPr>
          <w:p w14:paraId="6137D4A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39971953</w:t>
            </w:r>
          </w:p>
        </w:tc>
        <w:tc>
          <w:tcPr>
            <w:tcW w:w="3360" w:type="pct"/>
            <w:tcBorders>
              <w:top w:val="nil"/>
              <w:left w:val="nil"/>
              <w:bottom w:val="single" w:sz="4" w:space="0" w:color="auto"/>
              <w:right w:val="single" w:sz="4" w:space="0" w:color="auto"/>
            </w:tcBorders>
            <w:shd w:val="clear" w:color="auto" w:fill="auto"/>
            <w:vAlign w:val="center"/>
            <w:hideMark/>
          </w:tcPr>
          <w:p w14:paraId="35E4FA0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ŠMIHEL</w:t>
            </w:r>
          </w:p>
        </w:tc>
      </w:tr>
      <w:tr w:rsidR="00E3750C" w:rsidRPr="00415AB3" w14:paraId="27D955A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D62AD1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1471</w:t>
            </w:r>
          </w:p>
        </w:tc>
        <w:tc>
          <w:tcPr>
            <w:tcW w:w="705" w:type="pct"/>
            <w:tcBorders>
              <w:top w:val="nil"/>
              <w:left w:val="nil"/>
              <w:bottom w:val="single" w:sz="4" w:space="0" w:color="auto"/>
              <w:right w:val="single" w:sz="4" w:space="0" w:color="auto"/>
            </w:tcBorders>
            <w:shd w:val="clear" w:color="auto" w:fill="auto"/>
            <w:noWrap/>
            <w:vAlign w:val="center"/>
            <w:hideMark/>
          </w:tcPr>
          <w:p w14:paraId="1D95F7A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5082676000</w:t>
            </w:r>
          </w:p>
        </w:tc>
        <w:tc>
          <w:tcPr>
            <w:tcW w:w="547" w:type="pct"/>
            <w:tcBorders>
              <w:top w:val="nil"/>
              <w:left w:val="nil"/>
              <w:bottom w:val="single" w:sz="4" w:space="0" w:color="auto"/>
              <w:right w:val="single" w:sz="4" w:space="0" w:color="auto"/>
            </w:tcBorders>
            <w:shd w:val="clear" w:color="auto" w:fill="auto"/>
            <w:noWrap/>
            <w:vAlign w:val="center"/>
            <w:hideMark/>
          </w:tcPr>
          <w:p w14:paraId="1D4BC93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24735779</w:t>
            </w:r>
          </w:p>
        </w:tc>
        <w:tc>
          <w:tcPr>
            <w:tcW w:w="3360" w:type="pct"/>
            <w:tcBorders>
              <w:top w:val="nil"/>
              <w:left w:val="nil"/>
              <w:bottom w:val="single" w:sz="4" w:space="0" w:color="auto"/>
              <w:right w:val="single" w:sz="4" w:space="0" w:color="auto"/>
            </w:tcBorders>
            <w:shd w:val="clear" w:color="auto" w:fill="auto"/>
            <w:vAlign w:val="center"/>
            <w:hideMark/>
          </w:tcPr>
          <w:p w14:paraId="7F74331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ŠTORE</w:t>
            </w:r>
          </w:p>
        </w:tc>
      </w:tr>
      <w:tr w:rsidR="00E3750C" w:rsidRPr="00415AB3" w14:paraId="19A1366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7B775A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1472</w:t>
            </w:r>
          </w:p>
        </w:tc>
        <w:tc>
          <w:tcPr>
            <w:tcW w:w="705" w:type="pct"/>
            <w:tcBorders>
              <w:top w:val="nil"/>
              <w:left w:val="nil"/>
              <w:bottom w:val="single" w:sz="4" w:space="0" w:color="auto"/>
              <w:right w:val="single" w:sz="4" w:space="0" w:color="auto"/>
            </w:tcBorders>
            <w:shd w:val="clear" w:color="auto" w:fill="auto"/>
            <w:noWrap/>
            <w:vAlign w:val="center"/>
            <w:hideMark/>
          </w:tcPr>
          <w:p w14:paraId="342A6CC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2294460000</w:t>
            </w:r>
          </w:p>
        </w:tc>
        <w:tc>
          <w:tcPr>
            <w:tcW w:w="547" w:type="pct"/>
            <w:tcBorders>
              <w:top w:val="nil"/>
              <w:left w:val="nil"/>
              <w:bottom w:val="single" w:sz="4" w:space="0" w:color="auto"/>
              <w:right w:val="single" w:sz="4" w:space="0" w:color="auto"/>
            </w:tcBorders>
            <w:shd w:val="clear" w:color="auto" w:fill="auto"/>
            <w:noWrap/>
            <w:vAlign w:val="center"/>
            <w:hideMark/>
          </w:tcPr>
          <w:p w14:paraId="5A9BDC9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39855210</w:t>
            </w:r>
          </w:p>
        </w:tc>
        <w:tc>
          <w:tcPr>
            <w:tcW w:w="3360" w:type="pct"/>
            <w:tcBorders>
              <w:top w:val="nil"/>
              <w:left w:val="nil"/>
              <w:bottom w:val="single" w:sz="4" w:space="0" w:color="auto"/>
              <w:right w:val="single" w:sz="4" w:space="0" w:color="auto"/>
            </w:tcBorders>
            <w:shd w:val="clear" w:color="auto" w:fill="auto"/>
            <w:vAlign w:val="center"/>
            <w:hideMark/>
          </w:tcPr>
          <w:p w14:paraId="286A85F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ŠTURJE, AJDOVŠČINA</w:t>
            </w:r>
          </w:p>
        </w:tc>
      </w:tr>
      <w:tr w:rsidR="00E3750C" w:rsidRPr="00415AB3" w14:paraId="40EEB00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8B1150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1473</w:t>
            </w:r>
          </w:p>
        </w:tc>
        <w:tc>
          <w:tcPr>
            <w:tcW w:w="705" w:type="pct"/>
            <w:tcBorders>
              <w:top w:val="nil"/>
              <w:left w:val="nil"/>
              <w:bottom w:val="single" w:sz="4" w:space="0" w:color="auto"/>
              <w:right w:val="single" w:sz="4" w:space="0" w:color="auto"/>
            </w:tcBorders>
            <w:shd w:val="clear" w:color="auto" w:fill="auto"/>
            <w:noWrap/>
            <w:vAlign w:val="center"/>
            <w:hideMark/>
          </w:tcPr>
          <w:p w14:paraId="1C80F1A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5610508000</w:t>
            </w:r>
          </w:p>
        </w:tc>
        <w:tc>
          <w:tcPr>
            <w:tcW w:w="547" w:type="pct"/>
            <w:tcBorders>
              <w:top w:val="nil"/>
              <w:left w:val="nil"/>
              <w:bottom w:val="single" w:sz="4" w:space="0" w:color="auto"/>
              <w:right w:val="single" w:sz="4" w:space="0" w:color="auto"/>
            </w:tcBorders>
            <w:shd w:val="clear" w:color="auto" w:fill="auto"/>
            <w:noWrap/>
            <w:vAlign w:val="center"/>
            <w:hideMark/>
          </w:tcPr>
          <w:p w14:paraId="19C294E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50654802</w:t>
            </w:r>
          </w:p>
        </w:tc>
        <w:tc>
          <w:tcPr>
            <w:tcW w:w="3360" w:type="pct"/>
            <w:tcBorders>
              <w:top w:val="nil"/>
              <w:left w:val="nil"/>
              <w:bottom w:val="single" w:sz="4" w:space="0" w:color="auto"/>
              <w:right w:val="single" w:sz="4" w:space="0" w:color="auto"/>
            </w:tcBorders>
            <w:shd w:val="clear" w:color="auto" w:fill="auto"/>
            <w:vAlign w:val="center"/>
            <w:hideMark/>
          </w:tcPr>
          <w:p w14:paraId="58D6BBC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TABOR I MARIBOR</w:t>
            </w:r>
          </w:p>
        </w:tc>
      </w:tr>
      <w:tr w:rsidR="00E3750C" w:rsidRPr="00415AB3" w14:paraId="2EBD766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FE434F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1474</w:t>
            </w:r>
          </w:p>
        </w:tc>
        <w:tc>
          <w:tcPr>
            <w:tcW w:w="705" w:type="pct"/>
            <w:tcBorders>
              <w:top w:val="nil"/>
              <w:left w:val="nil"/>
              <w:bottom w:val="single" w:sz="4" w:space="0" w:color="auto"/>
              <w:right w:val="single" w:sz="4" w:space="0" w:color="auto"/>
            </w:tcBorders>
            <w:shd w:val="clear" w:color="auto" w:fill="auto"/>
            <w:noWrap/>
            <w:vAlign w:val="center"/>
            <w:hideMark/>
          </w:tcPr>
          <w:p w14:paraId="10CFDC1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5085721000</w:t>
            </w:r>
          </w:p>
        </w:tc>
        <w:tc>
          <w:tcPr>
            <w:tcW w:w="547" w:type="pct"/>
            <w:tcBorders>
              <w:top w:val="nil"/>
              <w:left w:val="nil"/>
              <w:bottom w:val="single" w:sz="4" w:space="0" w:color="auto"/>
              <w:right w:val="single" w:sz="4" w:space="0" w:color="auto"/>
            </w:tcBorders>
            <w:shd w:val="clear" w:color="auto" w:fill="auto"/>
            <w:noWrap/>
            <w:vAlign w:val="center"/>
            <w:hideMark/>
          </w:tcPr>
          <w:p w14:paraId="113A3BD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56492987</w:t>
            </w:r>
          </w:p>
        </w:tc>
        <w:tc>
          <w:tcPr>
            <w:tcW w:w="3360" w:type="pct"/>
            <w:tcBorders>
              <w:top w:val="nil"/>
              <w:left w:val="nil"/>
              <w:bottom w:val="single" w:sz="4" w:space="0" w:color="auto"/>
              <w:right w:val="single" w:sz="4" w:space="0" w:color="auto"/>
            </w:tcBorders>
            <w:shd w:val="clear" w:color="auto" w:fill="auto"/>
            <w:vAlign w:val="center"/>
            <w:hideMark/>
          </w:tcPr>
          <w:p w14:paraId="02165B6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TIŠINA</w:t>
            </w:r>
          </w:p>
        </w:tc>
      </w:tr>
      <w:tr w:rsidR="00E3750C" w:rsidRPr="00415AB3" w14:paraId="136C60B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57339A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1475</w:t>
            </w:r>
          </w:p>
        </w:tc>
        <w:tc>
          <w:tcPr>
            <w:tcW w:w="705" w:type="pct"/>
            <w:tcBorders>
              <w:top w:val="nil"/>
              <w:left w:val="nil"/>
              <w:bottom w:val="single" w:sz="4" w:space="0" w:color="auto"/>
              <w:right w:val="single" w:sz="4" w:space="0" w:color="auto"/>
            </w:tcBorders>
            <w:shd w:val="clear" w:color="auto" w:fill="auto"/>
            <w:noWrap/>
            <w:vAlign w:val="center"/>
            <w:hideMark/>
          </w:tcPr>
          <w:p w14:paraId="2077F1B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5083044000</w:t>
            </w:r>
          </w:p>
        </w:tc>
        <w:tc>
          <w:tcPr>
            <w:tcW w:w="547" w:type="pct"/>
            <w:tcBorders>
              <w:top w:val="nil"/>
              <w:left w:val="nil"/>
              <w:bottom w:val="single" w:sz="4" w:space="0" w:color="auto"/>
              <w:right w:val="single" w:sz="4" w:space="0" w:color="auto"/>
            </w:tcBorders>
            <w:shd w:val="clear" w:color="auto" w:fill="auto"/>
            <w:noWrap/>
            <w:vAlign w:val="center"/>
            <w:hideMark/>
          </w:tcPr>
          <w:p w14:paraId="3481EEB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31285805</w:t>
            </w:r>
          </w:p>
        </w:tc>
        <w:tc>
          <w:tcPr>
            <w:tcW w:w="3360" w:type="pct"/>
            <w:tcBorders>
              <w:top w:val="nil"/>
              <w:left w:val="nil"/>
              <w:bottom w:val="single" w:sz="4" w:space="0" w:color="auto"/>
              <w:right w:val="single" w:sz="4" w:space="0" w:color="auto"/>
            </w:tcBorders>
            <w:shd w:val="clear" w:color="auto" w:fill="auto"/>
            <w:vAlign w:val="center"/>
            <w:hideMark/>
          </w:tcPr>
          <w:p w14:paraId="77AF195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TOMA BREJCA</w:t>
            </w:r>
          </w:p>
        </w:tc>
      </w:tr>
      <w:tr w:rsidR="00E3750C" w:rsidRPr="00415AB3" w14:paraId="24ED6AA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FC84B2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1476</w:t>
            </w:r>
          </w:p>
        </w:tc>
        <w:tc>
          <w:tcPr>
            <w:tcW w:w="705" w:type="pct"/>
            <w:tcBorders>
              <w:top w:val="nil"/>
              <w:left w:val="nil"/>
              <w:bottom w:val="single" w:sz="4" w:space="0" w:color="auto"/>
              <w:right w:val="single" w:sz="4" w:space="0" w:color="auto"/>
            </w:tcBorders>
            <w:shd w:val="clear" w:color="auto" w:fill="auto"/>
            <w:noWrap/>
            <w:vAlign w:val="center"/>
            <w:hideMark/>
          </w:tcPr>
          <w:p w14:paraId="01F7700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5899508000</w:t>
            </w:r>
          </w:p>
        </w:tc>
        <w:tc>
          <w:tcPr>
            <w:tcW w:w="547" w:type="pct"/>
            <w:tcBorders>
              <w:top w:val="nil"/>
              <w:left w:val="nil"/>
              <w:bottom w:val="single" w:sz="4" w:space="0" w:color="auto"/>
              <w:right w:val="single" w:sz="4" w:space="0" w:color="auto"/>
            </w:tcBorders>
            <w:shd w:val="clear" w:color="auto" w:fill="auto"/>
            <w:noWrap/>
            <w:vAlign w:val="center"/>
            <w:hideMark/>
          </w:tcPr>
          <w:p w14:paraId="0C92A9F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96660902</w:t>
            </w:r>
          </w:p>
        </w:tc>
        <w:tc>
          <w:tcPr>
            <w:tcW w:w="3360" w:type="pct"/>
            <w:tcBorders>
              <w:top w:val="nil"/>
              <w:left w:val="nil"/>
              <w:bottom w:val="single" w:sz="4" w:space="0" w:color="auto"/>
              <w:right w:val="single" w:sz="4" w:space="0" w:color="auto"/>
            </w:tcBorders>
            <w:shd w:val="clear" w:color="auto" w:fill="auto"/>
            <w:vAlign w:val="center"/>
            <w:hideMark/>
          </w:tcPr>
          <w:p w14:paraId="718F639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TONČKE ČEČ</w:t>
            </w:r>
          </w:p>
        </w:tc>
      </w:tr>
      <w:tr w:rsidR="00E3750C" w:rsidRPr="00415AB3" w14:paraId="31DAFE8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32221B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1477</w:t>
            </w:r>
          </w:p>
        </w:tc>
        <w:tc>
          <w:tcPr>
            <w:tcW w:w="705" w:type="pct"/>
            <w:tcBorders>
              <w:top w:val="nil"/>
              <w:left w:val="nil"/>
              <w:bottom w:val="single" w:sz="4" w:space="0" w:color="auto"/>
              <w:right w:val="single" w:sz="4" w:space="0" w:color="auto"/>
            </w:tcBorders>
            <w:shd w:val="clear" w:color="auto" w:fill="auto"/>
            <w:noWrap/>
            <w:vAlign w:val="center"/>
            <w:hideMark/>
          </w:tcPr>
          <w:p w14:paraId="0F749CD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5088755000</w:t>
            </w:r>
          </w:p>
        </w:tc>
        <w:tc>
          <w:tcPr>
            <w:tcW w:w="547" w:type="pct"/>
            <w:tcBorders>
              <w:top w:val="nil"/>
              <w:left w:val="nil"/>
              <w:bottom w:val="single" w:sz="4" w:space="0" w:color="auto"/>
              <w:right w:val="single" w:sz="4" w:space="0" w:color="auto"/>
            </w:tcBorders>
            <w:shd w:val="clear" w:color="auto" w:fill="auto"/>
            <w:noWrap/>
            <w:vAlign w:val="center"/>
            <w:hideMark/>
          </w:tcPr>
          <w:p w14:paraId="07B277E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98088742</w:t>
            </w:r>
          </w:p>
        </w:tc>
        <w:tc>
          <w:tcPr>
            <w:tcW w:w="3360" w:type="pct"/>
            <w:tcBorders>
              <w:top w:val="nil"/>
              <w:left w:val="nil"/>
              <w:bottom w:val="single" w:sz="4" w:space="0" w:color="auto"/>
              <w:right w:val="single" w:sz="4" w:space="0" w:color="auto"/>
            </w:tcBorders>
            <w:shd w:val="clear" w:color="auto" w:fill="auto"/>
            <w:vAlign w:val="center"/>
            <w:hideMark/>
          </w:tcPr>
          <w:p w14:paraId="64AF3D9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TONETA ČUFARJA</w:t>
            </w:r>
          </w:p>
        </w:tc>
      </w:tr>
      <w:tr w:rsidR="00E3750C" w:rsidRPr="00415AB3" w14:paraId="4E1CFB6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962989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1478</w:t>
            </w:r>
          </w:p>
        </w:tc>
        <w:tc>
          <w:tcPr>
            <w:tcW w:w="705" w:type="pct"/>
            <w:tcBorders>
              <w:top w:val="nil"/>
              <w:left w:val="nil"/>
              <w:bottom w:val="single" w:sz="4" w:space="0" w:color="auto"/>
              <w:right w:val="single" w:sz="4" w:space="0" w:color="auto"/>
            </w:tcBorders>
            <w:shd w:val="clear" w:color="auto" w:fill="auto"/>
            <w:noWrap/>
            <w:vAlign w:val="center"/>
            <w:hideMark/>
          </w:tcPr>
          <w:p w14:paraId="1684D11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5719089000</w:t>
            </w:r>
          </w:p>
        </w:tc>
        <w:tc>
          <w:tcPr>
            <w:tcW w:w="547" w:type="pct"/>
            <w:tcBorders>
              <w:top w:val="nil"/>
              <w:left w:val="nil"/>
              <w:bottom w:val="single" w:sz="4" w:space="0" w:color="auto"/>
              <w:right w:val="single" w:sz="4" w:space="0" w:color="auto"/>
            </w:tcBorders>
            <w:shd w:val="clear" w:color="auto" w:fill="auto"/>
            <w:noWrap/>
            <w:vAlign w:val="center"/>
            <w:hideMark/>
          </w:tcPr>
          <w:p w14:paraId="005733D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56149425</w:t>
            </w:r>
          </w:p>
        </w:tc>
        <w:tc>
          <w:tcPr>
            <w:tcW w:w="3360" w:type="pct"/>
            <w:tcBorders>
              <w:top w:val="nil"/>
              <w:left w:val="nil"/>
              <w:bottom w:val="single" w:sz="4" w:space="0" w:color="auto"/>
              <w:right w:val="single" w:sz="4" w:space="0" w:color="auto"/>
            </w:tcBorders>
            <w:shd w:val="clear" w:color="auto" w:fill="auto"/>
            <w:vAlign w:val="center"/>
            <w:hideMark/>
          </w:tcPr>
          <w:p w14:paraId="2C6C343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TONETA ČUFARJA JESENICE</w:t>
            </w:r>
          </w:p>
        </w:tc>
      </w:tr>
      <w:tr w:rsidR="00E3750C" w:rsidRPr="00415AB3" w14:paraId="581D4F2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8E56E3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1479</w:t>
            </w:r>
          </w:p>
        </w:tc>
        <w:tc>
          <w:tcPr>
            <w:tcW w:w="705" w:type="pct"/>
            <w:tcBorders>
              <w:top w:val="nil"/>
              <w:left w:val="nil"/>
              <w:bottom w:val="single" w:sz="4" w:space="0" w:color="auto"/>
              <w:right w:val="single" w:sz="4" w:space="0" w:color="auto"/>
            </w:tcBorders>
            <w:shd w:val="clear" w:color="auto" w:fill="auto"/>
            <w:noWrap/>
            <w:vAlign w:val="center"/>
            <w:hideMark/>
          </w:tcPr>
          <w:p w14:paraId="24C21EF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5085284000</w:t>
            </w:r>
          </w:p>
        </w:tc>
        <w:tc>
          <w:tcPr>
            <w:tcW w:w="547" w:type="pct"/>
            <w:tcBorders>
              <w:top w:val="nil"/>
              <w:left w:val="nil"/>
              <w:bottom w:val="single" w:sz="4" w:space="0" w:color="auto"/>
              <w:right w:val="single" w:sz="4" w:space="0" w:color="auto"/>
            </w:tcBorders>
            <w:shd w:val="clear" w:color="auto" w:fill="auto"/>
            <w:noWrap/>
            <w:vAlign w:val="center"/>
            <w:hideMark/>
          </w:tcPr>
          <w:p w14:paraId="462B455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26804964</w:t>
            </w:r>
          </w:p>
        </w:tc>
        <w:tc>
          <w:tcPr>
            <w:tcW w:w="3360" w:type="pct"/>
            <w:tcBorders>
              <w:top w:val="nil"/>
              <w:left w:val="nil"/>
              <w:bottom w:val="single" w:sz="4" w:space="0" w:color="auto"/>
              <w:right w:val="single" w:sz="4" w:space="0" w:color="auto"/>
            </w:tcBorders>
            <w:shd w:val="clear" w:color="auto" w:fill="auto"/>
            <w:vAlign w:val="center"/>
            <w:hideMark/>
          </w:tcPr>
          <w:p w14:paraId="051029B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TONETA ČUFARJA MARIBOR</w:t>
            </w:r>
          </w:p>
        </w:tc>
      </w:tr>
      <w:tr w:rsidR="00E3750C" w:rsidRPr="00415AB3" w14:paraId="3D209F1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771BCA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1480</w:t>
            </w:r>
          </w:p>
        </w:tc>
        <w:tc>
          <w:tcPr>
            <w:tcW w:w="705" w:type="pct"/>
            <w:tcBorders>
              <w:top w:val="nil"/>
              <w:left w:val="nil"/>
              <w:bottom w:val="single" w:sz="4" w:space="0" w:color="auto"/>
              <w:right w:val="single" w:sz="4" w:space="0" w:color="auto"/>
            </w:tcBorders>
            <w:shd w:val="clear" w:color="auto" w:fill="auto"/>
            <w:noWrap/>
            <w:vAlign w:val="center"/>
            <w:hideMark/>
          </w:tcPr>
          <w:p w14:paraId="615ED1F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5088399000</w:t>
            </w:r>
          </w:p>
        </w:tc>
        <w:tc>
          <w:tcPr>
            <w:tcW w:w="547" w:type="pct"/>
            <w:tcBorders>
              <w:top w:val="nil"/>
              <w:left w:val="nil"/>
              <w:bottom w:val="single" w:sz="4" w:space="0" w:color="auto"/>
              <w:right w:val="single" w:sz="4" w:space="0" w:color="auto"/>
            </w:tcBorders>
            <w:shd w:val="clear" w:color="auto" w:fill="auto"/>
            <w:noWrap/>
            <w:vAlign w:val="center"/>
            <w:hideMark/>
          </w:tcPr>
          <w:p w14:paraId="0DAAE53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62408534</w:t>
            </w:r>
          </w:p>
        </w:tc>
        <w:tc>
          <w:tcPr>
            <w:tcW w:w="3360" w:type="pct"/>
            <w:tcBorders>
              <w:top w:val="nil"/>
              <w:left w:val="nil"/>
              <w:bottom w:val="single" w:sz="4" w:space="0" w:color="auto"/>
              <w:right w:val="single" w:sz="4" w:space="0" w:color="auto"/>
            </w:tcBorders>
            <w:shd w:val="clear" w:color="auto" w:fill="auto"/>
            <w:vAlign w:val="center"/>
            <w:hideMark/>
          </w:tcPr>
          <w:p w14:paraId="7027ACE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TONETA OKROGARJA</w:t>
            </w:r>
          </w:p>
        </w:tc>
      </w:tr>
      <w:tr w:rsidR="00E3750C" w:rsidRPr="00415AB3" w14:paraId="0AF99AB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783FD5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1481</w:t>
            </w:r>
          </w:p>
        </w:tc>
        <w:tc>
          <w:tcPr>
            <w:tcW w:w="705" w:type="pct"/>
            <w:tcBorders>
              <w:top w:val="nil"/>
              <w:left w:val="nil"/>
              <w:bottom w:val="single" w:sz="4" w:space="0" w:color="auto"/>
              <w:right w:val="single" w:sz="4" w:space="0" w:color="auto"/>
            </w:tcBorders>
            <w:shd w:val="clear" w:color="auto" w:fill="auto"/>
            <w:noWrap/>
            <w:vAlign w:val="center"/>
            <w:hideMark/>
          </w:tcPr>
          <w:p w14:paraId="0D9BA19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5086256000</w:t>
            </w:r>
          </w:p>
        </w:tc>
        <w:tc>
          <w:tcPr>
            <w:tcW w:w="547" w:type="pct"/>
            <w:tcBorders>
              <w:top w:val="nil"/>
              <w:left w:val="nil"/>
              <w:bottom w:val="single" w:sz="4" w:space="0" w:color="auto"/>
              <w:right w:val="single" w:sz="4" w:space="0" w:color="auto"/>
            </w:tcBorders>
            <w:shd w:val="clear" w:color="auto" w:fill="auto"/>
            <w:noWrap/>
            <w:vAlign w:val="center"/>
            <w:hideMark/>
          </w:tcPr>
          <w:p w14:paraId="2693F32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57013357</w:t>
            </w:r>
          </w:p>
        </w:tc>
        <w:tc>
          <w:tcPr>
            <w:tcW w:w="3360" w:type="pct"/>
            <w:tcBorders>
              <w:top w:val="nil"/>
              <w:left w:val="nil"/>
              <w:bottom w:val="single" w:sz="4" w:space="0" w:color="auto"/>
              <w:right w:val="single" w:sz="4" w:space="0" w:color="auto"/>
            </w:tcBorders>
            <w:shd w:val="clear" w:color="auto" w:fill="auto"/>
            <w:vAlign w:val="center"/>
            <w:hideMark/>
          </w:tcPr>
          <w:p w14:paraId="14E4075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TONETA PAVČKA</w:t>
            </w:r>
          </w:p>
        </w:tc>
      </w:tr>
      <w:tr w:rsidR="00E3750C" w:rsidRPr="00415AB3" w14:paraId="3AED56F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4B08A9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1482</w:t>
            </w:r>
          </w:p>
        </w:tc>
        <w:tc>
          <w:tcPr>
            <w:tcW w:w="705" w:type="pct"/>
            <w:tcBorders>
              <w:top w:val="nil"/>
              <w:left w:val="nil"/>
              <w:bottom w:val="single" w:sz="4" w:space="0" w:color="auto"/>
              <w:right w:val="single" w:sz="4" w:space="0" w:color="auto"/>
            </w:tcBorders>
            <w:shd w:val="clear" w:color="auto" w:fill="auto"/>
            <w:noWrap/>
            <w:vAlign w:val="center"/>
            <w:hideMark/>
          </w:tcPr>
          <w:p w14:paraId="23C07F5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5082749000</w:t>
            </w:r>
          </w:p>
        </w:tc>
        <w:tc>
          <w:tcPr>
            <w:tcW w:w="547" w:type="pct"/>
            <w:tcBorders>
              <w:top w:val="nil"/>
              <w:left w:val="nil"/>
              <w:bottom w:val="single" w:sz="4" w:space="0" w:color="auto"/>
              <w:right w:val="single" w:sz="4" w:space="0" w:color="auto"/>
            </w:tcBorders>
            <w:shd w:val="clear" w:color="auto" w:fill="auto"/>
            <w:noWrap/>
            <w:vAlign w:val="center"/>
            <w:hideMark/>
          </w:tcPr>
          <w:p w14:paraId="2AE316C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22081453</w:t>
            </w:r>
          </w:p>
        </w:tc>
        <w:tc>
          <w:tcPr>
            <w:tcW w:w="3360" w:type="pct"/>
            <w:tcBorders>
              <w:top w:val="nil"/>
              <w:left w:val="nil"/>
              <w:bottom w:val="single" w:sz="4" w:space="0" w:color="auto"/>
              <w:right w:val="single" w:sz="4" w:space="0" w:color="auto"/>
            </w:tcBorders>
            <w:shd w:val="clear" w:color="auto" w:fill="auto"/>
            <w:vAlign w:val="center"/>
            <w:hideMark/>
          </w:tcPr>
          <w:p w14:paraId="64EEDEF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TONETA ŠRAJA ALJOŠE</w:t>
            </w:r>
          </w:p>
        </w:tc>
      </w:tr>
      <w:tr w:rsidR="00E3750C" w:rsidRPr="00415AB3" w14:paraId="690C423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E2D3CE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1483</w:t>
            </w:r>
          </w:p>
        </w:tc>
        <w:tc>
          <w:tcPr>
            <w:tcW w:w="705" w:type="pct"/>
            <w:tcBorders>
              <w:top w:val="nil"/>
              <w:left w:val="nil"/>
              <w:bottom w:val="single" w:sz="4" w:space="0" w:color="auto"/>
              <w:right w:val="single" w:sz="4" w:space="0" w:color="auto"/>
            </w:tcBorders>
            <w:shd w:val="clear" w:color="auto" w:fill="auto"/>
            <w:noWrap/>
            <w:vAlign w:val="center"/>
            <w:hideMark/>
          </w:tcPr>
          <w:p w14:paraId="6885821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5083796000</w:t>
            </w:r>
          </w:p>
        </w:tc>
        <w:tc>
          <w:tcPr>
            <w:tcW w:w="547" w:type="pct"/>
            <w:tcBorders>
              <w:top w:val="nil"/>
              <w:left w:val="nil"/>
              <w:bottom w:val="single" w:sz="4" w:space="0" w:color="auto"/>
              <w:right w:val="single" w:sz="4" w:space="0" w:color="auto"/>
            </w:tcBorders>
            <w:shd w:val="clear" w:color="auto" w:fill="auto"/>
            <w:noWrap/>
            <w:vAlign w:val="center"/>
            <w:hideMark/>
          </w:tcPr>
          <w:p w14:paraId="64DBA97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46127356</w:t>
            </w:r>
          </w:p>
        </w:tc>
        <w:tc>
          <w:tcPr>
            <w:tcW w:w="3360" w:type="pct"/>
            <w:tcBorders>
              <w:top w:val="nil"/>
              <w:left w:val="nil"/>
              <w:bottom w:val="single" w:sz="4" w:space="0" w:color="auto"/>
              <w:right w:val="single" w:sz="4" w:space="0" w:color="auto"/>
            </w:tcBorders>
            <w:shd w:val="clear" w:color="auto" w:fill="auto"/>
            <w:vAlign w:val="center"/>
            <w:hideMark/>
          </w:tcPr>
          <w:p w14:paraId="5A00BAD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TONETA TOMŠIČA KNEŽAK</w:t>
            </w:r>
          </w:p>
        </w:tc>
      </w:tr>
      <w:tr w:rsidR="00E3750C" w:rsidRPr="00415AB3" w14:paraId="7E0CA61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655F53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1484</w:t>
            </w:r>
          </w:p>
        </w:tc>
        <w:tc>
          <w:tcPr>
            <w:tcW w:w="705" w:type="pct"/>
            <w:tcBorders>
              <w:top w:val="nil"/>
              <w:left w:val="nil"/>
              <w:bottom w:val="single" w:sz="4" w:space="0" w:color="auto"/>
              <w:right w:val="single" w:sz="4" w:space="0" w:color="auto"/>
            </w:tcBorders>
            <w:shd w:val="clear" w:color="auto" w:fill="auto"/>
            <w:noWrap/>
            <w:vAlign w:val="center"/>
            <w:hideMark/>
          </w:tcPr>
          <w:p w14:paraId="7AAD8E7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5889235000</w:t>
            </w:r>
          </w:p>
        </w:tc>
        <w:tc>
          <w:tcPr>
            <w:tcW w:w="547" w:type="pct"/>
            <w:tcBorders>
              <w:top w:val="nil"/>
              <w:left w:val="nil"/>
              <w:bottom w:val="single" w:sz="4" w:space="0" w:color="auto"/>
              <w:right w:val="single" w:sz="4" w:space="0" w:color="auto"/>
            </w:tcBorders>
            <w:shd w:val="clear" w:color="auto" w:fill="auto"/>
            <w:noWrap/>
            <w:vAlign w:val="center"/>
            <w:hideMark/>
          </w:tcPr>
          <w:p w14:paraId="6F3EF6E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55876811</w:t>
            </w:r>
          </w:p>
        </w:tc>
        <w:tc>
          <w:tcPr>
            <w:tcW w:w="3360" w:type="pct"/>
            <w:tcBorders>
              <w:top w:val="nil"/>
              <w:left w:val="nil"/>
              <w:bottom w:val="single" w:sz="4" w:space="0" w:color="auto"/>
              <w:right w:val="single" w:sz="4" w:space="0" w:color="auto"/>
            </w:tcBorders>
            <w:shd w:val="clear" w:color="auto" w:fill="auto"/>
            <w:vAlign w:val="center"/>
            <w:hideMark/>
          </w:tcPr>
          <w:p w14:paraId="5D937C1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TRBOVLJE</w:t>
            </w:r>
          </w:p>
        </w:tc>
      </w:tr>
      <w:tr w:rsidR="00E3750C" w:rsidRPr="00415AB3" w14:paraId="6992C26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64DC15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1485</w:t>
            </w:r>
          </w:p>
        </w:tc>
        <w:tc>
          <w:tcPr>
            <w:tcW w:w="705" w:type="pct"/>
            <w:tcBorders>
              <w:top w:val="nil"/>
              <w:left w:val="nil"/>
              <w:bottom w:val="single" w:sz="4" w:space="0" w:color="auto"/>
              <w:right w:val="single" w:sz="4" w:space="0" w:color="auto"/>
            </w:tcBorders>
            <w:shd w:val="clear" w:color="auto" w:fill="auto"/>
            <w:noWrap/>
            <w:vAlign w:val="center"/>
            <w:hideMark/>
          </w:tcPr>
          <w:p w14:paraId="2FFEE49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5088097000</w:t>
            </w:r>
          </w:p>
        </w:tc>
        <w:tc>
          <w:tcPr>
            <w:tcW w:w="547" w:type="pct"/>
            <w:tcBorders>
              <w:top w:val="nil"/>
              <w:left w:val="nil"/>
              <w:bottom w:val="single" w:sz="4" w:space="0" w:color="auto"/>
              <w:right w:val="single" w:sz="4" w:space="0" w:color="auto"/>
            </w:tcBorders>
            <w:shd w:val="clear" w:color="auto" w:fill="auto"/>
            <w:noWrap/>
            <w:vAlign w:val="center"/>
            <w:hideMark/>
          </w:tcPr>
          <w:p w14:paraId="6093973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41249356</w:t>
            </w:r>
          </w:p>
        </w:tc>
        <w:tc>
          <w:tcPr>
            <w:tcW w:w="3360" w:type="pct"/>
            <w:tcBorders>
              <w:top w:val="nil"/>
              <w:left w:val="nil"/>
              <w:bottom w:val="single" w:sz="4" w:space="0" w:color="auto"/>
              <w:right w:val="single" w:sz="4" w:space="0" w:color="auto"/>
            </w:tcBorders>
            <w:shd w:val="clear" w:color="auto" w:fill="auto"/>
            <w:vAlign w:val="center"/>
            <w:hideMark/>
          </w:tcPr>
          <w:p w14:paraId="191C310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TREBNJE</w:t>
            </w:r>
          </w:p>
        </w:tc>
      </w:tr>
      <w:tr w:rsidR="00E3750C" w:rsidRPr="00415AB3" w14:paraId="546E4F5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E38948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1486</w:t>
            </w:r>
          </w:p>
        </w:tc>
        <w:tc>
          <w:tcPr>
            <w:tcW w:w="705" w:type="pct"/>
            <w:tcBorders>
              <w:top w:val="nil"/>
              <w:left w:val="nil"/>
              <w:bottom w:val="single" w:sz="4" w:space="0" w:color="auto"/>
              <w:right w:val="single" w:sz="4" w:space="0" w:color="auto"/>
            </w:tcBorders>
            <w:shd w:val="clear" w:color="auto" w:fill="auto"/>
            <w:noWrap/>
            <w:vAlign w:val="center"/>
            <w:hideMark/>
          </w:tcPr>
          <w:p w14:paraId="1BA5DD5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5084440000</w:t>
            </w:r>
          </w:p>
        </w:tc>
        <w:tc>
          <w:tcPr>
            <w:tcW w:w="547" w:type="pct"/>
            <w:tcBorders>
              <w:top w:val="nil"/>
              <w:left w:val="nil"/>
              <w:bottom w:val="single" w:sz="4" w:space="0" w:color="auto"/>
              <w:right w:val="single" w:sz="4" w:space="0" w:color="auto"/>
            </w:tcBorders>
            <w:shd w:val="clear" w:color="auto" w:fill="auto"/>
            <w:noWrap/>
            <w:vAlign w:val="center"/>
            <w:hideMark/>
          </w:tcPr>
          <w:p w14:paraId="452979E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67940650</w:t>
            </w:r>
          </w:p>
        </w:tc>
        <w:tc>
          <w:tcPr>
            <w:tcW w:w="3360" w:type="pct"/>
            <w:tcBorders>
              <w:top w:val="nil"/>
              <w:left w:val="nil"/>
              <w:bottom w:val="single" w:sz="4" w:space="0" w:color="auto"/>
              <w:right w:val="single" w:sz="4" w:space="0" w:color="auto"/>
            </w:tcBorders>
            <w:shd w:val="clear" w:color="auto" w:fill="auto"/>
            <w:vAlign w:val="center"/>
            <w:hideMark/>
          </w:tcPr>
          <w:p w14:paraId="63371D5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TRNOVO</w:t>
            </w:r>
          </w:p>
        </w:tc>
      </w:tr>
      <w:tr w:rsidR="00E3750C" w:rsidRPr="00415AB3" w14:paraId="6358733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6E61B7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1487</w:t>
            </w:r>
          </w:p>
        </w:tc>
        <w:tc>
          <w:tcPr>
            <w:tcW w:w="705" w:type="pct"/>
            <w:tcBorders>
              <w:top w:val="nil"/>
              <w:left w:val="nil"/>
              <w:bottom w:val="single" w:sz="4" w:space="0" w:color="auto"/>
              <w:right w:val="single" w:sz="4" w:space="0" w:color="auto"/>
            </w:tcBorders>
            <w:shd w:val="clear" w:color="auto" w:fill="auto"/>
            <w:noWrap/>
            <w:vAlign w:val="center"/>
            <w:hideMark/>
          </w:tcPr>
          <w:p w14:paraId="64B9594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5255287000</w:t>
            </w:r>
          </w:p>
        </w:tc>
        <w:tc>
          <w:tcPr>
            <w:tcW w:w="547" w:type="pct"/>
            <w:tcBorders>
              <w:top w:val="nil"/>
              <w:left w:val="nil"/>
              <w:bottom w:val="single" w:sz="4" w:space="0" w:color="auto"/>
              <w:right w:val="single" w:sz="4" w:space="0" w:color="auto"/>
            </w:tcBorders>
            <w:shd w:val="clear" w:color="auto" w:fill="auto"/>
            <w:noWrap/>
            <w:vAlign w:val="center"/>
            <w:hideMark/>
          </w:tcPr>
          <w:p w14:paraId="35A40FC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54697751</w:t>
            </w:r>
          </w:p>
        </w:tc>
        <w:tc>
          <w:tcPr>
            <w:tcW w:w="3360" w:type="pct"/>
            <w:tcBorders>
              <w:top w:val="nil"/>
              <w:left w:val="nil"/>
              <w:bottom w:val="single" w:sz="4" w:space="0" w:color="auto"/>
              <w:right w:val="single" w:sz="4" w:space="0" w:color="auto"/>
            </w:tcBorders>
            <w:shd w:val="clear" w:color="auto" w:fill="auto"/>
            <w:vAlign w:val="center"/>
            <w:hideMark/>
          </w:tcPr>
          <w:p w14:paraId="71FF1F1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TRZIN</w:t>
            </w:r>
          </w:p>
        </w:tc>
      </w:tr>
      <w:tr w:rsidR="00E3750C" w:rsidRPr="00415AB3" w14:paraId="75BF70E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34A133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1488</w:t>
            </w:r>
          </w:p>
        </w:tc>
        <w:tc>
          <w:tcPr>
            <w:tcW w:w="705" w:type="pct"/>
            <w:tcBorders>
              <w:top w:val="nil"/>
              <w:left w:val="nil"/>
              <w:bottom w:val="single" w:sz="4" w:space="0" w:color="auto"/>
              <w:right w:val="single" w:sz="4" w:space="0" w:color="auto"/>
            </w:tcBorders>
            <w:shd w:val="clear" w:color="auto" w:fill="auto"/>
            <w:noWrap/>
            <w:vAlign w:val="center"/>
            <w:hideMark/>
          </w:tcPr>
          <w:p w14:paraId="5BD05BA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5087503000</w:t>
            </w:r>
          </w:p>
        </w:tc>
        <w:tc>
          <w:tcPr>
            <w:tcW w:w="547" w:type="pct"/>
            <w:tcBorders>
              <w:top w:val="nil"/>
              <w:left w:val="nil"/>
              <w:bottom w:val="single" w:sz="4" w:space="0" w:color="auto"/>
              <w:right w:val="single" w:sz="4" w:space="0" w:color="auto"/>
            </w:tcBorders>
            <w:shd w:val="clear" w:color="auto" w:fill="auto"/>
            <w:noWrap/>
            <w:vAlign w:val="center"/>
            <w:hideMark/>
          </w:tcPr>
          <w:p w14:paraId="63590FB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33629927</w:t>
            </w:r>
          </w:p>
        </w:tc>
        <w:tc>
          <w:tcPr>
            <w:tcW w:w="3360" w:type="pct"/>
            <w:tcBorders>
              <w:top w:val="nil"/>
              <w:left w:val="nil"/>
              <w:bottom w:val="single" w:sz="4" w:space="0" w:color="auto"/>
              <w:right w:val="single" w:sz="4" w:space="0" w:color="auto"/>
            </w:tcBorders>
            <w:shd w:val="clear" w:color="auto" w:fill="auto"/>
            <w:vAlign w:val="center"/>
            <w:hideMark/>
          </w:tcPr>
          <w:p w14:paraId="6ABD284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TRŽIŠČE</w:t>
            </w:r>
          </w:p>
        </w:tc>
      </w:tr>
      <w:tr w:rsidR="00E3750C" w:rsidRPr="00415AB3" w14:paraId="2012066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C5C305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1489</w:t>
            </w:r>
          </w:p>
        </w:tc>
        <w:tc>
          <w:tcPr>
            <w:tcW w:w="705" w:type="pct"/>
            <w:tcBorders>
              <w:top w:val="nil"/>
              <w:left w:val="nil"/>
              <w:bottom w:val="single" w:sz="4" w:space="0" w:color="auto"/>
              <w:right w:val="single" w:sz="4" w:space="0" w:color="auto"/>
            </w:tcBorders>
            <w:shd w:val="clear" w:color="auto" w:fill="auto"/>
            <w:noWrap/>
            <w:vAlign w:val="center"/>
            <w:hideMark/>
          </w:tcPr>
          <w:p w14:paraId="07B6E6A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5084059000</w:t>
            </w:r>
          </w:p>
        </w:tc>
        <w:tc>
          <w:tcPr>
            <w:tcW w:w="547" w:type="pct"/>
            <w:tcBorders>
              <w:top w:val="nil"/>
              <w:left w:val="nil"/>
              <w:bottom w:val="single" w:sz="4" w:space="0" w:color="auto"/>
              <w:right w:val="single" w:sz="4" w:space="0" w:color="auto"/>
            </w:tcBorders>
            <w:shd w:val="clear" w:color="auto" w:fill="auto"/>
            <w:noWrap/>
            <w:vAlign w:val="center"/>
            <w:hideMark/>
          </w:tcPr>
          <w:p w14:paraId="0EBB49D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12307572</w:t>
            </w:r>
          </w:p>
        </w:tc>
        <w:tc>
          <w:tcPr>
            <w:tcW w:w="3360" w:type="pct"/>
            <w:tcBorders>
              <w:top w:val="nil"/>
              <w:left w:val="nil"/>
              <w:bottom w:val="single" w:sz="4" w:space="0" w:color="auto"/>
              <w:right w:val="single" w:sz="4" w:space="0" w:color="auto"/>
            </w:tcBorders>
            <w:shd w:val="clear" w:color="auto" w:fill="auto"/>
            <w:vAlign w:val="center"/>
            <w:hideMark/>
          </w:tcPr>
          <w:p w14:paraId="420DA22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TURNIŠČE</w:t>
            </w:r>
          </w:p>
        </w:tc>
      </w:tr>
      <w:tr w:rsidR="00E3750C" w:rsidRPr="00415AB3" w14:paraId="7505E09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E8CC0F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1490</w:t>
            </w:r>
          </w:p>
        </w:tc>
        <w:tc>
          <w:tcPr>
            <w:tcW w:w="705" w:type="pct"/>
            <w:tcBorders>
              <w:top w:val="nil"/>
              <w:left w:val="nil"/>
              <w:bottom w:val="single" w:sz="4" w:space="0" w:color="auto"/>
              <w:right w:val="single" w:sz="4" w:space="0" w:color="auto"/>
            </w:tcBorders>
            <w:shd w:val="clear" w:color="auto" w:fill="auto"/>
            <w:noWrap/>
            <w:vAlign w:val="center"/>
            <w:hideMark/>
          </w:tcPr>
          <w:p w14:paraId="28D4716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5084342000</w:t>
            </w:r>
          </w:p>
        </w:tc>
        <w:tc>
          <w:tcPr>
            <w:tcW w:w="547" w:type="pct"/>
            <w:tcBorders>
              <w:top w:val="nil"/>
              <w:left w:val="nil"/>
              <w:bottom w:val="single" w:sz="4" w:space="0" w:color="auto"/>
              <w:right w:val="single" w:sz="4" w:space="0" w:color="auto"/>
            </w:tcBorders>
            <w:shd w:val="clear" w:color="auto" w:fill="auto"/>
            <w:noWrap/>
            <w:vAlign w:val="center"/>
            <w:hideMark/>
          </w:tcPr>
          <w:p w14:paraId="790EEE4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94718164</w:t>
            </w:r>
          </w:p>
        </w:tc>
        <w:tc>
          <w:tcPr>
            <w:tcW w:w="3360" w:type="pct"/>
            <w:tcBorders>
              <w:top w:val="nil"/>
              <w:left w:val="nil"/>
              <w:bottom w:val="single" w:sz="4" w:space="0" w:color="auto"/>
              <w:right w:val="single" w:sz="4" w:space="0" w:color="auto"/>
            </w:tcBorders>
            <w:shd w:val="clear" w:color="auto" w:fill="auto"/>
            <w:vAlign w:val="center"/>
            <w:hideMark/>
          </w:tcPr>
          <w:p w14:paraId="4CD7272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VALENTINA VODNIKA</w:t>
            </w:r>
          </w:p>
        </w:tc>
      </w:tr>
      <w:tr w:rsidR="00E3750C" w:rsidRPr="00415AB3" w14:paraId="437E9DA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D86613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1491</w:t>
            </w:r>
          </w:p>
        </w:tc>
        <w:tc>
          <w:tcPr>
            <w:tcW w:w="705" w:type="pct"/>
            <w:tcBorders>
              <w:top w:val="nil"/>
              <w:left w:val="nil"/>
              <w:bottom w:val="single" w:sz="4" w:space="0" w:color="auto"/>
              <w:right w:val="single" w:sz="4" w:space="0" w:color="auto"/>
            </w:tcBorders>
            <w:shd w:val="clear" w:color="auto" w:fill="auto"/>
            <w:noWrap/>
            <w:vAlign w:val="center"/>
            <w:hideMark/>
          </w:tcPr>
          <w:p w14:paraId="274B685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5086329000</w:t>
            </w:r>
          </w:p>
        </w:tc>
        <w:tc>
          <w:tcPr>
            <w:tcW w:w="547" w:type="pct"/>
            <w:tcBorders>
              <w:top w:val="nil"/>
              <w:left w:val="nil"/>
              <w:bottom w:val="single" w:sz="4" w:space="0" w:color="auto"/>
              <w:right w:val="single" w:sz="4" w:space="0" w:color="auto"/>
            </w:tcBorders>
            <w:shd w:val="clear" w:color="auto" w:fill="auto"/>
            <w:noWrap/>
            <w:vAlign w:val="center"/>
            <w:hideMark/>
          </w:tcPr>
          <w:p w14:paraId="12EEE63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86730738</w:t>
            </w:r>
          </w:p>
        </w:tc>
        <w:tc>
          <w:tcPr>
            <w:tcW w:w="3360" w:type="pct"/>
            <w:tcBorders>
              <w:top w:val="nil"/>
              <w:left w:val="nil"/>
              <w:bottom w:val="single" w:sz="4" w:space="0" w:color="auto"/>
              <w:right w:val="single" w:sz="4" w:space="0" w:color="auto"/>
            </w:tcBorders>
            <w:shd w:val="clear" w:color="auto" w:fill="auto"/>
            <w:vAlign w:val="center"/>
            <w:hideMark/>
          </w:tcPr>
          <w:p w14:paraId="7201A0B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VAVTA VAS</w:t>
            </w:r>
          </w:p>
        </w:tc>
      </w:tr>
      <w:tr w:rsidR="00E3750C" w:rsidRPr="00415AB3" w14:paraId="700ED6D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B7343D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1492</w:t>
            </w:r>
          </w:p>
        </w:tc>
        <w:tc>
          <w:tcPr>
            <w:tcW w:w="705" w:type="pct"/>
            <w:tcBorders>
              <w:top w:val="nil"/>
              <w:left w:val="nil"/>
              <w:bottom w:val="single" w:sz="4" w:space="0" w:color="auto"/>
              <w:right w:val="single" w:sz="4" w:space="0" w:color="auto"/>
            </w:tcBorders>
            <w:shd w:val="clear" w:color="auto" w:fill="auto"/>
            <w:noWrap/>
            <w:vAlign w:val="center"/>
            <w:hideMark/>
          </w:tcPr>
          <w:p w14:paraId="3FFF95E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5083583000</w:t>
            </w:r>
          </w:p>
        </w:tc>
        <w:tc>
          <w:tcPr>
            <w:tcW w:w="547" w:type="pct"/>
            <w:tcBorders>
              <w:top w:val="nil"/>
              <w:left w:val="nil"/>
              <w:bottom w:val="single" w:sz="4" w:space="0" w:color="auto"/>
              <w:right w:val="single" w:sz="4" w:space="0" w:color="auto"/>
            </w:tcBorders>
            <w:shd w:val="clear" w:color="auto" w:fill="auto"/>
            <w:noWrap/>
            <w:vAlign w:val="center"/>
            <w:hideMark/>
          </w:tcPr>
          <w:p w14:paraId="4B27B61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81190344</w:t>
            </w:r>
          </w:p>
        </w:tc>
        <w:tc>
          <w:tcPr>
            <w:tcW w:w="3360" w:type="pct"/>
            <w:tcBorders>
              <w:top w:val="nil"/>
              <w:left w:val="nil"/>
              <w:bottom w:val="single" w:sz="4" w:space="0" w:color="auto"/>
              <w:right w:val="single" w:sz="4" w:space="0" w:color="auto"/>
            </w:tcBorders>
            <w:shd w:val="clear" w:color="auto" w:fill="auto"/>
            <w:vAlign w:val="center"/>
            <w:hideMark/>
          </w:tcPr>
          <w:p w14:paraId="4D812FA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VELIKA DOLINA</w:t>
            </w:r>
          </w:p>
        </w:tc>
      </w:tr>
      <w:tr w:rsidR="00E3750C" w:rsidRPr="00415AB3" w14:paraId="696ACE7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454CB8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1493</w:t>
            </w:r>
          </w:p>
        </w:tc>
        <w:tc>
          <w:tcPr>
            <w:tcW w:w="705" w:type="pct"/>
            <w:tcBorders>
              <w:top w:val="nil"/>
              <w:left w:val="nil"/>
              <w:bottom w:val="single" w:sz="4" w:space="0" w:color="auto"/>
              <w:right w:val="single" w:sz="4" w:space="0" w:color="auto"/>
            </w:tcBorders>
            <w:shd w:val="clear" w:color="auto" w:fill="auto"/>
            <w:noWrap/>
            <w:vAlign w:val="center"/>
            <w:hideMark/>
          </w:tcPr>
          <w:p w14:paraId="4410B03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5090148000</w:t>
            </w:r>
          </w:p>
        </w:tc>
        <w:tc>
          <w:tcPr>
            <w:tcW w:w="547" w:type="pct"/>
            <w:tcBorders>
              <w:top w:val="nil"/>
              <w:left w:val="nil"/>
              <w:bottom w:val="single" w:sz="4" w:space="0" w:color="auto"/>
              <w:right w:val="single" w:sz="4" w:space="0" w:color="auto"/>
            </w:tcBorders>
            <w:shd w:val="clear" w:color="auto" w:fill="auto"/>
            <w:noWrap/>
            <w:vAlign w:val="center"/>
            <w:hideMark/>
          </w:tcPr>
          <w:p w14:paraId="4F45145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82142211</w:t>
            </w:r>
          </w:p>
        </w:tc>
        <w:tc>
          <w:tcPr>
            <w:tcW w:w="3360" w:type="pct"/>
            <w:tcBorders>
              <w:top w:val="nil"/>
              <w:left w:val="nil"/>
              <w:bottom w:val="single" w:sz="4" w:space="0" w:color="auto"/>
              <w:right w:val="single" w:sz="4" w:space="0" w:color="auto"/>
            </w:tcBorders>
            <w:shd w:val="clear" w:color="auto" w:fill="auto"/>
            <w:vAlign w:val="center"/>
            <w:hideMark/>
          </w:tcPr>
          <w:p w14:paraId="2829DF5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VELIKA NEDELJA</w:t>
            </w:r>
          </w:p>
        </w:tc>
      </w:tr>
      <w:tr w:rsidR="00E3750C" w:rsidRPr="00415AB3" w14:paraId="2A3D6DC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180C49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1494</w:t>
            </w:r>
          </w:p>
        </w:tc>
        <w:tc>
          <w:tcPr>
            <w:tcW w:w="705" w:type="pct"/>
            <w:tcBorders>
              <w:top w:val="nil"/>
              <w:left w:val="nil"/>
              <w:bottom w:val="single" w:sz="4" w:space="0" w:color="auto"/>
              <w:right w:val="single" w:sz="4" w:space="0" w:color="auto"/>
            </w:tcBorders>
            <w:shd w:val="clear" w:color="auto" w:fill="auto"/>
            <w:noWrap/>
            <w:vAlign w:val="center"/>
            <w:hideMark/>
          </w:tcPr>
          <w:p w14:paraId="0401ADC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5088119000</w:t>
            </w:r>
          </w:p>
        </w:tc>
        <w:tc>
          <w:tcPr>
            <w:tcW w:w="547" w:type="pct"/>
            <w:tcBorders>
              <w:top w:val="nil"/>
              <w:left w:val="nil"/>
              <w:bottom w:val="single" w:sz="4" w:space="0" w:color="auto"/>
              <w:right w:val="single" w:sz="4" w:space="0" w:color="auto"/>
            </w:tcBorders>
            <w:shd w:val="clear" w:color="auto" w:fill="auto"/>
            <w:noWrap/>
            <w:vAlign w:val="center"/>
            <w:hideMark/>
          </w:tcPr>
          <w:p w14:paraId="4F740FC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47660759</w:t>
            </w:r>
          </w:p>
        </w:tc>
        <w:tc>
          <w:tcPr>
            <w:tcW w:w="3360" w:type="pct"/>
            <w:tcBorders>
              <w:top w:val="nil"/>
              <w:left w:val="nil"/>
              <w:bottom w:val="single" w:sz="4" w:space="0" w:color="auto"/>
              <w:right w:val="single" w:sz="4" w:space="0" w:color="auto"/>
            </w:tcBorders>
            <w:shd w:val="clear" w:color="auto" w:fill="auto"/>
            <w:vAlign w:val="center"/>
            <w:hideMark/>
          </w:tcPr>
          <w:p w14:paraId="328EC58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VELIKI GABER</w:t>
            </w:r>
          </w:p>
        </w:tc>
      </w:tr>
      <w:tr w:rsidR="00E3750C" w:rsidRPr="00415AB3" w14:paraId="2CB0C99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1A9C7B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1495</w:t>
            </w:r>
          </w:p>
        </w:tc>
        <w:tc>
          <w:tcPr>
            <w:tcW w:w="705" w:type="pct"/>
            <w:tcBorders>
              <w:top w:val="nil"/>
              <w:left w:val="nil"/>
              <w:bottom w:val="single" w:sz="4" w:space="0" w:color="auto"/>
              <w:right w:val="single" w:sz="4" w:space="0" w:color="auto"/>
            </w:tcBorders>
            <w:shd w:val="clear" w:color="auto" w:fill="auto"/>
            <w:noWrap/>
            <w:vAlign w:val="center"/>
            <w:hideMark/>
          </w:tcPr>
          <w:p w14:paraId="3960399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5082811000</w:t>
            </w:r>
          </w:p>
        </w:tc>
        <w:tc>
          <w:tcPr>
            <w:tcW w:w="547" w:type="pct"/>
            <w:tcBorders>
              <w:top w:val="nil"/>
              <w:left w:val="nil"/>
              <w:bottom w:val="single" w:sz="4" w:space="0" w:color="auto"/>
              <w:right w:val="single" w:sz="4" w:space="0" w:color="auto"/>
            </w:tcBorders>
            <w:shd w:val="clear" w:color="auto" w:fill="auto"/>
            <w:noWrap/>
            <w:vAlign w:val="center"/>
            <w:hideMark/>
          </w:tcPr>
          <w:p w14:paraId="3B8EE5F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16670884</w:t>
            </w:r>
          </w:p>
        </w:tc>
        <w:tc>
          <w:tcPr>
            <w:tcW w:w="3360" w:type="pct"/>
            <w:tcBorders>
              <w:top w:val="nil"/>
              <w:left w:val="nil"/>
              <w:bottom w:val="single" w:sz="4" w:space="0" w:color="auto"/>
              <w:right w:val="single" w:sz="4" w:space="0" w:color="auto"/>
            </w:tcBorders>
            <w:shd w:val="clear" w:color="auto" w:fill="auto"/>
            <w:vAlign w:val="center"/>
            <w:hideMark/>
          </w:tcPr>
          <w:p w14:paraId="741A36A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VENCLJA PERKA</w:t>
            </w:r>
          </w:p>
        </w:tc>
      </w:tr>
      <w:tr w:rsidR="00E3750C" w:rsidRPr="00415AB3" w14:paraId="6591059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533778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1496</w:t>
            </w:r>
          </w:p>
        </w:tc>
        <w:tc>
          <w:tcPr>
            <w:tcW w:w="705" w:type="pct"/>
            <w:tcBorders>
              <w:top w:val="nil"/>
              <w:left w:val="nil"/>
              <w:bottom w:val="single" w:sz="4" w:space="0" w:color="auto"/>
              <w:right w:val="single" w:sz="4" w:space="0" w:color="auto"/>
            </w:tcBorders>
            <w:shd w:val="clear" w:color="auto" w:fill="auto"/>
            <w:noWrap/>
            <w:vAlign w:val="center"/>
            <w:hideMark/>
          </w:tcPr>
          <w:p w14:paraId="727E758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5051215000</w:t>
            </w:r>
          </w:p>
        </w:tc>
        <w:tc>
          <w:tcPr>
            <w:tcW w:w="547" w:type="pct"/>
            <w:tcBorders>
              <w:top w:val="nil"/>
              <w:left w:val="nil"/>
              <w:bottom w:val="single" w:sz="4" w:space="0" w:color="auto"/>
              <w:right w:val="single" w:sz="4" w:space="0" w:color="auto"/>
            </w:tcBorders>
            <w:shd w:val="clear" w:color="auto" w:fill="auto"/>
            <w:noWrap/>
            <w:vAlign w:val="center"/>
            <w:hideMark/>
          </w:tcPr>
          <w:p w14:paraId="786F87F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32512864</w:t>
            </w:r>
          </w:p>
        </w:tc>
        <w:tc>
          <w:tcPr>
            <w:tcW w:w="3360" w:type="pct"/>
            <w:tcBorders>
              <w:top w:val="nil"/>
              <w:left w:val="nil"/>
              <w:bottom w:val="single" w:sz="4" w:space="0" w:color="auto"/>
              <w:right w:val="single" w:sz="4" w:space="0" w:color="auto"/>
            </w:tcBorders>
            <w:shd w:val="clear" w:color="auto" w:fill="auto"/>
            <w:vAlign w:val="center"/>
            <w:hideMark/>
          </w:tcPr>
          <w:p w14:paraId="69BF28E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VERŽEJ</w:t>
            </w:r>
          </w:p>
        </w:tc>
      </w:tr>
      <w:tr w:rsidR="00E3750C" w:rsidRPr="00415AB3" w14:paraId="076F966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790BD1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1497</w:t>
            </w:r>
          </w:p>
        </w:tc>
        <w:tc>
          <w:tcPr>
            <w:tcW w:w="705" w:type="pct"/>
            <w:tcBorders>
              <w:top w:val="nil"/>
              <w:left w:val="nil"/>
              <w:bottom w:val="single" w:sz="4" w:space="0" w:color="auto"/>
              <w:right w:val="single" w:sz="4" w:space="0" w:color="auto"/>
            </w:tcBorders>
            <w:shd w:val="clear" w:color="auto" w:fill="auto"/>
            <w:noWrap/>
            <w:vAlign w:val="center"/>
            <w:hideMark/>
          </w:tcPr>
          <w:p w14:paraId="56B1D9A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5084300000</w:t>
            </w:r>
          </w:p>
        </w:tc>
        <w:tc>
          <w:tcPr>
            <w:tcW w:w="547" w:type="pct"/>
            <w:tcBorders>
              <w:top w:val="nil"/>
              <w:left w:val="nil"/>
              <w:bottom w:val="single" w:sz="4" w:space="0" w:color="auto"/>
              <w:right w:val="single" w:sz="4" w:space="0" w:color="auto"/>
            </w:tcBorders>
            <w:shd w:val="clear" w:color="auto" w:fill="auto"/>
            <w:noWrap/>
            <w:vAlign w:val="center"/>
            <w:hideMark/>
          </w:tcPr>
          <w:p w14:paraId="7FF83A3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52386368</w:t>
            </w:r>
          </w:p>
        </w:tc>
        <w:tc>
          <w:tcPr>
            <w:tcW w:w="3360" w:type="pct"/>
            <w:tcBorders>
              <w:top w:val="nil"/>
              <w:left w:val="nil"/>
              <w:bottom w:val="single" w:sz="4" w:space="0" w:color="auto"/>
              <w:right w:val="single" w:sz="4" w:space="0" w:color="auto"/>
            </w:tcBorders>
            <w:shd w:val="clear" w:color="auto" w:fill="auto"/>
            <w:vAlign w:val="center"/>
            <w:hideMark/>
          </w:tcPr>
          <w:p w14:paraId="70DDC8D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VIDE PREGARC</w:t>
            </w:r>
          </w:p>
        </w:tc>
      </w:tr>
      <w:tr w:rsidR="00E3750C" w:rsidRPr="00415AB3" w14:paraId="71BD904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EE90E2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1498</w:t>
            </w:r>
          </w:p>
        </w:tc>
        <w:tc>
          <w:tcPr>
            <w:tcW w:w="705" w:type="pct"/>
            <w:tcBorders>
              <w:top w:val="nil"/>
              <w:left w:val="nil"/>
              <w:bottom w:val="single" w:sz="4" w:space="0" w:color="auto"/>
              <w:right w:val="single" w:sz="4" w:space="0" w:color="auto"/>
            </w:tcBorders>
            <w:shd w:val="clear" w:color="auto" w:fill="auto"/>
            <w:noWrap/>
            <w:vAlign w:val="center"/>
            <w:hideMark/>
          </w:tcPr>
          <w:p w14:paraId="2DD2001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5087171000</w:t>
            </w:r>
          </w:p>
        </w:tc>
        <w:tc>
          <w:tcPr>
            <w:tcW w:w="547" w:type="pct"/>
            <w:tcBorders>
              <w:top w:val="nil"/>
              <w:left w:val="nil"/>
              <w:bottom w:val="single" w:sz="4" w:space="0" w:color="auto"/>
              <w:right w:val="single" w:sz="4" w:space="0" w:color="auto"/>
            </w:tcBorders>
            <w:shd w:val="clear" w:color="auto" w:fill="auto"/>
            <w:noWrap/>
            <w:vAlign w:val="center"/>
            <w:hideMark/>
          </w:tcPr>
          <w:p w14:paraId="6C5A0BC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13592793</w:t>
            </w:r>
          </w:p>
        </w:tc>
        <w:tc>
          <w:tcPr>
            <w:tcW w:w="3360" w:type="pct"/>
            <w:tcBorders>
              <w:top w:val="nil"/>
              <w:left w:val="nil"/>
              <w:bottom w:val="single" w:sz="4" w:space="0" w:color="auto"/>
              <w:right w:val="single" w:sz="4" w:space="0" w:color="auto"/>
            </w:tcBorders>
            <w:shd w:val="clear" w:color="auto" w:fill="auto"/>
            <w:vAlign w:val="center"/>
            <w:hideMark/>
          </w:tcPr>
          <w:p w14:paraId="5581DB0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VIDEM</w:t>
            </w:r>
          </w:p>
        </w:tc>
      </w:tr>
      <w:tr w:rsidR="00E3750C" w:rsidRPr="00415AB3" w14:paraId="249817D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05619F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1719</w:t>
            </w:r>
          </w:p>
        </w:tc>
        <w:tc>
          <w:tcPr>
            <w:tcW w:w="705" w:type="pct"/>
            <w:tcBorders>
              <w:top w:val="nil"/>
              <w:left w:val="nil"/>
              <w:bottom w:val="single" w:sz="4" w:space="0" w:color="auto"/>
              <w:right w:val="single" w:sz="4" w:space="0" w:color="auto"/>
            </w:tcBorders>
            <w:shd w:val="clear" w:color="auto" w:fill="auto"/>
            <w:noWrap/>
            <w:vAlign w:val="center"/>
            <w:hideMark/>
          </w:tcPr>
          <w:p w14:paraId="522DF41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5086442000</w:t>
            </w:r>
          </w:p>
        </w:tc>
        <w:tc>
          <w:tcPr>
            <w:tcW w:w="547" w:type="pct"/>
            <w:tcBorders>
              <w:top w:val="nil"/>
              <w:left w:val="nil"/>
              <w:bottom w:val="single" w:sz="4" w:space="0" w:color="auto"/>
              <w:right w:val="single" w:sz="4" w:space="0" w:color="auto"/>
            </w:tcBorders>
            <w:shd w:val="clear" w:color="auto" w:fill="auto"/>
            <w:noWrap/>
            <w:vAlign w:val="center"/>
            <w:hideMark/>
          </w:tcPr>
          <w:p w14:paraId="47FAD3E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53413440</w:t>
            </w:r>
          </w:p>
        </w:tc>
        <w:tc>
          <w:tcPr>
            <w:tcW w:w="3360" w:type="pct"/>
            <w:tcBorders>
              <w:top w:val="nil"/>
              <w:left w:val="nil"/>
              <w:bottom w:val="single" w:sz="4" w:space="0" w:color="auto"/>
              <w:right w:val="single" w:sz="4" w:space="0" w:color="auto"/>
            </w:tcBorders>
            <w:shd w:val="clear" w:color="auto" w:fill="auto"/>
            <w:vAlign w:val="center"/>
            <w:hideMark/>
          </w:tcPr>
          <w:p w14:paraId="7CA016D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VINCENZO E DIEGO DE CASTRO PIRAN</w:t>
            </w:r>
          </w:p>
        </w:tc>
      </w:tr>
      <w:tr w:rsidR="00E3750C" w:rsidRPr="00415AB3" w14:paraId="6935CC8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9D814C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1499</w:t>
            </w:r>
          </w:p>
        </w:tc>
        <w:tc>
          <w:tcPr>
            <w:tcW w:w="705" w:type="pct"/>
            <w:tcBorders>
              <w:top w:val="nil"/>
              <w:left w:val="nil"/>
              <w:bottom w:val="single" w:sz="4" w:space="0" w:color="auto"/>
              <w:right w:val="single" w:sz="4" w:space="0" w:color="auto"/>
            </w:tcBorders>
            <w:shd w:val="clear" w:color="auto" w:fill="auto"/>
            <w:noWrap/>
            <w:vAlign w:val="center"/>
            <w:hideMark/>
          </w:tcPr>
          <w:p w14:paraId="71A22FE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5082781000</w:t>
            </w:r>
          </w:p>
        </w:tc>
        <w:tc>
          <w:tcPr>
            <w:tcW w:w="547" w:type="pct"/>
            <w:tcBorders>
              <w:top w:val="nil"/>
              <w:left w:val="nil"/>
              <w:bottom w:val="single" w:sz="4" w:space="0" w:color="auto"/>
              <w:right w:val="single" w:sz="4" w:space="0" w:color="auto"/>
            </w:tcBorders>
            <w:shd w:val="clear" w:color="auto" w:fill="auto"/>
            <w:noWrap/>
            <w:vAlign w:val="center"/>
            <w:hideMark/>
          </w:tcPr>
          <w:p w14:paraId="76144C1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75824973</w:t>
            </w:r>
          </w:p>
        </w:tc>
        <w:tc>
          <w:tcPr>
            <w:tcW w:w="3360" w:type="pct"/>
            <w:tcBorders>
              <w:top w:val="nil"/>
              <w:left w:val="nil"/>
              <w:bottom w:val="single" w:sz="4" w:space="0" w:color="auto"/>
              <w:right w:val="single" w:sz="4" w:space="0" w:color="auto"/>
            </w:tcBorders>
            <w:shd w:val="clear" w:color="auto" w:fill="auto"/>
            <w:vAlign w:val="center"/>
            <w:hideMark/>
          </w:tcPr>
          <w:p w14:paraId="03B8F25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VINICA</w:t>
            </w:r>
          </w:p>
        </w:tc>
      </w:tr>
      <w:tr w:rsidR="00E3750C" w:rsidRPr="00415AB3" w14:paraId="77BBC84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FF4E1A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1500</w:t>
            </w:r>
          </w:p>
        </w:tc>
        <w:tc>
          <w:tcPr>
            <w:tcW w:w="705" w:type="pct"/>
            <w:tcBorders>
              <w:top w:val="nil"/>
              <w:left w:val="nil"/>
              <w:bottom w:val="single" w:sz="4" w:space="0" w:color="auto"/>
              <w:right w:val="single" w:sz="4" w:space="0" w:color="auto"/>
            </w:tcBorders>
            <w:shd w:val="clear" w:color="auto" w:fill="auto"/>
            <w:noWrap/>
            <w:vAlign w:val="center"/>
            <w:hideMark/>
          </w:tcPr>
          <w:p w14:paraId="00810EB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5087724000</w:t>
            </w:r>
          </w:p>
        </w:tc>
        <w:tc>
          <w:tcPr>
            <w:tcW w:w="547" w:type="pct"/>
            <w:tcBorders>
              <w:top w:val="nil"/>
              <w:left w:val="nil"/>
              <w:bottom w:val="single" w:sz="4" w:space="0" w:color="auto"/>
              <w:right w:val="single" w:sz="4" w:space="0" w:color="auto"/>
            </w:tcBorders>
            <w:shd w:val="clear" w:color="auto" w:fill="auto"/>
            <w:noWrap/>
            <w:vAlign w:val="center"/>
            <w:hideMark/>
          </w:tcPr>
          <w:p w14:paraId="721D8C6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65089600</w:t>
            </w:r>
          </w:p>
        </w:tc>
        <w:tc>
          <w:tcPr>
            <w:tcW w:w="3360" w:type="pct"/>
            <w:tcBorders>
              <w:top w:val="nil"/>
              <w:left w:val="nil"/>
              <w:bottom w:val="single" w:sz="4" w:space="0" w:color="auto"/>
              <w:right w:val="single" w:sz="4" w:space="0" w:color="auto"/>
            </w:tcBorders>
            <w:shd w:val="clear" w:color="auto" w:fill="auto"/>
            <w:vAlign w:val="center"/>
            <w:hideMark/>
          </w:tcPr>
          <w:p w14:paraId="729FCE5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VITANJE</w:t>
            </w:r>
          </w:p>
        </w:tc>
      </w:tr>
      <w:tr w:rsidR="00E3750C" w:rsidRPr="00415AB3" w14:paraId="071DAC7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9FF428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1501</w:t>
            </w:r>
          </w:p>
        </w:tc>
        <w:tc>
          <w:tcPr>
            <w:tcW w:w="705" w:type="pct"/>
            <w:tcBorders>
              <w:top w:val="nil"/>
              <w:left w:val="nil"/>
              <w:bottom w:val="single" w:sz="4" w:space="0" w:color="auto"/>
              <w:right w:val="single" w:sz="4" w:space="0" w:color="auto"/>
            </w:tcBorders>
            <w:shd w:val="clear" w:color="auto" w:fill="auto"/>
            <w:noWrap/>
            <w:vAlign w:val="center"/>
            <w:hideMark/>
          </w:tcPr>
          <w:p w14:paraId="50A917A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5084407000</w:t>
            </w:r>
          </w:p>
        </w:tc>
        <w:tc>
          <w:tcPr>
            <w:tcW w:w="547" w:type="pct"/>
            <w:tcBorders>
              <w:top w:val="nil"/>
              <w:left w:val="nil"/>
              <w:bottom w:val="single" w:sz="4" w:space="0" w:color="auto"/>
              <w:right w:val="single" w:sz="4" w:space="0" w:color="auto"/>
            </w:tcBorders>
            <w:shd w:val="clear" w:color="auto" w:fill="auto"/>
            <w:noWrap/>
            <w:vAlign w:val="center"/>
            <w:hideMark/>
          </w:tcPr>
          <w:p w14:paraId="01FE3CD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31191070</w:t>
            </w:r>
          </w:p>
        </w:tc>
        <w:tc>
          <w:tcPr>
            <w:tcW w:w="3360" w:type="pct"/>
            <w:tcBorders>
              <w:top w:val="nil"/>
              <w:left w:val="nil"/>
              <w:bottom w:val="single" w:sz="4" w:space="0" w:color="auto"/>
              <w:right w:val="single" w:sz="4" w:space="0" w:color="auto"/>
            </w:tcBorders>
            <w:shd w:val="clear" w:color="auto" w:fill="auto"/>
            <w:vAlign w:val="center"/>
            <w:hideMark/>
          </w:tcPr>
          <w:p w14:paraId="116FBFC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VIŽMARJE-BROD</w:t>
            </w:r>
          </w:p>
        </w:tc>
      </w:tr>
      <w:tr w:rsidR="00E3750C" w:rsidRPr="00415AB3" w14:paraId="0F3DED2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86EE47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1502</w:t>
            </w:r>
          </w:p>
        </w:tc>
        <w:tc>
          <w:tcPr>
            <w:tcW w:w="705" w:type="pct"/>
            <w:tcBorders>
              <w:top w:val="nil"/>
              <w:left w:val="nil"/>
              <w:bottom w:val="single" w:sz="4" w:space="0" w:color="auto"/>
              <w:right w:val="single" w:sz="4" w:space="0" w:color="auto"/>
            </w:tcBorders>
            <w:shd w:val="clear" w:color="auto" w:fill="auto"/>
            <w:noWrap/>
            <w:vAlign w:val="center"/>
            <w:hideMark/>
          </w:tcPr>
          <w:p w14:paraId="713EA34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5084377000</w:t>
            </w:r>
          </w:p>
        </w:tc>
        <w:tc>
          <w:tcPr>
            <w:tcW w:w="547" w:type="pct"/>
            <w:tcBorders>
              <w:top w:val="nil"/>
              <w:left w:val="nil"/>
              <w:bottom w:val="single" w:sz="4" w:space="0" w:color="auto"/>
              <w:right w:val="single" w:sz="4" w:space="0" w:color="auto"/>
            </w:tcBorders>
            <w:shd w:val="clear" w:color="auto" w:fill="auto"/>
            <w:noWrap/>
            <w:vAlign w:val="center"/>
            <w:hideMark/>
          </w:tcPr>
          <w:p w14:paraId="0B09FD8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23124741</w:t>
            </w:r>
          </w:p>
        </w:tc>
        <w:tc>
          <w:tcPr>
            <w:tcW w:w="3360" w:type="pct"/>
            <w:tcBorders>
              <w:top w:val="nil"/>
              <w:left w:val="nil"/>
              <w:bottom w:val="single" w:sz="4" w:space="0" w:color="auto"/>
              <w:right w:val="single" w:sz="4" w:space="0" w:color="auto"/>
            </w:tcBorders>
            <w:shd w:val="clear" w:color="auto" w:fill="auto"/>
            <w:vAlign w:val="center"/>
            <w:hideMark/>
          </w:tcPr>
          <w:p w14:paraId="194F38A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VODICE</w:t>
            </w:r>
          </w:p>
        </w:tc>
      </w:tr>
      <w:tr w:rsidR="00E3750C" w:rsidRPr="00415AB3" w14:paraId="33FCDCC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5C00D1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1503</w:t>
            </w:r>
          </w:p>
        </w:tc>
        <w:tc>
          <w:tcPr>
            <w:tcW w:w="705" w:type="pct"/>
            <w:tcBorders>
              <w:top w:val="nil"/>
              <w:left w:val="nil"/>
              <w:bottom w:val="single" w:sz="4" w:space="0" w:color="auto"/>
              <w:right w:val="single" w:sz="4" w:space="0" w:color="auto"/>
            </w:tcBorders>
            <w:shd w:val="clear" w:color="auto" w:fill="auto"/>
            <w:noWrap/>
            <w:vAlign w:val="center"/>
            <w:hideMark/>
          </w:tcPr>
          <w:p w14:paraId="43C32B5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5083478000</w:t>
            </w:r>
          </w:p>
        </w:tc>
        <w:tc>
          <w:tcPr>
            <w:tcW w:w="547" w:type="pct"/>
            <w:tcBorders>
              <w:top w:val="nil"/>
              <w:left w:val="nil"/>
              <w:bottom w:val="single" w:sz="4" w:space="0" w:color="auto"/>
              <w:right w:val="single" w:sz="4" w:space="0" w:color="auto"/>
            </w:tcBorders>
            <w:shd w:val="clear" w:color="auto" w:fill="auto"/>
            <w:noWrap/>
            <w:vAlign w:val="center"/>
            <w:hideMark/>
          </w:tcPr>
          <w:p w14:paraId="31623F0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43102913</w:t>
            </w:r>
          </w:p>
        </w:tc>
        <w:tc>
          <w:tcPr>
            <w:tcW w:w="3360" w:type="pct"/>
            <w:tcBorders>
              <w:top w:val="nil"/>
              <w:left w:val="nil"/>
              <w:bottom w:val="single" w:sz="4" w:space="0" w:color="auto"/>
              <w:right w:val="single" w:sz="4" w:space="0" w:color="auto"/>
            </w:tcBorders>
            <w:shd w:val="clear" w:color="auto" w:fill="auto"/>
            <w:vAlign w:val="center"/>
            <w:hideMark/>
          </w:tcPr>
          <w:p w14:paraId="2118157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VODMAT</w:t>
            </w:r>
          </w:p>
        </w:tc>
      </w:tr>
      <w:tr w:rsidR="00E3750C" w:rsidRPr="00415AB3" w14:paraId="652FDFB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6AEE15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1504</w:t>
            </w:r>
          </w:p>
        </w:tc>
        <w:tc>
          <w:tcPr>
            <w:tcW w:w="705" w:type="pct"/>
            <w:tcBorders>
              <w:top w:val="nil"/>
              <w:left w:val="nil"/>
              <w:bottom w:val="single" w:sz="4" w:space="0" w:color="auto"/>
              <w:right w:val="single" w:sz="4" w:space="0" w:color="auto"/>
            </w:tcBorders>
            <w:shd w:val="clear" w:color="auto" w:fill="auto"/>
            <w:noWrap/>
            <w:vAlign w:val="center"/>
            <w:hideMark/>
          </w:tcPr>
          <w:p w14:paraId="7E0783A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5083028000</w:t>
            </w:r>
          </w:p>
        </w:tc>
        <w:tc>
          <w:tcPr>
            <w:tcW w:w="547" w:type="pct"/>
            <w:tcBorders>
              <w:top w:val="nil"/>
              <w:left w:val="nil"/>
              <w:bottom w:val="single" w:sz="4" w:space="0" w:color="auto"/>
              <w:right w:val="single" w:sz="4" w:space="0" w:color="auto"/>
            </w:tcBorders>
            <w:shd w:val="clear" w:color="auto" w:fill="auto"/>
            <w:noWrap/>
            <w:vAlign w:val="center"/>
            <w:hideMark/>
          </w:tcPr>
          <w:p w14:paraId="015338C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79063152</w:t>
            </w:r>
          </w:p>
        </w:tc>
        <w:tc>
          <w:tcPr>
            <w:tcW w:w="3360" w:type="pct"/>
            <w:tcBorders>
              <w:top w:val="nil"/>
              <w:left w:val="nil"/>
              <w:bottom w:val="single" w:sz="4" w:space="0" w:color="auto"/>
              <w:right w:val="single" w:sz="4" w:space="0" w:color="auto"/>
            </w:tcBorders>
            <w:shd w:val="clear" w:color="auto" w:fill="auto"/>
            <w:vAlign w:val="center"/>
            <w:hideMark/>
          </w:tcPr>
          <w:p w14:paraId="70B4DA8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VOJKE ŠMUC IZOLA</w:t>
            </w:r>
          </w:p>
        </w:tc>
      </w:tr>
      <w:tr w:rsidR="00E3750C" w:rsidRPr="00415AB3" w14:paraId="79F80CA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8A5FB6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1505</w:t>
            </w:r>
          </w:p>
        </w:tc>
        <w:tc>
          <w:tcPr>
            <w:tcW w:w="705" w:type="pct"/>
            <w:tcBorders>
              <w:top w:val="nil"/>
              <w:left w:val="nil"/>
              <w:bottom w:val="single" w:sz="4" w:space="0" w:color="auto"/>
              <w:right w:val="single" w:sz="4" w:space="0" w:color="auto"/>
            </w:tcBorders>
            <w:shd w:val="clear" w:color="auto" w:fill="auto"/>
            <w:noWrap/>
            <w:vAlign w:val="center"/>
            <w:hideMark/>
          </w:tcPr>
          <w:p w14:paraId="12AA26F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5082684000</w:t>
            </w:r>
          </w:p>
        </w:tc>
        <w:tc>
          <w:tcPr>
            <w:tcW w:w="547" w:type="pct"/>
            <w:tcBorders>
              <w:top w:val="nil"/>
              <w:left w:val="nil"/>
              <w:bottom w:val="single" w:sz="4" w:space="0" w:color="auto"/>
              <w:right w:val="single" w:sz="4" w:space="0" w:color="auto"/>
            </w:tcBorders>
            <w:shd w:val="clear" w:color="auto" w:fill="auto"/>
            <w:noWrap/>
            <w:vAlign w:val="center"/>
            <w:hideMark/>
          </w:tcPr>
          <w:p w14:paraId="24A57A1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95289763</w:t>
            </w:r>
          </w:p>
        </w:tc>
        <w:tc>
          <w:tcPr>
            <w:tcW w:w="3360" w:type="pct"/>
            <w:tcBorders>
              <w:top w:val="nil"/>
              <w:left w:val="nil"/>
              <w:bottom w:val="single" w:sz="4" w:space="0" w:color="auto"/>
              <w:right w:val="single" w:sz="4" w:space="0" w:color="auto"/>
            </w:tcBorders>
            <w:shd w:val="clear" w:color="auto" w:fill="auto"/>
            <w:vAlign w:val="center"/>
            <w:hideMark/>
          </w:tcPr>
          <w:p w14:paraId="7B4AA71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VOJNIK</w:t>
            </w:r>
          </w:p>
        </w:tc>
      </w:tr>
      <w:tr w:rsidR="00E3750C" w:rsidRPr="00415AB3" w14:paraId="2BFCA4B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C0ADFB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1506</w:t>
            </w:r>
          </w:p>
        </w:tc>
        <w:tc>
          <w:tcPr>
            <w:tcW w:w="705" w:type="pct"/>
            <w:tcBorders>
              <w:top w:val="nil"/>
              <w:left w:val="nil"/>
              <w:bottom w:val="single" w:sz="4" w:space="0" w:color="auto"/>
              <w:right w:val="single" w:sz="4" w:space="0" w:color="auto"/>
            </w:tcBorders>
            <w:shd w:val="clear" w:color="auto" w:fill="auto"/>
            <w:noWrap/>
            <w:vAlign w:val="center"/>
            <w:hideMark/>
          </w:tcPr>
          <w:p w14:paraId="0834BF4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5084008000</w:t>
            </w:r>
          </w:p>
        </w:tc>
        <w:tc>
          <w:tcPr>
            <w:tcW w:w="547" w:type="pct"/>
            <w:tcBorders>
              <w:top w:val="nil"/>
              <w:left w:val="nil"/>
              <w:bottom w:val="single" w:sz="4" w:space="0" w:color="auto"/>
              <w:right w:val="single" w:sz="4" w:space="0" w:color="auto"/>
            </w:tcBorders>
            <w:shd w:val="clear" w:color="auto" w:fill="auto"/>
            <w:noWrap/>
            <w:vAlign w:val="center"/>
            <w:hideMark/>
          </w:tcPr>
          <w:p w14:paraId="6A9BCEA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60776641</w:t>
            </w:r>
          </w:p>
        </w:tc>
        <w:tc>
          <w:tcPr>
            <w:tcW w:w="3360" w:type="pct"/>
            <w:tcBorders>
              <w:top w:val="nil"/>
              <w:left w:val="nil"/>
              <w:bottom w:val="single" w:sz="4" w:space="0" w:color="auto"/>
              <w:right w:val="single" w:sz="4" w:space="0" w:color="auto"/>
            </w:tcBorders>
            <w:shd w:val="clear" w:color="auto" w:fill="auto"/>
            <w:vAlign w:val="center"/>
            <w:hideMark/>
          </w:tcPr>
          <w:p w14:paraId="7654BDA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VOLIČINA</w:t>
            </w:r>
          </w:p>
        </w:tc>
      </w:tr>
      <w:tr w:rsidR="00E3750C" w:rsidRPr="00415AB3" w14:paraId="39C1482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647831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1507</w:t>
            </w:r>
          </w:p>
        </w:tc>
        <w:tc>
          <w:tcPr>
            <w:tcW w:w="705" w:type="pct"/>
            <w:tcBorders>
              <w:top w:val="nil"/>
              <w:left w:val="nil"/>
              <w:bottom w:val="single" w:sz="4" w:space="0" w:color="auto"/>
              <w:right w:val="single" w:sz="4" w:space="0" w:color="auto"/>
            </w:tcBorders>
            <w:shd w:val="clear" w:color="auto" w:fill="auto"/>
            <w:noWrap/>
            <w:vAlign w:val="center"/>
            <w:hideMark/>
          </w:tcPr>
          <w:p w14:paraId="507D63F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5088526000</w:t>
            </w:r>
          </w:p>
        </w:tc>
        <w:tc>
          <w:tcPr>
            <w:tcW w:w="547" w:type="pct"/>
            <w:tcBorders>
              <w:top w:val="nil"/>
              <w:left w:val="nil"/>
              <w:bottom w:val="single" w:sz="4" w:space="0" w:color="auto"/>
              <w:right w:val="single" w:sz="4" w:space="0" w:color="auto"/>
            </w:tcBorders>
            <w:shd w:val="clear" w:color="auto" w:fill="auto"/>
            <w:noWrap/>
            <w:vAlign w:val="center"/>
            <w:hideMark/>
          </w:tcPr>
          <w:p w14:paraId="7572088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65135482</w:t>
            </w:r>
          </w:p>
        </w:tc>
        <w:tc>
          <w:tcPr>
            <w:tcW w:w="3360" w:type="pct"/>
            <w:tcBorders>
              <w:top w:val="nil"/>
              <w:left w:val="nil"/>
              <w:bottom w:val="single" w:sz="4" w:space="0" w:color="auto"/>
              <w:right w:val="single" w:sz="4" w:space="0" w:color="auto"/>
            </w:tcBorders>
            <w:shd w:val="clear" w:color="auto" w:fill="auto"/>
            <w:vAlign w:val="center"/>
            <w:hideMark/>
          </w:tcPr>
          <w:p w14:paraId="32BDE32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VRANSKO - TABOR</w:t>
            </w:r>
          </w:p>
        </w:tc>
      </w:tr>
      <w:tr w:rsidR="00E3750C" w:rsidRPr="00415AB3" w14:paraId="0E74E55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6F913D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1508</w:t>
            </w:r>
          </w:p>
        </w:tc>
        <w:tc>
          <w:tcPr>
            <w:tcW w:w="705" w:type="pct"/>
            <w:tcBorders>
              <w:top w:val="nil"/>
              <w:left w:val="nil"/>
              <w:bottom w:val="single" w:sz="4" w:space="0" w:color="auto"/>
              <w:right w:val="single" w:sz="4" w:space="0" w:color="auto"/>
            </w:tcBorders>
            <w:shd w:val="clear" w:color="auto" w:fill="auto"/>
            <w:noWrap/>
            <w:vAlign w:val="center"/>
            <w:hideMark/>
          </w:tcPr>
          <w:p w14:paraId="5C7A467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5084989000</w:t>
            </w:r>
          </w:p>
        </w:tc>
        <w:tc>
          <w:tcPr>
            <w:tcW w:w="547" w:type="pct"/>
            <w:tcBorders>
              <w:top w:val="nil"/>
              <w:left w:val="nil"/>
              <w:bottom w:val="single" w:sz="4" w:space="0" w:color="auto"/>
              <w:right w:val="single" w:sz="4" w:space="0" w:color="auto"/>
            </w:tcBorders>
            <w:shd w:val="clear" w:color="auto" w:fill="auto"/>
            <w:noWrap/>
            <w:vAlign w:val="center"/>
            <w:hideMark/>
          </w:tcPr>
          <w:p w14:paraId="59EE21A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34317627</w:t>
            </w:r>
          </w:p>
        </w:tc>
        <w:tc>
          <w:tcPr>
            <w:tcW w:w="3360" w:type="pct"/>
            <w:tcBorders>
              <w:top w:val="nil"/>
              <w:left w:val="nil"/>
              <w:bottom w:val="single" w:sz="4" w:space="0" w:color="auto"/>
              <w:right w:val="single" w:sz="4" w:space="0" w:color="auto"/>
            </w:tcBorders>
            <w:shd w:val="clear" w:color="auto" w:fill="auto"/>
            <w:vAlign w:val="center"/>
            <w:hideMark/>
          </w:tcPr>
          <w:p w14:paraId="1F8D655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VRHOVCI</w:t>
            </w:r>
          </w:p>
        </w:tc>
      </w:tr>
      <w:tr w:rsidR="00E3750C" w:rsidRPr="00415AB3" w14:paraId="032D523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58EF95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1509</w:t>
            </w:r>
          </w:p>
        </w:tc>
        <w:tc>
          <w:tcPr>
            <w:tcW w:w="705" w:type="pct"/>
            <w:tcBorders>
              <w:top w:val="nil"/>
              <w:left w:val="nil"/>
              <w:bottom w:val="single" w:sz="4" w:space="0" w:color="auto"/>
              <w:right w:val="single" w:sz="4" w:space="0" w:color="auto"/>
            </w:tcBorders>
            <w:shd w:val="clear" w:color="auto" w:fill="auto"/>
            <w:noWrap/>
            <w:vAlign w:val="center"/>
            <w:hideMark/>
          </w:tcPr>
          <w:p w14:paraId="48FF99E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5087279000</w:t>
            </w:r>
          </w:p>
        </w:tc>
        <w:tc>
          <w:tcPr>
            <w:tcW w:w="547" w:type="pct"/>
            <w:tcBorders>
              <w:top w:val="nil"/>
              <w:left w:val="nil"/>
              <w:bottom w:val="single" w:sz="4" w:space="0" w:color="auto"/>
              <w:right w:val="single" w:sz="4" w:space="0" w:color="auto"/>
            </w:tcBorders>
            <w:shd w:val="clear" w:color="auto" w:fill="auto"/>
            <w:noWrap/>
            <w:vAlign w:val="center"/>
            <w:hideMark/>
          </w:tcPr>
          <w:p w14:paraId="10C007F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64020673</w:t>
            </w:r>
          </w:p>
        </w:tc>
        <w:tc>
          <w:tcPr>
            <w:tcW w:w="3360" w:type="pct"/>
            <w:tcBorders>
              <w:top w:val="nil"/>
              <w:left w:val="nil"/>
              <w:bottom w:val="single" w:sz="4" w:space="0" w:color="auto"/>
              <w:right w:val="single" w:sz="4" w:space="0" w:color="auto"/>
            </w:tcBorders>
            <w:shd w:val="clear" w:color="auto" w:fill="auto"/>
            <w:vAlign w:val="center"/>
            <w:hideMark/>
          </w:tcPr>
          <w:p w14:paraId="31FE486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VUZENICA</w:t>
            </w:r>
          </w:p>
        </w:tc>
      </w:tr>
      <w:tr w:rsidR="00E3750C" w:rsidRPr="00415AB3" w14:paraId="6B26D8A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CB6FE6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1510</w:t>
            </w:r>
          </w:p>
        </w:tc>
        <w:tc>
          <w:tcPr>
            <w:tcW w:w="705" w:type="pct"/>
            <w:tcBorders>
              <w:top w:val="nil"/>
              <w:left w:val="nil"/>
              <w:bottom w:val="single" w:sz="4" w:space="0" w:color="auto"/>
              <w:right w:val="single" w:sz="4" w:space="0" w:color="auto"/>
            </w:tcBorders>
            <w:shd w:val="clear" w:color="auto" w:fill="auto"/>
            <w:noWrap/>
            <w:vAlign w:val="center"/>
            <w:hideMark/>
          </w:tcPr>
          <w:p w14:paraId="134AEF7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5083966000</w:t>
            </w:r>
          </w:p>
        </w:tc>
        <w:tc>
          <w:tcPr>
            <w:tcW w:w="547" w:type="pct"/>
            <w:tcBorders>
              <w:top w:val="nil"/>
              <w:left w:val="nil"/>
              <w:bottom w:val="single" w:sz="4" w:space="0" w:color="auto"/>
              <w:right w:val="single" w:sz="4" w:space="0" w:color="auto"/>
            </w:tcBorders>
            <w:shd w:val="clear" w:color="auto" w:fill="auto"/>
            <w:noWrap/>
            <w:vAlign w:val="center"/>
            <w:hideMark/>
          </w:tcPr>
          <w:p w14:paraId="3CD1999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26071240</w:t>
            </w:r>
          </w:p>
        </w:tc>
        <w:tc>
          <w:tcPr>
            <w:tcW w:w="3360" w:type="pct"/>
            <w:tcBorders>
              <w:top w:val="nil"/>
              <w:left w:val="nil"/>
              <w:bottom w:val="single" w:sz="4" w:space="0" w:color="auto"/>
              <w:right w:val="single" w:sz="4" w:space="0" w:color="auto"/>
            </w:tcBorders>
            <w:shd w:val="clear" w:color="auto" w:fill="auto"/>
            <w:vAlign w:val="center"/>
            <w:hideMark/>
          </w:tcPr>
          <w:p w14:paraId="4FFE559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XIV. DIVIZIJE SENOVO</w:t>
            </w:r>
          </w:p>
        </w:tc>
      </w:tr>
      <w:tr w:rsidR="00E3750C" w:rsidRPr="00415AB3" w14:paraId="0116212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C53359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1511</w:t>
            </w:r>
          </w:p>
        </w:tc>
        <w:tc>
          <w:tcPr>
            <w:tcW w:w="705" w:type="pct"/>
            <w:tcBorders>
              <w:top w:val="nil"/>
              <w:left w:val="nil"/>
              <w:bottom w:val="single" w:sz="4" w:space="0" w:color="auto"/>
              <w:right w:val="single" w:sz="4" w:space="0" w:color="auto"/>
            </w:tcBorders>
            <w:shd w:val="clear" w:color="auto" w:fill="auto"/>
            <w:noWrap/>
            <w:vAlign w:val="center"/>
            <w:hideMark/>
          </w:tcPr>
          <w:p w14:paraId="2F3CE76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5205239000</w:t>
            </w:r>
          </w:p>
        </w:tc>
        <w:tc>
          <w:tcPr>
            <w:tcW w:w="547" w:type="pct"/>
            <w:tcBorders>
              <w:top w:val="nil"/>
              <w:left w:val="nil"/>
              <w:bottom w:val="single" w:sz="4" w:space="0" w:color="auto"/>
              <w:right w:val="single" w:sz="4" w:space="0" w:color="auto"/>
            </w:tcBorders>
            <w:shd w:val="clear" w:color="auto" w:fill="auto"/>
            <w:noWrap/>
            <w:vAlign w:val="center"/>
            <w:hideMark/>
          </w:tcPr>
          <w:p w14:paraId="4E86680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32930798</w:t>
            </w:r>
          </w:p>
        </w:tc>
        <w:tc>
          <w:tcPr>
            <w:tcW w:w="3360" w:type="pct"/>
            <w:tcBorders>
              <w:top w:val="nil"/>
              <w:left w:val="nil"/>
              <w:bottom w:val="single" w:sz="4" w:space="0" w:color="auto"/>
              <w:right w:val="single" w:sz="4" w:space="0" w:color="auto"/>
            </w:tcBorders>
            <w:shd w:val="clear" w:color="auto" w:fill="auto"/>
            <w:vAlign w:val="center"/>
            <w:hideMark/>
          </w:tcPr>
          <w:p w14:paraId="1551E04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ZADOBROVA</w:t>
            </w:r>
          </w:p>
        </w:tc>
      </w:tr>
      <w:tr w:rsidR="00E3750C" w:rsidRPr="00415AB3" w14:paraId="6B7D9FB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9024D0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1512</w:t>
            </w:r>
          </w:p>
        </w:tc>
        <w:tc>
          <w:tcPr>
            <w:tcW w:w="705" w:type="pct"/>
            <w:tcBorders>
              <w:top w:val="nil"/>
              <w:left w:val="nil"/>
              <w:bottom w:val="single" w:sz="4" w:space="0" w:color="auto"/>
              <w:right w:val="single" w:sz="4" w:space="0" w:color="auto"/>
            </w:tcBorders>
            <w:shd w:val="clear" w:color="auto" w:fill="auto"/>
            <w:noWrap/>
            <w:vAlign w:val="center"/>
            <w:hideMark/>
          </w:tcPr>
          <w:p w14:paraId="7850DA8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5084296000</w:t>
            </w:r>
          </w:p>
        </w:tc>
        <w:tc>
          <w:tcPr>
            <w:tcW w:w="547" w:type="pct"/>
            <w:tcBorders>
              <w:top w:val="nil"/>
              <w:left w:val="nil"/>
              <w:bottom w:val="single" w:sz="4" w:space="0" w:color="auto"/>
              <w:right w:val="single" w:sz="4" w:space="0" w:color="auto"/>
            </w:tcBorders>
            <w:shd w:val="clear" w:color="auto" w:fill="auto"/>
            <w:noWrap/>
            <w:vAlign w:val="center"/>
            <w:hideMark/>
          </w:tcPr>
          <w:p w14:paraId="50DD71E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75894190</w:t>
            </w:r>
          </w:p>
        </w:tc>
        <w:tc>
          <w:tcPr>
            <w:tcW w:w="3360" w:type="pct"/>
            <w:tcBorders>
              <w:top w:val="nil"/>
              <w:left w:val="nil"/>
              <w:bottom w:val="single" w:sz="4" w:space="0" w:color="auto"/>
              <w:right w:val="single" w:sz="4" w:space="0" w:color="auto"/>
            </w:tcBorders>
            <w:shd w:val="clear" w:color="auto" w:fill="auto"/>
            <w:vAlign w:val="center"/>
            <w:hideMark/>
          </w:tcPr>
          <w:p w14:paraId="5A6839C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ZALOG</w:t>
            </w:r>
          </w:p>
        </w:tc>
      </w:tr>
      <w:tr w:rsidR="00E3750C" w:rsidRPr="00415AB3" w14:paraId="43B8649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D645B0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1513</w:t>
            </w:r>
          </w:p>
        </w:tc>
        <w:tc>
          <w:tcPr>
            <w:tcW w:w="705" w:type="pct"/>
            <w:tcBorders>
              <w:top w:val="nil"/>
              <w:left w:val="nil"/>
              <w:bottom w:val="single" w:sz="4" w:space="0" w:color="auto"/>
              <w:right w:val="single" w:sz="4" w:space="0" w:color="auto"/>
            </w:tcBorders>
            <w:shd w:val="clear" w:color="auto" w:fill="auto"/>
            <w:noWrap/>
            <w:vAlign w:val="center"/>
            <w:hideMark/>
          </w:tcPr>
          <w:p w14:paraId="1E054D5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5084857000</w:t>
            </w:r>
          </w:p>
        </w:tc>
        <w:tc>
          <w:tcPr>
            <w:tcW w:w="547" w:type="pct"/>
            <w:tcBorders>
              <w:top w:val="nil"/>
              <w:left w:val="nil"/>
              <w:bottom w:val="single" w:sz="4" w:space="0" w:color="auto"/>
              <w:right w:val="single" w:sz="4" w:space="0" w:color="auto"/>
            </w:tcBorders>
            <w:shd w:val="clear" w:color="auto" w:fill="auto"/>
            <w:noWrap/>
            <w:vAlign w:val="center"/>
            <w:hideMark/>
          </w:tcPr>
          <w:p w14:paraId="4C752A7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95886478</w:t>
            </w:r>
          </w:p>
        </w:tc>
        <w:tc>
          <w:tcPr>
            <w:tcW w:w="3360" w:type="pct"/>
            <w:tcBorders>
              <w:top w:val="nil"/>
              <w:left w:val="nil"/>
              <w:bottom w:val="single" w:sz="4" w:space="0" w:color="auto"/>
              <w:right w:val="single" w:sz="4" w:space="0" w:color="auto"/>
            </w:tcBorders>
            <w:shd w:val="clear" w:color="auto" w:fill="auto"/>
            <w:vAlign w:val="center"/>
            <w:hideMark/>
          </w:tcPr>
          <w:p w14:paraId="45EA2C7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ZBORA ODPOSLANCEV, KOČEVJE</w:t>
            </w:r>
          </w:p>
        </w:tc>
      </w:tr>
      <w:tr w:rsidR="00E3750C" w:rsidRPr="00415AB3" w14:paraId="654E7D9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3F6BCE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1514</w:t>
            </w:r>
          </w:p>
        </w:tc>
        <w:tc>
          <w:tcPr>
            <w:tcW w:w="705" w:type="pct"/>
            <w:tcBorders>
              <w:top w:val="nil"/>
              <w:left w:val="nil"/>
              <w:bottom w:val="single" w:sz="4" w:space="0" w:color="auto"/>
              <w:right w:val="single" w:sz="4" w:space="0" w:color="auto"/>
            </w:tcBorders>
            <w:shd w:val="clear" w:color="auto" w:fill="auto"/>
            <w:noWrap/>
            <w:vAlign w:val="center"/>
            <w:hideMark/>
          </w:tcPr>
          <w:p w14:paraId="7BB9ECE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5087732000</w:t>
            </w:r>
          </w:p>
        </w:tc>
        <w:tc>
          <w:tcPr>
            <w:tcW w:w="547" w:type="pct"/>
            <w:tcBorders>
              <w:top w:val="nil"/>
              <w:left w:val="nil"/>
              <w:bottom w:val="single" w:sz="4" w:space="0" w:color="auto"/>
              <w:right w:val="single" w:sz="4" w:space="0" w:color="auto"/>
            </w:tcBorders>
            <w:shd w:val="clear" w:color="auto" w:fill="auto"/>
            <w:noWrap/>
            <w:vAlign w:val="center"/>
            <w:hideMark/>
          </w:tcPr>
          <w:p w14:paraId="26C1D42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69998558</w:t>
            </w:r>
          </w:p>
        </w:tc>
        <w:tc>
          <w:tcPr>
            <w:tcW w:w="3360" w:type="pct"/>
            <w:tcBorders>
              <w:top w:val="nil"/>
              <w:left w:val="nil"/>
              <w:bottom w:val="single" w:sz="4" w:space="0" w:color="auto"/>
              <w:right w:val="single" w:sz="4" w:space="0" w:color="auto"/>
            </w:tcBorders>
            <w:shd w:val="clear" w:color="auto" w:fill="auto"/>
            <w:vAlign w:val="center"/>
            <w:hideMark/>
          </w:tcPr>
          <w:p w14:paraId="74F4903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ZREČE</w:t>
            </w:r>
          </w:p>
        </w:tc>
      </w:tr>
      <w:tr w:rsidR="00E3750C" w:rsidRPr="00415AB3" w14:paraId="4F0BCF5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F3475B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1515</w:t>
            </w:r>
          </w:p>
        </w:tc>
        <w:tc>
          <w:tcPr>
            <w:tcW w:w="705" w:type="pct"/>
            <w:tcBorders>
              <w:top w:val="nil"/>
              <w:left w:val="nil"/>
              <w:bottom w:val="single" w:sz="4" w:space="0" w:color="auto"/>
              <w:right w:val="single" w:sz="4" w:space="0" w:color="auto"/>
            </w:tcBorders>
            <w:shd w:val="clear" w:color="auto" w:fill="auto"/>
            <w:noWrap/>
            <w:vAlign w:val="center"/>
            <w:hideMark/>
          </w:tcPr>
          <w:p w14:paraId="6A94332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5087830000</w:t>
            </w:r>
          </w:p>
        </w:tc>
        <w:tc>
          <w:tcPr>
            <w:tcW w:w="547" w:type="pct"/>
            <w:tcBorders>
              <w:top w:val="nil"/>
              <w:left w:val="nil"/>
              <w:bottom w:val="single" w:sz="4" w:space="0" w:color="auto"/>
              <w:right w:val="single" w:sz="4" w:space="0" w:color="auto"/>
            </w:tcBorders>
            <w:shd w:val="clear" w:color="auto" w:fill="auto"/>
            <w:noWrap/>
            <w:vAlign w:val="center"/>
            <w:hideMark/>
          </w:tcPr>
          <w:p w14:paraId="527C862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36326020</w:t>
            </w:r>
          </w:p>
        </w:tc>
        <w:tc>
          <w:tcPr>
            <w:tcW w:w="3360" w:type="pct"/>
            <w:tcBorders>
              <w:top w:val="nil"/>
              <w:left w:val="nil"/>
              <w:bottom w:val="single" w:sz="4" w:space="0" w:color="auto"/>
              <w:right w:val="single" w:sz="4" w:space="0" w:color="auto"/>
            </w:tcBorders>
            <w:shd w:val="clear" w:color="auto" w:fill="auto"/>
            <w:vAlign w:val="center"/>
            <w:hideMark/>
          </w:tcPr>
          <w:p w14:paraId="0E32D46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ŽELEZNIKI</w:t>
            </w:r>
          </w:p>
        </w:tc>
      </w:tr>
      <w:tr w:rsidR="00E3750C" w:rsidRPr="00415AB3" w14:paraId="11E0A8B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31DCE2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1516</w:t>
            </w:r>
          </w:p>
        </w:tc>
        <w:tc>
          <w:tcPr>
            <w:tcW w:w="705" w:type="pct"/>
            <w:tcBorders>
              <w:top w:val="nil"/>
              <w:left w:val="nil"/>
              <w:bottom w:val="single" w:sz="4" w:space="0" w:color="auto"/>
              <w:right w:val="single" w:sz="4" w:space="0" w:color="auto"/>
            </w:tcBorders>
            <w:shd w:val="clear" w:color="auto" w:fill="auto"/>
            <w:noWrap/>
            <w:vAlign w:val="center"/>
            <w:hideMark/>
          </w:tcPr>
          <w:p w14:paraId="797A01E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5968330000</w:t>
            </w:r>
          </w:p>
        </w:tc>
        <w:tc>
          <w:tcPr>
            <w:tcW w:w="547" w:type="pct"/>
            <w:tcBorders>
              <w:top w:val="nil"/>
              <w:left w:val="nil"/>
              <w:bottom w:val="single" w:sz="4" w:space="0" w:color="auto"/>
              <w:right w:val="single" w:sz="4" w:space="0" w:color="auto"/>
            </w:tcBorders>
            <w:shd w:val="clear" w:color="auto" w:fill="auto"/>
            <w:noWrap/>
            <w:vAlign w:val="center"/>
            <w:hideMark/>
          </w:tcPr>
          <w:p w14:paraId="58A72DE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59442018</w:t>
            </w:r>
          </w:p>
        </w:tc>
        <w:tc>
          <w:tcPr>
            <w:tcW w:w="3360" w:type="pct"/>
            <w:tcBorders>
              <w:top w:val="nil"/>
              <w:left w:val="nil"/>
              <w:bottom w:val="single" w:sz="4" w:space="0" w:color="auto"/>
              <w:right w:val="single" w:sz="4" w:space="0" w:color="auto"/>
            </w:tcBorders>
            <w:shd w:val="clear" w:color="auto" w:fill="auto"/>
            <w:vAlign w:val="center"/>
            <w:hideMark/>
          </w:tcPr>
          <w:p w14:paraId="2098682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ŽETALE</w:t>
            </w:r>
          </w:p>
        </w:tc>
      </w:tr>
      <w:tr w:rsidR="00E3750C" w:rsidRPr="00415AB3" w14:paraId="63FF339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2B43FD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1517</w:t>
            </w:r>
          </w:p>
        </w:tc>
        <w:tc>
          <w:tcPr>
            <w:tcW w:w="705" w:type="pct"/>
            <w:tcBorders>
              <w:top w:val="nil"/>
              <w:left w:val="nil"/>
              <w:bottom w:val="single" w:sz="4" w:space="0" w:color="auto"/>
              <w:right w:val="single" w:sz="4" w:space="0" w:color="auto"/>
            </w:tcBorders>
            <w:shd w:val="clear" w:color="auto" w:fill="auto"/>
            <w:noWrap/>
            <w:vAlign w:val="center"/>
            <w:hideMark/>
          </w:tcPr>
          <w:p w14:paraId="0801845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5089476000</w:t>
            </w:r>
          </w:p>
        </w:tc>
        <w:tc>
          <w:tcPr>
            <w:tcW w:w="547" w:type="pct"/>
            <w:tcBorders>
              <w:top w:val="nil"/>
              <w:left w:val="nil"/>
              <w:bottom w:val="single" w:sz="4" w:space="0" w:color="auto"/>
              <w:right w:val="single" w:sz="4" w:space="0" w:color="auto"/>
            </w:tcBorders>
            <w:shd w:val="clear" w:color="auto" w:fill="auto"/>
            <w:noWrap/>
            <w:vAlign w:val="center"/>
            <w:hideMark/>
          </w:tcPr>
          <w:p w14:paraId="3D3E5BF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79208843</w:t>
            </w:r>
          </w:p>
        </w:tc>
        <w:tc>
          <w:tcPr>
            <w:tcW w:w="3360" w:type="pct"/>
            <w:tcBorders>
              <w:top w:val="nil"/>
              <w:left w:val="nil"/>
              <w:bottom w:val="single" w:sz="4" w:space="0" w:color="auto"/>
              <w:right w:val="single" w:sz="4" w:space="0" w:color="auto"/>
            </w:tcBorders>
            <w:shd w:val="clear" w:color="auto" w:fill="auto"/>
            <w:vAlign w:val="center"/>
            <w:hideMark/>
          </w:tcPr>
          <w:p w14:paraId="1C5AD73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ŽIRI</w:t>
            </w:r>
          </w:p>
        </w:tc>
      </w:tr>
      <w:tr w:rsidR="00E3750C" w:rsidRPr="00415AB3" w14:paraId="0AAAD67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06A32A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1518</w:t>
            </w:r>
          </w:p>
        </w:tc>
        <w:tc>
          <w:tcPr>
            <w:tcW w:w="705" w:type="pct"/>
            <w:tcBorders>
              <w:top w:val="nil"/>
              <w:left w:val="nil"/>
              <w:bottom w:val="single" w:sz="4" w:space="0" w:color="auto"/>
              <w:right w:val="single" w:sz="4" w:space="0" w:color="auto"/>
            </w:tcBorders>
            <w:shd w:val="clear" w:color="auto" w:fill="auto"/>
            <w:noWrap/>
            <w:vAlign w:val="center"/>
            <w:hideMark/>
          </w:tcPr>
          <w:p w14:paraId="1526A0A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5719062000</w:t>
            </w:r>
          </w:p>
        </w:tc>
        <w:tc>
          <w:tcPr>
            <w:tcW w:w="547" w:type="pct"/>
            <w:tcBorders>
              <w:top w:val="nil"/>
              <w:left w:val="nil"/>
              <w:bottom w:val="single" w:sz="4" w:space="0" w:color="auto"/>
              <w:right w:val="single" w:sz="4" w:space="0" w:color="auto"/>
            </w:tcBorders>
            <w:shd w:val="clear" w:color="auto" w:fill="auto"/>
            <w:noWrap/>
            <w:vAlign w:val="center"/>
            <w:hideMark/>
          </w:tcPr>
          <w:p w14:paraId="05EE6BB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55702759</w:t>
            </w:r>
          </w:p>
        </w:tc>
        <w:tc>
          <w:tcPr>
            <w:tcW w:w="3360" w:type="pct"/>
            <w:tcBorders>
              <w:top w:val="nil"/>
              <w:left w:val="nil"/>
              <w:bottom w:val="single" w:sz="4" w:space="0" w:color="auto"/>
              <w:right w:val="single" w:sz="4" w:space="0" w:color="auto"/>
            </w:tcBorders>
            <w:shd w:val="clear" w:color="auto" w:fill="auto"/>
            <w:vAlign w:val="center"/>
            <w:hideMark/>
          </w:tcPr>
          <w:p w14:paraId="26A7B3D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ŽIROVNICA</w:t>
            </w:r>
          </w:p>
        </w:tc>
      </w:tr>
      <w:tr w:rsidR="00E3750C" w:rsidRPr="00415AB3" w14:paraId="703DF30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6F3204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1519</w:t>
            </w:r>
          </w:p>
        </w:tc>
        <w:tc>
          <w:tcPr>
            <w:tcW w:w="705" w:type="pct"/>
            <w:tcBorders>
              <w:top w:val="nil"/>
              <w:left w:val="nil"/>
              <w:bottom w:val="single" w:sz="4" w:space="0" w:color="auto"/>
              <w:right w:val="single" w:sz="4" w:space="0" w:color="auto"/>
            </w:tcBorders>
            <w:shd w:val="clear" w:color="auto" w:fill="auto"/>
            <w:noWrap/>
            <w:vAlign w:val="center"/>
            <w:hideMark/>
          </w:tcPr>
          <w:p w14:paraId="482AE7D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5086337000</w:t>
            </w:r>
          </w:p>
        </w:tc>
        <w:tc>
          <w:tcPr>
            <w:tcW w:w="547" w:type="pct"/>
            <w:tcBorders>
              <w:top w:val="nil"/>
              <w:left w:val="nil"/>
              <w:bottom w:val="single" w:sz="4" w:space="0" w:color="auto"/>
              <w:right w:val="single" w:sz="4" w:space="0" w:color="auto"/>
            </w:tcBorders>
            <w:shd w:val="clear" w:color="auto" w:fill="auto"/>
            <w:noWrap/>
            <w:vAlign w:val="center"/>
            <w:hideMark/>
          </w:tcPr>
          <w:p w14:paraId="310DE47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97836311</w:t>
            </w:r>
          </w:p>
        </w:tc>
        <w:tc>
          <w:tcPr>
            <w:tcW w:w="3360" w:type="pct"/>
            <w:tcBorders>
              <w:top w:val="nil"/>
              <w:left w:val="nil"/>
              <w:bottom w:val="single" w:sz="4" w:space="0" w:color="auto"/>
              <w:right w:val="single" w:sz="4" w:space="0" w:color="auto"/>
            </w:tcBorders>
            <w:shd w:val="clear" w:color="auto" w:fill="auto"/>
            <w:vAlign w:val="center"/>
            <w:hideMark/>
          </w:tcPr>
          <w:p w14:paraId="7D02D1F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OSNOVNA ŠOLA ŽUŽEMBERK</w:t>
            </w:r>
          </w:p>
        </w:tc>
      </w:tr>
      <w:tr w:rsidR="00E3750C" w:rsidRPr="00415AB3" w14:paraId="2A31FF4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3A14EF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1520</w:t>
            </w:r>
          </w:p>
        </w:tc>
        <w:tc>
          <w:tcPr>
            <w:tcW w:w="705" w:type="pct"/>
            <w:tcBorders>
              <w:top w:val="nil"/>
              <w:left w:val="nil"/>
              <w:bottom w:val="single" w:sz="4" w:space="0" w:color="auto"/>
              <w:right w:val="single" w:sz="4" w:space="0" w:color="auto"/>
            </w:tcBorders>
            <w:shd w:val="clear" w:color="auto" w:fill="auto"/>
            <w:noWrap/>
            <w:vAlign w:val="center"/>
            <w:hideMark/>
          </w:tcPr>
          <w:p w14:paraId="2E5EA06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5165792000</w:t>
            </w:r>
          </w:p>
        </w:tc>
        <w:tc>
          <w:tcPr>
            <w:tcW w:w="547" w:type="pct"/>
            <w:tcBorders>
              <w:top w:val="nil"/>
              <w:left w:val="nil"/>
              <w:bottom w:val="single" w:sz="4" w:space="0" w:color="auto"/>
              <w:right w:val="single" w:sz="4" w:space="0" w:color="auto"/>
            </w:tcBorders>
            <w:shd w:val="clear" w:color="auto" w:fill="auto"/>
            <w:noWrap/>
            <w:vAlign w:val="center"/>
            <w:hideMark/>
          </w:tcPr>
          <w:p w14:paraId="7F3CB7B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90714237</w:t>
            </w:r>
          </w:p>
        </w:tc>
        <w:tc>
          <w:tcPr>
            <w:tcW w:w="3360" w:type="pct"/>
            <w:tcBorders>
              <w:top w:val="nil"/>
              <w:left w:val="nil"/>
              <w:bottom w:val="single" w:sz="4" w:space="0" w:color="auto"/>
              <w:right w:val="single" w:sz="4" w:space="0" w:color="auto"/>
            </w:tcBorders>
            <w:shd w:val="clear" w:color="auto" w:fill="auto"/>
            <w:vAlign w:val="center"/>
            <w:hideMark/>
          </w:tcPr>
          <w:p w14:paraId="5760733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OSNOVNO ZDRAVSTVO GORENJSKE</w:t>
            </w:r>
          </w:p>
        </w:tc>
      </w:tr>
      <w:tr w:rsidR="00E3750C" w:rsidRPr="00415AB3" w14:paraId="66E2AB4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B1BBE0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1521</w:t>
            </w:r>
          </w:p>
        </w:tc>
        <w:tc>
          <w:tcPr>
            <w:tcW w:w="705" w:type="pct"/>
            <w:tcBorders>
              <w:top w:val="nil"/>
              <w:left w:val="nil"/>
              <w:bottom w:val="single" w:sz="4" w:space="0" w:color="auto"/>
              <w:right w:val="single" w:sz="4" w:space="0" w:color="auto"/>
            </w:tcBorders>
            <w:shd w:val="clear" w:color="auto" w:fill="auto"/>
            <w:noWrap/>
            <w:vAlign w:val="center"/>
            <w:hideMark/>
          </w:tcPr>
          <w:p w14:paraId="525708C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5055601000</w:t>
            </w:r>
          </w:p>
        </w:tc>
        <w:tc>
          <w:tcPr>
            <w:tcW w:w="547" w:type="pct"/>
            <w:tcBorders>
              <w:top w:val="nil"/>
              <w:left w:val="nil"/>
              <w:bottom w:val="single" w:sz="4" w:space="0" w:color="auto"/>
              <w:right w:val="single" w:sz="4" w:space="0" w:color="auto"/>
            </w:tcBorders>
            <w:shd w:val="clear" w:color="auto" w:fill="auto"/>
            <w:noWrap/>
            <w:vAlign w:val="center"/>
            <w:hideMark/>
          </w:tcPr>
          <w:p w14:paraId="6FF9D25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50396714</w:t>
            </w:r>
          </w:p>
        </w:tc>
        <w:tc>
          <w:tcPr>
            <w:tcW w:w="3360" w:type="pct"/>
            <w:tcBorders>
              <w:top w:val="nil"/>
              <w:left w:val="nil"/>
              <w:bottom w:val="single" w:sz="4" w:space="0" w:color="auto"/>
              <w:right w:val="single" w:sz="4" w:space="0" w:color="auto"/>
            </w:tcBorders>
            <w:shd w:val="clear" w:color="auto" w:fill="auto"/>
            <w:vAlign w:val="center"/>
            <w:hideMark/>
          </w:tcPr>
          <w:p w14:paraId="5E07A8C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OSREDNJA KNJIŽNICA CELJE</w:t>
            </w:r>
          </w:p>
        </w:tc>
      </w:tr>
      <w:tr w:rsidR="00E3750C" w:rsidRPr="00415AB3" w14:paraId="4B7ED98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0D21D4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1522</w:t>
            </w:r>
          </w:p>
        </w:tc>
        <w:tc>
          <w:tcPr>
            <w:tcW w:w="705" w:type="pct"/>
            <w:tcBorders>
              <w:top w:val="nil"/>
              <w:left w:val="nil"/>
              <w:bottom w:val="single" w:sz="4" w:space="0" w:color="auto"/>
              <w:right w:val="single" w:sz="4" w:space="0" w:color="auto"/>
            </w:tcBorders>
            <w:shd w:val="clear" w:color="auto" w:fill="auto"/>
            <w:noWrap/>
            <w:vAlign w:val="center"/>
            <w:hideMark/>
          </w:tcPr>
          <w:p w14:paraId="37BA467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5644585000</w:t>
            </w:r>
          </w:p>
        </w:tc>
        <w:tc>
          <w:tcPr>
            <w:tcW w:w="547" w:type="pct"/>
            <w:tcBorders>
              <w:top w:val="nil"/>
              <w:left w:val="nil"/>
              <w:bottom w:val="single" w:sz="4" w:space="0" w:color="auto"/>
              <w:right w:val="single" w:sz="4" w:space="0" w:color="auto"/>
            </w:tcBorders>
            <w:shd w:val="clear" w:color="auto" w:fill="auto"/>
            <w:noWrap/>
            <w:vAlign w:val="center"/>
            <w:hideMark/>
          </w:tcPr>
          <w:p w14:paraId="002E585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92486835</w:t>
            </w:r>
          </w:p>
        </w:tc>
        <w:tc>
          <w:tcPr>
            <w:tcW w:w="3360" w:type="pct"/>
            <w:tcBorders>
              <w:top w:val="nil"/>
              <w:left w:val="nil"/>
              <w:bottom w:val="single" w:sz="4" w:space="0" w:color="auto"/>
              <w:right w:val="single" w:sz="4" w:space="0" w:color="auto"/>
            </w:tcBorders>
            <w:shd w:val="clear" w:color="auto" w:fill="auto"/>
            <w:vAlign w:val="center"/>
            <w:hideMark/>
          </w:tcPr>
          <w:p w14:paraId="0CFFC6E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OSREDNJA KNJIŽNICA MOZIRJE</w:t>
            </w:r>
          </w:p>
        </w:tc>
      </w:tr>
      <w:tr w:rsidR="00E3750C" w:rsidRPr="00415AB3" w14:paraId="17B139E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C6BBBB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1523</w:t>
            </w:r>
          </w:p>
        </w:tc>
        <w:tc>
          <w:tcPr>
            <w:tcW w:w="705" w:type="pct"/>
            <w:tcBorders>
              <w:top w:val="nil"/>
              <w:left w:val="nil"/>
              <w:bottom w:val="single" w:sz="4" w:space="0" w:color="auto"/>
              <w:right w:val="single" w:sz="4" w:space="0" w:color="auto"/>
            </w:tcBorders>
            <w:shd w:val="clear" w:color="auto" w:fill="auto"/>
            <w:noWrap/>
            <w:vAlign w:val="center"/>
            <w:hideMark/>
          </w:tcPr>
          <w:p w14:paraId="2C0D486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5051967000</w:t>
            </w:r>
          </w:p>
        </w:tc>
        <w:tc>
          <w:tcPr>
            <w:tcW w:w="547" w:type="pct"/>
            <w:tcBorders>
              <w:top w:val="nil"/>
              <w:left w:val="nil"/>
              <w:bottom w:val="single" w:sz="4" w:space="0" w:color="auto"/>
              <w:right w:val="single" w:sz="4" w:space="0" w:color="auto"/>
            </w:tcBorders>
            <w:shd w:val="clear" w:color="auto" w:fill="auto"/>
            <w:noWrap/>
            <w:vAlign w:val="center"/>
            <w:hideMark/>
          </w:tcPr>
          <w:p w14:paraId="14A05B7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10908838</w:t>
            </w:r>
          </w:p>
        </w:tc>
        <w:tc>
          <w:tcPr>
            <w:tcW w:w="3360" w:type="pct"/>
            <w:tcBorders>
              <w:top w:val="nil"/>
              <w:left w:val="nil"/>
              <w:bottom w:val="single" w:sz="4" w:space="0" w:color="auto"/>
              <w:right w:val="single" w:sz="4" w:space="0" w:color="auto"/>
            </w:tcBorders>
            <w:shd w:val="clear" w:color="auto" w:fill="auto"/>
            <w:vAlign w:val="center"/>
            <w:hideMark/>
          </w:tcPr>
          <w:p w14:paraId="66E26E6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OSREDNJA KNJIŽNICA SREČKA VILHARJA KOPER</w:t>
            </w:r>
          </w:p>
        </w:tc>
      </w:tr>
      <w:tr w:rsidR="00E3750C" w:rsidRPr="00415AB3" w14:paraId="0361637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5075BB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1524</w:t>
            </w:r>
          </w:p>
        </w:tc>
        <w:tc>
          <w:tcPr>
            <w:tcW w:w="705" w:type="pct"/>
            <w:tcBorders>
              <w:top w:val="nil"/>
              <w:left w:val="nil"/>
              <w:bottom w:val="single" w:sz="4" w:space="0" w:color="auto"/>
              <w:right w:val="single" w:sz="4" w:space="0" w:color="auto"/>
            </w:tcBorders>
            <w:shd w:val="clear" w:color="auto" w:fill="auto"/>
            <w:noWrap/>
            <w:vAlign w:val="center"/>
            <w:hideMark/>
          </w:tcPr>
          <w:p w14:paraId="06572F1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5050855000</w:t>
            </w:r>
          </w:p>
        </w:tc>
        <w:tc>
          <w:tcPr>
            <w:tcW w:w="547" w:type="pct"/>
            <w:tcBorders>
              <w:top w:val="nil"/>
              <w:left w:val="nil"/>
              <w:bottom w:val="single" w:sz="4" w:space="0" w:color="auto"/>
              <w:right w:val="single" w:sz="4" w:space="0" w:color="auto"/>
            </w:tcBorders>
            <w:shd w:val="clear" w:color="auto" w:fill="auto"/>
            <w:noWrap/>
            <w:vAlign w:val="center"/>
            <w:hideMark/>
          </w:tcPr>
          <w:p w14:paraId="59B544A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59155388</w:t>
            </w:r>
          </w:p>
        </w:tc>
        <w:tc>
          <w:tcPr>
            <w:tcW w:w="3360" w:type="pct"/>
            <w:tcBorders>
              <w:top w:val="nil"/>
              <w:left w:val="nil"/>
              <w:bottom w:val="single" w:sz="4" w:space="0" w:color="auto"/>
              <w:right w:val="single" w:sz="4" w:space="0" w:color="auto"/>
            </w:tcBorders>
            <w:shd w:val="clear" w:color="auto" w:fill="auto"/>
            <w:vAlign w:val="center"/>
            <w:hideMark/>
          </w:tcPr>
          <w:p w14:paraId="1A171A8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OTROŠKI VRTEC AJDOVŠČINA</w:t>
            </w:r>
          </w:p>
        </w:tc>
      </w:tr>
      <w:tr w:rsidR="00E3750C" w:rsidRPr="00415AB3" w14:paraId="685E2D7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A30BAF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1525</w:t>
            </w:r>
          </w:p>
        </w:tc>
        <w:tc>
          <w:tcPr>
            <w:tcW w:w="705" w:type="pct"/>
            <w:tcBorders>
              <w:top w:val="nil"/>
              <w:left w:val="nil"/>
              <w:bottom w:val="single" w:sz="4" w:space="0" w:color="auto"/>
              <w:right w:val="single" w:sz="4" w:space="0" w:color="auto"/>
            </w:tcBorders>
            <w:shd w:val="clear" w:color="auto" w:fill="auto"/>
            <w:noWrap/>
            <w:vAlign w:val="center"/>
            <w:hideMark/>
          </w:tcPr>
          <w:p w14:paraId="4A80A80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5166420000</w:t>
            </w:r>
          </w:p>
        </w:tc>
        <w:tc>
          <w:tcPr>
            <w:tcW w:w="547" w:type="pct"/>
            <w:tcBorders>
              <w:top w:val="nil"/>
              <w:left w:val="nil"/>
              <w:bottom w:val="single" w:sz="4" w:space="0" w:color="auto"/>
              <w:right w:val="single" w:sz="4" w:space="0" w:color="auto"/>
            </w:tcBorders>
            <w:shd w:val="clear" w:color="auto" w:fill="auto"/>
            <w:noWrap/>
            <w:vAlign w:val="center"/>
            <w:hideMark/>
          </w:tcPr>
          <w:p w14:paraId="44BB3E1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26699745</w:t>
            </w:r>
          </w:p>
        </w:tc>
        <w:tc>
          <w:tcPr>
            <w:tcW w:w="3360" w:type="pct"/>
            <w:tcBorders>
              <w:top w:val="nil"/>
              <w:left w:val="nil"/>
              <w:bottom w:val="single" w:sz="4" w:space="0" w:color="auto"/>
              <w:right w:val="single" w:sz="4" w:space="0" w:color="auto"/>
            </w:tcBorders>
            <w:shd w:val="clear" w:color="auto" w:fill="auto"/>
            <w:vAlign w:val="center"/>
            <w:hideMark/>
          </w:tcPr>
          <w:p w14:paraId="5E4A6DA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OTROŠKI VRTEC METLIKA</w:t>
            </w:r>
          </w:p>
        </w:tc>
      </w:tr>
      <w:tr w:rsidR="00E3750C" w:rsidRPr="00415AB3" w14:paraId="0B0F07C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003CB4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1526</w:t>
            </w:r>
          </w:p>
        </w:tc>
        <w:tc>
          <w:tcPr>
            <w:tcW w:w="705" w:type="pct"/>
            <w:tcBorders>
              <w:top w:val="nil"/>
              <w:left w:val="nil"/>
              <w:bottom w:val="single" w:sz="4" w:space="0" w:color="auto"/>
              <w:right w:val="single" w:sz="4" w:space="0" w:color="auto"/>
            </w:tcBorders>
            <w:shd w:val="clear" w:color="auto" w:fill="auto"/>
            <w:noWrap/>
            <w:vAlign w:val="center"/>
            <w:hideMark/>
          </w:tcPr>
          <w:p w14:paraId="2C997B5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1121715000</w:t>
            </w:r>
          </w:p>
        </w:tc>
        <w:tc>
          <w:tcPr>
            <w:tcW w:w="547" w:type="pct"/>
            <w:tcBorders>
              <w:top w:val="nil"/>
              <w:left w:val="nil"/>
              <w:bottom w:val="single" w:sz="4" w:space="0" w:color="auto"/>
              <w:right w:val="single" w:sz="4" w:space="0" w:color="auto"/>
            </w:tcBorders>
            <w:shd w:val="clear" w:color="auto" w:fill="auto"/>
            <w:noWrap/>
            <w:vAlign w:val="center"/>
            <w:hideMark/>
          </w:tcPr>
          <w:p w14:paraId="171CB23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11690151</w:t>
            </w:r>
          </w:p>
        </w:tc>
        <w:tc>
          <w:tcPr>
            <w:tcW w:w="3360" w:type="pct"/>
            <w:tcBorders>
              <w:top w:val="nil"/>
              <w:left w:val="nil"/>
              <w:bottom w:val="single" w:sz="4" w:space="0" w:color="auto"/>
              <w:right w:val="single" w:sz="4" w:space="0" w:color="auto"/>
            </w:tcBorders>
            <w:shd w:val="clear" w:color="auto" w:fill="auto"/>
            <w:vAlign w:val="center"/>
            <w:hideMark/>
          </w:tcPr>
          <w:p w14:paraId="42ECA1F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PARK ŠKOCJANSKE JAME, SLOVENIJA</w:t>
            </w:r>
          </w:p>
        </w:tc>
      </w:tr>
      <w:tr w:rsidR="00E3750C" w:rsidRPr="00415AB3" w14:paraId="000E901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AA9C9C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1527</w:t>
            </w:r>
          </w:p>
        </w:tc>
        <w:tc>
          <w:tcPr>
            <w:tcW w:w="705" w:type="pct"/>
            <w:tcBorders>
              <w:top w:val="nil"/>
              <w:left w:val="nil"/>
              <w:bottom w:val="single" w:sz="4" w:space="0" w:color="auto"/>
              <w:right w:val="single" w:sz="4" w:space="0" w:color="auto"/>
            </w:tcBorders>
            <w:shd w:val="clear" w:color="auto" w:fill="auto"/>
            <w:noWrap/>
            <w:vAlign w:val="center"/>
            <w:hideMark/>
          </w:tcPr>
          <w:p w14:paraId="3EB001B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5051614000</w:t>
            </w:r>
          </w:p>
        </w:tc>
        <w:tc>
          <w:tcPr>
            <w:tcW w:w="547" w:type="pct"/>
            <w:tcBorders>
              <w:top w:val="nil"/>
              <w:left w:val="nil"/>
              <w:bottom w:val="single" w:sz="4" w:space="0" w:color="auto"/>
              <w:right w:val="single" w:sz="4" w:space="0" w:color="auto"/>
            </w:tcBorders>
            <w:shd w:val="clear" w:color="auto" w:fill="auto"/>
            <w:noWrap/>
            <w:vAlign w:val="center"/>
            <w:hideMark/>
          </w:tcPr>
          <w:p w14:paraId="013E721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68705093</w:t>
            </w:r>
          </w:p>
        </w:tc>
        <w:tc>
          <w:tcPr>
            <w:tcW w:w="3360" w:type="pct"/>
            <w:tcBorders>
              <w:top w:val="nil"/>
              <w:left w:val="nil"/>
              <w:bottom w:val="single" w:sz="4" w:space="0" w:color="auto"/>
              <w:right w:val="single" w:sz="4" w:space="0" w:color="auto"/>
            </w:tcBorders>
            <w:shd w:val="clear" w:color="auto" w:fill="auto"/>
            <w:vAlign w:val="center"/>
            <w:hideMark/>
          </w:tcPr>
          <w:p w14:paraId="53ABC76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PEDAGOŠKI INŠTITUT</w:t>
            </w:r>
          </w:p>
        </w:tc>
      </w:tr>
      <w:tr w:rsidR="00E3750C" w:rsidRPr="00415AB3" w14:paraId="4C6F164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9BAB27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1528</w:t>
            </w:r>
          </w:p>
        </w:tc>
        <w:tc>
          <w:tcPr>
            <w:tcW w:w="705" w:type="pct"/>
            <w:tcBorders>
              <w:top w:val="nil"/>
              <w:left w:val="nil"/>
              <w:bottom w:val="single" w:sz="4" w:space="0" w:color="auto"/>
              <w:right w:val="single" w:sz="4" w:space="0" w:color="auto"/>
            </w:tcBorders>
            <w:shd w:val="clear" w:color="auto" w:fill="auto"/>
            <w:noWrap/>
            <w:vAlign w:val="center"/>
            <w:hideMark/>
          </w:tcPr>
          <w:p w14:paraId="1A5CB56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1434284000</w:t>
            </w:r>
          </w:p>
        </w:tc>
        <w:tc>
          <w:tcPr>
            <w:tcW w:w="547" w:type="pct"/>
            <w:tcBorders>
              <w:top w:val="nil"/>
              <w:left w:val="nil"/>
              <w:bottom w:val="single" w:sz="4" w:space="0" w:color="auto"/>
              <w:right w:val="single" w:sz="4" w:space="0" w:color="auto"/>
            </w:tcBorders>
            <w:shd w:val="clear" w:color="auto" w:fill="auto"/>
            <w:noWrap/>
            <w:vAlign w:val="center"/>
            <w:hideMark/>
          </w:tcPr>
          <w:p w14:paraId="71A9014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66707790</w:t>
            </w:r>
          </w:p>
        </w:tc>
        <w:tc>
          <w:tcPr>
            <w:tcW w:w="3360" w:type="pct"/>
            <w:tcBorders>
              <w:top w:val="nil"/>
              <w:left w:val="nil"/>
              <w:bottom w:val="single" w:sz="4" w:space="0" w:color="auto"/>
              <w:right w:val="single" w:sz="4" w:space="0" w:color="auto"/>
            </w:tcBorders>
            <w:shd w:val="clear" w:color="auto" w:fill="auto"/>
            <w:vAlign w:val="center"/>
            <w:hideMark/>
          </w:tcPr>
          <w:p w14:paraId="7BA38D4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PILONOVA GALERIJA AJDOVŠČINA</w:t>
            </w:r>
          </w:p>
        </w:tc>
      </w:tr>
      <w:tr w:rsidR="00E3750C" w:rsidRPr="00415AB3" w14:paraId="3ECF6C7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CB6CB5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1529</w:t>
            </w:r>
          </w:p>
        </w:tc>
        <w:tc>
          <w:tcPr>
            <w:tcW w:w="705" w:type="pct"/>
            <w:tcBorders>
              <w:top w:val="nil"/>
              <w:left w:val="nil"/>
              <w:bottom w:val="single" w:sz="4" w:space="0" w:color="auto"/>
              <w:right w:val="single" w:sz="4" w:space="0" w:color="auto"/>
            </w:tcBorders>
            <w:shd w:val="clear" w:color="auto" w:fill="auto"/>
            <w:noWrap/>
            <w:vAlign w:val="center"/>
            <w:hideMark/>
          </w:tcPr>
          <w:p w14:paraId="6BA43DE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5056012000</w:t>
            </w:r>
          </w:p>
        </w:tc>
        <w:tc>
          <w:tcPr>
            <w:tcW w:w="547" w:type="pct"/>
            <w:tcBorders>
              <w:top w:val="nil"/>
              <w:left w:val="nil"/>
              <w:bottom w:val="single" w:sz="4" w:space="0" w:color="auto"/>
              <w:right w:val="single" w:sz="4" w:space="0" w:color="auto"/>
            </w:tcBorders>
            <w:shd w:val="clear" w:color="auto" w:fill="auto"/>
            <w:noWrap/>
            <w:vAlign w:val="center"/>
            <w:hideMark/>
          </w:tcPr>
          <w:p w14:paraId="16E854B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80961223</w:t>
            </w:r>
          </w:p>
        </w:tc>
        <w:tc>
          <w:tcPr>
            <w:tcW w:w="3360" w:type="pct"/>
            <w:tcBorders>
              <w:top w:val="nil"/>
              <w:left w:val="nil"/>
              <w:bottom w:val="single" w:sz="4" w:space="0" w:color="auto"/>
              <w:right w:val="single" w:sz="4" w:space="0" w:color="auto"/>
            </w:tcBorders>
            <w:shd w:val="clear" w:color="auto" w:fill="auto"/>
            <w:vAlign w:val="center"/>
            <w:hideMark/>
          </w:tcPr>
          <w:p w14:paraId="6A078D9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PIONIRSKI DOM - CENTER ZA KULTURO MLADIH</w:t>
            </w:r>
          </w:p>
        </w:tc>
      </w:tr>
      <w:tr w:rsidR="00E3750C" w:rsidRPr="00415AB3" w14:paraId="6CB57CC4"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67FE05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1530</w:t>
            </w:r>
          </w:p>
        </w:tc>
        <w:tc>
          <w:tcPr>
            <w:tcW w:w="705" w:type="pct"/>
            <w:tcBorders>
              <w:top w:val="nil"/>
              <w:left w:val="nil"/>
              <w:bottom w:val="single" w:sz="4" w:space="0" w:color="auto"/>
              <w:right w:val="single" w:sz="4" w:space="0" w:color="auto"/>
            </w:tcBorders>
            <w:shd w:val="clear" w:color="auto" w:fill="auto"/>
            <w:noWrap/>
            <w:vAlign w:val="center"/>
            <w:hideMark/>
          </w:tcPr>
          <w:p w14:paraId="62CDAF9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5034477000</w:t>
            </w:r>
          </w:p>
        </w:tc>
        <w:tc>
          <w:tcPr>
            <w:tcW w:w="547" w:type="pct"/>
            <w:tcBorders>
              <w:top w:val="nil"/>
              <w:left w:val="nil"/>
              <w:bottom w:val="single" w:sz="4" w:space="0" w:color="auto"/>
              <w:right w:val="single" w:sz="4" w:space="0" w:color="auto"/>
            </w:tcBorders>
            <w:shd w:val="clear" w:color="auto" w:fill="auto"/>
            <w:noWrap/>
            <w:vAlign w:val="center"/>
            <w:hideMark/>
          </w:tcPr>
          <w:p w14:paraId="07D6DD4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12048852</w:t>
            </w:r>
          </w:p>
        </w:tc>
        <w:tc>
          <w:tcPr>
            <w:tcW w:w="3360" w:type="pct"/>
            <w:tcBorders>
              <w:top w:val="nil"/>
              <w:left w:val="nil"/>
              <w:bottom w:val="single" w:sz="4" w:space="0" w:color="auto"/>
              <w:right w:val="single" w:sz="4" w:space="0" w:color="auto"/>
            </w:tcBorders>
            <w:shd w:val="clear" w:color="auto" w:fill="auto"/>
            <w:vAlign w:val="center"/>
            <w:hideMark/>
          </w:tcPr>
          <w:p w14:paraId="58F2911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PLINARNA MARIBOR DRUŽBA ZA PROIZVODNJO, DISTRIBUCIJO ENERGENTOV, TRGOVINO IN STORITVE D.O.O.</w:t>
            </w:r>
          </w:p>
        </w:tc>
      </w:tr>
      <w:tr w:rsidR="00E3750C" w:rsidRPr="00415AB3" w14:paraId="1DEEF06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98061B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1531</w:t>
            </w:r>
          </w:p>
        </w:tc>
        <w:tc>
          <w:tcPr>
            <w:tcW w:w="705" w:type="pct"/>
            <w:tcBorders>
              <w:top w:val="nil"/>
              <w:left w:val="nil"/>
              <w:bottom w:val="single" w:sz="4" w:space="0" w:color="auto"/>
              <w:right w:val="single" w:sz="4" w:space="0" w:color="auto"/>
            </w:tcBorders>
            <w:shd w:val="clear" w:color="auto" w:fill="auto"/>
            <w:noWrap/>
            <w:vAlign w:val="center"/>
            <w:hideMark/>
          </w:tcPr>
          <w:p w14:paraId="1D32774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8005621000</w:t>
            </w:r>
          </w:p>
        </w:tc>
        <w:tc>
          <w:tcPr>
            <w:tcW w:w="547" w:type="pct"/>
            <w:tcBorders>
              <w:top w:val="nil"/>
              <w:left w:val="nil"/>
              <w:bottom w:val="single" w:sz="4" w:space="0" w:color="auto"/>
              <w:right w:val="single" w:sz="4" w:space="0" w:color="auto"/>
            </w:tcBorders>
            <w:shd w:val="clear" w:color="auto" w:fill="auto"/>
            <w:noWrap/>
            <w:vAlign w:val="center"/>
            <w:hideMark/>
          </w:tcPr>
          <w:p w14:paraId="34170D6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69856826</w:t>
            </w:r>
          </w:p>
        </w:tc>
        <w:tc>
          <w:tcPr>
            <w:tcW w:w="3360" w:type="pct"/>
            <w:tcBorders>
              <w:top w:val="nil"/>
              <w:left w:val="nil"/>
              <w:bottom w:val="single" w:sz="4" w:space="0" w:color="auto"/>
              <w:right w:val="single" w:sz="4" w:space="0" w:color="auto"/>
            </w:tcBorders>
            <w:shd w:val="clear" w:color="auto" w:fill="auto"/>
            <w:vAlign w:val="center"/>
            <w:hideMark/>
          </w:tcPr>
          <w:p w14:paraId="7368FE4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PLINHOLD, UPRAVLJANJE PLINSKE INFRASTRUKTURE, D.O.O.</w:t>
            </w:r>
          </w:p>
        </w:tc>
      </w:tr>
      <w:tr w:rsidR="00E3750C" w:rsidRPr="00415AB3" w14:paraId="60951C8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289BC1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1532</w:t>
            </w:r>
          </w:p>
        </w:tc>
        <w:tc>
          <w:tcPr>
            <w:tcW w:w="705" w:type="pct"/>
            <w:tcBorders>
              <w:top w:val="nil"/>
              <w:left w:val="nil"/>
              <w:bottom w:val="single" w:sz="4" w:space="0" w:color="auto"/>
              <w:right w:val="single" w:sz="4" w:space="0" w:color="auto"/>
            </w:tcBorders>
            <w:shd w:val="clear" w:color="auto" w:fill="auto"/>
            <w:noWrap/>
            <w:vAlign w:val="center"/>
            <w:hideMark/>
          </w:tcPr>
          <w:p w14:paraId="2901B74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1954288000</w:t>
            </w:r>
          </w:p>
        </w:tc>
        <w:tc>
          <w:tcPr>
            <w:tcW w:w="547" w:type="pct"/>
            <w:tcBorders>
              <w:top w:val="nil"/>
              <w:left w:val="nil"/>
              <w:bottom w:val="single" w:sz="4" w:space="0" w:color="auto"/>
              <w:right w:val="single" w:sz="4" w:space="0" w:color="auto"/>
            </w:tcBorders>
            <w:shd w:val="clear" w:color="auto" w:fill="auto"/>
            <w:noWrap/>
            <w:vAlign w:val="center"/>
            <w:hideMark/>
          </w:tcPr>
          <w:p w14:paraId="41E1725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31378285</w:t>
            </w:r>
          </w:p>
        </w:tc>
        <w:tc>
          <w:tcPr>
            <w:tcW w:w="3360" w:type="pct"/>
            <w:tcBorders>
              <w:top w:val="nil"/>
              <w:left w:val="nil"/>
              <w:bottom w:val="single" w:sz="4" w:space="0" w:color="auto"/>
              <w:right w:val="single" w:sz="4" w:space="0" w:color="auto"/>
            </w:tcBorders>
            <w:shd w:val="clear" w:color="auto" w:fill="auto"/>
            <w:vAlign w:val="center"/>
            <w:hideMark/>
          </w:tcPr>
          <w:p w14:paraId="00EB5E8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PLINOVODI, DRUŽBA ZA UPRAVLJANJE S PRENOSNIM SISTEMOM, D.O.O.</w:t>
            </w:r>
          </w:p>
        </w:tc>
      </w:tr>
      <w:tr w:rsidR="00E3750C" w:rsidRPr="00415AB3" w14:paraId="152B7AFE"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373700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1533</w:t>
            </w:r>
          </w:p>
        </w:tc>
        <w:tc>
          <w:tcPr>
            <w:tcW w:w="705" w:type="pct"/>
            <w:tcBorders>
              <w:top w:val="nil"/>
              <w:left w:val="nil"/>
              <w:bottom w:val="single" w:sz="4" w:space="0" w:color="auto"/>
              <w:right w:val="single" w:sz="4" w:space="0" w:color="auto"/>
            </w:tcBorders>
            <w:shd w:val="clear" w:color="auto" w:fill="auto"/>
            <w:noWrap/>
            <w:vAlign w:val="center"/>
            <w:hideMark/>
          </w:tcPr>
          <w:p w14:paraId="0E9EC3A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3397785000</w:t>
            </w:r>
          </w:p>
        </w:tc>
        <w:tc>
          <w:tcPr>
            <w:tcW w:w="547" w:type="pct"/>
            <w:tcBorders>
              <w:top w:val="nil"/>
              <w:left w:val="nil"/>
              <w:bottom w:val="single" w:sz="4" w:space="0" w:color="auto"/>
              <w:right w:val="single" w:sz="4" w:space="0" w:color="auto"/>
            </w:tcBorders>
            <w:shd w:val="clear" w:color="auto" w:fill="auto"/>
            <w:noWrap/>
            <w:vAlign w:val="center"/>
            <w:hideMark/>
          </w:tcPr>
          <w:p w14:paraId="7BC5574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36173673</w:t>
            </w:r>
          </w:p>
        </w:tc>
        <w:tc>
          <w:tcPr>
            <w:tcW w:w="3360" w:type="pct"/>
            <w:tcBorders>
              <w:top w:val="nil"/>
              <w:left w:val="nil"/>
              <w:bottom w:val="single" w:sz="4" w:space="0" w:color="auto"/>
              <w:right w:val="single" w:sz="4" w:space="0" w:color="auto"/>
            </w:tcBorders>
            <w:shd w:val="clear" w:color="auto" w:fill="auto"/>
            <w:vAlign w:val="center"/>
            <w:hideMark/>
          </w:tcPr>
          <w:p w14:paraId="5CB1342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PODJETNIŠKI INKUBATOR KOČEVJE, JAVNI ZAVOD ZA PODJETNIŠTVO, IZOBRAŽEVANJE IN DRUGE DEJAVNOSTI</w:t>
            </w:r>
          </w:p>
        </w:tc>
      </w:tr>
      <w:tr w:rsidR="00E3750C" w:rsidRPr="00415AB3" w14:paraId="780CFEF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01A112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1534</w:t>
            </w:r>
          </w:p>
        </w:tc>
        <w:tc>
          <w:tcPr>
            <w:tcW w:w="705" w:type="pct"/>
            <w:tcBorders>
              <w:top w:val="nil"/>
              <w:left w:val="nil"/>
              <w:bottom w:val="single" w:sz="4" w:space="0" w:color="auto"/>
              <w:right w:val="single" w:sz="4" w:space="0" w:color="auto"/>
            </w:tcBorders>
            <w:shd w:val="clear" w:color="auto" w:fill="auto"/>
            <w:noWrap/>
            <w:vAlign w:val="center"/>
            <w:hideMark/>
          </w:tcPr>
          <w:p w14:paraId="4311E05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5067928000</w:t>
            </w:r>
          </w:p>
        </w:tc>
        <w:tc>
          <w:tcPr>
            <w:tcW w:w="547" w:type="pct"/>
            <w:tcBorders>
              <w:top w:val="nil"/>
              <w:left w:val="nil"/>
              <w:bottom w:val="single" w:sz="4" w:space="0" w:color="auto"/>
              <w:right w:val="single" w:sz="4" w:space="0" w:color="auto"/>
            </w:tcBorders>
            <w:shd w:val="clear" w:color="auto" w:fill="auto"/>
            <w:noWrap/>
            <w:vAlign w:val="center"/>
            <w:hideMark/>
          </w:tcPr>
          <w:p w14:paraId="1FD7254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51546132</w:t>
            </w:r>
          </w:p>
        </w:tc>
        <w:tc>
          <w:tcPr>
            <w:tcW w:w="3360" w:type="pct"/>
            <w:tcBorders>
              <w:top w:val="nil"/>
              <w:left w:val="nil"/>
              <w:bottom w:val="single" w:sz="4" w:space="0" w:color="auto"/>
              <w:right w:val="single" w:sz="4" w:space="0" w:color="auto"/>
            </w:tcBorders>
            <w:shd w:val="clear" w:color="auto" w:fill="auto"/>
            <w:vAlign w:val="center"/>
            <w:hideMark/>
          </w:tcPr>
          <w:p w14:paraId="1BBE8BF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POGREBNO PODJETJE MARIBOR, JAVNO PODJETJE, D.O.O.</w:t>
            </w:r>
          </w:p>
        </w:tc>
      </w:tr>
      <w:tr w:rsidR="00E3750C" w:rsidRPr="00415AB3" w14:paraId="6EF18AA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59D267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1535</w:t>
            </w:r>
          </w:p>
        </w:tc>
        <w:tc>
          <w:tcPr>
            <w:tcW w:w="705" w:type="pct"/>
            <w:tcBorders>
              <w:top w:val="nil"/>
              <w:left w:val="nil"/>
              <w:bottom w:val="single" w:sz="4" w:space="0" w:color="auto"/>
              <w:right w:val="single" w:sz="4" w:space="0" w:color="auto"/>
            </w:tcBorders>
            <w:shd w:val="clear" w:color="auto" w:fill="auto"/>
            <w:noWrap/>
            <w:vAlign w:val="center"/>
            <w:hideMark/>
          </w:tcPr>
          <w:p w14:paraId="18D95EA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5016193000</w:t>
            </w:r>
          </w:p>
        </w:tc>
        <w:tc>
          <w:tcPr>
            <w:tcW w:w="547" w:type="pct"/>
            <w:tcBorders>
              <w:top w:val="nil"/>
              <w:left w:val="nil"/>
              <w:bottom w:val="single" w:sz="4" w:space="0" w:color="auto"/>
              <w:right w:val="single" w:sz="4" w:space="0" w:color="auto"/>
            </w:tcBorders>
            <w:shd w:val="clear" w:color="auto" w:fill="auto"/>
            <w:noWrap/>
            <w:vAlign w:val="center"/>
            <w:hideMark/>
          </w:tcPr>
          <w:p w14:paraId="6610E1B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45289522</w:t>
            </w:r>
          </w:p>
        </w:tc>
        <w:tc>
          <w:tcPr>
            <w:tcW w:w="3360" w:type="pct"/>
            <w:tcBorders>
              <w:top w:val="nil"/>
              <w:left w:val="nil"/>
              <w:bottom w:val="single" w:sz="4" w:space="0" w:color="auto"/>
              <w:right w:val="single" w:sz="4" w:space="0" w:color="auto"/>
            </w:tcBorders>
            <w:shd w:val="clear" w:color="auto" w:fill="auto"/>
            <w:vAlign w:val="center"/>
            <w:hideMark/>
          </w:tcPr>
          <w:p w14:paraId="30B01A6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POKLICNA GASILSKA ENOTA CELJE</w:t>
            </w:r>
          </w:p>
        </w:tc>
      </w:tr>
      <w:tr w:rsidR="00E3750C" w:rsidRPr="00415AB3" w14:paraId="19937B1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360189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1536</w:t>
            </w:r>
          </w:p>
        </w:tc>
        <w:tc>
          <w:tcPr>
            <w:tcW w:w="705" w:type="pct"/>
            <w:tcBorders>
              <w:top w:val="nil"/>
              <w:left w:val="nil"/>
              <w:bottom w:val="single" w:sz="4" w:space="0" w:color="auto"/>
              <w:right w:val="single" w:sz="4" w:space="0" w:color="auto"/>
            </w:tcBorders>
            <w:shd w:val="clear" w:color="auto" w:fill="auto"/>
            <w:noWrap/>
            <w:vAlign w:val="center"/>
            <w:hideMark/>
          </w:tcPr>
          <w:p w14:paraId="589BDAB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5274168000</w:t>
            </w:r>
          </w:p>
        </w:tc>
        <w:tc>
          <w:tcPr>
            <w:tcW w:w="547" w:type="pct"/>
            <w:tcBorders>
              <w:top w:val="nil"/>
              <w:left w:val="nil"/>
              <w:bottom w:val="single" w:sz="4" w:space="0" w:color="auto"/>
              <w:right w:val="single" w:sz="4" w:space="0" w:color="auto"/>
            </w:tcBorders>
            <w:shd w:val="clear" w:color="auto" w:fill="auto"/>
            <w:noWrap/>
            <w:vAlign w:val="center"/>
            <w:hideMark/>
          </w:tcPr>
          <w:p w14:paraId="6E23002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87639815</w:t>
            </w:r>
          </w:p>
        </w:tc>
        <w:tc>
          <w:tcPr>
            <w:tcW w:w="3360" w:type="pct"/>
            <w:tcBorders>
              <w:top w:val="nil"/>
              <w:left w:val="nil"/>
              <w:bottom w:val="single" w:sz="4" w:space="0" w:color="auto"/>
              <w:right w:val="single" w:sz="4" w:space="0" w:color="auto"/>
            </w:tcBorders>
            <w:shd w:val="clear" w:color="auto" w:fill="auto"/>
            <w:vAlign w:val="center"/>
            <w:hideMark/>
          </w:tcPr>
          <w:p w14:paraId="4FCA28F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POKLICNA GASILSKA ENOTA KRŠKO</w:t>
            </w:r>
          </w:p>
        </w:tc>
      </w:tr>
      <w:tr w:rsidR="00E3750C" w:rsidRPr="00415AB3" w14:paraId="2F4F42B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9E684B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1537</w:t>
            </w:r>
          </w:p>
        </w:tc>
        <w:tc>
          <w:tcPr>
            <w:tcW w:w="705" w:type="pct"/>
            <w:tcBorders>
              <w:top w:val="nil"/>
              <w:left w:val="nil"/>
              <w:bottom w:val="single" w:sz="4" w:space="0" w:color="auto"/>
              <w:right w:val="single" w:sz="4" w:space="0" w:color="auto"/>
            </w:tcBorders>
            <w:shd w:val="clear" w:color="auto" w:fill="auto"/>
            <w:noWrap/>
            <w:vAlign w:val="center"/>
            <w:hideMark/>
          </w:tcPr>
          <w:p w14:paraId="2B7D318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5676274000</w:t>
            </w:r>
          </w:p>
        </w:tc>
        <w:tc>
          <w:tcPr>
            <w:tcW w:w="547" w:type="pct"/>
            <w:tcBorders>
              <w:top w:val="nil"/>
              <w:left w:val="nil"/>
              <w:bottom w:val="single" w:sz="4" w:space="0" w:color="auto"/>
              <w:right w:val="single" w:sz="4" w:space="0" w:color="auto"/>
            </w:tcBorders>
            <w:shd w:val="clear" w:color="auto" w:fill="auto"/>
            <w:noWrap/>
            <w:vAlign w:val="center"/>
            <w:hideMark/>
          </w:tcPr>
          <w:p w14:paraId="7CE1B67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18974961</w:t>
            </w:r>
          </w:p>
        </w:tc>
        <w:tc>
          <w:tcPr>
            <w:tcW w:w="3360" w:type="pct"/>
            <w:tcBorders>
              <w:top w:val="nil"/>
              <w:left w:val="nil"/>
              <w:bottom w:val="single" w:sz="4" w:space="0" w:color="auto"/>
              <w:right w:val="single" w:sz="4" w:space="0" w:color="auto"/>
            </w:tcBorders>
            <w:shd w:val="clear" w:color="auto" w:fill="auto"/>
            <w:vAlign w:val="center"/>
            <w:hideMark/>
          </w:tcPr>
          <w:p w14:paraId="7A2317A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POKRAJINSKA IN ŠTUDIJSKA KNJIŽNICA MURSKA SOBOTA</w:t>
            </w:r>
          </w:p>
        </w:tc>
      </w:tr>
      <w:tr w:rsidR="00E3750C" w:rsidRPr="00415AB3" w14:paraId="7ABF72B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EBEAF9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1538</w:t>
            </w:r>
          </w:p>
        </w:tc>
        <w:tc>
          <w:tcPr>
            <w:tcW w:w="705" w:type="pct"/>
            <w:tcBorders>
              <w:top w:val="nil"/>
              <w:left w:val="nil"/>
              <w:bottom w:val="single" w:sz="4" w:space="0" w:color="auto"/>
              <w:right w:val="single" w:sz="4" w:space="0" w:color="auto"/>
            </w:tcBorders>
            <w:shd w:val="clear" w:color="auto" w:fill="auto"/>
            <w:noWrap/>
            <w:vAlign w:val="center"/>
            <w:hideMark/>
          </w:tcPr>
          <w:p w14:paraId="4461D55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5051975000</w:t>
            </w:r>
          </w:p>
        </w:tc>
        <w:tc>
          <w:tcPr>
            <w:tcW w:w="547" w:type="pct"/>
            <w:tcBorders>
              <w:top w:val="nil"/>
              <w:left w:val="nil"/>
              <w:bottom w:val="single" w:sz="4" w:space="0" w:color="auto"/>
              <w:right w:val="single" w:sz="4" w:space="0" w:color="auto"/>
            </w:tcBorders>
            <w:shd w:val="clear" w:color="auto" w:fill="auto"/>
            <w:noWrap/>
            <w:vAlign w:val="center"/>
            <w:hideMark/>
          </w:tcPr>
          <w:p w14:paraId="7841727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89089782</w:t>
            </w:r>
          </w:p>
        </w:tc>
        <w:tc>
          <w:tcPr>
            <w:tcW w:w="3360" w:type="pct"/>
            <w:tcBorders>
              <w:top w:val="nil"/>
              <w:left w:val="nil"/>
              <w:bottom w:val="single" w:sz="4" w:space="0" w:color="auto"/>
              <w:right w:val="single" w:sz="4" w:space="0" w:color="auto"/>
            </w:tcBorders>
            <w:shd w:val="clear" w:color="auto" w:fill="auto"/>
            <w:vAlign w:val="center"/>
            <w:hideMark/>
          </w:tcPr>
          <w:p w14:paraId="01D2457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POKRAJINSKI ARHIV KOPER</w:t>
            </w:r>
          </w:p>
        </w:tc>
      </w:tr>
      <w:tr w:rsidR="00E3750C" w:rsidRPr="00415AB3" w14:paraId="0BBCC4A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DA1C9A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1539</w:t>
            </w:r>
          </w:p>
        </w:tc>
        <w:tc>
          <w:tcPr>
            <w:tcW w:w="705" w:type="pct"/>
            <w:tcBorders>
              <w:top w:val="nil"/>
              <w:left w:val="nil"/>
              <w:bottom w:val="single" w:sz="4" w:space="0" w:color="auto"/>
              <w:right w:val="single" w:sz="4" w:space="0" w:color="auto"/>
            </w:tcBorders>
            <w:shd w:val="clear" w:color="auto" w:fill="auto"/>
            <w:noWrap/>
            <w:vAlign w:val="center"/>
            <w:hideMark/>
          </w:tcPr>
          <w:p w14:paraId="62C2DCE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5057183000</w:t>
            </w:r>
          </w:p>
        </w:tc>
        <w:tc>
          <w:tcPr>
            <w:tcW w:w="547" w:type="pct"/>
            <w:tcBorders>
              <w:top w:val="nil"/>
              <w:left w:val="nil"/>
              <w:bottom w:val="single" w:sz="4" w:space="0" w:color="auto"/>
              <w:right w:val="single" w:sz="4" w:space="0" w:color="auto"/>
            </w:tcBorders>
            <w:shd w:val="clear" w:color="auto" w:fill="auto"/>
            <w:noWrap/>
            <w:vAlign w:val="center"/>
            <w:hideMark/>
          </w:tcPr>
          <w:p w14:paraId="68A212D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68464193</w:t>
            </w:r>
          </w:p>
        </w:tc>
        <w:tc>
          <w:tcPr>
            <w:tcW w:w="3360" w:type="pct"/>
            <w:tcBorders>
              <w:top w:val="nil"/>
              <w:left w:val="nil"/>
              <w:bottom w:val="single" w:sz="4" w:space="0" w:color="auto"/>
              <w:right w:val="single" w:sz="4" w:space="0" w:color="auto"/>
            </w:tcBorders>
            <w:shd w:val="clear" w:color="auto" w:fill="auto"/>
            <w:vAlign w:val="center"/>
            <w:hideMark/>
          </w:tcPr>
          <w:p w14:paraId="2CBA8CE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POKRAJINSKI ARHIV MARIBOR</w:t>
            </w:r>
          </w:p>
        </w:tc>
      </w:tr>
      <w:tr w:rsidR="00E3750C" w:rsidRPr="00415AB3" w14:paraId="6A0FD39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3D1E84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1540</w:t>
            </w:r>
          </w:p>
        </w:tc>
        <w:tc>
          <w:tcPr>
            <w:tcW w:w="705" w:type="pct"/>
            <w:tcBorders>
              <w:top w:val="nil"/>
              <w:left w:val="nil"/>
              <w:bottom w:val="single" w:sz="4" w:space="0" w:color="auto"/>
              <w:right w:val="single" w:sz="4" w:space="0" w:color="auto"/>
            </w:tcBorders>
            <w:shd w:val="clear" w:color="auto" w:fill="auto"/>
            <w:noWrap/>
            <w:vAlign w:val="center"/>
            <w:hideMark/>
          </w:tcPr>
          <w:p w14:paraId="06C7E36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5051819000</w:t>
            </w:r>
          </w:p>
        </w:tc>
        <w:tc>
          <w:tcPr>
            <w:tcW w:w="547" w:type="pct"/>
            <w:tcBorders>
              <w:top w:val="nil"/>
              <w:left w:val="nil"/>
              <w:bottom w:val="single" w:sz="4" w:space="0" w:color="auto"/>
              <w:right w:val="single" w:sz="4" w:space="0" w:color="auto"/>
            </w:tcBorders>
            <w:shd w:val="clear" w:color="auto" w:fill="auto"/>
            <w:noWrap/>
            <w:vAlign w:val="center"/>
            <w:hideMark/>
          </w:tcPr>
          <w:p w14:paraId="3D6C8FF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94566895</w:t>
            </w:r>
          </w:p>
        </w:tc>
        <w:tc>
          <w:tcPr>
            <w:tcW w:w="3360" w:type="pct"/>
            <w:tcBorders>
              <w:top w:val="nil"/>
              <w:left w:val="nil"/>
              <w:bottom w:val="single" w:sz="4" w:space="0" w:color="auto"/>
              <w:right w:val="single" w:sz="4" w:space="0" w:color="auto"/>
            </w:tcBorders>
            <w:shd w:val="clear" w:color="auto" w:fill="auto"/>
            <w:vAlign w:val="center"/>
            <w:hideMark/>
          </w:tcPr>
          <w:p w14:paraId="08DB8F2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POKRAJINSKI MUZEJ CELJE</w:t>
            </w:r>
          </w:p>
        </w:tc>
      </w:tr>
      <w:tr w:rsidR="00E3750C" w:rsidRPr="00415AB3" w14:paraId="0B1E298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C35FEF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1541</w:t>
            </w:r>
          </w:p>
        </w:tc>
        <w:tc>
          <w:tcPr>
            <w:tcW w:w="705" w:type="pct"/>
            <w:tcBorders>
              <w:top w:val="nil"/>
              <w:left w:val="nil"/>
              <w:bottom w:val="single" w:sz="4" w:space="0" w:color="auto"/>
              <w:right w:val="single" w:sz="4" w:space="0" w:color="auto"/>
            </w:tcBorders>
            <w:shd w:val="clear" w:color="auto" w:fill="auto"/>
            <w:noWrap/>
            <w:vAlign w:val="center"/>
            <w:hideMark/>
          </w:tcPr>
          <w:p w14:paraId="3E82DD7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5051932000</w:t>
            </w:r>
          </w:p>
        </w:tc>
        <w:tc>
          <w:tcPr>
            <w:tcW w:w="547" w:type="pct"/>
            <w:tcBorders>
              <w:top w:val="nil"/>
              <w:left w:val="nil"/>
              <w:bottom w:val="single" w:sz="4" w:space="0" w:color="auto"/>
              <w:right w:val="single" w:sz="4" w:space="0" w:color="auto"/>
            </w:tcBorders>
            <w:shd w:val="clear" w:color="auto" w:fill="auto"/>
            <w:noWrap/>
            <w:vAlign w:val="center"/>
            <w:hideMark/>
          </w:tcPr>
          <w:p w14:paraId="3D75E2D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91629438</w:t>
            </w:r>
          </w:p>
        </w:tc>
        <w:tc>
          <w:tcPr>
            <w:tcW w:w="3360" w:type="pct"/>
            <w:tcBorders>
              <w:top w:val="nil"/>
              <w:left w:val="nil"/>
              <w:bottom w:val="single" w:sz="4" w:space="0" w:color="auto"/>
              <w:right w:val="single" w:sz="4" w:space="0" w:color="auto"/>
            </w:tcBorders>
            <w:shd w:val="clear" w:color="auto" w:fill="auto"/>
            <w:vAlign w:val="center"/>
            <w:hideMark/>
          </w:tcPr>
          <w:p w14:paraId="6E8BFAB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POKRAJINSKI MUZEJ KOPER, MUSEO REGIONALE DI CAPODISTRIA</w:t>
            </w:r>
          </w:p>
        </w:tc>
      </w:tr>
      <w:tr w:rsidR="00E3750C" w:rsidRPr="00415AB3" w14:paraId="2E51A4C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F2CF5C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1542</w:t>
            </w:r>
          </w:p>
        </w:tc>
        <w:tc>
          <w:tcPr>
            <w:tcW w:w="705" w:type="pct"/>
            <w:tcBorders>
              <w:top w:val="nil"/>
              <w:left w:val="nil"/>
              <w:bottom w:val="single" w:sz="4" w:space="0" w:color="auto"/>
              <w:right w:val="single" w:sz="4" w:space="0" w:color="auto"/>
            </w:tcBorders>
            <w:shd w:val="clear" w:color="auto" w:fill="auto"/>
            <w:noWrap/>
            <w:vAlign w:val="center"/>
            <w:hideMark/>
          </w:tcPr>
          <w:p w14:paraId="1ADE31F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5055920000</w:t>
            </w:r>
          </w:p>
        </w:tc>
        <w:tc>
          <w:tcPr>
            <w:tcW w:w="547" w:type="pct"/>
            <w:tcBorders>
              <w:top w:val="nil"/>
              <w:left w:val="nil"/>
              <w:bottom w:val="single" w:sz="4" w:space="0" w:color="auto"/>
              <w:right w:val="single" w:sz="4" w:space="0" w:color="auto"/>
            </w:tcBorders>
            <w:shd w:val="clear" w:color="auto" w:fill="auto"/>
            <w:noWrap/>
            <w:vAlign w:val="center"/>
            <w:hideMark/>
          </w:tcPr>
          <w:p w14:paraId="59303DB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24100978</w:t>
            </w:r>
          </w:p>
        </w:tc>
        <w:tc>
          <w:tcPr>
            <w:tcW w:w="3360" w:type="pct"/>
            <w:tcBorders>
              <w:top w:val="nil"/>
              <w:left w:val="nil"/>
              <w:bottom w:val="single" w:sz="4" w:space="0" w:color="auto"/>
              <w:right w:val="single" w:sz="4" w:space="0" w:color="auto"/>
            </w:tcBorders>
            <w:shd w:val="clear" w:color="auto" w:fill="auto"/>
            <w:vAlign w:val="center"/>
            <w:hideMark/>
          </w:tcPr>
          <w:p w14:paraId="2ABCF6B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POKRAJINSKI MUZEJ MARIBOR</w:t>
            </w:r>
          </w:p>
        </w:tc>
      </w:tr>
      <w:tr w:rsidR="00E3750C" w:rsidRPr="00415AB3" w14:paraId="67BEDE5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D2AEEB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1543</w:t>
            </w:r>
          </w:p>
        </w:tc>
        <w:tc>
          <w:tcPr>
            <w:tcW w:w="705" w:type="pct"/>
            <w:tcBorders>
              <w:top w:val="nil"/>
              <w:left w:val="nil"/>
              <w:bottom w:val="single" w:sz="4" w:space="0" w:color="auto"/>
              <w:right w:val="single" w:sz="4" w:space="0" w:color="auto"/>
            </w:tcBorders>
            <w:shd w:val="clear" w:color="auto" w:fill="auto"/>
            <w:noWrap/>
            <w:vAlign w:val="center"/>
            <w:hideMark/>
          </w:tcPr>
          <w:p w14:paraId="4313969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5052823000</w:t>
            </w:r>
          </w:p>
        </w:tc>
        <w:tc>
          <w:tcPr>
            <w:tcW w:w="547" w:type="pct"/>
            <w:tcBorders>
              <w:top w:val="nil"/>
              <w:left w:val="nil"/>
              <w:bottom w:val="single" w:sz="4" w:space="0" w:color="auto"/>
              <w:right w:val="single" w:sz="4" w:space="0" w:color="auto"/>
            </w:tcBorders>
            <w:shd w:val="clear" w:color="auto" w:fill="auto"/>
            <w:noWrap/>
            <w:vAlign w:val="center"/>
            <w:hideMark/>
          </w:tcPr>
          <w:p w14:paraId="6185626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89285492</w:t>
            </w:r>
          </w:p>
        </w:tc>
        <w:tc>
          <w:tcPr>
            <w:tcW w:w="3360" w:type="pct"/>
            <w:tcBorders>
              <w:top w:val="nil"/>
              <w:left w:val="nil"/>
              <w:bottom w:val="single" w:sz="4" w:space="0" w:color="auto"/>
              <w:right w:val="single" w:sz="4" w:space="0" w:color="auto"/>
            </w:tcBorders>
            <w:shd w:val="clear" w:color="auto" w:fill="auto"/>
            <w:vAlign w:val="center"/>
            <w:hideMark/>
          </w:tcPr>
          <w:p w14:paraId="551D7FD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POKRAJINSKI MUZEJ PTUJ - ORMOŽ</w:t>
            </w:r>
          </w:p>
        </w:tc>
      </w:tr>
      <w:tr w:rsidR="00E3750C" w:rsidRPr="00415AB3" w14:paraId="74FD9C8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065352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1544</w:t>
            </w:r>
          </w:p>
        </w:tc>
        <w:tc>
          <w:tcPr>
            <w:tcW w:w="705" w:type="pct"/>
            <w:tcBorders>
              <w:top w:val="nil"/>
              <w:left w:val="nil"/>
              <w:bottom w:val="single" w:sz="4" w:space="0" w:color="auto"/>
              <w:right w:val="single" w:sz="4" w:space="0" w:color="auto"/>
            </w:tcBorders>
            <w:shd w:val="clear" w:color="auto" w:fill="auto"/>
            <w:noWrap/>
            <w:vAlign w:val="center"/>
            <w:hideMark/>
          </w:tcPr>
          <w:p w14:paraId="65B603A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5688680000</w:t>
            </w:r>
          </w:p>
        </w:tc>
        <w:tc>
          <w:tcPr>
            <w:tcW w:w="547" w:type="pct"/>
            <w:tcBorders>
              <w:top w:val="nil"/>
              <w:left w:val="nil"/>
              <w:bottom w:val="single" w:sz="4" w:space="0" w:color="auto"/>
              <w:right w:val="single" w:sz="4" w:space="0" w:color="auto"/>
            </w:tcBorders>
            <w:shd w:val="clear" w:color="auto" w:fill="auto"/>
            <w:noWrap/>
            <w:vAlign w:val="center"/>
            <w:hideMark/>
          </w:tcPr>
          <w:p w14:paraId="12B7AEC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16657543</w:t>
            </w:r>
          </w:p>
        </w:tc>
        <w:tc>
          <w:tcPr>
            <w:tcW w:w="3360" w:type="pct"/>
            <w:tcBorders>
              <w:top w:val="nil"/>
              <w:left w:val="nil"/>
              <w:bottom w:val="single" w:sz="4" w:space="0" w:color="auto"/>
              <w:right w:val="single" w:sz="4" w:space="0" w:color="auto"/>
            </w:tcBorders>
            <w:shd w:val="clear" w:color="auto" w:fill="auto"/>
            <w:vAlign w:val="center"/>
            <w:hideMark/>
          </w:tcPr>
          <w:p w14:paraId="2BB90B9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POLHOGRAJSKA GRAŠČINA</w:t>
            </w:r>
          </w:p>
        </w:tc>
      </w:tr>
      <w:tr w:rsidR="00E3750C" w:rsidRPr="00415AB3" w14:paraId="22B2736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069F11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1545</w:t>
            </w:r>
          </w:p>
        </w:tc>
        <w:tc>
          <w:tcPr>
            <w:tcW w:w="705" w:type="pct"/>
            <w:tcBorders>
              <w:top w:val="nil"/>
              <w:left w:val="nil"/>
              <w:bottom w:val="single" w:sz="4" w:space="0" w:color="auto"/>
              <w:right w:val="single" w:sz="4" w:space="0" w:color="auto"/>
            </w:tcBorders>
            <w:shd w:val="clear" w:color="auto" w:fill="auto"/>
            <w:noWrap/>
            <w:vAlign w:val="center"/>
            <w:hideMark/>
          </w:tcPr>
          <w:p w14:paraId="3B53768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5052238000</w:t>
            </w:r>
          </w:p>
        </w:tc>
        <w:tc>
          <w:tcPr>
            <w:tcW w:w="547" w:type="pct"/>
            <w:tcBorders>
              <w:top w:val="nil"/>
              <w:left w:val="nil"/>
              <w:bottom w:val="single" w:sz="4" w:space="0" w:color="auto"/>
              <w:right w:val="single" w:sz="4" w:space="0" w:color="auto"/>
            </w:tcBorders>
            <w:shd w:val="clear" w:color="auto" w:fill="auto"/>
            <w:noWrap/>
            <w:vAlign w:val="center"/>
            <w:hideMark/>
          </w:tcPr>
          <w:p w14:paraId="0BF7954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19410735</w:t>
            </w:r>
          </w:p>
        </w:tc>
        <w:tc>
          <w:tcPr>
            <w:tcW w:w="3360" w:type="pct"/>
            <w:tcBorders>
              <w:top w:val="nil"/>
              <w:left w:val="nil"/>
              <w:bottom w:val="single" w:sz="4" w:space="0" w:color="auto"/>
              <w:right w:val="single" w:sz="4" w:space="0" w:color="auto"/>
            </w:tcBorders>
            <w:shd w:val="clear" w:color="auto" w:fill="auto"/>
            <w:vAlign w:val="center"/>
            <w:hideMark/>
          </w:tcPr>
          <w:p w14:paraId="3425A18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POMORSKI MUZEJ PIRAN</w:t>
            </w:r>
          </w:p>
        </w:tc>
      </w:tr>
      <w:tr w:rsidR="00E3750C" w:rsidRPr="00415AB3" w14:paraId="0ED69C5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301716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1546</w:t>
            </w:r>
          </w:p>
        </w:tc>
        <w:tc>
          <w:tcPr>
            <w:tcW w:w="705" w:type="pct"/>
            <w:tcBorders>
              <w:top w:val="nil"/>
              <w:left w:val="nil"/>
              <w:bottom w:val="single" w:sz="4" w:space="0" w:color="auto"/>
              <w:right w:val="single" w:sz="4" w:space="0" w:color="auto"/>
            </w:tcBorders>
            <w:shd w:val="clear" w:color="auto" w:fill="auto"/>
            <w:noWrap/>
            <w:vAlign w:val="center"/>
            <w:hideMark/>
          </w:tcPr>
          <w:p w14:paraId="596897D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5782384000</w:t>
            </w:r>
          </w:p>
        </w:tc>
        <w:tc>
          <w:tcPr>
            <w:tcW w:w="547" w:type="pct"/>
            <w:tcBorders>
              <w:top w:val="nil"/>
              <w:left w:val="nil"/>
              <w:bottom w:val="single" w:sz="4" w:space="0" w:color="auto"/>
              <w:right w:val="single" w:sz="4" w:space="0" w:color="auto"/>
            </w:tcBorders>
            <w:shd w:val="clear" w:color="auto" w:fill="auto"/>
            <w:noWrap/>
            <w:vAlign w:val="center"/>
            <w:hideMark/>
          </w:tcPr>
          <w:p w14:paraId="1C95227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79384820</w:t>
            </w:r>
          </w:p>
        </w:tc>
        <w:tc>
          <w:tcPr>
            <w:tcW w:w="3360" w:type="pct"/>
            <w:tcBorders>
              <w:top w:val="nil"/>
              <w:left w:val="nil"/>
              <w:bottom w:val="single" w:sz="4" w:space="0" w:color="auto"/>
              <w:right w:val="single" w:sz="4" w:space="0" w:color="auto"/>
            </w:tcBorders>
            <w:shd w:val="clear" w:color="auto" w:fill="auto"/>
            <w:vAlign w:val="center"/>
            <w:hideMark/>
          </w:tcPr>
          <w:p w14:paraId="2058EF0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POMURSKA MADŽARSKA SAMOUPRAVNA NARODNA SKUPNOST</w:t>
            </w:r>
          </w:p>
        </w:tc>
      </w:tr>
      <w:tr w:rsidR="00E3750C" w:rsidRPr="00415AB3" w14:paraId="71E8250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A37687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1547</w:t>
            </w:r>
          </w:p>
        </w:tc>
        <w:tc>
          <w:tcPr>
            <w:tcW w:w="705" w:type="pct"/>
            <w:tcBorders>
              <w:top w:val="nil"/>
              <w:left w:val="nil"/>
              <w:bottom w:val="single" w:sz="4" w:space="0" w:color="auto"/>
              <w:right w:val="single" w:sz="4" w:space="0" w:color="auto"/>
            </w:tcBorders>
            <w:shd w:val="clear" w:color="auto" w:fill="auto"/>
            <w:noWrap/>
            <w:vAlign w:val="center"/>
            <w:hideMark/>
          </w:tcPr>
          <w:p w14:paraId="1AAEF73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5054516000</w:t>
            </w:r>
          </w:p>
        </w:tc>
        <w:tc>
          <w:tcPr>
            <w:tcW w:w="547" w:type="pct"/>
            <w:tcBorders>
              <w:top w:val="nil"/>
              <w:left w:val="nil"/>
              <w:bottom w:val="single" w:sz="4" w:space="0" w:color="auto"/>
              <w:right w:val="single" w:sz="4" w:space="0" w:color="auto"/>
            </w:tcBorders>
            <w:shd w:val="clear" w:color="auto" w:fill="auto"/>
            <w:noWrap/>
            <w:vAlign w:val="center"/>
            <w:hideMark/>
          </w:tcPr>
          <w:p w14:paraId="454FDBD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96617756</w:t>
            </w:r>
          </w:p>
        </w:tc>
        <w:tc>
          <w:tcPr>
            <w:tcW w:w="3360" w:type="pct"/>
            <w:tcBorders>
              <w:top w:val="nil"/>
              <w:left w:val="nil"/>
              <w:bottom w:val="single" w:sz="4" w:space="0" w:color="auto"/>
              <w:right w:val="single" w:sz="4" w:space="0" w:color="auto"/>
            </w:tcBorders>
            <w:shd w:val="clear" w:color="auto" w:fill="auto"/>
            <w:vAlign w:val="center"/>
            <w:hideMark/>
          </w:tcPr>
          <w:p w14:paraId="23B1AA8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POMURSKE LEKARNE MURSKA SOBOTA</w:t>
            </w:r>
          </w:p>
        </w:tc>
      </w:tr>
      <w:tr w:rsidR="00E3750C" w:rsidRPr="00415AB3" w14:paraId="6CA00D9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1E186E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1548</w:t>
            </w:r>
          </w:p>
        </w:tc>
        <w:tc>
          <w:tcPr>
            <w:tcW w:w="705" w:type="pct"/>
            <w:tcBorders>
              <w:top w:val="nil"/>
              <w:left w:val="nil"/>
              <w:bottom w:val="single" w:sz="4" w:space="0" w:color="auto"/>
              <w:right w:val="single" w:sz="4" w:space="0" w:color="auto"/>
            </w:tcBorders>
            <w:shd w:val="clear" w:color="auto" w:fill="auto"/>
            <w:noWrap/>
            <w:vAlign w:val="center"/>
            <w:hideMark/>
          </w:tcPr>
          <w:p w14:paraId="74008A5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5676282000</w:t>
            </w:r>
          </w:p>
        </w:tc>
        <w:tc>
          <w:tcPr>
            <w:tcW w:w="547" w:type="pct"/>
            <w:tcBorders>
              <w:top w:val="nil"/>
              <w:left w:val="nil"/>
              <w:bottom w:val="single" w:sz="4" w:space="0" w:color="auto"/>
              <w:right w:val="single" w:sz="4" w:space="0" w:color="auto"/>
            </w:tcBorders>
            <w:shd w:val="clear" w:color="auto" w:fill="auto"/>
            <w:noWrap/>
            <w:vAlign w:val="center"/>
            <w:hideMark/>
          </w:tcPr>
          <w:p w14:paraId="53C8A17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57725845</w:t>
            </w:r>
          </w:p>
        </w:tc>
        <w:tc>
          <w:tcPr>
            <w:tcW w:w="3360" w:type="pct"/>
            <w:tcBorders>
              <w:top w:val="nil"/>
              <w:left w:val="nil"/>
              <w:bottom w:val="single" w:sz="4" w:space="0" w:color="auto"/>
              <w:right w:val="single" w:sz="4" w:space="0" w:color="auto"/>
            </w:tcBorders>
            <w:shd w:val="clear" w:color="auto" w:fill="auto"/>
            <w:vAlign w:val="center"/>
            <w:hideMark/>
          </w:tcPr>
          <w:p w14:paraId="52E66AE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POMURSKI MUZEJ MURSKA SOBOTA</w:t>
            </w:r>
          </w:p>
        </w:tc>
      </w:tr>
      <w:tr w:rsidR="00E3750C" w:rsidRPr="00415AB3" w14:paraId="61E4380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33716E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1549</w:t>
            </w:r>
          </w:p>
        </w:tc>
        <w:tc>
          <w:tcPr>
            <w:tcW w:w="705" w:type="pct"/>
            <w:tcBorders>
              <w:top w:val="nil"/>
              <w:left w:val="nil"/>
              <w:bottom w:val="single" w:sz="4" w:space="0" w:color="auto"/>
              <w:right w:val="single" w:sz="4" w:space="0" w:color="auto"/>
            </w:tcBorders>
            <w:shd w:val="clear" w:color="auto" w:fill="auto"/>
            <w:noWrap/>
            <w:vAlign w:val="center"/>
            <w:hideMark/>
          </w:tcPr>
          <w:p w14:paraId="03757D4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1414933000</w:t>
            </w:r>
          </w:p>
        </w:tc>
        <w:tc>
          <w:tcPr>
            <w:tcW w:w="547" w:type="pct"/>
            <w:tcBorders>
              <w:top w:val="nil"/>
              <w:left w:val="nil"/>
              <w:bottom w:val="single" w:sz="4" w:space="0" w:color="auto"/>
              <w:right w:val="single" w:sz="4" w:space="0" w:color="auto"/>
            </w:tcBorders>
            <w:shd w:val="clear" w:color="auto" w:fill="auto"/>
            <w:noWrap/>
            <w:vAlign w:val="center"/>
            <w:hideMark/>
          </w:tcPr>
          <w:p w14:paraId="4D5491F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32155425</w:t>
            </w:r>
          </w:p>
        </w:tc>
        <w:tc>
          <w:tcPr>
            <w:tcW w:w="3360" w:type="pct"/>
            <w:tcBorders>
              <w:top w:val="nil"/>
              <w:left w:val="nil"/>
              <w:bottom w:val="single" w:sz="4" w:space="0" w:color="auto"/>
              <w:right w:val="single" w:sz="4" w:space="0" w:color="auto"/>
            </w:tcBorders>
            <w:shd w:val="clear" w:color="auto" w:fill="auto"/>
            <w:vAlign w:val="center"/>
            <w:hideMark/>
          </w:tcPr>
          <w:p w14:paraId="40719EC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POSOŠKI RAZVOJNI CENTER</w:t>
            </w:r>
          </w:p>
        </w:tc>
      </w:tr>
      <w:tr w:rsidR="00E3750C" w:rsidRPr="00415AB3" w14:paraId="6A07E9D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B45CC7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1550</w:t>
            </w:r>
          </w:p>
        </w:tc>
        <w:tc>
          <w:tcPr>
            <w:tcW w:w="705" w:type="pct"/>
            <w:tcBorders>
              <w:top w:val="nil"/>
              <w:left w:val="nil"/>
              <w:bottom w:val="single" w:sz="4" w:space="0" w:color="auto"/>
              <w:right w:val="single" w:sz="4" w:space="0" w:color="auto"/>
            </w:tcBorders>
            <w:shd w:val="clear" w:color="auto" w:fill="auto"/>
            <w:noWrap/>
            <w:vAlign w:val="center"/>
            <w:hideMark/>
          </w:tcPr>
          <w:p w14:paraId="0FC2CBD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5981751000</w:t>
            </w:r>
          </w:p>
        </w:tc>
        <w:tc>
          <w:tcPr>
            <w:tcW w:w="547" w:type="pct"/>
            <w:tcBorders>
              <w:top w:val="nil"/>
              <w:left w:val="nil"/>
              <w:bottom w:val="single" w:sz="4" w:space="0" w:color="auto"/>
              <w:right w:val="single" w:sz="4" w:space="0" w:color="auto"/>
            </w:tcBorders>
            <w:shd w:val="clear" w:color="auto" w:fill="auto"/>
            <w:noWrap/>
            <w:vAlign w:val="center"/>
            <w:hideMark/>
          </w:tcPr>
          <w:p w14:paraId="3F13280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99965941</w:t>
            </w:r>
          </w:p>
        </w:tc>
        <w:tc>
          <w:tcPr>
            <w:tcW w:w="3360" w:type="pct"/>
            <w:tcBorders>
              <w:top w:val="nil"/>
              <w:left w:val="nil"/>
              <w:bottom w:val="single" w:sz="4" w:space="0" w:color="auto"/>
              <w:right w:val="single" w:sz="4" w:space="0" w:color="auto"/>
            </w:tcBorders>
            <w:shd w:val="clear" w:color="auto" w:fill="auto"/>
            <w:vAlign w:val="center"/>
            <w:hideMark/>
          </w:tcPr>
          <w:p w14:paraId="5CF2CF4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POSVETOVALNICA ZA UČENCE IN STARŠE NOVO MESTO</w:t>
            </w:r>
          </w:p>
        </w:tc>
      </w:tr>
      <w:tr w:rsidR="00E3750C" w:rsidRPr="00415AB3" w14:paraId="451CE7E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CA26BF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1551</w:t>
            </w:r>
          </w:p>
        </w:tc>
        <w:tc>
          <w:tcPr>
            <w:tcW w:w="705" w:type="pct"/>
            <w:tcBorders>
              <w:top w:val="nil"/>
              <w:left w:val="nil"/>
              <w:bottom w:val="single" w:sz="4" w:space="0" w:color="auto"/>
              <w:right w:val="single" w:sz="4" w:space="0" w:color="auto"/>
            </w:tcBorders>
            <w:shd w:val="clear" w:color="auto" w:fill="auto"/>
            <w:noWrap/>
            <w:vAlign w:val="center"/>
            <w:hideMark/>
          </w:tcPr>
          <w:p w14:paraId="0E13D50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5881447000</w:t>
            </w:r>
          </w:p>
        </w:tc>
        <w:tc>
          <w:tcPr>
            <w:tcW w:w="547" w:type="pct"/>
            <w:tcBorders>
              <w:top w:val="nil"/>
              <w:left w:val="nil"/>
              <w:bottom w:val="single" w:sz="4" w:space="0" w:color="auto"/>
              <w:right w:val="single" w:sz="4" w:space="0" w:color="auto"/>
            </w:tcBorders>
            <w:shd w:val="clear" w:color="auto" w:fill="auto"/>
            <w:noWrap/>
            <w:vAlign w:val="center"/>
            <w:hideMark/>
          </w:tcPr>
          <w:p w14:paraId="29E0CE5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25028022</w:t>
            </w:r>
          </w:p>
        </w:tc>
        <w:tc>
          <w:tcPr>
            <w:tcW w:w="3360" w:type="pct"/>
            <w:tcBorders>
              <w:top w:val="nil"/>
              <w:left w:val="nil"/>
              <w:bottom w:val="single" w:sz="4" w:space="0" w:color="auto"/>
              <w:right w:val="single" w:sz="4" w:space="0" w:color="auto"/>
            </w:tcBorders>
            <w:shd w:val="clear" w:color="auto" w:fill="auto"/>
            <w:vAlign w:val="center"/>
            <w:hideMark/>
          </w:tcPr>
          <w:p w14:paraId="3058435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POŠTA SLOVENIJE D.O.O.</w:t>
            </w:r>
          </w:p>
        </w:tc>
      </w:tr>
      <w:tr w:rsidR="00E3750C" w:rsidRPr="00415AB3" w14:paraId="75625CE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0F96DB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1552</w:t>
            </w:r>
          </w:p>
        </w:tc>
        <w:tc>
          <w:tcPr>
            <w:tcW w:w="705" w:type="pct"/>
            <w:tcBorders>
              <w:top w:val="nil"/>
              <w:left w:val="nil"/>
              <w:bottom w:val="single" w:sz="4" w:space="0" w:color="auto"/>
              <w:right w:val="single" w:sz="4" w:space="0" w:color="auto"/>
            </w:tcBorders>
            <w:shd w:val="clear" w:color="auto" w:fill="auto"/>
            <w:noWrap/>
            <w:vAlign w:val="center"/>
            <w:hideMark/>
          </w:tcPr>
          <w:p w14:paraId="7BF22B4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5040361000</w:t>
            </w:r>
          </w:p>
        </w:tc>
        <w:tc>
          <w:tcPr>
            <w:tcW w:w="547" w:type="pct"/>
            <w:tcBorders>
              <w:top w:val="nil"/>
              <w:left w:val="nil"/>
              <w:bottom w:val="single" w:sz="4" w:space="0" w:color="auto"/>
              <w:right w:val="single" w:sz="4" w:space="0" w:color="auto"/>
            </w:tcBorders>
            <w:shd w:val="clear" w:color="auto" w:fill="auto"/>
            <w:noWrap/>
            <w:vAlign w:val="center"/>
            <w:hideMark/>
          </w:tcPr>
          <w:p w14:paraId="1472B53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92231217</w:t>
            </w:r>
          </w:p>
        </w:tc>
        <w:tc>
          <w:tcPr>
            <w:tcW w:w="3360" w:type="pct"/>
            <w:tcBorders>
              <w:top w:val="nil"/>
              <w:left w:val="nil"/>
              <w:bottom w:val="single" w:sz="4" w:space="0" w:color="auto"/>
              <w:right w:val="single" w:sz="4" w:space="0" w:color="auto"/>
            </w:tcBorders>
            <w:shd w:val="clear" w:color="auto" w:fill="auto"/>
            <w:vAlign w:val="center"/>
            <w:hideMark/>
          </w:tcPr>
          <w:p w14:paraId="0F9F829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PREMOGOVNIK VELENJE, D.O.O.</w:t>
            </w:r>
          </w:p>
        </w:tc>
      </w:tr>
      <w:tr w:rsidR="00E3750C" w:rsidRPr="00415AB3" w14:paraId="3899C2B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993200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1553</w:t>
            </w:r>
          </w:p>
        </w:tc>
        <w:tc>
          <w:tcPr>
            <w:tcW w:w="705" w:type="pct"/>
            <w:tcBorders>
              <w:top w:val="nil"/>
              <w:left w:val="nil"/>
              <w:bottom w:val="single" w:sz="4" w:space="0" w:color="auto"/>
              <w:right w:val="single" w:sz="4" w:space="0" w:color="auto"/>
            </w:tcBorders>
            <w:shd w:val="clear" w:color="auto" w:fill="auto"/>
            <w:noWrap/>
            <w:vAlign w:val="center"/>
            <w:hideMark/>
          </w:tcPr>
          <w:p w14:paraId="7C3F733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5053153000</w:t>
            </w:r>
          </w:p>
        </w:tc>
        <w:tc>
          <w:tcPr>
            <w:tcW w:w="547" w:type="pct"/>
            <w:tcBorders>
              <w:top w:val="nil"/>
              <w:left w:val="nil"/>
              <w:bottom w:val="single" w:sz="4" w:space="0" w:color="auto"/>
              <w:right w:val="single" w:sz="4" w:space="0" w:color="auto"/>
            </w:tcBorders>
            <w:shd w:val="clear" w:color="auto" w:fill="auto"/>
            <w:noWrap/>
            <w:vAlign w:val="center"/>
            <w:hideMark/>
          </w:tcPr>
          <w:p w14:paraId="29350A2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51413906</w:t>
            </w:r>
          </w:p>
        </w:tc>
        <w:tc>
          <w:tcPr>
            <w:tcW w:w="3360" w:type="pct"/>
            <w:tcBorders>
              <w:top w:val="nil"/>
              <w:left w:val="nil"/>
              <w:bottom w:val="single" w:sz="4" w:space="0" w:color="auto"/>
              <w:right w:val="single" w:sz="4" w:space="0" w:color="auto"/>
            </w:tcBorders>
            <w:shd w:val="clear" w:color="auto" w:fill="auto"/>
            <w:vAlign w:val="center"/>
            <w:hideMark/>
          </w:tcPr>
          <w:p w14:paraId="72D38B7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PREŠERNOVO GLEDALIŠČE KRANJ</w:t>
            </w:r>
          </w:p>
        </w:tc>
      </w:tr>
      <w:tr w:rsidR="00E3750C" w:rsidRPr="00415AB3" w14:paraId="058BD14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DCF13A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1554</w:t>
            </w:r>
          </w:p>
        </w:tc>
        <w:tc>
          <w:tcPr>
            <w:tcW w:w="705" w:type="pct"/>
            <w:tcBorders>
              <w:top w:val="nil"/>
              <w:left w:val="nil"/>
              <w:bottom w:val="single" w:sz="4" w:space="0" w:color="auto"/>
              <w:right w:val="single" w:sz="4" w:space="0" w:color="auto"/>
            </w:tcBorders>
            <w:shd w:val="clear" w:color="auto" w:fill="auto"/>
            <w:noWrap/>
            <w:vAlign w:val="center"/>
            <w:hideMark/>
          </w:tcPr>
          <w:p w14:paraId="0C33056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1491504000</w:t>
            </w:r>
          </w:p>
        </w:tc>
        <w:tc>
          <w:tcPr>
            <w:tcW w:w="547" w:type="pct"/>
            <w:tcBorders>
              <w:top w:val="nil"/>
              <w:left w:val="nil"/>
              <w:bottom w:val="single" w:sz="4" w:space="0" w:color="auto"/>
              <w:right w:val="single" w:sz="4" w:space="0" w:color="auto"/>
            </w:tcBorders>
            <w:shd w:val="clear" w:color="auto" w:fill="auto"/>
            <w:noWrap/>
            <w:vAlign w:val="center"/>
            <w:hideMark/>
          </w:tcPr>
          <w:p w14:paraId="1C64135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44124228</w:t>
            </w:r>
          </w:p>
        </w:tc>
        <w:tc>
          <w:tcPr>
            <w:tcW w:w="3360" w:type="pct"/>
            <w:tcBorders>
              <w:top w:val="nil"/>
              <w:left w:val="nil"/>
              <w:bottom w:val="single" w:sz="4" w:space="0" w:color="auto"/>
              <w:right w:val="single" w:sz="4" w:space="0" w:color="auto"/>
            </w:tcBorders>
            <w:shd w:val="clear" w:color="auto" w:fill="auto"/>
            <w:vAlign w:val="center"/>
            <w:hideMark/>
          </w:tcPr>
          <w:p w14:paraId="4645F9C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PRIMORSKI TEHNOLOŠKI PARK D.O.O.</w:t>
            </w:r>
          </w:p>
        </w:tc>
      </w:tr>
      <w:tr w:rsidR="00E3750C" w:rsidRPr="00415AB3" w14:paraId="15B4FF3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FE7B0E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1555</w:t>
            </w:r>
          </w:p>
        </w:tc>
        <w:tc>
          <w:tcPr>
            <w:tcW w:w="705" w:type="pct"/>
            <w:tcBorders>
              <w:top w:val="nil"/>
              <w:left w:val="nil"/>
              <w:bottom w:val="single" w:sz="4" w:space="0" w:color="auto"/>
              <w:right w:val="single" w:sz="4" w:space="0" w:color="auto"/>
            </w:tcBorders>
            <w:shd w:val="clear" w:color="auto" w:fill="auto"/>
            <w:noWrap/>
            <w:vAlign w:val="center"/>
            <w:hideMark/>
          </w:tcPr>
          <w:p w14:paraId="5679BB1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5052670000</w:t>
            </w:r>
          </w:p>
        </w:tc>
        <w:tc>
          <w:tcPr>
            <w:tcW w:w="547" w:type="pct"/>
            <w:tcBorders>
              <w:top w:val="nil"/>
              <w:left w:val="nil"/>
              <w:bottom w:val="single" w:sz="4" w:space="0" w:color="auto"/>
              <w:right w:val="single" w:sz="4" w:space="0" w:color="auto"/>
            </w:tcBorders>
            <w:shd w:val="clear" w:color="auto" w:fill="auto"/>
            <w:noWrap/>
            <w:vAlign w:val="center"/>
            <w:hideMark/>
          </w:tcPr>
          <w:p w14:paraId="170C791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64821323</w:t>
            </w:r>
          </w:p>
        </w:tc>
        <w:tc>
          <w:tcPr>
            <w:tcW w:w="3360" w:type="pct"/>
            <w:tcBorders>
              <w:top w:val="nil"/>
              <w:left w:val="nil"/>
              <w:bottom w:val="single" w:sz="4" w:space="0" w:color="auto"/>
              <w:right w:val="single" w:sz="4" w:space="0" w:color="auto"/>
            </w:tcBorders>
            <w:shd w:val="clear" w:color="auto" w:fill="auto"/>
            <w:vAlign w:val="center"/>
            <w:hideMark/>
          </w:tcPr>
          <w:p w14:paraId="548F3A1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PRIRODOSLOVNI MUZEJ SLOVENIJE</w:t>
            </w:r>
          </w:p>
        </w:tc>
      </w:tr>
      <w:tr w:rsidR="00E3750C" w:rsidRPr="00415AB3" w14:paraId="64EF959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BAFBFE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1556</w:t>
            </w:r>
          </w:p>
        </w:tc>
        <w:tc>
          <w:tcPr>
            <w:tcW w:w="705" w:type="pct"/>
            <w:tcBorders>
              <w:top w:val="nil"/>
              <w:left w:val="nil"/>
              <w:bottom w:val="single" w:sz="4" w:space="0" w:color="auto"/>
              <w:right w:val="single" w:sz="4" w:space="0" w:color="auto"/>
            </w:tcBorders>
            <w:shd w:val="clear" w:color="auto" w:fill="auto"/>
            <w:noWrap/>
            <w:vAlign w:val="center"/>
            <w:hideMark/>
          </w:tcPr>
          <w:p w14:paraId="0062532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5496365000</w:t>
            </w:r>
          </w:p>
        </w:tc>
        <w:tc>
          <w:tcPr>
            <w:tcW w:w="547" w:type="pct"/>
            <w:tcBorders>
              <w:top w:val="nil"/>
              <w:left w:val="nil"/>
              <w:bottom w:val="single" w:sz="4" w:space="0" w:color="auto"/>
              <w:right w:val="single" w:sz="4" w:space="0" w:color="auto"/>
            </w:tcBorders>
            <w:shd w:val="clear" w:color="auto" w:fill="auto"/>
            <w:noWrap/>
            <w:vAlign w:val="center"/>
            <w:hideMark/>
          </w:tcPr>
          <w:p w14:paraId="571D665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23017236</w:t>
            </w:r>
          </w:p>
        </w:tc>
        <w:tc>
          <w:tcPr>
            <w:tcW w:w="3360" w:type="pct"/>
            <w:tcBorders>
              <w:top w:val="nil"/>
              <w:left w:val="nil"/>
              <w:bottom w:val="single" w:sz="4" w:space="0" w:color="auto"/>
              <w:right w:val="single" w:sz="4" w:space="0" w:color="auto"/>
            </w:tcBorders>
            <w:shd w:val="clear" w:color="auto" w:fill="auto"/>
            <w:vAlign w:val="center"/>
            <w:hideMark/>
          </w:tcPr>
          <w:p w14:paraId="1DEB3F7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PRIZMA PONIKVE, POSEBNI SOCIALNO VARSTVENI ZAVOD</w:t>
            </w:r>
          </w:p>
        </w:tc>
      </w:tr>
      <w:tr w:rsidR="00E3750C" w:rsidRPr="00415AB3" w14:paraId="0373BB9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64BCE3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1557</w:t>
            </w:r>
          </w:p>
        </w:tc>
        <w:tc>
          <w:tcPr>
            <w:tcW w:w="705" w:type="pct"/>
            <w:tcBorders>
              <w:top w:val="nil"/>
              <w:left w:val="nil"/>
              <w:bottom w:val="single" w:sz="4" w:space="0" w:color="auto"/>
              <w:right w:val="single" w:sz="4" w:space="0" w:color="auto"/>
            </w:tcBorders>
            <w:shd w:val="clear" w:color="auto" w:fill="auto"/>
            <w:noWrap/>
            <w:vAlign w:val="center"/>
            <w:hideMark/>
          </w:tcPr>
          <w:p w14:paraId="35335C4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5825962000</w:t>
            </w:r>
          </w:p>
        </w:tc>
        <w:tc>
          <w:tcPr>
            <w:tcW w:w="547" w:type="pct"/>
            <w:tcBorders>
              <w:top w:val="nil"/>
              <w:left w:val="nil"/>
              <w:bottom w:val="single" w:sz="4" w:space="0" w:color="auto"/>
              <w:right w:val="single" w:sz="4" w:space="0" w:color="auto"/>
            </w:tcBorders>
            <w:shd w:val="clear" w:color="auto" w:fill="auto"/>
            <w:noWrap/>
            <w:vAlign w:val="center"/>
            <w:hideMark/>
          </w:tcPr>
          <w:p w14:paraId="0E67645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29798809</w:t>
            </w:r>
          </w:p>
        </w:tc>
        <w:tc>
          <w:tcPr>
            <w:tcW w:w="3360" w:type="pct"/>
            <w:tcBorders>
              <w:top w:val="nil"/>
              <w:left w:val="nil"/>
              <w:bottom w:val="single" w:sz="4" w:space="0" w:color="auto"/>
              <w:right w:val="single" w:sz="4" w:space="0" w:color="auto"/>
            </w:tcBorders>
            <w:shd w:val="clear" w:color="auto" w:fill="auto"/>
            <w:vAlign w:val="center"/>
            <w:hideMark/>
          </w:tcPr>
          <w:p w14:paraId="2F81039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PRLEŠKI ŠTUDENTSKI KLUB</w:t>
            </w:r>
          </w:p>
        </w:tc>
      </w:tr>
      <w:tr w:rsidR="00E3750C" w:rsidRPr="00415AB3" w14:paraId="3EA0A77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9F0030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1558</w:t>
            </w:r>
          </w:p>
        </w:tc>
        <w:tc>
          <w:tcPr>
            <w:tcW w:w="705" w:type="pct"/>
            <w:tcBorders>
              <w:top w:val="nil"/>
              <w:left w:val="nil"/>
              <w:bottom w:val="single" w:sz="4" w:space="0" w:color="auto"/>
              <w:right w:val="single" w:sz="4" w:space="0" w:color="auto"/>
            </w:tcBorders>
            <w:shd w:val="clear" w:color="auto" w:fill="auto"/>
            <w:noWrap/>
            <w:vAlign w:val="center"/>
            <w:hideMark/>
          </w:tcPr>
          <w:p w14:paraId="57B1948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5803918000</w:t>
            </w:r>
          </w:p>
        </w:tc>
        <w:tc>
          <w:tcPr>
            <w:tcW w:w="547" w:type="pct"/>
            <w:tcBorders>
              <w:top w:val="nil"/>
              <w:left w:val="nil"/>
              <w:bottom w:val="single" w:sz="4" w:space="0" w:color="auto"/>
              <w:right w:val="single" w:sz="4" w:space="0" w:color="auto"/>
            </w:tcBorders>
            <w:shd w:val="clear" w:color="auto" w:fill="auto"/>
            <w:noWrap/>
            <w:vAlign w:val="center"/>
            <w:hideMark/>
          </w:tcPr>
          <w:p w14:paraId="529B456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80302157</w:t>
            </w:r>
          </w:p>
        </w:tc>
        <w:tc>
          <w:tcPr>
            <w:tcW w:w="3360" w:type="pct"/>
            <w:tcBorders>
              <w:top w:val="nil"/>
              <w:left w:val="nil"/>
              <w:bottom w:val="single" w:sz="4" w:space="0" w:color="auto"/>
              <w:right w:val="single" w:sz="4" w:space="0" w:color="auto"/>
            </w:tcBorders>
            <w:shd w:val="clear" w:color="auto" w:fill="auto"/>
            <w:vAlign w:val="center"/>
            <w:hideMark/>
          </w:tcPr>
          <w:p w14:paraId="29C3264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PROJEKTNA RAZVOJNA AGENCIJA IN KOMUNIKACIJA D.O.O.</w:t>
            </w:r>
          </w:p>
        </w:tc>
      </w:tr>
      <w:tr w:rsidR="00E3750C" w:rsidRPr="00415AB3" w14:paraId="53255D4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44678F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1559</w:t>
            </w:r>
          </w:p>
        </w:tc>
        <w:tc>
          <w:tcPr>
            <w:tcW w:w="705" w:type="pct"/>
            <w:tcBorders>
              <w:top w:val="nil"/>
              <w:left w:val="nil"/>
              <w:bottom w:val="single" w:sz="4" w:space="0" w:color="auto"/>
              <w:right w:val="single" w:sz="4" w:space="0" w:color="auto"/>
            </w:tcBorders>
            <w:shd w:val="clear" w:color="auto" w:fill="auto"/>
            <w:noWrap/>
            <w:vAlign w:val="center"/>
            <w:hideMark/>
          </w:tcPr>
          <w:p w14:paraId="0E9BA70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5183120000</w:t>
            </w:r>
          </w:p>
        </w:tc>
        <w:tc>
          <w:tcPr>
            <w:tcW w:w="547" w:type="pct"/>
            <w:tcBorders>
              <w:top w:val="nil"/>
              <w:left w:val="nil"/>
              <w:bottom w:val="single" w:sz="4" w:space="0" w:color="auto"/>
              <w:right w:val="single" w:sz="4" w:space="0" w:color="auto"/>
            </w:tcBorders>
            <w:shd w:val="clear" w:color="auto" w:fill="auto"/>
            <w:noWrap/>
            <w:vAlign w:val="center"/>
            <w:hideMark/>
          </w:tcPr>
          <w:p w14:paraId="04635E5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49707728</w:t>
            </w:r>
          </w:p>
        </w:tc>
        <w:tc>
          <w:tcPr>
            <w:tcW w:w="3360" w:type="pct"/>
            <w:tcBorders>
              <w:top w:val="nil"/>
              <w:left w:val="nil"/>
              <w:bottom w:val="single" w:sz="4" w:space="0" w:color="auto"/>
              <w:right w:val="single" w:sz="4" w:space="0" w:color="auto"/>
            </w:tcBorders>
            <w:shd w:val="clear" w:color="auto" w:fill="auto"/>
            <w:vAlign w:val="center"/>
            <w:hideMark/>
          </w:tcPr>
          <w:p w14:paraId="7327A65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PROMETNA ŠOLA MARIBOR</w:t>
            </w:r>
          </w:p>
        </w:tc>
      </w:tr>
      <w:tr w:rsidR="00E3750C" w:rsidRPr="00415AB3" w14:paraId="264557D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B78486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1560</w:t>
            </w:r>
          </w:p>
        </w:tc>
        <w:tc>
          <w:tcPr>
            <w:tcW w:w="705" w:type="pct"/>
            <w:tcBorders>
              <w:top w:val="nil"/>
              <w:left w:val="nil"/>
              <w:bottom w:val="single" w:sz="4" w:space="0" w:color="auto"/>
              <w:right w:val="single" w:sz="4" w:space="0" w:color="auto"/>
            </w:tcBorders>
            <w:shd w:val="clear" w:color="auto" w:fill="auto"/>
            <w:noWrap/>
            <w:vAlign w:val="center"/>
            <w:hideMark/>
          </w:tcPr>
          <w:p w14:paraId="307F836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5674522000</w:t>
            </w:r>
          </w:p>
        </w:tc>
        <w:tc>
          <w:tcPr>
            <w:tcW w:w="547" w:type="pct"/>
            <w:tcBorders>
              <w:top w:val="nil"/>
              <w:left w:val="nil"/>
              <w:bottom w:val="single" w:sz="4" w:space="0" w:color="auto"/>
              <w:right w:val="single" w:sz="4" w:space="0" w:color="auto"/>
            </w:tcBorders>
            <w:shd w:val="clear" w:color="auto" w:fill="auto"/>
            <w:noWrap/>
            <w:vAlign w:val="center"/>
            <w:hideMark/>
          </w:tcPr>
          <w:p w14:paraId="26E1897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34722645</w:t>
            </w:r>
          </w:p>
        </w:tc>
        <w:tc>
          <w:tcPr>
            <w:tcW w:w="3360" w:type="pct"/>
            <w:tcBorders>
              <w:top w:val="nil"/>
              <w:left w:val="nil"/>
              <w:bottom w:val="single" w:sz="4" w:space="0" w:color="auto"/>
              <w:right w:val="single" w:sz="4" w:space="0" w:color="auto"/>
            </w:tcBorders>
            <w:shd w:val="clear" w:color="auto" w:fill="auto"/>
            <w:vAlign w:val="center"/>
            <w:hideMark/>
          </w:tcPr>
          <w:p w14:paraId="3562B1A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 xml:space="preserve">PROMETNI INSTITUT LJUBLJANA D.O.O. </w:t>
            </w:r>
          </w:p>
        </w:tc>
      </w:tr>
      <w:tr w:rsidR="00E3750C" w:rsidRPr="00415AB3" w14:paraId="32DA2D30"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D4696B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73</w:t>
            </w:r>
          </w:p>
        </w:tc>
        <w:tc>
          <w:tcPr>
            <w:tcW w:w="705" w:type="pct"/>
            <w:tcBorders>
              <w:top w:val="nil"/>
              <w:left w:val="nil"/>
              <w:bottom w:val="single" w:sz="4" w:space="0" w:color="auto"/>
              <w:right w:val="single" w:sz="4" w:space="0" w:color="auto"/>
            </w:tcBorders>
            <w:shd w:val="clear" w:color="auto" w:fill="auto"/>
            <w:noWrap/>
            <w:vAlign w:val="center"/>
            <w:hideMark/>
          </w:tcPr>
          <w:p w14:paraId="281191C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2145863000</w:t>
            </w:r>
          </w:p>
        </w:tc>
        <w:tc>
          <w:tcPr>
            <w:tcW w:w="547" w:type="pct"/>
            <w:tcBorders>
              <w:top w:val="nil"/>
              <w:left w:val="nil"/>
              <w:bottom w:val="single" w:sz="4" w:space="0" w:color="auto"/>
              <w:right w:val="single" w:sz="4" w:space="0" w:color="auto"/>
            </w:tcBorders>
            <w:shd w:val="clear" w:color="auto" w:fill="auto"/>
            <w:noWrap/>
            <w:vAlign w:val="center"/>
            <w:hideMark/>
          </w:tcPr>
          <w:p w14:paraId="45122CD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87585995</w:t>
            </w:r>
          </w:p>
        </w:tc>
        <w:tc>
          <w:tcPr>
            <w:tcW w:w="3360" w:type="pct"/>
            <w:tcBorders>
              <w:top w:val="nil"/>
              <w:left w:val="nil"/>
              <w:bottom w:val="single" w:sz="4" w:space="0" w:color="auto"/>
              <w:right w:val="single" w:sz="4" w:space="0" w:color="auto"/>
            </w:tcBorders>
            <w:shd w:val="clear" w:color="auto" w:fill="auto"/>
            <w:vAlign w:val="center"/>
            <w:hideMark/>
          </w:tcPr>
          <w:p w14:paraId="654F6B7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PROMOCIJSKO, KULTURNO, IZOBRAŽEVALNO IN RAZVOJNO ITALIJANSKO SREDIŠČE CARLO COMBI - KOPER</w:t>
            </w:r>
          </w:p>
        </w:tc>
      </w:tr>
      <w:tr w:rsidR="00E3750C" w:rsidRPr="00415AB3" w14:paraId="67C5A58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704616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1561</w:t>
            </w:r>
          </w:p>
        </w:tc>
        <w:tc>
          <w:tcPr>
            <w:tcW w:w="705" w:type="pct"/>
            <w:tcBorders>
              <w:top w:val="nil"/>
              <w:left w:val="nil"/>
              <w:bottom w:val="single" w:sz="4" w:space="0" w:color="auto"/>
              <w:right w:val="single" w:sz="4" w:space="0" w:color="auto"/>
            </w:tcBorders>
            <w:shd w:val="clear" w:color="auto" w:fill="auto"/>
            <w:noWrap/>
            <w:vAlign w:val="center"/>
            <w:hideMark/>
          </w:tcPr>
          <w:p w14:paraId="7E1A8E6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5240581000</w:t>
            </w:r>
          </w:p>
        </w:tc>
        <w:tc>
          <w:tcPr>
            <w:tcW w:w="547" w:type="pct"/>
            <w:tcBorders>
              <w:top w:val="nil"/>
              <w:left w:val="nil"/>
              <w:bottom w:val="single" w:sz="4" w:space="0" w:color="auto"/>
              <w:right w:val="single" w:sz="4" w:space="0" w:color="auto"/>
            </w:tcBorders>
            <w:shd w:val="clear" w:color="auto" w:fill="auto"/>
            <w:noWrap/>
            <w:vAlign w:val="center"/>
            <w:hideMark/>
          </w:tcPr>
          <w:p w14:paraId="5BD4FBC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51311712</w:t>
            </w:r>
          </w:p>
        </w:tc>
        <w:tc>
          <w:tcPr>
            <w:tcW w:w="3360" w:type="pct"/>
            <w:tcBorders>
              <w:top w:val="nil"/>
              <w:left w:val="nil"/>
              <w:bottom w:val="single" w:sz="4" w:space="0" w:color="auto"/>
              <w:right w:val="single" w:sz="4" w:space="0" w:color="auto"/>
            </w:tcBorders>
            <w:shd w:val="clear" w:color="auto" w:fill="auto"/>
            <w:vAlign w:val="center"/>
            <w:hideMark/>
          </w:tcPr>
          <w:p w14:paraId="14CBC15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BABNO POLJE</w:t>
            </w:r>
          </w:p>
        </w:tc>
      </w:tr>
      <w:tr w:rsidR="00E3750C" w:rsidRPr="00415AB3" w14:paraId="628ED96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46B6A2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1562</w:t>
            </w:r>
          </w:p>
        </w:tc>
        <w:tc>
          <w:tcPr>
            <w:tcW w:w="705" w:type="pct"/>
            <w:tcBorders>
              <w:top w:val="nil"/>
              <w:left w:val="nil"/>
              <w:bottom w:val="single" w:sz="4" w:space="0" w:color="auto"/>
              <w:right w:val="single" w:sz="4" w:space="0" w:color="auto"/>
            </w:tcBorders>
            <w:shd w:val="clear" w:color="auto" w:fill="auto"/>
            <w:noWrap/>
            <w:vAlign w:val="center"/>
            <w:hideMark/>
          </w:tcPr>
          <w:p w14:paraId="47D54D8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5245184000</w:t>
            </w:r>
          </w:p>
        </w:tc>
        <w:tc>
          <w:tcPr>
            <w:tcW w:w="547" w:type="pct"/>
            <w:tcBorders>
              <w:top w:val="nil"/>
              <w:left w:val="nil"/>
              <w:bottom w:val="single" w:sz="4" w:space="0" w:color="auto"/>
              <w:right w:val="single" w:sz="4" w:space="0" w:color="auto"/>
            </w:tcBorders>
            <w:shd w:val="clear" w:color="auto" w:fill="auto"/>
            <w:noWrap/>
            <w:vAlign w:val="center"/>
            <w:hideMark/>
          </w:tcPr>
          <w:p w14:paraId="5D0B7C8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94034699</w:t>
            </w:r>
          </w:p>
        </w:tc>
        <w:tc>
          <w:tcPr>
            <w:tcW w:w="3360" w:type="pct"/>
            <w:tcBorders>
              <w:top w:val="nil"/>
              <w:left w:val="nil"/>
              <w:bottom w:val="single" w:sz="4" w:space="0" w:color="auto"/>
              <w:right w:val="single" w:sz="4" w:space="0" w:color="auto"/>
            </w:tcBorders>
            <w:shd w:val="clear" w:color="auto" w:fill="auto"/>
            <w:vAlign w:val="center"/>
            <w:hideMark/>
          </w:tcPr>
          <w:p w14:paraId="1CB4E3A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BEVKE</w:t>
            </w:r>
          </w:p>
        </w:tc>
      </w:tr>
      <w:tr w:rsidR="00E3750C" w:rsidRPr="00415AB3" w14:paraId="046BA02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D3847A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1563</w:t>
            </w:r>
          </w:p>
        </w:tc>
        <w:tc>
          <w:tcPr>
            <w:tcW w:w="705" w:type="pct"/>
            <w:tcBorders>
              <w:top w:val="nil"/>
              <w:left w:val="nil"/>
              <w:bottom w:val="single" w:sz="4" w:space="0" w:color="auto"/>
              <w:right w:val="single" w:sz="4" w:space="0" w:color="auto"/>
            </w:tcBorders>
            <w:shd w:val="clear" w:color="auto" w:fill="auto"/>
            <w:noWrap/>
            <w:vAlign w:val="center"/>
            <w:hideMark/>
          </w:tcPr>
          <w:p w14:paraId="13217A5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5227267000</w:t>
            </w:r>
          </w:p>
        </w:tc>
        <w:tc>
          <w:tcPr>
            <w:tcW w:w="547" w:type="pct"/>
            <w:tcBorders>
              <w:top w:val="nil"/>
              <w:left w:val="nil"/>
              <w:bottom w:val="single" w:sz="4" w:space="0" w:color="auto"/>
              <w:right w:val="single" w:sz="4" w:space="0" w:color="auto"/>
            </w:tcBorders>
            <w:shd w:val="clear" w:color="auto" w:fill="auto"/>
            <w:noWrap/>
            <w:vAlign w:val="center"/>
            <w:hideMark/>
          </w:tcPr>
          <w:p w14:paraId="065FC0B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72131055</w:t>
            </w:r>
          </w:p>
        </w:tc>
        <w:tc>
          <w:tcPr>
            <w:tcW w:w="3360" w:type="pct"/>
            <w:tcBorders>
              <w:top w:val="nil"/>
              <w:left w:val="nil"/>
              <w:bottom w:val="single" w:sz="4" w:space="0" w:color="auto"/>
              <w:right w:val="single" w:sz="4" w:space="0" w:color="auto"/>
            </w:tcBorders>
            <w:shd w:val="clear" w:color="auto" w:fill="auto"/>
            <w:vAlign w:val="center"/>
            <w:hideMark/>
          </w:tcPr>
          <w:p w14:paraId="2271D7A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BIZOVIK</w:t>
            </w:r>
          </w:p>
        </w:tc>
      </w:tr>
      <w:tr w:rsidR="00E3750C" w:rsidRPr="00415AB3" w14:paraId="4F1275C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FEABFC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1564</w:t>
            </w:r>
          </w:p>
        </w:tc>
        <w:tc>
          <w:tcPr>
            <w:tcW w:w="705" w:type="pct"/>
            <w:tcBorders>
              <w:top w:val="nil"/>
              <w:left w:val="nil"/>
              <w:bottom w:val="single" w:sz="4" w:space="0" w:color="auto"/>
              <w:right w:val="single" w:sz="4" w:space="0" w:color="auto"/>
            </w:tcBorders>
            <w:shd w:val="clear" w:color="auto" w:fill="auto"/>
            <w:noWrap/>
            <w:vAlign w:val="center"/>
            <w:hideMark/>
          </w:tcPr>
          <w:p w14:paraId="5BCBC1B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5246407000</w:t>
            </w:r>
          </w:p>
        </w:tc>
        <w:tc>
          <w:tcPr>
            <w:tcW w:w="547" w:type="pct"/>
            <w:tcBorders>
              <w:top w:val="nil"/>
              <w:left w:val="nil"/>
              <w:bottom w:val="single" w:sz="4" w:space="0" w:color="auto"/>
              <w:right w:val="single" w:sz="4" w:space="0" w:color="auto"/>
            </w:tcBorders>
            <w:shd w:val="clear" w:color="auto" w:fill="auto"/>
            <w:noWrap/>
            <w:vAlign w:val="center"/>
            <w:hideMark/>
          </w:tcPr>
          <w:p w14:paraId="32D4029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10446109</w:t>
            </w:r>
          </w:p>
        </w:tc>
        <w:tc>
          <w:tcPr>
            <w:tcW w:w="3360" w:type="pct"/>
            <w:tcBorders>
              <w:top w:val="nil"/>
              <w:left w:val="nil"/>
              <w:bottom w:val="single" w:sz="4" w:space="0" w:color="auto"/>
              <w:right w:val="single" w:sz="4" w:space="0" w:color="auto"/>
            </w:tcBorders>
            <w:shd w:val="clear" w:color="auto" w:fill="auto"/>
            <w:vAlign w:val="center"/>
            <w:hideMark/>
          </w:tcPr>
          <w:p w14:paraId="0A753F8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BREZOVICA PRI BOROVNICI</w:t>
            </w:r>
          </w:p>
        </w:tc>
      </w:tr>
      <w:tr w:rsidR="00E3750C" w:rsidRPr="00415AB3" w14:paraId="681BB3A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23E4B4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1565</w:t>
            </w:r>
          </w:p>
        </w:tc>
        <w:tc>
          <w:tcPr>
            <w:tcW w:w="705" w:type="pct"/>
            <w:tcBorders>
              <w:top w:val="nil"/>
              <w:left w:val="nil"/>
              <w:bottom w:val="single" w:sz="4" w:space="0" w:color="auto"/>
              <w:right w:val="single" w:sz="4" w:space="0" w:color="auto"/>
            </w:tcBorders>
            <w:shd w:val="clear" w:color="auto" w:fill="auto"/>
            <w:noWrap/>
            <w:vAlign w:val="center"/>
            <w:hideMark/>
          </w:tcPr>
          <w:p w14:paraId="7ADAF52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5238200000</w:t>
            </w:r>
          </w:p>
        </w:tc>
        <w:tc>
          <w:tcPr>
            <w:tcW w:w="547" w:type="pct"/>
            <w:tcBorders>
              <w:top w:val="nil"/>
              <w:left w:val="nil"/>
              <w:bottom w:val="single" w:sz="4" w:space="0" w:color="auto"/>
              <w:right w:val="single" w:sz="4" w:space="0" w:color="auto"/>
            </w:tcBorders>
            <w:shd w:val="clear" w:color="auto" w:fill="auto"/>
            <w:noWrap/>
            <w:vAlign w:val="center"/>
            <w:hideMark/>
          </w:tcPr>
          <w:p w14:paraId="3CFAC30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35604077</w:t>
            </w:r>
          </w:p>
        </w:tc>
        <w:tc>
          <w:tcPr>
            <w:tcW w:w="3360" w:type="pct"/>
            <w:tcBorders>
              <w:top w:val="nil"/>
              <w:left w:val="nil"/>
              <w:bottom w:val="single" w:sz="4" w:space="0" w:color="auto"/>
              <w:right w:val="single" w:sz="4" w:space="0" w:color="auto"/>
            </w:tcBorders>
            <w:shd w:val="clear" w:color="auto" w:fill="auto"/>
            <w:vAlign w:val="center"/>
            <w:hideMark/>
          </w:tcPr>
          <w:p w14:paraId="7B1823A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ČRNUČE</w:t>
            </w:r>
          </w:p>
        </w:tc>
      </w:tr>
      <w:tr w:rsidR="00E3750C" w:rsidRPr="00415AB3" w14:paraId="41F4989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9C7D15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1566</w:t>
            </w:r>
          </w:p>
        </w:tc>
        <w:tc>
          <w:tcPr>
            <w:tcW w:w="705" w:type="pct"/>
            <w:tcBorders>
              <w:top w:val="nil"/>
              <w:left w:val="nil"/>
              <w:bottom w:val="single" w:sz="4" w:space="0" w:color="auto"/>
              <w:right w:val="single" w:sz="4" w:space="0" w:color="auto"/>
            </w:tcBorders>
            <w:shd w:val="clear" w:color="auto" w:fill="auto"/>
            <w:noWrap/>
            <w:vAlign w:val="center"/>
            <w:hideMark/>
          </w:tcPr>
          <w:p w14:paraId="51B65E2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5245176000</w:t>
            </w:r>
          </w:p>
        </w:tc>
        <w:tc>
          <w:tcPr>
            <w:tcW w:w="547" w:type="pct"/>
            <w:tcBorders>
              <w:top w:val="nil"/>
              <w:left w:val="nil"/>
              <w:bottom w:val="single" w:sz="4" w:space="0" w:color="auto"/>
              <w:right w:val="single" w:sz="4" w:space="0" w:color="auto"/>
            </w:tcBorders>
            <w:shd w:val="clear" w:color="auto" w:fill="auto"/>
            <w:noWrap/>
            <w:vAlign w:val="center"/>
            <w:hideMark/>
          </w:tcPr>
          <w:p w14:paraId="5C47DC4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47827394</w:t>
            </w:r>
          </w:p>
        </w:tc>
        <w:tc>
          <w:tcPr>
            <w:tcW w:w="3360" w:type="pct"/>
            <w:tcBorders>
              <w:top w:val="nil"/>
              <w:left w:val="nil"/>
              <w:bottom w:val="single" w:sz="4" w:space="0" w:color="auto"/>
              <w:right w:val="single" w:sz="4" w:space="0" w:color="auto"/>
            </w:tcBorders>
            <w:shd w:val="clear" w:color="auto" w:fill="auto"/>
            <w:vAlign w:val="center"/>
            <w:hideMark/>
          </w:tcPr>
          <w:p w14:paraId="4BDB951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DRAVLJE</w:t>
            </w:r>
          </w:p>
        </w:tc>
      </w:tr>
      <w:tr w:rsidR="00E3750C" w:rsidRPr="00415AB3" w14:paraId="3621226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F8F640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1567</w:t>
            </w:r>
          </w:p>
        </w:tc>
        <w:tc>
          <w:tcPr>
            <w:tcW w:w="705" w:type="pct"/>
            <w:tcBorders>
              <w:top w:val="nil"/>
              <w:left w:val="nil"/>
              <w:bottom w:val="single" w:sz="4" w:space="0" w:color="auto"/>
              <w:right w:val="single" w:sz="4" w:space="0" w:color="auto"/>
            </w:tcBorders>
            <w:shd w:val="clear" w:color="auto" w:fill="auto"/>
            <w:noWrap/>
            <w:vAlign w:val="center"/>
            <w:hideMark/>
          </w:tcPr>
          <w:p w14:paraId="1AFE163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5256704000</w:t>
            </w:r>
          </w:p>
        </w:tc>
        <w:tc>
          <w:tcPr>
            <w:tcW w:w="547" w:type="pct"/>
            <w:tcBorders>
              <w:top w:val="nil"/>
              <w:left w:val="nil"/>
              <w:bottom w:val="single" w:sz="4" w:space="0" w:color="auto"/>
              <w:right w:val="single" w:sz="4" w:space="0" w:color="auto"/>
            </w:tcBorders>
            <w:shd w:val="clear" w:color="auto" w:fill="auto"/>
            <w:noWrap/>
            <w:vAlign w:val="center"/>
            <w:hideMark/>
          </w:tcPr>
          <w:p w14:paraId="20A757D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91094810</w:t>
            </w:r>
          </w:p>
        </w:tc>
        <w:tc>
          <w:tcPr>
            <w:tcW w:w="3360" w:type="pct"/>
            <w:tcBorders>
              <w:top w:val="nil"/>
              <w:left w:val="nil"/>
              <w:bottom w:val="single" w:sz="4" w:space="0" w:color="auto"/>
              <w:right w:val="single" w:sz="4" w:space="0" w:color="auto"/>
            </w:tcBorders>
            <w:shd w:val="clear" w:color="auto" w:fill="auto"/>
            <w:vAlign w:val="center"/>
            <w:hideMark/>
          </w:tcPr>
          <w:p w14:paraId="4EE1590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DREŽNICA</w:t>
            </w:r>
          </w:p>
        </w:tc>
      </w:tr>
      <w:tr w:rsidR="00E3750C" w:rsidRPr="00415AB3" w14:paraId="7352DEE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032BB5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1568</w:t>
            </w:r>
          </w:p>
        </w:tc>
        <w:tc>
          <w:tcPr>
            <w:tcW w:w="705" w:type="pct"/>
            <w:tcBorders>
              <w:top w:val="nil"/>
              <w:left w:val="nil"/>
              <w:bottom w:val="single" w:sz="4" w:space="0" w:color="auto"/>
              <w:right w:val="single" w:sz="4" w:space="0" w:color="auto"/>
            </w:tcBorders>
            <w:shd w:val="clear" w:color="auto" w:fill="auto"/>
            <w:noWrap/>
            <w:vAlign w:val="center"/>
            <w:hideMark/>
          </w:tcPr>
          <w:p w14:paraId="2549C93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5135125000</w:t>
            </w:r>
          </w:p>
        </w:tc>
        <w:tc>
          <w:tcPr>
            <w:tcW w:w="547" w:type="pct"/>
            <w:tcBorders>
              <w:top w:val="nil"/>
              <w:left w:val="nil"/>
              <w:bottom w:val="single" w:sz="4" w:space="0" w:color="auto"/>
              <w:right w:val="single" w:sz="4" w:space="0" w:color="auto"/>
            </w:tcBorders>
            <w:shd w:val="clear" w:color="auto" w:fill="auto"/>
            <w:noWrap/>
            <w:vAlign w:val="center"/>
            <w:hideMark/>
          </w:tcPr>
          <w:p w14:paraId="1AB9A0F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47992549</w:t>
            </w:r>
          </w:p>
        </w:tc>
        <w:tc>
          <w:tcPr>
            <w:tcW w:w="3360" w:type="pct"/>
            <w:tcBorders>
              <w:top w:val="nil"/>
              <w:left w:val="nil"/>
              <w:bottom w:val="single" w:sz="4" w:space="0" w:color="auto"/>
              <w:right w:val="single" w:sz="4" w:space="0" w:color="auto"/>
            </w:tcBorders>
            <w:shd w:val="clear" w:color="auto" w:fill="auto"/>
            <w:vAlign w:val="center"/>
            <w:hideMark/>
          </w:tcPr>
          <w:p w14:paraId="5E6211D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GAMELJNE</w:t>
            </w:r>
          </w:p>
        </w:tc>
      </w:tr>
      <w:tr w:rsidR="00E3750C" w:rsidRPr="00415AB3" w14:paraId="6E07E4F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D3D816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1569</w:t>
            </w:r>
          </w:p>
        </w:tc>
        <w:tc>
          <w:tcPr>
            <w:tcW w:w="705" w:type="pct"/>
            <w:tcBorders>
              <w:top w:val="nil"/>
              <w:left w:val="nil"/>
              <w:bottom w:val="single" w:sz="4" w:space="0" w:color="auto"/>
              <w:right w:val="single" w:sz="4" w:space="0" w:color="auto"/>
            </w:tcBorders>
            <w:shd w:val="clear" w:color="auto" w:fill="auto"/>
            <w:noWrap/>
            <w:vAlign w:val="center"/>
            <w:hideMark/>
          </w:tcPr>
          <w:p w14:paraId="4B995B0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5236479000</w:t>
            </w:r>
          </w:p>
        </w:tc>
        <w:tc>
          <w:tcPr>
            <w:tcW w:w="547" w:type="pct"/>
            <w:tcBorders>
              <w:top w:val="nil"/>
              <w:left w:val="nil"/>
              <w:bottom w:val="single" w:sz="4" w:space="0" w:color="auto"/>
              <w:right w:val="single" w:sz="4" w:space="0" w:color="auto"/>
            </w:tcBorders>
            <w:shd w:val="clear" w:color="auto" w:fill="auto"/>
            <w:noWrap/>
            <w:vAlign w:val="center"/>
            <w:hideMark/>
          </w:tcPr>
          <w:p w14:paraId="5546E26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39523233</w:t>
            </w:r>
          </w:p>
        </w:tc>
        <w:tc>
          <w:tcPr>
            <w:tcW w:w="3360" w:type="pct"/>
            <w:tcBorders>
              <w:top w:val="nil"/>
              <w:left w:val="nil"/>
              <w:bottom w:val="single" w:sz="4" w:space="0" w:color="auto"/>
              <w:right w:val="single" w:sz="4" w:space="0" w:color="auto"/>
            </w:tcBorders>
            <w:shd w:val="clear" w:color="auto" w:fill="auto"/>
            <w:vAlign w:val="center"/>
            <w:hideMark/>
          </w:tcPr>
          <w:p w14:paraId="1B67893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GUNCLJE - MALE VIŽMARJE</w:t>
            </w:r>
          </w:p>
        </w:tc>
      </w:tr>
      <w:tr w:rsidR="00E3750C" w:rsidRPr="00415AB3" w14:paraId="4060686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FE887D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1570</w:t>
            </w:r>
          </w:p>
        </w:tc>
        <w:tc>
          <w:tcPr>
            <w:tcW w:w="705" w:type="pct"/>
            <w:tcBorders>
              <w:top w:val="nil"/>
              <w:left w:val="nil"/>
              <w:bottom w:val="single" w:sz="4" w:space="0" w:color="auto"/>
              <w:right w:val="single" w:sz="4" w:space="0" w:color="auto"/>
            </w:tcBorders>
            <w:shd w:val="clear" w:color="auto" w:fill="auto"/>
            <w:noWrap/>
            <w:vAlign w:val="center"/>
            <w:hideMark/>
          </w:tcPr>
          <w:p w14:paraId="56B10DE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5117372000</w:t>
            </w:r>
          </w:p>
        </w:tc>
        <w:tc>
          <w:tcPr>
            <w:tcW w:w="547" w:type="pct"/>
            <w:tcBorders>
              <w:top w:val="nil"/>
              <w:left w:val="nil"/>
              <w:bottom w:val="single" w:sz="4" w:space="0" w:color="auto"/>
              <w:right w:val="single" w:sz="4" w:space="0" w:color="auto"/>
            </w:tcBorders>
            <w:shd w:val="clear" w:color="auto" w:fill="auto"/>
            <w:noWrap/>
            <w:vAlign w:val="center"/>
            <w:hideMark/>
          </w:tcPr>
          <w:p w14:paraId="616FA1A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86976753</w:t>
            </w:r>
          </w:p>
        </w:tc>
        <w:tc>
          <w:tcPr>
            <w:tcW w:w="3360" w:type="pct"/>
            <w:tcBorders>
              <w:top w:val="nil"/>
              <w:left w:val="nil"/>
              <w:bottom w:val="single" w:sz="4" w:space="0" w:color="auto"/>
              <w:right w:val="single" w:sz="4" w:space="0" w:color="auto"/>
            </w:tcBorders>
            <w:shd w:val="clear" w:color="auto" w:fill="auto"/>
            <w:vAlign w:val="center"/>
            <w:hideMark/>
          </w:tcPr>
          <w:p w14:paraId="129A314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IHAN</w:t>
            </w:r>
          </w:p>
        </w:tc>
      </w:tr>
      <w:tr w:rsidR="00E3750C" w:rsidRPr="00415AB3" w14:paraId="7861FE6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D92E0F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1571</w:t>
            </w:r>
          </w:p>
        </w:tc>
        <w:tc>
          <w:tcPr>
            <w:tcW w:w="705" w:type="pct"/>
            <w:tcBorders>
              <w:top w:val="nil"/>
              <w:left w:val="nil"/>
              <w:bottom w:val="single" w:sz="4" w:space="0" w:color="auto"/>
              <w:right w:val="single" w:sz="4" w:space="0" w:color="auto"/>
            </w:tcBorders>
            <w:shd w:val="clear" w:color="auto" w:fill="auto"/>
            <w:noWrap/>
            <w:vAlign w:val="center"/>
            <w:hideMark/>
          </w:tcPr>
          <w:p w14:paraId="16CCFC2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5059852000</w:t>
            </w:r>
          </w:p>
        </w:tc>
        <w:tc>
          <w:tcPr>
            <w:tcW w:w="547" w:type="pct"/>
            <w:tcBorders>
              <w:top w:val="nil"/>
              <w:left w:val="nil"/>
              <w:bottom w:val="single" w:sz="4" w:space="0" w:color="auto"/>
              <w:right w:val="single" w:sz="4" w:space="0" w:color="auto"/>
            </w:tcBorders>
            <w:shd w:val="clear" w:color="auto" w:fill="auto"/>
            <w:noWrap/>
            <w:vAlign w:val="center"/>
            <w:hideMark/>
          </w:tcPr>
          <w:p w14:paraId="50F26C9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34007547</w:t>
            </w:r>
          </w:p>
        </w:tc>
        <w:tc>
          <w:tcPr>
            <w:tcW w:w="3360" w:type="pct"/>
            <w:tcBorders>
              <w:top w:val="nil"/>
              <w:left w:val="nil"/>
              <w:bottom w:val="single" w:sz="4" w:space="0" w:color="auto"/>
              <w:right w:val="single" w:sz="4" w:space="0" w:color="auto"/>
            </w:tcBorders>
            <w:shd w:val="clear" w:color="auto" w:fill="auto"/>
            <w:vAlign w:val="center"/>
            <w:hideMark/>
          </w:tcPr>
          <w:p w14:paraId="7F3D93F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JEZERO</w:t>
            </w:r>
          </w:p>
        </w:tc>
      </w:tr>
      <w:tr w:rsidR="00E3750C" w:rsidRPr="00415AB3" w14:paraId="7BF52F4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26ADFD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1572</w:t>
            </w:r>
          </w:p>
        </w:tc>
        <w:tc>
          <w:tcPr>
            <w:tcW w:w="705" w:type="pct"/>
            <w:tcBorders>
              <w:top w:val="nil"/>
              <w:left w:val="nil"/>
              <w:bottom w:val="single" w:sz="4" w:space="0" w:color="auto"/>
              <w:right w:val="single" w:sz="4" w:space="0" w:color="auto"/>
            </w:tcBorders>
            <w:shd w:val="clear" w:color="auto" w:fill="auto"/>
            <w:noWrap/>
            <w:vAlign w:val="center"/>
            <w:hideMark/>
          </w:tcPr>
          <w:p w14:paraId="3919E3C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5162742000</w:t>
            </w:r>
          </w:p>
        </w:tc>
        <w:tc>
          <w:tcPr>
            <w:tcW w:w="547" w:type="pct"/>
            <w:tcBorders>
              <w:top w:val="nil"/>
              <w:left w:val="nil"/>
              <w:bottom w:val="single" w:sz="4" w:space="0" w:color="auto"/>
              <w:right w:val="single" w:sz="4" w:space="0" w:color="auto"/>
            </w:tcBorders>
            <w:shd w:val="clear" w:color="auto" w:fill="auto"/>
            <w:noWrap/>
            <w:vAlign w:val="center"/>
            <w:hideMark/>
          </w:tcPr>
          <w:p w14:paraId="3144AE6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80339905</w:t>
            </w:r>
          </w:p>
        </w:tc>
        <w:tc>
          <w:tcPr>
            <w:tcW w:w="3360" w:type="pct"/>
            <w:tcBorders>
              <w:top w:val="nil"/>
              <w:left w:val="nil"/>
              <w:bottom w:val="single" w:sz="4" w:space="0" w:color="auto"/>
              <w:right w:val="single" w:sz="4" w:space="0" w:color="auto"/>
            </w:tcBorders>
            <w:shd w:val="clear" w:color="auto" w:fill="auto"/>
            <w:vAlign w:val="center"/>
            <w:hideMark/>
          </w:tcPr>
          <w:p w14:paraId="32E4509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JEŽICA</w:t>
            </w:r>
          </w:p>
        </w:tc>
      </w:tr>
      <w:tr w:rsidR="00E3750C" w:rsidRPr="00415AB3" w14:paraId="047F957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824E43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1573</w:t>
            </w:r>
          </w:p>
        </w:tc>
        <w:tc>
          <w:tcPr>
            <w:tcW w:w="705" w:type="pct"/>
            <w:tcBorders>
              <w:top w:val="nil"/>
              <w:left w:val="nil"/>
              <w:bottom w:val="single" w:sz="4" w:space="0" w:color="auto"/>
              <w:right w:val="single" w:sz="4" w:space="0" w:color="auto"/>
            </w:tcBorders>
            <w:shd w:val="clear" w:color="auto" w:fill="auto"/>
            <w:noWrap/>
            <w:vAlign w:val="center"/>
            <w:hideMark/>
          </w:tcPr>
          <w:p w14:paraId="0A539E7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5125944000</w:t>
            </w:r>
          </w:p>
        </w:tc>
        <w:tc>
          <w:tcPr>
            <w:tcW w:w="547" w:type="pct"/>
            <w:tcBorders>
              <w:top w:val="nil"/>
              <w:left w:val="nil"/>
              <w:bottom w:val="single" w:sz="4" w:space="0" w:color="auto"/>
              <w:right w:val="single" w:sz="4" w:space="0" w:color="auto"/>
            </w:tcBorders>
            <w:shd w:val="clear" w:color="auto" w:fill="auto"/>
            <w:noWrap/>
            <w:vAlign w:val="center"/>
            <w:hideMark/>
          </w:tcPr>
          <w:p w14:paraId="44F42E6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82681368</w:t>
            </w:r>
          </w:p>
        </w:tc>
        <w:tc>
          <w:tcPr>
            <w:tcW w:w="3360" w:type="pct"/>
            <w:tcBorders>
              <w:top w:val="nil"/>
              <w:left w:val="nil"/>
              <w:bottom w:val="single" w:sz="4" w:space="0" w:color="auto"/>
              <w:right w:val="single" w:sz="4" w:space="0" w:color="auto"/>
            </w:tcBorders>
            <w:shd w:val="clear" w:color="auto" w:fill="auto"/>
            <w:vAlign w:val="center"/>
            <w:hideMark/>
          </w:tcPr>
          <w:p w14:paraId="66A5DF9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KNEŽAK</w:t>
            </w:r>
          </w:p>
        </w:tc>
      </w:tr>
      <w:tr w:rsidR="00E3750C" w:rsidRPr="00415AB3" w14:paraId="6F4EE42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D951E5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1574</w:t>
            </w:r>
          </w:p>
        </w:tc>
        <w:tc>
          <w:tcPr>
            <w:tcW w:w="705" w:type="pct"/>
            <w:tcBorders>
              <w:top w:val="nil"/>
              <w:left w:val="nil"/>
              <w:bottom w:val="single" w:sz="4" w:space="0" w:color="auto"/>
              <w:right w:val="single" w:sz="4" w:space="0" w:color="auto"/>
            </w:tcBorders>
            <w:shd w:val="clear" w:color="auto" w:fill="auto"/>
            <w:noWrap/>
            <w:vAlign w:val="center"/>
            <w:hideMark/>
          </w:tcPr>
          <w:p w14:paraId="4CB9C6F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5219531000</w:t>
            </w:r>
          </w:p>
        </w:tc>
        <w:tc>
          <w:tcPr>
            <w:tcW w:w="547" w:type="pct"/>
            <w:tcBorders>
              <w:top w:val="nil"/>
              <w:left w:val="nil"/>
              <w:bottom w:val="single" w:sz="4" w:space="0" w:color="auto"/>
              <w:right w:val="single" w:sz="4" w:space="0" w:color="auto"/>
            </w:tcBorders>
            <w:shd w:val="clear" w:color="auto" w:fill="auto"/>
            <w:noWrap/>
            <w:vAlign w:val="center"/>
            <w:hideMark/>
          </w:tcPr>
          <w:p w14:paraId="0E13105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21906513</w:t>
            </w:r>
          </w:p>
        </w:tc>
        <w:tc>
          <w:tcPr>
            <w:tcW w:w="3360" w:type="pct"/>
            <w:tcBorders>
              <w:top w:val="nil"/>
              <w:left w:val="nil"/>
              <w:bottom w:val="single" w:sz="4" w:space="0" w:color="auto"/>
              <w:right w:val="single" w:sz="4" w:space="0" w:color="auto"/>
            </w:tcBorders>
            <w:shd w:val="clear" w:color="auto" w:fill="auto"/>
            <w:vAlign w:val="center"/>
            <w:hideMark/>
          </w:tcPr>
          <w:p w14:paraId="0C673AF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KOZARJE</w:t>
            </w:r>
          </w:p>
        </w:tc>
      </w:tr>
      <w:tr w:rsidR="00E3750C" w:rsidRPr="00415AB3" w14:paraId="2A1BA63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092DF9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1575</w:t>
            </w:r>
          </w:p>
        </w:tc>
        <w:tc>
          <w:tcPr>
            <w:tcW w:w="705" w:type="pct"/>
            <w:tcBorders>
              <w:top w:val="nil"/>
              <w:left w:val="nil"/>
              <w:bottom w:val="single" w:sz="4" w:space="0" w:color="auto"/>
              <w:right w:val="single" w:sz="4" w:space="0" w:color="auto"/>
            </w:tcBorders>
            <w:shd w:val="clear" w:color="auto" w:fill="auto"/>
            <w:noWrap/>
            <w:vAlign w:val="center"/>
            <w:hideMark/>
          </w:tcPr>
          <w:p w14:paraId="5D988BC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5117356000</w:t>
            </w:r>
          </w:p>
        </w:tc>
        <w:tc>
          <w:tcPr>
            <w:tcW w:w="547" w:type="pct"/>
            <w:tcBorders>
              <w:top w:val="nil"/>
              <w:left w:val="nil"/>
              <w:bottom w:val="single" w:sz="4" w:space="0" w:color="auto"/>
              <w:right w:val="single" w:sz="4" w:space="0" w:color="auto"/>
            </w:tcBorders>
            <w:shd w:val="clear" w:color="auto" w:fill="auto"/>
            <w:noWrap/>
            <w:vAlign w:val="center"/>
            <w:hideMark/>
          </w:tcPr>
          <w:p w14:paraId="40374F0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16311833</w:t>
            </w:r>
          </w:p>
        </w:tc>
        <w:tc>
          <w:tcPr>
            <w:tcW w:w="3360" w:type="pct"/>
            <w:tcBorders>
              <w:top w:val="nil"/>
              <w:left w:val="nil"/>
              <w:bottom w:val="single" w:sz="4" w:space="0" w:color="auto"/>
              <w:right w:val="single" w:sz="4" w:space="0" w:color="auto"/>
            </w:tcBorders>
            <w:shd w:val="clear" w:color="auto" w:fill="auto"/>
            <w:vAlign w:val="center"/>
            <w:hideMark/>
          </w:tcPr>
          <w:p w14:paraId="24DF6B1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KRAŠCE</w:t>
            </w:r>
          </w:p>
        </w:tc>
      </w:tr>
      <w:tr w:rsidR="00E3750C" w:rsidRPr="00415AB3" w14:paraId="1D8D3BA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1C3B46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1576</w:t>
            </w:r>
          </w:p>
        </w:tc>
        <w:tc>
          <w:tcPr>
            <w:tcW w:w="705" w:type="pct"/>
            <w:tcBorders>
              <w:top w:val="nil"/>
              <w:left w:val="nil"/>
              <w:bottom w:val="single" w:sz="4" w:space="0" w:color="auto"/>
              <w:right w:val="single" w:sz="4" w:space="0" w:color="auto"/>
            </w:tcBorders>
            <w:shd w:val="clear" w:color="auto" w:fill="auto"/>
            <w:noWrap/>
            <w:vAlign w:val="center"/>
            <w:hideMark/>
          </w:tcPr>
          <w:p w14:paraId="4BEC2D3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5240352000</w:t>
            </w:r>
          </w:p>
        </w:tc>
        <w:tc>
          <w:tcPr>
            <w:tcW w:w="547" w:type="pct"/>
            <w:tcBorders>
              <w:top w:val="nil"/>
              <w:left w:val="nil"/>
              <w:bottom w:val="single" w:sz="4" w:space="0" w:color="auto"/>
              <w:right w:val="single" w:sz="4" w:space="0" w:color="auto"/>
            </w:tcBorders>
            <w:shd w:val="clear" w:color="auto" w:fill="auto"/>
            <w:noWrap/>
            <w:vAlign w:val="center"/>
            <w:hideMark/>
          </w:tcPr>
          <w:p w14:paraId="3E8F0BA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65321685</w:t>
            </w:r>
          </w:p>
        </w:tc>
        <w:tc>
          <w:tcPr>
            <w:tcW w:w="3360" w:type="pct"/>
            <w:tcBorders>
              <w:top w:val="nil"/>
              <w:left w:val="nil"/>
              <w:bottom w:val="single" w:sz="4" w:space="0" w:color="auto"/>
              <w:right w:val="single" w:sz="4" w:space="0" w:color="auto"/>
            </w:tcBorders>
            <w:shd w:val="clear" w:color="auto" w:fill="auto"/>
            <w:vAlign w:val="center"/>
            <w:hideMark/>
          </w:tcPr>
          <w:p w14:paraId="10BF7F8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LJUBLJANA - RUDNIK</w:t>
            </w:r>
          </w:p>
        </w:tc>
      </w:tr>
      <w:tr w:rsidR="00E3750C" w:rsidRPr="00415AB3" w14:paraId="0FBDC5D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E368A6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1577</w:t>
            </w:r>
          </w:p>
        </w:tc>
        <w:tc>
          <w:tcPr>
            <w:tcW w:w="705" w:type="pct"/>
            <w:tcBorders>
              <w:top w:val="nil"/>
              <w:left w:val="nil"/>
              <w:bottom w:val="single" w:sz="4" w:space="0" w:color="auto"/>
              <w:right w:val="single" w:sz="4" w:space="0" w:color="auto"/>
            </w:tcBorders>
            <w:shd w:val="clear" w:color="auto" w:fill="auto"/>
            <w:noWrap/>
            <w:vAlign w:val="center"/>
            <w:hideMark/>
          </w:tcPr>
          <w:p w14:paraId="1D685A4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5238188000</w:t>
            </w:r>
          </w:p>
        </w:tc>
        <w:tc>
          <w:tcPr>
            <w:tcW w:w="547" w:type="pct"/>
            <w:tcBorders>
              <w:top w:val="nil"/>
              <w:left w:val="nil"/>
              <w:bottom w:val="single" w:sz="4" w:space="0" w:color="auto"/>
              <w:right w:val="single" w:sz="4" w:space="0" w:color="auto"/>
            </w:tcBorders>
            <w:shd w:val="clear" w:color="auto" w:fill="auto"/>
            <w:noWrap/>
            <w:vAlign w:val="center"/>
            <w:hideMark/>
          </w:tcPr>
          <w:p w14:paraId="475B120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53359127</w:t>
            </w:r>
          </w:p>
        </w:tc>
        <w:tc>
          <w:tcPr>
            <w:tcW w:w="3360" w:type="pct"/>
            <w:tcBorders>
              <w:top w:val="nil"/>
              <w:left w:val="nil"/>
              <w:bottom w:val="single" w:sz="4" w:space="0" w:color="auto"/>
              <w:right w:val="single" w:sz="4" w:space="0" w:color="auto"/>
            </w:tcBorders>
            <w:shd w:val="clear" w:color="auto" w:fill="auto"/>
            <w:vAlign w:val="center"/>
            <w:hideMark/>
          </w:tcPr>
          <w:p w14:paraId="0BCE988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LJUBLJANA - ŠENTVID</w:t>
            </w:r>
          </w:p>
        </w:tc>
      </w:tr>
      <w:tr w:rsidR="00E3750C" w:rsidRPr="00415AB3" w14:paraId="230E8EB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E5C74D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1578</w:t>
            </w:r>
          </w:p>
        </w:tc>
        <w:tc>
          <w:tcPr>
            <w:tcW w:w="705" w:type="pct"/>
            <w:tcBorders>
              <w:top w:val="nil"/>
              <w:left w:val="nil"/>
              <w:bottom w:val="single" w:sz="4" w:space="0" w:color="auto"/>
              <w:right w:val="single" w:sz="4" w:space="0" w:color="auto"/>
            </w:tcBorders>
            <w:shd w:val="clear" w:color="auto" w:fill="auto"/>
            <w:noWrap/>
            <w:vAlign w:val="center"/>
            <w:hideMark/>
          </w:tcPr>
          <w:p w14:paraId="3BFA655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5134161000</w:t>
            </w:r>
          </w:p>
        </w:tc>
        <w:tc>
          <w:tcPr>
            <w:tcW w:w="547" w:type="pct"/>
            <w:tcBorders>
              <w:top w:val="nil"/>
              <w:left w:val="nil"/>
              <w:bottom w:val="single" w:sz="4" w:space="0" w:color="auto"/>
              <w:right w:val="single" w:sz="4" w:space="0" w:color="auto"/>
            </w:tcBorders>
            <w:shd w:val="clear" w:color="auto" w:fill="auto"/>
            <w:noWrap/>
            <w:vAlign w:val="center"/>
            <w:hideMark/>
          </w:tcPr>
          <w:p w14:paraId="100EBEB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54318068</w:t>
            </w:r>
          </w:p>
        </w:tc>
        <w:tc>
          <w:tcPr>
            <w:tcW w:w="3360" w:type="pct"/>
            <w:tcBorders>
              <w:top w:val="nil"/>
              <w:left w:val="nil"/>
              <w:bottom w:val="single" w:sz="4" w:space="0" w:color="auto"/>
              <w:right w:val="single" w:sz="4" w:space="0" w:color="auto"/>
            </w:tcBorders>
            <w:shd w:val="clear" w:color="auto" w:fill="auto"/>
            <w:vAlign w:val="center"/>
            <w:hideMark/>
          </w:tcPr>
          <w:p w14:paraId="20B6E22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LJUBLJANA - TRNOVO</w:t>
            </w:r>
          </w:p>
        </w:tc>
      </w:tr>
      <w:tr w:rsidR="00E3750C" w:rsidRPr="00415AB3" w14:paraId="0633BD9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085E43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1579</w:t>
            </w:r>
          </w:p>
        </w:tc>
        <w:tc>
          <w:tcPr>
            <w:tcW w:w="705" w:type="pct"/>
            <w:tcBorders>
              <w:top w:val="nil"/>
              <w:left w:val="nil"/>
              <w:bottom w:val="single" w:sz="4" w:space="0" w:color="auto"/>
              <w:right w:val="single" w:sz="4" w:space="0" w:color="auto"/>
            </w:tcBorders>
            <w:shd w:val="clear" w:color="auto" w:fill="auto"/>
            <w:noWrap/>
            <w:vAlign w:val="center"/>
            <w:hideMark/>
          </w:tcPr>
          <w:p w14:paraId="2B8FD9E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5236444000</w:t>
            </w:r>
          </w:p>
        </w:tc>
        <w:tc>
          <w:tcPr>
            <w:tcW w:w="547" w:type="pct"/>
            <w:tcBorders>
              <w:top w:val="nil"/>
              <w:left w:val="nil"/>
              <w:bottom w:val="single" w:sz="4" w:space="0" w:color="auto"/>
              <w:right w:val="single" w:sz="4" w:space="0" w:color="auto"/>
            </w:tcBorders>
            <w:shd w:val="clear" w:color="auto" w:fill="auto"/>
            <w:noWrap/>
            <w:vAlign w:val="center"/>
            <w:hideMark/>
          </w:tcPr>
          <w:p w14:paraId="48A681C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37569937</w:t>
            </w:r>
          </w:p>
        </w:tc>
        <w:tc>
          <w:tcPr>
            <w:tcW w:w="3360" w:type="pct"/>
            <w:tcBorders>
              <w:top w:val="nil"/>
              <w:left w:val="nil"/>
              <w:bottom w:val="single" w:sz="4" w:space="0" w:color="auto"/>
              <w:right w:val="single" w:sz="4" w:space="0" w:color="auto"/>
            </w:tcBorders>
            <w:shd w:val="clear" w:color="auto" w:fill="auto"/>
            <w:vAlign w:val="center"/>
            <w:hideMark/>
          </w:tcPr>
          <w:p w14:paraId="36CD89F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LJUBLJANA BARJE</w:t>
            </w:r>
          </w:p>
        </w:tc>
      </w:tr>
      <w:tr w:rsidR="00E3750C" w:rsidRPr="00415AB3" w14:paraId="079CCFC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9FC844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1580</w:t>
            </w:r>
          </w:p>
        </w:tc>
        <w:tc>
          <w:tcPr>
            <w:tcW w:w="705" w:type="pct"/>
            <w:tcBorders>
              <w:top w:val="nil"/>
              <w:left w:val="nil"/>
              <w:bottom w:val="single" w:sz="4" w:space="0" w:color="auto"/>
              <w:right w:val="single" w:sz="4" w:space="0" w:color="auto"/>
            </w:tcBorders>
            <w:shd w:val="clear" w:color="auto" w:fill="auto"/>
            <w:noWrap/>
            <w:vAlign w:val="center"/>
            <w:hideMark/>
          </w:tcPr>
          <w:p w14:paraId="376A488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5135800000</w:t>
            </w:r>
          </w:p>
        </w:tc>
        <w:tc>
          <w:tcPr>
            <w:tcW w:w="547" w:type="pct"/>
            <w:tcBorders>
              <w:top w:val="nil"/>
              <w:left w:val="nil"/>
              <w:bottom w:val="single" w:sz="4" w:space="0" w:color="auto"/>
              <w:right w:val="single" w:sz="4" w:space="0" w:color="auto"/>
            </w:tcBorders>
            <w:shd w:val="clear" w:color="auto" w:fill="auto"/>
            <w:noWrap/>
            <w:vAlign w:val="center"/>
            <w:hideMark/>
          </w:tcPr>
          <w:p w14:paraId="036DC64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92748961</w:t>
            </w:r>
          </w:p>
        </w:tc>
        <w:tc>
          <w:tcPr>
            <w:tcW w:w="3360" w:type="pct"/>
            <w:tcBorders>
              <w:top w:val="nil"/>
              <w:left w:val="nil"/>
              <w:bottom w:val="single" w:sz="4" w:space="0" w:color="auto"/>
              <w:right w:val="single" w:sz="4" w:space="0" w:color="auto"/>
            </w:tcBorders>
            <w:shd w:val="clear" w:color="auto" w:fill="auto"/>
            <w:vAlign w:val="center"/>
            <w:hideMark/>
          </w:tcPr>
          <w:p w14:paraId="255D4E9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LJUBLJANA-BRDO</w:t>
            </w:r>
          </w:p>
        </w:tc>
      </w:tr>
      <w:tr w:rsidR="00E3750C" w:rsidRPr="00415AB3" w14:paraId="38FCBEE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5DC8FE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1581</w:t>
            </w:r>
          </w:p>
        </w:tc>
        <w:tc>
          <w:tcPr>
            <w:tcW w:w="705" w:type="pct"/>
            <w:tcBorders>
              <w:top w:val="nil"/>
              <w:left w:val="nil"/>
              <w:bottom w:val="single" w:sz="4" w:space="0" w:color="auto"/>
              <w:right w:val="single" w:sz="4" w:space="0" w:color="auto"/>
            </w:tcBorders>
            <w:shd w:val="clear" w:color="auto" w:fill="auto"/>
            <w:noWrap/>
            <w:vAlign w:val="center"/>
            <w:hideMark/>
          </w:tcPr>
          <w:p w14:paraId="1988DBF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5135834000</w:t>
            </w:r>
          </w:p>
        </w:tc>
        <w:tc>
          <w:tcPr>
            <w:tcW w:w="547" w:type="pct"/>
            <w:tcBorders>
              <w:top w:val="nil"/>
              <w:left w:val="nil"/>
              <w:bottom w:val="single" w:sz="4" w:space="0" w:color="auto"/>
              <w:right w:val="single" w:sz="4" w:space="0" w:color="auto"/>
            </w:tcBorders>
            <w:shd w:val="clear" w:color="auto" w:fill="auto"/>
            <w:noWrap/>
            <w:vAlign w:val="center"/>
            <w:hideMark/>
          </w:tcPr>
          <w:p w14:paraId="326A9CA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54774845</w:t>
            </w:r>
          </w:p>
        </w:tc>
        <w:tc>
          <w:tcPr>
            <w:tcW w:w="3360" w:type="pct"/>
            <w:tcBorders>
              <w:top w:val="nil"/>
              <w:left w:val="nil"/>
              <w:bottom w:val="single" w:sz="4" w:space="0" w:color="auto"/>
              <w:right w:val="single" w:sz="4" w:space="0" w:color="auto"/>
            </w:tcBorders>
            <w:shd w:val="clear" w:color="auto" w:fill="auto"/>
            <w:vAlign w:val="center"/>
            <w:hideMark/>
          </w:tcPr>
          <w:p w14:paraId="3F08359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LJUBLJANA-VIČ</w:t>
            </w:r>
          </w:p>
        </w:tc>
      </w:tr>
      <w:tr w:rsidR="00E3750C" w:rsidRPr="00415AB3" w14:paraId="2755ADE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33507C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1582</w:t>
            </w:r>
          </w:p>
        </w:tc>
        <w:tc>
          <w:tcPr>
            <w:tcW w:w="705" w:type="pct"/>
            <w:tcBorders>
              <w:top w:val="nil"/>
              <w:left w:val="nil"/>
              <w:bottom w:val="single" w:sz="4" w:space="0" w:color="auto"/>
              <w:right w:val="single" w:sz="4" w:space="0" w:color="auto"/>
            </w:tcBorders>
            <w:shd w:val="clear" w:color="auto" w:fill="auto"/>
            <w:noWrap/>
            <w:vAlign w:val="center"/>
            <w:hideMark/>
          </w:tcPr>
          <w:p w14:paraId="34781EE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5152909000</w:t>
            </w:r>
          </w:p>
        </w:tc>
        <w:tc>
          <w:tcPr>
            <w:tcW w:w="547" w:type="pct"/>
            <w:tcBorders>
              <w:top w:val="nil"/>
              <w:left w:val="nil"/>
              <w:bottom w:val="single" w:sz="4" w:space="0" w:color="auto"/>
              <w:right w:val="single" w:sz="4" w:space="0" w:color="auto"/>
            </w:tcBorders>
            <w:shd w:val="clear" w:color="auto" w:fill="auto"/>
            <w:noWrap/>
            <w:vAlign w:val="center"/>
            <w:hideMark/>
          </w:tcPr>
          <w:p w14:paraId="7F476EC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60759194</w:t>
            </w:r>
          </w:p>
        </w:tc>
        <w:tc>
          <w:tcPr>
            <w:tcW w:w="3360" w:type="pct"/>
            <w:tcBorders>
              <w:top w:val="nil"/>
              <w:left w:val="nil"/>
              <w:bottom w:val="single" w:sz="4" w:space="0" w:color="auto"/>
              <w:right w:val="single" w:sz="4" w:space="0" w:color="auto"/>
            </w:tcBorders>
            <w:shd w:val="clear" w:color="auto" w:fill="auto"/>
            <w:vAlign w:val="center"/>
            <w:hideMark/>
          </w:tcPr>
          <w:p w14:paraId="727255E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MATERIJA</w:t>
            </w:r>
          </w:p>
        </w:tc>
      </w:tr>
      <w:tr w:rsidR="00E3750C" w:rsidRPr="00415AB3" w14:paraId="7F338D4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CFE031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1583</w:t>
            </w:r>
          </w:p>
        </w:tc>
        <w:tc>
          <w:tcPr>
            <w:tcW w:w="705" w:type="pct"/>
            <w:tcBorders>
              <w:top w:val="nil"/>
              <w:left w:val="nil"/>
              <w:bottom w:val="single" w:sz="4" w:space="0" w:color="auto"/>
              <w:right w:val="single" w:sz="4" w:space="0" w:color="auto"/>
            </w:tcBorders>
            <w:shd w:val="clear" w:color="auto" w:fill="auto"/>
            <w:noWrap/>
            <w:vAlign w:val="center"/>
            <w:hideMark/>
          </w:tcPr>
          <w:p w14:paraId="57C9405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5140951000</w:t>
            </w:r>
          </w:p>
        </w:tc>
        <w:tc>
          <w:tcPr>
            <w:tcW w:w="547" w:type="pct"/>
            <w:tcBorders>
              <w:top w:val="nil"/>
              <w:left w:val="nil"/>
              <w:bottom w:val="single" w:sz="4" w:space="0" w:color="auto"/>
              <w:right w:val="single" w:sz="4" w:space="0" w:color="auto"/>
            </w:tcBorders>
            <w:shd w:val="clear" w:color="auto" w:fill="auto"/>
            <w:noWrap/>
            <w:vAlign w:val="center"/>
            <w:hideMark/>
          </w:tcPr>
          <w:p w14:paraId="5EB6A2F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70429014</w:t>
            </w:r>
          </w:p>
        </w:tc>
        <w:tc>
          <w:tcPr>
            <w:tcW w:w="3360" w:type="pct"/>
            <w:tcBorders>
              <w:top w:val="nil"/>
              <w:left w:val="nil"/>
              <w:bottom w:val="single" w:sz="4" w:space="0" w:color="auto"/>
              <w:right w:val="single" w:sz="4" w:space="0" w:color="auto"/>
            </w:tcBorders>
            <w:shd w:val="clear" w:color="auto" w:fill="auto"/>
            <w:vAlign w:val="center"/>
            <w:hideMark/>
          </w:tcPr>
          <w:p w14:paraId="1F9701F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MEDNO</w:t>
            </w:r>
          </w:p>
        </w:tc>
      </w:tr>
      <w:tr w:rsidR="00E3750C" w:rsidRPr="00415AB3" w14:paraId="4DE7F92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7C035E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1584</w:t>
            </w:r>
          </w:p>
        </w:tc>
        <w:tc>
          <w:tcPr>
            <w:tcW w:w="705" w:type="pct"/>
            <w:tcBorders>
              <w:top w:val="nil"/>
              <w:left w:val="nil"/>
              <w:bottom w:val="single" w:sz="4" w:space="0" w:color="auto"/>
              <w:right w:val="single" w:sz="4" w:space="0" w:color="auto"/>
            </w:tcBorders>
            <w:shd w:val="clear" w:color="auto" w:fill="auto"/>
            <w:noWrap/>
            <w:vAlign w:val="center"/>
            <w:hideMark/>
          </w:tcPr>
          <w:p w14:paraId="23E1FAF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5139554000</w:t>
            </w:r>
          </w:p>
        </w:tc>
        <w:tc>
          <w:tcPr>
            <w:tcW w:w="547" w:type="pct"/>
            <w:tcBorders>
              <w:top w:val="nil"/>
              <w:left w:val="nil"/>
              <w:bottom w:val="single" w:sz="4" w:space="0" w:color="auto"/>
              <w:right w:val="single" w:sz="4" w:space="0" w:color="auto"/>
            </w:tcBorders>
            <w:shd w:val="clear" w:color="auto" w:fill="auto"/>
            <w:noWrap/>
            <w:vAlign w:val="center"/>
            <w:hideMark/>
          </w:tcPr>
          <w:p w14:paraId="2F65102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29633125</w:t>
            </w:r>
          </w:p>
        </w:tc>
        <w:tc>
          <w:tcPr>
            <w:tcW w:w="3360" w:type="pct"/>
            <w:tcBorders>
              <w:top w:val="nil"/>
              <w:left w:val="nil"/>
              <w:bottom w:val="single" w:sz="4" w:space="0" w:color="auto"/>
              <w:right w:val="single" w:sz="4" w:space="0" w:color="auto"/>
            </w:tcBorders>
            <w:shd w:val="clear" w:color="auto" w:fill="auto"/>
            <w:vAlign w:val="center"/>
            <w:hideMark/>
          </w:tcPr>
          <w:p w14:paraId="532858E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MURSKA SOBOTA</w:t>
            </w:r>
          </w:p>
        </w:tc>
      </w:tr>
      <w:tr w:rsidR="00E3750C" w:rsidRPr="00415AB3" w14:paraId="5728360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74F09F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1585</w:t>
            </w:r>
          </w:p>
        </w:tc>
        <w:tc>
          <w:tcPr>
            <w:tcW w:w="705" w:type="pct"/>
            <w:tcBorders>
              <w:top w:val="nil"/>
              <w:left w:val="nil"/>
              <w:bottom w:val="single" w:sz="4" w:space="0" w:color="auto"/>
              <w:right w:val="single" w:sz="4" w:space="0" w:color="auto"/>
            </w:tcBorders>
            <w:shd w:val="clear" w:color="auto" w:fill="auto"/>
            <w:noWrap/>
            <w:vAlign w:val="center"/>
            <w:hideMark/>
          </w:tcPr>
          <w:p w14:paraId="0E3E21A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5230446000</w:t>
            </w:r>
          </w:p>
        </w:tc>
        <w:tc>
          <w:tcPr>
            <w:tcW w:w="547" w:type="pct"/>
            <w:tcBorders>
              <w:top w:val="nil"/>
              <w:left w:val="nil"/>
              <w:bottom w:val="single" w:sz="4" w:space="0" w:color="auto"/>
              <w:right w:val="single" w:sz="4" w:space="0" w:color="auto"/>
            </w:tcBorders>
            <w:shd w:val="clear" w:color="auto" w:fill="auto"/>
            <w:noWrap/>
            <w:vAlign w:val="center"/>
            <w:hideMark/>
          </w:tcPr>
          <w:p w14:paraId="009E8E4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54921651</w:t>
            </w:r>
          </w:p>
        </w:tc>
        <w:tc>
          <w:tcPr>
            <w:tcW w:w="3360" w:type="pct"/>
            <w:tcBorders>
              <w:top w:val="nil"/>
              <w:left w:val="nil"/>
              <w:bottom w:val="single" w:sz="4" w:space="0" w:color="auto"/>
              <w:right w:val="single" w:sz="4" w:space="0" w:color="auto"/>
            </w:tcBorders>
            <w:shd w:val="clear" w:color="auto" w:fill="auto"/>
            <w:vAlign w:val="center"/>
            <w:hideMark/>
          </w:tcPr>
          <w:p w14:paraId="5DC484D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NADGORICA</w:t>
            </w:r>
          </w:p>
        </w:tc>
      </w:tr>
      <w:tr w:rsidR="00E3750C" w:rsidRPr="00415AB3" w14:paraId="54D1A43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CAD38E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1586</w:t>
            </w:r>
          </w:p>
        </w:tc>
        <w:tc>
          <w:tcPr>
            <w:tcW w:w="705" w:type="pct"/>
            <w:tcBorders>
              <w:top w:val="nil"/>
              <w:left w:val="nil"/>
              <w:bottom w:val="single" w:sz="4" w:space="0" w:color="auto"/>
              <w:right w:val="single" w:sz="4" w:space="0" w:color="auto"/>
            </w:tcBorders>
            <w:shd w:val="clear" w:color="auto" w:fill="auto"/>
            <w:noWrap/>
            <w:vAlign w:val="center"/>
            <w:hideMark/>
          </w:tcPr>
          <w:p w14:paraId="5C6DD78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5119138000</w:t>
            </w:r>
          </w:p>
        </w:tc>
        <w:tc>
          <w:tcPr>
            <w:tcW w:w="547" w:type="pct"/>
            <w:tcBorders>
              <w:top w:val="nil"/>
              <w:left w:val="nil"/>
              <w:bottom w:val="single" w:sz="4" w:space="0" w:color="auto"/>
              <w:right w:val="single" w:sz="4" w:space="0" w:color="auto"/>
            </w:tcBorders>
            <w:shd w:val="clear" w:color="auto" w:fill="auto"/>
            <w:noWrap/>
            <w:vAlign w:val="center"/>
            <w:hideMark/>
          </w:tcPr>
          <w:p w14:paraId="7CF14FE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99436906</w:t>
            </w:r>
          </w:p>
        </w:tc>
        <w:tc>
          <w:tcPr>
            <w:tcW w:w="3360" w:type="pct"/>
            <w:tcBorders>
              <w:top w:val="nil"/>
              <w:left w:val="nil"/>
              <w:bottom w:val="single" w:sz="4" w:space="0" w:color="auto"/>
              <w:right w:val="single" w:sz="4" w:space="0" w:color="auto"/>
            </w:tcBorders>
            <w:shd w:val="clear" w:color="auto" w:fill="auto"/>
            <w:vAlign w:val="center"/>
            <w:hideMark/>
          </w:tcPr>
          <w:p w14:paraId="5093E55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OJSTRIŠKA VAS-TABOR</w:t>
            </w:r>
          </w:p>
        </w:tc>
      </w:tr>
      <w:tr w:rsidR="00E3750C" w:rsidRPr="00415AB3" w14:paraId="5BF518B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9952CD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1587</w:t>
            </w:r>
          </w:p>
        </w:tc>
        <w:tc>
          <w:tcPr>
            <w:tcW w:w="705" w:type="pct"/>
            <w:tcBorders>
              <w:top w:val="nil"/>
              <w:left w:val="nil"/>
              <w:bottom w:val="single" w:sz="4" w:space="0" w:color="auto"/>
              <w:right w:val="single" w:sz="4" w:space="0" w:color="auto"/>
            </w:tcBorders>
            <w:shd w:val="clear" w:color="auto" w:fill="auto"/>
            <w:noWrap/>
            <w:vAlign w:val="center"/>
            <w:hideMark/>
          </w:tcPr>
          <w:p w14:paraId="3AE5242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5202990000</w:t>
            </w:r>
          </w:p>
        </w:tc>
        <w:tc>
          <w:tcPr>
            <w:tcW w:w="547" w:type="pct"/>
            <w:tcBorders>
              <w:top w:val="nil"/>
              <w:left w:val="nil"/>
              <w:bottom w:val="single" w:sz="4" w:space="0" w:color="auto"/>
              <w:right w:val="single" w:sz="4" w:space="0" w:color="auto"/>
            </w:tcBorders>
            <w:shd w:val="clear" w:color="auto" w:fill="auto"/>
            <w:noWrap/>
            <w:vAlign w:val="center"/>
            <w:hideMark/>
          </w:tcPr>
          <w:p w14:paraId="03A9621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19195141</w:t>
            </w:r>
          </w:p>
        </w:tc>
        <w:tc>
          <w:tcPr>
            <w:tcW w:w="3360" w:type="pct"/>
            <w:tcBorders>
              <w:top w:val="nil"/>
              <w:left w:val="nil"/>
              <w:bottom w:val="single" w:sz="4" w:space="0" w:color="auto"/>
              <w:right w:val="single" w:sz="4" w:space="0" w:color="auto"/>
            </w:tcBorders>
            <w:shd w:val="clear" w:color="auto" w:fill="auto"/>
            <w:vAlign w:val="center"/>
            <w:hideMark/>
          </w:tcPr>
          <w:p w14:paraId="14249F0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PODGORICA-ŠENTJAKOB</w:t>
            </w:r>
          </w:p>
        </w:tc>
      </w:tr>
      <w:tr w:rsidR="00E3750C" w:rsidRPr="00415AB3" w14:paraId="4F6F106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4C1400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1588</w:t>
            </w:r>
          </w:p>
        </w:tc>
        <w:tc>
          <w:tcPr>
            <w:tcW w:w="705" w:type="pct"/>
            <w:tcBorders>
              <w:top w:val="nil"/>
              <w:left w:val="nil"/>
              <w:bottom w:val="single" w:sz="4" w:space="0" w:color="auto"/>
              <w:right w:val="single" w:sz="4" w:space="0" w:color="auto"/>
            </w:tcBorders>
            <w:shd w:val="clear" w:color="auto" w:fill="auto"/>
            <w:noWrap/>
            <w:vAlign w:val="center"/>
            <w:hideMark/>
          </w:tcPr>
          <w:p w14:paraId="64C129F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5130638000</w:t>
            </w:r>
          </w:p>
        </w:tc>
        <w:tc>
          <w:tcPr>
            <w:tcW w:w="547" w:type="pct"/>
            <w:tcBorders>
              <w:top w:val="nil"/>
              <w:left w:val="nil"/>
              <w:bottom w:val="single" w:sz="4" w:space="0" w:color="auto"/>
              <w:right w:val="single" w:sz="4" w:space="0" w:color="auto"/>
            </w:tcBorders>
            <w:shd w:val="clear" w:color="auto" w:fill="auto"/>
            <w:noWrap/>
            <w:vAlign w:val="center"/>
            <w:hideMark/>
          </w:tcPr>
          <w:p w14:paraId="617322F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31140190</w:t>
            </w:r>
          </w:p>
        </w:tc>
        <w:tc>
          <w:tcPr>
            <w:tcW w:w="3360" w:type="pct"/>
            <w:tcBorders>
              <w:top w:val="nil"/>
              <w:left w:val="nil"/>
              <w:bottom w:val="single" w:sz="4" w:space="0" w:color="auto"/>
              <w:right w:val="single" w:sz="4" w:space="0" w:color="auto"/>
            </w:tcBorders>
            <w:shd w:val="clear" w:color="auto" w:fill="auto"/>
            <w:vAlign w:val="center"/>
            <w:hideMark/>
          </w:tcPr>
          <w:p w14:paraId="1911802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PONIKVE - DOBREPOLJE</w:t>
            </w:r>
          </w:p>
        </w:tc>
      </w:tr>
      <w:tr w:rsidR="00E3750C" w:rsidRPr="00415AB3" w14:paraId="2253D51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2D4C88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1589</w:t>
            </w:r>
          </w:p>
        </w:tc>
        <w:tc>
          <w:tcPr>
            <w:tcW w:w="705" w:type="pct"/>
            <w:tcBorders>
              <w:top w:val="nil"/>
              <w:left w:val="nil"/>
              <w:bottom w:val="single" w:sz="4" w:space="0" w:color="auto"/>
              <w:right w:val="single" w:sz="4" w:space="0" w:color="auto"/>
            </w:tcBorders>
            <w:shd w:val="clear" w:color="auto" w:fill="auto"/>
            <w:noWrap/>
            <w:vAlign w:val="center"/>
            <w:hideMark/>
          </w:tcPr>
          <w:p w14:paraId="681EF5E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5285666000</w:t>
            </w:r>
          </w:p>
        </w:tc>
        <w:tc>
          <w:tcPr>
            <w:tcW w:w="547" w:type="pct"/>
            <w:tcBorders>
              <w:top w:val="nil"/>
              <w:left w:val="nil"/>
              <w:bottom w:val="single" w:sz="4" w:space="0" w:color="auto"/>
              <w:right w:val="single" w:sz="4" w:space="0" w:color="auto"/>
            </w:tcBorders>
            <w:shd w:val="clear" w:color="auto" w:fill="auto"/>
            <w:noWrap/>
            <w:vAlign w:val="center"/>
            <w:hideMark/>
          </w:tcPr>
          <w:p w14:paraId="06CD9F8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14015498</w:t>
            </w:r>
          </w:p>
        </w:tc>
        <w:tc>
          <w:tcPr>
            <w:tcW w:w="3360" w:type="pct"/>
            <w:tcBorders>
              <w:top w:val="nil"/>
              <w:left w:val="nil"/>
              <w:bottom w:val="single" w:sz="4" w:space="0" w:color="auto"/>
              <w:right w:val="single" w:sz="4" w:space="0" w:color="auto"/>
            </w:tcBorders>
            <w:shd w:val="clear" w:color="auto" w:fill="auto"/>
            <w:vAlign w:val="center"/>
            <w:hideMark/>
          </w:tcPr>
          <w:p w14:paraId="196DBF6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PREŽGANJE</w:t>
            </w:r>
          </w:p>
        </w:tc>
      </w:tr>
      <w:tr w:rsidR="00E3750C" w:rsidRPr="00415AB3" w14:paraId="6FDD4AC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521A51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1590</w:t>
            </w:r>
          </w:p>
        </w:tc>
        <w:tc>
          <w:tcPr>
            <w:tcW w:w="705" w:type="pct"/>
            <w:tcBorders>
              <w:top w:val="nil"/>
              <w:left w:val="nil"/>
              <w:bottom w:val="single" w:sz="4" w:space="0" w:color="auto"/>
              <w:right w:val="single" w:sz="4" w:space="0" w:color="auto"/>
            </w:tcBorders>
            <w:shd w:val="clear" w:color="auto" w:fill="auto"/>
            <w:noWrap/>
            <w:vAlign w:val="center"/>
            <w:hideMark/>
          </w:tcPr>
          <w:p w14:paraId="76C690B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5125073000</w:t>
            </w:r>
          </w:p>
        </w:tc>
        <w:tc>
          <w:tcPr>
            <w:tcW w:w="547" w:type="pct"/>
            <w:tcBorders>
              <w:top w:val="nil"/>
              <w:left w:val="nil"/>
              <w:bottom w:val="single" w:sz="4" w:space="0" w:color="auto"/>
              <w:right w:val="single" w:sz="4" w:space="0" w:color="auto"/>
            </w:tcBorders>
            <w:shd w:val="clear" w:color="auto" w:fill="auto"/>
            <w:noWrap/>
            <w:vAlign w:val="center"/>
            <w:hideMark/>
          </w:tcPr>
          <w:p w14:paraId="3AAA628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68779186</w:t>
            </w:r>
          </w:p>
        </w:tc>
        <w:tc>
          <w:tcPr>
            <w:tcW w:w="3360" w:type="pct"/>
            <w:tcBorders>
              <w:top w:val="nil"/>
              <w:left w:val="nil"/>
              <w:bottom w:val="single" w:sz="4" w:space="0" w:color="auto"/>
              <w:right w:val="single" w:sz="4" w:space="0" w:color="auto"/>
            </w:tcBorders>
            <w:shd w:val="clear" w:color="auto" w:fill="auto"/>
            <w:vAlign w:val="center"/>
            <w:hideMark/>
          </w:tcPr>
          <w:p w14:paraId="359352D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PTUJ</w:t>
            </w:r>
          </w:p>
        </w:tc>
      </w:tr>
      <w:tr w:rsidR="00E3750C" w:rsidRPr="00415AB3" w14:paraId="014E5E7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78BBF1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1591</w:t>
            </w:r>
          </w:p>
        </w:tc>
        <w:tc>
          <w:tcPr>
            <w:tcW w:w="705" w:type="pct"/>
            <w:tcBorders>
              <w:top w:val="nil"/>
              <w:left w:val="nil"/>
              <w:bottom w:val="single" w:sz="4" w:space="0" w:color="auto"/>
              <w:right w:val="single" w:sz="4" w:space="0" w:color="auto"/>
            </w:tcBorders>
            <w:shd w:val="clear" w:color="auto" w:fill="auto"/>
            <w:noWrap/>
            <w:vAlign w:val="center"/>
            <w:hideMark/>
          </w:tcPr>
          <w:p w14:paraId="672EB1B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5204283000</w:t>
            </w:r>
          </w:p>
        </w:tc>
        <w:tc>
          <w:tcPr>
            <w:tcW w:w="547" w:type="pct"/>
            <w:tcBorders>
              <w:top w:val="nil"/>
              <w:left w:val="nil"/>
              <w:bottom w:val="single" w:sz="4" w:space="0" w:color="auto"/>
              <w:right w:val="single" w:sz="4" w:space="0" w:color="auto"/>
            </w:tcBorders>
            <w:shd w:val="clear" w:color="auto" w:fill="auto"/>
            <w:noWrap/>
            <w:vAlign w:val="center"/>
            <w:hideMark/>
          </w:tcPr>
          <w:p w14:paraId="05659E7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66221765</w:t>
            </w:r>
          </w:p>
        </w:tc>
        <w:tc>
          <w:tcPr>
            <w:tcW w:w="3360" w:type="pct"/>
            <w:tcBorders>
              <w:top w:val="nil"/>
              <w:left w:val="nil"/>
              <w:bottom w:val="single" w:sz="4" w:space="0" w:color="auto"/>
              <w:right w:val="single" w:sz="4" w:space="0" w:color="auto"/>
            </w:tcBorders>
            <w:shd w:val="clear" w:color="auto" w:fill="auto"/>
            <w:vAlign w:val="center"/>
            <w:hideMark/>
          </w:tcPr>
          <w:p w14:paraId="267C156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PUCONCI</w:t>
            </w:r>
          </w:p>
        </w:tc>
      </w:tr>
      <w:tr w:rsidR="00E3750C" w:rsidRPr="00415AB3" w14:paraId="5106F14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68B0F1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1592</w:t>
            </w:r>
          </w:p>
        </w:tc>
        <w:tc>
          <w:tcPr>
            <w:tcW w:w="705" w:type="pct"/>
            <w:tcBorders>
              <w:top w:val="nil"/>
              <w:left w:val="nil"/>
              <w:bottom w:val="single" w:sz="4" w:space="0" w:color="auto"/>
              <w:right w:val="single" w:sz="4" w:space="0" w:color="auto"/>
            </w:tcBorders>
            <w:shd w:val="clear" w:color="auto" w:fill="auto"/>
            <w:noWrap/>
            <w:vAlign w:val="center"/>
            <w:hideMark/>
          </w:tcPr>
          <w:p w14:paraId="0FCDC11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5161657000</w:t>
            </w:r>
          </w:p>
        </w:tc>
        <w:tc>
          <w:tcPr>
            <w:tcW w:w="547" w:type="pct"/>
            <w:tcBorders>
              <w:top w:val="nil"/>
              <w:left w:val="nil"/>
              <w:bottom w:val="single" w:sz="4" w:space="0" w:color="auto"/>
              <w:right w:val="single" w:sz="4" w:space="0" w:color="auto"/>
            </w:tcBorders>
            <w:shd w:val="clear" w:color="auto" w:fill="auto"/>
            <w:noWrap/>
            <w:vAlign w:val="center"/>
            <w:hideMark/>
          </w:tcPr>
          <w:p w14:paraId="637654D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63140683</w:t>
            </w:r>
          </w:p>
        </w:tc>
        <w:tc>
          <w:tcPr>
            <w:tcW w:w="3360" w:type="pct"/>
            <w:tcBorders>
              <w:top w:val="nil"/>
              <w:left w:val="nil"/>
              <w:bottom w:val="single" w:sz="4" w:space="0" w:color="auto"/>
              <w:right w:val="single" w:sz="4" w:space="0" w:color="auto"/>
            </w:tcBorders>
            <w:shd w:val="clear" w:color="auto" w:fill="auto"/>
            <w:vAlign w:val="center"/>
            <w:hideMark/>
          </w:tcPr>
          <w:p w14:paraId="4DA1BE1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RADVANJE</w:t>
            </w:r>
          </w:p>
        </w:tc>
      </w:tr>
      <w:tr w:rsidR="00E3750C" w:rsidRPr="00415AB3" w14:paraId="7C9E7F8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262A74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1593</w:t>
            </w:r>
          </w:p>
        </w:tc>
        <w:tc>
          <w:tcPr>
            <w:tcW w:w="705" w:type="pct"/>
            <w:tcBorders>
              <w:top w:val="nil"/>
              <w:left w:val="nil"/>
              <w:bottom w:val="single" w:sz="4" w:space="0" w:color="auto"/>
              <w:right w:val="single" w:sz="4" w:space="0" w:color="auto"/>
            </w:tcBorders>
            <w:shd w:val="clear" w:color="auto" w:fill="auto"/>
            <w:noWrap/>
            <w:vAlign w:val="center"/>
            <w:hideMark/>
          </w:tcPr>
          <w:p w14:paraId="6DB8260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5236517000</w:t>
            </w:r>
          </w:p>
        </w:tc>
        <w:tc>
          <w:tcPr>
            <w:tcW w:w="547" w:type="pct"/>
            <w:tcBorders>
              <w:top w:val="nil"/>
              <w:left w:val="nil"/>
              <w:bottom w:val="single" w:sz="4" w:space="0" w:color="auto"/>
              <w:right w:val="single" w:sz="4" w:space="0" w:color="auto"/>
            </w:tcBorders>
            <w:shd w:val="clear" w:color="auto" w:fill="auto"/>
            <w:noWrap/>
            <w:vAlign w:val="center"/>
            <w:hideMark/>
          </w:tcPr>
          <w:p w14:paraId="4C97050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21601275</w:t>
            </w:r>
          </w:p>
        </w:tc>
        <w:tc>
          <w:tcPr>
            <w:tcW w:w="3360" w:type="pct"/>
            <w:tcBorders>
              <w:top w:val="nil"/>
              <w:left w:val="nil"/>
              <w:bottom w:val="single" w:sz="4" w:space="0" w:color="auto"/>
              <w:right w:val="single" w:sz="4" w:space="0" w:color="auto"/>
            </w:tcBorders>
            <w:shd w:val="clear" w:color="auto" w:fill="auto"/>
            <w:vAlign w:val="center"/>
            <w:hideMark/>
          </w:tcPr>
          <w:p w14:paraId="58A993F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RAŠICA</w:t>
            </w:r>
          </w:p>
        </w:tc>
      </w:tr>
      <w:tr w:rsidR="00E3750C" w:rsidRPr="00415AB3" w14:paraId="3924A7D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78FA0E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1594</w:t>
            </w:r>
          </w:p>
        </w:tc>
        <w:tc>
          <w:tcPr>
            <w:tcW w:w="705" w:type="pct"/>
            <w:tcBorders>
              <w:top w:val="nil"/>
              <w:left w:val="nil"/>
              <w:bottom w:val="single" w:sz="4" w:space="0" w:color="auto"/>
              <w:right w:val="single" w:sz="4" w:space="0" w:color="auto"/>
            </w:tcBorders>
            <w:shd w:val="clear" w:color="auto" w:fill="auto"/>
            <w:noWrap/>
            <w:vAlign w:val="center"/>
            <w:hideMark/>
          </w:tcPr>
          <w:p w14:paraId="0C1DB58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5063922000</w:t>
            </w:r>
          </w:p>
        </w:tc>
        <w:tc>
          <w:tcPr>
            <w:tcW w:w="547" w:type="pct"/>
            <w:tcBorders>
              <w:top w:val="nil"/>
              <w:left w:val="nil"/>
              <w:bottom w:val="single" w:sz="4" w:space="0" w:color="auto"/>
              <w:right w:val="single" w:sz="4" w:space="0" w:color="auto"/>
            </w:tcBorders>
            <w:shd w:val="clear" w:color="auto" w:fill="auto"/>
            <w:noWrap/>
            <w:vAlign w:val="center"/>
            <w:hideMark/>
          </w:tcPr>
          <w:p w14:paraId="6ACA11E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13158155</w:t>
            </w:r>
          </w:p>
        </w:tc>
        <w:tc>
          <w:tcPr>
            <w:tcW w:w="3360" w:type="pct"/>
            <w:tcBorders>
              <w:top w:val="nil"/>
              <w:left w:val="nil"/>
              <w:bottom w:val="single" w:sz="4" w:space="0" w:color="auto"/>
              <w:right w:val="single" w:sz="4" w:space="0" w:color="auto"/>
            </w:tcBorders>
            <w:shd w:val="clear" w:color="auto" w:fill="auto"/>
            <w:vAlign w:val="center"/>
            <w:hideMark/>
          </w:tcPr>
          <w:p w14:paraId="651D892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RIBNO</w:t>
            </w:r>
          </w:p>
        </w:tc>
      </w:tr>
      <w:tr w:rsidR="00E3750C" w:rsidRPr="00415AB3" w14:paraId="2CF1C94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E46CB4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1595</w:t>
            </w:r>
          </w:p>
        </w:tc>
        <w:tc>
          <w:tcPr>
            <w:tcW w:w="705" w:type="pct"/>
            <w:tcBorders>
              <w:top w:val="nil"/>
              <w:left w:val="nil"/>
              <w:bottom w:val="single" w:sz="4" w:space="0" w:color="auto"/>
              <w:right w:val="single" w:sz="4" w:space="0" w:color="auto"/>
            </w:tcBorders>
            <w:shd w:val="clear" w:color="auto" w:fill="auto"/>
            <w:noWrap/>
            <w:vAlign w:val="center"/>
            <w:hideMark/>
          </w:tcPr>
          <w:p w14:paraId="0CF222A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5161185000</w:t>
            </w:r>
          </w:p>
        </w:tc>
        <w:tc>
          <w:tcPr>
            <w:tcW w:w="547" w:type="pct"/>
            <w:tcBorders>
              <w:top w:val="nil"/>
              <w:left w:val="nil"/>
              <w:bottom w:val="single" w:sz="4" w:space="0" w:color="auto"/>
              <w:right w:val="single" w:sz="4" w:space="0" w:color="auto"/>
            </w:tcBorders>
            <w:shd w:val="clear" w:color="auto" w:fill="auto"/>
            <w:noWrap/>
            <w:vAlign w:val="center"/>
            <w:hideMark/>
          </w:tcPr>
          <w:p w14:paraId="4028977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98734741</w:t>
            </w:r>
          </w:p>
        </w:tc>
        <w:tc>
          <w:tcPr>
            <w:tcW w:w="3360" w:type="pct"/>
            <w:tcBorders>
              <w:top w:val="nil"/>
              <w:left w:val="nil"/>
              <w:bottom w:val="single" w:sz="4" w:space="0" w:color="auto"/>
              <w:right w:val="single" w:sz="4" w:space="0" w:color="auto"/>
            </w:tcBorders>
            <w:shd w:val="clear" w:color="auto" w:fill="auto"/>
            <w:vAlign w:val="center"/>
            <w:hideMark/>
          </w:tcPr>
          <w:p w14:paraId="70489E6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SOBETINCI</w:t>
            </w:r>
          </w:p>
        </w:tc>
      </w:tr>
      <w:tr w:rsidR="00E3750C" w:rsidRPr="00415AB3" w14:paraId="068A0C6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2C2BBE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1596</w:t>
            </w:r>
          </w:p>
        </w:tc>
        <w:tc>
          <w:tcPr>
            <w:tcW w:w="705" w:type="pct"/>
            <w:tcBorders>
              <w:top w:val="nil"/>
              <w:left w:val="nil"/>
              <w:bottom w:val="single" w:sz="4" w:space="0" w:color="auto"/>
              <w:right w:val="single" w:sz="4" w:space="0" w:color="auto"/>
            </w:tcBorders>
            <w:shd w:val="clear" w:color="auto" w:fill="auto"/>
            <w:noWrap/>
            <w:vAlign w:val="center"/>
            <w:hideMark/>
          </w:tcPr>
          <w:p w14:paraId="13B0298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5133777000</w:t>
            </w:r>
          </w:p>
        </w:tc>
        <w:tc>
          <w:tcPr>
            <w:tcW w:w="547" w:type="pct"/>
            <w:tcBorders>
              <w:top w:val="nil"/>
              <w:left w:val="nil"/>
              <w:bottom w:val="single" w:sz="4" w:space="0" w:color="auto"/>
              <w:right w:val="single" w:sz="4" w:space="0" w:color="auto"/>
            </w:tcBorders>
            <w:shd w:val="clear" w:color="auto" w:fill="auto"/>
            <w:noWrap/>
            <w:vAlign w:val="center"/>
            <w:hideMark/>
          </w:tcPr>
          <w:p w14:paraId="6834C20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51025655</w:t>
            </w:r>
          </w:p>
        </w:tc>
        <w:tc>
          <w:tcPr>
            <w:tcW w:w="3360" w:type="pct"/>
            <w:tcBorders>
              <w:top w:val="nil"/>
              <w:left w:val="nil"/>
              <w:bottom w:val="single" w:sz="4" w:space="0" w:color="auto"/>
              <w:right w:val="single" w:sz="4" w:space="0" w:color="auto"/>
            </w:tcBorders>
            <w:shd w:val="clear" w:color="auto" w:fill="auto"/>
            <w:vAlign w:val="center"/>
            <w:hideMark/>
          </w:tcPr>
          <w:p w14:paraId="4B047F0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SOSTRO</w:t>
            </w:r>
          </w:p>
        </w:tc>
      </w:tr>
      <w:tr w:rsidR="00E3750C" w:rsidRPr="00415AB3" w14:paraId="4AE77AE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909C11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1597</w:t>
            </w:r>
          </w:p>
        </w:tc>
        <w:tc>
          <w:tcPr>
            <w:tcW w:w="705" w:type="pct"/>
            <w:tcBorders>
              <w:top w:val="nil"/>
              <w:left w:val="nil"/>
              <w:bottom w:val="single" w:sz="4" w:space="0" w:color="auto"/>
              <w:right w:val="single" w:sz="4" w:space="0" w:color="auto"/>
            </w:tcBorders>
            <w:shd w:val="clear" w:color="auto" w:fill="auto"/>
            <w:noWrap/>
            <w:vAlign w:val="center"/>
            <w:hideMark/>
          </w:tcPr>
          <w:p w14:paraId="0641D07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5135028000</w:t>
            </w:r>
          </w:p>
        </w:tc>
        <w:tc>
          <w:tcPr>
            <w:tcW w:w="547" w:type="pct"/>
            <w:tcBorders>
              <w:top w:val="nil"/>
              <w:left w:val="nil"/>
              <w:bottom w:val="single" w:sz="4" w:space="0" w:color="auto"/>
              <w:right w:val="single" w:sz="4" w:space="0" w:color="auto"/>
            </w:tcBorders>
            <w:shd w:val="clear" w:color="auto" w:fill="auto"/>
            <w:noWrap/>
            <w:vAlign w:val="center"/>
            <w:hideMark/>
          </w:tcPr>
          <w:p w14:paraId="25E682B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90013697</w:t>
            </w:r>
          </w:p>
        </w:tc>
        <w:tc>
          <w:tcPr>
            <w:tcW w:w="3360" w:type="pct"/>
            <w:tcBorders>
              <w:top w:val="nil"/>
              <w:left w:val="nil"/>
              <w:bottom w:val="single" w:sz="4" w:space="0" w:color="auto"/>
              <w:right w:val="single" w:sz="4" w:space="0" w:color="auto"/>
            </w:tcBorders>
            <w:shd w:val="clear" w:color="auto" w:fill="auto"/>
            <w:vAlign w:val="center"/>
            <w:hideMark/>
          </w:tcPr>
          <w:p w14:paraId="1730EC5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SPODNJA ŠIŠKA</w:t>
            </w:r>
          </w:p>
        </w:tc>
      </w:tr>
      <w:tr w:rsidR="00E3750C" w:rsidRPr="00415AB3" w14:paraId="1D6EBF3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D61E93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1598</w:t>
            </w:r>
          </w:p>
        </w:tc>
        <w:tc>
          <w:tcPr>
            <w:tcW w:w="705" w:type="pct"/>
            <w:tcBorders>
              <w:top w:val="nil"/>
              <w:left w:val="nil"/>
              <w:bottom w:val="single" w:sz="4" w:space="0" w:color="auto"/>
              <w:right w:val="single" w:sz="4" w:space="0" w:color="auto"/>
            </w:tcBorders>
            <w:shd w:val="clear" w:color="auto" w:fill="auto"/>
            <w:noWrap/>
            <w:vAlign w:val="center"/>
            <w:hideMark/>
          </w:tcPr>
          <w:p w14:paraId="203C0CB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5135087000</w:t>
            </w:r>
          </w:p>
        </w:tc>
        <w:tc>
          <w:tcPr>
            <w:tcW w:w="547" w:type="pct"/>
            <w:tcBorders>
              <w:top w:val="nil"/>
              <w:left w:val="nil"/>
              <w:bottom w:val="single" w:sz="4" w:space="0" w:color="auto"/>
              <w:right w:val="single" w:sz="4" w:space="0" w:color="auto"/>
            </w:tcBorders>
            <w:shd w:val="clear" w:color="auto" w:fill="auto"/>
            <w:noWrap/>
            <w:vAlign w:val="center"/>
            <w:hideMark/>
          </w:tcPr>
          <w:p w14:paraId="3AC185E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99553872</w:t>
            </w:r>
          </w:p>
        </w:tc>
        <w:tc>
          <w:tcPr>
            <w:tcW w:w="3360" w:type="pct"/>
            <w:tcBorders>
              <w:top w:val="nil"/>
              <w:left w:val="nil"/>
              <w:bottom w:val="single" w:sz="4" w:space="0" w:color="auto"/>
              <w:right w:val="single" w:sz="4" w:space="0" w:color="auto"/>
            </w:tcBorders>
            <w:shd w:val="clear" w:color="auto" w:fill="auto"/>
            <w:vAlign w:val="center"/>
            <w:hideMark/>
          </w:tcPr>
          <w:p w14:paraId="2D39CCB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STANEŽIČE-DVOR</w:t>
            </w:r>
          </w:p>
        </w:tc>
      </w:tr>
      <w:tr w:rsidR="00E3750C" w:rsidRPr="00415AB3" w14:paraId="61CB3B9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CA9EF0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1599</w:t>
            </w:r>
          </w:p>
        </w:tc>
        <w:tc>
          <w:tcPr>
            <w:tcW w:w="705" w:type="pct"/>
            <w:tcBorders>
              <w:top w:val="nil"/>
              <w:left w:val="nil"/>
              <w:bottom w:val="single" w:sz="4" w:space="0" w:color="auto"/>
              <w:right w:val="single" w:sz="4" w:space="0" w:color="auto"/>
            </w:tcBorders>
            <w:shd w:val="clear" w:color="auto" w:fill="auto"/>
            <w:noWrap/>
            <w:vAlign w:val="center"/>
            <w:hideMark/>
          </w:tcPr>
          <w:p w14:paraId="5E42CD4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5236665000</w:t>
            </w:r>
          </w:p>
        </w:tc>
        <w:tc>
          <w:tcPr>
            <w:tcW w:w="547" w:type="pct"/>
            <w:tcBorders>
              <w:top w:val="nil"/>
              <w:left w:val="nil"/>
              <w:bottom w:val="single" w:sz="4" w:space="0" w:color="auto"/>
              <w:right w:val="single" w:sz="4" w:space="0" w:color="auto"/>
            </w:tcBorders>
            <w:shd w:val="clear" w:color="auto" w:fill="auto"/>
            <w:noWrap/>
            <w:vAlign w:val="center"/>
            <w:hideMark/>
          </w:tcPr>
          <w:p w14:paraId="43CA2DC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70971633</w:t>
            </w:r>
          </w:p>
        </w:tc>
        <w:tc>
          <w:tcPr>
            <w:tcW w:w="3360" w:type="pct"/>
            <w:tcBorders>
              <w:top w:val="nil"/>
              <w:left w:val="nil"/>
              <w:bottom w:val="single" w:sz="4" w:space="0" w:color="auto"/>
              <w:right w:val="single" w:sz="4" w:space="0" w:color="auto"/>
            </w:tcBorders>
            <w:shd w:val="clear" w:color="auto" w:fill="auto"/>
            <w:vAlign w:val="center"/>
            <w:hideMark/>
          </w:tcPr>
          <w:p w14:paraId="3E4B175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STARA VRHNIKA</w:t>
            </w:r>
          </w:p>
        </w:tc>
      </w:tr>
      <w:tr w:rsidR="00E3750C" w:rsidRPr="00415AB3" w14:paraId="4CAE8E1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CBA320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1600</w:t>
            </w:r>
          </w:p>
        </w:tc>
        <w:tc>
          <w:tcPr>
            <w:tcW w:w="705" w:type="pct"/>
            <w:tcBorders>
              <w:top w:val="nil"/>
              <w:left w:val="nil"/>
              <w:bottom w:val="single" w:sz="4" w:space="0" w:color="auto"/>
              <w:right w:val="single" w:sz="4" w:space="0" w:color="auto"/>
            </w:tcBorders>
            <w:shd w:val="clear" w:color="auto" w:fill="auto"/>
            <w:noWrap/>
            <w:vAlign w:val="center"/>
            <w:hideMark/>
          </w:tcPr>
          <w:p w14:paraId="1E1D068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5235375000</w:t>
            </w:r>
          </w:p>
        </w:tc>
        <w:tc>
          <w:tcPr>
            <w:tcW w:w="547" w:type="pct"/>
            <w:tcBorders>
              <w:top w:val="nil"/>
              <w:left w:val="nil"/>
              <w:bottom w:val="single" w:sz="4" w:space="0" w:color="auto"/>
              <w:right w:val="single" w:sz="4" w:space="0" w:color="auto"/>
            </w:tcBorders>
            <w:shd w:val="clear" w:color="auto" w:fill="auto"/>
            <w:noWrap/>
            <w:vAlign w:val="center"/>
            <w:hideMark/>
          </w:tcPr>
          <w:p w14:paraId="5A909C1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28273621</w:t>
            </w:r>
          </w:p>
        </w:tc>
        <w:tc>
          <w:tcPr>
            <w:tcW w:w="3360" w:type="pct"/>
            <w:tcBorders>
              <w:top w:val="nil"/>
              <w:left w:val="nil"/>
              <w:bottom w:val="single" w:sz="4" w:space="0" w:color="auto"/>
              <w:right w:val="single" w:sz="4" w:space="0" w:color="auto"/>
            </w:tcBorders>
            <w:shd w:val="clear" w:color="auto" w:fill="auto"/>
            <w:vAlign w:val="center"/>
            <w:hideMark/>
          </w:tcPr>
          <w:p w14:paraId="78C22FB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STOŽICE</w:t>
            </w:r>
          </w:p>
        </w:tc>
      </w:tr>
      <w:tr w:rsidR="00E3750C" w:rsidRPr="00415AB3" w14:paraId="2559C73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F8E3B8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1601</w:t>
            </w:r>
          </w:p>
        </w:tc>
        <w:tc>
          <w:tcPr>
            <w:tcW w:w="705" w:type="pct"/>
            <w:tcBorders>
              <w:top w:val="nil"/>
              <w:left w:val="nil"/>
              <w:bottom w:val="single" w:sz="4" w:space="0" w:color="auto"/>
              <w:right w:val="single" w:sz="4" w:space="0" w:color="auto"/>
            </w:tcBorders>
            <w:shd w:val="clear" w:color="auto" w:fill="auto"/>
            <w:noWrap/>
            <w:vAlign w:val="center"/>
            <w:hideMark/>
          </w:tcPr>
          <w:p w14:paraId="6E8DCFA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5138060000</w:t>
            </w:r>
          </w:p>
        </w:tc>
        <w:tc>
          <w:tcPr>
            <w:tcW w:w="547" w:type="pct"/>
            <w:tcBorders>
              <w:top w:val="nil"/>
              <w:left w:val="nil"/>
              <w:bottom w:val="single" w:sz="4" w:space="0" w:color="auto"/>
              <w:right w:val="single" w:sz="4" w:space="0" w:color="auto"/>
            </w:tcBorders>
            <w:shd w:val="clear" w:color="auto" w:fill="auto"/>
            <w:noWrap/>
            <w:vAlign w:val="center"/>
            <w:hideMark/>
          </w:tcPr>
          <w:p w14:paraId="51651DC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55822274</w:t>
            </w:r>
          </w:p>
        </w:tc>
        <w:tc>
          <w:tcPr>
            <w:tcW w:w="3360" w:type="pct"/>
            <w:tcBorders>
              <w:top w:val="nil"/>
              <w:left w:val="nil"/>
              <w:bottom w:val="single" w:sz="4" w:space="0" w:color="auto"/>
              <w:right w:val="single" w:sz="4" w:space="0" w:color="auto"/>
            </w:tcBorders>
            <w:shd w:val="clear" w:color="auto" w:fill="auto"/>
            <w:vAlign w:val="center"/>
            <w:hideMark/>
          </w:tcPr>
          <w:p w14:paraId="2F35285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ŠEMPETER V SAVINJSKI DOLINI</w:t>
            </w:r>
          </w:p>
        </w:tc>
      </w:tr>
      <w:tr w:rsidR="00E3750C" w:rsidRPr="00415AB3" w14:paraId="0906351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03D07A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1602</w:t>
            </w:r>
          </w:p>
        </w:tc>
        <w:tc>
          <w:tcPr>
            <w:tcW w:w="705" w:type="pct"/>
            <w:tcBorders>
              <w:top w:val="nil"/>
              <w:left w:val="nil"/>
              <w:bottom w:val="single" w:sz="4" w:space="0" w:color="auto"/>
              <w:right w:val="single" w:sz="4" w:space="0" w:color="auto"/>
            </w:tcBorders>
            <w:shd w:val="clear" w:color="auto" w:fill="auto"/>
            <w:noWrap/>
            <w:vAlign w:val="center"/>
            <w:hideMark/>
          </w:tcPr>
          <w:p w14:paraId="405BC77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5210151000</w:t>
            </w:r>
          </w:p>
        </w:tc>
        <w:tc>
          <w:tcPr>
            <w:tcW w:w="547" w:type="pct"/>
            <w:tcBorders>
              <w:top w:val="nil"/>
              <w:left w:val="nil"/>
              <w:bottom w:val="single" w:sz="4" w:space="0" w:color="auto"/>
              <w:right w:val="single" w:sz="4" w:space="0" w:color="auto"/>
            </w:tcBorders>
            <w:shd w:val="clear" w:color="auto" w:fill="auto"/>
            <w:noWrap/>
            <w:vAlign w:val="center"/>
            <w:hideMark/>
          </w:tcPr>
          <w:p w14:paraId="1BFF2D3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87398940</w:t>
            </w:r>
          </w:p>
        </w:tc>
        <w:tc>
          <w:tcPr>
            <w:tcW w:w="3360" w:type="pct"/>
            <w:tcBorders>
              <w:top w:val="nil"/>
              <w:left w:val="nil"/>
              <w:bottom w:val="single" w:sz="4" w:space="0" w:color="auto"/>
              <w:right w:val="single" w:sz="4" w:space="0" w:color="auto"/>
            </w:tcBorders>
            <w:shd w:val="clear" w:color="auto" w:fill="auto"/>
            <w:vAlign w:val="center"/>
            <w:hideMark/>
          </w:tcPr>
          <w:p w14:paraId="2776862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ŠMARTNO OB SAVI</w:t>
            </w:r>
          </w:p>
        </w:tc>
      </w:tr>
      <w:tr w:rsidR="00E3750C" w:rsidRPr="00415AB3" w14:paraId="3D4298C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E300E9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1603</w:t>
            </w:r>
          </w:p>
        </w:tc>
        <w:tc>
          <w:tcPr>
            <w:tcW w:w="705" w:type="pct"/>
            <w:tcBorders>
              <w:top w:val="nil"/>
              <w:left w:val="nil"/>
              <w:bottom w:val="single" w:sz="4" w:space="0" w:color="auto"/>
              <w:right w:val="single" w:sz="4" w:space="0" w:color="auto"/>
            </w:tcBorders>
            <w:shd w:val="clear" w:color="auto" w:fill="auto"/>
            <w:noWrap/>
            <w:vAlign w:val="center"/>
            <w:hideMark/>
          </w:tcPr>
          <w:p w14:paraId="24ACC97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5131405000</w:t>
            </w:r>
          </w:p>
        </w:tc>
        <w:tc>
          <w:tcPr>
            <w:tcW w:w="547" w:type="pct"/>
            <w:tcBorders>
              <w:top w:val="nil"/>
              <w:left w:val="nil"/>
              <w:bottom w:val="single" w:sz="4" w:space="0" w:color="auto"/>
              <w:right w:val="single" w:sz="4" w:space="0" w:color="auto"/>
            </w:tcBorders>
            <w:shd w:val="clear" w:color="auto" w:fill="auto"/>
            <w:noWrap/>
            <w:vAlign w:val="center"/>
            <w:hideMark/>
          </w:tcPr>
          <w:p w14:paraId="13BAAC4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55247881</w:t>
            </w:r>
          </w:p>
        </w:tc>
        <w:tc>
          <w:tcPr>
            <w:tcW w:w="3360" w:type="pct"/>
            <w:tcBorders>
              <w:top w:val="nil"/>
              <w:left w:val="nil"/>
              <w:bottom w:val="single" w:sz="4" w:space="0" w:color="auto"/>
              <w:right w:val="single" w:sz="4" w:space="0" w:color="auto"/>
            </w:tcBorders>
            <w:shd w:val="clear" w:color="auto" w:fill="auto"/>
            <w:vAlign w:val="center"/>
            <w:hideMark/>
          </w:tcPr>
          <w:p w14:paraId="7B711BC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ŠMARTNO PRI LITIJI</w:t>
            </w:r>
          </w:p>
        </w:tc>
      </w:tr>
      <w:tr w:rsidR="00E3750C" w:rsidRPr="00415AB3" w14:paraId="24DEEDB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EEBBFD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1604</w:t>
            </w:r>
          </w:p>
        </w:tc>
        <w:tc>
          <w:tcPr>
            <w:tcW w:w="705" w:type="pct"/>
            <w:tcBorders>
              <w:top w:val="nil"/>
              <w:left w:val="nil"/>
              <w:bottom w:val="single" w:sz="4" w:space="0" w:color="auto"/>
              <w:right w:val="single" w:sz="4" w:space="0" w:color="auto"/>
            </w:tcBorders>
            <w:shd w:val="clear" w:color="auto" w:fill="auto"/>
            <w:noWrap/>
            <w:vAlign w:val="center"/>
            <w:hideMark/>
          </w:tcPr>
          <w:p w14:paraId="752C7C9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5013500000</w:t>
            </w:r>
          </w:p>
        </w:tc>
        <w:tc>
          <w:tcPr>
            <w:tcW w:w="547" w:type="pct"/>
            <w:tcBorders>
              <w:top w:val="nil"/>
              <w:left w:val="nil"/>
              <w:bottom w:val="single" w:sz="4" w:space="0" w:color="auto"/>
              <w:right w:val="single" w:sz="4" w:space="0" w:color="auto"/>
            </w:tcBorders>
            <w:shd w:val="clear" w:color="auto" w:fill="auto"/>
            <w:noWrap/>
            <w:vAlign w:val="center"/>
            <w:hideMark/>
          </w:tcPr>
          <w:p w14:paraId="46B5927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50798928</w:t>
            </w:r>
          </w:p>
        </w:tc>
        <w:tc>
          <w:tcPr>
            <w:tcW w:w="3360" w:type="pct"/>
            <w:tcBorders>
              <w:top w:val="nil"/>
              <w:left w:val="nil"/>
              <w:bottom w:val="single" w:sz="4" w:space="0" w:color="auto"/>
              <w:right w:val="single" w:sz="4" w:space="0" w:color="auto"/>
            </w:tcBorders>
            <w:shd w:val="clear" w:color="auto" w:fill="auto"/>
            <w:vAlign w:val="center"/>
            <w:hideMark/>
          </w:tcPr>
          <w:p w14:paraId="3EC19E3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ŠOŠTANJ-MESTO</w:t>
            </w:r>
          </w:p>
        </w:tc>
      </w:tr>
      <w:tr w:rsidR="00E3750C" w:rsidRPr="00415AB3" w14:paraId="1F3D135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7530BA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1605</w:t>
            </w:r>
          </w:p>
        </w:tc>
        <w:tc>
          <w:tcPr>
            <w:tcW w:w="705" w:type="pct"/>
            <w:tcBorders>
              <w:top w:val="nil"/>
              <w:left w:val="nil"/>
              <w:bottom w:val="single" w:sz="4" w:space="0" w:color="auto"/>
              <w:right w:val="single" w:sz="4" w:space="0" w:color="auto"/>
            </w:tcBorders>
            <w:shd w:val="clear" w:color="auto" w:fill="auto"/>
            <w:noWrap/>
            <w:vAlign w:val="center"/>
            <w:hideMark/>
          </w:tcPr>
          <w:p w14:paraId="67F2F50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5117348000</w:t>
            </w:r>
          </w:p>
        </w:tc>
        <w:tc>
          <w:tcPr>
            <w:tcW w:w="547" w:type="pct"/>
            <w:tcBorders>
              <w:top w:val="nil"/>
              <w:left w:val="nil"/>
              <w:bottom w:val="single" w:sz="4" w:space="0" w:color="auto"/>
              <w:right w:val="single" w:sz="4" w:space="0" w:color="auto"/>
            </w:tcBorders>
            <w:shd w:val="clear" w:color="auto" w:fill="auto"/>
            <w:noWrap/>
            <w:vAlign w:val="center"/>
            <w:hideMark/>
          </w:tcPr>
          <w:p w14:paraId="6EAE4AC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92618626</w:t>
            </w:r>
          </w:p>
        </w:tc>
        <w:tc>
          <w:tcPr>
            <w:tcW w:w="3360" w:type="pct"/>
            <w:tcBorders>
              <w:top w:val="nil"/>
              <w:left w:val="nil"/>
              <w:bottom w:val="single" w:sz="4" w:space="0" w:color="auto"/>
              <w:right w:val="single" w:sz="4" w:space="0" w:color="auto"/>
            </w:tcBorders>
            <w:shd w:val="clear" w:color="auto" w:fill="auto"/>
            <w:vAlign w:val="center"/>
            <w:hideMark/>
          </w:tcPr>
          <w:p w14:paraId="2F77BA9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ŠTUDA</w:t>
            </w:r>
          </w:p>
        </w:tc>
      </w:tr>
      <w:tr w:rsidR="00E3750C" w:rsidRPr="00415AB3" w14:paraId="7CB6A52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51B88B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1606</w:t>
            </w:r>
          </w:p>
        </w:tc>
        <w:tc>
          <w:tcPr>
            <w:tcW w:w="705" w:type="pct"/>
            <w:tcBorders>
              <w:top w:val="nil"/>
              <w:left w:val="nil"/>
              <w:bottom w:val="single" w:sz="4" w:space="0" w:color="auto"/>
              <w:right w:val="single" w:sz="4" w:space="0" w:color="auto"/>
            </w:tcBorders>
            <w:shd w:val="clear" w:color="auto" w:fill="auto"/>
            <w:noWrap/>
            <w:vAlign w:val="center"/>
            <w:hideMark/>
          </w:tcPr>
          <w:p w14:paraId="0C595A8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1205323000</w:t>
            </w:r>
          </w:p>
        </w:tc>
        <w:tc>
          <w:tcPr>
            <w:tcW w:w="547" w:type="pct"/>
            <w:tcBorders>
              <w:top w:val="nil"/>
              <w:left w:val="nil"/>
              <w:bottom w:val="single" w:sz="4" w:space="0" w:color="auto"/>
              <w:right w:val="single" w:sz="4" w:space="0" w:color="auto"/>
            </w:tcBorders>
            <w:shd w:val="clear" w:color="auto" w:fill="auto"/>
            <w:noWrap/>
            <w:vAlign w:val="center"/>
            <w:hideMark/>
          </w:tcPr>
          <w:p w14:paraId="5AF1E84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91392373</w:t>
            </w:r>
          </w:p>
        </w:tc>
        <w:tc>
          <w:tcPr>
            <w:tcW w:w="3360" w:type="pct"/>
            <w:tcBorders>
              <w:top w:val="nil"/>
              <w:left w:val="nil"/>
              <w:bottom w:val="single" w:sz="4" w:space="0" w:color="auto"/>
              <w:right w:val="single" w:sz="4" w:space="0" w:color="auto"/>
            </w:tcBorders>
            <w:shd w:val="clear" w:color="auto" w:fill="auto"/>
            <w:vAlign w:val="center"/>
            <w:hideMark/>
          </w:tcPr>
          <w:p w14:paraId="0D687E0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TACEN</w:t>
            </w:r>
          </w:p>
        </w:tc>
      </w:tr>
      <w:tr w:rsidR="00E3750C" w:rsidRPr="00415AB3" w14:paraId="429AB19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5EAE39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1607</w:t>
            </w:r>
          </w:p>
        </w:tc>
        <w:tc>
          <w:tcPr>
            <w:tcW w:w="705" w:type="pct"/>
            <w:tcBorders>
              <w:top w:val="nil"/>
              <w:left w:val="nil"/>
              <w:bottom w:val="single" w:sz="4" w:space="0" w:color="auto"/>
              <w:right w:val="single" w:sz="4" w:space="0" w:color="auto"/>
            </w:tcBorders>
            <w:shd w:val="clear" w:color="auto" w:fill="auto"/>
            <w:noWrap/>
            <w:vAlign w:val="center"/>
            <w:hideMark/>
          </w:tcPr>
          <w:p w14:paraId="1F2A25F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5199506000</w:t>
            </w:r>
          </w:p>
        </w:tc>
        <w:tc>
          <w:tcPr>
            <w:tcW w:w="547" w:type="pct"/>
            <w:tcBorders>
              <w:top w:val="nil"/>
              <w:left w:val="nil"/>
              <w:bottom w:val="single" w:sz="4" w:space="0" w:color="auto"/>
              <w:right w:val="single" w:sz="4" w:space="0" w:color="auto"/>
            </w:tcBorders>
            <w:shd w:val="clear" w:color="auto" w:fill="auto"/>
            <w:noWrap/>
            <w:vAlign w:val="center"/>
            <w:hideMark/>
          </w:tcPr>
          <w:p w14:paraId="2F00711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43743323</w:t>
            </w:r>
          </w:p>
        </w:tc>
        <w:tc>
          <w:tcPr>
            <w:tcW w:w="3360" w:type="pct"/>
            <w:tcBorders>
              <w:top w:val="nil"/>
              <w:left w:val="nil"/>
              <w:bottom w:val="single" w:sz="4" w:space="0" w:color="auto"/>
              <w:right w:val="single" w:sz="4" w:space="0" w:color="auto"/>
            </w:tcBorders>
            <w:shd w:val="clear" w:color="auto" w:fill="auto"/>
            <w:vAlign w:val="center"/>
            <w:hideMark/>
          </w:tcPr>
          <w:p w14:paraId="3EFE735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TOMAČEVO - JARŠE</w:t>
            </w:r>
          </w:p>
        </w:tc>
      </w:tr>
      <w:tr w:rsidR="00E3750C" w:rsidRPr="00415AB3" w14:paraId="6D86844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39C769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1608</w:t>
            </w:r>
          </w:p>
        </w:tc>
        <w:tc>
          <w:tcPr>
            <w:tcW w:w="705" w:type="pct"/>
            <w:tcBorders>
              <w:top w:val="nil"/>
              <w:left w:val="nil"/>
              <w:bottom w:val="single" w:sz="4" w:space="0" w:color="auto"/>
              <w:right w:val="single" w:sz="4" w:space="0" w:color="auto"/>
            </w:tcBorders>
            <w:shd w:val="clear" w:color="auto" w:fill="auto"/>
            <w:noWrap/>
            <w:vAlign w:val="center"/>
            <w:hideMark/>
          </w:tcPr>
          <w:p w14:paraId="647DDB7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5259681000</w:t>
            </w:r>
          </w:p>
        </w:tc>
        <w:tc>
          <w:tcPr>
            <w:tcW w:w="547" w:type="pct"/>
            <w:tcBorders>
              <w:top w:val="nil"/>
              <w:left w:val="nil"/>
              <w:bottom w:val="single" w:sz="4" w:space="0" w:color="auto"/>
              <w:right w:val="single" w:sz="4" w:space="0" w:color="auto"/>
            </w:tcBorders>
            <w:shd w:val="clear" w:color="auto" w:fill="auto"/>
            <w:noWrap/>
            <w:vAlign w:val="center"/>
            <w:hideMark/>
          </w:tcPr>
          <w:p w14:paraId="4B5A2E7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81953011</w:t>
            </w:r>
          </w:p>
        </w:tc>
        <w:tc>
          <w:tcPr>
            <w:tcW w:w="3360" w:type="pct"/>
            <w:tcBorders>
              <w:top w:val="nil"/>
              <w:left w:val="nil"/>
              <w:bottom w:val="single" w:sz="4" w:space="0" w:color="auto"/>
              <w:right w:val="single" w:sz="4" w:space="0" w:color="auto"/>
            </w:tcBorders>
            <w:shd w:val="clear" w:color="auto" w:fill="auto"/>
            <w:vAlign w:val="center"/>
            <w:hideMark/>
          </w:tcPr>
          <w:p w14:paraId="5DB46B5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TRATA</w:t>
            </w:r>
          </w:p>
        </w:tc>
      </w:tr>
      <w:tr w:rsidR="00E3750C" w:rsidRPr="00415AB3" w14:paraId="19D8C43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C8C8C6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1609</w:t>
            </w:r>
          </w:p>
        </w:tc>
        <w:tc>
          <w:tcPr>
            <w:tcW w:w="705" w:type="pct"/>
            <w:tcBorders>
              <w:top w:val="nil"/>
              <w:left w:val="nil"/>
              <w:bottom w:val="single" w:sz="4" w:space="0" w:color="auto"/>
              <w:right w:val="single" w:sz="4" w:space="0" w:color="auto"/>
            </w:tcBorders>
            <w:shd w:val="clear" w:color="auto" w:fill="auto"/>
            <w:noWrap/>
            <w:vAlign w:val="center"/>
            <w:hideMark/>
          </w:tcPr>
          <w:p w14:paraId="16F4112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5120357000</w:t>
            </w:r>
          </w:p>
        </w:tc>
        <w:tc>
          <w:tcPr>
            <w:tcW w:w="547" w:type="pct"/>
            <w:tcBorders>
              <w:top w:val="nil"/>
              <w:left w:val="nil"/>
              <w:bottom w:val="single" w:sz="4" w:space="0" w:color="auto"/>
              <w:right w:val="single" w:sz="4" w:space="0" w:color="auto"/>
            </w:tcBorders>
            <w:shd w:val="clear" w:color="auto" w:fill="auto"/>
            <w:noWrap/>
            <w:vAlign w:val="center"/>
            <w:hideMark/>
          </w:tcPr>
          <w:p w14:paraId="2C420F8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42849462</w:t>
            </w:r>
          </w:p>
        </w:tc>
        <w:tc>
          <w:tcPr>
            <w:tcW w:w="3360" w:type="pct"/>
            <w:tcBorders>
              <w:top w:val="nil"/>
              <w:left w:val="nil"/>
              <w:bottom w:val="single" w:sz="4" w:space="0" w:color="auto"/>
              <w:right w:val="single" w:sz="4" w:space="0" w:color="auto"/>
            </w:tcBorders>
            <w:shd w:val="clear" w:color="auto" w:fill="auto"/>
            <w:vAlign w:val="center"/>
            <w:hideMark/>
          </w:tcPr>
          <w:p w14:paraId="7D5AA78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VINICE-ZAPOTOK</w:t>
            </w:r>
          </w:p>
        </w:tc>
      </w:tr>
      <w:tr w:rsidR="00E3750C" w:rsidRPr="00415AB3" w14:paraId="0CB0AE80"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BEBA52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1610</w:t>
            </w:r>
          </w:p>
        </w:tc>
        <w:tc>
          <w:tcPr>
            <w:tcW w:w="705" w:type="pct"/>
            <w:tcBorders>
              <w:top w:val="nil"/>
              <w:left w:val="nil"/>
              <w:bottom w:val="single" w:sz="4" w:space="0" w:color="auto"/>
              <w:right w:val="single" w:sz="4" w:space="0" w:color="auto"/>
            </w:tcBorders>
            <w:shd w:val="clear" w:color="auto" w:fill="auto"/>
            <w:noWrap/>
            <w:vAlign w:val="center"/>
            <w:hideMark/>
          </w:tcPr>
          <w:p w14:paraId="0A2CA89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5135303000</w:t>
            </w:r>
          </w:p>
        </w:tc>
        <w:tc>
          <w:tcPr>
            <w:tcW w:w="547" w:type="pct"/>
            <w:tcBorders>
              <w:top w:val="nil"/>
              <w:left w:val="nil"/>
              <w:bottom w:val="single" w:sz="4" w:space="0" w:color="auto"/>
              <w:right w:val="single" w:sz="4" w:space="0" w:color="auto"/>
            </w:tcBorders>
            <w:shd w:val="clear" w:color="auto" w:fill="auto"/>
            <w:noWrap/>
            <w:vAlign w:val="center"/>
            <w:hideMark/>
          </w:tcPr>
          <w:p w14:paraId="6E4C31E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58293906</w:t>
            </w:r>
          </w:p>
        </w:tc>
        <w:tc>
          <w:tcPr>
            <w:tcW w:w="3360" w:type="pct"/>
            <w:tcBorders>
              <w:top w:val="nil"/>
              <w:left w:val="nil"/>
              <w:bottom w:val="single" w:sz="4" w:space="0" w:color="auto"/>
              <w:right w:val="single" w:sz="4" w:space="0" w:color="auto"/>
            </w:tcBorders>
            <w:shd w:val="clear" w:color="auto" w:fill="auto"/>
            <w:vAlign w:val="center"/>
            <w:hideMark/>
          </w:tcPr>
          <w:p w14:paraId="7C2403B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ZADOBROVA - SNEBERJE - NOVO POLJE</w:t>
            </w:r>
          </w:p>
        </w:tc>
      </w:tr>
      <w:tr w:rsidR="00E3750C" w:rsidRPr="00415AB3" w14:paraId="2CBA33E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1231E9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1611</w:t>
            </w:r>
          </w:p>
        </w:tc>
        <w:tc>
          <w:tcPr>
            <w:tcW w:w="705" w:type="pct"/>
            <w:tcBorders>
              <w:top w:val="nil"/>
              <w:left w:val="nil"/>
              <w:bottom w:val="single" w:sz="4" w:space="0" w:color="auto"/>
              <w:right w:val="single" w:sz="4" w:space="0" w:color="auto"/>
            </w:tcBorders>
            <w:shd w:val="clear" w:color="auto" w:fill="auto"/>
            <w:noWrap/>
            <w:vAlign w:val="center"/>
            <w:hideMark/>
          </w:tcPr>
          <w:p w14:paraId="6B58981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5246903000</w:t>
            </w:r>
          </w:p>
        </w:tc>
        <w:tc>
          <w:tcPr>
            <w:tcW w:w="547" w:type="pct"/>
            <w:tcBorders>
              <w:top w:val="nil"/>
              <w:left w:val="nil"/>
              <w:bottom w:val="single" w:sz="4" w:space="0" w:color="auto"/>
              <w:right w:val="single" w:sz="4" w:space="0" w:color="auto"/>
            </w:tcBorders>
            <w:shd w:val="clear" w:color="auto" w:fill="auto"/>
            <w:noWrap/>
            <w:vAlign w:val="center"/>
            <w:hideMark/>
          </w:tcPr>
          <w:p w14:paraId="40D058B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12008206</w:t>
            </w:r>
          </w:p>
        </w:tc>
        <w:tc>
          <w:tcPr>
            <w:tcW w:w="3360" w:type="pct"/>
            <w:tcBorders>
              <w:top w:val="nil"/>
              <w:left w:val="nil"/>
              <w:bottom w:val="single" w:sz="4" w:space="0" w:color="auto"/>
              <w:right w:val="single" w:sz="4" w:space="0" w:color="auto"/>
            </w:tcBorders>
            <w:shd w:val="clear" w:color="auto" w:fill="auto"/>
            <w:vAlign w:val="center"/>
            <w:hideMark/>
          </w:tcPr>
          <w:p w14:paraId="13E7552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ZALOG - SP.KAŠELJ</w:t>
            </w:r>
          </w:p>
        </w:tc>
      </w:tr>
      <w:tr w:rsidR="00E3750C" w:rsidRPr="00415AB3" w14:paraId="547DDD9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E66C98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1612</w:t>
            </w:r>
          </w:p>
        </w:tc>
        <w:tc>
          <w:tcPr>
            <w:tcW w:w="705" w:type="pct"/>
            <w:tcBorders>
              <w:top w:val="nil"/>
              <w:left w:val="nil"/>
              <w:bottom w:val="single" w:sz="4" w:space="0" w:color="auto"/>
              <w:right w:val="single" w:sz="4" w:space="0" w:color="auto"/>
            </w:tcBorders>
            <w:shd w:val="clear" w:color="auto" w:fill="auto"/>
            <w:noWrap/>
            <w:vAlign w:val="center"/>
            <w:hideMark/>
          </w:tcPr>
          <w:p w14:paraId="484D8C3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5233453000</w:t>
            </w:r>
          </w:p>
        </w:tc>
        <w:tc>
          <w:tcPr>
            <w:tcW w:w="547" w:type="pct"/>
            <w:tcBorders>
              <w:top w:val="nil"/>
              <w:left w:val="nil"/>
              <w:bottom w:val="single" w:sz="4" w:space="0" w:color="auto"/>
              <w:right w:val="single" w:sz="4" w:space="0" w:color="auto"/>
            </w:tcBorders>
            <w:shd w:val="clear" w:color="auto" w:fill="auto"/>
            <w:noWrap/>
            <w:vAlign w:val="center"/>
            <w:hideMark/>
          </w:tcPr>
          <w:p w14:paraId="6208195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16081013</w:t>
            </w:r>
          </w:p>
        </w:tc>
        <w:tc>
          <w:tcPr>
            <w:tcW w:w="3360" w:type="pct"/>
            <w:tcBorders>
              <w:top w:val="nil"/>
              <w:left w:val="nil"/>
              <w:bottom w:val="single" w:sz="4" w:space="0" w:color="auto"/>
              <w:right w:val="single" w:sz="4" w:space="0" w:color="auto"/>
            </w:tcBorders>
            <w:shd w:val="clear" w:color="auto" w:fill="auto"/>
            <w:vAlign w:val="center"/>
            <w:hideMark/>
          </w:tcPr>
          <w:p w14:paraId="6BC08A1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ZGORNJA ŠIŠKA</w:t>
            </w:r>
          </w:p>
        </w:tc>
      </w:tr>
      <w:tr w:rsidR="00E3750C" w:rsidRPr="00415AB3" w14:paraId="3AFD1F6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BAA7F8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1613</w:t>
            </w:r>
          </w:p>
        </w:tc>
        <w:tc>
          <w:tcPr>
            <w:tcW w:w="705" w:type="pct"/>
            <w:tcBorders>
              <w:top w:val="nil"/>
              <w:left w:val="nil"/>
              <w:bottom w:val="single" w:sz="4" w:space="0" w:color="auto"/>
              <w:right w:val="single" w:sz="4" w:space="0" w:color="auto"/>
            </w:tcBorders>
            <w:shd w:val="clear" w:color="auto" w:fill="auto"/>
            <w:noWrap/>
            <w:vAlign w:val="center"/>
            <w:hideMark/>
          </w:tcPr>
          <w:p w14:paraId="56EA8B0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5128994000</w:t>
            </w:r>
          </w:p>
        </w:tc>
        <w:tc>
          <w:tcPr>
            <w:tcW w:w="547" w:type="pct"/>
            <w:tcBorders>
              <w:top w:val="nil"/>
              <w:left w:val="nil"/>
              <w:bottom w:val="single" w:sz="4" w:space="0" w:color="auto"/>
              <w:right w:val="single" w:sz="4" w:space="0" w:color="auto"/>
            </w:tcBorders>
            <w:shd w:val="clear" w:color="auto" w:fill="auto"/>
            <w:noWrap/>
            <w:vAlign w:val="center"/>
            <w:hideMark/>
          </w:tcPr>
          <w:p w14:paraId="7EE4352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67805795</w:t>
            </w:r>
          </w:p>
        </w:tc>
        <w:tc>
          <w:tcPr>
            <w:tcW w:w="3360" w:type="pct"/>
            <w:tcBorders>
              <w:top w:val="nil"/>
              <w:left w:val="nil"/>
              <w:bottom w:val="single" w:sz="4" w:space="0" w:color="auto"/>
              <w:right w:val="single" w:sz="4" w:space="0" w:color="auto"/>
            </w:tcBorders>
            <w:shd w:val="clear" w:color="auto" w:fill="auto"/>
            <w:vAlign w:val="center"/>
            <w:hideMark/>
          </w:tcPr>
          <w:p w14:paraId="13D7059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ŽEJE BISTRICA</w:t>
            </w:r>
          </w:p>
        </w:tc>
      </w:tr>
      <w:tr w:rsidR="00E3750C" w:rsidRPr="00415AB3" w14:paraId="5E533FC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BA9C3A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1614</w:t>
            </w:r>
          </w:p>
        </w:tc>
        <w:tc>
          <w:tcPr>
            <w:tcW w:w="705" w:type="pct"/>
            <w:tcBorders>
              <w:top w:val="nil"/>
              <w:left w:val="nil"/>
              <w:bottom w:val="single" w:sz="4" w:space="0" w:color="auto"/>
              <w:right w:val="single" w:sz="4" w:space="0" w:color="auto"/>
            </w:tcBorders>
            <w:shd w:val="clear" w:color="auto" w:fill="auto"/>
            <w:noWrap/>
            <w:vAlign w:val="center"/>
            <w:hideMark/>
          </w:tcPr>
          <w:p w14:paraId="5AC48BD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5153867000</w:t>
            </w:r>
          </w:p>
        </w:tc>
        <w:tc>
          <w:tcPr>
            <w:tcW w:w="547" w:type="pct"/>
            <w:tcBorders>
              <w:top w:val="nil"/>
              <w:left w:val="nil"/>
              <w:bottom w:val="single" w:sz="4" w:space="0" w:color="auto"/>
              <w:right w:val="single" w:sz="4" w:space="0" w:color="auto"/>
            </w:tcBorders>
            <w:shd w:val="clear" w:color="auto" w:fill="auto"/>
            <w:noWrap/>
            <w:vAlign w:val="center"/>
            <w:hideMark/>
          </w:tcPr>
          <w:p w14:paraId="4136196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77846788</w:t>
            </w:r>
          </w:p>
        </w:tc>
        <w:tc>
          <w:tcPr>
            <w:tcW w:w="3360" w:type="pct"/>
            <w:tcBorders>
              <w:top w:val="nil"/>
              <w:left w:val="nil"/>
              <w:bottom w:val="single" w:sz="4" w:space="0" w:color="auto"/>
              <w:right w:val="single" w:sz="4" w:space="0" w:color="auto"/>
            </w:tcBorders>
            <w:shd w:val="clear" w:color="auto" w:fill="auto"/>
            <w:vAlign w:val="center"/>
            <w:hideMark/>
          </w:tcPr>
          <w:p w14:paraId="5378DA1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PROSTOVOLJNO GASILSKO DRUŠTVO ŽELEZNIKI</w:t>
            </w:r>
          </w:p>
        </w:tc>
      </w:tr>
      <w:tr w:rsidR="00E3750C" w:rsidRPr="00415AB3" w14:paraId="6490CC3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AC2A19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1615</w:t>
            </w:r>
          </w:p>
        </w:tc>
        <w:tc>
          <w:tcPr>
            <w:tcW w:w="705" w:type="pct"/>
            <w:tcBorders>
              <w:top w:val="nil"/>
              <w:left w:val="nil"/>
              <w:bottom w:val="single" w:sz="4" w:space="0" w:color="auto"/>
              <w:right w:val="single" w:sz="4" w:space="0" w:color="auto"/>
            </w:tcBorders>
            <w:shd w:val="clear" w:color="auto" w:fill="auto"/>
            <w:noWrap/>
            <w:vAlign w:val="center"/>
            <w:hideMark/>
          </w:tcPr>
          <w:p w14:paraId="57BCFD3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5085535000</w:t>
            </w:r>
          </w:p>
        </w:tc>
        <w:tc>
          <w:tcPr>
            <w:tcW w:w="547" w:type="pct"/>
            <w:tcBorders>
              <w:top w:val="nil"/>
              <w:left w:val="nil"/>
              <w:bottom w:val="single" w:sz="4" w:space="0" w:color="auto"/>
              <w:right w:val="single" w:sz="4" w:space="0" w:color="auto"/>
            </w:tcBorders>
            <w:shd w:val="clear" w:color="auto" w:fill="auto"/>
            <w:noWrap/>
            <w:vAlign w:val="center"/>
            <w:hideMark/>
          </w:tcPr>
          <w:p w14:paraId="084AC9A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41623878</w:t>
            </w:r>
          </w:p>
        </w:tc>
        <w:tc>
          <w:tcPr>
            <w:tcW w:w="3360" w:type="pct"/>
            <w:tcBorders>
              <w:top w:val="nil"/>
              <w:left w:val="nil"/>
              <w:bottom w:val="single" w:sz="4" w:space="0" w:color="auto"/>
              <w:right w:val="single" w:sz="4" w:space="0" w:color="auto"/>
            </w:tcBorders>
            <w:shd w:val="clear" w:color="auto" w:fill="auto"/>
            <w:vAlign w:val="center"/>
            <w:hideMark/>
          </w:tcPr>
          <w:p w14:paraId="3827A92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PRVA GIMNAZIJA MARIBOR</w:t>
            </w:r>
          </w:p>
        </w:tc>
      </w:tr>
      <w:tr w:rsidR="00E3750C" w:rsidRPr="00415AB3" w14:paraId="6B46E53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1F7BA7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1616</w:t>
            </w:r>
          </w:p>
        </w:tc>
        <w:tc>
          <w:tcPr>
            <w:tcW w:w="705" w:type="pct"/>
            <w:tcBorders>
              <w:top w:val="nil"/>
              <w:left w:val="nil"/>
              <w:bottom w:val="single" w:sz="4" w:space="0" w:color="auto"/>
              <w:right w:val="single" w:sz="4" w:space="0" w:color="auto"/>
            </w:tcBorders>
            <w:shd w:val="clear" w:color="auto" w:fill="auto"/>
            <w:noWrap/>
            <w:vAlign w:val="center"/>
            <w:hideMark/>
          </w:tcPr>
          <w:p w14:paraId="37B9489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5089395000</w:t>
            </w:r>
          </w:p>
        </w:tc>
        <w:tc>
          <w:tcPr>
            <w:tcW w:w="547" w:type="pct"/>
            <w:tcBorders>
              <w:top w:val="nil"/>
              <w:left w:val="nil"/>
              <w:bottom w:val="single" w:sz="4" w:space="0" w:color="auto"/>
              <w:right w:val="single" w:sz="4" w:space="0" w:color="auto"/>
            </w:tcBorders>
            <w:shd w:val="clear" w:color="auto" w:fill="auto"/>
            <w:noWrap/>
            <w:vAlign w:val="center"/>
            <w:hideMark/>
          </w:tcPr>
          <w:p w14:paraId="5A21944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23083972</w:t>
            </w:r>
          </w:p>
        </w:tc>
        <w:tc>
          <w:tcPr>
            <w:tcW w:w="3360" w:type="pct"/>
            <w:tcBorders>
              <w:top w:val="nil"/>
              <w:left w:val="nil"/>
              <w:bottom w:val="single" w:sz="4" w:space="0" w:color="auto"/>
              <w:right w:val="single" w:sz="4" w:space="0" w:color="auto"/>
            </w:tcBorders>
            <w:shd w:val="clear" w:color="auto" w:fill="auto"/>
            <w:vAlign w:val="center"/>
            <w:hideMark/>
          </w:tcPr>
          <w:p w14:paraId="55424B1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PRVA OSNOVNA ŠOLA SLOVENJ GRADEC</w:t>
            </w:r>
          </w:p>
        </w:tc>
      </w:tr>
      <w:tr w:rsidR="00E3750C" w:rsidRPr="00415AB3" w14:paraId="1D4BF4B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9D4CD4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1617</w:t>
            </w:r>
          </w:p>
        </w:tc>
        <w:tc>
          <w:tcPr>
            <w:tcW w:w="705" w:type="pct"/>
            <w:tcBorders>
              <w:top w:val="nil"/>
              <w:left w:val="nil"/>
              <w:bottom w:val="single" w:sz="4" w:space="0" w:color="auto"/>
              <w:right w:val="single" w:sz="4" w:space="0" w:color="auto"/>
            </w:tcBorders>
            <w:shd w:val="clear" w:color="auto" w:fill="auto"/>
            <w:noWrap/>
            <w:vAlign w:val="center"/>
            <w:hideMark/>
          </w:tcPr>
          <w:p w14:paraId="13D48D6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5054818000</w:t>
            </w:r>
          </w:p>
        </w:tc>
        <w:tc>
          <w:tcPr>
            <w:tcW w:w="547" w:type="pct"/>
            <w:tcBorders>
              <w:top w:val="nil"/>
              <w:left w:val="nil"/>
              <w:bottom w:val="single" w:sz="4" w:space="0" w:color="auto"/>
              <w:right w:val="single" w:sz="4" w:space="0" w:color="auto"/>
            </w:tcBorders>
            <w:shd w:val="clear" w:color="auto" w:fill="auto"/>
            <w:noWrap/>
            <w:vAlign w:val="center"/>
            <w:hideMark/>
          </w:tcPr>
          <w:p w14:paraId="5C40F25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94700699</w:t>
            </w:r>
          </w:p>
        </w:tc>
        <w:tc>
          <w:tcPr>
            <w:tcW w:w="3360" w:type="pct"/>
            <w:tcBorders>
              <w:top w:val="nil"/>
              <w:left w:val="nil"/>
              <w:bottom w:val="single" w:sz="4" w:space="0" w:color="auto"/>
              <w:right w:val="single" w:sz="4" w:space="0" w:color="auto"/>
            </w:tcBorders>
            <w:shd w:val="clear" w:color="auto" w:fill="auto"/>
            <w:vAlign w:val="center"/>
            <w:hideMark/>
          </w:tcPr>
          <w:p w14:paraId="429D081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PSIHIATRIČNA BOLNIŠNICA BEGUNJE</w:t>
            </w:r>
          </w:p>
        </w:tc>
      </w:tr>
      <w:tr w:rsidR="00E3750C" w:rsidRPr="00415AB3" w14:paraId="14E1A18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5F8816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1618</w:t>
            </w:r>
          </w:p>
        </w:tc>
        <w:tc>
          <w:tcPr>
            <w:tcW w:w="705" w:type="pct"/>
            <w:tcBorders>
              <w:top w:val="nil"/>
              <w:left w:val="nil"/>
              <w:bottom w:val="single" w:sz="4" w:space="0" w:color="auto"/>
              <w:right w:val="single" w:sz="4" w:space="0" w:color="auto"/>
            </w:tcBorders>
            <w:shd w:val="clear" w:color="auto" w:fill="auto"/>
            <w:noWrap/>
            <w:vAlign w:val="center"/>
            <w:hideMark/>
          </w:tcPr>
          <w:p w14:paraId="298818B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5053668000</w:t>
            </w:r>
          </w:p>
        </w:tc>
        <w:tc>
          <w:tcPr>
            <w:tcW w:w="547" w:type="pct"/>
            <w:tcBorders>
              <w:top w:val="nil"/>
              <w:left w:val="nil"/>
              <w:bottom w:val="single" w:sz="4" w:space="0" w:color="auto"/>
              <w:right w:val="single" w:sz="4" w:space="0" w:color="auto"/>
            </w:tcBorders>
            <w:shd w:val="clear" w:color="auto" w:fill="auto"/>
            <w:noWrap/>
            <w:vAlign w:val="center"/>
            <w:hideMark/>
          </w:tcPr>
          <w:p w14:paraId="6529F4D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73393789</w:t>
            </w:r>
          </w:p>
        </w:tc>
        <w:tc>
          <w:tcPr>
            <w:tcW w:w="3360" w:type="pct"/>
            <w:tcBorders>
              <w:top w:val="nil"/>
              <w:left w:val="nil"/>
              <w:bottom w:val="single" w:sz="4" w:space="0" w:color="auto"/>
              <w:right w:val="single" w:sz="4" w:space="0" w:color="auto"/>
            </w:tcBorders>
            <w:shd w:val="clear" w:color="auto" w:fill="auto"/>
            <w:vAlign w:val="center"/>
            <w:hideMark/>
          </w:tcPr>
          <w:p w14:paraId="15A277F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PSIHIATRIČNA BOLNIŠNICA IDRIJA</w:t>
            </w:r>
          </w:p>
        </w:tc>
      </w:tr>
      <w:tr w:rsidR="00E3750C" w:rsidRPr="00415AB3" w14:paraId="3F3CAD2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EFEFE4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1619</w:t>
            </w:r>
          </w:p>
        </w:tc>
        <w:tc>
          <w:tcPr>
            <w:tcW w:w="705" w:type="pct"/>
            <w:tcBorders>
              <w:top w:val="nil"/>
              <w:left w:val="nil"/>
              <w:bottom w:val="single" w:sz="4" w:space="0" w:color="auto"/>
              <w:right w:val="single" w:sz="4" w:space="0" w:color="auto"/>
            </w:tcBorders>
            <w:shd w:val="clear" w:color="auto" w:fill="auto"/>
            <w:noWrap/>
            <w:vAlign w:val="center"/>
            <w:hideMark/>
          </w:tcPr>
          <w:p w14:paraId="076EC1A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5054788000</w:t>
            </w:r>
          </w:p>
        </w:tc>
        <w:tc>
          <w:tcPr>
            <w:tcW w:w="547" w:type="pct"/>
            <w:tcBorders>
              <w:top w:val="nil"/>
              <w:left w:val="nil"/>
              <w:bottom w:val="single" w:sz="4" w:space="0" w:color="auto"/>
              <w:right w:val="single" w:sz="4" w:space="0" w:color="auto"/>
            </w:tcBorders>
            <w:shd w:val="clear" w:color="auto" w:fill="auto"/>
            <w:noWrap/>
            <w:vAlign w:val="center"/>
            <w:hideMark/>
          </w:tcPr>
          <w:p w14:paraId="3F07791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98922904</w:t>
            </w:r>
          </w:p>
        </w:tc>
        <w:tc>
          <w:tcPr>
            <w:tcW w:w="3360" w:type="pct"/>
            <w:tcBorders>
              <w:top w:val="nil"/>
              <w:left w:val="nil"/>
              <w:bottom w:val="single" w:sz="4" w:space="0" w:color="auto"/>
              <w:right w:val="single" w:sz="4" w:space="0" w:color="auto"/>
            </w:tcBorders>
            <w:shd w:val="clear" w:color="auto" w:fill="auto"/>
            <w:vAlign w:val="center"/>
            <w:hideMark/>
          </w:tcPr>
          <w:p w14:paraId="1CBDFA6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PSIHIATRIČNA BOLNIŠNICA ORMOŽ</w:t>
            </w:r>
          </w:p>
        </w:tc>
      </w:tr>
      <w:tr w:rsidR="00E3750C" w:rsidRPr="00415AB3" w14:paraId="76A083F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5CB28D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1620</w:t>
            </w:r>
          </w:p>
        </w:tc>
        <w:tc>
          <w:tcPr>
            <w:tcW w:w="705" w:type="pct"/>
            <w:tcBorders>
              <w:top w:val="nil"/>
              <w:left w:val="nil"/>
              <w:bottom w:val="single" w:sz="4" w:space="0" w:color="auto"/>
              <w:right w:val="single" w:sz="4" w:space="0" w:color="auto"/>
            </w:tcBorders>
            <w:shd w:val="clear" w:color="auto" w:fill="auto"/>
            <w:noWrap/>
            <w:vAlign w:val="center"/>
            <w:hideMark/>
          </w:tcPr>
          <w:p w14:paraId="2DEB06D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5685800000</w:t>
            </w:r>
          </w:p>
        </w:tc>
        <w:tc>
          <w:tcPr>
            <w:tcW w:w="547" w:type="pct"/>
            <w:tcBorders>
              <w:top w:val="nil"/>
              <w:left w:val="nil"/>
              <w:bottom w:val="single" w:sz="4" w:space="0" w:color="auto"/>
              <w:right w:val="single" w:sz="4" w:space="0" w:color="auto"/>
            </w:tcBorders>
            <w:shd w:val="clear" w:color="auto" w:fill="auto"/>
            <w:noWrap/>
            <w:vAlign w:val="center"/>
            <w:hideMark/>
          </w:tcPr>
          <w:p w14:paraId="2C714EA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44691025</w:t>
            </w:r>
          </w:p>
        </w:tc>
        <w:tc>
          <w:tcPr>
            <w:tcW w:w="3360" w:type="pct"/>
            <w:tcBorders>
              <w:top w:val="nil"/>
              <w:left w:val="nil"/>
              <w:bottom w:val="single" w:sz="4" w:space="0" w:color="auto"/>
              <w:right w:val="single" w:sz="4" w:space="0" w:color="auto"/>
            </w:tcBorders>
            <w:shd w:val="clear" w:color="auto" w:fill="auto"/>
            <w:vAlign w:val="center"/>
            <w:hideMark/>
          </w:tcPr>
          <w:p w14:paraId="11E4190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PSIHIATRIČNA BOLNIŠNICA VOJNIK</w:t>
            </w:r>
          </w:p>
        </w:tc>
      </w:tr>
      <w:tr w:rsidR="00E3750C" w:rsidRPr="00415AB3" w14:paraId="5AE00DD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6F2BE6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1621</w:t>
            </w:r>
          </w:p>
        </w:tc>
        <w:tc>
          <w:tcPr>
            <w:tcW w:w="705" w:type="pct"/>
            <w:tcBorders>
              <w:top w:val="nil"/>
              <w:left w:val="nil"/>
              <w:bottom w:val="single" w:sz="4" w:space="0" w:color="auto"/>
              <w:right w:val="single" w:sz="4" w:space="0" w:color="auto"/>
            </w:tcBorders>
            <w:shd w:val="clear" w:color="auto" w:fill="auto"/>
            <w:noWrap/>
            <w:vAlign w:val="center"/>
            <w:hideMark/>
          </w:tcPr>
          <w:p w14:paraId="297FF11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1491083000</w:t>
            </w:r>
          </w:p>
        </w:tc>
        <w:tc>
          <w:tcPr>
            <w:tcW w:w="547" w:type="pct"/>
            <w:tcBorders>
              <w:top w:val="nil"/>
              <w:left w:val="nil"/>
              <w:bottom w:val="single" w:sz="4" w:space="0" w:color="auto"/>
              <w:right w:val="single" w:sz="4" w:space="0" w:color="auto"/>
            </w:tcBorders>
            <w:shd w:val="clear" w:color="auto" w:fill="auto"/>
            <w:noWrap/>
            <w:vAlign w:val="center"/>
            <w:hideMark/>
          </w:tcPr>
          <w:p w14:paraId="2C51514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71583475</w:t>
            </w:r>
          </w:p>
        </w:tc>
        <w:tc>
          <w:tcPr>
            <w:tcW w:w="3360" w:type="pct"/>
            <w:tcBorders>
              <w:top w:val="nil"/>
              <w:left w:val="nil"/>
              <w:bottom w:val="single" w:sz="4" w:space="0" w:color="auto"/>
              <w:right w:val="single" w:sz="4" w:space="0" w:color="auto"/>
            </w:tcBorders>
            <w:shd w:val="clear" w:color="auto" w:fill="auto"/>
            <w:vAlign w:val="center"/>
            <w:hideMark/>
          </w:tcPr>
          <w:p w14:paraId="46A8F58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PUNGRAD JAVNO KOMUNALNO PODJETJE D.O.O.</w:t>
            </w:r>
          </w:p>
        </w:tc>
      </w:tr>
      <w:tr w:rsidR="00E3750C" w:rsidRPr="00415AB3" w14:paraId="0DC0383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080BE9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1622</w:t>
            </w:r>
          </w:p>
        </w:tc>
        <w:tc>
          <w:tcPr>
            <w:tcW w:w="705" w:type="pct"/>
            <w:tcBorders>
              <w:top w:val="nil"/>
              <w:left w:val="nil"/>
              <w:bottom w:val="single" w:sz="4" w:space="0" w:color="auto"/>
              <w:right w:val="single" w:sz="4" w:space="0" w:color="auto"/>
            </w:tcBorders>
            <w:shd w:val="clear" w:color="auto" w:fill="auto"/>
            <w:noWrap/>
            <w:vAlign w:val="center"/>
            <w:hideMark/>
          </w:tcPr>
          <w:p w14:paraId="461D530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5874742000</w:t>
            </w:r>
          </w:p>
        </w:tc>
        <w:tc>
          <w:tcPr>
            <w:tcW w:w="547" w:type="pct"/>
            <w:tcBorders>
              <w:top w:val="nil"/>
              <w:left w:val="nil"/>
              <w:bottom w:val="single" w:sz="4" w:space="0" w:color="auto"/>
              <w:right w:val="single" w:sz="4" w:space="0" w:color="auto"/>
            </w:tcBorders>
            <w:shd w:val="clear" w:color="auto" w:fill="auto"/>
            <w:noWrap/>
            <w:vAlign w:val="center"/>
            <w:hideMark/>
          </w:tcPr>
          <w:p w14:paraId="6E06B35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72434295</w:t>
            </w:r>
          </w:p>
        </w:tc>
        <w:tc>
          <w:tcPr>
            <w:tcW w:w="3360" w:type="pct"/>
            <w:tcBorders>
              <w:top w:val="nil"/>
              <w:left w:val="nil"/>
              <w:bottom w:val="single" w:sz="4" w:space="0" w:color="auto"/>
              <w:right w:val="single" w:sz="4" w:space="0" w:color="auto"/>
            </w:tcBorders>
            <w:shd w:val="clear" w:color="auto" w:fill="auto"/>
            <w:vAlign w:val="center"/>
            <w:hideMark/>
          </w:tcPr>
          <w:p w14:paraId="121A15B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RAČUNSKO SODIŠČE REPUBLIKE SLOVENIJE</w:t>
            </w:r>
          </w:p>
        </w:tc>
      </w:tr>
      <w:tr w:rsidR="00E3750C" w:rsidRPr="00415AB3" w14:paraId="010B96F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23A7AC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1623</w:t>
            </w:r>
          </w:p>
        </w:tc>
        <w:tc>
          <w:tcPr>
            <w:tcW w:w="705" w:type="pct"/>
            <w:tcBorders>
              <w:top w:val="nil"/>
              <w:left w:val="nil"/>
              <w:bottom w:val="single" w:sz="4" w:space="0" w:color="auto"/>
              <w:right w:val="single" w:sz="4" w:space="0" w:color="auto"/>
            </w:tcBorders>
            <w:shd w:val="clear" w:color="auto" w:fill="auto"/>
            <w:noWrap/>
            <w:vAlign w:val="center"/>
            <w:hideMark/>
          </w:tcPr>
          <w:p w14:paraId="3885702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5056497000</w:t>
            </w:r>
          </w:p>
        </w:tc>
        <w:tc>
          <w:tcPr>
            <w:tcW w:w="547" w:type="pct"/>
            <w:tcBorders>
              <w:top w:val="nil"/>
              <w:left w:val="nil"/>
              <w:bottom w:val="single" w:sz="4" w:space="0" w:color="auto"/>
              <w:right w:val="single" w:sz="4" w:space="0" w:color="auto"/>
            </w:tcBorders>
            <w:shd w:val="clear" w:color="auto" w:fill="auto"/>
            <w:noWrap/>
            <w:vAlign w:val="center"/>
            <w:hideMark/>
          </w:tcPr>
          <w:p w14:paraId="722D2B3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29865174</w:t>
            </w:r>
          </w:p>
        </w:tc>
        <w:tc>
          <w:tcPr>
            <w:tcW w:w="3360" w:type="pct"/>
            <w:tcBorders>
              <w:top w:val="nil"/>
              <w:left w:val="nil"/>
              <w:bottom w:val="single" w:sz="4" w:space="0" w:color="auto"/>
              <w:right w:val="single" w:sz="4" w:space="0" w:color="auto"/>
            </w:tcBorders>
            <w:shd w:val="clear" w:color="auto" w:fill="auto"/>
            <w:vAlign w:val="center"/>
            <w:hideMark/>
          </w:tcPr>
          <w:p w14:paraId="49DEBD2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RADIOTELEVIZIJA SLOVENIJA JAVNI ZAVOD, LJUBLJANA</w:t>
            </w:r>
          </w:p>
        </w:tc>
      </w:tr>
      <w:tr w:rsidR="00E3750C" w:rsidRPr="00415AB3" w14:paraId="67DA413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4AAC5F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1624</w:t>
            </w:r>
          </w:p>
        </w:tc>
        <w:tc>
          <w:tcPr>
            <w:tcW w:w="705" w:type="pct"/>
            <w:tcBorders>
              <w:top w:val="nil"/>
              <w:left w:val="nil"/>
              <w:bottom w:val="single" w:sz="4" w:space="0" w:color="auto"/>
              <w:right w:val="single" w:sz="4" w:space="0" w:color="auto"/>
            </w:tcBorders>
            <w:shd w:val="clear" w:color="auto" w:fill="auto"/>
            <w:noWrap/>
            <w:vAlign w:val="center"/>
            <w:hideMark/>
          </w:tcPr>
          <w:p w14:paraId="167863F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1490524000</w:t>
            </w:r>
          </w:p>
        </w:tc>
        <w:tc>
          <w:tcPr>
            <w:tcW w:w="547" w:type="pct"/>
            <w:tcBorders>
              <w:top w:val="nil"/>
              <w:left w:val="nil"/>
              <w:bottom w:val="single" w:sz="4" w:space="0" w:color="auto"/>
              <w:right w:val="single" w:sz="4" w:space="0" w:color="auto"/>
            </w:tcBorders>
            <w:shd w:val="clear" w:color="auto" w:fill="auto"/>
            <w:noWrap/>
            <w:vAlign w:val="center"/>
            <w:hideMark/>
          </w:tcPr>
          <w:p w14:paraId="23A0405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71357963</w:t>
            </w:r>
          </w:p>
        </w:tc>
        <w:tc>
          <w:tcPr>
            <w:tcW w:w="3360" w:type="pct"/>
            <w:tcBorders>
              <w:top w:val="nil"/>
              <w:left w:val="nil"/>
              <w:bottom w:val="single" w:sz="4" w:space="0" w:color="auto"/>
              <w:right w:val="single" w:sz="4" w:space="0" w:color="auto"/>
            </w:tcBorders>
            <w:shd w:val="clear" w:color="auto" w:fill="auto"/>
            <w:vAlign w:val="center"/>
            <w:hideMark/>
          </w:tcPr>
          <w:p w14:paraId="55D1ACA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RAZVOJNA AGENCIJA KOZJANSKO</w:t>
            </w:r>
          </w:p>
        </w:tc>
      </w:tr>
      <w:tr w:rsidR="00E3750C" w:rsidRPr="00415AB3" w14:paraId="47EA6D9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B051E1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1625</w:t>
            </w:r>
          </w:p>
        </w:tc>
        <w:tc>
          <w:tcPr>
            <w:tcW w:w="705" w:type="pct"/>
            <w:tcBorders>
              <w:top w:val="nil"/>
              <w:left w:val="nil"/>
              <w:bottom w:val="single" w:sz="4" w:space="0" w:color="auto"/>
              <w:right w:val="single" w:sz="4" w:space="0" w:color="auto"/>
            </w:tcBorders>
            <w:shd w:val="clear" w:color="auto" w:fill="auto"/>
            <w:noWrap/>
            <w:vAlign w:val="center"/>
            <w:hideMark/>
          </w:tcPr>
          <w:p w14:paraId="4E60584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1227459000</w:t>
            </w:r>
          </w:p>
        </w:tc>
        <w:tc>
          <w:tcPr>
            <w:tcW w:w="547" w:type="pct"/>
            <w:tcBorders>
              <w:top w:val="nil"/>
              <w:left w:val="nil"/>
              <w:bottom w:val="single" w:sz="4" w:space="0" w:color="auto"/>
              <w:right w:val="single" w:sz="4" w:space="0" w:color="auto"/>
            </w:tcBorders>
            <w:shd w:val="clear" w:color="auto" w:fill="auto"/>
            <w:noWrap/>
            <w:vAlign w:val="center"/>
            <w:hideMark/>
          </w:tcPr>
          <w:p w14:paraId="6126B82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17719852</w:t>
            </w:r>
          </w:p>
        </w:tc>
        <w:tc>
          <w:tcPr>
            <w:tcW w:w="3360" w:type="pct"/>
            <w:tcBorders>
              <w:top w:val="nil"/>
              <w:left w:val="nil"/>
              <w:bottom w:val="single" w:sz="4" w:space="0" w:color="auto"/>
              <w:right w:val="single" w:sz="4" w:space="0" w:color="auto"/>
            </w:tcBorders>
            <w:shd w:val="clear" w:color="auto" w:fill="auto"/>
            <w:vAlign w:val="center"/>
            <w:hideMark/>
          </w:tcPr>
          <w:p w14:paraId="2573009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RAZVOJNA AGENCIJA SAVINJSKO-ŠALEŠKE REGIJE, D. O. O.</w:t>
            </w:r>
          </w:p>
        </w:tc>
      </w:tr>
      <w:tr w:rsidR="00E3750C" w:rsidRPr="00415AB3" w14:paraId="3C9E872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77AC6F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1626</w:t>
            </w:r>
          </w:p>
        </w:tc>
        <w:tc>
          <w:tcPr>
            <w:tcW w:w="705" w:type="pct"/>
            <w:tcBorders>
              <w:top w:val="nil"/>
              <w:left w:val="nil"/>
              <w:bottom w:val="single" w:sz="4" w:space="0" w:color="auto"/>
              <w:right w:val="single" w:sz="4" w:space="0" w:color="auto"/>
            </w:tcBorders>
            <w:shd w:val="clear" w:color="auto" w:fill="auto"/>
            <w:noWrap/>
            <w:vAlign w:val="center"/>
            <w:hideMark/>
          </w:tcPr>
          <w:p w14:paraId="0C2FE9C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1277898000</w:t>
            </w:r>
          </w:p>
        </w:tc>
        <w:tc>
          <w:tcPr>
            <w:tcW w:w="547" w:type="pct"/>
            <w:tcBorders>
              <w:top w:val="nil"/>
              <w:left w:val="nil"/>
              <w:bottom w:val="single" w:sz="4" w:space="0" w:color="auto"/>
              <w:right w:val="single" w:sz="4" w:space="0" w:color="auto"/>
            </w:tcBorders>
            <w:shd w:val="clear" w:color="auto" w:fill="auto"/>
            <w:noWrap/>
            <w:vAlign w:val="center"/>
            <w:hideMark/>
          </w:tcPr>
          <w:p w14:paraId="2527DD9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42427444</w:t>
            </w:r>
          </w:p>
        </w:tc>
        <w:tc>
          <w:tcPr>
            <w:tcW w:w="3360" w:type="pct"/>
            <w:tcBorders>
              <w:top w:val="nil"/>
              <w:left w:val="nil"/>
              <w:bottom w:val="single" w:sz="4" w:space="0" w:color="auto"/>
              <w:right w:val="single" w:sz="4" w:space="0" w:color="auto"/>
            </w:tcBorders>
            <w:shd w:val="clear" w:color="auto" w:fill="auto"/>
            <w:vAlign w:val="center"/>
            <w:hideMark/>
          </w:tcPr>
          <w:p w14:paraId="056CDE7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RAZVOJNA AGENCIJA SINERGIJA D.O.O., POSPEŠEVANJE RAZVOJA</w:t>
            </w:r>
          </w:p>
        </w:tc>
      </w:tr>
      <w:tr w:rsidR="00E3750C" w:rsidRPr="00415AB3" w14:paraId="39DCBBC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8B4489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1627</w:t>
            </w:r>
          </w:p>
        </w:tc>
        <w:tc>
          <w:tcPr>
            <w:tcW w:w="705" w:type="pct"/>
            <w:tcBorders>
              <w:top w:val="nil"/>
              <w:left w:val="nil"/>
              <w:bottom w:val="single" w:sz="4" w:space="0" w:color="auto"/>
              <w:right w:val="single" w:sz="4" w:space="0" w:color="auto"/>
            </w:tcBorders>
            <w:shd w:val="clear" w:color="auto" w:fill="auto"/>
            <w:noWrap/>
            <w:vAlign w:val="center"/>
            <w:hideMark/>
          </w:tcPr>
          <w:p w14:paraId="2751F67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2333813000</w:t>
            </w:r>
          </w:p>
        </w:tc>
        <w:tc>
          <w:tcPr>
            <w:tcW w:w="547" w:type="pct"/>
            <w:tcBorders>
              <w:top w:val="nil"/>
              <w:left w:val="nil"/>
              <w:bottom w:val="single" w:sz="4" w:space="0" w:color="auto"/>
              <w:right w:val="single" w:sz="4" w:space="0" w:color="auto"/>
            </w:tcBorders>
            <w:shd w:val="clear" w:color="auto" w:fill="auto"/>
            <w:noWrap/>
            <w:vAlign w:val="center"/>
            <w:hideMark/>
          </w:tcPr>
          <w:p w14:paraId="0E6907C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89110528</w:t>
            </w:r>
          </w:p>
        </w:tc>
        <w:tc>
          <w:tcPr>
            <w:tcW w:w="3360" w:type="pct"/>
            <w:tcBorders>
              <w:top w:val="nil"/>
              <w:left w:val="nil"/>
              <w:bottom w:val="single" w:sz="4" w:space="0" w:color="auto"/>
              <w:right w:val="single" w:sz="4" w:space="0" w:color="auto"/>
            </w:tcBorders>
            <w:shd w:val="clear" w:color="auto" w:fill="auto"/>
            <w:vAlign w:val="center"/>
            <w:hideMark/>
          </w:tcPr>
          <w:p w14:paraId="6E5B266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RAZVOJNA AGENCIJA SLOVENSKE GORICE, D.O.O.</w:t>
            </w:r>
          </w:p>
        </w:tc>
      </w:tr>
      <w:tr w:rsidR="00E3750C" w:rsidRPr="00415AB3" w14:paraId="1A7F871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41C4EB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1628</w:t>
            </w:r>
          </w:p>
        </w:tc>
        <w:tc>
          <w:tcPr>
            <w:tcW w:w="705" w:type="pct"/>
            <w:tcBorders>
              <w:top w:val="nil"/>
              <w:left w:val="nil"/>
              <w:bottom w:val="single" w:sz="4" w:space="0" w:color="auto"/>
              <w:right w:val="single" w:sz="4" w:space="0" w:color="auto"/>
            </w:tcBorders>
            <w:shd w:val="clear" w:color="auto" w:fill="auto"/>
            <w:noWrap/>
            <w:vAlign w:val="center"/>
            <w:hideMark/>
          </w:tcPr>
          <w:p w14:paraId="2D043CF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1490460000</w:t>
            </w:r>
          </w:p>
        </w:tc>
        <w:tc>
          <w:tcPr>
            <w:tcW w:w="547" w:type="pct"/>
            <w:tcBorders>
              <w:top w:val="nil"/>
              <w:left w:val="nil"/>
              <w:bottom w:val="single" w:sz="4" w:space="0" w:color="auto"/>
              <w:right w:val="single" w:sz="4" w:space="0" w:color="auto"/>
            </w:tcBorders>
            <w:shd w:val="clear" w:color="auto" w:fill="auto"/>
            <w:noWrap/>
            <w:vAlign w:val="center"/>
            <w:hideMark/>
          </w:tcPr>
          <w:p w14:paraId="16A28C1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74303759</w:t>
            </w:r>
          </w:p>
        </w:tc>
        <w:tc>
          <w:tcPr>
            <w:tcW w:w="3360" w:type="pct"/>
            <w:tcBorders>
              <w:top w:val="nil"/>
              <w:left w:val="nil"/>
              <w:bottom w:val="single" w:sz="4" w:space="0" w:color="auto"/>
              <w:right w:val="single" w:sz="4" w:space="0" w:color="auto"/>
            </w:tcBorders>
            <w:shd w:val="clear" w:color="auto" w:fill="auto"/>
            <w:vAlign w:val="center"/>
            <w:hideMark/>
          </w:tcPr>
          <w:p w14:paraId="74E5447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RAZVOJNA AGENCIJA SORA D.O.O.</w:t>
            </w:r>
          </w:p>
        </w:tc>
      </w:tr>
      <w:tr w:rsidR="00E3750C" w:rsidRPr="00415AB3" w14:paraId="4909469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96DF6F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1629</w:t>
            </w:r>
          </w:p>
        </w:tc>
        <w:tc>
          <w:tcPr>
            <w:tcW w:w="705" w:type="pct"/>
            <w:tcBorders>
              <w:top w:val="nil"/>
              <w:left w:val="nil"/>
              <w:bottom w:val="single" w:sz="4" w:space="0" w:color="auto"/>
              <w:right w:val="single" w:sz="4" w:space="0" w:color="auto"/>
            </w:tcBorders>
            <w:shd w:val="clear" w:color="auto" w:fill="auto"/>
            <w:noWrap/>
            <w:vAlign w:val="center"/>
            <w:hideMark/>
          </w:tcPr>
          <w:p w14:paraId="7AA910E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1587609000</w:t>
            </w:r>
          </w:p>
        </w:tc>
        <w:tc>
          <w:tcPr>
            <w:tcW w:w="547" w:type="pct"/>
            <w:tcBorders>
              <w:top w:val="nil"/>
              <w:left w:val="nil"/>
              <w:bottom w:val="single" w:sz="4" w:space="0" w:color="auto"/>
              <w:right w:val="single" w:sz="4" w:space="0" w:color="auto"/>
            </w:tcBorders>
            <w:shd w:val="clear" w:color="auto" w:fill="auto"/>
            <w:noWrap/>
            <w:vAlign w:val="center"/>
            <w:hideMark/>
          </w:tcPr>
          <w:p w14:paraId="42F9D18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54935580</w:t>
            </w:r>
          </w:p>
        </w:tc>
        <w:tc>
          <w:tcPr>
            <w:tcW w:w="3360" w:type="pct"/>
            <w:tcBorders>
              <w:top w:val="nil"/>
              <w:left w:val="nil"/>
              <w:bottom w:val="single" w:sz="4" w:space="0" w:color="auto"/>
              <w:right w:val="single" w:sz="4" w:space="0" w:color="auto"/>
            </w:tcBorders>
            <w:shd w:val="clear" w:color="auto" w:fill="auto"/>
            <w:vAlign w:val="center"/>
            <w:hideMark/>
          </w:tcPr>
          <w:p w14:paraId="04E7BB4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RAZVOJNA AGENCIJA SOTLA</w:t>
            </w:r>
          </w:p>
        </w:tc>
      </w:tr>
      <w:tr w:rsidR="00E3750C" w:rsidRPr="00415AB3" w14:paraId="5411C5D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3E63C5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1630</w:t>
            </w:r>
          </w:p>
        </w:tc>
        <w:tc>
          <w:tcPr>
            <w:tcW w:w="705" w:type="pct"/>
            <w:tcBorders>
              <w:top w:val="nil"/>
              <w:left w:val="nil"/>
              <w:bottom w:val="single" w:sz="4" w:space="0" w:color="auto"/>
              <w:right w:val="single" w:sz="4" w:space="0" w:color="auto"/>
            </w:tcBorders>
            <w:shd w:val="clear" w:color="auto" w:fill="auto"/>
            <w:noWrap/>
            <w:vAlign w:val="center"/>
            <w:hideMark/>
          </w:tcPr>
          <w:p w14:paraId="32A4B60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1540114000</w:t>
            </w:r>
          </w:p>
        </w:tc>
        <w:tc>
          <w:tcPr>
            <w:tcW w:w="547" w:type="pct"/>
            <w:tcBorders>
              <w:top w:val="nil"/>
              <w:left w:val="nil"/>
              <w:bottom w:val="single" w:sz="4" w:space="0" w:color="auto"/>
              <w:right w:val="single" w:sz="4" w:space="0" w:color="auto"/>
            </w:tcBorders>
            <w:shd w:val="clear" w:color="auto" w:fill="auto"/>
            <w:noWrap/>
            <w:vAlign w:val="center"/>
            <w:hideMark/>
          </w:tcPr>
          <w:p w14:paraId="73E7489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99442809</w:t>
            </w:r>
          </w:p>
        </w:tc>
        <w:tc>
          <w:tcPr>
            <w:tcW w:w="3360" w:type="pct"/>
            <w:tcBorders>
              <w:top w:val="nil"/>
              <w:left w:val="nil"/>
              <w:bottom w:val="single" w:sz="4" w:space="0" w:color="auto"/>
              <w:right w:val="single" w:sz="4" w:space="0" w:color="auto"/>
            </w:tcBorders>
            <w:shd w:val="clear" w:color="auto" w:fill="auto"/>
            <w:vAlign w:val="center"/>
            <w:hideMark/>
          </w:tcPr>
          <w:p w14:paraId="0AD9795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RAZVOJNA AGENCIJA ZGORNJE GORENJSKE</w:t>
            </w:r>
          </w:p>
        </w:tc>
      </w:tr>
      <w:tr w:rsidR="00E3750C" w:rsidRPr="00415AB3" w14:paraId="10E00627"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8DEC56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1631</w:t>
            </w:r>
          </w:p>
        </w:tc>
        <w:tc>
          <w:tcPr>
            <w:tcW w:w="705" w:type="pct"/>
            <w:tcBorders>
              <w:top w:val="nil"/>
              <w:left w:val="nil"/>
              <w:bottom w:val="single" w:sz="4" w:space="0" w:color="auto"/>
              <w:right w:val="single" w:sz="4" w:space="0" w:color="auto"/>
            </w:tcBorders>
            <w:shd w:val="clear" w:color="auto" w:fill="auto"/>
            <w:noWrap/>
            <w:vAlign w:val="center"/>
            <w:hideMark/>
          </w:tcPr>
          <w:p w14:paraId="25470E0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5948193000</w:t>
            </w:r>
          </w:p>
        </w:tc>
        <w:tc>
          <w:tcPr>
            <w:tcW w:w="547" w:type="pct"/>
            <w:tcBorders>
              <w:top w:val="nil"/>
              <w:left w:val="nil"/>
              <w:bottom w:val="single" w:sz="4" w:space="0" w:color="auto"/>
              <w:right w:val="single" w:sz="4" w:space="0" w:color="auto"/>
            </w:tcBorders>
            <w:shd w:val="clear" w:color="auto" w:fill="auto"/>
            <w:noWrap/>
            <w:vAlign w:val="center"/>
            <w:hideMark/>
          </w:tcPr>
          <w:p w14:paraId="31F1083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19252048</w:t>
            </w:r>
          </w:p>
        </w:tc>
        <w:tc>
          <w:tcPr>
            <w:tcW w:w="3360" w:type="pct"/>
            <w:tcBorders>
              <w:top w:val="nil"/>
              <w:left w:val="nil"/>
              <w:bottom w:val="single" w:sz="4" w:space="0" w:color="auto"/>
              <w:right w:val="single" w:sz="4" w:space="0" w:color="auto"/>
            </w:tcBorders>
            <w:shd w:val="clear" w:color="auto" w:fill="auto"/>
            <w:vAlign w:val="center"/>
            <w:hideMark/>
          </w:tcPr>
          <w:p w14:paraId="06D412C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RAZVOJNI CENTER MURSKA SOBOTA DEVELOPMENT CENTRE MURSKA SOBOTA</w:t>
            </w:r>
          </w:p>
        </w:tc>
      </w:tr>
      <w:tr w:rsidR="00E3750C" w:rsidRPr="00415AB3" w14:paraId="721DBB0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D58B4B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1632</w:t>
            </w:r>
          </w:p>
        </w:tc>
        <w:tc>
          <w:tcPr>
            <w:tcW w:w="705" w:type="pct"/>
            <w:tcBorders>
              <w:top w:val="nil"/>
              <w:left w:val="nil"/>
              <w:bottom w:val="single" w:sz="4" w:space="0" w:color="auto"/>
              <w:right w:val="single" w:sz="4" w:space="0" w:color="auto"/>
            </w:tcBorders>
            <w:shd w:val="clear" w:color="auto" w:fill="auto"/>
            <w:noWrap/>
            <w:vAlign w:val="center"/>
            <w:hideMark/>
          </w:tcPr>
          <w:p w14:paraId="4F19092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1227319000</w:t>
            </w:r>
          </w:p>
        </w:tc>
        <w:tc>
          <w:tcPr>
            <w:tcW w:w="547" w:type="pct"/>
            <w:tcBorders>
              <w:top w:val="nil"/>
              <w:left w:val="nil"/>
              <w:bottom w:val="single" w:sz="4" w:space="0" w:color="auto"/>
              <w:right w:val="single" w:sz="4" w:space="0" w:color="auto"/>
            </w:tcBorders>
            <w:shd w:val="clear" w:color="auto" w:fill="auto"/>
            <w:noWrap/>
            <w:vAlign w:val="center"/>
            <w:hideMark/>
          </w:tcPr>
          <w:p w14:paraId="0E80D3A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77074963</w:t>
            </w:r>
          </w:p>
        </w:tc>
        <w:tc>
          <w:tcPr>
            <w:tcW w:w="3360" w:type="pct"/>
            <w:tcBorders>
              <w:top w:val="nil"/>
              <w:left w:val="nil"/>
              <w:bottom w:val="single" w:sz="4" w:space="0" w:color="auto"/>
              <w:right w:val="single" w:sz="4" w:space="0" w:color="auto"/>
            </w:tcBorders>
            <w:shd w:val="clear" w:color="auto" w:fill="auto"/>
            <w:vAlign w:val="center"/>
            <w:hideMark/>
          </w:tcPr>
          <w:p w14:paraId="7F44167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RAZVOJNI CENTER NOVO MESTO, SVETOVANJE IN RAZVOJ, D.O.O.</w:t>
            </w:r>
          </w:p>
        </w:tc>
      </w:tr>
      <w:tr w:rsidR="00E3750C" w:rsidRPr="00415AB3" w14:paraId="3D0ACC5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99DBF0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1633</w:t>
            </w:r>
          </w:p>
        </w:tc>
        <w:tc>
          <w:tcPr>
            <w:tcW w:w="705" w:type="pct"/>
            <w:tcBorders>
              <w:top w:val="nil"/>
              <w:left w:val="nil"/>
              <w:bottom w:val="single" w:sz="4" w:space="0" w:color="auto"/>
              <w:right w:val="single" w:sz="4" w:space="0" w:color="auto"/>
            </w:tcBorders>
            <w:shd w:val="clear" w:color="auto" w:fill="auto"/>
            <w:noWrap/>
            <w:vAlign w:val="center"/>
            <w:hideMark/>
          </w:tcPr>
          <w:p w14:paraId="33B58F1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1489208000</w:t>
            </w:r>
          </w:p>
        </w:tc>
        <w:tc>
          <w:tcPr>
            <w:tcW w:w="547" w:type="pct"/>
            <w:tcBorders>
              <w:top w:val="nil"/>
              <w:left w:val="nil"/>
              <w:bottom w:val="single" w:sz="4" w:space="0" w:color="auto"/>
              <w:right w:val="single" w:sz="4" w:space="0" w:color="auto"/>
            </w:tcBorders>
            <w:shd w:val="clear" w:color="auto" w:fill="auto"/>
            <w:noWrap/>
            <w:vAlign w:val="center"/>
            <w:hideMark/>
          </w:tcPr>
          <w:p w14:paraId="574007D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35375701</w:t>
            </w:r>
          </w:p>
        </w:tc>
        <w:tc>
          <w:tcPr>
            <w:tcW w:w="3360" w:type="pct"/>
            <w:tcBorders>
              <w:top w:val="nil"/>
              <w:left w:val="nil"/>
              <w:bottom w:val="single" w:sz="4" w:space="0" w:color="auto"/>
              <w:right w:val="single" w:sz="4" w:space="0" w:color="auto"/>
            </w:tcBorders>
            <w:shd w:val="clear" w:color="auto" w:fill="auto"/>
            <w:vAlign w:val="center"/>
            <w:hideMark/>
          </w:tcPr>
          <w:p w14:paraId="4E7A188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RAZVOJNI CENTER SRCA SLOVENIJE, D.O.O.</w:t>
            </w:r>
          </w:p>
        </w:tc>
      </w:tr>
      <w:tr w:rsidR="00E3750C" w:rsidRPr="00415AB3" w14:paraId="579BBA9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24D869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1634</w:t>
            </w:r>
          </w:p>
        </w:tc>
        <w:tc>
          <w:tcPr>
            <w:tcW w:w="705" w:type="pct"/>
            <w:tcBorders>
              <w:top w:val="nil"/>
              <w:left w:val="nil"/>
              <w:bottom w:val="single" w:sz="4" w:space="0" w:color="auto"/>
              <w:right w:val="single" w:sz="4" w:space="0" w:color="auto"/>
            </w:tcBorders>
            <w:shd w:val="clear" w:color="auto" w:fill="auto"/>
            <w:noWrap/>
            <w:vAlign w:val="center"/>
            <w:hideMark/>
          </w:tcPr>
          <w:p w14:paraId="5330FAB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1518399000</w:t>
            </w:r>
          </w:p>
        </w:tc>
        <w:tc>
          <w:tcPr>
            <w:tcW w:w="547" w:type="pct"/>
            <w:tcBorders>
              <w:top w:val="nil"/>
              <w:left w:val="nil"/>
              <w:bottom w:val="single" w:sz="4" w:space="0" w:color="auto"/>
              <w:right w:val="single" w:sz="4" w:space="0" w:color="auto"/>
            </w:tcBorders>
            <w:shd w:val="clear" w:color="auto" w:fill="auto"/>
            <w:noWrap/>
            <w:vAlign w:val="center"/>
            <w:hideMark/>
          </w:tcPr>
          <w:p w14:paraId="190E15B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71124101</w:t>
            </w:r>
          </w:p>
        </w:tc>
        <w:tc>
          <w:tcPr>
            <w:tcW w:w="3360" w:type="pct"/>
            <w:tcBorders>
              <w:top w:val="nil"/>
              <w:left w:val="nil"/>
              <w:bottom w:val="single" w:sz="4" w:space="0" w:color="auto"/>
              <w:right w:val="single" w:sz="4" w:space="0" w:color="auto"/>
            </w:tcBorders>
            <w:shd w:val="clear" w:color="auto" w:fill="auto"/>
            <w:vAlign w:val="center"/>
            <w:hideMark/>
          </w:tcPr>
          <w:p w14:paraId="4C64F1C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RAZVOJNO INFORMACIJSKI CENTER BELA KRAJINA</w:t>
            </w:r>
          </w:p>
        </w:tc>
      </w:tr>
      <w:tr w:rsidR="00E3750C" w:rsidRPr="00415AB3" w14:paraId="7F5E648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C51997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1635</w:t>
            </w:r>
          </w:p>
        </w:tc>
        <w:tc>
          <w:tcPr>
            <w:tcW w:w="705" w:type="pct"/>
            <w:tcBorders>
              <w:top w:val="nil"/>
              <w:left w:val="nil"/>
              <w:bottom w:val="single" w:sz="4" w:space="0" w:color="auto"/>
              <w:right w:val="single" w:sz="4" w:space="0" w:color="auto"/>
            </w:tcBorders>
            <w:shd w:val="clear" w:color="auto" w:fill="auto"/>
            <w:noWrap/>
            <w:vAlign w:val="center"/>
            <w:hideMark/>
          </w:tcPr>
          <w:p w14:paraId="3178E13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1510045000</w:t>
            </w:r>
          </w:p>
        </w:tc>
        <w:tc>
          <w:tcPr>
            <w:tcW w:w="547" w:type="pct"/>
            <w:tcBorders>
              <w:top w:val="nil"/>
              <w:left w:val="nil"/>
              <w:bottom w:val="single" w:sz="4" w:space="0" w:color="auto"/>
              <w:right w:val="single" w:sz="4" w:space="0" w:color="auto"/>
            </w:tcBorders>
            <w:shd w:val="clear" w:color="auto" w:fill="auto"/>
            <w:noWrap/>
            <w:vAlign w:val="center"/>
            <w:hideMark/>
          </w:tcPr>
          <w:p w14:paraId="0565C2C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72326018</w:t>
            </w:r>
          </w:p>
        </w:tc>
        <w:tc>
          <w:tcPr>
            <w:tcW w:w="3360" w:type="pct"/>
            <w:tcBorders>
              <w:top w:val="nil"/>
              <w:left w:val="nil"/>
              <w:bottom w:val="single" w:sz="4" w:space="0" w:color="auto"/>
              <w:right w:val="single" w:sz="4" w:space="0" w:color="auto"/>
            </w:tcBorders>
            <w:shd w:val="clear" w:color="auto" w:fill="auto"/>
            <w:vAlign w:val="center"/>
            <w:hideMark/>
          </w:tcPr>
          <w:p w14:paraId="2BEEB33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RAZVOJNO INFORMACIJSKI CENTER SLOVENSKA BISTRICA</w:t>
            </w:r>
          </w:p>
        </w:tc>
      </w:tr>
      <w:tr w:rsidR="00E3750C" w:rsidRPr="00415AB3" w14:paraId="2E5BC46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34277B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1636</w:t>
            </w:r>
          </w:p>
        </w:tc>
        <w:tc>
          <w:tcPr>
            <w:tcW w:w="705" w:type="pct"/>
            <w:tcBorders>
              <w:top w:val="nil"/>
              <w:left w:val="nil"/>
              <w:bottom w:val="single" w:sz="4" w:space="0" w:color="auto"/>
              <w:right w:val="single" w:sz="4" w:space="0" w:color="auto"/>
            </w:tcBorders>
            <w:shd w:val="clear" w:color="auto" w:fill="auto"/>
            <w:noWrap/>
            <w:vAlign w:val="center"/>
            <w:hideMark/>
          </w:tcPr>
          <w:p w14:paraId="07F6781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5051738000</w:t>
            </w:r>
          </w:p>
        </w:tc>
        <w:tc>
          <w:tcPr>
            <w:tcW w:w="547" w:type="pct"/>
            <w:tcBorders>
              <w:top w:val="nil"/>
              <w:left w:val="nil"/>
              <w:bottom w:val="single" w:sz="4" w:space="0" w:color="auto"/>
              <w:right w:val="single" w:sz="4" w:space="0" w:color="auto"/>
            </w:tcBorders>
            <w:shd w:val="clear" w:color="auto" w:fill="auto"/>
            <w:noWrap/>
            <w:vAlign w:val="center"/>
            <w:hideMark/>
          </w:tcPr>
          <w:p w14:paraId="1569424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53990129</w:t>
            </w:r>
          </w:p>
        </w:tc>
        <w:tc>
          <w:tcPr>
            <w:tcW w:w="3360" w:type="pct"/>
            <w:tcBorders>
              <w:top w:val="nil"/>
              <w:left w:val="nil"/>
              <w:bottom w:val="single" w:sz="4" w:space="0" w:color="auto"/>
              <w:right w:val="single" w:sz="4" w:space="0" w:color="auto"/>
            </w:tcBorders>
            <w:shd w:val="clear" w:color="auto" w:fill="auto"/>
            <w:vAlign w:val="center"/>
            <w:hideMark/>
          </w:tcPr>
          <w:p w14:paraId="02205B5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RAZVOJNO IZOBRAŽEVALNI CENTER NOVO MESTO</w:t>
            </w:r>
          </w:p>
        </w:tc>
      </w:tr>
      <w:tr w:rsidR="00E3750C" w:rsidRPr="00415AB3" w14:paraId="393CCAE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18ABA6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1637</w:t>
            </w:r>
          </w:p>
        </w:tc>
        <w:tc>
          <w:tcPr>
            <w:tcW w:w="705" w:type="pct"/>
            <w:tcBorders>
              <w:top w:val="nil"/>
              <w:left w:val="nil"/>
              <w:bottom w:val="single" w:sz="4" w:space="0" w:color="auto"/>
              <w:right w:val="single" w:sz="4" w:space="0" w:color="auto"/>
            </w:tcBorders>
            <w:shd w:val="clear" w:color="auto" w:fill="auto"/>
            <w:noWrap/>
            <w:vAlign w:val="center"/>
            <w:hideMark/>
          </w:tcPr>
          <w:p w14:paraId="121DCC2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5232210000</w:t>
            </w:r>
          </w:p>
        </w:tc>
        <w:tc>
          <w:tcPr>
            <w:tcW w:w="547" w:type="pct"/>
            <w:tcBorders>
              <w:top w:val="nil"/>
              <w:left w:val="nil"/>
              <w:bottom w:val="single" w:sz="4" w:space="0" w:color="auto"/>
              <w:right w:val="single" w:sz="4" w:space="0" w:color="auto"/>
            </w:tcBorders>
            <w:shd w:val="clear" w:color="auto" w:fill="auto"/>
            <w:noWrap/>
            <w:vAlign w:val="center"/>
            <w:hideMark/>
          </w:tcPr>
          <w:p w14:paraId="1C2C9EC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69628955</w:t>
            </w:r>
          </w:p>
        </w:tc>
        <w:tc>
          <w:tcPr>
            <w:tcW w:w="3360" w:type="pct"/>
            <w:tcBorders>
              <w:top w:val="nil"/>
              <w:left w:val="nil"/>
              <w:bottom w:val="single" w:sz="4" w:space="0" w:color="auto"/>
              <w:right w:val="single" w:sz="4" w:space="0" w:color="auto"/>
            </w:tcBorders>
            <w:shd w:val="clear" w:color="auto" w:fill="auto"/>
            <w:vAlign w:val="center"/>
            <w:hideMark/>
          </w:tcPr>
          <w:p w14:paraId="76D3DFC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RDEČA DVORANA ŠPORTNO REKREACIJSKI ZAVOD</w:t>
            </w:r>
          </w:p>
        </w:tc>
      </w:tr>
      <w:tr w:rsidR="00E3750C" w:rsidRPr="00415AB3" w14:paraId="6C44887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C41ED3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1638</w:t>
            </w:r>
          </w:p>
        </w:tc>
        <w:tc>
          <w:tcPr>
            <w:tcW w:w="705" w:type="pct"/>
            <w:tcBorders>
              <w:top w:val="nil"/>
              <w:left w:val="nil"/>
              <w:bottom w:val="single" w:sz="4" w:space="0" w:color="auto"/>
              <w:right w:val="single" w:sz="4" w:space="0" w:color="auto"/>
            </w:tcBorders>
            <w:shd w:val="clear" w:color="auto" w:fill="auto"/>
            <w:noWrap/>
            <w:vAlign w:val="center"/>
            <w:hideMark/>
          </w:tcPr>
          <w:p w14:paraId="38355DB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5148324000</w:t>
            </w:r>
          </w:p>
        </w:tc>
        <w:tc>
          <w:tcPr>
            <w:tcW w:w="547" w:type="pct"/>
            <w:tcBorders>
              <w:top w:val="nil"/>
              <w:left w:val="nil"/>
              <w:bottom w:val="single" w:sz="4" w:space="0" w:color="auto"/>
              <w:right w:val="single" w:sz="4" w:space="0" w:color="auto"/>
            </w:tcBorders>
            <w:shd w:val="clear" w:color="auto" w:fill="auto"/>
            <w:noWrap/>
            <w:vAlign w:val="center"/>
            <w:hideMark/>
          </w:tcPr>
          <w:p w14:paraId="725A466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66451043</w:t>
            </w:r>
          </w:p>
        </w:tc>
        <w:tc>
          <w:tcPr>
            <w:tcW w:w="3360" w:type="pct"/>
            <w:tcBorders>
              <w:top w:val="nil"/>
              <w:left w:val="nil"/>
              <w:bottom w:val="single" w:sz="4" w:space="0" w:color="auto"/>
              <w:right w:val="single" w:sz="4" w:space="0" w:color="auto"/>
            </w:tcBorders>
            <w:shd w:val="clear" w:color="auto" w:fill="auto"/>
            <w:vAlign w:val="center"/>
            <w:hideMark/>
          </w:tcPr>
          <w:p w14:paraId="0C4C758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RDEČI KRIŽ SLOVENIJE - OBMOČNO ZDRUŽENJE NOVA GORICA</w:t>
            </w:r>
          </w:p>
        </w:tc>
      </w:tr>
      <w:tr w:rsidR="00E3750C" w:rsidRPr="00415AB3" w14:paraId="7FA03BD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C3321D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1639</w:t>
            </w:r>
          </w:p>
        </w:tc>
        <w:tc>
          <w:tcPr>
            <w:tcW w:w="705" w:type="pct"/>
            <w:tcBorders>
              <w:top w:val="nil"/>
              <w:left w:val="nil"/>
              <w:bottom w:val="single" w:sz="4" w:space="0" w:color="auto"/>
              <w:right w:val="single" w:sz="4" w:space="0" w:color="auto"/>
            </w:tcBorders>
            <w:shd w:val="clear" w:color="auto" w:fill="auto"/>
            <w:noWrap/>
            <w:vAlign w:val="center"/>
            <w:hideMark/>
          </w:tcPr>
          <w:p w14:paraId="70A5A6A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1469100000</w:t>
            </w:r>
          </w:p>
        </w:tc>
        <w:tc>
          <w:tcPr>
            <w:tcW w:w="547" w:type="pct"/>
            <w:tcBorders>
              <w:top w:val="nil"/>
              <w:left w:val="nil"/>
              <w:bottom w:val="single" w:sz="4" w:space="0" w:color="auto"/>
              <w:right w:val="single" w:sz="4" w:space="0" w:color="auto"/>
            </w:tcBorders>
            <w:shd w:val="clear" w:color="auto" w:fill="auto"/>
            <w:noWrap/>
            <w:vAlign w:val="center"/>
            <w:hideMark/>
          </w:tcPr>
          <w:p w14:paraId="1DF6DF9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65950704</w:t>
            </w:r>
          </w:p>
        </w:tc>
        <w:tc>
          <w:tcPr>
            <w:tcW w:w="3360" w:type="pct"/>
            <w:tcBorders>
              <w:top w:val="nil"/>
              <w:left w:val="nil"/>
              <w:bottom w:val="single" w:sz="4" w:space="0" w:color="auto"/>
              <w:right w:val="single" w:sz="4" w:space="0" w:color="auto"/>
            </w:tcBorders>
            <w:shd w:val="clear" w:color="auto" w:fill="auto"/>
            <w:vAlign w:val="center"/>
            <w:hideMark/>
          </w:tcPr>
          <w:p w14:paraId="22ED2B3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REGIJSKA RAZVOJNA AGENCIJA ROD AJDOVŠČINA</w:t>
            </w:r>
          </w:p>
        </w:tc>
      </w:tr>
      <w:tr w:rsidR="00E3750C" w:rsidRPr="00415AB3" w14:paraId="638CA48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123A26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1640</w:t>
            </w:r>
          </w:p>
        </w:tc>
        <w:tc>
          <w:tcPr>
            <w:tcW w:w="705" w:type="pct"/>
            <w:tcBorders>
              <w:top w:val="nil"/>
              <w:left w:val="nil"/>
              <w:bottom w:val="single" w:sz="4" w:space="0" w:color="auto"/>
              <w:right w:val="single" w:sz="4" w:space="0" w:color="auto"/>
            </w:tcBorders>
            <w:shd w:val="clear" w:color="auto" w:fill="auto"/>
            <w:noWrap/>
            <w:vAlign w:val="center"/>
            <w:hideMark/>
          </w:tcPr>
          <w:p w14:paraId="0F1A55C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1584758000</w:t>
            </w:r>
          </w:p>
        </w:tc>
        <w:tc>
          <w:tcPr>
            <w:tcW w:w="547" w:type="pct"/>
            <w:tcBorders>
              <w:top w:val="nil"/>
              <w:left w:val="nil"/>
              <w:bottom w:val="single" w:sz="4" w:space="0" w:color="auto"/>
              <w:right w:val="single" w:sz="4" w:space="0" w:color="auto"/>
            </w:tcBorders>
            <w:shd w:val="clear" w:color="auto" w:fill="auto"/>
            <w:noWrap/>
            <w:vAlign w:val="center"/>
            <w:hideMark/>
          </w:tcPr>
          <w:p w14:paraId="0058D57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36213250</w:t>
            </w:r>
          </w:p>
        </w:tc>
        <w:tc>
          <w:tcPr>
            <w:tcW w:w="3360" w:type="pct"/>
            <w:tcBorders>
              <w:top w:val="nil"/>
              <w:left w:val="nil"/>
              <w:bottom w:val="single" w:sz="4" w:space="0" w:color="auto"/>
              <w:right w:val="single" w:sz="4" w:space="0" w:color="auto"/>
            </w:tcBorders>
            <w:shd w:val="clear" w:color="auto" w:fill="auto"/>
            <w:vAlign w:val="center"/>
            <w:hideMark/>
          </w:tcPr>
          <w:p w14:paraId="6B02C00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REGIONALNA RAZVOJNA AGENCIJA - LJUBLJANSKE URBANE REGIJE</w:t>
            </w:r>
          </w:p>
        </w:tc>
      </w:tr>
      <w:tr w:rsidR="00E3750C" w:rsidRPr="00415AB3" w14:paraId="58632B8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591BAA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1641</w:t>
            </w:r>
          </w:p>
        </w:tc>
        <w:tc>
          <w:tcPr>
            <w:tcW w:w="705" w:type="pct"/>
            <w:tcBorders>
              <w:top w:val="nil"/>
              <w:left w:val="nil"/>
              <w:bottom w:val="single" w:sz="4" w:space="0" w:color="auto"/>
              <w:right w:val="single" w:sz="4" w:space="0" w:color="auto"/>
            </w:tcBorders>
            <w:shd w:val="clear" w:color="auto" w:fill="auto"/>
            <w:noWrap/>
            <w:vAlign w:val="center"/>
            <w:hideMark/>
          </w:tcPr>
          <w:p w14:paraId="62B31F3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1338811000</w:t>
            </w:r>
          </w:p>
        </w:tc>
        <w:tc>
          <w:tcPr>
            <w:tcW w:w="547" w:type="pct"/>
            <w:tcBorders>
              <w:top w:val="nil"/>
              <w:left w:val="nil"/>
              <w:bottom w:val="single" w:sz="4" w:space="0" w:color="auto"/>
              <w:right w:val="single" w:sz="4" w:space="0" w:color="auto"/>
            </w:tcBorders>
            <w:shd w:val="clear" w:color="auto" w:fill="auto"/>
            <w:noWrap/>
            <w:vAlign w:val="center"/>
            <w:hideMark/>
          </w:tcPr>
          <w:p w14:paraId="0CC16CC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12235016</w:t>
            </w:r>
          </w:p>
        </w:tc>
        <w:tc>
          <w:tcPr>
            <w:tcW w:w="3360" w:type="pct"/>
            <w:tcBorders>
              <w:top w:val="nil"/>
              <w:left w:val="nil"/>
              <w:bottom w:val="single" w:sz="4" w:space="0" w:color="auto"/>
              <w:right w:val="single" w:sz="4" w:space="0" w:color="auto"/>
            </w:tcBorders>
            <w:shd w:val="clear" w:color="auto" w:fill="auto"/>
            <w:vAlign w:val="center"/>
            <w:hideMark/>
          </w:tcPr>
          <w:p w14:paraId="7377DCE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REGIONALNA RAZVOJNA AGENCIJA POSAVJE</w:t>
            </w:r>
          </w:p>
        </w:tc>
      </w:tr>
      <w:tr w:rsidR="00E3750C" w:rsidRPr="00415AB3" w14:paraId="0129436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F89427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1642</w:t>
            </w:r>
          </w:p>
        </w:tc>
        <w:tc>
          <w:tcPr>
            <w:tcW w:w="705" w:type="pct"/>
            <w:tcBorders>
              <w:top w:val="nil"/>
              <w:left w:val="nil"/>
              <w:bottom w:val="single" w:sz="4" w:space="0" w:color="auto"/>
              <w:right w:val="single" w:sz="4" w:space="0" w:color="auto"/>
            </w:tcBorders>
            <w:shd w:val="clear" w:color="auto" w:fill="auto"/>
            <w:noWrap/>
            <w:vAlign w:val="center"/>
            <w:hideMark/>
          </w:tcPr>
          <w:p w14:paraId="7FC6BA9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5778336000</w:t>
            </w:r>
          </w:p>
        </w:tc>
        <w:tc>
          <w:tcPr>
            <w:tcW w:w="547" w:type="pct"/>
            <w:tcBorders>
              <w:top w:val="nil"/>
              <w:left w:val="nil"/>
              <w:bottom w:val="single" w:sz="4" w:space="0" w:color="auto"/>
              <w:right w:val="single" w:sz="4" w:space="0" w:color="auto"/>
            </w:tcBorders>
            <w:shd w:val="clear" w:color="auto" w:fill="auto"/>
            <w:noWrap/>
            <w:vAlign w:val="center"/>
            <w:hideMark/>
          </w:tcPr>
          <w:p w14:paraId="05F064D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33925950</w:t>
            </w:r>
          </w:p>
        </w:tc>
        <w:tc>
          <w:tcPr>
            <w:tcW w:w="3360" w:type="pct"/>
            <w:tcBorders>
              <w:top w:val="nil"/>
              <w:left w:val="nil"/>
              <w:bottom w:val="single" w:sz="4" w:space="0" w:color="auto"/>
              <w:right w:val="single" w:sz="4" w:space="0" w:color="auto"/>
            </w:tcBorders>
            <w:shd w:val="clear" w:color="auto" w:fill="auto"/>
            <w:vAlign w:val="center"/>
            <w:hideMark/>
          </w:tcPr>
          <w:p w14:paraId="7259FC1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REGIONALNA RAZVOJNA AGENCIJA ZA PODRAVJE - MARIBOR</w:t>
            </w:r>
          </w:p>
        </w:tc>
      </w:tr>
      <w:tr w:rsidR="00E3750C" w:rsidRPr="00415AB3" w14:paraId="7306FF5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70C2EE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1643</w:t>
            </w:r>
          </w:p>
        </w:tc>
        <w:tc>
          <w:tcPr>
            <w:tcW w:w="705" w:type="pct"/>
            <w:tcBorders>
              <w:top w:val="nil"/>
              <w:left w:val="nil"/>
              <w:bottom w:val="single" w:sz="4" w:space="0" w:color="auto"/>
              <w:right w:val="single" w:sz="4" w:space="0" w:color="auto"/>
            </w:tcBorders>
            <w:shd w:val="clear" w:color="auto" w:fill="auto"/>
            <w:noWrap/>
            <w:vAlign w:val="center"/>
            <w:hideMark/>
          </w:tcPr>
          <w:p w14:paraId="1970DF6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5868696000</w:t>
            </w:r>
          </w:p>
        </w:tc>
        <w:tc>
          <w:tcPr>
            <w:tcW w:w="547" w:type="pct"/>
            <w:tcBorders>
              <w:top w:val="nil"/>
              <w:left w:val="nil"/>
              <w:bottom w:val="single" w:sz="4" w:space="0" w:color="auto"/>
              <w:right w:val="single" w:sz="4" w:space="0" w:color="auto"/>
            </w:tcBorders>
            <w:shd w:val="clear" w:color="auto" w:fill="auto"/>
            <w:noWrap/>
            <w:vAlign w:val="center"/>
            <w:hideMark/>
          </w:tcPr>
          <w:p w14:paraId="1A37B60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28049705</w:t>
            </w:r>
          </w:p>
        </w:tc>
        <w:tc>
          <w:tcPr>
            <w:tcW w:w="3360" w:type="pct"/>
            <w:tcBorders>
              <w:top w:val="nil"/>
              <w:left w:val="nil"/>
              <w:bottom w:val="single" w:sz="4" w:space="0" w:color="auto"/>
              <w:right w:val="single" w:sz="4" w:space="0" w:color="auto"/>
            </w:tcBorders>
            <w:shd w:val="clear" w:color="auto" w:fill="auto"/>
            <w:vAlign w:val="center"/>
            <w:hideMark/>
          </w:tcPr>
          <w:p w14:paraId="664EAB1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REGIONALNI RAZVOJNI CENTER KOPER</w:t>
            </w:r>
          </w:p>
        </w:tc>
      </w:tr>
      <w:tr w:rsidR="00E3750C" w:rsidRPr="00415AB3" w14:paraId="591F33C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E7F7F2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1644</w:t>
            </w:r>
          </w:p>
        </w:tc>
        <w:tc>
          <w:tcPr>
            <w:tcW w:w="705" w:type="pct"/>
            <w:tcBorders>
              <w:top w:val="nil"/>
              <w:left w:val="nil"/>
              <w:bottom w:val="single" w:sz="4" w:space="0" w:color="auto"/>
              <w:right w:val="single" w:sz="4" w:space="0" w:color="auto"/>
            </w:tcBorders>
            <w:shd w:val="clear" w:color="auto" w:fill="auto"/>
            <w:noWrap/>
            <w:vAlign w:val="center"/>
            <w:hideMark/>
          </w:tcPr>
          <w:p w14:paraId="2C3D080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5886392000</w:t>
            </w:r>
          </w:p>
        </w:tc>
        <w:tc>
          <w:tcPr>
            <w:tcW w:w="547" w:type="pct"/>
            <w:tcBorders>
              <w:top w:val="nil"/>
              <w:left w:val="nil"/>
              <w:bottom w:val="single" w:sz="4" w:space="0" w:color="auto"/>
              <w:right w:val="single" w:sz="4" w:space="0" w:color="auto"/>
            </w:tcBorders>
            <w:shd w:val="clear" w:color="auto" w:fill="auto"/>
            <w:noWrap/>
            <w:vAlign w:val="center"/>
            <w:hideMark/>
          </w:tcPr>
          <w:p w14:paraId="3C68E14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35332409</w:t>
            </w:r>
          </w:p>
        </w:tc>
        <w:tc>
          <w:tcPr>
            <w:tcW w:w="3360" w:type="pct"/>
            <w:tcBorders>
              <w:top w:val="nil"/>
              <w:left w:val="nil"/>
              <w:bottom w:val="single" w:sz="4" w:space="0" w:color="auto"/>
              <w:right w:val="single" w:sz="4" w:space="0" w:color="auto"/>
            </w:tcBorders>
            <w:shd w:val="clear" w:color="auto" w:fill="auto"/>
            <w:vAlign w:val="center"/>
            <w:hideMark/>
          </w:tcPr>
          <w:p w14:paraId="1E98707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AJDOVŠČINA</w:t>
            </w:r>
          </w:p>
        </w:tc>
      </w:tr>
      <w:tr w:rsidR="00E3750C" w:rsidRPr="00415AB3" w14:paraId="229120C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D1191F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1645</w:t>
            </w:r>
          </w:p>
        </w:tc>
        <w:tc>
          <w:tcPr>
            <w:tcW w:w="705" w:type="pct"/>
            <w:tcBorders>
              <w:top w:val="nil"/>
              <w:left w:val="nil"/>
              <w:bottom w:val="single" w:sz="4" w:space="0" w:color="auto"/>
              <w:right w:val="single" w:sz="4" w:space="0" w:color="auto"/>
            </w:tcBorders>
            <w:shd w:val="clear" w:color="auto" w:fill="auto"/>
            <w:noWrap/>
            <w:vAlign w:val="center"/>
            <w:hideMark/>
          </w:tcPr>
          <w:p w14:paraId="4619673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5886384000</w:t>
            </w:r>
          </w:p>
        </w:tc>
        <w:tc>
          <w:tcPr>
            <w:tcW w:w="547" w:type="pct"/>
            <w:tcBorders>
              <w:top w:val="nil"/>
              <w:left w:val="nil"/>
              <w:bottom w:val="single" w:sz="4" w:space="0" w:color="auto"/>
              <w:right w:val="single" w:sz="4" w:space="0" w:color="auto"/>
            </w:tcBorders>
            <w:shd w:val="clear" w:color="auto" w:fill="auto"/>
            <w:noWrap/>
            <w:vAlign w:val="center"/>
            <w:hideMark/>
          </w:tcPr>
          <w:p w14:paraId="579911C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79369502</w:t>
            </w:r>
          </w:p>
        </w:tc>
        <w:tc>
          <w:tcPr>
            <w:tcW w:w="3360" w:type="pct"/>
            <w:tcBorders>
              <w:top w:val="nil"/>
              <w:left w:val="nil"/>
              <w:bottom w:val="single" w:sz="4" w:space="0" w:color="auto"/>
              <w:right w:val="single" w:sz="4" w:space="0" w:color="auto"/>
            </w:tcBorders>
            <w:shd w:val="clear" w:color="auto" w:fill="auto"/>
            <w:vAlign w:val="center"/>
            <w:hideMark/>
          </w:tcPr>
          <w:p w14:paraId="264AE71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BREŽICE</w:t>
            </w:r>
          </w:p>
        </w:tc>
      </w:tr>
      <w:tr w:rsidR="00E3750C" w:rsidRPr="00415AB3" w14:paraId="008069A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4A217B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1646</w:t>
            </w:r>
          </w:p>
        </w:tc>
        <w:tc>
          <w:tcPr>
            <w:tcW w:w="705" w:type="pct"/>
            <w:tcBorders>
              <w:top w:val="nil"/>
              <w:left w:val="nil"/>
              <w:bottom w:val="single" w:sz="4" w:space="0" w:color="auto"/>
              <w:right w:val="single" w:sz="4" w:space="0" w:color="auto"/>
            </w:tcBorders>
            <w:shd w:val="clear" w:color="auto" w:fill="auto"/>
            <w:noWrap/>
            <w:vAlign w:val="center"/>
            <w:hideMark/>
          </w:tcPr>
          <w:p w14:paraId="49751A5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5886376000</w:t>
            </w:r>
          </w:p>
        </w:tc>
        <w:tc>
          <w:tcPr>
            <w:tcW w:w="547" w:type="pct"/>
            <w:tcBorders>
              <w:top w:val="nil"/>
              <w:left w:val="nil"/>
              <w:bottom w:val="single" w:sz="4" w:space="0" w:color="auto"/>
              <w:right w:val="single" w:sz="4" w:space="0" w:color="auto"/>
            </w:tcBorders>
            <w:shd w:val="clear" w:color="auto" w:fill="auto"/>
            <w:noWrap/>
            <w:vAlign w:val="center"/>
            <w:hideMark/>
          </w:tcPr>
          <w:p w14:paraId="2C7FE79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69982163</w:t>
            </w:r>
          </w:p>
        </w:tc>
        <w:tc>
          <w:tcPr>
            <w:tcW w:w="3360" w:type="pct"/>
            <w:tcBorders>
              <w:top w:val="nil"/>
              <w:left w:val="nil"/>
              <w:bottom w:val="single" w:sz="4" w:space="0" w:color="auto"/>
              <w:right w:val="single" w:sz="4" w:space="0" w:color="auto"/>
            </w:tcBorders>
            <w:shd w:val="clear" w:color="auto" w:fill="auto"/>
            <w:vAlign w:val="center"/>
            <w:hideMark/>
          </w:tcPr>
          <w:p w14:paraId="41E4C5A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CELJE</w:t>
            </w:r>
          </w:p>
        </w:tc>
      </w:tr>
      <w:tr w:rsidR="00E3750C" w:rsidRPr="00415AB3" w14:paraId="262665C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962AD9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1647</w:t>
            </w:r>
          </w:p>
        </w:tc>
        <w:tc>
          <w:tcPr>
            <w:tcW w:w="705" w:type="pct"/>
            <w:tcBorders>
              <w:top w:val="nil"/>
              <w:left w:val="nil"/>
              <w:bottom w:val="single" w:sz="4" w:space="0" w:color="auto"/>
              <w:right w:val="single" w:sz="4" w:space="0" w:color="auto"/>
            </w:tcBorders>
            <w:shd w:val="clear" w:color="auto" w:fill="auto"/>
            <w:noWrap/>
            <w:vAlign w:val="center"/>
            <w:hideMark/>
          </w:tcPr>
          <w:p w14:paraId="39A99BD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5886368000</w:t>
            </w:r>
          </w:p>
        </w:tc>
        <w:tc>
          <w:tcPr>
            <w:tcW w:w="547" w:type="pct"/>
            <w:tcBorders>
              <w:top w:val="nil"/>
              <w:left w:val="nil"/>
              <w:bottom w:val="single" w:sz="4" w:space="0" w:color="auto"/>
              <w:right w:val="single" w:sz="4" w:space="0" w:color="auto"/>
            </w:tcBorders>
            <w:shd w:val="clear" w:color="auto" w:fill="auto"/>
            <w:noWrap/>
            <w:vAlign w:val="center"/>
            <w:hideMark/>
          </w:tcPr>
          <w:p w14:paraId="3ACBAE2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85085502</w:t>
            </w:r>
          </w:p>
        </w:tc>
        <w:tc>
          <w:tcPr>
            <w:tcW w:w="3360" w:type="pct"/>
            <w:tcBorders>
              <w:top w:val="nil"/>
              <w:left w:val="nil"/>
              <w:bottom w:val="single" w:sz="4" w:space="0" w:color="auto"/>
              <w:right w:val="single" w:sz="4" w:space="0" w:color="auto"/>
            </w:tcBorders>
            <w:shd w:val="clear" w:color="auto" w:fill="auto"/>
            <w:vAlign w:val="center"/>
            <w:hideMark/>
          </w:tcPr>
          <w:p w14:paraId="32E56A2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CERKNICA</w:t>
            </w:r>
          </w:p>
        </w:tc>
      </w:tr>
      <w:tr w:rsidR="00E3750C" w:rsidRPr="00415AB3" w14:paraId="61851CC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A1AAC8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1648</w:t>
            </w:r>
          </w:p>
        </w:tc>
        <w:tc>
          <w:tcPr>
            <w:tcW w:w="705" w:type="pct"/>
            <w:tcBorders>
              <w:top w:val="nil"/>
              <w:left w:val="nil"/>
              <w:bottom w:val="single" w:sz="4" w:space="0" w:color="auto"/>
              <w:right w:val="single" w:sz="4" w:space="0" w:color="auto"/>
            </w:tcBorders>
            <w:shd w:val="clear" w:color="auto" w:fill="auto"/>
            <w:noWrap/>
            <w:vAlign w:val="center"/>
            <w:hideMark/>
          </w:tcPr>
          <w:p w14:paraId="5C5983D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5886350000</w:t>
            </w:r>
          </w:p>
        </w:tc>
        <w:tc>
          <w:tcPr>
            <w:tcW w:w="547" w:type="pct"/>
            <w:tcBorders>
              <w:top w:val="nil"/>
              <w:left w:val="nil"/>
              <w:bottom w:val="single" w:sz="4" w:space="0" w:color="auto"/>
              <w:right w:val="single" w:sz="4" w:space="0" w:color="auto"/>
            </w:tcBorders>
            <w:shd w:val="clear" w:color="auto" w:fill="auto"/>
            <w:noWrap/>
            <w:vAlign w:val="center"/>
            <w:hideMark/>
          </w:tcPr>
          <w:p w14:paraId="7123D64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57545871</w:t>
            </w:r>
          </w:p>
        </w:tc>
        <w:tc>
          <w:tcPr>
            <w:tcW w:w="3360" w:type="pct"/>
            <w:tcBorders>
              <w:top w:val="nil"/>
              <w:left w:val="nil"/>
              <w:bottom w:val="single" w:sz="4" w:space="0" w:color="auto"/>
              <w:right w:val="single" w:sz="4" w:space="0" w:color="auto"/>
            </w:tcBorders>
            <w:shd w:val="clear" w:color="auto" w:fill="auto"/>
            <w:vAlign w:val="center"/>
            <w:hideMark/>
          </w:tcPr>
          <w:p w14:paraId="06E02F5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DOMŽALE</w:t>
            </w:r>
          </w:p>
        </w:tc>
      </w:tr>
      <w:tr w:rsidR="00E3750C" w:rsidRPr="00415AB3" w14:paraId="0A71A4A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AAF02D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1649</w:t>
            </w:r>
          </w:p>
        </w:tc>
        <w:tc>
          <w:tcPr>
            <w:tcW w:w="705" w:type="pct"/>
            <w:tcBorders>
              <w:top w:val="nil"/>
              <w:left w:val="nil"/>
              <w:bottom w:val="single" w:sz="4" w:space="0" w:color="auto"/>
              <w:right w:val="single" w:sz="4" w:space="0" w:color="auto"/>
            </w:tcBorders>
            <w:shd w:val="clear" w:color="auto" w:fill="auto"/>
            <w:noWrap/>
            <w:vAlign w:val="center"/>
            <w:hideMark/>
          </w:tcPr>
          <w:p w14:paraId="370DFE6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5886341000</w:t>
            </w:r>
          </w:p>
        </w:tc>
        <w:tc>
          <w:tcPr>
            <w:tcW w:w="547" w:type="pct"/>
            <w:tcBorders>
              <w:top w:val="nil"/>
              <w:left w:val="nil"/>
              <w:bottom w:val="single" w:sz="4" w:space="0" w:color="auto"/>
              <w:right w:val="single" w:sz="4" w:space="0" w:color="auto"/>
            </w:tcBorders>
            <w:shd w:val="clear" w:color="auto" w:fill="auto"/>
            <w:noWrap/>
            <w:vAlign w:val="center"/>
            <w:hideMark/>
          </w:tcPr>
          <w:p w14:paraId="2EE583A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84280654</w:t>
            </w:r>
          </w:p>
        </w:tc>
        <w:tc>
          <w:tcPr>
            <w:tcW w:w="3360" w:type="pct"/>
            <w:tcBorders>
              <w:top w:val="nil"/>
              <w:left w:val="nil"/>
              <w:bottom w:val="single" w:sz="4" w:space="0" w:color="auto"/>
              <w:right w:val="single" w:sz="4" w:space="0" w:color="auto"/>
            </w:tcBorders>
            <w:shd w:val="clear" w:color="auto" w:fill="auto"/>
            <w:vAlign w:val="center"/>
            <w:hideMark/>
          </w:tcPr>
          <w:p w14:paraId="35F81CB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DRAVOGRAD</w:t>
            </w:r>
          </w:p>
        </w:tc>
      </w:tr>
      <w:tr w:rsidR="00E3750C" w:rsidRPr="00415AB3" w14:paraId="4A7F789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4C6087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1650</w:t>
            </w:r>
          </w:p>
        </w:tc>
        <w:tc>
          <w:tcPr>
            <w:tcW w:w="705" w:type="pct"/>
            <w:tcBorders>
              <w:top w:val="nil"/>
              <w:left w:val="nil"/>
              <w:bottom w:val="single" w:sz="4" w:space="0" w:color="auto"/>
              <w:right w:val="single" w:sz="4" w:space="0" w:color="auto"/>
            </w:tcBorders>
            <w:shd w:val="clear" w:color="auto" w:fill="auto"/>
            <w:noWrap/>
            <w:vAlign w:val="center"/>
            <w:hideMark/>
          </w:tcPr>
          <w:p w14:paraId="7C3F6B6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5886333000</w:t>
            </w:r>
          </w:p>
        </w:tc>
        <w:tc>
          <w:tcPr>
            <w:tcW w:w="547" w:type="pct"/>
            <w:tcBorders>
              <w:top w:val="nil"/>
              <w:left w:val="nil"/>
              <w:bottom w:val="single" w:sz="4" w:space="0" w:color="auto"/>
              <w:right w:val="single" w:sz="4" w:space="0" w:color="auto"/>
            </w:tcBorders>
            <w:shd w:val="clear" w:color="auto" w:fill="auto"/>
            <w:noWrap/>
            <w:vAlign w:val="center"/>
            <w:hideMark/>
          </w:tcPr>
          <w:p w14:paraId="28078A9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20797460</w:t>
            </w:r>
          </w:p>
        </w:tc>
        <w:tc>
          <w:tcPr>
            <w:tcW w:w="3360" w:type="pct"/>
            <w:tcBorders>
              <w:top w:val="nil"/>
              <w:left w:val="nil"/>
              <w:bottom w:val="single" w:sz="4" w:space="0" w:color="auto"/>
              <w:right w:val="single" w:sz="4" w:space="0" w:color="auto"/>
            </w:tcBorders>
            <w:shd w:val="clear" w:color="auto" w:fill="auto"/>
            <w:vAlign w:val="center"/>
            <w:hideMark/>
          </w:tcPr>
          <w:p w14:paraId="445D4DD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GORNJA RADGONA</w:t>
            </w:r>
          </w:p>
        </w:tc>
      </w:tr>
      <w:tr w:rsidR="00E3750C" w:rsidRPr="00415AB3" w14:paraId="6C4A42A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742D42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1651</w:t>
            </w:r>
          </w:p>
        </w:tc>
        <w:tc>
          <w:tcPr>
            <w:tcW w:w="705" w:type="pct"/>
            <w:tcBorders>
              <w:top w:val="nil"/>
              <w:left w:val="nil"/>
              <w:bottom w:val="single" w:sz="4" w:space="0" w:color="auto"/>
              <w:right w:val="single" w:sz="4" w:space="0" w:color="auto"/>
            </w:tcBorders>
            <w:shd w:val="clear" w:color="auto" w:fill="auto"/>
            <w:noWrap/>
            <w:vAlign w:val="center"/>
            <w:hideMark/>
          </w:tcPr>
          <w:p w14:paraId="79D1FA6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5886325000</w:t>
            </w:r>
          </w:p>
        </w:tc>
        <w:tc>
          <w:tcPr>
            <w:tcW w:w="547" w:type="pct"/>
            <w:tcBorders>
              <w:top w:val="nil"/>
              <w:left w:val="nil"/>
              <w:bottom w:val="single" w:sz="4" w:space="0" w:color="auto"/>
              <w:right w:val="single" w:sz="4" w:space="0" w:color="auto"/>
            </w:tcBorders>
            <w:shd w:val="clear" w:color="auto" w:fill="auto"/>
            <w:noWrap/>
            <w:vAlign w:val="center"/>
            <w:hideMark/>
          </w:tcPr>
          <w:p w14:paraId="0780A65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19031548</w:t>
            </w:r>
          </w:p>
        </w:tc>
        <w:tc>
          <w:tcPr>
            <w:tcW w:w="3360" w:type="pct"/>
            <w:tcBorders>
              <w:top w:val="nil"/>
              <w:left w:val="nil"/>
              <w:bottom w:val="single" w:sz="4" w:space="0" w:color="auto"/>
              <w:right w:val="single" w:sz="4" w:space="0" w:color="auto"/>
            </w:tcBorders>
            <w:shd w:val="clear" w:color="auto" w:fill="auto"/>
            <w:vAlign w:val="center"/>
            <w:hideMark/>
          </w:tcPr>
          <w:p w14:paraId="6D7994B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GROSUPLJE</w:t>
            </w:r>
          </w:p>
        </w:tc>
      </w:tr>
      <w:tr w:rsidR="00E3750C" w:rsidRPr="00415AB3" w14:paraId="5E6AA23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7EB364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1652</w:t>
            </w:r>
          </w:p>
        </w:tc>
        <w:tc>
          <w:tcPr>
            <w:tcW w:w="705" w:type="pct"/>
            <w:tcBorders>
              <w:top w:val="nil"/>
              <w:left w:val="nil"/>
              <w:bottom w:val="single" w:sz="4" w:space="0" w:color="auto"/>
              <w:right w:val="single" w:sz="4" w:space="0" w:color="auto"/>
            </w:tcBorders>
            <w:shd w:val="clear" w:color="auto" w:fill="auto"/>
            <w:noWrap/>
            <w:vAlign w:val="center"/>
            <w:hideMark/>
          </w:tcPr>
          <w:p w14:paraId="158D9A7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5886317000</w:t>
            </w:r>
          </w:p>
        </w:tc>
        <w:tc>
          <w:tcPr>
            <w:tcW w:w="547" w:type="pct"/>
            <w:tcBorders>
              <w:top w:val="nil"/>
              <w:left w:val="nil"/>
              <w:bottom w:val="single" w:sz="4" w:space="0" w:color="auto"/>
              <w:right w:val="single" w:sz="4" w:space="0" w:color="auto"/>
            </w:tcBorders>
            <w:shd w:val="clear" w:color="auto" w:fill="auto"/>
            <w:noWrap/>
            <w:vAlign w:val="center"/>
            <w:hideMark/>
          </w:tcPr>
          <w:p w14:paraId="746B468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93837232</w:t>
            </w:r>
          </w:p>
        </w:tc>
        <w:tc>
          <w:tcPr>
            <w:tcW w:w="3360" w:type="pct"/>
            <w:tcBorders>
              <w:top w:val="nil"/>
              <w:left w:val="nil"/>
              <w:bottom w:val="single" w:sz="4" w:space="0" w:color="auto"/>
              <w:right w:val="single" w:sz="4" w:space="0" w:color="auto"/>
            </w:tcBorders>
            <w:shd w:val="clear" w:color="auto" w:fill="auto"/>
            <w:vAlign w:val="center"/>
            <w:hideMark/>
          </w:tcPr>
          <w:p w14:paraId="527E9D7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HRASTNIK</w:t>
            </w:r>
          </w:p>
        </w:tc>
      </w:tr>
      <w:tr w:rsidR="00E3750C" w:rsidRPr="00415AB3" w14:paraId="674D7C9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BDEBBC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1653</w:t>
            </w:r>
          </w:p>
        </w:tc>
        <w:tc>
          <w:tcPr>
            <w:tcW w:w="705" w:type="pct"/>
            <w:tcBorders>
              <w:top w:val="nil"/>
              <w:left w:val="nil"/>
              <w:bottom w:val="single" w:sz="4" w:space="0" w:color="auto"/>
              <w:right w:val="single" w:sz="4" w:space="0" w:color="auto"/>
            </w:tcBorders>
            <w:shd w:val="clear" w:color="auto" w:fill="auto"/>
            <w:noWrap/>
            <w:vAlign w:val="center"/>
            <w:hideMark/>
          </w:tcPr>
          <w:p w14:paraId="6AD59A6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5886309000</w:t>
            </w:r>
          </w:p>
        </w:tc>
        <w:tc>
          <w:tcPr>
            <w:tcW w:w="547" w:type="pct"/>
            <w:tcBorders>
              <w:top w:val="nil"/>
              <w:left w:val="nil"/>
              <w:bottom w:val="single" w:sz="4" w:space="0" w:color="auto"/>
              <w:right w:val="single" w:sz="4" w:space="0" w:color="auto"/>
            </w:tcBorders>
            <w:shd w:val="clear" w:color="auto" w:fill="auto"/>
            <w:noWrap/>
            <w:vAlign w:val="center"/>
            <w:hideMark/>
          </w:tcPr>
          <w:p w14:paraId="1F92341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73258270</w:t>
            </w:r>
          </w:p>
        </w:tc>
        <w:tc>
          <w:tcPr>
            <w:tcW w:w="3360" w:type="pct"/>
            <w:tcBorders>
              <w:top w:val="nil"/>
              <w:left w:val="nil"/>
              <w:bottom w:val="single" w:sz="4" w:space="0" w:color="auto"/>
              <w:right w:val="single" w:sz="4" w:space="0" w:color="auto"/>
            </w:tcBorders>
            <w:shd w:val="clear" w:color="auto" w:fill="auto"/>
            <w:vAlign w:val="center"/>
            <w:hideMark/>
          </w:tcPr>
          <w:p w14:paraId="46E5572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IDRIJA</w:t>
            </w:r>
          </w:p>
        </w:tc>
      </w:tr>
      <w:tr w:rsidR="00E3750C" w:rsidRPr="00415AB3" w14:paraId="337DAD9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2B1654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1654</w:t>
            </w:r>
          </w:p>
        </w:tc>
        <w:tc>
          <w:tcPr>
            <w:tcW w:w="705" w:type="pct"/>
            <w:tcBorders>
              <w:top w:val="nil"/>
              <w:left w:val="nil"/>
              <w:bottom w:val="single" w:sz="4" w:space="0" w:color="auto"/>
              <w:right w:val="single" w:sz="4" w:space="0" w:color="auto"/>
            </w:tcBorders>
            <w:shd w:val="clear" w:color="auto" w:fill="auto"/>
            <w:noWrap/>
            <w:vAlign w:val="center"/>
            <w:hideMark/>
          </w:tcPr>
          <w:p w14:paraId="0A87260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5886295000</w:t>
            </w:r>
          </w:p>
        </w:tc>
        <w:tc>
          <w:tcPr>
            <w:tcW w:w="547" w:type="pct"/>
            <w:tcBorders>
              <w:top w:val="nil"/>
              <w:left w:val="nil"/>
              <w:bottom w:val="single" w:sz="4" w:space="0" w:color="auto"/>
              <w:right w:val="single" w:sz="4" w:space="0" w:color="auto"/>
            </w:tcBorders>
            <w:shd w:val="clear" w:color="auto" w:fill="auto"/>
            <w:noWrap/>
            <w:vAlign w:val="center"/>
            <w:hideMark/>
          </w:tcPr>
          <w:p w14:paraId="7DCA3D6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54833809</w:t>
            </w:r>
          </w:p>
        </w:tc>
        <w:tc>
          <w:tcPr>
            <w:tcW w:w="3360" w:type="pct"/>
            <w:tcBorders>
              <w:top w:val="nil"/>
              <w:left w:val="nil"/>
              <w:bottom w:val="single" w:sz="4" w:space="0" w:color="auto"/>
              <w:right w:val="single" w:sz="4" w:space="0" w:color="auto"/>
            </w:tcBorders>
            <w:shd w:val="clear" w:color="auto" w:fill="auto"/>
            <w:vAlign w:val="center"/>
            <w:hideMark/>
          </w:tcPr>
          <w:p w14:paraId="52A232A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ILIRSKA BISTRICA</w:t>
            </w:r>
          </w:p>
        </w:tc>
      </w:tr>
      <w:tr w:rsidR="00E3750C" w:rsidRPr="00415AB3" w14:paraId="7E117D4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7798F4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1655</w:t>
            </w:r>
          </w:p>
        </w:tc>
        <w:tc>
          <w:tcPr>
            <w:tcW w:w="705" w:type="pct"/>
            <w:tcBorders>
              <w:top w:val="nil"/>
              <w:left w:val="nil"/>
              <w:bottom w:val="single" w:sz="4" w:space="0" w:color="auto"/>
              <w:right w:val="single" w:sz="4" w:space="0" w:color="auto"/>
            </w:tcBorders>
            <w:shd w:val="clear" w:color="auto" w:fill="auto"/>
            <w:noWrap/>
            <w:vAlign w:val="center"/>
            <w:hideMark/>
          </w:tcPr>
          <w:p w14:paraId="0D79DE8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5874807000</w:t>
            </w:r>
          </w:p>
        </w:tc>
        <w:tc>
          <w:tcPr>
            <w:tcW w:w="547" w:type="pct"/>
            <w:tcBorders>
              <w:top w:val="nil"/>
              <w:left w:val="nil"/>
              <w:bottom w:val="single" w:sz="4" w:space="0" w:color="auto"/>
              <w:right w:val="single" w:sz="4" w:space="0" w:color="auto"/>
            </w:tcBorders>
            <w:shd w:val="clear" w:color="auto" w:fill="auto"/>
            <w:noWrap/>
            <w:vAlign w:val="center"/>
            <w:hideMark/>
          </w:tcPr>
          <w:p w14:paraId="175A84C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66485185</w:t>
            </w:r>
          </w:p>
        </w:tc>
        <w:tc>
          <w:tcPr>
            <w:tcW w:w="3360" w:type="pct"/>
            <w:tcBorders>
              <w:top w:val="nil"/>
              <w:left w:val="nil"/>
              <w:bottom w:val="single" w:sz="4" w:space="0" w:color="auto"/>
              <w:right w:val="single" w:sz="4" w:space="0" w:color="auto"/>
            </w:tcBorders>
            <w:shd w:val="clear" w:color="auto" w:fill="auto"/>
            <w:vAlign w:val="center"/>
            <w:hideMark/>
          </w:tcPr>
          <w:p w14:paraId="06A4DF2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IZOLA</w:t>
            </w:r>
          </w:p>
        </w:tc>
      </w:tr>
      <w:tr w:rsidR="00E3750C" w:rsidRPr="00415AB3" w14:paraId="29B977A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FFF3F9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1656</w:t>
            </w:r>
          </w:p>
        </w:tc>
        <w:tc>
          <w:tcPr>
            <w:tcW w:w="705" w:type="pct"/>
            <w:tcBorders>
              <w:top w:val="nil"/>
              <w:left w:val="nil"/>
              <w:bottom w:val="single" w:sz="4" w:space="0" w:color="auto"/>
              <w:right w:val="single" w:sz="4" w:space="0" w:color="auto"/>
            </w:tcBorders>
            <w:shd w:val="clear" w:color="auto" w:fill="auto"/>
            <w:noWrap/>
            <w:vAlign w:val="center"/>
            <w:hideMark/>
          </w:tcPr>
          <w:p w14:paraId="7E3866F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5874815000</w:t>
            </w:r>
          </w:p>
        </w:tc>
        <w:tc>
          <w:tcPr>
            <w:tcW w:w="547" w:type="pct"/>
            <w:tcBorders>
              <w:top w:val="nil"/>
              <w:left w:val="nil"/>
              <w:bottom w:val="single" w:sz="4" w:space="0" w:color="auto"/>
              <w:right w:val="single" w:sz="4" w:space="0" w:color="auto"/>
            </w:tcBorders>
            <w:shd w:val="clear" w:color="auto" w:fill="auto"/>
            <w:noWrap/>
            <w:vAlign w:val="center"/>
            <w:hideMark/>
          </w:tcPr>
          <w:p w14:paraId="54D1FD9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81615949</w:t>
            </w:r>
          </w:p>
        </w:tc>
        <w:tc>
          <w:tcPr>
            <w:tcW w:w="3360" w:type="pct"/>
            <w:tcBorders>
              <w:top w:val="nil"/>
              <w:left w:val="nil"/>
              <w:bottom w:val="single" w:sz="4" w:space="0" w:color="auto"/>
              <w:right w:val="single" w:sz="4" w:space="0" w:color="auto"/>
            </w:tcBorders>
            <w:shd w:val="clear" w:color="auto" w:fill="auto"/>
            <w:vAlign w:val="center"/>
            <w:hideMark/>
          </w:tcPr>
          <w:p w14:paraId="16FAAC8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JESENICE</w:t>
            </w:r>
          </w:p>
        </w:tc>
      </w:tr>
      <w:tr w:rsidR="00E3750C" w:rsidRPr="00415AB3" w14:paraId="518DDAA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B2F4B5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1657</w:t>
            </w:r>
          </w:p>
        </w:tc>
        <w:tc>
          <w:tcPr>
            <w:tcW w:w="705" w:type="pct"/>
            <w:tcBorders>
              <w:top w:val="nil"/>
              <w:left w:val="nil"/>
              <w:bottom w:val="single" w:sz="4" w:space="0" w:color="auto"/>
              <w:right w:val="single" w:sz="4" w:space="0" w:color="auto"/>
            </w:tcBorders>
            <w:shd w:val="clear" w:color="auto" w:fill="auto"/>
            <w:noWrap/>
            <w:vAlign w:val="center"/>
            <w:hideMark/>
          </w:tcPr>
          <w:p w14:paraId="706AC32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5874823000</w:t>
            </w:r>
          </w:p>
        </w:tc>
        <w:tc>
          <w:tcPr>
            <w:tcW w:w="547" w:type="pct"/>
            <w:tcBorders>
              <w:top w:val="nil"/>
              <w:left w:val="nil"/>
              <w:bottom w:val="single" w:sz="4" w:space="0" w:color="auto"/>
              <w:right w:val="single" w:sz="4" w:space="0" w:color="auto"/>
            </w:tcBorders>
            <w:shd w:val="clear" w:color="auto" w:fill="auto"/>
            <w:noWrap/>
            <w:vAlign w:val="center"/>
            <w:hideMark/>
          </w:tcPr>
          <w:p w14:paraId="4ACE0BA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69738688</w:t>
            </w:r>
          </w:p>
        </w:tc>
        <w:tc>
          <w:tcPr>
            <w:tcW w:w="3360" w:type="pct"/>
            <w:tcBorders>
              <w:top w:val="nil"/>
              <w:left w:val="nil"/>
              <w:bottom w:val="single" w:sz="4" w:space="0" w:color="auto"/>
              <w:right w:val="single" w:sz="4" w:space="0" w:color="auto"/>
            </w:tcBorders>
            <w:shd w:val="clear" w:color="auto" w:fill="auto"/>
            <w:vAlign w:val="center"/>
            <w:hideMark/>
          </w:tcPr>
          <w:p w14:paraId="5DA301E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KAMNIK</w:t>
            </w:r>
          </w:p>
        </w:tc>
      </w:tr>
      <w:tr w:rsidR="00E3750C" w:rsidRPr="00415AB3" w14:paraId="12F2D2C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A09442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1658</w:t>
            </w:r>
          </w:p>
        </w:tc>
        <w:tc>
          <w:tcPr>
            <w:tcW w:w="705" w:type="pct"/>
            <w:tcBorders>
              <w:top w:val="nil"/>
              <w:left w:val="nil"/>
              <w:bottom w:val="single" w:sz="4" w:space="0" w:color="auto"/>
              <w:right w:val="single" w:sz="4" w:space="0" w:color="auto"/>
            </w:tcBorders>
            <w:shd w:val="clear" w:color="auto" w:fill="auto"/>
            <w:noWrap/>
            <w:vAlign w:val="center"/>
            <w:hideMark/>
          </w:tcPr>
          <w:p w14:paraId="60887B0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5874831000</w:t>
            </w:r>
          </w:p>
        </w:tc>
        <w:tc>
          <w:tcPr>
            <w:tcW w:w="547" w:type="pct"/>
            <w:tcBorders>
              <w:top w:val="nil"/>
              <w:left w:val="nil"/>
              <w:bottom w:val="single" w:sz="4" w:space="0" w:color="auto"/>
              <w:right w:val="single" w:sz="4" w:space="0" w:color="auto"/>
            </w:tcBorders>
            <w:shd w:val="clear" w:color="auto" w:fill="auto"/>
            <w:noWrap/>
            <w:vAlign w:val="center"/>
            <w:hideMark/>
          </w:tcPr>
          <w:p w14:paraId="6EE5E80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51131455</w:t>
            </w:r>
          </w:p>
        </w:tc>
        <w:tc>
          <w:tcPr>
            <w:tcW w:w="3360" w:type="pct"/>
            <w:tcBorders>
              <w:top w:val="nil"/>
              <w:left w:val="nil"/>
              <w:bottom w:val="single" w:sz="4" w:space="0" w:color="auto"/>
              <w:right w:val="single" w:sz="4" w:space="0" w:color="auto"/>
            </w:tcBorders>
            <w:shd w:val="clear" w:color="auto" w:fill="auto"/>
            <w:vAlign w:val="center"/>
            <w:hideMark/>
          </w:tcPr>
          <w:p w14:paraId="050459B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KOČEVJE</w:t>
            </w:r>
          </w:p>
        </w:tc>
      </w:tr>
      <w:tr w:rsidR="00E3750C" w:rsidRPr="00415AB3" w14:paraId="3D5B5EA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88C8AC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1659</w:t>
            </w:r>
          </w:p>
        </w:tc>
        <w:tc>
          <w:tcPr>
            <w:tcW w:w="705" w:type="pct"/>
            <w:tcBorders>
              <w:top w:val="nil"/>
              <w:left w:val="nil"/>
              <w:bottom w:val="single" w:sz="4" w:space="0" w:color="auto"/>
              <w:right w:val="single" w:sz="4" w:space="0" w:color="auto"/>
            </w:tcBorders>
            <w:shd w:val="clear" w:color="auto" w:fill="auto"/>
            <w:noWrap/>
            <w:vAlign w:val="center"/>
            <w:hideMark/>
          </w:tcPr>
          <w:p w14:paraId="12B4215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5874882000</w:t>
            </w:r>
          </w:p>
        </w:tc>
        <w:tc>
          <w:tcPr>
            <w:tcW w:w="547" w:type="pct"/>
            <w:tcBorders>
              <w:top w:val="nil"/>
              <w:left w:val="nil"/>
              <w:bottom w:val="single" w:sz="4" w:space="0" w:color="auto"/>
              <w:right w:val="single" w:sz="4" w:space="0" w:color="auto"/>
            </w:tcBorders>
            <w:shd w:val="clear" w:color="auto" w:fill="auto"/>
            <w:noWrap/>
            <w:vAlign w:val="center"/>
            <w:hideMark/>
          </w:tcPr>
          <w:p w14:paraId="23702A4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56695080</w:t>
            </w:r>
          </w:p>
        </w:tc>
        <w:tc>
          <w:tcPr>
            <w:tcW w:w="3360" w:type="pct"/>
            <w:tcBorders>
              <w:top w:val="nil"/>
              <w:left w:val="nil"/>
              <w:bottom w:val="single" w:sz="4" w:space="0" w:color="auto"/>
              <w:right w:val="single" w:sz="4" w:space="0" w:color="auto"/>
            </w:tcBorders>
            <w:shd w:val="clear" w:color="auto" w:fill="auto"/>
            <w:vAlign w:val="center"/>
            <w:hideMark/>
          </w:tcPr>
          <w:p w14:paraId="2111A7B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KOPER</w:t>
            </w:r>
          </w:p>
        </w:tc>
      </w:tr>
      <w:tr w:rsidR="00E3750C" w:rsidRPr="00415AB3" w14:paraId="12B11E0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54C458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1660</w:t>
            </w:r>
          </w:p>
        </w:tc>
        <w:tc>
          <w:tcPr>
            <w:tcW w:w="705" w:type="pct"/>
            <w:tcBorders>
              <w:top w:val="nil"/>
              <w:left w:val="nil"/>
              <w:bottom w:val="single" w:sz="4" w:space="0" w:color="auto"/>
              <w:right w:val="single" w:sz="4" w:space="0" w:color="auto"/>
            </w:tcBorders>
            <w:shd w:val="clear" w:color="auto" w:fill="auto"/>
            <w:noWrap/>
            <w:vAlign w:val="center"/>
            <w:hideMark/>
          </w:tcPr>
          <w:p w14:paraId="0A15143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5874840000</w:t>
            </w:r>
          </w:p>
        </w:tc>
        <w:tc>
          <w:tcPr>
            <w:tcW w:w="547" w:type="pct"/>
            <w:tcBorders>
              <w:top w:val="nil"/>
              <w:left w:val="nil"/>
              <w:bottom w:val="single" w:sz="4" w:space="0" w:color="auto"/>
              <w:right w:val="single" w:sz="4" w:space="0" w:color="auto"/>
            </w:tcBorders>
            <w:shd w:val="clear" w:color="auto" w:fill="auto"/>
            <w:noWrap/>
            <w:vAlign w:val="center"/>
            <w:hideMark/>
          </w:tcPr>
          <w:p w14:paraId="65B5E56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36601098</w:t>
            </w:r>
          </w:p>
        </w:tc>
        <w:tc>
          <w:tcPr>
            <w:tcW w:w="3360" w:type="pct"/>
            <w:tcBorders>
              <w:top w:val="nil"/>
              <w:left w:val="nil"/>
              <w:bottom w:val="single" w:sz="4" w:space="0" w:color="auto"/>
              <w:right w:val="single" w:sz="4" w:space="0" w:color="auto"/>
            </w:tcBorders>
            <w:shd w:val="clear" w:color="auto" w:fill="auto"/>
            <w:vAlign w:val="center"/>
            <w:hideMark/>
          </w:tcPr>
          <w:p w14:paraId="0E2DEB8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KRANJ</w:t>
            </w:r>
          </w:p>
        </w:tc>
      </w:tr>
      <w:tr w:rsidR="00E3750C" w:rsidRPr="00415AB3" w14:paraId="0892B27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FD94AF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1661</w:t>
            </w:r>
          </w:p>
        </w:tc>
        <w:tc>
          <w:tcPr>
            <w:tcW w:w="705" w:type="pct"/>
            <w:tcBorders>
              <w:top w:val="nil"/>
              <w:left w:val="nil"/>
              <w:bottom w:val="single" w:sz="4" w:space="0" w:color="auto"/>
              <w:right w:val="single" w:sz="4" w:space="0" w:color="auto"/>
            </w:tcBorders>
            <w:shd w:val="clear" w:color="auto" w:fill="auto"/>
            <w:noWrap/>
            <w:vAlign w:val="center"/>
            <w:hideMark/>
          </w:tcPr>
          <w:p w14:paraId="3E1E5C9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5874904000</w:t>
            </w:r>
          </w:p>
        </w:tc>
        <w:tc>
          <w:tcPr>
            <w:tcW w:w="547" w:type="pct"/>
            <w:tcBorders>
              <w:top w:val="nil"/>
              <w:left w:val="nil"/>
              <w:bottom w:val="single" w:sz="4" w:space="0" w:color="auto"/>
              <w:right w:val="single" w:sz="4" w:space="0" w:color="auto"/>
            </w:tcBorders>
            <w:shd w:val="clear" w:color="auto" w:fill="auto"/>
            <w:noWrap/>
            <w:vAlign w:val="center"/>
            <w:hideMark/>
          </w:tcPr>
          <w:p w14:paraId="2DD406A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92136648</w:t>
            </w:r>
          </w:p>
        </w:tc>
        <w:tc>
          <w:tcPr>
            <w:tcW w:w="3360" w:type="pct"/>
            <w:tcBorders>
              <w:top w:val="nil"/>
              <w:left w:val="nil"/>
              <w:bottom w:val="single" w:sz="4" w:space="0" w:color="auto"/>
              <w:right w:val="single" w:sz="4" w:space="0" w:color="auto"/>
            </w:tcBorders>
            <w:shd w:val="clear" w:color="auto" w:fill="auto"/>
            <w:vAlign w:val="center"/>
            <w:hideMark/>
          </w:tcPr>
          <w:p w14:paraId="3A0FBB5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KRŠKO</w:t>
            </w:r>
          </w:p>
        </w:tc>
      </w:tr>
      <w:tr w:rsidR="00E3750C" w:rsidRPr="00415AB3" w14:paraId="354BBB4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ED4C84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1662</w:t>
            </w:r>
          </w:p>
        </w:tc>
        <w:tc>
          <w:tcPr>
            <w:tcW w:w="705" w:type="pct"/>
            <w:tcBorders>
              <w:top w:val="nil"/>
              <w:left w:val="nil"/>
              <w:bottom w:val="single" w:sz="4" w:space="0" w:color="auto"/>
              <w:right w:val="single" w:sz="4" w:space="0" w:color="auto"/>
            </w:tcBorders>
            <w:shd w:val="clear" w:color="auto" w:fill="auto"/>
            <w:noWrap/>
            <w:vAlign w:val="center"/>
            <w:hideMark/>
          </w:tcPr>
          <w:p w14:paraId="4415531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5874858000</w:t>
            </w:r>
          </w:p>
        </w:tc>
        <w:tc>
          <w:tcPr>
            <w:tcW w:w="547" w:type="pct"/>
            <w:tcBorders>
              <w:top w:val="nil"/>
              <w:left w:val="nil"/>
              <w:bottom w:val="single" w:sz="4" w:space="0" w:color="auto"/>
              <w:right w:val="single" w:sz="4" w:space="0" w:color="auto"/>
            </w:tcBorders>
            <w:shd w:val="clear" w:color="auto" w:fill="auto"/>
            <w:noWrap/>
            <w:vAlign w:val="center"/>
            <w:hideMark/>
          </w:tcPr>
          <w:p w14:paraId="0120A16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68476531</w:t>
            </w:r>
          </w:p>
        </w:tc>
        <w:tc>
          <w:tcPr>
            <w:tcW w:w="3360" w:type="pct"/>
            <w:tcBorders>
              <w:top w:val="nil"/>
              <w:left w:val="nil"/>
              <w:bottom w:val="single" w:sz="4" w:space="0" w:color="auto"/>
              <w:right w:val="single" w:sz="4" w:space="0" w:color="auto"/>
            </w:tcBorders>
            <w:shd w:val="clear" w:color="auto" w:fill="auto"/>
            <w:vAlign w:val="center"/>
            <w:hideMark/>
          </w:tcPr>
          <w:p w14:paraId="5BDC80F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LAŠKO</w:t>
            </w:r>
          </w:p>
        </w:tc>
      </w:tr>
      <w:tr w:rsidR="00E3750C" w:rsidRPr="00415AB3" w14:paraId="59E86D4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55C5F4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1663</w:t>
            </w:r>
          </w:p>
        </w:tc>
        <w:tc>
          <w:tcPr>
            <w:tcW w:w="705" w:type="pct"/>
            <w:tcBorders>
              <w:top w:val="nil"/>
              <w:left w:val="nil"/>
              <w:bottom w:val="single" w:sz="4" w:space="0" w:color="auto"/>
              <w:right w:val="single" w:sz="4" w:space="0" w:color="auto"/>
            </w:tcBorders>
            <w:shd w:val="clear" w:color="auto" w:fill="auto"/>
            <w:noWrap/>
            <w:vAlign w:val="center"/>
            <w:hideMark/>
          </w:tcPr>
          <w:p w14:paraId="33C0AB8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5874912000</w:t>
            </w:r>
          </w:p>
        </w:tc>
        <w:tc>
          <w:tcPr>
            <w:tcW w:w="547" w:type="pct"/>
            <w:tcBorders>
              <w:top w:val="nil"/>
              <w:left w:val="nil"/>
              <w:bottom w:val="single" w:sz="4" w:space="0" w:color="auto"/>
              <w:right w:val="single" w:sz="4" w:space="0" w:color="auto"/>
            </w:tcBorders>
            <w:shd w:val="clear" w:color="auto" w:fill="auto"/>
            <w:noWrap/>
            <w:vAlign w:val="center"/>
            <w:hideMark/>
          </w:tcPr>
          <w:p w14:paraId="0181D18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79812414</w:t>
            </w:r>
          </w:p>
        </w:tc>
        <w:tc>
          <w:tcPr>
            <w:tcW w:w="3360" w:type="pct"/>
            <w:tcBorders>
              <w:top w:val="nil"/>
              <w:left w:val="nil"/>
              <w:bottom w:val="single" w:sz="4" w:space="0" w:color="auto"/>
              <w:right w:val="single" w:sz="4" w:space="0" w:color="auto"/>
            </w:tcBorders>
            <w:shd w:val="clear" w:color="auto" w:fill="auto"/>
            <w:vAlign w:val="center"/>
            <w:hideMark/>
          </w:tcPr>
          <w:p w14:paraId="6C5026A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LENART</w:t>
            </w:r>
          </w:p>
        </w:tc>
      </w:tr>
      <w:tr w:rsidR="00E3750C" w:rsidRPr="00415AB3" w14:paraId="67C6A93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4B5054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1664</w:t>
            </w:r>
          </w:p>
        </w:tc>
        <w:tc>
          <w:tcPr>
            <w:tcW w:w="705" w:type="pct"/>
            <w:tcBorders>
              <w:top w:val="nil"/>
              <w:left w:val="nil"/>
              <w:bottom w:val="single" w:sz="4" w:space="0" w:color="auto"/>
              <w:right w:val="single" w:sz="4" w:space="0" w:color="auto"/>
            </w:tcBorders>
            <w:shd w:val="clear" w:color="auto" w:fill="auto"/>
            <w:noWrap/>
            <w:vAlign w:val="center"/>
            <w:hideMark/>
          </w:tcPr>
          <w:p w14:paraId="6F97348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5874874000</w:t>
            </w:r>
          </w:p>
        </w:tc>
        <w:tc>
          <w:tcPr>
            <w:tcW w:w="547" w:type="pct"/>
            <w:tcBorders>
              <w:top w:val="nil"/>
              <w:left w:val="nil"/>
              <w:bottom w:val="single" w:sz="4" w:space="0" w:color="auto"/>
              <w:right w:val="single" w:sz="4" w:space="0" w:color="auto"/>
            </w:tcBorders>
            <w:shd w:val="clear" w:color="auto" w:fill="auto"/>
            <w:noWrap/>
            <w:vAlign w:val="center"/>
            <w:hideMark/>
          </w:tcPr>
          <w:p w14:paraId="16C6F57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36000248</w:t>
            </w:r>
          </w:p>
        </w:tc>
        <w:tc>
          <w:tcPr>
            <w:tcW w:w="3360" w:type="pct"/>
            <w:tcBorders>
              <w:top w:val="nil"/>
              <w:left w:val="nil"/>
              <w:bottom w:val="single" w:sz="4" w:space="0" w:color="auto"/>
              <w:right w:val="single" w:sz="4" w:space="0" w:color="auto"/>
            </w:tcBorders>
            <w:shd w:val="clear" w:color="auto" w:fill="auto"/>
            <w:vAlign w:val="center"/>
            <w:hideMark/>
          </w:tcPr>
          <w:p w14:paraId="69C28DC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LENDAVA</w:t>
            </w:r>
          </w:p>
        </w:tc>
      </w:tr>
      <w:tr w:rsidR="00E3750C" w:rsidRPr="00415AB3" w14:paraId="405403A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B56A89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1665</w:t>
            </w:r>
          </w:p>
        </w:tc>
        <w:tc>
          <w:tcPr>
            <w:tcW w:w="705" w:type="pct"/>
            <w:tcBorders>
              <w:top w:val="nil"/>
              <w:left w:val="nil"/>
              <w:bottom w:val="single" w:sz="4" w:space="0" w:color="auto"/>
              <w:right w:val="single" w:sz="4" w:space="0" w:color="auto"/>
            </w:tcBorders>
            <w:shd w:val="clear" w:color="auto" w:fill="auto"/>
            <w:noWrap/>
            <w:vAlign w:val="center"/>
            <w:hideMark/>
          </w:tcPr>
          <w:p w14:paraId="568E0A6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5874866000</w:t>
            </w:r>
          </w:p>
        </w:tc>
        <w:tc>
          <w:tcPr>
            <w:tcW w:w="547" w:type="pct"/>
            <w:tcBorders>
              <w:top w:val="nil"/>
              <w:left w:val="nil"/>
              <w:bottom w:val="single" w:sz="4" w:space="0" w:color="auto"/>
              <w:right w:val="single" w:sz="4" w:space="0" w:color="auto"/>
            </w:tcBorders>
            <w:shd w:val="clear" w:color="auto" w:fill="auto"/>
            <w:noWrap/>
            <w:vAlign w:val="center"/>
            <w:hideMark/>
          </w:tcPr>
          <w:p w14:paraId="223327E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23945656</w:t>
            </w:r>
          </w:p>
        </w:tc>
        <w:tc>
          <w:tcPr>
            <w:tcW w:w="3360" w:type="pct"/>
            <w:tcBorders>
              <w:top w:val="nil"/>
              <w:left w:val="nil"/>
              <w:bottom w:val="single" w:sz="4" w:space="0" w:color="auto"/>
              <w:right w:val="single" w:sz="4" w:space="0" w:color="auto"/>
            </w:tcBorders>
            <w:shd w:val="clear" w:color="auto" w:fill="auto"/>
            <w:vAlign w:val="center"/>
            <w:hideMark/>
          </w:tcPr>
          <w:p w14:paraId="1F8EB21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LITIJA</w:t>
            </w:r>
          </w:p>
        </w:tc>
      </w:tr>
      <w:tr w:rsidR="00E3750C" w:rsidRPr="00415AB3" w14:paraId="49ACD6B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21C5CC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1666</w:t>
            </w:r>
          </w:p>
        </w:tc>
        <w:tc>
          <w:tcPr>
            <w:tcW w:w="705" w:type="pct"/>
            <w:tcBorders>
              <w:top w:val="nil"/>
              <w:left w:val="nil"/>
              <w:bottom w:val="single" w:sz="4" w:space="0" w:color="auto"/>
              <w:right w:val="single" w:sz="4" w:space="0" w:color="auto"/>
            </w:tcBorders>
            <w:shd w:val="clear" w:color="auto" w:fill="auto"/>
            <w:noWrap/>
            <w:vAlign w:val="center"/>
            <w:hideMark/>
          </w:tcPr>
          <w:p w14:paraId="452032F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5874939000</w:t>
            </w:r>
          </w:p>
        </w:tc>
        <w:tc>
          <w:tcPr>
            <w:tcW w:w="547" w:type="pct"/>
            <w:tcBorders>
              <w:top w:val="nil"/>
              <w:left w:val="nil"/>
              <w:bottom w:val="single" w:sz="4" w:space="0" w:color="auto"/>
              <w:right w:val="single" w:sz="4" w:space="0" w:color="auto"/>
            </w:tcBorders>
            <w:shd w:val="clear" w:color="auto" w:fill="auto"/>
            <w:noWrap/>
            <w:vAlign w:val="center"/>
            <w:hideMark/>
          </w:tcPr>
          <w:p w14:paraId="7F4FB3C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35325089</w:t>
            </w:r>
          </w:p>
        </w:tc>
        <w:tc>
          <w:tcPr>
            <w:tcW w:w="3360" w:type="pct"/>
            <w:tcBorders>
              <w:top w:val="nil"/>
              <w:left w:val="nil"/>
              <w:bottom w:val="single" w:sz="4" w:space="0" w:color="auto"/>
              <w:right w:val="single" w:sz="4" w:space="0" w:color="auto"/>
            </w:tcBorders>
            <w:shd w:val="clear" w:color="auto" w:fill="auto"/>
            <w:vAlign w:val="center"/>
            <w:hideMark/>
          </w:tcPr>
          <w:p w14:paraId="2FB18E4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LJUBLJANA</w:t>
            </w:r>
          </w:p>
        </w:tc>
      </w:tr>
      <w:tr w:rsidR="00E3750C" w:rsidRPr="00415AB3" w14:paraId="5A61AA5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6B72EC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1667</w:t>
            </w:r>
          </w:p>
        </w:tc>
        <w:tc>
          <w:tcPr>
            <w:tcW w:w="705" w:type="pct"/>
            <w:tcBorders>
              <w:top w:val="nil"/>
              <w:left w:val="nil"/>
              <w:bottom w:val="single" w:sz="4" w:space="0" w:color="auto"/>
              <w:right w:val="single" w:sz="4" w:space="0" w:color="auto"/>
            </w:tcBorders>
            <w:shd w:val="clear" w:color="auto" w:fill="auto"/>
            <w:noWrap/>
            <w:vAlign w:val="center"/>
            <w:hideMark/>
          </w:tcPr>
          <w:p w14:paraId="3C89AC5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5874947000</w:t>
            </w:r>
          </w:p>
        </w:tc>
        <w:tc>
          <w:tcPr>
            <w:tcW w:w="547" w:type="pct"/>
            <w:tcBorders>
              <w:top w:val="nil"/>
              <w:left w:val="nil"/>
              <w:bottom w:val="single" w:sz="4" w:space="0" w:color="auto"/>
              <w:right w:val="single" w:sz="4" w:space="0" w:color="auto"/>
            </w:tcBorders>
            <w:shd w:val="clear" w:color="auto" w:fill="auto"/>
            <w:noWrap/>
            <w:vAlign w:val="center"/>
            <w:hideMark/>
          </w:tcPr>
          <w:p w14:paraId="08A5FDC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97983853</w:t>
            </w:r>
          </w:p>
        </w:tc>
        <w:tc>
          <w:tcPr>
            <w:tcW w:w="3360" w:type="pct"/>
            <w:tcBorders>
              <w:top w:val="nil"/>
              <w:left w:val="nil"/>
              <w:bottom w:val="single" w:sz="4" w:space="0" w:color="auto"/>
              <w:right w:val="single" w:sz="4" w:space="0" w:color="auto"/>
            </w:tcBorders>
            <w:shd w:val="clear" w:color="auto" w:fill="auto"/>
            <w:vAlign w:val="center"/>
            <w:hideMark/>
          </w:tcPr>
          <w:p w14:paraId="630538D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LJUTOMER</w:t>
            </w:r>
          </w:p>
        </w:tc>
      </w:tr>
      <w:tr w:rsidR="00E3750C" w:rsidRPr="00415AB3" w14:paraId="1F577A4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FD1254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1668</w:t>
            </w:r>
          </w:p>
        </w:tc>
        <w:tc>
          <w:tcPr>
            <w:tcW w:w="705" w:type="pct"/>
            <w:tcBorders>
              <w:top w:val="nil"/>
              <w:left w:val="nil"/>
              <w:bottom w:val="single" w:sz="4" w:space="0" w:color="auto"/>
              <w:right w:val="single" w:sz="4" w:space="0" w:color="auto"/>
            </w:tcBorders>
            <w:shd w:val="clear" w:color="auto" w:fill="auto"/>
            <w:noWrap/>
            <w:vAlign w:val="center"/>
            <w:hideMark/>
          </w:tcPr>
          <w:p w14:paraId="458FBB7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5874955000</w:t>
            </w:r>
          </w:p>
        </w:tc>
        <w:tc>
          <w:tcPr>
            <w:tcW w:w="547" w:type="pct"/>
            <w:tcBorders>
              <w:top w:val="nil"/>
              <w:left w:val="nil"/>
              <w:bottom w:val="single" w:sz="4" w:space="0" w:color="auto"/>
              <w:right w:val="single" w:sz="4" w:space="0" w:color="auto"/>
            </w:tcBorders>
            <w:shd w:val="clear" w:color="auto" w:fill="auto"/>
            <w:noWrap/>
            <w:vAlign w:val="center"/>
            <w:hideMark/>
          </w:tcPr>
          <w:p w14:paraId="361746D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40911799</w:t>
            </w:r>
          </w:p>
        </w:tc>
        <w:tc>
          <w:tcPr>
            <w:tcW w:w="3360" w:type="pct"/>
            <w:tcBorders>
              <w:top w:val="nil"/>
              <w:left w:val="nil"/>
              <w:bottom w:val="single" w:sz="4" w:space="0" w:color="auto"/>
              <w:right w:val="single" w:sz="4" w:space="0" w:color="auto"/>
            </w:tcBorders>
            <w:shd w:val="clear" w:color="auto" w:fill="auto"/>
            <w:vAlign w:val="center"/>
            <w:hideMark/>
          </w:tcPr>
          <w:p w14:paraId="360600B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LOGATEC</w:t>
            </w:r>
          </w:p>
        </w:tc>
      </w:tr>
      <w:tr w:rsidR="00E3750C" w:rsidRPr="00415AB3" w14:paraId="21A7DA4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9FAB5E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1669</w:t>
            </w:r>
          </w:p>
        </w:tc>
        <w:tc>
          <w:tcPr>
            <w:tcW w:w="705" w:type="pct"/>
            <w:tcBorders>
              <w:top w:val="nil"/>
              <w:left w:val="nil"/>
              <w:bottom w:val="single" w:sz="4" w:space="0" w:color="auto"/>
              <w:right w:val="single" w:sz="4" w:space="0" w:color="auto"/>
            </w:tcBorders>
            <w:shd w:val="clear" w:color="auto" w:fill="auto"/>
            <w:noWrap/>
            <w:vAlign w:val="center"/>
            <w:hideMark/>
          </w:tcPr>
          <w:p w14:paraId="222257E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5886422000</w:t>
            </w:r>
          </w:p>
        </w:tc>
        <w:tc>
          <w:tcPr>
            <w:tcW w:w="547" w:type="pct"/>
            <w:tcBorders>
              <w:top w:val="nil"/>
              <w:left w:val="nil"/>
              <w:bottom w:val="single" w:sz="4" w:space="0" w:color="auto"/>
              <w:right w:val="single" w:sz="4" w:space="0" w:color="auto"/>
            </w:tcBorders>
            <w:shd w:val="clear" w:color="auto" w:fill="auto"/>
            <w:noWrap/>
            <w:vAlign w:val="center"/>
            <w:hideMark/>
          </w:tcPr>
          <w:p w14:paraId="1A924CA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23328797</w:t>
            </w:r>
          </w:p>
        </w:tc>
        <w:tc>
          <w:tcPr>
            <w:tcW w:w="3360" w:type="pct"/>
            <w:tcBorders>
              <w:top w:val="nil"/>
              <w:left w:val="nil"/>
              <w:bottom w:val="single" w:sz="4" w:space="0" w:color="auto"/>
              <w:right w:val="single" w:sz="4" w:space="0" w:color="auto"/>
            </w:tcBorders>
            <w:shd w:val="clear" w:color="auto" w:fill="auto"/>
            <w:vAlign w:val="center"/>
            <w:hideMark/>
          </w:tcPr>
          <w:p w14:paraId="7993441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MARIBOR</w:t>
            </w:r>
          </w:p>
        </w:tc>
      </w:tr>
      <w:tr w:rsidR="00E3750C" w:rsidRPr="00415AB3" w14:paraId="268853E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F6DD15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1670</w:t>
            </w:r>
          </w:p>
        </w:tc>
        <w:tc>
          <w:tcPr>
            <w:tcW w:w="705" w:type="pct"/>
            <w:tcBorders>
              <w:top w:val="nil"/>
              <w:left w:val="nil"/>
              <w:bottom w:val="single" w:sz="4" w:space="0" w:color="auto"/>
              <w:right w:val="single" w:sz="4" w:space="0" w:color="auto"/>
            </w:tcBorders>
            <w:shd w:val="clear" w:color="auto" w:fill="auto"/>
            <w:noWrap/>
            <w:vAlign w:val="center"/>
            <w:hideMark/>
          </w:tcPr>
          <w:p w14:paraId="7305315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5886759000</w:t>
            </w:r>
          </w:p>
        </w:tc>
        <w:tc>
          <w:tcPr>
            <w:tcW w:w="547" w:type="pct"/>
            <w:tcBorders>
              <w:top w:val="nil"/>
              <w:left w:val="nil"/>
              <w:bottom w:val="single" w:sz="4" w:space="0" w:color="auto"/>
              <w:right w:val="single" w:sz="4" w:space="0" w:color="auto"/>
            </w:tcBorders>
            <w:shd w:val="clear" w:color="auto" w:fill="auto"/>
            <w:noWrap/>
            <w:vAlign w:val="center"/>
            <w:hideMark/>
          </w:tcPr>
          <w:p w14:paraId="29422FD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73170658</w:t>
            </w:r>
          </w:p>
        </w:tc>
        <w:tc>
          <w:tcPr>
            <w:tcW w:w="3360" w:type="pct"/>
            <w:tcBorders>
              <w:top w:val="nil"/>
              <w:left w:val="nil"/>
              <w:bottom w:val="single" w:sz="4" w:space="0" w:color="auto"/>
              <w:right w:val="single" w:sz="4" w:space="0" w:color="auto"/>
            </w:tcBorders>
            <w:shd w:val="clear" w:color="auto" w:fill="auto"/>
            <w:vAlign w:val="center"/>
            <w:hideMark/>
          </w:tcPr>
          <w:p w14:paraId="6B33351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METLIKA</w:t>
            </w:r>
          </w:p>
        </w:tc>
      </w:tr>
      <w:tr w:rsidR="00E3750C" w:rsidRPr="00415AB3" w14:paraId="2F1F239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7068BE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1671</w:t>
            </w:r>
          </w:p>
        </w:tc>
        <w:tc>
          <w:tcPr>
            <w:tcW w:w="705" w:type="pct"/>
            <w:tcBorders>
              <w:top w:val="nil"/>
              <w:left w:val="nil"/>
              <w:bottom w:val="single" w:sz="4" w:space="0" w:color="auto"/>
              <w:right w:val="single" w:sz="4" w:space="0" w:color="auto"/>
            </w:tcBorders>
            <w:shd w:val="clear" w:color="auto" w:fill="auto"/>
            <w:noWrap/>
            <w:vAlign w:val="center"/>
            <w:hideMark/>
          </w:tcPr>
          <w:p w14:paraId="3132A48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5886732000</w:t>
            </w:r>
          </w:p>
        </w:tc>
        <w:tc>
          <w:tcPr>
            <w:tcW w:w="547" w:type="pct"/>
            <w:tcBorders>
              <w:top w:val="nil"/>
              <w:left w:val="nil"/>
              <w:bottom w:val="single" w:sz="4" w:space="0" w:color="auto"/>
              <w:right w:val="single" w:sz="4" w:space="0" w:color="auto"/>
            </w:tcBorders>
            <w:shd w:val="clear" w:color="auto" w:fill="auto"/>
            <w:noWrap/>
            <w:vAlign w:val="center"/>
            <w:hideMark/>
          </w:tcPr>
          <w:p w14:paraId="7EDE363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96327499</w:t>
            </w:r>
          </w:p>
        </w:tc>
        <w:tc>
          <w:tcPr>
            <w:tcW w:w="3360" w:type="pct"/>
            <w:tcBorders>
              <w:top w:val="nil"/>
              <w:left w:val="nil"/>
              <w:bottom w:val="single" w:sz="4" w:space="0" w:color="auto"/>
              <w:right w:val="single" w:sz="4" w:space="0" w:color="auto"/>
            </w:tcBorders>
            <w:shd w:val="clear" w:color="auto" w:fill="auto"/>
            <w:vAlign w:val="center"/>
            <w:hideMark/>
          </w:tcPr>
          <w:p w14:paraId="2DD3BDA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MOZIRJE</w:t>
            </w:r>
          </w:p>
        </w:tc>
      </w:tr>
      <w:tr w:rsidR="00E3750C" w:rsidRPr="00415AB3" w14:paraId="7FA2499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8A5C1C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1672</w:t>
            </w:r>
          </w:p>
        </w:tc>
        <w:tc>
          <w:tcPr>
            <w:tcW w:w="705" w:type="pct"/>
            <w:tcBorders>
              <w:top w:val="nil"/>
              <w:left w:val="nil"/>
              <w:bottom w:val="single" w:sz="4" w:space="0" w:color="auto"/>
              <w:right w:val="single" w:sz="4" w:space="0" w:color="auto"/>
            </w:tcBorders>
            <w:shd w:val="clear" w:color="auto" w:fill="auto"/>
            <w:noWrap/>
            <w:vAlign w:val="center"/>
            <w:hideMark/>
          </w:tcPr>
          <w:p w14:paraId="6A07F2A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5886724000</w:t>
            </w:r>
          </w:p>
        </w:tc>
        <w:tc>
          <w:tcPr>
            <w:tcW w:w="547" w:type="pct"/>
            <w:tcBorders>
              <w:top w:val="nil"/>
              <w:left w:val="nil"/>
              <w:bottom w:val="single" w:sz="4" w:space="0" w:color="auto"/>
              <w:right w:val="single" w:sz="4" w:space="0" w:color="auto"/>
            </w:tcBorders>
            <w:shd w:val="clear" w:color="auto" w:fill="auto"/>
            <w:noWrap/>
            <w:vAlign w:val="center"/>
            <w:hideMark/>
          </w:tcPr>
          <w:p w14:paraId="4DF4676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24052965</w:t>
            </w:r>
          </w:p>
        </w:tc>
        <w:tc>
          <w:tcPr>
            <w:tcW w:w="3360" w:type="pct"/>
            <w:tcBorders>
              <w:top w:val="nil"/>
              <w:left w:val="nil"/>
              <w:bottom w:val="single" w:sz="4" w:space="0" w:color="auto"/>
              <w:right w:val="single" w:sz="4" w:space="0" w:color="auto"/>
            </w:tcBorders>
            <w:shd w:val="clear" w:color="auto" w:fill="auto"/>
            <w:vAlign w:val="center"/>
            <w:hideMark/>
          </w:tcPr>
          <w:p w14:paraId="342EB9F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MURSKA SOBOTA</w:t>
            </w:r>
          </w:p>
        </w:tc>
      </w:tr>
      <w:tr w:rsidR="00E3750C" w:rsidRPr="00415AB3" w14:paraId="75CC8F0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FEE43E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1673</w:t>
            </w:r>
          </w:p>
        </w:tc>
        <w:tc>
          <w:tcPr>
            <w:tcW w:w="705" w:type="pct"/>
            <w:tcBorders>
              <w:top w:val="nil"/>
              <w:left w:val="nil"/>
              <w:bottom w:val="single" w:sz="4" w:space="0" w:color="auto"/>
              <w:right w:val="single" w:sz="4" w:space="0" w:color="auto"/>
            </w:tcBorders>
            <w:shd w:val="clear" w:color="auto" w:fill="auto"/>
            <w:noWrap/>
            <w:vAlign w:val="center"/>
            <w:hideMark/>
          </w:tcPr>
          <w:p w14:paraId="42AEEBB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5886716000</w:t>
            </w:r>
          </w:p>
        </w:tc>
        <w:tc>
          <w:tcPr>
            <w:tcW w:w="547" w:type="pct"/>
            <w:tcBorders>
              <w:top w:val="nil"/>
              <w:left w:val="nil"/>
              <w:bottom w:val="single" w:sz="4" w:space="0" w:color="auto"/>
              <w:right w:val="single" w:sz="4" w:space="0" w:color="auto"/>
            </w:tcBorders>
            <w:shd w:val="clear" w:color="auto" w:fill="auto"/>
            <w:noWrap/>
            <w:vAlign w:val="center"/>
            <w:hideMark/>
          </w:tcPr>
          <w:p w14:paraId="4B96020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76002128</w:t>
            </w:r>
          </w:p>
        </w:tc>
        <w:tc>
          <w:tcPr>
            <w:tcW w:w="3360" w:type="pct"/>
            <w:tcBorders>
              <w:top w:val="nil"/>
              <w:left w:val="nil"/>
              <w:bottom w:val="single" w:sz="4" w:space="0" w:color="auto"/>
              <w:right w:val="single" w:sz="4" w:space="0" w:color="auto"/>
            </w:tcBorders>
            <w:shd w:val="clear" w:color="auto" w:fill="auto"/>
            <w:vAlign w:val="center"/>
            <w:hideMark/>
          </w:tcPr>
          <w:p w14:paraId="54D7CC7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NOVA GORICA</w:t>
            </w:r>
          </w:p>
        </w:tc>
      </w:tr>
      <w:tr w:rsidR="00E3750C" w:rsidRPr="00415AB3" w14:paraId="3C45ED3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397110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1674</w:t>
            </w:r>
          </w:p>
        </w:tc>
        <w:tc>
          <w:tcPr>
            <w:tcW w:w="705" w:type="pct"/>
            <w:tcBorders>
              <w:top w:val="nil"/>
              <w:left w:val="nil"/>
              <w:bottom w:val="single" w:sz="4" w:space="0" w:color="auto"/>
              <w:right w:val="single" w:sz="4" w:space="0" w:color="auto"/>
            </w:tcBorders>
            <w:shd w:val="clear" w:color="auto" w:fill="auto"/>
            <w:noWrap/>
            <w:vAlign w:val="center"/>
            <w:hideMark/>
          </w:tcPr>
          <w:p w14:paraId="1574F02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5886708000</w:t>
            </w:r>
          </w:p>
        </w:tc>
        <w:tc>
          <w:tcPr>
            <w:tcW w:w="547" w:type="pct"/>
            <w:tcBorders>
              <w:top w:val="nil"/>
              <w:left w:val="nil"/>
              <w:bottom w:val="single" w:sz="4" w:space="0" w:color="auto"/>
              <w:right w:val="single" w:sz="4" w:space="0" w:color="auto"/>
            </w:tcBorders>
            <w:shd w:val="clear" w:color="auto" w:fill="auto"/>
            <w:noWrap/>
            <w:vAlign w:val="center"/>
            <w:hideMark/>
          </w:tcPr>
          <w:p w14:paraId="422E650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15328228</w:t>
            </w:r>
          </w:p>
        </w:tc>
        <w:tc>
          <w:tcPr>
            <w:tcW w:w="3360" w:type="pct"/>
            <w:tcBorders>
              <w:top w:val="nil"/>
              <w:left w:val="nil"/>
              <w:bottom w:val="single" w:sz="4" w:space="0" w:color="auto"/>
              <w:right w:val="single" w:sz="4" w:space="0" w:color="auto"/>
            </w:tcBorders>
            <w:shd w:val="clear" w:color="auto" w:fill="auto"/>
            <w:vAlign w:val="center"/>
            <w:hideMark/>
          </w:tcPr>
          <w:p w14:paraId="08E7B63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NOVO MESTO</w:t>
            </w:r>
          </w:p>
        </w:tc>
      </w:tr>
      <w:tr w:rsidR="00E3750C" w:rsidRPr="00415AB3" w14:paraId="158AC01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1AA284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1675</w:t>
            </w:r>
          </w:p>
        </w:tc>
        <w:tc>
          <w:tcPr>
            <w:tcW w:w="705" w:type="pct"/>
            <w:tcBorders>
              <w:top w:val="nil"/>
              <w:left w:val="nil"/>
              <w:bottom w:val="single" w:sz="4" w:space="0" w:color="auto"/>
              <w:right w:val="single" w:sz="4" w:space="0" w:color="auto"/>
            </w:tcBorders>
            <w:shd w:val="clear" w:color="auto" w:fill="auto"/>
            <w:noWrap/>
            <w:vAlign w:val="center"/>
            <w:hideMark/>
          </w:tcPr>
          <w:p w14:paraId="57D808B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5886694000</w:t>
            </w:r>
          </w:p>
        </w:tc>
        <w:tc>
          <w:tcPr>
            <w:tcW w:w="547" w:type="pct"/>
            <w:tcBorders>
              <w:top w:val="nil"/>
              <w:left w:val="nil"/>
              <w:bottom w:val="single" w:sz="4" w:space="0" w:color="auto"/>
              <w:right w:val="single" w:sz="4" w:space="0" w:color="auto"/>
            </w:tcBorders>
            <w:shd w:val="clear" w:color="auto" w:fill="auto"/>
            <w:noWrap/>
            <w:vAlign w:val="center"/>
            <w:hideMark/>
          </w:tcPr>
          <w:p w14:paraId="15D2C43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61241202</w:t>
            </w:r>
          </w:p>
        </w:tc>
        <w:tc>
          <w:tcPr>
            <w:tcW w:w="3360" w:type="pct"/>
            <w:tcBorders>
              <w:top w:val="nil"/>
              <w:left w:val="nil"/>
              <w:bottom w:val="single" w:sz="4" w:space="0" w:color="auto"/>
              <w:right w:val="single" w:sz="4" w:space="0" w:color="auto"/>
            </w:tcBorders>
            <w:shd w:val="clear" w:color="auto" w:fill="auto"/>
            <w:vAlign w:val="center"/>
            <w:hideMark/>
          </w:tcPr>
          <w:p w14:paraId="51BE889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ORMOŽ</w:t>
            </w:r>
          </w:p>
        </w:tc>
      </w:tr>
      <w:tr w:rsidR="00E3750C" w:rsidRPr="00415AB3" w14:paraId="6BD9CD1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6F7941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1676</w:t>
            </w:r>
          </w:p>
        </w:tc>
        <w:tc>
          <w:tcPr>
            <w:tcW w:w="705" w:type="pct"/>
            <w:tcBorders>
              <w:top w:val="nil"/>
              <w:left w:val="nil"/>
              <w:bottom w:val="single" w:sz="4" w:space="0" w:color="auto"/>
              <w:right w:val="single" w:sz="4" w:space="0" w:color="auto"/>
            </w:tcBorders>
            <w:shd w:val="clear" w:color="auto" w:fill="auto"/>
            <w:noWrap/>
            <w:vAlign w:val="center"/>
            <w:hideMark/>
          </w:tcPr>
          <w:p w14:paraId="62F8DB2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5886414000</w:t>
            </w:r>
          </w:p>
        </w:tc>
        <w:tc>
          <w:tcPr>
            <w:tcW w:w="547" w:type="pct"/>
            <w:tcBorders>
              <w:top w:val="nil"/>
              <w:left w:val="nil"/>
              <w:bottom w:val="single" w:sz="4" w:space="0" w:color="auto"/>
              <w:right w:val="single" w:sz="4" w:space="0" w:color="auto"/>
            </w:tcBorders>
            <w:shd w:val="clear" w:color="auto" w:fill="auto"/>
            <w:noWrap/>
            <w:vAlign w:val="center"/>
            <w:hideMark/>
          </w:tcPr>
          <w:p w14:paraId="7FFBFB6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78585147</w:t>
            </w:r>
          </w:p>
        </w:tc>
        <w:tc>
          <w:tcPr>
            <w:tcW w:w="3360" w:type="pct"/>
            <w:tcBorders>
              <w:top w:val="nil"/>
              <w:left w:val="nil"/>
              <w:bottom w:val="single" w:sz="4" w:space="0" w:color="auto"/>
              <w:right w:val="single" w:sz="4" w:space="0" w:color="auto"/>
            </w:tcBorders>
            <w:shd w:val="clear" w:color="auto" w:fill="auto"/>
            <w:vAlign w:val="center"/>
            <w:hideMark/>
          </w:tcPr>
          <w:p w14:paraId="00E8538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PESNICA</w:t>
            </w:r>
          </w:p>
        </w:tc>
      </w:tr>
      <w:tr w:rsidR="00E3750C" w:rsidRPr="00415AB3" w14:paraId="651D1D2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D9DE42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1677</w:t>
            </w:r>
          </w:p>
        </w:tc>
        <w:tc>
          <w:tcPr>
            <w:tcW w:w="705" w:type="pct"/>
            <w:tcBorders>
              <w:top w:val="nil"/>
              <w:left w:val="nil"/>
              <w:bottom w:val="single" w:sz="4" w:space="0" w:color="auto"/>
              <w:right w:val="single" w:sz="4" w:space="0" w:color="auto"/>
            </w:tcBorders>
            <w:shd w:val="clear" w:color="auto" w:fill="auto"/>
            <w:noWrap/>
            <w:vAlign w:val="center"/>
            <w:hideMark/>
          </w:tcPr>
          <w:p w14:paraId="4D4616F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5886686000</w:t>
            </w:r>
          </w:p>
        </w:tc>
        <w:tc>
          <w:tcPr>
            <w:tcW w:w="547" w:type="pct"/>
            <w:tcBorders>
              <w:top w:val="nil"/>
              <w:left w:val="nil"/>
              <w:bottom w:val="single" w:sz="4" w:space="0" w:color="auto"/>
              <w:right w:val="single" w:sz="4" w:space="0" w:color="auto"/>
            </w:tcBorders>
            <w:shd w:val="clear" w:color="auto" w:fill="auto"/>
            <w:noWrap/>
            <w:vAlign w:val="center"/>
            <w:hideMark/>
          </w:tcPr>
          <w:p w14:paraId="14EBCC1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16986784</w:t>
            </w:r>
          </w:p>
        </w:tc>
        <w:tc>
          <w:tcPr>
            <w:tcW w:w="3360" w:type="pct"/>
            <w:tcBorders>
              <w:top w:val="nil"/>
              <w:left w:val="nil"/>
              <w:bottom w:val="single" w:sz="4" w:space="0" w:color="auto"/>
              <w:right w:val="single" w:sz="4" w:space="0" w:color="auto"/>
            </w:tcBorders>
            <w:shd w:val="clear" w:color="auto" w:fill="auto"/>
            <w:vAlign w:val="center"/>
            <w:hideMark/>
          </w:tcPr>
          <w:p w14:paraId="35003C7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PIRAN</w:t>
            </w:r>
          </w:p>
        </w:tc>
      </w:tr>
      <w:tr w:rsidR="00E3750C" w:rsidRPr="00415AB3" w14:paraId="535E6B4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8F3BB7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1678</w:t>
            </w:r>
          </w:p>
        </w:tc>
        <w:tc>
          <w:tcPr>
            <w:tcW w:w="705" w:type="pct"/>
            <w:tcBorders>
              <w:top w:val="nil"/>
              <w:left w:val="nil"/>
              <w:bottom w:val="single" w:sz="4" w:space="0" w:color="auto"/>
              <w:right w:val="single" w:sz="4" w:space="0" w:color="auto"/>
            </w:tcBorders>
            <w:shd w:val="clear" w:color="auto" w:fill="auto"/>
            <w:noWrap/>
            <w:vAlign w:val="center"/>
            <w:hideMark/>
          </w:tcPr>
          <w:p w14:paraId="296C298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5886678000</w:t>
            </w:r>
          </w:p>
        </w:tc>
        <w:tc>
          <w:tcPr>
            <w:tcW w:w="547" w:type="pct"/>
            <w:tcBorders>
              <w:top w:val="nil"/>
              <w:left w:val="nil"/>
              <w:bottom w:val="single" w:sz="4" w:space="0" w:color="auto"/>
              <w:right w:val="single" w:sz="4" w:space="0" w:color="auto"/>
            </w:tcBorders>
            <w:shd w:val="clear" w:color="auto" w:fill="auto"/>
            <w:noWrap/>
            <w:vAlign w:val="center"/>
            <w:hideMark/>
          </w:tcPr>
          <w:p w14:paraId="3581598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81782586</w:t>
            </w:r>
          </w:p>
        </w:tc>
        <w:tc>
          <w:tcPr>
            <w:tcW w:w="3360" w:type="pct"/>
            <w:tcBorders>
              <w:top w:val="nil"/>
              <w:left w:val="nil"/>
              <w:bottom w:val="single" w:sz="4" w:space="0" w:color="auto"/>
              <w:right w:val="single" w:sz="4" w:space="0" w:color="auto"/>
            </w:tcBorders>
            <w:shd w:val="clear" w:color="auto" w:fill="auto"/>
            <w:vAlign w:val="center"/>
            <w:hideMark/>
          </w:tcPr>
          <w:p w14:paraId="3E54B98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POSTOJNA</w:t>
            </w:r>
          </w:p>
        </w:tc>
      </w:tr>
      <w:tr w:rsidR="00E3750C" w:rsidRPr="00415AB3" w14:paraId="05ACE38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8473B1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1679</w:t>
            </w:r>
          </w:p>
        </w:tc>
        <w:tc>
          <w:tcPr>
            <w:tcW w:w="705" w:type="pct"/>
            <w:tcBorders>
              <w:top w:val="nil"/>
              <w:left w:val="nil"/>
              <w:bottom w:val="single" w:sz="4" w:space="0" w:color="auto"/>
              <w:right w:val="single" w:sz="4" w:space="0" w:color="auto"/>
            </w:tcBorders>
            <w:shd w:val="clear" w:color="auto" w:fill="auto"/>
            <w:noWrap/>
            <w:vAlign w:val="center"/>
            <w:hideMark/>
          </w:tcPr>
          <w:p w14:paraId="0FB2E48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5886660000</w:t>
            </w:r>
          </w:p>
        </w:tc>
        <w:tc>
          <w:tcPr>
            <w:tcW w:w="547" w:type="pct"/>
            <w:tcBorders>
              <w:top w:val="nil"/>
              <w:left w:val="nil"/>
              <w:bottom w:val="single" w:sz="4" w:space="0" w:color="auto"/>
              <w:right w:val="single" w:sz="4" w:space="0" w:color="auto"/>
            </w:tcBorders>
            <w:shd w:val="clear" w:color="auto" w:fill="auto"/>
            <w:noWrap/>
            <w:vAlign w:val="center"/>
            <w:hideMark/>
          </w:tcPr>
          <w:p w14:paraId="5CF6F77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98166158</w:t>
            </w:r>
          </w:p>
        </w:tc>
        <w:tc>
          <w:tcPr>
            <w:tcW w:w="3360" w:type="pct"/>
            <w:tcBorders>
              <w:top w:val="nil"/>
              <w:left w:val="nil"/>
              <w:bottom w:val="single" w:sz="4" w:space="0" w:color="auto"/>
              <w:right w:val="single" w:sz="4" w:space="0" w:color="auto"/>
            </w:tcBorders>
            <w:shd w:val="clear" w:color="auto" w:fill="auto"/>
            <w:vAlign w:val="center"/>
            <w:hideMark/>
          </w:tcPr>
          <w:p w14:paraId="097FC4C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PTUJ</w:t>
            </w:r>
          </w:p>
        </w:tc>
      </w:tr>
      <w:tr w:rsidR="00E3750C" w:rsidRPr="00415AB3" w14:paraId="46162F4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4A0A43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1680</w:t>
            </w:r>
          </w:p>
        </w:tc>
        <w:tc>
          <w:tcPr>
            <w:tcW w:w="705" w:type="pct"/>
            <w:tcBorders>
              <w:top w:val="nil"/>
              <w:left w:val="nil"/>
              <w:bottom w:val="single" w:sz="4" w:space="0" w:color="auto"/>
              <w:right w:val="single" w:sz="4" w:space="0" w:color="auto"/>
            </w:tcBorders>
            <w:shd w:val="clear" w:color="auto" w:fill="auto"/>
            <w:noWrap/>
            <w:vAlign w:val="center"/>
            <w:hideMark/>
          </w:tcPr>
          <w:p w14:paraId="31C83EA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5886651000</w:t>
            </w:r>
          </w:p>
        </w:tc>
        <w:tc>
          <w:tcPr>
            <w:tcW w:w="547" w:type="pct"/>
            <w:tcBorders>
              <w:top w:val="nil"/>
              <w:left w:val="nil"/>
              <w:bottom w:val="single" w:sz="4" w:space="0" w:color="auto"/>
              <w:right w:val="single" w:sz="4" w:space="0" w:color="auto"/>
            </w:tcBorders>
            <w:shd w:val="clear" w:color="auto" w:fill="auto"/>
            <w:noWrap/>
            <w:vAlign w:val="center"/>
            <w:hideMark/>
          </w:tcPr>
          <w:p w14:paraId="6A18456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74984012</w:t>
            </w:r>
          </w:p>
        </w:tc>
        <w:tc>
          <w:tcPr>
            <w:tcW w:w="3360" w:type="pct"/>
            <w:tcBorders>
              <w:top w:val="nil"/>
              <w:left w:val="nil"/>
              <w:bottom w:val="single" w:sz="4" w:space="0" w:color="auto"/>
              <w:right w:val="single" w:sz="4" w:space="0" w:color="auto"/>
            </w:tcBorders>
            <w:shd w:val="clear" w:color="auto" w:fill="auto"/>
            <w:vAlign w:val="center"/>
            <w:hideMark/>
          </w:tcPr>
          <w:p w14:paraId="402AD41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RADLJE OB DRAVI</w:t>
            </w:r>
          </w:p>
        </w:tc>
      </w:tr>
      <w:tr w:rsidR="00E3750C" w:rsidRPr="00415AB3" w14:paraId="0F82241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C20528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1681</w:t>
            </w:r>
          </w:p>
        </w:tc>
        <w:tc>
          <w:tcPr>
            <w:tcW w:w="705" w:type="pct"/>
            <w:tcBorders>
              <w:top w:val="nil"/>
              <w:left w:val="nil"/>
              <w:bottom w:val="single" w:sz="4" w:space="0" w:color="auto"/>
              <w:right w:val="single" w:sz="4" w:space="0" w:color="auto"/>
            </w:tcBorders>
            <w:shd w:val="clear" w:color="auto" w:fill="auto"/>
            <w:noWrap/>
            <w:vAlign w:val="center"/>
            <w:hideMark/>
          </w:tcPr>
          <w:p w14:paraId="5F0A73B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5886643000</w:t>
            </w:r>
          </w:p>
        </w:tc>
        <w:tc>
          <w:tcPr>
            <w:tcW w:w="547" w:type="pct"/>
            <w:tcBorders>
              <w:top w:val="nil"/>
              <w:left w:val="nil"/>
              <w:bottom w:val="single" w:sz="4" w:space="0" w:color="auto"/>
              <w:right w:val="single" w:sz="4" w:space="0" w:color="auto"/>
            </w:tcBorders>
            <w:shd w:val="clear" w:color="auto" w:fill="auto"/>
            <w:noWrap/>
            <w:vAlign w:val="center"/>
            <w:hideMark/>
          </w:tcPr>
          <w:p w14:paraId="2F06CEB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57100071</w:t>
            </w:r>
          </w:p>
        </w:tc>
        <w:tc>
          <w:tcPr>
            <w:tcW w:w="3360" w:type="pct"/>
            <w:tcBorders>
              <w:top w:val="nil"/>
              <w:left w:val="nil"/>
              <w:bottom w:val="single" w:sz="4" w:space="0" w:color="auto"/>
              <w:right w:val="single" w:sz="4" w:space="0" w:color="auto"/>
            </w:tcBorders>
            <w:shd w:val="clear" w:color="auto" w:fill="auto"/>
            <w:vAlign w:val="center"/>
            <w:hideMark/>
          </w:tcPr>
          <w:p w14:paraId="3334E6A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RADOVLJICA</w:t>
            </w:r>
          </w:p>
        </w:tc>
      </w:tr>
      <w:tr w:rsidR="00E3750C" w:rsidRPr="00415AB3" w14:paraId="2395FDA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EAE298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1682</w:t>
            </w:r>
          </w:p>
        </w:tc>
        <w:tc>
          <w:tcPr>
            <w:tcW w:w="705" w:type="pct"/>
            <w:tcBorders>
              <w:top w:val="nil"/>
              <w:left w:val="nil"/>
              <w:bottom w:val="single" w:sz="4" w:space="0" w:color="auto"/>
              <w:right w:val="single" w:sz="4" w:space="0" w:color="auto"/>
            </w:tcBorders>
            <w:shd w:val="clear" w:color="auto" w:fill="auto"/>
            <w:noWrap/>
            <w:vAlign w:val="center"/>
            <w:hideMark/>
          </w:tcPr>
          <w:p w14:paraId="4A7C880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5886635000</w:t>
            </w:r>
          </w:p>
        </w:tc>
        <w:tc>
          <w:tcPr>
            <w:tcW w:w="547" w:type="pct"/>
            <w:tcBorders>
              <w:top w:val="nil"/>
              <w:left w:val="nil"/>
              <w:bottom w:val="single" w:sz="4" w:space="0" w:color="auto"/>
              <w:right w:val="single" w:sz="4" w:space="0" w:color="auto"/>
            </w:tcBorders>
            <w:shd w:val="clear" w:color="auto" w:fill="auto"/>
            <w:noWrap/>
            <w:vAlign w:val="center"/>
            <w:hideMark/>
          </w:tcPr>
          <w:p w14:paraId="267B0F7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15491331</w:t>
            </w:r>
          </w:p>
        </w:tc>
        <w:tc>
          <w:tcPr>
            <w:tcW w:w="3360" w:type="pct"/>
            <w:tcBorders>
              <w:top w:val="nil"/>
              <w:left w:val="nil"/>
              <w:bottom w:val="single" w:sz="4" w:space="0" w:color="auto"/>
              <w:right w:val="single" w:sz="4" w:space="0" w:color="auto"/>
            </w:tcBorders>
            <w:shd w:val="clear" w:color="auto" w:fill="auto"/>
            <w:vAlign w:val="center"/>
            <w:hideMark/>
          </w:tcPr>
          <w:p w14:paraId="5A0C43E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RAVNE NA KOROŠKEM</w:t>
            </w:r>
          </w:p>
        </w:tc>
      </w:tr>
      <w:tr w:rsidR="00E3750C" w:rsidRPr="00415AB3" w14:paraId="26CE720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C31293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1683</w:t>
            </w:r>
          </w:p>
        </w:tc>
        <w:tc>
          <w:tcPr>
            <w:tcW w:w="705" w:type="pct"/>
            <w:tcBorders>
              <w:top w:val="nil"/>
              <w:left w:val="nil"/>
              <w:bottom w:val="single" w:sz="4" w:space="0" w:color="auto"/>
              <w:right w:val="single" w:sz="4" w:space="0" w:color="auto"/>
            </w:tcBorders>
            <w:shd w:val="clear" w:color="auto" w:fill="auto"/>
            <w:noWrap/>
            <w:vAlign w:val="center"/>
            <w:hideMark/>
          </w:tcPr>
          <w:p w14:paraId="15060CC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5886627000</w:t>
            </w:r>
          </w:p>
        </w:tc>
        <w:tc>
          <w:tcPr>
            <w:tcW w:w="547" w:type="pct"/>
            <w:tcBorders>
              <w:top w:val="nil"/>
              <w:left w:val="nil"/>
              <w:bottom w:val="single" w:sz="4" w:space="0" w:color="auto"/>
              <w:right w:val="single" w:sz="4" w:space="0" w:color="auto"/>
            </w:tcBorders>
            <w:shd w:val="clear" w:color="auto" w:fill="auto"/>
            <w:noWrap/>
            <w:vAlign w:val="center"/>
            <w:hideMark/>
          </w:tcPr>
          <w:p w14:paraId="2423F45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93034148</w:t>
            </w:r>
          </w:p>
        </w:tc>
        <w:tc>
          <w:tcPr>
            <w:tcW w:w="3360" w:type="pct"/>
            <w:tcBorders>
              <w:top w:val="nil"/>
              <w:left w:val="nil"/>
              <w:bottom w:val="single" w:sz="4" w:space="0" w:color="auto"/>
              <w:right w:val="single" w:sz="4" w:space="0" w:color="auto"/>
            </w:tcBorders>
            <w:shd w:val="clear" w:color="auto" w:fill="auto"/>
            <w:vAlign w:val="center"/>
            <w:hideMark/>
          </w:tcPr>
          <w:p w14:paraId="1260CE1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RIBNICA</w:t>
            </w:r>
          </w:p>
        </w:tc>
      </w:tr>
      <w:tr w:rsidR="00E3750C" w:rsidRPr="00415AB3" w14:paraId="7519C41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8F9B9E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1684</w:t>
            </w:r>
          </w:p>
        </w:tc>
        <w:tc>
          <w:tcPr>
            <w:tcW w:w="705" w:type="pct"/>
            <w:tcBorders>
              <w:top w:val="nil"/>
              <w:left w:val="nil"/>
              <w:bottom w:val="single" w:sz="4" w:space="0" w:color="auto"/>
              <w:right w:val="single" w:sz="4" w:space="0" w:color="auto"/>
            </w:tcBorders>
            <w:shd w:val="clear" w:color="auto" w:fill="auto"/>
            <w:noWrap/>
            <w:vAlign w:val="center"/>
            <w:hideMark/>
          </w:tcPr>
          <w:p w14:paraId="7F5CDB2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5886406000</w:t>
            </w:r>
          </w:p>
        </w:tc>
        <w:tc>
          <w:tcPr>
            <w:tcW w:w="547" w:type="pct"/>
            <w:tcBorders>
              <w:top w:val="nil"/>
              <w:left w:val="nil"/>
              <w:bottom w:val="single" w:sz="4" w:space="0" w:color="auto"/>
              <w:right w:val="single" w:sz="4" w:space="0" w:color="auto"/>
            </w:tcBorders>
            <w:shd w:val="clear" w:color="auto" w:fill="auto"/>
            <w:noWrap/>
            <w:vAlign w:val="center"/>
            <w:hideMark/>
          </w:tcPr>
          <w:p w14:paraId="285169E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28876946</w:t>
            </w:r>
          </w:p>
        </w:tc>
        <w:tc>
          <w:tcPr>
            <w:tcW w:w="3360" w:type="pct"/>
            <w:tcBorders>
              <w:top w:val="nil"/>
              <w:left w:val="nil"/>
              <w:bottom w:val="single" w:sz="4" w:space="0" w:color="auto"/>
              <w:right w:val="single" w:sz="4" w:space="0" w:color="auto"/>
            </w:tcBorders>
            <w:shd w:val="clear" w:color="auto" w:fill="auto"/>
            <w:vAlign w:val="center"/>
            <w:hideMark/>
          </w:tcPr>
          <w:p w14:paraId="56577B1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RUŠE</w:t>
            </w:r>
          </w:p>
        </w:tc>
      </w:tr>
      <w:tr w:rsidR="00E3750C" w:rsidRPr="00415AB3" w14:paraId="5CD6DC2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885BDE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1685</w:t>
            </w:r>
          </w:p>
        </w:tc>
        <w:tc>
          <w:tcPr>
            <w:tcW w:w="705" w:type="pct"/>
            <w:tcBorders>
              <w:top w:val="nil"/>
              <w:left w:val="nil"/>
              <w:bottom w:val="single" w:sz="4" w:space="0" w:color="auto"/>
              <w:right w:val="single" w:sz="4" w:space="0" w:color="auto"/>
            </w:tcBorders>
            <w:shd w:val="clear" w:color="auto" w:fill="auto"/>
            <w:noWrap/>
            <w:vAlign w:val="center"/>
            <w:hideMark/>
          </w:tcPr>
          <w:p w14:paraId="3DD2AB9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5886619000</w:t>
            </w:r>
          </w:p>
        </w:tc>
        <w:tc>
          <w:tcPr>
            <w:tcW w:w="547" w:type="pct"/>
            <w:tcBorders>
              <w:top w:val="nil"/>
              <w:left w:val="nil"/>
              <w:bottom w:val="single" w:sz="4" w:space="0" w:color="auto"/>
              <w:right w:val="single" w:sz="4" w:space="0" w:color="auto"/>
            </w:tcBorders>
            <w:shd w:val="clear" w:color="auto" w:fill="auto"/>
            <w:noWrap/>
            <w:vAlign w:val="center"/>
            <w:hideMark/>
          </w:tcPr>
          <w:p w14:paraId="560CCE7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58994742</w:t>
            </w:r>
          </w:p>
        </w:tc>
        <w:tc>
          <w:tcPr>
            <w:tcW w:w="3360" w:type="pct"/>
            <w:tcBorders>
              <w:top w:val="nil"/>
              <w:left w:val="nil"/>
              <w:bottom w:val="single" w:sz="4" w:space="0" w:color="auto"/>
              <w:right w:val="single" w:sz="4" w:space="0" w:color="auto"/>
            </w:tcBorders>
            <w:shd w:val="clear" w:color="auto" w:fill="auto"/>
            <w:vAlign w:val="center"/>
            <w:hideMark/>
          </w:tcPr>
          <w:p w14:paraId="445A721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SEVNICA</w:t>
            </w:r>
          </w:p>
        </w:tc>
      </w:tr>
      <w:tr w:rsidR="00E3750C" w:rsidRPr="00415AB3" w14:paraId="486BCF8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9C8A62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1686</w:t>
            </w:r>
          </w:p>
        </w:tc>
        <w:tc>
          <w:tcPr>
            <w:tcW w:w="705" w:type="pct"/>
            <w:tcBorders>
              <w:top w:val="nil"/>
              <w:left w:val="nil"/>
              <w:bottom w:val="single" w:sz="4" w:space="0" w:color="auto"/>
              <w:right w:val="single" w:sz="4" w:space="0" w:color="auto"/>
            </w:tcBorders>
            <w:shd w:val="clear" w:color="auto" w:fill="auto"/>
            <w:noWrap/>
            <w:vAlign w:val="center"/>
            <w:hideMark/>
          </w:tcPr>
          <w:p w14:paraId="619BD64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5886597000</w:t>
            </w:r>
          </w:p>
        </w:tc>
        <w:tc>
          <w:tcPr>
            <w:tcW w:w="547" w:type="pct"/>
            <w:tcBorders>
              <w:top w:val="nil"/>
              <w:left w:val="nil"/>
              <w:bottom w:val="single" w:sz="4" w:space="0" w:color="auto"/>
              <w:right w:val="single" w:sz="4" w:space="0" w:color="auto"/>
            </w:tcBorders>
            <w:shd w:val="clear" w:color="auto" w:fill="auto"/>
            <w:noWrap/>
            <w:vAlign w:val="center"/>
            <w:hideMark/>
          </w:tcPr>
          <w:p w14:paraId="32792C8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89030010</w:t>
            </w:r>
          </w:p>
        </w:tc>
        <w:tc>
          <w:tcPr>
            <w:tcW w:w="3360" w:type="pct"/>
            <w:tcBorders>
              <w:top w:val="nil"/>
              <w:left w:val="nil"/>
              <w:bottom w:val="single" w:sz="4" w:space="0" w:color="auto"/>
              <w:right w:val="single" w:sz="4" w:space="0" w:color="auto"/>
            </w:tcBorders>
            <w:shd w:val="clear" w:color="auto" w:fill="auto"/>
            <w:vAlign w:val="center"/>
            <w:hideMark/>
          </w:tcPr>
          <w:p w14:paraId="6DAE07B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SEŽANA</w:t>
            </w:r>
          </w:p>
        </w:tc>
      </w:tr>
      <w:tr w:rsidR="00E3750C" w:rsidRPr="00415AB3" w14:paraId="619D8F4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B0631A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1687</w:t>
            </w:r>
          </w:p>
        </w:tc>
        <w:tc>
          <w:tcPr>
            <w:tcW w:w="705" w:type="pct"/>
            <w:tcBorders>
              <w:top w:val="nil"/>
              <w:left w:val="nil"/>
              <w:bottom w:val="single" w:sz="4" w:space="0" w:color="auto"/>
              <w:right w:val="single" w:sz="4" w:space="0" w:color="auto"/>
            </w:tcBorders>
            <w:shd w:val="clear" w:color="auto" w:fill="auto"/>
            <w:noWrap/>
            <w:vAlign w:val="center"/>
            <w:hideMark/>
          </w:tcPr>
          <w:p w14:paraId="67ABE74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5886589000</w:t>
            </w:r>
          </w:p>
        </w:tc>
        <w:tc>
          <w:tcPr>
            <w:tcW w:w="547" w:type="pct"/>
            <w:tcBorders>
              <w:top w:val="nil"/>
              <w:left w:val="nil"/>
              <w:bottom w:val="single" w:sz="4" w:space="0" w:color="auto"/>
              <w:right w:val="single" w:sz="4" w:space="0" w:color="auto"/>
            </w:tcBorders>
            <w:shd w:val="clear" w:color="auto" w:fill="auto"/>
            <w:noWrap/>
            <w:vAlign w:val="center"/>
            <w:hideMark/>
          </w:tcPr>
          <w:p w14:paraId="48D4625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89565649</w:t>
            </w:r>
          </w:p>
        </w:tc>
        <w:tc>
          <w:tcPr>
            <w:tcW w:w="3360" w:type="pct"/>
            <w:tcBorders>
              <w:top w:val="nil"/>
              <w:left w:val="nil"/>
              <w:bottom w:val="single" w:sz="4" w:space="0" w:color="auto"/>
              <w:right w:val="single" w:sz="4" w:space="0" w:color="auto"/>
            </w:tcBorders>
            <w:shd w:val="clear" w:color="auto" w:fill="auto"/>
            <w:vAlign w:val="center"/>
            <w:hideMark/>
          </w:tcPr>
          <w:p w14:paraId="16CD6B6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SLOVENJ GRADEC</w:t>
            </w:r>
          </w:p>
        </w:tc>
      </w:tr>
      <w:tr w:rsidR="00E3750C" w:rsidRPr="00415AB3" w14:paraId="6FCB4CE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48D85B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1688</w:t>
            </w:r>
          </w:p>
        </w:tc>
        <w:tc>
          <w:tcPr>
            <w:tcW w:w="705" w:type="pct"/>
            <w:tcBorders>
              <w:top w:val="nil"/>
              <w:left w:val="nil"/>
              <w:bottom w:val="single" w:sz="4" w:space="0" w:color="auto"/>
              <w:right w:val="single" w:sz="4" w:space="0" w:color="auto"/>
            </w:tcBorders>
            <w:shd w:val="clear" w:color="auto" w:fill="auto"/>
            <w:noWrap/>
            <w:vAlign w:val="center"/>
            <w:hideMark/>
          </w:tcPr>
          <w:p w14:paraId="74503DF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5886562000</w:t>
            </w:r>
          </w:p>
        </w:tc>
        <w:tc>
          <w:tcPr>
            <w:tcW w:w="547" w:type="pct"/>
            <w:tcBorders>
              <w:top w:val="nil"/>
              <w:left w:val="nil"/>
              <w:bottom w:val="single" w:sz="4" w:space="0" w:color="auto"/>
              <w:right w:val="single" w:sz="4" w:space="0" w:color="auto"/>
            </w:tcBorders>
            <w:shd w:val="clear" w:color="auto" w:fill="auto"/>
            <w:noWrap/>
            <w:vAlign w:val="center"/>
            <w:hideMark/>
          </w:tcPr>
          <w:p w14:paraId="4565D6E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36456128</w:t>
            </w:r>
          </w:p>
        </w:tc>
        <w:tc>
          <w:tcPr>
            <w:tcW w:w="3360" w:type="pct"/>
            <w:tcBorders>
              <w:top w:val="nil"/>
              <w:left w:val="nil"/>
              <w:bottom w:val="single" w:sz="4" w:space="0" w:color="auto"/>
              <w:right w:val="single" w:sz="4" w:space="0" w:color="auto"/>
            </w:tcBorders>
            <w:shd w:val="clear" w:color="auto" w:fill="auto"/>
            <w:vAlign w:val="center"/>
            <w:hideMark/>
          </w:tcPr>
          <w:p w14:paraId="6EF2B30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SLOVENSKA BISTRICA</w:t>
            </w:r>
          </w:p>
        </w:tc>
      </w:tr>
      <w:tr w:rsidR="00E3750C" w:rsidRPr="00415AB3" w14:paraId="4306E96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552958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1689</w:t>
            </w:r>
          </w:p>
        </w:tc>
        <w:tc>
          <w:tcPr>
            <w:tcW w:w="705" w:type="pct"/>
            <w:tcBorders>
              <w:top w:val="nil"/>
              <w:left w:val="nil"/>
              <w:bottom w:val="single" w:sz="4" w:space="0" w:color="auto"/>
              <w:right w:val="single" w:sz="4" w:space="0" w:color="auto"/>
            </w:tcBorders>
            <w:shd w:val="clear" w:color="auto" w:fill="auto"/>
            <w:noWrap/>
            <w:vAlign w:val="center"/>
            <w:hideMark/>
          </w:tcPr>
          <w:p w14:paraId="2C3F6B3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5886554000</w:t>
            </w:r>
          </w:p>
        </w:tc>
        <w:tc>
          <w:tcPr>
            <w:tcW w:w="547" w:type="pct"/>
            <w:tcBorders>
              <w:top w:val="nil"/>
              <w:left w:val="nil"/>
              <w:bottom w:val="single" w:sz="4" w:space="0" w:color="auto"/>
              <w:right w:val="single" w:sz="4" w:space="0" w:color="auto"/>
            </w:tcBorders>
            <w:shd w:val="clear" w:color="auto" w:fill="auto"/>
            <w:noWrap/>
            <w:vAlign w:val="center"/>
            <w:hideMark/>
          </w:tcPr>
          <w:p w14:paraId="180194B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98034715</w:t>
            </w:r>
          </w:p>
        </w:tc>
        <w:tc>
          <w:tcPr>
            <w:tcW w:w="3360" w:type="pct"/>
            <w:tcBorders>
              <w:top w:val="nil"/>
              <w:left w:val="nil"/>
              <w:bottom w:val="single" w:sz="4" w:space="0" w:color="auto"/>
              <w:right w:val="single" w:sz="4" w:space="0" w:color="auto"/>
            </w:tcBorders>
            <w:shd w:val="clear" w:color="auto" w:fill="auto"/>
            <w:vAlign w:val="center"/>
            <w:hideMark/>
          </w:tcPr>
          <w:p w14:paraId="0FB2377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SLOVENSKE KONJICE</w:t>
            </w:r>
          </w:p>
        </w:tc>
      </w:tr>
      <w:tr w:rsidR="00E3750C" w:rsidRPr="00415AB3" w14:paraId="4FC04B6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B3438E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1690</w:t>
            </w:r>
          </w:p>
        </w:tc>
        <w:tc>
          <w:tcPr>
            <w:tcW w:w="705" w:type="pct"/>
            <w:tcBorders>
              <w:top w:val="nil"/>
              <w:left w:val="nil"/>
              <w:bottom w:val="single" w:sz="4" w:space="0" w:color="auto"/>
              <w:right w:val="single" w:sz="4" w:space="0" w:color="auto"/>
            </w:tcBorders>
            <w:shd w:val="clear" w:color="auto" w:fill="auto"/>
            <w:noWrap/>
            <w:vAlign w:val="center"/>
            <w:hideMark/>
          </w:tcPr>
          <w:p w14:paraId="1D78E49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5886538000</w:t>
            </w:r>
          </w:p>
        </w:tc>
        <w:tc>
          <w:tcPr>
            <w:tcW w:w="547" w:type="pct"/>
            <w:tcBorders>
              <w:top w:val="nil"/>
              <w:left w:val="nil"/>
              <w:bottom w:val="single" w:sz="4" w:space="0" w:color="auto"/>
              <w:right w:val="single" w:sz="4" w:space="0" w:color="auto"/>
            </w:tcBorders>
            <w:shd w:val="clear" w:color="auto" w:fill="auto"/>
            <w:noWrap/>
            <w:vAlign w:val="center"/>
            <w:hideMark/>
          </w:tcPr>
          <w:p w14:paraId="41E7597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48700789</w:t>
            </w:r>
          </w:p>
        </w:tc>
        <w:tc>
          <w:tcPr>
            <w:tcW w:w="3360" w:type="pct"/>
            <w:tcBorders>
              <w:top w:val="nil"/>
              <w:left w:val="nil"/>
              <w:bottom w:val="single" w:sz="4" w:space="0" w:color="auto"/>
              <w:right w:val="single" w:sz="4" w:space="0" w:color="auto"/>
            </w:tcBorders>
            <w:shd w:val="clear" w:color="auto" w:fill="auto"/>
            <w:vAlign w:val="center"/>
            <w:hideMark/>
          </w:tcPr>
          <w:p w14:paraId="635F07E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ŠKOFJA LOKA</w:t>
            </w:r>
          </w:p>
        </w:tc>
      </w:tr>
      <w:tr w:rsidR="00E3750C" w:rsidRPr="00415AB3" w14:paraId="011A465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F1926E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1691</w:t>
            </w:r>
          </w:p>
        </w:tc>
        <w:tc>
          <w:tcPr>
            <w:tcW w:w="705" w:type="pct"/>
            <w:tcBorders>
              <w:top w:val="nil"/>
              <w:left w:val="nil"/>
              <w:bottom w:val="single" w:sz="4" w:space="0" w:color="auto"/>
              <w:right w:val="single" w:sz="4" w:space="0" w:color="auto"/>
            </w:tcBorders>
            <w:shd w:val="clear" w:color="auto" w:fill="auto"/>
            <w:noWrap/>
            <w:vAlign w:val="center"/>
            <w:hideMark/>
          </w:tcPr>
          <w:p w14:paraId="22F725A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5886520000</w:t>
            </w:r>
          </w:p>
        </w:tc>
        <w:tc>
          <w:tcPr>
            <w:tcW w:w="547" w:type="pct"/>
            <w:tcBorders>
              <w:top w:val="nil"/>
              <w:left w:val="nil"/>
              <w:bottom w:val="single" w:sz="4" w:space="0" w:color="auto"/>
              <w:right w:val="single" w:sz="4" w:space="0" w:color="auto"/>
            </w:tcBorders>
            <w:shd w:val="clear" w:color="auto" w:fill="auto"/>
            <w:noWrap/>
            <w:vAlign w:val="center"/>
            <w:hideMark/>
          </w:tcPr>
          <w:p w14:paraId="7E6BF2B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54166268</w:t>
            </w:r>
          </w:p>
        </w:tc>
        <w:tc>
          <w:tcPr>
            <w:tcW w:w="3360" w:type="pct"/>
            <w:tcBorders>
              <w:top w:val="nil"/>
              <w:left w:val="nil"/>
              <w:bottom w:val="single" w:sz="4" w:space="0" w:color="auto"/>
              <w:right w:val="single" w:sz="4" w:space="0" w:color="auto"/>
            </w:tcBorders>
            <w:shd w:val="clear" w:color="auto" w:fill="auto"/>
            <w:vAlign w:val="center"/>
            <w:hideMark/>
          </w:tcPr>
          <w:p w14:paraId="0E4B7D8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ŠMARJE PRI JELŠAH</w:t>
            </w:r>
          </w:p>
        </w:tc>
      </w:tr>
      <w:tr w:rsidR="00E3750C" w:rsidRPr="00415AB3" w14:paraId="01000B8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808F28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1692</w:t>
            </w:r>
          </w:p>
        </w:tc>
        <w:tc>
          <w:tcPr>
            <w:tcW w:w="705" w:type="pct"/>
            <w:tcBorders>
              <w:top w:val="nil"/>
              <w:left w:val="nil"/>
              <w:bottom w:val="single" w:sz="4" w:space="0" w:color="auto"/>
              <w:right w:val="single" w:sz="4" w:space="0" w:color="auto"/>
            </w:tcBorders>
            <w:shd w:val="clear" w:color="auto" w:fill="auto"/>
            <w:noWrap/>
            <w:vAlign w:val="center"/>
            <w:hideMark/>
          </w:tcPr>
          <w:p w14:paraId="3A4C57F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5886511000</w:t>
            </w:r>
          </w:p>
        </w:tc>
        <w:tc>
          <w:tcPr>
            <w:tcW w:w="547" w:type="pct"/>
            <w:tcBorders>
              <w:top w:val="nil"/>
              <w:left w:val="nil"/>
              <w:bottom w:val="single" w:sz="4" w:space="0" w:color="auto"/>
              <w:right w:val="single" w:sz="4" w:space="0" w:color="auto"/>
            </w:tcBorders>
            <w:shd w:val="clear" w:color="auto" w:fill="auto"/>
            <w:noWrap/>
            <w:vAlign w:val="center"/>
            <w:hideMark/>
          </w:tcPr>
          <w:p w14:paraId="1DD6A16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45214271</w:t>
            </w:r>
          </w:p>
        </w:tc>
        <w:tc>
          <w:tcPr>
            <w:tcW w:w="3360" w:type="pct"/>
            <w:tcBorders>
              <w:top w:val="nil"/>
              <w:left w:val="nil"/>
              <w:bottom w:val="single" w:sz="4" w:space="0" w:color="auto"/>
              <w:right w:val="single" w:sz="4" w:space="0" w:color="auto"/>
            </w:tcBorders>
            <w:shd w:val="clear" w:color="auto" w:fill="auto"/>
            <w:vAlign w:val="center"/>
            <w:hideMark/>
          </w:tcPr>
          <w:p w14:paraId="4DF9BE2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TOLMIN</w:t>
            </w:r>
          </w:p>
        </w:tc>
      </w:tr>
      <w:tr w:rsidR="00E3750C" w:rsidRPr="00415AB3" w14:paraId="2298414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9C6E01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1693</w:t>
            </w:r>
          </w:p>
        </w:tc>
        <w:tc>
          <w:tcPr>
            <w:tcW w:w="705" w:type="pct"/>
            <w:tcBorders>
              <w:top w:val="nil"/>
              <w:left w:val="nil"/>
              <w:bottom w:val="single" w:sz="4" w:space="0" w:color="auto"/>
              <w:right w:val="single" w:sz="4" w:space="0" w:color="auto"/>
            </w:tcBorders>
            <w:shd w:val="clear" w:color="auto" w:fill="auto"/>
            <w:noWrap/>
            <w:vAlign w:val="center"/>
            <w:hideMark/>
          </w:tcPr>
          <w:p w14:paraId="5D90502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5886503000</w:t>
            </w:r>
          </w:p>
        </w:tc>
        <w:tc>
          <w:tcPr>
            <w:tcW w:w="547" w:type="pct"/>
            <w:tcBorders>
              <w:top w:val="nil"/>
              <w:left w:val="nil"/>
              <w:bottom w:val="single" w:sz="4" w:space="0" w:color="auto"/>
              <w:right w:val="single" w:sz="4" w:space="0" w:color="auto"/>
            </w:tcBorders>
            <w:shd w:val="clear" w:color="auto" w:fill="auto"/>
            <w:noWrap/>
            <w:vAlign w:val="center"/>
            <w:hideMark/>
          </w:tcPr>
          <w:p w14:paraId="045F3C7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14739798</w:t>
            </w:r>
          </w:p>
        </w:tc>
        <w:tc>
          <w:tcPr>
            <w:tcW w:w="3360" w:type="pct"/>
            <w:tcBorders>
              <w:top w:val="nil"/>
              <w:left w:val="nil"/>
              <w:bottom w:val="single" w:sz="4" w:space="0" w:color="auto"/>
              <w:right w:val="single" w:sz="4" w:space="0" w:color="auto"/>
            </w:tcBorders>
            <w:shd w:val="clear" w:color="auto" w:fill="auto"/>
            <w:vAlign w:val="center"/>
            <w:hideMark/>
          </w:tcPr>
          <w:p w14:paraId="54A03ED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TRBOVLJE</w:t>
            </w:r>
          </w:p>
        </w:tc>
      </w:tr>
      <w:tr w:rsidR="00E3750C" w:rsidRPr="00415AB3" w14:paraId="168C009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60D4C4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1694</w:t>
            </w:r>
          </w:p>
        </w:tc>
        <w:tc>
          <w:tcPr>
            <w:tcW w:w="705" w:type="pct"/>
            <w:tcBorders>
              <w:top w:val="nil"/>
              <w:left w:val="nil"/>
              <w:bottom w:val="single" w:sz="4" w:space="0" w:color="auto"/>
              <w:right w:val="single" w:sz="4" w:space="0" w:color="auto"/>
            </w:tcBorders>
            <w:shd w:val="clear" w:color="auto" w:fill="auto"/>
            <w:noWrap/>
            <w:vAlign w:val="center"/>
            <w:hideMark/>
          </w:tcPr>
          <w:p w14:paraId="073554C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5886490000</w:t>
            </w:r>
          </w:p>
        </w:tc>
        <w:tc>
          <w:tcPr>
            <w:tcW w:w="547" w:type="pct"/>
            <w:tcBorders>
              <w:top w:val="nil"/>
              <w:left w:val="nil"/>
              <w:bottom w:val="single" w:sz="4" w:space="0" w:color="auto"/>
              <w:right w:val="single" w:sz="4" w:space="0" w:color="auto"/>
            </w:tcBorders>
            <w:shd w:val="clear" w:color="auto" w:fill="auto"/>
            <w:noWrap/>
            <w:vAlign w:val="center"/>
            <w:hideMark/>
          </w:tcPr>
          <w:p w14:paraId="24024D9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50471996</w:t>
            </w:r>
          </w:p>
        </w:tc>
        <w:tc>
          <w:tcPr>
            <w:tcW w:w="3360" w:type="pct"/>
            <w:tcBorders>
              <w:top w:val="nil"/>
              <w:left w:val="nil"/>
              <w:bottom w:val="single" w:sz="4" w:space="0" w:color="auto"/>
              <w:right w:val="single" w:sz="4" w:space="0" w:color="auto"/>
            </w:tcBorders>
            <w:shd w:val="clear" w:color="auto" w:fill="auto"/>
            <w:vAlign w:val="center"/>
            <w:hideMark/>
          </w:tcPr>
          <w:p w14:paraId="0767073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TREBNJE</w:t>
            </w:r>
          </w:p>
        </w:tc>
      </w:tr>
      <w:tr w:rsidR="00E3750C" w:rsidRPr="00415AB3" w14:paraId="390914F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3FFDBF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1695</w:t>
            </w:r>
          </w:p>
        </w:tc>
        <w:tc>
          <w:tcPr>
            <w:tcW w:w="705" w:type="pct"/>
            <w:tcBorders>
              <w:top w:val="nil"/>
              <w:left w:val="nil"/>
              <w:bottom w:val="single" w:sz="4" w:space="0" w:color="auto"/>
              <w:right w:val="single" w:sz="4" w:space="0" w:color="auto"/>
            </w:tcBorders>
            <w:shd w:val="clear" w:color="auto" w:fill="auto"/>
            <w:noWrap/>
            <w:vAlign w:val="center"/>
            <w:hideMark/>
          </w:tcPr>
          <w:p w14:paraId="59A5E87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5886481000</w:t>
            </w:r>
          </w:p>
        </w:tc>
        <w:tc>
          <w:tcPr>
            <w:tcW w:w="547" w:type="pct"/>
            <w:tcBorders>
              <w:top w:val="nil"/>
              <w:left w:val="nil"/>
              <w:bottom w:val="single" w:sz="4" w:space="0" w:color="auto"/>
              <w:right w:val="single" w:sz="4" w:space="0" w:color="auto"/>
            </w:tcBorders>
            <w:shd w:val="clear" w:color="auto" w:fill="auto"/>
            <w:noWrap/>
            <w:vAlign w:val="center"/>
            <w:hideMark/>
          </w:tcPr>
          <w:p w14:paraId="4CD432B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94057532</w:t>
            </w:r>
          </w:p>
        </w:tc>
        <w:tc>
          <w:tcPr>
            <w:tcW w:w="3360" w:type="pct"/>
            <w:tcBorders>
              <w:top w:val="nil"/>
              <w:left w:val="nil"/>
              <w:bottom w:val="single" w:sz="4" w:space="0" w:color="auto"/>
              <w:right w:val="single" w:sz="4" w:space="0" w:color="auto"/>
            </w:tcBorders>
            <w:shd w:val="clear" w:color="auto" w:fill="auto"/>
            <w:vAlign w:val="center"/>
            <w:hideMark/>
          </w:tcPr>
          <w:p w14:paraId="03AA584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TRŽIČ</w:t>
            </w:r>
          </w:p>
        </w:tc>
      </w:tr>
      <w:tr w:rsidR="00E3750C" w:rsidRPr="00415AB3" w14:paraId="604FAEA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C76805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1696</w:t>
            </w:r>
          </w:p>
        </w:tc>
        <w:tc>
          <w:tcPr>
            <w:tcW w:w="705" w:type="pct"/>
            <w:tcBorders>
              <w:top w:val="nil"/>
              <w:left w:val="nil"/>
              <w:bottom w:val="single" w:sz="4" w:space="0" w:color="auto"/>
              <w:right w:val="single" w:sz="4" w:space="0" w:color="auto"/>
            </w:tcBorders>
            <w:shd w:val="clear" w:color="auto" w:fill="auto"/>
            <w:noWrap/>
            <w:vAlign w:val="center"/>
            <w:hideMark/>
          </w:tcPr>
          <w:p w14:paraId="5926EC1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5886473000</w:t>
            </w:r>
          </w:p>
        </w:tc>
        <w:tc>
          <w:tcPr>
            <w:tcW w:w="547" w:type="pct"/>
            <w:tcBorders>
              <w:top w:val="nil"/>
              <w:left w:val="nil"/>
              <w:bottom w:val="single" w:sz="4" w:space="0" w:color="auto"/>
              <w:right w:val="single" w:sz="4" w:space="0" w:color="auto"/>
            </w:tcBorders>
            <w:shd w:val="clear" w:color="auto" w:fill="auto"/>
            <w:noWrap/>
            <w:vAlign w:val="center"/>
            <w:hideMark/>
          </w:tcPr>
          <w:p w14:paraId="453CF23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56482574</w:t>
            </w:r>
          </w:p>
        </w:tc>
        <w:tc>
          <w:tcPr>
            <w:tcW w:w="3360" w:type="pct"/>
            <w:tcBorders>
              <w:top w:val="nil"/>
              <w:left w:val="nil"/>
              <w:bottom w:val="single" w:sz="4" w:space="0" w:color="auto"/>
              <w:right w:val="single" w:sz="4" w:space="0" w:color="auto"/>
            </w:tcBorders>
            <w:shd w:val="clear" w:color="auto" w:fill="auto"/>
            <w:vAlign w:val="center"/>
            <w:hideMark/>
          </w:tcPr>
          <w:p w14:paraId="4E2443F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VELENJE</w:t>
            </w:r>
          </w:p>
        </w:tc>
      </w:tr>
      <w:tr w:rsidR="00E3750C" w:rsidRPr="00415AB3" w14:paraId="362E820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BECDDD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1697</w:t>
            </w:r>
          </w:p>
        </w:tc>
        <w:tc>
          <w:tcPr>
            <w:tcW w:w="705" w:type="pct"/>
            <w:tcBorders>
              <w:top w:val="nil"/>
              <w:left w:val="nil"/>
              <w:bottom w:val="single" w:sz="4" w:space="0" w:color="auto"/>
              <w:right w:val="single" w:sz="4" w:space="0" w:color="auto"/>
            </w:tcBorders>
            <w:shd w:val="clear" w:color="auto" w:fill="auto"/>
            <w:noWrap/>
            <w:vAlign w:val="center"/>
            <w:hideMark/>
          </w:tcPr>
          <w:p w14:paraId="790672E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5886465000</w:t>
            </w:r>
          </w:p>
        </w:tc>
        <w:tc>
          <w:tcPr>
            <w:tcW w:w="547" w:type="pct"/>
            <w:tcBorders>
              <w:top w:val="nil"/>
              <w:left w:val="nil"/>
              <w:bottom w:val="single" w:sz="4" w:space="0" w:color="auto"/>
              <w:right w:val="single" w:sz="4" w:space="0" w:color="auto"/>
            </w:tcBorders>
            <w:shd w:val="clear" w:color="auto" w:fill="auto"/>
            <w:noWrap/>
            <w:vAlign w:val="center"/>
            <w:hideMark/>
          </w:tcPr>
          <w:p w14:paraId="0772784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42955335</w:t>
            </w:r>
          </w:p>
        </w:tc>
        <w:tc>
          <w:tcPr>
            <w:tcW w:w="3360" w:type="pct"/>
            <w:tcBorders>
              <w:top w:val="nil"/>
              <w:left w:val="nil"/>
              <w:bottom w:val="single" w:sz="4" w:space="0" w:color="auto"/>
              <w:right w:val="single" w:sz="4" w:space="0" w:color="auto"/>
            </w:tcBorders>
            <w:shd w:val="clear" w:color="auto" w:fill="auto"/>
            <w:vAlign w:val="center"/>
            <w:hideMark/>
          </w:tcPr>
          <w:p w14:paraId="4D7C575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VRHNIKA</w:t>
            </w:r>
          </w:p>
        </w:tc>
      </w:tr>
      <w:tr w:rsidR="00E3750C" w:rsidRPr="00415AB3" w14:paraId="01E53CC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13E80C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1698</w:t>
            </w:r>
          </w:p>
        </w:tc>
        <w:tc>
          <w:tcPr>
            <w:tcW w:w="705" w:type="pct"/>
            <w:tcBorders>
              <w:top w:val="nil"/>
              <w:left w:val="nil"/>
              <w:bottom w:val="single" w:sz="4" w:space="0" w:color="auto"/>
              <w:right w:val="single" w:sz="4" w:space="0" w:color="auto"/>
            </w:tcBorders>
            <w:shd w:val="clear" w:color="auto" w:fill="auto"/>
            <w:noWrap/>
            <w:vAlign w:val="center"/>
            <w:hideMark/>
          </w:tcPr>
          <w:p w14:paraId="45DF74B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5886457000</w:t>
            </w:r>
          </w:p>
        </w:tc>
        <w:tc>
          <w:tcPr>
            <w:tcW w:w="547" w:type="pct"/>
            <w:tcBorders>
              <w:top w:val="nil"/>
              <w:left w:val="nil"/>
              <w:bottom w:val="single" w:sz="4" w:space="0" w:color="auto"/>
              <w:right w:val="single" w:sz="4" w:space="0" w:color="auto"/>
            </w:tcBorders>
            <w:shd w:val="clear" w:color="auto" w:fill="auto"/>
            <w:noWrap/>
            <w:vAlign w:val="center"/>
            <w:hideMark/>
          </w:tcPr>
          <w:p w14:paraId="288E48B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19950411</w:t>
            </w:r>
          </w:p>
        </w:tc>
        <w:tc>
          <w:tcPr>
            <w:tcW w:w="3360" w:type="pct"/>
            <w:tcBorders>
              <w:top w:val="nil"/>
              <w:left w:val="nil"/>
              <w:bottom w:val="single" w:sz="4" w:space="0" w:color="auto"/>
              <w:right w:val="single" w:sz="4" w:space="0" w:color="auto"/>
            </w:tcBorders>
            <w:shd w:val="clear" w:color="auto" w:fill="auto"/>
            <w:vAlign w:val="center"/>
            <w:hideMark/>
          </w:tcPr>
          <w:p w14:paraId="75881D9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ZAGORJE OB SAVI</w:t>
            </w:r>
          </w:p>
        </w:tc>
      </w:tr>
      <w:tr w:rsidR="00E3750C" w:rsidRPr="00415AB3" w14:paraId="1F27DBB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258391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1699</w:t>
            </w:r>
          </w:p>
        </w:tc>
        <w:tc>
          <w:tcPr>
            <w:tcW w:w="705" w:type="pct"/>
            <w:tcBorders>
              <w:top w:val="nil"/>
              <w:left w:val="nil"/>
              <w:bottom w:val="single" w:sz="4" w:space="0" w:color="auto"/>
              <w:right w:val="single" w:sz="4" w:space="0" w:color="auto"/>
            </w:tcBorders>
            <w:shd w:val="clear" w:color="auto" w:fill="auto"/>
            <w:noWrap/>
            <w:vAlign w:val="center"/>
            <w:hideMark/>
          </w:tcPr>
          <w:p w14:paraId="1D92E8B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5886449000</w:t>
            </w:r>
          </w:p>
        </w:tc>
        <w:tc>
          <w:tcPr>
            <w:tcW w:w="547" w:type="pct"/>
            <w:tcBorders>
              <w:top w:val="nil"/>
              <w:left w:val="nil"/>
              <w:bottom w:val="single" w:sz="4" w:space="0" w:color="auto"/>
              <w:right w:val="single" w:sz="4" w:space="0" w:color="auto"/>
            </w:tcBorders>
            <w:shd w:val="clear" w:color="auto" w:fill="auto"/>
            <w:noWrap/>
            <w:vAlign w:val="center"/>
            <w:hideMark/>
          </w:tcPr>
          <w:p w14:paraId="27F5CE2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28291948</w:t>
            </w:r>
          </w:p>
        </w:tc>
        <w:tc>
          <w:tcPr>
            <w:tcW w:w="3360" w:type="pct"/>
            <w:tcBorders>
              <w:top w:val="nil"/>
              <w:left w:val="nil"/>
              <w:bottom w:val="single" w:sz="4" w:space="0" w:color="auto"/>
              <w:right w:val="single" w:sz="4" w:space="0" w:color="auto"/>
            </w:tcBorders>
            <w:shd w:val="clear" w:color="auto" w:fill="auto"/>
            <w:vAlign w:val="center"/>
            <w:hideMark/>
          </w:tcPr>
          <w:p w14:paraId="1BF19D2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UPRAVNA ENOTA ŽALEC</w:t>
            </w:r>
          </w:p>
        </w:tc>
      </w:tr>
      <w:tr w:rsidR="00E3750C" w:rsidRPr="00415AB3" w14:paraId="6E058C5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7247B1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1700</w:t>
            </w:r>
          </w:p>
        </w:tc>
        <w:tc>
          <w:tcPr>
            <w:tcW w:w="705" w:type="pct"/>
            <w:tcBorders>
              <w:top w:val="nil"/>
              <w:left w:val="nil"/>
              <w:bottom w:val="single" w:sz="4" w:space="0" w:color="auto"/>
              <w:right w:val="single" w:sz="4" w:space="0" w:color="auto"/>
            </w:tcBorders>
            <w:shd w:val="clear" w:color="auto" w:fill="auto"/>
            <w:noWrap/>
            <w:vAlign w:val="center"/>
            <w:hideMark/>
          </w:tcPr>
          <w:p w14:paraId="2D93982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5858135000</w:t>
            </w:r>
          </w:p>
        </w:tc>
        <w:tc>
          <w:tcPr>
            <w:tcW w:w="547" w:type="pct"/>
            <w:tcBorders>
              <w:top w:val="nil"/>
              <w:left w:val="nil"/>
              <w:bottom w:val="single" w:sz="4" w:space="0" w:color="auto"/>
              <w:right w:val="single" w:sz="4" w:space="0" w:color="auto"/>
            </w:tcBorders>
            <w:shd w:val="clear" w:color="auto" w:fill="auto"/>
            <w:noWrap/>
            <w:vAlign w:val="center"/>
            <w:hideMark/>
          </w:tcPr>
          <w:p w14:paraId="12418FE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19290870</w:t>
            </w:r>
          </w:p>
        </w:tc>
        <w:tc>
          <w:tcPr>
            <w:tcW w:w="3360" w:type="pct"/>
            <w:tcBorders>
              <w:top w:val="nil"/>
              <w:left w:val="nil"/>
              <w:bottom w:val="single" w:sz="4" w:space="0" w:color="auto"/>
              <w:right w:val="single" w:sz="4" w:space="0" w:color="auto"/>
            </w:tcBorders>
            <w:shd w:val="clear" w:color="auto" w:fill="auto"/>
            <w:vAlign w:val="center"/>
            <w:hideMark/>
          </w:tcPr>
          <w:p w14:paraId="783A421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DELOVNO SODIŠČE V CELJU</w:t>
            </w:r>
          </w:p>
        </w:tc>
      </w:tr>
      <w:tr w:rsidR="00E3750C" w:rsidRPr="00415AB3" w14:paraId="67F8A8E4"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5E6FEA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1701</w:t>
            </w:r>
          </w:p>
        </w:tc>
        <w:tc>
          <w:tcPr>
            <w:tcW w:w="705" w:type="pct"/>
            <w:tcBorders>
              <w:top w:val="nil"/>
              <w:left w:val="nil"/>
              <w:bottom w:val="single" w:sz="4" w:space="0" w:color="auto"/>
              <w:right w:val="single" w:sz="4" w:space="0" w:color="auto"/>
            </w:tcBorders>
            <w:shd w:val="clear" w:color="auto" w:fill="auto"/>
            <w:noWrap/>
            <w:vAlign w:val="center"/>
            <w:hideMark/>
          </w:tcPr>
          <w:p w14:paraId="69C3A33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5022860000</w:t>
            </w:r>
          </w:p>
        </w:tc>
        <w:tc>
          <w:tcPr>
            <w:tcW w:w="547" w:type="pct"/>
            <w:tcBorders>
              <w:top w:val="nil"/>
              <w:left w:val="nil"/>
              <w:bottom w:val="single" w:sz="4" w:space="0" w:color="auto"/>
              <w:right w:val="single" w:sz="4" w:space="0" w:color="auto"/>
            </w:tcBorders>
            <w:shd w:val="clear" w:color="auto" w:fill="auto"/>
            <w:noWrap/>
            <w:vAlign w:val="center"/>
            <w:hideMark/>
          </w:tcPr>
          <w:p w14:paraId="1159FD7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76953475</w:t>
            </w:r>
          </w:p>
        </w:tc>
        <w:tc>
          <w:tcPr>
            <w:tcW w:w="3360" w:type="pct"/>
            <w:tcBorders>
              <w:top w:val="nil"/>
              <w:left w:val="nil"/>
              <w:bottom w:val="single" w:sz="4" w:space="0" w:color="auto"/>
              <w:right w:val="single" w:sz="4" w:space="0" w:color="auto"/>
            </w:tcBorders>
            <w:shd w:val="clear" w:color="auto" w:fill="auto"/>
            <w:vAlign w:val="center"/>
            <w:hideMark/>
          </w:tcPr>
          <w:p w14:paraId="445E128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MINISTRSTVO ZA DELO, DRUŽINO, SOCIALNE ZADEVE IN ENAKE MOŽNOSTI</w:t>
            </w:r>
          </w:p>
        </w:tc>
      </w:tr>
      <w:tr w:rsidR="00E3750C" w:rsidRPr="00415AB3" w14:paraId="5851FE63" w14:textId="77777777" w:rsidTr="00047864">
        <w:trPr>
          <w:trHeight w:val="9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9741E5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1702</w:t>
            </w:r>
          </w:p>
        </w:tc>
        <w:tc>
          <w:tcPr>
            <w:tcW w:w="705" w:type="pct"/>
            <w:tcBorders>
              <w:top w:val="nil"/>
              <w:left w:val="nil"/>
              <w:bottom w:val="single" w:sz="4" w:space="0" w:color="auto"/>
              <w:right w:val="single" w:sz="4" w:space="0" w:color="auto"/>
            </w:tcBorders>
            <w:shd w:val="clear" w:color="auto" w:fill="auto"/>
            <w:noWrap/>
            <w:vAlign w:val="center"/>
            <w:hideMark/>
          </w:tcPr>
          <w:p w14:paraId="06BD2F4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2178982000</w:t>
            </w:r>
          </w:p>
        </w:tc>
        <w:tc>
          <w:tcPr>
            <w:tcW w:w="547" w:type="pct"/>
            <w:tcBorders>
              <w:top w:val="nil"/>
              <w:left w:val="nil"/>
              <w:bottom w:val="single" w:sz="4" w:space="0" w:color="auto"/>
              <w:right w:val="single" w:sz="4" w:space="0" w:color="auto"/>
            </w:tcBorders>
            <w:shd w:val="clear" w:color="auto" w:fill="auto"/>
            <w:noWrap/>
            <w:vAlign w:val="center"/>
            <w:hideMark/>
          </w:tcPr>
          <w:p w14:paraId="22CB5C5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25845837</w:t>
            </w:r>
          </w:p>
        </w:tc>
        <w:tc>
          <w:tcPr>
            <w:tcW w:w="3360" w:type="pct"/>
            <w:tcBorders>
              <w:top w:val="nil"/>
              <w:left w:val="nil"/>
              <w:bottom w:val="single" w:sz="4" w:space="0" w:color="auto"/>
              <w:right w:val="single" w:sz="4" w:space="0" w:color="auto"/>
            </w:tcBorders>
            <w:shd w:val="clear" w:color="auto" w:fill="auto"/>
            <w:vAlign w:val="center"/>
            <w:hideMark/>
          </w:tcPr>
          <w:p w14:paraId="6EA202C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SLOVENIJA, MINISTRSTVO ZA KMETIJSTVO, GOZDARSTVO IN PREHRANO, AGENCIJA REPUBLIKE SLOVENIJE ZA KMETIJSKE TRGE IN RAZVOJ PODEŽELJA</w:t>
            </w:r>
          </w:p>
        </w:tc>
      </w:tr>
      <w:tr w:rsidR="00E3750C" w:rsidRPr="00415AB3" w14:paraId="272B439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C98F14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1703</w:t>
            </w:r>
          </w:p>
        </w:tc>
        <w:tc>
          <w:tcPr>
            <w:tcW w:w="705" w:type="pct"/>
            <w:tcBorders>
              <w:top w:val="nil"/>
              <w:left w:val="nil"/>
              <w:bottom w:val="single" w:sz="4" w:space="0" w:color="auto"/>
              <w:right w:val="single" w:sz="4" w:space="0" w:color="auto"/>
            </w:tcBorders>
            <w:shd w:val="clear" w:color="auto" w:fill="auto"/>
            <w:noWrap/>
            <w:vAlign w:val="center"/>
            <w:hideMark/>
          </w:tcPr>
          <w:p w14:paraId="726E394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5886546000</w:t>
            </w:r>
          </w:p>
        </w:tc>
        <w:tc>
          <w:tcPr>
            <w:tcW w:w="547" w:type="pct"/>
            <w:tcBorders>
              <w:top w:val="nil"/>
              <w:left w:val="nil"/>
              <w:bottom w:val="single" w:sz="4" w:space="0" w:color="auto"/>
              <w:right w:val="single" w:sz="4" w:space="0" w:color="auto"/>
            </w:tcBorders>
            <w:shd w:val="clear" w:color="auto" w:fill="auto"/>
            <w:noWrap/>
            <w:vAlign w:val="center"/>
            <w:hideMark/>
          </w:tcPr>
          <w:p w14:paraId="0997D02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43837522</w:t>
            </w:r>
          </w:p>
        </w:tc>
        <w:tc>
          <w:tcPr>
            <w:tcW w:w="3360" w:type="pct"/>
            <w:tcBorders>
              <w:top w:val="nil"/>
              <w:left w:val="nil"/>
              <w:bottom w:val="single" w:sz="4" w:space="0" w:color="auto"/>
              <w:right w:val="single" w:sz="4" w:space="0" w:color="auto"/>
            </w:tcBorders>
            <w:shd w:val="clear" w:color="auto" w:fill="auto"/>
            <w:vAlign w:val="center"/>
            <w:hideMark/>
          </w:tcPr>
          <w:p w14:paraId="201A2C8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REPUBLIKA SLOVENIJE UPRAVNA ENOTA ŠENTJUR PRI CELJU</w:t>
            </w:r>
          </w:p>
        </w:tc>
      </w:tr>
      <w:tr w:rsidR="00E3750C" w:rsidRPr="00415AB3" w14:paraId="12AB7DE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1CD883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1704</w:t>
            </w:r>
          </w:p>
        </w:tc>
        <w:tc>
          <w:tcPr>
            <w:tcW w:w="705" w:type="pct"/>
            <w:tcBorders>
              <w:top w:val="nil"/>
              <w:left w:val="nil"/>
              <w:bottom w:val="single" w:sz="4" w:space="0" w:color="auto"/>
              <w:right w:val="single" w:sz="4" w:space="0" w:color="auto"/>
            </w:tcBorders>
            <w:shd w:val="clear" w:color="auto" w:fill="auto"/>
            <w:noWrap/>
            <w:vAlign w:val="center"/>
            <w:hideMark/>
          </w:tcPr>
          <w:p w14:paraId="04EFB04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5513065000</w:t>
            </w:r>
          </w:p>
        </w:tc>
        <w:tc>
          <w:tcPr>
            <w:tcW w:w="547" w:type="pct"/>
            <w:tcBorders>
              <w:top w:val="nil"/>
              <w:left w:val="nil"/>
              <w:bottom w:val="single" w:sz="4" w:space="0" w:color="auto"/>
              <w:right w:val="single" w:sz="4" w:space="0" w:color="auto"/>
            </w:tcBorders>
            <w:shd w:val="clear" w:color="auto" w:fill="auto"/>
            <w:noWrap/>
            <w:vAlign w:val="center"/>
            <w:hideMark/>
          </w:tcPr>
          <w:p w14:paraId="7A4B394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81182791</w:t>
            </w:r>
          </w:p>
        </w:tc>
        <w:tc>
          <w:tcPr>
            <w:tcW w:w="3360" w:type="pct"/>
            <w:tcBorders>
              <w:top w:val="nil"/>
              <w:left w:val="nil"/>
              <w:bottom w:val="single" w:sz="4" w:space="0" w:color="auto"/>
              <w:right w:val="single" w:sz="4" w:space="0" w:color="auto"/>
            </w:tcBorders>
            <w:shd w:val="clear" w:color="auto" w:fill="auto"/>
            <w:vAlign w:val="center"/>
            <w:hideMark/>
          </w:tcPr>
          <w:p w14:paraId="32E1920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RGP D.O.O., REKONSTRUKCIJE, GRADNJE, PROIZVODNJA</w:t>
            </w:r>
          </w:p>
        </w:tc>
      </w:tr>
      <w:tr w:rsidR="00E3750C" w:rsidRPr="00415AB3" w14:paraId="0D4E1EB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80976E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1705</w:t>
            </w:r>
          </w:p>
        </w:tc>
        <w:tc>
          <w:tcPr>
            <w:tcW w:w="705" w:type="pct"/>
            <w:tcBorders>
              <w:top w:val="nil"/>
              <w:left w:val="nil"/>
              <w:bottom w:val="single" w:sz="4" w:space="0" w:color="auto"/>
              <w:right w:val="single" w:sz="4" w:space="0" w:color="auto"/>
            </w:tcBorders>
            <w:shd w:val="clear" w:color="auto" w:fill="auto"/>
            <w:noWrap/>
            <w:vAlign w:val="center"/>
            <w:hideMark/>
          </w:tcPr>
          <w:p w14:paraId="7E229AE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5936861000</w:t>
            </w:r>
          </w:p>
        </w:tc>
        <w:tc>
          <w:tcPr>
            <w:tcW w:w="547" w:type="pct"/>
            <w:tcBorders>
              <w:top w:val="nil"/>
              <w:left w:val="nil"/>
              <w:bottom w:val="single" w:sz="4" w:space="0" w:color="auto"/>
              <w:right w:val="single" w:sz="4" w:space="0" w:color="auto"/>
            </w:tcBorders>
            <w:shd w:val="clear" w:color="auto" w:fill="auto"/>
            <w:noWrap/>
            <w:vAlign w:val="center"/>
            <w:hideMark/>
          </w:tcPr>
          <w:p w14:paraId="109CC7B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76048934</w:t>
            </w:r>
          </w:p>
        </w:tc>
        <w:tc>
          <w:tcPr>
            <w:tcW w:w="3360" w:type="pct"/>
            <w:tcBorders>
              <w:top w:val="nil"/>
              <w:left w:val="nil"/>
              <w:bottom w:val="single" w:sz="4" w:space="0" w:color="auto"/>
              <w:right w:val="single" w:sz="4" w:space="0" w:color="auto"/>
            </w:tcBorders>
            <w:shd w:val="clear" w:color="auto" w:fill="auto"/>
            <w:vAlign w:val="center"/>
            <w:hideMark/>
          </w:tcPr>
          <w:p w14:paraId="69A580E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RIBNIŠKI ŠTUDENTSKI KLUB</w:t>
            </w:r>
          </w:p>
        </w:tc>
      </w:tr>
      <w:tr w:rsidR="00E3750C" w:rsidRPr="00415AB3" w14:paraId="080AA7A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8FC35C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1706</w:t>
            </w:r>
          </w:p>
        </w:tc>
        <w:tc>
          <w:tcPr>
            <w:tcW w:w="705" w:type="pct"/>
            <w:tcBorders>
              <w:top w:val="nil"/>
              <w:left w:val="nil"/>
              <w:bottom w:val="single" w:sz="4" w:space="0" w:color="auto"/>
              <w:right w:val="single" w:sz="4" w:space="0" w:color="auto"/>
            </w:tcBorders>
            <w:shd w:val="clear" w:color="auto" w:fill="auto"/>
            <w:noWrap/>
            <w:vAlign w:val="center"/>
            <w:hideMark/>
          </w:tcPr>
          <w:p w14:paraId="4EA900F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1900145000</w:t>
            </w:r>
          </w:p>
        </w:tc>
        <w:tc>
          <w:tcPr>
            <w:tcW w:w="547" w:type="pct"/>
            <w:tcBorders>
              <w:top w:val="nil"/>
              <w:left w:val="nil"/>
              <w:bottom w:val="single" w:sz="4" w:space="0" w:color="auto"/>
              <w:right w:val="single" w:sz="4" w:space="0" w:color="auto"/>
            </w:tcBorders>
            <w:shd w:val="clear" w:color="auto" w:fill="auto"/>
            <w:noWrap/>
            <w:vAlign w:val="center"/>
            <w:hideMark/>
          </w:tcPr>
          <w:p w14:paraId="449606F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36541028</w:t>
            </w:r>
          </w:p>
        </w:tc>
        <w:tc>
          <w:tcPr>
            <w:tcW w:w="3360" w:type="pct"/>
            <w:tcBorders>
              <w:top w:val="nil"/>
              <w:left w:val="nil"/>
              <w:bottom w:val="single" w:sz="4" w:space="0" w:color="auto"/>
              <w:right w:val="single" w:sz="4" w:space="0" w:color="auto"/>
            </w:tcBorders>
            <w:shd w:val="clear" w:color="auto" w:fill="auto"/>
            <w:vAlign w:val="center"/>
            <w:hideMark/>
          </w:tcPr>
          <w:p w14:paraId="4A966E1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RIS, RAZISKOVALNO IZOBRAŽEVALNO SREDIŠČE DVOREC RAKIČAN</w:t>
            </w:r>
          </w:p>
        </w:tc>
      </w:tr>
      <w:tr w:rsidR="00E3750C" w:rsidRPr="00415AB3" w14:paraId="7451D49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BCE5AB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1707</w:t>
            </w:r>
          </w:p>
        </w:tc>
        <w:tc>
          <w:tcPr>
            <w:tcW w:w="705" w:type="pct"/>
            <w:tcBorders>
              <w:top w:val="nil"/>
              <w:left w:val="nil"/>
              <w:bottom w:val="single" w:sz="4" w:space="0" w:color="auto"/>
              <w:right w:val="single" w:sz="4" w:space="0" w:color="auto"/>
            </w:tcBorders>
            <w:shd w:val="clear" w:color="auto" w:fill="auto"/>
            <w:noWrap/>
            <w:vAlign w:val="center"/>
            <w:hideMark/>
          </w:tcPr>
          <w:p w14:paraId="567B801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1660616000</w:t>
            </w:r>
          </w:p>
        </w:tc>
        <w:tc>
          <w:tcPr>
            <w:tcW w:w="547" w:type="pct"/>
            <w:tcBorders>
              <w:top w:val="nil"/>
              <w:left w:val="nil"/>
              <w:bottom w:val="single" w:sz="4" w:space="0" w:color="auto"/>
              <w:right w:val="single" w:sz="4" w:space="0" w:color="auto"/>
            </w:tcBorders>
            <w:shd w:val="clear" w:color="auto" w:fill="auto"/>
            <w:noWrap/>
            <w:vAlign w:val="center"/>
            <w:hideMark/>
          </w:tcPr>
          <w:p w14:paraId="5AEDC91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58273069</w:t>
            </w:r>
          </w:p>
        </w:tc>
        <w:tc>
          <w:tcPr>
            <w:tcW w:w="3360" w:type="pct"/>
            <w:tcBorders>
              <w:top w:val="nil"/>
              <w:left w:val="nil"/>
              <w:bottom w:val="single" w:sz="4" w:space="0" w:color="auto"/>
              <w:right w:val="single" w:sz="4" w:space="0" w:color="auto"/>
            </w:tcBorders>
            <w:shd w:val="clear" w:color="auto" w:fill="auto"/>
            <w:vAlign w:val="center"/>
            <w:hideMark/>
          </w:tcPr>
          <w:p w14:paraId="6F49912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RRA KOROŠKA REGIONALNA RAZVOJNA AGENCIJA ZA KOROŠKO REGIJO D.O.O.</w:t>
            </w:r>
          </w:p>
        </w:tc>
      </w:tr>
      <w:tr w:rsidR="00E3750C" w:rsidRPr="00415AB3" w14:paraId="4DB17229"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256704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1708</w:t>
            </w:r>
          </w:p>
        </w:tc>
        <w:tc>
          <w:tcPr>
            <w:tcW w:w="705" w:type="pct"/>
            <w:tcBorders>
              <w:top w:val="nil"/>
              <w:left w:val="nil"/>
              <w:bottom w:val="single" w:sz="4" w:space="0" w:color="auto"/>
              <w:right w:val="single" w:sz="4" w:space="0" w:color="auto"/>
            </w:tcBorders>
            <w:shd w:val="clear" w:color="auto" w:fill="auto"/>
            <w:noWrap/>
            <w:vAlign w:val="center"/>
            <w:hideMark/>
          </w:tcPr>
          <w:p w14:paraId="491DA37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1461974000</w:t>
            </w:r>
          </w:p>
        </w:tc>
        <w:tc>
          <w:tcPr>
            <w:tcW w:w="547" w:type="pct"/>
            <w:tcBorders>
              <w:top w:val="nil"/>
              <w:left w:val="nil"/>
              <w:bottom w:val="single" w:sz="4" w:space="0" w:color="auto"/>
              <w:right w:val="single" w:sz="4" w:space="0" w:color="auto"/>
            </w:tcBorders>
            <w:shd w:val="clear" w:color="auto" w:fill="auto"/>
            <w:noWrap/>
            <w:vAlign w:val="center"/>
            <w:hideMark/>
          </w:tcPr>
          <w:p w14:paraId="1114E00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95877835</w:t>
            </w:r>
          </w:p>
        </w:tc>
        <w:tc>
          <w:tcPr>
            <w:tcW w:w="3360" w:type="pct"/>
            <w:tcBorders>
              <w:top w:val="nil"/>
              <w:left w:val="nil"/>
              <w:bottom w:val="single" w:sz="4" w:space="0" w:color="auto"/>
              <w:right w:val="single" w:sz="4" w:space="0" w:color="auto"/>
            </w:tcBorders>
            <w:shd w:val="clear" w:color="auto" w:fill="auto"/>
            <w:vAlign w:val="center"/>
            <w:hideMark/>
          </w:tcPr>
          <w:p w14:paraId="68E253B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RRA SEVERNE PRIMORSKE REGIJSKA RAZVOJNA AGENCIJA D.O.O. NOVA GORICA</w:t>
            </w:r>
          </w:p>
        </w:tc>
      </w:tr>
      <w:tr w:rsidR="00E3750C" w:rsidRPr="00415AB3" w14:paraId="7893538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B7565F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1709</w:t>
            </w:r>
          </w:p>
        </w:tc>
        <w:tc>
          <w:tcPr>
            <w:tcW w:w="705" w:type="pct"/>
            <w:tcBorders>
              <w:top w:val="nil"/>
              <w:left w:val="nil"/>
              <w:bottom w:val="single" w:sz="4" w:space="0" w:color="auto"/>
              <w:right w:val="single" w:sz="4" w:space="0" w:color="auto"/>
            </w:tcBorders>
            <w:shd w:val="clear" w:color="auto" w:fill="auto"/>
            <w:noWrap/>
            <w:vAlign w:val="center"/>
            <w:hideMark/>
          </w:tcPr>
          <w:p w14:paraId="51D56AC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5920850000</w:t>
            </w:r>
          </w:p>
        </w:tc>
        <w:tc>
          <w:tcPr>
            <w:tcW w:w="547" w:type="pct"/>
            <w:tcBorders>
              <w:top w:val="nil"/>
              <w:left w:val="nil"/>
              <w:bottom w:val="single" w:sz="4" w:space="0" w:color="auto"/>
              <w:right w:val="single" w:sz="4" w:space="0" w:color="auto"/>
            </w:tcBorders>
            <w:shd w:val="clear" w:color="auto" w:fill="auto"/>
            <w:noWrap/>
            <w:vAlign w:val="center"/>
            <w:hideMark/>
          </w:tcPr>
          <w:p w14:paraId="036D468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61120073</w:t>
            </w:r>
          </w:p>
        </w:tc>
        <w:tc>
          <w:tcPr>
            <w:tcW w:w="3360" w:type="pct"/>
            <w:tcBorders>
              <w:top w:val="nil"/>
              <w:left w:val="nil"/>
              <w:bottom w:val="single" w:sz="4" w:space="0" w:color="auto"/>
              <w:right w:val="single" w:sz="4" w:space="0" w:color="auto"/>
            </w:tcBorders>
            <w:shd w:val="clear" w:color="auto" w:fill="auto"/>
            <w:vAlign w:val="center"/>
            <w:hideMark/>
          </w:tcPr>
          <w:p w14:paraId="12378FC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RTH, RUDNIK TRBOVLJE-HRASTNIK D.O.O.-V LIKVIDACIJI</w:t>
            </w:r>
          </w:p>
        </w:tc>
      </w:tr>
      <w:tr w:rsidR="00E3750C" w:rsidRPr="00415AB3" w14:paraId="5A3DDB16"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6F84F8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1710</w:t>
            </w:r>
          </w:p>
        </w:tc>
        <w:tc>
          <w:tcPr>
            <w:tcW w:w="705" w:type="pct"/>
            <w:tcBorders>
              <w:top w:val="nil"/>
              <w:left w:val="nil"/>
              <w:bottom w:val="single" w:sz="4" w:space="0" w:color="auto"/>
              <w:right w:val="single" w:sz="4" w:space="0" w:color="auto"/>
            </w:tcBorders>
            <w:shd w:val="clear" w:color="auto" w:fill="auto"/>
            <w:noWrap/>
            <w:vAlign w:val="center"/>
            <w:hideMark/>
          </w:tcPr>
          <w:p w14:paraId="3F0F3CF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5521688000</w:t>
            </w:r>
          </w:p>
        </w:tc>
        <w:tc>
          <w:tcPr>
            <w:tcW w:w="547" w:type="pct"/>
            <w:tcBorders>
              <w:top w:val="nil"/>
              <w:left w:val="nil"/>
              <w:bottom w:val="single" w:sz="4" w:space="0" w:color="auto"/>
              <w:right w:val="single" w:sz="4" w:space="0" w:color="auto"/>
            </w:tcBorders>
            <w:shd w:val="clear" w:color="auto" w:fill="auto"/>
            <w:noWrap/>
            <w:vAlign w:val="center"/>
            <w:hideMark/>
          </w:tcPr>
          <w:p w14:paraId="46A2AA8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87045729</w:t>
            </w:r>
          </w:p>
        </w:tc>
        <w:tc>
          <w:tcPr>
            <w:tcW w:w="3360" w:type="pct"/>
            <w:tcBorders>
              <w:top w:val="nil"/>
              <w:left w:val="nil"/>
              <w:bottom w:val="single" w:sz="4" w:space="0" w:color="auto"/>
              <w:right w:val="single" w:sz="4" w:space="0" w:color="auto"/>
            </w:tcBorders>
            <w:shd w:val="clear" w:color="auto" w:fill="auto"/>
            <w:vAlign w:val="center"/>
            <w:hideMark/>
          </w:tcPr>
          <w:p w14:paraId="6975760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RUDAR SENOVO POSLOVANJE Z NEPREMIČNINAMI, GRADNJE, STORITVE IN TRGOVINA SENOVO D.O.O.</w:t>
            </w:r>
          </w:p>
        </w:tc>
      </w:tr>
      <w:tr w:rsidR="00E3750C" w:rsidRPr="00415AB3" w14:paraId="5267EC62"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20AAE1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1711</w:t>
            </w:r>
          </w:p>
        </w:tc>
        <w:tc>
          <w:tcPr>
            <w:tcW w:w="705" w:type="pct"/>
            <w:tcBorders>
              <w:top w:val="nil"/>
              <w:left w:val="nil"/>
              <w:bottom w:val="single" w:sz="4" w:space="0" w:color="auto"/>
              <w:right w:val="single" w:sz="4" w:space="0" w:color="auto"/>
            </w:tcBorders>
            <w:shd w:val="clear" w:color="auto" w:fill="auto"/>
            <w:noWrap/>
            <w:vAlign w:val="center"/>
            <w:hideMark/>
          </w:tcPr>
          <w:p w14:paraId="3EC56CB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5159709000</w:t>
            </w:r>
          </w:p>
        </w:tc>
        <w:tc>
          <w:tcPr>
            <w:tcW w:w="547" w:type="pct"/>
            <w:tcBorders>
              <w:top w:val="nil"/>
              <w:left w:val="nil"/>
              <w:bottom w:val="single" w:sz="4" w:space="0" w:color="auto"/>
              <w:right w:val="single" w:sz="4" w:space="0" w:color="auto"/>
            </w:tcBorders>
            <w:shd w:val="clear" w:color="auto" w:fill="auto"/>
            <w:noWrap/>
            <w:vAlign w:val="center"/>
            <w:hideMark/>
          </w:tcPr>
          <w:p w14:paraId="36E78EF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76675424</w:t>
            </w:r>
          </w:p>
        </w:tc>
        <w:tc>
          <w:tcPr>
            <w:tcW w:w="3360" w:type="pct"/>
            <w:tcBorders>
              <w:top w:val="nil"/>
              <w:left w:val="nil"/>
              <w:bottom w:val="single" w:sz="4" w:space="0" w:color="auto"/>
              <w:right w:val="single" w:sz="4" w:space="0" w:color="auto"/>
            </w:tcBorders>
            <w:shd w:val="clear" w:color="auto" w:fill="auto"/>
            <w:vAlign w:val="center"/>
            <w:hideMark/>
          </w:tcPr>
          <w:p w14:paraId="6C63F98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RUDNIK ŽIROVSKI VRH, JAVNO PODJETJE ZA ZAPIRANJE RUDNIKA URANA, D.O.O.</w:t>
            </w:r>
          </w:p>
        </w:tc>
      </w:tr>
      <w:tr w:rsidR="00E3750C" w:rsidRPr="00415AB3" w14:paraId="15F90D4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7E444B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1712</w:t>
            </w:r>
          </w:p>
        </w:tc>
        <w:tc>
          <w:tcPr>
            <w:tcW w:w="705" w:type="pct"/>
            <w:tcBorders>
              <w:top w:val="nil"/>
              <w:left w:val="nil"/>
              <w:bottom w:val="single" w:sz="4" w:space="0" w:color="auto"/>
              <w:right w:val="single" w:sz="4" w:space="0" w:color="auto"/>
            </w:tcBorders>
            <w:shd w:val="clear" w:color="auto" w:fill="auto"/>
            <w:noWrap/>
            <w:vAlign w:val="center"/>
            <w:hideMark/>
          </w:tcPr>
          <w:p w14:paraId="0B2C130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9104470000</w:t>
            </w:r>
          </w:p>
        </w:tc>
        <w:tc>
          <w:tcPr>
            <w:tcW w:w="547" w:type="pct"/>
            <w:tcBorders>
              <w:top w:val="nil"/>
              <w:left w:val="nil"/>
              <w:bottom w:val="single" w:sz="4" w:space="0" w:color="auto"/>
              <w:right w:val="single" w:sz="4" w:space="0" w:color="auto"/>
            </w:tcBorders>
            <w:shd w:val="clear" w:color="auto" w:fill="auto"/>
            <w:noWrap/>
            <w:vAlign w:val="center"/>
            <w:hideMark/>
          </w:tcPr>
          <w:p w14:paraId="34E25CB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19740212</w:t>
            </w:r>
          </w:p>
        </w:tc>
        <w:tc>
          <w:tcPr>
            <w:tcW w:w="3360" w:type="pct"/>
            <w:tcBorders>
              <w:top w:val="nil"/>
              <w:left w:val="nil"/>
              <w:bottom w:val="single" w:sz="4" w:space="0" w:color="auto"/>
              <w:right w:val="single" w:sz="4" w:space="0" w:color="auto"/>
            </w:tcBorders>
            <w:shd w:val="clear" w:color="auto" w:fill="auto"/>
            <w:vAlign w:val="center"/>
            <w:hideMark/>
          </w:tcPr>
          <w:p w14:paraId="6B0ABCC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RUDOLFOVO - ZNANSTVENO IN TEHNOLOŠKO SREDIŠČE NOVO MESTO</w:t>
            </w:r>
          </w:p>
        </w:tc>
      </w:tr>
      <w:tr w:rsidR="00E3750C" w:rsidRPr="00415AB3" w14:paraId="1B752F9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E7E9DA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77</w:t>
            </w:r>
          </w:p>
        </w:tc>
        <w:tc>
          <w:tcPr>
            <w:tcW w:w="705" w:type="pct"/>
            <w:tcBorders>
              <w:top w:val="nil"/>
              <w:left w:val="nil"/>
              <w:bottom w:val="single" w:sz="4" w:space="0" w:color="auto"/>
              <w:right w:val="single" w:sz="4" w:space="0" w:color="auto"/>
            </w:tcBorders>
            <w:shd w:val="clear" w:color="auto" w:fill="auto"/>
            <w:noWrap/>
            <w:vAlign w:val="center"/>
            <w:hideMark/>
          </w:tcPr>
          <w:p w14:paraId="2A71FE9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2482924000</w:t>
            </w:r>
          </w:p>
        </w:tc>
        <w:tc>
          <w:tcPr>
            <w:tcW w:w="547" w:type="pct"/>
            <w:tcBorders>
              <w:top w:val="nil"/>
              <w:left w:val="nil"/>
              <w:bottom w:val="single" w:sz="4" w:space="0" w:color="auto"/>
              <w:right w:val="single" w:sz="4" w:space="0" w:color="auto"/>
            </w:tcBorders>
            <w:shd w:val="clear" w:color="auto" w:fill="auto"/>
            <w:noWrap/>
            <w:vAlign w:val="center"/>
            <w:hideMark/>
          </w:tcPr>
          <w:p w14:paraId="7241675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95657754</w:t>
            </w:r>
          </w:p>
        </w:tc>
        <w:tc>
          <w:tcPr>
            <w:tcW w:w="3360" w:type="pct"/>
            <w:tcBorders>
              <w:top w:val="nil"/>
              <w:left w:val="nil"/>
              <w:bottom w:val="single" w:sz="4" w:space="0" w:color="auto"/>
              <w:right w:val="single" w:sz="4" w:space="0" w:color="auto"/>
            </w:tcBorders>
            <w:shd w:val="clear" w:color="auto" w:fill="auto"/>
            <w:vAlign w:val="center"/>
            <w:hideMark/>
          </w:tcPr>
          <w:p w14:paraId="52261EB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SAMOUPRAVNA SKUPNOST ITALIJANSKE NARODNOSTI ANKARAN</w:t>
            </w:r>
          </w:p>
        </w:tc>
      </w:tr>
      <w:tr w:rsidR="00E3750C" w:rsidRPr="00415AB3" w14:paraId="26F81EB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9B091C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1713</w:t>
            </w:r>
          </w:p>
        </w:tc>
        <w:tc>
          <w:tcPr>
            <w:tcW w:w="705" w:type="pct"/>
            <w:tcBorders>
              <w:top w:val="nil"/>
              <w:left w:val="nil"/>
              <w:bottom w:val="single" w:sz="4" w:space="0" w:color="auto"/>
              <w:right w:val="single" w:sz="4" w:space="0" w:color="auto"/>
            </w:tcBorders>
            <w:shd w:val="clear" w:color="auto" w:fill="auto"/>
            <w:noWrap/>
            <w:vAlign w:val="center"/>
            <w:hideMark/>
          </w:tcPr>
          <w:p w14:paraId="05D5167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5167167000</w:t>
            </w:r>
          </w:p>
        </w:tc>
        <w:tc>
          <w:tcPr>
            <w:tcW w:w="547" w:type="pct"/>
            <w:tcBorders>
              <w:top w:val="nil"/>
              <w:left w:val="nil"/>
              <w:bottom w:val="single" w:sz="4" w:space="0" w:color="auto"/>
              <w:right w:val="single" w:sz="4" w:space="0" w:color="auto"/>
            </w:tcBorders>
            <w:shd w:val="clear" w:color="auto" w:fill="auto"/>
            <w:noWrap/>
            <w:vAlign w:val="center"/>
            <w:hideMark/>
          </w:tcPr>
          <w:p w14:paraId="5ACAF23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99678004</w:t>
            </w:r>
          </w:p>
        </w:tc>
        <w:tc>
          <w:tcPr>
            <w:tcW w:w="3360" w:type="pct"/>
            <w:tcBorders>
              <w:top w:val="nil"/>
              <w:left w:val="nil"/>
              <w:bottom w:val="single" w:sz="4" w:space="0" w:color="auto"/>
              <w:right w:val="single" w:sz="4" w:space="0" w:color="auto"/>
            </w:tcBorders>
            <w:shd w:val="clear" w:color="auto" w:fill="auto"/>
            <w:vAlign w:val="center"/>
            <w:hideMark/>
          </w:tcPr>
          <w:p w14:paraId="36BA5FC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SAMOUPRAVNA SKUPNOST ITALIJANSKE NARODNOSTI KOPER</w:t>
            </w:r>
          </w:p>
        </w:tc>
      </w:tr>
      <w:tr w:rsidR="00E3750C" w:rsidRPr="00415AB3" w14:paraId="4F5747A9"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7BE534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1714</w:t>
            </w:r>
          </w:p>
        </w:tc>
        <w:tc>
          <w:tcPr>
            <w:tcW w:w="705" w:type="pct"/>
            <w:tcBorders>
              <w:top w:val="nil"/>
              <w:left w:val="nil"/>
              <w:bottom w:val="single" w:sz="4" w:space="0" w:color="auto"/>
              <w:right w:val="single" w:sz="4" w:space="0" w:color="auto"/>
            </w:tcBorders>
            <w:shd w:val="clear" w:color="auto" w:fill="auto"/>
            <w:noWrap/>
            <w:vAlign w:val="center"/>
            <w:hideMark/>
          </w:tcPr>
          <w:p w14:paraId="7B8CAE1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2332655000</w:t>
            </w:r>
          </w:p>
        </w:tc>
        <w:tc>
          <w:tcPr>
            <w:tcW w:w="547" w:type="pct"/>
            <w:tcBorders>
              <w:top w:val="nil"/>
              <w:left w:val="nil"/>
              <w:bottom w:val="single" w:sz="4" w:space="0" w:color="auto"/>
              <w:right w:val="single" w:sz="4" w:space="0" w:color="auto"/>
            </w:tcBorders>
            <w:shd w:val="clear" w:color="auto" w:fill="auto"/>
            <w:noWrap/>
            <w:vAlign w:val="center"/>
            <w:hideMark/>
          </w:tcPr>
          <w:p w14:paraId="5F00960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16705327</w:t>
            </w:r>
          </w:p>
        </w:tc>
        <w:tc>
          <w:tcPr>
            <w:tcW w:w="3360" w:type="pct"/>
            <w:tcBorders>
              <w:top w:val="nil"/>
              <w:left w:val="nil"/>
              <w:bottom w:val="single" w:sz="4" w:space="0" w:color="auto"/>
              <w:right w:val="single" w:sz="4" w:space="0" w:color="auto"/>
            </w:tcBorders>
            <w:shd w:val="clear" w:color="auto" w:fill="auto"/>
            <w:vAlign w:val="center"/>
            <w:hideMark/>
          </w:tcPr>
          <w:p w14:paraId="34878DC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SAŠA INKUBATOR, DRUŽBA ZA PODJETNIŠKO IN POSLOVNO SVETOVANJE, D.O.O.</w:t>
            </w:r>
          </w:p>
        </w:tc>
      </w:tr>
      <w:tr w:rsidR="00E3750C" w:rsidRPr="00415AB3" w14:paraId="6578BB7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26510F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1715</w:t>
            </w:r>
          </w:p>
        </w:tc>
        <w:tc>
          <w:tcPr>
            <w:tcW w:w="705" w:type="pct"/>
            <w:tcBorders>
              <w:top w:val="nil"/>
              <w:left w:val="nil"/>
              <w:bottom w:val="single" w:sz="4" w:space="0" w:color="auto"/>
              <w:right w:val="single" w:sz="4" w:space="0" w:color="auto"/>
            </w:tcBorders>
            <w:shd w:val="clear" w:color="auto" w:fill="auto"/>
            <w:noWrap/>
            <w:vAlign w:val="center"/>
            <w:hideMark/>
          </w:tcPr>
          <w:p w14:paraId="5A487CC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1903292000</w:t>
            </w:r>
          </w:p>
        </w:tc>
        <w:tc>
          <w:tcPr>
            <w:tcW w:w="547" w:type="pct"/>
            <w:tcBorders>
              <w:top w:val="nil"/>
              <w:left w:val="nil"/>
              <w:bottom w:val="single" w:sz="4" w:space="0" w:color="auto"/>
              <w:right w:val="single" w:sz="4" w:space="0" w:color="auto"/>
            </w:tcBorders>
            <w:shd w:val="clear" w:color="auto" w:fill="auto"/>
            <w:noWrap/>
            <w:vAlign w:val="center"/>
            <w:hideMark/>
          </w:tcPr>
          <w:p w14:paraId="29E83FE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98771663</w:t>
            </w:r>
          </w:p>
        </w:tc>
        <w:tc>
          <w:tcPr>
            <w:tcW w:w="3360" w:type="pct"/>
            <w:tcBorders>
              <w:top w:val="nil"/>
              <w:left w:val="nil"/>
              <w:bottom w:val="single" w:sz="4" w:space="0" w:color="auto"/>
              <w:right w:val="single" w:sz="4" w:space="0" w:color="auto"/>
            </w:tcBorders>
            <w:shd w:val="clear" w:color="auto" w:fill="auto"/>
            <w:vAlign w:val="center"/>
            <w:hideMark/>
          </w:tcPr>
          <w:p w14:paraId="4DE857A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SAVINJA, ZAVOD ZA RAZVOJ PODEŽELJA IN TURIZMA</w:t>
            </w:r>
          </w:p>
        </w:tc>
      </w:tr>
      <w:tr w:rsidR="00E3750C" w:rsidRPr="00415AB3" w14:paraId="19B8BED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3BC13A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1716</w:t>
            </w:r>
          </w:p>
        </w:tc>
        <w:tc>
          <w:tcPr>
            <w:tcW w:w="705" w:type="pct"/>
            <w:tcBorders>
              <w:top w:val="nil"/>
              <w:left w:val="nil"/>
              <w:bottom w:val="single" w:sz="4" w:space="0" w:color="auto"/>
              <w:right w:val="single" w:sz="4" w:space="0" w:color="auto"/>
            </w:tcBorders>
            <w:shd w:val="clear" w:color="auto" w:fill="auto"/>
            <w:noWrap/>
            <w:vAlign w:val="center"/>
            <w:hideMark/>
          </w:tcPr>
          <w:p w14:paraId="414BB91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5044405000</w:t>
            </w:r>
          </w:p>
        </w:tc>
        <w:tc>
          <w:tcPr>
            <w:tcW w:w="547" w:type="pct"/>
            <w:tcBorders>
              <w:top w:val="nil"/>
              <w:left w:val="nil"/>
              <w:bottom w:val="single" w:sz="4" w:space="0" w:color="auto"/>
              <w:right w:val="single" w:sz="4" w:space="0" w:color="auto"/>
            </w:tcBorders>
            <w:shd w:val="clear" w:color="auto" w:fill="auto"/>
            <w:noWrap/>
            <w:vAlign w:val="center"/>
            <w:hideMark/>
          </w:tcPr>
          <w:p w14:paraId="1107F6F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74887351</w:t>
            </w:r>
          </w:p>
        </w:tc>
        <w:tc>
          <w:tcPr>
            <w:tcW w:w="3360" w:type="pct"/>
            <w:tcBorders>
              <w:top w:val="nil"/>
              <w:left w:val="nil"/>
              <w:bottom w:val="single" w:sz="4" w:space="0" w:color="auto"/>
              <w:right w:val="single" w:sz="4" w:space="0" w:color="auto"/>
            </w:tcBorders>
            <w:shd w:val="clear" w:color="auto" w:fill="auto"/>
            <w:vAlign w:val="center"/>
            <w:hideMark/>
          </w:tcPr>
          <w:p w14:paraId="7999BB7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SAVSKE ELEKTRARNE LJUBLJANA D.O.O.</w:t>
            </w:r>
          </w:p>
        </w:tc>
      </w:tr>
      <w:tr w:rsidR="00E3750C" w:rsidRPr="00415AB3" w14:paraId="0287F163"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F7ECB7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1717</w:t>
            </w:r>
          </w:p>
        </w:tc>
        <w:tc>
          <w:tcPr>
            <w:tcW w:w="705" w:type="pct"/>
            <w:tcBorders>
              <w:top w:val="nil"/>
              <w:left w:val="nil"/>
              <w:bottom w:val="single" w:sz="4" w:space="0" w:color="auto"/>
              <w:right w:val="single" w:sz="4" w:space="0" w:color="auto"/>
            </w:tcBorders>
            <w:shd w:val="clear" w:color="auto" w:fill="auto"/>
            <w:noWrap/>
            <w:vAlign w:val="center"/>
            <w:hideMark/>
          </w:tcPr>
          <w:p w14:paraId="1E50BAB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5244145000</w:t>
            </w:r>
          </w:p>
        </w:tc>
        <w:tc>
          <w:tcPr>
            <w:tcW w:w="547" w:type="pct"/>
            <w:tcBorders>
              <w:top w:val="nil"/>
              <w:left w:val="nil"/>
              <w:bottom w:val="single" w:sz="4" w:space="0" w:color="auto"/>
              <w:right w:val="single" w:sz="4" w:space="0" w:color="auto"/>
            </w:tcBorders>
            <w:shd w:val="clear" w:color="auto" w:fill="auto"/>
            <w:noWrap/>
            <w:vAlign w:val="center"/>
            <w:hideMark/>
          </w:tcPr>
          <w:p w14:paraId="1A1815E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20679785</w:t>
            </w:r>
          </w:p>
        </w:tc>
        <w:tc>
          <w:tcPr>
            <w:tcW w:w="3360" w:type="pct"/>
            <w:tcBorders>
              <w:top w:val="nil"/>
              <w:left w:val="nil"/>
              <w:bottom w:val="single" w:sz="4" w:space="0" w:color="auto"/>
              <w:right w:val="single" w:sz="4" w:space="0" w:color="auto"/>
            </w:tcBorders>
            <w:shd w:val="clear" w:color="auto" w:fill="auto"/>
            <w:vAlign w:val="center"/>
            <w:hideMark/>
          </w:tcPr>
          <w:p w14:paraId="290D692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SCUOLA DELL' INFANZIA LA COCCINELLA PIRANO - VRTEC LA COCCINELLA PIRAN</w:t>
            </w:r>
          </w:p>
        </w:tc>
      </w:tr>
      <w:tr w:rsidR="00E3750C" w:rsidRPr="00415AB3" w14:paraId="676C755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4440BE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1720</w:t>
            </w:r>
          </w:p>
        </w:tc>
        <w:tc>
          <w:tcPr>
            <w:tcW w:w="705" w:type="pct"/>
            <w:tcBorders>
              <w:top w:val="nil"/>
              <w:left w:val="nil"/>
              <w:bottom w:val="single" w:sz="4" w:space="0" w:color="auto"/>
              <w:right w:val="single" w:sz="4" w:space="0" w:color="auto"/>
            </w:tcBorders>
            <w:shd w:val="clear" w:color="auto" w:fill="auto"/>
            <w:noWrap/>
            <w:vAlign w:val="center"/>
            <w:hideMark/>
          </w:tcPr>
          <w:p w14:paraId="318870F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5665493000</w:t>
            </w:r>
          </w:p>
        </w:tc>
        <w:tc>
          <w:tcPr>
            <w:tcW w:w="547" w:type="pct"/>
            <w:tcBorders>
              <w:top w:val="nil"/>
              <w:left w:val="nil"/>
              <w:bottom w:val="single" w:sz="4" w:space="0" w:color="auto"/>
              <w:right w:val="single" w:sz="4" w:space="0" w:color="auto"/>
            </w:tcBorders>
            <w:shd w:val="clear" w:color="auto" w:fill="auto"/>
            <w:noWrap/>
            <w:vAlign w:val="center"/>
            <w:hideMark/>
          </w:tcPr>
          <w:p w14:paraId="5A625D0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82155135</w:t>
            </w:r>
          </w:p>
        </w:tc>
        <w:tc>
          <w:tcPr>
            <w:tcW w:w="3360" w:type="pct"/>
            <w:tcBorders>
              <w:top w:val="nil"/>
              <w:left w:val="nil"/>
              <w:bottom w:val="single" w:sz="4" w:space="0" w:color="auto"/>
              <w:right w:val="single" w:sz="4" w:space="0" w:color="auto"/>
            </w:tcBorders>
            <w:shd w:val="clear" w:color="auto" w:fill="auto"/>
            <w:vAlign w:val="center"/>
            <w:hideMark/>
          </w:tcPr>
          <w:p w14:paraId="0A973F8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SID - SLOVENSKA IZVOZNA IN RAZVOJNA BANKA, D.D., LJUBLJANA</w:t>
            </w:r>
          </w:p>
        </w:tc>
      </w:tr>
      <w:tr w:rsidR="00E3750C" w:rsidRPr="00415AB3" w14:paraId="590DE20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6DF0C0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1721</w:t>
            </w:r>
          </w:p>
        </w:tc>
        <w:tc>
          <w:tcPr>
            <w:tcW w:w="705" w:type="pct"/>
            <w:tcBorders>
              <w:top w:val="nil"/>
              <w:left w:val="nil"/>
              <w:bottom w:val="single" w:sz="4" w:space="0" w:color="auto"/>
              <w:right w:val="single" w:sz="4" w:space="0" w:color="auto"/>
            </w:tcBorders>
            <w:shd w:val="clear" w:color="auto" w:fill="auto"/>
            <w:noWrap/>
            <w:vAlign w:val="center"/>
            <w:hideMark/>
          </w:tcPr>
          <w:p w14:paraId="75DE79C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5914523000</w:t>
            </w:r>
          </w:p>
        </w:tc>
        <w:tc>
          <w:tcPr>
            <w:tcW w:w="547" w:type="pct"/>
            <w:tcBorders>
              <w:top w:val="nil"/>
              <w:left w:val="nil"/>
              <w:bottom w:val="single" w:sz="4" w:space="0" w:color="auto"/>
              <w:right w:val="single" w:sz="4" w:space="0" w:color="auto"/>
            </w:tcBorders>
            <w:shd w:val="clear" w:color="auto" w:fill="auto"/>
            <w:noWrap/>
            <w:vAlign w:val="center"/>
            <w:hideMark/>
          </w:tcPr>
          <w:p w14:paraId="72F2E1C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54123135</w:t>
            </w:r>
          </w:p>
        </w:tc>
        <w:tc>
          <w:tcPr>
            <w:tcW w:w="3360" w:type="pct"/>
            <w:tcBorders>
              <w:top w:val="nil"/>
              <w:left w:val="nil"/>
              <w:bottom w:val="single" w:sz="4" w:space="0" w:color="auto"/>
              <w:right w:val="single" w:sz="4" w:space="0" w:color="auto"/>
            </w:tcBorders>
            <w:shd w:val="clear" w:color="auto" w:fill="auto"/>
            <w:vAlign w:val="center"/>
            <w:hideMark/>
          </w:tcPr>
          <w:p w14:paraId="6ACD179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SIMBIO, DRUŽBA ZA RAVNANJE Z ODPADKI D.O.O.</w:t>
            </w:r>
          </w:p>
        </w:tc>
      </w:tr>
      <w:tr w:rsidR="00E3750C" w:rsidRPr="00415AB3" w14:paraId="79996E6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4A503F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1722</w:t>
            </w:r>
          </w:p>
        </w:tc>
        <w:tc>
          <w:tcPr>
            <w:tcW w:w="705" w:type="pct"/>
            <w:tcBorders>
              <w:top w:val="nil"/>
              <w:left w:val="nil"/>
              <w:bottom w:val="single" w:sz="4" w:space="0" w:color="auto"/>
              <w:right w:val="single" w:sz="4" w:space="0" w:color="auto"/>
            </w:tcBorders>
            <w:shd w:val="clear" w:color="auto" w:fill="auto"/>
            <w:noWrap/>
            <w:vAlign w:val="center"/>
            <w:hideMark/>
          </w:tcPr>
          <w:p w14:paraId="49967B1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5729963000</w:t>
            </w:r>
          </w:p>
        </w:tc>
        <w:tc>
          <w:tcPr>
            <w:tcW w:w="547" w:type="pct"/>
            <w:tcBorders>
              <w:top w:val="nil"/>
              <w:left w:val="nil"/>
              <w:bottom w:val="single" w:sz="4" w:space="0" w:color="auto"/>
              <w:right w:val="single" w:sz="4" w:space="0" w:color="auto"/>
            </w:tcBorders>
            <w:shd w:val="clear" w:color="auto" w:fill="auto"/>
            <w:noWrap/>
            <w:vAlign w:val="center"/>
            <w:hideMark/>
          </w:tcPr>
          <w:p w14:paraId="2CFC0E9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26279266</w:t>
            </w:r>
          </w:p>
        </w:tc>
        <w:tc>
          <w:tcPr>
            <w:tcW w:w="3360" w:type="pct"/>
            <w:tcBorders>
              <w:top w:val="nil"/>
              <w:left w:val="nil"/>
              <w:bottom w:val="single" w:sz="4" w:space="0" w:color="auto"/>
              <w:right w:val="single" w:sz="4" w:space="0" w:color="auto"/>
            </w:tcBorders>
            <w:shd w:val="clear" w:color="auto" w:fill="auto"/>
            <w:vAlign w:val="center"/>
            <w:hideMark/>
          </w:tcPr>
          <w:p w14:paraId="5CC7D73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SKLAD KMETIJSKIH ZEMLJIŠČ IN GOZDOV REPUBLIKE SLOVENIJE</w:t>
            </w:r>
          </w:p>
        </w:tc>
      </w:tr>
      <w:tr w:rsidR="00E3750C" w:rsidRPr="00415AB3" w14:paraId="4A6EABC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E2DD33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1723</w:t>
            </w:r>
          </w:p>
        </w:tc>
        <w:tc>
          <w:tcPr>
            <w:tcW w:w="705" w:type="pct"/>
            <w:tcBorders>
              <w:top w:val="nil"/>
              <w:left w:val="nil"/>
              <w:bottom w:val="single" w:sz="4" w:space="0" w:color="auto"/>
              <w:right w:val="single" w:sz="4" w:space="0" w:color="auto"/>
            </w:tcBorders>
            <w:shd w:val="clear" w:color="auto" w:fill="auto"/>
            <w:noWrap/>
            <w:vAlign w:val="center"/>
            <w:hideMark/>
          </w:tcPr>
          <w:p w14:paraId="0F0DB96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2197189000</w:t>
            </w:r>
          </w:p>
        </w:tc>
        <w:tc>
          <w:tcPr>
            <w:tcW w:w="547" w:type="pct"/>
            <w:tcBorders>
              <w:top w:val="nil"/>
              <w:left w:val="nil"/>
              <w:bottom w:val="single" w:sz="4" w:space="0" w:color="auto"/>
              <w:right w:val="single" w:sz="4" w:space="0" w:color="auto"/>
            </w:tcBorders>
            <w:shd w:val="clear" w:color="auto" w:fill="auto"/>
            <w:noWrap/>
            <w:vAlign w:val="center"/>
            <w:hideMark/>
          </w:tcPr>
          <w:p w14:paraId="1C8D9F7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66700094</w:t>
            </w:r>
          </w:p>
        </w:tc>
        <w:tc>
          <w:tcPr>
            <w:tcW w:w="3360" w:type="pct"/>
            <w:tcBorders>
              <w:top w:val="nil"/>
              <w:left w:val="nil"/>
              <w:bottom w:val="single" w:sz="4" w:space="0" w:color="auto"/>
              <w:right w:val="single" w:sz="4" w:space="0" w:color="auto"/>
            </w:tcBorders>
            <w:shd w:val="clear" w:color="auto" w:fill="auto"/>
            <w:vAlign w:val="center"/>
            <w:hideMark/>
          </w:tcPr>
          <w:p w14:paraId="002C9C2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SKLAD REPUBLIKE SLOVENIJE ZA NASLEDSTVO, JAVNI SKLAD</w:t>
            </w:r>
          </w:p>
        </w:tc>
      </w:tr>
      <w:tr w:rsidR="00E3750C" w:rsidRPr="00415AB3" w14:paraId="21C7D95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2BFD81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1724</w:t>
            </w:r>
          </w:p>
        </w:tc>
        <w:tc>
          <w:tcPr>
            <w:tcW w:w="705" w:type="pct"/>
            <w:tcBorders>
              <w:top w:val="nil"/>
              <w:left w:val="nil"/>
              <w:bottom w:val="single" w:sz="4" w:space="0" w:color="auto"/>
              <w:right w:val="single" w:sz="4" w:space="0" w:color="auto"/>
            </w:tcBorders>
            <w:shd w:val="clear" w:color="auto" w:fill="auto"/>
            <w:noWrap/>
            <w:vAlign w:val="center"/>
            <w:hideMark/>
          </w:tcPr>
          <w:p w14:paraId="64D0DAF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2516314000</w:t>
            </w:r>
          </w:p>
        </w:tc>
        <w:tc>
          <w:tcPr>
            <w:tcW w:w="547" w:type="pct"/>
            <w:tcBorders>
              <w:top w:val="nil"/>
              <w:left w:val="nil"/>
              <w:bottom w:val="single" w:sz="4" w:space="0" w:color="auto"/>
              <w:right w:val="single" w:sz="4" w:space="0" w:color="auto"/>
            </w:tcBorders>
            <w:shd w:val="clear" w:color="auto" w:fill="auto"/>
            <w:noWrap/>
            <w:vAlign w:val="center"/>
            <w:hideMark/>
          </w:tcPr>
          <w:p w14:paraId="3B6C366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35214767</w:t>
            </w:r>
          </w:p>
        </w:tc>
        <w:tc>
          <w:tcPr>
            <w:tcW w:w="3360" w:type="pct"/>
            <w:tcBorders>
              <w:top w:val="nil"/>
              <w:left w:val="nil"/>
              <w:bottom w:val="single" w:sz="4" w:space="0" w:color="auto"/>
              <w:right w:val="single" w:sz="4" w:space="0" w:color="auto"/>
            </w:tcBorders>
            <w:shd w:val="clear" w:color="auto" w:fill="auto"/>
            <w:vAlign w:val="center"/>
            <w:hideMark/>
          </w:tcPr>
          <w:p w14:paraId="4170DC7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SKUPNA OBČINSKA UPRAVA OBČIN DOLENJSKE</w:t>
            </w:r>
          </w:p>
        </w:tc>
      </w:tr>
      <w:tr w:rsidR="00E3750C" w:rsidRPr="00415AB3" w14:paraId="553CF73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AEAADD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1725</w:t>
            </w:r>
          </w:p>
        </w:tc>
        <w:tc>
          <w:tcPr>
            <w:tcW w:w="705" w:type="pct"/>
            <w:tcBorders>
              <w:top w:val="nil"/>
              <w:left w:val="nil"/>
              <w:bottom w:val="single" w:sz="4" w:space="0" w:color="auto"/>
              <w:right w:val="single" w:sz="4" w:space="0" w:color="auto"/>
            </w:tcBorders>
            <w:shd w:val="clear" w:color="auto" w:fill="auto"/>
            <w:noWrap/>
            <w:vAlign w:val="center"/>
            <w:hideMark/>
          </w:tcPr>
          <w:p w14:paraId="681BB78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2516365000</w:t>
            </w:r>
          </w:p>
        </w:tc>
        <w:tc>
          <w:tcPr>
            <w:tcW w:w="547" w:type="pct"/>
            <w:tcBorders>
              <w:top w:val="nil"/>
              <w:left w:val="nil"/>
              <w:bottom w:val="single" w:sz="4" w:space="0" w:color="auto"/>
              <w:right w:val="single" w:sz="4" w:space="0" w:color="auto"/>
            </w:tcBorders>
            <w:shd w:val="clear" w:color="auto" w:fill="auto"/>
            <w:noWrap/>
            <w:vAlign w:val="center"/>
            <w:hideMark/>
          </w:tcPr>
          <w:p w14:paraId="0A5D304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71778802</w:t>
            </w:r>
          </w:p>
        </w:tc>
        <w:tc>
          <w:tcPr>
            <w:tcW w:w="3360" w:type="pct"/>
            <w:tcBorders>
              <w:top w:val="nil"/>
              <w:left w:val="nil"/>
              <w:bottom w:val="single" w:sz="4" w:space="0" w:color="auto"/>
              <w:right w:val="single" w:sz="4" w:space="0" w:color="auto"/>
            </w:tcBorders>
            <w:shd w:val="clear" w:color="auto" w:fill="auto"/>
            <w:vAlign w:val="center"/>
            <w:hideMark/>
          </w:tcPr>
          <w:p w14:paraId="3412EDE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SKUPNA OBČINSKA UPRAVA OBČIN KOČEVJE, KOSTEL IN OSILNICA</w:t>
            </w:r>
          </w:p>
        </w:tc>
      </w:tr>
      <w:tr w:rsidR="00E3750C" w:rsidRPr="00415AB3" w14:paraId="2907ED5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EE55D2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1726</w:t>
            </w:r>
          </w:p>
        </w:tc>
        <w:tc>
          <w:tcPr>
            <w:tcW w:w="705" w:type="pct"/>
            <w:tcBorders>
              <w:top w:val="nil"/>
              <w:left w:val="nil"/>
              <w:bottom w:val="single" w:sz="4" w:space="0" w:color="auto"/>
              <w:right w:val="single" w:sz="4" w:space="0" w:color="auto"/>
            </w:tcBorders>
            <w:shd w:val="clear" w:color="auto" w:fill="auto"/>
            <w:noWrap/>
            <w:vAlign w:val="center"/>
            <w:hideMark/>
          </w:tcPr>
          <w:p w14:paraId="6032E53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1429353000</w:t>
            </w:r>
          </w:p>
        </w:tc>
        <w:tc>
          <w:tcPr>
            <w:tcW w:w="547" w:type="pct"/>
            <w:tcBorders>
              <w:top w:val="nil"/>
              <w:left w:val="nil"/>
              <w:bottom w:val="single" w:sz="4" w:space="0" w:color="auto"/>
              <w:right w:val="single" w:sz="4" w:space="0" w:color="auto"/>
            </w:tcBorders>
            <w:shd w:val="clear" w:color="auto" w:fill="auto"/>
            <w:noWrap/>
            <w:vAlign w:val="center"/>
            <w:hideMark/>
          </w:tcPr>
          <w:p w14:paraId="1B90AFE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84131110</w:t>
            </w:r>
          </w:p>
        </w:tc>
        <w:tc>
          <w:tcPr>
            <w:tcW w:w="3360" w:type="pct"/>
            <w:tcBorders>
              <w:top w:val="nil"/>
              <w:left w:val="nil"/>
              <w:bottom w:val="single" w:sz="4" w:space="0" w:color="auto"/>
              <w:right w:val="single" w:sz="4" w:space="0" w:color="auto"/>
            </w:tcBorders>
            <w:shd w:val="clear" w:color="auto" w:fill="auto"/>
            <w:vAlign w:val="center"/>
            <w:hideMark/>
          </w:tcPr>
          <w:p w14:paraId="18B9C00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SKUPNA OBČINSKA UPRAVA OBČIN V SPODNJEM PODRAVJU</w:t>
            </w:r>
          </w:p>
        </w:tc>
      </w:tr>
      <w:tr w:rsidR="00E3750C" w:rsidRPr="00415AB3" w14:paraId="228081D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027CEB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1727</w:t>
            </w:r>
          </w:p>
        </w:tc>
        <w:tc>
          <w:tcPr>
            <w:tcW w:w="705" w:type="pct"/>
            <w:tcBorders>
              <w:top w:val="nil"/>
              <w:left w:val="nil"/>
              <w:bottom w:val="single" w:sz="4" w:space="0" w:color="auto"/>
              <w:right w:val="single" w:sz="4" w:space="0" w:color="auto"/>
            </w:tcBorders>
            <w:shd w:val="clear" w:color="auto" w:fill="auto"/>
            <w:noWrap/>
            <w:vAlign w:val="center"/>
            <w:hideMark/>
          </w:tcPr>
          <w:p w14:paraId="0231DBE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5828821000</w:t>
            </w:r>
          </w:p>
        </w:tc>
        <w:tc>
          <w:tcPr>
            <w:tcW w:w="547" w:type="pct"/>
            <w:tcBorders>
              <w:top w:val="nil"/>
              <w:left w:val="nil"/>
              <w:bottom w:val="single" w:sz="4" w:space="0" w:color="auto"/>
              <w:right w:val="single" w:sz="4" w:space="0" w:color="auto"/>
            </w:tcBorders>
            <w:shd w:val="clear" w:color="auto" w:fill="auto"/>
            <w:noWrap/>
            <w:vAlign w:val="center"/>
            <w:hideMark/>
          </w:tcPr>
          <w:p w14:paraId="4DCD36A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12655368</w:t>
            </w:r>
          </w:p>
        </w:tc>
        <w:tc>
          <w:tcPr>
            <w:tcW w:w="3360" w:type="pct"/>
            <w:tcBorders>
              <w:top w:val="nil"/>
              <w:left w:val="nil"/>
              <w:bottom w:val="single" w:sz="4" w:space="0" w:color="auto"/>
              <w:right w:val="single" w:sz="4" w:space="0" w:color="auto"/>
            </w:tcBorders>
            <w:shd w:val="clear" w:color="auto" w:fill="auto"/>
            <w:vAlign w:val="center"/>
            <w:hideMark/>
          </w:tcPr>
          <w:p w14:paraId="54B7994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SKUPNOST OBČIN SLOVENIJE</w:t>
            </w:r>
          </w:p>
        </w:tc>
      </w:tr>
      <w:tr w:rsidR="00E3750C" w:rsidRPr="00415AB3" w14:paraId="5884062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701629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1728</w:t>
            </w:r>
          </w:p>
        </w:tc>
        <w:tc>
          <w:tcPr>
            <w:tcW w:w="705" w:type="pct"/>
            <w:tcBorders>
              <w:top w:val="nil"/>
              <w:left w:val="nil"/>
              <w:bottom w:val="single" w:sz="4" w:space="0" w:color="auto"/>
              <w:right w:val="single" w:sz="4" w:space="0" w:color="auto"/>
            </w:tcBorders>
            <w:shd w:val="clear" w:color="auto" w:fill="auto"/>
            <w:noWrap/>
            <w:vAlign w:val="center"/>
            <w:hideMark/>
          </w:tcPr>
          <w:p w14:paraId="4B309DD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1244442000</w:t>
            </w:r>
          </w:p>
        </w:tc>
        <w:tc>
          <w:tcPr>
            <w:tcW w:w="547" w:type="pct"/>
            <w:tcBorders>
              <w:top w:val="nil"/>
              <w:left w:val="nil"/>
              <w:bottom w:val="single" w:sz="4" w:space="0" w:color="auto"/>
              <w:right w:val="single" w:sz="4" w:space="0" w:color="auto"/>
            </w:tcBorders>
            <w:shd w:val="clear" w:color="auto" w:fill="auto"/>
            <w:noWrap/>
            <w:vAlign w:val="center"/>
            <w:hideMark/>
          </w:tcPr>
          <w:p w14:paraId="232315A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23247029</w:t>
            </w:r>
          </w:p>
        </w:tc>
        <w:tc>
          <w:tcPr>
            <w:tcW w:w="3360" w:type="pct"/>
            <w:tcBorders>
              <w:top w:val="nil"/>
              <w:left w:val="nil"/>
              <w:bottom w:val="single" w:sz="4" w:space="0" w:color="auto"/>
              <w:right w:val="single" w:sz="4" w:space="0" w:color="auto"/>
            </w:tcBorders>
            <w:shd w:val="clear" w:color="auto" w:fill="auto"/>
            <w:vAlign w:val="center"/>
            <w:hideMark/>
          </w:tcPr>
          <w:p w14:paraId="14032A8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SKUPNOST SOCIALNIH ZAVODOV SLOVENIJE</w:t>
            </w:r>
          </w:p>
        </w:tc>
      </w:tr>
      <w:tr w:rsidR="00E3750C" w:rsidRPr="00415AB3" w14:paraId="30B2AA66"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BEC5F4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1729</w:t>
            </w:r>
          </w:p>
        </w:tc>
        <w:tc>
          <w:tcPr>
            <w:tcW w:w="705" w:type="pct"/>
            <w:tcBorders>
              <w:top w:val="nil"/>
              <w:left w:val="nil"/>
              <w:bottom w:val="single" w:sz="4" w:space="0" w:color="auto"/>
              <w:right w:val="single" w:sz="4" w:space="0" w:color="auto"/>
            </w:tcBorders>
            <w:shd w:val="clear" w:color="auto" w:fill="auto"/>
            <w:noWrap/>
            <w:vAlign w:val="center"/>
            <w:hideMark/>
          </w:tcPr>
          <w:p w14:paraId="16101C9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5683122000</w:t>
            </w:r>
          </w:p>
        </w:tc>
        <w:tc>
          <w:tcPr>
            <w:tcW w:w="547" w:type="pct"/>
            <w:tcBorders>
              <w:top w:val="nil"/>
              <w:left w:val="nil"/>
              <w:bottom w:val="single" w:sz="4" w:space="0" w:color="auto"/>
              <w:right w:val="single" w:sz="4" w:space="0" w:color="auto"/>
            </w:tcBorders>
            <w:shd w:val="clear" w:color="auto" w:fill="auto"/>
            <w:noWrap/>
            <w:vAlign w:val="center"/>
            <w:hideMark/>
          </w:tcPr>
          <w:p w14:paraId="0325484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43103375</w:t>
            </w:r>
          </w:p>
        </w:tc>
        <w:tc>
          <w:tcPr>
            <w:tcW w:w="3360" w:type="pct"/>
            <w:tcBorders>
              <w:top w:val="nil"/>
              <w:left w:val="nil"/>
              <w:bottom w:val="single" w:sz="4" w:space="0" w:color="auto"/>
              <w:right w:val="single" w:sz="4" w:space="0" w:color="auto"/>
            </w:tcBorders>
            <w:shd w:val="clear" w:color="auto" w:fill="auto"/>
            <w:vAlign w:val="center"/>
            <w:hideMark/>
          </w:tcPr>
          <w:p w14:paraId="4852EF4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SKUPNOST ZAVODOV OSNOVNE ZDRAVSTVENE DEJAVNOSTI CELJSKE REGIJE</w:t>
            </w:r>
          </w:p>
        </w:tc>
      </w:tr>
      <w:tr w:rsidR="00E3750C" w:rsidRPr="00415AB3" w14:paraId="1732F32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13FE49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1730</w:t>
            </w:r>
          </w:p>
        </w:tc>
        <w:tc>
          <w:tcPr>
            <w:tcW w:w="705" w:type="pct"/>
            <w:tcBorders>
              <w:top w:val="nil"/>
              <w:left w:val="nil"/>
              <w:bottom w:val="single" w:sz="4" w:space="0" w:color="auto"/>
              <w:right w:val="single" w:sz="4" w:space="0" w:color="auto"/>
            </w:tcBorders>
            <w:shd w:val="clear" w:color="auto" w:fill="auto"/>
            <w:noWrap/>
            <w:vAlign w:val="center"/>
            <w:hideMark/>
          </w:tcPr>
          <w:p w14:paraId="1B31776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5051444000</w:t>
            </w:r>
          </w:p>
        </w:tc>
        <w:tc>
          <w:tcPr>
            <w:tcW w:w="547" w:type="pct"/>
            <w:tcBorders>
              <w:top w:val="nil"/>
              <w:left w:val="nil"/>
              <w:bottom w:val="single" w:sz="4" w:space="0" w:color="auto"/>
              <w:right w:val="single" w:sz="4" w:space="0" w:color="auto"/>
            </w:tcBorders>
            <w:shd w:val="clear" w:color="auto" w:fill="auto"/>
            <w:noWrap/>
            <w:vAlign w:val="center"/>
            <w:hideMark/>
          </w:tcPr>
          <w:p w14:paraId="53BDAE1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54785758</w:t>
            </w:r>
          </w:p>
        </w:tc>
        <w:tc>
          <w:tcPr>
            <w:tcW w:w="3360" w:type="pct"/>
            <w:tcBorders>
              <w:top w:val="nil"/>
              <w:left w:val="nil"/>
              <w:bottom w:val="single" w:sz="4" w:space="0" w:color="auto"/>
              <w:right w:val="single" w:sz="4" w:space="0" w:color="auto"/>
            </w:tcBorders>
            <w:shd w:val="clear" w:color="auto" w:fill="auto"/>
            <w:vAlign w:val="center"/>
            <w:hideMark/>
          </w:tcPr>
          <w:p w14:paraId="2ECD5B4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SLOVENSKA AKADEMIJA ZNANOSTI IN UMETNOSTI</w:t>
            </w:r>
          </w:p>
        </w:tc>
      </w:tr>
      <w:tr w:rsidR="00E3750C" w:rsidRPr="00415AB3" w14:paraId="3960DE9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8A7FD6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1731</w:t>
            </w:r>
          </w:p>
        </w:tc>
        <w:tc>
          <w:tcPr>
            <w:tcW w:w="705" w:type="pct"/>
            <w:tcBorders>
              <w:top w:val="nil"/>
              <w:left w:val="nil"/>
              <w:bottom w:val="single" w:sz="4" w:space="0" w:color="auto"/>
              <w:right w:val="single" w:sz="4" w:space="0" w:color="auto"/>
            </w:tcBorders>
            <w:shd w:val="clear" w:color="auto" w:fill="auto"/>
            <w:noWrap/>
            <w:vAlign w:val="center"/>
            <w:hideMark/>
          </w:tcPr>
          <w:p w14:paraId="7FB071F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1555669000</w:t>
            </w:r>
          </w:p>
        </w:tc>
        <w:tc>
          <w:tcPr>
            <w:tcW w:w="547" w:type="pct"/>
            <w:tcBorders>
              <w:top w:val="nil"/>
              <w:left w:val="nil"/>
              <w:bottom w:val="single" w:sz="4" w:space="0" w:color="auto"/>
              <w:right w:val="single" w:sz="4" w:space="0" w:color="auto"/>
            </w:tcBorders>
            <w:shd w:val="clear" w:color="auto" w:fill="auto"/>
            <w:noWrap/>
            <w:vAlign w:val="center"/>
            <w:hideMark/>
          </w:tcPr>
          <w:p w14:paraId="2F11EB8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97967602</w:t>
            </w:r>
          </w:p>
        </w:tc>
        <w:tc>
          <w:tcPr>
            <w:tcW w:w="3360" w:type="pct"/>
            <w:tcBorders>
              <w:top w:val="nil"/>
              <w:left w:val="nil"/>
              <w:bottom w:val="single" w:sz="4" w:space="0" w:color="auto"/>
              <w:right w:val="single" w:sz="4" w:space="0" w:color="auto"/>
            </w:tcBorders>
            <w:shd w:val="clear" w:color="auto" w:fill="auto"/>
            <w:vAlign w:val="center"/>
            <w:hideMark/>
          </w:tcPr>
          <w:p w14:paraId="5D84594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SLOVENSKA AKREDITACIJA</w:t>
            </w:r>
          </w:p>
        </w:tc>
      </w:tr>
      <w:tr w:rsidR="00E3750C" w:rsidRPr="00415AB3" w14:paraId="02B0929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44827B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1732</w:t>
            </w:r>
          </w:p>
        </w:tc>
        <w:tc>
          <w:tcPr>
            <w:tcW w:w="705" w:type="pct"/>
            <w:tcBorders>
              <w:top w:val="nil"/>
              <w:left w:val="nil"/>
              <w:bottom w:val="single" w:sz="4" w:space="0" w:color="auto"/>
              <w:right w:val="single" w:sz="4" w:space="0" w:color="auto"/>
            </w:tcBorders>
            <w:shd w:val="clear" w:color="auto" w:fill="auto"/>
            <w:noWrap/>
            <w:vAlign w:val="center"/>
            <w:hideMark/>
          </w:tcPr>
          <w:p w14:paraId="6F29522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5053242000</w:t>
            </w:r>
          </w:p>
        </w:tc>
        <w:tc>
          <w:tcPr>
            <w:tcW w:w="547" w:type="pct"/>
            <w:tcBorders>
              <w:top w:val="nil"/>
              <w:left w:val="nil"/>
              <w:bottom w:val="single" w:sz="4" w:space="0" w:color="auto"/>
              <w:right w:val="single" w:sz="4" w:space="0" w:color="auto"/>
            </w:tcBorders>
            <w:shd w:val="clear" w:color="auto" w:fill="auto"/>
            <w:noWrap/>
            <w:vAlign w:val="center"/>
            <w:hideMark/>
          </w:tcPr>
          <w:p w14:paraId="1F42845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85684198</w:t>
            </w:r>
          </w:p>
        </w:tc>
        <w:tc>
          <w:tcPr>
            <w:tcW w:w="3360" w:type="pct"/>
            <w:tcBorders>
              <w:top w:val="nil"/>
              <w:left w:val="nil"/>
              <w:bottom w:val="single" w:sz="4" w:space="0" w:color="auto"/>
              <w:right w:val="single" w:sz="4" w:space="0" w:color="auto"/>
            </w:tcBorders>
            <w:shd w:val="clear" w:color="auto" w:fill="auto"/>
            <w:vAlign w:val="center"/>
            <w:hideMark/>
          </w:tcPr>
          <w:p w14:paraId="55DC623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SLOVENSKA FILHARMONIJA</w:t>
            </w:r>
          </w:p>
        </w:tc>
      </w:tr>
      <w:tr w:rsidR="00E3750C" w:rsidRPr="00415AB3" w14:paraId="1C20CCF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AF3ECE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1733</w:t>
            </w:r>
          </w:p>
        </w:tc>
        <w:tc>
          <w:tcPr>
            <w:tcW w:w="705" w:type="pct"/>
            <w:tcBorders>
              <w:top w:val="nil"/>
              <w:left w:val="nil"/>
              <w:bottom w:val="single" w:sz="4" w:space="0" w:color="auto"/>
              <w:right w:val="single" w:sz="4" w:space="0" w:color="auto"/>
            </w:tcBorders>
            <w:shd w:val="clear" w:color="auto" w:fill="auto"/>
            <w:noWrap/>
            <w:vAlign w:val="center"/>
            <w:hideMark/>
          </w:tcPr>
          <w:p w14:paraId="0AD3B85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5971683000</w:t>
            </w:r>
          </w:p>
        </w:tc>
        <w:tc>
          <w:tcPr>
            <w:tcW w:w="547" w:type="pct"/>
            <w:tcBorders>
              <w:top w:val="nil"/>
              <w:left w:val="nil"/>
              <w:bottom w:val="single" w:sz="4" w:space="0" w:color="auto"/>
              <w:right w:val="single" w:sz="4" w:space="0" w:color="auto"/>
            </w:tcBorders>
            <w:shd w:val="clear" w:color="auto" w:fill="auto"/>
            <w:noWrap/>
            <w:vAlign w:val="center"/>
            <w:hideMark/>
          </w:tcPr>
          <w:p w14:paraId="7754372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45044309</w:t>
            </w:r>
          </w:p>
        </w:tc>
        <w:tc>
          <w:tcPr>
            <w:tcW w:w="3360" w:type="pct"/>
            <w:tcBorders>
              <w:top w:val="nil"/>
              <w:left w:val="nil"/>
              <w:bottom w:val="single" w:sz="4" w:space="0" w:color="auto"/>
              <w:right w:val="single" w:sz="4" w:space="0" w:color="auto"/>
            </w:tcBorders>
            <w:shd w:val="clear" w:color="auto" w:fill="auto"/>
            <w:vAlign w:val="center"/>
            <w:hideMark/>
          </w:tcPr>
          <w:p w14:paraId="74D4A09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SLOVENSKA KINOTEKA</w:t>
            </w:r>
          </w:p>
        </w:tc>
      </w:tr>
      <w:tr w:rsidR="00E3750C" w:rsidRPr="00415AB3" w14:paraId="5AC60E1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163138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1734</w:t>
            </w:r>
          </w:p>
        </w:tc>
        <w:tc>
          <w:tcPr>
            <w:tcW w:w="705" w:type="pct"/>
            <w:tcBorders>
              <w:top w:val="nil"/>
              <w:left w:val="nil"/>
              <w:bottom w:val="single" w:sz="4" w:space="0" w:color="auto"/>
              <w:right w:val="single" w:sz="4" w:space="0" w:color="auto"/>
            </w:tcBorders>
            <w:shd w:val="clear" w:color="auto" w:fill="auto"/>
            <w:noWrap/>
            <w:vAlign w:val="center"/>
            <w:hideMark/>
          </w:tcPr>
          <w:p w14:paraId="40F174B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5488745000</w:t>
            </w:r>
          </w:p>
        </w:tc>
        <w:tc>
          <w:tcPr>
            <w:tcW w:w="547" w:type="pct"/>
            <w:tcBorders>
              <w:top w:val="nil"/>
              <w:left w:val="nil"/>
              <w:bottom w:val="single" w:sz="4" w:space="0" w:color="auto"/>
              <w:right w:val="single" w:sz="4" w:space="0" w:color="auto"/>
            </w:tcBorders>
            <w:shd w:val="clear" w:color="auto" w:fill="auto"/>
            <w:noWrap/>
            <w:vAlign w:val="center"/>
            <w:hideMark/>
          </w:tcPr>
          <w:p w14:paraId="0A186E2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73929948</w:t>
            </w:r>
          </w:p>
        </w:tc>
        <w:tc>
          <w:tcPr>
            <w:tcW w:w="3360" w:type="pct"/>
            <w:tcBorders>
              <w:top w:val="nil"/>
              <w:left w:val="nil"/>
              <w:bottom w:val="single" w:sz="4" w:space="0" w:color="auto"/>
              <w:right w:val="single" w:sz="4" w:space="0" w:color="auto"/>
            </w:tcBorders>
            <w:shd w:val="clear" w:color="auto" w:fill="auto"/>
            <w:vAlign w:val="center"/>
            <w:hideMark/>
          </w:tcPr>
          <w:p w14:paraId="66475CF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SLOVENSKA TISKOVNA AGENCIJA D.O.O., LJUBLJANA</w:t>
            </w:r>
          </w:p>
        </w:tc>
      </w:tr>
      <w:tr w:rsidR="00E3750C" w:rsidRPr="00415AB3" w14:paraId="794C2F58" w14:textId="77777777" w:rsidTr="00047864">
        <w:trPr>
          <w:trHeight w:val="9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B16DE6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1735</w:t>
            </w:r>
          </w:p>
        </w:tc>
        <w:tc>
          <w:tcPr>
            <w:tcW w:w="705" w:type="pct"/>
            <w:tcBorders>
              <w:top w:val="nil"/>
              <w:left w:val="nil"/>
              <w:bottom w:val="single" w:sz="4" w:space="0" w:color="auto"/>
              <w:right w:val="single" w:sz="4" w:space="0" w:color="auto"/>
            </w:tcBorders>
            <w:shd w:val="clear" w:color="auto" w:fill="auto"/>
            <w:noWrap/>
            <w:vAlign w:val="center"/>
            <w:hideMark/>
          </w:tcPr>
          <w:p w14:paraId="375EAD5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6017177000</w:t>
            </w:r>
          </w:p>
        </w:tc>
        <w:tc>
          <w:tcPr>
            <w:tcW w:w="547" w:type="pct"/>
            <w:tcBorders>
              <w:top w:val="nil"/>
              <w:left w:val="nil"/>
              <w:bottom w:val="single" w:sz="4" w:space="0" w:color="auto"/>
              <w:right w:val="single" w:sz="4" w:space="0" w:color="auto"/>
            </w:tcBorders>
            <w:shd w:val="clear" w:color="auto" w:fill="auto"/>
            <w:noWrap/>
            <w:vAlign w:val="center"/>
            <w:hideMark/>
          </w:tcPr>
          <w:p w14:paraId="462BFA8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94995737</w:t>
            </w:r>
          </w:p>
        </w:tc>
        <w:tc>
          <w:tcPr>
            <w:tcW w:w="3360" w:type="pct"/>
            <w:tcBorders>
              <w:top w:val="nil"/>
              <w:left w:val="nil"/>
              <w:bottom w:val="single" w:sz="4" w:space="0" w:color="auto"/>
              <w:right w:val="single" w:sz="4" w:space="0" w:color="auto"/>
            </w:tcBorders>
            <w:shd w:val="clear" w:color="auto" w:fill="auto"/>
            <w:vAlign w:val="center"/>
            <w:hideMark/>
          </w:tcPr>
          <w:p w14:paraId="203701C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SLOVENSKE ŽELEZNICE - INFRASTRUKTURA, DRUŽBA ZA UPRAVLJANJE IN VZDRŽEVANJE ŽELEZNIŠKE INFRASTRUKTURE TER VODENJE ŽELEZNIŠKEGA PROMETA, D.O.O.</w:t>
            </w:r>
          </w:p>
        </w:tc>
      </w:tr>
      <w:tr w:rsidR="00E3750C" w:rsidRPr="00415AB3" w14:paraId="009115A9" w14:textId="77777777" w:rsidTr="00047864">
        <w:trPr>
          <w:trHeight w:val="9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AC12D1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1736</w:t>
            </w:r>
          </w:p>
        </w:tc>
        <w:tc>
          <w:tcPr>
            <w:tcW w:w="705" w:type="pct"/>
            <w:tcBorders>
              <w:top w:val="nil"/>
              <w:left w:val="nil"/>
              <w:bottom w:val="single" w:sz="4" w:space="0" w:color="auto"/>
              <w:right w:val="single" w:sz="4" w:space="0" w:color="auto"/>
            </w:tcBorders>
            <w:shd w:val="clear" w:color="auto" w:fill="auto"/>
            <w:noWrap/>
            <w:vAlign w:val="center"/>
            <w:hideMark/>
          </w:tcPr>
          <w:p w14:paraId="5FEAC6C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6017274000</w:t>
            </w:r>
          </w:p>
        </w:tc>
        <w:tc>
          <w:tcPr>
            <w:tcW w:w="547" w:type="pct"/>
            <w:tcBorders>
              <w:top w:val="nil"/>
              <w:left w:val="nil"/>
              <w:bottom w:val="single" w:sz="4" w:space="0" w:color="auto"/>
              <w:right w:val="single" w:sz="4" w:space="0" w:color="auto"/>
            </w:tcBorders>
            <w:shd w:val="clear" w:color="auto" w:fill="auto"/>
            <w:noWrap/>
            <w:vAlign w:val="center"/>
            <w:hideMark/>
          </w:tcPr>
          <w:p w14:paraId="4CD9C0C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89393686</w:t>
            </w:r>
          </w:p>
        </w:tc>
        <w:tc>
          <w:tcPr>
            <w:tcW w:w="3360" w:type="pct"/>
            <w:tcBorders>
              <w:top w:val="nil"/>
              <w:left w:val="nil"/>
              <w:bottom w:val="single" w:sz="4" w:space="0" w:color="auto"/>
              <w:right w:val="single" w:sz="4" w:space="0" w:color="auto"/>
            </w:tcBorders>
            <w:shd w:val="clear" w:color="auto" w:fill="auto"/>
            <w:vAlign w:val="center"/>
            <w:hideMark/>
          </w:tcPr>
          <w:p w14:paraId="58C45F8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SLOVENSKE ŽELEZNICE - POTNIŠKI PROMET, DRUŽBA ZA OPRAVLJANJE PREVOZA POTNIKOV V NOTRANJEM IN MEDNARODNEM ŽELEZNIŠKEM PROMETU, D.O.O.</w:t>
            </w:r>
          </w:p>
        </w:tc>
      </w:tr>
      <w:tr w:rsidR="00E3750C" w:rsidRPr="00415AB3" w14:paraId="4F1E9742" w14:textId="77777777" w:rsidTr="00047864">
        <w:trPr>
          <w:trHeight w:val="9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8F8AB8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1737</w:t>
            </w:r>
          </w:p>
        </w:tc>
        <w:tc>
          <w:tcPr>
            <w:tcW w:w="705" w:type="pct"/>
            <w:tcBorders>
              <w:top w:val="nil"/>
              <w:left w:val="nil"/>
              <w:bottom w:val="single" w:sz="4" w:space="0" w:color="auto"/>
              <w:right w:val="single" w:sz="4" w:space="0" w:color="auto"/>
            </w:tcBorders>
            <w:shd w:val="clear" w:color="auto" w:fill="auto"/>
            <w:noWrap/>
            <w:vAlign w:val="center"/>
            <w:hideMark/>
          </w:tcPr>
          <w:p w14:paraId="56D9C15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6017231000</w:t>
            </w:r>
          </w:p>
        </w:tc>
        <w:tc>
          <w:tcPr>
            <w:tcW w:w="547" w:type="pct"/>
            <w:tcBorders>
              <w:top w:val="nil"/>
              <w:left w:val="nil"/>
              <w:bottom w:val="single" w:sz="4" w:space="0" w:color="auto"/>
              <w:right w:val="single" w:sz="4" w:space="0" w:color="auto"/>
            </w:tcBorders>
            <w:shd w:val="clear" w:color="auto" w:fill="auto"/>
            <w:noWrap/>
            <w:vAlign w:val="center"/>
            <w:hideMark/>
          </w:tcPr>
          <w:p w14:paraId="7ADB4E1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84667044</w:t>
            </w:r>
          </w:p>
        </w:tc>
        <w:tc>
          <w:tcPr>
            <w:tcW w:w="3360" w:type="pct"/>
            <w:tcBorders>
              <w:top w:val="nil"/>
              <w:left w:val="nil"/>
              <w:bottom w:val="single" w:sz="4" w:space="0" w:color="auto"/>
              <w:right w:val="single" w:sz="4" w:space="0" w:color="auto"/>
            </w:tcBorders>
            <w:shd w:val="clear" w:color="auto" w:fill="auto"/>
            <w:vAlign w:val="center"/>
            <w:hideMark/>
          </w:tcPr>
          <w:p w14:paraId="4A4EE11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SLOVENSKE ŽELEZNICE - TOVORNI PROMET, DRUŽBA ZA OPRAVLJANJE PREVOZA BLAGA V NOTRANJEM IN MEDNARODNEM ŽELEZNIŠKEM PROMETU, D.O.O.</w:t>
            </w:r>
          </w:p>
        </w:tc>
      </w:tr>
      <w:tr w:rsidR="00E3750C" w:rsidRPr="00415AB3" w14:paraId="5246B6E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39D9FA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1738</w:t>
            </w:r>
          </w:p>
        </w:tc>
        <w:tc>
          <w:tcPr>
            <w:tcW w:w="705" w:type="pct"/>
            <w:tcBorders>
              <w:top w:val="nil"/>
              <w:left w:val="nil"/>
              <w:bottom w:val="single" w:sz="4" w:space="0" w:color="auto"/>
              <w:right w:val="single" w:sz="4" w:space="0" w:color="auto"/>
            </w:tcBorders>
            <w:shd w:val="clear" w:color="auto" w:fill="auto"/>
            <w:noWrap/>
            <w:vAlign w:val="center"/>
            <w:hideMark/>
          </w:tcPr>
          <w:p w14:paraId="3101EFD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5142733000</w:t>
            </w:r>
          </w:p>
        </w:tc>
        <w:tc>
          <w:tcPr>
            <w:tcW w:w="547" w:type="pct"/>
            <w:tcBorders>
              <w:top w:val="nil"/>
              <w:left w:val="nil"/>
              <w:bottom w:val="single" w:sz="4" w:space="0" w:color="auto"/>
              <w:right w:val="single" w:sz="4" w:space="0" w:color="auto"/>
            </w:tcBorders>
            <w:shd w:val="clear" w:color="auto" w:fill="auto"/>
            <w:noWrap/>
            <w:vAlign w:val="center"/>
            <w:hideMark/>
          </w:tcPr>
          <w:p w14:paraId="325A7A0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18190995</w:t>
            </w:r>
          </w:p>
        </w:tc>
        <w:tc>
          <w:tcPr>
            <w:tcW w:w="3360" w:type="pct"/>
            <w:tcBorders>
              <w:top w:val="nil"/>
              <w:left w:val="nil"/>
              <w:bottom w:val="single" w:sz="4" w:space="0" w:color="auto"/>
              <w:right w:val="single" w:sz="4" w:space="0" w:color="auto"/>
            </w:tcBorders>
            <w:shd w:val="clear" w:color="auto" w:fill="auto"/>
            <w:vAlign w:val="center"/>
            <w:hideMark/>
          </w:tcPr>
          <w:p w14:paraId="5408022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SLOVENSKE ŽELEZNICE, D.O.O.</w:t>
            </w:r>
          </w:p>
        </w:tc>
      </w:tr>
      <w:tr w:rsidR="00E3750C" w:rsidRPr="00415AB3" w14:paraId="5AAAB9F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DE3B2F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1739</w:t>
            </w:r>
          </w:p>
        </w:tc>
        <w:tc>
          <w:tcPr>
            <w:tcW w:w="705" w:type="pct"/>
            <w:tcBorders>
              <w:top w:val="nil"/>
              <w:left w:val="nil"/>
              <w:bottom w:val="single" w:sz="4" w:space="0" w:color="auto"/>
              <w:right w:val="single" w:sz="4" w:space="0" w:color="auto"/>
            </w:tcBorders>
            <w:shd w:val="clear" w:color="auto" w:fill="auto"/>
            <w:noWrap/>
            <w:vAlign w:val="center"/>
            <w:hideMark/>
          </w:tcPr>
          <w:p w14:paraId="235612B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7035845000</w:t>
            </w:r>
          </w:p>
        </w:tc>
        <w:tc>
          <w:tcPr>
            <w:tcW w:w="547" w:type="pct"/>
            <w:tcBorders>
              <w:top w:val="nil"/>
              <w:left w:val="nil"/>
              <w:bottom w:val="single" w:sz="4" w:space="0" w:color="auto"/>
              <w:right w:val="single" w:sz="4" w:space="0" w:color="auto"/>
            </w:tcBorders>
            <w:shd w:val="clear" w:color="auto" w:fill="auto"/>
            <w:noWrap/>
            <w:vAlign w:val="center"/>
            <w:hideMark/>
          </w:tcPr>
          <w:p w14:paraId="3818AD8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75204878</w:t>
            </w:r>
          </w:p>
        </w:tc>
        <w:tc>
          <w:tcPr>
            <w:tcW w:w="3360" w:type="pct"/>
            <w:tcBorders>
              <w:top w:val="nil"/>
              <w:left w:val="nil"/>
              <w:bottom w:val="single" w:sz="4" w:space="0" w:color="auto"/>
              <w:right w:val="single" w:sz="4" w:space="0" w:color="auto"/>
            </w:tcBorders>
            <w:shd w:val="clear" w:color="auto" w:fill="auto"/>
            <w:vAlign w:val="center"/>
            <w:hideMark/>
          </w:tcPr>
          <w:p w14:paraId="25C6E77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SLOVENSKI DRŽAVNI GOZDOVI, D. O. O.</w:t>
            </w:r>
          </w:p>
        </w:tc>
      </w:tr>
      <w:tr w:rsidR="00E3750C" w:rsidRPr="00415AB3" w14:paraId="5AD925D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2ADFF1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1740</w:t>
            </w:r>
          </w:p>
        </w:tc>
        <w:tc>
          <w:tcPr>
            <w:tcW w:w="705" w:type="pct"/>
            <w:tcBorders>
              <w:top w:val="nil"/>
              <w:left w:val="nil"/>
              <w:bottom w:val="single" w:sz="4" w:space="0" w:color="auto"/>
              <w:right w:val="single" w:sz="4" w:space="0" w:color="auto"/>
            </w:tcBorders>
            <w:shd w:val="clear" w:color="auto" w:fill="auto"/>
            <w:noWrap/>
            <w:vAlign w:val="center"/>
            <w:hideMark/>
          </w:tcPr>
          <w:p w14:paraId="4821046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5727847000</w:t>
            </w:r>
          </w:p>
        </w:tc>
        <w:tc>
          <w:tcPr>
            <w:tcW w:w="547" w:type="pct"/>
            <w:tcBorders>
              <w:top w:val="nil"/>
              <w:left w:val="nil"/>
              <w:bottom w:val="single" w:sz="4" w:space="0" w:color="auto"/>
              <w:right w:val="single" w:sz="4" w:space="0" w:color="auto"/>
            </w:tcBorders>
            <w:shd w:val="clear" w:color="auto" w:fill="auto"/>
            <w:noWrap/>
            <w:vAlign w:val="center"/>
            <w:hideMark/>
          </w:tcPr>
          <w:p w14:paraId="35B3C45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46130373</w:t>
            </w:r>
          </w:p>
        </w:tc>
        <w:tc>
          <w:tcPr>
            <w:tcW w:w="3360" w:type="pct"/>
            <w:tcBorders>
              <w:top w:val="nil"/>
              <w:left w:val="nil"/>
              <w:bottom w:val="single" w:sz="4" w:space="0" w:color="auto"/>
              <w:right w:val="single" w:sz="4" w:space="0" w:color="auto"/>
            </w:tcBorders>
            <w:shd w:val="clear" w:color="auto" w:fill="auto"/>
            <w:vAlign w:val="center"/>
            <w:hideMark/>
          </w:tcPr>
          <w:p w14:paraId="4C7FB89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SLOVENSKI DRŽAVNI HOLDING, D.D.</w:t>
            </w:r>
          </w:p>
        </w:tc>
      </w:tr>
      <w:tr w:rsidR="00E3750C" w:rsidRPr="00415AB3" w14:paraId="10FDAED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78C75C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1741</w:t>
            </w:r>
          </w:p>
        </w:tc>
        <w:tc>
          <w:tcPr>
            <w:tcW w:w="705" w:type="pct"/>
            <w:tcBorders>
              <w:top w:val="nil"/>
              <w:left w:val="nil"/>
              <w:bottom w:val="single" w:sz="4" w:space="0" w:color="auto"/>
              <w:right w:val="single" w:sz="4" w:space="0" w:color="auto"/>
            </w:tcBorders>
            <w:shd w:val="clear" w:color="auto" w:fill="auto"/>
            <w:noWrap/>
            <w:vAlign w:val="center"/>
            <w:hideMark/>
          </w:tcPr>
          <w:p w14:paraId="4290202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5052653000</w:t>
            </w:r>
          </w:p>
        </w:tc>
        <w:tc>
          <w:tcPr>
            <w:tcW w:w="547" w:type="pct"/>
            <w:tcBorders>
              <w:top w:val="nil"/>
              <w:left w:val="nil"/>
              <w:bottom w:val="single" w:sz="4" w:space="0" w:color="auto"/>
              <w:right w:val="single" w:sz="4" w:space="0" w:color="auto"/>
            </w:tcBorders>
            <w:shd w:val="clear" w:color="auto" w:fill="auto"/>
            <w:noWrap/>
            <w:vAlign w:val="center"/>
            <w:hideMark/>
          </w:tcPr>
          <w:p w14:paraId="2E2D3F9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99955407</w:t>
            </w:r>
          </w:p>
        </w:tc>
        <w:tc>
          <w:tcPr>
            <w:tcW w:w="3360" w:type="pct"/>
            <w:tcBorders>
              <w:top w:val="nil"/>
              <w:left w:val="nil"/>
              <w:bottom w:val="single" w:sz="4" w:space="0" w:color="auto"/>
              <w:right w:val="single" w:sz="4" w:space="0" w:color="auto"/>
            </w:tcBorders>
            <w:shd w:val="clear" w:color="auto" w:fill="auto"/>
            <w:vAlign w:val="center"/>
            <w:hideMark/>
          </w:tcPr>
          <w:p w14:paraId="18EE81F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SLOVENSKI ETNOGRAFSKI MUZEJ</w:t>
            </w:r>
          </w:p>
        </w:tc>
      </w:tr>
      <w:tr w:rsidR="00E3750C" w:rsidRPr="00415AB3" w14:paraId="7616530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F291F1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1742</w:t>
            </w:r>
          </w:p>
        </w:tc>
        <w:tc>
          <w:tcPr>
            <w:tcW w:w="705" w:type="pct"/>
            <w:tcBorders>
              <w:top w:val="nil"/>
              <w:left w:val="nil"/>
              <w:bottom w:val="single" w:sz="4" w:space="0" w:color="auto"/>
              <w:right w:val="single" w:sz="4" w:space="0" w:color="auto"/>
            </w:tcBorders>
            <w:shd w:val="clear" w:color="auto" w:fill="auto"/>
            <w:noWrap/>
            <w:vAlign w:val="center"/>
            <w:hideMark/>
          </w:tcPr>
          <w:p w14:paraId="179B471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5985854000</w:t>
            </w:r>
          </w:p>
        </w:tc>
        <w:tc>
          <w:tcPr>
            <w:tcW w:w="547" w:type="pct"/>
            <w:tcBorders>
              <w:top w:val="nil"/>
              <w:left w:val="nil"/>
              <w:bottom w:val="single" w:sz="4" w:space="0" w:color="auto"/>
              <w:right w:val="single" w:sz="4" w:space="0" w:color="auto"/>
            </w:tcBorders>
            <w:shd w:val="clear" w:color="auto" w:fill="auto"/>
            <w:noWrap/>
            <w:vAlign w:val="center"/>
            <w:hideMark/>
          </w:tcPr>
          <w:p w14:paraId="3B02458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52285944</w:t>
            </w:r>
          </w:p>
        </w:tc>
        <w:tc>
          <w:tcPr>
            <w:tcW w:w="3360" w:type="pct"/>
            <w:tcBorders>
              <w:top w:val="nil"/>
              <w:left w:val="nil"/>
              <w:bottom w:val="single" w:sz="4" w:space="0" w:color="auto"/>
              <w:right w:val="single" w:sz="4" w:space="0" w:color="auto"/>
            </w:tcBorders>
            <w:shd w:val="clear" w:color="auto" w:fill="auto"/>
            <w:vAlign w:val="center"/>
            <w:hideMark/>
          </w:tcPr>
          <w:p w14:paraId="6132D4B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SLOVENSKI GLEDALIŠKI INŠTITUT</w:t>
            </w:r>
          </w:p>
        </w:tc>
      </w:tr>
      <w:tr w:rsidR="00E3750C" w:rsidRPr="00415AB3" w14:paraId="619E242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17D283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1743</w:t>
            </w:r>
          </w:p>
        </w:tc>
        <w:tc>
          <w:tcPr>
            <w:tcW w:w="705" w:type="pct"/>
            <w:tcBorders>
              <w:top w:val="nil"/>
              <w:left w:val="nil"/>
              <w:bottom w:val="single" w:sz="4" w:space="0" w:color="auto"/>
              <w:right w:val="single" w:sz="4" w:space="0" w:color="auto"/>
            </w:tcBorders>
            <w:shd w:val="clear" w:color="auto" w:fill="auto"/>
            <w:noWrap/>
            <w:vAlign w:val="center"/>
            <w:hideMark/>
          </w:tcPr>
          <w:p w14:paraId="497D723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1593781000</w:t>
            </w:r>
          </w:p>
        </w:tc>
        <w:tc>
          <w:tcPr>
            <w:tcW w:w="547" w:type="pct"/>
            <w:tcBorders>
              <w:top w:val="nil"/>
              <w:left w:val="nil"/>
              <w:bottom w:val="single" w:sz="4" w:space="0" w:color="auto"/>
              <w:right w:val="single" w:sz="4" w:space="0" w:color="auto"/>
            </w:tcBorders>
            <w:shd w:val="clear" w:color="auto" w:fill="auto"/>
            <w:noWrap/>
            <w:vAlign w:val="center"/>
            <w:hideMark/>
          </w:tcPr>
          <w:p w14:paraId="6C93A1D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83093931</w:t>
            </w:r>
          </w:p>
        </w:tc>
        <w:tc>
          <w:tcPr>
            <w:tcW w:w="3360" w:type="pct"/>
            <w:tcBorders>
              <w:top w:val="nil"/>
              <w:left w:val="nil"/>
              <w:bottom w:val="single" w:sz="4" w:space="0" w:color="auto"/>
              <w:right w:val="single" w:sz="4" w:space="0" w:color="auto"/>
            </w:tcBorders>
            <w:shd w:val="clear" w:color="auto" w:fill="auto"/>
            <w:vAlign w:val="center"/>
            <w:hideMark/>
          </w:tcPr>
          <w:p w14:paraId="76B38FB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SLOVENSKI INŠTITUT ZA STANDARDIZACIJO</w:t>
            </w:r>
          </w:p>
        </w:tc>
      </w:tr>
      <w:tr w:rsidR="00E3750C" w:rsidRPr="00415AB3" w14:paraId="54490A0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ADD7B3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1744</w:t>
            </w:r>
          </w:p>
        </w:tc>
        <w:tc>
          <w:tcPr>
            <w:tcW w:w="705" w:type="pct"/>
            <w:tcBorders>
              <w:top w:val="nil"/>
              <w:left w:val="nil"/>
              <w:bottom w:val="single" w:sz="4" w:space="0" w:color="auto"/>
              <w:right w:val="single" w:sz="4" w:space="0" w:color="auto"/>
            </w:tcBorders>
            <w:shd w:val="clear" w:color="auto" w:fill="auto"/>
            <w:noWrap/>
            <w:vAlign w:val="center"/>
            <w:hideMark/>
          </w:tcPr>
          <w:p w14:paraId="6DCD4D7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5052033000</w:t>
            </w:r>
          </w:p>
        </w:tc>
        <w:tc>
          <w:tcPr>
            <w:tcW w:w="547" w:type="pct"/>
            <w:tcBorders>
              <w:top w:val="nil"/>
              <w:left w:val="nil"/>
              <w:bottom w:val="single" w:sz="4" w:space="0" w:color="auto"/>
              <w:right w:val="single" w:sz="4" w:space="0" w:color="auto"/>
            </w:tcBorders>
            <w:shd w:val="clear" w:color="auto" w:fill="auto"/>
            <w:noWrap/>
            <w:vAlign w:val="center"/>
            <w:hideMark/>
          </w:tcPr>
          <w:p w14:paraId="7821AF8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38442663</w:t>
            </w:r>
          </w:p>
        </w:tc>
        <w:tc>
          <w:tcPr>
            <w:tcW w:w="3360" w:type="pct"/>
            <w:tcBorders>
              <w:top w:val="nil"/>
              <w:left w:val="nil"/>
              <w:bottom w:val="single" w:sz="4" w:space="0" w:color="auto"/>
              <w:right w:val="single" w:sz="4" w:space="0" w:color="auto"/>
            </w:tcBorders>
            <w:shd w:val="clear" w:color="auto" w:fill="auto"/>
            <w:vAlign w:val="center"/>
            <w:hideMark/>
          </w:tcPr>
          <w:p w14:paraId="3F58FF5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SLOVENSKI ŠOLSKI MUZEJ</w:t>
            </w:r>
          </w:p>
        </w:tc>
      </w:tr>
      <w:tr w:rsidR="00E3750C" w:rsidRPr="00415AB3" w14:paraId="182B2B4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11231F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1745</w:t>
            </w:r>
          </w:p>
        </w:tc>
        <w:tc>
          <w:tcPr>
            <w:tcW w:w="705" w:type="pct"/>
            <w:tcBorders>
              <w:top w:val="nil"/>
              <w:left w:val="nil"/>
              <w:bottom w:val="single" w:sz="4" w:space="0" w:color="auto"/>
              <w:right w:val="single" w:sz="4" w:space="0" w:color="auto"/>
            </w:tcBorders>
            <w:shd w:val="clear" w:color="auto" w:fill="auto"/>
            <w:noWrap/>
            <w:vAlign w:val="center"/>
            <w:hideMark/>
          </w:tcPr>
          <w:p w14:paraId="02149E6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5055750000</w:t>
            </w:r>
          </w:p>
        </w:tc>
        <w:tc>
          <w:tcPr>
            <w:tcW w:w="547" w:type="pct"/>
            <w:tcBorders>
              <w:top w:val="nil"/>
              <w:left w:val="nil"/>
              <w:bottom w:val="single" w:sz="4" w:space="0" w:color="auto"/>
              <w:right w:val="single" w:sz="4" w:space="0" w:color="auto"/>
            </w:tcBorders>
            <w:shd w:val="clear" w:color="auto" w:fill="auto"/>
            <w:noWrap/>
            <w:vAlign w:val="center"/>
            <w:hideMark/>
          </w:tcPr>
          <w:p w14:paraId="6C0D0FE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21436762</w:t>
            </w:r>
          </w:p>
        </w:tc>
        <w:tc>
          <w:tcPr>
            <w:tcW w:w="3360" w:type="pct"/>
            <w:tcBorders>
              <w:top w:val="nil"/>
              <w:left w:val="nil"/>
              <w:bottom w:val="single" w:sz="4" w:space="0" w:color="auto"/>
              <w:right w:val="single" w:sz="4" w:space="0" w:color="auto"/>
            </w:tcBorders>
            <w:shd w:val="clear" w:color="auto" w:fill="auto"/>
            <w:vAlign w:val="center"/>
            <w:hideMark/>
          </w:tcPr>
          <w:p w14:paraId="4C273BB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SLOVENSKO LJUDSKO GLEDALIŠČE CELJE</w:t>
            </w:r>
          </w:p>
        </w:tc>
      </w:tr>
      <w:tr w:rsidR="00E3750C" w:rsidRPr="00415AB3" w14:paraId="4E8968A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B2750E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1746</w:t>
            </w:r>
          </w:p>
        </w:tc>
        <w:tc>
          <w:tcPr>
            <w:tcW w:w="705" w:type="pct"/>
            <w:tcBorders>
              <w:top w:val="nil"/>
              <w:left w:val="nil"/>
              <w:bottom w:val="single" w:sz="4" w:space="0" w:color="auto"/>
              <w:right w:val="single" w:sz="4" w:space="0" w:color="auto"/>
            </w:tcBorders>
            <w:shd w:val="clear" w:color="auto" w:fill="auto"/>
            <w:noWrap/>
            <w:vAlign w:val="center"/>
            <w:hideMark/>
          </w:tcPr>
          <w:p w14:paraId="3E57842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5698375000</w:t>
            </w:r>
          </w:p>
        </w:tc>
        <w:tc>
          <w:tcPr>
            <w:tcW w:w="547" w:type="pct"/>
            <w:tcBorders>
              <w:top w:val="nil"/>
              <w:left w:val="nil"/>
              <w:bottom w:val="single" w:sz="4" w:space="0" w:color="auto"/>
              <w:right w:val="single" w:sz="4" w:space="0" w:color="auto"/>
            </w:tcBorders>
            <w:shd w:val="clear" w:color="auto" w:fill="auto"/>
            <w:noWrap/>
            <w:vAlign w:val="center"/>
            <w:hideMark/>
          </w:tcPr>
          <w:p w14:paraId="3E75F55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59617055</w:t>
            </w:r>
          </w:p>
        </w:tc>
        <w:tc>
          <w:tcPr>
            <w:tcW w:w="3360" w:type="pct"/>
            <w:tcBorders>
              <w:top w:val="nil"/>
              <w:left w:val="nil"/>
              <w:bottom w:val="single" w:sz="4" w:space="0" w:color="auto"/>
              <w:right w:val="single" w:sz="4" w:space="0" w:color="auto"/>
            </w:tcBorders>
            <w:shd w:val="clear" w:color="auto" w:fill="auto"/>
            <w:vAlign w:val="center"/>
            <w:hideMark/>
          </w:tcPr>
          <w:p w14:paraId="4E52837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SLOVENSKO NARODNO GLEDALIŠČE DRAMA LJUBLJANA</w:t>
            </w:r>
          </w:p>
        </w:tc>
      </w:tr>
      <w:tr w:rsidR="00E3750C" w:rsidRPr="00415AB3" w14:paraId="1CA9BF2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880D05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1747</w:t>
            </w:r>
          </w:p>
        </w:tc>
        <w:tc>
          <w:tcPr>
            <w:tcW w:w="705" w:type="pct"/>
            <w:tcBorders>
              <w:top w:val="nil"/>
              <w:left w:val="nil"/>
              <w:bottom w:val="single" w:sz="4" w:space="0" w:color="auto"/>
              <w:right w:val="single" w:sz="4" w:space="0" w:color="auto"/>
            </w:tcBorders>
            <w:shd w:val="clear" w:color="auto" w:fill="auto"/>
            <w:noWrap/>
            <w:vAlign w:val="center"/>
            <w:hideMark/>
          </w:tcPr>
          <w:p w14:paraId="50C6901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5053315000</w:t>
            </w:r>
          </w:p>
        </w:tc>
        <w:tc>
          <w:tcPr>
            <w:tcW w:w="547" w:type="pct"/>
            <w:tcBorders>
              <w:top w:val="nil"/>
              <w:left w:val="nil"/>
              <w:bottom w:val="single" w:sz="4" w:space="0" w:color="auto"/>
              <w:right w:val="single" w:sz="4" w:space="0" w:color="auto"/>
            </w:tcBorders>
            <w:shd w:val="clear" w:color="auto" w:fill="auto"/>
            <w:noWrap/>
            <w:vAlign w:val="center"/>
            <w:hideMark/>
          </w:tcPr>
          <w:p w14:paraId="6C92E2C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19801491</w:t>
            </w:r>
          </w:p>
        </w:tc>
        <w:tc>
          <w:tcPr>
            <w:tcW w:w="3360" w:type="pct"/>
            <w:tcBorders>
              <w:top w:val="nil"/>
              <w:left w:val="nil"/>
              <w:bottom w:val="single" w:sz="4" w:space="0" w:color="auto"/>
              <w:right w:val="single" w:sz="4" w:space="0" w:color="auto"/>
            </w:tcBorders>
            <w:shd w:val="clear" w:color="auto" w:fill="auto"/>
            <w:vAlign w:val="center"/>
            <w:hideMark/>
          </w:tcPr>
          <w:p w14:paraId="5A12C20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SLOVENSKO NARODNO GLEDALIŠČE MARIBOR</w:t>
            </w:r>
          </w:p>
        </w:tc>
      </w:tr>
      <w:tr w:rsidR="00E3750C" w:rsidRPr="00415AB3" w14:paraId="4ED8B91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716779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1748</w:t>
            </w:r>
          </w:p>
        </w:tc>
        <w:tc>
          <w:tcPr>
            <w:tcW w:w="705" w:type="pct"/>
            <w:tcBorders>
              <w:top w:val="nil"/>
              <w:left w:val="nil"/>
              <w:bottom w:val="single" w:sz="4" w:space="0" w:color="auto"/>
              <w:right w:val="single" w:sz="4" w:space="0" w:color="auto"/>
            </w:tcBorders>
            <w:shd w:val="clear" w:color="auto" w:fill="auto"/>
            <w:noWrap/>
            <w:vAlign w:val="center"/>
            <w:hideMark/>
          </w:tcPr>
          <w:p w14:paraId="73F66F1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5053358000</w:t>
            </w:r>
          </w:p>
        </w:tc>
        <w:tc>
          <w:tcPr>
            <w:tcW w:w="547" w:type="pct"/>
            <w:tcBorders>
              <w:top w:val="nil"/>
              <w:left w:val="nil"/>
              <w:bottom w:val="single" w:sz="4" w:space="0" w:color="auto"/>
              <w:right w:val="single" w:sz="4" w:space="0" w:color="auto"/>
            </w:tcBorders>
            <w:shd w:val="clear" w:color="auto" w:fill="auto"/>
            <w:noWrap/>
            <w:vAlign w:val="center"/>
            <w:hideMark/>
          </w:tcPr>
          <w:p w14:paraId="5011792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86431587</w:t>
            </w:r>
          </w:p>
        </w:tc>
        <w:tc>
          <w:tcPr>
            <w:tcW w:w="3360" w:type="pct"/>
            <w:tcBorders>
              <w:top w:val="nil"/>
              <w:left w:val="nil"/>
              <w:bottom w:val="single" w:sz="4" w:space="0" w:color="auto"/>
              <w:right w:val="single" w:sz="4" w:space="0" w:color="auto"/>
            </w:tcBorders>
            <w:shd w:val="clear" w:color="auto" w:fill="auto"/>
            <w:vAlign w:val="center"/>
            <w:hideMark/>
          </w:tcPr>
          <w:p w14:paraId="4961FAA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SLOVENSKO NARODNO GLEDALIŠČE NOVA GORICA</w:t>
            </w:r>
          </w:p>
        </w:tc>
      </w:tr>
      <w:tr w:rsidR="00E3750C" w:rsidRPr="00415AB3" w14:paraId="188DA3D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B40C56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1749</w:t>
            </w:r>
          </w:p>
        </w:tc>
        <w:tc>
          <w:tcPr>
            <w:tcW w:w="705" w:type="pct"/>
            <w:tcBorders>
              <w:top w:val="nil"/>
              <w:left w:val="nil"/>
              <w:bottom w:val="single" w:sz="4" w:space="0" w:color="auto"/>
              <w:right w:val="single" w:sz="4" w:space="0" w:color="auto"/>
            </w:tcBorders>
            <w:shd w:val="clear" w:color="auto" w:fill="auto"/>
            <w:noWrap/>
            <w:vAlign w:val="center"/>
            <w:hideMark/>
          </w:tcPr>
          <w:p w14:paraId="2EE2B0E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5698359000</w:t>
            </w:r>
          </w:p>
        </w:tc>
        <w:tc>
          <w:tcPr>
            <w:tcW w:w="547" w:type="pct"/>
            <w:tcBorders>
              <w:top w:val="nil"/>
              <w:left w:val="nil"/>
              <w:bottom w:val="single" w:sz="4" w:space="0" w:color="auto"/>
              <w:right w:val="single" w:sz="4" w:space="0" w:color="auto"/>
            </w:tcBorders>
            <w:shd w:val="clear" w:color="auto" w:fill="auto"/>
            <w:noWrap/>
            <w:vAlign w:val="center"/>
            <w:hideMark/>
          </w:tcPr>
          <w:p w14:paraId="49AA552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48596604</w:t>
            </w:r>
          </w:p>
        </w:tc>
        <w:tc>
          <w:tcPr>
            <w:tcW w:w="3360" w:type="pct"/>
            <w:tcBorders>
              <w:top w:val="nil"/>
              <w:left w:val="nil"/>
              <w:bottom w:val="single" w:sz="4" w:space="0" w:color="auto"/>
              <w:right w:val="single" w:sz="4" w:space="0" w:color="auto"/>
            </w:tcBorders>
            <w:shd w:val="clear" w:color="auto" w:fill="auto"/>
            <w:vAlign w:val="center"/>
            <w:hideMark/>
          </w:tcPr>
          <w:p w14:paraId="2690B57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SLOVENSKO NARODNO GLEDALIŠČE OPERA IN BALET LJUBLJANA</w:t>
            </w:r>
          </w:p>
        </w:tc>
      </w:tr>
      <w:tr w:rsidR="00E3750C" w:rsidRPr="00415AB3" w14:paraId="00DC3A7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CD254C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1750</w:t>
            </w:r>
          </w:p>
        </w:tc>
        <w:tc>
          <w:tcPr>
            <w:tcW w:w="705" w:type="pct"/>
            <w:tcBorders>
              <w:top w:val="nil"/>
              <w:left w:val="nil"/>
              <w:bottom w:val="single" w:sz="4" w:space="0" w:color="auto"/>
              <w:right w:val="single" w:sz="4" w:space="0" w:color="auto"/>
            </w:tcBorders>
            <w:shd w:val="clear" w:color="auto" w:fill="auto"/>
            <w:noWrap/>
            <w:vAlign w:val="center"/>
            <w:hideMark/>
          </w:tcPr>
          <w:p w14:paraId="7C0A430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2516411000</w:t>
            </w:r>
          </w:p>
        </w:tc>
        <w:tc>
          <w:tcPr>
            <w:tcW w:w="547" w:type="pct"/>
            <w:tcBorders>
              <w:top w:val="nil"/>
              <w:left w:val="nil"/>
              <w:bottom w:val="single" w:sz="4" w:space="0" w:color="auto"/>
              <w:right w:val="single" w:sz="4" w:space="0" w:color="auto"/>
            </w:tcBorders>
            <w:shd w:val="clear" w:color="auto" w:fill="auto"/>
            <w:noWrap/>
            <w:vAlign w:val="center"/>
            <w:hideMark/>
          </w:tcPr>
          <w:p w14:paraId="30BB733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98751751</w:t>
            </w:r>
          </w:p>
        </w:tc>
        <w:tc>
          <w:tcPr>
            <w:tcW w:w="3360" w:type="pct"/>
            <w:tcBorders>
              <w:top w:val="nil"/>
              <w:left w:val="nil"/>
              <w:bottom w:val="single" w:sz="4" w:space="0" w:color="auto"/>
              <w:right w:val="single" w:sz="4" w:space="0" w:color="auto"/>
            </w:tcBorders>
            <w:shd w:val="clear" w:color="auto" w:fill="auto"/>
            <w:vAlign w:val="center"/>
            <w:hideMark/>
          </w:tcPr>
          <w:p w14:paraId="223FB3A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SLUŽBA VLADE REPUBLIKE SLOVENIJE ZA DIGITALNO PREOBRAZBO</w:t>
            </w:r>
          </w:p>
        </w:tc>
      </w:tr>
      <w:tr w:rsidR="00E3750C" w:rsidRPr="00415AB3" w14:paraId="34C0DFCF"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BBB48B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1751</w:t>
            </w:r>
          </w:p>
        </w:tc>
        <w:tc>
          <w:tcPr>
            <w:tcW w:w="705" w:type="pct"/>
            <w:tcBorders>
              <w:top w:val="nil"/>
              <w:left w:val="nil"/>
              <w:bottom w:val="single" w:sz="4" w:space="0" w:color="auto"/>
              <w:right w:val="single" w:sz="4" w:space="0" w:color="auto"/>
            </w:tcBorders>
            <w:shd w:val="clear" w:color="auto" w:fill="auto"/>
            <w:noWrap/>
            <w:vAlign w:val="center"/>
            <w:hideMark/>
          </w:tcPr>
          <w:p w14:paraId="7AE230E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2482550000</w:t>
            </w:r>
          </w:p>
        </w:tc>
        <w:tc>
          <w:tcPr>
            <w:tcW w:w="547" w:type="pct"/>
            <w:tcBorders>
              <w:top w:val="nil"/>
              <w:left w:val="nil"/>
              <w:bottom w:val="single" w:sz="4" w:space="0" w:color="auto"/>
              <w:right w:val="single" w:sz="4" w:space="0" w:color="auto"/>
            </w:tcBorders>
            <w:shd w:val="clear" w:color="auto" w:fill="auto"/>
            <w:noWrap/>
            <w:vAlign w:val="center"/>
            <w:hideMark/>
          </w:tcPr>
          <w:p w14:paraId="527B2D1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18640494</w:t>
            </w:r>
          </w:p>
        </w:tc>
        <w:tc>
          <w:tcPr>
            <w:tcW w:w="3360" w:type="pct"/>
            <w:tcBorders>
              <w:top w:val="nil"/>
              <w:left w:val="nil"/>
              <w:bottom w:val="single" w:sz="4" w:space="0" w:color="auto"/>
              <w:right w:val="single" w:sz="4" w:space="0" w:color="auto"/>
            </w:tcBorders>
            <w:shd w:val="clear" w:color="auto" w:fill="auto"/>
            <w:vAlign w:val="center"/>
            <w:hideMark/>
          </w:tcPr>
          <w:p w14:paraId="5A7E279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SLUŽBA VLADE REPUBLIKE SLOVENIJE ZA RAZVOJ IN EVROPSKO KOHEZIJSKO POLITIKO</w:t>
            </w:r>
          </w:p>
        </w:tc>
      </w:tr>
      <w:tr w:rsidR="00E3750C" w:rsidRPr="00415AB3" w14:paraId="5454D6E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656E4E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1752</w:t>
            </w:r>
          </w:p>
        </w:tc>
        <w:tc>
          <w:tcPr>
            <w:tcW w:w="705" w:type="pct"/>
            <w:tcBorders>
              <w:top w:val="nil"/>
              <w:left w:val="nil"/>
              <w:bottom w:val="single" w:sz="4" w:space="0" w:color="auto"/>
              <w:right w:val="single" w:sz="4" w:space="0" w:color="auto"/>
            </w:tcBorders>
            <w:shd w:val="clear" w:color="auto" w:fill="auto"/>
            <w:noWrap/>
            <w:vAlign w:val="center"/>
            <w:hideMark/>
          </w:tcPr>
          <w:p w14:paraId="2E97A66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5186765000</w:t>
            </w:r>
          </w:p>
        </w:tc>
        <w:tc>
          <w:tcPr>
            <w:tcW w:w="547" w:type="pct"/>
            <w:tcBorders>
              <w:top w:val="nil"/>
              <w:left w:val="nil"/>
              <w:bottom w:val="single" w:sz="4" w:space="0" w:color="auto"/>
              <w:right w:val="single" w:sz="4" w:space="0" w:color="auto"/>
            </w:tcBorders>
            <w:shd w:val="clear" w:color="auto" w:fill="auto"/>
            <w:noWrap/>
            <w:vAlign w:val="center"/>
            <w:hideMark/>
          </w:tcPr>
          <w:p w14:paraId="0AD7209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99681595</w:t>
            </w:r>
          </w:p>
        </w:tc>
        <w:tc>
          <w:tcPr>
            <w:tcW w:w="3360" w:type="pct"/>
            <w:tcBorders>
              <w:top w:val="nil"/>
              <w:left w:val="nil"/>
              <w:bottom w:val="single" w:sz="4" w:space="0" w:color="auto"/>
              <w:right w:val="single" w:sz="4" w:space="0" w:color="auto"/>
            </w:tcBorders>
            <w:shd w:val="clear" w:color="auto" w:fill="auto"/>
            <w:vAlign w:val="center"/>
            <w:hideMark/>
          </w:tcPr>
          <w:p w14:paraId="7A095D7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SLUŽBA VLADE REPUBLIKE SLOVENIJE ZA ZAKONODAJO</w:t>
            </w:r>
          </w:p>
        </w:tc>
      </w:tr>
      <w:tr w:rsidR="00E3750C" w:rsidRPr="00415AB3" w14:paraId="0DF2B4D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5C47EC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1753</w:t>
            </w:r>
          </w:p>
        </w:tc>
        <w:tc>
          <w:tcPr>
            <w:tcW w:w="705" w:type="pct"/>
            <w:tcBorders>
              <w:top w:val="nil"/>
              <w:left w:val="nil"/>
              <w:bottom w:val="single" w:sz="4" w:space="0" w:color="auto"/>
              <w:right w:val="single" w:sz="4" w:space="0" w:color="auto"/>
            </w:tcBorders>
            <w:shd w:val="clear" w:color="auto" w:fill="auto"/>
            <w:noWrap/>
            <w:vAlign w:val="center"/>
            <w:hideMark/>
          </w:tcPr>
          <w:p w14:paraId="6E40A0F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5049903000</w:t>
            </w:r>
          </w:p>
        </w:tc>
        <w:tc>
          <w:tcPr>
            <w:tcW w:w="547" w:type="pct"/>
            <w:tcBorders>
              <w:top w:val="nil"/>
              <w:left w:val="nil"/>
              <w:bottom w:val="single" w:sz="4" w:space="0" w:color="auto"/>
              <w:right w:val="single" w:sz="4" w:space="0" w:color="auto"/>
            </w:tcBorders>
            <w:shd w:val="clear" w:color="auto" w:fill="auto"/>
            <w:noWrap/>
            <w:vAlign w:val="center"/>
            <w:hideMark/>
          </w:tcPr>
          <w:p w14:paraId="406BE33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10220704</w:t>
            </w:r>
          </w:p>
        </w:tc>
        <w:tc>
          <w:tcPr>
            <w:tcW w:w="3360" w:type="pct"/>
            <w:tcBorders>
              <w:top w:val="nil"/>
              <w:left w:val="nil"/>
              <w:bottom w:val="single" w:sz="4" w:space="0" w:color="auto"/>
              <w:right w:val="single" w:sz="4" w:space="0" w:color="auto"/>
            </w:tcBorders>
            <w:shd w:val="clear" w:color="auto" w:fill="auto"/>
            <w:vAlign w:val="center"/>
            <w:hideMark/>
          </w:tcPr>
          <w:p w14:paraId="05F7C95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SOCIALNO VARSTVENI ZAVOD HRASTOVEC</w:t>
            </w:r>
          </w:p>
        </w:tc>
      </w:tr>
      <w:tr w:rsidR="00E3750C" w:rsidRPr="00415AB3" w14:paraId="6693039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31161F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1754</w:t>
            </w:r>
          </w:p>
        </w:tc>
        <w:tc>
          <w:tcPr>
            <w:tcW w:w="705" w:type="pct"/>
            <w:tcBorders>
              <w:top w:val="nil"/>
              <w:left w:val="nil"/>
              <w:bottom w:val="single" w:sz="4" w:space="0" w:color="auto"/>
              <w:right w:val="single" w:sz="4" w:space="0" w:color="auto"/>
            </w:tcBorders>
            <w:shd w:val="clear" w:color="auto" w:fill="auto"/>
            <w:noWrap/>
            <w:vAlign w:val="center"/>
            <w:hideMark/>
          </w:tcPr>
          <w:p w14:paraId="3CE83F3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5888174000</w:t>
            </w:r>
          </w:p>
        </w:tc>
        <w:tc>
          <w:tcPr>
            <w:tcW w:w="547" w:type="pct"/>
            <w:tcBorders>
              <w:top w:val="nil"/>
              <w:left w:val="nil"/>
              <w:bottom w:val="single" w:sz="4" w:space="0" w:color="auto"/>
              <w:right w:val="single" w:sz="4" w:space="0" w:color="auto"/>
            </w:tcBorders>
            <w:shd w:val="clear" w:color="auto" w:fill="auto"/>
            <w:noWrap/>
            <w:vAlign w:val="center"/>
            <w:hideMark/>
          </w:tcPr>
          <w:p w14:paraId="34CDC57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70654441</w:t>
            </w:r>
          </w:p>
        </w:tc>
        <w:tc>
          <w:tcPr>
            <w:tcW w:w="3360" w:type="pct"/>
            <w:tcBorders>
              <w:top w:val="nil"/>
              <w:left w:val="nil"/>
              <w:bottom w:val="single" w:sz="4" w:space="0" w:color="auto"/>
              <w:right w:val="single" w:sz="4" w:space="0" w:color="auto"/>
            </w:tcBorders>
            <w:shd w:val="clear" w:color="auto" w:fill="auto"/>
            <w:vAlign w:val="center"/>
            <w:hideMark/>
          </w:tcPr>
          <w:p w14:paraId="551D780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SODNI SVET REPUBLIKE SLOVENIJE</w:t>
            </w:r>
          </w:p>
        </w:tc>
      </w:tr>
      <w:tr w:rsidR="00E3750C" w:rsidRPr="00415AB3" w14:paraId="06A39D76"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0FE215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1755</w:t>
            </w:r>
          </w:p>
        </w:tc>
        <w:tc>
          <w:tcPr>
            <w:tcW w:w="705" w:type="pct"/>
            <w:tcBorders>
              <w:top w:val="nil"/>
              <w:left w:val="nil"/>
              <w:bottom w:val="single" w:sz="4" w:space="0" w:color="auto"/>
              <w:right w:val="single" w:sz="4" w:space="0" w:color="auto"/>
            </w:tcBorders>
            <w:shd w:val="clear" w:color="auto" w:fill="auto"/>
            <w:noWrap/>
            <w:vAlign w:val="center"/>
            <w:hideMark/>
          </w:tcPr>
          <w:p w14:paraId="2051936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2294389000</w:t>
            </w:r>
          </w:p>
        </w:tc>
        <w:tc>
          <w:tcPr>
            <w:tcW w:w="547" w:type="pct"/>
            <w:tcBorders>
              <w:top w:val="nil"/>
              <w:left w:val="nil"/>
              <w:bottom w:val="single" w:sz="4" w:space="0" w:color="auto"/>
              <w:right w:val="single" w:sz="4" w:space="0" w:color="auto"/>
            </w:tcBorders>
            <w:shd w:val="clear" w:color="auto" w:fill="auto"/>
            <w:noWrap/>
            <w:vAlign w:val="center"/>
            <w:hideMark/>
          </w:tcPr>
          <w:p w14:paraId="74914C0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45603057</w:t>
            </w:r>
          </w:p>
        </w:tc>
        <w:tc>
          <w:tcPr>
            <w:tcW w:w="3360" w:type="pct"/>
            <w:tcBorders>
              <w:top w:val="nil"/>
              <w:left w:val="nil"/>
              <w:bottom w:val="single" w:sz="4" w:space="0" w:color="auto"/>
              <w:right w:val="single" w:sz="4" w:space="0" w:color="auto"/>
            </w:tcBorders>
            <w:shd w:val="clear" w:color="auto" w:fill="auto"/>
            <w:vAlign w:val="center"/>
            <w:hideMark/>
          </w:tcPr>
          <w:p w14:paraId="051EB8C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SODO SISTEMSKI OPERATER DISTRIBUCIJSKEGA OMREŽJA Z ELEKTRIČNO ENERGIJO, D.O.O.</w:t>
            </w:r>
          </w:p>
        </w:tc>
      </w:tr>
      <w:tr w:rsidR="00E3750C" w:rsidRPr="00415AB3" w14:paraId="1FE696D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DDC725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1756</w:t>
            </w:r>
          </w:p>
        </w:tc>
        <w:tc>
          <w:tcPr>
            <w:tcW w:w="705" w:type="pct"/>
            <w:tcBorders>
              <w:top w:val="nil"/>
              <w:left w:val="nil"/>
              <w:bottom w:val="single" w:sz="4" w:space="0" w:color="auto"/>
              <w:right w:val="single" w:sz="4" w:space="0" w:color="auto"/>
            </w:tcBorders>
            <w:shd w:val="clear" w:color="auto" w:fill="auto"/>
            <w:noWrap/>
            <w:vAlign w:val="center"/>
            <w:hideMark/>
          </w:tcPr>
          <w:p w14:paraId="1D1A349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1365495000</w:t>
            </w:r>
          </w:p>
        </w:tc>
        <w:tc>
          <w:tcPr>
            <w:tcW w:w="547" w:type="pct"/>
            <w:tcBorders>
              <w:top w:val="nil"/>
              <w:left w:val="nil"/>
              <w:bottom w:val="single" w:sz="4" w:space="0" w:color="auto"/>
              <w:right w:val="single" w:sz="4" w:space="0" w:color="auto"/>
            </w:tcBorders>
            <w:shd w:val="clear" w:color="auto" w:fill="auto"/>
            <w:noWrap/>
            <w:vAlign w:val="center"/>
            <w:hideMark/>
          </w:tcPr>
          <w:p w14:paraId="116144C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61597856</w:t>
            </w:r>
          </w:p>
        </w:tc>
        <w:tc>
          <w:tcPr>
            <w:tcW w:w="3360" w:type="pct"/>
            <w:tcBorders>
              <w:top w:val="nil"/>
              <w:left w:val="nil"/>
              <w:bottom w:val="single" w:sz="4" w:space="0" w:color="auto"/>
              <w:right w:val="single" w:sz="4" w:space="0" w:color="auto"/>
            </w:tcBorders>
            <w:shd w:val="clear" w:color="auto" w:fill="auto"/>
            <w:vAlign w:val="center"/>
            <w:hideMark/>
          </w:tcPr>
          <w:p w14:paraId="5B99372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SOLINE PRIDELAVA SOLI, D.O.O.</w:t>
            </w:r>
          </w:p>
        </w:tc>
      </w:tr>
      <w:tr w:rsidR="00E3750C" w:rsidRPr="00415AB3" w14:paraId="2CABFA8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C3643C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1757</w:t>
            </w:r>
          </w:p>
        </w:tc>
        <w:tc>
          <w:tcPr>
            <w:tcW w:w="705" w:type="pct"/>
            <w:tcBorders>
              <w:top w:val="nil"/>
              <w:left w:val="nil"/>
              <w:bottom w:val="single" w:sz="4" w:space="0" w:color="auto"/>
              <w:right w:val="single" w:sz="4" w:space="0" w:color="auto"/>
            </w:tcBorders>
            <w:shd w:val="clear" w:color="auto" w:fill="auto"/>
            <w:noWrap/>
            <w:vAlign w:val="center"/>
            <w:hideMark/>
          </w:tcPr>
          <w:p w14:paraId="78D2D23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5044421000</w:t>
            </w:r>
          </w:p>
        </w:tc>
        <w:tc>
          <w:tcPr>
            <w:tcW w:w="547" w:type="pct"/>
            <w:tcBorders>
              <w:top w:val="nil"/>
              <w:left w:val="nil"/>
              <w:bottom w:val="single" w:sz="4" w:space="0" w:color="auto"/>
              <w:right w:val="single" w:sz="4" w:space="0" w:color="auto"/>
            </w:tcBorders>
            <w:shd w:val="clear" w:color="auto" w:fill="auto"/>
            <w:noWrap/>
            <w:vAlign w:val="center"/>
            <w:hideMark/>
          </w:tcPr>
          <w:p w14:paraId="4AD6F59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74100475</w:t>
            </w:r>
          </w:p>
        </w:tc>
        <w:tc>
          <w:tcPr>
            <w:tcW w:w="3360" w:type="pct"/>
            <w:tcBorders>
              <w:top w:val="nil"/>
              <w:left w:val="nil"/>
              <w:bottom w:val="single" w:sz="4" w:space="0" w:color="auto"/>
              <w:right w:val="single" w:sz="4" w:space="0" w:color="auto"/>
            </w:tcBorders>
            <w:shd w:val="clear" w:color="auto" w:fill="auto"/>
            <w:vAlign w:val="center"/>
            <w:hideMark/>
          </w:tcPr>
          <w:p w14:paraId="3399C1C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SOŠKE ELEKTRARNE NOVA GORICA D.O.O.</w:t>
            </w:r>
          </w:p>
        </w:tc>
      </w:tr>
      <w:tr w:rsidR="00E3750C" w:rsidRPr="00415AB3" w14:paraId="16745CD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CB639C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1758</w:t>
            </w:r>
          </w:p>
        </w:tc>
        <w:tc>
          <w:tcPr>
            <w:tcW w:w="705" w:type="pct"/>
            <w:tcBorders>
              <w:top w:val="nil"/>
              <w:left w:val="nil"/>
              <w:bottom w:val="single" w:sz="4" w:space="0" w:color="auto"/>
              <w:right w:val="single" w:sz="4" w:space="0" w:color="auto"/>
            </w:tcBorders>
            <w:shd w:val="clear" w:color="auto" w:fill="auto"/>
            <w:noWrap/>
            <w:vAlign w:val="center"/>
            <w:hideMark/>
          </w:tcPr>
          <w:p w14:paraId="55D4288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2399318000</w:t>
            </w:r>
          </w:p>
        </w:tc>
        <w:tc>
          <w:tcPr>
            <w:tcW w:w="547" w:type="pct"/>
            <w:tcBorders>
              <w:top w:val="nil"/>
              <w:left w:val="nil"/>
              <w:bottom w:val="single" w:sz="4" w:space="0" w:color="auto"/>
              <w:right w:val="single" w:sz="4" w:space="0" w:color="auto"/>
            </w:tcBorders>
            <w:shd w:val="clear" w:color="auto" w:fill="auto"/>
            <w:noWrap/>
            <w:vAlign w:val="center"/>
            <w:hideMark/>
          </w:tcPr>
          <w:p w14:paraId="47232EE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84952571</w:t>
            </w:r>
          </w:p>
        </w:tc>
        <w:tc>
          <w:tcPr>
            <w:tcW w:w="3360" w:type="pct"/>
            <w:tcBorders>
              <w:top w:val="nil"/>
              <w:left w:val="nil"/>
              <w:bottom w:val="single" w:sz="4" w:space="0" w:color="auto"/>
              <w:right w:val="single" w:sz="4" w:space="0" w:color="auto"/>
            </w:tcBorders>
            <w:shd w:val="clear" w:color="auto" w:fill="auto"/>
            <w:vAlign w:val="center"/>
            <w:hideMark/>
          </w:tcPr>
          <w:p w14:paraId="2BCA99A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SPECIALIZIRANO DRŽAVNO TOŽILSTVO REPUBLIKE SLOVENIJE</w:t>
            </w:r>
          </w:p>
        </w:tc>
      </w:tr>
      <w:tr w:rsidR="00E3750C" w:rsidRPr="00415AB3" w14:paraId="62622ED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919F25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1759</w:t>
            </w:r>
          </w:p>
        </w:tc>
        <w:tc>
          <w:tcPr>
            <w:tcW w:w="705" w:type="pct"/>
            <w:tcBorders>
              <w:top w:val="nil"/>
              <w:left w:val="nil"/>
              <w:bottom w:val="single" w:sz="4" w:space="0" w:color="auto"/>
              <w:right w:val="single" w:sz="4" w:space="0" w:color="auto"/>
            </w:tcBorders>
            <w:shd w:val="clear" w:color="auto" w:fill="auto"/>
            <w:noWrap/>
            <w:vAlign w:val="center"/>
            <w:hideMark/>
          </w:tcPr>
          <w:p w14:paraId="43734F8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5105323000</w:t>
            </w:r>
          </w:p>
        </w:tc>
        <w:tc>
          <w:tcPr>
            <w:tcW w:w="547" w:type="pct"/>
            <w:tcBorders>
              <w:top w:val="nil"/>
              <w:left w:val="nil"/>
              <w:bottom w:val="single" w:sz="4" w:space="0" w:color="auto"/>
              <w:right w:val="single" w:sz="4" w:space="0" w:color="auto"/>
            </w:tcBorders>
            <w:shd w:val="clear" w:color="auto" w:fill="auto"/>
            <w:noWrap/>
            <w:vAlign w:val="center"/>
            <w:hideMark/>
          </w:tcPr>
          <w:p w14:paraId="39BE7F9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58152784</w:t>
            </w:r>
          </w:p>
        </w:tc>
        <w:tc>
          <w:tcPr>
            <w:tcW w:w="3360" w:type="pct"/>
            <w:tcBorders>
              <w:top w:val="nil"/>
              <w:left w:val="nil"/>
              <w:bottom w:val="single" w:sz="4" w:space="0" w:color="auto"/>
              <w:right w:val="single" w:sz="4" w:space="0" w:color="auto"/>
            </w:tcBorders>
            <w:shd w:val="clear" w:color="auto" w:fill="auto"/>
            <w:vAlign w:val="center"/>
            <w:hideMark/>
          </w:tcPr>
          <w:p w14:paraId="5C31179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SPLOŠNA BOLNIŠNICA BREŽICE</w:t>
            </w:r>
          </w:p>
        </w:tc>
      </w:tr>
      <w:tr w:rsidR="00E3750C" w:rsidRPr="00415AB3" w14:paraId="03BB4DE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BAB5F5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1760</w:t>
            </w:r>
          </w:p>
        </w:tc>
        <w:tc>
          <w:tcPr>
            <w:tcW w:w="705" w:type="pct"/>
            <w:tcBorders>
              <w:top w:val="nil"/>
              <w:left w:val="nil"/>
              <w:bottom w:val="single" w:sz="4" w:space="0" w:color="auto"/>
              <w:right w:val="single" w:sz="4" w:space="0" w:color="auto"/>
            </w:tcBorders>
            <w:shd w:val="clear" w:color="auto" w:fill="auto"/>
            <w:noWrap/>
            <w:vAlign w:val="center"/>
            <w:hideMark/>
          </w:tcPr>
          <w:p w14:paraId="2875952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5064716000</w:t>
            </w:r>
          </w:p>
        </w:tc>
        <w:tc>
          <w:tcPr>
            <w:tcW w:w="547" w:type="pct"/>
            <w:tcBorders>
              <w:top w:val="nil"/>
              <w:left w:val="nil"/>
              <w:bottom w:val="single" w:sz="4" w:space="0" w:color="auto"/>
              <w:right w:val="single" w:sz="4" w:space="0" w:color="auto"/>
            </w:tcBorders>
            <w:shd w:val="clear" w:color="auto" w:fill="auto"/>
            <w:noWrap/>
            <w:vAlign w:val="center"/>
            <w:hideMark/>
          </w:tcPr>
          <w:p w14:paraId="41E6C4A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42119022</w:t>
            </w:r>
          </w:p>
        </w:tc>
        <w:tc>
          <w:tcPr>
            <w:tcW w:w="3360" w:type="pct"/>
            <w:tcBorders>
              <w:top w:val="nil"/>
              <w:left w:val="nil"/>
              <w:bottom w:val="single" w:sz="4" w:space="0" w:color="auto"/>
              <w:right w:val="single" w:sz="4" w:space="0" w:color="auto"/>
            </w:tcBorders>
            <w:shd w:val="clear" w:color="auto" w:fill="auto"/>
            <w:vAlign w:val="center"/>
            <w:hideMark/>
          </w:tcPr>
          <w:p w14:paraId="4D13980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SPLOŠNA BOLNIŠNICA CELJE</w:t>
            </w:r>
          </w:p>
        </w:tc>
      </w:tr>
      <w:tr w:rsidR="00E3750C" w:rsidRPr="00415AB3" w14:paraId="3A24F80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3A98F0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1761</w:t>
            </w:r>
          </w:p>
        </w:tc>
        <w:tc>
          <w:tcPr>
            <w:tcW w:w="705" w:type="pct"/>
            <w:tcBorders>
              <w:top w:val="nil"/>
              <w:left w:val="nil"/>
              <w:bottom w:val="single" w:sz="4" w:space="0" w:color="auto"/>
              <w:right w:val="single" w:sz="4" w:space="0" w:color="auto"/>
            </w:tcBorders>
            <w:shd w:val="clear" w:color="auto" w:fill="auto"/>
            <w:noWrap/>
            <w:vAlign w:val="center"/>
            <w:hideMark/>
          </w:tcPr>
          <w:p w14:paraId="5AE205F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5055695000</w:t>
            </w:r>
          </w:p>
        </w:tc>
        <w:tc>
          <w:tcPr>
            <w:tcW w:w="547" w:type="pct"/>
            <w:tcBorders>
              <w:top w:val="nil"/>
              <w:left w:val="nil"/>
              <w:bottom w:val="single" w:sz="4" w:space="0" w:color="auto"/>
              <w:right w:val="single" w:sz="4" w:space="0" w:color="auto"/>
            </w:tcBorders>
            <w:shd w:val="clear" w:color="auto" w:fill="auto"/>
            <w:noWrap/>
            <w:vAlign w:val="center"/>
            <w:hideMark/>
          </w:tcPr>
          <w:p w14:paraId="2C0CCF6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11427205</w:t>
            </w:r>
          </w:p>
        </w:tc>
        <w:tc>
          <w:tcPr>
            <w:tcW w:w="3360" w:type="pct"/>
            <w:tcBorders>
              <w:top w:val="nil"/>
              <w:left w:val="nil"/>
              <w:bottom w:val="single" w:sz="4" w:space="0" w:color="auto"/>
              <w:right w:val="single" w:sz="4" w:space="0" w:color="auto"/>
            </w:tcBorders>
            <w:shd w:val="clear" w:color="auto" w:fill="auto"/>
            <w:vAlign w:val="center"/>
            <w:hideMark/>
          </w:tcPr>
          <w:p w14:paraId="027E162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SPLOŠNA BOLNIŠNICA DR. FRANCA DERGANCA NOVA GORICA</w:t>
            </w:r>
          </w:p>
        </w:tc>
      </w:tr>
      <w:tr w:rsidR="00E3750C" w:rsidRPr="00415AB3" w14:paraId="0255B63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74B721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1762</w:t>
            </w:r>
          </w:p>
        </w:tc>
        <w:tc>
          <w:tcPr>
            <w:tcW w:w="705" w:type="pct"/>
            <w:tcBorders>
              <w:top w:val="nil"/>
              <w:left w:val="nil"/>
              <w:bottom w:val="single" w:sz="4" w:space="0" w:color="auto"/>
              <w:right w:val="single" w:sz="4" w:space="0" w:color="auto"/>
            </w:tcBorders>
            <w:shd w:val="clear" w:color="auto" w:fill="auto"/>
            <w:noWrap/>
            <w:vAlign w:val="center"/>
            <w:hideMark/>
          </w:tcPr>
          <w:p w14:paraId="6465D05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5054796000</w:t>
            </w:r>
          </w:p>
        </w:tc>
        <w:tc>
          <w:tcPr>
            <w:tcW w:w="547" w:type="pct"/>
            <w:tcBorders>
              <w:top w:val="nil"/>
              <w:left w:val="nil"/>
              <w:bottom w:val="single" w:sz="4" w:space="0" w:color="auto"/>
              <w:right w:val="single" w:sz="4" w:space="0" w:color="auto"/>
            </w:tcBorders>
            <w:shd w:val="clear" w:color="auto" w:fill="auto"/>
            <w:noWrap/>
            <w:vAlign w:val="center"/>
            <w:hideMark/>
          </w:tcPr>
          <w:p w14:paraId="30F7C6C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35767294</w:t>
            </w:r>
          </w:p>
        </w:tc>
        <w:tc>
          <w:tcPr>
            <w:tcW w:w="3360" w:type="pct"/>
            <w:tcBorders>
              <w:top w:val="nil"/>
              <w:left w:val="nil"/>
              <w:bottom w:val="single" w:sz="4" w:space="0" w:color="auto"/>
              <w:right w:val="single" w:sz="4" w:space="0" w:color="auto"/>
            </w:tcBorders>
            <w:shd w:val="clear" w:color="auto" w:fill="auto"/>
            <w:vAlign w:val="center"/>
            <w:hideMark/>
          </w:tcPr>
          <w:p w14:paraId="2C92445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SPLOŠNA BOLNIŠNICA DR. JOŽETA POTRČA PTUJ</w:t>
            </w:r>
          </w:p>
        </w:tc>
      </w:tr>
      <w:tr w:rsidR="00E3750C" w:rsidRPr="00415AB3" w14:paraId="158B110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D3B732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1763</w:t>
            </w:r>
          </w:p>
        </w:tc>
        <w:tc>
          <w:tcPr>
            <w:tcW w:w="705" w:type="pct"/>
            <w:tcBorders>
              <w:top w:val="nil"/>
              <w:left w:val="nil"/>
              <w:bottom w:val="single" w:sz="4" w:space="0" w:color="auto"/>
              <w:right w:val="single" w:sz="4" w:space="0" w:color="auto"/>
            </w:tcBorders>
            <w:shd w:val="clear" w:color="auto" w:fill="auto"/>
            <w:noWrap/>
            <w:vAlign w:val="center"/>
            <w:hideMark/>
          </w:tcPr>
          <w:p w14:paraId="5CBD9AF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1399632000</w:t>
            </w:r>
          </w:p>
        </w:tc>
        <w:tc>
          <w:tcPr>
            <w:tcW w:w="547" w:type="pct"/>
            <w:tcBorders>
              <w:top w:val="nil"/>
              <w:left w:val="nil"/>
              <w:bottom w:val="single" w:sz="4" w:space="0" w:color="auto"/>
              <w:right w:val="single" w:sz="4" w:space="0" w:color="auto"/>
            </w:tcBorders>
            <w:shd w:val="clear" w:color="auto" w:fill="auto"/>
            <w:noWrap/>
            <w:vAlign w:val="center"/>
            <w:hideMark/>
          </w:tcPr>
          <w:p w14:paraId="70EE4FD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79007589</w:t>
            </w:r>
          </w:p>
        </w:tc>
        <w:tc>
          <w:tcPr>
            <w:tcW w:w="3360" w:type="pct"/>
            <w:tcBorders>
              <w:top w:val="nil"/>
              <w:left w:val="nil"/>
              <w:bottom w:val="single" w:sz="4" w:space="0" w:color="auto"/>
              <w:right w:val="single" w:sz="4" w:space="0" w:color="auto"/>
            </w:tcBorders>
            <w:shd w:val="clear" w:color="auto" w:fill="auto"/>
            <w:vAlign w:val="center"/>
            <w:hideMark/>
          </w:tcPr>
          <w:p w14:paraId="0178E23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SPLOŠNA BOLNIŠNICA IZOLA OSPEDALE GENERALE ISOLA</w:t>
            </w:r>
          </w:p>
        </w:tc>
      </w:tr>
      <w:tr w:rsidR="00E3750C" w:rsidRPr="00415AB3" w14:paraId="11D6EA9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3180F9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1764</w:t>
            </w:r>
          </w:p>
        </w:tc>
        <w:tc>
          <w:tcPr>
            <w:tcW w:w="705" w:type="pct"/>
            <w:tcBorders>
              <w:top w:val="nil"/>
              <w:left w:val="nil"/>
              <w:bottom w:val="single" w:sz="4" w:space="0" w:color="auto"/>
              <w:right w:val="single" w:sz="4" w:space="0" w:color="auto"/>
            </w:tcBorders>
            <w:shd w:val="clear" w:color="auto" w:fill="auto"/>
            <w:noWrap/>
            <w:vAlign w:val="center"/>
            <w:hideMark/>
          </w:tcPr>
          <w:p w14:paraId="1D1B942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5053692000</w:t>
            </w:r>
          </w:p>
        </w:tc>
        <w:tc>
          <w:tcPr>
            <w:tcW w:w="547" w:type="pct"/>
            <w:tcBorders>
              <w:top w:val="nil"/>
              <w:left w:val="nil"/>
              <w:bottom w:val="single" w:sz="4" w:space="0" w:color="auto"/>
              <w:right w:val="single" w:sz="4" w:space="0" w:color="auto"/>
            </w:tcBorders>
            <w:shd w:val="clear" w:color="auto" w:fill="auto"/>
            <w:noWrap/>
            <w:vAlign w:val="center"/>
            <w:hideMark/>
          </w:tcPr>
          <w:p w14:paraId="460F480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86143824</w:t>
            </w:r>
          </w:p>
        </w:tc>
        <w:tc>
          <w:tcPr>
            <w:tcW w:w="3360" w:type="pct"/>
            <w:tcBorders>
              <w:top w:val="nil"/>
              <w:left w:val="nil"/>
              <w:bottom w:val="single" w:sz="4" w:space="0" w:color="auto"/>
              <w:right w:val="single" w:sz="4" w:space="0" w:color="auto"/>
            </w:tcBorders>
            <w:shd w:val="clear" w:color="auto" w:fill="auto"/>
            <w:vAlign w:val="center"/>
            <w:hideMark/>
          </w:tcPr>
          <w:p w14:paraId="534B7BB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SPLOŠNA BOLNIŠNICA JESENICE</w:t>
            </w:r>
          </w:p>
        </w:tc>
      </w:tr>
      <w:tr w:rsidR="00E3750C" w:rsidRPr="00415AB3" w14:paraId="104E867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CF1552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1765</w:t>
            </w:r>
          </w:p>
        </w:tc>
        <w:tc>
          <w:tcPr>
            <w:tcW w:w="705" w:type="pct"/>
            <w:tcBorders>
              <w:top w:val="nil"/>
              <w:left w:val="nil"/>
              <w:bottom w:val="single" w:sz="4" w:space="0" w:color="auto"/>
              <w:right w:val="single" w:sz="4" w:space="0" w:color="auto"/>
            </w:tcBorders>
            <w:shd w:val="clear" w:color="auto" w:fill="auto"/>
            <w:noWrap/>
            <w:vAlign w:val="center"/>
            <w:hideMark/>
          </w:tcPr>
          <w:p w14:paraId="515D886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1122517000</w:t>
            </w:r>
          </w:p>
        </w:tc>
        <w:tc>
          <w:tcPr>
            <w:tcW w:w="547" w:type="pct"/>
            <w:tcBorders>
              <w:top w:val="nil"/>
              <w:left w:val="nil"/>
              <w:bottom w:val="single" w:sz="4" w:space="0" w:color="auto"/>
              <w:right w:val="single" w:sz="4" w:space="0" w:color="auto"/>
            </w:tcBorders>
            <w:shd w:val="clear" w:color="auto" w:fill="auto"/>
            <w:noWrap/>
            <w:vAlign w:val="center"/>
            <w:hideMark/>
          </w:tcPr>
          <w:p w14:paraId="0C467E0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30946034</w:t>
            </w:r>
          </w:p>
        </w:tc>
        <w:tc>
          <w:tcPr>
            <w:tcW w:w="3360" w:type="pct"/>
            <w:tcBorders>
              <w:top w:val="nil"/>
              <w:left w:val="nil"/>
              <w:bottom w:val="single" w:sz="4" w:space="0" w:color="auto"/>
              <w:right w:val="single" w:sz="4" w:space="0" w:color="auto"/>
            </w:tcBorders>
            <w:shd w:val="clear" w:color="auto" w:fill="auto"/>
            <w:vAlign w:val="center"/>
            <w:hideMark/>
          </w:tcPr>
          <w:p w14:paraId="075CDB1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SPLOŠNA BOLNIŠNICA MURSKA SOBOTA</w:t>
            </w:r>
          </w:p>
        </w:tc>
      </w:tr>
      <w:tr w:rsidR="00E3750C" w:rsidRPr="00415AB3" w14:paraId="518E0E7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F89F73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1766</w:t>
            </w:r>
          </w:p>
        </w:tc>
        <w:tc>
          <w:tcPr>
            <w:tcW w:w="705" w:type="pct"/>
            <w:tcBorders>
              <w:top w:val="nil"/>
              <w:left w:val="nil"/>
              <w:bottom w:val="single" w:sz="4" w:space="0" w:color="auto"/>
              <w:right w:val="single" w:sz="4" w:space="0" w:color="auto"/>
            </w:tcBorders>
            <w:shd w:val="clear" w:color="auto" w:fill="auto"/>
            <w:noWrap/>
            <w:vAlign w:val="center"/>
            <w:hideMark/>
          </w:tcPr>
          <w:p w14:paraId="5ADD233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5054621000</w:t>
            </w:r>
          </w:p>
        </w:tc>
        <w:tc>
          <w:tcPr>
            <w:tcW w:w="547" w:type="pct"/>
            <w:tcBorders>
              <w:top w:val="nil"/>
              <w:left w:val="nil"/>
              <w:bottom w:val="single" w:sz="4" w:space="0" w:color="auto"/>
              <w:right w:val="single" w:sz="4" w:space="0" w:color="auto"/>
            </w:tcBorders>
            <w:shd w:val="clear" w:color="auto" w:fill="auto"/>
            <w:noWrap/>
            <w:vAlign w:val="center"/>
            <w:hideMark/>
          </w:tcPr>
          <w:p w14:paraId="709BC31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82657106</w:t>
            </w:r>
          </w:p>
        </w:tc>
        <w:tc>
          <w:tcPr>
            <w:tcW w:w="3360" w:type="pct"/>
            <w:tcBorders>
              <w:top w:val="nil"/>
              <w:left w:val="nil"/>
              <w:bottom w:val="single" w:sz="4" w:space="0" w:color="auto"/>
              <w:right w:val="single" w:sz="4" w:space="0" w:color="auto"/>
            </w:tcBorders>
            <w:shd w:val="clear" w:color="auto" w:fill="auto"/>
            <w:vAlign w:val="center"/>
            <w:hideMark/>
          </w:tcPr>
          <w:p w14:paraId="22988E0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SPLOŠNA BOLNIŠNICA NOVO MESTO</w:t>
            </w:r>
          </w:p>
        </w:tc>
      </w:tr>
      <w:tr w:rsidR="00E3750C" w:rsidRPr="00415AB3" w14:paraId="2C3DB74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1CED11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1767</w:t>
            </w:r>
          </w:p>
        </w:tc>
        <w:tc>
          <w:tcPr>
            <w:tcW w:w="705" w:type="pct"/>
            <w:tcBorders>
              <w:top w:val="nil"/>
              <w:left w:val="nil"/>
              <w:bottom w:val="single" w:sz="4" w:space="0" w:color="auto"/>
              <w:right w:val="single" w:sz="4" w:space="0" w:color="auto"/>
            </w:tcBorders>
            <w:shd w:val="clear" w:color="auto" w:fill="auto"/>
            <w:noWrap/>
            <w:vAlign w:val="center"/>
            <w:hideMark/>
          </w:tcPr>
          <w:p w14:paraId="0638269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5054958000</w:t>
            </w:r>
          </w:p>
        </w:tc>
        <w:tc>
          <w:tcPr>
            <w:tcW w:w="547" w:type="pct"/>
            <w:tcBorders>
              <w:top w:val="nil"/>
              <w:left w:val="nil"/>
              <w:bottom w:val="single" w:sz="4" w:space="0" w:color="auto"/>
              <w:right w:val="single" w:sz="4" w:space="0" w:color="auto"/>
            </w:tcBorders>
            <w:shd w:val="clear" w:color="auto" w:fill="auto"/>
            <w:noWrap/>
            <w:vAlign w:val="center"/>
            <w:hideMark/>
          </w:tcPr>
          <w:p w14:paraId="332E24E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34697390</w:t>
            </w:r>
          </w:p>
        </w:tc>
        <w:tc>
          <w:tcPr>
            <w:tcW w:w="3360" w:type="pct"/>
            <w:tcBorders>
              <w:top w:val="nil"/>
              <w:left w:val="nil"/>
              <w:bottom w:val="single" w:sz="4" w:space="0" w:color="auto"/>
              <w:right w:val="single" w:sz="4" w:space="0" w:color="auto"/>
            </w:tcBorders>
            <w:shd w:val="clear" w:color="auto" w:fill="auto"/>
            <w:vAlign w:val="center"/>
            <w:hideMark/>
          </w:tcPr>
          <w:p w14:paraId="0C4ACA4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SPLOŠNA BOLNIŠNICA SLOVENJ GRADEC</w:t>
            </w:r>
          </w:p>
        </w:tc>
      </w:tr>
      <w:tr w:rsidR="00E3750C" w:rsidRPr="00415AB3" w14:paraId="1E0C4F0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6AD7B0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1768</w:t>
            </w:r>
          </w:p>
        </w:tc>
        <w:tc>
          <w:tcPr>
            <w:tcW w:w="705" w:type="pct"/>
            <w:tcBorders>
              <w:top w:val="nil"/>
              <w:left w:val="nil"/>
              <w:bottom w:val="single" w:sz="4" w:space="0" w:color="auto"/>
              <w:right w:val="single" w:sz="4" w:space="0" w:color="auto"/>
            </w:tcBorders>
            <w:shd w:val="clear" w:color="auto" w:fill="auto"/>
            <w:noWrap/>
            <w:vAlign w:val="center"/>
            <w:hideMark/>
          </w:tcPr>
          <w:p w14:paraId="5854CF7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5055121000</w:t>
            </w:r>
          </w:p>
        </w:tc>
        <w:tc>
          <w:tcPr>
            <w:tcW w:w="547" w:type="pct"/>
            <w:tcBorders>
              <w:top w:val="nil"/>
              <w:left w:val="nil"/>
              <w:bottom w:val="single" w:sz="4" w:space="0" w:color="auto"/>
              <w:right w:val="single" w:sz="4" w:space="0" w:color="auto"/>
            </w:tcBorders>
            <w:shd w:val="clear" w:color="auto" w:fill="auto"/>
            <w:noWrap/>
            <w:vAlign w:val="center"/>
            <w:hideMark/>
          </w:tcPr>
          <w:p w14:paraId="48A917D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99756650</w:t>
            </w:r>
          </w:p>
        </w:tc>
        <w:tc>
          <w:tcPr>
            <w:tcW w:w="3360" w:type="pct"/>
            <w:tcBorders>
              <w:top w:val="nil"/>
              <w:left w:val="nil"/>
              <w:bottom w:val="single" w:sz="4" w:space="0" w:color="auto"/>
              <w:right w:val="single" w:sz="4" w:space="0" w:color="auto"/>
            </w:tcBorders>
            <w:shd w:val="clear" w:color="auto" w:fill="auto"/>
            <w:vAlign w:val="center"/>
            <w:hideMark/>
          </w:tcPr>
          <w:p w14:paraId="1A03C79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SPLOŠNA BOLNIŠNICA TRBOVLJE</w:t>
            </w:r>
          </w:p>
        </w:tc>
      </w:tr>
      <w:tr w:rsidR="00E3750C" w:rsidRPr="00415AB3" w14:paraId="289BCDF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93FDC3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1769</w:t>
            </w:r>
          </w:p>
        </w:tc>
        <w:tc>
          <w:tcPr>
            <w:tcW w:w="705" w:type="pct"/>
            <w:tcBorders>
              <w:top w:val="nil"/>
              <w:left w:val="nil"/>
              <w:bottom w:val="single" w:sz="4" w:space="0" w:color="auto"/>
              <w:right w:val="single" w:sz="4" w:space="0" w:color="auto"/>
            </w:tcBorders>
            <w:shd w:val="clear" w:color="auto" w:fill="auto"/>
            <w:noWrap/>
            <w:vAlign w:val="center"/>
            <w:hideMark/>
          </w:tcPr>
          <w:p w14:paraId="01EEFCD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5052432000</w:t>
            </w:r>
          </w:p>
        </w:tc>
        <w:tc>
          <w:tcPr>
            <w:tcW w:w="547" w:type="pct"/>
            <w:tcBorders>
              <w:top w:val="nil"/>
              <w:left w:val="nil"/>
              <w:bottom w:val="single" w:sz="4" w:space="0" w:color="auto"/>
              <w:right w:val="single" w:sz="4" w:space="0" w:color="auto"/>
            </w:tcBorders>
            <w:shd w:val="clear" w:color="auto" w:fill="auto"/>
            <w:noWrap/>
            <w:vAlign w:val="center"/>
            <w:hideMark/>
          </w:tcPr>
          <w:p w14:paraId="4865E6E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14865483</w:t>
            </w:r>
          </w:p>
        </w:tc>
        <w:tc>
          <w:tcPr>
            <w:tcW w:w="3360" w:type="pct"/>
            <w:tcBorders>
              <w:top w:val="nil"/>
              <w:left w:val="nil"/>
              <w:bottom w:val="single" w:sz="4" w:space="0" w:color="auto"/>
              <w:right w:val="single" w:sz="4" w:space="0" w:color="auto"/>
            </w:tcBorders>
            <w:shd w:val="clear" w:color="auto" w:fill="auto"/>
            <w:vAlign w:val="center"/>
            <w:hideMark/>
          </w:tcPr>
          <w:p w14:paraId="0857BA8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SPLOŠNA KNJIŽNICA LJUTOMER</w:t>
            </w:r>
          </w:p>
        </w:tc>
      </w:tr>
      <w:tr w:rsidR="00E3750C" w:rsidRPr="00415AB3" w14:paraId="226A434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C3A7A4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1770</w:t>
            </w:r>
          </w:p>
        </w:tc>
        <w:tc>
          <w:tcPr>
            <w:tcW w:w="705" w:type="pct"/>
            <w:tcBorders>
              <w:top w:val="nil"/>
              <w:left w:val="nil"/>
              <w:bottom w:val="single" w:sz="4" w:space="0" w:color="auto"/>
              <w:right w:val="single" w:sz="4" w:space="0" w:color="auto"/>
            </w:tcBorders>
            <w:shd w:val="clear" w:color="auto" w:fill="auto"/>
            <w:noWrap/>
            <w:vAlign w:val="center"/>
            <w:hideMark/>
          </w:tcPr>
          <w:p w14:paraId="6A71593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5085527000</w:t>
            </w:r>
          </w:p>
        </w:tc>
        <w:tc>
          <w:tcPr>
            <w:tcW w:w="547" w:type="pct"/>
            <w:tcBorders>
              <w:top w:val="nil"/>
              <w:left w:val="nil"/>
              <w:bottom w:val="single" w:sz="4" w:space="0" w:color="auto"/>
              <w:right w:val="single" w:sz="4" w:space="0" w:color="auto"/>
            </w:tcBorders>
            <w:shd w:val="clear" w:color="auto" w:fill="auto"/>
            <w:noWrap/>
            <w:vAlign w:val="center"/>
            <w:hideMark/>
          </w:tcPr>
          <w:p w14:paraId="197997F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39643735</w:t>
            </w:r>
          </w:p>
        </w:tc>
        <w:tc>
          <w:tcPr>
            <w:tcW w:w="3360" w:type="pct"/>
            <w:tcBorders>
              <w:top w:val="nil"/>
              <w:left w:val="nil"/>
              <w:bottom w:val="single" w:sz="4" w:space="0" w:color="auto"/>
              <w:right w:val="single" w:sz="4" w:space="0" w:color="auto"/>
            </w:tcBorders>
            <w:shd w:val="clear" w:color="auto" w:fill="auto"/>
            <w:vAlign w:val="center"/>
            <w:hideMark/>
          </w:tcPr>
          <w:p w14:paraId="68C681B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SREDNJA EKONOMSKA ŠOLA IN GIMNAZIJA MARIBOR</w:t>
            </w:r>
          </w:p>
        </w:tc>
      </w:tr>
      <w:tr w:rsidR="00E3750C" w:rsidRPr="00415AB3" w14:paraId="21DC2D6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1A4152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1771</w:t>
            </w:r>
          </w:p>
        </w:tc>
        <w:tc>
          <w:tcPr>
            <w:tcW w:w="705" w:type="pct"/>
            <w:tcBorders>
              <w:top w:val="nil"/>
              <w:left w:val="nil"/>
              <w:bottom w:val="single" w:sz="4" w:space="0" w:color="auto"/>
              <w:right w:val="single" w:sz="4" w:space="0" w:color="auto"/>
            </w:tcBorders>
            <w:shd w:val="clear" w:color="auto" w:fill="auto"/>
            <w:noWrap/>
            <w:vAlign w:val="center"/>
            <w:hideMark/>
          </w:tcPr>
          <w:p w14:paraId="6ECC0D2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5084199000</w:t>
            </w:r>
          </w:p>
        </w:tc>
        <w:tc>
          <w:tcPr>
            <w:tcW w:w="547" w:type="pct"/>
            <w:tcBorders>
              <w:top w:val="nil"/>
              <w:left w:val="nil"/>
              <w:bottom w:val="single" w:sz="4" w:space="0" w:color="auto"/>
              <w:right w:val="single" w:sz="4" w:space="0" w:color="auto"/>
            </w:tcBorders>
            <w:shd w:val="clear" w:color="auto" w:fill="auto"/>
            <w:noWrap/>
            <w:vAlign w:val="center"/>
            <w:hideMark/>
          </w:tcPr>
          <w:p w14:paraId="25223DE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43787991</w:t>
            </w:r>
          </w:p>
        </w:tc>
        <w:tc>
          <w:tcPr>
            <w:tcW w:w="3360" w:type="pct"/>
            <w:tcBorders>
              <w:top w:val="nil"/>
              <w:left w:val="nil"/>
              <w:bottom w:val="single" w:sz="4" w:space="0" w:color="auto"/>
              <w:right w:val="single" w:sz="4" w:space="0" w:color="auto"/>
            </w:tcBorders>
            <w:shd w:val="clear" w:color="auto" w:fill="auto"/>
            <w:vAlign w:val="center"/>
            <w:hideMark/>
          </w:tcPr>
          <w:p w14:paraId="2DAEB17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SREDNJA EKONOMSKA ŠOLA LJUBLJANA</w:t>
            </w:r>
          </w:p>
        </w:tc>
      </w:tr>
      <w:tr w:rsidR="00E3750C" w:rsidRPr="00415AB3" w14:paraId="603B8D6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6C6A13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1772</w:t>
            </w:r>
          </w:p>
        </w:tc>
        <w:tc>
          <w:tcPr>
            <w:tcW w:w="705" w:type="pct"/>
            <w:tcBorders>
              <w:top w:val="nil"/>
              <w:left w:val="nil"/>
              <w:bottom w:val="single" w:sz="4" w:space="0" w:color="auto"/>
              <w:right w:val="single" w:sz="4" w:space="0" w:color="auto"/>
            </w:tcBorders>
            <w:shd w:val="clear" w:color="auto" w:fill="auto"/>
            <w:noWrap/>
            <w:vAlign w:val="center"/>
            <w:hideMark/>
          </w:tcPr>
          <w:p w14:paraId="5D23517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5088712000</w:t>
            </w:r>
          </w:p>
        </w:tc>
        <w:tc>
          <w:tcPr>
            <w:tcW w:w="547" w:type="pct"/>
            <w:tcBorders>
              <w:top w:val="nil"/>
              <w:left w:val="nil"/>
              <w:bottom w:val="single" w:sz="4" w:space="0" w:color="auto"/>
              <w:right w:val="single" w:sz="4" w:space="0" w:color="auto"/>
            </w:tcBorders>
            <w:shd w:val="clear" w:color="auto" w:fill="auto"/>
            <w:noWrap/>
            <w:vAlign w:val="center"/>
            <w:hideMark/>
          </w:tcPr>
          <w:p w14:paraId="2EF8E23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26806088</w:t>
            </w:r>
          </w:p>
        </w:tc>
        <w:tc>
          <w:tcPr>
            <w:tcW w:w="3360" w:type="pct"/>
            <w:tcBorders>
              <w:top w:val="nil"/>
              <w:left w:val="nil"/>
              <w:bottom w:val="single" w:sz="4" w:space="0" w:color="auto"/>
              <w:right w:val="single" w:sz="4" w:space="0" w:color="auto"/>
            </w:tcBorders>
            <w:shd w:val="clear" w:color="auto" w:fill="auto"/>
            <w:vAlign w:val="center"/>
            <w:hideMark/>
          </w:tcPr>
          <w:p w14:paraId="1D0B940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 xml:space="preserve">SREDNJA EKONOMSKO - POSLOVNA ŠOLA KOPER </w:t>
            </w:r>
          </w:p>
        </w:tc>
      </w:tr>
      <w:tr w:rsidR="00E3750C" w:rsidRPr="00415AB3" w14:paraId="23C94FF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7ACFB6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1773</w:t>
            </w:r>
          </w:p>
        </w:tc>
        <w:tc>
          <w:tcPr>
            <w:tcW w:w="705" w:type="pct"/>
            <w:tcBorders>
              <w:top w:val="nil"/>
              <w:left w:val="nil"/>
              <w:bottom w:val="single" w:sz="4" w:space="0" w:color="auto"/>
              <w:right w:val="single" w:sz="4" w:space="0" w:color="auto"/>
            </w:tcBorders>
            <w:shd w:val="clear" w:color="auto" w:fill="auto"/>
            <w:noWrap/>
            <w:vAlign w:val="center"/>
            <w:hideMark/>
          </w:tcPr>
          <w:p w14:paraId="7235FE8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6430856000</w:t>
            </w:r>
          </w:p>
        </w:tc>
        <w:tc>
          <w:tcPr>
            <w:tcW w:w="547" w:type="pct"/>
            <w:tcBorders>
              <w:top w:val="nil"/>
              <w:left w:val="nil"/>
              <w:bottom w:val="single" w:sz="4" w:space="0" w:color="auto"/>
              <w:right w:val="single" w:sz="4" w:space="0" w:color="auto"/>
            </w:tcBorders>
            <w:shd w:val="clear" w:color="auto" w:fill="auto"/>
            <w:noWrap/>
            <w:vAlign w:val="center"/>
            <w:hideMark/>
          </w:tcPr>
          <w:p w14:paraId="1C7265E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58751009</w:t>
            </w:r>
          </w:p>
        </w:tc>
        <w:tc>
          <w:tcPr>
            <w:tcW w:w="3360" w:type="pct"/>
            <w:tcBorders>
              <w:top w:val="nil"/>
              <w:left w:val="nil"/>
              <w:bottom w:val="single" w:sz="4" w:space="0" w:color="auto"/>
              <w:right w:val="single" w:sz="4" w:space="0" w:color="auto"/>
            </w:tcBorders>
            <w:shd w:val="clear" w:color="auto" w:fill="auto"/>
            <w:vAlign w:val="center"/>
            <w:hideMark/>
          </w:tcPr>
          <w:p w14:paraId="6BBBEEE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SREDNJA ELEKTRO-RAČUNALNIŠKA ŠOLA MARIBOR</w:t>
            </w:r>
          </w:p>
        </w:tc>
      </w:tr>
      <w:tr w:rsidR="00E3750C" w:rsidRPr="00415AB3" w14:paraId="1655AE7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D0E73C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1774</w:t>
            </w:r>
          </w:p>
        </w:tc>
        <w:tc>
          <w:tcPr>
            <w:tcW w:w="705" w:type="pct"/>
            <w:tcBorders>
              <w:top w:val="nil"/>
              <w:left w:val="nil"/>
              <w:bottom w:val="single" w:sz="4" w:space="0" w:color="auto"/>
              <w:right w:val="single" w:sz="4" w:space="0" w:color="auto"/>
            </w:tcBorders>
            <w:shd w:val="clear" w:color="auto" w:fill="auto"/>
            <w:noWrap/>
            <w:vAlign w:val="center"/>
            <w:hideMark/>
          </w:tcPr>
          <w:p w14:paraId="2E7B7A9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5653347000</w:t>
            </w:r>
          </w:p>
        </w:tc>
        <w:tc>
          <w:tcPr>
            <w:tcW w:w="547" w:type="pct"/>
            <w:tcBorders>
              <w:top w:val="nil"/>
              <w:left w:val="nil"/>
              <w:bottom w:val="single" w:sz="4" w:space="0" w:color="auto"/>
              <w:right w:val="single" w:sz="4" w:space="0" w:color="auto"/>
            </w:tcBorders>
            <w:shd w:val="clear" w:color="auto" w:fill="auto"/>
            <w:noWrap/>
            <w:vAlign w:val="center"/>
            <w:hideMark/>
          </w:tcPr>
          <w:p w14:paraId="521AFE2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42992206</w:t>
            </w:r>
          </w:p>
        </w:tc>
        <w:tc>
          <w:tcPr>
            <w:tcW w:w="3360" w:type="pct"/>
            <w:tcBorders>
              <w:top w:val="nil"/>
              <w:left w:val="nil"/>
              <w:bottom w:val="single" w:sz="4" w:space="0" w:color="auto"/>
              <w:right w:val="single" w:sz="4" w:space="0" w:color="auto"/>
            </w:tcBorders>
            <w:shd w:val="clear" w:color="auto" w:fill="auto"/>
            <w:vAlign w:val="center"/>
            <w:hideMark/>
          </w:tcPr>
          <w:p w14:paraId="7094C4F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SREDNJA FRIZERSKA ŠOLA LJUBLJANA</w:t>
            </w:r>
          </w:p>
        </w:tc>
      </w:tr>
      <w:tr w:rsidR="00E3750C" w:rsidRPr="00415AB3" w14:paraId="41588EC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01310F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1775</w:t>
            </w:r>
          </w:p>
        </w:tc>
        <w:tc>
          <w:tcPr>
            <w:tcW w:w="705" w:type="pct"/>
            <w:tcBorders>
              <w:top w:val="nil"/>
              <w:left w:val="nil"/>
              <w:bottom w:val="single" w:sz="4" w:space="0" w:color="auto"/>
              <w:right w:val="single" w:sz="4" w:space="0" w:color="auto"/>
            </w:tcBorders>
            <w:shd w:val="clear" w:color="auto" w:fill="auto"/>
            <w:noWrap/>
            <w:vAlign w:val="center"/>
            <w:hideMark/>
          </w:tcPr>
          <w:p w14:paraId="267F296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5921678000</w:t>
            </w:r>
          </w:p>
        </w:tc>
        <w:tc>
          <w:tcPr>
            <w:tcW w:w="547" w:type="pct"/>
            <w:tcBorders>
              <w:top w:val="nil"/>
              <w:left w:val="nil"/>
              <w:bottom w:val="single" w:sz="4" w:space="0" w:color="auto"/>
              <w:right w:val="single" w:sz="4" w:space="0" w:color="auto"/>
            </w:tcBorders>
            <w:shd w:val="clear" w:color="auto" w:fill="auto"/>
            <w:noWrap/>
            <w:vAlign w:val="center"/>
            <w:hideMark/>
          </w:tcPr>
          <w:p w14:paraId="776515E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29929610</w:t>
            </w:r>
          </w:p>
        </w:tc>
        <w:tc>
          <w:tcPr>
            <w:tcW w:w="3360" w:type="pct"/>
            <w:tcBorders>
              <w:top w:val="nil"/>
              <w:left w:val="nil"/>
              <w:bottom w:val="single" w:sz="4" w:space="0" w:color="auto"/>
              <w:right w:val="single" w:sz="4" w:space="0" w:color="auto"/>
            </w:tcBorders>
            <w:shd w:val="clear" w:color="auto" w:fill="auto"/>
            <w:vAlign w:val="center"/>
            <w:hideMark/>
          </w:tcPr>
          <w:p w14:paraId="7C075BC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SREDNJA GOSTINSKA IN TURISTIČNA ŠOLA RADOVLJICA</w:t>
            </w:r>
          </w:p>
        </w:tc>
      </w:tr>
      <w:tr w:rsidR="00E3750C" w:rsidRPr="00415AB3" w14:paraId="4FBFFDE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D6A25A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1776</w:t>
            </w:r>
          </w:p>
        </w:tc>
        <w:tc>
          <w:tcPr>
            <w:tcW w:w="705" w:type="pct"/>
            <w:tcBorders>
              <w:top w:val="nil"/>
              <w:left w:val="nil"/>
              <w:bottom w:val="single" w:sz="4" w:space="0" w:color="auto"/>
              <w:right w:val="single" w:sz="4" w:space="0" w:color="auto"/>
            </w:tcBorders>
            <w:shd w:val="clear" w:color="auto" w:fill="auto"/>
            <w:noWrap/>
            <w:vAlign w:val="center"/>
            <w:hideMark/>
          </w:tcPr>
          <w:p w14:paraId="6C33952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5089808000</w:t>
            </w:r>
          </w:p>
        </w:tc>
        <w:tc>
          <w:tcPr>
            <w:tcW w:w="547" w:type="pct"/>
            <w:tcBorders>
              <w:top w:val="nil"/>
              <w:left w:val="nil"/>
              <w:bottom w:val="single" w:sz="4" w:space="0" w:color="auto"/>
              <w:right w:val="single" w:sz="4" w:space="0" w:color="auto"/>
            </w:tcBorders>
            <w:shd w:val="clear" w:color="auto" w:fill="auto"/>
            <w:noWrap/>
            <w:vAlign w:val="center"/>
            <w:hideMark/>
          </w:tcPr>
          <w:p w14:paraId="11EE654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55477232</w:t>
            </w:r>
          </w:p>
        </w:tc>
        <w:tc>
          <w:tcPr>
            <w:tcW w:w="3360" w:type="pct"/>
            <w:tcBorders>
              <w:top w:val="nil"/>
              <w:left w:val="nil"/>
              <w:bottom w:val="single" w:sz="4" w:space="0" w:color="auto"/>
              <w:right w:val="single" w:sz="4" w:space="0" w:color="auto"/>
            </w:tcBorders>
            <w:shd w:val="clear" w:color="auto" w:fill="auto"/>
            <w:vAlign w:val="center"/>
            <w:hideMark/>
          </w:tcPr>
          <w:p w14:paraId="01AFC90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SREDNJA GOZDARSKA, LESARSKA IN ZDRAVSTVENA ŠOLA POSTOJNA</w:t>
            </w:r>
          </w:p>
        </w:tc>
      </w:tr>
      <w:tr w:rsidR="00E3750C" w:rsidRPr="00415AB3" w14:paraId="50AF92D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37BE05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1777</w:t>
            </w:r>
          </w:p>
        </w:tc>
        <w:tc>
          <w:tcPr>
            <w:tcW w:w="705" w:type="pct"/>
            <w:tcBorders>
              <w:top w:val="nil"/>
              <w:left w:val="nil"/>
              <w:bottom w:val="single" w:sz="4" w:space="0" w:color="auto"/>
              <w:right w:val="single" w:sz="4" w:space="0" w:color="auto"/>
            </w:tcBorders>
            <w:shd w:val="clear" w:color="auto" w:fill="auto"/>
            <w:noWrap/>
            <w:vAlign w:val="center"/>
            <w:hideMark/>
          </w:tcPr>
          <w:p w14:paraId="1259F8D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5089930000</w:t>
            </w:r>
          </w:p>
        </w:tc>
        <w:tc>
          <w:tcPr>
            <w:tcW w:w="547" w:type="pct"/>
            <w:tcBorders>
              <w:top w:val="nil"/>
              <w:left w:val="nil"/>
              <w:bottom w:val="single" w:sz="4" w:space="0" w:color="auto"/>
              <w:right w:val="single" w:sz="4" w:space="0" w:color="auto"/>
            </w:tcBorders>
            <w:shd w:val="clear" w:color="auto" w:fill="auto"/>
            <w:noWrap/>
            <w:vAlign w:val="center"/>
            <w:hideMark/>
          </w:tcPr>
          <w:p w14:paraId="20AB3EE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77098846</w:t>
            </w:r>
          </w:p>
        </w:tc>
        <w:tc>
          <w:tcPr>
            <w:tcW w:w="3360" w:type="pct"/>
            <w:tcBorders>
              <w:top w:val="nil"/>
              <w:left w:val="nil"/>
              <w:bottom w:val="single" w:sz="4" w:space="0" w:color="auto"/>
              <w:right w:val="single" w:sz="4" w:space="0" w:color="auto"/>
            </w:tcBorders>
            <w:shd w:val="clear" w:color="auto" w:fill="auto"/>
            <w:vAlign w:val="center"/>
            <w:hideMark/>
          </w:tcPr>
          <w:p w14:paraId="6498B04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SREDNJA GRADBENA ŠOLA IN GIMNAZIJA MARIBOR</w:t>
            </w:r>
          </w:p>
        </w:tc>
      </w:tr>
      <w:tr w:rsidR="00E3750C" w:rsidRPr="00415AB3" w14:paraId="75782443"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AA2513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1778</w:t>
            </w:r>
          </w:p>
        </w:tc>
        <w:tc>
          <w:tcPr>
            <w:tcW w:w="705" w:type="pct"/>
            <w:tcBorders>
              <w:top w:val="nil"/>
              <w:left w:val="nil"/>
              <w:bottom w:val="single" w:sz="4" w:space="0" w:color="auto"/>
              <w:right w:val="single" w:sz="4" w:space="0" w:color="auto"/>
            </w:tcBorders>
            <w:shd w:val="clear" w:color="auto" w:fill="auto"/>
            <w:noWrap/>
            <w:vAlign w:val="center"/>
            <w:hideMark/>
          </w:tcPr>
          <w:p w14:paraId="4013CEB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5084130000</w:t>
            </w:r>
          </w:p>
        </w:tc>
        <w:tc>
          <w:tcPr>
            <w:tcW w:w="547" w:type="pct"/>
            <w:tcBorders>
              <w:top w:val="nil"/>
              <w:left w:val="nil"/>
              <w:bottom w:val="single" w:sz="4" w:space="0" w:color="auto"/>
              <w:right w:val="single" w:sz="4" w:space="0" w:color="auto"/>
            </w:tcBorders>
            <w:shd w:val="clear" w:color="auto" w:fill="auto"/>
            <w:noWrap/>
            <w:vAlign w:val="center"/>
            <w:hideMark/>
          </w:tcPr>
          <w:p w14:paraId="52EEA4B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54108411</w:t>
            </w:r>
          </w:p>
        </w:tc>
        <w:tc>
          <w:tcPr>
            <w:tcW w:w="3360" w:type="pct"/>
            <w:tcBorders>
              <w:top w:val="nil"/>
              <w:left w:val="nil"/>
              <w:bottom w:val="single" w:sz="4" w:space="0" w:color="auto"/>
              <w:right w:val="single" w:sz="4" w:space="0" w:color="auto"/>
            </w:tcBorders>
            <w:shd w:val="clear" w:color="auto" w:fill="auto"/>
            <w:vAlign w:val="center"/>
            <w:hideMark/>
          </w:tcPr>
          <w:p w14:paraId="2830DC1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SREDNJA GRADBENA, GEODETSKA IN OKOLJEVARSTVENA ŠOLA LJUBLJANA</w:t>
            </w:r>
          </w:p>
        </w:tc>
      </w:tr>
      <w:tr w:rsidR="00E3750C" w:rsidRPr="00415AB3" w14:paraId="10A72E2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D140A3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1779</w:t>
            </w:r>
          </w:p>
        </w:tc>
        <w:tc>
          <w:tcPr>
            <w:tcW w:w="705" w:type="pct"/>
            <w:tcBorders>
              <w:top w:val="nil"/>
              <w:left w:val="nil"/>
              <w:bottom w:val="single" w:sz="4" w:space="0" w:color="auto"/>
              <w:right w:val="single" w:sz="4" w:space="0" w:color="auto"/>
            </w:tcBorders>
            <w:shd w:val="clear" w:color="auto" w:fill="auto"/>
            <w:noWrap/>
            <w:vAlign w:val="center"/>
            <w:hideMark/>
          </w:tcPr>
          <w:p w14:paraId="24D98F3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5086671000</w:t>
            </w:r>
          </w:p>
        </w:tc>
        <w:tc>
          <w:tcPr>
            <w:tcW w:w="547" w:type="pct"/>
            <w:tcBorders>
              <w:top w:val="nil"/>
              <w:left w:val="nil"/>
              <w:bottom w:val="single" w:sz="4" w:space="0" w:color="auto"/>
              <w:right w:val="single" w:sz="4" w:space="0" w:color="auto"/>
            </w:tcBorders>
            <w:shd w:val="clear" w:color="auto" w:fill="auto"/>
            <w:noWrap/>
            <w:vAlign w:val="center"/>
            <w:hideMark/>
          </w:tcPr>
          <w:p w14:paraId="49580EA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77459849</w:t>
            </w:r>
          </w:p>
        </w:tc>
        <w:tc>
          <w:tcPr>
            <w:tcW w:w="3360" w:type="pct"/>
            <w:tcBorders>
              <w:top w:val="nil"/>
              <w:left w:val="nil"/>
              <w:bottom w:val="single" w:sz="4" w:space="0" w:color="auto"/>
              <w:right w:val="single" w:sz="4" w:space="0" w:color="auto"/>
            </w:tcBorders>
            <w:shd w:val="clear" w:color="auto" w:fill="auto"/>
            <w:vAlign w:val="center"/>
            <w:hideMark/>
          </w:tcPr>
          <w:p w14:paraId="5236855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SREDNJA MEDIJSKA IN GRAFIČNA ŠOLA LJUBLJANA</w:t>
            </w:r>
          </w:p>
        </w:tc>
      </w:tr>
      <w:tr w:rsidR="00E3750C" w:rsidRPr="00415AB3" w14:paraId="652C257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8A37C0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1780</w:t>
            </w:r>
          </w:p>
        </w:tc>
        <w:tc>
          <w:tcPr>
            <w:tcW w:w="705" w:type="pct"/>
            <w:tcBorders>
              <w:top w:val="nil"/>
              <w:left w:val="nil"/>
              <w:bottom w:val="single" w:sz="4" w:space="0" w:color="auto"/>
              <w:right w:val="single" w:sz="4" w:space="0" w:color="auto"/>
            </w:tcBorders>
            <w:shd w:val="clear" w:color="auto" w:fill="auto"/>
            <w:noWrap/>
            <w:vAlign w:val="center"/>
            <w:hideMark/>
          </w:tcPr>
          <w:p w14:paraId="32DA89F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5508550000</w:t>
            </w:r>
          </w:p>
        </w:tc>
        <w:tc>
          <w:tcPr>
            <w:tcW w:w="547" w:type="pct"/>
            <w:tcBorders>
              <w:top w:val="nil"/>
              <w:left w:val="nil"/>
              <w:bottom w:val="single" w:sz="4" w:space="0" w:color="auto"/>
              <w:right w:val="single" w:sz="4" w:space="0" w:color="auto"/>
            </w:tcBorders>
            <w:shd w:val="clear" w:color="auto" w:fill="auto"/>
            <w:noWrap/>
            <w:vAlign w:val="center"/>
            <w:hideMark/>
          </w:tcPr>
          <w:p w14:paraId="04EB85C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54021839</w:t>
            </w:r>
          </w:p>
        </w:tc>
        <w:tc>
          <w:tcPr>
            <w:tcW w:w="3360" w:type="pct"/>
            <w:tcBorders>
              <w:top w:val="nil"/>
              <w:left w:val="nil"/>
              <w:bottom w:val="single" w:sz="4" w:space="0" w:color="auto"/>
              <w:right w:val="single" w:sz="4" w:space="0" w:color="auto"/>
            </w:tcBorders>
            <w:shd w:val="clear" w:color="auto" w:fill="auto"/>
            <w:vAlign w:val="center"/>
            <w:hideMark/>
          </w:tcPr>
          <w:p w14:paraId="5A78BE5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SREDNJA POKLICNA IN TEHNIŠKA ŠOLA MURSKA SOBOTA</w:t>
            </w:r>
          </w:p>
        </w:tc>
      </w:tr>
      <w:tr w:rsidR="00E3750C" w:rsidRPr="00415AB3" w14:paraId="0BEC2EF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9A72A9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1781</w:t>
            </w:r>
          </w:p>
        </w:tc>
        <w:tc>
          <w:tcPr>
            <w:tcW w:w="705" w:type="pct"/>
            <w:tcBorders>
              <w:top w:val="nil"/>
              <w:left w:val="nil"/>
              <w:bottom w:val="single" w:sz="4" w:space="0" w:color="auto"/>
              <w:right w:val="single" w:sz="4" w:space="0" w:color="auto"/>
            </w:tcBorders>
            <w:shd w:val="clear" w:color="auto" w:fill="auto"/>
            <w:noWrap/>
            <w:vAlign w:val="center"/>
            <w:hideMark/>
          </w:tcPr>
          <w:p w14:paraId="4D19B83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5085934000</w:t>
            </w:r>
          </w:p>
        </w:tc>
        <w:tc>
          <w:tcPr>
            <w:tcW w:w="547" w:type="pct"/>
            <w:tcBorders>
              <w:top w:val="nil"/>
              <w:left w:val="nil"/>
              <w:bottom w:val="single" w:sz="4" w:space="0" w:color="auto"/>
              <w:right w:val="single" w:sz="4" w:space="0" w:color="auto"/>
            </w:tcBorders>
            <w:shd w:val="clear" w:color="auto" w:fill="auto"/>
            <w:noWrap/>
            <w:vAlign w:val="center"/>
            <w:hideMark/>
          </w:tcPr>
          <w:p w14:paraId="6EBC521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72429968</w:t>
            </w:r>
          </w:p>
        </w:tc>
        <w:tc>
          <w:tcPr>
            <w:tcW w:w="3360" w:type="pct"/>
            <w:tcBorders>
              <w:top w:val="nil"/>
              <w:left w:val="nil"/>
              <w:bottom w:val="single" w:sz="4" w:space="0" w:color="auto"/>
              <w:right w:val="single" w:sz="4" w:space="0" w:color="auto"/>
            </w:tcBorders>
            <w:shd w:val="clear" w:color="auto" w:fill="auto"/>
            <w:vAlign w:val="center"/>
            <w:hideMark/>
          </w:tcPr>
          <w:p w14:paraId="49A64D3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SREDNJA ŠOLA ČRNOMELJ</w:t>
            </w:r>
          </w:p>
        </w:tc>
      </w:tr>
      <w:tr w:rsidR="00E3750C" w:rsidRPr="00415AB3" w14:paraId="4B39714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ED35FB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1782</w:t>
            </w:r>
          </w:p>
        </w:tc>
        <w:tc>
          <w:tcPr>
            <w:tcW w:w="705" w:type="pct"/>
            <w:tcBorders>
              <w:top w:val="nil"/>
              <w:left w:val="nil"/>
              <w:bottom w:val="single" w:sz="4" w:space="0" w:color="auto"/>
              <w:right w:val="single" w:sz="4" w:space="0" w:color="auto"/>
            </w:tcBorders>
            <w:shd w:val="clear" w:color="auto" w:fill="auto"/>
            <w:noWrap/>
            <w:vAlign w:val="center"/>
            <w:hideMark/>
          </w:tcPr>
          <w:p w14:paraId="0E0D194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5084750000</w:t>
            </w:r>
          </w:p>
        </w:tc>
        <w:tc>
          <w:tcPr>
            <w:tcW w:w="547" w:type="pct"/>
            <w:tcBorders>
              <w:top w:val="nil"/>
              <w:left w:val="nil"/>
              <w:bottom w:val="single" w:sz="4" w:space="0" w:color="auto"/>
              <w:right w:val="single" w:sz="4" w:space="0" w:color="auto"/>
            </w:tcBorders>
            <w:shd w:val="clear" w:color="auto" w:fill="auto"/>
            <w:noWrap/>
            <w:vAlign w:val="center"/>
            <w:hideMark/>
          </w:tcPr>
          <w:p w14:paraId="27905CA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28922026</w:t>
            </w:r>
          </w:p>
        </w:tc>
        <w:tc>
          <w:tcPr>
            <w:tcW w:w="3360" w:type="pct"/>
            <w:tcBorders>
              <w:top w:val="nil"/>
              <w:left w:val="nil"/>
              <w:bottom w:val="single" w:sz="4" w:space="0" w:color="auto"/>
              <w:right w:val="single" w:sz="4" w:space="0" w:color="auto"/>
            </w:tcBorders>
            <w:shd w:val="clear" w:color="auto" w:fill="auto"/>
            <w:vAlign w:val="center"/>
            <w:hideMark/>
          </w:tcPr>
          <w:p w14:paraId="683EC5D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SREDNJA ŠOLA DOMŽALE</w:t>
            </w:r>
          </w:p>
        </w:tc>
      </w:tr>
      <w:tr w:rsidR="00E3750C" w:rsidRPr="00415AB3" w14:paraId="1552B54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5BC4B6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1783</w:t>
            </w:r>
          </w:p>
        </w:tc>
        <w:tc>
          <w:tcPr>
            <w:tcW w:w="705" w:type="pct"/>
            <w:tcBorders>
              <w:top w:val="nil"/>
              <w:left w:val="nil"/>
              <w:bottom w:val="single" w:sz="4" w:space="0" w:color="auto"/>
              <w:right w:val="single" w:sz="4" w:space="0" w:color="auto"/>
            </w:tcBorders>
            <w:shd w:val="clear" w:color="auto" w:fill="auto"/>
            <w:noWrap/>
            <w:vAlign w:val="center"/>
            <w:hideMark/>
          </w:tcPr>
          <w:p w14:paraId="53A64DC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6285996000</w:t>
            </w:r>
          </w:p>
        </w:tc>
        <w:tc>
          <w:tcPr>
            <w:tcW w:w="547" w:type="pct"/>
            <w:tcBorders>
              <w:top w:val="nil"/>
              <w:left w:val="nil"/>
              <w:bottom w:val="single" w:sz="4" w:space="0" w:color="auto"/>
              <w:right w:val="single" w:sz="4" w:space="0" w:color="auto"/>
            </w:tcBorders>
            <w:shd w:val="clear" w:color="auto" w:fill="auto"/>
            <w:noWrap/>
            <w:vAlign w:val="center"/>
            <w:hideMark/>
          </w:tcPr>
          <w:p w14:paraId="2E0248D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83800280</w:t>
            </w:r>
          </w:p>
        </w:tc>
        <w:tc>
          <w:tcPr>
            <w:tcW w:w="3360" w:type="pct"/>
            <w:tcBorders>
              <w:top w:val="nil"/>
              <w:left w:val="nil"/>
              <w:bottom w:val="single" w:sz="4" w:space="0" w:color="auto"/>
              <w:right w:val="single" w:sz="4" w:space="0" w:color="auto"/>
            </w:tcBorders>
            <w:shd w:val="clear" w:color="auto" w:fill="auto"/>
            <w:vAlign w:val="center"/>
            <w:hideMark/>
          </w:tcPr>
          <w:p w14:paraId="28B07A5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SREDNJA ŠOLA IZOLA - SCUOLA MEDIA ISOLA</w:t>
            </w:r>
          </w:p>
        </w:tc>
      </w:tr>
      <w:tr w:rsidR="00E3750C" w:rsidRPr="00415AB3" w14:paraId="38AD05E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1010B7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1784</w:t>
            </w:r>
          </w:p>
        </w:tc>
        <w:tc>
          <w:tcPr>
            <w:tcW w:w="705" w:type="pct"/>
            <w:tcBorders>
              <w:top w:val="nil"/>
              <w:left w:val="nil"/>
              <w:bottom w:val="single" w:sz="4" w:space="0" w:color="auto"/>
              <w:right w:val="single" w:sz="4" w:space="0" w:color="auto"/>
            </w:tcBorders>
            <w:shd w:val="clear" w:color="auto" w:fill="auto"/>
            <w:noWrap/>
            <w:vAlign w:val="center"/>
            <w:hideMark/>
          </w:tcPr>
          <w:p w14:paraId="402156D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5854105000</w:t>
            </w:r>
          </w:p>
        </w:tc>
        <w:tc>
          <w:tcPr>
            <w:tcW w:w="547" w:type="pct"/>
            <w:tcBorders>
              <w:top w:val="nil"/>
              <w:left w:val="nil"/>
              <w:bottom w:val="single" w:sz="4" w:space="0" w:color="auto"/>
              <w:right w:val="single" w:sz="4" w:space="0" w:color="auto"/>
            </w:tcBorders>
            <w:shd w:val="clear" w:color="auto" w:fill="auto"/>
            <w:noWrap/>
            <w:vAlign w:val="center"/>
            <w:hideMark/>
          </w:tcPr>
          <w:p w14:paraId="5A0DD0B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62275348</w:t>
            </w:r>
          </w:p>
        </w:tc>
        <w:tc>
          <w:tcPr>
            <w:tcW w:w="3360" w:type="pct"/>
            <w:tcBorders>
              <w:top w:val="nil"/>
              <w:left w:val="nil"/>
              <w:bottom w:val="single" w:sz="4" w:space="0" w:color="auto"/>
              <w:right w:val="single" w:sz="4" w:space="0" w:color="auto"/>
            </w:tcBorders>
            <w:shd w:val="clear" w:color="auto" w:fill="auto"/>
            <w:vAlign w:val="center"/>
            <w:hideMark/>
          </w:tcPr>
          <w:p w14:paraId="5F0E0A4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SREDNJA ŠOLA JESENICE</w:t>
            </w:r>
          </w:p>
        </w:tc>
      </w:tr>
      <w:tr w:rsidR="00E3750C" w:rsidRPr="00415AB3" w14:paraId="19F5911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0C967E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1785</w:t>
            </w:r>
          </w:p>
        </w:tc>
        <w:tc>
          <w:tcPr>
            <w:tcW w:w="705" w:type="pct"/>
            <w:tcBorders>
              <w:top w:val="nil"/>
              <w:left w:val="nil"/>
              <w:bottom w:val="single" w:sz="4" w:space="0" w:color="auto"/>
              <w:right w:val="single" w:sz="4" w:space="0" w:color="auto"/>
            </w:tcBorders>
            <w:shd w:val="clear" w:color="auto" w:fill="auto"/>
            <w:noWrap/>
            <w:vAlign w:val="center"/>
            <w:hideMark/>
          </w:tcPr>
          <w:p w14:paraId="29A31C9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5083893000</w:t>
            </w:r>
          </w:p>
        </w:tc>
        <w:tc>
          <w:tcPr>
            <w:tcW w:w="547" w:type="pct"/>
            <w:tcBorders>
              <w:top w:val="nil"/>
              <w:left w:val="nil"/>
              <w:bottom w:val="single" w:sz="4" w:space="0" w:color="auto"/>
              <w:right w:val="single" w:sz="4" w:space="0" w:color="auto"/>
            </w:tcBorders>
            <w:shd w:val="clear" w:color="auto" w:fill="auto"/>
            <w:noWrap/>
            <w:vAlign w:val="center"/>
            <w:hideMark/>
          </w:tcPr>
          <w:p w14:paraId="718BF43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47081961</w:t>
            </w:r>
          </w:p>
        </w:tc>
        <w:tc>
          <w:tcPr>
            <w:tcW w:w="3360" w:type="pct"/>
            <w:tcBorders>
              <w:top w:val="nil"/>
              <w:left w:val="nil"/>
              <w:bottom w:val="single" w:sz="4" w:space="0" w:color="auto"/>
              <w:right w:val="single" w:sz="4" w:space="0" w:color="auto"/>
            </w:tcBorders>
            <w:shd w:val="clear" w:color="auto" w:fill="auto"/>
            <w:vAlign w:val="center"/>
            <w:hideMark/>
          </w:tcPr>
          <w:p w14:paraId="2124C06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SREDNJA ŠOLA PIETRO COPPO IZOLA</w:t>
            </w:r>
          </w:p>
        </w:tc>
      </w:tr>
      <w:tr w:rsidR="00E3750C" w:rsidRPr="00415AB3" w14:paraId="6F56331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CCB4A1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1786</w:t>
            </w:r>
          </w:p>
        </w:tc>
        <w:tc>
          <w:tcPr>
            <w:tcW w:w="705" w:type="pct"/>
            <w:tcBorders>
              <w:top w:val="nil"/>
              <w:left w:val="nil"/>
              <w:bottom w:val="single" w:sz="4" w:space="0" w:color="auto"/>
              <w:right w:val="single" w:sz="4" w:space="0" w:color="auto"/>
            </w:tcBorders>
            <w:shd w:val="clear" w:color="auto" w:fill="auto"/>
            <w:noWrap/>
            <w:vAlign w:val="center"/>
            <w:hideMark/>
          </w:tcPr>
          <w:p w14:paraId="1DE6131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1429221000</w:t>
            </w:r>
          </w:p>
        </w:tc>
        <w:tc>
          <w:tcPr>
            <w:tcW w:w="547" w:type="pct"/>
            <w:tcBorders>
              <w:top w:val="nil"/>
              <w:left w:val="nil"/>
              <w:bottom w:val="single" w:sz="4" w:space="0" w:color="auto"/>
              <w:right w:val="single" w:sz="4" w:space="0" w:color="auto"/>
            </w:tcBorders>
            <w:shd w:val="clear" w:color="auto" w:fill="auto"/>
            <w:noWrap/>
            <w:vAlign w:val="center"/>
            <w:hideMark/>
          </w:tcPr>
          <w:p w14:paraId="1E7674B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10927140</w:t>
            </w:r>
          </w:p>
        </w:tc>
        <w:tc>
          <w:tcPr>
            <w:tcW w:w="3360" w:type="pct"/>
            <w:tcBorders>
              <w:top w:val="nil"/>
              <w:left w:val="nil"/>
              <w:bottom w:val="single" w:sz="4" w:space="0" w:color="auto"/>
              <w:right w:val="single" w:sz="4" w:space="0" w:color="auto"/>
            </w:tcBorders>
            <w:shd w:val="clear" w:color="auto" w:fill="auto"/>
            <w:vAlign w:val="center"/>
            <w:hideMark/>
          </w:tcPr>
          <w:p w14:paraId="4168DF9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SREDNJA ŠOLA SLOVENSKA BISTRICA</w:t>
            </w:r>
          </w:p>
        </w:tc>
      </w:tr>
      <w:tr w:rsidR="00E3750C" w:rsidRPr="00415AB3" w14:paraId="6E755C6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8F1E82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1787</w:t>
            </w:r>
          </w:p>
        </w:tc>
        <w:tc>
          <w:tcPr>
            <w:tcW w:w="705" w:type="pct"/>
            <w:tcBorders>
              <w:top w:val="nil"/>
              <w:left w:val="nil"/>
              <w:bottom w:val="single" w:sz="4" w:space="0" w:color="auto"/>
              <w:right w:val="single" w:sz="4" w:space="0" w:color="auto"/>
            </w:tcBorders>
            <w:shd w:val="clear" w:color="auto" w:fill="auto"/>
            <w:noWrap/>
            <w:vAlign w:val="center"/>
            <w:hideMark/>
          </w:tcPr>
          <w:p w14:paraId="5363ACA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5631564000</w:t>
            </w:r>
          </w:p>
        </w:tc>
        <w:tc>
          <w:tcPr>
            <w:tcW w:w="547" w:type="pct"/>
            <w:tcBorders>
              <w:top w:val="nil"/>
              <w:left w:val="nil"/>
              <w:bottom w:val="single" w:sz="4" w:space="0" w:color="auto"/>
              <w:right w:val="single" w:sz="4" w:space="0" w:color="auto"/>
            </w:tcBorders>
            <w:shd w:val="clear" w:color="auto" w:fill="auto"/>
            <w:noWrap/>
            <w:vAlign w:val="center"/>
            <w:hideMark/>
          </w:tcPr>
          <w:p w14:paraId="31E475D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57726612</w:t>
            </w:r>
          </w:p>
        </w:tc>
        <w:tc>
          <w:tcPr>
            <w:tcW w:w="3360" w:type="pct"/>
            <w:tcBorders>
              <w:top w:val="nil"/>
              <w:left w:val="nil"/>
              <w:bottom w:val="single" w:sz="4" w:space="0" w:color="auto"/>
              <w:right w:val="single" w:sz="4" w:space="0" w:color="auto"/>
            </w:tcBorders>
            <w:shd w:val="clear" w:color="auto" w:fill="auto"/>
            <w:vAlign w:val="center"/>
            <w:hideMark/>
          </w:tcPr>
          <w:p w14:paraId="248A734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SREDNJA ŠOLA TEHNIŠKIH STROK ŠIŠKA</w:t>
            </w:r>
          </w:p>
        </w:tc>
      </w:tr>
      <w:tr w:rsidR="00E3750C" w:rsidRPr="00415AB3" w14:paraId="305CA08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766038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1788</w:t>
            </w:r>
          </w:p>
        </w:tc>
        <w:tc>
          <w:tcPr>
            <w:tcW w:w="705" w:type="pct"/>
            <w:tcBorders>
              <w:top w:val="nil"/>
              <w:left w:val="nil"/>
              <w:bottom w:val="single" w:sz="4" w:space="0" w:color="auto"/>
              <w:right w:val="single" w:sz="4" w:space="0" w:color="auto"/>
            </w:tcBorders>
            <w:shd w:val="clear" w:color="auto" w:fill="auto"/>
            <w:noWrap/>
            <w:vAlign w:val="center"/>
            <w:hideMark/>
          </w:tcPr>
          <w:p w14:paraId="0FA2297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5084997000</w:t>
            </w:r>
          </w:p>
        </w:tc>
        <w:tc>
          <w:tcPr>
            <w:tcW w:w="547" w:type="pct"/>
            <w:tcBorders>
              <w:top w:val="nil"/>
              <w:left w:val="nil"/>
              <w:bottom w:val="single" w:sz="4" w:space="0" w:color="auto"/>
              <w:right w:val="single" w:sz="4" w:space="0" w:color="auto"/>
            </w:tcBorders>
            <w:shd w:val="clear" w:color="auto" w:fill="auto"/>
            <w:noWrap/>
            <w:vAlign w:val="center"/>
            <w:hideMark/>
          </w:tcPr>
          <w:p w14:paraId="5B1E52E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13997360</w:t>
            </w:r>
          </w:p>
        </w:tc>
        <w:tc>
          <w:tcPr>
            <w:tcW w:w="3360" w:type="pct"/>
            <w:tcBorders>
              <w:top w:val="nil"/>
              <w:left w:val="nil"/>
              <w:bottom w:val="single" w:sz="4" w:space="0" w:color="auto"/>
              <w:right w:val="single" w:sz="4" w:space="0" w:color="auto"/>
            </w:tcBorders>
            <w:shd w:val="clear" w:color="auto" w:fill="auto"/>
            <w:vAlign w:val="center"/>
            <w:hideMark/>
          </w:tcPr>
          <w:p w14:paraId="355F9ED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SREDNJA ŠOLA VENO PILON AJDOVŠČINA</w:t>
            </w:r>
          </w:p>
        </w:tc>
      </w:tr>
      <w:tr w:rsidR="00E3750C" w:rsidRPr="00415AB3" w14:paraId="089127F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C87246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1789</w:t>
            </w:r>
          </w:p>
        </w:tc>
        <w:tc>
          <w:tcPr>
            <w:tcW w:w="705" w:type="pct"/>
            <w:tcBorders>
              <w:top w:val="nil"/>
              <w:left w:val="nil"/>
              <w:bottom w:val="single" w:sz="4" w:space="0" w:color="auto"/>
              <w:right w:val="single" w:sz="4" w:space="0" w:color="auto"/>
            </w:tcBorders>
            <w:shd w:val="clear" w:color="auto" w:fill="auto"/>
            <w:noWrap/>
            <w:vAlign w:val="center"/>
            <w:hideMark/>
          </w:tcPr>
          <w:p w14:paraId="178C303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5084911000</w:t>
            </w:r>
          </w:p>
        </w:tc>
        <w:tc>
          <w:tcPr>
            <w:tcW w:w="547" w:type="pct"/>
            <w:tcBorders>
              <w:top w:val="nil"/>
              <w:left w:val="nil"/>
              <w:bottom w:val="single" w:sz="4" w:space="0" w:color="auto"/>
              <w:right w:val="single" w:sz="4" w:space="0" w:color="auto"/>
            </w:tcBorders>
            <w:shd w:val="clear" w:color="auto" w:fill="auto"/>
            <w:noWrap/>
            <w:vAlign w:val="center"/>
            <w:hideMark/>
          </w:tcPr>
          <w:p w14:paraId="7822EC8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45091501</w:t>
            </w:r>
          </w:p>
        </w:tc>
        <w:tc>
          <w:tcPr>
            <w:tcW w:w="3360" w:type="pct"/>
            <w:tcBorders>
              <w:top w:val="nil"/>
              <w:left w:val="nil"/>
              <w:bottom w:val="single" w:sz="4" w:space="0" w:color="auto"/>
              <w:right w:val="single" w:sz="4" w:space="0" w:color="auto"/>
            </w:tcBorders>
            <w:shd w:val="clear" w:color="auto" w:fill="auto"/>
            <w:vAlign w:val="center"/>
            <w:hideMark/>
          </w:tcPr>
          <w:p w14:paraId="6ED8A72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SREDNJA ŠOLA ZA FARMACIJO, KOZMETIKO IN ZDRAVSTVO</w:t>
            </w:r>
          </w:p>
        </w:tc>
      </w:tr>
      <w:tr w:rsidR="00E3750C" w:rsidRPr="00415AB3" w14:paraId="1168557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3B6C30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1790</w:t>
            </w:r>
          </w:p>
        </w:tc>
        <w:tc>
          <w:tcPr>
            <w:tcW w:w="705" w:type="pct"/>
            <w:tcBorders>
              <w:top w:val="nil"/>
              <w:left w:val="nil"/>
              <w:bottom w:val="single" w:sz="4" w:space="0" w:color="auto"/>
              <w:right w:val="single" w:sz="4" w:space="0" w:color="auto"/>
            </w:tcBorders>
            <w:shd w:val="clear" w:color="auto" w:fill="auto"/>
            <w:noWrap/>
            <w:vAlign w:val="center"/>
            <w:hideMark/>
          </w:tcPr>
          <w:p w14:paraId="556512B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5086752000</w:t>
            </w:r>
          </w:p>
        </w:tc>
        <w:tc>
          <w:tcPr>
            <w:tcW w:w="547" w:type="pct"/>
            <w:tcBorders>
              <w:top w:val="nil"/>
              <w:left w:val="nil"/>
              <w:bottom w:val="single" w:sz="4" w:space="0" w:color="auto"/>
              <w:right w:val="single" w:sz="4" w:space="0" w:color="auto"/>
            </w:tcBorders>
            <w:shd w:val="clear" w:color="auto" w:fill="auto"/>
            <w:noWrap/>
            <w:vAlign w:val="center"/>
            <w:hideMark/>
          </w:tcPr>
          <w:p w14:paraId="218C36F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79487491</w:t>
            </w:r>
          </w:p>
        </w:tc>
        <w:tc>
          <w:tcPr>
            <w:tcW w:w="3360" w:type="pct"/>
            <w:tcBorders>
              <w:top w:val="nil"/>
              <w:left w:val="nil"/>
              <w:bottom w:val="single" w:sz="4" w:space="0" w:color="auto"/>
              <w:right w:val="single" w:sz="4" w:space="0" w:color="auto"/>
            </w:tcBorders>
            <w:shd w:val="clear" w:color="auto" w:fill="auto"/>
            <w:vAlign w:val="center"/>
            <w:hideMark/>
          </w:tcPr>
          <w:p w14:paraId="1B25BA4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SREDNJA ŠOLA ZA GOSTINSTVO IN TURIZEM MARIBOR</w:t>
            </w:r>
          </w:p>
        </w:tc>
      </w:tr>
      <w:tr w:rsidR="00E3750C" w:rsidRPr="00415AB3" w14:paraId="3C94FAD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AA392F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1791</w:t>
            </w:r>
          </w:p>
        </w:tc>
        <w:tc>
          <w:tcPr>
            <w:tcW w:w="705" w:type="pct"/>
            <w:tcBorders>
              <w:top w:val="nil"/>
              <w:left w:val="nil"/>
              <w:bottom w:val="single" w:sz="4" w:space="0" w:color="auto"/>
              <w:right w:val="single" w:sz="4" w:space="0" w:color="auto"/>
            </w:tcBorders>
            <w:shd w:val="clear" w:color="auto" w:fill="auto"/>
            <w:noWrap/>
            <w:vAlign w:val="center"/>
            <w:hideMark/>
          </w:tcPr>
          <w:p w14:paraId="204AEF2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5084784000</w:t>
            </w:r>
          </w:p>
        </w:tc>
        <w:tc>
          <w:tcPr>
            <w:tcW w:w="547" w:type="pct"/>
            <w:tcBorders>
              <w:top w:val="nil"/>
              <w:left w:val="nil"/>
              <w:bottom w:val="single" w:sz="4" w:space="0" w:color="auto"/>
              <w:right w:val="single" w:sz="4" w:space="0" w:color="auto"/>
            </w:tcBorders>
            <w:shd w:val="clear" w:color="auto" w:fill="auto"/>
            <w:noWrap/>
            <w:vAlign w:val="center"/>
            <w:hideMark/>
          </w:tcPr>
          <w:p w14:paraId="75C616B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90515781</w:t>
            </w:r>
          </w:p>
        </w:tc>
        <w:tc>
          <w:tcPr>
            <w:tcW w:w="3360" w:type="pct"/>
            <w:tcBorders>
              <w:top w:val="nil"/>
              <w:left w:val="nil"/>
              <w:bottom w:val="single" w:sz="4" w:space="0" w:color="auto"/>
              <w:right w:val="single" w:sz="4" w:space="0" w:color="auto"/>
            </w:tcBorders>
            <w:shd w:val="clear" w:color="auto" w:fill="auto"/>
            <w:vAlign w:val="center"/>
            <w:hideMark/>
          </w:tcPr>
          <w:p w14:paraId="4B6353D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SREDNJA ŠOLA ZA GOSTINSTVO IN TURIZEM RADENCI</w:t>
            </w:r>
          </w:p>
        </w:tc>
      </w:tr>
      <w:tr w:rsidR="00E3750C" w:rsidRPr="00415AB3" w14:paraId="5CAEC6F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A689EE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1792</w:t>
            </w:r>
          </w:p>
        </w:tc>
        <w:tc>
          <w:tcPr>
            <w:tcW w:w="705" w:type="pct"/>
            <w:tcBorders>
              <w:top w:val="nil"/>
              <w:left w:val="nil"/>
              <w:bottom w:val="single" w:sz="4" w:space="0" w:color="auto"/>
              <w:right w:val="single" w:sz="4" w:space="0" w:color="auto"/>
            </w:tcBorders>
            <w:shd w:val="clear" w:color="auto" w:fill="auto"/>
            <w:noWrap/>
            <w:vAlign w:val="center"/>
            <w:hideMark/>
          </w:tcPr>
          <w:p w14:paraId="5AA469E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5086736000</w:t>
            </w:r>
          </w:p>
        </w:tc>
        <w:tc>
          <w:tcPr>
            <w:tcW w:w="547" w:type="pct"/>
            <w:tcBorders>
              <w:top w:val="nil"/>
              <w:left w:val="nil"/>
              <w:bottom w:val="single" w:sz="4" w:space="0" w:color="auto"/>
              <w:right w:val="single" w:sz="4" w:space="0" w:color="auto"/>
            </w:tcBorders>
            <w:shd w:val="clear" w:color="auto" w:fill="auto"/>
            <w:noWrap/>
            <w:vAlign w:val="center"/>
            <w:hideMark/>
          </w:tcPr>
          <w:p w14:paraId="7080351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72453117</w:t>
            </w:r>
          </w:p>
        </w:tc>
        <w:tc>
          <w:tcPr>
            <w:tcW w:w="3360" w:type="pct"/>
            <w:tcBorders>
              <w:top w:val="nil"/>
              <w:left w:val="nil"/>
              <w:bottom w:val="single" w:sz="4" w:space="0" w:color="auto"/>
              <w:right w:val="single" w:sz="4" w:space="0" w:color="auto"/>
            </w:tcBorders>
            <w:shd w:val="clear" w:color="auto" w:fill="auto"/>
            <w:vAlign w:val="center"/>
            <w:hideMark/>
          </w:tcPr>
          <w:p w14:paraId="0181693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SREDNJA ŠOLA ZA OBLIKOVANJE MARIBOR</w:t>
            </w:r>
          </w:p>
        </w:tc>
      </w:tr>
      <w:tr w:rsidR="00E3750C" w:rsidRPr="00415AB3" w14:paraId="414659E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814A77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1793</w:t>
            </w:r>
          </w:p>
        </w:tc>
        <w:tc>
          <w:tcPr>
            <w:tcW w:w="705" w:type="pct"/>
            <w:tcBorders>
              <w:top w:val="nil"/>
              <w:left w:val="nil"/>
              <w:bottom w:val="single" w:sz="4" w:space="0" w:color="auto"/>
              <w:right w:val="single" w:sz="4" w:space="0" w:color="auto"/>
            </w:tcBorders>
            <w:shd w:val="clear" w:color="auto" w:fill="auto"/>
            <w:noWrap/>
            <w:vAlign w:val="center"/>
            <w:hideMark/>
          </w:tcPr>
          <w:p w14:paraId="0B6A219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5086744000</w:t>
            </w:r>
          </w:p>
        </w:tc>
        <w:tc>
          <w:tcPr>
            <w:tcW w:w="547" w:type="pct"/>
            <w:tcBorders>
              <w:top w:val="nil"/>
              <w:left w:val="nil"/>
              <w:bottom w:val="single" w:sz="4" w:space="0" w:color="auto"/>
              <w:right w:val="single" w:sz="4" w:space="0" w:color="auto"/>
            </w:tcBorders>
            <w:shd w:val="clear" w:color="auto" w:fill="auto"/>
            <w:noWrap/>
            <w:vAlign w:val="center"/>
            <w:hideMark/>
          </w:tcPr>
          <w:p w14:paraId="0197FDD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17683785</w:t>
            </w:r>
          </w:p>
        </w:tc>
        <w:tc>
          <w:tcPr>
            <w:tcW w:w="3360" w:type="pct"/>
            <w:tcBorders>
              <w:top w:val="nil"/>
              <w:left w:val="nil"/>
              <w:bottom w:val="single" w:sz="4" w:space="0" w:color="auto"/>
              <w:right w:val="single" w:sz="4" w:space="0" w:color="auto"/>
            </w:tcBorders>
            <w:shd w:val="clear" w:color="auto" w:fill="auto"/>
            <w:vAlign w:val="center"/>
            <w:hideMark/>
          </w:tcPr>
          <w:p w14:paraId="3EF111D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SREDNJA ŠOLA ZA TRŽENJE IN DIZAJN MARIBOR</w:t>
            </w:r>
          </w:p>
        </w:tc>
      </w:tr>
      <w:tr w:rsidR="00E3750C" w:rsidRPr="00415AB3" w14:paraId="6208C0D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2F4787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1794</w:t>
            </w:r>
          </w:p>
        </w:tc>
        <w:tc>
          <w:tcPr>
            <w:tcW w:w="705" w:type="pct"/>
            <w:tcBorders>
              <w:top w:val="nil"/>
              <w:left w:val="nil"/>
              <w:bottom w:val="single" w:sz="4" w:space="0" w:color="auto"/>
              <w:right w:val="single" w:sz="4" w:space="0" w:color="auto"/>
            </w:tcBorders>
            <w:shd w:val="clear" w:color="auto" w:fill="auto"/>
            <w:noWrap/>
            <w:vAlign w:val="center"/>
            <w:hideMark/>
          </w:tcPr>
          <w:p w14:paraId="37BF57B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5263603000</w:t>
            </w:r>
          </w:p>
        </w:tc>
        <w:tc>
          <w:tcPr>
            <w:tcW w:w="547" w:type="pct"/>
            <w:tcBorders>
              <w:top w:val="nil"/>
              <w:left w:val="nil"/>
              <w:bottom w:val="single" w:sz="4" w:space="0" w:color="auto"/>
              <w:right w:val="single" w:sz="4" w:space="0" w:color="auto"/>
            </w:tcBorders>
            <w:shd w:val="clear" w:color="auto" w:fill="auto"/>
            <w:noWrap/>
            <w:vAlign w:val="center"/>
            <w:hideMark/>
          </w:tcPr>
          <w:p w14:paraId="4295989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62434934</w:t>
            </w:r>
          </w:p>
        </w:tc>
        <w:tc>
          <w:tcPr>
            <w:tcW w:w="3360" w:type="pct"/>
            <w:tcBorders>
              <w:top w:val="nil"/>
              <w:left w:val="nil"/>
              <w:bottom w:val="single" w:sz="4" w:space="0" w:color="auto"/>
              <w:right w:val="single" w:sz="4" w:space="0" w:color="auto"/>
            </w:tcBorders>
            <w:shd w:val="clear" w:color="auto" w:fill="auto"/>
            <w:vAlign w:val="center"/>
            <w:hideMark/>
          </w:tcPr>
          <w:p w14:paraId="000BDC2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SREDNJA ŠOLA ZAGORJE</w:t>
            </w:r>
          </w:p>
        </w:tc>
      </w:tr>
      <w:tr w:rsidR="00E3750C" w:rsidRPr="00415AB3" w14:paraId="14B635F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4DA022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1795</w:t>
            </w:r>
          </w:p>
        </w:tc>
        <w:tc>
          <w:tcPr>
            <w:tcW w:w="705" w:type="pct"/>
            <w:tcBorders>
              <w:top w:val="nil"/>
              <w:left w:val="nil"/>
              <w:bottom w:val="single" w:sz="4" w:space="0" w:color="auto"/>
              <w:right w:val="single" w:sz="4" w:space="0" w:color="auto"/>
            </w:tcBorders>
            <w:shd w:val="clear" w:color="auto" w:fill="auto"/>
            <w:noWrap/>
            <w:vAlign w:val="center"/>
            <w:hideMark/>
          </w:tcPr>
          <w:p w14:paraId="3A9216D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5243297000</w:t>
            </w:r>
          </w:p>
        </w:tc>
        <w:tc>
          <w:tcPr>
            <w:tcW w:w="547" w:type="pct"/>
            <w:tcBorders>
              <w:top w:val="nil"/>
              <w:left w:val="nil"/>
              <w:bottom w:val="single" w:sz="4" w:space="0" w:color="auto"/>
              <w:right w:val="single" w:sz="4" w:space="0" w:color="auto"/>
            </w:tcBorders>
            <w:shd w:val="clear" w:color="auto" w:fill="auto"/>
            <w:noWrap/>
            <w:vAlign w:val="center"/>
            <w:hideMark/>
          </w:tcPr>
          <w:p w14:paraId="1183338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15203298</w:t>
            </w:r>
          </w:p>
        </w:tc>
        <w:tc>
          <w:tcPr>
            <w:tcW w:w="3360" w:type="pct"/>
            <w:tcBorders>
              <w:top w:val="nil"/>
              <w:left w:val="nil"/>
              <w:bottom w:val="single" w:sz="4" w:space="0" w:color="auto"/>
              <w:right w:val="single" w:sz="4" w:space="0" w:color="auto"/>
            </w:tcBorders>
            <w:shd w:val="clear" w:color="auto" w:fill="auto"/>
            <w:vAlign w:val="center"/>
            <w:hideMark/>
          </w:tcPr>
          <w:p w14:paraId="715CEB2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SREDNJA TEHNIŠKA IN POKLICNA ŠOLA TRBOVLJE</w:t>
            </w:r>
          </w:p>
        </w:tc>
      </w:tr>
      <w:tr w:rsidR="00E3750C" w:rsidRPr="00415AB3" w14:paraId="3CB204B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D406BA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1796</w:t>
            </w:r>
          </w:p>
        </w:tc>
        <w:tc>
          <w:tcPr>
            <w:tcW w:w="705" w:type="pct"/>
            <w:tcBorders>
              <w:top w:val="nil"/>
              <w:left w:val="nil"/>
              <w:bottom w:val="single" w:sz="4" w:space="0" w:color="auto"/>
              <w:right w:val="single" w:sz="4" w:space="0" w:color="auto"/>
            </w:tcBorders>
            <w:shd w:val="clear" w:color="auto" w:fill="auto"/>
            <w:noWrap/>
            <w:vAlign w:val="center"/>
            <w:hideMark/>
          </w:tcPr>
          <w:p w14:paraId="1B6E4D8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5083176000</w:t>
            </w:r>
          </w:p>
        </w:tc>
        <w:tc>
          <w:tcPr>
            <w:tcW w:w="547" w:type="pct"/>
            <w:tcBorders>
              <w:top w:val="nil"/>
              <w:left w:val="nil"/>
              <w:bottom w:val="single" w:sz="4" w:space="0" w:color="auto"/>
              <w:right w:val="single" w:sz="4" w:space="0" w:color="auto"/>
            </w:tcBorders>
            <w:shd w:val="clear" w:color="auto" w:fill="auto"/>
            <w:noWrap/>
            <w:vAlign w:val="center"/>
            <w:hideMark/>
          </w:tcPr>
          <w:p w14:paraId="71A1949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67914063</w:t>
            </w:r>
          </w:p>
        </w:tc>
        <w:tc>
          <w:tcPr>
            <w:tcW w:w="3360" w:type="pct"/>
            <w:tcBorders>
              <w:top w:val="nil"/>
              <w:left w:val="nil"/>
              <w:bottom w:val="single" w:sz="4" w:space="0" w:color="auto"/>
              <w:right w:val="single" w:sz="4" w:space="0" w:color="auto"/>
            </w:tcBorders>
            <w:shd w:val="clear" w:color="auto" w:fill="auto"/>
            <w:vAlign w:val="center"/>
            <w:hideMark/>
          </w:tcPr>
          <w:p w14:paraId="5ECEC03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SREDNJA TEHNIŠKA ŠOLA KOPER</w:t>
            </w:r>
          </w:p>
        </w:tc>
      </w:tr>
      <w:tr w:rsidR="00E3750C" w:rsidRPr="00415AB3" w14:paraId="328792B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46C5D9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1797</w:t>
            </w:r>
          </w:p>
        </w:tc>
        <w:tc>
          <w:tcPr>
            <w:tcW w:w="705" w:type="pct"/>
            <w:tcBorders>
              <w:top w:val="nil"/>
              <w:left w:val="nil"/>
              <w:bottom w:val="single" w:sz="4" w:space="0" w:color="auto"/>
              <w:right w:val="single" w:sz="4" w:space="0" w:color="auto"/>
            </w:tcBorders>
            <w:shd w:val="clear" w:color="auto" w:fill="auto"/>
            <w:noWrap/>
            <w:vAlign w:val="center"/>
            <w:hideMark/>
          </w:tcPr>
          <w:p w14:paraId="1C4F33A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5086647000</w:t>
            </w:r>
          </w:p>
        </w:tc>
        <w:tc>
          <w:tcPr>
            <w:tcW w:w="547" w:type="pct"/>
            <w:tcBorders>
              <w:top w:val="nil"/>
              <w:left w:val="nil"/>
              <w:bottom w:val="single" w:sz="4" w:space="0" w:color="auto"/>
              <w:right w:val="single" w:sz="4" w:space="0" w:color="auto"/>
            </w:tcBorders>
            <w:shd w:val="clear" w:color="auto" w:fill="auto"/>
            <w:noWrap/>
            <w:vAlign w:val="center"/>
            <w:hideMark/>
          </w:tcPr>
          <w:p w14:paraId="257DB10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95740791</w:t>
            </w:r>
          </w:p>
        </w:tc>
        <w:tc>
          <w:tcPr>
            <w:tcW w:w="3360" w:type="pct"/>
            <w:tcBorders>
              <w:top w:val="nil"/>
              <w:left w:val="nil"/>
              <w:bottom w:val="single" w:sz="4" w:space="0" w:color="auto"/>
              <w:right w:val="single" w:sz="4" w:space="0" w:color="auto"/>
            </w:tcBorders>
            <w:shd w:val="clear" w:color="auto" w:fill="auto"/>
            <w:vAlign w:val="center"/>
            <w:hideMark/>
          </w:tcPr>
          <w:p w14:paraId="61FC990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SREDNJA TRGOVSKA IN ARANŽERSKA ŠOLA LJUBLJANA</w:t>
            </w:r>
          </w:p>
        </w:tc>
      </w:tr>
      <w:tr w:rsidR="00E3750C" w:rsidRPr="00415AB3" w14:paraId="563F4E9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613280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1798</w:t>
            </w:r>
          </w:p>
        </w:tc>
        <w:tc>
          <w:tcPr>
            <w:tcW w:w="705" w:type="pct"/>
            <w:tcBorders>
              <w:top w:val="nil"/>
              <w:left w:val="nil"/>
              <w:bottom w:val="single" w:sz="4" w:space="0" w:color="auto"/>
              <w:right w:val="single" w:sz="4" w:space="0" w:color="auto"/>
            </w:tcBorders>
            <w:shd w:val="clear" w:color="auto" w:fill="auto"/>
            <w:noWrap/>
            <w:vAlign w:val="center"/>
            <w:hideMark/>
          </w:tcPr>
          <w:p w14:paraId="77F46AD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5086094000</w:t>
            </w:r>
          </w:p>
        </w:tc>
        <w:tc>
          <w:tcPr>
            <w:tcW w:w="547" w:type="pct"/>
            <w:tcBorders>
              <w:top w:val="nil"/>
              <w:left w:val="nil"/>
              <w:bottom w:val="single" w:sz="4" w:space="0" w:color="auto"/>
              <w:right w:val="single" w:sz="4" w:space="0" w:color="auto"/>
            </w:tcBorders>
            <w:shd w:val="clear" w:color="auto" w:fill="auto"/>
            <w:noWrap/>
            <w:vAlign w:val="center"/>
            <w:hideMark/>
          </w:tcPr>
          <w:p w14:paraId="76B2A39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50498720</w:t>
            </w:r>
          </w:p>
        </w:tc>
        <w:tc>
          <w:tcPr>
            <w:tcW w:w="3360" w:type="pct"/>
            <w:tcBorders>
              <w:top w:val="nil"/>
              <w:left w:val="nil"/>
              <w:bottom w:val="single" w:sz="4" w:space="0" w:color="auto"/>
              <w:right w:val="single" w:sz="4" w:space="0" w:color="auto"/>
            </w:tcBorders>
            <w:shd w:val="clear" w:color="auto" w:fill="auto"/>
            <w:vAlign w:val="center"/>
            <w:hideMark/>
          </w:tcPr>
          <w:p w14:paraId="3E3A1B8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SREDNJA UPRAVNO ADMINISTRATIVNA ŠOLA LJUBLJANA</w:t>
            </w:r>
          </w:p>
        </w:tc>
      </w:tr>
      <w:tr w:rsidR="00E3750C" w:rsidRPr="00415AB3" w14:paraId="635F1013"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5B66E9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1799</w:t>
            </w:r>
          </w:p>
        </w:tc>
        <w:tc>
          <w:tcPr>
            <w:tcW w:w="705" w:type="pct"/>
            <w:tcBorders>
              <w:top w:val="nil"/>
              <w:left w:val="nil"/>
              <w:bottom w:val="single" w:sz="4" w:space="0" w:color="auto"/>
              <w:right w:val="single" w:sz="4" w:space="0" w:color="auto"/>
            </w:tcBorders>
            <w:shd w:val="clear" w:color="auto" w:fill="auto"/>
            <w:noWrap/>
            <w:vAlign w:val="center"/>
            <w:hideMark/>
          </w:tcPr>
          <w:p w14:paraId="52BE579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5084903000</w:t>
            </w:r>
          </w:p>
        </w:tc>
        <w:tc>
          <w:tcPr>
            <w:tcW w:w="547" w:type="pct"/>
            <w:tcBorders>
              <w:top w:val="nil"/>
              <w:left w:val="nil"/>
              <w:bottom w:val="single" w:sz="4" w:space="0" w:color="auto"/>
              <w:right w:val="single" w:sz="4" w:space="0" w:color="auto"/>
            </w:tcBorders>
            <w:shd w:val="clear" w:color="auto" w:fill="auto"/>
            <w:noWrap/>
            <w:vAlign w:val="center"/>
            <w:hideMark/>
          </w:tcPr>
          <w:p w14:paraId="6B345FC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47364220</w:t>
            </w:r>
          </w:p>
        </w:tc>
        <w:tc>
          <w:tcPr>
            <w:tcW w:w="3360" w:type="pct"/>
            <w:tcBorders>
              <w:top w:val="nil"/>
              <w:left w:val="nil"/>
              <w:bottom w:val="single" w:sz="4" w:space="0" w:color="auto"/>
              <w:right w:val="single" w:sz="4" w:space="0" w:color="auto"/>
            </w:tcBorders>
            <w:shd w:val="clear" w:color="auto" w:fill="auto"/>
            <w:vAlign w:val="center"/>
            <w:hideMark/>
          </w:tcPr>
          <w:p w14:paraId="534A45A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SREDNJA VZGOJITELJSKA ŠOLA, GIMNAZIJA IN UMETNIŠKA GIMNAZIJA LJUBLJANA</w:t>
            </w:r>
          </w:p>
        </w:tc>
      </w:tr>
      <w:tr w:rsidR="00E3750C" w:rsidRPr="00415AB3" w14:paraId="20F3A43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0F8A52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1800</w:t>
            </w:r>
          </w:p>
        </w:tc>
        <w:tc>
          <w:tcPr>
            <w:tcW w:w="705" w:type="pct"/>
            <w:tcBorders>
              <w:top w:val="nil"/>
              <w:left w:val="nil"/>
              <w:bottom w:val="single" w:sz="4" w:space="0" w:color="auto"/>
              <w:right w:val="single" w:sz="4" w:space="0" w:color="auto"/>
            </w:tcBorders>
            <w:shd w:val="clear" w:color="auto" w:fill="auto"/>
            <w:noWrap/>
            <w:vAlign w:val="center"/>
            <w:hideMark/>
          </w:tcPr>
          <w:p w14:paraId="6DE3E95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5083621000</w:t>
            </w:r>
          </w:p>
        </w:tc>
        <w:tc>
          <w:tcPr>
            <w:tcW w:w="547" w:type="pct"/>
            <w:tcBorders>
              <w:top w:val="nil"/>
              <w:left w:val="nil"/>
              <w:bottom w:val="single" w:sz="4" w:space="0" w:color="auto"/>
              <w:right w:val="single" w:sz="4" w:space="0" w:color="auto"/>
            </w:tcBorders>
            <w:shd w:val="clear" w:color="auto" w:fill="auto"/>
            <w:noWrap/>
            <w:vAlign w:val="center"/>
            <w:hideMark/>
          </w:tcPr>
          <w:p w14:paraId="5B7B55D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52910946</w:t>
            </w:r>
          </w:p>
        </w:tc>
        <w:tc>
          <w:tcPr>
            <w:tcW w:w="3360" w:type="pct"/>
            <w:tcBorders>
              <w:top w:val="nil"/>
              <w:left w:val="nil"/>
              <w:bottom w:val="single" w:sz="4" w:space="0" w:color="auto"/>
              <w:right w:val="single" w:sz="4" w:space="0" w:color="auto"/>
            </w:tcBorders>
            <w:shd w:val="clear" w:color="auto" w:fill="auto"/>
            <w:vAlign w:val="center"/>
            <w:hideMark/>
          </w:tcPr>
          <w:p w14:paraId="259A066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SREDNJA ZDRAVSTVENA IN KOZMETIČNA ŠOLA CELJE</w:t>
            </w:r>
          </w:p>
        </w:tc>
      </w:tr>
      <w:tr w:rsidR="00E3750C" w:rsidRPr="00415AB3" w14:paraId="0AD8A52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DEE7CF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1801</w:t>
            </w:r>
          </w:p>
        </w:tc>
        <w:tc>
          <w:tcPr>
            <w:tcW w:w="705" w:type="pct"/>
            <w:tcBorders>
              <w:top w:val="nil"/>
              <w:left w:val="nil"/>
              <w:bottom w:val="single" w:sz="4" w:space="0" w:color="auto"/>
              <w:right w:val="single" w:sz="4" w:space="0" w:color="auto"/>
            </w:tcBorders>
            <w:shd w:val="clear" w:color="auto" w:fill="auto"/>
            <w:noWrap/>
            <w:vAlign w:val="center"/>
            <w:hideMark/>
          </w:tcPr>
          <w:p w14:paraId="013CB3B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5088895000</w:t>
            </w:r>
          </w:p>
        </w:tc>
        <w:tc>
          <w:tcPr>
            <w:tcW w:w="547" w:type="pct"/>
            <w:tcBorders>
              <w:top w:val="nil"/>
              <w:left w:val="nil"/>
              <w:bottom w:val="single" w:sz="4" w:space="0" w:color="auto"/>
              <w:right w:val="single" w:sz="4" w:space="0" w:color="auto"/>
            </w:tcBorders>
            <w:shd w:val="clear" w:color="auto" w:fill="auto"/>
            <w:noWrap/>
            <w:vAlign w:val="center"/>
            <w:hideMark/>
          </w:tcPr>
          <w:p w14:paraId="10C694B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86411462</w:t>
            </w:r>
          </w:p>
        </w:tc>
        <w:tc>
          <w:tcPr>
            <w:tcW w:w="3360" w:type="pct"/>
            <w:tcBorders>
              <w:top w:val="nil"/>
              <w:left w:val="nil"/>
              <w:bottom w:val="single" w:sz="4" w:space="0" w:color="auto"/>
              <w:right w:val="single" w:sz="4" w:space="0" w:color="auto"/>
            </w:tcBorders>
            <w:shd w:val="clear" w:color="auto" w:fill="auto"/>
            <w:vAlign w:val="center"/>
            <w:hideMark/>
          </w:tcPr>
          <w:p w14:paraId="2D43531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SREDNJA ZDRAVSTVENA IN KOZMETIČNA ŠOLA MARIBOR</w:t>
            </w:r>
          </w:p>
        </w:tc>
      </w:tr>
      <w:tr w:rsidR="00E3750C" w:rsidRPr="00415AB3" w14:paraId="78951EC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44516B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1802</w:t>
            </w:r>
          </w:p>
        </w:tc>
        <w:tc>
          <w:tcPr>
            <w:tcW w:w="705" w:type="pct"/>
            <w:tcBorders>
              <w:top w:val="nil"/>
              <w:left w:val="nil"/>
              <w:bottom w:val="single" w:sz="4" w:space="0" w:color="auto"/>
              <w:right w:val="single" w:sz="4" w:space="0" w:color="auto"/>
            </w:tcBorders>
            <w:shd w:val="clear" w:color="auto" w:fill="auto"/>
            <w:noWrap/>
            <w:vAlign w:val="center"/>
            <w:hideMark/>
          </w:tcPr>
          <w:p w14:paraId="5985FDA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5242045000</w:t>
            </w:r>
          </w:p>
        </w:tc>
        <w:tc>
          <w:tcPr>
            <w:tcW w:w="547" w:type="pct"/>
            <w:tcBorders>
              <w:top w:val="nil"/>
              <w:left w:val="nil"/>
              <w:bottom w:val="single" w:sz="4" w:space="0" w:color="auto"/>
              <w:right w:val="single" w:sz="4" w:space="0" w:color="auto"/>
            </w:tcBorders>
            <w:shd w:val="clear" w:color="auto" w:fill="auto"/>
            <w:noWrap/>
            <w:vAlign w:val="center"/>
            <w:hideMark/>
          </w:tcPr>
          <w:p w14:paraId="0460DF9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31987249</w:t>
            </w:r>
          </w:p>
        </w:tc>
        <w:tc>
          <w:tcPr>
            <w:tcW w:w="3360" w:type="pct"/>
            <w:tcBorders>
              <w:top w:val="nil"/>
              <w:left w:val="nil"/>
              <w:bottom w:val="single" w:sz="4" w:space="0" w:color="auto"/>
              <w:right w:val="single" w:sz="4" w:space="0" w:color="auto"/>
            </w:tcBorders>
            <w:shd w:val="clear" w:color="auto" w:fill="auto"/>
            <w:vAlign w:val="center"/>
            <w:hideMark/>
          </w:tcPr>
          <w:p w14:paraId="136DDBC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SREDNJA ZDRAVSTVENA ŠOLA LJUBLJANA</w:t>
            </w:r>
          </w:p>
        </w:tc>
      </w:tr>
      <w:tr w:rsidR="00E3750C" w:rsidRPr="00415AB3" w14:paraId="030DE0D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BCBC9E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1803</w:t>
            </w:r>
          </w:p>
        </w:tc>
        <w:tc>
          <w:tcPr>
            <w:tcW w:w="705" w:type="pct"/>
            <w:tcBorders>
              <w:top w:val="nil"/>
              <w:left w:val="nil"/>
              <w:bottom w:val="single" w:sz="4" w:space="0" w:color="auto"/>
              <w:right w:val="single" w:sz="4" w:space="0" w:color="auto"/>
            </w:tcBorders>
            <w:shd w:val="clear" w:color="auto" w:fill="auto"/>
            <w:noWrap/>
            <w:vAlign w:val="center"/>
            <w:hideMark/>
          </w:tcPr>
          <w:p w14:paraId="240DB9E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5085748000</w:t>
            </w:r>
          </w:p>
        </w:tc>
        <w:tc>
          <w:tcPr>
            <w:tcW w:w="547" w:type="pct"/>
            <w:tcBorders>
              <w:top w:val="nil"/>
              <w:left w:val="nil"/>
              <w:bottom w:val="single" w:sz="4" w:space="0" w:color="auto"/>
              <w:right w:val="single" w:sz="4" w:space="0" w:color="auto"/>
            </w:tcBorders>
            <w:shd w:val="clear" w:color="auto" w:fill="auto"/>
            <w:noWrap/>
            <w:vAlign w:val="center"/>
            <w:hideMark/>
          </w:tcPr>
          <w:p w14:paraId="3DA1869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45797781</w:t>
            </w:r>
          </w:p>
        </w:tc>
        <w:tc>
          <w:tcPr>
            <w:tcW w:w="3360" w:type="pct"/>
            <w:tcBorders>
              <w:top w:val="nil"/>
              <w:left w:val="nil"/>
              <w:bottom w:val="single" w:sz="4" w:space="0" w:color="auto"/>
              <w:right w:val="single" w:sz="4" w:space="0" w:color="auto"/>
            </w:tcBorders>
            <w:shd w:val="clear" w:color="auto" w:fill="auto"/>
            <w:vAlign w:val="center"/>
            <w:hideMark/>
          </w:tcPr>
          <w:p w14:paraId="78B641F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SREDNJA ZDRAVSTVENA ŠOLA MURSKA SOBOTA</w:t>
            </w:r>
          </w:p>
        </w:tc>
      </w:tr>
      <w:tr w:rsidR="00E3750C" w:rsidRPr="00415AB3" w14:paraId="3FC961E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677B42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1804</w:t>
            </w:r>
          </w:p>
        </w:tc>
        <w:tc>
          <w:tcPr>
            <w:tcW w:w="705" w:type="pct"/>
            <w:tcBorders>
              <w:top w:val="nil"/>
              <w:left w:val="nil"/>
              <w:bottom w:val="single" w:sz="4" w:space="0" w:color="auto"/>
              <w:right w:val="single" w:sz="4" w:space="0" w:color="auto"/>
            </w:tcBorders>
            <w:shd w:val="clear" w:color="auto" w:fill="auto"/>
            <w:noWrap/>
            <w:vAlign w:val="center"/>
            <w:hideMark/>
          </w:tcPr>
          <w:p w14:paraId="7948304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5921279000</w:t>
            </w:r>
          </w:p>
        </w:tc>
        <w:tc>
          <w:tcPr>
            <w:tcW w:w="547" w:type="pct"/>
            <w:tcBorders>
              <w:top w:val="nil"/>
              <w:left w:val="nil"/>
              <w:bottom w:val="single" w:sz="4" w:space="0" w:color="auto"/>
              <w:right w:val="single" w:sz="4" w:space="0" w:color="auto"/>
            </w:tcBorders>
            <w:shd w:val="clear" w:color="auto" w:fill="auto"/>
            <w:noWrap/>
            <w:vAlign w:val="center"/>
            <w:hideMark/>
          </w:tcPr>
          <w:p w14:paraId="61706C3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24822868</w:t>
            </w:r>
          </w:p>
        </w:tc>
        <w:tc>
          <w:tcPr>
            <w:tcW w:w="3360" w:type="pct"/>
            <w:tcBorders>
              <w:top w:val="nil"/>
              <w:left w:val="nil"/>
              <w:bottom w:val="single" w:sz="4" w:space="0" w:color="auto"/>
              <w:right w:val="single" w:sz="4" w:space="0" w:color="auto"/>
            </w:tcBorders>
            <w:shd w:val="clear" w:color="auto" w:fill="auto"/>
            <w:vAlign w:val="center"/>
            <w:hideMark/>
          </w:tcPr>
          <w:p w14:paraId="30F4F0D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STANOVANJSKI SKLAD MESTNE OBČINE NOVA GORICA JAVNI SKLAD</w:t>
            </w:r>
          </w:p>
        </w:tc>
      </w:tr>
      <w:tr w:rsidR="00E3750C" w:rsidRPr="00415AB3" w14:paraId="15C91B8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BBD619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1805</w:t>
            </w:r>
          </w:p>
        </w:tc>
        <w:tc>
          <w:tcPr>
            <w:tcW w:w="705" w:type="pct"/>
            <w:tcBorders>
              <w:top w:val="nil"/>
              <w:left w:val="nil"/>
              <w:bottom w:val="single" w:sz="4" w:space="0" w:color="auto"/>
              <w:right w:val="single" w:sz="4" w:space="0" w:color="auto"/>
            </w:tcBorders>
            <w:shd w:val="clear" w:color="auto" w:fill="auto"/>
            <w:noWrap/>
            <w:vAlign w:val="center"/>
            <w:hideMark/>
          </w:tcPr>
          <w:p w14:paraId="1B5597B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5539153000</w:t>
            </w:r>
          </w:p>
        </w:tc>
        <w:tc>
          <w:tcPr>
            <w:tcW w:w="547" w:type="pct"/>
            <w:tcBorders>
              <w:top w:val="nil"/>
              <w:left w:val="nil"/>
              <w:bottom w:val="single" w:sz="4" w:space="0" w:color="auto"/>
              <w:right w:val="single" w:sz="4" w:space="0" w:color="auto"/>
            </w:tcBorders>
            <w:shd w:val="clear" w:color="auto" w:fill="auto"/>
            <w:noWrap/>
            <w:vAlign w:val="center"/>
            <w:hideMark/>
          </w:tcPr>
          <w:p w14:paraId="3DA9908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79034217</w:t>
            </w:r>
          </w:p>
        </w:tc>
        <w:tc>
          <w:tcPr>
            <w:tcW w:w="3360" w:type="pct"/>
            <w:tcBorders>
              <w:top w:val="nil"/>
              <w:left w:val="nil"/>
              <w:bottom w:val="single" w:sz="4" w:space="0" w:color="auto"/>
              <w:right w:val="single" w:sz="4" w:space="0" w:color="auto"/>
            </w:tcBorders>
            <w:shd w:val="clear" w:color="auto" w:fill="auto"/>
            <w:vAlign w:val="center"/>
            <w:hideMark/>
          </w:tcPr>
          <w:p w14:paraId="2D1B925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STANOVANJSKI SKLAD REPUBLIKE SLOVENIJE, JAVNI SKLAD</w:t>
            </w:r>
          </w:p>
        </w:tc>
      </w:tr>
      <w:tr w:rsidR="00E3750C" w:rsidRPr="00415AB3" w14:paraId="39E02FC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F30AA7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1806</w:t>
            </w:r>
          </w:p>
        </w:tc>
        <w:tc>
          <w:tcPr>
            <w:tcW w:w="705" w:type="pct"/>
            <w:tcBorders>
              <w:top w:val="nil"/>
              <w:left w:val="nil"/>
              <w:bottom w:val="single" w:sz="4" w:space="0" w:color="auto"/>
              <w:right w:val="single" w:sz="4" w:space="0" w:color="auto"/>
            </w:tcBorders>
            <w:shd w:val="clear" w:color="auto" w:fill="auto"/>
            <w:noWrap/>
            <w:vAlign w:val="center"/>
            <w:hideMark/>
          </w:tcPr>
          <w:p w14:paraId="690823B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5089883000</w:t>
            </w:r>
          </w:p>
        </w:tc>
        <w:tc>
          <w:tcPr>
            <w:tcW w:w="547" w:type="pct"/>
            <w:tcBorders>
              <w:top w:val="nil"/>
              <w:left w:val="nil"/>
              <w:bottom w:val="single" w:sz="4" w:space="0" w:color="auto"/>
              <w:right w:val="single" w:sz="4" w:space="0" w:color="auto"/>
            </w:tcBorders>
            <w:shd w:val="clear" w:color="auto" w:fill="auto"/>
            <w:noWrap/>
            <w:vAlign w:val="center"/>
            <w:hideMark/>
          </w:tcPr>
          <w:p w14:paraId="785016A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55517951</w:t>
            </w:r>
          </w:p>
        </w:tc>
        <w:tc>
          <w:tcPr>
            <w:tcW w:w="3360" w:type="pct"/>
            <w:tcBorders>
              <w:top w:val="nil"/>
              <w:left w:val="nil"/>
              <w:bottom w:val="single" w:sz="4" w:space="0" w:color="auto"/>
              <w:right w:val="single" w:sz="4" w:space="0" w:color="auto"/>
            </w:tcBorders>
            <w:shd w:val="clear" w:color="auto" w:fill="auto"/>
            <w:vAlign w:val="center"/>
            <w:hideMark/>
          </w:tcPr>
          <w:p w14:paraId="3382BED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STROKOVNI IZOBRAŽEVALNI CENTER LJUBLJANA</w:t>
            </w:r>
          </w:p>
        </w:tc>
      </w:tr>
      <w:tr w:rsidR="00E3750C" w:rsidRPr="00415AB3" w14:paraId="2AEAF44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895877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1807</w:t>
            </w:r>
          </w:p>
        </w:tc>
        <w:tc>
          <w:tcPr>
            <w:tcW w:w="705" w:type="pct"/>
            <w:tcBorders>
              <w:top w:val="nil"/>
              <w:left w:val="nil"/>
              <w:bottom w:val="single" w:sz="4" w:space="0" w:color="auto"/>
              <w:right w:val="single" w:sz="4" w:space="0" w:color="auto"/>
            </w:tcBorders>
            <w:shd w:val="clear" w:color="auto" w:fill="auto"/>
            <w:noWrap/>
            <w:vAlign w:val="center"/>
            <w:hideMark/>
          </w:tcPr>
          <w:p w14:paraId="4B7A8D1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1458558000</w:t>
            </w:r>
          </w:p>
        </w:tc>
        <w:tc>
          <w:tcPr>
            <w:tcW w:w="547" w:type="pct"/>
            <w:tcBorders>
              <w:top w:val="nil"/>
              <w:left w:val="nil"/>
              <w:bottom w:val="single" w:sz="4" w:space="0" w:color="auto"/>
              <w:right w:val="single" w:sz="4" w:space="0" w:color="auto"/>
            </w:tcBorders>
            <w:shd w:val="clear" w:color="auto" w:fill="auto"/>
            <w:noWrap/>
            <w:vAlign w:val="center"/>
            <w:hideMark/>
          </w:tcPr>
          <w:p w14:paraId="378463C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51349728</w:t>
            </w:r>
          </w:p>
        </w:tc>
        <w:tc>
          <w:tcPr>
            <w:tcW w:w="3360" w:type="pct"/>
            <w:tcBorders>
              <w:top w:val="nil"/>
              <w:left w:val="nil"/>
              <w:bottom w:val="single" w:sz="4" w:space="0" w:color="auto"/>
              <w:right w:val="single" w:sz="4" w:space="0" w:color="auto"/>
            </w:tcBorders>
            <w:shd w:val="clear" w:color="auto" w:fill="auto"/>
            <w:vAlign w:val="center"/>
            <w:hideMark/>
          </w:tcPr>
          <w:p w14:paraId="6CF5C09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STROKOVNO IZOBRAŽEVALNI CENTER BREŽICE</w:t>
            </w:r>
          </w:p>
        </w:tc>
      </w:tr>
      <w:tr w:rsidR="00E3750C" w:rsidRPr="00415AB3" w14:paraId="37C0630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2AAB00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1808</w:t>
            </w:r>
          </w:p>
        </w:tc>
        <w:tc>
          <w:tcPr>
            <w:tcW w:w="705" w:type="pct"/>
            <w:tcBorders>
              <w:top w:val="nil"/>
              <w:left w:val="nil"/>
              <w:bottom w:val="single" w:sz="4" w:space="0" w:color="auto"/>
              <w:right w:val="single" w:sz="4" w:space="0" w:color="auto"/>
            </w:tcBorders>
            <w:shd w:val="clear" w:color="auto" w:fill="auto"/>
            <w:noWrap/>
            <w:vAlign w:val="center"/>
            <w:hideMark/>
          </w:tcPr>
          <w:p w14:paraId="392E9FC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9162623000</w:t>
            </w:r>
          </w:p>
        </w:tc>
        <w:tc>
          <w:tcPr>
            <w:tcW w:w="547" w:type="pct"/>
            <w:tcBorders>
              <w:top w:val="nil"/>
              <w:left w:val="nil"/>
              <w:bottom w:val="single" w:sz="4" w:space="0" w:color="auto"/>
              <w:right w:val="single" w:sz="4" w:space="0" w:color="auto"/>
            </w:tcBorders>
            <w:shd w:val="clear" w:color="auto" w:fill="auto"/>
            <w:noWrap/>
            <w:vAlign w:val="center"/>
            <w:hideMark/>
          </w:tcPr>
          <w:p w14:paraId="4CB5775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93998341</w:t>
            </w:r>
          </w:p>
        </w:tc>
        <w:tc>
          <w:tcPr>
            <w:tcW w:w="3360" w:type="pct"/>
            <w:tcBorders>
              <w:top w:val="nil"/>
              <w:left w:val="nil"/>
              <w:bottom w:val="single" w:sz="4" w:space="0" w:color="auto"/>
              <w:right w:val="single" w:sz="4" w:space="0" w:color="auto"/>
            </w:tcBorders>
            <w:shd w:val="clear" w:color="auto" w:fill="auto"/>
            <w:vAlign w:val="center"/>
            <w:hideMark/>
          </w:tcPr>
          <w:p w14:paraId="68AFB50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SVETOVALNI CENTER ZA OTROKE, MLADOSTNIKE IN STARŠE ISTRE</w:t>
            </w:r>
          </w:p>
        </w:tc>
      </w:tr>
      <w:tr w:rsidR="00E3750C" w:rsidRPr="00415AB3" w14:paraId="2FF0880F"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AA4A23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1809</w:t>
            </w:r>
          </w:p>
        </w:tc>
        <w:tc>
          <w:tcPr>
            <w:tcW w:w="705" w:type="pct"/>
            <w:tcBorders>
              <w:top w:val="nil"/>
              <w:left w:val="nil"/>
              <w:bottom w:val="single" w:sz="4" w:space="0" w:color="auto"/>
              <w:right w:val="single" w:sz="4" w:space="0" w:color="auto"/>
            </w:tcBorders>
            <w:shd w:val="clear" w:color="auto" w:fill="auto"/>
            <w:noWrap/>
            <w:vAlign w:val="center"/>
            <w:hideMark/>
          </w:tcPr>
          <w:p w14:paraId="48F0168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5050375000</w:t>
            </w:r>
          </w:p>
        </w:tc>
        <w:tc>
          <w:tcPr>
            <w:tcW w:w="547" w:type="pct"/>
            <w:tcBorders>
              <w:top w:val="nil"/>
              <w:left w:val="nil"/>
              <w:bottom w:val="single" w:sz="4" w:space="0" w:color="auto"/>
              <w:right w:val="single" w:sz="4" w:space="0" w:color="auto"/>
            </w:tcBorders>
            <w:shd w:val="clear" w:color="auto" w:fill="auto"/>
            <w:noWrap/>
            <w:vAlign w:val="center"/>
            <w:hideMark/>
          </w:tcPr>
          <w:p w14:paraId="3D9D579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50635905</w:t>
            </w:r>
          </w:p>
        </w:tc>
        <w:tc>
          <w:tcPr>
            <w:tcW w:w="3360" w:type="pct"/>
            <w:tcBorders>
              <w:top w:val="nil"/>
              <w:left w:val="nil"/>
              <w:bottom w:val="single" w:sz="4" w:space="0" w:color="auto"/>
              <w:right w:val="single" w:sz="4" w:space="0" w:color="auto"/>
            </w:tcBorders>
            <w:shd w:val="clear" w:color="auto" w:fill="auto"/>
            <w:vAlign w:val="center"/>
            <w:hideMark/>
          </w:tcPr>
          <w:p w14:paraId="5836232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SVETOVALNI CENTER ZA OTROKE, MLADOSTNIKE IN STARŠE MARIBOR</w:t>
            </w:r>
          </w:p>
        </w:tc>
      </w:tr>
      <w:tr w:rsidR="00E3750C" w:rsidRPr="00415AB3" w14:paraId="62CCE26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9A073F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1810</w:t>
            </w:r>
          </w:p>
        </w:tc>
        <w:tc>
          <w:tcPr>
            <w:tcW w:w="705" w:type="pct"/>
            <w:tcBorders>
              <w:top w:val="nil"/>
              <w:left w:val="nil"/>
              <w:bottom w:val="single" w:sz="4" w:space="0" w:color="auto"/>
              <w:right w:val="single" w:sz="4" w:space="0" w:color="auto"/>
            </w:tcBorders>
            <w:shd w:val="clear" w:color="auto" w:fill="auto"/>
            <w:noWrap/>
            <w:vAlign w:val="center"/>
            <w:hideMark/>
          </w:tcPr>
          <w:p w14:paraId="5B8D1C9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5865824000</w:t>
            </w:r>
          </w:p>
        </w:tc>
        <w:tc>
          <w:tcPr>
            <w:tcW w:w="547" w:type="pct"/>
            <w:tcBorders>
              <w:top w:val="nil"/>
              <w:left w:val="nil"/>
              <w:bottom w:val="single" w:sz="4" w:space="0" w:color="auto"/>
              <w:right w:val="single" w:sz="4" w:space="0" w:color="auto"/>
            </w:tcBorders>
            <w:shd w:val="clear" w:color="auto" w:fill="auto"/>
            <w:noWrap/>
            <w:vAlign w:val="center"/>
            <w:hideMark/>
          </w:tcPr>
          <w:p w14:paraId="4F8E117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99181762</w:t>
            </w:r>
          </w:p>
        </w:tc>
        <w:tc>
          <w:tcPr>
            <w:tcW w:w="3360" w:type="pct"/>
            <w:tcBorders>
              <w:top w:val="nil"/>
              <w:left w:val="nil"/>
              <w:bottom w:val="single" w:sz="4" w:space="0" w:color="auto"/>
              <w:right w:val="single" w:sz="4" w:space="0" w:color="auto"/>
            </w:tcBorders>
            <w:shd w:val="clear" w:color="auto" w:fill="auto"/>
            <w:vAlign w:val="center"/>
            <w:hideMark/>
          </w:tcPr>
          <w:p w14:paraId="183FCDF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SŽ - VLEKA IN TEHNIKA, D.O.O.</w:t>
            </w:r>
          </w:p>
        </w:tc>
      </w:tr>
      <w:tr w:rsidR="00E3750C" w:rsidRPr="00415AB3" w14:paraId="2F1B393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917792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1811</w:t>
            </w:r>
          </w:p>
        </w:tc>
        <w:tc>
          <w:tcPr>
            <w:tcW w:w="705" w:type="pct"/>
            <w:tcBorders>
              <w:top w:val="nil"/>
              <w:left w:val="nil"/>
              <w:bottom w:val="single" w:sz="4" w:space="0" w:color="auto"/>
              <w:right w:val="single" w:sz="4" w:space="0" w:color="auto"/>
            </w:tcBorders>
            <w:shd w:val="clear" w:color="auto" w:fill="auto"/>
            <w:noWrap/>
            <w:vAlign w:val="center"/>
            <w:hideMark/>
          </w:tcPr>
          <w:p w14:paraId="44902CF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5381339000</w:t>
            </w:r>
          </w:p>
        </w:tc>
        <w:tc>
          <w:tcPr>
            <w:tcW w:w="547" w:type="pct"/>
            <w:tcBorders>
              <w:top w:val="nil"/>
              <w:left w:val="nil"/>
              <w:bottom w:val="single" w:sz="4" w:space="0" w:color="auto"/>
              <w:right w:val="single" w:sz="4" w:space="0" w:color="auto"/>
            </w:tcBorders>
            <w:shd w:val="clear" w:color="auto" w:fill="auto"/>
            <w:noWrap/>
            <w:vAlign w:val="center"/>
            <w:hideMark/>
          </w:tcPr>
          <w:p w14:paraId="6A1A622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95965050</w:t>
            </w:r>
          </w:p>
        </w:tc>
        <w:tc>
          <w:tcPr>
            <w:tcW w:w="3360" w:type="pct"/>
            <w:tcBorders>
              <w:top w:val="nil"/>
              <w:left w:val="nil"/>
              <w:bottom w:val="single" w:sz="4" w:space="0" w:color="auto"/>
              <w:right w:val="single" w:sz="4" w:space="0" w:color="auto"/>
            </w:tcBorders>
            <w:shd w:val="clear" w:color="auto" w:fill="auto"/>
            <w:vAlign w:val="center"/>
            <w:hideMark/>
          </w:tcPr>
          <w:p w14:paraId="1134BBF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ŠALEŠKI ŠTUDENTSKI KLUB</w:t>
            </w:r>
          </w:p>
        </w:tc>
      </w:tr>
      <w:tr w:rsidR="00E3750C" w:rsidRPr="00415AB3" w14:paraId="37D37B3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26DAD1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1812</w:t>
            </w:r>
          </w:p>
        </w:tc>
        <w:tc>
          <w:tcPr>
            <w:tcW w:w="705" w:type="pct"/>
            <w:tcBorders>
              <w:top w:val="nil"/>
              <w:left w:val="nil"/>
              <w:bottom w:val="single" w:sz="4" w:space="0" w:color="auto"/>
              <w:right w:val="single" w:sz="4" w:space="0" w:color="auto"/>
            </w:tcBorders>
            <w:shd w:val="clear" w:color="auto" w:fill="auto"/>
            <w:noWrap/>
            <w:vAlign w:val="center"/>
            <w:hideMark/>
          </w:tcPr>
          <w:p w14:paraId="0496569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1050702000</w:t>
            </w:r>
          </w:p>
        </w:tc>
        <w:tc>
          <w:tcPr>
            <w:tcW w:w="547" w:type="pct"/>
            <w:tcBorders>
              <w:top w:val="nil"/>
              <w:left w:val="nil"/>
              <w:bottom w:val="single" w:sz="4" w:space="0" w:color="auto"/>
              <w:right w:val="single" w:sz="4" w:space="0" w:color="auto"/>
            </w:tcBorders>
            <w:shd w:val="clear" w:color="auto" w:fill="auto"/>
            <w:noWrap/>
            <w:vAlign w:val="center"/>
            <w:hideMark/>
          </w:tcPr>
          <w:p w14:paraId="16840B9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45952906</w:t>
            </w:r>
          </w:p>
        </w:tc>
        <w:tc>
          <w:tcPr>
            <w:tcW w:w="3360" w:type="pct"/>
            <w:tcBorders>
              <w:top w:val="nil"/>
              <w:left w:val="nil"/>
              <w:bottom w:val="single" w:sz="4" w:space="0" w:color="auto"/>
              <w:right w:val="single" w:sz="4" w:space="0" w:color="auto"/>
            </w:tcBorders>
            <w:shd w:val="clear" w:color="auto" w:fill="auto"/>
            <w:vAlign w:val="center"/>
            <w:hideMark/>
          </w:tcPr>
          <w:p w14:paraId="62BE411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ŠKLAB - KLUB ZASAVSKIH ŠTUDENTOV</w:t>
            </w:r>
          </w:p>
        </w:tc>
      </w:tr>
      <w:tr w:rsidR="00E3750C" w:rsidRPr="00415AB3" w14:paraId="335FE5A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72A32B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1813</w:t>
            </w:r>
          </w:p>
        </w:tc>
        <w:tc>
          <w:tcPr>
            <w:tcW w:w="705" w:type="pct"/>
            <w:tcBorders>
              <w:top w:val="nil"/>
              <w:left w:val="nil"/>
              <w:bottom w:val="single" w:sz="4" w:space="0" w:color="auto"/>
              <w:right w:val="single" w:sz="4" w:space="0" w:color="auto"/>
            </w:tcBorders>
            <w:shd w:val="clear" w:color="auto" w:fill="auto"/>
            <w:noWrap/>
            <w:vAlign w:val="center"/>
            <w:hideMark/>
          </w:tcPr>
          <w:p w14:paraId="38E757A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1201794000</w:t>
            </w:r>
          </w:p>
        </w:tc>
        <w:tc>
          <w:tcPr>
            <w:tcW w:w="547" w:type="pct"/>
            <w:tcBorders>
              <w:top w:val="nil"/>
              <w:left w:val="nil"/>
              <w:bottom w:val="single" w:sz="4" w:space="0" w:color="auto"/>
              <w:right w:val="single" w:sz="4" w:space="0" w:color="auto"/>
            </w:tcBorders>
            <w:shd w:val="clear" w:color="auto" w:fill="auto"/>
            <w:noWrap/>
            <w:vAlign w:val="center"/>
            <w:hideMark/>
          </w:tcPr>
          <w:p w14:paraId="1E19EFE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83625950</w:t>
            </w:r>
          </w:p>
        </w:tc>
        <w:tc>
          <w:tcPr>
            <w:tcW w:w="3360" w:type="pct"/>
            <w:tcBorders>
              <w:top w:val="nil"/>
              <w:left w:val="nil"/>
              <w:bottom w:val="single" w:sz="4" w:space="0" w:color="auto"/>
              <w:right w:val="single" w:sz="4" w:space="0" w:color="auto"/>
            </w:tcBorders>
            <w:shd w:val="clear" w:color="auto" w:fill="auto"/>
            <w:vAlign w:val="center"/>
            <w:hideMark/>
          </w:tcPr>
          <w:p w14:paraId="6415CCD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ŠOLA ZA HORTIKULTURO IN VIZUALNE UMETNOSTI CELJE</w:t>
            </w:r>
          </w:p>
        </w:tc>
      </w:tr>
      <w:tr w:rsidR="00E3750C" w:rsidRPr="00415AB3" w14:paraId="53DF295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0F98B6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1814</w:t>
            </w:r>
          </w:p>
        </w:tc>
        <w:tc>
          <w:tcPr>
            <w:tcW w:w="705" w:type="pct"/>
            <w:tcBorders>
              <w:top w:val="nil"/>
              <w:left w:val="nil"/>
              <w:bottom w:val="single" w:sz="4" w:space="0" w:color="auto"/>
              <w:right w:val="single" w:sz="4" w:space="0" w:color="auto"/>
            </w:tcBorders>
            <w:shd w:val="clear" w:color="auto" w:fill="auto"/>
            <w:noWrap/>
            <w:vAlign w:val="center"/>
            <w:hideMark/>
          </w:tcPr>
          <w:p w14:paraId="0065216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1429680000</w:t>
            </w:r>
          </w:p>
        </w:tc>
        <w:tc>
          <w:tcPr>
            <w:tcW w:w="547" w:type="pct"/>
            <w:tcBorders>
              <w:top w:val="nil"/>
              <w:left w:val="nil"/>
              <w:bottom w:val="single" w:sz="4" w:space="0" w:color="auto"/>
              <w:right w:val="single" w:sz="4" w:space="0" w:color="auto"/>
            </w:tcBorders>
            <w:shd w:val="clear" w:color="auto" w:fill="auto"/>
            <w:noWrap/>
            <w:vAlign w:val="center"/>
            <w:hideMark/>
          </w:tcPr>
          <w:p w14:paraId="42BEDDA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39631265</w:t>
            </w:r>
          </w:p>
        </w:tc>
        <w:tc>
          <w:tcPr>
            <w:tcW w:w="3360" w:type="pct"/>
            <w:tcBorders>
              <w:top w:val="nil"/>
              <w:left w:val="nil"/>
              <w:bottom w:val="single" w:sz="4" w:space="0" w:color="auto"/>
              <w:right w:val="single" w:sz="4" w:space="0" w:color="auto"/>
            </w:tcBorders>
            <w:shd w:val="clear" w:color="auto" w:fill="auto"/>
            <w:vAlign w:val="center"/>
            <w:hideMark/>
          </w:tcPr>
          <w:p w14:paraId="2F4A63B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ŠOLSKE STORITVENE DEJAVNOSTI "PETKA" ŽALEC</w:t>
            </w:r>
          </w:p>
        </w:tc>
      </w:tr>
      <w:tr w:rsidR="00E3750C" w:rsidRPr="00415AB3" w14:paraId="1984618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34280C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1815</w:t>
            </w:r>
          </w:p>
        </w:tc>
        <w:tc>
          <w:tcPr>
            <w:tcW w:w="705" w:type="pct"/>
            <w:tcBorders>
              <w:top w:val="nil"/>
              <w:left w:val="nil"/>
              <w:bottom w:val="single" w:sz="4" w:space="0" w:color="auto"/>
              <w:right w:val="single" w:sz="4" w:space="0" w:color="auto"/>
            </w:tcBorders>
            <w:shd w:val="clear" w:color="auto" w:fill="auto"/>
            <w:noWrap/>
            <w:vAlign w:val="center"/>
            <w:hideMark/>
          </w:tcPr>
          <w:p w14:paraId="1952D0F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5082692000</w:t>
            </w:r>
          </w:p>
        </w:tc>
        <w:tc>
          <w:tcPr>
            <w:tcW w:w="547" w:type="pct"/>
            <w:tcBorders>
              <w:top w:val="nil"/>
              <w:left w:val="nil"/>
              <w:bottom w:val="single" w:sz="4" w:space="0" w:color="auto"/>
              <w:right w:val="single" w:sz="4" w:space="0" w:color="auto"/>
            </w:tcBorders>
            <w:shd w:val="clear" w:color="auto" w:fill="auto"/>
            <w:noWrap/>
            <w:vAlign w:val="center"/>
            <w:hideMark/>
          </w:tcPr>
          <w:p w14:paraId="1926A36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76965007</w:t>
            </w:r>
          </w:p>
        </w:tc>
        <w:tc>
          <w:tcPr>
            <w:tcW w:w="3360" w:type="pct"/>
            <w:tcBorders>
              <w:top w:val="nil"/>
              <w:left w:val="nil"/>
              <w:bottom w:val="single" w:sz="4" w:space="0" w:color="auto"/>
              <w:right w:val="single" w:sz="4" w:space="0" w:color="auto"/>
            </w:tcBorders>
            <w:shd w:val="clear" w:color="auto" w:fill="auto"/>
            <w:vAlign w:val="center"/>
            <w:hideMark/>
          </w:tcPr>
          <w:p w14:paraId="7A57E8A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ŠOLSKI CENTER CELJE</w:t>
            </w:r>
          </w:p>
        </w:tc>
      </w:tr>
      <w:tr w:rsidR="00E3750C" w:rsidRPr="00415AB3" w14:paraId="33689D3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69D2C7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1816</w:t>
            </w:r>
          </w:p>
        </w:tc>
        <w:tc>
          <w:tcPr>
            <w:tcW w:w="705" w:type="pct"/>
            <w:tcBorders>
              <w:top w:val="nil"/>
              <w:left w:val="nil"/>
              <w:bottom w:val="single" w:sz="4" w:space="0" w:color="auto"/>
              <w:right w:val="single" w:sz="4" w:space="0" w:color="auto"/>
            </w:tcBorders>
            <w:shd w:val="clear" w:color="auto" w:fill="auto"/>
            <w:noWrap/>
            <w:vAlign w:val="center"/>
            <w:hideMark/>
          </w:tcPr>
          <w:p w14:paraId="56BF973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6286259000</w:t>
            </w:r>
          </w:p>
        </w:tc>
        <w:tc>
          <w:tcPr>
            <w:tcW w:w="547" w:type="pct"/>
            <w:tcBorders>
              <w:top w:val="nil"/>
              <w:left w:val="nil"/>
              <w:bottom w:val="single" w:sz="4" w:space="0" w:color="auto"/>
              <w:right w:val="single" w:sz="4" w:space="0" w:color="auto"/>
            </w:tcBorders>
            <w:shd w:val="clear" w:color="auto" w:fill="auto"/>
            <w:noWrap/>
            <w:vAlign w:val="center"/>
            <w:hideMark/>
          </w:tcPr>
          <w:p w14:paraId="0F18E57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12782076</w:t>
            </w:r>
          </w:p>
        </w:tc>
        <w:tc>
          <w:tcPr>
            <w:tcW w:w="3360" w:type="pct"/>
            <w:tcBorders>
              <w:top w:val="nil"/>
              <w:left w:val="nil"/>
              <w:bottom w:val="single" w:sz="4" w:space="0" w:color="auto"/>
              <w:right w:val="single" w:sz="4" w:space="0" w:color="auto"/>
            </w:tcBorders>
            <w:shd w:val="clear" w:color="auto" w:fill="auto"/>
            <w:vAlign w:val="center"/>
            <w:hideMark/>
          </w:tcPr>
          <w:p w14:paraId="49288AF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ŠOLSKI CENTER KRANJ</w:t>
            </w:r>
          </w:p>
        </w:tc>
      </w:tr>
      <w:tr w:rsidR="00E3750C" w:rsidRPr="00415AB3" w14:paraId="2404AA5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F64459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1817</w:t>
            </w:r>
          </w:p>
        </w:tc>
        <w:tc>
          <w:tcPr>
            <w:tcW w:w="705" w:type="pct"/>
            <w:tcBorders>
              <w:top w:val="nil"/>
              <w:left w:val="nil"/>
              <w:bottom w:val="single" w:sz="4" w:space="0" w:color="auto"/>
              <w:right w:val="single" w:sz="4" w:space="0" w:color="auto"/>
            </w:tcBorders>
            <w:shd w:val="clear" w:color="auto" w:fill="auto"/>
            <w:noWrap/>
            <w:vAlign w:val="center"/>
            <w:hideMark/>
          </w:tcPr>
          <w:p w14:paraId="54CF4A7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5083982000</w:t>
            </w:r>
          </w:p>
        </w:tc>
        <w:tc>
          <w:tcPr>
            <w:tcW w:w="547" w:type="pct"/>
            <w:tcBorders>
              <w:top w:val="nil"/>
              <w:left w:val="nil"/>
              <w:bottom w:val="single" w:sz="4" w:space="0" w:color="auto"/>
              <w:right w:val="single" w:sz="4" w:space="0" w:color="auto"/>
            </w:tcBorders>
            <w:shd w:val="clear" w:color="auto" w:fill="auto"/>
            <w:noWrap/>
            <w:vAlign w:val="center"/>
            <w:hideMark/>
          </w:tcPr>
          <w:p w14:paraId="2F68741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36867578</w:t>
            </w:r>
          </w:p>
        </w:tc>
        <w:tc>
          <w:tcPr>
            <w:tcW w:w="3360" w:type="pct"/>
            <w:tcBorders>
              <w:top w:val="nil"/>
              <w:left w:val="nil"/>
              <w:bottom w:val="single" w:sz="4" w:space="0" w:color="auto"/>
              <w:right w:val="single" w:sz="4" w:space="0" w:color="auto"/>
            </w:tcBorders>
            <w:shd w:val="clear" w:color="auto" w:fill="auto"/>
            <w:vAlign w:val="center"/>
            <w:hideMark/>
          </w:tcPr>
          <w:p w14:paraId="5539C34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ŠOLSKI CENTER KRŠKO-SEVNICA</w:t>
            </w:r>
          </w:p>
        </w:tc>
      </w:tr>
      <w:tr w:rsidR="00E3750C" w:rsidRPr="00415AB3" w14:paraId="749638A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206E27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1818</w:t>
            </w:r>
          </w:p>
        </w:tc>
        <w:tc>
          <w:tcPr>
            <w:tcW w:w="705" w:type="pct"/>
            <w:tcBorders>
              <w:top w:val="nil"/>
              <w:left w:val="nil"/>
              <w:bottom w:val="single" w:sz="4" w:space="0" w:color="auto"/>
              <w:right w:val="single" w:sz="4" w:space="0" w:color="auto"/>
            </w:tcBorders>
            <w:shd w:val="clear" w:color="auto" w:fill="auto"/>
            <w:noWrap/>
            <w:vAlign w:val="center"/>
            <w:hideMark/>
          </w:tcPr>
          <w:p w14:paraId="3D2B689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1430971000</w:t>
            </w:r>
          </w:p>
        </w:tc>
        <w:tc>
          <w:tcPr>
            <w:tcW w:w="547" w:type="pct"/>
            <w:tcBorders>
              <w:top w:val="nil"/>
              <w:left w:val="nil"/>
              <w:bottom w:val="single" w:sz="4" w:space="0" w:color="auto"/>
              <w:right w:val="single" w:sz="4" w:space="0" w:color="auto"/>
            </w:tcBorders>
            <w:shd w:val="clear" w:color="auto" w:fill="auto"/>
            <w:noWrap/>
            <w:vAlign w:val="center"/>
            <w:hideMark/>
          </w:tcPr>
          <w:p w14:paraId="455855E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73059471</w:t>
            </w:r>
          </w:p>
        </w:tc>
        <w:tc>
          <w:tcPr>
            <w:tcW w:w="3360" w:type="pct"/>
            <w:tcBorders>
              <w:top w:val="nil"/>
              <w:left w:val="nil"/>
              <w:bottom w:val="single" w:sz="4" w:space="0" w:color="auto"/>
              <w:right w:val="single" w:sz="4" w:space="0" w:color="auto"/>
            </w:tcBorders>
            <w:shd w:val="clear" w:color="auto" w:fill="auto"/>
            <w:vAlign w:val="center"/>
            <w:hideMark/>
          </w:tcPr>
          <w:p w14:paraId="68E3573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ŠOLSKI CENTER LJUBLJANA</w:t>
            </w:r>
          </w:p>
        </w:tc>
      </w:tr>
      <w:tr w:rsidR="00E3750C" w:rsidRPr="00415AB3" w14:paraId="316F805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207CCF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1819</w:t>
            </w:r>
          </w:p>
        </w:tc>
        <w:tc>
          <w:tcPr>
            <w:tcW w:w="705" w:type="pct"/>
            <w:tcBorders>
              <w:top w:val="nil"/>
              <w:left w:val="nil"/>
              <w:bottom w:val="single" w:sz="4" w:space="0" w:color="auto"/>
              <w:right w:val="single" w:sz="4" w:space="0" w:color="auto"/>
            </w:tcBorders>
            <w:shd w:val="clear" w:color="auto" w:fill="auto"/>
            <w:noWrap/>
            <w:vAlign w:val="center"/>
            <w:hideMark/>
          </w:tcPr>
          <w:p w14:paraId="404FBE7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5089085000</w:t>
            </w:r>
          </w:p>
        </w:tc>
        <w:tc>
          <w:tcPr>
            <w:tcW w:w="547" w:type="pct"/>
            <w:tcBorders>
              <w:top w:val="nil"/>
              <w:left w:val="nil"/>
              <w:bottom w:val="single" w:sz="4" w:space="0" w:color="auto"/>
              <w:right w:val="single" w:sz="4" w:space="0" w:color="auto"/>
            </w:tcBorders>
            <w:shd w:val="clear" w:color="auto" w:fill="auto"/>
            <w:noWrap/>
            <w:vAlign w:val="center"/>
            <w:hideMark/>
          </w:tcPr>
          <w:p w14:paraId="4E4B53D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69993211</w:t>
            </w:r>
          </w:p>
        </w:tc>
        <w:tc>
          <w:tcPr>
            <w:tcW w:w="3360" w:type="pct"/>
            <w:tcBorders>
              <w:top w:val="nil"/>
              <w:left w:val="nil"/>
              <w:bottom w:val="single" w:sz="4" w:space="0" w:color="auto"/>
              <w:right w:val="single" w:sz="4" w:space="0" w:color="auto"/>
            </w:tcBorders>
            <w:shd w:val="clear" w:color="auto" w:fill="auto"/>
            <w:vAlign w:val="center"/>
            <w:hideMark/>
          </w:tcPr>
          <w:p w14:paraId="3ADC532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ŠOLSKI CENTER NOVA GORICA</w:t>
            </w:r>
          </w:p>
        </w:tc>
      </w:tr>
      <w:tr w:rsidR="00E3750C" w:rsidRPr="00415AB3" w14:paraId="0DB1EDF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D9AB29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1820</w:t>
            </w:r>
          </w:p>
        </w:tc>
        <w:tc>
          <w:tcPr>
            <w:tcW w:w="705" w:type="pct"/>
            <w:tcBorders>
              <w:top w:val="nil"/>
              <w:left w:val="nil"/>
              <w:bottom w:val="single" w:sz="4" w:space="0" w:color="auto"/>
              <w:right w:val="single" w:sz="4" w:space="0" w:color="auto"/>
            </w:tcBorders>
            <w:shd w:val="clear" w:color="auto" w:fill="auto"/>
            <w:noWrap/>
            <w:vAlign w:val="center"/>
            <w:hideMark/>
          </w:tcPr>
          <w:p w14:paraId="52C30F4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5258782000</w:t>
            </w:r>
          </w:p>
        </w:tc>
        <w:tc>
          <w:tcPr>
            <w:tcW w:w="547" w:type="pct"/>
            <w:tcBorders>
              <w:top w:val="nil"/>
              <w:left w:val="nil"/>
              <w:bottom w:val="single" w:sz="4" w:space="0" w:color="auto"/>
              <w:right w:val="single" w:sz="4" w:space="0" w:color="auto"/>
            </w:tcBorders>
            <w:shd w:val="clear" w:color="auto" w:fill="auto"/>
            <w:noWrap/>
            <w:vAlign w:val="center"/>
            <w:hideMark/>
          </w:tcPr>
          <w:p w14:paraId="202E9D6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68565127</w:t>
            </w:r>
          </w:p>
        </w:tc>
        <w:tc>
          <w:tcPr>
            <w:tcW w:w="3360" w:type="pct"/>
            <w:tcBorders>
              <w:top w:val="nil"/>
              <w:left w:val="nil"/>
              <w:bottom w:val="single" w:sz="4" w:space="0" w:color="auto"/>
              <w:right w:val="single" w:sz="4" w:space="0" w:color="auto"/>
            </w:tcBorders>
            <w:shd w:val="clear" w:color="auto" w:fill="auto"/>
            <w:vAlign w:val="center"/>
            <w:hideMark/>
          </w:tcPr>
          <w:p w14:paraId="3759DE4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ŠOLSKI CENTER NOVO MESTO</w:t>
            </w:r>
          </w:p>
        </w:tc>
      </w:tr>
      <w:tr w:rsidR="00E3750C" w:rsidRPr="00415AB3" w14:paraId="7F70FB4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E01F25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1821</w:t>
            </w:r>
          </w:p>
        </w:tc>
        <w:tc>
          <w:tcPr>
            <w:tcW w:w="705" w:type="pct"/>
            <w:tcBorders>
              <w:top w:val="nil"/>
              <w:left w:val="nil"/>
              <w:bottom w:val="single" w:sz="4" w:space="0" w:color="auto"/>
              <w:right w:val="single" w:sz="4" w:space="0" w:color="auto"/>
            </w:tcBorders>
            <w:shd w:val="clear" w:color="auto" w:fill="auto"/>
            <w:noWrap/>
            <w:vAlign w:val="center"/>
            <w:hideMark/>
          </w:tcPr>
          <w:p w14:paraId="2BBAF1D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5086957000</w:t>
            </w:r>
          </w:p>
        </w:tc>
        <w:tc>
          <w:tcPr>
            <w:tcW w:w="547" w:type="pct"/>
            <w:tcBorders>
              <w:top w:val="nil"/>
              <w:left w:val="nil"/>
              <w:bottom w:val="single" w:sz="4" w:space="0" w:color="auto"/>
              <w:right w:val="single" w:sz="4" w:space="0" w:color="auto"/>
            </w:tcBorders>
            <w:shd w:val="clear" w:color="auto" w:fill="auto"/>
            <w:noWrap/>
            <w:vAlign w:val="center"/>
            <w:hideMark/>
          </w:tcPr>
          <w:p w14:paraId="3DDD614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17067006</w:t>
            </w:r>
          </w:p>
        </w:tc>
        <w:tc>
          <w:tcPr>
            <w:tcW w:w="3360" w:type="pct"/>
            <w:tcBorders>
              <w:top w:val="nil"/>
              <w:left w:val="nil"/>
              <w:bottom w:val="single" w:sz="4" w:space="0" w:color="auto"/>
              <w:right w:val="single" w:sz="4" w:space="0" w:color="auto"/>
            </w:tcBorders>
            <w:shd w:val="clear" w:color="auto" w:fill="auto"/>
            <w:vAlign w:val="center"/>
            <w:hideMark/>
          </w:tcPr>
          <w:p w14:paraId="70EAEC1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ŠOLSKI CENTER POSTOJNA</w:t>
            </w:r>
          </w:p>
        </w:tc>
      </w:tr>
      <w:tr w:rsidR="00E3750C" w:rsidRPr="00415AB3" w14:paraId="5BD93F5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C64146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1822</w:t>
            </w:r>
          </w:p>
        </w:tc>
        <w:tc>
          <w:tcPr>
            <w:tcW w:w="705" w:type="pct"/>
            <w:tcBorders>
              <w:top w:val="nil"/>
              <w:left w:val="nil"/>
              <w:bottom w:val="single" w:sz="4" w:space="0" w:color="auto"/>
              <w:right w:val="single" w:sz="4" w:space="0" w:color="auto"/>
            </w:tcBorders>
            <w:shd w:val="clear" w:color="auto" w:fill="auto"/>
            <w:noWrap/>
            <w:vAlign w:val="center"/>
            <w:hideMark/>
          </w:tcPr>
          <w:p w14:paraId="166E9B6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5064678000</w:t>
            </w:r>
          </w:p>
        </w:tc>
        <w:tc>
          <w:tcPr>
            <w:tcW w:w="547" w:type="pct"/>
            <w:tcBorders>
              <w:top w:val="nil"/>
              <w:left w:val="nil"/>
              <w:bottom w:val="single" w:sz="4" w:space="0" w:color="auto"/>
              <w:right w:val="single" w:sz="4" w:space="0" w:color="auto"/>
            </w:tcBorders>
            <w:shd w:val="clear" w:color="auto" w:fill="auto"/>
            <w:noWrap/>
            <w:vAlign w:val="center"/>
            <w:hideMark/>
          </w:tcPr>
          <w:p w14:paraId="2C4C101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23369809</w:t>
            </w:r>
          </w:p>
        </w:tc>
        <w:tc>
          <w:tcPr>
            <w:tcW w:w="3360" w:type="pct"/>
            <w:tcBorders>
              <w:top w:val="nil"/>
              <w:left w:val="nil"/>
              <w:bottom w:val="single" w:sz="4" w:space="0" w:color="auto"/>
              <w:right w:val="single" w:sz="4" w:space="0" w:color="auto"/>
            </w:tcBorders>
            <w:shd w:val="clear" w:color="auto" w:fill="auto"/>
            <w:vAlign w:val="center"/>
            <w:hideMark/>
          </w:tcPr>
          <w:p w14:paraId="7D12F8A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ŠOLSKI CENTER PTUJ</w:t>
            </w:r>
          </w:p>
        </w:tc>
      </w:tr>
      <w:tr w:rsidR="00E3750C" w:rsidRPr="00415AB3" w14:paraId="0FF2AF8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860847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1823</w:t>
            </w:r>
          </w:p>
        </w:tc>
        <w:tc>
          <w:tcPr>
            <w:tcW w:w="705" w:type="pct"/>
            <w:tcBorders>
              <w:top w:val="nil"/>
              <w:left w:val="nil"/>
              <w:bottom w:val="single" w:sz="4" w:space="0" w:color="auto"/>
              <w:right w:val="single" w:sz="4" w:space="0" w:color="auto"/>
            </w:tcBorders>
            <w:shd w:val="clear" w:color="auto" w:fill="auto"/>
            <w:noWrap/>
            <w:vAlign w:val="center"/>
            <w:hideMark/>
          </w:tcPr>
          <w:p w14:paraId="69C68D1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2345188000</w:t>
            </w:r>
          </w:p>
        </w:tc>
        <w:tc>
          <w:tcPr>
            <w:tcW w:w="547" w:type="pct"/>
            <w:tcBorders>
              <w:top w:val="nil"/>
              <w:left w:val="nil"/>
              <w:bottom w:val="single" w:sz="4" w:space="0" w:color="auto"/>
              <w:right w:val="single" w:sz="4" w:space="0" w:color="auto"/>
            </w:tcBorders>
            <w:shd w:val="clear" w:color="auto" w:fill="auto"/>
            <w:noWrap/>
            <w:vAlign w:val="center"/>
            <w:hideMark/>
          </w:tcPr>
          <w:p w14:paraId="0120811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27201163</w:t>
            </w:r>
          </w:p>
        </w:tc>
        <w:tc>
          <w:tcPr>
            <w:tcW w:w="3360" w:type="pct"/>
            <w:tcBorders>
              <w:top w:val="nil"/>
              <w:left w:val="nil"/>
              <w:bottom w:val="single" w:sz="4" w:space="0" w:color="auto"/>
              <w:right w:val="single" w:sz="4" w:space="0" w:color="auto"/>
            </w:tcBorders>
            <w:shd w:val="clear" w:color="auto" w:fill="auto"/>
            <w:vAlign w:val="center"/>
            <w:hideMark/>
          </w:tcPr>
          <w:p w14:paraId="5705AE0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ŠOLSKI CENTER RAVNE NA KOROŠKEM</w:t>
            </w:r>
          </w:p>
        </w:tc>
      </w:tr>
      <w:tr w:rsidR="00E3750C" w:rsidRPr="00415AB3" w14:paraId="5D2B0B5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C453AB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1824</w:t>
            </w:r>
          </w:p>
        </w:tc>
        <w:tc>
          <w:tcPr>
            <w:tcW w:w="705" w:type="pct"/>
            <w:tcBorders>
              <w:top w:val="nil"/>
              <w:left w:val="nil"/>
              <w:bottom w:val="single" w:sz="4" w:space="0" w:color="auto"/>
              <w:right w:val="single" w:sz="4" w:space="0" w:color="auto"/>
            </w:tcBorders>
            <w:shd w:val="clear" w:color="auto" w:fill="auto"/>
            <w:noWrap/>
            <w:vAlign w:val="center"/>
            <w:hideMark/>
          </w:tcPr>
          <w:p w14:paraId="36EB5D4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5087996000</w:t>
            </w:r>
          </w:p>
        </w:tc>
        <w:tc>
          <w:tcPr>
            <w:tcW w:w="547" w:type="pct"/>
            <w:tcBorders>
              <w:top w:val="nil"/>
              <w:left w:val="nil"/>
              <w:bottom w:val="single" w:sz="4" w:space="0" w:color="auto"/>
              <w:right w:val="single" w:sz="4" w:space="0" w:color="auto"/>
            </w:tcBorders>
            <w:shd w:val="clear" w:color="auto" w:fill="auto"/>
            <w:noWrap/>
            <w:vAlign w:val="center"/>
            <w:hideMark/>
          </w:tcPr>
          <w:p w14:paraId="7E66F12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21344205</w:t>
            </w:r>
          </w:p>
        </w:tc>
        <w:tc>
          <w:tcPr>
            <w:tcW w:w="3360" w:type="pct"/>
            <w:tcBorders>
              <w:top w:val="nil"/>
              <w:left w:val="nil"/>
              <w:bottom w:val="single" w:sz="4" w:space="0" w:color="auto"/>
              <w:right w:val="single" w:sz="4" w:space="0" w:color="auto"/>
            </w:tcBorders>
            <w:shd w:val="clear" w:color="auto" w:fill="auto"/>
            <w:vAlign w:val="center"/>
            <w:hideMark/>
          </w:tcPr>
          <w:p w14:paraId="4E3EE02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ŠOLSKI CENTER ROGAŠKA SLATINA</w:t>
            </w:r>
          </w:p>
        </w:tc>
      </w:tr>
      <w:tr w:rsidR="00E3750C" w:rsidRPr="00415AB3" w14:paraId="7349E17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75FFA0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1825</w:t>
            </w:r>
          </w:p>
        </w:tc>
        <w:tc>
          <w:tcPr>
            <w:tcW w:w="705" w:type="pct"/>
            <w:tcBorders>
              <w:top w:val="nil"/>
              <w:left w:val="nil"/>
              <w:bottom w:val="single" w:sz="4" w:space="0" w:color="auto"/>
              <w:right w:val="single" w:sz="4" w:space="0" w:color="auto"/>
            </w:tcBorders>
            <w:shd w:val="clear" w:color="auto" w:fill="auto"/>
            <w:noWrap/>
            <w:vAlign w:val="center"/>
            <w:hideMark/>
          </w:tcPr>
          <w:p w14:paraId="1806BE9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5089417000</w:t>
            </w:r>
          </w:p>
        </w:tc>
        <w:tc>
          <w:tcPr>
            <w:tcW w:w="547" w:type="pct"/>
            <w:tcBorders>
              <w:top w:val="nil"/>
              <w:left w:val="nil"/>
              <w:bottom w:val="single" w:sz="4" w:space="0" w:color="auto"/>
              <w:right w:val="single" w:sz="4" w:space="0" w:color="auto"/>
            </w:tcBorders>
            <w:shd w:val="clear" w:color="auto" w:fill="auto"/>
            <w:noWrap/>
            <w:vAlign w:val="center"/>
            <w:hideMark/>
          </w:tcPr>
          <w:p w14:paraId="55C9C87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73346276</w:t>
            </w:r>
          </w:p>
        </w:tc>
        <w:tc>
          <w:tcPr>
            <w:tcW w:w="3360" w:type="pct"/>
            <w:tcBorders>
              <w:top w:val="nil"/>
              <w:left w:val="nil"/>
              <w:bottom w:val="single" w:sz="4" w:space="0" w:color="auto"/>
              <w:right w:val="single" w:sz="4" w:space="0" w:color="auto"/>
            </w:tcBorders>
            <w:shd w:val="clear" w:color="auto" w:fill="auto"/>
            <w:vAlign w:val="center"/>
            <w:hideMark/>
          </w:tcPr>
          <w:p w14:paraId="391B9C5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ŠOLSKI CENTER SLOVENJ GRADEC</w:t>
            </w:r>
          </w:p>
        </w:tc>
      </w:tr>
      <w:tr w:rsidR="00E3750C" w:rsidRPr="00415AB3" w14:paraId="2E44623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45C6C7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1826</w:t>
            </w:r>
          </w:p>
        </w:tc>
        <w:tc>
          <w:tcPr>
            <w:tcW w:w="705" w:type="pct"/>
            <w:tcBorders>
              <w:top w:val="nil"/>
              <w:left w:val="nil"/>
              <w:bottom w:val="single" w:sz="4" w:space="0" w:color="auto"/>
              <w:right w:val="single" w:sz="4" w:space="0" w:color="auto"/>
            </w:tcBorders>
            <w:shd w:val="clear" w:color="auto" w:fill="auto"/>
            <w:noWrap/>
            <w:vAlign w:val="center"/>
            <w:hideMark/>
          </w:tcPr>
          <w:p w14:paraId="18BA45B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5052343000</w:t>
            </w:r>
          </w:p>
        </w:tc>
        <w:tc>
          <w:tcPr>
            <w:tcW w:w="547" w:type="pct"/>
            <w:tcBorders>
              <w:top w:val="nil"/>
              <w:left w:val="nil"/>
              <w:bottom w:val="single" w:sz="4" w:space="0" w:color="auto"/>
              <w:right w:val="single" w:sz="4" w:space="0" w:color="auto"/>
            </w:tcBorders>
            <w:shd w:val="clear" w:color="auto" w:fill="auto"/>
            <w:noWrap/>
            <w:vAlign w:val="center"/>
            <w:hideMark/>
          </w:tcPr>
          <w:p w14:paraId="3D1206C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93550049</w:t>
            </w:r>
          </w:p>
        </w:tc>
        <w:tc>
          <w:tcPr>
            <w:tcW w:w="3360" w:type="pct"/>
            <w:tcBorders>
              <w:top w:val="nil"/>
              <w:left w:val="nil"/>
              <w:bottom w:val="single" w:sz="4" w:space="0" w:color="auto"/>
              <w:right w:val="single" w:sz="4" w:space="0" w:color="auto"/>
            </w:tcBorders>
            <w:shd w:val="clear" w:color="auto" w:fill="auto"/>
            <w:vAlign w:val="center"/>
            <w:hideMark/>
          </w:tcPr>
          <w:p w14:paraId="779BC79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ŠOLSKI CENTER SLOVENSKE KONJICE - ZREČE</w:t>
            </w:r>
          </w:p>
        </w:tc>
      </w:tr>
      <w:tr w:rsidR="00E3750C" w:rsidRPr="00415AB3" w14:paraId="3957766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077BB2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1827</w:t>
            </w:r>
          </w:p>
        </w:tc>
        <w:tc>
          <w:tcPr>
            <w:tcW w:w="705" w:type="pct"/>
            <w:tcBorders>
              <w:top w:val="nil"/>
              <w:left w:val="nil"/>
              <w:bottom w:val="single" w:sz="4" w:space="0" w:color="auto"/>
              <w:right w:val="single" w:sz="4" w:space="0" w:color="auto"/>
            </w:tcBorders>
            <w:shd w:val="clear" w:color="auto" w:fill="auto"/>
            <w:noWrap/>
            <w:vAlign w:val="center"/>
            <w:hideMark/>
          </w:tcPr>
          <w:p w14:paraId="5C53C0B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1214438000</w:t>
            </w:r>
          </w:p>
        </w:tc>
        <w:tc>
          <w:tcPr>
            <w:tcW w:w="547" w:type="pct"/>
            <w:tcBorders>
              <w:top w:val="nil"/>
              <w:left w:val="nil"/>
              <w:bottom w:val="single" w:sz="4" w:space="0" w:color="auto"/>
              <w:right w:val="single" w:sz="4" w:space="0" w:color="auto"/>
            </w:tcBorders>
            <w:shd w:val="clear" w:color="auto" w:fill="auto"/>
            <w:noWrap/>
            <w:vAlign w:val="center"/>
            <w:hideMark/>
          </w:tcPr>
          <w:p w14:paraId="141484B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11775823</w:t>
            </w:r>
          </w:p>
        </w:tc>
        <w:tc>
          <w:tcPr>
            <w:tcW w:w="3360" w:type="pct"/>
            <w:tcBorders>
              <w:top w:val="nil"/>
              <w:left w:val="nil"/>
              <w:bottom w:val="single" w:sz="4" w:space="0" w:color="auto"/>
              <w:right w:val="single" w:sz="4" w:space="0" w:color="auto"/>
            </w:tcBorders>
            <w:shd w:val="clear" w:color="auto" w:fill="auto"/>
            <w:vAlign w:val="center"/>
            <w:hideMark/>
          </w:tcPr>
          <w:p w14:paraId="7233693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ŠOLSKI CENTER ŠENTJUR</w:t>
            </w:r>
          </w:p>
        </w:tc>
      </w:tr>
      <w:tr w:rsidR="00E3750C" w:rsidRPr="00415AB3" w14:paraId="6ADC165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B666C7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1828</w:t>
            </w:r>
          </w:p>
        </w:tc>
        <w:tc>
          <w:tcPr>
            <w:tcW w:w="705" w:type="pct"/>
            <w:tcBorders>
              <w:top w:val="nil"/>
              <w:left w:val="nil"/>
              <w:bottom w:val="single" w:sz="4" w:space="0" w:color="auto"/>
              <w:right w:val="single" w:sz="4" w:space="0" w:color="auto"/>
            </w:tcBorders>
            <w:shd w:val="clear" w:color="auto" w:fill="auto"/>
            <w:noWrap/>
            <w:vAlign w:val="center"/>
            <w:hideMark/>
          </w:tcPr>
          <w:p w14:paraId="535CE92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5087872000</w:t>
            </w:r>
          </w:p>
        </w:tc>
        <w:tc>
          <w:tcPr>
            <w:tcW w:w="547" w:type="pct"/>
            <w:tcBorders>
              <w:top w:val="nil"/>
              <w:left w:val="nil"/>
              <w:bottom w:val="single" w:sz="4" w:space="0" w:color="auto"/>
              <w:right w:val="single" w:sz="4" w:space="0" w:color="auto"/>
            </w:tcBorders>
            <w:shd w:val="clear" w:color="auto" w:fill="auto"/>
            <w:noWrap/>
            <w:vAlign w:val="center"/>
            <w:hideMark/>
          </w:tcPr>
          <w:p w14:paraId="2E694CD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13129635</w:t>
            </w:r>
          </w:p>
        </w:tc>
        <w:tc>
          <w:tcPr>
            <w:tcW w:w="3360" w:type="pct"/>
            <w:tcBorders>
              <w:top w:val="nil"/>
              <w:left w:val="nil"/>
              <w:bottom w:val="single" w:sz="4" w:space="0" w:color="auto"/>
              <w:right w:val="single" w:sz="4" w:space="0" w:color="auto"/>
            </w:tcBorders>
            <w:shd w:val="clear" w:color="auto" w:fill="auto"/>
            <w:vAlign w:val="center"/>
            <w:hideMark/>
          </w:tcPr>
          <w:p w14:paraId="18B4CAF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ŠOLSKI CENTER ŠKOFJA LOKA</w:t>
            </w:r>
          </w:p>
        </w:tc>
      </w:tr>
      <w:tr w:rsidR="00E3750C" w:rsidRPr="00415AB3" w14:paraId="1D1FD0C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850E31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1829</w:t>
            </w:r>
          </w:p>
        </w:tc>
        <w:tc>
          <w:tcPr>
            <w:tcW w:w="705" w:type="pct"/>
            <w:tcBorders>
              <w:top w:val="nil"/>
              <w:left w:val="nil"/>
              <w:bottom w:val="single" w:sz="4" w:space="0" w:color="auto"/>
              <w:right w:val="single" w:sz="4" w:space="0" w:color="auto"/>
            </w:tcBorders>
            <w:shd w:val="clear" w:color="auto" w:fill="auto"/>
            <w:noWrap/>
            <w:vAlign w:val="center"/>
            <w:hideMark/>
          </w:tcPr>
          <w:p w14:paraId="7223BB2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5243050000</w:t>
            </w:r>
          </w:p>
        </w:tc>
        <w:tc>
          <w:tcPr>
            <w:tcW w:w="547" w:type="pct"/>
            <w:tcBorders>
              <w:top w:val="nil"/>
              <w:left w:val="nil"/>
              <w:bottom w:val="single" w:sz="4" w:space="0" w:color="auto"/>
              <w:right w:val="single" w:sz="4" w:space="0" w:color="auto"/>
            </w:tcBorders>
            <w:shd w:val="clear" w:color="auto" w:fill="auto"/>
            <w:noWrap/>
            <w:vAlign w:val="center"/>
            <w:hideMark/>
          </w:tcPr>
          <w:p w14:paraId="5FCF6E9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98282522</w:t>
            </w:r>
          </w:p>
        </w:tc>
        <w:tc>
          <w:tcPr>
            <w:tcW w:w="3360" w:type="pct"/>
            <w:tcBorders>
              <w:top w:val="nil"/>
              <w:left w:val="nil"/>
              <w:bottom w:val="single" w:sz="4" w:space="0" w:color="auto"/>
              <w:right w:val="single" w:sz="4" w:space="0" w:color="auto"/>
            </w:tcBorders>
            <w:shd w:val="clear" w:color="auto" w:fill="auto"/>
            <w:vAlign w:val="center"/>
            <w:hideMark/>
          </w:tcPr>
          <w:p w14:paraId="33D2129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ŠOLSKI CENTER VELENJE</w:t>
            </w:r>
          </w:p>
        </w:tc>
      </w:tr>
      <w:tr w:rsidR="00E3750C" w:rsidRPr="00415AB3" w14:paraId="3D9BE7A1"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898EBF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1830</w:t>
            </w:r>
          </w:p>
        </w:tc>
        <w:tc>
          <w:tcPr>
            <w:tcW w:w="705" w:type="pct"/>
            <w:tcBorders>
              <w:top w:val="nil"/>
              <w:left w:val="nil"/>
              <w:bottom w:val="single" w:sz="4" w:space="0" w:color="auto"/>
              <w:right w:val="single" w:sz="4" w:space="0" w:color="auto"/>
            </w:tcBorders>
            <w:shd w:val="clear" w:color="auto" w:fill="auto"/>
            <w:noWrap/>
            <w:vAlign w:val="center"/>
            <w:hideMark/>
          </w:tcPr>
          <w:p w14:paraId="4DA1006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5083435000</w:t>
            </w:r>
          </w:p>
        </w:tc>
        <w:tc>
          <w:tcPr>
            <w:tcW w:w="547" w:type="pct"/>
            <w:tcBorders>
              <w:top w:val="nil"/>
              <w:left w:val="nil"/>
              <w:bottom w:val="single" w:sz="4" w:space="0" w:color="auto"/>
              <w:right w:val="single" w:sz="4" w:space="0" w:color="auto"/>
            </w:tcBorders>
            <w:shd w:val="clear" w:color="auto" w:fill="auto"/>
            <w:noWrap/>
            <w:vAlign w:val="center"/>
            <w:hideMark/>
          </w:tcPr>
          <w:p w14:paraId="3499469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76893375</w:t>
            </w:r>
          </w:p>
        </w:tc>
        <w:tc>
          <w:tcPr>
            <w:tcW w:w="3360" w:type="pct"/>
            <w:tcBorders>
              <w:top w:val="nil"/>
              <w:left w:val="nil"/>
              <w:bottom w:val="single" w:sz="4" w:space="0" w:color="auto"/>
              <w:right w:val="single" w:sz="4" w:space="0" w:color="auto"/>
            </w:tcBorders>
            <w:shd w:val="clear" w:color="auto" w:fill="auto"/>
            <w:vAlign w:val="center"/>
            <w:hideMark/>
          </w:tcPr>
          <w:p w14:paraId="7734BF4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ŠOLSKI CENTER ZA POŠTO, EKONOMIJO IN TELEKOMUNIKACIJE LJUBLJANA</w:t>
            </w:r>
          </w:p>
        </w:tc>
      </w:tr>
      <w:tr w:rsidR="00E3750C" w:rsidRPr="00415AB3" w14:paraId="238B141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111F2A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1831</w:t>
            </w:r>
          </w:p>
        </w:tc>
        <w:tc>
          <w:tcPr>
            <w:tcW w:w="705" w:type="pct"/>
            <w:tcBorders>
              <w:top w:val="nil"/>
              <w:left w:val="nil"/>
              <w:bottom w:val="single" w:sz="4" w:space="0" w:color="auto"/>
              <w:right w:val="single" w:sz="4" w:space="0" w:color="auto"/>
            </w:tcBorders>
            <w:shd w:val="clear" w:color="auto" w:fill="auto"/>
            <w:noWrap/>
            <w:vAlign w:val="center"/>
            <w:hideMark/>
          </w:tcPr>
          <w:p w14:paraId="4897422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3388042000</w:t>
            </w:r>
          </w:p>
        </w:tc>
        <w:tc>
          <w:tcPr>
            <w:tcW w:w="547" w:type="pct"/>
            <w:tcBorders>
              <w:top w:val="nil"/>
              <w:left w:val="nil"/>
              <w:bottom w:val="single" w:sz="4" w:space="0" w:color="auto"/>
              <w:right w:val="single" w:sz="4" w:space="0" w:color="auto"/>
            </w:tcBorders>
            <w:shd w:val="clear" w:color="auto" w:fill="auto"/>
            <w:noWrap/>
            <w:vAlign w:val="center"/>
            <w:hideMark/>
          </w:tcPr>
          <w:p w14:paraId="6DD2405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10663924</w:t>
            </w:r>
          </w:p>
        </w:tc>
        <w:tc>
          <w:tcPr>
            <w:tcW w:w="3360" w:type="pct"/>
            <w:tcBorders>
              <w:top w:val="nil"/>
              <w:left w:val="nil"/>
              <w:bottom w:val="single" w:sz="4" w:space="0" w:color="auto"/>
              <w:right w:val="single" w:sz="4" w:space="0" w:color="auto"/>
            </w:tcBorders>
            <w:shd w:val="clear" w:color="auto" w:fill="auto"/>
            <w:vAlign w:val="center"/>
            <w:hideMark/>
          </w:tcPr>
          <w:p w14:paraId="35FC1A5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ŠPORT MARIBOR, DRUŽBA ZA UPRAVLJANJE S ŠPORTNIMI OBJEKTI D.O.O.</w:t>
            </w:r>
          </w:p>
        </w:tc>
      </w:tr>
      <w:tr w:rsidR="00E3750C" w:rsidRPr="00415AB3" w14:paraId="0141E13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98F38D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1832</w:t>
            </w:r>
          </w:p>
        </w:tc>
        <w:tc>
          <w:tcPr>
            <w:tcW w:w="705" w:type="pct"/>
            <w:tcBorders>
              <w:top w:val="nil"/>
              <w:left w:val="nil"/>
              <w:bottom w:val="single" w:sz="4" w:space="0" w:color="auto"/>
              <w:right w:val="single" w:sz="4" w:space="0" w:color="auto"/>
            </w:tcBorders>
            <w:shd w:val="clear" w:color="auto" w:fill="auto"/>
            <w:noWrap/>
            <w:vAlign w:val="center"/>
            <w:hideMark/>
          </w:tcPr>
          <w:p w14:paraId="76851CB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1411004000</w:t>
            </w:r>
          </w:p>
        </w:tc>
        <w:tc>
          <w:tcPr>
            <w:tcW w:w="547" w:type="pct"/>
            <w:tcBorders>
              <w:top w:val="nil"/>
              <w:left w:val="nil"/>
              <w:bottom w:val="single" w:sz="4" w:space="0" w:color="auto"/>
              <w:right w:val="single" w:sz="4" w:space="0" w:color="auto"/>
            </w:tcBorders>
            <w:shd w:val="clear" w:color="auto" w:fill="auto"/>
            <w:noWrap/>
            <w:vAlign w:val="center"/>
            <w:hideMark/>
          </w:tcPr>
          <w:p w14:paraId="6BABC60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62792601</w:t>
            </w:r>
          </w:p>
        </w:tc>
        <w:tc>
          <w:tcPr>
            <w:tcW w:w="3360" w:type="pct"/>
            <w:tcBorders>
              <w:top w:val="nil"/>
              <w:left w:val="nil"/>
              <w:bottom w:val="single" w:sz="4" w:space="0" w:color="auto"/>
              <w:right w:val="single" w:sz="4" w:space="0" w:color="auto"/>
            </w:tcBorders>
            <w:shd w:val="clear" w:color="auto" w:fill="auto"/>
            <w:vAlign w:val="center"/>
            <w:hideMark/>
          </w:tcPr>
          <w:p w14:paraId="37D8550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ŠTUDENTSKA ORGANIZACIJA SLOVENIJE</w:t>
            </w:r>
          </w:p>
        </w:tc>
      </w:tr>
      <w:tr w:rsidR="00E3750C" w:rsidRPr="00415AB3" w14:paraId="162BCB4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769599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1833</w:t>
            </w:r>
          </w:p>
        </w:tc>
        <w:tc>
          <w:tcPr>
            <w:tcW w:w="705" w:type="pct"/>
            <w:tcBorders>
              <w:top w:val="nil"/>
              <w:left w:val="nil"/>
              <w:bottom w:val="single" w:sz="4" w:space="0" w:color="auto"/>
              <w:right w:val="single" w:sz="4" w:space="0" w:color="auto"/>
            </w:tcBorders>
            <w:shd w:val="clear" w:color="auto" w:fill="auto"/>
            <w:noWrap/>
            <w:vAlign w:val="center"/>
            <w:hideMark/>
          </w:tcPr>
          <w:p w14:paraId="7F9DC2B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1852191000</w:t>
            </w:r>
          </w:p>
        </w:tc>
        <w:tc>
          <w:tcPr>
            <w:tcW w:w="547" w:type="pct"/>
            <w:tcBorders>
              <w:top w:val="nil"/>
              <w:left w:val="nil"/>
              <w:bottom w:val="single" w:sz="4" w:space="0" w:color="auto"/>
              <w:right w:val="single" w:sz="4" w:space="0" w:color="auto"/>
            </w:tcBorders>
            <w:shd w:val="clear" w:color="auto" w:fill="auto"/>
            <w:noWrap/>
            <w:vAlign w:val="center"/>
            <w:hideMark/>
          </w:tcPr>
          <w:p w14:paraId="62434D1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15176436</w:t>
            </w:r>
          </w:p>
        </w:tc>
        <w:tc>
          <w:tcPr>
            <w:tcW w:w="3360" w:type="pct"/>
            <w:tcBorders>
              <w:top w:val="nil"/>
              <w:left w:val="nil"/>
              <w:bottom w:val="single" w:sz="4" w:space="0" w:color="auto"/>
              <w:right w:val="single" w:sz="4" w:space="0" w:color="auto"/>
            </w:tcBorders>
            <w:shd w:val="clear" w:color="auto" w:fill="auto"/>
            <w:vAlign w:val="center"/>
            <w:hideMark/>
          </w:tcPr>
          <w:p w14:paraId="4AF0E27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ŠTUDENTSKA ORGANIZACIJA UNIVERZE NA PRIMORSKEM</w:t>
            </w:r>
          </w:p>
        </w:tc>
      </w:tr>
      <w:tr w:rsidR="00E3750C" w:rsidRPr="00415AB3" w14:paraId="23C01E8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9229F3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1834</w:t>
            </w:r>
          </w:p>
        </w:tc>
        <w:tc>
          <w:tcPr>
            <w:tcW w:w="705" w:type="pct"/>
            <w:tcBorders>
              <w:top w:val="nil"/>
              <w:left w:val="nil"/>
              <w:bottom w:val="single" w:sz="4" w:space="0" w:color="auto"/>
              <w:right w:val="single" w:sz="4" w:space="0" w:color="auto"/>
            </w:tcBorders>
            <w:shd w:val="clear" w:color="auto" w:fill="auto"/>
            <w:noWrap/>
            <w:vAlign w:val="center"/>
            <w:hideMark/>
          </w:tcPr>
          <w:p w14:paraId="3043BA5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5133734000</w:t>
            </w:r>
          </w:p>
        </w:tc>
        <w:tc>
          <w:tcPr>
            <w:tcW w:w="547" w:type="pct"/>
            <w:tcBorders>
              <w:top w:val="nil"/>
              <w:left w:val="nil"/>
              <w:bottom w:val="single" w:sz="4" w:space="0" w:color="auto"/>
              <w:right w:val="single" w:sz="4" w:space="0" w:color="auto"/>
            </w:tcBorders>
            <w:shd w:val="clear" w:color="auto" w:fill="auto"/>
            <w:noWrap/>
            <w:vAlign w:val="center"/>
            <w:hideMark/>
          </w:tcPr>
          <w:p w14:paraId="31501A2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55049745</w:t>
            </w:r>
          </w:p>
        </w:tc>
        <w:tc>
          <w:tcPr>
            <w:tcW w:w="3360" w:type="pct"/>
            <w:tcBorders>
              <w:top w:val="nil"/>
              <w:left w:val="nil"/>
              <w:bottom w:val="single" w:sz="4" w:space="0" w:color="auto"/>
              <w:right w:val="single" w:sz="4" w:space="0" w:color="auto"/>
            </w:tcBorders>
            <w:shd w:val="clear" w:color="auto" w:fill="auto"/>
            <w:vAlign w:val="center"/>
            <w:hideMark/>
          </w:tcPr>
          <w:p w14:paraId="6909459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ŠTUDENTSKA ORGANIZACIJA UNIVERZE V LJUBLJANI</w:t>
            </w:r>
          </w:p>
        </w:tc>
      </w:tr>
      <w:tr w:rsidR="00E3750C" w:rsidRPr="00415AB3" w14:paraId="1433416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C60FFD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1835</w:t>
            </w:r>
          </w:p>
        </w:tc>
        <w:tc>
          <w:tcPr>
            <w:tcW w:w="705" w:type="pct"/>
            <w:tcBorders>
              <w:top w:val="nil"/>
              <w:left w:val="nil"/>
              <w:bottom w:val="single" w:sz="4" w:space="0" w:color="auto"/>
              <w:right w:val="single" w:sz="4" w:space="0" w:color="auto"/>
            </w:tcBorders>
            <w:shd w:val="clear" w:color="auto" w:fill="auto"/>
            <w:noWrap/>
            <w:vAlign w:val="center"/>
            <w:hideMark/>
          </w:tcPr>
          <w:p w14:paraId="50445F5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5492122000</w:t>
            </w:r>
          </w:p>
        </w:tc>
        <w:tc>
          <w:tcPr>
            <w:tcW w:w="547" w:type="pct"/>
            <w:tcBorders>
              <w:top w:val="nil"/>
              <w:left w:val="nil"/>
              <w:bottom w:val="single" w:sz="4" w:space="0" w:color="auto"/>
              <w:right w:val="single" w:sz="4" w:space="0" w:color="auto"/>
            </w:tcBorders>
            <w:shd w:val="clear" w:color="auto" w:fill="auto"/>
            <w:noWrap/>
            <w:vAlign w:val="center"/>
            <w:hideMark/>
          </w:tcPr>
          <w:p w14:paraId="6A0A137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64710564</w:t>
            </w:r>
          </w:p>
        </w:tc>
        <w:tc>
          <w:tcPr>
            <w:tcW w:w="3360" w:type="pct"/>
            <w:tcBorders>
              <w:top w:val="nil"/>
              <w:left w:val="nil"/>
              <w:bottom w:val="single" w:sz="4" w:space="0" w:color="auto"/>
              <w:right w:val="single" w:sz="4" w:space="0" w:color="auto"/>
            </w:tcBorders>
            <w:shd w:val="clear" w:color="auto" w:fill="auto"/>
            <w:vAlign w:val="center"/>
            <w:hideMark/>
          </w:tcPr>
          <w:p w14:paraId="1F9AE44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ŠTUDENTSKA ORGANIZACIJA UNIVERZE V MARIBORU</w:t>
            </w:r>
          </w:p>
        </w:tc>
      </w:tr>
      <w:tr w:rsidR="00E3750C" w:rsidRPr="00415AB3" w14:paraId="28A1E0C1"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D617B5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1836</w:t>
            </w:r>
          </w:p>
        </w:tc>
        <w:tc>
          <w:tcPr>
            <w:tcW w:w="705" w:type="pct"/>
            <w:tcBorders>
              <w:top w:val="nil"/>
              <w:left w:val="nil"/>
              <w:bottom w:val="single" w:sz="4" w:space="0" w:color="auto"/>
              <w:right w:val="single" w:sz="4" w:space="0" w:color="auto"/>
            </w:tcBorders>
            <w:shd w:val="clear" w:color="auto" w:fill="auto"/>
            <w:noWrap/>
            <w:vAlign w:val="center"/>
            <w:hideMark/>
          </w:tcPr>
          <w:p w14:paraId="6FC6824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3655822000</w:t>
            </w:r>
          </w:p>
        </w:tc>
        <w:tc>
          <w:tcPr>
            <w:tcW w:w="547" w:type="pct"/>
            <w:tcBorders>
              <w:top w:val="nil"/>
              <w:left w:val="nil"/>
              <w:bottom w:val="single" w:sz="4" w:space="0" w:color="auto"/>
              <w:right w:val="single" w:sz="4" w:space="0" w:color="auto"/>
            </w:tcBorders>
            <w:shd w:val="clear" w:color="auto" w:fill="auto"/>
            <w:noWrap/>
            <w:vAlign w:val="center"/>
            <w:hideMark/>
          </w:tcPr>
          <w:p w14:paraId="2D81331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18891993</w:t>
            </w:r>
          </w:p>
        </w:tc>
        <w:tc>
          <w:tcPr>
            <w:tcW w:w="3360" w:type="pct"/>
            <w:tcBorders>
              <w:top w:val="nil"/>
              <w:left w:val="nil"/>
              <w:bottom w:val="single" w:sz="4" w:space="0" w:color="auto"/>
              <w:right w:val="single" w:sz="4" w:space="0" w:color="auto"/>
            </w:tcBorders>
            <w:shd w:val="clear" w:color="auto" w:fill="auto"/>
            <w:vAlign w:val="center"/>
            <w:hideMark/>
          </w:tcPr>
          <w:p w14:paraId="5092BE7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ŠTUDENTSKA SVETOVALNICA ŠTUDENTSKE ORGANIZACIJE UNIVERZE V LJUBLJANI, ZAVOD ZA SVETOVALNE DEJAVNOSTI</w:t>
            </w:r>
          </w:p>
        </w:tc>
      </w:tr>
      <w:tr w:rsidR="00E3750C" w:rsidRPr="00415AB3" w14:paraId="41282D2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53819D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1837</w:t>
            </w:r>
          </w:p>
        </w:tc>
        <w:tc>
          <w:tcPr>
            <w:tcW w:w="705" w:type="pct"/>
            <w:tcBorders>
              <w:top w:val="nil"/>
              <w:left w:val="nil"/>
              <w:bottom w:val="single" w:sz="4" w:space="0" w:color="auto"/>
              <w:right w:val="single" w:sz="4" w:space="0" w:color="auto"/>
            </w:tcBorders>
            <w:shd w:val="clear" w:color="auto" w:fill="auto"/>
            <w:noWrap/>
            <w:vAlign w:val="center"/>
            <w:hideMark/>
          </w:tcPr>
          <w:p w14:paraId="3443284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6280722000</w:t>
            </w:r>
          </w:p>
        </w:tc>
        <w:tc>
          <w:tcPr>
            <w:tcW w:w="547" w:type="pct"/>
            <w:tcBorders>
              <w:top w:val="nil"/>
              <w:left w:val="nil"/>
              <w:bottom w:val="single" w:sz="4" w:space="0" w:color="auto"/>
              <w:right w:val="single" w:sz="4" w:space="0" w:color="auto"/>
            </w:tcBorders>
            <w:shd w:val="clear" w:color="auto" w:fill="auto"/>
            <w:noWrap/>
            <w:vAlign w:val="center"/>
            <w:hideMark/>
          </w:tcPr>
          <w:p w14:paraId="0F6C7B2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13258664</w:t>
            </w:r>
          </w:p>
        </w:tc>
        <w:tc>
          <w:tcPr>
            <w:tcW w:w="3360" w:type="pct"/>
            <w:tcBorders>
              <w:top w:val="nil"/>
              <w:left w:val="nil"/>
              <w:bottom w:val="single" w:sz="4" w:space="0" w:color="auto"/>
              <w:right w:val="single" w:sz="4" w:space="0" w:color="auto"/>
            </w:tcBorders>
            <w:shd w:val="clear" w:color="auto" w:fill="auto"/>
            <w:vAlign w:val="center"/>
            <w:hideMark/>
          </w:tcPr>
          <w:p w14:paraId="4FBDD88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ŠTUDENTSKI DOM LJUBLJANA</w:t>
            </w:r>
          </w:p>
        </w:tc>
      </w:tr>
      <w:tr w:rsidR="00E3750C" w:rsidRPr="00415AB3" w14:paraId="2C7C178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D57F10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1838</w:t>
            </w:r>
          </w:p>
        </w:tc>
        <w:tc>
          <w:tcPr>
            <w:tcW w:w="705" w:type="pct"/>
            <w:tcBorders>
              <w:top w:val="nil"/>
              <w:left w:val="nil"/>
              <w:bottom w:val="single" w:sz="4" w:space="0" w:color="auto"/>
              <w:right w:val="single" w:sz="4" w:space="0" w:color="auto"/>
            </w:tcBorders>
            <w:shd w:val="clear" w:color="auto" w:fill="auto"/>
            <w:noWrap/>
            <w:vAlign w:val="center"/>
            <w:hideMark/>
          </w:tcPr>
          <w:p w14:paraId="71C7640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1178873000</w:t>
            </w:r>
          </w:p>
        </w:tc>
        <w:tc>
          <w:tcPr>
            <w:tcW w:w="547" w:type="pct"/>
            <w:tcBorders>
              <w:top w:val="nil"/>
              <w:left w:val="nil"/>
              <w:bottom w:val="single" w:sz="4" w:space="0" w:color="auto"/>
              <w:right w:val="single" w:sz="4" w:space="0" w:color="auto"/>
            </w:tcBorders>
            <w:shd w:val="clear" w:color="auto" w:fill="auto"/>
            <w:noWrap/>
            <w:vAlign w:val="center"/>
            <w:hideMark/>
          </w:tcPr>
          <w:p w14:paraId="095628E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45315639</w:t>
            </w:r>
          </w:p>
        </w:tc>
        <w:tc>
          <w:tcPr>
            <w:tcW w:w="3360" w:type="pct"/>
            <w:tcBorders>
              <w:top w:val="nil"/>
              <w:left w:val="nil"/>
              <w:bottom w:val="single" w:sz="4" w:space="0" w:color="auto"/>
              <w:right w:val="single" w:sz="4" w:space="0" w:color="auto"/>
            </w:tcBorders>
            <w:shd w:val="clear" w:color="auto" w:fill="auto"/>
            <w:vAlign w:val="center"/>
            <w:hideMark/>
          </w:tcPr>
          <w:p w14:paraId="496B17C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ŠTUDENTSKI KLUB GROŠ</w:t>
            </w:r>
          </w:p>
        </w:tc>
      </w:tr>
      <w:tr w:rsidR="00E3750C" w:rsidRPr="00415AB3" w14:paraId="0C02C3F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F9FF8B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1839</w:t>
            </w:r>
          </w:p>
        </w:tc>
        <w:tc>
          <w:tcPr>
            <w:tcW w:w="705" w:type="pct"/>
            <w:tcBorders>
              <w:top w:val="nil"/>
              <w:left w:val="nil"/>
              <w:bottom w:val="single" w:sz="4" w:space="0" w:color="auto"/>
              <w:right w:val="single" w:sz="4" w:space="0" w:color="auto"/>
            </w:tcBorders>
            <w:shd w:val="clear" w:color="auto" w:fill="auto"/>
            <w:noWrap/>
            <w:vAlign w:val="center"/>
            <w:hideMark/>
          </w:tcPr>
          <w:p w14:paraId="2714D6A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5911575000</w:t>
            </w:r>
          </w:p>
        </w:tc>
        <w:tc>
          <w:tcPr>
            <w:tcW w:w="547" w:type="pct"/>
            <w:tcBorders>
              <w:top w:val="nil"/>
              <w:left w:val="nil"/>
              <w:bottom w:val="single" w:sz="4" w:space="0" w:color="auto"/>
              <w:right w:val="single" w:sz="4" w:space="0" w:color="auto"/>
            </w:tcBorders>
            <w:shd w:val="clear" w:color="auto" w:fill="auto"/>
            <w:noWrap/>
            <w:vAlign w:val="center"/>
            <w:hideMark/>
          </w:tcPr>
          <w:p w14:paraId="657A8BA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79334105</w:t>
            </w:r>
          </w:p>
        </w:tc>
        <w:tc>
          <w:tcPr>
            <w:tcW w:w="3360" w:type="pct"/>
            <w:tcBorders>
              <w:top w:val="nil"/>
              <w:left w:val="nil"/>
              <w:bottom w:val="single" w:sz="4" w:space="0" w:color="auto"/>
              <w:right w:val="single" w:sz="4" w:space="0" w:color="auto"/>
            </w:tcBorders>
            <w:shd w:val="clear" w:color="auto" w:fill="auto"/>
            <w:vAlign w:val="center"/>
            <w:hideMark/>
          </w:tcPr>
          <w:p w14:paraId="294D0D4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ŠTUDENTSKI KLUB KAMNIK</w:t>
            </w:r>
          </w:p>
        </w:tc>
      </w:tr>
      <w:tr w:rsidR="00E3750C" w:rsidRPr="00415AB3" w14:paraId="696A61F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125BC6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1840</w:t>
            </w:r>
          </w:p>
        </w:tc>
        <w:tc>
          <w:tcPr>
            <w:tcW w:w="705" w:type="pct"/>
            <w:tcBorders>
              <w:top w:val="nil"/>
              <w:left w:val="nil"/>
              <w:bottom w:val="single" w:sz="4" w:space="0" w:color="auto"/>
              <w:right w:val="single" w:sz="4" w:space="0" w:color="auto"/>
            </w:tcBorders>
            <w:shd w:val="clear" w:color="auto" w:fill="auto"/>
            <w:noWrap/>
            <w:vAlign w:val="center"/>
            <w:hideMark/>
          </w:tcPr>
          <w:p w14:paraId="7FB92F5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1139096000</w:t>
            </w:r>
          </w:p>
        </w:tc>
        <w:tc>
          <w:tcPr>
            <w:tcW w:w="547" w:type="pct"/>
            <w:tcBorders>
              <w:top w:val="nil"/>
              <w:left w:val="nil"/>
              <w:bottom w:val="single" w:sz="4" w:space="0" w:color="auto"/>
              <w:right w:val="single" w:sz="4" w:space="0" w:color="auto"/>
            </w:tcBorders>
            <w:shd w:val="clear" w:color="auto" w:fill="auto"/>
            <w:noWrap/>
            <w:vAlign w:val="center"/>
            <w:hideMark/>
          </w:tcPr>
          <w:p w14:paraId="7E5A868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80663486</w:t>
            </w:r>
          </w:p>
        </w:tc>
        <w:tc>
          <w:tcPr>
            <w:tcW w:w="3360" w:type="pct"/>
            <w:tcBorders>
              <w:top w:val="nil"/>
              <w:left w:val="nil"/>
              <w:bottom w:val="single" w:sz="4" w:space="0" w:color="auto"/>
              <w:right w:val="single" w:sz="4" w:space="0" w:color="auto"/>
            </w:tcBorders>
            <w:shd w:val="clear" w:color="auto" w:fill="auto"/>
            <w:vAlign w:val="center"/>
            <w:hideMark/>
          </w:tcPr>
          <w:p w14:paraId="71E7EC8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ŠTUDENTSKI KLUB SEVNICA</w:t>
            </w:r>
          </w:p>
        </w:tc>
      </w:tr>
      <w:tr w:rsidR="00E3750C" w:rsidRPr="00415AB3" w14:paraId="1152005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13C457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1841</w:t>
            </w:r>
          </w:p>
        </w:tc>
        <w:tc>
          <w:tcPr>
            <w:tcW w:w="705" w:type="pct"/>
            <w:tcBorders>
              <w:top w:val="nil"/>
              <w:left w:val="nil"/>
              <w:bottom w:val="single" w:sz="4" w:space="0" w:color="auto"/>
              <w:right w:val="single" w:sz="4" w:space="0" w:color="auto"/>
            </w:tcBorders>
            <w:shd w:val="clear" w:color="auto" w:fill="auto"/>
            <w:noWrap/>
            <w:vAlign w:val="center"/>
            <w:hideMark/>
          </w:tcPr>
          <w:p w14:paraId="7042148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1164546000</w:t>
            </w:r>
          </w:p>
        </w:tc>
        <w:tc>
          <w:tcPr>
            <w:tcW w:w="547" w:type="pct"/>
            <w:tcBorders>
              <w:top w:val="nil"/>
              <w:left w:val="nil"/>
              <w:bottom w:val="single" w:sz="4" w:space="0" w:color="auto"/>
              <w:right w:val="single" w:sz="4" w:space="0" w:color="auto"/>
            </w:tcBorders>
            <w:shd w:val="clear" w:color="auto" w:fill="auto"/>
            <w:noWrap/>
            <w:vAlign w:val="center"/>
            <w:hideMark/>
          </w:tcPr>
          <w:p w14:paraId="3219D27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86901362</w:t>
            </w:r>
          </w:p>
        </w:tc>
        <w:tc>
          <w:tcPr>
            <w:tcW w:w="3360" w:type="pct"/>
            <w:tcBorders>
              <w:top w:val="nil"/>
              <w:left w:val="nil"/>
              <w:bottom w:val="single" w:sz="4" w:space="0" w:color="auto"/>
              <w:right w:val="single" w:sz="4" w:space="0" w:color="auto"/>
            </w:tcBorders>
            <w:shd w:val="clear" w:color="auto" w:fill="auto"/>
            <w:vAlign w:val="center"/>
            <w:hideMark/>
          </w:tcPr>
          <w:p w14:paraId="23ABCFD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ŠTUDENTSKI KLUB SLOVENSKIH GORIC</w:t>
            </w:r>
          </w:p>
        </w:tc>
      </w:tr>
      <w:tr w:rsidR="00E3750C" w:rsidRPr="00415AB3" w14:paraId="31C505E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1E3E62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1842</w:t>
            </w:r>
          </w:p>
        </w:tc>
        <w:tc>
          <w:tcPr>
            <w:tcW w:w="705" w:type="pct"/>
            <w:tcBorders>
              <w:top w:val="nil"/>
              <w:left w:val="nil"/>
              <w:bottom w:val="single" w:sz="4" w:space="0" w:color="auto"/>
              <w:right w:val="single" w:sz="4" w:space="0" w:color="auto"/>
            </w:tcBorders>
            <w:shd w:val="clear" w:color="auto" w:fill="auto"/>
            <w:noWrap/>
            <w:vAlign w:val="center"/>
            <w:hideMark/>
          </w:tcPr>
          <w:p w14:paraId="6F00D96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5696623000</w:t>
            </w:r>
          </w:p>
        </w:tc>
        <w:tc>
          <w:tcPr>
            <w:tcW w:w="547" w:type="pct"/>
            <w:tcBorders>
              <w:top w:val="nil"/>
              <w:left w:val="nil"/>
              <w:bottom w:val="single" w:sz="4" w:space="0" w:color="auto"/>
              <w:right w:val="single" w:sz="4" w:space="0" w:color="auto"/>
            </w:tcBorders>
            <w:shd w:val="clear" w:color="auto" w:fill="auto"/>
            <w:noWrap/>
            <w:vAlign w:val="center"/>
            <w:hideMark/>
          </w:tcPr>
          <w:p w14:paraId="0EA22F7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51508427</w:t>
            </w:r>
          </w:p>
        </w:tc>
        <w:tc>
          <w:tcPr>
            <w:tcW w:w="3360" w:type="pct"/>
            <w:tcBorders>
              <w:top w:val="nil"/>
              <w:left w:val="nil"/>
              <w:bottom w:val="single" w:sz="4" w:space="0" w:color="auto"/>
              <w:right w:val="single" w:sz="4" w:space="0" w:color="auto"/>
            </w:tcBorders>
            <w:shd w:val="clear" w:color="auto" w:fill="auto"/>
            <w:vAlign w:val="center"/>
            <w:hideMark/>
          </w:tcPr>
          <w:p w14:paraId="7F03043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ŠTUDENTSKI KLUB ŽALEC</w:t>
            </w:r>
          </w:p>
        </w:tc>
      </w:tr>
      <w:tr w:rsidR="00E3750C" w:rsidRPr="00415AB3" w14:paraId="5960686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E81101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1843</w:t>
            </w:r>
          </w:p>
        </w:tc>
        <w:tc>
          <w:tcPr>
            <w:tcW w:w="705" w:type="pct"/>
            <w:tcBorders>
              <w:top w:val="nil"/>
              <w:left w:val="nil"/>
              <w:bottom w:val="single" w:sz="4" w:space="0" w:color="auto"/>
              <w:right w:val="single" w:sz="4" w:space="0" w:color="auto"/>
            </w:tcBorders>
            <w:shd w:val="clear" w:color="auto" w:fill="auto"/>
            <w:noWrap/>
            <w:vAlign w:val="center"/>
            <w:hideMark/>
          </w:tcPr>
          <w:p w14:paraId="6852342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3325369000</w:t>
            </w:r>
          </w:p>
        </w:tc>
        <w:tc>
          <w:tcPr>
            <w:tcW w:w="547" w:type="pct"/>
            <w:tcBorders>
              <w:top w:val="nil"/>
              <w:left w:val="nil"/>
              <w:bottom w:val="single" w:sz="4" w:space="0" w:color="auto"/>
              <w:right w:val="single" w:sz="4" w:space="0" w:color="auto"/>
            </w:tcBorders>
            <w:shd w:val="clear" w:color="auto" w:fill="auto"/>
            <w:noWrap/>
            <w:vAlign w:val="center"/>
            <w:hideMark/>
          </w:tcPr>
          <w:p w14:paraId="34A72C8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71180079</w:t>
            </w:r>
          </w:p>
        </w:tc>
        <w:tc>
          <w:tcPr>
            <w:tcW w:w="3360" w:type="pct"/>
            <w:tcBorders>
              <w:top w:val="nil"/>
              <w:left w:val="nil"/>
              <w:bottom w:val="single" w:sz="4" w:space="0" w:color="auto"/>
              <w:right w:val="single" w:sz="4" w:space="0" w:color="auto"/>
            </w:tcBorders>
            <w:shd w:val="clear" w:color="auto" w:fill="auto"/>
            <w:vAlign w:val="center"/>
            <w:hideMark/>
          </w:tcPr>
          <w:p w14:paraId="0C63527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ŠTUDIJSKI CENTER ZA NARODNO SPRAVO</w:t>
            </w:r>
          </w:p>
        </w:tc>
      </w:tr>
      <w:tr w:rsidR="00E3750C" w:rsidRPr="00415AB3" w14:paraId="5FC305E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2919C2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1844</w:t>
            </w:r>
          </w:p>
        </w:tc>
        <w:tc>
          <w:tcPr>
            <w:tcW w:w="705" w:type="pct"/>
            <w:tcBorders>
              <w:top w:val="nil"/>
              <w:left w:val="nil"/>
              <w:bottom w:val="single" w:sz="4" w:space="0" w:color="auto"/>
              <w:right w:val="single" w:sz="4" w:space="0" w:color="auto"/>
            </w:tcBorders>
            <w:shd w:val="clear" w:color="auto" w:fill="auto"/>
            <w:noWrap/>
            <w:vAlign w:val="center"/>
            <w:hideMark/>
          </w:tcPr>
          <w:p w14:paraId="07200CC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5052602000</w:t>
            </w:r>
          </w:p>
        </w:tc>
        <w:tc>
          <w:tcPr>
            <w:tcW w:w="547" w:type="pct"/>
            <w:tcBorders>
              <w:top w:val="nil"/>
              <w:left w:val="nil"/>
              <w:bottom w:val="single" w:sz="4" w:space="0" w:color="auto"/>
              <w:right w:val="single" w:sz="4" w:space="0" w:color="auto"/>
            </w:tcBorders>
            <w:shd w:val="clear" w:color="auto" w:fill="auto"/>
            <w:noWrap/>
            <w:vAlign w:val="center"/>
            <w:hideMark/>
          </w:tcPr>
          <w:p w14:paraId="7397509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96599944</w:t>
            </w:r>
          </w:p>
        </w:tc>
        <w:tc>
          <w:tcPr>
            <w:tcW w:w="3360" w:type="pct"/>
            <w:tcBorders>
              <w:top w:val="nil"/>
              <w:left w:val="nil"/>
              <w:bottom w:val="single" w:sz="4" w:space="0" w:color="auto"/>
              <w:right w:val="single" w:sz="4" w:space="0" w:color="auto"/>
            </w:tcBorders>
            <w:shd w:val="clear" w:color="auto" w:fill="auto"/>
            <w:vAlign w:val="center"/>
            <w:hideMark/>
          </w:tcPr>
          <w:p w14:paraId="0EFB74F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TEHNIŠKI MUZEJ SLOVENIJE</w:t>
            </w:r>
          </w:p>
        </w:tc>
      </w:tr>
      <w:tr w:rsidR="00E3750C" w:rsidRPr="00415AB3" w14:paraId="4478898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7C6C83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1845</w:t>
            </w:r>
          </w:p>
        </w:tc>
        <w:tc>
          <w:tcPr>
            <w:tcW w:w="705" w:type="pct"/>
            <w:tcBorders>
              <w:top w:val="nil"/>
              <w:left w:val="nil"/>
              <w:bottom w:val="single" w:sz="4" w:space="0" w:color="auto"/>
              <w:right w:val="single" w:sz="4" w:space="0" w:color="auto"/>
            </w:tcBorders>
            <w:shd w:val="clear" w:color="auto" w:fill="auto"/>
            <w:noWrap/>
            <w:vAlign w:val="center"/>
            <w:hideMark/>
          </w:tcPr>
          <w:p w14:paraId="7FFB902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6669107000</w:t>
            </w:r>
          </w:p>
        </w:tc>
        <w:tc>
          <w:tcPr>
            <w:tcW w:w="547" w:type="pct"/>
            <w:tcBorders>
              <w:top w:val="nil"/>
              <w:left w:val="nil"/>
              <w:bottom w:val="single" w:sz="4" w:space="0" w:color="auto"/>
              <w:right w:val="single" w:sz="4" w:space="0" w:color="auto"/>
            </w:tcBorders>
            <w:shd w:val="clear" w:color="auto" w:fill="auto"/>
            <w:noWrap/>
            <w:vAlign w:val="center"/>
            <w:hideMark/>
          </w:tcPr>
          <w:p w14:paraId="70D67F3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95675680</w:t>
            </w:r>
          </w:p>
        </w:tc>
        <w:tc>
          <w:tcPr>
            <w:tcW w:w="3360" w:type="pct"/>
            <w:tcBorders>
              <w:top w:val="nil"/>
              <w:left w:val="nil"/>
              <w:bottom w:val="single" w:sz="4" w:space="0" w:color="auto"/>
              <w:right w:val="single" w:sz="4" w:space="0" w:color="auto"/>
            </w:tcBorders>
            <w:shd w:val="clear" w:color="auto" w:fill="auto"/>
            <w:vAlign w:val="center"/>
            <w:hideMark/>
          </w:tcPr>
          <w:p w14:paraId="6FDB207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TEHNIŠKI ŠOLSKI CENTER MARIBOR</w:t>
            </w:r>
          </w:p>
        </w:tc>
      </w:tr>
      <w:tr w:rsidR="00E3750C" w:rsidRPr="00415AB3" w14:paraId="319F4AA9"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F420C3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1846</w:t>
            </w:r>
          </w:p>
        </w:tc>
        <w:tc>
          <w:tcPr>
            <w:tcW w:w="705" w:type="pct"/>
            <w:tcBorders>
              <w:top w:val="nil"/>
              <w:left w:val="nil"/>
              <w:bottom w:val="single" w:sz="4" w:space="0" w:color="auto"/>
              <w:right w:val="single" w:sz="4" w:space="0" w:color="auto"/>
            </w:tcBorders>
            <w:shd w:val="clear" w:color="auto" w:fill="auto"/>
            <w:noWrap/>
            <w:vAlign w:val="center"/>
            <w:hideMark/>
          </w:tcPr>
          <w:p w14:paraId="03DA741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8538573000</w:t>
            </w:r>
          </w:p>
        </w:tc>
        <w:tc>
          <w:tcPr>
            <w:tcW w:w="547" w:type="pct"/>
            <w:tcBorders>
              <w:top w:val="nil"/>
              <w:left w:val="nil"/>
              <w:bottom w:val="single" w:sz="4" w:space="0" w:color="auto"/>
              <w:right w:val="single" w:sz="4" w:space="0" w:color="auto"/>
            </w:tcBorders>
            <w:shd w:val="clear" w:color="auto" w:fill="auto"/>
            <w:noWrap/>
            <w:vAlign w:val="center"/>
            <w:hideMark/>
          </w:tcPr>
          <w:p w14:paraId="6EA46A5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18665594</w:t>
            </w:r>
          </w:p>
        </w:tc>
        <w:tc>
          <w:tcPr>
            <w:tcW w:w="3360" w:type="pct"/>
            <w:tcBorders>
              <w:top w:val="nil"/>
              <w:left w:val="nil"/>
              <w:bottom w:val="single" w:sz="4" w:space="0" w:color="auto"/>
              <w:right w:val="single" w:sz="4" w:space="0" w:color="auto"/>
            </w:tcBorders>
            <w:shd w:val="clear" w:color="auto" w:fill="auto"/>
            <w:vAlign w:val="center"/>
            <w:hideMark/>
          </w:tcPr>
          <w:p w14:paraId="3490C9E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TEHNO PARK CELJE, JAVNI ZAVOD ZA SPODBUJANJE ZNANOSTI, TEHNOLOGIJE IN INOVATIVNOSTI</w:t>
            </w:r>
          </w:p>
        </w:tc>
      </w:tr>
      <w:tr w:rsidR="00E3750C" w:rsidRPr="00415AB3" w14:paraId="68461F9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7000CC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1847</w:t>
            </w:r>
          </w:p>
        </w:tc>
        <w:tc>
          <w:tcPr>
            <w:tcW w:w="705" w:type="pct"/>
            <w:tcBorders>
              <w:top w:val="nil"/>
              <w:left w:val="nil"/>
              <w:bottom w:val="single" w:sz="4" w:space="0" w:color="auto"/>
              <w:right w:val="single" w:sz="4" w:space="0" w:color="auto"/>
            </w:tcBorders>
            <w:shd w:val="clear" w:color="auto" w:fill="auto"/>
            <w:noWrap/>
            <w:vAlign w:val="center"/>
            <w:hideMark/>
          </w:tcPr>
          <w:p w14:paraId="67F666B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5911508000</w:t>
            </w:r>
          </w:p>
        </w:tc>
        <w:tc>
          <w:tcPr>
            <w:tcW w:w="547" w:type="pct"/>
            <w:tcBorders>
              <w:top w:val="nil"/>
              <w:left w:val="nil"/>
              <w:bottom w:val="single" w:sz="4" w:space="0" w:color="auto"/>
              <w:right w:val="single" w:sz="4" w:space="0" w:color="auto"/>
            </w:tcBorders>
            <w:shd w:val="clear" w:color="auto" w:fill="auto"/>
            <w:noWrap/>
            <w:vAlign w:val="center"/>
            <w:hideMark/>
          </w:tcPr>
          <w:p w14:paraId="72D0289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44444656</w:t>
            </w:r>
          </w:p>
        </w:tc>
        <w:tc>
          <w:tcPr>
            <w:tcW w:w="3360" w:type="pct"/>
            <w:tcBorders>
              <w:top w:val="nil"/>
              <w:left w:val="nil"/>
              <w:bottom w:val="single" w:sz="4" w:space="0" w:color="auto"/>
              <w:right w:val="single" w:sz="4" w:space="0" w:color="auto"/>
            </w:tcBorders>
            <w:shd w:val="clear" w:color="auto" w:fill="auto"/>
            <w:vAlign w:val="center"/>
            <w:hideMark/>
          </w:tcPr>
          <w:p w14:paraId="36B2111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TEHNOLOŠKI PARK LJUBLJANA D.O.O.</w:t>
            </w:r>
          </w:p>
        </w:tc>
      </w:tr>
      <w:tr w:rsidR="00E3750C" w:rsidRPr="00415AB3" w14:paraId="7BD64C3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5365F8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1848</w:t>
            </w:r>
          </w:p>
        </w:tc>
        <w:tc>
          <w:tcPr>
            <w:tcW w:w="705" w:type="pct"/>
            <w:tcBorders>
              <w:top w:val="nil"/>
              <w:left w:val="nil"/>
              <w:bottom w:val="single" w:sz="4" w:space="0" w:color="auto"/>
              <w:right w:val="single" w:sz="4" w:space="0" w:color="auto"/>
            </w:tcBorders>
            <w:shd w:val="clear" w:color="auto" w:fill="auto"/>
            <w:noWrap/>
            <w:vAlign w:val="center"/>
            <w:hideMark/>
          </w:tcPr>
          <w:p w14:paraId="71FAE9E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5033772000</w:t>
            </w:r>
          </w:p>
        </w:tc>
        <w:tc>
          <w:tcPr>
            <w:tcW w:w="547" w:type="pct"/>
            <w:tcBorders>
              <w:top w:val="nil"/>
              <w:left w:val="nil"/>
              <w:bottom w:val="single" w:sz="4" w:space="0" w:color="auto"/>
              <w:right w:val="single" w:sz="4" w:space="0" w:color="auto"/>
            </w:tcBorders>
            <w:shd w:val="clear" w:color="auto" w:fill="auto"/>
            <w:noWrap/>
            <w:vAlign w:val="center"/>
            <w:hideMark/>
          </w:tcPr>
          <w:p w14:paraId="41EBF71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49407783</w:t>
            </w:r>
          </w:p>
        </w:tc>
        <w:tc>
          <w:tcPr>
            <w:tcW w:w="3360" w:type="pct"/>
            <w:tcBorders>
              <w:top w:val="nil"/>
              <w:left w:val="nil"/>
              <w:bottom w:val="single" w:sz="4" w:space="0" w:color="auto"/>
              <w:right w:val="single" w:sz="4" w:space="0" w:color="auto"/>
            </w:tcBorders>
            <w:shd w:val="clear" w:color="auto" w:fill="auto"/>
            <w:vAlign w:val="center"/>
            <w:hideMark/>
          </w:tcPr>
          <w:p w14:paraId="1472313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TERMOELEKTRARNA BRESTANICA D.O.O.</w:t>
            </w:r>
          </w:p>
        </w:tc>
      </w:tr>
      <w:tr w:rsidR="00E3750C" w:rsidRPr="00415AB3" w14:paraId="19ADF33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735C56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1849</w:t>
            </w:r>
          </w:p>
        </w:tc>
        <w:tc>
          <w:tcPr>
            <w:tcW w:w="705" w:type="pct"/>
            <w:tcBorders>
              <w:top w:val="nil"/>
              <w:left w:val="nil"/>
              <w:bottom w:val="single" w:sz="4" w:space="0" w:color="auto"/>
              <w:right w:val="single" w:sz="4" w:space="0" w:color="auto"/>
            </w:tcBorders>
            <w:shd w:val="clear" w:color="auto" w:fill="auto"/>
            <w:noWrap/>
            <w:vAlign w:val="center"/>
            <w:hideMark/>
          </w:tcPr>
          <w:p w14:paraId="14E2AC8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5040388000</w:t>
            </w:r>
          </w:p>
        </w:tc>
        <w:tc>
          <w:tcPr>
            <w:tcW w:w="547" w:type="pct"/>
            <w:tcBorders>
              <w:top w:val="nil"/>
              <w:left w:val="nil"/>
              <w:bottom w:val="single" w:sz="4" w:space="0" w:color="auto"/>
              <w:right w:val="single" w:sz="4" w:space="0" w:color="auto"/>
            </w:tcBorders>
            <w:shd w:val="clear" w:color="auto" w:fill="auto"/>
            <w:noWrap/>
            <w:vAlign w:val="center"/>
            <w:hideMark/>
          </w:tcPr>
          <w:p w14:paraId="5702768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92189903</w:t>
            </w:r>
          </w:p>
        </w:tc>
        <w:tc>
          <w:tcPr>
            <w:tcW w:w="3360" w:type="pct"/>
            <w:tcBorders>
              <w:top w:val="nil"/>
              <w:left w:val="nil"/>
              <w:bottom w:val="single" w:sz="4" w:space="0" w:color="auto"/>
              <w:right w:val="single" w:sz="4" w:space="0" w:color="auto"/>
            </w:tcBorders>
            <w:shd w:val="clear" w:color="auto" w:fill="auto"/>
            <w:vAlign w:val="center"/>
            <w:hideMark/>
          </w:tcPr>
          <w:p w14:paraId="148A536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TERMOELEKTRARNA ŠOŠTANJ D.O.O.</w:t>
            </w:r>
          </w:p>
        </w:tc>
      </w:tr>
      <w:tr w:rsidR="00E3750C" w:rsidRPr="00415AB3" w14:paraId="4A74274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157DD7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1850</w:t>
            </w:r>
          </w:p>
        </w:tc>
        <w:tc>
          <w:tcPr>
            <w:tcW w:w="705" w:type="pct"/>
            <w:tcBorders>
              <w:top w:val="nil"/>
              <w:left w:val="nil"/>
              <w:bottom w:val="single" w:sz="4" w:space="0" w:color="auto"/>
              <w:right w:val="single" w:sz="4" w:space="0" w:color="auto"/>
            </w:tcBorders>
            <w:shd w:val="clear" w:color="auto" w:fill="auto"/>
            <w:noWrap/>
            <w:vAlign w:val="center"/>
            <w:hideMark/>
          </w:tcPr>
          <w:p w14:paraId="62D90F2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1510592000</w:t>
            </w:r>
          </w:p>
        </w:tc>
        <w:tc>
          <w:tcPr>
            <w:tcW w:w="547" w:type="pct"/>
            <w:tcBorders>
              <w:top w:val="nil"/>
              <w:left w:val="nil"/>
              <w:bottom w:val="single" w:sz="4" w:space="0" w:color="auto"/>
              <w:right w:val="single" w:sz="4" w:space="0" w:color="auto"/>
            </w:tcBorders>
            <w:shd w:val="clear" w:color="auto" w:fill="auto"/>
            <w:noWrap/>
            <w:vAlign w:val="center"/>
            <w:hideMark/>
          </w:tcPr>
          <w:p w14:paraId="3C281A7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65295609</w:t>
            </w:r>
          </w:p>
        </w:tc>
        <w:tc>
          <w:tcPr>
            <w:tcW w:w="3360" w:type="pct"/>
            <w:tcBorders>
              <w:top w:val="nil"/>
              <w:left w:val="nil"/>
              <w:bottom w:val="single" w:sz="4" w:space="0" w:color="auto"/>
              <w:right w:val="single" w:sz="4" w:space="0" w:color="auto"/>
            </w:tcBorders>
            <w:shd w:val="clear" w:color="auto" w:fill="auto"/>
            <w:vAlign w:val="center"/>
            <w:hideMark/>
          </w:tcPr>
          <w:p w14:paraId="698C67B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TOLMINSKI MUZEJ</w:t>
            </w:r>
          </w:p>
        </w:tc>
      </w:tr>
      <w:tr w:rsidR="00E3750C" w:rsidRPr="00415AB3" w14:paraId="3D2AB4B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512DCE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1851</w:t>
            </w:r>
          </w:p>
        </w:tc>
        <w:tc>
          <w:tcPr>
            <w:tcW w:w="705" w:type="pct"/>
            <w:tcBorders>
              <w:top w:val="nil"/>
              <w:left w:val="nil"/>
              <w:bottom w:val="single" w:sz="4" w:space="0" w:color="auto"/>
              <w:right w:val="single" w:sz="4" w:space="0" w:color="auto"/>
            </w:tcBorders>
            <w:shd w:val="clear" w:color="auto" w:fill="auto"/>
            <w:noWrap/>
            <w:vAlign w:val="center"/>
            <w:hideMark/>
          </w:tcPr>
          <w:p w14:paraId="1FB1602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5087619000</w:t>
            </w:r>
          </w:p>
        </w:tc>
        <w:tc>
          <w:tcPr>
            <w:tcW w:w="547" w:type="pct"/>
            <w:tcBorders>
              <w:top w:val="nil"/>
              <w:left w:val="nil"/>
              <w:bottom w:val="single" w:sz="4" w:space="0" w:color="auto"/>
              <w:right w:val="single" w:sz="4" w:space="0" w:color="auto"/>
            </w:tcBorders>
            <w:shd w:val="clear" w:color="auto" w:fill="auto"/>
            <w:noWrap/>
            <w:vAlign w:val="center"/>
            <w:hideMark/>
          </w:tcPr>
          <w:p w14:paraId="72C2E15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32857608</w:t>
            </w:r>
          </w:p>
        </w:tc>
        <w:tc>
          <w:tcPr>
            <w:tcW w:w="3360" w:type="pct"/>
            <w:tcBorders>
              <w:top w:val="nil"/>
              <w:left w:val="nil"/>
              <w:bottom w:val="single" w:sz="4" w:space="0" w:color="auto"/>
              <w:right w:val="single" w:sz="4" w:space="0" w:color="auto"/>
            </w:tcBorders>
            <w:shd w:val="clear" w:color="auto" w:fill="auto"/>
            <w:vAlign w:val="center"/>
            <w:hideMark/>
          </w:tcPr>
          <w:p w14:paraId="394C3F7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TRETJA OSNOVNA ŠOLA SLOVENJ GRADEC</w:t>
            </w:r>
          </w:p>
        </w:tc>
      </w:tr>
      <w:tr w:rsidR="00E3750C" w:rsidRPr="00415AB3" w14:paraId="6C335E0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A644C3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1852</w:t>
            </w:r>
          </w:p>
        </w:tc>
        <w:tc>
          <w:tcPr>
            <w:tcW w:w="705" w:type="pct"/>
            <w:tcBorders>
              <w:top w:val="nil"/>
              <w:left w:val="nil"/>
              <w:bottom w:val="single" w:sz="4" w:space="0" w:color="auto"/>
              <w:right w:val="single" w:sz="4" w:space="0" w:color="auto"/>
            </w:tcBorders>
            <w:shd w:val="clear" w:color="auto" w:fill="auto"/>
            <w:noWrap/>
            <w:vAlign w:val="center"/>
            <w:hideMark/>
          </w:tcPr>
          <w:p w14:paraId="64CDA5F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5055814000</w:t>
            </w:r>
          </w:p>
        </w:tc>
        <w:tc>
          <w:tcPr>
            <w:tcW w:w="547" w:type="pct"/>
            <w:tcBorders>
              <w:top w:val="nil"/>
              <w:left w:val="nil"/>
              <w:bottom w:val="single" w:sz="4" w:space="0" w:color="auto"/>
              <w:right w:val="single" w:sz="4" w:space="0" w:color="auto"/>
            </w:tcBorders>
            <w:shd w:val="clear" w:color="auto" w:fill="auto"/>
            <w:noWrap/>
            <w:vAlign w:val="center"/>
            <w:hideMark/>
          </w:tcPr>
          <w:p w14:paraId="4065AEF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83235434</w:t>
            </w:r>
          </w:p>
        </w:tc>
        <w:tc>
          <w:tcPr>
            <w:tcW w:w="3360" w:type="pct"/>
            <w:tcBorders>
              <w:top w:val="nil"/>
              <w:left w:val="nil"/>
              <w:bottom w:val="single" w:sz="4" w:space="0" w:color="auto"/>
              <w:right w:val="single" w:sz="4" w:space="0" w:color="auto"/>
            </w:tcBorders>
            <w:shd w:val="clear" w:color="auto" w:fill="auto"/>
            <w:vAlign w:val="center"/>
            <w:hideMark/>
          </w:tcPr>
          <w:p w14:paraId="17F6A56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TRUBARJEV DOM UPOKOJENCEV</w:t>
            </w:r>
          </w:p>
        </w:tc>
      </w:tr>
      <w:tr w:rsidR="00E3750C" w:rsidRPr="00415AB3" w14:paraId="14A48E4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9ABA3B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1853</w:t>
            </w:r>
          </w:p>
        </w:tc>
        <w:tc>
          <w:tcPr>
            <w:tcW w:w="705" w:type="pct"/>
            <w:tcBorders>
              <w:top w:val="nil"/>
              <w:left w:val="nil"/>
              <w:bottom w:val="single" w:sz="4" w:space="0" w:color="auto"/>
              <w:right w:val="single" w:sz="4" w:space="0" w:color="auto"/>
            </w:tcBorders>
            <w:shd w:val="clear" w:color="auto" w:fill="auto"/>
            <w:noWrap/>
            <w:vAlign w:val="center"/>
            <w:hideMark/>
          </w:tcPr>
          <w:p w14:paraId="18B5581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1511319000</w:t>
            </w:r>
          </w:p>
        </w:tc>
        <w:tc>
          <w:tcPr>
            <w:tcW w:w="547" w:type="pct"/>
            <w:tcBorders>
              <w:top w:val="nil"/>
              <w:left w:val="nil"/>
              <w:bottom w:val="single" w:sz="4" w:space="0" w:color="auto"/>
              <w:right w:val="single" w:sz="4" w:space="0" w:color="auto"/>
            </w:tcBorders>
            <w:shd w:val="clear" w:color="auto" w:fill="auto"/>
            <w:noWrap/>
            <w:vAlign w:val="center"/>
            <w:hideMark/>
          </w:tcPr>
          <w:p w14:paraId="00020AD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22640762</w:t>
            </w:r>
          </w:p>
        </w:tc>
        <w:tc>
          <w:tcPr>
            <w:tcW w:w="3360" w:type="pct"/>
            <w:tcBorders>
              <w:top w:val="nil"/>
              <w:left w:val="nil"/>
              <w:bottom w:val="single" w:sz="4" w:space="0" w:color="auto"/>
              <w:right w:val="single" w:sz="4" w:space="0" w:color="auto"/>
            </w:tcBorders>
            <w:shd w:val="clear" w:color="auto" w:fill="auto"/>
            <w:vAlign w:val="center"/>
            <w:hideMark/>
          </w:tcPr>
          <w:p w14:paraId="69664CF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TURISTIČNO INFORMACIJSKI CENTER ILIRSKA BISTRICA</w:t>
            </w:r>
          </w:p>
        </w:tc>
      </w:tr>
      <w:tr w:rsidR="00E3750C" w:rsidRPr="00415AB3" w14:paraId="6EA589E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7F337F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1854</w:t>
            </w:r>
          </w:p>
        </w:tc>
        <w:tc>
          <w:tcPr>
            <w:tcW w:w="705" w:type="pct"/>
            <w:tcBorders>
              <w:top w:val="nil"/>
              <w:left w:val="nil"/>
              <w:bottom w:val="single" w:sz="4" w:space="0" w:color="auto"/>
              <w:right w:val="single" w:sz="4" w:space="0" w:color="auto"/>
            </w:tcBorders>
            <w:shd w:val="clear" w:color="auto" w:fill="auto"/>
            <w:noWrap/>
            <w:vAlign w:val="center"/>
            <w:hideMark/>
          </w:tcPr>
          <w:p w14:paraId="18B720C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5956803000</w:t>
            </w:r>
          </w:p>
        </w:tc>
        <w:tc>
          <w:tcPr>
            <w:tcW w:w="547" w:type="pct"/>
            <w:tcBorders>
              <w:top w:val="nil"/>
              <w:left w:val="nil"/>
              <w:bottom w:val="single" w:sz="4" w:space="0" w:color="auto"/>
              <w:right w:val="single" w:sz="4" w:space="0" w:color="auto"/>
            </w:tcBorders>
            <w:shd w:val="clear" w:color="auto" w:fill="auto"/>
            <w:noWrap/>
            <w:vAlign w:val="center"/>
            <w:hideMark/>
          </w:tcPr>
          <w:p w14:paraId="44722E0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30513219</w:t>
            </w:r>
          </w:p>
        </w:tc>
        <w:tc>
          <w:tcPr>
            <w:tcW w:w="3360" w:type="pct"/>
            <w:tcBorders>
              <w:top w:val="nil"/>
              <w:left w:val="nil"/>
              <w:bottom w:val="single" w:sz="4" w:space="0" w:color="auto"/>
              <w:right w:val="single" w:sz="4" w:space="0" w:color="auto"/>
            </w:tcBorders>
            <w:shd w:val="clear" w:color="auto" w:fill="auto"/>
            <w:vAlign w:val="center"/>
            <w:hideMark/>
          </w:tcPr>
          <w:p w14:paraId="6B5D201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TURISTIČNO-INFORMATIVNI CENTER MORAVSKE TOPLICE</w:t>
            </w:r>
          </w:p>
        </w:tc>
      </w:tr>
      <w:tr w:rsidR="00E3750C" w:rsidRPr="00415AB3" w14:paraId="79A98D5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FA8DB9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1855</w:t>
            </w:r>
          </w:p>
        </w:tc>
        <w:tc>
          <w:tcPr>
            <w:tcW w:w="705" w:type="pct"/>
            <w:tcBorders>
              <w:top w:val="nil"/>
              <w:left w:val="nil"/>
              <w:bottom w:val="single" w:sz="4" w:space="0" w:color="auto"/>
              <w:right w:val="single" w:sz="4" w:space="0" w:color="auto"/>
            </w:tcBorders>
            <w:shd w:val="clear" w:color="auto" w:fill="auto"/>
            <w:noWrap/>
            <w:vAlign w:val="center"/>
            <w:hideMark/>
          </w:tcPr>
          <w:p w14:paraId="6BFD9E0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1510614000</w:t>
            </w:r>
          </w:p>
        </w:tc>
        <w:tc>
          <w:tcPr>
            <w:tcW w:w="547" w:type="pct"/>
            <w:tcBorders>
              <w:top w:val="nil"/>
              <w:left w:val="nil"/>
              <w:bottom w:val="single" w:sz="4" w:space="0" w:color="auto"/>
              <w:right w:val="single" w:sz="4" w:space="0" w:color="auto"/>
            </w:tcBorders>
            <w:shd w:val="clear" w:color="auto" w:fill="auto"/>
            <w:noWrap/>
            <w:vAlign w:val="center"/>
            <w:hideMark/>
          </w:tcPr>
          <w:p w14:paraId="7BA5434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84521147</w:t>
            </w:r>
          </w:p>
        </w:tc>
        <w:tc>
          <w:tcPr>
            <w:tcW w:w="3360" w:type="pct"/>
            <w:tcBorders>
              <w:top w:val="nil"/>
              <w:left w:val="nil"/>
              <w:bottom w:val="single" w:sz="4" w:space="0" w:color="auto"/>
              <w:right w:val="single" w:sz="4" w:space="0" w:color="auto"/>
            </w:tcBorders>
            <w:shd w:val="clear" w:color="auto" w:fill="auto"/>
            <w:vAlign w:val="center"/>
            <w:hideMark/>
          </w:tcPr>
          <w:p w14:paraId="0E12934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TURIZEM BOHINJ - ZAVOD ZA POSPEŠEVANJE TURIZMA</w:t>
            </w:r>
          </w:p>
        </w:tc>
      </w:tr>
      <w:tr w:rsidR="00E3750C" w:rsidRPr="00415AB3" w14:paraId="672E329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8A1494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1856</w:t>
            </w:r>
          </w:p>
        </w:tc>
        <w:tc>
          <w:tcPr>
            <w:tcW w:w="705" w:type="pct"/>
            <w:tcBorders>
              <w:top w:val="nil"/>
              <w:left w:val="nil"/>
              <w:bottom w:val="single" w:sz="4" w:space="0" w:color="auto"/>
              <w:right w:val="single" w:sz="4" w:space="0" w:color="auto"/>
            </w:tcBorders>
            <w:shd w:val="clear" w:color="auto" w:fill="auto"/>
            <w:noWrap/>
            <w:vAlign w:val="center"/>
            <w:hideMark/>
          </w:tcPr>
          <w:p w14:paraId="5E852BF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1201727000</w:t>
            </w:r>
          </w:p>
        </w:tc>
        <w:tc>
          <w:tcPr>
            <w:tcW w:w="547" w:type="pct"/>
            <w:tcBorders>
              <w:top w:val="nil"/>
              <w:left w:val="nil"/>
              <w:bottom w:val="single" w:sz="4" w:space="0" w:color="auto"/>
              <w:right w:val="single" w:sz="4" w:space="0" w:color="auto"/>
            </w:tcBorders>
            <w:shd w:val="clear" w:color="auto" w:fill="auto"/>
            <w:noWrap/>
            <w:vAlign w:val="center"/>
            <w:hideMark/>
          </w:tcPr>
          <w:p w14:paraId="35F58B3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66559286</w:t>
            </w:r>
          </w:p>
        </w:tc>
        <w:tc>
          <w:tcPr>
            <w:tcW w:w="3360" w:type="pct"/>
            <w:tcBorders>
              <w:top w:val="nil"/>
              <w:left w:val="nil"/>
              <w:bottom w:val="single" w:sz="4" w:space="0" w:color="auto"/>
              <w:right w:val="single" w:sz="4" w:space="0" w:color="auto"/>
            </w:tcBorders>
            <w:shd w:val="clear" w:color="auto" w:fill="auto"/>
            <w:vAlign w:val="center"/>
            <w:hideMark/>
          </w:tcPr>
          <w:p w14:paraId="27EA6B9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TURIZEM KRANJSKA GORA</w:t>
            </w:r>
          </w:p>
        </w:tc>
      </w:tr>
      <w:tr w:rsidR="00E3750C" w:rsidRPr="00415AB3" w14:paraId="63E1B38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25756D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1857</w:t>
            </w:r>
          </w:p>
        </w:tc>
        <w:tc>
          <w:tcPr>
            <w:tcW w:w="705" w:type="pct"/>
            <w:tcBorders>
              <w:top w:val="nil"/>
              <w:left w:val="nil"/>
              <w:bottom w:val="single" w:sz="4" w:space="0" w:color="auto"/>
              <w:right w:val="single" w:sz="4" w:space="0" w:color="auto"/>
            </w:tcBorders>
            <w:shd w:val="clear" w:color="auto" w:fill="auto"/>
            <w:noWrap/>
            <w:vAlign w:val="center"/>
            <w:hideMark/>
          </w:tcPr>
          <w:p w14:paraId="1BAB78B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1622935000</w:t>
            </w:r>
          </w:p>
        </w:tc>
        <w:tc>
          <w:tcPr>
            <w:tcW w:w="547" w:type="pct"/>
            <w:tcBorders>
              <w:top w:val="nil"/>
              <w:left w:val="nil"/>
              <w:bottom w:val="single" w:sz="4" w:space="0" w:color="auto"/>
              <w:right w:val="single" w:sz="4" w:space="0" w:color="auto"/>
            </w:tcBorders>
            <w:shd w:val="clear" w:color="auto" w:fill="auto"/>
            <w:noWrap/>
            <w:vAlign w:val="center"/>
            <w:hideMark/>
          </w:tcPr>
          <w:p w14:paraId="1C42824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85321389</w:t>
            </w:r>
          </w:p>
        </w:tc>
        <w:tc>
          <w:tcPr>
            <w:tcW w:w="3360" w:type="pct"/>
            <w:tcBorders>
              <w:top w:val="nil"/>
              <w:left w:val="nil"/>
              <w:bottom w:val="single" w:sz="4" w:space="0" w:color="auto"/>
              <w:right w:val="single" w:sz="4" w:space="0" w:color="auto"/>
            </w:tcBorders>
            <w:shd w:val="clear" w:color="auto" w:fill="auto"/>
            <w:vAlign w:val="center"/>
            <w:hideMark/>
          </w:tcPr>
          <w:p w14:paraId="3E8DE04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TURIZEM LJUBLJANA</w:t>
            </w:r>
          </w:p>
        </w:tc>
      </w:tr>
      <w:tr w:rsidR="00E3750C" w:rsidRPr="00415AB3" w14:paraId="09DBFA4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4B0EA3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1858</w:t>
            </w:r>
          </w:p>
        </w:tc>
        <w:tc>
          <w:tcPr>
            <w:tcW w:w="705" w:type="pct"/>
            <w:tcBorders>
              <w:top w:val="nil"/>
              <w:left w:val="nil"/>
              <w:bottom w:val="single" w:sz="4" w:space="0" w:color="auto"/>
              <w:right w:val="single" w:sz="4" w:space="0" w:color="auto"/>
            </w:tcBorders>
            <w:shd w:val="clear" w:color="auto" w:fill="auto"/>
            <w:noWrap/>
            <w:vAlign w:val="center"/>
            <w:hideMark/>
          </w:tcPr>
          <w:p w14:paraId="7215B48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5052122000</w:t>
            </w:r>
          </w:p>
        </w:tc>
        <w:tc>
          <w:tcPr>
            <w:tcW w:w="547" w:type="pct"/>
            <w:tcBorders>
              <w:top w:val="nil"/>
              <w:left w:val="nil"/>
              <w:bottom w:val="single" w:sz="4" w:space="0" w:color="auto"/>
              <w:right w:val="single" w:sz="4" w:space="0" w:color="auto"/>
            </w:tcBorders>
            <w:shd w:val="clear" w:color="auto" w:fill="auto"/>
            <w:noWrap/>
            <w:vAlign w:val="center"/>
            <w:hideMark/>
          </w:tcPr>
          <w:p w14:paraId="45BB0DC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22032410</w:t>
            </w:r>
          </w:p>
        </w:tc>
        <w:tc>
          <w:tcPr>
            <w:tcW w:w="3360" w:type="pct"/>
            <w:tcBorders>
              <w:top w:val="nil"/>
              <w:left w:val="nil"/>
              <w:bottom w:val="single" w:sz="4" w:space="0" w:color="auto"/>
              <w:right w:val="single" w:sz="4" w:space="0" w:color="auto"/>
            </w:tcBorders>
            <w:shd w:val="clear" w:color="auto" w:fill="auto"/>
            <w:vAlign w:val="center"/>
            <w:hideMark/>
          </w:tcPr>
          <w:p w14:paraId="340DA0B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UMETNOSTNA GALERIJA MARIBOR</w:t>
            </w:r>
          </w:p>
        </w:tc>
      </w:tr>
      <w:tr w:rsidR="00E3750C" w:rsidRPr="00415AB3" w14:paraId="0748132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71E4A0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1859</w:t>
            </w:r>
          </w:p>
        </w:tc>
        <w:tc>
          <w:tcPr>
            <w:tcW w:w="705" w:type="pct"/>
            <w:tcBorders>
              <w:top w:val="nil"/>
              <w:left w:val="nil"/>
              <w:bottom w:val="single" w:sz="4" w:space="0" w:color="auto"/>
              <w:right w:val="single" w:sz="4" w:space="0" w:color="auto"/>
            </w:tcBorders>
            <w:shd w:val="clear" w:color="auto" w:fill="auto"/>
            <w:noWrap/>
            <w:vAlign w:val="center"/>
            <w:hideMark/>
          </w:tcPr>
          <w:p w14:paraId="400B5B5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1810014000</w:t>
            </w:r>
          </w:p>
        </w:tc>
        <w:tc>
          <w:tcPr>
            <w:tcW w:w="547" w:type="pct"/>
            <w:tcBorders>
              <w:top w:val="nil"/>
              <w:left w:val="nil"/>
              <w:bottom w:val="single" w:sz="4" w:space="0" w:color="auto"/>
              <w:right w:val="single" w:sz="4" w:space="0" w:color="auto"/>
            </w:tcBorders>
            <w:shd w:val="clear" w:color="auto" w:fill="auto"/>
            <w:noWrap/>
            <w:vAlign w:val="center"/>
            <w:hideMark/>
          </w:tcPr>
          <w:p w14:paraId="0EBB0BA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71633065</w:t>
            </w:r>
          </w:p>
        </w:tc>
        <w:tc>
          <w:tcPr>
            <w:tcW w:w="3360" w:type="pct"/>
            <w:tcBorders>
              <w:top w:val="nil"/>
              <w:left w:val="nil"/>
              <w:bottom w:val="single" w:sz="4" w:space="0" w:color="auto"/>
              <w:right w:val="single" w:sz="4" w:space="0" w:color="auto"/>
            </w:tcBorders>
            <w:shd w:val="clear" w:color="auto" w:fill="auto"/>
            <w:vAlign w:val="center"/>
            <w:hideMark/>
          </w:tcPr>
          <w:p w14:paraId="38BB5F6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UNIVERZA NA PRIMORSKEM UNIVERSITA DEL LITORALE</w:t>
            </w:r>
          </w:p>
        </w:tc>
      </w:tr>
      <w:tr w:rsidR="00E3750C" w:rsidRPr="00415AB3" w14:paraId="63DA2D7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313174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1860</w:t>
            </w:r>
          </w:p>
        </w:tc>
        <w:tc>
          <w:tcPr>
            <w:tcW w:w="705" w:type="pct"/>
            <w:tcBorders>
              <w:top w:val="nil"/>
              <w:left w:val="nil"/>
              <w:bottom w:val="single" w:sz="4" w:space="0" w:color="auto"/>
              <w:right w:val="single" w:sz="4" w:space="0" w:color="auto"/>
            </w:tcBorders>
            <w:shd w:val="clear" w:color="auto" w:fill="auto"/>
            <w:noWrap/>
            <w:vAlign w:val="center"/>
            <w:hideMark/>
          </w:tcPr>
          <w:p w14:paraId="3E71F34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5085063000</w:t>
            </w:r>
          </w:p>
        </w:tc>
        <w:tc>
          <w:tcPr>
            <w:tcW w:w="547" w:type="pct"/>
            <w:tcBorders>
              <w:top w:val="nil"/>
              <w:left w:val="nil"/>
              <w:bottom w:val="single" w:sz="4" w:space="0" w:color="auto"/>
              <w:right w:val="single" w:sz="4" w:space="0" w:color="auto"/>
            </w:tcBorders>
            <w:shd w:val="clear" w:color="auto" w:fill="auto"/>
            <w:noWrap/>
            <w:vAlign w:val="center"/>
            <w:hideMark/>
          </w:tcPr>
          <w:p w14:paraId="348E28C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54162513</w:t>
            </w:r>
          </w:p>
        </w:tc>
        <w:tc>
          <w:tcPr>
            <w:tcW w:w="3360" w:type="pct"/>
            <w:tcBorders>
              <w:top w:val="nil"/>
              <w:left w:val="nil"/>
              <w:bottom w:val="single" w:sz="4" w:space="0" w:color="auto"/>
              <w:right w:val="single" w:sz="4" w:space="0" w:color="auto"/>
            </w:tcBorders>
            <w:shd w:val="clear" w:color="auto" w:fill="auto"/>
            <w:vAlign w:val="center"/>
            <w:hideMark/>
          </w:tcPr>
          <w:p w14:paraId="4CBF598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UNIVERZA V LJUBLJANI</w:t>
            </w:r>
          </w:p>
        </w:tc>
      </w:tr>
      <w:tr w:rsidR="00E3750C" w:rsidRPr="00415AB3" w14:paraId="1BF74CA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40FFD0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1861</w:t>
            </w:r>
          </w:p>
        </w:tc>
        <w:tc>
          <w:tcPr>
            <w:tcW w:w="705" w:type="pct"/>
            <w:tcBorders>
              <w:top w:val="nil"/>
              <w:left w:val="nil"/>
              <w:bottom w:val="single" w:sz="4" w:space="0" w:color="auto"/>
              <w:right w:val="single" w:sz="4" w:space="0" w:color="auto"/>
            </w:tcBorders>
            <w:shd w:val="clear" w:color="auto" w:fill="auto"/>
            <w:noWrap/>
            <w:vAlign w:val="center"/>
            <w:hideMark/>
          </w:tcPr>
          <w:p w14:paraId="346A257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1626809000</w:t>
            </w:r>
          </w:p>
        </w:tc>
        <w:tc>
          <w:tcPr>
            <w:tcW w:w="547" w:type="pct"/>
            <w:tcBorders>
              <w:top w:val="nil"/>
              <w:left w:val="nil"/>
              <w:bottom w:val="single" w:sz="4" w:space="0" w:color="auto"/>
              <w:right w:val="single" w:sz="4" w:space="0" w:color="auto"/>
            </w:tcBorders>
            <w:shd w:val="clear" w:color="auto" w:fill="auto"/>
            <w:noWrap/>
            <w:vAlign w:val="center"/>
            <w:hideMark/>
          </w:tcPr>
          <w:p w14:paraId="672B599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89735552</w:t>
            </w:r>
          </w:p>
        </w:tc>
        <w:tc>
          <w:tcPr>
            <w:tcW w:w="3360" w:type="pct"/>
            <w:tcBorders>
              <w:top w:val="nil"/>
              <w:left w:val="nil"/>
              <w:bottom w:val="single" w:sz="4" w:space="0" w:color="auto"/>
              <w:right w:val="single" w:sz="4" w:space="0" w:color="auto"/>
            </w:tcBorders>
            <w:shd w:val="clear" w:color="auto" w:fill="auto"/>
            <w:vAlign w:val="center"/>
            <w:hideMark/>
          </w:tcPr>
          <w:p w14:paraId="05189AC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UNIVERZA V LJUBLJANI, AKADEMIJA ZA GLASBO</w:t>
            </w:r>
          </w:p>
        </w:tc>
      </w:tr>
      <w:tr w:rsidR="00E3750C" w:rsidRPr="00415AB3" w14:paraId="00CCD784"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94402D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1862</w:t>
            </w:r>
          </w:p>
        </w:tc>
        <w:tc>
          <w:tcPr>
            <w:tcW w:w="705" w:type="pct"/>
            <w:tcBorders>
              <w:top w:val="nil"/>
              <w:left w:val="nil"/>
              <w:bottom w:val="single" w:sz="4" w:space="0" w:color="auto"/>
              <w:right w:val="single" w:sz="4" w:space="0" w:color="auto"/>
            </w:tcBorders>
            <w:shd w:val="clear" w:color="auto" w:fill="auto"/>
            <w:noWrap/>
            <w:vAlign w:val="center"/>
            <w:hideMark/>
          </w:tcPr>
          <w:p w14:paraId="412D2AE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1626892000</w:t>
            </w:r>
          </w:p>
        </w:tc>
        <w:tc>
          <w:tcPr>
            <w:tcW w:w="547" w:type="pct"/>
            <w:tcBorders>
              <w:top w:val="nil"/>
              <w:left w:val="nil"/>
              <w:bottom w:val="single" w:sz="4" w:space="0" w:color="auto"/>
              <w:right w:val="single" w:sz="4" w:space="0" w:color="auto"/>
            </w:tcBorders>
            <w:shd w:val="clear" w:color="auto" w:fill="auto"/>
            <w:noWrap/>
            <w:vAlign w:val="center"/>
            <w:hideMark/>
          </w:tcPr>
          <w:p w14:paraId="7CD48AA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44328451</w:t>
            </w:r>
          </w:p>
        </w:tc>
        <w:tc>
          <w:tcPr>
            <w:tcW w:w="3360" w:type="pct"/>
            <w:tcBorders>
              <w:top w:val="nil"/>
              <w:left w:val="nil"/>
              <w:bottom w:val="single" w:sz="4" w:space="0" w:color="auto"/>
              <w:right w:val="single" w:sz="4" w:space="0" w:color="auto"/>
            </w:tcBorders>
            <w:shd w:val="clear" w:color="auto" w:fill="auto"/>
            <w:vAlign w:val="center"/>
            <w:hideMark/>
          </w:tcPr>
          <w:p w14:paraId="00D8309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UNIVERZA V LJUBLJANI, AKADEMIJA ZA GLEDALIŠČE, RADIO, FILM IN TELEVIZIJO</w:t>
            </w:r>
          </w:p>
        </w:tc>
      </w:tr>
      <w:tr w:rsidR="00E3750C" w:rsidRPr="00415AB3" w14:paraId="1B195B62"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D74A17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1863</w:t>
            </w:r>
          </w:p>
        </w:tc>
        <w:tc>
          <w:tcPr>
            <w:tcW w:w="705" w:type="pct"/>
            <w:tcBorders>
              <w:top w:val="nil"/>
              <w:left w:val="nil"/>
              <w:bottom w:val="single" w:sz="4" w:space="0" w:color="auto"/>
              <w:right w:val="single" w:sz="4" w:space="0" w:color="auto"/>
            </w:tcBorders>
            <w:shd w:val="clear" w:color="auto" w:fill="auto"/>
            <w:noWrap/>
            <w:vAlign w:val="center"/>
            <w:hideMark/>
          </w:tcPr>
          <w:p w14:paraId="0E62642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1626906000</w:t>
            </w:r>
          </w:p>
        </w:tc>
        <w:tc>
          <w:tcPr>
            <w:tcW w:w="547" w:type="pct"/>
            <w:tcBorders>
              <w:top w:val="nil"/>
              <w:left w:val="nil"/>
              <w:bottom w:val="single" w:sz="4" w:space="0" w:color="auto"/>
              <w:right w:val="single" w:sz="4" w:space="0" w:color="auto"/>
            </w:tcBorders>
            <w:shd w:val="clear" w:color="auto" w:fill="auto"/>
            <w:noWrap/>
            <w:vAlign w:val="center"/>
            <w:hideMark/>
          </w:tcPr>
          <w:p w14:paraId="6FA7D25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36546151</w:t>
            </w:r>
          </w:p>
        </w:tc>
        <w:tc>
          <w:tcPr>
            <w:tcW w:w="3360" w:type="pct"/>
            <w:tcBorders>
              <w:top w:val="nil"/>
              <w:left w:val="nil"/>
              <w:bottom w:val="single" w:sz="4" w:space="0" w:color="auto"/>
              <w:right w:val="single" w:sz="4" w:space="0" w:color="auto"/>
            </w:tcBorders>
            <w:shd w:val="clear" w:color="auto" w:fill="auto"/>
            <w:vAlign w:val="center"/>
            <w:hideMark/>
          </w:tcPr>
          <w:p w14:paraId="143D9F6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UNIVERZA V LJUBLJANI, AKADEMIJA ZA LIKOVNO UMETNOST IN OBLIKOVANJE</w:t>
            </w:r>
          </w:p>
        </w:tc>
      </w:tr>
      <w:tr w:rsidR="00E3750C" w:rsidRPr="00415AB3" w14:paraId="153CC35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6D3891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1864</w:t>
            </w:r>
          </w:p>
        </w:tc>
        <w:tc>
          <w:tcPr>
            <w:tcW w:w="705" w:type="pct"/>
            <w:tcBorders>
              <w:top w:val="nil"/>
              <w:left w:val="nil"/>
              <w:bottom w:val="single" w:sz="4" w:space="0" w:color="auto"/>
              <w:right w:val="single" w:sz="4" w:space="0" w:color="auto"/>
            </w:tcBorders>
            <w:shd w:val="clear" w:color="auto" w:fill="auto"/>
            <w:noWrap/>
            <w:vAlign w:val="center"/>
            <w:hideMark/>
          </w:tcPr>
          <w:p w14:paraId="6C3EB33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1626914000</w:t>
            </w:r>
          </w:p>
        </w:tc>
        <w:tc>
          <w:tcPr>
            <w:tcW w:w="547" w:type="pct"/>
            <w:tcBorders>
              <w:top w:val="nil"/>
              <w:left w:val="nil"/>
              <w:bottom w:val="single" w:sz="4" w:space="0" w:color="auto"/>
              <w:right w:val="single" w:sz="4" w:space="0" w:color="auto"/>
            </w:tcBorders>
            <w:shd w:val="clear" w:color="auto" w:fill="auto"/>
            <w:noWrap/>
            <w:vAlign w:val="center"/>
            <w:hideMark/>
          </w:tcPr>
          <w:p w14:paraId="3C6EDF0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94761795</w:t>
            </w:r>
          </w:p>
        </w:tc>
        <w:tc>
          <w:tcPr>
            <w:tcW w:w="3360" w:type="pct"/>
            <w:tcBorders>
              <w:top w:val="nil"/>
              <w:left w:val="nil"/>
              <w:bottom w:val="single" w:sz="4" w:space="0" w:color="auto"/>
              <w:right w:val="single" w:sz="4" w:space="0" w:color="auto"/>
            </w:tcBorders>
            <w:shd w:val="clear" w:color="auto" w:fill="auto"/>
            <w:vAlign w:val="center"/>
            <w:hideMark/>
          </w:tcPr>
          <w:p w14:paraId="046E443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UNIVERZA V LJUBLJANI, BIOTEHNIŠKA FAKULTETA</w:t>
            </w:r>
          </w:p>
        </w:tc>
      </w:tr>
      <w:tr w:rsidR="00E3750C" w:rsidRPr="00415AB3" w14:paraId="698B1E6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71D7DC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1865</w:t>
            </w:r>
          </w:p>
        </w:tc>
        <w:tc>
          <w:tcPr>
            <w:tcW w:w="705" w:type="pct"/>
            <w:tcBorders>
              <w:top w:val="nil"/>
              <w:left w:val="nil"/>
              <w:bottom w:val="single" w:sz="4" w:space="0" w:color="auto"/>
              <w:right w:val="single" w:sz="4" w:space="0" w:color="auto"/>
            </w:tcBorders>
            <w:shd w:val="clear" w:color="auto" w:fill="auto"/>
            <w:noWrap/>
            <w:vAlign w:val="center"/>
            <w:hideMark/>
          </w:tcPr>
          <w:p w14:paraId="216FDB9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1626922000</w:t>
            </w:r>
          </w:p>
        </w:tc>
        <w:tc>
          <w:tcPr>
            <w:tcW w:w="547" w:type="pct"/>
            <w:tcBorders>
              <w:top w:val="nil"/>
              <w:left w:val="nil"/>
              <w:bottom w:val="single" w:sz="4" w:space="0" w:color="auto"/>
              <w:right w:val="single" w:sz="4" w:space="0" w:color="auto"/>
            </w:tcBorders>
            <w:shd w:val="clear" w:color="auto" w:fill="auto"/>
            <w:noWrap/>
            <w:vAlign w:val="center"/>
            <w:hideMark/>
          </w:tcPr>
          <w:p w14:paraId="5B49147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28186745</w:t>
            </w:r>
          </w:p>
        </w:tc>
        <w:tc>
          <w:tcPr>
            <w:tcW w:w="3360" w:type="pct"/>
            <w:tcBorders>
              <w:top w:val="nil"/>
              <w:left w:val="nil"/>
              <w:bottom w:val="single" w:sz="4" w:space="0" w:color="auto"/>
              <w:right w:val="single" w:sz="4" w:space="0" w:color="auto"/>
            </w:tcBorders>
            <w:shd w:val="clear" w:color="auto" w:fill="auto"/>
            <w:vAlign w:val="center"/>
            <w:hideMark/>
          </w:tcPr>
          <w:p w14:paraId="1DA1F6F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UNIVERZA V LJUBLJANI, EKONOMSKA FAKULTETA</w:t>
            </w:r>
          </w:p>
        </w:tc>
      </w:tr>
      <w:tr w:rsidR="00E3750C" w:rsidRPr="00415AB3" w14:paraId="3ED39D4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919CDE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1866</w:t>
            </w:r>
          </w:p>
        </w:tc>
        <w:tc>
          <w:tcPr>
            <w:tcW w:w="705" w:type="pct"/>
            <w:tcBorders>
              <w:top w:val="nil"/>
              <w:left w:val="nil"/>
              <w:bottom w:val="single" w:sz="4" w:space="0" w:color="auto"/>
              <w:right w:val="single" w:sz="4" w:space="0" w:color="auto"/>
            </w:tcBorders>
            <w:shd w:val="clear" w:color="auto" w:fill="auto"/>
            <w:noWrap/>
            <w:vAlign w:val="center"/>
            <w:hideMark/>
          </w:tcPr>
          <w:p w14:paraId="0DFDD0A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1626949000</w:t>
            </w:r>
          </w:p>
        </w:tc>
        <w:tc>
          <w:tcPr>
            <w:tcW w:w="547" w:type="pct"/>
            <w:tcBorders>
              <w:top w:val="nil"/>
              <w:left w:val="nil"/>
              <w:bottom w:val="single" w:sz="4" w:space="0" w:color="auto"/>
              <w:right w:val="single" w:sz="4" w:space="0" w:color="auto"/>
            </w:tcBorders>
            <w:shd w:val="clear" w:color="auto" w:fill="auto"/>
            <w:noWrap/>
            <w:vAlign w:val="center"/>
            <w:hideMark/>
          </w:tcPr>
          <w:p w14:paraId="5D3A11B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48046167</w:t>
            </w:r>
          </w:p>
        </w:tc>
        <w:tc>
          <w:tcPr>
            <w:tcW w:w="3360" w:type="pct"/>
            <w:tcBorders>
              <w:top w:val="nil"/>
              <w:left w:val="nil"/>
              <w:bottom w:val="single" w:sz="4" w:space="0" w:color="auto"/>
              <w:right w:val="single" w:sz="4" w:space="0" w:color="auto"/>
            </w:tcBorders>
            <w:shd w:val="clear" w:color="auto" w:fill="auto"/>
            <w:vAlign w:val="center"/>
            <w:hideMark/>
          </w:tcPr>
          <w:p w14:paraId="17C6C08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UNIVERZA V LJUBLJANI, FAKULTETA ZA ARHITEKTURO</w:t>
            </w:r>
          </w:p>
        </w:tc>
      </w:tr>
      <w:tr w:rsidR="00E3750C" w:rsidRPr="00415AB3" w14:paraId="32FE15C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744ADA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1867</w:t>
            </w:r>
          </w:p>
        </w:tc>
        <w:tc>
          <w:tcPr>
            <w:tcW w:w="705" w:type="pct"/>
            <w:tcBorders>
              <w:top w:val="nil"/>
              <w:left w:val="nil"/>
              <w:bottom w:val="single" w:sz="4" w:space="0" w:color="auto"/>
              <w:right w:val="single" w:sz="4" w:space="0" w:color="auto"/>
            </w:tcBorders>
            <w:shd w:val="clear" w:color="auto" w:fill="auto"/>
            <w:noWrap/>
            <w:vAlign w:val="center"/>
            <w:hideMark/>
          </w:tcPr>
          <w:p w14:paraId="00C63D0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1626965000</w:t>
            </w:r>
          </w:p>
        </w:tc>
        <w:tc>
          <w:tcPr>
            <w:tcW w:w="547" w:type="pct"/>
            <w:tcBorders>
              <w:top w:val="nil"/>
              <w:left w:val="nil"/>
              <w:bottom w:val="single" w:sz="4" w:space="0" w:color="auto"/>
              <w:right w:val="single" w:sz="4" w:space="0" w:color="auto"/>
            </w:tcBorders>
            <w:shd w:val="clear" w:color="auto" w:fill="auto"/>
            <w:noWrap/>
            <w:vAlign w:val="center"/>
            <w:hideMark/>
          </w:tcPr>
          <w:p w14:paraId="5020F8B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11015489</w:t>
            </w:r>
          </w:p>
        </w:tc>
        <w:tc>
          <w:tcPr>
            <w:tcW w:w="3360" w:type="pct"/>
            <w:tcBorders>
              <w:top w:val="nil"/>
              <w:left w:val="nil"/>
              <w:bottom w:val="single" w:sz="4" w:space="0" w:color="auto"/>
              <w:right w:val="single" w:sz="4" w:space="0" w:color="auto"/>
            </w:tcBorders>
            <w:shd w:val="clear" w:color="auto" w:fill="auto"/>
            <w:vAlign w:val="center"/>
            <w:hideMark/>
          </w:tcPr>
          <w:p w14:paraId="1BF2218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UNIVERZA V LJUBLJANI, FAKULTETA ZA ELEKTROTEHNIKO</w:t>
            </w:r>
          </w:p>
        </w:tc>
      </w:tr>
      <w:tr w:rsidR="00E3750C" w:rsidRPr="00415AB3" w14:paraId="061C1DA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8977C2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1868</w:t>
            </w:r>
          </w:p>
        </w:tc>
        <w:tc>
          <w:tcPr>
            <w:tcW w:w="705" w:type="pct"/>
            <w:tcBorders>
              <w:top w:val="nil"/>
              <w:left w:val="nil"/>
              <w:bottom w:val="single" w:sz="4" w:space="0" w:color="auto"/>
              <w:right w:val="single" w:sz="4" w:space="0" w:color="auto"/>
            </w:tcBorders>
            <w:shd w:val="clear" w:color="auto" w:fill="auto"/>
            <w:noWrap/>
            <w:vAlign w:val="center"/>
            <w:hideMark/>
          </w:tcPr>
          <w:p w14:paraId="4682580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1626973000</w:t>
            </w:r>
          </w:p>
        </w:tc>
        <w:tc>
          <w:tcPr>
            <w:tcW w:w="547" w:type="pct"/>
            <w:tcBorders>
              <w:top w:val="nil"/>
              <w:left w:val="nil"/>
              <w:bottom w:val="single" w:sz="4" w:space="0" w:color="auto"/>
              <w:right w:val="single" w:sz="4" w:space="0" w:color="auto"/>
            </w:tcBorders>
            <w:shd w:val="clear" w:color="auto" w:fill="auto"/>
            <w:noWrap/>
            <w:vAlign w:val="center"/>
            <w:hideMark/>
          </w:tcPr>
          <w:p w14:paraId="1177F46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11690682</w:t>
            </w:r>
          </w:p>
        </w:tc>
        <w:tc>
          <w:tcPr>
            <w:tcW w:w="3360" w:type="pct"/>
            <w:tcBorders>
              <w:top w:val="nil"/>
              <w:left w:val="nil"/>
              <w:bottom w:val="single" w:sz="4" w:space="0" w:color="auto"/>
              <w:right w:val="single" w:sz="4" w:space="0" w:color="auto"/>
            </w:tcBorders>
            <w:shd w:val="clear" w:color="auto" w:fill="auto"/>
            <w:vAlign w:val="center"/>
            <w:hideMark/>
          </w:tcPr>
          <w:p w14:paraId="41E8414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UNIVERZA V LJUBLJANI, FAKULTETA ZA FARMACIJO</w:t>
            </w:r>
          </w:p>
        </w:tc>
      </w:tr>
      <w:tr w:rsidR="00E3750C" w:rsidRPr="00415AB3" w14:paraId="4BACAABA"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FAB3F2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1869</w:t>
            </w:r>
          </w:p>
        </w:tc>
        <w:tc>
          <w:tcPr>
            <w:tcW w:w="705" w:type="pct"/>
            <w:tcBorders>
              <w:top w:val="nil"/>
              <w:left w:val="nil"/>
              <w:bottom w:val="single" w:sz="4" w:space="0" w:color="auto"/>
              <w:right w:val="single" w:sz="4" w:space="0" w:color="auto"/>
            </w:tcBorders>
            <w:shd w:val="clear" w:color="auto" w:fill="auto"/>
            <w:noWrap/>
            <w:vAlign w:val="center"/>
            <w:hideMark/>
          </w:tcPr>
          <w:p w14:paraId="67A1A13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1626981000</w:t>
            </w:r>
          </w:p>
        </w:tc>
        <w:tc>
          <w:tcPr>
            <w:tcW w:w="547" w:type="pct"/>
            <w:tcBorders>
              <w:top w:val="nil"/>
              <w:left w:val="nil"/>
              <w:bottom w:val="single" w:sz="4" w:space="0" w:color="auto"/>
              <w:right w:val="single" w:sz="4" w:space="0" w:color="auto"/>
            </w:tcBorders>
            <w:shd w:val="clear" w:color="auto" w:fill="auto"/>
            <w:noWrap/>
            <w:vAlign w:val="center"/>
            <w:hideMark/>
          </w:tcPr>
          <w:p w14:paraId="3EB1A44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98643339</w:t>
            </w:r>
          </w:p>
        </w:tc>
        <w:tc>
          <w:tcPr>
            <w:tcW w:w="3360" w:type="pct"/>
            <w:tcBorders>
              <w:top w:val="nil"/>
              <w:left w:val="nil"/>
              <w:bottom w:val="single" w:sz="4" w:space="0" w:color="auto"/>
              <w:right w:val="single" w:sz="4" w:space="0" w:color="auto"/>
            </w:tcBorders>
            <w:shd w:val="clear" w:color="auto" w:fill="auto"/>
            <w:vAlign w:val="center"/>
            <w:hideMark/>
          </w:tcPr>
          <w:p w14:paraId="3FF8ED1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UNIVERZA V LJUBLJANI, FAKULTETA ZA GRADBENIŠTVO IN GEODEZIJO</w:t>
            </w:r>
          </w:p>
        </w:tc>
      </w:tr>
      <w:tr w:rsidR="00E3750C" w:rsidRPr="00415AB3" w14:paraId="72F4E578"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A1E88D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1870</w:t>
            </w:r>
          </w:p>
        </w:tc>
        <w:tc>
          <w:tcPr>
            <w:tcW w:w="705" w:type="pct"/>
            <w:tcBorders>
              <w:top w:val="nil"/>
              <w:left w:val="nil"/>
              <w:bottom w:val="single" w:sz="4" w:space="0" w:color="auto"/>
              <w:right w:val="single" w:sz="4" w:space="0" w:color="auto"/>
            </w:tcBorders>
            <w:shd w:val="clear" w:color="auto" w:fill="auto"/>
            <w:noWrap/>
            <w:vAlign w:val="center"/>
            <w:hideMark/>
          </w:tcPr>
          <w:p w14:paraId="4073C5A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1626990000</w:t>
            </w:r>
          </w:p>
        </w:tc>
        <w:tc>
          <w:tcPr>
            <w:tcW w:w="547" w:type="pct"/>
            <w:tcBorders>
              <w:top w:val="nil"/>
              <w:left w:val="nil"/>
              <w:bottom w:val="single" w:sz="4" w:space="0" w:color="auto"/>
              <w:right w:val="single" w:sz="4" w:space="0" w:color="auto"/>
            </w:tcBorders>
            <w:shd w:val="clear" w:color="auto" w:fill="auto"/>
            <w:noWrap/>
            <w:vAlign w:val="center"/>
            <w:hideMark/>
          </w:tcPr>
          <w:p w14:paraId="347301B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65565754</w:t>
            </w:r>
          </w:p>
        </w:tc>
        <w:tc>
          <w:tcPr>
            <w:tcW w:w="3360" w:type="pct"/>
            <w:tcBorders>
              <w:top w:val="nil"/>
              <w:left w:val="nil"/>
              <w:bottom w:val="single" w:sz="4" w:space="0" w:color="auto"/>
              <w:right w:val="single" w:sz="4" w:space="0" w:color="auto"/>
            </w:tcBorders>
            <w:shd w:val="clear" w:color="auto" w:fill="auto"/>
            <w:vAlign w:val="center"/>
            <w:hideMark/>
          </w:tcPr>
          <w:p w14:paraId="3B16C0F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UNIVERZA V LJUBLJANI, FAKULTETA ZA KEMIJO IN KEMIJSKO TEHNOLOGIJO</w:t>
            </w:r>
          </w:p>
        </w:tc>
      </w:tr>
      <w:tr w:rsidR="00E3750C" w:rsidRPr="00415AB3" w14:paraId="7B86383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814197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1871</w:t>
            </w:r>
          </w:p>
        </w:tc>
        <w:tc>
          <w:tcPr>
            <w:tcW w:w="705" w:type="pct"/>
            <w:tcBorders>
              <w:top w:val="nil"/>
              <w:left w:val="nil"/>
              <w:bottom w:val="single" w:sz="4" w:space="0" w:color="auto"/>
              <w:right w:val="single" w:sz="4" w:space="0" w:color="auto"/>
            </w:tcBorders>
            <w:shd w:val="clear" w:color="auto" w:fill="auto"/>
            <w:noWrap/>
            <w:vAlign w:val="center"/>
            <w:hideMark/>
          </w:tcPr>
          <w:p w14:paraId="7621C13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1627007000</w:t>
            </w:r>
          </w:p>
        </w:tc>
        <w:tc>
          <w:tcPr>
            <w:tcW w:w="547" w:type="pct"/>
            <w:tcBorders>
              <w:top w:val="nil"/>
              <w:left w:val="nil"/>
              <w:bottom w:val="single" w:sz="4" w:space="0" w:color="auto"/>
              <w:right w:val="single" w:sz="4" w:space="0" w:color="auto"/>
            </w:tcBorders>
            <w:shd w:val="clear" w:color="auto" w:fill="auto"/>
            <w:noWrap/>
            <w:vAlign w:val="center"/>
            <w:hideMark/>
          </w:tcPr>
          <w:p w14:paraId="07FE7D2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55332862</w:t>
            </w:r>
          </w:p>
        </w:tc>
        <w:tc>
          <w:tcPr>
            <w:tcW w:w="3360" w:type="pct"/>
            <w:tcBorders>
              <w:top w:val="nil"/>
              <w:left w:val="nil"/>
              <w:bottom w:val="single" w:sz="4" w:space="0" w:color="auto"/>
              <w:right w:val="single" w:sz="4" w:space="0" w:color="auto"/>
            </w:tcBorders>
            <w:shd w:val="clear" w:color="auto" w:fill="auto"/>
            <w:vAlign w:val="center"/>
            <w:hideMark/>
          </w:tcPr>
          <w:p w14:paraId="4913112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UNIVERZA V LJUBLJANI, FAKULTETA ZA MATEMATIKO IN FIZIKO</w:t>
            </w:r>
          </w:p>
        </w:tc>
      </w:tr>
      <w:tr w:rsidR="00E3750C" w:rsidRPr="00415AB3" w14:paraId="747A77A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728A75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1872</w:t>
            </w:r>
          </w:p>
        </w:tc>
        <w:tc>
          <w:tcPr>
            <w:tcW w:w="705" w:type="pct"/>
            <w:tcBorders>
              <w:top w:val="nil"/>
              <w:left w:val="nil"/>
              <w:bottom w:val="single" w:sz="4" w:space="0" w:color="auto"/>
              <w:right w:val="single" w:sz="4" w:space="0" w:color="auto"/>
            </w:tcBorders>
            <w:shd w:val="clear" w:color="auto" w:fill="auto"/>
            <w:noWrap/>
            <w:vAlign w:val="center"/>
            <w:hideMark/>
          </w:tcPr>
          <w:p w14:paraId="1DA9C34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1627015000</w:t>
            </w:r>
          </w:p>
        </w:tc>
        <w:tc>
          <w:tcPr>
            <w:tcW w:w="547" w:type="pct"/>
            <w:tcBorders>
              <w:top w:val="nil"/>
              <w:left w:val="nil"/>
              <w:bottom w:val="single" w:sz="4" w:space="0" w:color="auto"/>
              <w:right w:val="single" w:sz="4" w:space="0" w:color="auto"/>
            </w:tcBorders>
            <w:shd w:val="clear" w:color="auto" w:fill="auto"/>
            <w:noWrap/>
            <w:vAlign w:val="center"/>
            <w:hideMark/>
          </w:tcPr>
          <w:p w14:paraId="14B6280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99219778</w:t>
            </w:r>
          </w:p>
        </w:tc>
        <w:tc>
          <w:tcPr>
            <w:tcW w:w="3360" w:type="pct"/>
            <w:tcBorders>
              <w:top w:val="nil"/>
              <w:left w:val="nil"/>
              <w:bottom w:val="single" w:sz="4" w:space="0" w:color="auto"/>
              <w:right w:val="single" w:sz="4" w:space="0" w:color="auto"/>
            </w:tcBorders>
            <w:shd w:val="clear" w:color="auto" w:fill="auto"/>
            <w:vAlign w:val="center"/>
            <w:hideMark/>
          </w:tcPr>
          <w:p w14:paraId="2B298FB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UNIVERZA V LJUBLJANI, FAKULTETA ZA POMORSTVO IN PROMET</w:t>
            </w:r>
          </w:p>
        </w:tc>
      </w:tr>
      <w:tr w:rsidR="00E3750C" w:rsidRPr="00415AB3" w14:paraId="6BF6F4F8"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94C3EC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1873</w:t>
            </w:r>
          </w:p>
        </w:tc>
        <w:tc>
          <w:tcPr>
            <w:tcW w:w="705" w:type="pct"/>
            <w:tcBorders>
              <w:top w:val="nil"/>
              <w:left w:val="nil"/>
              <w:bottom w:val="single" w:sz="4" w:space="0" w:color="auto"/>
              <w:right w:val="single" w:sz="4" w:space="0" w:color="auto"/>
            </w:tcBorders>
            <w:shd w:val="clear" w:color="auto" w:fill="auto"/>
            <w:noWrap/>
            <w:vAlign w:val="center"/>
            <w:hideMark/>
          </w:tcPr>
          <w:p w14:paraId="1D10D8F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1627023000</w:t>
            </w:r>
          </w:p>
        </w:tc>
        <w:tc>
          <w:tcPr>
            <w:tcW w:w="547" w:type="pct"/>
            <w:tcBorders>
              <w:top w:val="nil"/>
              <w:left w:val="nil"/>
              <w:bottom w:val="single" w:sz="4" w:space="0" w:color="auto"/>
              <w:right w:val="single" w:sz="4" w:space="0" w:color="auto"/>
            </w:tcBorders>
            <w:shd w:val="clear" w:color="auto" w:fill="auto"/>
            <w:noWrap/>
            <w:vAlign w:val="center"/>
            <w:hideMark/>
          </w:tcPr>
          <w:p w14:paraId="2A606DE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67909027</w:t>
            </w:r>
          </w:p>
        </w:tc>
        <w:tc>
          <w:tcPr>
            <w:tcW w:w="3360" w:type="pct"/>
            <w:tcBorders>
              <w:top w:val="nil"/>
              <w:left w:val="nil"/>
              <w:bottom w:val="single" w:sz="4" w:space="0" w:color="auto"/>
              <w:right w:val="single" w:sz="4" w:space="0" w:color="auto"/>
            </w:tcBorders>
            <w:shd w:val="clear" w:color="auto" w:fill="auto"/>
            <w:vAlign w:val="center"/>
            <w:hideMark/>
          </w:tcPr>
          <w:p w14:paraId="5065C9A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UNIVERZA V LJUBLJANI, FAKULTETA ZA RAČUNALNIŠTVO IN INFORMATIKO</w:t>
            </w:r>
          </w:p>
        </w:tc>
      </w:tr>
      <w:tr w:rsidR="00E3750C" w:rsidRPr="00415AB3" w14:paraId="75B8827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C20C95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1874</w:t>
            </w:r>
          </w:p>
        </w:tc>
        <w:tc>
          <w:tcPr>
            <w:tcW w:w="705" w:type="pct"/>
            <w:tcBorders>
              <w:top w:val="nil"/>
              <w:left w:val="nil"/>
              <w:bottom w:val="single" w:sz="4" w:space="0" w:color="auto"/>
              <w:right w:val="single" w:sz="4" w:space="0" w:color="auto"/>
            </w:tcBorders>
            <w:shd w:val="clear" w:color="auto" w:fill="auto"/>
            <w:noWrap/>
            <w:vAlign w:val="center"/>
            <w:hideMark/>
          </w:tcPr>
          <w:p w14:paraId="10D953E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1627147000</w:t>
            </w:r>
          </w:p>
        </w:tc>
        <w:tc>
          <w:tcPr>
            <w:tcW w:w="547" w:type="pct"/>
            <w:tcBorders>
              <w:top w:val="nil"/>
              <w:left w:val="nil"/>
              <w:bottom w:val="single" w:sz="4" w:space="0" w:color="auto"/>
              <w:right w:val="single" w:sz="4" w:space="0" w:color="auto"/>
            </w:tcBorders>
            <w:shd w:val="clear" w:color="auto" w:fill="auto"/>
            <w:noWrap/>
            <w:vAlign w:val="center"/>
            <w:hideMark/>
          </w:tcPr>
          <w:p w14:paraId="7C7435B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80139574</w:t>
            </w:r>
          </w:p>
        </w:tc>
        <w:tc>
          <w:tcPr>
            <w:tcW w:w="3360" w:type="pct"/>
            <w:tcBorders>
              <w:top w:val="nil"/>
              <w:left w:val="nil"/>
              <w:bottom w:val="single" w:sz="4" w:space="0" w:color="auto"/>
              <w:right w:val="single" w:sz="4" w:space="0" w:color="auto"/>
            </w:tcBorders>
            <w:shd w:val="clear" w:color="auto" w:fill="auto"/>
            <w:vAlign w:val="center"/>
            <w:hideMark/>
          </w:tcPr>
          <w:p w14:paraId="113D3F7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UNIVERZA V LJUBLJANI, FAKULTETA ZA SOCIALNO DELO</w:t>
            </w:r>
          </w:p>
        </w:tc>
      </w:tr>
      <w:tr w:rsidR="00E3750C" w:rsidRPr="00415AB3" w14:paraId="723EAB8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272A91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1875</w:t>
            </w:r>
          </w:p>
        </w:tc>
        <w:tc>
          <w:tcPr>
            <w:tcW w:w="705" w:type="pct"/>
            <w:tcBorders>
              <w:top w:val="nil"/>
              <w:left w:val="nil"/>
              <w:bottom w:val="single" w:sz="4" w:space="0" w:color="auto"/>
              <w:right w:val="single" w:sz="4" w:space="0" w:color="auto"/>
            </w:tcBorders>
            <w:shd w:val="clear" w:color="auto" w:fill="auto"/>
            <w:noWrap/>
            <w:vAlign w:val="center"/>
            <w:hideMark/>
          </w:tcPr>
          <w:p w14:paraId="43CE7DE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1627031000</w:t>
            </w:r>
          </w:p>
        </w:tc>
        <w:tc>
          <w:tcPr>
            <w:tcW w:w="547" w:type="pct"/>
            <w:tcBorders>
              <w:top w:val="nil"/>
              <w:left w:val="nil"/>
              <w:bottom w:val="single" w:sz="4" w:space="0" w:color="auto"/>
              <w:right w:val="single" w:sz="4" w:space="0" w:color="auto"/>
            </w:tcBorders>
            <w:shd w:val="clear" w:color="auto" w:fill="auto"/>
            <w:noWrap/>
            <w:vAlign w:val="center"/>
            <w:hideMark/>
          </w:tcPr>
          <w:p w14:paraId="63C0BB8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28118081</w:t>
            </w:r>
          </w:p>
        </w:tc>
        <w:tc>
          <w:tcPr>
            <w:tcW w:w="3360" w:type="pct"/>
            <w:tcBorders>
              <w:top w:val="nil"/>
              <w:left w:val="nil"/>
              <w:bottom w:val="single" w:sz="4" w:space="0" w:color="auto"/>
              <w:right w:val="single" w:sz="4" w:space="0" w:color="auto"/>
            </w:tcBorders>
            <w:shd w:val="clear" w:color="auto" w:fill="auto"/>
            <w:vAlign w:val="center"/>
            <w:hideMark/>
          </w:tcPr>
          <w:p w14:paraId="73E6A46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UNIVERZA V LJUBLJANI, FAKULTETA ZA STROJNIŠTVO</w:t>
            </w:r>
          </w:p>
        </w:tc>
      </w:tr>
      <w:tr w:rsidR="00E3750C" w:rsidRPr="00415AB3" w14:paraId="4B01D47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9477A9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1876</w:t>
            </w:r>
          </w:p>
        </w:tc>
        <w:tc>
          <w:tcPr>
            <w:tcW w:w="705" w:type="pct"/>
            <w:tcBorders>
              <w:top w:val="nil"/>
              <w:left w:val="nil"/>
              <w:bottom w:val="single" w:sz="4" w:space="0" w:color="auto"/>
              <w:right w:val="single" w:sz="4" w:space="0" w:color="auto"/>
            </w:tcBorders>
            <w:shd w:val="clear" w:color="auto" w:fill="auto"/>
            <w:noWrap/>
            <w:vAlign w:val="center"/>
            <w:hideMark/>
          </w:tcPr>
          <w:p w14:paraId="7637BCC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1627040000</w:t>
            </w:r>
          </w:p>
        </w:tc>
        <w:tc>
          <w:tcPr>
            <w:tcW w:w="547" w:type="pct"/>
            <w:tcBorders>
              <w:top w:val="nil"/>
              <w:left w:val="nil"/>
              <w:bottom w:val="single" w:sz="4" w:space="0" w:color="auto"/>
              <w:right w:val="single" w:sz="4" w:space="0" w:color="auto"/>
            </w:tcBorders>
            <w:shd w:val="clear" w:color="auto" w:fill="auto"/>
            <w:noWrap/>
            <w:vAlign w:val="center"/>
            <w:hideMark/>
          </w:tcPr>
          <w:p w14:paraId="53517BF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96040289</w:t>
            </w:r>
          </w:p>
        </w:tc>
        <w:tc>
          <w:tcPr>
            <w:tcW w:w="3360" w:type="pct"/>
            <w:tcBorders>
              <w:top w:val="nil"/>
              <w:left w:val="nil"/>
              <w:bottom w:val="single" w:sz="4" w:space="0" w:color="auto"/>
              <w:right w:val="single" w:sz="4" w:space="0" w:color="auto"/>
            </w:tcBorders>
            <w:shd w:val="clear" w:color="auto" w:fill="auto"/>
            <w:vAlign w:val="center"/>
            <w:hideMark/>
          </w:tcPr>
          <w:p w14:paraId="780DF87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UNIVERZA V LJUBLJANI, FAKULTETA ZA ŠPORT</w:t>
            </w:r>
          </w:p>
        </w:tc>
      </w:tr>
      <w:tr w:rsidR="00E3750C" w:rsidRPr="00415AB3" w14:paraId="2930EFA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041583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1877</w:t>
            </w:r>
          </w:p>
        </w:tc>
        <w:tc>
          <w:tcPr>
            <w:tcW w:w="705" w:type="pct"/>
            <w:tcBorders>
              <w:top w:val="nil"/>
              <w:left w:val="nil"/>
              <w:bottom w:val="single" w:sz="4" w:space="0" w:color="auto"/>
              <w:right w:val="single" w:sz="4" w:space="0" w:color="auto"/>
            </w:tcBorders>
            <w:shd w:val="clear" w:color="auto" w:fill="auto"/>
            <w:noWrap/>
            <w:vAlign w:val="center"/>
            <w:hideMark/>
          </w:tcPr>
          <w:p w14:paraId="05E1EE2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1627163000</w:t>
            </w:r>
          </w:p>
        </w:tc>
        <w:tc>
          <w:tcPr>
            <w:tcW w:w="547" w:type="pct"/>
            <w:tcBorders>
              <w:top w:val="nil"/>
              <w:left w:val="nil"/>
              <w:bottom w:val="single" w:sz="4" w:space="0" w:color="auto"/>
              <w:right w:val="single" w:sz="4" w:space="0" w:color="auto"/>
            </w:tcBorders>
            <w:shd w:val="clear" w:color="auto" w:fill="auto"/>
            <w:noWrap/>
            <w:vAlign w:val="center"/>
            <w:hideMark/>
          </w:tcPr>
          <w:p w14:paraId="477B170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14629763</w:t>
            </w:r>
          </w:p>
        </w:tc>
        <w:tc>
          <w:tcPr>
            <w:tcW w:w="3360" w:type="pct"/>
            <w:tcBorders>
              <w:top w:val="nil"/>
              <w:left w:val="nil"/>
              <w:bottom w:val="single" w:sz="4" w:space="0" w:color="auto"/>
              <w:right w:val="single" w:sz="4" w:space="0" w:color="auto"/>
            </w:tcBorders>
            <w:shd w:val="clear" w:color="auto" w:fill="auto"/>
            <w:vAlign w:val="center"/>
            <w:hideMark/>
          </w:tcPr>
          <w:p w14:paraId="582F49D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UNIVERZA V LJUBLJANI, FAKULTETA ZA UPRAVO</w:t>
            </w:r>
          </w:p>
        </w:tc>
      </w:tr>
      <w:tr w:rsidR="00E3750C" w:rsidRPr="00415AB3" w14:paraId="11A2DC4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566FA7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1878</w:t>
            </w:r>
          </w:p>
        </w:tc>
        <w:tc>
          <w:tcPr>
            <w:tcW w:w="705" w:type="pct"/>
            <w:tcBorders>
              <w:top w:val="nil"/>
              <w:left w:val="nil"/>
              <w:bottom w:val="single" w:sz="4" w:space="0" w:color="auto"/>
              <w:right w:val="single" w:sz="4" w:space="0" w:color="auto"/>
            </w:tcBorders>
            <w:shd w:val="clear" w:color="auto" w:fill="auto"/>
            <w:noWrap/>
            <w:vAlign w:val="center"/>
            <w:hideMark/>
          </w:tcPr>
          <w:p w14:paraId="6AA3796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1627058000</w:t>
            </w:r>
          </w:p>
        </w:tc>
        <w:tc>
          <w:tcPr>
            <w:tcW w:w="547" w:type="pct"/>
            <w:tcBorders>
              <w:top w:val="nil"/>
              <w:left w:val="nil"/>
              <w:bottom w:val="single" w:sz="4" w:space="0" w:color="auto"/>
              <w:right w:val="single" w:sz="4" w:space="0" w:color="auto"/>
            </w:tcBorders>
            <w:shd w:val="clear" w:color="auto" w:fill="auto"/>
            <w:noWrap/>
            <w:vAlign w:val="center"/>
            <w:hideMark/>
          </w:tcPr>
          <w:p w14:paraId="1C762E6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55382657</w:t>
            </w:r>
          </w:p>
        </w:tc>
        <w:tc>
          <w:tcPr>
            <w:tcW w:w="3360" w:type="pct"/>
            <w:tcBorders>
              <w:top w:val="nil"/>
              <w:left w:val="nil"/>
              <w:bottom w:val="single" w:sz="4" w:space="0" w:color="auto"/>
              <w:right w:val="single" w:sz="4" w:space="0" w:color="auto"/>
            </w:tcBorders>
            <w:shd w:val="clear" w:color="auto" w:fill="auto"/>
            <w:vAlign w:val="center"/>
            <w:hideMark/>
          </w:tcPr>
          <w:p w14:paraId="7CDEFD2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UNIVERZA V LJUBLJANI, FILOZOFSKA FAKULTETA</w:t>
            </w:r>
          </w:p>
        </w:tc>
      </w:tr>
      <w:tr w:rsidR="00E3750C" w:rsidRPr="00415AB3" w14:paraId="5946401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FE91CE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1879</w:t>
            </w:r>
          </w:p>
        </w:tc>
        <w:tc>
          <w:tcPr>
            <w:tcW w:w="705" w:type="pct"/>
            <w:tcBorders>
              <w:top w:val="nil"/>
              <w:left w:val="nil"/>
              <w:bottom w:val="single" w:sz="4" w:space="0" w:color="auto"/>
              <w:right w:val="single" w:sz="4" w:space="0" w:color="auto"/>
            </w:tcBorders>
            <w:shd w:val="clear" w:color="auto" w:fill="auto"/>
            <w:noWrap/>
            <w:vAlign w:val="center"/>
            <w:hideMark/>
          </w:tcPr>
          <w:p w14:paraId="1D06C1F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1627066000</w:t>
            </w:r>
          </w:p>
        </w:tc>
        <w:tc>
          <w:tcPr>
            <w:tcW w:w="547" w:type="pct"/>
            <w:tcBorders>
              <w:top w:val="nil"/>
              <w:left w:val="nil"/>
              <w:bottom w:val="single" w:sz="4" w:space="0" w:color="auto"/>
              <w:right w:val="single" w:sz="4" w:space="0" w:color="auto"/>
            </w:tcBorders>
            <w:shd w:val="clear" w:color="auto" w:fill="auto"/>
            <w:noWrap/>
            <w:vAlign w:val="center"/>
            <w:hideMark/>
          </w:tcPr>
          <w:p w14:paraId="274B870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44752385</w:t>
            </w:r>
          </w:p>
        </w:tc>
        <w:tc>
          <w:tcPr>
            <w:tcW w:w="3360" w:type="pct"/>
            <w:tcBorders>
              <w:top w:val="nil"/>
              <w:left w:val="nil"/>
              <w:bottom w:val="single" w:sz="4" w:space="0" w:color="auto"/>
              <w:right w:val="single" w:sz="4" w:space="0" w:color="auto"/>
            </w:tcBorders>
            <w:shd w:val="clear" w:color="auto" w:fill="auto"/>
            <w:vAlign w:val="center"/>
            <w:hideMark/>
          </w:tcPr>
          <w:p w14:paraId="17880C2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UNIVERZA V LJUBLJANI, MEDICINSKA FAKULTETA</w:t>
            </w:r>
          </w:p>
        </w:tc>
      </w:tr>
      <w:tr w:rsidR="00E3750C" w:rsidRPr="00415AB3" w14:paraId="7E599BD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71617C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1880</w:t>
            </w:r>
          </w:p>
        </w:tc>
        <w:tc>
          <w:tcPr>
            <w:tcW w:w="705" w:type="pct"/>
            <w:tcBorders>
              <w:top w:val="nil"/>
              <w:left w:val="nil"/>
              <w:bottom w:val="single" w:sz="4" w:space="0" w:color="auto"/>
              <w:right w:val="single" w:sz="4" w:space="0" w:color="auto"/>
            </w:tcBorders>
            <w:shd w:val="clear" w:color="auto" w:fill="auto"/>
            <w:noWrap/>
            <w:vAlign w:val="center"/>
            <w:hideMark/>
          </w:tcPr>
          <w:p w14:paraId="259B5AE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1627074000</w:t>
            </w:r>
          </w:p>
        </w:tc>
        <w:tc>
          <w:tcPr>
            <w:tcW w:w="547" w:type="pct"/>
            <w:tcBorders>
              <w:top w:val="nil"/>
              <w:left w:val="nil"/>
              <w:bottom w:val="single" w:sz="4" w:space="0" w:color="auto"/>
              <w:right w:val="single" w:sz="4" w:space="0" w:color="auto"/>
            </w:tcBorders>
            <w:shd w:val="clear" w:color="auto" w:fill="auto"/>
            <w:noWrap/>
            <w:vAlign w:val="center"/>
            <w:hideMark/>
          </w:tcPr>
          <w:p w14:paraId="53FB248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24405388</w:t>
            </w:r>
          </w:p>
        </w:tc>
        <w:tc>
          <w:tcPr>
            <w:tcW w:w="3360" w:type="pct"/>
            <w:tcBorders>
              <w:top w:val="nil"/>
              <w:left w:val="nil"/>
              <w:bottom w:val="single" w:sz="4" w:space="0" w:color="auto"/>
              <w:right w:val="single" w:sz="4" w:space="0" w:color="auto"/>
            </w:tcBorders>
            <w:shd w:val="clear" w:color="auto" w:fill="auto"/>
            <w:vAlign w:val="center"/>
            <w:hideMark/>
          </w:tcPr>
          <w:p w14:paraId="64B4923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UNIVERZA V LJUBLJANI, NARAVOSLOVNOTEHNIŠKA FAKULTETA</w:t>
            </w:r>
          </w:p>
        </w:tc>
      </w:tr>
      <w:tr w:rsidR="00E3750C" w:rsidRPr="00415AB3" w14:paraId="32BCD01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EBCAE3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1881</w:t>
            </w:r>
          </w:p>
        </w:tc>
        <w:tc>
          <w:tcPr>
            <w:tcW w:w="705" w:type="pct"/>
            <w:tcBorders>
              <w:top w:val="nil"/>
              <w:left w:val="nil"/>
              <w:bottom w:val="single" w:sz="4" w:space="0" w:color="auto"/>
              <w:right w:val="single" w:sz="4" w:space="0" w:color="auto"/>
            </w:tcBorders>
            <w:shd w:val="clear" w:color="auto" w:fill="auto"/>
            <w:noWrap/>
            <w:vAlign w:val="center"/>
            <w:hideMark/>
          </w:tcPr>
          <w:p w14:paraId="3773906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1627082000</w:t>
            </w:r>
          </w:p>
        </w:tc>
        <w:tc>
          <w:tcPr>
            <w:tcW w:w="547" w:type="pct"/>
            <w:tcBorders>
              <w:top w:val="nil"/>
              <w:left w:val="nil"/>
              <w:bottom w:val="single" w:sz="4" w:space="0" w:color="auto"/>
              <w:right w:val="single" w:sz="4" w:space="0" w:color="auto"/>
            </w:tcBorders>
            <w:shd w:val="clear" w:color="auto" w:fill="auto"/>
            <w:noWrap/>
            <w:vAlign w:val="center"/>
            <w:hideMark/>
          </w:tcPr>
          <w:p w14:paraId="677789E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61412198</w:t>
            </w:r>
          </w:p>
        </w:tc>
        <w:tc>
          <w:tcPr>
            <w:tcW w:w="3360" w:type="pct"/>
            <w:tcBorders>
              <w:top w:val="nil"/>
              <w:left w:val="nil"/>
              <w:bottom w:val="single" w:sz="4" w:space="0" w:color="auto"/>
              <w:right w:val="single" w:sz="4" w:space="0" w:color="auto"/>
            </w:tcBorders>
            <w:shd w:val="clear" w:color="auto" w:fill="auto"/>
            <w:vAlign w:val="center"/>
            <w:hideMark/>
          </w:tcPr>
          <w:p w14:paraId="6FF2052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UNIVERZA V LJUBLJANI, PEDAGOŠKA FAKULTETA</w:t>
            </w:r>
          </w:p>
        </w:tc>
      </w:tr>
      <w:tr w:rsidR="00E3750C" w:rsidRPr="00415AB3" w14:paraId="567DA49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088905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1882</w:t>
            </w:r>
          </w:p>
        </w:tc>
        <w:tc>
          <w:tcPr>
            <w:tcW w:w="705" w:type="pct"/>
            <w:tcBorders>
              <w:top w:val="nil"/>
              <w:left w:val="nil"/>
              <w:bottom w:val="single" w:sz="4" w:space="0" w:color="auto"/>
              <w:right w:val="single" w:sz="4" w:space="0" w:color="auto"/>
            </w:tcBorders>
            <w:shd w:val="clear" w:color="auto" w:fill="auto"/>
            <w:noWrap/>
            <w:vAlign w:val="center"/>
            <w:hideMark/>
          </w:tcPr>
          <w:p w14:paraId="621584E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1627104000</w:t>
            </w:r>
          </w:p>
        </w:tc>
        <w:tc>
          <w:tcPr>
            <w:tcW w:w="547" w:type="pct"/>
            <w:tcBorders>
              <w:top w:val="nil"/>
              <w:left w:val="nil"/>
              <w:bottom w:val="single" w:sz="4" w:space="0" w:color="auto"/>
              <w:right w:val="single" w:sz="4" w:space="0" w:color="auto"/>
            </w:tcBorders>
            <w:shd w:val="clear" w:color="auto" w:fill="auto"/>
            <w:noWrap/>
            <w:vAlign w:val="center"/>
            <w:hideMark/>
          </w:tcPr>
          <w:p w14:paraId="6E99BB4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13125427</w:t>
            </w:r>
          </w:p>
        </w:tc>
        <w:tc>
          <w:tcPr>
            <w:tcW w:w="3360" w:type="pct"/>
            <w:tcBorders>
              <w:top w:val="nil"/>
              <w:left w:val="nil"/>
              <w:bottom w:val="single" w:sz="4" w:space="0" w:color="auto"/>
              <w:right w:val="single" w:sz="4" w:space="0" w:color="auto"/>
            </w:tcBorders>
            <w:shd w:val="clear" w:color="auto" w:fill="auto"/>
            <w:vAlign w:val="center"/>
            <w:hideMark/>
          </w:tcPr>
          <w:p w14:paraId="1AB2C00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UNIVERZA V LJUBLJANI, PRAVNA FAKULTETA</w:t>
            </w:r>
          </w:p>
        </w:tc>
      </w:tr>
      <w:tr w:rsidR="00E3750C" w:rsidRPr="00415AB3" w14:paraId="64E4AFF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D1FD26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1883</w:t>
            </w:r>
          </w:p>
        </w:tc>
        <w:tc>
          <w:tcPr>
            <w:tcW w:w="705" w:type="pct"/>
            <w:tcBorders>
              <w:top w:val="nil"/>
              <w:left w:val="nil"/>
              <w:bottom w:val="single" w:sz="4" w:space="0" w:color="auto"/>
              <w:right w:val="single" w:sz="4" w:space="0" w:color="auto"/>
            </w:tcBorders>
            <w:shd w:val="clear" w:color="auto" w:fill="auto"/>
            <w:noWrap/>
            <w:vAlign w:val="center"/>
            <w:hideMark/>
          </w:tcPr>
          <w:p w14:paraId="38D69C7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1627112000</w:t>
            </w:r>
          </w:p>
        </w:tc>
        <w:tc>
          <w:tcPr>
            <w:tcW w:w="547" w:type="pct"/>
            <w:tcBorders>
              <w:top w:val="nil"/>
              <w:left w:val="nil"/>
              <w:bottom w:val="single" w:sz="4" w:space="0" w:color="auto"/>
              <w:right w:val="single" w:sz="4" w:space="0" w:color="auto"/>
            </w:tcBorders>
            <w:shd w:val="clear" w:color="auto" w:fill="auto"/>
            <w:noWrap/>
            <w:vAlign w:val="center"/>
            <w:hideMark/>
          </w:tcPr>
          <w:p w14:paraId="1C3C86A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36640514</w:t>
            </w:r>
          </w:p>
        </w:tc>
        <w:tc>
          <w:tcPr>
            <w:tcW w:w="3360" w:type="pct"/>
            <w:tcBorders>
              <w:top w:val="nil"/>
              <w:left w:val="nil"/>
              <w:bottom w:val="single" w:sz="4" w:space="0" w:color="auto"/>
              <w:right w:val="single" w:sz="4" w:space="0" w:color="auto"/>
            </w:tcBorders>
            <w:shd w:val="clear" w:color="auto" w:fill="auto"/>
            <w:vAlign w:val="center"/>
            <w:hideMark/>
          </w:tcPr>
          <w:p w14:paraId="590661D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UNIVERZA V LJUBLJANI, TEOLOŠKA FAKULTETA</w:t>
            </w:r>
          </w:p>
        </w:tc>
      </w:tr>
      <w:tr w:rsidR="00E3750C" w:rsidRPr="00415AB3" w14:paraId="467B36E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43FE41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1884</w:t>
            </w:r>
          </w:p>
        </w:tc>
        <w:tc>
          <w:tcPr>
            <w:tcW w:w="705" w:type="pct"/>
            <w:tcBorders>
              <w:top w:val="nil"/>
              <w:left w:val="nil"/>
              <w:bottom w:val="single" w:sz="4" w:space="0" w:color="auto"/>
              <w:right w:val="single" w:sz="4" w:space="0" w:color="auto"/>
            </w:tcBorders>
            <w:shd w:val="clear" w:color="auto" w:fill="auto"/>
            <w:noWrap/>
            <w:vAlign w:val="center"/>
            <w:hideMark/>
          </w:tcPr>
          <w:p w14:paraId="121EDB4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1627139000</w:t>
            </w:r>
          </w:p>
        </w:tc>
        <w:tc>
          <w:tcPr>
            <w:tcW w:w="547" w:type="pct"/>
            <w:tcBorders>
              <w:top w:val="nil"/>
              <w:left w:val="nil"/>
              <w:bottom w:val="single" w:sz="4" w:space="0" w:color="auto"/>
              <w:right w:val="single" w:sz="4" w:space="0" w:color="auto"/>
            </w:tcBorders>
            <w:shd w:val="clear" w:color="auto" w:fill="auto"/>
            <w:noWrap/>
            <w:vAlign w:val="center"/>
            <w:hideMark/>
          </w:tcPr>
          <w:p w14:paraId="44CF8CE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59676418</w:t>
            </w:r>
          </w:p>
        </w:tc>
        <w:tc>
          <w:tcPr>
            <w:tcW w:w="3360" w:type="pct"/>
            <w:tcBorders>
              <w:top w:val="nil"/>
              <w:left w:val="nil"/>
              <w:bottom w:val="single" w:sz="4" w:space="0" w:color="auto"/>
              <w:right w:val="single" w:sz="4" w:space="0" w:color="auto"/>
            </w:tcBorders>
            <w:shd w:val="clear" w:color="auto" w:fill="auto"/>
            <w:vAlign w:val="center"/>
            <w:hideMark/>
          </w:tcPr>
          <w:p w14:paraId="695D971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UNIVERZA V LJUBLJANI, VETERINARSKA FAKULTETA</w:t>
            </w:r>
          </w:p>
        </w:tc>
      </w:tr>
      <w:tr w:rsidR="00E3750C" w:rsidRPr="00415AB3" w14:paraId="0DED0AF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FF565E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1885</w:t>
            </w:r>
          </w:p>
        </w:tc>
        <w:tc>
          <w:tcPr>
            <w:tcW w:w="705" w:type="pct"/>
            <w:tcBorders>
              <w:top w:val="nil"/>
              <w:left w:val="nil"/>
              <w:bottom w:val="single" w:sz="4" w:space="0" w:color="auto"/>
              <w:right w:val="single" w:sz="4" w:space="0" w:color="auto"/>
            </w:tcBorders>
            <w:shd w:val="clear" w:color="auto" w:fill="auto"/>
            <w:noWrap/>
            <w:vAlign w:val="center"/>
            <w:hideMark/>
          </w:tcPr>
          <w:p w14:paraId="045314A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1627155000</w:t>
            </w:r>
          </w:p>
        </w:tc>
        <w:tc>
          <w:tcPr>
            <w:tcW w:w="547" w:type="pct"/>
            <w:tcBorders>
              <w:top w:val="nil"/>
              <w:left w:val="nil"/>
              <w:bottom w:val="single" w:sz="4" w:space="0" w:color="auto"/>
              <w:right w:val="single" w:sz="4" w:space="0" w:color="auto"/>
            </w:tcBorders>
            <w:shd w:val="clear" w:color="auto" w:fill="auto"/>
            <w:noWrap/>
            <w:vAlign w:val="center"/>
            <w:hideMark/>
          </w:tcPr>
          <w:p w14:paraId="024D0EE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23997788</w:t>
            </w:r>
          </w:p>
        </w:tc>
        <w:tc>
          <w:tcPr>
            <w:tcW w:w="3360" w:type="pct"/>
            <w:tcBorders>
              <w:top w:val="nil"/>
              <w:left w:val="nil"/>
              <w:bottom w:val="single" w:sz="4" w:space="0" w:color="auto"/>
              <w:right w:val="single" w:sz="4" w:space="0" w:color="auto"/>
            </w:tcBorders>
            <w:shd w:val="clear" w:color="auto" w:fill="auto"/>
            <w:vAlign w:val="center"/>
            <w:hideMark/>
          </w:tcPr>
          <w:p w14:paraId="6140CC5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UNIVERZA V LJUBLJANI, ZDRAVSTVENA FAKULTETA</w:t>
            </w:r>
          </w:p>
        </w:tc>
      </w:tr>
      <w:tr w:rsidR="00E3750C" w:rsidRPr="00415AB3" w14:paraId="36DE77D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9C9936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1886</w:t>
            </w:r>
          </w:p>
        </w:tc>
        <w:tc>
          <w:tcPr>
            <w:tcW w:w="705" w:type="pct"/>
            <w:tcBorders>
              <w:top w:val="nil"/>
              <w:left w:val="nil"/>
              <w:bottom w:val="single" w:sz="4" w:space="0" w:color="auto"/>
              <w:right w:val="single" w:sz="4" w:space="0" w:color="auto"/>
            </w:tcBorders>
            <w:shd w:val="clear" w:color="auto" w:fill="auto"/>
            <w:noWrap/>
            <w:vAlign w:val="center"/>
            <w:hideMark/>
          </w:tcPr>
          <w:p w14:paraId="25286D5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5089638000</w:t>
            </w:r>
          </w:p>
        </w:tc>
        <w:tc>
          <w:tcPr>
            <w:tcW w:w="547" w:type="pct"/>
            <w:tcBorders>
              <w:top w:val="nil"/>
              <w:left w:val="nil"/>
              <w:bottom w:val="single" w:sz="4" w:space="0" w:color="auto"/>
              <w:right w:val="single" w:sz="4" w:space="0" w:color="auto"/>
            </w:tcBorders>
            <w:shd w:val="clear" w:color="auto" w:fill="auto"/>
            <w:noWrap/>
            <w:vAlign w:val="center"/>
            <w:hideMark/>
          </w:tcPr>
          <w:p w14:paraId="1AF7B92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71674705</w:t>
            </w:r>
          </w:p>
        </w:tc>
        <w:tc>
          <w:tcPr>
            <w:tcW w:w="3360" w:type="pct"/>
            <w:tcBorders>
              <w:top w:val="nil"/>
              <w:left w:val="nil"/>
              <w:bottom w:val="single" w:sz="4" w:space="0" w:color="auto"/>
              <w:right w:val="single" w:sz="4" w:space="0" w:color="auto"/>
            </w:tcBorders>
            <w:shd w:val="clear" w:color="auto" w:fill="auto"/>
            <w:vAlign w:val="center"/>
            <w:hideMark/>
          </w:tcPr>
          <w:p w14:paraId="2C864A5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UNIVERZA V MARIBORU</w:t>
            </w:r>
          </w:p>
        </w:tc>
      </w:tr>
      <w:tr w:rsidR="00E3750C" w:rsidRPr="00415AB3" w14:paraId="6A3DB47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FA77E1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1887</w:t>
            </w:r>
          </w:p>
        </w:tc>
        <w:tc>
          <w:tcPr>
            <w:tcW w:w="705" w:type="pct"/>
            <w:tcBorders>
              <w:top w:val="nil"/>
              <w:left w:val="nil"/>
              <w:bottom w:val="single" w:sz="4" w:space="0" w:color="auto"/>
              <w:right w:val="single" w:sz="4" w:space="0" w:color="auto"/>
            </w:tcBorders>
            <w:shd w:val="clear" w:color="auto" w:fill="auto"/>
            <w:noWrap/>
            <w:vAlign w:val="center"/>
            <w:hideMark/>
          </w:tcPr>
          <w:p w14:paraId="279C36A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5089638001</w:t>
            </w:r>
          </w:p>
        </w:tc>
        <w:tc>
          <w:tcPr>
            <w:tcW w:w="547" w:type="pct"/>
            <w:tcBorders>
              <w:top w:val="nil"/>
              <w:left w:val="nil"/>
              <w:bottom w:val="single" w:sz="4" w:space="0" w:color="auto"/>
              <w:right w:val="single" w:sz="4" w:space="0" w:color="auto"/>
            </w:tcBorders>
            <w:shd w:val="clear" w:color="auto" w:fill="auto"/>
            <w:noWrap/>
            <w:vAlign w:val="center"/>
            <w:hideMark/>
          </w:tcPr>
          <w:p w14:paraId="2EE994C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71674705</w:t>
            </w:r>
          </w:p>
        </w:tc>
        <w:tc>
          <w:tcPr>
            <w:tcW w:w="3360" w:type="pct"/>
            <w:tcBorders>
              <w:top w:val="nil"/>
              <w:left w:val="nil"/>
              <w:bottom w:val="single" w:sz="4" w:space="0" w:color="auto"/>
              <w:right w:val="single" w:sz="4" w:space="0" w:color="auto"/>
            </w:tcBorders>
            <w:shd w:val="clear" w:color="auto" w:fill="auto"/>
            <w:vAlign w:val="center"/>
            <w:hideMark/>
          </w:tcPr>
          <w:p w14:paraId="51FCCC7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UNIVERZA V MARIBORU EKONOMSKO-POSLOVNA FAKULTETA</w:t>
            </w:r>
          </w:p>
        </w:tc>
      </w:tr>
      <w:tr w:rsidR="00E3750C" w:rsidRPr="00415AB3" w14:paraId="69514A3B"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C41505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1888</w:t>
            </w:r>
          </w:p>
        </w:tc>
        <w:tc>
          <w:tcPr>
            <w:tcW w:w="705" w:type="pct"/>
            <w:tcBorders>
              <w:top w:val="nil"/>
              <w:left w:val="nil"/>
              <w:bottom w:val="single" w:sz="4" w:space="0" w:color="auto"/>
              <w:right w:val="single" w:sz="4" w:space="0" w:color="auto"/>
            </w:tcBorders>
            <w:shd w:val="clear" w:color="auto" w:fill="auto"/>
            <w:noWrap/>
            <w:vAlign w:val="center"/>
            <w:hideMark/>
          </w:tcPr>
          <w:p w14:paraId="50B4C16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5089638003</w:t>
            </w:r>
          </w:p>
        </w:tc>
        <w:tc>
          <w:tcPr>
            <w:tcW w:w="547" w:type="pct"/>
            <w:tcBorders>
              <w:top w:val="nil"/>
              <w:left w:val="nil"/>
              <w:bottom w:val="single" w:sz="4" w:space="0" w:color="auto"/>
              <w:right w:val="single" w:sz="4" w:space="0" w:color="auto"/>
            </w:tcBorders>
            <w:shd w:val="clear" w:color="auto" w:fill="auto"/>
            <w:noWrap/>
            <w:vAlign w:val="center"/>
            <w:hideMark/>
          </w:tcPr>
          <w:p w14:paraId="416D2A9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71674705</w:t>
            </w:r>
          </w:p>
        </w:tc>
        <w:tc>
          <w:tcPr>
            <w:tcW w:w="3360" w:type="pct"/>
            <w:tcBorders>
              <w:top w:val="nil"/>
              <w:left w:val="nil"/>
              <w:bottom w:val="single" w:sz="4" w:space="0" w:color="auto"/>
              <w:right w:val="single" w:sz="4" w:space="0" w:color="auto"/>
            </w:tcBorders>
            <w:shd w:val="clear" w:color="auto" w:fill="auto"/>
            <w:vAlign w:val="center"/>
            <w:hideMark/>
          </w:tcPr>
          <w:p w14:paraId="1406F0D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UNIVERZA V MARIBORU FAKULTETA ZA ELEKTROTEHNIKO, RAČUNALNIŠTVO IN INFORMATIKO</w:t>
            </w:r>
          </w:p>
        </w:tc>
      </w:tr>
      <w:tr w:rsidR="00E3750C" w:rsidRPr="00415AB3" w14:paraId="01171B3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E999E2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1889</w:t>
            </w:r>
          </w:p>
        </w:tc>
        <w:tc>
          <w:tcPr>
            <w:tcW w:w="705" w:type="pct"/>
            <w:tcBorders>
              <w:top w:val="nil"/>
              <w:left w:val="nil"/>
              <w:bottom w:val="single" w:sz="4" w:space="0" w:color="auto"/>
              <w:right w:val="single" w:sz="4" w:space="0" w:color="auto"/>
            </w:tcBorders>
            <w:shd w:val="clear" w:color="auto" w:fill="auto"/>
            <w:noWrap/>
            <w:vAlign w:val="center"/>
            <w:hideMark/>
          </w:tcPr>
          <w:p w14:paraId="1654835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5089638052</w:t>
            </w:r>
          </w:p>
        </w:tc>
        <w:tc>
          <w:tcPr>
            <w:tcW w:w="547" w:type="pct"/>
            <w:tcBorders>
              <w:top w:val="nil"/>
              <w:left w:val="nil"/>
              <w:bottom w:val="single" w:sz="4" w:space="0" w:color="auto"/>
              <w:right w:val="single" w:sz="4" w:space="0" w:color="auto"/>
            </w:tcBorders>
            <w:shd w:val="clear" w:color="auto" w:fill="auto"/>
            <w:noWrap/>
            <w:vAlign w:val="center"/>
            <w:hideMark/>
          </w:tcPr>
          <w:p w14:paraId="433FD70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71674705</w:t>
            </w:r>
          </w:p>
        </w:tc>
        <w:tc>
          <w:tcPr>
            <w:tcW w:w="3360" w:type="pct"/>
            <w:tcBorders>
              <w:top w:val="nil"/>
              <w:left w:val="nil"/>
              <w:bottom w:val="single" w:sz="4" w:space="0" w:color="auto"/>
              <w:right w:val="single" w:sz="4" w:space="0" w:color="auto"/>
            </w:tcBorders>
            <w:shd w:val="clear" w:color="auto" w:fill="auto"/>
            <w:vAlign w:val="center"/>
            <w:hideMark/>
          </w:tcPr>
          <w:p w14:paraId="032A193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UNIVERZA V MARIBORU FAKULTETA ZA ENERGETIKO</w:t>
            </w:r>
          </w:p>
        </w:tc>
      </w:tr>
      <w:tr w:rsidR="00E3750C" w:rsidRPr="00415AB3" w14:paraId="5570A1DD"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E7CEA7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1890</w:t>
            </w:r>
          </w:p>
        </w:tc>
        <w:tc>
          <w:tcPr>
            <w:tcW w:w="705" w:type="pct"/>
            <w:tcBorders>
              <w:top w:val="nil"/>
              <w:left w:val="nil"/>
              <w:bottom w:val="single" w:sz="4" w:space="0" w:color="auto"/>
              <w:right w:val="single" w:sz="4" w:space="0" w:color="auto"/>
            </w:tcBorders>
            <w:shd w:val="clear" w:color="auto" w:fill="auto"/>
            <w:noWrap/>
            <w:vAlign w:val="center"/>
            <w:hideMark/>
          </w:tcPr>
          <w:p w14:paraId="493B0ED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5089638011</w:t>
            </w:r>
          </w:p>
        </w:tc>
        <w:tc>
          <w:tcPr>
            <w:tcW w:w="547" w:type="pct"/>
            <w:tcBorders>
              <w:top w:val="nil"/>
              <w:left w:val="nil"/>
              <w:bottom w:val="single" w:sz="4" w:space="0" w:color="auto"/>
              <w:right w:val="single" w:sz="4" w:space="0" w:color="auto"/>
            </w:tcBorders>
            <w:shd w:val="clear" w:color="auto" w:fill="auto"/>
            <w:noWrap/>
            <w:vAlign w:val="center"/>
            <w:hideMark/>
          </w:tcPr>
          <w:p w14:paraId="79B54FC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71674705</w:t>
            </w:r>
          </w:p>
        </w:tc>
        <w:tc>
          <w:tcPr>
            <w:tcW w:w="3360" w:type="pct"/>
            <w:tcBorders>
              <w:top w:val="nil"/>
              <w:left w:val="nil"/>
              <w:bottom w:val="single" w:sz="4" w:space="0" w:color="auto"/>
              <w:right w:val="single" w:sz="4" w:space="0" w:color="auto"/>
            </w:tcBorders>
            <w:shd w:val="clear" w:color="auto" w:fill="auto"/>
            <w:vAlign w:val="center"/>
            <w:hideMark/>
          </w:tcPr>
          <w:p w14:paraId="3BC37BC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UNIVERZA V MARIBORU FAKULTETA ZA GRADBENIŠTVO, PROMETNO INŽENIRSTVO IN ARHITEKTURO</w:t>
            </w:r>
          </w:p>
        </w:tc>
      </w:tr>
      <w:tr w:rsidR="00E3750C" w:rsidRPr="00415AB3" w14:paraId="0580032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CFE7EF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1891</w:t>
            </w:r>
          </w:p>
        </w:tc>
        <w:tc>
          <w:tcPr>
            <w:tcW w:w="705" w:type="pct"/>
            <w:tcBorders>
              <w:top w:val="nil"/>
              <w:left w:val="nil"/>
              <w:bottom w:val="single" w:sz="4" w:space="0" w:color="auto"/>
              <w:right w:val="single" w:sz="4" w:space="0" w:color="auto"/>
            </w:tcBorders>
            <w:shd w:val="clear" w:color="auto" w:fill="auto"/>
            <w:noWrap/>
            <w:vAlign w:val="center"/>
            <w:hideMark/>
          </w:tcPr>
          <w:p w14:paraId="2A58AD5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5089638012</w:t>
            </w:r>
          </w:p>
        </w:tc>
        <w:tc>
          <w:tcPr>
            <w:tcW w:w="547" w:type="pct"/>
            <w:tcBorders>
              <w:top w:val="nil"/>
              <w:left w:val="nil"/>
              <w:bottom w:val="single" w:sz="4" w:space="0" w:color="auto"/>
              <w:right w:val="single" w:sz="4" w:space="0" w:color="auto"/>
            </w:tcBorders>
            <w:shd w:val="clear" w:color="auto" w:fill="auto"/>
            <w:noWrap/>
            <w:vAlign w:val="center"/>
            <w:hideMark/>
          </w:tcPr>
          <w:p w14:paraId="26FF52A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71674705</w:t>
            </w:r>
          </w:p>
        </w:tc>
        <w:tc>
          <w:tcPr>
            <w:tcW w:w="3360" w:type="pct"/>
            <w:tcBorders>
              <w:top w:val="nil"/>
              <w:left w:val="nil"/>
              <w:bottom w:val="single" w:sz="4" w:space="0" w:color="auto"/>
              <w:right w:val="single" w:sz="4" w:space="0" w:color="auto"/>
            </w:tcBorders>
            <w:shd w:val="clear" w:color="auto" w:fill="auto"/>
            <w:vAlign w:val="center"/>
            <w:hideMark/>
          </w:tcPr>
          <w:p w14:paraId="2C138FC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UNIVERZA V MARIBORU FAKULTETA ZA KEMIJO IN KEMIJSKO TEHNOLOGIJO</w:t>
            </w:r>
          </w:p>
        </w:tc>
      </w:tr>
      <w:tr w:rsidR="00E3750C" w:rsidRPr="00415AB3" w14:paraId="05C2279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B06206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1892</w:t>
            </w:r>
          </w:p>
        </w:tc>
        <w:tc>
          <w:tcPr>
            <w:tcW w:w="705" w:type="pct"/>
            <w:tcBorders>
              <w:top w:val="nil"/>
              <w:left w:val="nil"/>
              <w:bottom w:val="single" w:sz="4" w:space="0" w:color="auto"/>
              <w:right w:val="single" w:sz="4" w:space="0" w:color="auto"/>
            </w:tcBorders>
            <w:shd w:val="clear" w:color="auto" w:fill="auto"/>
            <w:noWrap/>
            <w:vAlign w:val="center"/>
            <w:hideMark/>
          </w:tcPr>
          <w:p w14:paraId="5514CC9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5089638049</w:t>
            </w:r>
          </w:p>
        </w:tc>
        <w:tc>
          <w:tcPr>
            <w:tcW w:w="547" w:type="pct"/>
            <w:tcBorders>
              <w:top w:val="nil"/>
              <w:left w:val="nil"/>
              <w:bottom w:val="single" w:sz="4" w:space="0" w:color="auto"/>
              <w:right w:val="single" w:sz="4" w:space="0" w:color="auto"/>
            </w:tcBorders>
            <w:shd w:val="clear" w:color="auto" w:fill="auto"/>
            <w:noWrap/>
            <w:vAlign w:val="center"/>
            <w:hideMark/>
          </w:tcPr>
          <w:p w14:paraId="19FA25F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71674705</w:t>
            </w:r>
          </w:p>
        </w:tc>
        <w:tc>
          <w:tcPr>
            <w:tcW w:w="3360" w:type="pct"/>
            <w:tcBorders>
              <w:top w:val="nil"/>
              <w:left w:val="nil"/>
              <w:bottom w:val="single" w:sz="4" w:space="0" w:color="auto"/>
              <w:right w:val="single" w:sz="4" w:space="0" w:color="auto"/>
            </w:tcBorders>
            <w:shd w:val="clear" w:color="auto" w:fill="auto"/>
            <w:vAlign w:val="center"/>
            <w:hideMark/>
          </w:tcPr>
          <w:p w14:paraId="2C8F051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UNIVERZA V MARIBORU FAKULTETA ZA LOGISTIKO</w:t>
            </w:r>
          </w:p>
        </w:tc>
      </w:tr>
      <w:tr w:rsidR="00E3750C" w:rsidRPr="00415AB3" w14:paraId="78FDFCF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47540C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1893</w:t>
            </w:r>
          </w:p>
        </w:tc>
        <w:tc>
          <w:tcPr>
            <w:tcW w:w="705" w:type="pct"/>
            <w:tcBorders>
              <w:top w:val="nil"/>
              <w:left w:val="nil"/>
              <w:bottom w:val="single" w:sz="4" w:space="0" w:color="auto"/>
              <w:right w:val="single" w:sz="4" w:space="0" w:color="auto"/>
            </w:tcBorders>
            <w:shd w:val="clear" w:color="auto" w:fill="auto"/>
            <w:noWrap/>
            <w:vAlign w:val="center"/>
            <w:hideMark/>
          </w:tcPr>
          <w:p w14:paraId="21427D8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5089638051</w:t>
            </w:r>
          </w:p>
        </w:tc>
        <w:tc>
          <w:tcPr>
            <w:tcW w:w="547" w:type="pct"/>
            <w:tcBorders>
              <w:top w:val="nil"/>
              <w:left w:val="nil"/>
              <w:bottom w:val="single" w:sz="4" w:space="0" w:color="auto"/>
              <w:right w:val="single" w:sz="4" w:space="0" w:color="auto"/>
            </w:tcBorders>
            <w:shd w:val="clear" w:color="auto" w:fill="auto"/>
            <w:noWrap/>
            <w:vAlign w:val="center"/>
            <w:hideMark/>
          </w:tcPr>
          <w:p w14:paraId="0ED6E4E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71674705</w:t>
            </w:r>
          </w:p>
        </w:tc>
        <w:tc>
          <w:tcPr>
            <w:tcW w:w="3360" w:type="pct"/>
            <w:tcBorders>
              <w:top w:val="nil"/>
              <w:left w:val="nil"/>
              <w:bottom w:val="single" w:sz="4" w:space="0" w:color="auto"/>
              <w:right w:val="single" w:sz="4" w:space="0" w:color="auto"/>
            </w:tcBorders>
            <w:shd w:val="clear" w:color="auto" w:fill="auto"/>
            <w:vAlign w:val="center"/>
            <w:hideMark/>
          </w:tcPr>
          <w:p w14:paraId="651886F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UNIVERZA V MARIBORU FAKULTETA ZA NARAVOSLOVJE IN MATEMATIKO</w:t>
            </w:r>
          </w:p>
        </w:tc>
      </w:tr>
      <w:tr w:rsidR="00E3750C" w:rsidRPr="00415AB3" w14:paraId="11DF640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2DF07D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1894</w:t>
            </w:r>
          </w:p>
        </w:tc>
        <w:tc>
          <w:tcPr>
            <w:tcW w:w="705" w:type="pct"/>
            <w:tcBorders>
              <w:top w:val="nil"/>
              <w:left w:val="nil"/>
              <w:bottom w:val="single" w:sz="4" w:space="0" w:color="auto"/>
              <w:right w:val="single" w:sz="4" w:space="0" w:color="auto"/>
            </w:tcBorders>
            <w:shd w:val="clear" w:color="auto" w:fill="auto"/>
            <w:noWrap/>
            <w:vAlign w:val="center"/>
            <w:hideMark/>
          </w:tcPr>
          <w:p w14:paraId="013BC6A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5089638018</w:t>
            </w:r>
          </w:p>
        </w:tc>
        <w:tc>
          <w:tcPr>
            <w:tcW w:w="547" w:type="pct"/>
            <w:tcBorders>
              <w:top w:val="nil"/>
              <w:left w:val="nil"/>
              <w:bottom w:val="single" w:sz="4" w:space="0" w:color="auto"/>
              <w:right w:val="single" w:sz="4" w:space="0" w:color="auto"/>
            </w:tcBorders>
            <w:shd w:val="clear" w:color="auto" w:fill="auto"/>
            <w:noWrap/>
            <w:vAlign w:val="center"/>
            <w:hideMark/>
          </w:tcPr>
          <w:p w14:paraId="6D40B37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71674705</w:t>
            </w:r>
          </w:p>
        </w:tc>
        <w:tc>
          <w:tcPr>
            <w:tcW w:w="3360" w:type="pct"/>
            <w:tcBorders>
              <w:top w:val="nil"/>
              <w:left w:val="nil"/>
              <w:bottom w:val="single" w:sz="4" w:space="0" w:color="auto"/>
              <w:right w:val="single" w:sz="4" w:space="0" w:color="auto"/>
            </w:tcBorders>
            <w:shd w:val="clear" w:color="auto" w:fill="auto"/>
            <w:vAlign w:val="center"/>
            <w:hideMark/>
          </w:tcPr>
          <w:p w14:paraId="6631719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UNIVERZA V MARIBORU FAKULTETA ZA ORGANIZACIJSKE VEDE</w:t>
            </w:r>
          </w:p>
        </w:tc>
      </w:tr>
      <w:tr w:rsidR="00E3750C" w:rsidRPr="00415AB3" w14:paraId="5FCAE55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20D46E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1895</w:t>
            </w:r>
          </w:p>
        </w:tc>
        <w:tc>
          <w:tcPr>
            <w:tcW w:w="705" w:type="pct"/>
            <w:tcBorders>
              <w:top w:val="nil"/>
              <w:left w:val="nil"/>
              <w:bottom w:val="single" w:sz="4" w:space="0" w:color="auto"/>
              <w:right w:val="single" w:sz="4" w:space="0" w:color="auto"/>
            </w:tcBorders>
            <w:shd w:val="clear" w:color="auto" w:fill="auto"/>
            <w:noWrap/>
            <w:vAlign w:val="center"/>
            <w:hideMark/>
          </w:tcPr>
          <w:p w14:paraId="12659DA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5089638010</w:t>
            </w:r>
          </w:p>
        </w:tc>
        <w:tc>
          <w:tcPr>
            <w:tcW w:w="547" w:type="pct"/>
            <w:tcBorders>
              <w:top w:val="nil"/>
              <w:left w:val="nil"/>
              <w:bottom w:val="single" w:sz="4" w:space="0" w:color="auto"/>
              <w:right w:val="single" w:sz="4" w:space="0" w:color="auto"/>
            </w:tcBorders>
            <w:shd w:val="clear" w:color="auto" w:fill="auto"/>
            <w:noWrap/>
            <w:vAlign w:val="center"/>
            <w:hideMark/>
          </w:tcPr>
          <w:p w14:paraId="5F5ED18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71674705</w:t>
            </w:r>
          </w:p>
        </w:tc>
        <w:tc>
          <w:tcPr>
            <w:tcW w:w="3360" w:type="pct"/>
            <w:tcBorders>
              <w:top w:val="nil"/>
              <w:left w:val="nil"/>
              <w:bottom w:val="single" w:sz="4" w:space="0" w:color="auto"/>
              <w:right w:val="single" w:sz="4" w:space="0" w:color="auto"/>
            </w:tcBorders>
            <w:shd w:val="clear" w:color="auto" w:fill="auto"/>
            <w:vAlign w:val="center"/>
            <w:hideMark/>
          </w:tcPr>
          <w:p w14:paraId="539A416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UNIVERZA V MARIBORU FAKULTETA ZA STROJNIŠTVO</w:t>
            </w:r>
          </w:p>
        </w:tc>
      </w:tr>
      <w:tr w:rsidR="00E3750C" w:rsidRPr="00415AB3" w14:paraId="4B5669E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5CC9F1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1896</w:t>
            </w:r>
          </w:p>
        </w:tc>
        <w:tc>
          <w:tcPr>
            <w:tcW w:w="705" w:type="pct"/>
            <w:tcBorders>
              <w:top w:val="nil"/>
              <w:left w:val="nil"/>
              <w:bottom w:val="single" w:sz="4" w:space="0" w:color="auto"/>
              <w:right w:val="single" w:sz="4" w:space="0" w:color="auto"/>
            </w:tcBorders>
            <w:shd w:val="clear" w:color="auto" w:fill="auto"/>
            <w:noWrap/>
            <w:vAlign w:val="center"/>
            <w:hideMark/>
          </w:tcPr>
          <w:p w14:paraId="1600B59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5089638050</w:t>
            </w:r>
          </w:p>
        </w:tc>
        <w:tc>
          <w:tcPr>
            <w:tcW w:w="547" w:type="pct"/>
            <w:tcBorders>
              <w:top w:val="nil"/>
              <w:left w:val="nil"/>
              <w:bottom w:val="single" w:sz="4" w:space="0" w:color="auto"/>
              <w:right w:val="single" w:sz="4" w:space="0" w:color="auto"/>
            </w:tcBorders>
            <w:shd w:val="clear" w:color="auto" w:fill="auto"/>
            <w:noWrap/>
            <w:vAlign w:val="center"/>
            <w:hideMark/>
          </w:tcPr>
          <w:p w14:paraId="3444039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71674705</w:t>
            </w:r>
          </w:p>
        </w:tc>
        <w:tc>
          <w:tcPr>
            <w:tcW w:w="3360" w:type="pct"/>
            <w:tcBorders>
              <w:top w:val="nil"/>
              <w:left w:val="nil"/>
              <w:bottom w:val="single" w:sz="4" w:space="0" w:color="auto"/>
              <w:right w:val="single" w:sz="4" w:space="0" w:color="auto"/>
            </w:tcBorders>
            <w:shd w:val="clear" w:color="auto" w:fill="auto"/>
            <w:vAlign w:val="center"/>
            <w:hideMark/>
          </w:tcPr>
          <w:p w14:paraId="304B144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UNIVERZA V MARIBORU FILOZOFSKA FAKULTETA</w:t>
            </w:r>
          </w:p>
        </w:tc>
      </w:tr>
      <w:tr w:rsidR="00E3750C" w:rsidRPr="00415AB3" w14:paraId="0543EFA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D2A530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1897</w:t>
            </w:r>
          </w:p>
        </w:tc>
        <w:tc>
          <w:tcPr>
            <w:tcW w:w="705" w:type="pct"/>
            <w:tcBorders>
              <w:top w:val="nil"/>
              <w:left w:val="nil"/>
              <w:bottom w:val="single" w:sz="4" w:space="0" w:color="auto"/>
              <w:right w:val="single" w:sz="4" w:space="0" w:color="auto"/>
            </w:tcBorders>
            <w:shd w:val="clear" w:color="auto" w:fill="auto"/>
            <w:noWrap/>
            <w:vAlign w:val="center"/>
            <w:hideMark/>
          </w:tcPr>
          <w:p w14:paraId="6BC1357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5089638013</w:t>
            </w:r>
          </w:p>
        </w:tc>
        <w:tc>
          <w:tcPr>
            <w:tcW w:w="547" w:type="pct"/>
            <w:tcBorders>
              <w:top w:val="nil"/>
              <w:left w:val="nil"/>
              <w:bottom w:val="single" w:sz="4" w:space="0" w:color="auto"/>
              <w:right w:val="single" w:sz="4" w:space="0" w:color="auto"/>
            </w:tcBorders>
            <w:shd w:val="clear" w:color="auto" w:fill="auto"/>
            <w:noWrap/>
            <w:vAlign w:val="center"/>
            <w:hideMark/>
          </w:tcPr>
          <w:p w14:paraId="6E2E3B2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71674705</w:t>
            </w:r>
          </w:p>
        </w:tc>
        <w:tc>
          <w:tcPr>
            <w:tcW w:w="3360" w:type="pct"/>
            <w:tcBorders>
              <w:top w:val="nil"/>
              <w:left w:val="nil"/>
              <w:bottom w:val="single" w:sz="4" w:space="0" w:color="auto"/>
              <w:right w:val="single" w:sz="4" w:space="0" w:color="auto"/>
            </w:tcBorders>
            <w:shd w:val="clear" w:color="auto" w:fill="auto"/>
            <w:vAlign w:val="center"/>
            <w:hideMark/>
          </w:tcPr>
          <w:p w14:paraId="7EA118D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UNIVERZA V MARIBORU PEDAGOŠKA FAKULTETA</w:t>
            </w:r>
          </w:p>
        </w:tc>
      </w:tr>
      <w:tr w:rsidR="00E3750C" w:rsidRPr="00415AB3" w14:paraId="217BFAA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A4E1FB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1898</w:t>
            </w:r>
          </w:p>
        </w:tc>
        <w:tc>
          <w:tcPr>
            <w:tcW w:w="705" w:type="pct"/>
            <w:tcBorders>
              <w:top w:val="nil"/>
              <w:left w:val="nil"/>
              <w:bottom w:val="single" w:sz="4" w:space="0" w:color="auto"/>
              <w:right w:val="single" w:sz="4" w:space="0" w:color="auto"/>
            </w:tcBorders>
            <w:shd w:val="clear" w:color="auto" w:fill="auto"/>
            <w:noWrap/>
            <w:vAlign w:val="center"/>
            <w:hideMark/>
          </w:tcPr>
          <w:p w14:paraId="4223192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5089638015</w:t>
            </w:r>
          </w:p>
        </w:tc>
        <w:tc>
          <w:tcPr>
            <w:tcW w:w="547" w:type="pct"/>
            <w:tcBorders>
              <w:top w:val="nil"/>
              <w:left w:val="nil"/>
              <w:bottom w:val="single" w:sz="4" w:space="0" w:color="auto"/>
              <w:right w:val="single" w:sz="4" w:space="0" w:color="auto"/>
            </w:tcBorders>
            <w:shd w:val="clear" w:color="auto" w:fill="auto"/>
            <w:noWrap/>
            <w:vAlign w:val="center"/>
            <w:hideMark/>
          </w:tcPr>
          <w:p w14:paraId="5788C21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71674705</w:t>
            </w:r>
          </w:p>
        </w:tc>
        <w:tc>
          <w:tcPr>
            <w:tcW w:w="3360" w:type="pct"/>
            <w:tcBorders>
              <w:top w:val="nil"/>
              <w:left w:val="nil"/>
              <w:bottom w:val="single" w:sz="4" w:space="0" w:color="auto"/>
              <w:right w:val="single" w:sz="4" w:space="0" w:color="auto"/>
            </w:tcBorders>
            <w:shd w:val="clear" w:color="auto" w:fill="auto"/>
            <w:vAlign w:val="center"/>
            <w:hideMark/>
          </w:tcPr>
          <w:p w14:paraId="3489B1E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UNIVERZA V MARIBORU PRAVNA FAKULTETA</w:t>
            </w:r>
          </w:p>
        </w:tc>
      </w:tr>
      <w:tr w:rsidR="00E3750C" w:rsidRPr="00415AB3" w14:paraId="368789B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C4C014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1899</w:t>
            </w:r>
          </w:p>
        </w:tc>
        <w:tc>
          <w:tcPr>
            <w:tcW w:w="705" w:type="pct"/>
            <w:tcBorders>
              <w:top w:val="nil"/>
              <w:left w:val="nil"/>
              <w:bottom w:val="single" w:sz="4" w:space="0" w:color="auto"/>
              <w:right w:val="single" w:sz="4" w:space="0" w:color="auto"/>
            </w:tcBorders>
            <w:shd w:val="clear" w:color="auto" w:fill="auto"/>
            <w:noWrap/>
            <w:vAlign w:val="center"/>
            <w:hideMark/>
          </w:tcPr>
          <w:p w14:paraId="7AD90EF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5050332000</w:t>
            </w:r>
          </w:p>
        </w:tc>
        <w:tc>
          <w:tcPr>
            <w:tcW w:w="547" w:type="pct"/>
            <w:tcBorders>
              <w:top w:val="nil"/>
              <w:left w:val="nil"/>
              <w:bottom w:val="single" w:sz="4" w:space="0" w:color="auto"/>
              <w:right w:val="single" w:sz="4" w:space="0" w:color="auto"/>
            </w:tcBorders>
            <w:shd w:val="clear" w:color="auto" w:fill="auto"/>
            <w:noWrap/>
            <w:vAlign w:val="center"/>
            <w:hideMark/>
          </w:tcPr>
          <w:p w14:paraId="74206A0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50213091</w:t>
            </w:r>
          </w:p>
        </w:tc>
        <w:tc>
          <w:tcPr>
            <w:tcW w:w="3360" w:type="pct"/>
            <w:tcBorders>
              <w:top w:val="nil"/>
              <w:left w:val="nil"/>
              <w:bottom w:val="single" w:sz="4" w:space="0" w:color="auto"/>
              <w:right w:val="single" w:sz="4" w:space="0" w:color="auto"/>
            </w:tcBorders>
            <w:shd w:val="clear" w:color="auto" w:fill="auto"/>
            <w:vAlign w:val="center"/>
            <w:hideMark/>
          </w:tcPr>
          <w:p w14:paraId="1A908D4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UNIVERZA V MARIBORU ŠTUDENTSKI DOMOVI</w:t>
            </w:r>
          </w:p>
        </w:tc>
      </w:tr>
      <w:tr w:rsidR="00E3750C" w:rsidRPr="00415AB3" w14:paraId="3FEE68B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8BB3DE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1900</w:t>
            </w:r>
          </w:p>
        </w:tc>
        <w:tc>
          <w:tcPr>
            <w:tcW w:w="705" w:type="pct"/>
            <w:tcBorders>
              <w:top w:val="nil"/>
              <w:left w:val="nil"/>
              <w:bottom w:val="single" w:sz="4" w:space="0" w:color="auto"/>
              <w:right w:val="single" w:sz="4" w:space="0" w:color="auto"/>
            </w:tcBorders>
            <w:shd w:val="clear" w:color="auto" w:fill="auto"/>
            <w:noWrap/>
            <w:vAlign w:val="center"/>
            <w:hideMark/>
          </w:tcPr>
          <w:p w14:paraId="1242632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5052114000</w:t>
            </w:r>
          </w:p>
        </w:tc>
        <w:tc>
          <w:tcPr>
            <w:tcW w:w="547" w:type="pct"/>
            <w:tcBorders>
              <w:top w:val="nil"/>
              <w:left w:val="nil"/>
              <w:bottom w:val="single" w:sz="4" w:space="0" w:color="auto"/>
              <w:right w:val="single" w:sz="4" w:space="0" w:color="auto"/>
            </w:tcBorders>
            <w:shd w:val="clear" w:color="auto" w:fill="auto"/>
            <w:noWrap/>
            <w:vAlign w:val="center"/>
            <w:hideMark/>
          </w:tcPr>
          <w:p w14:paraId="17E32E7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11537213</w:t>
            </w:r>
          </w:p>
        </w:tc>
        <w:tc>
          <w:tcPr>
            <w:tcW w:w="3360" w:type="pct"/>
            <w:tcBorders>
              <w:top w:val="nil"/>
              <w:left w:val="nil"/>
              <w:bottom w:val="single" w:sz="4" w:space="0" w:color="auto"/>
              <w:right w:val="single" w:sz="4" w:space="0" w:color="auto"/>
            </w:tcBorders>
            <w:shd w:val="clear" w:color="auto" w:fill="auto"/>
            <w:vAlign w:val="center"/>
            <w:hideMark/>
          </w:tcPr>
          <w:p w14:paraId="0179FD1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UNIVERZA V MARIBORU UNIVERZITETNA KNJIŽNICA MARIBOR</w:t>
            </w:r>
          </w:p>
        </w:tc>
      </w:tr>
      <w:tr w:rsidR="00E3750C" w:rsidRPr="00415AB3" w14:paraId="41599FA4"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83411C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1901</w:t>
            </w:r>
          </w:p>
        </w:tc>
        <w:tc>
          <w:tcPr>
            <w:tcW w:w="705" w:type="pct"/>
            <w:tcBorders>
              <w:top w:val="nil"/>
              <w:left w:val="nil"/>
              <w:bottom w:val="single" w:sz="4" w:space="0" w:color="auto"/>
              <w:right w:val="single" w:sz="4" w:space="0" w:color="auto"/>
            </w:tcBorders>
            <w:shd w:val="clear" w:color="auto" w:fill="auto"/>
            <w:noWrap/>
            <w:vAlign w:val="center"/>
            <w:hideMark/>
          </w:tcPr>
          <w:p w14:paraId="409A76F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5089638004</w:t>
            </w:r>
          </w:p>
        </w:tc>
        <w:tc>
          <w:tcPr>
            <w:tcW w:w="547" w:type="pct"/>
            <w:tcBorders>
              <w:top w:val="nil"/>
              <w:left w:val="nil"/>
              <w:bottom w:val="single" w:sz="4" w:space="0" w:color="auto"/>
              <w:right w:val="single" w:sz="4" w:space="0" w:color="auto"/>
            </w:tcBorders>
            <w:shd w:val="clear" w:color="auto" w:fill="auto"/>
            <w:noWrap/>
            <w:vAlign w:val="center"/>
            <w:hideMark/>
          </w:tcPr>
          <w:p w14:paraId="00D3287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71674705</w:t>
            </w:r>
          </w:p>
        </w:tc>
        <w:tc>
          <w:tcPr>
            <w:tcW w:w="3360" w:type="pct"/>
            <w:tcBorders>
              <w:top w:val="nil"/>
              <w:left w:val="nil"/>
              <w:bottom w:val="single" w:sz="4" w:space="0" w:color="auto"/>
              <w:right w:val="single" w:sz="4" w:space="0" w:color="auto"/>
            </w:tcBorders>
            <w:shd w:val="clear" w:color="auto" w:fill="auto"/>
            <w:vAlign w:val="center"/>
            <w:hideMark/>
          </w:tcPr>
          <w:p w14:paraId="3FC345C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UNIVERZA V MARIBORU, FAKULTETA ZA KMETIJSTVO IN BIOSISTEMSKE VEDE</w:t>
            </w:r>
          </w:p>
        </w:tc>
      </w:tr>
      <w:tr w:rsidR="00E3750C" w:rsidRPr="00415AB3" w14:paraId="1C34CF1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64E378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1902</w:t>
            </w:r>
          </w:p>
        </w:tc>
        <w:tc>
          <w:tcPr>
            <w:tcW w:w="705" w:type="pct"/>
            <w:tcBorders>
              <w:top w:val="nil"/>
              <w:left w:val="nil"/>
              <w:bottom w:val="single" w:sz="4" w:space="0" w:color="auto"/>
              <w:right w:val="single" w:sz="4" w:space="0" w:color="auto"/>
            </w:tcBorders>
            <w:shd w:val="clear" w:color="auto" w:fill="auto"/>
            <w:noWrap/>
            <w:vAlign w:val="center"/>
            <w:hideMark/>
          </w:tcPr>
          <w:p w14:paraId="21B55E4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5089638054</w:t>
            </w:r>
          </w:p>
        </w:tc>
        <w:tc>
          <w:tcPr>
            <w:tcW w:w="547" w:type="pct"/>
            <w:tcBorders>
              <w:top w:val="nil"/>
              <w:left w:val="nil"/>
              <w:bottom w:val="single" w:sz="4" w:space="0" w:color="auto"/>
              <w:right w:val="single" w:sz="4" w:space="0" w:color="auto"/>
            </w:tcBorders>
            <w:shd w:val="clear" w:color="auto" w:fill="auto"/>
            <w:noWrap/>
            <w:vAlign w:val="center"/>
            <w:hideMark/>
          </w:tcPr>
          <w:p w14:paraId="45EDDB8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71674705</w:t>
            </w:r>
          </w:p>
        </w:tc>
        <w:tc>
          <w:tcPr>
            <w:tcW w:w="3360" w:type="pct"/>
            <w:tcBorders>
              <w:top w:val="nil"/>
              <w:left w:val="nil"/>
              <w:bottom w:val="single" w:sz="4" w:space="0" w:color="auto"/>
              <w:right w:val="single" w:sz="4" w:space="0" w:color="auto"/>
            </w:tcBorders>
            <w:shd w:val="clear" w:color="auto" w:fill="auto"/>
            <w:vAlign w:val="center"/>
            <w:hideMark/>
          </w:tcPr>
          <w:p w14:paraId="510A88F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UNIVERZA V MARIBORU, FAKULTETA ZA TURIZEM</w:t>
            </w:r>
          </w:p>
        </w:tc>
      </w:tr>
      <w:tr w:rsidR="00E3750C" w:rsidRPr="00415AB3" w14:paraId="5575621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0FA302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1903</w:t>
            </w:r>
          </w:p>
        </w:tc>
        <w:tc>
          <w:tcPr>
            <w:tcW w:w="705" w:type="pct"/>
            <w:tcBorders>
              <w:top w:val="nil"/>
              <w:left w:val="nil"/>
              <w:bottom w:val="single" w:sz="4" w:space="0" w:color="auto"/>
              <w:right w:val="single" w:sz="4" w:space="0" w:color="auto"/>
            </w:tcBorders>
            <w:shd w:val="clear" w:color="auto" w:fill="auto"/>
            <w:noWrap/>
            <w:vAlign w:val="center"/>
            <w:hideMark/>
          </w:tcPr>
          <w:p w14:paraId="0917015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5089638047</w:t>
            </w:r>
          </w:p>
        </w:tc>
        <w:tc>
          <w:tcPr>
            <w:tcW w:w="547" w:type="pct"/>
            <w:tcBorders>
              <w:top w:val="nil"/>
              <w:left w:val="nil"/>
              <w:bottom w:val="single" w:sz="4" w:space="0" w:color="auto"/>
              <w:right w:val="single" w:sz="4" w:space="0" w:color="auto"/>
            </w:tcBorders>
            <w:shd w:val="clear" w:color="auto" w:fill="auto"/>
            <w:noWrap/>
            <w:vAlign w:val="center"/>
            <w:hideMark/>
          </w:tcPr>
          <w:p w14:paraId="529C56E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71674705</w:t>
            </w:r>
          </w:p>
        </w:tc>
        <w:tc>
          <w:tcPr>
            <w:tcW w:w="3360" w:type="pct"/>
            <w:tcBorders>
              <w:top w:val="nil"/>
              <w:left w:val="nil"/>
              <w:bottom w:val="single" w:sz="4" w:space="0" w:color="auto"/>
              <w:right w:val="single" w:sz="4" w:space="0" w:color="auto"/>
            </w:tcBorders>
            <w:shd w:val="clear" w:color="auto" w:fill="auto"/>
            <w:vAlign w:val="center"/>
            <w:hideMark/>
          </w:tcPr>
          <w:p w14:paraId="52BDC68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UNIVERZA V MARIBORU, FAKULTETA ZA VARNOSTNE VEDE</w:t>
            </w:r>
          </w:p>
        </w:tc>
      </w:tr>
      <w:tr w:rsidR="00E3750C" w:rsidRPr="00415AB3" w14:paraId="1419BB0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340BF4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1904</w:t>
            </w:r>
          </w:p>
        </w:tc>
        <w:tc>
          <w:tcPr>
            <w:tcW w:w="705" w:type="pct"/>
            <w:tcBorders>
              <w:top w:val="nil"/>
              <w:left w:val="nil"/>
              <w:bottom w:val="single" w:sz="4" w:space="0" w:color="auto"/>
              <w:right w:val="single" w:sz="4" w:space="0" w:color="auto"/>
            </w:tcBorders>
            <w:shd w:val="clear" w:color="auto" w:fill="auto"/>
            <w:noWrap/>
            <w:vAlign w:val="center"/>
            <w:hideMark/>
          </w:tcPr>
          <w:p w14:paraId="35F800F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5089638016</w:t>
            </w:r>
          </w:p>
        </w:tc>
        <w:tc>
          <w:tcPr>
            <w:tcW w:w="547" w:type="pct"/>
            <w:tcBorders>
              <w:top w:val="nil"/>
              <w:left w:val="nil"/>
              <w:bottom w:val="single" w:sz="4" w:space="0" w:color="auto"/>
              <w:right w:val="single" w:sz="4" w:space="0" w:color="auto"/>
            </w:tcBorders>
            <w:shd w:val="clear" w:color="auto" w:fill="auto"/>
            <w:noWrap/>
            <w:vAlign w:val="center"/>
            <w:hideMark/>
          </w:tcPr>
          <w:p w14:paraId="064986E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71674705</w:t>
            </w:r>
          </w:p>
        </w:tc>
        <w:tc>
          <w:tcPr>
            <w:tcW w:w="3360" w:type="pct"/>
            <w:tcBorders>
              <w:top w:val="nil"/>
              <w:left w:val="nil"/>
              <w:bottom w:val="single" w:sz="4" w:space="0" w:color="auto"/>
              <w:right w:val="single" w:sz="4" w:space="0" w:color="auto"/>
            </w:tcBorders>
            <w:shd w:val="clear" w:color="auto" w:fill="auto"/>
            <w:vAlign w:val="center"/>
            <w:hideMark/>
          </w:tcPr>
          <w:p w14:paraId="4DC8315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UNIVERZA V MARIBORU, FAKULTETA ZA ZDRAVSTVENE VEDE</w:t>
            </w:r>
          </w:p>
        </w:tc>
      </w:tr>
      <w:tr w:rsidR="00E3750C" w:rsidRPr="00415AB3" w14:paraId="1686E05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A2824D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1905</w:t>
            </w:r>
          </w:p>
        </w:tc>
        <w:tc>
          <w:tcPr>
            <w:tcW w:w="705" w:type="pct"/>
            <w:tcBorders>
              <w:top w:val="nil"/>
              <w:left w:val="nil"/>
              <w:bottom w:val="single" w:sz="4" w:space="0" w:color="auto"/>
              <w:right w:val="single" w:sz="4" w:space="0" w:color="auto"/>
            </w:tcBorders>
            <w:shd w:val="clear" w:color="auto" w:fill="auto"/>
            <w:noWrap/>
            <w:vAlign w:val="center"/>
            <w:hideMark/>
          </w:tcPr>
          <w:p w14:paraId="311A92F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5089638048</w:t>
            </w:r>
          </w:p>
        </w:tc>
        <w:tc>
          <w:tcPr>
            <w:tcW w:w="547" w:type="pct"/>
            <w:tcBorders>
              <w:top w:val="nil"/>
              <w:left w:val="nil"/>
              <w:bottom w:val="single" w:sz="4" w:space="0" w:color="auto"/>
              <w:right w:val="single" w:sz="4" w:space="0" w:color="auto"/>
            </w:tcBorders>
            <w:shd w:val="clear" w:color="auto" w:fill="auto"/>
            <w:noWrap/>
            <w:vAlign w:val="center"/>
            <w:hideMark/>
          </w:tcPr>
          <w:p w14:paraId="6384EA6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71674705</w:t>
            </w:r>
          </w:p>
        </w:tc>
        <w:tc>
          <w:tcPr>
            <w:tcW w:w="3360" w:type="pct"/>
            <w:tcBorders>
              <w:top w:val="nil"/>
              <w:left w:val="nil"/>
              <w:bottom w:val="single" w:sz="4" w:space="0" w:color="auto"/>
              <w:right w:val="single" w:sz="4" w:space="0" w:color="auto"/>
            </w:tcBorders>
            <w:shd w:val="clear" w:color="auto" w:fill="auto"/>
            <w:vAlign w:val="center"/>
            <w:hideMark/>
          </w:tcPr>
          <w:p w14:paraId="7D21D8C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UNIVERZA V MARIBORU, MEDICINSKA FAKULTETA</w:t>
            </w:r>
          </w:p>
        </w:tc>
      </w:tr>
      <w:tr w:rsidR="00E3750C" w:rsidRPr="00415AB3" w14:paraId="5D41BCD4"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F59B93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1906</w:t>
            </w:r>
          </w:p>
        </w:tc>
        <w:tc>
          <w:tcPr>
            <w:tcW w:w="705" w:type="pct"/>
            <w:tcBorders>
              <w:top w:val="nil"/>
              <w:left w:val="nil"/>
              <w:bottom w:val="single" w:sz="4" w:space="0" w:color="auto"/>
              <w:right w:val="single" w:sz="4" w:space="0" w:color="auto"/>
            </w:tcBorders>
            <w:shd w:val="clear" w:color="auto" w:fill="auto"/>
            <w:noWrap/>
            <w:vAlign w:val="center"/>
            <w:hideMark/>
          </w:tcPr>
          <w:p w14:paraId="4023F2C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5920884000</w:t>
            </w:r>
          </w:p>
        </w:tc>
        <w:tc>
          <w:tcPr>
            <w:tcW w:w="547" w:type="pct"/>
            <w:tcBorders>
              <w:top w:val="nil"/>
              <w:left w:val="nil"/>
              <w:bottom w:val="single" w:sz="4" w:space="0" w:color="auto"/>
              <w:right w:val="single" w:sz="4" w:space="0" w:color="auto"/>
            </w:tcBorders>
            <w:shd w:val="clear" w:color="auto" w:fill="auto"/>
            <w:noWrap/>
            <w:vAlign w:val="center"/>
            <w:hideMark/>
          </w:tcPr>
          <w:p w14:paraId="3E25E78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29880068</w:t>
            </w:r>
          </w:p>
        </w:tc>
        <w:tc>
          <w:tcPr>
            <w:tcW w:w="3360" w:type="pct"/>
            <w:tcBorders>
              <w:top w:val="nil"/>
              <w:left w:val="nil"/>
              <w:bottom w:val="single" w:sz="4" w:space="0" w:color="auto"/>
              <w:right w:val="single" w:sz="4" w:space="0" w:color="auto"/>
            </w:tcBorders>
            <w:shd w:val="clear" w:color="auto" w:fill="auto"/>
            <w:vAlign w:val="center"/>
            <w:hideMark/>
          </w:tcPr>
          <w:p w14:paraId="4F2F1B9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UNIVERZA V NOVI GORICI MEDNARODNO IME: UNIVERSITY OF NOVA GORICA</w:t>
            </w:r>
          </w:p>
        </w:tc>
      </w:tr>
      <w:tr w:rsidR="00E3750C" w:rsidRPr="00415AB3" w14:paraId="7BD98EA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DF5F67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1907</w:t>
            </w:r>
          </w:p>
        </w:tc>
        <w:tc>
          <w:tcPr>
            <w:tcW w:w="705" w:type="pct"/>
            <w:tcBorders>
              <w:top w:val="nil"/>
              <w:left w:val="nil"/>
              <w:bottom w:val="single" w:sz="4" w:space="0" w:color="auto"/>
              <w:right w:val="single" w:sz="4" w:space="0" w:color="auto"/>
            </w:tcBorders>
            <w:shd w:val="clear" w:color="auto" w:fill="auto"/>
            <w:noWrap/>
            <w:vAlign w:val="center"/>
            <w:hideMark/>
          </w:tcPr>
          <w:p w14:paraId="1FFD313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1190997000</w:t>
            </w:r>
          </w:p>
        </w:tc>
        <w:tc>
          <w:tcPr>
            <w:tcW w:w="547" w:type="pct"/>
            <w:tcBorders>
              <w:top w:val="nil"/>
              <w:left w:val="nil"/>
              <w:bottom w:val="single" w:sz="4" w:space="0" w:color="auto"/>
              <w:right w:val="single" w:sz="4" w:space="0" w:color="auto"/>
            </w:tcBorders>
            <w:shd w:val="clear" w:color="auto" w:fill="auto"/>
            <w:noWrap/>
            <w:vAlign w:val="center"/>
            <w:hideMark/>
          </w:tcPr>
          <w:p w14:paraId="4F54BEE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66719585</w:t>
            </w:r>
          </w:p>
        </w:tc>
        <w:tc>
          <w:tcPr>
            <w:tcW w:w="3360" w:type="pct"/>
            <w:tcBorders>
              <w:top w:val="nil"/>
              <w:left w:val="nil"/>
              <w:bottom w:val="single" w:sz="4" w:space="0" w:color="auto"/>
              <w:right w:val="single" w:sz="4" w:space="0" w:color="auto"/>
            </w:tcBorders>
            <w:shd w:val="clear" w:color="auto" w:fill="auto"/>
            <w:vAlign w:val="center"/>
            <w:hideMark/>
          </w:tcPr>
          <w:p w14:paraId="012B794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UNIVERZITETNA KLINIKA ZA PLJUČNE BOLEZNI IN ALERGIJO GOLNIK</w:t>
            </w:r>
          </w:p>
        </w:tc>
      </w:tr>
      <w:tr w:rsidR="00E3750C" w:rsidRPr="00415AB3" w14:paraId="269666B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443B84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1908</w:t>
            </w:r>
          </w:p>
        </w:tc>
        <w:tc>
          <w:tcPr>
            <w:tcW w:w="705" w:type="pct"/>
            <w:tcBorders>
              <w:top w:val="nil"/>
              <w:left w:val="nil"/>
              <w:bottom w:val="single" w:sz="4" w:space="0" w:color="auto"/>
              <w:right w:val="single" w:sz="4" w:space="0" w:color="auto"/>
            </w:tcBorders>
            <w:shd w:val="clear" w:color="auto" w:fill="auto"/>
            <w:noWrap/>
            <w:vAlign w:val="center"/>
            <w:hideMark/>
          </w:tcPr>
          <w:p w14:paraId="15004B3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1191004000</w:t>
            </w:r>
          </w:p>
        </w:tc>
        <w:tc>
          <w:tcPr>
            <w:tcW w:w="547" w:type="pct"/>
            <w:tcBorders>
              <w:top w:val="nil"/>
              <w:left w:val="nil"/>
              <w:bottom w:val="single" w:sz="4" w:space="0" w:color="auto"/>
              <w:right w:val="single" w:sz="4" w:space="0" w:color="auto"/>
            </w:tcBorders>
            <w:shd w:val="clear" w:color="auto" w:fill="auto"/>
            <w:noWrap/>
            <w:vAlign w:val="center"/>
            <w:hideMark/>
          </w:tcPr>
          <w:p w14:paraId="4751456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82546193</w:t>
            </w:r>
          </w:p>
        </w:tc>
        <w:tc>
          <w:tcPr>
            <w:tcW w:w="3360" w:type="pct"/>
            <w:tcBorders>
              <w:top w:val="nil"/>
              <w:left w:val="nil"/>
              <w:bottom w:val="single" w:sz="4" w:space="0" w:color="auto"/>
              <w:right w:val="single" w:sz="4" w:space="0" w:color="auto"/>
            </w:tcBorders>
            <w:shd w:val="clear" w:color="auto" w:fill="auto"/>
            <w:vAlign w:val="center"/>
            <w:hideMark/>
          </w:tcPr>
          <w:p w14:paraId="13E07FE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UNIVERZITETNA PSIHIATRIČNA KLINIKA LJUBLJANA</w:t>
            </w:r>
          </w:p>
        </w:tc>
      </w:tr>
      <w:tr w:rsidR="00E3750C" w:rsidRPr="00415AB3" w14:paraId="199BF9E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2EFC9C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1909</w:t>
            </w:r>
          </w:p>
        </w:tc>
        <w:tc>
          <w:tcPr>
            <w:tcW w:w="705" w:type="pct"/>
            <w:tcBorders>
              <w:top w:val="nil"/>
              <w:left w:val="nil"/>
              <w:bottom w:val="single" w:sz="4" w:space="0" w:color="auto"/>
              <w:right w:val="single" w:sz="4" w:space="0" w:color="auto"/>
            </w:tcBorders>
            <w:shd w:val="clear" w:color="auto" w:fill="auto"/>
            <w:noWrap/>
            <w:vAlign w:val="center"/>
            <w:hideMark/>
          </w:tcPr>
          <w:p w14:paraId="741DD4A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5057272000</w:t>
            </w:r>
          </w:p>
        </w:tc>
        <w:tc>
          <w:tcPr>
            <w:tcW w:w="547" w:type="pct"/>
            <w:tcBorders>
              <w:top w:val="nil"/>
              <w:left w:val="nil"/>
              <w:bottom w:val="single" w:sz="4" w:space="0" w:color="auto"/>
              <w:right w:val="single" w:sz="4" w:space="0" w:color="auto"/>
            </w:tcBorders>
            <w:shd w:val="clear" w:color="auto" w:fill="auto"/>
            <w:noWrap/>
            <w:vAlign w:val="center"/>
            <w:hideMark/>
          </w:tcPr>
          <w:p w14:paraId="3774DFF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52111776</w:t>
            </w:r>
          </w:p>
        </w:tc>
        <w:tc>
          <w:tcPr>
            <w:tcW w:w="3360" w:type="pct"/>
            <w:tcBorders>
              <w:top w:val="nil"/>
              <w:left w:val="nil"/>
              <w:bottom w:val="single" w:sz="4" w:space="0" w:color="auto"/>
              <w:right w:val="single" w:sz="4" w:space="0" w:color="auto"/>
            </w:tcBorders>
            <w:shd w:val="clear" w:color="auto" w:fill="auto"/>
            <w:vAlign w:val="center"/>
            <w:hideMark/>
          </w:tcPr>
          <w:p w14:paraId="19C0EEF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UNIVERZITETNI KLINIČNI CENTER LJUBLJANA</w:t>
            </w:r>
          </w:p>
        </w:tc>
      </w:tr>
      <w:tr w:rsidR="00E3750C" w:rsidRPr="00415AB3" w14:paraId="398C940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FCE148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1910</w:t>
            </w:r>
          </w:p>
        </w:tc>
        <w:tc>
          <w:tcPr>
            <w:tcW w:w="705" w:type="pct"/>
            <w:tcBorders>
              <w:top w:val="nil"/>
              <w:left w:val="nil"/>
              <w:bottom w:val="single" w:sz="4" w:space="0" w:color="auto"/>
              <w:right w:val="single" w:sz="4" w:space="0" w:color="auto"/>
            </w:tcBorders>
            <w:shd w:val="clear" w:color="auto" w:fill="auto"/>
            <w:noWrap/>
            <w:vAlign w:val="center"/>
            <w:hideMark/>
          </w:tcPr>
          <w:p w14:paraId="6FF5D56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5054150000</w:t>
            </w:r>
          </w:p>
        </w:tc>
        <w:tc>
          <w:tcPr>
            <w:tcW w:w="547" w:type="pct"/>
            <w:tcBorders>
              <w:top w:val="nil"/>
              <w:left w:val="nil"/>
              <w:bottom w:val="single" w:sz="4" w:space="0" w:color="auto"/>
              <w:right w:val="single" w:sz="4" w:space="0" w:color="auto"/>
            </w:tcBorders>
            <w:shd w:val="clear" w:color="auto" w:fill="auto"/>
            <w:noWrap/>
            <w:vAlign w:val="center"/>
            <w:hideMark/>
          </w:tcPr>
          <w:p w14:paraId="4507EAB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56644817</w:t>
            </w:r>
          </w:p>
        </w:tc>
        <w:tc>
          <w:tcPr>
            <w:tcW w:w="3360" w:type="pct"/>
            <w:tcBorders>
              <w:top w:val="nil"/>
              <w:left w:val="nil"/>
              <w:bottom w:val="single" w:sz="4" w:space="0" w:color="auto"/>
              <w:right w:val="single" w:sz="4" w:space="0" w:color="auto"/>
            </w:tcBorders>
            <w:shd w:val="clear" w:color="auto" w:fill="auto"/>
            <w:vAlign w:val="center"/>
            <w:hideMark/>
          </w:tcPr>
          <w:p w14:paraId="5BC5424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UNIVERZITETNI KLINIČNI CENTER MARIBOR</w:t>
            </w:r>
          </w:p>
        </w:tc>
      </w:tr>
      <w:tr w:rsidR="00E3750C" w:rsidRPr="00415AB3" w14:paraId="6DC2BB8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117C28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1911</w:t>
            </w:r>
          </w:p>
        </w:tc>
        <w:tc>
          <w:tcPr>
            <w:tcW w:w="705" w:type="pct"/>
            <w:tcBorders>
              <w:top w:val="nil"/>
              <w:left w:val="nil"/>
              <w:bottom w:val="single" w:sz="4" w:space="0" w:color="auto"/>
              <w:right w:val="single" w:sz="4" w:space="0" w:color="auto"/>
            </w:tcBorders>
            <w:shd w:val="clear" w:color="auto" w:fill="auto"/>
            <w:noWrap/>
            <w:vAlign w:val="center"/>
            <w:hideMark/>
          </w:tcPr>
          <w:p w14:paraId="678DD9A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5053919000</w:t>
            </w:r>
          </w:p>
        </w:tc>
        <w:tc>
          <w:tcPr>
            <w:tcW w:w="547" w:type="pct"/>
            <w:tcBorders>
              <w:top w:val="nil"/>
              <w:left w:val="nil"/>
              <w:bottom w:val="single" w:sz="4" w:space="0" w:color="auto"/>
              <w:right w:val="single" w:sz="4" w:space="0" w:color="auto"/>
            </w:tcBorders>
            <w:shd w:val="clear" w:color="auto" w:fill="auto"/>
            <w:noWrap/>
            <w:vAlign w:val="center"/>
            <w:hideMark/>
          </w:tcPr>
          <w:p w14:paraId="47E2DE9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73541346</w:t>
            </w:r>
          </w:p>
        </w:tc>
        <w:tc>
          <w:tcPr>
            <w:tcW w:w="3360" w:type="pct"/>
            <w:tcBorders>
              <w:top w:val="nil"/>
              <w:left w:val="nil"/>
              <w:bottom w:val="single" w:sz="4" w:space="0" w:color="auto"/>
              <w:right w:val="single" w:sz="4" w:space="0" w:color="auto"/>
            </w:tcBorders>
            <w:shd w:val="clear" w:color="auto" w:fill="auto"/>
            <w:vAlign w:val="center"/>
            <w:hideMark/>
          </w:tcPr>
          <w:p w14:paraId="658300C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UNIVERZITETNI REHABILITACIJSKI INŠTITUT REPUBLIKE SLOVENIJE - SOČA</w:t>
            </w:r>
          </w:p>
        </w:tc>
      </w:tr>
      <w:tr w:rsidR="00E3750C" w:rsidRPr="00415AB3" w14:paraId="2C03E7B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2A0D19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1912</w:t>
            </w:r>
          </w:p>
        </w:tc>
        <w:tc>
          <w:tcPr>
            <w:tcW w:w="705" w:type="pct"/>
            <w:tcBorders>
              <w:top w:val="nil"/>
              <w:left w:val="nil"/>
              <w:bottom w:val="single" w:sz="4" w:space="0" w:color="auto"/>
              <w:right w:val="single" w:sz="4" w:space="0" w:color="auto"/>
            </w:tcBorders>
            <w:shd w:val="clear" w:color="auto" w:fill="auto"/>
            <w:noWrap/>
            <w:vAlign w:val="center"/>
            <w:hideMark/>
          </w:tcPr>
          <w:p w14:paraId="4E95FD8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1190989000</w:t>
            </w:r>
          </w:p>
        </w:tc>
        <w:tc>
          <w:tcPr>
            <w:tcW w:w="547" w:type="pct"/>
            <w:tcBorders>
              <w:top w:val="nil"/>
              <w:left w:val="nil"/>
              <w:bottom w:val="single" w:sz="4" w:space="0" w:color="auto"/>
              <w:right w:val="single" w:sz="4" w:space="0" w:color="auto"/>
            </w:tcBorders>
            <w:shd w:val="clear" w:color="auto" w:fill="auto"/>
            <w:noWrap/>
            <w:vAlign w:val="center"/>
            <w:hideMark/>
          </w:tcPr>
          <w:p w14:paraId="6B2CE6A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79787975</w:t>
            </w:r>
          </w:p>
        </w:tc>
        <w:tc>
          <w:tcPr>
            <w:tcW w:w="3360" w:type="pct"/>
            <w:tcBorders>
              <w:top w:val="nil"/>
              <w:left w:val="nil"/>
              <w:bottom w:val="single" w:sz="4" w:space="0" w:color="auto"/>
              <w:right w:val="single" w:sz="4" w:space="0" w:color="auto"/>
            </w:tcBorders>
            <w:shd w:val="clear" w:color="auto" w:fill="auto"/>
            <w:vAlign w:val="center"/>
            <w:hideMark/>
          </w:tcPr>
          <w:p w14:paraId="349AA6F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UPRAVNO SODIŠČE REPUBLIKE SLOVENIJE</w:t>
            </w:r>
          </w:p>
        </w:tc>
      </w:tr>
      <w:tr w:rsidR="00E3750C" w:rsidRPr="00415AB3" w14:paraId="228AB9E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CDC06E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1913</w:t>
            </w:r>
          </w:p>
        </w:tc>
        <w:tc>
          <w:tcPr>
            <w:tcW w:w="705" w:type="pct"/>
            <w:tcBorders>
              <w:top w:val="nil"/>
              <w:left w:val="nil"/>
              <w:bottom w:val="single" w:sz="4" w:space="0" w:color="auto"/>
              <w:right w:val="single" w:sz="4" w:space="0" w:color="auto"/>
            </w:tcBorders>
            <w:shd w:val="clear" w:color="auto" w:fill="auto"/>
            <w:noWrap/>
            <w:vAlign w:val="center"/>
            <w:hideMark/>
          </w:tcPr>
          <w:p w14:paraId="1000CB9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5065402000</w:t>
            </w:r>
          </w:p>
        </w:tc>
        <w:tc>
          <w:tcPr>
            <w:tcW w:w="547" w:type="pct"/>
            <w:tcBorders>
              <w:top w:val="nil"/>
              <w:left w:val="nil"/>
              <w:bottom w:val="single" w:sz="4" w:space="0" w:color="auto"/>
              <w:right w:val="single" w:sz="4" w:space="0" w:color="auto"/>
            </w:tcBorders>
            <w:shd w:val="clear" w:color="auto" w:fill="auto"/>
            <w:noWrap/>
            <w:vAlign w:val="center"/>
            <w:hideMark/>
          </w:tcPr>
          <w:p w14:paraId="098E4DC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45181276</w:t>
            </w:r>
          </w:p>
        </w:tc>
        <w:tc>
          <w:tcPr>
            <w:tcW w:w="3360" w:type="pct"/>
            <w:tcBorders>
              <w:top w:val="nil"/>
              <w:left w:val="nil"/>
              <w:bottom w:val="single" w:sz="4" w:space="0" w:color="auto"/>
              <w:right w:val="single" w:sz="4" w:space="0" w:color="auto"/>
            </w:tcBorders>
            <w:shd w:val="clear" w:color="auto" w:fill="auto"/>
            <w:vAlign w:val="center"/>
            <w:hideMark/>
          </w:tcPr>
          <w:p w14:paraId="33496A9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URAD PREDSEDNIKA REPUBLIKE SLOVENIJE</w:t>
            </w:r>
          </w:p>
        </w:tc>
      </w:tr>
      <w:tr w:rsidR="00E3750C" w:rsidRPr="00415AB3" w14:paraId="60ABC027"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F0BDD9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1914</w:t>
            </w:r>
          </w:p>
        </w:tc>
        <w:tc>
          <w:tcPr>
            <w:tcW w:w="705" w:type="pct"/>
            <w:tcBorders>
              <w:top w:val="nil"/>
              <w:left w:val="nil"/>
              <w:bottom w:val="single" w:sz="4" w:space="0" w:color="auto"/>
              <w:right w:val="single" w:sz="4" w:space="0" w:color="auto"/>
            </w:tcBorders>
            <w:shd w:val="clear" w:color="auto" w:fill="auto"/>
            <w:noWrap/>
            <w:vAlign w:val="center"/>
            <w:hideMark/>
          </w:tcPr>
          <w:p w14:paraId="453FD20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5026407000</w:t>
            </w:r>
          </w:p>
        </w:tc>
        <w:tc>
          <w:tcPr>
            <w:tcW w:w="547" w:type="pct"/>
            <w:tcBorders>
              <w:top w:val="nil"/>
              <w:left w:val="nil"/>
              <w:bottom w:val="single" w:sz="4" w:space="0" w:color="auto"/>
              <w:right w:val="single" w:sz="4" w:space="0" w:color="auto"/>
            </w:tcBorders>
            <w:shd w:val="clear" w:color="auto" w:fill="auto"/>
            <w:noWrap/>
            <w:vAlign w:val="center"/>
            <w:hideMark/>
          </w:tcPr>
          <w:p w14:paraId="3C6A166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66679567</w:t>
            </w:r>
          </w:p>
        </w:tc>
        <w:tc>
          <w:tcPr>
            <w:tcW w:w="3360" w:type="pct"/>
            <w:tcBorders>
              <w:top w:val="nil"/>
              <w:left w:val="nil"/>
              <w:bottom w:val="single" w:sz="4" w:space="0" w:color="auto"/>
              <w:right w:val="single" w:sz="4" w:space="0" w:color="auto"/>
            </w:tcBorders>
            <w:shd w:val="clear" w:color="auto" w:fill="auto"/>
            <w:vAlign w:val="center"/>
            <w:hideMark/>
          </w:tcPr>
          <w:p w14:paraId="4CEAA43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URAD REPUBLIKE SLOVENIJE ZA MAKROEKONOMSKE ANALIZE IN RAZVOJ</w:t>
            </w:r>
          </w:p>
        </w:tc>
      </w:tr>
      <w:tr w:rsidR="00E3750C" w:rsidRPr="00415AB3" w14:paraId="4D7B1D5F"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7F78C0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1915</w:t>
            </w:r>
          </w:p>
        </w:tc>
        <w:tc>
          <w:tcPr>
            <w:tcW w:w="705" w:type="pct"/>
            <w:tcBorders>
              <w:top w:val="nil"/>
              <w:left w:val="nil"/>
              <w:bottom w:val="single" w:sz="4" w:space="0" w:color="auto"/>
              <w:right w:val="single" w:sz="4" w:space="0" w:color="auto"/>
            </w:tcBorders>
            <w:shd w:val="clear" w:color="auto" w:fill="auto"/>
            <w:noWrap/>
            <w:vAlign w:val="center"/>
            <w:hideMark/>
          </w:tcPr>
          <w:p w14:paraId="2EC2FB8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2516535000</w:t>
            </w:r>
          </w:p>
        </w:tc>
        <w:tc>
          <w:tcPr>
            <w:tcW w:w="547" w:type="pct"/>
            <w:tcBorders>
              <w:top w:val="nil"/>
              <w:left w:val="nil"/>
              <w:bottom w:val="single" w:sz="4" w:space="0" w:color="auto"/>
              <w:right w:val="single" w:sz="4" w:space="0" w:color="auto"/>
            </w:tcBorders>
            <w:shd w:val="clear" w:color="auto" w:fill="auto"/>
            <w:noWrap/>
            <w:vAlign w:val="center"/>
            <w:hideMark/>
          </w:tcPr>
          <w:p w14:paraId="0938128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64234894</w:t>
            </w:r>
          </w:p>
        </w:tc>
        <w:tc>
          <w:tcPr>
            <w:tcW w:w="3360" w:type="pct"/>
            <w:tcBorders>
              <w:top w:val="nil"/>
              <w:left w:val="nil"/>
              <w:bottom w:val="single" w:sz="4" w:space="0" w:color="auto"/>
              <w:right w:val="single" w:sz="4" w:space="0" w:color="auto"/>
            </w:tcBorders>
            <w:shd w:val="clear" w:color="auto" w:fill="auto"/>
            <w:vAlign w:val="center"/>
            <w:hideMark/>
          </w:tcPr>
          <w:p w14:paraId="472ABC0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URAD REPUBLIKE SLOVENIJE ZA NADZOR, KAKOVOST IN INVESTICIJE V ZDRAVSTVU</w:t>
            </w:r>
          </w:p>
        </w:tc>
      </w:tr>
      <w:tr w:rsidR="00E3750C" w:rsidRPr="00415AB3" w14:paraId="6226589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722A96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1916</w:t>
            </w:r>
          </w:p>
        </w:tc>
        <w:tc>
          <w:tcPr>
            <w:tcW w:w="705" w:type="pct"/>
            <w:tcBorders>
              <w:top w:val="nil"/>
              <w:left w:val="nil"/>
              <w:bottom w:val="single" w:sz="4" w:space="0" w:color="auto"/>
              <w:right w:val="single" w:sz="4" w:space="0" w:color="auto"/>
            </w:tcBorders>
            <w:shd w:val="clear" w:color="auto" w:fill="auto"/>
            <w:noWrap/>
            <w:vAlign w:val="center"/>
            <w:hideMark/>
          </w:tcPr>
          <w:p w14:paraId="57C9400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2516403000</w:t>
            </w:r>
          </w:p>
        </w:tc>
        <w:tc>
          <w:tcPr>
            <w:tcW w:w="547" w:type="pct"/>
            <w:tcBorders>
              <w:top w:val="nil"/>
              <w:left w:val="nil"/>
              <w:bottom w:val="single" w:sz="4" w:space="0" w:color="auto"/>
              <w:right w:val="single" w:sz="4" w:space="0" w:color="auto"/>
            </w:tcBorders>
            <w:shd w:val="clear" w:color="auto" w:fill="auto"/>
            <w:noWrap/>
            <w:vAlign w:val="center"/>
            <w:hideMark/>
          </w:tcPr>
          <w:p w14:paraId="5EAA89E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98731050</w:t>
            </w:r>
          </w:p>
        </w:tc>
        <w:tc>
          <w:tcPr>
            <w:tcW w:w="3360" w:type="pct"/>
            <w:tcBorders>
              <w:top w:val="nil"/>
              <w:left w:val="nil"/>
              <w:bottom w:val="single" w:sz="4" w:space="0" w:color="auto"/>
              <w:right w:val="single" w:sz="4" w:space="0" w:color="auto"/>
            </w:tcBorders>
            <w:shd w:val="clear" w:color="auto" w:fill="auto"/>
            <w:vAlign w:val="center"/>
            <w:hideMark/>
          </w:tcPr>
          <w:p w14:paraId="4F78A38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URAD REPUBLIKE SLOVENIJE ZA OKREVANJE IN ODPORNOST</w:t>
            </w:r>
          </w:p>
        </w:tc>
      </w:tr>
      <w:tr w:rsidR="00E3750C" w:rsidRPr="00415AB3" w14:paraId="5257E51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42298C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1917</w:t>
            </w:r>
          </w:p>
        </w:tc>
        <w:tc>
          <w:tcPr>
            <w:tcW w:w="705" w:type="pct"/>
            <w:tcBorders>
              <w:top w:val="nil"/>
              <w:left w:val="nil"/>
              <w:bottom w:val="single" w:sz="4" w:space="0" w:color="auto"/>
              <w:right w:val="single" w:sz="4" w:space="0" w:color="auto"/>
            </w:tcBorders>
            <w:shd w:val="clear" w:color="auto" w:fill="auto"/>
            <w:noWrap/>
            <w:vAlign w:val="center"/>
            <w:hideMark/>
          </w:tcPr>
          <w:p w14:paraId="6E4C4CB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2516420000</w:t>
            </w:r>
          </w:p>
        </w:tc>
        <w:tc>
          <w:tcPr>
            <w:tcW w:w="547" w:type="pct"/>
            <w:tcBorders>
              <w:top w:val="nil"/>
              <w:left w:val="nil"/>
              <w:bottom w:val="single" w:sz="4" w:space="0" w:color="auto"/>
              <w:right w:val="single" w:sz="4" w:space="0" w:color="auto"/>
            </w:tcBorders>
            <w:shd w:val="clear" w:color="auto" w:fill="auto"/>
            <w:noWrap/>
            <w:vAlign w:val="center"/>
            <w:hideMark/>
          </w:tcPr>
          <w:p w14:paraId="0028899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48970271</w:t>
            </w:r>
          </w:p>
        </w:tc>
        <w:tc>
          <w:tcPr>
            <w:tcW w:w="3360" w:type="pct"/>
            <w:tcBorders>
              <w:top w:val="nil"/>
              <w:left w:val="nil"/>
              <w:bottom w:val="single" w:sz="4" w:space="0" w:color="auto"/>
              <w:right w:val="single" w:sz="4" w:space="0" w:color="auto"/>
            </w:tcBorders>
            <w:shd w:val="clear" w:color="auto" w:fill="auto"/>
            <w:vAlign w:val="center"/>
            <w:hideMark/>
          </w:tcPr>
          <w:p w14:paraId="2E3214E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URAD VLADE REPUBLIKE SLOVENIJE ZA INFORMACIJSKO VARNOST</w:t>
            </w:r>
          </w:p>
        </w:tc>
      </w:tr>
      <w:tr w:rsidR="00E3750C" w:rsidRPr="00415AB3" w14:paraId="5B6EFF8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0FC740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1918</w:t>
            </w:r>
          </w:p>
        </w:tc>
        <w:tc>
          <w:tcPr>
            <w:tcW w:w="705" w:type="pct"/>
            <w:tcBorders>
              <w:top w:val="nil"/>
              <w:left w:val="nil"/>
              <w:bottom w:val="single" w:sz="4" w:space="0" w:color="auto"/>
              <w:right w:val="single" w:sz="4" w:space="0" w:color="auto"/>
            </w:tcBorders>
            <w:shd w:val="clear" w:color="auto" w:fill="auto"/>
            <w:noWrap/>
            <w:vAlign w:val="center"/>
            <w:hideMark/>
          </w:tcPr>
          <w:p w14:paraId="3FFD089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5186757000</w:t>
            </w:r>
          </w:p>
        </w:tc>
        <w:tc>
          <w:tcPr>
            <w:tcW w:w="547" w:type="pct"/>
            <w:tcBorders>
              <w:top w:val="nil"/>
              <w:left w:val="nil"/>
              <w:bottom w:val="single" w:sz="4" w:space="0" w:color="auto"/>
              <w:right w:val="single" w:sz="4" w:space="0" w:color="auto"/>
            </w:tcBorders>
            <w:shd w:val="clear" w:color="auto" w:fill="auto"/>
            <w:noWrap/>
            <w:vAlign w:val="center"/>
            <w:hideMark/>
          </w:tcPr>
          <w:p w14:paraId="69404C7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21386889</w:t>
            </w:r>
          </w:p>
        </w:tc>
        <w:tc>
          <w:tcPr>
            <w:tcW w:w="3360" w:type="pct"/>
            <w:tcBorders>
              <w:top w:val="nil"/>
              <w:left w:val="nil"/>
              <w:bottom w:val="single" w:sz="4" w:space="0" w:color="auto"/>
              <w:right w:val="single" w:sz="4" w:space="0" w:color="auto"/>
            </w:tcBorders>
            <w:shd w:val="clear" w:color="auto" w:fill="auto"/>
            <w:vAlign w:val="center"/>
            <w:hideMark/>
          </w:tcPr>
          <w:p w14:paraId="62C284D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URAD VLADE REPUBLIKE SLOVENIJE ZA KOMUNICIRANJE</w:t>
            </w:r>
          </w:p>
        </w:tc>
      </w:tr>
      <w:tr w:rsidR="00E3750C" w:rsidRPr="00415AB3" w14:paraId="35A3B42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C4CB1B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1919</w:t>
            </w:r>
          </w:p>
        </w:tc>
        <w:tc>
          <w:tcPr>
            <w:tcW w:w="705" w:type="pct"/>
            <w:tcBorders>
              <w:top w:val="nil"/>
              <w:left w:val="nil"/>
              <w:bottom w:val="single" w:sz="4" w:space="0" w:color="auto"/>
              <w:right w:val="single" w:sz="4" w:space="0" w:color="auto"/>
            </w:tcBorders>
            <w:shd w:val="clear" w:color="auto" w:fill="auto"/>
            <w:noWrap/>
            <w:vAlign w:val="center"/>
            <w:hideMark/>
          </w:tcPr>
          <w:p w14:paraId="354A4F4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2399385000</w:t>
            </w:r>
          </w:p>
        </w:tc>
        <w:tc>
          <w:tcPr>
            <w:tcW w:w="547" w:type="pct"/>
            <w:tcBorders>
              <w:top w:val="nil"/>
              <w:left w:val="nil"/>
              <w:bottom w:val="single" w:sz="4" w:space="0" w:color="auto"/>
              <w:right w:val="single" w:sz="4" w:space="0" w:color="auto"/>
            </w:tcBorders>
            <w:shd w:val="clear" w:color="auto" w:fill="auto"/>
            <w:noWrap/>
            <w:vAlign w:val="center"/>
            <w:hideMark/>
          </w:tcPr>
          <w:p w14:paraId="7ED077E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61004278</w:t>
            </w:r>
          </w:p>
        </w:tc>
        <w:tc>
          <w:tcPr>
            <w:tcW w:w="3360" w:type="pct"/>
            <w:tcBorders>
              <w:top w:val="nil"/>
              <w:left w:val="nil"/>
              <w:bottom w:val="single" w:sz="4" w:space="0" w:color="auto"/>
              <w:right w:val="single" w:sz="4" w:space="0" w:color="auto"/>
            </w:tcBorders>
            <w:shd w:val="clear" w:color="auto" w:fill="auto"/>
            <w:vAlign w:val="center"/>
            <w:hideMark/>
          </w:tcPr>
          <w:p w14:paraId="1E942D8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URAD VLADE REPUBLIKE SLOVENIJE ZA NARODNOSTI</w:t>
            </w:r>
          </w:p>
        </w:tc>
      </w:tr>
      <w:tr w:rsidR="00E3750C" w:rsidRPr="00415AB3" w14:paraId="62A7CD79"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4438F7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1920</w:t>
            </w:r>
          </w:p>
        </w:tc>
        <w:tc>
          <w:tcPr>
            <w:tcW w:w="705" w:type="pct"/>
            <w:tcBorders>
              <w:top w:val="nil"/>
              <w:left w:val="nil"/>
              <w:bottom w:val="single" w:sz="4" w:space="0" w:color="auto"/>
              <w:right w:val="single" w:sz="4" w:space="0" w:color="auto"/>
            </w:tcBorders>
            <w:shd w:val="clear" w:color="auto" w:fill="auto"/>
            <w:noWrap/>
            <w:vAlign w:val="center"/>
            <w:hideMark/>
          </w:tcPr>
          <w:p w14:paraId="0EE3AAC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2516250000</w:t>
            </w:r>
          </w:p>
        </w:tc>
        <w:tc>
          <w:tcPr>
            <w:tcW w:w="547" w:type="pct"/>
            <w:tcBorders>
              <w:top w:val="nil"/>
              <w:left w:val="nil"/>
              <w:bottom w:val="single" w:sz="4" w:space="0" w:color="auto"/>
              <w:right w:val="single" w:sz="4" w:space="0" w:color="auto"/>
            </w:tcBorders>
            <w:shd w:val="clear" w:color="auto" w:fill="auto"/>
            <w:noWrap/>
            <w:vAlign w:val="center"/>
            <w:hideMark/>
          </w:tcPr>
          <w:p w14:paraId="4F1ACF3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36389633</w:t>
            </w:r>
          </w:p>
        </w:tc>
        <w:tc>
          <w:tcPr>
            <w:tcW w:w="3360" w:type="pct"/>
            <w:tcBorders>
              <w:top w:val="nil"/>
              <w:left w:val="nil"/>
              <w:bottom w:val="single" w:sz="4" w:space="0" w:color="auto"/>
              <w:right w:val="single" w:sz="4" w:space="0" w:color="auto"/>
            </w:tcBorders>
            <w:shd w:val="clear" w:color="auto" w:fill="auto"/>
            <w:vAlign w:val="center"/>
            <w:hideMark/>
          </w:tcPr>
          <w:p w14:paraId="528C125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URAD VLADE REPUBLIKE SLOVENIJE ZA OSKRBO IN INTEGRACIJO MIGRANTOV</w:t>
            </w:r>
          </w:p>
        </w:tc>
      </w:tr>
      <w:tr w:rsidR="00E3750C" w:rsidRPr="00415AB3" w14:paraId="6C4D024A"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A82743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1921</w:t>
            </w:r>
          </w:p>
        </w:tc>
        <w:tc>
          <w:tcPr>
            <w:tcW w:w="705" w:type="pct"/>
            <w:tcBorders>
              <w:top w:val="nil"/>
              <w:left w:val="nil"/>
              <w:bottom w:val="single" w:sz="4" w:space="0" w:color="auto"/>
              <w:right w:val="single" w:sz="4" w:space="0" w:color="auto"/>
            </w:tcBorders>
            <w:shd w:val="clear" w:color="auto" w:fill="auto"/>
            <w:noWrap/>
            <w:vAlign w:val="center"/>
            <w:hideMark/>
          </w:tcPr>
          <w:p w14:paraId="59B088D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1332961000</w:t>
            </w:r>
          </w:p>
        </w:tc>
        <w:tc>
          <w:tcPr>
            <w:tcW w:w="547" w:type="pct"/>
            <w:tcBorders>
              <w:top w:val="nil"/>
              <w:left w:val="nil"/>
              <w:bottom w:val="single" w:sz="4" w:space="0" w:color="auto"/>
              <w:right w:val="single" w:sz="4" w:space="0" w:color="auto"/>
            </w:tcBorders>
            <w:shd w:val="clear" w:color="auto" w:fill="auto"/>
            <w:noWrap/>
            <w:vAlign w:val="center"/>
            <w:hideMark/>
          </w:tcPr>
          <w:p w14:paraId="647D8DE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83110585</w:t>
            </w:r>
          </w:p>
        </w:tc>
        <w:tc>
          <w:tcPr>
            <w:tcW w:w="3360" w:type="pct"/>
            <w:tcBorders>
              <w:top w:val="nil"/>
              <w:left w:val="nil"/>
              <w:bottom w:val="single" w:sz="4" w:space="0" w:color="auto"/>
              <w:right w:val="single" w:sz="4" w:space="0" w:color="auto"/>
            </w:tcBorders>
            <w:shd w:val="clear" w:color="auto" w:fill="auto"/>
            <w:vAlign w:val="center"/>
            <w:hideMark/>
          </w:tcPr>
          <w:p w14:paraId="3FBA61F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URAD VLADE REPUBLIKE SLOVENIJE ZA VAROVANJE TAJNIH PODATKOV</w:t>
            </w:r>
          </w:p>
        </w:tc>
      </w:tr>
      <w:tr w:rsidR="00E3750C" w:rsidRPr="00415AB3" w14:paraId="46A8B8E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15DCE9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1922</w:t>
            </w:r>
          </w:p>
        </w:tc>
        <w:tc>
          <w:tcPr>
            <w:tcW w:w="705" w:type="pct"/>
            <w:tcBorders>
              <w:top w:val="nil"/>
              <w:left w:val="nil"/>
              <w:bottom w:val="single" w:sz="4" w:space="0" w:color="auto"/>
              <w:right w:val="single" w:sz="4" w:space="0" w:color="auto"/>
            </w:tcBorders>
            <w:shd w:val="clear" w:color="auto" w:fill="auto"/>
            <w:noWrap/>
            <w:vAlign w:val="center"/>
            <w:hideMark/>
          </w:tcPr>
          <w:p w14:paraId="66CC2F1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5051703000</w:t>
            </w:r>
          </w:p>
        </w:tc>
        <w:tc>
          <w:tcPr>
            <w:tcW w:w="547" w:type="pct"/>
            <w:tcBorders>
              <w:top w:val="nil"/>
              <w:left w:val="nil"/>
              <w:bottom w:val="single" w:sz="4" w:space="0" w:color="auto"/>
              <w:right w:val="single" w:sz="4" w:space="0" w:color="auto"/>
            </w:tcBorders>
            <w:shd w:val="clear" w:color="auto" w:fill="auto"/>
            <w:noWrap/>
            <w:vAlign w:val="center"/>
            <w:hideMark/>
          </w:tcPr>
          <w:p w14:paraId="42370E7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38747669</w:t>
            </w:r>
          </w:p>
        </w:tc>
        <w:tc>
          <w:tcPr>
            <w:tcW w:w="3360" w:type="pct"/>
            <w:tcBorders>
              <w:top w:val="nil"/>
              <w:left w:val="nil"/>
              <w:bottom w:val="single" w:sz="4" w:space="0" w:color="auto"/>
              <w:right w:val="single" w:sz="4" w:space="0" w:color="auto"/>
            </w:tcBorders>
            <w:shd w:val="clear" w:color="auto" w:fill="auto"/>
            <w:vAlign w:val="center"/>
            <w:hideMark/>
          </w:tcPr>
          <w:p w14:paraId="5533FE1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URBANISTIČNI INŠTITUT REPUBLIKE SLOVENIJE</w:t>
            </w:r>
          </w:p>
        </w:tc>
      </w:tr>
      <w:tr w:rsidR="00E3750C" w:rsidRPr="00415AB3" w14:paraId="30E8EC5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1C9BD3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1923</w:t>
            </w:r>
          </w:p>
        </w:tc>
        <w:tc>
          <w:tcPr>
            <w:tcW w:w="705" w:type="pct"/>
            <w:tcBorders>
              <w:top w:val="nil"/>
              <w:left w:val="nil"/>
              <w:bottom w:val="single" w:sz="4" w:space="0" w:color="auto"/>
              <w:right w:val="single" w:sz="4" w:space="0" w:color="auto"/>
            </w:tcBorders>
            <w:shd w:val="clear" w:color="auto" w:fill="auto"/>
            <w:noWrap/>
            <w:vAlign w:val="center"/>
            <w:hideMark/>
          </w:tcPr>
          <w:p w14:paraId="436C141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2013037000</w:t>
            </w:r>
          </w:p>
        </w:tc>
        <w:tc>
          <w:tcPr>
            <w:tcW w:w="547" w:type="pct"/>
            <w:tcBorders>
              <w:top w:val="nil"/>
              <w:left w:val="nil"/>
              <w:bottom w:val="single" w:sz="4" w:space="0" w:color="auto"/>
              <w:right w:val="single" w:sz="4" w:space="0" w:color="auto"/>
            </w:tcBorders>
            <w:shd w:val="clear" w:color="auto" w:fill="auto"/>
            <w:noWrap/>
            <w:vAlign w:val="center"/>
            <w:hideMark/>
          </w:tcPr>
          <w:p w14:paraId="244C540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83250492</w:t>
            </w:r>
          </w:p>
        </w:tc>
        <w:tc>
          <w:tcPr>
            <w:tcW w:w="3360" w:type="pct"/>
            <w:tcBorders>
              <w:top w:val="nil"/>
              <w:left w:val="nil"/>
              <w:bottom w:val="single" w:sz="4" w:space="0" w:color="auto"/>
              <w:right w:val="single" w:sz="4" w:space="0" w:color="auto"/>
            </w:tcBorders>
            <w:shd w:val="clear" w:color="auto" w:fill="auto"/>
            <w:vAlign w:val="center"/>
            <w:hideMark/>
          </w:tcPr>
          <w:p w14:paraId="1F418DC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USTANOVA - CENTER ZA EVROPSKO PRIHODNOST</w:t>
            </w:r>
          </w:p>
        </w:tc>
      </w:tr>
      <w:tr w:rsidR="00E3750C" w:rsidRPr="00415AB3" w14:paraId="20F88E6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2BF0E9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1924</w:t>
            </w:r>
          </w:p>
        </w:tc>
        <w:tc>
          <w:tcPr>
            <w:tcW w:w="705" w:type="pct"/>
            <w:tcBorders>
              <w:top w:val="nil"/>
              <w:left w:val="nil"/>
              <w:bottom w:val="single" w:sz="4" w:space="0" w:color="auto"/>
              <w:right w:val="single" w:sz="4" w:space="0" w:color="auto"/>
            </w:tcBorders>
            <w:shd w:val="clear" w:color="auto" w:fill="auto"/>
            <w:noWrap/>
            <w:vAlign w:val="center"/>
            <w:hideMark/>
          </w:tcPr>
          <w:p w14:paraId="26A0441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5024234000</w:t>
            </w:r>
          </w:p>
        </w:tc>
        <w:tc>
          <w:tcPr>
            <w:tcW w:w="547" w:type="pct"/>
            <w:tcBorders>
              <w:top w:val="nil"/>
              <w:left w:val="nil"/>
              <w:bottom w:val="single" w:sz="4" w:space="0" w:color="auto"/>
              <w:right w:val="single" w:sz="4" w:space="0" w:color="auto"/>
            </w:tcBorders>
            <w:shd w:val="clear" w:color="auto" w:fill="auto"/>
            <w:noWrap/>
            <w:vAlign w:val="center"/>
            <w:hideMark/>
          </w:tcPr>
          <w:p w14:paraId="6D6058C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96331151</w:t>
            </w:r>
          </w:p>
        </w:tc>
        <w:tc>
          <w:tcPr>
            <w:tcW w:w="3360" w:type="pct"/>
            <w:tcBorders>
              <w:top w:val="nil"/>
              <w:left w:val="nil"/>
              <w:bottom w:val="single" w:sz="4" w:space="0" w:color="auto"/>
              <w:right w:val="single" w:sz="4" w:space="0" w:color="auto"/>
            </w:tcBorders>
            <w:shd w:val="clear" w:color="auto" w:fill="auto"/>
            <w:vAlign w:val="center"/>
            <w:hideMark/>
          </w:tcPr>
          <w:p w14:paraId="243BB0C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USTAVNO SODIŠČE REPUBLIKE SLOVENIJE</w:t>
            </w:r>
          </w:p>
        </w:tc>
      </w:tr>
      <w:tr w:rsidR="00E3750C" w:rsidRPr="00415AB3" w14:paraId="4472E30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A7B679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1925</w:t>
            </w:r>
          </w:p>
        </w:tc>
        <w:tc>
          <w:tcPr>
            <w:tcW w:w="705" w:type="pct"/>
            <w:tcBorders>
              <w:top w:val="nil"/>
              <w:left w:val="nil"/>
              <w:bottom w:val="single" w:sz="4" w:space="0" w:color="auto"/>
              <w:right w:val="single" w:sz="4" w:space="0" w:color="auto"/>
            </w:tcBorders>
            <w:shd w:val="clear" w:color="auto" w:fill="auto"/>
            <w:noWrap/>
            <w:vAlign w:val="center"/>
            <w:hideMark/>
          </w:tcPr>
          <w:p w14:paraId="6B42272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5642973000</w:t>
            </w:r>
          </w:p>
        </w:tc>
        <w:tc>
          <w:tcPr>
            <w:tcW w:w="547" w:type="pct"/>
            <w:tcBorders>
              <w:top w:val="nil"/>
              <w:left w:val="nil"/>
              <w:bottom w:val="single" w:sz="4" w:space="0" w:color="auto"/>
              <w:right w:val="single" w:sz="4" w:space="0" w:color="auto"/>
            </w:tcBorders>
            <w:shd w:val="clear" w:color="auto" w:fill="auto"/>
            <w:noWrap/>
            <w:vAlign w:val="center"/>
            <w:hideMark/>
          </w:tcPr>
          <w:p w14:paraId="63E5FE6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45354391</w:t>
            </w:r>
          </w:p>
        </w:tc>
        <w:tc>
          <w:tcPr>
            <w:tcW w:w="3360" w:type="pct"/>
            <w:tcBorders>
              <w:top w:val="nil"/>
              <w:left w:val="nil"/>
              <w:bottom w:val="single" w:sz="4" w:space="0" w:color="auto"/>
              <w:right w:val="single" w:sz="4" w:space="0" w:color="auto"/>
            </w:tcBorders>
            <w:shd w:val="clear" w:color="auto" w:fill="auto"/>
            <w:vAlign w:val="center"/>
            <w:hideMark/>
          </w:tcPr>
          <w:p w14:paraId="095CB40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VALVASORJEVA KNJIŽNICA KRŠKO</w:t>
            </w:r>
          </w:p>
        </w:tc>
      </w:tr>
      <w:tr w:rsidR="00E3750C" w:rsidRPr="00415AB3" w14:paraId="587961C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67D759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1926</w:t>
            </w:r>
          </w:p>
        </w:tc>
        <w:tc>
          <w:tcPr>
            <w:tcW w:w="705" w:type="pct"/>
            <w:tcBorders>
              <w:top w:val="nil"/>
              <w:left w:val="nil"/>
              <w:bottom w:val="single" w:sz="4" w:space="0" w:color="auto"/>
              <w:right w:val="single" w:sz="4" w:space="0" w:color="auto"/>
            </w:tcBorders>
            <w:shd w:val="clear" w:color="auto" w:fill="auto"/>
            <w:noWrap/>
            <w:vAlign w:val="center"/>
            <w:hideMark/>
          </w:tcPr>
          <w:p w14:paraId="1615E69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2210665000</w:t>
            </w:r>
          </w:p>
        </w:tc>
        <w:tc>
          <w:tcPr>
            <w:tcW w:w="547" w:type="pct"/>
            <w:tcBorders>
              <w:top w:val="nil"/>
              <w:left w:val="nil"/>
              <w:bottom w:val="single" w:sz="4" w:space="0" w:color="auto"/>
              <w:right w:val="single" w:sz="4" w:space="0" w:color="auto"/>
            </w:tcBorders>
            <w:shd w:val="clear" w:color="auto" w:fill="auto"/>
            <w:noWrap/>
            <w:vAlign w:val="center"/>
            <w:hideMark/>
          </w:tcPr>
          <w:p w14:paraId="613C37E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56891407</w:t>
            </w:r>
          </w:p>
        </w:tc>
        <w:tc>
          <w:tcPr>
            <w:tcW w:w="3360" w:type="pct"/>
            <w:tcBorders>
              <w:top w:val="nil"/>
              <w:left w:val="nil"/>
              <w:bottom w:val="single" w:sz="4" w:space="0" w:color="auto"/>
              <w:right w:val="single" w:sz="4" w:space="0" w:color="auto"/>
            </w:tcBorders>
            <w:shd w:val="clear" w:color="auto" w:fill="auto"/>
            <w:vAlign w:val="center"/>
            <w:hideMark/>
          </w:tcPr>
          <w:p w14:paraId="5E3954D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VARSTVENO DELOVNI CENTER AJDOVŠČINA-VIPAVA</w:t>
            </w:r>
          </w:p>
        </w:tc>
      </w:tr>
      <w:tr w:rsidR="00E3750C" w:rsidRPr="00415AB3" w14:paraId="6E1F5F8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3A7D6D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1927</w:t>
            </w:r>
          </w:p>
        </w:tc>
        <w:tc>
          <w:tcPr>
            <w:tcW w:w="705" w:type="pct"/>
            <w:tcBorders>
              <w:top w:val="nil"/>
              <w:left w:val="nil"/>
              <w:bottom w:val="single" w:sz="4" w:space="0" w:color="auto"/>
              <w:right w:val="single" w:sz="4" w:space="0" w:color="auto"/>
            </w:tcBorders>
            <w:shd w:val="clear" w:color="auto" w:fill="auto"/>
            <w:noWrap/>
            <w:vAlign w:val="center"/>
            <w:hideMark/>
          </w:tcPr>
          <w:p w14:paraId="18E9087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1657674000</w:t>
            </w:r>
          </w:p>
        </w:tc>
        <w:tc>
          <w:tcPr>
            <w:tcW w:w="547" w:type="pct"/>
            <w:tcBorders>
              <w:top w:val="nil"/>
              <w:left w:val="nil"/>
              <w:bottom w:val="single" w:sz="4" w:space="0" w:color="auto"/>
              <w:right w:val="single" w:sz="4" w:space="0" w:color="auto"/>
            </w:tcBorders>
            <w:shd w:val="clear" w:color="auto" w:fill="auto"/>
            <w:noWrap/>
            <w:vAlign w:val="center"/>
            <w:hideMark/>
          </w:tcPr>
          <w:p w14:paraId="3EF760D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98463756</w:t>
            </w:r>
          </w:p>
        </w:tc>
        <w:tc>
          <w:tcPr>
            <w:tcW w:w="3360" w:type="pct"/>
            <w:tcBorders>
              <w:top w:val="nil"/>
              <w:left w:val="nil"/>
              <w:bottom w:val="single" w:sz="4" w:space="0" w:color="auto"/>
              <w:right w:val="single" w:sz="4" w:space="0" w:color="auto"/>
            </w:tcBorders>
            <w:shd w:val="clear" w:color="auto" w:fill="auto"/>
            <w:vAlign w:val="center"/>
            <w:hideMark/>
          </w:tcPr>
          <w:p w14:paraId="334B62F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VARSTVENO DELOVNI CENTER ČRNOMELJ</w:t>
            </w:r>
          </w:p>
        </w:tc>
      </w:tr>
      <w:tr w:rsidR="00E3750C" w:rsidRPr="00415AB3" w14:paraId="26FB820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4A1F10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1928</w:t>
            </w:r>
          </w:p>
        </w:tc>
        <w:tc>
          <w:tcPr>
            <w:tcW w:w="705" w:type="pct"/>
            <w:tcBorders>
              <w:top w:val="nil"/>
              <w:left w:val="nil"/>
              <w:bottom w:val="single" w:sz="4" w:space="0" w:color="auto"/>
              <w:right w:val="single" w:sz="4" w:space="0" w:color="auto"/>
            </w:tcBorders>
            <w:shd w:val="clear" w:color="auto" w:fill="auto"/>
            <w:noWrap/>
            <w:vAlign w:val="center"/>
            <w:hideMark/>
          </w:tcPr>
          <w:p w14:paraId="13A7772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5110742000</w:t>
            </w:r>
          </w:p>
        </w:tc>
        <w:tc>
          <w:tcPr>
            <w:tcW w:w="547" w:type="pct"/>
            <w:tcBorders>
              <w:top w:val="nil"/>
              <w:left w:val="nil"/>
              <w:bottom w:val="single" w:sz="4" w:space="0" w:color="auto"/>
              <w:right w:val="single" w:sz="4" w:space="0" w:color="auto"/>
            </w:tcBorders>
            <w:shd w:val="clear" w:color="auto" w:fill="auto"/>
            <w:noWrap/>
            <w:vAlign w:val="center"/>
            <w:hideMark/>
          </w:tcPr>
          <w:p w14:paraId="1A93BB9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82673438</w:t>
            </w:r>
          </w:p>
        </w:tc>
        <w:tc>
          <w:tcPr>
            <w:tcW w:w="3360" w:type="pct"/>
            <w:tcBorders>
              <w:top w:val="nil"/>
              <w:left w:val="nil"/>
              <w:bottom w:val="single" w:sz="4" w:space="0" w:color="auto"/>
              <w:right w:val="single" w:sz="4" w:space="0" w:color="auto"/>
            </w:tcBorders>
            <w:shd w:val="clear" w:color="auto" w:fill="auto"/>
            <w:vAlign w:val="center"/>
            <w:hideMark/>
          </w:tcPr>
          <w:p w14:paraId="309032D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VARSTVENO DELOVNI CENTER INCE</w:t>
            </w:r>
          </w:p>
        </w:tc>
      </w:tr>
      <w:tr w:rsidR="00E3750C" w:rsidRPr="00415AB3" w14:paraId="11F2899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9B72BA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1929</w:t>
            </w:r>
          </w:p>
        </w:tc>
        <w:tc>
          <w:tcPr>
            <w:tcW w:w="705" w:type="pct"/>
            <w:tcBorders>
              <w:top w:val="nil"/>
              <w:left w:val="nil"/>
              <w:bottom w:val="single" w:sz="4" w:space="0" w:color="auto"/>
              <w:right w:val="single" w:sz="4" w:space="0" w:color="auto"/>
            </w:tcBorders>
            <w:shd w:val="clear" w:color="auto" w:fill="auto"/>
            <w:noWrap/>
            <w:vAlign w:val="center"/>
            <w:hideMark/>
          </w:tcPr>
          <w:p w14:paraId="231307A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1673939000</w:t>
            </w:r>
          </w:p>
        </w:tc>
        <w:tc>
          <w:tcPr>
            <w:tcW w:w="547" w:type="pct"/>
            <w:tcBorders>
              <w:top w:val="nil"/>
              <w:left w:val="nil"/>
              <w:bottom w:val="single" w:sz="4" w:space="0" w:color="auto"/>
              <w:right w:val="single" w:sz="4" w:space="0" w:color="auto"/>
            </w:tcBorders>
            <w:shd w:val="clear" w:color="auto" w:fill="auto"/>
            <w:noWrap/>
            <w:vAlign w:val="center"/>
            <w:hideMark/>
          </w:tcPr>
          <w:p w14:paraId="2C1964E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36349208</w:t>
            </w:r>
          </w:p>
        </w:tc>
        <w:tc>
          <w:tcPr>
            <w:tcW w:w="3360" w:type="pct"/>
            <w:tcBorders>
              <w:top w:val="nil"/>
              <w:left w:val="nil"/>
              <w:bottom w:val="single" w:sz="4" w:space="0" w:color="auto"/>
              <w:right w:val="single" w:sz="4" w:space="0" w:color="auto"/>
            </w:tcBorders>
            <w:shd w:val="clear" w:color="auto" w:fill="auto"/>
            <w:vAlign w:val="center"/>
            <w:hideMark/>
          </w:tcPr>
          <w:p w14:paraId="6541374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 xml:space="preserve">VARSTVENO DELOVNI CENTER KOPER </w:t>
            </w:r>
          </w:p>
        </w:tc>
      </w:tr>
      <w:tr w:rsidR="00E3750C" w:rsidRPr="00415AB3" w14:paraId="15D56B9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094534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1930</w:t>
            </w:r>
          </w:p>
        </w:tc>
        <w:tc>
          <w:tcPr>
            <w:tcW w:w="705" w:type="pct"/>
            <w:tcBorders>
              <w:top w:val="nil"/>
              <w:left w:val="nil"/>
              <w:bottom w:val="single" w:sz="4" w:space="0" w:color="auto"/>
              <w:right w:val="single" w:sz="4" w:space="0" w:color="auto"/>
            </w:tcBorders>
            <w:shd w:val="clear" w:color="auto" w:fill="auto"/>
            <w:noWrap/>
            <w:vAlign w:val="center"/>
            <w:hideMark/>
          </w:tcPr>
          <w:p w14:paraId="754C595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1459546000</w:t>
            </w:r>
          </w:p>
        </w:tc>
        <w:tc>
          <w:tcPr>
            <w:tcW w:w="547" w:type="pct"/>
            <w:tcBorders>
              <w:top w:val="nil"/>
              <w:left w:val="nil"/>
              <w:bottom w:val="single" w:sz="4" w:space="0" w:color="auto"/>
              <w:right w:val="single" w:sz="4" w:space="0" w:color="auto"/>
            </w:tcBorders>
            <w:shd w:val="clear" w:color="auto" w:fill="auto"/>
            <w:noWrap/>
            <w:vAlign w:val="center"/>
            <w:hideMark/>
          </w:tcPr>
          <w:p w14:paraId="0D0CF49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52134075</w:t>
            </w:r>
          </w:p>
        </w:tc>
        <w:tc>
          <w:tcPr>
            <w:tcW w:w="3360" w:type="pct"/>
            <w:tcBorders>
              <w:top w:val="nil"/>
              <w:left w:val="nil"/>
              <w:bottom w:val="single" w:sz="4" w:space="0" w:color="auto"/>
              <w:right w:val="single" w:sz="4" w:space="0" w:color="auto"/>
            </w:tcBorders>
            <w:shd w:val="clear" w:color="auto" w:fill="auto"/>
            <w:vAlign w:val="center"/>
            <w:hideMark/>
          </w:tcPr>
          <w:p w14:paraId="45101A8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VARSTVENO DELOVNI CENTER KRANJ</w:t>
            </w:r>
          </w:p>
        </w:tc>
      </w:tr>
      <w:tr w:rsidR="00E3750C" w:rsidRPr="00415AB3" w14:paraId="61469F2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78CE6C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1931</w:t>
            </w:r>
          </w:p>
        </w:tc>
        <w:tc>
          <w:tcPr>
            <w:tcW w:w="705" w:type="pct"/>
            <w:tcBorders>
              <w:top w:val="nil"/>
              <w:left w:val="nil"/>
              <w:bottom w:val="single" w:sz="4" w:space="0" w:color="auto"/>
              <w:right w:val="single" w:sz="4" w:space="0" w:color="auto"/>
            </w:tcBorders>
            <w:shd w:val="clear" w:color="auto" w:fill="auto"/>
            <w:noWrap/>
            <w:vAlign w:val="center"/>
            <w:hideMark/>
          </w:tcPr>
          <w:p w14:paraId="337D59B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1483366000</w:t>
            </w:r>
          </w:p>
        </w:tc>
        <w:tc>
          <w:tcPr>
            <w:tcW w:w="547" w:type="pct"/>
            <w:tcBorders>
              <w:top w:val="nil"/>
              <w:left w:val="nil"/>
              <w:bottom w:val="single" w:sz="4" w:space="0" w:color="auto"/>
              <w:right w:val="single" w:sz="4" w:space="0" w:color="auto"/>
            </w:tcBorders>
            <w:shd w:val="clear" w:color="auto" w:fill="auto"/>
            <w:noWrap/>
            <w:vAlign w:val="center"/>
            <w:hideMark/>
          </w:tcPr>
          <w:p w14:paraId="6AE7DF5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90278445</w:t>
            </w:r>
          </w:p>
        </w:tc>
        <w:tc>
          <w:tcPr>
            <w:tcW w:w="3360" w:type="pct"/>
            <w:tcBorders>
              <w:top w:val="nil"/>
              <w:left w:val="nil"/>
              <w:bottom w:val="single" w:sz="4" w:space="0" w:color="auto"/>
              <w:right w:val="single" w:sz="4" w:space="0" w:color="auto"/>
            </w:tcBorders>
            <w:shd w:val="clear" w:color="auto" w:fill="auto"/>
            <w:vAlign w:val="center"/>
            <w:hideMark/>
          </w:tcPr>
          <w:p w14:paraId="5C70750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VARSTVENO DELOVNI CENTER KRŠKO-LESKOVEC</w:t>
            </w:r>
          </w:p>
        </w:tc>
      </w:tr>
      <w:tr w:rsidR="00E3750C" w:rsidRPr="00415AB3" w14:paraId="1D8A7F0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D538C0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1932</w:t>
            </w:r>
          </w:p>
        </w:tc>
        <w:tc>
          <w:tcPr>
            <w:tcW w:w="705" w:type="pct"/>
            <w:tcBorders>
              <w:top w:val="nil"/>
              <w:left w:val="nil"/>
              <w:bottom w:val="single" w:sz="4" w:space="0" w:color="auto"/>
              <w:right w:val="single" w:sz="4" w:space="0" w:color="auto"/>
            </w:tcBorders>
            <w:shd w:val="clear" w:color="auto" w:fill="auto"/>
            <w:noWrap/>
            <w:vAlign w:val="center"/>
            <w:hideMark/>
          </w:tcPr>
          <w:p w14:paraId="3930D17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1491407000</w:t>
            </w:r>
          </w:p>
        </w:tc>
        <w:tc>
          <w:tcPr>
            <w:tcW w:w="547" w:type="pct"/>
            <w:tcBorders>
              <w:top w:val="nil"/>
              <w:left w:val="nil"/>
              <w:bottom w:val="single" w:sz="4" w:space="0" w:color="auto"/>
              <w:right w:val="single" w:sz="4" w:space="0" w:color="auto"/>
            </w:tcBorders>
            <w:shd w:val="clear" w:color="auto" w:fill="auto"/>
            <w:noWrap/>
            <w:vAlign w:val="center"/>
            <w:hideMark/>
          </w:tcPr>
          <w:p w14:paraId="20E0E77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17110424</w:t>
            </w:r>
          </w:p>
        </w:tc>
        <w:tc>
          <w:tcPr>
            <w:tcW w:w="3360" w:type="pct"/>
            <w:tcBorders>
              <w:top w:val="nil"/>
              <w:left w:val="nil"/>
              <w:bottom w:val="single" w:sz="4" w:space="0" w:color="auto"/>
              <w:right w:val="single" w:sz="4" w:space="0" w:color="auto"/>
            </w:tcBorders>
            <w:shd w:val="clear" w:color="auto" w:fill="auto"/>
            <w:vAlign w:val="center"/>
            <w:hideMark/>
          </w:tcPr>
          <w:p w14:paraId="6F1BEE1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VARSTVENO DELOVNI CENTER MURSKA SOBOTA</w:t>
            </w:r>
          </w:p>
        </w:tc>
      </w:tr>
      <w:tr w:rsidR="00E3750C" w:rsidRPr="00415AB3" w14:paraId="45C0E8E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537840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1933</w:t>
            </w:r>
          </w:p>
        </w:tc>
        <w:tc>
          <w:tcPr>
            <w:tcW w:w="705" w:type="pct"/>
            <w:tcBorders>
              <w:top w:val="nil"/>
              <w:left w:val="nil"/>
              <w:bottom w:val="single" w:sz="4" w:space="0" w:color="auto"/>
              <w:right w:val="single" w:sz="4" w:space="0" w:color="auto"/>
            </w:tcBorders>
            <w:shd w:val="clear" w:color="auto" w:fill="auto"/>
            <w:noWrap/>
            <w:vAlign w:val="center"/>
            <w:hideMark/>
          </w:tcPr>
          <w:p w14:paraId="1DD02C7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2192993000</w:t>
            </w:r>
          </w:p>
        </w:tc>
        <w:tc>
          <w:tcPr>
            <w:tcW w:w="547" w:type="pct"/>
            <w:tcBorders>
              <w:top w:val="nil"/>
              <w:left w:val="nil"/>
              <w:bottom w:val="single" w:sz="4" w:space="0" w:color="auto"/>
              <w:right w:val="single" w:sz="4" w:space="0" w:color="auto"/>
            </w:tcBorders>
            <w:shd w:val="clear" w:color="auto" w:fill="auto"/>
            <w:noWrap/>
            <w:vAlign w:val="center"/>
            <w:hideMark/>
          </w:tcPr>
          <w:p w14:paraId="5646FF7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59761750</w:t>
            </w:r>
          </w:p>
        </w:tc>
        <w:tc>
          <w:tcPr>
            <w:tcW w:w="3360" w:type="pct"/>
            <w:tcBorders>
              <w:top w:val="nil"/>
              <w:left w:val="nil"/>
              <w:bottom w:val="single" w:sz="4" w:space="0" w:color="auto"/>
              <w:right w:val="single" w:sz="4" w:space="0" w:color="auto"/>
            </w:tcBorders>
            <w:shd w:val="clear" w:color="auto" w:fill="auto"/>
            <w:vAlign w:val="center"/>
            <w:hideMark/>
          </w:tcPr>
          <w:p w14:paraId="7CC2519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VARSTVENO DELOVNI CENTER NOVA GORICA</w:t>
            </w:r>
          </w:p>
        </w:tc>
      </w:tr>
      <w:tr w:rsidR="00E3750C" w:rsidRPr="00415AB3" w14:paraId="551A32A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4B3675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1934</w:t>
            </w:r>
          </w:p>
        </w:tc>
        <w:tc>
          <w:tcPr>
            <w:tcW w:w="705" w:type="pct"/>
            <w:tcBorders>
              <w:top w:val="nil"/>
              <w:left w:val="nil"/>
              <w:bottom w:val="single" w:sz="4" w:space="0" w:color="auto"/>
              <w:right w:val="single" w:sz="4" w:space="0" w:color="auto"/>
            </w:tcBorders>
            <w:shd w:val="clear" w:color="auto" w:fill="auto"/>
            <w:noWrap/>
            <w:vAlign w:val="center"/>
            <w:hideMark/>
          </w:tcPr>
          <w:p w14:paraId="41905FC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1462407000</w:t>
            </w:r>
          </w:p>
        </w:tc>
        <w:tc>
          <w:tcPr>
            <w:tcW w:w="547" w:type="pct"/>
            <w:tcBorders>
              <w:top w:val="nil"/>
              <w:left w:val="nil"/>
              <w:bottom w:val="single" w:sz="4" w:space="0" w:color="auto"/>
              <w:right w:val="single" w:sz="4" w:space="0" w:color="auto"/>
            </w:tcBorders>
            <w:shd w:val="clear" w:color="auto" w:fill="auto"/>
            <w:noWrap/>
            <w:vAlign w:val="center"/>
            <w:hideMark/>
          </w:tcPr>
          <w:p w14:paraId="5AB63F3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47830719</w:t>
            </w:r>
          </w:p>
        </w:tc>
        <w:tc>
          <w:tcPr>
            <w:tcW w:w="3360" w:type="pct"/>
            <w:tcBorders>
              <w:top w:val="nil"/>
              <w:left w:val="nil"/>
              <w:bottom w:val="single" w:sz="4" w:space="0" w:color="auto"/>
              <w:right w:val="single" w:sz="4" w:space="0" w:color="auto"/>
            </w:tcBorders>
            <w:shd w:val="clear" w:color="auto" w:fill="auto"/>
            <w:vAlign w:val="center"/>
            <w:hideMark/>
          </w:tcPr>
          <w:p w14:paraId="1CA3DB2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VARSTVENO DELOVNI CENTER NOVO MESTO</w:t>
            </w:r>
          </w:p>
        </w:tc>
      </w:tr>
      <w:tr w:rsidR="00E3750C" w:rsidRPr="00415AB3" w14:paraId="7B71A57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9168E0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1935</w:t>
            </w:r>
          </w:p>
        </w:tc>
        <w:tc>
          <w:tcPr>
            <w:tcW w:w="705" w:type="pct"/>
            <w:tcBorders>
              <w:top w:val="nil"/>
              <w:left w:val="nil"/>
              <w:bottom w:val="single" w:sz="4" w:space="0" w:color="auto"/>
              <w:right w:val="single" w:sz="4" w:space="0" w:color="auto"/>
            </w:tcBorders>
            <w:shd w:val="clear" w:color="auto" w:fill="auto"/>
            <w:noWrap/>
            <w:vAlign w:val="center"/>
            <w:hideMark/>
          </w:tcPr>
          <w:p w14:paraId="2152ABE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5821401000</w:t>
            </w:r>
          </w:p>
        </w:tc>
        <w:tc>
          <w:tcPr>
            <w:tcW w:w="547" w:type="pct"/>
            <w:tcBorders>
              <w:top w:val="nil"/>
              <w:left w:val="nil"/>
              <w:bottom w:val="single" w:sz="4" w:space="0" w:color="auto"/>
              <w:right w:val="single" w:sz="4" w:space="0" w:color="auto"/>
            </w:tcBorders>
            <w:shd w:val="clear" w:color="auto" w:fill="auto"/>
            <w:noWrap/>
            <w:vAlign w:val="center"/>
            <w:hideMark/>
          </w:tcPr>
          <w:p w14:paraId="7B9AB50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95649379</w:t>
            </w:r>
          </w:p>
        </w:tc>
        <w:tc>
          <w:tcPr>
            <w:tcW w:w="3360" w:type="pct"/>
            <w:tcBorders>
              <w:top w:val="nil"/>
              <w:left w:val="nil"/>
              <w:bottom w:val="single" w:sz="4" w:space="0" w:color="auto"/>
              <w:right w:val="single" w:sz="4" w:space="0" w:color="auto"/>
            </w:tcBorders>
            <w:shd w:val="clear" w:color="auto" w:fill="auto"/>
            <w:vAlign w:val="center"/>
            <w:hideMark/>
          </w:tcPr>
          <w:p w14:paraId="7920D3F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VARSTVENO DELOVNI CENTER POLŽ MARIBOR</w:t>
            </w:r>
          </w:p>
        </w:tc>
      </w:tr>
      <w:tr w:rsidR="00E3750C" w:rsidRPr="00415AB3" w14:paraId="015AD6F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1E6B41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1936</w:t>
            </w:r>
          </w:p>
        </w:tc>
        <w:tc>
          <w:tcPr>
            <w:tcW w:w="705" w:type="pct"/>
            <w:tcBorders>
              <w:top w:val="nil"/>
              <w:left w:val="nil"/>
              <w:bottom w:val="single" w:sz="4" w:space="0" w:color="auto"/>
              <w:right w:val="single" w:sz="4" w:space="0" w:color="auto"/>
            </w:tcBorders>
            <w:shd w:val="clear" w:color="auto" w:fill="auto"/>
            <w:noWrap/>
            <w:vAlign w:val="center"/>
            <w:hideMark/>
          </w:tcPr>
          <w:p w14:paraId="1A9847D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1673246000</w:t>
            </w:r>
          </w:p>
        </w:tc>
        <w:tc>
          <w:tcPr>
            <w:tcW w:w="547" w:type="pct"/>
            <w:tcBorders>
              <w:top w:val="nil"/>
              <w:left w:val="nil"/>
              <w:bottom w:val="single" w:sz="4" w:space="0" w:color="auto"/>
              <w:right w:val="single" w:sz="4" w:space="0" w:color="auto"/>
            </w:tcBorders>
            <w:shd w:val="clear" w:color="auto" w:fill="auto"/>
            <w:noWrap/>
            <w:vAlign w:val="center"/>
            <w:hideMark/>
          </w:tcPr>
          <w:p w14:paraId="5F093A1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31598412</w:t>
            </w:r>
          </w:p>
        </w:tc>
        <w:tc>
          <w:tcPr>
            <w:tcW w:w="3360" w:type="pct"/>
            <w:tcBorders>
              <w:top w:val="nil"/>
              <w:left w:val="nil"/>
              <w:bottom w:val="single" w:sz="4" w:space="0" w:color="auto"/>
              <w:right w:val="single" w:sz="4" w:space="0" w:color="auto"/>
            </w:tcBorders>
            <w:shd w:val="clear" w:color="auto" w:fill="auto"/>
            <w:vAlign w:val="center"/>
            <w:hideMark/>
          </w:tcPr>
          <w:p w14:paraId="000600D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VARSTVENO DELOVNI CENTER POSTOJNA</w:t>
            </w:r>
          </w:p>
        </w:tc>
      </w:tr>
      <w:tr w:rsidR="00E3750C" w:rsidRPr="00415AB3" w14:paraId="6BD1ED6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4F6085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1937</w:t>
            </w:r>
          </w:p>
        </w:tc>
        <w:tc>
          <w:tcPr>
            <w:tcW w:w="705" w:type="pct"/>
            <w:tcBorders>
              <w:top w:val="nil"/>
              <w:left w:val="nil"/>
              <w:bottom w:val="single" w:sz="4" w:space="0" w:color="auto"/>
              <w:right w:val="single" w:sz="4" w:space="0" w:color="auto"/>
            </w:tcBorders>
            <w:shd w:val="clear" w:color="auto" w:fill="auto"/>
            <w:noWrap/>
            <w:vAlign w:val="center"/>
            <w:hideMark/>
          </w:tcPr>
          <w:p w14:paraId="3DABD39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1821474000</w:t>
            </w:r>
          </w:p>
        </w:tc>
        <w:tc>
          <w:tcPr>
            <w:tcW w:w="547" w:type="pct"/>
            <w:tcBorders>
              <w:top w:val="nil"/>
              <w:left w:val="nil"/>
              <w:bottom w:val="single" w:sz="4" w:space="0" w:color="auto"/>
              <w:right w:val="single" w:sz="4" w:space="0" w:color="auto"/>
            </w:tcBorders>
            <w:shd w:val="clear" w:color="auto" w:fill="auto"/>
            <w:noWrap/>
            <w:vAlign w:val="center"/>
            <w:hideMark/>
          </w:tcPr>
          <w:p w14:paraId="03E0EAA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50456717</w:t>
            </w:r>
          </w:p>
        </w:tc>
        <w:tc>
          <w:tcPr>
            <w:tcW w:w="3360" w:type="pct"/>
            <w:tcBorders>
              <w:top w:val="nil"/>
              <w:left w:val="nil"/>
              <w:bottom w:val="single" w:sz="4" w:space="0" w:color="auto"/>
              <w:right w:val="single" w:sz="4" w:space="0" w:color="auto"/>
            </w:tcBorders>
            <w:shd w:val="clear" w:color="auto" w:fill="auto"/>
            <w:vAlign w:val="center"/>
            <w:hideMark/>
          </w:tcPr>
          <w:p w14:paraId="6697E24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VARSTVENO DELOVNI CENTER SAVINJSKO-ŠALEŠKA</w:t>
            </w:r>
          </w:p>
        </w:tc>
      </w:tr>
      <w:tr w:rsidR="00E3750C" w:rsidRPr="00415AB3" w14:paraId="6672F03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F8C85A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1938</w:t>
            </w:r>
          </w:p>
        </w:tc>
        <w:tc>
          <w:tcPr>
            <w:tcW w:w="705" w:type="pct"/>
            <w:tcBorders>
              <w:top w:val="nil"/>
              <w:left w:val="nil"/>
              <w:bottom w:val="single" w:sz="4" w:space="0" w:color="auto"/>
              <w:right w:val="single" w:sz="4" w:space="0" w:color="auto"/>
            </w:tcBorders>
            <w:shd w:val="clear" w:color="auto" w:fill="auto"/>
            <w:noWrap/>
            <w:vAlign w:val="center"/>
            <w:hideMark/>
          </w:tcPr>
          <w:p w14:paraId="7CF0CC7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1781740000</w:t>
            </w:r>
          </w:p>
        </w:tc>
        <w:tc>
          <w:tcPr>
            <w:tcW w:w="547" w:type="pct"/>
            <w:tcBorders>
              <w:top w:val="nil"/>
              <w:left w:val="nil"/>
              <w:bottom w:val="single" w:sz="4" w:space="0" w:color="auto"/>
              <w:right w:val="single" w:sz="4" w:space="0" w:color="auto"/>
            </w:tcBorders>
            <w:shd w:val="clear" w:color="auto" w:fill="auto"/>
            <w:noWrap/>
            <w:vAlign w:val="center"/>
            <w:hideMark/>
          </w:tcPr>
          <w:p w14:paraId="3CE08E8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59634979</w:t>
            </w:r>
          </w:p>
        </w:tc>
        <w:tc>
          <w:tcPr>
            <w:tcW w:w="3360" w:type="pct"/>
            <w:tcBorders>
              <w:top w:val="nil"/>
              <w:left w:val="nil"/>
              <w:bottom w:val="single" w:sz="4" w:space="0" w:color="auto"/>
              <w:right w:val="single" w:sz="4" w:space="0" w:color="auto"/>
            </w:tcBorders>
            <w:shd w:val="clear" w:color="auto" w:fill="auto"/>
            <w:vAlign w:val="center"/>
            <w:hideMark/>
          </w:tcPr>
          <w:p w14:paraId="0DC8ABC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VARSTVENO DELOVNI CENTER ŠENTJUR</w:t>
            </w:r>
          </w:p>
        </w:tc>
      </w:tr>
      <w:tr w:rsidR="00E3750C" w:rsidRPr="00415AB3" w14:paraId="33A93A0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276890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1939</w:t>
            </w:r>
          </w:p>
        </w:tc>
        <w:tc>
          <w:tcPr>
            <w:tcW w:w="705" w:type="pct"/>
            <w:tcBorders>
              <w:top w:val="nil"/>
              <w:left w:val="nil"/>
              <w:bottom w:val="single" w:sz="4" w:space="0" w:color="auto"/>
              <w:right w:val="single" w:sz="4" w:space="0" w:color="auto"/>
            </w:tcBorders>
            <w:shd w:val="clear" w:color="auto" w:fill="auto"/>
            <w:noWrap/>
            <w:vAlign w:val="center"/>
            <w:hideMark/>
          </w:tcPr>
          <w:p w14:paraId="7872E47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1614452000</w:t>
            </w:r>
          </w:p>
        </w:tc>
        <w:tc>
          <w:tcPr>
            <w:tcW w:w="547" w:type="pct"/>
            <w:tcBorders>
              <w:top w:val="nil"/>
              <w:left w:val="nil"/>
              <w:bottom w:val="single" w:sz="4" w:space="0" w:color="auto"/>
              <w:right w:val="single" w:sz="4" w:space="0" w:color="auto"/>
            </w:tcBorders>
            <w:shd w:val="clear" w:color="auto" w:fill="auto"/>
            <w:noWrap/>
            <w:vAlign w:val="center"/>
            <w:hideMark/>
          </w:tcPr>
          <w:p w14:paraId="6AB2D7A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88373584</w:t>
            </w:r>
          </w:p>
        </w:tc>
        <w:tc>
          <w:tcPr>
            <w:tcW w:w="3360" w:type="pct"/>
            <w:tcBorders>
              <w:top w:val="nil"/>
              <w:left w:val="nil"/>
              <w:bottom w:val="single" w:sz="4" w:space="0" w:color="auto"/>
              <w:right w:val="single" w:sz="4" w:space="0" w:color="auto"/>
            </w:tcBorders>
            <w:shd w:val="clear" w:color="auto" w:fill="auto"/>
            <w:vAlign w:val="center"/>
            <w:hideMark/>
          </w:tcPr>
          <w:p w14:paraId="6A07432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VARSTVENO DELOVNI CENTER TOLMIN</w:t>
            </w:r>
          </w:p>
        </w:tc>
      </w:tr>
      <w:tr w:rsidR="00E3750C" w:rsidRPr="00415AB3" w14:paraId="0A17BBF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E2474E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1940</w:t>
            </w:r>
          </w:p>
        </w:tc>
        <w:tc>
          <w:tcPr>
            <w:tcW w:w="705" w:type="pct"/>
            <w:tcBorders>
              <w:top w:val="nil"/>
              <w:left w:val="nil"/>
              <w:bottom w:val="single" w:sz="4" w:space="0" w:color="auto"/>
              <w:right w:val="single" w:sz="4" w:space="0" w:color="auto"/>
            </w:tcBorders>
            <w:shd w:val="clear" w:color="auto" w:fill="auto"/>
            <w:noWrap/>
            <w:vAlign w:val="center"/>
            <w:hideMark/>
          </w:tcPr>
          <w:p w14:paraId="57A6025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5055342000</w:t>
            </w:r>
          </w:p>
        </w:tc>
        <w:tc>
          <w:tcPr>
            <w:tcW w:w="547" w:type="pct"/>
            <w:tcBorders>
              <w:top w:val="nil"/>
              <w:left w:val="nil"/>
              <w:bottom w:val="single" w:sz="4" w:space="0" w:color="auto"/>
              <w:right w:val="single" w:sz="4" w:space="0" w:color="auto"/>
            </w:tcBorders>
            <w:shd w:val="clear" w:color="auto" w:fill="auto"/>
            <w:noWrap/>
            <w:vAlign w:val="center"/>
            <w:hideMark/>
          </w:tcPr>
          <w:p w14:paraId="16B4621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13423983</w:t>
            </w:r>
          </w:p>
        </w:tc>
        <w:tc>
          <w:tcPr>
            <w:tcW w:w="3360" w:type="pct"/>
            <w:tcBorders>
              <w:top w:val="nil"/>
              <w:left w:val="nil"/>
              <w:bottom w:val="single" w:sz="4" w:space="0" w:color="auto"/>
              <w:right w:val="single" w:sz="4" w:space="0" w:color="auto"/>
            </w:tcBorders>
            <w:shd w:val="clear" w:color="auto" w:fill="auto"/>
            <w:vAlign w:val="center"/>
            <w:hideMark/>
          </w:tcPr>
          <w:p w14:paraId="2124568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VARSTVENO DELOVNI CENTER TONČKE HOČEVAR</w:t>
            </w:r>
          </w:p>
        </w:tc>
      </w:tr>
      <w:tr w:rsidR="00E3750C" w:rsidRPr="00415AB3" w14:paraId="35DE0A7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B933E3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1941</w:t>
            </w:r>
          </w:p>
        </w:tc>
        <w:tc>
          <w:tcPr>
            <w:tcW w:w="705" w:type="pct"/>
            <w:tcBorders>
              <w:top w:val="nil"/>
              <w:left w:val="nil"/>
              <w:bottom w:val="single" w:sz="4" w:space="0" w:color="auto"/>
              <w:right w:val="single" w:sz="4" w:space="0" w:color="auto"/>
            </w:tcBorders>
            <w:shd w:val="clear" w:color="auto" w:fill="auto"/>
            <w:noWrap/>
            <w:vAlign w:val="center"/>
            <w:hideMark/>
          </w:tcPr>
          <w:p w14:paraId="6AC76A8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5549612000</w:t>
            </w:r>
          </w:p>
        </w:tc>
        <w:tc>
          <w:tcPr>
            <w:tcW w:w="547" w:type="pct"/>
            <w:tcBorders>
              <w:top w:val="nil"/>
              <w:left w:val="nil"/>
              <w:bottom w:val="single" w:sz="4" w:space="0" w:color="auto"/>
              <w:right w:val="single" w:sz="4" w:space="0" w:color="auto"/>
            </w:tcBorders>
            <w:shd w:val="clear" w:color="auto" w:fill="auto"/>
            <w:noWrap/>
            <w:vAlign w:val="center"/>
            <w:hideMark/>
          </w:tcPr>
          <w:p w14:paraId="7F4E71A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13699539</w:t>
            </w:r>
          </w:p>
        </w:tc>
        <w:tc>
          <w:tcPr>
            <w:tcW w:w="3360" w:type="pct"/>
            <w:tcBorders>
              <w:top w:val="nil"/>
              <w:left w:val="nil"/>
              <w:bottom w:val="single" w:sz="4" w:space="0" w:color="auto"/>
              <w:right w:val="single" w:sz="4" w:space="0" w:color="auto"/>
            </w:tcBorders>
            <w:shd w:val="clear" w:color="auto" w:fill="auto"/>
            <w:vAlign w:val="center"/>
            <w:hideMark/>
          </w:tcPr>
          <w:p w14:paraId="7F6A8E3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VARSTVENO DELOVNI CENTER ZASAVJE</w:t>
            </w:r>
          </w:p>
        </w:tc>
      </w:tr>
      <w:tr w:rsidR="00E3750C" w:rsidRPr="00415AB3" w14:paraId="3AB42FB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244BCF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1942</w:t>
            </w:r>
          </w:p>
        </w:tc>
        <w:tc>
          <w:tcPr>
            <w:tcW w:w="705" w:type="pct"/>
            <w:tcBorders>
              <w:top w:val="nil"/>
              <w:left w:val="nil"/>
              <w:bottom w:val="single" w:sz="4" w:space="0" w:color="auto"/>
              <w:right w:val="single" w:sz="4" w:space="0" w:color="auto"/>
            </w:tcBorders>
            <w:shd w:val="clear" w:color="auto" w:fill="auto"/>
            <w:noWrap/>
            <w:vAlign w:val="center"/>
            <w:hideMark/>
          </w:tcPr>
          <w:p w14:paraId="421236F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5855012000</w:t>
            </w:r>
          </w:p>
        </w:tc>
        <w:tc>
          <w:tcPr>
            <w:tcW w:w="547" w:type="pct"/>
            <w:tcBorders>
              <w:top w:val="nil"/>
              <w:left w:val="nil"/>
              <w:bottom w:val="single" w:sz="4" w:space="0" w:color="auto"/>
              <w:right w:val="single" w:sz="4" w:space="0" w:color="auto"/>
            </w:tcBorders>
            <w:shd w:val="clear" w:color="auto" w:fill="auto"/>
            <w:noWrap/>
            <w:vAlign w:val="center"/>
            <w:hideMark/>
          </w:tcPr>
          <w:p w14:paraId="4FD4209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57006229</w:t>
            </w:r>
          </w:p>
        </w:tc>
        <w:tc>
          <w:tcPr>
            <w:tcW w:w="3360" w:type="pct"/>
            <w:tcBorders>
              <w:top w:val="nil"/>
              <w:left w:val="nil"/>
              <w:bottom w:val="single" w:sz="4" w:space="0" w:color="auto"/>
              <w:right w:val="single" w:sz="4" w:space="0" w:color="auto"/>
            </w:tcBorders>
            <w:shd w:val="clear" w:color="auto" w:fill="auto"/>
            <w:vAlign w:val="center"/>
            <w:hideMark/>
          </w:tcPr>
          <w:p w14:paraId="17F204F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VARUH ČLOVEKOVIH PRAVIC REPUBLIKE SLOVENIJE</w:t>
            </w:r>
          </w:p>
        </w:tc>
      </w:tr>
      <w:tr w:rsidR="00E3750C" w:rsidRPr="00415AB3" w14:paraId="7940C70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D9893F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1943</w:t>
            </w:r>
          </w:p>
        </w:tc>
        <w:tc>
          <w:tcPr>
            <w:tcW w:w="705" w:type="pct"/>
            <w:tcBorders>
              <w:top w:val="nil"/>
              <w:left w:val="nil"/>
              <w:bottom w:val="single" w:sz="4" w:space="0" w:color="auto"/>
              <w:right w:val="single" w:sz="4" w:space="0" w:color="auto"/>
            </w:tcBorders>
            <w:shd w:val="clear" w:color="auto" w:fill="auto"/>
            <w:noWrap/>
            <w:vAlign w:val="center"/>
            <w:hideMark/>
          </w:tcPr>
          <w:p w14:paraId="5170716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1278096000</w:t>
            </w:r>
          </w:p>
        </w:tc>
        <w:tc>
          <w:tcPr>
            <w:tcW w:w="547" w:type="pct"/>
            <w:tcBorders>
              <w:top w:val="nil"/>
              <w:left w:val="nil"/>
              <w:bottom w:val="single" w:sz="4" w:space="0" w:color="auto"/>
              <w:right w:val="single" w:sz="4" w:space="0" w:color="auto"/>
            </w:tcBorders>
            <w:shd w:val="clear" w:color="auto" w:fill="auto"/>
            <w:noWrap/>
            <w:vAlign w:val="center"/>
            <w:hideMark/>
          </w:tcPr>
          <w:p w14:paraId="61BC132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72005297</w:t>
            </w:r>
          </w:p>
        </w:tc>
        <w:tc>
          <w:tcPr>
            <w:tcW w:w="3360" w:type="pct"/>
            <w:tcBorders>
              <w:top w:val="nil"/>
              <w:left w:val="nil"/>
              <w:bottom w:val="single" w:sz="4" w:space="0" w:color="auto"/>
              <w:right w:val="single" w:sz="4" w:space="0" w:color="auto"/>
            </w:tcBorders>
            <w:shd w:val="clear" w:color="auto" w:fill="auto"/>
            <w:vAlign w:val="center"/>
            <w:hideMark/>
          </w:tcPr>
          <w:p w14:paraId="07378D9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VIŠJA STROKOVNA ŠOLA ZA GOSTINSTVO IN TURIZEM MARIBOR</w:t>
            </w:r>
          </w:p>
        </w:tc>
      </w:tr>
      <w:tr w:rsidR="00E3750C" w:rsidRPr="00415AB3" w14:paraId="1196D22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5214A1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1944</w:t>
            </w:r>
          </w:p>
        </w:tc>
        <w:tc>
          <w:tcPr>
            <w:tcW w:w="705" w:type="pct"/>
            <w:tcBorders>
              <w:top w:val="nil"/>
              <w:left w:val="nil"/>
              <w:bottom w:val="single" w:sz="4" w:space="0" w:color="auto"/>
              <w:right w:val="single" w:sz="4" w:space="0" w:color="auto"/>
            </w:tcBorders>
            <w:shd w:val="clear" w:color="auto" w:fill="auto"/>
            <w:noWrap/>
            <w:vAlign w:val="center"/>
            <w:hideMark/>
          </w:tcPr>
          <w:p w14:paraId="292329E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5840503000</w:t>
            </w:r>
          </w:p>
        </w:tc>
        <w:tc>
          <w:tcPr>
            <w:tcW w:w="547" w:type="pct"/>
            <w:tcBorders>
              <w:top w:val="nil"/>
              <w:left w:val="nil"/>
              <w:bottom w:val="single" w:sz="4" w:space="0" w:color="auto"/>
              <w:right w:val="single" w:sz="4" w:space="0" w:color="auto"/>
            </w:tcBorders>
            <w:shd w:val="clear" w:color="auto" w:fill="auto"/>
            <w:noWrap/>
            <w:vAlign w:val="center"/>
            <w:hideMark/>
          </w:tcPr>
          <w:p w14:paraId="450B071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63389126</w:t>
            </w:r>
          </w:p>
        </w:tc>
        <w:tc>
          <w:tcPr>
            <w:tcW w:w="3360" w:type="pct"/>
            <w:tcBorders>
              <w:top w:val="nil"/>
              <w:left w:val="nil"/>
              <w:bottom w:val="single" w:sz="4" w:space="0" w:color="auto"/>
              <w:right w:val="single" w:sz="4" w:space="0" w:color="auto"/>
            </w:tcBorders>
            <w:shd w:val="clear" w:color="auto" w:fill="auto"/>
            <w:vAlign w:val="center"/>
            <w:hideMark/>
          </w:tcPr>
          <w:p w14:paraId="531CC3F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VIŠJE DELOVNO IN SOCIALNO SODIŠČE</w:t>
            </w:r>
          </w:p>
        </w:tc>
      </w:tr>
      <w:tr w:rsidR="00E3750C" w:rsidRPr="00415AB3" w14:paraId="5581943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20983A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1945</w:t>
            </w:r>
          </w:p>
        </w:tc>
        <w:tc>
          <w:tcPr>
            <w:tcW w:w="705" w:type="pct"/>
            <w:tcBorders>
              <w:top w:val="nil"/>
              <w:left w:val="nil"/>
              <w:bottom w:val="single" w:sz="4" w:space="0" w:color="auto"/>
              <w:right w:val="single" w:sz="4" w:space="0" w:color="auto"/>
            </w:tcBorders>
            <w:shd w:val="clear" w:color="auto" w:fill="auto"/>
            <w:noWrap/>
            <w:vAlign w:val="center"/>
            <w:hideMark/>
          </w:tcPr>
          <w:p w14:paraId="220B805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5111773000</w:t>
            </w:r>
          </w:p>
        </w:tc>
        <w:tc>
          <w:tcPr>
            <w:tcW w:w="547" w:type="pct"/>
            <w:tcBorders>
              <w:top w:val="nil"/>
              <w:left w:val="nil"/>
              <w:bottom w:val="single" w:sz="4" w:space="0" w:color="auto"/>
              <w:right w:val="single" w:sz="4" w:space="0" w:color="auto"/>
            </w:tcBorders>
            <w:shd w:val="clear" w:color="auto" w:fill="auto"/>
            <w:noWrap/>
            <w:vAlign w:val="center"/>
            <w:hideMark/>
          </w:tcPr>
          <w:p w14:paraId="2E46928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82308853</w:t>
            </w:r>
          </w:p>
        </w:tc>
        <w:tc>
          <w:tcPr>
            <w:tcW w:w="3360" w:type="pct"/>
            <w:tcBorders>
              <w:top w:val="nil"/>
              <w:left w:val="nil"/>
              <w:bottom w:val="single" w:sz="4" w:space="0" w:color="auto"/>
              <w:right w:val="single" w:sz="4" w:space="0" w:color="auto"/>
            </w:tcBorders>
            <w:shd w:val="clear" w:color="auto" w:fill="auto"/>
            <w:vAlign w:val="center"/>
            <w:hideMark/>
          </w:tcPr>
          <w:p w14:paraId="6470C6A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VIŠJE SODIŠČE V CELJU</w:t>
            </w:r>
          </w:p>
        </w:tc>
      </w:tr>
      <w:tr w:rsidR="00E3750C" w:rsidRPr="00415AB3" w14:paraId="31C4462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71FC78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1946</w:t>
            </w:r>
          </w:p>
        </w:tc>
        <w:tc>
          <w:tcPr>
            <w:tcW w:w="705" w:type="pct"/>
            <w:tcBorders>
              <w:top w:val="nil"/>
              <w:left w:val="nil"/>
              <w:bottom w:val="single" w:sz="4" w:space="0" w:color="auto"/>
              <w:right w:val="single" w:sz="4" w:space="0" w:color="auto"/>
            </w:tcBorders>
            <w:shd w:val="clear" w:color="auto" w:fill="auto"/>
            <w:noWrap/>
            <w:vAlign w:val="center"/>
            <w:hideMark/>
          </w:tcPr>
          <w:p w14:paraId="4935DC0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5105340000</w:t>
            </w:r>
          </w:p>
        </w:tc>
        <w:tc>
          <w:tcPr>
            <w:tcW w:w="547" w:type="pct"/>
            <w:tcBorders>
              <w:top w:val="nil"/>
              <w:left w:val="nil"/>
              <w:bottom w:val="single" w:sz="4" w:space="0" w:color="auto"/>
              <w:right w:val="single" w:sz="4" w:space="0" w:color="auto"/>
            </w:tcBorders>
            <w:shd w:val="clear" w:color="auto" w:fill="auto"/>
            <w:noWrap/>
            <w:vAlign w:val="center"/>
            <w:hideMark/>
          </w:tcPr>
          <w:p w14:paraId="3246166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82659214</w:t>
            </w:r>
          </w:p>
        </w:tc>
        <w:tc>
          <w:tcPr>
            <w:tcW w:w="3360" w:type="pct"/>
            <w:tcBorders>
              <w:top w:val="nil"/>
              <w:left w:val="nil"/>
              <w:bottom w:val="single" w:sz="4" w:space="0" w:color="auto"/>
              <w:right w:val="single" w:sz="4" w:space="0" w:color="auto"/>
            </w:tcBorders>
            <w:shd w:val="clear" w:color="auto" w:fill="auto"/>
            <w:vAlign w:val="center"/>
            <w:hideMark/>
          </w:tcPr>
          <w:p w14:paraId="45D5AFC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VIŠJE SODIŠČE V KOPRU</w:t>
            </w:r>
          </w:p>
        </w:tc>
      </w:tr>
      <w:tr w:rsidR="00E3750C" w:rsidRPr="00415AB3" w14:paraId="0F09E56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1C3DAC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1947</w:t>
            </w:r>
          </w:p>
        </w:tc>
        <w:tc>
          <w:tcPr>
            <w:tcW w:w="705" w:type="pct"/>
            <w:tcBorders>
              <w:top w:val="nil"/>
              <w:left w:val="nil"/>
              <w:bottom w:val="single" w:sz="4" w:space="0" w:color="auto"/>
              <w:right w:val="single" w:sz="4" w:space="0" w:color="auto"/>
            </w:tcBorders>
            <w:shd w:val="clear" w:color="auto" w:fill="auto"/>
            <w:noWrap/>
            <w:vAlign w:val="center"/>
            <w:hideMark/>
          </w:tcPr>
          <w:p w14:paraId="61ACB5E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5105331000</w:t>
            </w:r>
          </w:p>
        </w:tc>
        <w:tc>
          <w:tcPr>
            <w:tcW w:w="547" w:type="pct"/>
            <w:tcBorders>
              <w:top w:val="nil"/>
              <w:left w:val="nil"/>
              <w:bottom w:val="single" w:sz="4" w:space="0" w:color="auto"/>
              <w:right w:val="single" w:sz="4" w:space="0" w:color="auto"/>
            </w:tcBorders>
            <w:shd w:val="clear" w:color="auto" w:fill="auto"/>
            <w:noWrap/>
            <w:vAlign w:val="center"/>
            <w:hideMark/>
          </w:tcPr>
          <w:p w14:paraId="39CAF57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12478407</w:t>
            </w:r>
          </w:p>
        </w:tc>
        <w:tc>
          <w:tcPr>
            <w:tcW w:w="3360" w:type="pct"/>
            <w:tcBorders>
              <w:top w:val="nil"/>
              <w:left w:val="nil"/>
              <w:bottom w:val="single" w:sz="4" w:space="0" w:color="auto"/>
              <w:right w:val="single" w:sz="4" w:space="0" w:color="auto"/>
            </w:tcBorders>
            <w:shd w:val="clear" w:color="auto" w:fill="auto"/>
            <w:vAlign w:val="center"/>
            <w:hideMark/>
          </w:tcPr>
          <w:p w14:paraId="3A37F04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VIŠJE SODIŠČE V LJUBLJANI</w:t>
            </w:r>
          </w:p>
        </w:tc>
      </w:tr>
      <w:tr w:rsidR="00E3750C" w:rsidRPr="00415AB3" w14:paraId="74231E7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9B1914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1948</w:t>
            </w:r>
          </w:p>
        </w:tc>
        <w:tc>
          <w:tcPr>
            <w:tcW w:w="705" w:type="pct"/>
            <w:tcBorders>
              <w:top w:val="nil"/>
              <w:left w:val="nil"/>
              <w:bottom w:val="single" w:sz="4" w:space="0" w:color="auto"/>
              <w:right w:val="single" w:sz="4" w:space="0" w:color="auto"/>
            </w:tcBorders>
            <w:shd w:val="clear" w:color="auto" w:fill="auto"/>
            <w:noWrap/>
            <w:vAlign w:val="center"/>
            <w:hideMark/>
          </w:tcPr>
          <w:p w14:paraId="7C2039B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5105358000</w:t>
            </w:r>
          </w:p>
        </w:tc>
        <w:tc>
          <w:tcPr>
            <w:tcW w:w="547" w:type="pct"/>
            <w:tcBorders>
              <w:top w:val="nil"/>
              <w:left w:val="nil"/>
              <w:bottom w:val="single" w:sz="4" w:space="0" w:color="auto"/>
              <w:right w:val="single" w:sz="4" w:space="0" w:color="auto"/>
            </w:tcBorders>
            <w:shd w:val="clear" w:color="auto" w:fill="auto"/>
            <w:noWrap/>
            <w:vAlign w:val="center"/>
            <w:hideMark/>
          </w:tcPr>
          <w:p w14:paraId="7B53469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76493121</w:t>
            </w:r>
          </w:p>
        </w:tc>
        <w:tc>
          <w:tcPr>
            <w:tcW w:w="3360" w:type="pct"/>
            <w:tcBorders>
              <w:top w:val="nil"/>
              <w:left w:val="nil"/>
              <w:bottom w:val="single" w:sz="4" w:space="0" w:color="auto"/>
              <w:right w:val="single" w:sz="4" w:space="0" w:color="auto"/>
            </w:tcBorders>
            <w:shd w:val="clear" w:color="auto" w:fill="auto"/>
            <w:vAlign w:val="center"/>
            <w:hideMark/>
          </w:tcPr>
          <w:p w14:paraId="44C9287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VIŠJE SODIŠČE V MARIBORU</w:t>
            </w:r>
          </w:p>
        </w:tc>
      </w:tr>
      <w:tr w:rsidR="00E3750C" w:rsidRPr="00415AB3" w14:paraId="5D48507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253EFD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1949</w:t>
            </w:r>
          </w:p>
        </w:tc>
        <w:tc>
          <w:tcPr>
            <w:tcW w:w="705" w:type="pct"/>
            <w:tcBorders>
              <w:top w:val="nil"/>
              <w:left w:val="nil"/>
              <w:bottom w:val="single" w:sz="4" w:space="0" w:color="auto"/>
              <w:right w:val="single" w:sz="4" w:space="0" w:color="auto"/>
            </w:tcBorders>
            <w:shd w:val="clear" w:color="auto" w:fill="auto"/>
            <w:noWrap/>
            <w:vAlign w:val="center"/>
            <w:hideMark/>
          </w:tcPr>
          <w:p w14:paraId="6925628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5227798000</w:t>
            </w:r>
          </w:p>
        </w:tc>
        <w:tc>
          <w:tcPr>
            <w:tcW w:w="547" w:type="pct"/>
            <w:tcBorders>
              <w:top w:val="nil"/>
              <w:left w:val="nil"/>
              <w:bottom w:val="single" w:sz="4" w:space="0" w:color="auto"/>
              <w:right w:val="single" w:sz="4" w:space="0" w:color="auto"/>
            </w:tcBorders>
            <w:shd w:val="clear" w:color="auto" w:fill="auto"/>
            <w:noWrap/>
            <w:vAlign w:val="center"/>
            <w:hideMark/>
          </w:tcPr>
          <w:p w14:paraId="5A4190D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97924482</w:t>
            </w:r>
          </w:p>
        </w:tc>
        <w:tc>
          <w:tcPr>
            <w:tcW w:w="3360" w:type="pct"/>
            <w:tcBorders>
              <w:top w:val="nil"/>
              <w:left w:val="nil"/>
              <w:bottom w:val="single" w:sz="4" w:space="0" w:color="auto"/>
              <w:right w:val="single" w:sz="4" w:space="0" w:color="auto"/>
            </w:tcBorders>
            <w:shd w:val="clear" w:color="auto" w:fill="auto"/>
            <w:vAlign w:val="center"/>
            <w:hideMark/>
          </w:tcPr>
          <w:p w14:paraId="205E50A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VIŠKI VRTCI</w:t>
            </w:r>
          </w:p>
        </w:tc>
      </w:tr>
      <w:tr w:rsidR="00E3750C" w:rsidRPr="00415AB3" w14:paraId="2F9FD54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A43912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1950</w:t>
            </w:r>
          </w:p>
        </w:tc>
        <w:tc>
          <w:tcPr>
            <w:tcW w:w="705" w:type="pct"/>
            <w:tcBorders>
              <w:top w:val="nil"/>
              <w:left w:val="nil"/>
              <w:bottom w:val="single" w:sz="4" w:space="0" w:color="auto"/>
              <w:right w:val="single" w:sz="4" w:space="0" w:color="auto"/>
            </w:tcBorders>
            <w:shd w:val="clear" w:color="auto" w:fill="auto"/>
            <w:noWrap/>
            <w:vAlign w:val="center"/>
            <w:hideMark/>
          </w:tcPr>
          <w:p w14:paraId="4D23D67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5028345000</w:t>
            </w:r>
          </w:p>
        </w:tc>
        <w:tc>
          <w:tcPr>
            <w:tcW w:w="547" w:type="pct"/>
            <w:tcBorders>
              <w:top w:val="nil"/>
              <w:left w:val="nil"/>
              <w:bottom w:val="single" w:sz="4" w:space="0" w:color="auto"/>
              <w:right w:val="single" w:sz="4" w:space="0" w:color="auto"/>
            </w:tcBorders>
            <w:shd w:val="clear" w:color="auto" w:fill="auto"/>
            <w:noWrap/>
            <w:vAlign w:val="center"/>
            <w:hideMark/>
          </w:tcPr>
          <w:p w14:paraId="72E84D0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92197876</w:t>
            </w:r>
          </w:p>
        </w:tc>
        <w:tc>
          <w:tcPr>
            <w:tcW w:w="3360" w:type="pct"/>
            <w:tcBorders>
              <w:top w:val="nil"/>
              <w:left w:val="nil"/>
              <w:bottom w:val="single" w:sz="4" w:space="0" w:color="auto"/>
              <w:right w:val="single" w:sz="4" w:space="0" w:color="auto"/>
            </w:tcBorders>
            <w:shd w:val="clear" w:color="auto" w:fill="auto"/>
            <w:vAlign w:val="center"/>
            <w:hideMark/>
          </w:tcPr>
          <w:p w14:paraId="54DFFAA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VLADA REPUBLIKE SLOVENIJE PROTOKOL</w:t>
            </w:r>
          </w:p>
        </w:tc>
      </w:tr>
      <w:tr w:rsidR="00E3750C" w:rsidRPr="00415AB3" w14:paraId="4B00F3F2"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1C5BAE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1951</w:t>
            </w:r>
          </w:p>
        </w:tc>
        <w:tc>
          <w:tcPr>
            <w:tcW w:w="705" w:type="pct"/>
            <w:tcBorders>
              <w:top w:val="nil"/>
              <w:left w:val="nil"/>
              <w:bottom w:val="single" w:sz="4" w:space="0" w:color="auto"/>
              <w:right w:val="single" w:sz="4" w:space="0" w:color="auto"/>
            </w:tcBorders>
            <w:shd w:val="clear" w:color="auto" w:fill="auto"/>
            <w:noWrap/>
            <w:vAlign w:val="center"/>
            <w:hideMark/>
          </w:tcPr>
          <w:p w14:paraId="399F9C3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5022932000</w:t>
            </w:r>
          </w:p>
        </w:tc>
        <w:tc>
          <w:tcPr>
            <w:tcW w:w="547" w:type="pct"/>
            <w:tcBorders>
              <w:top w:val="nil"/>
              <w:left w:val="nil"/>
              <w:bottom w:val="single" w:sz="4" w:space="0" w:color="auto"/>
              <w:right w:val="single" w:sz="4" w:space="0" w:color="auto"/>
            </w:tcBorders>
            <w:shd w:val="clear" w:color="auto" w:fill="auto"/>
            <w:noWrap/>
            <w:vAlign w:val="center"/>
            <w:hideMark/>
          </w:tcPr>
          <w:p w14:paraId="3B38A63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97093726</w:t>
            </w:r>
          </w:p>
        </w:tc>
        <w:tc>
          <w:tcPr>
            <w:tcW w:w="3360" w:type="pct"/>
            <w:tcBorders>
              <w:top w:val="nil"/>
              <w:left w:val="nil"/>
              <w:bottom w:val="single" w:sz="4" w:space="0" w:color="auto"/>
              <w:right w:val="single" w:sz="4" w:space="0" w:color="auto"/>
            </w:tcBorders>
            <w:shd w:val="clear" w:color="auto" w:fill="auto"/>
            <w:vAlign w:val="center"/>
            <w:hideMark/>
          </w:tcPr>
          <w:p w14:paraId="074DB40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VLADA REPUBLIKE SLOVENIJE STATISTIČNI URAD REPUBLIKE SLOVENIJE</w:t>
            </w:r>
          </w:p>
        </w:tc>
      </w:tr>
      <w:tr w:rsidR="00E3750C" w:rsidRPr="00415AB3" w14:paraId="73D63B0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E9B5E9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1952</w:t>
            </w:r>
          </w:p>
        </w:tc>
        <w:tc>
          <w:tcPr>
            <w:tcW w:w="705" w:type="pct"/>
            <w:tcBorders>
              <w:top w:val="nil"/>
              <w:left w:val="nil"/>
              <w:bottom w:val="single" w:sz="4" w:space="0" w:color="auto"/>
              <w:right w:val="single" w:sz="4" w:space="0" w:color="auto"/>
            </w:tcBorders>
            <w:shd w:val="clear" w:color="auto" w:fill="auto"/>
            <w:noWrap/>
            <w:vAlign w:val="center"/>
            <w:hideMark/>
          </w:tcPr>
          <w:p w14:paraId="29895C6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5914540000</w:t>
            </w:r>
          </w:p>
        </w:tc>
        <w:tc>
          <w:tcPr>
            <w:tcW w:w="547" w:type="pct"/>
            <w:tcBorders>
              <w:top w:val="nil"/>
              <w:left w:val="nil"/>
              <w:bottom w:val="single" w:sz="4" w:space="0" w:color="auto"/>
              <w:right w:val="single" w:sz="4" w:space="0" w:color="auto"/>
            </w:tcBorders>
            <w:shd w:val="clear" w:color="auto" w:fill="auto"/>
            <w:noWrap/>
            <w:vAlign w:val="center"/>
            <w:hideMark/>
          </w:tcPr>
          <w:p w14:paraId="15AA3A6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45804109</w:t>
            </w:r>
          </w:p>
        </w:tc>
        <w:tc>
          <w:tcPr>
            <w:tcW w:w="3360" w:type="pct"/>
            <w:tcBorders>
              <w:top w:val="nil"/>
              <w:left w:val="nil"/>
              <w:bottom w:val="single" w:sz="4" w:space="0" w:color="auto"/>
              <w:right w:val="single" w:sz="4" w:space="0" w:color="auto"/>
            </w:tcBorders>
            <w:shd w:val="clear" w:color="auto" w:fill="auto"/>
            <w:vAlign w:val="center"/>
            <w:hideMark/>
          </w:tcPr>
          <w:p w14:paraId="3E8E4AB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VODOVOD - KANALIZACIJA JAVNO PODJETJE, D.O.O.</w:t>
            </w:r>
          </w:p>
        </w:tc>
      </w:tr>
      <w:tr w:rsidR="00E3750C" w:rsidRPr="00415AB3" w14:paraId="13BB20E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CA2895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1953</w:t>
            </w:r>
          </w:p>
        </w:tc>
        <w:tc>
          <w:tcPr>
            <w:tcW w:w="705" w:type="pct"/>
            <w:tcBorders>
              <w:top w:val="nil"/>
              <w:left w:val="nil"/>
              <w:bottom w:val="single" w:sz="4" w:space="0" w:color="auto"/>
              <w:right w:val="single" w:sz="4" w:space="0" w:color="auto"/>
            </w:tcBorders>
            <w:shd w:val="clear" w:color="auto" w:fill="auto"/>
            <w:noWrap/>
            <w:vAlign w:val="center"/>
            <w:hideMark/>
          </w:tcPr>
          <w:p w14:paraId="027C226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1550144000</w:t>
            </w:r>
          </w:p>
        </w:tc>
        <w:tc>
          <w:tcPr>
            <w:tcW w:w="547" w:type="pct"/>
            <w:tcBorders>
              <w:top w:val="nil"/>
              <w:left w:val="nil"/>
              <w:bottom w:val="single" w:sz="4" w:space="0" w:color="auto"/>
              <w:right w:val="single" w:sz="4" w:space="0" w:color="auto"/>
            </w:tcBorders>
            <w:shd w:val="clear" w:color="auto" w:fill="auto"/>
            <w:noWrap/>
            <w:vAlign w:val="center"/>
            <w:hideMark/>
          </w:tcPr>
          <w:p w14:paraId="6F419C9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91503027</w:t>
            </w:r>
          </w:p>
        </w:tc>
        <w:tc>
          <w:tcPr>
            <w:tcW w:w="3360" w:type="pct"/>
            <w:tcBorders>
              <w:top w:val="nil"/>
              <w:left w:val="nil"/>
              <w:bottom w:val="single" w:sz="4" w:space="0" w:color="auto"/>
              <w:right w:val="single" w:sz="4" w:space="0" w:color="auto"/>
            </w:tcBorders>
            <w:shd w:val="clear" w:color="auto" w:fill="auto"/>
            <w:vAlign w:val="center"/>
            <w:hideMark/>
          </w:tcPr>
          <w:p w14:paraId="43223E4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VODOVODI IN KANALIZACIJA NOVA GORICA D.D.</w:t>
            </w:r>
          </w:p>
        </w:tc>
      </w:tr>
      <w:tr w:rsidR="00E3750C" w:rsidRPr="00415AB3" w14:paraId="066F6F1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CE9F6D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1954</w:t>
            </w:r>
          </w:p>
        </w:tc>
        <w:tc>
          <w:tcPr>
            <w:tcW w:w="705" w:type="pct"/>
            <w:tcBorders>
              <w:top w:val="nil"/>
              <w:left w:val="nil"/>
              <w:bottom w:val="single" w:sz="4" w:space="0" w:color="auto"/>
              <w:right w:val="single" w:sz="4" w:space="0" w:color="auto"/>
            </w:tcBorders>
            <w:shd w:val="clear" w:color="auto" w:fill="auto"/>
            <w:noWrap/>
            <w:vAlign w:val="center"/>
            <w:hideMark/>
          </w:tcPr>
          <w:p w14:paraId="06B057E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5022754000</w:t>
            </w:r>
          </w:p>
        </w:tc>
        <w:tc>
          <w:tcPr>
            <w:tcW w:w="547" w:type="pct"/>
            <w:tcBorders>
              <w:top w:val="nil"/>
              <w:left w:val="nil"/>
              <w:bottom w:val="single" w:sz="4" w:space="0" w:color="auto"/>
              <w:right w:val="single" w:sz="4" w:space="0" w:color="auto"/>
            </w:tcBorders>
            <w:shd w:val="clear" w:color="auto" w:fill="auto"/>
            <w:noWrap/>
            <w:vAlign w:val="center"/>
            <w:hideMark/>
          </w:tcPr>
          <w:p w14:paraId="3629D83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14966344</w:t>
            </w:r>
          </w:p>
        </w:tc>
        <w:tc>
          <w:tcPr>
            <w:tcW w:w="3360" w:type="pct"/>
            <w:tcBorders>
              <w:top w:val="nil"/>
              <w:left w:val="nil"/>
              <w:bottom w:val="single" w:sz="4" w:space="0" w:color="auto"/>
              <w:right w:val="single" w:sz="4" w:space="0" w:color="auto"/>
            </w:tcBorders>
            <w:shd w:val="clear" w:color="auto" w:fill="auto"/>
            <w:vAlign w:val="center"/>
            <w:hideMark/>
          </w:tcPr>
          <w:p w14:paraId="7E57B95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VRHOVNO DRŽAVNO TOŽILSTVO REPUBLIKE SLOVENIJE</w:t>
            </w:r>
          </w:p>
        </w:tc>
      </w:tr>
      <w:tr w:rsidR="00E3750C" w:rsidRPr="00415AB3" w14:paraId="61FE58F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C05AFA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1955</w:t>
            </w:r>
          </w:p>
        </w:tc>
        <w:tc>
          <w:tcPr>
            <w:tcW w:w="705" w:type="pct"/>
            <w:tcBorders>
              <w:top w:val="nil"/>
              <w:left w:val="nil"/>
              <w:bottom w:val="single" w:sz="4" w:space="0" w:color="auto"/>
              <w:right w:val="single" w:sz="4" w:space="0" w:color="auto"/>
            </w:tcBorders>
            <w:shd w:val="clear" w:color="auto" w:fill="auto"/>
            <w:noWrap/>
            <w:vAlign w:val="center"/>
            <w:hideMark/>
          </w:tcPr>
          <w:p w14:paraId="0131766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5022789000</w:t>
            </w:r>
          </w:p>
        </w:tc>
        <w:tc>
          <w:tcPr>
            <w:tcW w:w="547" w:type="pct"/>
            <w:tcBorders>
              <w:top w:val="nil"/>
              <w:left w:val="nil"/>
              <w:bottom w:val="single" w:sz="4" w:space="0" w:color="auto"/>
              <w:right w:val="single" w:sz="4" w:space="0" w:color="auto"/>
            </w:tcBorders>
            <w:shd w:val="clear" w:color="auto" w:fill="auto"/>
            <w:noWrap/>
            <w:vAlign w:val="center"/>
            <w:hideMark/>
          </w:tcPr>
          <w:p w14:paraId="6197753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79182119</w:t>
            </w:r>
          </w:p>
        </w:tc>
        <w:tc>
          <w:tcPr>
            <w:tcW w:w="3360" w:type="pct"/>
            <w:tcBorders>
              <w:top w:val="nil"/>
              <w:left w:val="nil"/>
              <w:bottom w:val="single" w:sz="4" w:space="0" w:color="auto"/>
              <w:right w:val="single" w:sz="4" w:space="0" w:color="auto"/>
            </w:tcBorders>
            <w:shd w:val="clear" w:color="auto" w:fill="auto"/>
            <w:vAlign w:val="center"/>
            <w:hideMark/>
          </w:tcPr>
          <w:p w14:paraId="0A7913E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VRHOVNO SODIŠČE REPUBLIKE SLOVENIJE</w:t>
            </w:r>
          </w:p>
        </w:tc>
      </w:tr>
      <w:tr w:rsidR="00E3750C" w:rsidRPr="00415AB3" w14:paraId="1E29CF3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5A6FA5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1956</w:t>
            </w:r>
          </w:p>
        </w:tc>
        <w:tc>
          <w:tcPr>
            <w:tcW w:w="705" w:type="pct"/>
            <w:tcBorders>
              <w:top w:val="nil"/>
              <w:left w:val="nil"/>
              <w:bottom w:val="single" w:sz="4" w:space="0" w:color="auto"/>
              <w:right w:val="single" w:sz="4" w:space="0" w:color="auto"/>
            </w:tcBorders>
            <w:shd w:val="clear" w:color="auto" w:fill="auto"/>
            <w:noWrap/>
            <w:vAlign w:val="center"/>
            <w:hideMark/>
          </w:tcPr>
          <w:p w14:paraId="21DE4E1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5968224000</w:t>
            </w:r>
          </w:p>
        </w:tc>
        <w:tc>
          <w:tcPr>
            <w:tcW w:w="547" w:type="pct"/>
            <w:tcBorders>
              <w:top w:val="nil"/>
              <w:left w:val="nil"/>
              <w:bottom w:val="single" w:sz="4" w:space="0" w:color="auto"/>
              <w:right w:val="single" w:sz="4" w:space="0" w:color="auto"/>
            </w:tcBorders>
            <w:shd w:val="clear" w:color="auto" w:fill="auto"/>
            <w:noWrap/>
            <w:vAlign w:val="center"/>
            <w:hideMark/>
          </w:tcPr>
          <w:p w14:paraId="6867BA6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74716468</w:t>
            </w:r>
          </w:p>
        </w:tc>
        <w:tc>
          <w:tcPr>
            <w:tcW w:w="3360" w:type="pct"/>
            <w:tcBorders>
              <w:top w:val="nil"/>
              <w:left w:val="nil"/>
              <w:bottom w:val="single" w:sz="4" w:space="0" w:color="auto"/>
              <w:right w:val="single" w:sz="4" w:space="0" w:color="auto"/>
            </w:tcBorders>
            <w:shd w:val="clear" w:color="auto" w:fill="auto"/>
            <w:vAlign w:val="center"/>
            <w:hideMark/>
          </w:tcPr>
          <w:p w14:paraId="6E67C62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VRTCI OBČINE MORAVSKE TOPLICE</w:t>
            </w:r>
          </w:p>
        </w:tc>
      </w:tr>
      <w:tr w:rsidR="00E3750C" w:rsidRPr="00415AB3" w14:paraId="510C0D6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4FF2D0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1957</w:t>
            </w:r>
          </w:p>
        </w:tc>
        <w:tc>
          <w:tcPr>
            <w:tcW w:w="705" w:type="pct"/>
            <w:tcBorders>
              <w:top w:val="nil"/>
              <w:left w:val="nil"/>
              <w:bottom w:val="single" w:sz="4" w:space="0" w:color="auto"/>
              <w:right w:val="single" w:sz="4" w:space="0" w:color="auto"/>
            </w:tcBorders>
            <w:shd w:val="clear" w:color="auto" w:fill="auto"/>
            <w:noWrap/>
            <w:vAlign w:val="center"/>
            <w:hideMark/>
          </w:tcPr>
          <w:p w14:paraId="0C6E1F7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5055423000</w:t>
            </w:r>
          </w:p>
        </w:tc>
        <w:tc>
          <w:tcPr>
            <w:tcW w:w="547" w:type="pct"/>
            <w:tcBorders>
              <w:top w:val="nil"/>
              <w:left w:val="nil"/>
              <w:bottom w:val="single" w:sz="4" w:space="0" w:color="auto"/>
              <w:right w:val="single" w:sz="4" w:space="0" w:color="auto"/>
            </w:tcBorders>
            <w:shd w:val="clear" w:color="auto" w:fill="auto"/>
            <w:noWrap/>
            <w:vAlign w:val="center"/>
            <w:hideMark/>
          </w:tcPr>
          <w:p w14:paraId="77B8B54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38396742</w:t>
            </w:r>
          </w:p>
        </w:tc>
        <w:tc>
          <w:tcPr>
            <w:tcW w:w="3360" w:type="pct"/>
            <w:tcBorders>
              <w:top w:val="nil"/>
              <w:left w:val="nil"/>
              <w:bottom w:val="single" w:sz="4" w:space="0" w:color="auto"/>
              <w:right w:val="single" w:sz="4" w:space="0" w:color="auto"/>
            </w:tcBorders>
            <w:shd w:val="clear" w:color="auto" w:fill="auto"/>
            <w:vAlign w:val="center"/>
            <w:hideMark/>
          </w:tcPr>
          <w:p w14:paraId="040F110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VRTCI OBČINE ŽALEC</w:t>
            </w:r>
          </w:p>
        </w:tc>
      </w:tr>
      <w:tr w:rsidR="00E3750C" w:rsidRPr="00415AB3" w14:paraId="5ACD2DD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66C2C6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1958</w:t>
            </w:r>
          </w:p>
        </w:tc>
        <w:tc>
          <w:tcPr>
            <w:tcW w:w="705" w:type="pct"/>
            <w:tcBorders>
              <w:top w:val="nil"/>
              <w:left w:val="nil"/>
              <w:bottom w:val="single" w:sz="4" w:space="0" w:color="auto"/>
              <w:right w:val="single" w:sz="4" w:space="0" w:color="auto"/>
            </w:tcBorders>
            <w:shd w:val="clear" w:color="auto" w:fill="auto"/>
            <w:noWrap/>
            <w:vAlign w:val="center"/>
            <w:hideMark/>
          </w:tcPr>
          <w:p w14:paraId="0EF00D1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5055539000</w:t>
            </w:r>
          </w:p>
        </w:tc>
        <w:tc>
          <w:tcPr>
            <w:tcW w:w="547" w:type="pct"/>
            <w:tcBorders>
              <w:top w:val="nil"/>
              <w:left w:val="nil"/>
              <w:bottom w:val="single" w:sz="4" w:space="0" w:color="auto"/>
              <w:right w:val="single" w:sz="4" w:space="0" w:color="auto"/>
            </w:tcBorders>
            <w:shd w:val="clear" w:color="auto" w:fill="auto"/>
            <w:noWrap/>
            <w:vAlign w:val="center"/>
            <w:hideMark/>
          </w:tcPr>
          <w:p w14:paraId="2A31E7A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72213558</w:t>
            </w:r>
          </w:p>
        </w:tc>
        <w:tc>
          <w:tcPr>
            <w:tcW w:w="3360" w:type="pct"/>
            <w:tcBorders>
              <w:top w:val="nil"/>
              <w:left w:val="nil"/>
              <w:bottom w:val="single" w:sz="4" w:space="0" w:color="auto"/>
              <w:right w:val="single" w:sz="4" w:space="0" w:color="auto"/>
            </w:tcBorders>
            <w:shd w:val="clear" w:color="auto" w:fill="auto"/>
            <w:vAlign w:val="center"/>
            <w:hideMark/>
          </w:tcPr>
          <w:p w14:paraId="57906DB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ANICE ČERNEJEVE</w:t>
            </w:r>
          </w:p>
        </w:tc>
      </w:tr>
      <w:tr w:rsidR="00E3750C" w:rsidRPr="00415AB3" w14:paraId="3F5EC69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C6370D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1959</w:t>
            </w:r>
          </w:p>
        </w:tc>
        <w:tc>
          <w:tcPr>
            <w:tcW w:w="705" w:type="pct"/>
            <w:tcBorders>
              <w:top w:val="nil"/>
              <w:left w:val="nil"/>
              <w:bottom w:val="single" w:sz="4" w:space="0" w:color="auto"/>
              <w:right w:val="single" w:sz="4" w:space="0" w:color="auto"/>
            </w:tcBorders>
            <w:shd w:val="clear" w:color="auto" w:fill="auto"/>
            <w:noWrap/>
            <w:vAlign w:val="center"/>
            <w:hideMark/>
          </w:tcPr>
          <w:p w14:paraId="5DEC874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5050952000</w:t>
            </w:r>
          </w:p>
        </w:tc>
        <w:tc>
          <w:tcPr>
            <w:tcW w:w="547" w:type="pct"/>
            <w:tcBorders>
              <w:top w:val="nil"/>
              <w:left w:val="nil"/>
              <w:bottom w:val="single" w:sz="4" w:space="0" w:color="auto"/>
              <w:right w:val="single" w:sz="4" w:space="0" w:color="auto"/>
            </w:tcBorders>
            <w:shd w:val="clear" w:color="auto" w:fill="auto"/>
            <w:noWrap/>
            <w:vAlign w:val="center"/>
            <w:hideMark/>
          </w:tcPr>
          <w:p w14:paraId="560E77D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19727615</w:t>
            </w:r>
          </w:p>
        </w:tc>
        <w:tc>
          <w:tcPr>
            <w:tcW w:w="3360" w:type="pct"/>
            <w:tcBorders>
              <w:top w:val="nil"/>
              <w:left w:val="nil"/>
              <w:bottom w:val="single" w:sz="4" w:space="0" w:color="auto"/>
              <w:right w:val="single" w:sz="4" w:space="0" w:color="auto"/>
            </w:tcBorders>
            <w:shd w:val="clear" w:color="auto" w:fill="auto"/>
            <w:vAlign w:val="center"/>
            <w:hideMark/>
          </w:tcPr>
          <w:p w14:paraId="04189D7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ANTONA MEDVEDA KAMNIK</w:t>
            </w:r>
          </w:p>
        </w:tc>
      </w:tr>
      <w:tr w:rsidR="00E3750C" w:rsidRPr="00415AB3" w14:paraId="7A9411E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1F4495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1960</w:t>
            </w:r>
          </w:p>
        </w:tc>
        <w:tc>
          <w:tcPr>
            <w:tcW w:w="705" w:type="pct"/>
            <w:tcBorders>
              <w:top w:val="nil"/>
              <w:left w:val="nil"/>
              <w:bottom w:val="single" w:sz="4" w:space="0" w:color="auto"/>
              <w:right w:val="single" w:sz="4" w:space="0" w:color="auto"/>
            </w:tcBorders>
            <w:shd w:val="clear" w:color="auto" w:fill="auto"/>
            <w:noWrap/>
            <w:vAlign w:val="center"/>
            <w:hideMark/>
          </w:tcPr>
          <w:p w14:paraId="03AE964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1122657000</w:t>
            </w:r>
          </w:p>
        </w:tc>
        <w:tc>
          <w:tcPr>
            <w:tcW w:w="547" w:type="pct"/>
            <w:tcBorders>
              <w:top w:val="nil"/>
              <w:left w:val="nil"/>
              <w:bottom w:val="single" w:sz="4" w:space="0" w:color="auto"/>
              <w:right w:val="single" w:sz="4" w:space="0" w:color="auto"/>
            </w:tcBorders>
            <w:shd w:val="clear" w:color="auto" w:fill="auto"/>
            <w:noWrap/>
            <w:vAlign w:val="center"/>
            <w:hideMark/>
          </w:tcPr>
          <w:p w14:paraId="5BC8DFF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47292067</w:t>
            </w:r>
          </w:p>
        </w:tc>
        <w:tc>
          <w:tcPr>
            <w:tcW w:w="3360" w:type="pct"/>
            <w:tcBorders>
              <w:top w:val="nil"/>
              <w:left w:val="nil"/>
              <w:bottom w:val="single" w:sz="4" w:space="0" w:color="auto"/>
              <w:right w:val="single" w:sz="4" w:space="0" w:color="auto"/>
            </w:tcBorders>
            <w:shd w:val="clear" w:color="auto" w:fill="auto"/>
            <w:vAlign w:val="center"/>
            <w:hideMark/>
          </w:tcPr>
          <w:p w14:paraId="4443DD7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BELTINCI</w:t>
            </w:r>
          </w:p>
        </w:tc>
      </w:tr>
      <w:tr w:rsidR="00E3750C" w:rsidRPr="00415AB3" w14:paraId="45DE509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D804F9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1961</w:t>
            </w:r>
          </w:p>
        </w:tc>
        <w:tc>
          <w:tcPr>
            <w:tcW w:w="705" w:type="pct"/>
            <w:tcBorders>
              <w:top w:val="nil"/>
              <w:left w:val="nil"/>
              <w:bottom w:val="single" w:sz="4" w:space="0" w:color="auto"/>
              <w:right w:val="single" w:sz="4" w:space="0" w:color="auto"/>
            </w:tcBorders>
            <w:shd w:val="clear" w:color="auto" w:fill="auto"/>
            <w:noWrap/>
            <w:vAlign w:val="center"/>
            <w:hideMark/>
          </w:tcPr>
          <w:p w14:paraId="5E7A515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1226827000</w:t>
            </w:r>
          </w:p>
        </w:tc>
        <w:tc>
          <w:tcPr>
            <w:tcW w:w="547" w:type="pct"/>
            <w:tcBorders>
              <w:top w:val="nil"/>
              <w:left w:val="nil"/>
              <w:bottom w:val="single" w:sz="4" w:space="0" w:color="auto"/>
              <w:right w:val="single" w:sz="4" w:space="0" w:color="auto"/>
            </w:tcBorders>
            <w:shd w:val="clear" w:color="auto" w:fill="auto"/>
            <w:noWrap/>
            <w:vAlign w:val="center"/>
            <w:hideMark/>
          </w:tcPr>
          <w:p w14:paraId="159019C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71708103</w:t>
            </w:r>
          </w:p>
        </w:tc>
        <w:tc>
          <w:tcPr>
            <w:tcW w:w="3360" w:type="pct"/>
            <w:tcBorders>
              <w:top w:val="nil"/>
              <w:left w:val="nil"/>
              <w:bottom w:val="single" w:sz="4" w:space="0" w:color="auto"/>
              <w:right w:val="single" w:sz="4" w:space="0" w:color="auto"/>
            </w:tcBorders>
            <w:shd w:val="clear" w:color="auto" w:fill="auto"/>
            <w:vAlign w:val="center"/>
            <w:hideMark/>
          </w:tcPr>
          <w:p w14:paraId="5439BB9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BLED</w:t>
            </w:r>
          </w:p>
        </w:tc>
      </w:tr>
      <w:tr w:rsidR="00E3750C" w:rsidRPr="00415AB3" w14:paraId="099CACC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CC6AEA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1962</w:t>
            </w:r>
          </w:p>
        </w:tc>
        <w:tc>
          <w:tcPr>
            <w:tcW w:w="705" w:type="pct"/>
            <w:tcBorders>
              <w:top w:val="nil"/>
              <w:left w:val="nil"/>
              <w:bottom w:val="single" w:sz="4" w:space="0" w:color="auto"/>
              <w:right w:val="single" w:sz="4" w:space="0" w:color="auto"/>
            </w:tcBorders>
            <w:shd w:val="clear" w:color="auto" w:fill="auto"/>
            <w:noWrap/>
            <w:vAlign w:val="center"/>
            <w:hideMark/>
          </w:tcPr>
          <w:p w14:paraId="6D27624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5050308000</w:t>
            </w:r>
          </w:p>
        </w:tc>
        <w:tc>
          <w:tcPr>
            <w:tcW w:w="547" w:type="pct"/>
            <w:tcBorders>
              <w:top w:val="nil"/>
              <w:left w:val="nil"/>
              <w:bottom w:val="single" w:sz="4" w:space="0" w:color="auto"/>
              <w:right w:val="single" w:sz="4" w:space="0" w:color="auto"/>
            </w:tcBorders>
            <w:shd w:val="clear" w:color="auto" w:fill="auto"/>
            <w:noWrap/>
            <w:vAlign w:val="center"/>
            <w:hideMark/>
          </w:tcPr>
          <w:p w14:paraId="1AF1684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53089758</w:t>
            </w:r>
          </w:p>
        </w:tc>
        <w:tc>
          <w:tcPr>
            <w:tcW w:w="3360" w:type="pct"/>
            <w:tcBorders>
              <w:top w:val="nil"/>
              <w:left w:val="nil"/>
              <w:bottom w:val="single" w:sz="4" w:space="0" w:color="auto"/>
              <w:right w:val="single" w:sz="4" w:space="0" w:color="auto"/>
            </w:tcBorders>
            <w:shd w:val="clear" w:color="auto" w:fill="auto"/>
            <w:vAlign w:val="center"/>
            <w:hideMark/>
          </w:tcPr>
          <w:p w14:paraId="3A3B223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BORISA PEČETA MARIBOR</w:t>
            </w:r>
          </w:p>
        </w:tc>
      </w:tr>
      <w:tr w:rsidR="00E3750C" w:rsidRPr="00415AB3" w14:paraId="67E33BC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A9D912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1963</w:t>
            </w:r>
          </w:p>
        </w:tc>
        <w:tc>
          <w:tcPr>
            <w:tcW w:w="705" w:type="pct"/>
            <w:tcBorders>
              <w:top w:val="nil"/>
              <w:left w:val="nil"/>
              <w:bottom w:val="single" w:sz="4" w:space="0" w:color="auto"/>
              <w:right w:val="single" w:sz="4" w:space="0" w:color="auto"/>
            </w:tcBorders>
            <w:shd w:val="clear" w:color="auto" w:fill="auto"/>
            <w:noWrap/>
            <w:vAlign w:val="center"/>
            <w:hideMark/>
          </w:tcPr>
          <w:p w14:paraId="69D77CB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5049962000</w:t>
            </w:r>
          </w:p>
        </w:tc>
        <w:tc>
          <w:tcPr>
            <w:tcW w:w="547" w:type="pct"/>
            <w:tcBorders>
              <w:top w:val="nil"/>
              <w:left w:val="nil"/>
              <w:bottom w:val="single" w:sz="4" w:space="0" w:color="auto"/>
              <w:right w:val="single" w:sz="4" w:space="0" w:color="auto"/>
            </w:tcBorders>
            <w:shd w:val="clear" w:color="auto" w:fill="auto"/>
            <w:noWrap/>
            <w:vAlign w:val="center"/>
            <w:hideMark/>
          </w:tcPr>
          <w:p w14:paraId="0AD8144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17206421</w:t>
            </w:r>
          </w:p>
        </w:tc>
        <w:tc>
          <w:tcPr>
            <w:tcW w:w="3360" w:type="pct"/>
            <w:tcBorders>
              <w:top w:val="nil"/>
              <w:left w:val="nil"/>
              <w:bottom w:val="single" w:sz="4" w:space="0" w:color="auto"/>
              <w:right w:val="single" w:sz="4" w:space="0" w:color="auto"/>
            </w:tcBorders>
            <w:shd w:val="clear" w:color="auto" w:fill="auto"/>
            <w:vAlign w:val="center"/>
            <w:hideMark/>
          </w:tcPr>
          <w:p w14:paraId="1E8ED08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CICIBAN</w:t>
            </w:r>
          </w:p>
        </w:tc>
      </w:tr>
      <w:tr w:rsidR="00E3750C" w:rsidRPr="00415AB3" w14:paraId="0362EFC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3797F5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1964</w:t>
            </w:r>
          </w:p>
        </w:tc>
        <w:tc>
          <w:tcPr>
            <w:tcW w:w="705" w:type="pct"/>
            <w:tcBorders>
              <w:top w:val="nil"/>
              <w:left w:val="nil"/>
              <w:bottom w:val="single" w:sz="4" w:space="0" w:color="auto"/>
              <w:right w:val="single" w:sz="4" w:space="0" w:color="auto"/>
            </w:tcBorders>
            <w:shd w:val="clear" w:color="auto" w:fill="auto"/>
            <w:noWrap/>
            <w:vAlign w:val="center"/>
            <w:hideMark/>
          </w:tcPr>
          <w:p w14:paraId="3715EC1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5055911000</w:t>
            </w:r>
          </w:p>
        </w:tc>
        <w:tc>
          <w:tcPr>
            <w:tcW w:w="547" w:type="pct"/>
            <w:tcBorders>
              <w:top w:val="nil"/>
              <w:left w:val="nil"/>
              <w:bottom w:val="single" w:sz="4" w:space="0" w:color="auto"/>
              <w:right w:val="single" w:sz="4" w:space="0" w:color="auto"/>
            </w:tcBorders>
            <w:shd w:val="clear" w:color="auto" w:fill="auto"/>
            <w:noWrap/>
            <w:vAlign w:val="center"/>
            <w:hideMark/>
          </w:tcPr>
          <w:p w14:paraId="5F0FFC6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43385966</w:t>
            </w:r>
          </w:p>
        </w:tc>
        <w:tc>
          <w:tcPr>
            <w:tcW w:w="3360" w:type="pct"/>
            <w:tcBorders>
              <w:top w:val="nil"/>
              <w:left w:val="nil"/>
              <w:bottom w:val="single" w:sz="4" w:space="0" w:color="auto"/>
              <w:right w:val="single" w:sz="4" w:space="0" w:color="auto"/>
            </w:tcBorders>
            <w:shd w:val="clear" w:color="auto" w:fill="auto"/>
            <w:vAlign w:val="center"/>
            <w:hideMark/>
          </w:tcPr>
          <w:p w14:paraId="0352325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CICIBAN NOVO MESTO</w:t>
            </w:r>
          </w:p>
        </w:tc>
      </w:tr>
      <w:tr w:rsidR="00E3750C" w:rsidRPr="00415AB3" w14:paraId="195F8BF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596796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1965</w:t>
            </w:r>
          </w:p>
        </w:tc>
        <w:tc>
          <w:tcPr>
            <w:tcW w:w="705" w:type="pct"/>
            <w:tcBorders>
              <w:top w:val="nil"/>
              <w:left w:val="nil"/>
              <w:bottom w:val="single" w:sz="4" w:space="0" w:color="auto"/>
              <w:right w:val="single" w:sz="4" w:space="0" w:color="auto"/>
            </w:tcBorders>
            <w:shd w:val="clear" w:color="auto" w:fill="auto"/>
            <w:noWrap/>
            <w:vAlign w:val="center"/>
            <w:hideMark/>
          </w:tcPr>
          <w:p w14:paraId="78BBF41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5055806000</w:t>
            </w:r>
          </w:p>
        </w:tc>
        <w:tc>
          <w:tcPr>
            <w:tcW w:w="547" w:type="pct"/>
            <w:tcBorders>
              <w:top w:val="nil"/>
              <w:left w:val="nil"/>
              <w:bottom w:val="single" w:sz="4" w:space="0" w:color="auto"/>
              <w:right w:val="single" w:sz="4" w:space="0" w:color="auto"/>
            </w:tcBorders>
            <w:shd w:val="clear" w:color="auto" w:fill="auto"/>
            <w:noWrap/>
            <w:vAlign w:val="center"/>
            <w:hideMark/>
          </w:tcPr>
          <w:p w14:paraId="5D8F1FB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44269536</w:t>
            </w:r>
          </w:p>
        </w:tc>
        <w:tc>
          <w:tcPr>
            <w:tcW w:w="3360" w:type="pct"/>
            <w:tcBorders>
              <w:top w:val="nil"/>
              <w:left w:val="nil"/>
              <w:bottom w:val="single" w:sz="4" w:space="0" w:color="auto"/>
              <w:right w:val="single" w:sz="4" w:space="0" w:color="auto"/>
            </w:tcBorders>
            <w:shd w:val="clear" w:color="auto" w:fill="auto"/>
            <w:vAlign w:val="center"/>
            <w:hideMark/>
          </w:tcPr>
          <w:p w14:paraId="56BFDBC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CICIBAN SEVNICA</w:t>
            </w:r>
          </w:p>
        </w:tc>
      </w:tr>
      <w:tr w:rsidR="00E3750C" w:rsidRPr="00415AB3" w14:paraId="45CBE7B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189ED7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1966</w:t>
            </w:r>
          </w:p>
        </w:tc>
        <w:tc>
          <w:tcPr>
            <w:tcW w:w="705" w:type="pct"/>
            <w:tcBorders>
              <w:top w:val="nil"/>
              <w:left w:val="nil"/>
              <w:bottom w:val="single" w:sz="4" w:space="0" w:color="auto"/>
              <w:right w:val="single" w:sz="4" w:space="0" w:color="auto"/>
            </w:tcBorders>
            <w:shd w:val="clear" w:color="auto" w:fill="auto"/>
            <w:noWrap/>
            <w:vAlign w:val="center"/>
            <w:hideMark/>
          </w:tcPr>
          <w:p w14:paraId="2368649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6228186000</w:t>
            </w:r>
          </w:p>
        </w:tc>
        <w:tc>
          <w:tcPr>
            <w:tcW w:w="547" w:type="pct"/>
            <w:tcBorders>
              <w:top w:val="nil"/>
              <w:left w:val="nil"/>
              <w:bottom w:val="single" w:sz="4" w:space="0" w:color="auto"/>
              <w:right w:val="single" w:sz="4" w:space="0" w:color="auto"/>
            </w:tcBorders>
            <w:shd w:val="clear" w:color="auto" w:fill="auto"/>
            <w:noWrap/>
            <w:vAlign w:val="center"/>
            <w:hideMark/>
          </w:tcPr>
          <w:p w14:paraId="76E7FE0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99604132</w:t>
            </w:r>
          </w:p>
        </w:tc>
        <w:tc>
          <w:tcPr>
            <w:tcW w:w="3360" w:type="pct"/>
            <w:tcBorders>
              <w:top w:val="nil"/>
              <w:left w:val="nil"/>
              <w:bottom w:val="single" w:sz="4" w:space="0" w:color="auto"/>
              <w:right w:val="single" w:sz="4" w:space="0" w:color="auto"/>
            </w:tcBorders>
            <w:shd w:val="clear" w:color="auto" w:fill="auto"/>
            <w:vAlign w:val="center"/>
            <w:hideMark/>
          </w:tcPr>
          <w:p w14:paraId="3D0A0E1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ČEBELICA ŠENTJERNEJ</w:t>
            </w:r>
          </w:p>
        </w:tc>
      </w:tr>
      <w:tr w:rsidR="00E3750C" w:rsidRPr="00415AB3" w14:paraId="3E94509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A85436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1967</w:t>
            </w:r>
          </w:p>
        </w:tc>
        <w:tc>
          <w:tcPr>
            <w:tcW w:w="705" w:type="pct"/>
            <w:tcBorders>
              <w:top w:val="nil"/>
              <w:left w:val="nil"/>
              <w:bottom w:val="single" w:sz="4" w:space="0" w:color="auto"/>
              <w:right w:val="single" w:sz="4" w:space="0" w:color="auto"/>
            </w:tcBorders>
            <w:shd w:val="clear" w:color="auto" w:fill="auto"/>
            <w:noWrap/>
            <w:vAlign w:val="center"/>
            <w:hideMark/>
          </w:tcPr>
          <w:p w14:paraId="2576A94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5049938000</w:t>
            </w:r>
          </w:p>
        </w:tc>
        <w:tc>
          <w:tcPr>
            <w:tcW w:w="547" w:type="pct"/>
            <w:tcBorders>
              <w:top w:val="nil"/>
              <w:left w:val="nil"/>
              <w:bottom w:val="single" w:sz="4" w:space="0" w:color="auto"/>
              <w:right w:val="single" w:sz="4" w:space="0" w:color="auto"/>
            </w:tcBorders>
            <w:shd w:val="clear" w:color="auto" w:fill="auto"/>
            <w:noWrap/>
            <w:vAlign w:val="center"/>
            <w:hideMark/>
          </w:tcPr>
          <w:p w14:paraId="54497FE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30552001</w:t>
            </w:r>
          </w:p>
        </w:tc>
        <w:tc>
          <w:tcPr>
            <w:tcW w:w="3360" w:type="pct"/>
            <w:tcBorders>
              <w:top w:val="nil"/>
              <w:left w:val="nil"/>
              <w:bottom w:val="single" w:sz="4" w:space="0" w:color="auto"/>
              <w:right w:val="single" w:sz="4" w:space="0" w:color="auto"/>
            </w:tcBorders>
            <w:shd w:val="clear" w:color="auto" w:fill="auto"/>
            <w:vAlign w:val="center"/>
            <w:hideMark/>
          </w:tcPr>
          <w:p w14:paraId="22BCC31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ČRNUČE</w:t>
            </w:r>
          </w:p>
        </w:tc>
      </w:tr>
      <w:tr w:rsidR="00E3750C" w:rsidRPr="00415AB3" w14:paraId="7664782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AE3D25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211</w:t>
            </w:r>
          </w:p>
        </w:tc>
        <w:tc>
          <w:tcPr>
            <w:tcW w:w="705" w:type="pct"/>
            <w:tcBorders>
              <w:top w:val="nil"/>
              <w:left w:val="nil"/>
              <w:bottom w:val="single" w:sz="4" w:space="0" w:color="auto"/>
              <w:right w:val="single" w:sz="4" w:space="0" w:color="auto"/>
            </w:tcBorders>
            <w:shd w:val="clear" w:color="auto" w:fill="auto"/>
            <w:noWrap/>
            <w:vAlign w:val="center"/>
            <w:hideMark/>
          </w:tcPr>
          <w:p w14:paraId="710A5E7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5816491000</w:t>
            </w:r>
          </w:p>
        </w:tc>
        <w:tc>
          <w:tcPr>
            <w:tcW w:w="547" w:type="pct"/>
            <w:tcBorders>
              <w:top w:val="nil"/>
              <w:left w:val="nil"/>
              <w:bottom w:val="single" w:sz="4" w:space="0" w:color="auto"/>
              <w:right w:val="single" w:sz="4" w:space="0" w:color="auto"/>
            </w:tcBorders>
            <w:shd w:val="clear" w:color="auto" w:fill="auto"/>
            <w:noWrap/>
            <w:vAlign w:val="center"/>
            <w:hideMark/>
          </w:tcPr>
          <w:p w14:paraId="35D7519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42037123</w:t>
            </w:r>
          </w:p>
        </w:tc>
        <w:tc>
          <w:tcPr>
            <w:tcW w:w="3360" w:type="pct"/>
            <w:tcBorders>
              <w:top w:val="nil"/>
              <w:left w:val="nil"/>
              <w:bottom w:val="single" w:sz="4" w:space="0" w:color="auto"/>
              <w:right w:val="single" w:sz="4" w:space="0" w:color="auto"/>
            </w:tcBorders>
            <w:shd w:val="clear" w:color="auto" w:fill="auto"/>
            <w:vAlign w:val="center"/>
            <w:hideMark/>
          </w:tcPr>
          <w:p w14:paraId="20624E5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DELFINO BLU KOPER</w:t>
            </w:r>
          </w:p>
        </w:tc>
      </w:tr>
      <w:tr w:rsidR="00E3750C" w:rsidRPr="00415AB3" w14:paraId="497BAC4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7628FD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1968</w:t>
            </w:r>
          </w:p>
        </w:tc>
        <w:tc>
          <w:tcPr>
            <w:tcW w:w="705" w:type="pct"/>
            <w:tcBorders>
              <w:top w:val="nil"/>
              <w:left w:val="nil"/>
              <w:bottom w:val="single" w:sz="4" w:space="0" w:color="auto"/>
              <w:right w:val="single" w:sz="4" w:space="0" w:color="auto"/>
            </w:tcBorders>
            <w:shd w:val="clear" w:color="auto" w:fill="auto"/>
            <w:noWrap/>
            <w:vAlign w:val="center"/>
            <w:hideMark/>
          </w:tcPr>
          <w:p w14:paraId="6B3507F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5056675000</w:t>
            </w:r>
          </w:p>
        </w:tc>
        <w:tc>
          <w:tcPr>
            <w:tcW w:w="547" w:type="pct"/>
            <w:tcBorders>
              <w:top w:val="nil"/>
              <w:left w:val="nil"/>
              <w:bottom w:val="single" w:sz="4" w:space="0" w:color="auto"/>
              <w:right w:val="single" w:sz="4" w:space="0" w:color="auto"/>
            </w:tcBorders>
            <w:shd w:val="clear" w:color="auto" w:fill="auto"/>
            <w:noWrap/>
            <w:vAlign w:val="center"/>
            <w:hideMark/>
          </w:tcPr>
          <w:p w14:paraId="6C7E846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50500406</w:t>
            </w:r>
          </w:p>
        </w:tc>
        <w:tc>
          <w:tcPr>
            <w:tcW w:w="3360" w:type="pct"/>
            <w:tcBorders>
              <w:top w:val="nil"/>
              <w:left w:val="nil"/>
              <w:bottom w:val="single" w:sz="4" w:space="0" w:color="auto"/>
              <w:right w:val="single" w:sz="4" w:space="0" w:color="auto"/>
            </w:tcBorders>
            <w:shd w:val="clear" w:color="auto" w:fill="auto"/>
            <w:vAlign w:val="center"/>
            <w:hideMark/>
          </w:tcPr>
          <w:p w14:paraId="4CAAA4A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DOMŽALE</w:t>
            </w:r>
          </w:p>
        </w:tc>
      </w:tr>
      <w:tr w:rsidR="00E3750C" w:rsidRPr="00415AB3" w14:paraId="29C4BBD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88C10A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1969</w:t>
            </w:r>
          </w:p>
        </w:tc>
        <w:tc>
          <w:tcPr>
            <w:tcW w:w="705" w:type="pct"/>
            <w:tcBorders>
              <w:top w:val="nil"/>
              <w:left w:val="nil"/>
              <w:bottom w:val="single" w:sz="4" w:space="0" w:color="auto"/>
              <w:right w:val="single" w:sz="4" w:space="0" w:color="auto"/>
            </w:tcBorders>
            <w:shd w:val="clear" w:color="auto" w:fill="auto"/>
            <w:noWrap/>
            <w:vAlign w:val="center"/>
            <w:hideMark/>
          </w:tcPr>
          <w:p w14:paraId="2068BF9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1942913000</w:t>
            </w:r>
          </w:p>
        </w:tc>
        <w:tc>
          <w:tcPr>
            <w:tcW w:w="547" w:type="pct"/>
            <w:tcBorders>
              <w:top w:val="nil"/>
              <w:left w:val="nil"/>
              <w:bottom w:val="single" w:sz="4" w:space="0" w:color="auto"/>
              <w:right w:val="single" w:sz="4" w:space="0" w:color="auto"/>
            </w:tcBorders>
            <w:shd w:val="clear" w:color="auto" w:fill="auto"/>
            <w:noWrap/>
            <w:vAlign w:val="center"/>
            <w:hideMark/>
          </w:tcPr>
          <w:p w14:paraId="6D8B28F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80998232</w:t>
            </w:r>
          </w:p>
        </w:tc>
        <w:tc>
          <w:tcPr>
            <w:tcW w:w="3360" w:type="pct"/>
            <w:tcBorders>
              <w:top w:val="nil"/>
              <w:left w:val="nil"/>
              <w:bottom w:val="single" w:sz="4" w:space="0" w:color="auto"/>
              <w:right w:val="single" w:sz="4" w:space="0" w:color="auto"/>
            </w:tcBorders>
            <w:shd w:val="clear" w:color="auto" w:fill="auto"/>
            <w:vAlign w:val="center"/>
            <w:hideMark/>
          </w:tcPr>
          <w:p w14:paraId="0EB0A55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DR. FRANCE PREŠEREN</w:t>
            </w:r>
          </w:p>
        </w:tc>
      </w:tr>
      <w:tr w:rsidR="00E3750C" w:rsidRPr="00415AB3" w14:paraId="6EF4D38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B665BB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1970</w:t>
            </w:r>
          </w:p>
        </w:tc>
        <w:tc>
          <w:tcPr>
            <w:tcW w:w="705" w:type="pct"/>
            <w:tcBorders>
              <w:top w:val="nil"/>
              <w:left w:val="nil"/>
              <w:bottom w:val="single" w:sz="4" w:space="0" w:color="auto"/>
              <w:right w:val="single" w:sz="4" w:space="0" w:color="auto"/>
            </w:tcBorders>
            <w:shd w:val="clear" w:color="auto" w:fill="auto"/>
            <w:noWrap/>
            <w:vAlign w:val="center"/>
            <w:hideMark/>
          </w:tcPr>
          <w:p w14:paraId="20D9D2C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5049539000</w:t>
            </w:r>
          </w:p>
        </w:tc>
        <w:tc>
          <w:tcPr>
            <w:tcW w:w="547" w:type="pct"/>
            <w:tcBorders>
              <w:top w:val="nil"/>
              <w:left w:val="nil"/>
              <w:bottom w:val="single" w:sz="4" w:space="0" w:color="auto"/>
              <w:right w:val="single" w:sz="4" w:space="0" w:color="auto"/>
            </w:tcBorders>
            <w:shd w:val="clear" w:color="auto" w:fill="auto"/>
            <w:noWrap/>
            <w:vAlign w:val="center"/>
            <w:hideMark/>
          </w:tcPr>
          <w:p w14:paraId="5F76E40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88392082</w:t>
            </w:r>
          </w:p>
        </w:tc>
        <w:tc>
          <w:tcPr>
            <w:tcW w:w="3360" w:type="pct"/>
            <w:tcBorders>
              <w:top w:val="nil"/>
              <w:left w:val="nil"/>
              <w:bottom w:val="single" w:sz="4" w:space="0" w:color="auto"/>
              <w:right w:val="single" w:sz="4" w:space="0" w:color="auto"/>
            </w:tcBorders>
            <w:shd w:val="clear" w:color="auto" w:fill="auto"/>
            <w:vAlign w:val="center"/>
            <w:hideMark/>
          </w:tcPr>
          <w:p w14:paraId="6F17611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DRAVOGRAD</w:t>
            </w:r>
          </w:p>
        </w:tc>
      </w:tr>
      <w:tr w:rsidR="00E3750C" w:rsidRPr="00415AB3" w14:paraId="32AC1B0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163949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1971</w:t>
            </w:r>
          </w:p>
        </w:tc>
        <w:tc>
          <w:tcPr>
            <w:tcW w:w="705" w:type="pct"/>
            <w:tcBorders>
              <w:top w:val="nil"/>
              <w:left w:val="nil"/>
              <w:bottom w:val="single" w:sz="4" w:space="0" w:color="auto"/>
              <w:right w:val="single" w:sz="4" w:space="0" w:color="auto"/>
            </w:tcBorders>
            <w:shd w:val="clear" w:color="auto" w:fill="auto"/>
            <w:noWrap/>
            <w:vAlign w:val="center"/>
            <w:hideMark/>
          </w:tcPr>
          <w:p w14:paraId="2449629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1943332000</w:t>
            </w:r>
          </w:p>
        </w:tc>
        <w:tc>
          <w:tcPr>
            <w:tcW w:w="547" w:type="pct"/>
            <w:tcBorders>
              <w:top w:val="nil"/>
              <w:left w:val="nil"/>
              <w:bottom w:val="single" w:sz="4" w:space="0" w:color="auto"/>
              <w:right w:val="single" w:sz="4" w:space="0" w:color="auto"/>
            </w:tcBorders>
            <w:shd w:val="clear" w:color="auto" w:fill="auto"/>
            <w:noWrap/>
            <w:vAlign w:val="center"/>
            <w:hideMark/>
          </w:tcPr>
          <w:p w14:paraId="2E590C7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64056732</w:t>
            </w:r>
          </w:p>
        </w:tc>
        <w:tc>
          <w:tcPr>
            <w:tcW w:w="3360" w:type="pct"/>
            <w:tcBorders>
              <w:top w:val="nil"/>
              <w:left w:val="nil"/>
              <w:bottom w:val="single" w:sz="4" w:space="0" w:color="auto"/>
              <w:right w:val="single" w:sz="4" w:space="0" w:color="auto"/>
            </w:tcBorders>
            <w:shd w:val="clear" w:color="auto" w:fill="auto"/>
            <w:vAlign w:val="center"/>
            <w:hideMark/>
          </w:tcPr>
          <w:p w14:paraId="2940B6A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GALJEVICA</w:t>
            </w:r>
          </w:p>
        </w:tc>
      </w:tr>
      <w:tr w:rsidR="00E3750C" w:rsidRPr="00415AB3" w14:paraId="540B9EB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F96C1A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1972</w:t>
            </w:r>
          </w:p>
        </w:tc>
        <w:tc>
          <w:tcPr>
            <w:tcW w:w="705" w:type="pct"/>
            <w:tcBorders>
              <w:top w:val="nil"/>
              <w:left w:val="nil"/>
              <w:bottom w:val="single" w:sz="4" w:space="0" w:color="auto"/>
              <w:right w:val="single" w:sz="4" w:space="0" w:color="auto"/>
            </w:tcBorders>
            <w:shd w:val="clear" w:color="auto" w:fill="auto"/>
            <w:noWrap/>
            <w:vAlign w:val="center"/>
            <w:hideMark/>
          </w:tcPr>
          <w:p w14:paraId="258EF34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5057035000</w:t>
            </w:r>
          </w:p>
        </w:tc>
        <w:tc>
          <w:tcPr>
            <w:tcW w:w="547" w:type="pct"/>
            <w:tcBorders>
              <w:top w:val="nil"/>
              <w:left w:val="nil"/>
              <w:bottom w:val="single" w:sz="4" w:space="0" w:color="auto"/>
              <w:right w:val="single" w:sz="4" w:space="0" w:color="auto"/>
            </w:tcBorders>
            <w:shd w:val="clear" w:color="auto" w:fill="auto"/>
            <w:noWrap/>
            <w:vAlign w:val="center"/>
            <w:hideMark/>
          </w:tcPr>
          <w:p w14:paraId="7818216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32580053</w:t>
            </w:r>
          </w:p>
        </w:tc>
        <w:tc>
          <w:tcPr>
            <w:tcW w:w="3360" w:type="pct"/>
            <w:tcBorders>
              <w:top w:val="nil"/>
              <w:left w:val="nil"/>
              <w:bottom w:val="single" w:sz="4" w:space="0" w:color="auto"/>
              <w:right w:val="single" w:sz="4" w:space="0" w:color="auto"/>
            </w:tcBorders>
            <w:shd w:val="clear" w:color="auto" w:fill="auto"/>
            <w:vAlign w:val="center"/>
            <w:hideMark/>
          </w:tcPr>
          <w:p w14:paraId="50C5EC6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HANSA CHRISTIANA ANDERSENA</w:t>
            </w:r>
          </w:p>
        </w:tc>
      </w:tr>
      <w:tr w:rsidR="00E3750C" w:rsidRPr="00415AB3" w14:paraId="4A5F8B7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CD47DC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1973</w:t>
            </w:r>
          </w:p>
        </w:tc>
        <w:tc>
          <w:tcPr>
            <w:tcW w:w="705" w:type="pct"/>
            <w:tcBorders>
              <w:top w:val="nil"/>
              <w:left w:val="nil"/>
              <w:bottom w:val="single" w:sz="4" w:space="0" w:color="auto"/>
              <w:right w:val="single" w:sz="4" w:space="0" w:color="auto"/>
            </w:tcBorders>
            <w:shd w:val="clear" w:color="auto" w:fill="auto"/>
            <w:noWrap/>
            <w:vAlign w:val="center"/>
            <w:hideMark/>
          </w:tcPr>
          <w:p w14:paraId="5EEA87C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5050936000</w:t>
            </w:r>
          </w:p>
        </w:tc>
        <w:tc>
          <w:tcPr>
            <w:tcW w:w="547" w:type="pct"/>
            <w:tcBorders>
              <w:top w:val="nil"/>
              <w:left w:val="nil"/>
              <w:bottom w:val="single" w:sz="4" w:space="0" w:color="auto"/>
              <w:right w:val="single" w:sz="4" w:space="0" w:color="auto"/>
            </w:tcBorders>
            <w:shd w:val="clear" w:color="auto" w:fill="auto"/>
            <w:noWrap/>
            <w:vAlign w:val="center"/>
            <w:hideMark/>
          </w:tcPr>
          <w:p w14:paraId="6667852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26285312</w:t>
            </w:r>
          </w:p>
        </w:tc>
        <w:tc>
          <w:tcPr>
            <w:tcW w:w="3360" w:type="pct"/>
            <w:tcBorders>
              <w:top w:val="nil"/>
              <w:left w:val="nil"/>
              <w:bottom w:val="single" w:sz="4" w:space="0" w:color="auto"/>
              <w:right w:val="single" w:sz="4" w:space="0" w:color="auto"/>
            </w:tcBorders>
            <w:shd w:val="clear" w:color="auto" w:fill="auto"/>
            <w:vAlign w:val="center"/>
            <w:hideMark/>
          </w:tcPr>
          <w:p w14:paraId="2C6C1B4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HRASTNIK</w:t>
            </w:r>
          </w:p>
        </w:tc>
      </w:tr>
      <w:tr w:rsidR="00E3750C" w:rsidRPr="00415AB3" w14:paraId="331E257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E77680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1974</w:t>
            </w:r>
          </w:p>
        </w:tc>
        <w:tc>
          <w:tcPr>
            <w:tcW w:w="705" w:type="pct"/>
            <w:tcBorders>
              <w:top w:val="nil"/>
              <w:left w:val="nil"/>
              <w:bottom w:val="single" w:sz="4" w:space="0" w:color="auto"/>
              <w:right w:val="single" w:sz="4" w:space="0" w:color="auto"/>
            </w:tcBorders>
            <w:shd w:val="clear" w:color="auto" w:fill="auto"/>
            <w:noWrap/>
            <w:vAlign w:val="center"/>
            <w:hideMark/>
          </w:tcPr>
          <w:p w14:paraId="55DE5C5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5050944000</w:t>
            </w:r>
          </w:p>
        </w:tc>
        <w:tc>
          <w:tcPr>
            <w:tcW w:w="547" w:type="pct"/>
            <w:tcBorders>
              <w:top w:val="nil"/>
              <w:left w:val="nil"/>
              <w:bottom w:val="single" w:sz="4" w:space="0" w:color="auto"/>
              <w:right w:val="single" w:sz="4" w:space="0" w:color="auto"/>
            </w:tcBorders>
            <w:shd w:val="clear" w:color="auto" w:fill="auto"/>
            <w:noWrap/>
            <w:vAlign w:val="center"/>
            <w:hideMark/>
          </w:tcPr>
          <w:p w14:paraId="4E8924E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18831001</w:t>
            </w:r>
          </w:p>
        </w:tc>
        <w:tc>
          <w:tcPr>
            <w:tcW w:w="3360" w:type="pct"/>
            <w:tcBorders>
              <w:top w:val="nil"/>
              <w:left w:val="nil"/>
              <w:bottom w:val="single" w:sz="4" w:space="0" w:color="auto"/>
              <w:right w:val="single" w:sz="4" w:space="0" w:color="auto"/>
            </w:tcBorders>
            <w:shd w:val="clear" w:color="auto" w:fill="auto"/>
            <w:vAlign w:val="center"/>
            <w:hideMark/>
          </w:tcPr>
          <w:p w14:paraId="7E58E38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IDRIJA</w:t>
            </w:r>
          </w:p>
        </w:tc>
      </w:tr>
      <w:tr w:rsidR="00E3750C" w:rsidRPr="00415AB3" w14:paraId="21910AC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690E5B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1975</w:t>
            </w:r>
          </w:p>
        </w:tc>
        <w:tc>
          <w:tcPr>
            <w:tcW w:w="705" w:type="pct"/>
            <w:tcBorders>
              <w:top w:val="nil"/>
              <w:left w:val="nil"/>
              <w:bottom w:val="single" w:sz="4" w:space="0" w:color="auto"/>
              <w:right w:val="single" w:sz="4" w:space="0" w:color="auto"/>
            </w:tcBorders>
            <w:shd w:val="clear" w:color="auto" w:fill="auto"/>
            <w:noWrap/>
            <w:vAlign w:val="center"/>
            <w:hideMark/>
          </w:tcPr>
          <w:p w14:paraId="1FCA0F0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1123823000</w:t>
            </w:r>
          </w:p>
        </w:tc>
        <w:tc>
          <w:tcPr>
            <w:tcW w:w="547" w:type="pct"/>
            <w:tcBorders>
              <w:top w:val="nil"/>
              <w:left w:val="nil"/>
              <w:bottom w:val="single" w:sz="4" w:space="0" w:color="auto"/>
              <w:right w:val="single" w:sz="4" w:space="0" w:color="auto"/>
            </w:tcBorders>
            <w:shd w:val="clear" w:color="auto" w:fill="auto"/>
            <w:noWrap/>
            <w:vAlign w:val="center"/>
            <w:hideMark/>
          </w:tcPr>
          <w:p w14:paraId="25B0309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71573399</w:t>
            </w:r>
          </w:p>
        </w:tc>
        <w:tc>
          <w:tcPr>
            <w:tcW w:w="3360" w:type="pct"/>
            <w:tcBorders>
              <w:top w:val="nil"/>
              <w:left w:val="nil"/>
              <w:bottom w:val="single" w:sz="4" w:space="0" w:color="auto"/>
              <w:right w:val="single" w:sz="4" w:space="0" w:color="auto"/>
            </w:tcBorders>
            <w:shd w:val="clear" w:color="auto" w:fill="auto"/>
            <w:vAlign w:val="center"/>
            <w:hideMark/>
          </w:tcPr>
          <w:p w14:paraId="734462D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IG</w:t>
            </w:r>
          </w:p>
        </w:tc>
      </w:tr>
      <w:tr w:rsidR="00E3750C" w:rsidRPr="00415AB3" w14:paraId="0F6492F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45850E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1976</w:t>
            </w:r>
          </w:p>
        </w:tc>
        <w:tc>
          <w:tcPr>
            <w:tcW w:w="705" w:type="pct"/>
            <w:tcBorders>
              <w:top w:val="nil"/>
              <w:left w:val="nil"/>
              <w:bottom w:val="single" w:sz="4" w:space="0" w:color="auto"/>
              <w:right w:val="single" w:sz="4" w:space="0" w:color="auto"/>
            </w:tcBorders>
            <w:shd w:val="clear" w:color="auto" w:fill="auto"/>
            <w:noWrap/>
            <w:vAlign w:val="center"/>
            <w:hideMark/>
          </w:tcPr>
          <w:p w14:paraId="5B25C15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5050413000</w:t>
            </w:r>
          </w:p>
        </w:tc>
        <w:tc>
          <w:tcPr>
            <w:tcW w:w="547" w:type="pct"/>
            <w:tcBorders>
              <w:top w:val="nil"/>
              <w:left w:val="nil"/>
              <w:bottom w:val="single" w:sz="4" w:space="0" w:color="auto"/>
              <w:right w:val="single" w:sz="4" w:space="0" w:color="auto"/>
            </w:tcBorders>
            <w:shd w:val="clear" w:color="auto" w:fill="auto"/>
            <w:noWrap/>
            <w:vAlign w:val="center"/>
            <w:hideMark/>
          </w:tcPr>
          <w:p w14:paraId="5276B1E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82775214</w:t>
            </w:r>
          </w:p>
        </w:tc>
        <w:tc>
          <w:tcPr>
            <w:tcW w:w="3360" w:type="pct"/>
            <w:tcBorders>
              <w:top w:val="nil"/>
              <w:left w:val="nil"/>
              <w:bottom w:val="single" w:sz="4" w:space="0" w:color="auto"/>
              <w:right w:val="single" w:sz="4" w:space="0" w:color="auto"/>
            </w:tcBorders>
            <w:shd w:val="clear" w:color="auto" w:fill="auto"/>
            <w:vAlign w:val="center"/>
            <w:hideMark/>
          </w:tcPr>
          <w:p w14:paraId="2E946E9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IVANA GLINŠKA MARIBOR</w:t>
            </w:r>
          </w:p>
        </w:tc>
      </w:tr>
      <w:tr w:rsidR="00E3750C" w:rsidRPr="00415AB3" w14:paraId="09AA7D6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066F95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1977</w:t>
            </w:r>
          </w:p>
        </w:tc>
        <w:tc>
          <w:tcPr>
            <w:tcW w:w="705" w:type="pct"/>
            <w:tcBorders>
              <w:top w:val="nil"/>
              <w:left w:val="nil"/>
              <w:bottom w:val="single" w:sz="4" w:space="0" w:color="auto"/>
              <w:right w:val="single" w:sz="4" w:space="0" w:color="auto"/>
            </w:tcBorders>
            <w:shd w:val="clear" w:color="auto" w:fill="auto"/>
            <w:noWrap/>
            <w:vAlign w:val="center"/>
            <w:hideMark/>
          </w:tcPr>
          <w:p w14:paraId="2977DF1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1125559000</w:t>
            </w:r>
          </w:p>
        </w:tc>
        <w:tc>
          <w:tcPr>
            <w:tcW w:w="547" w:type="pct"/>
            <w:tcBorders>
              <w:top w:val="nil"/>
              <w:left w:val="nil"/>
              <w:bottom w:val="single" w:sz="4" w:space="0" w:color="auto"/>
              <w:right w:val="single" w:sz="4" w:space="0" w:color="auto"/>
            </w:tcBorders>
            <w:shd w:val="clear" w:color="auto" w:fill="auto"/>
            <w:noWrap/>
            <w:vAlign w:val="center"/>
            <w:hideMark/>
          </w:tcPr>
          <w:p w14:paraId="76B5309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94144583</w:t>
            </w:r>
          </w:p>
        </w:tc>
        <w:tc>
          <w:tcPr>
            <w:tcW w:w="3360" w:type="pct"/>
            <w:tcBorders>
              <w:top w:val="nil"/>
              <w:left w:val="nil"/>
              <w:bottom w:val="single" w:sz="4" w:space="0" w:color="auto"/>
              <w:right w:val="single" w:sz="4" w:space="0" w:color="auto"/>
            </w:tcBorders>
            <w:shd w:val="clear" w:color="auto" w:fill="auto"/>
            <w:vAlign w:val="center"/>
            <w:hideMark/>
          </w:tcPr>
          <w:p w14:paraId="2016118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IVANČNA GORICA</w:t>
            </w:r>
          </w:p>
        </w:tc>
      </w:tr>
      <w:tr w:rsidR="00E3750C" w:rsidRPr="00415AB3" w14:paraId="25CDF06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C9A5FD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1978</w:t>
            </w:r>
          </w:p>
        </w:tc>
        <w:tc>
          <w:tcPr>
            <w:tcW w:w="705" w:type="pct"/>
            <w:tcBorders>
              <w:top w:val="nil"/>
              <w:left w:val="nil"/>
              <w:bottom w:val="single" w:sz="4" w:space="0" w:color="auto"/>
              <w:right w:val="single" w:sz="4" w:space="0" w:color="auto"/>
            </w:tcBorders>
            <w:shd w:val="clear" w:color="auto" w:fill="auto"/>
            <w:noWrap/>
            <w:vAlign w:val="center"/>
            <w:hideMark/>
          </w:tcPr>
          <w:p w14:paraId="795C93F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5050430000</w:t>
            </w:r>
          </w:p>
        </w:tc>
        <w:tc>
          <w:tcPr>
            <w:tcW w:w="547" w:type="pct"/>
            <w:tcBorders>
              <w:top w:val="nil"/>
              <w:left w:val="nil"/>
              <w:bottom w:val="single" w:sz="4" w:space="0" w:color="auto"/>
              <w:right w:val="single" w:sz="4" w:space="0" w:color="auto"/>
            </w:tcBorders>
            <w:shd w:val="clear" w:color="auto" w:fill="auto"/>
            <w:noWrap/>
            <w:vAlign w:val="center"/>
            <w:hideMark/>
          </w:tcPr>
          <w:p w14:paraId="6FA6A16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61694797</w:t>
            </w:r>
          </w:p>
        </w:tc>
        <w:tc>
          <w:tcPr>
            <w:tcW w:w="3360" w:type="pct"/>
            <w:tcBorders>
              <w:top w:val="nil"/>
              <w:left w:val="nil"/>
              <w:bottom w:val="single" w:sz="4" w:space="0" w:color="auto"/>
              <w:right w:val="single" w:sz="4" w:space="0" w:color="auto"/>
            </w:tcBorders>
            <w:shd w:val="clear" w:color="auto" w:fill="auto"/>
            <w:vAlign w:val="center"/>
            <w:hideMark/>
          </w:tcPr>
          <w:p w14:paraId="668C0CA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JADVIGE GOLEŽ MARIBOR</w:t>
            </w:r>
          </w:p>
        </w:tc>
      </w:tr>
      <w:tr w:rsidR="00E3750C" w:rsidRPr="00415AB3" w14:paraId="1E3BE86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88B9C4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1979</w:t>
            </w:r>
          </w:p>
        </w:tc>
        <w:tc>
          <w:tcPr>
            <w:tcW w:w="705" w:type="pct"/>
            <w:tcBorders>
              <w:top w:val="nil"/>
              <w:left w:val="nil"/>
              <w:bottom w:val="single" w:sz="4" w:space="0" w:color="auto"/>
              <w:right w:val="single" w:sz="4" w:space="0" w:color="auto"/>
            </w:tcBorders>
            <w:shd w:val="clear" w:color="auto" w:fill="auto"/>
            <w:noWrap/>
            <w:vAlign w:val="center"/>
            <w:hideMark/>
          </w:tcPr>
          <w:p w14:paraId="4EF7C80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5050146000</w:t>
            </w:r>
          </w:p>
        </w:tc>
        <w:tc>
          <w:tcPr>
            <w:tcW w:w="547" w:type="pct"/>
            <w:tcBorders>
              <w:top w:val="nil"/>
              <w:left w:val="nil"/>
              <w:bottom w:val="single" w:sz="4" w:space="0" w:color="auto"/>
              <w:right w:val="single" w:sz="4" w:space="0" w:color="auto"/>
            </w:tcBorders>
            <w:shd w:val="clear" w:color="auto" w:fill="auto"/>
            <w:noWrap/>
            <w:vAlign w:val="center"/>
            <w:hideMark/>
          </w:tcPr>
          <w:p w14:paraId="12C1AC2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74027654</w:t>
            </w:r>
          </w:p>
        </w:tc>
        <w:tc>
          <w:tcPr>
            <w:tcW w:w="3360" w:type="pct"/>
            <w:tcBorders>
              <w:top w:val="nil"/>
              <w:left w:val="nil"/>
              <w:bottom w:val="single" w:sz="4" w:space="0" w:color="auto"/>
              <w:right w:val="single" w:sz="4" w:space="0" w:color="auto"/>
            </w:tcBorders>
            <w:shd w:val="clear" w:color="auto" w:fill="auto"/>
            <w:vAlign w:val="center"/>
            <w:hideMark/>
          </w:tcPr>
          <w:p w14:paraId="2AF543E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JARŠE</w:t>
            </w:r>
          </w:p>
        </w:tc>
      </w:tr>
      <w:tr w:rsidR="00E3750C" w:rsidRPr="00415AB3" w14:paraId="691043E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B4FF40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1980</w:t>
            </w:r>
          </w:p>
        </w:tc>
        <w:tc>
          <w:tcPr>
            <w:tcW w:w="705" w:type="pct"/>
            <w:tcBorders>
              <w:top w:val="nil"/>
              <w:left w:val="nil"/>
              <w:bottom w:val="single" w:sz="4" w:space="0" w:color="auto"/>
              <w:right w:val="single" w:sz="4" w:space="0" w:color="auto"/>
            </w:tcBorders>
            <w:shd w:val="clear" w:color="auto" w:fill="auto"/>
            <w:noWrap/>
            <w:vAlign w:val="center"/>
            <w:hideMark/>
          </w:tcPr>
          <w:p w14:paraId="4550F83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5049946000</w:t>
            </w:r>
          </w:p>
        </w:tc>
        <w:tc>
          <w:tcPr>
            <w:tcW w:w="547" w:type="pct"/>
            <w:tcBorders>
              <w:top w:val="nil"/>
              <w:left w:val="nil"/>
              <w:bottom w:val="single" w:sz="4" w:space="0" w:color="auto"/>
              <w:right w:val="single" w:sz="4" w:space="0" w:color="auto"/>
            </w:tcBorders>
            <w:shd w:val="clear" w:color="auto" w:fill="auto"/>
            <w:noWrap/>
            <w:vAlign w:val="center"/>
            <w:hideMark/>
          </w:tcPr>
          <w:p w14:paraId="4E4E7F9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39675335</w:t>
            </w:r>
          </w:p>
        </w:tc>
        <w:tc>
          <w:tcPr>
            <w:tcW w:w="3360" w:type="pct"/>
            <w:tcBorders>
              <w:top w:val="nil"/>
              <w:left w:val="nil"/>
              <w:bottom w:val="single" w:sz="4" w:space="0" w:color="auto"/>
              <w:right w:val="single" w:sz="4" w:space="0" w:color="auto"/>
            </w:tcBorders>
            <w:shd w:val="clear" w:color="auto" w:fill="auto"/>
            <w:vAlign w:val="center"/>
            <w:hideMark/>
          </w:tcPr>
          <w:p w14:paraId="34818D2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JELKA</w:t>
            </w:r>
          </w:p>
        </w:tc>
      </w:tr>
      <w:tr w:rsidR="00E3750C" w:rsidRPr="00415AB3" w14:paraId="212C2C7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00A5DC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1981</w:t>
            </w:r>
          </w:p>
        </w:tc>
        <w:tc>
          <w:tcPr>
            <w:tcW w:w="705" w:type="pct"/>
            <w:tcBorders>
              <w:top w:val="nil"/>
              <w:left w:val="nil"/>
              <w:bottom w:val="single" w:sz="4" w:space="0" w:color="auto"/>
              <w:right w:val="single" w:sz="4" w:space="0" w:color="auto"/>
            </w:tcBorders>
            <w:shd w:val="clear" w:color="auto" w:fill="auto"/>
            <w:noWrap/>
            <w:vAlign w:val="center"/>
            <w:hideMark/>
          </w:tcPr>
          <w:p w14:paraId="18BD234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5719135000</w:t>
            </w:r>
          </w:p>
        </w:tc>
        <w:tc>
          <w:tcPr>
            <w:tcW w:w="547" w:type="pct"/>
            <w:tcBorders>
              <w:top w:val="nil"/>
              <w:left w:val="nil"/>
              <w:bottom w:val="single" w:sz="4" w:space="0" w:color="auto"/>
              <w:right w:val="single" w:sz="4" w:space="0" w:color="auto"/>
            </w:tcBorders>
            <w:shd w:val="clear" w:color="auto" w:fill="auto"/>
            <w:noWrap/>
            <w:vAlign w:val="center"/>
            <w:hideMark/>
          </w:tcPr>
          <w:p w14:paraId="2AFEBE7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43475809</w:t>
            </w:r>
          </w:p>
        </w:tc>
        <w:tc>
          <w:tcPr>
            <w:tcW w:w="3360" w:type="pct"/>
            <w:tcBorders>
              <w:top w:val="nil"/>
              <w:left w:val="nil"/>
              <w:bottom w:val="single" w:sz="4" w:space="0" w:color="auto"/>
              <w:right w:val="single" w:sz="4" w:space="0" w:color="auto"/>
            </w:tcBorders>
            <w:shd w:val="clear" w:color="auto" w:fill="auto"/>
            <w:vAlign w:val="center"/>
            <w:hideMark/>
          </w:tcPr>
          <w:p w14:paraId="09DDE87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JESENICE</w:t>
            </w:r>
          </w:p>
        </w:tc>
      </w:tr>
      <w:tr w:rsidR="00E3750C" w:rsidRPr="00415AB3" w14:paraId="018D40F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6B3C30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1982</w:t>
            </w:r>
          </w:p>
        </w:tc>
        <w:tc>
          <w:tcPr>
            <w:tcW w:w="705" w:type="pct"/>
            <w:tcBorders>
              <w:top w:val="nil"/>
              <w:left w:val="nil"/>
              <w:bottom w:val="single" w:sz="4" w:space="0" w:color="auto"/>
              <w:right w:val="single" w:sz="4" w:space="0" w:color="auto"/>
            </w:tcBorders>
            <w:shd w:val="clear" w:color="auto" w:fill="auto"/>
            <w:noWrap/>
            <w:vAlign w:val="center"/>
            <w:hideMark/>
          </w:tcPr>
          <w:p w14:paraId="294CC00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3792480000</w:t>
            </w:r>
          </w:p>
        </w:tc>
        <w:tc>
          <w:tcPr>
            <w:tcW w:w="547" w:type="pct"/>
            <w:tcBorders>
              <w:top w:val="nil"/>
              <w:left w:val="nil"/>
              <w:bottom w:val="single" w:sz="4" w:space="0" w:color="auto"/>
              <w:right w:val="single" w:sz="4" w:space="0" w:color="auto"/>
            </w:tcBorders>
            <w:shd w:val="clear" w:color="auto" w:fill="auto"/>
            <w:noWrap/>
            <w:vAlign w:val="center"/>
            <w:hideMark/>
          </w:tcPr>
          <w:p w14:paraId="00707F8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38671492</w:t>
            </w:r>
          </w:p>
        </w:tc>
        <w:tc>
          <w:tcPr>
            <w:tcW w:w="3360" w:type="pct"/>
            <w:tcBorders>
              <w:top w:val="nil"/>
              <w:left w:val="nil"/>
              <w:bottom w:val="single" w:sz="4" w:space="0" w:color="auto"/>
              <w:right w:val="single" w:sz="4" w:space="0" w:color="auto"/>
            </w:tcBorders>
            <w:shd w:val="clear" w:color="auto" w:fill="auto"/>
            <w:vAlign w:val="center"/>
            <w:hideMark/>
          </w:tcPr>
          <w:p w14:paraId="76D9187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JOŽEFE MASLO ILIRSKA BISTRICA</w:t>
            </w:r>
          </w:p>
        </w:tc>
      </w:tr>
      <w:tr w:rsidR="00E3750C" w:rsidRPr="00415AB3" w14:paraId="147F810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30202B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1983</w:t>
            </w:r>
          </w:p>
        </w:tc>
        <w:tc>
          <w:tcPr>
            <w:tcW w:w="705" w:type="pct"/>
            <w:tcBorders>
              <w:top w:val="nil"/>
              <w:left w:val="nil"/>
              <w:bottom w:val="single" w:sz="4" w:space="0" w:color="auto"/>
              <w:right w:val="single" w:sz="4" w:space="0" w:color="auto"/>
            </w:tcBorders>
            <w:shd w:val="clear" w:color="auto" w:fill="auto"/>
            <w:noWrap/>
            <w:vAlign w:val="center"/>
            <w:hideMark/>
          </w:tcPr>
          <w:p w14:paraId="1F302A0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5051266000</w:t>
            </w:r>
          </w:p>
        </w:tc>
        <w:tc>
          <w:tcPr>
            <w:tcW w:w="547" w:type="pct"/>
            <w:tcBorders>
              <w:top w:val="nil"/>
              <w:left w:val="nil"/>
              <w:bottom w:val="single" w:sz="4" w:space="0" w:color="auto"/>
              <w:right w:val="single" w:sz="4" w:space="0" w:color="auto"/>
            </w:tcBorders>
            <w:shd w:val="clear" w:color="auto" w:fill="auto"/>
            <w:noWrap/>
            <w:vAlign w:val="center"/>
            <w:hideMark/>
          </w:tcPr>
          <w:p w14:paraId="15C8852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73536130</w:t>
            </w:r>
          </w:p>
        </w:tc>
        <w:tc>
          <w:tcPr>
            <w:tcW w:w="3360" w:type="pct"/>
            <w:tcBorders>
              <w:top w:val="nil"/>
              <w:left w:val="nil"/>
              <w:bottom w:val="single" w:sz="4" w:space="0" w:color="auto"/>
              <w:right w:val="single" w:sz="4" w:space="0" w:color="auto"/>
            </w:tcBorders>
            <w:shd w:val="clear" w:color="auto" w:fill="auto"/>
            <w:vAlign w:val="center"/>
            <w:hideMark/>
          </w:tcPr>
          <w:p w14:paraId="48A8F30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JOŽICE FLANDER MARIBOR</w:t>
            </w:r>
          </w:p>
        </w:tc>
      </w:tr>
      <w:tr w:rsidR="00E3750C" w:rsidRPr="00415AB3" w14:paraId="0A98880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A8513D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1984</w:t>
            </w:r>
          </w:p>
        </w:tc>
        <w:tc>
          <w:tcPr>
            <w:tcW w:w="705" w:type="pct"/>
            <w:tcBorders>
              <w:top w:val="nil"/>
              <w:left w:val="nil"/>
              <w:bottom w:val="single" w:sz="4" w:space="0" w:color="auto"/>
              <w:right w:val="single" w:sz="4" w:space="0" w:color="auto"/>
            </w:tcBorders>
            <w:shd w:val="clear" w:color="auto" w:fill="auto"/>
            <w:noWrap/>
            <w:vAlign w:val="center"/>
            <w:hideMark/>
          </w:tcPr>
          <w:p w14:paraId="5E56674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5055717000</w:t>
            </w:r>
          </w:p>
        </w:tc>
        <w:tc>
          <w:tcPr>
            <w:tcW w:w="547" w:type="pct"/>
            <w:tcBorders>
              <w:top w:val="nil"/>
              <w:left w:val="nil"/>
              <w:bottom w:val="single" w:sz="4" w:space="0" w:color="auto"/>
              <w:right w:val="single" w:sz="4" w:space="0" w:color="auto"/>
            </w:tcBorders>
            <w:shd w:val="clear" w:color="auto" w:fill="auto"/>
            <w:noWrap/>
            <w:vAlign w:val="center"/>
            <w:hideMark/>
          </w:tcPr>
          <w:p w14:paraId="33C5291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10033823</w:t>
            </w:r>
          </w:p>
        </w:tc>
        <w:tc>
          <w:tcPr>
            <w:tcW w:w="3360" w:type="pct"/>
            <w:tcBorders>
              <w:top w:val="nil"/>
              <w:left w:val="nil"/>
              <w:bottom w:val="single" w:sz="4" w:space="0" w:color="auto"/>
              <w:right w:val="single" w:sz="4" w:space="0" w:color="auto"/>
            </w:tcBorders>
            <w:shd w:val="clear" w:color="auto" w:fill="auto"/>
            <w:vAlign w:val="center"/>
            <w:hideMark/>
          </w:tcPr>
          <w:p w14:paraId="2DC5714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KOČEVJE CESTA NA STADION 3, KOČEVJE</w:t>
            </w:r>
          </w:p>
        </w:tc>
      </w:tr>
      <w:tr w:rsidR="00E3750C" w:rsidRPr="00415AB3" w14:paraId="488FEA4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8A7C52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1985</w:t>
            </w:r>
          </w:p>
        </w:tc>
        <w:tc>
          <w:tcPr>
            <w:tcW w:w="705" w:type="pct"/>
            <w:tcBorders>
              <w:top w:val="nil"/>
              <w:left w:val="nil"/>
              <w:bottom w:val="single" w:sz="4" w:space="0" w:color="auto"/>
              <w:right w:val="single" w:sz="4" w:space="0" w:color="auto"/>
            </w:tcBorders>
            <w:shd w:val="clear" w:color="auto" w:fill="auto"/>
            <w:noWrap/>
            <w:vAlign w:val="center"/>
            <w:hideMark/>
          </w:tcPr>
          <w:p w14:paraId="7742EA4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1943219000</w:t>
            </w:r>
          </w:p>
        </w:tc>
        <w:tc>
          <w:tcPr>
            <w:tcW w:w="547" w:type="pct"/>
            <w:tcBorders>
              <w:top w:val="nil"/>
              <w:left w:val="nil"/>
              <w:bottom w:val="single" w:sz="4" w:space="0" w:color="auto"/>
              <w:right w:val="single" w:sz="4" w:space="0" w:color="auto"/>
            </w:tcBorders>
            <w:shd w:val="clear" w:color="auto" w:fill="auto"/>
            <w:noWrap/>
            <w:vAlign w:val="center"/>
            <w:hideMark/>
          </w:tcPr>
          <w:p w14:paraId="5D230E8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11760290</w:t>
            </w:r>
          </w:p>
        </w:tc>
        <w:tc>
          <w:tcPr>
            <w:tcW w:w="3360" w:type="pct"/>
            <w:tcBorders>
              <w:top w:val="nil"/>
              <w:left w:val="nil"/>
              <w:bottom w:val="single" w:sz="4" w:space="0" w:color="auto"/>
              <w:right w:val="single" w:sz="4" w:space="0" w:color="auto"/>
            </w:tcBorders>
            <w:shd w:val="clear" w:color="auto" w:fill="auto"/>
            <w:vAlign w:val="center"/>
            <w:hideMark/>
          </w:tcPr>
          <w:p w14:paraId="24F0E50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KOLEZIJA</w:t>
            </w:r>
          </w:p>
        </w:tc>
      </w:tr>
      <w:tr w:rsidR="00E3750C" w:rsidRPr="00415AB3" w14:paraId="0216485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41C903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1986</w:t>
            </w:r>
          </w:p>
        </w:tc>
        <w:tc>
          <w:tcPr>
            <w:tcW w:w="705" w:type="pct"/>
            <w:tcBorders>
              <w:top w:val="nil"/>
              <w:left w:val="nil"/>
              <w:bottom w:val="single" w:sz="4" w:space="0" w:color="auto"/>
              <w:right w:val="single" w:sz="4" w:space="0" w:color="auto"/>
            </w:tcBorders>
            <w:shd w:val="clear" w:color="auto" w:fill="auto"/>
            <w:noWrap/>
            <w:vAlign w:val="center"/>
            <w:hideMark/>
          </w:tcPr>
          <w:p w14:paraId="66D5A50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5114055000</w:t>
            </w:r>
          </w:p>
        </w:tc>
        <w:tc>
          <w:tcPr>
            <w:tcW w:w="547" w:type="pct"/>
            <w:tcBorders>
              <w:top w:val="nil"/>
              <w:left w:val="nil"/>
              <w:bottom w:val="single" w:sz="4" w:space="0" w:color="auto"/>
              <w:right w:val="single" w:sz="4" w:space="0" w:color="auto"/>
            </w:tcBorders>
            <w:shd w:val="clear" w:color="auto" w:fill="auto"/>
            <w:noWrap/>
            <w:vAlign w:val="center"/>
            <w:hideMark/>
          </w:tcPr>
          <w:p w14:paraId="2D292B4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92607870</w:t>
            </w:r>
          </w:p>
        </w:tc>
        <w:tc>
          <w:tcPr>
            <w:tcW w:w="3360" w:type="pct"/>
            <w:tcBorders>
              <w:top w:val="nil"/>
              <w:left w:val="nil"/>
              <w:bottom w:val="single" w:sz="4" w:space="0" w:color="auto"/>
              <w:right w:val="single" w:sz="4" w:space="0" w:color="auto"/>
            </w:tcBorders>
            <w:shd w:val="clear" w:color="auto" w:fill="auto"/>
            <w:vAlign w:val="center"/>
            <w:hideMark/>
          </w:tcPr>
          <w:p w14:paraId="1F6F0B6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KRŠKO</w:t>
            </w:r>
          </w:p>
        </w:tc>
      </w:tr>
      <w:tr w:rsidR="00E3750C" w:rsidRPr="00415AB3" w14:paraId="2EC69CC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BE2E39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1987</w:t>
            </w:r>
          </w:p>
        </w:tc>
        <w:tc>
          <w:tcPr>
            <w:tcW w:w="705" w:type="pct"/>
            <w:tcBorders>
              <w:top w:val="nil"/>
              <w:left w:val="nil"/>
              <w:bottom w:val="single" w:sz="4" w:space="0" w:color="auto"/>
              <w:right w:val="single" w:sz="4" w:space="0" w:color="auto"/>
            </w:tcBorders>
            <w:shd w:val="clear" w:color="auto" w:fill="auto"/>
            <w:noWrap/>
            <w:vAlign w:val="center"/>
            <w:hideMark/>
          </w:tcPr>
          <w:p w14:paraId="3A42D0F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5924324000</w:t>
            </w:r>
          </w:p>
        </w:tc>
        <w:tc>
          <w:tcPr>
            <w:tcW w:w="547" w:type="pct"/>
            <w:tcBorders>
              <w:top w:val="nil"/>
              <w:left w:val="nil"/>
              <w:bottom w:val="single" w:sz="4" w:space="0" w:color="auto"/>
              <w:right w:val="single" w:sz="4" w:space="0" w:color="auto"/>
            </w:tcBorders>
            <w:shd w:val="clear" w:color="auto" w:fill="auto"/>
            <w:noWrap/>
            <w:vAlign w:val="center"/>
            <w:hideMark/>
          </w:tcPr>
          <w:p w14:paraId="305820F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61249734</w:t>
            </w:r>
          </w:p>
        </w:tc>
        <w:tc>
          <w:tcPr>
            <w:tcW w:w="3360" w:type="pct"/>
            <w:tcBorders>
              <w:top w:val="nil"/>
              <w:left w:val="nil"/>
              <w:bottom w:val="single" w:sz="4" w:space="0" w:color="auto"/>
              <w:right w:val="single" w:sz="4" w:space="0" w:color="auto"/>
            </w:tcBorders>
            <w:shd w:val="clear" w:color="auto" w:fill="auto"/>
            <w:vAlign w:val="center"/>
            <w:hideMark/>
          </w:tcPr>
          <w:p w14:paraId="3FF4D61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LAŠKO</w:t>
            </w:r>
          </w:p>
        </w:tc>
      </w:tr>
      <w:tr w:rsidR="00E3750C" w:rsidRPr="00415AB3" w14:paraId="6783524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47874E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1988</w:t>
            </w:r>
          </w:p>
        </w:tc>
        <w:tc>
          <w:tcPr>
            <w:tcW w:w="705" w:type="pct"/>
            <w:tcBorders>
              <w:top w:val="nil"/>
              <w:left w:val="nil"/>
              <w:bottom w:val="single" w:sz="4" w:space="0" w:color="auto"/>
              <w:right w:val="single" w:sz="4" w:space="0" w:color="auto"/>
            </w:tcBorders>
            <w:shd w:val="clear" w:color="auto" w:fill="auto"/>
            <w:noWrap/>
            <w:vAlign w:val="center"/>
            <w:hideMark/>
          </w:tcPr>
          <w:p w14:paraId="6C288A4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1942905000</w:t>
            </w:r>
          </w:p>
        </w:tc>
        <w:tc>
          <w:tcPr>
            <w:tcW w:w="547" w:type="pct"/>
            <w:tcBorders>
              <w:top w:val="nil"/>
              <w:left w:val="nil"/>
              <w:bottom w:val="single" w:sz="4" w:space="0" w:color="auto"/>
              <w:right w:val="single" w:sz="4" w:space="0" w:color="auto"/>
            </w:tcBorders>
            <w:shd w:val="clear" w:color="auto" w:fill="auto"/>
            <w:noWrap/>
            <w:vAlign w:val="center"/>
            <w:hideMark/>
          </w:tcPr>
          <w:p w14:paraId="6A4D4B3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34025561</w:t>
            </w:r>
          </w:p>
        </w:tc>
        <w:tc>
          <w:tcPr>
            <w:tcW w:w="3360" w:type="pct"/>
            <w:tcBorders>
              <w:top w:val="nil"/>
              <w:left w:val="nil"/>
              <w:bottom w:val="single" w:sz="4" w:space="0" w:color="auto"/>
              <w:right w:val="single" w:sz="4" w:space="0" w:color="auto"/>
            </w:tcBorders>
            <w:shd w:val="clear" w:color="auto" w:fill="auto"/>
            <w:vAlign w:val="center"/>
            <w:hideMark/>
          </w:tcPr>
          <w:p w14:paraId="324A4D4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LEDINA</w:t>
            </w:r>
          </w:p>
        </w:tc>
      </w:tr>
      <w:tr w:rsidR="00E3750C" w:rsidRPr="00415AB3" w14:paraId="5791DF3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3F8D53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1989</w:t>
            </w:r>
          </w:p>
        </w:tc>
        <w:tc>
          <w:tcPr>
            <w:tcW w:w="705" w:type="pct"/>
            <w:tcBorders>
              <w:top w:val="nil"/>
              <w:left w:val="nil"/>
              <w:bottom w:val="single" w:sz="4" w:space="0" w:color="auto"/>
              <w:right w:val="single" w:sz="4" w:space="0" w:color="auto"/>
            </w:tcBorders>
            <w:shd w:val="clear" w:color="auto" w:fill="auto"/>
            <w:noWrap/>
            <w:vAlign w:val="center"/>
            <w:hideMark/>
          </w:tcPr>
          <w:p w14:paraId="6C19AF1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5089786000</w:t>
            </w:r>
          </w:p>
        </w:tc>
        <w:tc>
          <w:tcPr>
            <w:tcW w:w="547" w:type="pct"/>
            <w:tcBorders>
              <w:top w:val="nil"/>
              <w:left w:val="nil"/>
              <w:bottom w:val="single" w:sz="4" w:space="0" w:color="auto"/>
              <w:right w:val="single" w:sz="4" w:space="0" w:color="auto"/>
            </w:tcBorders>
            <w:shd w:val="clear" w:color="auto" w:fill="auto"/>
            <w:noWrap/>
            <w:vAlign w:val="center"/>
            <w:hideMark/>
          </w:tcPr>
          <w:p w14:paraId="305F2A6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10849076</w:t>
            </w:r>
          </w:p>
        </w:tc>
        <w:tc>
          <w:tcPr>
            <w:tcW w:w="3360" w:type="pct"/>
            <w:tcBorders>
              <w:top w:val="nil"/>
              <w:left w:val="nil"/>
              <w:bottom w:val="single" w:sz="4" w:space="0" w:color="auto"/>
              <w:right w:val="single" w:sz="4" w:space="0" w:color="auto"/>
            </w:tcBorders>
            <w:shd w:val="clear" w:color="auto" w:fill="auto"/>
            <w:vAlign w:val="center"/>
            <w:hideMark/>
          </w:tcPr>
          <w:p w14:paraId="4DEB511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LENDAVA LENDVAI OVODA</w:t>
            </w:r>
          </w:p>
        </w:tc>
      </w:tr>
      <w:tr w:rsidR="00E3750C" w:rsidRPr="00415AB3" w14:paraId="102AB95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22D9D0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1990</w:t>
            </w:r>
          </w:p>
        </w:tc>
        <w:tc>
          <w:tcPr>
            <w:tcW w:w="705" w:type="pct"/>
            <w:tcBorders>
              <w:top w:val="nil"/>
              <w:left w:val="nil"/>
              <w:bottom w:val="single" w:sz="4" w:space="0" w:color="auto"/>
              <w:right w:val="single" w:sz="4" w:space="0" w:color="auto"/>
            </w:tcBorders>
            <w:shd w:val="clear" w:color="auto" w:fill="auto"/>
            <w:noWrap/>
            <w:vAlign w:val="center"/>
            <w:hideMark/>
          </w:tcPr>
          <w:p w14:paraId="7AEE9B3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5049911000</w:t>
            </w:r>
          </w:p>
        </w:tc>
        <w:tc>
          <w:tcPr>
            <w:tcW w:w="547" w:type="pct"/>
            <w:tcBorders>
              <w:top w:val="nil"/>
              <w:left w:val="nil"/>
              <w:bottom w:val="single" w:sz="4" w:space="0" w:color="auto"/>
              <w:right w:val="single" w:sz="4" w:space="0" w:color="auto"/>
            </w:tcBorders>
            <w:shd w:val="clear" w:color="auto" w:fill="auto"/>
            <w:noWrap/>
            <w:vAlign w:val="center"/>
            <w:hideMark/>
          </w:tcPr>
          <w:p w14:paraId="2EC48BB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72197196</w:t>
            </w:r>
          </w:p>
        </w:tc>
        <w:tc>
          <w:tcPr>
            <w:tcW w:w="3360" w:type="pct"/>
            <w:tcBorders>
              <w:top w:val="nil"/>
              <w:left w:val="nil"/>
              <w:bottom w:val="single" w:sz="4" w:space="0" w:color="auto"/>
              <w:right w:val="single" w:sz="4" w:space="0" w:color="auto"/>
            </w:tcBorders>
            <w:shd w:val="clear" w:color="auto" w:fill="auto"/>
            <w:vAlign w:val="center"/>
            <w:hideMark/>
          </w:tcPr>
          <w:p w14:paraId="4531522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LITIJA</w:t>
            </w:r>
          </w:p>
        </w:tc>
      </w:tr>
      <w:tr w:rsidR="00E3750C" w:rsidRPr="00415AB3" w14:paraId="49E8EF9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214A6B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1991</w:t>
            </w:r>
          </w:p>
        </w:tc>
        <w:tc>
          <w:tcPr>
            <w:tcW w:w="705" w:type="pct"/>
            <w:tcBorders>
              <w:top w:val="nil"/>
              <w:left w:val="nil"/>
              <w:bottom w:val="single" w:sz="4" w:space="0" w:color="auto"/>
              <w:right w:val="single" w:sz="4" w:space="0" w:color="auto"/>
            </w:tcBorders>
            <w:shd w:val="clear" w:color="auto" w:fill="auto"/>
            <w:noWrap/>
            <w:vAlign w:val="center"/>
            <w:hideMark/>
          </w:tcPr>
          <w:p w14:paraId="7D4C236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5050880000</w:t>
            </w:r>
          </w:p>
        </w:tc>
        <w:tc>
          <w:tcPr>
            <w:tcW w:w="547" w:type="pct"/>
            <w:tcBorders>
              <w:top w:val="nil"/>
              <w:left w:val="nil"/>
              <w:bottom w:val="single" w:sz="4" w:space="0" w:color="auto"/>
              <w:right w:val="single" w:sz="4" w:space="0" w:color="auto"/>
            </w:tcBorders>
            <w:shd w:val="clear" w:color="auto" w:fill="auto"/>
            <w:noWrap/>
            <w:vAlign w:val="center"/>
            <w:hideMark/>
          </w:tcPr>
          <w:p w14:paraId="6CF7025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35404370</w:t>
            </w:r>
          </w:p>
        </w:tc>
        <w:tc>
          <w:tcPr>
            <w:tcW w:w="3360" w:type="pct"/>
            <w:tcBorders>
              <w:top w:val="nil"/>
              <w:left w:val="nil"/>
              <w:bottom w:val="single" w:sz="4" w:space="0" w:color="auto"/>
              <w:right w:val="single" w:sz="4" w:space="0" w:color="auto"/>
            </w:tcBorders>
            <w:shd w:val="clear" w:color="auto" w:fill="auto"/>
            <w:vAlign w:val="center"/>
            <w:hideMark/>
          </w:tcPr>
          <w:p w14:paraId="5B22321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MANKA GOLARJA GORNJA RADGONA</w:t>
            </w:r>
          </w:p>
        </w:tc>
      </w:tr>
      <w:tr w:rsidR="00E3750C" w:rsidRPr="00415AB3" w14:paraId="2F797DB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83BDC5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1992</w:t>
            </w:r>
          </w:p>
        </w:tc>
        <w:tc>
          <w:tcPr>
            <w:tcW w:w="705" w:type="pct"/>
            <w:tcBorders>
              <w:top w:val="nil"/>
              <w:left w:val="nil"/>
              <w:bottom w:val="single" w:sz="4" w:space="0" w:color="auto"/>
              <w:right w:val="single" w:sz="4" w:space="0" w:color="auto"/>
            </w:tcBorders>
            <w:shd w:val="clear" w:color="auto" w:fill="auto"/>
            <w:noWrap/>
            <w:vAlign w:val="center"/>
            <w:hideMark/>
          </w:tcPr>
          <w:p w14:paraId="7B805B0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5214106000</w:t>
            </w:r>
          </w:p>
        </w:tc>
        <w:tc>
          <w:tcPr>
            <w:tcW w:w="547" w:type="pct"/>
            <w:tcBorders>
              <w:top w:val="nil"/>
              <w:left w:val="nil"/>
              <w:bottom w:val="single" w:sz="4" w:space="0" w:color="auto"/>
              <w:right w:val="single" w:sz="4" w:space="0" w:color="auto"/>
            </w:tcBorders>
            <w:shd w:val="clear" w:color="auto" w:fill="auto"/>
            <w:noWrap/>
            <w:vAlign w:val="center"/>
            <w:hideMark/>
          </w:tcPr>
          <w:p w14:paraId="0630231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56491875</w:t>
            </w:r>
          </w:p>
        </w:tc>
        <w:tc>
          <w:tcPr>
            <w:tcW w:w="3360" w:type="pct"/>
            <w:tcBorders>
              <w:top w:val="nil"/>
              <w:left w:val="nil"/>
              <w:bottom w:val="single" w:sz="4" w:space="0" w:color="auto"/>
              <w:right w:val="single" w:sz="4" w:space="0" w:color="auto"/>
            </w:tcBorders>
            <w:shd w:val="clear" w:color="auto" w:fill="auto"/>
            <w:vAlign w:val="center"/>
            <w:hideMark/>
          </w:tcPr>
          <w:p w14:paraId="7FBDCD4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MARTIN KRPAN CERKNICA</w:t>
            </w:r>
          </w:p>
        </w:tc>
      </w:tr>
      <w:tr w:rsidR="00E3750C" w:rsidRPr="00415AB3" w14:paraId="5F0E280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2D92D7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1993</w:t>
            </w:r>
          </w:p>
        </w:tc>
        <w:tc>
          <w:tcPr>
            <w:tcW w:w="705" w:type="pct"/>
            <w:tcBorders>
              <w:top w:val="nil"/>
              <w:left w:val="nil"/>
              <w:bottom w:val="single" w:sz="4" w:space="0" w:color="auto"/>
              <w:right w:val="single" w:sz="4" w:space="0" w:color="auto"/>
            </w:tcBorders>
            <w:shd w:val="clear" w:color="auto" w:fill="auto"/>
            <w:noWrap/>
            <w:vAlign w:val="center"/>
            <w:hideMark/>
          </w:tcPr>
          <w:p w14:paraId="40B354A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5049555000</w:t>
            </w:r>
          </w:p>
        </w:tc>
        <w:tc>
          <w:tcPr>
            <w:tcW w:w="547" w:type="pct"/>
            <w:tcBorders>
              <w:top w:val="nil"/>
              <w:left w:val="nil"/>
              <w:bottom w:val="single" w:sz="4" w:space="0" w:color="auto"/>
              <w:right w:val="single" w:sz="4" w:space="0" w:color="auto"/>
            </w:tcBorders>
            <w:shd w:val="clear" w:color="auto" w:fill="auto"/>
            <w:noWrap/>
            <w:vAlign w:val="center"/>
            <w:hideMark/>
          </w:tcPr>
          <w:p w14:paraId="3AC44E2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25225952</w:t>
            </w:r>
          </w:p>
        </w:tc>
        <w:tc>
          <w:tcPr>
            <w:tcW w:w="3360" w:type="pct"/>
            <w:tcBorders>
              <w:top w:val="nil"/>
              <w:left w:val="nil"/>
              <w:bottom w:val="single" w:sz="4" w:space="0" w:color="auto"/>
              <w:right w:val="single" w:sz="4" w:space="0" w:color="auto"/>
            </w:tcBorders>
            <w:shd w:val="clear" w:color="auto" w:fill="auto"/>
            <w:vAlign w:val="center"/>
            <w:hideMark/>
          </w:tcPr>
          <w:p w14:paraId="17F64DA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MAVRICA BREŽICE</w:t>
            </w:r>
          </w:p>
        </w:tc>
      </w:tr>
      <w:tr w:rsidR="00E3750C" w:rsidRPr="00415AB3" w14:paraId="43E7B04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D229A5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1994</w:t>
            </w:r>
          </w:p>
        </w:tc>
        <w:tc>
          <w:tcPr>
            <w:tcW w:w="705" w:type="pct"/>
            <w:tcBorders>
              <w:top w:val="nil"/>
              <w:left w:val="nil"/>
              <w:bottom w:val="single" w:sz="4" w:space="0" w:color="auto"/>
              <w:right w:val="single" w:sz="4" w:space="0" w:color="auto"/>
            </w:tcBorders>
            <w:shd w:val="clear" w:color="auto" w:fill="auto"/>
            <w:noWrap/>
            <w:vAlign w:val="center"/>
            <w:hideMark/>
          </w:tcPr>
          <w:p w14:paraId="7388CB5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5992346000</w:t>
            </w:r>
          </w:p>
        </w:tc>
        <w:tc>
          <w:tcPr>
            <w:tcW w:w="547" w:type="pct"/>
            <w:tcBorders>
              <w:top w:val="nil"/>
              <w:left w:val="nil"/>
              <w:bottom w:val="single" w:sz="4" w:space="0" w:color="auto"/>
              <w:right w:val="single" w:sz="4" w:space="0" w:color="auto"/>
            </w:tcBorders>
            <w:shd w:val="clear" w:color="auto" w:fill="auto"/>
            <w:noWrap/>
            <w:vAlign w:val="center"/>
            <w:hideMark/>
          </w:tcPr>
          <w:p w14:paraId="61EE5FA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33127760</w:t>
            </w:r>
          </w:p>
        </w:tc>
        <w:tc>
          <w:tcPr>
            <w:tcW w:w="3360" w:type="pct"/>
            <w:tcBorders>
              <w:top w:val="nil"/>
              <w:left w:val="nil"/>
              <w:bottom w:val="single" w:sz="4" w:space="0" w:color="auto"/>
              <w:right w:val="single" w:sz="4" w:space="0" w:color="auto"/>
            </w:tcBorders>
            <w:shd w:val="clear" w:color="auto" w:fill="auto"/>
            <w:vAlign w:val="center"/>
            <w:hideMark/>
          </w:tcPr>
          <w:p w14:paraId="10D7DA8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MAVRICA VOJNIK</w:t>
            </w:r>
          </w:p>
        </w:tc>
      </w:tr>
      <w:tr w:rsidR="00E3750C" w:rsidRPr="00415AB3" w14:paraId="0C2C45B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A6387D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1995</w:t>
            </w:r>
          </w:p>
        </w:tc>
        <w:tc>
          <w:tcPr>
            <w:tcW w:w="705" w:type="pct"/>
            <w:tcBorders>
              <w:top w:val="nil"/>
              <w:left w:val="nil"/>
              <w:bottom w:val="single" w:sz="4" w:space="0" w:color="auto"/>
              <w:right w:val="single" w:sz="4" w:space="0" w:color="auto"/>
            </w:tcBorders>
            <w:shd w:val="clear" w:color="auto" w:fill="auto"/>
            <w:noWrap/>
            <w:vAlign w:val="center"/>
            <w:hideMark/>
          </w:tcPr>
          <w:p w14:paraId="475E0A7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5996503000</w:t>
            </w:r>
          </w:p>
        </w:tc>
        <w:tc>
          <w:tcPr>
            <w:tcW w:w="547" w:type="pct"/>
            <w:tcBorders>
              <w:top w:val="nil"/>
              <w:left w:val="nil"/>
              <w:bottom w:val="single" w:sz="4" w:space="0" w:color="auto"/>
              <w:right w:val="single" w:sz="4" w:space="0" w:color="auto"/>
            </w:tcBorders>
            <w:shd w:val="clear" w:color="auto" w:fill="auto"/>
            <w:noWrap/>
            <w:vAlign w:val="center"/>
            <w:hideMark/>
          </w:tcPr>
          <w:p w14:paraId="7DC4FB4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55787738</w:t>
            </w:r>
          </w:p>
        </w:tc>
        <w:tc>
          <w:tcPr>
            <w:tcW w:w="3360" w:type="pct"/>
            <w:tcBorders>
              <w:top w:val="nil"/>
              <w:left w:val="nil"/>
              <w:bottom w:val="single" w:sz="4" w:space="0" w:color="auto"/>
              <w:right w:val="single" w:sz="4" w:space="0" w:color="auto"/>
            </w:tcBorders>
            <w:shd w:val="clear" w:color="auto" w:fill="auto"/>
            <w:vAlign w:val="center"/>
            <w:hideMark/>
          </w:tcPr>
          <w:p w14:paraId="08E9CB6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MEDVODE</w:t>
            </w:r>
          </w:p>
        </w:tc>
      </w:tr>
      <w:tr w:rsidR="00E3750C" w:rsidRPr="00415AB3" w14:paraId="66FA98F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97C6D6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1996</w:t>
            </w:r>
          </w:p>
        </w:tc>
        <w:tc>
          <w:tcPr>
            <w:tcW w:w="705" w:type="pct"/>
            <w:tcBorders>
              <w:top w:val="nil"/>
              <w:left w:val="nil"/>
              <w:bottom w:val="single" w:sz="4" w:space="0" w:color="auto"/>
              <w:right w:val="single" w:sz="4" w:space="0" w:color="auto"/>
            </w:tcBorders>
            <w:shd w:val="clear" w:color="auto" w:fill="auto"/>
            <w:noWrap/>
            <w:vAlign w:val="center"/>
            <w:hideMark/>
          </w:tcPr>
          <w:p w14:paraId="557CF68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6665764000</w:t>
            </w:r>
          </w:p>
        </w:tc>
        <w:tc>
          <w:tcPr>
            <w:tcW w:w="547" w:type="pct"/>
            <w:tcBorders>
              <w:top w:val="nil"/>
              <w:left w:val="nil"/>
              <w:bottom w:val="single" w:sz="4" w:space="0" w:color="auto"/>
              <w:right w:val="single" w:sz="4" w:space="0" w:color="auto"/>
            </w:tcBorders>
            <w:shd w:val="clear" w:color="auto" w:fill="auto"/>
            <w:noWrap/>
            <w:vAlign w:val="center"/>
            <w:hideMark/>
          </w:tcPr>
          <w:p w14:paraId="360AA68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67782949</w:t>
            </w:r>
          </w:p>
        </w:tc>
        <w:tc>
          <w:tcPr>
            <w:tcW w:w="3360" w:type="pct"/>
            <w:tcBorders>
              <w:top w:val="nil"/>
              <w:left w:val="nil"/>
              <w:bottom w:val="single" w:sz="4" w:space="0" w:color="auto"/>
              <w:right w:val="single" w:sz="4" w:space="0" w:color="auto"/>
            </w:tcBorders>
            <w:shd w:val="clear" w:color="auto" w:fill="auto"/>
            <w:vAlign w:val="center"/>
            <w:hideMark/>
          </w:tcPr>
          <w:p w14:paraId="51A2A0A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MEHURČKI</w:t>
            </w:r>
          </w:p>
        </w:tc>
      </w:tr>
      <w:tr w:rsidR="00E3750C" w:rsidRPr="00415AB3" w14:paraId="2A6FBFF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6CBE5B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1997</w:t>
            </w:r>
          </w:p>
        </w:tc>
        <w:tc>
          <w:tcPr>
            <w:tcW w:w="705" w:type="pct"/>
            <w:tcBorders>
              <w:top w:val="nil"/>
              <w:left w:val="nil"/>
              <w:bottom w:val="single" w:sz="4" w:space="0" w:color="auto"/>
              <w:right w:val="single" w:sz="4" w:space="0" w:color="auto"/>
            </w:tcBorders>
            <w:shd w:val="clear" w:color="auto" w:fill="auto"/>
            <w:noWrap/>
            <w:vAlign w:val="center"/>
            <w:hideMark/>
          </w:tcPr>
          <w:p w14:paraId="4738AC7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1201387000</w:t>
            </w:r>
          </w:p>
        </w:tc>
        <w:tc>
          <w:tcPr>
            <w:tcW w:w="547" w:type="pct"/>
            <w:tcBorders>
              <w:top w:val="nil"/>
              <w:left w:val="nil"/>
              <w:bottom w:val="single" w:sz="4" w:space="0" w:color="auto"/>
              <w:right w:val="single" w:sz="4" w:space="0" w:color="auto"/>
            </w:tcBorders>
            <w:shd w:val="clear" w:color="auto" w:fill="auto"/>
            <w:noWrap/>
            <w:vAlign w:val="center"/>
            <w:hideMark/>
          </w:tcPr>
          <w:p w14:paraId="643C5AC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25929399</w:t>
            </w:r>
          </w:p>
        </w:tc>
        <w:tc>
          <w:tcPr>
            <w:tcW w:w="3360" w:type="pct"/>
            <w:tcBorders>
              <w:top w:val="nil"/>
              <w:left w:val="nil"/>
              <w:bottom w:val="single" w:sz="4" w:space="0" w:color="auto"/>
              <w:right w:val="single" w:sz="4" w:space="0" w:color="auto"/>
            </w:tcBorders>
            <w:shd w:val="clear" w:color="auto" w:fill="auto"/>
            <w:vAlign w:val="center"/>
            <w:hideMark/>
          </w:tcPr>
          <w:p w14:paraId="7A730AB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MENGEŠ</w:t>
            </w:r>
          </w:p>
        </w:tc>
      </w:tr>
      <w:tr w:rsidR="00E3750C" w:rsidRPr="00415AB3" w14:paraId="46A6450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C242F5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1998</w:t>
            </w:r>
          </w:p>
        </w:tc>
        <w:tc>
          <w:tcPr>
            <w:tcW w:w="705" w:type="pct"/>
            <w:tcBorders>
              <w:top w:val="nil"/>
              <w:left w:val="nil"/>
              <w:bottom w:val="single" w:sz="4" w:space="0" w:color="auto"/>
              <w:right w:val="single" w:sz="4" w:space="0" w:color="auto"/>
            </w:tcBorders>
            <w:shd w:val="clear" w:color="auto" w:fill="auto"/>
            <w:noWrap/>
            <w:vAlign w:val="center"/>
            <w:hideMark/>
          </w:tcPr>
          <w:p w14:paraId="3338D07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1940872000</w:t>
            </w:r>
          </w:p>
        </w:tc>
        <w:tc>
          <w:tcPr>
            <w:tcW w:w="547" w:type="pct"/>
            <w:tcBorders>
              <w:top w:val="nil"/>
              <w:left w:val="nil"/>
              <w:bottom w:val="single" w:sz="4" w:space="0" w:color="auto"/>
              <w:right w:val="single" w:sz="4" w:space="0" w:color="auto"/>
            </w:tcBorders>
            <w:shd w:val="clear" w:color="auto" w:fill="auto"/>
            <w:noWrap/>
            <w:vAlign w:val="center"/>
            <w:hideMark/>
          </w:tcPr>
          <w:p w14:paraId="25A1E6A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55342779</w:t>
            </w:r>
          </w:p>
        </w:tc>
        <w:tc>
          <w:tcPr>
            <w:tcW w:w="3360" w:type="pct"/>
            <w:tcBorders>
              <w:top w:val="nil"/>
              <w:left w:val="nil"/>
              <w:bottom w:val="single" w:sz="4" w:space="0" w:color="auto"/>
              <w:right w:val="single" w:sz="4" w:space="0" w:color="auto"/>
            </w:tcBorders>
            <w:shd w:val="clear" w:color="auto" w:fill="auto"/>
            <w:vAlign w:val="center"/>
            <w:hideMark/>
          </w:tcPr>
          <w:p w14:paraId="4F1A7FD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MIŠKOLIN</w:t>
            </w:r>
          </w:p>
        </w:tc>
      </w:tr>
      <w:tr w:rsidR="00E3750C" w:rsidRPr="00415AB3" w14:paraId="5EBB408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3B2D7A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1999</w:t>
            </w:r>
          </w:p>
        </w:tc>
        <w:tc>
          <w:tcPr>
            <w:tcW w:w="705" w:type="pct"/>
            <w:tcBorders>
              <w:top w:val="nil"/>
              <w:left w:val="nil"/>
              <w:bottom w:val="single" w:sz="4" w:space="0" w:color="auto"/>
              <w:right w:val="single" w:sz="4" w:space="0" w:color="auto"/>
            </w:tcBorders>
            <w:shd w:val="clear" w:color="auto" w:fill="auto"/>
            <w:noWrap/>
            <w:vAlign w:val="center"/>
            <w:hideMark/>
          </w:tcPr>
          <w:p w14:paraId="2F0952F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5049954000</w:t>
            </w:r>
          </w:p>
        </w:tc>
        <w:tc>
          <w:tcPr>
            <w:tcW w:w="547" w:type="pct"/>
            <w:tcBorders>
              <w:top w:val="nil"/>
              <w:left w:val="nil"/>
              <w:bottom w:val="single" w:sz="4" w:space="0" w:color="auto"/>
              <w:right w:val="single" w:sz="4" w:space="0" w:color="auto"/>
            </w:tcBorders>
            <w:shd w:val="clear" w:color="auto" w:fill="auto"/>
            <w:noWrap/>
            <w:vAlign w:val="center"/>
            <w:hideMark/>
          </w:tcPr>
          <w:p w14:paraId="13C12B2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64554970</w:t>
            </w:r>
          </w:p>
        </w:tc>
        <w:tc>
          <w:tcPr>
            <w:tcW w:w="3360" w:type="pct"/>
            <w:tcBorders>
              <w:top w:val="nil"/>
              <w:left w:val="nil"/>
              <w:bottom w:val="single" w:sz="4" w:space="0" w:color="auto"/>
              <w:right w:val="single" w:sz="4" w:space="0" w:color="auto"/>
            </w:tcBorders>
            <w:shd w:val="clear" w:color="auto" w:fill="auto"/>
            <w:vAlign w:val="center"/>
            <w:hideMark/>
          </w:tcPr>
          <w:p w14:paraId="74A0FA9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MLADI ROD</w:t>
            </w:r>
          </w:p>
        </w:tc>
      </w:tr>
      <w:tr w:rsidR="00E3750C" w:rsidRPr="00415AB3" w14:paraId="7D9AF6B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0A6B59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2000</w:t>
            </w:r>
          </w:p>
        </w:tc>
        <w:tc>
          <w:tcPr>
            <w:tcW w:w="705" w:type="pct"/>
            <w:tcBorders>
              <w:top w:val="nil"/>
              <w:left w:val="nil"/>
              <w:bottom w:val="single" w:sz="4" w:space="0" w:color="auto"/>
              <w:right w:val="single" w:sz="4" w:space="0" w:color="auto"/>
            </w:tcBorders>
            <w:shd w:val="clear" w:color="auto" w:fill="auto"/>
            <w:noWrap/>
            <w:vAlign w:val="center"/>
            <w:hideMark/>
          </w:tcPr>
          <w:p w14:paraId="269106B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5102324000</w:t>
            </w:r>
          </w:p>
        </w:tc>
        <w:tc>
          <w:tcPr>
            <w:tcW w:w="547" w:type="pct"/>
            <w:tcBorders>
              <w:top w:val="nil"/>
              <w:left w:val="nil"/>
              <w:bottom w:val="single" w:sz="4" w:space="0" w:color="auto"/>
              <w:right w:val="single" w:sz="4" w:space="0" w:color="auto"/>
            </w:tcBorders>
            <w:shd w:val="clear" w:color="auto" w:fill="auto"/>
            <w:noWrap/>
            <w:vAlign w:val="center"/>
            <w:hideMark/>
          </w:tcPr>
          <w:p w14:paraId="24BBA8C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33375801</w:t>
            </w:r>
          </w:p>
        </w:tc>
        <w:tc>
          <w:tcPr>
            <w:tcW w:w="3360" w:type="pct"/>
            <w:tcBorders>
              <w:top w:val="nil"/>
              <w:left w:val="nil"/>
              <w:bottom w:val="single" w:sz="4" w:space="0" w:color="auto"/>
              <w:right w:val="single" w:sz="4" w:space="0" w:color="auto"/>
            </w:tcBorders>
            <w:shd w:val="clear" w:color="auto" w:fill="auto"/>
            <w:vAlign w:val="center"/>
            <w:hideMark/>
          </w:tcPr>
          <w:p w14:paraId="4E4664E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MOJCA</w:t>
            </w:r>
          </w:p>
        </w:tc>
      </w:tr>
      <w:tr w:rsidR="00E3750C" w:rsidRPr="00415AB3" w14:paraId="4012DC4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CF7DF2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2001</w:t>
            </w:r>
          </w:p>
        </w:tc>
        <w:tc>
          <w:tcPr>
            <w:tcW w:w="705" w:type="pct"/>
            <w:tcBorders>
              <w:top w:val="nil"/>
              <w:left w:val="nil"/>
              <w:bottom w:val="single" w:sz="4" w:space="0" w:color="auto"/>
              <w:right w:val="single" w:sz="4" w:space="0" w:color="auto"/>
            </w:tcBorders>
            <w:shd w:val="clear" w:color="auto" w:fill="auto"/>
            <w:noWrap/>
            <w:vAlign w:val="center"/>
            <w:hideMark/>
          </w:tcPr>
          <w:p w14:paraId="0C3829F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5182140000</w:t>
            </w:r>
          </w:p>
        </w:tc>
        <w:tc>
          <w:tcPr>
            <w:tcW w:w="547" w:type="pct"/>
            <w:tcBorders>
              <w:top w:val="nil"/>
              <w:left w:val="nil"/>
              <w:bottom w:val="single" w:sz="4" w:space="0" w:color="auto"/>
              <w:right w:val="single" w:sz="4" w:space="0" w:color="auto"/>
            </w:tcBorders>
            <w:shd w:val="clear" w:color="auto" w:fill="auto"/>
            <w:noWrap/>
            <w:vAlign w:val="center"/>
            <w:hideMark/>
          </w:tcPr>
          <w:p w14:paraId="61ADCF6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68069987</w:t>
            </w:r>
          </w:p>
        </w:tc>
        <w:tc>
          <w:tcPr>
            <w:tcW w:w="3360" w:type="pct"/>
            <w:tcBorders>
              <w:top w:val="nil"/>
              <w:left w:val="nil"/>
              <w:bottom w:val="single" w:sz="4" w:space="0" w:color="auto"/>
              <w:right w:val="single" w:sz="4" w:space="0" w:color="auto"/>
            </w:tcBorders>
            <w:shd w:val="clear" w:color="auto" w:fill="auto"/>
            <w:vAlign w:val="center"/>
            <w:hideMark/>
          </w:tcPr>
          <w:p w14:paraId="63FB705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MORJE LUCIJA</w:t>
            </w:r>
          </w:p>
        </w:tc>
      </w:tr>
      <w:tr w:rsidR="00E3750C" w:rsidRPr="00415AB3" w14:paraId="00A121C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E9A767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2002</w:t>
            </w:r>
          </w:p>
        </w:tc>
        <w:tc>
          <w:tcPr>
            <w:tcW w:w="705" w:type="pct"/>
            <w:tcBorders>
              <w:top w:val="nil"/>
              <w:left w:val="nil"/>
              <w:bottom w:val="single" w:sz="4" w:space="0" w:color="auto"/>
              <w:right w:val="single" w:sz="4" w:space="0" w:color="auto"/>
            </w:tcBorders>
            <w:shd w:val="clear" w:color="auto" w:fill="auto"/>
            <w:noWrap/>
            <w:vAlign w:val="center"/>
            <w:hideMark/>
          </w:tcPr>
          <w:p w14:paraId="76BFED8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5055415000</w:t>
            </w:r>
          </w:p>
        </w:tc>
        <w:tc>
          <w:tcPr>
            <w:tcW w:w="547" w:type="pct"/>
            <w:tcBorders>
              <w:top w:val="nil"/>
              <w:left w:val="nil"/>
              <w:bottom w:val="single" w:sz="4" w:space="0" w:color="auto"/>
              <w:right w:val="single" w:sz="4" w:space="0" w:color="auto"/>
            </w:tcBorders>
            <w:shd w:val="clear" w:color="auto" w:fill="auto"/>
            <w:noWrap/>
            <w:vAlign w:val="center"/>
            <w:hideMark/>
          </w:tcPr>
          <w:p w14:paraId="3C0736C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34830065</w:t>
            </w:r>
          </w:p>
        </w:tc>
        <w:tc>
          <w:tcPr>
            <w:tcW w:w="3360" w:type="pct"/>
            <w:tcBorders>
              <w:top w:val="nil"/>
              <w:left w:val="nil"/>
              <w:bottom w:val="single" w:sz="4" w:space="0" w:color="auto"/>
              <w:right w:val="single" w:sz="4" w:space="0" w:color="auto"/>
            </w:tcBorders>
            <w:shd w:val="clear" w:color="auto" w:fill="auto"/>
            <w:vAlign w:val="center"/>
            <w:hideMark/>
          </w:tcPr>
          <w:p w14:paraId="7BCCF35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MORNARČEK PIRAN</w:t>
            </w:r>
          </w:p>
        </w:tc>
      </w:tr>
      <w:tr w:rsidR="00E3750C" w:rsidRPr="00415AB3" w14:paraId="52FCFBF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099DE2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2003</w:t>
            </w:r>
          </w:p>
        </w:tc>
        <w:tc>
          <w:tcPr>
            <w:tcW w:w="705" w:type="pct"/>
            <w:tcBorders>
              <w:top w:val="nil"/>
              <w:left w:val="nil"/>
              <w:bottom w:val="single" w:sz="4" w:space="0" w:color="auto"/>
              <w:right w:val="single" w:sz="4" w:space="0" w:color="auto"/>
            </w:tcBorders>
            <w:shd w:val="clear" w:color="auto" w:fill="auto"/>
            <w:noWrap/>
            <w:vAlign w:val="center"/>
            <w:hideMark/>
          </w:tcPr>
          <w:p w14:paraId="69ED737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5051304000</w:t>
            </w:r>
          </w:p>
        </w:tc>
        <w:tc>
          <w:tcPr>
            <w:tcW w:w="547" w:type="pct"/>
            <w:tcBorders>
              <w:top w:val="nil"/>
              <w:left w:val="nil"/>
              <w:bottom w:val="single" w:sz="4" w:space="0" w:color="auto"/>
              <w:right w:val="single" w:sz="4" w:space="0" w:color="auto"/>
            </w:tcBorders>
            <w:shd w:val="clear" w:color="auto" w:fill="auto"/>
            <w:noWrap/>
            <w:vAlign w:val="center"/>
            <w:hideMark/>
          </w:tcPr>
          <w:p w14:paraId="5573589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97605794</w:t>
            </w:r>
          </w:p>
        </w:tc>
        <w:tc>
          <w:tcPr>
            <w:tcW w:w="3360" w:type="pct"/>
            <w:tcBorders>
              <w:top w:val="nil"/>
              <w:left w:val="nil"/>
              <w:bottom w:val="single" w:sz="4" w:space="0" w:color="auto"/>
              <w:right w:val="single" w:sz="4" w:space="0" w:color="auto"/>
            </w:tcBorders>
            <w:shd w:val="clear" w:color="auto" w:fill="auto"/>
            <w:vAlign w:val="center"/>
            <w:hideMark/>
          </w:tcPr>
          <w:p w14:paraId="451BB50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MURSKA SOBOTA</w:t>
            </w:r>
          </w:p>
        </w:tc>
      </w:tr>
      <w:tr w:rsidR="00E3750C" w:rsidRPr="00415AB3" w14:paraId="2DC7F41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E5B7A4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2004</w:t>
            </w:r>
          </w:p>
        </w:tc>
        <w:tc>
          <w:tcPr>
            <w:tcW w:w="705" w:type="pct"/>
            <w:tcBorders>
              <w:top w:val="nil"/>
              <w:left w:val="nil"/>
              <w:bottom w:val="single" w:sz="4" w:space="0" w:color="auto"/>
              <w:right w:val="single" w:sz="4" w:space="0" w:color="auto"/>
            </w:tcBorders>
            <w:shd w:val="clear" w:color="auto" w:fill="auto"/>
            <w:noWrap/>
            <w:vAlign w:val="center"/>
            <w:hideMark/>
          </w:tcPr>
          <w:p w14:paraId="266E516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5050219000</w:t>
            </w:r>
          </w:p>
        </w:tc>
        <w:tc>
          <w:tcPr>
            <w:tcW w:w="547" w:type="pct"/>
            <w:tcBorders>
              <w:top w:val="nil"/>
              <w:left w:val="nil"/>
              <w:bottom w:val="single" w:sz="4" w:space="0" w:color="auto"/>
              <w:right w:val="single" w:sz="4" w:space="0" w:color="auto"/>
            </w:tcBorders>
            <w:shd w:val="clear" w:color="auto" w:fill="auto"/>
            <w:noWrap/>
            <w:vAlign w:val="center"/>
            <w:hideMark/>
          </w:tcPr>
          <w:p w14:paraId="7134C56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13051571</w:t>
            </w:r>
          </w:p>
        </w:tc>
        <w:tc>
          <w:tcPr>
            <w:tcW w:w="3360" w:type="pct"/>
            <w:tcBorders>
              <w:top w:val="nil"/>
              <w:left w:val="nil"/>
              <w:bottom w:val="single" w:sz="4" w:space="0" w:color="auto"/>
              <w:right w:val="single" w:sz="4" w:space="0" w:color="auto"/>
            </w:tcBorders>
            <w:shd w:val="clear" w:color="auto" w:fill="auto"/>
            <w:vAlign w:val="center"/>
            <w:hideMark/>
          </w:tcPr>
          <w:p w14:paraId="1087334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NAJDIHOJCA</w:t>
            </w:r>
          </w:p>
        </w:tc>
      </w:tr>
      <w:tr w:rsidR="00E3750C" w:rsidRPr="00415AB3" w14:paraId="790FE9D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AEC6F3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2005</w:t>
            </w:r>
          </w:p>
        </w:tc>
        <w:tc>
          <w:tcPr>
            <w:tcW w:w="705" w:type="pct"/>
            <w:tcBorders>
              <w:top w:val="nil"/>
              <w:left w:val="nil"/>
              <w:bottom w:val="single" w:sz="4" w:space="0" w:color="auto"/>
              <w:right w:val="single" w:sz="4" w:space="0" w:color="auto"/>
            </w:tcBorders>
            <w:shd w:val="clear" w:color="auto" w:fill="auto"/>
            <w:noWrap/>
            <w:vAlign w:val="center"/>
            <w:hideMark/>
          </w:tcPr>
          <w:p w14:paraId="0B72C4A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5056055000</w:t>
            </w:r>
          </w:p>
        </w:tc>
        <w:tc>
          <w:tcPr>
            <w:tcW w:w="547" w:type="pct"/>
            <w:tcBorders>
              <w:top w:val="nil"/>
              <w:left w:val="nil"/>
              <w:bottom w:val="single" w:sz="4" w:space="0" w:color="auto"/>
              <w:right w:val="single" w:sz="4" w:space="0" w:color="auto"/>
            </w:tcBorders>
            <w:shd w:val="clear" w:color="auto" w:fill="auto"/>
            <w:noWrap/>
            <w:vAlign w:val="center"/>
            <w:hideMark/>
          </w:tcPr>
          <w:p w14:paraId="4CEE2AE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55172849</w:t>
            </w:r>
          </w:p>
        </w:tc>
        <w:tc>
          <w:tcPr>
            <w:tcW w:w="3360" w:type="pct"/>
            <w:tcBorders>
              <w:top w:val="nil"/>
              <w:left w:val="nil"/>
              <w:bottom w:val="single" w:sz="4" w:space="0" w:color="auto"/>
              <w:right w:val="single" w:sz="4" w:space="0" w:color="auto"/>
            </w:tcBorders>
            <w:shd w:val="clear" w:color="auto" w:fill="auto"/>
            <w:vAlign w:val="center"/>
            <w:hideMark/>
          </w:tcPr>
          <w:p w14:paraId="67EFE42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NOVA GORICA</w:t>
            </w:r>
          </w:p>
        </w:tc>
      </w:tr>
      <w:tr w:rsidR="00E3750C" w:rsidRPr="00415AB3" w14:paraId="3FD3DE2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28B59E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2006</w:t>
            </w:r>
          </w:p>
        </w:tc>
        <w:tc>
          <w:tcPr>
            <w:tcW w:w="705" w:type="pct"/>
            <w:tcBorders>
              <w:top w:val="nil"/>
              <w:left w:val="nil"/>
              <w:bottom w:val="single" w:sz="4" w:space="0" w:color="auto"/>
              <w:right w:val="single" w:sz="4" w:space="0" w:color="auto"/>
            </w:tcBorders>
            <w:shd w:val="clear" w:color="auto" w:fill="auto"/>
            <w:noWrap/>
            <w:vAlign w:val="center"/>
            <w:hideMark/>
          </w:tcPr>
          <w:p w14:paraId="67053A7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5055563000</w:t>
            </w:r>
          </w:p>
        </w:tc>
        <w:tc>
          <w:tcPr>
            <w:tcW w:w="547" w:type="pct"/>
            <w:tcBorders>
              <w:top w:val="nil"/>
              <w:left w:val="nil"/>
              <w:bottom w:val="single" w:sz="4" w:space="0" w:color="auto"/>
              <w:right w:val="single" w:sz="4" w:space="0" w:color="auto"/>
            </w:tcBorders>
            <w:shd w:val="clear" w:color="auto" w:fill="auto"/>
            <w:noWrap/>
            <w:vAlign w:val="center"/>
            <w:hideMark/>
          </w:tcPr>
          <w:p w14:paraId="4EA042E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69160058</w:t>
            </w:r>
          </w:p>
        </w:tc>
        <w:tc>
          <w:tcPr>
            <w:tcW w:w="3360" w:type="pct"/>
            <w:tcBorders>
              <w:top w:val="nil"/>
              <w:left w:val="nil"/>
              <w:bottom w:val="single" w:sz="4" w:space="0" w:color="auto"/>
              <w:right w:val="single" w:sz="4" w:space="0" w:color="auto"/>
            </w:tcBorders>
            <w:shd w:val="clear" w:color="auto" w:fill="auto"/>
            <w:vAlign w:val="center"/>
            <w:hideMark/>
          </w:tcPr>
          <w:p w14:paraId="7532FAF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OTONA ŽUPANČIČA</w:t>
            </w:r>
          </w:p>
        </w:tc>
      </w:tr>
      <w:tr w:rsidR="00E3750C" w:rsidRPr="00415AB3" w14:paraId="1737E6C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DFD7B9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2007</w:t>
            </w:r>
          </w:p>
        </w:tc>
        <w:tc>
          <w:tcPr>
            <w:tcW w:w="705" w:type="pct"/>
            <w:tcBorders>
              <w:top w:val="nil"/>
              <w:left w:val="nil"/>
              <w:bottom w:val="single" w:sz="4" w:space="0" w:color="auto"/>
              <w:right w:val="single" w:sz="4" w:space="0" w:color="auto"/>
            </w:tcBorders>
            <w:shd w:val="clear" w:color="auto" w:fill="auto"/>
            <w:noWrap/>
            <w:vAlign w:val="center"/>
            <w:hideMark/>
          </w:tcPr>
          <w:p w14:paraId="407A52E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5057019000</w:t>
            </w:r>
          </w:p>
        </w:tc>
        <w:tc>
          <w:tcPr>
            <w:tcW w:w="547" w:type="pct"/>
            <w:tcBorders>
              <w:top w:val="nil"/>
              <w:left w:val="nil"/>
              <w:bottom w:val="single" w:sz="4" w:space="0" w:color="auto"/>
              <w:right w:val="single" w:sz="4" w:space="0" w:color="auto"/>
            </w:tcBorders>
            <w:shd w:val="clear" w:color="auto" w:fill="auto"/>
            <w:noWrap/>
            <w:vAlign w:val="center"/>
            <w:hideMark/>
          </w:tcPr>
          <w:p w14:paraId="2FCA361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20802684</w:t>
            </w:r>
          </w:p>
        </w:tc>
        <w:tc>
          <w:tcPr>
            <w:tcW w:w="3360" w:type="pct"/>
            <w:tcBorders>
              <w:top w:val="nil"/>
              <w:left w:val="nil"/>
              <w:bottom w:val="single" w:sz="4" w:space="0" w:color="auto"/>
              <w:right w:val="single" w:sz="4" w:space="0" w:color="auto"/>
            </w:tcBorders>
            <w:shd w:val="clear" w:color="auto" w:fill="auto"/>
            <w:vAlign w:val="center"/>
            <w:hideMark/>
          </w:tcPr>
          <w:p w14:paraId="7B8ACF1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OTONA ŽUPANČIČA ČRNOMELJ</w:t>
            </w:r>
          </w:p>
        </w:tc>
      </w:tr>
      <w:tr w:rsidR="00E3750C" w:rsidRPr="00415AB3" w14:paraId="21CF765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69C002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2008</w:t>
            </w:r>
          </w:p>
        </w:tc>
        <w:tc>
          <w:tcPr>
            <w:tcW w:w="705" w:type="pct"/>
            <w:tcBorders>
              <w:top w:val="nil"/>
              <w:left w:val="nil"/>
              <w:bottom w:val="single" w:sz="4" w:space="0" w:color="auto"/>
              <w:right w:val="single" w:sz="4" w:space="0" w:color="auto"/>
            </w:tcBorders>
            <w:shd w:val="clear" w:color="auto" w:fill="auto"/>
            <w:noWrap/>
            <w:vAlign w:val="center"/>
            <w:hideMark/>
          </w:tcPr>
          <w:p w14:paraId="39BFD9E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5007704000</w:t>
            </w:r>
          </w:p>
        </w:tc>
        <w:tc>
          <w:tcPr>
            <w:tcW w:w="547" w:type="pct"/>
            <w:tcBorders>
              <w:top w:val="nil"/>
              <w:left w:val="nil"/>
              <w:bottom w:val="single" w:sz="4" w:space="0" w:color="auto"/>
              <w:right w:val="single" w:sz="4" w:space="0" w:color="auto"/>
            </w:tcBorders>
            <w:shd w:val="clear" w:color="auto" w:fill="auto"/>
            <w:noWrap/>
            <w:vAlign w:val="center"/>
            <w:hideMark/>
          </w:tcPr>
          <w:p w14:paraId="101729B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98887793</w:t>
            </w:r>
          </w:p>
        </w:tc>
        <w:tc>
          <w:tcPr>
            <w:tcW w:w="3360" w:type="pct"/>
            <w:tcBorders>
              <w:top w:val="nil"/>
              <w:left w:val="nil"/>
              <w:bottom w:val="single" w:sz="4" w:space="0" w:color="auto"/>
              <w:right w:val="single" w:sz="4" w:space="0" w:color="auto"/>
            </w:tcBorders>
            <w:shd w:val="clear" w:color="auto" w:fill="auto"/>
            <w:vAlign w:val="center"/>
            <w:hideMark/>
          </w:tcPr>
          <w:p w14:paraId="63A73CA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OTONA ŽUPANČIČA MARIBOR</w:t>
            </w:r>
          </w:p>
        </w:tc>
      </w:tr>
      <w:tr w:rsidR="00E3750C" w:rsidRPr="00415AB3" w14:paraId="16E1376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EFCAC7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2009</w:t>
            </w:r>
          </w:p>
        </w:tc>
        <w:tc>
          <w:tcPr>
            <w:tcW w:w="705" w:type="pct"/>
            <w:tcBorders>
              <w:top w:val="nil"/>
              <w:left w:val="nil"/>
              <w:bottom w:val="single" w:sz="4" w:space="0" w:color="auto"/>
              <w:right w:val="single" w:sz="4" w:space="0" w:color="auto"/>
            </w:tcBorders>
            <w:shd w:val="clear" w:color="auto" w:fill="auto"/>
            <w:noWrap/>
            <w:vAlign w:val="center"/>
            <w:hideMark/>
          </w:tcPr>
          <w:p w14:paraId="2E724E6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5050685000</w:t>
            </w:r>
          </w:p>
        </w:tc>
        <w:tc>
          <w:tcPr>
            <w:tcW w:w="547" w:type="pct"/>
            <w:tcBorders>
              <w:top w:val="nil"/>
              <w:left w:val="nil"/>
              <w:bottom w:val="single" w:sz="4" w:space="0" w:color="auto"/>
              <w:right w:val="single" w:sz="4" w:space="0" w:color="auto"/>
            </w:tcBorders>
            <w:shd w:val="clear" w:color="auto" w:fill="auto"/>
            <w:noWrap/>
            <w:vAlign w:val="center"/>
            <w:hideMark/>
          </w:tcPr>
          <w:p w14:paraId="72362C6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22183876</w:t>
            </w:r>
          </w:p>
        </w:tc>
        <w:tc>
          <w:tcPr>
            <w:tcW w:w="3360" w:type="pct"/>
            <w:tcBorders>
              <w:top w:val="nil"/>
              <w:left w:val="nil"/>
              <w:bottom w:val="single" w:sz="4" w:space="0" w:color="auto"/>
              <w:right w:val="single" w:sz="4" w:space="0" w:color="auto"/>
            </w:tcBorders>
            <w:shd w:val="clear" w:color="auto" w:fill="auto"/>
            <w:vAlign w:val="center"/>
            <w:hideMark/>
          </w:tcPr>
          <w:p w14:paraId="2351DEE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OTONA ŽUPANČIČA SLOVENSKA BISTRICA</w:t>
            </w:r>
          </w:p>
        </w:tc>
      </w:tr>
      <w:tr w:rsidR="00E3750C" w:rsidRPr="00415AB3" w14:paraId="12185B9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91680E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2010</w:t>
            </w:r>
          </w:p>
        </w:tc>
        <w:tc>
          <w:tcPr>
            <w:tcW w:w="705" w:type="pct"/>
            <w:tcBorders>
              <w:top w:val="nil"/>
              <w:left w:val="nil"/>
              <w:bottom w:val="single" w:sz="4" w:space="0" w:color="auto"/>
              <w:right w:val="single" w:sz="4" w:space="0" w:color="auto"/>
            </w:tcBorders>
            <w:shd w:val="clear" w:color="auto" w:fill="auto"/>
            <w:noWrap/>
            <w:vAlign w:val="center"/>
            <w:hideMark/>
          </w:tcPr>
          <w:p w14:paraId="4F5C9AC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5259266000</w:t>
            </w:r>
          </w:p>
        </w:tc>
        <w:tc>
          <w:tcPr>
            <w:tcW w:w="547" w:type="pct"/>
            <w:tcBorders>
              <w:top w:val="nil"/>
              <w:left w:val="nil"/>
              <w:bottom w:val="single" w:sz="4" w:space="0" w:color="auto"/>
              <w:right w:val="single" w:sz="4" w:space="0" w:color="auto"/>
            </w:tcBorders>
            <w:shd w:val="clear" w:color="auto" w:fill="auto"/>
            <w:noWrap/>
            <w:vAlign w:val="center"/>
            <w:hideMark/>
          </w:tcPr>
          <w:p w14:paraId="2EAB85B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70142629</w:t>
            </w:r>
          </w:p>
        </w:tc>
        <w:tc>
          <w:tcPr>
            <w:tcW w:w="3360" w:type="pct"/>
            <w:tcBorders>
              <w:top w:val="nil"/>
              <w:left w:val="nil"/>
              <w:bottom w:val="single" w:sz="4" w:space="0" w:color="auto"/>
              <w:right w:val="single" w:sz="4" w:space="0" w:color="auto"/>
            </w:tcBorders>
            <w:shd w:val="clear" w:color="auto" w:fill="auto"/>
            <w:vAlign w:val="center"/>
            <w:hideMark/>
          </w:tcPr>
          <w:p w14:paraId="0536604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PEDENJPED</w:t>
            </w:r>
          </w:p>
        </w:tc>
      </w:tr>
      <w:tr w:rsidR="00E3750C" w:rsidRPr="00415AB3" w14:paraId="26036D6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B7F450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2011</w:t>
            </w:r>
          </w:p>
        </w:tc>
        <w:tc>
          <w:tcPr>
            <w:tcW w:w="705" w:type="pct"/>
            <w:tcBorders>
              <w:top w:val="nil"/>
              <w:left w:val="nil"/>
              <w:bottom w:val="single" w:sz="4" w:space="0" w:color="auto"/>
              <w:right w:val="single" w:sz="4" w:space="0" w:color="auto"/>
            </w:tcBorders>
            <w:shd w:val="clear" w:color="auto" w:fill="auto"/>
            <w:noWrap/>
            <w:vAlign w:val="center"/>
            <w:hideMark/>
          </w:tcPr>
          <w:p w14:paraId="6C87800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1782657000</w:t>
            </w:r>
          </w:p>
        </w:tc>
        <w:tc>
          <w:tcPr>
            <w:tcW w:w="547" w:type="pct"/>
            <w:tcBorders>
              <w:top w:val="nil"/>
              <w:left w:val="nil"/>
              <w:bottom w:val="single" w:sz="4" w:space="0" w:color="auto"/>
              <w:right w:val="single" w:sz="4" w:space="0" w:color="auto"/>
            </w:tcBorders>
            <w:shd w:val="clear" w:color="auto" w:fill="auto"/>
            <w:noWrap/>
            <w:vAlign w:val="center"/>
            <w:hideMark/>
          </w:tcPr>
          <w:p w14:paraId="25472A4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71116907</w:t>
            </w:r>
          </w:p>
        </w:tc>
        <w:tc>
          <w:tcPr>
            <w:tcW w:w="3360" w:type="pct"/>
            <w:tcBorders>
              <w:top w:val="nil"/>
              <w:left w:val="nil"/>
              <w:bottom w:val="single" w:sz="4" w:space="0" w:color="auto"/>
              <w:right w:val="single" w:sz="4" w:space="0" w:color="auto"/>
            </w:tcBorders>
            <w:shd w:val="clear" w:color="auto" w:fill="auto"/>
            <w:vAlign w:val="center"/>
            <w:hideMark/>
          </w:tcPr>
          <w:p w14:paraId="362E371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PEDENJPED NOVO MESTO</w:t>
            </w:r>
          </w:p>
        </w:tc>
      </w:tr>
      <w:tr w:rsidR="00E3750C" w:rsidRPr="00415AB3" w14:paraId="04E9A93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C87F2C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2012</w:t>
            </w:r>
          </w:p>
        </w:tc>
        <w:tc>
          <w:tcPr>
            <w:tcW w:w="705" w:type="pct"/>
            <w:tcBorders>
              <w:top w:val="nil"/>
              <w:left w:val="nil"/>
              <w:bottom w:val="single" w:sz="4" w:space="0" w:color="auto"/>
              <w:right w:val="single" w:sz="4" w:space="0" w:color="auto"/>
            </w:tcBorders>
            <w:shd w:val="clear" w:color="auto" w:fill="auto"/>
            <w:noWrap/>
            <w:vAlign w:val="center"/>
            <w:hideMark/>
          </w:tcPr>
          <w:p w14:paraId="3679ECF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5055407000</w:t>
            </w:r>
          </w:p>
        </w:tc>
        <w:tc>
          <w:tcPr>
            <w:tcW w:w="547" w:type="pct"/>
            <w:tcBorders>
              <w:top w:val="nil"/>
              <w:left w:val="nil"/>
              <w:bottom w:val="single" w:sz="4" w:space="0" w:color="auto"/>
              <w:right w:val="single" w:sz="4" w:space="0" w:color="auto"/>
            </w:tcBorders>
            <w:shd w:val="clear" w:color="auto" w:fill="auto"/>
            <w:noWrap/>
            <w:vAlign w:val="center"/>
            <w:hideMark/>
          </w:tcPr>
          <w:p w14:paraId="7E84F24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37248855</w:t>
            </w:r>
          </w:p>
        </w:tc>
        <w:tc>
          <w:tcPr>
            <w:tcW w:w="3360" w:type="pct"/>
            <w:tcBorders>
              <w:top w:val="nil"/>
              <w:left w:val="nil"/>
              <w:bottom w:val="single" w:sz="4" w:space="0" w:color="auto"/>
              <w:right w:val="single" w:sz="4" w:space="0" w:color="auto"/>
            </w:tcBorders>
            <w:shd w:val="clear" w:color="auto" w:fill="auto"/>
            <w:vAlign w:val="center"/>
            <w:hideMark/>
          </w:tcPr>
          <w:p w14:paraId="4D4FAE9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POBREŽJE MARIBOR</w:t>
            </w:r>
          </w:p>
        </w:tc>
      </w:tr>
      <w:tr w:rsidR="00E3750C" w:rsidRPr="00415AB3" w14:paraId="0A811F2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30CFB4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2013</w:t>
            </w:r>
          </w:p>
        </w:tc>
        <w:tc>
          <w:tcPr>
            <w:tcW w:w="705" w:type="pct"/>
            <w:tcBorders>
              <w:top w:val="nil"/>
              <w:left w:val="nil"/>
              <w:bottom w:val="single" w:sz="4" w:space="0" w:color="auto"/>
              <w:right w:val="single" w:sz="4" w:space="0" w:color="auto"/>
            </w:tcBorders>
            <w:shd w:val="clear" w:color="auto" w:fill="auto"/>
            <w:noWrap/>
            <w:vAlign w:val="center"/>
            <w:hideMark/>
          </w:tcPr>
          <w:p w14:paraId="7410559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1942875000</w:t>
            </w:r>
          </w:p>
        </w:tc>
        <w:tc>
          <w:tcPr>
            <w:tcW w:w="547" w:type="pct"/>
            <w:tcBorders>
              <w:top w:val="nil"/>
              <w:left w:val="nil"/>
              <w:bottom w:val="single" w:sz="4" w:space="0" w:color="auto"/>
              <w:right w:val="single" w:sz="4" w:space="0" w:color="auto"/>
            </w:tcBorders>
            <w:shd w:val="clear" w:color="auto" w:fill="auto"/>
            <w:noWrap/>
            <w:vAlign w:val="center"/>
            <w:hideMark/>
          </w:tcPr>
          <w:p w14:paraId="31AF6AC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65082753</w:t>
            </w:r>
          </w:p>
        </w:tc>
        <w:tc>
          <w:tcPr>
            <w:tcW w:w="3360" w:type="pct"/>
            <w:tcBorders>
              <w:top w:val="nil"/>
              <w:left w:val="nil"/>
              <w:bottom w:val="single" w:sz="4" w:space="0" w:color="auto"/>
              <w:right w:val="single" w:sz="4" w:space="0" w:color="auto"/>
            </w:tcBorders>
            <w:shd w:val="clear" w:color="auto" w:fill="auto"/>
            <w:vAlign w:val="center"/>
            <w:hideMark/>
          </w:tcPr>
          <w:p w14:paraId="31A10D1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POD GRADOM</w:t>
            </w:r>
          </w:p>
        </w:tc>
      </w:tr>
      <w:tr w:rsidR="00E3750C" w:rsidRPr="00415AB3" w14:paraId="0AD6F53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694DA2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2014</w:t>
            </w:r>
          </w:p>
        </w:tc>
        <w:tc>
          <w:tcPr>
            <w:tcW w:w="705" w:type="pct"/>
            <w:tcBorders>
              <w:top w:val="nil"/>
              <w:left w:val="nil"/>
              <w:bottom w:val="single" w:sz="4" w:space="0" w:color="auto"/>
              <w:right w:val="single" w:sz="4" w:space="0" w:color="auto"/>
            </w:tcBorders>
            <w:shd w:val="clear" w:color="auto" w:fill="auto"/>
            <w:noWrap/>
            <w:vAlign w:val="center"/>
            <w:hideMark/>
          </w:tcPr>
          <w:p w14:paraId="67830DB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5051363000</w:t>
            </w:r>
          </w:p>
        </w:tc>
        <w:tc>
          <w:tcPr>
            <w:tcW w:w="547" w:type="pct"/>
            <w:tcBorders>
              <w:top w:val="nil"/>
              <w:left w:val="nil"/>
              <w:bottom w:val="single" w:sz="4" w:space="0" w:color="auto"/>
              <w:right w:val="single" w:sz="4" w:space="0" w:color="auto"/>
            </w:tcBorders>
            <w:shd w:val="clear" w:color="auto" w:fill="auto"/>
            <w:noWrap/>
            <w:vAlign w:val="center"/>
            <w:hideMark/>
          </w:tcPr>
          <w:p w14:paraId="29B1509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36178144</w:t>
            </w:r>
          </w:p>
        </w:tc>
        <w:tc>
          <w:tcPr>
            <w:tcW w:w="3360" w:type="pct"/>
            <w:tcBorders>
              <w:top w:val="nil"/>
              <w:left w:val="nil"/>
              <w:bottom w:val="single" w:sz="4" w:space="0" w:color="auto"/>
              <w:right w:val="single" w:sz="4" w:space="0" w:color="auto"/>
            </w:tcBorders>
            <w:shd w:val="clear" w:color="auto" w:fill="auto"/>
            <w:vAlign w:val="center"/>
            <w:hideMark/>
          </w:tcPr>
          <w:p w14:paraId="126D6C0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POSTOJNA</w:t>
            </w:r>
          </w:p>
        </w:tc>
      </w:tr>
      <w:tr w:rsidR="00E3750C" w:rsidRPr="00415AB3" w14:paraId="29CF9E5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38AAF5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2015</w:t>
            </w:r>
          </w:p>
        </w:tc>
        <w:tc>
          <w:tcPr>
            <w:tcW w:w="705" w:type="pct"/>
            <w:tcBorders>
              <w:top w:val="nil"/>
              <w:left w:val="nil"/>
              <w:bottom w:val="single" w:sz="4" w:space="0" w:color="auto"/>
              <w:right w:val="single" w:sz="4" w:space="0" w:color="auto"/>
            </w:tcBorders>
            <w:shd w:val="clear" w:color="auto" w:fill="auto"/>
            <w:noWrap/>
            <w:vAlign w:val="center"/>
            <w:hideMark/>
          </w:tcPr>
          <w:p w14:paraId="2A75DE2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5050731000</w:t>
            </w:r>
          </w:p>
        </w:tc>
        <w:tc>
          <w:tcPr>
            <w:tcW w:w="547" w:type="pct"/>
            <w:tcBorders>
              <w:top w:val="nil"/>
              <w:left w:val="nil"/>
              <w:bottom w:val="single" w:sz="4" w:space="0" w:color="auto"/>
              <w:right w:val="single" w:sz="4" w:space="0" w:color="auto"/>
            </w:tcBorders>
            <w:shd w:val="clear" w:color="auto" w:fill="auto"/>
            <w:noWrap/>
            <w:vAlign w:val="center"/>
            <w:hideMark/>
          </w:tcPr>
          <w:p w14:paraId="06D8122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26279789</w:t>
            </w:r>
          </w:p>
        </w:tc>
        <w:tc>
          <w:tcPr>
            <w:tcW w:w="3360" w:type="pct"/>
            <w:tcBorders>
              <w:top w:val="nil"/>
              <w:left w:val="nil"/>
              <w:bottom w:val="single" w:sz="4" w:space="0" w:color="auto"/>
              <w:right w:val="single" w:sz="4" w:space="0" w:color="auto"/>
            </w:tcBorders>
            <w:shd w:val="clear" w:color="auto" w:fill="auto"/>
            <w:vAlign w:val="center"/>
            <w:hideMark/>
          </w:tcPr>
          <w:p w14:paraId="2A3E0EE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PTUJ</w:t>
            </w:r>
          </w:p>
        </w:tc>
      </w:tr>
      <w:tr w:rsidR="00E3750C" w:rsidRPr="00415AB3" w14:paraId="3AC6773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CFA86A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2016</w:t>
            </w:r>
          </w:p>
        </w:tc>
        <w:tc>
          <w:tcPr>
            <w:tcW w:w="705" w:type="pct"/>
            <w:tcBorders>
              <w:top w:val="nil"/>
              <w:left w:val="nil"/>
              <w:bottom w:val="single" w:sz="4" w:space="0" w:color="auto"/>
              <w:right w:val="single" w:sz="4" w:space="0" w:color="auto"/>
            </w:tcBorders>
            <w:shd w:val="clear" w:color="auto" w:fill="auto"/>
            <w:noWrap/>
            <w:vAlign w:val="center"/>
            <w:hideMark/>
          </w:tcPr>
          <w:p w14:paraId="520CE26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5050901000</w:t>
            </w:r>
          </w:p>
        </w:tc>
        <w:tc>
          <w:tcPr>
            <w:tcW w:w="547" w:type="pct"/>
            <w:tcBorders>
              <w:top w:val="nil"/>
              <w:left w:val="nil"/>
              <w:bottom w:val="single" w:sz="4" w:space="0" w:color="auto"/>
              <w:right w:val="single" w:sz="4" w:space="0" w:color="auto"/>
            </w:tcBorders>
            <w:shd w:val="clear" w:color="auto" w:fill="auto"/>
            <w:noWrap/>
            <w:vAlign w:val="center"/>
            <w:hideMark/>
          </w:tcPr>
          <w:p w14:paraId="5357520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82002665</w:t>
            </w:r>
          </w:p>
        </w:tc>
        <w:tc>
          <w:tcPr>
            <w:tcW w:w="3360" w:type="pct"/>
            <w:tcBorders>
              <w:top w:val="nil"/>
              <w:left w:val="nil"/>
              <w:bottom w:val="single" w:sz="4" w:space="0" w:color="auto"/>
              <w:right w:val="single" w:sz="4" w:space="0" w:color="auto"/>
            </w:tcBorders>
            <w:shd w:val="clear" w:color="auto" w:fill="auto"/>
            <w:vAlign w:val="center"/>
            <w:hideMark/>
          </w:tcPr>
          <w:p w14:paraId="57F3B07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RADENCI - RADENSKI MEHURČKI</w:t>
            </w:r>
          </w:p>
        </w:tc>
      </w:tr>
      <w:tr w:rsidR="00E3750C" w:rsidRPr="00415AB3" w14:paraId="5C5A45A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AD9321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2017</w:t>
            </w:r>
          </w:p>
        </w:tc>
        <w:tc>
          <w:tcPr>
            <w:tcW w:w="705" w:type="pct"/>
            <w:tcBorders>
              <w:top w:val="nil"/>
              <w:left w:val="nil"/>
              <w:bottom w:val="single" w:sz="4" w:space="0" w:color="auto"/>
              <w:right w:val="single" w:sz="4" w:space="0" w:color="auto"/>
            </w:tcBorders>
            <w:shd w:val="clear" w:color="auto" w:fill="auto"/>
            <w:noWrap/>
            <w:vAlign w:val="center"/>
            <w:hideMark/>
          </w:tcPr>
          <w:p w14:paraId="2964129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5056047000</w:t>
            </w:r>
          </w:p>
        </w:tc>
        <w:tc>
          <w:tcPr>
            <w:tcW w:w="547" w:type="pct"/>
            <w:tcBorders>
              <w:top w:val="nil"/>
              <w:left w:val="nil"/>
              <w:bottom w:val="single" w:sz="4" w:space="0" w:color="auto"/>
              <w:right w:val="single" w:sz="4" w:space="0" w:color="auto"/>
            </w:tcBorders>
            <w:shd w:val="clear" w:color="auto" w:fill="auto"/>
            <w:noWrap/>
            <w:vAlign w:val="center"/>
            <w:hideMark/>
          </w:tcPr>
          <w:p w14:paraId="7F29401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24132497</w:t>
            </w:r>
          </w:p>
        </w:tc>
        <w:tc>
          <w:tcPr>
            <w:tcW w:w="3360" w:type="pct"/>
            <w:tcBorders>
              <w:top w:val="nil"/>
              <w:left w:val="nil"/>
              <w:bottom w:val="single" w:sz="4" w:space="0" w:color="auto"/>
              <w:right w:val="single" w:sz="4" w:space="0" w:color="auto"/>
            </w:tcBorders>
            <w:shd w:val="clear" w:color="auto" w:fill="auto"/>
            <w:vAlign w:val="center"/>
            <w:hideMark/>
          </w:tcPr>
          <w:p w14:paraId="6C8C45A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RADOVLJICA</w:t>
            </w:r>
          </w:p>
        </w:tc>
      </w:tr>
      <w:tr w:rsidR="00E3750C" w:rsidRPr="00415AB3" w14:paraId="519664F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E300ED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2018</w:t>
            </w:r>
          </w:p>
        </w:tc>
        <w:tc>
          <w:tcPr>
            <w:tcW w:w="705" w:type="pct"/>
            <w:tcBorders>
              <w:top w:val="nil"/>
              <w:left w:val="nil"/>
              <w:bottom w:val="single" w:sz="4" w:space="0" w:color="auto"/>
              <w:right w:val="single" w:sz="4" w:space="0" w:color="auto"/>
            </w:tcBorders>
            <w:shd w:val="clear" w:color="auto" w:fill="auto"/>
            <w:noWrap/>
            <w:vAlign w:val="center"/>
            <w:hideMark/>
          </w:tcPr>
          <w:p w14:paraId="64B5ED6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1563785000</w:t>
            </w:r>
          </w:p>
        </w:tc>
        <w:tc>
          <w:tcPr>
            <w:tcW w:w="547" w:type="pct"/>
            <w:tcBorders>
              <w:top w:val="nil"/>
              <w:left w:val="nil"/>
              <w:bottom w:val="single" w:sz="4" w:space="0" w:color="auto"/>
              <w:right w:val="single" w:sz="4" w:space="0" w:color="auto"/>
            </w:tcBorders>
            <w:shd w:val="clear" w:color="auto" w:fill="auto"/>
            <w:noWrap/>
            <w:vAlign w:val="center"/>
            <w:hideMark/>
          </w:tcPr>
          <w:p w14:paraId="3262459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37513192</w:t>
            </w:r>
          </w:p>
        </w:tc>
        <w:tc>
          <w:tcPr>
            <w:tcW w:w="3360" w:type="pct"/>
            <w:tcBorders>
              <w:top w:val="nil"/>
              <w:left w:val="nil"/>
              <w:bottom w:val="single" w:sz="4" w:space="0" w:color="auto"/>
              <w:right w:val="single" w:sz="4" w:space="0" w:color="auto"/>
            </w:tcBorders>
            <w:shd w:val="clear" w:color="auto" w:fill="auto"/>
            <w:vAlign w:val="center"/>
            <w:hideMark/>
          </w:tcPr>
          <w:p w14:paraId="7F14874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RAVNE NA KOROŠKEM</w:t>
            </w:r>
          </w:p>
        </w:tc>
      </w:tr>
      <w:tr w:rsidR="00E3750C" w:rsidRPr="00415AB3" w14:paraId="5AA7DAE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1AC3E2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2019</w:t>
            </w:r>
          </w:p>
        </w:tc>
        <w:tc>
          <w:tcPr>
            <w:tcW w:w="705" w:type="pct"/>
            <w:tcBorders>
              <w:top w:val="nil"/>
              <w:left w:val="nil"/>
              <w:bottom w:val="single" w:sz="4" w:space="0" w:color="auto"/>
              <w:right w:val="single" w:sz="4" w:space="0" w:color="auto"/>
            </w:tcBorders>
            <w:shd w:val="clear" w:color="auto" w:fill="auto"/>
            <w:noWrap/>
            <w:vAlign w:val="center"/>
            <w:hideMark/>
          </w:tcPr>
          <w:p w14:paraId="17D969F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5160910000</w:t>
            </w:r>
          </w:p>
        </w:tc>
        <w:tc>
          <w:tcPr>
            <w:tcW w:w="547" w:type="pct"/>
            <w:tcBorders>
              <w:top w:val="nil"/>
              <w:left w:val="nil"/>
              <w:bottom w:val="single" w:sz="4" w:space="0" w:color="auto"/>
              <w:right w:val="single" w:sz="4" w:space="0" w:color="auto"/>
            </w:tcBorders>
            <w:shd w:val="clear" w:color="auto" w:fill="auto"/>
            <w:noWrap/>
            <w:vAlign w:val="center"/>
            <w:hideMark/>
          </w:tcPr>
          <w:p w14:paraId="0AC3C02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57441138</w:t>
            </w:r>
          </w:p>
        </w:tc>
        <w:tc>
          <w:tcPr>
            <w:tcW w:w="3360" w:type="pct"/>
            <w:tcBorders>
              <w:top w:val="nil"/>
              <w:left w:val="nil"/>
              <w:bottom w:val="single" w:sz="4" w:space="0" w:color="auto"/>
              <w:right w:val="single" w:sz="4" w:space="0" w:color="auto"/>
            </w:tcBorders>
            <w:shd w:val="clear" w:color="auto" w:fill="auto"/>
            <w:vAlign w:val="center"/>
            <w:hideMark/>
          </w:tcPr>
          <w:p w14:paraId="12AEE58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RIBNICA</w:t>
            </w:r>
          </w:p>
        </w:tc>
      </w:tr>
      <w:tr w:rsidR="00E3750C" w:rsidRPr="00415AB3" w14:paraId="53EBD2B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484F97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2020</w:t>
            </w:r>
          </w:p>
        </w:tc>
        <w:tc>
          <w:tcPr>
            <w:tcW w:w="705" w:type="pct"/>
            <w:tcBorders>
              <w:top w:val="nil"/>
              <w:left w:val="nil"/>
              <w:bottom w:val="single" w:sz="4" w:space="0" w:color="auto"/>
              <w:right w:val="single" w:sz="4" w:space="0" w:color="auto"/>
            </w:tcBorders>
            <w:shd w:val="clear" w:color="auto" w:fill="auto"/>
            <w:noWrap/>
            <w:vAlign w:val="center"/>
            <w:hideMark/>
          </w:tcPr>
          <w:p w14:paraId="2C62997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5210437000</w:t>
            </w:r>
          </w:p>
        </w:tc>
        <w:tc>
          <w:tcPr>
            <w:tcW w:w="547" w:type="pct"/>
            <w:tcBorders>
              <w:top w:val="nil"/>
              <w:left w:val="nil"/>
              <w:bottom w:val="single" w:sz="4" w:space="0" w:color="auto"/>
              <w:right w:val="single" w:sz="4" w:space="0" w:color="auto"/>
            </w:tcBorders>
            <w:shd w:val="clear" w:color="auto" w:fill="auto"/>
            <w:noWrap/>
            <w:vAlign w:val="center"/>
            <w:hideMark/>
          </w:tcPr>
          <w:p w14:paraId="5DA5C78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93785046</w:t>
            </w:r>
          </w:p>
        </w:tc>
        <w:tc>
          <w:tcPr>
            <w:tcW w:w="3360" w:type="pct"/>
            <w:tcBorders>
              <w:top w:val="nil"/>
              <w:left w:val="nil"/>
              <w:bottom w:val="single" w:sz="4" w:space="0" w:color="auto"/>
              <w:right w:val="single" w:sz="4" w:space="0" w:color="auto"/>
            </w:tcBorders>
            <w:shd w:val="clear" w:color="auto" w:fill="auto"/>
            <w:vAlign w:val="center"/>
            <w:hideMark/>
          </w:tcPr>
          <w:p w14:paraId="3BE4CF2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SEŽANA</w:t>
            </w:r>
          </w:p>
        </w:tc>
      </w:tr>
      <w:tr w:rsidR="00E3750C" w:rsidRPr="00415AB3" w14:paraId="72D0AAC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8FFEEF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2021</w:t>
            </w:r>
          </w:p>
        </w:tc>
        <w:tc>
          <w:tcPr>
            <w:tcW w:w="705" w:type="pct"/>
            <w:tcBorders>
              <w:top w:val="nil"/>
              <w:left w:val="nil"/>
              <w:bottom w:val="single" w:sz="4" w:space="0" w:color="auto"/>
              <w:right w:val="single" w:sz="4" w:space="0" w:color="auto"/>
            </w:tcBorders>
            <w:shd w:val="clear" w:color="auto" w:fill="auto"/>
            <w:noWrap/>
            <w:vAlign w:val="center"/>
            <w:hideMark/>
          </w:tcPr>
          <w:p w14:paraId="2D7EE82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1121847000</w:t>
            </w:r>
          </w:p>
        </w:tc>
        <w:tc>
          <w:tcPr>
            <w:tcW w:w="547" w:type="pct"/>
            <w:tcBorders>
              <w:top w:val="nil"/>
              <w:left w:val="nil"/>
              <w:bottom w:val="single" w:sz="4" w:space="0" w:color="auto"/>
              <w:right w:val="single" w:sz="4" w:space="0" w:color="auto"/>
            </w:tcBorders>
            <w:shd w:val="clear" w:color="auto" w:fill="auto"/>
            <w:noWrap/>
            <w:vAlign w:val="center"/>
            <w:hideMark/>
          </w:tcPr>
          <w:p w14:paraId="789BD32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79535810</w:t>
            </w:r>
          </w:p>
        </w:tc>
        <w:tc>
          <w:tcPr>
            <w:tcW w:w="3360" w:type="pct"/>
            <w:tcBorders>
              <w:top w:val="nil"/>
              <w:left w:val="nil"/>
              <w:bottom w:val="single" w:sz="4" w:space="0" w:color="auto"/>
              <w:right w:val="single" w:sz="4" w:space="0" w:color="auto"/>
            </w:tcBorders>
            <w:shd w:val="clear" w:color="auto" w:fill="auto"/>
            <w:vAlign w:val="center"/>
            <w:hideMark/>
          </w:tcPr>
          <w:p w14:paraId="0D00CD4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SLOV. KONJICE</w:t>
            </w:r>
          </w:p>
        </w:tc>
      </w:tr>
      <w:tr w:rsidR="00E3750C" w:rsidRPr="00415AB3" w14:paraId="0C032C7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A33BFA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2022</w:t>
            </w:r>
          </w:p>
        </w:tc>
        <w:tc>
          <w:tcPr>
            <w:tcW w:w="705" w:type="pct"/>
            <w:tcBorders>
              <w:top w:val="nil"/>
              <w:left w:val="nil"/>
              <w:bottom w:val="single" w:sz="4" w:space="0" w:color="auto"/>
              <w:right w:val="single" w:sz="4" w:space="0" w:color="auto"/>
            </w:tcBorders>
            <w:shd w:val="clear" w:color="auto" w:fill="auto"/>
            <w:noWrap/>
            <w:vAlign w:val="center"/>
            <w:hideMark/>
          </w:tcPr>
          <w:p w14:paraId="3E4B2D6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5050456000</w:t>
            </w:r>
          </w:p>
        </w:tc>
        <w:tc>
          <w:tcPr>
            <w:tcW w:w="547" w:type="pct"/>
            <w:tcBorders>
              <w:top w:val="nil"/>
              <w:left w:val="nil"/>
              <w:bottom w:val="single" w:sz="4" w:space="0" w:color="auto"/>
              <w:right w:val="single" w:sz="4" w:space="0" w:color="auto"/>
            </w:tcBorders>
            <w:shd w:val="clear" w:color="auto" w:fill="auto"/>
            <w:noWrap/>
            <w:vAlign w:val="center"/>
            <w:hideMark/>
          </w:tcPr>
          <w:p w14:paraId="651883F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14644231</w:t>
            </w:r>
          </w:p>
        </w:tc>
        <w:tc>
          <w:tcPr>
            <w:tcW w:w="3360" w:type="pct"/>
            <w:tcBorders>
              <w:top w:val="nil"/>
              <w:left w:val="nil"/>
              <w:bottom w:val="single" w:sz="4" w:space="0" w:color="auto"/>
              <w:right w:val="single" w:sz="4" w:space="0" w:color="auto"/>
            </w:tcBorders>
            <w:shd w:val="clear" w:color="auto" w:fill="auto"/>
            <w:vAlign w:val="center"/>
            <w:hideMark/>
          </w:tcPr>
          <w:p w14:paraId="788B1DC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STUDENCI MARIBOR</w:t>
            </w:r>
          </w:p>
        </w:tc>
      </w:tr>
      <w:tr w:rsidR="00E3750C" w:rsidRPr="00415AB3" w14:paraId="44B1AB6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0CDE01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2023</w:t>
            </w:r>
          </w:p>
        </w:tc>
        <w:tc>
          <w:tcPr>
            <w:tcW w:w="705" w:type="pct"/>
            <w:tcBorders>
              <w:top w:val="nil"/>
              <w:left w:val="nil"/>
              <w:bottom w:val="single" w:sz="4" w:space="0" w:color="auto"/>
              <w:right w:val="single" w:sz="4" w:space="0" w:color="auto"/>
            </w:tcBorders>
            <w:shd w:val="clear" w:color="auto" w:fill="auto"/>
            <w:noWrap/>
            <w:vAlign w:val="center"/>
            <w:hideMark/>
          </w:tcPr>
          <w:p w14:paraId="251BC7A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5050707000</w:t>
            </w:r>
          </w:p>
        </w:tc>
        <w:tc>
          <w:tcPr>
            <w:tcW w:w="547" w:type="pct"/>
            <w:tcBorders>
              <w:top w:val="nil"/>
              <w:left w:val="nil"/>
              <w:bottom w:val="single" w:sz="4" w:space="0" w:color="auto"/>
              <w:right w:val="single" w:sz="4" w:space="0" w:color="auto"/>
            </w:tcBorders>
            <w:shd w:val="clear" w:color="auto" w:fill="auto"/>
            <w:noWrap/>
            <w:vAlign w:val="center"/>
            <w:hideMark/>
          </w:tcPr>
          <w:p w14:paraId="35C702B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68729707</w:t>
            </w:r>
          </w:p>
        </w:tc>
        <w:tc>
          <w:tcPr>
            <w:tcW w:w="3360" w:type="pct"/>
            <w:tcBorders>
              <w:top w:val="nil"/>
              <w:left w:val="nil"/>
              <w:bottom w:val="single" w:sz="4" w:space="0" w:color="auto"/>
              <w:right w:val="single" w:sz="4" w:space="0" w:color="auto"/>
            </w:tcBorders>
            <w:shd w:val="clear" w:color="auto" w:fill="auto"/>
            <w:vAlign w:val="center"/>
            <w:hideMark/>
          </w:tcPr>
          <w:p w14:paraId="2EC1324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ŠENTJUR OBČINA ŠENTJUR PRI CELJU</w:t>
            </w:r>
          </w:p>
        </w:tc>
      </w:tr>
      <w:tr w:rsidR="00E3750C" w:rsidRPr="00415AB3" w14:paraId="39ADB0A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F0A36D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2024</w:t>
            </w:r>
          </w:p>
        </w:tc>
        <w:tc>
          <w:tcPr>
            <w:tcW w:w="705" w:type="pct"/>
            <w:tcBorders>
              <w:top w:val="nil"/>
              <w:left w:val="nil"/>
              <w:bottom w:val="single" w:sz="4" w:space="0" w:color="auto"/>
              <w:right w:val="single" w:sz="4" w:space="0" w:color="auto"/>
            </w:tcBorders>
            <w:shd w:val="clear" w:color="auto" w:fill="auto"/>
            <w:noWrap/>
            <w:vAlign w:val="center"/>
            <w:hideMark/>
          </w:tcPr>
          <w:p w14:paraId="75E6791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5057043000</w:t>
            </w:r>
          </w:p>
        </w:tc>
        <w:tc>
          <w:tcPr>
            <w:tcW w:w="547" w:type="pct"/>
            <w:tcBorders>
              <w:top w:val="nil"/>
              <w:left w:val="nil"/>
              <w:bottom w:val="single" w:sz="4" w:space="0" w:color="auto"/>
              <w:right w:val="single" w:sz="4" w:space="0" w:color="auto"/>
            </w:tcBorders>
            <w:shd w:val="clear" w:color="auto" w:fill="auto"/>
            <w:noWrap/>
            <w:vAlign w:val="center"/>
            <w:hideMark/>
          </w:tcPr>
          <w:p w14:paraId="25C0875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78844908</w:t>
            </w:r>
          </w:p>
        </w:tc>
        <w:tc>
          <w:tcPr>
            <w:tcW w:w="3360" w:type="pct"/>
            <w:tcBorders>
              <w:top w:val="nil"/>
              <w:left w:val="nil"/>
              <w:bottom w:val="single" w:sz="4" w:space="0" w:color="auto"/>
              <w:right w:val="single" w:sz="4" w:space="0" w:color="auto"/>
            </w:tcBorders>
            <w:shd w:val="clear" w:color="auto" w:fill="auto"/>
            <w:vAlign w:val="center"/>
            <w:hideMark/>
          </w:tcPr>
          <w:p w14:paraId="661473D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ŠENTVID</w:t>
            </w:r>
          </w:p>
        </w:tc>
      </w:tr>
      <w:tr w:rsidR="00E3750C" w:rsidRPr="00415AB3" w14:paraId="4E3BD48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75F394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2025</w:t>
            </w:r>
          </w:p>
        </w:tc>
        <w:tc>
          <w:tcPr>
            <w:tcW w:w="705" w:type="pct"/>
            <w:tcBorders>
              <w:top w:val="nil"/>
              <w:left w:val="nil"/>
              <w:bottom w:val="single" w:sz="4" w:space="0" w:color="auto"/>
              <w:right w:val="single" w:sz="4" w:space="0" w:color="auto"/>
            </w:tcBorders>
            <w:shd w:val="clear" w:color="auto" w:fill="auto"/>
            <w:noWrap/>
            <w:vAlign w:val="center"/>
            <w:hideMark/>
          </w:tcPr>
          <w:p w14:paraId="7B24681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5050774000</w:t>
            </w:r>
          </w:p>
        </w:tc>
        <w:tc>
          <w:tcPr>
            <w:tcW w:w="547" w:type="pct"/>
            <w:tcBorders>
              <w:top w:val="nil"/>
              <w:left w:val="nil"/>
              <w:bottom w:val="single" w:sz="4" w:space="0" w:color="auto"/>
              <w:right w:val="single" w:sz="4" w:space="0" w:color="auto"/>
            </w:tcBorders>
            <w:shd w:val="clear" w:color="auto" w:fill="auto"/>
            <w:noWrap/>
            <w:vAlign w:val="center"/>
            <w:hideMark/>
          </w:tcPr>
          <w:p w14:paraId="3EBA801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68343663</w:t>
            </w:r>
          </w:p>
        </w:tc>
        <w:tc>
          <w:tcPr>
            <w:tcW w:w="3360" w:type="pct"/>
            <w:tcBorders>
              <w:top w:val="nil"/>
              <w:left w:val="nil"/>
              <w:bottom w:val="single" w:sz="4" w:space="0" w:color="auto"/>
              <w:right w:val="single" w:sz="4" w:space="0" w:color="auto"/>
            </w:tcBorders>
            <w:shd w:val="clear" w:color="auto" w:fill="auto"/>
            <w:vAlign w:val="center"/>
            <w:hideMark/>
          </w:tcPr>
          <w:p w14:paraId="13D0D9A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ŠKOFJA LOKA</w:t>
            </w:r>
          </w:p>
        </w:tc>
      </w:tr>
      <w:tr w:rsidR="00E3750C" w:rsidRPr="00415AB3" w14:paraId="39B0B4E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8563E7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2026</w:t>
            </w:r>
          </w:p>
        </w:tc>
        <w:tc>
          <w:tcPr>
            <w:tcW w:w="705" w:type="pct"/>
            <w:tcBorders>
              <w:top w:val="nil"/>
              <w:left w:val="nil"/>
              <w:bottom w:val="single" w:sz="4" w:space="0" w:color="auto"/>
              <w:right w:val="single" w:sz="4" w:space="0" w:color="auto"/>
            </w:tcBorders>
            <w:shd w:val="clear" w:color="auto" w:fill="auto"/>
            <w:noWrap/>
            <w:vAlign w:val="center"/>
            <w:hideMark/>
          </w:tcPr>
          <w:p w14:paraId="4FA6AD1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3356884000</w:t>
            </w:r>
          </w:p>
        </w:tc>
        <w:tc>
          <w:tcPr>
            <w:tcW w:w="547" w:type="pct"/>
            <w:tcBorders>
              <w:top w:val="nil"/>
              <w:left w:val="nil"/>
              <w:bottom w:val="single" w:sz="4" w:space="0" w:color="auto"/>
              <w:right w:val="single" w:sz="4" w:space="0" w:color="auto"/>
            </w:tcBorders>
            <w:shd w:val="clear" w:color="auto" w:fill="auto"/>
            <w:noWrap/>
            <w:vAlign w:val="center"/>
            <w:hideMark/>
          </w:tcPr>
          <w:p w14:paraId="484A8FF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47230916</w:t>
            </w:r>
          </w:p>
        </w:tc>
        <w:tc>
          <w:tcPr>
            <w:tcW w:w="3360" w:type="pct"/>
            <w:tcBorders>
              <w:top w:val="nil"/>
              <w:left w:val="nil"/>
              <w:bottom w:val="single" w:sz="4" w:space="0" w:color="auto"/>
              <w:right w:val="single" w:sz="4" w:space="0" w:color="auto"/>
            </w:tcBorders>
            <w:shd w:val="clear" w:color="auto" w:fill="auto"/>
            <w:vAlign w:val="center"/>
            <w:hideMark/>
          </w:tcPr>
          <w:p w14:paraId="6F80C27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ŠKRATEK SVIT VODICE</w:t>
            </w:r>
          </w:p>
        </w:tc>
      </w:tr>
      <w:tr w:rsidR="00E3750C" w:rsidRPr="00415AB3" w14:paraId="083BF10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B19F1B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2027</w:t>
            </w:r>
          </w:p>
        </w:tc>
        <w:tc>
          <w:tcPr>
            <w:tcW w:w="705" w:type="pct"/>
            <w:tcBorders>
              <w:top w:val="nil"/>
              <w:left w:val="nil"/>
              <w:bottom w:val="single" w:sz="4" w:space="0" w:color="auto"/>
              <w:right w:val="single" w:sz="4" w:space="0" w:color="auto"/>
            </w:tcBorders>
            <w:shd w:val="clear" w:color="auto" w:fill="auto"/>
            <w:noWrap/>
            <w:vAlign w:val="center"/>
            <w:hideMark/>
          </w:tcPr>
          <w:p w14:paraId="3D5BD35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5057124000</w:t>
            </w:r>
          </w:p>
        </w:tc>
        <w:tc>
          <w:tcPr>
            <w:tcW w:w="547" w:type="pct"/>
            <w:tcBorders>
              <w:top w:val="nil"/>
              <w:left w:val="nil"/>
              <w:bottom w:val="single" w:sz="4" w:space="0" w:color="auto"/>
              <w:right w:val="single" w:sz="4" w:space="0" w:color="auto"/>
            </w:tcBorders>
            <w:shd w:val="clear" w:color="auto" w:fill="auto"/>
            <w:noWrap/>
            <w:vAlign w:val="center"/>
            <w:hideMark/>
          </w:tcPr>
          <w:p w14:paraId="06C7E88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77409949</w:t>
            </w:r>
          </w:p>
        </w:tc>
        <w:tc>
          <w:tcPr>
            <w:tcW w:w="3360" w:type="pct"/>
            <w:tcBorders>
              <w:top w:val="nil"/>
              <w:left w:val="nil"/>
              <w:bottom w:val="single" w:sz="4" w:space="0" w:color="auto"/>
              <w:right w:val="single" w:sz="4" w:space="0" w:color="auto"/>
            </w:tcBorders>
            <w:shd w:val="clear" w:color="auto" w:fill="auto"/>
            <w:vAlign w:val="center"/>
            <w:hideMark/>
          </w:tcPr>
          <w:p w14:paraId="3E3166A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ŠOŠTANJ</w:t>
            </w:r>
          </w:p>
        </w:tc>
      </w:tr>
      <w:tr w:rsidR="00E3750C" w:rsidRPr="00415AB3" w14:paraId="2A36883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E9B7E7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2028</w:t>
            </w:r>
          </w:p>
        </w:tc>
        <w:tc>
          <w:tcPr>
            <w:tcW w:w="705" w:type="pct"/>
            <w:tcBorders>
              <w:top w:val="nil"/>
              <w:left w:val="nil"/>
              <w:bottom w:val="single" w:sz="4" w:space="0" w:color="auto"/>
              <w:right w:val="single" w:sz="4" w:space="0" w:color="auto"/>
            </w:tcBorders>
            <w:shd w:val="clear" w:color="auto" w:fill="auto"/>
            <w:noWrap/>
            <w:vAlign w:val="center"/>
            <w:hideMark/>
          </w:tcPr>
          <w:p w14:paraId="2E50DB3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5051282000</w:t>
            </w:r>
          </w:p>
        </w:tc>
        <w:tc>
          <w:tcPr>
            <w:tcW w:w="547" w:type="pct"/>
            <w:tcBorders>
              <w:top w:val="nil"/>
              <w:left w:val="nil"/>
              <w:bottom w:val="single" w:sz="4" w:space="0" w:color="auto"/>
              <w:right w:val="single" w:sz="4" w:space="0" w:color="auto"/>
            </w:tcBorders>
            <w:shd w:val="clear" w:color="auto" w:fill="auto"/>
            <w:noWrap/>
            <w:vAlign w:val="center"/>
            <w:hideMark/>
          </w:tcPr>
          <w:p w14:paraId="6EF71B1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59040688</w:t>
            </w:r>
          </w:p>
        </w:tc>
        <w:tc>
          <w:tcPr>
            <w:tcW w:w="3360" w:type="pct"/>
            <w:tcBorders>
              <w:top w:val="nil"/>
              <w:left w:val="nil"/>
              <w:bottom w:val="single" w:sz="4" w:space="0" w:color="auto"/>
              <w:right w:val="single" w:sz="4" w:space="0" w:color="auto"/>
            </w:tcBorders>
            <w:shd w:val="clear" w:color="auto" w:fill="auto"/>
            <w:vAlign w:val="center"/>
            <w:hideMark/>
          </w:tcPr>
          <w:p w14:paraId="18D7CF4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TEZNO MARIBOR</w:t>
            </w:r>
          </w:p>
        </w:tc>
      </w:tr>
      <w:tr w:rsidR="00E3750C" w:rsidRPr="00415AB3" w14:paraId="3C7B891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914882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2029</w:t>
            </w:r>
          </w:p>
        </w:tc>
        <w:tc>
          <w:tcPr>
            <w:tcW w:w="705" w:type="pct"/>
            <w:tcBorders>
              <w:top w:val="nil"/>
              <w:left w:val="nil"/>
              <w:bottom w:val="single" w:sz="4" w:space="0" w:color="auto"/>
              <w:right w:val="single" w:sz="4" w:space="0" w:color="auto"/>
            </w:tcBorders>
            <w:shd w:val="clear" w:color="auto" w:fill="auto"/>
            <w:noWrap/>
            <w:vAlign w:val="center"/>
            <w:hideMark/>
          </w:tcPr>
          <w:p w14:paraId="73B77E9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5050863000</w:t>
            </w:r>
          </w:p>
        </w:tc>
        <w:tc>
          <w:tcPr>
            <w:tcW w:w="547" w:type="pct"/>
            <w:tcBorders>
              <w:top w:val="nil"/>
              <w:left w:val="nil"/>
              <w:bottom w:val="single" w:sz="4" w:space="0" w:color="auto"/>
              <w:right w:val="single" w:sz="4" w:space="0" w:color="auto"/>
            </w:tcBorders>
            <w:shd w:val="clear" w:color="auto" w:fill="auto"/>
            <w:noWrap/>
            <w:vAlign w:val="center"/>
            <w:hideMark/>
          </w:tcPr>
          <w:p w14:paraId="6180DC9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74474146</w:t>
            </w:r>
          </w:p>
        </w:tc>
        <w:tc>
          <w:tcPr>
            <w:tcW w:w="3360" w:type="pct"/>
            <w:tcBorders>
              <w:top w:val="nil"/>
              <w:left w:val="nil"/>
              <w:bottom w:val="single" w:sz="4" w:space="0" w:color="auto"/>
              <w:right w:val="single" w:sz="4" w:space="0" w:color="auto"/>
            </w:tcBorders>
            <w:shd w:val="clear" w:color="auto" w:fill="auto"/>
            <w:vAlign w:val="center"/>
            <w:hideMark/>
          </w:tcPr>
          <w:p w14:paraId="279C913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TONČKE ČEČEVE</w:t>
            </w:r>
          </w:p>
        </w:tc>
      </w:tr>
      <w:tr w:rsidR="00E3750C" w:rsidRPr="00415AB3" w14:paraId="72D916F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A47850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2030</w:t>
            </w:r>
          </w:p>
        </w:tc>
        <w:tc>
          <w:tcPr>
            <w:tcW w:w="705" w:type="pct"/>
            <w:tcBorders>
              <w:top w:val="nil"/>
              <w:left w:val="nil"/>
              <w:bottom w:val="single" w:sz="4" w:space="0" w:color="auto"/>
              <w:right w:val="single" w:sz="4" w:space="0" w:color="auto"/>
            </w:tcBorders>
            <w:shd w:val="clear" w:color="auto" w:fill="auto"/>
            <w:noWrap/>
            <w:vAlign w:val="center"/>
            <w:hideMark/>
          </w:tcPr>
          <w:p w14:paraId="54C774E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5056713000</w:t>
            </w:r>
          </w:p>
        </w:tc>
        <w:tc>
          <w:tcPr>
            <w:tcW w:w="547" w:type="pct"/>
            <w:tcBorders>
              <w:top w:val="nil"/>
              <w:left w:val="nil"/>
              <w:bottom w:val="single" w:sz="4" w:space="0" w:color="auto"/>
              <w:right w:val="single" w:sz="4" w:space="0" w:color="auto"/>
            </w:tcBorders>
            <w:shd w:val="clear" w:color="auto" w:fill="auto"/>
            <w:noWrap/>
            <w:vAlign w:val="center"/>
            <w:hideMark/>
          </w:tcPr>
          <w:p w14:paraId="02DC721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55067514</w:t>
            </w:r>
          </w:p>
        </w:tc>
        <w:tc>
          <w:tcPr>
            <w:tcW w:w="3360" w:type="pct"/>
            <w:tcBorders>
              <w:top w:val="nil"/>
              <w:left w:val="nil"/>
              <w:bottom w:val="single" w:sz="4" w:space="0" w:color="auto"/>
              <w:right w:val="single" w:sz="4" w:space="0" w:color="auto"/>
            </w:tcBorders>
            <w:shd w:val="clear" w:color="auto" w:fill="auto"/>
            <w:vAlign w:val="center"/>
            <w:hideMark/>
          </w:tcPr>
          <w:p w14:paraId="5E11FB0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TRBOVLJE</w:t>
            </w:r>
          </w:p>
        </w:tc>
      </w:tr>
      <w:tr w:rsidR="00E3750C" w:rsidRPr="00415AB3" w14:paraId="0D3CD79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D53BCA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2031</w:t>
            </w:r>
          </w:p>
        </w:tc>
        <w:tc>
          <w:tcPr>
            <w:tcW w:w="705" w:type="pct"/>
            <w:tcBorders>
              <w:top w:val="nil"/>
              <w:left w:val="nil"/>
              <w:bottom w:val="single" w:sz="4" w:space="0" w:color="auto"/>
              <w:right w:val="single" w:sz="4" w:space="0" w:color="auto"/>
            </w:tcBorders>
            <w:shd w:val="clear" w:color="auto" w:fill="auto"/>
            <w:noWrap/>
            <w:vAlign w:val="center"/>
            <w:hideMark/>
          </w:tcPr>
          <w:p w14:paraId="60793D4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1943367000</w:t>
            </w:r>
          </w:p>
        </w:tc>
        <w:tc>
          <w:tcPr>
            <w:tcW w:w="547" w:type="pct"/>
            <w:tcBorders>
              <w:top w:val="nil"/>
              <w:left w:val="nil"/>
              <w:bottom w:val="single" w:sz="4" w:space="0" w:color="auto"/>
              <w:right w:val="single" w:sz="4" w:space="0" w:color="auto"/>
            </w:tcBorders>
            <w:shd w:val="clear" w:color="auto" w:fill="auto"/>
            <w:noWrap/>
            <w:vAlign w:val="center"/>
            <w:hideMark/>
          </w:tcPr>
          <w:p w14:paraId="26312BE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87247216</w:t>
            </w:r>
          </w:p>
        </w:tc>
        <w:tc>
          <w:tcPr>
            <w:tcW w:w="3360" w:type="pct"/>
            <w:tcBorders>
              <w:top w:val="nil"/>
              <w:left w:val="nil"/>
              <w:bottom w:val="single" w:sz="4" w:space="0" w:color="auto"/>
              <w:right w:val="single" w:sz="4" w:space="0" w:color="auto"/>
            </w:tcBorders>
            <w:shd w:val="clear" w:color="auto" w:fill="auto"/>
            <w:vAlign w:val="center"/>
            <w:hideMark/>
          </w:tcPr>
          <w:p w14:paraId="476F207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TRNOVO</w:t>
            </w:r>
          </w:p>
        </w:tc>
      </w:tr>
      <w:tr w:rsidR="00E3750C" w:rsidRPr="00415AB3" w14:paraId="3CD558D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226657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2032</w:t>
            </w:r>
          </w:p>
        </w:tc>
        <w:tc>
          <w:tcPr>
            <w:tcW w:w="705" w:type="pct"/>
            <w:tcBorders>
              <w:top w:val="nil"/>
              <w:left w:val="nil"/>
              <w:bottom w:val="single" w:sz="4" w:space="0" w:color="auto"/>
              <w:right w:val="single" w:sz="4" w:space="0" w:color="auto"/>
            </w:tcBorders>
            <w:shd w:val="clear" w:color="auto" w:fill="auto"/>
            <w:noWrap/>
            <w:vAlign w:val="center"/>
            <w:hideMark/>
          </w:tcPr>
          <w:p w14:paraId="46102C6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5055881000</w:t>
            </w:r>
          </w:p>
        </w:tc>
        <w:tc>
          <w:tcPr>
            <w:tcW w:w="547" w:type="pct"/>
            <w:tcBorders>
              <w:top w:val="nil"/>
              <w:left w:val="nil"/>
              <w:bottom w:val="single" w:sz="4" w:space="0" w:color="auto"/>
              <w:right w:val="single" w:sz="4" w:space="0" w:color="auto"/>
            </w:tcBorders>
            <w:shd w:val="clear" w:color="auto" w:fill="auto"/>
            <w:noWrap/>
            <w:vAlign w:val="center"/>
            <w:hideMark/>
          </w:tcPr>
          <w:p w14:paraId="758423B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14279673</w:t>
            </w:r>
          </w:p>
        </w:tc>
        <w:tc>
          <w:tcPr>
            <w:tcW w:w="3360" w:type="pct"/>
            <w:tcBorders>
              <w:top w:val="nil"/>
              <w:left w:val="nil"/>
              <w:bottom w:val="single" w:sz="4" w:space="0" w:color="auto"/>
              <w:right w:val="single" w:sz="4" w:space="0" w:color="auto"/>
            </w:tcBorders>
            <w:shd w:val="clear" w:color="auto" w:fill="auto"/>
            <w:vAlign w:val="center"/>
            <w:hideMark/>
          </w:tcPr>
          <w:p w14:paraId="695A009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TRŽIČ</w:t>
            </w:r>
          </w:p>
        </w:tc>
      </w:tr>
      <w:tr w:rsidR="00E3750C" w:rsidRPr="00415AB3" w14:paraId="3787222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FBD8AC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2033</w:t>
            </w:r>
          </w:p>
        </w:tc>
        <w:tc>
          <w:tcPr>
            <w:tcW w:w="705" w:type="pct"/>
            <w:tcBorders>
              <w:top w:val="nil"/>
              <w:left w:val="nil"/>
              <w:bottom w:val="single" w:sz="4" w:space="0" w:color="auto"/>
              <w:right w:val="single" w:sz="4" w:space="0" w:color="auto"/>
            </w:tcBorders>
            <w:shd w:val="clear" w:color="auto" w:fill="auto"/>
            <w:noWrap/>
            <w:vAlign w:val="center"/>
            <w:hideMark/>
          </w:tcPr>
          <w:p w14:paraId="0582560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1228102000</w:t>
            </w:r>
          </w:p>
        </w:tc>
        <w:tc>
          <w:tcPr>
            <w:tcW w:w="547" w:type="pct"/>
            <w:tcBorders>
              <w:top w:val="nil"/>
              <w:left w:val="nil"/>
              <w:bottom w:val="single" w:sz="4" w:space="0" w:color="auto"/>
              <w:right w:val="single" w:sz="4" w:space="0" w:color="auto"/>
            </w:tcBorders>
            <w:shd w:val="clear" w:color="auto" w:fill="auto"/>
            <w:noWrap/>
            <w:vAlign w:val="center"/>
            <w:hideMark/>
          </w:tcPr>
          <w:p w14:paraId="742C156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67013457</w:t>
            </w:r>
          </w:p>
        </w:tc>
        <w:tc>
          <w:tcPr>
            <w:tcW w:w="3360" w:type="pct"/>
            <w:tcBorders>
              <w:top w:val="nil"/>
              <w:left w:val="nil"/>
              <w:bottom w:val="single" w:sz="4" w:space="0" w:color="auto"/>
              <w:right w:val="single" w:sz="4" w:space="0" w:color="auto"/>
            </w:tcBorders>
            <w:shd w:val="clear" w:color="auto" w:fill="auto"/>
            <w:vAlign w:val="center"/>
            <w:hideMark/>
          </w:tcPr>
          <w:p w14:paraId="5A3ED53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URŠA</w:t>
            </w:r>
          </w:p>
        </w:tc>
      </w:tr>
      <w:tr w:rsidR="00E3750C" w:rsidRPr="00415AB3" w14:paraId="1D16AFF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6363DA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2034</w:t>
            </w:r>
          </w:p>
        </w:tc>
        <w:tc>
          <w:tcPr>
            <w:tcW w:w="705" w:type="pct"/>
            <w:tcBorders>
              <w:top w:val="nil"/>
              <w:left w:val="nil"/>
              <w:bottom w:val="single" w:sz="4" w:space="0" w:color="auto"/>
              <w:right w:val="single" w:sz="4" w:space="0" w:color="auto"/>
            </w:tcBorders>
            <w:shd w:val="clear" w:color="auto" w:fill="auto"/>
            <w:noWrap/>
            <w:vAlign w:val="center"/>
            <w:hideMark/>
          </w:tcPr>
          <w:p w14:paraId="79E944A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5050812000</w:t>
            </w:r>
          </w:p>
        </w:tc>
        <w:tc>
          <w:tcPr>
            <w:tcW w:w="547" w:type="pct"/>
            <w:tcBorders>
              <w:top w:val="nil"/>
              <w:left w:val="nil"/>
              <w:bottom w:val="single" w:sz="4" w:space="0" w:color="auto"/>
              <w:right w:val="single" w:sz="4" w:space="0" w:color="auto"/>
            </w:tcBorders>
            <w:shd w:val="clear" w:color="auto" w:fill="auto"/>
            <w:noWrap/>
            <w:vAlign w:val="center"/>
            <w:hideMark/>
          </w:tcPr>
          <w:p w14:paraId="04FBB1F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37857142</w:t>
            </w:r>
          </w:p>
        </w:tc>
        <w:tc>
          <w:tcPr>
            <w:tcW w:w="3360" w:type="pct"/>
            <w:tcBorders>
              <w:top w:val="nil"/>
              <w:left w:val="nil"/>
              <w:bottom w:val="single" w:sz="4" w:space="0" w:color="auto"/>
              <w:right w:val="single" w:sz="4" w:space="0" w:color="auto"/>
            </w:tcBorders>
            <w:shd w:val="clear" w:color="auto" w:fill="auto"/>
            <w:vAlign w:val="center"/>
            <w:hideMark/>
          </w:tcPr>
          <w:p w14:paraId="46E6BE1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VELENJE</w:t>
            </w:r>
          </w:p>
        </w:tc>
      </w:tr>
      <w:tr w:rsidR="00E3750C" w:rsidRPr="00415AB3" w14:paraId="3377F0D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A69D1D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2035</w:t>
            </w:r>
          </w:p>
        </w:tc>
        <w:tc>
          <w:tcPr>
            <w:tcW w:w="705" w:type="pct"/>
            <w:tcBorders>
              <w:top w:val="nil"/>
              <w:left w:val="nil"/>
              <w:bottom w:val="single" w:sz="4" w:space="0" w:color="auto"/>
              <w:right w:val="single" w:sz="4" w:space="0" w:color="auto"/>
            </w:tcBorders>
            <w:shd w:val="clear" w:color="auto" w:fill="auto"/>
            <w:noWrap/>
            <w:vAlign w:val="center"/>
            <w:hideMark/>
          </w:tcPr>
          <w:p w14:paraId="18A37AD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1943375000</w:t>
            </w:r>
          </w:p>
        </w:tc>
        <w:tc>
          <w:tcPr>
            <w:tcW w:w="547" w:type="pct"/>
            <w:tcBorders>
              <w:top w:val="nil"/>
              <w:left w:val="nil"/>
              <w:bottom w:val="single" w:sz="4" w:space="0" w:color="auto"/>
              <w:right w:val="single" w:sz="4" w:space="0" w:color="auto"/>
            </w:tcBorders>
            <w:shd w:val="clear" w:color="auto" w:fill="auto"/>
            <w:noWrap/>
            <w:vAlign w:val="center"/>
            <w:hideMark/>
          </w:tcPr>
          <w:p w14:paraId="52AC9F9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53491467</w:t>
            </w:r>
          </w:p>
        </w:tc>
        <w:tc>
          <w:tcPr>
            <w:tcW w:w="3360" w:type="pct"/>
            <w:tcBorders>
              <w:top w:val="nil"/>
              <w:left w:val="nil"/>
              <w:bottom w:val="single" w:sz="4" w:space="0" w:color="auto"/>
              <w:right w:val="single" w:sz="4" w:space="0" w:color="auto"/>
            </w:tcBorders>
            <w:shd w:val="clear" w:color="auto" w:fill="auto"/>
            <w:vAlign w:val="center"/>
            <w:hideMark/>
          </w:tcPr>
          <w:p w14:paraId="437325A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VIŠKI GAJ</w:t>
            </w:r>
          </w:p>
        </w:tc>
      </w:tr>
      <w:tr w:rsidR="00E3750C" w:rsidRPr="00415AB3" w14:paraId="74A9BD1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B5FA0B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2036</w:t>
            </w:r>
          </w:p>
        </w:tc>
        <w:tc>
          <w:tcPr>
            <w:tcW w:w="705" w:type="pct"/>
            <w:tcBorders>
              <w:top w:val="nil"/>
              <w:left w:val="nil"/>
              <w:bottom w:val="single" w:sz="4" w:space="0" w:color="auto"/>
              <w:right w:val="single" w:sz="4" w:space="0" w:color="auto"/>
            </w:tcBorders>
            <w:shd w:val="clear" w:color="auto" w:fill="auto"/>
            <w:noWrap/>
            <w:vAlign w:val="center"/>
            <w:hideMark/>
          </w:tcPr>
          <w:p w14:paraId="3EA5EEF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5249813000</w:t>
            </w:r>
          </w:p>
        </w:tc>
        <w:tc>
          <w:tcPr>
            <w:tcW w:w="547" w:type="pct"/>
            <w:tcBorders>
              <w:top w:val="nil"/>
              <w:left w:val="nil"/>
              <w:bottom w:val="single" w:sz="4" w:space="0" w:color="auto"/>
              <w:right w:val="single" w:sz="4" w:space="0" w:color="auto"/>
            </w:tcBorders>
            <w:shd w:val="clear" w:color="auto" w:fill="auto"/>
            <w:noWrap/>
            <w:vAlign w:val="center"/>
            <w:hideMark/>
          </w:tcPr>
          <w:p w14:paraId="7ECE3D9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48694282</w:t>
            </w:r>
          </w:p>
        </w:tc>
        <w:tc>
          <w:tcPr>
            <w:tcW w:w="3360" w:type="pct"/>
            <w:tcBorders>
              <w:top w:val="nil"/>
              <w:left w:val="nil"/>
              <w:bottom w:val="single" w:sz="4" w:space="0" w:color="auto"/>
              <w:right w:val="single" w:sz="4" w:space="0" w:color="auto"/>
            </w:tcBorders>
            <w:shd w:val="clear" w:color="auto" w:fill="auto"/>
            <w:vAlign w:val="center"/>
            <w:hideMark/>
          </w:tcPr>
          <w:p w14:paraId="491CE5D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VODMAT</w:t>
            </w:r>
          </w:p>
        </w:tc>
      </w:tr>
      <w:tr w:rsidR="00E3750C" w:rsidRPr="00415AB3" w14:paraId="41389FE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EC9369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2037</w:t>
            </w:r>
          </w:p>
        </w:tc>
        <w:tc>
          <w:tcPr>
            <w:tcW w:w="705" w:type="pct"/>
            <w:tcBorders>
              <w:top w:val="nil"/>
              <w:left w:val="nil"/>
              <w:bottom w:val="single" w:sz="4" w:space="0" w:color="auto"/>
              <w:right w:val="single" w:sz="4" w:space="0" w:color="auto"/>
            </w:tcBorders>
            <w:shd w:val="clear" w:color="auto" w:fill="auto"/>
            <w:noWrap/>
            <w:vAlign w:val="center"/>
            <w:hideMark/>
          </w:tcPr>
          <w:p w14:paraId="783F062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1943359000</w:t>
            </w:r>
          </w:p>
        </w:tc>
        <w:tc>
          <w:tcPr>
            <w:tcW w:w="547" w:type="pct"/>
            <w:tcBorders>
              <w:top w:val="nil"/>
              <w:left w:val="nil"/>
              <w:bottom w:val="single" w:sz="4" w:space="0" w:color="auto"/>
              <w:right w:val="single" w:sz="4" w:space="0" w:color="auto"/>
            </w:tcBorders>
            <w:shd w:val="clear" w:color="auto" w:fill="auto"/>
            <w:noWrap/>
            <w:vAlign w:val="center"/>
            <w:hideMark/>
          </w:tcPr>
          <w:p w14:paraId="24DC103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54520410</w:t>
            </w:r>
          </w:p>
        </w:tc>
        <w:tc>
          <w:tcPr>
            <w:tcW w:w="3360" w:type="pct"/>
            <w:tcBorders>
              <w:top w:val="nil"/>
              <w:left w:val="nil"/>
              <w:bottom w:val="single" w:sz="4" w:space="0" w:color="auto"/>
              <w:right w:val="single" w:sz="4" w:space="0" w:color="auto"/>
            </w:tcBorders>
            <w:shd w:val="clear" w:color="auto" w:fill="auto"/>
            <w:vAlign w:val="center"/>
            <w:hideMark/>
          </w:tcPr>
          <w:p w14:paraId="2965CB6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VRHOVCI</w:t>
            </w:r>
          </w:p>
        </w:tc>
      </w:tr>
      <w:tr w:rsidR="00E3750C" w:rsidRPr="00415AB3" w14:paraId="0BA3017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45A71C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2038</w:t>
            </w:r>
          </w:p>
        </w:tc>
        <w:tc>
          <w:tcPr>
            <w:tcW w:w="705" w:type="pct"/>
            <w:tcBorders>
              <w:top w:val="nil"/>
              <w:left w:val="nil"/>
              <w:bottom w:val="single" w:sz="4" w:space="0" w:color="auto"/>
              <w:right w:val="single" w:sz="4" w:space="0" w:color="auto"/>
            </w:tcBorders>
            <w:shd w:val="clear" w:color="auto" w:fill="auto"/>
            <w:noWrap/>
            <w:vAlign w:val="center"/>
            <w:hideMark/>
          </w:tcPr>
          <w:p w14:paraId="0CCC910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5088445000</w:t>
            </w:r>
          </w:p>
        </w:tc>
        <w:tc>
          <w:tcPr>
            <w:tcW w:w="547" w:type="pct"/>
            <w:tcBorders>
              <w:top w:val="nil"/>
              <w:left w:val="nil"/>
              <w:bottom w:val="single" w:sz="4" w:space="0" w:color="auto"/>
              <w:right w:val="single" w:sz="4" w:space="0" w:color="auto"/>
            </w:tcBorders>
            <w:shd w:val="clear" w:color="auto" w:fill="auto"/>
            <w:noWrap/>
            <w:vAlign w:val="center"/>
            <w:hideMark/>
          </w:tcPr>
          <w:p w14:paraId="1EE38A7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28104072</w:t>
            </w:r>
          </w:p>
        </w:tc>
        <w:tc>
          <w:tcPr>
            <w:tcW w:w="3360" w:type="pct"/>
            <w:tcBorders>
              <w:top w:val="nil"/>
              <w:left w:val="nil"/>
              <w:bottom w:val="single" w:sz="4" w:space="0" w:color="auto"/>
              <w:right w:val="single" w:sz="4" w:space="0" w:color="auto"/>
            </w:tcBorders>
            <w:shd w:val="clear" w:color="auto" w:fill="auto"/>
            <w:vAlign w:val="center"/>
            <w:hideMark/>
          </w:tcPr>
          <w:p w14:paraId="1A42B19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ZAGORJE OB SAVI</w:t>
            </w:r>
          </w:p>
        </w:tc>
      </w:tr>
      <w:tr w:rsidR="00E3750C" w:rsidRPr="00415AB3" w14:paraId="06A7025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77ADF8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2039</w:t>
            </w:r>
          </w:p>
        </w:tc>
        <w:tc>
          <w:tcPr>
            <w:tcW w:w="705" w:type="pct"/>
            <w:tcBorders>
              <w:top w:val="nil"/>
              <w:left w:val="nil"/>
              <w:bottom w:val="single" w:sz="4" w:space="0" w:color="auto"/>
              <w:right w:val="single" w:sz="4" w:space="0" w:color="auto"/>
            </w:tcBorders>
            <w:shd w:val="clear" w:color="auto" w:fill="auto"/>
            <w:noWrap/>
            <w:vAlign w:val="center"/>
            <w:hideMark/>
          </w:tcPr>
          <w:p w14:paraId="0FDE46F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5049547000</w:t>
            </w:r>
          </w:p>
        </w:tc>
        <w:tc>
          <w:tcPr>
            <w:tcW w:w="547" w:type="pct"/>
            <w:tcBorders>
              <w:top w:val="nil"/>
              <w:left w:val="nil"/>
              <w:bottom w:val="single" w:sz="4" w:space="0" w:color="auto"/>
              <w:right w:val="single" w:sz="4" w:space="0" w:color="auto"/>
            </w:tcBorders>
            <w:shd w:val="clear" w:color="auto" w:fill="auto"/>
            <w:noWrap/>
            <w:vAlign w:val="center"/>
            <w:hideMark/>
          </w:tcPr>
          <w:p w14:paraId="5D54398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47532203</w:t>
            </w:r>
          </w:p>
        </w:tc>
        <w:tc>
          <w:tcPr>
            <w:tcW w:w="3360" w:type="pct"/>
            <w:tcBorders>
              <w:top w:val="nil"/>
              <w:left w:val="nil"/>
              <w:bottom w:val="single" w:sz="4" w:space="0" w:color="auto"/>
              <w:right w:val="single" w:sz="4" w:space="0" w:color="auto"/>
            </w:tcBorders>
            <w:shd w:val="clear" w:color="auto" w:fill="auto"/>
            <w:vAlign w:val="center"/>
            <w:hideMark/>
          </w:tcPr>
          <w:p w14:paraId="0330EAA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ZARJA</w:t>
            </w:r>
          </w:p>
        </w:tc>
      </w:tr>
      <w:tr w:rsidR="00E3750C" w:rsidRPr="00415AB3" w14:paraId="37146F1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0120FF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2040</w:t>
            </w:r>
          </w:p>
        </w:tc>
        <w:tc>
          <w:tcPr>
            <w:tcW w:w="705" w:type="pct"/>
            <w:tcBorders>
              <w:top w:val="nil"/>
              <w:left w:val="nil"/>
              <w:bottom w:val="single" w:sz="4" w:space="0" w:color="auto"/>
              <w:right w:val="single" w:sz="4" w:space="0" w:color="auto"/>
            </w:tcBorders>
            <w:shd w:val="clear" w:color="auto" w:fill="auto"/>
            <w:noWrap/>
            <w:vAlign w:val="center"/>
            <w:hideMark/>
          </w:tcPr>
          <w:p w14:paraId="5FFA417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5057175000</w:t>
            </w:r>
          </w:p>
        </w:tc>
        <w:tc>
          <w:tcPr>
            <w:tcW w:w="547" w:type="pct"/>
            <w:tcBorders>
              <w:top w:val="nil"/>
              <w:left w:val="nil"/>
              <w:bottom w:val="single" w:sz="4" w:space="0" w:color="auto"/>
              <w:right w:val="single" w:sz="4" w:space="0" w:color="auto"/>
            </w:tcBorders>
            <w:shd w:val="clear" w:color="auto" w:fill="auto"/>
            <w:noWrap/>
            <w:vAlign w:val="center"/>
            <w:hideMark/>
          </w:tcPr>
          <w:p w14:paraId="1EAE7A9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93605943</w:t>
            </w:r>
          </w:p>
        </w:tc>
        <w:tc>
          <w:tcPr>
            <w:tcW w:w="3360" w:type="pct"/>
            <w:tcBorders>
              <w:top w:val="nil"/>
              <w:left w:val="nil"/>
              <w:bottom w:val="single" w:sz="4" w:space="0" w:color="auto"/>
              <w:right w:val="single" w:sz="4" w:space="0" w:color="auto"/>
            </w:tcBorders>
            <w:shd w:val="clear" w:color="auto" w:fill="auto"/>
            <w:vAlign w:val="center"/>
            <w:hideMark/>
          </w:tcPr>
          <w:p w14:paraId="26A22FE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VRTEC ZELENA JAMA</w:t>
            </w:r>
          </w:p>
        </w:tc>
      </w:tr>
      <w:tr w:rsidR="00E3750C" w:rsidRPr="00415AB3" w14:paraId="27BC722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5F755D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2041</w:t>
            </w:r>
          </w:p>
        </w:tc>
        <w:tc>
          <w:tcPr>
            <w:tcW w:w="705" w:type="pct"/>
            <w:tcBorders>
              <w:top w:val="nil"/>
              <w:left w:val="nil"/>
              <w:bottom w:val="single" w:sz="4" w:space="0" w:color="auto"/>
              <w:right w:val="single" w:sz="4" w:space="0" w:color="auto"/>
            </w:tcBorders>
            <w:shd w:val="clear" w:color="auto" w:fill="auto"/>
            <w:noWrap/>
            <w:vAlign w:val="center"/>
            <w:hideMark/>
          </w:tcPr>
          <w:p w14:paraId="1CA6178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5269792000</w:t>
            </w:r>
          </w:p>
        </w:tc>
        <w:tc>
          <w:tcPr>
            <w:tcW w:w="547" w:type="pct"/>
            <w:tcBorders>
              <w:top w:val="nil"/>
              <w:left w:val="nil"/>
              <w:bottom w:val="single" w:sz="4" w:space="0" w:color="auto"/>
              <w:right w:val="single" w:sz="4" w:space="0" w:color="auto"/>
            </w:tcBorders>
            <w:shd w:val="clear" w:color="auto" w:fill="auto"/>
            <w:noWrap/>
            <w:vAlign w:val="center"/>
            <w:hideMark/>
          </w:tcPr>
          <w:p w14:paraId="2AE1E69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36985198</w:t>
            </w:r>
          </w:p>
        </w:tc>
        <w:tc>
          <w:tcPr>
            <w:tcW w:w="3360" w:type="pct"/>
            <w:tcBorders>
              <w:top w:val="nil"/>
              <w:left w:val="nil"/>
              <w:bottom w:val="single" w:sz="4" w:space="0" w:color="auto"/>
              <w:right w:val="single" w:sz="4" w:space="0" w:color="auto"/>
            </w:tcBorders>
            <w:shd w:val="clear" w:color="auto" w:fill="auto"/>
            <w:vAlign w:val="center"/>
            <w:hideMark/>
          </w:tcPr>
          <w:p w14:paraId="375735E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VVZ ILKE DEVETAK BIGNAMI TOLMIN</w:t>
            </w:r>
          </w:p>
        </w:tc>
      </w:tr>
      <w:tr w:rsidR="00E3750C" w:rsidRPr="00415AB3" w14:paraId="03F8CEE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3733C3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2042</w:t>
            </w:r>
          </w:p>
        </w:tc>
        <w:tc>
          <w:tcPr>
            <w:tcW w:w="705" w:type="pct"/>
            <w:tcBorders>
              <w:top w:val="nil"/>
              <w:left w:val="nil"/>
              <w:bottom w:val="single" w:sz="4" w:space="0" w:color="auto"/>
              <w:right w:val="single" w:sz="4" w:space="0" w:color="auto"/>
            </w:tcBorders>
            <w:shd w:val="clear" w:color="auto" w:fill="auto"/>
            <w:noWrap/>
            <w:vAlign w:val="center"/>
            <w:hideMark/>
          </w:tcPr>
          <w:p w14:paraId="76D92CB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5049873000</w:t>
            </w:r>
          </w:p>
        </w:tc>
        <w:tc>
          <w:tcPr>
            <w:tcW w:w="547" w:type="pct"/>
            <w:tcBorders>
              <w:top w:val="nil"/>
              <w:left w:val="nil"/>
              <w:bottom w:val="single" w:sz="4" w:space="0" w:color="auto"/>
              <w:right w:val="single" w:sz="4" w:space="0" w:color="auto"/>
            </w:tcBorders>
            <w:shd w:val="clear" w:color="auto" w:fill="auto"/>
            <w:noWrap/>
            <w:vAlign w:val="center"/>
            <w:hideMark/>
          </w:tcPr>
          <w:p w14:paraId="04947D0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78184754</w:t>
            </w:r>
          </w:p>
        </w:tc>
        <w:tc>
          <w:tcPr>
            <w:tcW w:w="3360" w:type="pct"/>
            <w:tcBorders>
              <w:top w:val="nil"/>
              <w:left w:val="nil"/>
              <w:bottom w:val="single" w:sz="4" w:space="0" w:color="auto"/>
              <w:right w:val="single" w:sz="4" w:space="0" w:color="auto"/>
            </w:tcBorders>
            <w:shd w:val="clear" w:color="auto" w:fill="auto"/>
            <w:vAlign w:val="center"/>
            <w:hideMark/>
          </w:tcPr>
          <w:p w14:paraId="4F8D8A2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VZGOJNI ZAVOD KRANJ</w:t>
            </w:r>
          </w:p>
        </w:tc>
      </w:tr>
      <w:tr w:rsidR="00E3750C" w:rsidRPr="00415AB3" w14:paraId="0695E1E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B25851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2043</w:t>
            </w:r>
          </w:p>
        </w:tc>
        <w:tc>
          <w:tcPr>
            <w:tcW w:w="705" w:type="pct"/>
            <w:tcBorders>
              <w:top w:val="nil"/>
              <w:left w:val="nil"/>
              <w:bottom w:val="single" w:sz="4" w:space="0" w:color="auto"/>
              <w:right w:val="single" w:sz="4" w:space="0" w:color="auto"/>
            </w:tcBorders>
            <w:shd w:val="clear" w:color="auto" w:fill="auto"/>
            <w:noWrap/>
            <w:vAlign w:val="center"/>
            <w:hideMark/>
          </w:tcPr>
          <w:p w14:paraId="696FF77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5049733000</w:t>
            </w:r>
          </w:p>
        </w:tc>
        <w:tc>
          <w:tcPr>
            <w:tcW w:w="547" w:type="pct"/>
            <w:tcBorders>
              <w:top w:val="nil"/>
              <w:left w:val="nil"/>
              <w:bottom w:val="single" w:sz="4" w:space="0" w:color="auto"/>
              <w:right w:val="single" w:sz="4" w:space="0" w:color="auto"/>
            </w:tcBorders>
            <w:shd w:val="clear" w:color="auto" w:fill="auto"/>
            <w:noWrap/>
            <w:vAlign w:val="center"/>
            <w:hideMark/>
          </w:tcPr>
          <w:p w14:paraId="07761D0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80676731</w:t>
            </w:r>
          </w:p>
        </w:tc>
        <w:tc>
          <w:tcPr>
            <w:tcW w:w="3360" w:type="pct"/>
            <w:tcBorders>
              <w:top w:val="nil"/>
              <w:left w:val="nil"/>
              <w:bottom w:val="single" w:sz="4" w:space="0" w:color="auto"/>
              <w:right w:val="single" w:sz="4" w:space="0" w:color="auto"/>
            </w:tcBorders>
            <w:shd w:val="clear" w:color="auto" w:fill="auto"/>
            <w:vAlign w:val="center"/>
            <w:hideMark/>
          </w:tcPr>
          <w:p w14:paraId="5943516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VZGOJNO IZOBRAŽEVALNI ZAVOD VRTEC MAVRICA IZOLA</w:t>
            </w:r>
          </w:p>
        </w:tc>
      </w:tr>
      <w:tr w:rsidR="00E3750C" w:rsidRPr="00415AB3" w14:paraId="4B867B4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F08822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2044</w:t>
            </w:r>
          </w:p>
        </w:tc>
        <w:tc>
          <w:tcPr>
            <w:tcW w:w="705" w:type="pct"/>
            <w:tcBorders>
              <w:top w:val="nil"/>
              <w:left w:val="nil"/>
              <w:bottom w:val="single" w:sz="4" w:space="0" w:color="auto"/>
              <w:right w:val="single" w:sz="4" w:space="0" w:color="auto"/>
            </w:tcBorders>
            <w:shd w:val="clear" w:color="auto" w:fill="auto"/>
            <w:noWrap/>
            <w:vAlign w:val="center"/>
            <w:hideMark/>
          </w:tcPr>
          <w:p w14:paraId="4476228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5168309000</w:t>
            </w:r>
          </w:p>
        </w:tc>
        <w:tc>
          <w:tcPr>
            <w:tcW w:w="547" w:type="pct"/>
            <w:tcBorders>
              <w:top w:val="nil"/>
              <w:left w:val="nil"/>
              <w:bottom w:val="single" w:sz="4" w:space="0" w:color="auto"/>
              <w:right w:val="single" w:sz="4" w:space="0" w:color="auto"/>
            </w:tcBorders>
            <w:shd w:val="clear" w:color="auto" w:fill="auto"/>
            <w:noWrap/>
            <w:vAlign w:val="center"/>
            <w:hideMark/>
          </w:tcPr>
          <w:p w14:paraId="03187C4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34676422</w:t>
            </w:r>
          </w:p>
        </w:tc>
        <w:tc>
          <w:tcPr>
            <w:tcW w:w="3360" w:type="pct"/>
            <w:tcBorders>
              <w:top w:val="nil"/>
              <w:left w:val="nil"/>
              <w:bottom w:val="single" w:sz="4" w:space="0" w:color="auto"/>
              <w:right w:val="single" w:sz="4" w:space="0" w:color="auto"/>
            </w:tcBorders>
            <w:shd w:val="clear" w:color="auto" w:fill="auto"/>
            <w:vAlign w:val="center"/>
            <w:hideMark/>
          </w:tcPr>
          <w:p w14:paraId="5D6374D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VZGOJNO IZOBRAŽEVALNI ZAVOD VRTEC ORMOŽ</w:t>
            </w:r>
          </w:p>
        </w:tc>
      </w:tr>
      <w:tr w:rsidR="00E3750C" w:rsidRPr="00415AB3" w14:paraId="02D0E0F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13355F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2045</w:t>
            </w:r>
          </w:p>
        </w:tc>
        <w:tc>
          <w:tcPr>
            <w:tcW w:w="705" w:type="pct"/>
            <w:tcBorders>
              <w:top w:val="nil"/>
              <w:left w:val="nil"/>
              <w:bottom w:val="single" w:sz="4" w:space="0" w:color="auto"/>
              <w:right w:val="single" w:sz="4" w:space="0" w:color="auto"/>
            </w:tcBorders>
            <w:shd w:val="clear" w:color="auto" w:fill="auto"/>
            <w:noWrap/>
            <w:vAlign w:val="center"/>
            <w:hideMark/>
          </w:tcPr>
          <w:p w14:paraId="2975A70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5055822000</w:t>
            </w:r>
          </w:p>
        </w:tc>
        <w:tc>
          <w:tcPr>
            <w:tcW w:w="547" w:type="pct"/>
            <w:tcBorders>
              <w:top w:val="nil"/>
              <w:left w:val="nil"/>
              <w:bottom w:val="single" w:sz="4" w:space="0" w:color="auto"/>
              <w:right w:val="single" w:sz="4" w:space="0" w:color="auto"/>
            </w:tcBorders>
            <w:shd w:val="clear" w:color="auto" w:fill="auto"/>
            <w:noWrap/>
            <w:vAlign w:val="center"/>
            <w:hideMark/>
          </w:tcPr>
          <w:p w14:paraId="2196215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87232979</w:t>
            </w:r>
          </w:p>
        </w:tc>
        <w:tc>
          <w:tcPr>
            <w:tcW w:w="3360" w:type="pct"/>
            <w:tcBorders>
              <w:top w:val="nil"/>
              <w:left w:val="nil"/>
              <w:bottom w:val="single" w:sz="4" w:space="0" w:color="auto"/>
              <w:right w:val="single" w:sz="4" w:space="0" w:color="auto"/>
            </w:tcBorders>
            <w:shd w:val="clear" w:color="auto" w:fill="auto"/>
            <w:vAlign w:val="center"/>
            <w:hideMark/>
          </w:tcPr>
          <w:p w14:paraId="1789215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VZGOJNO VARSTVENI ZAVOD SLOVENJ GRADEC</w:t>
            </w:r>
          </w:p>
        </w:tc>
      </w:tr>
      <w:tr w:rsidR="00E3750C" w:rsidRPr="00415AB3" w14:paraId="7213B5E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251F63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2046</w:t>
            </w:r>
          </w:p>
        </w:tc>
        <w:tc>
          <w:tcPr>
            <w:tcW w:w="705" w:type="pct"/>
            <w:tcBorders>
              <w:top w:val="nil"/>
              <w:left w:val="nil"/>
              <w:bottom w:val="single" w:sz="4" w:space="0" w:color="auto"/>
              <w:right w:val="single" w:sz="4" w:space="0" w:color="auto"/>
            </w:tcBorders>
            <w:shd w:val="clear" w:color="auto" w:fill="auto"/>
            <w:noWrap/>
            <w:vAlign w:val="center"/>
            <w:hideMark/>
          </w:tcPr>
          <w:p w14:paraId="3D60A0A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5050839000</w:t>
            </w:r>
          </w:p>
        </w:tc>
        <w:tc>
          <w:tcPr>
            <w:tcW w:w="547" w:type="pct"/>
            <w:tcBorders>
              <w:top w:val="nil"/>
              <w:left w:val="nil"/>
              <w:bottom w:val="single" w:sz="4" w:space="0" w:color="auto"/>
              <w:right w:val="single" w:sz="4" w:space="0" w:color="auto"/>
            </w:tcBorders>
            <w:shd w:val="clear" w:color="auto" w:fill="auto"/>
            <w:noWrap/>
            <w:vAlign w:val="center"/>
            <w:hideMark/>
          </w:tcPr>
          <w:p w14:paraId="3F00CE2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13403010</w:t>
            </w:r>
          </w:p>
        </w:tc>
        <w:tc>
          <w:tcPr>
            <w:tcW w:w="3360" w:type="pct"/>
            <w:tcBorders>
              <w:top w:val="nil"/>
              <w:left w:val="nil"/>
              <w:bottom w:val="single" w:sz="4" w:space="0" w:color="auto"/>
              <w:right w:val="single" w:sz="4" w:space="0" w:color="auto"/>
            </w:tcBorders>
            <w:shd w:val="clear" w:color="auto" w:fill="auto"/>
            <w:vAlign w:val="center"/>
            <w:hideMark/>
          </w:tcPr>
          <w:p w14:paraId="1CF159E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VZGOJNO-IZOBRAŽEVALNI ZAVOD ANTONIJE KUCLER VRHNIKA</w:t>
            </w:r>
          </w:p>
        </w:tc>
      </w:tr>
      <w:tr w:rsidR="00E3750C" w:rsidRPr="00415AB3" w14:paraId="44FA5BB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9376DA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2047</w:t>
            </w:r>
          </w:p>
        </w:tc>
        <w:tc>
          <w:tcPr>
            <w:tcW w:w="705" w:type="pct"/>
            <w:tcBorders>
              <w:top w:val="nil"/>
              <w:left w:val="nil"/>
              <w:bottom w:val="single" w:sz="4" w:space="0" w:color="auto"/>
              <w:right w:val="single" w:sz="4" w:space="0" w:color="auto"/>
            </w:tcBorders>
            <w:shd w:val="clear" w:color="auto" w:fill="auto"/>
            <w:noWrap/>
            <w:vAlign w:val="center"/>
            <w:hideMark/>
          </w:tcPr>
          <w:p w14:paraId="5E77C71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5087970000</w:t>
            </w:r>
          </w:p>
        </w:tc>
        <w:tc>
          <w:tcPr>
            <w:tcW w:w="547" w:type="pct"/>
            <w:tcBorders>
              <w:top w:val="nil"/>
              <w:left w:val="nil"/>
              <w:bottom w:val="single" w:sz="4" w:space="0" w:color="auto"/>
              <w:right w:val="single" w:sz="4" w:space="0" w:color="auto"/>
            </w:tcBorders>
            <w:shd w:val="clear" w:color="auto" w:fill="auto"/>
            <w:noWrap/>
            <w:vAlign w:val="center"/>
            <w:hideMark/>
          </w:tcPr>
          <w:p w14:paraId="341D823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98183443</w:t>
            </w:r>
          </w:p>
        </w:tc>
        <w:tc>
          <w:tcPr>
            <w:tcW w:w="3360" w:type="pct"/>
            <w:tcBorders>
              <w:top w:val="nil"/>
              <w:left w:val="nil"/>
              <w:bottom w:val="single" w:sz="4" w:space="0" w:color="auto"/>
              <w:right w:val="single" w:sz="4" w:space="0" w:color="auto"/>
            </w:tcBorders>
            <w:shd w:val="clear" w:color="auto" w:fill="auto"/>
            <w:vAlign w:val="center"/>
            <w:hideMark/>
          </w:tcPr>
          <w:p w14:paraId="6B194F0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VZGOJNO-IZOBRAŽEVALNI ZAVOD OSNOVNA ŠOLA ROGATEC</w:t>
            </w:r>
          </w:p>
        </w:tc>
      </w:tr>
      <w:tr w:rsidR="00E3750C" w:rsidRPr="00415AB3" w14:paraId="4A81B768"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39E86E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2048</w:t>
            </w:r>
          </w:p>
        </w:tc>
        <w:tc>
          <w:tcPr>
            <w:tcW w:w="705" w:type="pct"/>
            <w:tcBorders>
              <w:top w:val="nil"/>
              <w:left w:val="nil"/>
              <w:bottom w:val="single" w:sz="4" w:space="0" w:color="auto"/>
              <w:right w:val="single" w:sz="4" w:space="0" w:color="auto"/>
            </w:tcBorders>
            <w:shd w:val="clear" w:color="auto" w:fill="auto"/>
            <w:noWrap/>
            <w:vAlign w:val="center"/>
            <w:hideMark/>
          </w:tcPr>
          <w:p w14:paraId="03A92D1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5088844000</w:t>
            </w:r>
          </w:p>
        </w:tc>
        <w:tc>
          <w:tcPr>
            <w:tcW w:w="547" w:type="pct"/>
            <w:tcBorders>
              <w:top w:val="nil"/>
              <w:left w:val="nil"/>
              <w:bottom w:val="single" w:sz="4" w:space="0" w:color="auto"/>
              <w:right w:val="single" w:sz="4" w:space="0" w:color="auto"/>
            </w:tcBorders>
            <w:shd w:val="clear" w:color="auto" w:fill="auto"/>
            <w:noWrap/>
            <w:vAlign w:val="center"/>
            <w:hideMark/>
          </w:tcPr>
          <w:p w14:paraId="0C32E26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26152363</w:t>
            </w:r>
          </w:p>
        </w:tc>
        <w:tc>
          <w:tcPr>
            <w:tcW w:w="3360" w:type="pct"/>
            <w:tcBorders>
              <w:top w:val="nil"/>
              <w:left w:val="nil"/>
              <w:bottom w:val="single" w:sz="4" w:space="0" w:color="auto"/>
              <w:right w:val="single" w:sz="4" w:space="0" w:color="auto"/>
            </w:tcBorders>
            <w:shd w:val="clear" w:color="auto" w:fill="auto"/>
            <w:vAlign w:val="center"/>
            <w:hideMark/>
          </w:tcPr>
          <w:p w14:paraId="1723911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VZGOJNOIZOBRAŽEVALNI ZAVOD OŠ MARJAN BANTAN STOJAN JARENINA</w:t>
            </w:r>
          </w:p>
        </w:tc>
      </w:tr>
      <w:tr w:rsidR="00E3750C" w:rsidRPr="00415AB3" w14:paraId="7C3C323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D65F66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2049</w:t>
            </w:r>
          </w:p>
        </w:tc>
        <w:tc>
          <w:tcPr>
            <w:tcW w:w="705" w:type="pct"/>
            <w:tcBorders>
              <w:top w:val="nil"/>
              <w:left w:val="nil"/>
              <w:bottom w:val="single" w:sz="4" w:space="0" w:color="auto"/>
              <w:right w:val="single" w:sz="4" w:space="0" w:color="auto"/>
            </w:tcBorders>
            <w:shd w:val="clear" w:color="auto" w:fill="auto"/>
            <w:noWrap/>
            <w:vAlign w:val="center"/>
            <w:hideMark/>
          </w:tcPr>
          <w:p w14:paraId="7BA9F32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5050928000</w:t>
            </w:r>
          </w:p>
        </w:tc>
        <w:tc>
          <w:tcPr>
            <w:tcW w:w="547" w:type="pct"/>
            <w:tcBorders>
              <w:top w:val="nil"/>
              <w:left w:val="nil"/>
              <w:bottom w:val="single" w:sz="4" w:space="0" w:color="auto"/>
              <w:right w:val="single" w:sz="4" w:space="0" w:color="auto"/>
            </w:tcBorders>
            <w:shd w:val="clear" w:color="auto" w:fill="auto"/>
            <w:noWrap/>
            <w:vAlign w:val="center"/>
            <w:hideMark/>
          </w:tcPr>
          <w:p w14:paraId="41E1179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56317450</w:t>
            </w:r>
          </w:p>
        </w:tc>
        <w:tc>
          <w:tcPr>
            <w:tcW w:w="3360" w:type="pct"/>
            <w:tcBorders>
              <w:top w:val="nil"/>
              <w:left w:val="nil"/>
              <w:bottom w:val="single" w:sz="4" w:space="0" w:color="auto"/>
              <w:right w:val="single" w:sz="4" w:space="0" w:color="auto"/>
            </w:tcBorders>
            <w:shd w:val="clear" w:color="auto" w:fill="auto"/>
            <w:vAlign w:val="center"/>
            <w:hideMark/>
          </w:tcPr>
          <w:p w14:paraId="7354187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VZGOJNO-IZOBRAŽEVALNI ZAVOD VIŠNJA GORA</w:t>
            </w:r>
          </w:p>
        </w:tc>
      </w:tr>
      <w:tr w:rsidR="00E3750C" w:rsidRPr="00415AB3" w14:paraId="63C41EF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C5EB0C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2050</w:t>
            </w:r>
          </w:p>
        </w:tc>
        <w:tc>
          <w:tcPr>
            <w:tcW w:w="705" w:type="pct"/>
            <w:tcBorders>
              <w:top w:val="nil"/>
              <w:left w:val="nil"/>
              <w:bottom w:val="single" w:sz="4" w:space="0" w:color="auto"/>
              <w:right w:val="single" w:sz="4" w:space="0" w:color="auto"/>
            </w:tcBorders>
            <w:shd w:val="clear" w:color="auto" w:fill="auto"/>
            <w:noWrap/>
            <w:vAlign w:val="center"/>
            <w:hideMark/>
          </w:tcPr>
          <w:p w14:paraId="47AFE16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5996465000</w:t>
            </w:r>
          </w:p>
        </w:tc>
        <w:tc>
          <w:tcPr>
            <w:tcW w:w="547" w:type="pct"/>
            <w:tcBorders>
              <w:top w:val="nil"/>
              <w:left w:val="nil"/>
              <w:bottom w:val="single" w:sz="4" w:space="0" w:color="auto"/>
              <w:right w:val="single" w:sz="4" w:space="0" w:color="auto"/>
            </w:tcBorders>
            <w:shd w:val="clear" w:color="auto" w:fill="auto"/>
            <w:noWrap/>
            <w:vAlign w:val="center"/>
            <w:hideMark/>
          </w:tcPr>
          <w:p w14:paraId="4167584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71491481</w:t>
            </w:r>
          </w:p>
        </w:tc>
        <w:tc>
          <w:tcPr>
            <w:tcW w:w="3360" w:type="pct"/>
            <w:tcBorders>
              <w:top w:val="nil"/>
              <w:left w:val="nil"/>
              <w:bottom w:val="single" w:sz="4" w:space="0" w:color="auto"/>
              <w:right w:val="single" w:sz="4" w:space="0" w:color="auto"/>
            </w:tcBorders>
            <w:shd w:val="clear" w:color="auto" w:fill="auto"/>
            <w:vAlign w:val="center"/>
            <w:hideMark/>
          </w:tcPr>
          <w:p w14:paraId="34B3760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VZGOJNO-IZOBRAŽEVALNI ZAVOD VRTCI BREZOVICA</w:t>
            </w:r>
          </w:p>
        </w:tc>
      </w:tr>
      <w:tr w:rsidR="00E3750C" w:rsidRPr="00415AB3" w14:paraId="21EE694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5E4F8E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2051</w:t>
            </w:r>
          </w:p>
        </w:tc>
        <w:tc>
          <w:tcPr>
            <w:tcW w:w="705" w:type="pct"/>
            <w:tcBorders>
              <w:top w:val="nil"/>
              <w:left w:val="nil"/>
              <w:bottom w:val="single" w:sz="4" w:space="0" w:color="auto"/>
              <w:right w:val="single" w:sz="4" w:space="0" w:color="auto"/>
            </w:tcBorders>
            <w:shd w:val="clear" w:color="auto" w:fill="auto"/>
            <w:noWrap/>
            <w:vAlign w:val="center"/>
            <w:hideMark/>
          </w:tcPr>
          <w:p w14:paraId="6C2E2DA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5056683000</w:t>
            </w:r>
          </w:p>
        </w:tc>
        <w:tc>
          <w:tcPr>
            <w:tcW w:w="547" w:type="pct"/>
            <w:tcBorders>
              <w:top w:val="nil"/>
              <w:left w:val="nil"/>
              <w:bottom w:val="single" w:sz="4" w:space="0" w:color="auto"/>
              <w:right w:val="single" w:sz="4" w:space="0" w:color="auto"/>
            </w:tcBorders>
            <w:shd w:val="clear" w:color="auto" w:fill="auto"/>
            <w:noWrap/>
            <w:vAlign w:val="center"/>
            <w:hideMark/>
          </w:tcPr>
          <w:p w14:paraId="429966C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68798555</w:t>
            </w:r>
          </w:p>
        </w:tc>
        <w:tc>
          <w:tcPr>
            <w:tcW w:w="3360" w:type="pct"/>
            <w:tcBorders>
              <w:top w:val="nil"/>
              <w:left w:val="nil"/>
              <w:bottom w:val="single" w:sz="4" w:space="0" w:color="auto"/>
              <w:right w:val="single" w:sz="4" w:space="0" w:color="auto"/>
            </w:tcBorders>
            <w:shd w:val="clear" w:color="auto" w:fill="auto"/>
            <w:vAlign w:val="center"/>
            <w:hideMark/>
          </w:tcPr>
          <w:p w14:paraId="1209EDA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VZGOJNOVARSTVENI ZAVOD KEKEC GROSUPLJE</w:t>
            </w:r>
          </w:p>
        </w:tc>
      </w:tr>
      <w:tr w:rsidR="00E3750C" w:rsidRPr="00415AB3" w14:paraId="763B4F7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2495AD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2052</w:t>
            </w:r>
          </w:p>
        </w:tc>
        <w:tc>
          <w:tcPr>
            <w:tcW w:w="705" w:type="pct"/>
            <w:tcBorders>
              <w:top w:val="nil"/>
              <w:left w:val="nil"/>
              <w:bottom w:val="single" w:sz="4" w:space="0" w:color="auto"/>
              <w:right w:val="single" w:sz="4" w:space="0" w:color="auto"/>
            </w:tcBorders>
            <w:shd w:val="clear" w:color="auto" w:fill="auto"/>
            <w:noWrap/>
            <w:vAlign w:val="center"/>
            <w:hideMark/>
          </w:tcPr>
          <w:p w14:paraId="632F2E6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5050294000</w:t>
            </w:r>
          </w:p>
        </w:tc>
        <w:tc>
          <w:tcPr>
            <w:tcW w:w="547" w:type="pct"/>
            <w:tcBorders>
              <w:top w:val="nil"/>
              <w:left w:val="nil"/>
              <w:bottom w:val="single" w:sz="4" w:space="0" w:color="auto"/>
              <w:right w:val="single" w:sz="4" w:space="0" w:color="auto"/>
            </w:tcBorders>
            <w:shd w:val="clear" w:color="auto" w:fill="auto"/>
            <w:noWrap/>
            <w:vAlign w:val="center"/>
            <w:hideMark/>
          </w:tcPr>
          <w:p w14:paraId="241494D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42184746</w:t>
            </w:r>
          </w:p>
        </w:tc>
        <w:tc>
          <w:tcPr>
            <w:tcW w:w="3360" w:type="pct"/>
            <w:tcBorders>
              <w:top w:val="nil"/>
              <w:left w:val="nil"/>
              <w:bottom w:val="single" w:sz="4" w:space="0" w:color="auto"/>
              <w:right w:val="single" w:sz="4" w:space="0" w:color="auto"/>
            </w:tcBorders>
            <w:shd w:val="clear" w:color="auto" w:fill="auto"/>
            <w:vAlign w:val="center"/>
            <w:hideMark/>
          </w:tcPr>
          <w:p w14:paraId="449DD68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VZGOJNO-VARSTVENI ZAVOD VRTEC KURIRČEK LOGATEC</w:t>
            </w:r>
          </w:p>
        </w:tc>
      </w:tr>
      <w:tr w:rsidR="00E3750C" w:rsidRPr="00415AB3" w14:paraId="6C91BE5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C641C9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2053</w:t>
            </w:r>
          </w:p>
        </w:tc>
        <w:tc>
          <w:tcPr>
            <w:tcW w:w="705" w:type="pct"/>
            <w:tcBorders>
              <w:top w:val="nil"/>
              <w:left w:val="nil"/>
              <w:bottom w:val="single" w:sz="4" w:space="0" w:color="auto"/>
              <w:right w:val="single" w:sz="4" w:space="0" w:color="auto"/>
            </w:tcBorders>
            <w:shd w:val="clear" w:color="auto" w:fill="auto"/>
            <w:noWrap/>
            <w:vAlign w:val="center"/>
            <w:hideMark/>
          </w:tcPr>
          <w:p w14:paraId="07AA761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5238676000</w:t>
            </w:r>
          </w:p>
        </w:tc>
        <w:tc>
          <w:tcPr>
            <w:tcW w:w="547" w:type="pct"/>
            <w:tcBorders>
              <w:top w:val="nil"/>
              <w:left w:val="nil"/>
              <w:bottom w:val="single" w:sz="4" w:space="0" w:color="auto"/>
              <w:right w:val="single" w:sz="4" w:space="0" w:color="auto"/>
            </w:tcBorders>
            <w:shd w:val="clear" w:color="auto" w:fill="auto"/>
            <w:noWrap/>
            <w:vAlign w:val="center"/>
            <w:hideMark/>
          </w:tcPr>
          <w:p w14:paraId="3181665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90961030</w:t>
            </w:r>
          </w:p>
        </w:tc>
        <w:tc>
          <w:tcPr>
            <w:tcW w:w="3360" w:type="pct"/>
            <w:tcBorders>
              <w:top w:val="nil"/>
              <w:left w:val="nil"/>
              <w:bottom w:val="single" w:sz="4" w:space="0" w:color="auto"/>
              <w:right w:val="single" w:sz="4" w:space="0" w:color="auto"/>
            </w:tcBorders>
            <w:shd w:val="clear" w:color="auto" w:fill="auto"/>
            <w:vAlign w:val="center"/>
            <w:hideMark/>
          </w:tcPr>
          <w:p w14:paraId="4C40C9F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VZGOJNO-VARSTVENI ZAVOD VRTEC MAVRICA TREBNJE</w:t>
            </w:r>
          </w:p>
        </w:tc>
      </w:tr>
      <w:tr w:rsidR="00E3750C" w:rsidRPr="00415AB3" w14:paraId="5605CAF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E3FB16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2054</w:t>
            </w:r>
          </w:p>
        </w:tc>
        <w:tc>
          <w:tcPr>
            <w:tcW w:w="705" w:type="pct"/>
            <w:tcBorders>
              <w:top w:val="nil"/>
              <w:left w:val="nil"/>
              <w:bottom w:val="single" w:sz="4" w:space="0" w:color="auto"/>
              <w:right w:val="single" w:sz="4" w:space="0" w:color="auto"/>
            </w:tcBorders>
            <w:shd w:val="clear" w:color="auto" w:fill="auto"/>
            <w:noWrap/>
            <w:vAlign w:val="center"/>
            <w:hideMark/>
          </w:tcPr>
          <w:p w14:paraId="5C856CE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2516217000</w:t>
            </w:r>
          </w:p>
        </w:tc>
        <w:tc>
          <w:tcPr>
            <w:tcW w:w="547" w:type="pct"/>
            <w:tcBorders>
              <w:top w:val="nil"/>
              <w:left w:val="nil"/>
              <w:bottom w:val="single" w:sz="4" w:space="0" w:color="auto"/>
              <w:right w:val="single" w:sz="4" w:space="0" w:color="auto"/>
            </w:tcBorders>
            <w:shd w:val="clear" w:color="auto" w:fill="auto"/>
            <w:noWrap/>
            <w:vAlign w:val="center"/>
            <w:hideMark/>
          </w:tcPr>
          <w:p w14:paraId="05AF7B0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55103308</w:t>
            </w:r>
          </w:p>
        </w:tc>
        <w:tc>
          <w:tcPr>
            <w:tcW w:w="3360" w:type="pct"/>
            <w:tcBorders>
              <w:top w:val="nil"/>
              <w:left w:val="nil"/>
              <w:bottom w:val="single" w:sz="4" w:space="0" w:color="auto"/>
              <w:right w:val="single" w:sz="4" w:space="0" w:color="auto"/>
            </w:tcBorders>
            <w:shd w:val="clear" w:color="auto" w:fill="auto"/>
            <w:vAlign w:val="center"/>
            <w:hideMark/>
          </w:tcPr>
          <w:p w14:paraId="380FED0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ZAGOVORNIK NAČELA ENAKOSTI</w:t>
            </w:r>
          </w:p>
        </w:tc>
      </w:tr>
      <w:tr w:rsidR="00E3750C" w:rsidRPr="00415AB3" w14:paraId="0778738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74824E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2055</w:t>
            </w:r>
          </w:p>
        </w:tc>
        <w:tc>
          <w:tcPr>
            <w:tcW w:w="705" w:type="pct"/>
            <w:tcBorders>
              <w:top w:val="nil"/>
              <w:left w:val="nil"/>
              <w:bottom w:val="single" w:sz="4" w:space="0" w:color="auto"/>
              <w:right w:val="single" w:sz="4" w:space="0" w:color="auto"/>
            </w:tcBorders>
            <w:shd w:val="clear" w:color="auto" w:fill="auto"/>
            <w:noWrap/>
            <w:vAlign w:val="center"/>
            <w:hideMark/>
          </w:tcPr>
          <w:p w14:paraId="65BC43C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5090229000</w:t>
            </w:r>
          </w:p>
        </w:tc>
        <w:tc>
          <w:tcPr>
            <w:tcW w:w="547" w:type="pct"/>
            <w:tcBorders>
              <w:top w:val="nil"/>
              <w:left w:val="nil"/>
              <w:bottom w:val="single" w:sz="4" w:space="0" w:color="auto"/>
              <w:right w:val="single" w:sz="4" w:space="0" w:color="auto"/>
            </w:tcBorders>
            <w:shd w:val="clear" w:color="auto" w:fill="auto"/>
            <w:noWrap/>
            <w:vAlign w:val="center"/>
            <w:hideMark/>
          </w:tcPr>
          <w:p w14:paraId="027FFF6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54936314</w:t>
            </w:r>
          </w:p>
        </w:tc>
        <w:tc>
          <w:tcPr>
            <w:tcW w:w="3360" w:type="pct"/>
            <w:tcBorders>
              <w:top w:val="nil"/>
              <w:left w:val="nil"/>
              <w:bottom w:val="single" w:sz="4" w:space="0" w:color="auto"/>
              <w:right w:val="single" w:sz="4" w:space="0" w:color="auto"/>
            </w:tcBorders>
            <w:shd w:val="clear" w:color="auto" w:fill="auto"/>
            <w:vAlign w:val="center"/>
            <w:hideMark/>
          </w:tcPr>
          <w:p w14:paraId="0377014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ZASAVSKA LJUDSKA UNIVERZA</w:t>
            </w:r>
          </w:p>
        </w:tc>
      </w:tr>
      <w:tr w:rsidR="00E3750C" w:rsidRPr="00415AB3" w14:paraId="3F1E6E0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2F5137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2056</w:t>
            </w:r>
          </w:p>
        </w:tc>
        <w:tc>
          <w:tcPr>
            <w:tcW w:w="705" w:type="pct"/>
            <w:tcBorders>
              <w:top w:val="nil"/>
              <w:left w:val="nil"/>
              <w:bottom w:val="single" w:sz="4" w:space="0" w:color="auto"/>
              <w:right w:val="single" w:sz="4" w:space="0" w:color="auto"/>
            </w:tcBorders>
            <w:shd w:val="clear" w:color="auto" w:fill="auto"/>
            <w:noWrap/>
            <w:vAlign w:val="center"/>
            <w:hideMark/>
          </w:tcPr>
          <w:p w14:paraId="7EF8C2D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5108764000</w:t>
            </w:r>
          </w:p>
        </w:tc>
        <w:tc>
          <w:tcPr>
            <w:tcW w:w="547" w:type="pct"/>
            <w:tcBorders>
              <w:top w:val="nil"/>
              <w:left w:val="nil"/>
              <w:bottom w:val="single" w:sz="4" w:space="0" w:color="auto"/>
              <w:right w:val="single" w:sz="4" w:space="0" w:color="auto"/>
            </w:tcBorders>
            <w:shd w:val="clear" w:color="auto" w:fill="auto"/>
            <w:noWrap/>
            <w:vAlign w:val="center"/>
            <w:hideMark/>
          </w:tcPr>
          <w:p w14:paraId="285728F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92092683</w:t>
            </w:r>
          </w:p>
        </w:tc>
        <w:tc>
          <w:tcPr>
            <w:tcW w:w="3360" w:type="pct"/>
            <w:tcBorders>
              <w:top w:val="nil"/>
              <w:left w:val="nil"/>
              <w:bottom w:val="single" w:sz="4" w:space="0" w:color="auto"/>
              <w:right w:val="single" w:sz="4" w:space="0" w:color="auto"/>
            </w:tcBorders>
            <w:shd w:val="clear" w:color="auto" w:fill="auto"/>
            <w:vAlign w:val="center"/>
            <w:hideMark/>
          </w:tcPr>
          <w:p w14:paraId="32CB5F9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ZASAVSKE LEKARNE TRBOVLJE</w:t>
            </w:r>
          </w:p>
        </w:tc>
      </w:tr>
      <w:tr w:rsidR="00E3750C" w:rsidRPr="00415AB3" w14:paraId="0A94872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D70FF4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2057</w:t>
            </w:r>
          </w:p>
        </w:tc>
        <w:tc>
          <w:tcPr>
            <w:tcW w:w="705" w:type="pct"/>
            <w:tcBorders>
              <w:top w:val="nil"/>
              <w:left w:val="nil"/>
              <w:bottom w:val="single" w:sz="4" w:space="0" w:color="auto"/>
              <w:right w:val="single" w:sz="4" w:space="0" w:color="auto"/>
            </w:tcBorders>
            <w:shd w:val="clear" w:color="auto" w:fill="auto"/>
            <w:noWrap/>
            <w:vAlign w:val="center"/>
            <w:hideMark/>
          </w:tcPr>
          <w:p w14:paraId="42FD373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8281491000</w:t>
            </w:r>
          </w:p>
        </w:tc>
        <w:tc>
          <w:tcPr>
            <w:tcW w:w="547" w:type="pct"/>
            <w:tcBorders>
              <w:top w:val="nil"/>
              <w:left w:val="nil"/>
              <w:bottom w:val="single" w:sz="4" w:space="0" w:color="auto"/>
              <w:right w:val="single" w:sz="4" w:space="0" w:color="auto"/>
            </w:tcBorders>
            <w:shd w:val="clear" w:color="auto" w:fill="auto"/>
            <w:noWrap/>
            <w:vAlign w:val="center"/>
            <w:hideMark/>
          </w:tcPr>
          <w:p w14:paraId="073CAB6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51176785</w:t>
            </w:r>
          </w:p>
        </w:tc>
        <w:tc>
          <w:tcPr>
            <w:tcW w:w="3360" w:type="pct"/>
            <w:tcBorders>
              <w:top w:val="nil"/>
              <w:left w:val="nil"/>
              <w:bottom w:val="single" w:sz="4" w:space="0" w:color="auto"/>
              <w:right w:val="single" w:sz="4" w:space="0" w:color="auto"/>
            </w:tcBorders>
            <w:shd w:val="clear" w:color="auto" w:fill="auto"/>
            <w:vAlign w:val="center"/>
            <w:hideMark/>
          </w:tcPr>
          <w:p w14:paraId="3D874CA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ZAVOD DIGITALNO INOVACIJSKO STIČIŠČE SLOVENIJE</w:t>
            </w:r>
          </w:p>
        </w:tc>
      </w:tr>
      <w:tr w:rsidR="00E3750C" w:rsidRPr="00415AB3" w14:paraId="6D9E37F6"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F11868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2058</w:t>
            </w:r>
          </w:p>
        </w:tc>
        <w:tc>
          <w:tcPr>
            <w:tcW w:w="705" w:type="pct"/>
            <w:tcBorders>
              <w:top w:val="nil"/>
              <w:left w:val="nil"/>
              <w:bottom w:val="single" w:sz="4" w:space="0" w:color="auto"/>
              <w:right w:val="single" w:sz="4" w:space="0" w:color="auto"/>
            </w:tcBorders>
            <w:shd w:val="clear" w:color="auto" w:fill="auto"/>
            <w:noWrap/>
            <w:vAlign w:val="center"/>
            <w:hideMark/>
          </w:tcPr>
          <w:p w14:paraId="5E63056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2212358000</w:t>
            </w:r>
          </w:p>
        </w:tc>
        <w:tc>
          <w:tcPr>
            <w:tcW w:w="547" w:type="pct"/>
            <w:tcBorders>
              <w:top w:val="nil"/>
              <w:left w:val="nil"/>
              <w:bottom w:val="single" w:sz="4" w:space="0" w:color="auto"/>
              <w:right w:val="single" w:sz="4" w:space="0" w:color="auto"/>
            </w:tcBorders>
            <w:shd w:val="clear" w:color="auto" w:fill="auto"/>
            <w:noWrap/>
            <w:vAlign w:val="center"/>
            <w:hideMark/>
          </w:tcPr>
          <w:p w14:paraId="17D3B70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58743359</w:t>
            </w:r>
          </w:p>
        </w:tc>
        <w:tc>
          <w:tcPr>
            <w:tcW w:w="3360" w:type="pct"/>
            <w:tcBorders>
              <w:top w:val="nil"/>
              <w:left w:val="nil"/>
              <w:bottom w:val="single" w:sz="4" w:space="0" w:color="auto"/>
              <w:right w:val="single" w:sz="4" w:space="0" w:color="auto"/>
            </w:tcBorders>
            <w:shd w:val="clear" w:color="auto" w:fill="auto"/>
            <w:vAlign w:val="center"/>
            <w:hideMark/>
          </w:tcPr>
          <w:p w14:paraId="3020991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ZAVOD ENERGETSKA AGENCIJA ZA SAVINJSKO, ŠALEŠKO IN KOROŠKO, VELENJE</w:t>
            </w:r>
          </w:p>
        </w:tc>
      </w:tr>
      <w:tr w:rsidR="00E3750C" w:rsidRPr="00415AB3" w14:paraId="0A74CDF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9D5B71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2059</w:t>
            </w:r>
          </w:p>
        </w:tc>
        <w:tc>
          <w:tcPr>
            <w:tcW w:w="705" w:type="pct"/>
            <w:tcBorders>
              <w:top w:val="nil"/>
              <w:left w:val="nil"/>
              <w:bottom w:val="single" w:sz="4" w:space="0" w:color="auto"/>
              <w:right w:val="single" w:sz="4" w:space="0" w:color="auto"/>
            </w:tcBorders>
            <w:shd w:val="clear" w:color="auto" w:fill="auto"/>
            <w:noWrap/>
            <w:vAlign w:val="center"/>
            <w:hideMark/>
          </w:tcPr>
          <w:p w14:paraId="46DD448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2143526000</w:t>
            </w:r>
          </w:p>
        </w:tc>
        <w:tc>
          <w:tcPr>
            <w:tcW w:w="547" w:type="pct"/>
            <w:tcBorders>
              <w:top w:val="nil"/>
              <w:left w:val="nil"/>
              <w:bottom w:val="single" w:sz="4" w:space="0" w:color="auto"/>
              <w:right w:val="single" w:sz="4" w:space="0" w:color="auto"/>
            </w:tcBorders>
            <w:shd w:val="clear" w:color="auto" w:fill="auto"/>
            <w:noWrap/>
            <w:vAlign w:val="center"/>
            <w:hideMark/>
          </w:tcPr>
          <w:p w14:paraId="319A7C6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63246147</w:t>
            </w:r>
          </w:p>
        </w:tc>
        <w:tc>
          <w:tcPr>
            <w:tcW w:w="3360" w:type="pct"/>
            <w:tcBorders>
              <w:top w:val="nil"/>
              <w:left w:val="nil"/>
              <w:bottom w:val="single" w:sz="4" w:space="0" w:color="auto"/>
              <w:right w:val="single" w:sz="4" w:space="0" w:color="auto"/>
            </w:tcBorders>
            <w:shd w:val="clear" w:color="auto" w:fill="auto"/>
            <w:vAlign w:val="center"/>
            <w:hideMark/>
          </w:tcPr>
          <w:p w14:paraId="0EA27BD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ZAVOD IVANA CANKARJA ZA KULTURO, ŠPORT IN TURIZEM VRHNIKA</w:t>
            </w:r>
          </w:p>
        </w:tc>
      </w:tr>
      <w:tr w:rsidR="00E3750C" w:rsidRPr="00415AB3" w14:paraId="751BBB7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E0DD8F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2060</w:t>
            </w:r>
          </w:p>
        </w:tc>
        <w:tc>
          <w:tcPr>
            <w:tcW w:w="705" w:type="pct"/>
            <w:tcBorders>
              <w:top w:val="nil"/>
              <w:left w:val="nil"/>
              <w:bottom w:val="single" w:sz="4" w:space="0" w:color="auto"/>
              <w:right w:val="single" w:sz="4" w:space="0" w:color="auto"/>
            </w:tcBorders>
            <w:shd w:val="clear" w:color="auto" w:fill="auto"/>
            <w:noWrap/>
            <w:vAlign w:val="center"/>
            <w:hideMark/>
          </w:tcPr>
          <w:p w14:paraId="344A497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5022959000</w:t>
            </w:r>
          </w:p>
        </w:tc>
        <w:tc>
          <w:tcPr>
            <w:tcW w:w="547" w:type="pct"/>
            <w:tcBorders>
              <w:top w:val="nil"/>
              <w:left w:val="nil"/>
              <w:bottom w:val="single" w:sz="4" w:space="0" w:color="auto"/>
              <w:right w:val="single" w:sz="4" w:space="0" w:color="auto"/>
            </w:tcBorders>
            <w:shd w:val="clear" w:color="auto" w:fill="auto"/>
            <w:noWrap/>
            <w:vAlign w:val="center"/>
            <w:hideMark/>
          </w:tcPr>
          <w:p w14:paraId="20F10EC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34375848</w:t>
            </w:r>
          </w:p>
        </w:tc>
        <w:tc>
          <w:tcPr>
            <w:tcW w:w="3360" w:type="pct"/>
            <w:tcBorders>
              <w:top w:val="nil"/>
              <w:left w:val="nil"/>
              <w:bottom w:val="single" w:sz="4" w:space="0" w:color="auto"/>
              <w:right w:val="single" w:sz="4" w:space="0" w:color="auto"/>
            </w:tcBorders>
            <w:shd w:val="clear" w:color="auto" w:fill="auto"/>
            <w:vAlign w:val="center"/>
            <w:hideMark/>
          </w:tcPr>
          <w:p w14:paraId="5ACFE89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ZAVOD REPUBLIKE SLOVENIJE ZA BLAGOVNE REZERVE</w:t>
            </w:r>
          </w:p>
        </w:tc>
      </w:tr>
      <w:tr w:rsidR="00E3750C" w:rsidRPr="00415AB3" w14:paraId="69E53D95"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3F34AF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2061</w:t>
            </w:r>
          </w:p>
        </w:tc>
        <w:tc>
          <w:tcPr>
            <w:tcW w:w="705" w:type="pct"/>
            <w:tcBorders>
              <w:top w:val="nil"/>
              <w:left w:val="nil"/>
              <w:bottom w:val="single" w:sz="4" w:space="0" w:color="auto"/>
              <w:right w:val="single" w:sz="4" w:space="0" w:color="auto"/>
            </w:tcBorders>
            <w:shd w:val="clear" w:color="auto" w:fill="auto"/>
            <w:noWrap/>
            <w:vAlign w:val="center"/>
            <w:hideMark/>
          </w:tcPr>
          <w:p w14:paraId="679019C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1594451000</w:t>
            </w:r>
          </w:p>
        </w:tc>
        <w:tc>
          <w:tcPr>
            <w:tcW w:w="547" w:type="pct"/>
            <w:tcBorders>
              <w:top w:val="nil"/>
              <w:left w:val="nil"/>
              <w:bottom w:val="single" w:sz="4" w:space="0" w:color="auto"/>
              <w:right w:val="single" w:sz="4" w:space="0" w:color="auto"/>
            </w:tcBorders>
            <w:shd w:val="clear" w:color="auto" w:fill="auto"/>
            <w:noWrap/>
            <w:vAlign w:val="center"/>
            <w:hideMark/>
          </w:tcPr>
          <w:p w14:paraId="1E39FA0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53164563</w:t>
            </w:r>
          </w:p>
        </w:tc>
        <w:tc>
          <w:tcPr>
            <w:tcW w:w="3360" w:type="pct"/>
            <w:tcBorders>
              <w:top w:val="nil"/>
              <w:left w:val="nil"/>
              <w:bottom w:val="single" w:sz="4" w:space="0" w:color="auto"/>
              <w:right w:val="single" w:sz="4" w:space="0" w:color="auto"/>
            </w:tcBorders>
            <w:shd w:val="clear" w:color="auto" w:fill="auto"/>
            <w:vAlign w:val="center"/>
            <w:hideMark/>
          </w:tcPr>
          <w:p w14:paraId="3138C4D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ZAVOD REPUBLIKE SLOVENIJE ZA PRESADITVE ORGANOV IN TKIV SLOVENIJA TRANSPLANT</w:t>
            </w:r>
          </w:p>
        </w:tc>
      </w:tr>
      <w:tr w:rsidR="00E3750C" w:rsidRPr="00415AB3" w14:paraId="35C033D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A785B2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2062</w:t>
            </w:r>
          </w:p>
        </w:tc>
        <w:tc>
          <w:tcPr>
            <w:tcW w:w="705" w:type="pct"/>
            <w:tcBorders>
              <w:top w:val="nil"/>
              <w:left w:val="nil"/>
              <w:bottom w:val="single" w:sz="4" w:space="0" w:color="auto"/>
              <w:right w:val="single" w:sz="4" w:space="0" w:color="auto"/>
            </w:tcBorders>
            <w:shd w:val="clear" w:color="auto" w:fill="auto"/>
            <w:noWrap/>
            <w:vAlign w:val="center"/>
            <w:hideMark/>
          </w:tcPr>
          <w:p w14:paraId="164E328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5911338000</w:t>
            </w:r>
          </w:p>
        </w:tc>
        <w:tc>
          <w:tcPr>
            <w:tcW w:w="547" w:type="pct"/>
            <w:tcBorders>
              <w:top w:val="nil"/>
              <w:left w:val="nil"/>
              <w:bottom w:val="single" w:sz="4" w:space="0" w:color="auto"/>
              <w:right w:val="single" w:sz="4" w:space="0" w:color="auto"/>
            </w:tcBorders>
            <w:shd w:val="clear" w:color="auto" w:fill="auto"/>
            <w:noWrap/>
            <w:vAlign w:val="center"/>
            <w:hideMark/>
          </w:tcPr>
          <w:p w14:paraId="50F5177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43696767</w:t>
            </w:r>
          </w:p>
        </w:tc>
        <w:tc>
          <w:tcPr>
            <w:tcW w:w="3360" w:type="pct"/>
            <w:tcBorders>
              <w:top w:val="nil"/>
              <w:left w:val="nil"/>
              <w:bottom w:val="single" w:sz="4" w:space="0" w:color="auto"/>
              <w:right w:val="single" w:sz="4" w:space="0" w:color="auto"/>
            </w:tcBorders>
            <w:shd w:val="clear" w:color="auto" w:fill="auto"/>
            <w:vAlign w:val="center"/>
            <w:hideMark/>
          </w:tcPr>
          <w:p w14:paraId="659239C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ZAVOD REPUBLIKE SLOVENIJE ZA ŠOLSTVO</w:t>
            </w:r>
          </w:p>
        </w:tc>
      </w:tr>
      <w:tr w:rsidR="00E3750C" w:rsidRPr="00415AB3" w14:paraId="1540C66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9913B5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2063</w:t>
            </w:r>
          </w:p>
        </w:tc>
        <w:tc>
          <w:tcPr>
            <w:tcW w:w="705" w:type="pct"/>
            <w:tcBorders>
              <w:top w:val="nil"/>
              <w:left w:val="nil"/>
              <w:bottom w:val="single" w:sz="4" w:space="0" w:color="auto"/>
              <w:right w:val="single" w:sz="4" w:space="0" w:color="auto"/>
            </w:tcBorders>
            <w:shd w:val="clear" w:color="auto" w:fill="auto"/>
            <w:noWrap/>
            <w:vAlign w:val="center"/>
            <w:hideMark/>
          </w:tcPr>
          <w:p w14:paraId="439F0F1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5053960000</w:t>
            </w:r>
          </w:p>
        </w:tc>
        <w:tc>
          <w:tcPr>
            <w:tcW w:w="547" w:type="pct"/>
            <w:tcBorders>
              <w:top w:val="nil"/>
              <w:left w:val="nil"/>
              <w:bottom w:val="single" w:sz="4" w:space="0" w:color="auto"/>
              <w:right w:val="single" w:sz="4" w:space="0" w:color="auto"/>
            </w:tcBorders>
            <w:shd w:val="clear" w:color="auto" w:fill="auto"/>
            <w:noWrap/>
            <w:vAlign w:val="center"/>
            <w:hideMark/>
          </w:tcPr>
          <w:p w14:paraId="4813AB7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24041262</w:t>
            </w:r>
          </w:p>
        </w:tc>
        <w:tc>
          <w:tcPr>
            <w:tcW w:w="3360" w:type="pct"/>
            <w:tcBorders>
              <w:top w:val="nil"/>
              <w:left w:val="nil"/>
              <w:bottom w:val="single" w:sz="4" w:space="0" w:color="auto"/>
              <w:right w:val="single" w:sz="4" w:space="0" w:color="auto"/>
            </w:tcBorders>
            <w:shd w:val="clear" w:color="auto" w:fill="auto"/>
            <w:vAlign w:val="center"/>
            <w:hideMark/>
          </w:tcPr>
          <w:p w14:paraId="35A4FB1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ZAVOD REPUBLIKE SLOVENIJE ZA TRANSFUZIJSKO MEDICINO</w:t>
            </w:r>
          </w:p>
        </w:tc>
      </w:tr>
      <w:tr w:rsidR="00E3750C" w:rsidRPr="00415AB3" w14:paraId="238B150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107D6E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2064</w:t>
            </w:r>
          </w:p>
        </w:tc>
        <w:tc>
          <w:tcPr>
            <w:tcW w:w="705" w:type="pct"/>
            <w:tcBorders>
              <w:top w:val="nil"/>
              <w:left w:val="nil"/>
              <w:bottom w:val="single" w:sz="4" w:space="0" w:color="auto"/>
              <w:right w:val="single" w:sz="4" w:space="0" w:color="auto"/>
            </w:tcBorders>
            <w:shd w:val="clear" w:color="auto" w:fill="auto"/>
            <w:noWrap/>
            <w:vAlign w:val="center"/>
            <w:hideMark/>
          </w:tcPr>
          <w:p w14:paraId="54CC16F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1684884000</w:t>
            </w:r>
          </w:p>
        </w:tc>
        <w:tc>
          <w:tcPr>
            <w:tcW w:w="547" w:type="pct"/>
            <w:tcBorders>
              <w:top w:val="nil"/>
              <w:left w:val="nil"/>
              <w:bottom w:val="single" w:sz="4" w:space="0" w:color="auto"/>
              <w:right w:val="single" w:sz="4" w:space="0" w:color="auto"/>
            </w:tcBorders>
            <w:shd w:val="clear" w:color="auto" w:fill="auto"/>
            <w:noWrap/>
            <w:vAlign w:val="center"/>
            <w:hideMark/>
          </w:tcPr>
          <w:p w14:paraId="3499BA4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53845285</w:t>
            </w:r>
          </w:p>
        </w:tc>
        <w:tc>
          <w:tcPr>
            <w:tcW w:w="3360" w:type="pct"/>
            <w:tcBorders>
              <w:top w:val="nil"/>
              <w:left w:val="nil"/>
              <w:bottom w:val="single" w:sz="4" w:space="0" w:color="auto"/>
              <w:right w:val="single" w:sz="4" w:space="0" w:color="auto"/>
            </w:tcBorders>
            <w:shd w:val="clear" w:color="auto" w:fill="auto"/>
            <w:vAlign w:val="center"/>
            <w:hideMark/>
          </w:tcPr>
          <w:p w14:paraId="088CFB2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ZAVOD REPUBLIKE SLOVENIJE ZA VARSTVO NARAVE</w:t>
            </w:r>
          </w:p>
        </w:tc>
      </w:tr>
      <w:tr w:rsidR="00E3750C" w:rsidRPr="00415AB3" w14:paraId="2121548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9B37B6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2065</w:t>
            </w:r>
          </w:p>
        </w:tc>
        <w:tc>
          <w:tcPr>
            <w:tcW w:w="705" w:type="pct"/>
            <w:tcBorders>
              <w:top w:val="nil"/>
              <w:left w:val="nil"/>
              <w:bottom w:val="single" w:sz="4" w:space="0" w:color="auto"/>
              <w:right w:val="single" w:sz="4" w:space="0" w:color="auto"/>
            </w:tcBorders>
            <w:shd w:val="clear" w:color="auto" w:fill="auto"/>
            <w:noWrap/>
            <w:vAlign w:val="center"/>
            <w:hideMark/>
          </w:tcPr>
          <w:p w14:paraId="6592C70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5300410000</w:t>
            </w:r>
          </w:p>
        </w:tc>
        <w:tc>
          <w:tcPr>
            <w:tcW w:w="547" w:type="pct"/>
            <w:tcBorders>
              <w:top w:val="nil"/>
              <w:left w:val="nil"/>
              <w:bottom w:val="single" w:sz="4" w:space="0" w:color="auto"/>
              <w:right w:val="single" w:sz="4" w:space="0" w:color="auto"/>
            </w:tcBorders>
            <w:shd w:val="clear" w:color="auto" w:fill="auto"/>
            <w:noWrap/>
            <w:vAlign w:val="center"/>
            <w:hideMark/>
          </w:tcPr>
          <w:p w14:paraId="4AEB68B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16669762</w:t>
            </w:r>
          </w:p>
        </w:tc>
        <w:tc>
          <w:tcPr>
            <w:tcW w:w="3360" w:type="pct"/>
            <w:tcBorders>
              <w:top w:val="nil"/>
              <w:left w:val="nil"/>
              <w:bottom w:val="single" w:sz="4" w:space="0" w:color="auto"/>
              <w:right w:val="single" w:sz="4" w:space="0" w:color="auto"/>
            </w:tcBorders>
            <w:shd w:val="clear" w:color="auto" w:fill="auto"/>
            <w:vAlign w:val="center"/>
            <w:hideMark/>
          </w:tcPr>
          <w:p w14:paraId="441CD4E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ZAVOD REPUBLIKE SLOVENIJE ZA ZAPOSLOVANJE</w:t>
            </w:r>
          </w:p>
        </w:tc>
      </w:tr>
      <w:tr w:rsidR="00E3750C" w:rsidRPr="00415AB3" w14:paraId="6ECF17F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6B47D0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2066</w:t>
            </w:r>
          </w:p>
        </w:tc>
        <w:tc>
          <w:tcPr>
            <w:tcW w:w="705" w:type="pct"/>
            <w:tcBorders>
              <w:top w:val="nil"/>
              <w:left w:val="nil"/>
              <w:bottom w:val="single" w:sz="4" w:space="0" w:color="auto"/>
              <w:right w:val="single" w:sz="4" w:space="0" w:color="auto"/>
            </w:tcBorders>
            <w:shd w:val="clear" w:color="auto" w:fill="auto"/>
            <w:noWrap/>
            <w:vAlign w:val="center"/>
            <w:hideMark/>
          </w:tcPr>
          <w:p w14:paraId="252C97E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5537711000</w:t>
            </w:r>
          </w:p>
        </w:tc>
        <w:tc>
          <w:tcPr>
            <w:tcW w:w="547" w:type="pct"/>
            <w:tcBorders>
              <w:top w:val="nil"/>
              <w:left w:val="nil"/>
              <w:bottom w:val="single" w:sz="4" w:space="0" w:color="auto"/>
              <w:right w:val="single" w:sz="4" w:space="0" w:color="auto"/>
            </w:tcBorders>
            <w:shd w:val="clear" w:color="auto" w:fill="auto"/>
            <w:noWrap/>
            <w:vAlign w:val="center"/>
            <w:hideMark/>
          </w:tcPr>
          <w:p w14:paraId="3ACB90F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91755379</w:t>
            </w:r>
          </w:p>
        </w:tc>
        <w:tc>
          <w:tcPr>
            <w:tcW w:w="3360" w:type="pct"/>
            <w:tcBorders>
              <w:top w:val="nil"/>
              <w:left w:val="nil"/>
              <w:bottom w:val="single" w:sz="4" w:space="0" w:color="auto"/>
              <w:right w:val="single" w:sz="4" w:space="0" w:color="auto"/>
            </w:tcBorders>
            <w:shd w:val="clear" w:color="auto" w:fill="auto"/>
            <w:vAlign w:val="center"/>
            <w:hideMark/>
          </w:tcPr>
          <w:p w14:paraId="2E863C9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ZAVOD ZA GASILNO IN REŠEVALNO SLUŽBO SEŽANA</w:t>
            </w:r>
          </w:p>
        </w:tc>
      </w:tr>
      <w:tr w:rsidR="00E3750C" w:rsidRPr="00415AB3" w14:paraId="777CAA9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9D63D0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2067</w:t>
            </w:r>
          </w:p>
        </w:tc>
        <w:tc>
          <w:tcPr>
            <w:tcW w:w="705" w:type="pct"/>
            <w:tcBorders>
              <w:top w:val="nil"/>
              <w:left w:val="nil"/>
              <w:bottom w:val="single" w:sz="4" w:space="0" w:color="auto"/>
              <w:right w:val="single" w:sz="4" w:space="0" w:color="auto"/>
            </w:tcBorders>
            <w:shd w:val="clear" w:color="auto" w:fill="auto"/>
            <w:noWrap/>
            <w:vAlign w:val="center"/>
            <w:hideMark/>
          </w:tcPr>
          <w:p w14:paraId="4AF05D0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5695252000</w:t>
            </w:r>
          </w:p>
        </w:tc>
        <w:tc>
          <w:tcPr>
            <w:tcW w:w="547" w:type="pct"/>
            <w:tcBorders>
              <w:top w:val="nil"/>
              <w:left w:val="nil"/>
              <w:bottom w:val="single" w:sz="4" w:space="0" w:color="auto"/>
              <w:right w:val="single" w:sz="4" w:space="0" w:color="auto"/>
            </w:tcBorders>
            <w:shd w:val="clear" w:color="auto" w:fill="auto"/>
            <w:noWrap/>
            <w:vAlign w:val="center"/>
            <w:hideMark/>
          </w:tcPr>
          <w:p w14:paraId="022CEE4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57421838</w:t>
            </w:r>
          </w:p>
        </w:tc>
        <w:tc>
          <w:tcPr>
            <w:tcW w:w="3360" w:type="pct"/>
            <w:tcBorders>
              <w:top w:val="nil"/>
              <w:left w:val="nil"/>
              <w:bottom w:val="single" w:sz="4" w:space="0" w:color="auto"/>
              <w:right w:val="single" w:sz="4" w:space="0" w:color="auto"/>
            </w:tcBorders>
            <w:shd w:val="clear" w:color="auto" w:fill="auto"/>
            <w:vAlign w:val="center"/>
            <w:hideMark/>
          </w:tcPr>
          <w:p w14:paraId="10BE818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ZAVOD ZA GLUHE IN NAGLUŠNE LJUBLJANA</w:t>
            </w:r>
          </w:p>
        </w:tc>
      </w:tr>
      <w:tr w:rsidR="00E3750C" w:rsidRPr="00415AB3" w14:paraId="647DFE5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4A8F4F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2068</w:t>
            </w:r>
          </w:p>
        </w:tc>
        <w:tc>
          <w:tcPr>
            <w:tcW w:w="705" w:type="pct"/>
            <w:tcBorders>
              <w:top w:val="nil"/>
              <w:left w:val="nil"/>
              <w:bottom w:val="single" w:sz="4" w:space="0" w:color="auto"/>
              <w:right w:val="single" w:sz="4" w:space="0" w:color="auto"/>
            </w:tcBorders>
            <w:shd w:val="clear" w:color="auto" w:fill="auto"/>
            <w:noWrap/>
            <w:vAlign w:val="center"/>
            <w:hideMark/>
          </w:tcPr>
          <w:p w14:paraId="60CB664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5786380000</w:t>
            </w:r>
          </w:p>
        </w:tc>
        <w:tc>
          <w:tcPr>
            <w:tcW w:w="547" w:type="pct"/>
            <w:tcBorders>
              <w:top w:val="nil"/>
              <w:left w:val="nil"/>
              <w:bottom w:val="single" w:sz="4" w:space="0" w:color="auto"/>
              <w:right w:val="single" w:sz="4" w:space="0" w:color="auto"/>
            </w:tcBorders>
            <w:shd w:val="clear" w:color="auto" w:fill="auto"/>
            <w:noWrap/>
            <w:vAlign w:val="center"/>
            <w:hideMark/>
          </w:tcPr>
          <w:p w14:paraId="761E850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91496080</w:t>
            </w:r>
          </w:p>
        </w:tc>
        <w:tc>
          <w:tcPr>
            <w:tcW w:w="3360" w:type="pct"/>
            <w:tcBorders>
              <w:top w:val="nil"/>
              <w:left w:val="nil"/>
              <w:bottom w:val="single" w:sz="4" w:space="0" w:color="auto"/>
              <w:right w:val="single" w:sz="4" w:space="0" w:color="auto"/>
            </w:tcBorders>
            <w:shd w:val="clear" w:color="auto" w:fill="auto"/>
            <w:vAlign w:val="center"/>
            <w:hideMark/>
          </w:tcPr>
          <w:p w14:paraId="0BE17CD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ZAVOD ZA GOZDOVE SLOVENIJE</w:t>
            </w:r>
          </w:p>
        </w:tc>
      </w:tr>
      <w:tr w:rsidR="00E3750C" w:rsidRPr="00415AB3" w14:paraId="2065532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0944EF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2069</w:t>
            </w:r>
          </w:p>
        </w:tc>
        <w:tc>
          <w:tcPr>
            <w:tcW w:w="705" w:type="pct"/>
            <w:tcBorders>
              <w:top w:val="nil"/>
              <w:left w:val="nil"/>
              <w:bottom w:val="single" w:sz="4" w:space="0" w:color="auto"/>
              <w:right w:val="single" w:sz="4" w:space="0" w:color="auto"/>
            </w:tcBorders>
            <w:shd w:val="clear" w:color="auto" w:fill="auto"/>
            <w:noWrap/>
            <w:vAlign w:val="center"/>
            <w:hideMark/>
          </w:tcPr>
          <w:p w14:paraId="64A5318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5866324000</w:t>
            </w:r>
          </w:p>
        </w:tc>
        <w:tc>
          <w:tcPr>
            <w:tcW w:w="547" w:type="pct"/>
            <w:tcBorders>
              <w:top w:val="nil"/>
              <w:left w:val="nil"/>
              <w:bottom w:val="single" w:sz="4" w:space="0" w:color="auto"/>
              <w:right w:val="single" w:sz="4" w:space="0" w:color="auto"/>
            </w:tcBorders>
            <w:shd w:val="clear" w:color="auto" w:fill="auto"/>
            <w:noWrap/>
            <w:vAlign w:val="center"/>
            <w:hideMark/>
          </w:tcPr>
          <w:p w14:paraId="3069771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43950019</w:t>
            </w:r>
          </w:p>
        </w:tc>
        <w:tc>
          <w:tcPr>
            <w:tcW w:w="3360" w:type="pct"/>
            <w:tcBorders>
              <w:top w:val="nil"/>
              <w:left w:val="nil"/>
              <w:bottom w:val="single" w:sz="4" w:space="0" w:color="auto"/>
              <w:right w:val="single" w:sz="4" w:space="0" w:color="auto"/>
            </w:tcBorders>
            <w:shd w:val="clear" w:color="auto" w:fill="auto"/>
            <w:vAlign w:val="center"/>
            <w:hideMark/>
          </w:tcPr>
          <w:p w14:paraId="590B451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ZAVOD ZA GRADBENIŠTVO SLOVENIJE</w:t>
            </w:r>
          </w:p>
        </w:tc>
      </w:tr>
      <w:tr w:rsidR="00E3750C" w:rsidRPr="00415AB3" w14:paraId="5012E38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A32C41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2070</w:t>
            </w:r>
          </w:p>
        </w:tc>
        <w:tc>
          <w:tcPr>
            <w:tcW w:w="705" w:type="pct"/>
            <w:tcBorders>
              <w:top w:val="nil"/>
              <w:left w:val="nil"/>
              <w:bottom w:val="single" w:sz="4" w:space="0" w:color="auto"/>
              <w:right w:val="single" w:sz="4" w:space="0" w:color="auto"/>
            </w:tcBorders>
            <w:shd w:val="clear" w:color="auto" w:fill="auto"/>
            <w:noWrap/>
            <w:vAlign w:val="center"/>
            <w:hideMark/>
          </w:tcPr>
          <w:p w14:paraId="3898D16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5052467000</w:t>
            </w:r>
          </w:p>
        </w:tc>
        <w:tc>
          <w:tcPr>
            <w:tcW w:w="547" w:type="pct"/>
            <w:tcBorders>
              <w:top w:val="nil"/>
              <w:left w:val="nil"/>
              <w:bottom w:val="single" w:sz="4" w:space="0" w:color="auto"/>
              <w:right w:val="single" w:sz="4" w:space="0" w:color="auto"/>
            </w:tcBorders>
            <w:shd w:val="clear" w:color="auto" w:fill="auto"/>
            <w:noWrap/>
            <w:vAlign w:val="center"/>
            <w:hideMark/>
          </w:tcPr>
          <w:p w14:paraId="59A59D8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92914730</w:t>
            </w:r>
          </w:p>
        </w:tc>
        <w:tc>
          <w:tcPr>
            <w:tcW w:w="3360" w:type="pct"/>
            <w:tcBorders>
              <w:top w:val="nil"/>
              <w:left w:val="nil"/>
              <w:bottom w:val="single" w:sz="4" w:space="0" w:color="auto"/>
              <w:right w:val="single" w:sz="4" w:space="0" w:color="auto"/>
            </w:tcBorders>
            <w:shd w:val="clear" w:color="auto" w:fill="auto"/>
            <w:vAlign w:val="center"/>
            <w:hideMark/>
          </w:tcPr>
          <w:p w14:paraId="419A1B3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ZAVOD ZA IZOBRAŽEVANJE IN KULTURO ČRNOMELJ</w:t>
            </w:r>
          </w:p>
        </w:tc>
      </w:tr>
      <w:tr w:rsidR="00E3750C" w:rsidRPr="00415AB3" w14:paraId="11CCC76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FAF5DA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2071</w:t>
            </w:r>
          </w:p>
        </w:tc>
        <w:tc>
          <w:tcPr>
            <w:tcW w:w="705" w:type="pct"/>
            <w:tcBorders>
              <w:top w:val="nil"/>
              <w:left w:val="nil"/>
              <w:bottom w:val="single" w:sz="4" w:space="0" w:color="auto"/>
              <w:right w:val="single" w:sz="4" w:space="0" w:color="auto"/>
            </w:tcBorders>
            <w:shd w:val="clear" w:color="auto" w:fill="auto"/>
            <w:noWrap/>
            <w:vAlign w:val="center"/>
            <w:hideMark/>
          </w:tcPr>
          <w:p w14:paraId="05A89E9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2144271000</w:t>
            </w:r>
          </w:p>
        </w:tc>
        <w:tc>
          <w:tcPr>
            <w:tcW w:w="547" w:type="pct"/>
            <w:tcBorders>
              <w:top w:val="nil"/>
              <w:left w:val="nil"/>
              <w:bottom w:val="single" w:sz="4" w:space="0" w:color="auto"/>
              <w:right w:val="single" w:sz="4" w:space="0" w:color="auto"/>
            </w:tcBorders>
            <w:shd w:val="clear" w:color="auto" w:fill="auto"/>
            <w:noWrap/>
            <w:vAlign w:val="center"/>
            <w:hideMark/>
          </w:tcPr>
          <w:p w14:paraId="30D804D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63893207</w:t>
            </w:r>
          </w:p>
        </w:tc>
        <w:tc>
          <w:tcPr>
            <w:tcW w:w="3360" w:type="pct"/>
            <w:tcBorders>
              <w:top w:val="nil"/>
              <w:left w:val="nil"/>
              <w:bottom w:val="single" w:sz="4" w:space="0" w:color="auto"/>
              <w:right w:val="single" w:sz="4" w:space="0" w:color="auto"/>
            </w:tcBorders>
            <w:shd w:val="clear" w:color="auto" w:fill="auto"/>
            <w:vAlign w:val="center"/>
            <w:hideMark/>
          </w:tcPr>
          <w:p w14:paraId="6A3F19C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ZAVOD ZA KULTURNE PRIREDITVE IN TURIZEM CELEIA CELJE</w:t>
            </w:r>
          </w:p>
        </w:tc>
      </w:tr>
      <w:tr w:rsidR="00E3750C" w:rsidRPr="00415AB3" w14:paraId="4CB2F76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80B7C2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2072</w:t>
            </w:r>
          </w:p>
        </w:tc>
        <w:tc>
          <w:tcPr>
            <w:tcW w:w="705" w:type="pct"/>
            <w:tcBorders>
              <w:top w:val="nil"/>
              <w:left w:val="nil"/>
              <w:bottom w:val="single" w:sz="4" w:space="0" w:color="auto"/>
              <w:right w:val="single" w:sz="4" w:space="0" w:color="auto"/>
            </w:tcBorders>
            <w:shd w:val="clear" w:color="auto" w:fill="auto"/>
            <w:noWrap/>
            <w:vAlign w:val="center"/>
            <w:hideMark/>
          </w:tcPr>
          <w:p w14:paraId="6BA7096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2062348000</w:t>
            </w:r>
          </w:p>
        </w:tc>
        <w:tc>
          <w:tcPr>
            <w:tcW w:w="547" w:type="pct"/>
            <w:tcBorders>
              <w:top w:val="nil"/>
              <w:left w:val="nil"/>
              <w:bottom w:val="single" w:sz="4" w:space="0" w:color="auto"/>
              <w:right w:val="single" w:sz="4" w:space="0" w:color="auto"/>
            </w:tcBorders>
            <w:shd w:val="clear" w:color="auto" w:fill="auto"/>
            <w:noWrap/>
            <w:vAlign w:val="center"/>
            <w:hideMark/>
          </w:tcPr>
          <w:p w14:paraId="021FE26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41694473</w:t>
            </w:r>
          </w:p>
        </w:tc>
        <w:tc>
          <w:tcPr>
            <w:tcW w:w="3360" w:type="pct"/>
            <w:tcBorders>
              <w:top w:val="nil"/>
              <w:left w:val="nil"/>
              <w:bottom w:val="single" w:sz="4" w:space="0" w:color="auto"/>
              <w:right w:val="single" w:sz="4" w:space="0" w:color="auto"/>
            </w:tcBorders>
            <w:shd w:val="clear" w:color="auto" w:fill="auto"/>
            <w:vAlign w:val="center"/>
            <w:hideMark/>
          </w:tcPr>
          <w:p w14:paraId="1C3C346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ZAVOD ZA KULTURO BLED</w:t>
            </w:r>
          </w:p>
        </w:tc>
      </w:tr>
      <w:tr w:rsidR="00E3750C" w:rsidRPr="00415AB3" w14:paraId="1501AFA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8C962A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2073</w:t>
            </w:r>
          </w:p>
        </w:tc>
        <w:tc>
          <w:tcPr>
            <w:tcW w:w="705" w:type="pct"/>
            <w:tcBorders>
              <w:top w:val="nil"/>
              <w:left w:val="nil"/>
              <w:bottom w:val="single" w:sz="4" w:space="0" w:color="auto"/>
              <w:right w:val="single" w:sz="4" w:space="0" w:color="auto"/>
            </w:tcBorders>
            <w:shd w:val="clear" w:color="auto" w:fill="auto"/>
            <w:noWrap/>
            <w:vAlign w:val="center"/>
            <w:hideMark/>
          </w:tcPr>
          <w:p w14:paraId="30D9E09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5052998000</w:t>
            </w:r>
          </w:p>
        </w:tc>
        <w:tc>
          <w:tcPr>
            <w:tcW w:w="547" w:type="pct"/>
            <w:tcBorders>
              <w:top w:val="nil"/>
              <w:left w:val="nil"/>
              <w:bottom w:val="single" w:sz="4" w:space="0" w:color="auto"/>
              <w:right w:val="single" w:sz="4" w:space="0" w:color="auto"/>
            </w:tcBorders>
            <w:shd w:val="clear" w:color="auto" w:fill="auto"/>
            <w:noWrap/>
            <w:vAlign w:val="center"/>
            <w:hideMark/>
          </w:tcPr>
          <w:p w14:paraId="318A688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81509561</w:t>
            </w:r>
          </w:p>
        </w:tc>
        <w:tc>
          <w:tcPr>
            <w:tcW w:w="3360" w:type="pct"/>
            <w:tcBorders>
              <w:top w:val="nil"/>
              <w:left w:val="nil"/>
              <w:bottom w:val="single" w:sz="4" w:space="0" w:color="auto"/>
              <w:right w:val="single" w:sz="4" w:space="0" w:color="auto"/>
            </w:tcBorders>
            <w:shd w:val="clear" w:color="auto" w:fill="auto"/>
            <w:vAlign w:val="center"/>
            <w:hideMark/>
          </w:tcPr>
          <w:p w14:paraId="25D91B8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ZAVOD ZA KULTURO DELAVSKI DOM TRBOVLJE</w:t>
            </w:r>
          </w:p>
        </w:tc>
      </w:tr>
      <w:tr w:rsidR="00E3750C" w:rsidRPr="00415AB3" w14:paraId="5AA89B5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CBCA0E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2074</w:t>
            </w:r>
          </w:p>
        </w:tc>
        <w:tc>
          <w:tcPr>
            <w:tcW w:w="705" w:type="pct"/>
            <w:tcBorders>
              <w:top w:val="nil"/>
              <w:left w:val="nil"/>
              <w:bottom w:val="single" w:sz="4" w:space="0" w:color="auto"/>
              <w:right w:val="single" w:sz="4" w:space="0" w:color="auto"/>
            </w:tcBorders>
            <w:shd w:val="clear" w:color="auto" w:fill="auto"/>
            <w:noWrap/>
            <w:vAlign w:val="center"/>
            <w:hideMark/>
          </w:tcPr>
          <w:p w14:paraId="6B76058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5823889000</w:t>
            </w:r>
          </w:p>
        </w:tc>
        <w:tc>
          <w:tcPr>
            <w:tcW w:w="547" w:type="pct"/>
            <w:tcBorders>
              <w:top w:val="nil"/>
              <w:left w:val="nil"/>
              <w:bottom w:val="single" w:sz="4" w:space="0" w:color="auto"/>
              <w:right w:val="single" w:sz="4" w:space="0" w:color="auto"/>
            </w:tcBorders>
            <w:shd w:val="clear" w:color="auto" w:fill="auto"/>
            <w:noWrap/>
            <w:vAlign w:val="center"/>
            <w:hideMark/>
          </w:tcPr>
          <w:p w14:paraId="29BEE1B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11349727</w:t>
            </w:r>
          </w:p>
        </w:tc>
        <w:tc>
          <w:tcPr>
            <w:tcW w:w="3360" w:type="pct"/>
            <w:tcBorders>
              <w:top w:val="nil"/>
              <w:left w:val="nil"/>
              <w:bottom w:val="single" w:sz="4" w:space="0" w:color="auto"/>
              <w:right w:val="single" w:sz="4" w:space="0" w:color="auto"/>
            </w:tcBorders>
            <w:shd w:val="clear" w:color="auto" w:fill="auto"/>
            <w:vAlign w:val="center"/>
            <w:hideMark/>
          </w:tcPr>
          <w:p w14:paraId="1AE4E81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ZAVOD ZA KULTURO MADŽARSKE NARODNOSTI LENDAVA</w:t>
            </w:r>
          </w:p>
        </w:tc>
      </w:tr>
      <w:tr w:rsidR="00E3750C" w:rsidRPr="00415AB3" w14:paraId="6233934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15B278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2075</w:t>
            </w:r>
          </w:p>
        </w:tc>
        <w:tc>
          <w:tcPr>
            <w:tcW w:w="705" w:type="pct"/>
            <w:tcBorders>
              <w:top w:val="nil"/>
              <w:left w:val="nil"/>
              <w:bottom w:val="single" w:sz="4" w:space="0" w:color="auto"/>
              <w:right w:val="single" w:sz="4" w:space="0" w:color="auto"/>
            </w:tcBorders>
            <w:shd w:val="clear" w:color="auto" w:fill="auto"/>
            <w:noWrap/>
            <w:vAlign w:val="center"/>
            <w:hideMark/>
          </w:tcPr>
          <w:p w14:paraId="71091DB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1708805000</w:t>
            </w:r>
          </w:p>
        </w:tc>
        <w:tc>
          <w:tcPr>
            <w:tcW w:w="547" w:type="pct"/>
            <w:tcBorders>
              <w:top w:val="nil"/>
              <w:left w:val="nil"/>
              <w:bottom w:val="single" w:sz="4" w:space="0" w:color="auto"/>
              <w:right w:val="single" w:sz="4" w:space="0" w:color="auto"/>
            </w:tcBorders>
            <w:shd w:val="clear" w:color="auto" w:fill="auto"/>
            <w:noWrap/>
            <w:vAlign w:val="center"/>
            <w:hideMark/>
          </w:tcPr>
          <w:p w14:paraId="05C6F3D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40351599</w:t>
            </w:r>
          </w:p>
        </w:tc>
        <w:tc>
          <w:tcPr>
            <w:tcW w:w="3360" w:type="pct"/>
            <w:tcBorders>
              <w:top w:val="nil"/>
              <w:left w:val="nil"/>
              <w:bottom w:val="single" w:sz="4" w:space="0" w:color="auto"/>
              <w:right w:val="single" w:sz="4" w:space="0" w:color="auto"/>
            </w:tcBorders>
            <w:shd w:val="clear" w:color="auto" w:fill="auto"/>
            <w:vAlign w:val="center"/>
            <w:hideMark/>
          </w:tcPr>
          <w:p w14:paraId="3C8555A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ZAVOD ZA KULTURO ŠOŠTANJ</w:t>
            </w:r>
          </w:p>
        </w:tc>
      </w:tr>
      <w:tr w:rsidR="00E3750C" w:rsidRPr="00415AB3" w14:paraId="5346511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FA5D9B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2076</w:t>
            </w:r>
          </w:p>
        </w:tc>
        <w:tc>
          <w:tcPr>
            <w:tcW w:w="705" w:type="pct"/>
            <w:tcBorders>
              <w:top w:val="nil"/>
              <w:left w:val="nil"/>
              <w:bottom w:val="single" w:sz="4" w:space="0" w:color="auto"/>
              <w:right w:val="single" w:sz="4" w:space="0" w:color="auto"/>
            </w:tcBorders>
            <w:shd w:val="clear" w:color="auto" w:fill="auto"/>
            <w:noWrap/>
            <w:vAlign w:val="center"/>
            <w:hideMark/>
          </w:tcPr>
          <w:p w14:paraId="489D3F6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3726843000</w:t>
            </w:r>
          </w:p>
        </w:tc>
        <w:tc>
          <w:tcPr>
            <w:tcW w:w="547" w:type="pct"/>
            <w:tcBorders>
              <w:top w:val="nil"/>
              <w:left w:val="nil"/>
              <w:bottom w:val="single" w:sz="4" w:space="0" w:color="auto"/>
              <w:right w:val="single" w:sz="4" w:space="0" w:color="auto"/>
            </w:tcBorders>
            <w:shd w:val="clear" w:color="auto" w:fill="auto"/>
            <w:noWrap/>
            <w:vAlign w:val="center"/>
            <w:hideMark/>
          </w:tcPr>
          <w:p w14:paraId="5396460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56481667</w:t>
            </w:r>
          </w:p>
        </w:tc>
        <w:tc>
          <w:tcPr>
            <w:tcW w:w="3360" w:type="pct"/>
            <w:tcBorders>
              <w:top w:val="nil"/>
              <w:left w:val="nil"/>
              <w:bottom w:val="single" w:sz="4" w:space="0" w:color="auto"/>
              <w:right w:val="single" w:sz="4" w:space="0" w:color="auto"/>
            </w:tcBorders>
            <w:shd w:val="clear" w:color="auto" w:fill="auto"/>
            <w:vAlign w:val="center"/>
            <w:hideMark/>
          </w:tcPr>
          <w:p w14:paraId="4709852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ZAVOD ZA KULTURO, TURIZEM IN ŠPORT MURSKA SOBOTA</w:t>
            </w:r>
          </w:p>
        </w:tc>
      </w:tr>
      <w:tr w:rsidR="00E3750C" w:rsidRPr="00415AB3" w14:paraId="1CFA8A5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BA16EA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2077</w:t>
            </w:r>
          </w:p>
        </w:tc>
        <w:tc>
          <w:tcPr>
            <w:tcW w:w="705" w:type="pct"/>
            <w:tcBorders>
              <w:top w:val="nil"/>
              <w:left w:val="nil"/>
              <w:bottom w:val="single" w:sz="4" w:space="0" w:color="auto"/>
              <w:right w:val="single" w:sz="4" w:space="0" w:color="auto"/>
            </w:tcBorders>
            <w:shd w:val="clear" w:color="auto" w:fill="auto"/>
            <w:noWrap/>
            <w:vAlign w:val="center"/>
            <w:hideMark/>
          </w:tcPr>
          <w:p w14:paraId="0B1E658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1695703000</w:t>
            </w:r>
          </w:p>
        </w:tc>
        <w:tc>
          <w:tcPr>
            <w:tcW w:w="547" w:type="pct"/>
            <w:tcBorders>
              <w:top w:val="nil"/>
              <w:left w:val="nil"/>
              <w:bottom w:val="single" w:sz="4" w:space="0" w:color="auto"/>
              <w:right w:val="single" w:sz="4" w:space="0" w:color="auto"/>
            </w:tcBorders>
            <w:shd w:val="clear" w:color="auto" w:fill="auto"/>
            <w:noWrap/>
            <w:vAlign w:val="center"/>
            <w:hideMark/>
          </w:tcPr>
          <w:p w14:paraId="28294DE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23047399</w:t>
            </w:r>
          </w:p>
        </w:tc>
        <w:tc>
          <w:tcPr>
            <w:tcW w:w="3360" w:type="pct"/>
            <w:tcBorders>
              <w:top w:val="nil"/>
              <w:left w:val="nil"/>
              <w:bottom w:val="single" w:sz="4" w:space="0" w:color="auto"/>
              <w:right w:val="single" w:sz="4" w:space="0" w:color="auto"/>
            </w:tcBorders>
            <w:shd w:val="clear" w:color="auto" w:fill="auto"/>
            <w:vAlign w:val="center"/>
            <w:hideMark/>
          </w:tcPr>
          <w:p w14:paraId="539F2FD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ZAVOD ZA KULTURO, TURIZEM IN ŠPORT VRANSKO</w:t>
            </w:r>
          </w:p>
        </w:tc>
      </w:tr>
      <w:tr w:rsidR="00E3750C" w:rsidRPr="00415AB3" w14:paraId="3F65B50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29B146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2078</w:t>
            </w:r>
          </w:p>
        </w:tc>
        <w:tc>
          <w:tcPr>
            <w:tcW w:w="705" w:type="pct"/>
            <w:tcBorders>
              <w:top w:val="nil"/>
              <w:left w:val="nil"/>
              <w:bottom w:val="single" w:sz="4" w:space="0" w:color="auto"/>
              <w:right w:val="single" w:sz="4" w:space="0" w:color="auto"/>
            </w:tcBorders>
            <w:shd w:val="clear" w:color="auto" w:fill="auto"/>
            <w:noWrap/>
            <w:vAlign w:val="center"/>
            <w:hideMark/>
          </w:tcPr>
          <w:p w14:paraId="2269E47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1624288000</w:t>
            </w:r>
          </w:p>
        </w:tc>
        <w:tc>
          <w:tcPr>
            <w:tcW w:w="547" w:type="pct"/>
            <w:tcBorders>
              <w:top w:val="nil"/>
              <w:left w:val="nil"/>
              <w:bottom w:val="single" w:sz="4" w:space="0" w:color="auto"/>
              <w:right w:val="single" w:sz="4" w:space="0" w:color="auto"/>
            </w:tcBorders>
            <w:shd w:val="clear" w:color="auto" w:fill="auto"/>
            <w:noWrap/>
            <w:vAlign w:val="center"/>
            <w:hideMark/>
          </w:tcPr>
          <w:p w14:paraId="536DB20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30498953</w:t>
            </w:r>
          </w:p>
        </w:tc>
        <w:tc>
          <w:tcPr>
            <w:tcW w:w="3360" w:type="pct"/>
            <w:tcBorders>
              <w:top w:val="nil"/>
              <w:left w:val="nil"/>
              <w:bottom w:val="single" w:sz="4" w:space="0" w:color="auto"/>
              <w:right w:val="single" w:sz="4" w:space="0" w:color="auto"/>
            </w:tcBorders>
            <w:shd w:val="clear" w:color="auto" w:fill="auto"/>
            <w:vAlign w:val="center"/>
            <w:hideMark/>
          </w:tcPr>
          <w:p w14:paraId="3253440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ZAVOD ZA MLADINO IN ŠPORT KRŠKO</w:t>
            </w:r>
          </w:p>
        </w:tc>
      </w:tr>
      <w:tr w:rsidR="00E3750C" w:rsidRPr="00415AB3" w14:paraId="2A9CE46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BDFC53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2079</w:t>
            </w:r>
          </w:p>
        </w:tc>
        <w:tc>
          <w:tcPr>
            <w:tcW w:w="705" w:type="pct"/>
            <w:tcBorders>
              <w:top w:val="nil"/>
              <w:left w:val="nil"/>
              <w:bottom w:val="single" w:sz="4" w:space="0" w:color="auto"/>
              <w:right w:val="single" w:sz="4" w:space="0" w:color="auto"/>
            </w:tcBorders>
            <w:shd w:val="clear" w:color="auto" w:fill="auto"/>
            <w:noWrap/>
            <w:vAlign w:val="center"/>
            <w:hideMark/>
          </w:tcPr>
          <w:p w14:paraId="129E5EE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8047464000</w:t>
            </w:r>
          </w:p>
        </w:tc>
        <w:tc>
          <w:tcPr>
            <w:tcW w:w="547" w:type="pct"/>
            <w:tcBorders>
              <w:top w:val="nil"/>
              <w:left w:val="nil"/>
              <w:bottom w:val="single" w:sz="4" w:space="0" w:color="auto"/>
              <w:right w:val="single" w:sz="4" w:space="0" w:color="auto"/>
            </w:tcBorders>
            <w:shd w:val="clear" w:color="auto" w:fill="auto"/>
            <w:noWrap/>
            <w:vAlign w:val="center"/>
            <w:hideMark/>
          </w:tcPr>
          <w:p w14:paraId="60AB57B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75852179</w:t>
            </w:r>
          </w:p>
        </w:tc>
        <w:tc>
          <w:tcPr>
            <w:tcW w:w="3360" w:type="pct"/>
            <w:tcBorders>
              <w:top w:val="nil"/>
              <w:left w:val="nil"/>
              <w:bottom w:val="single" w:sz="4" w:space="0" w:color="auto"/>
              <w:right w:val="single" w:sz="4" w:space="0" w:color="auto"/>
            </w:tcBorders>
            <w:shd w:val="clear" w:color="auto" w:fill="auto"/>
            <w:vAlign w:val="center"/>
            <w:hideMark/>
          </w:tcPr>
          <w:p w14:paraId="2850461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ZAVOD ZA MLADINO, KULTURO IN TURIZEM KOPER</w:t>
            </w:r>
          </w:p>
        </w:tc>
      </w:tr>
      <w:tr w:rsidR="00E3750C" w:rsidRPr="00415AB3" w14:paraId="0A72695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FF3F2C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2080</w:t>
            </w:r>
          </w:p>
        </w:tc>
        <w:tc>
          <w:tcPr>
            <w:tcW w:w="705" w:type="pct"/>
            <w:tcBorders>
              <w:top w:val="nil"/>
              <w:left w:val="nil"/>
              <w:bottom w:val="single" w:sz="4" w:space="0" w:color="auto"/>
              <w:right w:val="single" w:sz="4" w:space="0" w:color="auto"/>
            </w:tcBorders>
            <w:shd w:val="clear" w:color="auto" w:fill="auto"/>
            <w:noWrap/>
            <w:vAlign w:val="center"/>
            <w:hideMark/>
          </w:tcPr>
          <w:p w14:paraId="2CB68E1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1710923000</w:t>
            </w:r>
          </w:p>
        </w:tc>
        <w:tc>
          <w:tcPr>
            <w:tcW w:w="547" w:type="pct"/>
            <w:tcBorders>
              <w:top w:val="nil"/>
              <w:left w:val="nil"/>
              <w:bottom w:val="single" w:sz="4" w:space="0" w:color="auto"/>
              <w:right w:val="single" w:sz="4" w:space="0" w:color="auto"/>
            </w:tcBorders>
            <w:shd w:val="clear" w:color="auto" w:fill="auto"/>
            <w:noWrap/>
            <w:vAlign w:val="center"/>
            <w:hideMark/>
          </w:tcPr>
          <w:p w14:paraId="72751C1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79470408</w:t>
            </w:r>
          </w:p>
        </w:tc>
        <w:tc>
          <w:tcPr>
            <w:tcW w:w="3360" w:type="pct"/>
            <w:tcBorders>
              <w:top w:val="nil"/>
              <w:left w:val="nil"/>
              <w:bottom w:val="single" w:sz="4" w:space="0" w:color="auto"/>
              <w:right w:val="single" w:sz="4" w:space="0" w:color="auto"/>
            </w:tcBorders>
            <w:shd w:val="clear" w:color="auto" w:fill="auto"/>
            <w:vAlign w:val="center"/>
            <w:hideMark/>
          </w:tcPr>
          <w:p w14:paraId="11C33FC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ZAVOD ZA OSKRBO NA DOMU LJUBLJANA</w:t>
            </w:r>
          </w:p>
        </w:tc>
      </w:tr>
      <w:tr w:rsidR="00E3750C" w:rsidRPr="00415AB3" w14:paraId="0C4FB6A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2411E3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2081</w:t>
            </w:r>
          </w:p>
        </w:tc>
        <w:tc>
          <w:tcPr>
            <w:tcW w:w="705" w:type="pct"/>
            <w:tcBorders>
              <w:top w:val="nil"/>
              <w:left w:val="nil"/>
              <w:bottom w:val="single" w:sz="4" w:space="0" w:color="auto"/>
              <w:right w:val="single" w:sz="4" w:space="0" w:color="auto"/>
            </w:tcBorders>
            <w:shd w:val="clear" w:color="auto" w:fill="auto"/>
            <w:noWrap/>
            <w:vAlign w:val="center"/>
            <w:hideMark/>
          </w:tcPr>
          <w:p w14:paraId="77308FA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1331264000</w:t>
            </w:r>
          </w:p>
        </w:tc>
        <w:tc>
          <w:tcPr>
            <w:tcW w:w="547" w:type="pct"/>
            <w:tcBorders>
              <w:top w:val="nil"/>
              <w:left w:val="nil"/>
              <w:bottom w:val="single" w:sz="4" w:space="0" w:color="auto"/>
              <w:right w:val="single" w:sz="4" w:space="0" w:color="auto"/>
            </w:tcBorders>
            <w:shd w:val="clear" w:color="auto" w:fill="auto"/>
            <w:noWrap/>
            <w:vAlign w:val="center"/>
            <w:hideMark/>
          </w:tcPr>
          <w:p w14:paraId="1D04B11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22560343</w:t>
            </w:r>
          </w:p>
        </w:tc>
        <w:tc>
          <w:tcPr>
            <w:tcW w:w="3360" w:type="pct"/>
            <w:tcBorders>
              <w:top w:val="nil"/>
              <w:left w:val="nil"/>
              <w:bottom w:val="single" w:sz="4" w:space="0" w:color="auto"/>
              <w:right w:val="single" w:sz="4" w:space="0" w:color="auto"/>
            </w:tcBorders>
            <w:shd w:val="clear" w:color="auto" w:fill="auto"/>
            <w:vAlign w:val="center"/>
            <w:hideMark/>
          </w:tcPr>
          <w:p w14:paraId="5809D57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ZAVOD ZA PODJETNIŠTVO, TURIZEM IN MLADINO BREŽICE</w:t>
            </w:r>
          </w:p>
        </w:tc>
      </w:tr>
      <w:tr w:rsidR="00E3750C" w:rsidRPr="00415AB3" w14:paraId="00960AB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91E54B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2082</w:t>
            </w:r>
          </w:p>
        </w:tc>
        <w:tc>
          <w:tcPr>
            <w:tcW w:w="705" w:type="pct"/>
            <w:tcBorders>
              <w:top w:val="nil"/>
              <w:left w:val="nil"/>
              <w:bottom w:val="single" w:sz="4" w:space="0" w:color="auto"/>
              <w:right w:val="single" w:sz="4" w:space="0" w:color="auto"/>
            </w:tcBorders>
            <w:shd w:val="clear" w:color="auto" w:fill="auto"/>
            <w:noWrap/>
            <w:vAlign w:val="center"/>
            <w:hideMark/>
          </w:tcPr>
          <w:p w14:paraId="4BA4F7F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5156700000</w:t>
            </w:r>
          </w:p>
        </w:tc>
        <w:tc>
          <w:tcPr>
            <w:tcW w:w="547" w:type="pct"/>
            <w:tcBorders>
              <w:top w:val="nil"/>
              <w:left w:val="nil"/>
              <w:bottom w:val="single" w:sz="4" w:space="0" w:color="auto"/>
              <w:right w:val="single" w:sz="4" w:space="0" w:color="auto"/>
            </w:tcBorders>
            <w:shd w:val="clear" w:color="auto" w:fill="auto"/>
            <w:noWrap/>
            <w:vAlign w:val="center"/>
            <w:hideMark/>
          </w:tcPr>
          <w:p w14:paraId="12C90EB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85876500</w:t>
            </w:r>
          </w:p>
        </w:tc>
        <w:tc>
          <w:tcPr>
            <w:tcW w:w="3360" w:type="pct"/>
            <w:tcBorders>
              <w:top w:val="nil"/>
              <w:left w:val="nil"/>
              <w:bottom w:val="single" w:sz="4" w:space="0" w:color="auto"/>
              <w:right w:val="single" w:sz="4" w:space="0" w:color="auto"/>
            </w:tcBorders>
            <w:shd w:val="clear" w:color="auto" w:fill="auto"/>
            <w:vAlign w:val="center"/>
            <w:hideMark/>
          </w:tcPr>
          <w:p w14:paraId="4645D8A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ZAVOD ZA POKOJNINSKO IN INVALIDSKO ZAVAROVANJE SLOVENIJE</w:t>
            </w:r>
          </w:p>
        </w:tc>
      </w:tr>
      <w:tr w:rsidR="00E3750C" w:rsidRPr="00415AB3" w14:paraId="641DCB0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724D15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2083</w:t>
            </w:r>
          </w:p>
        </w:tc>
        <w:tc>
          <w:tcPr>
            <w:tcW w:w="705" w:type="pct"/>
            <w:tcBorders>
              <w:top w:val="nil"/>
              <w:left w:val="nil"/>
              <w:bottom w:val="single" w:sz="4" w:space="0" w:color="auto"/>
              <w:right w:val="single" w:sz="4" w:space="0" w:color="auto"/>
            </w:tcBorders>
            <w:shd w:val="clear" w:color="auto" w:fill="auto"/>
            <w:noWrap/>
            <w:vAlign w:val="center"/>
            <w:hideMark/>
          </w:tcPr>
          <w:p w14:paraId="7A80A4F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5164117000</w:t>
            </w:r>
          </w:p>
        </w:tc>
        <w:tc>
          <w:tcPr>
            <w:tcW w:w="547" w:type="pct"/>
            <w:tcBorders>
              <w:top w:val="nil"/>
              <w:left w:val="nil"/>
              <w:bottom w:val="single" w:sz="4" w:space="0" w:color="auto"/>
              <w:right w:val="single" w:sz="4" w:space="0" w:color="auto"/>
            </w:tcBorders>
            <w:shd w:val="clear" w:color="auto" w:fill="auto"/>
            <w:noWrap/>
            <w:vAlign w:val="center"/>
            <w:hideMark/>
          </w:tcPr>
          <w:p w14:paraId="344493D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83921419</w:t>
            </w:r>
          </w:p>
        </w:tc>
        <w:tc>
          <w:tcPr>
            <w:tcW w:w="3360" w:type="pct"/>
            <w:tcBorders>
              <w:top w:val="nil"/>
              <w:left w:val="nil"/>
              <w:bottom w:val="single" w:sz="4" w:space="0" w:color="auto"/>
              <w:right w:val="single" w:sz="4" w:space="0" w:color="auto"/>
            </w:tcBorders>
            <w:shd w:val="clear" w:color="auto" w:fill="auto"/>
            <w:vAlign w:val="center"/>
            <w:hideMark/>
          </w:tcPr>
          <w:p w14:paraId="45E7AE7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ZAVOD ZA RIBIŠTVO SLOVENIJE</w:t>
            </w:r>
          </w:p>
        </w:tc>
      </w:tr>
      <w:tr w:rsidR="00E3750C" w:rsidRPr="00415AB3" w14:paraId="7A81568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602884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2084</w:t>
            </w:r>
          </w:p>
        </w:tc>
        <w:tc>
          <w:tcPr>
            <w:tcW w:w="705" w:type="pct"/>
            <w:tcBorders>
              <w:top w:val="nil"/>
              <w:left w:val="nil"/>
              <w:bottom w:val="single" w:sz="4" w:space="0" w:color="auto"/>
              <w:right w:val="single" w:sz="4" w:space="0" w:color="auto"/>
            </w:tcBorders>
            <w:shd w:val="clear" w:color="auto" w:fill="auto"/>
            <w:noWrap/>
            <w:vAlign w:val="center"/>
            <w:hideMark/>
          </w:tcPr>
          <w:p w14:paraId="0A34247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1434268000</w:t>
            </w:r>
          </w:p>
        </w:tc>
        <w:tc>
          <w:tcPr>
            <w:tcW w:w="547" w:type="pct"/>
            <w:tcBorders>
              <w:top w:val="nil"/>
              <w:left w:val="nil"/>
              <w:bottom w:val="single" w:sz="4" w:space="0" w:color="auto"/>
              <w:right w:val="single" w:sz="4" w:space="0" w:color="auto"/>
            </w:tcBorders>
            <w:shd w:val="clear" w:color="auto" w:fill="auto"/>
            <w:noWrap/>
            <w:vAlign w:val="center"/>
            <w:hideMark/>
          </w:tcPr>
          <w:p w14:paraId="0D67433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59164301</w:t>
            </w:r>
          </w:p>
        </w:tc>
        <w:tc>
          <w:tcPr>
            <w:tcW w:w="3360" w:type="pct"/>
            <w:tcBorders>
              <w:top w:val="nil"/>
              <w:left w:val="nil"/>
              <w:bottom w:val="single" w:sz="4" w:space="0" w:color="auto"/>
              <w:right w:val="single" w:sz="4" w:space="0" w:color="auto"/>
            </w:tcBorders>
            <w:shd w:val="clear" w:color="auto" w:fill="auto"/>
            <w:vAlign w:val="center"/>
            <w:hideMark/>
          </w:tcPr>
          <w:p w14:paraId="4D8B77D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ZAVOD ZA ŠPORT AJDOVŠČINA</w:t>
            </w:r>
          </w:p>
        </w:tc>
      </w:tr>
      <w:tr w:rsidR="00E3750C" w:rsidRPr="00415AB3" w14:paraId="33C7FD7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EE1A10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2085</w:t>
            </w:r>
          </w:p>
        </w:tc>
        <w:tc>
          <w:tcPr>
            <w:tcW w:w="705" w:type="pct"/>
            <w:tcBorders>
              <w:top w:val="nil"/>
              <w:left w:val="nil"/>
              <w:bottom w:val="single" w:sz="4" w:space="0" w:color="auto"/>
              <w:right w:val="single" w:sz="4" w:space="0" w:color="auto"/>
            </w:tcBorders>
            <w:shd w:val="clear" w:color="auto" w:fill="auto"/>
            <w:noWrap/>
            <w:vAlign w:val="center"/>
            <w:hideMark/>
          </w:tcPr>
          <w:p w14:paraId="40EB930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1722808000</w:t>
            </w:r>
          </w:p>
        </w:tc>
        <w:tc>
          <w:tcPr>
            <w:tcW w:w="547" w:type="pct"/>
            <w:tcBorders>
              <w:top w:val="nil"/>
              <w:left w:val="nil"/>
              <w:bottom w:val="single" w:sz="4" w:space="0" w:color="auto"/>
              <w:right w:val="single" w:sz="4" w:space="0" w:color="auto"/>
            </w:tcBorders>
            <w:shd w:val="clear" w:color="auto" w:fill="auto"/>
            <w:noWrap/>
            <w:vAlign w:val="center"/>
            <w:hideMark/>
          </w:tcPr>
          <w:p w14:paraId="2874A60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72188286</w:t>
            </w:r>
          </w:p>
        </w:tc>
        <w:tc>
          <w:tcPr>
            <w:tcW w:w="3360" w:type="pct"/>
            <w:tcBorders>
              <w:top w:val="nil"/>
              <w:left w:val="nil"/>
              <w:bottom w:val="single" w:sz="4" w:space="0" w:color="auto"/>
              <w:right w:val="single" w:sz="4" w:space="0" w:color="auto"/>
            </w:tcBorders>
            <w:shd w:val="clear" w:color="auto" w:fill="auto"/>
            <w:vAlign w:val="center"/>
            <w:hideMark/>
          </w:tcPr>
          <w:p w14:paraId="1E12014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ZAVOD ZA ŠPORT IN REKREACIJO DOMŽALE</w:t>
            </w:r>
          </w:p>
        </w:tc>
      </w:tr>
      <w:tr w:rsidR="00E3750C" w:rsidRPr="00415AB3" w14:paraId="4FCBDC7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A53EE6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2086</w:t>
            </w:r>
          </w:p>
        </w:tc>
        <w:tc>
          <w:tcPr>
            <w:tcW w:w="705" w:type="pct"/>
            <w:tcBorders>
              <w:top w:val="nil"/>
              <w:left w:val="nil"/>
              <w:bottom w:val="single" w:sz="4" w:space="0" w:color="auto"/>
              <w:right w:val="single" w:sz="4" w:space="0" w:color="auto"/>
            </w:tcBorders>
            <w:shd w:val="clear" w:color="auto" w:fill="auto"/>
            <w:noWrap/>
            <w:vAlign w:val="center"/>
            <w:hideMark/>
          </w:tcPr>
          <w:p w14:paraId="20ED273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1638629000</w:t>
            </w:r>
          </w:p>
        </w:tc>
        <w:tc>
          <w:tcPr>
            <w:tcW w:w="547" w:type="pct"/>
            <w:tcBorders>
              <w:top w:val="nil"/>
              <w:left w:val="nil"/>
              <w:bottom w:val="single" w:sz="4" w:space="0" w:color="auto"/>
              <w:right w:val="single" w:sz="4" w:space="0" w:color="auto"/>
            </w:tcBorders>
            <w:shd w:val="clear" w:color="auto" w:fill="auto"/>
            <w:noWrap/>
            <w:vAlign w:val="center"/>
            <w:hideMark/>
          </w:tcPr>
          <w:p w14:paraId="4506BF0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33564540</w:t>
            </w:r>
          </w:p>
        </w:tc>
        <w:tc>
          <w:tcPr>
            <w:tcW w:w="3360" w:type="pct"/>
            <w:tcBorders>
              <w:top w:val="nil"/>
              <w:left w:val="nil"/>
              <w:bottom w:val="single" w:sz="4" w:space="0" w:color="auto"/>
              <w:right w:val="single" w:sz="4" w:space="0" w:color="auto"/>
            </w:tcBorders>
            <w:shd w:val="clear" w:color="auto" w:fill="auto"/>
            <w:vAlign w:val="center"/>
            <w:hideMark/>
          </w:tcPr>
          <w:p w14:paraId="2EDC2D8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ZAVOD ZA ŠPORT JESENICE</w:t>
            </w:r>
          </w:p>
        </w:tc>
      </w:tr>
      <w:tr w:rsidR="00E3750C" w:rsidRPr="00415AB3" w14:paraId="2098692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AD609E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2087</w:t>
            </w:r>
          </w:p>
        </w:tc>
        <w:tc>
          <w:tcPr>
            <w:tcW w:w="705" w:type="pct"/>
            <w:tcBorders>
              <w:top w:val="nil"/>
              <w:left w:val="nil"/>
              <w:bottom w:val="single" w:sz="4" w:space="0" w:color="auto"/>
              <w:right w:val="single" w:sz="4" w:space="0" w:color="auto"/>
            </w:tcBorders>
            <w:shd w:val="clear" w:color="auto" w:fill="auto"/>
            <w:noWrap/>
            <w:vAlign w:val="center"/>
            <w:hideMark/>
          </w:tcPr>
          <w:p w14:paraId="604633F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1488783000</w:t>
            </w:r>
          </w:p>
        </w:tc>
        <w:tc>
          <w:tcPr>
            <w:tcW w:w="547" w:type="pct"/>
            <w:tcBorders>
              <w:top w:val="nil"/>
              <w:left w:val="nil"/>
              <w:bottom w:val="single" w:sz="4" w:space="0" w:color="auto"/>
              <w:right w:val="single" w:sz="4" w:space="0" w:color="auto"/>
            </w:tcBorders>
            <w:shd w:val="clear" w:color="auto" w:fill="auto"/>
            <w:noWrap/>
            <w:vAlign w:val="center"/>
            <w:hideMark/>
          </w:tcPr>
          <w:p w14:paraId="00435C4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23453958</w:t>
            </w:r>
          </w:p>
        </w:tc>
        <w:tc>
          <w:tcPr>
            <w:tcW w:w="3360" w:type="pct"/>
            <w:tcBorders>
              <w:top w:val="nil"/>
              <w:left w:val="nil"/>
              <w:bottom w:val="single" w:sz="4" w:space="0" w:color="auto"/>
              <w:right w:val="single" w:sz="4" w:space="0" w:color="auto"/>
            </w:tcBorders>
            <w:shd w:val="clear" w:color="auto" w:fill="auto"/>
            <w:vAlign w:val="center"/>
            <w:hideMark/>
          </w:tcPr>
          <w:p w14:paraId="3338AED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ZAVOD ZA ŠPORT KRANJ</w:t>
            </w:r>
          </w:p>
        </w:tc>
      </w:tr>
      <w:tr w:rsidR="00E3750C" w:rsidRPr="00415AB3" w14:paraId="793F969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20655A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2088</w:t>
            </w:r>
          </w:p>
        </w:tc>
        <w:tc>
          <w:tcPr>
            <w:tcW w:w="705" w:type="pct"/>
            <w:tcBorders>
              <w:top w:val="nil"/>
              <w:left w:val="nil"/>
              <w:bottom w:val="single" w:sz="4" w:space="0" w:color="auto"/>
              <w:right w:val="single" w:sz="4" w:space="0" w:color="auto"/>
            </w:tcBorders>
            <w:shd w:val="clear" w:color="auto" w:fill="auto"/>
            <w:noWrap/>
            <w:vAlign w:val="center"/>
            <w:hideMark/>
          </w:tcPr>
          <w:p w14:paraId="1811D89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3577970000</w:t>
            </w:r>
          </w:p>
        </w:tc>
        <w:tc>
          <w:tcPr>
            <w:tcW w:w="547" w:type="pct"/>
            <w:tcBorders>
              <w:top w:val="nil"/>
              <w:left w:val="nil"/>
              <w:bottom w:val="single" w:sz="4" w:space="0" w:color="auto"/>
              <w:right w:val="single" w:sz="4" w:space="0" w:color="auto"/>
            </w:tcBorders>
            <w:shd w:val="clear" w:color="auto" w:fill="auto"/>
            <w:noWrap/>
            <w:vAlign w:val="center"/>
            <w:hideMark/>
          </w:tcPr>
          <w:p w14:paraId="7FAFE82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85753823</w:t>
            </w:r>
          </w:p>
        </w:tc>
        <w:tc>
          <w:tcPr>
            <w:tcW w:w="3360" w:type="pct"/>
            <w:tcBorders>
              <w:top w:val="nil"/>
              <w:left w:val="nil"/>
              <w:bottom w:val="single" w:sz="4" w:space="0" w:color="auto"/>
              <w:right w:val="single" w:sz="4" w:space="0" w:color="auto"/>
            </w:tcBorders>
            <w:shd w:val="clear" w:color="auto" w:fill="auto"/>
            <w:vAlign w:val="center"/>
            <w:hideMark/>
          </w:tcPr>
          <w:p w14:paraId="1A6A40A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ZAVOD ZA ŠPORT REPUBLIKE SLOVENIJE PLANICA</w:t>
            </w:r>
          </w:p>
        </w:tc>
      </w:tr>
      <w:tr w:rsidR="00E3750C" w:rsidRPr="00415AB3" w14:paraId="4F2D0A5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781211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2089</w:t>
            </w:r>
          </w:p>
        </w:tc>
        <w:tc>
          <w:tcPr>
            <w:tcW w:w="705" w:type="pct"/>
            <w:tcBorders>
              <w:top w:val="nil"/>
              <w:left w:val="nil"/>
              <w:bottom w:val="single" w:sz="4" w:space="0" w:color="auto"/>
              <w:right w:val="single" w:sz="4" w:space="0" w:color="auto"/>
            </w:tcBorders>
            <w:shd w:val="clear" w:color="auto" w:fill="auto"/>
            <w:noWrap/>
            <w:vAlign w:val="center"/>
            <w:hideMark/>
          </w:tcPr>
          <w:p w14:paraId="4FDEF0C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1197045000</w:t>
            </w:r>
          </w:p>
        </w:tc>
        <w:tc>
          <w:tcPr>
            <w:tcW w:w="547" w:type="pct"/>
            <w:tcBorders>
              <w:top w:val="nil"/>
              <w:left w:val="nil"/>
              <w:bottom w:val="single" w:sz="4" w:space="0" w:color="auto"/>
              <w:right w:val="single" w:sz="4" w:space="0" w:color="auto"/>
            </w:tcBorders>
            <w:shd w:val="clear" w:color="auto" w:fill="auto"/>
            <w:noWrap/>
            <w:vAlign w:val="center"/>
            <w:hideMark/>
          </w:tcPr>
          <w:p w14:paraId="36C7ED7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80375928</w:t>
            </w:r>
          </w:p>
        </w:tc>
        <w:tc>
          <w:tcPr>
            <w:tcW w:w="3360" w:type="pct"/>
            <w:tcBorders>
              <w:top w:val="nil"/>
              <w:left w:val="nil"/>
              <w:bottom w:val="single" w:sz="4" w:space="0" w:color="auto"/>
              <w:right w:val="single" w:sz="4" w:space="0" w:color="auto"/>
            </w:tcBorders>
            <w:shd w:val="clear" w:color="auto" w:fill="auto"/>
            <w:vAlign w:val="center"/>
            <w:hideMark/>
          </w:tcPr>
          <w:p w14:paraId="2EECD82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ZAVOD ZA ŠPORT ZAGORJE OB SAVI</w:t>
            </w:r>
          </w:p>
        </w:tc>
      </w:tr>
      <w:tr w:rsidR="00E3750C" w:rsidRPr="00415AB3" w14:paraId="4368C36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DF1771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2090</w:t>
            </w:r>
          </w:p>
        </w:tc>
        <w:tc>
          <w:tcPr>
            <w:tcW w:w="705" w:type="pct"/>
            <w:tcBorders>
              <w:top w:val="nil"/>
              <w:left w:val="nil"/>
              <w:bottom w:val="single" w:sz="4" w:space="0" w:color="auto"/>
              <w:right w:val="single" w:sz="4" w:space="0" w:color="auto"/>
            </w:tcBorders>
            <w:shd w:val="clear" w:color="auto" w:fill="auto"/>
            <w:noWrap/>
            <w:vAlign w:val="center"/>
            <w:hideMark/>
          </w:tcPr>
          <w:p w14:paraId="03730AB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5283230000</w:t>
            </w:r>
          </w:p>
        </w:tc>
        <w:tc>
          <w:tcPr>
            <w:tcW w:w="547" w:type="pct"/>
            <w:tcBorders>
              <w:top w:val="nil"/>
              <w:left w:val="nil"/>
              <w:bottom w:val="single" w:sz="4" w:space="0" w:color="auto"/>
              <w:right w:val="single" w:sz="4" w:space="0" w:color="auto"/>
            </w:tcBorders>
            <w:shd w:val="clear" w:color="auto" w:fill="auto"/>
            <w:noWrap/>
            <w:vAlign w:val="center"/>
            <w:hideMark/>
          </w:tcPr>
          <w:p w14:paraId="6F6E17D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16241207</w:t>
            </w:r>
          </w:p>
        </w:tc>
        <w:tc>
          <w:tcPr>
            <w:tcW w:w="3360" w:type="pct"/>
            <w:tcBorders>
              <w:top w:val="nil"/>
              <w:left w:val="nil"/>
              <w:bottom w:val="single" w:sz="4" w:space="0" w:color="auto"/>
              <w:right w:val="single" w:sz="4" w:space="0" w:color="auto"/>
            </w:tcBorders>
            <w:shd w:val="clear" w:color="auto" w:fill="auto"/>
            <w:vAlign w:val="center"/>
            <w:hideMark/>
          </w:tcPr>
          <w:p w14:paraId="6D968B3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ZAVOD ZA ŠPORT, KULTURO, TURIZEM IN MLADINO NOVO MESTO</w:t>
            </w:r>
          </w:p>
        </w:tc>
      </w:tr>
      <w:tr w:rsidR="00E3750C" w:rsidRPr="00415AB3" w14:paraId="5502316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51E412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2091</w:t>
            </w:r>
          </w:p>
        </w:tc>
        <w:tc>
          <w:tcPr>
            <w:tcW w:w="705" w:type="pct"/>
            <w:tcBorders>
              <w:top w:val="nil"/>
              <w:left w:val="nil"/>
              <w:bottom w:val="single" w:sz="4" w:space="0" w:color="auto"/>
              <w:right w:val="single" w:sz="4" w:space="0" w:color="auto"/>
            </w:tcBorders>
            <w:shd w:val="clear" w:color="auto" w:fill="auto"/>
            <w:noWrap/>
            <w:vAlign w:val="center"/>
            <w:hideMark/>
          </w:tcPr>
          <w:p w14:paraId="14B762F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1305832000</w:t>
            </w:r>
          </w:p>
        </w:tc>
        <w:tc>
          <w:tcPr>
            <w:tcW w:w="547" w:type="pct"/>
            <w:tcBorders>
              <w:top w:val="nil"/>
              <w:left w:val="nil"/>
              <w:bottom w:val="single" w:sz="4" w:space="0" w:color="auto"/>
              <w:right w:val="single" w:sz="4" w:space="0" w:color="auto"/>
            </w:tcBorders>
            <w:shd w:val="clear" w:color="auto" w:fill="auto"/>
            <w:noWrap/>
            <w:vAlign w:val="center"/>
            <w:hideMark/>
          </w:tcPr>
          <w:p w14:paraId="5A5C951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27406199</w:t>
            </w:r>
          </w:p>
        </w:tc>
        <w:tc>
          <w:tcPr>
            <w:tcW w:w="3360" w:type="pct"/>
            <w:tcBorders>
              <w:top w:val="nil"/>
              <w:left w:val="nil"/>
              <w:bottom w:val="single" w:sz="4" w:space="0" w:color="auto"/>
              <w:right w:val="single" w:sz="4" w:space="0" w:color="auto"/>
            </w:tcBorders>
            <w:shd w:val="clear" w:color="auto" w:fill="auto"/>
            <w:vAlign w:val="center"/>
            <w:hideMark/>
          </w:tcPr>
          <w:p w14:paraId="2CD07AC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ZAVOD ZA ŠPORT, TURIZEM IN PROSTI ČAS SEŽANA</w:t>
            </w:r>
          </w:p>
        </w:tc>
      </w:tr>
      <w:tr w:rsidR="00E3750C" w:rsidRPr="00415AB3" w14:paraId="7D8C2E1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02F115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2092</w:t>
            </w:r>
          </w:p>
        </w:tc>
        <w:tc>
          <w:tcPr>
            <w:tcW w:w="705" w:type="pct"/>
            <w:tcBorders>
              <w:top w:val="nil"/>
              <w:left w:val="nil"/>
              <w:bottom w:val="single" w:sz="4" w:space="0" w:color="auto"/>
              <w:right w:val="single" w:sz="4" w:space="0" w:color="auto"/>
            </w:tcBorders>
            <w:shd w:val="clear" w:color="auto" w:fill="auto"/>
            <w:noWrap/>
            <w:vAlign w:val="center"/>
            <w:hideMark/>
          </w:tcPr>
          <w:p w14:paraId="38B9224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3805999000</w:t>
            </w:r>
          </w:p>
        </w:tc>
        <w:tc>
          <w:tcPr>
            <w:tcW w:w="547" w:type="pct"/>
            <w:tcBorders>
              <w:top w:val="nil"/>
              <w:left w:val="nil"/>
              <w:bottom w:val="single" w:sz="4" w:space="0" w:color="auto"/>
              <w:right w:val="single" w:sz="4" w:space="0" w:color="auto"/>
            </w:tcBorders>
            <w:shd w:val="clear" w:color="auto" w:fill="auto"/>
            <w:noWrap/>
            <w:vAlign w:val="center"/>
            <w:hideMark/>
          </w:tcPr>
          <w:p w14:paraId="3164D84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51208296</w:t>
            </w:r>
          </w:p>
        </w:tc>
        <w:tc>
          <w:tcPr>
            <w:tcW w:w="3360" w:type="pct"/>
            <w:tcBorders>
              <w:top w:val="nil"/>
              <w:left w:val="nil"/>
              <w:bottom w:val="single" w:sz="4" w:space="0" w:color="auto"/>
              <w:right w:val="single" w:sz="4" w:space="0" w:color="auto"/>
            </w:tcBorders>
            <w:shd w:val="clear" w:color="auto" w:fill="auto"/>
            <w:vAlign w:val="center"/>
            <w:hideMark/>
          </w:tcPr>
          <w:p w14:paraId="04CB125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ZAVOD ZA TURIZEM IDRIJA</w:t>
            </w:r>
          </w:p>
        </w:tc>
      </w:tr>
      <w:tr w:rsidR="00E3750C" w:rsidRPr="00415AB3" w14:paraId="6F9A403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5D0D39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2093</w:t>
            </w:r>
          </w:p>
        </w:tc>
        <w:tc>
          <w:tcPr>
            <w:tcW w:w="705" w:type="pct"/>
            <w:tcBorders>
              <w:top w:val="nil"/>
              <w:left w:val="nil"/>
              <w:bottom w:val="single" w:sz="4" w:space="0" w:color="auto"/>
              <w:right w:val="single" w:sz="4" w:space="0" w:color="auto"/>
            </w:tcBorders>
            <w:shd w:val="clear" w:color="auto" w:fill="auto"/>
            <w:noWrap/>
            <w:vAlign w:val="center"/>
            <w:hideMark/>
          </w:tcPr>
          <w:p w14:paraId="37521A5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1658484000</w:t>
            </w:r>
          </w:p>
        </w:tc>
        <w:tc>
          <w:tcPr>
            <w:tcW w:w="547" w:type="pct"/>
            <w:tcBorders>
              <w:top w:val="nil"/>
              <w:left w:val="nil"/>
              <w:bottom w:val="single" w:sz="4" w:space="0" w:color="auto"/>
              <w:right w:val="single" w:sz="4" w:space="0" w:color="auto"/>
            </w:tcBorders>
            <w:shd w:val="clear" w:color="auto" w:fill="auto"/>
            <w:noWrap/>
            <w:vAlign w:val="center"/>
            <w:hideMark/>
          </w:tcPr>
          <w:p w14:paraId="63C9C80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52125653</w:t>
            </w:r>
          </w:p>
        </w:tc>
        <w:tc>
          <w:tcPr>
            <w:tcW w:w="3360" w:type="pct"/>
            <w:tcBorders>
              <w:top w:val="nil"/>
              <w:left w:val="nil"/>
              <w:bottom w:val="single" w:sz="4" w:space="0" w:color="auto"/>
              <w:right w:val="single" w:sz="4" w:space="0" w:color="auto"/>
            </w:tcBorders>
            <w:shd w:val="clear" w:color="auto" w:fill="auto"/>
            <w:vAlign w:val="center"/>
            <w:hideMark/>
          </w:tcPr>
          <w:p w14:paraId="4F0AE25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ZAVOD ZA TURIZEM IN KULTURO KRANJ</w:t>
            </w:r>
          </w:p>
        </w:tc>
      </w:tr>
      <w:tr w:rsidR="00E3750C" w:rsidRPr="00415AB3" w14:paraId="79BE7D6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B9DFCD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2094</w:t>
            </w:r>
          </w:p>
        </w:tc>
        <w:tc>
          <w:tcPr>
            <w:tcW w:w="705" w:type="pct"/>
            <w:tcBorders>
              <w:top w:val="nil"/>
              <w:left w:val="nil"/>
              <w:bottom w:val="single" w:sz="4" w:space="0" w:color="auto"/>
              <w:right w:val="single" w:sz="4" w:space="0" w:color="auto"/>
            </w:tcBorders>
            <w:shd w:val="clear" w:color="auto" w:fill="auto"/>
            <w:noWrap/>
            <w:vAlign w:val="center"/>
            <w:hideMark/>
          </w:tcPr>
          <w:p w14:paraId="46FA420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2041014000</w:t>
            </w:r>
          </w:p>
        </w:tc>
        <w:tc>
          <w:tcPr>
            <w:tcW w:w="547" w:type="pct"/>
            <w:tcBorders>
              <w:top w:val="nil"/>
              <w:left w:val="nil"/>
              <w:bottom w:val="single" w:sz="4" w:space="0" w:color="auto"/>
              <w:right w:val="single" w:sz="4" w:space="0" w:color="auto"/>
            </w:tcBorders>
            <w:shd w:val="clear" w:color="auto" w:fill="auto"/>
            <w:noWrap/>
            <w:vAlign w:val="center"/>
            <w:hideMark/>
          </w:tcPr>
          <w:p w14:paraId="09C4435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43016782</w:t>
            </w:r>
          </w:p>
        </w:tc>
        <w:tc>
          <w:tcPr>
            <w:tcW w:w="3360" w:type="pct"/>
            <w:tcBorders>
              <w:top w:val="nil"/>
              <w:left w:val="nil"/>
              <w:bottom w:val="single" w:sz="4" w:space="0" w:color="auto"/>
              <w:right w:val="single" w:sz="4" w:space="0" w:color="auto"/>
            </w:tcBorders>
            <w:shd w:val="clear" w:color="auto" w:fill="auto"/>
            <w:vAlign w:val="center"/>
            <w:hideMark/>
          </w:tcPr>
          <w:p w14:paraId="4959166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ZAVOD ZA TURIZEM IN KULTURO ŽIROVNICA</w:t>
            </w:r>
          </w:p>
        </w:tc>
      </w:tr>
      <w:tr w:rsidR="00E3750C" w:rsidRPr="00415AB3" w14:paraId="536F731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BDD095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2095</w:t>
            </w:r>
          </w:p>
        </w:tc>
        <w:tc>
          <w:tcPr>
            <w:tcW w:w="705" w:type="pct"/>
            <w:tcBorders>
              <w:top w:val="nil"/>
              <w:left w:val="nil"/>
              <w:bottom w:val="single" w:sz="4" w:space="0" w:color="auto"/>
              <w:right w:val="single" w:sz="4" w:space="0" w:color="auto"/>
            </w:tcBorders>
            <w:shd w:val="clear" w:color="auto" w:fill="auto"/>
            <w:noWrap/>
            <w:vAlign w:val="center"/>
            <w:hideMark/>
          </w:tcPr>
          <w:p w14:paraId="09BD433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8045526000</w:t>
            </w:r>
          </w:p>
        </w:tc>
        <w:tc>
          <w:tcPr>
            <w:tcW w:w="547" w:type="pct"/>
            <w:tcBorders>
              <w:top w:val="nil"/>
              <w:left w:val="nil"/>
              <w:bottom w:val="single" w:sz="4" w:space="0" w:color="auto"/>
              <w:right w:val="single" w:sz="4" w:space="0" w:color="auto"/>
            </w:tcBorders>
            <w:shd w:val="clear" w:color="auto" w:fill="auto"/>
            <w:noWrap/>
            <w:vAlign w:val="center"/>
            <w:hideMark/>
          </w:tcPr>
          <w:p w14:paraId="3CC8C70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38149079</w:t>
            </w:r>
          </w:p>
        </w:tc>
        <w:tc>
          <w:tcPr>
            <w:tcW w:w="3360" w:type="pct"/>
            <w:tcBorders>
              <w:top w:val="nil"/>
              <w:left w:val="nil"/>
              <w:bottom w:val="single" w:sz="4" w:space="0" w:color="auto"/>
              <w:right w:val="single" w:sz="4" w:space="0" w:color="auto"/>
            </w:tcBorders>
            <w:shd w:val="clear" w:color="auto" w:fill="auto"/>
            <w:vAlign w:val="center"/>
            <w:hideMark/>
          </w:tcPr>
          <w:p w14:paraId="7D8787B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ZAVOD ZA TURIZEM IN PROMOCIJO "TURIZEM GROSUPLJE"</w:t>
            </w:r>
          </w:p>
        </w:tc>
      </w:tr>
      <w:tr w:rsidR="00E3750C" w:rsidRPr="00415AB3" w14:paraId="40749FA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59E348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2096</w:t>
            </w:r>
          </w:p>
        </w:tc>
        <w:tc>
          <w:tcPr>
            <w:tcW w:w="705" w:type="pct"/>
            <w:tcBorders>
              <w:top w:val="nil"/>
              <w:left w:val="nil"/>
              <w:bottom w:val="single" w:sz="4" w:space="0" w:color="auto"/>
              <w:right w:val="single" w:sz="4" w:space="0" w:color="auto"/>
            </w:tcBorders>
            <w:shd w:val="clear" w:color="auto" w:fill="auto"/>
            <w:noWrap/>
            <w:vAlign w:val="center"/>
            <w:hideMark/>
          </w:tcPr>
          <w:p w14:paraId="5151373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6354564000</w:t>
            </w:r>
          </w:p>
        </w:tc>
        <w:tc>
          <w:tcPr>
            <w:tcW w:w="547" w:type="pct"/>
            <w:tcBorders>
              <w:top w:val="nil"/>
              <w:left w:val="nil"/>
              <w:bottom w:val="single" w:sz="4" w:space="0" w:color="auto"/>
              <w:right w:val="single" w:sz="4" w:space="0" w:color="auto"/>
            </w:tcBorders>
            <w:shd w:val="clear" w:color="auto" w:fill="auto"/>
            <w:noWrap/>
            <w:vAlign w:val="center"/>
            <w:hideMark/>
          </w:tcPr>
          <w:p w14:paraId="33BF363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72731249</w:t>
            </w:r>
          </w:p>
        </w:tc>
        <w:tc>
          <w:tcPr>
            <w:tcW w:w="3360" w:type="pct"/>
            <w:tcBorders>
              <w:top w:val="nil"/>
              <w:left w:val="nil"/>
              <w:bottom w:val="single" w:sz="4" w:space="0" w:color="auto"/>
              <w:right w:val="single" w:sz="4" w:space="0" w:color="auto"/>
            </w:tcBorders>
            <w:shd w:val="clear" w:color="auto" w:fill="auto"/>
            <w:vAlign w:val="center"/>
            <w:hideMark/>
          </w:tcPr>
          <w:p w14:paraId="499050B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ZAVOD ZA TURIZEM IN RAZVOJ LENDAVA</w:t>
            </w:r>
          </w:p>
        </w:tc>
      </w:tr>
      <w:tr w:rsidR="00E3750C" w:rsidRPr="00415AB3" w14:paraId="353BE90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51D54C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2097</w:t>
            </w:r>
          </w:p>
        </w:tc>
        <w:tc>
          <w:tcPr>
            <w:tcW w:w="705" w:type="pct"/>
            <w:tcBorders>
              <w:top w:val="nil"/>
              <w:left w:val="nil"/>
              <w:bottom w:val="single" w:sz="4" w:space="0" w:color="auto"/>
              <w:right w:val="single" w:sz="4" w:space="0" w:color="auto"/>
            </w:tcBorders>
            <w:shd w:val="clear" w:color="auto" w:fill="auto"/>
            <w:noWrap/>
            <w:vAlign w:val="center"/>
            <w:hideMark/>
          </w:tcPr>
          <w:p w14:paraId="61496BD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1511181000</w:t>
            </w:r>
          </w:p>
        </w:tc>
        <w:tc>
          <w:tcPr>
            <w:tcW w:w="547" w:type="pct"/>
            <w:tcBorders>
              <w:top w:val="nil"/>
              <w:left w:val="nil"/>
              <w:bottom w:val="single" w:sz="4" w:space="0" w:color="auto"/>
              <w:right w:val="single" w:sz="4" w:space="0" w:color="auto"/>
            </w:tcBorders>
            <w:shd w:val="clear" w:color="auto" w:fill="auto"/>
            <w:noWrap/>
            <w:vAlign w:val="center"/>
            <w:hideMark/>
          </w:tcPr>
          <w:p w14:paraId="58BA2CD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80971423</w:t>
            </w:r>
          </w:p>
        </w:tc>
        <w:tc>
          <w:tcPr>
            <w:tcW w:w="3360" w:type="pct"/>
            <w:tcBorders>
              <w:top w:val="nil"/>
              <w:left w:val="nil"/>
              <w:bottom w:val="single" w:sz="4" w:space="0" w:color="auto"/>
              <w:right w:val="single" w:sz="4" w:space="0" w:color="auto"/>
            </w:tcBorders>
            <w:shd w:val="clear" w:color="auto" w:fill="auto"/>
            <w:vAlign w:val="center"/>
            <w:hideMark/>
          </w:tcPr>
          <w:p w14:paraId="7957B80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ZAVOD ZA TURIZEM IN ŠPORT KAMNIK</w:t>
            </w:r>
          </w:p>
        </w:tc>
      </w:tr>
      <w:tr w:rsidR="00E3750C" w:rsidRPr="00415AB3" w14:paraId="3961E37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6671DB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2098</w:t>
            </w:r>
          </w:p>
        </w:tc>
        <w:tc>
          <w:tcPr>
            <w:tcW w:w="705" w:type="pct"/>
            <w:tcBorders>
              <w:top w:val="nil"/>
              <w:left w:val="nil"/>
              <w:bottom w:val="single" w:sz="4" w:space="0" w:color="auto"/>
              <w:right w:val="single" w:sz="4" w:space="0" w:color="auto"/>
            </w:tcBorders>
            <w:shd w:val="clear" w:color="auto" w:fill="auto"/>
            <w:noWrap/>
            <w:vAlign w:val="center"/>
            <w:hideMark/>
          </w:tcPr>
          <w:p w14:paraId="4CEABD9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1526022000</w:t>
            </w:r>
          </w:p>
        </w:tc>
        <w:tc>
          <w:tcPr>
            <w:tcW w:w="547" w:type="pct"/>
            <w:tcBorders>
              <w:top w:val="nil"/>
              <w:left w:val="nil"/>
              <w:bottom w:val="single" w:sz="4" w:space="0" w:color="auto"/>
              <w:right w:val="single" w:sz="4" w:space="0" w:color="auto"/>
            </w:tcBorders>
            <w:shd w:val="clear" w:color="auto" w:fill="auto"/>
            <w:noWrap/>
            <w:vAlign w:val="center"/>
            <w:hideMark/>
          </w:tcPr>
          <w:p w14:paraId="6478C6E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70464600</w:t>
            </w:r>
          </w:p>
        </w:tc>
        <w:tc>
          <w:tcPr>
            <w:tcW w:w="3360" w:type="pct"/>
            <w:tcBorders>
              <w:top w:val="nil"/>
              <w:left w:val="nil"/>
              <w:bottom w:val="single" w:sz="4" w:space="0" w:color="auto"/>
              <w:right w:val="single" w:sz="4" w:space="0" w:color="auto"/>
            </w:tcBorders>
            <w:shd w:val="clear" w:color="auto" w:fill="auto"/>
            <w:vAlign w:val="center"/>
            <w:hideMark/>
          </w:tcPr>
          <w:p w14:paraId="0872DBA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ZAVOD ZA TURIZEM MARIBOR, JAVNI ZAVOD</w:t>
            </w:r>
          </w:p>
        </w:tc>
      </w:tr>
      <w:tr w:rsidR="00E3750C" w:rsidRPr="00415AB3" w14:paraId="0F72A56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B6157B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2099</w:t>
            </w:r>
          </w:p>
        </w:tc>
        <w:tc>
          <w:tcPr>
            <w:tcW w:w="705" w:type="pct"/>
            <w:tcBorders>
              <w:top w:val="nil"/>
              <w:left w:val="nil"/>
              <w:bottom w:val="single" w:sz="4" w:space="0" w:color="auto"/>
              <w:right w:val="single" w:sz="4" w:space="0" w:color="auto"/>
            </w:tcBorders>
            <w:shd w:val="clear" w:color="auto" w:fill="auto"/>
            <w:noWrap/>
            <w:vAlign w:val="center"/>
            <w:hideMark/>
          </w:tcPr>
          <w:p w14:paraId="606E62B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1451316000</w:t>
            </w:r>
          </w:p>
        </w:tc>
        <w:tc>
          <w:tcPr>
            <w:tcW w:w="547" w:type="pct"/>
            <w:tcBorders>
              <w:top w:val="nil"/>
              <w:left w:val="nil"/>
              <w:bottom w:val="single" w:sz="4" w:space="0" w:color="auto"/>
              <w:right w:val="single" w:sz="4" w:space="0" w:color="auto"/>
            </w:tcBorders>
            <w:shd w:val="clear" w:color="auto" w:fill="auto"/>
            <w:noWrap/>
            <w:vAlign w:val="center"/>
            <w:hideMark/>
          </w:tcPr>
          <w:p w14:paraId="05CCF31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15285367</w:t>
            </w:r>
          </w:p>
        </w:tc>
        <w:tc>
          <w:tcPr>
            <w:tcW w:w="3360" w:type="pct"/>
            <w:tcBorders>
              <w:top w:val="nil"/>
              <w:left w:val="nil"/>
              <w:bottom w:val="single" w:sz="4" w:space="0" w:color="auto"/>
              <w:right w:val="single" w:sz="4" w:space="0" w:color="auto"/>
            </w:tcBorders>
            <w:shd w:val="clear" w:color="auto" w:fill="auto"/>
            <w:vAlign w:val="center"/>
            <w:hideMark/>
          </w:tcPr>
          <w:p w14:paraId="2296D4E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ZAVOD ZA TURIZEM ŠALEŠKE DOLINE</w:t>
            </w:r>
          </w:p>
        </w:tc>
      </w:tr>
      <w:tr w:rsidR="00E3750C" w:rsidRPr="00415AB3" w14:paraId="5B304F9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C40CB3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2100</w:t>
            </w:r>
          </w:p>
        </w:tc>
        <w:tc>
          <w:tcPr>
            <w:tcW w:w="705" w:type="pct"/>
            <w:tcBorders>
              <w:top w:val="nil"/>
              <w:left w:val="nil"/>
              <w:bottom w:val="single" w:sz="4" w:space="0" w:color="auto"/>
              <w:right w:val="single" w:sz="4" w:space="0" w:color="auto"/>
            </w:tcBorders>
            <w:shd w:val="clear" w:color="auto" w:fill="auto"/>
            <w:noWrap/>
            <w:vAlign w:val="center"/>
            <w:hideMark/>
          </w:tcPr>
          <w:p w14:paraId="1CC1ED6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3738027000</w:t>
            </w:r>
          </w:p>
        </w:tc>
        <w:tc>
          <w:tcPr>
            <w:tcW w:w="547" w:type="pct"/>
            <w:tcBorders>
              <w:top w:val="nil"/>
              <w:left w:val="nil"/>
              <w:bottom w:val="single" w:sz="4" w:space="0" w:color="auto"/>
              <w:right w:val="single" w:sz="4" w:space="0" w:color="auto"/>
            </w:tcBorders>
            <w:shd w:val="clear" w:color="auto" w:fill="auto"/>
            <w:noWrap/>
            <w:vAlign w:val="center"/>
            <w:hideMark/>
          </w:tcPr>
          <w:p w14:paraId="56BD672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29021995</w:t>
            </w:r>
          </w:p>
        </w:tc>
        <w:tc>
          <w:tcPr>
            <w:tcW w:w="3360" w:type="pct"/>
            <w:tcBorders>
              <w:top w:val="nil"/>
              <w:left w:val="nil"/>
              <w:bottom w:val="single" w:sz="4" w:space="0" w:color="auto"/>
              <w:right w:val="single" w:sz="4" w:space="0" w:color="auto"/>
            </w:tcBorders>
            <w:shd w:val="clear" w:color="auto" w:fill="auto"/>
            <w:vAlign w:val="center"/>
            <w:hideMark/>
          </w:tcPr>
          <w:p w14:paraId="3B2A273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ZAVOD ZA TURIZEM, KULTURO, MLADINO IN ŠPORT BRDA</w:t>
            </w:r>
          </w:p>
        </w:tc>
      </w:tr>
      <w:tr w:rsidR="00E3750C" w:rsidRPr="00415AB3" w14:paraId="2AC962B2"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76A141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2101</w:t>
            </w:r>
          </w:p>
        </w:tc>
        <w:tc>
          <w:tcPr>
            <w:tcW w:w="705" w:type="pct"/>
            <w:tcBorders>
              <w:top w:val="nil"/>
              <w:left w:val="nil"/>
              <w:bottom w:val="single" w:sz="4" w:space="0" w:color="auto"/>
              <w:right w:val="single" w:sz="4" w:space="0" w:color="auto"/>
            </w:tcBorders>
            <w:shd w:val="clear" w:color="auto" w:fill="auto"/>
            <w:noWrap/>
            <w:vAlign w:val="center"/>
            <w:hideMark/>
          </w:tcPr>
          <w:p w14:paraId="6B90C39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5050596000</w:t>
            </w:r>
          </w:p>
        </w:tc>
        <w:tc>
          <w:tcPr>
            <w:tcW w:w="547" w:type="pct"/>
            <w:tcBorders>
              <w:top w:val="nil"/>
              <w:left w:val="nil"/>
              <w:bottom w:val="single" w:sz="4" w:space="0" w:color="auto"/>
              <w:right w:val="single" w:sz="4" w:space="0" w:color="auto"/>
            </w:tcBorders>
            <w:shd w:val="clear" w:color="auto" w:fill="auto"/>
            <w:noWrap/>
            <w:vAlign w:val="center"/>
            <w:hideMark/>
          </w:tcPr>
          <w:p w14:paraId="2BAB610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30910854</w:t>
            </w:r>
          </w:p>
        </w:tc>
        <w:tc>
          <w:tcPr>
            <w:tcW w:w="3360" w:type="pct"/>
            <w:tcBorders>
              <w:top w:val="nil"/>
              <w:left w:val="nil"/>
              <w:bottom w:val="single" w:sz="4" w:space="0" w:color="auto"/>
              <w:right w:val="single" w:sz="4" w:space="0" w:color="auto"/>
            </w:tcBorders>
            <w:shd w:val="clear" w:color="auto" w:fill="auto"/>
            <w:vAlign w:val="center"/>
            <w:hideMark/>
          </w:tcPr>
          <w:p w14:paraId="68B60AC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ZAVOD ZA USPOSABLJANJE, DELO IN VARSTVO DR. MARIJANA BORŠTNARJA DORNAVA</w:t>
            </w:r>
          </w:p>
        </w:tc>
      </w:tr>
      <w:tr w:rsidR="00E3750C" w:rsidRPr="00415AB3" w14:paraId="29AFEA2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ADC02A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2102</w:t>
            </w:r>
          </w:p>
        </w:tc>
        <w:tc>
          <w:tcPr>
            <w:tcW w:w="705" w:type="pct"/>
            <w:tcBorders>
              <w:top w:val="nil"/>
              <w:left w:val="nil"/>
              <w:bottom w:val="single" w:sz="4" w:space="0" w:color="auto"/>
              <w:right w:val="single" w:sz="4" w:space="0" w:color="auto"/>
            </w:tcBorders>
            <w:shd w:val="clear" w:color="auto" w:fill="auto"/>
            <w:noWrap/>
            <w:vAlign w:val="center"/>
            <w:hideMark/>
          </w:tcPr>
          <w:p w14:paraId="355FBA0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5554195000</w:t>
            </w:r>
          </w:p>
        </w:tc>
        <w:tc>
          <w:tcPr>
            <w:tcW w:w="547" w:type="pct"/>
            <w:tcBorders>
              <w:top w:val="nil"/>
              <w:left w:val="nil"/>
              <w:bottom w:val="single" w:sz="4" w:space="0" w:color="auto"/>
              <w:right w:val="single" w:sz="4" w:space="0" w:color="auto"/>
            </w:tcBorders>
            <w:shd w:val="clear" w:color="auto" w:fill="auto"/>
            <w:noWrap/>
            <w:vAlign w:val="center"/>
            <w:hideMark/>
          </w:tcPr>
          <w:p w14:paraId="346FAEA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41698070</w:t>
            </w:r>
          </w:p>
        </w:tc>
        <w:tc>
          <w:tcPr>
            <w:tcW w:w="3360" w:type="pct"/>
            <w:tcBorders>
              <w:top w:val="nil"/>
              <w:left w:val="nil"/>
              <w:bottom w:val="single" w:sz="4" w:space="0" w:color="auto"/>
              <w:right w:val="single" w:sz="4" w:space="0" w:color="auto"/>
            </w:tcBorders>
            <w:shd w:val="clear" w:color="auto" w:fill="auto"/>
            <w:vAlign w:val="center"/>
            <w:hideMark/>
          </w:tcPr>
          <w:p w14:paraId="3B8CF56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ZAVOD ZA ZDRAVSTVENO ZAVAROVANJE SLOVENIJE</w:t>
            </w:r>
          </w:p>
        </w:tc>
      </w:tr>
      <w:tr w:rsidR="00E3750C" w:rsidRPr="00415AB3" w14:paraId="6E79E673"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CB6C3A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2103</w:t>
            </w:r>
          </w:p>
        </w:tc>
        <w:tc>
          <w:tcPr>
            <w:tcW w:w="705" w:type="pct"/>
            <w:tcBorders>
              <w:top w:val="nil"/>
              <w:left w:val="nil"/>
              <w:bottom w:val="single" w:sz="4" w:space="0" w:color="auto"/>
              <w:right w:val="single" w:sz="4" w:space="0" w:color="auto"/>
            </w:tcBorders>
            <w:shd w:val="clear" w:color="auto" w:fill="auto"/>
            <w:noWrap/>
            <w:vAlign w:val="center"/>
            <w:hideMark/>
          </w:tcPr>
          <w:p w14:paraId="6A7D475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5052289000</w:t>
            </w:r>
          </w:p>
        </w:tc>
        <w:tc>
          <w:tcPr>
            <w:tcW w:w="547" w:type="pct"/>
            <w:tcBorders>
              <w:top w:val="nil"/>
              <w:left w:val="nil"/>
              <w:bottom w:val="single" w:sz="4" w:space="0" w:color="auto"/>
              <w:right w:val="single" w:sz="4" w:space="0" w:color="auto"/>
            </w:tcBorders>
            <w:shd w:val="clear" w:color="auto" w:fill="auto"/>
            <w:noWrap/>
            <w:vAlign w:val="center"/>
            <w:hideMark/>
          </w:tcPr>
          <w:p w14:paraId="6327CF9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96416254</w:t>
            </w:r>
          </w:p>
        </w:tc>
        <w:tc>
          <w:tcPr>
            <w:tcW w:w="3360" w:type="pct"/>
            <w:tcBorders>
              <w:top w:val="nil"/>
              <w:left w:val="nil"/>
              <w:bottom w:val="single" w:sz="4" w:space="0" w:color="auto"/>
              <w:right w:val="single" w:sz="4" w:space="0" w:color="auto"/>
            </w:tcBorders>
            <w:shd w:val="clear" w:color="auto" w:fill="auto"/>
            <w:vAlign w:val="center"/>
            <w:hideMark/>
          </w:tcPr>
          <w:p w14:paraId="0953CA0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ZAVOD ZNANJE POSTOJNA, JAVNI ZAVOD ZA MUZEJSKO DEJAVNOST, KULTURO, IZOBRAŽEVANJE IN OSTALE DEJAVNOSTI</w:t>
            </w:r>
          </w:p>
        </w:tc>
      </w:tr>
      <w:tr w:rsidR="00E3750C" w:rsidRPr="00415AB3" w14:paraId="6789A94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58AB24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2104</w:t>
            </w:r>
          </w:p>
        </w:tc>
        <w:tc>
          <w:tcPr>
            <w:tcW w:w="705" w:type="pct"/>
            <w:tcBorders>
              <w:top w:val="nil"/>
              <w:left w:val="nil"/>
              <w:bottom w:val="single" w:sz="4" w:space="0" w:color="auto"/>
              <w:right w:val="single" w:sz="4" w:space="0" w:color="auto"/>
            </w:tcBorders>
            <w:shd w:val="clear" w:color="auto" w:fill="auto"/>
            <w:noWrap/>
            <w:vAlign w:val="center"/>
            <w:hideMark/>
          </w:tcPr>
          <w:p w14:paraId="44E71CC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5107164000</w:t>
            </w:r>
          </w:p>
        </w:tc>
        <w:tc>
          <w:tcPr>
            <w:tcW w:w="547" w:type="pct"/>
            <w:tcBorders>
              <w:top w:val="nil"/>
              <w:left w:val="nil"/>
              <w:bottom w:val="single" w:sz="4" w:space="0" w:color="auto"/>
              <w:right w:val="single" w:sz="4" w:space="0" w:color="auto"/>
            </w:tcBorders>
            <w:shd w:val="clear" w:color="auto" w:fill="auto"/>
            <w:noWrap/>
            <w:vAlign w:val="center"/>
            <w:hideMark/>
          </w:tcPr>
          <w:p w14:paraId="71489C5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39847128</w:t>
            </w:r>
          </w:p>
        </w:tc>
        <w:tc>
          <w:tcPr>
            <w:tcW w:w="3360" w:type="pct"/>
            <w:tcBorders>
              <w:top w:val="nil"/>
              <w:left w:val="nil"/>
              <w:bottom w:val="single" w:sz="4" w:space="0" w:color="auto"/>
              <w:right w:val="single" w:sz="4" w:space="0" w:color="auto"/>
            </w:tcBorders>
            <w:shd w:val="clear" w:color="auto" w:fill="auto"/>
            <w:vAlign w:val="center"/>
            <w:hideMark/>
          </w:tcPr>
          <w:p w14:paraId="09A3AF5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AJDOVŠČINA</w:t>
            </w:r>
          </w:p>
        </w:tc>
      </w:tr>
      <w:tr w:rsidR="00E3750C" w:rsidRPr="00415AB3" w14:paraId="054BBEB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730672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2105</w:t>
            </w:r>
          </w:p>
        </w:tc>
        <w:tc>
          <w:tcPr>
            <w:tcW w:w="705" w:type="pct"/>
            <w:tcBorders>
              <w:top w:val="nil"/>
              <w:left w:val="nil"/>
              <w:bottom w:val="single" w:sz="4" w:space="0" w:color="auto"/>
              <w:right w:val="single" w:sz="4" w:space="0" w:color="auto"/>
            </w:tcBorders>
            <w:shd w:val="clear" w:color="auto" w:fill="auto"/>
            <w:noWrap/>
            <w:vAlign w:val="center"/>
            <w:hideMark/>
          </w:tcPr>
          <w:p w14:paraId="06F32DC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5056268000</w:t>
            </w:r>
          </w:p>
        </w:tc>
        <w:tc>
          <w:tcPr>
            <w:tcW w:w="547" w:type="pct"/>
            <w:tcBorders>
              <w:top w:val="nil"/>
              <w:left w:val="nil"/>
              <w:bottom w:val="single" w:sz="4" w:space="0" w:color="auto"/>
              <w:right w:val="single" w:sz="4" w:space="0" w:color="auto"/>
            </w:tcBorders>
            <w:shd w:val="clear" w:color="auto" w:fill="auto"/>
            <w:noWrap/>
            <w:vAlign w:val="center"/>
            <w:hideMark/>
          </w:tcPr>
          <w:p w14:paraId="3A2ED0A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69835853</w:t>
            </w:r>
          </w:p>
        </w:tc>
        <w:tc>
          <w:tcPr>
            <w:tcW w:w="3360" w:type="pct"/>
            <w:tcBorders>
              <w:top w:val="nil"/>
              <w:left w:val="nil"/>
              <w:bottom w:val="single" w:sz="4" w:space="0" w:color="auto"/>
              <w:right w:val="single" w:sz="4" w:space="0" w:color="auto"/>
            </w:tcBorders>
            <w:shd w:val="clear" w:color="auto" w:fill="auto"/>
            <w:vAlign w:val="center"/>
            <w:hideMark/>
          </w:tcPr>
          <w:p w14:paraId="31076F7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BREŽICE</w:t>
            </w:r>
          </w:p>
        </w:tc>
      </w:tr>
      <w:tr w:rsidR="00E3750C" w:rsidRPr="00415AB3" w14:paraId="515E22C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5E0127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2106</w:t>
            </w:r>
          </w:p>
        </w:tc>
        <w:tc>
          <w:tcPr>
            <w:tcW w:w="705" w:type="pct"/>
            <w:tcBorders>
              <w:top w:val="nil"/>
              <w:left w:val="nil"/>
              <w:bottom w:val="single" w:sz="4" w:space="0" w:color="auto"/>
              <w:right w:val="single" w:sz="4" w:space="0" w:color="auto"/>
            </w:tcBorders>
            <w:shd w:val="clear" w:color="auto" w:fill="auto"/>
            <w:noWrap/>
            <w:vAlign w:val="center"/>
            <w:hideMark/>
          </w:tcPr>
          <w:p w14:paraId="40319B4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5619017000</w:t>
            </w:r>
          </w:p>
        </w:tc>
        <w:tc>
          <w:tcPr>
            <w:tcW w:w="547" w:type="pct"/>
            <w:tcBorders>
              <w:top w:val="nil"/>
              <w:left w:val="nil"/>
              <w:bottom w:val="single" w:sz="4" w:space="0" w:color="auto"/>
              <w:right w:val="single" w:sz="4" w:space="0" w:color="auto"/>
            </w:tcBorders>
            <w:shd w:val="clear" w:color="auto" w:fill="auto"/>
            <w:noWrap/>
            <w:vAlign w:val="center"/>
            <w:hideMark/>
          </w:tcPr>
          <w:p w14:paraId="4A1FAFA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56373538</w:t>
            </w:r>
          </w:p>
        </w:tc>
        <w:tc>
          <w:tcPr>
            <w:tcW w:w="3360" w:type="pct"/>
            <w:tcBorders>
              <w:top w:val="nil"/>
              <w:left w:val="nil"/>
              <w:bottom w:val="single" w:sz="4" w:space="0" w:color="auto"/>
              <w:right w:val="single" w:sz="4" w:space="0" w:color="auto"/>
            </w:tcBorders>
            <w:shd w:val="clear" w:color="auto" w:fill="auto"/>
            <w:vAlign w:val="center"/>
            <w:hideMark/>
          </w:tcPr>
          <w:p w14:paraId="3CA2ECA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CELJE</w:t>
            </w:r>
          </w:p>
        </w:tc>
      </w:tr>
      <w:tr w:rsidR="00E3750C" w:rsidRPr="00415AB3" w14:paraId="1E25A9B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369112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2107</w:t>
            </w:r>
          </w:p>
        </w:tc>
        <w:tc>
          <w:tcPr>
            <w:tcW w:w="705" w:type="pct"/>
            <w:tcBorders>
              <w:top w:val="nil"/>
              <w:left w:val="nil"/>
              <w:bottom w:val="single" w:sz="4" w:space="0" w:color="auto"/>
              <w:right w:val="single" w:sz="4" w:space="0" w:color="auto"/>
            </w:tcBorders>
            <w:shd w:val="clear" w:color="auto" w:fill="auto"/>
            <w:noWrap/>
            <w:vAlign w:val="center"/>
            <w:hideMark/>
          </w:tcPr>
          <w:p w14:paraId="10C3A50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5054605000</w:t>
            </w:r>
          </w:p>
        </w:tc>
        <w:tc>
          <w:tcPr>
            <w:tcW w:w="547" w:type="pct"/>
            <w:tcBorders>
              <w:top w:val="nil"/>
              <w:left w:val="nil"/>
              <w:bottom w:val="single" w:sz="4" w:space="0" w:color="auto"/>
              <w:right w:val="single" w:sz="4" w:space="0" w:color="auto"/>
            </w:tcBorders>
            <w:shd w:val="clear" w:color="auto" w:fill="auto"/>
            <w:noWrap/>
            <w:vAlign w:val="center"/>
            <w:hideMark/>
          </w:tcPr>
          <w:p w14:paraId="3C9E457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21020442</w:t>
            </w:r>
          </w:p>
        </w:tc>
        <w:tc>
          <w:tcPr>
            <w:tcW w:w="3360" w:type="pct"/>
            <w:tcBorders>
              <w:top w:val="nil"/>
              <w:left w:val="nil"/>
              <w:bottom w:val="single" w:sz="4" w:space="0" w:color="auto"/>
              <w:right w:val="single" w:sz="4" w:space="0" w:color="auto"/>
            </w:tcBorders>
            <w:shd w:val="clear" w:color="auto" w:fill="auto"/>
            <w:vAlign w:val="center"/>
            <w:hideMark/>
          </w:tcPr>
          <w:p w14:paraId="1EDCF81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ČRNOMELJ</w:t>
            </w:r>
          </w:p>
        </w:tc>
      </w:tr>
      <w:tr w:rsidR="00E3750C" w:rsidRPr="00415AB3" w14:paraId="5A36ED2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5EC05B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2108</w:t>
            </w:r>
          </w:p>
        </w:tc>
        <w:tc>
          <w:tcPr>
            <w:tcW w:w="705" w:type="pct"/>
            <w:tcBorders>
              <w:top w:val="nil"/>
              <w:left w:val="nil"/>
              <w:bottom w:val="single" w:sz="4" w:space="0" w:color="auto"/>
              <w:right w:val="single" w:sz="4" w:space="0" w:color="auto"/>
            </w:tcBorders>
            <w:shd w:val="clear" w:color="auto" w:fill="auto"/>
            <w:noWrap/>
            <w:vAlign w:val="center"/>
            <w:hideMark/>
          </w:tcPr>
          <w:p w14:paraId="6AA4984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5500931000</w:t>
            </w:r>
          </w:p>
        </w:tc>
        <w:tc>
          <w:tcPr>
            <w:tcW w:w="547" w:type="pct"/>
            <w:tcBorders>
              <w:top w:val="nil"/>
              <w:left w:val="nil"/>
              <w:bottom w:val="single" w:sz="4" w:space="0" w:color="auto"/>
              <w:right w:val="single" w:sz="4" w:space="0" w:color="auto"/>
            </w:tcBorders>
            <w:shd w:val="clear" w:color="auto" w:fill="auto"/>
            <w:noWrap/>
            <w:vAlign w:val="center"/>
            <w:hideMark/>
          </w:tcPr>
          <w:p w14:paraId="477277E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88946347</w:t>
            </w:r>
          </w:p>
        </w:tc>
        <w:tc>
          <w:tcPr>
            <w:tcW w:w="3360" w:type="pct"/>
            <w:tcBorders>
              <w:top w:val="nil"/>
              <w:left w:val="nil"/>
              <w:bottom w:val="single" w:sz="4" w:space="0" w:color="auto"/>
              <w:right w:val="single" w:sz="4" w:space="0" w:color="auto"/>
            </w:tcBorders>
            <w:shd w:val="clear" w:color="auto" w:fill="auto"/>
            <w:vAlign w:val="center"/>
            <w:hideMark/>
          </w:tcPr>
          <w:p w14:paraId="0D6E441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DOMŽALE</w:t>
            </w:r>
          </w:p>
        </w:tc>
      </w:tr>
      <w:tr w:rsidR="00E3750C" w:rsidRPr="00415AB3" w14:paraId="44F738C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83530B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2109</w:t>
            </w:r>
          </w:p>
        </w:tc>
        <w:tc>
          <w:tcPr>
            <w:tcW w:w="705" w:type="pct"/>
            <w:tcBorders>
              <w:top w:val="nil"/>
              <w:left w:val="nil"/>
              <w:bottom w:val="single" w:sz="4" w:space="0" w:color="auto"/>
              <w:right w:val="single" w:sz="4" w:space="0" w:color="auto"/>
            </w:tcBorders>
            <w:shd w:val="clear" w:color="auto" w:fill="auto"/>
            <w:noWrap/>
            <w:vAlign w:val="center"/>
            <w:hideMark/>
          </w:tcPr>
          <w:p w14:paraId="7B998DE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5054095000</w:t>
            </w:r>
          </w:p>
        </w:tc>
        <w:tc>
          <w:tcPr>
            <w:tcW w:w="547" w:type="pct"/>
            <w:tcBorders>
              <w:top w:val="nil"/>
              <w:left w:val="nil"/>
              <w:bottom w:val="single" w:sz="4" w:space="0" w:color="auto"/>
              <w:right w:val="single" w:sz="4" w:space="0" w:color="auto"/>
            </w:tcBorders>
            <w:shd w:val="clear" w:color="auto" w:fill="auto"/>
            <w:noWrap/>
            <w:vAlign w:val="center"/>
            <w:hideMark/>
          </w:tcPr>
          <w:p w14:paraId="4CE5B91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49672509</w:t>
            </w:r>
          </w:p>
        </w:tc>
        <w:tc>
          <w:tcPr>
            <w:tcW w:w="3360" w:type="pct"/>
            <w:tcBorders>
              <w:top w:val="nil"/>
              <w:left w:val="nil"/>
              <w:bottom w:val="single" w:sz="4" w:space="0" w:color="auto"/>
              <w:right w:val="single" w:sz="4" w:space="0" w:color="auto"/>
            </w:tcBorders>
            <w:shd w:val="clear" w:color="auto" w:fill="auto"/>
            <w:vAlign w:val="center"/>
            <w:hideMark/>
          </w:tcPr>
          <w:p w14:paraId="23F9E5F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DR. ADOLFA DROLCA MARIBOR</w:t>
            </w:r>
          </w:p>
        </w:tc>
      </w:tr>
      <w:tr w:rsidR="00E3750C" w:rsidRPr="00415AB3" w14:paraId="7F49061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B4AD9A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2110</w:t>
            </w:r>
          </w:p>
        </w:tc>
        <w:tc>
          <w:tcPr>
            <w:tcW w:w="705" w:type="pct"/>
            <w:tcBorders>
              <w:top w:val="nil"/>
              <w:left w:val="nil"/>
              <w:bottom w:val="single" w:sz="4" w:space="0" w:color="auto"/>
              <w:right w:val="single" w:sz="4" w:space="0" w:color="auto"/>
            </w:tcBorders>
            <w:shd w:val="clear" w:color="auto" w:fill="auto"/>
            <w:noWrap/>
            <w:vAlign w:val="center"/>
            <w:hideMark/>
          </w:tcPr>
          <w:p w14:paraId="618DAD7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5158842000</w:t>
            </w:r>
          </w:p>
        </w:tc>
        <w:tc>
          <w:tcPr>
            <w:tcW w:w="547" w:type="pct"/>
            <w:tcBorders>
              <w:top w:val="nil"/>
              <w:left w:val="nil"/>
              <w:bottom w:val="single" w:sz="4" w:space="0" w:color="auto"/>
              <w:right w:val="single" w:sz="4" w:space="0" w:color="auto"/>
            </w:tcBorders>
            <w:shd w:val="clear" w:color="auto" w:fill="auto"/>
            <w:noWrap/>
            <w:vAlign w:val="center"/>
            <w:hideMark/>
          </w:tcPr>
          <w:p w14:paraId="1343C1F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83479007</w:t>
            </w:r>
          </w:p>
        </w:tc>
        <w:tc>
          <w:tcPr>
            <w:tcW w:w="3360" w:type="pct"/>
            <w:tcBorders>
              <w:top w:val="nil"/>
              <w:left w:val="nil"/>
              <w:bottom w:val="single" w:sz="4" w:space="0" w:color="auto"/>
              <w:right w:val="single" w:sz="4" w:space="0" w:color="auto"/>
            </w:tcBorders>
            <w:shd w:val="clear" w:color="auto" w:fill="auto"/>
            <w:vAlign w:val="center"/>
            <w:hideMark/>
          </w:tcPr>
          <w:p w14:paraId="2974C22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DR. BOŽIDARJA LAVRIČA - CERKNICA</w:t>
            </w:r>
          </w:p>
        </w:tc>
      </w:tr>
      <w:tr w:rsidR="00E3750C" w:rsidRPr="00415AB3" w14:paraId="41A6EC3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F7B9BD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2111</w:t>
            </w:r>
          </w:p>
        </w:tc>
        <w:tc>
          <w:tcPr>
            <w:tcW w:w="705" w:type="pct"/>
            <w:tcBorders>
              <w:top w:val="nil"/>
              <w:left w:val="nil"/>
              <w:bottom w:val="single" w:sz="4" w:space="0" w:color="auto"/>
              <w:right w:val="single" w:sz="4" w:space="0" w:color="auto"/>
            </w:tcBorders>
            <w:shd w:val="clear" w:color="auto" w:fill="auto"/>
            <w:noWrap/>
            <w:vAlign w:val="center"/>
            <w:hideMark/>
          </w:tcPr>
          <w:p w14:paraId="341647C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5779138000</w:t>
            </w:r>
          </w:p>
        </w:tc>
        <w:tc>
          <w:tcPr>
            <w:tcW w:w="547" w:type="pct"/>
            <w:tcBorders>
              <w:top w:val="nil"/>
              <w:left w:val="nil"/>
              <w:bottom w:val="single" w:sz="4" w:space="0" w:color="auto"/>
              <w:right w:val="single" w:sz="4" w:space="0" w:color="auto"/>
            </w:tcBorders>
            <w:shd w:val="clear" w:color="auto" w:fill="auto"/>
            <w:noWrap/>
            <w:vAlign w:val="center"/>
            <w:hideMark/>
          </w:tcPr>
          <w:p w14:paraId="55CC210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72234911</w:t>
            </w:r>
          </w:p>
        </w:tc>
        <w:tc>
          <w:tcPr>
            <w:tcW w:w="3360" w:type="pct"/>
            <w:tcBorders>
              <w:top w:val="nil"/>
              <w:left w:val="nil"/>
              <w:bottom w:val="single" w:sz="4" w:space="0" w:color="auto"/>
              <w:right w:val="single" w:sz="4" w:space="0" w:color="auto"/>
            </w:tcBorders>
            <w:shd w:val="clear" w:color="auto" w:fill="auto"/>
            <w:vAlign w:val="center"/>
            <w:hideMark/>
          </w:tcPr>
          <w:p w14:paraId="131C599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DR. FRANCA AMBROŽIČA, POSTOJNA</w:t>
            </w:r>
          </w:p>
        </w:tc>
      </w:tr>
      <w:tr w:rsidR="00E3750C" w:rsidRPr="00415AB3" w14:paraId="1A1E508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BC0264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2112</w:t>
            </w:r>
          </w:p>
        </w:tc>
        <w:tc>
          <w:tcPr>
            <w:tcW w:w="705" w:type="pct"/>
            <w:tcBorders>
              <w:top w:val="nil"/>
              <w:left w:val="nil"/>
              <w:bottom w:val="single" w:sz="4" w:space="0" w:color="auto"/>
              <w:right w:val="single" w:sz="4" w:space="0" w:color="auto"/>
            </w:tcBorders>
            <w:shd w:val="clear" w:color="auto" w:fill="auto"/>
            <w:noWrap/>
            <w:vAlign w:val="center"/>
            <w:hideMark/>
          </w:tcPr>
          <w:p w14:paraId="55899C7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5169992000</w:t>
            </w:r>
          </w:p>
        </w:tc>
        <w:tc>
          <w:tcPr>
            <w:tcW w:w="547" w:type="pct"/>
            <w:tcBorders>
              <w:top w:val="nil"/>
              <w:left w:val="nil"/>
              <w:bottom w:val="single" w:sz="4" w:space="0" w:color="auto"/>
              <w:right w:val="single" w:sz="4" w:space="0" w:color="auto"/>
            </w:tcBorders>
            <w:shd w:val="clear" w:color="auto" w:fill="auto"/>
            <w:noWrap/>
            <w:vAlign w:val="center"/>
            <w:hideMark/>
          </w:tcPr>
          <w:p w14:paraId="1B44EBF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99071703</w:t>
            </w:r>
          </w:p>
        </w:tc>
        <w:tc>
          <w:tcPr>
            <w:tcW w:w="3360" w:type="pct"/>
            <w:tcBorders>
              <w:top w:val="nil"/>
              <w:left w:val="nil"/>
              <w:bottom w:val="single" w:sz="4" w:space="0" w:color="auto"/>
              <w:right w:val="single" w:sz="4" w:space="0" w:color="auto"/>
            </w:tcBorders>
            <w:shd w:val="clear" w:color="auto" w:fill="auto"/>
            <w:vAlign w:val="center"/>
            <w:hideMark/>
          </w:tcPr>
          <w:p w14:paraId="3E1DD91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DR. JANEZA ORAŽMA RIBNICA</w:t>
            </w:r>
          </w:p>
        </w:tc>
      </w:tr>
      <w:tr w:rsidR="00E3750C" w:rsidRPr="00415AB3" w14:paraId="2A12952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804FB1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2113</w:t>
            </w:r>
          </w:p>
        </w:tc>
        <w:tc>
          <w:tcPr>
            <w:tcW w:w="705" w:type="pct"/>
            <w:tcBorders>
              <w:top w:val="nil"/>
              <w:left w:val="nil"/>
              <w:bottom w:val="single" w:sz="4" w:space="0" w:color="auto"/>
              <w:right w:val="single" w:sz="4" w:space="0" w:color="auto"/>
            </w:tcBorders>
            <w:shd w:val="clear" w:color="auto" w:fill="auto"/>
            <w:noWrap/>
            <w:vAlign w:val="center"/>
            <w:hideMark/>
          </w:tcPr>
          <w:p w14:paraId="1221F20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5636540000</w:t>
            </w:r>
          </w:p>
        </w:tc>
        <w:tc>
          <w:tcPr>
            <w:tcW w:w="547" w:type="pct"/>
            <w:tcBorders>
              <w:top w:val="nil"/>
              <w:left w:val="nil"/>
              <w:bottom w:val="single" w:sz="4" w:space="0" w:color="auto"/>
              <w:right w:val="single" w:sz="4" w:space="0" w:color="auto"/>
            </w:tcBorders>
            <w:shd w:val="clear" w:color="auto" w:fill="auto"/>
            <w:noWrap/>
            <w:vAlign w:val="center"/>
            <w:hideMark/>
          </w:tcPr>
          <w:p w14:paraId="3B4EF1B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16739116</w:t>
            </w:r>
          </w:p>
        </w:tc>
        <w:tc>
          <w:tcPr>
            <w:tcW w:w="3360" w:type="pct"/>
            <w:tcBorders>
              <w:top w:val="nil"/>
              <w:left w:val="nil"/>
              <w:bottom w:val="single" w:sz="4" w:space="0" w:color="auto"/>
              <w:right w:val="single" w:sz="4" w:space="0" w:color="auto"/>
            </w:tcBorders>
            <w:shd w:val="clear" w:color="auto" w:fill="auto"/>
            <w:vAlign w:val="center"/>
            <w:hideMark/>
          </w:tcPr>
          <w:p w14:paraId="5E9C37B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DR. JOŽETA POTRATE ŽALEC</w:t>
            </w:r>
          </w:p>
        </w:tc>
      </w:tr>
      <w:tr w:rsidR="00E3750C" w:rsidRPr="00415AB3" w14:paraId="66F51A3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5F147B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2114</w:t>
            </w:r>
          </w:p>
        </w:tc>
        <w:tc>
          <w:tcPr>
            <w:tcW w:w="705" w:type="pct"/>
            <w:tcBorders>
              <w:top w:val="nil"/>
              <w:left w:val="nil"/>
              <w:bottom w:val="single" w:sz="4" w:space="0" w:color="auto"/>
              <w:right w:val="single" w:sz="4" w:space="0" w:color="auto"/>
            </w:tcBorders>
            <w:shd w:val="clear" w:color="auto" w:fill="auto"/>
            <w:noWrap/>
            <w:vAlign w:val="center"/>
            <w:hideMark/>
          </w:tcPr>
          <w:p w14:paraId="345A3BE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5056853000</w:t>
            </w:r>
          </w:p>
        </w:tc>
        <w:tc>
          <w:tcPr>
            <w:tcW w:w="547" w:type="pct"/>
            <w:tcBorders>
              <w:top w:val="nil"/>
              <w:left w:val="nil"/>
              <w:bottom w:val="single" w:sz="4" w:space="0" w:color="auto"/>
              <w:right w:val="single" w:sz="4" w:space="0" w:color="auto"/>
            </w:tcBorders>
            <w:shd w:val="clear" w:color="auto" w:fill="auto"/>
            <w:noWrap/>
            <w:vAlign w:val="center"/>
            <w:hideMark/>
          </w:tcPr>
          <w:p w14:paraId="04B9251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15049736</w:t>
            </w:r>
          </w:p>
        </w:tc>
        <w:tc>
          <w:tcPr>
            <w:tcW w:w="3360" w:type="pct"/>
            <w:tcBorders>
              <w:top w:val="nil"/>
              <w:left w:val="nil"/>
              <w:bottom w:val="single" w:sz="4" w:space="0" w:color="auto"/>
              <w:right w:val="single" w:sz="4" w:space="0" w:color="auto"/>
            </w:tcBorders>
            <w:shd w:val="clear" w:color="auto" w:fill="auto"/>
            <w:vAlign w:val="center"/>
            <w:hideMark/>
          </w:tcPr>
          <w:p w14:paraId="4DD1068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DR. JULIJA POLCA KAMNIK</w:t>
            </w:r>
          </w:p>
        </w:tc>
      </w:tr>
      <w:tr w:rsidR="00E3750C" w:rsidRPr="00415AB3" w14:paraId="3242F96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3FBF61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2115</w:t>
            </w:r>
          </w:p>
        </w:tc>
        <w:tc>
          <w:tcPr>
            <w:tcW w:w="705" w:type="pct"/>
            <w:tcBorders>
              <w:top w:val="nil"/>
              <w:left w:val="nil"/>
              <w:bottom w:val="single" w:sz="4" w:space="0" w:color="auto"/>
              <w:right w:val="single" w:sz="4" w:space="0" w:color="auto"/>
            </w:tcBorders>
            <w:shd w:val="clear" w:color="auto" w:fill="auto"/>
            <w:noWrap/>
            <w:vAlign w:val="center"/>
            <w:hideMark/>
          </w:tcPr>
          <w:p w14:paraId="541CB41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5858267000</w:t>
            </w:r>
          </w:p>
        </w:tc>
        <w:tc>
          <w:tcPr>
            <w:tcW w:w="547" w:type="pct"/>
            <w:tcBorders>
              <w:top w:val="nil"/>
              <w:left w:val="nil"/>
              <w:bottom w:val="single" w:sz="4" w:space="0" w:color="auto"/>
              <w:right w:val="single" w:sz="4" w:space="0" w:color="auto"/>
            </w:tcBorders>
            <w:shd w:val="clear" w:color="auto" w:fill="auto"/>
            <w:noWrap/>
            <w:vAlign w:val="center"/>
            <w:hideMark/>
          </w:tcPr>
          <w:p w14:paraId="6C3580C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25782568</w:t>
            </w:r>
          </w:p>
        </w:tc>
        <w:tc>
          <w:tcPr>
            <w:tcW w:w="3360" w:type="pct"/>
            <w:tcBorders>
              <w:top w:val="nil"/>
              <w:left w:val="nil"/>
              <w:bottom w:val="single" w:sz="4" w:space="0" w:color="auto"/>
              <w:right w:val="single" w:sz="4" w:space="0" w:color="auto"/>
            </w:tcBorders>
            <w:shd w:val="clear" w:color="auto" w:fill="auto"/>
            <w:vAlign w:val="center"/>
            <w:hideMark/>
          </w:tcPr>
          <w:p w14:paraId="5B99B1B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GORNJA RADGONA</w:t>
            </w:r>
          </w:p>
        </w:tc>
      </w:tr>
      <w:tr w:rsidR="00E3750C" w:rsidRPr="00415AB3" w14:paraId="15607DE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E674C1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2116</w:t>
            </w:r>
          </w:p>
        </w:tc>
        <w:tc>
          <w:tcPr>
            <w:tcW w:w="705" w:type="pct"/>
            <w:tcBorders>
              <w:top w:val="nil"/>
              <w:left w:val="nil"/>
              <w:bottom w:val="single" w:sz="4" w:space="0" w:color="auto"/>
              <w:right w:val="single" w:sz="4" w:space="0" w:color="auto"/>
            </w:tcBorders>
            <w:shd w:val="clear" w:color="auto" w:fill="auto"/>
            <w:noWrap/>
            <w:vAlign w:val="center"/>
            <w:hideMark/>
          </w:tcPr>
          <w:p w14:paraId="6BDF26D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1192582000</w:t>
            </w:r>
          </w:p>
        </w:tc>
        <w:tc>
          <w:tcPr>
            <w:tcW w:w="547" w:type="pct"/>
            <w:tcBorders>
              <w:top w:val="nil"/>
              <w:left w:val="nil"/>
              <w:bottom w:val="single" w:sz="4" w:space="0" w:color="auto"/>
              <w:right w:val="single" w:sz="4" w:space="0" w:color="auto"/>
            </w:tcBorders>
            <w:shd w:val="clear" w:color="auto" w:fill="auto"/>
            <w:noWrap/>
            <w:vAlign w:val="center"/>
            <w:hideMark/>
          </w:tcPr>
          <w:p w14:paraId="6AE1ABB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55156614</w:t>
            </w:r>
          </w:p>
        </w:tc>
        <w:tc>
          <w:tcPr>
            <w:tcW w:w="3360" w:type="pct"/>
            <w:tcBorders>
              <w:top w:val="nil"/>
              <w:left w:val="nil"/>
              <w:bottom w:val="single" w:sz="4" w:space="0" w:color="auto"/>
              <w:right w:val="single" w:sz="4" w:space="0" w:color="auto"/>
            </w:tcBorders>
            <w:shd w:val="clear" w:color="auto" w:fill="auto"/>
            <w:vAlign w:val="center"/>
            <w:hideMark/>
          </w:tcPr>
          <w:p w14:paraId="6E8592E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GROSUPLJE</w:t>
            </w:r>
          </w:p>
        </w:tc>
      </w:tr>
      <w:tr w:rsidR="00E3750C" w:rsidRPr="00415AB3" w14:paraId="75160570"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1CB01B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2117</w:t>
            </w:r>
          </w:p>
        </w:tc>
        <w:tc>
          <w:tcPr>
            <w:tcW w:w="705" w:type="pct"/>
            <w:tcBorders>
              <w:top w:val="nil"/>
              <w:left w:val="nil"/>
              <w:bottom w:val="single" w:sz="4" w:space="0" w:color="auto"/>
              <w:right w:val="single" w:sz="4" w:space="0" w:color="auto"/>
            </w:tcBorders>
            <w:shd w:val="clear" w:color="auto" w:fill="auto"/>
            <w:noWrap/>
            <w:vAlign w:val="center"/>
            <w:hideMark/>
          </w:tcPr>
          <w:p w14:paraId="540E0B3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5063086000</w:t>
            </w:r>
          </w:p>
        </w:tc>
        <w:tc>
          <w:tcPr>
            <w:tcW w:w="547" w:type="pct"/>
            <w:tcBorders>
              <w:top w:val="nil"/>
              <w:left w:val="nil"/>
              <w:bottom w:val="single" w:sz="4" w:space="0" w:color="auto"/>
              <w:right w:val="single" w:sz="4" w:space="0" w:color="auto"/>
            </w:tcBorders>
            <w:shd w:val="clear" w:color="auto" w:fill="auto"/>
            <w:noWrap/>
            <w:vAlign w:val="center"/>
            <w:hideMark/>
          </w:tcPr>
          <w:p w14:paraId="39D23F1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40459454</w:t>
            </w:r>
          </w:p>
        </w:tc>
        <w:tc>
          <w:tcPr>
            <w:tcW w:w="3360" w:type="pct"/>
            <w:tcBorders>
              <w:top w:val="nil"/>
              <w:left w:val="nil"/>
              <w:bottom w:val="single" w:sz="4" w:space="0" w:color="auto"/>
              <w:right w:val="single" w:sz="4" w:space="0" w:color="auto"/>
            </w:tcBorders>
            <w:shd w:val="clear" w:color="auto" w:fill="auto"/>
            <w:vAlign w:val="center"/>
            <w:hideMark/>
          </w:tcPr>
          <w:p w14:paraId="51CB089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HRASTNIK</w:t>
            </w:r>
          </w:p>
        </w:tc>
      </w:tr>
      <w:tr w:rsidR="00E3750C" w:rsidRPr="00415AB3" w14:paraId="07D754F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8DB7F7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2118</w:t>
            </w:r>
          </w:p>
        </w:tc>
        <w:tc>
          <w:tcPr>
            <w:tcW w:w="705" w:type="pct"/>
            <w:tcBorders>
              <w:top w:val="nil"/>
              <w:left w:val="nil"/>
              <w:bottom w:val="single" w:sz="4" w:space="0" w:color="auto"/>
              <w:right w:val="single" w:sz="4" w:space="0" w:color="auto"/>
            </w:tcBorders>
            <w:shd w:val="clear" w:color="auto" w:fill="auto"/>
            <w:noWrap/>
            <w:vAlign w:val="center"/>
            <w:hideMark/>
          </w:tcPr>
          <w:p w14:paraId="47B4DF4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5158869000</w:t>
            </w:r>
          </w:p>
        </w:tc>
        <w:tc>
          <w:tcPr>
            <w:tcW w:w="547" w:type="pct"/>
            <w:tcBorders>
              <w:top w:val="nil"/>
              <w:left w:val="nil"/>
              <w:bottom w:val="single" w:sz="4" w:space="0" w:color="auto"/>
              <w:right w:val="single" w:sz="4" w:space="0" w:color="auto"/>
            </w:tcBorders>
            <w:shd w:val="clear" w:color="auto" w:fill="auto"/>
            <w:noWrap/>
            <w:vAlign w:val="center"/>
            <w:hideMark/>
          </w:tcPr>
          <w:p w14:paraId="00E7713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58621334</w:t>
            </w:r>
          </w:p>
        </w:tc>
        <w:tc>
          <w:tcPr>
            <w:tcW w:w="3360" w:type="pct"/>
            <w:tcBorders>
              <w:top w:val="nil"/>
              <w:left w:val="nil"/>
              <w:bottom w:val="single" w:sz="4" w:space="0" w:color="auto"/>
              <w:right w:val="single" w:sz="4" w:space="0" w:color="auto"/>
            </w:tcBorders>
            <w:shd w:val="clear" w:color="auto" w:fill="auto"/>
            <w:vAlign w:val="center"/>
            <w:hideMark/>
          </w:tcPr>
          <w:p w14:paraId="49EF994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IDRIJA</w:t>
            </w:r>
          </w:p>
        </w:tc>
      </w:tr>
      <w:tr w:rsidR="00E3750C" w:rsidRPr="00415AB3" w14:paraId="338FD22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AE4554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2119</w:t>
            </w:r>
          </w:p>
        </w:tc>
        <w:tc>
          <w:tcPr>
            <w:tcW w:w="705" w:type="pct"/>
            <w:tcBorders>
              <w:top w:val="nil"/>
              <w:left w:val="nil"/>
              <w:bottom w:val="single" w:sz="4" w:space="0" w:color="auto"/>
              <w:right w:val="single" w:sz="4" w:space="0" w:color="auto"/>
            </w:tcBorders>
            <w:shd w:val="clear" w:color="auto" w:fill="auto"/>
            <w:noWrap/>
            <w:vAlign w:val="center"/>
            <w:hideMark/>
          </w:tcPr>
          <w:p w14:paraId="54A9AB0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5779081000</w:t>
            </w:r>
          </w:p>
        </w:tc>
        <w:tc>
          <w:tcPr>
            <w:tcW w:w="547" w:type="pct"/>
            <w:tcBorders>
              <w:top w:val="nil"/>
              <w:left w:val="nil"/>
              <w:bottom w:val="single" w:sz="4" w:space="0" w:color="auto"/>
              <w:right w:val="single" w:sz="4" w:space="0" w:color="auto"/>
            </w:tcBorders>
            <w:shd w:val="clear" w:color="auto" w:fill="auto"/>
            <w:noWrap/>
            <w:vAlign w:val="center"/>
            <w:hideMark/>
          </w:tcPr>
          <w:p w14:paraId="0C1280E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55050077</w:t>
            </w:r>
          </w:p>
        </w:tc>
        <w:tc>
          <w:tcPr>
            <w:tcW w:w="3360" w:type="pct"/>
            <w:tcBorders>
              <w:top w:val="nil"/>
              <w:left w:val="nil"/>
              <w:bottom w:val="single" w:sz="4" w:space="0" w:color="auto"/>
              <w:right w:val="single" w:sz="4" w:space="0" w:color="auto"/>
            </w:tcBorders>
            <w:shd w:val="clear" w:color="auto" w:fill="auto"/>
            <w:vAlign w:val="center"/>
            <w:hideMark/>
          </w:tcPr>
          <w:p w14:paraId="3CE836E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ILIRSKA BISTRICA</w:t>
            </w:r>
          </w:p>
        </w:tc>
      </w:tr>
      <w:tr w:rsidR="00E3750C" w:rsidRPr="00415AB3" w14:paraId="34E69C6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F7D000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2120</w:t>
            </w:r>
          </w:p>
        </w:tc>
        <w:tc>
          <w:tcPr>
            <w:tcW w:w="705" w:type="pct"/>
            <w:tcBorders>
              <w:top w:val="nil"/>
              <w:left w:val="nil"/>
              <w:bottom w:val="single" w:sz="4" w:space="0" w:color="auto"/>
              <w:right w:val="single" w:sz="4" w:space="0" w:color="auto"/>
            </w:tcBorders>
            <w:shd w:val="clear" w:color="auto" w:fill="auto"/>
            <w:noWrap/>
            <w:vAlign w:val="center"/>
            <w:hideMark/>
          </w:tcPr>
          <w:p w14:paraId="6976BD5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1192574000</w:t>
            </w:r>
          </w:p>
        </w:tc>
        <w:tc>
          <w:tcPr>
            <w:tcW w:w="547" w:type="pct"/>
            <w:tcBorders>
              <w:top w:val="nil"/>
              <w:left w:val="nil"/>
              <w:bottom w:val="single" w:sz="4" w:space="0" w:color="auto"/>
              <w:right w:val="single" w:sz="4" w:space="0" w:color="auto"/>
            </w:tcBorders>
            <w:shd w:val="clear" w:color="auto" w:fill="auto"/>
            <w:noWrap/>
            <w:vAlign w:val="center"/>
            <w:hideMark/>
          </w:tcPr>
          <w:p w14:paraId="0B49D62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92521045</w:t>
            </w:r>
          </w:p>
        </w:tc>
        <w:tc>
          <w:tcPr>
            <w:tcW w:w="3360" w:type="pct"/>
            <w:tcBorders>
              <w:top w:val="nil"/>
              <w:left w:val="nil"/>
              <w:bottom w:val="single" w:sz="4" w:space="0" w:color="auto"/>
              <w:right w:val="single" w:sz="4" w:space="0" w:color="auto"/>
            </w:tcBorders>
            <w:shd w:val="clear" w:color="auto" w:fill="auto"/>
            <w:vAlign w:val="center"/>
            <w:hideMark/>
          </w:tcPr>
          <w:p w14:paraId="2AA91DB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IVANČNA GORICA</w:t>
            </w:r>
          </w:p>
        </w:tc>
      </w:tr>
      <w:tr w:rsidR="00E3750C" w:rsidRPr="00415AB3" w14:paraId="636A6ED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E0ACC8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2121</w:t>
            </w:r>
          </w:p>
        </w:tc>
        <w:tc>
          <w:tcPr>
            <w:tcW w:w="705" w:type="pct"/>
            <w:tcBorders>
              <w:top w:val="nil"/>
              <w:left w:val="nil"/>
              <w:bottom w:val="single" w:sz="4" w:space="0" w:color="auto"/>
              <w:right w:val="single" w:sz="4" w:space="0" w:color="auto"/>
            </w:tcBorders>
            <w:shd w:val="clear" w:color="auto" w:fill="auto"/>
            <w:noWrap/>
            <w:vAlign w:val="center"/>
            <w:hideMark/>
          </w:tcPr>
          <w:p w14:paraId="4F53FD0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5748569000</w:t>
            </w:r>
          </w:p>
        </w:tc>
        <w:tc>
          <w:tcPr>
            <w:tcW w:w="547" w:type="pct"/>
            <w:tcBorders>
              <w:top w:val="nil"/>
              <w:left w:val="nil"/>
              <w:bottom w:val="single" w:sz="4" w:space="0" w:color="auto"/>
              <w:right w:val="single" w:sz="4" w:space="0" w:color="auto"/>
            </w:tcBorders>
            <w:shd w:val="clear" w:color="auto" w:fill="auto"/>
            <w:noWrap/>
            <w:vAlign w:val="center"/>
            <w:hideMark/>
          </w:tcPr>
          <w:p w14:paraId="641DD32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98216007</w:t>
            </w:r>
          </w:p>
        </w:tc>
        <w:tc>
          <w:tcPr>
            <w:tcW w:w="3360" w:type="pct"/>
            <w:tcBorders>
              <w:top w:val="nil"/>
              <w:left w:val="nil"/>
              <w:bottom w:val="single" w:sz="4" w:space="0" w:color="auto"/>
              <w:right w:val="single" w:sz="4" w:space="0" w:color="auto"/>
            </w:tcBorders>
            <w:shd w:val="clear" w:color="auto" w:fill="auto"/>
            <w:vAlign w:val="center"/>
            <w:hideMark/>
          </w:tcPr>
          <w:p w14:paraId="673B279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IZOLA</w:t>
            </w:r>
          </w:p>
        </w:tc>
      </w:tr>
      <w:tr w:rsidR="00E3750C" w:rsidRPr="00415AB3" w14:paraId="055AC34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52B4E0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2122</w:t>
            </w:r>
          </w:p>
        </w:tc>
        <w:tc>
          <w:tcPr>
            <w:tcW w:w="705" w:type="pct"/>
            <w:tcBorders>
              <w:top w:val="nil"/>
              <w:left w:val="nil"/>
              <w:bottom w:val="single" w:sz="4" w:space="0" w:color="auto"/>
              <w:right w:val="single" w:sz="4" w:space="0" w:color="auto"/>
            </w:tcBorders>
            <w:shd w:val="clear" w:color="auto" w:fill="auto"/>
            <w:noWrap/>
            <w:vAlign w:val="center"/>
            <w:hideMark/>
          </w:tcPr>
          <w:p w14:paraId="695C47A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5728231000</w:t>
            </w:r>
          </w:p>
        </w:tc>
        <w:tc>
          <w:tcPr>
            <w:tcW w:w="547" w:type="pct"/>
            <w:tcBorders>
              <w:top w:val="nil"/>
              <w:left w:val="nil"/>
              <w:bottom w:val="single" w:sz="4" w:space="0" w:color="auto"/>
              <w:right w:val="single" w:sz="4" w:space="0" w:color="auto"/>
            </w:tcBorders>
            <w:shd w:val="clear" w:color="auto" w:fill="auto"/>
            <w:noWrap/>
            <w:vAlign w:val="center"/>
            <w:hideMark/>
          </w:tcPr>
          <w:p w14:paraId="143633A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41729358</w:t>
            </w:r>
          </w:p>
        </w:tc>
        <w:tc>
          <w:tcPr>
            <w:tcW w:w="3360" w:type="pct"/>
            <w:tcBorders>
              <w:top w:val="nil"/>
              <w:left w:val="nil"/>
              <w:bottom w:val="single" w:sz="4" w:space="0" w:color="auto"/>
              <w:right w:val="single" w:sz="4" w:space="0" w:color="auto"/>
            </w:tcBorders>
            <w:shd w:val="clear" w:color="auto" w:fill="auto"/>
            <w:vAlign w:val="center"/>
            <w:hideMark/>
          </w:tcPr>
          <w:p w14:paraId="7E6860E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KOPER CASA DELLA SANITA CAPODISTRIA</w:t>
            </w:r>
          </w:p>
        </w:tc>
      </w:tr>
      <w:tr w:rsidR="00E3750C" w:rsidRPr="00415AB3" w14:paraId="74C86515"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60265B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2123</w:t>
            </w:r>
          </w:p>
        </w:tc>
        <w:tc>
          <w:tcPr>
            <w:tcW w:w="705" w:type="pct"/>
            <w:tcBorders>
              <w:top w:val="nil"/>
              <w:left w:val="nil"/>
              <w:bottom w:val="single" w:sz="4" w:space="0" w:color="auto"/>
              <w:right w:val="single" w:sz="4" w:space="0" w:color="auto"/>
            </w:tcBorders>
            <w:shd w:val="clear" w:color="auto" w:fill="auto"/>
            <w:noWrap/>
            <w:vAlign w:val="center"/>
            <w:hideMark/>
          </w:tcPr>
          <w:p w14:paraId="2504FF0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5054575000</w:t>
            </w:r>
          </w:p>
        </w:tc>
        <w:tc>
          <w:tcPr>
            <w:tcW w:w="547" w:type="pct"/>
            <w:tcBorders>
              <w:top w:val="nil"/>
              <w:left w:val="nil"/>
              <w:bottom w:val="single" w:sz="4" w:space="0" w:color="auto"/>
              <w:right w:val="single" w:sz="4" w:space="0" w:color="auto"/>
            </w:tcBorders>
            <w:shd w:val="clear" w:color="auto" w:fill="auto"/>
            <w:noWrap/>
            <w:vAlign w:val="center"/>
            <w:hideMark/>
          </w:tcPr>
          <w:p w14:paraId="4BB8E92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89128028</w:t>
            </w:r>
          </w:p>
        </w:tc>
        <w:tc>
          <w:tcPr>
            <w:tcW w:w="3360" w:type="pct"/>
            <w:tcBorders>
              <w:top w:val="nil"/>
              <w:left w:val="nil"/>
              <w:bottom w:val="single" w:sz="4" w:space="0" w:color="auto"/>
              <w:right w:val="single" w:sz="4" w:space="0" w:color="auto"/>
            </w:tcBorders>
            <w:shd w:val="clear" w:color="auto" w:fill="auto"/>
            <w:vAlign w:val="center"/>
            <w:hideMark/>
          </w:tcPr>
          <w:p w14:paraId="0FD4E10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KRŠKO</w:t>
            </w:r>
          </w:p>
        </w:tc>
      </w:tr>
      <w:tr w:rsidR="00E3750C" w:rsidRPr="00415AB3" w14:paraId="2452949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6DADDA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2124</w:t>
            </w:r>
          </w:p>
        </w:tc>
        <w:tc>
          <w:tcPr>
            <w:tcW w:w="705" w:type="pct"/>
            <w:tcBorders>
              <w:top w:val="nil"/>
              <w:left w:val="nil"/>
              <w:bottom w:val="single" w:sz="4" w:space="0" w:color="auto"/>
              <w:right w:val="single" w:sz="4" w:space="0" w:color="auto"/>
            </w:tcBorders>
            <w:shd w:val="clear" w:color="auto" w:fill="auto"/>
            <w:noWrap/>
            <w:vAlign w:val="center"/>
            <w:hideMark/>
          </w:tcPr>
          <w:p w14:paraId="55760F6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5683114000</w:t>
            </w:r>
          </w:p>
        </w:tc>
        <w:tc>
          <w:tcPr>
            <w:tcW w:w="547" w:type="pct"/>
            <w:tcBorders>
              <w:top w:val="nil"/>
              <w:left w:val="nil"/>
              <w:bottom w:val="single" w:sz="4" w:space="0" w:color="auto"/>
              <w:right w:val="single" w:sz="4" w:space="0" w:color="auto"/>
            </w:tcBorders>
            <w:shd w:val="clear" w:color="auto" w:fill="auto"/>
            <w:noWrap/>
            <w:vAlign w:val="center"/>
            <w:hideMark/>
          </w:tcPr>
          <w:p w14:paraId="2D3ADEE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92281753</w:t>
            </w:r>
          </w:p>
        </w:tc>
        <w:tc>
          <w:tcPr>
            <w:tcW w:w="3360" w:type="pct"/>
            <w:tcBorders>
              <w:top w:val="nil"/>
              <w:left w:val="nil"/>
              <w:bottom w:val="single" w:sz="4" w:space="0" w:color="auto"/>
              <w:right w:val="single" w:sz="4" w:space="0" w:color="auto"/>
            </w:tcBorders>
            <w:shd w:val="clear" w:color="auto" w:fill="auto"/>
            <w:vAlign w:val="center"/>
            <w:hideMark/>
          </w:tcPr>
          <w:p w14:paraId="46862BF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LAŠKO</w:t>
            </w:r>
          </w:p>
        </w:tc>
      </w:tr>
      <w:tr w:rsidR="00E3750C" w:rsidRPr="00415AB3" w14:paraId="6E4A2D8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F1ABB6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2125</w:t>
            </w:r>
          </w:p>
        </w:tc>
        <w:tc>
          <w:tcPr>
            <w:tcW w:w="705" w:type="pct"/>
            <w:tcBorders>
              <w:top w:val="nil"/>
              <w:left w:val="nil"/>
              <w:bottom w:val="single" w:sz="4" w:space="0" w:color="auto"/>
              <w:right w:val="single" w:sz="4" w:space="0" w:color="auto"/>
            </w:tcBorders>
            <w:shd w:val="clear" w:color="auto" w:fill="auto"/>
            <w:noWrap/>
            <w:vAlign w:val="center"/>
            <w:hideMark/>
          </w:tcPr>
          <w:p w14:paraId="0F94E6E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5091870000</w:t>
            </w:r>
          </w:p>
        </w:tc>
        <w:tc>
          <w:tcPr>
            <w:tcW w:w="547" w:type="pct"/>
            <w:tcBorders>
              <w:top w:val="nil"/>
              <w:left w:val="nil"/>
              <w:bottom w:val="single" w:sz="4" w:space="0" w:color="auto"/>
              <w:right w:val="single" w:sz="4" w:space="0" w:color="auto"/>
            </w:tcBorders>
            <w:shd w:val="clear" w:color="auto" w:fill="auto"/>
            <w:noWrap/>
            <w:vAlign w:val="center"/>
            <w:hideMark/>
          </w:tcPr>
          <w:p w14:paraId="5E6B803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77498844</w:t>
            </w:r>
          </w:p>
        </w:tc>
        <w:tc>
          <w:tcPr>
            <w:tcW w:w="3360" w:type="pct"/>
            <w:tcBorders>
              <w:top w:val="nil"/>
              <w:left w:val="nil"/>
              <w:bottom w:val="single" w:sz="4" w:space="0" w:color="auto"/>
              <w:right w:val="single" w:sz="4" w:space="0" w:color="auto"/>
            </w:tcBorders>
            <w:shd w:val="clear" w:color="auto" w:fill="auto"/>
            <w:vAlign w:val="center"/>
            <w:hideMark/>
          </w:tcPr>
          <w:p w14:paraId="5D21A1D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LENART</w:t>
            </w:r>
          </w:p>
        </w:tc>
      </w:tr>
      <w:tr w:rsidR="00E3750C" w:rsidRPr="00415AB3" w14:paraId="3324E11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EC1D3B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2126</w:t>
            </w:r>
          </w:p>
        </w:tc>
        <w:tc>
          <w:tcPr>
            <w:tcW w:w="705" w:type="pct"/>
            <w:tcBorders>
              <w:top w:val="nil"/>
              <w:left w:val="nil"/>
              <w:bottom w:val="single" w:sz="4" w:space="0" w:color="auto"/>
              <w:right w:val="single" w:sz="4" w:space="0" w:color="auto"/>
            </w:tcBorders>
            <w:shd w:val="clear" w:color="auto" w:fill="auto"/>
            <w:noWrap/>
            <w:vAlign w:val="center"/>
            <w:hideMark/>
          </w:tcPr>
          <w:p w14:paraId="5CE3B92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5801923000</w:t>
            </w:r>
          </w:p>
        </w:tc>
        <w:tc>
          <w:tcPr>
            <w:tcW w:w="547" w:type="pct"/>
            <w:tcBorders>
              <w:top w:val="nil"/>
              <w:left w:val="nil"/>
              <w:bottom w:val="single" w:sz="4" w:space="0" w:color="auto"/>
              <w:right w:val="single" w:sz="4" w:space="0" w:color="auto"/>
            </w:tcBorders>
            <w:shd w:val="clear" w:color="auto" w:fill="auto"/>
            <w:noWrap/>
            <w:vAlign w:val="center"/>
            <w:hideMark/>
          </w:tcPr>
          <w:p w14:paraId="27438E7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36612235</w:t>
            </w:r>
          </w:p>
        </w:tc>
        <w:tc>
          <w:tcPr>
            <w:tcW w:w="3360" w:type="pct"/>
            <w:tcBorders>
              <w:top w:val="nil"/>
              <w:left w:val="nil"/>
              <w:bottom w:val="single" w:sz="4" w:space="0" w:color="auto"/>
              <w:right w:val="single" w:sz="4" w:space="0" w:color="auto"/>
            </w:tcBorders>
            <w:shd w:val="clear" w:color="auto" w:fill="auto"/>
            <w:vAlign w:val="center"/>
            <w:hideMark/>
          </w:tcPr>
          <w:p w14:paraId="65BD885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LENDAVA - EGESZSEGHAZ LENDVA</w:t>
            </w:r>
          </w:p>
        </w:tc>
      </w:tr>
      <w:tr w:rsidR="00E3750C" w:rsidRPr="00415AB3" w14:paraId="5C9171B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8DB83D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2127</w:t>
            </w:r>
          </w:p>
        </w:tc>
        <w:tc>
          <w:tcPr>
            <w:tcW w:w="705" w:type="pct"/>
            <w:tcBorders>
              <w:top w:val="nil"/>
              <w:left w:val="nil"/>
              <w:bottom w:val="single" w:sz="4" w:space="0" w:color="auto"/>
              <w:right w:val="single" w:sz="4" w:space="0" w:color="auto"/>
            </w:tcBorders>
            <w:shd w:val="clear" w:color="auto" w:fill="auto"/>
            <w:noWrap/>
            <w:vAlign w:val="center"/>
            <w:hideMark/>
          </w:tcPr>
          <w:p w14:paraId="085CFB0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5056845000</w:t>
            </w:r>
          </w:p>
        </w:tc>
        <w:tc>
          <w:tcPr>
            <w:tcW w:w="547" w:type="pct"/>
            <w:tcBorders>
              <w:top w:val="nil"/>
              <w:left w:val="nil"/>
              <w:bottom w:val="single" w:sz="4" w:space="0" w:color="auto"/>
              <w:right w:val="single" w:sz="4" w:space="0" w:color="auto"/>
            </w:tcBorders>
            <w:shd w:val="clear" w:color="auto" w:fill="auto"/>
            <w:noWrap/>
            <w:vAlign w:val="center"/>
            <w:hideMark/>
          </w:tcPr>
          <w:p w14:paraId="721769C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16823192</w:t>
            </w:r>
          </w:p>
        </w:tc>
        <w:tc>
          <w:tcPr>
            <w:tcW w:w="3360" w:type="pct"/>
            <w:tcBorders>
              <w:top w:val="nil"/>
              <w:left w:val="nil"/>
              <w:bottom w:val="single" w:sz="4" w:space="0" w:color="auto"/>
              <w:right w:val="single" w:sz="4" w:space="0" w:color="auto"/>
            </w:tcBorders>
            <w:shd w:val="clear" w:color="auto" w:fill="auto"/>
            <w:vAlign w:val="center"/>
            <w:hideMark/>
          </w:tcPr>
          <w:p w14:paraId="0740D0A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LITIJA</w:t>
            </w:r>
          </w:p>
        </w:tc>
      </w:tr>
      <w:tr w:rsidR="00E3750C" w:rsidRPr="00415AB3" w14:paraId="5F60C3D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2C3FAD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2128</w:t>
            </w:r>
          </w:p>
        </w:tc>
        <w:tc>
          <w:tcPr>
            <w:tcW w:w="705" w:type="pct"/>
            <w:tcBorders>
              <w:top w:val="nil"/>
              <w:left w:val="nil"/>
              <w:bottom w:val="single" w:sz="4" w:space="0" w:color="auto"/>
              <w:right w:val="single" w:sz="4" w:space="0" w:color="auto"/>
            </w:tcBorders>
            <w:shd w:val="clear" w:color="auto" w:fill="auto"/>
            <w:noWrap/>
            <w:vAlign w:val="center"/>
            <w:hideMark/>
          </w:tcPr>
          <w:p w14:paraId="437A7B3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5056063000</w:t>
            </w:r>
          </w:p>
        </w:tc>
        <w:tc>
          <w:tcPr>
            <w:tcW w:w="547" w:type="pct"/>
            <w:tcBorders>
              <w:top w:val="nil"/>
              <w:left w:val="nil"/>
              <w:bottom w:val="single" w:sz="4" w:space="0" w:color="auto"/>
              <w:right w:val="single" w:sz="4" w:space="0" w:color="auto"/>
            </w:tcBorders>
            <w:shd w:val="clear" w:color="auto" w:fill="auto"/>
            <w:noWrap/>
            <w:vAlign w:val="center"/>
            <w:hideMark/>
          </w:tcPr>
          <w:p w14:paraId="4CD5016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80683568</w:t>
            </w:r>
          </w:p>
        </w:tc>
        <w:tc>
          <w:tcPr>
            <w:tcW w:w="3360" w:type="pct"/>
            <w:tcBorders>
              <w:top w:val="nil"/>
              <w:left w:val="nil"/>
              <w:bottom w:val="single" w:sz="4" w:space="0" w:color="auto"/>
              <w:right w:val="single" w:sz="4" w:space="0" w:color="auto"/>
            </w:tcBorders>
            <w:shd w:val="clear" w:color="auto" w:fill="auto"/>
            <w:vAlign w:val="center"/>
            <w:hideMark/>
          </w:tcPr>
          <w:p w14:paraId="22A2ECB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LJUBLJANA</w:t>
            </w:r>
          </w:p>
        </w:tc>
      </w:tr>
      <w:tr w:rsidR="00E3750C" w:rsidRPr="00415AB3" w14:paraId="107B664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E46A76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2129</w:t>
            </w:r>
          </w:p>
        </w:tc>
        <w:tc>
          <w:tcPr>
            <w:tcW w:w="705" w:type="pct"/>
            <w:tcBorders>
              <w:top w:val="nil"/>
              <w:left w:val="nil"/>
              <w:bottom w:val="single" w:sz="4" w:space="0" w:color="auto"/>
              <w:right w:val="single" w:sz="4" w:space="0" w:color="auto"/>
            </w:tcBorders>
            <w:shd w:val="clear" w:color="auto" w:fill="auto"/>
            <w:noWrap/>
            <w:vAlign w:val="center"/>
            <w:hideMark/>
          </w:tcPr>
          <w:p w14:paraId="179154D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5817269000</w:t>
            </w:r>
          </w:p>
        </w:tc>
        <w:tc>
          <w:tcPr>
            <w:tcW w:w="547" w:type="pct"/>
            <w:tcBorders>
              <w:top w:val="nil"/>
              <w:left w:val="nil"/>
              <w:bottom w:val="single" w:sz="4" w:space="0" w:color="auto"/>
              <w:right w:val="single" w:sz="4" w:space="0" w:color="auto"/>
            </w:tcBorders>
            <w:shd w:val="clear" w:color="auto" w:fill="auto"/>
            <w:noWrap/>
            <w:vAlign w:val="center"/>
            <w:hideMark/>
          </w:tcPr>
          <w:p w14:paraId="3D7092F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30959829</w:t>
            </w:r>
          </w:p>
        </w:tc>
        <w:tc>
          <w:tcPr>
            <w:tcW w:w="3360" w:type="pct"/>
            <w:tcBorders>
              <w:top w:val="nil"/>
              <w:left w:val="nil"/>
              <w:bottom w:val="single" w:sz="4" w:space="0" w:color="auto"/>
              <w:right w:val="single" w:sz="4" w:space="0" w:color="auto"/>
            </w:tcBorders>
            <w:shd w:val="clear" w:color="auto" w:fill="auto"/>
            <w:vAlign w:val="center"/>
            <w:hideMark/>
          </w:tcPr>
          <w:p w14:paraId="22C23BC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LJUTOMER</w:t>
            </w:r>
          </w:p>
        </w:tc>
      </w:tr>
      <w:tr w:rsidR="00E3750C" w:rsidRPr="00415AB3" w14:paraId="2304E32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90EB13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2130</w:t>
            </w:r>
          </w:p>
        </w:tc>
        <w:tc>
          <w:tcPr>
            <w:tcW w:w="705" w:type="pct"/>
            <w:tcBorders>
              <w:top w:val="nil"/>
              <w:left w:val="nil"/>
              <w:bottom w:val="single" w:sz="4" w:space="0" w:color="auto"/>
              <w:right w:val="single" w:sz="4" w:space="0" w:color="auto"/>
            </w:tcBorders>
            <w:shd w:val="clear" w:color="auto" w:fill="auto"/>
            <w:noWrap/>
            <w:vAlign w:val="center"/>
            <w:hideMark/>
          </w:tcPr>
          <w:p w14:paraId="73B1708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5158877000</w:t>
            </w:r>
          </w:p>
        </w:tc>
        <w:tc>
          <w:tcPr>
            <w:tcW w:w="547" w:type="pct"/>
            <w:tcBorders>
              <w:top w:val="nil"/>
              <w:left w:val="nil"/>
              <w:bottom w:val="single" w:sz="4" w:space="0" w:color="auto"/>
              <w:right w:val="single" w:sz="4" w:space="0" w:color="auto"/>
            </w:tcBorders>
            <w:shd w:val="clear" w:color="auto" w:fill="auto"/>
            <w:noWrap/>
            <w:vAlign w:val="center"/>
            <w:hideMark/>
          </w:tcPr>
          <w:p w14:paraId="793609C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80487866</w:t>
            </w:r>
          </w:p>
        </w:tc>
        <w:tc>
          <w:tcPr>
            <w:tcW w:w="3360" w:type="pct"/>
            <w:tcBorders>
              <w:top w:val="nil"/>
              <w:left w:val="nil"/>
              <w:bottom w:val="single" w:sz="4" w:space="0" w:color="auto"/>
              <w:right w:val="single" w:sz="4" w:space="0" w:color="auto"/>
            </w:tcBorders>
            <w:shd w:val="clear" w:color="auto" w:fill="auto"/>
            <w:vAlign w:val="center"/>
            <w:hideMark/>
          </w:tcPr>
          <w:p w14:paraId="292246D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LOGATEC</w:t>
            </w:r>
          </w:p>
        </w:tc>
      </w:tr>
      <w:tr w:rsidR="00E3750C" w:rsidRPr="00415AB3" w14:paraId="6FDA282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D8B0D5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2131</w:t>
            </w:r>
          </w:p>
        </w:tc>
        <w:tc>
          <w:tcPr>
            <w:tcW w:w="705" w:type="pct"/>
            <w:tcBorders>
              <w:top w:val="nil"/>
              <w:left w:val="nil"/>
              <w:bottom w:val="single" w:sz="4" w:space="0" w:color="auto"/>
              <w:right w:val="single" w:sz="4" w:space="0" w:color="auto"/>
            </w:tcBorders>
            <w:shd w:val="clear" w:color="auto" w:fill="auto"/>
            <w:noWrap/>
            <w:vAlign w:val="center"/>
            <w:hideMark/>
          </w:tcPr>
          <w:p w14:paraId="2A8C531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1430726000</w:t>
            </w:r>
          </w:p>
        </w:tc>
        <w:tc>
          <w:tcPr>
            <w:tcW w:w="547" w:type="pct"/>
            <w:tcBorders>
              <w:top w:val="nil"/>
              <w:left w:val="nil"/>
              <w:bottom w:val="single" w:sz="4" w:space="0" w:color="auto"/>
              <w:right w:val="single" w:sz="4" w:space="0" w:color="auto"/>
            </w:tcBorders>
            <w:shd w:val="clear" w:color="auto" w:fill="auto"/>
            <w:noWrap/>
            <w:vAlign w:val="center"/>
            <w:hideMark/>
          </w:tcPr>
          <w:p w14:paraId="645D97C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99423162</w:t>
            </w:r>
          </w:p>
        </w:tc>
        <w:tc>
          <w:tcPr>
            <w:tcW w:w="3360" w:type="pct"/>
            <w:tcBorders>
              <w:top w:val="nil"/>
              <w:left w:val="nil"/>
              <w:bottom w:val="single" w:sz="4" w:space="0" w:color="auto"/>
              <w:right w:val="single" w:sz="4" w:space="0" w:color="auto"/>
            </w:tcBorders>
            <w:shd w:val="clear" w:color="auto" w:fill="auto"/>
            <w:vAlign w:val="center"/>
            <w:hideMark/>
          </w:tcPr>
          <w:p w14:paraId="7594FDD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MEDVODE</w:t>
            </w:r>
          </w:p>
        </w:tc>
      </w:tr>
      <w:tr w:rsidR="00E3750C" w:rsidRPr="00415AB3" w14:paraId="42BCCE2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F43F38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2132</w:t>
            </w:r>
          </w:p>
        </w:tc>
        <w:tc>
          <w:tcPr>
            <w:tcW w:w="705" w:type="pct"/>
            <w:tcBorders>
              <w:top w:val="nil"/>
              <w:left w:val="nil"/>
              <w:bottom w:val="single" w:sz="4" w:space="0" w:color="auto"/>
              <w:right w:val="single" w:sz="4" w:space="0" w:color="auto"/>
            </w:tcBorders>
            <w:shd w:val="clear" w:color="auto" w:fill="auto"/>
            <w:noWrap/>
            <w:vAlign w:val="center"/>
            <w:hideMark/>
          </w:tcPr>
          <w:p w14:paraId="0CE2704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5054591000</w:t>
            </w:r>
          </w:p>
        </w:tc>
        <w:tc>
          <w:tcPr>
            <w:tcW w:w="547" w:type="pct"/>
            <w:tcBorders>
              <w:top w:val="nil"/>
              <w:left w:val="nil"/>
              <w:bottom w:val="single" w:sz="4" w:space="0" w:color="auto"/>
              <w:right w:val="single" w:sz="4" w:space="0" w:color="auto"/>
            </w:tcBorders>
            <w:shd w:val="clear" w:color="auto" w:fill="auto"/>
            <w:noWrap/>
            <w:vAlign w:val="center"/>
            <w:hideMark/>
          </w:tcPr>
          <w:p w14:paraId="65F99B9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40635112</w:t>
            </w:r>
          </w:p>
        </w:tc>
        <w:tc>
          <w:tcPr>
            <w:tcW w:w="3360" w:type="pct"/>
            <w:tcBorders>
              <w:top w:val="nil"/>
              <w:left w:val="nil"/>
              <w:bottom w:val="single" w:sz="4" w:space="0" w:color="auto"/>
              <w:right w:val="single" w:sz="4" w:space="0" w:color="auto"/>
            </w:tcBorders>
            <w:shd w:val="clear" w:color="auto" w:fill="auto"/>
            <w:vAlign w:val="center"/>
            <w:hideMark/>
          </w:tcPr>
          <w:p w14:paraId="33D30D9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METLIKA</w:t>
            </w:r>
          </w:p>
        </w:tc>
      </w:tr>
      <w:tr w:rsidR="00E3750C" w:rsidRPr="00415AB3" w14:paraId="3833669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03E149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2133</w:t>
            </w:r>
          </w:p>
        </w:tc>
        <w:tc>
          <w:tcPr>
            <w:tcW w:w="705" w:type="pct"/>
            <w:tcBorders>
              <w:top w:val="nil"/>
              <w:left w:val="nil"/>
              <w:bottom w:val="single" w:sz="4" w:space="0" w:color="auto"/>
              <w:right w:val="single" w:sz="4" w:space="0" w:color="auto"/>
            </w:tcBorders>
            <w:shd w:val="clear" w:color="auto" w:fill="auto"/>
            <w:noWrap/>
            <w:vAlign w:val="center"/>
            <w:hideMark/>
          </w:tcPr>
          <w:p w14:paraId="48A813C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5801915000</w:t>
            </w:r>
          </w:p>
        </w:tc>
        <w:tc>
          <w:tcPr>
            <w:tcW w:w="547" w:type="pct"/>
            <w:tcBorders>
              <w:top w:val="nil"/>
              <w:left w:val="nil"/>
              <w:bottom w:val="single" w:sz="4" w:space="0" w:color="auto"/>
              <w:right w:val="single" w:sz="4" w:space="0" w:color="auto"/>
            </w:tcBorders>
            <w:shd w:val="clear" w:color="auto" w:fill="auto"/>
            <w:noWrap/>
            <w:vAlign w:val="center"/>
            <w:hideMark/>
          </w:tcPr>
          <w:p w14:paraId="730BCB5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94095400</w:t>
            </w:r>
          </w:p>
        </w:tc>
        <w:tc>
          <w:tcPr>
            <w:tcW w:w="3360" w:type="pct"/>
            <w:tcBorders>
              <w:top w:val="nil"/>
              <w:left w:val="nil"/>
              <w:bottom w:val="single" w:sz="4" w:space="0" w:color="auto"/>
              <w:right w:val="single" w:sz="4" w:space="0" w:color="auto"/>
            </w:tcBorders>
            <w:shd w:val="clear" w:color="auto" w:fill="auto"/>
            <w:vAlign w:val="center"/>
            <w:hideMark/>
          </w:tcPr>
          <w:p w14:paraId="2684300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MURSKA SOBOTA</w:t>
            </w:r>
          </w:p>
        </w:tc>
      </w:tr>
      <w:tr w:rsidR="00E3750C" w:rsidRPr="00415AB3" w14:paraId="4737598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6F2A35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2134</w:t>
            </w:r>
          </w:p>
        </w:tc>
        <w:tc>
          <w:tcPr>
            <w:tcW w:w="705" w:type="pct"/>
            <w:tcBorders>
              <w:top w:val="nil"/>
              <w:left w:val="nil"/>
              <w:bottom w:val="single" w:sz="4" w:space="0" w:color="auto"/>
              <w:right w:val="single" w:sz="4" w:space="0" w:color="auto"/>
            </w:tcBorders>
            <w:shd w:val="clear" w:color="auto" w:fill="auto"/>
            <w:noWrap/>
            <w:vAlign w:val="center"/>
            <w:hideMark/>
          </w:tcPr>
          <w:p w14:paraId="4571123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5054613000</w:t>
            </w:r>
          </w:p>
        </w:tc>
        <w:tc>
          <w:tcPr>
            <w:tcW w:w="547" w:type="pct"/>
            <w:tcBorders>
              <w:top w:val="nil"/>
              <w:left w:val="nil"/>
              <w:bottom w:val="single" w:sz="4" w:space="0" w:color="auto"/>
              <w:right w:val="single" w:sz="4" w:space="0" w:color="auto"/>
            </w:tcBorders>
            <w:shd w:val="clear" w:color="auto" w:fill="auto"/>
            <w:noWrap/>
            <w:vAlign w:val="center"/>
            <w:hideMark/>
          </w:tcPr>
          <w:p w14:paraId="1DD4275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18631380</w:t>
            </w:r>
          </w:p>
        </w:tc>
        <w:tc>
          <w:tcPr>
            <w:tcW w:w="3360" w:type="pct"/>
            <w:tcBorders>
              <w:top w:val="nil"/>
              <w:left w:val="nil"/>
              <w:bottom w:val="single" w:sz="4" w:space="0" w:color="auto"/>
              <w:right w:val="single" w:sz="4" w:space="0" w:color="auto"/>
            </w:tcBorders>
            <w:shd w:val="clear" w:color="auto" w:fill="auto"/>
            <w:vAlign w:val="center"/>
            <w:hideMark/>
          </w:tcPr>
          <w:p w14:paraId="6EF4FA6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NOVO MESTO</w:t>
            </w:r>
          </w:p>
        </w:tc>
      </w:tr>
      <w:tr w:rsidR="00E3750C" w:rsidRPr="00415AB3" w14:paraId="1D75871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172395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2135</w:t>
            </w:r>
          </w:p>
        </w:tc>
        <w:tc>
          <w:tcPr>
            <w:tcW w:w="705" w:type="pct"/>
            <w:tcBorders>
              <w:top w:val="nil"/>
              <w:left w:val="nil"/>
              <w:bottom w:val="single" w:sz="4" w:space="0" w:color="auto"/>
              <w:right w:val="single" w:sz="4" w:space="0" w:color="auto"/>
            </w:tcBorders>
            <w:shd w:val="clear" w:color="auto" w:fill="auto"/>
            <w:noWrap/>
            <w:vAlign w:val="center"/>
            <w:hideMark/>
          </w:tcPr>
          <w:p w14:paraId="060E289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5054699000</w:t>
            </w:r>
          </w:p>
        </w:tc>
        <w:tc>
          <w:tcPr>
            <w:tcW w:w="547" w:type="pct"/>
            <w:tcBorders>
              <w:top w:val="nil"/>
              <w:left w:val="nil"/>
              <w:bottom w:val="single" w:sz="4" w:space="0" w:color="auto"/>
              <w:right w:val="single" w:sz="4" w:space="0" w:color="auto"/>
            </w:tcBorders>
            <w:shd w:val="clear" w:color="auto" w:fill="auto"/>
            <w:noWrap/>
            <w:vAlign w:val="center"/>
            <w:hideMark/>
          </w:tcPr>
          <w:p w14:paraId="6837802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93436173</w:t>
            </w:r>
          </w:p>
        </w:tc>
        <w:tc>
          <w:tcPr>
            <w:tcW w:w="3360" w:type="pct"/>
            <w:tcBorders>
              <w:top w:val="nil"/>
              <w:left w:val="nil"/>
              <w:bottom w:val="single" w:sz="4" w:space="0" w:color="auto"/>
              <w:right w:val="single" w:sz="4" w:space="0" w:color="auto"/>
            </w:tcBorders>
            <w:shd w:val="clear" w:color="auto" w:fill="auto"/>
            <w:vAlign w:val="center"/>
            <w:hideMark/>
          </w:tcPr>
          <w:p w14:paraId="343CD99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ORMOŽ</w:t>
            </w:r>
          </w:p>
        </w:tc>
      </w:tr>
      <w:tr w:rsidR="00E3750C" w:rsidRPr="00415AB3" w14:paraId="45B2A3F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0CC97D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2136</w:t>
            </w:r>
          </w:p>
        </w:tc>
        <w:tc>
          <w:tcPr>
            <w:tcW w:w="705" w:type="pct"/>
            <w:tcBorders>
              <w:top w:val="nil"/>
              <w:left w:val="nil"/>
              <w:bottom w:val="single" w:sz="4" w:space="0" w:color="auto"/>
              <w:right w:val="single" w:sz="4" w:space="0" w:color="auto"/>
            </w:tcBorders>
            <w:shd w:val="clear" w:color="auto" w:fill="auto"/>
            <w:noWrap/>
            <w:vAlign w:val="center"/>
            <w:hideMark/>
          </w:tcPr>
          <w:p w14:paraId="03EA9B3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5107148000</w:t>
            </w:r>
          </w:p>
        </w:tc>
        <w:tc>
          <w:tcPr>
            <w:tcW w:w="547" w:type="pct"/>
            <w:tcBorders>
              <w:top w:val="nil"/>
              <w:left w:val="nil"/>
              <w:bottom w:val="single" w:sz="4" w:space="0" w:color="auto"/>
              <w:right w:val="single" w:sz="4" w:space="0" w:color="auto"/>
            </w:tcBorders>
            <w:shd w:val="clear" w:color="auto" w:fill="auto"/>
            <w:noWrap/>
            <w:vAlign w:val="center"/>
            <w:hideMark/>
          </w:tcPr>
          <w:p w14:paraId="5A51E4C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77057767</w:t>
            </w:r>
          </w:p>
        </w:tc>
        <w:tc>
          <w:tcPr>
            <w:tcW w:w="3360" w:type="pct"/>
            <w:tcBorders>
              <w:top w:val="nil"/>
              <w:left w:val="nil"/>
              <w:bottom w:val="single" w:sz="4" w:space="0" w:color="auto"/>
              <w:right w:val="single" w:sz="4" w:space="0" w:color="auto"/>
            </w:tcBorders>
            <w:shd w:val="clear" w:color="auto" w:fill="auto"/>
            <w:vAlign w:val="center"/>
            <w:hideMark/>
          </w:tcPr>
          <w:p w14:paraId="12C25E9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OSNOVNO VARSTVO NOVA GORICA</w:t>
            </w:r>
          </w:p>
        </w:tc>
      </w:tr>
      <w:tr w:rsidR="00E3750C" w:rsidRPr="00415AB3" w14:paraId="4E46E65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148F28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2137</w:t>
            </w:r>
          </w:p>
        </w:tc>
        <w:tc>
          <w:tcPr>
            <w:tcW w:w="705" w:type="pct"/>
            <w:tcBorders>
              <w:top w:val="nil"/>
              <w:left w:val="nil"/>
              <w:bottom w:val="single" w:sz="4" w:space="0" w:color="auto"/>
              <w:right w:val="single" w:sz="4" w:space="0" w:color="auto"/>
            </w:tcBorders>
            <w:shd w:val="clear" w:color="auto" w:fill="auto"/>
            <w:noWrap/>
            <w:vAlign w:val="center"/>
            <w:hideMark/>
          </w:tcPr>
          <w:p w14:paraId="168DF16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5733758000</w:t>
            </w:r>
          </w:p>
        </w:tc>
        <w:tc>
          <w:tcPr>
            <w:tcW w:w="547" w:type="pct"/>
            <w:tcBorders>
              <w:top w:val="nil"/>
              <w:left w:val="nil"/>
              <w:bottom w:val="single" w:sz="4" w:space="0" w:color="auto"/>
              <w:right w:val="single" w:sz="4" w:space="0" w:color="auto"/>
            </w:tcBorders>
            <w:shd w:val="clear" w:color="auto" w:fill="auto"/>
            <w:noWrap/>
            <w:vAlign w:val="center"/>
            <w:hideMark/>
          </w:tcPr>
          <w:p w14:paraId="5E73B32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32262094</w:t>
            </w:r>
          </w:p>
        </w:tc>
        <w:tc>
          <w:tcPr>
            <w:tcW w:w="3360" w:type="pct"/>
            <w:tcBorders>
              <w:top w:val="nil"/>
              <w:left w:val="nil"/>
              <w:bottom w:val="single" w:sz="4" w:space="0" w:color="auto"/>
              <w:right w:val="single" w:sz="4" w:space="0" w:color="auto"/>
            </w:tcBorders>
            <w:shd w:val="clear" w:color="auto" w:fill="auto"/>
            <w:vAlign w:val="center"/>
            <w:hideMark/>
          </w:tcPr>
          <w:p w14:paraId="17AC766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 xml:space="preserve">ZDRAVSTVENI DOM PIRAN </w:t>
            </w:r>
          </w:p>
        </w:tc>
      </w:tr>
      <w:tr w:rsidR="00E3750C" w:rsidRPr="00415AB3" w14:paraId="1CFD702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10090A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2138</w:t>
            </w:r>
          </w:p>
        </w:tc>
        <w:tc>
          <w:tcPr>
            <w:tcW w:w="705" w:type="pct"/>
            <w:tcBorders>
              <w:top w:val="nil"/>
              <w:left w:val="nil"/>
              <w:bottom w:val="single" w:sz="4" w:space="0" w:color="auto"/>
              <w:right w:val="single" w:sz="4" w:space="0" w:color="auto"/>
            </w:tcBorders>
            <w:shd w:val="clear" w:color="auto" w:fill="auto"/>
            <w:noWrap/>
            <w:vAlign w:val="center"/>
            <w:hideMark/>
          </w:tcPr>
          <w:p w14:paraId="5DB9E46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5502420000</w:t>
            </w:r>
          </w:p>
        </w:tc>
        <w:tc>
          <w:tcPr>
            <w:tcW w:w="547" w:type="pct"/>
            <w:tcBorders>
              <w:top w:val="nil"/>
              <w:left w:val="nil"/>
              <w:bottom w:val="single" w:sz="4" w:space="0" w:color="auto"/>
              <w:right w:val="single" w:sz="4" w:space="0" w:color="auto"/>
            </w:tcBorders>
            <w:shd w:val="clear" w:color="auto" w:fill="auto"/>
            <w:noWrap/>
            <w:vAlign w:val="center"/>
            <w:hideMark/>
          </w:tcPr>
          <w:p w14:paraId="3F7B404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30102090</w:t>
            </w:r>
          </w:p>
        </w:tc>
        <w:tc>
          <w:tcPr>
            <w:tcW w:w="3360" w:type="pct"/>
            <w:tcBorders>
              <w:top w:val="nil"/>
              <w:left w:val="nil"/>
              <w:bottom w:val="single" w:sz="4" w:space="0" w:color="auto"/>
              <w:right w:val="single" w:sz="4" w:space="0" w:color="auto"/>
            </w:tcBorders>
            <w:shd w:val="clear" w:color="auto" w:fill="auto"/>
            <w:vAlign w:val="center"/>
            <w:hideMark/>
          </w:tcPr>
          <w:p w14:paraId="765E5C0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PTUJ</w:t>
            </w:r>
          </w:p>
        </w:tc>
      </w:tr>
      <w:tr w:rsidR="00E3750C" w:rsidRPr="00415AB3" w14:paraId="63930AAA"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1C377E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2139</w:t>
            </w:r>
          </w:p>
        </w:tc>
        <w:tc>
          <w:tcPr>
            <w:tcW w:w="705" w:type="pct"/>
            <w:tcBorders>
              <w:top w:val="nil"/>
              <w:left w:val="nil"/>
              <w:bottom w:val="single" w:sz="4" w:space="0" w:color="auto"/>
              <w:right w:val="single" w:sz="4" w:space="0" w:color="auto"/>
            </w:tcBorders>
            <w:shd w:val="clear" w:color="auto" w:fill="auto"/>
            <w:noWrap/>
            <w:vAlign w:val="center"/>
            <w:hideMark/>
          </w:tcPr>
          <w:p w14:paraId="02DCCC6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5683106000</w:t>
            </w:r>
          </w:p>
        </w:tc>
        <w:tc>
          <w:tcPr>
            <w:tcW w:w="547" w:type="pct"/>
            <w:tcBorders>
              <w:top w:val="nil"/>
              <w:left w:val="nil"/>
              <w:bottom w:val="single" w:sz="4" w:space="0" w:color="auto"/>
              <w:right w:val="single" w:sz="4" w:space="0" w:color="auto"/>
            </w:tcBorders>
            <w:shd w:val="clear" w:color="auto" w:fill="auto"/>
            <w:noWrap/>
            <w:vAlign w:val="center"/>
            <w:hideMark/>
          </w:tcPr>
          <w:p w14:paraId="6B9AC80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52013430</w:t>
            </w:r>
          </w:p>
        </w:tc>
        <w:tc>
          <w:tcPr>
            <w:tcW w:w="3360" w:type="pct"/>
            <w:tcBorders>
              <w:top w:val="nil"/>
              <w:left w:val="nil"/>
              <w:bottom w:val="single" w:sz="4" w:space="0" w:color="auto"/>
              <w:right w:val="single" w:sz="4" w:space="0" w:color="auto"/>
            </w:tcBorders>
            <w:shd w:val="clear" w:color="auto" w:fill="auto"/>
            <w:vAlign w:val="center"/>
            <w:hideMark/>
          </w:tcPr>
          <w:p w14:paraId="2BF7FC3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RADEČE</w:t>
            </w:r>
          </w:p>
        </w:tc>
      </w:tr>
      <w:tr w:rsidR="00E3750C" w:rsidRPr="00415AB3" w14:paraId="1396A1A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B0D094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2140</w:t>
            </w:r>
          </w:p>
        </w:tc>
        <w:tc>
          <w:tcPr>
            <w:tcW w:w="705" w:type="pct"/>
            <w:tcBorders>
              <w:top w:val="nil"/>
              <w:left w:val="nil"/>
              <w:bottom w:val="single" w:sz="4" w:space="0" w:color="auto"/>
              <w:right w:val="single" w:sz="4" w:space="0" w:color="auto"/>
            </w:tcBorders>
            <w:shd w:val="clear" w:color="auto" w:fill="auto"/>
            <w:noWrap/>
            <w:vAlign w:val="center"/>
            <w:hideMark/>
          </w:tcPr>
          <w:p w14:paraId="5E2ABE3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5054893000</w:t>
            </w:r>
          </w:p>
        </w:tc>
        <w:tc>
          <w:tcPr>
            <w:tcW w:w="547" w:type="pct"/>
            <w:tcBorders>
              <w:top w:val="nil"/>
              <w:left w:val="nil"/>
              <w:bottom w:val="single" w:sz="4" w:space="0" w:color="auto"/>
              <w:right w:val="single" w:sz="4" w:space="0" w:color="auto"/>
            </w:tcBorders>
            <w:shd w:val="clear" w:color="auto" w:fill="auto"/>
            <w:noWrap/>
            <w:vAlign w:val="center"/>
            <w:hideMark/>
          </w:tcPr>
          <w:p w14:paraId="28D1204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95221255</w:t>
            </w:r>
          </w:p>
        </w:tc>
        <w:tc>
          <w:tcPr>
            <w:tcW w:w="3360" w:type="pct"/>
            <w:tcBorders>
              <w:top w:val="nil"/>
              <w:left w:val="nil"/>
              <w:bottom w:val="single" w:sz="4" w:space="0" w:color="auto"/>
              <w:right w:val="single" w:sz="4" w:space="0" w:color="auto"/>
            </w:tcBorders>
            <w:shd w:val="clear" w:color="auto" w:fill="auto"/>
            <w:vAlign w:val="center"/>
            <w:hideMark/>
          </w:tcPr>
          <w:p w14:paraId="79CEF4E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RADLJE OB DRAVI</w:t>
            </w:r>
          </w:p>
        </w:tc>
      </w:tr>
      <w:tr w:rsidR="00E3750C" w:rsidRPr="00415AB3" w14:paraId="4AA8D827"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4C46C3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2141</w:t>
            </w:r>
          </w:p>
        </w:tc>
        <w:tc>
          <w:tcPr>
            <w:tcW w:w="705" w:type="pct"/>
            <w:tcBorders>
              <w:top w:val="nil"/>
              <w:left w:val="nil"/>
              <w:bottom w:val="single" w:sz="4" w:space="0" w:color="auto"/>
              <w:right w:val="single" w:sz="4" w:space="0" w:color="auto"/>
            </w:tcBorders>
            <w:shd w:val="clear" w:color="auto" w:fill="auto"/>
            <w:noWrap/>
            <w:vAlign w:val="center"/>
            <w:hideMark/>
          </w:tcPr>
          <w:p w14:paraId="4E777C8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5054907000</w:t>
            </w:r>
          </w:p>
        </w:tc>
        <w:tc>
          <w:tcPr>
            <w:tcW w:w="547" w:type="pct"/>
            <w:tcBorders>
              <w:top w:val="nil"/>
              <w:left w:val="nil"/>
              <w:bottom w:val="single" w:sz="4" w:space="0" w:color="auto"/>
              <w:right w:val="single" w:sz="4" w:space="0" w:color="auto"/>
            </w:tcBorders>
            <w:shd w:val="clear" w:color="auto" w:fill="auto"/>
            <w:noWrap/>
            <w:vAlign w:val="center"/>
            <w:hideMark/>
          </w:tcPr>
          <w:p w14:paraId="58F2048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56251432</w:t>
            </w:r>
          </w:p>
        </w:tc>
        <w:tc>
          <w:tcPr>
            <w:tcW w:w="3360" w:type="pct"/>
            <w:tcBorders>
              <w:top w:val="nil"/>
              <w:left w:val="nil"/>
              <w:bottom w:val="single" w:sz="4" w:space="0" w:color="auto"/>
              <w:right w:val="single" w:sz="4" w:space="0" w:color="auto"/>
            </w:tcBorders>
            <w:shd w:val="clear" w:color="auto" w:fill="auto"/>
            <w:vAlign w:val="center"/>
            <w:hideMark/>
          </w:tcPr>
          <w:p w14:paraId="57A406E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RAVNE NA KOROŠKEM</w:t>
            </w:r>
          </w:p>
        </w:tc>
      </w:tr>
      <w:tr w:rsidR="00E3750C" w:rsidRPr="00415AB3" w14:paraId="75E3BA5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A79380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2142</w:t>
            </w:r>
          </w:p>
        </w:tc>
        <w:tc>
          <w:tcPr>
            <w:tcW w:w="705" w:type="pct"/>
            <w:tcBorders>
              <w:top w:val="nil"/>
              <w:left w:val="nil"/>
              <w:bottom w:val="single" w:sz="4" w:space="0" w:color="auto"/>
              <w:right w:val="single" w:sz="4" w:space="0" w:color="auto"/>
            </w:tcBorders>
            <w:shd w:val="clear" w:color="auto" w:fill="auto"/>
            <w:noWrap/>
            <w:vAlign w:val="center"/>
            <w:hideMark/>
          </w:tcPr>
          <w:p w14:paraId="2766E83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5636558000</w:t>
            </w:r>
          </w:p>
        </w:tc>
        <w:tc>
          <w:tcPr>
            <w:tcW w:w="547" w:type="pct"/>
            <w:tcBorders>
              <w:top w:val="nil"/>
              <w:left w:val="nil"/>
              <w:bottom w:val="single" w:sz="4" w:space="0" w:color="auto"/>
              <w:right w:val="single" w:sz="4" w:space="0" w:color="auto"/>
            </w:tcBorders>
            <w:shd w:val="clear" w:color="auto" w:fill="auto"/>
            <w:noWrap/>
            <w:vAlign w:val="center"/>
            <w:hideMark/>
          </w:tcPr>
          <w:p w14:paraId="31E75C0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94492077</w:t>
            </w:r>
          </w:p>
        </w:tc>
        <w:tc>
          <w:tcPr>
            <w:tcW w:w="3360" w:type="pct"/>
            <w:tcBorders>
              <w:top w:val="nil"/>
              <w:left w:val="nil"/>
              <w:bottom w:val="single" w:sz="4" w:space="0" w:color="auto"/>
              <w:right w:val="single" w:sz="4" w:space="0" w:color="auto"/>
            </w:tcBorders>
            <w:shd w:val="clear" w:color="auto" w:fill="auto"/>
            <w:vAlign w:val="center"/>
            <w:hideMark/>
          </w:tcPr>
          <w:p w14:paraId="13C1338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SEVNICA</w:t>
            </w:r>
          </w:p>
        </w:tc>
      </w:tr>
      <w:tr w:rsidR="00E3750C" w:rsidRPr="00415AB3" w14:paraId="72A9B4C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C70305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2143</w:t>
            </w:r>
          </w:p>
        </w:tc>
        <w:tc>
          <w:tcPr>
            <w:tcW w:w="705" w:type="pct"/>
            <w:tcBorders>
              <w:top w:val="nil"/>
              <w:left w:val="nil"/>
              <w:bottom w:val="single" w:sz="4" w:space="0" w:color="auto"/>
              <w:right w:val="single" w:sz="4" w:space="0" w:color="auto"/>
            </w:tcBorders>
            <w:shd w:val="clear" w:color="auto" w:fill="auto"/>
            <w:noWrap/>
            <w:vAlign w:val="center"/>
            <w:hideMark/>
          </w:tcPr>
          <w:p w14:paraId="36FC1F6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5107105000</w:t>
            </w:r>
          </w:p>
        </w:tc>
        <w:tc>
          <w:tcPr>
            <w:tcW w:w="547" w:type="pct"/>
            <w:tcBorders>
              <w:top w:val="nil"/>
              <w:left w:val="nil"/>
              <w:bottom w:val="single" w:sz="4" w:space="0" w:color="auto"/>
              <w:right w:val="single" w:sz="4" w:space="0" w:color="auto"/>
            </w:tcBorders>
            <w:shd w:val="clear" w:color="auto" w:fill="auto"/>
            <w:noWrap/>
            <w:vAlign w:val="center"/>
            <w:hideMark/>
          </w:tcPr>
          <w:p w14:paraId="014D6E1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87069610</w:t>
            </w:r>
          </w:p>
        </w:tc>
        <w:tc>
          <w:tcPr>
            <w:tcW w:w="3360" w:type="pct"/>
            <w:tcBorders>
              <w:top w:val="nil"/>
              <w:left w:val="nil"/>
              <w:bottom w:val="single" w:sz="4" w:space="0" w:color="auto"/>
              <w:right w:val="single" w:sz="4" w:space="0" w:color="auto"/>
            </w:tcBorders>
            <w:shd w:val="clear" w:color="auto" w:fill="auto"/>
            <w:vAlign w:val="center"/>
            <w:hideMark/>
          </w:tcPr>
          <w:p w14:paraId="128425C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SEŽANA</w:t>
            </w:r>
          </w:p>
        </w:tc>
      </w:tr>
      <w:tr w:rsidR="00E3750C" w:rsidRPr="00415AB3" w14:paraId="1991DA2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38852A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2144</w:t>
            </w:r>
          </w:p>
        </w:tc>
        <w:tc>
          <w:tcPr>
            <w:tcW w:w="705" w:type="pct"/>
            <w:tcBorders>
              <w:top w:val="nil"/>
              <w:left w:val="nil"/>
              <w:bottom w:val="single" w:sz="4" w:space="0" w:color="auto"/>
              <w:right w:val="single" w:sz="4" w:space="0" w:color="auto"/>
            </w:tcBorders>
            <w:shd w:val="clear" w:color="auto" w:fill="auto"/>
            <w:noWrap/>
            <w:vAlign w:val="center"/>
            <w:hideMark/>
          </w:tcPr>
          <w:p w14:paraId="4FD8912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5054915000</w:t>
            </w:r>
          </w:p>
        </w:tc>
        <w:tc>
          <w:tcPr>
            <w:tcW w:w="547" w:type="pct"/>
            <w:tcBorders>
              <w:top w:val="nil"/>
              <w:left w:val="nil"/>
              <w:bottom w:val="single" w:sz="4" w:space="0" w:color="auto"/>
              <w:right w:val="single" w:sz="4" w:space="0" w:color="auto"/>
            </w:tcBorders>
            <w:shd w:val="clear" w:color="auto" w:fill="auto"/>
            <w:noWrap/>
            <w:vAlign w:val="center"/>
            <w:hideMark/>
          </w:tcPr>
          <w:p w14:paraId="4244C0E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88801292</w:t>
            </w:r>
          </w:p>
        </w:tc>
        <w:tc>
          <w:tcPr>
            <w:tcW w:w="3360" w:type="pct"/>
            <w:tcBorders>
              <w:top w:val="nil"/>
              <w:left w:val="nil"/>
              <w:bottom w:val="single" w:sz="4" w:space="0" w:color="auto"/>
              <w:right w:val="single" w:sz="4" w:space="0" w:color="auto"/>
            </w:tcBorders>
            <w:shd w:val="clear" w:color="auto" w:fill="auto"/>
            <w:vAlign w:val="center"/>
            <w:hideMark/>
          </w:tcPr>
          <w:p w14:paraId="62A9724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SLOVENJ GRADEC</w:t>
            </w:r>
          </w:p>
        </w:tc>
      </w:tr>
      <w:tr w:rsidR="00E3750C" w:rsidRPr="00415AB3" w14:paraId="59BF52D2"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B6A9AC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2145</w:t>
            </w:r>
          </w:p>
        </w:tc>
        <w:tc>
          <w:tcPr>
            <w:tcW w:w="705" w:type="pct"/>
            <w:tcBorders>
              <w:top w:val="nil"/>
              <w:left w:val="nil"/>
              <w:bottom w:val="single" w:sz="4" w:space="0" w:color="auto"/>
              <w:right w:val="single" w:sz="4" w:space="0" w:color="auto"/>
            </w:tcBorders>
            <w:shd w:val="clear" w:color="auto" w:fill="auto"/>
            <w:noWrap/>
            <w:vAlign w:val="center"/>
            <w:hideMark/>
          </w:tcPr>
          <w:p w14:paraId="13C190C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5114357000</w:t>
            </w:r>
          </w:p>
        </w:tc>
        <w:tc>
          <w:tcPr>
            <w:tcW w:w="547" w:type="pct"/>
            <w:tcBorders>
              <w:top w:val="nil"/>
              <w:left w:val="nil"/>
              <w:bottom w:val="single" w:sz="4" w:space="0" w:color="auto"/>
              <w:right w:val="single" w:sz="4" w:space="0" w:color="auto"/>
            </w:tcBorders>
            <w:shd w:val="clear" w:color="auto" w:fill="auto"/>
            <w:noWrap/>
            <w:vAlign w:val="center"/>
            <w:hideMark/>
          </w:tcPr>
          <w:p w14:paraId="03DAED4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97979287</w:t>
            </w:r>
          </w:p>
        </w:tc>
        <w:tc>
          <w:tcPr>
            <w:tcW w:w="3360" w:type="pct"/>
            <w:tcBorders>
              <w:top w:val="nil"/>
              <w:left w:val="nil"/>
              <w:bottom w:val="single" w:sz="4" w:space="0" w:color="auto"/>
              <w:right w:val="single" w:sz="4" w:space="0" w:color="auto"/>
            </w:tcBorders>
            <w:shd w:val="clear" w:color="auto" w:fill="auto"/>
            <w:vAlign w:val="center"/>
            <w:hideMark/>
          </w:tcPr>
          <w:p w14:paraId="00CD298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SLOVENSKA BISTRICA</w:t>
            </w:r>
          </w:p>
        </w:tc>
      </w:tr>
      <w:tr w:rsidR="00E3750C" w:rsidRPr="00415AB3" w14:paraId="170B6C3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BD92B4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2146</w:t>
            </w:r>
          </w:p>
        </w:tc>
        <w:tc>
          <w:tcPr>
            <w:tcW w:w="705" w:type="pct"/>
            <w:tcBorders>
              <w:top w:val="nil"/>
              <w:left w:val="nil"/>
              <w:bottom w:val="single" w:sz="4" w:space="0" w:color="auto"/>
              <w:right w:val="single" w:sz="4" w:space="0" w:color="auto"/>
            </w:tcBorders>
            <w:shd w:val="clear" w:color="auto" w:fill="auto"/>
            <w:noWrap/>
            <w:vAlign w:val="center"/>
            <w:hideMark/>
          </w:tcPr>
          <w:p w14:paraId="755DA0F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5630525000</w:t>
            </w:r>
          </w:p>
        </w:tc>
        <w:tc>
          <w:tcPr>
            <w:tcW w:w="547" w:type="pct"/>
            <w:tcBorders>
              <w:top w:val="nil"/>
              <w:left w:val="nil"/>
              <w:bottom w:val="single" w:sz="4" w:space="0" w:color="auto"/>
              <w:right w:val="single" w:sz="4" w:space="0" w:color="auto"/>
            </w:tcBorders>
            <w:shd w:val="clear" w:color="auto" w:fill="auto"/>
            <w:noWrap/>
            <w:vAlign w:val="center"/>
            <w:hideMark/>
          </w:tcPr>
          <w:p w14:paraId="23F659E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72048131</w:t>
            </w:r>
          </w:p>
        </w:tc>
        <w:tc>
          <w:tcPr>
            <w:tcW w:w="3360" w:type="pct"/>
            <w:tcBorders>
              <w:top w:val="nil"/>
              <w:left w:val="nil"/>
              <w:bottom w:val="single" w:sz="4" w:space="0" w:color="auto"/>
              <w:right w:val="single" w:sz="4" w:space="0" w:color="auto"/>
            </w:tcBorders>
            <w:shd w:val="clear" w:color="auto" w:fill="auto"/>
            <w:vAlign w:val="center"/>
            <w:hideMark/>
          </w:tcPr>
          <w:p w14:paraId="3CE4227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SLOVENSKE KONJICE</w:t>
            </w:r>
          </w:p>
        </w:tc>
      </w:tr>
      <w:tr w:rsidR="00E3750C" w:rsidRPr="00415AB3" w14:paraId="31F457E4"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C42BE1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2147</w:t>
            </w:r>
          </w:p>
        </w:tc>
        <w:tc>
          <w:tcPr>
            <w:tcW w:w="705" w:type="pct"/>
            <w:tcBorders>
              <w:top w:val="nil"/>
              <w:left w:val="nil"/>
              <w:bottom w:val="single" w:sz="4" w:space="0" w:color="auto"/>
              <w:right w:val="single" w:sz="4" w:space="0" w:color="auto"/>
            </w:tcBorders>
            <w:shd w:val="clear" w:color="auto" w:fill="auto"/>
            <w:noWrap/>
            <w:vAlign w:val="center"/>
            <w:hideMark/>
          </w:tcPr>
          <w:p w14:paraId="1784335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5630509000</w:t>
            </w:r>
          </w:p>
        </w:tc>
        <w:tc>
          <w:tcPr>
            <w:tcW w:w="547" w:type="pct"/>
            <w:tcBorders>
              <w:top w:val="nil"/>
              <w:left w:val="nil"/>
              <w:bottom w:val="single" w:sz="4" w:space="0" w:color="auto"/>
              <w:right w:val="single" w:sz="4" w:space="0" w:color="auto"/>
            </w:tcBorders>
            <w:shd w:val="clear" w:color="auto" w:fill="auto"/>
            <w:noWrap/>
            <w:vAlign w:val="center"/>
            <w:hideMark/>
          </w:tcPr>
          <w:p w14:paraId="45B2F53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45417539</w:t>
            </w:r>
          </w:p>
        </w:tc>
        <w:tc>
          <w:tcPr>
            <w:tcW w:w="3360" w:type="pct"/>
            <w:tcBorders>
              <w:top w:val="nil"/>
              <w:left w:val="nil"/>
              <w:bottom w:val="single" w:sz="4" w:space="0" w:color="auto"/>
              <w:right w:val="single" w:sz="4" w:space="0" w:color="auto"/>
            </w:tcBorders>
            <w:shd w:val="clear" w:color="auto" w:fill="auto"/>
            <w:vAlign w:val="center"/>
            <w:hideMark/>
          </w:tcPr>
          <w:p w14:paraId="7D75F99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ŠENTJUR</w:t>
            </w:r>
          </w:p>
        </w:tc>
      </w:tr>
      <w:tr w:rsidR="00E3750C" w:rsidRPr="00415AB3" w14:paraId="2776CB9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5DC976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2148</w:t>
            </w:r>
          </w:p>
        </w:tc>
        <w:tc>
          <w:tcPr>
            <w:tcW w:w="705" w:type="pct"/>
            <w:tcBorders>
              <w:top w:val="nil"/>
              <w:left w:val="nil"/>
              <w:bottom w:val="single" w:sz="4" w:space="0" w:color="auto"/>
              <w:right w:val="single" w:sz="4" w:space="0" w:color="auto"/>
            </w:tcBorders>
            <w:shd w:val="clear" w:color="auto" w:fill="auto"/>
            <w:noWrap/>
            <w:vAlign w:val="center"/>
            <w:hideMark/>
          </w:tcPr>
          <w:p w14:paraId="7AAA030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5630517000</w:t>
            </w:r>
          </w:p>
        </w:tc>
        <w:tc>
          <w:tcPr>
            <w:tcW w:w="547" w:type="pct"/>
            <w:tcBorders>
              <w:top w:val="nil"/>
              <w:left w:val="nil"/>
              <w:bottom w:val="single" w:sz="4" w:space="0" w:color="auto"/>
              <w:right w:val="single" w:sz="4" w:space="0" w:color="auto"/>
            </w:tcBorders>
            <w:shd w:val="clear" w:color="auto" w:fill="auto"/>
            <w:noWrap/>
            <w:vAlign w:val="center"/>
            <w:hideMark/>
          </w:tcPr>
          <w:p w14:paraId="6742A92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58073868</w:t>
            </w:r>
          </w:p>
        </w:tc>
        <w:tc>
          <w:tcPr>
            <w:tcW w:w="3360" w:type="pct"/>
            <w:tcBorders>
              <w:top w:val="nil"/>
              <w:left w:val="nil"/>
              <w:bottom w:val="single" w:sz="4" w:space="0" w:color="auto"/>
              <w:right w:val="single" w:sz="4" w:space="0" w:color="auto"/>
            </w:tcBorders>
            <w:shd w:val="clear" w:color="auto" w:fill="auto"/>
            <w:vAlign w:val="center"/>
            <w:hideMark/>
          </w:tcPr>
          <w:p w14:paraId="03607BB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ŠMARJE PRI JELŠAH</w:t>
            </w:r>
          </w:p>
        </w:tc>
      </w:tr>
      <w:tr w:rsidR="00E3750C" w:rsidRPr="00415AB3" w14:paraId="4BE1B70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36D048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2149</w:t>
            </w:r>
          </w:p>
        </w:tc>
        <w:tc>
          <w:tcPr>
            <w:tcW w:w="705" w:type="pct"/>
            <w:tcBorders>
              <w:top w:val="nil"/>
              <w:left w:val="nil"/>
              <w:bottom w:val="single" w:sz="4" w:space="0" w:color="auto"/>
              <w:right w:val="single" w:sz="4" w:space="0" w:color="auto"/>
            </w:tcBorders>
            <w:shd w:val="clear" w:color="auto" w:fill="auto"/>
            <w:noWrap/>
            <w:vAlign w:val="center"/>
            <w:hideMark/>
          </w:tcPr>
          <w:p w14:paraId="58524F2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5107156000</w:t>
            </w:r>
          </w:p>
        </w:tc>
        <w:tc>
          <w:tcPr>
            <w:tcW w:w="547" w:type="pct"/>
            <w:tcBorders>
              <w:top w:val="nil"/>
              <w:left w:val="nil"/>
              <w:bottom w:val="single" w:sz="4" w:space="0" w:color="auto"/>
              <w:right w:val="single" w:sz="4" w:space="0" w:color="auto"/>
            </w:tcBorders>
            <w:shd w:val="clear" w:color="auto" w:fill="auto"/>
            <w:noWrap/>
            <w:vAlign w:val="center"/>
            <w:hideMark/>
          </w:tcPr>
          <w:p w14:paraId="68B3954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51727781</w:t>
            </w:r>
          </w:p>
        </w:tc>
        <w:tc>
          <w:tcPr>
            <w:tcW w:w="3360" w:type="pct"/>
            <w:tcBorders>
              <w:top w:val="nil"/>
              <w:left w:val="nil"/>
              <w:bottom w:val="single" w:sz="4" w:space="0" w:color="auto"/>
              <w:right w:val="single" w:sz="4" w:space="0" w:color="auto"/>
            </w:tcBorders>
            <w:shd w:val="clear" w:color="auto" w:fill="auto"/>
            <w:vAlign w:val="center"/>
            <w:hideMark/>
          </w:tcPr>
          <w:p w14:paraId="4C71FC1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TOLMIN</w:t>
            </w:r>
          </w:p>
        </w:tc>
      </w:tr>
      <w:tr w:rsidR="00E3750C" w:rsidRPr="00415AB3" w14:paraId="7342170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D37873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2150</w:t>
            </w:r>
          </w:p>
        </w:tc>
        <w:tc>
          <w:tcPr>
            <w:tcW w:w="705" w:type="pct"/>
            <w:tcBorders>
              <w:top w:val="nil"/>
              <w:left w:val="nil"/>
              <w:bottom w:val="single" w:sz="4" w:space="0" w:color="auto"/>
              <w:right w:val="single" w:sz="4" w:space="0" w:color="auto"/>
            </w:tcBorders>
            <w:shd w:val="clear" w:color="auto" w:fill="auto"/>
            <w:noWrap/>
            <w:vAlign w:val="center"/>
            <w:hideMark/>
          </w:tcPr>
          <w:p w14:paraId="464B5CF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5063094000</w:t>
            </w:r>
          </w:p>
        </w:tc>
        <w:tc>
          <w:tcPr>
            <w:tcW w:w="547" w:type="pct"/>
            <w:tcBorders>
              <w:top w:val="nil"/>
              <w:left w:val="nil"/>
              <w:bottom w:val="single" w:sz="4" w:space="0" w:color="auto"/>
              <w:right w:val="single" w:sz="4" w:space="0" w:color="auto"/>
            </w:tcBorders>
            <w:shd w:val="clear" w:color="auto" w:fill="auto"/>
            <w:noWrap/>
            <w:vAlign w:val="center"/>
            <w:hideMark/>
          </w:tcPr>
          <w:p w14:paraId="543A3F9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17119324</w:t>
            </w:r>
          </w:p>
        </w:tc>
        <w:tc>
          <w:tcPr>
            <w:tcW w:w="3360" w:type="pct"/>
            <w:tcBorders>
              <w:top w:val="nil"/>
              <w:left w:val="nil"/>
              <w:bottom w:val="single" w:sz="4" w:space="0" w:color="auto"/>
              <w:right w:val="single" w:sz="4" w:space="0" w:color="auto"/>
            </w:tcBorders>
            <w:shd w:val="clear" w:color="auto" w:fill="auto"/>
            <w:vAlign w:val="center"/>
            <w:hideMark/>
          </w:tcPr>
          <w:p w14:paraId="59A6E8E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TRBOVLJE</w:t>
            </w:r>
          </w:p>
        </w:tc>
      </w:tr>
      <w:tr w:rsidR="00E3750C" w:rsidRPr="00415AB3" w14:paraId="6E93BDCF"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97B107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2151</w:t>
            </w:r>
          </w:p>
        </w:tc>
        <w:tc>
          <w:tcPr>
            <w:tcW w:w="705" w:type="pct"/>
            <w:tcBorders>
              <w:top w:val="nil"/>
              <w:left w:val="nil"/>
              <w:bottom w:val="single" w:sz="4" w:space="0" w:color="auto"/>
              <w:right w:val="single" w:sz="4" w:space="0" w:color="auto"/>
            </w:tcBorders>
            <w:shd w:val="clear" w:color="auto" w:fill="auto"/>
            <w:noWrap/>
            <w:vAlign w:val="center"/>
            <w:hideMark/>
          </w:tcPr>
          <w:p w14:paraId="113438E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5054583000</w:t>
            </w:r>
          </w:p>
        </w:tc>
        <w:tc>
          <w:tcPr>
            <w:tcW w:w="547" w:type="pct"/>
            <w:tcBorders>
              <w:top w:val="nil"/>
              <w:left w:val="nil"/>
              <w:bottom w:val="single" w:sz="4" w:space="0" w:color="auto"/>
              <w:right w:val="single" w:sz="4" w:space="0" w:color="auto"/>
            </w:tcBorders>
            <w:shd w:val="clear" w:color="auto" w:fill="auto"/>
            <w:noWrap/>
            <w:vAlign w:val="center"/>
            <w:hideMark/>
          </w:tcPr>
          <w:p w14:paraId="1B77667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99797275</w:t>
            </w:r>
          </w:p>
        </w:tc>
        <w:tc>
          <w:tcPr>
            <w:tcW w:w="3360" w:type="pct"/>
            <w:tcBorders>
              <w:top w:val="nil"/>
              <w:left w:val="nil"/>
              <w:bottom w:val="single" w:sz="4" w:space="0" w:color="auto"/>
              <w:right w:val="single" w:sz="4" w:space="0" w:color="auto"/>
            </w:tcBorders>
            <w:shd w:val="clear" w:color="auto" w:fill="auto"/>
            <w:vAlign w:val="center"/>
            <w:hideMark/>
          </w:tcPr>
          <w:p w14:paraId="4EA36CD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TREBNJE</w:t>
            </w:r>
          </w:p>
        </w:tc>
      </w:tr>
      <w:tr w:rsidR="00E3750C" w:rsidRPr="00415AB3" w14:paraId="1525599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4E5AD8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2152</w:t>
            </w:r>
          </w:p>
        </w:tc>
        <w:tc>
          <w:tcPr>
            <w:tcW w:w="705" w:type="pct"/>
            <w:tcBorders>
              <w:top w:val="nil"/>
              <w:left w:val="nil"/>
              <w:bottom w:val="single" w:sz="4" w:space="0" w:color="auto"/>
              <w:right w:val="single" w:sz="4" w:space="0" w:color="auto"/>
            </w:tcBorders>
            <w:shd w:val="clear" w:color="auto" w:fill="auto"/>
            <w:noWrap/>
            <w:vAlign w:val="center"/>
            <w:hideMark/>
          </w:tcPr>
          <w:p w14:paraId="6A3DF8B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5820456000</w:t>
            </w:r>
          </w:p>
        </w:tc>
        <w:tc>
          <w:tcPr>
            <w:tcW w:w="547" w:type="pct"/>
            <w:tcBorders>
              <w:top w:val="nil"/>
              <w:left w:val="nil"/>
              <w:bottom w:val="single" w:sz="4" w:space="0" w:color="auto"/>
              <w:right w:val="single" w:sz="4" w:space="0" w:color="auto"/>
            </w:tcBorders>
            <w:shd w:val="clear" w:color="auto" w:fill="auto"/>
            <w:noWrap/>
            <w:vAlign w:val="center"/>
            <w:hideMark/>
          </w:tcPr>
          <w:p w14:paraId="667B6FE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13920235</w:t>
            </w:r>
          </w:p>
        </w:tc>
        <w:tc>
          <w:tcPr>
            <w:tcW w:w="3360" w:type="pct"/>
            <w:tcBorders>
              <w:top w:val="nil"/>
              <w:left w:val="nil"/>
              <w:bottom w:val="single" w:sz="4" w:space="0" w:color="auto"/>
              <w:right w:val="single" w:sz="4" w:space="0" w:color="auto"/>
            </w:tcBorders>
            <w:shd w:val="clear" w:color="auto" w:fill="auto"/>
            <w:vAlign w:val="center"/>
            <w:hideMark/>
          </w:tcPr>
          <w:p w14:paraId="2881C31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VELENJE</w:t>
            </w:r>
          </w:p>
        </w:tc>
      </w:tr>
      <w:tr w:rsidR="00E3750C" w:rsidRPr="00415AB3" w14:paraId="068DF51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4E9C2D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2153</w:t>
            </w:r>
          </w:p>
        </w:tc>
        <w:tc>
          <w:tcPr>
            <w:tcW w:w="705" w:type="pct"/>
            <w:tcBorders>
              <w:top w:val="nil"/>
              <w:left w:val="nil"/>
              <w:bottom w:val="single" w:sz="4" w:space="0" w:color="auto"/>
              <w:right w:val="single" w:sz="4" w:space="0" w:color="auto"/>
            </w:tcBorders>
            <w:shd w:val="clear" w:color="auto" w:fill="auto"/>
            <w:noWrap/>
            <w:vAlign w:val="center"/>
            <w:hideMark/>
          </w:tcPr>
          <w:p w14:paraId="26E5015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5158834000</w:t>
            </w:r>
          </w:p>
        </w:tc>
        <w:tc>
          <w:tcPr>
            <w:tcW w:w="547" w:type="pct"/>
            <w:tcBorders>
              <w:top w:val="nil"/>
              <w:left w:val="nil"/>
              <w:bottom w:val="single" w:sz="4" w:space="0" w:color="auto"/>
              <w:right w:val="single" w:sz="4" w:space="0" w:color="auto"/>
            </w:tcBorders>
            <w:shd w:val="clear" w:color="auto" w:fill="auto"/>
            <w:noWrap/>
            <w:vAlign w:val="center"/>
            <w:hideMark/>
          </w:tcPr>
          <w:p w14:paraId="3A71E9E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19577460</w:t>
            </w:r>
          </w:p>
        </w:tc>
        <w:tc>
          <w:tcPr>
            <w:tcW w:w="3360" w:type="pct"/>
            <w:tcBorders>
              <w:top w:val="nil"/>
              <w:left w:val="nil"/>
              <w:bottom w:val="single" w:sz="4" w:space="0" w:color="auto"/>
              <w:right w:val="single" w:sz="4" w:space="0" w:color="auto"/>
            </w:tcBorders>
            <w:shd w:val="clear" w:color="auto" w:fill="auto"/>
            <w:vAlign w:val="center"/>
            <w:hideMark/>
          </w:tcPr>
          <w:p w14:paraId="3F28428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VRHNIKA</w:t>
            </w:r>
          </w:p>
        </w:tc>
      </w:tr>
      <w:tr w:rsidR="00E3750C" w:rsidRPr="00415AB3" w14:paraId="4F9F94D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EFF387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2154</w:t>
            </w:r>
          </w:p>
        </w:tc>
        <w:tc>
          <w:tcPr>
            <w:tcW w:w="705" w:type="pct"/>
            <w:tcBorders>
              <w:top w:val="nil"/>
              <w:left w:val="nil"/>
              <w:bottom w:val="single" w:sz="4" w:space="0" w:color="auto"/>
              <w:right w:val="single" w:sz="4" w:space="0" w:color="auto"/>
            </w:tcBorders>
            <w:shd w:val="clear" w:color="auto" w:fill="auto"/>
            <w:noWrap/>
            <w:vAlign w:val="center"/>
            <w:hideMark/>
          </w:tcPr>
          <w:p w14:paraId="7026C66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5700817000</w:t>
            </w:r>
          </w:p>
        </w:tc>
        <w:tc>
          <w:tcPr>
            <w:tcW w:w="547" w:type="pct"/>
            <w:tcBorders>
              <w:top w:val="nil"/>
              <w:left w:val="nil"/>
              <w:bottom w:val="single" w:sz="4" w:space="0" w:color="auto"/>
              <w:right w:val="single" w:sz="4" w:space="0" w:color="auto"/>
            </w:tcBorders>
            <w:shd w:val="clear" w:color="auto" w:fill="auto"/>
            <w:noWrap/>
            <w:vAlign w:val="center"/>
            <w:hideMark/>
          </w:tcPr>
          <w:p w14:paraId="1A9784E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42997186</w:t>
            </w:r>
          </w:p>
        </w:tc>
        <w:tc>
          <w:tcPr>
            <w:tcW w:w="3360" w:type="pct"/>
            <w:tcBorders>
              <w:top w:val="nil"/>
              <w:left w:val="nil"/>
              <w:bottom w:val="single" w:sz="4" w:space="0" w:color="auto"/>
              <w:right w:val="single" w:sz="4" w:space="0" w:color="auto"/>
            </w:tcBorders>
            <w:shd w:val="clear" w:color="auto" w:fill="auto"/>
            <w:vAlign w:val="center"/>
            <w:hideMark/>
          </w:tcPr>
          <w:p w14:paraId="41D2D0C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ZA ŠTUDENTE UNIVERZE V LJUBLJANI</w:t>
            </w:r>
          </w:p>
        </w:tc>
      </w:tr>
      <w:tr w:rsidR="00E3750C" w:rsidRPr="00415AB3" w14:paraId="3DFAFE8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81CF6C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2155</w:t>
            </w:r>
          </w:p>
        </w:tc>
        <w:tc>
          <w:tcPr>
            <w:tcW w:w="705" w:type="pct"/>
            <w:tcBorders>
              <w:top w:val="nil"/>
              <w:left w:val="nil"/>
              <w:bottom w:val="single" w:sz="4" w:space="0" w:color="auto"/>
              <w:right w:val="single" w:sz="4" w:space="0" w:color="auto"/>
            </w:tcBorders>
            <w:shd w:val="clear" w:color="auto" w:fill="auto"/>
            <w:noWrap/>
            <w:vAlign w:val="center"/>
            <w:hideMark/>
          </w:tcPr>
          <w:p w14:paraId="4A3537B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5063108000</w:t>
            </w:r>
          </w:p>
        </w:tc>
        <w:tc>
          <w:tcPr>
            <w:tcW w:w="547" w:type="pct"/>
            <w:tcBorders>
              <w:top w:val="nil"/>
              <w:left w:val="nil"/>
              <w:bottom w:val="single" w:sz="4" w:space="0" w:color="auto"/>
              <w:right w:val="single" w:sz="4" w:space="0" w:color="auto"/>
            </w:tcBorders>
            <w:shd w:val="clear" w:color="auto" w:fill="auto"/>
            <w:noWrap/>
            <w:vAlign w:val="center"/>
            <w:hideMark/>
          </w:tcPr>
          <w:p w14:paraId="76A7637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89472861</w:t>
            </w:r>
          </w:p>
        </w:tc>
        <w:tc>
          <w:tcPr>
            <w:tcW w:w="3360" w:type="pct"/>
            <w:tcBorders>
              <w:top w:val="nil"/>
              <w:left w:val="nil"/>
              <w:bottom w:val="single" w:sz="4" w:space="0" w:color="auto"/>
              <w:right w:val="single" w:sz="4" w:space="0" w:color="auto"/>
            </w:tcBorders>
            <w:shd w:val="clear" w:color="auto" w:fill="auto"/>
            <w:vAlign w:val="center"/>
            <w:hideMark/>
          </w:tcPr>
          <w:p w14:paraId="0EA07D7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ZAGORJE OB SAVI CESTA ZMAGE 1</w:t>
            </w:r>
          </w:p>
        </w:tc>
      </w:tr>
      <w:tr w:rsidR="00E3750C" w:rsidRPr="00415AB3" w14:paraId="428961E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1042E6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2156</w:t>
            </w:r>
          </w:p>
        </w:tc>
        <w:tc>
          <w:tcPr>
            <w:tcW w:w="705" w:type="pct"/>
            <w:tcBorders>
              <w:top w:val="nil"/>
              <w:left w:val="nil"/>
              <w:bottom w:val="single" w:sz="4" w:space="0" w:color="auto"/>
              <w:right w:val="single" w:sz="4" w:space="0" w:color="auto"/>
            </w:tcBorders>
            <w:shd w:val="clear" w:color="auto" w:fill="auto"/>
            <w:noWrap/>
            <w:vAlign w:val="center"/>
            <w:hideMark/>
          </w:tcPr>
          <w:p w14:paraId="787514A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5107172000</w:t>
            </w:r>
          </w:p>
        </w:tc>
        <w:tc>
          <w:tcPr>
            <w:tcW w:w="547" w:type="pct"/>
            <w:tcBorders>
              <w:top w:val="nil"/>
              <w:left w:val="nil"/>
              <w:bottom w:val="single" w:sz="4" w:space="0" w:color="auto"/>
              <w:right w:val="single" w:sz="4" w:space="0" w:color="auto"/>
            </w:tcBorders>
            <w:shd w:val="clear" w:color="auto" w:fill="auto"/>
            <w:noWrap/>
            <w:vAlign w:val="center"/>
            <w:hideMark/>
          </w:tcPr>
          <w:p w14:paraId="3EA773A9"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22312650</w:t>
            </w:r>
          </w:p>
        </w:tc>
        <w:tc>
          <w:tcPr>
            <w:tcW w:w="3360" w:type="pct"/>
            <w:tcBorders>
              <w:top w:val="nil"/>
              <w:left w:val="nil"/>
              <w:bottom w:val="single" w:sz="4" w:space="0" w:color="auto"/>
              <w:right w:val="single" w:sz="4" w:space="0" w:color="auto"/>
            </w:tcBorders>
            <w:shd w:val="clear" w:color="auto" w:fill="auto"/>
            <w:vAlign w:val="center"/>
            <w:hideMark/>
          </w:tcPr>
          <w:p w14:paraId="390CFE6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ZDRAVSTVENI DOM ZOBOZDRAVSTVENO VARSTVO NOVA GORICA</w:t>
            </w:r>
          </w:p>
        </w:tc>
      </w:tr>
      <w:tr w:rsidR="00E3750C" w:rsidRPr="00415AB3" w14:paraId="5ABC96F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B7CDD1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2157</w:t>
            </w:r>
          </w:p>
        </w:tc>
        <w:tc>
          <w:tcPr>
            <w:tcW w:w="705" w:type="pct"/>
            <w:tcBorders>
              <w:top w:val="nil"/>
              <w:left w:val="nil"/>
              <w:bottom w:val="single" w:sz="4" w:space="0" w:color="auto"/>
              <w:right w:val="single" w:sz="4" w:space="0" w:color="auto"/>
            </w:tcBorders>
            <w:shd w:val="clear" w:color="auto" w:fill="auto"/>
            <w:noWrap/>
            <w:vAlign w:val="center"/>
            <w:hideMark/>
          </w:tcPr>
          <w:p w14:paraId="703B7C5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5054923000</w:t>
            </w:r>
          </w:p>
        </w:tc>
        <w:tc>
          <w:tcPr>
            <w:tcW w:w="547" w:type="pct"/>
            <w:tcBorders>
              <w:top w:val="nil"/>
              <w:left w:val="nil"/>
              <w:bottom w:val="single" w:sz="4" w:space="0" w:color="auto"/>
              <w:right w:val="single" w:sz="4" w:space="0" w:color="auto"/>
            </w:tcBorders>
            <w:shd w:val="clear" w:color="auto" w:fill="auto"/>
            <w:noWrap/>
            <w:vAlign w:val="center"/>
            <w:hideMark/>
          </w:tcPr>
          <w:p w14:paraId="351E41D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60994614</w:t>
            </w:r>
          </w:p>
        </w:tc>
        <w:tc>
          <w:tcPr>
            <w:tcW w:w="3360" w:type="pct"/>
            <w:tcBorders>
              <w:top w:val="nil"/>
              <w:left w:val="nil"/>
              <w:bottom w:val="single" w:sz="4" w:space="0" w:color="auto"/>
              <w:right w:val="single" w:sz="4" w:space="0" w:color="auto"/>
            </w:tcBorders>
            <w:shd w:val="clear" w:color="auto" w:fill="auto"/>
            <w:vAlign w:val="center"/>
            <w:hideMark/>
          </w:tcPr>
          <w:p w14:paraId="64D1ABE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ZDRAVSTVENO REŠEVALNI CENTER KOROŠKE</w:t>
            </w:r>
          </w:p>
        </w:tc>
      </w:tr>
      <w:tr w:rsidR="00E3750C" w:rsidRPr="00415AB3" w14:paraId="6FB8C753"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FF901C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2158</w:t>
            </w:r>
          </w:p>
        </w:tc>
        <w:tc>
          <w:tcPr>
            <w:tcW w:w="705" w:type="pct"/>
            <w:tcBorders>
              <w:top w:val="nil"/>
              <w:left w:val="nil"/>
              <w:bottom w:val="single" w:sz="4" w:space="0" w:color="auto"/>
              <w:right w:val="single" w:sz="4" w:space="0" w:color="auto"/>
            </w:tcBorders>
            <w:shd w:val="clear" w:color="auto" w:fill="auto"/>
            <w:noWrap/>
            <w:vAlign w:val="center"/>
            <w:hideMark/>
          </w:tcPr>
          <w:p w14:paraId="5EC562D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1621645000</w:t>
            </w:r>
          </w:p>
        </w:tc>
        <w:tc>
          <w:tcPr>
            <w:tcW w:w="547" w:type="pct"/>
            <w:tcBorders>
              <w:top w:val="nil"/>
              <w:left w:val="nil"/>
              <w:bottom w:val="single" w:sz="4" w:space="0" w:color="auto"/>
              <w:right w:val="single" w:sz="4" w:space="0" w:color="auto"/>
            </w:tcBorders>
            <w:shd w:val="clear" w:color="auto" w:fill="auto"/>
            <w:noWrap/>
            <w:vAlign w:val="center"/>
            <w:hideMark/>
          </w:tcPr>
          <w:p w14:paraId="556EADF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14486199</w:t>
            </w:r>
          </w:p>
        </w:tc>
        <w:tc>
          <w:tcPr>
            <w:tcW w:w="3360" w:type="pct"/>
            <w:tcBorders>
              <w:top w:val="nil"/>
              <w:left w:val="nil"/>
              <w:bottom w:val="single" w:sz="4" w:space="0" w:color="auto"/>
              <w:right w:val="single" w:sz="4" w:space="0" w:color="auto"/>
            </w:tcBorders>
            <w:shd w:val="clear" w:color="auto" w:fill="auto"/>
            <w:vAlign w:val="center"/>
            <w:hideMark/>
          </w:tcPr>
          <w:p w14:paraId="1215F73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ZDRUŽENJE OBČIN SLOVENIJE</w:t>
            </w:r>
          </w:p>
        </w:tc>
      </w:tr>
      <w:tr w:rsidR="00E3750C" w:rsidRPr="00415AB3" w14:paraId="3DE1516D"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EC3A1A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lastRenderedPageBreak/>
              <w:t>2159</w:t>
            </w:r>
          </w:p>
        </w:tc>
        <w:tc>
          <w:tcPr>
            <w:tcW w:w="705" w:type="pct"/>
            <w:tcBorders>
              <w:top w:val="nil"/>
              <w:left w:val="nil"/>
              <w:bottom w:val="single" w:sz="4" w:space="0" w:color="auto"/>
              <w:right w:val="single" w:sz="4" w:space="0" w:color="auto"/>
            </w:tcBorders>
            <w:shd w:val="clear" w:color="auto" w:fill="auto"/>
            <w:noWrap/>
            <w:vAlign w:val="center"/>
            <w:hideMark/>
          </w:tcPr>
          <w:p w14:paraId="521D701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5054087000</w:t>
            </w:r>
          </w:p>
        </w:tc>
        <w:tc>
          <w:tcPr>
            <w:tcW w:w="547" w:type="pct"/>
            <w:tcBorders>
              <w:top w:val="nil"/>
              <w:left w:val="nil"/>
              <w:bottom w:val="single" w:sz="4" w:space="0" w:color="auto"/>
              <w:right w:val="single" w:sz="4" w:space="0" w:color="auto"/>
            </w:tcBorders>
            <w:shd w:val="clear" w:color="auto" w:fill="auto"/>
            <w:noWrap/>
            <w:vAlign w:val="center"/>
            <w:hideMark/>
          </w:tcPr>
          <w:p w14:paraId="4E61F5D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19145837</w:t>
            </w:r>
          </w:p>
        </w:tc>
        <w:tc>
          <w:tcPr>
            <w:tcW w:w="3360" w:type="pct"/>
            <w:tcBorders>
              <w:top w:val="nil"/>
              <w:left w:val="nil"/>
              <w:bottom w:val="single" w:sz="4" w:space="0" w:color="auto"/>
              <w:right w:val="single" w:sz="4" w:space="0" w:color="auto"/>
            </w:tcBorders>
            <w:shd w:val="clear" w:color="auto" w:fill="auto"/>
            <w:vAlign w:val="center"/>
            <w:hideMark/>
          </w:tcPr>
          <w:p w14:paraId="1F2086D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ZDRUŽENJE ZDRAVSTVENIH ZAVODOV SLOVENIJE</w:t>
            </w:r>
          </w:p>
        </w:tc>
      </w:tr>
      <w:tr w:rsidR="00E3750C" w:rsidRPr="00415AB3" w14:paraId="3398E10B"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7FD975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2160</w:t>
            </w:r>
          </w:p>
        </w:tc>
        <w:tc>
          <w:tcPr>
            <w:tcW w:w="705" w:type="pct"/>
            <w:tcBorders>
              <w:top w:val="nil"/>
              <w:left w:val="nil"/>
              <w:bottom w:val="single" w:sz="4" w:space="0" w:color="auto"/>
              <w:right w:val="single" w:sz="4" w:space="0" w:color="auto"/>
            </w:tcBorders>
            <w:shd w:val="clear" w:color="auto" w:fill="auto"/>
            <w:noWrap/>
            <w:vAlign w:val="center"/>
            <w:hideMark/>
          </w:tcPr>
          <w:p w14:paraId="26A3CF2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5052459000</w:t>
            </w:r>
          </w:p>
        </w:tc>
        <w:tc>
          <w:tcPr>
            <w:tcW w:w="547" w:type="pct"/>
            <w:tcBorders>
              <w:top w:val="nil"/>
              <w:left w:val="nil"/>
              <w:bottom w:val="single" w:sz="4" w:space="0" w:color="auto"/>
              <w:right w:val="single" w:sz="4" w:space="0" w:color="auto"/>
            </w:tcBorders>
            <w:shd w:val="clear" w:color="auto" w:fill="auto"/>
            <w:noWrap/>
            <w:vAlign w:val="center"/>
            <w:hideMark/>
          </w:tcPr>
          <w:p w14:paraId="754EF03E"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47341785</w:t>
            </w:r>
          </w:p>
        </w:tc>
        <w:tc>
          <w:tcPr>
            <w:tcW w:w="3360" w:type="pct"/>
            <w:tcBorders>
              <w:top w:val="nil"/>
              <w:left w:val="nil"/>
              <w:bottom w:val="single" w:sz="4" w:space="0" w:color="auto"/>
              <w:right w:val="single" w:sz="4" w:space="0" w:color="auto"/>
            </w:tcBorders>
            <w:shd w:val="clear" w:color="auto" w:fill="auto"/>
            <w:vAlign w:val="center"/>
            <w:hideMark/>
          </w:tcPr>
          <w:p w14:paraId="70637BF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ZGODOVINSKI ARHIV CELJE</w:t>
            </w:r>
          </w:p>
        </w:tc>
      </w:tr>
      <w:tr w:rsidR="00E3750C" w:rsidRPr="00415AB3" w14:paraId="26E4BE68"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AFE432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2161</w:t>
            </w:r>
          </w:p>
        </w:tc>
        <w:tc>
          <w:tcPr>
            <w:tcW w:w="705" w:type="pct"/>
            <w:tcBorders>
              <w:top w:val="nil"/>
              <w:left w:val="nil"/>
              <w:bottom w:val="single" w:sz="4" w:space="0" w:color="auto"/>
              <w:right w:val="single" w:sz="4" w:space="0" w:color="auto"/>
            </w:tcBorders>
            <w:shd w:val="clear" w:color="auto" w:fill="auto"/>
            <w:noWrap/>
            <w:vAlign w:val="center"/>
            <w:hideMark/>
          </w:tcPr>
          <w:p w14:paraId="5762248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5052041000</w:t>
            </w:r>
          </w:p>
        </w:tc>
        <w:tc>
          <w:tcPr>
            <w:tcW w:w="547" w:type="pct"/>
            <w:tcBorders>
              <w:top w:val="nil"/>
              <w:left w:val="nil"/>
              <w:bottom w:val="single" w:sz="4" w:space="0" w:color="auto"/>
              <w:right w:val="single" w:sz="4" w:space="0" w:color="auto"/>
            </w:tcBorders>
            <w:shd w:val="clear" w:color="auto" w:fill="auto"/>
            <w:noWrap/>
            <w:vAlign w:val="center"/>
            <w:hideMark/>
          </w:tcPr>
          <w:p w14:paraId="6B210DB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26248522</w:t>
            </w:r>
          </w:p>
        </w:tc>
        <w:tc>
          <w:tcPr>
            <w:tcW w:w="3360" w:type="pct"/>
            <w:tcBorders>
              <w:top w:val="nil"/>
              <w:left w:val="nil"/>
              <w:bottom w:val="single" w:sz="4" w:space="0" w:color="auto"/>
              <w:right w:val="single" w:sz="4" w:space="0" w:color="auto"/>
            </w:tcBorders>
            <w:shd w:val="clear" w:color="auto" w:fill="auto"/>
            <w:vAlign w:val="center"/>
            <w:hideMark/>
          </w:tcPr>
          <w:p w14:paraId="6E17ECC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ZGODOVINSKI ARHIV LJUBLJANA</w:t>
            </w:r>
          </w:p>
        </w:tc>
      </w:tr>
      <w:tr w:rsidR="00E3750C" w:rsidRPr="00415AB3" w14:paraId="2ED30879"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069635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2162</w:t>
            </w:r>
          </w:p>
        </w:tc>
        <w:tc>
          <w:tcPr>
            <w:tcW w:w="705" w:type="pct"/>
            <w:tcBorders>
              <w:top w:val="nil"/>
              <w:left w:val="nil"/>
              <w:bottom w:val="single" w:sz="4" w:space="0" w:color="auto"/>
              <w:right w:val="single" w:sz="4" w:space="0" w:color="auto"/>
            </w:tcBorders>
            <w:shd w:val="clear" w:color="auto" w:fill="auto"/>
            <w:noWrap/>
            <w:vAlign w:val="center"/>
            <w:hideMark/>
          </w:tcPr>
          <w:p w14:paraId="5614C5F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5206642000</w:t>
            </w:r>
          </w:p>
        </w:tc>
        <w:tc>
          <w:tcPr>
            <w:tcW w:w="547" w:type="pct"/>
            <w:tcBorders>
              <w:top w:val="nil"/>
              <w:left w:val="nil"/>
              <w:bottom w:val="single" w:sz="4" w:space="0" w:color="auto"/>
              <w:right w:val="single" w:sz="4" w:space="0" w:color="auto"/>
            </w:tcBorders>
            <w:shd w:val="clear" w:color="auto" w:fill="auto"/>
            <w:noWrap/>
            <w:vAlign w:val="center"/>
            <w:hideMark/>
          </w:tcPr>
          <w:p w14:paraId="75FC5C6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43345654</w:t>
            </w:r>
          </w:p>
        </w:tc>
        <w:tc>
          <w:tcPr>
            <w:tcW w:w="3360" w:type="pct"/>
            <w:tcBorders>
              <w:top w:val="nil"/>
              <w:left w:val="nil"/>
              <w:bottom w:val="single" w:sz="4" w:space="0" w:color="auto"/>
              <w:right w:val="single" w:sz="4" w:space="0" w:color="auto"/>
            </w:tcBorders>
            <w:shd w:val="clear" w:color="auto" w:fill="auto"/>
            <w:vAlign w:val="center"/>
            <w:hideMark/>
          </w:tcPr>
          <w:p w14:paraId="6D714E3A"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ZGORNJESAVINJSKI ZDRAVSTVENI DOM NAZARJE</w:t>
            </w:r>
          </w:p>
        </w:tc>
      </w:tr>
      <w:tr w:rsidR="00E3750C" w:rsidRPr="00415AB3" w14:paraId="5136F276"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0F8D81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2163</w:t>
            </w:r>
          </w:p>
        </w:tc>
        <w:tc>
          <w:tcPr>
            <w:tcW w:w="705" w:type="pct"/>
            <w:tcBorders>
              <w:top w:val="nil"/>
              <w:left w:val="nil"/>
              <w:bottom w:val="single" w:sz="4" w:space="0" w:color="auto"/>
              <w:right w:val="single" w:sz="4" w:space="0" w:color="auto"/>
            </w:tcBorders>
            <w:shd w:val="clear" w:color="auto" w:fill="auto"/>
            <w:noWrap/>
            <w:vAlign w:val="center"/>
            <w:hideMark/>
          </w:tcPr>
          <w:p w14:paraId="15876EF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1708473000</w:t>
            </w:r>
          </w:p>
        </w:tc>
        <w:tc>
          <w:tcPr>
            <w:tcW w:w="547" w:type="pct"/>
            <w:tcBorders>
              <w:top w:val="nil"/>
              <w:left w:val="nil"/>
              <w:bottom w:val="single" w:sz="4" w:space="0" w:color="auto"/>
              <w:right w:val="single" w:sz="4" w:space="0" w:color="auto"/>
            </w:tcBorders>
            <w:shd w:val="clear" w:color="auto" w:fill="auto"/>
            <w:noWrap/>
            <w:vAlign w:val="center"/>
            <w:hideMark/>
          </w:tcPr>
          <w:p w14:paraId="07B87D4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34099921</w:t>
            </w:r>
          </w:p>
        </w:tc>
        <w:tc>
          <w:tcPr>
            <w:tcW w:w="3360" w:type="pct"/>
            <w:tcBorders>
              <w:top w:val="nil"/>
              <w:left w:val="nil"/>
              <w:bottom w:val="single" w:sz="4" w:space="0" w:color="auto"/>
              <w:right w:val="single" w:sz="4" w:space="0" w:color="auto"/>
            </w:tcBorders>
            <w:shd w:val="clear" w:color="auto" w:fill="auto"/>
            <w:vAlign w:val="center"/>
            <w:hideMark/>
          </w:tcPr>
          <w:p w14:paraId="4BA9EEB2"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ZKŠT ZAVOD ZA KULTURO, ŠPORT IN TURIZEM ŽALEC</w:t>
            </w:r>
          </w:p>
        </w:tc>
      </w:tr>
      <w:tr w:rsidR="00E3750C" w:rsidRPr="00415AB3" w14:paraId="69D96EF7" w14:textId="77777777" w:rsidTr="00047864">
        <w:trPr>
          <w:trHeight w:val="6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40083DD"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2164</w:t>
            </w:r>
          </w:p>
        </w:tc>
        <w:tc>
          <w:tcPr>
            <w:tcW w:w="705" w:type="pct"/>
            <w:tcBorders>
              <w:top w:val="nil"/>
              <w:left w:val="nil"/>
              <w:bottom w:val="single" w:sz="4" w:space="0" w:color="auto"/>
              <w:right w:val="single" w:sz="4" w:space="0" w:color="auto"/>
            </w:tcBorders>
            <w:shd w:val="clear" w:color="auto" w:fill="auto"/>
            <w:noWrap/>
            <w:vAlign w:val="center"/>
            <w:hideMark/>
          </w:tcPr>
          <w:p w14:paraId="62CF9DC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5105498000</w:t>
            </w:r>
          </w:p>
        </w:tc>
        <w:tc>
          <w:tcPr>
            <w:tcW w:w="547" w:type="pct"/>
            <w:tcBorders>
              <w:top w:val="nil"/>
              <w:left w:val="nil"/>
              <w:bottom w:val="single" w:sz="4" w:space="0" w:color="auto"/>
              <w:right w:val="single" w:sz="4" w:space="0" w:color="auto"/>
            </w:tcBorders>
            <w:shd w:val="clear" w:color="auto" w:fill="auto"/>
            <w:noWrap/>
            <w:vAlign w:val="center"/>
            <w:hideMark/>
          </w:tcPr>
          <w:p w14:paraId="51E5F6F3"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38048183</w:t>
            </w:r>
          </w:p>
        </w:tc>
        <w:tc>
          <w:tcPr>
            <w:tcW w:w="3360" w:type="pct"/>
            <w:tcBorders>
              <w:top w:val="nil"/>
              <w:left w:val="nil"/>
              <w:bottom w:val="single" w:sz="4" w:space="0" w:color="auto"/>
              <w:right w:val="single" w:sz="4" w:space="0" w:color="auto"/>
            </w:tcBorders>
            <w:shd w:val="clear" w:color="auto" w:fill="auto"/>
            <w:vAlign w:val="center"/>
            <w:hideMark/>
          </w:tcPr>
          <w:p w14:paraId="7E3F9F9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ZNANSTVENORAZISKOVALNI CENTER SLOVENSKE AKADEMIJE ZNANOSTI IN UMETNOSTI</w:t>
            </w:r>
          </w:p>
        </w:tc>
      </w:tr>
      <w:tr w:rsidR="00E3750C" w:rsidRPr="00415AB3" w14:paraId="7C96B7E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582EC2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2165</w:t>
            </w:r>
          </w:p>
        </w:tc>
        <w:tc>
          <w:tcPr>
            <w:tcW w:w="705" w:type="pct"/>
            <w:tcBorders>
              <w:top w:val="nil"/>
              <w:left w:val="nil"/>
              <w:bottom w:val="single" w:sz="4" w:space="0" w:color="auto"/>
              <w:right w:val="single" w:sz="4" w:space="0" w:color="auto"/>
            </w:tcBorders>
            <w:shd w:val="clear" w:color="auto" w:fill="auto"/>
            <w:noWrap/>
            <w:vAlign w:val="center"/>
            <w:hideMark/>
          </w:tcPr>
          <w:p w14:paraId="1AAA2F4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5844975000</w:t>
            </w:r>
          </w:p>
        </w:tc>
        <w:tc>
          <w:tcPr>
            <w:tcW w:w="547" w:type="pct"/>
            <w:tcBorders>
              <w:top w:val="nil"/>
              <w:left w:val="nil"/>
              <w:bottom w:val="single" w:sz="4" w:space="0" w:color="auto"/>
              <w:right w:val="single" w:sz="4" w:space="0" w:color="auto"/>
            </w:tcBorders>
            <w:shd w:val="clear" w:color="auto" w:fill="auto"/>
            <w:noWrap/>
            <w:vAlign w:val="center"/>
            <w:hideMark/>
          </w:tcPr>
          <w:p w14:paraId="0DE520A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55581218</w:t>
            </w:r>
          </w:p>
        </w:tc>
        <w:tc>
          <w:tcPr>
            <w:tcW w:w="3360" w:type="pct"/>
            <w:tcBorders>
              <w:top w:val="nil"/>
              <w:left w:val="nil"/>
              <w:bottom w:val="single" w:sz="4" w:space="0" w:color="auto"/>
              <w:right w:val="single" w:sz="4" w:space="0" w:color="auto"/>
            </w:tcBorders>
            <w:shd w:val="clear" w:color="auto" w:fill="auto"/>
            <w:vAlign w:val="center"/>
            <w:hideMark/>
          </w:tcPr>
          <w:p w14:paraId="2A222FF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ZNANSTVENO-RAZISKOVALNO SREDIŠČE BISTRA PTUJ</w:t>
            </w:r>
          </w:p>
        </w:tc>
      </w:tr>
      <w:tr w:rsidR="00E3750C" w:rsidRPr="00415AB3" w14:paraId="5B9AEF4E"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D1AC47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2166</w:t>
            </w:r>
          </w:p>
        </w:tc>
        <w:tc>
          <w:tcPr>
            <w:tcW w:w="705" w:type="pct"/>
            <w:tcBorders>
              <w:top w:val="nil"/>
              <w:left w:val="nil"/>
              <w:bottom w:val="single" w:sz="4" w:space="0" w:color="auto"/>
              <w:right w:val="single" w:sz="4" w:space="0" w:color="auto"/>
            </w:tcBorders>
            <w:shd w:val="clear" w:color="auto" w:fill="auto"/>
            <w:noWrap/>
            <w:vAlign w:val="center"/>
            <w:hideMark/>
          </w:tcPr>
          <w:p w14:paraId="46F08451"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7187416000</w:t>
            </w:r>
          </w:p>
        </w:tc>
        <w:tc>
          <w:tcPr>
            <w:tcW w:w="547" w:type="pct"/>
            <w:tcBorders>
              <w:top w:val="nil"/>
              <w:left w:val="nil"/>
              <w:bottom w:val="single" w:sz="4" w:space="0" w:color="auto"/>
              <w:right w:val="single" w:sz="4" w:space="0" w:color="auto"/>
            </w:tcBorders>
            <w:shd w:val="clear" w:color="auto" w:fill="auto"/>
            <w:noWrap/>
            <w:vAlign w:val="center"/>
            <w:hideMark/>
          </w:tcPr>
          <w:p w14:paraId="1410E4E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38108674</w:t>
            </w:r>
          </w:p>
        </w:tc>
        <w:tc>
          <w:tcPr>
            <w:tcW w:w="3360" w:type="pct"/>
            <w:tcBorders>
              <w:top w:val="nil"/>
              <w:left w:val="nil"/>
              <w:bottom w:val="single" w:sz="4" w:space="0" w:color="auto"/>
              <w:right w:val="single" w:sz="4" w:space="0" w:color="auto"/>
            </w:tcBorders>
            <w:shd w:val="clear" w:color="auto" w:fill="auto"/>
            <w:vAlign w:val="center"/>
            <w:hideMark/>
          </w:tcPr>
          <w:p w14:paraId="672A44B6"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ZNANSTVENO-RAZISKOVALNO SREDIŠČE KOPER</w:t>
            </w:r>
          </w:p>
        </w:tc>
      </w:tr>
      <w:tr w:rsidR="00E3750C" w:rsidRPr="00415AB3" w14:paraId="5EAD7FAC"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1DB6078"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2167</w:t>
            </w:r>
          </w:p>
        </w:tc>
        <w:tc>
          <w:tcPr>
            <w:tcW w:w="705" w:type="pct"/>
            <w:tcBorders>
              <w:top w:val="nil"/>
              <w:left w:val="nil"/>
              <w:bottom w:val="single" w:sz="4" w:space="0" w:color="auto"/>
              <w:right w:val="single" w:sz="4" w:space="0" w:color="auto"/>
            </w:tcBorders>
            <w:shd w:val="clear" w:color="auto" w:fill="auto"/>
            <w:noWrap/>
            <w:vAlign w:val="center"/>
            <w:hideMark/>
          </w:tcPr>
          <w:p w14:paraId="3810D35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1254405000</w:t>
            </w:r>
          </w:p>
        </w:tc>
        <w:tc>
          <w:tcPr>
            <w:tcW w:w="547" w:type="pct"/>
            <w:tcBorders>
              <w:top w:val="nil"/>
              <w:left w:val="nil"/>
              <w:bottom w:val="single" w:sz="4" w:space="0" w:color="auto"/>
              <w:right w:val="single" w:sz="4" w:space="0" w:color="auto"/>
            </w:tcBorders>
            <w:shd w:val="clear" w:color="auto" w:fill="auto"/>
            <w:noWrap/>
            <w:vAlign w:val="center"/>
            <w:hideMark/>
          </w:tcPr>
          <w:p w14:paraId="78882164"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25505041</w:t>
            </w:r>
          </w:p>
        </w:tc>
        <w:tc>
          <w:tcPr>
            <w:tcW w:w="3360" w:type="pct"/>
            <w:tcBorders>
              <w:top w:val="nil"/>
              <w:left w:val="nil"/>
              <w:bottom w:val="single" w:sz="4" w:space="0" w:color="auto"/>
              <w:right w:val="single" w:sz="4" w:space="0" w:color="auto"/>
            </w:tcBorders>
            <w:shd w:val="clear" w:color="auto" w:fill="auto"/>
            <w:vAlign w:val="center"/>
            <w:hideMark/>
          </w:tcPr>
          <w:p w14:paraId="1975FE6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ZPO CELJE D.O.O., DRUŽBA ZA UPRAVLJANJE S PARKIRIŠČI IN JAVNIMI OBJEKTI</w:t>
            </w:r>
          </w:p>
        </w:tc>
      </w:tr>
      <w:tr w:rsidR="00E3750C" w:rsidRPr="00415AB3" w14:paraId="4703B09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107C38C"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2168</w:t>
            </w:r>
          </w:p>
        </w:tc>
        <w:tc>
          <w:tcPr>
            <w:tcW w:w="705" w:type="pct"/>
            <w:tcBorders>
              <w:top w:val="nil"/>
              <w:left w:val="nil"/>
              <w:bottom w:val="single" w:sz="4" w:space="0" w:color="auto"/>
              <w:right w:val="single" w:sz="4" w:space="0" w:color="auto"/>
            </w:tcBorders>
            <w:shd w:val="clear" w:color="auto" w:fill="auto"/>
            <w:noWrap/>
            <w:vAlign w:val="center"/>
            <w:hideMark/>
          </w:tcPr>
          <w:p w14:paraId="61E5B86F"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5015669000</w:t>
            </w:r>
          </w:p>
        </w:tc>
        <w:tc>
          <w:tcPr>
            <w:tcW w:w="547" w:type="pct"/>
            <w:tcBorders>
              <w:top w:val="nil"/>
              <w:left w:val="nil"/>
              <w:bottom w:val="single" w:sz="4" w:space="0" w:color="auto"/>
              <w:right w:val="single" w:sz="4" w:space="0" w:color="auto"/>
            </w:tcBorders>
            <w:shd w:val="clear" w:color="auto" w:fill="auto"/>
            <w:noWrap/>
            <w:vAlign w:val="center"/>
            <w:hideMark/>
          </w:tcPr>
          <w:p w14:paraId="44E16DB7"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39470628</w:t>
            </w:r>
          </w:p>
        </w:tc>
        <w:tc>
          <w:tcPr>
            <w:tcW w:w="3360" w:type="pct"/>
            <w:tcBorders>
              <w:top w:val="nil"/>
              <w:left w:val="nil"/>
              <w:bottom w:val="single" w:sz="4" w:space="0" w:color="auto"/>
              <w:right w:val="single" w:sz="4" w:space="0" w:color="auto"/>
            </w:tcBorders>
            <w:shd w:val="clear" w:color="auto" w:fill="auto"/>
            <w:vAlign w:val="center"/>
            <w:hideMark/>
          </w:tcPr>
          <w:p w14:paraId="173AD4D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ŽALE JAVNO PODJETJE, D.O.O.</w:t>
            </w:r>
          </w:p>
        </w:tc>
      </w:tr>
      <w:tr w:rsidR="00E3750C" w:rsidRPr="00415AB3" w14:paraId="544661A1" w14:textId="77777777" w:rsidTr="00047864">
        <w:trPr>
          <w:trHeight w:val="30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399859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2169</w:t>
            </w:r>
          </w:p>
        </w:tc>
        <w:tc>
          <w:tcPr>
            <w:tcW w:w="705" w:type="pct"/>
            <w:tcBorders>
              <w:top w:val="nil"/>
              <w:left w:val="nil"/>
              <w:bottom w:val="single" w:sz="4" w:space="0" w:color="auto"/>
              <w:right w:val="single" w:sz="4" w:space="0" w:color="auto"/>
            </w:tcBorders>
            <w:shd w:val="clear" w:color="auto" w:fill="auto"/>
            <w:noWrap/>
            <w:vAlign w:val="center"/>
            <w:hideMark/>
          </w:tcPr>
          <w:p w14:paraId="63A5CBD0"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5052700000</w:t>
            </w:r>
          </w:p>
        </w:tc>
        <w:tc>
          <w:tcPr>
            <w:tcW w:w="547" w:type="pct"/>
            <w:tcBorders>
              <w:top w:val="nil"/>
              <w:left w:val="nil"/>
              <w:bottom w:val="single" w:sz="4" w:space="0" w:color="auto"/>
              <w:right w:val="single" w:sz="4" w:space="0" w:color="auto"/>
            </w:tcBorders>
            <w:shd w:val="clear" w:color="auto" w:fill="auto"/>
            <w:noWrap/>
            <w:vAlign w:val="center"/>
            <w:hideMark/>
          </w:tcPr>
          <w:p w14:paraId="6A88D6FB"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44188960</w:t>
            </w:r>
          </w:p>
        </w:tc>
        <w:tc>
          <w:tcPr>
            <w:tcW w:w="3360" w:type="pct"/>
            <w:tcBorders>
              <w:top w:val="nil"/>
              <w:left w:val="nil"/>
              <w:bottom w:val="single" w:sz="4" w:space="0" w:color="auto"/>
              <w:right w:val="single" w:sz="4" w:space="0" w:color="auto"/>
            </w:tcBorders>
            <w:shd w:val="clear" w:color="auto" w:fill="auto"/>
            <w:vAlign w:val="center"/>
            <w:hideMark/>
          </w:tcPr>
          <w:p w14:paraId="1EAC5505" w14:textId="77777777" w:rsidR="00E3750C" w:rsidRPr="00415AB3" w:rsidRDefault="00E3750C" w:rsidP="00047864">
            <w:pPr>
              <w:spacing w:after="0" w:line="240" w:lineRule="auto"/>
              <w:rPr>
                <w:rFonts w:ascii="Arial" w:eastAsia="Times New Roman" w:hAnsi="Arial" w:cs="Arial"/>
                <w:color w:val="000000"/>
                <w:sz w:val="18"/>
                <w:szCs w:val="18"/>
                <w:lang w:eastAsia="sl-SI"/>
              </w:rPr>
            </w:pPr>
            <w:r w:rsidRPr="00415AB3">
              <w:rPr>
                <w:rFonts w:ascii="Arial" w:eastAsia="Times New Roman" w:hAnsi="Arial" w:cs="Arial"/>
                <w:color w:val="000000"/>
                <w:sz w:val="18"/>
                <w:szCs w:val="18"/>
                <w:lang w:eastAsia="sl-SI"/>
              </w:rPr>
              <w:t>ŽIVALSKI VRT LJUBLJANA</w:t>
            </w:r>
          </w:p>
        </w:tc>
      </w:tr>
    </w:tbl>
    <w:p w14:paraId="2B1C3BE6" w14:textId="77777777" w:rsidR="00E3750C" w:rsidRPr="00655B43" w:rsidRDefault="00E3750C" w:rsidP="00E3750C">
      <w:pPr>
        <w:spacing w:before="120" w:after="0" w:line="240" w:lineRule="auto"/>
        <w:jc w:val="both"/>
        <w:rPr>
          <w:rFonts w:ascii="Arial" w:hAnsi="Arial" w:cs="Arial"/>
          <w:sz w:val="20"/>
        </w:rPr>
      </w:pPr>
    </w:p>
    <w:p w14:paraId="7532BB4C" w14:textId="77777777" w:rsidR="00E3750C" w:rsidRPr="00BF7302" w:rsidRDefault="00E3750C" w:rsidP="00E3750C">
      <w:pPr>
        <w:spacing w:after="0" w:line="240" w:lineRule="auto"/>
        <w:jc w:val="both"/>
        <w:rPr>
          <w:rFonts w:ascii="Arial" w:hAnsi="Arial" w:cs="Arial"/>
          <w:sz w:val="20"/>
          <w:highlight w:val="yellow"/>
        </w:rPr>
      </w:pPr>
    </w:p>
    <w:p w14:paraId="36483D29" w14:textId="77777777" w:rsidR="00E3750C" w:rsidRPr="001A6B42" w:rsidRDefault="00E3750C" w:rsidP="00E3750C">
      <w:pPr>
        <w:pStyle w:val="ZADEVA"/>
        <w:spacing w:line="240" w:lineRule="auto"/>
        <w:jc w:val="both"/>
        <w:rPr>
          <w:rFonts w:cs="Arial"/>
          <w:b w:val="0"/>
          <w:iCs/>
          <w:szCs w:val="20"/>
          <w:lang w:val="sl-SI"/>
        </w:rPr>
      </w:pPr>
    </w:p>
    <w:p w14:paraId="0C5F0CC3" w14:textId="77777777" w:rsidR="00E3750C" w:rsidRDefault="00E3750C" w:rsidP="00E3750C"/>
    <w:p w14:paraId="6ADC7EB8" w14:textId="77777777" w:rsidR="00E3750C" w:rsidRPr="00BF7302" w:rsidRDefault="00E3750C">
      <w:pPr>
        <w:rPr>
          <w:rFonts w:ascii="Arial" w:eastAsiaTheme="majorEastAsia" w:hAnsi="Arial" w:cs="Arial"/>
          <w:b/>
          <w:color w:val="2F5496" w:themeColor="accent1" w:themeShade="BF"/>
          <w:highlight w:val="yellow"/>
        </w:rPr>
      </w:pPr>
    </w:p>
    <w:sectPr w:rsidR="00E3750C" w:rsidRPr="00BF7302" w:rsidSect="00655CA8">
      <w:footerReference w:type="default" r:id="rId16"/>
      <w:type w:val="continuous"/>
      <w:pgSz w:w="11906" w:h="16838"/>
      <w:pgMar w:top="1418" w:right="1304"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98B8F" w14:textId="77777777" w:rsidR="00E853C2" w:rsidRDefault="00E853C2" w:rsidP="00FF6099">
      <w:pPr>
        <w:spacing w:after="0" w:line="240" w:lineRule="auto"/>
      </w:pPr>
      <w:r>
        <w:separator/>
      </w:r>
    </w:p>
  </w:endnote>
  <w:endnote w:type="continuationSeparator" w:id="0">
    <w:p w14:paraId="156BD55A" w14:textId="77777777" w:rsidR="00E853C2" w:rsidRDefault="00E853C2" w:rsidP="00FF6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792635"/>
      <w:docPartObj>
        <w:docPartGallery w:val="Page Numbers (Bottom of Page)"/>
        <w:docPartUnique/>
      </w:docPartObj>
    </w:sdtPr>
    <w:sdtEndPr/>
    <w:sdtContent>
      <w:p w14:paraId="4EC213D0" w14:textId="21DE44D3" w:rsidR="00E853C2" w:rsidRDefault="00E853C2">
        <w:pPr>
          <w:pStyle w:val="Noga"/>
          <w:jc w:val="center"/>
        </w:pPr>
        <w:r>
          <w:fldChar w:fldCharType="begin"/>
        </w:r>
        <w:r>
          <w:instrText>PAGE   \* MERGEFORMAT</w:instrText>
        </w:r>
        <w:r>
          <w:fldChar w:fldCharType="separate"/>
        </w:r>
        <w:r w:rsidR="004C464A">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D090A" w14:textId="77777777" w:rsidR="00E853C2" w:rsidRDefault="00E853C2" w:rsidP="00FF6099">
      <w:pPr>
        <w:spacing w:after="0" w:line="240" w:lineRule="auto"/>
      </w:pPr>
      <w:r>
        <w:separator/>
      </w:r>
    </w:p>
  </w:footnote>
  <w:footnote w:type="continuationSeparator" w:id="0">
    <w:p w14:paraId="1472BB1C" w14:textId="77777777" w:rsidR="00E853C2" w:rsidRDefault="00E853C2" w:rsidP="00FF6099">
      <w:pPr>
        <w:spacing w:after="0" w:line="240" w:lineRule="auto"/>
      </w:pPr>
      <w:r>
        <w:continuationSeparator/>
      </w:r>
    </w:p>
  </w:footnote>
  <w:footnote w:id="1">
    <w:p w14:paraId="42136525" w14:textId="0DF4FC3A" w:rsidR="00E853C2" w:rsidRPr="00ED55BA" w:rsidRDefault="00E853C2" w:rsidP="00775DED">
      <w:pPr>
        <w:spacing w:after="0" w:line="240" w:lineRule="auto"/>
        <w:rPr>
          <w:rFonts w:ascii="Arial" w:hAnsi="Arial" w:cs="Arial"/>
          <w:sz w:val="18"/>
          <w:szCs w:val="18"/>
        </w:rPr>
      </w:pPr>
      <w:r w:rsidRPr="00384AA3">
        <w:rPr>
          <w:rStyle w:val="Sprotnaopomba-sklic"/>
          <w:rFonts w:ascii="Arial" w:hAnsi="Arial" w:cs="Arial"/>
          <w:sz w:val="18"/>
          <w:szCs w:val="18"/>
        </w:rPr>
        <w:footnoteRef/>
      </w:r>
      <w:r w:rsidRPr="00384AA3">
        <w:rPr>
          <w:rFonts w:ascii="Arial" w:hAnsi="Arial" w:cs="Arial"/>
          <w:sz w:val="18"/>
          <w:szCs w:val="18"/>
        </w:rPr>
        <w:t xml:space="preserve"> Vir: </w:t>
      </w:r>
      <w:r w:rsidRPr="004C7667">
        <w:rPr>
          <w:rFonts w:ascii="Arial" w:hAnsi="Arial" w:cs="Arial"/>
          <w:sz w:val="18"/>
          <w:szCs w:val="18"/>
        </w:rPr>
        <w:t>https://pxweb.stat.si/SiStatData/pxweb/sl/Data/-/0301910S.px/table/tableViewLayout2/</w:t>
      </w:r>
      <w:r w:rsidRPr="00384AA3">
        <w:rPr>
          <w:rFonts w:ascii="Arial" w:hAnsi="Arial" w:cs="Arial"/>
          <w:sz w:val="18"/>
          <w:szCs w:val="18"/>
        </w:rPr>
        <w:t xml:space="preserve">, </w:t>
      </w:r>
      <w:r w:rsidR="006A0574">
        <w:rPr>
          <w:rFonts w:ascii="Arial" w:hAnsi="Arial" w:cs="Arial"/>
          <w:sz w:val="18"/>
          <w:szCs w:val="18"/>
        </w:rPr>
        <w:t>31</w:t>
      </w:r>
      <w:r w:rsidRPr="00384AA3">
        <w:rPr>
          <w:rFonts w:ascii="Arial" w:hAnsi="Arial" w:cs="Arial"/>
          <w:sz w:val="18"/>
          <w:szCs w:val="18"/>
        </w:rPr>
        <w:t>. avgust 202</w:t>
      </w:r>
      <w:r>
        <w:rPr>
          <w:rFonts w:ascii="Arial" w:hAnsi="Arial" w:cs="Arial"/>
          <w:sz w:val="18"/>
          <w:szCs w:val="18"/>
        </w:rPr>
        <w:t>3</w:t>
      </w:r>
      <w:r w:rsidRPr="00384AA3">
        <w:rPr>
          <w:rFonts w:ascii="Arial" w:hAnsi="Arial" w:cs="Arial"/>
          <w:sz w:val="18"/>
          <w:szCs w:val="18"/>
        </w:rPr>
        <w:t>.</w:t>
      </w:r>
      <w:r w:rsidRPr="00ED55BA">
        <w:rPr>
          <w:rFonts w:ascii="Arial" w:hAnsi="Arial" w:cs="Arial"/>
          <w:sz w:val="18"/>
          <w:szCs w:val="18"/>
        </w:rPr>
        <w:t xml:space="preserve"> </w:t>
      </w:r>
    </w:p>
    <w:p w14:paraId="7D1C23D7" w14:textId="77777777" w:rsidR="00E853C2" w:rsidRPr="006507A8" w:rsidRDefault="00E853C2" w:rsidP="00775DED">
      <w:pPr>
        <w:pStyle w:val="Sprotnaopomba-besedilo"/>
        <w:jc w:val="left"/>
        <w:rPr>
          <w:rFonts w:cs="Arial"/>
          <w:sz w:val="18"/>
          <w:szCs w:val="18"/>
        </w:rPr>
      </w:pPr>
    </w:p>
  </w:footnote>
  <w:footnote w:id="2">
    <w:p w14:paraId="4B93B7DD" w14:textId="008FCC33" w:rsidR="00E853C2" w:rsidRPr="00F54BC6" w:rsidRDefault="00E853C2" w:rsidP="009867C3">
      <w:pPr>
        <w:pStyle w:val="Sprotnaopomba-besedilo"/>
        <w:rPr>
          <w:rFonts w:cs="Arial"/>
          <w:sz w:val="18"/>
          <w:szCs w:val="18"/>
          <w:highlight w:val="yellow"/>
        </w:rPr>
      </w:pPr>
      <w:r w:rsidRPr="00EF126D">
        <w:rPr>
          <w:rStyle w:val="Sprotnaopomba-sklic"/>
        </w:rPr>
        <w:footnoteRef/>
      </w:r>
      <w:r w:rsidRPr="00EF126D">
        <w:t xml:space="preserve"> </w:t>
      </w:r>
      <w:r w:rsidRPr="00EF126D">
        <w:rPr>
          <w:sz w:val="18"/>
          <w:szCs w:val="18"/>
        </w:rPr>
        <w:t>Predlog zaključnega računa državnega proračuna, ki ga Mi</w:t>
      </w:r>
      <w:r w:rsidRPr="00EF126D">
        <w:rPr>
          <w:rFonts w:cs="Arial"/>
          <w:sz w:val="18"/>
          <w:szCs w:val="18"/>
          <w:shd w:val="clear" w:color="auto" w:fill="FFFFFF"/>
        </w:rPr>
        <w:t>nistrstvo za finance v skladu z drugim odstavkom 97. čl</w:t>
      </w:r>
      <w:r>
        <w:rPr>
          <w:rFonts w:cs="Arial"/>
          <w:sz w:val="18"/>
          <w:szCs w:val="18"/>
          <w:shd w:val="clear" w:color="auto" w:fill="FFFFFF"/>
        </w:rPr>
        <w:t>ena</w:t>
      </w:r>
      <w:r w:rsidRPr="00EF126D">
        <w:rPr>
          <w:rFonts w:cs="Arial"/>
          <w:sz w:val="18"/>
          <w:szCs w:val="18"/>
          <w:shd w:val="clear" w:color="auto" w:fill="FFFFFF"/>
        </w:rPr>
        <w:t xml:space="preserve"> Zakona o javnih financah (</w:t>
      </w:r>
      <w:r w:rsidRPr="00EF126D">
        <w:rPr>
          <w:sz w:val="18"/>
          <w:szCs w:val="18"/>
        </w:rPr>
        <w:t xml:space="preserve">Uradni list RS, št. </w:t>
      </w:r>
      <w:r w:rsidRPr="00EF126D">
        <w:rPr>
          <w:rFonts w:eastAsiaTheme="majorEastAsia"/>
          <w:sz w:val="18"/>
          <w:szCs w:val="18"/>
        </w:rPr>
        <w:t>11/11</w:t>
      </w:r>
      <w:r w:rsidRPr="00EF126D">
        <w:rPr>
          <w:sz w:val="18"/>
          <w:szCs w:val="18"/>
        </w:rPr>
        <w:t xml:space="preserve"> – uradno prečiščeno besedilo, </w:t>
      </w:r>
      <w:r w:rsidRPr="00EF126D">
        <w:rPr>
          <w:rFonts w:eastAsiaTheme="majorEastAsia"/>
          <w:sz w:val="18"/>
          <w:szCs w:val="18"/>
        </w:rPr>
        <w:t xml:space="preserve">14/13 – </w:t>
      </w:r>
      <w:r w:rsidRPr="00EF126D">
        <w:rPr>
          <w:rFonts w:eastAsiaTheme="majorEastAsia"/>
          <w:sz w:val="18"/>
          <w:szCs w:val="18"/>
        </w:rPr>
        <w:t>popr.</w:t>
      </w:r>
      <w:r w:rsidRPr="00EF126D">
        <w:rPr>
          <w:sz w:val="18"/>
          <w:szCs w:val="18"/>
        </w:rPr>
        <w:t xml:space="preserve">, </w:t>
      </w:r>
      <w:r w:rsidRPr="00EF126D">
        <w:rPr>
          <w:rFonts w:eastAsiaTheme="majorEastAsia"/>
          <w:sz w:val="18"/>
          <w:szCs w:val="18"/>
        </w:rPr>
        <w:t>101/13</w:t>
      </w:r>
      <w:r w:rsidRPr="00EF126D">
        <w:rPr>
          <w:sz w:val="18"/>
          <w:szCs w:val="18"/>
        </w:rPr>
        <w:t xml:space="preserve">, </w:t>
      </w:r>
      <w:r w:rsidRPr="00EF126D">
        <w:rPr>
          <w:rFonts w:eastAsiaTheme="majorEastAsia"/>
          <w:sz w:val="18"/>
          <w:szCs w:val="18"/>
        </w:rPr>
        <w:t>55/15</w:t>
      </w:r>
      <w:r w:rsidRPr="00EF126D">
        <w:rPr>
          <w:sz w:val="18"/>
          <w:szCs w:val="18"/>
        </w:rPr>
        <w:t xml:space="preserve"> – ZFisP, </w:t>
      </w:r>
      <w:r w:rsidRPr="00EF126D">
        <w:rPr>
          <w:rFonts w:eastAsiaTheme="majorEastAsia"/>
          <w:sz w:val="18"/>
          <w:szCs w:val="18"/>
        </w:rPr>
        <w:t>96/15</w:t>
      </w:r>
      <w:r w:rsidRPr="00EF126D">
        <w:rPr>
          <w:sz w:val="18"/>
          <w:szCs w:val="18"/>
        </w:rPr>
        <w:t xml:space="preserve"> – ZIPRS1617, </w:t>
      </w:r>
      <w:r w:rsidRPr="00EF126D">
        <w:rPr>
          <w:rFonts w:eastAsiaTheme="majorEastAsia"/>
          <w:sz w:val="18"/>
          <w:szCs w:val="18"/>
        </w:rPr>
        <w:t>13/18 in 195/20 – odl. US</w:t>
      </w:r>
      <w:r w:rsidRPr="00EF126D">
        <w:rPr>
          <w:sz w:val="18"/>
          <w:szCs w:val="18"/>
        </w:rPr>
        <w:t xml:space="preserve">) </w:t>
      </w:r>
      <w:r w:rsidRPr="00EF126D">
        <w:rPr>
          <w:rFonts w:cs="Arial"/>
          <w:sz w:val="18"/>
          <w:szCs w:val="18"/>
          <w:shd w:val="clear" w:color="auto" w:fill="FFFFFF"/>
        </w:rPr>
        <w:t>pripravi in predloži računskemu sodišču do 31. marca tekočega leta</w:t>
      </w:r>
      <w:r w:rsidRPr="00EF126D">
        <w:rPr>
          <w:rFonts w:cs="Arial"/>
          <w:sz w:val="18"/>
          <w:szCs w:val="18"/>
        </w:rPr>
        <w:t>.</w:t>
      </w:r>
    </w:p>
  </w:footnote>
  <w:footnote w:id="3">
    <w:p w14:paraId="3DBE2C5F" w14:textId="7143B451" w:rsidR="00E853C2" w:rsidRPr="00F54BC6" w:rsidRDefault="00E853C2" w:rsidP="009867C3">
      <w:pPr>
        <w:pStyle w:val="Sprotnaopomba-besedilo"/>
        <w:rPr>
          <w:highlight w:val="yellow"/>
        </w:rPr>
      </w:pPr>
      <w:r w:rsidRPr="00954255">
        <w:rPr>
          <w:rStyle w:val="Sprotnaopomba-sklic"/>
        </w:rPr>
        <w:footnoteRef/>
      </w:r>
      <w:hyperlink w:history="1"/>
      <w:hyperlink r:id="rId1" w:history="1">
        <w:r w:rsidRPr="00954255">
          <w:rPr>
            <w:rStyle w:val="Hiperpovezava"/>
            <w:color w:val="auto"/>
            <w:sz w:val="18"/>
            <w:szCs w:val="18"/>
          </w:rPr>
          <w:t>https://www.gov.si/assets/ministrstva/MF/Proracun-direktorat/DP-SSFLS/Proracuni-obcin/Realizacija/BILANCE-PR_OBC-18-22_v_EUR-arhiv.pdf</w:t>
        </w:r>
      </w:hyperlink>
      <w:r w:rsidRPr="00954255">
        <w:rPr>
          <w:rFonts w:cs="Arial"/>
          <w:sz w:val="18"/>
          <w:szCs w:val="18"/>
        </w:rPr>
        <w:t>, 3. julij 2023.</w:t>
      </w:r>
    </w:p>
  </w:footnote>
  <w:footnote w:id="4">
    <w:p w14:paraId="4D5887C5" w14:textId="4B34F9CE" w:rsidR="00E853C2" w:rsidRPr="000F021F" w:rsidRDefault="00E853C2">
      <w:pPr>
        <w:pStyle w:val="Sprotnaopomba-besedilo"/>
        <w:rPr>
          <w:sz w:val="18"/>
          <w:szCs w:val="18"/>
        </w:rPr>
      </w:pPr>
      <w:r w:rsidRPr="007C0B79">
        <w:rPr>
          <w:rStyle w:val="Sprotnaopomba-sklic"/>
        </w:rPr>
        <w:footnoteRef/>
      </w:r>
      <w:hyperlink r:id="rId2" w:history="1">
        <w:r w:rsidRPr="007C0B79">
          <w:rPr>
            <w:rStyle w:val="Hiperpovezava"/>
            <w:color w:val="auto"/>
            <w:sz w:val="18"/>
            <w:szCs w:val="18"/>
          </w:rPr>
          <w:t>https://api.zzzs.si/ZZZS/info/egradiva.nsf/0/538c71578f0fd063c125896c0047b208/$FILE/Letno%20poro%C4%8Dilo%20ZZZS%202022.pdf</w:t>
        </w:r>
      </w:hyperlink>
      <w:r w:rsidRPr="007C0B79">
        <w:rPr>
          <w:sz w:val="18"/>
          <w:szCs w:val="18"/>
        </w:rPr>
        <w:t>, 3. julij 2023</w:t>
      </w:r>
      <w:r w:rsidRPr="007C0B79">
        <w:rPr>
          <w:rStyle w:val="Hiperpovezava"/>
          <w:color w:val="auto"/>
          <w:sz w:val="18"/>
          <w:szCs w:val="18"/>
          <w:u w:val="none"/>
        </w:rPr>
        <w:t>.</w:t>
      </w:r>
    </w:p>
    <w:p w14:paraId="29337961" w14:textId="77777777" w:rsidR="00E853C2" w:rsidRPr="000F021F" w:rsidRDefault="00E853C2">
      <w:pPr>
        <w:pStyle w:val="Sprotnaopomba-besedilo"/>
        <w:rPr>
          <w:sz w:val="18"/>
          <w:szCs w:val="18"/>
        </w:rPr>
      </w:pPr>
    </w:p>
  </w:footnote>
  <w:footnote w:id="5">
    <w:p w14:paraId="0909C2AB" w14:textId="77777777" w:rsidR="00E853C2" w:rsidRPr="003E3A36" w:rsidRDefault="00E853C2" w:rsidP="00C13751">
      <w:pPr>
        <w:pStyle w:val="Sprotnaopomba-besedilo"/>
        <w:rPr>
          <w:sz w:val="18"/>
        </w:rPr>
      </w:pPr>
      <w:r w:rsidRPr="003802F8">
        <w:rPr>
          <w:rStyle w:val="Sprotnaopomba-sklic"/>
          <w:sz w:val="18"/>
        </w:rPr>
        <w:footnoteRef/>
      </w:r>
      <w:r w:rsidRPr="003802F8">
        <w:rPr>
          <w:sz w:val="18"/>
        </w:rPr>
        <w:t xml:space="preserve"> Naročila, oddana na podlagi petega odstavka 73. člena ZJN-3.</w:t>
      </w:r>
      <w:r w:rsidRPr="003E3A36">
        <w:rPr>
          <w:sz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095F"/>
    <w:multiLevelType w:val="hybridMultilevel"/>
    <w:tmpl w:val="5DE8E32E"/>
    <w:lvl w:ilvl="0" w:tplc="E228D6F8">
      <w:start w:val="4"/>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3DC3BF9"/>
    <w:multiLevelType w:val="hybridMultilevel"/>
    <w:tmpl w:val="C67ADDDE"/>
    <w:lvl w:ilvl="0" w:tplc="45C6109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7123F0"/>
    <w:multiLevelType w:val="hybridMultilevel"/>
    <w:tmpl w:val="553EB680"/>
    <w:lvl w:ilvl="0" w:tplc="45C6109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AC47D3"/>
    <w:multiLevelType w:val="hybridMultilevel"/>
    <w:tmpl w:val="C67ADDDE"/>
    <w:lvl w:ilvl="0" w:tplc="45C6109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D407957"/>
    <w:multiLevelType w:val="hybridMultilevel"/>
    <w:tmpl w:val="933E290A"/>
    <w:lvl w:ilvl="0" w:tplc="5B1CDEB8">
      <w:start w:val="2"/>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3ED3063"/>
    <w:multiLevelType w:val="hybridMultilevel"/>
    <w:tmpl w:val="EF8A4920"/>
    <w:lvl w:ilvl="0" w:tplc="B436EEFA">
      <w:start w:val="4"/>
      <w:numFmt w:val="bullet"/>
      <w:lvlText w:val="–"/>
      <w:lvlJc w:val="left"/>
      <w:pPr>
        <w:ind w:left="360" w:hanging="360"/>
      </w:pPr>
      <w:rPr>
        <w:rFonts w:ascii="Arial" w:eastAsia="Times New Roman" w:hAnsi="Arial" w:cs="Arial"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528632C"/>
    <w:multiLevelType w:val="hybridMultilevel"/>
    <w:tmpl w:val="8EA6ECF0"/>
    <w:lvl w:ilvl="0" w:tplc="01100B9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6D51A59"/>
    <w:multiLevelType w:val="hybridMultilevel"/>
    <w:tmpl w:val="8E2259E6"/>
    <w:lvl w:ilvl="0" w:tplc="9F5ADDA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F66533B"/>
    <w:multiLevelType w:val="hybridMultilevel"/>
    <w:tmpl w:val="9ECEB216"/>
    <w:lvl w:ilvl="0" w:tplc="01100B9A">
      <w:start w:val="3"/>
      <w:numFmt w:val="bullet"/>
      <w:lvlText w:val="-"/>
      <w:lvlJc w:val="left"/>
      <w:pPr>
        <w:ind w:left="1944" w:hanging="360"/>
      </w:pPr>
      <w:rPr>
        <w:rFonts w:ascii="Arial" w:eastAsia="Times New Roman" w:hAnsi="Arial" w:cs="Arial" w:hint="default"/>
      </w:rPr>
    </w:lvl>
    <w:lvl w:ilvl="1" w:tplc="04240003" w:tentative="1">
      <w:start w:val="1"/>
      <w:numFmt w:val="bullet"/>
      <w:lvlText w:val="o"/>
      <w:lvlJc w:val="left"/>
      <w:pPr>
        <w:ind w:left="2664" w:hanging="360"/>
      </w:pPr>
      <w:rPr>
        <w:rFonts w:ascii="Courier New" w:hAnsi="Courier New" w:cs="Courier New" w:hint="default"/>
      </w:rPr>
    </w:lvl>
    <w:lvl w:ilvl="2" w:tplc="04240005" w:tentative="1">
      <w:start w:val="1"/>
      <w:numFmt w:val="bullet"/>
      <w:lvlText w:val=""/>
      <w:lvlJc w:val="left"/>
      <w:pPr>
        <w:ind w:left="3384" w:hanging="360"/>
      </w:pPr>
      <w:rPr>
        <w:rFonts w:ascii="Wingdings" w:hAnsi="Wingdings" w:hint="default"/>
      </w:rPr>
    </w:lvl>
    <w:lvl w:ilvl="3" w:tplc="04240001" w:tentative="1">
      <w:start w:val="1"/>
      <w:numFmt w:val="bullet"/>
      <w:lvlText w:val=""/>
      <w:lvlJc w:val="left"/>
      <w:pPr>
        <w:ind w:left="4104" w:hanging="360"/>
      </w:pPr>
      <w:rPr>
        <w:rFonts w:ascii="Symbol" w:hAnsi="Symbol" w:hint="default"/>
      </w:rPr>
    </w:lvl>
    <w:lvl w:ilvl="4" w:tplc="04240003" w:tentative="1">
      <w:start w:val="1"/>
      <w:numFmt w:val="bullet"/>
      <w:lvlText w:val="o"/>
      <w:lvlJc w:val="left"/>
      <w:pPr>
        <w:ind w:left="4824" w:hanging="360"/>
      </w:pPr>
      <w:rPr>
        <w:rFonts w:ascii="Courier New" w:hAnsi="Courier New" w:cs="Courier New" w:hint="default"/>
      </w:rPr>
    </w:lvl>
    <w:lvl w:ilvl="5" w:tplc="04240005" w:tentative="1">
      <w:start w:val="1"/>
      <w:numFmt w:val="bullet"/>
      <w:lvlText w:val=""/>
      <w:lvlJc w:val="left"/>
      <w:pPr>
        <w:ind w:left="5544" w:hanging="360"/>
      </w:pPr>
      <w:rPr>
        <w:rFonts w:ascii="Wingdings" w:hAnsi="Wingdings" w:hint="default"/>
      </w:rPr>
    </w:lvl>
    <w:lvl w:ilvl="6" w:tplc="04240001" w:tentative="1">
      <w:start w:val="1"/>
      <w:numFmt w:val="bullet"/>
      <w:lvlText w:val=""/>
      <w:lvlJc w:val="left"/>
      <w:pPr>
        <w:ind w:left="6264" w:hanging="360"/>
      </w:pPr>
      <w:rPr>
        <w:rFonts w:ascii="Symbol" w:hAnsi="Symbol" w:hint="default"/>
      </w:rPr>
    </w:lvl>
    <w:lvl w:ilvl="7" w:tplc="04240003" w:tentative="1">
      <w:start w:val="1"/>
      <w:numFmt w:val="bullet"/>
      <w:lvlText w:val="o"/>
      <w:lvlJc w:val="left"/>
      <w:pPr>
        <w:ind w:left="6984" w:hanging="360"/>
      </w:pPr>
      <w:rPr>
        <w:rFonts w:ascii="Courier New" w:hAnsi="Courier New" w:cs="Courier New" w:hint="default"/>
      </w:rPr>
    </w:lvl>
    <w:lvl w:ilvl="8" w:tplc="04240005" w:tentative="1">
      <w:start w:val="1"/>
      <w:numFmt w:val="bullet"/>
      <w:lvlText w:val=""/>
      <w:lvlJc w:val="left"/>
      <w:pPr>
        <w:ind w:left="7704" w:hanging="360"/>
      </w:pPr>
      <w:rPr>
        <w:rFonts w:ascii="Wingdings" w:hAnsi="Wingdings" w:hint="default"/>
      </w:rPr>
    </w:lvl>
  </w:abstractNum>
  <w:abstractNum w:abstractNumId="9" w15:restartNumberingAfterBreak="0">
    <w:nsid w:val="22EA2925"/>
    <w:multiLevelType w:val="hybridMultilevel"/>
    <w:tmpl w:val="5DAE5604"/>
    <w:lvl w:ilvl="0" w:tplc="E228D6F8">
      <w:start w:val="4"/>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753427F"/>
    <w:multiLevelType w:val="hybridMultilevel"/>
    <w:tmpl w:val="81287FF8"/>
    <w:lvl w:ilvl="0" w:tplc="1C74112A">
      <w:start w:val="519"/>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954348A"/>
    <w:multiLevelType w:val="hybridMultilevel"/>
    <w:tmpl w:val="82684158"/>
    <w:lvl w:ilvl="0" w:tplc="E228D6F8">
      <w:start w:val="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9F10DF"/>
    <w:multiLevelType w:val="hybridMultilevel"/>
    <w:tmpl w:val="28B03EF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4945AC8"/>
    <w:multiLevelType w:val="hybridMultilevel"/>
    <w:tmpl w:val="64CEB7F8"/>
    <w:lvl w:ilvl="0" w:tplc="83D6389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39F93724"/>
    <w:multiLevelType w:val="hybridMultilevel"/>
    <w:tmpl w:val="9182C2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9FB1379"/>
    <w:multiLevelType w:val="hybridMultilevel"/>
    <w:tmpl w:val="C67ADDDE"/>
    <w:lvl w:ilvl="0" w:tplc="45C6109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E56326D"/>
    <w:multiLevelType w:val="hybridMultilevel"/>
    <w:tmpl w:val="01EAA4BC"/>
    <w:lvl w:ilvl="0" w:tplc="5BD20A3C">
      <w:start w:val="519"/>
      <w:numFmt w:val="bullet"/>
      <w:lvlText w:val="-"/>
      <w:lvlJc w:val="left"/>
      <w:pPr>
        <w:ind w:left="360" w:hanging="360"/>
      </w:pPr>
      <w:rPr>
        <w:rFonts w:ascii="Arial" w:eastAsia="Times New Roman" w:hAnsi="Arial" w:cs="Arial"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F0274F8"/>
    <w:multiLevelType w:val="hybridMultilevel"/>
    <w:tmpl w:val="6140510A"/>
    <w:lvl w:ilvl="0" w:tplc="234EC2A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FF6851"/>
    <w:multiLevelType w:val="hybridMultilevel"/>
    <w:tmpl w:val="977634DA"/>
    <w:lvl w:ilvl="0" w:tplc="0EA8933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4D85B15"/>
    <w:multiLevelType w:val="hybridMultilevel"/>
    <w:tmpl w:val="DADA8EA8"/>
    <w:lvl w:ilvl="0" w:tplc="0424000F">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8286DA6"/>
    <w:multiLevelType w:val="hybridMultilevel"/>
    <w:tmpl w:val="7BF277EE"/>
    <w:lvl w:ilvl="0" w:tplc="8B9C6902">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EBD6981"/>
    <w:multiLevelType w:val="hybridMultilevel"/>
    <w:tmpl w:val="B4EC694E"/>
    <w:lvl w:ilvl="0" w:tplc="9F58776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F331A9B"/>
    <w:multiLevelType w:val="hybridMultilevel"/>
    <w:tmpl w:val="AC1A0884"/>
    <w:lvl w:ilvl="0" w:tplc="83D6389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6CE5466"/>
    <w:multiLevelType w:val="hybridMultilevel"/>
    <w:tmpl w:val="430698E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F714ACB"/>
    <w:multiLevelType w:val="hybridMultilevel"/>
    <w:tmpl w:val="28B03EF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61454D80"/>
    <w:multiLevelType w:val="hybridMultilevel"/>
    <w:tmpl w:val="0D1E7E7E"/>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4E61BFB"/>
    <w:multiLevelType w:val="hybridMultilevel"/>
    <w:tmpl w:val="C67ADDDE"/>
    <w:lvl w:ilvl="0" w:tplc="45C6109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8C51FEF"/>
    <w:multiLevelType w:val="hybridMultilevel"/>
    <w:tmpl w:val="B7E20D0E"/>
    <w:lvl w:ilvl="0" w:tplc="E228D6F8">
      <w:start w:val="4"/>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6CF66B7A"/>
    <w:multiLevelType w:val="hybridMultilevel"/>
    <w:tmpl w:val="DAF6BF06"/>
    <w:lvl w:ilvl="0" w:tplc="1C74112A">
      <w:start w:val="519"/>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6EA616C2"/>
    <w:multiLevelType w:val="hybridMultilevel"/>
    <w:tmpl w:val="67EC34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F306148"/>
    <w:multiLevelType w:val="hybridMultilevel"/>
    <w:tmpl w:val="82BA8AEA"/>
    <w:lvl w:ilvl="0" w:tplc="1C74112A">
      <w:start w:val="519"/>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727B175B"/>
    <w:multiLevelType w:val="hybridMultilevel"/>
    <w:tmpl w:val="613803E2"/>
    <w:lvl w:ilvl="0" w:tplc="9F587762">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72F02455"/>
    <w:multiLevelType w:val="hybridMultilevel"/>
    <w:tmpl w:val="5368139A"/>
    <w:lvl w:ilvl="0" w:tplc="45C6109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9C1356E"/>
    <w:multiLevelType w:val="hybridMultilevel"/>
    <w:tmpl w:val="C67ADDDE"/>
    <w:lvl w:ilvl="0" w:tplc="45C6109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031712601">
    <w:abstractNumId w:val="14"/>
  </w:num>
  <w:num w:numId="2" w16cid:durableId="1192106415">
    <w:abstractNumId w:val="31"/>
  </w:num>
  <w:num w:numId="3" w16cid:durableId="1353606490">
    <w:abstractNumId w:val="20"/>
  </w:num>
  <w:num w:numId="4" w16cid:durableId="644162978">
    <w:abstractNumId w:val="16"/>
  </w:num>
  <w:num w:numId="5" w16cid:durableId="826096958">
    <w:abstractNumId w:val="8"/>
  </w:num>
  <w:num w:numId="6" w16cid:durableId="360015323">
    <w:abstractNumId w:val="13"/>
  </w:num>
  <w:num w:numId="7" w16cid:durableId="1445419435">
    <w:abstractNumId w:val="6"/>
  </w:num>
  <w:num w:numId="8" w16cid:durableId="2089304560">
    <w:abstractNumId w:val="21"/>
  </w:num>
  <w:num w:numId="9" w16cid:durableId="39479257">
    <w:abstractNumId w:val="22"/>
  </w:num>
  <w:num w:numId="10" w16cid:durableId="339351569">
    <w:abstractNumId w:val="30"/>
  </w:num>
  <w:num w:numId="11" w16cid:durableId="1219778874">
    <w:abstractNumId w:val="24"/>
  </w:num>
  <w:num w:numId="12" w16cid:durableId="1771199017">
    <w:abstractNumId w:val="17"/>
  </w:num>
  <w:num w:numId="13" w16cid:durableId="467237588">
    <w:abstractNumId w:val="28"/>
  </w:num>
  <w:num w:numId="14" w16cid:durableId="1431587478">
    <w:abstractNumId w:val="29"/>
  </w:num>
  <w:num w:numId="15" w16cid:durableId="30620729">
    <w:abstractNumId w:val="10"/>
  </w:num>
  <w:num w:numId="16" w16cid:durableId="1491167464">
    <w:abstractNumId w:val="22"/>
  </w:num>
  <w:num w:numId="17" w16cid:durableId="891188294">
    <w:abstractNumId w:val="30"/>
  </w:num>
  <w:num w:numId="18" w16cid:durableId="19852393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8270160">
    <w:abstractNumId w:val="12"/>
  </w:num>
  <w:num w:numId="20" w16cid:durableId="437871144">
    <w:abstractNumId w:val="5"/>
  </w:num>
  <w:num w:numId="21" w16cid:durableId="292831430">
    <w:abstractNumId w:val="27"/>
  </w:num>
  <w:num w:numId="22" w16cid:durableId="153690010">
    <w:abstractNumId w:val="11"/>
  </w:num>
  <w:num w:numId="23" w16cid:durableId="8332694">
    <w:abstractNumId w:val="9"/>
  </w:num>
  <w:num w:numId="24" w16cid:durableId="2117558841">
    <w:abstractNumId w:val="0"/>
  </w:num>
  <w:num w:numId="25" w16cid:durableId="703482603">
    <w:abstractNumId w:val="25"/>
  </w:num>
  <w:num w:numId="26" w16cid:durableId="676076329">
    <w:abstractNumId w:val="18"/>
  </w:num>
  <w:num w:numId="27" w16cid:durableId="1616863262">
    <w:abstractNumId w:val="2"/>
  </w:num>
  <w:num w:numId="28" w16cid:durableId="1358584660">
    <w:abstractNumId w:val="26"/>
  </w:num>
  <w:num w:numId="29" w16cid:durableId="942424358">
    <w:abstractNumId w:val="15"/>
  </w:num>
  <w:num w:numId="30" w16cid:durableId="666249058">
    <w:abstractNumId w:val="33"/>
  </w:num>
  <w:num w:numId="31" w16cid:durableId="336809977">
    <w:abstractNumId w:val="1"/>
  </w:num>
  <w:num w:numId="32" w16cid:durableId="1882018008">
    <w:abstractNumId w:val="19"/>
  </w:num>
  <w:num w:numId="33" w16cid:durableId="740759002">
    <w:abstractNumId w:val="3"/>
  </w:num>
  <w:num w:numId="34" w16cid:durableId="732777309">
    <w:abstractNumId w:val="32"/>
  </w:num>
  <w:num w:numId="35" w16cid:durableId="330723974">
    <w:abstractNumId w:val="23"/>
  </w:num>
  <w:num w:numId="36" w16cid:durableId="1318076277">
    <w:abstractNumId w:val="7"/>
  </w:num>
  <w:num w:numId="37" w16cid:durableId="8252464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249"/>
    <w:rsid w:val="000001A1"/>
    <w:rsid w:val="0000037D"/>
    <w:rsid w:val="0000123C"/>
    <w:rsid w:val="00001C9B"/>
    <w:rsid w:val="0000208F"/>
    <w:rsid w:val="00002230"/>
    <w:rsid w:val="00002273"/>
    <w:rsid w:val="00002DAF"/>
    <w:rsid w:val="00002F6E"/>
    <w:rsid w:val="00003250"/>
    <w:rsid w:val="00003254"/>
    <w:rsid w:val="00003CBF"/>
    <w:rsid w:val="00003CDA"/>
    <w:rsid w:val="00003EDB"/>
    <w:rsid w:val="00004A71"/>
    <w:rsid w:val="00005087"/>
    <w:rsid w:val="000050E5"/>
    <w:rsid w:val="0000590B"/>
    <w:rsid w:val="00007116"/>
    <w:rsid w:val="00007909"/>
    <w:rsid w:val="000109D4"/>
    <w:rsid w:val="00010BC0"/>
    <w:rsid w:val="000110D0"/>
    <w:rsid w:val="00011288"/>
    <w:rsid w:val="000112C0"/>
    <w:rsid w:val="0001172F"/>
    <w:rsid w:val="00011771"/>
    <w:rsid w:val="00011B5B"/>
    <w:rsid w:val="00011F46"/>
    <w:rsid w:val="0001344D"/>
    <w:rsid w:val="00013B4D"/>
    <w:rsid w:val="00013C26"/>
    <w:rsid w:val="00014EFB"/>
    <w:rsid w:val="00015000"/>
    <w:rsid w:val="0001586C"/>
    <w:rsid w:val="000158A3"/>
    <w:rsid w:val="00016BB0"/>
    <w:rsid w:val="00016C2E"/>
    <w:rsid w:val="0001737D"/>
    <w:rsid w:val="00017D08"/>
    <w:rsid w:val="0002018E"/>
    <w:rsid w:val="000210E2"/>
    <w:rsid w:val="000216D2"/>
    <w:rsid w:val="00022825"/>
    <w:rsid w:val="0002298E"/>
    <w:rsid w:val="00022C8F"/>
    <w:rsid w:val="00023656"/>
    <w:rsid w:val="00023F19"/>
    <w:rsid w:val="00023FAE"/>
    <w:rsid w:val="0002459D"/>
    <w:rsid w:val="00024A2B"/>
    <w:rsid w:val="000251EB"/>
    <w:rsid w:val="000256CD"/>
    <w:rsid w:val="00025D01"/>
    <w:rsid w:val="00026063"/>
    <w:rsid w:val="00026BF0"/>
    <w:rsid w:val="00026C19"/>
    <w:rsid w:val="00026FEE"/>
    <w:rsid w:val="00027159"/>
    <w:rsid w:val="000271E4"/>
    <w:rsid w:val="00027AB9"/>
    <w:rsid w:val="00027B84"/>
    <w:rsid w:val="000305C6"/>
    <w:rsid w:val="00030679"/>
    <w:rsid w:val="00030899"/>
    <w:rsid w:val="00030976"/>
    <w:rsid w:val="00030CCF"/>
    <w:rsid w:val="00030CF0"/>
    <w:rsid w:val="00031108"/>
    <w:rsid w:val="00032A5B"/>
    <w:rsid w:val="00032E4D"/>
    <w:rsid w:val="000331D2"/>
    <w:rsid w:val="00033F1E"/>
    <w:rsid w:val="00033F94"/>
    <w:rsid w:val="0003446F"/>
    <w:rsid w:val="0003465A"/>
    <w:rsid w:val="00034E48"/>
    <w:rsid w:val="0003520A"/>
    <w:rsid w:val="00035848"/>
    <w:rsid w:val="00035931"/>
    <w:rsid w:val="000364D4"/>
    <w:rsid w:val="00036FF3"/>
    <w:rsid w:val="00037D5F"/>
    <w:rsid w:val="000405D8"/>
    <w:rsid w:val="000407CD"/>
    <w:rsid w:val="00041B68"/>
    <w:rsid w:val="00042613"/>
    <w:rsid w:val="00043238"/>
    <w:rsid w:val="000441FC"/>
    <w:rsid w:val="00044529"/>
    <w:rsid w:val="00044804"/>
    <w:rsid w:val="000448B2"/>
    <w:rsid w:val="000455E3"/>
    <w:rsid w:val="000466A4"/>
    <w:rsid w:val="0004757C"/>
    <w:rsid w:val="0005082F"/>
    <w:rsid w:val="00050C9F"/>
    <w:rsid w:val="00051E48"/>
    <w:rsid w:val="00051E53"/>
    <w:rsid w:val="00052AF4"/>
    <w:rsid w:val="00052BE6"/>
    <w:rsid w:val="00053600"/>
    <w:rsid w:val="00053D94"/>
    <w:rsid w:val="00054277"/>
    <w:rsid w:val="000544F9"/>
    <w:rsid w:val="00054903"/>
    <w:rsid w:val="000554B6"/>
    <w:rsid w:val="00055926"/>
    <w:rsid w:val="000564D9"/>
    <w:rsid w:val="00056EDD"/>
    <w:rsid w:val="00057A3B"/>
    <w:rsid w:val="000605CF"/>
    <w:rsid w:val="000605E6"/>
    <w:rsid w:val="000607B8"/>
    <w:rsid w:val="00060D75"/>
    <w:rsid w:val="00061BFA"/>
    <w:rsid w:val="00061F65"/>
    <w:rsid w:val="0006295C"/>
    <w:rsid w:val="00063233"/>
    <w:rsid w:val="0006360B"/>
    <w:rsid w:val="00063FD4"/>
    <w:rsid w:val="0006577C"/>
    <w:rsid w:val="00065806"/>
    <w:rsid w:val="000668CA"/>
    <w:rsid w:val="00066C7C"/>
    <w:rsid w:val="00067846"/>
    <w:rsid w:val="00067DD4"/>
    <w:rsid w:val="0007099B"/>
    <w:rsid w:val="0007149E"/>
    <w:rsid w:val="0007240A"/>
    <w:rsid w:val="00072A69"/>
    <w:rsid w:val="000731FD"/>
    <w:rsid w:val="00074155"/>
    <w:rsid w:val="0007470C"/>
    <w:rsid w:val="0007483C"/>
    <w:rsid w:val="00074E01"/>
    <w:rsid w:val="00074E70"/>
    <w:rsid w:val="00074FF5"/>
    <w:rsid w:val="0007541E"/>
    <w:rsid w:val="000758EF"/>
    <w:rsid w:val="00075C43"/>
    <w:rsid w:val="00075D92"/>
    <w:rsid w:val="000767E3"/>
    <w:rsid w:val="00081617"/>
    <w:rsid w:val="00081B31"/>
    <w:rsid w:val="00081E70"/>
    <w:rsid w:val="00082EC3"/>
    <w:rsid w:val="000830D2"/>
    <w:rsid w:val="00083F3C"/>
    <w:rsid w:val="00085061"/>
    <w:rsid w:val="000857BF"/>
    <w:rsid w:val="000859A5"/>
    <w:rsid w:val="00086008"/>
    <w:rsid w:val="00086322"/>
    <w:rsid w:val="0008702D"/>
    <w:rsid w:val="00087340"/>
    <w:rsid w:val="00087D4B"/>
    <w:rsid w:val="0009064D"/>
    <w:rsid w:val="0009088A"/>
    <w:rsid w:val="00090B92"/>
    <w:rsid w:val="00091935"/>
    <w:rsid w:val="00092767"/>
    <w:rsid w:val="00092E95"/>
    <w:rsid w:val="0009308E"/>
    <w:rsid w:val="00094468"/>
    <w:rsid w:val="0009449A"/>
    <w:rsid w:val="00094557"/>
    <w:rsid w:val="0009505B"/>
    <w:rsid w:val="00095E75"/>
    <w:rsid w:val="000979E7"/>
    <w:rsid w:val="000A0948"/>
    <w:rsid w:val="000A0B99"/>
    <w:rsid w:val="000A24D7"/>
    <w:rsid w:val="000A2A0E"/>
    <w:rsid w:val="000A3944"/>
    <w:rsid w:val="000A40D8"/>
    <w:rsid w:val="000A48B8"/>
    <w:rsid w:val="000A5086"/>
    <w:rsid w:val="000A57B9"/>
    <w:rsid w:val="000A6106"/>
    <w:rsid w:val="000A6154"/>
    <w:rsid w:val="000A67FE"/>
    <w:rsid w:val="000A7C71"/>
    <w:rsid w:val="000A7D78"/>
    <w:rsid w:val="000A7F11"/>
    <w:rsid w:val="000B0538"/>
    <w:rsid w:val="000B0640"/>
    <w:rsid w:val="000B087F"/>
    <w:rsid w:val="000B152E"/>
    <w:rsid w:val="000B1586"/>
    <w:rsid w:val="000B1CF7"/>
    <w:rsid w:val="000B2F3B"/>
    <w:rsid w:val="000B3404"/>
    <w:rsid w:val="000B3577"/>
    <w:rsid w:val="000B4602"/>
    <w:rsid w:val="000B4B90"/>
    <w:rsid w:val="000B4C74"/>
    <w:rsid w:val="000B4DA3"/>
    <w:rsid w:val="000B56EC"/>
    <w:rsid w:val="000B59F6"/>
    <w:rsid w:val="000B5B5F"/>
    <w:rsid w:val="000B6197"/>
    <w:rsid w:val="000B6504"/>
    <w:rsid w:val="000B65F5"/>
    <w:rsid w:val="000B6669"/>
    <w:rsid w:val="000B6737"/>
    <w:rsid w:val="000B6757"/>
    <w:rsid w:val="000B67CB"/>
    <w:rsid w:val="000B68F8"/>
    <w:rsid w:val="000B6CA5"/>
    <w:rsid w:val="000B6E87"/>
    <w:rsid w:val="000B74A3"/>
    <w:rsid w:val="000B77E2"/>
    <w:rsid w:val="000B795F"/>
    <w:rsid w:val="000B7D68"/>
    <w:rsid w:val="000B7EA8"/>
    <w:rsid w:val="000C0D9E"/>
    <w:rsid w:val="000C0E46"/>
    <w:rsid w:val="000C1024"/>
    <w:rsid w:val="000C17EA"/>
    <w:rsid w:val="000C19F4"/>
    <w:rsid w:val="000C1FF7"/>
    <w:rsid w:val="000C250D"/>
    <w:rsid w:val="000C3ABF"/>
    <w:rsid w:val="000C3FC9"/>
    <w:rsid w:val="000C412C"/>
    <w:rsid w:val="000C439F"/>
    <w:rsid w:val="000C58E8"/>
    <w:rsid w:val="000C59DC"/>
    <w:rsid w:val="000C5E13"/>
    <w:rsid w:val="000C657B"/>
    <w:rsid w:val="000D0CF7"/>
    <w:rsid w:val="000D117B"/>
    <w:rsid w:val="000D1604"/>
    <w:rsid w:val="000D192B"/>
    <w:rsid w:val="000D1BFD"/>
    <w:rsid w:val="000D3C05"/>
    <w:rsid w:val="000D3FEA"/>
    <w:rsid w:val="000D4406"/>
    <w:rsid w:val="000D44F9"/>
    <w:rsid w:val="000D470F"/>
    <w:rsid w:val="000D4812"/>
    <w:rsid w:val="000D4BE3"/>
    <w:rsid w:val="000D4D15"/>
    <w:rsid w:val="000D4DC6"/>
    <w:rsid w:val="000D51A6"/>
    <w:rsid w:val="000D5878"/>
    <w:rsid w:val="000D6C2D"/>
    <w:rsid w:val="000D6D5A"/>
    <w:rsid w:val="000D7023"/>
    <w:rsid w:val="000D7107"/>
    <w:rsid w:val="000D71AD"/>
    <w:rsid w:val="000E05A0"/>
    <w:rsid w:val="000E05DA"/>
    <w:rsid w:val="000E0ABF"/>
    <w:rsid w:val="000E194B"/>
    <w:rsid w:val="000E2011"/>
    <w:rsid w:val="000E23B9"/>
    <w:rsid w:val="000E283B"/>
    <w:rsid w:val="000E3AC7"/>
    <w:rsid w:val="000E3AFC"/>
    <w:rsid w:val="000E3EBA"/>
    <w:rsid w:val="000E4316"/>
    <w:rsid w:val="000E45EE"/>
    <w:rsid w:val="000E45F4"/>
    <w:rsid w:val="000E4796"/>
    <w:rsid w:val="000E4BAE"/>
    <w:rsid w:val="000E4C20"/>
    <w:rsid w:val="000E5A20"/>
    <w:rsid w:val="000E5C91"/>
    <w:rsid w:val="000E65C8"/>
    <w:rsid w:val="000E716D"/>
    <w:rsid w:val="000E7328"/>
    <w:rsid w:val="000E7515"/>
    <w:rsid w:val="000E7A75"/>
    <w:rsid w:val="000E7E67"/>
    <w:rsid w:val="000F01DD"/>
    <w:rsid w:val="000F021F"/>
    <w:rsid w:val="000F0845"/>
    <w:rsid w:val="000F1184"/>
    <w:rsid w:val="000F2418"/>
    <w:rsid w:val="000F27B2"/>
    <w:rsid w:val="000F2B07"/>
    <w:rsid w:val="000F36FC"/>
    <w:rsid w:val="000F3A89"/>
    <w:rsid w:val="000F5127"/>
    <w:rsid w:val="000F5210"/>
    <w:rsid w:val="000F524D"/>
    <w:rsid w:val="000F525D"/>
    <w:rsid w:val="000F52A9"/>
    <w:rsid w:val="000F60A1"/>
    <w:rsid w:val="000F61CF"/>
    <w:rsid w:val="000F62B6"/>
    <w:rsid w:val="000F6A90"/>
    <w:rsid w:val="000F6AB9"/>
    <w:rsid w:val="000F6BC7"/>
    <w:rsid w:val="000F768E"/>
    <w:rsid w:val="00100417"/>
    <w:rsid w:val="00100B98"/>
    <w:rsid w:val="00100EEC"/>
    <w:rsid w:val="00102794"/>
    <w:rsid w:val="00103F32"/>
    <w:rsid w:val="00104FD1"/>
    <w:rsid w:val="001050F1"/>
    <w:rsid w:val="00105331"/>
    <w:rsid w:val="001059A6"/>
    <w:rsid w:val="00105AEC"/>
    <w:rsid w:val="00105ED6"/>
    <w:rsid w:val="00105F07"/>
    <w:rsid w:val="00105F39"/>
    <w:rsid w:val="00107262"/>
    <w:rsid w:val="00107C50"/>
    <w:rsid w:val="00110396"/>
    <w:rsid w:val="001107AD"/>
    <w:rsid w:val="00111497"/>
    <w:rsid w:val="001114A2"/>
    <w:rsid w:val="0011201B"/>
    <w:rsid w:val="00112C90"/>
    <w:rsid w:val="00112E2C"/>
    <w:rsid w:val="001136B3"/>
    <w:rsid w:val="00113889"/>
    <w:rsid w:val="00113E89"/>
    <w:rsid w:val="00113F61"/>
    <w:rsid w:val="00113F8C"/>
    <w:rsid w:val="001153D3"/>
    <w:rsid w:val="00115DB2"/>
    <w:rsid w:val="0011690E"/>
    <w:rsid w:val="00116B69"/>
    <w:rsid w:val="00116B76"/>
    <w:rsid w:val="001171CF"/>
    <w:rsid w:val="00117438"/>
    <w:rsid w:val="00117502"/>
    <w:rsid w:val="00117E3B"/>
    <w:rsid w:val="00120746"/>
    <w:rsid w:val="00120B2A"/>
    <w:rsid w:val="00120BB1"/>
    <w:rsid w:val="00121049"/>
    <w:rsid w:val="0012106C"/>
    <w:rsid w:val="0012107E"/>
    <w:rsid w:val="00121376"/>
    <w:rsid w:val="00121807"/>
    <w:rsid w:val="00121E3B"/>
    <w:rsid w:val="00122850"/>
    <w:rsid w:val="00123764"/>
    <w:rsid w:val="00124B73"/>
    <w:rsid w:val="00124E05"/>
    <w:rsid w:val="00125AC5"/>
    <w:rsid w:val="00125B07"/>
    <w:rsid w:val="00126567"/>
    <w:rsid w:val="00126B24"/>
    <w:rsid w:val="00126C4B"/>
    <w:rsid w:val="00127002"/>
    <w:rsid w:val="00127F65"/>
    <w:rsid w:val="0013103D"/>
    <w:rsid w:val="00132238"/>
    <w:rsid w:val="00132245"/>
    <w:rsid w:val="001329E4"/>
    <w:rsid w:val="0013304E"/>
    <w:rsid w:val="00133784"/>
    <w:rsid w:val="00133DDB"/>
    <w:rsid w:val="00134087"/>
    <w:rsid w:val="0013426F"/>
    <w:rsid w:val="001345A6"/>
    <w:rsid w:val="00134661"/>
    <w:rsid w:val="001362B5"/>
    <w:rsid w:val="00137086"/>
    <w:rsid w:val="00137113"/>
    <w:rsid w:val="00137D9B"/>
    <w:rsid w:val="001409E3"/>
    <w:rsid w:val="00141021"/>
    <w:rsid w:val="00141C15"/>
    <w:rsid w:val="0014351E"/>
    <w:rsid w:val="00144095"/>
    <w:rsid w:val="00145968"/>
    <w:rsid w:val="00145CEE"/>
    <w:rsid w:val="001464B8"/>
    <w:rsid w:val="00146E78"/>
    <w:rsid w:val="001470F5"/>
    <w:rsid w:val="001472BF"/>
    <w:rsid w:val="0015039C"/>
    <w:rsid w:val="00150BDE"/>
    <w:rsid w:val="00150C9A"/>
    <w:rsid w:val="00150E69"/>
    <w:rsid w:val="00151571"/>
    <w:rsid w:val="00153389"/>
    <w:rsid w:val="001537CE"/>
    <w:rsid w:val="00153ACA"/>
    <w:rsid w:val="00153FF0"/>
    <w:rsid w:val="001542AD"/>
    <w:rsid w:val="00154302"/>
    <w:rsid w:val="001549DF"/>
    <w:rsid w:val="00154A47"/>
    <w:rsid w:val="00154CFC"/>
    <w:rsid w:val="0015500A"/>
    <w:rsid w:val="00155413"/>
    <w:rsid w:val="00155983"/>
    <w:rsid w:val="00156A10"/>
    <w:rsid w:val="00157259"/>
    <w:rsid w:val="001572D7"/>
    <w:rsid w:val="001579B9"/>
    <w:rsid w:val="0016064B"/>
    <w:rsid w:val="00160958"/>
    <w:rsid w:val="00160C98"/>
    <w:rsid w:val="00160DB0"/>
    <w:rsid w:val="0016123B"/>
    <w:rsid w:val="001613FC"/>
    <w:rsid w:val="00161637"/>
    <w:rsid w:val="00161BC9"/>
    <w:rsid w:val="00161FEC"/>
    <w:rsid w:val="00162101"/>
    <w:rsid w:val="001621AC"/>
    <w:rsid w:val="00162670"/>
    <w:rsid w:val="001626F3"/>
    <w:rsid w:val="001627AB"/>
    <w:rsid w:val="00162CA3"/>
    <w:rsid w:val="00162E0E"/>
    <w:rsid w:val="00163B2D"/>
    <w:rsid w:val="0016403A"/>
    <w:rsid w:val="00164E3D"/>
    <w:rsid w:val="001659B2"/>
    <w:rsid w:val="001668D9"/>
    <w:rsid w:val="001676B0"/>
    <w:rsid w:val="00167855"/>
    <w:rsid w:val="0017040B"/>
    <w:rsid w:val="00170C9C"/>
    <w:rsid w:val="00170F19"/>
    <w:rsid w:val="00171600"/>
    <w:rsid w:val="0017196C"/>
    <w:rsid w:val="001723E5"/>
    <w:rsid w:val="00173F6A"/>
    <w:rsid w:val="00174D35"/>
    <w:rsid w:val="001750C6"/>
    <w:rsid w:val="00175505"/>
    <w:rsid w:val="00175821"/>
    <w:rsid w:val="001766DB"/>
    <w:rsid w:val="0017776C"/>
    <w:rsid w:val="00177953"/>
    <w:rsid w:val="0017798E"/>
    <w:rsid w:val="00177A03"/>
    <w:rsid w:val="00177D22"/>
    <w:rsid w:val="00180722"/>
    <w:rsid w:val="00180D5C"/>
    <w:rsid w:val="0018117B"/>
    <w:rsid w:val="0018131D"/>
    <w:rsid w:val="00183532"/>
    <w:rsid w:val="00183B73"/>
    <w:rsid w:val="00183C6C"/>
    <w:rsid w:val="00183ED8"/>
    <w:rsid w:val="00184260"/>
    <w:rsid w:val="001842DF"/>
    <w:rsid w:val="00184461"/>
    <w:rsid w:val="00185AED"/>
    <w:rsid w:val="001863F1"/>
    <w:rsid w:val="001866F1"/>
    <w:rsid w:val="001868CF"/>
    <w:rsid w:val="00186E88"/>
    <w:rsid w:val="00186F1C"/>
    <w:rsid w:val="00187489"/>
    <w:rsid w:val="0018749E"/>
    <w:rsid w:val="00187CC9"/>
    <w:rsid w:val="00190146"/>
    <w:rsid w:val="00191062"/>
    <w:rsid w:val="001916E1"/>
    <w:rsid w:val="0019188D"/>
    <w:rsid w:val="00191A12"/>
    <w:rsid w:val="00191DA1"/>
    <w:rsid w:val="00191E4E"/>
    <w:rsid w:val="0019260C"/>
    <w:rsid w:val="00192864"/>
    <w:rsid w:val="00192C09"/>
    <w:rsid w:val="00193C03"/>
    <w:rsid w:val="00193F40"/>
    <w:rsid w:val="00194299"/>
    <w:rsid w:val="001947C2"/>
    <w:rsid w:val="001949AF"/>
    <w:rsid w:val="00194F96"/>
    <w:rsid w:val="00195533"/>
    <w:rsid w:val="00195CAA"/>
    <w:rsid w:val="00195D25"/>
    <w:rsid w:val="001960BC"/>
    <w:rsid w:val="001962E9"/>
    <w:rsid w:val="0019740A"/>
    <w:rsid w:val="00197AB8"/>
    <w:rsid w:val="001A02D9"/>
    <w:rsid w:val="001A12F1"/>
    <w:rsid w:val="001A1391"/>
    <w:rsid w:val="001A1BD2"/>
    <w:rsid w:val="001A238F"/>
    <w:rsid w:val="001A29D6"/>
    <w:rsid w:val="001A32BB"/>
    <w:rsid w:val="001A376E"/>
    <w:rsid w:val="001A3829"/>
    <w:rsid w:val="001A40F0"/>
    <w:rsid w:val="001A4324"/>
    <w:rsid w:val="001A5099"/>
    <w:rsid w:val="001A58CB"/>
    <w:rsid w:val="001A59DD"/>
    <w:rsid w:val="001A59E2"/>
    <w:rsid w:val="001A5FF0"/>
    <w:rsid w:val="001A6B97"/>
    <w:rsid w:val="001A6C00"/>
    <w:rsid w:val="001A709E"/>
    <w:rsid w:val="001A7685"/>
    <w:rsid w:val="001A7933"/>
    <w:rsid w:val="001A7AF8"/>
    <w:rsid w:val="001A7FBB"/>
    <w:rsid w:val="001B095D"/>
    <w:rsid w:val="001B14F2"/>
    <w:rsid w:val="001B1AAA"/>
    <w:rsid w:val="001B1E16"/>
    <w:rsid w:val="001B2032"/>
    <w:rsid w:val="001B2C71"/>
    <w:rsid w:val="001B3136"/>
    <w:rsid w:val="001B339C"/>
    <w:rsid w:val="001B3568"/>
    <w:rsid w:val="001B397B"/>
    <w:rsid w:val="001B3CF2"/>
    <w:rsid w:val="001B3F59"/>
    <w:rsid w:val="001B6D8C"/>
    <w:rsid w:val="001B7D25"/>
    <w:rsid w:val="001C0217"/>
    <w:rsid w:val="001C0355"/>
    <w:rsid w:val="001C053B"/>
    <w:rsid w:val="001C08E5"/>
    <w:rsid w:val="001C0B6F"/>
    <w:rsid w:val="001C18A2"/>
    <w:rsid w:val="001C21F9"/>
    <w:rsid w:val="001C2ADE"/>
    <w:rsid w:val="001C2CBA"/>
    <w:rsid w:val="001C370F"/>
    <w:rsid w:val="001C48A9"/>
    <w:rsid w:val="001C4E20"/>
    <w:rsid w:val="001C517C"/>
    <w:rsid w:val="001C5B6E"/>
    <w:rsid w:val="001C6071"/>
    <w:rsid w:val="001C6477"/>
    <w:rsid w:val="001C6865"/>
    <w:rsid w:val="001D0152"/>
    <w:rsid w:val="001D07FB"/>
    <w:rsid w:val="001D159E"/>
    <w:rsid w:val="001D1611"/>
    <w:rsid w:val="001D2176"/>
    <w:rsid w:val="001D28B4"/>
    <w:rsid w:val="001D29D2"/>
    <w:rsid w:val="001D307B"/>
    <w:rsid w:val="001D33D5"/>
    <w:rsid w:val="001D3733"/>
    <w:rsid w:val="001D3DD9"/>
    <w:rsid w:val="001D45FC"/>
    <w:rsid w:val="001D4A09"/>
    <w:rsid w:val="001D4AA9"/>
    <w:rsid w:val="001D4E14"/>
    <w:rsid w:val="001D513F"/>
    <w:rsid w:val="001D5E90"/>
    <w:rsid w:val="001D63CA"/>
    <w:rsid w:val="001D63F9"/>
    <w:rsid w:val="001D65FF"/>
    <w:rsid w:val="001D6A61"/>
    <w:rsid w:val="001D734A"/>
    <w:rsid w:val="001D792B"/>
    <w:rsid w:val="001D7E85"/>
    <w:rsid w:val="001E0CF0"/>
    <w:rsid w:val="001E13AD"/>
    <w:rsid w:val="001E1FE8"/>
    <w:rsid w:val="001E219B"/>
    <w:rsid w:val="001E2B41"/>
    <w:rsid w:val="001E36F0"/>
    <w:rsid w:val="001E398D"/>
    <w:rsid w:val="001E4753"/>
    <w:rsid w:val="001E4E35"/>
    <w:rsid w:val="001E5776"/>
    <w:rsid w:val="001E678C"/>
    <w:rsid w:val="001E6811"/>
    <w:rsid w:val="001E6A48"/>
    <w:rsid w:val="001E6D56"/>
    <w:rsid w:val="001E78E9"/>
    <w:rsid w:val="001E7BBE"/>
    <w:rsid w:val="001F0077"/>
    <w:rsid w:val="001F27C4"/>
    <w:rsid w:val="001F2B2F"/>
    <w:rsid w:val="001F30E4"/>
    <w:rsid w:val="001F3697"/>
    <w:rsid w:val="001F3FDA"/>
    <w:rsid w:val="001F441E"/>
    <w:rsid w:val="001F445A"/>
    <w:rsid w:val="001F46E5"/>
    <w:rsid w:val="001F5387"/>
    <w:rsid w:val="001F58D4"/>
    <w:rsid w:val="001F5925"/>
    <w:rsid w:val="001F5CF6"/>
    <w:rsid w:val="001F633C"/>
    <w:rsid w:val="001F6C83"/>
    <w:rsid w:val="001F6CF7"/>
    <w:rsid w:val="001F7C35"/>
    <w:rsid w:val="00200891"/>
    <w:rsid w:val="00201893"/>
    <w:rsid w:val="00202525"/>
    <w:rsid w:val="00202585"/>
    <w:rsid w:val="00202E6B"/>
    <w:rsid w:val="00203977"/>
    <w:rsid w:val="00203C3B"/>
    <w:rsid w:val="00204972"/>
    <w:rsid w:val="00204BAE"/>
    <w:rsid w:val="00204C3C"/>
    <w:rsid w:val="00205678"/>
    <w:rsid w:val="00206022"/>
    <w:rsid w:val="00206050"/>
    <w:rsid w:val="00206175"/>
    <w:rsid w:val="0020619E"/>
    <w:rsid w:val="00206B8D"/>
    <w:rsid w:val="00206D8E"/>
    <w:rsid w:val="00207292"/>
    <w:rsid w:val="002072B9"/>
    <w:rsid w:val="00207378"/>
    <w:rsid w:val="002108C5"/>
    <w:rsid w:val="00210A86"/>
    <w:rsid w:val="00210F47"/>
    <w:rsid w:val="00211368"/>
    <w:rsid w:val="0021179D"/>
    <w:rsid w:val="00211FF1"/>
    <w:rsid w:val="002123D7"/>
    <w:rsid w:val="00212872"/>
    <w:rsid w:val="00212923"/>
    <w:rsid w:val="002129B4"/>
    <w:rsid w:val="00213297"/>
    <w:rsid w:val="00213411"/>
    <w:rsid w:val="0021355F"/>
    <w:rsid w:val="00213C13"/>
    <w:rsid w:val="00213C1D"/>
    <w:rsid w:val="00213DD3"/>
    <w:rsid w:val="0021468C"/>
    <w:rsid w:val="00214980"/>
    <w:rsid w:val="002149C7"/>
    <w:rsid w:val="0021523F"/>
    <w:rsid w:val="00215646"/>
    <w:rsid w:val="00215818"/>
    <w:rsid w:val="002158CA"/>
    <w:rsid w:val="00216983"/>
    <w:rsid w:val="00217654"/>
    <w:rsid w:val="00217925"/>
    <w:rsid w:val="002179B3"/>
    <w:rsid w:val="00217E04"/>
    <w:rsid w:val="0022040E"/>
    <w:rsid w:val="002204FF"/>
    <w:rsid w:val="002213C0"/>
    <w:rsid w:val="00221D4D"/>
    <w:rsid w:val="00221E45"/>
    <w:rsid w:val="0022207A"/>
    <w:rsid w:val="0022230F"/>
    <w:rsid w:val="00222934"/>
    <w:rsid w:val="002229D4"/>
    <w:rsid w:val="00223908"/>
    <w:rsid w:val="00223D5B"/>
    <w:rsid w:val="002240CA"/>
    <w:rsid w:val="002244E5"/>
    <w:rsid w:val="00224B95"/>
    <w:rsid w:val="00225D9A"/>
    <w:rsid w:val="00226AE1"/>
    <w:rsid w:val="00226EE5"/>
    <w:rsid w:val="00227345"/>
    <w:rsid w:val="002277AA"/>
    <w:rsid w:val="002278BF"/>
    <w:rsid w:val="00230319"/>
    <w:rsid w:val="0023122B"/>
    <w:rsid w:val="00231D77"/>
    <w:rsid w:val="00231DE4"/>
    <w:rsid w:val="00231FC7"/>
    <w:rsid w:val="00232215"/>
    <w:rsid w:val="00232353"/>
    <w:rsid w:val="00232DB0"/>
    <w:rsid w:val="00232FC8"/>
    <w:rsid w:val="002336AD"/>
    <w:rsid w:val="00234940"/>
    <w:rsid w:val="002350F5"/>
    <w:rsid w:val="002366CD"/>
    <w:rsid w:val="0023697D"/>
    <w:rsid w:val="00236D95"/>
    <w:rsid w:val="00237538"/>
    <w:rsid w:val="002402FB"/>
    <w:rsid w:val="00240638"/>
    <w:rsid w:val="00242703"/>
    <w:rsid w:val="00244098"/>
    <w:rsid w:val="00244EE9"/>
    <w:rsid w:val="0024522C"/>
    <w:rsid w:val="002468D8"/>
    <w:rsid w:val="002471A1"/>
    <w:rsid w:val="0024765B"/>
    <w:rsid w:val="00247F21"/>
    <w:rsid w:val="00250834"/>
    <w:rsid w:val="00250B98"/>
    <w:rsid w:val="002519AC"/>
    <w:rsid w:val="00251B34"/>
    <w:rsid w:val="00251B9A"/>
    <w:rsid w:val="00251CDF"/>
    <w:rsid w:val="00251D08"/>
    <w:rsid w:val="00251F1D"/>
    <w:rsid w:val="00252272"/>
    <w:rsid w:val="0025240A"/>
    <w:rsid w:val="0025250E"/>
    <w:rsid w:val="00254489"/>
    <w:rsid w:val="00254501"/>
    <w:rsid w:val="002547CB"/>
    <w:rsid w:val="00254CE9"/>
    <w:rsid w:val="00254F47"/>
    <w:rsid w:val="00255103"/>
    <w:rsid w:val="00255934"/>
    <w:rsid w:val="00256123"/>
    <w:rsid w:val="00256563"/>
    <w:rsid w:val="002568B3"/>
    <w:rsid w:val="00256B61"/>
    <w:rsid w:val="00260510"/>
    <w:rsid w:val="002613C4"/>
    <w:rsid w:val="002614F4"/>
    <w:rsid w:val="00261739"/>
    <w:rsid w:val="002619DD"/>
    <w:rsid w:val="00262FEB"/>
    <w:rsid w:val="0026312F"/>
    <w:rsid w:val="0026330A"/>
    <w:rsid w:val="00263E9B"/>
    <w:rsid w:val="00264867"/>
    <w:rsid w:val="00264899"/>
    <w:rsid w:val="002649B1"/>
    <w:rsid w:val="00264D31"/>
    <w:rsid w:val="00264FA9"/>
    <w:rsid w:val="00265B5C"/>
    <w:rsid w:val="00265C12"/>
    <w:rsid w:val="00267133"/>
    <w:rsid w:val="00267DD3"/>
    <w:rsid w:val="002702FB"/>
    <w:rsid w:val="00270563"/>
    <w:rsid w:val="00270733"/>
    <w:rsid w:val="00270A7A"/>
    <w:rsid w:val="00272791"/>
    <w:rsid w:val="00272F8F"/>
    <w:rsid w:val="002730EE"/>
    <w:rsid w:val="00273825"/>
    <w:rsid w:val="00273898"/>
    <w:rsid w:val="00274669"/>
    <w:rsid w:val="002749B5"/>
    <w:rsid w:val="00274CE8"/>
    <w:rsid w:val="00274F3C"/>
    <w:rsid w:val="0027561D"/>
    <w:rsid w:val="002758F0"/>
    <w:rsid w:val="0027680C"/>
    <w:rsid w:val="00276E5B"/>
    <w:rsid w:val="0027751C"/>
    <w:rsid w:val="00277561"/>
    <w:rsid w:val="00277938"/>
    <w:rsid w:val="002800FF"/>
    <w:rsid w:val="002808FB"/>
    <w:rsid w:val="00280BE4"/>
    <w:rsid w:val="00280FF0"/>
    <w:rsid w:val="00281208"/>
    <w:rsid w:val="00281306"/>
    <w:rsid w:val="00281569"/>
    <w:rsid w:val="002819C3"/>
    <w:rsid w:val="00282748"/>
    <w:rsid w:val="0028296B"/>
    <w:rsid w:val="00282B08"/>
    <w:rsid w:val="00283E24"/>
    <w:rsid w:val="002841AC"/>
    <w:rsid w:val="0028555C"/>
    <w:rsid w:val="002857C3"/>
    <w:rsid w:val="00286CD9"/>
    <w:rsid w:val="00287BE5"/>
    <w:rsid w:val="002900D0"/>
    <w:rsid w:val="00290B91"/>
    <w:rsid w:val="00291206"/>
    <w:rsid w:val="00291A92"/>
    <w:rsid w:val="00291B5A"/>
    <w:rsid w:val="00291D29"/>
    <w:rsid w:val="00291F11"/>
    <w:rsid w:val="00292110"/>
    <w:rsid w:val="002927AF"/>
    <w:rsid w:val="00292A0F"/>
    <w:rsid w:val="0029304C"/>
    <w:rsid w:val="00293330"/>
    <w:rsid w:val="00293C30"/>
    <w:rsid w:val="00294092"/>
    <w:rsid w:val="0029423C"/>
    <w:rsid w:val="0029442D"/>
    <w:rsid w:val="00294ED7"/>
    <w:rsid w:val="00294FB0"/>
    <w:rsid w:val="00297102"/>
    <w:rsid w:val="002978BA"/>
    <w:rsid w:val="002A0598"/>
    <w:rsid w:val="002A15B9"/>
    <w:rsid w:val="002A1622"/>
    <w:rsid w:val="002A4764"/>
    <w:rsid w:val="002A48C8"/>
    <w:rsid w:val="002A4F36"/>
    <w:rsid w:val="002A51DA"/>
    <w:rsid w:val="002A5FF5"/>
    <w:rsid w:val="002A6EA0"/>
    <w:rsid w:val="002A779B"/>
    <w:rsid w:val="002A7AD5"/>
    <w:rsid w:val="002A7E0C"/>
    <w:rsid w:val="002B0110"/>
    <w:rsid w:val="002B0443"/>
    <w:rsid w:val="002B0511"/>
    <w:rsid w:val="002B065E"/>
    <w:rsid w:val="002B205A"/>
    <w:rsid w:val="002B2173"/>
    <w:rsid w:val="002B25B1"/>
    <w:rsid w:val="002B28BA"/>
    <w:rsid w:val="002B298B"/>
    <w:rsid w:val="002B2EF1"/>
    <w:rsid w:val="002B3E22"/>
    <w:rsid w:val="002B437C"/>
    <w:rsid w:val="002B45C6"/>
    <w:rsid w:val="002B4A0A"/>
    <w:rsid w:val="002B4E8D"/>
    <w:rsid w:val="002B5A04"/>
    <w:rsid w:val="002B5D82"/>
    <w:rsid w:val="002B6081"/>
    <w:rsid w:val="002B6A01"/>
    <w:rsid w:val="002B74A3"/>
    <w:rsid w:val="002B75DD"/>
    <w:rsid w:val="002B7C52"/>
    <w:rsid w:val="002B7F6F"/>
    <w:rsid w:val="002C0157"/>
    <w:rsid w:val="002C0D9C"/>
    <w:rsid w:val="002C0EF5"/>
    <w:rsid w:val="002C1179"/>
    <w:rsid w:val="002C18B8"/>
    <w:rsid w:val="002C1C33"/>
    <w:rsid w:val="002C219C"/>
    <w:rsid w:val="002C234D"/>
    <w:rsid w:val="002C2457"/>
    <w:rsid w:val="002C24EA"/>
    <w:rsid w:val="002C2BC6"/>
    <w:rsid w:val="002C3505"/>
    <w:rsid w:val="002C3612"/>
    <w:rsid w:val="002C3B36"/>
    <w:rsid w:val="002C3C63"/>
    <w:rsid w:val="002C3CAC"/>
    <w:rsid w:val="002C422A"/>
    <w:rsid w:val="002C4281"/>
    <w:rsid w:val="002C42CF"/>
    <w:rsid w:val="002C46F3"/>
    <w:rsid w:val="002C555D"/>
    <w:rsid w:val="002C598F"/>
    <w:rsid w:val="002C5E73"/>
    <w:rsid w:val="002C5FF6"/>
    <w:rsid w:val="002C7FDD"/>
    <w:rsid w:val="002D0338"/>
    <w:rsid w:val="002D18FD"/>
    <w:rsid w:val="002D1BDE"/>
    <w:rsid w:val="002D2364"/>
    <w:rsid w:val="002D26D3"/>
    <w:rsid w:val="002D2D76"/>
    <w:rsid w:val="002D2DC4"/>
    <w:rsid w:val="002D34E7"/>
    <w:rsid w:val="002D3927"/>
    <w:rsid w:val="002D44D2"/>
    <w:rsid w:val="002D5561"/>
    <w:rsid w:val="002D5894"/>
    <w:rsid w:val="002D635E"/>
    <w:rsid w:val="002D64CA"/>
    <w:rsid w:val="002D66DF"/>
    <w:rsid w:val="002D713E"/>
    <w:rsid w:val="002D72B5"/>
    <w:rsid w:val="002D73FA"/>
    <w:rsid w:val="002D77E5"/>
    <w:rsid w:val="002D7BF8"/>
    <w:rsid w:val="002E0980"/>
    <w:rsid w:val="002E0EEE"/>
    <w:rsid w:val="002E0F8A"/>
    <w:rsid w:val="002E1547"/>
    <w:rsid w:val="002E1B12"/>
    <w:rsid w:val="002E1FC4"/>
    <w:rsid w:val="002E2678"/>
    <w:rsid w:val="002E2890"/>
    <w:rsid w:val="002E2A4D"/>
    <w:rsid w:val="002E2AD3"/>
    <w:rsid w:val="002E2ADA"/>
    <w:rsid w:val="002E37C7"/>
    <w:rsid w:val="002E3B81"/>
    <w:rsid w:val="002E3BA9"/>
    <w:rsid w:val="002E417C"/>
    <w:rsid w:val="002E461D"/>
    <w:rsid w:val="002E5666"/>
    <w:rsid w:val="002E5E9B"/>
    <w:rsid w:val="002E61FF"/>
    <w:rsid w:val="002E6FDA"/>
    <w:rsid w:val="002E72EB"/>
    <w:rsid w:val="002E7536"/>
    <w:rsid w:val="002E7845"/>
    <w:rsid w:val="002F1045"/>
    <w:rsid w:val="002F174C"/>
    <w:rsid w:val="002F1BAB"/>
    <w:rsid w:val="002F2ECE"/>
    <w:rsid w:val="002F2EFB"/>
    <w:rsid w:val="002F2F5E"/>
    <w:rsid w:val="002F5532"/>
    <w:rsid w:val="002F553E"/>
    <w:rsid w:val="002F56B9"/>
    <w:rsid w:val="002F6AA2"/>
    <w:rsid w:val="002F7146"/>
    <w:rsid w:val="002F769F"/>
    <w:rsid w:val="002F7837"/>
    <w:rsid w:val="002F7EEA"/>
    <w:rsid w:val="00300009"/>
    <w:rsid w:val="003004C8"/>
    <w:rsid w:val="0030126F"/>
    <w:rsid w:val="00301627"/>
    <w:rsid w:val="00301722"/>
    <w:rsid w:val="00302998"/>
    <w:rsid w:val="00302C43"/>
    <w:rsid w:val="00302CAF"/>
    <w:rsid w:val="00303F18"/>
    <w:rsid w:val="0030478F"/>
    <w:rsid w:val="003049A6"/>
    <w:rsid w:val="00304CD9"/>
    <w:rsid w:val="0030593C"/>
    <w:rsid w:val="00306E28"/>
    <w:rsid w:val="003072A6"/>
    <w:rsid w:val="0030781D"/>
    <w:rsid w:val="00310231"/>
    <w:rsid w:val="0031031F"/>
    <w:rsid w:val="003108D8"/>
    <w:rsid w:val="00310BEF"/>
    <w:rsid w:val="00310D47"/>
    <w:rsid w:val="0031156E"/>
    <w:rsid w:val="003115EE"/>
    <w:rsid w:val="00311907"/>
    <w:rsid w:val="00311D43"/>
    <w:rsid w:val="00311FE7"/>
    <w:rsid w:val="00312155"/>
    <w:rsid w:val="00313219"/>
    <w:rsid w:val="00313DF1"/>
    <w:rsid w:val="00313F6C"/>
    <w:rsid w:val="00314827"/>
    <w:rsid w:val="003149CD"/>
    <w:rsid w:val="00315326"/>
    <w:rsid w:val="00315538"/>
    <w:rsid w:val="003156F5"/>
    <w:rsid w:val="003157B3"/>
    <w:rsid w:val="00315C26"/>
    <w:rsid w:val="00315E7D"/>
    <w:rsid w:val="00316073"/>
    <w:rsid w:val="0031660A"/>
    <w:rsid w:val="00317401"/>
    <w:rsid w:val="00317E20"/>
    <w:rsid w:val="00320437"/>
    <w:rsid w:val="003207AB"/>
    <w:rsid w:val="00321B1F"/>
    <w:rsid w:val="00322A21"/>
    <w:rsid w:val="00322AF2"/>
    <w:rsid w:val="00322BD5"/>
    <w:rsid w:val="00323355"/>
    <w:rsid w:val="00323C87"/>
    <w:rsid w:val="003240A3"/>
    <w:rsid w:val="00324207"/>
    <w:rsid w:val="00324247"/>
    <w:rsid w:val="003247C6"/>
    <w:rsid w:val="00324D7C"/>
    <w:rsid w:val="003253E7"/>
    <w:rsid w:val="00325434"/>
    <w:rsid w:val="00327021"/>
    <w:rsid w:val="0033088F"/>
    <w:rsid w:val="0033089D"/>
    <w:rsid w:val="00330F40"/>
    <w:rsid w:val="00331104"/>
    <w:rsid w:val="003319B4"/>
    <w:rsid w:val="003322A0"/>
    <w:rsid w:val="00332B82"/>
    <w:rsid w:val="00334366"/>
    <w:rsid w:val="00334503"/>
    <w:rsid w:val="0033519D"/>
    <w:rsid w:val="0033534F"/>
    <w:rsid w:val="00335ABF"/>
    <w:rsid w:val="00335F96"/>
    <w:rsid w:val="003364E7"/>
    <w:rsid w:val="0033733B"/>
    <w:rsid w:val="003376A9"/>
    <w:rsid w:val="003377F8"/>
    <w:rsid w:val="00337CA1"/>
    <w:rsid w:val="00337D75"/>
    <w:rsid w:val="0034008E"/>
    <w:rsid w:val="0034014B"/>
    <w:rsid w:val="003401EA"/>
    <w:rsid w:val="0034045E"/>
    <w:rsid w:val="00340483"/>
    <w:rsid w:val="00340782"/>
    <w:rsid w:val="00341176"/>
    <w:rsid w:val="0034172F"/>
    <w:rsid w:val="0034178C"/>
    <w:rsid w:val="00341E72"/>
    <w:rsid w:val="003420F0"/>
    <w:rsid w:val="0034271A"/>
    <w:rsid w:val="003429E9"/>
    <w:rsid w:val="003441A0"/>
    <w:rsid w:val="00344420"/>
    <w:rsid w:val="0034475A"/>
    <w:rsid w:val="003447D3"/>
    <w:rsid w:val="003449E7"/>
    <w:rsid w:val="00344C50"/>
    <w:rsid w:val="0034502A"/>
    <w:rsid w:val="0034545C"/>
    <w:rsid w:val="00345AB4"/>
    <w:rsid w:val="00346230"/>
    <w:rsid w:val="00347269"/>
    <w:rsid w:val="0034775F"/>
    <w:rsid w:val="00347C46"/>
    <w:rsid w:val="00347F0A"/>
    <w:rsid w:val="00351125"/>
    <w:rsid w:val="0035377C"/>
    <w:rsid w:val="003540FD"/>
    <w:rsid w:val="003547D7"/>
    <w:rsid w:val="003548B3"/>
    <w:rsid w:val="003549AE"/>
    <w:rsid w:val="00354C54"/>
    <w:rsid w:val="00355D04"/>
    <w:rsid w:val="0035653F"/>
    <w:rsid w:val="0035654E"/>
    <w:rsid w:val="00356A90"/>
    <w:rsid w:val="00356B4D"/>
    <w:rsid w:val="00356B75"/>
    <w:rsid w:val="00357C10"/>
    <w:rsid w:val="003602CB"/>
    <w:rsid w:val="00360427"/>
    <w:rsid w:val="00360659"/>
    <w:rsid w:val="0036068D"/>
    <w:rsid w:val="003606AD"/>
    <w:rsid w:val="00360E66"/>
    <w:rsid w:val="00361887"/>
    <w:rsid w:val="0036281E"/>
    <w:rsid w:val="00362BA2"/>
    <w:rsid w:val="00364460"/>
    <w:rsid w:val="003645C0"/>
    <w:rsid w:val="00364785"/>
    <w:rsid w:val="003647B3"/>
    <w:rsid w:val="003647F1"/>
    <w:rsid w:val="00364BF1"/>
    <w:rsid w:val="00365255"/>
    <w:rsid w:val="00365920"/>
    <w:rsid w:val="00365D43"/>
    <w:rsid w:val="003665AD"/>
    <w:rsid w:val="0036792C"/>
    <w:rsid w:val="00367C4F"/>
    <w:rsid w:val="00367DFE"/>
    <w:rsid w:val="00370274"/>
    <w:rsid w:val="00370F07"/>
    <w:rsid w:val="00371042"/>
    <w:rsid w:val="0037106B"/>
    <w:rsid w:val="003713E6"/>
    <w:rsid w:val="003725C2"/>
    <w:rsid w:val="0037287C"/>
    <w:rsid w:val="00372DCB"/>
    <w:rsid w:val="00373786"/>
    <w:rsid w:val="00373FD0"/>
    <w:rsid w:val="00374022"/>
    <w:rsid w:val="0037408F"/>
    <w:rsid w:val="0037432E"/>
    <w:rsid w:val="003749E3"/>
    <w:rsid w:val="00375B38"/>
    <w:rsid w:val="00375B48"/>
    <w:rsid w:val="0037668B"/>
    <w:rsid w:val="003766A2"/>
    <w:rsid w:val="00376E7F"/>
    <w:rsid w:val="00377688"/>
    <w:rsid w:val="003777A5"/>
    <w:rsid w:val="003778EF"/>
    <w:rsid w:val="003802F8"/>
    <w:rsid w:val="003806F6"/>
    <w:rsid w:val="003809F4"/>
    <w:rsid w:val="00380A59"/>
    <w:rsid w:val="00380CA3"/>
    <w:rsid w:val="00380E13"/>
    <w:rsid w:val="00381C88"/>
    <w:rsid w:val="00381E40"/>
    <w:rsid w:val="00381E61"/>
    <w:rsid w:val="00383E0F"/>
    <w:rsid w:val="003842FB"/>
    <w:rsid w:val="00384AA3"/>
    <w:rsid w:val="00384F74"/>
    <w:rsid w:val="00385F85"/>
    <w:rsid w:val="00386130"/>
    <w:rsid w:val="003872CF"/>
    <w:rsid w:val="003877DB"/>
    <w:rsid w:val="00387CEC"/>
    <w:rsid w:val="00387FD8"/>
    <w:rsid w:val="003909CE"/>
    <w:rsid w:val="00391021"/>
    <w:rsid w:val="0039129F"/>
    <w:rsid w:val="00391780"/>
    <w:rsid w:val="00391B5D"/>
    <w:rsid w:val="00391E71"/>
    <w:rsid w:val="003929E6"/>
    <w:rsid w:val="00392E59"/>
    <w:rsid w:val="00393466"/>
    <w:rsid w:val="00393B5A"/>
    <w:rsid w:val="003947BA"/>
    <w:rsid w:val="003948BA"/>
    <w:rsid w:val="00394E90"/>
    <w:rsid w:val="00395310"/>
    <w:rsid w:val="00395BCC"/>
    <w:rsid w:val="00396050"/>
    <w:rsid w:val="00396CDD"/>
    <w:rsid w:val="00397162"/>
    <w:rsid w:val="003971C2"/>
    <w:rsid w:val="003972E1"/>
    <w:rsid w:val="003A01EF"/>
    <w:rsid w:val="003A03FE"/>
    <w:rsid w:val="003A0541"/>
    <w:rsid w:val="003A09B1"/>
    <w:rsid w:val="003A0C9E"/>
    <w:rsid w:val="003A12A1"/>
    <w:rsid w:val="003A150A"/>
    <w:rsid w:val="003A15A2"/>
    <w:rsid w:val="003A1A51"/>
    <w:rsid w:val="003A1D36"/>
    <w:rsid w:val="003A242C"/>
    <w:rsid w:val="003A2DB9"/>
    <w:rsid w:val="003A344F"/>
    <w:rsid w:val="003A38A5"/>
    <w:rsid w:val="003A3919"/>
    <w:rsid w:val="003A4039"/>
    <w:rsid w:val="003A40FE"/>
    <w:rsid w:val="003A463B"/>
    <w:rsid w:val="003A4642"/>
    <w:rsid w:val="003A46F4"/>
    <w:rsid w:val="003A5831"/>
    <w:rsid w:val="003A59F9"/>
    <w:rsid w:val="003A6C9F"/>
    <w:rsid w:val="003A716C"/>
    <w:rsid w:val="003B0384"/>
    <w:rsid w:val="003B0709"/>
    <w:rsid w:val="003B0E12"/>
    <w:rsid w:val="003B0F38"/>
    <w:rsid w:val="003B2497"/>
    <w:rsid w:val="003B2B9D"/>
    <w:rsid w:val="003B2E6B"/>
    <w:rsid w:val="003B3059"/>
    <w:rsid w:val="003B33FC"/>
    <w:rsid w:val="003B3D76"/>
    <w:rsid w:val="003B4BB3"/>
    <w:rsid w:val="003B4D0B"/>
    <w:rsid w:val="003B503F"/>
    <w:rsid w:val="003B51BD"/>
    <w:rsid w:val="003B5382"/>
    <w:rsid w:val="003B5408"/>
    <w:rsid w:val="003B574C"/>
    <w:rsid w:val="003B5ED3"/>
    <w:rsid w:val="003B6091"/>
    <w:rsid w:val="003B6287"/>
    <w:rsid w:val="003B67FF"/>
    <w:rsid w:val="003B6A8B"/>
    <w:rsid w:val="003B7C33"/>
    <w:rsid w:val="003C0961"/>
    <w:rsid w:val="003C0F61"/>
    <w:rsid w:val="003C13BB"/>
    <w:rsid w:val="003C1B07"/>
    <w:rsid w:val="003C1E1E"/>
    <w:rsid w:val="003C238D"/>
    <w:rsid w:val="003C2605"/>
    <w:rsid w:val="003C2A52"/>
    <w:rsid w:val="003C2F0B"/>
    <w:rsid w:val="003C3423"/>
    <w:rsid w:val="003C372D"/>
    <w:rsid w:val="003C3A8F"/>
    <w:rsid w:val="003C4C97"/>
    <w:rsid w:val="003C4E9E"/>
    <w:rsid w:val="003C5315"/>
    <w:rsid w:val="003C5B7A"/>
    <w:rsid w:val="003C5EDA"/>
    <w:rsid w:val="003C639D"/>
    <w:rsid w:val="003C6671"/>
    <w:rsid w:val="003C6D2C"/>
    <w:rsid w:val="003C6D6A"/>
    <w:rsid w:val="003C7CD2"/>
    <w:rsid w:val="003D06E0"/>
    <w:rsid w:val="003D09D1"/>
    <w:rsid w:val="003D0B0F"/>
    <w:rsid w:val="003D0C68"/>
    <w:rsid w:val="003D140C"/>
    <w:rsid w:val="003D19B9"/>
    <w:rsid w:val="003D1A6A"/>
    <w:rsid w:val="003D2724"/>
    <w:rsid w:val="003D2DB7"/>
    <w:rsid w:val="003D30BF"/>
    <w:rsid w:val="003D30C6"/>
    <w:rsid w:val="003D33A6"/>
    <w:rsid w:val="003D3CD6"/>
    <w:rsid w:val="003D3D5C"/>
    <w:rsid w:val="003D417A"/>
    <w:rsid w:val="003D4187"/>
    <w:rsid w:val="003D56CD"/>
    <w:rsid w:val="003D5DE9"/>
    <w:rsid w:val="003D5E39"/>
    <w:rsid w:val="003D5F82"/>
    <w:rsid w:val="003D5FF9"/>
    <w:rsid w:val="003D6D30"/>
    <w:rsid w:val="003D72A6"/>
    <w:rsid w:val="003D7352"/>
    <w:rsid w:val="003D7D6F"/>
    <w:rsid w:val="003E0804"/>
    <w:rsid w:val="003E1C71"/>
    <w:rsid w:val="003E1FC6"/>
    <w:rsid w:val="003E210C"/>
    <w:rsid w:val="003E3A36"/>
    <w:rsid w:val="003E3F0A"/>
    <w:rsid w:val="003E3FB1"/>
    <w:rsid w:val="003E400A"/>
    <w:rsid w:val="003E4A6B"/>
    <w:rsid w:val="003E6023"/>
    <w:rsid w:val="003E6EF6"/>
    <w:rsid w:val="003E73BF"/>
    <w:rsid w:val="003E771B"/>
    <w:rsid w:val="003E7F7D"/>
    <w:rsid w:val="003F0478"/>
    <w:rsid w:val="003F074F"/>
    <w:rsid w:val="003F0B27"/>
    <w:rsid w:val="003F0EAB"/>
    <w:rsid w:val="003F11CB"/>
    <w:rsid w:val="003F2230"/>
    <w:rsid w:val="003F282D"/>
    <w:rsid w:val="003F29DC"/>
    <w:rsid w:val="003F2F76"/>
    <w:rsid w:val="003F2FAC"/>
    <w:rsid w:val="003F3283"/>
    <w:rsid w:val="003F32B8"/>
    <w:rsid w:val="003F3A0F"/>
    <w:rsid w:val="003F3B34"/>
    <w:rsid w:val="003F3E12"/>
    <w:rsid w:val="003F401E"/>
    <w:rsid w:val="003F43CF"/>
    <w:rsid w:val="003F4603"/>
    <w:rsid w:val="003F4A39"/>
    <w:rsid w:val="003F4C0C"/>
    <w:rsid w:val="003F4CB0"/>
    <w:rsid w:val="003F51AD"/>
    <w:rsid w:val="003F5C42"/>
    <w:rsid w:val="003F5E83"/>
    <w:rsid w:val="003F622D"/>
    <w:rsid w:val="003F6BD5"/>
    <w:rsid w:val="003F74BC"/>
    <w:rsid w:val="004004CA"/>
    <w:rsid w:val="004007C0"/>
    <w:rsid w:val="004011C9"/>
    <w:rsid w:val="00401F4E"/>
    <w:rsid w:val="00401FAC"/>
    <w:rsid w:val="0040251A"/>
    <w:rsid w:val="00402ADF"/>
    <w:rsid w:val="00402CE8"/>
    <w:rsid w:val="00402D95"/>
    <w:rsid w:val="004032D7"/>
    <w:rsid w:val="004040D8"/>
    <w:rsid w:val="0040411A"/>
    <w:rsid w:val="004042C1"/>
    <w:rsid w:val="00405C60"/>
    <w:rsid w:val="00405D1A"/>
    <w:rsid w:val="00405FB4"/>
    <w:rsid w:val="00406AD3"/>
    <w:rsid w:val="004071E1"/>
    <w:rsid w:val="00407319"/>
    <w:rsid w:val="004073D3"/>
    <w:rsid w:val="00407998"/>
    <w:rsid w:val="00410FB1"/>
    <w:rsid w:val="004110F1"/>
    <w:rsid w:val="00411176"/>
    <w:rsid w:val="0041179A"/>
    <w:rsid w:val="004125FB"/>
    <w:rsid w:val="00412BC4"/>
    <w:rsid w:val="00412D3A"/>
    <w:rsid w:val="00412ECF"/>
    <w:rsid w:val="00413DB5"/>
    <w:rsid w:val="004147E5"/>
    <w:rsid w:val="00414E0B"/>
    <w:rsid w:val="004156E7"/>
    <w:rsid w:val="004157E2"/>
    <w:rsid w:val="00415E9F"/>
    <w:rsid w:val="00415FE9"/>
    <w:rsid w:val="00416265"/>
    <w:rsid w:val="0041637C"/>
    <w:rsid w:val="00416593"/>
    <w:rsid w:val="00416E3E"/>
    <w:rsid w:val="00416E6E"/>
    <w:rsid w:val="0041703C"/>
    <w:rsid w:val="004171C3"/>
    <w:rsid w:val="00417F57"/>
    <w:rsid w:val="00417FC0"/>
    <w:rsid w:val="00420D22"/>
    <w:rsid w:val="00420F55"/>
    <w:rsid w:val="00420F8B"/>
    <w:rsid w:val="004212C9"/>
    <w:rsid w:val="00422CFD"/>
    <w:rsid w:val="00423355"/>
    <w:rsid w:val="004234C1"/>
    <w:rsid w:val="004234C7"/>
    <w:rsid w:val="004240AF"/>
    <w:rsid w:val="004244A8"/>
    <w:rsid w:val="004245B3"/>
    <w:rsid w:val="0042489D"/>
    <w:rsid w:val="0042492E"/>
    <w:rsid w:val="00424E1D"/>
    <w:rsid w:val="00425A08"/>
    <w:rsid w:val="00425C7F"/>
    <w:rsid w:val="00425E62"/>
    <w:rsid w:val="00426597"/>
    <w:rsid w:val="00426EE5"/>
    <w:rsid w:val="00426FD0"/>
    <w:rsid w:val="00427811"/>
    <w:rsid w:val="0043011D"/>
    <w:rsid w:val="00430814"/>
    <w:rsid w:val="004309C5"/>
    <w:rsid w:val="00430D89"/>
    <w:rsid w:val="004326EA"/>
    <w:rsid w:val="00432B25"/>
    <w:rsid w:val="00432EA5"/>
    <w:rsid w:val="004333EA"/>
    <w:rsid w:val="0043386E"/>
    <w:rsid w:val="004339BC"/>
    <w:rsid w:val="0043410B"/>
    <w:rsid w:val="00434229"/>
    <w:rsid w:val="0043444C"/>
    <w:rsid w:val="004345A8"/>
    <w:rsid w:val="00435AA5"/>
    <w:rsid w:val="00436CC3"/>
    <w:rsid w:val="00436FE4"/>
    <w:rsid w:val="0044029F"/>
    <w:rsid w:val="004404F0"/>
    <w:rsid w:val="004413E6"/>
    <w:rsid w:val="004415C9"/>
    <w:rsid w:val="00442D0E"/>
    <w:rsid w:val="00442FFB"/>
    <w:rsid w:val="0044334D"/>
    <w:rsid w:val="00443CA6"/>
    <w:rsid w:val="00443F59"/>
    <w:rsid w:val="0044570B"/>
    <w:rsid w:val="00445BA2"/>
    <w:rsid w:val="004468DE"/>
    <w:rsid w:val="00446CA0"/>
    <w:rsid w:val="00446CA8"/>
    <w:rsid w:val="00447F82"/>
    <w:rsid w:val="00450374"/>
    <w:rsid w:val="0045098C"/>
    <w:rsid w:val="00450D38"/>
    <w:rsid w:val="004511ED"/>
    <w:rsid w:val="0045199D"/>
    <w:rsid w:val="00451A26"/>
    <w:rsid w:val="00451A82"/>
    <w:rsid w:val="0045294C"/>
    <w:rsid w:val="004536E7"/>
    <w:rsid w:val="00453C10"/>
    <w:rsid w:val="004541AC"/>
    <w:rsid w:val="00454242"/>
    <w:rsid w:val="0045442D"/>
    <w:rsid w:val="00454835"/>
    <w:rsid w:val="00454EE5"/>
    <w:rsid w:val="00455401"/>
    <w:rsid w:val="00456791"/>
    <w:rsid w:val="00456A92"/>
    <w:rsid w:val="00456DD5"/>
    <w:rsid w:val="00457664"/>
    <w:rsid w:val="004608F6"/>
    <w:rsid w:val="004611B6"/>
    <w:rsid w:val="004611E7"/>
    <w:rsid w:val="00461246"/>
    <w:rsid w:val="00462116"/>
    <w:rsid w:val="00462272"/>
    <w:rsid w:val="0046317B"/>
    <w:rsid w:val="00463819"/>
    <w:rsid w:val="0046445D"/>
    <w:rsid w:val="004644BF"/>
    <w:rsid w:val="00464760"/>
    <w:rsid w:val="00464F10"/>
    <w:rsid w:val="00465A89"/>
    <w:rsid w:val="0046644C"/>
    <w:rsid w:val="0046668F"/>
    <w:rsid w:val="00466D65"/>
    <w:rsid w:val="00467021"/>
    <w:rsid w:val="00467121"/>
    <w:rsid w:val="00467C11"/>
    <w:rsid w:val="0047138E"/>
    <w:rsid w:val="004714F6"/>
    <w:rsid w:val="00471A68"/>
    <w:rsid w:val="004728B9"/>
    <w:rsid w:val="00472CC0"/>
    <w:rsid w:val="00473150"/>
    <w:rsid w:val="004737AE"/>
    <w:rsid w:val="004740CB"/>
    <w:rsid w:val="00474678"/>
    <w:rsid w:val="00474E00"/>
    <w:rsid w:val="00474F6F"/>
    <w:rsid w:val="0047510F"/>
    <w:rsid w:val="00475151"/>
    <w:rsid w:val="004753F6"/>
    <w:rsid w:val="00475740"/>
    <w:rsid w:val="00475C0E"/>
    <w:rsid w:val="00475DA3"/>
    <w:rsid w:val="004774D7"/>
    <w:rsid w:val="0047761A"/>
    <w:rsid w:val="00477CE0"/>
    <w:rsid w:val="00477F64"/>
    <w:rsid w:val="00480701"/>
    <w:rsid w:val="00480CBA"/>
    <w:rsid w:val="004812EE"/>
    <w:rsid w:val="004813DB"/>
    <w:rsid w:val="004813E0"/>
    <w:rsid w:val="00481999"/>
    <w:rsid w:val="00481C68"/>
    <w:rsid w:val="00481D91"/>
    <w:rsid w:val="00481DB1"/>
    <w:rsid w:val="00482978"/>
    <w:rsid w:val="00483326"/>
    <w:rsid w:val="004837CB"/>
    <w:rsid w:val="00483FD3"/>
    <w:rsid w:val="00484482"/>
    <w:rsid w:val="004844B2"/>
    <w:rsid w:val="00484554"/>
    <w:rsid w:val="00484987"/>
    <w:rsid w:val="004857F0"/>
    <w:rsid w:val="00485934"/>
    <w:rsid w:val="00485C05"/>
    <w:rsid w:val="00486CA3"/>
    <w:rsid w:val="00486ECC"/>
    <w:rsid w:val="004873D3"/>
    <w:rsid w:val="004876E4"/>
    <w:rsid w:val="00490446"/>
    <w:rsid w:val="00490B36"/>
    <w:rsid w:val="00490BF3"/>
    <w:rsid w:val="00490BF5"/>
    <w:rsid w:val="00490F69"/>
    <w:rsid w:val="00490FD4"/>
    <w:rsid w:val="004916EC"/>
    <w:rsid w:val="004918C4"/>
    <w:rsid w:val="00491E1B"/>
    <w:rsid w:val="00492400"/>
    <w:rsid w:val="00492A92"/>
    <w:rsid w:val="00492AA8"/>
    <w:rsid w:val="00492B36"/>
    <w:rsid w:val="00492D1B"/>
    <w:rsid w:val="00492EE8"/>
    <w:rsid w:val="00493398"/>
    <w:rsid w:val="004940DF"/>
    <w:rsid w:val="004941C2"/>
    <w:rsid w:val="00494450"/>
    <w:rsid w:val="00495A95"/>
    <w:rsid w:val="004961AC"/>
    <w:rsid w:val="004964EF"/>
    <w:rsid w:val="00496556"/>
    <w:rsid w:val="00496E5F"/>
    <w:rsid w:val="00496EF3"/>
    <w:rsid w:val="004972AE"/>
    <w:rsid w:val="004976EF"/>
    <w:rsid w:val="004A21A3"/>
    <w:rsid w:val="004A2F8B"/>
    <w:rsid w:val="004A350F"/>
    <w:rsid w:val="004A3832"/>
    <w:rsid w:val="004A3E41"/>
    <w:rsid w:val="004A42E6"/>
    <w:rsid w:val="004A461D"/>
    <w:rsid w:val="004A48B3"/>
    <w:rsid w:val="004A4A31"/>
    <w:rsid w:val="004A52A4"/>
    <w:rsid w:val="004A613D"/>
    <w:rsid w:val="004A61BD"/>
    <w:rsid w:val="004A65AD"/>
    <w:rsid w:val="004A67FB"/>
    <w:rsid w:val="004A68B2"/>
    <w:rsid w:val="004A7479"/>
    <w:rsid w:val="004A78D8"/>
    <w:rsid w:val="004A79DF"/>
    <w:rsid w:val="004B0127"/>
    <w:rsid w:val="004B01B9"/>
    <w:rsid w:val="004B1298"/>
    <w:rsid w:val="004B15B2"/>
    <w:rsid w:val="004B1C14"/>
    <w:rsid w:val="004B1E53"/>
    <w:rsid w:val="004B1EF0"/>
    <w:rsid w:val="004B23BE"/>
    <w:rsid w:val="004B290E"/>
    <w:rsid w:val="004B2D1D"/>
    <w:rsid w:val="004B3AD8"/>
    <w:rsid w:val="004B3B69"/>
    <w:rsid w:val="004B4515"/>
    <w:rsid w:val="004B4D03"/>
    <w:rsid w:val="004B4DF4"/>
    <w:rsid w:val="004B4FA1"/>
    <w:rsid w:val="004B505A"/>
    <w:rsid w:val="004B5143"/>
    <w:rsid w:val="004B51F0"/>
    <w:rsid w:val="004B5894"/>
    <w:rsid w:val="004B598C"/>
    <w:rsid w:val="004B5D84"/>
    <w:rsid w:val="004B5F0A"/>
    <w:rsid w:val="004B7016"/>
    <w:rsid w:val="004B706A"/>
    <w:rsid w:val="004B7C34"/>
    <w:rsid w:val="004C0948"/>
    <w:rsid w:val="004C0DD3"/>
    <w:rsid w:val="004C0F36"/>
    <w:rsid w:val="004C1C06"/>
    <w:rsid w:val="004C33DE"/>
    <w:rsid w:val="004C39CC"/>
    <w:rsid w:val="004C39EE"/>
    <w:rsid w:val="004C3F5D"/>
    <w:rsid w:val="004C464A"/>
    <w:rsid w:val="004C5015"/>
    <w:rsid w:val="004C5E65"/>
    <w:rsid w:val="004C6067"/>
    <w:rsid w:val="004C60C0"/>
    <w:rsid w:val="004C6186"/>
    <w:rsid w:val="004C62D4"/>
    <w:rsid w:val="004C7667"/>
    <w:rsid w:val="004C7A53"/>
    <w:rsid w:val="004C7BB1"/>
    <w:rsid w:val="004C7C23"/>
    <w:rsid w:val="004D0E14"/>
    <w:rsid w:val="004D1B3A"/>
    <w:rsid w:val="004D1F87"/>
    <w:rsid w:val="004D2640"/>
    <w:rsid w:val="004D2645"/>
    <w:rsid w:val="004D274A"/>
    <w:rsid w:val="004D3472"/>
    <w:rsid w:val="004D3753"/>
    <w:rsid w:val="004D3869"/>
    <w:rsid w:val="004D389D"/>
    <w:rsid w:val="004D3E5C"/>
    <w:rsid w:val="004D43C6"/>
    <w:rsid w:val="004D47AD"/>
    <w:rsid w:val="004D4937"/>
    <w:rsid w:val="004D5300"/>
    <w:rsid w:val="004D5A1F"/>
    <w:rsid w:val="004D5CA4"/>
    <w:rsid w:val="004D6867"/>
    <w:rsid w:val="004D6D62"/>
    <w:rsid w:val="004D6F9F"/>
    <w:rsid w:val="004D7185"/>
    <w:rsid w:val="004D7336"/>
    <w:rsid w:val="004D7E0B"/>
    <w:rsid w:val="004E0797"/>
    <w:rsid w:val="004E1AA3"/>
    <w:rsid w:val="004E1DF3"/>
    <w:rsid w:val="004E33EF"/>
    <w:rsid w:val="004E39F5"/>
    <w:rsid w:val="004E4350"/>
    <w:rsid w:val="004E44C4"/>
    <w:rsid w:val="004E4D1D"/>
    <w:rsid w:val="004E4DF2"/>
    <w:rsid w:val="004E54B4"/>
    <w:rsid w:val="004E55E7"/>
    <w:rsid w:val="004E56F5"/>
    <w:rsid w:val="004E576C"/>
    <w:rsid w:val="004E5CF7"/>
    <w:rsid w:val="004E6519"/>
    <w:rsid w:val="004E69E6"/>
    <w:rsid w:val="004E6C2B"/>
    <w:rsid w:val="004E6C42"/>
    <w:rsid w:val="004E7C32"/>
    <w:rsid w:val="004E7E4B"/>
    <w:rsid w:val="004F0828"/>
    <w:rsid w:val="004F0BF2"/>
    <w:rsid w:val="004F0F58"/>
    <w:rsid w:val="004F130C"/>
    <w:rsid w:val="004F22C9"/>
    <w:rsid w:val="004F2BA2"/>
    <w:rsid w:val="004F2D45"/>
    <w:rsid w:val="004F3029"/>
    <w:rsid w:val="004F339F"/>
    <w:rsid w:val="004F3A65"/>
    <w:rsid w:val="004F3E8D"/>
    <w:rsid w:val="004F46ED"/>
    <w:rsid w:val="004F4843"/>
    <w:rsid w:val="004F5B4A"/>
    <w:rsid w:val="004F63F5"/>
    <w:rsid w:val="004F66A0"/>
    <w:rsid w:val="004F67C1"/>
    <w:rsid w:val="004F6936"/>
    <w:rsid w:val="004F69DF"/>
    <w:rsid w:val="004F6FE5"/>
    <w:rsid w:val="004F7165"/>
    <w:rsid w:val="005000F4"/>
    <w:rsid w:val="0050066E"/>
    <w:rsid w:val="00500FDD"/>
    <w:rsid w:val="00501040"/>
    <w:rsid w:val="0050206D"/>
    <w:rsid w:val="005023AF"/>
    <w:rsid w:val="005028B6"/>
    <w:rsid w:val="005029DF"/>
    <w:rsid w:val="00503334"/>
    <w:rsid w:val="00503C79"/>
    <w:rsid w:val="00503D37"/>
    <w:rsid w:val="00503F8A"/>
    <w:rsid w:val="005041A8"/>
    <w:rsid w:val="00504FA5"/>
    <w:rsid w:val="00505AFA"/>
    <w:rsid w:val="00505EF5"/>
    <w:rsid w:val="005060BA"/>
    <w:rsid w:val="00506261"/>
    <w:rsid w:val="00506A6A"/>
    <w:rsid w:val="0050706B"/>
    <w:rsid w:val="0051017C"/>
    <w:rsid w:val="005103EB"/>
    <w:rsid w:val="0051058C"/>
    <w:rsid w:val="00510B38"/>
    <w:rsid w:val="00510B41"/>
    <w:rsid w:val="00510B50"/>
    <w:rsid w:val="00511FD2"/>
    <w:rsid w:val="005121B5"/>
    <w:rsid w:val="00512881"/>
    <w:rsid w:val="00512F52"/>
    <w:rsid w:val="005135C0"/>
    <w:rsid w:val="00513742"/>
    <w:rsid w:val="0051381A"/>
    <w:rsid w:val="00513900"/>
    <w:rsid w:val="00515569"/>
    <w:rsid w:val="00515917"/>
    <w:rsid w:val="00516080"/>
    <w:rsid w:val="0051659F"/>
    <w:rsid w:val="005175BA"/>
    <w:rsid w:val="0051772F"/>
    <w:rsid w:val="00517746"/>
    <w:rsid w:val="005207CA"/>
    <w:rsid w:val="0052167C"/>
    <w:rsid w:val="00522F7F"/>
    <w:rsid w:val="00523216"/>
    <w:rsid w:val="00523726"/>
    <w:rsid w:val="00523B22"/>
    <w:rsid w:val="00523E6A"/>
    <w:rsid w:val="00524531"/>
    <w:rsid w:val="005247E5"/>
    <w:rsid w:val="00524EA4"/>
    <w:rsid w:val="00524EF0"/>
    <w:rsid w:val="00525278"/>
    <w:rsid w:val="00525689"/>
    <w:rsid w:val="005259E7"/>
    <w:rsid w:val="00526115"/>
    <w:rsid w:val="00526D5F"/>
    <w:rsid w:val="00527671"/>
    <w:rsid w:val="00527981"/>
    <w:rsid w:val="00527A55"/>
    <w:rsid w:val="0053070B"/>
    <w:rsid w:val="005307FC"/>
    <w:rsid w:val="00530AEF"/>
    <w:rsid w:val="0053100B"/>
    <w:rsid w:val="0053122E"/>
    <w:rsid w:val="00531538"/>
    <w:rsid w:val="00532650"/>
    <w:rsid w:val="005327A9"/>
    <w:rsid w:val="00532A0B"/>
    <w:rsid w:val="00532BA5"/>
    <w:rsid w:val="0053328D"/>
    <w:rsid w:val="005332B8"/>
    <w:rsid w:val="00533615"/>
    <w:rsid w:val="00533A37"/>
    <w:rsid w:val="00534161"/>
    <w:rsid w:val="00534C3C"/>
    <w:rsid w:val="00535695"/>
    <w:rsid w:val="00535AA4"/>
    <w:rsid w:val="00535D61"/>
    <w:rsid w:val="0053675A"/>
    <w:rsid w:val="005367DE"/>
    <w:rsid w:val="00536B8E"/>
    <w:rsid w:val="005408FC"/>
    <w:rsid w:val="00540C77"/>
    <w:rsid w:val="00541A69"/>
    <w:rsid w:val="00541D31"/>
    <w:rsid w:val="00541DF6"/>
    <w:rsid w:val="00542560"/>
    <w:rsid w:val="00543332"/>
    <w:rsid w:val="00543476"/>
    <w:rsid w:val="00543C34"/>
    <w:rsid w:val="00543DBD"/>
    <w:rsid w:val="00543F2D"/>
    <w:rsid w:val="00544781"/>
    <w:rsid w:val="00544A88"/>
    <w:rsid w:val="0054671E"/>
    <w:rsid w:val="00546999"/>
    <w:rsid w:val="00546CEE"/>
    <w:rsid w:val="005475A5"/>
    <w:rsid w:val="005476C3"/>
    <w:rsid w:val="0054789C"/>
    <w:rsid w:val="00550208"/>
    <w:rsid w:val="005508D5"/>
    <w:rsid w:val="00550C22"/>
    <w:rsid w:val="00550EC9"/>
    <w:rsid w:val="00550F55"/>
    <w:rsid w:val="00551603"/>
    <w:rsid w:val="00552121"/>
    <w:rsid w:val="005522FF"/>
    <w:rsid w:val="005533F3"/>
    <w:rsid w:val="00554600"/>
    <w:rsid w:val="00555154"/>
    <w:rsid w:val="00555372"/>
    <w:rsid w:val="005559F3"/>
    <w:rsid w:val="00556C65"/>
    <w:rsid w:val="005570EF"/>
    <w:rsid w:val="005574A7"/>
    <w:rsid w:val="00557F27"/>
    <w:rsid w:val="00557F38"/>
    <w:rsid w:val="00557FFE"/>
    <w:rsid w:val="0056040F"/>
    <w:rsid w:val="00560770"/>
    <w:rsid w:val="005609C0"/>
    <w:rsid w:val="00560D63"/>
    <w:rsid w:val="00560E43"/>
    <w:rsid w:val="00561138"/>
    <w:rsid w:val="00561397"/>
    <w:rsid w:val="0056175F"/>
    <w:rsid w:val="005617E6"/>
    <w:rsid w:val="00562D70"/>
    <w:rsid w:val="005634E1"/>
    <w:rsid w:val="00563890"/>
    <w:rsid w:val="005651C1"/>
    <w:rsid w:val="00565394"/>
    <w:rsid w:val="00566029"/>
    <w:rsid w:val="005660EF"/>
    <w:rsid w:val="0056621F"/>
    <w:rsid w:val="00567CE2"/>
    <w:rsid w:val="00570470"/>
    <w:rsid w:val="00570982"/>
    <w:rsid w:val="005711E8"/>
    <w:rsid w:val="0057145D"/>
    <w:rsid w:val="0057271C"/>
    <w:rsid w:val="005732EF"/>
    <w:rsid w:val="00573981"/>
    <w:rsid w:val="00573EBB"/>
    <w:rsid w:val="0057404D"/>
    <w:rsid w:val="0057553C"/>
    <w:rsid w:val="00575827"/>
    <w:rsid w:val="00575CFA"/>
    <w:rsid w:val="00575E6F"/>
    <w:rsid w:val="0057621B"/>
    <w:rsid w:val="00576A6C"/>
    <w:rsid w:val="00576EDA"/>
    <w:rsid w:val="005779B7"/>
    <w:rsid w:val="0058030E"/>
    <w:rsid w:val="00580B35"/>
    <w:rsid w:val="00580FDF"/>
    <w:rsid w:val="005822D7"/>
    <w:rsid w:val="0058272E"/>
    <w:rsid w:val="00582832"/>
    <w:rsid w:val="005833AF"/>
    <w:rsid w:val="00583768"/>
    <w:rsid w:val="00583FD2"/>
    <w:rsid w:val="0058437C"/>
    <w:rsid w:val="00584BE8"/>
    <w:rsid w:val="00584C0D"/>
    <w:rsid w:val="00584FE7"/>
    <w:rsid w:val="0058576E"/>
    <w:rsid w:val="005859AC"/>
    <w:rsid w:val="00585D08"/>
    <w:rsid w:val="00585E24"/>
    <w:rsid w:val="00586DD2"/>
    <w:rsid w:val="005870CA"/>
    <w:rsid w:val="005875E2"/>
    <w:rsid w:val="00590152"/>
    <w:rsid w:val="005916C7"/>
    <w:rsid w:val="00591F9B"/>
    <w:rsid w:val="005920D5"/>
    <w:rsid w:val="00592542"/>
    <w:rsid w:val="005925FE"/>
    <w:rsid w:val="00592801"/>
    <w:rsid w:val="00592AB9"/>
    <w:rsid w:val="00592B1E"/>
    <w:rsid w:val="005932E7"/>
    <w:rsid w:val="00593329"/>
    <w:rsid w:val="005933C2"/>
    <w:rsid w:val="0059362A"/>
    <w:rsid w:val="005937EC"/>
    <w:rsid w:val="00595441"/>
    <w:rsid w:val="005954B6"/>
    <w:rsid w:val="00597226"/>
    <w:rsid w:val="005A1285"/>
    <w:rsid w:val="005A22F3"/>
    <w:rsid w:val="005A271A"/>
    <w:rsid w:val="005A2A0E"/>
    <w:rsid w:val="005A2D74"/>
    <w:rsid w:val="005A2EDF"/>
    <w:rsid w:val="005A31DE"/>
    <w:rsid w:val="005A3613"/>
    <w:rsid w:val="005A36CE"/>
    <w:rsid w:val="005A3777"/>
    <w:rsid w:val="005A3CB7"/>
    <w:rsid w:val="005A420A"/>
    <w:rsid w:val="005A4B2D"/>
    <w:rsid w:val="005A5062"/>
    <w:rsid w:val="005A61D3"/>
    <w:rsid w:val="005A6E9F"/>
    <w:rsid w:val="005A702F"/>
    <w:rsid w:val="005A70C5"/>
    <w:rsid w:val="005A77A5"/>
    <w:rsid w:val="005A7AC7"/>
    <w:rsid w:val="005B047B"/>
    <w:rsid w:val="005B0EBA"/>
    <w:rsid w:val="005B2D5D"/>
    <w:rsid w:val="005B41F0"/>
    <w:rsid w:val="005B451A"/>
    <w:rsid w:val="005B4CEC"/>
    <w:rsid w:val="005B50E9"/>
    <w:rsid w:val="005B59DE"/>
    <w:rsid w:val="005B7535"/>
    <w:rsid w:val="005B781B"/>
    <w:rsid w:val="005C014E"/>
    <w:rsid w:val="005C0DFE"/>
    <w:rsid w:val="005C17C5"/>
    <w:rsid w:val="005C1A53"/>
    <w:rsid w:val="005C1D69"/>
    <w:rsid w:val="005C27A5"/>
    <w:rsid w:val="005C2F28"/>
    <w:rsid w:val="005C364A"/>
    <w:rsid w:val="005C3E0C"/>
    <w:rsid w:val="005C3F11"/>
    <w:rsid w:val="005C4191"/>
    <w:rsid w:val="005C4BDD"/>
    <w:rsid w:val="005C4F6A"/>
    <w:rsid w:val="005C53FA"/>
    <w:rsid w:val="005C549F"/>
    <w:rsid w:val="005C6111"/>
    <w:rsid w:val="005C6211"/>
    <w:rsid w:val="005C6404"/>
    <w:rsid w:val="005C6424"/>
    <w:rsid w:val="005C645C"/>
    <w:rsid w:val="005C6BF7"/>
    <w:rsid w:val="005C716E"/>
    <w:rsid w:val="005C7841"/>
    <w:rsid w:val="005D075B"/>
    <w:rsid w:val="005D0D4A"/>
    <w:rsid w:val="005D10E7"/>
    <w:rsid w:val="005D11BF"/>
    <w:rsid w:val="005D16AC"/>
    <w:rsid w:val="005D2A2D"/>
    <w:rsid w:val="005D2D81"/>
    <w:rsid w:val="005D34A3"/>
    <w:rsid w:val="005D3974"/>
    <w:rsid w:val="005D3AC8"/>
    <w:rsid w:val="005D3C0B"/>
    <w:rsid w:val="005D3D88"/>
    <w:rsid w:val="005D3DE7"/>
    <w:rsid w:val="005D4DB0"/>
    <w:rsid w:val="005D4F1D"/>
    <w:rsid w:val="005D556E"/>
    <w:rsid w:val="005D58B8"/>
    <w:rsid w:val="005D59EF"/>
    <w:rsid w:val="005D5B62"/>
    <w:rsid w:val="005D5E12"/>
    <w:rsid w:val="005D672B"/>
    <w:rsid w:val="005D6780"/>
    <w:rsid w:val="005D6AF2"/>
    <w:rsid w:val="005D6B4C"/>
    <w:rsid w:val="005D6C67"/>
    <w:rsid w:val="005D6CB4"/>
    <w:rsid w:val="005D737E"/>
    <w:rsid w:val="005D7868"/>
    <w:rsid w:val="005E01DC"/>
    <w:rsid w:val="005E0333"/>
    <w:rsid w:val="005E136A"/>
    <w:rsid w:val="005E16A6"/>
    <w:rsid w:val="005E1B7C"/>
    <w:rsid w:val="005E1EAD"/>
    <w:rsid w:val="005E1F98"/>
    <w:rsid w:val="005E2277"/>
    <w:rsid w:val="005E2559"/>
    <w:rsid w:val="005E2782"/>
    <w:rsid w:val="005E2D18"/>
    <w:rsid w:val="005E3192"/>
    <w:rsid w:val="005E33D6"/>
    <w:rsid w:val="005E3F51"/>
    <w:rsid w:val="005E40D6"/>
    <w:rsid w:val="005E4314"/>
    <w:rsid w:val="005E4DE2"/>
    <w:rsid w:val="005E4E40"/>
    <w:rsid w:val="005E5108"/>
    <w:rsid w:val="005E55F6"/>
    <w:rsid w:val="005E56B8"/>
    <w:rsid w:val="005E5708"/>
    <w:rsid w:val="005E755A"/>
    <w:rsid w:val="005E787F"/>
    <w:rsid w:val="005E789E"/>
    <w:rsid w:val="005E7C96"/>
    <w:rsid w:val="005F1048"/>
    <w:rsid w:val="005F104A"/>
    <w:rsid w:val="005F125A"/>
    <w:rsid w:val="005F1341"/>
    <w:rsid w:val="005F151C"/>
    <w:rsid w:val="005F30FC"/>
    <w:rsid w:val="005F399C"/>
    <w:rsid w:val="005F3C9E"/>
    <w:rsid w:val="005F41FE"/>
    <w:rsid w:val="005F42C1"/>
    <w:rsid w:val="005F4D8D"/>
    <w:rsid w:val="005F5784"/>
    <w:rsid w:val="005F59F0"/>
    <w:rsid w:val="005F6257"/>
    <w:rsid w:val="005F64F2"/>
    <w:rsid w:val="005F6B8F"/>
    <w:rsid w:val="005F7AA0"/>
    <w:rsid w:val="005F7DCE"/>
    <w:rsid w:val="006004B7"/>
    <w:rsid w:val="0060074F"/>
    <w:rsid w:val="0060098F"/>
    <w:rsid w:val="006009C0"/>
    <w:rsid w:val="00600D13"/>
    <w:rsid w:val="006010E1"/>
    <w:rsid w:val="006011DB"/>
    <w:rsid w:val="00601649"/>
    <w:rsid w:val="00601999"/>
    <w:rsid w:val="00601A40"/>
    <w:rsid w:val="00602164"/>
    <w:rsid w:val="00602492"/>
    <w:rsid w:val="00602762"/>
    <w:rsid w:val="00603456"/>
    <w:rsid w:val="0060348E"/>
    <w:rsid w:val="00603638"/>
    <w:rsid w:val="006039B4"/>
    <w:rsid w:val="00603BB5"/>
    <w:rsid w:val="00603FA9"/>
    <w:rsid w:val="00604E32"/>
    <w:rsid w:val="00604EF8"/>
    <w:rsid w:val="0060560D"/>
    <w:rsid w:val="00605ABB"/>
    <w:rsid w:val="006108E4"/>
    <w:rsid w:val="0061162D"/>
    <w:rsid w:val="00611AA7"/>
    <w:rsid w:val="00611AFC"/>
    <w:rsid w:val="00612266"/>
    <w:rsid w:val="0061248B"/>
    <w:rsid w:val="006128C0"/>
    <w:rsid w:val="00612CAA"/>
    <w:rsid w:val="00612FF5"/>
    <w:rsid w:val="0061304D"/>
    <w:rsid w:val="00613CF6"/>
    <w:rsid w:val="00613D20"/>
    <w:rsid w:val="0061417B"/>
    <w:rsid w:val="0061441E"/>
    <w:rsid w:val="0061472C"/>
    <w:rsid w:val="00615804"/>
    <w:rsid w:val="00615E69"/>
    <w:rsid w:val="00616302"/>
    <w:rsid w:val="00616CC3"/>
    <w:rsid w:val="006178C0"/>
    <w:rsid w:val="00617A11"/>
    <w:rsid w:val="00617E8F"/>
    <w:rsid w:val="00617E9A"/>
    <w:rsid w:val="006207FF"/>
    <w:rsid w:val="00620DB8"/>
    <w:rsid w:val="00621C5A"/>
    <w:rsid w:val="0062242B"/>
    <w:rsid w:val="00622E78"/>
    <w:rsid w:val="00623009"/>
    <w:rsid w:val="0062342E"/>
    <w:rsid w:val="00623D74"/>
    <w:rsid w:val="0062418D"/>
    <w:rsid w:val="00624DED"/>
    <w:rsid w:val="00624EFE"/>
    <w:rsid w:val="00625969"/>
    <w:rsid w:val="006267A9"/>
    <w:rsid w:val="00626C73"/>
    <w:rsid w:val="00627A94"/>
    <w:rsid w:val="00627B2D"/>
    <w:rsid w:val="00630FBA"/>
    <w:rsid w:val="00631A00"/>
    <w:rsid w:val="00632FFA"/>
    <w:rsid w:val="00633A06"/>
    <w:rsid w:val="00633E19"/>
    <w:rsid w:val="006341A4"/>
    <w:rsid w:val="00634330"/>
    <w:rsid w:val="006345E8"/>
    <w:rsid w:val="00635267"/>
    <w:rsid w:val="0063573B"/>
    <w:rsid w:val="006359DE"/>
    <w:rsid w:val="0063669B"/>
    <w:rsid w:val="00636734"/>
    <w:rsid w:val="00636913"/>
    <w:rsid w:val="0063748B"/>
    <w:rsid w:val="00640086"/>
    <w:rsid w:val="006401CF"/>
    <w:rsid w:val="006401D7"/>
    <w:rsid w:val="006402BB"/>
    <w:rsid w:val="00640355"/>
    <w:rsid w:val="00642E79"/>
    <w:rsid w:val="00643610"/>
    <w:rsid w:val="00643989"/>
    <w:rsid w:val="00643D5F"/>
    <w:rsid w:val="00644171"/>
    <w:rsid w:val="00644C0A"/>
    <w:rsid w:val="00646B24"/>
    <w:rsid w:val="006476F5"/>
    <w:rsid w:val="00650245"/>
    <w:rsid w:val="00650640"/>
    <w:rsid w:val="0065065A"/>
    <w:rsid w:val="006507A8"/>
    <w:rsid w:val="00650A52"/>
    <w:rsid w:val="00650C4D"/>
    <w:rsid w:val="00650EA5"/>
    <w:rsid w:val="00650FC5"/>
    <w:rsid w:val="00651290"/>
    <w:rsid w:val="00651D11"/>
    <w:rsid w:val="00651EDC"/>
    <w:rsid w:val="00652692"/>
    <w:rsid w:val="00652C38"/>
    <w:rsid w:val="006530EA"/>
    <w:rsid w:val="006531B7"/>
    <w:rsid w:val="006535D6"/>
    <w:rsid w:val="00653914"/>
    <w:rsid w:val="00653B9C"/>
    <w:rsid w:val="00654711"/>
    <w:rsid w:val="00654E3C"/>
    <w:rsid w:val="00655716"/>
    <w:rsid w:val="00655B1A"/>
    <w:rsid w:val="00655CA8"/>
    <w:rsid w:val="0065642C"/>
    <w:rsid w:val="00657EAE"/>
    <w:rsid w:val="00660A79"/>
    <w:rsid w:val="00660F0C"/>
    <w:rsid w:val="006610E9"/>
    <w:rsid w:val="006619C4"/>
    <w:rsid w:val="006619FB"/>
    <w:rsid w:val="00661AED"/>
    <w:rsid w:val="00661C5D"/>
    <w:rsid w:val="00661E24"/>
    <w:rsid w:val="00662672"/>
    <w:rsid w:val="00662735"/>
    <w:rsid w:val="00662D80"/>
    <w:rsid w:val="006634FF"/>
    <w:rsid w:val="00663697"/>
    <w:rsid w:val="00663A0D"/>
    <w:rsid w:val="0066413C"/>
    <w:rsid w:val="0066416B"/>
    <w:rsid w:val="00664313"/>
    <w:rsid w:val="00664C3D"/>
    <w:rsid w:val="00664C5B"/>
    <w:rsid w:val="00665216"/>
    <w:rsid w:val="0066593A"/>
    <w:rsid w:val="00665BA8"/>
    <w:rsid w:val="00665E88"/>
    <w:rsid w:val="00666A54"/>
    <w:rsid w:val="0066700C"/>
    <w:rsid w:val="00667290"/>
    <w:rsid w:val="00667D92"/>
    <w:rsid w:val="00670E57"/>
    <w:rsid w:val="006712AE"/>
    <w:rsid w:val="00671A3C"/>
    <w:rsid w:val="00671B22"/>
    <w:rsid w:val="006725B4"/>
    <w:rsid w:val="00672757"/>
    <w:rsid w:val="00673A7D"/>
    <w:rsid w:val="00674610"/>
    <w:rsid w:val="006756BC"/>
    <w:rsid w:val="006758F0"/>
    <w:rsid w:val="006767B5"/>
    <w:rsid w:val="006777AC"/>
    <w:rsid w:val="00677F36"/>
    <w:rsid w:val="0068025B"/>
    <w:rsid w:val="00680D9B"/>
    <w:rsid w:val="00680FDE"/>
    <w:rsid w:val="00681531"/>
    <w:rsid w:val="006830FF"/>
    <w:rsid w:val="006837B4"/>
    <w:rsid w:val="006838A4"/>
    <w:rsid w:val="00683B6A"/>
    <w:rsid w:val="00684D27"/>
    <w:rsid w:val="00684F2D"/>
    <w:rsid w:val="006855D6"/>
    <w:rsid w:val="00685E19"/>
    <w:rsid w:val="00687671"/>
    <w:rsid w:val="006900D2"/>
    <w:rsid w:val="00690446"/>
    <w:rsid w:val="006905E6"/>
    <w:rsid w:val="00690FB0"/>
    <w:rsid w:val="006912C2"/>
    <w:rsid w:val="00691346"/>
    <w:rsid w:val="0069174C"/>
    <w:rsid w:val="00691CD7"/>
    <w:rsid w:val="00692531"/>
    <w:rsid w:val="006929DB"/>
    <w:rsid w:val="00692A85"/>
    <w:rsid w:val="006935D4"/>
    <w:rsid w:val="00693824"/>
    <w:rsid w:val="00693B40"/>
    <w:rsid w:val="006947E7"/>
    <w:rsid w:val="0069486A"/>
    <w:rsid w:val="0069564E"/>
    <w:rsid w:val="006962B4"/>
    <w:rsid w:val="0069633F"/>
    <w:rsid w:val="00697720"/>
    <w:rsid w:val="00697DCF"/>
    <w:rsid w:val="006A0574"/>
    <w:rsid w:val="006A0761"/>
    <w:rsid w:val="006A0A09"/>
    <w:rsid w:val="006A147B"/>
    <w:rsid w:val="006A17D7"/>
    <w:rsid w:val="006A1B5C"/>
    <w:rsid w:val="006A1E90"/>
    <w:rsid w:val="006A1F91"/>
    <w:rsid w:val="006A2B41"/>
    <w:rsid w:val="006A33D9"/>
    <w:rsid w:val="006A33FA"/>
    <w:rsid w:val="006A3A58"/>
    <w:rsid w:val="006A4C49"/>
    <w:rsid w:val="006A4C94"/>
    <w:rsid w:val="006A508B"/>
    <w:rsid w:val="006A5511"/>
    <w:rsid w:val="006A60AE"/>
    <w:rsid w:val="006A62BA"/>
    <w:rsid w:val="006A68C7"/>
    <w:rsid w:val="006A7118"/>
    <w:rsid w:val="006A7229"/>
    <w:rsid w:val="006A7F10"/>
    <w:rsid w:val="006B00FD"/>
    <w:rsid w:val="006B05B1"/>
    <w:rsid w:val="006B168E"/>
    <w:rsid w:val="006B1B29"/>
    <w:rsid w:val="006B1BD7"/>
    <w:rsid w:val="006B2257"/>
    <w:rsid w:val="006B374A"/>
    <w:rsid w:val="006B37A4"/>
    <w:rsid w:val="006B3B71"/>
    <w:rsid w:val="006B4026"/>
    <w:rsid w:val="006B45F4"/>
    <w:rsid w:val="006B49D4"/>
    <w:rsid w:val="006B4D6F"/>
    <w:rsid w:val="006B5A52"/>
    <w:rsid w:val="006B62C7"/>
    <w:rsid w:val="006B65D1"/>
    <w:rsid w:val="006B6B8E"/>
    <w:rsid w:val="006B6D18"/>
    <w:rsid w:val="006B6F9B"/>
    <w:rsid w:val="006B718A"/>
    <w:rsid w:val="006B722C"/>
    <w:rsid w:val="006B7A33"/>
    <w:rsid w:val="006B7A7D"/>
    <w:rsid w:val="006B7CA2"/>
    <w:rsid w:val="006B7D80"/>
    <w:rsid w:val="006B7F00"/>
    <w:rsid w:val="006C01B7"/>
    <w:rsid w:val="006C0B5C"/>
    <w:rsid w:val="006C0E49"/>
    <w:rsid w:val="006C0EB0"/>
    <w:rsid w:val="006C165C"/>
    <w:rsid w:val="006C2244"/>
    <w:rsid w:val="006C243C"/>
    <w:rsid w:val="006C25D2"/>
    <w:rsid w:val="006C2895"/>
    <w:rsid w:val="006C2C2F"/>
    <w:rsid w:val="006C2F0A"/>
    <w:rsid w:val="006C32C6"/>
    <w:rsid w:val="006C3494"/>
    <w:rsid w:val="006C392A"/>
    <w:rsid w:val="006C39DD"/>
    <w:rsid w:val="006C3E3D"/>
    <w:rsid w:val="006C44F7"/>
    <w:rsid w:val="006C4E59"/>
    <w:rsid w:val="006C503B"/>
    <w:rsid w:val="006C5507"/>
    <w:rsid w:val="006C5AB4"/>
    <w:rsid w:val="006C6030"/>
    <w:rsid w:val="006C648D"/>
    <w:rsid w:val="006C6FDE"/>
    <w:rsid w:val="006D00E3"/>
    <w:rsid w:val="006D047C"/>
    <w:rsid w:val="006D0B16"/>
    <w:rsid w:val="006D0BF6"/>
    <w:rsid w:val="006D0CEE"/>
    <w:rsid w:val="006D174A"/>
    <w:rsid w:val="006D187D"/>
    <w:rsid w:val="006D1DCC"/>
    <w:rsid w:val="006D231E"/>
    <w:rsid w:val="006D26BC"/>
    <w:rsid w:val="006D286C"/>
    <w:rsid w:val="006D2DE2"/>
    <w:rsid w:val="006D311F"/>
    <w:rsid w:val="006D3FF9"/>
    <w:rsid w:val="006D4542"/>
    <w:rsid w:val="006D4912"/>
    <w:rsid w:val="006D4D74"/>
    <w:rsid w:val="006D52C0"/>
    <w:rsid w:val="006D61C0"/>
    <w:rsid w:val="006D620F"/>
    <w:rsid w:val="006D6370"/>
    <w:rsid w:val="006D6398"/>
    <w:rsid w:val="006D6574"/>
    <w:rsid w:val="006D6E78"/>
    <w:rsid w:val="006D73C1"/>
    <w:rsid w:val="006D73E5"/>
    <w:rsid w:val="006D784E"/>
    <w:rsid w:val="006E0003"/>
    <w:rsid w:val="006E0379"/>
    <w:rsid w:val="006E154A"/>
    <w:rsid w:val="006E1741"/>
    <w:rsid w:val="006E1927"/>
    <w:rsid w:val="006E1939"/>
    <w:rsid w:val="006E2AEC"/>
    <w:rsid w:val="006E2EA0"/>
    <w:rsid w:val="006E3F05"/>
    <w:rsid w:val="006E442D"/>
    <w:rsid w:val="006E4504"/>
    <w:rsid w:val="006E455E"/>
    <w:rsid w:val="006E4AF9"/>
    <w:rsid w:val="006E503D"/>
    <w:rsid w:val="006E63A1"/>
    <w:rsid w:val="006E664C"/>
    <w:rsid w:val="006E6C3C"/>
    <w:rsid w:val="006F1DFA"/>
    <w:rsid w:val="006F21B0"/>
    <w:rsid w:val="006F3021"/>
    <w:rsid w:val="006F34F7"/>
    <w:rsid w:val="006F49D3"/>
    <w:rsid w:val="006F4A4F"/>
    <w:rsid w:val="006F4E31"/>
    <w:rsid w:val="006F5EB8"/>
    <w:rsid w:val="006F6517"/>
    <w:rsid w:val="006F655A"/>
    <w:rsid w:val="006F68D4"/>
    <w:rsid w:val="006F6C88"/>
    <w:rsid w:val="006F709C"/>
    <w:rsid w:val="006F7D4E"/>
    <w:rsid w:val="00700AB0"/>
    <w:rsid w:val="00701C10"/>
    <w:rsid w:val="00701D03"/>
    <w:rsid w:val="00701F96"/>
    <w:rsid w:val="00702136"/>
    <w:rsid w:val="00703770"/>
    <w:rsid w:val="00703D8B"/>
    <w:rsid w:val="007044FF"/>
    <w:rsid w:val="00704AFE"/>
    <w:rsid w:val="007057C6"/>
    <w:rsid w:val="00705BAB"/>
    <w:rsid w:val="00705D48"/>
    <w:rsid w:val="007062A8"/>
    <w:rsid w:val="00706B68"/>
    <w:rsid w:val="00706E2B"/>
    <w:rsid w:val="0070766E"/>
    <w:rsid w:val="007076F7"/>
    <w:rsid w:val="00707F61"/>
    <w:rsid w:val="0071012C"/>
    <w:rsid w:val="007114A0"/>
    <w:rsid w:val="0071163C"/>
    <w:rsid w:val="00711BBD"/>
    <w:rsid w:val="00711BE8"/>
    <w:rsid w:val="00711C40"/>
    <w:rsid w:val="00711F4C"/>
    <w:rsid w:val="0071214A"/>
    <w:rsid w:val="007127C9"/>
    <w:rsid w:val="007137B9"/>
    <w:rsid w:val="00713A23"/>
    <w:rsid w:val="00713B28"/>
    <w:rsid w:val="0071447C"/>
    <w:rsid w:val="00714D34"/>
    <w:rsid w:val="00714D4B"/>
    <w:rsid w:val="007157F1"/>
    <w:rsid w:val="00715873"/>
    <w:rsid w:val="0071639C"/>
    <w:rsid w:val="007164D1"/>
    <w:rsid w:val="00716F4F"/>
    <w:rsid w:val="0071728C"/>
    <w:rsid w:val="007174E1"/>
    <w:rsid w:val="007176B0"/>
    <w:rsid w:val="00717A3A"/>
    <w:rsid w:val="00717C71"/>
    <w:rsid w:val="00717CB6"/>
    <w:rsid w:val="00720222"/>
    <w:rsid w:val="00720FFD"/>
    <w:rsid w:val="0072113B"/>
    <w:rsid w:val="0072194B"/>
    <w:rsid w:val="00721EA6"/>
    <w:rsid w:val="00722014"/>
    <w:rsid w:val="00723A36"/>
    <w:rsid w:val="00724621"/>
    <w:rsid w:val="00724A95"/>
    <w:rsid w:val="00725662"/>
    <w:rsid w:val="00725711"/>
    <w:rsid w:val="00725D00"/>
    <w:rsid w:val="007260E3"/>
    <w:rsid w:val="00726C0E"/>
    <w:rsid w:val="007270D3"/>
    <w:rsid w:val="00730985"/>
    <w:rsid w:val="00730B80"/>
    <w:rsid w:val="00731C4D"/>
    <w:rsid w:val="00733BAB"/>
    <w:rsid w:val="00734842"/>
    <w:rsid w:val="007348B7"/>
    <w:rsid w:val="007348DB"/>
    <w:rsid w:val="00734E10"/>
    <w:rsid w:val="007350B2"/>
    <w:rsid w:val="007359F9"/>
    <w:rsid w:val="00735CA0"/>
    <w:rsid w:val="00735F8B"/>
    <w:rsid w:val="00736460"/>
    <w:rsid w:val="00736ADF"/>
    <w:rsid w:val="00736C97"/>
    <w:rsid w:val="00737068"/>
    <w:rsid w:val="00737646"/>
    <w:rsid w:val="0074044E"/>
    <w:rsid w:val="00740ECE"/>
    <w:rsid w:val="00741559"/>
    <w:rsid w:val="00741BF1"/>
    <w:rsid w:val="00741E29"/>
    <w:rsid w:val="007420C6"/>
    <w:rsid w:val="007425C8"/>
    <w:rsid w:val="00742D18"/>
    <w:rsid w:val="00744520"/>
    <w:rsid w:val="00744AA2"/>
    <w:rsid w:val="00744BB0"/>
    <w:rsid w:val="00745D4D"/>
    <w:rsid w:val="00745E5D"/>
    <w:rsid w:val="00745FA7"/>
    <w:rsid w:val="00746788"/>
    <w:rsid w:val="007467AD"/>
    <w:rsid w:val="00746829"/>
    <w:rsid w:val="00747492"/>
    <w:rsid w:val="00747738"/>
    <w:rsid w:val="00747BC0"/>
    <w:rsid w:val="00747E50"/>
    <w:rsid w:val="00750909"/>
    <w:rsid w:val="00750B81"/>
    <w:rsid w:val="00751237"/>
    <w:rsid w:val="0075173A"/>
    <w:rsid w:val="00751B0E"/>
    <w:rsid w:val="00752642"/>
    <w:rsid w:val="00752A00"/>
    <w:rsid w:val="00752A0E"/>
    <w:rsid w:val="00752BFF"/>
    <w:rsid w:val="00753B1F"/>
    <w:rsid w:val="00753CA0"/>
    <w:rsid w:val="00753DA6"/>
    <w:rsid w:val="007541E1"/>
    <w:rsid w:val="00754C10"/>
    <w:rsid w:val="00754D48"/>
    <w:rsid w:val="0075544E"/>
    <w:rsid w:val="007555CA"/>
    <w:rsid w:val="00755C38"/>
    <w:rsid w:val="00756490"/>
    <w:rsid w:val="0075717E"/>
    <w:rsid w:val="0075755A"/>
    <w:rsid w:val="00757B2E"/>
    <w:rsid w:val="00757C15"/>
    <w:rsid w:val="00757E13"/>
    <w:rsid w:val="0076023C"/>
    <w:rsid w:val="00760B82"/>
    <w:rsid w:val="0076104A"/>
    <w:rsid w:val="00761539"/>
    <w:rsid w:val="007622C8"/>
    <w:rsid w:val="00762B7E"/>
    <w:rsid w:val="0076310F"/>
    <w:rsid w:val="00764463"/>
    <w:rsid w:val="00764570"/>
    <w:rsid w:val="00764659"/>
    <w:rsid w:val="007653CC"/>
    <w:rsid w:val="00765624"/>
    <w:rsid w:val="007657FB"/>
    <w:rsid w:val="00765AF4"/>
    <w:rsid w:val="00765B66"/>
    <w:rsid w:val="00765CC0"/>
    <w:rsid w:val="007661A6"/>
    <w:rsid w:val="007662B8"/>
    <w:rsid w:val="00766355"/>
    <w:rsid w:val="007668A6"/>
    <w:rsid w:val="00766E1E"/>
    <w:rsid w:val="00766EC9"/>
    <w:rsid w:val="0076760C"/>
    <w:rsid w:val="00767DC5"/>
    <w:rsid w:val="00767E0F"/>
    <w:rsid w:val="00770526"/>
    <w:rsid w:val="00770C67"/>
    <w:rsid w:val="0077121E"/>
    <w:rsid w:val="00771343"/>
    <w:rsid w:val="00771AA1"/>
    <w:rsid w:val="00771E42"/>
    <w:rsid w:val="00771EA1"/>
    <w:rsid w:val="00772BDE"/>
    <w:rsid w:val="0077336E"/>
    <w:rsid w:val="00773548"/>
    <w:rsid w:val="00773579"/>
    <w:rsid w:val="0077392D"/>
    <w:rsid w:val="007747B5"/>
    <w:rsid w:val="00774ED6"/>
    <w:rsid w:val="00775B53"/>
    <w:rsid w:val="00775C58"/>
    <w:rsid w:val="00775DED"/>
    <w:rsid w:val="0077625A"/>
    <w:rsid w:val="0077649C"/>
    <w:rsid w:val="007772CC"/>
    <w:rsid w:val="00780489"/>
    <w:rsid w:val="00780821"/>
    <w:rsid w:val="00781455"/>
    <w:rsid w:val="00781A08"/>
    <w:rsid w:val="00781A66"/>
    <w:rsid w:val="00782528"/>
    <w:rsid w:val="00782C80"/>
    <w:rsid w:val="007830C2"/>
    <w:rsid w:val="007834B3"/>
    <w:rsid w:val="00783B03"/>
    <w:rsid w:val="00784646"/>
    <w:rsid w:val="00784851"/>
    <w:rsid w:val="00784900"/>
    <w:rsid w:val="00785183"/>
    <w:rsid w:val="007852C0"/>
    <w:rsid w:val="00785AF1"/>
    <w:rsid w:val="00785DBC"/>
    <w:rsid w:val="0078692D"/>
    <w:rsid w:val="007869A2"/>
    <w:rsid w:val="00787465"/>
    <w:rsid w:val="0078791F"/>
    <w:rsid w:val="00787AD9"/>
    <w:rsid w:val="007905A2"/>
    <w:rsid w:val="00790784"/>
    <w:rsid w:val="00790CBB"/>
    <w:rsid w:val="007915B0"/>
    <w:rsid w:val="00791693"/>
    <w:rsid w:val="00791A19"/>
    <w:rsid w:val="00791AA1"/>
    <w:rsid w:val="00791F11"/>
    <w:rsid w:val="00792229"/>
    <w:rsid w:val="007929BC"/>
    <w:rsid w:val="007937CE"/>
    <w:rsid w:val="0079457E"/>
    <w:rsid w:val="00795453"/>
    <w:rsid w:val="00795A49"/>
    <w:rsid w:val="00796389"/>
    <w:rsid w:val="00796707"/>
    <w:rsid w:val="007967FC"/>
    <w:rsid w:val="00796AF7"/>
    <w:rsid w:val="0079766B"/>
    <w:rsid w:val="0079781E"/>
    <w:rsid w:val="007978B2"/>
    <w:rsid w:val="007A0090"/>
    <w:rsid w:val="007A055B"/>
    <w:rsid w:val="007A0C27"/>
    <w:rsid w:val="007A0D51"/>
    <w:rsid w:val="007A1376"/>
    <w:rsid w:val="007A1437"/>
    <w:rsid w:val="007A167F"/>
    <w:rsid w:val="007A1842"/>
    <w:rsid w:val="007A2ECE"/>
    <w:rsid w:val="007A3546"/>
    <w:rsid w:val="007A3897"/>
    <w:rsid w:val="007A3D98"/>
    <w:rsid w:val="007A3DD6"/>
    <w:rsid w:val="007A3E35"/>
    <w:rsid w:val="007A408B"/>
    <w:rsid w:val="007A4412"/>
    <w:rsid w:val="007A4837"/>
    <w:rsid w:val="007A4AEF"/>
    <w:rsid w:val="007A666C"/>
    <w:rsid w:val="007A68CE"/>
    <w:rsid w:val="007A7004"/>
    <w:rsid w:val="007B0E75"/>
    <w:rsid w:val="007B14D2"/>
    <w:rsid w:val="007B2162"/>
    <w:rsid w:val="007B25B7"/>
    <w:rsid w:val="007B3D46"/>
    <w:rsid w:val="007B4106"/>
    <w:rsid w:val="007B41EF"/>
    <w:rsid w:val="007B461D"/>
    <w:rsid w:val="007B4690"/>
    <w:rsid w:val="007B5479"/>
    <w:rsid w:val="007B54BD"/>
    <w:rsid w:val="007B5AE3"/>
    <w:rsid w:val="007B5C52"/>
    <w:rsid w:val="007B6972"/>
    <w:rsid w:val="007B6E4F"/>
    <w:rsid w:val="007B7977"/>
    <w:rsid w:val="007B7E4C"/>
    <w:rsid w:val="007B7E9D"/>
    <w:rsid w:val="007C0B79"/>
    <w:rsid w:val="007C0BE0"/>
    <w:rsid w:val="007C0ED2"/>
    <w:rsid w:val="007C1875"/>
    <w:rsid w:val="007C1CF3"/>
    <w:rsid w:val="007C29D1"/>
    <w:rsid w:val="007C442B"/>
    <w:rsid w:val="007C49EC"/>
    <w:rsid w:val="007C4A15"/>
    <w:rsid w:val="007C4AB4"/>
    <w:rsid w:val="007C528C"/>
    <w:rsid w:val="007C5FBB"/>
    <w:rsid w:val="007C675E"/>
    <w:rsid w:val="007C7F28"/>
    <w:rsid w:val="007D0120"/>
    <w:rsid w:val="007D0955"/>
    <w:rsid w:val="007D0B13"/>
    <w:rsid w:val="007D0E3C"/>
    <w:rsid w:val="007D2A53"/>
    <w:rsid w:val="007D3FD7"/>
    <w:rsid w:val="007D489F"/>
    <w:rsid w:val="007D4BF7"/>
    <w:rsid w:val="007D4C59"/>
    <w:rsid w:val="007D52A2"/>
    <w:rsid w:val="007D5540"/>
    <w:rsid w:val="007D6381"/>
    <w:rsid w:val="007D7402"/>
    <w:rsid w:val="007D74D2"/>
    <w:rsid w:val="007D77FC"/>
    <w:rsid w:val="007E011E"/>
    <w:rsid w:val="007E0621"/>
    <w:rsid w:val="007E09A9"/>
    <w:rsid w:val="007E0D0D"/>
    <w:rsid w:val="007E151F"/>
    <w:rsid w:val="007E20A4"/>
    <w:rsid w:val="007E3883"/>
    <w:rsid w:val="007E3A0E"/>
    <w:rsid w:val="007E3A21"/>
    <w:rsid w:val="007E40D0"/>
    <w:rsid w:val="007E4E08"/>
    <w:rsid w:val="007E55A1"/>
    <w:rsid w:val="007E5CBC"/>
    <w:rsid w:val="007E629B"/>
    <w:rsid w:val="007E62AC"/>
    <w:rsid w:val="007E62E2"/>
    <w:rsid w:val="007E6A07"/>
    <w:rsid w:val="007E6A22"/>
    <w:rsid w:val="007E6D2B"/>
    <w:rsid w:val="007E7E37"/>
    <w:rsid w:val="007F05F4"/>
    <w:rsid w:val="007F063A"/>
    <w:rsid w:val="007F09DF"/>
    <w:rsid w:val="007F0F66"/>
    <w:rsid w:val="007F1388"/>
    <w:rsid w:val="007F2520"/>
    <w:rsid w:val="007F2CD0"/>
    <w:rsid w:val="007F3DED"/>
    <w:rsid w:val="007F3F2D"/>
    <w:rsid w:val="007F453D"/>
    <w:rsid w:val="007F45FB"/>
    <w:rsid w:val="007F4BC3"/>
    <w:rsid w:val="007F5593"/>
    <w:rsid w:val="007F5B5E"/>
    <w:rsid w:val="007F5D9D"/>
    <w:rsid w:val="007F5DE8"/>
    <w:rsid w:val="007F68C7"/>
    <w:rsid w:val="007F77E2"/>
    <w:rsid w:val="007F78EF"/>
    <w:rsid w:val="00800763"/>
    <w:rsid w:val="00800E19"/>
    <w:rsid w:val="00801272"/>
    <w:rsid w:val="008012BF"/>
    <w:rsid w:val="008023FE"/>
    <w:rsid w:val="00802786"/>
    <w:rsid w:val="00802DE3"/>
    <w:rsid w:val="0080315B"/>
    <w:rsid w:val="008036C4"/>
    <w:rsid w:val="00803968"/>
    <w:rsid w:val="0080398B"/>
    <w:rsid w:val="00806873"/>
    <w:rsid w:val="00806D51"/>
    <w:rsid w:val="00806D8E"/>
    <w:rsid w:val="00806E96"/>
    <w:rsid w:val="00807726"/>
    <w:rsid w:val="00807E78"/>
    <w:rsid w:val="00807FCE"/>
    <w:rsid w:val="00810FC3"/>
    <w:rsid w:val="00811166"/>
    <w:rsid w:val="008115B2"/>
    <w:rsid w:val="00812EFC"/>
    <w:rsid w:val="00813B74"/>
    <w:rsid w:val="008146F3"/>
    <w:rsid w:val="00814EE8"/>
    <w:rsid w:val="00814F47"/>
    <w:rsid w:val="00815600"/>
    <w:rsid w:val="00815852"/>
    <w:rsid w:val="0081590F"/>
    <w:rsid w:val="008159B1"/>
    <w:rsid w:val="008169FF"/>
    <w:rsid w:val="00816B73"/>
    <w:rsid w:val="00817605"/>
    <w:rsid w:val="00817659"/>
    <w:rsid w:val="008209DD"/>
    <w:rsid w:val="00821795"/>
    <w:rsid w:val="00821A8E"/>
    <w:rsid w:val="00822053"/>
    <w:rsid w:val="008227C4"/>
    <w:rsid w:val="00823154"/>
    <w:rsid w:val="00823B43"/>
    <w:rsid w:val="00824388"/>
    <w:rsid w:val="0082469C"/>
    <w:rsid w:val="008254EB"/>
    <w:rsid w:val="00825E7E"/>
    <w:rsid w:val="008261D5"/>
    <w:rsid w:val="00826D59"/>
    <w:rsid w:val="00826F93"/>
    <w:rsid w:val="0083041C"/>
    <w:rsid w:val="0083066D"/>
    <w:rsid w:val="008308C4"/>
    <w:rsid w:val="00830AE2"/>
    <w:rsid w:val="00830AE8"/>
    <w:rsid w:val="00830D8F"/>
    <w:rsid w:val="00830DA0"/>
    <w:rsid w:val="008312C5"/>
    <w:rsid w:val="008314FF"/>
    <w:rsid w:val="00831789"/>
    <w:rsid w:val="00831908"/>
    <w:rsid w:val="00831C15"/>
    <w:rsid w:val="00831F64"/>
    <w:rsid w:val="00832289"/>
    <w:rsid w:val="008322FD"/>
    <w:rsid w:val="00833AEB"/>
    <w:rsid w:val="00833D4A"/>
    <w:rsid w:val="00834532"/>
    <w:rsid w:val="0083492F"/>
    <w:rsid w:val="00834AED"/>
    <w:rsid w:val="00834EE1"/>
    <w:rsid w:val="008354FC"/>
    <w:rsid w:val="008357FC"/>
    <w:rsid w:val="00836001"/>
    <w:rsid w:val="00836FD3"/>
    <w:rsid w:val="0083702C"/>
    <w:rsid w:val="00837B47"/>
    <w:rsid w:val="00837B59"/>
    <w:rsid w:val="00837D83"/>
    <w:rsid w:val="00837F41"/>
    <w:rsid w:val="00840196"/>
    <w:rsid w:val="00840215"/>
    <w:rsid w:val="00840598"/>
    <w:rsid w:val="008406F7"/>
    <w:rsid w:val="0084179E"/>
    <w:rsid w:val="008426A1"/>
    <w:rsid w:val="008427A2"/>
    <w:rsid w:val="00842B89"/>
    <w:rsid w:val="00843BB1"/>
    <w:rsid w:val="00843E55"/>
    <w:rsid w:val="00844C27"/>
    <w:rsid w:val="00844E49"/>
    <w:rsid w:val="0084538A"/>
    <w:rsid w:val="00846E1A"/>
    <w:rsid w:val="008476B8"/>
    <w:rsid w:val="008477F4"/>
    <w:rsid w:val="00847898"/>
    <w:rsid w:val="008509C0"/>
    <w:rsid w:val="00850BF8"/>
    <w:rsid w:val="00851624"/>
    <w:rsid w:val="00851D65"/>
    <w:rsid w:val="00851FC7"/>
    <w:rsid w:val="008523E3"/>
    <w:rsid w:val="008525F2"/>
    <w:rsid w:val="00852825"/>
    <w:rsid w:val="00852FA4"/>
    <w:rsid w:val="0085369D"/>
    <w:rsid w:val="008539CF"/>
    <w:rsid w:val="00853A04"/>
    <w:rsid w:val="00853D04"/>
    <w:rsid w:val="00853FB7"/>
    <w:rsid w:val="00854045"/>
    <w:rsid w:val="00854405"/>
    <w:rsid w:val="008544BA"/>
    <w:rsid w:val="00854B81"/>
    <w:rsid w:val="00855457"/>
    <w:rsid w:val="008564AE"/>
    <w:rsid w:val="0085675B"/>
    <w:rsid w:val="00856997"/>
    <w:rsid w:val="00856D58"/>
    <w:rsid w:val="00860510"/>
    <w:rsid w:val="00860D9F"/>
    <w:rsid w:val="00861A5F"/>
    <w:rsid w:val="00861B03"/>
    <w:rsid w:val="0086209A"/>
    <w:rsid w:val="0086246F"/>
    <w:rsid w:val="0086274C"/>
    <w:rsid w:val="00862C47"/>
    <w:rsid w:val="00862D6E"/>
    <w:rsid w:val="00862FA1"/>
    <w:rsid w:val="008639E4"/>
    <w:rsid w:val="00863BBB"/>
    <w:rsid w:val="00864042"/>
    <w:rsid w:val="0086420A"/>
    <w:rsid w:val="00864622"/>
    <w:rsid w:val="00864DAC"/>
    <w:rsid w:val="00864E77"/>
    <w:rsid w:val="00865254"/>
    <w:rsid w:val="00865DC5"/>
    <w:rsid w:val="00866A6C"/>
    <w:rsid w:val="00866AD7"/>
    <w:rsid w:val="00866E07"/>
    <w:rsid w:val="00866E0D"/>
    <w:rsid w:val="00867106"/>
    <w:rsid w:val="008679DA"/>
    <w:rsid w:val="00867E45"/>
    <w:rsid w:val="00867FC0"/>
    <w:rsid w:val="008702D6"/>
    <w:rsid w:val="008706A2"/>
    <w:rsid w:val="00870B57"/>
    <w:rsid w:val="008710C8"/>
    <w:rsid w:val="00871463"/>
    <w:rsid w:val="00871A13"/>
    <w:rsid w:val="00872257"/>
    <w:rsid w:val="008724E9"/>
    <w:rsid w:val="008729F1"/>
    <w:rsid w:val="00872AB8"/>
    <w:rsid w:val="00873618"/>
    <w:rsid w:val="008739F2"/>
    <w:rsid w:val="00873D28"/>
    <w:rsid w:val="00873FB8"/>
    <w:rsid w:val="00874520"/>
    <w:rsid w:val="00874D52"/>
    <w:rsid w:val="008758FA"/>
    <w:rsid w:val="00875B8F"/>
    <w:rsid w:val="00875D18"/>
    <w:rsid w:val="008765C7"/>
    <w:rsid w:val="008770AC"/>
    <w:rsid w:val="00877475"/>
    <w:rsid w:val="00877C65"/>
    <w:rsid w:val="0088046C"/>
    <w:rsid w:val="008816D0"/>
    <w:rsid w:val="00881870"/>
    <w:rsid w:val="00881899"/>
    <w:rsid w:val="00881E08"/>
    <w:rsid w:val="00881EA7"/>
    <w:rsid w:val="00882470"/>
    <w:rsid w:val="00882850"/>
    <w:rsid w:val="00882AF4"/>
    <w:rsid w:val="00882D06"/>
    <w:rsid w:val="00883199"/>
    <w:rsid w:val="00883707"/>
    <w:rsid w:val="0088376F"/>
    <w:rsid w:val="008839E3"/>
    <w:rsid w:val="00883D84"/>
    <w:rsid w:val="00885400"/>
    <w:rsid w:val="00886C53"/>
    <w:rsid w:val="00887AA6"/>
    <w:rsid w:val="00887AAC"/>
    <w:rsid w:val="0089055D"/>
    <w:rsid w:val="0089067C"/>
    <w:rsid w:val="00891473"/>
    <w:rsid w:val="00891DB6"/>
    <w:rsid w:val="00892636"/>
    <w:rsid w:val="008947CD"/>
    <w:rsid w:val="008948DA"/>
    <w:rsid w:val="00894A0D"/>
    <w:rsid w:val="008950B6"/>
    <w:rsid w:val="0089519B"/>
    <w:rsid w:val="00895279"/>
    <w:rsid w:val="0089534B"/>
    <w:rsid w:val="00895554"/>
    <w:rsid w:val="00895ADD"/>
    <w:rsid w:val="00896021"/>
    <w:rsid w:val="00896243"/>
    <w:rsid w:val="00897125"/>
    <w:rsid w:val="00897156"/>
    <w:rsid w:val="0089722F"/>
    <w:rsid w:val="008978F1"/>
    <w:rsid w:val="008A177B"/>
    <w:rsid w:val="008A1A2B"/>
    <w:rsid w:val="008A1A5B"/>
    <w:rsid w:val="008A1CA5"/>
    <w:rsid w:val="008A377D"/>
    <w:rsid w:val="008A38F3"/>
    <w:rsid w:val="008A419B"/>
    <w:rsid w:val="008A434C"/>
    <w:rsid w:val="008A4EE4"/>
    <w:rsid w:val="008A520F"/>
    <w:rsid w:val="008A521A"/>
    <w:rsid w:val="008A57D2"/>
    <w:rsid w:val="008A61FD"/>
    <w:rsid w:val="008A77F8"/>
    <w:rsid w:val="008B0406"/>
    <w:rsid w:val="008B0518"/>
    <w:rsid w:val="008B0E33"/>
    <w:rsid w:val="008B0F0F"/>
    <w:rsid w:val="008B11D1"/>
    <w:rsid w:val="008B1E02"/>
    <w:rsid w:val="008B1E31"/>
    <w:rsid w:val="008B2F5F"/>
    <w:rsid w:val="008B331E"/>
    <w:rsid w:val="008B384E"/>
    <w:rsid w:val="008B3F42"/>
    <w:rsid w:val="008B3FAA"/>
    <w:rsid w:val="008B41DC"/>
    <w:rsid w:val="008B4C3E"/>
    <w:rsid w:val="008B4D0A"/>
    <w:rsid w:val="008B4EEB"/>
    <w:rsid w:val="008B503C"/>
    <w:rsid w:val="008B5375"/>
    <w:rsid w:val="008B6BBA"/>
    <w:rsid w:val="008C07E8"/>
    <w:rsid w:val="008C1A77"/>
    <w:rsid w:val="008C1B42"/>
    <w:rsid w:val="008C226D"/>
    <w:rsid w:val="008C2483"/>
    <w:rsid w:val="008C2E0E"/>
    <w:rsid w:val="008C3954"/>
    <w:rsid w:val="008C48E4"/>
    <w:rsid w:val="008C4C51"/>
    <w:rsid w:val="008C4C8E"/>
    <w:rsid w:val="008C5208"/>
    <w:rsid w:val="008C55F7"/>
    <w:rsid w:val="008C56E5"/>
    <w:rsid w:val="008C59E2"/>
    <w:rsid w:val="008C5C46"/>
    <w:rsid w:val="008C609E"/>
    <w:rsid w:val="008C66AB"/>
    <w:rsid w:val="008C6868"/>
    <w:rsid w:val="008C6A0E"/>
    <w:rsid w:val="008C6BA2"/>
    <w:rsid w:val="008C6BD4"/>
    <w:rsid w:val="008C6C6D"/>
    <w:rsid w:val="008C70F7"/>
    <w:rsid w:val="008C7622"/>
    <w:rsid w:val="008D04BF"/>
    <w:rsid w:val="008D0794"/>
    <w:rsid w:val="008D0E3B"/>
    <w:rsid w:val="008D101C"/>
    <w:rsid w:val="008D271F"/>
    <w:rsid w:val="008D2A32"/>
    <w:rsid w:val="008D419F"/>
    <w:rsid w:val="008D46F4"/>
    <w:rsid w:val="008D4844"/>
    <w:rsid w:val="008D4C98"/>
    <w:rsid w:val="008D4D79"/>
    <w:rsid w:val="008D516A"/>
    <w:rsid w:val="008D541C"/>
    <w:rsid w:val="008D54B0"/>
    <w:rsid w:val="008D567A"/>
    <w:rsid w:val="008D61B8"/>
    <w:rsid w:val="008D635B"/>
    <w:rsid w:val="008D6671"/>
    <w:rsid w:val="008D66AE"/>
    <w:rsid w:val="008D78B8"/>
    <w:rsid w:val="008D7986"/>
    <w:rsid w:val="008D7A2B"/>
    <w:rsid w:val="008D7AC5"/>
    <w:rsid w:val="008D7E82"/>
    <w:rsid w:val="008E08B4"/>
    <w:rsid w:val="008E09B2"/>
    <w:rsid w:val="008E0D23"/>
    <w:rsid w:val="008E0E84"/>
    <w:rsid w:val="008E151A"/>
    <w:rsid w:val="008E1C0B"/>
    <w:rsid w:val="008E2030"/>
    <w:rsid w:val="008E2338"/>
    <w:rsid w:val="008E2772"/>
    <w:rsid w:val="008E2D09"/>
    <w:rsid w:val="008E2D96"/>
    <w:rsid w:val="008E33E4"/>
    <w:rsid w:val="008E477D"/>
    <w:rsid w:val="008E5B56"/>
    <w:rsid w:val="008E60B3"/>
    <w:rsid w:val="008E70D5"/>
    <w:rsid w:val="008E7664"/>
    <w:rsid w:val="008F052B"/>
    <w:rsid w:val="008F055A"/>
    <w:rsid w:val="008F0A9D"/>
    <w:rsid w:val="008F16D7"/>
    <w:rsid w:val="008F19BC"/>
    <w:rsid w:val="008F1E3F"/>
    <w:rsid w:val="008F206E"/>
    <w:rsid w:val="008F27DF"/>
    <w:rsid w:val="008F31C0"/>
    <w:rsid w:val="008F35C0"/>
    <w:rsid w:val="008F3712"/>
    <w:rsid w:val="008F3E8A"/>
    <w:rsid w:val="008F41D6"/>
    <w:rsid w:val="008F57C8"/>
    <w:rsid w:val="008F5893"/>
    <w:rsid w:val="008F687D"/>
    <w:rsid w:val="008F6D2F"/>
    <w:rsid w:val="008F71D5"/>
    <w:rsid w:val="008F7759"/>
    <w:rsid w:val="008F7D09"/>
    <w:rsid w:val="00900AB8"/>
    <w:rsid w:val="009010CD"/>
    <w:rsid w:val="009012E3"/>
    <w:rsid w:val="00902233"/>
    <w:rsid w:val="00902F4C"/>
    <w:rsid w:val="00903922"/>
    <w:rsid w:val="00903CD0"/>
    <w:rsid w:val="0090421B"/>
    <w:rsid w:val="00904CAE"/>
    <w:rsid w:val="00905C19"/>
    <w:rsid w:val="009078DD"/>
    <w:rsid w:val="00907CE8"/>
    <w:rsid w:val="00907E98"/>
    <w:rsid w:val="009112DF"/>
    <w:rsid w:val="009112E2"/>
    <w:rsid w:val="00912288"/>
    <w:rsid w:val="00912BEF"/>
    <w:rsid w:val="00913587"/>
    <w:rsid w:val="00913E0C"/>
    <w:rsid w:val="00913EEE"/>
    <w:rsid w:val="009142C1"/>
    <w:rsid w:val="00914883"/>
    <w:rsid w:val="00914BFB"/>
    <w:rsid w:val="00915080"/>
    <w:rsid w:val="009150B5"/>
    <w:rsid w:val="0091515F"/>
    <w:rsid w:val="009154EE"/>
    <w:rsid w:val="0091553B"/>
    <w:rsid w:val="009155CC"/>
    <w:rsid w:val="009158AE"/>
    <w:rsid w:val="00915B47"/>
    <w:rsid w:val="00916027"/>
    <w:rsid w:val="00917389"/>
    <w:rsid w:val="0091747D"/>
    <w:rsid w:val="009174D4"/>
    <w:rsid w:val="00917C5A"/>
    <w:rsid w:val="00920912"/>
    <w:rsid w:val="00920DE5"/>
    <w:rsid w:val="00921351"/>
    <w:rsid w:val="0092250E"/>
    <w:rsid w:val="00924F6E"/>
    <w:rsid w:val="00926150"/>
    <w:rsid w:val="00926385"/>
    <w:rsid w:val="0092667E"/>
    <w:rsid w:val="009278E2"/>
    <w:rsid w:val="00927AF5"/>
    <w:rsid w:val="00927F12"/>
    <w:rsid w:val="00930537"/>
    <w:rsid w:val="009307C8"/>
    <w:rsid w:val="00931477"/>
    <w:rsid w:val="0093150A"/>
    <w:rsid w:val="009318DA"/>
    <w:rsid w:val="00931A93"/>
    <w:rsid w:val="00931B6E"/>
    <w:rsid w:val="00931FB1"/>
    <w:rsid w:val="00932105"/>
    <w:rsid w:val="00932166"/>
    <w:rsid w:val="00932A7D"/>
    <w:rsid w:val="00932C68"/>
    <w:rsid w:val="009337EC"/>
    <w:rsid w:val="009342B4"/>
    <w:rsid w:val="009342B8"/>
    <w:rsid w:val="00934714"/>
    <w:rsid w:val="00934EFD"/>
    <w:rsid w:val="00934FDE"/>
    <w:rsid w:val="00935191"/>
    <w:rsid w:val="00935C32"/>
    <w:rsid w:val="009374D3"/>
    <w:rsid w:val="0093753B"/>
    <w:rsid w:val="009402BD"/>
    <w:rsid w:val="00940D1B"/>
    <w:rsid w:val="009418CA"/>
    <w:rsid w:val="0094215C"/>
    <w:rsid w:val="00942623"/>
    <w:rsid w:val="00942632"/>
    <w:rsid w:val="00942A80"/>
    <w:rsid w:val="00942C25"/>
    <w:rsid w:val="00942D64"/>
    <w:rsid w:val="00943DF1"/>
    <w:rsid w:val="0094461D"/>
    <w:rsid w:val="00946436"/>
    <w:rsid w:val="00946D5D"/>
    <w:rsid w:val="00946DEB"/>
    <w:rsid w:val="00947174"/>
    <w:rsid w:val="009475BD"/>
    <w:rsid w:val="00950DD8"/>
    <w:rsid w:val="00951392"/>
    <w:rsid w:val="009534DC"/>
    <w:rsid w:val="0095367A"/>
    <w:rsid w:val="00954255"/>
    <w:rsid w:val="00954375"/>
    <w:rsid w:val="00954FBF"/>
    <w:rsid w:val="00955CA6"/>
    <w:rsid w:val="009561AA"/>
    <w:rsid w:val="00956525"/>
    <w:rsid w:val="00956BE4"/>
    <w:rsid w:val="009571C2"/>
    <w:rsid w:val="0095764F"/>
    <w:rsid w:val="00957780"/>
    <w:rsid w:val="0096056E"/>
    <w:rsid w:val="00960D48"/>
    <w:rsid w:val="0096100B"/>
    <w:rsid w:val="009610CE"/>
    <w:rsid w:val="0096196E"/>
    <w:rsid w:val="00962132"/>
    <w:rsid w:val="009630FA"/>
    <w:rsid w:val="009631B5"/>
    <w:rsid w:val="00963449"/>
    <w:rsid w:val="009646FE"/>
    <w:rsid w:val="00964C9F"/>
    <w:rsid w:val="00964E57"/>
    <w:rsid w:val="009652C4"/>
    <w:rsid w:val="00965594"/>
    <w:rsid w:val="00965748"/>
    <w:rsid w:val="00965B97"/>
    <w:rsid w:val="00965E46"/>
    <w:rsid w:val="00966970"/>
    <w:rsid w:val="00966AE0"/>
    <w:rsid w:val="00966D80"/>
    <w:rsid w:val="00967B8D"/>
    <w:rsid w:val="0097048C"/>
    <w:rsid w:val="0097098A"/>
    <w:rsid w:val="00970E51"/>
    <w:rsid w:val="00970F15"/>
    <w:rsid w:val="00971C8C"/>
    <w:rsid w:val="009720DF"/>
    <w:rsid w:val="0097354D"/>
    <w:rsid w:val="00973AA6"/>
    <w:rsid w:val="00974C8A"/>
    <w:rsid w:val="0097517D"/>
    <w:rsid w:val="00975670"/>
    <w:rsid w:val="009809BD"/>
    <w:rsid w:val="0098149D"/>
    <w:rsid w:val="009820C4"/>
    <w:rsid w:val="009826DE"/>
    <w:rsid w:val="00982D61"/>
    <w:rsid w:val="009830B6"/>
    <w:rsid w:val="00983324"/>
    <w:rsid w:val="00983C0E"/>
    <w:rsid w:val="00983E47"/>
    <w:rsid w:val="00984387"/>
    <w:rsid w:val="009847F8"/>
    <w:rsid w:val="00984BE6"/>
    <w:rsid w:val="009852FB"/>
    <w:rsid w:val="009858EF"/>
    <w:rsid w:val="009865C3"/>
    <w:rsid w:val="009867C3"/>
    <w:rsid w:val="00986980"/>
    <w:rsid w:val="00987C98"/>
    <w:rsid w:val="00990FE4"/>
    <w:rsid w:val="00991374"/>
    <w:rsid w:val="009915D1"/>
    <w:rsid w:val="00991A90"/>
    <w:rsid w:val="00991DEC"/>
    <w:rsid w:val="0099207C"/>
    <w:rsid w:val="00992170"/>
    <w:rsid w:val="009922CF"/>
    <w:rsid w:val="00992363"/>
    <w:rsid w:val="009931AB"/>
    <w:rsid w:val="0099346D"/>
    <w:rsid w:val="00993C84"/>
    <w:rsid w:val="00996146"/>
    <w:rsid w:val="00996E6F"/>
    <w:rsid w:val="009972CC"/>
    <w:rsid w:val="009A0D0B"/>
    <w:rsid w:val="009A13C4"/>
    <w:rsid w:val="009A2EE2"/>
    <w:rsid w:val="009A2FB0"/>
    <w:rsid w:val="009A34BA"/>
    <w:rsid w:val="009A35FB"/>
    <w:rsid w:val="009A38EB"/>
    <w:rsid w:val="009A3DE3"/>
    <w:rsid w:val="009A3FA8"/>
    <w:rsid w:val="009A498F"/>
    <w:rsid w:val="009A502B"/>
    <w:rsid w:val="009A67F8"/>
    <w:rsid w:val="009A6B85"/>
    <w:rsid w:val="009A6CF5"/>
    <w:rsid w:val="009A7620"/>
    <w:rsid w:val="009A7A16"/>
    <w:rsid w:val="009B01EB"/>
    <w:rsid w:val="009B119C"/>
    <w:rsid w:val="009B19BD"/>
    <w:rsid w:val="009B1D73"/>
    <w:rsid w:val="009B1F9D"/>
    <w:rsid w:val="009B2054"/>
    <w:rsid w:val="009B2527"/>
    <w:rsid w:val="009B2B42"/>
    <w:rsid w:val="009B2CCB"/>
    <w:rsid w:val="009B2CFC"/>
    <w:rsid w:val="009B3766"/>
    <w:rsid w:val="009B406E"/>
    <w:rsid w:val="009B4467"/>
    <w:rsid w:val="009B4BFE"/>
    <w:rsid w:val="009B4EF1"/>
    <w:rsid w:val="009B5937"/>
    <w:rsid w:val="009B615B"/>
    <w:rsid w:val="009B6510"/>
    <w:rsid w:val="009B792F"/>
    <w:rsid w:val="009B7D8E"/>
    <w:rsid w:val="009C0B59"/>
    <w:rsid w:val="009C1986"/>
    <w:rsid w:val="009C26D8"/>
    <w:rsid w:val="009C2CD1"/>
    <w:rsid w:val="009C3AC7"/>
    <w:rsid w:val="009C42B0"/>
    <w:rsid w:val="009C42BE"/>
    <w:rsid w:val="009C4364"/>
    <w:rsid w:val="009C4445"/>
    <w:rsid w:val="009C4ACE"/>
    <w:rsid w:val="009C5860"/>
    <w:rsid w:val="009C6147"/>
    <w:rsid w:val="009C67D0"/>
    <w:rsid w:val="009C6FAC"/>
    <w:rsid w:val="009C708C"/>
    <w:rsid w:val="009C7108"/>
    <w:rsid w:val="009C7185"/>
    <w:rsid w:val="009C78F1"/>
    <w:rsid w:val="009C7AA6"/>
    <w:rsid w:val="009D02DF"/>
    <w:rsid w:val="009D050D"/>
    <w:rsid w:val="009D05E6"/>
    <w:rsid w:val="009D3C2B"/>
    <w:rsid w:val="009D3C9E"/>
    <w:rsid w:val="009D4C4E"/>
    <w:rsid w:val="009D54E7"/>
    <w:rsid w:val="009D5DA2"/>
    <w:rsid w:val="009D6636"/>
    <w:rsid w:val="009D69AF"/>
    <w:rsid w:val="009D69D9"/>
    <w:rsid w:val="009D6DC5"/>
    <w:rsid w:val="009D76BE"/>
    <w:rsid w:val="009D7E68"/>
    <w:rsid w:val="009D7FFE"/>
    <w:rsid w:val="009E0505"/>
    <w:rsid w:val="009E1F32"/>
    <w:rsid w:val="009E2D2E"/>
    <w:rsid w:val="009E3010"/>
    <w:rsid w:val="009E40A1"/>
    <w:rsid w:val="009E4526"/>
    <w:rsid w:val="009E4602"/>
    <w:rsid w:val="009E461C"/>
    <w:rsid w:val="009E4D4E"/>
    <w:rsid w:val="009E5786"/>
    <w:rsid w:val="009E5889"/>
    <w:rsid w:val="009E611C"/>
    <w:rsid w:val="009E6C75"/>
    <w:rsid w:val="009F0F89"/>
    <w:rsid w:val="009F1C9C"/>
    <w:rsid w:val="009F1DCD"/>
    <w:rsid w:val="009F209E"/>
    <w:rsid w:val="009F2187"/>
    <w:rsid w:val="009F2404"/>
    <w:rsid w:val="009F269A"/>
    <w:rsid w:val="009F2774"/>
    <w:rsid w:val="009F366A"/>
    <w:rsid w:val="009F3ACC"/>
    <w:rsid w:val="009F405C"/>
    <w:rsid w:val="009F439E"/>
    <w:rsid w:val="009F54A6"/>
    <w:rsid w:val="009F5906"/>
    <w:rsid w:val="009F5FF1"/>
    <w:rsid w:val="009F6194"/>
    <w:rsid w:val="009F64AB"/>
    <w:rsid w:val="009F66EB"/>
    <w:rsid w:val="009F712C"/>
    <w:rsid w:val="009F76B3"/>
    <w:rsid w:val="009F7B6D"/>
    <w:rsid w:val="00A001B4"/>
    <w:rsid w:val="00A0075E"/>
    <w:rsid w:val="00A00A59"/>
    <w:rsid w:val="00A00DED"/>
    <w:rsid w:val="00A01581"/>
    <w:rsid w:val="00A01B3D"/>
    <w:rsid w:val="00A0253E"/>
    <w:rsid w:val="00A027A3"/>
    <w:rsid w:val="00A0323B"/>
    <w:rsid w:val="00A03511"/>
    <w:rsid w:val="00A03608"/>
    <w:rsid w:val="00A03700"/>
    <w:rsid w:val="00A049C3"/>
    <w:rsid w:val="00A04FCB"/>
    <w:rsid w:val="00A102A0"/>
    <w:rsid w:val="00A102FF"/>
    <w:rsid w:val="00A107B2"/>
    <w:rsid w:val="00A10A71"/>
    <w:rsid w:val="00A10BA0"/>
    <w:rsid w:val="00A10EAC"/>
    <w:rsid w:val="00A10F53"/>
    <w:rsid w:val="00A11EE0"/>
    <w:rsid w:val="00A11F3A"/>
    <w:rsid w:val="00A11F48"/>
    <w:rsid w:val="00A126E7"/>
    <w:rsid w:val="00A13077"/>
    <w:rsid w:val="00A138AC"/>
    <w:rsid w:val="00A13BDD"/>
    <w:rsid w:val="00A13C51"/>
    <w:rsid w:val="00A146E6"/>
    <w:rsid w:val="00A15006"/>
    <w:rsid w:val="00A15416"/>
    <w:rsid w:val="00A15487"/>
    <w:rsid w:val="00A154F0"/>
    <w:rsid w:val="00A1583E"/>
    <w:rsid w:val="00A15FF0"/>
    <w:rsid w:val="00A17A3B"/>
    <w:rsid w:val="00A20417"/>
    <w:rsid w:val="00A20476"/>
    <w:rsid w:val="00A20C47"/>
    <w:rsid w:val="00A21D6A"/>
    <w:rsid w:val="00A22587"/>
    <w:rsid w:val="00A22784"/>
    <w:rsid w:val="00A22B29"/>
    <w:rsid w:val="00A22E08"/>
    <w:rsid w:val="00A23309"/>
    <w:rsid w:val="00A23AB7"/>
    <w:rsid w:val="00A23B42"/>
    <w:rsid w:val="00A250A9"/>
    <w:rsid w:val="00A25104"/>
    <w:rsid w:val="00A2560B"/>
    <w:rsid w:val="00A25B24"/>
    <w:rsid w:val="00A25CC2"/>
    <w:rsid w:val="00A261D5"/>
    <w:rsid w:val="00A266CE"/>
    <w:rsid w:val="00A26FE8"/>
    <w:rsid w:val="00A2717B"/>
    <w:rsid w:val="00A27543"/>
    <w:rsid w:val="00A3011D"/>
    <w:rsid w:val="00A30545"/>
    <w:rsid w:val="00A30DB7"/>
    <w:rsid w:val="00A315DE"/>
    <w:rsid w:val="00A32109"/>
    <w:rsid w:val="00A32836"/>
    <w:rsid w:val="00A33607"/>
    <w:rsid w:val="00A33FC4"/>
    <w:rsid w:val="00A34C20"/>
    <w:rsid w:val="00A352A4"/>
    <w:rsid w:val="00A352D4"/>
    <w:rsid w:val="00A35343"/>
    <w:rsid w:val="00A359F1"/>
    <w:rsid w:val="00A3653B"/>
    <w:rsid w:val="00A36852"/>
    <w:rsid w:val="00A36C76"/>
    <w:rsid w:val="00A37043"/>
    <w:rsid w:val="00A402D7"/>
    <w:rsid w:val="00A41641"/>
    <w:rsid w:val="00A416B7"/>
    <w:rsid w:val="00A4288B"/>
    <w:rsid w:val="00A4327B"/>
    <w:rsid w:val="00A43ADA"/>
    <w:rsid w:val="00A43BD2"/>
    <w:rsid w:val="00A44222"/>
    <w:rsid w:val="00A4427D"/>
    <w:rsid w:val="00A4438F"/>
    <w:rsid w:val="00A45216"/>
    <w:rsid w:val="00A4539E"/>
    <w:rsid w:val="00A4598D"/>
    <w:rsid w:val="00A463D9"/>
    <w:rsid w:val="00A46615"/>
    <w:rsid w:val="00A4663C"/>
    <w:rsid w:val="00A46D2B"/>
    <w:rsid w:val="00A47820"/>
    <w:rsid w:val="00A478BE"/>
    <w:rsid w:val="00A47D52"/>
    <w:rsid w:val="00A501A4"/>
    <w:rsid w:val="00A5037F"/>
    <w:rsid w:val="00A50751"/>
    <w:rsid w:val="00A50CDD"/>
    <w:rsid w:val="00A511B3"/>
    <w:rsid w:val="00A511DB"/>
    <w:rsid w:val="00A52755"/>
    <w:rsid w:val="00A52CFD"/>
    <w:rsid w:val="00A52EFC"/>
    <w:rsid w:val="00A53508"/>
    <w:rsid w:val="00A545EE"/>
    <w:rsid w:val="00A55803"/>
    <w:rsid w:val="00A558B6"/>
    <w:rsid w:val="00A5603D"/>
    <w:rsid w:val="00A576EB"/>
    <w:rsid w:val="00A57B07"/>
    <w:rsid w:val="00A57F90"/>
    <w:rsid w:val="00A60164"/>
    <w:rsid w:val="00A60C0B"/>
    <w:rsid w:val="00A60DBB"/>
    <w:rsid w:val="00A61EB9"/>
    <w:rsid w:val="00A622E2"/>
    <w:rsid w:val="00A62816"/>
    <w:rsid w:val="00A63BD3"/>
    <w:rsid w:val="00A64064"/>
    <w:rsid w:val="00A6482D"/>
    <w:rsid w:val="00A64B6D"/>
    <w:rsid w:val="00A64EFC"/>
    <w:rsid w:val="00A65945"/>
    <w:rsid w:val="00A6598C"/>
    <w:rsid w:val="00A659FB"/>
    <w:rsid w:val="00A65E6D"/>
    <w:rsid w:val="00A66786"/>
    <w:rsid w:val="00A66F05"/>
    <w:rsid w:val="00A66FBE"/>
    <w:rsid w:val="00A674CB"/>
    <w:rsid w:val="00A67783"/>
    <w:rsid w:val="00A67B14"/>
    <w:rsid w:val="00A67EE4"/>
    <w:rsid w:val="00A7010D"/>
    <w:rsid w:val="00A70573"/>
    <w:rsid w:val="00A717FA"/>
    <w:rsid w:val="00A71B05"/>
    <w:rsid w:val="00A72732"/>
    <w:rsid w:val="00A72E31"/>
    <w:rsid w:val="00A72EE8"/>
    <w:rsid w:val="00A73E5C"/>
    <w:rsid w:val="00A7513D"/>
    <w:rsid w:val="00A768E0"/>
    <w:rsid w:val="00A769D9"/>
    <w:rsid w:val="00A76F83"/>
    <w:rsid w:val="00A7708F"/>
    <w:rsid w:val="00A771A8"/>
    <w:rsid w:val="00A801CE"/>
    <w:rsid w:val="00A8024C"/>
    <w:rsid w:val="00A80FFB"/>
    <w:rsid w:val="00A81E25"/>
    <w:rsid w:val="00A81EBA"/>
    <w:rsid w:val="00A81FCE"/>
    <w:rsid w:val="00A826AE"/>
    <w:rsid w:val="00A830CF"/>
    <w:rsid w:val="00A831DF"/>
    <w:rsid w:val="00A83545"/>
    <w:rsid w:val="00A83A44"/>
    <w:rsid w:val="00A83ED7"/>
    <w:rsid w:val="00A84A86"/>
    <w:rsid w:val="00A84CFF"/>
    <w:rsid w:val="00A8533B"/>
    <w:rsid w:val="00A85849"/>
    <w:rsid w:val="00A85F40"/>
    <w:rsid w:val="00A86336"/>
    <w:rsid w:val="00A86544"/>
    <w:rsid w:val="00A8659F"/>
    <w:rsid w:val="00A865B0"/>
    <w:rsid w:val="00A866E3"/>
    <w:rsid w:val="00A86838"/>
    <w:rsid w:val="00A86AB4"/>
    <w:rsid w:val="00A878AA"/>
    <w:rsid w:val="00A9062B"/>
    <w:rsid w:val="00A910B5"/>
    <w:rsid w:val="00A9122E"/>
    <w:rsid w:val="00A91766"/>
    <w:rsid w:val="00A92B59"/>
    <w:rsid w:val="00A92F86"/>
    <w:rsid w:val="00A9383B"/>
    <w:rsid w:val="00A93CAD"/>
    <w:rsid w:val="00A94CBD"/>
    <w:rsid w:val="00A95163"/>
    <w:rsid w:val="00A95836"/>
    <w:rsid w:val="00A95D62"/>
    <w:rsid w:val="00A96351"/>
    <w:rsid w:val="00A96C4C"/>
    <w:rsid w:val="00A96D8D"/>
    <w:rsid w:val="00A97223"/>
    <w:rsid w:val="00AA050A"/>
    <w:rsid w:val="00AA0812"/>
    <w:rsid w:val="00AA0EF3"/>
    <w:rsid w:val="00AA14EC"/>
    <w:rsid w:val="00AA19C5"/>
    <w:rsid w:val="00AA2042"/>
    <w:rsid w:val="00AA2294"/>
    <w:rsid w:val="00AA305B"/>
    <w:rsid w:val="00AA31A7"/>
    <w:rsid w:val="00AA33FC"/>
    <w:rsid w:val="00AA368B"/>
    <w:rsid w:val="00AA3F9D"/>
    <w:rsid w:val="00AA4F9E"/>
    <w:rsid w:val="00AA5A3E"/>
    <w:rsid w:val="00AA6765"/>
    <w:rsid w:val="00AA7070"/>
    <w:rsid w:val="00AA70C3"/>
    <w:rsid w:val="00AA714B"/>
    <w:rsid w:val="00AA71AD"/>
    <w:rsid w:val="00AB0085"/>
    <w:rsid w:val="00AB04A4"/>
    <w:rsid w:val="00AB149F"/>
    <w:rsid w:val="00AB171F"/>
    <w:rsid w:val="00AB23E9"/>
    <w:rsid w:val="00AB2D63"/>
    <w:rsid w:val="00AB2EAF"/>
    <w:rsid w:val="00AB2FE7"/>
    <w:rsid w:val="00AB348D"/>
    <w:rsid w:val="00AB3AA5"/>
    <w:rsid w:val="00AB3D04"/>
    <w:rsid w:val="00AB452E"/>
    <w:rsid w:val="00AB46C8"/>
    <w:rsid w:val="00AB4AF4"/>
    <w:rsid w:val="00AB4E19"/>
    <w:rsid w:val="00AB5280"/>
    <w:rsid w:val="00AB5B37"/>
    <w:rsid w:val="00AB6C3B"/>
    <w:rsid w:val="00AB6F68"/>
    <w:rsid w:val="00AB7646"/>
    <w:rsid w:val="00AB77A5"/>
    <w:rsid w:val="00AB7875"/>
    <w:rsid w:val="00AC0027"/>
    <w:rsid w:val="00AC107B"/>
    <w:rsid w:val="00AC12DD"/>
    <w:rsid w:val="00AC1696"/>
    <w:rsid w:val="00AC1F17"/>
    <w:rsid w:val="00AC3909"/>
    <w:rsid w:val="00AC3CEE"/>
    <w:rsid w:val="00AC404F"/>
    <w:rsid w:val="00AC44FC"/>
    <w:rsid w:val="00AC5558"/>
    <w:rsid w:val="00AC5FFB"/>
    <w:rsid w:val="00AC6C32"/>
    <w:rsid w:val="00AC79B9"/>
    <w:rsid w:val="00AD0855"/>
    <w:rsid w:val="00AD110C"/>
    <w:rsid w:val="00AD12FD"/>
    <w:rsid w:val="00AD1D18"/>
    <w:rsid w:val="00AD1F17"/>
    <w:rsid w:val="00AD2269"/>
    <w:rsid w:val="00AD2349"/>
    <w:rsid w:val="00AD25B8"/>
    <w:rsid w:val="00AD2AB0"/>
    <w:rsid w:val="00AD2C14"/>
    <w:rsid w:val="00AD2F06"/>
    <w:rsid w:val="00AD30DD"/>
    <w:rsid w:val="00AD3294"/>
    <w:rsid w:val="00AD369F"/>
    <w:rsid w:val="00AD4194"/>
    <w:rsid w:val="00AD4CC7"/>
    <w:rsid w:val="00AD58F2"/>
    <w:rsid w:val="00AD5E4E"/>
    <w:rsid w:val="00AD5FD8"/>
    <w:rsid w:val="00AD69EF"/>
    <w:rsid w:val="00AD6AFB"/>
    <w:rsid w:val="00AD6BE7"/>
    <w:rsid w:val="00AD6E70"/>
    <w:rsid w:val="00AD71E4"/>
    <w:rsid w:val="00AD749E"/>
    <w:rsid w:val="00AD7E0F"/>
    <w:rsid w:val="00AE01F5"/>
    <w:rsid w:val="00AE18EF"/>
    <w:rsid w:val="00AE1B4F"/>
    <w:rsid w:val="00AE2B75"/>
    <w:rsid w:val="00AE2B9F"/>
    <w:rsid w:val="00AE2C4B"/>
    <w:rsid w:val="00AE3124"/>
    <w:rsid w:val="00AE378A"/>
    <w:rsid w:val="00AE3BE3"/>
    <w:rsid w:val="00AE4904"/>
    <w:rsid w:val="00AE4FC8"/>
    <w:rsid w:val="00AE5497"/>
    <w:rsid w:val="00AE5DF3"/>
    <w:rsid w:val="00AE6519"/>
    <w:rsid w:val="00AE6839"/>
    <w:rsid w:val="00AE6C63"/>
    <w:rsid w:val="00AE7174"/>
    <w:rsid w:val="00AE7CCE"/>
    <w:rsid w:val="00AE7F80"/>
    <w:rsid w:val="00AE7F9D"/>
    <w:rsid w:val="00AF0C8A"/>
    <w:rsid w:val="00AF1202"/>
    <w:rsid w:val="00AF16C3"/>
    <w:rsid w:val="00AF221A"/>
    <w:rsid w:val="00AF22D1"/>
    <w:rsid w:val="00AF22F2"/>
    <w:rsid w:val="00AF3D59"/>
    <w:rsid w:val="00AF5C5D"/>
    <w:rsid w:val="00AF66CE"/>
    <w:rsid w:val="00AF6AA2"/>
    <w:rsid w:val="00AF6C62"/>
    <w:rsid w:val="00AF6CFC"/>
    <w:rsid w:val="00AF7C1C"/>
    <w:rsid w:val="00AF7D6B"/>
    <w:rsid w:val="00B0014C"/>
    <w:rsid w:val="00B00331"/>
    <w:rsid w:val="00B00C4A"/>
    <w:rsid w:val="00B00C9D"/>
    <w:rsid w:val="00B01C21"/>
    <w:rsid w:val="00B0296D"/>
    <w:rsid w:val="00B0329F"/>
    <w:rsid w:val="00B03553"/>
    <w:rsid w:val="00B035BA"/>
    <w:rsid w:val="00B03975"/>
    <w:rsid w:val="00B060A4"/>
    <w:rsid w:val="00B06E63"/>
    <w:rsid w:val="00B06FCD"/>
    <w:rsid w:val="00B07038"/>
    <w:rsid w:val="00B0752B"/>
    <w:rsid w:val="00B103F2"/>
    <w:rsid w:val="00B10822"/>
    <w:rsid w:val="00B11217"/>
    <w:rsid w:val="00B11580"/>
    <w:rsid w:val="00B11D69"/>
    <w:rsid w:val="00B12184"/>
    <w:rsid w:val="00B13797"/>
    <w:rsid w:val="00B13FC9"/>
    <w:rsid w:val="00B153AF"/>
    <w:rsid w:val="00B15664"/>
    <w:rsid w:val="00B1572B"/>
    <w:rsid w:val="00B16993"/>
    <w:rsid w:val="00B20584"/>
    <w:rsid w:val="00B2083B"/>
    <w:rsid w:val="00B20B6E"/>
    <w:rsid w:val="00B20FA2"/>
    <w:rsid w:val="00B21019"/>
    <w:rsid w:val="00B2147B"/>
    <w:rsid w:val="00B216DF"/>
    <w:rsid w:val="00B21E3A"/>
    <w:rsid w:val="00B237C6"/>
    <w:rsid w:val="00B2385F"/>
    <w:rsid w:val="00B23D69"/>
    <w:rsid w:val="00B249D4"/>
    <w:rsid w:val="00B24A26"/>
    <w:rsid w:val="00B25794"/>
    <w:rsid w:val="00B26198"/>
    <w:rsid w:val="00B26C82"/>
    <w:rsid w:val="00B27775"/>
    <w:rsid w:val="00B278BC"/>
    <w:rsid w:val="00B27A27"/>
    <w:rsid w:val="00B27D38"/>
    <w:rsid w:val="00B27FC9"/>
    <w:rsid w:val="00B300E1"/>
    <w:rsid w:val="00B30E1A"/>
    <w:rsid w:val="00B3181D"/>
    <w:rsid w:val="00B32D46"/>
    <w:rsid w:val="00B333AF"/>
    <w:rsid w:val="00B334B1"/>
    <w:rsid w:val="00B33B16"/>
    <w:rsid w:val="00B33CD4"/>
    <w:rsid w:val="00B33EE2"/>
    <w:rsid w:val="00B346C9"/>
    <w:rsid w:val="00B35A24"/>
    <w:rsid w:val="00B35EB2"/>
    <w:rsid w:val="00B36141"/>
    <w:rsid w:val="00B36445"/>
    <w:rsid w:val="00B3652D"/>
    <w:rsid w:val="00B36CDA"/>
    <w:rsid w:val="00B37E65"/>
    <w:rsid w:val="00B37EB8"/>
    <w:rsid w:val="00B410EB"/>
    <w:rsid w:val="00B417A4"/>
    <w:rsid w:val="00B417B3"/>
    <w:rsid w:val="00B41886"/>
    <w:rsid w:val="00B41D91"/>
    <w:rsid w:val="00B4256F"/>
    <w:rsid w:val="00B4262C"/>
    <w:rsid w:val="00B426BC"/>
    <w:rsid w:val="00B42BEC"/>
    <w:rsid w:val="00B42FEA"/>
    <w:rsid w:val="00B43428"/>
    <w:rsid w:val="00B4349B"/>
    <w:rsid w:val="00B4367F"/>
    <w:rsid w:val="00B438B8"/>
    <w:rsid w:val="00B449A0"/>
    <w:rsid w:val="00B44B3F"/>
    <w:rsid w:val="00B44D26"/>
    <w:rsid w:val="00B44DB0"/>
    <w:rsid w:val="00B45EE0"/>
    <w:rsid w:val="00B465AC"/>
    <w:rsid w:val="00B46A20"/>
    <w:rsid w:val="00B47683"/>
    <w:rsid w:val="00B502F4"/>
    <w:rsid w:val="00B50B1A"/>
    <w:rsid w:val="00B50EB5"/>
    <w:rsid w:val="00B511B3"/>
    <w:rsid w:val="00B511E7"/>
    <w:rsid w:val="00B51A07"/>
    <w:rsid w:val="00B51C8C"/>
    <w:rsid w:val="00B52023"/>
    <w:rsid w:val="00B524C4"/>
    <w:rsid w:val="00B525E9"/>
    <w:rsid w:val="00B52618"/>
    <w:rsid w:val="00B52B0C"/>
    <w:rsid w:val="00B52E80"/>
    <w:rsid w:val="00B52FE2"/>
    <w:rsid w:val="00B53934"/>
    <w:rsid w:val="00B54912"/>
    <w:rsid w:val="00B54C17"/>
    <w:rsid w:val="00B54E88"/>
    <w:rsid w:val="00B54F9E"/>
    <w:rsid w:val="00B55E19"/>
    <w:rsid w:val="00B560DD"/>
    <w:rsid w:val="00B56579"/>
    <w:rsid w:val="00B57484"/>
    <w:rsid w:val="00B57693"/>
    <w:rsid w:val="00B576C9"/>
    <w:rsid w:val="00B57702"/>
    <w:rsid w:val="00B57E88"/>
    <w:rsid w:val="00B60374"/>
    <w:rsid w:val="00B60A1F"/>
    <w:rsid w:val="00B60C0B"/>
    <w:rsid w:val="00B61202"/>
    <w:rsid w:val="00B61F84"/>
    <w:rsid w:val="00B62BE1"/>
    <w:rsid w:val="00B62D07"/>
    <w:rsid w:val="00B637D3"/>
    <w:rsid w:val="00B63B35"/>
    <w:rsid w:val="00B65BED"/>
    <w:rsid w:val="00B671A3"/>
    <w:rsid w:val="00B6760B"/>
    <w:rsid w:val="00B67B63"/>
    <w:rsid w:val="00B67E80"/>
    <w:rsid w:val="00B70832"/>
    <w:rsid w:val="00B71903"/>
    <w:rsid w:val="00B72016"/>
    <w:rsid w:val="00B7303A"/>
    <w:rsid w:val="00B737F5"/>
    <w:rsid w:val="00B737F7"/>
    <w:rsid w:val="00B7392A"/>
    <w:rsid w:val="00B73CA3"/>
    <w:rsid w:val="00B74BD5"/>
    <w:rsid w:val="00B74D66"/>
    <w:rsid w:val="00B74E6E"/>
    <w:rsid w:val="00B74F4F"/>
    <w:rsid w:val="00B75609"/>
    <w:rsid w:val="00B75C24"/>
    <w:rsid w:val="00B7624B"/>
    <w:rsid w:val="00B762BC"/>
    <w:rsid w:val="00B7725A"/>
    <w:rsid w:val="00B777FD"/>
    <w:rsid w:val="00B7784D"/>
    <w:rsid w:val="00B779F7"/>
    <w:rsid w:val="00B77C28"/>
    <w:rsid w:val="00B802BB"/>
    <w:rsid w:val="00B809D5"/>
    <w:rsid w:val="00B80ADA"/>
    <w:rsid w:val="00B80B92"/>
    <w:rsid w:val="00B80DEA"/>
    <w:rsid w:val="00B82014"/>
    <w:rsid w:val="00B824C7"/>
    <w:rsid w:val="00B82EF2"/>
    <w:rsid w:val="00B83352"/>
    <w:rsid w:val="00B835DE"/>
    <w:rsid w:val="00B83849"/>
    <w:rsid w:val="00B849A6"/>
    <w:rsid w:val="00B84D1C"/>
    <w:rsid w:val="00B85164"/>
    <w:rsid w:val="00B85185"/>
    <w:rsid w:val="00B8524C"/>
    <w:rsid w:val="00B85481"/>
    <w:rsid w:val="00B85806"/>
    <w:rsid w:val="00B86104"/>
    <w:rsid w:val="00B86FBD"/>
    <w:rsid w:val="00B87127"/>
    <w:rsid w:val="00B876F5"/>
    <w:rsid w:val="00B87919"/>
    <w:rsid w:val="00B87D0A"/>
    <w:rsid w:val="00B905EB"/>
    <w:rsid w:val="00B90937"/>
    <w:rsid w:val="00B90B8D"/>
    <w:rsid w:val="00B91E06"/>
    <w:rsid w:val="00B92AAD"/>
    <w:rsid w:val="00B93213"/>
    <w:rsid w:val="00B932F3"/>
    <w:rsid w:val="00B937D1"/>
    <w:rsid w:val="00B93A76"/>
    <w:rsid w:val="00B93B03"/>
    <w:rsid w:val="00B94A8F"/>
    <w:rsid w:val="00B94D6D"/>
    <w:rsid w:val="00B95FF4"/>
    <w:rsid w:val="00B960CE"/>
    <w:rsid w:val="00B96967"/>
    <w:rsid w:val="00B96D50"/>
    <w:rsid w:val="00B97AA7"/>
    <w:rsid w:val="00B97D8B"/>
    <w:rsid w:val="00BA14A3"/>
    <w:rsid w:val="00BA239F"/>
    <w:rsid w:val="00BA295D"/>
    <w:rsid w:val="00BA2F06"/>
    <w:rsid w:val="00BA3005"/>
    <w:rsid w:val="00BA33EB"/>
    <w:rsid w:val="00BA3A9A"/>
    <w:rsid w:val="00BA4142"/>
    <w:rsid w:val="00BA4B34"/>
    <w:rsid w:val="00BA5E29"/>
    <w:rsid w:val="00BB1504"/>
    <w:rsid w:val="00BB15F0"/>
    <w:rsid w:val="00BB1A1C"/>
    <w:rsid w:val="00BB2143"/>
    <w:rsid w:val="00BB21EB"/>
    <w:rsid w:val="00BB223A"/>
    <w:rsid w:val="00BB2255"/>
    <w:rsid w:val="00BB2D2C"/>
    <w:rsid w:val="00BB3564"/>
    <w:rsid w:val="00BB36AF"/>
    <w:rsid w:val="00BB3818"/>
    <w:rsid w:val="00BB3CC2"/>
    <w:rsid w:val="00BB415D"/>
    <w:rsid w:val="00BB42F9"/>
    <w:rsid w:val="00BB43D6"/>
    <w:rsid w:val="00BB4C01"/>
    <w:rsid w:val="00BB4F4E"/>
    <w:rsid w:val="00BB52AE"/>
    <w:rsid w:val="00BB5D70"/>
    <w:rsid w:val="00BB6379"/>
    <w:rsid w:val="00BB63A6"/>
    <w:rsid w:val="00BB6A86"/>
    <w:rsid w:val="00BB6E65"/>
    <w:rsid w:val="00BB6E69"/>
    <w:rsid w:val="00BB70C3"/>
    <w:rsid w:val="00BB7610"/>
    <w:rsid w:val="00BC082A"/>
    <w:rsid w:val="00BC0F4F"/>
    <w:rsid w:val="00BC0FF5"/>
    <w:rsid w:val="00BC136C"/>
    <w:rsid w:val="00BC1956"/>
    <w:rsid w:val="00BC1DE6"/>
    <w:rsid w:val="00BC2791"/>
    <w:rsid w:val="00BC373F"/>
    <w:rsid w:val="00BC396B"/>
    <w:rsid w:val="00BC41E3"/>
    <w:rsid w:val="00BC4545"/>
    <w:rsid w:val="00BC49C7"/>
    <w:rsid w:val="00BC4C69"/>
    <w:rsid w:val="00BC5363"/>
    <w:rsid w:val="00BC56E1"/>
    <w:rsid w:val="00BC5ADA"/>
    <w:rsid w:val="00BC5DD6"/>
    <w:rsid w:val="00BC7A6C"/>
    <w:rsid w:val="00BD0178"/>
    <w:rsid w:val="00BD1C10"/>
    <w:rsid w:val="00BD265F"/>
    <w:rsid w:val="00BD3009"/>
    <w:rsid w:val="00BD311C"/>
    <w:rsid w:val="00BD3195"/>
    <w:rsid w:val="00BD344D"/>
    <w:rsid w:val="00BD3B20"/>
    <w:rsid w:val="00BD3F87"/>
    <w:rsid w:val="00BD4570"/>
    <w:rsid w:val="00BD4E7F"/>
    <w:rsid w:val="00BD4EF8"/>
    <w:rsid w:val="00BD5CEC"/>
    <w:rsid w:val="00BD5D7D"/>
    <w:rsid w:val="00BD610B"/>
    <w:rsid w:val="00BD6306"/>
    <w:rsid w:val="00BD635A"/>
    <w:rsid w:val="00BD683C"/>
    <w:rsid w:val="00BD691F"/>
    <w:rsid w:val="00BD695D"/>
    <w:rsid w:val="00BD6B05"/>
    <w:rsid w:val="00BD6B2E"/>
    <w:rsid w:val="00BD6C59"/>
    <w:rsid w:val="00BD6E4A"/>
    <w:rsid w:val="00BD6EE9"/>
    <w:rsid w:val="00BD72A3"/>
    <w:rsid w:val="00BD7A99"/>
    <w:rsid w:val="00BD7F77"/>
    <w:rsid w:val="00BE0CE7"/>
    <w:rsid w:val="00BE0EAD"/>
    <w:rsid w:val="00BE156B"/>
    <w:rsid w:val="00BE177D"/>
    <w:rsid w:val="00BE1D83"/>
    <w:rsid w:val="00BE1DCA"/>
    <w:rsid w:val="00BE264B"/>
    <w:rsid w:val="00BE31FD"/>
    <w:rsid w:val="00BE3653"/>
    <w:rsid w:val="00BE37F6"/>
    <w:rsid w:val="00BE3B9A"/>
    <w:rsid w:val="00BE4122"/>
    <w:rsid w:val="00BE4453"/>
    <w:rsid w:val="00BE48E5"/>
    <w:rsid w:val="00BE4B81"/>
    <w:rsid w:val="00BE4BA9"/>
    <w:rsid w:val="00BE5955"/>
    <w:rsid w:val="00BE5EE9"/>
    <w:rsid w:val="00BE6D23"/>
    <w:rsid w:val="00BE703E"/>
    <w:rsid w:val="00BE7B1D"/>
    <w:rsid w:val="00BF0207"/>
    <w:rsid w:val="00BF0F57"/>
    <w:rsid w:val="00BF1429"/>
    <w:rsid w:val="00BF144B"/>
    <w:rsid w:val="00BF3708"/>
    <w:rsid w:val="00BF4FA8"/>
    <w:rsid w:val="00BF52B0"/>
    <w:rsid w:val="00BF52D1"/>
    <w:rsid w:val="00BF6340"/>
    <w:rsid w:val="00BF7302"/>
    <w:rsid w:val="00C00115"/>
    <w:rsid w:val="00C00458"/>
    <w:rsid w:val="00C00704"/>
    <w:rsid w:val="00C00BE3"/>
    <w:rsid w:val="00C00C49"/>
    <w:rsid w:val="00C00CF1"/>
    <w:rsid w:val="00C00EC4"/>
    <w:rsid w:val="00C019C2"/>
    <w:rsid w:val="00C01A2E"/>
    <w:rsid w:val="00C01B21"/>
    <w:rsid w:val="00C01FC4"/>
    <w:rsid w:val="00C02047"/>
    <w:rsid w:val="00C02561"/>
    <w:rsid w:val="00C033A7"/>
    <w:rsid w:val="00C0460E"/>
    <w:rsid w:val="00C05AFF"/>
    <w:rsid w:val="00C06731"/>
    <w:rsid w:val="00C06931"/>
    <w:rsid w:val="00C06E84"/>
    <w:rsid w:val="00C072D6"/>
    <w:rsid w:val="00C10B49"/>
    <w:rsid w:val="00C11263"/>
    <w:rsid w:val="00C11818"/>
    <w:rsid w:val="00C11849"/>
    <w:rsid w:val="00C13488"/>
    <w:rsid w:val="00C13751"/>
    <w:rsid w:val="00C13C03"/>
    <w:rsid w:val="00C13DF7"/>
    <w:rsid w:val="00C148EC"/>
    <w:rsid w:val="00C14B86"/>
    <w:rsid w:val="00C154BE"/>
    <w:rsid w:val="00C15A07"/>
    <w:rsid w:val="00C15AD7"/>
    <w:rsid w:val="00C15B04"/>
    <w:rsid w:val="00C15EA6"/>
    <w:rsid w:val="00C16194"/>
    <w:rsid w:val="00C16DE2"/>
    <w:rsid w:val="00C17633"/>
    <w:rsid w:val="00C177B7"/>
    <w:rsid w:val="00C17E9A"/>
    <w:rsid w:val="00C20220"/>
    <w:rsid w:val="00C203AE"/>
    <w:rsid w:val="00C205E0"/>
    <w:rsid w:val="00C20AF0"/>
    <w:rsid w:val="00C20B00"/>
    <w:rsid w:val="00C21F0C"/>
    <w:rsid w:val="00C2244E"/>
    <w:rsid w:val="00C22535"/>
    <w:rsid w:val="00C2383A"/>
    <w:rsid w:val="00C23D01"/>
    <w:rsid w:val="00C257DB"/>
    <w:rsid w:val="00C25B89"/>
    <w:rsid w:val="00C25E4C"/>
    <w:rsid w:val="00C26179"/>
    <w:rsid w:val="00C26346"/>
    <w:rsid w:val="00C26B06"/>
    <w:rsid w:val="00C27497"/>
    <w:rsid w:val="00C27B17"/>
    <w:rsid w:val="00C27B36"/>
    <w:rsid w:val="00C307CB"/>
    <w:rsid w:val="00C3119C"/>
    <w:rsid w:val="00C31C93"/>
    <w:rsid w:val="00C320EE"/>
    <w:rsid w:val="00C3285D"/>
    <w:rsid w:val="00C32AA6"/>
    <w:rsid w:val="00C33B4F"/>
    <w:rsid w:val="00C33D1F"/>
    <w:rsid w:val="00C33EBC"/>
    <w:rsid w:val="00C33EE6"/>
    <w:rsid w:val="00C34099"/>
    <w:rsid w:val="00C34625"/>
    <w:rsid w:val="00C34ECE"/>
    <w:rsid w:val="00C361A5"/>
    <w:rsid w:val="00C36A7E"/>
    <w:rsid w:val="00C36FA0"/>
    <w:rsid w:val="00C374D4"/>
    <w:rsid w:val="00C37684"/>
    <w:rsid w:val="00C37786"/>
    <w:rsid w:val="00C4049F"/>
    <w:rsid w:val="00C42023"/>
    <w:rsid w:val="00C42744"/>
    <w:rsid w:val="00C4359A"/>
    <w:rsid w:val="00C43679"/>
    <w:rsid w:val="00C43ADD"/>
    <w:rsid w:val="00C43BC7"/>
    <w:rsid w:val="00C43E9F"/>
    <w:rsid w:val="00C44197"/>
    <w:rsid w:val="00C453DF"/>
    <w:rsid w:val="00C45C5A"/>
    <w:rsid w:val="00C45FF9"/>
    <w:rsid w:val="00C462BD"/>
    <w:rsid w:val="00C472BD"/>
    <w:rsid w:val="00C4750B"/>
    <w:rsid w:val="00C477FC"/>
    <w:rsid w:val="00C47991"/>
    <w:rsid w:val="00C47C25"/>
    <w:rsid w:val="00C50104"/>
    <w:rsid w:val="00C50EEA"/>
    <w:rsid w:val="00C5144B"/>
    <w:rsid w:val="00C51E78"/>
    <w:rsid w:val="00C53600"/>
    <w:rsid w:val="00C54055"/>
    <w:rsid w:val="00C546AD"/>
    <w:rsid w:val="00C5483F"/>
    <w:rsid w:val="00C558DF"/>
    <w:rsid w:val="00C5601E"/>
    <w:rsid w:val="00C57DA7"/>
    <w:rsid w:val="00C6069C"/>
    <w:rsid w:val="00C60D0A"/>
    <w:rsid w:val="00C61830"/>
    <w:rsid w:val="00C62394"/>
    <w:rsid w:val="00C624BB"/>
    <w:rsid w:val="00C6284B"/>
    <w:rsid w:val="00C62C7D"/>
    <w:rsid w:val="00C634E2"/>
    <w:rsid w:val="00C63734"/>
    <w:rsid w:val="00C6390B"/>
    <w:rsid w:val="00C63E46"/>
    <w:rsid w:val="00C64A51"/>
    <w:rsid w:val="00C65E41"/>
    <w:rsid w:val="00C660A8"/>
    <w:rsid w:val="00C66562"/>
    <w:rsid w:val="00C671D1"/>
    <w:rsid w:val="00C6720A"/>
    <w:rsid w:val="00C70298"/>
    <w:rsid w:val="00C709E6"/>
    <w:rsid w:val="00C71500"/>
    <w:rsid w:val="00C717D2"/>
    <w:rsid w:val="00C72952"/>
    <w:rsid w:val="00C72E29"/>
    <w:rsid w:val="00C7306C"/>
    <w:rsid w:val="00C73889"/>
    <w:rsid w:val="00C7392D"/>
    <w:rsid w:val="00C7393D"/>
    <w:rsid w:val="00C73F89"/>
    <w:rsid w:val="00C759C9"/>
    <w:rsid w:val="00C7624D"/>
    <w:rsid w:val="00C76D16"/>
    <w:rsid w:val="00C77330"/>
    <w:rsid w:val="00C77DD6"/>
    <w:rsid w:val="00C8023B"/>
    <w:rsid w:val="00C803F9"/>
    <w:rsid w:val="00C803FF"/>
    <w:rsid w:val="00C81699"/>
    <w:rsid w:val="00C82337"/>
    <w:rsid w:val="00C82466"/>
    <w:rsid w:val="00C82474"/>
    <w:rsid w:val="00C84551"/>
    <w:rsid w:val="00C847B5"/>
    <w:rsid w:val="00C8490B"/>
    <w:rsid w:val="00C84AD6"/>
    <w:rsid w:val="00C8546E"/>
    <w:rsid w:val="00C8549B"/>
    <w:rsid w:val="00C860F9"/>
    <w:rsid w:val="00C862CB"/>
    <w:rsid w:val="00C86E94"/>
    <w:rsid w:val="00C8761E"/>
    <w:rsid w:val="00C8787A"/>
    <w:rsid w:val="00C8799E"/>
    <w:rsid w:val="00C87C3C"/>
    <w:rsid w:val="00C87DB0"/>
    <w:rsid w:val="00C90281"/>
    <w:rsid w:val="00C9086F"/>
    <w:rsid w:val="00C90F18"/>
    <w:rsid w:val="00C91176"/>
    <w:rsid w:val="00C923B1"/>
    <w:rsid w:val="00C940DB"/>
    <w:rsid w:val="00C941E4"/>
    <w:rsid w:val="00C94209"/>
    <w:rsid w:val="00C9427E"/>
    <w:rsid w:val="00C942CD"/>
    <w:rsid w:val="00C953A1"/>
    <w:rsid w:val="00C95447"/>
    <w:rsid w:val="00C95540"/>
    <w:rsid w:val="00C95A91"/>
    <w:rsid w:val="00C973EF"/>
    <w:rsid w:val="00C97B3C"/>
    <w:rsid w:val="00C97D78"/>
    <w:rsid w:val="00C97FE0"/>
    <w:rsid w:val="00CA04D2"/>
    <w:rsid w:val="00CA08C7"/>
    <w:rsid w:val="00CA0B01"/>
    <w:rsid w:val="00CA0D38"/>
    <w:rsid w:val="00CA0ED0"/>
    <w:rsid w:val="00CA127F"/>
    <w:rsid w:val="00CA1B75"/>
    <w:rsid w:val="00CA1C8A"/>
    <w:rsid w:val="00CA1DF8"/>
    <w:rsid w:val="00CA253A"/>
    <w:rsid w:val="00CA3124"/>
    <w:rsid w:val="00CA328F"/>
    <w:rsid w:val="00CA36F5"/>
    <w:rsid w:val="00CA3D6B"/>
    <w:rsid w:val="00CA3E68"/>
    <w:rsid w:val="00CA3EF1"/>
    <w:rsid w:val="00CA4471"/>
    <w:rsid w:val="00CA4A91"/>
    <w:rsid w:val="00CA4D1B"/>
    <w:rsid w:val="00CA52FB"/>
    <w:rsid w:val="00CA57A5"/>
    <w:rsid w:val="00CA5A6A"/>
    <w:rsid w:val="00CA6D7F"/>
    <w:rsid w:val="00CA71C0"/>
    <w:rsid w:val="00CA7A29"/>
    <w:rsid w:val="00CB04F0"/>
    <w:rsid w:val="00CB0D8D"/>
    <w:rsid w:val="00CB1576"/>
    <w:rsid w:val="00CB1C50"/>
    <w:rsid w:val="00CB213D"/>
    <w:rsid w:val="00CB29E7"/>
    <w:rsid w:val="00CB4520"/>
    <w:rsid w:val="00CB4931"/>
    <w:rsid w:val="00CB5246"/>
    <w:rsid w:val="00CB5A00"/>
    <w:rsid w:val="00CB5B76"/>
    <w:rsid w:val="00CB617D"/>
    <w:rsid w:val="00CB619C"/>
    <w:rsid w:val="00CB7932"/>
    <w:rsid w:val="00CB7972"/>
    <w:rsid w:val="00CB7AA8"/>
    <w:rsid w:val="00CB7EAA"/>
    <w:rsid w:val="00CB7FC7"/>
    <w:rsid w:val="00CB7FE7"/>
    <w:rsid w:val="00CC0567"/>
    <w:rsid w:val="00CC084D"/>
    <w:rsid w:val="00CC0C29"/>
    <w:rsid w:val="00CC0C33"/>
    <w:rsid w:val="00CC107C"/>
    <w:rsid w:val="00CC14BB"/>
    <w:rsid w:val="00CC1EB4"/>
    <w:rsid w:val="00CC3FAA"/>
    <w:rsid w:val="00CC40DF"/>
    <w:rsid w:val="00CC4A1F"/>
    <w:rsid w:val="00CC54FF"/>
    <w:rsid w:val="00CC5EDF"/>
    <w:rsid w:val="00CC6F8C"/>
    <w:rsid w:val="00CC756D"/>
    <w:rsid w:val="00CC7D81"/>
    <w:rsid w:val="00CD0DF0"/>
    <w:rsid w:val="00CD0E40"/>
    <w:rsid w:val="00CD10AF"/>
    <w:rsid w:val="00CD10B9"/>
    <w:rsid w:val="00CD1C20"/>
    <w:rsid w:val="00CD1C31"/>
    <w:rsid w:val="00CD2179"/>
    <w:rsid w:val="00CD2EF1"/>
    <w:rsid w:val="00CD3138"/>
    <w:rsid w:val="00CD34DB"/>
    <w:rsid w:val="00CD3539"/>
    <w:rsid w:val="00CD419C"/>
    <w:rsid w:val="00CD4249"/>
    <w:rsid w:val="00CD447F"/>
    <w:rsid w:val="00CD4647"/>
    <w:rsid w:val="00CD497B"/>
    <w:rsid w:val="00CD56F6"/>
    <w:rsid w:val="00CD57EE"/>
    <w:rsid w:val="00CD5886"/>
    <w:rsid w:val="00CD5A4B"/>
    <w:rsid w:val="00CD717C"/>
    <w:rsid w:val="00CD7245"/>
    <w:rsid w:val="00CD73ED"/>
    <w:rsid w:val="00CD77FB"/>
    <w:rsid w:val="00CD7CF4"/>
    <w:rsid w:val="00CE0F33"/>
    <w:rsid w:val="00CE15B6"/>
    <w:rsid w:val="00CE1773"/>
    <w:rsid w:val="00CE1E1A"/>
    <w:rsid w:val="00CE2CC9"/>
    <w:rsid w:val="00CE3937"/>
    <w:rsid w:val="00CE4378"/>
    <w:rsid w:val="00CE4586"/>
    <w:rsid w:val="00CE4618"/>
    <w:rsid w:val="00CE47AC"/>
    <w:rsid w:val="00CE515B"/>
    <w:rsid w:val="00CE561C"/>
    <w:rsid w:val="00CE58D2"/>
    <w:rsid w:val="00CE68E7"/>
    <w:rsid w:val="00CE68E9"/>
    <w:rsid w:val="00CE6963"/>
    <w:rsid w:val="00CE755C"/>
    <w:rsid w:val="00CE7960"/>
    <w:rsid w:val="00CE7C73"/>
    <w:rsid w:val="00CF067D"/>
    <w:rsid w:val="00CF146D"/>
    <w:rsid w:val="00CF14EA"/>
    <w:rsid w:val="00CF14F4"/>
    <w:rsid w:val="00CF1F77"/>
    <w:rsid w:val="00CF250E"/>
    <w:rsid w:val="00CF2836"/>
    <w:rsid w:val="00CF29C9"/>
    <w:rsid w:val="00CF33E4"/>
    <w:rsid w:val="00CF3448"/>
    <w:rsid w:val="00CF345C"/>
    <w:rsid w:val="00CF3A4E"/>
    <w:rsid w:val="00CF4AC9"/>
    <w:rsid w:val="00CF4B5E"/>
    <w:rsid w:val="00CF4C38"/>
    <w:rsid w:val="00CF61BC"/>
    <w:rsid w:val="00CF664F"/>
    <w:rsid w:val="00CF76AB"/>
    <w:rsid w:val="00CF775D"/>
    <w:rsid w:val="00CF7995"/>
    <w:rsid w:val="00CF7BC0"/>
    <w:rsid w:val="00CF7BCA"/>
    <w:rsid w:val="00D00395"/>
    <w:rsid w:val="00D008CB"/>
    <w:rsid w:val="00D00A13"/>
    <w:rsid w:val="00D01624"/>
    <w:rsid w:val="00D0174D"/>
    <w:rsid w:val="00D018A4"/>
    <w:rsid w:val="00D02F7E"/>
    <w:rsid w:val="00D033B7"/>
    <w:rsid w:val="00D0369C"/>
    <w:rsid w:val="00D048EA"/>
    <w:rsid w:val="00D04A5F"/>
    <w:rsid w:val="00D0526E"/>
    <w:rsid w:val="00D05AA7"/>
    <w:rsid w:val="00D06862"/>
    <w:rsid w:val="00D06C33"/>
    <w:rsid w:val="00D07DE2"/>
    <w:rsid w:val="00D114E1"/>
    <w:rsid w:val="00D11BC8"/>
    <w:rsid w:val="00D11D01"/>
    <w:rsid w:val="00D12296"/>
    <w:rsid w:val="00D12695"/>
    <w:rsid w:val="00D126AA"/>
    <w:rsid w:val="00D13015"/>
    <w:rsid w:val="00D130AA"/>
    <w:rsid w:val="00D133E1"/>
    <w:rsid w:val="00D1466A"/>
    <w:rsid w:val="00D156B3"/>
    <w:rsid w:val="00D15E0F"/>
    <w:rsid w:val="00D1628D"/>
    <w:rsid w:val="00D16F1A"/>
    <w:rsid w:val="00D201D7"/>
    <w:rsid w:val="00D2050F"/>
    <w:rsid w:val="00D207E6"/>
    <w:rsid w:val="00D213C8"/>
    <w:rsid w:val="00D21E65"/>
    <w:rsid w:val="00D220DD"/>
    <w:rsid w:val="00D221FC"/>
    <w:rsid w:val="00D23487"/>
    <w:rsid w:val="00D23EC0"/>
    <w:rsid w:val="00D24C1B"/>
    <w:rsid w:val="00D252D7"/>
    <w:rsid w:val="00D25A8A"/>
    <w:rsid w:val="00D25B2D"/>
    <w:rsid w:val="00D261A4"/>
    <w:rsid w:val="00D264F8"/>
    <w:rsid w:val="00D2690F"/>
    <w:rsid w:val="00D304BB"/>
    <w:rsid w:val="00D3249F"/>
    <w:rsid w:val="00D32998"/>
    <w:rsid w:val="00D33417"/>
    <w:rsid w:val="00D337B6"/>
    <w:rsid w:val="00D33988"/>
    <w:rsid w:val="00D33A20"/>
    <w:rsid w:val="00D33A37"/>
    <w:rsid w:val="00D33B00"/>
    <w:rsid w:val="00D34050"/>
    <w:rsid w:val="00D34469"/>
    <w:rsid w:val="00D346AF"/>
    <w:rsid w:val="00D351FF"/>
    <w:rsid w:val="00D36455"/>
    <w:rsid w:val="00D36521"/>
    <w:rsid w:val="00D37019"/>
    <w:rsid w:val="00D37591"/>
    <w:rsid w:val="00D376B6"/>
    <w:rsid w:val="00D377A2"/>
    <w:rsid w:val="00D40363"/>
    <w:rsid w:val="00D406CC"/>
    <w:rsid w:val="00D41145"/>
    <w:rsid w:val="00D4172D"/>
    <w:rsid w:val="00D41EF5"/>
    <w:rsid w:val="00D4238E"/>
    <w:rsid w:val="00D42709"/>
    <w:rsid w:val="00D42E8F"/>
    <w:rsid w:val="00D43345"/>
    <w:rsid w:val="00D444D7"/>
    <w:rsid w:val="00D44C4B"/>
    <w:rsid w:val="00D45552"/>
    <w:rsid w:val="00D46892"/>
    <w:rsid w:val="00D46A14"/>
    <w:rsid w:val="00D479D8"/>
    <w:rsid w:val="00D5000A"/>
    <w:rsid w:val="00D5063A"/>
    <w:rsid w:val="00D51FFB"/>
    <w:rsid w:val="00D52867"/>
    <w:rsid w:val="00D53E93"/>
    <w:rsid w:val="00D54956"/>
    <w:rsid w:val="00D5503A"/>
    <w:rsid w:val="00D5518D"/>
    <w:rsid w:val="00D55321"/>
    <w:rsid w:val="00D5619C"/>
    <w:rsid w:val="00D56925"/>
    <w:rsid w:val="00D56ACA"/>
    <w:rsid w:val="00D56BC9"/>
    <w:rsid w:val="00D56C5F"/>
    <w:rsid w:val="00D5737A"/>
    <w:rsid w:val="00D57B2A"/>
    <w:rsid w:val="00D60717"/>
    <w:rsid w:val="00D60892"/>
    <w:rsid w:val="00D60C03"/>
    <w:rsid w:val="00D60DFD"/>
    <w:rsid w:val="00D60FD5"/>
    <w:rsid w:val="00D61312"/>
    <w:rsid w:val="00D613F8"/>
    <w:rsid w:val="00D61835"/>
    <w:rsid w:val="00D642A3"/>
    <w:rsid w:val="00D64426"/>
    <w:rsid w:val="00D64ABD"/>
    <w:rsid w:val="00D6524D"/>
    <w:rsid w:val="00D65CBF"/>
    <w:rsid w:val="00D66584"/>
    <w:rsid w:val="00D67440"/>
    <w:rsid w:val="00D679C1"/>
    <w:rsid w:val="00D7074E"/>
    <w:rsid w:val="00D70FA1"/>
    <w:rsid w:val="00D7138B"/>
    <w:rsid w:val="00D713C1"/>
    <w:rsid w:val="00D71565"/>
    <w:rsid w:val="00D7231F"/>
    <w:rsid w:val="00D72C95"/>
    <w:rsid w:val="00D73192"/>
    <w:rsid w:val="00D73667"/>
    <w:rsid w:val="00D7384F"/>
    <w:rsid w:val="00D76708"/>
    <w:rsid w:val="00D76D81"/>
    <w:rsid w:val="00D76FDF"/>
    <w:rsid w:val="00D77D82"/>
    <w:rsid w:val="00D8052A"/>
    <w:rsid w:val="00D81BA0"/>
    <w:rsid w:val="00D821C1"/>
    <w:rsid w:val="00D8261E"/>
    <w:rsid w:val="00D8275F"/>
    <w:rsid w:val="00D82B70"/>
    <w:rsid w:val="00D83077"/>
    <w:rsid w:val="00D85469"/>
    <w:rsid w:val="00D85800"/>
    <w:rsid w:val="00D85895"/>
    <w:rsid w:val="00D8630D"/>
    <w:rsid w:val="00D86D76"/>
    <w:rsid w:val="00D872B2"/>
    <w:rsid w:val="00D9053F"/>
    <w:rsid w:val="00D907DA"/>
    <w:rsid w:val="00D9081C"/>
    <w:rsid w:val="00D9091A"/>
    <w:rsid w:val="00D91830"/>
    <w:rsid w:val="00D919F4"/>
    <w:rsid w:val="00D91D8A"/>
    <w:rsid w:val="00D927F0"/>
    <w:rsid w:val="00D9376D"/>
    <w:rsid w:val="00D93BAC"/>
    <w:rsid w:val="00D93C31"/>
    <w:rsid w:val="00D93DA7"/>
    <w:rsid w:val="00D942AB"/>
    <w:rsid w:val="00D94701"/>
    <w:rsid w:val="00D94C5C"/>
    <w:rsid w:val="00D94FAF"/>
    <w:rsid w:val="00D95737"/>
    <w:rsid w:val="00D96410"/>
    <w:rsid w:val="00D96678"/>
    <w:rsid w:val="00D969F3"/>
    <w:rsid w:val="00D970F3"/>
    <w:rsid w:val="00D9787A"/>
    <w:rsid w:val="00D9790B"/>
    <w:rsid w:val="00D97FC0"/>
    <w:rsid w:val="00DA0108"/>
    <w:rsid w:val="00DA0ADA"/>
    <w:rsid w:val="00DA0AE6"/>
    <w:rsid w:val="00DA0F05"/>
    <w:rsid w:val="00DA1150"/>
    <w:rsid w:val="00DA241A"/>
    <w:rsid w:val="00DA2724"/>
    <w:rsid w:val="00DA3EE6"/>
    <w:rsid w:val="00DA410C"/>
    <w:rsid w:val="00DA4707"/>
    <w:rsid w:val="00DA4AE4"/>
    <w:rsid w:val="00DA4F16"/>
    <w:rsid w:val="00DA5627"/>
    <w:rsid w:val="00DA587E"/>
    <w:rsid w:val="00DA5CC5"/>
    <w:rsid w:val="00DA60BE"/>
    <w:rsid w:val="00DA6435"/>
    <w:rsid w:val="00DA645D"/>
    <w:rsid w:val="00DA64BE"/>
    <w:rsid w:val="00DB0399"/>
    <w:rsid w:val="00DB0FF6"/>
    <w:rsid w:val="00DB22A2"/>
    <w:rsid w:val="00DB319D"/>
    <w:rsid w:val="00DB3A87"/>
    <w:rsid w:val="00DB3AA6"/>
    <w:rsid w:val="00DB3C27"/>
    <w:rsid w:val="00DB412B"/>
    <w:rsid w:val="00DB41BD"/>
    <w:rsid w:val="00DB4573"/>
    <w:rsid w:val="00DB5452"/>
    <w:rsid w:val="00DB5822"/>
    <w:rsid w:val="00DB590B"/>
    <w:rsid w:val="00DB5BD7"/>
    <w:rsid w:val="00DB6477"/>
    <w:rsid w:val="00DB6B1C"/>
    <w:rsid w:val="00DB6DE7"/>
    <w:rsid w:val="00DB739E"/>
    <w:rsid w:val="00DB7A68"/>
    <w:rsid w:val="00DC0F5C"/>
    <w:rsid w:val="00DC1FFE"/>
    <w:rsid w:val="00DC244B"/>
    <w:rsid w:val="00DC2466"/>
    <w:rsid w:val="00DC26A4"/>
    <w:rsid w:val="00DC2870"/>
    <w:rsid w:val="00DC2AA3"/>
    <w:rsid w:val="00DC3269"/>
    <w:rsid w:val="00DC41EA"/>
    <w:rsid w:val="00DC4720"/>
    <w:rsid w:val="00DC4799"/>
    <w:rsid w:val="00DC4AB7"/>
    <w:rsid w:val="00DC5BBB"/>
    <w:rsid w:val="00DC5D60"/>
    <w:rsid w:val="00DC5E2A"/>
    <w:rsid w:val="00DC615D"/>
    <w:rsid w:val="00DC64BB"/>
    <w:rsid w:val="00DC6DF9"/>
    <w:rsid w:val="00DC754D"/>
    <w:rsid w:val="00DD16D3"/>
    <w:rsid w:val="00DD176A"/>
    <w:rsid w:val="00DD1815"/>
    <w:rsid w:val="00DD1BAA"/>
    <w:rsid w:val="00DD1FD7"/>
    <w:rsid w:val="00DD20B6"/>
    <w:rsid w:val="00DD2501"/>
    <w:rsid w:val="00DD26D5"/>
    <w:rsid w:val="00DD2B64"/>
    <w:rsid w:val="00DD32D5"/>
    <w:rsid w:val="00DD33BD"/>
    <w:rsid w:val="00DD3892"/>
    <w:rsid w:val="00DD464D"/>
    <w:rsid w:val="00DD4AF2"/>
    <w:rsid w:val="00DD4C9A"/>
    <w:rsid w:val="00DD5EF2"/>
    <w:rsid w:val="00DD6C3A"/>
    <w:rsid w:val="00DD7121"/>
    <w:rsid w:val="00DD7386"/>
    <w:rsid w:val="00DD7882"/>
    <w:rsid w:val="00DE021F"/>
    <w:rsid w:val="00DE0B15"/>
    <w:rsid w:val="00DE103E"/>
    <w:rsid w:val="00DE16FC"/>
    <w:rsid w:val="00DE1FE4"/>
    <w:rsid w:val="00DE2690"/>
    <w:rsid w:val="00DE2C9B"/>
    <w:rsid w:val="00DE3765"/>
    <w:rsid w:val="00DE4468"/>
    <w:rsid w:val="00DE44B8"/>
    <w:rsid w:val="00DE45B3"/>
    <w:rsid w:val="00DE4601"/>
    <w:rsid w:val="00DE4B58"/>
    <w:rsid w:val="00DE5775"/>
    <w:rsid w:val="00DE5851"/>
    <w:rsid w:val="00DE5FC1"/>
    <w:rsid w:val="00DE6640"/>
    <w:rsid w:val="00DE71DA"/>
    <w:rsid w:val="00DE71F1"/>
    <w:rsid w:val="00DE7767"/>
    <w:rsid w:val="00DE79C2"/>
    <w:rsid w:val="00DE7D42"/>
    <w:rsid w:val="00DF0430"/>
    <w:rsid w:val="00DF1072"/>
    <w:rsid w:val="00DF27CD"/>
    <w:rsid w:val="00DF2EF4"/>
    <w:rsid w:val="00DF3138"/>
    <w:rsid w:val="00DF3A3E"/>
    <w:rsid w:val="00DF43CF"/>
    <w:rsid w:val="00DF44C5"/>
    <w:rsid w:val="00DF483D"/>
    <w:rsid w:val="00DF4A2F"/>
    <w:rsid w:val="00DF52C3"/>
    <w:rsid w:val="00DF53CD"/>
    <w:rsid w:val="00DF5926"/>
    <w:rsid w:val="00DF5B61"/>
    <w:rsid w:val="00DF5BA4"/>
    <w:rsid w:val="00DF6224"/>
    <w:rsid w:val="00DF63F7"/>
    <w:rsid w:val="00DF65AC"/>
    <w:rsid w:val="00DF6A07"/>
    <w:rsid w:val="00DF6C51"/>
    <w:rsid w:val="00DF75F0"/>
    <w:rsid w:val="00DF7682"/>
    <w:rsid w:val="00DF7AF0"/>
    <w:rsid w:val="00DF7BB2"/>
    <w:rsid w:val="00DF7C33"/>
    <w:rsid w:val="00E0015B"/>
    <w:rsid w:val="00E008EB"/>
    <w:rsid w:val="00E009F9"/>
    <w:rsid w:val="00E00A5F"/>
    <w:rsid w:val="00E00D05"/>
    <w:rsid w:val="00E00E88"/>
    <w:rsid w:val="00E01A19"/>
    <w:rsid w:val="00E01B51"/>
    <w:rsid w:val="00E01FC9"/>
    <w:rsid w:val="00E0245E"/>
    <w:rsid w:val="00E02634"/>
    <w:rsid w:val="00E02A9E"/>
    <w:rsid w:val="00E03767"/>
    <w:rsid w:val="00E03949"/>
    <w:rsid w:val="00E03C73"/>
    <w:rsid w:val="00E04ABF"/>
    <w:rsid w:val="00E04E3D"/>
    <w:rsid w:val="00E05A57"/>
    <w:rsid w:val="00E05BE2"/>
    <w:rsid w:val="00E07225"/>
    <w:rsid w:val="00E0758D"/>
    <w:rsid w:val="00E1038F"/>
    <w:rsid w:val="00E1048E"/>
    <w:rsid w:val="00E10E6C"/>
    <w:rsid w:val="00E126C2"/>
    <w:rsid w:val="00E130B2"/>
    <w:rsid w:val="00E1326D"/>
    <w:rsid w:val="00E13581"/>
    <w:rsid w:val="00E13BB4"/>
    <w:rsid w:val="00E13C4F"/>
    <w:rsid w:val="00E13F64"/>
    <w:rsid w:val="00E14233"/>
    <w:rsid w:val="00E14B7E"/>
    <w:rsid w:val="00E14B9E"/>
    <w:rsid w:val="00E15CC7"/>
    <w:rsid w:val="00E1662A"/>
    <w:rsid w:val="00E16BB8"/>
    <w:rsid w:val="00E17A67"/>
    <w:rsid w:val="00E20656"/>
    <w:rsid w:val="00E20E63"/>
    <w:rsid w:val="00E213DC"/>
    <w:rsid w:val="00E21D73"/>
    <w:rsid w:val="00E22313"/>
    <w:rsid w:val="00E2275F"/>
    <w:rsid w:val="00E2312F"/>
    <w:rsid w:val="00E239EB"/>
    <w:rsid w:val="00E241EF"/>
    <w:rsid w:val="00E25978"/>
    <w:rsid w:val="00E2608B"/>
    <w:rsid w:val="00E2627E"/>
    <w:rsid w:val="00E264EA"/>
    <w:rsid w:val="00E272C0"/>
    <w:rsid w:val="00E301F2"/>
    <w:rsid w:val="00E30EE2"/>
    <w:rsid w:val="00E31395"/>
    <w:rsid w:val="00E32B4E"/>
    <w:rsid w:val="00E33138"/>
    <w:rsid w:val="00E33841"/>
    <w:rsid w:val="00E33C0F"/>
    <w:rsid w:val="00E3562B"/>
    <w:rsid w:val="00E35AB5"/>
    <w:rsid w:val="00E36A05"/>
    <w:rsid w:val="00E36FEA"/>
    <w:rsid w:val="00E3728D"/>
    <w:rsid w:val="00E3737B"/>
    <w:rsid w:val="00E3750C"/>
    <w:rsid w:val="00E37718"/>
    <w:rsid w:val="00E37885"/>
    <w:rsid w:val="00E37FD2"/>
    <w:rsid w:val="00E40208"/>
    <w:rsid w:val="00E40718"/>
    <w:rsid w:val="00E4071A"/>
    <w:rsid w:val="00E40826"/>
    <w:rsid w:val="00E41171"/>
    <w:rsid w:val="00E4164F"/>
    <w:rsid w:val="00E417E5"/>
    <w:rsid w:val="00E41EB7"/>
    <w:rsid w:val="00E4229E"/>
    <w:rsid w:val="00E425F1"/>
    <w:rsid w:val="00E426BE"/>
    <w:rsid w:val="00E430F6"/>
    <w:rsid w:val="00E43A6E"/>
    <w:rsid w:val="00E43EF8"/>
    <w:rsid w:val="00E4425F"/>
    <w:rsid w:val="00E44620"/>
    <w:rsid w:val="00E4469E"/>
    <w:rsid w:val="00E44BEE"/>
    <w:rsid w:val="00E44F64"/>
    <w:rsid w:val="00E4518F"/>
    <w:rsid w:val="00E463A3"/>
    <w:rsid w:val="00E46A84"/>
    <w:rsid w:val="00E500EF"/>
    <w:rsid w:val="00E50446"/>
    <w:rsid w:val="00E50FE1"/>
    <w:rsid w:val="00E5190B"/>
    <w:rsid w:val="00E51C1B"/>
    <w:rsid w:val="00E524F3"/>
    <w:rsid w:val="00E52825"/>
    <w:rsid w:val="00E5304C"/>
    <w:rsid w:val="00E5305C"/>
    <w:rsid w:val="00E530D2"/>
    <w:rsid w:val="00E53102"/>
    <w:rsid w:val="00E53B5A"/>
    <w:rsid w:val="00E53C22"/>
    <w:rsid w:val="00E54246"/>
    <w:rsid w:val="00E543A8"/>
    <w:rsid w:val="00E55206"/>
    <w:rsid w:val="00E56981"/>
    <w:rsid w:val="00E57635"/>
    <w:rsid w:val="00E57643"/>
    <w:rsid w:val="00E57884"/>
    <w:rsid w:val="00E57986"/>
    <w:rsid w:val="00E57D77"/>
    <w:rsid w:val="00E601A4"/>
    <w:rsid w:val="00E60C35"/>
    <w:rsid w:val="00E61134"/>
    <w:rsid w:val="00E6206E"/>
    <w:rsid w:val="00E6220C"/>
    <w:rsid w:val="00E62385"/>
    <w:rsid w:val="00E62F8C"/>
    <w:rsid w:val="00E6313F"/>
    <w:rsid w:val="00E631B4"/>
    <w:rsid w:val="00E63227"/>
    <w:rsid w:val="00E63E57"/>
    <w:rsid w:val="00E63EE8"/>
    <w:rsid w:val="00E648AC"/>
    <w:rsid w:val="00E6508B"/>
    <w:rsid w:val="00E6511D"/>
    <w:rsid w:val="00E6589F"/>
    <w:rsid w:val="00E65C1C"/>
    <w:rsid w:val="00E66155"/>
    <w:rsid w:val="00E66D00"/>
    <w:rsid w:val="00E66DE5"/>
    <w:rsid w:val="00E67D09"/>
    <w:rsid w:val="00E70B3D"/>
    <w:rsid w:val="00E70B54"/>
    <w:rsid w:val="00E7130F"/>
    <w:rsid w:val="00E71F9A"/>
    <w:rsid w:val="00E72A20"/>
    <w:rsid w:val="00E73B0E"/>
    <w:rsid w:val="00E74372"/>
    <w:rsid w:val="00E74B15"/>
    <w:rsid w:val="00E75599"/>
    <w:rsid w:val="00E76332"/>
    <w:rsid w:val="00E76BD2"/>
    <w:rsid w:val="00E774B5"/>
    <w:rsid w:val="00E77B37"/>
    <w:rsid w:val="00E800C2"/>
    <w:rsid w:val="00E81212"/>
    <w:rsid w:val="00E815AC"/>
    <w:rsid w:val="00E822ED"/>
    <w:rsid w:val="00E82A42"/>
    <w:rsid w:val="00E82F36"/>
    <w:rsid w:val="00E832A6"/>
    <w:rsid w:val="00E83492"/>
    <w:rsid w:val="00E8361B"/>
    <w:rsid w:val="00E8393D"/>
    <w:rsid w:val="00E83FAC"/>
    <w:rsid w:val="00E84446"/>
    <w:rsid w:val="00E84A0B"/>
    <w:rsid w:val="00E84B07"/>
    <w:rsid w:val="00E8515A"/>
    <w:rsid w:val="00E853C2"/>
    <w:rsid w:val="00E853CC"/>
    <w:rsid w:val="00E855DB"/>
    <w:rsid w:val="00E86371"/>
    <w:rsid w:val="00E86C44"/>
    <w:rsid w:val="00E86EF4"/>
    <w:rsid w:val="00E86FC6"/>
    <w:rsid w:val="00E90509"/>
    <w:rsid w:val="00E909C0"/>
    <w:rsid w:val="00E90FAB"/>
    <w:rsid w:val="00E91281"/>
    <w:rsid w:val="00E913F2"/>
    <w:rsid w:val="00E9150F"/>
    <w:rsid w:val="00E9152A"/>
    <w:rsid w:val="00E92076"/>
    <w:rsid w:val="00E928E9"/>
    <w:rsid w:val="00E9321E"/>
    <w:rsid w:val="00E93524"/>
    <w:rsid w:val="00E940CC"/>
    <w:rsid w:val="00E9417B"/>
    <w:rsid w:val="00E9441F"/>
    <w:rsid w:val="00E94456"/>
    <w:rsid w:val="00E94653"/>
    <w:rsid w:val="00E9491C"/>
    <w:rsid w:val="00E94D03"/>
    <w:rsid w:val="00E953CF"/>
    <w:rsid w:val="00E954AC"/>
    <w:rsid w:val="00E954B0"/>
    <w:rsid w:val="00E958E9"/>
    <w:rsid w:val="00E95F1B"/>
    <w:rsid w:val="00E964B9"/>
    <w:rsid w:val="00E96696"/>
    <w:rsid w:val="00E96996"/>
    <w:rsid w:val="00E971CD"/>
    <w:rsid w:val="00E97630"/>
    <w:rsid w:val="00E97949"/>
    <w:rsid w:val="00EA1C03"/>
    <w:rsid w:val="00EA1C28"/>
    <w:rsid w:val="00EA2329"/>
    <w:rsid w:val="00EA2E76"/>
    <w:rsid w:val="00EA300E"/>
    <w:rsid w:val="00EA304C"/>
    <w:rsid w:val="00EA30D5"/>
    <w:rsid w:val="00EA3425"/>
    <w:rsid w:val="00EA3639"/>
    <w:rsid w:val="00EA46D2"/>
    <w:rsid w:val="00EA4E6F"/>
    <w:rsid w:val="00EA5C52"/>
    <w:rsid w:val="00EA6026"/>
    <w:rsid w:val="00EA70B3"/>
    <w:rsid w:val="00EA722E"/>
    <w:rsid w:val="00EA727E"/>
    <w:rsid w:val="00EA72A8"/>
    <w:rsid w:val="00EA747F"/>
    <w:rsid w:val="00EB115B"/>
    <w:rsid w:val="00EB1F35"/>
    <w:rsid w:val="00EB1FC8"/>
    <w:rsid w:val="00EB25C7"/>
    <w:rsid w:val="00EB2A7A"/>
    <w:rsid w:val="00EB2D43"/>
    <w:rsid w:val="00EB2D86"/>
    <w:rsid w:val="00EB37B4"/>
    <w:rsid w:val="00EB3DDC"/>
    <w:rsid w:val="00EB4423"/>
    <w:rsid w:val="00EB495B"/>
    <w:rsid w:val="00EB4C22"/>
    <w:rsid w:val="00EB50EF"/>
    <w:rsid w:val="00EB599F"/>
    <w:rsid w:val="00EB6128"/>
    <w:rsid w:val="00EB61BD"/>
    <w:rsid w:val="00EB61D6"/>
    <w:rsid w:val="00EB65A0"/>
    <w:rsid w:val="00EB6D60"/>
    <w:rsid w:val="00EB75D0"/>
    <w:rsid w:val="00EB76C4"/>
    <w:rsid w:val="00EB7A68"/>
    <w:rsid w:val="00EB7E64"/>
    <w:rsid w:val="00EB7EDE"/>
    <w:rsid w:val="00EC0237"/>
    <w:rsid w:val="00EC0B43"/>
    <w:rsid w:val="00EC1386"/>
    <w:rsid w:val="00EC1BBF"/>
    <w:rsid w:val="00EC1C4A"/>
    <w:rsid w:val="00EC1C92"/>
    <w:rsid w:val="00EC1CCB"/>
    <w:rsid w:val="00EC29BF"/>
    <w:rsid w:val="00EC2F63"/>
    <w:rsid w:val="00EC2F89"/>
    <w:rsid w:val="00EC39E3"/>
    <w:rsid w:val="00EC39F6"/>
    <w:rsid w:val="00EC3B6E"/>
    <w:rsid w:val="00EC3CE9"/>
    <w:rsid w:val="00EC45C5"/>
    <w:rsid w:val="00EC526F"/>
    <w:rsid w:val="00EC5367"/>
    <w:rsid w:val="00EC580F"/>
    <w:rsid w:val="00EC6C47"/>
    <w:rsid w:val="00EC6FA0"/>
    <w:rsid w:val="00EC78EF"/>
    <w:rsid w:val="00EC79A1"/>
    <w:rsid w:val="00ED0DC0"/>
    <w:rsid w:val="00ED2993"/>
    <w:rsid w:val="00ED3F2D"/>
    <w:rsid w:val="00ED4617"/>
    <w:rsid w:val="00ED4BDD"/>
    <w:rsid w:val="00ED4CE1"/>
    <w:rsid w:val="00ED4F85"/>
    <w:rsid w:val="00ED55BA"/>
    <w:rsid w:val="00ED5B29"/>
    <w:rsid w:val="00ED5ED6"/>
    <w:rsid w:val="00ED60F1"/>
    <w:rsid w:val="00ED6299"/>
    <w:rsid w:val="00ED7170"/>
    <w:rsid w:val="00ED743B"/>
    <w:rsid w:val="00ED74C6"/>
    <w:rsid w:val="00ED7E16"/>
    <w:rsid w:val="00EE18F1"/>
    <w:rsid w:val="00EE1C7B"/>
    <w:rsid w:val="00EE2BDD"/>
    <w:rsid w:val="00EE3640"/>
    <w:rsid w:val="00EE3686"/>
    <w:rsid w:val="00EE4405"/>
    <w:rsid w:val="00EE4480"/>
    <w:rsid w:val="00EE4C56"/>
    <w:rsid w:val="00EE4F5B"/>
    <w:rsid w:val="00EE547C"/>
    <w:rsid w:val="00EE57C4"/>
    <w:rsid w:val="00EE5CA0"/>
    <w:rsid w:val="00EE60C3"/>
    <w:rsid w:val="00EE6790"/>
    <w:rsid w:val="00EE75A3"/>
    <w:rsid w:val="00EE78CC"/>
    <w:rsid w:val="00EE7A95"/>
    <w:rsid w:val="00EF04BF"/>
    <w:rsid w:val="00EF051E"/>
    <w:rsid w:val="00EF0563"/>
    <w:rsid w:val="00EF0FC4"/>
    <w:rsid w:val="00EF124E"/>
    <w:rsid w:val="00EF126D"/>
    <w:rsid w:val="00EF1D62"/>
    <w:rsid w:val="00EF2304"/>
    <w:rsid w:val="00EF27C4"/>
    <w:rsid w:val="00EF2D0B"/>
    <w:rsid w:val="00EF3E55"/>
    <w:rsid w:val="00EF4601"/>
    <w:rsid w:val="00EF4A55"/>
    <w:rsid w:val="00EF4B24"/>
    <w:rsid w:val="00EF5CB1"/>
    <w:rsid w:val="00EF636B"/>
    <w:rsid w:val="00EF6BDB"/>
    <w:rsid w:val="00EF70C7"/>
    <w:rsid w:val="00F00240"/>
    <w:rsid w:val="00F00294"/>
    <w:rsid w:val="00F00D26"/>
    <w:rsid w:val="00F01254"/>
    <w:rsid w:val="00F01767"/>
    <w:rsid w:val="00F019ED"/>
    <w:rsid w:val="00F01A8F"/>
    <w:rsid w:val="00F01E72"/>
    <w:rsid w:val="00F03A16"/>
    <w:rsid w:val="00F0544D"/>
    <w:rsid w:val="00F05ED5"/>
    <w:rsid w:val="00F0675B"/>
    <w:rsid w:val="00F075CE"/>
    <w:rsid w:val="00F0766F"/>
    <w:rsid w:val="00F07BC6"/>
    <w:rsid w:val="00F10331"/>
    <w:rsid w:val="00F1044C"/>
    <w:rsid w:val="00F107EA"/>
    <w:rsid w:val="00F113D4"/>
    <w:rsid w:val="00F115C3"/>
    <w:rsid w:val="00F1160E"/>
    <w:rsid w:val="00F11B13"/>
    <w:rsid w:val="00F11E69"/>
    <w:rsid w:val="00F1223A"/>
    <w:rsid w:val="00F12676"/>
    <w:rsid w:val="00F13226"/>
    <w:rsid w:val="00F1343D"/>
    <w:rsid w:val="00F13464"/>
    <w:rsid w:val="00F13D94"/>
    <w:rsid w:val="00F151B7"/>
    <w:rsid w:val="00F15234"/>
    <w:rsid w:val="00F15431"/>
    <w:rsid w:val="00F155EE"/>
    <w:rsid w:val="00F15FBF"/>
    <w:rsid w:val="00F16ABA"/>
    <w:rsid w:val="00F16D4A"/>
    <w:rsid w:val="00F17D39"/>
    <w:rsid w:val="00F200FA"/>
    <w:rsid w:val="00F204E8"/>
    <w:rsid w:val="00F20CC1"/>
    <w:rsid w:val="00F20CF1"/>
    <w:rsid w:val="00F216B7"/>
    <w:rsid w:val="00F2202C"/>
    <w:rsid w:val="00F225E5"/>
    <w:rsid w:val="00F245FD"/>
    <w:rsid w:val="00F24CED"/>
    <w:rsid w:val="00F252ED"/>
    <w:rsid w:val="00F25385"/>
    <w:rsid w:val="00F25812"/>
    <w:rsid w:val="00F25917"/>
    <w:rsid w:val="00F26304"/>
    <w:rsid w:val="00F26EA8"/>
    <w:rsid w:val="00F273E9"/>
    <w:rsid w:val="00F3070A"/>
    <w:rsid w:val="00F30804"/>
    <w:rsid w:val="00F30A4A"/>
    <w:rsid w:val="00F30D5E"/>
    <w:rsid w:val="00F30D65"/>
    <w:rsid w:val="00F30D93"/>
    <w:rsid w:val="00F3110A"/>
    <w:rsid w:val="00F312CC"/>
    <w:rsid w:val="00F3131B"/>
    <w:rsid w:val="00F31CDB"/>
    <w:rsid w:val="00F31FD3"/>
    <w:rsid w:val="00F32B68"/>
    <w:rsid w:val="00F32DDE"/>
    <w:rsid w:val="00F32FF4"/>
    <w:rsid w:val="00F33C54"/>
    <w:rsid w:val="00F34480"/>
    <w:rsid w:val="00F34F31"/>
    <w:rsid w:val="00F3581D"/>
    <w:rsid w:val="00F35D85"/>
    <w:rsid w:val="00F35EBB"/>
    <w:rsid w:val="00F3604D"/>
    <w:rsid w:val="00F364F5"/>
    <w:rsid w:val="00F3652B"/>
    <w:rsid w:val="00F36673"/>
    <w:rsid w:val="00F375E5"/>
    <w:rsid w:val="00F37A5E"/>
    <w:rsid w:val="00F37F18"/>
    <w:rsid w:val="00F4015D"/>
    <w:rsid w:val="00F404B0"/>
    <w:rsid w:val="00F4080A"/>
    <w:rsid w:val="00F408E7"/>
    <w:rsid w:val="00F40BCD"/>
    <w:rsid w:val="00F41917"/>
    <w:rsid w:val="00F41D4A"/>
    <w:rsid w:val="00F42512"/>
    <w:rsid w:val="00F42F2D"/>
    <w:rsid w:val="00F43A06"/>
    <w:rsid w:val="00F443DF"/>
    <w:rsid w:val="00F448CF"/>
    <w:rsid w:val="00F45115"/>
    <w:rsid w:val="00F45253"/>
    <w:rsid w:val="00F45377"/>
    <w:rsid w:val="00F4617A"/>
    <w:rsid w:val="00F464BC"/>
    <w:rsid w:val="00F4651C"/>
    <w:rsid w:val="00F4665E"/>
    <w:rsid w:val="00F46DAB"/>
    <w:rsid w:val="00F47410"/>
    <w:rsid w:val="00F47B0F"/>
    <w:rsid w:val="00F47F02"/>
    <w:rsid w:val="00F50650"/>
    <w:rsid w:val="00F510BD"/>
    <w:rsid w:val="00F513C9"/>
    <w:rsid w:val="00F517FD"/>
    <w:rsid w:val="00F52298"/>
    <w:rsid w:val="00F52482"/>
    <w:rsid w:val="00F525B9"/>
    <w:rsid w:val="00F53713"/>
    <w:rsid w:val="00F53DAE"/>
    <w:rsid w:val="00F53FB7"/>
    <w:rsid w:val="00F54BC6"/>
    <w:rsid w:val="00F551A8"/>
    <w:rsid w:val="00F55D6A"/>
    <w:rsid w:val="00F56EC3"/>
    <w:rsid w:val="00F605F1"/>
    <w:rsid w:val="00F60E11"/>
    <w:rsid w:val="00F61215"/>
    <w:rsid w:val="00F6156D"/>
    <w:rsid w:val="00F61B0B"/>
    <w:rsid w:val="00F62465"/>
    <w:rsid w:val="00F62822"/>
    <w:rsid w:val="00F62E5F"/>
    <w:rsid w:val="00F63473"/>
    <w:rsid w:val="00F63E63"/>
    <w:rsid w:val="00F647C2"/>
    <w:rsid w:val="00F64986"/>
    <w:rsid w:val="00F64A51"/>
    <w:rsid w:val="00F65A6E"/>
    <w:rsid w:val="00F66074"/>
    <w:rsid w:val="00F663F0"/>
    <w:rsid w:val="00F67DF8"/>
    <w:rsid w:val="00F706AE"/>
    <w:rsid w:val="00F70E5D"/>
    <w:rsid w:val="00F729B4"/>
    <w:rsid w:val="00F72ACE"/>
    <w:rsid w:val="00F72CAC"/>
    <w:rsid w:val="00F72F04"/>
    <w:rsid w:val="00F742E4"/>
    <w:rsid w:val="00F752B8"/>
    <w:rsid w:val="00F75B8E"/>
    <w:rsid w:val="00F7626D"/>
    <w:rsid w:val="00F77DB3"/>
    <w:rsid w:val="00F81313"/>
    <w:rsid w:val="00F813A4"/>
    <w:rsid w:val="00F813B0"/>
    <w:rsid w:val="00F81D74"/>
    <w:rsid w:val="00F81DC4"/>
    <w:rsid w:val="00F8223F"/>
    <w:rsid w:val="00F82BDB"/>
    <w:rsid w:val="00F83026"/>
    <w:rsid w:val="00F83525"/>
    <w:rsid w:val="00F83DD4"/>
    <w:rsid w:val="00F8433F"/>
    <w:rsid w:val="00F844F3"/>
    <w:rsid w:val="00F847DA"/>
    <w:rsid w:val="00F84970"/>
    <w:rsid w:val="00F85430"/>
    <w:rsid w:val="00F859E3"/>
    <w:rsid w:val="00F86463"/>
    <w:rsid w:val="00F86D41"/>
    <w:rsid w:val="00F87388"/>
    <w:rsid w:val="00F875BD"/>
    <w:rsid w:val="00F879DB"/>
    <w:rsid w:val="00F87D8F"/>
    <w:rsid w:val="00F903D6"/>
    <w:rsid w:val="00F914C3"/>
    <w:rsid w:val="00F91742"/>
    <w:rsid w:val="00F9195B"/>
    <w:rsid w:val="00F92362"/>
    <w:rsid w:val="00F92565"/>
    <w:rsid w:val="00F92EAF"/>
    <w:rsid w:val="00F935CB"/>
    <w:rsid w:val="00F9377D"/>
    <w:rsid w:val="00F93F7E"/>
    <w:rsid w:val="00F9414E"/>
    <w:rsid w:val="00F94624"/>
    <w:rsid w:val="00F94757"/>
    <w:rsid w:val="00F9538C"/>
    <w:rsid w:val="00F95750"/>
    <w:rsid w:val="00F96E4C"/>
    <w:rsid w:val="00F971D8"/>
    <w:rsid w:val="00F9768D"/>
    <w:rsid w:val="00F9780B"/>
    <w:rsid w:val="00F97B72"/>
    <w:rsid w:val="00FA0E58"/>
    <w:rsid w:val="00FA0EF9"/>
    <w:rsid w:val="00FA2201"/>
    <w:rsid w:val="00FA2740"/>
    <w:rsid w:val="00FA2E18"/>
    <w:rsid w:val="00FA30F4"/>
    <w:rsid w:val="00FA336C"/>
    <w:rsid w:val="00FA33EE"/>
    <w:rsid w:val="00FA38E7"/>
    <w:rsid w:val="00FA3B20"/>
    <w:rsid w:val="00FA3D01"/>
    <w:rsid w:val="00FA42F5"/>
    <w:rsid w:val="00FA53D2"/>
    <w:rsid w:val="00FA54CA"/>
    <w:rsid w:val="00FA5A96"/>
    <w:rsid w:val="00FA6897"/>
    <w:rsid w:val="00FA7946"/>
    <w:rsid w:val="00FA795F"/>
    <w:rsid w:val="00FA79D5"/>
    <w:rsid w:val="00FB092E"/>
    <w:rsid w:val="00FB0A20"/>
    <w:rsid w:val="00FB0CC3"/>
    <w:rsid w:val="00FB18DE"/>
    <w:rsid w:val="00FB1D39"/>
    <w:rsid w:val="00FB2C60"/>
    <w:rsid w:val="00FB3449"/>
    <w:rsid w:val="00FB37E4"/>
    <w:rsid w:val="00FB4DBB"/>
    <w:rsid w:val="00FB51C2"/>
    <w:rsid w:val="00FB562A"/>
    <w:rsid w:val="00FB5F7C"/>
    <w:rsid w:val="00FB60AA"/>
    <w:rsid w:val="00FB618D"/>
    <w:rsid w:val="00FB69A8"/>
    <w:rsid w:val="00FB6EA2"/>
    <w:rsid w:val="00FC00EC"/>
    <w:rsid w:val="00FC05E4"/>
    <w:rsid w:val="00FC0718"/>
    <w:rsid w:val="00FC189B"/>
    <w:rsid w:val="00FC1B91"/>
    <w:rsid w:val="00FC280F"/>
    <w:rsid w:val="00FC363F"/>
    <w:rsid w:val="00FC4175"/>
    <w:rsid w:val="00FC5313"/>
    <w:rsid w:val="00FC53F0"/>
    <w:rsid w:val="00FC5C94"/>
    <w:rsid w:val="00FC6016"/>
    <w:rsid w:val="00FC6160"/>
    <w:rsid w:val="00FC6B04"/>
    <w:rsid w:val="00FC6BD1"/>
    <w:rsid w:val="00FD0DD3"/>
    <w:rsid w:val="00FD1952"/>
    <w:rsid w:val="00FD1E71"/>
    <w:rsid w:val="00FD21D5"/>
    <w:rsid w:val="00FD21E7"/>
    <w:rsid w:val="00FD23A2"/>
    <w:rsid w:val="00FD2964"/>
    <w:rsid w:val="00FD2A81"/>
    <w:rsid w:val="00FD4531"/>
    <w:rsid w:val="00FD4717"/>
    <w:rsid w:val="00FD48B4"/>
    <w:rsid w:val="00FD48CF"/>
    <w:rsid w:val="00FD5104"/>
    <w:rsid w:val="00FD5F37"/>
    <w:rsid w:val="00FD6737"/>
    <w:rsid w:val="00FD7055"/>
    <w:rsid w:val="00FD70BD"/>
    <w:rsid w:val="00FD78D8"/>
    <w:rsid w:val="00FE05C9"/>
    <w:rsid w:val="00FE0942"/>
    <w:rsid w:val="00FE0D0E"/>
    <w:rsid w:val="00FE1017"/>
    <w:rsid w:val="00FE1064"/>
    <w:rsid w:val="00FE2189"/>
    <w:rsid w:val="00FE3807"/>
    <w:rsid w:val="00FE3934"/>
    <w:rsid w:val="00FE3A4B"/>
    <w:rsid w:val="00FE3A97"/>
    <w:rsid w:val="00FE4EC5"/>
    <w:rsid w:val="00FE4EE0"/>
    <w:rsid w:val="00FE4F89"/>
    <w:rsid w:val="00FE5059"/>
    <w:rsid w:val="00FE52FF"/>
    <w:rsid w:val="00FE5B08"/>
    <w:rsid w:val="00FE640F"/>
    <w:rsid w:val="00FE681D"/>
    <w:rsid w:val="00FE7193"/>
    <w:rsid w:val="00FE7620"/>
    <w:rsid w:val="00FE7B1F"/>
    <w:rsid w:val="00FF08D4"/>
    <w:rsid w:val="00FF0C80"/>
    <w:rsid w:val="00FF2869"/>
    <w:rsid w:val="00FF2A06"/>
    <w:rsid w:val="00FF3D47"/>
    <w:rsid w:val="00FF3F49"/>
    <w:rsid w:val="00FF4442"/>
    <w:rsid w:val="00FF4866"/>
    <w:rsid w:val="00FF49C2"/>
    <w:rsid w:val="00FF5442"/>
    <w:rsid w:val="00FF58C4"/>
    <w:rsid w:val="00FF5F34"/>
    <w:rsid w:val="00FF6099"/>
    <w:rsid w:val="00FF6121"/>
    <w:rsid w:val="00FF62F8"/>
    <w:rsid w:val="00FF68C7"/>
    <w:rsid w:val="00FF6916"/>
    <w:rsid w:val="00FF6AB3"/>
    <w:rsid w:val="00FF6F18"/>
    <w:rsid w:val="00FF7607"/>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CA730"/>
  <w15:docId w15:val="{06EA4D16-4A8F-42FB-BD29-D5022E43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FD21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FD21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3A6C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unhideWhenUsed/>
    <w:qFormat/>
    <w:rsid w:val="005C1A5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D21E7"/>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FD21E7"/>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3A6C9F"/>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rsid w:val="005C1A53"/>
    <w:rPr>
      <w:rFonts w:asciiTheme="majorHAnsi" w:eastAsiaTheme="majorEastAsia" w:hAnsiTheme="majorHAnsi" w:cstheme="majorBidi"/>
      <w:i/>
      <w:iCs/>
      <w:color w:val="2F5496" w:themeColor="accent1" w:themeShade="BF"/>
    </w:rPr>
  </w:style>
  <w:style w:type="paragraph" w:styleId="NaslovTOC">
    <w:name w:val="TOC Heading"/>
    <w:basedOn w:val="Naslov1"/>
    <w:next w:val="Navaden"/>
    <w:uiPriority w:val="39"/>
    <w:unhideWhenUsed/>
    <w:qFormat/>
    <w:rsid w:val="00FD21E7"/>
    <w:pPr>
      <w:outlineLvl w:val="9"/>
    </w:pPr>
    <w:rPr>
      <w:lang w:eastAsia="sl-SI"/>
    </w:rPr>
  </w:style>
  <w:style w:type="paragraph" w:styleId="Kazalovsebine1">
    <w:name w:val="toc 1"/>
    <w:basedOn w:val="Navaden"/>
    <w:next w:val="Navaden"/>
    <w:autoRedefine/>
    <w:uiPriority w:val="39"/>
    <w:unhideWhenUsed/>
    <w:rsid w:val="00F273E9"/>
    <w:pPr>
      <w:tabs>
        <w:tab w:val="right" w:leader="dot" w:pos="9062"/>
      </w:tabs>
      <w:spacing w:after="100"/>
    </w:pPr>
    <w:rPr>
      <w:rFonts w:ascii="Arial" w:hAnsi="Arial" w:cs="Arial"/>
      <w:b/>
      <w:bCs/>
      <w:noProof/>
    </w:rPr>
  </w:style>
  <w:style w:type="paragraph" w:styleId="Kazalovsebine2">
    <w:name w:val="toc 2"/>
    <w:basedOn w:val="Navaden"/>
    <w:next w:val="Navaden"/>
    <w:autoRedefine/>
    <w:uiPriority w:val="39"/>
    <w:unhideWhenUsed/>
    <w:rsid w:val="00FD21E7"/>
    <w:pPr>
      <w:spacing w:after="100"/>
      <w:ind w:left="220"/>
    </w:pPr>
  </w:style>
  <w:style w:type="character" w:styleId="Hiperpovezava">
    <w:name w:val="Hyperlink"/>
    <w:basedOn w:val="Privzetapisavaodstavka"/>
    <w:uiPriority w:val="99"/>
    <w:unhideWhenUsed/>
    <w:rsid w:val="00FD21E7"/>
    <w:rPr>
      <w:color w:val="0563C1" w:themeColor="hyperlink"/>
      <w:u w:val="single"/>
    </w:rPr>
  </w:style>
  <w:style w:type="paragraph" w:styleId="Glava">
    <w:name w:val="header"/>
    <w:basedOn w:val="Navaden"/>
    <w:link w:val="GlavaZnak"/>
    <w:uiPriority w:val="99"/>
    <w:unhideWhenUsed/>
    <w:rsid w:val="00FF6099"/>
    <w:pPr>
      <w:tabs>
        <w:tab w:val="center" w:pos="4536"/>
        <w:tab w:val="right" w:pos="9072"/>
      </w:tabs>
      <w:spacing w:after="0" w:line="240" w:lineRule="auto"/>
    </w:pPr>
  </w:style>
  <w:style w:type="character" w:customStyle="1" w:styleId="GlavaZnak">
    <w:name w:val="Glava Znak"/>
    <w:basedOn w:val="Privzetapisavaodstavka"/>
    <w:link w:val="Glava"/>
    <w:uiPriority w:val="99"/>
    <w:rsid w:val="00FF6099"/>
  </w:style>
  <w:style w:type="paragraph" w:styleId="Noga">
    <w:name w:val="footer"/>
    <w:basedOn w:val="Navaden"/>
    <w:link w:val="NogaZnak"/>
    <w:uiPriority w:val="99"/>
    <w:unhideWhenUsed/>
    <w:rsid w:val="00FF6099"/>
    <w:pPr>
      <w:tabs>
        <w:tab w:val="center" w:pos="4536"/>
        <w:tab w:val="right" w:pos="9072"/>
      </w:tabs>
      <w:spacing w:after="0" w:line="240" w:lineRule="auto"/>
    </w:pPr>
  </w:style>
  <w:style w:type="character" w:customStyle="1" w:styleId="NogaZnak">
    <w:name w:val="Noga Znak"/>
    <w:basedOn w:val="Privzetapisavaodstavka"/>
    <w:link w:val="Noga"/>
    <w:uiPriority w:val="99"/>
    <w:rsid w:val="00FF6099"/>
  </w:style>
  <w:style w:type="paragraph" w:styleId="Odstavekseznama">
    <w:name w:val="List Paragraph"/>
    <w:basedOn w:val="Navaden"/>
    <w:uiPriority w:val="34"/>
    <w:qFormat/>
    <w:rsid w:val="005103EB"/>
    <w:pPr>
      <w:spacing w:after="0" w:line="240" w:lineRule="auto"/>
      <w:ind w:left="720"/>
      <w:contextualSpacing/>
      <w:jc w:val="both"/>
    </w:pPr>
    <w:rPr>
      <w:rFonts w:ascii="Arial" w:eastAsia="Times New Roman" w:hAnsi="Arial" w:cs="Times New Roman"/>
      <w:szCs w:val="24"/>
    </w:rPr>
  </w:style>
  <w:style w:type="paragraph" w:customStyle="1" w:styleId="ZADEVA">
    <w:name w:val="ZADEVA"/>
    <w:basedOn w:val="Navaden"/>
    <w:uiPriority w:val="99"/>
    <w:rsid w:val="00854405"/>
    <w:pPr>
      <w:tabs>
        <w:tab w:val="left" w:pos="1701"/>
      </w:tabs>
      <w:spacing w:after="0" w:line="260" w:lineRule="exact"/>
      <w:ind w:left="1701" w:hanging="1701"/>
    </w:pPr>
    <w:rPr>
      <w:rFonts w:ascii="Arial" w:eastAsia="Times New Roman" w:hAnsi="Arial" w:cs="Times New Roman"/>
      <w:b/>
      <w:sz w:val="20"/>
      <w:szCs w:val="24"/>
      <w:lang w:val="it-IT"/>
    </w:rPr>
  </w:style>
  <w:style w:type="paragraph" w:styleId="Navadensplet">
    <w:name w:val="Normal (Web)"/>
    <w:basedOn w:val="Navaden"/>
    <w:uiPriority w:val="99"/>
    <w:unhideWhenUsed/>
    <w:rsid w:val="00854405"/>
    <w:pPr>
      <w:spacing w:before="100" w:beforeAutospacing="1" w:after="100" w:afterAutospacing="1" w:line="240" w:lineRule="auto"/>
    </w:pPr>
    <w:rPr>
      <w:rFonts w:ascii="Times New Roman" w:eastAsia="Calibri" w:hAnsi="Times New Roman" w:cs="Times New Roman"/>
      <w:sz w:val="24"/>
      <w:szCs w:val="24"/>
      <w:lang w:eastAsia="sl-SI"/>
    </w:rPr>
  </w:style>
  <w:style w:type="paragraph" w:styleId="Kazalovsebine3">
    <w:name w:val="toc 3"/>
    <w:basedOn w:val="Navaden"/>
    <w:next w:val="Navaden"/>
    <w:autoRedefine/>
    <w:uiPriority w:val="39"/>
    <w:unhideWhenUsed/>
    <w:rsid w:val="00854405"/>
    <w:pPr>
      <w:spacing w:after="100"/>
      <w:ind w:left="440"/>
    </w:pPr>
    <w:rPr>
      <w:rFonts w:eastAsiaTheme="minorEastAsia" w:cs="Times New Roman"/>
      <w:lang w:eastAsia="sl-SI"/>
    </w:rPr>
  </w:style>
  <w:style w:type="paragraph" w:styleId="Telobesedila">
    <w:name w:val="Body Text"/>
    <w:basedOn w:val="Navaden"/>
    <w:link w:val="TelobesedilaZnak"/>
    <w:rsid w:val="005C1A53"/>
    <w:pPr>
      <w:spacing w:after="0" w:line="240" w:lineRule="auto"/>
      <w:jc w:val="both"/>
    </w:pPr>
    <w:rPr>
      <w:rFonts w:ascii="Times New Roman" w:eastAsia="Times New Roman" w:hAnsi="Times New Roman" w:cs="Times New Roman"/>
      <w:sz w:val="24"/>
      <w:szCs w:val="24"/>
    </w:rPr>
  </w:style>
  <w:style w:type="character" w:customStyle="1" w:styleId="TelobesedilaZnak">
    <w:name w:val="Telo besedila Znak"/>
    <w:basedOn w:val="Privzetapisavaodstavka"/>
    <w:link w:val="Telobesedila"/>
    <w:rsid w:val="005C1A53"/>
    <w:rPr>
      <w:rFonts w:ascii="Times New Roman" w:eastAsia="Times New Roman" w:hAnsi="Times New Roman" w:cs="Times New Roman"/>
      <w:sz w:val="24"/>
      <w:szCs w:val="24"/>
    </w:rPr>
  </w:style>
  <w:style w:type="paragraph" w:styleId="Kazalovsebine4">
    <w:name w:val="toc 4"/>
    <w:basedOn w:val="Navaden"/>
    <w:next w:val="Navaden"/>
    <w:autoRedefine/>
    <w:uiPriority w:val="39"/>
    <w:unhideWhenUsed/>
    <w:rsid w:val="00AE378A"/>
    <w:pPr>
      <w:spacing w:after="100"/>
      <w:ind w:left="660"/>
    </w:pPr>
  </w:style>
  <w:style w:type="table" w:styleId="Tabelamrea">
    <w:name w:val="Table Grid"/>
    <w:basedOn w:val="Navadnatabela"/>
    <w:rsid w:val="003B6A8B"/>
    <w:pPr>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B6A8B"/>
    <w:pPr>
      <w:suppressAutoHyphens/>
      <w:autoSpaceDN w:val="0"/>
      <w:spacing w:after="0" w:line="240" w:lineRule="auto"/>
      <w:jc w:val="both"/>
      <w:textAlignment w:val="baseline"/>
    </w:pPr>
    <w:rPr>
      <w:rFonts w:ascii="Arial" w:eastAsia="Times New Roman" w:hAnsi="Arial" w:cs="Times New Roman"/>
      <w:kern w:val="3"/>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IFZ f"/>
    <w:basedOn w:val="Navaden"/>
    <w:link w:val="Sprotnaopomba-besediloZnak"/>
    <w:rsid w:val="004073D3"/>
    <w:pPr>
      <w:spacing w:after="0" w:line="240" w:lineRule="auto"/>
      <w:jc w:val="both"/>
    </w:pPr>
    <w:rPr>
      <w:rFonts w:ascii="Arial" w:eastAsia="Times New Roman" w:hAnsi="Arial" w:cs="Times New Roman"/>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IFZ f Znak"/>
    <w:basedOn w:val="Privzetapisavaodstavka"/>
    <w:link w:val="Sprotnaopomba-besedilo"/>
    <w:rsid w:val="004073D3"/>
    <w:rPr>
      <w:rFonts w:ascii="Arial" w:eastAsia="Times New Roman" w:hAnsi="Arial" w:cs="Times New Roman"/>
      <w:sz w:val="20"/>
      <w:szCs w:val="20"/>
    </w:rPr>
  </w:style>
  <w:style w:type="character" w:styleId="Sprotnaopomba-sklic">
    <w:name w:val="footnote reference"/>
    <w:aliases w:val="Fussnota,Footnote symbol,Footnote,Footnote number,-E Fußnotenzeichen"/>
    <w:rsid w:val="004073D3"/>
    <w:rPr>
      <w:vertAlign w:val="superscript"/>
    </w:rPr>
  </w:style>
  <w:style w:type="character" w:styleId="Krepko">
    <w:name w:val="Strong"/>
    <w:qFormat/>
    <w:rsid w:val="00EB25C7"/>
    <w:rPr>
      <w:b/>
      <w:bCs/>
    </w:rPr>
  </w:style>
  <w:style w:type="paragraph" w:styleId="Golobesedilo">
    <w:name w:val="Plain Text"/>
    <w:basedOn w:val="Navaden"/>
    <w:link w:val="GolobesediloZnak"/>
    <w:uiPriority w:val="99"/>
    <w:rsid w:val="002149C7"/>
    <w:pPr>
      <w:spacing w:after="0" w:line="240" w:lineRule="auto"/>
    </w:pPr>
    <w:rPr>
      <w:rFonts w:ascii="Courier New" w:eastAsia="Times New Roman" w:hAnsi="Courier New" w:cs="Courier New"/>
      <w:sz w:val="20"/>
      <w:szCs w:val="20"/>
      <w:lang w:eastAsia="sl-SI"/>
    </w:rPr>
  </w:style>
  <w:style w:type="character" w:customStyle="1" w:styleId="GolobesediloZnak">
    <w:name w:val="Golo besedilo Znak"/>
    <w:basedOn w:val="Privzetapisavaodstavka"/>
    <w:link w:val="Golobesedilo"/>
    <w:uiPriority w:val="99"/>
    <w:rsid w:val="002149C7"/>
    <w:rPr>
      <w:rFonts w:ascii="Courier New" w:eastAsia="Times New Roman" w:hAnsi="Courier New" w:cs="Courier New"/>
      <w:sz w:val="20"/>
      <w:szCs w:val="20"/>
      <w:lang w:eastAsia="sl-SI"/>
    </w:rPr>
  </w:style>
  <w:style w:type="character" w:styleId="Pripombasklic">
    <w:name w:val="annotation reference"/>
    <w:uiPriority w:val="99"/>
    <w:rsid w:val="00F83DD4"/>
    <w:rPr>
      <w:sz w:val="16"/>
      <w:szCs w:val="16"/>
    </w:rPr>
  </w:style>
  <w:style w:type="paragraph" w:styleId="Pripombabesedilo">
    <w:name w:val="annotation text"/>
    <w:basedOn w:val="Navaden"/>
    <w:link w:val="PripombabesediloZnak"/>
    <w:uiPriority w:val="99"/>
    <w:semiHidden/>
    <w:rsid w:val="00F83DD4"/>
    <w:pPr>
      <w:spacing w:after="0" w:line="240" w:lineRule="auto"/>
      <w:jc w:val="both"/>
    </w:pPr>
    <w:rPr>
      <w:rFonts w:ascii="Arial" w:eastAsia="Times New Roman" w:hAnsi="Arial" w:cs="Times New Roman"/>
      <w:sz w:val="20"/>
      <w:szCs w:val="20"/>
    </w:rPr>
  </w:style>
  <w:style w:type="character" w:customStyle="1" w:styleId="PripombabesediloZnak">
    <w:name w:val="Pripomba – besedilo Znak"/>
    <w:basedOn w:val="Privzetapisavaodstavka"/>
    <w:link w:val="Pripombabesedilo"/>
    <w:uiPriority w:val="99"/>
    <w:semiHidden/>
    <w:rsid w:val="00F83DD4"/>
    <w:rPr>
      <w:rFonts w:ascii="Arial" w:eastAsia="Times New Roman" w:hAnsi="Arial" w:cs="Times New Roman"/>
      <w:sz w:val="20"/>
      <w:szCs w:val="20"/>
    </w:rPr>
  </w:style>
  <w:style w:type="paragraph" w:styleId="Besedilooblaka">
    <w:name w:val="Balloon Text"/>
    <w:basedOn w:val="Navaden"/>
    <w:link w:val="BesedilooblakaZnak"/>
    <w:uiPriority w:val="99"/>
    <w:semiHidden/>
    <w:unhideWhenUsed/>
    <w:rsid w:val="00F83DD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83DD4"/>
    <w:rPr>
      <w:rFonts w:ascii="Segoe UI" w:hAnsi="Segoe UI" w:cs="Segoe UI"/>
      <w:sz w:val="18"/>
      <w:szCs w:val="18"/>
    </w:rPr>
  </w:style>
  <w:style w:type="paragraph" w:customStyle="1" w:styleId="alineazaodstavkom1">
    <w:name w:val="alineazaodstavkom1"/>
    <w:basedOn w:val="Navaden"/>
    <w:rsid w:val="00F83DD4"/>
    <w:pPr>
      <w:spacing w:after="0" w:line="240" w:lineRule="auto"/>
      <w:ind w:left="425" w:hanging="425"/>
      <w:jc w:val="both"/>
    </w:pPr>
    <w:rPr>
      <w:rFonts w:ascii="Arial" w:eastAsia="Times New Roman" w:hAnsi="Arial" w:cs="Arial"/>
      <w:lang w:eastAsia="sl-SI"/>
    </w:rPr>
  </w:style>
  <w:style w:type="paragraph" w:customStyle="1" w:styleId="odstavek1">
    <w:name w:val="odstavek1"/>
    <w:basedOn w:val="Navaden"/>
    <w:rsid w:val="00F83DD4"/>
    <w:pPr>
      <w:spacing w:before="240" w:after="0" w:line="240" w:lineRule="auto"/>
      <w:ind w:firstLine="1021"/>
      <w:jc w:val="both"/>
    </w:pPr>
    <w:rPr>
      <w:rFonts w:ascii="Arial" w:eastAsia="Times New Roman" w:hAnsi="Arial" w:cs="Arial"/>
      <w:lang w:eastAsia="sl-SI"/>
    </w:rPr>
  </w:style>
  <w:style w:type="character" w:styleId="SledenaHiperpovezava">
    <w:name w:val="FollowedHyperlink"/>
    <w:basedOn w:val="Privzetapisavaodstavka"/>
    <w:uiPriority w:val="99"/>
    <w:semiHidden/>
    <w:unhideWhenUsed/>
    <w:rsid w:val="00DB739E"/>
    <w:rPr>
      <w:color w:val="954F72"/>
      <w:u w:val="single"/>
    </w:rPr>
  </w:style>
  <w:style w:type="paragraph" w:customStyle="1" w:styleId="msonormal0">
    <w:name w:val="msonormal"/>
    <w:basedOn w:val="Navaden"/>
    <w:rsid w:val="00DB739E"/>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101">
    <w:name w:val="xl101"/>
    <w:basedOn w:val="Navaden"/>
    <w:rsid w:val="00DB739E"/>
    <w:pPr>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102">
    <w:name w:val="xl102"/>
    <w:basedOn w:val="Navaden"/>
    <w:rsid w:val="00DB73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sl-SI"/>
    </w:rPr>
  </w:style>
  <w:style w:type="paragraph" w:customStyle="1" w:styleId="xl103">
    <w:name w:val="xl103"/>
    <w:basedOn w:val="Navaden"/>
    <w:rsid w:val="00DB73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sl-SI"/>
    </w:rPr>
  </w:style>
  <w:style w:type="paragraph" w:customStyle="1" w:styleId="xl104">
    <w:name w:val="xl104"/>
    <w:basedOn w:val="Navaden"/>
    <w:rsid w:val="00DB73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18"/>
      <w:szCs w:val="18"/>
      <w:lang w:eastAsia="sl-SI"/>
    </w:rPr>
  </w:style>
  <w:style w:type="paragraph" w:customStyle="1" w:styleId="xl105">
    <w:name w:val="xl105"/>
    <w:basedOn w:val="Navaden"/>
    <w:rsid w:val="00DB73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18"/>
      <w:szCs w:val="18"/>
      <w:lang w:eastAsia="sl-SI"/>
    </w:rPr>
  </w:style>
  <w:style w:type="paragraph" w:customStyle="1" w:styleId="xl106">
    <w:name w:val="xl106"/>
    <w:basedOn w:val="Navaden"/>
    <w:rsid w:val="00DB739E"/>
    <w:pPr>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107">
    <w:name w:val="xl107"/>
    <w:basedOn w:val="Navaden"/>
    <w:rsid w:val="00DB73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108">
    <w:name w:val="xl108"/>
    <w:basedOn w:val="Navaden"/>
    <w:rsid w:val="00DB739E"/>
    <w:pPr>
      <w:spacing w:before="100" w:beforeAutospacing="1" w:after="100" w:afterAutospacing="1" w:line="240" w:lineRule="auto"/>
      <w:textAlignment w:val="center"/>
    </w:pPr>
    <w:rPr>
      <w:rFonts w:ascii="Arial" w:eastAsia="Times New Roman" w:hAnsi="Arial" w:cs="Arial"/>
      <w:sz w:val="18"/>
      <w:szCs w:val="18"/>
      <w:lang w:eastAsia="sl-SI"/>
    </w:rPr>
  </w:style>
  <w:style w:type="character" w:customStyle="1" w:styleId="Nerazreenaomemba1">
    <w:name w:val="Nerazrešena omemba1"/>
    <w:basedOn w:val="Privzetapisavaodstavka"/>
    <w:uiPriority w:val="99"/>
    <w:semiHidden/>
    <w:unhideWhenUsed/>
    <w:rsid w:val="00800E19"/>
    <w:rPr>
      <w:color w:val="808080"/>
      <w:shd w:val="clear" w:color="auto" w:fill="E6E6E6"/>
    </w:rPr>
  </w:style>
  <w:style w:type="character" w:customStyle="1" w:styleId="Nerazreenaomemba2">
    <w:name w:val="Nerazrešena omemba2"/>
    <w:basedOn w:val="Privzetapisavaodstavka"/>
    <w:uiPriority w:val="99"/>
    <w:semiHidden/>
    <w:unhideWhenUsed/>
    <w:rsid w:val="00FA54CA"/>
    <w:rPr>
      <w:color w:val="808080"/>
      <w:shd w:val="clear" w:color="auto" w:fill="E6E6E6"/>
    </w:rPr>
  </w:style>
  <w:style w:type="paragraph" w:customStyle="1" w:styleId="xl67">
    <w:name w:val="xl67"/>
    <w:basedOn w:val="Navaden"/>
    <w:rsid w:val="001D65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68">
    <w:name w:val="xl68"/>
    <w:basedOn w:val="Navaden"/>
    <w:rsid w:val="001D65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sl-SI"/>
    </w:rPr>
  </w:style>
  <w:style w:type="paragraph" w:customStyle="1" w:styleId="xl69">
    <w:name w:val="xl69"/>
    <w:basedOn w:val="Navaden"/>
    <w:rsid w:val="001D65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sl-SI"/>
    </w:rPr>
  </w:style>
  <w:style w:type="paragraph" w:customStyle="1" w:styleId="xl70">
    <w:name w:val="xl70"/>
    <w:basedOn w:val="Navaden"/>
    <w:rsid w:val="001D65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sl-SI"/>
    </w:rPr>
  </w:style>
  <w:style w:type="paragraph" w:customStyle="1" w:styleId="xl65">
    <w:name w:val="xl65"/>
    <w:basedOn w:val="Navaden"/>
    <w:rsid w:val="00DC6DF9"/>
    <w:pPr>
      <w:spacing w:before="100" w:beforeAutospacing="1" w:after="100" w:afterAutospacing="1" w:line="240" w:lineRule="auto"/>
    </w:pPr>
    <w:rPr>
      <w:rFonts w:ascii="Times New Roman" w:eastAsia="Times New Roman" w:hAnsi="Times New Roman" w:cs="Times New Roman"/>
      <w:b/>
      <w:bCs/>
      <w:sz w:val="24"/>
      <w:szCs w:val="24"/>
      <w:lang w:eastAsia="sl-SI"/>
    </w:rPr>
  </w:style>
  <w:style w:type="paragraph" w:customStyle="1" w:styleId="xl66">
    <w:name w:val="xl66"/>
    <w:basedOn w:val="Navaden"/>
    <w:rsid w:val="00DC6DF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color w:val="000000"/>
      <w:sz w:val="16"/>
      <w:szCs w:val="16"/>
      <w:lang w:eastAsia="sl-SI"/>
    </w:rPr>
  </w:style>
  <w:style w:type="character" w:customStyle="1" w:styleId="Nerazreenaomemba3">
    <w:name w:val="Nerazrešena omemba3"/>
    <w:basedOn w:val="Privzetapisavaodstavka"/>
    <w:uiPriority w:val="99"/>
    <w:semiHidden/>
    <w:unhideWhenUsed/>
    <w:rsid w:val="00072A69"/>
    <w:rPr>
      <w:color w:val="808080"/>
      <w:shd w:val="clear" w:color="auto" w:fill="E6E6E6"/>
    </w:rPr>
  </w:style>
  <w:style w:type="paragraph" w:styleId="Zadevapripombe">
    <w:name w:val="annotation subject"/>
    <w:basedOn w:val="Pripombabesedilo"/>
    <w:next w:val="Pripombabesedilo"/>
    <w:link w:val="ZadevapripombeZnak"/>
    <w:uiPriority w:val="99"/>
    <w:semiHidden/>
    <w:unhideWhenUsed/>
    <w:rsid w:val="00F70E5D"/>
    <w:pPr>
      <w:spacing w:after="160"/>
      <w:jc w:val="left"/>
    </w:pPr>
    <w:rPr>
      <w:rFonts w:asciiTheme="minorHAnsi" w:eastAsiaTheme="minorHAnsi" w:hAnsiTheme="minorHAnsi" w:cstheme="minorBidi"/>
      <w:b/>
      <w:bCs/>
    </w:rPr>
  </w:style>
  <w:style w:type="character" w:customStyle="1" w:styleId="ZadevapripombeZnak">
    <w:name w:val="Zadeva pripombe Znak"/>
    <w:basedOn w:val="PripombabesediloZnak"/>
    <w:link w:val="Zadevapripombe"/>
    <w:uiPriority w:val="99"/>
    <w:semiHidden/>
    <w:rsid w:val="00F70E5D"/>
    <w:rPr>
      <w:rFonts w:ascii="Arial" w:eastAsia="Times New Roman" w:hAnsi="Arial" w:cs="Times New Roman"/>
      <w:b/>
      <w:bCs/>
      <w:sz w:val="20"/>
      <w:szCs w:val="20"/>
    </w:rPr>
  </w:style>
  <w:style w:type="character" w:customStyle="1" w:styleId="Nerazreenaomemba4">
    <w:name w:val="Nerazrešena omemba4"/>
    <w:basedOn w:val="Privzetapisavaodstavka"/>
    <w:uiPriority w:val="99"/>
    <w:semiHidden/>
    <w:unhideWhenUsed/>
    <w:rsid w:val="00170F19"/>
    <w:rPr>
      <w:color w:val="605E5C"/>
      <w:shd w:val="clear" w:color="auto" w:fill="E1DFDD"/>
    </w:rPr>
  </w:style>
  <w:style w:type="paragraph" w:customStyle="1" w:styleId="xl71">
    <w:name w:val="xl71"/>
    <w:basedOn w:val="Navaden"/>
    <w:rsid w:val="007E62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72">
    <w:name w:val="xl72"/>
    <w:basedOn w:val="Navaden"/>
    <w:rsid w:val="007E62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sl-SI"/>
    </w:rPr>
  </w:style>
  <w:style w:type="paragraph" w:customStyle="1" w:styleId="xl73">
    <w:name w:val="xl73"/>
    <w:basedOn w:val="Navaden"/>
    <w:rsid w:val="007E62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sl-SI"/>
    </w:rPr>
  </w:style>
  <w:style w:type="paragraph" w:customStyle="1" w:styleId="xl74">
    <w:name w:val="xl74"/>
    <w:basedOn w:val="Navaden"/>
    <w:rsid w:val="007E62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75">
    <w:name w:val="xl75"/>
    <w:basedOn w:val="Navaden"/>
    <w:rsid w:val="007E62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sl-SI"/>
    </w:rPr>
  </w:style>
  <w:style w:type="paragraph" w:customStyle="1" w:styleId="xl76">
    <w:name w:val="xl76"/>
    <w:basedOn w:val="Navaden"/>
    <w:rsid w:val="007E62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sl-SI"/>
    </w:rPr>
  </w:style>
  <w:style w:type="paragraph" w:customStyle="1" w:styleId="xl77">
    <w:name w:val="xl77"/>
    <w:basedOn w:val="Navaden"/>
    <w:rsid w:val="007E62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78">
    <w:name w:val="xl78"/>
    <w:basedOn w:val="Navaden"/>
    <w:rsid w:val="007E629B"/>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color w:val="000000"/>
      <w:sz w:val="16"/>
      <w:szCs w:val="16"/>
      <w:lang w:eastAsia="sl-SI"/>
    </w:rPr>
  </w:style>
  <w:style w:type="paragraph" w:customStyle="1" w:styleId="xl79">
    <w:name w:val="xl79"/>
    <w:basedOn w:val="Navaden"/>
    <w:rsid w:val="007E629B"/>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sl-SI"/>
    </w:rPr>
  </w:style>
  <w:style w:type="paragraph" w:customStyle="1" w:styleId="xl80">
    <w:name w:val="xl80"/>
    <w:basedOn w:val="Navaden"/>
    <w:rsid w:val="007E629B"/>
    <w:pPr>
      <w:spacing w:before="100" w:beforeAutospacing="1" w:after="100" w:afterAutospacing="1" w:line="240" w:lineRule="auto"/>
      <w:textAlignment w:val="center"/>
    </w:pPr>
    <w:rPr>
      <w:rFonts w:ascii="Arial" w:eastAsia="Times New Roman" w:hAnsi="Arial" w:cs="Arial"/>
      <w:color w:val="000000"/>
      <w:sz w:val="24"/>
      <w:szCs w:val="24"/>
      <w:lang w:eastAsia="sl-SI"/>
    </w:rPr>
  </w:style>
  <w:style w:type="paragraph" w:customStyle="1" w:styleId="xl81">
    <w:name w:val="xl81"/>
    <w:basedOn w:val="Navaden"/>
    <w:rsid w:val="007E629B"/>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sl-SI"/>
    </w:rPr>
  </w:style>
  <w:style w:type="paragraph" w:customStyle="1" w:styleId="xl82">
    <w:name w:val="xl82"/>
    <w:basedOn w:val="Navaden"/>
    <w:rsid w:val="007E629B"/>
    <w:pPr>
      <w:spacing w:before="100" w:beforeAutospacing="1" w:after="100" w:afterAutospacing="1" w:line="240" w:lineRule="auto"/>
      <w:textAlignment w:val="center"/>
    </w:pPr>
    <w:rPr>
      <w:rFonts w:ascii="Arial" w:eastAsia="Times New Roman" w:hAnsi="Arial" w:cs="Arial"/>
      <w:color w:val="000000"/>
      <w:sz w:val="24"/>
      <w:szCs w:val="24"/>
      <w:lang w:eastAsia="sl-SI"/>
    </w:rPr>
  </w:style>
  <w:style w:type="paragraph" w:customStyle="1" w:styleId="xl83">
    <w:name w:val="xl83"/>
    <w:basedOn w:val="Navaden"/>
    <w:rsid w:val="007E629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Revizija">
    <w:name w:val="Revision"/>
    <w:hidden/>
    <w:uiPriority w:val="99"/>
    <w:semiHidden/>
    <w:rsid w:val="003D06E0"/>
    <w:pPr>
      <w:spacing w:after="0" w:line="240" w:lineRule="auto"/>
    </w:pPr>
  </w:style>
  <w:style w:type="character" w:customStyle="1" w:styleId="Nerazreenaomemba5">
    <w:name w:val="Nerazrešena omemba5"/>
    <w:basedOn w:val="Privzetapisavaodstavka"/>
    <w:uiPriority w:val="99"/>
    <w:semiHidden/>
    <w:unhideWhenUsed/>
    <w:rsid w:val="00CD57EE"/>
    <w:rPr>
      <w:color w:val="605E5C"/>
      <w:shd w:val="clear" w:color="auto" w:fill="E1DFDD"/>
    </w:rPr>
  </w:style>
  <w:style w:type="paragraph" w:styleId="Kazalovsebine5">
    <w:name w:val="toc 5"/>
    <w:basedOn w:val="Navaden"/>
    <w:next w:val="Navaden"/>
    <w:autoRedefine/>
    <w:uiPriority w:val="39"/>
    <w:unhideWhenUsed/>
    <w:rsid w:val="00324D7C"/>
    <w:pPr>
      <w:spacing w:after="100"/>
      <w:ind w:left="880"/>
    </w:pPr>
    <w:rPr>
      <w:rFonts w:eastAsiaTheme="minorEastAsia"/>
      <w:lang w:eastAsia="sl-SI"/>
    </w:rPr>
  </w:style>
  <w:style w:type="paragraph" w:styleId="Kazalovsebine6">
    <w:name w:val="toc 6"/>
    <w:basedOn w:val="Navaden"/>
    <w:next w:val="Navaden"/>
    <w:autoRedefine/>
    <w:uiPriority w:val="39"/>
    <w:unhideWhenUsed/>
    <w:rsid w:val="00324D7C"/>
    <w:pPr>
      <w:spacing w:after="100"/>
      <w:ind w:left="1100"/>
    </w:pPr>
    <w:rPr>
      <w:rFonts w:eastAsiaTheme="minorEastAsia"/>
      <w:lang w:eastAsia="sl-SI"/>
    </w:rPr>
  </w:style>
  <w:style w:type="paragraph" w:styleId="Kazalovsebine7">
    <w:name w:val="toc 7"/>
    <w:basedOn w:val="Navaden"/>
    <w:next w:val="Navaden"/>
    <w:autoRedefine/>
    <w:uiPriority w:val="39"/>
    <w:unhideWhenUsed/>
    <w:rsid w:val="00324D7C"/>
    <w:pPr>
      <w:spacing w:after="100"/>
      <w:ind w:left="1320"/>
    </w:pPr>
    <w:rPr>
      <w:rFonts w:eastAsiaTheme="minorEastAsia"/>
      <w:lang w:eastAsia="sl-SI"/>
    </w:rPr>
  </w:style>
  <w:style w:type="paragraph" w:styleId="Kazalovsebine8">
    <w:name w:val="toc 8"/>
    <w:basedOn w:val="Navaden"/>
    <w:next w:val="Navaden"/>
    <w:autoRedefine/>
    <w:uiPriority w:val="39"/>
    <w:unhideWhenUsed/>
    <w:rsid w:val="00324D7C"/>
    <w:pPr>
      <w:spacing w:after="100"/>
      <w:ind w:left="1540"/>
    </w:pPr>
    <w:rPr>
      <w:rFonts w:eastAsiaTheme="minorEastAsia"/>
      <w:lang w:eastAsia="sl-SI"/>
    </w:rPr>
  </w:style>
  <w:style w:type="paragraph" w:styleId="Kazalovsebine9">
    <w:name w:val="toc 9"/>
    <w:basedOn w:val="Navaden"/>
    <w:next w:val="Navaden"/>
    <w:autoRedefine/>
    <w:uiPriority w:val="39"/>
    <w:unhideWhenUsed/>
    <w:rsid w:val="00324D7C"/>
    <w:pPr>
      <w:spacing w:after="100"/>
      <w:ind w:left="1760"/>
    </w:pPr>
    <w:rPr>
      <w:rFonts w:eastAsiaTheme="minorEastAsia"/>
      <w:lang w:eastAsia="sl-SI"/>
    </w:rPr>
  </w:style>
  <w:style w:type="character" w:customStyle="1" w:styleId="ui-provider">
    <w:name w:val="ui-provider"/>
    <w:basedOn w:val="Privzetapisavaodstavka"/>
    <w:rsid w:val="00CF664F"/>
  </w:style>
  <w:style w:type="character" w:styleId="Nerazreenaomemba">
    <w:name w:val="Unresolved Mention"/>
    <w:basedOn w:val="Privzetapisavaodstavka"/>
    <w:uiPriority w:val="99"/>
    <w:semiHidden/>
    <w:unhideWhenUsed/>
    <w:rsid w:val="00E37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9000">
      <w:bodyDiv w:val="1"/>
      <w:marLeft w:val="0"/>
      <w:marRight w:val="0"/>
      <w:marTop w:val="0"/>
      <w:marBottom w:val="0"/>
      <w:divBdr>
        <w:top w:val="none" w:sz="0" w:space="0" w:color="auto"/>
        <w:left w:val="none" w:sz="0" w:space="0" w:color="auto"/>
        <w:bottom w:val="none" w:sz="0" w:space="0" w:color="auto"/>
        <w:right w:val="none" w:sz="0" w:space="0" w:color="auto"/>
      </w:divBdr>
    </w:div>
    <w:div w:id="15735092">
      <w:bodyDiv w:val="1"/>
      <w:marLeft w:val="0"/>
      <w:marRight w:val="0"/>
      <w:marTop w:val="0"/>
      <w:marBottom w:val="0"/>
      <w:divBdr>
        <w:top w:val="none" w:sz="0" w:space="0" w:color="auto"/>
        <w:left w:val="none" w:sz="0" w:space="0" w:color="auto"/>
        <w:bottom w:val="none" w:sz="0" w:space="0" w:color="auto"/>
        <w:right w:val="none" w:sz="0" w:space="0" w:color="auto"/>
      </w:divBdr>
    </w:div>
    <w:div w:id="41178437">
      <w:bodyDiv w:val="1"/>
      <w:marLeft w:val="0"/>
      <w:marRight w:val="0"/>
      <w:marTop w:val="0"/>
      <w:marBottom w:val="0"/>
      <w:divBdr>
        <w:top w:val="none" w:sz="0" w:space="0" w:color="auto"/>
        <w:left w:val="none" w:sz="0" w:space="0" w:color="auto"/>
        <w:bottom w:val="none" w:sz="0" w:space="0" w:color="auto"/>
        <w:right w:val="none" w:sz="0" w:space="0" w:color="auto"/>
      </w:divBdr>
    </w:div>
    <w:div w:id="41444679">
      <w:bodyDiv w:val="1"/>
      <w:marLeft w:val="0"/>
      <w:marRight w:val="0"/>
      <w:marTop w:val="0"/>
      <w:marBottom w:val="0"/>
      <w:divBdr>
        <w:top w:val="none" w:sz="0" w:space="0" w:color="auto"/>
        <w:left w:val="none" w:sz="0" w:space="0" w:color="auto"/>
        <w:bottom w:val="none" w:sz="0" w:space="0" w:color="auto"/>
        <w:right w:val="none" w:sz="0" w:space="0" w:color="auto"/>
      </w:divBdr>
    </w:div>
    <w:div w:id="45032409">
      <w:bodyDiv w:val="1"/>
      <w:marLeft w:val="0"/>
      <w:marRight w:val="0"/>
      <w:marTop w:val="0"/>
      <w:marBottom w:val="0"/>
      <w:divBdr>
        <w:top w:val="none" w:sz="0" w:space="0" w:color="auto"/>
        <w:left w:val="none" w:sz="0" w:space="0" w:color="auto"/>
        <w:bottom w:val="none" w:sz="0" w:space="0" w:color="auto"/>
        <w:right w:val="none" w:sz="0" w:space="0" w:color="auto"/>
      </w:divBdr>
    </w:div>
    <w:div w:id="57437792">
      <w:bodyDiv w:val="1"/>
      <w:marLeft w:val="0"/>
      <w:marRight w:val="0"/>
      <w:marTop w:val="0"/>
      <w:marBottom w:val="0"/>
      <w:divBdr>
        <w:top w:val="none" w:sz="0" w:space="0" w:color="auto"/>
        <w:left w:val="none" w:sz="0" w:space="0" w:color="auto"/>
        <w:bottom w:val="none" w:sz="0" w:space="0" w:color="auto"/>
        <w:right w:val="none" w:sz="0" w:space="0" w:color="auto"/>
      </w:divBdr>
    </w:div>
    <w:div w:id="59325237">
      <w:bodyDiv w:val="1"/>
      <w:marLeft w:val="0"/>
      <w:marRight w:val="0"/>
      <w:marTop w:val="0"/>
      <w:marBottom w:val="0"/>
      <w:divBdr>
        <w:top w:val="none" w:sz="0" w:space="0" w:color="auto"/>
        <w:left w:val="none" w:sz="0" w:space="0" w:color="auto"/>
        <w:bottom w:val="none" w:sz="0" w:space="0" w:color="auto"/>
        <w:right w:val="none" w:sz="0" w:space="0" w:color="auto"/>
      </w:divBdr>
    </w:div>
    <w:div w:id="61607006">
      <w:bodyDiv w:val="1"/>
      <w:marLeft w:val="0"/>
      <w:marRight w:val="0"/>
      <w:marTop w:val="0"/>
      <w:marBottom w:val="0"/>
      <w:divBdr>
        <w:top w:val="none" w:sz="0" w:space="0" w:color="auto"/>
        <w:left w:val="none" w:sz="0" w:space="0" w:color="auto"/>
        <w:bottom w:val="none" w:sz="0" w:space="0" w:color="auto"/>
        <w:right w:val="none" w:sz="0" w:space="0" w:color="auto"/>
      </w:divBdr>
    </w:div>
    <w:div w:id="67073668">
      <w:bodyDiv w:val="1"/>
      <w:marLeft w:val="0"/>
      <w:marRight w:val="0"/>
      <w:marTop w:val="0"/>
      <w:marBottom w:val="0"/>
      <w:divBdr>
        <w:top w:val="none" w:sz="0" w:space="0" w:color="auto"/>
        <w:left w:val="none" w:sz="0" w:space="0" w:color="auto"/>
        <w:bottom w:val="none" w:sz="0" w:space="0" w:color="auto"/>
        <w:right w:val="none" w:sz="0" w:space="0" w:color="auto"/>
      </w:divBdr>
    </w:div>
    <w:div w:id="68770844">
      <w:bodyDiv w:val="1"/>
      <w:marLeft w:val="0"/>
      <w:marRight w:val="0"/>
      <w:marTop w:val="0"/>
      <w:marBottom w:val="0"/>
      <w:divBdr>
        <w:top w:val="none" w:sz="0" w:space="0" w:color="auto"/>
        <w:left w:val="none" w:sz="0" w:space="0" w:color="auto"/>
        <w:bottom w:val="none" w:sz="0" w:space="0" w:color="auto"/>
        <w:right w:val="none" w:sz="0" w:space="0" w:color="auto"/>
      </w:divBdr>
    </w:div>
    <w:div w:id="70585823">
      <w:bodyDiv w:val="1"/>
      <w:marLeft w:val="0"/>
      <w:marRight w:val="0"/>
      <w:marTop w:val="0"/>
      <w:marBottom w:val="0"/>
      <w:divBdr>
        <w:top w:val="none" w:sz="0" w:space="0" w:color="auto"/>
        <w:left w:val="none" w:sz="0" w:space="0" w:color="auto"/>
        <w:bottom w:val="none" w:sz="0" w:space="0" w:color="auto"/>
        <w:right w:val="none" w:sz="0" w:space="0" w:color="auto"/>
      </w:divBdr>
    </w:div>
    <w:div w:id="72699582">
      <w:bodyDiv w:val="1"/>
      <w:marLeft w:val="0"/>
      <w:marRight w:val="0"/>
      <w:marTop w:val="0"/>
      <w:marBottom w:val="0"/>
      <w:divBdr>
        <w:top w:val="none" w:sz="0" w:space="0" w:color="auto"/>
        <w:left w:val="none" w:sz="0" w:space="0" w:color="auto"/>
        <w:bottom w:val="none" w:sz="0" w:space="0" w:color="auto"/>
        <w:right w:val="none" w:sz="0" w:space="0" w:color="auto"/>
      </w:divBdr>
    </w:div>
    <w:div w:id="77530765">
      <w:bodyDiv w:val="1"/>
      <w:marLeft w:val="0"/>
      <w:marRight w:val="0"/>
      <w:marTop w:val="0"/>
      <w:marBottom w:val="0"/>
      <w:divBdr>
        <w:top w:val="none" w:sz="0" w:space="0" w:color="auto"/>
        <w:left w:val="none" w:sz="0" w:space="0" w:color="auto"/>
        <w:bottom w:val="none" w:sz="0" w:space="0" w:color="auto"/>
        <w:right w:val="none" w:sz="0" w:space="0" w:color="auto"/>
      </w:divBdr>
    </w:div>
    <w:div w:id="78335727">
      <w:bodyDiv w:val="1"/>
      <w:marLeft w:val="0"/>
      <w:marRight w:val="0"/>
      <w:marTop w:val="0"/>
      <w:marBottom w:val="0"/>
      <w:divBdr>
        <w:top w:val="none" w:sz="0" w:space="0" w:color="auto"/>
        <w:left w:val="none" w:sz="0" w:space="0" w:color="auto"/>
        <w:bottom w:val="none" w:sz="0" w:space="0" w:color="auto"/>
        <w:right w:val="none" w:sz="0" w:space="0" w:color="auto"/>
      </w:divBdr>
    </w:div>
    <w:div w:id="79763129">
      <w:bodyDiv w:val="1"/>
      <w:marLeft w:val="0"/>
      <w:marRight w:val="0"/>
      <w:marTop w:val="0"/>
      <w:marBottom w:val="0"/>
      <w:divBdr>
        <w:top w:val="none" w:sz="0" w:space="0" w:color="auto"/>
        <w:left w:val="none" w:sz="0" w:space="0" w:color="auto"/>
        <w:bottom w:val="none" w:sz="0" w:space="0" w:color="auto"/>
        <w:right w:val="none" w:sz="0" w:space="0" w:color="auto"/>
      </w:divBdr>
    </w:div>
    <w:div w:id="82532506">
      <w:bodyDiv w:val="1"/>
      <w:marLeft w:val="0"/>
      <w:marRight w:val="0"/>
      <w:marTop w:val="0"/>
      <w:marBottom w:val="0"/>
      <w:divBdr>
        <w:top w:val="none" w:sz="0" w:space="0" w:color="auto"/>
        <w:left w:val="none" w:sz="0" w:space="0" w:color="auto"/>
        <w:bottom w:val="none" w:sz="0" w:space="0" w:color="auto"/>
        <w:right w:val="none" w:sz="0" w:space="0" w:color="auto"/>
      </w:divBdr>
    </w:div>
    <w:div w:id="87890589">
      <w:bodyDiv w:val="1"/>
      <w:marLeft w:val="0"/>
      <w:marRight w:val="0"/>
      <w:marTop w:val="0"/>
      <w:marBottom w:val="0"/>
      <w:divBdr>
        <w:top w:val="none" w:sz="0" w:space="0" w:color="auto"/>
        <w:left w:val="none" w:sz="0" w:space="0" w:color="auto"/>
        <w:bottom w:val="none" w:sz="0" w:space="0" w:color="auto"/>
        <w:right w:val="none" w:sz="0" w:space="0" w:color="auto"/>
      </w:divBdr>
    </w:div>
    <w:div w:id="90440350">
      <w:bodyDiv w:val="1"/>
      <w:marLeft w:val="0"/>
      <w:marRight w:val="0"/>
      <w:marTop w:val="0"/>
      <w:marBottom w:val="0"/>
      <w:divBdr>
        <w:top w:val="none" w:sz="0" w:space="0" w:color="auto"/>
        <w:left w:val="none" w:sz="0" w:space="0" w:color="auto"/>
        <w:bottom w:val="none" w:sz="0" w:space="0" w:color="auto"/>
        <w:right w:val="none" w:sz="0" w:space="0" w:color="auto"/>
      </w:divBdr>
    </w:div>
    <w:div w:id="96293030">
      <w:bodyDiv w:val="1"/>
      <w:marLeft w:val="0"/>
      <w:marRight w:val="0"/>
      <w:marTop w:val="0"/>
      <w:marBottom w:val="0"/>
      <w:divBdr>
        <w:top w:val="none" w:sz="0" w:space="0" w:color="auto"/>
        <w:left w:val="none" w:sz="0" w:space="0" w:color="auto"/>
        <w:bottom w:val="none" w:sz="0" w:space="0" w:color="auto"/>
        <w:right w:val="none" w:sz="0" w:space="0" w:color="auto"/>
      </w:divBdr>
    </w:div>
    <w:div w:id="105468443">
      <w:bodyDiv w:val="1"/>
      <w:marLeft w:val="0"/>
      <w:marRight w:val="0"/>
      <w:marTop w:val="0"/>
      <w:marBottom w:val="0"/>
      <w:divBdr>
        <w:top w:val="none" w:sz="0" w:space="0" w:color="auto"/>
        <w:left w:val="none" w:sz="0" w:space="0" w:color="auto"/>
        <w:bottom w:val="none" w:sz="0" w:space="0" w:color="auto"/>
        <w:right w:val="none" w:sz="0" w:space="0" w:color="auto"/>
      </w:divBdr>
    </w:div>
    <w:div w:id="105737457">
      <w:bodyDiv w:val="1"/>
      <w:marLeft w:val="0"/>
      <w:marRight w:val="0"/>
      <w:marTop w:val="0"/>
      <w:marBottom w:val="0"/>
      <w:divBdr>
        <w:top w:val="none" w:sz="0" w:space="0" w:color="auto"/>
        <w:left w:val="none" w:sz="0" w:space="0" w:color="auto"/>
        <w:bottom w:val="none" w:sz="0" w:space="0" w:color="auto"/>
        <w:right w:val="none" w:sz="0" w:space="0" w:color="auto"/>
      </w:divBdr>
    </w:div>
    <w:div w:id="108011728">
      <w:bodyDiv w:val="1"/>
      <w:marLeft w:val="0"/>
      <w:marRight w:val="0"/>
      <w:marTop w:val="0"/>
      <w:marBottom w:val="0"/>
      <w:divBdr>
        <w:top w:val="none" w:sz="0" w:space="0" w:color="auto"/>
        <w:left w:val="none" w:sz="0" w:space="0" w:color="auto"/>
        <w:bottom w:val="none" w:sz="0" w:space="0" w:color="auto"/>
        <w:right w:val="none" w:sz="0" w:space="0" w:color="auto"/>
      </w:divBdr>
    </w:div>
    <w:div w:id="114639512">
      <w:bodyDiv w:val="1"/>
      <w:marLeft w:val="0"/>
      <w:marRight w:val="0"/>
      <w:marTop w:val="0"/>
      <w:marBottom w:val="0"/>
      <w:divBdr>
        <w:top w:val="none" w:sz="0" w:space="0" w:color="auto"/>
        <w:left w:val="none" w:sz="0" w:space="0" w:color="auto"/>
        <w:bottom w:val="none" w:sz="0" w:space="0" w:color="auto"/>
        <w:right w:val="none" w:sz="0" w:space="0" w:color="auto"/>
      </w:divBdr>
    </w:div>
    <w:div w:id="125859992">
      <w:bodyDiv w:val="1"/>
      <w:marLeft w:val="0"/>
      <w:marRight w:val="0"/>
      <w:marTop w:val="0"/>
      <w:marBottom w:val="0"/>
      <w:divBdr>
        <w:top w:val="none" w:sz="0" w:space="0" w:color="auto"/>
        <w:left w:val="none" w:sz="0" w:space="0" w:color="auto"/>
        <w:bottom w:val="none" w:sz="0" w:space="0" w:color="auto"/>
        <w:right w:val="none" w:sz="0" w:space="0" w:color="auto"/>
      </w:divBdr>
    </w:div>
    <w:div w:id="135336822">
      <w:bodyDiv w:val="1"/>
      <w:marLeft w:val="0"/>
      <w:marRight w:val="0"/>
      <w:marTop w:val="0"/>
      <w:marBottom w:val="0"/>
      <w:divBdr>
        <w:top w:val="none" w:sz="0" w:space="0" w:color="auto"/>
        <w:left w:val="none" w:sz="0" w:space="0" w:color="auto"/>
        <w:bottom w:val="none" w:sz="0" w:space="0" w:color="auto"/>
        <w:right w:val="none" w:sz="0" w:space="0" w:color="auto"/>
      </w:divBdr>
    </w:div>
    <w:div w:id="135488532">
      <w:bodyDiv w:val="1"/>
      <w:marLeft w:val="0"/>
      <w:marRight w:val="0"/>
      <w:marTop w:val="0"/>
      <w:marBottom w:val="0"/>
      <w:divBdr>
        <w:top w:val="none" w:sz="0" w:space="0" w:color="auto"/>
        <w:left w:val="none" w:sz="0" w:space="0" w:color="auto"/>
        <w:bottom w:val="none" w:sz="0" w:space="0" w:color="auto"/>
        <w:right w:val="none" w:sz="0" w:space="0" w:color="auto"/>
      </w:divBdr>
    </w:div>
    <w:div w:id="139425809">
      <w:bodyDiv w:val="1"/>
      <w:marLeft w:val="0"/>
      <w:marRight w:val="0"/>
      <w:marTop w:val="0"/>
      <w:marBottom w:val="0"/>
      <w:divBdr>
        <w:top w:val="none" w:sz="0" w:space="0" w:color="auto"/>
        <w:left w:val="none" w:sz="0" w:space="0" w:color="auto"/>
        <w:bottom w:val="none" w:sz="0" w:space="0" w:color="auto"/>
        <w:right w:val="none" w:sz="0" w:space="0" w:color="auto"/>
      </w:divBdr>
    </w:div>
    <w:div w:id="142702692">
      <w:bodyDiv w:val="1"/>
      <w:marLeft w:val="0"/>
      <w:marRight w:val="0"/>
      <w:marTop w:val="0"/>
      <w:marBottom w:val="0"/>
      <w:divBdr>
        <w:top w:val="none" w:sz="0" w:space="0" w:color="auto"/>
        <w:left w:val="none" w:sz="0" w:space="0" w:color="auto"/>
        <w:bottom w:val="none" w:sz="0" w:space="0" w:color="auto"/>
        <w:right w:val="none" w:sz="0" w:space="0" w:color="auto"/>
      </w:divBdr>
    </w:div>
    <w:div w:id="142738455">
      <w:bodyDiv w:val="1"/>
      <w:marLeft w:val="0"/>
      <w:marRight w:val="0"/>
      <w:marTop w:val="0"/>
      <w:marBottom w:val="0"/>
      <w:divBdr>
        <w:top w:val="none" w:sz="0" w:space="0" w:color="auto"/>
        <w:left w:val="none" w:sz="0" w:space="0" w:color="auto"/>
        <w:bottom w:val="none" w:sz="0" w:space="0" w:color="auto"/>
        <w:right w:val="none" w:sz="0" w:space="0" w:color="auto"/>
      </w:divBdr>
    </w:div>
    <w:div w:id="143739133">
      <w:bodyDiv w:val="1"/>
      <w:marLeft w:val="0"/>
      <w:marRight w:val="0"/>
      <w:marTop w:val="0"/>
      <w:marBottom w:val="0"/>
      <w:divBdr>
        <w:top w:val="none" w:sz="0" w:space="0" w:color="auto"/>
        <w:left w:val="none" w:sz="0" w:space="0" w:color="auto"/>
        <w:bottom w:val="none" w:sz="0" w:space="0" w:color="auto"/>
        <w:right w:val="none" w:sz="0" w:space="0" w:color="auto"/>
      </w:divBdr>
    </w:div>
    <w:div w:id="146676900">
      <w:bodyDiv w:val="1"/>
      <w:marLeft w:val="0"/>
      <w:marRight w:val="0"/>
      <w:marTop w:val="0"/>
      <w:marBottom w:val="0"/>
      <w:divBdr>
        <w:top w:val="none" w:sz="0" w:space="0" w:color="auto"/>
        <w:left w:val="none" w:sz="0" w:space="0" w:color="auto"/>
        <w:bottom w:val="none" w:sz="0" w:space="0" w:color="auto"/>
        <w:right w:val="none" w:sz="0" w:space="0" w:color="auto"/>
      </w:divBdr>
    </w:div>
    <w:div w:id="147598809">
      <w:bodyDiv w:val="1"/>
      <w:marLeft w:val="0"/>
      <w:marRight w:val="0"/>
      <w:marTop w:val="0"/>
      <w:marBottom w:val="0"/>
      <w:divBdr>
        <w:top w:val="none" w:sz="0" w:space="0" w:color="auto"/>
        <w:left w:val="none" w:sz="0" w:space="0" w:color="auto"/>
        <w:bottom w:val="none" w:sz="0" w:space="0" w:color="auto"/>
        <w:right w:val="none" w:sz="0" w:space="0" w:color="auto"/>
      </w:divBdr>
    </w:div>
    <w:div w:id="151874944">
      <w:bodyDiv w:val="1"/>
      <w:marLeft w:val="0"/>
      <w:marRight w:val="0"/>
      <w:marTop w:val="0"/>
      <w:marBottom w:val="0"/>
      <w:divBdr>
        <w:top w:val="none" w:sz="0" w:space="0" w:color="auto"/>
        <w:left w:val="none" w:sz="0" w:space="0" w:color="auto"/>
        <w:bottom w:val="none" w:sz="0" w:space="0" w:color="auto"/>
        <w:right w:val="none" w:sz="0" w:space="0" w:color="auto"/>
      </w:divBdr>
    </w:div>
    <w:div w:id="151944844">
      <w:bodyDiv w:val="1"/>
      <w:marLeft w:val="0"/>
      <w:marRight w:val="0"/>
      <w:marTop w:val="0"/>
      <w:marBottom w:val="0"/>
      <w:divBdr>
        <w:top w:val="none" w:sz="0" w:space="0" w:color="auto"/>
        <w:left w:val="none" w:sz="0" w:space="0" w:color="auto"/>
        <w:bottom w:val="none" w:sz="0" w:space="0" w:color="auto"/>
        <w:right w:val="none" w:sz="0" w:space="0" w:color="auto"/>
      </w:divBdr>
    </w:div>
    <w:div w:id="154998758">
      <w:bodyDiv w:val="1"/>
      <w:marLeft w:val="0"/>
      <w:marRight w:val="0"/>
      <w:marTop w:val="0"/>
      <w:marBottom w:val="0"/>
      <w:divBdr>
        <w:top w:val="none" w:sz="0" w:space="0" w:color="auto"/>
        <w:left w:val="none" w:sz="0" w:space="0" w:color="auto"/>
        <w:bottom w:val="none" w:sz="0" w:space="0" w:color="auto"/>
        <w:right w:val="none" w:sz="0" w:space="0" w:color="auto"/>
      </w:divBdr>
    </w:div>
    <w:div w:id="156727076">
      <w:bodyDiv w:val="1"/>
      <w:marLeft w:val="0"/>
      <w:marRight w:val="0"/>
      <w:marTop w:val="0"/>
      <w:marBottom w:val="0"/>
      <w:divBdr>
        <w:top w:val="none" w:sz="0" w:space="0" w:color="auto"/>
        <w:left w:val="none" w:sz="0" w:space="0" w:color="auto"/>
        <w:bottom w:val="none" w:sz="0" w:space="0" w:color="auto"/>
        <w:right w:val="none" w:sz="0" w:space="0" w:color="auto"/>
      </w:divBdr>
    </w:div>
    <w:div w:id="157156827">
      <w:bodyDiv w:val="1"/>
      <w:marLeft w:val="0"/>
      <w:marRight w:val="0"/>
      <w:marTop w:val="0"/>
      <w:marBottom w:val="0"/>
      <w:divBdr>
        <w:top w:val="none" w:sz="0" w:space="0" w:color="auto"/>
        <w:left w:val="none" w:sz="0" w:space="0" w:color="auto"/>
        <w:bottom w:val="none" w:sz="0" w:space="0" w:color="auto"/>
        <w:right w:val="none" w:sz="0" w:space="0" w:color="auto"/>
      </w:divBdr>
    </w:div>
    <w:div w:id="159808665">
      <w:bodyDiv w:val="1"/>
      <w:marLeft w:val="0"/>
      <w:marRight w:val="0"/>
      <w:marTop w:val="0"/>
      <w:marBottom w:val="0"/>
      <w:divBdr>
        <w:top w:val="none" w:sz="0" w:space="0" w:color="auto"/>
        <w:left w:val="none" w:sz="0" w:space="0" w:color="auto"/>
        <w:bottom w:val="none" w:sz="0" w:space="0" w:color="auto"/>
        <w:right w:val="none" w:sz="0" w:space="0" w:color="auto"/>
      </w:divBdr>
    </w:div>
    <w:div w:id="161556463">
      <w:bodyDiv w:val="1"/>
      <w:marLeft w:val="0"/>
      <w:marRight w:val="0"/>
      <w:marTop w:val="0"/>
      <w:marBottom w:val="0"/>
      <w:divBdr>
        <w:top w:val="none" w:sz="0" w:space="0" w:color="auto"/>
        <w:left w:val="none" w:sz="0" w:space="0" w:color="auto"/>
        <w:bottom w:val="none" w:sz="0" w:space="0" w:color="auto"/>
        <w:right w:val="none" w:sz="0" w:space="0" w:color="auto"/>
      </w:divBdr>
    </w:div>
    <w:div w:id="163401277">
      <w:bodyDiv w:val="1"/>
      <w:marLeft w:val="0"/>
      <w:marRight w:val="0"/>
      <w:marTop w:val="0"/>
      <w:marBottom w:val="0"/>
      <w:divBdr>
        <w:top w:val="none" w:sz="0" w:space="0" w:color="auto"/>
        <w:left w:val="none" w:sz="0" w:space="0" w:color="auto"/>
        <w:bottom w:val="none" w:sz="0" w:space="0" w:color="auto"/>
        <w:right w:val="none" w:sz="0" w:space="0" w:color="auto"/>
      </w:divBdr>
    </w:div>
    <w:div w:id="166870818">
      <w:bodyDiv w:val="1"/>
      <w:marLeft w:val="0"/>
      <w:marRight w:val="0"/>
      <w:marTop w:val="0"/>
      <w:marBottom w:val="0"/>
      <w:divBdr>
        <w:top w:val="none" w:sz="0" w:space="0" w:color="auto"/>
        <w:left w:val="none" w:sz="0" w:space="0" w:color="auto"/>
        <w:bottom w:val="none" w:sz="0" w:space="0" w:color="auto"/>
        <w:right w:val="none" w:sz="0" w:space="0" w:color="auto"/>
      </w:divBdr>
    </w:div>
    <w:div w:id="167789445">
      <w:bodyDiv w:val="1"/>
      <w:marLeft w:val="0"/>
      <w:marRight w:val="0"/>
      <w:marTop w:val="0"/>
      <w:marBottom w:val="0"/>
      <w:divBdr>
        <w:top w:val="none" w:sz="0" w:space="0" w:color="auto"/>
        <w:left w:val="none" w:sz="0" w:space="0" w:color="auto"/>
        <w:bottom w:val="none" w:sz="0" w:space="0" w:color="auto"/>
        <w:right w:val="none" w:sz="0" w:space="0" w:color="auto"/>
      </w:divBdr>
    </w:div>
    <w:div w:id="170216620">
      <w:bodyDiv w:val="1"/>
      <w:marLeft w:val="0"/>
      <w:marRight w:val="0"/>
      <w:marTop w:val="0"/>
      <w:marBottom w:val="0"/>
      <w:divBdr>
        <w:top w:val="none" w:sz="0" w:space="0" w:color="auto"/>
        <w:left w:val="none" w:sz="0" w:space="0" w:color="auto"/>
        <w:bottom w:val="none" w:sz="0" w:space="0" w:color="auto"/>
        <w:right w:val="none" w:sz="0" w:space="0" w:color="auto"/>
      </w:divBdr>
    </w:div>
    <w:div w:id="170268557">
      <w:bodyDiv w:val="1"/>
      <w:marLeft w:val="0"/>
      <w:marRight w:val="0"/>
      <w:marTop w:val="0"/>
      <w:marBottom w:val="0"/>
      <w:divBdr>
        <w:top w:val="none" w:sz="0" w:space="0" w:color="auto"/>
        <w:left w:val="none" w:sz="0" w:space="0" w:color="auto"/>
        <w:bottom w:val="none" w:sz="0" w:space="0" w:color="auto"/>
        <w:right w:val="none" w:sz="0" w:space="0" w:color="auto"/>
      </w:divBdr>
    </w:div>
    <w:div w:id="179468547">
      <w:bodyDiv w:val="1"/>
      <w:marLeft w:val="0"/>
      <w:marRight w:val="0"/>
      <w:marTop w:val="0"/>
      <w:marBottom w:val="0"/>
      <w:divBdr>
        <w:top w:val="none" w:sz="0" w:space="0" w:color="auto"/>
        <w:left w:val="none" w:sz="0" w:space="0" w:color="auto"/>
        <w:bottom w:val="none" w:sz="0" w:space="0" w:color="auto"/>
        <w:right w:val="none" w:sz="0" w:space="0" w:color="auto"/>
      </w:divBdr>
    </w:div>
    <w:div w:id="181404275">
      <w:bodyDiv w:val="1"/>
      <w:marLeft w:val="0"/>
      <w:marRight w:val="0"/>
      <w:marTop w:val="0"/>
      <w:marBottom w:val="0"/>
      <w:divBdr>
        <w:top w:val="none" w:sz="0" w:space="0" w:color="auto"/>
        <w:left w:val="none" w:sz="0" w:space="0" w:color="auto"/>
        <w:bottom w:val="none" w:sz="0" w:space="0" w:color="auto"/>
        <w:right w:val="none" w:sz="0" w:space="0" w:color="auto"/>
      </w:divBdr>
    </w:div>
    <w:div w:id="193494891">
      <w:bodyDiv w:val="1"/>
      <w:marLeft w:val="0"/>
      <w:marRight w:val="0"/>
      <w:marTop w:val="0"/>
      <w:marBottom w:val="0"/>
      <w:divBdr>
        <w:top w:val="none" w:sz="0" w:space="0" w:color="auto"/>
        <w:left w:val="none" w:sz="0" w:space="0" w:color="auto"/>
        <w:bottom w:val="none" w:sz="0" w:space="0" w:color="auto"/>
        <w:right w:val="none" w:sz="0" w:space="0" w:color="auto"/>
      </w:divBdr>
    </w:div>
    <w:div w:id="202138223">
      <w:bodyDiv w:val="1"/>
      <w:marLeft w:val="0"/>
      <w:marRight w:val="0"/>
      <w:marTop w:val="0"/>
      <w:marBottom w:val="0"/>
      <w:divBdr>
        <w:top w:val="none" w:sz="0" w:space="0" w:color="auto"/>
        <w:left w:val="none" w:sz="0" w:space="0" w:color="auto"/>
        <w:bottom w:val="none" w:sz="0" w:space="0" w:color="auto"/>
        <w:right w:val="none" w:sz="0" w:space="0" w:color="auto"/>
      </w:divBdr>
    </w:div>
    <w:div w:id="209658154">
      <w:bodyDiv w:val="1"/>
      <w:marLeft w:val="0"/>
      <w:marRight w:val="0"/>
      <w:marTop w:val="0"/>
      <w:marBottom w:val="0"/>
      <w:divBdr>
        <w:top w:val="none" w:sz="0" w:space="0" w:color="auto"/>
        <w:left w:val="none" w:sz="0" w:space="0" w:color="auto"/>
        <w:bottom w:val="none" w:sz="0" w:space="0" w:color="auto"/>
        <w:right w:val="none" w:sz="0" w:space="0" w:color="auto"/>
      </w:divBdr>
    </w:div>
    <w:div w:id="210188602">
      <w:bodyDiv w:val="1"/>
      <w:marLeft w:val="0"/>
      <w:marRight w:val="0"/>
      <w:marTop w:val="0"/>
      <w:marBottom w:val="0"/>
      <w:divBdr>
        <w:top w:val="none" w:sz="0" w:space="0" w:color="auto"/>
        <w:left w:val="none" w:sz="0" w:space="0" w:color="auto"/>
        <w:bottom w:val="none" w:sz="0" w:space="0" w:color="auto"/>
        <w:right w:val="none" w:sz="0" w:space="0" w:color="auto"/>
      </w:divBdr>
    </w:div>
    <w:div w:id="212232940">
      <w:bodyDiv w:val="1"/>
      <w:marLeft w:val="0"/>
      <w:marRight w:val="0"/>
      <w:marTop w:val="0"/>
      <w:marBottom w:val="0"/>
      <w:divBdr>
        <w:top w:val="none" w:sz="0" w:space="0" w:color="auto"/>
        <w:left w:val="none" w:sz="0" w:space="0" w:color="auto"/>
        <w:bottom w:val="none" w:sz="0" w:space="0" w:color="auto"/>
        <w:right w:val="none" w:sz="0" w:space="0" w:color="auto"/>
      </w:divBdr>
    </w:div>
    <w:div w:id="217278989">
      <w:bodyDiv w:val="1"/>
      <w:marLeft w:val="0"/>
      <w:marRight w:val="0"/>
      <w:marTop w:val="0"/>
      <w:marBottom w:val="0"/>
      <w:divBdr>
        <w:top w:val="none" w:sz="0" w:space="0" w:color="auto"/>
        <w:left w:val="none" w:sz="0" w:space="0" w:color="auto"/>
        <w:bottom w:val="none" w:sz="0" w:space="0" w:color="auto"/>
        <w:right w:val="none" w:sz="0" w:space="0" w:color="auto"/>
      </w:divBdr>
    </w:div>
    <w:div w:id="217520381">
      <w:bodyDiv w:val="1"/>
      <w:marLeft w:val="0"/>
      <w:marRight w:val="0"/>
      <w:marTop w:val="0"/>
      <w:marBottom w:val="0"/>
      <w:divBdr>
        <w:top w:val="none" w:sz="0" w:space="0" w:color="auto"/>
        <w:left w:val="none" w:sz="0" w:space="0" w:color="auto"/>
        <w:bottom w:val="none" w:sz="0" w:space="0" w:color="auto"/>
        <w:right w:val="none" w:sz="0" w:space="0" w:color="auto"/>
      </w:divBdr>
    </w:div>
    <w:div w:id="218172026">
      <w:bodyDiv w:val="1"/>
      <w:marLeft w:val="0"/>
      <w:marRight w:val="0"/>
      <w:marTop w:val="0"/>
      <w:marBottom w:val="0"/>
      <w:divBdr>
        <w:top w:val="none" w:sz="0" w:space="0" w:color="auto"/>
        <w:left w:val="none" w:sz="0" w:space="0" w:color="auto"/>
        <w:bottom w:val="none" w:sz="0" w:space="0" w:color="auto"/>
        <w:right w:val="none" w:sz="0" w:space="0" w:color="auto"/>
      </w:divBdr>
    </w:div>
    <w:div w:id="220795563">
      <w:bodyDiv w:val="1"/>
      <w:marLeft w:val="0"/>
      <w:marRight w:val="0"/>
      <w:marTop w:val="0"/>
      <w:marBottom w:val="0"/>
      <w:divBdr>
        <w:top w:val="none" w:sz="0" w:space="0" w:color="auto"/>
        <w:left w:val="none" w:sz="0" w:space="0" w:color="auto"/>
        <w:bottom w:val="none" w:sz="0" w:space="0" w:color="auto"/>
        <w:right w:val="none" w:sz="0" w:space="0" w:color="auto"/>
      </w:divBdr>
    </w:div>
    <w:div w:id="223293697">
      <w:bodyDiv w:val="1"/>
      <w:marLeft w:val="0"/>
      <w:marRight w:val="0"/>
      <w:marTop w:val="0"/>
      <w:marBottom w:val="0"/>
      <w:divBdr>
        <w:top w:val="none" w:sz="0" w:space="0" w:color="auto"/>
        <w:left w:val="none" w:sz="0" w:space="0" w:color="auto"/>
        <w:bottom w:val="none" w:sz="0" w:space="0" w:color="auto"/>
        <w:right w:val="none" w:sz="0" w:space="0" w:color="auto"/>
      </w:divBdr>
    </w:div>
    <w:div w:id="223876128">
      <w:bodyDiv w:val="1"/>
      <w:marLeft w:val="0"/>
      <w:marRight w:val="0"/>
      <w:marTop w:val="0"/>
      <w:marBottom w:val="0"/>
      <w:divBdr>
        <w:top w:val="none" w:sz="0" w:space="0" w:color="auto"/>
        <w:left w:val="none" w:sz="0" w:space="0" w:color="auto"/>
        <w:bottom w:val="none" w:sz="0" w:space="0" w:color="auto"/>
        <w:right w:val="none" w:sz="0" w:space="0" w:color="auto"/>
      </w:divBdr>
    </w:div>
    <w:div w:id="226767131">
      <w:bodyDiv w:val="1"/>
      <w:marLeft w:val="0"/>
      <w:marRight w:val="0"/>
      <w:marTop w:val="0"/>
      <w:marBottom w:val="0"/>
      <w:divBdr>
        <w:top w:val="none" w:sz="0" w:space="0" w:color="auto"/>
        <w:left w:val="none" w:sz="0" w:space="0" w:color="auto"/>
        <w:bottom w:val="none" w:sz="0" w:space="0" w:color="auto"/>
        <w:right w:val="none" w:sz="0" w:space="0" w:color="auto"/>
      </w:divBdr>
    </w:div>
    <w:div w:id="234823137">
      <w:bodyDiv w:val="1"/>
      <w:marLeft w:val="0"/>
      <w:marRight w:val="0"/>
      <w:marTop w:val="0"/>
      <w:marBottom w:val="0"/>
      <w:divBdr>
        <w:top w:val="none" w:sz="0" w:space="0" w:color="auto"/>
        <w:left w:val="none" w:sz="0" w:space="0" w:color="auto"/>
        <w:bottom w:val="none" w:sz="0" w:space="0" w:color="auto"/>
        <w:right w:val="none" w:sz="0" w:space="0" w:color="auto"/>
      </w:divBdr>
    </w:div>
    <w:div w:id="236672742">
      <w:bodyDiv w:val="1"/>
      <w:marLeft w:val="0"/>
      <w:marRight w:val="0"/>
      <w:marTop w:val="0"/>
      <w:marBottom w:val="0"/>
      <w:divBdr>
        <w:top w:val="none" w:sz="0" w:space="0" w:color="auto"/>
        <w:left w:val="none" w:sz="0" w:space="0" w:color="auto"/>
        <w:bottom w:val="none" w:sz="0" w:space="0" w:color="auto"/>
        <w:right w:val="none" w:sz="0" w:space="0" w:color="auto"/>
      </w:divBdr>
    </w:div>
    <w:div w:id="238833318">
      <w:bodyDiv w:val="1"/>
      <w:marLeft w:val="0"/>
      <w:marRight w:val="0"/>
      <w:marTop w:val="0"/>
      <w:marBottom w:val="0"/>
      <w:divBdr>
        <w:top w:val="none" w:sz="0" w:space="0" w:color="auto"/>
        <w:left w:val="none" w:sz="0" w:space="0" w:color="auto"/>
        <w:bottom w:val="none" w:sz="0" w:space="0" w:color="auto"/>
        <w:right w:val="none" w:sz="0" w:space="0" w:color="auto"/>
      </w:divBdr>
    </w:div>
    <w:div w:id="243683158">
      <w:bodyDiv w:val="1"/>
      <w:marLeft w:val="0"/>
      <w:marRight w:val="0"/>
      <w:marTop w:val="0"/>
      <w:marBottom w:val="0"/>
      <w:divBdr>
        <w:top w:val="none" w:sz="0" w:space="0" w:color="auto"/>
        <w:left w:val="none" w:sz="0" w:space="0" w:color="auto"/>
        <w:bottom w:val="none" w:sz="0" w:space="0" w:color="auto"/>
        <w:right w:val="none" w:sz="0" w:space="0" w:color="auto"/>
      </w:divBdr>
    </w:div>
    <w:div w:id="243996804">
      <w:bodyDiv w:val="1"/>
      <w:marLeft w:val="0"/>
      <w:marRight w:val="0"/>
      <w:marTop w:val="0"/>
      <w:marBottom w:val="0"/>
      <w:divBdr>
        <w:top w:val="none" w:sz="0" w:space="0" w:color="auto"/>
        <w:left w:val="none" w:sz="0" w:space="0" w:color="auto"/>
        <w:bottom w:val="none" w:sz="0" w:space="0" w:color="auto"/>
        <w:right w:val="none" w:sz="0" w:space="0" w:color="auto"/>
      </w:divBdr>
    </w:div>
    <w:div w:id="244457687">
      <w:bodyDiv w:val="1"/>
      <w:marLeft w:val="0"/>
      <w:marRight w:val="0"/>
      <w:marTop w:val="0"/>
      <w:marBottom w:val="0"/>
      <w:divBdr>
        <w:top w:val="none" w:sz="0" w:space="0" w:color="auto"/>
        <w:left w:val="none" w:sz="0" w:space="0" w:color="auto"/>
        <w:bottom w:val="none" w:sz="0" w:space="0" w:color="auto"/>
        <w:right w:val="none" w:sz="0" w:space="0" w:color="auto"/>
      </w:divBdr>
    </w:div>
    <w:div w:id="246425323">
      <w:bodyDiv w:val="1"/>
      <w:marLeft w:val="0"/>
      <w:marRight w:val="0"/>
      <w:marTop w:val="0"/>
      <w:marBottom w:val="0"/>
      <w:divBdr>
        <w:top w:val="none" w:sz="0" w:space="0" w:color="auto"/>
        <w:left w:val="none" w:sz="0" w:space="0" w:color="auto"/>
        <w:bottom w:val="none" w:sz="0" w:space="0" w:color="auto"/>
        <w:right w:val="none" w:sz="0" w:space="0" w:color="auto"/>
      </w:divBdr>
    </w:div>
    <w:div w:id="246498361">
      <w:bodyDiv w:val="1"/>
      <w:marLeft w:val="0"/>
      <w:marRight w:val="0"/>
      <w:marTop w:val="0"/>
      <w:marBottom w:val="0"/>
      <w:divBdr>
        <w:top w:val="none" w:sz="0" w:space="0" w:color="auto"/>
        <w:left w:val="none" w:sz="0" w:space="0" w:color="auto"/>
        <w:bottom w:val="none" w:sz="0" w:space="0" w:color="auto"/>
        <w:right w:val="none" w:sz="0" w:space="0" w:color="auto"/>
      </w:divBdr>
    </w:div>
    <w:div w:id="251400935">
      <w:bodyDiv w:val="1"/>
      <w:marLeft w:val="0"/>
      <w:marRight w:val="0"/>
      <w:marTop w:val="0"/>
      <w:marBottom w:val="0"/>
      <w:divBdr>
        <w:top w:val="none" w:sz="0" w:space="0" w:color="auto"/>
        <w:left w:val="none" w:sz="0" w:space="0" w:color="auto"/>
        <w:bottom w:val="none" w:sz="0" w:space="0" w:color="auto"/>
        <w:right w:val="none" w:sz="0" w:space="0" w:color="auto"/>
      </w:divBdr>
    </w:div>
    <w:div w:id="252711967">
      <w:bodyDiv w:val="1"/>
      <w:marLeft w:val="0"/>
      <w:marRight w:val="0"/>
      <w:marTop w:val="0"/>
      <w:marBottom w:val="0"/>
      <w:divBdr>
        <w:top w:val="none" w:sz="0" w:space="0" w:color="auto"/>
        <w:left w:val="none" w:sz="0" w:space="0" w:color="auto"/>
        <w:bottom w:val="none" w:sz="0" w:space="0" w:color="auto"/>
        <w:right w:val="none" w:sz="0" w:space="0" w:color="auto"/>
      </w:divBdr>
    </w:div>
    <w:div w:id="253127804">
      <w:bodyDiv w:val="1"/>
      <w:marLeft w:val="0"/>
      <w:marRight w:val="0"/>
      <w:marTop w:val="0"/>
      <w:marBottom w:val="0"/>
      <w:divBdr>
        <w:top w:val="none" w:sz="0" w:space="0" w:color="auto"/>
        <w:left w:val="none" w:sz="0" w:space="0" w:color="auto"/>
        <w:bottom w:val="none" w:sz="0" w:space="0" w:color="auto"/>
        <w:right w:val="none" w:sz="0" w:space="0" w:color="auto"/>
      </w:divBdr>
    </w:div>
    <w:div w:id="253247293">
      <w:bodyDiv w:val="1"/>
      <w:marLeft w:val="0"/>
      <w:marRight w:val="0"/>
      <w:marTop w:val="0"/>
      <w:marBottom w:val="0"/>
      <w:divBdr>
        <w:top w:val="none" w:sz="0" w:space="0" w:color="auto"/>
        <w:left w:val="none" w:sz="0" w:space="0" w:color="auto"/>
        <w:bottom w:val="none" w:sz="0" w:space="0" w:color="auto"/>
        <w:right w:val="none" w:sz="0" w:space="0" w:color="auto"/>
      </w:divBdr>
    </w:div>
    <w:div w:id="257565912">
      <w:bodyDiv w:val="1"/>
      <w:marLeft w:val="0"/>
      <w:marRight w:val="0"/>
      <w:marTop w:val="0"/>
      <w:marBottom w:val="0"/>
      <w:divBdr>
        <w:top w:val="none" w:sz="0" w:space="0" w:color="auto"/>
        <w:left w:val="none" w:sz="0" w:space="0" w:color="auto"/>
        <w:bottom w:val="none" w:sz="0" w:space="0" w:color="auto"/>
        <w:right w:val="none" w:sz="0" w:space="0" w:color="auto"/>
      </w:divBdr>
    </w:div>
    <w:div w:id="258222915">
      <w:bodyDiv w:val="1"/>
      <w:marLeft w:val="0"/>
      <w:marRight w:val="0"/>
      <w:marTop w:val="0"/>
      <w:marBottom w:val="0"/>
      <w:divBdr>
        <w:top w:val="none" w:sz="0" w:space="0" w:color="auto"/>
        <w:left w:val="none" w:sz="0" w:space="0" w:color="auto"/>
        <w:bottom w:val="none" w:sz="0" w:space="0" w:color="auto"/>
        <w:right w:val="none" w:sz="0" w:space="0" w:color="auto"/>
      </w:divBdr>
    </w:div>
    <w:div w:id="258637458">
      <w:bodyDiv w:val="1"/>
      <w:marLeft w:val="0"/>
      <w:marRight w:val="0"/>
      <w:marTop w:val="0"/>
      <w:marBottom w:val="0"/>
      <w:divBdr>
        <w:top w:val="none" w:sz="0" w:space="0" w:color="auto"/>
        <w:left w:val="none" w:sz="0" w:space="0" w:color="auto"/>
        <w:bottom w:val="none" w:sz="0" w:space="0" w:color="auto"/>
        <w:right w:val="none" w:sz="0" w:space="0" w:color="auto"/>
      </w:divBdr>
    </w:div>
    <w:div w:id="265814599">
      <w:bodyDiv w:val="1"/>
      <w:marLeft w:val="0"/>
      <w:marRight w:val="0"/>
      <w:marTop w:val="0"/>
      <w:marBottom w:val="0"/>
      <w:divBdr>
        <w:top w:val="none" w:sz="0" w:space="0" w:color="auto"/>
        <w:left w:val="none" w:sz="0" w:space="0" w:color="auto"/>
        <w:bottom w:val="none" w:sz="0" w:space="0" w:color="auto"/>
        <w:right w:val="none" w:sz="0" w:space="0" w:color="auto"/>
      </w:divBdr>
    </w:div>
    <w:div w:id="267125360">
      <w:bodyDiv w:val="1"/>
      <w:marLeft w:val="0"/>
      <w:marRight w:val="0"/>
      <w:marTop w:val="0"/>
      <w:marBottom w:val="0"/>
      <w:divBdr>
        <w:top w:val="none" w:sz="0" w:space="0" w:color="auto"/>
        <w:left w:val="none" w:sz="0" w:space="0" w:color="auto"/>
        <w:bottom w:val="none" w:sz="0" w:space="0" w:color="auto"/>
        <w:right w:val="none" w:sz="0" w:space="0" w:color="auto"/>
      </w:divBdr>
    </w:div>
    <w:div w:id="268203985">
      <w:bodyDiv w:val="1"/>
      <w:marLeft w:val="0"/>
      <w:marRight w:val="0"/>
      <w:marTop w:val="0"/>
      <w:marBottom w:val="0"/>
      <w:divBdr>
        <w:top w:val="none" w:sz="0" w:space="0" w:color="auto"/>
        <w:left w:val="none" w:sz="0" w:space="0" w:color="auto"/>
        <w:bottom w:val="none" w:sz="0" w:space="0" w:color="auto"/>
        <w:right w:val="none" w:sz="0" w:space="0" w:color="auto"/>
      </w:divBdr>
    </w:div>
    <w:div w:id="271324308">
      <w:bodyDiv w:val="1"/>
      <w:marLeft w:val="0"/>
      <w:marRight w:val="0"/>
      <w:marTop w:val="0"/>
      <w:marBottom w:val="0"/>
      <w:divBdr>
        <w:top w:val="none" w:sz="0" w:space="0" w:color="auto"/>
        <w:left w:val="none" w:sz="0" w:space="0" w:color="auto"/>
        <w:bottom w:val="none" w:sz="0" w:space="0" w:color="auto"/>
        <w:right w:val="none" w:sz="0" w:space="0" w:color="auto"/>
      </w:divBdr>
    </w:div>
    <w:div w:id="274097531">
      <w:bodyDiv w:val="1"/>
      <w:marLeft w:val="0"/>
      <w:marRight w:val="0"/>
      <w:marTop w:val="0"/>
      <w:marBottom w:val="0"/>
      <w:divBdr>
        <w:top w:val="none" w:sz="0" w:space="0" w:color="auto"/>
        <w:left w:val="none" w:sz="0" w:space="0" w:color="auto"/>
        <w:bottom w:val="none" w:sz="0" w:space="0" w:color="auto"/>
        <w:right w:val="none" w:sz="0" w:space="0" w:color="auto"/>
      </w:divBdr>
    </w:div>
    <w:div w:id="274679050">
      <w:bodyDiv w:val="1"/>
      <w:marLeft w:val="0"/>
      <w:marRight w:val="0"/>
      <w:marTop w:val="0"/>
      <w:marBottom w:val="0"/>
      <w:divBdr>
        <w:top w:val="none" w:sz="0" w:space="0" w:color="auto"/>
        <w:left w:val="none" w:sz="0" w:space="0" w:color="auto"/>
        <w:bottom w:val="none" w:sz="0" w:space="0" w:color="auto"/>
        <w:right w:val="none" w:sz="0" w:space="0" w:color="auto"/>
      </w:divBdr>
    </w:div>
    <w:div w:id="275259227">
      <w:bodyDiv w:val="1"/>
      <w:marLeft w:val="0"/>
      <w:marRight w:val="0"/>
      <w:marTop w:val="0"/>
      <w:marBottom w:val="0"/>
      <w:divBdr>
        <w:top w:val="none" w:sz="0" w:space="0" w:color="auto"/>
        <w:left w:val="none" w:sz="0" w:space="0" w:color="auto"/>
        <w:bottom w:val="none" w:sz="0" w:space="0" w:color="auto"/>
        <w:right w:val="none" w:sz="0" w:space="0" w:color="auto"/>
      </w:divBdr>
    </w:div>
    <w:div w:id="277414116">
      <w:bodyDiv w:val="1"/>
      <w:marLeft w:val="0"/>
      <w:marRight w:val="0"/>
      <w:marTop w:val="0"/>
      <w:marBottom w:val="0"/>
      <w:divBdr>
        <w:top w:val="none" w:sz="0" w:space="0" w:color="auto"/>
        <w:left w:val="none" w:sz="0" w:space="0" w:color="auto"/>
        <w:bottom w:val="none" w:sz="0" w:space="0" w:color="auto"/>
        <w:right w:val="none" w:sz="0" w:space="0" w:color="auto"/>
      </w:divBdr>
    </w:div>
    <w:div w:id="287666294">
      <w:bodyDiv w:val="1"/>
      <w:marLeft w:val="0"/>
      <w:marRight w:val="0"/>
      <w:marTop w:val="0"/>
      <w:marBottom w:val="0"/>
      <w:divBdr>
        <w:top w:val="none" w:sz="0" w:space="0" w:color="auto"/>
        <w:left w:val="none" w:sz="0" w:space="0" w:color="auto"/>
        <w:bottom w:val="none" w:sz="0" w:space="0" w:color="auto"/>
        <w:right w:val="none" w:sz="0" w:space="0" w:color="auto"/>
      </w:divBdr>
    </w:div>
    <w:div w:id="289240333">
      <w:bodyDiv w:val="1"/>
      <w:marLeft w:val="0"/>
      <w:marRight w:val="0"/>
      <w:marTop w:val="0"/>
      <w:marBottom w:val="0"/>
      <w:divBdr>
        <w:top w:val="none" w:sz="0" w:space="0" w:color="auto"/>
        <w:left w:val="none" w:sz="0" w:space="0" w:color="auto"/>
        <w:bottom w:val="none" w:sz="0" w:space="0" w:color="auto"/>
        <w:right w:val="none" w:sz="0" w:space="0" w:color="auto"/>
      </w:divBdr>
    </w:div>
    <w:div w:id="289744132">
      <w:bodyDiv w:val="1"/>
      <w:marLeft w:val="0"/>
      <w:marRight w:val="0"/>
      <w:marTop w:val="0"/>
      <w:marBottom w:val="0"/>
      <w:divBdr>
        <w:top w:val="none" w:sz="0" w:space="0" w:color="auto"/>
        <w:left w:val="none" w:sz="0" w:space="0" w:color="auto"/>
        <w:bottom w:val="none" w:sz="0" w:space="0" w:color="auto"/>
        <w:right w:val="none" w:sz="0" w:space="0" w:color="auto"/>
      </w:divBdr>
    </w:div>
    <w:div w:id="290283376">
      <w:bodyDiv w:val="1"/>
      <w:marLeft w:val="0"/>
      <w:marRight w:val="0"/>
      <w:marTop w:val="0"/>
      <w:marBottom w:val="0"/>
      <w:divBdr>
        <w:top w:val="none" w:sz="0" w:space="0" w:color="auto"/>
        <w:left w:val="none" w:sz="0" w:space="0" w:color="auto"/>
        <w:bottom w:val="none" w:sz="0" w:space="0" w:color="auto"/>
        <w:right w:val="none" w:sz="0" w:space="0" w:color="auto"/>
      </w:divBdr>
    </w:div>
    <w:div w:id="294410148">
      <w:bodyDiv w:val="1"/>
      <w:marLeft w:val="0"/>
      <w:marRight w:val="0"/>
      <w:marTop w:val="0"/>
      <w:marBottom w:val="0"/>
      <w:divBdr>
        <w:top w:val="none" w:sz="0" w:space="0" w:color="auto"/>
        <w:left w:val="none" w:sz="0" w:space="0" w:color="auto"/>
        <w:bottom w:val="none" w:sz="0" w:space="0" w:color="auto"/>
        <w:right w:val="none" w:sz="0" w:space="0" w:color="auto"/>
      </w:divBdr>
    </w:div>
    <w:div w:id="301809410">
      <w:bodyDiv w:val="1"/>
      <w:marLeft w:val="0"/>
      <w:marRight w:val="0"/>
      <w:marTop w:val="0"/>
      <w:marBottom w:val="0"/>
      <w:divBdr>
        <w:top w:val="none" w:sz="0" w:space="0" w:color="auto"/>
        <w:left w:val="none" w:sz="0" w:space="0" w:color="auto"/>
        <w:bottom w:val="none" w:sz="0" w:space="0" w:color="auto"/>
        <w:right w:val="none" w:sz="0" w:space="0" w:color="auto"/>
      </w:divBdr>
    </w:div>
    <w:div w:id="302319838">
      <w:bodyDiv w:val="1"/>
      <w:marLeft w:val="0"/>
      <w:marRight w:val="0"/>
      <w:marTop w:val="0"/>
      <w:marBottom w:val="0"/>
      <w:divBdr>
        <w:top w:val="none" w:sz="0" w:space="0" w:color="auto"/>
        <w:left w:val="none" w:sz="0" w:space="0" w:color="auto"/>
        <w:bottom w:val="none" w:sz="0" w:space="0" w:color="auto"/>
        <w:right w:val="none" w:sz="0" w:space="0" w:color="auto"/>
      </w:divBdr>
    </w:div>
    <w:div w:id="303780498">
      <w:bodyDiv w:val="1"/>
      <w:marLeft w:val="0"/>
      <w:marRight w:val="0"/>
      <w:marTop w:val="0"/>
      <w:marBottom w:val="0"/>
      <w:divBdr>
        <w:top w:val="none" w:sz="0" w:space="0" w:color="auto"/>
        <w:left w:val="none" w:sz="0" w:space="0" w:color="auto"/>
        <w:bottom w:val="none" w:sz="0" w:space="0" w:color="auto"/>
        <w:right w:val="none" w:sz="0" w:space="0" w:color="auto"/>
      </w:divBdr>
    </w:div>
    <w:div w:id="308437498">
      <w:bodyDiv w:val="1"/>
      <w:marLeft w:val="0"/>
      <w:marRight w:val="0"/>
      <w:marTop w:val="0"/>
      <w:marBottom w:val="0"/>
      <w:divBdr>
        <w:top w:val="none" w:sz="0" w:space="0" w:color="auto"/>
        <w:left w:val="none" w:sz="0" w:space="0" w:color="auto"/>
        <w:bottom w:val="none" w:sz="0" w:space="0" w:color="auto"/>
        <w:right w:val="none" w:sz="0" w:space="0" w:color="auto"/>
      </w:divBdr>
    </w:div>
    <w:div w:id="317270663">
      <w:bodyDiv w:val="1"/>
      <w:marLeft w:val="0"/>
      <w:marRight w:val="0"/>
      <w:marTop w:val="0"/>
      <w:marBottom w:val="0"/>
      <w:divBdr>
        <w:top w:val="none" w:sz="0" w:space="0" w:color="auto"/>
        <w:left w:val="none" w:sz="0" w:space="0" w:color="auto"/>
        <w:bottom w:val="none" w:sz="0" w:space="0" w:color="auto"/>
        <w:right w:val="none" w:sz="0" w:space="0" w:color="auto"/>
      </w:divBdr>
    </w:div>
    <w:div w:id="324478226">
      <w:bodyDiv w:val="1"/>
      <w:marLeft w:val="0"/>
      <w:marRight w:val="0"/>
      <w:marTop w:val="0"/>
      <w:marBottom w:val="0"/>
      <w:divBdr>
        <w:top w:val="none" w:sz="0" w:space="0" w:color="auto"/>
        <w:left w:val="none" w:sz="0" w:space="0" w:color="auto"/>
        <w:bottom w:val="none" w:sz="0" w:space="0" w:color="auto"/>
        <w:right w:val="none" w:sz="0" w:space="0" w:color="auto"/>
      </w:divBdr>
    </w:div>
    <w:div w:id="326179591">
      <w:bodyDiv w:val="1"/>
      <w:marLeft w:val="0"/>
      <w:marRight w:val="0"/>
      <w:marTop w:val="0"/>
      <w:marBottom w:val="0"/>
      <w:divBdr>
        <w:top w:val="none" w:sz="0" w:space="0" w:color="auto"/>
        <w:left w:val="none" w:sz="0" w:space="0" w:color="auto"/>
        <w:bottom w:val="none" w:sz="0" w:space="0" w:color="auto"/>
        <w:right w:val="none" w:sz="0" w:space="0" w:color="auto"/>
      </w:divBdr>
    </w:div>
    <w:div w:id="327296336">
      <w:bodyDiv w:val="1"/>
      <w:marLeft w:val="0"/>
      <w:marRight w:val="0"/>
      <w:marTop w:val="0"/>
      <w:marBottom w:val="0"/>
      <w:divBdr>
        <w:top w:val="none" w:sz="0" w:space="0" w:color="auto"/>
        <w:left w:val="none" w:sz="0" w:space="0" w:color="auto"/>
        <w:bottom w:val="none" w:sz="0" w:space="0" w:color="auto"/>
        <w:right w:val="none" w:sz="0" w:space="0" w:color="auto"/>
      </w:divBdr>
    </w:div>
    <w:div w:id="330258853">
      <w:bodyDiv w:val="1"/>
      <w:marLeft w:val="0"/>
      <w:marRight w:val="0"/>
      <w:marTop w:val="0"/>
      <w:marBottom w:val="0"/>
      <w:divBdr>
        <w:top w:val="none" w:sz="0" w:space="0" w:color="auto"/>
        <w:left w:val="none" w:sz="0" w:space="0" w:color="auto"/>
        <w:bottom w:val="none" w:sz="0" w:space="0" w:color="auto"/>
        <w:right w:val="none" w:sz="0" w:space="0" w:color="auto"/>
      </w:divBdr>
    </w:div>
    <w:div w:id="334067360">
      <w:bodyDiv w:val="1"/>
      <w:marLeft w:val="0"/>
      <w:marRight w:val="0"/>
      <w:marTop w:val="0"/>
      <w:marBottom w:val="0"/>
      <w:divBdr>
        <w:top w:val="none" w:sz="0" w:space="0" w:color="auto"/>
        <w:left w:val="none" w:sz="0" w:space="0" w:color="auto"/>
        <w:bottom w:val="none" w:sz="0" w:space="0" w:color="auto"/>
        <w:right w:val="none" w:sz="0" w:space="0" w:color="auto"/>
      </w:divBdr>
    </w:div>
    <w:div w:id="336813710">
      <w:bodyDiv w:val="1"/>
      <w:marLeft w:val="0"/>
      <w:marRight w:val="0"/>
      <w:marTop w:val="0"/>
      <w:marBottom w:val="0"/>
      <w:divBdr>
        <w:top w:val="none" w:sz="0" w:space="0" w:color="auto"/>
        <w:left w:val="none" w:sz="0" w:space="0" w:color="auto"/>
        <w:bottom w:val="none" w:sz="0" w:space="0" w:color="auto"/>
        <w:right w:val="none" w:sz="0" w:space="0" w:color="auto"/>
      </w:divBdr>
    </w:div>
    <w:div w:id="344133277">
      <w:bodyDiv w:val="1"/>
      <w:marLeft w:val="0"/>
      <w:marRight w:val="0"/>
      <w:marTop w:val="0"/>
      <w:marBottom w:val="0"/>
      <w:divBdr>
        <w:top w:val="none" w:sz="0" w:space="0" w:color="auto"/>
        <w:left w:val="none" w:sz="0" w:space="0" w:color="auto"/>
        <w:bottom w:val="none" w:sz="0" w:space="0" w:color="auto"/>
        <w:right w:val="none" w:sz="0" w:space="0" w:color="auto"/>
      </w:divBdr>
    </w:div>
    <w:div w:id="349261181">
      <w:bodyDiv w:val="1"/>
      <w:marLeft w:val="0"/>
      <w:marRight w:val="0"/>
      <w:marTop w:val="0"/>
      <w:marBottom w:val="0"/>
      <w:divBdr>
        <w:top w:val="none" w:sz="0" w:space="0" w:color="auto"/>
        <w:left w:val="none" w:sz="0" w:space="0" w:color="auto"/>
        <w:bottom w:val="none" w:sz="0" w:space="0" w:color="auto"/>
        <w:right w:val="none" w:sz="0" w:space="0" w:color="auto"/>
      </w:divBdr>
    </w:div>
    <w:div w:id="361056108">
      <w:bodyDiv w:val="1"/>
      <w:marLeft w:val="0"/>
      <w:marRight w:val="0"/>
      <w:marTop w:val="0"/>
      <w:marBottom w:val="0"/>
      <w:divBdr>
        <w:top w:val="none" w:sz="0" w:space="0" w:color="auto"/>
        <w:left w:val="none" w:sz="0" w:space="0" w:color="auto"/>
        <w:bottom w:val="none" w:sz="0" w:space="0" w:color="auto"/>
        <w:right w:val="none" w:sz="0" w:space="0" w:color="auto"/>
      </w:divBdr>
    </w:div>
    <w:div w:id="368341867">
      <w:bodyDiv w:val="1"/>
      <w:marLeft w:val="0"/>
      <w:marRight w:val="0"/>
      <w:marTop w:val="0"/>
      <w:marBottom w:val="0"/>
      <w:divBdr>
        <w:top w:val="none" w:sz="0" w:space="0" w:color="auto"/>
        <w:left w:val="none" w:sz="0" w:space="0" w:color="auto"/>
        <w:bottom w:val="none" w:sz="0" w:space="0" w:color="auto"/>
        <w:right w:val="none" w:sz="0" w:space="0" w:color="auto"/>
      </w:divBdr>
    </w:div>
    <w:div w:id="368841529">
      <w:bodyDiv w:val="1"/>
      <w:marLeft w:val="0"/>
      <w:marRight w:val="0"/>
      <w:marTop w:val="0"/>
      <w:marBottom w:val="0"/>
      <w:divBdr>
        <w:top w:val="none" w:sz="0" w:space="0" w:color="auto"/>
        <w:left w:val="none" w:sz="0" w:space="0" w:color="auto"/>
        <w:bottom w:val="none" w:sz="0" w:space="0" w:color="auto"/>
        <w:right w:val="none" w:sz="0" w:space="0" w:color="auto"/>
      </w:divBdr>
    </w:div>
    <w:div w:id="371614738">
      <w:bodyDiv w:val="1"/>
      <w:marLeft w:val="0"/>
      <w:marRight w:val="0"/>
      <w:marTop w:val="0"/>
      <w:marBottom w:val="0"/>
      <w:divBdr>
        <w:top w:val="none" w:sz="0" w:space="0" w:color="auto"/>
        <w:left w:val="none" w:sz="0" w:space="0" w:color="auto"/>
        <w:bottom w:val="none" w:sz="0" w:space="0" w:color="auto"/>
        <w:right w:val="none" w:sz="0" w:space="0" w:color="auto"/>
      </w:divBdr>
    </w:div>
    <w:div w:id="371881730">
      <w:bodyDiv w:val="1"/>
      <w:marLeft w:val="0"/>
      <w:marRight w:val="0"/>
      <w:marTop w:val="0"/>
      <w:marBottom w:val="0"/>
      <w:divBdr>
        <w:top w:val="none" w:sz="0" w:space="0" w:color="auto"/>
        <w:left w:val="none" w:sz="0" w:space="0" w:color="auto"/>
        <w:bottom w:val="none" w:sz="0" w:space="0" w:color="auto"/>
        <w:right w:val="none" w:sz="0" w:space="0" w:color="auto"/>
      </w:divBdr>
    </w:div>
    <w:div w:id="375474279">
      <w:bodyDiv w:val="1"/>
      <w:marLeft w:val="0"/>
      <w:marRight w:val="0"/>
      <w:marTop w:val="0"/>
      <w:marBottom w:val="0"/>
      <w:divBdr>
        <w:top w:val="none" w:sz="0" w:space="0" w:color="auto"/>
        <w:left w:val="none" w:sz="0" w:space="0" w:color="auto"/>
        <w:bottom w:val="none" w:sz="0" w:space="0" w:color="auto"/>
        <w:right w:val="none" w:sz="0" w:space="0" w:color="auto"/>
      </w:divBdr>
    </w:div>
    <w:div w:id="375861401">
      <w:bodyDiv w:val="1"/>
      <w:marLeft w:val="0"/>
      <w:marRight w:val="0"/>
      <w:marTop w:val="0"/>
      <w:marBottom w:val="0"/>
      <w:divBdr>
        <w:top w:val="none" w:sz="0" w:space="0" w:color="auto"/>
        <w:left w:val="none" w:sz="0" w:space="0" w:color="auto"/>
        <w:bottom w:val="none" w:sz="0" w:space="0" w:color="auto"/>
        <w:right w:val="none" w:sz="0" w:space="0" w:color="auto"/>
      </w:divBdr>
    </w:div>
    <w:div w:id="379748081">
      <w:bodyDiv w:val="1"/>
      <w:marLeft w:val="0"/>
      <w:marRight w:val="0"/>
      <w:marTop w:val="0"/>
      <w:marBottom w:val="0"/>
      <w:divBdr>
        <w:top w:val="none" w:sz="0" w:space="0" w:color="auto"/>
        <w:left w:val="none" w:sz="0" w:space="0" w:color="auto"/>
        <w:bottom w:val="none" w:sz="0" w:space="0" w:color="auto"/>
        <w:right w:val="none" w:sz="0" w:space="0" w:color="auto"/>
      </w:divBdr>
    </w:div>
    <w:div w:id="379860385">
      <w:bodyDiv w:val="1"/>
      <w:marLeft w:val="0"/>
      <w:marRight w:val="0"/>
      <w:marTop w:val="0"/>
      <w:marBottom w:val="0"/>
      <w:divBdr>
        <w:top w:val="none" w:sz="0" w:space="0" w:color="auto"/>
        <w:left w:val="none" w:sz="0" w:space="0" w:color="auto"/>
        <w:bottom w:val="none" w:sz="0" w:space="0" w:color="auto"/>
        <w:right w:val="none" w:sz="0" w:space="0" w:color="auto"/>
      </w:divBdr>
    </w:div>
    <w:div w:id="383531562">
      <w:bodyDiv w:val="1"/>
      <w:marLeft w:val="0"/>
      <w:marRight w:val="0"/>
      <w:marTop w:val="0"/>
      <w:marBottom w:val="0"/>
      <w:divBdr>
        <w:top w:val="none" w:sz="0" w:space="0" w:color="auto"/>
        <w:left w:val="none" w:sz="0" w:space="0" w:color="auto"/>
        <w:bottom w:val="none" w:sz="0" w:space="0" w:color="auto"/>
        <w:right w:val="none" w:sz="0" w:space="0" w:color="auto"/>
      </w:divBdr>
    </w:div>
    <w:div w:id="387001045">
      <w:bodyDiv w:val="1"/>
      <w:marLeft w:val="0"/>
      <w:marRight w:val="0"/>
      <w:marTop w:val="0"/>
      <w:marBottom w:val="0"/>
      <w:divBdr>
        <w:top w:val="none" w:sz="0" w:space="0" w:color="auto"/>
        <w:left w:val="none" w:sz="0" w:space="0" w:color="auto"/>
        <w:bottom w:val="none" w:sz="0" w:space="0" w:color="auto"/>
        <w:right w:val="none" w:sz="0" w:space="0" w:color="auto"/>
      </w:divBdr>
    </w:div>
    <w:div w:id="387842564">
      <w:bodyDiv w:val="1"/>
      <w:marLeft w:val="0"/>
      <w:marRight w:val="0"/>
      <w:marTop w:val="0"/>
      <w:marBottom w:val="0"/>
      <w:divBdr>
        <w:top w:val="none" w:sz="0" w:space="0" w:color="auto"/>
        <w:left w:val="none" w:sz="0" w:space="0" w:color="auto"/>
        <w:bottom w:val="none" w:sz="0" w:space="0" w:color="auto"/>
        <w:right w:val="none" w:sz="0" w:space="0" w:color="auto"/>
      </w:divBdr>
    </w:div>
    <w:div w:id="390349699">
      <w:bodyDiv w:val="1"/>
      <w:marLeft w:val="0"/>
      <w:marRight w:val="0"/>
      <w:marTop w:val="0"/>
      <w:marBottom w:val="0"/>
      <w:divBdr>
        <w:top w:val="none" w:sz="0" w:space="0" w:color="auto"/>
        <w:left w:val="none" w:sz="0" w:space="0" w:color="auto"/>
        <w:bottom w:val="none" w:sz="0" w:space="0" w:color="auto"/>
        <w:right w:val="none" w:sz="0" w:space="0" w:color="auto"/>
      </w:divBdr>
    </w:div>
    <w:div w:id="394352816">
      <w:bodyDiv w:val="1"/>
      <w:marLeft w:val="0"/>
      <w:marRight w:val="0"/>
      <w:marTop w:val="0"/>
      <w:marBottom w:val="0"/>
      <w:divBdr>
        <w:top w:val="none" w:sz="0" w:space="0" w:color="auto"/>
        <w:left w:val="none" w:sz="0" w:space="0" w:color="auto"/>
        <w:bottom w:val="none" w:sz="0" w:space="0" w:color="auto"/>
        <w:right w:val="none" w:sz="0" w:space="0" w:color="auto"/>
      </w:divBdr>
    </w:div>
    <w:div w:id="396130899">
      <w:bodyDiv w:val="1"/>
      <w:marLeft w:val="0"/>
      <w:marRight w:val="0"/>
      <w:marTop w:val="0"/>
      <w:marBottom w:val="0"/>
      <w:divBdr>
        <w:top w:val="none" w:sz="0" w:space="0" w:color="auto"/>
        <w:left w:val="none" w:sz="0" w:space="0" w:color="auto"/>
        <w:bottom w:val="none" w:sz="0" w:space="0" w:color="auto"/>
        <w:right w:val="none" w:sz="0" w:space="0" w:color="auto"/>
      </w:divBdr>
    </w:div>
    <w:div w:id="396438060">
      <w:bodyDiv w:val="1"/>
      <w:marLeft w:val="0"/>
      <w:marRight w:val="0"/>
      <w:marTop w:val="0"/>
      <w:marBottom w:val="0"/>
      <w:divBdr>
        <w:top w:val="none" w:sz="0" w:space="0" w:color="auto"/>
        <w:left w:val="none" w:sz="0" w:space="0" w:color="auto"/>
        <w:bottom w:val="none" w:sz="0" w:space="0" w:color="auto"/>
        <w:right w:val="none" w:sz="0" w:space="0" w:color="auto"/>
      </w:divBdr>
    </w:div>
    <w:div w:id="398793791">
      <w:bodyDiv w:val="1"/>
      <w:marLeft w:val="0"/>
      <w:marRight w:val="0"/>
      <w:marTop w:val="0"/>
      <w:marBottom w:val="0"/>
      <w:divBdr>
        <w:top w:val="none" w:sz="0" w:space="0" w:color="auto"/>
        <w:left w:val="none" w:sz="0" w:space="0" w:color="auto"/>
        <w:bottom w:val="none" w:sz="0" w:space="0" w:color="auto"/>
        <w:right w:val="none" w:sz="0" w:space="0" w:color="auto"/>
      </w:divBdr>
    </w:div>
    <w:div w:id="400173522">
      <w:bodyDiv w:val="1"/>
      <w:marLeft w:val="0"/>
      <w:marRight w:val="0"/>
      <w:marTop w:val="0"/>
      <w:marBottom w:val="0"/>
      <w:divBdr>
        <w:top w:val="none" w:sz="0" w:space="0" w:color="auto"/>
        <w:left w:val="none" w:sz="0" w:space="0" w:color="auto"/>
        <w:bottom w:val="none" w:sz="0" w:space="0" w:color="auto"/>
        <w:right w:val="none" w:sz="0" w:space="0" w:color="auto"/>
      </w:divBdr>
    </w:div>
    <w:div w:id="403338842">
      <w:bodyDiv w:val="1"/>
      <w:marLeft w:val="0"/>
      <w:marRight w:val="0"/>
      <w:marTop w:val="0"/>
      <w:marBottom w:val="0"/>
      <w:divBdr>
        <w:top w:val="none" w:sz="0" w:space="0" w:color="auto"/>
        <w:left w:val="none" w:sz="0" w:space="0" w:color="auto"/>
        <w:bottom w:val="none" w:sz="0" w:space="0" w:color="auto"/>
        <w:right w:val="none" w:sz="0" w:space="0" w:color="auto"/>
      </w:divBdr>
    </w:div>
    <w:div w:id="410352911">
      <w:bodyDiv w:val="1"/>
      <w:marLeft w:val="0"/>
      <w:marRight w:val="0"/>
      <w:marTop w:val="0"/>
      <w:marBottom w:val="0"/>
      <w:divBdr>
        <w:top w:val="none" w:sz="0" w:space="0" w:color="auto"/>
        <w:left w:val="none" w:sz="0" w:space="0" w:color="auto"/>
        <w:bottom w:val="none" w:sz="0" w:space="0" w:color="auto"/>
        <w:right w:val="none" w:sz="0" w:space="0" w:color="auto"/>
      </w:divBdr>
    </w:div>
    <w:div w:id="417362501">
      <w:bodyDiv w:val="1"/>
      <w:marLeft w:val="0"/>
      <w:marRight w:val="0"/>
      <w:marTop w:val="0"/>
      <w:marBottom w:val="0"/>
      <w:divBdr>
        <w:top w:val="none" w:sz="0" w:space="0" w:color="auto"/>
        <w:left w:val="none" w:sz="0" w:space="0" w:color="auto"/>
        <w:bottom w:val="none" w:sz="0" w:space="0" w:color="auto"/>
        <w:right w:val="none" w:sz="0" w:space="0" w:color="auto"/>
      </w:divBdr>
    </w:div>
    <w:div w:id="435634855">
      <w:bodyDiv w:val="1"/>
      <w:marLeft w:val="0"/>
      <w:marRight w:val="0"/>
      <w:marTop w:val="0"/>
      <w:marBottom w:val="0"/>
      <w:divBdr>
        <w:top w:val="none" w:sz="0" w:space="0" w:color="auto"/>
        <w:left w:val="none" w:sz="0" w:space="0" w:color="auto"/>
        <w:bottom w:val="none" w:sz="0" w:space="0" w:color="auto"/>
        <w:right w:val="none" w:sz="0" w:space="0" w:color="auto"/>
      </w:divBdr>
    </w:div>
    <w:div w:id="435946163">
      <w:bodyDiv w:val="1"/>
      <w:marLeft w:val="0"/>
      <w:marRight w:val="0"/>
      <w:marTop w:val="0"/>
      <w:marBottom w:val="0"/>
      <w:divBdr>
        <w:top w:val="none" w:sz="0" w:space="0" w:color="auto"/>
        <w:left w:val="none" w:sz="0" w:space="0" w:color="auto"/>
        <w:bottom w:val="none" w:sz="0" w:space="0" w:color="auto"/>
        <w:right w:val="none" w:sz="0" w:space="0" w:color="auto"/>
      </w:divBdr>
    </w:div>
    <w:div w:id="442119412">
      <w:bodyDiv w:val="1"/>
      <w:marLeft w:val="0"/>
      <w:marRight w:val="0"/>
      <w:marTop w:val="0"/>
      <w:marBottom w:val="0"/>
      <w:divBdr>
        <w:top w:val="none" w:sz="0" w:space="0" w:color="auto"/>
        <w:left w:val="none" w:sz="0" w:space="0" w:color="auto"/>
        <w:bottom w:val="none" w:sz="0" w:space="0" w:color="auto"/>
        <w:right w:val="none" w:sz="0" w:space="0" w:color="auto"/>
      </w:divBdr>
    </w:div>
    <w:div w:id="442657051">
      <w:bodyDiv w:val="1"/>
      <w:marLeft w:val="0"/>
      <w:marRight w:val="0"/>
      <w:marTop w:val="0"/>
      <w:marBottom w:val="0"/>
      <w:divBdr>
        <w:top w:val="none" w:sz="0" w:space="0" w:color="auto"/>
        <w:left w:val="none" w:sz="0" w:space="0" w:color="auto"/>
        <w:bottom w:val="none" w:sz="0" w:space="0" w:color="auto"/>
        <w:right w:val="none" w:sz="0" w:space="0" w:color="auto"/>
      </w:divBdr>
    </w:div>
    <w:div w:id="447431673">
      <w:bodyDiv w:val="1"/>
      <w:marLeft w:val="0"/>
      <w:marRight w:val="0"/>
      <w:marTop w:val="0"/>
      <w:marBottom w:val="0"/>
      <w:divBdr>
        <w:top w:val="none" w:sz="0" w:space="0" w:color="auto"/>
        <w:left w:val="none" w:sz="0" w:space="0" w:color="auto"/>
        <w:bottom w:val="none" w:sz="0" w:space="0" w:color="auto"/>
        <w:right w:val="none" w:sz="0" w:space="0" w:color="auto"/>
      </w:divBdr>
    </w:div>
    <w:div w:id="451633665">
      <w:bodyDiv w:val="1"/>
      <w:marLeft w:val="0"/>
      <w:marRight w:val="0"/>
      <w:marTop w:val="0"/>
      <w:marBottom w:val="0"/>
      <w:divBdr>
        <w:top w:val="none" w:sz="0" w:space="0" w:color="auto"/>
        <w:left w:val="none" w:sz="0" w:space="0" w:color="auto"/>
        <w:bottom w:val="none" w:sz="0" w:space="0" w:color="auto"/>
        <w:right w:val="none" w:sz="0" w:space="0" w:color="auto"/>
      </w:divBdr>
    </w:div>
    <w:div w:id="451678976">
      <w:bodyDiv w:val="1"/>
      <w:marLeft w:val="0"/>
      <w:marRight w:val="0"/>
      <w:marTop w:val="0"/>
      <w:marBottom w:val="0"/>
      <w:divBdr>
        <w:top w:val="none" w:sz="0" w:space="0" w:color="auto"/>
        <w:left w:val="none" w:sz="0" w:space="0" w:color="auto"/>
        <w:bottom w:val="none" w:sz="0" w:space="0" w:color="auto"/>
        <w:right w:val="none" w:sz="0" w:space="0" w:color="auto"/>
      </w:divBdr>
    </w:div>
    <w:div w:id="456263101">
      <w:bodyDiv w:val="1"/>
      <w:marLeft w:val="0"/>
      <w:marRight w:val="0"/>
      <w:marTop w:val="0"/>
      <w:marBottom w:val="0"/>
      <w:divBdr>
        <w:top w:val="none" w:sz="0" w:space="0" w:color="auto"/>
        <w:left w:val="none" w:sz="0" w:space="0" w:color="auto"/>
        <w:bottom w:val="none" w:sz="0" w:space="0" w:color="auto"/>
        <w:right w:val="none" w:sz="0" w:space="0" w:color="auto"/>
      </w:divBdr>
    </w:div>
    <w:div w:id="457646497">
      <w:bodyDiv w:val="1"/>
      <w:marLeft w:val="0"/>
      <w:marRight w:val="0"/>
      <w:marTop w:val="0"/>
      <w:marBottom w:val="0"/>
      <w:divBdr>
        <w:top w:val="none" w:sz="0" w:space="0" w:color="auto"/>
        <w:left w:val="none" w:sz="0" w:space="0" w:color="auto"/>
        <w:bottom w:val="none" w:sz="0" w:space="0" w:color="auto"/>
        <w:right w:val="none" w:sz="0" w:space="0" w:color="auto"/>
      </w:divBdr>
    </w:div>
    <w:div w:id="461925384">
      <w:bodyDiv w:val="1"/>
      <w:marLeft w:val="0"/>
      <w:marRight w:val="0"/>
      <w:marTop w:val="0"/>
      <w:marBottom w:val="0"/>
      <w:divBdr>
        <w:top w:val="none" w:sz="0" w:space="0" w:color="auto"/>
        <w:left w:val="none" w:sz="0" w:space="0" w:color="auto"/>
        <w:bottom w:val="none" w:sz="0" w:space="0" w:color="auto"/>
        <w:right w:val="none" w:sz="0" w:space="0" w:color="auto"/>
      </w:divBdr>
    </w:div>
    <w:div w:id="467479024">
      <w:bodyDiv w:val="1"/>
      <w:marLeft w:val="0"/>
      <w:marRight w:val="0"/>
      <w:marTop w:val="0"/>
      <w:marBottom w:val="0"/>
      <w:divBdr>
        <w:top w:val="none" w:sz="0" w:space="0" w:color="auto"/>
        <w:left w:val="none" w:sz="0" w:space="0" w:color="auto"/>
        <w:bottom w:val="none" w:sz="0" w:space="0" w:color="auto"/>
        <w:right w:val="none" w:sz="0" w:space="0" w:color="auto"/>
      </w:divBdr>
    </w:div>
    <w:div w:id="468207128">
      <w:bodyDiv w:val="1"/>
      <w:marLeft w:val="0"/>
      <w:marRight w:val="0"/>
      <w:marTop w:val="0"/>
      <w:marBottom w:val="0"/>
      <w:divBdr>
        <w:top w:val="none" w:sz="0" w:space="0" w:color="auto"/>
        <w:left w:val="none" w:sz="0" w:space="0" w:color="auto"/>
        <w:bottom w:val="none" w:sz="0" w:space="0" w:color="auto"/>
        <w:right w:val="none" w:sz="0" w:space="0" w:color="auto"/>
      </w:divBdr>
    </w:div>
    <w:div w:id="470900209">
      <w:bodyDiv w:val="1"/>
      <w:marLeft w:val="0"/>
      <w:marRight w:val="0"/>
      <w:marTop w:val="0"/>
      <w:marBottom w:val="0"/>
      <w:divBdr>
        <w:top w:val="none" w:sz="0" w:space="0" w:color="auto"/>
        <w:left w:val="none" w:sz="0" w:space="0" w:color="auto"/>
        <w:bottom w:val="none" w:sz="0" w:space="0" w:color="auto"/>
        <w:right w:val="none" w:sz="0" w:space="0" w:color="auto"/>
      </w:divBdr>
    </w:div>
    <w:div w:id="471942904">
      <w:bodyDiv w:val="1"/>
      <w:marLeft w:val="0"/>
      <w:marRight w:val="0"/>
      <w:marTop w:val="0"/>
      <w:marBottom w:val="0"/>
      <w:divBdr>
        <w:top w:val="none" w:sz="0" w:space="0" w:color="auto"/>
        <w:left w:val="none" w:sz="0" w:space="0" w:color="auto"/>
        <w:bottom w:val="none" w:sz="0" w:space="0" w:color="auto"/>
        <w:right w:val="none" w:sz="0" w:space="0" w:color="auto"/>
      </w:divBdr>
    </w:div>
    <w:div w:id="472717890">
      <w:bodyDiv w:val="1"/>
      <w:marLeft w:val="0"/>
      <w:marRight w:val="0"/>
      <w:marTop w:val="0"/>
      <w:marBottom w:val="0"/>
      <w:divBdr>
        <w:top w:val="none" w:sz="0" w:space="0" w:color="auto"/>
        <w:left w:val="none" w:sz="0" w:space="0" w:color="auto"/>
        <w:bottom w:val="none" w:sz="0" w:space="0" w:color="auto"/>
        <w:right w:val="none" w:sz="0" w:space="0" w:color="auto"/>
      </w:divBdr>
    </w:div>
    <w:div w:id="481048371">
      <w:bodyDiv w:val="1"/>
      <w:marLeft w:val="0"/>
      <w:marRight w:val="0"/>
      <w:marTop w:val="0"/>
      <w:marBottom w:val="0"/>
      <w:divBdr>
        <w:top w:val="none" w:sz="0" w:space="0" w:color="auto"/>
        <w:left w:val="none" w:sz="0" w:space="0" w:color="auto"/>
        <w:bottom w:val="none" w:sz="0" w:space="0" w:color="auto"/>
        <w:right w:val="none" w:sz="0" w:space="0" w:color="auto"/>
      </w:divBdr>
    </w:div>
    <w:div w:id="481235847">
      <w:bodyDiv w:val="1"/>
      <w:marLeft w:val="0"/>
      <w:marRight w:val="0"/>
      <w:marTop w:val="0"/>
      <w:marBottom w:val="0"/>
      <w:divBdr>
        <w:top w:val="none" w:sz="0" w:space="0" w:color="auto"/>
        <w:left w:val="none" w:sz="0" w:space="0" w:color="auto"/>
        <w:bottom w:val="none" w:sz="0" w:space="0" w:color="auto"/>
        <w:right w:val="none" w:sz="0" w:space="0" w:color="auto"/>
      </w:divBdr>
    </w:div>
    <w:div w:id="481312326">
      <w:bodyDiv w:val="1"/>
      <w:marLeft w:val="0"/>
      <w:marRight w:val="0"/>
      <w:marTop w:val="0"/>
      <w:marBottom w:val="0"/>
      <w:divBdr>
        <w:top w:val="none" w:sz="0" w:space="0" w:color="auto"/>
        <w:left w:val="none" w:sz="0" w:space="0" w:color="auto"/>
        <w:bottom w:val="none" w:sz="0" w:space="0" w:color="auto"/>
        <w:right w:val="none" w:sz="0" w:space="0" w:color="auto"/>
      </w:divBdr>
    </w:div>
    <w:div w:id="490215207">
      <w:bodyDiv w:val="1"/>
      <w:marLeft w:val="0"/>
      <w:marRight w:val="0"/>
      <w:marTop w:val="0"/>
      <w:marBottom w:val="0"/>
      <w:divBdr>
        <w:top w:val="none" w:sz="0" w:space="0" w:color="auto"/>
        <w:left w:val="none" w:sz="0" w:space="0" w:color="auto"/>
        <w:bottom w:val="none" w:sz="0" w:space="0" w:color="auto"/>
        <w:right w:val="none" w:sz="0" w:space="0" w:color="auto"/>
      </w:divBdr>
    </w:div>
    <w:div w:id="492456702">
      <w:bodyDiv w:val="1"/>
      <w:marLeft w:val="0"/>
      <w:marRight w:val="0"/>
      <w:marTop w:val="0"/>
      <w:marBottom w:val="0"/>
      <w:divBdr>
        <w:top w:val="none" w:sz="0" w:space="0" w:color="auto"/>
        <w:left w:val="none" w:sz="0" w:space="0" w:color="auto"/>
        <w:bottom w:val="none" w:sz="0" w:space="0" w:color="auto"/>
        <w:right w:val="none" w:sz="0" w:space="0" w:color="auto"/>
      </w:divBdr>
    </w:div>
    <w:div w:id="493642424">
      <w:bodyDiv w:val="1"/>
      <w:marLeft w:val="0"/>
      <w:marRight w:val="0"/>
      <w:marTop w:val="0"/>
      <w:marBottom w:val="0"/>
      <w:divBdr>
        <w:top w:val="none" w:sz="0" w:space="0" w:color="auto"/>
        <w:left w:val="none" w:sz="0" w:space="0" w:color="auto"/>
        <w:bottom w:val="none" w:sz="0" w:space="0" w:color="auto"/>
        <w:right w:val="none" w:sz="0" w:space="0" w:color="auto"/>
      </w:divBdr>
    </w:div>
    <w:div w:id="496459210">
      <w:bodyDiv w:val="1"/>
      <w:marLeft w:val="0"/>
      <w:marRight w:val="0"/>
      <w:marTop w:val="0"/>
      <w:marBottom w:val="0"/>
      <w:divBdr>
        <w:top w:val="none" w:sz="0" w:space="0" w:color="auto"/>
        <w:left w:val="none" w:sz="0" w:space="0" w:color="auto"/>
        <w:bottom w:val="none" w:sz="0" w:space="0" w:color="auto"/>
        <w:right w:val="none" w:sz="0" w:space="0" w:color="auto"/>
      </w:divBdr>
    </w:div>
    <w:div w:id="499853461">
      <w:bodyDiv w:val="1"/>
      <w:marLeft w:val="0"/>
      <w:marRight w:val="0"/>
      <w:marTop w:val="0"/>
      <w:marBottom w:val="0"/>
      <w:divBdr>
        <w:top w:val="none" w:sz="0" w:space="0" w:color="auto"/>
        <w:left w:val="none" w:sz="0" w:space="0" w:color="auto"/>
        <w:bottom w:val="none" w:sz="0" w:space="0" w:color="auto"/>
        <w:right w:val="none" w:sz="0" w:space="0" w:color="auto"/>
      </w:divBdr>
    </w:div>
    <w:div w:id="508715001">
      <w:bodyDiv w:val="1"/>
      <w:marLeft w:val="0"/>
      <w:marRight w:val="0"/>
      <w:marTop w:val="0"/>
      <w:marBottom w:val="0"/>
      <w:divBdr>
        <w:top w:val="none" w:sz="0" w:space="0" w:color="auto"/>
        <w:left w:val="none" w:sz="0" w:space="0" w:color="auto"/>
        <w:bottom w:val="none" w:sz="0" w:space="0" w:color="auto"/>
        <w:right w:val="none" w:sz="0" w:space="0" w:color="auto"/>
      </w:divBdr>
    </w:div>
    <w:div w:id="513805807">
      <w:bodyDiv w:val="1"/>
      <w:marLeft w:val="0"/>
      <w:marRight w:val="0"/>
      <w:marTop w:val="0"/>
      <w:marBottom w:val="0"/>
      <w:divBdr>
        <w:top w:val="none" w:sz="0" w:space="0" w:color="auto"/>
        <w:left w:val="none" w:sz="0" w:space="0" w:color="auto"/>
        <w:bottom w:val="none" w:sz="0" w:space="0" w:color="auto"/>
        <w:right w:val="none" w:sz="0" w:space="0" w:color="auto"/>
      </w:divBdr>
    </w:div>
    <w:div w:id="518158931">
      <w:bodyDiv w:val="1"/>
      <w:marLeft w:val="0"/>
      <w:marRight w:val="0"/>
      <w:marTop w:val="0"/>
      <w:marBottom w:val="0"/>
      <w:divBdr>
        <w:top w:val="none" w:sz="0" w:space="0" w:color="auto"/>
        <w:left w:val="none" w:sz="0" w:space="0" w:color="auto"/>
        <w:bottom w:val="none" w:sz="0" w:space="0" w:color="auto"/>
        <w:right w:val="none" w:sz="0" w:space="0" w:color="auto"/>
      </w:divBdr>
    </w:div>
    <w:div w:id="519127715">
      <w:bodyDiv w:val="1"/>
      <w:marLeft w:val="0"/>
      <w:marRight w:val="0"/>
      <w:marTop w:val="0"/>
      <w:marBottom w:val="0"/>
      <w:divBdr>
        <w:top w:val="none" w:sz="0" w:space="0" w:color="auto"/>
        <w:left w:val="none" w:sz="0" w:space="0" w:color="auto"/>
        <w:bottom w:val="none" w:sz="0" w:space="0" w:color="auto"/>
        <w:right w:val="none" w:sz="0" w:space="0" w:color="auto"/>
      </w:divBdr>
    </w:div>
    <w:div w:id="522326033">
      <w:bodyDiv w:val="1"/>
      <w:marLeft w:val="0"/>
      <w:marRight w:val="0"/>
      <w:marTop w:val="0"/>
      <w:marBottom w:val="0"/>
      <w:divBdr>
        <w:top w:val="none" w:sz="0" w:space="0" w:color="auto"/>
        <w:left w:val="none" w:sz="0" w:space="0" w:color="auto"/>
        <w:bottom w:val="none" w:sz="0" w:space="0" w:color="auto"/>
        <w:right w:val="none" w:sz="0" w:space="0" w:color="auto"/>
      </w:divBdr>
    </w:div>
    <w:div w:id="523448061">
      <w:bodyDiv w:val="1"/>
      <w:marLeft w:val="0"/>
      <w:marRight w:val="0"/>
      <w:marTop w:val="0"/>
      <w:marBottom w:val="0"/>
      <w:divBdr>
        <w:top w:val="none" w:sz="0" w:space="0" w:color="auto"/>
        <w:left w:val="none" w:sz="0" w:space="0" w:color="auto"/>
        <w:bottom w:val="none" w:sz="0" w:space="0" w:color="auto"/>
        <w:right w:val="none" w:sz="0" w:space="0" w:color="auto"/>
      </w:divBdr>
    </w:div>
    <w:div w:id="536162779">
      <w:bodyDiv w:val="1"/>
      <w:marLeft w:val="0"/>
      <w:marRight w:val="0"/>
      <w:marTop w:val="0"/>
      <w:marBottom w:val="0"/>
      <w:divBdr>
        <w:top w:val="none" w:sz="0" w:space="0" w:color="auto"/>
        <w:left w:val="none" w:sz="0" w:space="0" w:color="auto"/>
        <w:bottom w:val="none" w:sz="0" w:space="0" w:color="auto"/>
        <w:right w:val="none" w:sz="0" w:space="0" w:color="auto"/>
      </w:divBdr>
    </w:div>
    <w:div w:id="542985128">
      <w:bodyDiv w:val="1"/>
      <w:marLeft w:val="0"/>
      <w:marRight w:val="0"/>
      <w:marTop w:val="0"/>
      <w:marBottom w:val="0"/>
      <w:divBdr>
        <w:top w:val="none" w:sz="0" w:space="0" w:color="auto"/>
        <w:left w:val="none" w:sz="0" w:space="0" w:color="auto"/>
        <w:bottom w:val="none" w:sz="0" w:space="0" w:color="auto"/>
        <w:right w:val="none" w:sz="0" w:space="0" w:color="auto"/>
      </w:divBdr>
    </w:div>
    <w:div w:id="545797270">
      <w:bodyDiv w:val="1"/>
      <w:marLeft w:val="0"/>
      <w:marRight w:val="0"/>
      <w:marTop w:val="0"/>
      <w:marBottom w:val="0"/>
      <w:divBdr>
        <w:top w:val="none" w:sz="0" w:space="0" w:color="auto"/>
        <w:left w:val="none" w:sz="0" w:space="0" w:color="auto"/>
        <w:bottom w:val="none" w:sz="0" w:space="0" w:color="auto"/>
        <w:right w:val="none" w:sz="0" w:space="0" w:color="auto"/>
      </w:divBdr>
    </w:div>
    <w:div w:id="548301417">
      <w:bodyDiv w:val="1"/>
      <w:marLeft w:val="0"/>
      <w:marRight w:val="0"/>
      <w:marTop w:val="0"/>
      <w:marBottom w:val="0"/>
      <w:divBdr>
        <w:top w:val="none" w:sz="0" w:space="0" w:color="auto"/>
        <w:left w:val="none" w:sz="0" w:space="0" w:color="auto"/>
        <w:bottom w:val="none" w:sz="0" w:space="0" w:color="auto"/>
        <w:right w:val="none" w:sz="0" w:space="0" w:color="auto"/>
      </w:divBdr>
    </w:div>
    <w:div w:id="551119403">
      <w:bodyDiv w:val="1"/>
      <w:marLeft w:val="0"/>
      <w:marRight w:val="0"/>
      <w:marTop w:val="0"/>
      <w:marBottom w:val="0"/>
      <w:divBdr>
        <w:top w:val="none" w:sz="0" w:space="0" w:color="auto"/>
        <w:left w:val="none" w:sz="0" w:space="0" w:color="auto"/>
        <w:bottom w:val="none" w:sz="0" w:space="0" w:color="auto"/>
        <w:right w:val="none" w:sz="0" w:space="0" w:color="auto"/>
      </w:divBdr>
    </w:div>
    <w:div w:id="551236134">
      <w:bodyDiv w:val="1"/>
      <w:marLeft w:val="0"/>
      <w:marRight w:val="0"/>
      <w:marTop w:val="0"/>
      <w:marBottom w:val="0"/>
      <w:divBdr>
        <w:top w:val="none" w:sz="0" w:space="0" w:color="auto"/>
        <w:left w:val="none" w:sz="0" w:space="0" w:color="auto"/>
        <w:bottom w:val="none" w:sz="0" w:space="0" w:color="auto"/>
        <w:right w:val="none" w:sz="0" w:space="0" w:color="auto"/>
      </w:divBdr>
    </w:div>
    <w:div w:id="551498488">
      <w:bodyDiv w:val="1"/>
      <w:marLeft w:val="0"/>
      <w:marRight w:val="0"/>
      <w:marTop w:val="0"/>
      <w:marBottom w:val="0"/>
      <w:divBdr>
        <w:top w:val="none" w:sz="0" w:space="0" w:color="auto"/>
        <w:left w:val="none" w:sz="0" w:space="0" w:color="auto"/>
        <w:bottom w:val="none" w:sz="0" w:space="0" w:color="auto"/>
        <w:right w:val="none" w:sz="0" w:space="0" w:color="auto"/>
      </w:divBdr>
    </w:div>
    <w:div w:id="561018244">
      <w:bodyDiv w:val="1"/>
      <w:marLeft w:val="0"/>
      <w:marRight w:val="0"/>
      <w:marTop w:val="0"/>
      <w:marBottom w:val="0"/>
      <w:divBdr>
        <w:top w:val="none" w:sz="0" w:space="0" w:color="auto"/>
        <w:left w:val="none" w:sz="0" w:space="0" w:color="auto"/>
        <w:bottom w:val="none" w:sz="0" w:space="0" w:color="auto"/>
        <w:right w:val="none" w:sz="0" w:space="0" w:color="auto"/>
      </w:divBdr>
    </w:div>
    <w:div w:id="561066860">
      <w:bodyDiv w:val="1"/>
      <w:marLeft w:val="0"/>
      <w:marRight w:val="0"/>
      <w:marTop w:val="0"/>
      <w:marBottom w:val="0"/>
      <w:divBdr>
        <w:top w:val="none" w:sz="0" w:space="0" w:color="auto"/>
        <w:left w:val="none" w:sz="0" w:space="0" w:color="auto"/>
        <w:bottom w:val="none" w:sz="0" w:space="0" w:color="auto"/>
        <w:right w:val="none" w:sz="0" w:space="0" w:color="auto"/>
      </w:divBdr>
    </w:div>
    <w:div w:id="561217449">
      <w:bodyDiv w:val="1"/>
      <w:marLeft w:val="0"/>
      <w:marRight w:val="0"/>
      <w:marTop w:val="0"/>
      <w:marBottom w:val="0"/>
      <w:divBdr>
        <w:top w:val="none" w:sz="0" w:space="0" w:color="auto"/>
        <w:left w:val="none" w:sz="0" w:space="0" w:color="auto"/>
        <w:bottom w:val="none" w:sz="0" w:space="0" w:color="auto"/>
        <w:right w:val="none" w:sz="0" w:space="0" w:color="auto"/>
      </w:divBdr>
    </w:div>
    <w:div w:id="561983887">
      <w:bodyDiv w:val="1"/>
      <w:marLeft w:val="0"/>
      <w:marRight w:val="0"/>
      <w:marTop w:val="0"/>
      <w:marBottom w:val="0"/>
      <w:divBdr>
        <w:top w:val="none" w:sz="0" w:space="0" w:color="auto"/>
        <w:left w:val="none" w:sz="0" w:space="0" w:color="auto"/>
        <w:bottom w:val="none" w:sz="0" w:space="0" w:color="auto"/>
        <w:right w:val="none" w:sz="0" w:space="0" w:color="auto"/>
      </w:divBdr>
    </w:div>
    <w:div w:id="567420042">
      <w:bodyDiv w:val="1"/>
      <w:marLeft w:val="0"/>
      <w:marRight w:val="0"/>
      <w:marTop w:val="0"/>
      <w:marBottom w:val="0"/>
      <w:divBdr>
        <w:top w:val="none" w:sz="0" w:space="0" w:color="auto"/>
        <w:left w:val="none" w:sz="0" w:space="0" w:color="auto"/>
        <w:bottom w:val="none" w:sz="0" w:space="0" w:color="auto"/>
        <w:right w:val="none" w:sz="0" w:space="0" w:color="auto"/>
      </w:divBdr>
    </w:div>
    <w:div w:id="567963696">
      <w:bodyDiv w:val="1"/>
      <w:marLeft w:val="0"/>
      <w:marRight w:val="0"/>
      <w:marTop w:val="0"/>
      <w:marBottom w:val="0"/>
      <w:divBdr>
        <w:top w:val="none" w:sz="0" w:space="0" w:color="auto"/>
        <w:left w:val="none" w:sz="0" w:space="0" w:color="auto"/>
        <w:bottom w:val="none" w:sz="0" w:space="0" w:color="auto"/>
        <w:right w:val="none" w:sz="0" w:space="0" w:color="auto"/>
      </w:divBdr>
    </w:div>
    <w:div w:id="568345459">
      <w:bodyDiv w:val="1"/>
      <w:marLeft w:val="0"/>
      <w:marRight w:val="0"/>
      <w:marTop w:val="0"/>
      <w:marBottom w:val="0"/>
      <w:divBdr>
        <w:top w:val="none" w:sz="0" w:space="0" w:color="auto"/>
        <w:left w:val="none" w:sz="0" w:space="0" w:color="auto"/>
        <w:bottom w:val="none" w:sz="0" w:space="0" w:color="auto"/>
        <w:right w:val="none" w:sz="0" w:space="0" w:color="auto"/>
      </w:divBdr>
    </w:div>
    <w:div w:id="569190767">
      <w:bodyDiv w:val="1"/>
      <w:marLeft w:val="0"/>
      <w:marRight w:val="0"/>
      <w:marTop w:val="0"/>
      <w:marBottom w:val="0"/>
      <w:divBdr>
        <w:top w:val="none" w:sz="0" w:space="0" w:color="auto"/>
        <w:left w:val="none" w:sz="0" w:space="0" w:color="auto"/>
        <w:bottom w:val="none" w:sz="0" w:space="0" w:color="auto"/>
        <w:right w:val="none" w:sz="0" w:space="0" w:color="auto"/>
      </w:divBdr>
    </w:div>
    <w:div w:id="569465229">
      <w:bodyDiv w:val="1"/>
      <w:marLeft w:val="0"/>
      <w:marRight w:val="0"/>
      <w:marTop w:val="0"/>
      <w:marBottom w:val="0"/>
      <w:divBdr>
        <w:top w:val="none" w:sz="0" w:space="0" w:color="auto"/>
        <w:left w:val="none" w:sz="0" w:space="0" w:color="auto"/>
        <w:bottom w:val="none" w:sz="0" w:space="0" w:color="auto"/>
        <w:right w:val="none" w:sz="0" w:space="0" w:color="auto"/>
      </w:divBdr>
    </w:div>
    <w:div w:id="570239599">
      <w:bodyDiv w:val="1"/>
      <w:marLeft w:val="0"/>
      <w:marRight w:val="0"/>
      <w:marTop w:val="0"/>
      <w:marBottom w:val="0"/>
      <w:divBdr>
        <w:top w:val="none" w:sz="0" w:space="0" w:color="auto"/>
        <w:left w:val="none" w:sz="0" w:space="0" w:color="auto"/>
        <w:bottom w:val="none" w:sz="0" w:space="0" w:color="auto"/>
        <w:right w:val="none" w:sz="0" w:space="0" w:color="auto"/>
      </w:divBdr>
    </w:div>
    <w:div w:id="571549639">
      <w:bodyDiv w:val="1"/>
      <w:marLeft w:val="0"/>
      <w:marRight w:val="0"/>
      <w:marTop w:val="0"/>
      <w:marBottom w:val="0"/>
      <w:divBdr>
        <w:top w:val="none" w:sz="0" w:space="0" w:color="auto"/>
        <w:left w:val="none" w:sz="0" w:space="0" w:color="auto"/>
        <w:bottom w:val="none" w:sz="0" w:space="0" w:color="auto"/>
        <w:right w:val="none" w:sz="0" w:space="0" w:color="auto"/>
      </w:divBdr>
    </w:div>
    <w:div w:id="573587094">
      <w:bodyDiv w:val="1"/>
      <w:marLeft w:val="0"/>
      <w:marRight w:val="0"/>
      <w:marTop w:val="0"/>
      <w:marBottom w:val="0"/>
      <w:divBdr>
        <w:top w:val="none" w:sz="0" w:space="0" w:color="auto"/>
        <w:left w:val="none" w:sz="0" w:space="0" w:color="auto"/>
        <w:bottom w:val="none" w:sz="0" w:space="0" w:color="auto"/>
        <w:right w:val="none" w:sz="0" w:space="0" w:color="auto"/>
      </w:divBdr>
    </w:div>
    <w:div w:id="574441405">
      <w:bodyDiv w:val="1"/>
      <w:marLeft w:val="0"/>
      <w:marRight w:val="0"/>
      <w:marTop w:val="0"/>
      <w:marBottom w:val="0"/>
      <w:divBdr>
        <w:top w:val="none" w:sz="0" w:space="0" w:color="auto"/>
        <w:left w:val="none" w:sz="0" w:space="0" w:color="auto"/>
        <w:bottom w:val="none" w:sz="0" w:space="0" w:color="auto"/>
        <w:right w:val="none" w:sz="0" w:space="0" w:color="auto"/>
      </w:divBdr>
    </w:div>
    <w:div w:id="594480950">
      <w:bodyDiv w:val="1"/>
      <w:marLeft w:val="0"/>
      <w:marRight w:val="0"/>
      <w:marTop w:val="0"/>
      <w:marBottom w:val="0"/>
      <w:divBdr>
        <w:top w:val="none" w:sz="0" w:space="0" w:color="auto"/>
        <w:left w:val="none" w:sz="0" w:space="0" w:color="auto"/>
        <w:bottom w:val="none" w:sz="0" w:space="0" w:color="auto"/>
        <w:right w:val="none" w:sz="0" w:space="0" w:color="auto"/>
      </w:divBdr>
    </w:div>
    <w:div w:id="603925523">
      <w:bodyDiv w:val="1"/>
      <w:marLeft w:val="0"/>
      <w:marRight w:val="0"/>
      <w:marTop w:val="0"/>
      <w:marBottom w:val="0"/>
      <w:divBdr>
        <w:top w:val="none" w:sz="0" w:space="0" w:color="auto"/>
        <w:left w:val="none" w:sz="0" w:space="0" w:color="auto"/>
        <w:bottom w:val="none" w:sz="0" w:space="0" w:color="auto"/>
        <w:right w:val="none" w:sz="0" w:space="0" w:color="auto"/>
      </w:divBdr>
    </w:div>
    <w:div w:id="604726111">
      <w:bodyDiv w:val="1"/>
      <w:marLeft w:val="0"/>
      <w:marRight w:val="0"/>
      <w:marTop w:val="0"/>
      <w:marBottom w:val="0"/>
      <w:divBdr>
        <w:top w:val="none" w:sz="0" w:space="0" w:color="auto"/>
        <w:left w:val="none" w:sz="0" w:space="0" w:color="auto"/>
        <w:bottom w:val="none" w:sz="0" w:space="0" w:color="auto"/>
        <w:right w:val="none" w:sz="0" w:space="0" w:color="auto"/>
      </w:divBdr>
    </w:div>
    <w:div w:id="606428464">
      <w:bodyDiv w:val="1"/>
      <w:marLeft w:val="0"/>
      <w:marRight w:val="0"/>
      <w:marTop w:val="0"/>
      <w:marBottom w:val="0"/>
      <w:divBdr>
        <w:top w:val="none" w:sz="0" w:space="0" w:color="auto"/>
        <w:left w:val="none" w:sz="0" w:space="0" w:color="auto"/>
        <w:bottom w:val="none" w:sz="0" w:space="0" w:color="auto"/>
        <w:right w:val="none" w:sz="0" w:space="0" w:color="auto"/>
      </w:divBdr>
    </w:div>
    <w:div w:id="616643074">
      <w:bodyDiv w:val="1"/>
      <w:marLeft w:val="0"/>
      <w:marRight w:val="0"/>
      <w:marTop w:val="0"/>
      <w:marBottom w:val="0"/>
      <w:divBdr>
        <w:top w:val="none" w:sz="0" w:space="0" w:color="auto"/>
        <w:left w:val="none" w:sz="0" w:space="0" w:color="auto"/>
        <w:bottom w:val="none" w:sz="0" w:space="0" w:color="auto"/>
        <w:right w:val="none" w:sz="0" w:space="0" w:color="auto"/>
      </w:divBdr>
    </w:div>
    <w:div w:id="621808886">
      <w:bodyDiv w:val="1"/>
      <w:marLeft w:val="0"/>
      <w:marRight w:val="0"/>
      <w:marTop w:val="0"/>
      <w:marBottom w:val="0"/>
      <w:divBdr>
        <w:top w:val="none" w:sz="0" w:space="0" w:color="auto"/>
        <w:left w:val="none" w:sz="0" w:space="0" w:color="auto"/>
        <w:bottom w:val="none" w:sz="0" w:space="0" w:color="auto"/>
        <w:right w:val="none" w:sz="0" w:space="0" w:color="auto"/>
      </w:divBdr>
    </w:div>
    <w:div w:id="624191925">
      <w:bodyDiv w:val="1"/>
      <w:marLeft w:val="0"/>
      <w:marRight w:val="0"/>
      <w:marTop w:val="0"/>
      <w:marBottom w:val="0"/>
      <w:divBdr>
        <w:top w:val="none" w:sz="0" w:space="0" w:color="auto"/>
        <w:left w:val="none" w:sz="0" w:space="0" w:color="auto"/>
        <w:bottom w:val="none" w:sz="0" w:space="0" w:color="auto"/>
        <w:right w:val="none" w:sz="0" w:space="0" w:color="auto"/>
      </w:divBdr>
    </w:div>
    <w:div w:id="627979357">
      <w:bodyDiv w:val="1"/>
      <w:marLeft w:val="0"/>
      <w:marRight w:val="0"/>
      <w:marTop w:val="0"/>
      <w:marBottom w:val="0"/>
      <w:divBdr>
        <w:top w:val="none" w:sz="0" w:space="0" w:color="auto"/>
        <w:left w:val="none" w:sz="0" w:space="0" w:color="auto"/>
        <w:bottom w:val="none" w:sz="0" w:space="0" w:color="auto"/>
        <w:right w:val="none" w:sz="0" w:space="0" w:color="auto"/>
      </w:divBdr>
    </w:div>
    <w:div w:id="629171106">
      <w:bodyDiv w:val="1"/>
      <w:marLeft w:val="0"/>
      <w:marRight w:val="0"/>
      <w:marTop w:val="0"/>
      <w:marBottom w:val="0"/>
      <w:divBdr>
        <w:top w:val="none" w:sz="0" w:space="0" w:color="auto"/>
        <w:left w:val="none" w:sz="0" w:space="0" w:color="auto"/>
        <w:bottom w:val="none" w:sz="0" w:space="0" w:color="auto"/>
        <w:right w:val="none" w:sz="0" w:space="0" w:color="auto"/>
      </w:divBdr>
    </w:div>
    <w:div w:id="630552132">
      <w:bodyDiv w:val="1"/>
      <w:marLeft w:val="0"/>
      <w:marRight w:val="0"/>
      <w:marTop w:val="0"/>
      <w:marBottom w:val="0"/>
      <w:divBdr>
        <w:top w:val="none" w:sz="0" w:space="0" w:color="auto"/>
        <w:left w:val="none" w:sz="0" w:space="0" w:color="auto"/>
        <w:bottom w:val="none" w:sz="0" w:space="0" w:color="auto"/>
        <w:right w:val="none" w:sz="0" w:space="0" w:color="auto"/>
      </w:divBdr>
    </w:div>
    <w:div w:id="636569881">
      <w:bodyDiv w:val="1"/>
      <w:marLeft w:val="0"/>
      <w:marRight w:val="0"/>
      <w:marTop w:val="0"/>
      <w:marBottom w:val="0"/>
      <w:divBdr>
        <w:top w:val="none" w:sz="0" w:space="0" w:color="auto"/>
        <w:left w:val="none" w:sz="0" w:space="0" w:color="auto"/>
        <w:bottom w:val="none" w:sz="0" w:space="0" w:color="auto"/>
        <w:right w:val="none" w:sz="0" w:space="0" w:color="auto"/>
      </w:divBdr>
    </w:div>
    <w:div w:id="639961987">
      <w:bodyDiv w:val="1"/>
      <w:marLeft w:val="0"/>
      <w:marRight w:val="0"/>
      <w:marTop w:val="0"/>
      <w:marBottom w:val="0"/>
      <w:divBdr>
        <w:top w:val="none" w:sz="0" w:space="0" w:color="auto"/>
        <w:left w:val="none" w:sz="0" w:space="0" w:color="auto"/>
        <w:bottom w:val="none" w:sz="0" w:space="0" w:color="auto"/>
        <w:right w:val="none" w:sz="0" w:space="0" w:color="auto"/>
      </w:divBdr>
    </w:div>
    <w:div w:id="642581670">
      <w:bodyDiv w:val="1"/>
      <w:marLeft w:val="0"/>
      <w:marRight w:val="0"/>
      <w:marTop w:val="0"/>
      <w:marBottom w:val="0"/>
      <w:divBdr>
        <w:top w:val="none" w:sz="0" w:space="0" w:color="auto"/>
        <w:left w:val="none" w:sz="0" w:space="0" w:color="auto"/>
        <w:bottom w:val="none" w:sz="0" w:space="0" w:color="auto"/>
        <w:right w:val="none" w:sz="0" w:space="0" w:color="auto"/>
      </w:divBdr>
    </w:div>
    <w:div w:id="645934621">
      <w:bodyDiv w:val="1"/>
      <w:marLeft w:val="0"/>
      <w:marRight w:val="0"/>
      <w:marTop w:val="0"/>
      <w:marBottom w:val="0"/>
      <w:divBdr>
        <w:top w:val="none" w:sz="0" w:space="0" w:color="auto"/>
        <w:left w:val="none" w:sz="0" w:space="0" w:color="auto"/>
        <w:bottom w:val="none" w:sz="0" w:space="0" w:color="auto"/>
        <w:right w:val="none" w:sz="0" w:space="0" w:color="auto"/>
      </w:divBdr>
    </w:div>
    <w:div w:id="647633080">
      <w:bodyDiv w:val="1"/>
      <w:marLeft w:val="0"/>
      <w:marRight w:val="0"/>
      <w:marTop w:val="0"/>
      <w:marBottom w:val="0"/>
      <w:divBdr>
        <w:top w:val="none" w:sz="0" w:space="0" w:color="auto"/>
        <w:left w:val="none" w:sz="0" w:space="0" w:color="auto"/>
        <w:bottom w:val="none" w:sz="0" w:space="0" w:color="auto"/>
        <w:right w:val="none" w:sz="0" w:space="0" w:color="auto"/>
      </w:divBdr>
    </w:div>
    <w:div w:id="649478482">
      <w:bodyDiv w:val="1"/>
      <w:marLeft w:val="0"/>
      <w:marRight w:val="0"/>
      <w:marTop w:val="0"/>
      <w:marBottom w:val="0"/>
      <w:divBdr>
        <w:top w:val="none" w:sz="0" w:space="0" w:color="auto"/>
        <w:left w:val="none" w:sz="0" w:space="0" w:color="auto"/>
        <w:bottom w:val="none" w:sz="0" w:space="0" w:color="auto"/>
        <w:right w:val="none" w:sz="0" w:space="0" w:color="auto"/>
      </w:divBdr>
    </w:div>
    <w:div w:id="649939457">
      <w:bodyDiv w:val="1"/>
      <w:marLeft w:val="0"/>
      <w:marRight w:val="0"/>
      <w:marTop w:val="0"/>
      <w:marBottom w:val="0"/>
      <w:divBdr>
        <w:top w:val="none" w:sz="0" w:space="0" w:color="auto"/>
        <w:left w:val="none" w:sz="0" w:space="0" w:color="auto"/>
        <w:bottom w:val="none" w:sz="0" w:space="0" w:color="auto"/>
        <w:right w:val="none" w:sz="0" w:space="0" w:color="auto"/>
      </w:divBdr>
    </w:div>
    <w:div w:id="653877784">
      <w:bodyDiv w:val="1"/>
      <w:marLeft w:val="0"/>
      <w:marRight w:val="0"/>
      <w:marTop w:val="0"/>
      <w:marBottom w:val="0"/>
      <w:divBdr>
        <w:top w:val="none" w:sz="0" w:space="0" w:color="auto"/>
        <w:left w:val="none" w:sz="0" w:space="0" w:color="auto"/>
        <w:bottom w:val="none" w:sz="0" w:space="0" w:color="auto"/>
        <w:right w:val="none" w:sz="0" w:space="0" w:color="auto"/>
      </w:divBdr>
    </w:div>
    <w:div w:id="657195375">
      <w:bodyDiv w:val="1"/>
      <w:marLeft w:val="0"/>
      <w:marRight w:val="0"/>
      <w:marTop w:val="0"/>
      <w:marBottom w:val="0"/>
      <w:divBdr>
        <w:top w:val="none" w:sz="0" w:space="0" w:color="auto"/>
        <w:left w:val="none" w:sz="0" w:space="0" w:color="auto"/>
        <w:bottom w:val="none" w:sz="0" w:space="0" w:color="auto"/>
        <w:right w:val="none" w:sz="0" w:space="0" w:color="auto"/>
      </w:divBdr>
    </w:div>
    <w:div w:id="661350048">
      <w:bodyDiv w:val="1"/>
      <w:marLeft w:val="0"/>
      <w:marRight w:val="0"/>
      <w:marTop w:val="0"/>
      <w:marBottom w:val="0"/>
      <w:divBdr>
        <w:top w:val="none" w:sz="0" w:space="0" w:color="auto"/>
        <w:left w:val="none" w:sz="0" w:space="0" w:color="auto"/>
        <w:bottom w:val="none" w:sz="0" w:space="0" w:color="auto"/>
        <w:right w:val="none" w:sz="0" w:space="0" w:color="auto"/>
      </w:divBdr>
    </w:div>
    <w:div w:id="663896709">
      <w:bodyDiv w:val="1"/>
      <w:marLeft w:val="0"/>
      <w:marRight w:val="0"/>
      <w:marTop w:val="0"/>
      <w:marBottom w:val="0"/>
      <w:divBdr>
        <w:top w:val="none" w:sz="0" w:space="0" w:color="auto"/>
        <w:left w:val="none" w:sz="0" w:space="0" w:color="auto"/>
        <w:bottom w:val="none" w:sz="0" w:space="0" w:color="auto"/>
        <w:right w:val="none" w:sz="0" w:space="0" w:color="auto"/>
      </w:divBdr>
    </w:div>
    <w:div w:id="672925391">
      <w:bodyDiv w:val="1"/>
      <w:marLeft w:val="0"/>
      <w:marRight w:val="0"/>
      <w:marTop w:val="0"/>
      <w:marBottom w:val="0"/>
      <w:divBdr>
        <w:top w:val="none" w:sz="0" w:space="0" w:color="auto"/>
        <w:left w:val="none" w:sz="0" w:space="0" w:color="auto"/>
        <w:bottom w:val="none" w:sz="0" w:space="0" w:color="auto"/>
        <w:right w:val="none" w:sz="0" w:space="0" w:color="auto"/>
      </w:divBdr>
    </w:div>
    <w:div w:id="677201044">
      <w:bodyDiv w:val="1"/>
      <w:marLeft w:val="0"/>
      <w:marRight w:val="0"/>
      <w:marTop w:val="0"/>
      <w:marBottom w:val="0"/>
      <w:divBdr>
        <w:top w:val="none" w:sz="0" w:space="0" w:color="auto"/>
        <w:left w:val="none" w:sz="0" w:space="0" w:color="auto"/>
        <w:bottom w:val="none" w:sz="0" w:space="0" w:color="auto"/>
        <w:right w:val="none" w:sz="0" w:space="0" w:color="auto"/>
      </w:divBdr>
    </w:div>
    <w:div w:id="677775116">
      <w:bodyDiv w:val="1"/>
      <w:marLeft w:val="0"/>
      <w:marRight w:val="0"/>
      <w:marTop w:val="0"/>
      <w:marBottom w:val="0"/>
      <w:divBdr>
        <w:top w:val="none" w:sz="0" w:space="0" w:color="auto"/>
        <w:left w:val="none" w:sz="0" w:space="0" w:color="auto"/>
        <w:bottom w:val="none" w:sz="0" w:space="0" w:color="auto"/>
        <w:right w:val="none" w:sz="0" w:space="0" w:color="auto"/>
      </w:divBdr>
    </w:div>
    <w:div w:id="679042210">
      <w:bodyDiv w:val="1"/>
      <w:marLeft w:val="0"/>
      <w:marRight w:val="0"/>
      <w:marTop w:val="0"/>
      <w:marBottom w:val="0"/>
      <w:divBdr>
        <w:top w:val="none" w:sz="0" w:space="0" w:color="auto"/>
        <w:left w:val="none" w:sz="0" w:space="0" w:color="auto"/>
        <w:bottom w:val="none" w:sz="0" w:space="0" w:color="auto"/>
        <w:right w:val="none" w:sz="0" w:space="0" w:color="auto"/>
      </w:divBdr>
    </w:div>
    <w:div w:id="679085023">
      <w:bodyDiv w:val="1"/>
      <w:marLeft w:val="0"/>
      <w:marRight w:val="0"/>
      <w:marTop w:val="0"/>
      <w:marBottom w:val="0"/>
      <w:divBdr>
        <w:top w:val="none" w:sz="0" w:space="0" w:color="auto"/>
        <w:left w:val="none" w:sz="0" w:space="0" w:color="auto"/>
        <w:bottom w:val="none" w:sz="0" w:space="0" w:color="auto"/>
        <w:right w:val="none" w:sz="0" w:space="0" w:color="auto"/>
      </w:divBdr>
    </w:div>
    <w:div w:id="679817912">
      <w:bodyDiv w:val="1"/>
      <w:marLeft w:val="0"/>
      <w:marRight w:val="0"/>
      <w:marTop w:val="0"/>
      <w:marBottom w:val="0"/>
      <w:divBdr>
        <w:top w:val="none" w:sz="0" w:space="0" w:color="auto"/>
        <w:left w:val="none" w:sz="0" w:space="0" w:color="auto"/>
        <w:bottom w:val="none" w:sz="0" w:space="0" w:color="auto"/>
        <w:right w:val="none" w:sz="0" w:space="0" w:color="auto"/>
      </w:divBdr>
    </w:div>
    <w:div w:id="681318947">
      <w:bodyDiv w:val="1"/>
      <w:marLeft w:val="0"/>
      <w:marRight w:val="0"/>
      <w:marTop w:val="0"/>
      <w:marBottom w:val="0"/>
      <w:divBdr>
        <w:top w:val="none" w:sz="0" w:space="0" w:color="auto"/>
        <w:left w:val="none" w:sz="0" w:space="0" w:color="auto"/>
        <w:bottom w:val="none" w:sz="0" w:space="0" w:color="auto"/>
        <w:right w:val="none" w:sz="0" w:space="0" w:color="auto"/>
      </w:divBdr>
    </w:div>
    <w:div w:id="683626544">
      <w:bodyDiv w:val="1"/>
      <w:marLeft w:val="0"/>
      <w:marRight w:val="0"/>
      <w:marTop w:val="0"/>
      <w:marBottom w:val="0"/>
      <w:divBdr>
        <w:top w:val="none" w:sz="0" w:space="0" w:color="auto"/>
        <w:left w:val="none" w:sz="0" w:space="0" w:color="auto"/>
        <w:bottom w:val="none" w:sz="0" w:space="0" w:color="auto"/>
        <w:right w:val="none" w:sz="0" w:space="0" w:color="auto"/>
      </w:divBdr>
    </w:div>
    <w:div w:id="684744656">
      <w:bodyDiv w:val="1"/>
      <w:marLeft w:val="0"/>
      <w:marRight w:val="0"/>
      <w:marTop w:val="0"/>
      <w:marBottom w:val="0"/>
      <w:divBdr>
        <w:top w:val="none" w:sz="0" w:space="0" w:color="auto"/>
        <w:left w:val="none" w:sz="0" w:space="0" w:color="auto"/>
        <w:bottom w:val="none" w:sz="0" w:space="0" w:color="auto"/>
        <w:right w:val="none" w:sz="0" w:space="0" w:color="auto"/>
      </w:divBdr>
    </w:div>
    <w:div w:id="685903450">
      <w:bodyDiv w:val="1"/>
      <w:marLeft w:val="0"/>
      <w:marRight w:val="0"/>
      <w:marTop w:val="0"/>
      <w:marBottom w:val="0"/>
      <w:divBdr>
        <w:top w:val="none" w:sz="0" w:space="0" w:color="auto"/>
        <w:left w:val="none" w:sz="0" w:space="0" w:color="auto"/>
        <w:bottom w:val="none" w:sz="0" w:space="0" w:color="auto"/>
        <w:right w:val="none" w:sz="0" w:space="0" w:color="auto"/>
      </w:divBdr>
    </w:div>
    <w:div w:id="687214077">
      <w:bodyDiv w:val="1"/>
      <w:marLeft w:val="0"/>
      <w:marRight w:val="0"/>
      <w:marTop w:val="0"/>
      <w:marBottom w:val="0"/>
      <w:divBdr>
        <w:top w:val="none" w:sz="0" w:space="0" w:color="auto"/>
        <w:left w:val="none" w:sz="0" w:space="0" w:color="auto"/>
        <w:bottom w:val="none" w:sz="0" w:space="0" w:color="auto"/>
        <w:right w:val="none" w:sz="0" w:space="0" w:color="auto"/>
      </w:divBdr>
    </w:div>
    <w:div w:id="688259519">
      <w:bodyDiv w:val="1"/>
      <w:marLeft w:val="0"/>
      <w:marRight w:val="0"/>
      <w:marTop w:val="0"/>
      <w:marBottom w:val="0"/>
      <w:divBdr>
        <w:top w:val="none" w:sz="0" w:space="0" w:color="auto"/>
        <w:left w:val="none" w:sz="0" w:space="0" w:color="auto"/>
        <w:bottom w:val="none" w:sz="0" w:space="0" w:color="auto"/>
        <w:right w:val="none" w:sz="0" w:space="0" w:color="auto"/>
      </w:divBdr>
    </w:div>
    <w:div w:id="689380396">
      <w:bodyDiv w:val="1"/>
      <w:marLeft w:val="0"/>
      <w:marRight w:val="0"/>
      <w:marTop w:val="0"/>
      <w:marBottom w:val="0"/>
      <w:divBdr>
        <w:top w:val="none" w:sz="0" w:space="0" w:color="auto"/>
        <w:left w:val="none" w:sz="0" w:space="0" w:color="auto"/>
        <w:bottom w:val="none" w:sz="0" w:space="0" w:color="auto"/>
        <w:right w:val="none" w:sz="0" w:space="0" w:color="auto"/>
      </w:divBdr>
    </w:div>
    <w:div w:id="689528208">
      <w:bodyDiv w:val="1"/>
      <w:marLeft w:val="0"/>
      <w:marRight w:val="0"/>
      <w:marTop w:val="0"/>
      <w:marBottom w:val="0"/>
      <w:divBdr>
        <w:top w:val="none" w:sz="0" w:space="0" w:color="auto"/>
        <w:left w:val="none" w:sz="0" w:space="0" w:color="auto"/>
        <w:bottom w:val="none" w:sz="0" w:space="0" w:color="auto"/>
        <w:right w:val="none" w:sz="0" w:space="0" w:color="auto"/>
      </w:divBdr>
    </w:div>
    <w:div w:id="690032094">
      <w:bodyDiv w:val="1"/>
      <w:marLeft w:val="0"/>
      <w:marRight w:val="0"/>
      <w:marTop w:val="0"/>
      <w:marBottom w:val="0"/>
      <w:divBdr>
        <w:top w:val="none" w:sz="0" w:space="0" w:color="auto"/>
        <w:left w:val="none" w:sz="0" w:space="0" w:color="auto"/>
        <w:bottom w:val="none" w:sz="0" w:space="0" w:color="auto"/>
        <w:right w:val="none" w:sz="0" w:space="0" w:color="auto"/>
      </w:divBdr>
    </w:div>
    <w:div w:id="693310306">
      <w:bodyDiv w:val="1"/>
      <w:marLeft w:val="0"/>
      <w:marRight w:val="0"/>
      <w:marTop w:val="0"/>
      <w:marBottom w:val="0"/>
      <w:divBdr>
        <w:top w:val="none" w:sz="0" w:space="0" w:color="auto"/>
        <w:left w:val="none" w:sz="0" w:space="0" w:color="auto"/>
        <w:bottom w:val="none" w:sz="0" w:space="0" w:color="auto"/>
        <w:right w:val="none" w:sz="0" w:space="0" w:color="auto"/>
      </w:divBdr>
    </w:div>
    <w:div w:id="695693540">
      <w:bodyDiv w:val="1"/>
      <w:marLeft w:val="0"/>
      <w:marRight w:val="0"/>
      <w:marTop w:val="0"/>
      <w:marBottom w:val="0"/>
      <w:divBdr>
        <w:top w:val="none" w:sz="0" w:space="0" w:color="auto"/>
        <w:left w:val="none" w:sz="0" w:space="0" w:color="auto"/>
        <w:bottom w:val="none" w:sz="0" w:space="0" w:color="auto"/>
        <w:right w:val="none" w:sz="0" w:space="0" w:color="auto"/>
      </w:divBdr>
    </w:div>
    <w:div w:id="697776371">
      <w:bodyDiv w:val="1"/>
      <w:marLeft w:val="0"/>
      <w:marRight w:val="0"/>
      <w:marTop w:val="0"/>
      <w:marBottom w:val="0"/>
      <w:divBdr>
        <w:top w:val="none" w:sz="0" w:space="0" w:color="auto"/>
        <w:left w:val="none" w:sz="0" w:space="0" w:color="auto"/>
        <w:bottom w:val="none" w:sz="0" w:space="0" w:color="auto"/>
        <w:right w:val="none" w:sz="0" w:space="0" w:color="auto"/>
      </w:divBdr>
    </w:div>
    <w:div w:id="709719515">
      <w:bodyDiv w:val="1"/>
      <w:marLeft w:val="0"/>
      <w:marRight w:val="0"/>
      <w:marTop w:val="0"/>
      <w:marBottom w:val="0"/>
      <w:divBdr>
        <w:top w:val="none" w:sz="0" w:space="0" w:color="auto"/>
        <w:left w:val="none" w:sz="0" w:space="0" w:color="auto"/>
        <w:bottom w:val="none" w:sz="0" w:space="0" w:color="auto"/>
        <w:right w:val="none" w:sz="0" w:space="0" w:color="auto"/>
      </w:divBdr>
    </w:div>
    <w:div w:id="710345004">
      <w:bodyDiv w:val="1"/>
      <w:marLeft w:val="0"/>
      <w:marRight w:val="0"/>
      <w:marTop w:val="0"/>
      <w:marBottom w:val="0"/>
      <w:divBdr>
        <w:top w:val="none" w:sz="0" w:space="0" w:color="auto"/>
        <w:left w:val="none" w:sz="0" w:space="0" w:color="auto"/>
        <w:bottom w:val="none" w:sz="0" w:space="0" w:color="auto"/>
        <w:right w:val="none" w:sz="0" w:space="0" w:color="auto"/>
      </w:divBdr>
    </w:div>
    <w:div w:id="714622843">
      <w:bodyDiv w:val="1"/>
      <w:marLeft w:val="0"/>
      <w:marRight w:val="0"/>
      <w:marTop w:val="0"/>
      <w:marBottom w:val="0"/>
      <w:divBdr>
        <w:top w:val="none" w:sz="0" w:space="0" w:color="auto"/>
        <w:left w:val="none" w:sz="0" w:space="0" w:color="auto"/>
        <w:bottom w:val="none" w:sz="0" w:space="0" w:color="auto"/>
        <w:right w:val="none" w:sz="0" w:space="0" w:color="auto"/>
      </w:divBdr>
    </w:div>
    <w:div w:id="724910165">
      <w:bodyDiv w:val="1"/>
      <w:marLeft w:val="0"/>
      <w:marRight w:val="0"/>
      <w:marTop w:val="0"/>
      <w:marBottom w:val="0"/>
      <w:divBdr>
        <w:top w:val="none" w:sz="0" w:space="0" w:color="auto"/>
        <w:left w:val="none" w:sz="0" w:space="0" w:color="auto"/>
        <w:bottom w:val="none" w:sz="0" w:space="0" w:color="auto"/>
        <w:right w:val="none" w:sz="0" w:space="0" w:color="auto"/>
      </w:divBdr>
    </w:div>
    <w:div w:id="732772245">
      <w:bodyDiv w:val="1"/>
      <w:marLeft w:val="0"/>
      <w:marRight w:val="0"/>
      <w:marTop w:val="0"/>
      <w:marBottom w:val="0"/>
      <w:divBdr>
        <w:top w:val="none" w:sz="0" w:space="0" w:color="auto"/>
        <w:left w:val="none" w:sz="0" w:space="0" w:color="auto"/>
        <w:bottom w:val="none" w:sz="0" w:space="0" w:color="auto"/>
        <w:right w:val="none" w:sz="0" w:space="0" w:color="auto"/>
      </w:divBdr>
    </w:div>
    <w:div w:id="736708301">
      <w:bodyDiv w:val="1"/>
      <w:marLeft w:val="0"/>
      <w:marRight w:val="0"/>
      <w:marTop w:val="0"/>
      <w:marBottom w:val="0"/>
      <w:divBdr>
        <w:top w:val="none" w:sz="0" w:space="0" w:color="auto"/>
        <w:left w:val="none" w:sz="0" w:space="0" w:color="auto"/>
        <w:bottom w:val="none" w:sz="0" w:space="0" w:color="auto"/>
        <w:right w:val="none" w:sz="0" w:space="0" w:color="auto"/>
      </w:divBdr>
    </w:div>
    <w:div w:id="739865806">
      <w:bodyDiv w:val="1"/>
      <w:marLeft w:val="0"/>
      <w:marRight w:val="0"/>
      <w:marTop w:val="0"/>
      <w:marBottom w:val="0"/>
      <w:divBdr>
        <w:top w:val="none" w:sz="0" w:space="0" w:color="auto"/>
        <w:left w:val="none" w:sz="0" w:space="0" w:color="auto"/>
        <w:bottom w:val="none" w:sz="0" w:space="0" w:color="auto"/>
        <w:right w:val="none" w:sz="0" w:space="0" w:color="auto"/>
      </w:divBdr>
    </w:div>
    <w:div w:id="740636240">
      <w:bodyDiv w:val="1"/>
      <w:marLeft w:val="0"/>
      <w:marRight w:val="0"/>
      <w:marTop w:val="0"/>
      <w:marBottom w:val="0"/>
      <w:divBdr>
        <w:top w:val="none" w:sz="0" w:space="0" w:color="auto"/>
        <w:left w:val="none" w:sz="0" w:space="0" w:color="auto"/>
        <w:bottom w:val="none" w:sz="0" w:space="0" w:color="auto"/>
        <w:right w:val="none" w:sz="0" w:space="0" w:color="auto"/>
      </w:divBdr>
    </w:div>
    <w:div w:id="747651726">
      <w:bodyDiv w:val="1"/>
      <w:marLeft w:val="0"/>
      <w:marRight w:val="0"/>
      <w:marTop w:val="0"/>
      <w:marBottom w:val="0"/>
      <w:divBdr>
        <w:top w:val="none" w:sz="0" w:space="0" w:color="auto"/>
        <w:left w:val="none" w:sz="0" w:space="0" w:color="auto"/>
        <w:bottom w:val="none" w:sz="0" w:space="0" w:color="auto"/>
        <w:right w:val="none" w:sz="0" w:space="0" w:color="auto"/>
      </w:divBdr>
    </w:div>
    <w:div w:id="756171405">
      <w:bodyDiv w:val="1"/>
      <w:marLeft w:val="0"/>
      <w:marRight w:val="0"/>
      <w:marTop w:val="0"/>
      <w:marBottom w:val="0"/>
      <w:divBdr>
        <w:top w:val="none" w:sz="0" w:space="0" w:color="auto"/>
        <w:left w:val="none" w:sz="0" w:space="0" w:color="auto"/>
        <w:bottom w:val="none" w:sz="0" w:space="0" w:color="auto"/>
        <w:right w:val="none" w:sz="0" w:space="0" w:color="auto"/>
      </w:divBdr>
    </w:div>
    <w:div w:id="765928829">
      <w:bodyDiv w:val="1"/>
      <w:marLeft w:val="0"/>
      <w:marRight w:val="0"/>
      <w:marTop w:val="0"/>
      <w:marBottom w:val="0"/>
      <w:divBdr>
        <w:top w:val="none" w:sz="0" w:space="0" w:color="auto"/>
        <w:left w:val="none" w:sz="0" w:space="0" w:color="auto"/>
        <w:bottom w:val="none" w:sz="0" w:space="0" w:color="auto"/>
        <w:right w:val="none" w:sz="0" w:space="0" w:color="auto"/>
      </w:divBdr>
    </w:div>
    <w:div w:id="775712717">
      <w:bodyDiv w:val="1"/>
      <w:marLeft w:val="0"/>
      <w:marRight w:val="0"/>
      <w:marTop w:val="0"/>
      <w:marBottom w:val="0"/>
      <w:divBdr>
        <w:top w:val="none" w:sz="0" w:space="0" w:color="auto"/>
        <w:left w:val="none" w:sz="0" w:space="0" w:color="auto"/>
        <w:bottom w:val="none" w:sz="0" w:space="0" w:color="auto"/>
        <w:right w:val="none" w:sz="0" w:space="0" w:color="auto"/>
      </w:divBdr>
    </w:div>
    <w:div w:id="777988928">
      <w:bodyDiv w:val="1"/>
      <w:marLeft w:val="0"/>
      <w:marRight w:val="0"/>
      <w:marTop w:val="0"/>
      <w:marBottom w:val="0"/>
      <w:divBdr>
        <w:top w:val="none" w:sz="0" w:space="0" w:color="auto"/>
        <w:left w:val="none" w:sz="0" w:space="0" w:color="auto"/>
        <w:bottom w:val="none" w:sz="0" w:space="0" w:color="auto"/>
        <w:right w:val="none" w:sz="0" w:space="0" w:color="auto"/>
      </w:divBdr>
    </w:div>
    <w:div w:id="778067043">
      <w:bodyDiv w:val="1"/>
      <w:marLeft w:val="0"/>
      <w:marRight w:val="0"/>
      <w:marTop w:val="0"/>
      <w:marBottom w:val="0"/>
      <w:divBdr>
        <w:top w:val="none" w:sz="0" w:space="0" w:color="auto"/>
        <w:left w:val="none" w:sz="0" w:space="0" w:color="auto"/>
        <w:bottom w:val="none" w:sz="0" w:space="0" w:color="auto"/>
        <w:right w:val="none" w:sz="0" w:space="0" w:color="auto"/>
      </w:divBdr>
    </w:div>
    <w:div w:id="783768885">
      <w:bodyDiv w:val="1"/>
      <w:marLeft w:val="0"/>
      <w:marRight w:val="0"/>
      <w:marTop w:val="0"/>
      <w:marBottom w:val="0"/>
      <w:divBdr>
        <w:top w:val="none" w:sz="0" w:space="0" w:color="auto"/>
        <w:left w:val="none" w:sz="0" w:space="0" w:color="auto"/>
        <w:bottom w:val="none" w:sz="0" w:space="0" w:color="auto"/>
        <w:right w:val="none" w:sz="0" w:space="0" w:color="auto"/>
      </w:divBdr>
    </w:div>
    <w:div w:id="787621227">
      <w:bodyDiv w:val="1"/>
      <w:marLeft w:val="0"/>
      <w:marRight w:val="0"/>
      <w:marTop w:val="0"/>
      <w:marBottom w:val="0"/>
      <w:divBdr>
        <w:top w:val="none" w:sz="0" w:space="0" w:color="auto"/>
        <w:left w:val="none" w:sz="0" w:space="0" w:color="auto"/>
        <w:bottom w:val="none" w:sz="0" w:space="0" w:color="auto"/>
        <w:right w:val="none" w:sz="0" w:space="0" w:color="auto"/>
      </w:divBdr>
    </w:div>
    <w:div w:id="788160050">
      <w:bodyDiv w:val="1"/>
      <w:marLeft w:val="0"/>
      <w:marRight w:val="0"/>
      <w:marTop w:val="0"/>
      <w:marBottom w:val="0"/>
      <w:divBdr>
        <w:top w:val="none" w:sz="0" w:space="0" w:color="auto"/>
        <w:left w:val="none" w:sz="0" w:space="0" w:color="auto"/>
        <w:bottom w:val="none" w:sz="0" w:space="0" w:color="auto"/>
        <w:right w:val="none" w:sz="0" w:space="0" w:color="auto"/>
      </w:divBdr>
    </w:div>
    <w:div w:id="795611582">
      <w:bodyDiv w:val="1"/>
      <w:marLeft w:val="0"/>
      <w:marRight w:val="0"/>
      <w:marTop w:val="0"/>
      <w:marBottom w:val="0"/>
      <w:divBdr>
        <w:top w:val="none" w:sz="0" w:space="0" w:color="auto"/>
        <w:left w:val="none" w:sz="0" w:space="0" w:color="auto"/>
        <w:bottom w:val="none" w:sz="0" w:space="0" w:color="auto"/>
        <w:right w:val="none" w:sz="0" w:space="0" w:color="auto"/>
      </w:divBdr>
    </w:div>
    <w:div w:id="810287306">
      <w:bodyDiv w:val="1"/>
      <w:marLeft w:val="0"/>
      <w:marRight w:val="0"/>
      <w:marTop w:val="0"/>
      <w:marBottom w:val="0"/>
      <w:divBdr>
        <w:top w:val="none" w:sz="0" w:space="0" w:color="auto"/>
        <w:left w:val="none" w:sz="0" w:space="0" w:color="auto"/>
        <w:bottom w:val="none" w:sz="0" w:space="0" w:color="auto"/>
        <w:right w:val="none" w:sz="0" w:space="0" w:color="auto"/>
      </w:divBdr>
    </w:div>
    <w:div w:id="812334072">
      <w:bodyDiv w:val="1"/>
      <w:marLeft w:val="0"/>
      <w:marRight w:val="0"/>
      <w:marTop w:val="0"/>
      <w:marBottom w:val="0"/>
      <w:divBdr>
        <w:top w:val="none" w:sz="0" w:space="0" w:color="auto"/>
        <w:left w:val="none" w:sz="0" w:space="0" w:color="auto"/>
        <w:bottom w:val="none" w:sz="0" w:space="0" w:color="auto"/>
        <w:right w:val="none" w:sz="0" w:space="0" w:color="auto"/>
      </w:divBdr>
    </w:div>
    <w:div w:id="815026205">
      <w:bodyDiv w:val="1"/>
      <w:marLeft w:val="0"/>
      <w:marRight w:val="0"/>
      <w:marTop w:val="0"/>
      <w:marBottom w:val="0"/>
      <w:divBdr>
        <w:top w:val="none" w:sz="0" w:space="0" w:color="auto"/>
        <w:left w:val="none" w:sz="0" w:space="0" w:color="auto"/>
        <w:bottom w:val="none" w:sz="0" w:space="0" w:color="auto"/>
        <w:right w:val="none" w:sz="0" w:space="0" w:color="auto"/>
      </w:divBdr>
    </w:div>
    <w:div w:id="819074283">
      <w:bodyDiv w:val="1"/>
      <w:marLeft w:val="0"/>
      <w:marRight w:val="0"/>
      <w:marTop w:val="0"/>
      <w:marBottom w:val="0"/>
      <w:divBdr>
        <w:top w:val="none" w:sz="0" w:space="0" w:color="auto"/>
        <w:left w:val="none" w:sz="0" w:space="0" w:color="auto"/>
        <w:bottom w:val="none" w:sz="0" w:space="0" w:color="auto"/>
        <w:right w:val="none" w:sz="0" w:space="0" w:color="auto"/>
      </w:divBdr>
    </w:div>
    <w:div w:id="820080568">
      <w:bodyDiv w:val="1"/>
      <w:marLeft w:val="0"/>
      <w:marRight w:val="0"/>
      <w:marTop w:val="0"/>
      <w:marBottom w:val="0"/>
      <w:divBdr>
        <w:top w:val="none" w:sz="0" w:space="0" w:color="auto"/>
        <w:left w:val="none" w:sz="0" w:space="0" w:color="auto"/>
        <w:bottom w:val="none" w:sz="0" w:space="0" w:color="auto"/>
        <w:right w:val="none" w:sz="0" w:space="0" w:color="auto"/>
      </w:divBdr>
    </w:div>
    <w:div w:id="823278227">
      <w:bodyDiv w:val="1"/>
      <w:marLeft w:val="0"/>
      <w:marRight w:val="0"/>
      <w:marTop w:val="0"/>
      <w:marBottom w:val="0"/>
      <w:divBdr>
        <w:top w:val="none" w:sz="0" w:space="0" w:color="auto"/>
        <w:left w:val="none" w:sz="0" w:space="0" w:color="auto"/>
        <w:bottom w:val="none" w:sz="0" w:space="0" w:color="auto"/>
        <w:right w:val="none" w:sz="0" w:space="0" w:color="auto"/>
      </w:divBdr>
    </w:div>
    <w:div w:id="824858014">
      <w:bodyDiv w:val="1"/>
      <w:marLeft w:val="0"/>
      <w:marRight w:val="0"/>
      <w:marTop w:val="0"/>
      <w:marBottom w:val="0"/>
      <w:divBdr>
        <w:top w:val="none" w:sz="0" w:space="0" w:color="auto"/>
        <w:left w:val="none" w:sz="0" w:space="0" w:color="auto"/>
        <w:bottom w:val="none" w:sz="0" w:space="0" w:color="auto"/>
        <w:right w:val="none" w:sz="0" w:space="0" w:color="auto"/>
      </w:divBdr>
    </w:div>
    <w:div w:id="826096724">
      <w:bodyDiv w:val="1"/>
      <w:marLeft w:val="0"/>
      <w:marRight w:val="0"/>
      <w:marTop w:val="0"/>
      <w:marBottom w:val="0"/>
      <w:divBdr>
        <w:top w:val="none" w:sz="0" w:space="0" w:color="auto"/>
        <w:left w:val="none" w:sz="0" w:space="0" w:color="auto"/>
        <w:bottom w:val="none" w:sz="0" w:space="0" w:color="auto"/>
        <w:right w:val="none" w:sz="0" w:space="0" w:color="auto"/>
      </w:divBdr>
    </w:div>
    <w:div w:id="827939541">
      <w:bodyDiv w:val="1"/>
      <w:marLeft w:val="0"/>
      <w:marRight w:val="0"/>
      <w:marTop w:val="0"/>
      <w:marBottom w:val="0"/>
      <w:divBdr>
        <w:top w:val="none" w:sz="0" w:space="0" w:color="auto"/>
        <w:left w:val="none" w:sz="0" w:space="0" w:color="auto"/>
        <w:bottom w:val="none" w:sz="0" w:space="0" w:color="auto"/>
        <w:right w:val="none" w:sz="0" w:space="0" w:color="auto"/>
      </w:divBdr>
    </w:div>
    <w:div w:id="834876179">
      <w:bodyDiv w:val="1"/>
      <w:marLeft w:val="0"/>
      <w:marRight w:val="0"/>
      <w:marTop w:val="0"/>
      <w:marBottom w:val="0"/>
      <w:divBdr>
        <w:top w:val="none" w:sz="0" w:space="0" w:color="auto"/>
        <w:left w:val="none" w:sz="0" w:space="0" w:color="auto"/>
        <w:bottom w:val="none" w:sz="0" w:space="0" w:color="auto"/>
        <w:right w:val="none" w:sz="0" w:space="0" w:color="auto"/>
      </w:divBdr>
    </w:div>
    <w:div w:id="836043713">
      <w:bodyDiv w:val="1"/>
      <w:marLeft w:val="0"/>
      <w:marRight w:val="0"/>
      <w:marTop w:val="0"/>
      <w:marBottom w:val="0"/>
      <w:divBdr>
        <w:top w:val="none" w:sz="0" w:space="0" w:color="auto"/>
        <w:left w:val="none" w:sz="0" w:space="0" w:color="auto"/>
        <w:bottom w:val="none" w:sz="0" w:space="0" w:color="auto"/>
        <w:right w:val="none" w:sz="0" w:space="0" w:color="auto"/>
      </w:divBdr>
    </w:div>
    <w:div w:id="839344936">
      <w:bodyDiv w:val="1"/>
      <w:marLeft w:val="0"/>
      <w:marRight w:val="0"/>
      <w:marTop w:val="0"/>
      <w:marBottom w:val="0"/>
      <w:divBdr>
        <w:top w:val="none" w:sz="0" w:space="0" w:color="auto"/>
        <w:left w:val="none" w:sz="0" w:space="0" w:color="auto"/>
        <w:bottom w:val="none" w:sz="0" w:space="0" w:color="auto"/>
        <w:right w:val="none" w:sz="0" w:space="0" w:color="auto"/>
      </w:divBdr>
    </w:div>
    <w:div w:id="841049932">
      <w:bodyDiv w:val="1"/>
      <w:marLeft w:val="0"/>
      <w:marRight w:val="0"/>
      <w:marTop w:val="0"/>
      <w:marBottom w:val="0"/>
      <w:divBdr>
        <w:top w:val="none" w:sz="0" w:space="0" w:color="auto"/>
        <w:left w:val="none" w:sz="0" w:space="0" w:color="auto"/>
        <w:bottom w:val="none" w:sz="0" w:space="0" w:color="auto"/>
        <w:right w:val="none" w:sz="0" w:space="0" w:color="auto"/>
      </w:divBdr>
    </w:div>
    <w:div w:id="841627612">
      <w:bodyDiv w:val="1"/>
      <w:marLeft w:val="0"/>
      <w:marRight w:val="0"/>
      <w:marTop w:val="0"/>
      <w:marBottom w:val="0"/>
      <w:divBdr>
        <w:top w:val="none" w:sz="0" w:space="0" w:color="auto"/>
        <w:left w:val="none" w:sz="0" w:space="0" w:color="auto"/>
        <w:bottom w:val="none" w:sz="0" w:space="0" w:color="auto"/>
        <w:right w:val="none" w:sz="0" w:space="0" w:color="auto"/>
      </w:divBdr>
    </w:div>
    <w:div w:id="844049859">
      <w:bodyDiv w:val="1"/>
      <w:marLeft w:val="0"/>
      <w:marRight w:val="0"/>
      <w:marTop w:val="0"/>
      <w:marBottom w:val="0"/>
      <w:divBdr>
        <w:top w:val="none" w:sz="0" w:space="0" w:color="auto"/>
        <w:left w:val="none" w:sz="0" w:space="0" w:color="auto"/>
        <w:bottom w:val="none" w:sz="0" w:space="0" w:color="auto"/>
        <w:right w:val="none" w:sz="0" w:space="0" w:color="auto"/>
      </w:divBdr>
    </w:div>
    <w:div w:id="849834414">
      <w:bodyDiv w:val="1"/>
      <w:marLeft w:val="0"/>
      <w:marRight w:val="0"/>
      <w:marTop w:val="0"/>
      <w:marBottom w:val="0"/>
      <w:divBdr>
        <w:top w:val="none" w:sz="0" w:space="0" w:color="auto"/>
        <w:left w:val="none" w:sz="0" w:space="0" w:color="auto"/>
        <w:bottom w:val="none" w:sz="0" w:space="0" w:color="auto"/>
        <w:right w:val="none" w:sz="0" w:space="0" w:color="auto"/>
      </w:divBdr>
    </w:div>
    <w:div w:id="854340454">
      <w:bodyDiv w:val="1"/>
      <w:marLeft w:val="0"/>
      <w:marRight w:val="0"/>
      <w:marTop w:val="0"/>
      <w:marBottom w:val="0"/>
      <w:divBdr>
        <w:top w:val="none" w:sz="0" w:space="0" w:color="auto"/>
        <w:left w:val="none" w:sz="0" w:space="0" w:color="auto"/>
        <w:bottom w:val="none" w:sz="0" w:space="0" w:color="auto"/>
        <w:right w:val="none" w:sz="0" w:space="0" w:color="auto"/>
      </w:divBdr>
    </w:div>
    <w:div w:id="862210066">
      <w:bodyDiv w:val="1"/>
      <w:marLeft w:val="0"/>
      <w:marRight w:val="0"/>
      <w:marTop w:val="0"/>
      <w:marBottom w:val="0"/>
      <w:divBdr>
        <w:top w:val="none" w:sz="0" w:space="0" w:color="auto"/>
        <w:left w:val="none" w:sz="0" w:space="0" w:color="auto"/>
        <w:bottom w:val="none" w:sz="0" w:space="0" w:color="auto"/>
        <w:right w:val="none" w:sz="0" w:space="0" w:color="auto"/>
      </w:divBdr>
    </w:div>
    <w:div w:id="869338133">
      <w:bodyDiv w:val="1"/>
      <w:marLeft w:val="0"/>
      <w:marRight w:val="0"/>
      <w:marTop w:val="0"/>
      <w:marBottom w:val="0"/>
      <w:divBdr>
        <w:top w:val="none" w:sz="0" w:space="0" w:color="auto"/>
        <w:left w:val="none" w:sz="0" w:space="0" w:color="auto"/>
        <w:bottom w:val="none" w:sz="0" w:space="0" w:color="auto"/>
        <w:right w:val="none" w:sz="0" w:space="0" w:color="auto"/>
      </w:divBdr>
    </w:div>
    <w:div w:id="874387555">
      <w:bodyDiv w:val="1"/>
      <w:marLeft w:val="0"/>
      <w:marRight w:val="0"/>
      <w:marTop w:val="0"/>
      <w:marBottom w:val="0"/>
      <w:divBdr>
        <w:top w:val="none" w:sz="0" w:space="0" w:color="auto"/>
        <w:left w:val="none" w:sz="0" w:space="0" w:color="auto"/>
        <w:bottom w:val="none" w:sz="0" w:space="0" w:color="auto"/>
        <w:right w:val="none" w:sz="0" w:space="0" w:color="auto"/>
      </w:divBdr>
    </w:div>
    <w:div w:id="876310960">
      <w:bodyDiv w:val="1"/>
      <w:marLeft w:val="0"/>
      <w:marRight w:val="0"/>
      <w:marTop w:val="0"/>
      <w:marBottom w:val="0"/>
      <w:divBdr>
        <w:top w:val="none" w:sz="0" w:space="0" w:color="auto"/>
        <w:left w:val="none" w:sz="0" w:space="0" w:color="auto"/>
        <w:bottom w:val="none" w:sz="0" w:space="0" w:color="auto"/>
        <w:right w:val="none" w:sz="0" w:space="0" w:color="auto"/>
      </w:divBdr>
    </w:div>
    <w:div w:id="878862867">
      <w:bodyDiv w:val="1"/>
      <w:marLeft w:val="0"/>
      <w:marRight w:val="0"/>
      <w:marTop w:val="0"/>
      <w:marBottom w:val="0"/>
      <w:divBdr>
        <w:top w:val="none" w:sz="0" w:space="0" w:color="auto"/>
        <w:left w:val="none" w:sz="0" w:space="0" w:color="auto"/>
        <w:bottom w:val="none" w:sz="0" w:space="0" w:color="auto"/>
        <w:right w:val="none" w:sz="0" w:space="0" w:color="auto"/>
      </w:divBdr>
    </w:div>
    <w:div w:id="879052656">
      <w:bodyDiv w:val="1"/>
      <w:marLeft w:val="0"/>
      <w:marRight w:val="0"/>
      <w:marTop w:val="0"/>
      <w:marBottom w:val="0"/>
      <w:divBdr>
        <w:top w:val="none" w:sz="0" w:space="0" w:color="auto"/>
        <w:left w:val="none" w:sz="0" w:space="0" w:color="auto"/>
        <w:bottom w:val="none" w:sz="0" w:space="0" w:color="auto"/>
        <w:right w:val="none" w:sz="0" w:space="0" w:color="auto"/>
      </w:divBdr>
    </w:div>
    <w:div w:id="883056919">
      <w:bodyDiv w:val="1"/>
      <w:marLeft w:val="0"/>
      <w:marRight w:val="0"/>
      <w:marTop w:val="0"/>
      <w:marBottom w:val="0"/>
      <w:divBdr>
        <w:top w:val="none" w:sz="0" w:space="0" w:color="auto"/>
        <w:left w:val="none" w:sz="0" w:space="0" w:color="auto"/>
        <w:bottom w:val="none" w:sz="0" w:space="0" w:color="auto"/>
        <w:right w:val="none" w:sz="0" w:space="0" w:color="auto"/>
      </w:divBdr>
    </w:div>
    <w:div w:id="891428346">
      <w:bodyDiv w:val="1"/>
      <w:marLeft w:val="0"/>
      <w:marRight w:val="0"/>
      <w:marTop w:val="0"/>
      <w:marBottom w:val="0"/>
      <w:divBdr>
        <w:top w:val="none" w:sz="0" w:space="0" w:color="auto"/>
        <w:left w:val="none" w:sz="0" w:space="0" w:color="auto"/>
        <w:bottom w:val="none" w:sz="0" w:space="0" w:color="auto"/>
        <w:right w:val="none" w:sz="0" w:space="0" w:color="auto"/>
      </w:divBdr>
    </w:div>
    <w:div w:id="892154065">
      <w:bodyDiv w:val="1"/>
      <w:marLeft w:val="0"/>
      <w:marRight w:val="0"/>
      <w:marTop w:val="0"/>
      <w:marBottom w:val="0"/>
      <w:divBdr>
        <w:top w:val="none" w:sz="0" w:space="0" w:color="auto"/>
        <w:left w:val="none" w:sz="0" w:space="0" w:color="auto"/>
        <w:bottom w:val="none" w:sz="0" w:space="0" w:color="auto"/>
        <w:right w:val="none" w:sz="0" w:space="0" w:color="auto"/>
      </w:divBdr>
    </w:div>
    <w:div w:id="896623703">
      <w:bodyDiv w:val="1"/>
      <w:marLeft w:val="0"/>
      <w:marRight w:val="0"/>
      <w:marTop w:val="0"/>
      <w:marBottom w:val="0"/>
      <w:divBdr>
        <w:top w:val="none" w:sz="0" w:space="0" w:color="auto"/>
        <w:left w:val="none" w:sz="0" w:space="0" w:color="auto"/>
        <w:bottom w:val="none" w:sz="0" w:space="0" w:color="auto"/>
        <w:right w:val="none" w:sz="0" w:space="0" w:color="auto"/>
      </w:divBdr>
    </w:div>
    <w:div w:id="898053829">
      <w:bodyDiv w:val="1"/>
      <w:marLeft w:val="0"/>
      <w:marRight w:val="0"/>
      <w:marTop w:val="0"/>
      <w:marBottom w:val="0"/>
      <w:divBdr>
        <w:top w:val="none" w:sz="0" w:space="0" w:color="auto"/>
        <w:left w:val="none" w:sz="0" w:space="0" w:color="auto"/>
        <w:bottom w:val="none" w:sz="0" w:space="0" w:color="auto"/>
        <w:right w:val="none" w:sz="0" w:space="0" w:color="auto"/>
      </w:divBdr>
    </w:div>
    <w:div w:id="908806907">
      <w:bodyDiv w:val="1"/>
      <w:marLeft w:val="0"/>
      <w:marRight w:val="0"/>
      <w:marTop w:val="0"/>
      <w:marBottom w:val="0"/>
      <w:divBdr>
        <w:top w:val="none" w:sz="0" w:space="0" w:color="auto"/>
        <w:left w:val="none" w:sz="0" w:space="0" w:color="auto"/>
        <w:bottom w:val="none" w:sz="0" w:space="0" w:color="auto"/>
        <w:right w:val="none" w:sz="0" w:space="0" w:color="auto"/>
      </w:divBdr>
    </w:div>
    <w:div w:id="911162287">
      <w:bodyDiv w:val="1"/>
      <w:marLeft w:val="0"/>
      <w:marRight w:val="0"/>
      <w:marTop w:val="0"/>
      <w:marBottom w:val="0"/>
      <w:divBdr>
        <w:top w:val="none" w:sz="0" w:space="0" w:color="auto"/>
        <w:left w:val="none" w:sz="0" w:space="0" w:color="auto"/>
        <w:bottom w:val="none" w:sz="0" w:space="0" w:color="auto"/>
        <w:right w:val="none" w:sz="0" w:space="0" w:color="auto"/>
      </w:divBdr>
    </w:div>
    <w:div w:id="912197528">
      <w:bodyDiv w:val="1"/>
      <w:marLeft w:val="0"/>
      <w:marRight w:val="0"/>
      <w:marTop w:val="0"/>
      <w:marBottom w:val="0"/>
      <w:divBdr>
        <w:top w:val="none" w:sz="0" w:space="0" w:color="auto"/>
        <w:left w:val="none" w:sz="0" w:space="0" w:color="auto"/>
        <w:bottom w:val="none" w:sz="0" w:space="0" w:color="auto"/>
        <w:right w:val="none" w:sz="0" w:space="0" w:color="auto"/>
      </w:divBdr>
    </w:div>
    <w:div w:id="916669793">
      <w:bodyDiv w:val="1"/>
      <w:marLeft w:val="0"/>
      <w:marRight w:val="0"/>
      <w:marTop w:val="0"/>
      <w:marBottom w:val="0"/>
      <w:divBdr>
        <w:top w:val="none" w:sz="0" w:space="0" w:color="auto"/>
        <w:left w:val="none" w:sz="0" w:space="0" w:color="auto"/>
        <w:bottom w:val="none" w:sz="0" w:space="0" w:color="auto"/>
        <w:right w:val="none" w:sz="0" w:space="0" w:color="auto"/>
      </w:divBdr>
    </w:div>
    <w:div w:id="920678194">
      <w:bodyDiv w:val="1"/>
      <w:marLeft w:val="0"/>
      <w:marRight w:val="0"/>
      <w:marTop w:val="0"/>
      <w:marBottom w:val="0"/>
      <w:divBdr>
        <w:top w:val="none" w:sz="0" w:space="0" w:color="auto"/>
        <w:left w:val="none" w:sz="0" w:space="0" w:color="auto"/>
        <w:bottom w:val="none" w:sz="0" w:space="0" w:color="auto"/>
        <w:right w:val="none" w:sz="0" w:space="0" w:color="auto"/>
      </w:divBdr>
    </w:div>
    <w:div w:id="925386403">
      <w:bodyDiv w:val="1"/>
      <w:marLeft w:val="0"/>
      <w:marRight w:val="0"/>
      <w:marTop w:val="0"/>
      <w:marBottom w:val="0"/>
      <w:divBdr>
        <w:top w:val="none" w:sz="0" w:space="0" w:color="auto"/>
        <w:left w:val="none" w:sz="0" w:space="0" w:color="auto"/>
        <w:bottom w:val="none" w:sz="0" w:space="0" w:color="auto"/>
        <w:right w:val="none" w:sz="0" w:space="0" w:color="auto"/>
      </w:divBdr>
    </w:div>
    <w:div w:id="927689262">
      <w:bodyDiv w:val="1"/>
      <w:marLeft w:val="0"/>
      <w:marRight w:val="0"/>
      <w:marTop w:val="0"/>
      <w:marBottom w:val="0"/>
      <w:divBdr>
        <w:top w:val="none" w:sz="0" w:space="0" w:color="auto"/>
        <w:left w:val="none" w:sz="0" w:space="0" w:color="auto"/>
        <w:bottom w:val="none" w:sz="0" w:space="0" w:color="auto"/>
        <w:right w:val="none" w:sz="0" w:space="0" w:color="auto"/>
      </w:divBdr>
    </w:div>
    <w:div w:id="932476002">
      <w:bodyDiv w:val="1"/>
      <w:marLeft w:val="0"/>
      <w:marRight w:val="0"/>
      <w:marTop w:val="0"/>
      <w:marBottom w:val="0"/>
      <w:divBdr>
        <w:top w:val="none" w:sz="0" w:space="0" w:color="auto"/>
        <w:left w:val="none" w:sz="0" w:space="0" w:color="auto"/>
        <w:bottom w:val="none" w:sz="0" w:space="0" w:color="auto"/>
        <w:right w:val="none" w:sz="0" w:space="0" w:color="auto"/>
      </w:divBdr>
    </w:div>
    <w:div w:id="936131381">
      <w:bodyDiv w:val="1"/>
      <w:marLeft w:val="0"/>
      <w:marRight w:val="0"/>
      <w:marTop w:val="0"/>
      <w:marBottom w:val="0"/>
      <w:divBdr>
        <w:top w:val="none" w:sz="0" w:space="0" w:color="auto"/>
        <w:left w:val="none" w:sz="0" w:space="0" w:color="auto"/>
        <w:bottom w:val="none" w:sz="0" w:space="0" w:color="auto"/>
        <w:right w:val="none" w:sz="0" w:space="0" w:color="auto"/>
      </w:divBdr>
    </w:div>
    <w:div w:id="936399975">
      <w:bodyDiv w:val="1"/>
      <w:marLeft w:val="0"/>
      <w:marRight w:val="0"/>
      <w:marTop w:val="0"/>
      <w:marBottom w:val="0"/>
      <w:divBdr>
        <w:top w:val="none" w:sz="0" w:space="0" w:color="auto"/>
        <w:left w:val="none" w:sz="0" w:space="0" w:color="auto"/>
        <w:bottom w:val="none" w:sz="0" w:space="0" w:color="auto"/>
        <w:right w:val="none" w:sz="0" w:space="0" w:color="auto"/>
      </w:divBdr>
    </w:div>
    <w:div w:id="940185603">
      <w:bodyDiv w:val="1"/>
      <w:marLeft w:val="0"/>
      <w:marRight w:val="0"/>
      <w:marTop w:val="0"/>
      <w:marBottom w:val="0"/>
      <w:divBdr>
        <w:top w:val="none" w:sz="0" w:space="0" w:color="auto"/>
        <w:left w:val="none" w:sz="0" w:space="0" w:color="auto"/>
        <w:bottom w:val="none" w:sz="0" w:space="0" w:color="auto"/>
        <w:right w:val="none" w:sz="0" w:space="0" w:color="auto"/>
      </w:divBdr>
    </w:div>
    <w:div w:id="940260504">
      <w:bodyDiv w:val="1"/>
      <w:marLeft w:val="0"/>
      <w:marRight w:val="0"/>
      <w:marTop w:val="0"/>
      <w:marBottom w:val="0"/>
      <w:divBdr>
        <w:top w:val="none" w:sz="0" w:space="0" w:color="auto"/>
        <w:left w:val="none" w:sz="0" w:space="0" w:color="auto"/>
        <w:bottom w:val="none" w:sz="0" w:space="0" w:color="auto"/>
        <w:right w:val="none" w:sz="0" w:space="0" w:color="auto"/>
      </w:divBdr>
    </w:div>
    <w:div w:id="943147605">
      <w:bodyDiv w:val="1"/>
      <w:marLeft w:val="0"/>
      <w:marRight w:val="0"/>
      <w:marTop w:val="0"/>
      <w:marBottom w:val="0"/>
      <w:divBdr>
        <w:top w:val="none" w:sz="0" w:space="0" w:color="auto"/>
        <w:left w:val="none" w:sz="0" w:space="0" w:color="auto"/>
        <w:bottom w:val="none" w:sz="0" w:space="0" w:color="auto"/>
        <w:right w:val="none" w:sz="0" w:space="0" w:color="auto"/>
      </w:divBdr>
    </w:div>
    <w:div w:id="946353191">
      <w:bodyDiv w:val="1"/>
      <w:marLeft w:val="0"/>
      <w:marRight w:val="0"/>
      <w:marTop w:val="0"/>
      <w:marBottom w:val="0"/>
      <w:divBdr>
        <w:top w:val="none" w:sz="0" w:space="0" w:color="auto"/>
        <w:left w:val="none" w:sz="0" w:space="0" w:color="auto"/>
        <w:bottom w:val="none" w:sz="0" w:space="0" w:color="auto"/>
        <w:right w:val="none" w:sz="0" w:space="0" w:color="auto"/>
      </w:divBdr>
    </w:div>
    <w:div w:id="947927780">
      <w:bodyDiv w:val="1"/>
      <w:marLeft w:val="0"/>
      <w:marRight w:val="0"/>
      <w:marTop w:val="0"/>
      <w:marBottom w:val="0"/>
      <w:divBdr>
        <w:top w:val="none" w:sz="0" w:space="0" w:color="auto"/>
        <w:left w:val="none" w:sz="0" w:space="0" w:color="auto"/>
        <w:bottom w:val="none" w:sz="0" w:space="0" w:color="auto"/>
        <w:right w:val="none" w:sz="0" w:space="0" w:color="auto"/>
      </w:divBdr>
    </w:div>
    <w:div w:id="954408927">
      <w:bodyDiv w:val="1"/>
      <w:marLeft w:val="0"/>
      <w:marRight w:val="0"/>
      <w:marTop w:val="0"/>
      <w:marBottom w:val="0"/>
      <w:divBdr>
        <w:top w:val="none" w:sz="0" w:space="0" w:color="auto"/>
        <w:left w:val="none" w:sz="0" w:space="0" w:color="auto"/>
        <w:bottom w:val="none" w:sz="0" w:space="0" w:color="auto"/>
        <w:right w:val="none" w:sz="0" w:space="0" w:color="auto"/>
      </w:divBdr>
    </w:div>
    <w:div w:id="955133610">
      <w:bodyDiv w:val="1"/>
      <w:marLeft w:val="0"/>
      <w:marRight w:val="0"/>
      <w:marTop w:val="0"/>
      <w:marBottom w:val="0"/>
      <w:divBdr>
        <w:top w:val="none" w:sz="0" w:space="0" w:color="auto"/>
        <w:left w:val="none" w:sz="0" w:space="0" w:color="auto"/>
        <w:bottom w:val="none" w:sz="0" w:space="0" w:color="auto"/>
        <w:right w:val="none" w:sz="0" w:space="0" w:color="auto"/>
      </w:divBdr>
    </w:div>
    <w:div w:id="955210976">
      <w:bodyDiv w:val="1"/>
      <w:marLeft w:val="0"/>
      <w:marRight w:val="0"/>
      <w:marTop w:val="0"/>
      <w:marBottom w:val="0"/>
      <w:divBdr>
        <w:top w:val="none" w:sz="0" w:space="0" w:color="auto"/>
        <w:left w:val="none" w:sz="0" w:space="0" w:color="auto"/>
        <w:bottom w:val="none" w:sz="0" w:space="0" w:color="auto"/>
        <w:right w:val="none" w:sz="0" w:space="0" w:color="auto"/>
      </w:divBdr>
    </w:div>
    <w:div w:id="959259796">
      <w:bodyDiv w:val="1"/>
      <w:marLeft w:val="0"/>
      <w:marRight w:val="0"/>
      <w:marTop w:val="0"/>
      <w:marBottom w:val="0"/>
      <w:divBdr>
        <w:top w:val="none" w:sz="0" w:space="0" w:color="auto"/>
        <w:left w:val="none" w:sz="0" w:space="0" w:color="auto"/>
        <w:bottom w:val="none" w:sz="0" w:space="0" w:color="auto"/>
        <w:right w:val="none" w:sz="0" w:space="0" w:color="auto"/>
      </w:divBdr>
    </w:div>
    <w:div w:id="967777729">
      <w:bodyDiv w:val="1"/>
      <w:marLeft w:val="0"/>
      <w:marRight w:val="0"/>
      <w:marTop w:val="0"/>
      <w:marBottom w:val="0"/>
      <w:divBdr>
        <w:top w:val="none" w:sz="0" w:space="0" w:color="auto"/>
        <w:left w:val="none" w:sz="0" w:space="0" w:color="auto"/>
        <w:bottom w:val="none" w:sz="0" w:space="0" w:color="auto"/>
        <w:right w:val="none" w:sz="0" w:space="0" w:color="auto"/>
      </w:divBdr>
    </w:div>
    <w:div w:id="969170827">
      <w:bodyDiv w:val="1"/>
      <w:marLeft w:val="0"/>
      <w:marRight w:val="0"/>
      <w:marTop w:val="0"/>
      <w:marBottom w:val="0"/>
      <w:divBdr>
        <w:top w:val="none" w:sz="0" w:space="0" w:color="auto"/>
        <w:left w:val="none" w:sz="0" w:space="0" w:color="auto"/>
        <w:bottom w:val="none" w:sz="0" w:space="0" w:color="auto"/>
        <w:right w:val="none" w:sz="0" w:space="0" w:color="auto"/>
      </w:divBdr>
    </w:div>
    <w:div w:id="969818986">
      <w:bodyDiv w:val="1"/>
      <w:marLeft w:val="0"/>
      <w:marRight w:val="0"/>
      <w:marTop w:val="0"/>
      <w:marBottom w:val="0"/>
      <w:divBdr>
        <w:top w:val="none" w:sz="0" w:space="0" w:color="auto"/>
        <w:left w:val="none" w:sz="0" w:space="0" w:color="auto"/>
        <w:bottom w:val="none" w:sz="0" w:space="0" w:color="auto"/>
        <w:right w:val="none" w:sz="0" w:space="0" w:color="auto"/>
      </w:divBdr>
    </w:div>
    <w:div w:id="976841139">
      <w:bodyDiv w:val="1"/>
      <w:marLeft w:val="0"/>
      <w:marRight w:val="0"/>
      <w:marTop w:val="0"/>
      <w:marBottom w:val="0"/>
      <w:divBdr>
        <w:top w:val="none" w:sz="0" w:space="0" w:color="auto"/>
        <w:left w:val="none" w:sz="0" w:space="0" w:color="auto"/>
        <w:bottom w:val="none" w:sz="0" w:space="0" w:color="auto"/>
        <w:right w:val="none" w:sz="0" w:space="0" w:color="auto"/>
      </w:divBdr>
    </w:div>
    <w:div w:id="981622001">
      <w:bodyDiv w:val="1"/>
      <w:marLeft w:val="0"/>
      <w:marRight w:val="0"/>
      <w:marTop w:val="0"/>
      <w:marBottom w:val="0"/>
      <w:divBdr>
        <w:top w:val="none" w:sz="0" w:space="0" w:color="auto"/>
        <w:left w:val="none" w:sz="0" w:space="0" w:color="auto"/>
        <w:bottom w:val="none" w:sz="0" w:space="0" w:color="auto"/>
        <w:right w:val="none" w:sz="0" w:space="0" w:color="auto"/>
      </w:divBdr>
    </w:div>
    <w:div w:id="988243252">
      <w:bodyDiv w:val="1"/>
      <w:marLeft w:val="0"/>
      <w:marRight w:val="0"/>
      <w:marTop w:val="0"/>
      <w:marBottom w:val="0"/>
      <w:divBdr>
        <w:top w:val="none" w:sz="0" w:space="0" w:color="auto"/>
        <w:left w:val="none" w:sz="0" w:space="0" w:color="auto"/>
        <w:bottom w:val="none" w:sz="0" w:space="0" w:color="auto"/>
        <w:right w:val="none" w:sz="0" w:space="0" w:color="auto"/>
      </w:divBdr>
    </w:div>
    <w:div w:id="990525883">
      <w:bodyDiv w:val="1"/>
      <w:marLeft w:val="0"/>
      <w:marRight w:val="0"/>
      <w:marTop w:val="0"/>
      <w:marBottom w:val="0"/>
      <w:divBdr>
        <w:top w:val="none" w:sz="0" w:space="0" w:color="auto"/>
        <w:left w:val="none" w:sz="0" w:space="0" w:color="auto"/>
        <w:bottom w:val="none" w:sz="0" w:space="0" w:color="auto"/>
        <w:right w:val="none" w:sz="0" w:space="0" w:color="auto"/>
      </w:divBdr>
    </w:div>
    <w:div w:id="998847738">
      <w:bodyDiv w:val="1"/>
      <w:marLeft w:val="0"/>
      <w:marRight w:val="0"/>
      <w:marTop w:val="0"/>
      <w:marBottom w:val="0"/>
      <w:divBdr>
        <w:top w:val="none" w:sz="0" w:space="0" w:color="auto"/>
        <w:left w:val="none" w:sz="0" w:space="0" w:color="auto"/>
        <w:bottom w:val="none" w:sz="0" w:space="0" w:color="auto"/>
        <w:right w:val="none" w:sz="0" w:space="0" w:color="auto"/>
      </w:divBdr>
    </w:div>
    <w:div w:id="999575696">
      <w:bodyDiv w:val="1"/>
      <w:marLeft w:val="0"/>
      <w:marRight w:val="0"/>
      <w:marTop w:val="0"/>
      <w:marBottom w:val="0"/>
      <w:divBdr>
        <w:top w:val="none" w:sz="0" w:space="0" w:color="auto"/>
        <w:left w:val="none" w:sz="0" w:space="0" w:color="auto"/>
        <w:bottom w:val="none" w:sz="0" w:space="0" w:color="auto"/>
        <w:right w:val="none" w:sz="0" w:space="0" w:color="auto"/>
      </w:divBdr>
    </w:div>
    <w:div w:id="1001931419">
      <w:bodyDiv w:val="1"/>
      <w:marLeft w:val="0"/>
      <w:marRight w:val="0"/>
      <w:marTop w:val="0"/>
      <w:marBottom w:val="0"/>
      <w:divBdr>
        <w:top w:val="none" w:sz="0" w:space="0" w:color="auto"/>
        <w:left w:val="none" w:sz="0" w:space="0" w:color="auto"/>
        <w:bottom w:val="none" w:sz="0" w:space="0" w:color="auto"/>
        <w:right w:val="none" w:sz="0" w:space="0" w:color="auto"/>
      </w:divBdr>
    </w:div>
    <w:div w:id="1005018111">
      <w:bodyDiv w:val="1"/>
      <w:marLeft w:val="0"/>
      <w:marRight w:val="0"/>
      <w:marTop w:val="0"/>
      <w:marBottom w:val="0"/>
      <w:divBdr>
        <w:top w:val="none" w:sz="0" w:space="0" w:color="auto"/>
        <w:left w:val="none" w:sz="0" w:space="0" w:color="auto"/>
        <w:bottom w:val="none" w:sz="0" w:space="0" w:color="auto"/>
        <w:right w:val="none" w:sz="0" w:space="0" w:color="auto"/>
      </w:divBdr>
    </w:div>
    <w:div w:id="1006901071">
      <w:bodyDiv w:val="1"/>
      <w:marLeft w:val="0"/>
      <w:marRight w:val="0"/>
      <w:marTop w:val="0"/>
      <w:marBottom w:val="0"/>
      <w:divBdr>
        <w:top w:val="none" w:sz="0" w:space="0" w:color="auto"/>
        <w:left w:val="none" w:sz="0" w:space="0" w:color="auto"/>
        <w:bottom w:val="none" w:sz="0" w:space="0" w:color="auto"/>
        <w:right w:val="none" w:sz="0" w:space="0" w:color="auto"/>
      </w:divBdr>
    </w:div>
    <w:div w:id="1013537207">
      <w:bodyDiv w:val="1"/>
      <w:marLeft w:val="0"/>
      <w:marRight w:val="0"/>
      <w:marTop w:val="0"/>
      <w:marBottom w:val="0"/>
      <w:divBdr>
        <w:top w:val="none" w:sz="0" w:space="0" w:color="auto"/>
        <w:left w:val="none" w:sz="0" w:space="0" w:color="auto"/>
        <w:bottom w:val="none" w:sz="0" w:space="0" w:color="auto"/>
        <w:right w:val="none" w:sz="0" w:space="0" w:color="auto"/>
      </w:divBdr>
    </w:div>
    <w:div w:id="1024984893">
      <w:bodyDiv w:val="1"/>
      <w:marLeft w:val="0"/>
      <w:marRight w:val="0"/>
      <w:marTop w:val="0"/>
      <w:marBottom w:val="0"/>
      <w:divBdr>
        <w:top w:val="none" w:sz="0" w:space="0" w:color="auto"/>
        <w:left w:val="none" w:sz="0" w:space="0" w:color="auto"/>
        <w:bottom w:val="none" w:sz="0" w:space="0" w:color="auto"/>
        <w:right w:val="none" w:sz="0" w:space="0" w:color="auto"/>
      </w:divBdr>
    </w:div>
    <w:div w:id="1025180926">
      <w:bodyDiv w:val="1"/>
      <w:marLeft w:val="0"/>
      <w:marRight w:val="0"/>
      <w:marTop w:val="0"/>
      <w:marBottom w:val="0"/>
      <w:divBdr>
        <w:top w:val="none" w:sz="0" w:space="0" w:color="auto"/>
        <w:left w:val="none" w:sz="0" w:space="0" w:color="auto"/>
        <w:bottom w:val="none" w:sz="0" w:space="0" w:color="auto"/>
        <w:right w:val="none" w:sz="0" w:space="0" w:color="auto"/>
      </w:divBdr>
    </w:div>
    <w:div w:id="1031614410">
      <w:bodyDiv w:val="1"/>
      <w:marLeft w:val="0"/>
      <w:marRight w:val="0"/>
      <w:marTop w:val="0"/>
      <w:marBottom w:val="0"/>
      <w:divBdr>
        <w:top w:val="none" w:sz="0" w:space="0" w:color="auto"/>
        <w:left w:val="none" w:sz="0" w:space="0" w:color="auto"/>
        <w:bottom w:val="none" w:sz="0" w:space="0" w:color="auto"/>
        <w:right w:val="none" w:sz="0" w:space="0" w:color="auto"/>
      </w:divBdr>
    </w:div>
    <w:div w:id="1034961427">
      <w:bodyDiv w:val="1"/>
      <w:marLeft w:val="0"/>
      <w:marRight w:val="0"/>
      <w:marTop w:val="0"/>
      <w:marBottom w:val="0"/>
      <w:divBdr>
        <w:top w:val="none" w:sz="0" w:space="0" w:color="auto"/>
        <w:left w:val="none" w:sz="0" w:space="0" w:color="auto"/>
        <w:bottom w:val="none" w:sz="0" w:space="0" w:color="auto"/>
        <w:right w:val="none" w:sz="0" w:space="0" w:color="auto"/>
      </w:divBdr>
    </w:div>
    <w:div w:id="1038117436">
      <w:bodyDiv w:val="1"/>
      <w:marLeft w:val="0"/>
      <w:marRight w:val="0"/>
      <w:marTop w:val="0"/>
      <w:marBottom w:val="0"/>
      <w:divBdr>
        <w:top w:val="none" w:sz="0" w:space="0" w:color="auto"/>
        <w:left w:val="none" w:sz="0" w:space="0" w:color="auto"/>
        <w:bottom w:val="none" w:sz="0" w:space="0" w:color="auto"/>
        <w:right w:val="none" w:sz="0" w:space="0" w:color="auto"/>
      </w:divBdr>
    </w:div>
    <w:div w:id="1040325407">
      <w:bodyDiv w:val="1"/>
      <w:marLeft w:val="0"/>
      <w:marRight w:val="0"/>
      <w:marTop w:val="0"/>
      <w:marBottom w:val="0"/>
      <w:divBdr>
        <w:top w:val="none" w:sz="0" w:space="0" w:color="auto"/>
        <w:left w:val="none" w:sz="0" w:space="0" w:color="auto"/>
        <w:bottom w:val="none" w:sz="0" w:space="0" w:color="auto"/>
        <w:right w:val="none" w:sz="0" w:space="0" w:color="auto"/>
      </w:divBdr>
    </w:div>
    <w:div w:id="1042247032">
      <w:bodyDiv w:val="1"/>
      <w:marLeft w:val="0"/>
      <w:marRight w:val="0"/>
      <w:marTop w:val="0"/>
      <w:marBottom w:val="0"/>
      <w:divBdr>
        <w:top w:val="none" w:sz="0" w:space="0" w:color="auto"/>
        <w:left w:val="none" w:sz="0" w:space="0" w:color="auto"/>
        <w:bottom w:val="none" w:sz="0" w:space="0" w:color="auto"/>
        <w:right w:val="none" w:sz="0" w:space="0" w:color="auto"/>
      </w:divBdr>
    </w:div>
    <w:div w:id="1042904760">
      <w:bodyDiv w:val="1"/>
      <w:marLeft w:val="0"/>
      <w:marRight w:val="0"/>
      <w:marTop w:val="0"/>
      <w:marBottom w:val="0"/>
      <w:divBdr>
        <w:top w:val="none" w:sz="0" w:space="0" w:color="auto"/>
        <w:left w:val="none" w:sz="0" w:space="0" w:color="auto"/>
        <w:bottom w:val="none" w:sz="0" w:space="0" w:color="auto"/>
        <w:right w:val="none" w:sz="0" w:space="0" w:color="auto"/>
      </w:divBdr>
    </w:div>
    <w:div w:id="1043407361">
      <w:bodyDiv w:val="1"/>
      <w:marLeft w:val="0"/>
      <w:marRight w:val="0"/>
      <w:marTop w:val="0"/>
      <w:marBottom w:val="0"/>
      <w:divBdr>
        <w:top w:val="none" w:sz="0" w:space="0" w:color="auto"/>
        <w:left w:val="none" w:sz="0" w:space="0" w:color="auto"/>
        <w:bottom w:val="none" w:sz="0" w:space="0" w:color="auto"/>
        <w:right w:val="none" w:sz="0" w:space="0" w:color="auto"/>
      </w:divBdr>
    </w:div>
    <w:div w:id="1043750134">
      <w:bodyDiv w:val="1"/>
      <w:marLeft w:val="0"/>
      <w:marRight w:val="0"/>
      <w:marTop w:val="0"/>
      <w:marBottom w:val="0"/>
      <w:divBdr>
        <w:top w:val="none" w:sz="0" w:space="0" w:color="auto"/>
        <w:left w:val="none" w:sz="0" w:space="0" w:color="auto"/>
        <w:bottom w:val="none" w:sz="0" w:space="0" w:color="auto"/>
        <w:right w:val="none" w:sz="0" w:space="0" w:color="auto"/>
      </w:divBdr>
    </w:div>
    <w:div w:id="1043821377">
      <w:bodyDiv w:val="1"/>
      <w:marLeft w:val="0"/>
      <w:marRight w:val="0"/>
      <w:marTop w:val="0"/>
      <w:marBottom w:val="0"/>
      <w:divBdr>
        <w:top w:val="none" w:sz="0" w:space="0" w:color="auto"/>
        <w:left w:val="none" w:sz="0" w:space="0" w:color="auto"/>
        <w:bottom w:val="none" w:sz="0" w:space="0" w:color="auto"/>
        <w:right w:val="none" w:sz="0" w:space="0" w:color="auto"/>
      </w:divBdr>
    </w:div>
    <w:div w:id="1044983946">
      <w:bodyDiv w:val="1"/>
      <w:marLeft w:val="0"/>
      <w:marRight w:val="0"/>
      <w:marTop w:val="0"/>
      <w:marBottom w:val="0"/>
      <w:divBdr>
        <w:top w:val="none" w:sz="0" w:space="0" w:color="auto"/>
        <w:left w:val="none" w:sz="0" w:space="0" w:color="auto"/>
        <w:bottom w:val="none" w:sz="0" w:space="0" w:color="auto"/>
        <w:right w:val="none" w:sz="0" w:space="0" w:color="auto"/>
      </w:divBdr>
    </w:div>
    <w:div w:id="1045107835">
      <w:bodyDiv w:val="1"/>
      <w:marLeft w:val="0"/>
      <w:marRight w:val="0"/>
      <w:marTop w:val="0"/>
      <w:marBottom w:val="0"/>
      <w:divBdr>
        <w:top w:val="none" w:sz="0" w:space="0" w:color="auto"/>
        <w:left w:val="none" w:sz="0" w:space="0" w:color="auto"/>
        <w:bottom w:val="none" w:sz="0" w:space="0" w:color="auto"/>
        <w:right w:val="none" w:sz="0" w:space="0" w:color="auto"/>
      </w:divBdr>
    </w:div>
    <w:div w:id="1046878920">
      <w:bodyDiv w:val="1"/>
      <w:marLeft w:val="0"/>
      <w:marRight w:val="0"/>
      <w:marTop w:val="0"/>
      <w:marBottom w:val="0"/>
      <w:divBdr>
        <w:top w:val="none" w:sz="0" w:space="0" w:color="auto"/>
        <w:left w:val="none" w:sz="0" w:space="0" w:color="auto"/>
        <w:bottom w:val="none" w:sz="0" w:space="0" w:color="auto"/>
        <w:right w:val="none" w:sz="0" w:space="0" w:color="auto"/>
      </w:divBdr>
    </w:div>
    <w:div w:id="1048607606">
      <w:bodyDiv w:val="1"/>
      <w:marLeft w:val="0"/>
      <w:marRight w:val="0"/>
      <w:marTop w:val="0"/>
      <w:marBottom w:val="0"/>
      <w:divBdr>
        <w:top w:val="none" w:sz="0" w:space="0" w:color="auto"/>
        <w:left w:val="none" w:sz="0" w:space="0" w:color="auto"/>
        <w:bottom w:val="none" w:sz="0" w:space="0" w:color="auto"/>
        <w:right w:val="none" w:sz="0" w:space="0" w:color="auto"/>
      </w:divBdr>
    </w:div>
    <w:div w:id="1050112257">
      <w:bodyDiv w:val="1"/>
      <w:marLeft w:val="0"/>
      <w:marRight w:val="0"/>
      <w:marTop w:val="0"/>
      <w:marBottom w:val="0"/>
      <w:divBdr>
        <w:top w:val="none" w:sz="0" w:space="0" w:color="auto"/>
        <w:left w:val="none" w:sz="0" w:space="0" w:color="auto"/>
        <w:bottom w:val="none" w:sz="0" w:space="0" w:color="auto"/>
        <w:right w:val="none" w:sz="0" w:space="0" w:color="auto"/>
      </w:divBdr>
    </w:div>
    <w:div w:id="1060783791">
      <w:bodyDiv w:val="1"/>
      <w:marLeft w:val="0"/>
      <w:marRight w:val="0"/>
      <w:marTop w:val="0"/>
      <w:marBottom w:val="0"/>
      <w:divBdr>
        <w:top w:val="none" w:sz="0" w:space="0" w:color="auto"/>
        <w:left w:val="none" w:sz="0" w:space="0" w:color="auto"/>
        <w:bottom w:val="none" w:sz="0" w:space="0" w:color="auto"/>
        <w:right w:val="none" w:sz="0" w:space="0" w:color="auto"/>
      </w:divBdr>
    </w:div>
    <w:div w:id="1061906491">
      <w:bodyDiv w:val="1"/>
      <w:marLeft w:val="0"/>
      <w:marRight w:val="0"/>
      <w:marTop w:val="0"/>
      <w:marBottom w:val="0"/>
      <w:divBdr>
        <w:top w:val="none" w:sz="0" w:space="0" w:color="auto"/>
        <w:left w:val="none" w:sz="0" w:space="0" w:color="auto"/>
        <w:bottom w:val="none" w:sz="0" w:space="0" w:color="auto"/>
        <w:right w:val="none" w:sz="0" w:space="0" w:color="auto"/>
      </w:divBdr>
    </w:div>
    <w:div w:id="1062409050">
      <w:bodyDiv w:val="1"/>
      <w:marLeft w:val="0"/>
      <w:marRight w:val="0"/>
      <w:marTop w:val="0"/>
      <w:marBottom w:val="0"/>
      <w:divBdr>
        <w:top w:val="none" w:sz="0" w:space="0" w:color="auto"/>
        <w:left w:val="none" w:sz="0" w:space="0" w:color="auto"/>
        <w:bottom w:val="none" w:sz="0" w:space="0" w:color="auto"/>
        <w:right w:val="none" w:sz="0" w:space="0" w:color="auto"/>
      </w:divBdr>
    </w:div>
    <w:div w:id="1068846548">
      <w:bodyDiv w:val="1"/>
      <w:marLeft w:val="0"/>
      <w:marRight w:val="0"/>
      <w:marTop w:val="0"/>
      <w:marBottom w:val="0"/>
      <w:divBdr>
        <w:top w:val="none" w:sz="0" w:space="0" w:color="auto"/>
        <w:left w:val="none" w:sz="0" w:space="0" w:color="auto"/>
        <w:bottom w:val="none" w:sz="0" w:space="0" w:color="auto"/>
        <w:right w:val="none" w:sz="0" w:space="0" w:color="auto"/>
      </w:divBdr>
    </w:div>
    <w:div w:id="1071150526">
      <w:bodyDiv w:val="1"/>
      <w:marLeft w:val="0"/>
      <w:marRight w:val="0"/>
      <w:marTop w:val="0"/>
      <w:marBottom w:val="0"/>
      <w:divBdr>
        <w:top w:val="none" w:sz="0" w:space="0" w:color="auto"/>
        <w:left w:val="none" w:sz="0" w:space="0" w:color="auto"/>
        <w:bottom w:val="none" w:sz="0" w:space="0" w:color="auto"/>
        <w:right w:val="none" w:sz="0" w:space="0" w:color="auto"/>
      </w:divBdr>
    </w:div>
    <w:div w:id="1078139302">
      <w:bodyDiv w:val="1"/>
      <w:marLeft w:val="0"/>
      <w:marRight w:val="0"/>
      <w:marTop w:val="0"/>
      <w:marBottom w:val="0"/>
      <w:divBdr>
        <w:top w:val="none" w:sz="0" w:space="0" w:color="auto"/>
        <w:left w:val="none" w:sz="0" w:space="0" w:color="auto"/>
        <w:bottom w:val="none" w:sz="0" w:space="0" w:color="auto"/>
        <w:right w:val="none" w:sz="0" w:space="0" w:color="auto"/>
      </w:divBdr>
    </w:div>
    <w:div w:id="1079475632">
      <w:bodyDiv w:val="1"/>
      <w:marLeft w:val="0"/>
      <w:marRight w:val="0"/>
      <w:marTop w:val="0"/>
      <w:marBottom w:val="0"/>
      <w:divBdr>
        <w:top w:val="none" w:sz="0" w:space="0" w:color="auto"/>
        <w:left w:val="none" w:sz="0" w:space="0" w:color="auto"/>
        <w:bottom w:val="none" w:sz="0" w:space="0" w:color="auto"/>
        <w:right w:val="none" w:sz="0" w:space="0" w:color="auto"/>
      </w:divBdr>
    </w:div>
    <w:div w:id="1087389753">
      <w:bodyDiv w:val="1"/>
      <w:marLeft w:val="0"/>
      <w:marRight w:val="0"/>
      <w:marTop w:val="0"/>
      <w:marBottom w:val="0"/>
      <w:divBdr>
        <w:top w:val="none" w:sz="0" w:space="0" w:color="auto"/>
        <w:left w:val="none" w:sz="0" w:space="0" w:color="auto"/>
        <w:bottom w:val="none" w:sz="0" w:space="0" w:color="auto"/>
        <w:right w:val="none" w:sz="0" w:space="0" w:color="auto"/>
      </w:divBdr>
    </w:div>
    <w:div w:id="1087843060">
      <w:bodyDiv w:val="1"/>
      <w:marLeft w:val="0"/>
      <w:marRight w:val="0"/>
      <w:marTop w:val="0"/>
      <w:marBottom w:val="0"/>
      <w:divBdr>
        <w:top w:val="none" w:sz="0" w:space="0" w:color="auto"/>
        <w:left w:val="none" w:sz="0" w:space="0" w:color="auto"/>
        <w:bottom w:val="none" w:sz="0" w:space="0" w:color="auto"/>
        <w:right w:val="none" w:sz="0" w:space="0" w:color="auto"/>
      </w:divBdr>
    </w:div>
    <w:div w:id="1098872349">
      <w:bodyDiv w:val="1"/>
      <w:marLeft w:val="0"/>
      <w:marRight w:val="0"/>
      <w:marTop w:val="0"/>
      <w:marBottom w:val="0"/>
      <w:divBdr>
        <w:top w:val="none" w:sz="0" w:space="0" w:color="auto"/>
        <w:left w:val="none" w:sz="0" w:space="0" w:color="auto"/>
        <w:bottom w:val="none" w:sz="0" w:space="0" w:color="auto"/>
        <w:right w:val="none" w:sz="0" w:space="0" w:color="auto"/>
      </w:divBdr>
    </w:div>
    <w:div w:id="1106388764">
      <w:bodyDiv w:val="1"/>
      <w:marLeft w:val="0"/>
      <w:marRight w:val="0"/>
      <w:marTop w:val="0"/>
      <w:marBottom w:val="0"/>
      <w:divBdr>
        <w:top w:val="none" w:sz="0" w:space="0" w:color="auto"/>
        <w:left w:val="none" w:sz="0" w:space="0" w:color="auto"/>
        <w:bottom w:val="none" w:sz="0" w:space="0" w:color="auto"/>
        <w:right w:val="none" w:sz="0" w:space="0" w:color="auto"/>
      </w:divBdr>
    </w:div>
    <w:div w:id="1109159825">
      <w:bodyDiv w:val="1"/>
      <w:marLeft w:val="0"/>
      <w:marRight w:val="0"/>
      <w:marTop w:val="0"/>
      <w:marBottom w:val="0"/>
      <w:divBdr>
        <w:top w:val="none" w:sz="0" w:space="0" w:color="auto"/>
        <w:left w:val="none" w:sz="0" w:space="0" w:color="auto"/>
        <w:bottom w:val="none" w:sz="0" w:space="0" w:color="auto"/>
        <w:right w:val="none" w:sz="0" w:space="0" w:color="auto"/>
      </w:divBdr>
    </w:div>
    <w:div w:id="1116874019">
      <w:bodyDiv w:val="1"/>
      <w:marLeft w:val="0"/>
      <w:marRight w:val="0"/>
      <w:marTop w:val="0"/>
      <w:marBottom w:val="0"/>
      <w:divBdr>
        <w:top w:val="none" w:sz="0" w:space="0" w:color="auto"/>
        <w:left w:val="none" w:sz="0" w:space="0" w:color="auto"/>
        <w:bottom w:val="none" w:sz="0" w:space="0" w:color="auto"/>
        <w:right w:val="none" w:sz="0" w:space="0" w:color="auto"/>
      </w:divBdr>
    </w:div>
    <w:div w:id="1118721148">
      <w:bodyDiv w:val="1"/>
      <w:marLeft w:val="0"/>
      <w:marRight w:val="0"/>
      <w:marTop w:val="0"/>
      <w:marBottom w:val="0"/>
      <w:divBdr>
        <w:top w:val="none" w:sz="0" w:space="0" w:color="auto"/>
        <w:left w:val="none" w:sz="0" w:space="0" w:color="auto"/>
        <w:bottom w:val="none" w:sz="0" w:space="0" w:color="auto"/>
        <w:right w:val="none" w:sz="0" w:space="0" w:color="auto"/>
      </w:divBdr>
    </w:div>
    <w:div w:id="1122458440">
      <w:bodyDiv w:val="1"/>
      <w:marLeft w:val="0"/>
      <w:marRight w:val="0"/>
      <w:marTop w:val="0"/>
      <w:marBottom w:val="0"/>
      <w:divBdr>
        <w:top w:val="none" w:sz="0" w:space="0" w:color="auto"/>
        <w:left w:val="none" w:sz="0" w:space="0" w:color="auto"/>
        <w:bottom w:val="none" w:sz="0" w:space="0" w:color="auto"/>
        <w:right w:val="none" w:sz="0" w:space="0" w:color="auto"/>
      </w:divBdr>
    </w:div>
    <w:div w:id="1122729388">
      <w:bodyDiv w:val="1"/>
      <w:marLeft w:val="0"/>
      <w:marRight w:val="0"/>
      <w:marTop w:val="0"/>
      <w:marBottom w:val="0"/>
      <w:divBdr>
        <w:top w:val="none" w:sz="0" w:space="0" w:color="auto"/>
        <w:left w:val="none" w:sz="0" w:space="0" w:color="auto"/>
        <w:bottom w:val="none" w:sz="0" w:space="0" w:color="auto"/>
        <w:right w:val="none" w:sz="0" w:space="0" w:color="auto"/>
      </w:divBdr>
    </w:div>
    <w:div w:id="1123110004">
      <w:bodyDiv w:val="1"/>
      <w:marLeft w:val="0"/>
      <w:marRight w:val="0"/>
      <w:marTop w:val="0"/>
      <w:marBottom w:val="0"/>
      <w:divBdr>
        <w:top w:val="none" w:sz="0" w:space="0" w:color="auto"/>
        <w:left w:val="none" w:sz="0" w:space="0" w:color="auto"/>
        <w:bottom w:val="none" w:sz="0" w:space="0" w:color="auto"/>
        <w:right w:val="none" w:sz="0" w:space="0" w:color="auto"/>
      </w:divBdr>
    </w:div>
    <w:div w:id="1127964748">
      <w:bodyDiv w:val="1"/>
      <w:marLeft w:val="0"/>
      <w:marRight w:val="0"/>
      <w:marTop w:val="0"/>
      <w:marBottom w:val="0"/>
      <w:divBdr>
        <w:top w:val="none" w:sz="0" w:space="0" w:color="auto"/>
        <w:left w:val="none" w:sz="0" w:space="0" w:color="auto"/>
        <w:bottom w:val="none" w:sz="0" w:space="0" w:color="auto"/>
        <w:right w:val="none" w:sz="0" w:space="0" w:color="auto"/>
      </w:divBdr>
    </w:div>
    <w:div w:id="1134297703">
      <w:bodyDiv w:val="1"/>
      <w:marLeft w:val="0"/>
      <w:marRight w:val="0"/>
      <w:marTop w:val="0"/>
      <w:marBottom w:val="0"/>
      <w:divBdr>
        <w:top w:val="none" w:sz="0" w:space="0" w:color="auto"/>
        <w:left w:val="none" w:sz="0" w:space="0" w:color="auto"/>
        <w:bottom w:val="none" w:sz="0" w:space="0" w:color="auto"/>
        <w:right w:val="none" w:sz="0" w:space="0" w:color="auto"/>
      </w:divBdr>
    </w:div>
    <w:div w:id="1138229577">
      <w:bodyDiv w:val="1"/>
      <w:marLeft w:val="0"/>
      <w:marRight w:val="0"/>
      <w:marTop w:val="0"/>
      <w:marBottom w:val="0"/>
      <w:divBdr>
        <w:top w:val="none" w:sz="0" w:space="0" w:color="auto"/>
        <w:left w:val="none" w:sz="0" w:space="0" w:color="auto"/>
        <w:bottom w:val="none" w:sz="0" w:space="0" w:color="auto"/>
        <w:right w:val="none" w:sz="0" w:space="0" w:color="auto"/>
      </w:divBdr>
    </w:div>
    <w:div w:id="1142310531">
      <w:bodyDiv w:val="1"/>
      <w:marLeft w:val="0"/>
      <w:marRight w:val="0"/>
      <w:marTop w:val="0"/>
      <w:marBottom w:val="0"/>
      <w:divBdr>
        <w:top w:val="none" w:sz="0" w:space="0" w:color="auto"/>
        <w:left w:val="none" w:sz="0" w:space="0" w:color="auto"/>
        <w:bottom w:val="none" w:sz="0" w:space="0" w:color="auto"/>
        <w:right w:val="none" w:sz="0" w:space="0" w:color="auto"/>
      </w:divBdr>
    </w:div>
    <w:div w:id="1142962105">
      <w:bodyDiv w:val="1"/>
      <w:marLeft w:val="0"/>
      <w:marRight w:val="0"/>
      <w:marTop w:val="0"/>
      <w:marBottom w:val="0"/>
      <w:divBdr>
        <w:top w:val="none" w:sz="0" w:space="0" w:color="auto"/>
        <w:left w:val="none" w:sz="0" w:space="0" w:color="auto"/>
        <w:bottom w:val="none" w:sz="0" w:space="0" w:color="auto"/>
        <w:right w:val="none" w:sz="0" w:space="0" w:color="auto"/>
      </w:divBdr>
    </w:div>
    <w:div w:id="1143087515">
      <w:bodyDiv w:val="1"/>
      <w:marLeft w:val="0"/>
      <w:marRight w:val="0"/>
      <w:marTop w:val="0"/>
      <w:marBottom w:val="0"/>
      <w:divBdr>
        <w:top w:val="none" w:sz="0" w:space="0" w:color="auto"/>
        <w:left w:val="none" w:sz="0" w:space="0" w:color="auto"/>
        <w:bottom w:val="none" w:sz="0" w:space="0" w:color="auto"/>
        <w:right w:val="none" w:sz="0" w:space="0" w:color="auto"/>
      </w:divBdr>
    </w:div>
    <w:div w:id="1152336715">
      <w:bodyDiv w:val="1"/>
      <w:marLeft w:val="0"/>
      <w:marRight w:val="0"/>
      <w:marTop w:val="0"/>
      <w:marBottom w:val="0"/>
      <w:divBdr>
        <w:top w:val="none" w:sz="0" w:space="0" w:color="auto"/>
        <w:left w:val="none" w:sz="0" w:space="0" w:color="auto"/>
        <w:bottom w:val="none" w:sz="0" w:space="0" w:color="auto"/>
        <w:right w:val="none" w:sz="0" w:space="0" w:color="auto"/>
      </w:divBdr>
    </w:div>
    <w:div w:id="1153326594">
      <w:bodyDiv w:val="1"/>
      <w:marLeft w:val="0"/>
      <w:marRight w:val="0"/>
      <w:marTop w:val="0"/>
      <w:marBottom w:val="0"/>
      <w:divBdr>
        <w:top w:val="none" w:sz="0" w:space="0" w:color="auto"/>
        <w:left w:val="none" w:sz="0" w:space="0" w:color="auto"/>
        <w:bottom w:val="none" w:sz="0" w:space="0" w:color="auto"/>
        <w:right w:val="none" w:sz="0" w:space="0" w:color="auto"/>
      </w:divBdr>
    </w:div>
    <w:div w:id="1153717660">
      <w:bodyDiv w:val="1"/>
      <w:marLeft w:val="0"/>
      <w:marRight w:val="0"/>
      <w:marTop w:val="0"/>
      <w:marBottom w:val="0"/>
      <w:divBdr>
        <w:top w:val="none" w:sz="0" w:space="0" w:color="auto"/>
        <w:left w:val="none" w:sz="0" w:space="0" w:color="auto"/>
        <w:bottom w:val="none" w:sz="0" w:space="0" w:color="auto"/>
        <w:right w:val="none" w:sz="0" w:space="0" w:color="auto"/>
      </w:divBdr>
    </w:div>
    <w:div w:id="1153831110">
      <w:bodyDiv w:val="1"/>
      <w:marLeft w:val="0"/>
      <w:marRight w:val="0"/>
      <w:marTop w:val="0"/>
      <w:marBottom w:val="0"/>
      <w:divBdr>
        <w:top w:val="none" w:sz="0" w:space="0" w:color="auto"/>
        <w:left w:val="none" w:sz="0" w:space="0" w:color="auto"/>
        <w:bottom w:val="none" w:sz="0" w:space="0" w:color="auto"/>
        <w:right w:val="none" w:sz="0" w:space="0" w:color="auto"/>
      </w:divBdr>
    </w:div>
    <w:div w:id="1154837903">
      <w:bodyDiv w:val="1"/>
      <w:marLeft w:val="0"/>
      <w:marRight w:val="0"/>
      <w:marTop w:val="0"/>
      <w:marBottom w:val="0"/>
      <w:divBdr>
        <w:top w:val="none" w:sz="0" w:space="0" w:color="auto"/>
        <w:left w:val="none" w:sz="0" w:space="0" w:color="auto"/>
        <w:bottom w:val="none" w:sz="0" w:space="0" w:color="auto"/>
        <w:right w:val="none" w:sz="0" w:space="0" w:color="auto"/>
      </w:divBdr>
    </w:div>
    <w:div w:id="1155534329">
      <w:bodyDiv w:val="1"/>
      <w:marLeft w:val="0"/>
      <w:marRight w:val="0"/>
      <w:marTop w:val="0"/>
      <w:marBottom w:val="0"/>
      <w:divBdr>
        <w:top w:val="none" w:sz="0" w:space="0" w:color="auto"/>
        <w:left w:val="none" w:sz="0" w:space="0" w:color="auto"/>
        <w:bottom w:val="none" w:sz="0" w:space="0" w:color="auto"/>
        <w:right w:val="none" w:sz="0" w:space="0" w:color="auto"/>
      </w:divBdr>
    </w:div>
    <w:div w:id="1159690861">
      <w:bodyDiv w:val="1"/>
      <w:marLeft w:val="0"/>
      <w:marRight w:val="0"/>
      <w:marTop w:val="0"/>
      <w:marBottom w:val="0"/>
      <w:divBdr>
        <w:top w:val="none" w:sz="0" w:space="0" w:color="auto"/>
        <w:left w:val="none" w:sz="0" w:space="0" w:color="auto"/>
        <w:bottom w:val="none" w:sz="0" w:space="0" w:color="auto"/>
        <w:right w:val="none" w:sz="0" w:space="0" w:color="auto"/>
      </w:divBdr>
    </w:div>
    <w:div w:id="1163206913">
      <w:bodyDiv w:val="1"/>
      <w:marLeft w:val="0"/>
      <w:marRight w:val="0"/>
      <w:marTop w:val="0"/>
      <w:marBottom w:val="0"/>
      <w:divBdr>
        <w:top w:val="none" w:sz="0" w:space="0" w:color="auto"/>
        <w:left w:val="none" w:sz="0" w:space="0" w:color="auto"/>
        <w:bottom w:val="none" w:sz="0" w:space="0" w:color="auto"/>
        <w:right w:val="none" w:sz="0" w:space="0" w:color="auto"/>
      </w:divBdr>
    </w:div>
    <w:div w:id="1165509798">
      <w:bodyDiv w:val="1"/>
      <w:marLeft w:val="0"/>
      <w:marRight w:val="0"/>
      <w:marTop w:val="0"/>
      <w:marBottom w:val="0"/>
      <w:divBdr>
        <w:top w:val="none" w:sz="0" w:space="0" w:color="auto"/>
        <w:left w:val="none" w:sz="0" w:space="0" w:color="auto"/>
        <w:bottom w:val="none" w:sz="0" w:space="0" w:color="auto"/>
        <w:right w:val="none" w:sz="0" w:space="0" w:color="auto"/>
      </w:divBdr>
    </w:div>
    <w:div w:id="1167936943">
      <w:bodyDiv w:val="1"/>
      <w:marLeft w:val="0"/>
      <w:marRight w:val="0"/>
      <w:marTop w:val="0"/>
      <w:marBottom w:val="0"/>
      <w:divBdr>
        <w:top w:val="none" w:sz="0" w:space="0" w:color="auto"/>
        <w:left w:val="none" w:sz="0" w:space="0" w:color="auto"/>
        <w:bottom w:val="none" w:sz="0" w:space="0" w:color="auto"/>
        <w:right w:val="none" w:sz="0" w:space="0" w:color="auto"/>
      </w:divBdr>
    </w:div>
    <w:div w:id="1170407606">
      <w:bodyDiv w:val="1"/>
      <w:marLeft w:val="0"/>
      <w:marRight w:val="0"/>
      <w:marTop w:val="0"/>
      <w:marBottom w:val="0"/>
      <w:divBdr>
        <w:top w:val="none" w:sz="0" w:space="0" w:color="auto"/>
        <w:left w:val="none" w:sz="0" w:space="0" w:color="auto"/>
        <w:bottom w:val="none" w:sz="0" w:space="0" w:color="auto"/>
        <w:right w:val="none" w:sz="0" w:space="0" w:color="auto"/>
      </w:divBdr>
    </w:div>
    <w:div w:id="1175614070">
      <w:bodyDiv w:val="1"/>
      <w:marLeft w:val="0"/>
      <w:marRight w:val="0"/>
      <w:marTop w:val="0"/>
      <w:marBottom w:val="0"/>
      <w:divBdr>
        <w:top w:val="none" w:sz="0" w:space="0" w:color="auto"/>
        <w:left w:val="none" w:sz="0" w:space="0" w:color="auto"/>
        <w:bottom w:val="none" w:sz="0" w:space="0" w:color="auto"/>
        <w:right w:val="none" w:sz="0" w:space="0" w:color="auto"/>
      </w:divBdr>
    </w:div>
    <w:div w:id="1176965470">
      <w:bodyDiv w:val="1"/>
      <w:marLeft w:val="0"/>
      <w:marRight w:val="0"/>
      <w:marTop w:val="0"/>
      <w:marBottom w:val="0"/>
      <w:divBdr>
        <w:top w:val="none" w:sz="0" w:space="0" w:color="auto"/>
        <w:left w:val="none" w:sz="0" w:space="0" w:color="auto"/>
        <w:bottom w:val="none" w:sz="0" w:space="0" w:color="auto"/>
        <w:right w:val="none" w:sz="0" w:space="0" w:color="auto"/>
      </w:divBdr>
    </w:div>
    <w:div w:id="1184129163">
      <w:bodyDiv w:val="1"/>
      <w:marLeft w:val="0"/>
      <w:marRight w:val="0"/>
      <w:marTop w:val="0"/>
      <w:marBottom w:val="0"/>
      <w:divBdr>
        <w:top w:val="none" w:sz="0" w:space="0" w:color="auto"/>
        <w:left w:val="none" w:sz="0" w:space="0" w:color="auto"/>
        <w:bottom w:val="none" w:sz="0" w:space="0" w:color="auto"/>
        <w:right w:val="none" w:sz="0" w:space="0" w:color="auto"/>
      </w:divBdr>
    </w:div>
    <w:div w:id="1196045863">
      <w:bodyDiv w:val="1"/>
      <w:marLeft w:val="0"/>
      <w:marRight w:val="0"/>
      <w:marTop w:val="0"/>
      <w:marBottom w:val="0"/>
      <w:divBdr>
        <w:top w:val="none" w:sz="0" w:space="0" w:color="auto"/>
        <w:left w:val="none" w:sz="0" w:space="0" w:color="auto"/>
        <w:bottom w:val="none" w:sz="0" w:space="0" w:color="auto"/>
        <w:right w:val="none" w:sz="0" w:space="0" w:color="auto"/>
      </w:divBdr>
    </w:div>
    <w:div w:id="1200775689">
      <w:bodyDiv w:val="1"/>
      <w:marLeft w:val="0"/>
      <w:marRight w:val="0"/>
      <w:marTop w:val="0"/>
      <w:marBottom w:val="0"/>
      <w:divBdr>
        <w:top w:val="none" w:sz="0" w:space="0" w:color="auto"/>
        <w:left w:val="none" w:sz="0" w:space="0" w:color="auto"/>
        <w:bottom w:val="none" w:sz="0" w:space="0" w:color="auto"/>
        <w:right w:val="none" w:sz="0" w:space="0" w:color="auto"/>
      </w:divBdr>
    </w:div>
    <w:div w:id="1200971277">
      <w:bodyDiv w:val="1"/>
      <w:marLeft w:val="0"/>
      <w:marRight w:val="0"/>
      <w:marTop w:val="0"/>
      <w:marBottom w:val="0"/>
      <w:divBdr>
        <w:top w:val="none" w:sz="0" w:space="0" w:color="auto"/>
        <w:left w:val="none" w:sz="0" w:space="0" w:color="auto"/>
        <w:bottom w:val="none" w:sz="0" w:space="0" w:color="auto"/>
        <w:right w:val="none" w:sz="0" w:space="0" w:color="auto"/>
      </w:divBdr>
    </w:div>
    <w:div w:id="1202548495">
      <w:bodyDiv w:val="1"/>
      <w:marLeft w:val="0"/>
      <w:marRight w:val="0"/>
      <w:marTop w:val="0"/>
      <w:marBottom w:val="0"/>
      <w:divBdr>
        <w:top w:val="none" w:sz="0" w:space="0" w:color="auto"/>
        <w:left w:val="none" w:sz="0" w:space="0" w:color="auto"/>
        <w:bottom w:val="none" w:sz="0" w:space="0" w:color="auto"/>
        <w:right w:val="none" w:sz="0" w:space="0" w:color="auto"/>
      </w:divBdr>
    </w:div>
    <w:div w:id="1202671048">
      <w:bodyDiv w:val="1"/>
      <w:marLeft w:val="0"/>
      <w:marRight w:val="0"/>
      <w:marTop w:val="0"/>
      <w:marBottom w:val="0"/>
      <w:divBdr>
        <w:top w:val="none" w:sz="0" w:space="0" w:color="auto"/>
        <w:left w:val="none" w:sz="0" w:space="0" w:color="auto"/>
        <w:bottom w:val="none" w:sz="0" w:space="0" w:color="auto"/>
        <w:right w:val="none" w:sz="0" w:space="0" w:color="auto"/>
      </w:divBdr>
    </w:div>
    <w:div w:id="1203134412">
      <w:bodyDiv w:val="1"/>
      <w:marLeft w:val="0"/>
      <w:marRight w:val="0"/>
      <w:marTop w:val="0"/>
      <w:marBottom w:val="0"/>
      <w:divBdr>
        <w:top w:val="none" w:sz="0" w:space="0" w:color="auto"/>
        <w:left w:val="none" w:sz="0" w:space="0" w:color="auto"/>
        <w:bottom w:val="none" w:sz="0" w:space="0" w:color="auto"/>
        <w:right w:val="none" w:sz="0" w:space="0" w:color="auto"/>
      </w:divBdr>
    </w:div>
    <w:div w:id="1206142026">
      <w:bodyDiv w:val="1"/>
      <w:marLeft w:val="0"/>
      <w:marRight w:val="0"/>
      <w:marTop w:val="0"/>
      <w:marBottom w:val="0"/>
      <w:divBdr>
        <w:top w:val="none" w:sz="0" w:space="0" w:color="auto"/>
        <w:left w:val="none" w:sz="0" w:space="0" w:color="auto"/>
        <w:bottom w:val="none" w:sz="0" w:space="0" w:color="auto"/>
        <w:right w:val="none" w:sz="0" w:space="0" w:color="auto"/>
      </w:divBdr>
    </w:div>
    <w:div w:id="1208953205">
      <w:bodyDiv w:val="1"/>
      <w:marLeft w:val="0"/>
      <w:marRight w:val="0"/>
      <w:marTop w:val="0"/>
      <w:marBottom w:val="0"/>
      <w:divBdr>
        <w:top w:val="none" w:sz="0" w:space="0" w:color="auto"/>
        <w:left w:val="none" w:sz="0" w:space="0" w:color="auto"/>
        <w:bottom w:val="none" w:sz="0" w:space="0" w:color="auto"/>
        <w:right w:val="none" w:sz="0" w:space="0" w:color="auto"/>
      </w:divBdr>
    </w:div>
    <w:div w:id="1209219124">
      <w:bodyDiv w:val="1"/>
      <w:marLeft w:val="0"/>
      <w:marRight w:val="0"/>
      <w:marTop w:val="0"/>
      <w:marBottom w:val="0"/>
      <w:divBdr>
        <w:top w:val="none" w:sz="0" w:space="0" w:color="auto"/>
        <w:left w:val="none" w:sz="0" w:space="0" w:color="auto"/>
        <w:bottom w:val="none" w:sz="0" w:space="0" w:color="auto"/>
        <w:right w:val="none" w:sz="0" w:space="0" w:color="auto"/>
      </w:divBdr>
    </w:div>
    <w:div w:id="1209295986">
      <w:bodyDiv w:val="1"/>
      <w:marLeft w:val="0"/>
      <w:marRight w:val="0"/>
      <w:marTop w:val="0"/>
      <w:marBottom w:val="0"/>
      <w:divBdr>
        <w:top w:val="none" w:sz="0" w:space="0" w:color="auto"/>
        <w:left w:val="none" w:sz="0" w:space="0" w:color="auto"/>
        <w:bottom w:val="none" w:sz="0" w:space="0" w:color="auto"/>
        <w:right w:val="none" w:sz="0" w:space="0" w:color="auto"/>
      </w:divBdr>
    </w:div>
    <w:div w:id="1213955351">
      <w:bodyDiv w:val="1"/>
      <w:marLeft w:val="0"/>
      <w:marRight w:val="0"/>
      <w:marTop w:val="0"/>
      <w:marBottom w:val="0"/>
      <w:divBdr>
        <w:top w:val="none" w:sz="0" w:space="0" w:color="auto"/>
        <w:left w:val="none" w:sz="0" w:space="0" w:color="auto"/>
        <w:bottom w:val="none" w:sz="0" w:space="0" w:color="auto"/>
        <w:right w:val="none" w:sz="0" w:space="0" w:color="auto"/>
      </w:divBdr>
    </w:div>
    <w:div w:id="1218976376">
      <w:bodyDiv w:val="1"/>
      <w:marLeft w:val="0"/>
      <w:marRight w:val="0"/>
      <w:marTop w:val="0"/>
      <w:marBottom w:val="0"/>
      <w:divBdr>
        <w:top w:val="none" w:sz="0" w:space="0" w:color="auto"/>
        <w:left w:val="none" w:sz="0" w:space="0" w:color="auto"/>
        <w:bottom w:val="none" w:sz="0" w:space="0" w:color="auto"/>
        <w:right w:val="none" w:sz="0" w:space="0" w:color="auto"/>
      </w:divBdr>
    </w:div>
    <w:div w:id="1219587193">
      <w:bodyDiv w:val="1"/>
      <w:marLeft w:val="0"/>
      <w:marRight w:val="0"/>
      <w:marTop w:val="0"/>
      <w:marBottom w:val="0"/>
      <w:divBdr>
        <w:top w:val="none" w:sz="0" w:space="0" w:color="auto"/>
        <w:left w:val="none" w:sz="0" w:space="0" w:color="auto"/>
        <w:bottom w:val="none" w:sz="0" w:space="0" w:color="auto"/>
        <w:right w:val="none" w:sz="0" w:space="0" w:color="auto"/>
      </w:divBdr>
    </w:div>
    <w:div w:id="1225139832">
      <w:bodyDiv w:val="1"/>
      <w:marLeft w:val="0"/>
      <w:marRight w:val="0"/>
      <w:marTop w:val="0"/>
      <w:marBottom w:val="0"/>
      <w:divBdr>
        <w:top w:val="none" w:sz="0" w:space="0" w:color="auto"/>
        <w:left w:val="none" w:sz="0" w:space="0" w:color="auto"/>
        <w:bottom w:val="none" w:sz="0" w:space="0" w:color="auto"/>
        <w:right w:val="none" w:sz="0" w:space="0" w:color="auto"/>
      </w:divBdr>
    </w:div>
    <w:div w:id="1229922591">
      <w:bodyDiv w:val="1"/>
      <w:marLeft w:val="0"/>
      <w:marRight w:val="0"/>
      <w:marTop w:val="0"/>
      <w:marBottom w:val="0"/>
      <w:divBdr>
        <w:top w:val="none" w:sz="0" w:space="0" w:color="auto"/>
        <w:left w:val="none" w:sz="0" w:space="0" w:color="auto"/>
        <w:bottom w:val="none" w:sz="0" w:space="0" w:color="auto"/>
        <w:right w:val="none" w:sz="0" w:space="0" w:color="auto"/>
      </w:divBdr>
    </w:div>
    <w:div w:id="1243376178">
      <w:bodyDiv w:val="1"/>
      <w:marLeft w:val="0"/>
      <w:marRight w:val="0"/>
      <w:marTop w:val="0"/>
      <w:marBottom w:val="0"/>
      <w:divBdr>
        <w:top w:val="none" w:sz="0" w:space="0" w:color="auto"/>
        <w:left w:val="none" w:sz="0" w:space="0" w:color="auto"/>
        <w:bottom w:val="none" w:sz="0" w:space="0" w:color="auto"/>
        <w:right w:val="none" w:sz="0" w:space="0" w:color="auto"/>
      </w:divBdr>
    </w:div>
    <w:div w:id="1246188727">
      <w:bodyDiv w:val="1"/>
      <w:marLeft w:val="0"/>
      <w:marRight w:val="0"/>
      <w:marTop w:val="0"/>
      <w:marBottom w:val="0"/>
      <w:divBdr>
        <w:top w:val="none" w:sz="0" w:space="0" w:color="auto"/>
        <w:left w:val="none" w:sz="0" w:space="0" w:color="auto"/>
        <w:bottom w:val="none" w:sz="0" w:space="0" w:color="auto"/>
        <w:right w:val="none" w:sz="0" w:space="0" w:color="auto"/>
      </w:divBdr>
    </w:div>
    <w:div w:id="1263104029">
      <w:bodyDiv w:val="1"/>
      <w:marLeft w:val="0"/>
      <w:marRight w:val="0"/>
      <w:marTop w:val="0"/>
      <w:marBottom w:val="0"/>
      <w:divBdr>
        <w:top w:val="none" w:sz="0" w:space="0" w:color="auto"/>
        <w:left w:val="none" w:sz="0" w:space="0" w:color="auto"/>
        <w:bottom w:val="none" w:sz="0" w:space="0" w:color="auto"/>
        <w:right w:val="none" w:sz="0" w:space="0" w:color="auto"/>
      </w:divBdr>
    </w:div>
    <w:div w:id="1266498582">
      <w:bodyDiv w:val="1"/>
      <w:marLeft w:val="0"/>
      <w:marRight w:val="0"/>
      <w:marTop w:val="0"/>
      <w:marBottom w:val="0"/>
      <w:divBdr>
        <w:top w:val="none" w:sz="0" w:space="0" w:color="auto"/>
        <w:left w:val="none" w:sz="0" w:space="0" w:color="auto"/>
        <w:bottom w:val="none" w:sz="0" w:space="0" w:color="auto"/>
        <w:right w:val="none" w:sz="0" w:space="0" w:color="auto"/>
      </w:divBdr>
    </w:div>
    <w:div w:id="1267730227">
      <w:bodyDiv w:val="1"/>
      <w:marLeft w:val="0"/>
      <w:marRight w:val="0"/>
      <w:marTop w:val="0"/>
      <w:marBottom w:val="0"/>
      <w:divBdr>
        <w:top w:val="none" w:sz="0" w:space="0" w:color="auto"/>
        <w:left w:val="none" w:sz="0" w:space="0" w:color="auto"/>
        <w:bottom w:val="none" w:sz="0" w:space="0" w:color="auto"/>
        <w:right w:val="none" w:sz="0" w:space="0" w:color="auto"/>
      </w:divBdr>
    </w:div>
    <w:div w:id="1269463214">
      <w:bodyDiv w:val="1"/>
      <w:marLeft w:val="0"/>
      <w:marRight w:val="0"/>
      <w:marTop w:val="0"/>
      <w:marBottom w:val="0"/>
      <w:divBdr>
        <w:top w:val="none" w:sz="0" w:space="0" w:color="auto"/>
        <w:left w:val="none" w:sz="0" w:space="0" w:color="auto"/>
        <w:bottom w:val="none" w:sz="0" w:space="0" w:color="auto"/>
        <w:right w:val="none" w:sz="0" w:space="0" w:color="auto"/>
      </w:divBdr>
    </w:div>
    <w:div w:id="1273513035">
      <w:bodyDiv w:val="1"/>
      <w:marLeft w:val="0"/>
      <w:marRight w:val="0"/>
      <w:marTop w:val="0"/>
      <w:marBottom w:val="0"/>
      <w:divBdr>
        <w:top w:val="none" w:sz="0" w:space="0" w:color="auto"/>
        <w:left w:val="none" w:sz="0" w:space="0" w:color="auto"/>
        <w:bottom w:val="none" w:sz="0" w:space="0" w:color="auto"/>
        <w:right w:val="none" w:sz="0" w:space="0" w:color="auto"/>
      </w:divBdr>
    </w:div>
    <w:div w:id="1276061353">
      <w:bodyDiv w:val="1"/>
      <w:marLeft w:val="0"/>
      <w:marRight w:val="0"/>
      <w:marTop w:val="0"/>
      <w:marBottom w:val="0"/>
      <w:divBdr>
        <w:top w:val="none" w:sz="0" w:space="0" w:color="auto"/>
        <w:left w:val="none" w:sz="0" w:space="0" w:color="auto"/>
        <w:bottom w:val="none" w:sz="0" w:space="0" w:color="auto"/>
        <w:right w:val="none" w:sz="0" w:space="0" w:color="auto"/>
      </w:divBdr>
    </w:div>
    <w:div w:id="1277254843">
      <w:bodyDiv w:val="1"/>
      <w:marLeft w:val="0"/>
      <w:marRight w:val="0"/>
      <w:marTop w:val="0"/>
      <w:marBottom w:val="0"/>
      <w:divBdr>
        <w:top w:val="none" w:sz="0" w:space="0" w:color="auto"/>
        <w:left w:val="none" w:sz="0" w:space="0" w:color="auto"/>
        <w:bottom w:val="none" w:sz="0" w:space="0" w:color="auto"/>
        <w:right w:val="none" w:sz="0" w:space="0" w:color="auto"/>
      </w:divBdr>
    </w:div>
    <w:div w:id="1277903388">
      <w:bodyDiv w:val="1"/>
      <w:marLeft w:val="0"/>
      <w:marRight w:val="0"/>
      <w:marTop w:val="0"/>
      <w:marBottom w:val="0"/>
      <w:divBdr>
        <w:top w:val="none" w:sz="0" w:space="0" w:color="auto"/>
        <w:left w:val="none" w:sz="0" w:space="0" w:color="auto"/>
        <w:bottom w:val="none" w:sz="0" w:space="0" w:color="auto"/>
        <w:right w:val="none" w:sz="0" w:space="0" w:color="auto"/>
      </w:divBdr>
    </w:div>
    <w:div w:id="1282112567">
      <w:bodyDiv w:val="1"/>
      <w:marLeft w:val="0"/>
      <w:marRight w:val="0"/>
      <w:marTop w:val="0"/>
      <w:marBottom w:val="0"/>
      <w:divBdr>
        <w:top w:val="none" w:sz="0" w:space="0" w:color="auto"/>
        <w:left w:val="none" w:sz="0" w:space="0" w:color="auto"/>
        <w:bottom w:val="none" w:sz="0" w:space="0" w:color="auto"/>
        <w:right w:val="none" w:sz="0" w:space="0" w:color="auto"/>
      </w:divBdr>
    </w:div>
    <w:div w:id="1285428647">
      <w:bodyDiv w:val="1"/>
      <w:marLeft w:val="0"/>
      <w:marRight w:val="0"/>
      <w:marTop w:val="0"/>
      <w:marBottom w:val="0"/>
      <w:divBdr>
        <w:top w:val="none" w:sz="0" w:space="0" w:color="auto"/>
        <w:left w:val="none" w:sz="0" w:space="0" w:color="auto"/>
        <w:bottom w:val="none" w:sz="0" w:space="0" w:color="auto"/>
        <w:right w:val="none" w:sz="0" w:space="0" w:color="auto"/>
      </w:divBdr>
    </w:div>
    <w:div w:id="1285697276">
      <w:bodyDiv w:val="1"/>
      <w:marLeft w:val="0"/>
      <w:marRight w:val="0"/>
      <w:marTop w:val="0"/>
      <w:marBottom w:val="0"/>
      <w:divBdr>
        <w:top w:val="none" w:sz="0" w:space="0" w:color="auto"/>
        <w:left w:val="none" w:sz="0" w:space="0" w:color="auto"/>
        <w:bottom w:val="none" w:sz="0" w:space="0" w:color="auto"/>
        <w:right w:val="none" w:sz="0" w:space="0" w:color="auto"/>
      </w:divBdr>
    </w:div>
    <w:div w:id="1289970698">
      <w:bodyDiv w:val="1"/>
      <w:marLeft w:val="0"/>
      <w:marRight w:val="0"/>
      <w:marTop w:val="0"/>
      <w:marBottom w:val="0"/>
      <w:divBdr>
        <w:top w:val="none" w:sz="0" w:space="0" w:color="auto"/>
        <w:left w:val="none" w:sz="0" w:space="0" w:color="auto"/>
        <w:bottom w:val="none" w:sz="0" w:space="0" w:color="auto"/>
        <w:right w:val="none" w:sz="0" w:space="0" w:color="auto"/>
      </w:divBdr>
    </w:div>
    <w:div w:id="1296906940">
      <w:bodyDiv w:val="1"/>
      <w:marLeft w:val="0"/>
      <w:marRight w:val="0"/>
      <w:marTop w:val="0"/>
      <w:marBottom w:val="0"/>
      <w:divBdr>
        <w:top w:val="none" w:sz="0" w:space="0" w:color="auto"/>
        <w:left w:val="none" w:sz="0" w:space="0" w:color="auto"/>
        <w:bottom w:val="none" w:sz="0" w:space="0" w:color="auto"/>
        <w:right w:val="none" w:sz="0" w:space="0" w:color="auto"/>
      </w:divBdr>
    </w:div>
    <w:div w:id="1298098804">
      <w:bodyDiv w:val="1"/>
      <w:marLeft w:val="0"/>
      <w:marRight w:val="0"/>
      <w:marTop w:val="0"/>
      <w:marBottom w:val="0"/>
      <w:divBdr>
        <w:top w:val="none" w:sz="0" w:space="0" w:color="auto"/>
        <w:left w:val="none" w:sz="0" w:space="0" w:color="auto"/>
        <w:bottom w:val="none" w:sz="0" w:space="0" w:color="auto"/>
        <w:right w:val="none" w:sz="0" w:space="0" w:color="auto"/>
      </w:divBdr>
    </w:div>
    <w:div w:id="1304963784">
      <w:bodyDiv w:val="1"/>
      <w:marLeft w:val="0"/>
      <w:marRight w:val="0"/>
      <w:marTop w:val="0"/>
      <w:marBottom w:val="0"/>
      <w:divBdr>
        <w:top w:val="none" w:sz="0" w:space="0" w:color="auto"/>
        <w:left w:val="none" w:sz="0" w:space="0" w:color="auto"/>
        <w:bottom w:val="none" w:sz="0" w:space="0" w:color="auto"/>
        <w:right w:val="none" w:sz="0" w:space="0" w:color="auto"/>
      </w:divBdr>
    </w:div>
    <w:div w:id="1307585646">
      <w:bodyDiv w:val="1"/>
      <w:marLeft w:val="0"/>
      <w:marRight w:val="0"/>
      <w:marTop w:val="0"/>
      <w:marBottom w:val="0"/>
      <w:divBdr>
        <w:top w:val="none" w:sz="0" w:space="0" w:color="auto"/>
        <w:left w:val="none" w:sz="0" w:space="0" w:color="auto"/>
        <w:bottom w:val="none" w:sz="0" w:space="0" w:color="auto"/>
        <w:right w:val="none" w:sz="0" w:space="0" w:color="auto"/>
      </w:divBdr>
    </w:div>
    <w:div w:id="1309703947">
      <w:bodyDiv w:val="1"/>
      <w:marLeft w:val="0"/>
      <w:marRight w:val="0"/>
      <w:marTop w:val="0"/>
      <w:marBottom w:val="0"/>
      <w:divBdr>
        <w:top w:val="none" w:sz="0" w:space="0" w:color="auto"/>
        <w:left w:val="none" w:sz="0" w:space="0" w:color="auto"/>
        <w:bottom w:val="none" w:sz="0" w:space="0" w:color="auto"/>
        <w:right w:val="none" w:sz="0" w:space="0" w:color="auto"/>
      </w:divBdr>
    </w:div>
    <w:div w:id="1310403710">
      <w:bodyDiv w:val="1"/>
      <w:marLeft w:val="0"/>
      <w:marRight w:val="0"/>
      <w:marTop w:val="0"/>
      <w:marBottom w:val="0"/>
      <w:divBdr>
        <w:top w:val="none" w:sz="0" w:space="0" w:color="auto"/>
        <w:left w:val="none" w:sz="0" w:space="0" w:color="auto"/>
        <w:bottom w:val="none" w:sz="0" w:space="0" w:color="auto"/>
        <w:right w:val="none" w:sz="0" w:space="0" w:color="auto"/>
      </w:divBdr>
    </w:div>
    <w:div w:id="1315835541">
      <w:bodyDiv w:val="1"/>
      <w:marLeft w:val="0"/>
      <w:marRight w:val="0"/>
      <w:marTop w:val="0"/>
      <w:marBottom w:val="0"/>
      <w:divBdr>
        <w:top w:val="none" w:sz="0" w:space="0" w:color="auto"/>
        <w:left w:val="none" w:sz="0" w:space="0" w:color="auto"/>
        <w:bottom w:val="none" w:sz="0" w:space="0" w:color="auto"/>
        <w:right w:val="none" w:sz="0" w:space="0" w:color="auto"/>
      </w:divBdr>
    </w:div>
    <w:div w:id="1317539101">
      <w:bodyDiv w:val="1"/>
      <w:marLeft w:val="0"/>
      <w:marRight w:val="0"/>
      <w:marTop w:val="0"/>
      <w:marBottom w:val="0"/>
      <w:divBdr>
        <w:top w:val="none" w:sz="0" w:space="0" w:color="auto"/>
        <w:left w:val="none" w:sz="0" w:space="0" w:color="auto"/>
        <w:bottom w:val="none" w:sz="0" w:space="0" w:color="auto"/>
        <w:right w:val="none" w:sz="0" w:space="0" w:color="auto"/>
      </w:divBdr>
    </w:div>
    <w:div w:id="1319766516">
      <w:bodyDiv w:val="1"/>
      <w:marLeft w:val="0"/>
      <w:marRight w:val="0"/>
      <w:marTop w:val="0"/>
      <w:marBottom w:val="0"/>
      <w:divBdr>
        <w:top w:val="none" w:sz="0" w:space="0" w:color="auto"/>
        <w:left w:val="none" w:sz="0" w:space="0" w:color="auto"/>
        <w:bottom w:val="none" w:sz="0" w:space="0" w:color="auto"/>
        <w:right w:val="none" w:sz="0" w:space="0" w:color="auto"/>
      </w:divBdr>
    </w:div>
    <w:div w:id="1321155629">
      <w:bodyDiv w:val="1"/>
      <w:marLeft w:val="0"/>
      <w:marRight w:val="0"/>
      <w:marTop w:val="0"/>
      <w:marBottom w:val="0"/>
      <w:divBdr>
        <w:top w:val="none" w:sz="0" w:space="0" w:color="auto"/>
        <w:left w:val="none" w:sz="0" w:space="0" w:color="auto"/>
        <w:bottom w:val="none" w:sz="0" w:space="0" w:color="auto"/>
        <w:right w:val="none" w:sz="0" w:space="0" w:color="auto"/>
      </w:divBdr>
    </w:div>
    <w:div w:id="1323699055">
      <w:bodyDiv w:val="1"/>
      <w:marLeft w:val="0"/>
      <w:marRight w:val="0"/>
      <w:marTop w:val="0"/>
      <w:marBottom w:val="0"/>
      <w:divBdr>
        <w:top w:val="none" w:sz="0" w:space="0" w:color="auto"/>
        <w:left w:val="none" w:sz="0" w:space="0" w:color="auto"/>
        <w:bottom w:val="none" w:sz="0" w:space="0" w:color="auto"/>
        <w:right w:val="none" w:sz="0" w:space="0" w:color="auto"/>
      </w:divBdr>
    </w:div>
    <w:div w:id="1327903688">
      <w:bodyDiv w:val="1"/>
      <w:marLeft w:val="0"/>
      <w:marRight w:val="0"/>
      <w:marTop w:val="0"/>
      <w:marBottom w:val="0"/>
      <w:divBdr>
        <w:top w:val="none" w:sz="0" w:space="0" w:color="auto"/>
        <w:left w:val="none" w:sz="0" w:space="0" w:color="auto"/>
        <w:bottom w:val="none" w:sz="0" w:space="0" w:color="auto"/>
        <w:right w:val="none" w:sz="0" w:space="0" w:color="auto"/>
      </w:divBdr>
    </w:div>
    <w:div w:id="1335961749">
      <w:bodyDiv w:val="1"/>
      <w:marLeft w:val="0"/>
      <w:marRight w:val="0"/>
      <w:marTop w:val="0"/>
      <w:marBottom w:val="0"/>
      <w:divBdr>
        <w:top w:val="none" w:sz="0" w:space="0" w:color="auto"/>
        <w:left w:val="none" w:sz="0" w:space="0" w:color="auto"/>
        <w:bottom w:val="none" w:sz="0" w:space="0" w:color="auto"/>
        <w:right w:val="none" w:sz="0" w:space="0" w:color="auto"/>
      </w:divBdr>
    </w:div>
    <w:div w:id="1336957292">
      <w:bodyDiv w:val="1"/>
      <w:marLeft w:val="0"/>
      <w:marRight w:val="0"/>
      <w:marTop w:val="0"/>
      <w:marBottom w:val="0"/>
      <w:divBdr>
        <w:top w:val="none" w:sz="0" w:space="0" w:color="auto"/>
        <w:left w:val="none" w:sz="0" w:space="0" w:color="auto"/>
        <w:bottom w:val="none" w:sz="0" w:space="0" w:color="auto"/>
        <w:right w:val="none" w:sz="0" w:space="0" w:color="auto"/>
      </w:divBdr>
    </w:div>
    <w:div w:id="1350183630">
      <w:bodyDiv w:val="1"/>
      <w:marLeft w:val="0"/>
      <w:marRight w:val="0"/>
      <w:marTop w:val="0"/>
      <w:marBottom w:val="0"/>
      <w:divBdr>
        <w:top w:val="none" w:sz="0" w:space="0" w:color="auto"/>
        <w:left w:val="none" w:sz="0" w:space="0" w:color="auto"/>
        <w:bottom w:val="none" w:sz="0" w:space="0" w:color="auto"/>
        <w:right w:val="none" w:sz="0" w:space="0" w:color="auto"/>
      </w:divBdr>
    </w:div>
    <w:div w:id="1353216417">
      <w:bodyDiv w:val="1"/>
      <w:marLeft w:val="0"/>
      <w:marRight w:val="0"/>
      <w:marTop w:val="0"/>
      <w:marBottom w:val="0"/>
      <w:divBdr>
        <w:top w:val="none" w:sz="0" w:space="0" w:color="auto"/>
        <w:left w:val="none" w:sz="0" w:space="0" w:color="auto"/>
        <w:bottom w:val="none" w:sz="0" w:space="0" w:color="auto"/>
        <w:right w:val="none" w:sz="0" w:space="0" w:color="auto"/>
      </w:divBdr>
    </w:div>
    <w:div w:id="1357190943">
      <w:bodyDiv w:val="1"/>
      <w:marLeft w:val="0"/>
      <w:marRight w:val="0"/>
      <w:marTop w:val="0"/>
      <w:marBottom w:val="0"/>
      <w:divBdr>
        <w:top w:val="none" w:sz="0" w:space="0" w:color="auto"/>
        <w:left w:val="none" w:sz="0" w:space="0" w:color="auto"/>
        <w:bottom w:val="none" w:sz="0" w:space="0" w:color="auto"/>
        <w:right w:val="none" w:sz="0" w:space="0" w:color="auto"/>
      </w:divBdr>
    </w:div>
    <w:div w:id="1359700120">
      <w:bodyDiv w:val="1"/>
      <w:marLeft w:val="0"/>
      <w:marRight w:val="0"/>
      <w:marTop w:val="0"/>
      <w:marBottom w:val="0"/>
      <w:divBdr>
        <w:top w:val="none" w:sz="0" w:space="0" w:color="auto"/>
        <w:left w:val="none" w:sz="0" w:space="0" w:color="auto"/>
        <w:bottom w:val="none" w:sz="0" w:space="0" w:color="auto"/>
        <w:right w:val="none" w:sz="0" w:space="0" w:color="auto"/>
      </w:divBdr>
    </w:div>
    <w:div w:id="1377193880">
      <w:bodyDiv w:val="1"/>
      <w:marLeft w:val="0"/>
      <w:marRight w:val="0"/>
      <w:marTop w:val="0"/>
      <w:marBottom w:val="0"/>
      <w:divBdr>
        <w:top w:val="none" w:sz="0" w:space="0" w:color="auto"/>
        <w:left w:val="none" w:sz="0" w:space="0" w:color="auto"/>
        <w:bottom w:val="none" w:sz="0" w:space="0" w:color="auto"/>
        <w:right w:val="none" w:sz="0" w:space="0" w:color="auto"/>
      </w:divBdr>
    </w:div>
    <w:div w:id="1379471456">
      <w:bodyDiv w:val="1"/>
      <w:marLeft w:val="0"/>
      <w:marRight w:val="0"/>
      <w:marTop w:val="0"/>
      <w:marBottom w:val="0"/>
      <w:divBdr>
        <w:top w:val="none" w:sz="0" w:space="0" w:color="auto"/>
        <w:left w:val="none" w:sz="0" w:space="0" w:color="auto"/>
        <w:bottom w:val="none" w:sz="0" w:space="0" w:color="auto"/>
        <w:right w:val="none" w:sz="0" w:space="0" w:color="auto"/>
      </w:divBdr>
    </w:div>
    <w:div w:id="1385180315">
      <w:bodyDiv w:val="1"/>
      <w:marLeft w:val="0"/>
      <w:marRight w:val="0"/>
      <w:marTop w:val="0"/>
      <w:marBottom w:val="0"/>
      <w:divBdr>
        <w:top w:val="none" w:sz="0" w:space="0" w:color="auto"/>
        <w:left w:val="none" w:sz="0" w:space="0" w:color="auto"/>
        <w:bottom w:val="none" w:sz="0" w:space="0" w:color="auto"/>
        <w:right w:val="none" w:sz="0" w:space="0" w:color="auto"/>
      </w:divBdr>
    </w:div>
    <w:div w:id="1387139865">
      <w:bodyDiv w:val="1"/>
      <w:marLeft w:val="0"/>
      <w:marRight w:val="0"/>
      <w:marTop w:val="0"/>
      <w:marBottom w:val="0"/>
      <w:divBdr>
        <w:top w:val="none" w:sz="0" w:space="0" w:color="auto"/>
        <w:left w:val="none" w:sz="0" w:space="0" w:color="auto"/>
        <w:bottom w:val="none" w:sz="0" w:space="0" w:color="auto"/>
        <w:right w:val="none" w:sz="0" w:space="0" w:color="auto"/>
      </w:divBdr>
    </w:div>
    <w:div w:id="1387685896">
      <w:bodyDiv w:val="1"/>
      <w:marLeft w:val="0"/>
      <w:marRight w:val="0"/>
      <w:marTop w:val="0"/>
      <w:marBottom w:val="0"/>
      <w:divBdr>
        <w:top w:val="none" w:sz="0" w:space="0" w:color="auto"/>
        <w:left w:val="none" w:sz="0" w:space="0" w:color="auto"/>
        <w:bottom w:val="none" w:sz="0" w:space="0" w:color="auto"/>
        <w:right w:val="none" w:sz="0" w:space="0" w:color="auto"/>
      </w:divBdr>
    </w:div>
    <w:div w:id="1394501711">
      <w:bodyDiv w:val="1"/>
      <w:marLeft w:val="0"/>
      <w:marRight w:val="0"/>
      <w:marTop w:val="0"/>
      <w:marBottom w:val="0"/>
      <w:divBdr>
        <w:top w:val="none" w:sz="0" w:space="0" w:color="auto"/>
        <w:left w:val="none" w:sz="0" w:space="0" w:color="auto"/>
        <w:bottom w:val="none" w:sz="0" w:space="0" w:color="auto"/>
        <w:right w:val="none" w:sz="0" w:space="0" w:color="auto"/>
      </w:divBdr>
    </w:div>
    <w:div w:id="1394817739">
      <w:bodyDiv w:val="1"/>
      <w:marLeft w:val="0"/>
      <w:marRight w:val="0"/>
      <w:marTop w:val="0"/>
      <w:marBottom w:val="0"/>
      <w:divBdr>
        <w:top w:val="none" w:sz="0" w:space="0" w:color="auto"/>
        <w:left w:val="none" w:sz="0" w:space="0" w:color="auto"/>
        <w:bottom w:val="none" w:sz="0" w:space="0" w:color="auto"/>
        <w:right w:val="none" w:sz="0" w:space="0" w:color="auto"/>
      </w:divBdr>
    </w:div>
    <w:div w:id="1396010088">
      <w:bodyDiv w:val="1"/>
      <w:marLeft w:val="0"/>
      <w:marRight w:val="0"/>
      <w:marTop w:val="0"/>
      <w:marBottom w:val="0"/>
      <w:divBdr>
        <w:top w:val="none" w:sz="0" w:space="0" w:color="auto"/>
        <w:left w:val="none" w:sz="0" w:space="0" w:color="auto"/>
        <w:bottom w:val="none" w:sz="0" w:space="0" w:color="auto"/>
        <w:right w:val="none" w:sz="0" w:space="0" w:color="auto"/>
      </w:divBdr>
    </w:div>
    <w:div w:id="1396584436">
      <w:bodyDiv w:val="1"/>
      <w:marLeft w:val="0"/>
      <w:marRight w:val="0"/>
      <w:marTop w:val="0"/>
      <w:marBottom w:val="0"/>
      <w:divBdr>
        <w:top w:val="none" w:sz="0" w:space="0" w:color="auto"/>
        <w:left w:val="none" w:sz="0" w:space="0" w:color="auto"/>
        <w:bottom w:val="none" w:sz="0" w:space="0" w:color="auto"/>
        <w:right w:val="none" w:sz="0" w:space="0" w:color="auto"/>
      </w:divBdr>
    </w:div>
    <w:div w:id="1396929612">
      <w:bodyDiv w:val="1"/>
      <w:marLeft w:val="0"/>
      <w:marRight w:val="0"/>
      <w:marTop w:val="0"/>
      <w:marBottom w:val="0"/>
      <w:divBdr>
        <w:top w:val="none" w:sz="0" w:space="0" w:color="auto"/>
        <w:left w:val="none" w:sz="0" w:space="0" w:color="auto"/>
        <w:bottom w:val="none" w:sz="0" w:space="0" w:color="auto"/>
        <w:right w:val="none" w:sz="0" w:space="0" w:color="auto"/>
      </w:divBdr>
    </w:div>
    <w:div w:id="1407219797">
      <w:bodyDiv w:val="1"/>
      <w:marLeft w:val="0"/>
      <w:marRight w:val="0"/>
      <w:marTop w:val="0"/>
      <w:marBottom w:val="0"/>
      <w:divBdr>
        <w:top w:val="none" w:sz="0" w:space="0" w:color="auto"/>
        <w:left w:val="none" w:sz="0" w:space="0" w:color="auto"/>
        <w:bottom w:val="none" w:sz="0" w:space="0" w:color="auto"/>
        <w:right w:val="none" w:sz="0" w:space="0" w:color="auto"/>
      </w:divBdr>
    </w:div>
    <w:div w:id="1412972426">
      <w:bodyDiv w:val="1"/>
      <w:marLeft w:val="0"/>
      <w:marRight w:val="0"/>
      <w:marTop w:val="0"/>
      <w:marBottom w:val="0"/>
      <w:divBdr>
        <w:top w:val="none" w:sz="0" w:space="0" w:color="auto"/>
        <w:left w:val="none" w:sz="0" w:space="0" w:color="auto"/>
        <w:bottom w:val="none" w:sz="0" w:space="0" w:color="auto"/>
        <w:right w:val="none" w:sz="0" w:space="0" w:color="auto"/>
      </w:divBdr>
    </w:div>
    <w:div w:id="1413967359">
      <w:bodyDiv w:val="1"/>
      <w:marLeft w:val="0"/>
      <w:marRight w:val="0"/>
      <w:marTop w:val="0"/>
      <w:marBottom w:val="0"/>
      <w:divBdr>
        <w:top w:val="none" w:sz="0" w:space="0" w:color="auto"/>
        <w:left w:val="none" w:sz="0" w:space="0" w:color="auto"/>
        <w:bottom w:val="none" w:sz="0" w:space="0" w:color="auto"/>
        <w:right w:val="none" w:sz="0" w:space="0" w:color="auto"/>
      </w:divBdr>
    </w:div>
    <w:div w:id="1415130605">
      <w:bodyDiv w:val="1"/>
      <w:marLeft w:val="0"/>
      <w:marRight w:val="0"/>
      <w:marTop w:val="0"/>
      <w:marBottom w:val="0"/>
      <w:divBdr>
        <w:top w:val="none" w:sz="0" w:space="0" w:color="auto"/>
        <w:left w:val="none" w:sz="0" w:space="0" w:color="auto"/>
        <w:bottom w:val="none" w:sz="0" w:space="0" w:color="auto"/>
        <w:right w:val="none" w:sz="0" w:space="0" w:color="auto"/>
      </w:divBdr>
    </w:div>
    <w:div w:id="1420907106">
      <w:bodyDiv w:val="1"/>
      <w:marLeft w:val="0"/>
      <w:marRight w:val="0"/>
      <w:marTop w:val="0"/>
      <w:marBottom w:val="0"/>
      <w:divBdr>
        <w:top w:val="none" w:sz="0" w:space="0" w:color="auto"/>
        <w:left w:val="none" w:sz="0" w:space="0" w:color="auto"/>
        <w:bottom w:val="none" w:sz="0" w:space="0" w:color="auto"/>
        <w:right w:val="none" w:sz="0" w:space="0" w:color="auto"/>
      </w:divBdr>
    </w:div>
    <w:div w:id="1423986226">
      <w:bodyDiv w:val="1"/>
      <w:marLeft w:val="0"/>
      <w:marRight w:val="0"/>
      <w:marTop w:val="0"/>
      <w:marBottom w:val="0"/>
      <w:divBdr>
        <w:top w:val="none" w:sz="0" w:space="0" w:color="auto"/>
        <w:left w:val="none" w:sz="0" w:space="0" w:color="auto"/>
        <w:bottom w:val="none" w:sz="0" w:space="0" w:color="auto"/>
        <w:right w:val="none" w:sz="0" w:space="0" w:color="auto"/>
      </w:divBdr>
    </w:div>
    <w:div w:id="1425759097">
      <w:bodyDiv w:val="1"/>
      <w:marLeft w:val="0"/>
      <w:marRight w:val="0"/>
      <w:marTop w:val="0"/>
      <w:marBottom w:val="0"/>
      <w:divBdr>
        <w:top w:val="none" w:sz="0" w:space="0" w:color="auto"/>
        <w:left w:val="none" w:sz="0" w:space="0" w:color="auto"/>
        <w:bottom w:val="none" w:sz="0" w:space="0" w:color="auto"/>
        <w:right w:val="none" w:sz="0" w:space="0" w:color="auto"/>
      </w:divBdr>
    </w:div>
    <w:div w:id="1427727610">
      <w:bodyDiv w:val="1"/>
      <w:marLeft w:val="0"/>
      <w:marRight w:val="0"/>
      <w:marTop w:val="0"/>
      <w:marBottom w:val="0"/>
      <w:divBdr>
        <w:top w:val="none" w:sz="0" w:space="0" w:color="auto"/>
        <w:left w:val="none" w:sz="0" w:space="0" w:color="auto"/>
        <w:bottom w:val="none" w:sz="0" w:space="0" w:color="auto"/>
        <w:right w:val="none" w:sz="0" w:space="0" w:color="auto"/>
      </w:divBdr>
    </w:div>
    <w:div w:id="1432042315">
      <w:bodyDiv w:val="1"/>
      <w:marLeft w:val="0"/>
      <w:marRight w:val="0"/>
      <w:marTop w:val="0"/>
      <w:marBottom w:val="0"/>
      <w:divBdr>
        <w:top w:val="none" w:sz="0" w:space="0" w:color="auto"/>
        <w:left w:val="none" w:sz="0" w:space="0" w:color="auto"/>
        <w:bottom w:val="none" w:sz="0" w:space="0" w:color="auto"/>
        <w:right w:val="none" w:sz="0" w:space="0" w:color="auto"/>
      </w:divBdr>
    </w:div>
    <w:div w:id="1435711001">
      <w:bodyDiv w:val="1"/>
      <w:marLeft w:val="0"/>
      <w:marRight w:val="0"/>
      <w:marTop w:val="0"/>
      <w:marBottom w:val="0"/>
      <w:divBdr>
        <w:top w:val="none" w:sz="0" w:space="0" w:color="auto"/>
        <w:left w:val="none" w:sz="0" w:space="0" w:color="auto"/>
        <w:bottom w:val="none" w:sz="0" w:space="0" w:color="auto"/>
        <w:right w:val="none" w:sz="0" w:space="0" w:color="auto"/>
      </w:divBdr>
    </w:div>
    <w:div w:id="1437099343">
      <w:bodyDiv w:val="1"/>
      <w:marLeft w:val="0"/>
      <w:marRight w:val="0"/>
      <w:marTop w:val="0"/>
      <w:marBottom w:val="0"/>
      <w:divBdr>
        <w:top w:val="none" w:sz="0" w:space="0" w:color="auto"/>
        <w:left w:val="none" w:sz="0" w:space="0" w:color="auto"/>
        <w:bottom w:val="none" w:sz="0" w:space="0" w:color="auto"/>
        <w:right w:val="none" w:sz="0" w:space="0" w:color="auto"/>
      </w:divBdr>
    </w:div>
    <w:div w:id="1438064030">
      <w:bodyDiv w:val="1"/>
      <w:marLeft w:val="0"/>
      <w:marRight w:val="0"/>
      <w:marTop w:val="0"/>
      <w:marBottom w:val="0"/>
      <w:divBdr>
        <w:top w:val="none" w:sz="0" w:space="0" w:color="auto"/>
        <w:left w:val="none" w:sz="0" w:space="0" w:color="auto"/>
        <w:bottom w:val="none" w:sz="0" w:space="0" w:color="auto"/>
        <w:right w:val="none" w:sz="0" w:space="0" w:color="auto"/>
      </w:divBdr>
    </w:div>
    <w:div w:id="1443109272">
      <w:bodyDiv w:val="1"/>
      <w:marLeft w:val="0"/>
      <w:marRight w:val="0"/>
      <w:marTop w:val="0"/>
      <w:marBottom w:val="0"/>
      <w:divBdr>
        <w:top w:val="none" w:sz="0" w:space="0" w:color="auto"/>
        <w:left w:val="none" w:sz="0" w:space="0" w:color="auto"/>
        <w:bottom w:val="none" w:sz="0" w:space="0" w:color="auto"/>
        <w:right w:val="none" w:sz="0" w:space="0" w:color="auto"/>
      </w:divBdr>
    </w:div>
    <w:div w:id="1446079387">
      <w:bodyDiv w:val="1"/>
      <w:marLeft w:val="0"/>
      <w:marRight w:val="0"/>
      <w:marTop w:val="0"/>
      <w:marBottom w:val="0"/>
      <w:divBdr>
        <w:top w:val="none" w:sz="0" w:space="0" w:color="auto"/>
        <w:left w:val="none" w:sz="0" w:space="0" w:color="auto"/>
        <w:bottom w:val="none" w:sz="0" w:space="0" w:color="auto"/>
        <w:right w:val="none" w:sz="0" w:space="0" w:color="auto"/>
      </w:divBdr>
    </w:div>
    <w:div w:id="1448348323">
      <w:bodyDiv w:val="1"/>
      <w:marLeft w:val="0"/>
      <w:marRight w:val="0"/>
      <w:marTop w:val="0"/>
      <w:marBottom w:val="0"/>
      <w:divBdr>
        <w:top w:val="none" w:sz="0" w:space="0" w:color="auto"/>
        <w:left w:val="none" w:sz="0" w:space="0" w:color="auto"/>
        <w:bottom w:val="none" w:sz="0" w:space="0" w:color="auto"/>
        <w:right w:val="none" w:sz="0" w:space="0" w:color="auto"/>
      </w:divBdr>
    </w:div>
    <w:div w:id="1449349611">
      <w:bodyDiv w:val="1"/>
      <w:marLeft w:val="0"/>
      <w:marRight w:val="0"/>
      <w:marTop w:val="0"/>
      <w:marBottom w:val="0"/>
      <w:divBdr>
        <w:top w:val="none" w:sz="0" w:space="0" w:color="auto"/>
        <w:left w:val="none" w:sz="0" w:space="0" w:color="auto"/>
        <w:bottom w:val="none" w:sz="0" w:space="0" w:color="auto"/>
        <w:right w:val="none" w:sz="0" w:space="0" w:color="auto"/>
      </w:divBdr>
    </w:div>
    <w:div w:id="1453935824">
      <w:bodyDiv w:val="1"/>
      <w:marLeft w:val="0"/>
      <w:marRight w:val="0"/>
      <w:marTop w:val="0"/>
      <w:marBottom w:val="0"/>
      <w:divBdr>
        <w:top w:val="none" w:sz="0" w:space="0" w:color="auto"/>
        <w:left w:val="none" w:sz="0" w:space="0" w:color="auto"/>
        <w:bottom w:val="none" w:sz="0" w:space="0" w:color="auto"/>
        <w:right w:val="none" w:sz="0" w:space="0" w:color="auto"/>
      </w:divBdr>
    </w:div>
    <w:div w:id="1459951014">
      <w:bodyDiv w:val="1"/>
      <w:marLeft w:val="0"/>
      <w:marRight w:val="0"/>
      <w:marTop w:val="0"/>
      <w:marBottom w:val="0"/>
      <w:divBdr>
        <w:top w:val="none" w:sz="0" w:space="0" w:color="auto"/>
        <w:left w:val="none" w:sz="0" w:space="0" w:color="auto"/>
        <w:bottom w:val="none" w:sz="0" w:space="0" w:color="auto"/>
        <w:right w:val="none" w:sz="0" w:space="0" w:color="auto"/>
      </w:divBdr>
    </w:div>
    <w:div w:id="1461411752">
      <w:bodyDiv w:val="1"/>
      <w:marLeft w:val="0"/>
      <w:marRight w:val="0"/>
      <w:marTop w:val="0"/>
      <w:marBottom w:val="0"/>
      <w:divBdr>
        <w:top w:val="none" w:sz="0" w:space="0" w:color="auto"/>
        <w:left w:val="none" w:sz="0" w:space="0" w:color="auto"/>
        <w:bottom w:val="none" w:sz="0" w:space="0" w:color="auto"/>
        <w:right w:val="none" w:sz="0" w:space="0" w:color="auto"/>
      </w:divBdr>
    </w:div>
    <w:div w:id="1462924413">
      <w:bodyDiv w:val="1"/>
      <w:marLeft w:val="0"/>
      <w:marRight w:val="0"/>
      <w:marTop w:val="0"/>
      <w:marBottom w:val="0"/>
      <w:divBdr>
        <w:top w:val="none" w:sz="0" w:space="0" w:color="auto"/>
        <w:left w:val="none" w:sz="0" w:space="0" w:color="auto"/>
        <w:bottom w:val="none" w:sz="0" w:space="0" w:color="auto"/>
        <w:right w:val="none" w:sz="0" w:space="0" w:color="auto"/>
      </w:divBdr>
    </w:div>
    <w:div w:id="1481384194">
      <w:bodyDiv w:val="1"/>
      <w:marLeft w:val="0"/>
      <w:marRight w:val="0"/>
      <w:marTop w:val="0"/>
      <w:marBottom w:val="0"/>
      <w:divBdr>
        <w:top w:val="none" w:sz="0" w:space="0" w:color="auto"/>
        <w:left w:val="none" w:sz="0" w:space="0" w:color="auto"/>
        <w:bottom w:val="none" w:sz="0" w:space="0" w:color="auto"/>
        <w:right w:val="none" w:sz="0" w:space="0" w:color="auto"/>
      </w:divBdr>
    </w:div>
    <w:div w:id="1485273346">
      <w:bodyDiv w:val="1"/>
      <w:marLeft w:val="0"/>
      <w:marRight w:val="0"/>
      <w:marTop w:val="0"/>
      <w:marBottom w:val="0"/>
      <w:divBdr>
        <w:top w:val="none" w:sz="0" w:space="0" w:color="auto"/>
        <w:left w:val="none" w:sz="0" w:space="0" w:color="auto"/>
        <w:bottom w:val="none" w:sz="0" w:space="0" w:color="auto"/>
        <w:right w:val="none" w:sz="0" w:space="0" w:color="auto"/>
      </w:divBdr>
    </w:div>
    <w:div w:id="1486162048">
      <w:bodyDiv w:val="1"/>
      <w:marLeft w:val="0"/>
      <w:marRight w:val="0"/>
      <w:marTop w:val="0"/>
      <w:marBottom w:val="0"/>
      <w:divBdr>
        <w:top w:val="none" w:sz="0" w:space="0" w:color="auto"/>
        <w:left w:val="none" w:sz="0" w:space="0" w:color="auto"/>
        <w:bottom w:val="none" w:sz="0" w:space="0" w:color="auto"/>
        <w:right w:val="none" w:sz="0" w:space="0" w:color="auto"/>
      </w:divBdr>
    </w:div>
    <w:div w:id="1486239536">
      <w:bodyDiv w:val="1"/>
      <w:marLeft w:val="0"/>
      <w:marRight w:val="0"/>
      <w:marTop w:val="0"/>
      <w:marBottom w:val="0"/>
      <w:divBdr>
        <w:top w:val="none" w:sz="0" w:space="0" w:color="auto"/>
        <w:left w:val="none" w:sz="0" w:space="0" w:color="auto"/>
        <w:bottom w:val="none" w:sz="0" w:space="0" w:color="auto"/>
        <w:right w:val="none" w:sz="0" w:space="0" w:color="auto"/>
      </w:divBdr>
    </w:div>
    <w:div w:id="1486360867">
      <w:bodyDiv w:val="1"/>
      <w:marLeft w:val="0"/>
      <w:marRight w:val="0"/>
      <w:marTop w:val="0"/>
      <w:marBottom w:val="0"/>
      <w:divBdr>
        <w:top w:val="none" w:sz="0" w:space="0" w:color="auto"/>
        <w:left w:val="none" w:sz="0" w:space="0" w:color="auto"/>
        <w:bottom w:val="none" w:sz="0" w:space="0" w:color="auto"/>
        <w:right w:val="none" w:sz="0" w:space="0" w:color="auto"/>
      </w:divBdr>
    </w:div>
    <w:div w:id="1487621782">
      <w:bodyDiv w:val="1"/>
      <w:marLeft w:val="0"/>
      <w:marRight w:val="0"/>
      <w:marTop w:val="0"/>
      <w:marBottom w:val="0"/>
      <w:divBdr>
        <w:top w:val="none" w:sz="0" w:space="0" w:color="auto"/>
        <w:left w:val="none" w:sz="0" w:space="0" w:color="auto"/>
        <w:bottom w:val="none" w:sz="0" w:space="0" w:color="auto"/>
        <w:right w:val="none" w:sz="0" w:space="0" w:color="auto"/>
      </w:divBdr>
    </w:div>
    <w:div w:id="1488520602">
      <w:bodyDiv w:val="1"/>
      <w:marLeft w:val="0"/>
      <w:marRight w:val="0"/>
      <w:marTop w:val="0"/>
      <w:marBottom w:val="0"/>
      <w:divBdr>
        <w:top w:val="none" w:sz="0" w:space="0" w:color="auto"/>
        <w:left w:val="none" w:sz="0" w:space="0" w:color="auto"/>
        <w:bottom w:val="none" w:sz="0" w:space="0" w:color="auto"/>
        <w:right w:val="none" w:sz="0" w:space="0" w:color="auto"/>
      </w:divBdr>
    </w:div>
    <w:div w:id="1489785290">
      <w:bodyDiv w:val="1"/>
      <w:marLeft w:val="0"/>
      <w:marRight w:val="0"/>
      <w:marTop w:val="0"/>
      <w:marBottom w:val="0"/>
      <w:divBdr>
        <w:top w:val="none" w:sz="0" w:space="0" w:color="auto"/>
        <w:left w:val="none" w:sz="0" w:space="0" w:color="auto"/>
        <w:bottom w:val="none" w:sz="0" w:space="0" w:color="auto"/>
        <w:right w:val="none" w:sz="0" w:space="0" w:color="auto"/>
      </w:divBdr>
    </w:div>
    <w:div w:id="1504280033">
      <w:bodyDiv w:val="1"/>
      <w:marLeft w:val="0"/>
      <w:marRight w:val="0"/>
      <w:marTop w:val="0"/>
      <w:marBottom w:val="0"/>
      <w:divBdr>
        <w:top w:val="none" w:sz="0" w:space="0" w:color="auto"/>
        <w:left w:val="none" w:sz="0" w:space="0" w:color="auto"/>
        <w:bottom w:val="none" w:sz="0" w:space="0" w:color="auto"/>
        <w:right w:val="none" w:sz="0" w:space="0" w:color="auto"/>
      </w:divBdr>
    </w:div>
    <w:div w:id="1509055967">
      <w:bodyDiv w:val="1"/>
      <w:marLeft w:val="0"/>
      <w:marRight w:val="0"/>
      <w:marTop w:val="0"/>
      <w:marBottom w:val="0"/>
      <w:divBdr>
        <w:top w:val="none" w:sz="0" w:space="0" w:color="auto"/>
        <w:left w:val="none" w:sz="0" w:space="0" w:color="auto"/>
        <w:bottom w:val="none" w:sz="0" w:space="0" w:color="auto"/>
        <w:right w:val="none" w:sz="0" w:space="0" w:color="auto"/>
      </w:divBdr>
    </w:div>
    <w:div w:id="1510754872">
      <w:bodyDiv w:val="1"/>
      <w:marLeft w:val="0"/>
      <w:marRight w:val="0"/>
      <w:marTop w:val="0"/>
      <w:marBottom w:val="0"/>
      <w:divBdr>
        <w:top w:val="none" w:sz="0" w:space="0" w:color="auto"/>
        <w:left w:val="none" w:sz="0" w:space="0" w:color="auto"/>
        <w:bottom w:val="none" w:sz="0" w:space="0" w:color="auto"/>
        <w:right w:val="none" w:sz="0" w:space="0" w:color="auto"/>
      </w:divBdr>
    </w:div>
    <w:div w:id="1518735527">
      <w:bodyDiv w:val="1"/>
      <w:marLeft w:val="0"/>
      <w:marRight w:val="0"/>
      <w:marTop w:val="0"/>
      <w:marBottom w:val="0"/>
      <w:divBdr>
        <w:top w:val="none" w:sz="0" w:space="0" w:color="auto"/>
        <w:left w:val="none" w:sz="0" w:space="0" w:color="auto"/>
        <w:bottom w:val="none" w:sz="0" w:space="0" w:color="auto"/>
        <w:right w:val="none" w:sz="0" w:space="0" w:color="auto"/>
      </w:divBdr>
    </w:div>
    <w:div w:id="1522353582">
      <w:bodyDiv w:val="1"/>
      <w:marLeft w:val="0"/>
      <w:marRight w:val="0"/>
      <w:marTop w:val="0"/>
      <w:marBottom w:val="0"/>
      <w:divBdr>
        <w:top w:val="none" w:sz="0" w:space="0" w:color="auto"/>
        <w:left w:val="none" w:sz="0" w:space="0" w:color="auto"/>
        <w:bottom w:val="none" w:sz="0" w:space="0" w:color="auto"/>
        <w:right w:val="none" w:sz="0" w:space="0" w:color="auto"/>
      </w:divBdr>
    </w:div>
    <w:div w:id="1527523218">
      <w:bodyDiv w:val="1"/>
      <w:marLeft w:val="0"/>
      <w:marRight w:val="0"/>
      <w:marTop w:val="0"/>
      <w:marBottom w:val="0"/>
      <w:divBdr>
        <w:top w:val="none" w:sz="0" w:space="0" w:color="auto"/>
        <w:left w:val="none" w:sz="0" w:space="0" w:color="auto"/>
        <w:bottom w:val="none" w:sz="0" w:space="0" w:color="auto"/>
        <w:right w:val="none" w:sz="0" w:space="0" w:color="auto"/>
      </w:divBdr>
    </w:div>
    <w:div w:id="1527720719">
      <w:bodyDiv w:val="1"/>
      <w:marLeft w:val="0"/>
      <w:marRight w:val="0"/>
      <w:marTop w:val="0"/>
      <w:marBottom w:val="0"/>
      <w:divBdr>
        <w:top w:val="none" w:sz="0" w:space="0" w:color="auto"/>
        <w:left w:val="none" w:sz="0" w:space="0" w:color="auto"/>
        <w:bottom w:val="none" w:sz="0" w:space="0" w:color="auto"/>
        <w:right w:val="none" w:sz="0" w:space="0" w:color="auto"/>
      </w:divBdr>
    </w:div>
    <w:div w:id="1531799395">
      <w:bodyDiv w:val="1"/>
      <w:marLeft w:val="0"/>
      <w:marRight w:val="0"/>
      <w:marTop w:val="0"/>
      <w:marBottom w:val="0"/>
      <w:divBdr>
        <w:top w:val="none" w:sz="0" w:space="0" w:color="auto"/>
        <w:left w:val="none" w:sz="0" w:space="0" w:color="auto"/>
        <w:bottom w:val="none" w:sz="0" w:space="0" w:color="auto"/>
        <w:right w:val="none" w:sz="0" w:space="0" w:color="auto"/>
      </w:divBdr>
    </w:div>
    <w:div w:id="1531917463">
      <w:bodyDiv w:val="1"/>
      <w:marLeft w:val="0"/>
      <w:marRight w:val="0"/>
      <w:marTop w:val="0"/>
      <w:marBottom w:val="0"/>
      <w:divBdr>
        <w:top w:val="none" w:sz="0" w:space="0" w:color="auto"/>
        <w:left w:val="none" w:sz="0" w:space="0" w:color="auto"/>
        <w:bottom w:val="none" w:sz="0" w:space="0" w:color="auto"/>
        <w:right w:val="none" w:sz="0" w:space="0" w:color="auto"/>
      </w:divBdr>
    </w:div>
    <w:div w:id="1540049864">
      <w:bodyDiv w:val="1"/>
      <w:marLeft w:val="0"/>
      <w:marRight w:val="0"/>
      <w:marTop w:val="0"/>
      <w:marBottom w:val="0"/>
      <w:divBdr>
        <w:top w:val="none" w:sz="0" w:space="0" w:color="auto"/>
        <w:left w:val="none" w:sz="0" w:space="0" w:color="auto"/>
        <w:bottom w:val="none" w:sz="0" w:space="0" w:color="auto"/>
        <w:right w:val="none" w:sz="0" w:space="0" w:color="auto"/>
      </w:divBdr>
    </w:div>
    <w:div w:id="1545405387">
      <w:bodyDiv w:val="1"/>
      <w:marLeft w:val="0"/>
      <w:marRight w:val="0"/>
      <w:marTop w:val="0"/>
      <w:marBottom w:val="0"/>
      <w:divBdr>
        <w:top w:val="none" w:sz="0" w:space="0" w:color="auto"/>
        <w:left w:val="none" w:sz="0" w:space="0" w:color="auto"/>
        <w:bottom w:val="none" w:sz="0" w:space="0" w:color="auto"/>
        <w:right w:val="none" w:sz="0" w:space="0" w:color="auto"/>
      </w:divBdr>
    </w:div>
    <w:div w:id="1560170564">
      <w:bodyDiv w:val="1"/>
      <w:marLeft w:val="0"/>
      <w:marRight w:val="0"/>
      <w:marTop w:val="0"/>
      <w:marBottom w:val="0"/>
      <w:divBdr>
        <w:top w:val="none" w:sz="0" w:space="0" w:color="auto"/>
        <w:left w:val="none" w:sz="0" w:space="0" w:color="auto"/>
        <w:bottom w:val="none" w:sz="0" w:space="0" w:color="auto"/>
        <w:right w:val="none" w:sz="0" w:space="0" w:color="auto"/>
      </w:divBdr>
    </w:div>
    <w:div w:id="1563054274">
      <w:bodyDiv w:val="1"/>
      <w:marLeft w:val="0"/>
      <w:marRight w:val="0"/>
      <w:marTop w:val="0"/>
      <w:marBottom w:val="0"/>
      <w:divBdr>
        <w:top w:val="none" w:sz="0" w:space="0" w:color="auto"/>
        <w:left w:val="none" w:sz="0" w:space="0" w:color="auto"/>
        <w:bottom w:val="none" w:sz="0" w:space="0" w:color="auto"/>
        <w:right w:val="none" w:sz="0" w:space="0" w:color="auto"/>
      </w:divBdr>
    </w:div>
    <w:div w:id="1567758555">
      <w:bodyDiv w:val="1"/>
      <w:marLeft w:val="0"/>
      <w:marRight w:val="0"/>
      <w:marTop w:val="0"/>
      <w:marBottom w:val="0"/>
      <w:divBdr>
        <w:top w:val="none" w:sz="0" w:space="0" w:color="auto"/>
        <w:left w:val="none" w:sz="0" w:space="0" w:color="auto"/>
        <w:bottom w:val="none" w:sz="0" w:space="0" w:color="auto"/>
        <w:right w:val="none" w:sz="0" w:space="0" w:color="auto"/>
      </w:divBdr>
    </w:div>
    <w:div w:id="1573730482">
      <w:bodyDiv w:val="1"/>
      <w:marLeft w:val="0"/>
      <w:marRight w:val="0"/>
      <w:marTop w:val="0"/>
      <w:marBottom w:val="0"/>
      <w:divBdr>
        <w:top w:val="none" w:sz="0" w:space="0" w:color="auto"/>
        <w:left w:val="none" w:sz="0" w:space="0" w:color="auto"/>
        <w:bottom w:val="none" w:sz="0" w:space="0" w:color="auto"/>
        <w:right w:val="none" w:sz="0" w:space="0" w:color="auto"/>
      </w:divBdr>
    </w:div>
    <w:div w:id="1573812494">
      <w:bodyDiv w:val="1"/>
      <w:marLeft w:val="0"/>
      <w:marRight w:val="0"/>
      <w:marTop w:val="0"/>
      <w:marBottom w:val="0"/>
      <w:divBdr>
        <w:top w:val="none" w:sz="0" w:space="0" w:color="auto"/>
        <w:left w:val="none" w:sz="0" w:space="0" w:color="auto"/>
        <w:bottom w:val="none" w:sz="0" w:space="0" w:color="auto"/>
        <w:right w:val="none" w:sz="0" w:space="0" w:color="auto"/>
      </w:divBdr>
    </w:div>
    <w:div w:id="1574505704">
      <w:bodyDiv w:val="1"/>
      <w:marLeft w:val="0"/>
      <w:marRight w:val="0"/>
      <w:marTop w:val="0"/>
      <w:marBottom w:val="0"/>
      <w:divBdr>
        <w:top w:val="none" w:sz="0" w:space="0" w:color="auto"/>
        <w:left w:val="none" w:sz="0" w:space="0" w:color="auto"/>
        <w:bottom w:val="none" w:sz="0" w:space="0" w:color="auto"/>
        <w:right w:val="none" w:sz="0" w:space="0" w:color="auto"/>
      </w:divBdr>
    </w:div>
    <w:div w:id="1578593318">
      <w:bodyDiv w:val="1"/>
      <w:marLeft w:val="0"/>
      <w:marRight w:val="0"/>
      <w:marTop w:val="0"/>
      <w:marBottom w:val="0"/>
      <w:divBdr>
        <w:top w:val="none" w:sz="0" w:space="0" w:color="auto"/>
        <w:left w:val="none" w:sz="0" w:space="0" w:color="auto"/>
        <w:bottom w:val="none" w:sz="0" w:space="0" w:color="auto"/>
        <w:right w:val="none" w:sz="0" w:space="0" w:color="auto"/>
      </w:divBdr>
    </w:div>
    <w:div w:id="1581016090">
      <w:bodyDiv w:val="1"/>
      <w:marLeft w:val="0"/>
      <w:marRight w:val="0"/>
      <w:marTop w:val="0"/>
      <w:marBottom w:val="0"/>
      <w:divBdr>
        <w:top w:val="none" w:sz="0" w:space="0" w:color="auto"/>
        <w:left w:val="none" w:sz="0" w:space="0" w:color="auto"/>
        <w:bottom w:val="none" w:sz="0" w:space="0" w:color="auto"/>
        <w:right w:val="none" w:sz="0" w:space="0" w:color="auto"/>
      </w:divBdr>
    </w:div>
    <w:div w:id="1581526855">
      <w:bodyDiv w:val="1"/>
      <w:marLeft w:val="0"/>
      <w:marRight w:val="0"/>
      <w:marTop w:val="0"/>
      <w:marBottom w:val="0"/>
      <w:divBdr>
        <w:top w:val="none" w:sz="0" w:space="0" w:color="auto"/>
        <w:left w:val="none" w:sz="0" w:space="0" w:color="auto"/>
        <w:bottom w:val="none" w:sz="0" w:space="0" w:color="auto"/>
        <w:right w:val="none" w:sz="0" w:space="0" w:color="auto"/>
      </w:divBdr>
    </w:div>
    <w:div w:id="1584953769">
      <w:bodyDiv w:val="1"/>
      <w:marLeft w:val="0"/>
      <w:marRight w:val="0"/>
      <w:marTop w:val="0"/>
      <w:marBottom w:val="0"/>
      <w:divBdr>
        <w:top w:val="none" w:sz="0" w:space="0" w:color="auto"/>
        <w:left w:val="none" w:sz="0" w:space="0" w:color="auto"/>
        <w:bottom w:val="none" w:sz="0" w:space="0" w:color="auto"/>
        <w:right w:val="none" w:sz="0" w:space="0" w:color="auto"/>
      </w:divBdr>
    </w:div>
    <w:div w:id="1587106867">
      <w:bodyDiv w:val="1"/>
      <w:marLeft w:val="0"/>
      <w:marRight w:val="0"/>
      <w:marTop w:val="0"/>
      <w:marBottom w:val="0"/>
      <w:divBdr>
        <w:top w:val="none" w:sz="0" w:space="0" w:color="auto"/>
        <w:left w:val="none" w:sz="0" w:space="0" w:color="auto"/>
        <w:bottom w:val="none" w:sz="0" w:space="0" w:color="auto"/>
        <w:right w:val="none" w:sz="0" w:space="0" w:color="auto"/>
      </w:divBdr>
    </w:div>
    <w:div w:id="1588344316">
      <w:bodyDiv w:val="1"/>
      <w:marLeft w:val="0"/>
      <w:marRight w:val="0"/>
      <w:marTop w:val="0"/>
      <w:marBottom w:val="0"/>
      <w:divBdr>
        <w:top w:val="none" w:sz="0" w:space="0" w:color="auto"/>
        <w:left w:val="none" w:sz="0" w:space="0" w:color="auto"/>
        <w:bottom w:val="none" w:sz="0" w:space="0" w:color="auto"/>
        <w:right w:val="none" w:sz="0" w:space="0" w:color="auto"/>
      </w:divBdr>
    </w:div>
    <w:div w:id="1592274218">
      <w:bodyDiv w:val="1"/>
      <w:marLeft w:val="0"/>
      <w:marRight w:val="0"/>
      <w:marTop w:val="0"/>
      <w:marBottom w:val="0"/>
      <w:divBdr>
        <w:top w:val="none" w:sz="0" w:space="0" w:color="auto"/>
        <w:left w:val="none" w:sz="0" w:space="0" w:color="auto"/>
        <w:bottom w:val="none" w:sz="0" w:space="0" w:color="auto"/>
        <w:right w:val="none" w:sz="0" w:space="0" w:color="auto"/>
      </w:divBdr>
    </w:div>
    <w:div w:id="1592931805">
      <w:bodyDiv w:val="1"/>
      <w:marLeft w:val="0"/>
      <w:marRight w:val="0"/>
      <w:marTop w:val="0"/>
      <w:marBottom w:val="0"/>
      <w:divBdr>
        <w:top w:val="none" w:sz="0" w:space="0" w:color="auto"/>
        <w:left w:val="none" w:sz="0" w:space="0" w:color="auto"/>
        <w:bottom w:val="none" w:sz="0" w:space="0" w:color="auto"/>
        <w:right w:val="none" w:sz="0" w:space="0" w:color="auto"/>
      </w:divBdr>
    </w:div>
    <w:div w:id="1597594883">
      <w:bodyDiv w:val="1"/>
      <w:marLeft w:val="0"/>
      <w:marRight w:val="0"/>
      <w:marTop w:val="0"/>
      <w:marBottom w:val="0"/>
      <w:divBdr>
        <w:top w:val="none" w:sz="0" w:space="0" w:color="auto"/>
        <w:left w:val="none" w:sz="0" w:space="0" w:color="auto"/>
        <w:bottom w:val="none" w:sz="0" w:space="0" w:color="auto"/>
        <w:right w:val="none" w:sz="0" w:space="0" w:color="auto"/>
      </w:divBdr>
    </w:div>
    <w:div w:id="1602109492">
      <w:bodyDiv w:val="1"/>
      <w:marLeft w:val="0"/>
      <w:marRight w:val="0"/>
      <w:marTop w:val="0"/>
      <w:marBottom w:val="0"/>
      <w:divBdr>
        <w:top w:val="none" w:sz="0" w:space="0" w:color="auto"/>
        <w:left w:val="none" w:sz="0" w:space="0" w:color="auto"/>
        <w:bottom w:val="none" w:sz="0" w:space="0" w:color="auto"/>
        <w:right w:val="none" w:sz="0" w:space="0" w:color="auto"/>
      </w:divBdr>
    </w:div>
    <w:div w:id="1605574785">
      <w:bodyDiv w:val="1"/>
      <w:marLeft w:val="0"/>
      <w:marRight w:val="0"/>
      <w:marTop w:val="0"/>
      <w:marBottom w:val="0"/>
      <w:divBdr>
        <w:top w:val="none" w:sz="0" w:space="0" w:color="auto"/>
        <w:left w:val="none" w:sz="0" w:space="0" w:color="auto"/>
        <w:bottom w:val="none" w:sz="0" w:space="0" w:color="auto"/>
        <w:right w:val="none" w:sz="0" w:space="0" w:color="auto"/>
      </w:divBdr>
    </w:div>
    <w:div w:id="1611546565">
      <w:bodyDiv w:val="1"/>
      <w:marLeft w:val="0"/>
      <w:marRight w:val="0"/>
      <w:marTop w:val="0"/>
      <w:marBottom w:val="0"/>
      <w:divBdr>
        <w:top w:val="none" w:sz="0" w:space="0" w:color="auto"/>
        <w:left w:val="none" w:sz="0" w:space="0" w:color="auto"/>
        <w:bottom w:val="none" w:sz="0" w:space="0" w:color="auto"/>
        <w:right w:val="none" w:sz="0" w:space="0" w:color="auto"/>
      </w:divBdr>
    </w:div>
    <w:div w:id="1617642583">
      <w:bodyDiv w:val="1"/>
      <w:marLeft w:val="0"/>
      <w:marRight w:val="0"/>
      <w:marTop w:val="0"/>
      <w:marBottom w:val="0"/>
      <w:divBdr>
        <w:top w:val="none" w:sz="0" w:space="0" w:color="auto"/>
        <w:left w:val="none" w:sz="0" w:space="0" w:color="auto"/>
        <w:bottom w:val="none" w:sz="0" w:space="0" w:color="auto"/>
        <w:right w:val="none" w:sz="0" w:space="0" w:color="auto"/>
      </w:divBdr>
    </w:div>
    <w:div w:id="1622179279">
      <w:bodyDiv w:val="1"/>
      <w:marLeft w:val="0"/>
      <w:marRight w:val="0"/>
      <w:marTop w:val="0"/>
      <w:marBottom w:val="0"/>
      <w:divBdr>
        <w:top w:val="none" w:sz="0" w:space="0" w:color="auto"/>
        <w:left w:val="none" w:sz="0" w:space="0" w:color="auto"/>
        <w:bottom w:val="none" w:sz="0" w:space="0" w:color="auto"/>
        <w:right w:val="none" w:sz="0" w:space="0" w:color="auto"/>
      </w:divBdr>
    </w:div>
    <w:div w:id="1623875151">
      <w:bodyDiv w:val="1"/>
      <w:marLeft w:val="0"/>
      <w:marRight w:val="0"/>
      <w:marTop w:val="0"/>
      <w:marBottom w:val="0"/>
      <w:divBdr>
        <w:top w:val="none" w:sz="0" w:space="0" w:color="auto"/>
        <w:left w:val="none" w:sz="0" w:space="0" w:color="auto"/>
        <w:bottom w:val="none" w:sz="0" w:space="0" w:color="auto"/>
        <w:right w:val="none" w:sz="0" w:space="0" w:color="auto"/>
      </w:divBdr>
    </w:div>
    <w:div w:id="1625194095">
      <w:bodyDiv w:val="1"/>
      <w:marLeft w:val="0"/>
      <w:marRight w:val="0"/>
      <w:marTop w:val="0"/>
      <w:marBottom w:val="0"/>
      <w:divBdr>
        <w:top w:val="none" w:sz="0" w:space="0" w:color="auto"/>
        <w:left w:val="none" w:sz="0" w:space="0" w:color="auto"/>
        <w:bottom w:val="none" w:sz="0" w:space="0" w:color="auto"/>
        <w:right w:val="none" w:sz="0" w:space="0" w:color="auto"/>
      </w:divBdr>
    </w:div>
    <w:div w:id="1625384341">
      <w:bodyDiv w:val="1"/>
      <w:marLeft w:val="0"/>
      <w:marRight w:val="0"/>
      <w:marTop w:val="0"/>
      <w:marBottom w:val="0"/>
      <w:divBdr>
        <w:top w:val="none" w:sz="0" w:space="0" w:color="auto"/>
        <w:left w:val="none" w:sz="0" w:space="0" w:color="auto"/>
        <w:bottom w:val="none" w:sz="0" w:space="0" w:color="auto"/>
        <w:right w:val="none" w:sz="0" w:space="0" w:color="auto"/>
      </w:divBdr>
    </w:div>
    <w:div w:id="1625768123">
      <w:bodyDiv w:val="1"/>
      <w:marLeft w:val="0"/>
      <w:marRight w:val="0"/>
      <w:marTop w:val="0"/>
      <w:marBottom w:val="0"/>
      <w:divBdr>
        <w:top w:val="none" w:sz="0" w:space="0" w:color="auto"/>
        <w:left w:val="none" w:sz="0" w:space="0" w:color="auto"/>
        <w:bottom w:val="none" w:sz="0" w:space="0" w:color="auto"/>
        <w:right w:val="none" w:sz="0" w:space="0" w:color="auto"/>
      </w:divBdr>
    </w:div>
    <w:div w:id="1634094965">
      <w:bodyDiv w:val="1"/>
      <w:marLeft w:val="0"/>
      <w:marRight w:val="0"/>
      <w:marTop w:val="0"/>
      <w:marBottom w:val="0"/>
      <w:divBdr>
        <w:top w:val="none" w:sz="0" w:space="0" w:color="auto"/>
        <w:left w:val="none" w:sz="0" w:space="0" w:color="auto"/>
        <w:bottom w:val="none" w:sz="0" w:space="0" w:color="auto"/>
        <w:right w:val="none" w:sz="0" w:space="0" w:color="auto"/>
      </w:divBdr>
    </w:div>
    <w:div w:id="1635141084">
      <w:bodyDiv w:val="1"/>
      <w:marLeft w:val="0"/>
      <w:marRight w:val="0"/>
      <w:marTop w:val="0"/>
      <w:marBottom w:val="0"/>
      <w:divBdr>
        <w:top w:val="none" w:sz="0" w:space="0" w:color="auto"/>
        <w:left w:val="none" w:sz="0" w:space="0" w:color="auto"/>
        <w:bottom w:val="none" w:sz="0" w:space="0" w:color="auto"/>
        <w:right w:val="none" w:sz="0" w:space="0" w:color="auto"/>
      </w:divBdr>
    </w:div>
    <w:div w:id="1645236853">
      <w:bodyDiv w:val="1"/>
      <w:marLeft w:val="0"/>
      <w:marRight w:val="0"/>
      <w:marTop w:val="0"/>
      <w:marBottom w:val="0"/>
      <w:divBdr>
        <w:top w:val="none" w:sz="0" w:space="0" w:color="auto"/>
        <w:left w:val="none" w:sz="0" w:space="0" w:color="auto"/>
        <w:bottom w:val="none" w:sz="0" w:space="0" w:color="auto"/>
        <w:right w:val="none" w:sz="0" w:space="0" w:color="auto"/>
      </w:divBdr>
    </w:div>
    <w:div w:id="1647784918">
      <w:bodyDiv w:val="1"/>
      <w:marLeft w:val="0"/>
      <w:marRight w:val="0"/>
      <w:marTop w:val="0"/>
      <w:marBottom w:val="0"/>
      <w:divBdr>
        <w:top w:val="none" w:sz="0" w:space="0" w:color="auto"/>
        <w:left w:val="none" w:sz="0" w:space="0" w:color="auto"/>
        <w:bottom w:val="none" w:sz="0" w:space="0" w:color="auto"/>
        <w:right w:val="none" w:sz="0" w:space="0" w:color="auto"/>
      </w:divBdr>
    </w:div>
    <w:div w:id="1649355530">
      <w:bodyDiv w:val="1"/>
      <w:marLeft w:val="0"/>
      <w:marRight w:val="0"/>
      <w:marTop w:val="0"/>
      <w:marBottom w:val="0"/>
      <w:divBdr>
        <w:top w:val="none" w:sz="0" w:space="0" w:color="auto"/>
        <w:left w:val="none" w:sz="0" w:space="0" w:color="auto"/>
        <w:bottom w:val="none" w:sz="0" w:space="0" w:color="auto"/>
        <w:right w:val="none" w:sz="0" w:space="0" w:color="auto"/>
      </w:divBdr>
    </w:div>
    <w:div w:id="1654136268">
      <w:bodyDiv w:val="1"/>
      <w:marLeft w:val="0"/>
      <w:marRight w:val="0"/>
      <w:marTop w:val="0"/>
      <w:marBottom w:val="0"/>
      <w:divBdr>
        <w:top w:val="none" w:sz="0" w:space="0" w:color="auto"/>
        <w:left w:val="none" w:sz="0" w:space="0" w:color="auto"/>
        <w:bottom w:val="none" w:sz="0" w:space="0" w:color="auto"/>
        <w:right w:val="none" w:sz="0" w:space="0" w:color="auto"/>
      </w:divBdr>
    </w:div>
    <w:div w:id="1658538287">
      <w:bodyDiv w:val="1"/>
      <w:marLeft w:val="0"/>
      <w:marRight w:val="0"/>
      <w:marTop w:val="0"/>
      <w:marBottom w:val="0"/>
      <w:divBdr>
        <w:top w:val="none" w:sz="0" w:space="0" w:color="auto"/>
        <w:left w:val="none" w:sz="0" w:space="0" w:color="auto"/>
        <w:bottom w:val="none" w:sz="0" w:space="0" w:color="auto"/>
        <w:right w:val="none" w:sz="0" w:space="0" w:color="auto"/>
      </w:divBdr>
    </w:div>
    <w:div w:id="1659502770">
      <w:bodyDiv w:val="1"/>
      <w:marLeft w:val="0"/>
      <w:marRight w:val="0"/>
      <w:marTop w:val="0"/>
      <w:marBottom w:val="0"/>
      <w:divBdr>
        <w:top w:val="none" w:sz="0" w:space="0" w:color="auto"/>
        <w:left w:val="none" w:sz="0" w:space="0" w:color="auto"/>
        <w:bottom w:val="none" w:sz="0" w:space="0" w:color="auto"/>
        <w:right w:val="none" w:sz="0" w:space="0" w:color="auto"/>
      </w:divBdr>
    </w:div>
    <w:div w:id="1664041897">
      <w:bodyDiv w:val="1"/>
      <w:marLeft w:val="0"/>
      <w:marRight w:val="0"/>
      <w:marTop w:val="0"/>
      <w:marBottom w:val="0"/>
      <w:divBdr>
        <w:top w:val="none" w:sz="0" w:space="0" w:color="auto"/>
        <w:left w:val="none" w:sz="0" w:space="0" w:color="auto"/>
        <w:bottom w:val="none" w:sz="0" w:space="0" w:color="auto"/>
        <w:right w:val="none" w:sz="0" w:space="0" w:color="auto"/>
      </w:divBdr>
    </w:div>
    <w:div w:id="1665164405">
      <w:bodyDiv w:val="1"/>
      <w:marLeft w:val="0"/>
      <w:marRight w:val="0"/>
      <w:marTop w:val="0"/>
      <w:marBottom w:val="0"/>
      <w:divBdr>
        <w:top w:val="none" w:sz="0" w:space="0" w:color="auto"/>
        <w:left w:val="none" w:sz="0" w:space="0" w:color="auto"/>
        <w:bottom w:val="none" w:sz="0" w:space="0" w:color="auto"/>
        <w:right w:val="none" w:sz="0" w:space="0" w:color="auto"/>
      </w:divBdr>
    </w:div>
    <w:div w:id="1671567057">
      <w:bodyDiv w:val="1"/>
      <w:marLeft w:val="0"/>
      <w:marRight w:val="0"/>
      <w:marTop w:val="0"/>
      <w:marBottom w:val="0"/>
      <w:divBdr>
        <w:top w:val="none" w:sz="0" w:space="0" w:color="auto"/>
        <w:left w:val="none" w:sz="0" w:space="0" w:color="auto"/>
        <w:bottom w:val="none" w:sz="0" w:space="0" w:color="auto"/>
        <w:right w:val="none" w:sz="0" w:space="0" w:color="auto"/>
      </w:divBdr>
    </w:div>
    <w:div w:id="1677344283">
      <w:bodyDiv w:val="1"/>
      <w:marLeft w:val="0"/>
      <w:marRight w:val="0"/>
      <w:marTop w:val="0"/>
      <w:marBottom w:val="0"/>
      <w:divBdr>
        <w:top w:val="none" w:sz="0" w:space="0" w:color="auto"/>
        <w:left w:val="none" w:sz="0" w:space="0" w:color="auto"/>
        <w:bottom w:val="none" w:sz="0" w:space="0" w:color="auto"/>
        <w:right w:val="none" w:sz="0" w:space="0" w:color="auto"/>
      </w:divBdr>
    </w:div>
    <w:div w:id="1677423113">
      <w:bodyDiv w:val="1"/>
      <w:marLeft w:val="0"/>
      <w:marRight w:val="0"/>
      <w:marTop w:val="0"/>
      <w:marBottom w:val="0"/>
      <w:divBdr>
        <w:top w:val="none" w:sz="0" w:space="0" w:color="auto"/>
        <w:left w:val="none" w:sz="0" w:space="0" w:color="auto"/>
        <w:bottom w:val="none" w:sz="0" w:space="0" w:color="auto"/>
        <w:right w:val="none" w:sz="0" w:space="0" w:color="auto"/>
      </w:divBdr>
    </w:div>
    <w:div w:id="1678771260">
      <w:bodyDiv w:val="1"/>
      <w:marLeft w:val="0"/>
      <w:marRight w:val="0"/>
      <w:marTop w:val="0"/>
      <w:marBottom w:val="0"/>
      <w:divBdr>
        <w:top w:val="none" w:sz="0" w:space="0" w:color="auto"/>
        <w:left w:val="none" w:sz="0" w:space="0" w:color="auto"/>
        <w:bottom w:val="none" w:sz="0" w:space="0" w:color="auto"/>
        <w:right w:val="none" w:sz="0" w:space="0" w:color="auto"/>
      </w:divBdr>
    </w:div>
    <w:div w:id="1678843490">
      <w:bodyDiv w:val="1"/>
      <w:marLeft w:val="0"/>
      <w:marRight w:val="0"/>
      <w:marTop w:val="0"/>
      <w:marBottom w:val="0"/>
      <w:divBdr>
        <w:top w:val="none" w:sz="0" w:space="0" w:color="auto"/>
        <w:left w:val="none" w:sz="0" w:space="0" w:color="auto"/>
        <w:bottom w:val="none" w:sz="0" w:space="0" w:color="auto"/>
        <w:right w:val="none" w:sz="0" w:space="0" w:color="auto"/>
      </w:divBdr>
    </w:div>
    <w:div w:id="1679042458">
      <w:bodyDiv w:val="1"/>
      <w:marLeft w:val="0"/>
      <w:marRight w:val="0"/>
      <w:marTop w:val="0"/>
      <w:marBottom w:val="0"/>
      <w:divBdr>
        <w:top w:val="none" w:sz="0" w:space="0" w:color="auto"/>
        <w:left w:val="none" w:sz="0" w:space="0" w:color="auto"/>
        <w:bottom w:val="none" w:sz="0" w:space="0" w:color="auto"/>
        <w:right w:val="none" w:sz="0" w:space="0" w:color="auto"/>
      </w:divBdr>
    </w:div>
    <w:div w:id="1683049564">
      <w:bodyDiv w:val="1"/>
      <w:marLeft w:val="0"/>
      <w:marRight w:val="0"/>
      <w:marTop w:val="0"/>
      <w:marBottom w:val="0"/>
      <w:divBdr>
        <w:top w:val="none" w:sz="0" w:space="0" w:color="auto"/>
        <w:left w:val="none" w:sz="0" w:space="0" w:color="auto"/>
        <w:bottom w:val="none" w:sz="0" w:space="0" w:color="auto"/>
        <w:right w:val="none" w:sz="0" w:space="0" w:color="auto"/>
      </w:divBdr>
    </w:div>
    <w:div w:id="1684473314">
      <w:bodyDiv w:val="1"/>
      <w:marLeft w:val="0"/>
      <w:marRight w:val="0"/>
      <w:marTop w:val="0"/>
      <w:marBottom w:val="0"/>
      <w:divBdr>
        <w:top w:val="none" w:sz="0" w:space="0" w:color="auto"/>
        <w:left w:val="none" w:sz="0" w:space="0" w:color="auto"/>
        <w:bottom w:val="none" w:sz="0" w:space="0" w:color="auto"/>
        <w:right w:val="none" w:sz="0" w:space="0" w:color="auto"/>
      </w:divBdr>
    </w:div>
    <w:div w:id="1697585414">
      <w:bodyDiv w:val="1"/>
      <w:marLeft w:val="0"/>
      <w:marRight w:val="0"/>
      <w:marTop w:val="0"/>
      <w:marBottom w:val="0"/>
      <w:divBdr>
        <w:top w:val="none" w:sz="0" w:space="0" w:color="auto"/>
        <w:left w:val="none" w:sz="0" w:space="0" w:color="auto"/>
        <w:bottom w:val="none" w:sz="0" w:space="0" w:color="auto"/>
        <w:right w:val="none" w:sz="0" w:space="0" w:color="auto"/>
      </w:divBdr>
    </w:div>
    <w:div w:id="1698039134">
      <w:bodyDiv w:val="1"/>
      <w:marLeft w:val="0"/>
      <w:marRight w:val="0"/>
      <w:marTop w:val="0"/>
      <w:marBottom w:val="0"/>
      <w:divBdr>
        <w:top w:val="none" w:sz="0" w:space="0" w:color="auto"/>
        <w:left w:val="none" w:sz="0" w:space="0" w:color="auto"/>
        <w:bottom w:val="none" w:sz="0" w:space="0" w:color="auto"/>
        <w:right w:val="none" w:sz="0" w:space="0" w:color="auto"/>
      </w:divBdr>
    </w:div>
    <w:div w:id="1699890894">
      <w:bodyDiv w:val="1"/>
      <w:marLeft w:val="0"/>
      <w:marRight w:val="0"/>
      <w:marTop w:val="0"/>
      <w:marBottom w:val="0"/>
      <w:divBdr>
        <w:top w:val="none" w:sz="0" w:space="0" w:color="auto"/>
        <w:left w:val="none" w:sz="0" w:space="0" w:color="auto"/>
        <w:bottom w:val="none" w:sz="0" w:space="0" w:color="auto"/>
        <w:right w:val="none" w:sz="0" w:space="0" w:color="auto"/>
      </w:divBdr>
    </w:div>
    <w:div w:id="1704137701">
      <w:bodyDiv w:val="1"/>
      <w:marLeft w:val="0"/>
      <w:marRight w:val="0"/>
      <w:marTop w:val="0"/>
      <w:marBottom w:val="0"/>
      <w:divBdr>
        <w:top w:val="none" w:sz="0" w:space="0" w:color="auto"/>
        <w:left w:val="none" w:sz="0" w:space="0" w:color="auto"/>
        <w:bottom w:val="none" w:sz="0" w:space="0" w:color="auto"/>
        <w:right w:val="none" w:sz="0" w:space="0" w:color="auto"/>
      </w:divBdr>
    </w:div>
    <w:div w:id="1704138162">
      <w:bodyDiv w:val="1"/>
      <w:marLeft w:val="0"/>
      <w:marRight w:val="0"/>
      <w:marTop w:val="0"/>
      <w:marBottom w:val="0"/>
      <w:divBdr>
        <w:top w:val="none" w:sz="0" w:space="0" w:color="auto"/>
        <w:left w:val="none" w:sz="0" w:space="0" w:color="auto"/>
        <w:bottom w:val="none" w:sz="0" w:space="0" w:color="auto"/>
        <w:right w:val="none" w:sz="0" w:space="0" w:color="auto"/>
      </w:divBdr>
    </w:div>
    <w:div w:id="1704162619">
      <w:bodyDiv w:val="1"/>
      <w:marLeft w:val="0"/>
      <w:marRight w:val="0"/>
      <w:marTop w:val="0"/>
      <w:marBottom w:val="0"/>
      <w:divBdr>
        <w:top w:val="none" w:sz="0" w:space="0" w:color="auto"/>
        <w:left w:val="none" w:sz="0" w:space="0" w:color="auto"/>
        <w:bottom w:val="none" w:sz="0" w:space="0" w:color="auto"/>
        <w:right w:val="none" w:sz="0" w:space="0" w:color="auto"/>
      </w:divBdr>
    </w:div>
    <w:div w:id="1707949122">
      <w:bodyDiv w:val="1"/>
      <w:marLeft w:val="0"/>
      <w:marRight w:val="0"/>
      <w:marTop w:val="0"/>
      <w:marBottom w:val="0"/>
      <w:divBdr>
        <w:top w:val="none" w:sz="0" w:space="0" w:color="auto"/>
        <w:left w:val="none" w:sz="0" w:space="0" w:color="auto"/>
        <w:bottom w:val="none" w:sz="0" w:space="0" w:color="auto"/>
        <w:right w:val="none" w:sz="0" w:space="0" w:color="auto"/>
      </w:divBdr>
    </w:div>
    <w:div w:id="1708333261">
      <w:bodyDiv w:val="1"/>
      <w:marLeft w:val="0"/>
      <w:marRight w:val="0"/>
      <w:marTop w:val="0"/>
      <w:marBottom w:val="0"/>
      <w:divBdr>
        <w:top w:val="none" w:sz="0" w:space="0" w:color="auto"/>
        <w:left w:val="none" w:sz="0" w:space="0" w:color="auto"/>
        <w:bottom w:val="none" w:sz="0" w:space="0" w:color="auto"/>
        <w:right w:val="none" w:sz="0" w:space="0" w:color="auto"/>
      </w:divBdr>
    </w:div>
    <w:div w:id="1715957279">
      <w:bodyDiv w:val="1"/>
      <w:marLeft w:val="0"/>
      <w:marRight w:val="0"/>
      <w:marTop w:val="0"/>
      <w:marBottom w:val="0"/>
      <w:divBdr>
        <w:top w:val="none" w:sz="0" w:space="0" w:color="auto"/>
        <w:left w:val="none" w:sz="0" w:space="0" w:color="auto"/>
        <w:bottom w:val="none" w:sz="0" w:space="0" w:color="auto"/>
        <w:right w:val="none" w:sz="0" w:space="0" w:color="auto"/>
      </w:divBdr>
    </w:div>
    <w:div w:id="1728072223">
      <w:bodyDiv w:val="1"/>
      <w:marLeft w:val="0"/>
      <w:marRight w:val="0"/>
      <w:marTop w:val="0"/>
      <w:marBottom w:val="0"/>
      <w:divBdr>
        <w:top w:val="none" w:sz="0" w:space="0" w:color="auto"/>
        <w:left w:val="none" w:sz="0" w:space="0" w:color="auto"/>
        <w:bottom w:val="none" w:sz="0" w:space="0" w:color="auto"/>
        <w:right w:val="none" w:sz="0" w:space="0" w:color="auto"/>
      </w:divBdr>
    </w:div>
    <w:div w:id="1734157474">
      <w:bodyDiv w:val="1"/>
      <w:marLeft w:val="0"/>
      <w:marRight w:val="0"/>
      <w:marTop w:val="0"/>
      <w:marBottom w:val="0"/>
      <w:divBdr>
        <w:top w:val="none" w:sz="0" w:space="0" w:color="auto"/>
        <w:left w:val="none" w:sz="0" w:space="0" w:color="auto"/>
        <w:bottom w:val="none" w:sz="0" w:space="0" w:color="auto"/>
        <w:right w:val="none" w:sz="0" w:space="0" w:color="auto"/>
      </w:divBdr>
    </w:div>
    <w:div w:id="1736274845">
      <w:bodyDiv w:val="1"/>
      <w:marLeft w:val="0"/>
      <w:marRight w:val="0"/>
      <w:marTop w:val="0"/>
      <w:marBottom w:val="0"/>
      <w:divBdr>
        <w:top w:val="none" w:sz="0" w:space="0" w:color="auto"/>
        <w:left w:val="none" w:sz="0" w:space="0" w:color="auto"/>
        <w:bottom w:val="none" w:sz="0" w:space="0" w:color="auto"/>
        <w:right w:val="none" w:sz="0" w:space="0" w:color="auto"/>
      </w:divBdr>
    </w:div>
    <w:div w:id="1736851636">
      <w:bodyDiv w:val="1"/>
      <w:marLeft w:val="0"/>
      <w:marRight w:val="0"/>
      <w:marTop w:val="0"/>
      <w:marBottom w:val="0"/>
      <w:divBdr>
        <w:top w:val="none" w:sz="0" w:space="0" w:color="auto"/>
        <w:left w:val="none" w:sz="0" w:space="0" w:color="auto"/>
        <w:bottom w:val="none" w:sz="0" w:space="0" w:color="auto"/>
        <w:right w:val="none" w:sz="0" w:space="0" w:color="auto"/>
      </w:divBdr>
    </w:div>
    <w:div w:id="1737513647">
      <w:bodyDiv w:val="1"/>
      <w:marLeft w:val="0"/>
      <w:marRight w:val="0"/>
      <w:marTop w:val="0"/>
      <w:marBottom w:val="0"/>
      <w:divBdr>
        <w:top w:val="none" w:sz="0" w:space="0" w:color="auto"/>
        <w:left w:val="none" w:sz="0" w:space="0" w:color="auto"/>
        <w:bottom w:val="none" w:sz="0" w:space="0" w:color="auto"/>
        <w:right w:val="none" w:sz="0" w:space="0" w:color="auto"/>
      </w:divBdr>
    </w:div>
    <w:div w:id="1740054346">
      <w:bodyDiv w:val="1"/>
      <w:marLeft w:val="0"/>
      <w:marRight w:val="0"/>
      <w:marTop w:val="0"/>
      <w:marBottom w:val="0"/>
      <w:divBdr>
        <w:top w:val="none" w:sz="0" w:space="0" w:color="auto"/>
        <w:left w:val="none" w:sz="0" w:space="0" w:color="auto"/>
        <w:bottom w:val="none" w:sz="0" w:space="0" w:color="auto"/>
        <w:right w:val="none" w:sz="0" w:space="0" w:color="auto"/>
      </w:divBdr>
    </w:div>
    <w:div w:id="1742017369">
      <w:bodyDiv w:val="1"/>
      <w:marLeft w:val="0"/>
      <w:marRight w:val="0"/>
      <w:marTop w:val="0"/>
      <w:marBottom w:val="0"/>
      <w:divBdr>
        <w:top w:val="none" w:sz="0" w:space="0" w:color="auto"/>
        <w:left w:val="none" w:sz="0" w:space="0" w:color="auto"/>
        <w:bottom w:val="none" w:sz="0" w:space="0" w:color="auto"/>
        <w:right w:val="none" w:sz="0" w:space="0" w:color="auto"/>
      </w:divBdr>
    </w:div>
    <w:div w:id="1749382885">
      <w:bodyDiv w:val="1"/>
      <w:marLeft w:val="0"/>
      <w:marRight w:val="0"/>
      <w:marTop w:val="0"/>
      <w:marBottom w:val="0"/>
      <w:divBdr>
        <w:top w:val="none" w:sz="0" w:space="0" w:color="auto"/>
        <w:left w:val="none" w:sz="0" w:space="0" w:color="auto"/>
        <w:bottom w:val="none" w:sz="0" w:space="0" w:color="auto"/>
        <w:right w:val="none" w:sz="0" w:space="0" w:color="auto"/>
      </w:divBdr>
    </w:div>
    <w:div w:id="1750344084">
      <w:bodyDiv w:val="1"/>
      <w:marLeft w:val="0"/>
      <w:marRight w:val="0"/>
      <w:marTop w:val="0"/>
      <w:marBottom w:val="0"/>
      <w:divBdr>
        <w:top w:val="none" w:sz="0" w:space="0" w:color="auto"/>
        <w:left w:val="none" w:sz="0" w:space="0" w:color="auto"/>
        <w:bottom w:val="none" w:sz="0" w:space="0" w:color="auto"/>
        <w:right w:val="none" w:sz="0" w:space="0" w:color="auto"/>
      </w:divBdr>
    </w:div>
    <w:div w:id="1751001616">
      <w:bodyDiv w:val="1"/>
      <w:marLeft w:val="0"/>
      <w:marRight w:val="0"/>
      <w:marTop w:val="0"/>
      <w:marBottom w:val="0"/>
      <w:divBdr>
        <w:top w:val="none" w:sz="0" w:space="0" w:color="auto"/>
        <w:left w:val="none" w:sz="0" w:space="0" w:color="auto"/>
        <w:bottom w:val="none" w:sz="0" w:space="0" w:color="auto"/>
        <w:right w:val="none" w:sz="0" w:space="0" w:color="auto"/>
      </w:divBdr>
    </w:div>
    <w:div w:id="1752000745">
      <w:bodyDiv w:val="1"/>
      <w:marLeft w:val="0"/>
      <w:marRight w:val="0"/>
      <w:marTop w:val="0"/>
      <w:marBottom w:val="0"/>
      <w:divBdr>
        <w:top w:val="none" w:sz="0" w:space="0" w:color="auto"/>
        <w:left w:val="none" w:sz="0" w:space="0" w:color="auto"/>
        <w:bottom w:val="none" w:sz="0" w:space="0" w:color="auto"/>
        <w:right w:val="none" w:sz="0" w:space="0" w:color="auto"/>
      </w:divBdr>
    </w:div>
    <w:div w:id="1752005436">
      <w:bodyDiv w:val="1"/>
      <w:marLeft w:val="0"/>
      <w:marRight w:val="0"/>
      <w:marTop w:val="0"/>
      <w:marBottom w:val="0"/>
      <w:divBdr>
        <w:top w:val="none" w:sz="0" w:space="0" w:color="auto"/>
        <w:left w:val="none" w:sz="0" w:space="0" w:color="auto"/>
        <w:bottom w:val="none" w:sz="0" w:space="0" w:color="auto"/>
        <w:right w:val="none" w:sz="0" w:space="0" w:color="auto"/>
      </w:divBdr>
    </w:div>
    <w:div w:id="1752652647">
      <w:bodyDiv w:val="1"/>
      <w:marLeft w:val="0"/>
      <w:marRight w:val="0"/>
      <w:marTop w:val="0"/>
      <w:marBottom w:val="0"/>
      <w:divBdr>
        <w:top w:val="none" w:sz="0" w:space="0" w:color="auto"/>
        <w:left w:val="none" w:sz="0" w:space="0" w:color="auto"/>
        <w:bottom w:val="none" w:sz="0" w:space="0" w:color="auto"/>
        <w:right w:val="none" w:sz="0" w:space="0" w:color="auto"/>
      </w:divBdr>
    </w:div>
    <w:div w:id="1754745152">
      <w:bodyDiv w:val="1"/>
      <w:marLeft w:val="0"/>
      <w:marRight w:val="0"/>
      <w:marTop w:val="0"/>
      <w:marBottom w:val="0"/>
      <w:divBdr>
        <w:top w:val="none" w:sz="0" w:space="0" w:color="auto"/>
        <w:left w:val="none" w:sz="0" w:space="0" w:color="auto"/>
        <w:bottom w:val="none" w:sz="0" w:space="0" w:color="auto"/>
        <w:right w:val="none" w:sz="0" w:space="0" w:color="auto"/>
      </w:divBdr>
    </w:div>
    <w:div w:id="1758742545">
      <w:bodyDiv w:val="1"/>
      <w:marLeft w:val="0"/>
      <w:marRight w:val="0"/>
      <w:marTop w:val="0"/>
      <w:marBottom w:val="0"/>
      <w:divBdr>
        <w:top w:val="none" w:sz="0" w:space="0" w:color="auto"/>
        <w:left w:val="none" w:sz="0" w:space="0" w:color="auto"/>
        <w:bottom w:val="none" w:sz="0" w:space="0" w:color="auto"/>
        <w:right w:val="none" w:sz="0" w:space="0" w:color="auto"/>
      </w:divBdr>
    </w:div>
    <w:div w:id="1762601855">
      <w:bodyDiv w:val="1"/>
      <w:marLeft w:val="0"/>
      <w:marRight w:val="0"/>
      <w:marTop w:val="0"/>
      <w:marBottom w:val="0"/>
      <w:divBdr>
        <w:top w:val="none" w:sz="0" w:space="0" w:color="auto"/>
        <w:left w:val="none" w:sz="0" w:space="0" w:color="auto"/>
        <w:bottom w:val="none" w:sz="0" w:space="0" w:color="auto"/>
        <w:right w:val="none" w:sz="0" w:space="0" w:color="auto"/>
      </w:divBdr>
    </w:div>
    <w:div w:id="1767385486">
      <w:bodyDiv w:val="1"/>
      <w:marLeft w:val="0"/>
      <w:marRight w:val="0"/>
      <w:marTop w:val="0"/>
      <w:marBottom w:val="0"/>
      <w:divBdr>
        <w:top w:val="none" w:sz="0" w:space="0" w:color="auto"/>
        <w:left w:val="none" w:sz="0" w:space="0" w:color="auto"/>
        <w:bottom w:val="none" w:sz="0" w:space="0" w:color="auto"/>
        <w:right w:val="none" w:sz="0" w:space="0" w:color="auto"/>
      </w:divBdr>
    </w:div>
    <w:div w:id="1771273363">
      <w:bodyDiv w:val="1"/>
      <w:marLeft w:val="0"/>
      <w:marRight w:val="0"/>
      <w:marTop w:val="0"/>
      <w:marBottom w:val="0"/>
      <w:divBdr>
        <w:top w:val="none" w:sz="0" w:space="0" w:color="auto"/>
        <w:left w:val="none" w:sz="0" w:space="0" w:color="auto"/>
        <w:bottom w:val="none" w:sz="0" w:space="0" w:color="auto"/>
        <w:right w:val="none" w:sz="0" w:space="0" w:color="auto"/>
      </w:divBdr>
    </w:div>
    <w:div w:id="1773889442">
      <w:bodyDiv w:val="1"/>
      <w:marLeft w:val="0"/>
      <w:marRight w:val="0"/>
      <w:marTop w:val="0"/>
      <w:marBottom w:val="0"/>
      <w:divBdr>
        <w:top w:val="none" w:sz="0" w:space="0" w:color="auto"/>
        <w:left w:val="none" w:sz="0" w:space="0" w:color="auto"/>
        <w:bottom w:val="none" w:sz="0" w:space="0" w:color="auto"/>
        <w:right w:val="none" w:sz="0" w:space="0" w:color="auto"/>
      </w:divBdr>
    </w:div>
    <w:div w:id="1775901214">
      <w:bodyDiv w:val="1"/>
      <w:marLeft w:val="0"/>
      <w:marRight w:val="0"/>
      <w:marTop w:val="0"/>
      <w:marBottom w:val="0"/>
      <w:divBdr>
        <w:top w:val="none" w:sz="0" w:space="0" w:color="auto"/>
        <w:left w:val="none" w:sz="0" w:space="0" w:color="auto"/>
        <w:bottom w:val="none" w:sz="0" w:space="0" w:color="auto"/>
        <w:right w:val="none" w:sz="0" w:space="0" w:color="auto"/>
      </w:divBdr>
    </w:div>
    <w:div w:id="1784811995">
      <w:bodyDiv w:val="1"/>
      <w:marLeft w:val="0"/>
      <w:marRight w:val="0"/>
      <w:marTop w:val="0"/>
      <w:marBottom w:val="0"/>
      <w:divBdr>
        <w:top w:val="none" w:sz="0" w:space="0" w:color="auto"/>
        <w:left w:val="none" w:sz="0" w:space="0" w:color="auto"/>
        <w:bottom w:val="none" w:sz="0" w:space="0" w:color="auto"/>
        <w:right w:val="none" w:sz="0" w:space="0" w:color="auto"/>
      </w:divBdr>
    </w:div>
    <w:div w:id="1790392273">
      <w:bodyDiv w:val="1"/>
      <w:marLeft w:val="0"/>
      <w:marRight w:val="0"/>
      <w:marTop w:val="0"/>
      <w:marBottom w:val="0"/>
      <w:divBdr>
        <w:top w:val="none" w:sz="0" w:space="0" w:color="auto"/>
        <w:left w:val="none" w:sz="0" w:space="0" w:color="auto"/>
        <w:bottom w:val="none" w:sz="0" w:space="0" w:color="auto"/>
        <w:right w:val="none" w:sz="0" w:space="0" w:color="auto"/>
      </w:divBdr>
    </w:div>
    <w:div w:id="1793396818">
      <w:bodyDiv w:val="1"/>
      <w:marLeft w:val="0"/>
      <w:marRight w:val="0"/>
      <w:marTop w:val="0"/>
      <w:marBottom w:val="0"/>
      <w:divBdr>
        <w:top w:val="none" w:sz="0" w:space="0" w:color="auto"/>
        <w:left w:val="none" w:sz="0" w:space="0" w:color="auto"/>
        <w:bottom w:val="none" w:sz="0" w:space="0" w:color="auto"/>
        <w:right w:val="none" w:sz="0" w:space="0" w:color="auto"/>
      </w:divBdr>
    </w:div>
    <w:div w:id="1799227559">
      <w:bodyDiv w:val="1"/>
      <w:marLeft w:val="0"/>
      <w:marRight w:val="0"/>
      <w:marTop w:val="0"/>
      <w:marBottom w:val="0"/>
      <w:divBdr>
        <w:top w:val="none" w:sz="0" w:space="0" w:color="auto"/>
        <w:left w:val="none" w:sz="0" w:space="0" w:color="auto"/>
        <w:bottom w:val="none" w:sz="0" w:space="0" w:color="auto"/>
        <w:right w:val="none" w:sz="0" w:space="0" w:color="auto"/>
      </w:divBdr>
    </w:div>
    <w:div w:id="1808165626">
      <w:bodyDiv w:val="1"/>
      <w:marLeft w:val="0"/>
      <w:marRight w:val="0"/>
      <w:marTop w:val="0"/>
      <w:marBottom w:val="0"/>
      <w:divBdr>
        <w:top w:val="none" w:sz="0" w:space="0" w:color="auto"/>
        <w:left w:val="none" w:sz="0" w:space="0" w:color="auto"/>
        <w:bottom w:val="none" w:sz="0" w:space="0" w:color="auto"/>
        <w:right w:val="none" w:sz="0" w:space="0" w:color="auto"/>
      </w:divBdr>
    </w:div>
    <w:div w:id="1808736538">
      <w:bodyDiv w:val="1"/>
      <w:marLeft w:val="0"/>
      <w:marRight w:val="0"/>
      <w:marTop w:val="0"/>
      <w:marBottom w:val="0"/>
      <w:divBdr>
        <w:top w:val="none" w:sz="0" w:space="0" w:color="auto"/>
        <w:left w:val="none" w:sz="0" w:space="0" w:color="auto"/>
        <w:bottom w:val="none" w:sz="0" w:space="0" w:color="auto"/>
        <w:right w:val="none" w:sz="0" w:space="0" w:color="auto"/>
      </w:divBdr>
    </w:div>
    <w:div w:id="1809979062">
      <w:bodyDiv w:val="1"/>
      <w:marLeft w:val="0"/>
      <w:marRight w:val="0"/>
      <w:marTop w:val="0"/>
      <w:marBottom w:val="0"/>
      <w:divBdr>
        <w:top w:val="none" w:sz="0" w:space="0" w:color="auto"/>
        <w:left w:val="none" w:sz="0" w:space="0" w:color="auto"/>
        <w:bottom w:val="none" w:sz="0" w:space="0" w:color="auto"/>
        <w:right w:val="none" w:sz="0" w:space="0" w:color="auto"/>
      </w:divBdr>
    </w:div>
    <w:div w:id="1814643057">
      <w:bodyDiv w:val="1"/>
      <w:marLeft w:val="0"/>
      <w:marRight w:val="0"/>
      <w:marTop w:val="0"/>
      <w:marBottom w:val="0"/>
      <w:divBdr>
        <w:top w:val="none" w:sz="0" w:space="0" w:color="auto"/>
        <w:left w:val="none" w:sz="0" w:space="0" w:color="auto"/>
        <w:bottom w:val="none" w:sz="0" w:space="0" w:color="auto"/>
        <w:right w:val="none" w:sz="0" w:space="0" w:color="auto"/>
      </w:divBdr>
    </w:div>
    <w:div w:id="1816798670">
      <w:bodyDiv w:val="1"/>
      <w:marLeft w:val="0"/>
      <w:marRight w:val="0"/>
      <w:marTop w:val="0"/>
      <w:marBottom w:val="0"/>
      <w:divBdr>
        <w:top w:val="none" w:sz="0" w:space="0" w:color="auto"/>
        <w:left w:val="none" w:sz="0" w:space="0" w:color="auto"/>
        <w:bottom w:val="none" w:sz="0" w:space="0" w:color="auto"/>
        <w:right w:val="none" w:sz="0" w:space="0" w:color="auto"/>
      </w:divBdr>
    </w:div>
    <w:div w:id="1820266706">
      <w:bodyDiv w:val="1"/>
      <w:marLeft w:val="0"/>
      <w:marRight w:val="0"/>
      <w:marTop w:val="0"/>
      <w:marBottom w:val="0"/>
      <w:divBdr>
        <w:top w:val="none" w:sz="0" w:space="0" w:color="auto"/>
        <w:left w:val="none" w:sz="0" w:space="0" w:color="auto"/>
        <w:bottom w:val="none" w:sz="0" w:space="0" w:color="auto"/>
        <w:right w:val="none" w:sz="0" w:space="0" w:color="auto"/>
      </w:divBdr>
    </w:div>
    <w:div w:id="1821265424">
      <w:bodyDiv w:val="1"/>
      <w:marLeft w:val="0"/>
      <w:marRight w:val="0"/>
      <w:marTop w:val="0"/>
      <w:marBottom w:val="0"/>
      <w:divBdr>
        <w:top w:val="none" w:sz="0" w:space="0" w:color="auto"/>
        <w:left w:val="none" w:sz="0" w:space="0" w:color="auto"/>
        <w:bottom w:val="none" w:sz="0" w:space="0" w:color="auto"/>
        <w:right w:val="none" w:sz="0" w:space="0" w:color="auto"/>
      </w:divBdr>
    </w:div>
    <w:div w:id="1822499756">
      <w:bodyDiv w:val="1"/>
      <w:marLeft w:val="0"/>
      <w:marRight w:val="0"/>
      <w:marTop w:val="0"/>
      <w:marBottom w:val="0"/>
      <w:divBdr>
        <w:top w:val="none" w:sz="0" w:space="0" w:color="auto"/>
        <w:left w:val="none" w:sz="0" w:space="0" w:color="auto"/>
        <w:bottom w:val="none" w:sz="0" w:space="0" w:color="auto"/>
        <w:right w:val="none" w:sz="0" w:space="0" w:color="auto"/>
      </w:divBdr>
    </w:div>
    <w:div w:id="1828323836">
      <w:bodyDiv w:val="1"/>
      <w:marLeft w:val="0"/>
      <w:marRight w:val="0"/>
      <w:marTop w:val="0"/>
      <w:marBottom w:val="0"/>
      <w:divBdr>
        <w:top w:val="none" w:sz="0" w:space="0" w:color="auto"/>
        <w:left w:val="none" w:sz="0" w:space="0" w:color="auto"/>
        <w:bottom w:val="none" w:sz="0" w:space="0" w:color="auto"/>
        <w:right w:val="none" w:sz="0" w:space="0" w:color="auto"/>
      </w:divBdr>
    </w:div>
    <w:div w:id="1835098192">
      <w:bodyDiv w:val="1"/>
      <w:marLeft w:val="0"/>
      <w:marRight w:val="0"/>
      <w:marTop w:val="0"/>
      <w:marBottom w:val="0"/>
      <w:divBdr>
        <w:top w:val="none" w:sz="0" w:space="0" w:color="auto"/>
        <w:left w:val="none" w:sz="0" w:space="0" w:color="auto"/>
        <w:bottom w:val="none" w:sz="0" w:space="0" w:color="auto"/>
        <w:right w:val="none" w:sz="0" w:space="0" w:color="auto"/>
      </w:divBdr>
    </w:div>
    <w:div w:id="1836989661">
      <w:bodyDiv w:val="1"/>
      <w:marLeft w:val="0"/>
      <w:marRight w:val="0"/>
      <w:marTop w:val="0"/>
      <w:marBottom w:val="0"/>
      <w:divBdr>
        <w:top w:val="none" w:sz="0" w:space="0" w:color="auto"/>
        <w:left w:val="none" w:sz="0" w:space="0" w:color="auto"/>
        <w:bottom w:val="none" w:sz="0" w:space="0" w:color="auto"/>
        <w:right w:val="none" w:sz="0" w:space="0" w:color="auto"/>
      </w:divBdr>
    </w:div>
    <w:div w:id="1837961730">
      <w:bodyDiv w:val="1"/>
      <w:marLeft w:val="0"/>
      <w:marRight w:val="0"/>
      <w:marTop w:val="0"/>
      <w:marBottom w:val="0"/>
      <w:divBdr>
        <w:top w:val="none" w:sz="0" w:space="0" w:color="auto"/>
        <w:left w:val="none" w:sz="0" w:space="0" w:color="auto"/>
        <w:bottom w:val="none" w:sz="0" w:space="0" w:color="auto"/>
        <w:right w:val="none" w:sz="0" w:space="0" w:color="auto"/>
      </w:divBdr>
    </w:div>
    <w:div w:id="1838299451">
      <w:bodyDiv w:val="1"/>
      <w:marLeft w:val="0"/>
      <w:marRight w:val="0"/>
      <w:marTop w:val="0"/>
      <w:marBottom w:val="0"/>
      <w:divBdr>
        <w:top w:val="none" w:sz="0" w:space="0" w:color="auto"/>
        <w:left w:val="none" w:sz="0" w:space="0" w:color="auto"/>
        <w:bottom w:val="none" w:sz="0" w:space="0" w:color="auto"/>
        <w:right w:val="none" w:sz="0" w:space="0" w:color="auto"/>
      </w:divBdr>
    </w:div>
    <w:div w:id="1838379033">
      <w:bodyDiv w:val="1"/>
      <w:marLeft w:val="0"/>
      <w:marRight w:val="0"/>
      <w:marTop w:val="0"/>
      <w:marBottom w:val="0"/>
      <w:divBdr>
        <w:top w:val="none" w:sz="0" w:space="0" w:color="auto"/>
        <w:left w:val="none" w:sz="0" w:space="0" w:color="auto"/>
        <w:bottom w:val="none" w:sz="0" w:space="0" w:color="auto"/>
        <w:right w:val="none" w:sz="0" w:space="0" w:color="auto"/>
      </w:divBdr>
    </w:div>
    <w:div w:id="1843620721">
      <w:bodyDiv w:val="1"/>
      <w:marLeft w:val="0"/>
      <w:marRight w:val="0"/>
      <w:marTop w:val="0"/>
      <w:marBottom w:val="0"/>
      <w:divBdr>
        <w:top w:val="none" w:sz="0" w:space="0" w:color="auto"/>
        <w:left w:val="none" w:sz="0" w:space="0" w:color="auto"/>
        <w:bottom w:val="none" w:sz="0" w:space="0" w:color="auto"/>
        <w:right w:val="none" w:sz="0" w:space="0" w:color="auto"/>
      </w:divBdr>
    </w:div>
    <w:div w:id="1846551660">
      <w:bodyDiv w:val="1"/>
      <w:marLeft w:val="0"/>
      <w:marRight w:val="0"/>
      <w:marTop w:val="0"/>
      <w:marBottom w:val="0"/>
      <w:divBdr>
        <w:top w:val="none" w:sz="0" w:space="0" w:color="auto"/>
        <w:left w:val="none" w:sz="0" w:space="0" w:color="auto"/>
        <w:bottom w:val="none" w:sz="0" w:space="0" w:color="auto"/>
        <w:right w:val="none" w:sz="0" w:space="0" w:color="auto"/>
      </w:divBdr>
    </w:div>
    <w:div w:id="1852529601">
      <w:bodyDiv w:val="1"/>
      <w:marLeft w:val="0"/>
      <w:marRight w:val="0"/>
      <w:marTop w:val="0"/>
      <w:marBottom w:val="0"/>
      <w:divBdr>
        <w:top w:val="none" w:sz="0" w:space="0" w:color="auto"/>
        <w:left w:val="none" w:sz="0" w:space="0" w:color="auto"/>
        <w:bottom w:val="none" w:sz="0" w:space="0" w:color="auto"/>
        <w:right w:val="none" w:sz="0" w:space="0" w:color="auto"/>
      </w:divBdr>
    </w:div>
    <w:div w:id="1854492977">
      <w:bodyDiv w:val="1"/>
      <w:marLeft w:val="0"/>
      <w:marRight w:val="0"/>
      <w:marTop w:val="0"/>
      <w:marBottom w:val="0"/>
      <w:divBdr>
        <w:top w:val="none" w:sz="0" w:space="0" w:color="auto"/>
        <w:left w:val="none" w:sz="0" w:space="0" w:color="auto"/>
        <w:bottom w:val="none" w:sz="0" w:space="0" w:color="auto"/>
        <w:right w:val="none" w:sz="0" w:space="0" w:color="auto"/>
      </w:divBdr>
    </w:div>
    <w:div w:id="1854951290">
      <w:bodyDiv w:val="1"/>
      <w:marLeft w:val="0"/>
      <w:marRight w:val="0"/>
      <w:marTop w:val="0"/>
      <w:marBottom w:val="0"/>
      <w:divBdr>
        <w:top w:val="none" w:sz="0" w:space="0" w:color="auto"/>
        <w:left w:val="none" w:sz="0" w:space="0" w:color="auto"/>
        <w:bottom w:val="none" w:sz="0" w:space="0" w:color="auto"/>
        <w:right w:val="none" w:sz="0" w:space="0" w:color="auto"/>
      </w:divBdr>
    </w:div>
    <w:div w:id="1855726021">
      <w:bodyDiv w:val="1"/>
      <w:marLeft w:val="0"/>
      <w:marRight w:val="0"/>
      <w:marTop w:val="0"/>
      <w:marBottom w:val="0"/>
      <w:divBdr>
        <w:top w:val="none" w:sz="0" w:space="0" w:color="auto"/>
        <w:left w:val="none" w:sz="0" w:space="0" w:color="auto"/>
        <w:bottom w:val="none" w:sz="0" w:space="0" w:color="auto"/>
        <w:right w:val="none" w:sz="0" w:space="0" w:color="auto"/>
      </w:divBdr>
    </w:div>
    <w:div w:id="1859352053">
      <w:bodyDiv w:val="1"/>
      <w:marLeft w:val="0"/>
      <w:marRight w:val="0"/>
      <w:marTop w:val="0"/>
      <w:marBottom w:val="0"/>
      <w:divBdr>
        <w:top w:val="none" w:sz="0" w:space="0" w:color="auto"/>
        <w:left w:val="none" w:sz="0" w:space="0" w:color="auto"/>
        <w:bottom w:val="none" w:sz="0" w:space="0" w:color="auto"/>
        <w:right w:val="none" w:sz="0" w:space="0" w:color="auto"/>
      </w:divBdr>
    </w:div>
    <w:div w:id="1865094759">
      <w:bodyDiv w:val="1"/>
      <w:marLeft w:val="0"/>
      <w:marRight w:val="0"/>
      <w:marTop w:val="0"/>
      <w:marBottom w:val="0"/>
      <w:divBdr>
        <w:top w:val="none" w:sz="0" w:space="0" w:color="auto"/>
        <w:left w:val="none" w:sz="0" w:space="0" w:color="auto"/>
        <w:bottom w:val="none" w:sz="0" w:space="0" w:color="auto"/>
        <w:right w:val="none" w:sz="0" w:space="0" w:color="auto"/>
      </w:divBdr>
    </w:div>
    <w:div w:id="1868130785">
      <w:bodyDiv w:val="1"/>
      <w:marLeft w:val="0"/>
      <w:marRight w:val="0"/>
      <w:marTop w:val="0"/>
      <w:marBottom w:val="0"/>
      <w:divBdr>
        <w:top w:val="none" w:sz="0" w:space="0" w:color="auto"/>
        <w:left w:val="none" w:sz="0" w:space="0" w:color="auto"/>
        <w:bottom w:val="none" w:sz="0" w:space="0" w:color="auto"/>
        <w:right w:val="none" w:sz="0" w:space="0" w:color="auto"/>
      </w:divBdr>
    </w:div>
    <w:div w:id="1880390651">
      <w:bodyDiv w:val="1"/>
      <w:marLeft w:val="0"/>
      <w:marRight w:val="0"/>
      <w:marTop w:val="0"/>
      <w:marBottom w:val="0"/>
      <w:divBdr>
        <w:top w:val="none" w:sz="0" w:space="0" w:color="auto"/>
        <w:left w:val="none" w:sz="0" w:space="0" w:color="auto"/>
        <w:bottom w:val="none" w:sz="0" w:space="0" w:color="auto"/>
        <w:right w:val="none" w:sz="0" w:space="0" w:color="auto"/>
      </w:divBdr>
    </w:div>
    <w:div w:id="1880778955">
      <w:bodyDiv w:val="1"/>
      <w:marLeft w:val="0"/>
      <w:marRight w:val="0"/>
      <w:marTop w:val="0"/>
      <w:marBottom w:val="0"/>
      <w:divBdr>
        <w:top w:val="none" w:sz="0" w:space="0" w:color="auto"/>
        <w:left w:val="none" w:sz="0" w:space="0" w:color="auto"/>
        <w:bottom w:val="none" w:sz="0" w:space="0" w:color="auto"/>
        <w:right w:val="none" w:sz="0" w:space="0" w:color="auto"/>
      </w:divBdr>
    </w:div>
    <w:div w:id="1890530223">
      <w:bodyDiv w:val="1"/>
      <w:marLeft w:val="0"/>
      <w:marRight w:val="0"/>
      <w:marTop w:val="0"/>
      <w:marBottom w:val="0"/>
      <w:divBdr>
        <w:top w:val="none" w:sz="0" w:space="0" w:color="auto"/>
        <w:left w:val="none" w:sz="0" w:space="0" w:color="auto"/>
        <w:bottom w:val="none" w:sz="0" w:space="0" w:color="auto"/>
        <w:right w:val="none" w:sz="0" w:space="0" w:color="auto"/>
      </w:divBdr>
    </w:div>
    <w:div w:id="1909420587">
      <w:bodyDiv w:val="1"/>
      <w:marLeft w:val="0"/>
      <w:marRight w:val="0"/>
      <w:marTop w:val="0"/>
      <w:marBottom w:val="0"/>
      <w:divBdr>
        <w:top w:val="none" w:sz="0" w:space="0" w:color="auto"/>
        <w:left w:val="none" w:sz="0" w:space="0" w:color="auto"/>
        <w:bottom w:val="none" w:sz="0" w:space="0" w:color="auto"/>
        <w:right w:val="none" w:sz="0" w:space="0" w:color="auto"/>
      </w:divBdr>
    </w:div>
    <w:div w:id="1910074659">
      <w:bodyDiv w:val="1"/>
      <w:marLeft w:val="0"/>
      <w:marRight w:val="0"/>
      <w:marTop w:val="0"/>
      <w:marBottom w:val="0"/>
      <w:divBdr>
        <w:top w:val="none" w:sz="0" w:space="0" w:color="auto"/>
        <w:left w:val="none" w:sz="0" w:space="0" w:color="auto"/>
        <w:bottom w:val="none" w:sz="0" w:space="0" w:color="auto"/>
        <w:right w:val="none" w:sz="0" w:space="0" w:color="auto"/>
      </w:divBdr>
    </w:div>
    <w:div w:id="1919900894">
      <w:bodyDiv w:val="1"/>
      <w:marLeft w:val="0"/>
      <w:marRight w:val="0"/>
      <w:marTop w:val="0"/>
      <w:marBottom w:val="0"/>
      <w:divBdr>
        <w:top w:val="none" w:sz="0" w:space="0" w:color="auto"/>
        <w:left w:val="none" w:sz="0" w:space="0" w:color="auto"/>
        <w:bottom w:val="none" w:sz="0" w:space="0" w:color="auto"/>
        <w:right w:val="none" w:sz="0" w:space="0" w:color="auto"/>
      </w:divBdr>
    </w:div>
    <w:div w:id="1921600842">
      <w:bodyDiv w:val="1"/>
      <w:marLeft w:val="0"/>
      <w:marRight w:val="0"/>
      <w:marTop w:val="0"/>
      <w:marBottom w:val="0"/>
      <w:divBdr>
        <w:top w:val="none" w:sz="0" w:space="0" w:color="auto"/>
        <w:left w:val="none" w:sz="0" w:space="0" w:color="auto"/>
        <w:bottom w:val="none" w:sz="0" w:space="0" w:color="auto"/>
        <w:right w:val="none" w:sz="0" w:space="0" w:color="auto"/>
      </w:divBdr>
    </w:div>
    <w:div w:id="1924758418">
      <w:bodyDiv w:val="1"/>
      <w:marLeft w:val="0"/>
      <w:marRight w:val="0"/>
      <w:marTop w:val="0"/>
      <w:marBottom w:val="0"/>
      <w:divBdr>
        <w:top w:val="none" w:sz="0" w:space="0" w:color="auto"/>
        <w:left w:val="none" w:sz="0" w:space="0" w:color="auto"/>
        <w:bottom w:val="none" w:sz="0" w:space="0" w:color="auto"/>
        <w:right w:val="none" w:sz="0" w:space="0" w:color="auto"/>
      </w:divBdr>
    </w:div>
    <w:div w:id="1927885654">
      <w:bodyDiv w:val="1"/>
      <w:marLeft w:val="0"/>
      <w:marRight w:val="0"/>
      <w:marTop w:val="0"/>
      <w:marBottom w:val="0"/>
      <w:divBdr>
        <w:top w:val="none" w:sz="0" w:space="0" w:color="auto"/>
        <w:left w:val="none" w:sz="0" w:space="0" w:color="auto"/>
        <w:bottom w:val="none" w:sz="0" w:space="0" w:color="auto"/>
        <w:right w:val="none" w:sz="0" w:space="0" w:color="auto"/>
      </w:divBdr>
    </w:div>
    <w:div w:id="1928611152">
      <w:bodyDiv w:val="1"/>
      <w:marLeft w:val="0"/>
      <w:marRight w:val="0"/>
      <w:marTop w:val="0"/>
      <w:marBottom w:val="0"/>
      <w:divBdr>
        <w:top w:val="none" w:sz="0" w:space="0" w:color="auto"/>
        <w:left w:val="none" w:sz="0" w:space="0" w:color="auto"/>
        <w:bottom w:val="none" w:sz="0" w:space="0" w:color="auto"/>
        <w:right w:val="none" w:sz="0" w:space="0" w:color="auto"/>
      </w:divBdr>
    </w:div>
    <w:div w:id="1935363497">
      <w:bodyDiv w:val="1"/>
      <w:marLeft w:val="0"/>
      <w:marRight w:val="0"/>
      <w:marTop w:val="0"/>
      <w:marBottom w:val="0"/>
      <w:divBdr>
        <w:top w:val="none" w:sz="0" w:space="0" w:color="auto"/>
        <w:left w:val="none" w:sz="0" w:space="0" w:color="auto"/>
        <w:bottom w:val="none" w:sz="0" w:space="0" w:color="auto"/>
        <w:right w:val="none" w:sz="0" w:space="0" w:color="auto"/>
      </w:divBdr>
    </w:div>
    <w:div w:id="1937975940">
      <w:bodyDiv w:val="1"/>
      <w:marLeft w:val="0"/>
      <w:marRight w:val="0"/>
      <w:marTop w:val="0"/>
      <w:marBottom w:val="0"/>
      <w:divBdr>
        <w:top w:val="none" w:sz="0" w:space="0" w:color="auto"/>
        <w:left w:val="none" w:sz="0" w:space="0" w:color="auto"/>
        <w:bottom w:val="none" w:sz="0" w:space="0" w:color="auto"/>
        <w:right w:val="none" w:sz="0" w:space="0" w:color="auto"/>
      </w:divBdr>
    </w:div>
    <w:div w:id="1940214328">
      <w:bodyDiv w:val="1"/>
      <w:marLeft w:val="0"/>
      <w:marRight w:val="0"/>
      <w:marTop w:val="0"/>
      <w:marBottom w:val="0"/>
      <w:divBdr>
        <w:top w:val="none" w:sz="0" w:space="0" w:color="auto"/>
        <w:left w:val="none" w:sz="0" w:space="0" w:color="auto"/>
        <w:bottom w:val="none" w:sz="0" w:space="0" w:color="auto"/>
        <w:right w:val="none" w:sz="0" w:space="0" w:color="auto"/>
      </w:divBdr>
    </w:div>
    <w:div w:id="1944607131">
      <w:bodyDiv w:val="1"/>
      <w:marLeft w:val="0"/>
      <w:marRight w:val="0"/>
      <w:marTop w:val="0"/>
      <w:marBottom w:val="0"/>
      <w:divBdr>
        <w:top w:val="none" w:sz="0" w:space="0" w:color="auto"/>
        <w:left w:val="none" w:sz="0" w:space="0" w:color="auto"/>
        <w:bottom w:val="none" w:sz="0" w:space="0" w:color="auto"/>
        <w:right w:val="none" w:sz="0" w:space="0" w:color="auto"/>
      </w:divBdr>
    </w:div>
    <w:div w:id="1949197209">
      <w:bodyDiv w:val="1"/>
      <w:marLeft w:val="0"/>
      <w:marRight w:val="0"/>
      <w:marTop w:val="0"/>
      <w:marBottom w:val="0"/>
      <w:divBdr>
        <w:top w:val="none" w:sz="0" w:space="0" w:color="auto"/>
        <w:left w:val="none" w:sz="0" w:space="0" w:color="auto"/>
        <w:bottom w:val="none" w:sz="0" w:space="0" w:color="auto"/>
        <w:right w:val="none" w:sz="0" w:space="0" w:color="auto"/>
      </w:divBdr>
    </w:div>
    <w:div w:id="1951476044">
      <w:bodyDiv w:val="1"/>
      <w:marLeft w:val="0"/>
      <w:marRight w:val="0"/>
      <w:marTop w:val="0"/>
      <w:marBottom w:val="0"/>
      <w:divBdr>
        <w:top w:val="none" w:sz="0" w:space="0" w:color="auto"/>
        <w:left w:val="none" w:sz="0" w:space="0" w:color="auto"/>
        <w:bottom w:val="none" w:sz="0" w:space="0" w:color="auto"/>
        <w:right w:val="none" w:sz="0" w:space="0" w:color="auto"/>
      </w:divBdr>
    </w:div>
    <w:div w:id="1956015930">
      <w:bodyDiv w:val="1"/>
      <w:marLeft w:val="0"/>
      <w:marRight w:val="0"/>
      <w:marTop w:val="0"/>
      <w:marBottom w:val="0"/>
      <w:divBdr>
        <w:top w:val="none" w:sz="0" w:space="0" w:color="auto"/>
        <w:left w:val="none" w:sz="0" w:space="0" w:color="auto"/>
        <w:bottom w:val="none" w:sz="0" w:space="0" w:color="auto"/>
        <w:right w:val="none" w:sz="0" w:space="0" w:color="auto"/>
      </w:divBdr>
    </w:div>
    <w:div w:id="1958558570">
      <w:bodyDiv w:val="1"/>
      <w:marLeft w:val="0"/>
      <w:marRight w:val="0"/>
      <w:marTop w:val="0"/>
      <w:marBottom w:val="0"/>
      <w:divBdr>
        <w:top w:val="none" w:sz="0" w:space="0" w:color="auto"/>
        <w:left w:val="none" w:sz="0" w:space="0" w:color="auto"/>
        <w:bottom w:val="none" w:sz="0" w:space="0" w:color="auto"/>
        <w:right w:val="none" w:sz="0" w:space="0" w:color="auto"/>
      </w:divBdr>
    </w:div>
    <w:div w:id="1962418920">
      <w:bodyDiv w:val="1"/>
      <w:marLeft w:val="0"/>
      <w:marRight w:val="0"/>
      <w:marTop w:val="0"/>
      <w:marBottom w:val="0"/>
      <w:divBdr>
        <w:top w:val="none" w:sz="0" w:space="0" w:color="auto"/>
        <w:left w:val="none" w:sz="0" w:space="0" w:color="auto"/>
        <w:bottom w:val="none" w:sz="0" w:space="0" w:color="auto"/>
        <w:right w:val="none" w:sz="0" w:space="0" w:color="auto"/>
      </w:divBdr>
    </w:div>
    <w:div w:id="1970278641">
      <w:bodyDiv w:val="1"/>
      <w:marLeft w:val="0"/>
      <w:marRight w:val="0"/>
      <w:marTop w:val="0"/>
      <w:marBottom w:val="0"/>
      <w:divBdr>
        <w:top w:val="none" w:sz="0" w:space="0" w:color="auto"/>
        <w:left w:val="none" w:sz="0" w:space="0" w:color="auto"/>
        <w:bottom w:val="none" w:sz="0" w:space="0" w:color="auto"/>
        <w:right w:val="none" w:sz="0" w:space="0" w:color="auto"/>
      </w:divBdr>
    </w:div>
    <w:div w:id="1971476426">
      <w:bodyDiv w:val="1"/>
      <w:marLeft w:val="0"/>
      <w:marRight w:val="0"/>
      <w:marTop w:val="0"/>
      <w:marBottom w:val="0"/>
      <w:divBdr>
        <w:top w:val="none" w:sz="0" w:space="0" w:color="auto"/>
        <w:left w:val="none" w:sz="0" w:space="0" w:color="auto"/>
        <w:bottom w:val="none" w:sz="0" w:space="0" w:color="auto"/>
        <w:right w:val="none" w:sz="0" w:space="0" w:color="auto"/>
      </w:divBdr>
    </w:div>
    <w:div w:id="1975526523">
      <w:bodyDiv w:val="1"/>
      <w:marLeft w:val="0"/>
      <w:marRight w:val="0"/>
      <w:marTop w:val="0"/>
      <w:marBottom w:val="0"/>
      <w:divBdr>
        <w:top w:val="none" w:sz="0" w:space="0" w:color="auto"/>
        <w:left w:val="none" w:sz="0" w:space="0" w:color="auto"/>
        <w:bottom w:val="none" w:sz="0" w:space="0" w:color="auto"/>
        <w:right w:val="none" w:sz="0" w:space="0" w:color="auto"/>
      </w:divBdr>
    </w:div>
    <w:div w:id="1975672795">
      <w:bodyDiv w:val="1"/>
      <w:marLeft w:val="0"/>
      <w:marRight w:val="0"/>
      <w:marTop w:val="0"/>
      <w:marBottom w:val="0"/>
      <w:divBdr>
        <w:top w:val="none" w:sz="0" w:space="0" w:color="auto"/>
        <w:left w:val="none" w:sz="0" w:space="0" w:color="auto"/>
        <w:bottom w:val="none" w:sz="0" w:space="0" w:color="auto"/>
        <w:right w:val="none" w:sz="0" w:space="0" w:color="auto"/>
      </w:divBdr>
    </w:div>
    <w:div w:id="1985967004">
      <w:bodyDiv w:val="1"/>
      <w:marLeft w:val="0"/>
      <w:marRight w:val="0"/>
      <w:marTop w:val="0"/>
      <w:marBottom w:val="0"/>
      <w:divBdr>
        <w:top w:val="none" w:sz="0" w:space="0" w:color="auto"/>
        <w:left w:val="none" w:sz="0" w:space="0" w:color="auto"/>
        <w:bottom w:val="none" w:sz="0" w:space="0" w:color="auto"/>
        <w:right w:val="none" w:sz="0" w:space="0" w:color="auto"/>
      </w:divBdr>
    </w:div>
    <w:div w:id="1987734969">
      <w:bodyDiv w:val="1"/>
      <w:marLeft w:val="0"/>
      <w:marRight w:val="0"/>
      <w:marTop w:val="0"/>
      <w:marBottom w:val="0"/>
      <w:divBdr>
        <w:top w:val="none" w:sz="0" w:space="0" w:color="auto"/>
        <w:left w:val="none" w:sz="0" w:space="0" w:color="auto"/>
        <w:bottom w:val="none" w:sz="0" w:space="0" w:color="auto"/>
        <w:right w:val="none" w:sz="0" w:space="0" w:color="auto"/>
      </w:divBdr>
    </w:div>
    <w:div w:id="1990940311">
      <w:bodyDiv w:val="1"/>
      <w:marLeft w:val="0"/>
      <w:marRight w:val="0"/>
      <w:marTop w:val="0"/>
      <w:marBottom w:val="0"/>
      <w:divBdr>
        <w:top w:val="none" w:sz="0" w:space="0" w:color="auto"/>
        <w:left w:val="none" w:sz="0" w:space="0" w:color="auto"/>
        <w:bottom w:val="none" w:sz="0" w:space="0" w:color="auto"/>
        <w:right w:val="none" w:sz="0" w:space="0" w:color="auto"/>
      </w:divBdr>
    </w:div>
    <w:div w:id="1991253802">
      <w:bodyDiv w:val="1"/>
      <w:marLeft w:val="0"/>
      <w:marRight w:val="0"/>
      <w:marTop w:val="0"/>
      <w:marBottom w:val="0"/>
      <w:divBdr>
        <w:top w:val="none" w:sz="0" w:space="0" w:color="auto"/>
        <w:left w:val="none" w:sz="0" w:space="0" w:color="auto"/>
        <w:bottom w:val="none" w:sz="0" w:space="0" w:color="auto"/>
        <w:right w:val="none" w:sz="0" w:space="0" w:color="auto"/>
      </w:divBdr>
    </w:div>
    <w:div w:id="1992320337">
      <w:bodyDiv w:val="1"/>
      <w:marLeft w:val="0"/>
      <w:marRight w:val="0"/>
      <w:marTop w:val="0"/>
      <w:marBottom w:val="0"/>
      <w:divBdr>
        <w:top w:val="none" w:sz="0" w:space="0" w:color="auto"/>
        <w:left w:val="none" w:sz="0" w:space="0" w:color="auto"/>
        <w:bottom w:val="none" w:sz="0" w:space="0" w:color="auto"/>
        <w:right w:val="none" w:sz="0" w:space="0" w:color="auto"/>
      </w:divBdr>
    </w:div>
    <w:div w:id="2000766656">
      <w:bodyDiv w:val="1"/>
      <w:marLeft w:val="0"/>
      <w:marRight w:val="0"/>
      <w:marTop w:val="0"/>
      <w:marBottom w:val="0"/>
      <w:divBdr>
        <w:top w:val="none" w:sz="0" w:space="0" w:color="auto"/>
        <w:left w:val="none" w:sz="0" w:space="0" w:color="auto"/>
        <w:bottom w:val="none" w:sz="0" w:space="0" w:color="auto"/>
        <w:right w:val="none" w:sz="0" w:space="0" w:color="auto"/>
      </w:divBdr>
    </w:div>
    <w:div w:id="2002810226">
      <w:bodyDiv w:val="1"/>
      <w:marLeft w:val="0"/>
      <w:marRight w:val="0"/>
      <w:marTop w:val="0"/>
      <w:marBottom w:val="0"/>
      <w:divBdr>
        <w:top w:val="none" w:sz="0" w:space="0" w:color="auto"/>
        <w:left w:val="none" w:sz="0" w:space="0" w:color="auto"/>
        <w:bottom w:val="none" w:sz="0" w:space="0" w:color="auto"/>
        <w:right w:val="none" w:sz="0" w:space="0" w:color="auto"/>
      </w:divBdr>
    </w:div>
    <w:div w:id="2015914521">
      <w:bodyDiv w:val="1"/>
      <w:marLeft w:val="0"/>
      <w:marRight w:val="0"/>
      <w:marTop w:val="0"/>
      <w:marBottom w:val="0"/>
      <w:divBdr>
        <w:top w:val="none" w:sz="0" w:space="0" w:color="auto"/>
        <w:left w:val="none" w:sz="0" w:space="0" w:color="auto"/>
        <w:bottom w:val="none" w:sz="0" w:space="0" w:color="auto"/>
        <w:right w:val="none" w:sz="0" w:space="0" w:color="auto"/>
      </w:divBdr>
    </w:div>
    <w:div w:id="2017532225">
      <w:bodyDiv w:val="1"/>
      <w:marLeft w:val="0"/>
      <w:marRight w:val="0"/>
      <w:marTop w:val="0"/>
      <w:marBottom w:val="0"/>
      <w:divBdr>
        <w:top w:val="none" w:sz="0" w:space="0" w:color="auto"/>
        <w:left w:val="none" w:sz="0" w:space="0" w:color="auto"/>
        <w:bottom w:val="none" w:sz="0" w:space="0" w:color="auto"/>
        <w:right w:val="none" w:sz="0" w:space="0" w:color="auto"/>
      </w:divBdr>
    </w:div>
    <w:div w:id="2018850771">
      <w:bodyDiv w:val="1"/>
      <w:marLeft w:val="0"/>
      <w:marRight w:val="0"/>
      <w:marTop w:val="0"/>
      <w:marBottom w:val="0"/>
      <w:divBdr>
        <w:top w:val="none" w:sz="0" w:space="0" w:color="auto"/>
        <w:left w:val="none" w:sz="0" w:space="0" w:color="auto"/>
        <w:bottom w:val="none" w:sz="0" w:space="0" w:color="auto"/>
        <w:right w:val="none" w:sz="0" w:space="0" w:color="auto"/>
      </w:divBdr>
    </w:div>
    <w:div w:id="2020547569">
      <w:bodyDiv w:val="1"/>
      <w:marLeft w:val="0"/>
      <w:marRight w:val="0"/>
      <w:marTop w:val="0"/>
      <w:marBottom w:val="0"/>
      <w:divBdr>
        <w:top w:val="none" w:sz="0" w:space="0" w:color="auto"/>
        <w:left w:val="none" w:sz="0" w:space="0" w:color="auto"/>
        <w:bottom w:val="none" w:sz="0" w:space="0" w:color="auto"/>
        <w:right w:val="none" w:sz="0" w:space="0" w:color="auto"/>
      </w:divBdr>
    </w:div>
    <w:div w:id="2022853402">
      <w:bodyDiv w:val="1"/>
      <w:marLeft w:val="0"/>
      <w:marRight w:val="0"/>
      <w:marTop w:val="0"/>
      <w:marBottom w:val="0"/>
      <w:divBdr>
        <w:top w:val="none" w:sz="0" w:space="0" w:color="auto"/>
        <w:left w:val="none" w:sz="0" w:space="0" w:color="auto"/>
        <w:bottom w:val="none" w:sz="0" w:space="0" w:color="auto"/>
        <w:right w:val="none" w:sz="0" w:space="0" w:color="auto"/>
      </w:divBdr>
    </w:div>
    <w:div w:id="2024241635">
      <w:bodyDiv w:val="1"/>
      <w:marLeft w:val="0"/>
      <w:marRight w:val="0"/>
      <w:marTop w:val="0"/>
      <w:marBottom w:val="0"/>
      <w:divBdr>
        <w:top w:val="none" w:sz="0" w:space="0" w:color="auto"/>
        <w:left w:val="none" w:sz="0" w:space="0" w:color="auto"/>
        <w:bottom w:val="none" w:sz="0" w:space="0" w:color="auto"/>
        <w:right w:val="none" w:sz="0" w:space="0" w:color="auto"/>
      </w:divBdr>
    </w:div>
    <w:div w:id="2026010553">
      <w:bodyDiv w:val="1"/>
      <w:marLeft w:val="0"/>
      <w:marRight w:val="0"/>
      <w:marTop w:val="0"/>
      <w:marBottom w:val="0"/>
      <w:divBdr>
        <w:top w:val="none" w:sz="0" w:space="0" w:color="auto"/>
        <w:left w:val="none" w:sz="0" w:space="0" w:color="auto"/>
        <w:bottom w:val="none" w:sz="0" w:space="0" w:color="auto"/>
        <w:right w:val="none" w:sz="0" w:space="0" w:color="auto"/>
      </w:divBdr>
    </w:div>
    <w:div w:id="2028824485">
      <w:bodyDiv w:val="1"/>
      <w:marLeft w:val="0"/>
      <w:marRight w:val="0"/>
      <w:marTop w:val="0"/>
      <w:marBottom w:val="0"/>
      <w:divBdr>
        <w:top w:val="none" w:sz="0" w:space="0" w:color="auto"/>
        <w:left w:val="none" w:sz="0" w:space="0" w:color="auto"/>
        <w:bottom w:val="none" w:sz="0" w:space="0" w:color="auto"/>
        <w:right w:val="none" w:sz="0" w:space="0" w:color="auto"/>
      </w:divBdr>
    </w:div>
    <w:div w:id="2029408641">
      <w:bodyDiv w:val="1"/>
      <w:marLeft w:val="0"/>
      <w:marRight w:val="0"/>
      <w:marTop w:val="0"/>
      <w:marBottom w:val="0"/>
      <w:divBdr>
        <w:top w:val="none" w:sz="0" w:space="0" w:color="auto"/>
        <w:left w:val="none" w:sz="0" w:space="0" w:color="auto"/>
        <w:bottom w:val="none" w:sz="0" w:space="0" w:color="auto"/>
        <w:right w:val="none" w:sz="0" w:space="0" w:color="auto"/>
      </w:divBdr>
    </w:div>
    <w:div w:id="2031755381">
      <w:bodyDiv w:val="1"/>
      <w:marLeft w:val="0"/>
      <w:marRight w:val="0"/>
      <w:marTop w:val="0"/>
      <w:marBottom w:val="0"/>
      <w:divBdr>
        <w:top w:val="none" w:sz="0" w:space="0" w:color="auto"/>
        <w:left w:val="none" w:sz="0" w:space="0" w:color="auto"/>
        <w:bottom w:val="none" w:sz="0" w:space="0" w:color="auto"/>
        <w:right w:val="none" w:sz="0" w:space="0" w:color="auto"/>
      </w:divBdr>
    </w:div>
    <w:div w:id="2034961879">
      <w:bodyDiv w:val="1"/>
      <w:marLeft w:val="0"/>
      <w:marRight w:val="0"/>
      <w:marTop w:val="0"/>
      <w:marBottom w:val="0"/>
      <w:divBdr>
        <w:top w:val="none" w:sz="0" w:space="0" w:color="auto"/>
        <w:left w:val="none" w:sz="0" w:space="0" w:color="auto"/>
        <w:bottom w:val="none" w:sz="0" w:space="0" w:color="auto"/>
        <w:right w:val="none" w:sz="0" w:space="0" w:color="auto"/>
      </w:divBdr>
    </w:div>
    <w:div w:id="2040079506">
      <w:bodyDiv w:val="1"/>
      <w:marLeft w:val="0"/>
      <w:marRight w:val="0"/>
      <w:marTop w:val="0"/>
      <w:marBottom w:val="0"/>
      <w:divBdr>
        <w:top w:val="none" w:sz="0" w:space="0" w:color="auto"/>
        <w:left w:val="none" w:sz="0" w:space="0" w:color="auto"/>
        <w:bottom w:val="none" w:sz="0" w:space="0" w:color="auto"/>
        <w:right w:val="none" w:sz="0" w:space="0" w:color="auto"/>
      </w:divBdr>
    </w:div>
    <w:div w:id="2044017898">
      <w:bodyDiv w:val="1"/>
      <w:marLeft w:val="0"/>
      <w:marRight w:val="0"/>
      <w:marTop w:val="0"/>
      <w:marBottom w:val="0"/>
      <w:divBdr>
        <w:top w:val="none" w:sz="0" w:space="0" w:color="auto"/>
        <w:left w:val="none" w:sz="0" w:space="0" w:color="auto"/>
        <w:bottom w:val="none" w:sz="0" w:space="0" w:color="auto"/>
        <w:right w:val="none" w:sz="0" w:space="0" w:color="auto"/>
      </w:divBdr>
    </w:div>
    <w:div w:id="2045910592">
      <w:bodyDiv w:val="1"/>
      <w:marLeft w:val="0"/>
      <w:marRight w:val="0"/>
      <w:marTop w:val="0"/>
      <w:marBottom w:val="0"/>
      <w:divBdr>
        <w:top w:val="none" w:sz="0" w:space="0" w:color="auto"/>
        <w:left w:val="none" w:sz="0" w:space="0" w:color="auto"/>
        <w:bottom w:val="none" w:sz="0" w:space="0" w:color="auto"/>
        <w:right w:val="none" w:sz="0" w:space="0" w:color="auto"/>
      </w:divBdr>
    </w:div>
    <w:div w:id="2046828024">
      <w:bodyDiv w:val="1"/>
      <w:marLeft w:val="0"/>
      <w:marRight w:val="0"/>
      <w:marTop w:val="0"/>
      <w:marBottom w:val="0"/>
      <w:divBdr>
        <w:top w:val="none" w:sz="0" w:space="0" w:color="auto"/>
        <w:left w:val="none" w:sz="0" w:space="0" w:color="auto"/>
        <w:bottom w:val="none" w:sz="0" w:space="0" w:color="auto"/>
        <w:right w:val="none" w:sz="0" w:space="0" w:color="auto"/>
      </w:divBdr>
    </w:div>
    <w:div w:id="2047750263">
      <w:bodyDiv w:val="1"/>
      <w:marLeft w:val="0"/>
      <w:marRight w:val="0"/>
      <w:marTop w:val="0"/>
      <w:marBottom w:val="0"/>
      <w:divBdr>
        <w:top w:val="none" w:sz="0" w:space="0" w:color="auto"/>
        <w:left w:val="none" w:sz="0" w:space="0" w:color="auto"/>
        <w:bottom w:val="none" w:sz="0" w:space="0" w:color="auto"/>
        <w:right w:val="none" w:sz="0" w:space="0" w:color="auto"/>
      </w:divBdr>
    </w:div>
    <w:div w:id="2049529130">
      <w:bodyDiv w:val="1"/>
      <w:marLeft w:val="0"/>
      <w:marRight w:val="0"/>
      <w:marTop w:val="0"/>
      <w:marBottom w:val="0"/>
      <w:divBdr>
        <w:top w:val="none" w:sz="0" w:space="0" w:color="auto"/>
        <w:left w:val="none" w:sz="0" w:space="0" w:color="auto"/>
        <w:bottom w:val="none" w:sz="0" w:space="0" w:color="auto"/>
        <w:right w:val="none" w:sz="0" w:space="0" w:color="auto"/>
      </w:divBdr>
    </w:div>
    <w:div w:id="2050301250">
      <w:bodyDiv w:val="1"/>
      <w:marLeft w:val="0"/>
      <w:marRight w:val="0"/>
      <w:marTop w:val="0"/>
      <w:marBottom w:val="0"/>
      <w:divBdr>
        <w:top w:val="none" w:sz="0" w:space="0" w:color="auto"/>
        <w:left w:val="none" w:sz="0" w:space="0" w:color="auto"/>
        <w:bottom w:val="none" w:sz="0" w:space="0" w:color="auto"/>
        <w:right w:val="none" w:sz="0" w:space="0" w:color="auto"/>
      </w:divBdr>
    </w:div>
    <w:div w:id="2052261423">
      <w:bodyDiv w:val="1"/>
      <w:marLeft w:val="0"/>
      <w:marRight w:val="0"/>
      <w:marTop w:val="0"/>
      <w:marBottom w:val="0"/>
      <w:divBdr>
        <w:top w:val="none" w:sz="0" w:space="0" w:color="auto"/>
        <w:left w:val="none" w:sz="0" w:space="0" w:color="auto"/>
        <w:bottom w:val="none" w:sz="0" w:space="0" w:color="auto"/>
        <w:right w:val="none" w:sz="0" w:space="0" w:color="auto"/>
      </w:divBdr>
    </w:div>
    <w:div w:id="2064671049">
      <w:bodyDiv w:val="1"/>
      <w:marLeft w:val="0"/>
      <w:marRight w:val="0"/>
      <w:marTop w:val="0"/>
      <w:marBottom w:val="0"/>
      <w:divBdr>
        <w:top w:val="none" w:sz="0" w:space="0" w:color="auto"/>
        <w:left w:val="none" w:sz="0" w:space="0" w:color="auto"/>
        <w:bottom w:val="none" w:sz="0" w:space="0" w:color="auto"/>
        <w:right w:val="none" w:sz="0" w:space="0" w:color="auto"/>
      </w:divBdr>
    </w:div>
    <w:div w:id="2065566663">
      <w:bodyDiv w:val="1"/>
      <w:marLeft w:val="0"/>
      <w:marRight w:val="0"/>
      <w:marTop w:val="0"/>
      <w:marBottom w:val="0"/>
      <w:divBdr>
        <w:top w:val="none" w:sz="0" w:space="0" w:color="auto"/>
        <w:left w:val="none" w:sz="0" w:space="0" w:color="auto"/>
        <w:bottom w:val="none" w:sz="0" w:space="0" w:color="auto"/>
        <w:right w:val="none" w:sz="0" w:space="0" w:color="auto"/>
      </w:divBdr>
    </w:div>
    <w:div w:id="2066442871">
      <w:bodyDiv w:val="1"/>
      <w:marLeft w:val="0"/>
      <w:marRight w:val="0"/>
      <w:marTop w:val="0"/>
      <w:marBottom w:val="0"/>
      <w:divBdr>
        <w:top w:val="none" w:sz="0" w:space="0" w:color="auto"/>
        <w:left w:val="none" w:sz="0" w:space="0" w:color="auto"/>
        <w:bottom w:val="none" w:sz="0" w:space="0" w:color="auto"/>
        <w:right w:val="none" w:sz="0" w:space="0" w:color="auto"/>
      </w:divBdr>
    </w:div>
    <w:div w:id="2071922906">
      <w:bodyDiv w:val="1"/>
      <w:marLeft w:val="0"/>
      <w:marRight w:val="0"/>
      <w:marTop w:val="0"/>
      <w:marBottom w:val="0"/>
      <w:divBdr>
        <w:top w:val="none" w:sz="0" w:space="0" w:color="auto"/>
        <w:left w:val="none" w:sz="0" w:space="0" w:color="auto"/>
        <w:bottom w:val="none" w:sz="0" w:space="0" w:color="auto"/>
        <w:right w:val="none" w:sz="0" w:space="0" w:color="auto"/>
      </w:divBdr>
    </w:div>
    <w:div w:id="2073388961">
      <w:bodyDiv w:val="1"/>
      <w:marLeft w:val="0"/>
      <w:marRight w:val="0"/>
      <w:marTop w:val="0"/>
      <w:marBottom w:val="0"/>
      <w:divBdr>
        <w:top w:val="none" w:sz="0" w:space="0" w:color="auto"/>
        <w:left w:val="none" w:sz="0" w:space="0" w:color="auto"/>
        <w:bottom w:val="none" w:sz="0" w:space="0" w:color="auto"/>
        <w:right w:val="none" w:sz="0" w:space="0" w:color="auto"/>
      </w:divBdr>
    </w:div>
    <w:div w:id="2075934308">
      <w:bodyDiv w:val="1"/>
      <w:marLeft w:val="0"/>
      <w:marRight w:val="0"/>
      <w:marTop w:val="0"/>
      <w:marBottom w:val="0"/>
      <w:divBdr>
        <w:top w:val="none" w:sz="0" w:space="0" w:color="auto"/>
        <w:left w:val="none" w:sz="0" w:space="0" w:color="auto"/>
        <w:bottom w:val="none" w:sz="0" w:space="0" w:color="auto"/>
        <w:right w:val="none" w:sz="0" w:space="0" w:color="auto"/>
      </w:divBdr>
    </w:div>
    <w:div w:id="2079938154">
      <w:bodyDiv w:val="1"/>
      <w:marLeft w:val="0"/>
      <w:marRight w:val="0"/>
      <w:marTop w:val="0"/>
      <w:marBottom w:val="0"/>
      <w:divBdr>
        <w:top w:val="none" w:sz="0" w:space="0" w:color="auto"/>
        <w:left w:val="none" w:sz="0" w:space="0" w:color="auto"/>
        <w:bottom w:val="none" w:sz="0" w:space="0" w:color="auto"/>
        <w:right w:val="none" w:sz="0" w:space="0" w:color="auto"/>
      </w:divBdr>
    </w:div>
    <w:div w:id="2082478725">
      <w:bodyDiv w:val="1"/>
      <w:marLeft w:val="0"/>
      <w:marRight w:val="0"/>
      <w:marTop w:val="0"/>
      <w:marBottom w:val="0"/>
      <w:divBdr>
        <w:top w:val="none" w:sz="0" w:space="0" w:color="auto"/>
        <w:left w:val="none" w:sz="0" w:space="0" w:color="auto"/>
        <w:bottom w:val="none" w:sz="0" w:space="0" w:color="auto"/>
        <w:right w:val="none" w:sz="0" w:space="0" w:color="auto"/>
      </w:divBdr>
    </w:div>
    <w:div w:id="2087529338">
      <w:bodyDiv w:val="1"/>
      <w:marLeft w:val="0"/>
      <w:marRight w:val="0"/>
      <w:marTop w:val="0"/>
      <w:marBottom w:val="0"/>
      <w:divBdr>
        <w:top w:val="none" w:sz="0" w:space="0" w:color="auto"/>
        <w:left w:val="none" w:sz="0" w:space="0" w:color="auto"/>
        <w:bottom w:val="none" w:sz="0" w:space="0" w:color="auto"/>
        <w:right w:val="none" w:sz="0" w:space="0" w:color="auto"/>
      </w:divBdr>
    </w:div>
    <w:div w:id="2088502387">
      <w:bodyDiv w:val="1"/>
      <w:marLeft w:val="0"/>
      <w:marRight w:val="0"/>
      <w:marTop w:val="0"/>
      <w:marBottom w:val="0"/>
      <w:divBdr>
        <w:top w:val="none" w:sz="0" w:space="0" w:color="auto"/>
        <w:left w:val="none" w:sz="0" w:space="0" w:color="auto"/>
        <w:bottom w:val="none" w:sz="0" w:space="0" w:color="auto"/>
        <w:right w:val="none" w:sz="0" w:space="0" w:color="auto"/>
      </w:divBdr>
    </w:div>
    <w:div w:id="2093626380">
      <w:bodyDiv w:val="1"/>
      <w:marLeft w:val="0"/>
      <w:marRight w:val="0"/>
      <w:marTop w:val="0"/>
      <w:marBottom w:val="0"/>
      <w:divBdr>
        <w:top w:val="none" w:sz="0" w:space="0" w:color="auto"/>
        <w:left w:val="none" w:sz="0" w:space="0" w:color="auto"/>
        <w:bottom w:val="none" w:sz="0" w:space="0" w:color="auto"/>
        <w:right w:val="none" w:sz="0" w:space="0" w:color="auto"/>
      </w:divBdr>
    </w:div>
    <w:div w:id="2095592473">
      <w:bodyDiv w:val="1"/>
      <w:marLeft w:val="0"/>
      <w:marRight w:val="0"/>
      <w:marTop w:val="0"/>
      <w:marBottom w:val="0"/>
      <w:divBdr>
        <w:top w:val="none" w:sz="0" w:space="0" w:color="auto"/>
        <w:left w:val="none" w:sz="0" w:space="0" w:color="auto"/>
        <w:bottom w:val="none" w:sz="0" w:space="0" w:color="auto"/>
        <w:right w:val="none" w:sz="0" w:space="0" w:color="auto"/>
      </w:divBdr>
    </w:div>
    <w:div w:id="2096782014">
      <w:bodyDiv w:val="1"/>
      <w:marLeft w:val="0"/>
      <w:marRight w:val="0"/>
      <w:marTop w:val="0"/>
      <w:marBottom w:val="0"/>
      <w:divBdr>
        <w:top w:val="none" w:sz="0" w:space="0" w:color="auto"/>
        <w:left w:val="none" w:sz="0" w:space="0" w:color="auto"/>
        <w:bottom w:val="none" w:sz="0" w:space="0" w:color="auto"/>
        <w:right w:val="none" w:sz="0" w:space="0" w:color="auto"/>
      </w:divBdr>
    </w:div>
    <w:div w:id="2097507781">
      <w:bodyDiv w:val="1"/>
      <w:marLeft w:val="0"/>
      <w:marRight w:val="0"/>
      <w:marTop w:val="0"/>
      <w:marBottom w:val="0"/>
      <w:divBdr>
        <w:top w:val="none" w:sz="0" w:space="0" w:color="auto"/>
        <w:left w:val="none" w:sz="0" w:space="0" w:color="auto"/>
        <w:bottom w:val="none" w:sz="0" w:space="0" w:color="auto"/>
        <w:right w:val="none" w:sz="0" w:space="0" w:color="auto"/>
      </w:divBdr>
    </w:div>
    <w:div w:id="2098944749">
      <w:bodyDiv w:val="1"/>
      <w:marLeft w:val="0"/>
      <w:marRight w:val="0"/>
      <w:marTop w:val="0"/>
      <w:marBottom w:val="0"/>
      <w:divBdr>
        <w:top w:val="none" w:sz="0" w:space="0" w:color="auto"/>
        <w:left w:val="none" w:sz="0" w:space="0" w:color="auto"/>
        <w:bottom w:val="none" w:sz="0" w:space="0" w:color="auto"/>
        <w:right w:val="none" w:sz="0" w:space="0" w:color="auto"/>
      </w:divBdr>
    </w:div>
    <w:div w:id="2099785407">
      <w:bodyDiv w:val="1"/>
      <w:marLeft w:val="0"/>
      <w:marRight w:val="0"/>
      <w:marTop w:val="0"/>
      <w:marBottom w:val="0"/>
      <w:divBdr>
        <w:top w:val="none" w:sz="0" w:space="0" w:color="auto"/>
        <w:left w:val="none" w:sz="0" w:space="0" w:color="auto"/>
        <w:bottom w:val="none" w:sz="0" w:space="0" w:color="auto"/>
        <w:right w:val="none" w:sz="0" w:space="0" w:color="auto"/>
      </w:divBdr>
    </w:div>
    <w:div w:id="2100832280">
      <w:bodyDiv w:val="1"/>
      <w:marLeft w:val="0"/>
      <w:marRight w:val="0"/>
      <w:marTop w:val="0"/>
      <w:marBottom w:val="0"/>
      <w:divBdr>
        <w:top w:val="none" w:sz="0" w:space="0" w:color="auto"/>
        <w:left w:val="none" w:sz="0" w:space="0" w:color="auto"/>
        <w:bottom w:val="none" w:sz="0" w:space="0" w:color="auto"/>
        <w:right w:val="none" w:sz="0" w:space="0" w:color="auto"/>
      </w:divBdr>
    </w:div>
    <w:div w:id="2105374480">
      <w:bodyDiv w:val="1"/>
      <w:marLeft w:val="0"/>
      <w:marRight w:val="0"/>
      <w:marTop w:val="0"/>
      <w:marBottom w:val="0"/>
      <w:divBdr>
        <w:top w:val="none" w:sz="0" w:space="0" w:color="auto"/>
        <w:left w:val="none" w:sz="0" w:space="0" w:color="auto"/>
        <w:bottom w:val="none" w:sz="0" w:space="0" w:color="auto"/>
        <w:right w:val="none" w:sz="0" w:space="0" w:color="auto"/>
      </w:divBdr>
    </w:div>
    <w:div w:id="2108038909">
      <w:bodyDiv w:val="1"/>
      <w:marLeft w:val="0"/>
      <w:marRight w:val="0"/>
      <w:marTop w:val="0"/>
      <w:marBottom w:val="0"/>
      <w:divBdr>
        <w:top w:val="none" w:sz="0" w:space="0" w:color="auto"/>
        <w:left w:val="none" w:sz="0" w:space="0" w:color="auto"/>
        <w:bottom w:val="none" w:sz="0" w:space="0" w:color="auto"/>
        <w:right w:val="none" w:sz="0" w:space="0" w:color="auto"/>
      </w:divBdr>
    </w:div>
    <w:div w:id="2108884349">
      <w:bodyDiv w:val="1"/>
      <w:marLeft w:val="0"/>
      <w:marRight w:val="0"/>
      <w:marTop w:val="0"/>
      <w:marBottom w:val="0"/>
      <w:divBdr>
        <w:top w:val="none" w:sz="0" w:space="0" w:color="auto"/>
        <w:left w:val="none" w:sz="0" w:space="0" w:color="auto"/>
        <w:bottom w:val="none" w:sz="0" w:space="0" w:color="auto"/>
        <w:right w:val="none" w:sz="0" w:space="0" w:color="auto"/>
      </w:divBdr>
    </w:div>
    <w:div w:id="2110588679">
      <w:bodyDiv w:val="1"/>
      <w:marLeft w:val="0"/>
      <w:marRight w:val="0"/>
      <w:marTop w:val="0"/>
      <w:marBottom w:val="0"/>
      <w:divBdr>
        <w:top w:val="none" w:sz="0" w:space="0" w:color="auto"/>
        <w:left w:val="none" w:sz="0" w:space="0" w:color="auto"/>
        <w:bottom w:val="none" w:sz="0" w:space="0" w:color="auto"/>
        <w:right w:val="none" w:sz="0" w:space="0" w:color="auto"/>
      </w:divBdr>
    </w:div>
    <w:div w:id="2112237979">
      <w:bodyDiv w:val="1"/>
      <w:marLeft w:val="0"/>
      <w:marRight w:val="0"/>
      <w:marTop w:val="0"/>
      <w:marBottom w:val="0"/>
      <w:divBdr>
        <w:top w:val="none" w:sz="0" w:space="0" w:color="auto"/>
        <w:left w:val="none" w:sz="0" w:space="0" w:color="auto"/>
        <w:bottom w:val="none" w:sz="0" w:space="0" w:color="auto"/>
        <w:right w:val="none" w:sz="0" w:space="0" w:color="auto"/>
      </w:divBdr>
    </w:div>
    <w:div w:id="2123840961">
      <w:bodyDiv w:val="1"/>
      <w:marLeft w:val="0"/>
      <w:marRight w:val="0"/>
      <w:marTop w:val="0"/>
      <w:marBottom w:val="0"/>
      <w:divBdr>
        <w:top w:val="none" w:sz="0" w:space="0" w:color="auto"/>
        <w:left w:val="none" w:sz="0" w:space="0" w:color="auto"/>
        <w:bottom w:val="none" w:sz="0" w:space="0" w:color="auto"/>
        <w:right w:val="none" w:sz="0" w:space="0" w:color="auto"/>
      </w:divBdr>
    </w:div>
    <w:div w:id="2124952650">
      <w:bodyDiv w:val="1"/>
      <w:marLeft w:val="0"/>
      <w:marRight w:val="0"/>
      <w:marTop w:val="0"/>
      <w:marBottom w:val="0"/>
      <w:divBdr>
        <w:top w:val="none" w:sz="0" w:space="0" w:color="auto"/>
        <w:left w:val="none" w:sz="0" w:space="0" w:color="auto"/>
        <w:bottom w:val="none" w:sz="0" w:space="0" w:color="auto"/>
        <w:right w:val="none" w:sz="0" w:space="0" w:color="auto"/>
      </w:divBdr>
    </w:div>
    <w:div w:id="2131124129">
      <w:bodyDiv w:val="1"/>
      <w:marLeft w:val="0"/>
      <w:marRight w:val="0"/>
      <w:marTop w:val="0"/>
      <w:marBottom w:val="0"/>
      <w:divBdr>
        <w:top w:val="none" w:sz="0" w:space="0" w:color="auto"/>
        <w:left w:val="none" w:sz="0" w:space="0" w:color="auto"/>
        <w:bottom w:val="none" w:sz="0" w:space="0" w:color="auto"/>
        <w:right w:val="none" w:sz="0" w:space="0" w:color="auto"/>
      </w:divBdr>
    </w:div>
    <w:div w:id="2133404505">
      <w:bodyDiv w:val="1"/>
      <w:marLeft w:val="0"/>
      <w:marRight w:val="0"/>
      <w:marTop w:val="0"/>
      <w:marBottom w:val="0"/>
      <w:divBdr>
        <w:top w:val="none" w:sz="0" w:space="0" w:color="auto"/>
        <w:left w:val="none" w:sz="0" w:space="0" w:color="auto"/>
        <w:bottom w:val="none" w:sz="0" w:space="0" w:color="auto"/>
        <w:right w:val="none" w:sz="0" w:space="0" w:color="auto"/>
      </w:divBdr>
    </w:div>
    <w:div w:id="2133938927">
      <w:bodyDiv w:val="1"/>
      <w:marLeft w:val="0"/>
      <w:marRight w:val="0"/>
      <w:marTop w:val="0"/>
      <w:marBottom w:val="0"/>
      <w:divBdr>
        <w:top w:val="none" w:sz="0" w:space="0" w:color="auto"/>
        <w:left w:val="none" w:sz="0" w:space="0" w:color="auto"/>
        <w:bottom w:val="none" w:sz="0" w:space="0" w:color="auto"/>
        <w:right w:val="none" w:sz="0" w:space="0" w:color="auto"/>
      </w:divBdr>
    </w:div>
    <w:div w:id="2134057010">
      <w:bodyDiv w:val="1"/>
      <w:marLeft w:val="0"/>
      <w:marRight w:val="0"/>
      <w:marTop w:val="0"/>
      <w:marBottom w:val="0"/>
      <w:divBdr>
        <w:top w:val="none" w:sz="0" w:space="0" w:color="auto"/>
        <w:left w:val="none" w:sz="0" w:space="0" w:color="auto"/>
        <w:bottom w:val="none" w:sz="0" w:space="0" w:color="auto"/>
        <w:right w:val="none" w:sz="0" w:space="0" w:color="auto"/>
      </w:divBdr>
    </w:div>
    <w:div w:id="2135057466">
      <w:bodyDiv w:val="1"/>
      <w:marLeft w:val="0"/>
      <w:marRight w:val="0"/>
      <w:marTop w:val="0"/>
      <w:marBottom w:val="0"/>
      <w:divBdr>
        <w:top w:val="none" w:sz="0" w:space="0" w:color="auto"/>
        <w:left w:val="none" w:sz="0" w:space="0" w:color="auto"/>
        <w:bottom w:val="none" w:sz="0" w:space="0" w:color="auto"/>
        <w:right w:val="none" w:sz="0" w:space="0" w:color="auto"/>
      </w:divBdr>
    </w:div>
    <w:div w:id="2135057877">
      <w:bodyDiv w:val="1"/>
      <w:marLeft w:val="0"/>
      <w:marRight w:val="0"/>
      <w:marTop w:val="0"/>
      <w:marBottom w:val="0"/>
      <w:divBdr>
        <w:top w:val="none" w:sz="0" w:space="0" w:color="auto"/>
        <w:left w:val="none" w:sz="0" w:space="0" w:color="auto"/>
        <w:bottom w:val="none" w:sz="0" w:space="0" w:color="auto"/>
        <w:right w:val="none" w:sz="0" w:space="0" w:color="auto"/>
      </w:divBdr>
    </w:div>
    <w:div w:id="2140759012">
      <w:bodyDiv w:val="1"/>
      <w:marLeft w:val="0"/>
      <w:marRight w:val="0"/>
      <w:marTop w:val="0"/>
      <w:marBottom w:val="0"/>
      <w:divBdr>
        <w:top w:val="none" w:sz="0" w:space="0" w:color="auto"/>
        <w:left w:val="none" w:sz="0" w:space="0" w:color="auto"/>
        <w:bottom w:val="none" w:sz="0" w:space="0" w:color="auto"/>
        <w:right w:val="none" w:sz="0" w:space="0" w:color="auto"/>
      </w:divBdr>
    </w:div>
    <w:div w:id="2144613777">
      <w:bodyDiv w:val="1"/>
      <w:marLeft w:val="0"/>
      <w:marRight w:val="0"/>
      <w:marTop w:val="0"/>
      <w:marBottom w:val="0"/>
      <w:divBdr>
        <w:top w:val="none" w:sz="0" w:space="0" w:color="auto"/>
        <w:left w:val="none" w:sz="0" w:space="0" w:color="auto"/>
        <w:bottom w:val="none" w:sz="0" w:space="0" w:color="auto"/>
        <w:right w:val="none" w:sz="0" w:space="0" w:color="auto"/>
      </w:divBdr>
    </w:div>
    <w:div w:id="2146312737">
      <w:bodyDiv w:val="1"/>
      <w:marLeft w:val="0"/>
      <w:marRight w:val="0"/>
      <w:marTop w:val="0"/>
      <w:marBottom w:val="0"/>
      <w:divBdr>
        <w:top w:val="none" w:sz="0" w:space="0" w:color="auto"/>
        <w:left w:val="none" w:sz="0" w:space="0" w:color="auto"/>
        <w:bottom w:val="none" w:sz="0" w:space="0" w:color="auto"/>
        <w:right w:val="none" w:sz="0" w:space="0" w:color="auto"/>
      </w:divBdr>
    </w:div>
    <w:div w:id="214685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api.zzzs.si/ZZZS/info/egradiva.nsf/0/538c71578f0fd063c125896c0047b208/$FILE/Letno%20poro%C4%8Dilo%20ZZZS%202022.pdf" TargetMode="External"/><Relationship Id="rId1" Type="http://schemas.openxmlformats.org/officeDocument/2006/relationships/hyperlink" Target="https://www.gov.si/assets/ministrstva/MF/Proracun-direktorat/DP-SSFLS/Proracuni-obcin/Realizacija/BILANCE-PR_OBC-18-22_v_EUR-arhiv.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List1!$B$1</c:f>
              <c:strCache>
                <c:ptCount val="1"/>
                <c:pt idx="0">
                  <c:v>Delež javnih naročil v BDP</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l-S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List1!$A$2:$A$13</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List1!$B$2:$B$13</c:f>
              <c:numCache>
                <c:formatCode>0.00\ %</c:formatCode>
                <c:ptCount val="12"/>
                <c:pt idx="0">
                  <c:v>7.6600000000000001E-2</c:v>
                </c:pt>
                <c:pt idx="1">
                  <c:v>7.8299999999999995E-2</c:v>
                </c:pt>
                <c:pt idx="2">
                  <c:v>0.1105</c:v>
                </c:pt>
                <c:pt idx="3">
                  <c:v>9.9299999999999999E-2</c:v>
                </c:pt>
                <c:pt idx="4">
                  <c:v>8.7999999999999995E-2</c:v>
                </c:pt>
                <c:pt idx="5">
                  <c:v>9.8400000000000001E-2</c:v>
                </c:pt>
                <c:pt idx="6">
                  <c:v>0.1099</c:v>
                </c:pt>
                <c:pt idx="7">
                  <c:v>0.1002</c:v>
                </c:pt>
                <c:pt idx="8">
                  <c:v>0.11550000000000001</c:v>
                </c:pt>
                <c:pt idx="9">
                  <c:v>0.12620000000000001</c:v>
                </c:pt>
                <c:pt idx="10">
                  <c:v>0.14760000000000001</c:v>
                </c:pt>
                <c:pt idx="11">
                  <c:v>0.1411</c:v>
                </c:pt>
              </c:numCache>
            </c:numRef>
          </c:val>
          <c:smooth val="0"/>
          <c:extLst>
            <c:ext xmlns:c16="http://schemas.microsoft.com/office/drawing/2014/chart" uri="{C3380CC4-5D6E-409C-BE32-E72D297353CC}">
              <c16:uniqueId val="{00000000-686B-4B60-831E-5A3074F1F5E8}"/>
            </c:ext>
          </c:extLst>
        </c:ser>
        <c:dLbls>
          <c:showLegendKey val="0"/>
          <c:showVal val="0"/>
          <c:showCatName val="0"/>
          <c:showSerName val="0"/>
          <c:showPercent val="0"/>
          <c:showBubbleSize val="0"/>
        </c:dLbls>
        <c:smooth val="0"/>
        <c:axId val="320212072"/>
        <c:axId val="320209328"/>
      </c:lineChart>
      <c:catAx>
        <c:axId val="320212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crossAx val="320209328"/>
        <c:crosses val="autoZero"/>
        <c:auto val="1"/>
        <c:lblAlgn val="ctr"/>
        <c:lblOffset val="100"/>
        <c:noMultiLvlLbl val="0"/>
      </c:catAx>
      <c:valAx>
        <c:axId val="320209328"/>
        <c:scaling>
          <c:orientation val="minMax"/>
        </c:scaling>
        <c:delete val="0"/>
        <c:axPos val="l"/>
        <c:majorGridlines>
          <c:spPr>
            <a:ln w="9525" cap="flat" cmpd="sng" algn="ctr">
              <a:solidFill>
                <a:schemeClr val="tx1">
                  <a:lumMod val="15000"/>
                  <a:lumOff val="85000"/>
                </a:schemeClr>
              </a:solidFill>
              <a:round/>
            </a:ln>
            <a:effectLst/>
          </c:spPr>
        </c:majorGridlines>
        <c:numFmt formatCode="0.0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crossAx val="320212072"/>
        <c:crosses val="autoZero"/>
        <c:crossBetween val="between"/>
      </c:valAx>
      <c:spPr>
        <a:solidFill>
          <a:schemeClr val="bg1">
            <a:lumMod val="95000"/>
          </a:schemeClr>
        </a:solidFill>
        <a:ln>
          <a:solidFill>
            <a:schemeClr val="bg2"/>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bg1">
          <a:lumMod val="95000"/>
        </a:schemeClr>
      </a:solidFill>
      <a:round/>
    </a:ln>
    <a:effectLst/>
  </c:spPr>
  <c:txPr>
    <a:bodyPr/>
    <a:lstStyle/>
    <a:p>
      <a:pPr>
        <a:defRPr sz="900">
          <a:latin typeface="Arial" panose="020B0604020202020204" pitchFamily="34" charset="0"/>
          <a:cs typeface="Arial" panose="020B0604020202020204" pitchFamily="34" charset="0"/>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Delež v št. naročil</c:v>
                </c:pt>
              </c:strCache>
            </c:strRef>
          </c:tx>
          <c:spPr>
            <a:solidFill>
              <a:schemeClr val="accent1"/>
            </a:solidFill>
            <a:ln>
              <a:noFill/>
            </a:ln>
            <a:effectLst/>
          </c:spPr>
          <c:invertIfNegative val="0"/>
          <c:dLbls>
            <c:dLbl>
              <c:idx val="0"/>
              <c:numFmt formatCode="0.00\ %"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dLblPos val="outEnd"/>
              <c:showLegendKey val="0"/>
              <c:showVal val="1"/>
              <c:showCatName val="0"/>
              <c:showSerName val="0"/>
              <c:showPercent val="0"/>
              <c:showBubbleSize val="0"/>
              <c:extLst>
                <c:ext xmlns:c16="http://schemas.microsoft.com/office/drawing/2014/chart" uri="{C3380CC4-5D6E-409C-BE32-E72D297353CC}">
                  <c16:uniqueId val="{00000000-C6A4-4E15-B914-BAD33EDB0B78}"/>
                </c:ext>
              </c:extLst>
            </c:dLbl>
            <c:dLbl>
              <c:idx val="1"/>
              <c:numFmt formatCode="0.00\ %"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dLblPos val="outEnd"/>
              <c:showLegendKey val="0"/>
              <c:showVal val="1"/>
              <c:showCatName val="0"/>
              <c:showSerName val="0"/>
              <c:showPercent val="0"/>
              <c:showBubbleSize val="0"/>
              <c:extLst>
                <c:ext xmlns:c16="http://schemas.microsoft.com/office/drawing/2014/chart" uri="{C3380CC4-5D6E-409C-BE32-E72D297353CC}">
                  <c16:uniqueId val="{00000001-C6A4-4E15-B914-BAD33EDB0B78}"/>
                </c:ext>
              </c:extLst>
            </c:dLbl>
            <c:dLbl>
              <c:idx val="2"/>
              <c:numFmt formatCode="0.00\ %"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dLblPos val="outEnd"/>
              <c:showLegendKey val="0"/>
              <c:showVal val="1"/>
              <c:showCatName val="0"/>
              <c:showSerName val="0"/>
              <c:showPercent val="0"/>
              <c:showBubbleSize val="0"/>
              <c:extLst>
                <c:ext xmlns:c16="http://schemas.microsoft.com/office/drawing/2014/chart" uri="{C3380CC4-5D6E-409C-BE32-E72D297353CC}">
                  <c16:uniqueId val="{00000002-C6A4-4E15-B914-BAD33EDB0B7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Blago</c:v>
                </c:pt>
                <c:pt idx="1">
                  <c:v>Storitve</c:v>
                </c:pt>
                <c:pt idx="2">
                  <c:v>Gradnje</c:v>
                </c:pt>
              </c:strCache>
            </c:strRef>
          </c:cat>
          <c:val>
            <c:numRef>
              <c:f>List1!$B$2:$B$4</c:f>
              <c:numCache>
                <c:formatCode>0.00%</c:formatCode>
                <c:ptCount val="3"/>
                <c:pt idx="0">
                  <c:v>0.66520000000000001</c:v>
                </c:pt>
                <c:pt idx="1">
                  <c:v>0.2329</c:v>
                </c:pt>
                <c:pt idx="2">
                  <c:v>0.1019</c:v>
                </c:pt>
              </c:numCache>
            </c:numRef>
          </c:val>
          <c:extLst>
            <c:ext xmlns:c16="http://schemas.microsoft.com/office/drawing/2014/chart" uri="{C3380CC4-5D6E-409C-BE32-E72D297353CC}">
              <c16:uniqueId val="{00000000-2BED-4C03-B9DB-D6D094B198C8}"/>
            </c:ext>
          </c:extLst>
        </c:ser>
        <c:dLbls>
          <c:showLegendKey val="0"/>
          <c:showVal val="0"/>
          <c:showCatName val="0"/>
          <c:showSerName val="0"/>
          <c:showPercent val="0"/>
          <c:showBubbleSize val="0"/>
        </c:dLbls>
        <c:gapWidth val="219"/>
        <c:overlap val="-27"/>
        <c:axId val="320212856"/>
        <c:axId val="320208936"/>
      </c:barChart>
      <c:catAx>
        <c:axId val="320212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crossAx val="320208936"/>
        <c:crosses val="autoZero"/>
        <c:auto val="1"/>
        <c:lblAlgn val="ctr"/>
        <c:lblOffset val="100"/>
        <c:noMultiLvlLbl val="0"/>
      </c:catAx>
      <c:valAx>
        <c:axId val="32020893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crossAx val="320212856"/>
        <c:crosses val="autoZero"/>
        <c:crossBetween val="between"/>
      </c:valAx>
      <c:spPr>
        <a:solidFill>
          <a:schemeClr val="bg1">
            <a:lumMod val="95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List1!$B$1</c:f>
              <c:strCache>
                <c:ptCount val="1"/>
                <c:pt idx="0">
                  <c:v>Delež javnih naročil v BDP</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l-S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List1!$A$2:$A$13</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List1!$B$2:$B$13</c:f>
              <c:numCache>
                <c:formatCode>0.00\ %</c:formatCode>
                <c:ptCount val="12"/>
                <c:pt idx="0">
                  <c:v>7.6600000000000001E-2</c:v>
                </c:pt>
                <c:pt idx="1">
                  <c:v>7.8299999999999995E-2</c:v>
                </c:pt>
                <c:pt idx="2">
                  <c:v>0.1105</c:v>
                </c:pt>
                <c:pt idx="3">
                  <c:v>9.9299999999999999E-2</c:v>
                </c:pt>
                <c:pt idx="4">
                  <c:v>8.7999999999999995E-2</c:v>
                </c:pt>
                <c:pt idx="5">
                  <c:v>9.8400000000000001E-2</c:v>
                </c:pt>
                <c:pt idx="6">
                  <c:v>0.1099</c:v>
                </c:pt>
                <c:pt idx="7">
                  <c:v>0.1002</c:v>
                </c:pt>
                <c:pt idx="8">
                  <c:v>0.11550000000000001</c:v>
                </c:pt>
                <c:pt idx="9">
                  <c:v>0.12620000000000001</c:v>
                </c:pt>
                <c:pt idx="10">
                  <c:v>0.14760000000000001</c:v>
                </c:pt>
                <c:pt idx="11">
                  <c:v>0.1411</c:v>
                </c:pt>
              </c:numCache>
            </c:numRef>
          </c:val>
          <c:smooth val="0"/>
          <c:extLst>
            <c:ext xmlns:c16="http://schemas.microsoft.com/office/drawing/2014/chart" uri="{C3380CC4-5D6E-409C-BE32-E72D297353CC}">
              <c16:uniqueId val="{00000000-FA98-4A59-BDDA-77E73841447D}"/>
            </c:ext>
          </c:extLst>
        </c:ser>
        <c:dLbls>
          <c:showLegendKey val="0"/>
          <c:showVal val="0"/>
          <c:showCatName val="0"/>
          <c:showSerName val="0"/>
          <c:showPercent val="0"/>
          <c:showBubbleSize val="0"/>
        </c:dLbls>
        <c:smooth val="0"/>
        <c:axId val="320211680"/>
        <c:axId val="320214032"/>
      </c:lineChart>
      <c:catAx>
        <c:axId val="320211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crossAx val="320214032"/>
        <c:crosses val="autoZero"/>
        <c:auto val="1"/>
        <c:lblAlgn val="ctr"/>
        <c:lblOffset val="100"/>
        <c:noMultiLvlLbl val="0"/>
      </c:catAx>
      <c:valAx>
        <c:axId val="320214032"/>
        <c:scaling>
          <c:orientation val="minMax"/>
        </c:scaling>
        <c:delete val="0"/>
        <c:axPos val="l"/>
        <c:majorGridlines>
          <c:spPr>
            <a:ln w="9525" cap="flat" cmpd="sng" algn="ctr">
              <a:solidFill>
                <a:schemeClr val="tx1">
                  <a:lumMod val="15000"/>
                  <a:lumOff val="85000"/>
                </a:schemeClr>
              </a:solidFill>
              <a:round/>
            </a:ln>
            <a:effectLst/>
          </c:spPr>
        </c:majorGridlines>
        <c:numFmt formatCode="0.0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crossAx val="320211680"/>
        <c:crosses val="autoZero"/>
        <c:crossBetween val="between"/>
      </c:valAx>
      <c:spPr>
        <a:solidFill>
          <a:schemeClr val="bg1">
            <a:lumMod val="95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List1!$B$1</c:f>
              <c:strCache>
                <c:ptCount val="1"/>
                <c:pt idx="0">
                  <c:v>Odprti postopek</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List1!$A$2:$A$9</c:f>
              <c:numCache>
                <c:formatCode>General</c:formatCode>
                <c:ptCount val="8"/>
                <c:pt idx="0">
                  <c:v>2015</c:v>
                </c:pt>
                <c:pt idx="1">
                  <c:v>2016</c:v>
                </c:pt>
                <c:pt idx="2">
                  <c:v>2017</c:v>
                </c:pt>
                <c:pt idx="3">
                  <c:v>2018</c:v>
                </c:pt>
                <c:pt idx="4">
                  <c:v>2019</c:v>
                </c:pt>
                <c:pt idx="5">
                  <c:v>2020</c:v>
                </c:pt>
                <c:pt idx="6">
                  <c:v>2021</c:v>
                </c:pt>
                <c:pt idx="7">
                  <c:v>2022</c:v>
                </c:pt>
              </c:numCache>
            </c:numRef>
          </c:cat>
          <c:val>
            <c:numRef>
              <c:f>List1!$B$2:$B$9</c:f>
              <c:numCache>
                <c:formatCode>0.00\ %</c:formatCode>
                <c:ptCount val="8"/>
                <c:pt idx="0">
                  <c:v>0.21920000000000001</c:v>
                </c:pt>
                <c:pt idx="1">
                  <c:v>0.27189999999999998</c:v>
                </c:pt>
                <c:pt idx="2">
                  <c:v>0.24840000000000001</c:v>
                </c:pt>
                <c:pt idx="3">
                  <c:v>0.23860000000000001</c:v>
                </c:pt>
                <c:pt idx="4">
                  <c:v>0.23630000000000001</c:v>
                </c:pt>
                <c:pt idx="5">
                  <c:v>0.27910000000000001</c:v>
                </c:pt>
                <c:pt idx="6">
                  <c:v>0.3246</c:v>
                </c:pt>
                <c:pt idx="7">
                  <c:v>0.29474780538610323</c:v>
                </c:pt>
              </c:numCache>
            </c:numRef>
          </c:val>
          <c:smooth val="0"/>
          <c:extLst>
            <c:ext xmlns:c16="http://schemas.microsoft.com/office/drawing/2014/chart" uri="{C3380CC4-5D6E-409C-BE32-E72D297353CC}">
              <c16:uniqueId val="{00000000-B713-409F-B273-9E01D6E9AB3F}"/>
            </c:ext>
          </c:extLst>
        </c:ser>
        <c:ser>
          <c:idx val="1"/>
          <c:order val="1"/>
          <c:tx>
            <c:strRef>
              <c:f>List1!$C$1</c:f>
              <c:strCache>
                <c:ptCount val="1"/>
                <c:pt idx="0">
                  <c:v>Postopek naročila male vrednosti</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List1!$A$2:$A$9</c:f>
              <c:numCache>
                <c:formatCode>General</c:formatCode>
                <c:ptCount val="8"/>
                <c:pt idx="0">
                  <c:v>2015</c:v>
                </c:pt>
                <c:pt idx="1">
                  <c:v>2016</c:v>
                </c:pt>
                <c:pt idx="2">
                  <c:v>2017</c:v>
                </c:pt>
                <c:pt idx="3">
                  <c:v>2018</c:v>
                </c:pt>
                <c:pt idx="4">
                  <c:v>2019</c:v>
                </c:pt>
                <c:pt idx="5">
                  <c:v>2020</c:v>
                </c:pt>
                <c:pt idx="6">
                  <c:v>2021</c:v>
                </c:pt>
                <c:pt idx="7">
                  <c:v>2022</c:v>
                </c:pt>
              </c:numCache>
            </c:numRef>
          </c:cat>
          <c:val>
            <c:numRef>
              <c:f>List1!$C$2:$C$9</c:f>
              <c:numCache>
                <c:formatCode>0.00\ %</c:formatCode>
                <c:ptCount val="8"/>
                <c:pt idx="0">
                  <c:v>0.49109999999999998</c:v>
                </c:pt>
                <c:pt idx="1">
                  <c:v>0.55079999999999996</c:v>
                </c:pt>
                <c:pt idx="2">
                  <c:v>0.60070000000000001</c:v>
                </c:pt>
                <c:pt idx="3">
                  <c:v>0.61419999999999997</c:v>
                </c:pt>
                <c:pt idx="4">
                  <c:v>0.61660000000000004</c:v>
                </c:pt>
                <c:pt idx="5">
                  <c:v>0.53610000000000002</c:v>
                </c:pt>
                <c:pt idx="6">
                  <c:v>0.51029999999999998</c:v>
                </c:pt>
                <c:pt idx="7">
                  <c:v>0.54709120666567479</c:v>
                </c:pt>
              </c:numCache>
            </c:numRef>
          </c:val>
          <c:smooth val="0"/>
          <c:extLst>
            <c:ext xmlns:c16="http://schemas.microsoft.com/office/drawing/2014/chart" uri="{C3380CC4-5D6E-409C-BE32-E72D297353CC}">
              <c16:uniqueId val="{00000001-B713-409F-B273-9E01D6E9AB3F}"/>
            </c:ext>
          </c:extLst>
        </c:ser>
        <c:ser>
          <c:idx val="2"/>
          <c:order val="2"/>
          <c:tx>
            <c:strRef>
              <c:f>List1!$D$1</c:f>
              <c:strCache>
                <c:ptCount val="1"/>
                <c:pt idx="0">
                  <c:v>Postopek s pogajanji brez predhodne objave</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List1!$A$2:$A$9</c:f>
              <c:numCache>
                <c:formatCode>General</c:formatCode>
                <c:ptCount val="8"/>
                <c:pt idx="0">
                  <c:v>2015</c:v>
                </c:pt>
                <c:pt idx="1">
                  <c:v>2016</c:v>
                </c:pt>
                <c:pt idx="2">
                  <c:v>2017</c:v>
                </c:pt>
                <c:pt idx="3">
                  <c:v>2018</c:v>
                </c:pt>
                <c:pt idx="4">
                  <c:v>2019</c:v>
                </c:pt>
                <c:pt idx="5">
                  <c:v>2020</c:v>
                </c:pt>
                <c:pt idx="6">
                  <c:v>2021</c:v>
                </c:pt>
                <c:pt idx="7">
                  <c:v>2022</c:v>
                </c:pt>
              </c:numCache>
            </c:numRef>
          </c:cat>
          <c:val>
            <c:numRef>
              <c:f>List1!$D$2:$D$9</c:f>
              <c:numCache>
                <c:formatCode>0.00\ %</c:formatCode>
                <c:ptCount val="8"/>
                <c:pt idx="0">
                  <c:v>0.19980000000000001</c:v>
                </c:pt>
                <c:pt idx="1">
                  <c:v>0.13519999999999999</c:v>
                </c:pt>
                <c:pt idx="2">
                  <c:v>0.1069</c:v>
                </c:pt>
                <c:pt idx="3">
                  <c:v>0.1101</c:v>
                </c:pt>
                <c:pt idx="4">
                  <c:v>9.2700000000000005E-2</c:v>
                </c:pt>
                <c:pt idx="5">
                  <c:v>0.13009999999999999</c:v>
                </c:pt>
                <c:pt idx="6">
                  <c:v>0.1067</c:v>
                </c:pt>
                <c:pt idx="7">
                  <c:v>9.4926350245499183E-2</c:v>
                </c:pt>
              </c:numCache>
            </c:numRef>
          </c:val>
          <c:smooth val="0"/>
          <c:extLst>
            <c:ext xmlns:c16="http://schemas.microsoft.com/office/drawing/2014/chart" uri="{C3380CC4-5D6E-409C-BE32-E72D297353CC}">
              <c16:uniqueId val="{00000002-B713-409F-B273-9E01D6E9AB3F}"/>
            </c:ext>
          </c:extLst>
        </c:ser>
        <c:ser>
          <c:idx val="3"/>
          <c:order val="3"/>
          <c:tx>
            <c:strRef>
              <c:f>List1!$E$1</c:f>
              <c:strCache>
                <c:ptCount val="1"/>
                <c:pt idx="0">
                  <c:v>Postopek s pogajanji po predhodni objavi</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List1!$A$2:$A$9</c:f>
              <c:numCache>
                <c:formatCode>General</c:formatCode>
                <c:ptCount val="8"/>
                <c:pt idx="0">
                  <c:v>2015</c:v>
                </c:pt>
                <c:pt idx="1">
                  <c:v>2016</c:v>
                </c:pt>
                <c:pt idx="2">
                  <c:v>2017</c:v>
                </c:pt>
                <c:pt idx="3">
                  <c:v>2018</c:v>
                </c:pt>
                <c:pt idx="4">
                  <c:v>2019</c:v>
                </c:pt>
                <c:pt idx="5">
                  <c:v>2020</c:v>
                </c:pt>
                <c:pt idx="6">
                  <c:v>2021</c:v>
                </c:pt>
                <c:pt idx="7">
                  <c:v>2022</c:v>
                </c:pt>
              </c:numCache>
            </c:numRef>
          </c:cat>
          <c:val>
            <c:numRef>
              <c:f>List1!$E$2:$E$9</c:f>
              <c:numCache>
                <c:formatCode>0.00\ %</c:formatCode>
                <c:ptCount val="8"/>
                <c:pt idx="0">
                  <c:v>3.4700000000000002E-2</c:v>
                </c:pt>
                <c:pt idx="1">
                  <c:v>2.1600000000000001E-2</c:v>
                </c:pt>
                <c:pt idx="2">
                  <c:v>2.3099999999999999E-2</c:v>
                </c:pt>
                <c:pt idx="3">
                  <c:v>1.5699999999999999E-2</c:v>
                </c:pt>
                <c:pt idx="4">
                  <c:v>2.2100000000000002E-2</c:v>
                </c:pt>
                <c:pt idx="5">
                  <c:v>2.3800000000000002E-2</c:v>
                </c:pt>
                <c:pt idx="6">
                  <c:v>2.52E-2</c:v>
                </c:pt>
                <c:pt idx="7">
                  <c:v>2.4103556018449636E-2</c:v>
                </c:pt>
              </c:numCache>
            </c:numRef>
          </c:val>
          <c:smooth val="0"/>
          <c:extLst>
            <c:ext xmlns:c16="http://schemas.microsoft.com/office/drawing/2014/chart" uri="{C3380CC4-5D6E-409C-BE32-E72D297353CC}">
              <c16:uniqueId val="{00000003-B713-409F-B273-9E01D6E9AB3F}"/>
            </c:ext>
          </c:extLst>
        </c:ser>
        <c:ser>
          <c:idx val="4"/>
          <c:order val="4"/>
          <c:tx>
            <c:strRef>
              <c:f>List1!$F$1</c:f>
              <c:strCache>
                <c:ptCount val="1"/>
                <c:pt idx="0">
                  <c:v>Drugi postopki</c:v>
                </c:pt>
              </c:strCache>
            </c:strRef>
          </c:tx>
          <c:spPr>
            <a:ln w="28575" cap="rnd">
              <a:solidFill>
                <a:schemeClr val="accent5"/>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List1!$A$2:$A$9</c:f>
              <c:numCache>
                <c:formatCode>General</c:formatCode>
                <c:ptCount val="8"/>
                <c:pt idx="0">
                  <c:v>2015</c:v>
                </c:pt>
                <c:pt idx="1">
                  <c:v>2016</c:v>
                </c:pt>
                <c:pt idx="2">
                  <c:v>2017</c:v>
                </c:pt>
                <c:pt idx="3">
                  <c:v>2018</c:v>
                </c:pt>
                <c:pt idx="4">
                  <c:v>2019</c:v>
                </c:pt>
                <c:pt idx="5">
                  <c:v>2020</c:v>
                </c:pt>
                <c:pt idx="6">
                  <c:v>2021</c:v>
                </c:pt>
                <c:pt idx="7">
                  <c:v>2022</c:v>
                </c:pt>
              </c:numCache>
            </c:numRef>
          </c:cat>
          <c:val>
            <c:numRef>
              <c:f>List1!$F$2:$F$9</c:f>
              <c:numCache>
                <c:formatCode>0.00\ %</c:formatCode>
                <c:ptCount val="8"/>
                <c:pt idx="0">
                  <c:v>5.5200000000000193E-2</c:v>
                </c:pt>
                <c:pt idx="1">
                  <c:v>2.0500000000000115E-2</c:v>
                </c:pt>
                <c:pt idx="2">
                  <c:v>2.0900000000000061E-2</c:v>
                </c:pt>
                <c:pt idx="3">
                  <c:v>2.1399999999999961E-2</c:v>
                </c:pt>
                <c:pt idx="4">
                  <c:v>3.2300000000000023E-2</c:v>
                </c:pt>
                <c:pt idx="5">
                  <c:v>3.09E-2</c:v>
                </c:pt>
                <c:pt idx="6">
                  <c:v>3.32E-2</c:v>
                </c:pt>
                <c:pt idx="7">
                  <c:v>3.9100000000000003E-2</c:v>
                </c:pt>
              </c:numCache>
            </c:numRef>
          </c:val>
          <c:smooth val="0"/>
          <c:extLst>
            <c:ext xmlns:c16="http://schemas.microsoft.com/office/drawing/2014/chart" uri="{C3380CC4-5D6E-409C-BE32-E72D297353CC}">
              <c16:uniqueId val="{00000004-B713-409F-B273-9E01D6E9AB3F}"/>
            </c:ext>
          </c:extLst>
        </c:ser>
        <c:dLbls>
          <c:showLegendKey val="0"/>
          <c:showVal val="0"/>
          <c:showCatName val="0"/>
          <c:showSerName val="0"/>
          <c:showPercent val="0"/>
          <c:showBubbleSize val="0"/>
        </c:dLbls>
        <c:smooth val="0"/>
        <c:axId val="320214424"/>
        <c:axId val="320215208"/>
      </c:lineChart>
      <c:catAx>
        <c:axId val="320214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20215208"/>
        <c:crosses val="autoZero"/>
        <c:auto val="1"/>
        <c:lblAlgn val="ctr"/>
        <c:lblOffset val="100"/>
        <c:noMultiLvlLbl val="0"/>
      </c:catAx>
      <c:valAx>
        <c:axId val="320215208"/>
        <c:scaling>
          <c:orientation val="minMax"/>
        </c:scaling>
        <c:delete val="0"/>
        <c:axPos val="l"/>
        <c:majorGridlines>
          <c:spPr>
            <a:ln w="9525" cap="flat" cmpd="sng" algn="ctr">
              <a:solidFill>
                <a:schemeClr val="tx1">
                  <a:lumMod val="15000"/>
                  <a:lumOff val="85000"/>
                </a:schemeClr>
              </a:solidFill>
              <a:round/>
            </a:ln>
            <a:effectLst/>
          </c:spPr>
        </c:majorGridlines>
        <c:numFmt formatCode="0.0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20214424"/>
        <c:crosses val="autoZero"/>
        <c:crossBetween val="between"/>
      </c:valAx>
      <c:spPr>
        <a:solidFill>
          <a:schemeClr val="bg1">
            <a:lumMod val="95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8A5593E-5518-4600-B96C-476AD92B4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132</Pages>
  <Words>45222</Words>
  <Characters>257769</Characters>
  <Application>Microsoft Office Word</Application>
  <DocSecurity>0</DocSecurity>
  <Lines>2148</Lines>
  <Paragraphs>604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Matjaž Uhan</dc:creator>
  <cp:keywords/>
  <dc:description/>
  <cp:lastModifiedBy>Matjaž Uhan</cp:lastModifiedBy>
  <cp:revision>3</cp:revision>
  <cp:lastPrinted>2023-07-31T06:30:00Z</cp:lastPrinted>
  <dcterms:created xsi:type="dcterms:W3CDTF">2023-09-07T08:26:00Z</dcterms:created>
  <dcterms:modified xsi:type="dcterms:W3CDTF">2023-09-21T10:37:00Z</dcterms:modified>
</cp:coreProperties>
</file>